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C2F" w:rsidRDefault="00817C2F" w:rsidP="00CC340C">
      <w:pPr>
        <w:pStyle w:val="Intro-Heading1Introduction"/>
        <w:rPr>
          <w:b/>
          <w:bCs/>
          <w:sz w:val="48"/>
          <w:szCs w:val="48"/>
        </w:rPr>
      </w:pPr>
      <w:bookmarkStart w:id="0" w:name="_GoBack"/>
      <w:bookmarkEnd w:id="0"/>
    </w:p>
    <w:p w:rsidR="00817C2F" w:rsidRDefault="00817C2F" w:rsidP="00CC340C">
      <w:pPr>
        <w:pStyle w:val="Intro-Heading1Introduction"/>
        <w:rPr>
          <w:b/>
          <w:bCs/>
          <w:sz w:val="48"/>
          <w:szCs w:val="48"/>
        </w:rPr>
      </w:pPr>
    </w:p>
    <w:p w:rsidR="00817C2F" w:rsidRDefault="00817C2F" w:rsidP="00CC340C">
      <w:pPr>
        <w:pStyle w:val="Intro-Heading1Introduction"/>
        <w:rPr>
          <w:b/>
          <w:bCs/>
          <w:sz w:val="48"/>
          <w:szCs w:val="48"/>
        </w:rPr>
      </w:pPr>
    </w:p>
    <w:p w:rsidR="00817C2F" w:rsidRDefault="00817C2F" w:rsidP="00CC340C">
      <w:pPr>
        <w:pStyle w:val="Intro-Heading1Introduction"/>
        <w:rPr>
          <w:b/>
          <w:bCs/>
          <w:sz w:val="48"/>
          <w:szCs w:val="48"/>
        </w:rPr>
      </w:pPr>
    </w:p>
    <w:p w:rsidR="00817C2F" w:rsidRDefault="00817C2F" w:rsidP="00CC340C">
      <w:pPr>
        <w:pStyle w:val="Intro-Heading1Introduction"/>
        <w:rPr>
          <w:b/>
          <w:bCs/>
          <w:sz w:val="48"/>
          <w:szCs w:val="48"/>
        </w:rPr>
      </w:pPr>
    </w:p>
    <w:p w:rsidR="00CC340C" w:rsidRPr="00CC340C" w:rsidRDefault="00CC340C" w:rsidP="00CC340C">
      <w:pPr>
        <w:pStyle w:val="Intro-Heading1Introduction"/>
        <w:rPr>
          <w:b/>
          <w:bCs/>
          <w:sz w:val="48"/>
          <w:szCs w:val="48"/>
        </w:rPr>
      </w:pPr>
      <w:r w:rsidRPr="00CC340C">
        <w:rPr>
          <w:b/>
          <w:bCs/>
          <w:sz w:val="48"/>
          <w:szCs w:val="48"/>
        </w:rPr>
        <w:t>Seasonal Watering Plan 2020-21</w:t>
      </w:r>
    </w:p>
    <w:p w:rsidR="00CC340C" w:rsidRDefault="00CC340C">
      <w:pPr>
        <w:rPr>
          <w:rFonts w:eastAsiaTheme="minorHAnsi"/>
          <w:color w:val="000000"/>
          <w:sz w:val="42"/>
          <w:szCs w:val="42"/>
          <w:lang w:eastAsia="en-US" w:bidi="ar-SA"/>
        </w:rPr>
      </w:pPr>
      <w:r>
        <w:br w:type="page"/>
      </w:r>
    </w:p>
    <w:p w:rsidR="00CC340C" w:rsidRDefault="00CC340C" w:rsidP="00CC340C">
      <w:pPr>
        <w:pStyle w:val="H3-IntroIntroduction"/>
      </w:pPr>
      <w:r>
        <w:lastRenderedPageBreak/>
        <w:t>Acknowledgement of Traditional Owners</w:t>
      </w:r>
    </w:p>
    <w:p w:rsidR="00CC340C" w:rsidRDefault="00CC340C" w:rsidP="00CC340C">
      <w:pPr>
        <w:pStyle w:val="BodyText0"/>
      </w:pPr>
      <w:r>
        <w:t>The VEWH proudly acknowledges Victoria’s Aboriginal communities and their rich culture and pays respect to their Elders past and present.</w:t>
      </w:r>
    </w:p>
    <w:p w:rsidR="00CC340C" w:rsidRDefault="00CC340C" w:rsidP="00CC340C">
      <w:pPr>
        <w:pStyle w:val="BodyText0"/>
      </w:pPr>
      <w:r>
        <w:t>We acknowledge Aboriginal people as Australia’s first peoples and as Traditional Owners and custodians of the land and water on which we rely. We recognise the intrinsic connection of Traditional Owners to Country, and we value their ongoing contribution to managing Victoria’s landscapes. We also recognise and value the contribution of Aboriginal people and communities to Victorian life and how this enriches us.</w:t>
      </w:r>
    </w:p>
    <w:p w:rsidR="00CC340C" w:rsidRDefault="00CC340C" w:rsidP="00CC340C">
      <w:pPr>
        <w:pStyle w:val="BodyText0"/>
      </w:pPr>
      <w:r>
        <w:t>The VEWH recognises the intersection between environmental flow objectives and outcomes for Traditional Owners and Aboriginal Victorians. We acknowledge the ongoing contribution that Aboriginal people are making to planning and managing water for the environment and the benefits that have resulted from these partnerships. The contribution of Traditional Owners to this year’s seasonal watering plan is detailed in the regional introductions.</w:t>
      </w:r>
    </w:p>
    <w:p w:rsidR="00CC340C" w:rsidRDefault="00CC340C" w:rsidP="00CC340C">
      <w:pPr>
        <w:pStyle w:val="BodyText0"/>
      </w:pPr>
      <w:r>
        <w:t>For tens of thousands of years, Aboriginal people have occupied Australia. There have been very different clan and Nation boundaries to those that exist today, often embodying deep cultural relationships with the land and waterways. In this seasonal watering plan, the VEWH has endeavoured, using the best-available information, to name the Traditional Owner groups and their Nations that lived in the area we now call Victoria, and who continue to maintain and enhance longstanding culture and tradition. We have also sought and, in some regions, have provided some background on local Aboriginal names for waterways.</w:t>
      </w:r>
    </w:p>
    <w:p w:rsidR="00CC340C" w:rsidRDefault="00CC340C" w:rsidP="00CC340C">
      <w:pPr>
        <w:pStyle w:val="BodyText0"/>
      </w:pPr>
      <w:r>
        <w:t>We acknowledge that the Traditional Owner groups and their associations with particular areas are not definitive, and there may be multiple names for the waterways covered</w:t>
      </w:r>
    </w:p>
    <w:p w:rsidR="00CC340C" w:rsidRDefault="00CC340C" w:rsidP="00CC340C">
      <w:pPr>
        <w:pStyle w:val="BodyText0"/>
      </w:pPr>
      <w:r>
        <w:t>by the seasonal watering plan. The VEWH does not claim this information to be exact. We provide such information in the spirit of acknowledgement of Traditional Owners past and present and their long-standing connection to Country.</w:t>
      </w:r>
    </w:p>
    <w:p w:rsidR="00CC340C" w:rsidRDefault="00CC340C" w:rsidP="00CC340C">
      <w:pPr>
        <w:pStyle w:val="BodyText0"/>
      </w:pPr>
      <w:r>
        <w:t>The VEWH embraces the spirit of reconciliation, working towards equity and an equal voice for Traditional Owners.</w:t>
      </w:r>
    </w:p>
    <w:p w:rsidR="00CC340C" w:rsidRDefault="00CC340C" w:rsidP="00CC340C">
      <w:pPr>
        <w:pStyle w:val="H3-IntroIntroduction"/>
      </w:pPr>
      <w:r>
        <w:t>Acknowledgement of program partners</w:t>
      </w:r>
    </w:p>
    <w:p w:rsidR="00CC340C" w:rsidRDefault="00CC340C" w:rsidP="00CC340C">
      <w:pPr>
        <w:pStyle w:val="BodyText0"/>
      </w:pPr>
      <w:r>
        <w:t>The Victorian Environmental Water Holder acknowledges that the Seasonal Watering Plan is based on the significant contributions and hard work</w:t>
      </w:r>
      <w:r w:rsidR="00837A32">
        <w:t xml:space="preserve"> </w:t>
      </w:r>
      <w:r>
        <w:t>of Victoria’s catchment management authorities and Melbourne Water, in consultation with their communities.</w:t>
      </w:r>
    </w:p>
    <w:p w:rsidR="00837A32" w:rsidRDefault="00435865" w:rsidP="00CC340C">
      <w:pPr>
        <w:pStyle w:val="BodyText0"/>
      </w:pPr>
      <w:r>
        <w:t>Corangamite Catchment Management Authority</w:t>
      </w:r>
    </w:p>
    <w:p w:rsidR="00435865" w:rsidRDefault="00435865" w:rsidP="00CC340C">
      <w:pPr>
        <w:pStyle w:val="BodyText0"/>
      </w:pPr>
      <w:r>
        <w:t>East Gippsland Catchment Management Authority</w:t>
      </w:r>
    </w:p>
    <w:p w:rsidR="00435865" w:rsidRDefault="00435865" w:rsidP="00CC340C">
      <w:pPr>
        <w:pStyle w:val="BodyText0"/>
      </w:pPr>
      <w:r>
        <w:t>Glenelg Hopkins Catchment Management Authority</w:t>
      </w:r>
    </w:p>
    <w:p w:rsidR="00435865" w:rsidRDefault="00435865" w:rsidP="00CC340C">
      <w:pPr>
        <w:pStyle w:val="BodyText0"/>
      </w:pPr>
      <w:r>
        <w:t>Goulburn Catchment Management Authority</w:t>
      </w:r>
    </w:p>
    <w:p w:rsidR="00435865" w:rsidRDefault="00435865" w:rsidP="00CC340C">
      <w:pPr>
        <w:pStyle w:val="BodyText0"/>
      </w:pPr>
      <w:r>
        <w:t>Mallee Catchment Management Authority</w:t>
      </w:r>
    </w:p>
    <w:p w:rsidR="00435865" w:rsidRDefault="00435865" w:rsidP="00CC340C">
      <w:pPr>
        <w:pStyle w:val="BodyText0"/>
      </w:pPr>
      <w:r>
        <w:t>Melbourne Water</w:t>
      </w:r>
    </w:p>
    <w:p w:rsidR="00435865" w:rsidRDefault="00435865" w:rsidP="00CC340C">
      <w:pPr>
        <w:pStyle w:val="BodyText0"/>
      </w:pPr>
      <w:r>
        <w:t>North Central Catchment Management Authority</w:t>
      </w:r>
    </w:p>
    <w:p w:rsidR="00435865" w:rsidRDefault="00435865" w:rsidP="00CC340C">
      <w:pPr>
        <w:pStyle w:val="BodyText0"/>
      </w:pPr>
      <w:r>
        <w:t>North East Catchment Management Authority</w:t>
      </w:r>
    </w:p>
    <w:p w:rsidR="00435865" w:rsidRDefault="00435865" w:rsidP="00CC340C">
      <w:pPr>
        <w:pStyle w:val="BodyText0"/>
      </w:pPr>
      <w:r>
        <w:t>West Gippsland Catchment Management Authority</w:t>
      </w:r>
    </w:p>
    <w:p w:rsidR="00435865" w:rsidRDefault="00435865" w:rsidP="00CC340C">
      <w:pPr>
        <w:pStyle w:val="BodyText0"/>
      </w:pPr>
      <w:r>
        <w:t>Wimmera Catchment Management Authority</w:t>
      </w:r>
    </w:p>
    <w:p w:rsidR="00CC340C" w:rsidRDefault="00CC340C">
      <w:pPr>
        <w:rPr>
          <w:rFonts w:eastAsiaTheme="minorHAnsi"/>
          <w:color w:val="000000"/>
          <w:sz w:val="42"/>
          <w:szCs w:val="42"/>
          <w:lang w:eastAsia="en-US" w:bidi="ar-SA"/>
        </w:rPr>
      </w:pPr>
      <w:r>
        <w:br w:type="page"/>
      </w:r>
    </w:p>
    <w:p w:rsidR="00CC340C" w:rsidRDefault="00CC340C" w:rsidP="00CC340C">
      <w:pPr>
        <w:pStyle w:val="Intro-Heading1Introduction"/>
      </w:pPr>
      <w:r>
        <w:lastRenderedPageBreak/>
        <w:t>Foreword</w:t>
      </w:r>
    </w:p>
    <w:p w:rsidR="00CC340C" w:rsidRDefault="00CC340C" w:rsidP="00CC340C">
      <w:pPr>
        <w:pStyle w:val="BodyText0"/>
      </w:pPr>
      <w:r>
        <w:t>It gives me great pleasure to introduce the Victorian Environmental Water Holder’s (VEWH’s) Seasonal Watering Plan 2020-21, which outlines the scope of where and when water for the environment may be delivered over the next 12 months.</w:t>
      </w:r>
    </w:p>
    <w:p w:rsidR="00CC340C" w:rsidRDefault="00CC340C" w:rsidP="00CC340C">
      <w:pPr>
        <w:pStyle w:val="BodyText0"/>
      </w:pPr>
      <w:r>
        <w:t>Last year was a year of change at the VEWH as we welcomed a refreshed Commission to the helm and saw my appointment to the position of Chairperson. Our Commissioners have diverse backgrounds and bring a balance of experience and knowledge in environmental management, sustainable water management, economics and public administration to the environmental watering program.</w:t>
      </w:r>
    </w:p>
    <w:p w:rsidR="00CC340C" w:rsidRDefault="00CC340C" w:rsidP="00CC340C">
      <w:pPr>
        <w:pStyle w:val="BodyText0"/>
      </w:pPr>
      <w:r>
        <w:t>The past year also saw changes to the Water Act 1989 which, for the first time in Victoria, enshrined recreational and Aboriginal water values into law. By tapping into local knowledge, the seasonal watering plan aims to optimise the delivery of water to produce shared benefits for all Victorians.</w:t>
      </w:r>
    </w:p>
    <w:p w:rsidR="00CC340C" w:rsidRDefault="00CC340C" w:rsidP="00CC340C">
      <w:pPr>
        <w:pStyle w:val="BodyText0"/>
      </w:pPr>
      <w:r>
        <w:t>At the VEWH, supporting the involvement of Traditional Owners in the planning, management and delivery of environmental water has been an ongoing focus and we are beginning to see results, most recently at Ranch Billabong and the Moorabool River, where water for the environment has provided both cultural and environmental benefits.</w:t>
      </w:r>
    </w:p>
    <w:p w:rsidR="00CC340C" w:rsidRDefault="00CC340C" w:rsidP="00CC340C">
      <w:pPr>
        <w:pStyle w:val="BodyText0"/>
      </w:pPr>
      <w:r>
        <w:t>The effects of climate change on our environment are becoming more apparent – there is no more extreme example than the devastating summer bushfires following drier than average conditions over the past few years.</w:t>
      </w:r>
    </w:p>
    <w:p w:rsidR="00CC340C" w:rsidRDefault="00CC340C" w:rsidP="00CC340C">
      <w:pPr>
        <w:pStyle w:val="BodyText0"/>
      </w:pPr>
      <w:r>
        <w:t>Pleasingly, the climate outlook for winter 2020 provides some hope for an average or wet beginning to the 2020–21 watering year. However, the uncertainty of seasonal conditions means it is important for our planning to be adaptable.</w:t>
      </w:r>
    </w:p>
    <w:p w:rsidR="00CC340C" w:rsidRDefault="00CC340C" w:rsidP="00CC340C">
      <w:pPr>
        <w:pStyle w:val="BodyText0"/>
      </w:pPr>
      <w:r>
        <w:t>This year’s seasonal watering plan provides a clear guide to how the VEWH and program partners plan to use the water available to achieve the best possible environmental watering outcomes for Victorians in a range of climate scenarios. It represents a consolidation of proposed watering actions from catchment management authorities and Melbourne Water developed from an ever-building bank of local knowledge from our regions and scientific monitoring programs.</w:t>
      </w:r>
    </w:p>
    <w:p w:rsidR="00CC340C" w:rsidRDefault="00CC340C" w:rsidP="00CC340C">
      <w:pPr>
        <w:pStyle w:val="BodyText0"/>
      </w:pPr>
      <w:r>
        <w:t>I thank everyone who has provided input to the plan and those who will be involved in its delivery over the coming year.</w:t>
      </w:r>
    </w:p>
    <w:p w:rsidR="00CC340C" w:rsidRDefault="00CC340C" w:rsidP="00CC340C">
      <w:pPr>
        <w:pStyle w:val="BodyText0"/>
      </w:pPr>
      <w:r>
        <w:rPr>
          <w:rStyle w:val="BodytextBOLD"/>
        </w:rPr>
        <w:t>Chris Chesterfield</w:t>
      </w:r>
      <w:r>
        <w:rPr>
          <w:rStyle w:val="BodytextBOLD"/>
        </w:rPr>
        <w:br/>
      </w:r>
      <w:r>
        <w:t>Chairperson, Victorian Environmental Water Holder</w:t>
      </w:r>
    </w:p>
    <w:p w:rsidR="00CC340C" w:rsidRDefault="00CC340C">
      <w:pPr>
        <w:rPr>
          <w:rFonts w:eastAsiaTheme="minorHAnsi"/>
          <w:color w:val="000000"/>
          <w:sz w:val="42"/>
          <w:szCs w:val="42"/>
          <w:lang w:eastAsia="en-US" w:bidi="ar-SA"/>
        </w:rPr>
      </w:pPr>
      <w:r>
        <w:rPr>
          <w:b/>
          <w:bCs/>
          <w:sz w:val="42"/>
          <w:szCs w:val="42"/>
        </w:rPr>
        <w:br w:type="page"/>
      </w:r>
    </w:p>
    <w:p w:rsidR="00444F33" w:rsidRDefault="00444F33" w:rsidP="00444F33">
      <w:pPr>
        <w:pStyle w:val="H3-IntroIntroduction"/>
        <w:rPr>
          <w:sz w:val="42"/>
          <w:szCs w:val="42"/>
        </w:rPr>
      </w:pPr>
      <w:r>
        <w:rPr>
          <w:sz w:val="42"/>
          <w:szCs w:val="42"/>
        </w:rPr>
        <w:lastRenderedPageBreak/>
        <w:t>Contents</w:t>
      </w:r>
    </w:p>
    <w:p w:rsidR="00444F33" w:rsidRDefault="00444F33" w:rsidP="00444F33">
      <w:pPr>
        <w:pStyle w:val="H3-IntroIntroduction"/>
        <w:rPr>
          <w:sz w:val="42"/>
          <w:szCs w:val="42"/>
        </w:rPr>
      </w:pPr>
    </w:p>
    <w:p w:rsidR="00444F33" w:rsidRPr="00444F33" w:rsidRDefault="00444F33" w:rsidP="00444F33">
      <w:pPr>
        <w:pStyle w:val="BasicParagraph"/>
        <w:tabs>
          <w:tab w:val="left" w:pos="567"/>
          <w:tab w:val="left" w:pos="1276"/>
          <w:tab w:val="left" w:leader="dot" w:pos="10064"/>
        </w:tabs>
        <w:rPr>
          <w:rFonts w:ascii="Arial" w:hAnsi="Arial" w:cs="Arial"/>
          <w:b/>
          <w:bCs/>
        </w:rPr>
      </w:pPr>
      <w:r w:rsidRPr="00444F33">
        <w:rPr>
          <w:rFonts w:ascii="Arial" w:hAnsi="Arial" w:cs="Arial"/>
          <w:b/>
          <w:bCs/>
        </w:rPr>
        <w:t>Section 1: Introduction</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1.1</w:t>
      </w:r>
      <w:r w:rsidRPr="00444F33">
        <w:rPr>
          <w:rFonts w:ascii="Arial" w:hAnsi="Arial" w:cs="Arial"/>
          <w:sz w:val="20"/>
          <w:szCs w:val="20"/>
        </w:rPr>
        <w:tab/>
        <w:t>The Victorian environmental watering program</w:t>
      </w:r>
      <w:r w:rsidRPr="00444F33">
        <w:rPr>
          <w:rFonts w:ascii="Arial" w:hAnsi="Arial" w:cs="Arial"/>
          <w:sz w:val="20"/>
          <w:szCs w:val="20"/>
        </w:rPr>
        <w:tab/>
      </w:r>
      <w:r w:rsidR="006C1B2E">
        <w:rPr>
          <w:rFonts w:ascii="Arial" w:hAnsi="Arial" w:cs="Arial"/>
          <w:sz w:val="20"/>
          <w:szCs w:val="20"/>
        </w:rPr>
        <w:t>6</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1.2</w:t>
      </w:r>
      <w:r w:rsidRPr="00444F33">
        <w:rPr>
          <w:rFonts w:ascii="Arial" w:hAnsi="Arial" w:cs="Arial"/>
          <w:sz w:val="20"/>
          <w:szCs w:val="20"/>
        </w:rPr>
        <w:tab/>
        <w:t>The seasonal watering plan</w:t>
      </w:r>
      <w:r w:rsidR="006C1B2E">
        <w:rPr>
          <w:rFonts w:ascii="Arial" w:hAnsi="Arial" w:cs="Arial"/>
          <w:sz w:val="20"/>
          <w:szCs w:val="20"/>
        </w:rPr>
        <w:tab/>
      </w:r>
      <w:r w:rsidRPr="00444F33">
        <w:rPr>
          <w:rFonts w:ascii="Arial" w:hAnsi="Arial" w:cs="Arial"/>
          <w:sz w:val="20"/>
          <w:szCs w:val="20"/>
        </w:rPr>
        <w:t>17</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1.3</w:t>
      </w:r>
      <w:r w:rsidRPr="00444F33">
        <w:rPr>
          <w:rFonts w:ascii="Arial" w:hAnsi="Arial" w:cs="Arial"/>
          <w:sz w:val="20"/>
          <w:szCs w:val="20"/>
        </w:rPr>
        <w:tab/>
        <w:t>Implementing the seasonal watering plan</w:t>
      </w:r>
      <w:r w:rsidRPr="00444F33">
        <w:rPr>
          <w:rFonts w:ascii="Arial" w:hAnsi="Arial" w:cs="Arial"/>
          <w:sz w:val="20"/>
          <w:szCs w:val="20"/>
        </w:rPr>
        <w:tab/>
        <w:t>2</w:t>
      </w:r>
      <w:r w:rsidR="006C1B2E">
        <w:rPr>
          <w:rFonts w:ascii="Arial" w:hAnsi="Arial" w:cs="Arial"/>
          <w:sz w:val="20"/>
          <w:szCs w:val="20"/>
        </w:rPr>
        <w:t>1</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1.4</w:t>
      </w:r>
      <w:r w:rsidRPr="00444F33">
        <w:rPr>
          <w:rFonts w:ascii="Arial" w:hAnsi="Arial" w:cs="Arial"/>
          <w:sz w:val="20"/>
          <w:szCs w:val="20"/>
        </w:rPr>
        <w:tab/>
        <w:t xml:space="preserve">Managing available water for the environment </w:t>
      </w:r>
      <w:r w:rsidRPr="00444F33">
        <w:rPr>
          <w:rFonts w:ascii="Arial" w:hAnsi="Arial" w:cs="Arial"/>
          <w:sz w:val="20"/>
          <w:szCs w:val="20"/>
        </w:rPr>
        <w:tab/>
      </w:r>
      <w:r w:rsidR="006C1B2E">
        <w:rPr>
          <w:rFonts w:ascii="Arial" w:hAnsi="Arial" w:cs="Arial"/>
          <w:sz w:val="20"/>
          <w:szCs w:val="20"/>
        </w:rPr>
        <w:t>32</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1.5</w:t>
      </w:r>
      <w:r w:rsidRPr="00444F33">
        <w:rPr>
          <w:rFonts w:ascii="Arial" w:hAnsi="Arial" w:cs="Arial"/>
          <w:sz w:val="20"/>
          <w:szCs w:val="20"/>
        </w:rPr>
        <w:tab/>
        <w:t>How to read the seasonal watering plan</w:t>
      </w:r>
      <w:r w:rsidRPr="00444F33">
        <w:rPr>
          <w:rFonts w:ascii="Arial" w:hAnsi="Arial" w:cs="Arial"/>
          <w:sz w:val="20"/>
          <w:szCs w:val="20"/>
        </w:rPr>
        <w:tab/>
        <w:t>3</w:t>
      </w:r>
      <w:r w:rsidR="006C1B2E">
        <w:rPr>
          <w:rFonts w:ascii="Arial" w:hAnsi="Arial" w:cs="Arial"/>
          <w:sz w:val="20"/>
          <w:szCs w:val="20"/>
        </w:rPr>
        <w:t>9</w:t>
      </w:r>
    </w:p>
    <w:p w:rsidR="00444F33" w:rsidRDefault="00444F33" w:rsidP="00444F33">
      <w:pPr>
        <w:pStyle w:val="BasicParagraph"/>
        <w:tabs>
          <w:tab w:val="left" w:pos="567"/>
          <w:tab w:val="left" w:pos="1276"/>
          <w:tab w:val="right" w:leader="dot" w:pos="10065"/>
        </w:tabs>
        <w:rPr>
          <w:rFonts w:ascii="Arial" w:hAnsi="Arial" w:cs="Arial"/>
          <w:b/>
          <w:bCs/>
        </w:rPr>
      </w:pPr>
    </w:p>
    <w:p w:rsidR="00444F33" w:rsidRPr="00444F33" w:rsidRDefault="00444F33" w:rsidP="00444F33">
      <w:pPr>
        <w:pStyle w:val="BasicParagraph"/>
        <w:tabs>
          <w:tab w:val="left" w:pos="567"/>
          <w:tab w:val="left" w:pos="1276"/>
          <w:tab w:val="right" w:leader="dot" w:pos="10065"/>
        </w:tabs>
        <w:rPr>
          <w:rFonts w:ascii="Arial" w:hAnsi="Arial" w:cs="Arial"/>
          <w:b/>
          <w:bCs/>
        </w:rPr>
      </w:pPr>
      <w:r w:rsidRPr="00444F33">
        <w:rPr>
          <w:rFonts w:ascii="Arial" w:hAnsi="Arial" w:cs="Arial"/>
          <w:b/>
          <w:bCs/>
        </w:rPr>
        <w:t>Section 2: Gippsland region</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2.1</w:t>
      </w:r>
      <w:r w:rsidRPr="00444F33">
        <w:rPr>
          <w:rFonts w:ascii="Arial" w:hAnsi="Arial" w:cs="Arial"/>
          <w:sz w:val="20"/>
          <w:szCs w:val="20"/>
        </w:rPr>
        <w:tab/>
        <w:t>Gippsland region overview</w:t>
      </w:r>
      <w:r w:rsidRPr="00444F33">
        <w:rPr>
          <w:rFonts w:ascii="Arial" w:hAnsi="Arial" w:cs="Arial"/>
          <w:sz w:val="20"/>
          <w:szCs w:val="20"/>
        </w:rPr>
        <w:tab/>
      </w:r>
      <w:r w:rsidR="000E057E">
        <w:rPr>
          <w:rFonts w:ascii="Arial" w:hAnsi="Arial" w:cs="Arial"/>
          <w:sz w:val="20"/>
          <w:szCs w:val="20"/>
        </w:rPr>
        <w:t>45</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2.2</w:t>
      </w:r>
      <w:r w:rsidRPr="00444F33">
        <w:rPr>
          <w:rFonts w:ascii="Arial" w:hAnsi="Arial" w:cs="Arial"/>
          <w:sz w:val="20"/>
          <w:szCs w:val="20"/>
        </w:rPr>
        <w:tab/>
        <w:t>Latrobe system</w:t>
      </w:r>
      <w:r w:rsidRPr="00444F33">
        <w:rPr>
          <w:rFonts w:ascii="Arial" w:hAnsi="Arial" w:cs="Arial"/>
          <w:sz w:val="20"/>
          <w:szCs w:val="20"/>
        </w:rPr>
        <w:tab/>
      </w:r>
      <w:r w:rsidR="000E057E">
        <w:rPr>
          <w:rFonts w:ascii="Arial" w:hAnsi="Arial" w:cs="Arial"/>
          <w:sz w:val="20"/>
          <w:szCs w:val="20"/>
        </w:rPr>
        <w:t>53</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2.3</w:t>
      </w:r>
      <w:r w:rsidRPr="00444F33">
        <w:rPr>
          <w:rFonts w:ascii="Arial" w:hAnsi="Arial" w:cs="Arial"/>
          <w:sz w:val="20"/>
          <w:szCs w:val="20"/>
        </w:rPr>
        <w:tab/>
        <w:t>Thomson system</w:t>
      </w:r>
      <w:r w:rsidRPr="00444F33">
        <w:rPr>
          <w:rFonts w:ascii="Arial" w:hAnsi="Arial" w:cs="Arial"/>
          <w:sz w:val="20"/>
          <w:szCs w:val="20"/>
        </w:rPr>
        <w:tab/>
      </w:r>
      <w:r w:rsidR="008A7286">
        <w:rPr>
          <w:rFonts w:ascii="Arial" w:hAnsi="Arial" w:cs="Arial"/>
          <w:sz w:val="20"/>
          <w:szCs w:val="20"/>
        </w:rPr>
        <w:t>67</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2.4</w:t>
      </w:r>
      <w:r w:rsidRPr="00444F33">
        <w:rPr>
          <w:rFonts w:ascii="Arial" w:hAnsi="Arial" w:cs="Arial"/>
          <w:sz w:val="20"/>
          <w:szCs w:val="20"/>
        </w:rPr>
        <w:tab/>
        <w:t>Macalister system</w:t>
      </w:r>
      <w:r w:rsidRPr="00444F33">
        <w:rPr>
          <w:rFonts w:ascii="Arial" w:hAnsi="Arial" w:cs="Arial"/>
          <w:sz w:val="20"/>
          <w:szCs w:val="20"/>
        </w:rPr>
        <w:tab/>
      </w:r>
      <w:r w:rsidR="008A7286">
        <w:rPr>
          <w:rFonts w:ascii="Arial" w:hAnsi="Arial" w:cs="Arial"/>
          <w:sz w:val="20"/>
          <w:szCs w:val="20"/>
        </w:rPr>
        <w:t>74</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2.5</w:t>
      </w:r>
      <w:r w:rsidRPr="00444F33">
        <w:rPr>
          <w:rFonts w:ascii="Arial" w:hAnsi="Arial" w:cs="Arial"/>
          <w:sz w:val="20"/>
          <w:szCs w:val="20"/>
        </w:rPr>
        <w:tab/>
        <w:t>Snowy system</w:t>
      </w:r>
      <w:r w:rsidRPr="00444F33">
        <w:rPr>
          <w:rFonts w:ascii="Arial" w:hAnsi="Arial" w:cs="Arial"/>
          <w:sz w:val="20"/>
          <w:szCs w:val="20"/>
        </w:rPr>
        <w:tab/>
      </w:r>
      <w:r w:rsidR="008A7286">
        <w:rPr>
          <w:rFonts w:ascii="Arial" w:hAnsi="Arial" w:cs="Arial"/>
          <w:sz w:val="20"/>
          <w:szCs w:val="20"/>
        </w:rPr>
        <w:t>81</w:t>
      </w:r>
    </w:p>
    <w:p w:rsidR="00444F33" w:rsidRDefault="00444F33" w:rsidP="00444F33">
      <w:pPr>
        <w:pStyle w:val="BasicParagraph"/>
        <w:tabs>
          <w:tab w:val="left" w:pos="567"/>
          <w:tab w:val="left" w:pos="1276"/>
          <w:tab w:val="right" w:leader="dot" w:pos="10065"/>
        </w:tabs>
        <w:rPr>
          <w:rFonts w:ascii="Arial" w:hAnsi="Arial" w:cs="Arial"/>
          <w:sz w:val="20"/>
          <w:szCs w:val="20"/>
        </w:rPr>
      </w:pPr>
    </w:p>
    <w:p w:rsidR="00444F33" w:rsidRPr="00444F33" w:rsidRDefault="00444F33" w:rsidP="00444F33">
      <w:pPr>
        <w:pStyle w:val="BasicParagraph"/>
        <w:tabs>
          <w:tab w:val="left" w:pos="567"/>
          <w:tab w:val="left" w:pos="1276"/>
          <w:tab w:val="right" w:leader="dot" w:pos="10065"/>
        </w:tabs>
        <w:rPr>
          <w:rFonts w:ascii="Arial" w:hAnsi="Arial" w:cs="Arial"/>
          <w:b/>
          <w:bCs/>
        </w:rPr>
      </w:pPr>
      <w:r w:rsidRPr="00444F33">
        <w:rPr>
          <w:rFonts w:ascii="Arial" w:hAnsi="Arial" w:cs="Arial"/>
          <w:b/>
          <w:bCs/>
        </w:rPr>
        <w:t>Section 3: Central region</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3.1</w:t>
      </w:r>
      <w:r w:rsidRPr="00444F33">
        <w:rPr>
          <w:rFonts w:ascii="Arial" w:hAnsi="Arial" w:cs="Arial"/>
          <w:sz w:val="20"/>
          <w:szCs w:val="20"/>
        </w:rPr>
        <w:tab/>
        <w:t>Central region overview</w:t>
      </w:r>
      <w:r w:rsidRPr="00444F33">
        <w:rPr>
          <w:rFonts w:ascii="Arial" w:hAnsi="Arial" w:cs="Arial"/>
          <w:sz w:val="20"/>
          <w:szCs w:val="20"/>
        </w:rPr>
        <w:tab/>
        <w:t>8</w:t>
      </w:r>
      <w:r w:rsidR="00B04111">
        <w:rPr>
          <w:rFonts w:ascii="Arial" w:hAnsi="Arial" w:cs="Arial"/>
          <w:sz w:val="20"/>
          <w:szCs w:val="20"/>
        </w:rPr>
        <w:t>4</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3.2</w:t>
      </w:r>
      <w:r w:rsidRPr="00444F33">
        <w:rPr>
          <w:rFonts w:ascii="Arial" w:hAnsi="Arial" w:cs="Arial"/>
          <w:sz w:val="20"/>
          <w:szCs w:val="20"/>
        </w:rPr>
        <w:tab/>
        <w:t>Yarra system</w:t>
      </w:r>
      <w:r w:rsidRPr="00444F33">
        <w:rPr>
          <w:rFonts w:ascii="Arial" w:hAnsi="Arial" w:cs="Arial"/>
          <w:sz w:val="20"/>
          <w:szCs w:val="20"/>
        </w:rPr>
        <w:tab/>
      </w:r>
      <w:r w:rsidR="00B04111">
        <w:rPr>
          <w:rFonts w:ascii="Arial" w:hAnsi="Arial" w:cs="Arial"/>
          <w:sz w:val="20"/>
          <w:szCs w:val="20"/>
        </w:rPr>
        <w:t>92</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3.3</w:t>
      </w:r>
      <w:r w:rsidRPr="00444F33">
        <w:rPr>
          <w:rFonts w:ascii="Arial" w:hAnsi="Arial" w:cs="Arial"/>
          <w:sz w:val="20"/>
          <w:szCs w:val="20"/>
        </w:rPr>
        <w:tab/>
        <w:t>Tarago system</w:t>
      </w:r>
      <w:r w:rsidRPr="00444F33">
        <w:rPr>
          <w:rFonts w:ascii="Arial" w:hAnsi="Arial" w:cs="Arial"/>
          <w:sz w:val="20"/>
          <w:szCs w:val="20"/>
        </w:rPr>
        <w:tab/>
      </w:r>
      <w:r w:rsidR="00B04111">
        <w:rPr>
          <w:rFonts w:ascii="Arial" w:hAnsi="Arial" w:cs="Arial"/>
          <w:sz w:val="20"/>
          <w:szCs w:val="20"/>
        </w:rPr>
        <w:t>103</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3.4</w:t>
      </w:r>
      <w:r w:rsidRPr="00444F33">
        <w:rPr>
          <w:rFonts w:ascii="Arial" w:hAnsi="Arial" w:cs="Arial"/>
          <w:sz w:val="20"/>
          <w:szCs w:val="20"/>
        </w:rPr>
        <w:tab/>
        <w:t>Maribyrnong system</w:t>
      </w:r>
      <w:r w:rsidRPr="00444F33">
        <w:rPr>
          <w:rFonts w:ascii="Arial" w:hAnsi="Arial" w:cs="Arial"/>
          <w:sz w:val="20"/>
          <w:szCs w:val="20"/>
        </w:rPr>
        <w:tab/>
        <w:t>10</w:t>
      </w:r>
      <w:r w:rsidR="00B04111">
        <w:rPr>
          <w:rFonts w:ascii="Arial" w:hAnsi="Arial" w:cs="Arial"/>
          <w:sz w:val="20"/>
          <w:szCs w:val="20"/>
        </w:rPr>
        <w:t>7</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3.5</w:t>
      </w:r>
      <w:r w:rsidRPr="00444F33">
        <w:rPr>
          <w:rFonts w:ascii="Arial" w:hAnsi="Arial" w:cs="Arial"/>
          <w:sz w:val="20"/>
          <w:szCs w:val="20"/>
        </w:rPr>
        <w:tab/>
        <w:t>Werribee system</w:t>
      </w:r>
      <w:r w:rsidRPr="00444F33">
        <w:rPr>
          <w:rFonts w:ascii="Arial" w:hAnsi="Arial" w:cs="Arial"/>
          <w:sz w:val="20"/>
          <w:szCs w:val="20"/>
        </w:rPr>
        <w:tab/>
        <w:t>1</w:t>
      </w:r>
      <w:r w:rsidR="00B04111">
        <w:rPr>
          <w:rFonts w:ascii="Arial" w:hAnsi="Arial" w:cs="Arial"/>
          <w:sz w:val="20"/>
          <w:szCs w:val="20"/>
        </w:rPr>
        <w:t>13</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3.6</w:t>
      </w:r>
      <w:r w:rsidRPr="00444F33">
        <w:rPr>
          <w:rFonts w:ascii="Arial" w:hAnsi="Arial" w:cs="Arial"/>
          <w:sz w:val="20"/>
          <w:szCs w:val="20"/>
        </w:rPr>
        <w:tab/>
        <w:t>Moorabool system</w:t>
      </w:r>
      <w:r w:rsidRPr="00444F33">
        <w:rPr>
          <w:rFonts w:ascii="Arial" w:hAnsi="Arial" w:cs="Arial"/>
          <w:sz w:val="20"/>
          <w:szCs w:val="20"/>
        </w:rPr>
        <w:tab/>
        <w:t>11</w:t>
      </w:r>
      <w:r w:rsidR="00B04111">
        <w:rPr>
          <w:rFonts w:ascii="Arial" w:hAnsi="Arial" w:cs="Arial"/>
          <w:sz w:val="20"/>
          <w:szCs w:val="20"/>
        </w:rPr>
        <w:t>9</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3.7</w:t>
      </w:r>
      <w:r w:rsidRPr="00444F33">
        <w:rPr>
          <w:rFonts w:ascii="Arial" w:hAnsi="Arial" w:cs="Arial"/>
          <w:sz w:val="20"/>
          <w:szCs w:val="20"/>
        </w:rPr>
        <w:tab/>
        <w:t>Barwon system</w:t>
      </w:r>
      <w:r w:rsidRPr="00444F33">
        <w:rPr>
          <w:rFonts w:ascii="Arial" w:hAnsi="Arial" w:cs="Arial"/>
          <w:sz w:val="20"/>
          <w:szCs w:val="20"/>
        </w:rPr>
        <w:tab/>
        <w:t>12</w:t>
      </w:r>
      <w:r w:rsidR="00B04111">
        <w:rPr>
          <w:rFonts w:ascii="Arial" w:hAnsi="Arial" w:cs="Arial"/>
          <w:sz w:val="20"/>
          <w:szCs w:val="20"/>
        </w:rPr>
        <w:t>4</w:t>
      </w:r>
    </w:p>
    <w:p w:rsidR="00444F33" w:rsidRDefault="00444F33" w:rsidP="00444F33">
      <w:pPr>
        <w:pStyle w:val="BasicParagraph"/>
        <w:tabs>
          <w:tab w:val="left" w:pos="567"/>
          <w:tab w:val="left" w:pos="1276"/>
          <w:tab w:val="right" w:leader="dot" w:pos="10065"/>
        </w:tabs>
        <w:rPr>
          <w:rFonts w:ascii="Arial" w:hAnsi="Arial" w:cs="Arial"/>
          <w:sz w:val="20"/>
          <w:szCs w:val="20"/>
        </w:rPr>
      </w:pPr>
    </w:p>
    <w:p w:rsidR="00444F33" w:rsidRPr="00444F33" w:rsidRDefault="00444F33" w:rsidP="00444F33">
      <w:pPr>
        <w:pStyle w:val="BasicParagraph"/>
        <w:tabs>
          <w:tab w:val="left" w:pos="567"/>
          <w:tab w:val="left" w:pos="1276"/>
          <w:tab w:val="right" w:leader="dot" w:pos="10065"/>
        </w:tabs>
        <w:rPr>
          <w:rFonts w:ascii="Arial" w:hAnsi="Arial" w:cs="Arial"/>
          <w:b/>
          <w:bCs/>
        </w:rPr>
      </w:pPr>
      <w:r w:rsidRPr="00444F33">
        <w:rPr>
          <w:rFonts w:ascii="Arial" w:hAnsi="Arial" w:cs="Arial"/>
          <w:b/>
          <w:bCs/>
        </w:rPr>
        <w:t>Section 4: Western region</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4.1</w:t>
      </w:r>
      <w:r w:rsidRPr="00444F33">
        <w:rPr>
          <w:rFonts w:ascii="Arial" w:hAnsi="Arial" w:cs="Arial"/>
          <w:sz w:val="20"/>
          <w:szCs w:val="20"/>
        </w:rPr>
        <w:tab/>
        <w:t>Western region overview</w:t>
      </w:r>
      <w:r w:rsidRPr="00444F33">
        <w:rPr>
          <w:rFonts w:ascii="Arial" w:hAnsi="Arial" w:cs="Arial"/>
          <w:sz w:val="20"/>
          <w:szCs w:val="20"/>
        </w:rPr>
        <w:tab/>
        <w:t>1</w:t>
      </w:r>
      <w:r w:rsidR="00631C22">
        <w:rPr>
          <w:rFonts w:ascii="Arial" w:hAnsi="Arial" w:cs="Arial"/>
          <w:sz w:val="20"/>
          <w:szCs w:val="20"/>
        </w:rPr>
        <w:t>29</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4.2</w:t>
      </w:r>
      <w:r w:rsidRPr="00444F33">
        <w:rPr>
          <w:rFonts w:ascii="Arial" w:hAnsi="Arial" w:cs="Arial"/>
          <w:sz w:val="20"/>
          <w:szCs w:val="20"/>
        </w:rPr>
        <w:tab/>
        <w:t>Glenelg system</w:t>
      </w:r>
      <w:r w:rsidRPr="00444F33">
        <w:rPr>
          <w:rFonts w:ascii="Arial" w:hAnsi="Arial" w:cs="Arial"/>
          <w:sz w:val="20"/>
          <w:szCs w:val="20"/>
        </w:rPr>
        <w:tab/>
        <w:t>1</w:t>
      </w:r>
      <w:r w:rsidR="00631C22">
        <w:rPr>
          <w:rFonts w:ascii="Arial" w:hAnsi="Arial" w:cs="Arial"/>
          <w:sz w:val="20"/>
          <w:szCs w:val="20"/>
        </w:rPr>
        <w:t>38</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4.3</w:t>
      </w:r>
      <w:r w:rsidRPr="00444F33">
        <w:rPr>
          <w:rFonts w:ascii="Arial" w:hAnsi="Arial" w:cs="Arial"/>
          <w:sz w:val="20"/>
          <w:szCs w:val="20"/>
        </w:rPr>
        <w:tab/>
        <w:t>Wimmera system</w:t>
      </w:r>
      <w:r w:rsidRPr="00444F33">
        <w:rPr>
          <w:rFonts w:ascii="Arial" w:hAnsi="Arial" w:cs="Arial"/>
          <w:sz w:val="20"/>
          <w:szCs w:val="20"/>
        </w:rPr>
        <w:tab/>
        <w:t>1</w:t>
      </w:r>
      <w:r w:rsidR="00631C22">
        <w:rPr>
          <w:rFonts w:ascii="Arial" w:hAnsi="Arial" w:cs="Arial"/>
          <w:sz w:val="20"/>
          <w:szCs w:val="20"/>
        </w:rPr>
        <w:t>46</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4.4</w:t>
      </w:r>
      <w:r w:rsidRPr="00444F33">
        <w:rPr>
          <w:rFonts w:ascii="Arial" w:hAnsi="Arial" w:cs="Arial"/>
          <w:sz w:val="20"/>
          <w:szCs w:val="20"/>
        </w:rPr>
        <w:tab/>
        <w:t>Wimmera-Mallee wetlands</w:t>
      </w:r>
      <w:r w:rsidRPr="00444F33">
        <w:rPr>
          <w:rFonts w:ascii="Arial" w:hAnsi="Arial" w:cs="Arial"/>
          <w:sz w:val="20"/>
          <w:szCs w:val="20"/>
        </w:rPr>
        <w:tab/>
        <w:t>16</w:t>
      </w:r>
      <w:r w:rsidR="00631C22">
        <w:rPr>
          <w:rFonts w:ascii="Arial" w:hAnsi="Arial" w:cs="Arial"/>
          <w:sz w:val="20"/>
          <w:szCs w:val="20"/>
        </w:rPr>
        <w:t>0</w:t>
      </w:r>
    </w:p>
    <w:p w:rsidR="00444F33" w:rsidRDefault="00444F33" w:rsidP="00444F33">
      <w:pPr>
        <w:pStyle w:val="BasicParagraph"/>
        <w:tabs>
          <w:tab w:val="left" w:pos="567"/>
          <w:tab w:val="left" w:pos="1276"/>
          <w:tab w:val="right" w:leader="dot" w:pos="10065"/>
        </w:tabs>
        <w:rPr>
          <w:rFonts w:ascii="Arial" w:hAnsi="Arial" w:cs="Arial"/>
          <w:sz w:val="20"/>
          <w:szCs w:val="20"/>
        </w:rPr>
      </w:pPr>
    </w:p>
    <w:p w:rsidR="00444F33" w:rsidRPr="00444F33" w:rsidRDefault="00444F33" w:rsidP="00444F33">
      <w:pPr>
        <w:pStyle w:val="BasicParagraph"/>
        <w:tabs>
          <w:tab w:val="left" w:pos="567"/>
          <w:tab w:val="left" w:pos="1276"/>
          <w:tab w:val="right" w:leader="dot" w:pos="10065"/>
        </w:tabs>
        <w:rPr>
          <w:rFonts w:ascii="Arial" w:hAnsi="Arial" w:cs="Arial"/>
          <w:b/>
          <w:bCs/>
        </w:rPr>
      </w:pPr>
      <w:r w:rsidRPr="00444F33">
        <w:rPr>
          <w:rFonts w:ascii="Arial" w:hAnsi="Arial" w:cs="Arial"/>
          <w:b/>
          <w:bCs/>
        </w:rPr>
        <w:t>Section 5: Northern region</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5.1</w:t>
      </w:r>
      <w:r w:rsidRPr="00444F33">
        <w:rPr>
          <w:rFonts w:ascii="Arial" w:hAnsi="Arial" w:cs="Arial"/>
          <w:sz w:val="20"/>
          <w:szCs w:val="20"/>
        </w:rPr>
        <w:tab/>
        <w:t>Northern region overview</w:t>
      </w:r>
      <w:r w:rsidRPr="00444F33">
        <w:rPr>
          <w:rFonts w:ascii="Arial" w:hAnsi="Arial" w:cs="Arial"/>
          <w:sz w:val="20"/>
          <w:szCs w:val="20"/>
        </w:rPr>
        <w:tab/>
        <w:t>1</w:t>
      </w:r>
      <w:r w:rsidR="00444640">
        <w:rPr>
          <w:rFonts w:ascii="Arial" w:hAnsi="Arial" w:cs="Arial"/>
          <w:sz w:val="20"/>
          <w:szCs w:val="20"/>
        </w:rPr>
        <w:t>6</w:t>
      </w:r>
      <w:r w:rsidRPr="00444F33">
        <w:rPr>
          <w:rFonts w:ascii="Arial" w:hAnsi="Arial" w:cs="Arial"/>
          <w:sz w:val="20"/>
          <w:szCs w:val="20"/>
        </w:rPr>
        <w:t>9</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5.2</w:t>
      </w:r>
      <w:r w:rsidRPr="00444F33">
        <w:rPr>
          <w:rFonts w:ascii="Arial" w:hAnsi="Arial" w:cs="Arial"/>
          <w:sz w:val="20"/>
          <w:szCs w:val="20"/>
        </w:rPr>
        <w:tab/>
        <w:t>Victorian Murray system</w:t>
      </w:r>
      <w:r w:rsidRPr="00444F33">
        <w:rPr>
          <w:rFonts w:ascii="Arial" w:hAnsi="Arial" w:cs="Arial"/>
          <w:sz w:val="20"/>
          <w:szCs w:val="20"/>
        </w:rPr>
        <w:tab/>
        <w:t>1</w:t>
      </w:r>
      <w:r w:rsidR="00444640">
        <w:rPr>
          <w:rFonts w:ascii="Arial" w:hAnsi="Arial" w:cs="Arial"/>
          <w:sz w:val="20"/>
          <w:szCs w:val="20"/>
        </w:rPr>
        <w:t>86</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5.3</w:t>
      </w:r>
      <w:r w:rsidRPr="00444F33">
        <w:rPr>
          <w:rFonts w:ascii="Arial" w:hAnsi="Arial" w:cs="Arial"/>
          <w:sz w:val="20"/>
          <w:szCs w:val="20"/>
        </w:rPr>
        <w:tab/>
        <w:t>Ovens system</w:t>
      </w:r>
      <w:r w:rsidRPr="00444F33">
        <w:rPr>
          <w:rFonts w:ascii="Arial" w:hAnsi="Arial" w:cs="Arial"/>
          <w:sz w:val="20"/>
          <w:szCs w:val="20"/>
        </w:rPr>
        <w:tab/>
        <w:t>2</w:t>
      </w:r>
      <w:r w:rsidR="00B74888">
        <w:rPr>
          <w:rFonts w:ascii="Arial" w:hAnsi="Arial" w:cs="Arial"/>
          <w:sz w:val="20"/>
          <w:szCs w:val="20"/>
        </w:rPr>
        <w:t>29</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5.4</w:t>
      </w:r>
      <w:r w:rsidRPr="00444F33">
        <w:rPr>
          <w:rFonts w:ascii="Arial" w:hAnsi="Arial" w:cs="Arial"/>
          <w:sz w:val="20"/>
          <w:szCs w:val="20"/>
        </w:rPr>
        <w:tab/>
        <w:t>Goulburn system</w:t>
      </w:r>
      <w:r w:rsidRPr="00444F33">
        <w:rPr>
          <w:rFonts w:ascii="Arial" w:hAnsi="Arial" w:cs="Arial"/>
          <w:sz w:val="20"/>
          <w:szCs w:val="20"/>
        </w:rPr>
        <w:tab/>
        <w:t>2</w:t>
      </w:r>
      <w:r w:rsidR="00B74888">
        <w:rPr>
          <w:rFonts w:ascii="Arial" w:hAnsi="Arial" w:cs="Arial"/>
          <w:sz w:val="20"/>
          <w:szCs w:val="20"/>
        </w:rPr>
        <w:t>34</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5.5</w:t>
      </w:r>
      <w:r w:rsidRPr="00444F33">
        <w:rPr>
          <w:rFonts w:ascii="Arial" w:hAnsi="Arial" w:cs="Arial"/>
          <w:sz w:val="20"/>
          <w:szCs w:val="20"/>
        </w:rPr>
        <w:tab/>
        <w:t>Broken system</w:t>
      </w:r>
      <w:r w:rsidRPr="00444F33">
        <w:rPr>
          <w:rFonts w:ascii="Arial" w:hAnsi="Arial" w:cs="Arial"/>
          <w:sz w:val="20"/>
          <w:szCs w:val="20"/>
        </w:rPr>
        <w:tab/>
        <w:t>2</w:t>
      </w:r>
      <w:r w:rsidR="00B74888">
        <w:rPr>
          <w:rFonts w:ascii="Arial" w:hAnsi="Arial" w:cs="Arial"/>
          <w:sz w:val="20"/>
          <w:szCs w:val="20"/>
        </w:rPr>
        <w:t>47</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5.6</w:t>
      </w:r>
      <w:r w:rsidRPr="00444F33">
        <w:rPr>
          <w:rFonts w:ascii="Arial" w:hAnsi="Arial" w:cs="Arial"/>
          <w:sz w:val="20"/>
          <w:szCs w:val="20"/>
        </w:rPr>
        <w:tab/>
        <w:t>Campaspe system</w:t>
      </w:r>
      <w:r w:rsidRPr="00444F33">
        <w:rPr>
          <w:rFonts w:ascii="Arial" w:hAnsi="Arial" w:cs="Arial"/>
          <w:sz w:val="20"/>
          <w:szCs w:val="20"/>
        </w:rPr>
        <w:tab/>
        <w:t>2</w:t>
      </w:r>
      <w:r w:rsidR="00B74888">
        <w:rPr>
          <w:rFonts w:ascii="Arial" w:hAnsi="Arial" w:cs="Arial"/>
          <w:sz w:val="20"/>
          <w:szCs w:val="20"/>
        </w:rPr>
        <w:t>59</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5.7</w:t>
      </w:r>
      <w:r w:rsidRPr="00444F33">
        <w:rPr>
          <w:rFonts w:ascii="Arial" w:hAnsi="Arial" w:cs="Arial"/>
          <w:sz w:val="20"/>
          <w:szCs w:val="20"/>
        </w:rPr>
        <w:tab/>
        <w:t>Loddon system</w:t>
      </w:r>
      <w:r w:rsidRPr="00444F33">
        <w:rPr>
          <w:rFonts w:ascii="Arial" w:hAnsi="Arial" w:cs="Arial"/>
          <w:sz w:val="20"/>
          <w:szCs w:val="20"/>
        </w:rPr>
        <w:tab/>
        <w:t>2</w:t>
      </w:r>
      <w:r w:rsidR="00B74888">
        <w:rPr>
          <w:rFonts w:ascii="Arial" w:hAnsi="Arial" w:cs="Arial"/>
          <w:sz w:val="20"/>
          <w:szCs w:val="20"/>
        </w:rPr>
        <w:t>70</w:t>
      </w:r>
    </w:p>
    <w:p w:rsidR="00444F33" w:rsidRDefault="00444F33" w:rsidP="00444F33">
      <w:pPr>
        <w:pStyle w:val="BasicParagraph"/>
        <w:tabs>
          <w:tab w:val="left" w:pos="567"/>
          <w:tab w:val="left" w:pos="1276"/>
          <w:tab w:val="right" w:leader="dot" w:pos="10065"/>
        </w:tabs>
        <w:rPr>
          <w:rFonts w:ascii="Arial" w:hAnsi="Arial" w:cs="Arial"/>
          <w:sz w:val="20"/>
          <w:szCs w:val="20"/>
        </w:rPr>
      </w:pPr>
    </w:p>
    <w:p w:rsidR="00444F33" w:rsidRPr="00444F33" w:rsidRDefault="00444F33" w:rsidP="00444F33">
      <w:pPr>
        <w:pStyle w:val="BasicParagraph"/>
        <w:tabs>
          <w:tab w:val="left" w:pos="567"/>
          <w:tab w:val="left" w:pos="1276"/>
          <w:tab w:val="right" w:leader="dot" w:pos="10065"/>
        </w:tabs>
        <w:rPr>
          <w:rFonts w:ascii="Arial" w:hAnsi="Arial" w:cs="Arial"/>
          <w:b/>
          <w:bCs/>
        </w:rPr>
      </w:pPr>
      <w:r w:rsidRPr="00444F33">
        <w:rPr>
          <w:rFonts w:ascii="Arial" w:hAnsi="Arial" w:cs="Arial"/>
          <w:b/>
          <w:bCs/>
        </w:rPr>
        <w:t>Section 6: Further information</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6.1</w:t>
      </w:r>
      <w:r w:rsidRPr="00444F33">
        <w:rPr>
          <w:rFonts w:ascii="Arial" w:hAnsi="Arial" w:cs="Arial"/>
          <w:sz w:val="20"/>
          <w:szCs w:val="20"/>
        </w:rPr>
        <w:tab/>
        <w:t>Acronyms and abbreviations</w:t>
      </w:r>
      <w:r w:rsidRPr="00444F33">
        <w:rPr>
          <w:rFonts w:ascii="Arial" w:hAnsi="Arial" w:cs="Arial"/>
          <w:sz w:val="20"/>
          <w:szCs w:val="20"/>
        </w:rPr>
        <w:tab/>
      </w:r>
      <w:r w:rsidR="00D41592">
        <w:rPr>
          <w:rFonts w:ascii="Arial" w:hAnsi="Arial" w:cs="Arial"/>
          <w:sz w:val="20"/>
          <w:szCs w:val="20"/>
        </w:rPr>
        <w:t>289</w:t>
      </w:r>
    </w:p>
    <w:p w:rsidR="00444F33" w:rsidRPr="00444F33" w:rsidRDefault="00444F33" w:rsidP="00444F33">
      <w:pPr>
        <w:pStyle w:val="BasicParagraph"/>
        <w:tabs>
          <w:tab w:val="left" w:pos="567"/>
          <w:tab w:val="left" w:pos="1276"/>
          <w:tab w:val="right" w:leader="dot" w:pos="10065"/>
        </w:tabs>
        <w:rPr>
          <w:rFonts w:ascii="Arial" w:hAnsi="Arial" w:cs="Arial"/>
          <w:sz w:val="20"/>
          <w:szCs w:val="20"/>
        </w:rPr>
      </w:pPr>
      <w:r w:rsidRPr="00444F33">
        <w:rPr>
          <w:rFonts w:ascii="Arial" w:hAnsi="Arial" w:cs="Arial"/>
          <w:sz w:val="20"/>
          <w:szCs w:val="20"/>
        </w:rPr>
        <w:t>6.2</w:t>
      </w:r>
      <w:r w:rsidRPr="00444F33">
        <w:rPr>
          <w:rFonts w:ascii="Arial" w:hAnsi="Arial" w:cs="Arial"/>
          <w:sz w:val="20"/>
          <w:szCs w:val="20"/>
        </w:rPr>
        <w:tab/>
        <w:t>Glossary</w:t>
      </w:r>
      <w:r w:rsidRPr="00444F33">
        <w:rPr>
          <w:rFonts w:ascii="Arial" w:hAnsi="Arial" w:cs="Arial"/>
          <w:sz w:val="20"/>
          <w:szCs w:val="20"/>
        </w:rPr>
        <w:tab/>
      </w:r>
      <w:r w:rsidR="00D41592">
        <w:rPr>
          <w:rFonts w:ascii="Arial" w:hAnsi="Arial" w:cs="Arial"/>
          <w:sz w:val="20"/>
          <w:szCs w:val="20"/>
        </w:rPr>
        <w:t>290</w:t>
      </w:r>
    </w:p>
    <w:p w:rsidR="00444F33" w:rsidRPr="00444F33" w:rsidRDefault="00444F33" w:rsidP="00444F33">
      <w:pPr>
        <w:tabs>
          <w:tab w:val="left" w:pos="567"/>
          <w:tab w:val="left" w:pos="1276"/>
          <w:tab w:val="right" w:leader="dot" w:pos="10065"/>
        </w:tabs>
        <w:rPr>
          <w:sz w:val="20"/>
          <w:szCs w:val="20"/>
        </w:rPr>
      </w:pPr>
      <w:r w:rsidRPr="00444F33">
        <w:rPr>
          <w:sz w:val="20"/>
          <w:szCs w:val="20"/>
        </w:rPr>
        <w:t>6.3</w:t>
      </w:r>
      <w:r w:rsidRPr="00444F33">
        <w:rPr>
          <w:sz w:val="20"/>
          <w:szCs w:val="20"/>
        </w:rPr>
        <w:tab/>
        <w:t>Contact details</w:t>
      </w:r>
      <w:r w:rsidRPr="00444F33">
        <w:rPr>
          <w:sz w:val="20"/>
          <w:szCs w:val="20"/>
        </w:rPr>
        <w:tab/>
      </w:r>
      <w:r w:rsidR="00D41592">
        <w:rPr>
          <w:sz w:val="20"/>
          <w:szCs w:val="20"/>
        </w:rPr>
        <w:t>295</w:t>
      </w:r>
    </w:p>
    <w:p w:rsidR="00444F33" w:rsidRDefault="00444F33">
      <w:pPr>
        <w:rPr>
          <w:rFonts w:eastAsiaTheme="minorHAnsi"/>
          <w:b/>
          <w:bCs/>
          <w:color w:val="000000"/>
          <w:sz w:val="42"/>
          <w:szCs w:val="42"/>
          <w:lang w:eastAsia="en-US" w:bidi="ar-SA"/>
        </w:rPr>
      </w:pPr>
      <w:r>
        <w:rPr>
          <w:sz w:val="42"/>
          <w:szCs w:val="42"/>
        </w:rPr>
        <w:br w:type="page"/>
      </w:r>
    </w:p>
    <w:p w:rsidR="00CC340C" w:rsidRDefault="00CC340C" w:rsidP="00CC340C">
      <w:pPr>
        <w:pStyle w:val="H3-IntroIntroduction"/>
        <w:rPr>
          <w:sz w:val="42"/>
          <w:szCs w:val="42"/>
        </w:rPr>
      </w:pPr>
      <w:r w:rsidRPr="00CC340C">
        <w:rPr>
          <w:sz w:val="42"/>
          <w:szCs w:val="42"/>
        </w:rPr>
        <w:t>Section 1 – Introduction</w:t>
      </w:r>
    </w:p>
    <w:p w:rsidR="00CC340C" w:rsidRPr="00CC340C" w:rsidRDefault="00CC340C" w:rsidP="00CC340C">
      <w:pPr>
        <w:pStyle w:val="H3-IntroIntroduction"/>
        <w:rPr>
          <w:sz w:val="42"/>
          <w:szCs w:val="42"/>
        </w:rPr>
      </w:pPr>
    </w:p>
    <w:p w:rsidR="00CC340C" w:rsidRDefault="00CC340C" w:rsidP="003D6D33">
      <w:pPr>
        <w:pStyle w:val="BodyText0"/>
        <w:tabs>
          <w:tab w:val="left" w:pos="567"/>
          <w:tab w:val="left" w:pos="1276"/>
          <w:tab w:val="right" w:leader="dot" w:pos="10065"/>
        </w:tabs>
      </w:pPr>
      <w:r>
        <w:t>1.1</w:t>
      </w:r>
      <w:r>
        <w:tab/>
        <w:t>The Victorian environmental watering program</w:t>
      </w:r>
      <w:r>
        <w:tab/>
      </w:r>
      <w:r w:rsidR="006C1B2E">
        <w:t>6</w:t>
      </w:r>
    </w:p>
    <w:p w:rsidR="00CC340C" w:rsidRDefault="003D6D33" w:rsidP="003D6D33">
      <w:pPr>
        <w:pStyle w:val="BodyText0"/>
        <w:tabs>
          <w:tab w:val="left" w:pos="567"/>
          <w:tab w:val="left" w:pos="1276"/>
          <w:tab w:val="left" w:pos="1418"/>
          <w:tab w:val="right" w:leader="dot" w:pos="10065"/>
        </w:tabs>
      </w:pPr>
      <w:r>
        <w:tab/>
      </w:r>
      <w:r w:rsidR="00CC340C">
        <w:t>1.1.1</w:t>
      </w:r>
      <w:r w:rsidR="00CC340C">
        <w:tab/>
        <w:t>Why do we need an environmental watering program?</w:t>
      </w:r>
      <w:r w:rsidR="00CC340C">
        <w:tab/>
      </w:r>
      <w:r w:rsidR="006C1B2E">
        <w:t>6</w:t>
      </w:r>
    </w:p>
    <w:p w:rsidR="00CC340C" w:rsidRDefault="003D6D33" w:rsidP="003D6D33">
      <w:pPr>
        <w:pStyle w:val="BodyText0"/>
        <w:tabs>
          <w:tab w:val="left" w:pos="567"/>
          <w:tab w:val="left" w:pos="1276"/>
          <w:tab w:val="left" w:pos="1418"/>
          <w:tab w:val="right" w:leader="dot" w:pos="10065"/>
        </w:tabs>
      </w:pPr>
      <w:r>
        <w:tab/>
      </w:r>
      <w:r w:rsidR="00CC340C">
        <w:t>1.1.2</w:t>
      </w:r>
      <w:r w:rsidR="00CC340C">
        <w:tab/>
        <w:t>What do we mean by ‘water for the environment’?</w:t>
      </w:r>
      <w:r w:rsidR="00CC340C">
        <w:tab/>
      </w:r>
      <w:r w:rsidR="006C1B2E">
        <w:t>7</w:t>
      </w:r>
    </w:p>
    <w:p w:rsidR="00CC340C" w:rsidRDefault="003D6D33" w:rsidP="003D6D33">
      <w:pPr>
        <w:pStyle w:val="BodyText0"/>
        <w:tabs>
          <w:tab w:val="left" w:pos="567"/>
          <w:tab w:val="left" w:pos="1276"/>
          <w:tab w:val="left" w:pos="1418"/>
          <w:tab w:val="right" w:leader="dot" w:pos="10065"/>
        </w:tabs>
      </w:pPr>
      <w:r>
        <w:tab/>
      </w:r>
      <w:r w:rsidR="00CC340C">
        <w:t>1.1.3</w:t>
      </w:r>
      <w:r w:rsidR="00CC340C">
        <w:tab/>
        <w:t>What do we aim to achieve with water for the environment?</w:t>
      </w:r>
      <w:r w:rsidR="00CC340C">
        <w:tab/>
      </w:r>
      <w:r w:rsidR="006C1B2E">
        <w:t>7</w:t>
      </w:r>
    </w:p>
    <w:p w:rsidR="00CC340C" w:rsidRDefault="003D6D33" w:rsidP="003D6D33">
      <w:pPr>
        <w:pStyle w:val="BodyText0"/>
        <w:tabs>
          <w:tab w:val="left" w:pos="567"/>
          <w:tab w:val="left" w:pos="1276"/>
          <w:tab w:val="left" w:pos="1418"/>
          <w:tab w:val="right" w:leader="dot" w:pos="10065"/>
        </w:tabs>
      </w:pPr>
      <w:r>
        <w:tab/>
      </w:r>
      <w:r w:rsidR="00CC340C">
        <w:t>1.1.4</w:t>
      </w:r>
      <w:r w:rsidR="00CC340C">
        <w:tab/>
        <w:t>What is the Victorian environmental watering program, and who is involved?</w:t>
      </w:r>
      <w:r w:rsidR="00CC340C">
        <w:tab/>
      </w:r>
      <w:r w:rsidR="006C1B2E">
        <w:t>8</w:t>
      </w:r>
    </w:p>
    <w:p w:rsidR="00CC340C" w:rsidRDefault="003D6D33" w:rsidP="003D6D33">
      <w:pPr>
        <w:pStyle w:val="BodyText0"/>
        <w:tabs>
          <w:tab w:val="left" w:pos="567"/>
          <w:tab w:val="left" w:pos="1276"/>
          <w:tab w:val="left" w:pos="1418"/>
          <w:tab w:val="right" w:leader="dot" w:pos="10065"/>
        </w:tabs>
      </w:pPr>
      <w:r>
        <w:tab/>
      </w:r>
      <w:r w:rsidR="00CC340C">
        <w:t>1.1.5</w:t>
      </w:r>
      <w:r w:rsidR="00CC340C">
        <w:tab/>
        <w:t>What is the role of the Victorian Environmental Water Holder?</w:t>
      </w:r>
      <w:r w:rsidR="00CC340C">
        <w:tab/>
      </w:r>
      <w:r w:rsidR="006C1B2E">
        <w:t>9</w:t>
      </w:r>
    </w:p>
    <w:p w:rsidR="00CC340C" w:rsidRDefault="003D6D33" w:rsidP="003D6D33">
      <w:pPr>
        <w:pStyle w:val="BodyText0"/>
        <w:tabs>
          <w:tab w:val="left" w:pos="567"/>
          <w:tab w:val="left" w:pos="1276"/>
          <w:tab w:val="right" w:leader="dot" w:pos="10065"/>
        </w:tabs>
        <w:ind w:left="1276" w:hanging="1276"/>
      </w:pPr>
      <w:r>
        <w:tab/>
      </w:r>
      <w:r w:rsidR="00CC340C">
        <w:t>1.1.6</w:t>
      </w:r>
      <w:r w:rsidR="00CC340C">
        <w:tab/>
        <w:t xml:space="preserve">How does the Victorian environmental watering program fit within broader integrated </w:t>
      </w:r>
      <w:r>
        <w:br/>
      </w:r>
      <w:r w:rsidR="00CC340C">
        <w:t>catchment and waterway management?</w:t>
      </w:r>
      <w:r w:rsidR="00CC340C">
        <w:tab/>
      </w:r>
      <w:r w:rsidR="006C1B2E">
        <w:t>10</w:t>
      </w:r>
    </w:p>
    <w:p w:rsidR="00CC340C" w:rsidRDefault="003D6D33" w:rsidP="003D6D33">
      <w:pPr>
        <w:pStyle w:val="BodyText0"/>
        <w:tabs>
          <w:tab w:val="left" w:pos="567"/>
          <w:tab w:val="left" w:pos="1276"/>
          <w:tab w:val="left" w:pos="1418"/>
          <w:tab w:val="right" w:leader="dot" w:pos="10065"/>
        </w:tabs>
      </w:pPr>
      <w:r>
        <w:tab/>
      </w:r>
      <w:r w:rsidR="00CC340C">
        <w:t>1.1.7</w:t>
      </w:r>
      <w:r w:rsidR="00CC340C">
        <w:tab/>
        <w:t>How does the environmental watering program consider climate change?</w:t>
      </w:r>
      <w:r w:rsidR="00CC340C">
        <w:tab/>
        <w:t>1</w:t>
      </w:r>
      <w:r w:rsidR="006C1B2E">
        <w:t>2</w:t>
      </w:r>
    </w:p>
    <w:p w:rsidR="00CC340C" w:rsidRDefault="003D6D33" w:rsidP="003D6D33">
      <w:pPr>
        <w:pStyle w:val="BodyText0"/>
        <w:tabs>
          <w:tab w:val="left" w:pos="567"/>
          <w:tab w:val="left" w:pos="1276"/>
          <w:tab w:val="left" w:pos="1418"/>
          <w:tab w:val="right" w:leader="dot" w:pos="10065"/>
        </w:tabs>
      </w:pPr>
      <w:r>
        <w:tab/>
      </w:r>
      <w:r w:rsidR="00CC340C">
        <w:t>1.1.8</w:t>
      </w:r>
      <w:r w:rsidR="00CC340C">
        <w:tab/>
        <w:t>How do we know the environmental watering program is successful?</w:t>
      </w:r>
      <w:r w:rsidR="00CC340C">
        <w:tab/>
        <w:t>1</w:t>
      </w:r>
      <w:r w:rsidR="006C1B2E">
        <w:t>4</w:t>
      </w:r>
    </w:p>
    <w:p w:rsidR="00CC340C" w:rsidRDefault="003D6D33" w:rsidP="003D6D33">
      <w:pPr>
        <w:pStyle w:val="BodyText0"/>
        <w:tabs>
          <w:tab w:val="left" w:pos="567"/>
          <w:tab w:val="left" w:pos="1276"/>
          <w:tab w:val="left" w:pos="1418"/>
          <w:tab w:val="right" w:leader="dot" w:pos="10065"/>
        </w:tabs>
      </w:pPr>
      <w:r>
        <w:tab/>
      </w:r>
      <w:r w:rsidR="00CC340C">
        <w:t>1.1.9</w:t>
      </w:r>
      <w:r w:rsidR="00CC340C">
        <w:tab/>
        <w:t>Where can I find more information about the Victorian environmental watering program?</w:t>
      </w:r>
      <w:r w:rsidR="00CC340C">
        <w:tab/>
        <w:t>1</w:t>
      </w:r>
      <w:r w:rsidR="006C1B2E">
        <w:t>6</w:t>
      </w:r>
    </w:p>
    <w:p w:rsidR="00CC340C" w:rsidRDefault="00CC340C" w:rsidP="003D6D33">
      <w:pPr>
        <w:pStyle w:val="BodyText0"/>
        <w:tabs>
          <w:tab w:val="left" w:pos="567"/>
          <w:tab w:val="left" w:pos="1276"/>
          <w:tab w:val="right" w:leader="dot" w:pos="10065"/>
        </w:tabs>
      </w:pPr>
      <w:r>
        <w:t>1.2</w:t>
      </w:r>
      <w:r>
        <w:tab/>
        <w:t>The seasonal watering plan</w:t>
      </w:r>
      <w:r>
        <w:tab/>
        <w:t>1</w:t>
      </w:r>
      <w:r w:rsidR="006C1B2E">
        <w:t>7</w:t>
      </w:r>
    </w:p>
    <w:p w:rsidR="00CC340C" w:rsidRDefault="003D6D33" w:rsidP="003D6D33">
      <w:pPr>
        <w:pStyle w:val="BodyText0"/>
        <w:tabs>
          <w:tab w:val="left" w:pos="567"/>
          <w:tab w:val="left" w:pos="1276"/>
          <w:tab w:val="right" w:leader="dot" w:pos="10065"/>
        </w:tabs>
      </w:pPr>
      <w:r>
        <w:tab/>
      </w:r>
      <w:r w:rsidR="00CC340C">
        <w:t>1.2.1</w:t>
      </w:r>
      <w:r w:rsidR="00CC340C">
        <w:tab/>
        <w:t>What does ‘seasonal’ mean?</w:t>
      </w:r>
      <w:r w:rsidR="00CC340C">
        <w:tab/>
        <w:t>1</w:t>
      </w:r>
      <w:r w:rsidR="006C1B2E">
        <w:t>7</w:t>
      </w:r>
    </w:p>
    <w:p w:rsidR="00CC340C" w:rsidRDefault="003D6D33" w:rsidP="003D6D33">
      <w:pPr>
        <w:pStyle w:val="BodyText0"/>
        <w:tabs>
          <w:tab w:val="left" w:pos="567"/>
          <w:tab w:val="left" w:pos="1276"/>
          <w:tab w:val="right" w:leader="dot" w:pos="10065"/>
        </w:tabs>
      </w:pPr>
      <w:r>
        <w:tab/>
      </w:r>
      <w:r w:rsidR="00CC340C">
        <w:t>1.2.2</w:t>
      </w:r>
      <w:r w:rsidR="00CC340C">
        <w:tab/>
        <w:t>How does the seasonal watering plan fit into the environmental flows planning process?</w:t>
      </w:r>
      <w:r w:rsidR="00CC340C">
        <w:tab/>
        <w:t>1</w:t>
      </w:r>
      <w:r w:rsidR="006C1B2E">
        <w:t>7</w:t>
      </w:r>
    </w:p>
    <w:p w:rsidR="00CC340C" w:rsidRDefault="003D6D33" w:rsidP="003D6D33">
      <w:pPr>
        <w:pStyle w:val="BodyText0"/>
        <w:tabs>
          <w:tab w:val="left" w:pos="567"/>
          <w:tab w:val="left" w:pos="1276"/>
          <w:tab w:val="right" w:leader="dot" w:pos="10065"/>
        </w:tabs>
      </w:pPr>
      <w:r>
        <w:tab/>
      </w:r>
      <w:r w:rsidR="00CC340C">
        <w:t>1.2.3</w:t>
      </w:r>
      <w:r w:rsidR="00CC340C">
        <w:tab/>
        <w:t>Who contributes to the seasonal watering plan?</w:t>
      </w:r>
      <w:r w:rsidR="00CC340C">
        <w:tab/>
        <w:t>1</w:t>
      </w:r>
      <w:r w:rsidR="006C1B2E">
        <w:t>9</w:t>
      </w:r>
    </w:p>
    <w:p w:rsidR="00CC340C" w:rsidRDefault="003D6D33" w:rsidP="003D6D33">
      <w:pPr>
        <w:pStyle w:val="BodyText0"/>
        <w:tabs>
          <w:tab w:val="left" w:pos="567"/>
          <w:tab w:val="left" w:pos="1276"/>
          <w:tab w:val="right" w:leader="dot" w:pos="10065"/>
        </w:tabs>
      </w:pPr>
      <w:r>
        <w:tab/>
      </w:r>
      <w:r w:rsidR="00CC340C">
        <w:t>1.2.4</w:t>
      </w:r>
      <w:r w:rsidR="00CC340C">
        <w:tab/>
        <w:t>Can the seasonal watering plan be changed?</w:t>
      </w:r>
      <w:r w:rsidR="00CC340C">
        <w:tab/>
        <w:t>1</w:t>
      </w:r>
      <w:r w:rsidR="006C1B2E">
        <w:t>9</w:t>
      </w:r>
    </w:p>
    <w:p w:rsidR="00CC340C" w:rsidRDefault="003D6D33" w:rsidP="003D6D33">
      <w:pPr>
        <w:pStyle w:val="BodyText0"/>
        <w:tabs>
          <w:tab w:val="left" w:pos="567"/>
          <w:tab w:val="left" w:pos="1276"/>
          <w:tab w:val="right" w:leader="dot" w:pos="10065"/>
        </w:tabs>
      </w:pPr>
      <w:r>
        <w:tab/>
      </w:r>
      <w:r w:rsidR="00CC340C">
        <w:t>1.2.5</w:t>
      </w:r>
      <w:r w:rsidR="00CC340C">
        <w:tab/>
        <w:t>When isn’t a formal variation required to the seasonal watering plan?</w:t>
      </w:r>
      <w:r w:rsidR="00CC340C">
        <w:tab/>
        <w:t>1</w:t>
      </w:r>
      <w:r w:rsidR="006C1B2E">
        <w:t>9</w:t>
      </w:r>
    </w:p>
    <w:p w:rsidR="00CC340C" w:rsidRDefault="00CC340C" w:rsidP="003D6D33">
      <w:pPr>
        <w:pStyle w:val="BodyText0"/>
        <w:tabs>
          <w:tab w:val="left" w:pos="567"/>
          <w:tab w:val="left" w:pos="1276"/>
          <w:tab w:val="right" w:leader="dot" w:pos="10065"/>
        </w:tabs>
      </w:pPr>
      <w:r>
        <w:t>1.3</w:t>
      </w:r>
      <w:r>
        <w:tab/>
        <w:t>Implementing the seasonal watering plan</w:t>
      </w:r>
      <w:r>
        <w:tab/>
        <w:t>2</w:t>
      </w:r>
      <w:r w:rsidR="006C1B2E">
        <w:t>1</w:t>
      </w:r>
    </w:p>
    <w:p w:rsidR="00CC340C" w:rsidRDefault="003D6D33" w:rsidP="003D6D33">
      <w:pPr>
        <w:pStyle w:val="BodyText0"/>
        <w:tabs>
          <w:tab w:val="left" w:pos="567"/>
          <w:tab w:val="left" w:pos="1276"/>
          <w:tab w:val="right" w:leader="dot" w:pos="10065"/>
        </w:tabs>
      </w:pPr>
      <w:r>
        <w:tab/>
      </w:r>
      <w:r w:rsidR="00CC340C">
        <w:t>1.3.1</w:t>
      </w:r>
      <w:r w:rsidR="00CC340C">
        <w:tab/>
        <w:t>How are watering decisions made throughout the year?</w:t>
      </w:r>
      <w:r w:rsidR="00CC340C">
        <w:tab/>
        <w:t>2</w:t>
      </w:r>
      <w:r w:rsidR="006C1B2E">
        <w:t>2</w:t>
      </w:r>
    </w:p>
    <w:p w:rsidR="00CC340C" w:rsidRDefault="003D6D33" w:rsidP="003D6D33">
      <w:pPr>
        <w:pStyle w:val="BodyText0"/>
        <w:tabs>
          <w:tab w:val="left" w:pos="567"/>
          <w:tab w:val="left" w:pos="1276"/>
          <w:tab w:val="right" w:leader="dot" w:pos="10065"/>
        </w:tabs>
        <w:ind w:left="1276" w:hanging="1276"/>
      </w:pPr>
      <w:r>
        <w:tab/>
      </w:r>
      <w:r w:rsidR="00CC340C">
        <w:t>1.3.2</w:t>
      </w:r>
      <w:r w:rsidR="00CC340C">
        <w:tab/>
        <w:t xml:space="preserve">When does the Victorian Environmental Water Holder commit and authorise the use of water </w:t>
      </w:r>
      <w:r>
        <w:br/>
      </w:r>
      <w:r w:rsidR="00CC340C">
        <w:t>for the environment?</w:t>
      </w:r>
      <w:r w:rsidR="00CC340C">
        <w:tab/>
        <w:t>2</w:t>
      </w:r>
      <w:r w:rsidR="006C1B2E">
        <w:t>2</w:t>
      </w:r>
    </w:p>
    <w:p w:rsidR="00CC340C" w:rsidRDefault="003D6D33" w:rsidP="003D6D33">
      <w:pPr>
        <w:pStyle w:val="BodyText0"/>
        <w:tabs>
          <w:tab w:val="left" w:pos="567"/>
          <w:tab w:val="left" w:pos="1276"/>
          <w:tab w:val="right" w:leader="dot" w:pos="10065"/>
        </w:tabs>
        <w:ind w:left="1276" w:hanging="1276"/>
      </w:pPr>
      <w:r>
        <w:tab/>
      </w:r>
      <w:r w:rsidR="00CC340C">
        <w:t>1.3.3</w:t>
      </w:r>
      <w:r w:rsidR="00CC340C">
        <w:tab/>
        <w:t xml:space="preserve">How does the Victorian Environmental Water Holder prioritise different watering actions </w:t>
      </w:r>
      <w:r>
        <w:br/>
      </w:r>
      <w:r w:rsidR="00CC340C">
        <w:t>when there is not enough water for the environment available?</w:t>
      </w:r>
      <w:r w:rsidR="00CC340C">
        <w:tab/>
        <w:t>2</w:t>
      </w:r>
      <w:r w:rsidR="006C1B2E">
        <w:t>3</w:t>
      </w:r>
    </w:p>
    <w:p w:rsidR="00CC340C" w:rsidRDefault="003D6D33" w:rsidP="003D6D33">
      <w:pPr>
        <w:pStyle w:val="BodyText0"/>
        <w:tabs>
          <w:tab w:val="left" w:pos="567"/>
          <w:tab w:val="left" w:pos="1276"/>
          <w:tab w:val="right" w:leader="dot" w:pos="10065"/>
        </w:tabs>
      </w:pPr>
      <w:r>
        <w:tab/>
      </w:r>
      <w:r w:rsidR="00CC340C">
        <w:t>1.3.4</w:t>
      </w:r>
      <w:r w:rsidR="00CC340C">
        <w:tab/>
        <w:t>Do seasonal conditions affect how water for the environment is used?</w:t>
      </w:r>
      <w:r w:rsidR="00CC340C">
        <w:tab/>
        <w:t>2</w:t>
      </w:r>
      <w:r w:rsidR="006C1B2E">
        <w:t>6</w:t>
      </w:r>
    </w:p>
    <w:p w:rsidR="00CC340C" w:rsidRDefault="003D6D33" w:rsidP="003D6D33">
      <w:pPr>
        <w:pStyle w:val="BodyText0"/>
        <w:tabs>
          <w:tab w:val="left" w:pos="567"/>
          <w:tab w:val="left" w:pos="1276"/>
          <w:tab w:val="right" w:leader="dot" w:pos="10065"/>
        </w:tabs>
        <w:ind w:left="1276" w:hanging="1276"/>
      </w:pPr>
      <w:r>
        <w:tab/>
      </w:r>
      <w:r w:rsidR="00CC340C">
        <w:t>1.3.5</w:t>
      </w:r>
      <w:r w:rsidR="00CC340C">
        <w:tab/>
        <w:t xml:space="preserve">How are shared cultural, economic, recreational, social and Traditional Owner benefits </w:t>
      </w:r>
      <w:r>
        <w:br/>
      </w:r>
      <w:r w:rsidR="00CC340C">
        <w:t>considered in environmental watering decisions?</w:t>
      </w:r>
      <w:r w:rsidR="00CC340C">
        <w:tab/>
        <w:t>2</w:t>
      </w:r>
      <w:r w:rsidR="006C1B2E">
        <w:t>8</w:t>
      </w:r>
    </w:p>
    <w:p w:rsidR="00CC340C" w:rsidRDefault="003D6D33" w:rsidP="003D6D33">
      <w:pPr>
        <w:pStyle w:val="BodyText0"/>
        <w:tabs>
          <w:tab w:val="left" w:pos="567"/>
          <w:tab w:val="left" w:pos="1276"/>
          <w:tab w:val="right" w:leader="dot" w:pos="10065"/>
        </w:tabs>
      </w:pPr>
      <w:r>
        <w:tab/>
      </w:r>
      <w:r w:rsidR="00CC340C">
        <w:t>1.3.6</w:t>
      </w:r>
      <w:r w:rsidR="00CC340C">
        <w:tab/>
        <w:t>How are risks managed?</w:t>
      </w:r>
      <w:r w:rsidR="00CC340C">
        <w:tab/>
        <w:t>2</w:t>
      </w:r>
      <w:r w:rsidR="006C1B2E">
        <w:t>9</w:t>
      </w:r>
    </w:p>
    <w:p w:rsidR="00CC340C" w:rsidRDefault="003D6D33" w:rsidP="003D6D33">
      <w:pPr>
        <w:pStyle w:val="BodyText0"/>
        <w:tabs>
          <w:tab w:val="left" w:pos="567"/>
          <w:tab w:val="left" w:pos="1276"/>
          <w:tab w:val="right" w:leader="dot" w:pos="10065"/>
        </w:tabs>
      </w:pPr>
      <w:r>
        <w:tab/>
      </w:r>
      <w:r w:rsidR="00CC340C">
        <w:t>1.3.7</w:t>
      </w:r>
      <w:r w:rsidR="00CC340C">
        <w:tab/>
        <w:t>How are environmental watering emergencies managed?</w:t>
      </w:r>
      <w:r w:rsidR="00CC340C">
        <w:tab/>
      </w:r>
      <w:r w:rsidR="006C1B2E">
        <w:t>30</w:t>
      </w:r>
    </w:p>
    <w:p w:rsidR="00CC340C" w:rsidRDefault="00CC340C" w:rsidP="003D6D33">
      <w:pPr>
        <w:pStyle w:val="BodyText0"/>
        <w:tabs>
          <w:tab w:val="left" w:pos="567"/>
          <w:tab w:val="left" w:pos="1276"/>
          <w:tab w:val="right" w:leader="dot" w:pos="10065"/>
        </w:tabs>
      </w:pPr>
      <w:r>
        <w:t>1.4</w:t>
      </w:r>
      <w:r>
        <w:tab/>
        <w:t>Managing available water for the environment</w:t>
      </w:r>
      <w:r>
        <w:tab/>
      </w:r>
      <w:r w:rsidR="003D6D33">
        <w:t>3</w:t>
      </w:r>
      <w:r w:rsidR="006C1B2E">
        <w:t>2</w:t>
      </w:r>
    </w:p>
    <w:p w:rsidR="00CC340C" w:rsidRDefault="003D6D33" w:rsidP="003D6D33">
      <w:pPr>
        <w:pStyle w:val="BodyText0"/>
        <w:tabs>
          <w:tab w:val="left" w:pos="567"/>
          <w:tab w:val="left" w:pos="1276"/>
          <w:tab w:val="right" w:leader="dot" w:pos="10065"/>
        </w:tabs>
      </w:pPr>
      <w:r>
        <w:tab/>
      </w:r>
      <w:r w:rsidR="00CC340C">
        <w:t>1.4.1</w:t>
      </w:r>
      <w:r w:rsidR="00CC340C">
        <w:tab/>
        <w:t>How much water is available to use as part of the Victorian environmental watering program?</w:t>
      </w:r>
      <w:r w:rsidR="00CC340C">
        <w:tab/>
      </w:r>
      <w:r>
        <w:t>3</w:t>
      </w:r>
      <w:r w:rsidR="006C1B2E">
        <w:t>2</w:t>
      </w:r>
    </w:p>
    <w:p w:rsidR="00CC340C" w:rsidRDefault="003D6D33" w:rsidP="003D6D33">
      <w:pPr>
        <w:pStyle w:val="BodyText0"/>
        <w:tabs>
          <w:tab w:val="left" w:pos="567"/>
          <w:tab w:val="left" w:pos="1276"/>
          <w:tab w:val="right" w:leader="dot" w:pos="10065"/>
        </w:tabs>
      </w:pPr>
      <w:r>
        <w:tab/>
      </w:r>
      <w:r w:rsidR="00CC340C">
        <w:t>1.4.2</w:t>
      </w:r>
      <w:r w:rsidR="00CC340C">
        <w:tab/>
        <w:t>What options are available to effectively and efficiently manage water for the environment?</w:t>
      </w:r>
      <w:r w:rsidR="00CC340C">
        <w:tab/>
        <w:t>3</w:t>
      </w:r>
      <w:r w:rsidR="006C1B2E">
        <w:t>6</w:t>
      </w:r>
    </w:p>
    <w:p w:rsidR="00CC340C" w:rsidRDefault="00CC340C" w:rsidP="003D6D33">
      <w:pPr>
        <w:pStyle w:val="BodyText0"/>
        <w:tabs>
          <w:tab w:val="left" w:pos="567"/>
          <w:tab w:val="left" w:pos="1276"/>
          <w:tab w:val="right" w:leader="dot" w:pos="10065"/>
        </w:tabs>
      </w:pPr>
      <w:r>
        <w:t>1.5</w:t>
      </w:r>
      <w:r>
        <w:tab/>
        <w:t>How to read the seasonal watering plan</w:t>
      </w:r>
      <w:r w:rsidR="003D6D33">
        <w:tab/>
        <w:t>3</w:t>
      </w:r>
      <w:r w:rsidR="006C1B2E">
        <w:t>9</w:t>
      </w:r>
    </w:p>
    <w:p w:rsidR="00CC340C" w:rsidRDefault="00CC340C">
      <w:r>
        <w:br w:type="page"/>
      </w:r>
    </w:p>
    <w:p w:rsidR="006A7A3F" w:rsidRDefault="00BC7372" w:rsidP="009B6917">
      <w:pPr>
        <w:pStyle w:val="Heading1"/>
        <w:numPr>
          <w:ilvl w:val="1"/>
          <w:numId w:val="1421"/>
        </w:numPr>
        <w:tabs>
          <w:tab w:val="left" w:pos="904"/>
        </w:tabs>
        <w:spacing w:before="64"/>
        <w:ind w:hanging="694"/>
      </w:pPr>
      <w:r>
        <w:rPr>
          <w:color w:val="231F20"/>
        </w:rPr>
        <w:t>The Victorian environmental watering</w:t>
      </w:r>
      <w:r>
        <w:rPr>
          <w:color w:val="231F20"/>
          <w:spacing w:val="-15"/>
        </w:rPr>
        <w:t xml:space="preserve"> </w:t>
      </w:r>
      <w:r>
        <w:rPr>
          <w:color w:val="231F20"/>
        </w:rPr>
        <w:t>program</w:t>
      </w:r>
    </w:p>
    <w:p w:rsidR="006A7A3F" w:rsidRDefault="00BC7372">
      <w:pPr>
        <w:pStyle w:val="Heading2"/>
        <w:spacing w:line="249" w:lineRule="auto"/>
        <w:ind w:right="100"/>
      </w:pPr>
      <w:r>
        <w:rPr>
          <w:color w:val="231F20"/>
        </w:rPr>
        <w:t>The Victorian environmental watering program is the ongoing, collaborative management of water for the environment used to improve the health of Victoria’s rivers and wetlands and of the native plants and animals that depend on them.</w:t>
      </w:r>
    </w:p>
    <w:p w:rsidR="006A7A3F" w:rsidRDefault="00BC7372">
      <w:pPr>
        <w:spacing w:before="175" w:line="249" w:lineRule="auto"/>
        <w:ind w:left="210" w:right="457"/>
        <w:rPr>
          <w:sz w:val="30"/>
        </w:rPr>
      </w:pPr>
      <w:r>
        <w:rPr>
          <w:color w:val="231F20"/>
          <w:sz w:val="30"/>
        </w:rPr>
        <w:t>This seasonal watering plan previews all the potential watering actions that may be delivered across Victoria in 2020–21.</w:t>
      </w:r>
    </w:p>
    <w:p w:rsidR="006A7A3F" w:rsidRDefault="00BC7372">
      <w:pPr>
        <w:pStyle w:val="Heading4"/>
        <w:spacing w:before="206"/>
      </w:pPr>
      <w:r>
        <w:rPr>
          <w:color w:val="231F20"/>
        </w:rPr>
        <w:t>In this section …</w:t>
      </w:r>
    </w:p>
    <w:p w:rsidR="006A7A3F" w:rsidRDefault="00BC7372" w:rsidP="009B6917">
      <w:pPr>
        <w:pStyle w:val="Heading7"/>
        <w:numPr>
          <w:ilvl w:val="2"/>
          <w:numId w:val="1421"/>
        </w:numPr>
        <w:tabs>
          <w:tab w:val="left" w:pos="930"/>
          <w:tab w:val="left" w:pos="931"/>
        </w:tabs>
        <w:spacing w:before="58"/>
        <w:ind w:hanging="721"/>
      </w:pPr>
      <w:r>
        <w:rPr>
          <w:color w:val="231F20"/>
        </w:rPr>
        <w:t>Why do we need an environmental watering</w:t>
      </w:r>
      <w:r>
        <w:rPr>
          <w:color w:val="231F20"/>
          <w:spacing w:val="-4"/>
        </w:rPr>
        <w:t xml:space="preserve"> </w:t>
      </w:r>
      <w:r>
        <w:rPr>
          <w:color w:val="231F20"/>
        </w:rPr>
        <w:t>program?</w:t>
      </w:r>
    </w:p>
    <w:p w:rsidR="006A7A3F" w:rsidRDefault="00BC7372" w:rsidP="009B6917">
      <w:pPr>
        <w:pStyle w:val="ListParagraph"/>
        <w:numPr>
          <w:ilvl w:val="2"/>
          <w:numId w:val="1421"/>
        </w:numPr>
        <w:tabs>
          <w:tab w:val="left" w:pos="930"/>
          <w:tab w:val="left" w:pos="931"/>
        </w:tabs>
        <w:spacing w:before="52"/>
        <w:ind w:hanging="721"/>
        <w:rPr>
          <w:b/>
          <w:sz w:val="20"/>
        </w:rPr>
      </w:pPr>
      <w:r>
        <w:rPr>
          <w:b/>
          <w:color w:val="231F20"/>
          <w:sz w:val="20"/>
        </w:rPr>
        <w:t>What do we mean by ‘water for the</w:t>
      </w:r>
      <w:r>
        <w:rPr>
          <w:b/>
          <w:color w:val="231F20"/>
          <w:spacing w:val="-3"/>
          <w:sz w:val="20"/>
        </w:rPr>
        <w:t xml:space="preserve"> </w:t>
      </w:r>
      <w:r>
        <w:rPr>
          <w:b/>
          <w:color w:val="231F20"/>
          <w:sz w:val="20"/>
        </w:rPr>
        <w:t>environment’?</w:t>
      </w:r>
    </w:p>
    <w:p w:rsidR="006A7A3F" w:rsidRDefault="00BC7372" w:rsidP="009B6917">
      <w:pPr>
        <w:pStyle w:val="ListParagraph"/>
        <w:numPr>
          <w:ilvl w:val="2"/>
          <w:numId w:val="1421"/>
        </w:numPr>
        <w:tabs>
          <w:tab w:val="left" w:pos="930"/>
          <w:tab w:val="left" w:pos="931"/>
        </w:tabs>
        <w:spacing w:before="53"/>
        <w:ind w:hanging="721"/>
        <w:rPr>
          <w:b/>
          <w:sz w:val="20"/>
        </w:rPr>
      </w:pPr>
      <w:r>
        <w:rPr>
          <w:b/>
          <w:color w:val="231F20"/>
          <w:sz w:val="20"/>
        </w:rPr>
        <w:t>What do we aim to achieve with water for the</w:t>
      </w:r>
      <w:r>
        <w:rPr>
          <w:b/>
          <w:color w:val="231F20"/>
          <w:spacing w:val="-5"/>
          <w:sz w:val="20"/>
        </w:rPr>
        <w:t xml:space="preserve"> </w:t>
      </w:r>
      <w:r>
        <w:rPr>
          <w:b/>
          <w:color w:val="231F20"/>
          <w:sz w:val="20"/>
        </w:rPr>
        <w:t>environment?</w:t>
      </w:r>
    </w:p>
    <w:p w:rsidR="006A7A3F" w:rsidRDefault="00BC7372" w:rsidP="009B6917">
      <w:pPr>
        <w:pStyle w:val="ListParagraph"/>
        <w:numPr>
          <w:ilvl w:val="2"/>
          <w:numId w:val="1421"/>
        </w:numPr>
        <w:tabs>
          <w:tab w:val="left" w:pos="930"/>
          <w:tab w:val="left" w:pos="931"/>
        </w:tabs>
        <w:spacing w:before="53"/>
        <w:ind w:hanging="721"/>
        <w:rPr>
          <w:b/>
          <w:sz w:val="20"/>
        </w:rPr>
      </w:pPr>
      <w:r>
        <w:rPr>
          <w:b/>
          <w:color w:val="231F20"/>
          <w:sz w:val="20"/>
        </w:rPr>
        <w:t>What is the environmental watering program, and who is</w:t>
      </w:r>
      <w:r>
        <w:rPr>
          <w:b/>
          <w:color w:val="231F20"/>
          <w:spacing w:val="-4"/>
          <w:sz w:val="20"/>
        </w:rPr>
        <w:t xml:space="preserve"> </w:t>
      </w:r>
      <w:r>
        <w:rPr>
          <w:b/>
          <w:color w:val="231F20"/>
          <w:sz w:val="20"/>
        </w:rPr>
        <w:t>involved?</w:t>
      </w:r>
    </w:p>
    <w:p w:rsidR="006A7A3F" w:rsidRDefault="00BC7372" w:rsidP="009B6917">
      <w:pPr>
        <w:pStyle w:val="ListParagraph"/>
        <w:numPr>
          <w:ilvl w:val="2"/>
          <w:numId w:val="1421"/>
        </w:numPr>
        <w:tabs>
          <w:tab w:val="left" w:pos="930"/>
          <w:tab w:val="left" w:pos="931"/>
        </w:tabs>
        <w:spacing w:before="52"/>
        <w:ind w:hanging="721"/>
        <w:rPr>
          <w:b/>
          <w:sz w:val="20"/>
        </w:rPr>
      </w:pPr>
      <w:r>
        <w:rPr>
          <w:b/>
          <w:color w:val="231F20"/>
          <w:sz w:val="20"/>
        </w:rPr>
        <w:t xml:space="preserve">What is the role of the Victorian Environmental </w:t>
      </w:r>
      <w:r>
        <w:rPr>
          <w:b/>
          <w:color w:val="231F20"/>
          <w:spacing w:val="-3"/>
          <w:sz w:val="20"/>
        </w:rPr>
        <w:t>Water</w:t>
      </w:r>
      <w:r>
        <w:rPr>
          <w:b/>
          <w:color w:val="231F20"/>
          <w:spacing w:val="-4"/>
          <w:sz w:val="20"/>
        </w:rPr>
        <w:t xml:space="preserve"> </w:t>
      </w:r>
      <w:r>
        <w:rPr>
          <w:b/>
          <w:color w:val="231F20"/>
          <w:sz w:val="20"/>
        </w:rPr>
        <w:t>Holder?</w:t>
      </w:r>
    </w:p>
    <w:p w:rsidR="006A7A3F" w:rsidRDefault="00BC7372" w:rsidP="009B6917">
      <w:pPr>
        <w:pStyle w:val="ListParagraph"/>
        <w:numPr>
          <w:ilvl w:val="2"/>
          <w:numId w:val="1421"/>
        </w:numPr>
        <w:tabs>
          <w:tab w:val="left" w:pos="930"/>
          <w:tab w:val="left" w:pos="931"/>
        </w:tabs>
        <w:spacing w:before="53" w:line="295" w:lineRule="auto"/>
        <w:ind w:right="6042"/>
        <w:rPr>
          <w:b/>
          <w:sz w:val="20"/>
        </w:rPr>
      </w:pPr>
      <w:r>
        <w:rPr>
          <w:b/>
          <w:color w:val="231F20"/>
          <w:sz w:val="20"/>
        </w:rPr>
        <w:t>How does the Victorian environmental watering program fit within broader</w:t>
      </w:r>
    </w:p>
    <w:p w:rsidR="006A7A3F" w:rsidRDefault="00BC7372">
      <w:pPr>
        <w:spacing w:line="229" w:lineRule="exact"/>
        <w:ind w:left="930"/>
        <w:rPr>
          <w:b/>
          <w:sz w:val="20"/>
        </w:rPr>
      </w:pPr>
      <w:r>
        <w:rPr>
          <w:b/>
          <w:color w:val="231F20"/>
          <w:sz w:val="20"/>
        </w:rPr>
        <w:t>integrated catchment and waterway management?</w:t>
      </w:r>
    </w:p>
    <w:p w:rsidR="006A7A3F" w:rsidRDefault="00BC7372" w:rsidP="009B6917">
      <w:pPr>
        <w:pStyle w:val="ListParagraph"/>
        <w:numPr>
          <w:ilvl w:val="2"/>
          <w:numId w:val="1421"/>
        </w:numPr>
        <w:tabs>
          <w:tab w:val="left" w:pos="930"/>
          <w:tab w:val="left" w:pos="931"/>
        </w:tabs>
        <w:spacing w:before="52"/>
        <w:ind w:hanging="721"/>
        <w:rPr>
          <w:b/>
          <w:sz w:val="20"/>
        </w:rPr>
      </w:pPr>
      <w:r>
        <w:rPr>
          <w:b/>
          <w:color w:val="231F20"/>
          <w:sz w:val="20"/>
        </w:rPr>
        <w:t>How does the environmental watering program consider climate</w:t>
      </w:r>
      <w:r>
        <w:rPr>
          <w:b/>
          <w:color w:val="231F20"/>
          <w:spacing w:val="-9"/>
          <w:sz w:val="20"/>
        </w:rPr>
        <w:t xml:space="preserve"> </w:t>
      </w:r>
      <w:r>
        <w:rPr>
          <w:b/>
          <w:color w:val="231F20"/>
          <w:sz w:val="20"/>
        </w:rPr>
        <w:t>change?</w:t>
      </w:r>
    </w:p>
    <w:p w:rsidR="006A7A3F" w:rsidRDefault="00BC7372" w:rsidP="009B6917">
      <w:pPr>
        <w:pStyle w:val="ListParagraph"/>
        <w:numPr>
          <w:ilvl w:val="2"/>
          <w:numId w:val="1421"/>
        </w:numPr>
        <w:tabs>
          <w:tab w:val="left" w:pos="930"/>
          <w:tab w:val="left" w:pos="931"/>
        </w:tabs>
        <w:spacing w:before="53"/>
        <w:ind w:hanging="721"/>
        <w:rPr>
          <w:b/>
          <w:sz w:val="20"/>
        </w:rPr>
      </w:pPr>
      <w:r>
        <w:rPr>
          <w:b/>
          <w:color w:val="231F20"/>
          <w:sz w:val="20"/>
        </w:rPr>
        <w:t>How do we know the environmental watering program is</w:t>
      </w:r>
      <w:r>
        <w:rPr>
          <w:b/>
          <w:color w:val="231F20"/>
          <w:spacing w:val="-7"/>
          <w:sz w:val="20"/>
        </w:rPr>
        <w:t xml:space="preserve"> </w:t>
      </w:r>
      <w:r>
        <w:rPr>
          <w:b/>
          <w:color w:val="231F20"/>
          <w:sz w:val="20"/>
        </w:rPr>
        <w:t>successful?</w:t>
      </w:r>
    </w:p>
    <w:p w:rsidR="006A7A3F" w:rsidRDefault="00BC7372" w:rsidP="009B6917">
      <w:pPr>
        <w:pStyle w:val="ListParagraph"/>
        <w:numPr>
          <w:ilvl w:val="2"/>
          <w:numId w:val="1421"/>
        </w:numPr>
        <w:tabs>
          <w:tab w:val="left" w:pos="930"/>
          <w:tab w:val="left" w:pos="931"/>
        </w:tabs>
        <w:spacing w:before="52"/>
        <w:ind w:hanging="721"/>
        <w:rPr>
          <w:b/>
          <w:sz w:val="20"/>
        </w:rPr>
      </w:pPr>
      <w:r>
        <w:rPr>
          <w:b/>
          <w:color w:val="231F20"/>
          <w:sz w:val="20"/>
        </w:rPr>
        <w:t>Where can I find more information about the Victorian environmental watering</w:t>
      </w:r>
      <w:r>
        <w:rPr>
          <w:b/>
          <w:color w:val="231F20"/>
          <w:spacing w:val="-9"/>
          <w:sz w:val="20"/>
        </w:rPr>
        <w:t xml:space="preserve"> </w:t>
      </w:r>
      <w:r>
        <w:rPr>
          <w:b/>
          <w:color w:val="231F20"/>
          <w:sz w:val="20"/>
        </w:rPr>
        <w:t>program?</w:t>
      </w:r>
    </w:p>
    <w:p w:rsidR="006A7A3F" w:rsidRDefault="006A7A3F">
      <w:pPr>
        <w:pStyle w:val="BodyText"/>
        <w:spacing w:before="9"/>
        <w:ind w:left="0"/>
        <w:rPr>
          <w:b/>
        </w:rPr>
      </w:pPr>
    </w:p>
    <w:p w:rsidR="006A7A3F" w:rsidRDefault="00BC7372" w:rsidP="009B6917">
      <w:pPr>
        <w:pStyle w:val="ListParagraph"/>
        <w:numPr>
          <w:ilvl w:val="2"/>
          <w:numId w:val="1420"/>
        </w:numPr>
        <w:tabs>
          <w:tab w:val="left" w:pos="931"/>
        </w:tabs>
        <w:spacing w:before="1"/>
        <w:ind w:hanging="721"/>
        <w:rPr>
          <w:b/>
          <w:sz w:val="24"/>
        </w:rPr>
      </w:pPr>
      <w:r>
        <w:rPr>
          <w:b/>
          <w:color w:val="231F20"/>
          <w:sz w:val="24"/>
        </w:rPr>
        <w:t>Why do we need an environmental watering</w:t>
      </w:r>
      <w:r>
        <w:rPr>
          <w:b/>
          <w:color w:val="231F20"/>
          <w:spacing w:val="-4"/>
          <w:sz w:val="24"/>
        </w:rPr>
        <w:t xml:space="preserve"> </w:t>
      </w:r>
      <w:r>
        <w:rPr>
          <w:b/>
          <w:color w:val="231F20"/>
          <w:sz w:val="24"/>
        </w:rPr>
        <w:t>program?</w:t>
      </w:r>
    </w:p>
    <w:p w:rsidR="006A7A3F" w:rsidRDefault="00BC7372">
      <w:pPr>
        <w:pStyle w:val="BodyText"/>
        <w:spacing w:before="58" w:line="249" w:lineRule="auto"/>
        <w:ind w:right="100"/>
      </w:pPr>
      <w:r>
        <w:rPr>
          <w:color w:val="231F20"/>
        </w:rPr>
        <w:t>Many of Victoria’s rivers and wetlands have been significantly modified, compared to how they were during the tens of thousands of years that Traditional Owners managed them. Water now flows differently through the landscape:</w:t>
      </w:r>
    </w:p>
    <w:p w:rsidR="006A7A3F" w:rsidRDefault="00BC7372">
      <w:pPr>
        <w:pStyle w:val="BodyText"/>
        <w:spacing w:before="1" w:line="249" w:lineRule="auto"/>
        <w:ind w:right="297"/>
      </w:pPr>
      <w:r>
        <w:rPr>
          <w:color w:val="231F20"/>
        </w:rPr>
        <w:t>it is captured in dams and weirs and diverted by infrastructure — pipelines, pumps, drains, levees and constructed channels — to support homes, farms, irrigators, industries, towns and cities.</w:t>
      </w:r>
    </w:p>
    <w:p w:rsidR="006A7A3F" w:rsidRDefault="00BC7372">
      <w:pPr>
        <w:pStyle w:val="BodyText"/>
        <w:spacing w:line="249" w:lineRule="auto"/>
        <w:ind w:right="574"/>
      </w:pPr>
      <w:r>
        <w:rPr>
          <w:color w:val="231F20"/>
        </w:rPr>
        <w:t>In some rivers, up to half of the water that would have naturally flowed in them is removed each year to provide water for homes, farms and industry. While this allows communities to grow and thrive, it also means these waterways cannot function as they would naturally.</w:t>
      </w:r>
    </w:p>
    <w:p w:rsidR="006A7A3F" w:rsidRDefault="00BC7372">
      <w:pPr>
        <w:pStyle w:val="BodyText"/>
        <w:spacing w:before="173" w:line="249" w:lineRule="auto"/>
        <w:ind w:right="374"/>
      </w:pPr>
      <w:r>
        <w:rPr>
          <w:color w:val="231F20"/>
        </w:rPr>
        <w:t>Reduced river flows and less frequent wetland inundation have disrupted the breeding cycles of native fish, frogs, waterbirds, platypus and other animals. They have restricted the growth and recruitment of native plants and reduced the productivity of waterways. Our waterways still support many native species, but the total abundance of native plants and animals has substantially declined, and the aesthetic value and ecosystem services those waterways provide have diminished.</w:t>
      </w:r>
    </w:p>
    <w:p w:rsidR="006A7A3F" w:rsidRDefault="00BC7372">
      <w:pPr>
        <w:pStyle w:val="BodyText"/>
        <w:spacing w:before="174" w:line="249" w:lineRule="auto"/>
        <w:ind w:right="308"/>
      </w:pPr>
      <w:r>
        <w:rPr>
          <w:color w:val="231F20"/>
        </w:rPr>
        <w:t>Healthy waterways are essential for the plants and animals that live in them and for the people and industries that rely on clean water and the ecosystem services they provide. Many rivers and wetlands cannot survive altered water regimes without help. We must actively manage how water flows through these rivers, to protect their health and to support the plants that grow in them and the native animals that need them to live, feed and breed.</w:t>
      </w:r>
    </w:p>
    <w:p w:rsidR="00CC340C" w:rsidRDefault="00CC340C">
      <w:pPr>
        <w:rPr>
          <w:sz w:val="18"/>
        </w:rPr>
      </w:pPr>
      <w:r>
        <w:rPr>
          <w:sz w:val="18"/>
        </w:rPr>
        <w:br w:type="page"/>
      </w:r>
    </w:p>
    <w:p w:rsidR="00CC340C" w:rsidRDefault="00CC340C" w:rsidP="00CC340C">
      <w:pPr>
        <w:spacing w:before="170"/>
        <w:ind w:left="210"/>
        <w:rPr>
          <w:b/>
          <w:sz w:val="18"/>
        </w:rPr>
      </w:pPr>
      <w:r>
        <w:rPr>
          <w:b/>
          <w:color w:val="231F20"/>
          <w:sz w:val="18"/>
        </w:rPr>
        <w:t>Figure 1.1.1 A typical Victorian river catchment before and after the development of dams, weirs and channels.</w:t>
      </w:r>
    </w:p>
    <w:p w:rsidR="00CC340C" w:rsidRDefault="00CC340C">
      <w:pPr>
        <w:pStyle w:val="BodyText"/>
        <w:spacing w:before="0"/>
      </w:pPr>
    </w:p>
    <w:p w:rsidR="006A7A3F" w:rsidRDefault="00BC7372">
      <w:pPr>
        <w:pStyle w:val="BodyText"/>
        <w:spacing w:before="0"/>
      </w:pPr>
      <w:r>
        <w:rPr>
          <w:noProof/>
        </w:rPr>
        <w:drawing>
          <wp:inline distT="0" distB="0" distL="0" distR="0">
            <wp:extent cx="6123431" cy="1929383"/>
            <wp:effectExtent l="0" t="0" r="0" b="0"/>
            <wp:docPr id="1" name="image1.jpeg" descr="Illustration showing a befor and after the development of dams, weirs and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123431" cy="1929383"/>
                    </a:xfrm>
                    <a:prstGeom prst="rect">
                      <a:avLst/>
                    </a:prstGeom>
                  </pic:spPr>
                </pic:pic>
              </a:graphicData>
            </a:graphic>
          </wp:inline>
        </w:drawing>
      </w:r>
    </w:p>
    <w:p w:rsidR="006A7A3F" w:rsidRDefault="006A7A3F">
      <w:pPr>
        <w:pStyle w:val="BodyText"/>
        <w:spacing w:before="2"/>
        <w:ind w:left="0"/>
        <w:rPr>
          <w:b/>
          <w:sz w:val="18"/>
        </w:rPr>
      </w:pPr>
    </w:p>
    <w:p w:rsidR="006A7A3F" w:rsidRDefault="00BC7372" w:rsidP="009B6917">
      <w:pPr>
        <w:pStyle w:val="Heading4"/>
        <w:numPr>
          <w:ilvl w:val="2"/>
          <w:numId w:val="1420"/>
        </w:numPr>
        <w:tabs>
          <w:tab w:val="left" w:pos="931"/>
        </w:tabs>
        <w:spacing w:before="92"/>
        <w:ind w:hanging="721"/>
      </w:pPr>
      <w:r>
        <w:rPr>
          <w:color w:val="231F20"/>
        </w:rPr>
        <w:t>What do we mean by ‘water for the</w:t>
      </w:r>
      <w:r>
        <w:rPr>
          <w:color w:val="231F20"/>
          <w:spacing w:val="-3"/>
        </w:rPr>
        <w:t xml:space="preserve"> </w:t>
      </w:r>
      <w:r>
        <w:rPr>
          <w:color w:val="231F20"/>
        </w:rPr>
        <w:t>environment’?</w:t>
      </w:r>
    </w:p>
    <w:p w:rsidR="006A7A3F" w:rsidRDefault="00BC7372">
      <w:pPr>
        <w:pStyle w:val="BodyText"/>
        <w:spacing w:before="59" w:line="249" w:lineRule="auto"/>
        <w:ind w:right="457"/>
      </w:pPr>
      <w:r>
        <w:rPr>
          <w:color w:val="231F20"/>
        </w:rPr>
        <w:t>Water for the environment is water that is overseen by environmental water holders and released at a time and rate intended to improve the health of river and wetland systems including their biodiversity, ecological function, water quality and other uses that depend on environmental condition. It’s not the only water that contributes to environmental condition, but it is water that governments reserve specifically to be actively managed to help mitigate the environmental impacts resulting from the modification of rivers and wetlands to supply water for consumptive uses. ‘Environmental flows’ and ‘environmental water’ are other terms to describe water for the environment.</w:t>
      </w:r>
    </w:p>
    <w:p w:rsidR="006A7A3F" w:rsidRDefault="00BC7372">
      <w:pPr>
        <w:pStyle w:val="BodyText"/>
        <w:spacing w:before="175" w:line="249" w:lineRule="auto"/>
        <w:ind w:right="474"/>
      </w:pPr>
      <w:r>
        <w:rPr>
          <w:color w:val="231F20"/>
        </w:rPr>
        <w:t>The amount of water for the environment available to be released each year is described in environmental water entitlements, which are legal rights to water that is available in a reservoir or river system or another specified location. Environmental water entitlements have rules and conditions similar to those in other water entitlements used to reserve water for towns, irrigators and industry.</w:t>
      </w:r>
    </w:p>
    <w:p w:rsidR="006A7A3F" w:rsidRDefault="00BC7372">
      <w:pPr>
        <w:pStyle w:val="BodyText"/>
        <w:spacing w:before="174" w:line="249" w:lineRule="auto"/>
        <w:ind w:right="100"/>
      </w:pPr>
      <w:r>
        <w:rPr>
          <w:color w:val="231F20"/>
        </w:rPr>
        <w:t>Environmental water holders must make decisions about the best use of this water each year, and the seasonal watering plan is the public preview of the types of decisions that might be made about environmental water entitlements in Victoria under a range of different circumstances throughout the year.</w:t>
      </w:r>
    </w:p>
    <w:p w:rsidR="006A7A3F" w:rsidRDefault="00BC7372">
      <w:pPr>
        <w:pStyle w:val="BodyText"/>
        <w:spacing w:line="249" w:lineRule="auto"/>
        <w:ind w:right="586"/>
      </w:pPr>
      <w:r>
        <w:rPr>
          <w:color w:val="231F20"/>
        </w:rPr>
        <w:t>For more information about water for the environment, including how other water sources are considered in the planning and management of this water, see section 1.4.</w:t>
      </w:r>
    </w:p>
    <w:p w:rsidR="006A7A3F" w:rsidRDefault="006A7A3F">
      <w:pPr>
        <w:pStyle w:val="BodyText"/>
        <w:spacing w:before="1"/>
        <w:ind w:left="0"/>
      </w:pPr>
    </w:p>
    <w:p w:rsidR="006A7A3F" w:rsidRDefault="00BC7372" w:rsidP="009B6917">
      <w:pPr>
        <w:pStyle w:val="Heading4"/>
        <w:numPr>
          <w:ilvl w:val="2"/>
          <w:numId w:val="1420"/>
        </w:numPr>
        <w:tabs>
          <w:tab w:val="left" w:pos="931"/>
        </w:tabs>
        <w:ind w:hanging="721"/>
      </w:pPr>
      <w:r>
        <w:rPr>
          <w:color w:val="231F20"/>
        </w:rPr>
        <w:t>What do we aim to achieve with water for the</w:t>
      </w:r>
      <w:r>
        <w:rPr>
          <w:color w:val="231F20"/>
          <w:spacing w:val="-6"/>
        </w:rPr>
        <w:t xml:space="preserve"> </w:t>
      </w:r>
      <w:r>
        <w:rPr>
          <w:color w:val="231F20"/>
        </w:rPr>
        <w:t>environment?</w:t>
      </w:r>
    </w:p>
    <w:p w:rsidR="006A7A3F" w:rsidRDefault="00BC7372">
      <w:pPr>
        <w:pStyle w:val="BodyText"/>
        <w:spacing w:before="58" w:line="249" w:lineRule="auto"/>
        <w:ind w:right="472"/>
      </w:pPr>
      <w:r>
        <w:rPr>
          <w:color w:val="231F20"/>
        </w:rPr>
        <w:t>Water for the environment aims to support the habitat, feeding and breeding needs of native aquatic plants and animals. This includes maintaining flows or permanent pools in rivers that would otherwise dry out; maintaining water quality within tolerable limits; providing triggers for fish to migrate; watering wetlands to support carbon and nutrient cycles and to stimulate the growth of plankton, waterbugs or small fish to provide food for larger fish and waterbirds; and watering vegetation to keep it alive or to trigger new growth. To do these things, water for the environment is released into rivers to mimic some of the flows that would have occurred naturally, before the construction of dams, weirs and channels. This helps maintain the physical, chemical and biological health of rivers.</w:t>
      </w:r>
    </w:p>
    <w:p w:rsidR="006A7A3F" w:rsidRDefault="00BC7372">
      <w:pPr>
        <w:pStyle w:val="BodyText"/>
        <w:spacing w:before="177"/>
      </w:pPr>
      <w:r>
        <w:rPr>
          <w:color w:val="231F20"/>
        </w:rPr>
        <w:t>Environmental water managers set the timing, duration and volume of water releases to return some of the</w:t>
      </w:r>
    </w:p>
    <w:p w:rsidR="006A7A3F" w:rsidRDefault="00BC7372">
      <w:pPr>
        <w:pStyle w:val="BodyText"/>
        <w:spacing w:before="10" w:line="249" w:lineRule="auto"/>
        <w:ind w:right="251"/>
      </w:pPr>
      <w:r>
        <w:rPr>
          <w:color w:val="231F20"/>
        </w:rPr>
        <w:t>small- and medium-sized river flows that are essential in the life cycles of native plants and animals. For example, Australian grayling are signalled by an increased river flow in autumn to migrate downstream for spawning: to release their eggs. Breeding waterbirds need wetlands to retain water for long enough for their chicks to grow and fledge, and floodplain forests need to be inundated every few years to ensure the iconic tree species (such as river red gums and black box) survive and reproduce. Water for the environment also moves sediment and nutrients through river systems, connect habitats and improves water quality.</w:t>
      </w:r>
    </w:p>
    <w:p w:rsidR="00BC7372" w:rsidRDefault="00BC7372">
      <w:pPr>
        <w:rPr>
          <w:color w:val="231F20"/>
          <w:sz w:val="20"/>
          <w:szCs w:val="20"/>
        </w:rPr>
      </w:pPr>
      <w:r>
        <w:rPr>
          <w:color w:val="231F20"/>
        </w:rPr>
        <w:br w:type="page"/>
      </w:r>
    </w:p>
    <w:p w:rsidR="006A7A3F" w:rsidRDefault="00BC7372">
      <w:pPr>
        <w:pStyle w:val="BodyText"/>
        <w:spacing w:before="175" w:line="249" w:lineRule="auto"/>
        <w:ind w:right="100"/>
      </w:pPr>
      <w:r>
        <w:rPr>
          <w:color w:val="231F20"/>
        </w:rPr>
        <w:t>Many wetlands are now either disconnected from the rivers that used to naturally fill them, or they are permanently connected to rivers or channels. This means that some wetlands don’t get enough water, and others get too much.</w:t>
      </w:r>
    </w:p>
    <w:p w:rsidR="006A7A3F" w:rsidRDefault="00BC7372">
      <w:pPr>
        <w:pStyle w:val="BodyText"/>
        <w:spacing w:line="249" w:lineRule="auto"/>
        <w:ind w:right="230"/>
      </w:pPr>
      <w:r>
        <w:rPr>
          <w:color w:val="231F20"/>
        </w:rPr>
        <w:t>In wetlands, environmental water managers aim to provide the wetting and drying cycles that plants and animals depend on for survival, reproduction and long-term resilience. For example, where wetlands and floodplains have been cut off from natural river flows, environmental watering can reconnect these areas, sometimes using irrigation infrastructure (such as pumps, channels and regulators).</w:t>
      </w:r>
    </w:p>
    <w:p w:rsidR="006A7A3F" w:rsidRDefault="00BC7372" w:rsidP="00BC7372">
      <w:pPr>
        <w:pStyle w:val="BodyText"/>
        <w:spacing w:before="173" w:line="249" w:lineRule="auto"/>
        <w:ind w:right="553"/>
      </w:pPr>
      <w:r>
        <w:rPr>
          <w:color w:val="231F20"/>
        </w:rPr>
        <w:t>By improving the health of rivers, wetlands and floodplains, environmental watering also supports vibrant and healthy communities. Healthy waterways make cities and towns more liveable, which supports the physical and mental wellbeing of communities. They supply water for towns</w:t>
      </w:r>
      <w:r>
        <w:t xml:space="preserve"> </w:t>
      </w:r>
      <w:r>
        <w:rPr>
          <w:color w:val="231F20"/>
        </w:rPr>
        <w:t>and diverse industries: agriculture, fishing, real estate, recreation and tourism, among others. Most of Victoria’s towns are located near a river or lake with which the community identifies, and many people travel to their favourite waterway for holidays and to relax, play and connect with nature; and healthy waterways sustain Country for Aboriginal communities.</w:t>
      </w:r>
    </w:p>
    <w:p w:rsidR="006A7A3F" w:rsidRDefault="006A7A3F">
      <w:pPr>
        <w:pStyle w:val="BodyText"/>
        <w:spacing w:before="3"/>
        <w:ind w:left="0"/>
      </w:pPr>
    </w:p>
    <w:p w:rsidR="006A7A3F" w:rsidRDefault="00BC7372" w:rsidP="009B6917">
      <w:pPr>
        <w:pStyle w:val="Heading4"/>
        <w:numPr>
          <w:ilvl w:val="2"/>
          <w:numId w:val="1420"/>
        </w:numPr>
        <w:tabs>
          <w:tab w:val="left" w:pos="931"/>
        </w:tabs>
        <w:ind w:hanging="721"/>
      </w:pPr>
      <w:r>
        <w:rPr>
          <w:color w:val="231F20"/>
        </w:rPr>
        <w:t>What is the Victorian environmental watering program, and who is</w:t>
      </w:r>
      <w:r>
        <w:rPr>
          <w:color w:val="231F20"/>
          <w:spacing w:val="-10"/>
        </w:rPr>
        <w:t xml:space="preserve"> </w:t>
      </w:r>
      <w:r>
        <w:rPr>
          <w:color w:val="231F20"/>
        </w:rPr>
        <w:t>involved?</w:t>
      </w:r>
    </w:p>
    <w:p w:rsidR="006A7A3F" w:rsidRDefault="00BC7372">
      <w:pPr>
        <w:pStyle w:val="BodyText"/>
        <w:spacing w:before="58" w:line="249" w:lineRule="auto"/>
        <w:ind w:right="100"/>
      </w:pPr>
      <w:r>
        <w:rPr>
          <w:color w:val="231F20"/>
        </w:rPr>
        <w:t>The Victorian environmental watering program is the ongoing, collaborative management of water for the environment used to improve the health of Victoria’s rivers and wetlands and of the native plants and animals that depend on them.</w:t>
      </w:r>
    </w:p>
    <w:p w:rsidR="006A7A3F" w:rsidRDefault="00BC7372">
      <w:pPr>
        <w:pStyle w:val="BodyText"/>
        <w:spacing w:before="173" w:line="249" w:lineRule="auto"/>
        <w:ind w:right="100"/>
      </w:pPr>
      <w:r>
        <w:rPr>
          <w:color w:val="231F20"/>
        </w:rPr>
        <w:t xml:space="preserve">The program involves a range of groups and organisations. Relationships between local communities, waterway managers, storage managers, land managers, environmental water holders and scientists are the foundation of the program. The program is overseen by the </w:t>
      </w:r>
      <w:r>
        <w:rPr>
          <w:color w:val="231F20"/>
          <w:spacing w:val="-3"/>
        </w:rPr>
        <w:t xml:space="preserve">Victorian </w:t>
      </w:r>
      <w:r>
        <w:rPr>
          <w:color w:val="231F20"/>
        </w:rPr>
        <w:t xml:space="preserve">Minister for </w:t>
      </w:r>
      <w:r>
        <w:rPr>
          <w:color w:val="231F20"/>
          <w:spacing w:val="-3"/>
        </w:rPr>
        <w:t xml:space="preserve">Water </w:t>
      </w:r>
      <w:r>
        <w:rPr>
          <w:color w:val="231F20"/>
        </w:rPr>
        <w:t xml:space="preserve">through the Department of Environment, Land, </w:t>
      </w:r>
      <w:r>
        <w:rPr>
          <w:color w:val="231F20"/>
          <w:spacing w:val="-3"/>
        </w:rPr>
        <w:t xml:space="preserve">Water </w:t>
      </w:r>
      <w:r>
        <w:rPr>
          <w:color w:val="231F20"/>
        </w:rPr>
        <w:t xml:space="preserve">and Planning </w:t>
      </w:r>
      <w:r>
        <w:rPr>
          <w:color w:val="231F20"/>
          <w:spacing w:val="-3"/>
        </w:rPr>
        <w:t>(DELWP).</w:t>
      </w:r>
    </w:p>
    <w:p w:rsidR="006A7A3F" w:rsidRDefault="00BC7372">
      <w:pPr>
        <w:pStyle w:val="BodyText"/>
        <w:spacing w:before="173" w:line="249" w:lineRule="auto"/>
        <w:ind w:right="508"/>
      </w:pPr>
      <w:r>
        <w:rPr>
          <w:color w:val="231F20"/>
        </w:rPr>
        <w:t>Many public authorities collaborate to deliver the program: they are referred to as program partners. Waterway managers (catchment management authorities [CMAs] and Melbourne Water) are the regional planning and delivery arm of the program. In consultation with local communities, waterway managers develop environmental watering proposals for the rivers and wetlands in their region. Waterway managers also order water for the environment from storage managers, and they monitor the outcomes of releases.</w:t>
      </w:r>
    </w:p>
    <w:p w:rsidR="006A7A3F" w:rsidRDefault="006A7A3F">
      <w:pPr>
        <w:pStyle w:val="BodyText"/>
        <w:spacing w:before="11"/>
        <w:ind w:left="0"/>
        <w:rPr>
          <w:sz w:val="29"/>
        </w:rPr>
      </w:pPr>
    </w:p>
    <w:p w:rsidR="006A7A3F" w:rsidRDefault="00BC7372">
      <w:pPr>
        <w:pStyle w:val="BodyText"/>
        <w:spacing w:before="0" w:line="249" w:lineRule="auto"/>
        <w:ind w:right="919"/>
      </w:pPr>
      <w:r>
        <w:rPr>
          <w:color w:val="231F20"/>
        </w:rPr>
        <w:t>Storage managers — designated water corporations — deliver water for all water users including waterway managers and environmental water holders.</w:t>
      </w:r>
    </w:p>
    <w:p w:rsidR="006A7A3F" w:rsidRDefault="006A7A3F">
      <w:pPr>
        <w:pStyle w:val="BodyText"/>
        <w:spacing w:before="8"/>
        <w:ind w:left="0"/>
        <w:rPr>
          <w:sz w:val="29"/>
        </w:rPr>
      </w:pPr>
    </w:p>
    <w:p w:rsidR="006A7A3F" w:rsidRDefault="00BC7372">
      <w:pPr>
        <w:pStyle w:val="BodyText"/>
        <w:spacing w:before="0" w:line="249" w:lineRule="auto"/>
        <w:ind w:right="204"/>
      </w:pPr>
      <w:r>
        <w:rPr>
          <w:color w:val="231F20"/>
        </w:rPr>
        <w:t>The VEWH decides where water for the environment will be used, carried over or traded, to get maximum benefit for the state’s waterways. In northern Victoria, the VEWH also works with the Commonwealth Environmental Water Office, the Murray-Darling Basin Authority (MDBA) and at the New South Wales and South Australian governments to prioritise how and where water is used and to ensure the use of water for the environment is coordinated to optimise the health of the connected waterways of the Murray-Darling Basin.</w:t>
      </w:r>
    </w:p>
    <w:p w:rsidR="006A7A3F" w:rsidRDefault="00BC7372">
      <w:pPr>
        <w:pStyle w:val="BodyText"/>
        <w:spacing w:before="174" w:line="249" w:lineRule="auto"/>
        <w:ind w:right="208"/>
      </w:pPr>
      <w:r>
        <w:rPr>
          <w:color w:val="231F20"/>
        </w:rPr>
        <w:t xml:space="preserve">Public land managers (such as Parks Victoria, </w:t>
      </w:r>
      <w:r>
        <w:rPr>
          <w:color w:val="231F20"/>
          <w:spacing w:val="-4"/>
        </w:rPr>
        <w:t xml:space="preserve">DELWP </w:t>
      </w:r>
      <w:r>
        <w:rPr>
          <w:color w:val="231F20"/>
        </w:rPr>
        <w:t>and Traditional Owner land management boards) are closely involved in planning and delivering water for the environment on public land (such as state forests and national</w:t>
      </w:r>
      <w:r>
        <w:rPr>
          <w:color w:val="231F20"/>
          <w:spacing w:val="-5"/>
        </w:rPr>
        <w:t xml:space="preserve"> </w:t>
      </w:r>
      <w:r>
        <w:rPr>
          <w:color w:val="231F20"/>
        </w:rPr>
        <w:t>parks).</w:t>
      </w:r>
      <w:r>
        <w:rPr>
          <w:color w:val="231F20"/>
          <w:spacing w:val="-7"/>
        </w:rPr>
        <w:t xml:space="preserve"> </w:t>
      </w:r>
      <w:r>
        <w:rPr>
          <w:color w:val="231F20"/>
        </w:rPr>
        <w:t>Their</w:t>
      </w:r>
      <w:r>
        <w:rPr>
          <w:color w:val="231F20"/>
          <w:spacing w:val="-4"/>
        </w:rPr>
        <w:t xml:space="preserve"> </w:t>
      </w:r>
      <w:r>
        <w:rPr>
          <w:color w:val="231F20"/>
        </w:rPr>
        <w:t>responsibilities</w:t>
      </w:r>
      <w:r>
        <w:rPr>
          <w:color w:val="231F20"/>
          <w:spacing w:val="-4"/>
        </w:rPr>
        <w:t xml:space="preserve"> </w:t>
      </w:r>
      <w:r>
        <w:rPr>
          <w:color w:val="231F20"/>
        </w:rPr>
        <w:t>include</w:t>
      </w:r>
      <w:r>
        <w:rPr>
          <w:color w:val="231F20"/>
          <w:spacing w:val="-4"/>
        </w:rPr>
        <w:t xml:space="preserve"> </w:t>
      </w:r>
      <w:r>
        <w:rPr>
          <w:color w:val="231F20"/>
        </w:rPr>
        <w:t>controlling</w:t>
      </w:r>
      <w:r>
        <w:rPr>
          <w:color w:val="231F20"/>
          <w:spacing w:val="-4"/>
        </w:rPr>
        <w:t xml:space="preserve"> </w:t>
      </w:r>
      <w:r>
        <w:rPr>
          <w:color w:val="231F20"/>
        </w:rPr>
        <w:t>infrastructure</w:t>
      </w:r>
      <w:r>
        <w:rPr>
          <w:color w:val="231F20"/>
          <w:spacing w:val="-5"/>
        </w:rPr>
        <w:t xml:space="preserve"> </w:t>
      </w:r>
      <w:r>
        <w:rPr>
          <w:color w:val="231F20"/>
        </w:rPr>
        <w:t>(such</w:t>
      </w:r>
      <w:r>
        <w:rPr>
          <w:color w:val="231F20"/>
          <w:spacing w:val="-3"/>
        </w:rPr>
        <w:t xml:space="preserve"> </w:t>
      </w:r>
      <w:r>
        <w:rPr>
          <w:color w:val="231F20"/>
        </w:rPr>
        <w:t>as</w:t>
      </w:r>
      <w:r>
        <w:rPr>
          <w:color w:val="231F20"/>
          <w:spacing w:val="-5"/>
        </w:rPr>
        <w:t xml:space="preserve"> </w:t>
      </w:r>
      <w:r>
        <w:rPr>
          <w:color w:val="231F20"/>
        </w:rPr>
        <w:t>pumps,</w:t>
      </w:r>
      <w:r>
        <w:rPr>
          <w:color w:val="231F20"/>
          <w:spacing w:val="-5"/>
        </w:rPr>
        <w:t xml:space="preserve"> </w:t>
      </w:r>
      <w:r>
        <w:rPr>
          <w:color w:val="231F20"/>
        </w:rPr>
        <w:t>outlets,</w:t>
      </w:r>
      <w:r>
        <w:rPr>
          <w:color w:val="231F20"/>
          <w:spacing w:val="-4"/>
        </w:rPr>
        <w:t xml:space="preserve"> </w:t>
      </w:r>
      <w:r>
        <w:rPr>
          <w:color w:val="231F20"/>
        </w:rPr>
        <w:t>gates</w:t>
      </w:r>
      <w:r>
        <w:rPr>
          <w:color w:val="231F20"/>
          <w:spacing w:val="-5"/>
        </w:rPr>
        <w:t xml:space="preserve"> </w:t>
      </w:r>
      <w:r>
        <w:rPr>
          <w:color w:val="231F20"/>
        </w:rPr>
        <w:t>and</w:t>
      </w:r>
      <w:r>
        <w:rPr>
          <w:color w:val="231F20"/>
          <w:spacing w:val="-4"/>
        </w:rPr>
        <w:t xml:space="preserve"> </w:t>
      </w:r>
      <w:r>
        <w:rPr>
          <w:color w:val="231F20"/>
        </w:rPr>
        <w:t>channels) and public signage. Some environmental watering also occurs on private land, in partnership with landholders or corporations.</w:t>
      </w:r>
    </w:p>
    <w:p w:rsidR="006A7A3F" w:rsidRDefault="00BC7372">
      <w:pPr>
        <w:pStyle w:val="BodyText"/>
        <w:spacing w:before="174" w:line="249" w:lineRule="auto"/>
        <w:ind w:right="100"/>
      </w:pPr>
      <w:r>
        <w:rPr>
          <w:color w:val="231F20"/>
        </w:rPr>
        <w:t>To effectively manage water for the environment, it is essential to understand the environmental values of Victoria’s rivers and wetlands. This understanding draws on the knowledge of local communities and scientists.</w:t>
      </w:r>
    </w:p>
    <w:p w:rsidR="006A7A3F" w:rsidRDefault="00BC7372">
      <w:pPr>
        <w:pStyle w:val="BodyText"/>
        <w:spacing w:line="249" w:lineRule="auto"/>
        <w:ind w:right="100"/>
      </w:pPr>
      <w:r>
        <w:rPr>
          <w:color w:val="231F20"/>
        </w:rPr>
        <w:t>Local communities including Traditional Owners help identify environmental values in each region and help monitor the success of environmental watering. Local communities make great use of their local rivers and wetlands, and they bring a wealth of cultural, economic, recreational, social and Traditional Owner perspectives to the program.</w:t>
      </w:r>
    </w:p>
    <w:p w:rsidR="006A7A3F" w:rsidRDefault="00BC7372">
      <w:pPr>
        <w:pStyle w:val="BodyText"/>
        <w:spacing w:before="173" w:line="249" w:lineRule="auto"/>
        <w:ind w:right="457"/>
      </w:pPr>
      <w:r>
        <w:rPr>
          <w:color w:val="231F20"/>
        </w:rPr>
        <w:t>Scientists provide indispensable evidence about how water for the environment supports native plants and animals in the short and long terms, and they work with waterway managers to monitor, evaluate and report on environmental watering outcomes.</w:t>
      </w:r>
    </w:p>
    <w:p w:rsidR="006A7A3F" w:rsidRDefault="00BC7372">
      <w:pPr>
        <w:pStyle w:val="BodyText"/>
        <w:spacing w:line="249" w:lineRule="auto"/>
        <w:ind w:right="251"/>
      </w:pPr>
      <w:r>
        <w:rPr>
          <w:color w:val="231F20"/>
        </w:rPr>
        <w:t>Citizen scientists are increasingly monitoring environmental watering outcomes. In some regions, Birdlife Australia volunteers help monitor outcomes at wetlands, and Waterwatch volunteers collect water-quality information to inform management decisions about some rivers.</w:t>
      </w:r>
    </w:p>
    <w:p w:rsidR="006A7A3F" w:rsidRDefault="006A7A3F">
      <w:pPr>
        <w:pStyle w:val="BodyText"/>
        <w:spacing w:before="11"/>
        <w:ind w:left="0"/>
        <w:rPr>
          <w:sz w:val="19"/>
        </w:rPr>
      </w:pPr>
    </w:p>
    <w:p w:rsidR="006A7A3F" w:rsidRDefault="00BC7372">
      <w:pPr>
        <w:pStyle w:val="Heading7"/>
      </w:pPr>
      <w:r>
        <w:rPr>
          <w:color w:val="231F20"/>
        </w:rPr>
        <w:t>How are Traditional Owners engaged in the environmental watering program?</w:t>
      </w:r>
    </w:p>
    <w:p w:rsidR="006A7A3F" w:rsidRDefault="00BC7372">
      <w:pPr>
        <w:pStyle w:val="BodyText"/>
        <w:spacing w:before="67" w:line="249" w:lineRule="auto"/>
        <w:ind w:right="204"/>
      </w:pPr>
      <w:r>
        <w:rPr>
          <w:color w:val="231F20"/>
        </w:rPr>
        <w:t>Traditional Owners’ connections to Country are central to their sense of identity and cultural continuity. Victoria’s waterways are an important part of Country, and Traditional Owners have successfully managed them for thousands of years. Program partners increasingly look to incorporate Traditional Owners’ knowledge about how to manage waterways. For instance, in the northern region, Barapa Barapa and Wamba Wemba Traditional Owners work closely with North Central CMA to plan for and monitor environmental watering outcomes in Gunbower and Guttrum forests. In the western region, Barengi Gadjin Land Council has partnered with Wimmera CMA to deliver water for the environment to Ranch Billabong, which is a place of strong cultural significance.</w:t>
      </w:r>
    </w:p>
    <w:p w:rsidR="006A7A3F" w:rsidRDefault="00BC7372">
      <w:pPr>
        <w:pStyle w:val="BodyText"/>
        <w:spacing w:before="176"/>
      </w:pPr>
      <w:r>
        <w:rPr>
          <w:color w:val="231F20"/>
        </w:rPr>
        <w:t>Traditional Owners and their Nations in Victoria have a</w:t>
      </w:r>
    </w:p>
    <w:p w:rsidR="006A7A3F" w:rsidRDefault="00BC7372" w:rsidP="00C92D74">
      <w:pPr>
        <w:pStyle w:val="BodyText"/>
        <w:spacing w:before="10" w:line="249" w:lineRule="auto"/>
        <w:ind w:right="100"/>
      </w:pPr>
      <w:r>
        <w:rPr>
          <w:color w:val="231F20"/>
        </w:rPr>
        <w:t>deep and enduring connection to Victoria’s rivers, wetlands and floodplains, spanning tens of thousands of years. The VEWH and its program partners recognise the intersection between environmental flow objectives and Aboriginal environmental outcomes and acknowledge the benefit of genuine, enduring partnerships with Aboriginal</w:t>
      </w:r>
      <w:r w:rsidR="00C92D74">
        <w:t xml:space="preserve"> </w:t>
      </w:r>
      <w:r>
        <w:rPr>
          <w:color w:val="231F20"/>
        </w:rPr>
        <w:t>people in planning and managing water for the environment.</w:t>
      </w:r>
    </w:p>
    <w:p w:rsidR="006A7A3F" w:rsidRDefault="00BC7372">
      <w:pPr>
        <w:pStyle w:val="BodyText"/>
        <w:spacing w:before="180" w:line="249" w:lineRule="auto"/>
        <w:ind w:right="218"/>
      </w:pPr>
      <w:r>
        <w:rPr>
          <w:color w:val="231F20"/>
        </w:rPr>
        <w:t>In many regions of Victoria, Traditional Owner Nations have strong relationships with the program partners, and they are working to better realise Aboriginal Victorians’ aspirations and to incorporate Traditional Owners and their objectives and knowledge into the management of environmental flows. These initiatives and ongoing contributions to the program are highlighted in the regional overviews in this seasonal watering plan.</w:t>
      </w:r>
    </w:p>
    <w:p w:rsidR="006A7A3F" w:rsidRDefault="00BC7372">
      <w:pPr>
        <w:pStyle w:val="BodyText"/>
        <w:spacing w:before="174" w:line="249" w:lineRule="auto"/>
        <w:ind w:right="342"/>
      </w:pPr>
      <w:r>
        <w:rPr>
          <w:color w:val="231F20"/>
        </w:rPr>
        <w:t>There are certainly more opportunities for the VEWH and its partners to develop enduring partnerships with Traditional Owners who want to participate in the management of water for the environment. The VEWH and its program partners will continue to look for these opportunities and endeavour to develop enduring partnerships with Traditional Owners. The VEWH is funding some projects to help waterway managers and Traditional Owners</w:t>
      </w:r>
    </w:p>
    <w:p w:rsidR="006A7A3F" w:rsidRDefault="00BC7372">
      <w:pPr>
        <w:pStyle w:val="BodyText"/>
        <w:spacing w:before="3" w:line="249" w:lineRule="auto"/>
        <w:ind w:right="100"/>
      </w:pPr>
      <w:r>
        <w:rPr>
          <w:color w:val="231F20"/>
        </w:rPr>
        <w:t>identify opportunities to better align environmental watering objectives and actions with Aboriginal objectives and to participate in managing water for the environment.</w:t>
      </w:r>
    </w:p>
    <w:p w:rsidR="006A7A3F" w:rsidRDefault="006A7A3F">
      <w:pPr>
        <w:pStyle w:val="BodyText"/>
        <w:spacing w:before="1"/>
        <w:ind w:left="0"/>
      </w:pPr>
    </w:p>
    <w:p w:rsidR="006A7A3F" w:rsidRDefault="00BC7372" w:rsidP="009B6917">
      <w:pPr>
        <w:pStyle w:val="Heading4"/>
        <w:numPr>
          <w:ilvl w:val="2"/>
          <w:numId w:val="1420"/>
        </w:numPr>
        <w:tabs>
          <w:tab w:val="left" w:pos="931"/>
        </w:tabs>
        <w:ind w:hanging="721"/>
      </w:pPr>
      <w:r>
        <w:rPr>
          <w:color w:val="231F20"/>
        </w:rPr>
        <w:t xml:space="preserve">What is the role of the Victorian Environmental </w:t>
      </w:r>
      <w:r>
        <w:rPr>
          <w:color w:val="231F20"/>
          <w:spacing w:val="-3"/>
        </w:rPr>
        <w:t>Water</w:t>
      </w:r>
      <w:r>
        <w:rPr>
          <w:color w:val="231F20"/>
          <w:spacing w:val="-5"/>
        </w:rPr>
        <w:t xml:space="preserve"> </w:t>
      </w:r>
      <w:r>
        <w:rPr>
          <w:color w:val="231F20"/>
        </w:rPr>
        <w:t>Holder?</w:t>
      </w:r>
    </w:p>
    <w:p w:rsidR="006A7A3F" w:rsidRDefault="00BC7372">
      <w:pPr>
        <w:pStyle w:val="BodyText"/>
        <w:spacing w:before="58" w:line="249" w:lineRule="auto"/>
        <w:ind w:right="251"/>
      </w:pPr>
      <w:r>
        <w:rPr>
          <w:color w:val="231F20"/>
        </w:rPr>
        <w:t>The VEWH is a statutory authority established by the Victorian Government in 2011. It is responsible for managing Victoria’s water for the environment. Set up under the Water Act 1989, the VEWH manages environmental entitlements — a legal right to access a share of water available at a location — to improve the environmental values and health of Victoria’s rivers, wetlands and floodplains, and the plants and animals that rely on them.</w:t>
      </w:r>
    </w:p>
    <w:p w:rsidR="006A7A3F" w:rsidRDefault="00BC7372">
      <w:pPr>
        <w:pStyle w:val="BodyText"/>
        <w:spacing w:before="174"/>
      </w:pPr>
      <w:r>
        <w:rPr>
          <w:color w:val="231F20"/>
        </w:rPr>
        <w:t>The role of the VEWH is to:</w:t>
      </w:r>
    </w:p>
    <w:p w:rsidR="006A7A3F" w:rsidRDefault="00BC7372" w:rsidP="009B6917">
      <w:pPr>
        <w:pStyle w:val="ListParagraph"/>
        <w:numPr>
          <w:ilvl w:val="0"/>
          <w:numId w:val="1419"/>
        </w:numPr>
        <w:tabs>
          <w:tab w:val="left" w:pos="493"/>
          <w:tab w:val="left" w:pos="494"/>
        </w:tabs>
        <w:spacing w:line="249" w:lineRule="auto"/>
        <w:ind w:right="332"/>
        <w:rPr>
          <w:sz w:val="20"/>
        </w:rPr>
      </w:pPr>
      <w:r>
        <w:rPr>
          <w:color w:val="231F20"/>
          <w:sz w:val="20"/>
        </w:rPr>
        <w:t>make</w:t>
      </w:r>
      <w:r>
        <w:rPr>
          <w:color w:val="231F20"/>
          <w:spacing w:val="-4"/>
          <w:sz w:val="20"/>
        </w:rPr>
        <w:t xml:space="preserve"> </w:t>
      </w:r>
      <w:r>
        <w:rPr>
          <w:color w:val="231F20"/>
          <w:sz w:val="20"/>
        </w:rPr>
        <w:t>decisions</w:t>
      </w:r>
      <w:r>
        <w:rPr>
          <w:color w:val="231F20"/>
          <w:spacing w:val="-5"/>
          <w:sz w:val="20"/>
        </w:rPr>
        <w:t xml:space="preserve"> </w:t>
      </w:r>
      <w:r>
        <w:rPr>
          <w:color w:val="231F20"/>
          <w:sz w:val="20"/>
        </w:rPr>
        <w:t>about</w:t>
      </w:r>
      <w:r>
        <w:rPr>
          <w:color w:val="231F20"/>
          <w:spacing w:val="-4"/>
          <w:sz w:val="20"/>
        </w:rPr>
        <w:t xml:space="preserve"> </w:t>
      </w:r>
      <w:r>
        <w:rPr>
          <w:color w:val="231F20"/>
          <w:sz w:val="20"/>
        </w:rPr>
        <w:t>the</w:t>
      </w:r>
      <w:r>
        <w:rPr>
          <w:color w:val="231F20"/>
          <w:spacing w:val="-4"/>
          <w:sz w:val="20"/>
        </w:rPr>
        <w:t xml:space="preserve"> </w:t>
      </w:r>
      <w:r>
        <w:rPr>
          <w:color w:val="231F20"/>
          <w:sz w:val="20"/>
        </w:rPr>
        <w:t>most</w:t>
      </w:r>
      <w:r>
        <w:rPr>
          <w:color w:val="231F20"/>
          <w:spacing w:val="-3"/>
          <w:sz w:val="20"/>
        </w:rPr>
        <w:t xml:space="preserve"> </w:t>
      </w:r>
      <w:r>
        <w:rPr>
          <w:color w:val="231F20"/>
          <w:sz w:val="20"/>
        </w:rPr>
        <w:t>effective</w:t>
      </w:r>
      <w:r>
        <w:rPr>
          <w:color w:val="231F20"/>
          <w:spacing w:val="-4"/>
          <w:sz w:val="20"/>
        </w:rPr>
        <w:t xml:space="preserve"> </w:t>
      </w:r>
      <w:r>
        <w:rPr>
          <w:color w:val="231F20"/>
          <w:sz w:val="20"/>
        </w:rPr>
        <w:t>use</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3"/>
          <w:sz w:val="20"/>
        </w:rPr>
        <w:t xml:space="preserve"> </w:t>
      </w:r>
      <w:r>
        <w:rPr>
          <w:color w:val="231F20"/>
          <w:sz w:val="20"/>
        </w:rPr>
        <w:t>environmental</w:t>
      </w:r>
      <w:r>
        <w:rPr>
          <w:color w:val="231F20"/>
          <w:spacing w:val="-5"/>
          <w:sz w:val="20"/>
        </w:rPr>
        <w:t xml:space="preserve"> </w:t>
      </w:r>
      <w:r>
        <w:rPr>
          <w:color w:val="231F20"/>
          <w:sz w:val="20"/>
        </w:rPr>
        <w:t>entitlements</w:t>
      </w:r>
      <w:r>
        <w:rPr>
          <w:color w:val="231F20"/>
          <w:spacing w:val="-4"/>
          <w:sz w:val="20"/>
        </w:rPr>
        <w:t xml:space="preserve"> </w:t>
      </w:r>
      <w:r>
        <w:rPr>
          <w:color w:val="231F20"/>
          <w:sz w:val="20"/>
        </w:rPr>
        <w:t>including</w:t>
      </w:r>
      <w:r>
        <w:rPr>
          <w:color w:val="231F20"/>
          <w:spacing w:val="-5"/>
          <w:sz w:val="20"/>
        </w:rPr>
        <w:t xml:space="preserve"> </w:t>
      </w:r>
      <w:r>
        <w:rPr>
          <w:color w:val="231F20"/>
          <w:sz w:val="20"/>
        </w:rPr>
        <w:t>for</w:t>
      </w:r>
      <w:r>
        <w:rPr>
          <w:color w:val="231F20"/>
          <w:spacing w:val="-3"/>
          <w:sz w:val="20"/>
        </w:rPr>
        <w:t xml:space="preserve"> </w:t>
      </w:r>
      <w:r>
        <w:rPr>
          <w:color w:val="231F20"/>
          <w:sz w:val="20"/>
        </w:rPr>
        <w:t>use,</w:t>
      </w:r>
      <w:r>
        <w:rPr>
          <w:color w:val="231F20"/>
          <w:spacing w:val="-5"/>
          <w:sz w:val="20"/>
        </w:rPr>
        <w:t xml:space="preserve"> </w:t>
      </w:r>
      <w:r>
        <w:rPr>
          <w:color w:val="231F20"/>
          <w:sz w:val="20"/>
        </w:rPr>
        <w:t>carryover</w:t>
      </w:r>
      <w:r>
        <w:rPr>
          <w:color w:val="231F20"/>
          <w:spacing w:val="-3"/>
          <w:sz w:val="20"/>
        </w:rPr>
        <w:t xml:space="preserve"> </w:t>
      </w:r>
      <w:r>
        <w:rPr>
          <w:color w:val="231F20"/>
          <w:sz w:val="20"/>
        </w:rPr>
        <w:t>and trade (see subsection</w:t>
      </w:r>
      <w:r>
        <w:rPr>
          <w:color w:val="231F20"/>
          <w:spacing w:val="-1"/>
          <w:sz w:val="20"/>
        </w:rPr>
        <w:t xml:space="preserve"> </w:t>
      </w:r>
      <w:r>
        <w:rPr>
          <w:color w:val="231F20"/>
          <w:sz w:val="20"/>
        </w:rPr>
        <w:t>1.4.2)</w:t>
      </w:r>
    </w:p>
    <w:p w:rsidR="006A7A3F" w:rsidRDefault="00BC7372" w:rsidP="009B6917">
      <w:pPr>
        <w:pStyle w:val="ListParagraph"/>
        <w:numPr>
          <w:ilvl w:val="0"/>
          <w:numId w:val="1419"/>
        </w:numPr>
        <w:tabs>
          <w:tab w:val="left" w:pos="493"/>
          <w:tab w:val="left" w:pos="494"/>
        </w:tabs>
        <w:spacing w:before="86"/>
        <w:ind w:hanging="281"/>
        <w:rPr>
          <w:sz w:val="20"/>
        </w:rPr>
      </w:pPr>
      <w:r>
        <w:rPr>
          <w:color w:val="231F20"/>
          <w:sz w:val="20"/>
        </w:rPr>
        <w:t>commit water and authorise waterway managers to implement watering decisions (see subsection</w:t>
      </w:r>
      <w:r>
        <w:rPr>
          <w:color w:val="231F20"/>
          <w:spacing w:val="-28"/>
          <w:sz w:val="20"/>
        </w:rPr>
        <w:t xml:space="preserve"> </w:t>
      </w:r>
      <w:r>
        <w:rPr>
          <w:color w:val="231F20"/>
          <w:sz w:val="20"/>
        </w:rPr>
        <w:t>1.3.2)</w:t>
      </w:r>
    </w:p>
    <w:p w:rsidR="006A7A3F" w:rsidRDefault="00BC7372" w:rsidP="009B6917">
      <w:pPr>
        <w:pStyle w:val="ListParagraph"/>
        <w:numPr>
          <w:ilvl w:val="0"/>
          <w:numId w:val="1419"/>
        </w:numPr>
        <w:tabs>
          <w:tab w:val="left" w:pos="493"/>
          <w:tab w:val="left" w:pos="494"/>
        </w:tabs>
        <w:spacing w:line="249" w:lineRule="auto"/>
        <w:ind w:right="640"/>
        <w:rPr>
          <w:sz w:val="20"/>
        </w:rPr>
      </w:pPr>
      <w:r>
        <w:rPr>
          <w:color w:val="231F20"/>
          <w:sz w:val="20"/>
        </w:rPr>
        <w:t>work with storage managers, waterway managers and other environmental water holders to coordinate and optimise environmental outcomes from the delivery of all water (see section</w:t>
      </w:r>
      <w:r>
        <w:rPr>
          <w:color w:val="231F20"/>
          <w:spacing w:val="-16"/>
          <w:sz w:val="20"/>
        </w:rPr>
        <w:t xml:space="preserve"> </w:t>
      </w:r>
      <w:r>
        <w:rPr>
          <w:color w:val="231F20"/>
          <w:sz w:val="20"/>
        </w:rPr>
        <w:t>1.4)</w:t>
      </w:r>
    </w:p>
    <w:p w:rsidR="006A7A3F" w:rsidRDefault="00BC7372" w:rsidP="009B6917">
      <w:pPr>
        <w:pStyle w:val="ListParagraph"/>
        <w:numPr>
          <w:ilvl w:val="0"/>
          <w:numId w:val="1419"/>
        </w:numPr>
        <w:tabs>
          <w:tab w:val="left" w:pos="493"/>
          <w:tab w:val="left" w:pos="494"/>
        </w:tabs>
        <w:spacing w:before="87" w:line="249" w:lineRule="auto"/>
        <w:ind w:right="206"/>
        <w:rPr>
          <w:sz w:val="20"/>
        </w:rPr>
      </w:pPr>
      <w:r>
        <w:rPr>
          <w:color w:val="231F20"/>
          <w:sz w:val="20"/>
        </w:rPr>
        <w:t>commission targeted projects to demonstrate the ecological outcomes of environmental flows at key sites and to help improve the management of water for the</w:t>
      </w:r>
      <w:r>
        <w:rPr>
          <w:color w:val="231F20"/>
          <w:spacing w:val="-7"/>
          <w:sz w:val="20"/>
        </w:rPr>
        <w:t xml:space="preserve"> </w:t>
      </w:r>
      <w:r>
        <w:rPr>
          <w:color w:val="231F20"/>
          <w:sz w:val="20"/>
        </w:rPr>
        <w:t>environment</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publicly communicate environmental watering decisions and</w:t>
      </w:r>
      <w:r>
        <w:rPr>
          <w:color w:val="231F20"/>
          <w:spacing w:val="-9"/>
          <w:sz w:val="20"/>
        </w:rPr>
        <w:t xml:space="preserve"> </w:t>
      </w:r>
      <w:r>
        <w:rPr>
          <w:color w:val="231F20"/>
          <w:sz w:val="20"/>
        </w:rPr>
        <w:t>outcomes</w:t>
      </w:r>
    </w:p>
    <w:p w:rsidR="006A7A3F" w:rsidRDefault="00BC7372" w:rsidP="009B6917">
      <w:pPr>
        <w:pStyle w:val="ListParagraph"/>
        <w:numPr>
          <w:ilvl w:val="0"/>
          <w:numId w:val="1419"/>
        </w:numPr>
        <w:tabs>
          <w:tab w:val="left" w:pos="493"/>
          <w:tab w:val="left" w:pos="494"/>
        </w:tabs>
        <w:spacing w:line="249" w:lineRule="auto"/>
        <w:ind w:right="674"/>
        <w:rPr>
          <w:sz w:val="20"/>
        </w:rPr>
      </w:pPr>
      <w:r>
        <w:rPr>
          <w:color w:val="231F20"/>
          <w:sz w:val="20"/>
        </w:rPr>
        <w:t xml:space="preserve">invest in complementary works and measures, knowledge, monitoring, research and other priority activities in collaboration with </w:t>
      </w:r>
      <w:r>
        <w:rPr>
          <w:color w:val="231F20"/>
          <w:spacing w:val="-8"/>
          <w:sz w:val="20"/>
        </w:rPr>
        <w:t xml:space="preserve">DELWP, </w:t>
      </w:r>
      <w:r>
        <w:rPr>
          <w:color w:val="231F20"/>
          <w:sz w:val="20"/>
        </w:rPr>
        <w:t>where it improves the ability to manage water for the environment and the performance of the environmental watering</w:t>
      </w:r>
      <w:r>
        <w:rPr>
          <w:color w:val="231F20"/>
          <w:spacing w:val="-7"/>
          <w:sz w:val="20"/>
        </w:rPr>
        <w:t xml:space="preserve"> </w:t>
      </w:r>
      <w:r>
        <w:rPr>
          <w:color w:val="231F20"/>
          <w:sz w:val="20"/>
        </w:rPr>
        <w:t>program.</w:t>
      </w:r>
    </w:p>
    <w:p w:rsidR="00BC7372" w:rsidRDefault="00BC7372">
      <w:pPr>
        <w:rPr>
          <w:color w:val="231F20"/>
          <w:sz w:val="20"/>
          <w:szCs w:val="20"/>
        </w:rPr>
      </w:pPr>
      <w:r>
        <w:rPr>
          <w:color w:val="231F20"/>
        </w:rPr>
        <w:br w:type="page"/>
      </w:r>
    </w:p>
    <w:p w:rsidR="006A7A3F" w:rsidRDefault="00BC7372">
      <w:pPr>
        <w:pStyle w:val="BodyText"/>
        <w:spacing w:line="249" w:lineRule="auto"/>
        <w:ind w:right="743"/>
      </w:pPr>
      <w:r>
        <w:rPr>
          <w:color w:val="231F20"/>
        </w:rPr>
        <w:t>The VEWH has four part-time commissioners, who are supported by a small team. The commissioners at the time this seasonal watering plan was published were Chris Chesterfield (Chairperson), Peta Maddy (Deputy</w:t>
      </w:r>
    </w:p>
    <w:p w:rsidR="006A7A3F" w:rsidRDefault="00BC7372">
      <w:pPr>
        <w:pStyle w:val="BodyText"/>
        <w:spacing w:before="2" w:line="249" w:lineRule="auto"/>
        <w:ind w:right="176"/>
      </w:pPr>
      <w:r>
        <w:rPr>
          <w:color w:val="231F20"/>
        </w:rPr>
        <w:t>Chairperson), Rueben Berg (Commissioner) and Jennifer Fraser (Commissioner). Commissioners are appointed by the Governor in Council on the recommendation of the Minister for Water.</w:t>
      </w:r>
    </w:p>
    <w:p w:rsidR="006A7A3F" w:rsidRDefault="006A7A3F">
      <w:pPr>
        <w:pStyle w:val="BodyText"/>
        <w:spacing w:before="1"/>
        <w:ind w:left="0"/>
      </w:pPr>
    </w:p>
    <w:p w:rsidR="006A7A3F" w:rsidRDefault="00BC7372" w:rsidP="009B6917">
      <w:pPr>
        <w:pStyle w:val="Heading4"/>
        <w:numPr>
          <w:ilvl w:val="2"/>
          <w:numId w:val="1420"/>
        </w:numPr>
        <w:tabs>
          <w:tab w:val="left" w:pos="931"/>
        </w:tabs>
        <w:spacing w:line="242" w:lineRule="auto"/>
        <w:ind w:right="1208"/>
      </w:pPr>
      <w:r>
        <w:rPr>
          <w:color w:val="231F20"/>
        </w:rPr>
        <w:t>How does the Victorian environmental watering program fit within broader integrated catchment and waterway</w:t>
      </w:r>
      <w:r>
        <w:rPr>
          <w:color w:val="231F20"/>
          <w:spacing w:val="-4"/>
        </w:rPr>
        <w:t xml:space="preserve"> </w:t>
      </w:r>
      <w:r>
        <w:rPr>
          <w:color w:val="231F20"/>
        </w:rPr>
        <w:t>management?</w:t>
      </w:r>
    </w:p>
    <w:p w:rsidR="006A7A3F" w:rsidRDefault="00BC7372">
      <w:pPr>
        <w:pStyle w:val="BodyText"/>
        <w:spacing w:before="57" w:line="249" w:lineRule="auto"/>
        <w:ind w:right="564"/>
      </w:pPr>
      <w:r>
        <w:rPr>
          <w:color w:val="231F20"/>
        </w:rPr>
        <w:t>The environmental watering program fits within broader Victorian Government policies for integrated catchment management: it is a holistic way of managing land, water and biodiversity from the top to the bottom of our catchments.</w:t>
      </w:r>
    </w:p>
    <w:p w:rsidR="006A7A3F" w:rsidRDefault="00BC7372">
      <w:pPr>
        <w:pStyle w:val="BodyText"/>
        <w:spacing w:line="249" w:lineRule="auto"/>
        <w:ind w:right="743"/>
      </w:pPr>
      <w:r>
        <w:rPr>
          <w:color w:val="231F20"/>
        </w:rPr>
        <w:t>Key policy documents influencing the VEWH from a Victorian context include Water for Victoria, the Victorian Waterway Management Strategy and regional sustainable water strategies. Regional waterway strategies also determine priority waterways, in consultation with local communities, and outline integrated waterway management actions.</w:t>
      </w:r>
    </w:p>
    <w:p w:rsidR="006A7A3F" w:rsidRDefault="00BC7372">
      <w:pPr>
        <w:pStyle w:val="BodyText"/>
        <w:spacing w:before="174" w:line="249" w:lineRule="auto"/>
        <w:ind w:right="333"/>
      </w:pPr>
      <w:r>
        <w:rPr>
          <w:color w:val="231F20"/>
          <w:spacing w:val="-3"/>
        </w:rPr>
        <w:t xml:space="preserve">Water </w:t>
      </w:r>
      <w:r>
        <w:rPr>
          <w:color w:val="231F20"/>
        </w:rPr>
        <w:t xml:space="preserve">for Victoria is a plan for a future with less water as Victoria responds to the impacts of climate change and  a growing population. The actions in the plan support a healthy environment, a prosperous economy with growing agricultural production and thriving communities. Implementing the actions in the plan will improve the operation of the water and catchment management sector including the VEWH. </w:t>
      </w:r>
      <w:r>
        <w:rPr>
          <w:color w:val="231F20"/>
          <w:spacing w:val="-3"/>
        </w:rPr>
        <w:t xml:space="preserve">Water </w:t>
      </w:r>
      <w:r>
        <w:rPr>
          <w:color w:val="231F20"/>
        </w:rPr>
        <w:t>for Victoria recognises that protecting and improving waterway health is a long-term commitment that needs coordinated action. The full benefits of strategic, long-term investments in waterway health may not be realised for 30 years or more. Water for Victoria identifies 36 priority waterways for large-scale projects over this timeframe, and environmental flows are planned for many of these waterways in this seasonal watering</w:t>
      </w:r>
      <w:r>
        <w:rPr>
          <w:color w:val="231F20"/>
          <w:spacing w:val="-7"/>
        </w:rPr>
        <w:t xml:space="preserve"> </w:t>
      </w:r>
      <w:r>
        <w:rPr>
          <w:color w:val="231F20"/>
        </w:rPr>
        <w:t>plan.</w:t>
      </w:r>
    </w:p>
    <w:p w:rsidR="006A7A3F" w:rsidRDefault="00BC7372" w:rsidP="00BC7372">
      <w:pPr>
        <w:pStyle w:val="BodyText"/>
        <w:spacing w:before="176" w:line="249" w:lineRule="auto"/>
        <w:ind w:right="274"/>
      </w:pPr>
      <w:r>
        <w:rPr>
          <w:color w:val="231F20"/>
        </w:rPr>
        <w:t>Complementary catchment management activities are often needed to achieve environmental watering outcomes. These include invasive species control, riparian (streamside) land management, sustainable agriculture, sustainable land use planning and development, integrated urban water management and other waterway management activities (such as providing fish passage and improved in-stream habitat, for example through large,</w:t>
      </w:r>
      <w:r>
        <w:t xml:space="preserve"> </w:t>
      </w:r>
      <w:r>
        <w:rPr>
          <w:color w:val="231F20"/>
        </w:rPr>
        <w:t>woody habitat). A lack of fish passage due to dams and weirs continues to be a problem in some Victorian rivers, where environmental flows aim to increase the breeding success and recruitment of native fish. Figure 1.1.2 shows examples of complementary waterway management activities in Victorian waterways that receive water for the environment.</w:t>
      </w:r>
    </w:p>
    <w:p w:rsidR="006A7A3F" w:rsidRDefault="00BC7372">
      <w:pPr>
        <w:pStyle w:val="BodyText"/>
        <w:spacing w:before="174" w:line="249" w:lineRule="auto"/>
        <w:ind w:right="541"/>
      </w:pPr>
      <w:r>
        <w:rPr>
          <w:color w:val="231F20"/>
        </w:rPr>
        <w:t>In most systems, environmental flows are delivered using existing infrastructure (such as dam outlet gates and water supply channels) built for and still used for the supply of water for irrigators, industries and communities. Permanent and temporary pumps are sometimes also used to deliver water for the environment to wetlands. Capacity limits with these types of infrastructure and the need to avoid flooding private land restrict the size and timing of releases of water for the environment. In some systems, these restrictions mean only a fraction of the required environmental flows can be released into waterways, which significantly reduces the environmental outcomes that can be achieved.</w:t>
      </w:r>
    </w:p>
    <w:p w:rsidR="006A7A3F" w:rsidRDefault="00BC7372">
      <w:pPr>
        <w:pStyle w:val="BodyText"/>
        <w:spacing w:before="175"/>
      </w:pPr>
      <w:r>
        <w:rPr>
          <w:color w:val="231F20"/>
        </w:rPr>
        <w:t>Victoria’s environmental watering program is integral to the success of the following three strategies and plans.</w:t>
      </w:r>
    </w:p>
    <w:p w:rsidR="006A7A3F" w:rsidRDefault="00BC7372">
      <w:pPr>
        <w:pStyle w:val="BodyText"/>
        <w:spacing w:before="181" w:line="249" w:lineRule="auto"/>
        <w:ind w:right="594"/>
      </w:pPr>
      <w:r>
        <w:rPr>
          <w:color w:val="231F20"/>
        </w:rPr>
        <w:t>Our Catchments, Our Communities is Victoria’s first statewide strategy for integrated catchment management. Its aims are more effective community engagement, better connections between different levels of planning and stronger regional catchment strategies. The strategy also aims to clarify roles, strengthen accountabilities and coordination and improve monitoring, evaluation and reporting. Under this strategy, CMAs will lead 10 new integrated catchment management projects across the state, in collaboration with catchment management partners. The Caring for Campaspe and Living Moorabool projects are two projects involving environmental watering actions.</w:t>
      </w:r>
    </w:p>
    <w:p w:rsidR="006A7A3F" w:rsidRDefault="00BC7372">
      <w:pPr>
        <w:pStyle w:val="BodyText"/>
        <w:spacing w:before="175" w:line="249" w:lineRule="auto"/>
        <w:ind w:right="100"/>
      </w:pPr>
      <w:r>
        <w:rPr>
          <w:color w:val="231F20"/>
        </w:rPr>
        <w:t>Protecting Victoria’s Environment – Biodiversity 2037 is the plan to ensure Victoria has a modern and effective approach to protecting and managing Victoria’s biodiversity. Providing water for the environment is essential to supporting Victoria’s biodiversity. The plan is being implemented together with the outcomes of reviews of the Flora and Fauna Guarantee Act 1988 and Victoria’s native vegetation clearing regulations.</w:t>
      </w:r>
    </w:p>
    <w:p w:rsidR="00BC7372" w:rsidRDefault="00BC7372">
      <w:pPr>
        <w:rPr>
          <w:color w:val="231F20"/>
          <w:sz w:val="20"/>
          <w:szCs w:val="20"/>
        </w:rPr>
      </w:pPr>
      <w:r>
        <w:rPr>
          <w:color w:val="231F20"/>
        </w:rPr>
        <w:br w:type="page"/>
      </w:r>
    </w:p>
    <w:p w:rsidR="006A7A3F" w:rsidRDefault="00BC7372">
      <w:pPr>
        <w:pStyle w:val="BodyText"/>
        <w:spacing w:before="174" w:line="249" w:lineRule="auto"/>
        <w:ind w:right="100"/>
        <w:rPr>
          <w:color w:val="231F20"/>
        </w:rPr>
      </w:pPr>
      <w:r>
        <w:rPr>
          <w:color w:val="231F20"/>
        </w:rPr>
        <w:t>The Basin Plan 2012 for the Murray-Darling Basin is another key reform influencing the VEWH’s operations, particularly its planning and reporting framework in northern and western Victorian systems that form part of the basin. The VEWH continues to work closely with the Victorian Government and other agencies to implement the Basin Plan.</w:t>
      </w:r>
    </w:p>
    <w:p w:rsidR="00BC7372" w:rsidRDefault="00BC7372">
      <w:pPr>
        <w:pStyle w:val="BodyText"/>
        <w:spacing w:before="174" w:line="249" w:lineRule="auto"/>
        <w:ind w:right="100"/>
      </w:pPr>
    </w:p>
    <w:p w:rsidR="006A7A3F" w:rsidRDefault="00BC7372" w:rsidP="00175607">
      <w:pPr>
        <w:pStyle w:val="BodyText"/>
        <w:spacing w:before="2" w:after="120"/>
        <w:ind w:left="0"/>
        <w:rPr>
          <w:b/>
          <w:color w:val="231F20"/>
          <w:sz w:val="18"/>
        </w:rPr>
      </w:pPr>
      <w:r>
        <w:rPr>
          <w:b/>
          <w:color w:val="231F20"/>
          <w:sz w:val="18"/>
        </w:rPr>
        <w:t xml:space="preserve">Figure 1.1.2 Examples of complementary management </w:t>
      </w:r>
      <w:r w:rsidR="001413DB">
        <w:rPr>
          <w:b/>
          <w:color w:val="231F20"/>
          <w:sz w:val="18"/>
        </w:rPr>
        <w:t>actions</w:t>
      </w:r>
      <w:r>
        <w:rPr>
          <w:noProof/>
        </w:rPr>
        <w:drawing>
          <wp:inline distT="0" distB="0" distL="0" distR="0">
            <wp:extent cx="6064595" cy="3380231"/>
            <wp:effectExtent l="0" t="0" r="6350" b="0"/>
            <wp:docPr id="3" name="image2.jpeg" descr="Graphic of landscape  and animals depicting examples of complementary management actions: Revegetation for habitat and to prevent erosion. Water troughs so livestock don't need to access the river. Weed control. Logs for fish and bug habitat. Fencing to protect riverbanks from livestock and stop effluent from going into the river. Screens around pumps and off-take channels to stop fish and platypus from being drawn into mechanical equipment and channels. In-stream vegetation for fish and bug habitat and food. Pest control for animals like rabbits, foxes and carp. Fishways to allow fish to move through the weirs. Water for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4595" cy="3380231"/>
                    </a:xfrm>
                    <a:prstGeom prst="rect">
                      <a:avLst/>
                    </a:prstGeom>
                  </pic:spPr>
                </pic:pic>
              </a:graphicData>
            </a:graphic>
          </wp:inline>
        </w:drawing>
      </w:r>
    </w:p>
    <w:p w:rsidR="00B114BD" w:rsidRDefault="00B114BD">
      <w:pPr>
        <w:pStyle w:val="BodyText"/>
        <w:spacing w:before="2"/>
        <w:ind w:left="0"/>
        <w:rPr>
          <w:b/>
          <w:color w:val="231F20"/>
          <w:sz w:val="18"/>
        </w:rPr>
      </w:pPr>
    </w:p>
    <w:p w:rsidR="00B114BD" w:rsidRDefault="00B114BD">
      <w:pPr>
        <w:pStyle w:val="BodyText"/>
        <w:spacing w:before="2"/>
        <w:ind w:left="0"/>
        <w:rPr>
          <w:b/>
        </w:rPr>
      </w:pPr>
    </w:p>
    <w:p w:rsidR="006A7A3F" w:rsidRDefault="006A7A3F">
      <w:pPr>
        <w:pStyle w:val="BodyText"/>
        <w:spacing w:before="0"/>
        <w:ind w:left="0"/>
        <w:rPr>
          <w:b/>
        </w:rPr>
      </w:pPr>
    </w:p>
    <w:p w:rsidR="00BC7372" w:rsidRDefault="00BC7372">
      <w:pPr>
        <w:rPr>
          <w:b/>
          <w:sz w:val="21"/>
          <w:szCs w:val="20"/>
        </w:rPr>
      </w:pPr>
      <w:r>
        <w:rPr>
          <w:bCs/>
          <w:sz w:val="21"/>
          <w:szCs w:val="20"/>
        </w:rPr>
        <w:br w:type="page"/>
      </w:r>
    </w:p>
    <w:p w:rsidR="006A7A3F" w:rsidRDefault="00BC7372" w:rsidP="009B6917">
      <w:pPr>
        <w:pStyle w:val="Heading4"/>
        <w:numPr>
          <w:ilvl w:val="2"/>
          <w:numId w:val="1420"/>
        </w:numPr>
        <w:tabs>
          <w:tab w:val="left" w:pos="931"/>
        </w:tabs>
        <w:ind w:hanging="721"/>
      </w:pPr>
      <w:r>
        <w:rPr>
          <w:color w:val="231F20"/>
        </w:rPr>
        <w:t>How does the environmental watering program consider climate</w:t>
      </w:r>
      <w:r>
        <w:rPr>
          <w:color w:val="231F20"/>
          <w:spacing w:val="-14"/>
        </w:rPr>
        <w:t xml:space="preserve"> </w:t>
      </w:r>
      <w:r>
        <w:rPr>
          <w:color w:val="231F20"/>
        </w:rPr>
        <w:t>change?</w:t>
      </w:r>
    </w:p>
    <w:p w:rsidR="006A7A3F" w:rsidRDefault="00BC7372" w:rsidP="00BC7372">
      <w:pPr>
        <w:pStyle w:val="BodyText"/>
        <w:spacing w:before="58" w:line="249" w:lineRule="auto"/>
        <w:ind w:right="100"/>
      </w:pPr>
      <w:r>
        <w:rPr>
          <w:color w:val="231F20"/>
        </w:rPr>
        <w:t>Victoria’s climate has seen a drying and warming trend over the last two decades, and it is predicted this trend will continue in the future. Climate modelling</w:t>
      </w:r>
      <w:r w:rsidR="00E175D4">
        <w:rPr>
          <w:color w:val="231F20"/>
          <w:position w:val="7"/>
          <w:sz w:val="11"/>
        </w:rPr>
        <w:t xml:space="preserve"> </w:t>
      </w:r>
      <w:r>
        <w:rPr>
          <w:color w:val="231F20"/>
          <w:position w:val="7"/>
          <w:sz w:val="11"/>
        </w:rPr>
        <w:t xml:space="preserve"> </w:t>
      </w:r>
      <w:r>
        <w:rPr>
          <w:color w:val="231F20"/>
        </w:rPr>
        <w:t>indicates there will be more extreme events including droughts,</w:t>
      </w:r>
      <w:r w:rsidRPr="00BC7372">
        <w:rPr>
          <w:color w:val="231F20"/>
        </w:rPr>
        <w:t xml:space="preserve"> </w:t>
      </w:r>
      <w:r>
        <w:rPr>
          <w:color w:val="231F20"/>
        </w:rPr>
        <w:t>floods</w:t>
      </w:r>
      <w:r>
        <w:t xml:space="preserve"> </w:t>
      </w:r>
      <w:r>
        <w:rPr>
          <w:color w:val="231F20"/>
        </w:rPr>
        <w:t xml:space="preserve">and heatwaves, and there are expected to be more bushfires. Seasonal shifts in rainfall are expected to continue, with proportionally less rain in the cooler months. Average streamflow is predicted to decline across all parts of Victoria, with some of the greatest declines expected in the south-west and parts of the central and northern regions, as Figure 1.1.3 shows. </w:t>
      </w:r>
    </w:p>
    <w:p w:rsidR="006A7A3F" w:rsidRDefault="00BC7372">
      <w:pPr>
        <w:pStyle w:val="BodyText"/>
        <w:spacing w:before="174" w:line="249" w:lineRule="auto"/>
        <w:ind w:right="204"/>
      </w:pPr>
      <w:r>
        <w:rPr>
          <w:color w:val="231F20"/>
        </w:rPr>
        <w:t>Some effects of climate change are already apparent. The Long-term Water Resource Assessment for Southern Victoria</w:t>
      </w:r>
      <w:r w:rsidR="00E175D4">
        <w:rPr>
          <w:color w:val="231F20"/>
          <w:position w:val="7"/>
          <w:sz w:val="11"/>
        </w:rPr>
        <w:t xml:space="preserve"> </w:t>
      </w:r>
      <w:r>
        <w:rPr>
          <w:color w:val="231F20"/>
        </w:rPr>
        <w:t>shows that long-term water availability for the environment has declined by 4–28% in southern basins over the last 10–15 years, as Figure 1.1.4 shows. Reduced rainfall over this period has resulted in less frequent spills from reservoirs and lower rates of catchment run-off to waterways downstream of reservoirs. These changes mean that water for the environment needs to be a greater proportion of the water that is essential for environmental outcomes including waterway and wetland health.</w:t>
      </w:r>
    </w:p>
    <w:p w:rsidR="006A7A3F" w:rsidRDefault="00BC7372">
      <w:pPr>
        <w:pStyle w:val="BodyText"/>
        <w:spacing w:before="175" w:line="249" w:lineRule="auto"/>
        <w:ind w:right="297"/>
      </w:pPr>
      <w:r>
        <w:rPr>
          <w:color w:val="231F20"/>
        </w:rPr>
        <w:t>Environmental water entitlements on their own are less than what is recommended for intended environmental outcomes; and if a greater proportion of entitlements is used to compensate for reduced spills and run-off, there will be fewer opportunities to release the managed flows needed to improve environmental outcomes. A long-term water resource assessment for northern Victoria is due to begin in 2025.</w:t>
      </w:r>
    </w:p>
    <w:p w:rsidR="006A7A3F" w:rsidRDefault="00BC7372">
      <w:pPr>
        <w:pStyle w:val="BodyText"/>
        <w:spacing w:before="173" w:line="249" w:lineRule="auto"/>
        <w:ind w:right="457"/>
      </w:pPr>
      <w:r>
        <w:rPr>
          <w:color w:val="231F20"/>
        </w:rPr>
        <w:t>These observed and forecast changes to streamflows and extreme climatic events threaten not just to reduce the availability of water for the environment but also to decrease water quality and increase the incidence of algal blooms. Plants and animals that live in and around waterways and rely on well established flow patterns for successful feeding, breeding and movement through the landscape will also be</w:t>
      </w:r>
      <w:r>
        <w:rPr>
          <w:color w:val="231F20"/>
          <w:spacing w:val="-12"/>
        </w:rPr>
        <w:t xml:space="preserve"> </w:t>
      </w:r>
      <w:r>
        <w:rPr>
          <w:color w:val="231F20"/>
        </w:rPr>
        <w:t>affected.</w:t>
      </w:r>
    </w:p>
    <w:p w:rsidR="006A7A3F" w:rsidRDefault="00BC7372">
      <w:pPr>
        <w:pStyle w:val="BodyText"/>
        <w:spacing w:before="173"/>
      </w:pPr>
      <w:r>
        <w:rPr>
          <w:color w:val="231F20"/>
        </w:rPr>
        <w:t>Action 3.5 of Water for Victoria aims to improve the management of environmental flows in a changing climate.</w:t>
      </w:r>
    </w:p>
    <w:p w:rsidR="006A7A3F" w:rsidRDefault="00BC7372">
      <w:pPr>
        <w:pStyle w:val="BodyText"/>
        <w:spacing w:before="10" w:line="249" w:lineRule="auto"/>
        <w:ind w:right="297"/>
      </w:pPr>
      <w:r>
        <w:rPr>
          <w:color w:val="231F20"/>
        </w:rPr>
        <w:t>It states the Victorian Government’s commitment to continue to invest in environmental works and measures for priority environmental watering sites, which will allow better use of the VEWH’s existing water. In some instances, the VEWH may be able to opportunistically complement this investment using water trade revenue, where this optimises environmental outcomes.</w:t>
      </w:r>
    </w:p>
    <w:p w:rsidR="006A7A3F" w:rsidRDefault="00BC7372">
      <w:pPr>
        <w:pStyle w:val="BodyText"/>
        <w:spacing w:before="174" w:line="249" w:lineRule="auto"/>
        <w:ind w:right="180"/>
      </w:pPr>
      <w:r>
        <w:rPr>
          <w:color w:val="231F20"/>
        </w:rPr>
        <w:t>Action 3.5 also reaffirms commitments to recover water for the environment in the Thomson, Barwon, Moorabool, Werribee and Maribyrnong systems. Extra water was added to the Thomson environmental entitlement in 2017 and a new environmental entitlement was created for the upper Barwon River in 2019. Work continues to investigate water-recovery options in the other systems. All water recovered under these commitments will be managed by the VEWH and its partners to optimise future environmental outcomes in the face of climate change.</w:t>
      </w:r>
    </w:p>
    <w:p w:rsidR="006A7A3F" w:rsidRDefault="00BC7372">
      <w:pPr>
        <w:pStyle w:val="BodyText"/>
        <w:spacing w:before="174"/>
      </w:pPr>
      <w:r>
        <w:rPr>
          <w:color w:val="231F20"/>
        </w:rPr>
        <w:t>The VEWH and its program partners are addressing the challenges of climate change in the following ways.</w:t>
      </w:r>
    </w:p>
    <w:p w:rsidR="006A7A3F" w:rsidRDefault="006A7A3F">
      <w:pPr>
        <w:pStyle w:val="BodyText"/>
        <w:spacing w:before="9"/>
        <w:ind w:left="0"/>
      </w:pPr>
    </w:p>
    <w:p w:rsidR="006A7A3F" w:rsidRDefault="00BC7372">
      <w:pPr>
        <w:pStyle w:val="Heading4"/>
        <w:spacing w:line="242" w:lineRule="auto"/>
        <w:ind w:right="671"/>
      </w:pPr>
      <w:r>
        <w:rPr>
          <w:color w:val="231F20"/>
        </w:rPr>
        <w:t>Setting environmental watering objectives that describe the environmental outcomes that can be achieved under future climatic conditions</w:t>
      </w:r>
    </w:p>
    <w:p w:rsidR="006A7A3F" w:rsidRDefault="00BC7372">
      <w:pPr>
        <w:pStyle w:val="BodyText"/>
        <w:spacing w:before="57" w:line="249" w:lineRule="auto"/>
        <w:ind w:right="397"/>
      </w:pPr>
      <w:r>
        <w:rPr>
          <w:color w:val="231F20"/>
        </w:rPr>
        <w:t>Environmental flow studies and environmental water management plans are revised periodically to update environmental watering objectives and their required water regimes. These reviews consider how climate change will affect current environmental values and the types of outcomes that can be achieved in the future. Waterway managers also alter environmental watering objectives for individual systems to include the latest scientific information, as it becomes available. The seasonal watering plan presents the most up-to-date environmental watering objectives and the watering actions required to achieve them.</w:t>
      </w:r>
    </w:p>
    <w:p w:rsidR="00BC7372" w:rsidRDefault="00BC7372">
      <w:pPr>
        <w:rPr>
          <w:sz w:val="20"/>
          <w:szCs w:val="20"/>
        </w:rPr>
      </w:pPr>
      <w:r>
        <w:br w:type="page"/>
      </w:r>
    </w:p>
    <w:p w:rsidR="006A7A3F" w:rsidRDefault="006A7A3F">
      <w:pPr>
        <w:pStyle w:val="BodyText"/>
        <w:spacing w:before="4"/>
        <w:ind w:left="0"/>
      </w:pPr>
    </w:p>
    <w:p w:rsidR="006A7A3F" w:rsidRDefault="00BC7372">
      <w:pPr>
        <w:spacing w:line="271" w:lineRule="auto"/>
        <w:ind w:left="210" w:right="586"/>
        <w:rPr>
          <w:sz w:val="20"/>
        </w:rPr>
      </w:pPr>
      <w:r>
        <w:rPr>
          <w:b/>
          <w:color w:val="231F20"/>
          <w:sz w:val="24"/>
        </w:rPr>
        <w:t xml:space="preserve">Strengthening decisions about where and how water for the environment is used </w:t>
      </w:r>
      <w:r>
        <w:rPr>
          <w:color w:val="231F20"/>
          <w:sz w:val="20"/>
        </w:rPr>
        <w:t>During prolonged dry periods (which are more likely in the future), there is not enough water available to meet the</w:t>
      </w:r>
      <w:r>
        <w:rPr>
          <w:color w:val="231F20"/>
          <w:spacing w:val="-3"/>
          <w:sz w:val="20"/>
        </w:rPr>
        <w:t xml:space="preserve"> </w:t>
      </w:r>
      <w:r>
        <w:rPr>
          <w:color w:val="231F20"/>
          <w:sz w:val="20"/>
        </w:rPr>
        <w:t>needs</w:t>
      </w:r>
      <w:r>
        <w:rPr>
          <w:color w:val="231F20"/>
          <w:spacing w:val="-4"/>
          <w:sz w:val="20"/>
        </w:rPr>
        <w:t xml:space="preserve"> </w:t>
      </w:r>
      <w:r>
        <w:rPr>
          <w:color w:val="231F20"/>
          <w:sz w:val="20"/>
        </w:rPr>
        <w:t>of</w:t>
      </w:r>
      <w:r>
        <w:rPr>
          <w:color w:val="231F20"/>
          <w:spacing w:val="-3"/>
          <w:sz w:val="20"/>
        </w:rPr>
        <w:t xml:space="preserve"> </w:t>
      </w:r>
      <w:r>
        <w:rPr>
          <w:color w:val="231F20"/>
          <w:sz w:val="20"/>
        </w:rPr>
        <w:t>all</w:t>
      </w:r>
      <w:r>
        <w:rPr>
          <w:color w:val="231F20"/>
          <w:spacing w:val="-4"/>
          <w:sz w:val="20"/>
        </w:rPr>
        <w:t xml:space="preserve"> </w:t>
      </w:r>
      <w:r>
        <w:rPr>
          <w:color w:val="231F20"/>
          <w:sz w:val="20"/>
        </w:rPr>
        <w:t>waterways.</w:t>
      </w:r>
      <w:r>
        <w:rPr>
          <w:color w:val="231F20"/>
          <w:spacing w:val="-3"/>
          <w:sz w:val="20"/>
        </w:rPr>
        <w:t xml:space="preserve"> </w:t>
      </w:r>
      <w:r>
        <w:rPr>
          <w:color w:val="231F20"/>
          <w:sz w:val="20"/>
        </w:rPr>
        <w:t>Rigorous</w:t>
      </w:r>
      <w:r>
        <w:rPr>
          <w:color w:val="231F20"/>
          <w:spacing w:val="-4"/>
          <w:sz w:val="20"/>
        </w:rPr>
        <w:t xml:space="preserve"> </w:t>
      </w:r>
      <w:r>
        <w:rPr>
          <w:color w:val="231F20"/>
          <w:sz w:val="20"/>
        </w:rPr>
        <w:t>decisions</w:t>
      </w:r>
      <w:r>
        <w:rPr>
          <w:color w:val="231F20"/>
          <w:spacing w:val="-4"/>
          <w:sz w:val="20"/>
        </w:rPr>
        <w:t xml:space="preserve"> </w:t>
      </w:r>
      <w:r>
        <w:rPr>
          <w:color w:val="231F20"/>
          <w:sz w:val="20"/>
        </w:rPr>
        <w:t>must</w:t>
      </w:r>
      <w:r>
        <w:rPr>
          <w:color w:val="231F20"/>
          <w:spacing w:val="-2"/>
          <w:sz w:val="20"/>
        </w:rPr>
        <w:t xml:space="preserve"> </w:t>
      </w:r>
      <w:r>
        <w:rPr>
          <w:color w:val="231F20"/>
          <w:sz w:val="20"/>
        </w:rPr>
        <w:t>be</w:t>
      </w:r>
      <w:r>
        <w:rPr>
          <w:color w:val="231F20"/>
          <w:spacing w:val="-4"/>
          <w:sz w:val="20"/>
        </w:rPr>
        <w:t xml:space="preserve"> </w:t>
      </w:r>
      <w:r>
        <w:rPr>
          <w:color w:val="231F20"/>
          <w:sz w:val="20"/>
        </w:rPr>
        <w:t>made</w:t>
      </w:r>
      <w:r>
        <w:rPr>
          <w:color w:val="231F20"/>
          <w:spacing w:val="-2"/>
          <w:sz w:val="20"/>
        </w:rPr>
        <w:t xml:space="preserve"> </w:t>
      </w:r>
      <w:r>
        <w:rPr>
          <w:color w:val="231F20"/>
          <w:sz w:val="20"/>
        </w:rPr>
        <w:t>about</w:t>
      </w:r>
      <w:r>
        <w:rPr>
          <w:color w:val="231F20"/>
          <w:spacing w:val="-4"/>
          <w:sz w:val="20"/>
        </w:rPr>
        <w:t xml:space="preserve"> </w:t>
      </w:r>
      <w:r>
        <w:rPr>
          <w:color w:val="231F20"/>
          <w:sz w:val="20"/>
        </w:rPr>
        <w:t>where</w:t>
      </w:r>
      <w:r>
        <w:rPr>
          <w:color w:val="231F20"/>
          <w:spacing w:val="-3"/>
          <w:sz w:val="20"/>
        </w:rPr>
        <w:t xml:space="preserve"> </w:t>
      </w:r>
      <w:r>
        <w:rPr>
          <w:color w:val="231F20"/>
          <w:sz w:val="20"/>
        </w:rPr>
        <w:t>and</w:t>
      </w:r>
      <w:r>
        <w:rPr>
          <w:color w:val="231F20"/>
          <w:spacing w:val="-4"/>
          <w:sz w:val="20"/>
        </w:rPr>
        <w:t xml:space="preserve"> </w:t>
      </w:r>
      <w:r>
        <w:rPr>
          <w:color w:val="231F20"/>
          <w:sz w:val="20"/>
        </w:rPr>
        <w:t>how</w:t>
      </w:r>
      <w:r>
        <w:rPr>
          <w:color w:val="231F20"/>
          <w:spacing w:val="-4"/>
          <w:sz w:val="20"/>
        </w:rPr>
        <w:t xml:space="preserve"> </w:t>
      </w:r>
      <w:r>
        <w:rPr>
          <w:color w:val="231F20"/>
          <w:sz w:val="20"/>
        </w:rPr>
        <w:t>to</w:t>
      </w:r>
      <w:r>
        <w:rPr>
          <w:color w:val="231F20"/>
          <w:spacing w:val="-2"/>
          <w:sz w:val="20"/>
        </w:rPr>
        <w:t xml:space="preserve"> </w:t>
      </w:r>
      <w:r>
        <w:rPr>
          <w:color w:val="231F20"/>
          <w:sz w:val="20"/>
        </w:rPr>
        <w:t>use</w:t>
      </w:r>
      <w:r>
        <w:rPr>
          <w:color w:val="231F20"/>
          <w:spacing w:val="-4"/>
          <w:sz w:val="20"/>
        </w:rPr>
        <w:t xml:space="preserve"> </w:t>
      </w:r>
      <w:r>
        <w:rPr>
          <w:color w:val="231F20"/>
          <w:sz w:val="20"/>
        </w:rPr>
        <w:t>the</w:t>
      </w:r>
      <w:r>
        <w:rPr>
          <w:color w:val="231F20"/>
          <w:spacing w:val="-2"/>
          <w:sz w:val="20"/>
        </w:rPr>
        <w:t xml:space="preserve"> </w:t>
      </w:r>
      <w:r>
        <w:rPr>
          <w:color w:val="231F20"/>
          <w:sz w:val="20"/>
        </w:rPr>
        <w:t>available</w:t>
      </w:r>
      <w:r>
        <w:rPr>
          <w:color w:val="231F20"/>
          <w:spacing w:val="-4"/>
          <w:sz w:val="20"/>
        </w:rPr>
        <w:t xml:space="preserve"> </w:t>
      </w:r>
      <w:r>
        <w:rPr>
          <w:color w:val="231F20"/>
          <w:spacing w:val="-3"/>
          <w:sz w:val="20"/>
        </w:rPr>
        <w:t>water,</w:t>
      </w:r>
    </w:p>
    <w:p w:rsidR="006A7A3F" w:rsidRDefault="00BC7372">
      <w:pPr>
        <w:pStyle w:val="BodyText"/>
        <w:spacing w:before="0" w:line="213" w:lineRule="exact"/>
      </w:pPr>
      <w:r>
        <w:rPr>
          <w:color w:val="231F20"/>
        </w:rPr>
        <w:t>to optimise environmental outcomes for enduring benefit. Most high-priority environmental watering objectives</w:t>
      </w:r>
    </w:p>
    <w:p w:rsidR="006A7A3F" w:rsidRDefault="00BC7372">
      <w:pPr>
        <w:pStyle w:val="BodyText"/>
        <w:spacing w:before="10" w:line="249" w:lineRule="auto"/>
        <w:ind w:right="456"/>
      </w:pPr>
      <w:r>
        <w:rPr>
          <w:color w:val="231F20"/>
        </w:rPr>
        <w:t>rely on ecosystem processes that operate beyond individual rivers or wetlands. Therefore, in prioritising sites for environmental watering, decision-makers are increasingly considering the combination of waterways that need to be watered to optimise outcomes. Portfolios of waterways are being managed in a coordinated way to support high-value species, as well as critical ecosystem</w:t>
      </w:r>
      <w:r>
        <w:rPr>
          <w:color w:val="231F20"/>
          <w:spacing w:val="-7"/>
        </w:rPr>
        <w:t xml:space="preserve"> </w:t>
      </w:r>
      <w:r>
        <w:rPr>
          <w:color w:val="231F20"/>
        </w:rPr>
        <w:t>services.</w:t>
      </w:r>
    </w:p>
    <w:p w:rsidR="006A7A3F" w:rsidRDefault="00BC7372">
      <w:pPr>
        <w:pStyle w:val="BodyText"/>
        <w:spacing w:before="174" w:line="249" w:lineRule="auto"/>
        <w:ind w:right="209"/>
      </w:pPr>
      <w:r>
        <w:rPr>
          <w:color w:val="231F20"/>
        </w:rPr>
        <w:t>For example, coordinated releases from Hume Reservoir, the Goulburn River and Campaspe River have been used</w:t>
      </w:r>
      <w:r>
        <w:rPr>
          <w:color w:val="231F20"/>
          <w:spacing w:val="-4"/>
        </w:rPr>
        <w:t xml:space="preserve"> </w:t>
      </w:r>
      <w:r>
        <w:rPr>
          <w:color w:val="231F20"/>
        </w:rPr>
        <w:t>to</w:t>
      </w:r>
      <w:r>
        <w:rPr>
          <w:color w:val="231F20"/>
          <w:spacing w:val="-3"/>
        </w:rPr>
        <w:t xml:space="preserve"> </w:t>
      </w:r>
      <w:r>
        <w:rPr>
          <w:color w:val="231F20"/>
        </w:rPr>
        <w:t>trigger</w:t>
      </w:r>
      <w:r>
        <w:rPr>
          <w:color w:val="231F20"/>
          <w:spacing w:val="-2"/>
        </w:rPr>
        <w:t xml:space="preserve"> </w:t>
      </w:r>
      <w:r>
        <w:rPr>
          <w:color w:val="231F20"/>
        </w:rPr>
        <w:t>the</w:t>
      </w:r>
      <w:r>
        <w:rPr>
          <w:color w:val="231F20"/>
          <w:spacing w:val="-3"/>
        </w:rPr>
        <w:t xml:space="preserve"> </w:t>
      </w:r>
      <w:r>
        <w:rPr>
          <w:color w:val="231F20"/>
        </w:rPr>
        <w:t>movement</w:t>
      </w:r>
      <w:r>
        <w:rPr>
          <w:color w:val="231F20"/>
          <w:spacing w:val="-3"/>
        </w:rPr>
        <w:t xml:space="preserve"> </w:t>
      </w:r>
      <w:r>
        <w:rPr>
          <w:color w:val="231F20"/>
        </w:rPr>
        <w:t>of</w:t>
      </w:r>
      <w:r>
        <w:rPr>
          <w:color w:val="231F20"/>
          <w:spacing w:val="-3"/>
        </w:rPr>
        <w:t xml:space="preserve"> </w:t>
      </w:r>
      <w:r>
        <w:rPr>
          <w:color w:val="231F20"/>
        </w:rPr>
        <w:t>young</w:t>
      </w:r>
      <w:r>
        <w:rPr>
          <w:color w:val="231F20"/>
          <w:spacing w:val="-3"/>
        </w:rPr>
        <w:t xml:space="preserve"> </w:t>
      </w:r>
      <w:r>
        <w:rPr>
          <w:color w:val="231F20"/>
        </w:rPr>
        <w:t>golden</w:t>
      </w:r>
      <w:r>
        <w:rPr>
          <w:color w:val="231F20"/>
          <w:spacing w:val="-4"/>
        </w:rPr>
        <w:t xml:space="preserve"> </w:t>
      </w:r>
      <w:r>
        <w:rPr>
          <w:color w:val="231F20"/>
        </w:rPr>
        <w:t>perch</w:t>
      </w:r>
      <w:r>
        <w:rPr>
          <w:color w:val="231F20"/>
          <w:spacing w:val="-3"/>
        </w:rPr>
        <w:t xml:space="preserve"> </w:t>
      </w:r>
      <w:r>
        <w:rPr>
          <w:color w:val="231F20"/>
        </w:rPr>
        <w:t>and</w:t>
      </w:r>
      <w:r>
        <w:rPr>
          <w:color w:val="231F20"/>
          <w:spacing w:val="-4"/>
        </w:rPr>
        <w:t xml:space="preserve"> </w:t>
      </w:r>
      <w:r>
        <w:rPr>
          <w:color w:val="231F20"/>
        </w:rPr>
        <w:t>silver</w:t>
      </w:r>
      <w:r>
        <w:rPr>
          <w:color w:val="231F20"/>
          <w:spacing w:val="-3"/>
        </w:rPr>
        <w:t xml:space="preserve"> </w:t>
      </w:r>
      <w:r>
        <w:rPr>
          <w:color w:val="231F20"/>
        </w:rPr>
        <w:t>perch</w:t>
      </w:r>
      <w:r>
        <w:rPr>
          <w:color w:val="231F20"/>
          <w:spacing w:val="-3"/>
        </w:rPr>
        <w:t xml:space="preserve"> </w:t>
      </w:r>
      <w:r>
        <w:rPr>
          <w:color w:val="231F20"/>
        </w:rPr>
        <w:t>throughout</w:t>
      </w:r>
      <w:r>
        <w:rPr>
          <w:color w:val="231F20"/>
          <w:spacing w:val="-3"/>
        </w:rPr>
        <w:t xml:space="preserve"> </w:t>
      </w:r>
      <w:r>
        <w:rPr>
          <w:color w:val="231F20"/>
        </w:rPr>
        <w:t>northern</w:t>
      </w:r>
      <w:r>
        <w:rPr>
          <w:color w:val="231F20"/>
          <w:spacing w:val="-4"/>
        </w:rPr>
        <w:t xml:space="preserve"> </w:t>
      </w:r>
      <w:r>
        <w:rPr>
          <w:color w:val="231F20"/>
        </w:rPr>
        <w:t>Victorian</w:t>
      </w:r>
      <w:r>
        <w:rPr>
          <w:color w:val="231F20"/>
          <w:spacing w:val="-3"/>
        </w:rPr>
        <w:t xml:space="preserve"> </w:t>
      </w:r>
      <w:r>
        <w:rPr>
          <w:color w:val="231F20"/>
        </w:rPr>
        <w:t>waterways.</w:t>
      </w:r>
      <w:r>
        <w:rPr>
          <w:color w:val="231F20"/>
          <w:spacing w:val="-7"/>
        </w:rPr>
        <w:t xml:space="preserve"> </w:t>
      </w:r>
      <w:r>
        <w:rPr>
          <w:color w:val="231F20"/>
        </w:rPr>
        <w:t>The VEWH and its program partners are also working together to identify the most important refuge habitats to water during critically dry</w:t>
      </w:r>
      <w:r>
        <w:rPr>
          <w:color w:val="231F20"/>
          <w:spacing w:val="-3"/>
        </w:rPr>
        <w:t xml:space="preserve"> </w:t>
      </w:r>
      <w:r>
        <w:rPr>
          <w:color w:val="231F20"/>
        </w:rPr>
        <w:t>periods.</w:t>
      </w:r>
    </w:p>
    <w:p w:rsidR="006A7A3F" w:rsidRDefault="006A7A3F">
      <w:pPr>
        <w:pStyle w:val="BodyText"/>
        <w:spacing w:before="2"/>
        <w:ind w:left="0"/>
      </w:pPr>
    </w:p>
    <w:p w:rsidR="006A7A3F" w:rsidRDefault="00BC7372">
      <w:pPr>
        <w:pStyle w:val="Heading4"/>
      </w:pPr>
      <w:r>
        <w:rPr>
          <w:color w:val="231F20"/>
        </w:rPr>
        <w:t>Optimising environmental outcomes of operational water releases</w:t>
      </w:r>
    </w:p>
    <w:p w:rsidR="006A7A3F" w:rsidRDefault="00BC7372" w:rsidP="00BC7372">
      <w:pPr>
        <w:pStyle w:val="BodyText"/>
        <w:spacing w:before="58" w:line="249" w:lineRule="auto"/>
        <w:ind w:right="508"/>
      </w:pPr>
      <w:r>
        <w:rPr>
          <w:color w:val="231F20"/>
        </w:rPr>
        <w:t>The VEWH is working closely with storage managers and river operators to identify how operational releases — water releases made from storages to enable the water distribution system to operate or make water available for consumptive uses — can be delivered in ways that meet customer needs and contribute to environmental outcomes. This also helps river operators meet their environmental obligations.</w:t>
      </w:r>
    </w:p>
    <w:p w:rsidR="006A7A3F" w:rsidRDefault="006A7A3F">
      <w:pPr>
        <w:pStyle w:val="BodyText"/>
        <w:spacing w:before="1"/>
        <w:ind w:left="0"/>
      </w:pPr>
    </w:p>
    <w:p w:rsidR="006A7A3F" w:rsidRDefault="00BC7372">
      <w:pPr>
        <w:pStyle w:val="Heading4"/>
      </w:pPr>
      <w:r>
        <w:rPr>
          <w:color w:val="231F20"/>
        </w:rPr>
        <w:t>Planning for a range of climatic scenarios each year</w:t>
      </w:r>
    </w:p>
    <w:p w:rsidR="006A7A3F" w:rsidRDefault="00BC7372">
      <w:pPr>
        <w:pStyle w:val="BodyText"/>
        <w:spacing w:before="58" w:line="249" w:lineRule="auto"/>
        <w:ind w:right="342"/>
      </w:pPr>
      <w:r>
        <w:rPr>
          <w:color w:val="231F20"/>
        </w:rPr>
        <w:t>Watering requirements can vary considerably between wet and dry years. In drought and dry conditions, the aim is to prevent catastrophic losses and maintain critical refuge habitats to prevent significant declines of native populations. In wet conditions, the aim shifts to boosting ecological productivity and environmental condition and to increasing populations of native plants and animals. Climatic conditions can change quickly within a year, and the</w:t>
      </w:r>
      <w:r>
        <w:rPr>
          <w:color w:val="231F20"/>
          <w:spacing w:val="-4"/>
        </w:rPr>
        <w:t xml:space="preserve"> </w:t>
      </w:r>
      <w:r>
        <w:rPr>
          <w:color w:val="231F20"/>
        </w:rPr>
        <w:t>VEWH</w:t>
      </w:r>
      <w:r>
        <w:rPr>
          <w:color w:val="231F20"/>
          <w:spacing w:val="-4"/>
        </w:rPr>
        <w:t xml:space="preserve"> </w:t>
      </w:r>
      <w:r>
        <w:rPr>
          <w:color w:val="231F20"/>
        </w:rPr>
        <w:t>and</w:t>
      </w:r>
      <w:r>
        <w:rPr>
          <w:color w:val="231F20"/>
          <w:spacing w:val="-5"/>
        </w:rPr>
        <w:t xml:space="preserve"> </w:t>
      </w:r>
      <w:r>
        <w:rPr>
          <w:color w:val="231F20"/>
        </w:rPr>
        <w:t>its</w:t>
      </w:r>
      <w:r>
        <w:rPr>
          <w:color w:val="231F20"/>
          <w:spacing w:val="-4"/>
        </w:rPr>
        <w:t xml:space="preserve"> </w:t>
      </w:r>
      <w:r>
        <w:rPr>
          <w:color w:val="231F20"/>
        </w:rPr>
        <w:t>program</w:t>
      </w:r>
      <w:r>
        <w:rPr>
          <w:color w:val="231F20"/>
          <w:spacing w:val="-5"/>
        </w:rPr>
        <w:t xml:space="preserve"> </w:t>
      </w:r>
      <w:r>
        <w:rPr>
          <w:color w:val="231F20"/>
        </w:rPr>
        <w:t>partners</w:t>
      </w:r>
      <w:r>
        <w:rPr>
          <w:color w:val="231F20"/>
          <w:spacing w:val="-5"/>
        </w:rPr>
        <w:t xml:space="preserve"> </w:t>
      </w:r>
      <w:r>
        <w:rPr>
          <w:color w:val="231F20"/>
        </w:rPr>
        <w:t>need</w:t>
      </w:r>
      <w:r>
        <w:rPr>
          <w:color w:val="231F20"/>
          <w:spacing w:val="-5"/>
        </w:rPr>
        <w:t xml:space="preserve"> </w:t>
      </w:r>
      <w:r>
        <w:rPr>
          <w:color w:val="231F20"/>
        </w:rPr>
        <w:t>to</w:t>
      </w:r>
      <w:r>
        <w:rPr>
          <w:color w:val="231F20"/>
          <w:spacing w:val="-3"/>
        </w:rPr>
        <w:t xml:space="preserve"> </w:t>
      </w:r>
      <w:r>
        <w:rPr>
          <w:color w:val="231F20"/>
        </w:rPr>
        <w:t>be</w:t>
      </w:r>
      <w:r>
        <w:rPr>
          <w:color w:val="231F20"/>
          <w:spacing w:val="-5"/>
        </w:rPr>
        <w:t xml:space="preserve"> </w:t>
      </w:r>
      <w:r>
        <w:rPr>
          <w:color w:val="231F20"/>
        </w:rPr>
        <w:t>able</w:t>
      </w:r>
      <w:r>
        <w:rPr>
          <w:color w:val="231F20"/>
          <w:spacing w:val="-5"/>
        </w:rPr>
        <w:t xml:space="preserve"> </w:t>
      </w:r>
      <w:r>
        <w:rPr>
          <w:color w:val="231F20"/>
        </w:rPr>
        <w:t>to</w:t>
      </w:r>
      <w:r>
        <w:rPr>
          <w:color w:val="231F20"/>
          <w:spacing w:val="-4"/>
        </w:rPr>
        <w:t xml:space="preserve"> </w:t>
      </w:r>
      <w:r>
        <w:rPr>
          <w:color w:val="231F20"/>
        </w:rPr>
        <w:t>respond</w:t>
      </w:r>
      <w:r>
        <w:rPr>
          <w:color w:val="231F20"/>
          <w:spacing w:val="-3"/>
        </w:rPr>
        <w:t xml:space="preserve"> </w:t>
      </w:r>
      <w:r>
        <w:rPr>
          <w:color w:val="231F20"/>
        </w:rPr>
        <w:t>accordingly.</w:t>
      </w:r>
      <w:r>
        <w:rPr>
          <w:color w:val="231F20"/>
          <w:spacing w:val="-8"/>
        </w:rPr>
        <w:t xml:space="preserve"> </w:t>
      </w:r>
      <w:r>
        <w:rPr>
          <w:color w:val="231F20"/>
        </w:rPr>
        <w:t>The</w:t>
      </w:r>
      <w:r>
        <w:rPr>
          <w:color w:val="231F20"/>
          <w:spacing w:val="-4"/>
        </w:rPr>
        <w:t xml:space="preserve"> </w:t>
      </w:r>
      <w:r>
        <w:rPr>
          <w:color w:val="231F20"/>
        </w:rPr>
        <w:t>seasonal</w:t>
      </w:r>
      <w:r>
        <w:rPr>
          <w:color w:val="231F20"/>
          <w:spacing w:val="-3"/>
        </w:rPr>
        <w:t xml:space="preserve"> </w:t>
      </w:r>
      <w:r>
        <w:rPr>
          <w:color w:val="231F20"/>
        </w:rPr>
        <w:t>watering</w:t>
      </w:r>
      <w:r>
        <w:rPr>
          <w:color w:val="231F20"/>
          <w:spacing w:val="-5"/>
        </w:rPr>
        <w:t xml:space="preserve"> </w:t>
      </w:r>
      <w:r>
        <w:rPr>
          <w:color w:val="231F20"/>
        </w:rPr>
        <w:t>plan</w:t>
      </w:r>
      <w:r>
        <w:rPr>
          <w:color w:val="231F20"/>
          <w:spacing w:val="-5"/>
        </w:rPr>
        <w:t xml:space="preserve"> </w:t>
      </w:r>
      <w:r>
        <w:rPr>
          <w:color w:val="231F20"/>
        </w:rPr>
        <w:t>identifies</w:t>
      </w:r>
    </w:p>
    <w:p w:rsidR="006A7A3F" w:rsidRDefault="00BC7372">
      <w:pPr>
        <w:pStyle w:val="BodyText"/>
        <w:spacing w:before="5" w:line="249" w:lineRule="auto"/>
        <w:ind w:right="241"/>
      </w:pPr>
      <w:r>
        <w:rPr>
          <w:color w:val="231F20"/>
        </w:rPr>
        <w:t>potential watering actions that may be delivered to each system under different climatic scenarios: this is explained in more detail in subsection 1.3.4.</w:t>
      </w:r>
    </w:p>
    <w:p w:rsidR="006A7A3F" w:rsidRDefault="00BC7372">
      <w:pPr>
        <w:spacing w:before="166"/>
        <w:ind w:left="210"/>
        <w:rPr>
          <w:b/>
          <w:sz w:val="18"/>
        </w:rPr>
      </w:pPr>
      <w:r>
        <w:rPr>
          <w:b/>
          <w:color w:val="231F20"/>
          <w:sz w:val="18"/>
        </w:rPr>
        <w:t>Figure 1.1.3 Projected changes in run-off in 2065, medium climate change scenario</w:t>
      </w:r>
    </w:p>
    <w:p w:rsidR="006A7A3F" w:rsidRDefault="00BC7372">
      <w:pPr>
        <w:pStyle w:val="BodyText"/>
        <w:spacing w:before="3"/>
        <w:ind w:left="0"/>
        <w:rPr>
          <w:b/>
          <w:sz w:val="11"/>
        </w:rPr>
      </w:pPr>
      <w:r>
        <w:rPr>
          <w:noProof/>
        </w:rPr>
        <w:drawing>
          <wp:inline distT="0" distB="0" distL="0" distR="0">
            <wp:extent cx="6076992" cy="3511296"/>
            <wp:effectExtent l="0" t="0" r="0" b="0"/>
            <wp:docPr id="5" name="image3.jpeg" descr="Graphic shows a colour coded map of projected changes in run-off for 2065 under medium climate ch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6992" cy="3511296"/>
                    </a:xfrm>
                    <a:prstGeom prst="rect">
                      <a:avLst/>
                    </a:prstGeom>
                  </pic:spPr>
                </pic:pic>
              </a:graphicData>
            </a:graphic>
          </wp:inline>
        </w:drawing>
      </w:r>
    </w:p>
    <w:p w:rsidR="006A7A3F" w:rsidRDefault="006A7A3F">
      <w:pPr>
        <w:pStyle w:val="BodyText"/>
        <w:spacing w:before="12"/>
        <w:ind w:left="0"/>
        <w:rPr>
          <w:rFonts w:ascii="HelveticaNeueLTStd-LtIt"/>
          <w:i/>
          <w:sz w:val="21"/>
        </w:rPr>
      </w:pPr>
    </w:p>
    <w:p w:rsidR="00175607" w:rsidRDefault="00175607">
      <w:pPr>
        <w:rPr>
          <w:b/>
          <w:color w:val="231F20"/>
          <w:sz w:val="18"/>
        </w:rPr>
      </w:pPr>
      <w:r>
        <w:rPr>
          <w:b/>
          <w:color w:val="231F20"/>
          <w:sz w:val="18"/>
        </w:rPr>
        <w:br w:type="page"/>
      </w:r>
    </w:p>
    <w:p w:rsidR="006A7A3F" w:rsidRDefault="00BC7372">
      <w:pPr>
        <w:spacing w:line="249" w:lineRule="auto"/>
        <w:ind w:left="210" w:right="1717"/>
        <w:rPr>
          <w:b/>
          <w:sz w:val="18"/>
        </w:rPr>
      </w:pPr>
      <w:r>
        <w:rPr>
          <w:b/>
          <w:color w:val="231F20"/>
          <w:sz w:val="18"/>
        </w:rPr>
        <w:t>Figure 1.1.4 Changes in long-term surface water availability for the environment since 2005, by basin, southern Victoria</w:t>
      </w:r>
    </w:p>
    <w:p w:rsidR="006A7A3F" w:rsidRDefault="00BC7372">
      <w:pPr>
        <w:pStyle w:val="BodyText"/>
        <w:spacing w:before="0"/>
        <w:ind w:left="267"/>
      </w:pPr>
      <w:r>
        <w:rPr>
          <w:noProof/>
        </w:rPr>
        <w:drawing>
          <wp:inline distT="0" distB="0" distL="0" distR="0">
            <wp:extent cx="5184641" cy="3666744"/>
            <wp:effectExtent l="0" t="0" r="0" b="0"/>
            <wp:docPr id="7" name="image4.jpeg" descr="Map of Victoria showing the changes in the long-term surface water availability for the environment sinc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5184641" cy="3666744"/>
                    </a:xfrm>
                    <a:prstGeom prst="rect">
                      <a:avLst/>
                    </a:prstGeom>
                  </pic:spPr>
                </pic:pic>
              </a:graphicData>
            </a:graphic>
          </wp:inline>
        </w:drawing>
      </w:r>
    </w:p>
    <w:p w:rsidR="006A7A3F" w:rsidRDefault="006A7A3F">
      <w:pPr>
        <w:pStyle w:val="BodyText"/>
        <w:spacing w:before="9"/>
        <w:ind w:left="0"/>
        <w:rPr>
          <w:b/>
          <w:sz w:val="18"/>
        </w:rPr>
      </w:pPr>
    </w:p>
    <w:p w:rsidR="006A7A3F" w:rsidRDefault="00BC7372" w:rsidP="009B6917">
      <w:pPr>
        <w:pStyle w:val="Heading4"/>
        <w:numPr>
          <w:ilvl w:val="2"/>
          <w:numId w:val="1420"/>
        </w:numPr>
        <w:tabs>
          <w:tab w:val="left" w:pos="931"/>
        </w:tabs>
        <w:spacing w:before="93"/>
        <w:ind w:hanging="721"/>
      </w:pPr>
      <w:r>
        <w:rPr>
          <w:color w:val="231F20"/>
        </w:rPr>
        <w:t>How do we know the environmental watering program is</w:t>
      </w:r>
      <w:r>
        <w:rPr>
          <w:color w:val="231F20"/>
          <w:spacing w:val="-10"/>
        </w:rPr>
        <w:t xml:space="preserve"> </w:t>
      </w:r>
      <w:r>
        <w:rPr>
          <w:color w:val="231F20"/>
        </w:rPr>
        <w:t>successful?</w:t>
      </w:r>
    </w:p>
    <w:p w:rsidR="006A7A3F" w:rsidRDefault="00BC7372">
      <w:pPr>
        <w:pStyle w:val="BodyText"/>
        <w:spacing w:before="58" w:line="249" w:lineRule="auto"/>
        <w:ind w:right="308"/>
      </w:pPr>
      <w:r>
        <w:rPr>
          <w:color w:val="231F20"/>
        </w:rPr>
        <w:t>Effective monitoring is essential for the continued improvement of the environmental watering program. It provides information that can be shared with all stakeholders to demonstrate the outcomes of watering actions, and it identifies what is needed to improve the effectiveness of future watering actions.</w:t>
      </w:r>
    </w:p>
    <w:p w:rsidR="006A7A3F" w:rsidRDefault="00BC7372">
      <w:pPr>
        <w:pStyle w:val="BodyText"/>
        <w:spacing w:before="173" w:line="249" w:lineRule="auto"/>
        <w:ind w:right="397"/>
      </w:pPr>
      <w:r>
        <w:rPr>
          <w:color w:val="231F20"/>
        </w:rPr>
        <w:t>The effect of water for the environment in Victoria is directly assessed through large-scale monitoring programs, which measure multiple indicators at multiple sites over multiple years. There are also discrete investigations that examine responses at a single wetland or river reach.</w:t>
      </w:r>
    </w:p>
    <w:p w:rsidR="006A7A3F" w:rsidRDefault="00BC7372">
      <w:pPr>
        <w:pStyle w:val="BodyText"/>
        <w:spacing w:line="249" w:lineRule="auto"/>
        <w:ind w:right="297"/>
      </w:pPr>
      <w:r>
        <w:rPr>
          <w:color w:val="231F20"/>
        </w:rPr>
        <w:t>DELWP funds two programs that monitor environmental watering outcomes at a statewide scale. The Victorian Environmental Flows Monitoring Assessment Program (VEFMAP) investigates the effect that environmental flows in Victorian rivers have on native fish and aquatic and riparian vegetation. The Wetland Monitoring Assessment Program (WetMAP) examines the effect that water for the environment has on native vegetation, waterbirds, fish and frogs in wetlands.</w:t>
      </w:r>
    </w:p>
    <w:p w:rsidR="006A7A3F" w:rsidRDefault="00BC7372">
      <w:pPr>
        <w:pStyle w:val="BodyText"/>
        <w:spacing w:before="174" w:line="249" w:lineRule="auto"/>
        <w:ind w:right="297"/>
      </w:pPr>
      <w:r>
        <w:rPr>
          <w:color w:val="231F20"/>
        </w:rPr>
        <w:t>Selected Victorian waterways are monitored as part of three Murray-Darling Basin environmental water monitoring programs. The MDBA funds environmental condition and intervention monitoring activities at Barmah Forest, Gunbower Forest, Hattah Lakes and the Lindsay, Mulcra and Wallpolla islands as part of The Living Murray program. Annual condition report cards that are produced for each site demonstrate the effect of more than a decade of environmental watering at these important icon sites</w:t>
      </w:r>
    </w:p>
    <w:p w:rsidR="006A7A3F" w:rsidRDefault="00BC7372">
      <w:pPr>
        <w:pStyle w:val="BodyText"/>
        <w:spacing w:before="4" w:line="249" w:lineRule="auto"/>
        <w:ind w:right="251"/>
      </w:pPr>
      <w:r>
        <w:rPr>
          <w:color w:val="231F20"/>
        </w:rPr>
        <w:t>(see Figure 1.1.5). The Commonwealth Environmental Water Holder (CEWH) funds fish, vegetation, stream metabolism and bank erosion monitoring in the lower Goulburn River as part of its basinwide Long-term Intervention Monitoring program. The Australian Government, along with key research organisations and jurisdictional agencies, funds the Environmental Water Knowledge and Research program, which investigates four themes — vegetation, fish, waterbirds and food webs — to improve the science that supports the management of water for the environment in the Murray-Darling Basin.</w:t>
      </w:r>
    </w:p>
    <w:p w:rsidR="006A7A3F" w:rsidRDefault="00BC7372">
      <w:pPr>
        <w:pStyle w:val="BodyText"/>
        <w:spacing w:before="175" w:line="249" w:lineRule="auto"/>
        <w:ind w:right="242"/>
      </w:pPr>
      <w:r>
        <w:rPr>
          <w:color w:val="231F20"/>
        </w:rPr>
        <w:t>The VEWH funds waterway managers to conduct discrete, short-term investigations at river reaches and wetlands. These investigations focus on learning and adaptive management.</w:t>
      </w:r>
    </w:p>
    <w:p w:rsidR="00BC7372" w:rsidRDefault="00BC7372">
      <w:pPr>
        <w:rPr>
          <w:color w:val="231F20"/>
          <w:sz w:val="20"/>
          <w:szCs w:val="20"/>
        </w:rPr>
      </w:pPr>
      <w:r>
        <w:rPr>
          <w:color w:val="231F20"/>
        </w:rPr>
        <w:br w:type="page"/>
      </w:r>
    </w:p>
    <w:p w:rsidR="006A7A3F" w:rsidRDefault="00BC7372">
      <w:pPr>
        <w:pStyle w:val="BodyText"/>
        <w:spacing w:line="249" w:lineRule="auto"/>
        <w:ind w:right="457"/>
      </w:pPr>
      <w:r>
        <w:rPr>
          <w:color w:val="231F20"/>
        </w:rPr>
        <w:t>A secondary focus of the VEWH’s monitoring investment is communications, engagement and reporting to the community. To achieve these, the VEWH helps community groups, citizen scientists and Traditional Owners observe and report on the outcomes of the environmental watering program.</w:t>
      </w:r>
    </w:p>
    <w:p w:rsidR="006A7A3F" w:rsidRDefault="00BC7372">
      <w:pPr>
        <w:pStyle w:val="BodyText"/>
        <w:spacing w:before="173" w:line="249" w:lineRule="auto"/>
        <w:ind w:right="252"/>
      </w:pPr>
      <w:r>
        <w:rPr>
          <w:color w:val="231F20"/>
        </w:rPr>
        <w:t>The VEWH and its program partners regularly liaise with scientists who are monitoring responses on the ground and with organisations responsible for overseeing the larger-scale monitoring programs, to ensure the most up-to- date information is used to inform environmental watering decisions. The VEWH also reports some of the available monitoring results in its annual Reflections report, to increase awareness about environmental watering outcomes among all stakeholders and the community.</w:t>
      </w:r>
    </w:p>
    <w:p w:rsidR="006A7A3F" w:rsidRDefault="00BC7372">
      <w:pPr>
        <w:pStyle w:val="BodyText"/>
        <w:spacing w:before="70" w:line="249" w:lineRule="auto"/>
        <w:ind w:right="100"/>
      </w:pPr>
      <w:r>
        <w:rPr>
          <w:color w:val="231F20"/>
        </w:rPr>
        <w:t xml:space="preserve">Figure 1.1.5 shows scores by the MDBA of the overall achievement of ecological objectives for Living Murray icon sites between 2006–07 and 2017–18. Sites with scores higher in the alphabet have consistently received a large proportion of their water regime for five or more years. See </w:t>
      </w:r>
      <w:hyperlink r:id="rId11">
        <w:r>
          <w:rPr>
            <w:color w:val="205E9E"/>
            <w:u w:val="single" w:color="205E9E"/>
          </w:rPr>
          <w:t>www.mdba.gov.au</w:t>
        </w:r>
        <w:r>
          <w:rPr>
            <w:color w:val="205E9E"/>
          </w:rPr>
          <w:t xml:space="preserve"> </w:t>
        </w:r>
      </w:hyperlink>
      <w:r>
        <w:rPr>
          <w:color w:val="231F20"/>
        </w:rPr>
        <w:t>for details.</w:t>
      </w:r>
    </w:p>
    <w:p w:rsidR="006A7A3F" w:rsidRDefault="00BC7372">
      <w:pPr>
        <w:spacing w:before="168"/>
        <w:ind w:left="210"/>
        <w:rPr>
          <w:b/>
          <w:sz w:val="18"/>
        </w:rPr>
      </w:pPr>
      <w:r>
        <w:rPr>
          <w:b/>
          <w:color w:val="231F20"/>
          <w:sz w:val="18"/>
        </w:rPr>
        <w:t>Figure 1.1.5 Environmental condition report card scores, Living Murray icon sites, 2006–07 to 2017–18</w:t>
      </w:r>
    </w:p>
    <w:p w:rsidR="006A7A3F" w:rsidRDefault="00BC7372">
      <w:pPr>
        <w:pStyle w:val="BodyText"/>
        <w:spacing w:before="71"/>
      </w:pPr>
      <w:r>
        <w:rPr>
          <w:color w:val="231F20"/>
        </w:rPr>
        <w:t>Overall achievement of objectives scores</w:t>
      </w:r>
    </w:p>
    <w:p w:rsidR="006A7A3F" w:rsidRDefault="006A7A3F">
      <w:pPr>
        <w:pStyle w:val="BodyText"/>
        <w:spacing w:before="1"/>
        <w:ind w:left="0"/>
        <w:rPr>
          <w:sz w:val="13"/>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304"/>
        <w:gridCol w:w="1191"/>
        <w:gridCol w:w="1191"/>
        <w:gridCol w:w="1191"/>
        <w:gridCol w:w="1191"/>
        <w:gridCol w:w="1191"/>
        <w:gridCol w:w="1191"/>
        <w:gridCol w:w="1191"/>
      </w:tblGrid>
      <w:tr w:rsidR="006A7A3F">
        <w:trPr>
          <w:trHeight w:val="1213"/>
        </w:trPr>
        <w:tc>
          <w:tcPr>
            <w:tcW w:w="1304" w:type="dxa"/>
            <w:tcBorders>
              <w:top w:val="nil"/>
              <w:left w:val="nil"/>
            </w:tcBorders>
          </w:tcPr>
          <w:p w:rsidR="006A7A3F" w:rsidRPr="00817C2F" w:rsidRDefault="006A7A3F">
            <w:pPr>
              <w:pStyle w:val="TableParagraph"/>
              <w:ind w:left="0"/>
              <w:rPr>
                <w:sz w:val="16"/>
                <w:szCs w:val="16"/>
              </w:rPr>
            </w:pPr>
          </w:p>
        </w:tc>
        <w:tc>
          <w:tcPr>
            <w:tcW w:w="1191" w:type="dxa"/>
            <w:tcBorders>
              <w:bottom w:val="single" w:sz="4" w:space="0" w:color="FFFFFF"/>
            </w:tcBorders>
            <w:shd w:val="clear" w:color="auto" w:fill="231F20"/>
          </w:tcPr>
          <w:p w:rsidR="006A7A3F" w:rsidRPr="00817C2F" w:rsidRDefault="00BC7372">
            <w:pPr>
              <w:pStyle w:val="TableParagraph"/>
              <w:spacing w:before="74" w:line="288" w:lineRule="auto"/>
              <w:ind w:left="113" w:right="398"/>
              <w:rPr>
                <w:b/>
                <w:sz w:val="16"/>
                <w:szCs w:val="16"/>
              </w:rPr>
            </w:pPr>
            <w:r w:rsidRPr="00817C2F">
              <w:rPr>
                <w:b/>
                <w:color w:val="FFFFFF"/>
                <w:sz w:val="16"/>
                <w:szCs w:val="16"/>
              </w:rPr>
              <w:t>Barmah- Millewa Forest</w:t>
            </w:r>
          </w:p>
        </w:tc>
        <w:tc>
          <w:tcPr>
            <w:tcW w:w="1191" w:type="dxa"/>
            <w:tcBorders>
              <w:bottom w:val="single" w:sz="4" w:space="0" w:color="FFFFFF"/>
            </w:tcBorders>
            <w:shd w:val="clear" w:color="auto" w:fill="231F20"/>
          </w:tcPr>
          <w:p w:rsidR="006A7A3F" w:rsidRPr="00817C2F" w:rsidRDefault="00BC7372">
            <w:pPr>
              <w:pStyle w:val="TableParagraph"/>
              <w:spacing w:before="74" w:line="288" w:lineRule="auto"/>
              <w:ind w:left="112" w:right="257"/>
              <w:rPr>
                <w:b/>
                <w:sz w:val="16"/>
                <w:szCs w:val="16"/>
              </w:rPr>
            </w:pPr>
            <w:r w:rsidRPr="00817C2F">
              <w:rPr>
                <w:b/>
                <w:color w:val="FFFFFF"/>
                <w:sz w:val="16"/>
                <w:szCs w:val="16"/>
              </w:rPr>
              <w:t>Gunbower Forest</w:t>
            </w:r>
          </w:p>
        </w:tc>
        <w:tc>
          <w:tcPr>
            <w:tcW w:w="1191" w:type="dxa"/>
            <w:tcBorders>
              <w:bottom w:val="single" w:sz="4" w:space="0" w:color="FFFFFF"/>
            </w:tcBorders>
            <w:shd w:val="clear" w:color="auto" w:fill="231F20"/>
          </w:tcPr>
          <w:p w:rsidR="006A7A3F" w:rsidRPr="00817C2F" w:rsidRDefault="00BC7372">
            <w:pPr>
              <w:pStyle w:val="TableParagraph"/>
              <w:spacing w:before="74" w:line="288" w:lineRule="auto"/>
              <w:ind w:left="112" w:right="142"/>
              <w:rPr>
                <w:b/>
                <w:sz w:val="16"/>
                <w:szCs w:val="16"/>
              </w:rPr>
            </w:pPr>
            <w:r w:rsidRPr="00817C2F">
              <w:rPr>
                <w:b/>
                <w:color w:val="FFFFFF"/>
                <w:sz w:val="16"/>
                <w:szCs w:val="16"/>
              </w:rPr>
              <w:t>Koondrook- Perricoota Forest</w:t>
            </w:r>
          </w:p>
        </w:tc>
        <w:tc>
          <w:tcPr>
            <w:tcW w:w="1191" w:type="dxa"/>
            <w:tcBorders>
              <w:bottom w:val="single" w:sz="4" w:space="0" w:color="FFFFFF"/>
            </w:tcBorders>
            <w:shd w:val="clear" w:color="auto" w:fill="231F20"/>
          </w:tcPr>
          <w:p w:rsidR="006A7A3F" w:rsidRPr="00817C2F" w:rsidRDefault="00BC7372">
            <w:pPr>
              <w:pStyle w:val="TableParagraph"/>
              <w:spacing w:before="74" w:line="288" w:lineRule="auto"/>
              <w:ind w:left="111" w:right="552"/>
              <w:rPr>
                <w:b/>
                <w:sz w:val="16"/>
                <w:szCs w:val="16"/>
              </w:rPr>
            </w:pPr>
            <w:r w:rsidRPr="00817C2F">
              <w:rPr>
                <w:b/>
                <w:color w:val="FFFFFF"/>
                <w:sz w:val="16"/>
                <w:szCs w:val="16"/>
              </w:rPr>
              <w:t>Hattah Lakes</w:t>
            </w:r>
          </w:p>
        </w:tc>
        <w:tc>
          <w:tcPr>
            <w:tcW w:w="1191" w:type="dxa"/>
            <w:tcBorders>
              <w:bottom w:val="single" w:sz="4" w:space="0" w:color="FFFFFF"/>
            </w:tcBorders>
            <w:shd w:val="clear" w:color="auto" w:fill="231F20"/>
          </w:tcPr>
          <w:p w:rsidR="006A7A3F" w:rsidRPr="00817C2F" w:rsidRDefault="00BC7372">
            <w:pPr>
              <w:pStyle w:val="TableParagraph"/>
              <w:spacing w:before="74" w:line="288" w:lineRule="auto"/>
              <w:ind w:left="111" w:right="205"/>
              <w:rPr>
                <w:b/>
                <w:sz w:val="16"/>
                <w:szCs w:val="16"/>
              </w:rPr>
            </w:pPr>
            <w:r w:rsidRPr="00817C2F">
              <w:rPr>
                <w:b/>
                <w:color w:val="FFFFFF"/>
                <w:sz w:val="16"/>
                <w:szCs w:val="16"/>
              </w:rPr>
              <w:t>Lindsay, Mulcra and Wallpolla islands</w:t>
            </w:r>
          </w:p>
        </w:tc>
        <w:tc>
          <w:tcPr>
            <w:tcW w:w="1191" w:type="dxa"/>
            <w:tcBorders>
              <w:bottom w:val="single" w:sz="4" w:space="0" w:color="FFFFFF"/>
            </w:tcBorders>
            <w:shd w:val="clear" w:color="auto" w:fill="231F20"/>
          </w:tcPr>
          <w:p w:rsidR="006A7A3F" w:rsidRPr="00817C2F" w:rsidRDefault="00BC7372">
            <w:pPr>
              <w:pStyle w:val="TableParagraph"/>
              <w:spacing w:before="74" w:line="288" w:lineRule="auto"/>
              <w:ind w:left="111" w:right="285"/>
              <w:rPr>
                <w:b/>
                <w:sz w:val="16"/>
                <w:szCs w:val="16"/>
              </w:rPr>
            </w:pPr>
            <w:r w:rsidRPr="00817C2F">
              <w:rPr>
                <w:b/>
                <w:color w:val="FFFFFF"/>
                <w:sz w:val="16"/>
                <w:szCs w:val="16"/>
              </w:rPr>
              <w:t>Chowilla floodplain</w:t>
            </w:r>
          </w:p>
        </w:tc>
        <w:tc>
          <w:tcPr>
            <w:tcW w:w="1191" w:type="dxa"/>
            <w:tcBorders>
              <w:bottom w:val="single" w:sz="4" w:space="0" w:color="FFFFFF"/>
            </w:tcBorders>
            <w:shd w:val="clear" w:color="auto" w:fill="231F20"/>
          </w:tcPr>
          <w:p w:rsidR="006A7A3F" w:rsidRPr="00817C2F" w:rsidRDefault="00BC7372">
            <w:pPr>
              <w:pStyle w:val="TableParagraph"/>
              <w:spacing w:before="74" w:line="288" w:lineRule="auto"/>
              <w:ind w:left="110" w:right="188"/>
              <w:rPr>
                <w:b/>
                <w:sz w:val="16"/>
                <w:szCs w:val="16"/>
              </w:rPr>
            </w:pPr>
            <w:r w:rsidRPr="00817C2F">
              <w:rPr>
                <w:b/>
                <w:color w:val="FFFFFF"/>
                <w:sz w:val="16"/>
                <w:szCs w:val="16"/>
              </w:rPr>
              <w:t>Lower Lakes, Coorong and Murray Mouth</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2018–19</w:t>
            </w:r>
          </w:p>
        </w:tc>
        <w:tc>
          <w:tcPr>
            <w:tcW w:w="1191" w:type="dxa"/>
            <w:tcBorders>
              <w:top w:val="single" w:sz="4" w:space="0" w:color="FFFFFF"/>
              <w:left w:val="single" w:sz="4" w:space="0" w:color="231F20"/>
              <w:bottom w:val="single" w:sz="4" w:space="0" w:color="FFFFFF"/>
              <w:right w:val="single" w:sz="4" w:space="0" w:color="FFFFFF"/>
            </w:tcBorders>
            <w:shd w:val="clear" w:color="auto" w:fill="8DC440"/>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00A54E"/>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A</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tcBorders>
            <w:shd w:val="clear" w:color="auto" w:fill="C7C55C"/>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C</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2017–18</w:t>
            </w:r>
          </w:p>
        </w:tc>
        <w:tc>
          <w:tcPr>
            <w:tcW w:w="1191" w:type="dxa"/>
            <w:tcBorders>
              <w:top w:val="single" w:sz="4" w:space="0" w:color="FFFFFF"/>
              <w:left w:val="single" w:sz="4" w:space="0" w:color="231F20"/>
              <w:bottom w:val="single" w:sz="4" w:space="0" w:color="FFFFFF"/>
              <w:right w:val="single" w:sz="4" w:space="0" w:color="FFFFFF"/>
            </w:tcBorders>
            <w:shd w:val="clear" w:color="auto" w:fill="00A54E"/>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A</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00A54E"/>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A</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tcBorders>
            <w:shd w:val="clear" w:color="auto" w:fill="C7C55C"/>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C</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2016–17</w:t>
            </w:r>
          </w:p>
        </w:tc>
        <w:tc>
          <w:tcPr>
            <w:tcW w:w="1191" w:type="dxa"/>
            <w:tcBorders>
              <w:top w:val="single" w:sz="4" w:space="0" w:color="FFFFFF"/>
              <w:left w:val="single" w:sz="4" w:space="0" w:color="231F20"/>
              <w:bottom w:val="single" w:sz="4" w:space="0" w:color="FFFFFF"/>
              <w:right w:val="single" w:sz="4" w:space="0" w:color="FFFFFF"/>
            </w:tcBorders>
            <w:shd w:val="clear" w:color="auto" w:fill="00A54E"/>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A</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00A54E"/>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A</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tcBorders>
            <w:shd w:val="clear" w:color="auto" w:fill="8DC440"/>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B</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2015–16</w:t>
            </w:r>
          </w:p>
        </w:tc>
        <w:tc>
          <w:tcPr>
            <w:tcW w:w="1191" w:type="dxa"/>
            <w:tcBorders>
              <w:top w:val="single" w:sz="4" w:space="0" w:color="FFFFFF"/>
              <w:left w:val="single" w:sz="4" w:space="0" w:color="231F20"/>
              <w:bottom w:val="single" w:sz="4" w:space="0" w:color="FFFFFF"/>
              <w:right w:val="single" w:sz="4" w:space="0" w:color="FFFFFF"/>
            </w:tcBorders>
            <w:shd w:val="clear" w:color="auto" w:fill="8DC440"/>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00A54E"/>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A</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tcBorders>
            <w:shd w:val="clear" w:color="auto" w:fill="C7C55C"/>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C</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2014–15</w:t>
            </w:r>
          </w:p>
        </w:tc>
        <w:tc>
          <w:tcPr>
            <w:tcW w:w="1191" w:type="dxa"/>
            <w:tcBorders>
              <w:top w:val="single" w:sz="4" w:space="0" w:color="FFFFFF"/>
              <w:left w:val="single" w:sz="4" w:space="0" w:color="231F20"/>
              <w:bottom w:val="single" w:sz="4" w:space="0" w:color="FFFFFF"/>
              <w:right w:val="single" w:sz="4" w:space="0" w:color="FFFFFF"/>
            </w:tcBorders>
            <w:shd w:val="clear" w:color="auto" w:fill="8DC440"/>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00A54E"/>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A</w:t>
            </w:r>
          </w:p>
        </w:tc>
        <w:tc>
          <w:tcPr>
            <w:tcW w:w="1191" w:type="dxa"/>
            <w:tcBorders>
              <w:top w:val="single" w:sz="4" w:space="0" w:color="FFFFFF"/>
              <w:left w:val="single" w:sz="4" w:space="0" w:color="FFFFFF"/>
              <w:bottom w:val="single" w:sz="4" w:space="0" w:color="FFFFFF"/>
              <w:right w:val="single" w:sz="4" w:space="0" w:color="FFFFFF"/>
            </w:tcBorders>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tcBorders>
            <w:shd w:val="clear" w:color="auto" w:fill="8DC440"/>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B</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2013–14</w:t>
            </w:r>
          </w:p>
        </w:tc>
        <w:tc>
          <w:tcPr>
            <w:tcW w:w="1191" w:type="dxa"/>
            <w:tcBorders>
              <w:top w:val="single" w:sz="4" w:space="0" w:color="FFFFFF"/>
              <w:left w:val="single" w:sz="4" w:space="0" w:color="231F20"/>
              <w:bottom w:val="single" w:sz="4" w:space="0" w:color="FFFFFF"/>
              <w:right w:val="single" w:sz="4" w:space="0" w:color="FFFFFF"/>
            </w:tcBorders>
            <w:shd w:val="clear" w:color="auto" w:fill="C7C55C"/>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tcBorders>
            <w:shd w:val="clear" w:color="auto" w:fill="8DC440"/>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B</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2012–13</w:t>
            </w:r>
          </w:p>
        </w:tc>
        <w:tc>
          <w:tcPr>
            <w:tcW w:w="1191" w:type="dxa"/>
            <w:tcBorders>
              <w:top w:val="single" w:sz="4" w:space="0" w:color="FFFFFF"/>
              <w:left w:val="single" w:sz="4" w:space="0" w:color="231F20"/>
              <w:bottom w:val="single" w:sz="4" w:space="0" w:color="FFFFFF"/>
              <w:right w:val="single" w:sz="4" w:space="0" w:color="FFFFFF"/>
            </w:tcBorders>
            <w:shd w:val="clear" w:color="auto" w:fill="C7C55C"/>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tcBorders>
            <w:shd w:val="clear" w:color="auto" w:fill="8DC440"/>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B</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2011–12</w:t>
            </w:r>
          </w:p>
        </w:tc>
        <w:tc>
          <w:tcPr>
            <w:tcW w:w="1191" w:type="dxa"/>
            <w:tcBorders>
              <w:top w:val="single" w:sz="4" w:space="0" w:color="FFFFFF"/>
              <w:left w:val="single" w:sz="4" w:space="0" w:color="231F20"/>
              <w:bottom w:val="single" w:sz="4" w:space="0" w:color="FFFFFF"/>
              <w:right w:val="single" w:sz="4" w:space="0" w:color="FFFFFF"/>
            </w:tcBorders>
            <w:shd w:val="clear" w:color="auto" w:fill="C7C55C"/>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tcBorders>
            <w:shd w:val="clear" w:color="auto" w:fill="8DC440"/>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B</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2010–11</w:t>
            </w:r>
          </w:p>
        </w:tc>
        <w:tc>
          <w:tcPr>
            <w:tcW w:w="1191" w:type="dxa"/>
            <w:tcBorders>
              <w:top w:val="single" w:sz="4" w:space="0" w:color="FFFFFF"/>
              <w:left w:val="single" w:sz="4" w:space="0" w:color="231F20"/>
              <w:bottom w:val="single" w:sz="4" w:space="0" w:color="FFFFFF"/>
              <w:right w:val="single" w:sz="4" w:space="0" w:color="FFFFFF"/>
            </w:tcBorders>
            <w:shd w:val="clear" w:color="auto" w:fill="8DC440"/>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8DC440"/>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B</w:t>
            </w:r>
          </w:p>
        </w:tc>
        <w:tc>
          <w:tcPr>
            <w:tcW w:w="1191" w:type="dxa"/>
            <w:tcBorders>
              <w:top w:val="single" w:sz="4" w:space="0" w:color="FFFFFF"/>
              <w:left w:val="single" w:sz="4" w:space="0" w:color="FFFFFF"/>
              <w:bottom w:val="single" w:sz="4" w:space="0" w:color="FFFFFF"/>
            </w:tcBorders>
            <w:shd w:val="clear" w:color="auto" w:fill="B6B186"/>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D</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2009–10</w:t>
            </w:r>
          </w:p>
        </w:tc>
        <w:tc>
          <w:tcPr>
            <w:tcW w:w="1191" w:type="dxa"/>
            <w:tcBorders>
              <w:top w:val="single" w:sz="4" w:space="0" w:color="FFFFFF"/>
              <w:left w:val="single" w:sz="4" w:space="0" w:color="231F20"/>
              <w:bottom w:val="single" w:sz="4" w:space="0" w:color="FFFFFF"/>
              <w:right w:val="single" w:sz="4" w:space="0" w:color="FFFFFF"/>
            </w:tcBorders>
            <w:shd w:val="clear" w:color="auto" w:fill="C7C55C"/>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tcBorders>
            <w:shd w:val="clear" w:color="auto" w:fill="B6B186"/>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D</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2008–09</w:t>
            </w:r>
          </w:p>
        </w:tc>
        <w:tc>
          <w:tcPr>
            <w:tcW w:w="1191" w:type="dxa"/>
            <w:tcBorders>
              <w:top w:val="single" w:sz="4" w:space="0" w:color="FFFFFF"/>
              <w:left w:val="single" w:sz="4" w:space="0" w:color="231F20"/>
              <w:bottom w:val="single" w:sz="4" w:space="0" w:color="FFFFFF"/>
              <w:right w:val="single" w:sz="4" w:space="0" w:color="FFFFFF"/>
            </w:tcBorders>
            <w:shd w:val="clear" w:color="auto" w:fill="B6B186"/>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C7C55C"/>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C</w:t>
            </w:r>
          </w:p>
        </w:tc>
        <w:tc>
          <w:tcPr>
            <w:tcW w:w="1191" w:type="dxa"/>
            <w:tcBorders>
              <w:top w:val="single" w:sz="4" w:space="0" w:color="FFFFFF"/>
              <w:left w:val="single" w:sz="4" w:space="0" w:color="FFFFFF"/>
              <w:bottom w:val="single" w:sz="4" w:space="0" w:color="FFFFFF"/>
            </w:tcBorders>
            <w:shd w:val="clear" w:color="auto" w:fill="B6B186"/>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D</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2007–08</w:t>
            </w:r>
          </w:p>
        </w:tc>
        <w:tc>
          <w:tcPr>
            <w:tcW w:w="1191" w:type="dxa"/>
            <w:tcBorders>
              <w:top w:val="single" w:sz="4" w:space="0" w:color="FFFFFF"/>
              <w:left w:val="single" w:sz="4" w:space="0" w:color="231F20"/>
              <w:bottom w:val="single" w:sz="4" w:space="0" w:color="FFFFFF"/>
              <w:right w:val="single" w:sz="4" w:space="0" w:color="FFFFFF"/>
            </w:tcBorders>
            <w:shd w:val="clear" w:color="auto" w:fill="B6B186"/>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FFFFF"/>
              <w:right w:val="single" w:sz="4" w:space="0" w:color="FFFFFF"/>
            </w:tcBorders>
            <w:shd w:val="clear" w:color="auto" w:fill="B6B186"/>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bottom w:val="single" w:sz="4" w:space="0" w:color="F1F2F2"/>
              <w:right w:val="single" w:sz="4" w:space="0" w:color="FFFFFF"/>
            </w:tcBorders>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w:t>
            </w:r>
          </w:p>
        </w:tc>
        <w:tc>
          <w:tcPr>
            <w:tcW w:w="1191" w:type="dxa"/>
            <w:tcBorders>
              <w:top w:val="single" w:sz="4" w:space="0" w:color="FFFFFF"/>
              <w:left w:val="single" w:sz="4" w:space="0" w:color="FFFFFF"/>
              <w:bottom w:val="single" w:sz="4" w:space="0" w:color="FFFFFF"/>
            </w:tcBorders>
            <w:shd w:val="clear" w:color="auto" w:fill="B6B186"/>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D</w:t>
            </w:r>
          </w:p>
        </w:tc>
      </w:tr>
      <w:tr w:rsidR="006A7A3F">
        <w:trPr>
          <w:trHeight w:val="338"/>
        </w:trPr>
        <w:tc>
          <w:tcPr>
            <w:tcW w:w="1304" w:type="dxa"/>
            <w:tcBorders>
              <w:right w:val="single" w:sz="4" w:space="0" w:color="231F20"/>
            </w:tcBorders>
          </w:tcPr>
          <w:p w:rsidR="006A7A3F" w:rsidRPr="00817C2F" w:rsidRDefault="00BC7372">
            <w:pPr>
              <w:pStyle w:val="TableParagraph"/>
              <w:spacing w:before="34"/>
              <w:ind w:left="113"/>
              <w:rPr>
                <w:sz w:val="16"/>
                <w:szCs w:val="16"/>
              </w:rPr>
            </w:pPr>
            <w:r w:rsidRPr="00817C2F">
              <w:rPr>
                <w:color w:val="231F20"/>
                <w:sz w:val="16"/>
                <w:szCs w:val="16"/>
              </w:rPr>
              <w:t>2006–07</w:t>
            </w:r>
          </w:p>
        </w:tc>
        <w:tc>
          <w:tcPr>
            <w:tcW w:w="1191" w:type="dxa"/>
            <w:tcBorders>
              <w:top w:val="single" w:sz="4" w:space="0" w:color="FFFFFF"/>
              <w:left w:val="single" w:sz="4" w:space="0" w:color="231F20"/>
              <w:right w:val="single" w:sz="4" w:space="0" w:color="FFFFFF"/>
            </w:tcBorders>
            <w:shd w:val="clear" w:color="auto" w:fill="B6B186"/>
          </w:tcPr>
          <w:p w:rsidR="006A7A3F" w:rsidRPr="006E712C" w:rsidRDefault="00BC7372">
            <w:pPr>
              <w:pStyle w:val="TableParagraph"/>
              <w:spacing w:before="74"/>
              <w:ind w:left="113"/>
              <w:rPr>
                <w:b/>
                <w:color w:val="000000" w:themeColor="text1"/>
                <w:sz w:val="16"/>
                <w:szCs w:val="16"/>
              </w:rPr>
            </w:pPr>
            <w:r w:rsidRPr="006E712C">
              <w:rPr>
                <w:b/>
                <w:color w:val="000000" w:themeColor="text1"/>
                <w:sz w:val="16"/>
                <w:szCs w:val="16"/>
              </w:rPr>
              <w:t>D</w:t>
            </w:r>
          </w:p>
        </w:tc>
        <w:tc>
          <w:tcPr>
            <w:tcW w:w="1191" w:type="dxa"/>
            <w:tcBorders>
              <w:top w:val="single" w:sz="4" w:space="0" w:color="FFFFFF"/>
              <w:left w:val="single" w:sz="4" w:space="0" w:color="FFFFFF"/>
              <w:right w:val="single" w:sz="4" w:space="0" w:color="F1F2F2"/>
            </w:tcBorders>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w:t>
            </w:r>
          </w:p>
        </w:tc>
        <w:tc>
          <w:tcPr>
            <w:tcW w:w="1191" w:type="dxa"/>
            <w:tcBorders>
              <w:top w:val="single" w:sz="4" w:space="0" w:color="FFFFFF"/>
              <w:left w:val="single" w:sz="4" w:space="0" w:color="F1F2F2"/>
              <w:right w:val="single" w:sz="4" w:space="0" w:color="F1F2F2"/>
            </w:tcBorders>
          </w:tcPr>
          <w:p w:rsidR="006A7A3F" w:rsidRPr="006E712C" w:rsidRDefault="00BC7372">
            <w:pPr>
              <w:pStyle w:val="TableParagraph"/>
              <w:spacing w:before="74"/>
              <w:ind w:left="112"/>
              <w:rPr>
                <w:b/>
                <w:color w:val="000000" w:themeColor="text1"/>
                <w:sz w:val="16"/>
                <w:szCs w:val="16"/>
              </w:rPr>
            </w:pPr>
            <w:r w:rsidRPr="006E712C">
              <w:rPr>
                <w:b/>
                <w:color w:val="000000" w:themeColor="text1"/>
                <w:sz w:val="16"/>
                <w:szCs w:val="16"/>
              </w:rPr>
              <w:t>-</w:t>
            </w:r>
          </w:p>
        </w:tc>
        <w:tc>
          <w:tcPr>
            <w:tcW w:w="1191" w:type="dxa"/>
            <w:tcBorders>
              <w:top w:val="single" w:sz="4" w:space="0" w:color="FFFFFF"/>
              <w:left w:val="single" w:sz="4" w:space="0" w:color="F1F2F2"/>
              <w:right w:val="single" w:sz="4" w:space="0" w:color="F1F2F2"/>
            </w:tcBorders>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w:t>
            </w:r>
          </w:p>
        </w:tc>
        <w:tc>
          <w:tcPr>
            <w:tcW w:w="1191" w:type="dxa"/>
            <w:tcBorders>
              <w:top w:val="single" w:sz="4" w:space="0" w:color="FFFFFF"/>
              <w:left w:val="single" w:sz="4" w:space="0" w:color="F1F2F2"/>
              <w:right w:val="single" w:sz="4" w:space="0" w:color="F1F2F2"/>
            </w:tcBorders>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w:t>
            </w:r>
          </w:p>
        </w:tc>
        <w:tc>
          <w:tcPr>
            <w:tcW w:w="1191" w:type="dxa"/>
            <w:tcBorders>
              <w:top w:val="single" w:sz="4" w:space="0" w:color="F1F2F2"/>
              <w:left w:val="single" w:sz="4" w:space="0" w:color="F1F2F2"/>
              <w:right w:val="single" w:sz="4" w:space="0" w:color="FFFFFF"/>
            </w:tcBorders>
          </w:tcPr>
          <w:p w:rsidR="006A7A3F" w:rsidRPr="006E712C" w:rsidRDefault="00BC7372">
            <w:pPr>
              <w:pStyle w:val="TableParagraph"/>
              <w:spacing w:before="74"/>
              <w:ind w:left="111"/>
              <w:rPr>
                <w:b/>
                <w:color w:val="000000" w:themeColor="text1"/>
                <w:sz w:val="16"/>
                <w:szCs w:val="16"/>
              </w:rPr>
            </w:pPr>
            <w:r w:rsidRPr="006E712C">
              <w:rPr>
                <w:b/>
                <w:color w:val="000000" w:themeColor="text1"/>
                <w:sz w:val="16"/>
                <w:szCs w:val="16"/>
              </w:rPr>
              <w:t>-</w:t>
            </w:r>
          </w:p>
        </w:tc>
        <w:tc>
          <w:tcPr>
            <w:tcW w:w="1191" w:type="dxa"/>
            <w:tcBorders>
              <w:top w:val="single" w:sz="4" w:space="0" w:color="FFFFFF"/>
              <w:left w:val="single" w:sz="4" w:space="0" w:color="FFFFFF"/>
            </w:tcBorders>
            <w:shd w:val="clear" w:color="auto" w:fill="C7C55C"/>
          </w:tcPr>
          <w:p w:rsidR="006A7A3F" w:rsidRPr="006E712C" w:rsidRDefault="00BC7372">
            <w:pPr>
              <w:pStyle w:val="TableParagraph"/>
              <w:spacing w:before="74"/>
              <w:ind w:left="110"/>
              <w:rPr>
                <w:b/>
                <w:color w:val="000000" w:themeColor="text1"/>
                <w:sz w:val="16"/>
                <w:szCs w:val="16"/>
              </w:rPr>
            </w:pPr>
            <w:r w:rsidRPr="006E712C">
              <w:rPr>
                <w:b/>
                <w:color w:val="000000" w:themeColor="text1"/>
                <w:sz w:val="16"/>
                <w:szCs w:val="16"/>
              </w:rPr>
              <w:t>C</w:t>
            </w:r>
          </w:p>
        </w:tc>
      </w:tr>
    </w:tbl>
    <w:p w:rsidR="00BC7372" w:rsidRDefault="00BC7372">
      <w:pPr>
        <w:pStyle w:val="BodyText"/>
        <w:spacing w:before="6"/>
        <w:ind w:left="0"/>
        <w:rPr>
          <w:sz w:val="17"/>
        </w:rPr>
      </w:pPr>
    </w:p>
    <w:p w:rsidR="00BC7372" w:rsidRDefault="00BC7372">
      <w:pPr>
        <w:rPr>
          <w:sz w:val="17"/>
          <w:szCs w:val="20"/>
        </w:rPr>
      </w:pPr>
      <w:r>
        <w:rPr>
          <w:sz w:val="17"/>
        </w:rPr>
        <w:br w:type="page"/>
      </w:r>
    </w:p>
    <w:p w:rsidR="006A7A3F" w:rsidRDefault="006A7A3F">
      <w:pPr>
        <w:pStyle w:val="BodyText"/>
        <w:spacing w:before="6"/>
        <w:ind w:left="0"/>
        <w:rPr>
          <w:sz w:val="17"/>
        </w:rPr>
      </w:pPr>
    </w:p>
    <w:p w:rsidR="006A7A3F" w:rsidRDefault="00BC7372" w:rsidP="009B6917">
      <w:pPr>
        <w:pStyle w:val="Heading4"/>
        <w:numPr>
          <w:ilvl w:val="2"/>
          <w:numId w:val="1420"/>
        </w:numPr>
        <w:tabs>
          <w:tab w:val="left" w:pos="931"/>
        </w:tabs>
        <w:spacing w:line="242" w:lineRule="auto"/>
        <w:ind w:left="210" w:right="783" w:firstLine="0"/>
      </w:pPr>
      <w:r>
        <w:rPr>
          <w:color w:val="231F20"/>
        </w:rPr>
        <w:t>Where can I find more information about the Victorian environmental watering program?</w:t>
      </w:r>
    </w:p>
    <w:p w:rsidR="006A7A3F" w:rsidRDefault="00BC7372">
      <w:pPr>
        <w:pStyle w:val="BodyText"/>
        <w:spacing w:before="57" w:line="249" w:lineRule="auto"/>
        <w:ind w:right="100"/>
      </w:pPr>
      <w:r>
        <w:rPr>
          <w:color w:val="231F20"/>
        </w:rPr>
        <w:t xml:space="preserve">There is more information about the program on the VEWH website at </w:t>
      </w:r>
      <w:r>
        <w:rPr>
          <w:color w:val="205E9E"/>
          <w:u w:val="single" w:color="205E9E"/>
        </w:rPr>
        <w:t>vewh.vic.gov.au</w:t>
      </w:r>
      <w:r>
        <w:rPr>
          <w:color w:val="205E9E"/>
        </w:rPr>
        <w:t xml:space="preserve"> </w:t>
      </w:r>
      <w:r>
        <w:rPr>
          <w:color w:val="231F20"/>
        </w:rPr>
        <w:t xml:space="preserve">or from the VEWH on (03) 9637 8951 or by email to </w:t>
      </w:r>
      <w:hyperlink r:id="rId12">
        <w:r>
          <w:rPr>
            <w:color w:val="205E9E"/>
            <w:u w:val="single" w:color="205E9E"/>
          </w:rPr>
          <w:t>general.enquiries@vewh.vic.gov.au</w:t>
        </w:r>
        <w:r>
          <w:rPr>
            <w:color w:val="231F20"/>
          </w:rPr>
          <w:t>.</w:t>
        </w:r>
      </w:hyperlink>
    </w:p>
    <w:p w:rsidR="006A7A3F" w:rsidRDefault="00BC7372">
      <w:pPr>
        <w:pStyle w:val="BodyText"/>
        <w:spacing w:before="171" w:line="249" w:lineRule="auto"/>
        <w:ind w:right="100"/>
      </w:pPr>
      <w:r>
        <w:rPr>
          <w:color w:val="231F20"/>
        </w:rPr>
        <w:t>You can get more detailed information about water for the environment in your region by contacting your local waterway manager: the contact details are in section 6.3.</w:t>
      </w:r>
    </w:p>
    <w:p w:rsidR="006A7A3F" w:rsidRDefault="006A7A3F">
      <w:pPr>
        <w:pStyle w:val="BodyText"/>
        <w:spacing w:before="1"/>
        <w:ind w:left="0"/>
      </w:pPr>
    </w:p>
    <w:p w:rsidR="006A7A3F" w:rsidRDefault="00BC7372">
      <w:pPr>
        <w:pStyle w:val="Heading4"/>
      </w:pPr>
      <w:r>
        <w:rPr>
          <w:color w:val="231F20"/>
        </w:rPr>
        <w:t>Water for the environment fact sheets</w:t>
      </w:r>
    </w:p>
    <w:p w:rsidR="006A7A3F" w:rsidRDefault="00BC7372">
      <w:pPr>
        <w:pStyle w:val="BodyText"/>
        <w:spacing w:before="58"/>
      </w:pPr>
      <w:r>
        <w:rPr>
          <w:color w:val="231F20"/>
        </w:rPr>
        <w:t>The VEWH’s fact sheets answer questions about water for the environment. They are:</w:t>
      </w:r>
    </w:p>
    <w:p w:rsidR="006A7A3F" w:rsidRDefault="00BC7372" w:rsidP="009B6917">
      <w:pPr>
        <w:pStyle w:val="ListParagraph"/>
        <w:numPr>
          <w:ilvl w:val="0"/>
          <w:numId w:val="1419"/>
        </w:numPr>
        <w:tabs>
          <w:tab w:val="left" w:pos="493"/>
          <w:tab w:val="left" w:pos="494"/>
        </w:tabs>
        <w:spacing w:before="96"/>
        <w:ind w:hanging="281"/>
        <w:rPr>
          <w:sz w:val="20"/>
        </w:rPr>
      </w:pPr>
      <w:r>
        <w:rPr>
          <w:color w:val="231F20"/>
          <w:sz w:val="20"/>
        </w:rPr>
        <w:t>What is environmental</w:t>
      </w:r>
      <w:r>
        <w:rPr>
          <w:color w:val="231F20"/>
          <w:spacing w:val="-3"/>
          <w:sz w:val="20"/>
        </w:rPr>
        <w:t xml:space="preserve"> </w:t>
      </w:r>
      <w:r>
        <w:rPr>
          <w:color w:val="231F20"/>
          <w:sz w:val="20"/>
        </w:rPr>
        <w:t>water?</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Why is environmental watering</w:t>
      </w:r>
      <w:r>
        <w:rPr>
          <w:color w:val="231F20"/>
          <w:spacing w:val="-4"/>
          <w:sz w:val="20"/>
        </w:rPr>
        <w:t xml:space="preserve"> </w:t>
      </w:r>
      <w:r>
        <w:rPr>
          <w:color w:val="231F20"/>
          <w:sz w:val="20"/>
        </w:rPr>
        <w:t>important?</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What does environmental watering aim to</w:t>
      </w:r>
      <w:r>
        <w:rPr>
          <w:color w:val="231F20"/>
          <w:spacing w:val="-6"/>
          <w:sz w:val="20"/>
        </w:rPr>
        <w:t xml:space="preserve"> </w:t>
      </w:r>
      <w:r>
        <w:rPr>
          <w:color w:val="231F20"/>
          <w:sz w:val="20"/>
        </w:rPr>
        <w:t>achieve?</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What does environmental watering</w:t>
      </w:r>
      <w:r>
        <w:rPr>
          <w:color w:val="231F20"/>
          <w:spacing w:val="-5"/>
          <w:sz w:val="20"/>
        </w:rPr>
        <w:t xml:space="preserve"> </w:t>
      </w:r>
      <w:r>
        <w:rPr>
          <w:color w:val="231F20"/>
          <w:sz w:val="20"/>
        </w:rPr>
        <w:t>involve?</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How do we know if environmental watering is</w:t>
      </w:r>
      <w:r>
        <w:rPr>
          <w:color w:val="231F20"/>
          <w:spacing w:val="-9"/>
          <w:sz w:val="20"/>
        </w:rPr>
        <w:t xml:space="preserve"> </w:t>
      </w:r>
      <w:r>
        <w:rPr>
          <w:color w:val="231F20"/>
          <w:sz w:val="20"/>
        </w:rPr>
        <w:t>successful?</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What is environmental water</w:t>
      </w:r>
      <w:r>
        <w:rPr>
          <w:color w:val="231F20"/>
          <w:spacing w:val="-4"/>
          <w:sz w:val="20"/>
        </w:rPr>
        <w:t xml:space="preserve"> </w:t>
      </w:r>
      <w:r>
        <w:rPr>
          <w:color w:val="231F20"/>
          <w:sz w:val="20"/>
        </w:rPr>
        <w:t>trading?</w:t>
      </w:r>
    </w:p>
    <w:p w:rsidR="006A7A3F" w:rsidRDefault="00BC7372">
      <w:pPr>
        <w:pStyle w:val="BodyText"/>
        <w:spacing w:before="180" w:line="249" w:lineRule="auto"/>
        <w:ind w:right="516"/>
      </w:pPr>
      <w:r>
        <w:rPr>
          <w:color w:val="231F20"/>
        </w:rPr>
        <w:t xml:space="preserve">The fact sheets are on the VEWH website, or you can get hard copies by emailing </w:t>
      </w:r>
      <w:hyperlink r:id="rId13">
        <w:r>
          <w:rPr>
            <w:color w:val="205E9E"/>
            <w:u w:val="single" w:color="205E9E"/>
          </w:rPr>
          <w:t>general.enquiries@vewh.vic.</w:t>
        </w:r>
      </w:hyperlink>
      <w:r>
        <w:rPr>
          <w:color w:val="205E9E"/>
        </w:rPr>
        <w:t xml:space="preserve"> </w:t>
      </w:r>
      <w:r>
        <w:rPr>
          <w:color w:val="205E9E"/>
          <w:u w:val="single" w:color="205E9E"/>
        </w:rPr>
        <w:t>gov.au</w:t>
      </w:r>
    </w:p>
    <w:p w:rsidR="006A7A3F" w:rsidRDefault="00BC7372" w:rsidP="00BC7372">
      <w:pPr>
        <w:rPr>
          <w:sz w:val="21"/>
        </w:rPr>
      </w:pPr>
      <w:r>
        <w:rPr>
          <w:sz w:val="21"/>
        </w:rPr>
        <w:br w:type="page"/>
      </w:r>
    </w:p>
    <w:p w:rsidR="006A7A3F" w:rsidRDefault="00BC7372" w:rsidP="009B6917">
      <w:pPr>
        <w:pStyle w:val="Heading1"/>
        <w:numPr>
          <w:ilvl w:val="1"/>
          <w:numId w:val="1421"/>
        </w:numPr>
        <w:tabs>
          <w:tab w:val="left" w:pos="904"/>
        </w:tabs>
        <w:ind w:hanging="694"/>
      </w:pPr>
      <w:r>
        <w:rPr>
          <w:color w:val="231F20"/>
        </w:rPr>
        <w:t>The seasonal watering</w:t>
      </w:r>
      <w:r>
        <w:rPr>
          <w:color w:val="231F20"/>
          <w:spacing w:val="-2"/>
        </w:rPr>
        <w:t xml:space="preserve"> </w:t>
      </w:r>
      <w:r>
        <w:rPr>
          <w:color w:val="231F20"/>
        </w:rPr>
        <w:t>plan</w:t>
      </w:r>
    </w:p>
    <w:p w:rsidR="006A7A3F" w:rsidRDefault="00BC7372">
      <w:pPr>
        <w:pStyle w:val="Heading2"/>
        <w:spacing w:line="249" w:lineRule="auto"/>
        <w:ind w:right="656"/>
        <w:jc w:val="both"/>
      </w:pPr>
      <w:r>
        <w:rPr>
          <w:color w:val="231F20"/>
        </w:rPr>
        <w:t>The seasonal watering plan is a statewide plan that guides environmental watering decisions in Victoria. It provides program partners, stakeholders and communities with a sense of what to expect during the water year.</w:t>
      </w:r>
    </w:p>
    <w:p w:rsidR="006A7A3F" w:rsidRDefault="00BC7372">
      <w:pPr>
        <w:pStyle w:val="Heading4"/>
        <w:spacing w:before="207"/>
      </w:pPr>
      <w:r>
        <w:rPr>
          <w:color w:val="231F20"/>
        </w:rPr>
        <w:t>In this section ...</w:t>
      </w:r>
    </w:p>
    <w:p w:rsidR="006A7A3F" w:rsidRDefault="00BC7372" w:rsidP="009B6917">
      <w:pPr>
        <w:pStyle w:val="Heading7"/>
        <w:numPr>
          <w:ilvl w:val="2"/>
          <w:numId w:val="1421"/>
        </w:numPr>
        <w:tabs>
          <w:tab w:val="left" w:pos="930"/>
          <w:tab w:val="left" w:pos="931"/>
        </w:tabs>
        <w:spacing w:before="70"/>
        <w:ind w:hanging="721"/>
      </w:pPr>
      <w:r>
        <w:rPr>
          <w:color w:val="231F20"/>
        </w:rPr>
        <w:t>What does ‘seasonal’</w:t>
      </w:r>
      <w:r>
        <w:rPr>
          <w:color w:val="231F20"/>
          <w:spacing w:val="-13"/>
        </w:rPr>
        <w:t xml:space="preserve"> </w:t>
      </w:r>
      <w:r>
        <w:rPr>
          <w:color w:val="231F20"/>
        </w:rPr>
        <w:t>mean?</w:t>
      </w:r>
    </w:p>
    <w:p w:rsidR="006A7A3F" w:rsidRDefault="00BC7372" w:rsidP="009B6917">
      <w:pPr>
        <w:pStyle w:val="ListParagraph"/>
        <w:numPr>
          <w:ilvl w:val="2"/>
          <w:numId w:val="1421"/>
        </w:numPr>
        <w:tabs>
          <w:tab w:val="left" w:pos="930"/>
          <w:tab w:val="left" w:pos="931"/>
        </w:tabs>
        <w:ind w:hanging="721"/>
        <w:rPr>
          <w:b/>
          <w:sz w:val="20"/>
        </w:rPr>
      </w:pPr>
      <w:r>
        <w:rPr>
          <w:b/>
          <w:color w:val="231F20"/>
          <w:sz w:val="20"/>
        </w:rPr>
        <w:t>How does the seasonal watering plan fit into the environmental flows planning</w:t>
      </w:r>
      <w:r>
        <w:rPr>
          <w:b/>
          <w:color w:val="231F20"/>
          <w:spacing w:val="-8"/>
          <w:sz w:val="20"/>
        </w:rPr>
        <w:t xml:space="preserve"> </w:t>
      </w:r>
      <w:r>
        <w:rPr>
          <w:b/>
          <w:color w:val="231F20"/>
          <w:sz w:val="20"/>
        </w:rPr>
        <w:t>process?</w:t>
      </w:r>
    </w:p>
    <w:p w:rsidR="006A7A3F" w:rsidRDefault="00BC7372" w:rsidP="009B6917">
      <w:pPr>
        <w:pStyle w:val="ListParagraph"/>
        <w:numPr>
          <w:ilvl w:val="2"/>
          <w:numId w:val="1421"/>
        </w:numPr>
        <w:tabs>
          <w:tab w:val="left" w:pos="930"/>
          <w:tab w:val="left" w:pos="931"/>
        </w:tabs>
        <w:ind w:hanging="721"/>
        <w:rPr>
          <w:b/>
          <w:sz w:val="20"/>
        </w:rPr>
      </w:pPr>
      <w:r>
        <w:rPr>
          <w:b/>
          <w:color w:val="231F20"/>
          <w:sz w:val="20"/>
        </w:rPr>
        <w:t>Who contributes to the seasonal watering</w:t>
      </w:r>
      <w:r>
        <w:rPr>
          <w:b/>
          <w:color w:val="231F20"/>
          <w:spacing w:val="-4"/>
          <w:sz w:val="20"/>
        </w:rPr>
        <w:t xml:space="preserve"> </w:t>
      </w:r>
      <w:r>
        <w:rPr>
          <w:b/>
          <w:color w:val="231F20"/>
          <w:sz w:val="20"/>
        </w:rPr>
        <w:t>plan?</w:t>
      </w:r>
    </w:p>
    <w:p w:rsidR="006A7A3F" w:rsidRDefault="00BC7372" w:rsidP="009B6917">
      <w:pPr>
        <w:pStyle w:val="ListParagraph"/>
        <w:numPr>
          <w:ilvl w:val="2"/>
          <w:numId w:val="1421"/>
        </w:numPr>
        <w:tabs>
          <w:tab w:val="left" w:pos="930"/>
          <w:tab w:val="left" w:pos="931"/>
        </w:tabs>
        <w:ind w:hanging="721"/>
        <w:rPr>
          <w:b/>
          <w:sz w:val="20"/>
        </w:rPr>
      </w:pPr>
      <w:r>
        <w:rPr>
          <w:b/>
          <w:color w:val="231F20"/>
          <w:sz w:val="20"/>
        </w:rPr>
        <w:t>Can the seasonal watering plan be</w:t>
      </w:r>
      <w:r>
        <w:rPr>
          <w:b/>
          <w:color w:val="231F20"/>
          <w:spacing w:val="-3"/>
          <w:sz w:val="20"/>
        </w:rPr>
        <w:t xml:space="preserve"> </w:t>
      </w:r>
      <w:r>
        <w:rPr>
          <w:b/>
          <w:color w:val="231F20"/>
          <w:sz w:val="20"/>
        </w:rPr>
        <w:t>changed?</w:t>
      </w:r>
    </w:p>
    <w:p w:rsidR="006A7A3F" w:rsidRDefault="00BC7372" w:rsidP="009B6917">
      <w:pPr>
        <w:pStyle w:val="ListParagraph"/>
        <w:numPr>
          <w:ilvl w:val="2"/>
          <w:numId w:val="1421"/>
        </w:numPr>
        <w:tabs>
          <w:tab w:val="left" w:pos="930"/>
          <w:tab w:val="left" w:pos="931"/>
        </w:tabs>
        <w:spacing w:before="96"/>
        <w:ind w:hanging="721"/>
        <w:rPr>
          <w:b/>
          <w:sz w:val="20"/>
        </w:rPr>
      </w:pPr>
      <w:r>
        <w:rPr>
          <w:b/>
          <w:color w:val="231F20"/>
          <w:sz w:val="20"/>
        </w:rPr>
        <w:t>When isn’t a formal variation required to the seasonal watering</w:t>
      </w:r>
      <w:r>
        <w:rPr>
          <w:b/>
          <w:color w:val="231F20"/>
          <w:spacing w:val="-8"/>
          <w:sz w:val="20"/>
        </w:rPr>
        <w:t xml:space="preserve"> </w:t>
      </w:r>
      <w:r>
        <w:rPr>
          <w:b/>
          <w:color w:val="231F20"/>
          <w:sz w:val="20"/>
        </w:rPr>
        <w:t>plan?</w:t>
      </w:r>
    </w:p>
    <w:p w:rsidR="006A7A3F" w:rsidRDefault="00BC7372">
      <w:pPr>
        <w:pStyle w:val="BodyText"/>
        <w:spacing w:before="180" w:line="249" w:lineRule="auto"/>
        <w:ind w:right="874"/>
      </w:pPr>
      <w:r>
        <w:rPr>
          <w:color w:val="231F20"/>
        </w:rPr>
        <w:t>The seasonal watering plan is a publicly available, transparent preview of all the potential watering actions that could be implemented using water available under all environmental water entitlements held in Victoria. This includes water available under the VEWH’s environmental water entitlements and water held by other environmental water holders for use in Victoria (see subsection 1.4.1).</w:t>
      </w:r>
    </w:p>
    <w:p w:rsidR="006A7A3F" w:rsidRDefault="00BC7372">
      <w:pPr>
        <w:pStyle w:val="BodyText"/>
        <w:spacing w:before="173" w:line="249" w:lineRule="auto"/>
        <w:ind w:right="100"/>
      </w:pPr>
      <w:r>
        <w:rPr>
          <w:color w:val="231F20"/>
        </w:rPr>
        <w:t>The seasonal watering plan for the upcoming water year is released by 30 June each year. The 2020–21 plan and any variations are valid for this water year — 1 July 2020 to 30 June 2021 — or until the subsequent seasonal watering plan is released.</w:t>
      </w:r>
    </w:p>
    <w:p w:rsidR="006A7A3F" w:rsidRDefault="006A7A3F">
      <w:pPr>
        <w:pStyle w:val="BodyText"/>
        <w:spacing w:before="2"/>
        <w:ind w:left="0"/>
      </w:pPr>
    </w:p>
    <w:p w:rsidR="006A7A3F" w:rsidRDefault="00BC7372" w:rsidP="009B6917">
      <w:pPr>
        <w:pStyle w:val="Heading4"/>
        <w:numPr>
          <w:ilvl w:val="2"/>
          <w:numId w:val="1418"/>
        </w:numPr>
        <w:tabs>
          <w:tab w:val="left" w:pos="931"/>
        </w:tabs>
        <w:ind w:hanging="721"/>
      </w:pPr>
      <w:r>
        <w:rPr>
          <w:color w:val="231F20"/>
        </w:rPr>
        <w:t>What does ‘seasonal’</w:t>
      </w:r>
      <w:r>
        <w:rPr>
          <w:color w:val="231F20"/>
          <w:spacing w:val="-15"/>
        </w:rPr>
        <w:t xml:space="preserve"> </w:t>
      </w:r>
      <w:r>
        <w:rPr>
          <w:color w:val="231F20"/>
        </w:rPr>
        <w:t>mean?</w:t>
      </w:r>
    </w:p>
    <w:p w:rsidR="006A7A3F" w:rsidRDefault="00BC7372">
      <w:pPr>
        <w:pStyle w:val="BodyText"/>
        <w:spacing w:before="58" w:line="249" w:lineRule="auto"/>
        <w:ind w:right="266"/>
      </w:pPr>
      <w:r>
        <w:rPr>
          <w:color w:val="231F20"/>
        </w:rPr>
        <w:t xml:space="preserve">‘Seasonal’ refers to the variability of climatic conditions in a given </w:t>
      </w:r>
      <w:r>
        <w:rPr>
          <w:color w:val="231F20"/>
          <w:spacing w:val="-3"/>
        </w:rPr>
        <w:t xml:space="preserve">year. </w:t>
      </w:r>
      <w:r>
        <w:rPr>
          <w:color w:val="231F20"/>
        </w:rPr>
        <w:t>It includes normal differences between summer, autumn, winter and spring, as well as an assessment of whether a year is drier or wetter than average. Environmental watering objectives and water availability may differ depending on seasonal conditions, so it is important that planning for water for the environment considers the range of potential seasonal conditions or water availability scenarios that may unfold, ranging from drought to very wet. This scenario planning provides a guide for the VEWH and waterway managers throughout the year when it comes to deciding what environmental flows to go ahead with. There is more information about how seasonal conditions influence environmental flows planning in subsection</w:t>
      </w:r>
      <w:r>
        <w:rPr>
          <w:color w:val="231F20"/>
          <w:spacing w:val="-1"/>
        </w:rPr>
        <w:t xml:space="preserve"> </w:t>
      </w:r>
      <w:r>
        <w:rPr>
          <w:color w:val="231F20"/>
        </w:rPr>
        <w:t>1.3.4.</w:t>
      </w:r>
    </w:p>
    <w:p w:rsidR="006A7A3F" w:rsidRDefault="00BC7372">
      <w:pPr>
        <w:pStyle w:val="BodyText"/>
        <w:spacing w:before="177" w:line="249" w:lineRule="auto"/>
        <w:ind w:right="752"/>
      </w:pPr>
      <w:r>
        <w:rPr>
          <w:color w:val="231F20"/>
        </w:rPr>
        <w:t>For each river and wetland system, the potential environmental flows under each seasonal condition or water availability scenario is explained under ‘Scenario planning’ in the relevant section.</w:t>
      </w:r>
    </w:p>
    <w:p w:rsidR="006A7A3F" w:rsidRDefault="006A7A3F">
      <w:pPr>
        <w:pStyle w:val="BodyText"/>
        <w:spacing w:before="0"/>
        <w:ind w:left="0"/>
      </w:pPr>
    </w:p>
    <w:p w:rsidR="006A7A3F" w:rsidRDefault="00BC7372" w:rsidP="009B6917">
      <w:pPr>
        <w:pStyle w:val="Heading4"/>
        <w:numPr>
          <w:ilvl w:val="2"/>
          <w:numId w:val="1418"/>
        </w:numPr>
        <w:tabs>
          <w:tab w:val="left" w:pos="931"/>
        </w:tabs>
        <w:spacing w:before="1" w:line="242" w:lineRule="auto"/>
        <w:ind w:left="210" w:right="724" w:firstLine="0"/>
      </w:pPr>
      <w:r>
        <w:rPr>
          <w:color w:val="231F20"/>
        </w:rPr>
        <w:t>How does the seasonal watering plan fit into the environmental flows planning process?</w:t>
      </w:r>
    </w:p>
    <w:p w:rsidR="006A7A3F" w:rsidRDefault="00BC7372">
      <w:pPr>
        <w:pStyle w:val="BodyText"/>
        <w:spacing w:before="56" w:line="249" w:lineRule="auto"/>
        <w:ind w:right="100"/>
      </w:pPr>
      <w:r>
        <w:rPr>
          <w:color w:val="231F20"/>
        </w:rPr>
        <w:t>Each year, waterway managers scope the potential environmental watering actions for their regions for the coming year in their seasonal watering proposals. The proposals draw on environmental flow studies and on longer-term plans (such as environmental water management plans, regional waterway strategies and regional catchment strategies). Environmental flow studies and environmental water management plans for Victorian waterways are available on the VEWH’s website at</w:t>
      </w:r>
    </w:p>
    <w:p w:rsidR="006A7A3F" w:rsidRDefault="00BC7372">
      <w:pPr>
        <w:pStyle w:val="BodyText"/>
        <w:spacing w:before="4" w:line="249" w:lineRule="auto"/>
        <w:ind w:right="457"/>
        <w:jc w:val="both"/>
      </w:pPr>
      <w:r>
        <w:rPr>
          <w:color w:val="205E9E"/>
          <w:u w:val="single" w:color="205E9E"/>
        </w:rPr>
        <w:t>vewh.vic.gov.au</w:t>
      </w:r>
      <w:r>
        <w:rPr>
          <w:color w:val="231F20"/>
        </w:rPr>
        <w:t>. Waterway strategies and regional catchment strategies are published on the relevant waterway manager’s website. The seasonal watering proposals incorporate information and advice from local communities including Traditional Owners.</w:t>
      </w:r>
    </w:p>
    <w:p w:rsidR="006A7A3F" w:rsidRDefault="00BC7372">
      <w:pPr>
        <w:pStyle w:val="BodyText"/>
        <w:spacing w:before="173" w:line="249" w:lineRule="auto"/>
        <w:ind w:right="452"/>
      </w:pPr>
      <w:r>
        <w:rPr>
          <w:color w:val="231F20"/>
        </w:rPr>
        <w:t>The VEWH reviews the proposed watering actions in each seasonal watering proposal and works with waterway managers to identify the potential watering actions for each region and across the state. This seasonal watering plan is a collated summary of the agreed actions from all the seasonal watering proposals.</w:t>
      </w:r>
    </w:p>
    <w:p w:rsidR="00BC7372" w:rsidRDefault="00BC7372" w:rsidP="003D6D33">
      <w:pPr>
        <w:pStyle w:val="BodyText"/>
        <w:spacing w:line="249" w:lineRule="auto"/>
        <w:ind w:right="457"/>
        <w:rPr>
          <w:color w:val="231F20"/>
        </w:rPr>
      </w:pPr>
      <w:r>
        <w:rPr>
          <w:color w:val="231F20"/>
        </w:rPr>
        <w:t xml:space="preserve">The different stages of environmental flows planning including the different strategies and plans are shown in Figure 1.2.1. There is more information about each of these strategies and plans at </w:t>
      </w:r>
      <w:r>
        <w:rPr>
          <w:color w:val="205E9E"/>
          <w:u w:val="single" w:color="205E9E"/>
        </w:rPr>
        <w:t>vewh.vic.gov.au</w:t>
      </w:r>
      <w:r>
        <w:rPr>
          <w:color w:val="231F20"/>
        </w:rPr>
        <w:t>.</w:t>
      </w:r>
      <w:r>
        <w:rPr>
          <w:color w:val="231F20"/>
        </w:rPr>
        <w:br w:type="page"/>
      </w:r>
    </w:p>
    <w:p w:rsidR="006A7A3F" w:rsidRDefault="006A7A3F">
      <w:pPr>
        <w:pStyle w:val="BodyText"/>
        <w:spacing w:line="249" w:lineRule="auto"/>
        <w:ind w:right="457"/>
      </w:pPr>
    </w:p>
    <w:p w:rsidR="006A7A3F" w:rsidRDefault="00BC7372" w:rsidP="00175607">
      <w:pPr>
        <w:spacing w:before="75" w:after="120"/>
        <w:ind w:left="210"/>
        <w:rPr>
          <w:b/>
          <w:sz w:val="18"/>
        </w:rPr>
      </w:pPr>
      <w:r>
        <w:rPr>
          <w:b/>
          <w:color w:val="231F20"/>
          <w:sz w:val="18"/>
        </w:rPr>
        <w:t>Figure 1.2.1 Victorian environmental watering program planning framework</w:t>
      </w:r>
    </w:p>
    <w:p w:rsidR="006A7A3F" w:rsidRDefault="00BC7372">
      <w:pPr>
        <w:pStyle w:val="BodyText"/>
        <w:spacing w:before="10"/>
        <w:ind w:left="0"/>
        <w:rPr>
          <w:b/>
          <w:sz w:val="24"/>
        </w:rPr>
      </w:pPr>
      <w:r>
        <w:rPr>
          <w:noProof/>
        </w:rPr>
        <w:drawing>
          <wp:inline distT="0" distB="0" distL="0" distR="0">
            <wp:extent cx="5576982" cy="6938771"/>
            <wp:effectExtent l="0" t="0" r="0" b="0"/>
            <wp:docPr id="9" name="image5.jpeg" descr="Graphic shows a colour coded map of projected changes in run-off for 2065 under medium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6982" cy="6938771"/>
                    </a:xfrm>
                    <a:prstGeom prst="rect">
                      <a:avLst/>
                    </a:prstGeom>
                  </pic:spPr>
                </pic:pic>
              </a:graphicData>
            </a:graphic>
          </wp:inline>
        </w:drawing>
      </w:r>
    </w:p>
    <w:p w:rsidR="006A7A3F" w:rsidRDefault="006A7A3F">
      <w:pPr>
        <w:pStyle w:val="BodyText"/>
        <w:spacing w:before="0"/>
        <w:ind w:left="0"/>
        <w:rPr>
          <w:b/>
        </w:rPr>
      </w:pPr>
    </w:p>
    <w:p w:rsidR="00BC7372" w:rsidRDefault="00BC7372">
      <w:pPr>
        <w:rPr>
          <w:b/>
          <w:sz w:val="20"/>
          <w:szCs w:val="20"/>
        </w:rPr>
      </w:pPr>
      <w:r>
        <w:rPr>
          <w:bCs/>
          <w:sz w:val="20"/>
          <w:szCs w:val="20"/>
        </w:rPr>
        <w:br w:type="page"/>
      </w:r>
    </w:p>
    <w:p w:rsidR="006A7A3F" w:rsidRDefault="00BC7372" w:rsidP="009B6917">
      <w:pPr>
        <w:pStyle w:val="Heading4"/>
        <w:numPr>
          <w:ilvl w:val="2"/>
          <w:numId w:val="1418"/>
        </w:numPr>
        <w:tabs>
          <w:tab w:val="left" w:pos="931"/>
        </w:tabs>
        <w:spacing w:before="133"/>
        <w:ind w:hanging="721"/>
      </w:pPr>
      <w:r>
        <w:rPr>
          <w:color w:val="231F20"/>
        </w:rPr>
        <w:t>Who contributes to the seasonal watering</w:t>
      </w:r>
      <w:r>
        <w:rPr>
          <w:color w:val="231F20"/>
          <w:spacing w:val="-4"/>
        </w:rPr>
        <w:t xml:space="preserve"> </w:t>
      </w:r>
      <w:r>
        <w:rPr>
          <w:color w:val="231F20"/>
        </w:rPr>
        <w:t>plan?</w:t>
      </w:r>
    </w:p>
    <w:p w:rsidR="006A7A3F" w:rsidRDefault="00BC7372" w:rsidP="001413DB">
      <w:pPr>
        <w:pStyle w:val="BodyText"/>
        <w:spacing w:before="58" w:line="249" w:lineRule="auto"/>
        <w:ind w:right="1041"/>
      </w:pPr>
      <w:r>
        <w:rPr>
          <w:color w:val="231F20"/>
        </w:rPr>
        <w:t>Stakeholder engagement about potential environmental watering actions occurs during the development of seasonal watering proposals. The level and method of engagement vary across the state, reflecting the</w:t>
      </w:r>
      <w:r w:rsidR="001413DB">
        <w:rPr>
          <w:color w:val="231F20"/>
        </w:rPr>
        <w:t xml:space="preserve"> </w:t>
      </w:r>
      <w:r>
        <w:rPr>
          <w:color w:val="231F20"/>
        </w:rPr>
        <w:t>differing systems, watering actions and stakeholders. In some regions, formal environmental watering advisory groups provide the opportunity for waterway managers and interested community members to discuss potential environmental flows in their system or locality for the coming year. In other systems, engagement occurs one- on-one between waterway managers and interested stakeholders. The most interested stakeholders tend to be</w:t>
      </w:r>
      <w:r w:rsidR="001413DB">
        <w:rPr>
          <w:color w:val="231F20"/>
        </w:rPr>
        <w:t xml:space="preserve"> </w:t>
      </w:r>
      <w:r>
        <w:rPr>
          <w:color w:val="231F20"/>
        </w:rPr>
        <w:t>Traditional Owners, irrigators, farmers, people living close to or with an interest in a specific waterway, members of recreational groups and members of local environmental groups.</w:t>
      </w:r>
    </w:p>
    <w:p w:rsidR="006A7A3F" w:rsidRDefault="00BC7372" w:rsidP="001413DB">
      <w:pPr>
        <w:pStyle w:val="BodyText"/>
        <w:spacing w:before="171" w:line="249" w:lineRule="auto"/>
        <w:ind w:right="796"/>
      </w:pPr>
      <w:r>
        <w:rPr>
          <w:color w:val="231F20"/>
        </w:rPr>
        <w:t>Land managers and storage managers also consider and endorse, or provide their written support for, the seasonal watering proposals. This ensures releases of water for the environment align with land and storage</w:t>
      </w:r>
      <w:r w:rsidR="001413DB">
        <w:rPr>
          <w:color w:val="231F20"/>
        </w:rPr>
        <w:t xml:space="preserve"> </w:t>
      </w:r>
      <w:r>
        <w:rPr>
          <w:color w:val="231F20"/>
        </w:rPr>
        <w:t>management objectives and can feasibly be delivered through planned system operations, and that risks can be adequately managed.</w:t>
      </w:r>
    </w:p>
    <w:p w:rsidR="006A7A3F" w:rsidRDefault="00BC7372">
      <w:pPr>
        <w:pStyle w:val="BodyText"/>
        <w:spacing w:line="249" w:lineRule="auto"/>
        <w:ind w:right="274"/>
      </w:pPr>
      <w:r>
        <w:rPr>
          <w:color w:val="231F20"/>
        </w:rPr>
        <w:t>For each region, there is a summary of the engagement activities waterway managers undertook when developing seasonal watering proposals: these are in the regional overviews in sections 2 to 5.</w:t>
      </w:r>
    </w:p>
    <w:p w:rsidR="006A7A3F" w:rsidRDefault="006A7A3F">
      <w:pPr>
        <w:pStyle w:val="BodyText"/>
        <w:spacing w:before="1"/>
        <w:ind w:left="0"/>
      </w:pPr>
    </w:p>
    <w:p w:rsidR="006A7A3F" w:rsidRDefault="00BC7372" w:rsidP="009B6917">
      <w:pPr>
        <w:pStyle w:val="Heading4"/>
        <w:numPr>
          <w:ilvl w:val="2"/>
          <w:numId w:val="1418"/>
        </w:numPr>
        <w:tabs>
          <w:tab w:val="left" w:pos="931"/>
        </w:tabs>
        <w:ind w:hanging="721"/>
      </w:pPr>
      <w:r>
        <w:rPr>
          <w:color w:val="231F20"/>
        </w:rPr>
        <w:t>Can the seasonal watering plan be</w:t>
      </w:r>
      <w:r>
        <w:rPr>
          <w:color w:val="231F20"/>
          <w:spacing w:val="-4"/>
        </w:rPr>
        <w:t xml:space="preserve"> </w:t>
      </w:r>
      <w:r>
        <w:rPr>
          <w:color w:val="231F20"/>
        </w:rPr>
        <w:t>changed?</w:t>
      </w:r>
    </w:p>
    <w:p w:rsidR="006A7A3F" w:rsidRDefault="00BC7372">
      <w:pPr>
        <w:pStyle w:val="BodyText"/>
        <w:spacing w:before="58" w:line="249" w:lineRule="auto"/>
        <w:ind w:right="100"/>
      </w:pPr>
      <w:r>
        <w:rPr>
          <w:color w:val="231F20"/>
        </w:rPr>
        <w:t>Under the Water Act 1989, the VEWH can only authorise the use of water for the environment if it is consistent with the seasonal watering plan. This is to ensure transparency about what environmental flows are planned and how they are managed.</w:t>
      </w:r>
    </w:p>
    <w:p w:rsidR="006A7A3F" w:rsidRDefault="00BC7372">
      <w:pPr>
        <w:pStyle w:val="BodyText"/>
        <w:spacing w:before="173" w:line="249" w:lineRule="auto"/>
        <w:ind w:right="100"/>
      </w:pPr>
      <w:r>
        <w:rPr>
          <w:color w:val="231F20"/>
        </w:rPr>
        <w:t>To ensure flexibility to adapt to changing conditions, the Act allows the VEWH to vary any section of the seasonal watering plan. Variations may be needed to incorporate new knowledge or to address circumstances that were not identified before the start of the water year.</w:t>
      </w:r>
    </w:p>
    <w:p w:rsidR="006A7A3F" w:rsidRDefault="00BC7372" w:rsidP="001413DB">
      <w:pPr>
        <w:pStyle w:val="BodyText"/>
        <w:spacing w:line="249" w:lineRule="auto"/>
        <w:ind w:right="143"/>
      </w:pPr>
      <w:r>
        <w:rPr>
          <w:color w:val="231F20"/>
        </w:rPr>
        <w:t xml:space="preserve">The VEWH makes all variations publicly available at </w:t>
      </w:r>
      <w:r>
        <w:rPr>
          <w:color w:val="205E9E"/>
          <w:u w:val="single" w:color="205E9E"/>
        </w:rPr>
        <w:t>vewh.vic.gov.au</w:t>
      </w:r>
      <w:r>
        <w:rPr>
          <w:color w:val="205E9E"/>
        </w:rPr>
        <w:t xml:space="preserve"> </w:t>
      </w:r>
      <w:r>
        <w:rPr>
          <w:color w:val="231F20"/>
        </w:rPr>
        <w:t xml:space="preserve">as separate attachments to the current seasonal watering plan. You can email </w:t>
      </w:r>
      <w:hyperlink r:id="rId15">
        <w:r>
          <w:rPr>
            <w:color w:val="205E9E"/>
            <w:u w:val="single" w:color="205E9E"/>
          </w:rPr>
          <w:t>general.enquiries@vewh.vic.gov.au</w:t>
        </w:r>
        <w:r>
          <w:rPr>
            <w:color w:val="205E9E"/>
          </w:rPr>
          <w:t xml:space="preserve"> </w:t>
        </w:r>
      </w:hyperlink>
      <w:r>
        <w:rPr>
          <w:color w:val="231F20"/>
        </w:rPr>
        <w:t>for a hard</w:t>
      </w:r>
      <w:r w:rsidR="001413DB">
        <w:rPr>
          <w:color w:val="231F20"/>
        </w:rPr>
        <w:t xml:space="preserve"> </w:t>
      </w:r>
      <w:r>
        <w:rPr>
          <w:color w:val="231F20"/>
        </w:rPr>
        <w:t>copy of any attachments.</w:t>
      </w:r>
    </w:p>
    <w:p w:rsidR="006A7A3F" w:rsidRDefault="006A7A3F">
      <w:pPr>
        <w:pStyle w:val="BodyText"/>
        <w:spacing w:before="9"/>
        <w:ind w:left="0"/>
      </w:pPr>
    </w:p>
    <w:p w:rsidR="006A7A3F" w:rsidRDefault="00BC7372" w:rsidP="009B6917">
      <w:pPr>
        <w:pStyle w:val="Heading4"/>
        <w:numPr>
          <w:ilvl w:val="2"/>
          <w:numId w:val="1418"/>
        </w:numPr>
        <w:tabs>
          <w:tab w:val="left" w:pos="931"/>
        </w:tabs>
        <w:ind w:hanging="721"/>
      </w:pPr>
      <w:r>
        <w:rPr>
          <w:color w:val="231F20"/>
        </w:rPr>
        <w:t>When isn’t a formal variation required to the seasonal watering</w:t>
      </w:r>
      <w:r>
        <w:rPr>
          <w:color w:val="231F20"/>
          <w:spacing w:val="-10"/>
        </w:rPr>
        <w:t xml:space="preserve"> </w:t>
      </w:r>
      <w:r>
        <w:rPr>
          <w:color w:val="231F20"/>
        </w:rPr>
        <w:t>plan?</w:t>
      </w:r>
    </w:p>
    <w:p w:rsidR="006A7A3F" w:rsidRDefault="00BC7372">
      <w:pPr>
        <w:pStyle w:val="BodyText"/>
        <w:spacing w:before="58" w:line="249" w:lineRule="auto"/>
        <w:ind w:right="419"/>
      </w:pPr>
      <w:r>
        <w:rPr>
          <w:color w:val="231F20"/>
        </w:rPr>
        <w:t>In some instances, there may be unforeseen circumstances that will call for use of water for the environment that does not require a variation to the seasonal watering plan.</w:t>
      </w:r>
    </w:p>
    <w:p w:rsidR="006A7A3F" w:rsidRDefault="00BC7372">
      <w:pPr>
        <w:pStyle w:val="BodyText"/>
        <w:spacing w:before="87"/>
      </w:pPr>
      <w:r>
        <w:rPr>
          <w:color w:val="231F20"/>
        </w:rPr>
        <w:t>These include:</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minor operational adjustments to specific environmental watering</w:t>
      </w:r>
      <w:r>
        <w:rPr>
          <w:color w:val="231F20"/>
          <w:spacing w:val="-9"/>
          <w:sz w:val="20"/>
        </w:rPr>
        <w:t xml:space="preserve"> </w:t>
      </w:r>
      <w:r>
        <w:rPr>
          <w:color w:val="231F20"/>
          <w:sz w:val="20"/>
        </w:rPr>
        <w:t>actions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water for the environment being used for environmental emergency management</w:t>
      </w:r>
      <w:r>
        <w:rPr>
          <w:color w:val="231F20"/>
          <w:spacing w:val="-17"/>
          <w:sz w:val="20"/>
        </w:rPr>
        <w:t xml:space="preserve"> </w:t>
      </w:r>
      <w:r>
        <w:rPr>
          <w:color w:val="231F20"/>
          <w:sz w:val="20"/>
        </w:rPr>
        <w:t>purposes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small</w:t>
      </w:r>
      <w:r>
        <w:rPr>
          <w:color w:val="231F20"/>
          <w:spacing w:val="-3"/>
          <w:sz w:val="20"/>
        </w:rPr>
        <w:t xml:space="preserve"> </w:t>
      </w:r>
      <w:r>
        <w:rPr>
          <w:color w:val="231F20"/>
          <w:sz w:val="20"/>
        </w:rPr>
        <w:t>volumes</w:t>
      </w:r>
      <w:r>
        <w:rPr>
          <w:color w:val="231F20"/>
          <w:spacing w:val="-3"/>
          <w:sz w:val="20"/>
        </w:rPr>
        <w:t xml:space="preserve"> </w:t>
      </w:r>
      <w:r>
        <w:rPr>
          <w:color w:val="231F20"/>
          <w:sz w:val="20"/>
        </w:rPr>
        <w:t>of</w:t>
      </w:r>
      <w:r>
        <w:rPr>
          <w:color w:val="231F20"/>
          <w:spacing w:val="-3"/>
          <w:sz w:val="20"/>
        </w:rPr>
        <w:t xml:space="preserve"> </w:t>
      </w:r>
      <w:r>
        <w:rPr>
          <w:color w:val="231F20"/>
          <w:sz w:val="20"/>
        </w:rPr>
        <w:t>water</w:t>
      </w:r>
      <w:r>
        <w:rPr>
          <w:color w:val="231F20"/>
          <w:spacing w:val="-4"/>
          <w:sz w:val="20"/>
        </w:rPr>
        <w:t xml:space="preserve"> </w:t>
      </w:r>
      <w:r>
        <w:rPr>
          <w:color w:val="231F20"/>
          <w:sz w:val="20"/>
        </w:rPr>
        <w:t>for</w:t>
      </w:r>
      <w:r>
        <w:rPr>
          <w:color w:val="231F20"/>
          <w:spacing w:val="-2"/>
          <w:sz w:val="20"/>
        </w:rPr>
        <w:t xml:space="preserve"> </w:t>
      </w:r>
      <w:r>
        <w:rPr>
          <w:color w:val="231F20"/>
          <w:sz w:val="20"/>
        </w:rPr>
        <w:t>the</w:t>
      </w:r>
      <w:r>
        <w:rPr>
          <w:color w:val="231F20"/>
          <w:spacing w:val="-3"/>
          <w:sz w:val="20"/>
        </w:rPr>
        <w:t xml:space="preserve"> </w:t>
      </w:r>
      <w:r>
        <w:rPr>
          <w:color w:val="231F20"/>
          <w:sz w:val="20"/>
        </w:rPr>
        <w:t>environment</w:t>
      </w:r>
      <w:r>
        <w:rPr>
          <w:color w:val="231F20"/>
          <w:spacing w:val="-4"/>
          <w:sz w:val="20"/>
        </w:rPr>
        <w:t xml:space="preserve"> </w:t>
      </w:r>
      <w:r>
        <w:rPr>
          <w:color w:val="231F20"/>
          <w:sz w:val="20"/>
        </w:rPr>
        <w:t>being</w:t>
      </w:r>
      <w:r>
        <w:rPr>
          <w:color w:val="231F20"/>
          <w:spacing w:val="-3"/>
          <w:sz w:val="20"/>
        </w:rPr>
        <w:t xml:space="preserve"> </w:t>
      </w:r>
      <w:r>
        <w:rPr>
          <w:color w:val="231F20"/>
          <w:sz w:val="20"/>
        </w:rPr>
        <w:t>used</w:t>
      </w:r>
      <w:r>
        <w:rPr>
          <w:color w:val="231F20"/>
          <w:spacing w:val="-4"/>
          <w:sz w:val="20"/>
        </w:rPr>
        <w:t xml:space="preserve"> </w:t>
      </w:r>
      <w:r>
        <w:rPr>
          <w:color w:val="231F20"/>
          <w:sz w:val="20"/>
        </w:rPr>
        <w:t>for</w:t>
      </w:r>
      <w:r>
        <w:rPr>
          <w:color w:val="231F20"/>
          <w:spacing w:val="-2"/>
          <w:sz w:val="20"/>
        </w:rPr>
        <w:t xml:space="preserve"> </w:t>
      </w:r>
      <w:r>
        <w:rPr>
          <w:color w:val="231F20"/>
          <w:sz w:val="20"/>
        </w:rPr>
        <w:t>technical</w:t>
      </w:r>
      <w:r>
        <w:rPr>
          <w:color w:val="231F20"/>
          <w:spacing w:val="-3"/>
          <w:sz w:val="20"/>
        </w:rPr>
        <w:t xml:space="preserve"> </w:t>
      </w:r>
      <w:r>
        <w:rPr>
          <w:color w:val="231F20"/>
          <w:sz w:val="20"/>
        </w:rPr>
        <w:t>investigations</w:t>
      </w:r>
      <w:r>
        <w:rPr>
          <w:color w:val="231F20"/>
          <w:spacing w:val="-4"/>
          <w:sz w:val="20"/>
        </w:rPr>
        <w:t xml:space="preserve"> </w:t>
      </w:r>
      <w:r>
        <w:rPr>
          <w:color w:val="231F20"/>
          <w:sz w:val="20"/>
        </w:rPr>
        <w:t>or</w:t>
      </w:r>
      <w:r>
        <w:rPr>
          <w:color w:val="231F20"/>
          <w:spacing w:val="-3"/>
          <w:sz w:val="20"/>
        </w:rPr>
        <w:t xml:space="preserve"> </w:t>
      </w:r>
      <w:r>
        <w:rPr>
          <w:color w:val="231F20"/>
          <w:sz w:val="20"/>
        </w:rPr>
        <w:t>infrastructure</w:t>
      </w:r>
      <w:r>
        <w:rPr>
          <w:color w:val="231F20"/>
          <w:spacing w:val="-4"/>
          <w:sz w:val="20"/>
        </w:rPr>
        <w:t xml:space="preserve"> </w:t>
      </w:r>
      <w:r>
        <w:rPr>
          <w:color w:val="231F20"/>
          <w:sz w:val="20"/>
        </w:rPr>
        <w:t>maintenance</w:t>
      </w:r>
    </w:p>
    <w:p w:rsidR="006A7A3F" w:rsidRDefault="00BC7372" w:rsidP="009B6917">
      <w:pPr>
        <w:pStyle w:val="ListParagraph"/>
        <w:numPr>
          <w:ilvl w:val="0"/>
          <w:numId w:val="1419"/>
        </w:numPr>
        <w:tabs>
          <w:tab w:val="left" w:pos="493"/>
          <w:tab w:val="left" w:pos="494"/>
        </w:tabs>
        <w:spacing w:line="249" w:lineRule="auto"/>
        <w:ind w:right="409"/>
        <w:rPr>
          <w:sz w:val="20"/>
        </w:rPr>
      </w:pPr>
      <w:r>
        <w:rPr>
          <w:color w:val="231F20"/>
          <w:sz w:val="20"/>
        </w:rPr>
        <w:t>facilitating the delivery of water for the environment held by other water holders for downstream, non-Victorian objectives.</w:t>
      </w:r>
    </w:p>
    <w:p w:rsidR="006A7A3F" w:rsidRDefault="00BC7372">
      <w:pPr>
        <w:pStyle w:val="BodyText"/>
        <w:spacing w:line="249" w:lineRule="auto"/>
        <w:ind w:right="508"/>
      </w:pPr>
      <w:r>
        <w:rPr>
          <w:color w:val="231F20"/>
        </w:rPr>
        <w:t>As the VEWH cannot anticipate the specifics of these circumstances, it cannot include details about them in this plan. Waterway managers are required to consult the VEWH in all instances where releases of water for the environment do not align with the seasonal watering plan.</w:t>
      </w:r>
    </w:p>
    <w:p w:rsidR="00F32FAC" w:rsidRDefault="00F32FAC">
      <w:pPr>
        <w:rPr>
          <w:sz w:val="20"/>
          <w:szCs w:val="20"/>
        </w:rPr>
      </w:pPr>
      <w:r>
        <w:rPr>
          <w:b/>
          <w:bCs/>
          <w:sz w:val="20"/>
          <w:szCs w:val="20"/>
        </w:rPr>
        <w:br w:type="page"/>
      </w:r>
    </w:p>
    <w:p w:rsidR="006A7A3F" w:rsidRDefault="00BC7372">
      <w:pPr>
        <w:pStyle w:val="Heading4"/>
      </w:pPr>
      <w:r>
        <w:rPr>
          <w:color w:val="231F20"/>
        </w:rPr>
        <w:t>Minor operational adjustments</w:t>
      </w:r>
    </w:p>
    <w:p w:rsidR="006A7A3F" w:rsidRDefault="00BC7372">
      <w:pPr>
        <w:pStyle w:val="BodyText"/>
        <w:spacing w:before="59" w:line="249" w:lineRule="auto"/>
        <w:ind w:right="353"/>
      </w:pPr>
      <w:r>
        <w:rPr>
          <w:color w:val="231F20"/>
        </w:rPr>
        <w:t>Minor operational adjustments to environmental watering actions may occur from time to time. For example, the targeted river reaches, flow rates, timings, magnitudes and durations detailed in sections 2 to 5 may need to be adjusted slightly, due to changes in predicted rainfall or other water orders, delivery infrastructure constraints, emerging ecological knowledge or the timing of specific ecological triggers (such as a bird-breeding event). In all cases, environmental watering actions will still aim to optimise environmental outcomes, in line with the objectives set out in the seasonal watering plan.</w:t>
      </w:r>
    </w:p>
    <w:p w:rsidR="006A7A3F" w:rsidRDefault="006A7A3F">
      <w:pPr>
        <w:pStyle w:val="BodyText"/>
        <w:spacing w:before="4"/>
        <w:ind w:left="0"/>
      </w:pPr>
    </w:p>
    <w:p w:rsidR="006A7A3F" w:rsidRDefault="00BC7372">
      <w:pPr>
        <w:pStyle w:val="Heading4"/>
      </w:pPr>
      <w:r>
        <w:rPr>
          <w:color w:val="231F20"/>
        </w:rPr>
        <w:t>Environmental emergency management situations</w:t>
      </w:r>
    </w:p>
    <w:p w:rsidR="006A7A3F" w:rsidRDefault="00BC7372">
      <w:pPr>
        <w:pStyle w:val="BodyText"/>
        <w:spacing w:before="58" w:line="249" w:lineRule="auto"/>
        <w:ind w:right="457"/>
      </w:pPr>
      <w:r>
        <w:rPr>
          <w:color w:val="231F20"/>
        </w:rPr>
        <w:t>Water for the environment may be needed for an environmental emergency management situation, for example to mitigate a toxic water quality event. Section 1.3.7 describes how environmental watering emergencies are managed and authorised.</w:t>
      </w:r>
    </w:p>
    <w:p w:rsidR="006A7A3F" w:rsidRDefault="006A7A3F">
      <w:pPr>
        <w:pStyle w:val="BodyText"/>
        <w:spacing w:before="2"/>
        <w:ind w:left="0"/>
      </w:pPr>
    </w:p>
    <w:p w:rsidR="006A7A3F" w:rsidRDefault="00BC7372">
      <w:pPr>
        <w:pStyle w:val="Heading4"/>
      </w:pPr>
      <w:r>
        <w:rPr>
          <w:color w:val="231F20"/>
        </w:rPr>
        <w:t>Small technical investigations and maintenance</w:t>
      </w:r>
    </w:p>
    <w:p w:rsidR="006A7A3F" w:rsidRDefault="00BC7372">
      <w:pPr>
        <w:pStyle w:val="BodyText"/>
        <w:spacing w:before="58" w:line="249" w:lineRule="auto"/>
        <w:ind w:right="563"/>
      </w:pPr>
      <w:r>
        <w:rPr>
          <w:color w:val="231F20"/>
        </w:rPr>
        <w:t>There may be instances where a small volume of water for the environment may be used for research and development purposes, or for small-scale infrastructure-testing or maintenance. Such instances are considered on a case-by-case basis and must aim to enhance knowledge and improve the management of water for the environment. They must not compromise the potential to achieve the environmental objectives in the seasonal watering plan.</w:t>
      </w:r>
    </w:p>
    <w:p w:rsidR="006A7A3F" w:rsidRDefault="006A7A3F">
      <w:pPr>
        <w:pStyle w:val="BodyText"/>
        <w:spacing w:before="3"/>
        <w:ind w:left="0"/>
      </w:pPr>
    </w:p>
    <w:p w:rsidR="006A7A3F" w:rsidRDefault="00BC7372" w:rsidP="001413DB">
      <w:pPr>
        <w:spacing w:line="271" w:lineRule="auto"/>
        <w:ind w:left="210" w:right="417"/>
      </w:pPr>
      <w:r>
        <w:rPr>
          <w:b/>
          <w:color w:val="231F20"/>
          <w:sz w:val="24"/>
        </w:rPr>
        <w:t xml:space="preserve">Facilitating the delivery of water held by other water holders for downstream objectives </w:t>
      </w:r>
      <w:r>
        <w:rPr>
          <w:color w:val="231F20"/>
          <w:sz w:val="20"/>
        </w:rPr>
        <w:t>Some water held by other water holders is stored in Victorian storages and is sometimes called on to meet downstream demands beyond the scope of this plan (such as for the Coorong, Lower Lakes and Murray Mouth</w:t>
      </w:r>
      <w:r w:rsidR="001413DB">
        <w:rPr>
          <w:color w:val="231F20"/>
          <w:sz w:val="20"/>
        </w:rPr>
        <w:t xml:space="preserve"> </w:t>
      </w:r>
      <w:r>
        <w:rPr>
          <w:color w:val="231F20"/>
        </w:rPr>
        <w:t>area in South Australia). Delivery of this water is sometimes needed at a time and flow rate that was not scoped</w:t>
      </w:r>
      <w:r w:rsidR="001413DB">
        <w:rPr>
          <w:color w:val="231F20"/>
        </w:rPr>
        <w:t xml:space="preserve"> </w:t>
      </w:r>
      <w:r>
        <w:rPr>
          <w:color w:val="231F20"/>
        </w:rPr>
        <w:t>in the seasonal watering plan. The VEWH facilitates and authorises such deliveries, provided the risk of harms to</w:t>
      </w:r>
      <w:r w:rsidR="001413DB">
        <w:rPr>
          <w:color w:val="231F20"/>
        </w:rPr>
        <w:t xml:space="preserve"> </w:t>
      </w:r>
      <w:r>
        <w:rPr>
          <w:color w:val="231F20"/>
        </w:rPr>
        <w:t>Victoria’s rivers, wetlands and floodplains (and other risks) are appropriately managed.</w:t>
      </w:r>
    </w:p>
    <w:p w:rsidR="00F32FAC" w:rsidRDefault="00F32FAC">
      <w:pPr>
        <w:rPr>
          <w:szCs w:val="20"/>
        </w:rPr>
      </w:pPr>
      <w:r>
        <w:rPr>
          <w:szCs w:val="20"/>
        </w:rPr>
        <w:br w:type="page"/>
      </w:r>
    </w:p>
    <w:p w:rsidR="006A7A3F" w:rsidRDefault="00BC7372" w:rsidP="009B6917">
      <w:pPr>
        <w:pStyle w:val="Heading1"/>
        <w:numPr>
          <w:ilvl w:val="1"/>
          <w:numId w:val="1421"/>
        </w:numPr>
        <w:tabs>
          <w:tab w:val="left" w:pos="911"/>
        </w:tabs>
        <w:ind w:left="910" w:hanging="701"/>
      </w:pPr>
      <w:r>
        <w:rPr>
          <w:color w:val="231F20"/>
        </w:rPr>
        <w:t>Implementing the seasonal watering</w:t>
      </w:r>
      <w:r>
        <w:rPr>
          <w:color w:val="231F20"/>
          <w:spacing w:val="-4"/>
        </w:rPr>
        <w:t xml:space="preserve"> </w:t>
      </w:r>
      <w:r>
        <w:rPr>
          <w:color w:val="231F20"/>
        </w:rPr>
        <w:t>plan</w:t>
      </w:r>
    </w:p>
    <w:p w:rsidR="006A7A3F" w:rsidRDefault="00BC7372">
      <w:pPr>
        <w:pStyle w:val="Heading2"/>
        <w:spacing w:line="249" w:lineRule="auto"/>
        <w:ind w:right="340"/>
      </w:pPr>
      <w:r>
        <w:rPr>
          <w:color w:val="231F20"/>
        </w:rPr>
        <w:t>The seasonal watering plan scopes potential environmental watering for the coming year, but many factors influence decisions about what water for the environment is committed and delivered.</w:t>
      </w:r>
    </w:p>
    <w:p w:rsidR="006A7A3F" w:rsidRDefault="00BC7372">
      <w:pPr>
        <w:pStyle w:val="Heading4"/>
        <w:spacing w:before="207"/>
      </w:pPr>
      <w:r>
        <w:rPr>
          <w:color w:val="231F20"/>
        </w:rPr>
        <w:t>In this section …</w:t>
      </w:r>
    </w:p>
    <w:p w:rsidR="006A7A3F" w:rsidRDefault="00BC7372" w:rsidP="009B6917">
      <w:pPr>
        <w:pStyle w:val="Heading7"/>
        <w:numPr>
          <w:ilvl w:val="2"/>
          <w:numId w:val="1421"/>
        </w:numPr>
        <w:tabs>
          <w:tab w:val="left" w:pos="930"/>
          <w:tab w:val="left" w:pos="931"/>
        </w:tabs>
        <w:spacing w:before="58"/>
        <w:ind w:hanging="721"/>
      </w:pPr>
      <w:r>
        <w:rPr>
          <w:color w:val="231F20"/>
        </w:rPr>
        <w:t>How are watering decisions made throughout the</w:t>
      </w:r>
      <w:r>
        <w:rPr>
          <w:color w:val="231F20"/>
          <w:spacing w:val="-4"/>
        </w:rPr>
        <w:t xml:space="preserve"> </w:t>
      </w:r>
      <w:r>
        <w:rPr>
          <w:color w:val="231F20"/>
        </w:rPr>
        <w:t>year?</w:t>
      </w:r>
    </w:p>
    <w:p w:rsidR="006A7A3F" w:rsidRDefault="00BC7372" w:rsidP="009B6917">
      <w:pPr>
        <w:pStyle w:val="ListParagraph"/>
        <w:numPr>
          <w:ilvl w:val="2"/>
          <w:numId w:val="1421"/>
        </w:numPr>
        <w:tabs>
          <w:tab w:val="left" w:pos="930"/>
          <w:tab w:val="left" w:pos="931"/>
        </w:tabs>
        <w:ind w:hanging="721"/>
        <w:rPr>
          <w:b/>
          <w:sz w:val="20"/>
        </w:rPr>
      </w:pPr>
      <w:r>
        <w:rPr>
          <w:b/>
          <w:color w:val="231F20"/>
          <w:sz w:val="20"/>
        </w:rPr>
        <w:t>When does the Victorian Environmental</w:t>
      </w:r>
      <w:r>
        <w:rPr>
          <w:b/>
          <w:color w:val="231F20"/>
          <w:spacing w:val="-1"/>
          <w:sz w:val="20"/>
        </w:rPr>
        <w:t xml:space="preserve"> </w:t>
      </w:r>
      <w:r>
        <w:rPr>
          <w:b/>
          <w:color w:val="231F20"/>
          <w:spacing w:val="-3"/>
          <w:sz w:val="20"/>
        </w:rPr>
        <w:t>Water</w:t>
      </w:r>
    </w:p>
    <w:p w:rsidR="006A7A3F" w:rsidRDefault="00BC7372">
      <w:pPr>
        <w:spacing w:before="10"/>
        <w:ind w:left="930"/>
        <w:rPr>
          <w:b/>
          <w:sz w:val="20"/>
        </w:rPr>
      </w:pPr>
      <w:r>
        <w:rPr>
          <w:b/>
          <w:color w:val="231F20"/>
          <w:sz w:val="20"/>
        </w:rPr>
        <w:t>Holder commit and authorise the use of water for the environment?</w:t>
      </w:r>
    </w:p>
    <w:p w:rsidR="006A7A3F" w:rsidRDefault="00BC7372" w:rsidP="009B6917">
      <w:pPr>
        <w:pStyle w:val="ListParagraph"/>
        <w:numPr>
          <w:ilvl w:val="2"/>
          <w:numId w:val="1421"/>
        </w:numPr>
        <w:tabs>
          <w:tab w:val="left" w:pos="930"/>
          <w:tab w:val="left" w:pos="931"/>
        </w:tabs>
        <w:ind w:hanging="721"/>
        <w:rPr>
          <w:b/>
          <w:sz w:val="20"/>
        </w:rPr>
      </w:pPr>
      <w:r>
        <w:rPr>
          <w:b/>
          <w:color w:val="231F20"/>
          <w:sz w:val="20"/>
        </w:rPr>
        <w:t>How does the Victorian Environmental</w:t>
      </w:r>
      <w:r>
        <w:rPr>
          <w:b/>
          <w:color w:val="231F20"/>
          <w:spacing w:val="-2"/>
          <w:sz w:val="20"/>
        </w:rPr>
        <w:t xml:space="preserve"> </w:t>
      </w:r>
      <w:r>
        <w:rPr>
          <w:b/>
          <w:color w:val="231F20"/>
          <w:spacing w:val="-3"/>
          <w:sz w:val="20"/>
        </w:rPr>
        <w:t>Water</w:t>
      </w:r>
    </w:p>
    <w:p w:rsidR="006A7A3F" w:rsidRDefault="00BC7372">
      <w:pPr>
        <w:spacing w:before="10" w:line="249" w:lineRule="auto"/>
        <w:ind w:left="210" w:right="636" w:firstLine="720"/>
        <w:rPr>
          <w:b/>
          <w:sz w:val="20"/>
        </w:rPr>
      </w:pPr>
      <w:r>
        <w:rPr>
          <w:b/>
          <w:color w:val="231F20"/>
          <w:sz w:val="20"/>
        </w:rPr>
        <w:t>Holder prioritise different watering actions when there is not enough water for the environment available?</w:t>
      </w:r>
    </w:p>
    <w:p w:rsidR="006A7A3F" w:rsidRDefault="00BC7372" w:rsidP="009B6917">
      <w:pPr>
        <w:pStyle w:val="ListParagraph"/>
        <w:numPr>
          <w:ilvl w:val="2"/>
          <w:numId w:val="1421"/>
        </w:numPr>
        <w:tabs>
          <w:tab w:val="left" w:pos="930"/>
          <w:tab w:val="left" w:pos="931"/>
        </w:tabs>
        <w:spacing w:before="87"/>
        <w:ind w:hanging="721"/>
        <w:rPr>
          <w:b/>
          <w:sz w:val="20"/>
        </w:rPr>
      </w:pPr>
      <w:r>
        <w:rPr>
          <w:b/>
          <w:color w:val="231F20"/>
          <w:sz w:val="20"/>
        </w:rPr>
        <w:t>Do seasonal conditions affect how water for the environment is</w:t>
      </w:r>
      <w:r>
        <w:rPr>
          <w:b/>
          <w:color w:val="231F20"/>
          <w:spacing w:val="-10"/>
          <w:sz w:val="20"/>
        </w:rPr>
        <w:t xml:space="preserve"> </w:t>
      </w:r>
      <w:r>
        <w:rPr>
          <w:b/>
          <w:color w:val="231F20"/>
          <w:sz w:val="20"/>
        </w:rPr>
        <w:t>used?</w:t>
      </w:r>
    </w:p>
    <w:p w:rsidR="006A7A3F" w:rsidRDefault="00BC7372" w:rsidP="009B6917">
      <w:pPr>
        <w:pStyle w:val="ListParagraph"/>
        <w:numPr>
          <w:ilvl w:val="2"/>
          <w:numId w:val="1421"/>
        </w:numPr>
        <w:tabs>
          <w:tab w:val="left" w:pos="930"/>
          <w:tab w:val="left" w:pos="931"/>
        </w:tabs>
        <w:ind w:hanging="721"/>
        <w:rPr>
          <w:b/>
          <w:sz w:val="20"/>
        </w:rPr>
      </w:pPr>
      <w:r>
        <w:rPr>
          <w:b/>
          <w:color w:val="231F20"/>
          <w:sz w:val="20"/>
        </w:rPr>
        <w:t>How are shared cultural,</w:t>
      </w:r>
      <w:r>
        <w:rPr>
          <w:b/>
          <w:color w:val="231F20"/>
          <w:spacing w:val="-5"/>
          <w:sz w:val="20"/>
        </w:rPr>
        <w:t xml:space="preserve"> </w:t>
      </w:r>
      <w:r>
        <w:rPr>
          <w:b/>
          <w:color w:val="231F20"/>
          <w:sz w:val="20"/>
        </w:rPr>
        <w:t>economic,</w:t>
      </w:r>
    </w:p>
    <w:p w:rsidR="006A7A3F" w:rsidRDefault="00BC7372">
      <w:pPr>
        <w:spacing w:before="10" w:line="249" w:lineRule="auto"/>
        <w:ind w:left="210" w:right="457" w:firstLine="720"/>
        <w:rPr>
          <w:b/>
          <w:sz w:val="20"/>
        </w:rPr>
      </w:pPr>
      <w:r>
        <w:rPr>
          <w:b/>
          <w:color w:val="231F20"/>
          <w:sz w:val="20"/>
        </w:rPr>
        <w:t>recreational, social and Traditional Owner benefits considered in environmental watering decisions?</w:t>
      </w:r>
    </w:p>
    <w:p w:rsidR="006A7A3F" w:rsidRDefault="00BC7372" w:rsidP="009B6917">
      <w:pPr>
        <w:pStyle w:val="ListParagraph"/>
        <w:numPr>
          <w:ilvl w:val="2"/>
          <w:numId w:val="1421"/>
        </w:numPr>
        <w:tabs>
          <w:tab w:val="left" w:pos="930"/>
          <w:tab w:val="left" w:pos="931"/>
        </w:tabs>
        <w:spacing w:before="87"/>
        <w:ind w:hanging="721"/>
        <w:rPr>
          <w:b/>
          <w:sz w:val="20"/>
        </w:rPr>
      </w:pPr>
      <w:r>
        <w:rPr>
          <w:b/>
          <w:color w:val="231F20"/>
          <w:sz w:val="20"/>
        </w:rPr>
        <w:t>How are risks</w:t>
      </w:r>
      <w:r>
        <w:rPr>
          <w:b/>
          <w:color w:val="231F20"/>
          <w:spacing w:val="-4"/>
          <w:sz w:val="20"/>
        </w:rPr>
        <w:t xml:space="preserve"> </w:t>
      </w:r>
      <w:r>
        <w:rPr>
          <w:b/>
          <w:color w:val="231F20"/>
          <w:sz w:val="20"/>
        </w:rPr>
        <w:t>managed?</w:t>
      </w:r>
    </w:p>
    <w:p w:rsidR="006A7A3F" w:rsidRDefault="00BC7372" w:rsidP="009B6917">
      <w:pPr>
        <w:pStyle w:val="ListParagraph"/>
        <w:numPr>
          <w:ilvl w:val="2"/>
          <w:numId w:val="1421"/>
        </w:numPr>
        <w:tabs>
          <w:tab w:val="left" w:pos="930"/>
          <w:tab w:val="left" w:pos="931"/>
        </w:tabs>
        <w:ind w:hanging="721"/>
        <w:rPr>
          <w:b/>
          <w:sz w:val="20"/>
        </w:rPr>
      </w:pPr>
      <w:r>
        <w:rPr>
          <w:b/>
          <w:color w:val="231F20"/>
          <w:sz w:val="20"/>
        </w:rPr>
        <w:t>How are environmental watering emergencies</w:t>
      </w:r>
      <w:r>
        <w:rPr>
          <w:b/>
          <w:color w:val="231F20"/>
          <w:spacing w:val="-7"/>
          <w:sz w:val="20"/>
        </w:rPr>
        <w:t xml:space="preserve"> </w:t>
      </w:r>
      <w:r>
        <w:rPr>
          <w:b/>
          <w:color w:val="231F20"/>
          <w:sz w:val="20"/>
        </w:rPr>
        <w:t>managed?</w:t>
      </w:r>
    </w:p>
    <w:p w:rsidR="006A7A3F" w:rsidRDefault="00BC7372">
      <w:pPr>
        <w:pStyle w:val="BodyText"/>
        <w:spacing w:before="180"/>
      </w:pPr>
      <w:r>
        <w:rPr>
          <w:color w:val="231F20"/>
        </w:rPr>
        <w:t>Some factors that influence decisions about committing and delivering water for the environment are:</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seasonal conditions, weather forecasts and catchment</w:t>
      </w:r>
      <w:r>
        <w:rPr>
          <w:color w:val="231F20"/>
          <w:spacing w:val="-3"/>
          <w:sz w:val="20"/>
        </w:rPr>
        <w:t xml:space="preserve"> </w:t>
      </w:r>
      <w:r>
        <w:rPr>
          <w:color w:val="231F20"/>
          <w:sz w:val="20"/>
        </w:rPr>
        <w:t>conditions</w:t>
      </w:r>
    </w:p>
    <w:p w:rsidR="006A7A3F" w:rsidRDefault="00BC7372" w:rsidP="009B6917">
      <w:pPr>
        <w:pStyle w:val="ListParagraph"/>
        <w:numPr>
          <w:ilvl w:val="0"/>
          <w:numId w:val="1419"/>
        </w:numPr>
        <w:tabs>
          <w:tab w:val="left" w:pos="493"/>
          <w:tab w:val="left" w:pos="494"/>
        </w:tabs>
        <w:spacing w:line="249" w:lineRule="auto"/>
        <w:ind w:right="474"/>
        <w:rPr>
          <w:sz w:val="20"/>
        </w:rPr>
      </w:pPr>
      <w:r>
        <w:rPr>
          <w:color w:val="231F20"/>
          <w:sz w:val="20"/>
        </w:rPr>
        <w:t>river and system operations (such as unregulated flows, catchment inflows, storage levels, other water users’ needs and potential delivery</w:t>
      </w:r>
      <w:r>
        <w:rPr>
          <w:color w:val="231F20"/>
          <w:spacing w:val="-5"/>
          <w:sz w:val="20"/>
        </w:rPr>
        <w:t xml:space="preserve"> </w:t>
      </w:r>
      <w:r>
        <w:rPr>
          <w:color w:val="231F20"/>
          <w:sz w:val="20"/>
        </w:rPr>
        <w:t>constraints)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ecological</w:t>
      </w:r>
      <w:r>
        <w:rPr>
          <w:color w:val="231F20"/>
          <w:spacing w:val="-3"/>
          <w:sz w:val="20"/>
        </w:rPr>
        <w:t xml:space="preserve"> </w:t>
      </w:r>
      <w:r>
        <w:rPr>
          <w:color w:val="231F20"/>
          <w:sz w:val="20"/>
        </w:rPr>
        <w:t>or</w:t>
      </w:r>
      <w:r>
        <w:rPr>
          <w:color w:val="231F20"/>
          <w:spacing w:val="-3"/>
          <w:sz w:val="20"/>
        </w:rPr>
        <w:t xml:space="preserve"> </w:t>
      </w:r>
      <w:r>
        <w:rPr>
          <w:color w:val="231F20"/>
          <w:sz w:val="20"/>
        </w:rPr>
        <w:t>biological</w:t>
      </w:r>
      <w:r>
        <w:rPr>
          <w:color w:val="231F20"/>
          <w:spacing w:val="-3"/>
          <w:sz w:val="20"/>
        </w:rPr>
        <w:t xml:space="preserve"> </w:t>
      </w:r>
      <w:r>
        <w:rPr>
          <w:color w:val="231F20"/>
          <w:sz w:val="20"/>
        </w:rPr>
        <w:t>factors</w:t>
      </w:r>
      <w:r>
        <w:rPr>
          <w:color w:val="231F20"/>
          <w:spacing w:val="-3"/>
          <w:sz w:val="20"/>
        </w:rPr>
        <w:t xml:space="preserve"> </w:t>
      </w:r>
      <w:r>
        <w:rPr>
          <w:color w:val="231F20"/>
          <w:sz w:val="20"/>
        </w:rPr>
        <w:t>and</w:t>
      </w:r>
      <w:r>
        <w:rPr>
          <w:color w:val="231F20"/>
          <w:spacing w:val="-3"/>
          <w:sz w:val="20"/>
        </w:rPr>
        <w:t xml:space="preserve"> </w:t>
      </w:r>
      <w:r>
        <w:rPr>
          <w:color w:val="231F20"/>
          <w:sz w:val="20"/>
        </w:rPr>
        <w:t>triggers</w:t>
      </w:r>
      <w:r>
        <w:rPr>
          <w:color w:val="231F20"/>
          <w:spacing w:val="-3"/>
          <w:sz w:val="20"/>
        </w:rPr>
        <w:t xml:space="preserve"> </w:t>
      </w:r>
      <w:r>
        <w:rPr>
          <w:color w:val="231F20"/>
          <w:sz w:val="20"/>
        </w:rPr>
        <w:t>(such</w:t>
      </w:r>
      <w:r>
        <w:rPr>
          <w:color w:val="231F20"/>
          <w:spacing w:val="-3"/>
          <w:sz w:val="20"/>
        </w:rPr>
        <w:t xml:space="preserve"> </w:t>
      </w:r>
      <w:r>
        <w:rPr>
          <w:color w:val="231F20"/>
          <w:sz w:val="20"/>
        </w:rPr>
        <w:t>as</w:t>
      </w:r>
      <w:r>
        <w:rPr>
          <w:color w:val="231F20"/>
          <w:spacing w:val="-3"/>
          <w:sz w:val="20"/>
        </w:rPr>
        <w:t xml:space="preserve"> </w:t>
      </w:r>
      <w:r>
        <w:rPr>
          <w:color w:val="231F20"/>
          <w:sz w:val="20"/>
        </w:rPr>
        <w:t>plant</w:t>
      </w:r>
      <w:r>
        <w:rPr>
          <w:color w:val="231F20"/>
          <w:spacing w:val="-3"/>
          <w:sz w:val="20"/>
        </w:rPr>
        <w:t xml:space="preserve"> </w:t>
      </w:r>
      <w:r>
        <w:rPr>
          <w:color w:val="231F20"/>
          <w:sz w:val="20"/>
        </w:rPr>
        <w:t>and</w:t>
      </w:r>
      <w:r>
        <w:rPr>
          <w:color w:val="231F20"/>
          <w:spacing w:val="-3"/>
          <w:sz w:val="20"/>
        </w:rPr>
        <w:t xml:space="preserve"> </w:t>
      </w:r>
      <w:r>
        <w:rPr>
          <w:color w:val="231F20"/>
          <w:sz w:val="20"/>
        </w:rPr>
        <w:t>animal</w:t>
      </w:r>
      <w:r>
        <w:rPr>
          <w:color w:val="231F20"/>
          <w:spacing w:val="-3"/>
          <w:sz w:val="20"/>
        </w:rPr>
        <w:t xml:space="preserve"> </w:t>
      </w:r>
      <w:r>
        <w:rPr>
          <w:color w:val="231F20"/>
          <w:sz w:val="20"/>
        </w:rPr>
        <w:t>responses</w:t>
      </w:r>
      <w:r>
        <w:rPr>
          <w:color w:val="231F20"/>
          <w:spacing w:val="-3"/>
          <w:sz w:val="20"/>
        </w:rPr>
        <w:t xml:space="preserve"> </w:t>
      </w:r>
      <w:r>
        <w:rPr>
          <w:color w:val="231F20"/>
          <w:sz w:val="20"/>
        </w:rPr>
        <w:t>to</w:t>
      </w:r>
      <w:r>
        <w:rPr>
          <w:color w:val="231F20"/>
          <w:spacing w:val="-3"/>
          <w:sz w:val="20"/>
        </w:rPr>
        <w:t xml:space="preserve"> </w:t>
      </w:r>
      <w:r>
        <w:rPr>
          <w:color w:val="231F20"/>
          <w:sz w:val="20"/>
        </w:rPr>
        <w:t>natural</w:t>
      </w:r>
      <w:r>
        <w:rPr>
          <w:color w:val="231F20"/>
          <w:spacing w:val="-3"/>
          <w:sz w:val="20"/>
        </w:rPr>
        <w:t xml:space="preserve"> </w:t>
      </w:r>
      <w:r>
        <w:rPr>
          <w:color w:val="231F20"/>
          <w:sz w:val="20"/>
        </w:rPr>
        <w:t>flows</w:t>
      </w:r>
      <w:r>
        <w:rPr>
          <w:color w:val="231F20"/>
          <w:spacing w:val="-3"/>
          <w:sz w:val="20"/>
        </w:rPr>
        <w:t xml:space="preserve"> </w:t>
      </w:r>
      <w:r>
        <w:rPr>
          <w:color w:val="231F20"/>
          <w:sz w:val="20"/>
        </w:rPr>
        <w:t>or</w:t>
      </w:r>
      <w:r>
        <w:rPr>
          <w:color w:val="231F20"/>
          <w:spacing w:val="-3"/>
          <w:sz w:val="20"/>
        </w:rPr>
        <w:t xml:space="preserve"> </w:t>
      </w:r>
      <w:r>
        <w:rPr>
          <w:color w:val="231F20"/>
          <w:sz w:val="20"/>
        </w:rPr>
        <w:t>temperature)</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water</w:t>
      </w:r>
      <w:r>
        <w:rPr>
          <w:color w:val="231F20"/>
          <w:spacing w:val="-2"/>
          <w:sz w:val="20"/>
        </w:rPr>
        <w:t xml:space="preserve"> </w:t>
      </w:r>
      <w:r>
        <w:rPr>
          <w:color w:val="231F20"/>
          <w:sz w:val="20"/>
        </w:rPr>
        <w:t>availability</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risks associated with an environmental watering</w:t>
      </w:r>
      <w:r>
        <w:rPr>
          <w:color w:val="231F20"/>
          <w:spacing w:val="-8"/>
          <w:sz w:val="20"/>
        </w:rPr>
        <w:t xml:space="preserve"> </w:t>
      </w:r>
      <w:r>
        <w:rPr>
          <w:color w:val="231F20"/>
          <w:sz w:val="20"/>
        </w:rPr>
        <w:t>action</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the opportunity to deliver shared</w:t>
      </w:r>
      <w:r>
        <w:rPr>
          <w:color w:val="231F20"/>
          <w:spacing w:val="-4"/>
          <w:sz w:val="20"/>
        </w:rPr>
        <w:t xml:space="preserve"> </w:t>
      </w:r>
      <w:r>
        <w:rPr>
          <w:color w:val="231F20"/>
          <w:sz w:val="20"/>
        </w:rPr>
        <w:t>benefits.</w:t>
      </w:r>
    </w:p>
    <w:p w:rsidR="006A7A3F" w:rsidRDefault="00BC7372">
      <w:pPr>
        <w:pStyle w:val="BodyText"/>
        <w:spacing w:before="180" w:line="249" w:lineRule="auto"/>
        <w:ind w:right="708"/>
      </w:pPr>
      <w:r>
        <w:rPr>
          <w:color w:val="231F20"/>
        </w:rPr>
        <w:t>It is important there is the flexibility to respond to these different factors, as they can significantly influence the environmental outcomes and shared benefits that can be achieved.</w:t>
      </w:r>
    </w:p>
    <w:p w:rsidR="00F32FAC" w:rsidRDefault="00F32FAC">
      <w:pPr>
        <w:rPr>
          <w:sz w:val="20"/>
          <w:szCs w:val="20"/>
        </w:rPr>
      </w:pPr>
      <w:r>
        <w:rPr>
          <w:b/>
          <w:bCs/>
          <w:sz w:val="20"/>
          <w:szCs w:val="20"/>
        </w:rPr>
        <w:br w:type="page"/>
      </w:r>
    </w:p>
    <w:p w:rsidR="006A7A3F" w:rsidRDefault="00BC7372" w:rsidP="009B6917">
      <w:pPr>
        <w:pStyle w:val="Heading4"/>
        <w:numPr>
          <w:ilvl w:val="2"/>
          <w:numId w:val="1417"/>
        </w:numPr>
        <w:tabs>
          <w:tab w:val="left" w:pos="931"/>
        </w:tabs>
        <w:ind w:hanging="721"/>
        <w:rPr>
          <w:color w:val="231F20"/>
        </w:rPr>
      </w:pPr>
      <w:r>
        <w:rPr>
          <w:color w:val="231F20"/>
        </w:rPr>
        <w:t>How are watering decisions made throughout the</w:t>
      </w:r>
      <w:r>
        <w:rPr>
          <w:color w:val="231F20"/>
          <w:spacing w:val="-5"/>
        </w:rPr>
        <w:t xml:space="preserve"> </w:t>
      </w:r>
      <w:r>
        <w:rPr>
          <w:color w:val="231F20"/>
        </w:rPr>
        <w:t>year?</w:t>
      </w:r>
    </w:p>
    <w:p w:rsidR="006A7A3F" w:rsidRDefault="00BC7372" w:rsidP="001413DB">
      <w:pPr>
        <w:pStyle w:val="BodyText"/>
        <w:spacing w:before="58" w:line="249" w:lineRule="auto"/>
        <w:ind w:right="100"/>
      </w:pPr>
      <w:r>
        <w:rPr>
          <w:color w:val="231F20"/>
        </w:rPr>
        <w:t>As the season unfolds, many of the uncertainties associated with seasonal conditions, water availability and operational context become clearer, and this clarity informs decisions about what environmental flows should proceed. Many</w:t>
      </w:r>
      <w:r w:rsidR="001413DB">
        <w:rPr>
          <w:color w:val="231F20"/>
        </w:rPr>
        <w:t xml:space="preserve"> </w:t>
      </w:r>
      <w:r>
        <w:rPr>
          <w:color w:val="231F20"/>
        </w:rPr>
        <w:t>on-ground factors do not become clear until very close to the anticipated time of releasing the water.</w:t>
      </w:r>
    </w:p>
    <w:p w:rsidR="006A7A3F" w:rsidRDefault="00BC7372">
      <w:pPr>
        <w:pStyle w:val="BodyText"/>
        <w:spacing w:before="180" w:line="249" w:lineRule="auto"/>
        <w:ind w:right="263"/>
      </w:pPr>
      <w:r>
        <w:rPr>
          <w:color w:val="231F20"/>
        </w:rPr>
        <w:t>To guide environmental watering decisions, a flexible and adaptive approach is adopted that involves relevant stakeholders. This process of review and adjustment ensures that water for the environment is used in an efficient, seasonally appropriate manner to optimise ecological outcomes across the state.</w:t>
      </w:r>
    </w:p>
    <w:p w:rsidR="006A7A3F" w:rsidRDefault="00BC7372">
      <w:pPr>
        <w:pStyle w:val="BodyText"/>
        <w:spacing w:line="249" w:lineRule="auto"/>
        <w:ind w:right="141"/>
      </w:pPr>
      <w:r>
        <w:rPr>
          <w:color w:val="231F20"/>
        </w:rPr>
        <w:t>Waterway managers, storage managers and land managers provide advice about which watering actions are needed and can be delivered in each region during the year. Environmental water holders use that information to decide which watering actions to authorise. All program partners have a role in identifying potential watering actions and enabling the release of water for the environment (as explained in subsection 1.3.3).</w:t>
      </w:r>
    </w:p>
    <w:p w:rsidR="006A7A3F" w:rsidRDefault="00BC7372">
      <w:pPr>
        <w:pStyle w:val="BodyText"/>
        <w:spacing w:before="174" w:line="249" w:lineRule="auto"/>
        <w:ind w:right="1162"/>
      </w:pPr>
      <w:r>
        <w:rPr>
          <w:color w:val="231F20"/>
        </w:rPr>
        <w:t>If planned watering actions need to be significantly changed during the season to respond to unforeseen circumstances, further scientific or community input may be sought to inform decision-makers.</w:t>
      </w:r>
    </w:p>
    <w:p w:rsidR="006A7A3F" w:rsidRDefault="00BC7372">
      <w:pPr>
        <w:pStyle w:val="BodyText"/>
        <w:spacing w:before="171" w:line="249" w:lineRule="auto"/>
        <w:ind w:right="374"/>
      </w:pPr>
      <w:r>
        <w:rPr>
          <w:color w:val="231F20"/>
        </w:rPr>
        <w:t xml:space="preserve">The VEWH regularly publishes updated information about current and anticipated environmental watering actions on its website at </w:t>
      </w:r>
      <w:r>
        <w:rPr>
          <w:color w:val="205E9E"/>
          <w:u w:val="single" w:color="205E9E"/>
        </w:rPr>
        <w:t>vewh.vic.gov.au</w:t>
      </w:r>
      <w:r>
        <w:rPr>
          <w:color w:val="231F20"/>
        </w:rPr>
        <w:t>.</w:t>
      </w:r>
    </w:p>
    <w:p w:rsidR="006A7A3F" w:rsidRDefault="006A7A3F">
      <w:pPr>
        <w:pStyle w:val="BodyText"/>
        <w:spacing w:before="1"/>
        <w:ind w:left="0"/>
      </w:pPr>
    </w:p>
    <w:p w:rsidR="006A7A3F" w:rsidRDefault="00BC7372" w:rsidP="009B6917">
      <w:pPr>
        <w:pStyle w:val="Heading4"/>
        <w:numPr>
          <w:ilvl w:val="2"/>
          <w:numId w:val="1417"/>
        </w:numPr>
        <w:tabs>
          <w:tab w:val="left" w:pos="931"/>
        </w:tabs>
        <w:spacing w:line="242" w:lineRule="auto"/>
        <w:ind w:left="210" w:right="605" w:firstLine="0"/>
        <w:rPr>
          <w:color w:val="231F20"/>
        </w:rPr>
      </w:pPr>
      <w:r>
        <w:rPr>
          <w:color w:val="231F20"/>
        </w:rPr>
        <w:t xml:space="preserve">When does the Victorian Environmental </w:t>
      </w:r>
      <w:r>
        <w:rPr>
          <w:color w:val="231F20"/>
          <w:spacing w:val="-3"/>
        </w:rPr>
        <w:t xml:space="preserve">Water </w:t>
      </w:r>
      <w:r>
        <w:rPr>
          <w:color w:val="231F20"/>
        </w:rPr>
        <w:t>Holder commit and authorise the use of water for the</w:t>
      </w:r>
      <w:r>
        <w:rPr>
          <w:color w:val="231F20"/>
          <w:spacing w:val="-1"/>
        </w:rPr>
        <w:t xml:space="preserve"> </w:t>
      </w:r>
      <w:r>
        <w:rPr>
          <w:color w:val="231F20"/>
        </w:rPr>
        <w:t>environment?</w:t>
      </w:r>
    </w:p>
    <w:p w:rsidR="006A7A3F" w:rsidRDefault="00BC7372">
      <w:pPr>
        <w:pStyle w:val="BodyText"/>
        <w:spacing w:before="70" w:line="249" w:lineRule="auto"/>
        <w:ind w:right="831"/>
      </w:pPr>
      <w:r>
        <w:rPr>
          <w:color w:val="231F20"/>
        </w:rPr>
        <w:t>The VEWH aims to commit as much water as is sensibly possible, as early as possible, to provide waterway managers with certainty to proceed with the planned environmental watering actions.</w:t>
      </w:r>
    </w:p>
    <w:p w:rsidR="006A7A3F" w:rsidRDefault="00BC7372">
      <w:pPr>
        <w:pStyle w:val="BodyText"/>
        <w:spacing w:line="249" w:lineRule="auto"/>
        <w:ind w:right="100"/>
      </w:pPr>
      <w:r>
        <w:rPr>
          <w:color w:val="231F20"/>
        </w:rPr>
        <w:t xml:space="preserve">The VEWH (like other environmental water holders) can commit its water at any point before or during the water year. The VEWH commits water via seasonal watering statements, which authorise waterway managers to release water for the environment. The VEWH publishes seasonal watering statements on its website at </w:t>
      </w:r>
      <w:r>
        <w:rPr>
          <w:color w:val="205E9E"/>
          <w:u w:val="single" w:color="205E9E"/>
        </w:rPr>
        <w:t>vewh.vic.gov.au</w:t>
      </w:r>
      <w:r>
        <w:rPr>
          <w:color w:val="231F20"/>
        </w:rPr>
        <w:t>.</w:t>
      </w:r>
    </w:p>
    <w:p w:rsidR="006A7A3F" w:rsidRDefault="00BC7372">
      <w:pPr>
        <w:pStyle w:val="BodyText"/>
        <w:spacing w:before="173" w:line="249" w:lineRule="auto"/>
        <w:ind w:right="374"/>
      </w:pPr>
      <w:r>
        <w:rPr>
          <w:color w:val="231F20"/>
        </w:rPr>
        <w:t>The VEWH can make a seasonal watering statement at any time of the year. Depending on the nature of the system and the entitlement being used, it may make one or multiple statements for a system during the water year. Before issuing a seasonal watering statement, the VEWH must be sure the required delivery arrangements (including any risk management measures) are in place and any costs it must meet are acceptable.</w:t>
      </w:r>
    </w:p>
    <w:p w:rsidR="006A7A3F" w:rsidRPr="003D6D33" w:rsidRDefault="00BC7372" w:rsidP="003D6D33">
      <w:pPr>
        <w:pStyle w:val="BodyText"/>
        <w:spacing w:before="173" w:line="249" w:lineRule="auto"/>
        <w:ind w:right="342"/>
      </w:pPr>
      <w:r>
        <w:rPr>
          <w:color w:val="231F20"/>
        </w:rPr>
        <w:t>Where many environmental watering actions across different systems require access to the same environmental or bulk entitlement, decisions to commit water may require more thorough consideration. This may require prioritisation of one river or wetland over another or prioritisation of one flow component over another. Subsection</w:t>
      </w:r>
      <w:r w:rsidR="003D6D33">
        <w:rPr>
          <w:color w:val="231F20"/>
        </w:rPr>
        <w:t xml:space="preserve"> 1.1.3 </w:t>
      </w:r>
      <w:r w:rsidRPr="003D6D33">
        <w:rPr>
          <w:color w:val="231F20"/>
        </w:rPr>
        <w:t>has further information about how these decisions are</w:t>
      </w:r>
      <w:r w:rsidRPr="003D6D33">
        <w:rPr>
          <w:color w:val="231F20"/>
          <w:spacing w:val="-9"/>
        </w:rPr>
        <w:t xml:space="preserve"> </w:t>
      </w:r>
      <w:r w:rsidRPr="003D6D33">
        <w:rPr>
          <w:color w:val="231F20"/>
        </w:rPr>
        <w:t>made.</w:t>
      </w:r>
    </w:p>
    <w:p w:rsidR="006A7A3F" w:rsidRDefault="00BC7372">
      <w:pPr>
        <w:pStyle w:val="BodyText"/>
        <w:spacing w:before="180" w:line="249" w:lineRule="auto"/>
        <w:ind w:right="408"/>
      </w:pPr>
      <w:r>
        <w:rPr>
          <w:color w:val="231F20"/>
        </w:rPr>
        <w:t>In some instances, the VEWH may commit water very close to the anticipated date of release. This may be necessary because demand for the water arises at short notice, due to environmental, operational or weather conditions. For example, a colonial waterbird nesting event in Barmah Forest may trigger a need for water for the environment to maintain shallow flooding long enough for the birds to fledge.</w:t>
      </w:r>
    </w:p>
    <w:p w:rsidR="006A7A3F" w:rsidRDefault="00BC7372">
      <w:pPr>
        <w:pStyle w:val="BodyText"/>
        <w:spacing w:before="174" w:line="249" w:lineRule="auto"/>
        <w:ind w:right="790"/>
        <w:jc w:val="both"/>
      </w:pPr>
      <w:r>
        <w:rPr>
          <w:color w:val="231F20"/>
        </w:rPr>
        <w:t xml:space="preserve">There may also be instances where planned environmental flows are not delivered to a site. For example, an ecological trigger or seasonal conditions could nullify the potential benefit of the planned </w:t>
      </w:r>
      <w:r>
        <w:rPr>
          <w:color w:val="231F20"/>
          <w:spacing w:val="-3"/>
        </w:rPr>
        <w:t xml:space="preserve">delivery, </w:t>
      </w:r>
      <w:r>
        <w:rPr>
          <w:color w:val="231F20"/>
        </w:rPr>
        <w:t>or a lack of catchment inflows may mean there is not enough water for the planned watering action.</w:t>
      </w:r>
    </w:p>
    <w:p w:rsidR="006A7A3F" w:rsidRDefault="00BC7372">
      <w:pPr>
        <w:pStyle w:val="BodyText"/>
        <w:spacing w:line="249" w:lineRule="auto"/>
        <w:ind w:right="776"/>
      </w:pPr>
      <w:r>
        <w:rPr>
          <w:color w:val="231F20"/>
        </w:rPr>
        <w:t>The CEWH and the Southern Connected Basin Environmental Watering Committee (for The Living Murray program) commit water for use in Victoria with similar logic to that explained above. The VEWH then formally authorises the use of that water through seasonal watering statements.</w:t>
      </w:r>
    </w:p>
    <w:p w:rsidR="00F32FAC" w:rsidRDefault="00F32FAC">
      <w:pPr>
        <w:rPr>
          <w:sz w:val="20"/>
          <w:szCs w:val="20"/>
        </w:rPr>
      </w:pPr>
      <w:r>
        <w:rPr>
          <w:b/>
          <w:bCs/>
          <w:sz w:val="20"/>
          <w:szCs w:val="20"/>
        </w:rPr>
        <w:br w:type="page"/>
      </w:r>
    </w:p>
    <w:p w:rsidR="006A7A3F" w:rsidRDefault="00BC7372">
      <w:pPr>
        <w:pStyle w:val="Heading4"/>
        <w:spacing w:line="242" w:lineRule="auto"/>
        <w:ind w:right="697"/>
      </w:pPr>
      <w:r>
        <w:rPr>
          <w:color w:val="231F20"/>
        </w:rPr>
        <w:t>Can environmental water holders and waterway managers change their minds after a seasonal watering statement has been issued?</w:t>
      </w:r>
    </w:p>
    <w:p w:rsidR="006A7A3F" w:rsidRDefault="00BC7372">
      <w:pPr>
        <w:pStyle w:val="BodyText"/>
        <w:spacing w:before="57" w:line="249" w:lineRule="auto"/>
        <w:ind w:right="430"/>
      </w:pPr>
      <w:r>
        <w:rPr>
          <w:color w:val="231F20"/>
        </w:rPr>
        <w:t>The VEWH may withdraw a seasonal watering statement at any point during the year, in consultation with the waterway manager and storage manager for that river or wetland system. It might do so, for example, to address emerging risks or changes in operating conditions or water availability.</w:t>
      </w:r>
    </w:p>
    <w:p w:rsidR="006A7A3F" w:rsidRDefault="00BC7372">
      <w:pPr>
        <w:pStyle w:val="BodyText"/>
        <w:spacing w:line="249" w:lineRule="auto"/>
        <w:ind w:right="374"/>
      </w:pPr>
      <w:r>
        <w:rPr>
          <w:color w:val="231F20"/>
        </w:rPr>
        <w:t>Similarly, a waterway manager or storage manager may decide, in consultation with the VEWH, not to proceed with an environmental watering action after a seasonal watering statement has been issued. This could be due to environmental triggers indicating the water was no longer required, resourcing constraints or new information that the potential environmental or public risk of watering is too high.</w:t>
      </w:r>
    </w:p>
    <w:p w:rsidR="006A7A3F" w:rsidRDefault="006A7A3F">
      <w:pPr>
        <w:pStyle w:val="BodyText"/>
        <w:spacing w:before="3"/>
        <w:ind w:left="0"/>
      </w:pPr>
    </w:p>
    <w:p w:rsidR="006A7A3F" w:rsidRDefault="00BC7372" w:rsidP="009B6917">
      <w:pPr>
        <w:pStyle w:val="Heading4"/>
        <w:numPr>
          <w:ilvl w:val="2"/>
          <w:numId w:val="1416"/>
        </w:numPr>
        <w:tabs>
          <w:tab w:val="left" w:pos="931"/>
        </w:tabs>
        <w:spacing w:line="242" w:lineRule="auto"/>
        <w:ind w:right="562" w:firstLine="0"/>
      </w:pPr>
      <w:r>
        <w:rPr>
          <w:color w:val="231F20"/>
        </w:rPr>
        <w:t xml:space="preserve">How does the Victorian Environmental </w:t>
      </w:r>
      <w:r>
        <w:rPr>
          <w:color w:val="231F20"/>
          <w:spacing w:val="-3"/>
        </w:rPr>
        <w:t xml:space="preserve">Water </w:t>
      </w:r>
      <w:r>
        <w:rPr>
          <w:color w:val="231F20"/>
        </w:rPr>
        <w:t>Holder prioritise different watering actions when there is not enough water for the environment</w:t>
      </w:r>
      <w:r>
        <w:rPr>
          <w:color w:val="231F20"/>
          <w:spacing w:val="-12"/>
        </w:rPr>
        <w:t xml:space="preserve"> </w:t>
      </w:r>
      <w:r>
        <w:rPr>
          <w:color w:val="231F20"/>
        </w:rPr>
        <w:t>available?</w:t>
      </w:r>
    </w:p>
    <w:p w:rsidR="006A7A3F" w:rsidRDefault="00BC7372">
      <w:pPr>
        <w:pStyle w:val="BodyText"/>
        <w:spacing w:before="57" w:line="249" w:lineRule="auto"/>
        <w:ind w:right="597"/>
      </w:pPr>
      <w:r>
        <w:rPr>
          <w:color w:val="231F20"/>
        </w:rPr>
        <w:t>The VEWH works with its program partners to make decisions about where its available water the environment (and funding) are used, carried over or traded, to get maximum benefit for the state’s waterways — our rivers, wetlands, estuaries and floodplains — and the wildlife that depend on them.</w:t>
      </w:r>
    </w:p>
    <w:p w:rsidR="006A7A3F" w:rsidRDefault="00BC7372">
      <w:pPr>
        <w:pStyle w:val="BodyText"/>
        <w:spacing w:line="249" w:lineRule="auto"/>
        <w:ind w:right="586"/>
      </w:pPr>
      <w:r>
        <w:rPr>
          <w:color w:val="231F20"/>
        </w:rPr>
        <w:t>In implementing this program, it is important to recognise the dynamic nature of the environmental watering program. Seasonal conditions can vary considerably between years, which affects both the requirements of particular sites for water for the environment (the demand) and the availability of water for the environment (the supply).</w:t>
      </w:r>
    </w:p>
    <w:p w:rsidR="006A7A3F" w:rsidRDefault="00BC7372">
      <w:pPr>
        <w:pStyle w:val="BodyText"/>
        <w:spacing w:before="174"/>
      </w:pPr>
      <w:r>
        <w:rPr>
          <w:color w:val="231F20"/>
        </w:rPr>
        <w:t>A shortfall in supply might arise because of:</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significant, high-value demands for water for the</w:t>
      </w:r>
      <w:r>
        <w:rPr>
          <w:color w:val="231F20"/>
          <w:spacing w:val="-6"/>
          <w:sz w:val="20"/>
        </w:rPr>
        <w:t xml:space="preserve"> </w:t>
      </w:r>
      <w:r>
        <w:rPr>
          <w:color w:val="231F20"/>
          <w:sz w:val="20"/>
        </w:rPr>
        <w:t>environment</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drought or low water</w:t>
      </w:r>
      <w:r>
        <w:rPr>
          <w:color w:val="231F20"/>
          <w:spacing w:val="-6"/>
          <w:sz w:val="20"/>
        </w:rPr>
        <w:t xml:space="preserve"> </w:t>
      </w:r>
      <w:r>
        <w:rPr>
          <w:color w:val="231F20"/>
          <w:sz w:val="20"/>
        </w:rPr>
        <w:t>availability.</w:t>
      </w:r>
    </w:p>
    <w:p w:rsidR="006A7A3F" w:rsidRDefault="00BC7372">
      <w:pPr>
        <w:pStyle w:val="BodyText"/>
        <w:spacing w:before="180" w:line="249" w:lineRule="auto"/>
        <w:ind w:right="723"/>
        <w:jc w:val="both"/>
      </w:pPr>
      <w:r>
        <w:rPr>
          <w:color w:val="231F20"/>
          <w:spacing w:val="-12"/>
        </w:rPr>
        <w:t xml:space="preserve">To </w:t>
      </w:r>
      <w:r>
        <w:rPr>
          <w:color w:val="231F20"/>
        </w:rPr>
        <w:t xml:space="preserve">meet a shortfall, the VEWH may look to use tools such as carryover and trade (as explained in subsection 1.4.2). If there is still a shortfall of </w:t>
      </w:r>
      <w:r>
        <w:rPr>
          <w:color w:val="231F20"/>
          <w:spacing w:val="-3"/>
        </w:rPr>
        <w:t xml:space="preserve">water, </w:t>
      </w:r>
      <w:r>
        <w:rPr>
          <w:color w:val="231F20"/>
        </w:rPr>
        <w:t>the VEWH, in collaboration with waterway managers and other water holders if relevant, must prioritise between environmental watering actions.</w:t>
      </w:r>
    </w:p>
    <w:p w:rsidR="006A7A3F" w:rsidRPr="00F32FAC" w:rsidRDefault="00BC7372" w:rsidP="00F32FAC">
      <w:pPr>
        <w:pStyle w:val="BodyText"/>
        <w:spacing w:line="249" w:lineRule="auto"/>
        <w:ind w:right="167"/>
        <w:rPr>
          <w:color w:val="231F20"/>
        </w:rPr>
      </w:pPr>
      <w:r>
        <w:rPr>
          <w:color w:val="231F20"/>
        </w:rPr>
        <w:t>Many factors influence prioritisation decisions (such as the likely environmental outcomes, the previous watering history in that river or wetland, environmental or public risk considerations and seasonal conditions in the region). Trade-offs may need to be made about watering actions undertaken in one year or at one site, and water may need to be provided at the expense of watering actions in the next year or at another site. Trade-offs may also need to</w:t>
      </w:r>
      <w:r w:rsidR="00F32FAC">
        <w:rPr>
          <w:color w:val="231F20"/>
        </w:rPr>
        <w:t xml:space="preserve"> </w:t>
      </w:r>
      <w:r>
        <w:rPr>
          <w:color w:val="231F20"/>
        </w:rPr>
        <w:t>be made about foregoing watering actions to sell water allocation and use the resulting revenue for complementary works and measures or to improve knowledge and capability to deliver better environmental outcomes.</w:t>
      </w:r>
    </w:p>
    <w:p w:rsidR="006A7A3F" w:rsidRDefault="00BC7372">
      <w:pPr>
        <w:pStyle w:val="BodyText"/>
        <w:spacing w:line="249" w:lineRule="auto"/>
        <w:ind w:right="100"/>
      </w:pPr>
      <w:r>
        <w:rPr>
          <w:color w:val="231F20"/>
        </w:rPr>
        <w:t>In deciding to prioritise one environmental watering action or site over another, the VEWH always seeks to optimise environmental outcomes across the state.</w:t>
      </w:r>
    </w:p>
    <w:p w:rsidR="00F32FAC" w:rsidRDefault="00F32FAC">
      <w:pPr>
        <w:rPr>
          <w:sz w:val="20"/>
          <w:szCs w:val="20"/>
        </w:rPr>
      </w:pPr>
      <w:r>
        <w:rPr>
          <w:b/>
          <w:bCs/>
          <w:sz w:val="20"/>
          <w:szCs w:val="20"/>
        </w:rPr>
        <w:br w:type="page"/>
      </w:r>
    </w:p>
    <w:p w:rsidR="006A7A3F" w:rsidRDefault="00BC7372">
      <w:pPr>
        <w:pStyle w:val="Heading4"/>
      </w:pPr>
      <w:r>
        <w:rPr>
          <w:color w:val="231F20"/>
        </w:rPr>
        <w:t>What criteria are used to guide prioritisation decisions?</w:t>
      </w:r>
    </w:p>
    <w:p w:rsidR="006A7A3F" w:rsidRDefault="00BC7372">
      <w:pPr>
        <w:pStyle w:val="BodyText"/>
        <w:spacing w:before="58" w:line="249" w:lineRule="auto"/>
        <w:ind w:right="100"/>
      </w:pPr>
      <w:r>
        <w:rPr>
          <w:color w:val="231F20"/>
        </w:rPr>
        <w:t>Figure 1.3.1 shows the criteria the VEWH considers when making trade-off decisions and prioritising specific watering actions. Waterway managers provide information about how different watering actions meet these criteria, and about opportunities for shared benefits, in their seasonal watering proposals.</w:t>
      </w:r>
    </w:p>
    <w:p w:rsidR="006A7A3F" w:rsidRDefault="00BC7372">
      <w:pPr>
        <w:pStyle w:val="BodyText"/>
        <w:spacing w:before="173"/>
      </w:pPr>
      <w:r>
        <w:rPr>
          <w:color w:val="231F20"/>
        </w:rPr>
        <w:t>In deciding how to use the available Water Holdings</w:t>
      </w:r>
    </w:p>
    <w:p w:rsidR="006A7A3F" w:rsidRDefault="00BC7372">
      <w:pPr>
        <w:pStyle w:val="BodyText"/>
        <w:spacing w:before="10"/>
      </w:pPr>
      <w:r>
        <w:rPr>
          <w:color w:val="231F20"/>
        </w:rPr>
        <w:t>(as explained in subsection 1.4.1) in any given year, the VEWH also considers additional factors, such as: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decisions by other water holders about the use of their water for the</w:t>
      </w:r>
      <w:r>
        <w:rPr>
          <w:color w:val="231F20"/>
          <w:spacing w:val="-18"/>
          <w:sz w:val="20"/>
        </w:rPr>
        <w:t xml:space="preserve"> </w:t>
      </w:r>
      <w:r>
        <w:rPr>
          <w:color w:val="231F20"/>
          <w:sz w:val="20"/>
        </w:rPr>
        <w:t>environment</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State and Commonwealth government decisions about water resource</w:t>
      </w:r>
      <w:r>
        <w:rPr>
          <w:color w:val="231F20"/>
          <w:spacing w:val="-12"/>
          <w:sz w:val="20"/>
        </w:rPr>
        <w:t xml:space="preserve"> </w:t>
      </w:r>
      <w:r>
        <w:rPr>
          <w:color w:val="231F20"/>
          <w:sz w:val="20"/>
        </w:rPr>
        <w:t>policy</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the resources, knowledge and capability of the VEWH and its program</w:t>
      </w:r>
      <w:r>
        <w:rPr>
          <w:color w:val="231F20"/>
          <w:spacing w:val="-9"/>
          <w:sz w:val="20"/>
        </w:rPr>
        <w:t xml:space="preserve"> </w:t>
      </w:r>
      <w:r>
        <w:rPr>
          <w:color w:val="231F20"/>
          <w:sz w:val="20"/>
        </w:rPr>
        <w:t>partners</w:t>
      </w:r>
    </w:p>
    <w:p w:rsidR="006A7A3F" w:rsidRDefault="00BC7372" w:rsidP="009B6917">
      <w:pPr>
        <w:pStyle w:val="ListParagraph"/>
        <w:numPr>
          <w:ilvl w:val="0"/>
          <w:numId w:val="1419"/>
        </w:numPr>
        <w:tabs>
          <w:tab w:val="left" w:pos="493"/>
          <w:tab w:val="left" w:pos="494"/>
        </w:tabs>
        <w:spacing w:line="249" w:lineRule="auto"/>
        <w:ind w:right="1039"/>
        <w:rPr>
          <w:sz w:val="20"/>
        </w:rPr>
      </w:pPr>
      <w:r>
        <w:rPr>
          <w:color w:val="231F20"/>
          <w:sz w:val="20"/>
        </w:rPr>
        <w:t>storage managers meeting their obligations to the environment associated with the right to harvest and distribute water</w:t>
      </w:r>
      <w:r>
        <w:rPr>
          <w:color w:val="231F20"/>
          <w:spacing w:val="-3"/>
          <w:sz w:val="20"/>
        </w:rPr>
        <w:t xml:space="preserve"> </w:t>
      </w:r>
      <w:r>
        <w:rPr>
          <w:color w:val="231F20"/>
          <w:sz w:val="20"/>
        </w:rPr>
        <w:t>sustainably</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complementary works and measures being</w:t>
      </w:r>
      <w:r>
        <w:rPr>
          <w:color w:val="231F20"/>
          <w:spacing w:val="-4"/>
          <w:sz w:val="20"/>
        </w:rPr>
        <w:t xml:space="preserve"> </w:t>
      </w:r>
      <w:r>
        <w:rPr>
          <w:color w:val="231F20"/>
          <w:sz w:val="20"/>
        </w:rPr>
        <w:t>undertaken</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the availability of</w:t>
      </w:r>
      <w:r>
        <w:rPr>
          <w:color w:val="231F20"/>
          <w:spacing w:val="-3"/>
          <w:sz w:val="20"/>
        </w:rPr>
        <w:t xml:space="preserve"> </w:t>
      </w:r>
      <w:r>
        <w:rPr>
          <w:color w:val="231F20"/>
          <w:sz w:val="20"/>
        </w:rPr>
        <w:t>funds</w:t>
      </w:r>
    </w:p>
    <w:p w:rsidR="006A7A3F" w:rsidRDefault="00BC7372" w:rsidP="009B6917">
      <w:pPr>
        <w:pStyle w:val="ListParagraph"/>
        <w:numPr>
          <w:ilvl w:val="0"/>
          <w:numId w:val="1419"/>
        </w:numPr>
        <w:tabs>
          <w:tab w:val="left" w:pos="493"/>
          <w:tab w:val="left" w:pos="494"/>
        </w:tabs>
        <w:spacing w:line="249" w:lineRule="auto"/>
        <w:ind w:right="251"/>
        <w:rPr>
          <w:sz w:val="20"/>
        </w:rPr>
      </w:pPr>
      <w:r>
        <w:rPr>
          <w:color w:val="231F20"/>
          <w:sz w:val="20"/>
        </w:rPr>
        <w:t>the merit of selling available water allocation to fund works or technical investigations to enhance environmental outcomes</w:t>
      </w:r>
    </w:p>
    <w:p w:rsidR="006A7A3F" w:rsidRDefault="00BC7372" w:rsidP="009B6917">
      <w:pPr>
        <w:pStyle w:val="ListParagraph"/>
        <w:numPr>
          <w:ilvl w:val="0"/>
          <w:numId w:val="1419"/>
        </w:numPr>
        <w:tabs>
          <w:tab w:val="left" w:pos="493"/>
          <w:tab w:val="left" w:pos="494"/>
        </w:tabs>
        <w:spacing w:before="86"/>
        <w:ind w:hanging="281"/>
        <w:rPr>
          <w:sz w:val="20"/>
        </w:rPr>
      </w:pPr>
      <w:r>
        <w:rPr>
          <w:color w:val="231F20"/>
          <w:sz w:val="20"/>
        </w:rPr>
        <w:t xml:space="preserve">services associated with the management of </w:t>
      </w:r>
      <w:r>
        <w:rPr>
          <w:color w:val="231F20"/>
          <w:spacing w:val="-3"/>
          <w:sz w:val="20"/>
        </w:rPr>
        <w:t xml:space="preserve">Water </w:t>
      </w:r>
      <w:r>
        <w:rPr>
          <w:color w:val="231F20"/>
          <w:sz w:val="20"/>
        </w:rPr>
        <w:t>Holdings and the delivery of water for the</w:t>
      </w:r>
      <w:r>
        <w:rPr>
          <w:color w:val="231F20"/>
          <w:spacing w:val="-28"/>
          <w:sz w:val="20"/>
        </w:rPr>
        <w:t xml:space="preserve"> </w:t>
      </w:r>
      <w:r>
        <w:rPr>
          <w:color w:val="231F20"/>
          <w:sz w:val="20"/>
        </w:rPr>
        <w:t>environment.</w:t>
      </w:r>
    </w:p>
    <w:p w:rsidR="006A7A3F" w:rsidRDefault="00BC7372">
      <w:pPr>
        <w:pStyle w:val="BodyText"/>
        <w:spacing w:before="181" w:line="249" w:lineRule="auto"/>
        <w:ind w:right="363"/>
        <w:rPr>
          <w:color w:val="231F20"/>
        </w:rPr>
      </w:pPr>
      <w:r>
        <w:rPr>
          <w:color w:val="231F20"/>
        </w:rPr>
        <w:t>Prioritisation has historically occurred on a site-by-site basis, but many of the ecological processes that underpin waterway health operate at a landscape scale. The prioritisation process is currently evolving to consider the combination of watering actions that are needed across multiple waterways in a region to achieve the best environmental outcomes. The prioritisation criteria shown in Figure 1.3.1 can be equally applied at individual sites or at the broader landscape scale.</w:t>
      </w:r>
    </w:p>
    <w:p w:rsidR="00F32FAC" w:rsidRDefault="00F32FAC">
      <w:pPr>
        <w:rPr>
          <w:sz w:val="20"/>
          <w:szCs w:val="20"/>
        </w:rPr>
      </w:pPr>
      <w:r>
        <w:br w:type="page"/>
      </w:r>
    </w:p>
    <w:p w:rsidR="00F32FAC" w:rsidRDefault="00BC7372">
      <w:pPr>
        <w:spacing w:before="75"/>
        <w:ind w:left="210"/>
        <w:rPr>
          <w:b/>
          <w:color w:val="231F20"/>
          <w:sz w:val="18"/>
        </w:rPr>
      </w:pPr>
      <w:r>
        <w:rPr>
          <w:b/>
          <w:color w:val="231F20"/>
          <w:sz w:val="18"/>
        </w:rPr>
        <w:t>Figure 1.3.1 Criteria for prioritising environmental watering actions</w:t>
      </w:r>
    </w:p>
    <w:p w:rsidR="00F32FAC" w:rsidRDefault="00F32FAC">
      <w:pPr>
        <w:spacing w:before="75"/>
        <w:ind w:left="210"/>
        <w:rPr>
          <w:b/>
          <w:sz w:val="18"/>
        </w:rPr>
      </w:pPr>
      <w:r>
        <w:rPr>
          <w:noProof/>
        </w:rPr>
        <w:drawing>
          <wp:inline distT="0" distB="0" distL="0" distR="0" wp14:anchorId="26B7E2B7">
            <wp:extent cx="6144768" cy="8046720"/>
            <wp:effectExtent l="0" t="0" r="2540" b="5080"/>
            <wp:docPr id="11" name="image6.jpeg" descr="Diagram describes criteria for prioritising environmental watering actions: extent and significance of environmental benefit; likelihood of success; longer-term benefits; urgency of watering needs; feasibility of the action; environmental of third party risks; cost effectiveness of the watering action; and efficiency of water use. After consideration of above criteria: Cultural, economic, social and Traditional Owner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4768" cy="8046720"/>
                    </a:xfrm>
                    <a:prstGeom prst="rect">
                      <a:avLst/>
                    </a:prstGeom>
                  </pic:spPr>
                </pic:pic>
              </a:graphicData>
            </a:graphic>
          </wp:inline>
        </w:drawing>
      </w:r>
    </w:p>
    <w:p w:rsidR="00F32FAC" w:rsidRDefault="00F32FAC">
      <w:pPr>
        <w:rPr>
          <w:b/>
          <w:bCs/>
          <w:color w:val="231F20"/>
          <w:sz w:val="24"/>
          <w:szCs w:val="24"/>
        </w:rPr>
      </w:pPr>
      <w:r>
        <w:rPr>
          <w:color w:val="231F20"/>
        </w:rPr>
        <w:br w:type="page"/>
      </w:r>
    </w:p>
    <w:p w:rsidR="006A7A3F" w:rsidRDefault="00BC7372">
      <w:pPr>
        <w:pStyle w:val="Heading4"/>
        <w:spacing w:before="62"/>
      </w:pPr>
      <w:r>
        <w:rPr>
          <w:color w:val="231F20"/>
        </w:rPr>
        <w:t>Who is involved in the prioritisation process?</w:t>
      </w:r>
    </w:p>
    <w:p w:rsidR="006A7A3F" w:rsidRDefault="00BC7372">
      <w:pPr>
        <w:pStyle w:val="BodyText"/>
        <w:spacing w:before="58" w:line="249" w:lineRule="auto"/>
        <w:ind w:right="100"/>
      </w:pPr>
      <w:r>
        <w:rPr>
          <w:color w:val="231F20"/>
        </w:rPr>
        <w:t>Waterway managers, environmental water holders, storage managers and communities (including recreational user groups, environmental groups, Traditional Owners and farming groups) all have a role in the process of prioritising environmental watering actions, depending on the nature and scale of the decisions being made. There is a list of partners and stakeholders engaged in developing the seasonal watering proposal for each system in this plan.</w:t>
      </w:r>
    </w:p>
    <w:p w:rsidR="006A7A3F" w:rsidRDefault="00BC7372">
      <w:pPr>
        <w:pStyle w:val="BodyText"/>
        <w:spacing w:before="174" w:line="249" w:lineRule="auto"/>
        <w:ind w:right="457"/>
      </w:pPr>
      <w:r>
        <w:rPr>
          <w:color w:val="231F20"/>
        </w:rPr>
        <w:t>Waterway managers are best placed to advise about the extent and significance of an environmental watering action and about the highest priorities in their region.</w:t>
      </w:r>
    </w:p>
    <w:p w:rsidR="006A7A3F" w:rsidRDefault="00BC7372">
      <w:pPr>
        <w:pStyle w:val="BodyText"/>
        <w:spacing w:before="171" w:line="249" w:lineRule="auto"/>
        <w:ind w:right="497"/>
      </w:pPr>
      <w:r>
        <w:rPr>
          <w:color w:val="231F20"/>
        </w:rPr>
        <w:t>The VEWH and other environmental water holders determine the highest watering priorities across regions. The VEWH’s decisions are intended to provide the best possible environmental outcomes for the state. The VEWH makes these decisions in consultation with waterway managers and other program partners as relevant.</w:t>
      </w:r>
    </w:p>
    <w:p w:rsidR="006A7A3F" w:rsidRDefault="00BC7372">
      <w:pPr>
        <w:pStyle w:val="BodyText"/>
        <w:spacing w:before="173" w:line="249" w:lineRule="auto"/>
        <w:ind w:right="374"/>
      </w:pPr>
      <w:r>
        <w:rPr>
          <w:color w:val="231F20"/>
        </w:rPr>
        <w:t>Advice from storage managers is generally the key to understanding the feasibility of delivering a watering action, including the flexibility of delivery timing and operational constraints.</w:t>
      </w:r>
    </w:p>
    <w:p w:rsidR="006A7A3F" w:rsidRDefault="00BC7372">
      <w:pPr>
        <w:pStyle w:val="BodyText"/>
        <w:spacing w:before="171" w:line="249" w:lineRule="auto"/>
        <w:ind w:right="451"/>
      </w:pPr>
      <w:r>
        <w:rPr>
          <w:color w:val="231F20"/>
        </w:rPr>
        <w:t>Land managers consent to the delivery of environmental flows on their land, and they advise about the feasibility of delivery after considering land management activities, public access and the risks and benefits of the environmental watering action.</w:t>
      </w:r>
    </w:p>
    <w:p w:rsidR="006A7A3F" w:rsidRDefault="00BC7372">
      <w:pPr>
        <w:pStyle w:val="BodyText"/>
        <w:spacing w:before="173" w:line="249" w:lineRule="auto"/>
        <w:ind w:right="463"/>
      </w:pPr>
      <w:r>
        <w:rPr>
          <w:color w:val="231F20"/>
        </w:rPr>
        <w:t>The annual prioritisation process is informed by longer-term site prioritisation by waterway managers in consultation with their communities. This prioritisation is detailed in plans such as regional catchment strategies, regional waterway strategies and environmental water management plans. These plans draw on community and scientific knowledge and prioritise sites for water for the environment (and other river health activities) that have high cultural, economic, environmental, social and Traditional Owner values.</w:t>
      </w:r>
    </w:p>
    <w:p w:rsidR="006A7A3F" w:rsidRDefault="00BC7372">
      <w:pPr>
        <w:pStyle w:val="BodyText"/>
        <w:spacing w:before="174" w:line="249" w:lineRule="auto"/>
        <w:ind w:right="930"/>
      </w:pPr>
      <w:r>
        <w:rPr>
          <w:color w:val="231F20"/>
        </w:rPr>
        <w:t>Additional input from the community about prioritising water for the environment is provided annually where needed.</w:t>
      </w:r>
    </w:p>
    <w:p w:rsidR="006A7A3F" w:rsidRDefault="006A7A3F">
      <w:pPr>
        <w:pStyle w:val="BodyText"/>
        <w:spacing w:before="1"/>
        <w:ind w:left="0"/>
      </w:pPr>
    </w:p>
    <w:p w:rsidR="006A7A3F" w:rsidRDefault="00BC7372" w:rsidP="009B6917">
      <w:pPr>
        <w:pStyle w:val="Heading4"/>
        <w:numPr>
          <w:ilvl w:val="2"/>
          <w:numId w:val="1416"/>
        </w:numPr>
        <w:tabs>
          <w:tab w:val="left" w:pos="931"/>
        </w:tabs>
        <w:ind w:left="930" w:hanging="721"/>
      </w:pPr>
      <w:r>
        <w:rPr>
          <w:color w:val="231F20"/>
        </w:rPr>
        <w:t>Do seasonal conditions affect how water for the environment is</w:t>
      </w:r>
      <w:r>
        <w:rPr>
          <w:color w:val="231F20"/>
          <w:spacing w:val="-14"/>
        </w:rPr>
        <w:t xml:space="preserve"> </w:t>
      </w:r>
      <w:r>
        <w:rPr>
          <w:color w:val="231F20"/>
        </w:rPr>
        <w:t>used?</w:t>
      </w:r>
    </w:p>
    <w:p w:rsidR="006A7A3F" w:rsidRDefault="00BC7372">
      <w:pPr>
        <w:pStyle w:val="BodyText"/>
        <w:spacing w:before="58" w:line="249" w:lineRule="auto"/>
        <w:ind w:right="708"/>
      </w:pPr>
      <w:r>
        <w:rPr>
          <w:color w:val="231F20"/>
        </w:rPr>
        <w:t>In the same way that rainfall patterns influence how people water their gardens or paddocks, different climatic conditions influence how water for the environment is managed.</w:t>
      </w:r>
    </w:p>
    <w:p w:rsidR="006A7A3F" w:rsidRDefault="00BC7372">
      <w:pPr>
        <w:pStyle w:val="BodyText"/>
        <w:spacing w:line="249" w:lineRule="auto"/>
        <w:ind w:right="240"/>
      </w:pPr>
      <w:r>
        <w:rPr>
          <w:color w:val="231F20"/>
        </w:rPr>
        <w:t>Seasonal conditions drive what water will be available during the water year and the environmental watering objectives to be pursued (as explained in subsection 1.2.1). Waterway managers take seasonal conditions into account when prioritising the water for the environment needed at each site. Seasonal planning scenarios describe the range of watering actions that may occur under drought to very wet climatic conditions.</w:t>
      </w:r>
    </w:p>
    <w:p w:rsidR="006A7A3F" w:rsidRDefault="00BC7372">
      <w:pPr>
        <w:pStyle w:val="BodyText"/>
        <w:spacing w:before="173" w:line="249" w:lineRule="auto"/>
        <w:ind w:right="457"/>
      </w:pPr>
      <w:r>
        <w:rPr>
          <w:color w:val="231F20"/>
        </w:rPr>
        <w:t>Waterway managers work with the program partners to decide how to optimise the outcomes they can achieve using water for the environment by considering factors including:</w:t>
      </w:r>
    </w:p>
    <w:p w:rsidR="006A7A3F" w:rsidRDefault="00BC7372" w:rsidP="009B6917">
      <w:pPr>
        <w:pStyle w:val="ListParagraph"/>
        <w:numPr>
          <w:ilvl w:val="0"/>
          <w:numId w:val="1419"/>
        </w:numPr>
        <w:tabs>
          <w:tab w:val="left" w:pos="493"/>
          <w:tab w:val="left" w:pos="494"/>
        </w:tabs>
        <w:spacing w:before="87" w:line="249" w:lineRule="auto"/>
        <w:ind w:right="352"/>
        <w:rPr>
          <w:sz w:val="20"/>
        </w:rPr>
      </w:pPr>
      <w:r>
        <w:rPr>
          <w:color w:val="231F20"/>
          <w:sz w:val="20"/>
        </w:rPr>
        <w:t>environmental objectives under each climatic scenario including consideration of any essential needs for water for the</w:t>
      </w:r>
      <w:r>
        <w:rPr>
          <w:color w:val="231F20"/>
          <w:spacing w:val="-1"/>
          <w:sz w:val="20"/>
        </w:rPr>
        <w:t xml:space="preserve"> </w:t>
      </w:r>
      <w:r>
        <w:rPr>
          <w:color w:val="231F20"/>
          <w:sz w:val="20"/>
        </w:rPr>
        <w:t>environment</w:t>
      </w:r>
    </w:p>
    <w:p w:rsidR="006A7A3F" w:rsidRDefault="00BC7372" w:rsidP="009B6917">
      <w:pPr>
        <w:pStyle w:val="ListParagraph"/>
        <w:numPr>
          <w:ilvl w:val="0"/>
          <w:numId w:val="1419"/>
        </w:numPr>
        <w:tabs>
          <w:tab w:val="left" w:pos="493"/>
          <w:tab w:val="left" w:pos="494"/>
        </w:tabs>
        <w:spacing w:before="87" w:line="249" w:lineRule="auto"/>
        <w:ind w:right="439"/>
        <w:rPr>
          <w:sz w:val="20"/>
        </w:rPr>
      </w:pPr>
      <w:r>
        <w:rPr>
          <w:color w:val="231F20"/>
          <w:sz w:val="20"/>
        </w:rPr>
        <w:t>how rainfall, natural flooding or the delivery of water for operational and/or consumptive use may contribute to the achievement of environmental</w:t>
      </w:r>
      <w:r>
        <w:rPr>
          <w:color w:val="231F20"/>
          <w:spacing w:val="-5"/>
          <w:sz w:val="20"/>
        </w:rPr>
        <w:t xml:space="preserve"> </w:t>
      </w:r>
      <w:r>
        <w:rPr>
          <w:color w:val="231F20"/>
          <w:sz w:val="20"/>
        </w:rPr>
        <w:t>objectives</w:t>
      </w:r>
    </w:p>
    <w:p w:rsidR="006A7A3F" w:rsidRDefault="00BC7372" w:rsidP="009B6917">
      <w:pPr>
        <w:pStyle w:val="ListParagraph"/>
        <w:numPr>
          <w:ilvl w:val="0"/>
          <w:numId w:val="1419"/>
        </w:numPr>
        <w:tabs>
          <w:tab w:val="left" w:pos="493"/>
          <w:tab w:val="left" w:pos="494"/>
        </w:tabs>
        <w:spacing w:before="86" w:line="249" w:lineRule="auto"/>
        <w:ind w:right="1051"/>
        <w:rPr>
          <w:sz w:val="20"/>
        </w:rPr>
      </w:pPr>
      <w:r>
        <w:rPr>
          <w:color w:val="231F20"/>
          <w:sz w:val="20"/>
        </w:rPr>
        <w:t>how water for the environment may be used to build on natural flows or irrigation deliveries to meet the environment’s</w:t>
      </w:r>
      <w:r>
        <w:rPr>
          <w:color w:val="231F20"/>
          <w:spacing w:val="-1"/>
          <w:sz w:val="20"/>
        </w:rPr>
        <w:t xml:space="preserve"> </w:t>
      </w:r>
      <w:r>
        <w:rPr>
          <w:color w:val="231F20"/>
          <w:sz w:val="20"/>
        </w:rPr>
        <w:t>needs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natural climatic cues that might increase the likelihood of achieving an ecological</w:t>
      </w:r>
      <w:r>
        <w:rPr>
          <w:color w:val="231F20"/>
          <w:spacing w:val="-19"/>
          <w:sz w:val="20"/>
        </w:rPr>
        <w:t xml:space="preserve"> </w:t>
      </w:r>
      <w:r>
        <w:rPr>
          <w:color w:val="231F20"/>
          <w:sz w:val="20"/>
        </w:rPr>
        <w:t>outcome.</w:t>
      </w:r>
    </w:p>
    <w:p w:rsidR="006A7A3F" w:rsidRDefault="00BC7372">
      <w:pPr>
        <w:pStyle w:val="BodyText"/>
        <w:spacing w:before="180" w:line="249" w:lineRule="auto"/>
        <w:ind w:right="585"/>
      </w:pPr>
      <w:r>
        <w:rPr>
          <w:color w:val="231F20"/>
        </w:rPr>
        <w:t>Planning scenarios are presented in the seasonal watering plan and provide the basis for the adaptive management of water for the environment as the season unfolds. They also provide an early indication of the amount of water that may be used at different sites and whether the VEWH may need to trade water during the season to meet identified environmental needs (as explained in section 1.4).</w:t>
      </w:r>
    </w:p>
    <w:p w:rsidR="006A7A3F" w:rsidRDefault="00BC7372">
      <w:pPr>
        <w:pStyle w:val="BodyText"/>
        <w:spacing w:before="174" w:line="249" w:lineRule="auto"/>
        <w:ind w:right="274"/>
        <w:rPr>
          <w:color w:val="231F20"/>
        </w:rPr>
      </w:pPr>
      <w:r>
        <w:rPr>
          <w:color w:val="231F20"/>
        </w:rPr>
        <w:t>Figure 1.3.2 provides an example of how different planning scenarios may influence decisions about how water for the environment is managed in a year.</w:t>
      </w:r>
    </w:p>
    <w:p w:rsidR="00F32FAC" w:rsidRDefault="00F32FAC">
      <w:pPr>
        <w:pStyle w:val="BodyText"/>
        <w:spacing w:before="174" w:line="249" w:lineRule="auto"/>
        <w:ind w:right="274"/>
      </w:pPr>
    </w:p>
    <w:p w:rsidR="00F32FAC" w:rsidRDefault="00F32FAC" w:rsidP="00F32FAC">
      <w:pPr>
        <w:spacing w:before="75"/>
        <w:ind w:left="210"/>
        <w:rPr>
          <w:b/>
          <w:color w:val="231F20"/>
          <w:sz w:val="18"/>
        </w:rPr>
      </w:pPr>
      <w:r>
        <w:rPr>
          <w:b/>
          <w:color w:val="231F20"/>
          <w:sz w:val="18"/>
        </w:rPr>
        <w:t>Figure 1.3.2 Example planning scenarios for a river system under a range of climatic conditions</w:t>
      </w:r>
    </w:p>
    <w:p w:rsidR="00F32FAC" w:rsidRDefault="00F32FAC" w:rsidP="00F32FAC">
      <w:pPr>
        <w:spacing w:before="75"/>
        <w:ind w:left="210"/>
        <w:rPr>
          <w:b/>
          <w:sz w:val="18"/>
        </w:rPr>
      </w:pPr>
      <w:r>
        <w:rPr>
          <w:noProof/>
        </w:rPr>
        <w:drawing>
          <wp:inline distT="0" distB="0" distL="0" distR="0" wp14:anchorId="7F1084BB">
            <wp:extent cx="5946843" cy="7998999"/>
            <wp:effectExtent l="0" t="0" r="0" b="2540"/>
            <wp:docPr id="13" name="image7.jpeg" descr="Diagram shows example planning scenarios for a river system under a range of climatic conditions: drought, dry, average, wet to very w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6843" cy="7998999"/>
                    </a:xfrm>
                    <a:prstGeom prst="rect">
                      <a:avLst/>
                    </a:prstGeom>
                  </pic:spPr>
                </pic:pic>
              </a:graphicData>
            </a:graphic>
          </wp:inline>
        </w:drawing>
      </w:r>
    </w:p>
    <w:p w:rsidR="00F32FAC" w:rsidRDefault="00F32FAC">
      <w:pPr>
        <w:rPr>
          <w:b/>
          <w:bCs/>
          <w:color w:val="231F20"/>
          <w:sz w:val="24"/>
          <w:szCs w:val="24"/>
        </w:rPr>
      </w:pPr>
      <w:r>
        <w:rPr>
          <w:color w:val="231F20"/>
        </w:rPr>
        <w:br w:type="page"/>
      </w:r>
    </w:p>
    <w:p w:rsidR="006A7A3F" w:rsidRDefault="00BC7372" w:rsidP="009B6917">
      <w:pPr>
        <w:pStyle w:val="Heading4"/>
        <w:numPr>
          <w:ilvl w:val="2"/>
          <w:numId w:val="1416"/>
        </w:numPr>
        <w:tabs>
          <w:tab w:val="left" w:pos="931"/>
        </w:tabs>
        <w:spacing w:before="62" w:line="242" w:lineRule="auto"/>
        <w:ind w:right="807" w:firstLine="0"/>
      </w:pPr>
      <w:r>
        <w:rPr>
          <w:color w:val="231F20"/>
        </w:rPr>
        <w:t xml:space="preserve">How are shared cultural, economic, recreational, social and </w:t>
      </w:r>
      <w:r>
        <w:rPr>
          <w:color w:val="231F20"/>
          <w:spacing w:val="-3"/>
        </w:rPr>
        <w:t xml:space="preserve">Traditional </w:t>
      </w:r>
      <w:r>
        <w:rPr>
          <w:color w:val="231F20"/>
        </w:rPr>
        <w:t>Owner benefits considered in environmental watering</w:t>
      </w:r>
      <w:r>
        <w:rPr>
          <w:color w:val="231F20"/>
          <w:spacing w:val="-3"/>
        </w:rPr>
        <w:t xml:space="preserve"> </w:t>
      </w:r>
      <w:r>
        <w:rPr>
          <w:color w:val="231F20"/>
        </w:rPr>
        <w:t>decisions?</w:t>
      </w:r>
    </w:p>
    <w:p w:rsidR="006A7A3F" w:rsidRDefault="00BC7372">
      <w:pPr>
        <w:pStyle w:val="BodyText"/>
        <w:spacing w:before="57" w:line="249" w:lineRule="auto"/>
        <w:ind w:right="204"/>
      </w:pPr>
      <w:r>
        <w:rPr>
          <w:color w:val="231F20"/>
        </w:rPr>
        <w:t>By improving the health of rivers, wetlands and floodplains, environmental flows also provide benefits to communities. Community benefits may be direct: for example, water for the environment can increase populations of popular angling fish species, sustain healthy Country and totem species for Aboriginal communities and improve water quality to the benefit of irrigators. Or it may be opportunistic: for example, the delivery of an environmental flow might be timed to increase opportunities for kayakers and so the public know about the flow and can take advantage of it.</w:t>
      </w:r>
    </w:p>
    <w:p w:rsidR="006A7A3F" w:rsidRDefault="00BC7372">
      <w:pPr>
        <w:pStyle w:val="BodyText"/>
        <w:spacing w:before="175" w:line="249" w:lineRule="auto"/>
        <w:ind w:right="557"/>
      </w:pPr>
      <w:r>
        <w:rPr>
          <w:color w:val="231F20"/>
        </w:rPr>
        <w:t xml:space="preserve">In planning for environmental flows, the primary purpose is to optimise environmental benefits. </w:t>
      </w:r>
      <w:r>
        <w:rPr>
          <w:color w:val="231F20"/>
          <w:spacing w:val="-6"/>
        </w:rPr>
        <w:t xml:space="preserve">Year </w:t>
      </w:r>
      <w:r>
        <w:rPr>
          <w:color w:val="231F20"/>
        </w:rPr>
        <w:t>by year and case by case, the VEWH and its partners consider opportunities raised by communities to use water for the environment to provide additional cultural, economic, recreational, social and Traditional Owner benefits. Where possible, these opportunities are incorporated into watering decisions, provided they do not compromise environmental</w:t>
      </w:r>
      <w:r>
        <w:rPr>
          <w:color w:val="231F20"/>
          <w:spacing w:val="-2"/>
        </w:rPr>
        <w:t xml:space="preserve"> </w:t>
      </w:r>
      <w:r>
        <w:rPr>
          <w:color w:val="231F20"/>
        </w:rPr>
        <w:t>outcomes.</w:t>
      </w:r>
    </w:p>
    <w:p w:rsidR="006A7A3F" w:rsidRDefault="00BC7372">
      <w:pPr>
        <w:pStyle w:val="BodyText"/>
        <w:spacing w:before="174" w:line="249" w:lineRule="auto"/>
        <w:ind w:right="241"/>
      </w:pPr>
      <w:r>
        <w:rPr>
          <w:color w:val="231F20"/>
        </w:rPr>
        <w:t>Shared community benefits of water for the environment can sometimes be actively optimised by making decisions around the storage, delivery and use of the water to support community events (such as local fishing, waterskiing or rowing competitions).</w:t>
      </w:r>
    </w:p>
    <w:p w:rsidR="006A7A3F" w:rsidRDefault="00BC7372">
      <w:pPr>
        <w:pStyle w:val="BodyText"/>
        <w:spacing w:line="249" w:lineRule="auto"/>
        <w:ind w:right="409"/>
      </w:pPr>
      <w:r>
        <w:rPr>
          <w:color w:val="231F20"/>
        </w:rPr>
        <w:t>When planning for and delivering environmental flows, the VEWH and its program partners look for opportunities to achieve shared community benefits in both the short and longer terms, without compromising environmental outcomes. Longer-term community benefits may sometimes require short-term inconvenience. For example, floodplain watering in Hattah Lakes may limit access and so inconvenience campers for a short time, but the environmental benefits of the watering are likely to improve tourism and recreational opportunities in the longer term. In such cases, waterway managers work closely with land managers to limit disruption to users as much as possible.</w:t>
      </w:r>
    </w:p>
    <w:p w:rsidR="006A7A3F" w:rsidRDefault="00BC7372">
      <w:pPr>
        <w:pStyle w:val="BodyText"/>
        <w:spacing w:before="176" w:line="249" w:lineRule="auto"/>
        <w:ind w:right="441"/>
        <w:jc w:val="both"/>
      </w:pPr>
      <w:r>
        <w:rPr>
          <w:color w:val="231F20"/>
        </w:rPr>
        <w:t>Waterway</w:t>
      </w:r>
      <w:r>
        <w:rPr>
          <w:color w:val="231F20"/>
          <w:spacing w:val="-5"/>
        </w:rPr>
        <w:t xml:space="preserve"> </w:t>
      </w:r>
      <w:r>
        <w:rPr>
          <w:color w:val="231F20"/>
        </w:rPr>
        <w:t>managers</w:t>
      </w:r>
      <w:r>
        <w:rPr>
          <w:color w:val="231F20"/>
          <w:spacing w:val="-3"/>
        </w:rPr>
        <w:t xml:space="preserve"> </w:t>
      </w:r>
      <w:r>
        <w:rPr>
          <w:color w:val="231F20"/>
        </w:rPr>
        <w:t>work</w:t>
      </w:r>
      <w:r>
        <w:rPr>
          <w:color w:val="231F20"/>
          <w:spacing w:val="-4"/>
        </w:rPr>
        <w:t xml:space="preserve"> </w:t>
      </w:r>
      <w:r>
        <w:rPr>
          <w:color w:val="231F20"/>
        </w:rPr>
        <w:t>with</w:t>
      </w:r>
      <w:r>
        <w:rPr>
          <w:color w:val="231F20"/>
          <w:spacing w:val="-5"/>
        </w:rPr>
        <w:t xml:space="preserve"> </w:t>
      </w:r>
      <w:r>
        <w:rPr>
          <w:color w:val="231F20"/>
        </w:rPr>
        <w:t>communities</w:t>
      </w:r>
      <w:r>
        <w:rPr>
          <w:color w:val="231F20"/>
          <w:spacing w:val="-3"/>
        </w:rPr>
        <w:t xml:space="preserve"> </w:t>
      </w:r>
      <w:r>
        <w:rPr>
          <w:color w:val="231F20"/>
        </w:rPr>
        <w:t>to</w:t>
      </w:r>
      <w:r>
        <w:rPr>
          <w:color w:val="231F20"/>
          <w:spacing w:val="-3"/>
        </w:rPr>
        <w:t xml:space="preserve"> </w:t>
      </w:r>
      <w:r>
        <w:rPr>
          <w:color w:val="231F20"/>
        </w:rPr>
        <w:t>identify</w:t>
      </w:r>
      <w:r>
        <w:rPr>
          <w:color w:val="231F20"/>
          <w:spacing w:val="-4"/>
        </w:rPr>
        <w:t xml:space="preserve"> </w:t>
      </w:r>
      <w:r>
        <w:rPr>
          <w:color w:val="231F20"/>
        </w:rPr>
        <w:t>the</w:t>
      </w:r>
      <w:r>
        <w:rPr>
          <w:color w:val="231F20"/>
          <w:spacing w:val="-4"/>
        </w:rPr>
        <w:t xml:space="preserve"> </w:t>
      </w:r>
      <w:r>
        <w:rPr>
          <w:color w:val="231F20"/>
        </w:rPr>
        <w:t>cultural,</w:t>
      </w:r>
      <w:r>
        <w:rPr>
          <w:color w:val="231F20"/>
          <w:spacing w:val="-3"/>
        </w:rPr>
        <w:t xml:space="preserve"> </w:t>
      </w:r>
      <w:r>
        <w:rPr>
          <w:color w:val="231F20"/>
        </w:rPr>
        <w:t>economic,</w:t>
      </w:r>
      <w:r>
        <w:rPr>
          <w:color w:val="231F20"/>
          <w:spacing w:val="-4"/>
        </w:rPr>
        <w:t xml:space="preserve"> </w:t>
      </w:r>
      <w:r>
        <w:rPr>
          <w:color w:val="231F20"/>
        </w:rPr>
        <w:t>recreational,</w:t>
      </w:r>
      <w:r>
        <w:rPr>
          <w:color w:val="231F20"/>
          <w:spacing w:val="-4"/>
        </w:rPr>
        <w:t xml:space="preserve"> </w:t>
      </w:r>
      <w:r>
        <w:rPr>
          <w:color w:val="231F20"/>
        </w:rPr>
        <w:t>social</w:t>
      </w:r>
      <w:r>
        <w:rPr>
          <w:color w:val="231F20"/>
          <w:spacing w:val="-3"/>
        </w:rPr>
        <w:t xml:space="preserve"> </w:t>
      </w:r>
      <w:r>
        <w:rPr>
          <w:color w:val="231F20"/>
        </w:rPr>
        <w:t>and</w:t>
      </w:r>
      <w:r>
        <w:rPr>
          <w:color w:val="231F20"/>
          <w:spacing w:val="-6"/>
        </w:rPr>
        <w:t xml:space="preserve"> </w:t>
      </w:r>
      <w:r>
        <w:rPr>
          <w:color w:val="231F20"/>
        </w:rPr>
        <w:t>Traditional Owner values of waterways and to consider them in regional catchment strategies, regional waterway strategies, environmental water management plans and seasonal watering</w:t>
      </w:r>
      <w:r>
        <w:rPr>
          <w:color w:val="231F20"/>
          <w:spacing w:val="-9"/>
        </w:rPr>
        <w:t xml:space="preserve"> </w:t>
      </w:r>
      <w:r>
        <w:rPr>
          <w:color w:val="231F20"/>
        </w:rPr>
        <w:t>proposals.</w:t>
      </w:r>
    </w:p>
    <w:p w:rsidR="00F32FAC" w:rsidRPr="001413DB" w:rsidRDefault="00BC7372" w:rsidP="001413DB">
      <w:pPr>
        <w:pStyle w:val="BodyText"/>
        <w:spacing w:before="173" w:line="249" w:lineRule="auto"/>
        <w:ind w:right="629"/>
      </w:pPr>
      <w:r>
        <w:rPr>
          <w:color w:val="231F20"/>
        </w:rPr>
        <w:t>The opportunities identified for 2020–21 are summarised in the introduction to each region in sections 2 to 5 of this plan. In each system section, watering actions are specifically planned to an Aboriginal cultural, social or</w:t>
      </w:r>
      <w:r w:rsidR="001413DB">
        <w:t xml:space="preserve"> </w:t>
      </w:r>
      <w:r>
        <w:rPr>
          <w:color w:val="231F20"/>
        </w:rPr>
        <w:t>recreational objective are identified with the icons shown in Figure 1.3.3. This is a new way for the VEWH to identify cultural and recreational values in the seasonal watering plan, and it expects to refine this approach in future years to better capture these values.</w:t>
      </w:r>
    </w:p>
    <w:p w:rsidR="00F32FAC" w:rsidRDefault="00F32FAC">
      <w:pPr>
        <w:rPr>
          <w:color w:val="231F20"/>
          <w:sz w:val="20"/>
          <w:szCs w:val="20"/>
        </w:rPr>
      </w:pPr>
      <w:r>
        <w:rPr>
          <w:color w:val="231F20"/>
        </w:rPr>
        <w:br w:type="page"/>
      </w:r>
    </w:p>
    <w:p w:rsidR="006A7A3F" w:rsidRDefault="006A7A3F">
      <w:pPr>
        <w:pStyle w:val="BodyText"/>
        <w:spacing w:before="1" w:line="249" w:lineRule="auto"/>
        <w:ind w:right="175"/>
      </w:pPr>
    </w:p>
    <w:p w:rsidR="006A7A3F" w:rsidRDefault="00BC7372">
      <w:pPr>
        <w:spacing w:before="168"/>
        <w:ind w:left="210"/>
        <w:jc w:val="both"/>
        <w:rPr>
          <w:b/>
          <w:sz w:val="18"/>
        </w:rPr>
      </w:pPr>
      <w:r>
        <w:rPr>
          <w:b/>
          <w:color w:val="231F20"/>
          <w:sz w:val="18"/>
        </w:rPr>
        <w:t>Figure 1.3.3 Cultural, social and recreational objectives icons</w:t>
      </w:r>
    </w:p>
    <w:p w:rsidR="006A7A3F" w:rsidRDefault="006A7A3F">
      <w:pPr>
        <w:pStyle w:val="BodyText"/>
        <w:spacing w:before="6"/>
        <w:ind w:left="0"/>
        <w:rPr>
          <w:b/>
          <w:sz w:val="8"/>
        </w:rPr>
      </w:pPr>
    </w:p>
    <w:tbl>
      <w:tblPr>
        <w:tblW w:w="0" w:type="auto"/>
        <w:tblInd w:w="217" w:type="dxa"/>
        <w:tblLayout w:type="fixed"/>
        <w:tblCellMar>
          <w:left w:w="0" w:type="dxa"/>
          <w:right w:w="0" w:type="dxa"/>
        </w:tblCellMar>
        <w:tblLook w:val="01E0" w:firstRow="1" w:lastRow="1" w:firstColumn="1" w:lastColumn="1" w:noHBand="0" w:noVBand="0"/>
      </w:tblPr>
      <w:tblGrid>
        <w:gridCol w:w="720"/>
        <w:gridCol w:w="3924"/>
      </w:tblGrid>
      <w:tr w:rsidR="006A7A3F">
        <w:trPr>
          <w:trHeight w:val="465"/>
        </w:trPr>
        <w:tc>
          <w:tcPr>
            <w:tcW w:w="720" w:type="dxa"/>
            <w:tcBorders>
              <w:top w:val="single" w:sz="8" w:space="0" w:color="FFFFFF"/>
              <w:bottom w:val="single" w:sz="8" w:space="0" w:color="FFFFFF"/>
            </w:tcBorders>
            <w:shd w:val="clear" w:color="auto" w:fill="E6E7E8"/>
          </w:tcPr>
          <w:p w:rsidR="006A7A3F" w:rsidRDefault="00BC7372">
            <w:pPr>
              <w:pStyle w:val="TableParagraph"/>
              <w:spacing w:before="118"/>
              <w:ind w:left="113"/>
              <w:rPr>
                <w:b/>
                <w:sz w:val="20"/>
              </w:rPr>
            </w:pPr>
            <w:r>
              <w:rPr>
                <w:b/>
                <w:color w:val="231F20"/>
                <w:sz w:val="20"/>
              </w:rPr>
              <w:t>Icon</w:t>
            </w:r>
          </w:p>
        </w:tc>
        <w:tc>
          <w:tcPr>
            <w:tcW w:w="3924" w:type="dxa"/>
            <w:tcBorders>
              <w:top w:val="single" w:sz="8" w:space="0" w:color="FFFFFF"/>
              <w:bottom w:val="single" w:sz="8" w:space="0" w:color="FFFFFF"/>
            </w:tcBorders>
            <w:shd w:val="clear" w:color="auto" w:fill="E6E7E8"/>
          </w:tcPr>
          <w:p w:rsidR="006A7A3F" w:rsidRDefault="00BC7372">
            <w:pPr>
              <w:pStyle w:val="TableParagraph"/>
              <w:spacing w:before="118"/>
              <w:ind w:left="111"/>
              <w:rPr>
                <w:b/>
                <w:sz w:val="20"/>
              </w:rPr>
            </w:pPr>
            <w:r>
              <w:rPr>
                <w:b/>
                <w:color w:val="231F20"/>
                <w:sz w:val="20"/>
              </w:rPr>
              <w:t>Objective</w:t>
            </w:r>
          </w:p>
        </w:tc>
      </w:tr>
      <w:tr w:rsidR="006A7A3F">
        <w:trPr>
          <w:trHeight w:val="1185"/>
        </w:trPr>
        <w:tc>
          <w:tcPr>
            <w:tcW w:w="720"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spacing w:before="1"/>
              <w:ind w:left="0"/>
              <w:rPr>
                <w:b/>
                <w:sz w:val="10"/>
              </w:rPr>
            </w:pPr>
          </w:p>
          <w:p w:rsidR="006A7A3F" w:rsidRDefault="00BC7372">
            <w:pPr>
              <w:pStyle w:val="TableParagraph"/>
              <w:ind w:left="113"/>
              <w:rPr>
                <w:sz w:val="20"/>
              </w:rPr>
            </w:pPr>
            <w:r>
              <w:rPr>
                <w:noProof/>
                <w:sz w:val="20"/>
              </w:rPr>
              <w:drawing>
                <wp:inline distT="0" distB="0" distL="0" distR="0">
                  <wp:extent cx="313944" cy="313943"/>
                  <wp:effectExtent l="0" t="0" r="0" b="0"/>
                  <wp:docPr id="15"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313944" cy="313943"/>
                          </a:xfrm>
                          <a:prstGeom prst="rect">
                            <a:avLst/>
                          </a:prstGeom>
                        </pic:spPr>
                      </pic:pic>
                    </a:graphicData>
                  </a:graphic>
                </wp:inline>
              </w:drawing>
            </w:r>
          </w:p>
        </w:tc>
        <w:tc>
          <w:tcPr>
            <w:tcW w:w="3924" w:type="dxa"/>
            <w:tcBorders>
              <w:top w:val="single" w:sz="8" w:space="0" w:color="FFFFFF"/>
              <w:bottom w:val="single" w:sz="8" w:space="0" w:color="FFFFFF"/>
            </w:tcBorders>
            <w:shd w:val="clear" w:color="auto" w:fill="E6E7E8"/>
          </w:tcPr>
          <w:p w:rsidR="006A7A3F" w:rsidRDefault="00BC7372">
            <w:pPr>
              <w:pStyle w:val="TableParagraph"/>
              <w:spacing w:before="118" w:line="249" w:lineRule="auto"/>
              <w:ind w:left="111" w:right="164"/>
              <w:rPr>
                <w:sz w:val="20"/>
              </w:rPr>
            </w:pPr>
            <w:r>
              <w:rPr>
                <w:color w:val="231F20"/>
                <w:sz w:val="20"/>
              </w:rPr>
              <w:t>Watering planned and/or delivered in partnership with Traditional Owners to support Aboriginal cultural values and uses</w:t>
            </w:r>
          </w:p>
        </w:tc>
      </w:tr>
      <w:tr w:rsidR="006A7A3F">
        <w:trPr>
          <w:trHeight w:val="945"/>
        </w:trPr>
        <w:tc>
          <w:tcPr>
            <w:tcW w:w="720" w:type="dxa"/>
            <w:tcBorders>
              <w:top w:val="single" w:sz="8" w:space="0" w:color="FFFFFF"/>
              <w:bottom w:val="single" w:sz="8" w:space="0" w:color="FFFFFF"/>
            </w:tcBorders>
            <w:shd w:val="clear" w:color="auto" w:fill="E6E7E8"/>
          </w:tcPr>
          <w:p w:rsidR="006A7A3F" w:rsidRDefault="006A7A3F">
            <w:pPr>
              <w:pStyle w:val="TableParagraph"/>
              <w:spacing w:before="8"/>
              <w:ind w:left="0"/>
              <w:rPr>
                <w:b/>
                <w:sz w:val="19"/>
              </w:rPr>
            </w:pPr>
          </w:p>
          <w:p w:rsidR="006A7A3F" w:rsidRDefault="00BC7372">
            <w:pPr>
              <w:pStyle w:val="TableParagraph"/>
              <w:ind w:left="113"/>
              <w:rPr>
                <w:sz w:val="20"/>
              </w:rPr>
            </w:pPr>
            <w:r>
              <w:rPr>
                <w:noProof/>
                <w:sz w:val="20"/>
              </w:rPr>
              <w:drawing>
                <wp:inline distT="0" distB="0" distL="0" distR="0">
                  <wp:extent cx="316437" cy="314325"/>
                  <wp:effectExtent l="0" t="0" r="0" b="0"/>
                  <wp:docPr id="17"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316437" cy="314325"/>
                          </a:xfrm>
                          <a:prstGeom prst="rect">
                            <a:avLst/>
                          </a:prstGeom>
                        </pic:spPr>
                      </pic:pic>
                    </a:graphicData>
                  </a:graphic>
                </wp:inline>
              </w:drawing>
            </w:r>
          </w:p>
        </w:tc>
        <w:tc>
          <w:tcPr>
            <w:tcW w:w="3924" w:type="dxa"/>
            <w:tcBorders>
              <w:top w:val="single" w:sz="8" w:space="0" w:color="FFFFFF"/>
              <w:bottom w:val="single" w:sz="8" w:space="0" w:color="FFFFFF"/>
            </w:tcBorders>
            <w:shd w:val="clear" w:color="auto" w:fill="E6E7E8"/>
          </w:tcPr>
          <w:p w:rsidR="006A7A3F" w:rsidRDefault="00BC7372">
            <w:pPr>
              <w:pStyle w:val="TableParagraph"/>
              <w:spacing w:before="118" w:line="249" w:lineRule="auto"/>
              <w:ind w:left="111" w:right="164"/>
              <w:rPr>
                <w:sz w:val="20"/>
              </w:rPr>
            </w:pPr>
            <w:r>
              <w:rPr>
                <w:color w:val="231F20"/>
                <w:sz w:val="20"/>
              </w:rPr>
              <w:t>Watering planned to support water sports activities (e.g. canoeing, kayaking, rowing, swimming, water</w:t>
            </w:r>
            <w:r>
              <w:rPr>
                <w:color w:val="231F20"/>
                <w:spacing w:val="-2"/>
                <w:sz w:val="20"/>
              </w:rPr>
              <w:t xml:space="preserve"> </w:t>
            </w:r>
            <w:r>
              <w:rPr>
                <w:color w:val="231F20"/>
                <w:sz w:val="20"/>
              </w:rPr>
              <w:t>skiing)</w:t>
            </w:r>
          </w:p>
        </w:tc>
      </w:tr>
      <w:tr w:rsidR="006A7A3F">
        <w:trPr>
          <w:trHeight w:val="705"/>
        </w:trPr>
        <w:tc>
          <w:tcPr>
            <w:tcW w:w="720" w:type="dxa"/>
            <w:tcBorders>
              <w:top w:val="single" w:sz="8" w:space="0" w:color="FFFFFF"/>
              <w:bottom w:val="single" w:sz="8" w:space="0" w:color="FFFFFF"/>
            </w:tcBorders>
            <w:shd w:val="clear" w:color="auto" w:fill="E6E7E8"/>
          </w:tcPr>
          <w:p w:rsidR="006A7A3F" w:rsidRDefault="006A7A3F">
            <w:pPr>
              <w:pStyle w:val="TableParagraph"/>
              <w:spacing w:before="3"/>
              <w:ind w:left="0"/>
              <w:rPr>
                <w:b/>
                <w:sz w:val="9"/>
              </w:rPr>
            </w:pPr>
          </w:p>
          <w:p w:rsidR="006A7A3F" w:rsidRDefault="00BC7372">
            <w:pPr>
              <w:pStyle w:val="TableParagraph"/>
              <w:ind w:left="113"/>
              <w:rPr>
                <w:sz w:val="20"/>
              </w:rPr>
            </w:pPr>
            <w:r>
              <w:rPr>
                <w:noProof/>
                <w:sz w:val="20"/>
              </w:rPr>
              <w:drawing>
                <wp:inline distT="0" distB="0" distL="0" distR="0">
                  <wp:extent cx="311642" cy="309562"/>
                  <wp:effectExtent l="0" t="0" r="0" b="0"/>
                  <wp:docPr id="19"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311642" cy="309562"/>
                          </a:xfrm>
                          <a:prstGeom prst="rect">
                            <a:avLst/>
                          </a:prstGeom>
                        </pic:spPr>
                      </pic:pic>
                    </a:graphicData>
                  </a:graphic>
                </wp:inline>
              </w:drawing>
            </w:r>
          </w:p>
        </w:tc>
        <w:tc>
          <w:tcPr>
            <w:tcW w:w="3924" w:type="dxa"/>
            <w:tcBorders>
              <w:top w:val="single" w:sz="8" w:space="0" w:color="FFFFFF"/>
              <w:bottom w:val="single" w:sz="8" w:space="0" w:color="FFFFFF"/>
            </w:tcBorders>
            <w:shd w:val="clear" w:color="auto" w:fill="E6E7E8"/>
          </w:tcPr>
          <w:p w:rsidR="006A7A3F" w:rsidRDefault="00BC7372">
            <w:pPr>
              <w:pStyle w:val="TableParagraph"/>
              <w:spacing w:before="118" w:line="249" w:lineRule="auto"/>
              <w:ind w:left="111"/>
              <w:rPr>
                <w:sz w:val="20"/>
              </w:rPr>
            </w:pPr>
            <w:r>
              <w:rPr>
                <w:color w:val="231F20"/>
                <w:sz w:val="20"/>
              </w:rPr>
              <w:t>Watering planned to support waterbird- related recreational activities</w:t>
            </w:r>
          </w:p>
        </w:tc>
      </w:tr>
      <w:tr w:rsidR="006A7A3F">
        <w:trPr>
          <w:trHeight w:val="705"/>
        </w:trPr>
        <w:tc>
          <w:tcPr>
            <w:tcW w:w="720" w:type="dxa"/>
            <w:tcBorders>
              <w:top w:val="single" w:sz="8" w:space="0" w:color="FFFFFF"/>
              <w:bottom w:val="single" w:sz="8" w:space="0" w:color="FFFFFF"/>
            </w:tcBorders>
            <w:shd w:val="clear" w:color="auto" w:fill="E6E7E8"/>
          </w:tcPr>
          <w:p w:rsidR="006A7A3F" w:rsidRDefault="006A7A3F">
            <w:pPr>
              <w:pStyle w:val="TableParagraph"/>
              <w:spacing w:before="3"/>
              <w:ind w:left="0"/>
              <w:rPr>
                <w:b/>
                <w:sz w:val="9"/>
              </w:rPr>
            </w:pPr>
          </w:p>
          <w:p w:rsidR="006A7A3F" w:rsidRDefault="00BC7372">
            <w:pPr>
              <w:pStyle w:val="TableParagraph"/>
              <w:ind w:left="113"/>
              <w:rPr>
                <w:sz w:val="20"/>
              </w:rPr>
            </w:pPr>
            <w:r>
              <w:rPr>
                <w:noProof/>
                <w:sz w:val="20"/>
              </w:rPr>
              <w:drawing>
                <wp:inline distT="0" distB="0" distL="0" distR="0">
                  <wp:extent cx="311642" cy="309562"/>
                  <wp:effectExtent l="0" t="0" r="0" b="0"/>
                  <wp:docPr id="21"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311642" cy="309562"/>
                          </a:xfrm>
                          <a:prstGeom prst="rect">
                            <a:avLst/>
                          </a:prstGeom>
                        </pic:spPr>
                      </pic:pic>
                    </a:graphicData>
                  </a:graphic>
                </wp:inline>
              </w:drawing>
            </w:r>
          </w:p>
        </w:tc>
        <w:tc>
          <w:tcPr>
            <w:tcW w:w="3924" w:type="dxa"/>
            <w:tcBorders>
              <w:top w:val="single" w:sz="8" w:space="0" w:color="FFFFFF"/>
              <w:bottom w:val="single" w:sz="8" w:space="0" w:color="FFFFFF"/>
            </w:tcBorders>
            <w:shd w:val="clear" w:color="auto" w:fill="E6E7E8"/>
          </w:tcPr>
          <w:p w:rsidR="006A7A3F" w:rsidRDefault="00BC7372">
            <w:pPr>
              <w:pStyle w:val="TableParagraph"/>
              <w:spacing w:before="118" w:line="249" w:lineRule="auto"/>
              <w:ind w:left="111"/>
              <w:rPr>
                <w:sz w:val="20"/>
              </w:rPr>
            </w:pPr>
            <w:r>
              <w:rPr>
                <w:color w:val="231F20"/>
                <w:sz w:val="20"/>
              </w:rPr>
              <w:t>Watering planned to support angling activities</w:t>
            </w:r>
          </w:p>
        </w:tc>
      </w:tr>
      <w:tr w:rsidR="006A7A3F">
        <w:trPr>
          <w:trHeight w:val="1185"/>
        </w:trPr>
        <w:tc>
          <w:tcPr>
            <w:tcW w:w="720"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spacing w:before="1" w:after="1"/>
              <w:ind w:left="0"/>
              <w:rPr>
                <w:b/>
                <w:sz w:val="10"/>
              </w:rPr>
            </w:pPr>
          </w:p>
          <w:p w:rsidR="006A7A3F" w:rsidRDefault="00BC7372">
            <w:pPr>
              <w:pStyle w:val="TableParagraph"/>
              <w:ind w:left="113"/>
              <w:rPr>
                <w:sz w:val="20"/>
              </w:rPr>
            </w:pPr>
            <w:r>
              <w:rPr>
                <w:noProof/>
                <w:sz w:val="20"/>
              </w:rPr>
              <w:drawing>
                <wp:inline distT="0" distB="0" distL="0" distR="0">
                  <wp:extent cx="316053" cy="313944"/>
                  <wp:effectExtent l="0" t="0" r="0" b="0"/>
                  <wp:docPr id="23"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316053" cy="313944"/>
                          </a:xfrm>
                          <a:prstGeom prst="rect">
                            <a:avLst/>
                          </a:prstGeom>
                        </pic:spPr>
                      </pic:pic>
                    </a:graphicData>
                  </a:graphic>
                </wp:inline>
              </w:drawing>
            </w:r>
          </w:p>
        </w:tc>
        <w:tc>
          <w:tcPr>
            <w:tcW w:w="3924" w:type="dxa"/>
            <w:tcBorders>
              <w:top w:val="single" w:sz="8" w:space="0" w:color="FFFFFF"/>
              <w:bottom w:val="single" w:sz="8" w:space="0" w:color="FFFFFF"/>
            </w:tcBorders>
            <w:shd w:val="clear" w:color="auto" w:fill="E6E7E8"/>
          </w:tcPr>
          <w:p w:rsidR="006A7A3F" w:rsidRDefault="00BC7372">
            <w:pPr>
              <w:pStyle w:val="TableParagraph"/>
              <w:spacing w:before="118" w:line="249" w:lineRule="auto"/>
              <w:ind w:left="111" w:right="424"/>
              <w:rPr>
                <w:sz w:val="20"/>
              </w:rPr>
            </w:pPr>
            <w:r>
              <w:rPr>
                <w:color w:val="231F20"/>
                <w:sz w:val="20"/>
              </w:rPr>
              <w:t>Watering planned to support peaks in visitation (e.g. camping or other public activities on long weekends or school holidays)</w:t>
            </w:r>
          </w:p>
        </w:tc>
      </w:tr>
    </w:tbl>
    <w:p w:rsidR="006A7A3F" w:rsidRDefault="006A7A3F">
      <w:pPr>
        <w:pStyle w:val="BodyText"/>
        <w:spacing w:before="4"/>
        <w:ind w:left="0"/>
        <w:rPr>
          <w:b/>
          <w:sz w:val="17"/>
        </w:rPr>
      </w:pPr>
    </w:p>
    <w:p w:rsidR="006A7A3F" w:rsidRDefault="00BC7372">
      <w:pPr>
        <w:pStyle w:val="BodyText"/>
        <w:spacing w:before="0" w:line="249" w:lineRule="auto"/>
        <w:ind w:right="586"/>
      </w:pPr>
      <w:r>
        <w:rPr>
          <w:color w:val="231F20"/>
        </w:rPr>
        <w:t>Program partners will continue to work with stakeholders to look for opportunities to achieve shared community benefits from water for the environment throughout the year.</w:t>
      </w:r>
    </w:p>
    <w:p w:rsidR="006A7A3F" w:rsidRDefault="00BC7372" w:rsidP="009B6917">
      <w:pPr>
        <w:pStyle w:val="Heading4"/>
        <w:numPr>
          <w:ilvl w:val="2"/>
          <w:numId w:val="1416"/>
        </w:numPr>
        <w:tabs>
          <w:tab w:val="left" w:pos="931"/>
        </w:tabs>
        <w:spacing w:before="62"/>
        <w:ind w:left="930" w:hanging="721"/>
      </w:pPr>
      <w:r>
        <w:rPr>
          <w:color w:val="231F20"/>
        </w:rPr>
        <w:t>How are risks</w:t>
      </w:r>
      <w:r>
        <w:rPr>
          <w:color w:val="231F20"/>
          <w:spacing w:val="-4"/>
        </w:rPr>
        <w:t xml:space="preserve"> </w:t>
      </w:r>
      <w:r>
        <w:rPr>
          <w:color w:val="231F20"/>
        </w:rPr>
        <w:t>managed</w:t>
      </w:r>
    </w:p>
    <w:p w:rsidR="006A7A3F" w:rsidRDefault="00BC7372">
      <w:pPr>
        <w:pStyle w:val="BodyText"/>
        <w:spacing w:before="58" w:line="249" w:lineRule="auto"/>
        <w:ind w:right="753"/>
      </w:pPr>
      <w:r>
        <w:rPr>
          <w:color w:val="231F20"/>
        </w:rPr>
        <w:t>Risk management is an integral part of managing water for the environment. Program partners consider risks continually during long-term and annual planning, implementation and review.</w:t>
      </w:r>
    </w:p>
    <w:p w:rsidR="006A7A3F" w:rsidRDefault="00BC7372">
      <w:pPr>
        <w:pStyle w:val="BodyText"/>
        <w:spacing w:line="249" w:lineRule="auto"/>
        <w:ind w:right="652"/>
      </w:pPr>
      <w:r>
        <w:rPr>
          <w:color w:val="231F20"/>
        </w:rPr>
        <w:t>The VEWH, in collaboration with its program partners, has developed a risk management framework that addresses interagency risk, respects the risk management practices of each partner and documents roles and responsibilities in operating arrangements.</w:t>
      </w:r>
    </w:p>
    <w:p w:rsidR="006A7A3F" w:rsidRDefault="00BC7372">
      <w:pPr>
        <w:pStyle w:val="BodyText"/>
        <w:spacing w:line="249" w:lineRule="auto"/>
        <w:ind w:right="352"/>
      </w:pPr>
      <w:r>
        <w:rPr>
          <w:color w:val="231F20"/>
        </w:rPr>
        <w:t>The seasonal watering proposals on which this seasonal watering plan is based identify potential risks associated with the specific watering actions proposed for the coming water year. A collaborative approach is the best way to manage the shared environmental watering risks; so, as part of developing the proposals, partners jointly assess risks and identify and commit to mitigation actions.</w:t>
      </w:r>
    </w:p>
    <w:p w:rsidR="006A7A3F" w:rsidRDefault="00BC7372">
      <w:pPr>
        <w:pStyle w:val="BodyText"/>
        <w:spacing w:before="174" w:line="249" w:lineRule="auto"/>
        <w:ind w:right="100"/>
      </w:pPr>
      <w:r>
        <w:rPr>
          <w:color w:val="231F20"/>
        </w:rPr>
        <w:t>Table 1.3.1 shows the main shared risks of environmental watering. Program partners consider and reassess these and other potential risks as the season unfolds and planned watering actions are due to commence.</w:t>
      </w:r>
    </w:p>
    <w:p w:rsidR="006A7A3F" w:rsidRDefault="00BC7372">
      <w:pPr>
        <w:pStyle w:val="BodyText"/>
        <w:spacing w:before="171" w:line="249" w:lineRule="auto"/>
        <w:ind w:right="190"/>
        <w:rPr>
          <w:color w:val="231F20"/>
        </w:rPr>
      </w:pPr>
      <w:r>
        <w:rPr>
          <w:color w:val="231F20"/>
        </w:rPr>
        <w:t xml:space="preserve">Some risks may only eventuate at the time of </w:t>
      </w:r>
      <w:r>
        <w:rPr>
          <w:color w:val="231F20"/>
          <w:spacing w:val="-3"/>
        </w:rPr>
        <w:t xml:space="preserve">delivery. </w:t>
      </w:r>
      <w:r>
        <w:rPr>
          <w:color w:val="231F20"/>
        </w:rPr>
        <w:t>For example, forecast heavy rain that coincides with a planned environmental flow could increase the risk of nuisance flooding. Program partners review risks immediately before a planned environmental flow and implement measures to mitigate the risks as agreed with relevant program partners. Watering actions will not be implemented if unacceptable risks to the public or the environment cannot be</w:t>
      </w:r>
      <w:r>
        <w:rPr>
          <w:color w:val="231F20"/>
          <w:spacing w:val="-2"/>
        </w:rPr>
        <w:t xml:space="preserve"> </w:t>
      </w:r>
      <w:r>
        <w:rPr>
          <w:color w:val="231F20"/>
        </w:rPr>
        <w:t>mitigated.</w:t>
      </w:r>
    </w:p>
    <w:p w:rsidR="00F32FAC" w:rsidRPr="00F32FAC" w:rsidRDefault="00F32FAC" w:rsidP="00F32FAC">
      <w:pPr>
        <w:rPr>
          <w:color w:val="231F20"/>
          <w:sz w:val="20"/>
          <w:szCs w:val="20"/>
        </w:rPr>
      </w:pPr>
      <w:r>
        <w:rPr>
          <w:color w:val="231F20"/>
        </w:rPr>
        <w:br w:type="page"/>
      </w:r>
    </w:p>
    <w:p w:rsidR="006A7A3F" w:rsidRDefault="00BC7372">
      <w:pPr>
        <w:spacing w:before="169"/>
        <w:ind w:left="210"/>
        <w:rPr>
          <w:b/>
          <w:sz w:val="18"/>
        </w:rPr>
      </w:pPr>
      <w:r>
        <w:rPr>
          <w:b/>
          <w:color w:val="231F20"/>
          <w:sz w:val="18"/>
        </w:rPr>
        <w:t>Table 1.3.1 Main shared risks of environmental watering</w:t>
      </w:r>
    </w:p>
    <w:p w:rsidR="006A7A3F" w:rsidRDefault="006A7A3F">
      <w:pPr>
        <w:pStyle w:val="BodyText"/>
        <w:spacing w:before="7"/>
        <w:ind w:left="0"/>
        <w:rPr>
          <w:b/>
          <w:sz w:val="8"/>
        </w:rPr>
      </w:pPr>
    </w:p>
    <w:tbl>
      <w:tblPr>
        <w:tblW w:w="0" w:type="auto"/>
        <w:tblInd w:w="220"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943"/>
        <w:gridCol w:w="7252"/>
      </w:tblGrid>
      <w:tr w:rsidR="006A7A3F">
        <w:trPr>
          <w:trHeight w:val="347"/>
        </w:trPr>
        <w:tc>
          <w:tcPr>
            <w:tcW w:w="2943" w:type="dxa"/>
            <w:shd w:val="clear" w:color="auto" w:fill="231F20"/>
          </w:tcPr>
          <w:p w:rsidR="006A7A3F" w:rsidRDefault="00BC7372">
            <w:pPr>
              <w:pStyle w:val="TableParagraph"/>
              <w:spacing w:before="70"/>
              <w:ind w:left="113"/>
              <w:rPr>
                <w:b/>
                <w:sz w:val="18"/>
              </w:rPr>
            </w:pPr>
            <w:r>
              <w:rPr>
                <w:b/>
                <w:color w:val="FFFFFF"/>
                <w:sz w:val="18"/>
              </w:rPr>
              <w:t>Type of risk</w:t>
            </w:r>
          </w:p>
        </w:tc>
        <w:tc>
          <w:tcPr>
            <w:tcW w:w="7252" w:type="dxa"/>
            <w:shd w:val="clear" w:color="auto" w:fill="231F20"/>
          </w:tcPr>
          <w:p w:rsidR="006A7A3F" w:rsidRDefault="00BC7372">
            <w:pPr>
              <w:pStyle w:val="TableParagraph"/>
              <w:spacing w:before="70"/>
              <w:ind w:left="113"/>
              <w:rPr>
                <w:b/>
                <w:sz w:val="18"/>
              </w:rPr>
            </w:pPr>
            <w:r>
              <w:rPr>
                <w:b/>
                <w:color w:val="FFFFFF"/>
                <w:sz w:val="18"/>
              </w:rPr>
              <w:t>Example mitigating actions</w:t>
            </w:r>
          </w:p>
        </w:tc>
      </w:tr>
      <w:tr w:rsidR="006A7A3F">
        <w:trPr>
          <w:trHeight w:val="2412"/>
        </w:trPr>
        <w:tc>
          <w:tcPr>
            <w:tcW w:w="2943" w:type="dxa"/>
          </w:tcPr>
          <w:p w:rsidR="006A7A3F" w:rsidRPr="00817C2F" w:rsidRDefault="00BC7372">
            <w:pPr>
              <w:pStyle w:val="TableParagraph"/>
              <w:spacing w:before="57" w:line="211" w:lineRule="auto"/>
              <w:ind w:left="113" w:right="82"/>
              <w:rPr>
                <w:sz w:val="16"/>
                <w:szCs w:val="16"/>
              </w:rPr>
            </w:pPr>
            <w:r w:rsidRPr="00817C2F">
              <w:rPr>
                <w:color w:val="231F20"/>
                <w:sz w:val="16"/>
                <w:szCs w:val="16"/>
              </w:rPr>
              <w:t>Environmental watering contributes to third-party impacts</w:t>
            </w:r>
          </w:p>
        </w:tc>
        <w:tc>
          <w:tcPr>
            <w:tcW w:w="7252" w:type="dxa"/>
          </w:tcPr>
          <w:p w:rsidR="006A7A3F" w:rsidRPr="00817C2F" w:rsidRDefault="00BC7372" w:rsidP="009B6917">
            <w:pPr>
              <w:pStyle w:val="TableParagraph"/>
              <w:numPr>
                <w:ilvl w:val="0"/>
                <w:numId w:val="1415"/>
              </w:numPr>
              <w:tabs>
                <w:tab w:val="left" w:pos="334"/>
              </w:tabs>
              <w:spacing w:before="70" w:line="254" w:lineRule="auto"/>
              <w:ind w:right="474"/>
              <w:rPr>
                <w:sz w:val="16"/>
                <w:szCs w:val="16"/>
              </w:rPr>
            </w:pPr>
            <w:r w:rsidRPr="00817C2F">
              <w:rPr>
                <w:color w:val="231F20"/>
                <w:sz w:val="16"/>
                <w:szCs w:val="16"/>
              </w:rPr>
              <w:t>Identify and understand the capacities of water systems and monitor water</w:t>
            </w:r>
            <w:r w:rsidRPr="00817C2F">
              <w:rPr>
                <w:color w:val="231F20"/>
                <w:spacing w:val="-33"/>
                <w:sz w:val="16"/>
                <w:szCs w:val="16"/>
              </w:rPr>
              <w:t xml:space="preserve"> </w:t>
            </w:r>
            <w:r w:rsidRPr="00817C2F">
              <w:rPr>
                <w:color w:val="231F20"/>
                <w:sz w:val="16"/>
                <w:szCs w:val="16"/>
              </w:rPr>
              <w:t>levels at key locations to inform daily water release decisions to ensure impacts</w:t>
            </w:r>
            <w:r w:rsidRPr="00817C2F">
              <w:rPr>
                <w:color w:val="231F20"/>
                <w:spacing w:val="-34"/>
                <w:sz w:val="16"/>
                <w:szCs w:val="16"/>
              </w:rPr>
              <w:t xml:space="preserve"> </w:t>
            </w:r>
            <w:r w:rsidRPr="00817C2F">
              <w:rPr>
                <w:color w:val="231F20"/>
                <w:sz w:val="16"/>
                <w:szCs w:val="16"/>
              </w:rPr>
              <w:t>do</w:t>
            </w:r>
          </w:p>
          <w:p w:rsidR="006A7A3F" w:rsidRPr="00817C2F" w:rsidRDefault="00BC7372">
            <w:pPr>
              <w:pStyle w:val="TableParagraph"/>
              <w:spacing w:before="1"/>
              <w:ind w:left="333"/>
              <w:rPr>
                <w:sz w:val="16"/>
                <w:szCs w:val="16"/>
              </w:rPr>
            </w:pPr>
            <w:r w:rsidRPr="00817C2F">
              <w:rPr>
                <w:color w:val="231F20"/>
                <w:sz w:val="16"/>
                <w:szCs w:val="16"/>
              </w:rPr>
              <w:t>not eventuate.</w:t>
            </w:r>
          </w:p>
          <w:p w:rsidR="006A7A3F" w:rsidRPr="00817C2F" w:rsidRDefault="00BC7372" w:rsidP="009B6917">
            <w:pPr>
              <w:pStyle w:val="TableParagraph"/>
              <w:numPr>
                <w:ilvl w:val="0"/>
                <w:numId w:val="1415"/>
              </w:numPr>
              <w:tabs>
                <w:tab w:val="left" w:pos="334"/>
              </w:tabs>
              <w:spacing w:before="42" w:line="254" w:lineRule="auto"/>
              <w:ind w:right="496"/>
              <w:rPr>
                <w:sz w:val="16"/>
                <w:szCs w:val="16"/>
              </w:rPr>
            </w:pPr>
            <w:r w:rsidRPr="00817C2F">
              <w:rPr>
                <w:color w:val="231F20"/>
                <w:sz w:val="16"/>
                <w:szCs w:val="16"/>
              </w:rPr>
              <w:t>Consider potential catchment run-off from forecast rainfall before deciding on</w:t>
            </w:r>
            <w:r w:rsidRPr="00817C2F">
              <w:rPr>
                <w:color w:val="231F20"/>
                <w:spacing w:val="-34"/>
                <w:sz w:val="16"/>
                <w:szCs w:val="16"/>
              </w:rPr>
              <w:t xml:space="preserve"> </w:t>
            </w:r>
            <w:r w:rsidRPr="00817C2F">
              <w:rPr>
                <w:color w:val="231F20"/>
                <w:sz w:val="16"/>
                <w:szCs w:val="16"/>
              </w:rPr>
              <w:t>the timing of releases of water for the</w:t>
            </w:r>
            <w:r w:rsidRPr="00817C2F">
              <w:rPr>
                <w:color w:val="231F20"/>
                <w:spacing w:val="-6"/>
                <w:sz w:val="16"/>
                <w:szCs w:val="16"/>
              </w:rPr>
              <w:t xml:space="preserve"> </w:t>
            </w:r>
            <w:r w:rsidRPr="00817C2F">
              <w:rPr>
                <w:color w:val="231F20"/>
                <w:sz w:val="16"/>
                <w:szCs w:val="16"/>
              </w:rPr>
              <w:t>environment.</w:t>
            </w:r>
          </w:p>
          <w:p w:rsidR="006A7A3F" w:rsidRPr="00817C2F" w:rsidRDefault="00BC7372" w:rsidP="009B6917">
            <w:pPr>
              <w:pStyle w:val="TableParagraph"/>
              <w:numPr>
                <w:ilvl w:val="0"/>
                <w:numId w:val="1415"/>
              </w:numPr>
              <w:tabs>
                <w:tab w:val="left" w:pos="334"/>
              </w:tabs>
              <w:spacing w:before="29" w:line="254" w:lineRule="auto"/>
              <w:ind w:right="405"/>
              <w:rPr>
                <w:sz w:val="16"/>
                <w:szCs w:val="16"/>
              </w:rPr>
            </w:pPr>
            <w:r w:rsidRPr="00817C2F">
              <w:rPr>
                <w:color w:val="231F20"/>
                <w:sz w:val="16"/>
                <w:szCs w:val="16"/>
              </w:rPr>
              <w:t>Implement a communication strategy which may include media releases, public notices</w:t>
            </w:r>
            <w:r w:rsidRPr="00817C2F">
              <w:rPr>
                <w:color w:val="231F20"/>
                <w:spacing w:val="-5"/>
                <w:sz w:val="16"/>
                <w:szCs w:val="16"/>
              </w:rPr>
              <w:t xml:space="preserve"> </w:t>
            </w:r>
            <w:r w:rsidRPr="00817C2F">
              <w:rPr>
                <w:color w:val="231F20"/>
                <w:sz w:val="16"/>
                <w:szCs w:val="16"/>
              </w:rPr>
              <w:t>and</w:t>
            </w:r>
            <w:r w:rsidRPr="00817C2F">
              <w:rPr>
                <w:color w:val="231F20"/>
                <w:spacing w:val="-5"/>
                <w:sz w:val="16"/>
                <w:szCs w:val="16"/>
              </w:rPr>
              <w:t xml:space="preserve"> </w:t>
            </w:r>
            <w:r w:rsidRPr="00817C2F">
              <w:rPr>
                <w:color w:val="231F20"/>
                <w:sz w:val="16"/>
                <w:szCs w:val="16"/>
              </w:rPr>
              <w:t>signage</w:t>
            </w:r>
            <w:r w:rsidRPr="00817C2F">
              <w:rPr>
                <w:color w:val="231F20"/>
                <w:spacing w:val="-4"/>
                <w:sz w:val="16"/>
                <w:szCs w:val="16"/>
              </w:rPr>
              <w:t xml:space="preserve"> </w:t>
            </w:r>
            <w:r w:rsidRPr="00817C2F">
              <w:rPr>
                <w:color w:val="231F20"/>
                <w:sz w:val="16"/>
                <w:szCs w:val="16"/>
              </w:rPr>
              <w:t>before</w:t>
            </w:r>
            <w:r w:rsidRPr="00817C2F">
              <w:rPr>
                <w:color w:val="231F20"/>
                <w:spacing w:val="-5"/>
                <w:sz w:val="16"/>
                <w:szCs w:val="16"/>
              </w:rPr>
              <w:t xml:space="preserve"> </w:t>
            </w:r>
            <w:r w:rsidRPr="00817C2F">
              <w:rPr>
                <w:color w:val="231F20"/>
                <w:sz w:val="16"/>
                <w:szCs w:val="16"/>
              </w:rPr>
              <w:t>environmental</w:t>
            </w:r>
            <w:r w:rsidRPr="00817C2F">
              <w:rPr>
                <w:color w:val="231F20"/>
                <w:spacing w:val="-4"/>
                <w:sz w:val="16"/>
                <w:szCs w:val="16"/>
              </w:rPr>
              <w:t xml:space="preserve"> </w:t>
            </w:r>
            <w:r w:rsidRPr="00817C2F">
              <w:rPr>
                <w:color w:val="231F20"/>
                <w:sz w:val="16"/>
                <w:szCs w:val="16"/>
              </w:rPr>
              <w:t>flows,</w:t>
            </w:r>
            <w:r w:rsidRPr="00817C2F">
              <w:rPr>
                <w:color w:val="231F20"/>
                <w:spacing w:val="-4"/>
                <w:sz w:val="16"/>
                <w:szCs w:val="16"/>
              </w:rPr>
              <w:t xml:space="preserve"> </w:t>
            </w:r>
            <w:r w:rsidRPr="00817C2F">
              <w:rPr>
                <w:color w:val="231F20"/>
                <w:sz w:val="16"/>
                <w:szCs w:val="16"/>
              </w:rPr>
              <w:t>to</w:t>
            </w:r>
            <w:r w:rsidRPr="00817C2F">
              <w:rPr>
                <w:color w:val="231F20"/>
                <w:spacing w:val="-4"/>
                <w:sz w:val="16"/>
                <w:szCs w:val="16"/>
              </w:rPr>
              <w:t xml:space="preserve"> </w:t>
            </w:r>
            <w:r w:rsidRPr="00817C2F">
              <w:rPr>
                <w:color w:val="231F20"/>
                <w:sz w:val="16"/>
                <w:szCs w:val="16"/>
              </w:rPr>
              <w:t>ensure</w:t>
            </w:r>
            <w:r w:rsidRPr="00817C2F">
              <w:rPr>
                <w:color w:val="231F20"/>
                <w:spacing w:val="-5"/>
                <w:sz w:val="16"/>
                <w:szCs w:val="16"/>
              </w:rPr>
              <w:t xml:space="preserve"> </w:t>
            </w:r>
            <w:r w:rsidRPr="00817C2F">
              <w:rPr>
                <w:color w:val="231F20"/>
                <w:sz w:val="16"/>
                <w:szCs w:val="16"/>
              </w:rPr>
              <w:t>people</w:t>
            </w:r>
            <w:r w:rsidRPr="00817C2F">
              <w:rPr>
                <w:color w:val="231F20"/>
                <w:spacing w:val="-5"/>
                <w:sz w:val="16"/>
                <w:szCs w:val="16"/>
              </w:rPr>
              <w:t xml:space="preserve"> </w:t>
            </w:r>
            <w:r w:rsidRPr="00817C2F">
              <w:rPr>
                <w:color w:val="231F20"/>
                <w:sz w:val="16"/>
                <w:szCs w:val="16"/>
              </w:rPr>
              <w:t>are</w:t>
            </w:r>
            <w:r w:rsidRPr="00817C2F">
              <w:rPr>
                <w:color w:val="231F20"/>
                <w:spacing w:val="-5"/>
                <w:sz w:val="16"/>
                <w:szCs w:val="16"/>
              </w:rPr>
              <w:t xml:space="preserve"> </w:t>
            </w:r>
            <w:r w:rsidRPr="00817C2F">
              <w:rPr>
                <w:color w:val="231F20"/>
                <w:sz w:val="16"/>
                <w:szCs w:val="16"/>
              </w:rPr>
              <w:t>informed</w:t>
            </w:r>
            <w:r w:rsidRPr="00817C2F">
              <w:rPr>
                <w:color w:val="231F20"/>
                <w:spacing w:val="-4"/>
                <w:sz w:val="16"/>
                <w:szCs w:val="16"/>
              </w:rPr>
              <w:t xml:space="preserve"> </w:t>
            </w:r>
            <w:r w:rsidRPr="00817C2F">
              <w:rPr>
                <w:color w:val="231F20"/>
                <w:sz w:val="16"/>
                <w:szCs w:val="16"/>
              </w:rPr>
              <w:t>of significant deliveries of water for the environment and can adjust their behaviour accordingly. This includes early liaison with potentially affected</w:t>
            </w:r>
            <w:r w:rsidRPr="00817C2F">
              <w:rPr>
                <w:color w:val="231F20"/>
                <w:spacing w:val="-36"/>
                <w:sz w:val="16"/>
                <w:szCs w:val="16"/>
              </w:rPr>
              <w:t xml:space="preserve"> </w:t>
            </w:r>
            <w:r w:rsidRPr="00817C2F">
              <w:rPr>
                <w:color w:val="231F20"/>
                <w:sz w:val="16"/>
                <w:szCs w:val="16"/>
              </w:rPr>
              <w:t>stakeholders.</w:t>
            </w:r>
          </w:p>
          <w:p w:rsidR="006A7A3F" w:rsidRPr="00817C2F" w:rsidRDefault="00BC7372" w:rsidP="009B6917">
            <w:pPr>
              <w:pStyle w:val="TableParagraph"/>
              <w:numPr>
                <w:ilvl w:val="0"/>
                <w:numId w:val="1415"/>
              </w:numPr>
              <w:tabs>
                <w:tab w:val="left" w:pos="334"/>
              </w:tabs>
              <w:spacing w:before="31"/>
              <w:ind w:hanging="218"/>
              <w:rPr>
                <w:sz w:val="16"/>
                <w:szCs w:val="16"/>
              </w:rPr>
            </w:pPr>
            <w:r w:rsidRPr="00817C2F">
              <w:rPr>
                <w:color w:val="231F20"/>
                <w:sz w:val="16"/>
                <w:szCs w:val="16"/>
              </w:rPr>
              <w:t>Restrict access by closing gates and</w:t>
            </w:r>
            <w:r w:rsidRPr="00817C2F">
              <w:rPr>
                <w:color w:val="231F20"/>
                <w:spacing w:val="-7"/>
                <w:sz w:val="16"/>
                <w:szCs w:val="16"/>
              </w:rPr>
              <w:t xml:space="preserve"> </w:t>
            </w:r>
            <w:r w:rsidRPr="00817C2F">
              <w:rPr>
                <w:color w:val="231F20"/>
                <w:sz w:val="16"/>
                <w:szCs w:val="16"/>
              </w:rPr>
              <w:t>tracks.</w:t>
            </w:r>
          </w:p>
        </w:tc>
      </w:tr>
      <w:tr w:rsidR="006A7A3F">
        <w:trPr>
          <w:trHeight w:val="1972"/>
        </w:trPr>
        <w:tc>
          <w:tcPr>
            <w:tcW w:w="2943" w:type="dxa"/>
          </w:tcPr>
          <w:p w:rsidR="006A7A3F" w:rsidRPr="00817C2F" w:rsidRDefault="00BC7372">
            <w:pPr>
              <w:pStyle w:val="TableParagraph"/>
              <w:spacing w:before="57" w:line="211" w:lineRule="auto"/>
              <w:ind w:left="113" w:right="180"/>
              <w:rPr>
                <w:sz w:val="16"/>
                <w:szCs w:val="16"/>
              </w:rPr>
            </w:pPr>
            <w:r w:rsidRPr="00817C2F">
              <w:rPr>
                <w:color w:val="231F20"/>
                <w:sz w:val="16"/>
                <w:szCs w:val="16"/>
              </w:rPr>
              <w:t>Inability to achieve or demonstrate ecological outcomes from environmental watering</w:t>
            </w:r>
          </w:p>
        </w:tc>
        <w:tc>
          <w:tcPr>
            <w:tcW w:w="7252" w:type="dxa"/>
          </w:tcPr>
          <w:p w:rsidR="006A7A3F" w:rsidRPr="00817C2F" w:rsidRDefault="00BC7372" w:rsidP="009B6917">
            <w:pPr>
              <w:pStyle w:val="TableParagraph"/>
              <w:numPr>
                <w:ilvl w:val="0"/>
                <w:numId w:val="1414"/>
              </w:numPr>
              <w:tabs>
                <w:tab w:val="left" w:pos="334"/>
              </w:tabs>
              <w:spacing w:before="70" w:line="254" w:lineRule="auto"/>
              <w:ind w:right="125"/>
              <w:rPr>
                <w:sz w:val="16"/>
                <w:szCs w:val="16"/>
              </w:rPr>
            </w:pPr>
            <w:r w:rsidRPr="00817C2F">
              <w:rPr>
                <w:color w:val="231F20"/>
                <w:sz w:val="16"/>
                <w:szCs w:val="16"/>
              </w:rPr>
              <w:t>Undertake</w:t>
            </w:r>
            <w:r w:rsidRPr="00817C2F">
              <w:rPr>
                <w:color w:val="231F20"/>
                <w:spacing w:val="-6"/>
                <w:sz w:val="16"/>
                <w:szCs w:val="16"/>
              </w:rPr>
              <w:t xml:space="preserve"> </w:t>
            </w:r>
            <w:r w:rsidRPr="00817C2F">
              <w:rPr>
                <w:color w:val="231F20"/>
                <w:sz w:val="16"/>
                <w:szCs w:val="16"/>
              </w:rPr>
              <w:t>intervention</w:t>
            </w:r>
            <w:r w:rsidRPr="00817C2F">
              <w:rPr>
                <w:color w:val="231F20"/>
                <w:spacing w:val="-6"/>
                <w:sz w:val="16"/>
                <w:szCs w:val="16"/>
              </w:rPr>
              <w:t xml:space="preserve"> </w:t>
            </w:r>
            <w:r w:rsidRPr="00817C2F">
              <w:rPr>
                <w:color w:val="231F20"/>
                <w:sz w:val="16"/>
                <w:szCs w:val="16"/>
              </w:rPr>
              <w:t>monitoring</w:t>
            </w:r>
            <w:r w:rsidRPr="00817C2F">
              <w:rPr>
                <w:color w:val="231F20"/>
                <w:spacing w:val="-5"/>
                <w:sz w:val="16"/>
                <w:szCs w:val="16"/>
              </w:rPr>
              <w:t xml:space="preserve"> </w:t>
            </w:r>
            <w:r w:rsidRPr="00817C2F">
              <w:rPr>
                <w:color w:val="231F20"/>
                <w:sz w:val="16"/>
                <w:szCs w:val="16"/>
              </w:rPr>
              <w:t>within</w:t>
            </w:r>
            <w:r w:rsidRPr="00817C2F">
              <w:rPr>
                <w:color w:val="231F20"/>
                <w:spacing w:val="-6"/>
                <w:sz w:val="16"/>
                <w:szCs w:val="16"/>
              </w:rPr>
              <w:t xml:space="preserve"> </w:t>
            </w:r>
            <w:r w:rsidRPr="00817C2F">
              <w:rPr>
                <w:color w:val="231F20"/>
                <w:sz w:val="16"/>
                <w:szCs w:val="16"/>
              </w:rPr>
              <w:t>available</w:t>
            </w:r>
            <w:r w:rsidRPr="00817C2F">
              <w:rPr>
                <w:color w:val="231F20"/>
                <w:spacing w:val="-6"/>
                <w:sz w:val="16"/>
                <w:szCs w:val="16"/>
              </w:rPr>
              <w:t xml:space="preserve"> </w:t>
            </w:r>
            <w:r w:rsidRPr="00817C2F">
              <w:rPr>
                <w:color w:val="231F20"/>
                <w:sz w:val="16"/>
                <w:szCs w:val="16"/>
              </w:rPr>
              <w:t>resources</w:t>
            </w:r>
            <w:r w:rsidRPr="00817C2F">
              <w:rPr>
                <w:color w:val="231F20"/>
                <w:spacing w:val="-5"/>
                <w:sz w:val="16"/>
                <w:szCs w:val="16"/>
              </w:rPr>
              <w:t xml:space="preserve"> </w:t>
            </w:r>
            <w:r w:rsidRPr="00817C2F">
              <w:rPr>
                <w:color w:val="231F20"/>
                <w:sz w:val="16"/>
                <w:szCs w:val="16"/>
              </w:rPr>
              <w:t>to</w:t>
            </w:r>
            <w:r w:rsidRPr="00817C2F">
              <w:rPr>
                <w:color w:val="231F20"/>
                <w:spacing w:val="-4"/>
                <w:sz w:val="16"/>
                <w:szCs w:val="16"/>
              </w:rPr>
              <w:t xml:space="preserve"> </w:t>
            </w:r>
            <w:r w:rsidRPr="00817C2F">
              <w:rPr>
                <w:color w:val="231F20"/>
                <w:sz w:val="16"/>
                <w:szCs w:val="16"/>
              </w:rPr>
              <w:t>identify</w:t>
            </w:r>
            <w:r w:rsidRPr="00817C2F">
              <w:rPr>
                <w:color w:val="231F20"/>
                <w:spacing w:val="-6"/>
                <w:sz w:val="16"/>
                <w:szCs w:val="16"/>
              </w:rPr>
              <w:t xml:space="preserve"> </w:t>
            </w:r>
            <w:r w:rsidRPr="00817C2F">
              <w:rPr>
                <w:color w:val="231F20"/>
                <w:sz w:val="16"/>
                <w:szCs w:val="16"/>
              </w:rPr>
              <w:t>the</w:t>
            </w:r>
            <w:r w:rsidRPr="00817C2F">
              <w:rPr>
                <w:color w:val="231F20"/>
                <w:spacing w:val="-5"/>
                <w:sz w:val="16"/>
                <w:szCs w:val="16"/>
              </w:rPr>
              <w:t xml:space="preserve"> </w:t>
            </w:r>
            <w:r w:rsidRPr="00817C2F">
              <w:rPr>
                <w:color w:val="231F20"/>
                <w:sz w:val="16"/>
                <w:szCs w:val="16"/>
              </w:rPr>
              <w:t>ecological response.</w:t>
            </w:r>
          </w:p>
          <w:p w:rsidR="006A7A3F" w:rsidRPr="00817C2F" w:rsidRDefault="00BC7372" w:rsidP="009B6917">
            <w:pPr>
              <w:pStyle w:val="TableParagraph"/>
              <w:numPr>
                <w:ilvl w:val="0"/>
                <w:numId w:val="1414"/>
              </w:numPr>
              <w:tabs>
                <w:tab w:val="left" w:pos="334"/>
              </w:tabs>
              <w:spacing w:before="30"/>
              <w:ind w:hanging="218"/>
              <w:rPr>
                <w:sz w:val="16"/>
                <w:szCs w:val="16"/>
              </w:rPr>
            </w:pPr>
            <w:r w:rsidRPr="00817C2F">
              <w:rPr>
                <w:color w:val="231F20"/>
                <w:sz w:val="16"/>
                <w:szCs w:val="16"/>
              </w:rPr>
              <w:t>Conduct research to better understand responses to water for the</w:t>
            </w:r>
            <w:r w:rsidRPr="00817C2F">
              <w:rPr>
                <w:color w:val="231F20"/>
                <w:spacing w:val="-20"/>
                <w:sz w:val="16"/>
                <w:szCs w:val="16"/>
              </w:rPr>
              <w:t xml:space="preserve"> </w:t>
            </w:r>
            <w:r w:rsidRPr="00817C2F">
              <w:rPr>
                <w:color w:val="231F20"/>
                <w:sz w:val="16"/>
                <w:szCs w:val="16"/>
              </w:rPr>
              <w:t>environment.</w:t>
            </w:r>
          </w:p>
          <w:p w:rsidR="006A7A3F" w:rsidRPr="00817C2F" w:rsidRDefault="00BC7372" w:rsidP="009B6917">
            <w:pPr>
              <w:pStyle w:val="TableParagraph"/>
              <w:numPr>
                <w:ilvl w:val="0"/>
                <w:numId w:val="1414"/>
              </w:numPr>
              <w:tabs>
                <w:tab w:val="left" w:pos="334"/>
              </w:tabs>
              <w:spacing w:before="41" w:line="254" w:lineRule="auto"/>
              <w:ind w:right="645"/>
              <w:rPr>
                <w:sz w:val="16"/>
                <w:szCs w:val="16"/>
              </w:rPr>
            </w:pPr>
            <w:r w:rsidRPr="00817C2F">
              <w:rPr>
                <w:color w:val="231F20"/>
                <w:sz w:val="16"/>
                <w:szCs w:val="16"/>
              </w:rPr>
              <w:t>Communicate</w:t>
            </w:r>
            <w:r w:rsidRPr="00817C2F">
              <w:rPr>
                <w:color w:val="231F20"/>
                <w:spacing w:val="-6"/>
                <w:sz w:val="16"/>
                <w:szCs w:val="16"/>
              </w:rPr>
              <w:t xml:space="preserve"> </w:t>
            </w:r>
            <w:r w:rsidRPr="00817C2F">
              <w:rPr>
                <w:color w:val="231F20"/>
                <w:sz w:val="16"/>
                <w:szCs w:val="16"/>
              </w:rPr>
              <w:t>the</w:t>
            </w:r>
            <w:r w:rsidRPr="00817C2F">
              <w:rPr>
                <w:color w:val="231F20"/>
                <w:spacing w:val="-4"/>
                <w:sz w:val="16"/>
                <w:szCs w:val="16"/>
              </w:rPr>
              <w:t xml:space="preserve"> </w:t>
            </w:r>
            <w:r w:rsidRPr="00817C2F">
              <w:rPr>
                <w:color w:val="231F20"/>
                <w:sz w:val="16"/>
                <w:szCs w:val="16"/>
              </w:rPr>
              <w:t>outcomes</w:t>
            </w:r>
            <w:r w:rsidRPr="00817C2F">
              <w:rPr>
                <w:color w:val="231F20"/>
                <w:spacing w:val="-5"/>
                <w:sz w:val="16"/>
                <w:szCs w:val="16"/>
              </w:rPr>
              <w:t xml:space="preserve"> </w:t>
            </w:r>
            <w:r w:rsidRPr="00817C2F">
              <w:rPr>
                <w:color w:val="231F20"/>
                <w:sz w:val="16"/>
                <w:szCs w:val="16"/>
              </w:rPr>
              <w:t>of</w:t>
            </w:r>
            <w:r w:rsidRPr="00817C2F">
              <w:rPr>
                <w:color w:val="231F20"/>
                <w:spacing w:val="-5"/>
                <w:sz w:val="16"/>
                <w:szCs w:val="16"/>
              </w:rPr>
              <w:t xml:space="preserve"> </w:t>
            </w:r>
            <w:r w:rsidRPr="00817C2F">
              <w:rPr>
                <w:color w:val="231F20"/>
                <w:sz w:val="16"/>
                <w:szCs w:val="16"/>
              </w:rPr>
              <w:t>monitoring</w:t>
            </w:r>
            <w:r w:rsidRPr="00817C2F">
              <w:rPr>
                <w:color w:val="231F20"/>
                <w:spacing w:val="-4"/>
                <w:sz w:val="16"/>
                <w:szCs w:val="16"/>
              </w:rPr>
              <w:t xml:space="preserve"> </w:t>
            </w:r>
            <w:r w:rsidRPr="00817C2F">
              <w:rPr>
                <w:color w:val="231F20"/>
                <w:sz w:val="16"/>
                <w:szCs w:val="16"/>
              </w:rPr>
              <w:t>and</w:t>
            </w:r>
            <w:r w:rsidRPr="00817C2F">
              <w:rPr>
                <w:color w:val="231F20"/>
                <w:spacing w:val="-5"/>
                <w:sz w:val="16"/>
                <w:szCs w:val="16"/>
              </w:rPr>
              <w:t xml:space="preserve"> </w:t>
            </w:r>
            <w:r w:rsidRPr="00817C2F">
              <w:rPr>
                <w:color w:val="231F20"/>
                <w:sz w:val="16"/>
                <w:szCs w:val="16"/>
              </w:rPr>
              <w:t>incorporate</w:t>
            </w:r>
            <w:r w:rsidRPr="00817C2F">
              <w:rPr>
                <w:color w:val="231F20"/>
                <w:spacing w:val="-5"/>
                <w:sz w:val="16"/>
                <w:szCs w:val="16"/>
              </w:rPr>
              <w:t xml:space="preserve"> </w:t>
            </w:r>
            <w:r w:rsidRPr="00817C2F">
              <w:rPr>
                <w:color w:val="231F20"/>
                <w:sz w:val="16"/>
                <w:szCs w:val="16"/>
              </w:rPr>
              <w:t>learnings</w:t>
            </w:r>
            <w:r w:rsidRPr="00817C2F">
              <w:rPr>
                <w:color w:val="231F20"/>
                <w:spacing w:val="-5"/>
                <w:sz w:val="16"/>
                <w:szCs w:val="16"/>
              </w:rPr>
              <w:t xml:space="preserve"> </w:t>
            </w:r>
            <w:r w:rsidRPr="00817C2F">
              <w:rPr>
                <w:color w:val="231F20"/>
                <w:sz w:val="16"/>
                <w:szCs w:val="16"/>
              </w:rPr>
              <w:t>into</w:t>
            </w:r>
            <w:r w:rsidRPr="00817C2F">
              <w:rPr>
                <w:color w:val="231F20"/>
                <w:spacing w:val="-5"/>
                <w:sz w:val="16"/>
                <w:szCs w:val="16"/>
              </w:rPr>
              <w:t xml:space="preserve"> </w:t>
            </w:r>
            <w:r w:rsidRPr="00817C2F">
              <w:rPr>
                <w:color w:val="231F20"/>
                <w:sz w:val="16"/>
                <w:szCs w:val="16"/>
              </w:rPr>
              <w:t>future environmental</w:t>
            </w:r>
            <w:r w:rsidRPr="00817C2F">
              <w:rPr>
                <w:color w:val="231F20"/>
                <w:spacing w:val="-2"/>
                <w:sz w:val="16"/>
                <w:szCs w:val="16"/>
              </w:rPr>
              <w:t xml:space="preserve"> </w:t>
            </w:r>
            <w:r w:rsidRPr="00817C2F">
              <w:rPr>
                <w:color w:val="231F20"/>
                <w:sz w:val="16"/>
                <w:szCs w:val="16"/>
              </w:rPr>
              <w:t>watering.</w:t>
            </w:r>
          </w:p>
          <w:p w:rsidR="006A7A3F" w:rsidRPr="00817C2F" w:rsidRDefault="00BC7372" w:rsidP="009B6917">
            <w:pPr>
              <w:pStyle w:val="TableParagraph"/>
              <w:numPr>
                <w:ilvl w:val="0"/>
                <w:numId w:val="1414"/>
              </w:numPr>
              <w:tabs>
                <w:tab w:val="left" w:pos="334"/>
              </w:tabs>
              <w:spacing w:before="30" w:line="254" w:lineRule="auto"/>
              <w:ind w:right="205"/>
              <w:rPr>
                <w:sz w:val="16"/>
                <w:szCs w:val="16"/>
              </w:rPr>
            </w:pPr>
            <w:r w:rsidRPr="00817C2F">
              <w:rPr>
                <w:color w:val="231F20"/>
                <w:sz w:val="16"/>
                <w:szCs w:val="16"/>
              </w:rPr>
              <w:t>Consider</w:t>
            </w:r>
            <w:r w:rsidRPr="00817C2F">
              <w:rPr>
                <w:color w:val="231F20"/>
                <w:spacing w:val="-5"/>
                <w:sz w:val="16"/>
                <w:szCs w:val="16"/>
              </w:rPr>
              <w:t xml:space="preserve"> </w:t>
            </w:r>
            <w:r w:rsidRPr="00817C2F">
              <w:rPr>
                <w:color w:val="231F20"/>
                <w:sz w:val="16"/>
                <w:szCs w:val="16"/>
              </w:rPr>
              <w:t>the</w:t>
            </w:r>
            <w:r w:rsidRPr="00817C2F">
              <w:rPr>
                <w:color w:val="231F20"/>
                <w:spacing w:val="-4"/>
                <w:sz w:val="16"/>
                <w:szCs w:val="16"/>
              </w:rPr>
              <w:t xml:space="preserve"> </w:t>
            </w:r>
            <w:r w:rsidRPr="00817C2F">
              <w:rPr>
                <w:color w:val="231F20"/>
                <w:sz w:val="16"/>
                <w:szCs w:val="16"/>
              </w:rPr>
              <w:t>need</w:t>
            </w:r>
            <w:r w:rsidRPr="00817C2F">
              <w:rPr>
                <w:color w:val="231F20"/>
                <w:spacing w:val="-5"/>
                <w:sz w:val="16"/>
                <w:szCs w:val="16"/>
              </w:rPr>
              <w:t xml:space="preserve"> </w:t>
            </w:r>
            <w:r w:rsidRPr="00817C2F">
              <w:rPr>
                <w:color w:val="231F20"/>
                <w:sz w:val="16"/>
                <w:szCs w:val="16"/>
              </w:rPr>
              <w:t>for</w:t>
            </w:r>
            <w:r w:rsidRPr="00817C2F">
              <w:rPr>
                <w:color w:val="231F20"/>
                <w:spacing w:val="-4"/>
                <w:sz w:val="16"/>
                <w:szCs w:val="16"/>
              </w:rPr>
              <w:t xml:space="preserve"> </w:t>
            </w:r>
            <w:r w:rsidRPr="00817C2F">
              <w:rPr>
                <w:color w:val="231F20"/>
                <w:sz w:val="16"/>
                <w:szCs w:val="16"/>
              </w:rPr>
              <w:t>complementary</w:t>
            </w:r>
            <w:r w:rsidRPr="00817C2F">
              <w:rPr>
                <w:color w:val="231F20"/>
                <w:spacing w:val="-4"/>
                <w:sz w:val="16"/>
                <w:szCs w:val="16"/>
              </w:rPr>
              <w:t xml:space="preserve"> </w:t>
            </w:r>
            <w:r w:rsidRPr="00817C2F">
              <w:rPr>
                <w:color w:val="231F20"/>
                <w:sz w:val="16"/>
                <w:szCs w:val="16"/>
              </w:rPr>
              <w:t>works</w:t>
            </w:r>
            <w:r w:rsidRPr="00817C2F">
              <w:rPr>
                <w:color w:val="231F20"/>
                <w:spacing w:val="-5"/>
                <w:sz w:val="16"/>
                <w:szCs w:val="16"/>
              </w:rPr>
              <w:t xml:space="preserve"> </w:t>
            </w:r>
            <w:r w:rsidRPr="00817C2F">
              <w:rPr>
                <w:color w:val="231F20"/>
                <w:sz w:val="16"/>
                <w:szCs w:val="16"/>
              </w:rPr>
              <w:t>to</w:t>
            </w:r>
            <w:r w:rsidRPr="00817C2F">
              <w:rPr>
                <w:color w:val="231F20"/>
                <w:spacing w:val="-4"/>
                <w:sz w:val="16"/>
                <w:szCs w:val="16"/>
              </w:rPr>
              <w:t xml:space="preserve"> </w:t>
            </w:r>
            <w:r w:rsidRPr="00817C2F">
              <w:rPr>
                <w:color w:val="231F20"/>
                <w:sz w:val="16"/>
                <w:szCs w:val="16"/>
              </w:rPr>
              <w:t>help</w:t>
            </w:r>
            <w:r w:rsidRPr="00817C2F">
              <w:rPr>
                <w:color w:val="231F20"/>
                <w:spacing w:val="-5"/>
                <w:sz w:val="16"/>
                <w:szCs w:val="16"/>
              </w:rPr>
              <w:t xml:space="preserve"> </w:t>
            </w:r>
            <w:r w:rsidRPr="00817C2F">
              <w:rPr>
                <w:color w:val="231F20"/>
                <w:sz w:val="16"/>
                <w:szCs w:val="16"/>
              </w:rPr>
              <w:t>achieve</w:t>
            </w:r>
            <w:r w:rsidRPr="00817C2F">
              <w:rPr>
                <w:color w:val="231F20"/>
                <w:spacing w:val="-5"/>
                <w:sz w:val="16"/>
                <w:szCs w:val="16"/>
              </w:rPr>
              <w:t xml:space="preserve"> </w:t>
            </w:r>
            <w:r w:rsidRPr="00817C2F">
              <w:rPr>
                <w:color w:val="231F20"/>
                <w:sz w:val="16"/>
                <w:szCs w:val="16"/>
              </w:rPr>
              <w:t>environmental</w:t>
            </w:r>
            <w:r w:rsidRPr="00817C2F">
              <w:rPr>
                <w:color w:val="231F20"/>
                <w:spacing w:val="-5"/>
                <w:sz w:val="16"/>
                <w:szCs w:val="16"/>
              </w:rPr>
              <w:t xml:space="preserve"> </w:t>
            </w:r>
            <w:r w:rsidRPr="00817C2F">
              <w:rPr>
                <w:color w:val="231F20"/>
                <w:sz w:val="16"/>
                <w:szCs w:val="16"/>
              </w:rPr>
              <w:t>watering outcomes as part of integrated catchment management and the likely timeframe for ecological responses to all management</w:t>
            </w:r>
            <w:r w:rsidRPr="00817C2F">
              <w:rPr>
                <w:color w:val="231F20"/>
                <w:spacing w:val="-4"/>
                <w:sz w:val="16"/>
                <w:szCs w:val="16"/>
              </w:rPr>
              <w:t xml:space="preserve"> </w:t>
            </w:r>
            <w:r w:rsidRPr="00817C2F">
              <w:rPr>
                <w:color w:val="231F20"/>
                <w:sz w:val="16"/>
                <w:szCs w:val="16"/>
              </w:rPr>
              <w:t>actions.</w:t>
            </w:r>
          </w:p>
        </w:tc>
      </w:tr>
      <w:tr w:rsidR="006A7A3F">
        <w:trPr>
          <w:trHeight w:val="1036"/>
        </w:trPr>
        <w:tc>
          <w:tcPr>
            <w:tcW w:w="2943" w:type="dxa"/>
          </w:tcPr>
          <w:p w:rsidR="006A7A3F" w:rsidRPr="00817C2F" w:rsidRDefault="00BC7372">
            <w:pPr>
              <w:pStyle w:val="TableParagraph"/>
              <w:spacing w:before="57" w:line="211" w:lineRule="auto"/>
              <w:ind w:left="113" w:right="82"/>
              <w:rPr>
                <w:sz w:val="16"/>
                <w:szCs w:val="16"/>
              </w:rPr>
            </w:pPr>
            <w:r w:rsidRPr="00817C2F">
              <w:rPr>
                <w:color w:val="231F20"/>
                <w:sz w:val="16"/>
                <w:szCs w:val="16"/>
              </w:rPr>
              <w:t>Environmental watering has negative effects on the environment (for example blackwater, bank erosion and the spread of weeds)</w:t>
            </w:r>
          </w:p>
        </w:tc>
        <w:tc>
          <w:tcPr>
            <w:tcW w:w="7252" w:type="dxa"/>
          </w:tcPr>
          <w:p w:rsidR="006A7A3F" w:rsidRPr="00817C2F" w:rsidRDefault="00BC7372" w:rsidP="009B6917">
            <w:pPr>
              <w:pStyle w:val="TableParagraph"/>
              <w:numPr>
                <w:ilvl w:val="0"/>
                <w:numId w:val="1413"/>
              </w:numPr>
              <w:tabs>
                <w:tab w:val="left" w:pos="334"/>
              </w:tabs>
              <w:spacing w:before="70" w:line="254" w:lineRule="auto"/>
              <w:ind w:right="526"/>
              <w:rPr>
                <w:sz w:val="16"/>
                <w:szCs w:val="16"/>
              </w:rPr>
            </w:pPr>
            <w:r w:rsidRPr="00817C2F">
              <w:rPr>
                <w:color w:val="231F20"/>
                <w:sz w:val="16"/>
                <w:szCs w:val="16"/>
              </w:rPr>
              <w:t>Plan</w:t>
            </w:r>
            <w:r w:rsidRPr="00817C2F">
              <w:rPr>
                <w:color w:val="231F20"/>
                <w:spacing w:val="-4"/>
                <w:sz w:val="16"/>
                <w:szCs w:val="16"/>
              </w:rPr>
              <w:t xml:space="preserve"> </w:t>
            </w:r>
            <w:r w:rsidRPr="00817C2F">
              <w:rPr>
                <w:color w:val="231F20"/>
                <w:sz w:val="16"/>
                <w:szCs w:val="16"/>
              </w:rPr>
              <w:t>the</w:t>
            </w:r>
            <w:r w:rsidRPr="00817C2F">
              <w:rPr>
                <w:color w:val="231F20"/>
                <w:spacing w:val="-4"/>
                <w:sz w:val="16"/>
                <w:szCs w:val="16"/>
              </w:rPr>
              <w:t xml:space="preserve"> </w:t>
            </w:r>
            <w:r w:rsidRPr="00817C2F">
              <w:rPr>
                <w:color w:val="231F20"/>
                <w:sz w:val="16"/>
                <w:szCs w:val="16"/>
              </w:rPr>
              <w:t>timing,</w:t>
            </w:r>
            <w:r w:rsidRPr="00817C2F">
              <w:rPr>
                <w:color w:val="231F20"/>
                <w:spacing w:val="-3"/>
                <w:sz w:val="16"/>
                <w:szCs w:val="16"/>
              </w:rPr>
              <w:t xml:space="preserve"> </w:t>
            </w:r>
            <w:r w:rsidRPr="00817C2F">
              <w:rPr>
                <w:color w:val="231F20"/>
                <w:sz w:val="16"/>
                <w:szCs w:val="16"/>
              </w:rPr>
              <w:t>frequency,</w:t>
            </w:r>
            <w:r w:rsidRPr="00817C2F">
              <w:rPr>
                <w:color w:val="231F20"/>
                <w:spacing w:val="-4"/>
                <w:sz w:val="16"/>
                <w:szCs w:val="16"/>
              </w:rPr>
              <w:t xml:space="preserve"> </w:t>
            </w:r>
            <w:r w:rsidRPr="00817C2F">
              <w:rPr>
                <w:color w:val="231F20"/>
                <w:sz w:val="16"/>
                <w:szCs w:val="16"/>
              </w:rPr>
              <w:t>duration</w:t>
            </w:r>
            <w:r w:rsidRPr="00817C2F">
              <w:rPr>
                <w:color w:val="231F20"/>
                <w:spacing w:val="-4"/>
                <w:sz w:val="16"/>
                <w:szCs w:val="16"/>
              </w:rPr>
              <w:t xml:space="preserve"> </w:t>
            </w:r>
            <w:r w:rsidRPr="00817C2F">
              <w:rPr>
                <w:color w:val="231F20"/>
                <w:sz w:val="16"/>
                <w:szCs w:val="16"/>
              </w:rPr>
              <w:t>and</w:t>
            </w:r>
            <w:r w:rsidRPr="00817C2F">
              <w:rPr>
                <w:color w:val="231F20"/>
                <w:spacing w:val="-5"/>
                <w:sz w:val="16"/>
                <w:szCs w:val="16"/>
              </w:rPr>
              <w:t xml:space="preserve"> </w:t>
            </w:r>
            <w:r w:rsidRPr="00817C2F">
              <w:rPr>
                <w:color w:val="231F20"/>
                <w:sz w:val="16"/>
                <w:szCs w:val="16"/>
              </w:rPr>
              <w:t>variability</w:t>
            </w:r>
            <w:r w:rsidRPr="00817C2F">
              <w:rPr>
                <w:color w:val="231F20"/>
                <w:spacing w:val="-3"/>
                <w:sz w:val="16"/>
                <w:szCs w:val="16"/>
              </w:rPr>
              <w:t xml:space="preserve"> </w:t>
            </w:r>
            <w:r w:rsidRPr="00817C2F">
              <w:rPr>
                <w:color w:val="231F20"/>
                <w:sz w:val="16"/>
                <w:szCs w:val="16"/>
              </w:rPr>
              <w:t>of</w:t>
            </w:r>
            <w:r w:rsidRPr="00817C2F">
              <w:rPr>
                <w:color w:val="231F20"/>
                <w:spacing w:val="-5"/>
                <w:sz w:val="16"/>
                <w:szCs w:val="16"/>
              </w:rPr>
              <w:t xml:space="preserve"> </w:t>
            </w:r>
            <w:r w:rsidRPr="00817C2F">
              <w:rPr>
                <w:color w:val="231F20"/>
                <w:sz w:val="16"/>
                <w:szCs w:val="16"/>
              </w:rPr>
              <w:t>environmental</w:t>
            </w:r>
            <w:r w:rsidRPr="00817C2F">
              <w:rPr>
                <w:color w:val="231F20"/>
                <w:spacing w:val="-4"/>
                <w:sz w:val="16"/>
                <w:szCs w:val="16"/>
              </w:rPr>
              <w:t xml:space="preserve"> </w:t>
            </w:r>
            <w:r w:rsidRPr="00817C2F">
              <w:rPr>
                <w:color w:val="231F20"/>
                <w:sz w:val="16"/>
                <w:szCs w:val="16"/>
              </w:rPr>
              <w:t>flows</w:t>
            </w:r>
            <w:r w:rsidRPr="00817C2F">
              <w:rPr>
                <w:color w:val="231F20"/>
                <w:spacing w:val="-4"/>
                <w:sz w:val="16"/>
                <w:szCs w:val="16"/>
              </w:rPr>
              <w:t xml:space="preserve"> </w:t>
            </w:r>
            <w:r w:rsidRPr="00817C2F">
              <w:rPr>
                <w:color w:val="231F20"/>
                <w:sz w:val="16"/>
                <w:szCs w:val="16"/>
              </w:rPr>
              <w:t>to</w:t>
            </w:r>
            <w:r w:rsidRPr="00817C2F">
              <w:rPr>
                <w:color w:val="231F20"/>
                <w:spacing w:val="-3"/>
                <w:sz w:val="16"/>
                <w:szCs w:val="16"/>
              </w:rPr>
              <w:t xml:space="preserve"> </w:t>
            </w:r>
            <w:r w:rsidRPr="00817C2F">
              <w:rPr>
                <w:color w:val="231F20"/>
                <w:sz w:val="16"/>
                <w:szCs w:val="16"/>
              </w:rPr>
              <w:t>limit negative</w:t>
            </w:r>
            <w:r w:rsidRPr="00817C2F">
              <w:rPr>
                <w:color w:val="231F20"/>
                <w:spacing w:val="-2"/>
                <w:sz w:val="16"/>
                <w:szCs w:val="16"/>
              </w:rPr>
              <w:t xml:space="preserve"> </w:t>
            </w:r>
            <w:r w:rsidRPr="00817C2F">
              <w:rPr>
                <w:color w:val="231F20"/>
                <w:sz w:val="16"/>
                <w:szCs w:val="16"/>
              </w:rPr>
              <w:t>effects.</w:t>
            </w:r>
          </w:p>
          <w:p w:rsidR="006A7A3F" w:rsidRPr="00817C2F" w:rsidRDefault="00BC7372" w:rsidP="009B6917">
            <w:pPr>
              <w:pStyle w:val="TableParagraph"/>
              <w:numPr>
                <w:ilvl w:val="0"/>
                <w:numId w:val="1413"/>
              </w:numPr>
              <w:tabs>
                <w:tab w:val="left" w:pos="334"/>
              </w:tabs>
              <w:spacing w:before="30" w:line="254" w:lineRule="auto"/>
              <w:ind w:right="835"/>
              <w:rPr>
                <w:sz w:val="16"/>
                <w:szCs w:val="16"/>
              </w:rPr>
            </w:pPr>
            <w:r w:rsidRPr="00817C2F">
              <w:rPr>
                <w:color w:val="231F20"/>
                <w:sz w:val="16"/>
                <w:szCs w:val="16"/>
              </w:rPr>
              <w:t>Monitor</w:t>
            </w:r>
            <w:r w:rsidRPr="00817C2F">
              <w:rPr>
                <w:color w:val="231F20"/>
                <w:spacing w:val="-6"/>
                <w:sz w:val="16"/>
                <w:szCs w:val="16"/>
              </w:rPr>
              <w:t xml:space="preserve"> </w:t>
            </w:r>
            <w:r w:rsidRPr="00817C2F">
              <w:rPr>
                <w:color w:val="231F20"/>
                <w:sz w:val="16"/>
                <w:szCs w:val="16"/>
              </w:rPr>
              <w:t>environmental</w:t>
            </w:r>
            <w:r w:rsidRPr="00817C2F">
              <w:rPr>
                <w:color w:val="231F20"/>
                <w:spacing w:val="-6"/>
                <w:sz w:val="16"/>
                <w:szCs w:val="16"/>
              </w:rPr>
              <w:t xml:space="preserve"> </w:t>
            </w:r>
            <w:r w:rsidRPr="00817C2F">
              <w:rPr>
                <w:color w:val="231F20"/>
                <w:sz w:val="16"/>
                <w:szCs w:val="16"/>
              </w:rPr>
              <w:t>watering</w:t>
            </w:r>
            <w:r w:rsidRPr="00817C2F">
              <w:rPr>
                <w:color w:val="231F20"/>
                <w:spacing w:val="-6"/>
                <w:sz w:val="16"/>
                <w:szCs w:val="16"/>
              </w:rPr>
              <w:t xml:space="preserve"> </w:t>
            </w:r>
            <w:r w:rsidRPr="00817C2F">
              <w:rPr>
                <w:color w:val="231F20"/>
                <w:sz w:val="16"/>
                <w:szCs w:val="16"/>
              </w:rPr>
              <w:t>outcomes</w:t>
            </w:r>
            <w:r w:rsidRPr="00817C2F">
              <w:rPr>
                <w:color w:val="231F20"/>
                <w:spacing w:val="-6"/>
                <w:sz w:val="16"/>
                <w:szCs w:val="16"/>
              </w:rPr>
              <w:t xml:space="preserve"> </w:t>
            </w:r>
            <w:r w:rsidRPr="00817C2F">
              <w:rPr>
                <w:color w:val="231F20"/>
                <w:sz w:val="16"/>
                <w:szCs w:val="16"/>
              </w:rPr>
              <w:t>and</w:t>
            </w:r>
            <w:r w:rsidRPr="00817C2F">
              <w:rPr>
                <w:color w:val="231F20"/>
                <w:spacing w:val="-6"/>
                <w:sz w:val="16"/>
                <w:szCs w:val="16"/>
              </w:rPr>
              <w:t xml:space="preserve"> </w:t>
            </w:r>
            <w:r w:rsidRPr="00817C2F">
              <w:rPr>
                <w:color w:val="231F20"/>
                <w:sz w:val="16"/>
                <w:szCs w:val="16"/>
              </w:rPr>
              <w:t>adapt</w:t>
            </w:r>
            <w:r w:rsidRPr="00817C2F">
              <w:rPr>
                <w:color w:val="231F20"/>
                <w:spacing w:val="-6"/>
                <w:sz w:val="16"/>
                <w:szCs w:val="16"/>
              </w:rPr>
              <w:t xml:space="preserve"> </w:t>
            </w:r>
            <w:r w:rsidRPr="00817C2F">
              <w:rPr>
                <w:color w:val="231F20"/>
                <w:sz w:val="16"/>
                <w:szCs w:val="16"/>
              </w:rPr>
              <w:t>future</w:t>
            </w:r>
            <w:r w:rsidRPr="00817C2F">
              <w:rPr>
                <w:color w:val="231F20"/>
                <w:spacing w:val="-6"/>
                <w:sz w:val="16"/>
                <w:szCs w:val="16"/>
              </w:rPr>
              <w:t xml:space="preserve"> </w:t>
            </w:r>
            <w:r w:rsidRPr="00817C2F">
              <w:rPr>
                <w:color w:val="231F20"/>
                <w:sz w:val="16"/>
                <w:szCs w:val="16"/>
              </w:rPr>
              <w:t>deliveries</w:t>
            </w:r>
            <w:r w:rsidRPr="00817C2F">
              <w:rPr>
                <w:color w:val="231F20"/>
                <w:spacing w:val="-6"/>
                <w:sz w:val="16"/>
                <w:szCs w:val="16"/>
              </w:rPr>
              <w:t xml:space="preserve"> </w:t>
            </w:r>
            <w:r w:rsidRPr="00817C2F">
              <w:rPr>
                <w:color w:val="231F20"/>
                <w:sz w:val="16"/>
                <w:szCs w:val="16"/>
              </w:rPr>
              <w:t>and/or scientific recommendations if</w:t>
            </w:r>
            <w:r w:rsidRPr="00817C2F">
              <w:rPr>
                <w:color w:val="231F20"/>
                <w:spacing w:val="-1"/>
                <w:sz w:val="16"/>
                <w:szCs w:val="16"/>
              </w:rPr>
              <w:t xml:space="preserve"> </w:t>
            </w:r>
            <w:r w:rsidRPr="00817C2F">
              <w:rPr>
                <w:color w:val="231F20"/>
                <w:spacing w:val="-3"/>
                <w:sz w:val="16"/>
                <w:szCs w:val="16"/>
              </w:rPr>
              <w:t>necessary.</w:t>
            </w:r>
          </w:p>
        </w:tc>
      </w:tr>
    </w:tbl>
    <w:p w:rsidR="006A7A3F" w:rsidRDefault="00BC7372">
      <w:pPr>
        <w:pStyle w:val="BodyText"/>
        <w:spacing w:before="142" w:line="249" w:lineRule="auto"/>
        <w:ind w:right="195"/>
      </w:pPr>
      <w:r>
        <w:rPr>
          <w:color w:val="231F20"/>
        </w:rPr>
        <w:t>Even with best practice risk management controls, there may be unintended effects from environmental flows or situations where environmental flows cannot be delivered as planned. In those situations, program partners work together to respond to incidents and then learn and adapt their management of risks. The VEWH has developed an agreed approach to incident management to help program partners report, investigate and respond to risks.</w:t>
      </w:r>
    </w:p>
    <w:p w:rsidR="006A7A3F" w:rsidRDefault="006A7A3F">
      <w:pPr>
        <w:pStyle w:val="BodyText"/>
        <w:spacing w:before="3"/>
        <w:ind w:left="0"/>
      </w:pPr>
    </w:p>
    <w:p w:rsidR="006A7A3F" w:rsidRDefault="00BC7372" w:rsidP="009B6917">
      <w:pPr>
        <w:pStyle w:val="Heading4"/>
        <w:numPr>
          <w:ilvl w:val="2"/>
          <w:numId w:val="1416"/>
        </w:numPr>
        <w:tabs>
          <w:tab w:val="left" w:pos="931"/>
        </w:tabs>
        <w:ind w:left="930" w:hanging="721"/>
      </w:pPr>
      <w:r>
        <w:rPr>
          <w:color w:val="231F20"/>
        </w:rPr>
        <w:t>How are environmental watering emergencies</w:t>
      </w:r>
      <w:r>
        <w:rPr>
          <w:color w:val="231F20"/>
          <w:spacing w:val="-8"/>
        </w:rPr>
        <w:t xml:space="preserve"> </w:t>
      </w:r>
      <w:r>
        <w:rPr>
          <w:color w:val="231F20"/>
        </w:rPr>
        <w:t>managed?</w:t>
      </w:r>
    </w:p>
    <w:p w:rsidR="006A7A3F" w:rsidRDefault="00BC7372">
      <w:pPr>
        <w:pStyle w:val="BodyText"/>
        <w:spacing w:before="58" w:line="249" w:lineRule="auto"/>
        <w:ind w:right="286"/>
      </w:pPr>
      <w:r>
        <w:rPr>
          <w:color w:val="231F20"/>
        </w:rPr>
        <w:t>An emergency watering action is where water for the environment may be required to prevent, mitigate or respond to an acute environmental threat. Common threats are to water quality from low oxygen levels, toxic levels of blue- green algae, high temperatures or high salinity and water levels at a refuge habitat or breeding site that drop and pose an immediate risk to native aquatic biota.</w:t>
      </w:r>
    </w:p>
    <w:p w:rsidR="006A7A3F" w:rsidRDefault="00BC7372">
      <w:pPr>
        <w:pStyle w:val="BodyText"/>
        <w:spacing w:before="174" w:line="249" w:lineRule="auto"/>
        <w:ind w:right="452"/>
      </w:pPr>
      <w:r>
        <w:rPr>
          <w:color w:val="231F20"/>
        </w:rPr>
        <w:t>Due to the unpredictability of acute environmental threats, potential emergency watering actions may not be specifically described in sections 2 to 5 of this seasonal watering plan. The VEWH has developed an emergency watering procedure to allow unplanned emergency environmental watering actions to be taken at short notice.</w:t>
      </w:r>
    </w:p>
    <w:p w:rsidR="00F32FAC" w:rsidRDefault="00F32FAC">
      <w:pPr>
        <w:rPr>
          <w:sz w:val="20"/>
          <w:szCs w:val="20"/>
        </w:rPr>
      </w:pPr>
      <w:r>
        <w:rPr>
          <w:b/>
          <w:bCs/>
          <w:sz w:val="20"/>
          <w:szCs w:val="20"/>
        </w:rPr>
        <w:br w:type="page"/>
      </w:r>
    </w:p>
    <w:p w:rsidR="006A7A3F" w:rsidRDefault="00BC7372">
      <w:pPr>
        <w:pStyle w:val="Heading4"/>
      </w:pPr>
      <w:r>
        <w:rPr>
          <w:color w:val="231F20"/>
        </w:rPr>
        <w:t>Emergency watering procedure</w:t>
      </w:r>
    </w:p>
    <w:p w:rsidR="006A7A3F" w:rsidRDefault="00BC7372">
      <w:pPr>
        <w:pStyle w:val="BodyText"/>
        <w:spacing w:before="70"/>
      </w:pPr>
      <w:r>
        <w:rPr>
          <w:color w:val="231F20"/>
        </w:rPr>
        <w:t>Emergency environmental watering actions typically fall into two scenarios.</w:t>
      </w:r>
    </w:p>
    <w:p w:rsidR="006A7A3F" w:rsidRDefault="00BC7372" w:rsidP="009B6917">
      <w:pPr>
        <w:pStyle w:val="ListParagraph"/>
        <w:numPr>
          <w:ilvl w:val="0"/>
          <w:numId w:val="1419"/>
        </w:numPr>
        <w:tabs>
          <w:tab w:val="left" w:pos="493"/>
          <w:tab w:val="left" w:pos="494"/>
        </w:tabs>
        <w:spacing w:line="249" w:lineRule="auto"/>
        <w:ind w:right="283"/>
        <w:rPr>
          <w:sz w:val="20"/>
        </w:rPr>
      </w:pPr>
      <w:r>
        <w:rPr>
          <w:color w:val="231F20"/>
          <w:sz w:val="20"/>
        </w:rPr>
        <w:t>Where the required watering action is not described (adequately or at all) in the current seasonal watering plan, but there is a valid seasonal watering statement with water available that covers other watering actions for the affected system and authorises a total volume that is sufficient for the proposed emergency watering</w:t>
      </w:r>
      <w:r>
        <w:rPr>
          <w:color w:val="231F20"/>
          <w:spacing w:val="-38"/>
          <w:sz w:val="20"/>
        </w:rPr>
        <w:t xml:space="preserve"> </w:t>
      </w:r>
      <w:r>
        <w:rPr>
          <w:color w:val="231F20"/>
          <w:sz w:val="20"/>
        </w:rPr>
        <w:t>action.</w:t>
      </w:r>
    </w:p>
    <w:p w:rsidR="006A7A3F" w:rsidRDefault="00BC7372" w:rsidP="009B6917">
      <w:pPr>
        <w:pStyle w:val="ListParagraph"/>
        <w:numPr>
          <w:ilvl w:val="0"/>
          <w:numId w:val="1419"/>
        </w:numPr>
        <w:tabs>
          <w:tab w:val="left" w:pos="493"/>
          <w:tab w:val="left" w:pos="494"/>
        </w:tabs>
        <w:spacing w:before="88" w:line="249" w:lineRule="auto"/>
        <w:ind w:right="375"/>
        <w:rPr>
          <w:sz w:val="20"/>
        </w:rPr>
      </w:pPr>
      <w:r>
        <w:rPr>
          <w:color w:val="231F20"/>
          <w:sz w:val="20"/>
        </w:rPr>
        <w:t>Where there is no authorised seasonal watering statement for the affected system or there is insufficient water available under the seasonal watering statement to cover the proposed emergency watering</w:t>
      </w:r>
      <w:r>
        <w:rPr>
          <w:color w:val="231F20"/>
          <w:spacing w:val="-25"/>
          <w:sz w:val="20"/>
        </w:rPr>
        <w:t xml:space="preserve"> </w:t>
      </w:r>
      <w:r>
        <w:rPr>
          <w:color w:val="231F20"/>
          <w:sz w:val="20"/>
        </w:rPr>
        <w:t>action.</w:t>
      </w:r>
    </w:p>
    <w:p w:rsidR="006A7A3F" w:rsidRDefault="00BC7372">
      <w:pPr>
        <w:pStyle w:val="BodyText"/>
        <w:spacing w:line="249" w:lineRule="auto"/>
        <w:ind w:right="430"/>
      </w:pPr>
      <w:r>
        <w:rPr>
          <w:color w:val="231F20"/>
        </w:rPr>
        <w:t>Under the first scenario, waterway managers may reprioritise watering actions authorised under the existing seasonal watering statement to allow an emergency watering action to be delivered without impacting the overall resource. Under the second scenario, waterway managers must request an emergency seasonal watering statement from the VEWH before water for the environment can be used for an emergency watering action. The VEWH has administrative processes to support emergency environmental watering decisions and to expedite requests for emergency seasonal watering statements.</w:t>
      </w:r>
    </w:p>
    <w:p w:rsidR="00F32FAC" w:rsidRDefault="00F32FAC">
      <w:pPr>
        <w:rPr>
          <w:sz w:val="21"/>
          <w:szCs w:val="20"/>
        </w:rPr>
      </w:pPr>
      <w:r>
        <w:rPr>
          <w:sz w:val="21"/>
          <w:szCs w:val="20"/>
        </w:rPr>
        <w:br w:type="page"/>
      </w:r>
    </w:p>
    <w:p w:rsidR="006A7A3F" w:rsidRDefault="00BC7372" w:rsidP="009B6917">
      <w:pPr>
        <w:pStyle w:val="Heading1"/>
        <w:numPr>
          <w:ilvl w:val="1"/>
          <w:numId w:val="1421"/>
        </w:numPr>
        <w:tabs>
          <w:tab w:val="left" w:pos="911"/>
        </w:tabs>
        <w:ind w:left="910" w:hanging="701"/>
      </w:pPr>
      <w:r>
        <w:rPr>
          <w:color w:val="231F20"/>
        </w:rPr>
        <w:t>Managing available water for the</w:t>
      </w:r>
      <w:r>
        <w:rPr>
          <w:color w:val="231F20"/>
          <w:spacing w:val="-10"/>
        </w:rPr>
        <w:t xml:space="preserve"> </w:t>
      </w:r>
      <w:r>
        <w:rPr>
          <w:color w:val="231F20"/>
        </w:rPr>
        <w:t>environment</w:t>
      </w:r>
    </w:p>
    <w:p w:rsidR="006A7A3F" w:rsidRDefault="00BC7372">
      <w:pPr>
        <w:pStyle w:val="Heading2"/>
        <w:spacing w:line="249" w:lineRule="auto"/>
        <w:ind w:right="958"/>
        <w:jc w:val="both"/>
      </w:pPr>
      <w:r>
        <w:rPr>
          <w:color w:val="231F20"/>
        </w:rPr>
        <w:t>Environmental entitlements are held in 15 water supply systems across Victoria. Sections 2 to 5 detail where water made available under these entitlements may be delivered in 2020–21.</w:t>
      </w:r>
    </w:p>
    <w:p w:rsidR="006A7A3F" w:rsidRDefault="00BC7372">
      <w:pPr>
        <w:pStyle w:val="Heading4"/>
        <w:spacing w:before="207"/>
      </w:pPr>
      <w:r>
        <w:rPr>
          <w:color w:val="231F20"/>
        </w:rPr>
        <w:t>In this section ...</w:t>
      </w:r>
    </w:p>
    <w:p w:rsidR="006A7A3F" w:rsidRDefault="00BC7372" w:rsidP="009B6917">
      <w:pPr>
        <w:pStyle w:val="Heading7"/>
        <w:numPr>
          <w:ilvl w:val="2"/>
          <w:numId w:val="1421"/>
        </w:numPr>
        <w:tabs>
          <w:tab w:val="left" w:pos="930"/>
          <w:tab w:val="left" w:pos="931"/>
        </w:tabs>
        <w:spacing w:before="58"/>
        <w:ind w:hanging="721"/>
      </w:pPr>
      <w:r>
        <w:rPr>
          <w:color w:val="231F20"/>
        </w:rPr>
        <w:t>How much water is available to use as part of the Victorian environmental watering</w:t>
      </w:r>
      <w:r>
        <w:rPr>
          <w:color w:val="231F20"/>
          <w:spacing w:val="-20"/>
        </w:rPr>
        <w:t xml:space="preserve"> </w:t>
      </w:r>
      <w:r>
        <w:rPr>
          <w:color w:val="231F20"/>
        </w:rPr>
        <w:t>program?</w:t>
      </w:r>
    </w:p>
    <w:p w:rsidR="006A7A3F" w:rsidRDefault="00BC7372" w:rsidP="009B6917">
      <w:pPr>
        <w:pStyle w:val="ListParagraph"/>
        <w:numPr>
          <w:ilvl w:val="2"/>
          <w:numId w:val="1421"/>
        </w:numPr>
        <w:tabs>
          <w:tab w:val="left" w:pos="930"/>
          <w:tab w:val="left" w:pos="931"/>
        </w:tabs>
        <w:spacing w:before="10"/>
        <w:ind w:hanging="721"/>
        <w:rPr>
          <w:b/>
          <w:sz w:val="20"/>
        </w:rPr>
      </w:pPr>
      <w:r>
        <w:rPr>
          <w:b/>
          <w:color w:val="231F20"/>
          <w:sz w:val="20"/>
        </w:rPr>
        <w:t>What options are available to effectively and efficiently manage water for the</w:t>
      </w:r>
      <w:r>
        <w:rPr>
          <w:b/>
          <w:color w:val="231F20"/>
          <w:spacing w:val="-19"/>
          <w:sz w:val="20"/>
        </w:rPr>
        <w:t xml:space="preserve"> </w:t>
      </w:r>
      <w:r>
        <w:rPr>
          <w:b/>
          <w:color w:val="231F20"/>
          <w:sz w:val="20"/>
        </w:rPr>
        <w:t>environment?</w:t>
      </w:r>
    </w:p>
    <w:p w:rsidR="006A7A3F" w:rsidRDefault="00BC7372">
      <w:pPr>
        <w:pStyle w:val="BodyText"/>
        <w:spacing w:before="10" w:line="249" w:lineRule="auto"/>
        <w:ind w:right="286"/>
      </w:pPr>
      <w:r>
        <w:rPr>
          <w:color w:val="231F20"/>
        </w:rPr>
        <w:t>To the extent possible, the VEWH and other environmental water holders try to avoid water supply shortfalls by efficiently using water for the environment and by using tools such as carryover and trade. If there is still a shortfall of water, the VEWH in collaboration with waterway managers (and other water holders if relevant) will prioritise environmental watering actions.</w:t>
      </w:r>
    </w:p>
    <w:p w:rsidR="006A7A3F" w:rsidRDefault="006A7A3F">
      <w:pPr>
        <w:pStyle w:val="BodyText"/>
        <w:spacing w:before="2"/>
        <w:ind w:left="0"/>
      </w:pPr>
    </w:p>
    <w:p w:rsidR="006A7A3F" w:rsidRDefault="00BC7372" w:rsidP="009B6917">
      <w:pPr>
        <w:pStyle w:val="Heading4"/>
        <w:numPr>
          <w:ilvl w:val="2"/>
          <w:numId w:val="1412"/>
        </w:numPr>
        <w:tabs>
          <w:tab w:val="left" w:pos="931"/>
        </w:tabs>
        <w:spacing w:line="242" w:lineRule="auto"/>
        <w:ind w:right="221" w:firstLine="0"/>
      </w:pPr>
      <w:r>
        <w:rPr>
          <w:color w:val="231F20"/>
        </w:rPr>
        <w:t>How much water is available to use as part of the Victorian environmental watering program?</w:t>
      </w:r>
    </w:p>
    <w:p w:rsidR="006A7A3F" w:rsidRDefault="00BC7372">
      <w:pPr>
        <w:spacing w:before="116"/>
        <w:ind w:left="210"/>
        <w:rPr>
          <w:b/>
          <w:sz w:val="24"/>
        </w:rPr>
      </w:pPr>
      <w:r>
        <w:rPr>
          <w:b/>
          <w:color w:val="231F20"/>
          <w:sz w:val="24"/>
        </w:rPr>
        <w:t>VEWH environmental entitlements</w:t>
      </w:r>
    </w:p>
    <w:p w:rsidR="006A7A3F" w:rsidRDefault="00BC7372">
      <w:pPr>
        <w:pStyle w:val="BodyText"/>
        <w:spacing w:before="59" w:line="249" w:lineRule="auto"/>
        <w:ind w:right="100"/>
      </w:pPr>
      <w:r>
        <w:rPr>
          <w:color w:val="231F20"/>
          <w:spacing w:val="-3"/>
        </w:rPr>
        <w:t xml:space="preserve">Water </w:t>
      </w:r>
      <w:r>
        <w:rPr>
          <w:color w:val="231F20"/>
        </w:rPr>
        <w:t xml:space="preserve">for the environment is made available under the environmental entitlements held by the VEWH. </w:t>
      </w:r>
      <w:r>
        <w:rPr>
          <w:color w:val="231F20"/>
          <w:spacing w:val="-6"/>
        </w:rPr>
        <w:t xml:space="preserve">Table </w:t>
      </w:r>
      <w:r>
        <w:rPr>
          <w:color w:val="231F20"/>
        </w:rPr>
        <w:t xml:space="preserve">1.4.1 shows the entitlements held by the VEWH as at 31 May 2020, including those held in trust for the Living Murray program. The VEWH’s environmental entitlements can be viewed at </w:t>
      </w:r>
      <w:r>
        <w:rPr>
          <w:color w:val="205E9E"/>
          <w:spacing w:val="-7"/>
          <w:u w:val="single" w:color="205E9E"/>
        </w:rPr>
        <w:t>waterregister.vic.gov.au/water-entitlements/bulk-</w:t>
      </w:r>
      <w:r>
        <w:rPr>
          <w:color w:val="205E9E"/>
          <w:spacing w:val="-7"/>
        </w:rPr>
        <w:t xml:space="preserve"> </w:t>
      </w:r>
      <w:r>
        <w:rPr>
          <w:color w:val="205E9E"/>
          <w:spacing w:val="-7"/>
          <w:u w:val="single" w:color="205E9E"/>
        </w:rPr>
        <w:t>entitlements.</w:t>
      </w:r>
    </w:p>
    <w:p w:rsidR="006A7A3F" w:rsidRDefault="00BC7372">
      <w:pPr>
        <w:spacing w:before="168"/>
        <w:ind w:left="210"/>
        <w:rPr>
          <w:b/>
          <w:sz w:val="10"/>
        </w:rPr>
      </w:pPr>
      <w:r>
        <w:rPr>
          <w:b/>
          <w:color w:val="231F20"/>
          <w:sz w:val="18"/>
        </w:rPr>
        <w:t>Table 1.4.1 Environmental entitlements held by the VEWH (as at 6 May 2020)</w:t>
      </w:r>
      <w:r>
        <w:rPr>
          <w:b/>
          <w:color w:val="231F20"/>
          <w:position w:val="6"/>
          <w:sz w:val="10"/>
        </w:rPr>
        <w:t>1</w:t>
      </w:r>
    </w:p>
    <w:p w:rsidR="006A7A3F" w:rsidRDefault="006A7A3F">
      <w:pPr>
        <w:pStyle w:val="BodyText"/>
        <w:spacing w:before="6"/>
        <w:ind w:left="0"/>
        <w:rPr>
          <w:b/>
          <w:sz w:val="8"/>
        </w:rPr>
      </w:pPr>
    </w:p>
    <w:tbl>
      <w:tblPr>
        <w:tblW w:w="0" w:type="auto"/>
        <w:tblInd w:w="220"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361"/>
        <w:gridCol w:w="5670"/>
        <w:gridCol w:w="1305"/>
        <w:gridCol w:w="1872"/>
      </w:tblGrid>
      <w:tr w:rsidR="006A7A3F">
        <w:trPr>
          <w:trHeight w:val="572"/>
        </w:trPr>
        <w:tc>
          <w:tcPr>
            <w:tcW w:w="1361" w:type="dxa"/>
            <w:tcBorders>
              <w:bottom w:val="nil"/>
            </w:tcBorders>
            <w:shd w:val="clear" w:color="auto" w:fill="231F20"/>
          </w:tcPr>
          <w:p w:rsidR="006A7A3F" w:rsidRDefault="00BC7372">
            <w:pPr>
              <w:pStyle w:val="TableParagraph"/>
              <w:spacing w:before="70"/>
              <w:ind w:left="113"/>
              <w:rPr>
                <w:b/>
                <w:sz w:val="18"/>
              </w:rPr>
            </w:pPr>
            <w:r>
              <w:rPr>
                <w:b/>
                <w:color w:val="FFFFFF"/>
                <w:sz w:val="18"/>
              </w:rPr>
              <w:t>System</w:t>
            </w:r>
          </w:p>
        </w:tc>
        <w:tc>
          <w:tcPr>
            <w:tcW w:w="5670" w:type="dxa"/>
            <w:tcBorders>
              <w:bottom w:val="nil"/>
            </w:tcBorders>
            <w:shd w:val="clear" w:color="auto" w:fill="231F20"/>
          </w:tcPr>
          <w:p w:rsidR="006A7A3F" w:rsidRDefault="00BC7372">
            <w:pPr>
              <w:pStyle w:val="TableParagraph"/>
              <w:spacing w:before="70"/>
              <w:ind w:left="113"/>
              <w:rPr>
                <w:b/>
                <w:sz w:val="18"/>
              </w:rPr>
            </w:pPr>
            <w:r>
              <w:rPr>
                <w:b/>
                <w:color w:val="FFFFFF"/>
                <w:sz w:val="18"/>
              </w:rPr>
              <w:t>Entitlement</w:t>
            </w:r>
          </w:p>
        </w:tc>
        <w:tc>
          <w:tcPr>
            <w:tcW w:w="1305" w:type="dxa"/>
            <w:tcBorders>
              <w:bottom w:val="nil"/>
            </w:tcBorders>
            <w:shd w:val="clear" w:color="auto" w:fill="231F20"/>
          </w:tcPr>
          <w:p w:rsidR="006A7A3F" w:rsidRDefault="00BC7372">
            <w:pPr>
              <w:pStyle w:val="TableParagraph"/>
              <w:spacing w:before="70"/>
              <w:ind w:left="122"/>
              <w:rPr>
                <w:b/>
                <w:sz w:val="18"/>
              </w:rPr>
            </w:pPr>
            <w:r>
              <w:rPr>
                <w:b/>
                <w:color w:val="FFFFFF"/>
                <w:sz w:val="18"/>
              </w:rPr>
              <w:t>Volume (ML)</w:t>
            </w:r>
          </w:p>
        </w:tc>
        <w:tc>
          <w:tcPr>
            <w:tcW w:w="1872" w:type="dxa"/>
            <w:tcBorders>
              <w:bottom w:val="nil"/>
            </w:tcBorders>
            <w:shd w:val="clear" w:color="auto" w:fill="231F20"/>
          </w:tcPr>
          <w:p w:rsidR="006A7A3F" w:rsidRDefault="00BC7372">
            <w:pPr>
              <w:pStyle w:val="TableParagraph"/>
              <w:spacing w:before="70" w:line="254" w:lineRule="auto"/>
              <w:ind w:left="111" w:right="770"/>
              <w:rPr>
                <w:b/>
                <w:sz w:val="18"/>
              </w:rPr>
            </w:pPr>
            <w:r>
              <w:rPr>
                <w:b/>
                <w:color w:val="FFFFFF"/>
                <w:sz w:val="18"/>
              </w:rPr>
              <w:t>Class of entitlement</w:t>
            </w:r>
          </w:p>
        </w:tc>
      </w:tr>
      <w:tr w:rsidR="006A7A3F">
        <w:trPr>
          <w:trHeight w:val="338"/>
        </w:trPr>
        <w:tc>
          <w:tcPr>
            <w:tcW w:w="10208" w:type="dxa"/>
            <w:gridSpan w:val="4"/>
            <w:tcBorders>
              <w:top w:val="nil"/>
            </w:tcBorders>
            <w:shd w:val="clear" w:color="auto" w:fill="BCBEC0"/>
          </w:tcPr>
          <w:p w:rsidR="006A7A3F" w:rsidRDefault="00BC7372">
            <w:pPr>
              <w:pStyle w:val="TableParagraph"/>
              <w:spacing w:before="80"/>
              <w:ind w:left="113"/>
              <w:rPr>
                <w:b/>
                <w:sz w:val="16"/>
              </w:rPr>
            </w:pPr>
            <w:r>
              <w:rPr>
                <w:b/>
                <w:color w:val="231F20"/>
                <w:sz w:val="16"/>
              </w:rPr>
              <w:t>Central region</w:t>
            </w:r>
          </w:p>
        </w:tc>
      </w:tr>
      <w:tr w:rsidR="006A7A3F">
        <w:trPr>
          <w:trHeight w:val="333"/>
        </w:trPr>
        <w:tc>
          <w:tcPr>
            <w:tcW w:w="1361" w:type="dxa"/>
            <w:vMerge w:val="restart"/>
          </w:tcPr>
          <w:p w:rsidR="006A7A3F" w:rsidRDefault="00BC7372">
            <w:pPr>
              <w:pStyle w:val="TableParagraph"/>
              <w:spacing w:before="74"/>
              <w:ind w:left="113"/>
              <w:rPr>
                <w:sz w:val="16"/>
              </w:rPr>
            </w:pPr>
            <w:r>
              <w:rPr>
                <w:color w:val="231F20"/>
                <w:sz w:val="16"/>
              </w:rPr>
              <w:t>Barwon</w:t>
            </w:r>
          </w:p>
        </w:tc>
        <w:tc>
          <w:tcPr>
            <w:tcW w:w="5670" w:type="dxa"/>
          </w:tcPr>
          <w:p w:rsidR="006A7A3F" w:rsidRDefault="00BC7372">
            <w:pPr>
              <w:pStyle w:val="TableParagraph"/>
              <w:spacing w:before="74"/>
              <w:ind w:left="113"/>
              <w:rPr>
                <w:sz w:val="16"/>
              </w:rPr>
            </w:pPr>
            <w:r>
              <w:rPr>
                <w:color w:val="231F20"/>
                <w:sz w:val="16"/>
              </w:rPr>
              <w:t>Barwon River Environmental Entitlement 2011</w:t>
            </w:r>
          </w:p>
        </w:tc>
        <w:tc>
          <w:tcPr>
            <w:tcW w:w="1305" w:type="dxa"/>
          </w:tcPr>
          <w:p w:rsidR="006A7A3F" w:rsidRDefault="00BC7372">
            <w:pPr>
              <w:pStyle w:val="TableParagraph"/>
              <w:spacing w:before="74"/>
              <w:ind w:left="112"/>
              <w:rPr>
                <w:sz w:val="9"/>
              </w:rPr>
            </w:pPr>
            <w:r>
              <w:rPr>
                <w:color w:val="231F20"/>
                <w:sz w:val="16"/>
              </w:rPr>
              <w:t>N/A</w:t>
            </w:r>
            <w:r>
              <w:rPr>
                <w:color w:val="231F20"/>
                <w:position w:val="5"/>
                <w:sz w:val="9"/>
              </w:rPr>
              <w:t>2</w:t>
            </w:r>
          </w:p>
        </w:tc>
        <w:tc>
          <w:tcPr>
            <w:tcW w:w="1872" w:type="dxa"/>
          </w:tcPr>
          <w:p w:rsidR="006A7A3F" w:rsidRDefault="00BC7372">
            <w:pPr>
              <w:pStyle w:val="TableParagraph"/>
              <w:spacing w:before="74"/>
              <w:ind w:left="111"/>
              <w:rPr>
                <w:sz w:val="16"/>
              </w:rPr>
            </w:pPr>
            <w:r>
              <w:rPr>
                <w:color w:val="231F20"/>
                <w:sz w:val="16"/>
              </w:rPr>
              <w:t>Unregulated</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74"/>
              <w:ind w:left="113"/>
              <w:rPr>
                <w:sz w:val="16"/>
              </w:rPr>
            </w:pPr>
            <w:r>
              <w:rPr>
                <w:color w:val="231F20"/>
                <w:sz w:val="16"/>
              </w:rPr>
              <w:t>Upper Barwon River Environmental Entitlement 2018</w:t>
            </w:r>
          </w:p>
        </w:tc>
        <w:tc>
          <w:tcPr>
            <w:tcW w:w="1305" w:type="dxa"/>
          </w:tcPr>
          <w:p w:rsidR="006A7A3F" w:rsidRDefault="00BC7372">
            <w:pPr>
              <w:pStyle w:val="TableParagraph"/>
              <w:spacing w:before="74"/>
              <w:ind w:left="112"/>
              <w:rPr>
                <w:sz w:val="9"/>
              </w:rPr>
            </w:pPr>
            <w:r>
              <w:rPr>
                <w:color w:val="231F20"/>
                <w:sz w:val="16"/>
              </w:rPr>
              <w:t>2,000</w:t>
            </w:r>
            <w:r>
              <w:rPr>
                <w:color w:val="231F20"/>
                <w:position w:val="5"/>
                <w:sz w:val="9"/>
              </w:rPr>
              <w:t>3</w:t>
            </w:r>
          </w:p>
        </w:tc>
        <w:tc>
          <w:tcPr>
            <w:tcW w:w="1872" w:type="dxa"/>
          </w:tcPr>
          <w:p w:rsidR="006A7A3F" w:rsidRDefault="00BC7372">
            <w:pPr>
              <w:pStyle w:val="TableParagraph"/>
              <w:spacing w:before="74"/>
              <w:ind w:left="111"/>
              <w:rPr>
                <w:sz w:val="16"/>
              </w:rPr>
            </w:pPr>
            <w:r>
              <w:rPr>
                <w:color w:val="231F20"/>
                <w:sz w:val="16"/>
              </w:rPr>
              <w:t>Share of inflow</w:t>
            </w:r>
          </w:p>
        </w:tc>
      </w:tr>
      <w:tr w:rsidR="006A7A3F">
        <w:trPr>
          <w:trHeight w:val="333"/>
        </w:trPr>
        <w:tc>
          <w:tcPr>
            <w:tcW w:w="1361" w:type="dxa"/>
          </w:tcPr>
          <w:p w:rsidR="006A7A3F" w:rsidRDefault="00BC7372">
            <w:pPr>
              <w:pStyle w:val="TableParagraph"/>
              <w:spacing w:before="74"/>
              <w:ind w:left="113"/>
              <w:rPr>
                <w:sz w:val="16"/>
              </w:rPr>
            </w:pPr>
            <w:r>
              <w:rPr>
                <w:color w:val="231F20"/>
                <w:sz w:val="16"/>
              </w:rPr>
              <w:t>Moorabool</w:t>
            </w:r>
          </w:p>
        </w:tc>
        <w:tc>
          <w:tcPr>
            <w:tcW w:w="5670" w:type="dxa"/>
          </w:tcPr>
          <w:p w:rsidR="006A7A3F" w:rsidRDefault="00BC7372">
            <w:pPr>
              <w:pStyle w:val="TableParagraph"/>
              <w:spacing w:before="74"/>
              <w:ind w:left="113"/>
              <w:rPr>
                <w:sz w:val="16"/>
              </w:rPr>
            </w:pPr>
            <w:r>
              <w:rPr>
                <w:color w:val="231F20"/>
                <w:sz w:val="16"/>
              </w:rPr>
              <w:t>Moorabool River Environmental Entitlement 20104</w:t>
            </w:r>
          </w:p>
        </w:tc>
        <w:tc>
          <w:tcPr>
            <w:tcW w:w="1305" w:type="dxa"/>
          </w:tcPr>
          <w:p w:rsidR="006A7A3F" w:rsidRDefault="00BC7372">
            <w:pPr>
              <w:pStyle w:val="TableParagraph"/>
              <w:spacing w:before="74"/>
              <w:ind w:left="112"/>
              <w:rPr>
                <w:sz w:val="9"/>
              </w:rPr>
            </w:pPr>
            <w:r>
              <w:rPr>
                <w:color w:val="231F20"/>
                <w:sz w:val="16"/>
              </w:rPr>
              <w:t>7,086</w:t>
            </w:r>
            <w:r>
              <w:rPr>
                <w:color w:val="231F20"/>
                <w:position w:val="5"/>
                <w:sz w:val="9"/>
              </w:rPr>
              <w:t>3</w:t>
            </w:r>
          </w:p>
        </w:tc>
        <w:tc>
          <w:tcPr>
            <w:tcW w:w="1872" w:type="dxa"/>
          </w:tcPr>
          <w:p w:rsidR="006A7A3F" w:rsidRDefault="00BC7372">
            <w:pPr>
              <w:pStyle w:val="TableParagraph"/>
              <w:spacing w:before="74"/>
              <w:ind w:left="111"/>
              <w:rPr>
                <w:sz w:val="16"/>
              </w:rPr>
            </w:pPr>
            <w:r>
              <w:rPr>
                <w:color w:val="231F20"/>
                <w:sz w:val="16"/>
              </w:rPr>
              <w:t>Share of inflow</w:t>
            </w:r>
          </w:p>
        </w:tc>
      </w:tr>
      <w:tr w:rsidR="006A7A3F">
        <w:trPr>
          <w:trHeight w:val="333"/>
        </w:trPr>
        <w:tc>
          <w:tcPr>
            <w:tcW w:w="1361" w:type="dxa"/>
          </w:tcPr>
          <w:p w:rsidR="006A7A3F" w:rsidRDefault="00BC7372">
            <w:pPr>
              <w:pStyle w:val="TableParagraph"/>
              <w:spacing w:before="74"/>
              <w:ind w:left="113"/>
              <w:rPr>
                <w:sz w:val="16"/>
              </w:rPr>
            </w:pPr>
            <w:r>
              <w:rPr>
                <w:color w:val="231F20"/>
                <w:sz w:val="16"/>
              </w:rPr>
              <w:t>Tarago</w:t>
            </w:r>
          </w:p>
        </w:tc>
        <w:tc>
          <w:tcPr>
            <w:tcW w:w="5670" w:type="dxa"/>
          </w:tcPr>
          <w:p w:rsidR="006A7A3F" w:rsidRDefault="00BC7372">
            <w:pPr>
              <w:pStyle w:val="TableParagraph"/>
              <w:spacing w:before="74"/>
              <w:ind w:left="113"/>
              <w:rPr>
                <w:sz w:val="16"/>
              </w:rPr>
            </w:pPr>
            <w:r>
              <w:rPr>
                <w:color w:val="231F20"/>
                <w:sz w:val="16"/>
              </w:rPr>
              <w:t>Tarago and Bunyip Rivers Environmental Entitlement 2009</w:t>
            </w:r>
          </w:p>
        </w:tc>
        <w:tc>
          <w:tcPr>
            <w:tcW w:w="1305" w:type="dxa"/>
          </w:tcPr>
          <w:p w:rsidR="006A7A3F" w:rsidRDefault="00BC7372">
            <w:pPr>
              <w:pStyle w:val="TableParagraph"/>
              <w:spacing w:before="74"/>
              <w:ind w:left="112"/>
              <w:rPr>
                <w:sz w:val="9"/>
              </w:rPr>
            </w:pPr>
            <w:r>
              <w:rPr>
                <w:color w:val="231F20"/>
                <w:sz w:val="16"/>
              </w:rPr>
              <w:t>3,000</w:t>
            </w:r>
            <w:r>
              <w:rPr>
                <w:color w:val="231F20"/>
                <w:position w:val="5"/>
                <w:sz w:val="9"/>
              </w:rPr>
              <w:t>3</w:t>
            </w:r>
          </w:p>
        </w:tc>
        <w:tc>
          <w:tcPr>
            <w:tcW w:w="1872" w:type="dxa"/>
          </w:tcPr>
          <w:p w:rsidR="006A7A3F" w:rsidRDefault="00BC7372">
            <w:pPr>
              <w:pStyle w:val="TableParagraph"/>
              <w:spacing w:before="74"/>
              <w:ind w:left="111"/>
              <w:rPr>
                <w:sz w:val="16"/>
              </w:rPr>
            </w:pPr>
            <w:r>
              <w:rPr>
                <w:color w:val="231F20"/>
                <w:sz w:val="16"/>
              </w:rPr>
              <w:t>Share of inflow</w:t>
            </w:r>
          </w:p>
        </w:tc>
      </w:tr>
      <w:tr w:rsidR="006A7A3F">
        <w:trPr>
          <w:trHeight w:val="333"/>
        </w:trPr>
        <w:tc>
          <w:tcPr>
            <w:tcW w:w="1361" w:type="dxa"/>
          </w:tcPr>
          <w:p w:rsidR="006A7A3F" w:rsidRDefault="00BC7372">
            <w:pPr>
              <w:pStyle w:val="TableParagraph"/>
              <w:spacing w:before="74"/>
              <w:ind w:left="113"/>
              <w:rPr>
                <w:sz w:val="16"/>
              </w:rPr>
            </w:pPr>
            <w:r>
              <w:rPr>
                <w:color w:val="231F20"/>
                <w:sz w:val="16"/>
              </w:rPr>
              <w:t>Werribee</w:t>
            </w:r>
          </w:p>
        </w:tc>
        <w:tc>
          <w:tcPr>
            <w:tcW w:w="5670" w:type="dxa"/>
          </w:tcPr>
          <w:p w:rsidR="006A7A3F" w:rsidRDefault="00BC7372">
            <w:pPr>
              <w:pStyle w:val="TableParagraph"/>
              <w:spacing w:before="74"/>
              <w:ind w:left="113"/>
              <w:rPr>
                <w:sz w:val="16"/>
              </w:rPr>
            </w:pPr>
            <w:r>
              <w:rPr>
                <w:color w:val="231F20"/>
                <w:sz w:val="16"/>
              </w:rPr>
              <w:t>Werribee River Environmental Entitlement 2011</w:t>
            </w:r>
          </w:p>
        </w:tc>
        <w:tc>
          <w:tcPr>
            <w:tcW w:w="1305" w:type="dxa"/>
          </w:tcPr>
          <w:p w:rsidR="006A7A3F" w:rsidRDefault="00BC7372">
            <w:pPr>
              <w:pStyle w:val="TableParagraph"/>
              <w:spacing w:before="74"/>
              <w:ind w:left="112"/>
              <w:rPr>
                <w:sz w:val="9"/>
              </w:rPr>
            </w:pPr>
            <w:r>
              <w:rPr>
                <w:color w:val="231F20"/>
                <w:sz w:val="16"/>
              </w:rPr>
              <w:t>N/A</w:t>
            </w:r>
            <w:r>
              <w:rPr>
                <w:color w:val="231F20"/>
                <w:position w:val="5"/>
                <w:sz w:val="9"/>
              </w:rPr>
              <w:t>3</w:t>
            </w:r>
          </w:p>
        </w:tc>
        <w:tc>
          <w:tcPr>
            <w:tcW w:w="1872" w:type="dxa"/>
          </w:tcPr>
          <w:p w:rsidR="006A7A3F" w:rsidRDefault="00BC7372">
            <w:pPr>
              <w:pStyle w:val="TableParagraph"/>
              <w:spacing w:before="74"/>
              <w:ind w:left="111"/>
              <w:rPr>
                <w:sz w:val="16"/>
              </w:rPr>
            </w:pPr>
            <w:r>
              <w:rPr>
                <w:color w:val="231F20"/>
                <w:sz w:val="16"/>
              </w:rPr>
              <w:t>Share of inflow</w:t>
            </w:r>
          </w:p>
        </w:tc>
      </w:tr>
      <w:tr w:rsidR="006A7A3F">
        <w:trPr>
          <w:trHeight w:val="589"/>
        </w:trPr>
        <w:tc>
          <w:tcPr>
            <w:tcW w:w="1361" w:type="dxa"/>
          </w:tcPr>
          <w:p w:rsidR="006A7A3F" w:rsidRDefault="00BC7372">
            <w:pPr>
              <w:pStyle w:val="TableParagraph"/>
              <w:spacing w:before="74"/>
              <w:ind w:left="113"/>
              <w:rPr>
                <w:sz w:val="16"/>
              </w:rPr>
            </w:pPr>
            <w:r>
              <w:rPr>
                <w:color w:val="231F20"/>
                <w:sz w:val="16"/>
              </w:rPr>
              <w:t>Yarra</w:t>
            </w:r>
          </w:p>
        </w:tc>
        <w:tc>
          <w:tcPr>
            <w:tcW w:w="5670" w:type="dxa"/>
          </w:tcPr>
          <w:p w:rsidR="006A7A3F" w:rsidRDefault="00BC7372">
            <w:pPr>
              <w:pStyle w:val="TableParagraph"/>
              <w:spacing w:before="74"/>
              <w:ind w:left="113"/>
              <w:rPr>
                <w:sz w:val="9"/>
              </w:rPr>
            </w:pPr>
            <w:r>
              <w:rPr>
                <w:color w:val="231F20"/>
                <w:sz w:val="16"/>
              </w:rPr>
              <w:t>Yarra Environmental Entitlement 2006</w:t>
            </w:r>
            <w:r>
              <w:rPr>
                <w:color w:val="231F20"/>
                <w:position w:val="5"/>
                <w:sz w:val="9"/>
              </w:rPr>
              <w:t>4</w:t>
            </w:r>
          </w:p>
        </w:tc>
        <w:tc>
          <w:tcPr>
            <w:tcW w:w="1305" w:type="dxa"/>
          </w:tcPr>
          <w:p w:rsidR="006A7A3F" w:rsidRDefault="00BC7372">
            <w:pPr>
              <w:pStyle w:val="TableParagraph"/>
              <w:spacing w:before="74"/>
              <w:ind w:left="112"/>
              <w:rPr>
                <w:sz w:val="16"/>
              </w:rPr>
            </w:pPr>
            <w:r>
              <w:rPr>
                <w:color w:val="231F20"/>
                <w:sz w:val="16"/>
              </w:rPr>
              <w:t>17,000</w:t>
            </w:r>
          </w:p>
          <w:p w:rsidR="006A7A3F" w:rsidRDefault="00BC7372">
            <w:pPr>
              <w:pStyle w:val="TableParagraph"/>
              <w:spacing w:before="73"/>
              <w:ind w:left="112"/>
              <w:rPr>
                <w:sz w:val="16"/>
              </w:rPr>
            </w:pPr>
            <w:r>
              <w:rPr>
                <w:color w:val="231F20"/>
                <w:sz w:val="16"/>
              </w:rPr>
              <w:t>55</w:t>
            </w:r>
          </w:p>
        </w:tc>
        <w:tc>
          <w:tcPr>
            <w:tcW w:w="1872" w:type="dxa"/>
          </w:tcPr>
          <w:p w:rsidR="006A7A3F" w:rsidRDefault="00BC7372">
            <w:pPr>
              <w:pStyle w:val="TableParagraph"/>
              <w:spacing w:before="8" w:line="250" w:lineRule="atLeast"/>
              <w:ind w:left="111" w:right="859"/>
              <w:rPr>
                <w:sz w:val="16"/>
              </w:rPr>
            </w:pPr>
            <w:r>
              <w:rPr>
                <w:color w:val="231F20"/>
                <w:sz w:val="16"/>
              </w:rPr>
              <w:t>High Unregulated</w:t>
            </w:r>
          </w:p>
        </w:tc>
      </w:tr>
      <w:tr w:rsidR="006A7A3F">
        <w:trPr>
          <w:trHeight w:val="333"/>
        </w:trPr>
        <w:tc>
          <w:tcPr>
            <w:tcW w:w="10208" w:type="dxa"/>
            <w:gridSpan w:val="4"/>
            <w:shd w:val="clear" w:color="auto" w:fill="BCBEC0"/>
          </w:tcPr>
          <w:p w:rsidR="006A7A3F" w:rsidRDefault="00BC7372">
            <w:pPr>
              <w:pStyle w:val="TableParagraph"/>
              <w:spacing w:before="74"/>
              <w:ind w:left="113"/>
              <w:rPr>
                <w:b/>
                <w:sz w:val="16"/>
              </w:rPr>
            </w:pPr>
            <w:r>
              <w:rPr>
                <w:b/>
                <w:color w:val="231F20"/>
                <w:sz w:val="16"/>
              </w:rPr>
              <w:t>Gippsland region</w:t>
            </w:r>
          </w:p>
        </w:tc>
      </w:tr>
      <w:tr w:rsidR="006A7A3F">
        <w:trPr>
          <w:trHeight w:val="333"/>
        </w:trPr>
        <w:tc>
          <w:tcPr>
            <w:tcW w:w="1361" w:type="dxa"/>
            <w:vMerge w:val="restart"/>
          </w:tcPr>
          <w:p w:rsidR="006A7A3F" w:rsidRDefault="00BC7372">
            <w:pPr>
              <w:pStyle w:val="TableParagraph"/>
              <w:spacing w:before="74"/>
              <w:ind w:left="113"/>
              <w:rPr>
                <w:sz w:val="16"/>
              </w:rPr>
            </w:pPr>
            <w:r>
              <w:rPr>
                <w:color w:val="231F20"/>
                <w:sz w:val="16"/>
              </w:rPr>
              <w:t>Latrobe</w:t>
            </w:r>
          </w:p>
        </w:tc>
        <w:tc>
          <w:tcPr>
            <w:tcW w:w="5670" w:type="dxa"/>
          </w:tcPr>
          <w:p w:rsidR="006A7A3F" w:rsidRDefault="00BC7372">
            <w:pPr>
              <w:pStyle w:val="TableParagraph"/>
              <w:spacing w:before="74"/>
              <w:ind w:left="113"/>
              <w:rPr>
                <w:sz w:val="16"/>
              </w:rPr>
            </w:pPr>
            <w:r>
              <w:rPr>
                <w:color w:val="231F20"/>
                <w:sz w:val="16"/>
              </w:rPr>
              <w:t>Lower Latrobe Wetlands Environmental Entitlement 2010</w:t>
            </w:r>
          </w:p>
        </w:tc>
        <w:tc>
          <w:tcPr>
            <w:tcW w:w="1305" w:type="dxa"/>
          </w:tcPr>
          <w:p w:rsidR="006A7A3F" w:rsidRDefault="00BC7372">
            <w:pPr>
              <w:pStyle w:val="TableParagraph"/>
              <w:spacing w:before="74"/>
              <w:ind w:left="112"/>
              <w:rPr>
                <w:sz w:val="9"/>
              </w:rPr>
            </w:pPr>
            <w:r>
              <w:rPr>
                <w:color w:val="231F20"/>
                <w:sz w:val="16"/>
              </w:rPr>
              <w:t>N/A</w:t>
            </w:r>
            <w:r>
              <w:rPr>
                <w:color w:val="231F20"/>
                <w:position w:val="5"/>
                <w:sz w:val="9"/>
              </w:rPr>
              <w:t>2</w:t>
            </w:r>
          </w:p>
        </w:tc>
        <w:tc>
          <w:tcPr>
            <w:tcW w:w="1872" w:type="dxa"/>
          </w:tcPr>
          <w:p w:rsidR="006A7A3F" w:rsidRDefault="00BC7372">
            <w:pPr>
              <w:pStyle w:val="TableParagraph"/>
              <w:spacing w:before="74"/>
              <w:ind w:left="111"/>
              <w:rPr>
                <w:sz w:val="16"/>
              </w:rPr>
            </w:pPr>
            <w:r>
              <w:rPr>
                <w:color w:val="231F20"/>
                <w:sz w:val="16"/>
              </w:rPr>
              <w:t>Unregulated</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74"/>
              <w:ind w:left="113"/>
              <w:rPr>
                <w:sz w:val="16"/>
              </w:rPr>
            </w:pPr>
            <w:r>
              <w:rPr>
                <w:color w:val="231F20"/>
                <w:sz w:val="16"/>
              </w:rPr>
              <w:t>Blue Rock Environmental Entitlement 2013</w:t>
            </w:r>
          </w:p>
        </w:tc>
        <w:tc>
          <w:tcPr>
            <w:tcW w:w="1305" w:type="dxa"/>
          </w:tcPr>
          <w:p w:rsidR="006A7A3F" w:rsidRDefault="00BC7372">
            <w:pPr>
              <w:pStyle w:val="TableParagraph"/>
              <w:spacing w:before="74"/>
              <w:ind w:left="112"/>
              <w:rPr>
                <w:sz w:val="9"/>
              </w:rPr>
            </w:pPr>
            <w:r>
              <w:rPr>
                <w:color w:val="231F20"/>
                <w:sz w:val="16"/>
              </w:rPr>
              <w:t>18,737</w:t>
            </w:r>
            <w:r>
              <w:rPr>
                <w:color w:val="231F20"/>
                <w:position w:val="5"/>
                <w:sz w:val="9"/>
              </w:rPr>
              <w:t>3</w:t>
            </w:r>
          </w:p>
        </w:tc>
        <w:tc>
          <w:tcPr>
            <w:tcW w:w="1872" w:type="dxa"/>
          </w:tcPr>
          <w:p w:rsidR="006A7A3F" w:rsidRDefault="00BC7372">
            <w:pPr>
              <w:pStyle w:val="TableParagraph"/>
              <w:spacing w:before="74"/>
              <w:ind w:left="111"/>
              <w:rPr>
                <w:sz w:val="16"/>
              </w:rPr>
            </w:pPr>
            <w:r>
              <w:rPr>
                <w:color w:val="231F20"/>
                <w:sz w:val="16"/>
              </w:rPr>
              <w:t>Share of inflow</w:t>
            </w:r>
          </w:p>
        </w:tc>
      </w:tr>
      <w:tr w:rsidR="006A7A3F">
        <w:trPr>
          <w:trHeight w:val="589"/>
        </w:trPr>
        <w:tc>
          <w:tcPr>
            <w:tcW w:w="1361" w:type="dxa"/>
          </w:tcPr>
          <w:p w:rsidR="006A7A3F" w:rsidRDefault="00BC7372">
            <w:pPr>
              <w:pStyle w:val="TableParagraph"/>
              <w:spacing w:before="74"/>
              <w:ind w:left="113"/>
              <w:rPr>
                <w:sz w:val="16"/>
              </w:rPr>
            </w:pPr>
            <w:r>
              <w:rPr>
                <w:color w:val="231F20"/>
                <w:sz w:val="16"/>
              </w:rPr>
              <w:t>Macalister</w:t>
            </w:r>
          </w:p>
        </w:tc>
        <w:tc>
          <w:tcPr>
            <w:tcW w:w="5670" w:type="dxa"/>
          </w:tcPr>
          <w:p w:rsidR="006A7A3F" w:rsidRDefault="00BC7372">
            <w:pPr>
              <w:pStyle w:val="TableParagraph"/>
              <w:spacing w:before="74"/>
              <w:ind w:left="113"/>
              <w:rPr>
                <w:sz w:val="16"/>
              </w:rPr>
            </w:pPr>
            <w:r>
              <w:rPr>
                <w:color w:val="231F20"/>
                <w:sz w:val="16"/>
              </w:rPr>
              <w:t>Macalister River Environmental Entitlement 2010</w:t>
            </w:r>
          </w:p>
        </w:tc>
        <w:tc>
          <w:tcPr>
            <w:tcW w:w="1305" w:type="dxa"/>
          </w:tcPr>
          <w:p w:rsidR="006A7A3F" w:rsidRDefault="00BC7372">
            <w:pPr>
              <w:pStyle w:val="TableParagraph"/>
              <w:spacing w:before="74"/>
              <w:ind w:left="112"/>
              <w:rPr>
                <w:sz w:val="16"/>
              </w:rPr>
            </w:pPr>
            <w:r>
              <w:rPr>
                <w:color w:val="231F20"/>
                <w:sz w:val="16"/>
              </w:rPr>
              <w:t>12,461</w:t>
            </w:r>
          </w:p>
          <w:p w:rsidR="006A7A3F" w:rsidRDefault="00BC7372">
            <w:pPr>
              <w:pStyle w:val="TableParagraph"/>
              <w:spacing w:before="73"/>
              <w:ind w:left="112"/>
              <w:rPr>
                <w:sz w:val="16"/>
              </w:rPr>
            </w:pPr>
            <w:r>
              <w:rPr>
                <w:color w:val="231F20"/>
                <w:sz w:val="16"/>
              </w:rPr>
              <w:t>6,230</w:t>
            </w:r>
          </w:p>
        </w:tc>
        <w:tc>
          <w:tcPr>
            <w:tcW w:w="1872" w:type="dxa"/>
          </w:tcPr>
          <w:p w:rsidR="006A7A3F" w:rsidRDefault="00BC7372">
            <w:pPr>
              <w:pStyle w:val="TableParagraph"/>
              <w:spacing w:before="8" w:line="250" w:lineRule="atLeast"/>
              <w:ind w:left="111" w:right="1401"/>
              <w:rPr>
                <w:sz w:val="16"/>
              </w:rPr>
            </w:pPr>
            <w:r>
              <w:rPr>
                <w:color w:val="231F20"/>
                <w:sz w:val="16"/>
              </w:rPr>
              <w:t>High Low</w:t>
            </w:r>
          </w:p>
        </w:tc>
      </w:tr>
    </w:tbl>
    <w:p w:rsidR="006A7A3F" w:rsidRDefault="006A7A3F">
      <w:pPr>
        <w:spacing w:line="250" w:lineRule="atLeast"/>
        <w:rPr>
          <w:sz w:val="16"/>
        </w:rPr>
        <w:sectPr w:rsidR="006A7A3F" w:rsidSect="00C92D74">
          <w:footerReference w:type="even" r:id="rId23"/>
          <w:footerReference w:type="default" r:id="rId24"/>
          <w:pgSz w:w="11910" w:h="16840"/>
          <w:pgMar w:top="1701" w:right="851" w:bottom="1134" w:left="851" w:header="720" w:footer="720" w:gutter="0"/>
          <w:cols w:space="720"/>
        </w:sectPr>
      </w:pPr>
    </w:p>
    <w:tbl>
      <w:tblPr>
        <w:tblW w:w="0" w:type="auto"/>
        <w:tblInd w:w="220"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361"/>
        <w:gridCol w:w="5670"/>
        <w:gridCol w:w="1305"/>
        <w:gridCol w:w="1872"/>
      </w:tblGrid>
      <w:tr w:rsidR="006A7A3F">
        <w:trPr>
          <w:trHeight w:val="572"/>
        </w:trPr>
        <w:tc>
          <w:tcPr>
            <w:tcW w:w="1361" w:type="dxa"/>
            <w:tcBorders>
              <w:bottom w:val="nil"/>
            </w:tcBorders>
            <w:shd w:val="clear" w:color="auto" w:fill="231F20"/>
          </w:tcPr>
          <w:p w:rsidR="006A7A3F" w:rsidRDefault="00BC7372">
            <w:pPr>
              <w:pStyle w:val="TableParagraph"/>
              <w:spacing w:before="63"/>
              <w:ind w:left="113"/>
              <w:rPr>
                <w:b/>
                <w:sz w:val="18"/>
              </w:rPr>
            </w:pPr>
            <w:r>
              <w:rPr>
                <w:b/>
                <w:color w:val="FFFFFF"/>
                <w:sz w:val="18"/>
              </w:rPr>
              <w:t>System</w:t>
            </w:r>
          </w:p>
        </w:tc>
        <w:tc>
          <w:tcPr>
            <w:tcW w:w="5670" w:type="dxa"/>
            <w:tcBorders>
              <w:bottom w:val="nil"/>
            </w:tcBorders>
            <w:shd w:val="clear" w:color="auto" w:fill="231F20"/>
          </w:tcPr>
          <w:p w:rsidR="006A7A3F" w:rsidRDefault="00BC7372">
            <w:pPr>
              <w:pStyle w:val="TableParagraph"/>
              <w:spacing w:before="63"/>
              <w:ind w:left="113"/>
              <w:rPr>
                <w:b/>
                <w:sz w:val="18"/>
              </w:rPr>
            </w:pPr>
            <w:r>
              <w:rPr>
                <w:b/>
                <w:color w:val="FFFFFF"/>
                <w:sz w:val="18"/>
              </w:rPr>
              <w:t>Entitlement</w:t>
            </w:r>
          </w:p>
        </w:tc>
        <w:tc>
          <w:tcPr>
            <w:tcW w:w="1305" w:type="dxa"/>
            <w:tcBorders>
              <w:bottom w:val="nil"/>
            </w:tcBorders>
            <w:shd w:val="clear" w:color="auto" w:fill="231F20"/>
          </w:tcPr>
          <w:p w:rsidR="006A7A3F" w:rsidRDefault="00BC7372">
            <w:pPr>
              <w:pStyle w:val="TableParagraph"/>
              <w:spacing w:before="63"/>
              <w:ind w:left="122"/>
              <w:rPr>
                <w:b/>
                <w:sz w:val="18"/>
              </w:rPr>
            </w:pPr>
            <w:r>
              <w:rPr>
                <w:b/>
                <w:color w:val="FFFFFF"/>
                <w:sz w:val="18"/>
              </w:rPr>
              <w:t>Volume (ML)</w:t>
            </w:r>
          </w:p>
        </w:tc>
        <w:tc>
          <w:tcPr>
            <w:tcW w:w="1872" w:type="dxa"/>
            <w:tcBorders>
              <w:bottom w:val="nil"/>
            </w:tcBorders>
            <w:shd w:val="clear" w:color="auto" w:fill="231F20"/>
          </w:tcPr>
          <w:p w:rsidR="006A7A3F" w:rsidRDefault="00BC7372">
            <w:pPr>
              <w:pStyle w:val="TableParagraph"/>
              <w:spacing w:before="63" w:line="254" w:lineRule="auto"/>
              <w:ind w:left="111" w:right="770"/>
              <w:rPr>
                <w:b/>
                <w:sz w:val="18"/>
              </w:rPr>
            </w:pPr>
            <w:r>
              <w:rPr>
                <w:b/>
                <w:color w:val="FFFFFF"/>
                <w:sz w:val="18"/>
              </w:rPr>
              <w:t>Class of entitlement</w:t>
            </w:r>
          </w:p>
        </w:tc>
      </w:tr>
      <w:tr w:rsidR="006A7A3F">
        <w:trPr>
          <w:trHeight w:val="594"/>
        </w:trPr>
        <w:tc>
          <w:tcPr>
            <w:tcW w:w="1361" w:type="dxa"/>
            <w:tcBorders>
              <w:top w:val="nil"/>
            </w:tcBorders>
          </w:tcPr>
          <w:p w:rsidR="006A7A3F" w:rsidRDefault="00BC7372">
            <w:pPr>
              <w:pStyle w:val="TableParagraph"/>
              <w:spacing w:before="72"/>
              <w:ind w:left="113"/>
              <w:rPr>
                <w:sz w:val="16"/>
              </w:rPr>
            </w:pPr>
            <w:r>
              <w:rPr>
                <w:color w:val="231F20"/>
                <w:sz w:val="16"/>
              </w:rPr>
              <w:t>Thomson</w:t>
            </w:r>
          </w:p>
        </w:tc>
        <w:tc>
          <w:tcPr>
            <w:tcW w:w="5670" w:type="dxa"/>
            <w:tcBorders>
              <w:top w:val="nil"/>
            </w:tcBorders>
          </w:tcPr>
          <w:p w:rsidR="006A7A3F" w:rsidRDefault="00BC7372">
            <w:pPr>
              <w:pStyle w:val="TableParagraph"/>
              <w:spacing w:before="72" w:line="261" w:lineRule="auto"/>
              <w:ind w:left="113" w:right="2059"/>
              <w:rPr>
                <w:sz w:val="9"/>
              </w:rPr>
            </w:pPr>
            <w:r>
              <w:rPr>
                <w:color w:val="231F20"/>
                <w:sz w:val="16"/>
              </w:rPr>
              <w:t>Bulk Entitlement (Thomson River – Environment) Order 2005</w:t>
            </w:r>
            <w:r>
              <w:rPr>
                <w:color w:val="231F20"/>
                <w:position w:val="5"/>
                <w:sz w:val="9"/>
              </w:rPr>
              <w:t>4</w:t>
            </w:r>
          </w:p>
        </w:tc>
        <w:tc>
          <w:tcPr>
            <w:tcW w:w="1305" w:type="dxa"/>
            <w:tcBorders>
              <w:top w:val="nil"/>
            </w:tcBorders>
          </w:tcPr>
          <w:p w:rsidR="006A7A3F" w:rsidRDefault="00BC7372">
            <w:pPr>
              <w:pStyle w:val="TableParagraph"/>
              <w:spacing w:before="72"/>
              <w:ind w:left="112"/>
              <w:rPr>
                <w:sz w:val="16"/>
              </w:rPr>
            </w:pPr>
            <w:r>
              <w:rPr>
                <w:color w:val="231F20"/>
                <w:sz w:val="16"/>
              </w:rPr>
              <w:t>10,000</w:t>
            </w:r>
          </w:p>
          <w:p w:rsidR="006A7A3F" w:rsidRDefault="00BC7372">
            <w:pPr>
              <w:pStyle w:val="TableParagraph"/>
              <w:spacing w:before="73"/>
              <w:ind w:left="112"/>
              <w:rPr>
                <w:sz w:val="9"/>
              </w:rPr>
            </w:pPr>
            <w:r>
              <w:rPr>
                <w:color w:val="231F20"/>
                <w:sz w:val="16"/>
              </w:rPr>
              <w:t>8,000</w:t>
            </w:r>
            <w:r>
              <w:rPr>
                <w:color w:val="231F20"/>
                <w:position w:val="5"/>
                <w:sz w:val="9"/>
              </w:rPr>
              <w:t>3</w:t>
            </w:r>
          </w:p>
        </w:tc>
        <w:tc>
          <w:tcPr>
            <w:tcW w:w="1872" w:type="dxa"/>
            <w:tcBorders>
              <w:top w:val="nil"/>
            </w:tcBorders>
          </w:tcPr>
          <w:p w:rsidR="006A7A3F" w:rsidRDefault="00BC7372">
            <w:pPr>
              <w:pStyle w:val="TableParagraph"/>
              <w:spacing w:before="72"/>
              <w:ind w:left="111"/>
              <w:rPr>
                <w:sz w:val="16"/>
              </w:rPr>
            </w:pPr>
            <w:r>
              <w:rPr>
                <w:color w:val="231F20"/>
                <w:sz w:val="16"/>
              </w:rPr>
              <w:t>High</w:t>
            </w:r>
          </w:p>
          <w:p w:rsidR="006A7A3F" w:rsidRDefault="00BC7372">
            <w:pPr>
              <w:pStyle w:val="TableParagraph"/>
              <w:spacing w:before="73"/>
              <w:ind w:left="111"/>
              <w:rPr>
                <w:sz w:val="16"/>
              </w:rPr>
            </w:pPr>
            <w:r>
              <w:rPr>
                <w:color w:val="231F20"/>
                <w:sz w:val="16"/>
              </w:rPr>
              <w:t>Share of inflow</w:t>
            </w:r>
          </w:p>
        </w:tc>
      </w:tr>
      <w:tr w:rsidR="006A7A3F">
        <w:trPr>
          <w:trHeight w:val="333"/>
        </w:trPr>
        <w:tc>
          <w:tcPr>
            <w:tcW w:w="10208" w:type="dxa"/>
            <w:gridSpan w:val="4"/>
            <w:shd w:val="clear" w:color="auto" w:fill="BCBEC0"/>
          </w:tcPr>
          <w:p w:rsidR="006A7A3F" w:rsidRDefault="00BC7372">
            <w:pPr>
              <w:pStyle w:val="TableParagraph"/>
              <w:spacing w:before="67"/>
              <w:ind w:left="113"/>
              <w:rPr>
                <w:b/>
                <w:sz w:val="16"/>
              </w:rPr>
            </w:pPr>
            <w:r>
              <w:rPr>
                <w:b/>
                <w:color w:val="231F20"/>
                <w:sz w:val="16"/>
              </w:rPr>
              <w:t>Western region</w:t>
            </w:r>
          </w:p>
        </w:tc>
      </w:tr>
      <w:tr w:rsidR="006A7A3F">
        <w:trPr>
          <w:trHeight w:val="589"/>
        </w:trPr>
        <w:tc>
          <w:tcPr>
            <w:tcW w:w="1361" w:type="dxa"/>
          </w:tcPr>
          <w:p w:rsidR="006A7A3F" w:rsidRDefault="00BC7372">
            <w:pPr>
              <w:pStyle w:val="TableParagraph"/>
              <w:spacing w:before="67" w:line="261" w:lineRule="auto"/>
              <w:ind w:left="113" w:right="222"/>
              <w:rPr>
                <w:sz w:val="16"/>
              </w:rPr>
            </w:pPr>
            <w:r>
              <w:rPr>
                <w:color w:val="231F20"/>
                <w:sz w:val="16"/>
              </w:rPr>
              <w:t>Wimmera and Glenelg</w:t>
            </w:r>
          </w:p>
        </w:tc>
        <w:tc>
          <w:tcPr>
            <w:tcW w:w="5670" w:type="dxa"/>
          </w:tcPr>
          <w:p w:rsidR="006A7A3F" w:rsidRDefault="00BC7372">
            <w:pPr>
              <w:pStyle w:val="TableParagraph"/>
              <w:spacing w:before="67"/>
              <w:ind w:left="113"/>
              <w:rPr>
                <w:sz w:val="9"/>
              </w:rPr>
            </w:pPr>
            <w:r>
              <w:rPr>
                <w:color w:val="231F20"/>
                <w:sz w:val="16"/>
              </w:rPr>
              <w:t>Wimmera and Glenelg Rivers Environmental Entitlement 2010</w:t>
            </w:r>
            <w:r>
              <w:rPr>
                <w:color w:val="231F20"/>
                <w:position w:val="5"/>
                <w:sz w:val="9"/>
              </w:rPr>
              <w:t>4,5</w:t>
            </w:r>
          </w:p>
        </w:tc>
        <w:tc>
          <w:tcPr>
            <w:tcW w:w="1305" w:type="dxa"/>
          </w:tcPr>
          <w:p w:rsidR="006A7A3F" w:rsidRDefault="00BC7372">
            <w:pPr>
              <w:pStyle w:val="TableParagraph"/>
              <w:spacing w:before="67"/>
              <w:ind w:left="112"/>
              <w:rPr>
                <w:sz w:val="16"/>
              </w:rPr>
            </w:pPr>
            <w:r>
              <w:rPr>
                <w:color w:val="231F20"/>
                <w:sz w:val="16"/>
              </w:rPr>
              <w:t>40,560</w:t>
            </w:r>
          </w:p>
          <w:p w:rsidR="006A7A3F" w:rsidRDefault="00BC7372">
            <w:pPr>
              <w:pStyle w:val="TableParagraph"/>
              <w:spacing w:before="73"/>
              <w:ind w:left="112"/>
              <w:rPr>
                <w:sz w:val="16"/>
              </w:rPr>
            </w:pPr>
            <w:r>
              <w:rPr>
                <w:color w:val="231F20"/>
                <w:sz w:val="16"/>
              </w:rPr>
              <w:t>1,000</w:t>
            </w:r>
          </w:p>
        </w:tc>
        <w:tc>
          <w:tcPr>
            <w:tcW w:w="1872" w:type="dxa"/>
          </w:tcPr>
          <w:p w:rsidR="006A7A3F" w:rsidRDefault="00BC7372">
            <w:pPr>
              <w:pStyle w:val="TableParagraph"/>
              <w:spacing w:before="12" w:line="256" w:lineRule="exact"/>
              <w:ind w:left="111" w:right="36"/>
              <w:rPr>
                <w:sz w:val="16"/>
              </w:rPr>
            </w:pPr>
            <w:r>
              <w:rPr>
                <w:color w:val="231F20"/>
                <w:sz w:val="16"/>
              </w:rPr>
              <w:t>Pipeline product Wetland product</w:t>
            </w:r>
          </w:p>
        </w:tc>
      </w:tr>
      <w:tr w:rsidR="006A7A3F">
        <w:trPr>
          <w:trHeight w:val="333"/>
        </w:trPr>
        <w:tc>
          <w:tcPr>
            <w:tcW w:w="10208" w:type="dxa"/>
            <w:gridSpan w:val="4"/>
            <w:shd w:val="clear" w:color="auto" w:fill="BCBEC0"/>
          </w:tcPr>
          <w:p w:rsidR="006A7A3F" w:rsidRDefault="00BC7372">
            <w:pPr>
              <w:pStyle w:val="TableParagraph"/>
              <w:spacing w:before="67"/>
              <w:ind w:left="113"/>
              <w:rPr>
                <w:b/>
                <w:sz w:val="16"/>
              </w:rPr>
            </w:pPr>
            <w:r>
              <w:rPr>
                <w:b/>
                <w:color w:val="231F20"/>
                <w:sz w:val="16"/>
              </w:rPr>
              <w:t>Northern region</w:t>
            </w:r>
          </w:p>
        </w:tc>
      </w:tr>
      <w:tr w:rsidR="006A7A3F">
        <w:trPr>
          <w:trHeight w:val="589"/>
        </w:trPr>
        <w:tc>
          <w:tcPr>
            <w:tcW w:w="1361" w:type="dxa"/>
          </w:tcPr>
          <w:p w:rsidR="006A7A3F" w:rsidRDefault="00BC7372">
            <w:pPr>
              <w:pStyle w:val="TableParagraph"/>
              <w:spacing w:before="67"/>
              <w:ind w:left="113"/>
              <w:rPr>
                <w:sz w:val="16"/>
              </w:rPr>
            </w:pPr>
            <w:r>
              <w:rPr>
                <w:color w:val="231F20"/>
                <w:sz w:val="16"/>
              </w:rPr>
              <w:t>Broken</w:t>
            </w:r>
          </w:p>
        </w:tc>
        <w:tc>
          <w:tcPr>
            <w:tcW w:w="5670" w:type="dxa"/>
          </w:tcPr>
          <w:p w:rsidR="006A7A3F" w:rsidRDefault="00BC7372">
            <w:pPr>
              <w:pStyle w:val="TableParagraph"/>
              <w:spacing w:before="67"/>
              <w:ind w:left="113"/>
              <w:rPr>
                <w:sz w:val="16"/>
              </w:rPr>
            </w:pPr>
            <w:r>
              <w:rPr>
                <w:color w:val="231F20"/>
                <w:sz w:val="16"/>
              </w:rPr>
              <w:t>Water shares</w:t>
            </w:r>
          </w:p>
        </w:tc>
        <w:tc>
          <w:tcPr>
            <w:tcW w:w="1305" w:type="dxa"/>
          </w:tcPr>
          <w:p w:rsidR="006A7A3F" w:rsidRDefault="00BC7372">
            <w:pPr>
              <w:pStyle w:val="TableParagraph"/>
              <w:spacing w:before="67"/>
              <w:ind w:left="112"/>
              <w:rPr>
                <w:sz w:val="16"/>
              </w:rPr>
            </w:pPr>
            <w:r>
              <w:rPr>
                <w:color w:val="231F20"/>
                <w:sz w:val="16"/>
              </w:rPr>
              <w:t>90</w:t>
            </w:r>
          </w:p>
          <w:p w:rsidR="006A7A3F" w:rsidRDefault="00BC7372">
            <w:pPr>
              <w:pStyle w:val="TableParagraph"/>
              <w:spacing w:before="73"/>
              <w:ind w:left="112"/>
              <w:rPr>
                <w:sz w:val="16"/>
              </w:rPr>
            </w:pPr>
            <w:r>
              <w:rPr>
                <w:color w:val="231F20"/>
                <w:sz w:val="16"/>
              </w:rPr>
              <w:t>19</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589"/>
        </w:trPr>
        <w:tc>
          <w:tcPr>
            <w:tcW w:w="1361" w:type="dxa"/>
            <w:vMerge w:val="restart"/>
          </w:tcPr>
          <w:p w:rsidR="006A7A3F" w:rsidRDefault="00BC7372">
            <w:pPr>
              <w:pStyle w:val="TableParagraph"/>
              <w:spacing w:before="67"/>
              <w:ind w:left="113"/>
              <w:rPr>
                <w:sz w:val="16"/>
              </w:rPr>
            </w:pPr>
            <w:r>
              <w:rPr>
                <w:color w:val="231F20"/>
                <w:sz w:val="16"/>
              </w:rPr>
              <w:t>Campaspe</w:t>
            </w:r>
          </w:p>
        </w:tc>
        <w:tc>
          <w:tcPr>
            <w:tcW w:w="5670" w:type="dxa"/>
          </w:tcPr>
          <w:p w:rsidR="006A7A3F" w:rsidRDefault="00BC7372">
            <w:pPr>
              <w:pStyle w:val="TableParagraph"/>
              <w:spacing w:before="67"/>
              <w:ind w:left="113"/>
              <w:rPr>
                <w:sz w:val="16"/>
              </w:rPr>
            </w:pPr>
            <w:r>
              <w:rPr>
                <w:color w:val="231F20"/>
                <w:sz w:val="16"/>
              </w:rPr>
              <w:t>Environmental Entitlement (Campaspe River – Living Murray Initiative) 2007</w:t>
            </w:r>
          </w:p>
        </w:tc>
        <w:tc>
          <w:tcPr>
            <w:tcW w:w="1305" w:type="dxa"/>
          </w:tcPr>
          <w:p w:rsidR="006A7A3F" w:rsidRDefault="00BC7372">
            <w:pPr>
              <w:pStyle w:val="TableParagraph"/>
              <w:spacing w:before="67"/>
              <w:ind w:left="112"/>
              <w:rPr>
                <w:sz w:val="16"/>
              </w:rPr>
            </w:pPr>
            <w:r>
              <w:rPr>
                <w:color w:val="231F20"/>
                <w:sz w:val="16"/>
              </w:rPr>
              <w:t>126</w:t>
            </w:r>
          </w:p>
          <w:p w:rsidR="006A7A3F" w:rsidRDefault="00BC7372">
            <w:pPr>
              <w:pStyle w:val="TableParagraph"/>
              <w:spacing w:before="73"/>
              <w:ind w:left="112"/>
              <w:rPr>
                <w:sz w:val="16"/>
              </w:rPr>
            </w:pPr>
            <w:r>
              <w:rPr>
                <w:color w:val="231F20"/>
                <w:sz w:val="16"/>
              </w:rPr>
              <w:t>5,048</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589"/>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Campaspe River Environmental Entitlement 2013</w:t>
            </w:r>
          </w:p>
        </w:tc>
        <w:tc>
          <w:tcPr>
            <w:tcW w:w="1305" w:type="dxa"/>
          </w:tcPr>
          <w:p w:rsidR="006A7A3F" w:rsidRDefault="00BC7372">
            <w:pPr>
              <w:pStyle w:val="TableParagraph"/>
              <w:spacing w:before="67"/>
              <w:ind w:left="112"/>
              <w:rPr>
                <w:sz w:val="16"/>
              </w:rPr>
            </w:pPr>
            <w:r>
              <w:rPr>
                <w:color w:val="231F20"/>
                <w:sz w:val="16"/>
              </w:rPr>
              <w:t>20,652</w:t>
            </w:r>
          </w:p>
          <w:p w:rsidR="006A7A3F" w:rsidRDefault="00BC7372">
            <w:pPr>
              <w:pStyle w:val="TableParagraph"/>
              <w:spacing w:before="73"/>
              <w:ind w:left="112"/>
              <w:rPr>
                <w:sz w:val="16"/>
              </w:rPr>
            </w:pPr>
            <w:r>
              <w:rPr>
                <w:color w:val="231F20"/>
                <w:sz w:val="16"/>
              </w:rPr>
              <w:t>2,966</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589"/>
        </w:trPr>
        <w:tc>
          <w:tcPr>
            <w:tcW w:w="1361" w:type="dxa"/>
            <w:vMerge w:val="restart"/>
          </w:tcPr>
          <w:p w:rsidR="006A7A3F" w:rsidRDefault="00BC7372">
            <w:pPr>
              <w:pStyle w:val="TableParagraph"/>
              <w:spacing w:before="67"/>
              <w:ind w:left="113"/>
              <w:rPr>
                <w:sz w:val="16"/>
              </w:rPr>
            </w:pPr>
            <w:r>
              <w:rPr>
                <w:color w:val="231F20"/>
                <w:sz w:val="16"/>
              </w:rPr>
              <w:t>Goulburn</w:t>
            </w:r>
          </w:p>
        </w:tc>
        <w:tc>
          <w:tcPr>
            <w:tcW w:w="5670" w:type="dxa"/>
          </w:tcPr>
          <w:p w:rsidR="006A7A3F" w:rsidRDefault="00BC7372">
            <w:pPr>
              <w:pStyle w:val="TableParagraph"/>
              <w:spacing w:before="67"/>
              <w:ind w:left="113"/>
              <w:rPr>
                <w:sz w:val="16"/>
              </w:rPr>
            </w:pPr>
            <w:r>
              <w:rPr>
                <w:color w:val="231F20"/>
                <w:sz w:val="16"/>
              </w:rPr>
              <w:t>Goulburn River Environmental Entitlement 2010</w:t>
            </w:r>
          </w:p>
        </w:tc>
        <w:tc>
          <w:tcPr>
            <w:tcW w:w="1305" w:type="dxa"/>
          </w:tcPr>
          <w:p w:rsidR="006A7A3F" w:rsidRDefault="00BC7372">
            <w:pPr>
              <w:pStyle w:val="TableParagraph"/>
              <w:spacing w:before="67"/>
              <w:ind w:left="112"/>
              <w:rPr>
                <w:sz w:val="16"/>
              </w:rPr>
            </w:pPr>
            <w:r>
              <w:rPr>
                <w:color w:val="231F20"/>
                <w:sz w:val="16"/>
              </w:rPr>
              <w:t>26,555</w:t>
            </w:r>
          </w:p>
          <w:p w:rsidR="006A7A3F" w:rsidRDefault="00BC7372">
            <w:pPr>
              <w:pStyle w:val="TableParagraph"/>
              <w:spacing w:before="73"/>
              <w:ind w:left="112"/>
              <w:rPr>
                <w:sz w:val="16"/>
              </w:rPr>
            </w:pPr>
            <w:r>
              <w:rPr>
                <w:color w:val="231F20"/>
                <w:sz w:val="16"/>
              </w:rPr>
              <w:t>5,792</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589"/>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Environmental Entitlement (Goulburn System – Living Murray) 2007</w:t>
            </w:r>
          </w:p>
        </w:tc>
        <w:tc>
          <w:tcPr>
            <w:tcW w:w="1305" w:type="dxa"/>
          </w:tcPr>
          <w:p w:rsidR="006A7A3F" w:rsidRDefault="00BC7372">
            <w:pPr>
              <w:pStyle w:val="TableParagraph"/>
              <w:spacing w:before="67"/>
              <w:ind w:left="112"/>
              <w:rPr>
                <w:sz w:val="16"/>
              </w:rPr>
            </w:pPr>
            <w:r>
              <w:rPr>
                <w:color w:val="231F20"/>
                <w:sz w:val="16"/>
              </w:rPr>
              <w:t>39,625</w:t>
            </w:r>
          </w:p>
          <w:p w:rsidR="006A7A3F" w:rsidRDefault="00BC7372">
            <w:pPr>
              <w:pStyle w:val="TableParagraph"/>
              <w:spacing w:before="73"/>
              <w:ind w:left="112"/>
              <w:rPr>
                <w:sz w:val="16"/>
              </w:rPr>
            </w:pPr>
            <w:r>
              <w:rPr>
                <w:color w:val="231F20"/>
                <w:sz w:val="16"/>
              </w:rPr>
              <w:t>156,980</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Environmental Entitlement (Goulburn System – NVIRP Stage 1) 2012</w:t>
            </w:r>
          </w:p>
        </w:tc>
        <w:tc>
          <w:tcPr>
            <w:tcW w:w="1305" w:type="dxa"/>
          </w:tcPr>
          <w:p w:rsidR="006A7A3F" w:rsidRDefault="00BC7372">
            <w:pPr>
              <w:pStyle w:val="TableParagraph"/>
              <w:spacing w:before="67"/>
              <w:ind w:left="112"/>
              <w:rPr>
                <w:sz w:val="9"/>
              </w:rPr>
            </w:pPr>
            <w:r>
              <w:rPr>
                <w:color w:val="231F20"/>
                <w:sz w:val="16"/>
              </w:rPr>
              <w:t>1,398</w:t>
            </w:r>
            <w:r>
              <w:rPr>
                <w:color w:val="231F20"/>
                <w:position w:val="5"/>
                <w:sz w:val="9"/>
              </w:rPr>
              <w:t>6</w:t>
            </w:r>
          </w:p>
        </w:tc>
        <w:tc>
          <w:tcPr>
            <w:tcW w:w="1872" w:type="dxa"/>
          </w:tcPr>
          <w:p w:rsidR="006A7A3F" w:rsidRDefault="00BC7372">
            <w:pPr>
              <w:pStyle w:val="TableParagraph"/>
              <w:spacing w:before="67"/>
              <w:ind w:left="111"/>
              <w:rPr>
                <w:sz w:val="16"/>
              </w:rPr>
            </w:pPr>
            <w:r>
              <w:rPr>
                <w:color w:val="231F20"/>
                <w:sz w:val="16"/>
              </w:rPr>
              <w:t>High</w:t>
            </w:r>
          </w:p>
        </w:tc>
      </w:tr>
      <w:tr w:rsidR="006A7A3F">
        <w:trPr>
          <w:trHeight w:val="589"/>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line="261" w:lineRule="auto"/>
              <w:ind w:left="113" w:right="164"/>
              <w:rPr>
                <w:sz w:val="16"/>
              </w:rPr>
            </w:pPr>
            <w:r>
              <w:rPr>
                <w:color w:val="231F20"/>
                <w:sz w:val="16"/>
              </w:rPr>
              <w:t>Bulk Entitlement (Goulburn System – Snowy Environmental Reserve) Order 2004</w:t>
            </w:r>
          </w:p>
        </w:tc>
        <w:tc>
          <w:tcPr>
            <w:tcW w:w="1305" w:type="dxa"/>
          </w:tcPr>
          <w:p w:rsidR="006A7A3F" w:rsidRDefault="00BC7372">
            <w:pPr>
              <w:pStyle w:val="TableParagraph"/>
              <w:spacing w:before="67"/>
              <w:ind w:left="112"/>
              <w:rPr>
                <w:sz w:val="16"/>
              </w:rPr>
            </w:pPr>
            <w:r>
              <w:rPr>
                <w:color w:val="231F20"/>
                <w:sz w:val="16"/>
              </w:rPr>
              <w:t>30,252</w:t>
            </w:r>
          </w:p>
          <w:p w:rsidR="006A7A3F" w:rsidRDefault="00BC7372">
            <w:pPr>
              <w:pStyle w:val="TableParagraph"/>
              <w:spacing w:before="73"/>
              <w:ind w:left="112"/>
              <w:rPr>
                <w:sz w:val="16"/>
              </w:rPr>
            </w:pPr>
            <w:r>
              <w:rPr>
                <w:color w:val="231F20"/>
                <w:sz w:val="16"/>
              </w:rPr>
              <w:t>8,156</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589"/>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Water Shares – Snowy River Environmental Reserve</w:t>
            </w:r>
          </w:p>
        </w:tc>
        <w:tc>
          <w:tcPr>
            <w:tcW w:w="1305" w:type="dxa"/>
          </w:tcPr>
          <w:p w:rsidR="006A7A3F" w:rsidRDefault="00BC7372">
            <w:pPr>
              <w:pStyle w:val="TableParagraph"/>
              <w:spacing w:before="67"/>
              <w:ind w:left="112"/>
              <w:rPr>
                <w:sz w:val="16"/>
              </w:rPr>
            </w:pPr>
            <w:r>
              <w:rPr>
                <w:color w:val="231F20"/>
                <w:sz w:val="16"/>
              </w:rPr>
              <w:t>8,321</w:t>
            </w:r>
          </w:p>
          <w:p w:rsidR="006A7A3F" w:rsidRDefault="00BC7372">
            <w:pPr>
              <w:pStyle w:val="TableParagraph"/>
              <w:spacing w:before="73"/>
              <w:ind w:left="112"/>
              <w:rPr>
                <w:sz w:val="16"/>
              </w:rPr>
            </w:pPr>
            <w:r>
              <w:rPr>
                <w:color w:val="231F20"/>
                <w:sz w:val="16"/>
              </w:rPr>
              <w:t>17,852</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Water Shares – Living Murray program</w:t>
            </w:r>
          </w:p>
        </w:tc>
        <w:tc>
          <w:tcPr>
            <w:tcW w:w="1305" w:type="dxa"/>
          </w:tcPr>
          <w:p w:rsidR="006A7A3F" w:rsidRDefault="00BC7372">
            <w:pPr>
              <w:pStyle w:val="TableParagraph"/>
              <w:spacing w:before="67"/>
              <w:ind w:left="112"/>
              <w:rPr>
                <w:sz w:val="16"/>
              </w:rPr>
            </w:pPr>
            <w:r>
              <w:rPr>
                <w:color w:val="231F20"/>
                <w:sz w:val="16"/>
              </w:rPr>
              <w:t>5,559</w:t>
            </w:r>
          </w:p>
        </w:tc>
        <w:tc>
          <w:tcPr>
            <w:tcW w:w="1872" w:type="dxa"/>
          </w:tcPr>
          <w:p w:rsidR="006A7A3F" w:rsidRDefault="00BC7372">
            <w:pPr>
              <w:pStyle w:val="TableParagraph"/>
              <w:spacing w:before="67"/>
              <w:ind w:left="111"/>
              <w:rPr>
                <w:sz w:val="16"/>
              </w:rPr>
            </w:pPr>
            <w:r>
              <w:rPr>
                <w:color w:val="231F20"/>
                <w:sz w:val="16"/>
              </w:rPr>
              <w:t>High</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9"/>
              </w:rPr>
            </w:pPr>
            <w:r>
              <w:rPr>
                <w:color w:val="231F20"/>
                <w:sz w:val="16"/>
              </w:rPr>
              <w:t>Silver and Wallaby Creeks Environmental Entitlement 2006</w:t>
            </w:r>
            <w:r>
              <w:rPr>
                <w:color w:val="231F20"/>
                <w:position w:val="5"/>
                <w:sz w:val="9"/>
              </w:rPr>
              <w:t>4</w:t>
            </w:r>
          </w:p>
        </w:tc>
        <w:tc>
          <w:tcPr>
            <w:tcW w:w="1305" w:type="dxa"/>
          </w:tcPr>
          <w:p w:rsidR="006A7A3F" w:rsidRDefault="00BC7372">
            <w:pPr>
              <w:pStyle w:val="TableParagraph"/>
              <w:spacing w:before="67"/>
              <w:ind w:left="112"/>
              <w:rPr>
                <w:sz w:val="16"/>
              </w:rPr>
            </w:pPr>
            <w:r>
              <w:rPr>
                <w:color w:val="231F20"/>
                <w:sz w:val="16"/>
              </w:rPr>
              <w:t>N/A</w:t>
            </w:r>
          </w:p>
        </w:tc>
        <w:tc>
          <w:tcPr>
            <w:tcW w:w="1872" w:type="dxa"/>
          </w:tcPr>
          <w:p w:rsidR="006A7A3F" w:rsidRDefault="00BC7372">
            <w:pPr>
              <w:pStyle w:val="TableParagraph"/>
              <w:spacing w:before="67"/>
              <w:ind w:left="111"/>
              <w:rPr>
                <w:sz w:val="16"/>
              </w:rPr>
            </w:pPr>
            <w:r>
              <w:rPr>
                <w:color w:val="231F20"/>
                <w:sz w:val="16"/>
              </w:rPr>
              <w:t>Passing flow only</w:t>
            </w:r>
          </w:p>
        </w:tc>
      </w:tr>
      <w:tr w:rsidR="006A7A3F">
        <w:trPr>
          <w:trHeight w:val="589"/>
        </w:trPr>
        <w:tc>
          <w:tcPr>
            <w:tcW w:w="1361" w:type="dxa"/>
            <w:vMerge w:val="restart"/>
          </w:tcPr>
          <w:p w:rsidR="006A7A3F" w:rsidRDefault="00BC7372">
            <w:pPr>
              <w:pStyle w:val="TableParagraph"/>
              <w:spacing w:before="67"/>
              <w:ind w:left="113"/>
              <w:rPr>
                <w:sz w:val="16"/>
              </w:rPr>
            </w:pPr>
            <w:r>
              <w:rPr>
                <w:color w:val="231F20"/>
                <w:sz w:val="16"/>
              </w:rPr>
              <w:t>Loddon</w:t>
            </w:r>
          </w:p>
        </w:tc>
        <w:tc>
          <w:tcPr>
            <w:tcW w:w="5670" w:type="dxa"/>
          </w:tcPr>
          <w:p w:rsidR="006A7A3F" w:rsidRDefault="00BC7372">
            <w:pPr>
              <w:pStyle w:val="TableParagraph"/>
              <w:spacing w:before="67" w:line="261" w:lineRule="auto"/>
              <w:ind w:left="113" w:right="1427"/>
              <w:rPr>
                <w:sz w:val="9"/>
              </w:rPr>
            </w:pPr>
            <w:r>
              <w:rPr>
                <w:color w:val="231F20"/>
                <w:sz w:val="16"/>
              </w:rPr>
              <w:t>Bulk Entitlement (Loddon River – Environmental Reserve) Order 2005</w:t>
            </w:r>
            <w:r>
              <w:rPr>
                <w:color w:val="231F20"/>
                <w:position w:val="5"/>
                <w:sz w:val="9"/>
              </w:rPr>
              <w:t>4</w:t>
            </w:r>
          </w:p>
        </w:tc>
        <w:tc>
          <w:tcPr>
            <w:tcW w:w="1305" w:type="dxa"/>
          </w:tcPr>
          <w:p w:rsidR="006A7A3F" w:rsidRDefault="00BC7372">
            <w:pPr>
              <w:pStyle w:val="TableParagraph"/>
              <w:spacing w:before="67"/>
              <w:ind w:left="112"/>
              <w:rPr>
                <w:sz w:val="16"/>
              </w:rPr>
            </w:pPr>
            <w:r>
              <w:rPr>
                <w:color w:val="231F20"/>
                <w:sz w:val="16"/>
              </w:rPr>
              <w:t>10,970</w:t>
            </w:r>
          </w:p>
          <w:p w:rsidR="006A7A3F" w:rsidRDefault="00BC7372">
            <w:pPr>
              <w:pStyle w:val="TableParagraph"/>
              <w:spacing w:before="73"/>
              <w:ind w:left="112"/>
              <w:rPr>
                <w:sz w:val="16"/>
              </w:rPr>
            </w:pPr>
            <w:r>
              <w:rPr>
                <w:color w:val="231F20"/>
                <w:sz w:val="16"/>
              </w:rPr>
              <w:t>2,024</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9"/>
              </w:rPr>
            </w:pPr>
            <w:r>
              <w:rPr>
                <w:color w:val="231F20"/>
                <w:sz w:val="16"/>
              </w:rPr>
              <w:t>Environmental Entitlement (Birch Creek – Bullarook System) 2009</w:t>
            </w:r>
            <w:r>
              <w:rPr>
                <w:color w:val="231F20"/>
                <w:position w:val="5"/>
                <w:sz w:val="9"/>
              </w:rPr>
              <w:t>4</w:t>
            </w:r>
          </w:p>
        </w:tc>
        <w:tc>
          <w:tcPr>
            <w:tcW w:w="1305" w:type="dxa"/>
          </w:tcPr>
          <w:p w:rsidR="006A7A3F" w:rsidRDefault="00BC7372">
            <w:pPr>
              <w:pStyle w:val="TableParagraph"/>
              <w:spacing w:before="67"/>
              <w:ind w:left="112"/>
              <w:rPr>
                <w:sz w:val="16"/>
              </w:rPr>
            </w:pPr>
            <w:r>
              <w:rPr>
                <w:color w:val="231F20"/>
                <w:sz w:val="16"/>
              </w:rPr>
              <w:t>100</w:t>
            </w:r>
          </w:p>
        </w:tc>
        <w:tc>
          <w:tcPr>
            <w:tcW w:w="1872" w:type="dxa"/>
          </w:tcPr>
          <w:p w:rsidR="006A7A3F" w:rsidRDefault="00BC7372">
            <w:pPr>
              <w:pStyle w:val="TableParagraph"/>
              <w:spacing w:before="67"/>
              <w:ind w:left="111"/>
              <w:rPr>
                <w:sz w:val="9"/>
              </w:rPr>
            </w:pPr>
            <w:r>
              <w:rPr>
                <w:color w:val="231F20"/>
                <w:sz w:val="16"/>
              </w:rPr>
              <w:t>N/A</w:t>
            </w:r>
            <w:r>
              <w:rPr>
                <w:color w:val="231F20"/>
                <w:position w:val="5"/>
                <w:sz w:val="9"/>
              </w:rPr>
              <w:t>7</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Water Shares – Snowy River Environmental Reserve</w:t>
            </w:r>
          </w:p>
        </w:tc>
        <w:tc>
          <w:tcPr>
            <w:tcW w:w="1305" w:type="dxa"/>
          </w:tcPr>
          <w:p w:rsidR="006A7A3F" w:rsidRDefault="00BC7372">
            <w:pPr>
              <w:pStyle w:val="TableParagraph"/>
              <w:spacing w:before="67"/>
              <w:ind w:left="112"/>
              <w:rPr>
                <w:sz w:val="16"/>
              </w:rPr>
            </w:pPr>
            <w:r>
              <w:rPr>
                <w:color w:val="231F20"/>
                <w:sz w:val="16"/>
              </w:rPr>
              <w:t>470</w:t>
            </w:r>
          </w:p>
        </w:tc>
        <w:tc>
          <w:tcPr>
            <w:tcW w:w="1872" w:type="dxa"/>
          </w:tcPr>
          <w:p w:rsidR="006A7A3F" w:rsidRDefault="00BC7372">
            <w:pPr>
              <w:pStyle w:val="TableParagraph"/>
              <w:spacing w:before="67"/>
              <w:ind w:left="111"/>
              <w:rPr>
                <w:sz w:val="16"/>
              </w:rPr>
            </w:pPr>
            <w:r>
              <w:rPr>
                <w:color w:val="231F20"/>
                <w:sz w:val="16"/>
              </w:rPr>
              <w:t>High</w:t>
            </w:r>
          </w:p>
        </w:tc>
      </w:tr>
      <w:tr w:rsidR="006A7A3F">
        <w:trPr>
          <w:trHeight w:val="846"/>
        </w:trPr>
        <w:tc>
          <w:tcPr>
            <w:tcW w:w="1361" w:type="dxa"/>
            <w:vMerge w:val="restart"/>
          </w:tcPr>
          <w:p w:rsidR="006A7A3F" w:rsidRDefault="00BC7372">
            <w:pPr>
              <w:pStyle w:val="TableParagraph"/>
              <w:spacing w:before="67"/>
              <w:ind w:left="113"/>
              <w:rPr>
                <w:sz w:val="16"/>
              </w:rPr>
            </w:pPr>
            <w:r>
              <w:rPr>
                <w:color w:val="231F20"/>
                <w:sz w:val="16"/>
              </w:rPr>
              <w:t>Murray</w:t>
            </w:r>
          </w:p>
        </w:tc>
        <w:tc>
          <w:tcPr>
            <w:tcW w:w="5670" w:type="dxa"/>
          </w:tcPr>
          <w:p w:rsidR="006A7A3F" w:rsidRDefault="00BC7372">
            <w:pPr>
              <w:pStyle w:val="TableParagraph"/>
              <w:spacing w:before="67" w:line="261" w:lineRule="auto"/>
              <w:ind w:left="113" w:right="1098"/>
              <w:rPr>
                <w:sz w:val="16"/>
              </w:rPr>
            </w:pPr>
            <w:r>
              <w:rPr>
                <w:color w:val="231F20"/>
                <w:sz w:val="16"/>
              </w:rPr>
              <w:t>Bulk Entitlement (River Murray – Flora and Fauna) Conversion Order 1999</w:t>
            </w:r>
          </w:p>
        </w:tc>
        <w:tc>
          <w:tcPr>
            <w:tcW w:w="1305" w:type="dxa"/>
          </w:tcPr>
          <w:p w:rsidR="006A7A3F" w:rsidRDefault="00BC7372">
            <w:pPr>
              <w:pStyle w:val="TableParagraph"/>
              <w:spacing w:before="67"/>
              <w:ind w:left="112"/>
              <w:rPr>
                <w:sz w:val="16"/>
              </w:rPr>
            </w:pPr>
            <w:r>
              <w:rPr>
                <w:color w:val="231F20"/>
                <w:sz w:val="16"/>
              </w:rPr>
              <w:t>45,267</w:t>
            </w:r>
          </w:p>
          <w:p w:rsidR="006A7A3F" w:rsidRDefault="00BC7372">
            <w:pPr>
              <w:pStyle w:val="TableParagraph"/>
              <w:spacing w:before="73"/>
              <w:ind w:left="112"/>
              <w:rPr>
                <w:sz w:val="16"/>
              </w:rPr>
            </w:pPr>
            <w:r>
              <w:rPr>
                <w:color w:val="231F20"/>
                <w:sz w:val="16"/>
              </w:rPr>
              <w:t>8,523</w:t>
            </w:r>
          </w:p>
          <w:p w:rsidR="006A7A3F" w:rsidRDefault="00BC7372">
            <w:pPr>
              <w:pStyle w:val="TableParagraph"/>
              <w:spacing w:before="73"/>
              <w:ind w:left="112"/>
              <w:rPr>
                <w:sz w:val="16"/>
              </w:rPr>
            </w:pPr>
            <w:r>
              <w:rPr>
                <w:color w:val="231F20"/>
                <w:sz w:val="16"/>
              </w:rPr>
              <w:t>49,000</w:t>
            </w:r>
          </w:p>
        </w:tc>
        <w:tc>
          <w:tcPr>
            <w:tcW w:w="1872" w:type="dxa"/>
          </w:tcPr>
          <w:p w:rsidR="006A7A3F" w:rsidRDefault="00BC7372">
            <w:pPr>
              <w:pStyle w:val="TableParagraph"/>
              <w:spacing w:before="67" w:line="336" w:lineRule="auto"/>
              <w:ind w:left="111" w:right="1401"/>
              <w:rPr>
                <w:sz w:val="16"/>
              </w:rPr>
            </w:pPr>
            <w:r>
              <w:rPr>
                <w:color w:val="231F20"/>
                <w:sz w:val="16"/>
              </w:rPr>
              <w:t>High Low</w:t>
            </w:r>
          </w:p>
          <w:p w:rsidR="006A7A3F" w:rsidRDefault="00BC7372">
            <w:pPr>
              <w:pStyle w:val="TableParagraph"/>
              <w:spacing w:line="182" w:lineRule="exact"/>
              <w:ind w:left="111"/>
              <w:rPr>
                <w:sz w:val="16"/>
              </w:rPr>
            </w:pPr>
            <w:r>
              <w:rPr>
                <w:color w:val="231F20"/>
                <w:sz w:val="16"/>
              </w:rPr>
              <w:t>Unregulated</w:t>
            </w:r>
          </w:p>
        </w:tc>
      </w:tr>
      <w:tr w:rsidR="006A7A3F">
        <w:trPr>
          <w:trHeight w:val="589"/>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line="261" w:lineRule="auto"/>
              <w:ind w:left="113" w:right="111"/>
              <w:rPr>
                <w:sz w:val="16"/>
              </w:rPr>
            </w:pPr>
            <w:r>
              <w:rPr>
                <w:color w:val="231F20"/>
                <w:sz w:val="16"/>
              </w:rPr>
              <w:t>Bulk Entitlement (River Murray – Flora and Fauna) Conversion Order 1999 – Barmah–Millewa Forest Environmental Water Allocation</w:t>
            </w:r>
          </w:p>
        </w:tc>
        <w:tc>
          <w:tcPr>
            <w:tcW w:w="1305" w:type="dxa"/>
          </w:tcPr>
          <w:p w:rsidR="006A7A3F" w:rsidRDefault="00BC7372">
            <w:pPr>
              <w:pStyle w:val="TableParagraph"/>
              <w:spacing w:before="67"/>
              <w:ind w:left="112"/>
              <w:rPr>
                <w:sz w:val="16"/>
              </w:rPr>
            </w:pPr>
            <w:r>
              <w:rPr>
                <w:color w:val="231F20"/>
                <w:sz w:val="16"/>
              </w:rPr>
              <w:t>50,000</w:t>
            </w:r>
          </w:p>
          <w:p w:rsidR="006A7A3F" w:rsidRDefault="00BC7372">
            <w:pPr>
              <w:pStyle w:val="TableParagraph"/>
              <w:spacing w:before="73"/>
              <w:ind w:left="112"/>
              <w:rPr>
                <w:sz w:val="16"/>
              </w:rPr>
            </w:pPr>
            <w:r>
              <w:rPr>
                <w:color w:val="231F20"/>
                <w:sz w:val="16"/>
              </w:rPr>
              <w:t>25,000</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846"/>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line="261" w:lineRule="auto"/>
              <w:ind w:left="113" w:right="111"/>
              <w:rPr>
                <w:sz w:val="16"/>
              </w:rPr>
            </w:pPr>
            <w:r>
              <w:rPr>
                <w:color w:val="231F20"/>
                <w:sz w:val="16"/>
              </w:rPr>
              <w:t>Bulk Entitlement (River Murray – Flora and Fauna) Conversion Order 1999 – Living Murray</w:t>
            </w:r>
          </w:p>
        </w:tc>
        <w:tc>
          <w:tcPr>
            <w:tcW w:w="1305" w:type="dxa"/>
          </w:tcPr>
          <w:p w:rsidR="006A7A3F" w:rsidRDefault="00BC7372">
            <w:pPr>
              <w:pStyle w:val="TableParagraph"/>
              <w:spacing w:before="67"/>
              <w:ind w:left="112"/>
              <w:rPr>
                <w:sz w:val="16"/>
              </w:rPr>
            </w:pPr>
            <w:r>
              <w:rPr>
                <w:color w:val="231F20"/>
                <w:sz w:val="16"/>
              </w:rPr>
              <w:t>9,589</w:t>
            </w:r>
          </w:p>
          <w:p w:rsidR="006A7A3F" w:rsidRDefault="00BC7372">
            <w:pPr>
              <w:pStyle w:val="TableParagraph"/>
              <w:spacing w:before="73"/>
              <w:ind w:left="112"/>
              <w:rPr>
                <w:sz w:val="16"/>
              </w:rPr>
            </w:pPr>
            <w:r>
              <w:rPr>
                <w:color w:val="231F20"/>
                <w:sz w:val="16"/>
              </w:rPr>
              <w:t>101,850</w:t>
            </w:r>
          </w:p>
          <w:p w:rsidR="006A7A3F" w:rsidRDefault="00BC7372">
            <w:pPr>
              <w:pStyle w:val="TableParagraph"/>
              <w:spacing w:before="73"/>
              <w:ind w:left="112"/>
              <w:rPr>
                <w:sz w:val="16"/>
              </w:rPr>
            </w:pPr>
            <w:r>
              <w:rPr>
                <w:color w:val="231F20"/>
                <w:sz w:val="16"/>
              </w:rPr>
              <w:t>34,300</w:t>
            </w:r>
          </w:p>
        </w:tc>
        <w:tc>
          <w:tcPr>
            <w:tcW w:w="1872" w:type="dxa"/>
          </w:tcPr>
          <w:p w:rsidR="006A7A3F" w:rsidRDefault="00BC7372">
            <w:pPr>
              <w:pStyle w:val="TableParagraph"/>
              <w:spacing w:before="67" w:line="336" w:lineRule="auto"/>
              <w:ind w:left="111" w:right="1401"/>
              <w:rPr>
                <w:sz w:val="16"/>
              </w:rPr>
            </w:pPr>
            <w:r>
              <w:rPr>
                <w:color w:val="231F20"/>
                <w:sz w:val="16"/>
              </w:rPr>
              <w:t>High Low</w:t>
            </w:r>
          </w:p>
          <w:p w:rsidR="006A7A3F" w:rsidRDefault="00BC7372">
            <w:pPr>
              <w:pStyle w:val="TableParagraph"/>
              <w:spacing w:line="182" w:lineRule="exact"/>
              <w:ind w:left="111"/>
              <w:rPr>
                <w:sz w:val="16"/>
              </w:rPr>
            </w:pPr>
            <w:r>
              <w:rPr>
                <w:color w:val="231F20"/>
                <w:sz w:val="16"/>
              </w:rPr>
              <w:t>Unregulated</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Environmental Entitlement (River Murray – NVIRP Stage 1) 2012</w:t>
            </w:r>
          </w:p>
        </w:tc>
        <w:tc>
          <w:tcPr>
            <w:tcW w:w="1305" w:type="dxa"/>
          </w:tcPr>
          <w:p w:rsidR="006A7A3F" w:rsidRDefault="00BC7372">
            <w:pPr>
              <w:pStyle w:val="TableParagraph"/>
              <w:spacing w:before="67"/>
              <w:ind w:left="112"/>
              <w:rPr>
                <w:sz w:val="9"/>
              </w:rPr>
            </w:pPr>
            <w:r>
              <w:rPr>
                <w:color w:val="231F20"/>
                <w:sz w:val="16"/>
              </w:rPr>
              <w:t>1,155</w:t>
            </w:r>
            <w:r>
              <w:rPr>
                <w:color w:val="231F20"/>
                <w:position w:val="5"/>
                <w:sz w:val="9"/>
              </w:rPr>
              <w:t>6</w:t>
            </w:r>
          </w:p>
        </w:tc>
        <w:tc>
          <w:tcPr>
            <w:tcW w:w="1872" w:type="dxa"/>
          </w:tcPr>
          <w:p w:rsidR="006A7A3F" w:rsidRDefault="00BC7372">
            <w:pPr>
              <w:pStyle w:val="TableParagraph"/>
              <w:spacing w:before="67"/>
              <w:ind w:left="111"/>
              <w:rPr>
                <w:sz w:val="16"/>
              </w:rPr>
            </w:pPr>
            <w:r>
              <w:rPr>
                <w:color w:val="231F20"/>
                <w:sz w:val="16"/>
              </w:rPr>
              <w:t>High</w:t>
            </w:r>
          </w:p>
        </w:tc>
      </w:tr>
      <w:tr w:rsidR="006A7A3F">
        <w:trPr>
          <w:trHeight w:val="5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line="261" w:lineRule="auto"/>
              <w:ind w:left="113" w:right="84"/>
              <w:rPr>
                <w:sz w:val="16"/>
              </w:rPr>
            </w:pPr>
            <w:r>
              <w:rPr>
                <w:color w:val="231F20"/>
                <w:sz w:val="16"/>
              </w:rPr>
              <w:t>Bulk Entitlement (River Murray – Snowy Environmental Reserve) Conversion Order 2004</w:t>
            </w:r>
          </w:p>
        </w:tc>
        <w:tc>
          <w:tcPr>
            <w:tcW w:w="1305" w:type="dxa"/>
          </w:tcPr>
          <w:p w:rsidR="006A7A3F" w:rsidRDefault="00BC7372">
            <w:pPr>
              <w:pStyle w:val="TableParagraph"/>
              <w:spacing w:before="67"/>
              <w:ind w:left="112"/>
              <w:rPr>
                <w:sz w:val="16"/>
              </w:rPr>
            </w:pPr>
            <w:r>
              <w:rPr>
                <w:color w:val="231F20"/>
                <w:sz w:val="16"/>
              </w:rPr>
              <w:t>29,794</w:t>
            </w:r>
          </w:p>
        </w:tc>
        <w:tc>
          <w:tcPr>
            <w:tcW w:w="1872" w:type="dxa"/>
          </w:tcPr>
          <w:p w:rsidR="006A7A3F" w:rsidRDefault="00BC7372">
            <w:pPr>
              <w:pStyle w:val="TableParagraph"/>
              <w:spacing w:before="67"/>
              <w:ind w:left="111"/>
              <w:rPr>
                <w:sz w:val="16"/>
              </w:rPr>
            </w:pPr>
            <w:r>
              <w:rPr>
                <w:color w:val="231F20"/>
                <w:sz w:val="16"/>
              </w:rPr>
              <w:t>High</w:t>
            </w:r>
          </w:p>
        </w:tc>
      </w:tr>
      <w:tr w:rsidR="006A7A3F">
        <w:trPr>
          <w:trHeight w:val="589"/>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Water shares – Snowy Environmental Reserve</w:t>
            </w:r>
          </w:p>
        </w:tc>
        <w:tc>
          <w:tcPr>
            <w:tcW w:w="1305" w:type="dxa"/>
          </w:tcPr>
          <w:p w:rsidR="006A7A3F" w:rsidRDefault="00BC7372">
            <w:pPr>
              <w:pStyle w:val="TableParagraph"/>
              <w:spacing w:before="67"/>
              <w:ind w:left="112"/>
              <w:rPr>
                <w:sz w:val="16"/>
              </w:rPr>
            </w:pPr>
            <w:r>
              <w:rPr>
                <w:color w:val="231F20"/>
                <w:sz w:val="16"/>
              </w:rPr>
              <w:t>14,671</w:t>
            </w:r>
          </w:p>
          <w:p w:rsidR="006A7A3F" w:rsidRDefault="00BC7372">
            <w:pPr>
              <w:pStyle w:val="TableParagraph"/>
              <w:spacing w:before="73"/>
              <w:ind w:left="112"/>
              <w:rPr>
                <w:sz w:val="16"/>
              </w:rPr>
            </w:pPr>
            <w:r>
              <w:rPr>
                <w:color w:val="231F20"/>
                <w:sz w:val="16"/>
              </w:rPr>
              <w:t>6,423</w:t>
            </w:r>
          </w:p>
        </w:tc>
        <w:tc>
          <w:tcPr>
            <w:tcW w:w="1872" w:type="dxa"/>
          </w:tcPr>
          <w:p w:rsidR="006A7A3F" w:rsidRDefault="00BC7372">
            <w:pPr>
              <w:pStyle w:val="TableParagraph"/>
              <w:spacing w:before="12" w:line="256" w:lineRule="exact"/>
              <w:ind w:left="111" w:right="1401"/>
              <w:rPr>
                <w:sz w:val="16"/>
              </w:rPr>
            </w:pPr>
            <w:r>
              <w:rPr>
                <w:color w:val="231F20"/>
                <w:sz w:val="16"/>
              </w:rPr>
              <w:t>High Low</w:t>
            </w:r>
          </w:p>
        </w:tc>
      </w:tr>
      <w:tr w:rsidR="006A7A3F">
        <w:trPr>
          <w:trHeight w:val="333"/>
        </w:trPr>
        <w:tc>
          <w:tcPr>
            <w:tcW w:w="1361" w:type="dxa"/>
            <w:vMerge/>
            <w:tcBorders>
              <w:top w:val="nil"/>
            </w:tcBorders>
          </w:tcPr>
          <w:p w:rsidR="006A7A3F" w:rsidRDefault="006A7A3F">
            <w:pPr>
              <w:rPr>
                <w:sz w:val="2"/>
                <w:szCs w:val="2"/>
              </w:rPr>
            </w:pPr>
          </w:p>
        </w:tc>
        <w:tc>
          <w:tcPr>
            <w:tcW w:w="5670" w:type="dxa"/>
          </w:tcPr>
          <w:p w:rsidR="006A7A3F" w:rsidRDefault="00BC7372">
            <w:pPr>
              <w:pStyle w:val="TableParagraph"/>
              <w:spacing w:before="67"/>
              <w:ind w:left="113"/>
              <w:rPr>
                <w:sz w:val="16"/>
              </w:rPr>
            </w:pPr>
            <w:r>
              <w:rPr>
                <w:color w:val="231F20"/>
                <w:sz w:val="16"/>
              </w:rPr>
              <w:t>Water Shares – Living Murray program</w:t>
            </w:r>
          </w:p>
        </w:tc>
        <w:tc>
          <w:tcPr>
            <w:tcW w:w="1305" w:type="dxa"/>
          </w:tcPr>
          <w:p w:rsidR="006A7A3F" w:rsidRDefault="00BC7372">
            <w:pPr>
              <w:pStyle w:val="TableParagraph"/>
              <w:spacing w:before="67"/>
              <w:ind w:left="112"/>
              <w:rPr>
                <w:sz w:val="16"/>
              </w:rPr>
            </w:pPr>
            <w:r>
              <w:rPr>
                <w:color w:val="231F20"/>
                <w:sz w:val="16"/>
              </w:rPr>
              <w:t>12,267</w:t>
            </w:r>
          </w:p>
        </w:tc>
        <w:tc>
          <w:tcPr>
            <w:tcW w:w="1872" w:type="dxa"/>
          </w:tcPr>
          <w:p w:rsidR="006A7A3F" w:rsidRDefault="00BC7372">
            <w:pPr>
              <w:pStyle w:val="TableParagraph"/>
              <w:spacing w:before="67"/>
              <w:ind w:left="111"/>
              <w:rPr>
                <w:sz w:val="16"/>
              </w:rPr>
            </w:pPr>
            <w:r>
              <w:rPr>
                <w:color w:val="231F20"/>
                <w:sz w:val="16"/>
              </w:rPr>
              <w:t>High</w:t>
            </w:r>
          </w:p>
        </w:tc>
      </w:tr>
    </w:tbl>
    <w:p w:rsidR="006A7A3F" w:rsidRPr="006E712C" w:rsidRDefault="00BC7372" w:rsidP="009B6917">
      <w:pPr>
        <w:pStyle w:val="ListParagraph"/>
        <w:numPr>
          <w:ilvl w:val="0"/>
          <w:numId w:val="1411"/>
        </w:numPr>
        <w:tabs>
          <w:tab w:val="left" w:pos="381"/>
        </w:tabs>
        <w:spacing w:before="121" w:line="244" w:lineRule="auto"/>
        <w:ind w:right="885" w:firstLine="0"/>
        <w:rPr>
          <w:color w:val="404040" w:themeColor="text1" w:themeTint="BF"/>
          <w:sz w:val="16"/>
        </w:rPr>
      </w:pPr>
      <w:r w:rsidRPr="006E712C">
        <w:rPr>
          <w:color w:val="404040" w:themeColor="text1" w:themeTint="BF"/>
          <w:sz w:val="16"/>
        </w:rPr>
        <w:t xml:space="preserve">While the VEWH does not hold any entitlements in the Maribyrnong system, water allocation was purchased in this system together </w:t>
      </w:r>
      <w:r w:rsidRPr="006E712C">
        <w:rPr>
          <w:color w:val="404040" w:themeColor="text1" w:themeTint="BF"/>
          <w:spacing w:val="-4"/>
          <w:sz w:val="16"/>
        </w:rPr>
        <w:t xml:space="preserve">with </w:t>
      </w:r>
      <w:r w:rsidRPr="006E712C">
        <w:rPr>
          <w:color w:val="404040" w:themeColor="text1" w:themeTint="BF"/>
          <w:sz w:val="16"/>
        </w:rPr>
        <w:t>Melbourne Water in all years between 2013–14 and 2018–19</w:t>
      </w:r>
      <w:r w:rsidRPr="006E712C">
        <w:rPr>
          <w:color w:val="404040" w:themeColor="text1" w:themeTint="BF"/>
          <w:spacing w:val="-1"/>
          <w:sz w:val="16"/>
        </w:rPr>
        <w:t xml:space="preserve"> </w:t>
      </w:r>
      <w:r w:rsidRPr="006E712C">
        <w:rPr>
          <w:color w:val="404040" w:themeColor="text1" w:themeTint="BF"/>
          <w:sz w:val="16"/>
        </w:rPr>
        <w:t>inclusive.</w:t>
      </w:r>
    </w:p>
    <w:p w:rsidR="006A7A3F" w:rsidRPr="006E712C" w:rsidRDefault="00BC7372" w:rsidP="009B6917">
      <w:pPr>
        <w:pStyle w:val="ListParagraph"/>
        <w:numPr>
          <w:ilvl w:val="0"/>
          <w:numId w:val="1411"/>
        </w:numPr>
        <w:tabs>
          <w:tab w:val="left" w:pos="381"/>
        </w:tabs>
        <w:spacing w:before="0" w:line="244" w:lineRule="auto"/>
        <w:ind w:right="1149" w:firstLine="0"/>
        <w:rPr>
          <w:color w:val="404040" w:themeColor="text1" w:themeTint="BF"/>
          <w:sz w:val="16"/>
        </w:rPr>
      </w:pPr>
      <w:r w:rsidRPr="006E712C">
        <w:rPr>
          <w:color w:val="404040" w:themeColor="text1" w:themeTint="BF"/>
          <w:sz w:val="16"/>
        </w:rPr>
        <w:t xml:space="preserve">Use of these entitlements depends on suitable river heights, as specified in both the Latrobe and Barwon environmental </w:t>
      </w:r>
      <w:r w:rsidRPr="006E712C">
        <w:rPr>
          <w:color w:val="404040" w:themeColor="text1" w:themeTint="BF"/>
          <w:spacing w:val="-2"/>
          <w:sz w:val="16"/>
        </w:rPr>
        <w:t xml:space="preserve">entitlements </w:t>
      </w:r>
      <w:r w:rsidRPr="006E712C">
        <w:rPr>
          <w:color w:val="404040" w:themeColor="text1" w:themeTint="BF"/>
          <w:sz w:val="16"/>
        </w:rPr>
        <w:t>(rather than a permitted volume).</w:t>
      </w:r>
    </w:p>
    <w:p w:rsidR="006A7A3F" w:rsidRPr="006E712C" w:rsidRDefault="00BC7372" w:rsidP="009B6917">
      <w:pPr>
        <w:pStyle w:val="ListParagraph"/>
        <w:numPr>
          <w:ilvl w:val="0"/>
          <w:numId w:val="1411"/>
        </w:numPr>
        <w:tabs>
          <w:tab w:val="left" w:pos="381"/>
        </w:tabs>
        <w:spacing w:before="0" w:line="244" w:lineRule="auto"/>
        <w:ind w:right="1150" w:firstLine="0"/>
        <w:jc w:val="both"/>
        <w:rPr>
          <w:color w:val="404040" w:themeColor="text1" w:themeTint="BF"/>
          <w:sz w:val="16"/>
        </w:rPr>
      </w:pPr>
      <w:r w:rsidRPr="006E712C">
        <w:rPr>
          <w:color w:val="404040" w:themeColor="text1" w:themeTint="BF"/>
          <w:sz w:val="16"/>
        </w:rPr>
        <w:t xml:space="preserve">Water is accumulated continuously according to a share of inflows (Blue Rock Reservoir 9.5 percent, </w:t>
      </w:r>
      <w:r w:rsidRPr="006E712C">
        <w:rPr>
          <w:color w:val="404040" w:themeColor="text1" w:themeTint="BF"/>
          <w:spacing w:val="-3"/>
          <w:sz w:val="16"/>
        </w:rPr>
        <w:t xml:space="preserve">Tarago </w:t>
      </w:r>
      <w:r w:rsidRPr="006E712C">
        <w:rPr>
          <w:color w:val="404040" w:themeColor="text1" w:themeTint="BF"/>
          <w:sz w:val="16"/>
        </w:rPr>
        <w:t xml:space="preserve">Reservoir 10.3 percent, Werribee system 10.0 percent, Moorabool system 11.9 percent, Thomson Reservoir 3.9 percent, West Barwon Reservoir 3.8 </w:t>
      </w:r>
      <w:r w:rsidRPr="006E712C">
        <w:rPr>
          <w:color w:val="404040" w:themeColor="text1" w:themeTint="BF"/>
          <w:spacing w:val="-3"/>
          <w:sz w:val="16"/>
        </w:rPr>
        <w:t xml:space="preserve">percent). </w:t>
      </w:r>
      <w:r w:rsidRPr="006E712C">
        <w:rPr>
          <w:color w:val="404040" w:themeColor="text1" w:themeTint="BF"/>
          <w:sz w:val="16"/>
        </w:rPr>
        <w:t>The actual volume available in any year varies according to inflows. Entitlement volumes presented in this table indicate the entitlement share of</w:t>
      </w:r>
      <w:r w:rsidRPr="006E712C">
        <w:rPr>
          <w:color w:val="404040" w:themeColor="text1" w:themeTint="BF"/>
          <w:spacing w:val="-1"/>
          <w:sz w:val="16"/>
        </w:rPr>
        <w:t xml:space="preserve"> </w:t>
      </w:r>
      <w:r w:rsidRPr="006E712C">
        <w:rPr>
          <w:color w:val="404040" w:themeColor="text1" w:themeTint="BF"/>
          <w:sz w:val="16"/>
        </w:rPr>
        <w:t>storage.</w:t>
      </w:r>
    </w:p>
    <w:p w:rsidR="006A7A3F" w:rsidRPr="006E712C" w:rsidRDefault="00BC7372" w:rsidP="009B6917">
      <w:pPr>
        <w:pStyle w:val="ListParagraph"/>
        <w:numPr>
          <w:ilvl w:val="0"/>
          <w:numId w:val="1411"/>
        </w:numPr>
        <w:tabs>
          <w:tab w:val="left" w:pos="425"/>
        </w:tabs>
        <w:spacing w:before="40"/>
        <w:ind w:left="424" w:hanging="215"/>
        <w:rPr>
          <w:color w:val="404040" w:themeColor="text1" w:themeTint="BF"/>
          <w:sz w:val="16"/>
        </w:rPr>
      </w:pPr>
      <w:r w:rsidRPr="006E712C">
        <w:rPr>
          <w:color w:val="404040" w:themeColor="text1" w:themeTint="BF"/>
          <w:sz w:val="16"/>
        </w:rPr>
        <w:t>In addition to volumetric entitlement, the entitlement also includes passing flows.</w:t>
      </w:r>
    </w:p>
    <w:p w:rsidR="006A7A3F" w:rsidRPr="006E712C" w:rsidRDefault="00BC7372" w:rsidP="009B6917">
      <w:pPr>
        <w:pStyle w:val="ListParagraph"/>
        <w:numPr>
          <w:ilvl w:val="0"/>
          <w:numId w:val="1411"/>
        </w:numPr>
        <w:tabs>
          <w:tab w:val="left" w:pos="425"/>
        </w:tabs>
        <w:spacing w:before="4"/>
        <w:ind w:left="424" w:hanging="215"/>
        <w:rPr>
          <w:color w:val="404040" w:themeColor="text1" w:themeTint="BF"/>
          <w:sz w:val="16"/>
        </w:rPr>
      </w:pPr>
      <w:r w:rsidRPr="006E712C">
        <w:rPr>
          <w:color w:val="404040" w:themeColor="text1" w:themeTint="BF"/>
          <w:sz w:val="16"/>
        </w:rPr>
        <w:t xml:space="preserve">In addition to volumetric entitlement, the entitlement also includes unregulated </w:t>
      </w:r>
      <w:r w:rsidRPr="006E712C">
        <w:rPr>
          <w:color w:val="404040" w:themeColor="text1" w:themeTint="BF"/>
          <w:spacing w:val="-3"/>
          <w:sz w:val="16"/>
        </w:rPr>
        <w:t>water.</w:t>
      </w:r>
    </w:p>
    <w:p w:rsidR="006A7A3F" w:rsidRPr="006E712C" w:rsidRDefault="00BC7372" w:rsidP="009B6917">
      <w:pPr>
        <w:pStyle w:val="ListParagraph"/>
        <w:numPr>
          <w:ilvl w:val="0"/>
          <w:numId w:val="1411"/>
        </w:numPr>
        <w:tabs>
          <w:tab w:val="left" w:pos="381"/>
        </w:tabs>
        <w:spacing w:before="5" w:line="244" w:lineRule="auto"/>
        <w:ind w:left="380" w:right="582"/>
        <w:rPr>
          <w:color w:val="404040" w:themeColor="text1" w:themeTint="BF"/>
          <w:sz w:val="16"/>
        </w:rPr>
      </w:pPr>
      <w:r w:rsidRPr="006E712C">
        <w:rPr>
          <w:color w:val="404040" w:themeColor="text1" w:themeTint="BF"/>
          <w:sz w:val="16"/>
        </w:rPr>
        <w:t xml:space="preserve">This entitlement volume is the mitigation water savings from the Goulburn-Murray Water Connections Project Stage 1, as verified in the </w:t>
      </w:r>
      <w:r w:rsidRPr="006E712C">
        <w:rPr>
          <w:color w:val="404040" w:themeColor="text1" w:themeTint="BF"/>
          <w:spacing w:val="-3"/>
          <w:sz w:val="16"/>
        </w:rPr>
        <w:t xml:space="preserve">latest </w:t>
      </w:r>
      <w:r w:rsidRPr="006E712C">
        <w:rPr>
          <w:color w:val="404040" w:themeColor="text1" w:themeTint="BF"/>
          <w:sz w:val="16"/>
        </w:rPr>
        <w:t>audit.</w:t>
      </w:r>
    </w:p>
    <w:p w:rsidR="006A7A3F" w:rsidRPr="006E712C" w:rsidRDefault="00BC7372" w:rsidP="009B6917">
      <w:pPr>
        <w:pStyle w:val="ListParagraph"/>
        <w:numPr>
          <w:ilvl w:val="0"/>
          <w:numId w:val="1411"/>
        </w:numPr>
        <w:tabs>
          <w:tab w:val="left" w:pos="381"/>
        </w:tabs>
        <w:spacing w:before="0"/>
        <w:ind w:left="380"/>
        <w:rPr>
          <w:color w:val="404040" w:themeColor="text1" w:themeTint="BF"/>
          <w:sz w:val="16"/>
        </w:rPr>
      </w:pPr>
      <w:r w:rsidRPr="006E712C">
        <w:rPr>
          <w:color w:val="404040" w:themeColor="text1" w:themeTint="BF"/>
          <w:sz w:val="16"/>
        </w:rPr>
        <w:t>Allocation against this entitlement is made subject to specific triggers, as specified in the entitlement.</w:t>
      </w:r>
    </w:p>
    <w:p w:rsidR="008E6A97" w:rsidRDefault="008E6A97">
      <w:pPr>
        <w:pStyle w:val="BodyText"/>
        <w:spacing w:before="70" w:line="249" w:lineRule="auto"/>
        <w:ind w:right="285"/>
        <w:rPr>
          <w:color w:val="231F20"/>
        </w:rPr>
      </w:pPr>
    </w:p>
    <w:p w:rsidR="006A7A3F" w:rsidRDefault="00BC7372">
      <w:pPr>
        <w:pStyle w:val="BodyText"/>
        <w:spacing w:before="70" w:line="249" w:lineRule="auto"/>
        <w:ind w:right="285"/>
      </w:pPr>
      <w:r>
        <w:rPr>
          <w:color w:val="231F20"/>
        </w:rPr>
        <w:t>Figure 1.4.1 shows the proportion of water entitlements held in Victoria by private users (such as irrigators and other businesses), water corporations (for household supply) and environmental water holders: the VEWH and the CEWH.</w:t>
      </w:r>
    </w:p>
    <w:p w:rsidR="006A7A3F" w:rsidRDefault="00BC7372">
      <w:pPr>
        <w:pStyle w:val="BodyText"/>
        <w:spacing w:before="173" w:line="249" w:lineRule="auto"/>
        <w:ind w:right="230"/>
      </w:pPr>
      <w:r>
        <w:rPr>
          <w:color w:val="231F20"/>
        </w:rPr>
        <w:t>The proportions are based on the total volume of surface water entitlements recorded in the Victorian Water Register at 30 June 2019. The VEWH has incorporated its storage share volumes for some entitlements (such as for the Barwon and Latrobe systems) that are not represented volumetrically in the register. The proportions do not include water entitlements that are not accounted for in the register (such as passing flows and other rules-based environmental water like the Barmah-Millewa Environmental Water Account or River Murray Increased Flows).</w:t>
      </w:r>
    </w:p>
    <w:p w:rsidR="006A7A3F" w:rsidRDefault="00BC7372" w:rsidP="00175607">
      <w:pPr>
        <w:spacing w:before="169" w:after="120"/>
        <w:ind w:left="210"/>
        <w:rPr>
          <w:b/>
          <w:sz w:val="18"/>
        </w:rPr>
      </w:pPr>
      <w:r>
        <w:rPr>
          <w:b/>
          <w:color w:val="231F20"/>
          <w:sz w:val="18"/>
        </w:rPr>
        <w:t>Figure 1.4.1 Proportions of Victorian water entitlements, at 30 June 2018</w:t>
      </w:r>
    </w:p>
    <w:p w:rsidR="006A7A3F" w:rsidRDefault="00BC7372">
      <w:pPr>
        <w:pStyle w:val="BodyText"/>
        <w:spacing w:before="9"/>
        <w:ind w:left="0"/>
        <w:rPr>
          <w:b/>
          <w:sz w:val="16"/>
        </w:rPr>
      </w:pPr>
      <w:r>
        <w:rPr>
          <w:noProof/>
        </w:rPr>
        <w:drawing>
          <wp:inline distT="0" distB="0" distL="0" distR="0">
            <wp:extent cx="2950464" cy="1402079"/>
            <wp:effectExtent l="0" t="0" r="0" b="0"/>
            <wp:docPr id="25" name="image13.jpeg" descr="Pie chart shows the proportion of water entitlements in Victoria held by private users (48%), water corporations (29%) and environmental water holder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0464" cy="1402079"/>
                    </a:xfrm>
                    <a:prstGeom prst="rect">
                      <a:avLst/>
                    </a:prstGeom>
                  </pic:spPr>
                </pic:pic>
              </a:graphicData>
            </a:graphic>
          </wp:inline>
        </w:drawing>
      </w:r>
    </w:p>
    <w:p w:rsidR="006A7A3F" w:rsidRDefault="006A7A3F">
      <w:pPr>
        <w:pStyle w:val="BodyText"/>
        <w:spacing w:before="0"/>
        <w:ind w:left="0"/>
        <w:rPr>
          <w:b/>
        </w:rPr>
      </w:pPr>
    </w:p>
    <w:p w:rsidR="006A7A3F" w:rsidRDefault="00BC7372">
      <w:pPr>
        <w:pStyle w:val="BodyText"/>
        <w:spacing w:before="163" w:line="249" w:lineRule="auto"/>
        <w:ind w:right="585"/>
      </w:pPr>
      <w:r>
        <w:rPr>
          <w:color w:val="231F20"/>
        </w:rPr>
        <w:t>Where possible, the proportion of water entitlements held by each user group is shown in each system section. For some systems, the way water entitlements have been accounted for in the Victorian Water Register or the connected nature of some water supply systems across multiple river basins means that it is not possible to represent water entitlements proportionally for some systems.</w:t>
      </w:r>
    </w:p>
    <w:p w:rsidR="006A7A3F" w:rsidRDefault="00BC7372">
      <w:pPr>
        <w:pStyle w:val="BodyText"/>
        <w:spacing w:before="173" w:line="249" w:lineRule="auto"/>
        <w:ind w:right="518"/>
      </w:pPr>
      <w:r>
        <w:rPr>
          <w:color w:val="231F20"/>
        </w:rPr>
        <w:t>The water available to use under these entitlements varies from year to year, depending on entitlement rules, seasonal conditions including rainfall and run-off in the catchments, and the water already available in storages.</w:t>
      </w:r>
    </w:p>
    <w:p w:rsidR="006A7A3F" w:rsidRDefault="006A7A3F">
      <w:pPr>
        <w:pStyle w:val="BodyText"/>
        <w:spacing w:before="1"/>
        <w:ind w:left="0"/>
      </w:pPr>
    </w:p>
    <w:p w:rsidR="006A7A3F" w:rsidRDefault="00BC7372">
      <w:pPr>
        <w:pStyle w:val="Heading4"/>
      </w:pPr>
      <w:r>
        <w:rPr>
          <w:color w:val="231F20"/>
        </w:rPr>
        <w:t>Water donations</w:t>
      </w:r>
    </w:p>
    <w:p w:rsidR="006A7A3F" w:rsidRDefault="00BC7372">
      <w:pPr>
        <w:pStyle w:val="BodyText"/>
        <w:spacing w:before="58" w:line="249" w:lineRule="auto"/>
        <w:ind w:right="445"/>
      </w:pPr>
      <w:r>
        <w:rPr>
          <w:color w:val="231F20"/>
        </w:rPr>
        <w:t>The VEWH may receive water donations from individuals, community groups and other organisations. This water could be used for environmental watering in the water year in which it was donated including for actions identified in the seasonal watering plan, or it could be carried over for use in the future: see subsection 1.4.2 for more information about carryover. Some donors may identify a specific use for the water they donate (such as environmental watering in a specified wetland or to protect a certain tree species). In these instances, the VEWH would consider the costs and benefits of each donor proposal before agreeing to accept the</w:t>
      </w:r>
      <w:r>
        <w:rPr>
          <w:color w:val="231F20"/>
          <w:spacing w:val="-34"/>
        </w:rPr>
        <w:t xml:space="preserve"> </w:t>
      </w:r>
      <w:r>
        <w:rPr>
          <w:color w:val="231F20"/>
        </w:rPr>
        <w:t>donation.</w:t>
      </w:r>
    </w:p>
    <w:p w:rsidR="008E6A97" w:rsidRDefault="008E6A97">
      <w:pPr>
        <w:rPr>
          <w:sz w:val="20"/>
          <w:szCs w:val="20"/>
        </w:rPr>
      </w:pPr>
      <w:r>
        <w:br w:type="page"/>
      </w:r>
    </w:p>
    <w:p w:rsidR="006A7A3F" w:rsidRDefault="006A7A3F">
      <w:pPr>
        <w:pStyle w:val="BodyText"/>
        <w:spacing w:before="4"/>
        <w:ind w:left="0"/>
      </w:pPr>
    </w:p>
    <w:p w:rsidR="006A7A3F" w:rsidRDefault="00BC7372">
      <w:pPr>
        <w:pStyle w:val="Heading4"/>
      </w:pPr>
      <w:r>
        <w:rPr>
          <w:color w:val="231F20"/>
        </w:rPr>
        <w:t>Water available from other environmental water holders</w:t>
      </w:r>
    </w:p>
    <w:p w:rsidR="006A7A3F" w:rsidRDefault="00BC7372">
      <w:pPr>
        <w:pStyle w:val="BodyText"/>
        <w:spacing w:before="59" w:line="249" w:lineRule="auto"/>
        <w:ind w:right="631"/>
      </w:pPr>
      <w:r>
        <w:rPr>
          <w:color w:val="231F20"/>
        </w:rPr>
        <w:t>In northern and western Victoria, the VEWH coordinates with other environmental water holders to deliver environmental outcomes at the broader Murray-Darling Basin scale. One of the VEWH’s important roles is to coordinate with Murray-Darling Basin environmental water holders — the CEWH and program partners in New South Wales and South Australia — to optimise the benefits</w:t>
      </w:r>
    </w:p>
    <w:p w:rsidR="006A7A3F" w:rsidRDefault="00BC7372">
      <w:pPr>
        <w:pStyle w:val="BodyText"/>
        <w:spacing w:before="3"/>
      </w:pPr>
      <w:r>
        <w:rPr>
          <w:color w:val="231F20"/>
        </w:rPr>
        <w:t>of all water for the environment in Victorian waterways.</w:t>
      </w:r>
    </w:p>
    <w:p w:rsidR="006A7A3F" w:rsidRDefault="00BC7372">
      <w:pPr>
        <w:pStyle w:val="BodyText"/>
        <w:spacing w:before="10"/>
      </w:pPr>
      <w:r>
        <w:rPr>
          <w:color w:val="231F20"/>
        </w:rPr>
        <w:t>The seasonal watering plan considers the use of all water for the environment held in Victorian river systems.</w:t>
      </w:r>
    </w:p>
    <w:p w:rsidR="006A7A3F" w:rsidRDefault="00BC7372">
      <w:pPr>
        <w:pStyle w:val="BodyText"/>
        <w:spacing w:before="180" w:line="249" w:lineRule="auto"/>
        <w:ind w:right="374"/>
      </w:pPr>
      <w:r>
        <w:rPr>
          <w:color w:val="231F20"/>
        </w:rPr>
        <w:t>Usually, when Commonwealth water is to be delivered in Victoria, the CEWH transfers the agreed amount of water to the VEWH. That amount then becomes part of the Victorian environmental Water Holdings until used or transferred back.</w:t>
      </w:r>
    </w:p>
    <w:p w:rsidR="006A7A3F" w:rsidRDefault="00BC7372">
      <w:pPr>
        <w:pStyle w:val="BodyText"/>
        <w:spacing w:line="249" w:lineRule="auto"/>
        <w:ind w:right="100"/>
      </w:pPr>
      <w:r>
        <w:rPr>
          <w:color w:val="231F20"/>
        </w:rPr>
        <w:t>Table 1.4.2 shows the environmental water entitlements held by the CEWH in Victoria. The CEWH also holds water in New South Wales and South Australia, and both New South Wales and South Australia also hold water, which could potentially be made available for environmental watering in Victoria.</w:t>
      </w:r>
    </w:p>
    <w:p w:rsidR="006A7A3F" w:rsidRDefault="006A7A3F">
      <w:pPr>
        <w:pStyle w:val="BodyText"/>
        <w:spacing w:before="10"/>
        <w:ind w:left="0"/>
        <w:rPr>
          <w:b/>
          <w:sz w:val="7"/>
        </w:rPr>
      </w:pPr>
    </w:p>
    <w:p w:rsidR="008E6A97" w:rsidRDefault="008E6A97" w:rsidP="008E6A97">
      <w:pPr>
        <w:spacing w:before="168" w:after="120" w:line="250" w:lineRule="auto"/>
        <w:ind w:left="210" w:right="102"/>
        <w:rPr>
          <w:b/>
          <w:color w:val="231F20"/>
          <w:sz w:val="18"/>
        </w:rPr>
      </w:pPr>
      <w:r>
        <w:rPr>
          <w:b/>
          <w:color w:val="231F20"/>
          <w:sz w:val="18"/>
        </w:rPr>
        <w:t>Table 1.4.2 Environmental water entitlement held in Victoria by the Commonwealth Environmental Water Holder, as at 6 May 2020</w:t>
      </w:r>
    </w:p>
    <w:tbl>
      <w:tblPr>
        <w:tblW w:w="0" w:type="auto"/>
        <w:tblInd w:w="220"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191"/>
        <w:gridCol w:w="1191"/>
        <w:gridCol w:w="2258"/>
      </w:tblGrid>
      <w:tr w:rsidR="008E6A97" w:rsidTr="003D4127">
        <w:trPr>
          <w:trHeight w:val="572"/>
        </w:trPr>
        <w:tc>
          <w:tcPr>
            <w:tcW w:w="1191" w:type="dxa"/>
            <w:tcBorders>
              <w:bottom w:val="nil"/>
            </w:tcBorders>
            <w:shd w:val="clear" w:color="auto" w:fill="231F20"/>
          </w:tcPr>
          <w:p w:rsidR="008E6A97" w:rsidRDefault="008E6A97" w:rsidP="003D4127">
            <w:pPr>
              <w:pStyle w:val="TableParagraph"/>
              <w:spacing w:before="63"/>
              <w:ind w:left="113"/>
              <w:rPr>
                <w:b/>
                <w:sz w:val="18"/>
              </w:rPr>
            </w:pPr>
            <w:r>
              <w:rPr>
                <w:b/>
                <w:color w:val="FFFFFF"/>
                <w:sz w:val="18"/>
              </w:rPr>
              <w:t>System</w:t>
            </w:r>
          </w:p>
        </w:tc>
        <w:tc>
          <w:tcPr>
            <w:tcW w:w="1191" w:type="dxa"/>
            <w:tcBorders>
              <w:bottom w:val="nil"/>
            </w:tcBorders>
            <w:shd w:val="clear" w:color="auto" w:fill="231F20"/>
          </w:tcPr>
          <w:p w:rsidR="008E6A97" w:rsidRDefault="008E6A97" w:rsidP="003D4127">
            <w:pPr>
              <w:pStyle w:val="TableParagraph"/>
              <w:spacing w:before="63" w:line="254" w:lineRule="auto"/>
              <w:ind w:left="112" w:right="257"/>
              <w:rPr>
                <w:b/>
                <w:sz w:val="18"/>
              </w:rPr>
            </w:pPr>
            <w:r>
              <w:rPr>
                <w:b/>
                <w:color w:val="FFFFFF"/>
                <w:sz w:val="18"/>
              </w:rPr>
              <w:t>Volume (ML)</w:t>
            </w:r>
          </w:p>
        </w:tc>
        <w:tc>
          <w:tcPr>
            <w:tcW w:w="2258" w:type="dxa"/>
            <w:tcBorders>
              <w:bottom w:val="nil"/>
            </w:tcBorders>
            <w:shd w:val="clear" w:color="auto" w:fill="231F20"/>
          </w:tcPr>
          <w:p w:rsidR="008E6A97" w:rsidRDefault="008E6A97" w:rsidP="003D4127">
            <w:pPr>
              <w:pStyle w:val="TableParagraph"/>
              <w:spacing w:before="63"/>
              <w:ind w:left="112"/>
              <w:rPr>
                <w:b/>
                <w:sz w:val="18"/>
              </w:rPr>
            </w:pPr>
            <w:r>
              <w:rPr>
                <w:b/>
                <w:color w:val="FFFFFF"/>
                <w:sz w:val="18"/>
              </w:rPr>
              <w:t>Class of entitlement</w:t>
            </w:r>
          </w:p>
        </w:tc>
      </w:tr>
      <w:tr w:rsidR="008E6A97" w:rsidTr="003D4127">
        <w:trPr>
          <w:trHeight w:val="338"/>
        </w:trPr>
        <w:tc>
          <w:tcPr>
            <w:tcW w:w="1191" w:type="dxa"/>
            <w:vMerge w:val="restart"/>
            <w:tcBorders>
              <w:top w:val="nil"/>
            </w:tcBorders>
          </w:tcPr>
          <w:p w:rsidR="008E6A97" w:rsidRDefault="008E6A97" w:rsidP="003D4127">
            <w:pPr>
              <w:pStyle w:val="TableParagraph"/>
              <w:spacing w:before="72"/>
              <w:ind w:left="113"/>
              <w:rPr>
                <w:color w:val="231F20"/>
                <w:sz w:val="16"/>
              </w:rPr>
            </w:pPr>
            <w:r w:rsidRPr="008E6A97">
              <w:rPr>
                <w:color w:val="231F20"/>
                <w:sz w:val="16"/>
              </w:rPr>
              <w:t>Broken</w:t>
            </w:r>
          </w:p>
        </w:tc>
        <w:tc>
          <w:tcPr>
            <w:tcW w:w="1191" w:type="dxa"/>
            <w:tcBorders>
              <w:top w:val="nil"/>
            </w:tcBorders>
          </w:tcPr>
          <w:p w:rsidR="008E6A97" w:rsidRPr="008E6A97" w:rsidRDefault="008E6A97" w:rsidP="003D4127">
            <w:pPr>
              <w:pStyle w:val="TableParagraph"/>
              <w:spacing w:before="72"/>
              <w:ind w:left="112"/>
              <w:rPr>
                <w:color w:val="231F20"/>
                <w:sz w:val="16"/>
              </w:rPr>
            </w:pPr>
            <w:r w:rsidRPr="008E6A97">
              <w:rPr>
                <w:color w:val="231F20"/>
                <w:sz w:val="16"/>
              </w:rPr>
              <w:t>534</w:t>
            </w:r>
          </w:p>
        </w:tc>
        <w:tc>
          <w:tcPr>
            <w:tcW w:w="2258" w:type="dxa"/>
            <w:tcBorders>
              <w:top w:val="nil"/>
            </w:tcBorders>
          </w:tcPr>
          <w:p w:rsidR="008E6A97" w:rsidRPr="008E6A97" w:rsidRDefault="008E6A97" w:rsidP="003D4127">
            <w:pPr>
              <w:pStyle w:val="TableParagraph"/>
              <w:spacing w:before="79"/>
              <w:ind w:left="112"/>
              <w:rPr>
                <w:sz w:val="16"/>
              </w:rPr>
            </w:pPr>
            <w:r w:rsidRPr="008E6A97">
              <w:rPr>
                <w:color w:val="231F20"/>
                <w:sz w:val="16"/>
              </w:rPr>
              <w:t>High-reliability water share</w:t>
            </w:r>
          </w:p>
        </w:tc>
      </w:tr>
      <w:tr w:rsidR="008E6A97" w:rsidTr="003D4127">
        <w:trPr>
          <w:trHeight w:val="338"/>
        </w:trPr>
        <w:tc>
          <w:tcPr>
            <w:tcW w:w="1191" w:type="dxa"/>
            <w:vMerge/>
          </w:tcPr>
          <w:p w:rsidR="008E6A97" w:rsidRDefault="008E6A97" w:rsidP="003D4127">
            <w:pPr>
              <w:pStyle w:val="TableParagraph"/>
              <w:spacing w:before="72"/>
              <w:ind w:left="113"/>
              <w:rPr>
                <w:color w:val="231F20"/>
                <w:sz w:val="16"/>
              </w:rPr>
            </w:pPr>
          </w:p>
        </w:tc>
        <w:tc>
          <w:tcPr>
            <w:tcW w:w="1191" w:type="dxa"/>
            <w:tcBorders>
              <w:top w:val="nil"/>
            </w:tcBorders>
          </w:tcPr>
          <w:p w:rsidR="008E6A97" w:rsidRDefault="008E6A97" w:rsidP="003D4127">
            <w:pPr>
              <w:pStyle w:val="TableParagraph"/>
              <w:spacing w:before="72"/>
              <w:ind w:left="112"/>
              <w:rPr>
                <w:color w:val="231F20"/>
                <w:sz w:val="16"/>
              </w:rPr>
            </w:pPr>
            <w:r w:rsidRPr="008E6A97">
              <w:rPr>
                <w:color w:val="231F20"/>
                <w:sz w:val="16"/>
              </w:rPr>
              <w:t>4</w:t>
            </w:r>
          </w:p>
        </w:tc>
        <w:tc>
          <w:tcPr>
            <w:tcW w:w="2258" w:type="dxa"/>
            <w:tcBorders>
              <w:top w:val="nil"/>
            </w:tcBorders>
          </w:tcPr>
          <w:p w:rsidR="008E6A97" w:rsidRDefault="008E6A97" w:rsidP="003D4127">
            <w:pPr>
              <w:pStyle w:val="TableParagraph"/>
              <w:spacing w:before="74"/>
              <w:ind w:left="112"/>
              <w:rPr>
                <w:color w:val="231F20"/>
                <w:sz w:val="16"/>
              </w:rPr>
            </w:pPr>
            <w:r w:rsidRPr="008E6A97">
              <w:rPr>
                <w:color w:val="231F20"/>
                <w:sz w:val="16"/>
              </w:rPr>
              <w:t>Low-reliability water share</w:t>
            </w:r>
          </w:p>
        </w:tc>
      </w:tr>
      <w:tr w:rsidR="008E6A97" w:rsidTr="003D4127">
        <w:trPr>
          <w:trHeight w:val="338"/>
        </w:trPr>
        <w:tc>
          <w:tcPr>
            <w:tcW w:w="1191" w:type="dxa"/>
            <w:vMerge w:val="restart"/>
            <w:tcBorders>
              <w:top w:val="nil"/>
            </w:tcBorders>
          </w:tcPr>
          <w:p w:rsidR="008E6A97" w:rsidRDefault="008E6A97" w:rsidP="003D4127">
            <w:pPr>
              <w:pStyle w:val="TableParagraph"/>
              <w:spacing w:before="72"/>
              <w:ind w:left="113"/>
              <w:rPr>
                <w:sz w:val="16"/>
              </w:rPr>
            </w:pPr>
            <w:r>
              <w:rPr>
                <w:color w:val="231F20"/>
                <w:sz w:val="16"/>
              </w:rPr>
              <w:t>Campaspe</w:t>
            </w:r>
          </w:p>
        </w:tc>
        <w:tc>
          <w:tcPr>
            <w:tcW w:w="1191" w:type="dxa"/>
            <w:tcBorders>
              <w:top w:val="nil"/>
            </w:tcBorders>
          </w:tcPr>
          <w:p w:rsidR="008E6A97" w:rsidRDefault="008E6A97" w:rsidP="003D4127">
            <w:pPr>
              <w:pStyle w:val="TableParagraph"/>
              <w:spacing w:before="72"/>
              <w:ind w:left="112"/>
              <w:rPr>
                <w:sz w:val="16"/>
              </w:rPr>
            </w:pPr>
            <w:r>
              <w:rPr>
                <w:color w:val="231F20"/>
                <w:sz w:val="16"/>
              </w:rPr>
              <w:t>6,624</w:t>
            </w:r>
          </w:p>
        </w:tc>
        <w:tc>
          <w:tcPr>
            <w:tcW w:w="2258" w:type="dxa"/>
            <w:tcBorders>
              <w:top w:val="nil"/>
            </w:tcBorders>
          </w:tcPr>
          <w:p w:rsidR="008E6A97" w:rsidRDefault="008E6A97" w:rsidP="003D4127">
            <w:pPr>
              <w:pStyle w:val="TableParagraph"/>
              <w:spacing w:before="72"/>
              <w:ind w:left="112"/>
              <w:rPr>
                <w:sz w:val="16"/>
              </w:rPr>
            </w:pPr>
            <w:r>
              <w:rPr>
                <w:color w:val="231F20"/>
                <w:sz w:val="16"/>
              </w:rPr>
              <w:t>High-reliability water share</w:t>
            </w:r>
          </w:p>
        </w:tc>
      </w:tr>
      <w:tr w:rsidR="008E6A97" w:rsidTr="003D4127">
        <w:trPr>
          <w:trHeight w:val="333"/>
        </w:trPr>
        <w:tc>
          <w:tcPr>
            <w:tcW w:w="1191" w:type="dxa"/>
            <w:vMerge/>
            <w:tcBorders>
              <w:top w:val="nil"/>
            </w:tcBorders>
          </w:tcPr>
          <w:p w:rsidR="008E6A97" w:rsidRDefault="008E6A97" w:rsidP="003D4127">
            <w:pPr>
              <w:rPr>
                <w:sz w:val="2"/>
                <w:szCs w:val="2"/>
              </w:rPr>
            </w:pPr>
          </w:p>
        </w:tc>
        <w:tc>
          <w:tcPr>
            <w:tcW w:w="1191" w:type="dxa"/>
          </w:tcPr>
          <w:p w:rsidR="008E6A97" w:rsidRDefault="008E6A97" w:rsidP="003D4127">
            <w:pPr>
              <w:pStyle w:val="TableParagraph"/>
              <w:spacing w:before="67"/>
              <w:ind w:left="112"/>
              <w:rPr>
                <w:sz w:val="16"/>
              </w:rPr>
            </w:pPr>
            <w:r>
              <w:rPr>
                <w:color w:val="231F20"/>
                <w:sz w:val="16"/>
              </w:rPr>
              <w:t>395</w:t>
            </w:r>
          </w:p>
        </w:tc>
        <w:tc>
          <w:tcPr>
            <w:tcW w:w="2258" w:type="dxa"/>
          </w:tcPr>
          <w:p w:rsidR="008E6A97" w:rsidRDefault="008E6A97" w:rsidP="003D4127">
            <w:pPr>
              <w:pStyle w:val="TableParagraph"/>
              <w:spacing w:before="67"/>
              <w:ind w:left="112"/>
              <w:rPr>
                <w:sz w:val="16"/>
              </w:rPr>
            </w:pPr>
            <w:r>
              <w:rPr>
                <w:color w:val="231F20"/>
                <w:sz w:val="16"/>
              </w:rPr>
              <w:t>Low-reliability water share</w:t>
            </w:r>
          </w:p>
        </w:tc>
      </w:tr>
      <w:tr w:rsidR="008E6A97" w:rsidTr="003D4127">
        <w:trPr>
          <w:trHeight w:val="333"/>
        </w:trPr>
        <w:tc>
          <w:tcPr>
            <w:tcW w:w="1191" w:type="dxa"/>
            <w:vMerge w:val="restart"/>
          </w:tcPr>
          <w:p w:rsidR="008E6A97" w:rsidRDefault="008E6A97" w:rsidP="003D4127">
            <w:pPr>
              <w:pStyle w:val="TableParagraph"/>
              <w:spacing w:before="67"/>
              <w:ind w:left="113"/>
              <w:rPr>
                <w:sz w:val="16"/>
              </w:rPr>
            </w:pPr>
            <w:r>
              <w:rPr>
                <w:color w:val="231F20"/>
                <w:sz w:val="16"/>
              </w:rPr>
              <w:t>Goulburn</w:t>
            </w:r>
          </w:p>
        </w:tc>
        <w:tc>
          <w:tcPr>
            <w:tcW w:w="1191" w:type="dxa"/>
          </w:tcPr>
          <w:p w:rsidR="008E6A97" w:rsidRDefault="008E6A97" w:rsidP="003D4127">
            <w:pPr>
              <w:pStyle w:val="TableParagraph"/>
              <w:spacing w:before="67"/>
              <w:ind w:left="112"/>
              <w:rPr>
                <w:sz w:val="16"/>
              </w:rPr>
            </w:pPr>
            <w:r>
              <w:rPr>
                <w:color w:val="231F20"/>
                <w:sz w:val="16"/>
              </w:rPr>
              <w:t>317,557</w:t>
            </w:r>
          </w:p>
        </w:tc>
        <w:tc>
          <w:tcPr>
            <w:tcW w:w="2258" w:type="dxa"/>
          </w:tcPr>
          <w:p w:rsidR="008E6A97" w:rsidRDefault="008E6A97" w:rsidP="003D4127">
            <w:pPr>
              <w:pStyle w:val="TableParagraph"/>
              <w:spacing w:before="67"/>
              <w:ind w:left="112"/>
              <w:rPr>
                <w:sz w:val="16"/>
              </w:rPr>
            </w:pPr>
            <w:r>
              <w:rPr>
                <w:color w:val="231F20"/>
                <w:sz w:val="16"/>
              </w:rPr>
              <w:t>High-reliability water share</w:t>
            </w:r>
          </w:p>
        </w:tc>
      </w:tr>
      <w:tr w:rsidR="008E6A97" w:rsidTr="003D4127">
        <w:trPr>
          <w:trHeight w:val="333"/>
        </w:trPr>
        <w:tc>
          <w:tcPr>
            <w:tcW w:w="1191" w:type="dxa"/>
            <w:vMerge/>
            <w:tcBorders>
              <w:top w:val="nil"/>
            </w:tcBorders>
          </w:tcPr>
          <w:p w:rsidR="008E6A97" w:rsidRDefault="008E6A97" w:rsidP="003D4127">
            <w:pPr>
              <w:rPr>
                <w:sz w:val="2"/>
                <w:szCs w:val="2"/>
              </w:rPr>
            </w:pPr>
          </w:p>
        </w:tc>
        <w:tc>
          <w:tcPr>
            <w:tcW w:w="1191" w:type="dxa"/>
          </w:tcPr>
          <w:p w:rsidR="008E6A97" w:rsidRDefault="008E6A97" w:rsidP="003D4127">
            <w:pPr>
              <w:pStyle w:val="TableParagraph"/>
              <w:spacing w:before="67"/>
              <w:ind w:left="112"/>
              <w:rPr>
                <w:sz w:val="16"/>
              </w:rPr>
            </w:pPr>
            <w:r>
              <w:rPr>
                <w:color w:val="231F20"/>
                <w:sz w:val="16"/>
              </w:rPr>
              <w:t>42,467</w:t>
            </w:r>
          </w:p>
        </w:tc>
        <w:tc>
          <w:tcPr>
            <w:tcW w:w="2258" w:type="dxa"/>
          </w:tcPr>
          <w:p w:rsidR="008E6A97" w:rsidRDefault="008E6A97" w:rsidP="003D4127">
            <w:pPr>
              <w:pStyle w:val="TableParagraph"/>
              <w:spacing w:before="67"/>
              <w:ind w:left="112"/>
              <w:rPr>
                <w:sz w:val="16"/>
              </w:rPr>
            </w:pPr>
            <w:r>
              <w:rPr>
                <w:color w:val="231F20"/>
                <w:sz w:val="16"/>
              </w:rPr>
              <w:t>Low-reliability water share</w:t>
            </w:r>
          </w:p>
        </w:tc>
      </w:tr>
      <w:tr w:rsidR="008E6A97" w:rsidTr="003D4127">
        <w:trPr>
          <w:trHeight w:val="333"/>
        </w:trPr>
        <w:tc>
          <w:tcPr>
            <w:tcW w:w="1191" w:type="dxa"/>
            <w:vMerge w:val="restart"/>
          </w:tcPr>
          <w:p w:rsidR="008E6A97" w:rsidRDefault="008E6A97" w:rsidP="003D4127">
            <w:pPr>
              <w:pStyle w:val="TableParagraph"/>
              <w:spacing w:before="67"/>
              <w:ind w:left="113"/>
              <w:rPr>
                <w:sz w:val="16"/>
              </w:rPr>
            </w:pPr>
            <w:r>
              <w:rPr>
                <w:color w:val="231F20"/>
                <w:sz w:val="16"/>
              </w:rPr>
              <w:t>Loddon</w:t>
            </w:r>
          </w:p>
        </w:tc>
        <w:tc>
          <w:tcPr>
            <w:tcW w:w="1191" w:type="dxa"/>
          </w:tcPr>
          <w:p w:rsidR="008E6A97" w:rsidRDefault="008E6A97" w:rsidP="003D4127">
            <w:pPr>
              <w:pStyle w:val="TableParagraph"/>
              <w:spacing w:before="67"/>
              <w:ind w:left="112"/>
              <w:rPr>
                <w:sz w:val="16"/>
              </w:rPr>
            </w:pPr>
            <w:r>
              <w:rPr>
                <w:color w:val="231F20"/>
                <w:sz w:val="16"/>
              </w:rPr>
              <w:t>3,356</w:t>
            </w:r>
          </w:p>
        </w:tc>
        <w:tc>
          <w:tcPr>
            <w:tcW w:w="2258" w:type="dxa"/>
          </w:tcPr>
          <w:p w:rsidR="008E6A97" w:rsidRDefault="008E6A97" w:rsidP="003D4127">
            <w:pPr>
              <w:pStyle w:val="TableParagraph"/>
              <w:spacing w:before="67"/>
              <w:ind w:left="112"/>
              <w:rPr>
                <w:sz w:val="16"/>
              </w:rPr>
            </w:pPr>
            <w:r>
              <w:rPr>
                <w:color w:val="231F20"/>
                <w:sz w:val="16"/>
              </w:rPr>
              <w:t>High-reliability water share</w:t>
            </w:r>
          </w:p>
        </w:tc>
      </w:tr>
      <w:tr w:rsidR="008E6A97" w:rsidTr="003D4127">
        <w:trPr>
          <w:trHeight w:val="333"/>
        </w:trPr>
        <w:tc>
          <w:tcPr>
            <w:tcW w:w="1191" w:type="dxa"/>
            <w:vMerge/>
            <w:tcBorders>
              <w:top w:val="nil"/>
            </w:tcBorders>
          </w:tcPr>
          <w:p w:rsidR="008E6A97" w:rsidRDefault="008E6A97" w:rsidP="003D4127">
            <w:pPr>
              <w:rPr>
                <w:sz w:val="2"/>
                <w:szCs w:val="2"/>
              </w:rPr>
            </w:pPr>
          </w:p>
        </w:tc>
        <w:tc>
          <w:tcPr>
            <w:tcW w:w="1191" w:type="dxa"/>
          </w:tcPr>
          <w:p w:rsidR="008E6A97" w:rsidRDefault="008E6A97" w:rsidP="003D4127">
            <w:pPr>
              <w:pStyle w:val="TableParagraph"/>
              <w:spacing w:before="67"/>
              <w:ind w:left="112"/>
              <w:rPr>
                <w:sz w:val="16"/>
              </w:rPr>
            </w:pPr>
            <w:r>
              <w:rPr>
                <w:color w:val="231F20"/>
                <w:sz w:val="16"/>
              </w:rPr>
              <w:t>527</w:t>
            </w:r>
          </w:p>
        </w:tc>
        <w:tc>
          <w:tcPr>
            <w:tcW w:w="2258" w:type="dxa"/>
          </w:tcPr>
          <w:p w:rsidR="008E6A97" w:rsidRDefault="008E6A97" w:rsidP="003D4127">
            <w:pPr>
              <w:pStyle w:val="TableParagraph"/>
              <w:spacing w:before="67"/>
              <w:ind w:left="112"/>
              <w:rPr>
                <w:sz w:val="16"/>
              </w:rPr>
            </w:pPr>
            <w:r>
              <w:rPr>
                <w:color w:val="231F20"/>
                <w:sz w:val="16"/>
              </w:rPr>
              <w:t>Low-reliability water share</w:t>
            </w:r>
          </w:p>
        </w:tc>
      </w:tr>
      <w:tr w:rsidR="008E6A97" w:rsidTr="003D4127">
        <w:trPr>
          <w:trHeight w:val="333"/>
        </w:trPr>
        <w:tc>
          <w:tcPr>
            <w:tcW w:w="1191" w:type="dxa"/>
          </w:tcPr>
          <w:p w:rsidR="008E6A97" w:rsidRDefault="008E6A97" w:rsidP="003D4127">
            <w:pPr>
              <w:pStyle w:val="TableParagraph"/>
              <w:spacing w:before="67"/>
              <w:ind w:left="113"/>
              <w:rPr>
                <w:sz w:val="16"/>
              </w:rPr>
            </w:pPr>
            <w:r>
              <w:rPr>
                <w:color w:val="231F20"/>
                <w:sz w:val="16"/>
              </w:rPr>
              <w:t>Murray</w:t>
            </w:r>
          </w:p>
        </w:tc>
        <w:tc>
          <w:tcPr>
            <w:tcW w:w="1191" w:type="dxa"/>
          </w:tcPr>
          <w:p w:rsidR="008E6A97" w:rsidRDefault="008E6A97" w:rsidP="003D4127">
            <w:pPr>
              <w:pStyle w:val="TableParagraph"/>
              <w:spacing w:before="67"/>
              <w:ind w:left="112"/>
              <w:rPr>
                <w:sz w:val="16"/>
              </w:rPr>
            </w:pPr>
            <w:r>
              <w:rPr>
                <w:color w:val="231F20"/>
                <w:sz w:val="16"/>
              </w:rPr>
              <w:t>362,360</w:t>
            </w:r>
          </w:p>
        </w:tc>
        <w:tc>
          <w:tcPr>
            <w:tcW w:w="2258" w:type="dxa"/>
          </w:tcPr>
          <w:p w:rsidR="008E6A97" w:rsidRDefault="008E6A97" w:rsidP="003D4127">
            <w:pPr>
              <w:pStyle w:val="TableParagraph"/>
              <w:spacing w:before="67"/>
              <w:ind w:left="112"/>
              <w:rPr>
                <w:sz w:val="16"/>
              </w:rPr>
            </w:pPr>
            <w:r>
              <w:rPr>
                <w:color w:val="231F20"/>
                <w:sz w:val="16"/>
              </w:rPr>
              <w:t>High-reliability water share</w:t>
            </w:r>
          </w:p>
        </w:tc>
      </w:tr>
      <w:tr w:rsidR="008E6A97" w:rsidTr="003D4127">
        <w:trPr>
          <w:trHeight w:val="333"/>
        </w:trPr>
        <w:tc>
          <w:tcPr>
            <w:tcW w:w="1191" w:type="dxa"/>
          </w:tcPr>
          <w:p w:rsidR="008E6A97" w:rsidRDefault="008E6A97" w:rsidP="003D4127">
            <w:pPr>
              <w:pStyle w:val="TableParagraph"/>
              <w:ind w:left="0"/>
              <w:rPr>
                <w:rFonts w:ascii="Times New Roman"/>
                <w:sz w:val="18"/>
              </w:rPr>
            </w:pPr>
          </w:p>
        </w:tc>
        <w:tc>
          <w:tcPr>
            <w:tcW w:w="1191" w:type="dxa"/>
          </w:tcPr>
          <w:p w:rsidR="008E6A97" w:rsidRDefault="008E6A97" w:rsidP="003D4127">
            <w:pPr>
              <w:pStyle w:val="TableParagraph"/>
              <w:spacing w:before="67"/>
              <w:ind w:left="112"/>
              <w:rPr>
                <w:sz w:val="16"/>
              </w:rPr>
            </w:pPr>
            <w:r>
              <w:rPr>
                <w:color w:val="231F20"/>
                <w:sz w:val="16"/>
              </w:rPr>
              <w:t>35,413</w:t>
            </w:r>
          </w:p>
        </w:tc>
        <w:tc>
          <w:tcPr>
            <w:tcW w:w="2258" w:type="dxa"/>
          </w:tcPr>
          <w:p w:rsidR="008E6A97" w:rsidRDefault="008E6A97" w:rsidP="003D4127">
            <w:pPr>
              <w:pStyle w:val="TableParagraph"/>
              <w:spacing w:before="67"/>
              <w:ind w:left="112"/>
              <w:rPr>
                <w:sz w:val="16"/>
              </w:rPr>
            </w:pPr>
            <w:r>
              <w:rPr>
                <w:color w:val="231F20"/>
                <w:sz w:val="16"/>
              </w:rPr>
              <w:t>Low-reliability water share</w:t>
            </w:r>
          </w:p>
        </w:tc>
      </w:tr>
      <w:tr w:rsidR="008E6A97" w:rsidTr="003D4127">
        <w:trPr>
          <w:trHeight w:val="333"/>
        </w:trPr>
        <w:tc>
          <w:tcPr>
            <w:tcW w:w="1191" w:type="dxa"/>
          </w:tcPr>
          <w:p w:rsidR="008E6A97" w:rsidRDefault="008E6A97" w:rsidP="003D4127">
            <w:pPr>
              <w:pStyle w:val="TableParagraph"/>
              <w:spacing w:before="67"/>
              <w:ind w:left="113"/>
              <w:rPr>
                <w:sz w:val="16"/>
              </w:rPr>
            </w:pPr>
            <w:r>
              <w:rPr>
                <w:color w:val="231F20"/>
                <w:sz w:val="16"/>
              </w:rPr>
              <w:t>Ovens</w:t>
            </w:r>
          </w:p>
        </w:tc>
        <w:tc>
          <w:tcPr>
            <w:tcW w:w="1191" w:type="dxa"/>
          </w:tcPr>
          <w:p w:rsidR="008E6A97" w:rsidRDefault="008E6A97" w:rsidP="003D4127">
            <w:pPr>
              <w:pStyle w:val="TableParagraph"/>
              <w:spacing w:before="67"/>
              <w:ind w:left="112"/>
              <w:rPr>
                <w:sz w:val="16"/>
              </w:rPr>
            </w:pPr>
            <w:r>
              <w:rPr>
                <w:color w:val="231F20"/>
                <w:sz w:val="16"/>
              </w:rPr>
              <w:t>123</w:t>
            </w:r>
          </w:p>
        </w:tc>
        <w:tc>
          <w:tcPr>
            <w:tcW w:w="2258" w:type="dxa"/>
          </w:tcPr>
          <w:p w:rsidR="008E6A97" w:rsidRDefault="008E6A97" w:rsidP="003D4127">
            <w:pPr>
              <w:pStyle w:val="TableParagraph"/>
              <w:spacing w:before="67"/>
              <w:ind w:left="112"/>
              <w:rPr>
                <w:sz w:val="16"/>
              </w:rPr>
            </w:pPr>
            <w:r>
              <w:rPr>
                <w:color w:val="231F20"/>
                <w:sz w:val="16"/>
              </w:rPr>
              <w:t>High-reliability water share</w:t>
            </w:r>
          </w:p>
        </w:tc>
      </w:tr>
      <w:tr w:rsidR="008E6A97" w:rsidTr="003D4127">
        <w:trPr>
          <w:trHeight w:val="533"/>
        </w:trPr>
        <w:tc>
          <w:tcPr>
            <w:tcW w:w="1191" w:type="dxa"/>
          </w:tcPr>
          <w:p w:rsidR="008E6A97" w:rsidRDefault="008E6A97" w:rsidP="003D4127">
            <w:pPr>
              <w:pStyle w:val="TableParagraph"/>
              <w:spacing w:before="67" w:line="261" w:lineRule="auto"/>
              <w:ind w:left="113" w:right="310"/>
              <w:rPr>
                <w:sz w:val="16"/>
              </w:rPr>
            </w:pPr>
            <w:r>
              <w:rPr>
                <w:color w:val="231F20"/>
                <w:sz w:val="16"/>
              </w:rPr>
              <w:t>WimmeraMallee</w:t>
            </w:r>
          </w:p>
        </w:tc>
        <w:tc>
          <w:tcPr>
            <w:tcW w:w="1191" w:type="dxa"/>
          </w:tcPr>
          <w:p w:rsidR="008E6A97" w:rsidRDefault="008E6A97" w:rsidP="003D4127">
            <w:pPr>
              <w:pStyle w:val="TableParagraph"/>
              <w:spacing w:before="67"/>
              <w:ind w:left="112"/>
              <w:rPr>
                <w:sz w:val="16"/>
              </w:rPr>
            </w:pPr>
            <w:r>
              <w:rPr>
                <w:color w:val="231F20"/>
                <w:sz w:val="16"/>
              </w:rPr>
              <w:t>28,000</w:t>
            </w:r>
          </w:p>
        </w:tc>
        <w:tc>
          <w:tcPr>
            <w:tcW w:w="2258" w:type="dxa"/>
          </w:tcPr>
          <w:p w:rsidR="008E6A97" w:rsidRDefault="008E6A97" w:rsidP="003D4127">
            <w:pPr>
              <w:pStyle w:val="TableParagraph"/>
              <w:spacing w:before="67"/>
              <w:ind w:left="112"/>
              <w:rPr>
                <w:sz w:val="16"/>
              </w:rPr>
            </w:pPr>
            <w:r>
              <w:rPr>
                <w:color w:val="231F20"/>
                <w:sz w:val="16"/>
              </w:rPr>
              <w:t>Low-reliability water share</w:t>
            </w:r>
          </w:p>
        </w:tc>
      </w:tr>
    </w:tbl>
    <w:p w:rsidR="006A7A3F" w:rsidRDefault="006A7A3F">
      <w:pPr>
        <w:pStyle w:val="BodyText"/>
        <w:spacing w:before="8"/>
        <w:ind w:left="0"/>
        <w:rPr>
          <w:b/>
          <w:sz w:val="29"/>
        </w:rPr>
      </w:pPr>
    </w:p>
    <w:p w:rsidR="006A7A3F" w:rsidRDefault="00BC7372">
      <w:pPr>
        <w:pStyle w:val="Heading4"/>
        <w:spacing w:before="92"/>
      </w:pPr>
      <w:r>
        <w:rPr>
          <w:color w:val="231F20"/>
        </w:rPr>
        <w:t>Water for the environment and non-government agencies</w:t>
      </w:r>
    </w:p>
    <w:p w:rsidR="006A7A3F" w:rsidRDefault="00BC7372">
      <w:pPr>
        <w:pStyle w:val="BodyText"/>
        <w:spacing w:before="59" w:line="249" w:lineRule="auto"/>
        <w:ind w:right="100"/>
      </w:pPr>
      <w:r>
        <w:rPr>
          <w:color w:val="231F20"/>
        </w:rPr>
        <w:t>In 2007, the Murray–Darling Wetlands Working Group (MDWWG) and the Nature Conservancy — both non- government organisations — partnered to own and manage the Environmental Water Trust. To date, the MDWWG has been very active in wetland protection and management in New South Wales through partnerships with</w:t>
      </w:r>
    </w:p>
    <w:p w:rsidR="006A7A3F" w:rsidRDefault="00BC7372">
      <w:pPr>
        <w:pStyle w:val="BodyText"/>
        <w:spacing w:before="2" w:line="249" w:lineRule="auto"/>
        <w:ind w:right="100"/>
      </w:pPr>
      <w:r>
        <w:rPr>
          <w:color w:val="231F20"/>
        </w:rPr>
        <w:t>state and federal governments. Since 2017–18, the MDWWG has partnered with some catchment management authorities in northern Victoria to deliver water for the environment to wetlands on private land. These deliveries are outside the Victorian Water Holdings and are therefore not covered by this seasonal watering plan.</w:t>
      </w:r>
    </w:p>
    <w:p w:rsidR="006A7A3F" w:rsidRDefault="00BC7372">
      <w:pPr>
        <w:pStyle w:val="BodyText"/>
        <w:spacing w:before="173" w:line="249" w:lineRule="auto"/>
        <w:ind w:right="230"/>
      </w:pPr>
      <w:r>
        <w:rPr>
          <w:color w:val="231F20"/>
        </w:rPr>
        <w:t xml:space="preserve">For more information about the MDWWG and the </w:t>
      </w:r>
      <w:r>
        <w:rPr>
          <w:color w:val="231F20"/>
          <w:spacing w:val="-4"/>
        </w:rPr>
        <w:t xml:space="preserve">Environmental </w:t>
      </w:r>
      <w:r>
        <w:rPr>
          <w:color w:val="231F20"/>
          <w:spacing w:val="-6"/>
        </w:rPr>
        <w:t xml:space="preserve">Water </w:t>
      </w:r>
      <w:r>
        <w:rPr>
          <w:color w:val="231F20"/>
          <w:spacing w:val="-5"/>
        </w:rPr>
        <w:t xml:space="preserve">Trust, </w:t>
      </w:r>
      <w:r>
        <w:rPr>
          <w:color w:val="231F20"/>
          <w:spacing w:val="-3"/>
        </w:rPr>
        <w:t xml:space="preserve">see </w:t>
      </w:r>
      <w:r>
        <w:rPr>
          <w:color w:val="205E9E"/>
          <w:spacing w:val="-4"/>
          <w:u w:val="single" w:color="205E9E"/>
        </w:rPr>
        <w:t>murraydarlingwetlands.com.au</w:t>
      </w:r>
      <w:r>
        <w:rPr>
          <w:color w:val="205E9E"/>
          <w:spacing w:val="-4"/>
        </w:rPr>
        <w:t xml:space="preserve"> </w:t>
      </w:r>
      <w:r>
        <w:rPr>
          <w:color w:val="231F20"/>
        </w:rPr>
        <w:t xml:space="preserve">and </w:t>
      </w:r>
      <w:r>
        <w:rPr>
          <w:color w:val="205E9E"/>
          <w:u w:val="single" w:color="205E9E"/>
        </w:rPr>
        <w:t>environmentalwatertrust.org.au</w:t>
      </w:r>
      <w:r>
        <w:rPr>
          <w:color w:val="231F20"/>
        </w:rPr>
        <w:t>.</w:t>
      </w:r>
    </w:p>
    <w:p w:rsidR="008E6A97" w:rsidRDefault="008E6A97">
      <w:pPr>
        <w:rPr>
          <w:sz w:val="20"/>
          <w:szCs w:val="20"/>
        </w:rPr>
      </w:pPr>
      <w:r>
        <w:rPr>
          <w:b/>
          <w:bCs/>
          <w:sz w:val="20"/>
          <w:szCs w:val="20"/>
        </w:rPr>
        <w:br w:type="page"/>
      </w:r>
    </w:p>
    <w:p w:rsidR="006A7A3F" w:rsidRDefault="00BC7372" w:rsidP="009B6917">
      <w:pPr>
        <w:pStyle w:val="Heading4"/>
        <w:numPr>
          <w:ilvl w:val="2"/>
          <w:numId w:val="1412"/>
        </w:numPr>
        <w:tabs>
          <w:tab w:val="left" w:pos="931"/>
        </w:tabs>
        <w:spacing w:before="1" w:line="242" w:lineRule="auto"/>
        <w:ind w:right="951" w:firstLine="0"/>
      </w:pPr>
      <w:r>
        <w:rPr>
          <w:color w:val="231F20"/>
        </w:rPr>
        <w:t>What options are available to effectively and efficiently manage water for the environment?</w:t>
      </w:r>
    </w:p>
    <w:p w:rsidR="006A7A3F" w:rsidRDefault="00BC7372">
      <w:pPr>
        <w:spacing w:before="116"/>
        <w:ind w:left="210"/>
        <w:rPr>
          <w:b/>
          <w:sz w:val="24"/>
        </w:rPr>
      </w:pPr>
      <w:r>
        <w:rPr>
          <w:b/>
          <w:color w:val="231F20"/>
          <w:sz w:val="24"/>
        </w:rPr>
        <w:t>Other water sources</w:t>
      </w:r>
    </w:p>
    <w:p w:rsidR="006A7A3F" w:rsidRDefault="00BC7372">
      <w:pPr>
        <w:pStyle w:val="BodyText"/>
        <w:spacing w:before="58" w:line="249" w:lineRule="auto"/>
        <w:ind w:right="218"/>
      </w:pPr>
      <w:r>
        <w:rPr>
          <w:color w:val="231F20"/>
        </w:rPr>
        <w:t>Water for the environment is not the only type of water that can support river, wetland and floodplain health. Waterway managers and environmental water holders in consultation with storage managers consider the potential for environmental watering objectives to be met by other sources of water. The timing of environmental releases can be coordinated with other sources of water to achieve greater benefits than an environmental release alone could achieve. Other sources of water can include:</w:t>
      </w:r>
    </w:p>
    <w:p w:rsidR="006A7A3F" w:rsidRDefault="00BC7372" w:rsidP="009B6917">
      <w:pPr>
        <w:pStyle w:val="ListParagraph"/>
        <w:numPr>
          <w:ilvl w:val="0"/>
          <w:numId w:val="1419"/>
        </w:numPr>
        <w:tabs>
          <w:tab w:val="left" w:pos="493"/>
          <w:tab w:val="left" w:pos="494"/>
        </w:tabs>
        <w:spacing w:before="89" w:line="249" w:lineRule="auto"/>
        <w:ind w:right="840"/>
        <w:rPr>
          <w:sz w:val="20"/>
        </w:rPr>
      </w:pPr>
      <w:r>
        <w:rPr>
          <w:b/>
          <w:color w:val="231F20"/>
          <w:sz w:val="20"/>
        </w:rPr>
        <w:t xml:space="preserve">system operating water </w:t>
      </w:r>
      <w:r>
        <w:rPr>
          <w:color w:val="231F20"/>
          <w:sz w:val="20"/>
        </w:rPr>
        <w:t>including passing flows, which maintains a minimum flow for operational and/or environmental purposes in many rivers, to which water for the environment can be</w:t>
      </w:r>
      <w:r>
        <w:rPr>
          <w:color w:val="231F20"/>
          <w:spacing w:val="-22"/>
          <w:sz w:val="20"/>
        </w:rPr>
        <w:t xml:space="preserve"> </w:t>
      </w:r>
      <w:r>
        <w:rPr>
          <w:color w:val="231F20"/>
          <w:sz w:val="20"/>
        </w:rPr>
        <w:t>added</w:t>
      </w:r>
    </w:p>
    <w:p w:rsidR="006A7A3F" w:rsidRDefault="00BC7372" w:rsidP="009B6917">
      <w:pPr>
        <w:pStyle w:val="ListParagraph"/>
        <w:numPr>
          <w:ilvl w:val="0"/>
          <w:numId w:val="1419"/>
        </w:numPr>
        <w:tabs>
          <w:tab w:val="left" w:pos="493"/>
          <w:tab w:val="left" w:pos="494"/>
        </w:tabs>
        <w:spacing w:before="87" w:line="249" w:lineRule="auto"/>
        <w:ind w:right="574"/>
        <w:rPr>
          <w:sz w:val="20"/>
        </w:rPr>
      </w:pPr>
      <w:r>
        <w:rPr>
          <w:b/>
          <w:color w:val="231F20"/>
          <w:sz w:val="20"/>
        </w:rPr>
        <w:t xml:space="preserve">heavy rainfall </w:t>
      </w:r>
      <w:r>
        <w:rPr>
          <w:color w:val="231F20"/>
          <w:sz w:val="20"/>
        </w:rPr>
        <w:t>resulting in unregulated flows, which can naturally meet an environmental objective, so water available</w:t>
      </w:r>
      <w:r>
        <w:rPr>
          <w:color w:val="231F20"/>
          <w:spacing w:val="-5"/>
          <w:sz w:val="20"/>
        </w:rPr>
        <w:t xml:space="preserve"> </w:t>
      </w:r>
      <w:r>
        <w:rPr>
          <w:color w:val="231F20"/>
          <w:sz w:val="20"/>
        </w:rPr>
        <w:t>under</w:t>
      </w:r>
      <w:r>
        <w:rPr>
          <w:color w:val="231F20"/>
          <w:spacing w:val="-4"/>
          <w:sz w:val="20"/>
        </w:rPr>
        <w:t xml:space="preserve"> </w:t>
      </w:r>
      <w:r>
        <w:rPr>
          <w:color w:val="231F20"/>
          <w:sz w:val="20"/>
        </w:rPr>
        <w:t>environmental</w:t>
      </w:r>
      <w:r>
        <w:rPr>
          <w:color w:val="231F20"/>
          <w:spacing w:val="-4"/>
          <w:sz w:val="20"/>
        </w:rPr>
        <w:t xml:space="preserve"> </w:t>
      </w:r>
      <w:r>
        <w:rPr>
          <w:color w:val="231F20"/>
          <w:sz w:val="20"/>
        </w:rPr>
        <w:t>water</w:t>
      </w:r>
      <w:r>
        <w:rPr>
          <w:color w:val="231F20"/>
          <w:spacing w:val="-4"/>
          <w:sz w:val="20"/>
        </w:rPr>
        <w:t xml:space="preserve"> </w:t>
      </w:r>
      <w:r>
        <w:rPr>
          <w:color w:val="231F20"/>
          <w:sz w:val="20"/>
        </w:rPr>
        <w:t>entitlements</w:t>
      </w:r>
      <w:r>
        <w:rPr>
          <w:color w:val="231F20"/>
          <w:spacing w:val="-4"/>
          <w:sz w:val="20"/>
        </w:rPr>
        <w:t xml:space="preserve"> </w:t>
      </w:r>
      <w:r>
        <w:rPr>
          <w:color w:val="231F20"/>
          <w:sz w:val="20"/>
        </w:rPr>
        <w:t>is</w:t>
      </w:r>
      <w:r>
        <w:rPr>
          <w:color w:val="231F20"/>
          <w:spacing w:val="-4"/>
          <w:sz w:val="20"/>
        </w:rPr>
        <w:t xml:space="preserve"> </w:t>
      </w:r>
      <w:r>
        <w:rPr>
          <w:color w:val="231F20"/>
          <w:sz w:val="20"/>
        </w:rPr>
        <w:t>not</w:t>
      </w:r>
      <w:r>
        <w:rPr>
          <w:color w:val="231F20"/>
          <w:spacing w:val="-4"/>
          <w:sz w:val="20"/>
        </w:rPr>
        <w:t xml:space="preserve"> </w:t>
      </w:r>
      <w:r>
        <w:rPr>
          <w:color w:val="231F20"/>
          <w:sz w:val="20"/>
        </w:rPr>
        <w:t>needed</w:t>
      </w:r>
      <w:r>
        <w:rPr>
          <w:color w:val="231F20"/>
          <w:spacing w:val="-5"/>
          <w:sz w:val="20"/>
        </w:rPr>
        <w:t xml:space="preserve"> </w:t>
      </w:r>
      <w:r>
        <w:rPr>
          <w:color w:val="231F20"/>
          <w:sz w:val="20"/>
        </w:rPr>
        <w:t>or</w:t>
      </w:r>
      <w:r>
        <w:rPr>
          <w:color w:val="231F20"/>
          <w:spacing w:val="-4"/>
          <w:sz w:val="20"/>
        </w:rPr>
        <w:t xml:space="preserve"> </w:t>
      </w:r>
      <w:r>
        <w:rPr>
          <w:color w:val="231F20"/>
          <w:sz w:val="20"/>
        </w:rPr>
        <w:t>could</w:t>
      </w:r>
      <w:r>
        <w:rPr>
          <w:color w:val="231F20"/>
          <w:spacing w:val="-3"/>
          <w:sz w:val="20"/>
        </w:rPr>
        <w:t xml:space="preserve"> </w:t>
      </w:r>
      <w:r>
        <w:rPr>
          <w:color w:val="231F20"/>
          <w:sz w:val="20"/>
        </w:rPr>
        <w:t>be</w:t>
      </w:r>
      <w:r>
        <w:rPr>
          <w:color w:val="231F20"/>
          <w:spacing w:val="-4"/>
          <w:sz w:val="20"/>
        </w:rPr>
        <w:t xml:space="preserve"> </w:t>
      </w:r>
      <w:r>
        <w:rPr>
          <w:color w:val="231F20"/>
          <w:sz w:val="20"/>
        </w:rPr>
        <w:t>added</w:t>
      </w:r>
      <w:r>
        <w:rPr>
          <w:color w:val="231F20"/>
          <w:spacing w:val="-4"/>
          <w:sz w:val="20"/>
        </w:rPr>
        <w:t xml:space="preserve"> </w:t>
      </w:r>
      <w:r>
        <w:rPr>
          <w:color w:val="231F20"/>
          <w:sz w:val="20"/>
        </w:rPr>
        <w:t>to</w:t>
      </w:r>
      <w:r>
        <w:rPr>
          <w:color w:val="231F20"/>
          <w:spacing w:val="-3"/>
          <w:sz w:val="20"/>
        </w:rPr>
        <w:t xml:space="preserve"> </w:t>
      </w:r>
      <w:r>
        <w:rPr>
          <w:color w:val="231F20"/>
          <w:sz w:val="20"/>
        </w:rPr>
        <w:t>extend</w:t>
      </w:r>
      <w:r>
        <w:rPr>
          <w:color w:val="231F20"/>
          <w:spacing w:val="-5"/>
          <w:sz w:val="20"/>
        </w:rPr>
        <w:t xml:space="preserve"> </w:t>
      </w:r>
      <w:r>
        <w:rPr>
          <w:color w:val="231F20"/>
          <w:sz w:val="20"/>
        </w:rPr>
        <w:t>a</w:t>
      </w:r>
      <w:r>
        <w:rPr>
          <w:color w:val="231F20"/>
          <w:spacing w:val="-4"/>
          <w:sz w:val="20"/>
        </w:rPr>
        <w:t xml:space="preserve"> </w:t>
      </w:r>
      <w:r>
        <w:rPr>
          <w:color w:val="231F20"/>
          <w:sz w:val="20"/>
        </w:rPr>
        <w:t>natural</w:t>
      </w:r>
      <w:r>
        <w:rPr>
          <w:color w:val="231F20"/>
          <w:spacing w:val="-4"/>
          <w:sz w:val="20"/>
        </w:rPr>
        <w:t xml:space="preserve"> </w:t>
      </w:r>
      <w:r>
        <w:rPr>
          <w:color w:val="231F20"/>
          <w:sz w:val="20"/>
        </w:rPr>
        <w:t>flow</w:t>
      </w:r>
    </w:p>
    <w:p w:rsidR="006A7A3F" w:rsidRDefault="00BC7372" w:rsidP="009B6917">
      <w:pPr>
        <w:pStyle w:val="ListParagraph"/>
        <w:numPr>
          <w:ilvl w:val="0"/>
          <w:numId w:val="1419"/>
        </w:numPr>
        <w:tabs>
          <w:tab w:val="left" w:pos="493"/>
          <w:tab w:val="left" w:pos="494"/>
        </w:tabs>
        <w:spacing w:before="86" w:line="249" w:lineRule="auto"/>
        <w:ind w:right="296"/>
        <w:rPr>
          <w:sz w:val="20"/>
        </w:rPr>
      </w:pPr>
      <w:r>
        <w:rPr>
          <w:b/>
          <w:color w:val="231F20"/>
          <w:sz w:val="20"/>
        </w:rPr>
        <w:t>alterations to the timing and route of delivery of consumptive water</w:t>
      </w:r>
      <w:r>
        <w:rPr>
          <w:color w:val="231F20"/>
          <w:sz w:val="20"/>
        </w:rPr>
        <w:t>, which can achieve environmental objectives without detriment to consumptive water users: water for the environment is sometimes used to cover any additional losses associated with the altered delivery of consumptive</w:t>
      </w:r>
      <w:r>
        <w:rPr>
          <w:color w:val="231F20"/>
          <w:spacing w:val="-15"/>
          <w:sz w:val="20"/>
        </w:rPr>
        <w:t xml:space="preserve"> </w:t>
      </w:r>
      <w:r>
        <w:rPr>
          <w:color w:val="231F20"/>
          <w:spacing w:val="-3"/>
          <w:sz w:val="20"/>
        </w:rPr>
        <w:t>water.</w:t>
      </w:r>
    </w:p>
    <w:p w:rsidR="006A7A3F" w:rsidRDefault="00BC7372">
      <w:pPr>
        <w:pStyle w:val="BodyText"/>
        <w:spacing w:before="173" w:line="249" w:lineRule="auto"/>
        <w:ind w:right="677"/>
        <w:jc w:val="both"/>
      </w:pPr>
      <w:r>
        <w:rPr>
          <w:color w:val="231F20"/>
        </w:rPr>
        <w:t>These types of water are considered in the development and implementation of the seasonal watering plan, to ensure effective system operations and efficient use of water for the environment, and to achieve the greatest benefit to the environment.</w:t>
      </w:r>
    </w:p>
    <w:p w:rsidR="006A7A3F" w:rsidRDefault="006A7A3F">
      <w:pPr>
        <w:pStyle w:val="BodyText"/>
        <w:spacing w:before="1"/>
        <w:ind w:left="0"/>
      </w:pPr>
    </w:p>
    <w:p w:rsidR="006A7A3F" w:rsidRDefault="00BC7372">
      <w:pPr>
        <w:pStyle w:val="Heading4"/>
        <w:spacing w:before="1"/>
      </w:pPr>
      <w:r>
        <w:rPr>
          <w:color w:val="231F20"/>
        </w:rPr>
        <w:t>Return flows</w:t>
      </w:r>
    </w:p>
    <w:p w:rsidR="006A7A3F" w:rsidRDefault="00BC7372">
      <w:pPr>
        <w:pStyle w:val="BodyText"/>
        <w:spacing w:before="58" w:line="249" w:lineRule="auto"/>
        <w:ind w:right="219"/>
      </w:pPr>
      <w:r>
        <w:rPr>
          <w:color w:val="231F20"/>
        </w:rPr>
        <w:t>In some systems, water for the environment delivered through upstream sites can be used again downstream. This helps to ensure water for the environment is used efficiently and effectively, to achieve the greatest environmental benefits.</w:t>
      </w:r>
    </w:p>
    <w:p w:rsidR="006A7A3F" w:rsidRDefault="00BC7372">
      <w:pPr>
        <w:pStyle w:val="BodyText"/>
        <w:spacing w:line="249" w:lineRule="auto"/>
        <w:ind w:right="196"/>
      </w:pPr>
      <w:r>
        <w:rPr>
          <w:color w:val="231F20"/>
        </w:rPr>
        <w:t>This reuse policy (known as return flows) is available in many systems across northern Victoria. It makes use of water for the environment more efficient, and it helps reduce the volume of water that needs to be recovered for the environment from consumptive water users.</w:t>
      </w:r>
    </w:p>
    <w:p w:rsidR="006A7A3F" w:rsidRDefault="00BC7372" w:rsidP="008E6A97">
      <w:pPr>
        <w:pStyle w:val="BodyText"/>
        <w:spacing w:before="173" w:line="249" w:lineRule="auto"/>
        <w:ind w:right="220"/>
      </w:pPr>
      <w:r>
        <w:rPr>
          <w:color w:val="231F20"/>
        </w:rPr>
        <w:t>The VEWH’s access to return flows is enabled through rules in its environmental water entitlements. Reuse of return flows is also available to the CEWH and The Living Murray program, when the VEWH delivers water on their</w:t>
      </w:r>
      <w:r w:rsidR="008E6A97">
        <w:t xml:space="preserve"> </w:t>
      </w:r>
      <w:r>
        <w:rPr>
          <w:color w:val="231F20"/>
        </w:rPr>
        <w:t>behalf.</w:t>
      </w:r>
    </w:p>
    <w:p w:rsidR="006A7A3F" w:rsidRDefault="00BC7372">
      <w:pPr>
        <w:pStyle w:val="BodyText"/>
        <w:spacing w:before="180" w:line="249" w:lineRule="auto"/>
        <w:ind w:right="396"/>
      </w:pPr>
      <w:r>
        <w:rPr>
          <w:color w:val="231F20"/>
        </w:rPr>
        <w:t>Where possible, return flows are reused to provide benefits at Victorian environmental sites. If not needed in Victoria, VEWH, Living Murray and CEWH return flows will continue to flow across the border to South Australia where they will be used to provide environmental benefits at sites such as the Coorong, Lower Lakes and Murray Mouth area.</w:t>
      </w:r>
    </w:p>
    <w:p w:rsidR="006A7A3F" w:rsidRDefault="006A7A3F">
      <w:pPr>
        <w:pStyle w:val="BodyText"/>
        <w:spacing w:before="3"/>
        <w:ind w:left="0"/>
      </w:pPr>
    </w:p>
    <w:p w:rsidR="006A7A3F" w:rsidRDefault="00BC7372">
      <w:pPr>
        <w:pStyle w:val="Heading4"/>
      </w:pPr>
      <w:r>
        <w:rPr>
          <w:color w:val="231F20"/>
        </w:rPr>
        <w:t>Carryover</w:t>
      </w:r>
    </w:p>
    <w:p w:rsidR="006A7A3F" w:rsidRDefault="00BC7372">
      <w:pPr>
        <w:pStyle w:val="BodyText"/>
        <w:spacing w:before="58" w:line="249" w:lineRule="auto"/>
        <w:ind w:right="100"/>
      </w:pPr>
      <w:r>
        <w:rPr>
          <w:color w:val="231F20"/>
        </w:rPr>
        <w:t>Some entitlements allow the VEWH to carry over unused water to the following water year. This means that water allocated in one year can be kept in storages for use in the following year, subject to certain conditions.</w:t>
      </w:r>
    </w:p>
    <w:p w:rsidR="006A7A3F" w:rsidRDefault="00BC7372">
      <w:pPr>
        <w:pStyle w:val="BodyText"/>
        <w:spacing w:line="249" w:lineRule="auto"/>
        <w:ind w:right="219"/>
      </w:pPr>
      <w:r>
        <w:rPr>
          <w:color w:val="231F20"/>
        </w:rPr>
        <w:t>Carryover provides flexibility and enables water for the environment to be delivered when it is of the greatest value to the environment. For example, carryover can help ensure environmental water holders can meet high winter and spring demands when there is a risk there will be little water available under entitlements at the beginning of the water year.</w:t>
      </w:r>
    </w:p>
    <w:p w:rsidR="006A7A3F" w:rsidRDefault="00BC7372">
      <w:pPr>
        <w:pStyle w:val="BodyText"/>
        <w:spacing w:before="173" w:line="249" w:lineRule="auto"/>
        <w:ind w:right="819"/>
      </w:pPr>
      <w:r>
        <w:rPr>
          <w:color w:val="231F20"/>
        </w:rPr>
        <w:t>Carryover can also be used to set water aside to maintain key refuge areas and avoid catastrophic events in drought periods.</w:t>
      </w:r>
    </w:p>
    <w:p w:rsidR="008E6A97" w:rsidRDefault="008E6A97">
      <w:pPr>
        <w:rPr>
          <w:sz w:val="20"/>
          <w:szCs w:val="20"/>
        </w:rPr>
      </w:pPr>
      <w:r>
        <w:br w:type="page"/>
      </w:r>
    </w:p>
    <w:p w:rsidR="006A7A3F" w:rsidRDefault="00BC7372">
      <w:pPr>
        <w:pStyle w:val="Heading4"/>
      </w:pPr>
      <w:r>
        <w:rPr>
          <w:color w:val="231F20"/>
        </w:rPr>
        <w:t>Water trading</w:t>
      </w:r>
    </w:p>
    <w:p w:rsidR="006A7A3F" w:rsidRDefault="00BC7372">
      <w:pPr>
        <w:pStyle w:val="BodyText"/>
        <w:spacing w:before="58" w:line="249" w:lineRule="auto"/>
        <w:ind w:right="100"/>
      </w:pPr>
      <w:r>
        <w:rPr>
          <w:color w:val="231F20"/>
        </w:rPr>
        <w:t>Water trading allows the VEWH to smooth out some of the variability in water availability across systems and years. Under certain circumstances, it can enable the VEWH to move water to the systems where it is most needed. The VEWH can trade water allocated to its entitlements by:</w:t>
      </w:r>
    </w:p>
    <w:p w:rsidR="006A7A3F" w:rsidRDefault="00BC7372" w:rsidP="009B6917">
      <w:pPr>
        <w:pStyle w:val="ListParagraph"/>
        <w:numPr>
          <w:ilvl w:val="0"/>
          <w:numId w:val="1419"/>
        </w:numPr>
        <w:tabs>
          <w:tab w:val="left" w:pos="493"/>
          <w:tab w:val="left" w:pos="494"/>
        </w:tabs>
        <w:spacing w:before="88"/>
        <w:ind w:hanging="281"/>
        <w:rPr>
          <w:sz w:val="20"/>
        </w:rPr>
      </w:pPr>
      <w:r>
        <w:rPr>
          <w:color w:val="231F20"/>
          <w:sz w:val="20"/>
        </w:rPr>
        <w:t>administrative water transfers between the VEWH’s</w:t>
      </w:r>
      <w:r>
        <w:rPr>
          <w:color w:val="231F20"/>
          <w:spacing w:val="-6"/>
          <w:sz w:val="20"/>
        </w:rPr>
        <w:t xml:space="preserve"> </w:t>
      </w:r>
      <w:r>
        <w:rPr>
          <w:color w:val="231F20"/>
          <w:sz w:val="20"/>
        </w:rPr>
        <w:t>entitlements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administrative water transfers with other water</w:t>
      </w:r>
      <w:r>
        <w:rPr>
          <w:color w:val="231F20"/>
          <w:spacing w:val="-8"/>
          <w:sz w:val="20"/>
        </w:rPr>
        <w:t xml:space="preserve"> </w:t>
      </w:r>
      <w:r>
        <w:rPr>
          <w:color w:val="231F20"/>
          <w:sz w:val="20"/>
        </w:rPr>
        <w:t>holders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purchasing water</w:t>
      </w:r>
      <w:r>
        <w:rPr>
          <w:color w:val="231F20"/>
          <w:spacing w:val="-3"/>
          <w:sz w:val="20"/>
        </w:rPr>
        <w:t xml:space="preserve"> </w:t>
      </w:r>
      <w:r>
        <w:rPr>
          <w:color w:val="231F20"/>
          <w:sz w:val="20"/>
        </w:rPr>
        <w:t>allocation</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selling water</w:t>
      </w:r>
      <w:r>
        <w:rPr>
          <w:color w:val="231F20"/>
          <w:spacing w:val="-2"/>
          <w:sz w:val="20"/>
        </w:rPr>
        <w:t xml:space="preserve"> </w:t>
      </w:r>
      <w:r>
        <w:rPr>
          <w:color w:val="231F20"/>
          <w:sz w:val="20"/>
        </w:rPr>
        <w:t>allocation.</w:t>
      </w:r>
    </w:p>
    <w:p w:rsidR="006A7A3F" w:rsidRDefault="00BC7372">
      <w:pPr>
        <w:pStyle w:val="BodyText"/>
        <w:spacing w:before="180" w:line="249" w:lineRule="auto"/>
        <w:ind w:right="397"/>
      </w:pPr>
      <w:r>
        <w:rPr>
          <w:color w:val="231F20"/>
        </w:rPr>
        <w:t>Administrative water transfers are the most common trades the VEWH undertakes. These occur between the VEWH’s entitlements (or accounts) to move water to where it is most needed. Other environmental water holders also transfer their water to the VEWH for delivery in Victoria. These types of water trades are often referred to as administrative water transfers, as there is no financial consideration associated with the trade.</w:t>
      </w:r>
    </w:p>
    <w:p w:rsidR="006A7A3F" w:rsidRDefault="00BC7372">
      <w:pPr>
        <w:pStyle w:val="BodyText"/>
        <w:spacing w:before="174" w:line="249" w:lineRule="auto"/>
        <w:ind w:right="100"/>
      </w:pPr>
      <w:r>
        <w:rPr>
          <w:color w:val="231F20"/>
        </w:rPr>
        <w:t>The VEWH can also buy or sell water allocation where it is in line with its statutory objectives: essentially, if it optimises environmental outcomes in Victorian waterways.</w:t>
      </w:r>
    </w:p>
    <w:p w:rsidR="006A7A3F" w:rsidRDefault="00BC7372">
      <w:pPr>
        <w:pStyle w:val="BodyText"/>
        <w:spacing w:before="171" w:line="249" w:lineRule="auto"/>
        <w:ind w:right="100"/>
      </w:pPr>
      <w:r>
        <w:rPr>
          <w:color w:val="231F20"/>
        </w:rPr>
        <w:t>The VEWH has bought or sold a small amount of water allocation each year since it was established in 2011. Water has been purchased to enhance environmental outcomes in systems where insufficient water for the environment was available. Water has also been sold to raise revenue for investment in projects which optimise environmental watering outcomes. The VEWH has typically only sold water where it was not required for a foreseeable environmental demand.</w:t>
      </w:r>
    </w:p>
    <w:p w:rsidR="006A7A3F" w:rsidRDefault="00BC7372">
      <w:pPr>
        <w:pStyle w:val="BodyText"/>
        <w:spacing w:before="174"/>
      </w:pPr>
      <w:r>
        <w:rPr>
          <w:color w:val="231F20"/>
        </w:rPr>
        <w:t>The VEWH can use the revenue raised from the sale of a water allocation to:</w:t>
      </w:r>
    </w:p>
    <w:p w:rsidR="006A7A3F" w:rsidRDefault="00BC7372" w:rsidP="009B6917">
      <w:pPr>
        <w:pStyle w:val="ListParagraph"/>
        <w:numPr>
          <w:ilvl w:val="0"/>
          <w:numId w:val="1419"/>
        </w:numPr>
        <w:tabs>
          <w:tab w:val="left" w:pos="493"/>
          <w:tab w:val="left" w:pos="494"/>
        </w:tabs>
        <w:spacing w:before="96"/>
        <w:ind w:hanging="281"/>
        <w:rPr>
          <w:sz w:val="20"/>
        </w:rPr>
      </w:pPr>
      <w:r>
        <w:rPr>
          <w:color w:val="231F20"/>
          <w:sz w:val="20"/>
        </w:rPr>
        <w:t>purchase water to meet shortfalls in any Victorian</w:t>
      </w:r>
      <w:r>
        <w:rPr>
          <w:color w:val="231F20"/>
          <w:spacing w:val="-7"/>
          <w:sz w:val="20"/>
        </w:rPr>
        <w:t xml:space="preserve"> </w:t>
      </w:r>
      <w:r>
        <w:rPr>
          <w:color w:val="231F20"/>
          <w:sz w:val="20"/>
        </w:rPr>
        <w:t>system</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invest in monitoring or technical studies that will improve the future management of water for the</w:t>
      </w:r>
      <w:r>
        <w:rPr>
          <w:color w:val="231F20"/>
          <w:spacing w:val="-28"/>
          <w:sz w:val="20"/>
        </w:rPr>
        <w:t xml:space="preserve"> </w:t>
      </w:r>
      <w:r>
        <w:rPr>
          <w:color w:val="231F20"/>
          <w:sz w:val="20"/>
        </w:rPr>
        <w:t>environment</w:t>
      </w:r>
    </w:p>
    <w:p w:rsidR="006A7A3F" w:rsidRDefault="00BC7372" w:rsidP="009B6917">
      <w:pPr>
        <w:pStyle w:val="ListParagraph"/>
        <w:numPr>
          <w:ilvl w:val="0"/>
          <w:numId w:val="1419"/>
        </w:numPr>
        <w:tabs>
          <w:tab w:val="left" w:pos="493"/>
          <w:tab w:val="left" w:pos="494"/>
        </w:tabs>
        <w:spacing w:line="249" w:lineRule="auto"/>
        <w:ind w:right="1148"/>
        <w:rPr>
          <w:sz w:val="20"/>
        </w:rPr>
      </w:pPr>
      <w:r>
        <w:rPr>
          <w:color w:val="231F20"/>
          <w:sz w:val="20"/>
        </w:rPr>
        <w:t>invest</w:t>
      </w:r>
      <w:r>
        <w:rPr>
          <w:color w:val="231F20"/>
          <w:spacing w:val="-6"/>
          <w:sz w:val="20"/>
        </w:rPr>
        <w:t xml:space="preserve"> </w:t>
      </w:r>
      <w:r>
        <w:rPr>
          <w:color w:val="231F20"/>
          <w:sz w:val="20"/>
        </w:rPr>
        <w:t>in</w:t>
      </w:r>
      <w:r>
        <w:rPr>
          <w:color w:val="231F20"/>
          <w:spacing w:val="-5"/>
          <w:sz w:val="20"/>
        </w:rPr>
        <w:t xml:space="preserve"> </w:t>
      </w:r>
      <w:r>
        <w:rPr>
          <w:color w:val="231F20"/>
          <w:sz w:val="20"/>
        </w:rPr>
        <w:t>structural</w:t>
      </w:r>
      <w:r>
        <w:rPr>
          <w:color w:val="231F20"/>
          <w:spacing w:val="-5"/>
          <w:sz w:val="20"/>
        </w:rPr>
        <w:t xml:space="preserve"> </w:t>
      </w:r>
      <w:r>
        <w:rPr>
          <w:color w:val="231F20"/>
          <w:sz w:val="20"/>
        </w:rPr>
        <w:t>works</w:t>
      </w:r>
      <w:r>
        <w:rPr>
          <w:color w:val="231F20"/>
          <w:spacing w:val="-5"/>
          <w:sz w:val="20"/>
        </w:rPr>
        <w:t xml:space="preserve"> </w:t>
      </w:r>
      <w:r>
        <w:rPr>
          <w:color w:val="231F20"/>
          <w:sz w:val="20"/>
        </w:rPr>
        <w:t>and</w:t>
      </w:r>
      <w:r>
        <w:rPr>
          <w:color w:val="231F20"/>
          <w:spacing w:val="-5"/>
          <w:sz w:val="20"/>
        </w:rPr>
        <w:t xml:space="preserve"> </w:t>
      </w:r>
      <w:r>
        <w:rPr>
          <w:color w:val="231F20"/>
          <w:sz w:val="20"/>
        </w:rPr>
        <w:t>other</w:t>
      </w:r>
      <w:r>
        <w:rPr>
          <w:color w:val="231F20"/>
          <w:spacing w:val="-6"/>
          <w:sz w:val="20"/>
        </w:rPr>
        <w:t xml:space="preserve"> </w:t>
      </w:r>
      <w:r>
        <w:rPr>
          <w:color w:val="231F20"/>
          <w:sz w:val="20"/>
        </w:rPr>
        <w:t>on-ground</w:t>
      </w:r>
      <w:r>
        <w:rPr>
          <w:color w:val="231F20"/>
          <w:spacing w:val="-5"/>
          <w:sz w:val="20"/>
        </w:rPr>
        <w:t xml:space="preserve"> </w:t>
      </w:r>
      <w:r>
        <w:rPr>
          <w:color w:val="231F20"/>
          <w:sz w:val="20"/>
        </w:rPr>
        <w:t>activities</w:t>
      </w:r>
      <w:r>
        <w:rPr>
          <w:color w:val="231F20"/>
          <w:spacing w:val="-5"/>
          <w:sz w:val="20"/>
        </w:rPr>
        <w:t xml:space="preserve"> </w:t>
      </w:r>
      <w:r>
        <w:rPr>
          <w:color w:val="231F20"/>
          <w:sz w:val="20"/>
        </w:rPr>
        <w:t>that</w:t>
      </w:r>
      <w:r>
        <w:rPr>
          <w:color w:val="231F20"/>
          <w:spacing w:val="-5"/>
          <w:sz w:val="20"/>
        </w:rPr>
        <w:t xml:space="preserve"> </w:t>
      </w:r>
      <w:r>
        <w:rPr>
          <w:color w:val="231F20"/>
          <w:sz w:val="20"/>
        </w:rPr>
        <w:t>will</w:t>
      </w:r>
      <w:r>
        <w:rPr>
          <w:color w:val="231F20"/>
          <w:spacing w:val="-5"/>
          <w:sz w:val="20"/>
        </w:rPr>
        <w:t xml:space="preserve"> </w:t>
      </w:r>
      <w:r>
        <w:rPr>
          <w:color w:val="231F20"/>
          <w:sz w:val="20"/>
        </w:rPr>
        <w:t>improve</w:t>
      </w:r>
      <w:r>
        <w:rPr>
          <w:color w:val="231F20"/>
          <w:spacing w:val="-5"/>
          <w:sz w:val="20"/>
        </w:rPr>
        <w:t xml:space="preserve"> </w:t>
      </w:r>
      <w:r>
        <w:rPr>
          <w:color w:val="231F20"/>
          <w:sz w:val="20"/>
        </w:rPr>
        <w:t>the</w:t>
      </w:r>
      <w:r>
        <w:rPr>
          <w:color w:val="231F20"/>
          <w:spacing w:val="-5"/>
          <w:sz w:val="20"/>
        </w:rPr>
        <w:t xml:space="preserve"> </w:t>
      </w:r>
      <w:r>
        <w:rPr>
          <w:color w:val="231F20"/>
          <w:sz w:val="20"/>
        </w:rPr>
        <w:t>performance</w:t>
      </w:r>
      <w:r>
        <w:rPr>
          <w:color w:val="231F20"/>
          <w:spacing w:val="-5"/>
          <w:sz w:val="20"/>
        </w:rPr>
        <w:t xml:space="preserve"> </w:t>
      </w:r>
      <w:r>
        <w:rPr>
          <w:color w:val="231F20"/>
          <w:sz w:val="20"/>
        </w:rPr>
        <w:t>of</w:t>
      </w:r>
      <w:r>
        <w:rPr>
          <w:color w:val="231F20"/>
          <w:spacing w:val="-5"/>
          <w:sz w:val="20"/>
        </w:rPr>
        <w:t xml:space="preserve"> </w:t>
      </w:r>
      <w:r>
        <w:rPr>
          <w:color w:val="231F20"/>
          <w:sz w:val="20"/>
        </w:rPr>
        <w:t>Victoria’s environmental watering</w:t>
      </w:r>
      <w:r>
        <w:rPr>
          <w:color w:val="231F20"/>
          <w:spacing w:val="-3"/>
          <w:sz w:val="20"/>
        </w:rPr>
        <w:t xml:space="preserve"> </w:t>
      </w:r>
      <w:r>
        <w:rPr>
          <w:color w:val="231F20"/>
          <w:sz w:val="20"/>
        </w:rPr>
        <w:t>program.</w:t>
      </w:r>
    </w:p>
    <w:p w:rsidR="006A7A3F" w:rsidRDefault="00BC7372">
      <w:pPr>
        <w:pStyle w:val="BodyText"/>
        <w:spacing w:before="171" w:line="249" w:lineRule="auto"/>
        <w:ind w:right="141"/>
      </w:pPr>
      <w:r>
        <w:rPr>
          <w:color w:val="231F20"/>
        </w:rPr>
        <w:t>There may be occasions when the VEWH decides to sell water to invest in complementary works, measures, technical studies or other priorities, rather than use it or carry it over. This may occur if projects are shown to optimise environmental watering outcomes for an enduring benefit, beyond what could be achieved with delivering the equivalent volume of traded water in a single year. The VEWH consults with DELWP where these projects have government policy or program implications.</w:t>
      </w:r>
    </w:p>
    <w:p w:rsidR="006A7A3F" w:rsidRDefault="00BC7372">
      <w:pPr>
        <w:pStyle w:val="BodyText"/>
        <w:spacing w:before="175" w:line="249" w:lineRule="auto"/>
        <w:ind w:right="100"/>
      </w:pPr>
      <w:r>
        <w:rPr>
          <w:color w:val="231F20"/>
        </w:rPr>
        <w:t>Subject to the approval of the Minister for Water, the VEWH can also trade its water entitlements (referred to as a permanent trade). However, the VEWH has not undertaken permanent trades to date.</w:t>
      </w:r>
    </w:p>
    <w:p w:rsidR="006A7A3F" w:rsidRDefault="00BC7372">
      <w:pPr>
        <w:pStyle w:val="BodyText"/>
        <w:spacing w:before="171" w:line="249" w:lineRule="auto"/>
        <w:ind w:right="397"/>
      </w:pPr>
      <w:r>
        <w:rPr>
          <w:color w:val="231F20"/>
        </w:rPr>
        <w:t xml:space="preserve">There is more information about the VEWH’s trading activity including its annual trading strategy on its website at </w:t>
      </w:r>
      <w:r>
        <w:rPr>
          <w:color w:val="205E9E"/>
          <w:u w:val="single" w:color="205E9E"/>
        </w:rPr>
        <w:t>vewh.vic.gov.au</w:t>
      </w:r>
      <w:r>
        <w:rPr>
          <w:color w:val="231F20"/>
        </w:rPr>
        <w:t>.</w:t>
      </w:r>
    </w:p>
    <w:p w:rsidR="006A7A3F" w:rsidRDefault="00BC7372">
      <w:pPr>
        <w:pStyle w:val="BodyText"/>
        <w:spacing w:line="249" w:lineRule="auto"/>
        <w:ind w:right="352"/>
      </w:pPr>
      <w:r>
        <w:rPr>
          <w:color w:val="231F20"/>
        </w:rPr>
        <w:t>Figure 1.4.2 shows the key considerations that guide the VEWH’s use, carryover and trade decisions. The VEWH regularly assesses its water demand and supply position throughout the year.</w:t>
      </w:r>
    </w:p>
    <w:p w:rsidR="008E6A97" w:rsidRDefault="008E6A97">
      <w:pPr>
        <w:spacing w:before="75"/>
        <w:ind w:left="210"/>
        <w:rPr>
          <w:b/>
          <w:color w:val="231F20"/>
          <w:sz w:val="18"/>
        </w:rPr>
      </w:pPr>
    </w:p>
    <w:p w:rsidR="008E6A97" w:rsidRDefault="008E6A97">
      <w:pPr>
        <w:rPr>
          <w:b/>
          <w:color w:val="231F20"/>
          <w:sz w:val="18"/>
        </w:rPr>
      </w:pPr>
      <w:r>
        <w:rPr>
          <w:b/>
          <w:color w:val="231F20"/>
          <w:sz w:val="18"/>
        </w:rPr>
        <w:br w:type="page"/>
      </w:r>
    </w:p>
    <w:p w:rsidR="006A7A3F" w:rsidRDefault="00BC7372">
      <w:pPr>
        <w:spacing w:before="75"/>
        <w:ind w:left="210"/>
        <w:rPr>
          <w:b/>
          <w:color w:val="231F20"/>
          <w:sz w:val="18"/>
        </w:rPr>
      </w:pPr>
      <w:r>
        <w:rPr>
          <w:b/>
          <w:color w:val="231F20"/>
          <w:sz w:val="18"/>
        </w:rPr>
        <w:t>Figure 1.4.2 Key considerations guiding use, carryover and trade decisions</w:t>
      </w:r>
    </w:p>
    <w:p w:rsidR="008E6A97" w:rsidRDefault="008E6A97">
      <w:pPr>
        <w:spacing w:before="75"/>
        <w:ind w:left="210"/>
        <w:rPr>
          <w:b/>
          <w:sz w:val="18"/>
        </w:rPr>
      </w:pPr>
      <w:r>
        <w:rPr>
          <w:noProof/>
        </w:rPr>
        <w:drawing>
          <wp:inline distT="0" distB="0" distL="0" distR="0" wp14:anchorId="283C9E2B">
            <wp:extent cx="6118475" cy="4653534"/>
            <wp:effectExtent l="0" t="0" r="3175" b="0"/>
            <wp:docPr id="27" name="image14.jpeg" descr="Diagram shows key considerations guiding use, carryover and trade decisions based on environmental water supply and priority demands for water for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8475" cy="4653534"/>
                    </a:xfrm>
                    <a:prstGeom prst="rect">
                      <a:avLst/>
                    </a:prstGeom>
                  </pic:spPr>
                </pic:pic>
              </a:graphicData>
            </a:graphic>
          </wp:inline>
        </w:drawing>
      </w:r>
    </w:p>
    <w:p w:rsidR="008E6A97" w:rsidRDefault="008E6A97">
      <w:pPr>
        <w:rPr>
          <w:b/>
          <w:sz w:val="23"/>
          <w:szCs w:val="20"/>
        </w:rPr>
      </w:pPr>
      <w:r>
        <w:rPr>
          <w:b/>
          <w:sz w:val="23"/>
        </w:rPr>
        <w:br w:type="page"/>
      </w:r>
    </w:p>
    <w:p w:rsidR="006A7A3F" w:rsidRDefault="006A7A3F">
      <w:pPr>
        <w:pStyle w:val="BodyText"/>
        <w:spacing w:before="5"/>
        <w:ind w:left="0"/>
        <w:rPr>
          <w:b/>
          <w:sz w:val="23"/>
        </w:rPr>
      </w:pPr>
    </w:p>
    <w:p w:rsidR="006A7A3F" w:rsidRDefault="00BC7372" w:rsidP="009B6917">
      <w:pPr>
        <w:pStyle w:val="Heading1"/>
        <w:numPr>
          <w:ilvl w:val="1"/>
          <w:numId w:val="1421"/>
        </w:numPr>
        <w:tabs>
          <w:tab w:val="left" w:pos="911"/>
        </w:tabs>
        <w:spacing w:before="64"/>
        <w:ind w:left="910" w:hanging="701"/>
      </w:pPr>
      <w:r>
        <w:rPr>
          <w:color w:val="231F20"/>
        </w:rPr>
        <w:t>How to read the seasonal watering</w:t>
      </w:r>
      <w:r>
        <w:rPr>
          <w:color w:val="231F20"/>
          <w:spacing w:val="-5"/>
        </w:rPr>
        <w:t xml:space="preserve"> </w:t>
      </w:r>
      <w:r>
        <w:rPr>
          <w:color w:val="231F20"/>
        </w:rPr>
        <w:t>plan</w:t>
      </w:r>
    </w:p>
    <w:p w:rsidR="006A7A3F" w:rsidRDefault="00BC7372">
      <w:pPr>
        <w:pStyle w:val="BodyText"/>
        <w:spacing w:before="247" w:line="249" w:lineRule="auto"/>
        <w:ind w:right="457"/>
      </w:pPr>
      <w:r>
        <w:rPr>
          <w:color w:val="231F20"/>
        </w:rPr>
        <w:t>Under the Victorian Water Act 1989, the VEWH can only authorise the use of water for the environment where it is consistent with a seasonal watering plan. This is to ensure transparency about what environmental flows are planned and how they are managed.</w:t>
      </w:r>
    </w:p>
    <w:p w:rsidR="006A7A3F" w:rsidRDefault="00BC7372">
      <w:pPr>
        <w:pStyle w:val="BodyText"/>
        <w:spacing w:before="173" w:line="249" w:lineRule="auto"/>
        <w:ind w:right="100"/>
      </w:pPr>
      <w:r>
        <w:rPr>
          <w:color w:val="231F20"/>
        </w:rPr>
        <w:t>The plan must ensure that the scope, objectives and potential watering activities for each waterway are clear, and it must enable decisions about possible water use to be made effectively and transparently.</w:t>
      </w:r>
    </w:p>
    <w:p w:rsidR="006A7A3F" w:rsidRDefault="00BC7372">
      <w:pPr>
        <w:pStyle w:val="BodyText"/>
        <w:spacing w:before="171" w:line="249" w:lineRule="auto"/>
        <w:ind w:right="429"/>
      </w:pPr>
      <w:r>
        <w:rPr>
          <w:color w:val="231F20"/>
        </w:rPr>
        <w:t>Sections 2 to 5 of the seasonal watering plan represent four broad geographic regions of Victoria: the Gippsland, central, western and northern regions. Each regional overview includes: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a description of the</w:t>
      </w:r>
      <w:r>
        <w:rPr>
          <w:color w:val="231F20"/>
          <w:spacing w:val="-4"/>
          <w:sz w:val="20"/>
        </w:rPr>
        <w:t xml:space="preserve"> </w:t>
      </w:r>
      <w:r>
        <w:rPr>
          <w:color w:val="231F20"/>
          <w:sz w:val="20"/>
        </w:rPr>
        <w:t>region</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an acknowledgement of the role of Traditional Owners of the</w:t>
      </w:r>
      <w:r>
        <w:rPr>
          <w:color w:val="231F20"/>
          <w:spacing w:val="-12"/>
          <w:sz w:val="20"/>
        </w:rPr>
        <w:t xml:space="preserve"> </w:t>
      </w:r>
      <w:r>
        <w:rPr>
          <w:color w:val="231F20"/>
          <w:sz w:val="20"/>
        </w:rPr>
        <w:t>area</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a description of how communities and program partners are</w:t>
      </w:r>
      <w:r>
        <w:rPr>
          <w:color w:val="231F20"/>
          <w:spacing w:val="-13"/>
          <w:sz w:val="20"/>
        </w:rPr>
        <w:t xml:space="preserve"> </w:t>
      </w:r>
      <w:r>
        <w:rPr>
          <w:color w:val="231F20"/>
          <w:sz w:val="20"/>
        </w:rPr>
        <w:t>engaged</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examples of the community benefits of environmental</w:t>
      </w:r>
      <w:r>
        <w:rPr>
          <w:color w:val="231F20"/>
          <w:spacing w:val="-8"/>
          <w:sz w:val="20"/>
        </w:rPr>
        <w:t xml:space="preserve"> </w:t>
      </w:r>
      <w:r>
        <w:rPr>
          <w:color w:val="231F20"/>
          <w:sz w:val="20"/>
        </w:rPr>
        <w:t>watering</w:t>
      </w:r>
    </w:p>
    <w:p w:rsidR="006A7A3F" w:rsidRDefault="00BC7372" w:rsidP="009B6917">
      <w:pPr>
        <w:pStyle w:val="ListParagraph"/>
        <w:numPr>
          <w:ilvl w:val="0"/>
          <w:numId w:val="1419"/>
        </w:numPr>
        <w:tabs>
          <w:tab w:val="left" w:pos="493"/>
          <w:tab w:val="left" w:pos="494"/>
        </w:tabs>
        <w:spacing w:line="249" w:lineRule="auto"/>
        <w:ind w:right="5675"/>
        <w:rPr>
          <w:sz w:val="20"/>
        </w:rPr>
      </w:pPr>
      <w:r>
        <w:rPr>
          <w:color w:val="231F20"/>
          <w:sz w:val="20"/>
        </w:rPr>
        <w:t>examples of integrated catchment management in the region</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a description of how risks are</w:t>
      </w:r>
      <w:r>
        <w:rPr>
          <w:color w:val="231F20"/>
          <w:spacing w:val="-6"/>
          <w:sz w:val="20"/>
        </w:rPr>
        <w:t xml:space="preserve"> </w:t>
      </w:r>
      <w:r>
        <w:rPr>
          <w:color w:val="231F20"/>
          <w:sz w:val="20"/>
        </w:rPr>
        <w:t>managed</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a seasonal outlook for the</w:t>
      </w:r>
      <w:r>
        <w:rPr>
          <w:color w:val="231F20"/>
          <w:spacing w:val="-3"/>
          <w:sz w:val="20"/>
        </w:rPr>
        <w:t xml:space="preserve"> </w:t>
      </w:r>
      <w:r>
        <w:rPr>
          <w:color w:val="231F20"/>
          <w:sz w:val="20"/>
        </w:rPr>
        <w:t>region.</w:t>
      </w:r>
    </w:p>
    <w:p w:rsidR="006A7A3F" w:rsidRDefault="00BC7372">
      <w:pPr>
        <w:pStyle w:val="BodyText"/>
        <w:spacing w:before="180" w:line="249" w:lineRule="auto"/>
        <w:ind w:right="630"/>
      </w:pPr>
      <w:r>
        <w:rPr>
          <w:color w:val="231F20"/>
        </w:rPr>
        <w:t>Each region is divided further into system sections for waterways and wetlands that are supplied with water for the environment from an environmental entitlement. Each system’s environmental values, recent conditions, environmental watering objectives and planned actions for the year are presented in its section.</w:t>
      </w:r>
    </w:p>
    <w:p w:rsidR="006A7A3F" w:rsidRDefault="00BC7372">
      <w:pPr>
        <w:pStyle w:val="BodyText"/>
        <w:spacing w:before="173"/>
      </w:pPr>
      <w:r>
        <w:rPr>
          <w:color w:val="231F20"/>
        </w:rPr>
        <w:t>Information in the system sections includes:</w:t>
      </w:r>
    </w:p>
    <w:p w:rsidR="006A7A3F" w:rsidRDefault="00BC7372" w:rsidP="009B6917">
      <w:pPr>
        <w:pStyle w:val="ListParagraph"/>
        <w:numPr>
          <w:ilvl w:val="0"/>
          <w:numId w:val="1419"/>
        </w:numPr>
        <w:tabs>
          <w:tab w:val="left" w:pos="493"/>
          <w:tab w:val="left" w:pos="494"/>
        </w:tabs>
        <w:ind w:hanging="281"/>
        <w:rPr>
          <w:sz w:val="20"/>
        </w:rPr>
      </w:pPr>
      <w:r>
        <w:rPr>
          <w:b/>
          <w:color w:val="231F20"/>
          <w:sz w:val="20"/>
        </w:rPr>
        <w:t>a system introduction page</w:t>
      </w:r>
      <w:r>
        <w:rPr>
          <w:color w:val="231F20"/>
          <w:sz w:val="20"/>
        </w:rPr>
        <w:t>, which</w:t>
      </w:r>
      <w:r>
        <w:rPr>
          <w:color w:val="231F20"/>
          <w:spacing w:val="-4"/>
          <w:sz w:val="20"/>
        </w:rPr>
        <w:t xml:space="preserve"> </w:t>
      </w:r>
      <w:r>
        <w:rPr>
          <w:color w:val="231F20"/>
          <w:sz w:val="20"/>
        </w:rPr>
        <w:t>includes:</w:t>
      </w:r>
    </w:p>
    <w:p w:rsidR="006A7A3F" w:rsidRDefault="00BC7372" w:rsidP="009B6917">
      <w:pPr>
        <w:pStyle w:val="ListParagraph"/>
        <w:numPr>
          <w:ilvl w:val="1"/>
          <w:numId w:val="1419"/>
        </w:numPr>
        <w:tabs>
          <w:tab w:val="left" w:pos="721"/>
        </w:tabs>
        <w:spacing w:line="249" w:lineRule="auto"/>
        <w:ind w:right="1790"/>
        <w:rPr>
          <w:sz w:val="20"/>
        </w:rPr>
      </w:pPr>
      <w:r>
        <w:rPr>
          <w:color w:val="231F20"/>
          <w:sz w:val="20"/>
        </w:rPr>
        <w:t>the</w:t>
      </w:r>
      <w:r>
        <w:rPr>
          <w:color w:val="231F20"/>
          <w:spacing w:val="-4"/>
          <w:sz w:val="20"/>
        </w:rPr>
        <w:t xml:space="preserve"> </w:t>
      </w:r>
      <w:r>
        <w:rPr>
          <w:color w:val="231F20"/>
          <w:sz w:val="20"/>
        </w:rPr>
        <w:t>names</w:t>
      </w:r>
      <w:r>
        <w:rPr>
          <w:color w:val="231F20"/>
          <w:spacing w:val="-5"/>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waterway</w:t>
      </w:r>
      <w:r>
        <w:rPr>
          <w:color w:val="231F20"/>
          <w:spacing w:val="-5"/>
          <w:sz w:val="20"/>
        </w:rPr>
        <w:t xml:space="preserve"> </w:t>
      </w:r>
      <w:r>
        <w:rPr>
          <w:color w:val="231F20"/>
          <w:sz w:val="20"/>
        </w:rPr>
        <w:t>manager,</w:t>
      </w:r>
      <w:r>
        <w:rPr>
          <w:color w:val="231F20"/>
          <w:spacing w:val="-3"/>
          <w:sz w:val="20"/>
        </w:rPr>
        <w:t xml:space="preserve"> </w:t>
      </w:r>
      <w:r>
        <w:rPr>
          <w:color w:val="231F20"/>
          <w:sz w:val="20"/>
        </w:rPr>
        <w:t>storage</w:t>
      </w:r>
      <w:r>
        <w:rPr>
          <w:color w:val="231F20"/>
          <w:spacing w:val="-4"/>
          <w:sz w:val="20"/>
        </w:rPr>
        <w:t xml:space="preserve"> </w:t>
      </w:r>
      <w:r>
        <w:rPr>
          <w:color w:val="231F20"/>
          <w:sz w:val="20"/>
        </w:rPr>
        <w:t>manager</w:t>
      </w:r>
      <w:r>
        <w:rPr>
          <w:color w:val="231F20"/>
          <w:spacing w:val="-4"/>
          <w:sz w:val="20"/>
        </w:rPr>
        <w:t xml:space="preserve"> </w:t>
      </w:r>
      <w:r>
        <w:rPr>
          <w:color w:val="231F20"/>
          <w:sz w:val="20"/>
        </w:rPr>
        <w:t>and</w:t>
      </w:r>
      <w:r>
        <w:rPr>
          <w:color w:val="231F20"/>
          <w:spacing w:val="-4"/>
          <w:sz w:val="20"/>
        </w:rPr>
        <w:t xml:space="preserve"> </w:t>
      </w:r>
      <w:r>
        <w:rPr>
          <w:color w:val="231F20"/>
          <w:sz w:val="20"/>
        </w:rPr>
        <w:t>environmental</w:t>
      </w:r>
      <w:r>
        <w:rPr>
          <w:color w:val="231F20"/>
          <w:spacing w:val="-5"/>
          <w:sz w:val="20"/>
        </w:rPr>
        <w:t xml:space="preserve"> </w:t>
      </w:r>
      <w:r>
        <w:rPr>
          <w:color w:val="231F20"/>
          <w:sz w:val="20"/>
        </w:rPr>
        <w:t>water</w:t>
      </w:r>
      <w:r>
        <w:rPr>
          <w:color w:val="231F20"/>
          <w:spacing w:val="-5"/>
          <w:sz w:val="20"/>
        </w:rPr>
        <w:t xml:space="preserve"> </w:t>
      </w:r>
      <w:r>
        <w:rPr>
          <w:color w:val="231F20"/>
          <w:sz w:val="20"/>
        </w:rPr>
        <w:t>holders</w:t>
      </w:r>
      <w:r>
        <w:rPr>
          <w:color w:val="231F20"/>
          <w:spacing w:val="-4"/>
          <w:sz w:val="20"/>
        </w:rPr>
        <w:t xml:space="preserve"> </w:t>
      </w:r>
      <w:r>
        <w:rPr>
          <w:color w:val="231F20"/>
          <w:sz w:val="20"/>
        </w:rPr>
        <w:t>for the system</w:t>
      </w:r>
    </w:p>
    <w:p w:rsidR="006A7A3F" w:rsidRDefault="00BC7372" w:rsidP="009B6917">
      <w:pPr>
        <w:pStyle w:val="ListParagraph"/>
        <w:numPr>
          <w:ilvl w:val="1"/>
          <w:numId w:val="1419"/>
        </w:numPr>
        <w:tabs>
          <w:tab w:val="left" w:pos="721"/>
        </w:tabs>
        <w:spacing w:before="86"/>
        <w:ind w:hanging="228"/>
        <w:rPr>
          <w:sz w:val="20"/>
        </w:rPr>
      </w:pPr>
      <w:r>
        <w:rPr>
          <w:color w:val="231F20"/>
          <w:sz w:val="20"/>
        </w:rPr>
        <w:t>images of the system and some of its important environmental</w:t>
      </w:r>
      <w:r>
        <w:rPr>
          <w:color w:val="231F20"/>
          <w:spacing w:val="-10"/>
          <w:sz w:val="20"/>
        </w:rPr>
        <w:t xml:space="preserve"> </w:t>
      </w:r>
      <w:r>
        <w:rPr>
          <w:color w:val="231F20"/>
          <w:sz w:val="20"/>
        </w:rPr>
        <w:t>values</w:t>
      </w:r>
    </w:p>
    <w:p w:rsidR="006A7A3F" w:rsidRDefault="00BC7372" w:rsidP="009B6917">
      <w:pPr>
        <w:pStyle w:val="ListParagraph"/>
        <w:numPr>
          <w:ilvl w:val="1"/>
          <w:numId w:val="1419"/>
        </w:numPr>
        <w:tabs>
          <w:tab w:val="left" w:pos="721"/>
        </w:tabs>
        <w:ind w:hanging="228"/>
        <w:rPr>
          <w:sz w:val="20"/>
        </w:rPr>
      </w:pPr>
      <w:r>
        <w:rPr>
          <w:color w:val="231F20"/>
          <w:sz w:val="20"/>
        </w:rPr>
        <w:t>an interesting fact about the system or an Aboriginal name or definition for the</w:t>
      </w:r>
      <w:r>
        <w:rPr>
          <w:color w:val="231F20"/>
          <w:spacing w:val="-27"/>
          <w:sz w:val="20"/>
        </w:rPr>
        <w:t xml:space="preserve"> </w:t>
      </w:r>
      <w:r>
        <w:rPr>
          <w:color w:val="231F20"/>
          <w:sz w:val="20"/>
        </w:rPr>
        <w:t>system</w:t>
      </w:r>
    </w:p>
    <w:p w:rsidR="006A7A3F" w:rsidRDefault="00BC7372" w:rsidP="009B6917">
      <w:pPr>
        <w:pStyle w:val="ListParagraph"/>
        <w:numPr>
          <w:ilvl w:val="1"/>
          <w:numId w:val="1419"/>
        </w:numPr>
        <w:tabs>
          <w:tab w:val="left" w:pos="721"/>
        </w:tabs>
        <w:spacing w:line="249" w:lineRule="auto"/>
        <w:ind w:right="313"/>
        <w:rPr>
          <w:sz w:val="20"/>
        </w:rPr>
      </w:pPr>
      <w:r>
        <w:rPr>
          <w:color w:val="231F20"/>
          <w:sz w:val="20"/>
        </w:rPr>
        <w:t>a pie chart showing the proportion of water entitlements in the system for environmental, urban, industry and irrigation</w:t>
      </w:r>
      <w:r>
        <w:rPr>
          <w:color w:val="231F20"/>
          <w:spacing w:val="-2"/>
          <w:sz w:val="20"/>
        </w:rPr>
        <w:t xml:space="preserve"> </w:t>
      </w:r>
      <w:r>
        <w:rPr>
          <w:color w:val="231F20"/>
          <w:sz w:val="20"/>
        </w:rPr>
        <w:t>uses</w:t>
      </w:r>
    </w:p>
    <w:p w:rsidR="006A7A3F" w:rsidRDefault="00BC7372" w:rsidP="009B6917">
      <w:pPr>
        <w:pStyle w:val="ListParagraph"/>
        <w:numPr>
          <w:ilvl w:val="0"/>
          <w:numId w:val="1419"/>
        </w:numPr>
        <w:tabs>
          <w:tab w:val="left" w:pos="493"/>
          <w:tab w:val="left" w:pos="494"/>
        </w:tabs>
        <w:spacing w:before="87"/>
        <w:ind w:hanging="281"/>
        <w:rPr>
          <w:sz w:val="20"/>
        </w:rPr>
      </w:pPr>
      <w:r>
        <w:rPr>
          <w:b/>
          <w:color w:val="231F20"/>
          <w:sz w:val="20"/>
        </w:rPr>
        <w:t>a system overview</w:t>
      </w:r>
      <w:r>
        <w:rPr>
          <w:color w:val="231F20"/>
          <w:sz w:val="20"/>
        </w:rPr>
        <w:t>, which describes the location of the system, its waterways and major</w:t>
      </w:r>
      <w:r>
        <w:rPr>
          <w:color w:val="231F20"/>
          <w:spacing w:val="-22"/>
          <w:sz w:val="20"/>
        </w:rPr>
        <w:t xml:space="preserve"> </w:t>
      </w:r>
      <w:r>
        <w:rPr>
          <w:color w:val="231F20"/>
          <w:sz w:val="20"/>
        </w:rPr>
        <w:t>features</w:t>
      </w:r>
    </w:p>
    <w:p w:rsidR="006A7A3F" w:rsidRDefault="00BC7372" w:rsidP="009B6917">
      <w:pPr>
        <w:pStyle w:val="ListParagraph"/>
        <w:numPr>
          <w:ilvl w:val="0"/>
          <w:numId w:val="1419"/>
        </w:numPr>
        <w:tabs>
          <w:tab w:val="left" w:pos="493"/>
          <w:tab w:val="left" w:pos="494"/>
        </w:tabs>
        <w:spacing w:line="249" w:lineRule="auto"/>
        <w:ind w:right="1063"/>
        <w:rPr>
          <w:sz w:val="20"/>
        </w:rPr>
      </w:pPr>
      <w:r>
        <w:rPr>
          <w:b/>
          <w:color w:val="231F20"/>
          <w:sz w:val="20"/>
        </w:rPr>
        <w:t>environmental values</w:t>
      </w:r>
      <w:r>
        <w:rPr>
          <w:color w:val="231F20"/>
          <w:sz w:val="20"/>
        </w:rPr>
        <w:t>, which outlines the primary water-dependent species, communities, ecological processes</w:t>
      </w:r>
      <w:r>
        <w:rPr>
          <w:color w:val="231F20"/>
          <w:spacing w:val="-5"/>
          <w:sz w:val="20"/>
        </w:rPr>
        <w:t xml:space="preserve"> </w:t>
      </w:r>
      <w:r>
        <w:rPr>
          <w:color w:val="231F20"/>
          <w:sz w:val="20"/>
        </w:rPr>
        <w:t>and</w:t>
      </w:r>
      <w:r>
        <w:rPr>
          <w:color w:val="231F20"/>
          <w:spacing w:val="-5"/>
          <w:sz w:val="20"/>
        </w:rPr>
        <w:t xml:space="preserve"> </w:t>
      </w:r>
      <w:r>
        <w:rPr>
          <w:color w:val="231F20"/>
          <w:sz w:val="20"/>
        </w:rPr>
        <w:t>habitats</w:t>
      </w:r>
      <w:r>
        <w:rPr>
          <w:color w:val="231F20"/>
          <w:spacing w:val="-5"/>
          <w:sz w:val="20"/>
        </w:rPr>
        <w:t xml:space="preserve"> </w:t>
      </w:r>
      <w:r>
        <w:rPr>
          <w:color w:val="231F20"/>
          <w:sz w:val="20"/>
        </w:rPr>
        <w:t>that</w:t>
      </w:r>
      <w:r>
        <w:rPr>
          <w:color w:val="231F20"/>
          <w:spacing w:val="-4"/>
          <w:sz w:val="20"/>
        </w:rPr>
        <w:t xml:space="preserve"> </w:t>
      </w:r>
      <w:r>
        <w:rPr>
          <w:color w:val="231F20"/>
          <w:sz w:val="20"/>
        </w:rPr>
        <w:t>rely</w:t>
      </w:r>
      <w:r>
        <w:rPr>
          <w:color w:val="231F20"/>
          <w:spacing w:val="-4"/>
          <w:sz w:val="20"/>
        </w:rPr>
        <w:t xml:space="preserve"> </w:t>
      </w:r>
      <w:r>
        <w:rPr>
          <w:color w:val="231F20"/>
          <w:sz w:val="20"/>
        </w:rPr>
        <w:t>on</w:t>
      </w:r>
      <w:r>
        <w:rPr>
          <w:color w:val="231F20"/>
          <w:spacing w:val="-5"/>
          <w:sz w:val="20"/>
        </w:rPr>
        <w:t xml:space="preserve"> </w:t>
      </w:r>
      <w:r>
        <w:rPr>
          <w:color w:val="231F20"/>
          <w:sz w:val="20"/>
        </w:rPr>
        <w:t>healthy</w:t>
      </w:r>
      <w:r>
        <w:rPr>
          <w:color w:val="231F20"/>
          <w:spacing w:val="-5"/>
          <w:sz w:val="20"/>
        </w:rPr>
        <w:t xml:space="preserve"> </w:t>
      </w:r>
      <w:r>
        <w:rPr>
          <w:color w:val="231F20"/>
          <w:sz w:val="20"/>
        </w:rPr>
        <w:t>waterways</w:t>
      </w:r>
      <w:r>
        <w:rPr>
          <w:color w:val="231F20"/>
          <w:spacing w:val="-5"/>
          <w:sz w:val="20"/>
        </w:rPr>
        <w:t xml:space="preserve"> </w:t>
      </w:r>
      <w:r>
        <w:rPr>
          <w:color w:val="231F20"/>
          <w:sz w:val="20"/>
        </w:rPr>
        <w:t>and</w:t>
      </w:r>
      <w:r>
        <w:rPr>
          <w:color w:val="231F20"/>
          <w:spacing w:val="-5"/>
          <w:sz w:val="20"/>
        </w:rPr>
        <w:t xml:space="preserve"> </w:t>
      </w:r>
      <w:r>
        <w:rPr>
          <w:color w:val="231F20"/>
          <w:sz w:val="20"/>
        </w:rPr>
        <w:t>form</w:t>
      </w:r>
      <w:r>
        <w:rPr>
          <w:color w:val="231F20"/>
          <w:spacing w:val="-4"/>
          <w:sz w:val="20"/>
        </w:rPr>
        <w:t xml:space="preserve"> </w:t>
      </w:r>
      <w:r>
        <w:rPr>
          <w:color w:val="231F20"/>
          <w:sz w:val="20"/>
        </w:rPr>
        <w:t>the</w:t>
      </w:r>
      <w:r>
        <w:rPr>
          <w:color w:val="231F20"/>
          <w:spacing w:val="-4"/>
          <w:sz w:val="20"/>
        </w:rPr>
        <w:t xml:space="preserve"> </w:t>
      </w:r>
      <w:r>
        <w:rPr>
          <w:color w:val="231F20"/>
          <w:sz w:val="20"/>
        </w:rPr>
        <w:t>basis</w:t>
      </w:r>
      <w:r>
        <w:rPr>
          <w:color w:val="231F20"/>
          <w:spacing w:val="-4"/>
          <w:sz w:val="20"/>
        </w:rPr>
        <w:t xml:space="preserve"> </w:t>
      </w:r>
      <w:r>
        <w:rPr>
          <w:color w:val="231F20"/>
          <w:sz w:val="20"/>
        </w:rPr>
        <w:t>for</w:t>
      </w:r>
      <w:r>
        <w:rPr>
          <w:color w:val="231F20"/>
          <w:spacing w:val="-4"/>
          <w:sz w:val="20"/>
        </w:rPr>
        <w:t xml:space="preserve"> </w:t>
      </w:r>
      <w:r>
        <w:rPr>
          <w:color w:val="231F20"/>
          <w:sz w:val="20"/>
        </w:rPr>
        <w:t>environmental</w:t>
      </w:r>
      <w:r>
        <w:rPr>
          <w:color w:val="231F20"/>
          <w:spacing w:val="-5"/>
          <w:sz w:val="20"/>
        </w:rPr>
        <w:t xml:space="preserve"> </w:t>
      </w:r>
      <w:r>
        <w:rPr>
          <w:color w:val="231F20"/>
          <w:sz w:val="20"/>
        </w:rPr>
        <w:t>objectives</w:t>
      </w:r>
    </w:p>
    <w:p w:rsidR="006A7A3F" w:rsidRDefault="00BC7372" w:rsidP="009B6917">
      <w:pPr>
        <w:pStyle w:val="ListParagraph"/>
        <w:numPr>
          <w:ilvl w:val="0"/>
          <w:numId w:val="1419"/>
        </w:numPr>
        <w:tabs>
          <w:tab w:val="left" w:pos="493"/>
          <w:tab w:val="left" w:pos="494"/>
        </w:tabs>
        <w:spacing w:before="87" w:line="249" w:lineRule="auto"/>
        <w:ind w:right="240"/>
        <w:rPr>
          <w:sz w:val="20"/>
        </w:rPr>
      </w:pPr>
      <w:r>
        <w:rPr>
          <w:b/>
          <w:color w:val="231F20"/>
          <w:sz w:val="20"/>
        </w:rPr>
        <w:t>a table of environmental objectives in the system</w:t>
      </w:r>
      <w:r>
        <w:rPr>
          <w:color w:val="231F20"/>
          <w:sz w:val="20"/>
        </w:rPr>
        <w:t xml:space="preserve">, which summarises the measurable outcomes that are sought for each environmental value in the system. Each objective will likely rely on the ongoing implementation of one or more watering actions as well as complementary actions (such as control of invasive species or installation of fishways). </w:t>
      </w:r>
      <w:r>
        <w:rPr>
          <w:color w:val="231F20"/>
          <w:spacing w:val="-5"/>
          <w:sz w:val="20"/>
        </w:rPr>
        <w:t xml:space="preserve">Target </w:t>
      </w:r>
      <w:r>
        <w:rPr>
          <w:color w:val="231F20"/>
          <w:sz w:val="20"/>
        </w:rPr>
        <w:t>outcomes may take years or several decades to achieve. Figure 1.5.1 is an example of this</w:t>
      </w:r>
      <w:r>
        <w:rPr>
          <w:color w:val="231F20"/>
          <w:spacing w:val="-3"/>
          <w:sz w:val="20"/>
        </w:rPr>
        <w:t xml:space="preserve"> </w:t>
      </w:r>
      <w:r>
        <w:rPr>
          <w:color w:val="231F20"/>
          <w:sz w:val="20"/>
        </w:rPr>
        <w:t>table.</w:t>
      </w:r>
    </w:p>
    <w:p w:rsidR="006A7A3F" w:rsidRDefault="00BC7372" w:rsidP="009B6917">
      <w:pPr>
        <w:pStyle w:val="ListParagraph"/>
        <w:numPr>
          <w:ilvl w:val="0"/>
          <w:numId w:val="1419"/>
        </w:numPr>
        <w:tabs>
          <w:tab w:val="left" w:pos="493"/>
          <w:tab w:val="left" w:pos="494"/>
        </w:tabs>
        <w:spacing w:before="89" w:line="249" w:lineRule="auto"/>
        <w:ind w:right="475"/>
        <w:rPr>
          <w:sz w:val="20"/>
        </w:rPr>
      </w:pPr>
      <w:r>
        <w:rPr>
          <w:b/>
          <w:color w:val="231F20"/>
          <w:spacing w:val="-3"/>
          <w:sz w:val="20"/>
        </w:rPr>
        <w:t xml:space="preserve">Traditional </w:t>
      </w:r>
      <w:r>
        <w:rPr>
          <w:b/>
          <w:color w:val="231F20"/>
          <w:sz w:val="20"/>
        </w:rPr>
        <w:t>Owner and recreational values</w:t>
      </w:r>
      <w:r>
        <w:rPr>
          <w:color w:val="231F20"/>
          <w:sz w:val="20"/>
        </w:rPr>
        <w:t>, which are included for systems where benefits to Traditional Owner</w:t>
      </w:r>
      <w:r>
        <w:rPr>
          <w:color w:val="231F20"/>
          <w:spacing w:val="-8"/>
          <w:sz w:val="20"/>
        </w:rPr>
        <w:t xml:space="preserve"> </w:t>
      </w:r>
      <w:r>
        <w:rPr>
          <w:color w:val="231F20"/>
          <w:sz w:val="20"/>
        </w:rPr>
        <w:t>values</w:t>
      </w:r>
      <w:r>
        <w:rPr>
          <w:color w:val="231F20"/>
          <w:spacing w:val="-7"/>
          <w:sz w:val="20"/>
        </w:rPr>
        <w:t xml:space="preserve"> </w:t>
      </w:r>
      <w:r>
        <w:rPr>
          <w:color w:val="231F20"/>
          <w:sz w:val="20"/>
        </w:rPr>
        <w:t>or</w:t>
      </w:r>
      <w:r>
        <w:rPr>
          <w:color w:val="231F20"/>
          <w:spacing w:val="-8"/>
          <w:sz w:val="20"/>
        </w:rPr>
        <w:t xml:space="preserve"> </w:t>
      </w:r>
      <w:r>
        <w:rPr>
          <w:color w:val="231F20"/>
          <w:sz w:val="20"/>
        </w:rPr>
        <w:t>recreational</w:t>
      </w:r>
      <w:r>
        <w:rPr>
          <w:color w:val="231F20"/>
          <w:spacing w:val="-7"/>
          <w:sz w:val="20"/>
        </w:rPr>
        <w:t xml:space="preserve"> </w:t>
      </w:r>
      <w:r>
        <w:rPr>
          <w:color w:val="231F20"/>
          <w:sz w:val="20"/>
        </w:rPr>
        <w:t>opportunities</w:t>
      </w:r>
      <w:r>
        <w:rPr>
          <w:color w:val="231F20"/>
          <w:spacing w:val="-8"/>
          <w:sz w:val="20"/>
        </w:rPr>
        <w:t xml:space="preserve"> </w:t>
      </w:r>
      <w:r>
        <w:rPr>
          <w:color w:val="231F20"/>
          <w:sz w:val="20"/>
        </w:rPr>
        <w:t>may</w:t>
      </w:r>
      <w:r>
        <w:rPr>
          <w:color w:val="231F20"/>
          <w:spacing w:val="-7"/>
          <w:sz w:val="20"/>
        </w:rPr>
        <w:t xml:space="preserve"> </w:t>
      </w:r>
      <w:r>
        <w:rPr>
          <w:color w:val="231F20"/>
          <w:sz w:val="20"/>
        </w:rPr>
        <w:t>be</w:t>
      </w:r>
      <w:r>
        <w:rPr>
          <w:color w:val="231F20"/>
          <w:spacing w:val="-9"/>
          <w:sz w:val="20"/>
        </w:rPr>
        <w:t xml:space="preserve"> </w:t>
      </w:r>
      <w:r>
        <w:rPr>
          <w:color w:val="231F20"/>
          <w:sz w:val="20"/>
        </w:rPr>
        <w:t>achieved</w:t>
      </w:r>
      <w:r>
        <w:rPr>
          <w:color w:val="231F20"/>
          <w:spacing w:val="-8"/>
          <w:sz w:val="20"/>
        </w:rPr>
        <w:t xml:space="preserve"> </w:t>
      </w:r>
      <w:r>
        <w:rPr>
          <w:color w:val="231F20"/>
          <w:sz w:val="20"/>
        </w:rPr>
        <w:t>by</w:t>
      </w:r>
      <w:r>
        <w:rPr>
          <w:color w:val="231F20"/>
          <w:spacing w:val="-5"/>
          <w:sz w:val="20"/>
        </w:rPr>
        <w:t xml:space="preserve"> </w:t>
      </w:r>
      <w:r>
        <w:rPr>
          <w:color w:val="231F20"/>
          <w:sz w:val="20"/>
        </w:rPr>
        <w:t>modifying</w:t>
      </w:r>
      <w:r>
        <w:rPr>
          <w:color w:val="231F20"/>
          <w:spacing w:val="-5"/>
          <w:sz w:val="20"/>
        </w:rPr>
        <w:t xml:space="preserve"> </w:t>
      </w:r>
      <w:r>
        <w:rPr>
          <w:color w:val="231F20"/>
          <w:sz w:val="20"/>
        </w:rPr>
        <w:t>potential</w:t>
      </w:r>
      <w:r>
        <w:rPr>
          <w:color w:val="231F20"/>
          <w:spacing w:val="-6"/>
          <w:sz w:val="20"/>
        </w:rPr>
        <w:t xml:space="preserve"> </w:t>
      </w:r>
      <w:r>
        <w:rPr>
          <w:color w:val="231F20"/>
          <w:sz w:val="20"/>
        </w:rPr>
        <w:t>watering</w:t>
      </w:r>
      <w:r>
        <w:rPr>
          <w:color w:val="231F20"/>
          <w:spacing w:val="-5"/>
          <w:sz w:val="20"/>
        </w:rPr>
        <w:t xml:space="preserve"> </w:t>
      </w:r>
      <w:r>
        <w:rPr>
          <w:color w:val="231F20"/>
          <w:sz w:val="20"/>
        </w:rPr>
        <w:t>actions,</w:t>
      </w:r>
      <w:r>
        <w:rPr>
          <w:color w:val="231F20"/>
          <w:spacing w:val="-7"/>
          <w:sz w:val="20"/>
        </w:rPr>
        <w:t xml:space="preserve"> </w:t>
      </w:r>
      <w:r>
        <w:rPr>
          <w:color w:val="231F20"/>
          <w:sz w:val="20"/>
        </w:rPr>
        <w:t>provided environmental outcomes are not</w:t>
      </w:r>
      <w:r>
        <w:rPr>
          <w:color w:val="231F20"/>
          <w:spacing w:val="-5"/>
          <w:sz w:val="20"/>
        </w:rPr>
        <w:t xml:space="preserve"> </w:t>
      </w:r>
      <w:r>
        <w:rPr>
          <w:color w:val="231F20"/>
          <w:sz w:val="20"/>
        </w:rPr>
        <w:t>compromised.</w:t>
      </w:r>
    </w:p>
    <w:p w:rsidR="006A7A3F" w:rsidRDefault="00BC7372">
      <w:pPr>
        <w:spacing w:before="75"/>
        <w:ind w:left="210"/>
        <w:rPr>
          <w:b/>
          <w:sz w:val="18"/>
        </w:rPr>
      </w:pPr>
      <w:r>
        <w:rPr>
          <w:noProof/>
        </w:rPr>
        <w:drawing>
          <wp:inline distT="0" distB="0" distL="0" distR="0">
            <wp:extent cx="6123431" cy="2063496"/>
            <wp:effectExtent l="0" t="0" r="0" b="0"/>
            <wp:docPr id="29" name="image15.jpeg" descr="A 'how to read' example of an environmental objectives table: Environmental objectives in the Macalister system – Restore populations of native fish, specifically Australian grayling; Maintain/enhance the structure of native fish communities; Increase the recruitment of growth of native riparian vegetation. A speech bubble reads: In this example environmental flows that provide optimal spawning opportunities for Australian grayling will contribute to achieving this objective, as will complementary works such as the construction of fishways to increase the habitat range for native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3431" cy="2063496"/>
                    </a:xfrm>
                    <a:prstGeom prst="rect">
                      <a:avLst/>
                    </a:prstGeom>
                  </pic:spPr>
                </pic:pic>
              </a:graphicData>
            </a:graphic>
          </wp:inline>
        </w:drawing>
      </w:r>
      <w:r>
        <w:rPr>
          <w:b/>
          <w:color w:val="231F20"/>
          <w:sz w:val="18"/>
        </w:rPr>
        <w:t>Figure 1.5.1 Example environmental objectives table</w:t>
      </w:r>
    </w:p>
    <w:p w:rsidR="006A7A3F" w:rsidRDefault="006A7A3F">
      <w:pPr>
        <w:pStyle w:val="BodyText"/>
        <w:spacing w:before="4"/>
        <w:ind w:left="0"/>
        <w:rPr>
          <w:b/>
        </w:rPr>
      </w:pPr>
    </w:p>
    <w:p w:rsidR="006A7A3F" w:rsidRDefault="00BC7372" w:rsidP="009B6917">
      <w:pPr>
        <w:pStyle w:val="ListParagraph"/>
        <w:numPr>
          <w:ilvl w:val="0"/>
          <w:numId w:val="1419"/>
        </w:numPr>
        <w:tabs>
          <w:tab w:val="left" w:pos="494"/>
        </w:tabs>
        <w:spacing w:before="0" w:line="249" w:lineRule="auto"/>
        <w:ind w:right="498"/>
        <w:jc w:val="both"/>
        <w:rPr>
          <w:sz w:val="20"/>
        </w:rPr>
      </w:pPr>
      <w:r>
        <w:rPr>
          <w:b/>
          <w:color w:val="231F20"/>
          <w:sz w:val="20"/>
        </w:rPr>
        <w:t>recent conditions</w:t>
      </w:r>
      <w:r>
        <w:rPr>
          <w:color w:val="231F20"/>
          <w:sz w:val="20"/>
        </w:rPr>
        <w:t>, which describes the factors that will be considered when planning environmental flows in the</w:t>
      </w:r>
      <w:r>
        <w:rPr>
          <w:color w:val="231F20"/>
          <w:spacing w:val="-4"/>
          <w:sz w:val="20"/>
        </w:rPr>
        <w:t xml:space="preserve"> </w:t>
      </w:r>
      <w:r>
        <w:rPr>
          <w:color w:val="231F20"/>
          <w:sz w:val="20"/>
        </w:rPr>
        <w:t>coming</w:t>
      </w:r>
      <w:r>
        <w:rPr>
          <w:color w:val="231F20"/>
          <w:spacing w:val="-3"/>
          <w:sz w:val="20"/>
        </w:rPr>
        <w:t xml:space="preserve"> </w:t>
      </w:r>
      <w:r>
        <w:rPr>
          <w:color w:val="231F20"/>
          <w:sz w:val="20"/>
        </w:rPr>
        <w:t>year</w:t>
      </w:r>
      <w:r>
        <w:rPr>
          <w:color w:val="231F20"/>
          <w:spacing w:val="-4"/>
          <w:sz w:val="20"/>
        </w:rPr>
        <w:t xml:space="preserve"> </w:t>
      </w:r>
      <w:r>
        <w:rPr>
          <w:color w:val="231F20"/>
          <w:sz w:val="20"/>
        </w:rPr>
        <w:t>(such</w:t>
      </w:r>
      <w:r>
        <w:rPr>
          <w:color w:val="231F20"/>
          <w:spacing w:val="-3"/>
          <w:sz w:val="20"/>
        </w:rPr>
        <w:t xml:space="preserve"> </w:t>
      </w:r>
      <w:r>
        <w:rPr>
          <w:color w:val="231F20"/>
          <w:sz w:val="20"/>
        </w:rPr>
        <w:t>as</w:t>
      </w:r>
      <w:r>
        <w:rPr>
          <w:color w:val="231F20"/>
          <w:spacing w:val="-4"/>
          <w:sz w:val="20"/>
        </w:rPr>
        <w:t xml:space="preserve"> </w:t>
      </w:r>
      <w:r>
        <w:rPr>
          <w:color w:val="231F20"/>
          <w:sz w:val="20"/>
        </w:rPr>
        <w:t>the</w:t>
      </w:r>
      <w:r>
        <w:rPr>
          <w:color w:val="231F20"/>
          <w:spacing w:val="-4"/>
          <w:sz w:val="20"/>
        </w:rPr>
        <w:t xml:space="preserve"> </w:t>
      </w:r>
      <w:r>
        <w:rPr>
          <w:color w:val="231F20"/>
          <w:sz w:val="20"/>
        </w:rPr>
        <w:t>past</w:t>
      </w:r>
      <w:r>
        <w:rPr>
          <w:color w:val="231F20"/>
          <w:spacing w:val="-4"/>
          <w:sz w:val="20"/>
        </w:rPr>
        <w:t xml:space="preserve"> </w:t>
      </w:r>
      <w:r>
        <w:rPr>
          <w:color w:val="231F20"/>
          <w:sz w:val="20"/>
        </w:rPr>
        <w:t>watering</w:t>
      </w:r>
      <w:r>
        <w:rPr>
          <w:color w:val="231F20"/>
          <w:spacing w:val="-4"/>
          <w:sz w:val="20"/>
        </w:rPr>
        <w:t xml:space="preserve"> </w:t>
      </w:r>
      <w:r>
        <w:rPr>
          <w:color w:val="231F20"/>
          <w:sz w:val="20"/>
        </w:rPr>
        <w:t>regime,</w:t>
      </w:r>
      <w:r>
        <w:rPr>
          <w:color w:val="231F20"/>
          <w:spacing w:val="-3"/>
          <w:sz w:val="20"/>
        </w:rPr>
        <w:t xml:space="preserve"> </w:t>
      </w:r>
      <w:r>
        <w:rPr>
          <w:color w:val="231F20"/>
          <w:sz w:val="20"/>
        </w:rPr>
        <w:t>climate</w:t>
      </w:r>
      <w:r>
        <w:rPr>
          <w:color w:val="231F20"/>
          <w:spacing w:val="-4"/>
          <w:sz w:val="20"/>
        </w:rPr>
        <w:t xml:space="preserve"> </w:t>
      </w:r>
      <w:r>
        <w:rPr>
          <w:color w:val="231F20"/>
          <w:sz w:val="20"/>
        </w:rPr>
        <w:t>and</w:t>
      </w:r>
      <w:r>
        <w:rPr>
          <w:color w:val="231F20"/>
          <w:spacing w:val="-4"/>
          <w:sz w:val="20"/>
        </w:rPr>
        <w:t xml:space="preserve"> </w:t>
      </w:r>
      <w:r>
        <w:rPr>
          <w:color w:val="231F20"/>
          <w:sz w:val="20"/>
        </w:rPr>
        <w:t>rainfall,</w:t>
      </w:r>
      <w:r>
        <w:rPr>
          <w:color w:val="231F20"/>
          <w:spacing w:val="-3"/>
          <w:sz w:val="20"/>
        </w:rPr>
        <w:t xml:space="preserve"> </w:t>
      </w:r>
      <w:r>
        <w:rPr>
          <w:color w:val="231F20"/>
          <w:sz w:val="20"/>
        </w:rPr>
        <w:t>water</w:t>
      </w:r>
      <w:r>
        <w:rPr>
          <w:color w:val="231F20"/>
          <w:spacing w:val="-5"/>
          <w:sz w:val="20"/>
        </w:rPr>
        <w:t xml:space="preserve"> </w:t>
      </w:r>
      <w:r>
        <w:rPr>
          <w:color w:val="231F20"/>
          <w:sz w:val="20"/>
        </w:rPr>
        <w:t>availability,</w:t>
      </w:r>
      <w:r>
        <w:rPr>
          <w:color w:val="231F20"/>
          <w:spacing w:val="-3"/>
          <w:sz w:val="20"/>
        </w:rPr>
        <w:t xml:space="preserve"> </w:t>
      </w:r>
      <w:r>
        <w:rPr>
          <w:color w:val="231F20"/>
          <w:sz w:val="20"/>
        </w:rPr>
        <w:t>system</w:t>
      </w:r>
      <w:r>
        <w:rPr>
          <w:color w:val="231F20"/>
          <w:spacing w:val="-3"/>
          <w:sz w:val="20"/>
        </w:rPr>
        <w:t xml:space="preserve"> </w:t>
      </w:r>
      <w:r>
        <w:rPr>
          <w:color w:val="231F20"/>
          <w:sz w:val="20"/>
        </w:rPr>
        <w:t>operations, monitoring results and environmental</w:t>
      </w:r>
      <w:r>
        <w:rPr>
          <w:color w:val="231F20"/>
          <w:spacing w:val="-4"/>
          <w:sz w:val="20"/>
        </w:rPr>
        <w:t xml:space="preserve"> </w:t>
      </w:r>
      <w:r>
        <w:rPr>
          <w:color w:val="231F20"/>
          <w:sz w:val="20"/>
        </w:rPr>
        <w:t>observations)</w:t>
      </w:r>
    </w:p>
    <w:p w:rsidR="006A7A3F" w:rsidRDefault="00BC7372" w:rsidP="009B6917">
      <w:pPr>
        <w:pStyle w:val="ListParagraph"/>
        <w:numPr>
          <w:ilvl w:val="0"/>
          <w:numId w:val="1419"/>
        </w:numPr>
        <w:tabs>
          <w:tab w:val="left" w:pos="493"/>
          <w:tab w:val="left" w:pos="494"/>
        </w:tabs>
        <w:spacing w:before="88" w:line="249" w:lineRule="auto"/>
        <w:ind w:right="385"/>
        <w:rPr>
          <w:sz w:val="20"/>
        </w:rPr>
      </w:pPr>
      <w:r>
        <w:rPr>
          <w:b/>
          <w:color w:val="231F20"/>
          <w:sz w:val="20"/>
        </w:rPr>
        <w:t>scope of environmental watering</w:t>
      </w:r>
      <w:r>
        <w:rPr>
          <w:color w:val="231F20"/>
          <w:sz w:val="20"/>
        </w:rPr>
        <w:t>, which is a table of potential environmental watering actions in 2019–20, their functional watering objectives (that is, the intended physical or biological effect of the watering action) and</w:t>
      </w:r>
      <w:r>
        <w:rPr>
          <w:color w:val="231F20"/>
          <w:spacing w:val="-5"/>
          <w:sz w:val="20"/>
        </w:rPr>
        <w:t xml:space="preserve"> </w:t>
      </w:r>
      <w:r>
        <w:rPr>
          <w:color w:val="231F20"/>
          <w:sz w:val="20"/>
        </w:rPr>
        <w:t>the</w:t>
      </w:r>
      <w:r>
        <w:rPr>
          <w:color w:val="231F20"/>
          <w:spacing w:val="-4"/>
          <w:sz w:val="20"/>
        </w:rPr>
        <w:t xml:space="preserve"> </w:t>
      </w:r>
      <w:r>
        <w:rPr>
          <w:color w:val="231F20"/>
          <w:sz w:val="20"/>
        </w:rPr>
        <w:t>longer-term</w:t>
      </w:r>
      <w:r>
        <w:rPr>
          <w:color w:val="231F20"/>
          <w:spacing w:val="-4"/>
          <w:sz w:val="20"/>
        </w:rPr>
        <w:t xml:space="preserve"> </w:t>
      </w:r>
      <w:r>
        <w:rPr>
          <w:color w:val="231F20"/>
          <w:sz w:val="20"/>
        </w:rPr>
        <w:t>environmental</w:t>
      </w:r>
      <w:r>
        <w:rPr>
          <w:color w:val="231F20"/>
          <w:spacing w:val="-5"/>
          <w:sz w:val="20"/>
        </w:rPr>
        <w:t xml:space="preserve"> </w:t>
      </w:r>
      <w:r>
        <w:rPr>
          <w:color w:val="231F20"/>
          <w:sz w:val="20"/>
        </w:rPr>
        <w:t>objective</w:t>
      </w:r>
      <w:r>
        <w:rPr>
          <w:color w:val="231F20"/>
          <w:spacing w:val="-5"/>
          <w:sz w:val="20"/>
        </w:rPr>
        <w:t xml:space="preserve"> </w:t>
      </w:r>
      <w:r>
        <w:rPr>
          <w:color w:val="231F20"/>
          <w:sz w:val="20"/>
        </w:rPr>
        <w:t>they</w:t>
      </w:r>
      <w:r>
        <w:rPr>
          <w:color w:val="231F20"/>
          <w:spacing w:val="-3"/>
          <w:sz w:val="20"/>
        </w:rPr>
        <w:t xml:space="preserve"> </w:t>
      </w:r>
      <w:r>
        <w:rPr>
          <w:color w:val="231F20"/>
          <w:sz w:val="20"/>
        </w:rPr>
        <w:t>support.</w:t>
      </w:r>
      <w:r>
        <w:rPr>
          <w:color w:val="231F20"/>
          <w:spacing w:val="-4"/>
          <w:sz w:val="20"/>
        </w:rPr>
        <w:t xml:space="preserve"> </w:t>
      </w:r>
      <w:r>
        <w:rPr>
          <w:color w:val="231F20"/>
          <w:sz w:val="20"/>
        </w:rPr>
        <w:t>Each</w:t>
      </w:r>
      <w:r>
        <w:rPr>
          <w:color w:val="231F20"/>
          <w:spacing w:val="-4"/>
          <w:sz w:val="20"/>
        </w:rPr>
        <w:t xml:space="preserve"> </w:t>
      </w:r>
      <w:r>
        <w:rPr>
          <w:color w:val="231F20"/>
          <w:sz w:val="20"/>
        </w:rPr>
        <w:t>environmental</w:t>
      </w:r>
      <w:r>
        <w:rPr>
          <w:color w:val="231F20"/>
          <w:spacing w:val="-5"/>
          <w:sz w:val="20"/>
        </w:rPr>
        <w:t xml:space="preserve"> </w:t>
      </w:r>
      <w:r>
        <w:rPr>
          <w:color w:val="231F20"/>
          <w:sz w:val="20"/>
        </w:rPr>
        <w:t>objective</w:t>
      </w:r>
      <w:r>
        <w:rPr>
          <w:color w:val="231F20"/>
          <w:spacing w:val="-4"/>
          <w:sz w:val="20"/>
        </w:rPr>
        <w:t xml:space="preserve"> </w:t>
      </w:r>
      <w:r>
        <w:rPr>
          <w:color w:val="231F20"/>
          <w:sz w:val="20"/>
        </w:rPr>
        <w:t>relies</w:t>
      </w:r>
      <w:r>
        <w:rPr>
          <w:color w:val="231F20"/>
          <w:spacing w:val="-4"/>
          <w:sz w:val="20"/>
        </w:rPr>
        <w:t xml:space="preserve"> </w:t>
      </w:r>
      <w:r>
        <w:rPr>
          <w:color w:val="231F20"/>
          <w:sz w:val="20"/>
        </w:rPr>
        <w:t>on</w:t>
      </w:r>
      <w:r>
        <w:rPr>
          <w:color w:val="231F20"/>
          <w:spacing w:val="-5"/>
          <w:sz w:val="20"/>
        </w:rPr>
        <w:t xml:space="preserve"> </w:t>
      </w:r>
      <w:r>
        <w:rPr>
          <w:color w:val="231F20"/>
          <w:sz w:val="20"/>
        </w:rPr>
        <w:t>one</w:t>
      </w:r>
      <w:r>
        <w:rPr>
          <w:color w:val="231F20"/>
          <w:spacing w:val="-4"/>
          <w:sz w:val="20"/>
        </w:rPr>
        <w:t xml:space="preserve"> </w:t>
      </w:r>
      <w:r>
        <w:rPr>
          <w:color w:val="231F20"/>
          <w:sz w:val="20"/>
        </w:rPr>
        <w:t>or</w:t>
      </w:r>
      <w:r>
        <w:rPr>
          <w:color w:val="231F20"/>
          <w:spacing w:val="-5"/>
          <w:sz w:val="20"/>
        </w:rPr>
        <w:t xml:space="preserve"> </w:t>
      </w:r>
      <w:r>
        <w:rPr>
          <w:color w:val="231F20"/>
          <w:sz w:val="20"/>
        </w:rPr>
        <w:t>more</w:t>
      </w:r>
    </w:p>
    <w:p w:rsidR="006A7A3F" w:rsidRDefault="00BC7372">
      <w:pPr>
        <w:pStyle w:val="BodyText"/>
        <w:spacing w:before="2" w:line="249" w:lineRule="auto"/>
        <w:ind w:left="493" w:right="269"/>
      </w:pPr>
      <w:r>
        <w:rPr>
          <w:color w:val="231F20"/>
        </w:rPr>
        <w:t>potential environmental watering actions and their associated physical or biological functions. Figure 1.5.2 is an example of this table.</w:t>
      </w:r>
    </w:p>
    <w:p w:rsidR="002A7565" w:rsidRDefault="002A7565">
      <w:pPr>
        <w:rPr>
          <w:b/>
          <w:color w:val="231F20"/>
          <w:sz w:val="18"/>
        </w:rPr>
      </w:pPr>
      <w:r>
        <w:rPr>
          <w:b/>
          <w:color w:val="231F20"/>
          <w:sz w:val="18"/>
        </w:rPr>
        <w:br w:type="page"/>
      </w:r>
    </w:p>
    <w:p w:rsidR="006A7A3F" w:rsidRDefault="00BC7372">
      <w:pPr>
        <w:spacing w:before="75"/>
        <w:ind w:left="210"/>
        <w:rPr>
          <w:b/>
          <w:color w:val="231F20"/>
          <w:sz w:val="18"/>
        </w:rPr>
      </w:pPr>
      <w:r>
        <w:rPr>
          <w:b/>
          <w:color w:val="231F20"/>
          <w:sz w:val="18"/>
        </w:rPr>
        <w:t>Figure 1.5.2. Example potential environmental watering actions and objectives tables</w:t>
      </w:r>
    </w:p>
    <w:p w:rsidR="002A7565" w:rsidRDefault="002A7565">
      <w:pPr>
        <w:spacing w:before="75"/>
        <w:ind w:left="210"/>
        <w:rPr>
          <w:b/>
          <w:color w:val="231F20"/>
          <w:sz w:val="18"/>
        </w:rPr>
      </w:pPr>
      <w:r>
        <w:rPr>
          <w:noProof/>
        </w:rPr>
        <w:drawing>
          <wp:inline distT="0" distB="0" distL="0" distR="0" wp14:anchorId="15EE279E">
            <wp:extent cx="5932074" cy="7328725"/>
            <wp:effectExtent l="0" t="0" r="0" b="0"/>
            <wp:docPr id="31" name="image16.jpeg" descr="A ‘how to read’ example of potential environmental watering actions and objectives tables. Potential environmental watering objectives describe the timing, magnitude, duration and frequency of environmental flows to rivers or the timing of release to wetlands. The seasonal watering statements issued by the VEWH authorise waterway managers to undertake environmental watering actions described in this table. Environmental objectives are those listed in the environmental objectives table for each system. Each environmental objective will be supported by one or more watering actions and functional watering objectives. A functional watering objective is the physical or biological effect that a potential watering action aims to achieve. Each potential watering action will have one or more functional watering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2074" cy="7328725"/>
                    </a:xfrm>
                    <a:prstGeom prst="rect">
                      <a:avLst/>
                    </a:prstGeom>
                  </pic:spPr>
                </pic:pic>
              </a:graphicData>
            </a:graphic>
          </wp:inline>
        </w:drawing>
      </w:r>
    </w:p>
    <w:p w:rsidR="002A7565" w:rsidRDefault="002A7565">
      <w:pPr>
        <w:rPr>
          <w:b/>
          <w:sz w:val="18"/>
        </w:rPr>
      </w:pPr>
      <w:r>
        <w:rPr>
          <w:b/>
          <w:sz w:val="18"/>
        </w:rPr>
        <w:br w:type="page"/>
      </w:r>
    </w:p>
    <w:p w:rsidR="006A7A3F" w:rsidRPr="002A7565" w:rsidRDefault="00BC7372" w:rsidP="009B6917">
      <w:pPr>
        <w:pStyle w:val="ListParagraph"/>
        <w:numPr>
          <w:ilvl w:val="0"/>
          <w:numId w:val="1419"/>
        </w:numPr>
        <w:tabs>
          <w:tab w:val="left" w:pos="493"/>
          <w:tab w:val="left" w:pos="494"/>
        </w:tabs>
        <w:spacing w:before="70" w:line="249" w:lineRule="auto"/>
        <w:ind w:right="702"/>
        <w:rPr>
          <w:sz w:val="20"/>
          <w:szCs w:val="20"/>
        </w:rPr>
      </w:pPr>
      <w:r>
        <w:rPr>
          <w:b/>
          <w:color w:val="231F20"/>
          <w:sz w:val="20"/>
        </w:rPr>
        <w:t>scenario planning</w:t>
      </w:r>
      <w:r>
        <w:rPr>
          <w:color w:val="231F20"/>
          <w:sz w:val="20"/>
        </w:rPr>
        <w:t xml:space="preserve">, which indicates in text and table form the range and priority of potential environmental watering actions that might be delivered in the coming year under different climate and water availability scenarios. For example, it may show which environmental flows may be most important if there is less water for the environment available in a dry </w:t>
      </w:r>
      <w:r>
        <w:rPr>
          <w:color w:val="231F20"/>
          <w:spacing w:val="-3"/>
          <w:sz w:val="20"/>
        </w:rPr>
        <w:t xml:space="preserve">year, </w:t>
      </w:r>
      <w:r>
        <w:rPr>
          <w:color w:val="231F20"/>
          <w:sz w:val="20"/>
        </w:rPr>
        <w:t>compared to an average year where there is more water available.</w:t>
      </w:r>
      <w:r>
        <w:rPr>
          <w:color w:val="231F20"/>
          <w:spacing w:val="-7"/>
          <w:sz w:val="20"/>
        </w:rPr>
        <w:t xml:space="preserve"> </w:t>
      </w:r>
      <w:r>
        <w:rPr>
          <w:color w:val="231F20"/>
          <w:sz w:val="20"/>
        </w:rPr>
        <w:t>The</w:t>
      </w:r>
      <w:r>
        <w:rPr>
          <w:color w:val="231F20"/>
          <w:spacing w:val="-3"/>
          <w:sz w:val="20"/>
        </w:rPr>
        <w:t xml:space="preserve"> </w:t>
      </w:r>
      <w:r>
        <w:rPr>
          <w:color w:val="231F20"/>
          <w:sz w:val="20"/>
        </w:rPr>
        <w:t>climate</w:t>
      </w:r>
      <w:r>
        <w:rPr>
          <w:color w:val="231F20"/>
          <w:spacing w:val="-2"/>
          <w:sz w:val="20"/>
        </w:rPr>
        <w:t xml:space="preserve"> </w:t>
      </w:r>
      <w:r>
        <w:rPr>
          <w:color w:val="231F20"/>
          <w:sz w:val="20"/>
        </w:rPr>
        <w:t>scenarios</w:t>
      </w:r>
      <w:r>
        <w:rPr>
          <w:color w:val="231F20"/>
          <w:spacing w:val="-3"/>
          <w:sz w:val="20"/>
        </w:rPr>
        <w:t xml:space="preserve"> </w:t>
      </w:r>
      <w:r>
        <w:rPr>
          <w:color w:val="231F20"/>
          <w:sz w:val="20"/>
        </w:rPr>
        <w:t>considered</w:t>
      </w:r>
      <w:r>
        <w:rPr>
          <w:color w:val="231F20"/>
          <w:spacing w:val="-3"/>
          <w:sz w:val="20"/>
        </w:rPr>
        <w:t xml:space="preserve"> </w:t>
      </w:r>
      <w:r>
        <w:rPr>
          <w:color w:val="231F20"/>
          <w:sz w:val="20"/>
        </w:rPr>
        <w:t>are</w:t>
      </w:r>
      <w:r>
        <w:rPr>
          <w:color w:val="231F20"/>
          <w:spacing w:val="-3"/>
          <w:sz w:val="20"/>
        </w:rPr>
        <w:t xml:space="preserve"> </w:t>
      </w:r>
      <w:r>
        <w:rPr>
          <w:color w:val="231F20"/>
          <w:sz w:val="20"/>
        </w:rPr>
        <w:t>drought,</w:t>
      </w:r>
      <w:r>
        <w:rPr>
          <w:color w:val="231F20"/>
          <w:spacing w:val="-4"/>
          <w:sz w:val="20"/>
        </w:rPr>
        <w:t xml:space="preserve"> </w:t>
      </w:r>
      <w:r>
        <w:rPr>
          <w:color w:val="231F20"/>
          <w:spacing w:val="-5"/>
          <w:sz w:val="20"/>
        </w:rPr>
        <w:t>dry,</w:t>
      </w:r>
      <w:r>
        <w:rPr>
          <w:color w:val="231F20"/>
          <w:spacing w:val="-3"/>
          <w:sz w:val="20"/>
        </w:rPr>
        <w:t xml:space="preserve"> </w:t>
      </w:r>
      <w:r>
        <w:rPr>
          <w:color w:val="231F20"/>
          <w:sz w:val="20"/>
        </w:rPr>
        <w:t>average</w:t>
      </w:r>
      <w:r>
        <w:rPr>
          <w:color w:val="231F20"/>
          <w:spacing w:val="-3"/>
          <w:sz w:val="20"/>
        </w:rPr>
        <w:t xml:space="preserve"> </w:t>
      </w:r>
      <w:r>
        <w:rPr>
          <w:color w:val="231F20"/>
          <w:sz w:val="20"/>
        </w:rPr>
        <w:t>and</w:t>
      </w:r>
      <w:r>
        <w:rPr>
          <w:color w:val="231F20"/>
          <w:spacing w:val="-4"/>
          <w:sz w:val="20"/>
        </w:rPr>
        <w:t xml:space="preserve"> </w:t>
      </w:r>
      <w:r>
        <w:rPr>
          <w:color w:val="231F20"/>
          <w:sz w:val="20"/>
        </w:rPr>
        <w:t>wet.</w:t>
      </w:r>
      <w:r>
        <w:rPr>
          <w:color w:val="231F20"/>
          <w:spacing w:val="-4"/>
          <w:sz w:val="20"/>
        </w:rPr>
        <w:t xml:space="preserve"> </w:t>
      </w:r>
      <w:r>
        <w:rPr>
          <w:color w:val="231F20"/>
          <w:sz w:val="20"/>
        </w:rPr>
        <w:t>Section</w:t>
      </w:r>
      <w:r>
        <w:rPr>
          <w:color w:val="231F20"/>
          <w:spacing w:val="-2"/>
          <w:sz w:val="20"/>
        </w:rPr>
        <w:t xml:space="preserve"> </w:t>
      </w:r>
      <w:r>
        <w:rPr>
          <w:color w:val="231F20"/>
          <w:sz w:val="20"/>
        </w:rPr>
        <w:t>1.3.4</w:t>
      </w:r>
      <w:r>
        <w:rPr>
          <w:color w:val="231F20"/>
          <w:spacing w:val="-4"/>
          <w:sz w:val="20"/>
        </w:rPr>
        <w:t xml:space="preserve"> </w:t>
      </w:r>
      <w:r>
        <w:rPr>
          <w:color w:val="231F20"/>
          <w:sz w:val="20"/>
        </w:rPr>
        <w:t>explains</w:t>
      </w:r>
      <w:r>
        <w:rPr>
          <w:color w:val="231F20"/>
          <w:spacing w:val="-4"/>
          <w:sz w:val="20"/>
        </w:rPr>
        <w:t xml:space="preserve"> </w:t>
      </w:r>
      <w:r>
        <w:rPr>
          <w:color w:val="231F20"/>
          <w:sz w:val="20"/>
        </w:rPr>
        <w:t>how</w:t>
      </w:r>
      <w:r w:rsidR="002A7565">
        <w:rPr>
          <w:color w:val="231F20"/>
          <w:sz w:val="20"/>
        </w:rPr>
        <w:t xml:space="preserve"> </w:t>
      </w:r>
      <w:r w:rsidRPr="002A7565">
        <w:rPr>
          <w:color w:val="231F20"/>
          <w:sz w:val="20"/>
          <w:szCs w:val="20"/>
        </w:rPr>
        <w:t>seasonal conditions are considered in planning. Potential environmental watering actions are listed in order of priority. Figure 1.5.3 is an example of the planning scenario table.</w:t>
      </w:r>
    </w:p>
    <w:p w:rsidR="001413DB" w:rsidRDefault="001413DB">
      <w:pPr>
        <w:rPr>
          <w:sz w:val="21"/>
          <w:szCs w:val="20"/>
        </w:rPr>
      </w:pPr>
      <w:r>
        <w:rPr>
          <w:sz w:val="21"/>
        </w:rPr>
        <w:br w:type="page"/>
      </w:r>
    </w:p>
    <w:p w:rsidR="006A7A3F" w:rsidRDefault="001413DB" w:rsidP="001413DB">
      <w:pPr>
        <w:pStyle w:val="BodyText"/>
        <w:spacing w:before="5" w:after="120"/>
        <w:ind w:left="0"/>
        <w:rPr>
          <w:sz w:val="21"/>
        </w:rPr>
      </w:pPr>
      <w:r>
        <w:rPr>
          <w:b/>
          <w:color w:val="231F20"/>
          <w:sz w:val="18"/>
        </w:rPr>
        <w:t>Figure 1.5.3 Example scenario planning table</w:t>
      </w:r>
    </w:p>
    <w:p w:rsidR="006A7A3F" w:rsidRDefault="00BC7372">
      <w:pPr>
        <w:ind w:left="210"/>
        <w:rPr>
          <w:b/>
          <w:sz w:val="18"/>
        </w:rPr>
      </w:pPr>
      <w:r>
        <w:rPr>
          <w:noProof/>
        </w:rPr>
        <w:drawing>
          <wp:inline distT="0" distB="0" distL="0" distR="0">
            <wp:extent cx="6141727" cy="7565135"/>
            <wp:effectExtent l="0" t="0" r="5080" b="4445"/>
            <wp:docPr id="33" name="image17.jpeg" descr="A ‘how to read’ example of a scenario planning table. Expected availability of water for the environment: Assumed volume of water for the environment that will be available over the entire year: the assumed supply. Potential environmental watering – tier 1a (high priorities): Tier 1a denotes the high-priority potential environmental watering actions that could be achieved with the assumed supply. Potential environmental watering – tier 1b (high priorities): Tier 1b denotes high-priority potential environmental watering actions that are unlikely to be achieved with the assumed supply. These actions may be achieved with natural or unregulated flows, or additional water may need to be transferred or traded into the system to meet demand for these watering actions. If tier 1b actions are not delivered, there may be a decline in environmental condition and the ability to meet environmental objectives in the medium and long terms may be compromised. Potential environmental watering – tier 2 (additional priorities): Tier 2 potential environmental watering actions have been identified as being necessary to support overall environmental objectives, but they are not essential to deliver this year. Delivering tier 2 watering actions in the coming year will likely provide an environmental benefit, but not delivering them will not result in a significant decline. Priority carryover requirements: The volume that is planned to be kept in storage to achieve high-priority watering actions the following year. For the seasonal watering plan, predictions of water available and carryover are made before the beginning of a water year and are based on the best-available information. They are estimates only, and the VEWH and its program partners revise these estimates continually throughout the wat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41727" cy="7565135"/>
                    </a:xfrm>
                    <a:prstGeom prst="rect">
                      <a:avLst/>
                    </a:prstGeom>
                  </pic:spPr>
                </pic:pic>
              </a:graphicData>
            </a:graphic>
          </wp:inline>
        </w:drawing>
      </w:r>
    </w:p>
    <w:p w:rsidR="00175607" w:rsidRDefault="00175607">
      <w:pPr>
        <w:rPr>
          <w:rFonts w:eastAsiaTheme="minorHAnsi"/>
          <w:b/>
          <w:bCs/>
          <w:color w:val="000000"/>
          <w:sz w:val="42"/>
          <w:szCs w:val="42"/>
          <w:lang w:eastAsia="en-US" w:bidi="ar-SA"/>
        </w:rPr>
      </w:pPr>
      <w:r>
        <w:rPr>
          <w:sz w:val="42"/>
          <w:szCs w:val="42"/>
        </w:rPr>
        <w:br w:type="page"/>
      </w:r>
    </w:p>
    <w:p w:rsidR="002A7565" w:rsidRDefault="002A7565" w:rsidP="002A7565">
      <w:pPr>
        <w:pStyle w:val="H3-IntroIntroduction"/>
        <w:rPr>
          <w:sz w:val="42"/>
          <w:szCs w:val="42"/>
        </w:rPr>
      </w:pPr>
      <w:r w:rsidRPr="00CC340C">
        <w:rPr>
          <w:sz w:val="42"/>
          <w:szCs w:val="42"/>
        </w:rPr>
        <w:t xml:space="preserve">Section </w:t>
      </w:r>
      <w:r>
        <w:rPr>
          <w:sz w:val="42"/>
          <w:szCs w:val="42"/>
        </w:rPr>
        <w:t>2</w:t>
      </w:r>
      <w:r w:rsidRPr="00CC340C">
        <w:rPr>
          <w:sz w:val="42"/>
          <w:szCs w:val="42"/>
        </w:rPr>
        <w:t xml:space="preserve"> – </w:t>
      </w:r>
      <w:r>
        <w:rPr>
          <w:sz w:val="42"/>
          <w:szCs w:val="42"/>
        </w:rPr>
        <w:t>Gippsland region</w:t>
      </w:r>
    </w:p>
    <w:p w:rsidR="002A7565" w:rsidRDefault="002A7565" w:rsidP="002A7565">
      <w:pPr>
        <w:pStyle w:val="BodyText"/>
        <w:ind w:left="0"/>
      </w:pPr>
    </w:p>
    <w:p w:rsidR="002A7565" w:rsidRPr="002A7565" w:rsidRDefault="002A7565" w:rsidP="00511048">
      <w:pPr>
        <w:pStyle w:val="BodyText"/>
        <w:tabs>
          <w:tab w:val="left" w:pos="567"/>
          <w:tab w:val="left" w:pos="1276"/>
          <w:tab w:val="right" w:leader="dot" w:pos="10065"/>
        </w:tabs>
        <w:ind w:left="0"/>
      </w:pPr>
      <w:r>
        <w:t>2</w:t>
      </w:r>
      <w:r w:rsidRPr="002A7565">
        <w:t>.1</w:t>
      </w:r>
      <w:r>
        <w:tab/>
      </w:r>
      <w:r w:rsidRPr="002A7565">
        <w:t>Gippsland region overview</w:t>
      </w:r>
      <w:r>
        <w:tab/>
      </w:r>
      <w:r w:rsidR="00511048">
        <w:t>4</w:t>
      </w:r>
      <w:r w:rsidR="00E64968">
        <w:t>5</w:t>
      </w:r>
    </w:p>
    <w:p w:rsidR="002A7565" w:rsidRPr="002A7565" w:rsidRDefault="002A7565" w:rsidP="00511048">
      <w:pPr>
        <w:pStyle w:val="BodyText"/>
        <w:tabs>
          <w:tab w:val="left" w:pos="567"/>
          <w:tab w:val="left" w:pos="1276"/>
          <w:tab w:val="right" w:leader="dot" w:pos="10065"/>
        </w:tabs>
        <w:ind w:left="0"/>
      </w:pPr>
      <w:r w:rsidRPr="002A7565">
        <w:t>2.2.</w:t>
      </w:r>
      <w:r w:rsidR="00C771F6">
        <w:tab/>
      </w:r>
      <w:r w:rsidRPr="002A7565">
        <w:t xml:space="preserve">Latrobe system </w:t>
      </w:r>
      <w:r>
        <w:tab/>
      </w:r>
      <w:r w:rsidR="00511048">
        <w:t>5</w:t>
      </w:r>
      <w:r w:rsidR="00E64968">
        <w:t>3</w:t>
      </w:r>
    </w:p>
    <w:p w:rsidR="002A7565" w:rsidRPr="002A7565" w:rsidRDefault="00C771F6" w:rsidP="00511048">
      <w:pPr>
        <w:pStyle w:val="BodyText"/>
        <w:tabs>
          <w:tab w:val="left" w:pos="567"/>
          <w:tab w:val="left" w:pos="1276"/>
          <w:tab w:val="right" w:leader="dot" w:pos="10065"/>
        </w:tabs>
        <w:ind w:left="0"/>
      </w:pPr>
      <w:r>
        <w:tab/>
      </w:r>
      <w:r w:rsidR="002A7565" w:rsidRPr="002A7565">
        <w:t>2.2.1</w:t>
      </w:r>
      <w:r w:rsidR="002A7565">
        <w:tab/>
      </w:r>
      <w:r w:rsidR="002A7565" w:rsidRPr="002A7565">
        <w:t>Latrobe River</w:t>
      </w:r>
      <w:r w:rsidR="002A7565">
        <w:tab/>
      </w:r>
      <w:r w:rsidR="00E64968">
        <w:t>53</w:t>
      </w:r>
    </w:p>
    <w:p w:rsidR="002A7565" w:rsidRPr="002A7565" w:rsidRDefault="00C771F6" w:rsidP="00511048">
      <w:pPr>
        <w:pStyle w:val="BodyText"/>
        <w:tabs>
          <w:tab w:val="left" w:pos="567"/>
          <w:tab w:val="left" w:pos="1276"/>
          <w:tab w:val="right" w:leader="dot" w:pos="10065"/>
        </w:tabs>
        <w:ind w:left="0"/>
      </w:pPr>
      <w:r>
        <w:tab/>
      </w:r>
      <w:r w:rsidR="002A7565" w:rsidRPr="002A7565">
        <w:t>2.2.2</w:t>
      </w:r>
      <w:r>
        <w:tab/>
      </w:r>
      <w:r w:rsidR="002A7565" w:rsidRPr="002A7565">
        <w:t>Lower Latrobe wetlands</w:t>
      </w:r>
      <w:r>
        <w:tab/>
      </w:r>
      <w:r w:rsidR="00E64968">
        <w:t>60</w:t>
      </w:r>
    </w:p>
    <w:p w:rsidR="002A7565" w:rsidRPr="002A7565" w:rsidRDefault="002A7565" w:rsidP="00511048">
      <w:pPr>
        <w:pStyle w:val="BodyText"/>
        <w:tabs>
          <w:tab w:val="left" w:pos="567"/>
          <w:tab w:val="left" w:pos="1276"/>
          <w:tab w:val="right" w:leader="dot" w:pos="10065"/>
        </w:tabs>
        <w:ind w:left="0"/>
      </w:pPr>
      <w:r w:rsidRPr="002A7565">
        <w:t xml:space="preserve">2.3 </w:t>
      </w:r>
      <w:r>
        <w:tab/>
      </w:r>
      <w:r w:rsidRPr="002A7565">
        <w:t xml:space="preserve">Thomson system </w:t>
      </w:r>
      <w:r>
        <w:tab/>
      </w:r>
      <w:r w:rsidR="00511048">
        <w:t>6</w:t>
      </w:r>
      <w:r w:rsidR="00E64968">
        <w:t>7</w:t>
      </w:r>
    </w:p>
    <w:p w:rsidR="002A7565" w:rsidRPr="002A7565" w:rsidRDefault="002A7565" w:rsidP="00511048">
      <w:pPr>
        <w:pStyle w:val="BodyText"/>
        <w:tabs>
          <w:tab w:val="left" w:pos="567"/>
          <w:tab w:val="left" w:pos="1276"/>
          <w:tab w:val="right" w:leader="dot" w:pos="10065"/>
        </w:tabs>
        <w:ind w:left="0"/>
      </w:pPr>
      <w:r w:rsidRPr="002A7565">
        <w:t>2.4</w:t>
      </w:r>
      <w:r>
        <w:tab/>
      </w:r>
      <w:r w:rsidRPr="002A7565">
        <w:t>Macalister system</w:t>
      </w:r>
      <w:r>
        <w:tab/>
      </w:r>
      <w:r w:rsidR="00511048">
        <w:t>7</w:t>
      </w:r>
      <w:r w:rsidR="00E64968">
        <w:t>4</w:t>
      </w:r>
    </w:p>
    <w:p w:rsidR="006A7A3F" w:rsidRPr="002A7565" w:rsidRDefault="002A7565" w:rsidP="00511048">
      <w:pPr>
        <w:pStyle w:val="BodyText"/>
        <w:tabs>
          <w:tab w:val="left" w:pos="567"/>
          <w:tab w:val="left" w:pos="1276"/>
          <w:tab w:val="right" w:leader="dot" w:pos="10065"/>
        </w:tabs>
        <w:ind w:left="0"/>
      </w:pPr>
      <w:r w:rsidRPr="002A7565">
        <w:t>2.5</w:t>
      </w:r>
      <w:r>
        <w:tab/>
      </w:r>
      <w:r w:rsidRPr="002A7565">
        <w:t>Snowy system</w:t>
      </w:r>
      <w:r>
        <w:tab/>
      </w:r>
      <w:r w:rsidR="00E64968">
        <w:t>81</w:t>
      </w:r>
    </w:p>
    <w:p w:rsidR="002A7565" w:rsidRPr="002A7565" w:rsidRDefault="002A7565" w:rsidP="005E597C">
      <w:r>
        <w:br w:type="page"/>
      </w:r>
    </w:p>
    <w:p w:rsidR="006A7A3F" w:rsidRDefault="00BC7372">
      <w:pPr>
        <w:pStyle w:val="Heading1"/>
        <w:ind w:left="210" w:firstLine="0"/>
        <w:rPr>
          <w:color w:val="231F20"/>
        </w:rPr>
      </w:pPr>
      <w:r>
        <w:rPr>
          <w:color w:val="231F20"/>
        </w:rPr>
        <w:t>2.1 Gippsland region overview</w:t>
      </w:r>
    </w:p>
    <w:p w:rsidR="005E597C" w:rsidRDefault="005E597C">
      <w:pPr>
        <w:pStyle w:val="Heading1"/>
        <w:ind w:left="210" w:firstLine="0"/>
      </w:pPr>
    </w:p>
    <w:p w:rsidR="006A7A3F" w:rsidRDefault="00BC7372">
      <w:pPr>
        <w:pStyle w:val="Heading2"/>
        <w:spacing w:before="69" w:line="249" w:lineRule="auto"/>
        <w:ind w:right="297"/>
      </w:pPr>
      <w:r>
        <w:rPr>
          <w:color w:val="231F20"/>
        </w:rPr>
        <w:t>The systems in the Gippsland region that can receive water from the VEWH’s environmental entitlements are the Latrobe River and wetlands, Thomson River and Macalister River. The Snowy River also receives water for the environment, but this is managed by the New South Wales (NSW) Department of Planning, Industry and Environment.</w:t>
      </w:r>
    </w:p>
    <w:p w:rsidR="006A7A3F" w:rsidRDefault="00BC7372">
      <w:pPr>
        <w:pStyle w:val="BodyText"/>
        <w:spacing w:before="150" w:line="249" w:lineRule="auto"/>
        <w:ind w:right="196"/>
      </w:pPr>
      <w:r>
        <w:rPr>
          <w:color w:val="231F20"/>
        </w:rPr>
        <w:t>Environmental values, recent conditions, environmental watering objectives and planned actions for each system in the Gippsland region are presented in the system sections that follow this regional overview.</w:t>
      </w:r>
    </w:p>
    <w:p w:rsidR="006A7A3F" w:rsidRDefault="00BC7372">
      <w:pPr>
        <w:spacing w:before="181"/>
        <w:ind w:left="210"/>
        <w:rPr>
          <w:rFonts w:ascii="Helvetica Neue LT Std 75"/>
          <w:b/>
          <w:sz w:val="19"/>
        </w:rPr>
      </w:pPr>
      <w:r>
        <w:rPr>
          <w:rFonts w:ascii="Helvetica Neue LT Std 75"/>
          <w:b/>
          <w:color w:val="231F20"/>
          <w:sz w:val="19"/>
        </w:rPr>
        <w:t>Traditional Owners in the Gippsland region</w:t>
      </w:r>
    </w:p>
    <w:p w:rsidR="006A7A3F" w:rsidRDefault="00BC7372">
      <w:pPr>
        <w:pStyle w:val="BodyText"/>
        <w:spacing w:before="68" w:line="249" w:lineRule="auto"/>
        <w:ind w:right="100"/>
      </w:pPr>
      <w:r>
        <w:rPr>
          <w:color w:val="231F20"/>
        </w:rPr>
        <w:t>Traditional Owners in the Gippsland region continue to have a deep connection to the region’s rivers, wetlands and floodplains.</w:t>
      </w:r>
    </w:p>
    <w:p w:rsidR="006A7A3F" w:rsidRDefault="00BC7372">
      <w:pPr>
        <w:pStyle w:val="BodyText"/>
        <w:spacing w:before="171" w:line="249" w:lineRule="auto"/>
        <w:ind w:right="297"/>
      </w:pPr>
      <w:r>
        <w:rPr>
          <w:color w:val="231F20"/>
        </w:rPr>
        <w:t>The Gunaikurnai Land and Waters Aboriginal Corporation (GLaWAC), on behalf of the Gunaikurnai people, hold Native Title and is a Registered Aboriginal Party over an area that extends from near Warragul, east to the Snowy River and north to the Great Dividing Range. This area includes the Latrobe, Thomson, Macalister and Snowy rivers and the lower Latrobe wetlands covered by this section of the seasonal watering plan.</w:t>
      </w:r>
    </w:p>
    <w:p w:rsidR="006A7A3F" w:rsidRDefault="00BC7372">
      <w:pPr>
        <w:pStyle w:val="BodyText"/>
        <w:spacing w:before="174" w:line="249" w:lineRule="auto"/>
        <w:ind w:right="100"/>
      </w:pPr>
      <w:r>
        <w:rPr>
          <w:color w:val="231F20"/>
        </w:rPr>
        <w:t>The State of Victoria has also entered into a Recognition and Settlement Agreement with the Gunaikurnai people. The Recognition and Settlement Agreement, executed under the Traditional Owner Settlement Act 2010, affords Gunaikurnai people rights relating to the use of public land within their agreement area.</w:t>
      </w:r>
    </w:p>
    <w:p w:rsidR="006A7A3F" w:rsidRDefault="00BC7372">
      <w:pPr>
        <w:pStyle w:val="BodyText"/>
        <w:spacing w:line="249" w:lineRule="auto"/>
        <w:ind w:right="100"/>
      </w:pPr>
      <w:r>
        <w:rPr>
          <w:color w:val="231F20"/>
        </w:rPr>
        <w:t>Other Registered Aboriginal Parties in this geographic area are the Bunurong Land Council Aboriginal Corporation and Wurundjeri Woi Wurrung Cultural Heritage Aboriginal Corporation, but their boundaries do not extend to the waterways managed with water for the environment in the Gippsland region.</w:t>
      </w:r>
    </w:p>
    <w:p w:rsidR="006A7A3F" w:rsidRDefault="00BC7372">
      <w:pPr>
        <w:spacing w:before="182"/>
        <w:ind w:left="210"/>
        <w:rPr>
          <w:rFonts w:ascii="Helvetica Neue LT Std 75"/>
          <w:b/>
          <w:sz w:val="19"/>
        </w:rPr>
      </w:pPr>
      <w:r>
        <w:rPr>
          <w:rFonts w:ascii="Helvetica Neue LT Std 75"/>
          <w:b/>
          <w:color w:val="231F20"/>
          <w:sz w:val="19"/>
        </w:rPr>
        <w:t>Engagement</w:t>
      </w:r>
    </w:p>
    <w:p w:rsidR="006A7A3F" w:rsidRDefault="00BC7372" w:rsidP="001413DB">
      <w:pPr>
        <w:pStyle w:val="BodyText"/>
        <w:spacing w:before="68" w:line="249" w:lineRule="auto"/>
        <w:ind w:right="489"/>
      </w:pPr>
      <w:r>
        <w:rPr>
          <w:color w:val="231F20"/>
        </w:rPr>
        <w:t>Seasonal watering proposals are informed by community, stakeholder and program partner engagement, as well as longer-term regional catchment strategies, regional waterway strategies, relevant technical studies (such as environmental flows studies and environmental water management plans). Program partners and</w:t>
      </w:r>
      <w:r>
        <w:rPr>
          <w:color w:val="231F20"/>
          <w:spacing w:val="-35"/>
        </w:rPr>
        <w:t xml:space="preserve"> </w:t>
      </w:r>
      <w:r w:rsidR="001413DB">
        <w:rPr>
          <w:color w:val="231F20"/>
          <w:spacing w:val="-35"/>
        </w:rPr>
        <w:t xml:space="preserve"> </w:t>
      </w:r>
      <w:r>
        <w:rPr>
          <w:color w:val="231F20"/>
        </w:rPr>
        <w:t>other</w:t>
      </w:r>
      <w:r w:rsidR="001413DB">
        <w:rPr>
          <w:color w:val="231F20"/>
        </w:rPr>
        <w:t xml:space="preserve"> </w:t>
      </w:r>
      <w:r>
        <w:rPr>
          <w:color w:val="231F20"/>
        </w:rPr>
        <w:t>stakeholders help to identify environmental watering priorities and opportunities for the coming year. The strategies and technical reports collectively describe a range of environmental, cultural, economic, social and Traditional Owner perspectives and longer-term integrated catchment and waterway management objectives that influence environmental watering actions and priorities.</w:t>
      </w:r>
    </w:p>
    <w:p w:rsidR="005E597C" w:rsidRDefault="005E597C">
      <w:pPr>
        <w:rPr>
          <w:color w:val="231F20"/>
          <w:sz w:val="20"/>
          <w:szCs w:val="20"/>
        </w:rPr>
      </w:pPr>
      <w:r>
        <w:rPr>
          <w:color w:val="231F20"/>
        </w:rPr>
        <w:br w:type="page"/>
      </w:r>
    </w:p>
    <w:p w:rsidR="006A7A3F" w:rsidRDefault="00BC7372">
      <w:pPr>
        <w:pStyle w:val="BodyText"/>
        <w:spacing w:before="173" w:line="249" w:lineRule="auto"/>
        <w:ind w:right="457"/>
      </w:pPr>
      <w:r>
        <w:rPr>
          <w:color w:val="231F20"/>
        </w:rPr>
        <w:t>The International Association for Public Participation’s Public Participation Spectrum (IAP2 Spectrum) has been used to categorise the levels of participation of stakeholders involved in the environmental watering planning process. Table 2.1.1 shows the IAP2 Spectrum categories and participation goals.</w:t>
      </w:r>
    </w:p>
    <w:p w:rsidR="006A7A3F" w:rsidRDefault="00BC7372">
      <w:pPr>
        <w:spacing w:before="168" w:line="249" w:lineRule="auto"/>
        <w:ind w:left="210" w:right="457"/>
        <w:rPr>
          <w:b/>
          <w:sz w:val="10"/>
        </w:rPr>
      </w:pPr>
      <w:r>
        <w:rPr>
          <w:b/>
          <w:color w:val="231F20"/>
          <w:sz w:val="18"/>
        </w:rPr>
        <w:t>Table 2.1.1 International Association for Public Participation’s Public Participation Spectrum categories and participation goals</w:t>
      </w:r>
      <w:r>
        <w:rPr>
          <w:b/>
          <w:color w:val="231F20"/>
          <w:position w:val="6"/>
          <w:sz w:val="10"/>
        </w:rPr>
        <w:t>1</w:t>
      </w:r>
    </w:p>
    <w:p w:rsidR="006A7A3F" w:rsidRDefault="006A7A3F">
      <w:pPr>
        <w:pStyle w:val="BodyText"/>
        <w:spacing w:before="10"/>
        <w:ind w:left="0"/>
        <w:rPr>
          <w:b/>
          <w:sz w:val="7"/>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8494"/>
      </w:tblGrid>
      <w:tr w:rsidR="006A7A3F">
        <w:trPr>
          <w:trHeight w:val="367"/>
        </w:trPr>
        <w:tc>
          <w:tcPr>
            <w:tcW w:w="1701" w:type="dxa"/>
            <w:tcBorders>
              <w:top w:val="nil"/>
              <w:left w:val="nil"/>
              <w:bottom w:val="nil"/>
            </w:tcBorders>
            <w:shd w:val="clear" w:color="auto" w:fill="231F20"/>
          </w:tcPr>
          <w:p w:rsidR="006A7A3F" w:rsidRDefault="00BC7372">
            <w:pPr>
              <w:pStyle w:val="TableParagraph"/>
              <w:spacing w:before="80"/>
              <w:ind w:left="118"/>
              <w:rPr>
                <w:b/>
                <w:sz w:val="18"/>
              </w:rPr>
            </w:pPr>
            <w:r>
              <w:rPr>
                <w:b/>
                <w:color w:val="FFFFFF"/>
                <w:sz w:val="18"/>
              </w:rPr>
              <w:t>IAP2 level</w:t>
            </w:r>
          </w:p>
        </w:tc>
        <w:tc>
          <w:tcPr>
            <w:tcW w:w="8494" w:type="dxa"/>
            <w:tcBorders>
              <w:top w:val="nil"/>
              <w:bottom w:val="nil"/>
              <w:right w:val="nil"/>
            </w:tcBorders>
            <w:shd w:val="clear" w:color="auto" w:fill="231F20"/>
          </w:tcPr>
          <w:p w:rsidR="006A7A3F" w:rsidRDefault="00BC7372">
            <w:pPr>
              <w:pStyle w:val="TableParagraph"/>
              <w:spacing w:before="80"/>
              <w:ind w:left="113"/>
              <w:rPr>
                <w:b/>
                <w:sz w:val="18"/>
              </w:rPr>
            </w:pPr>
            <w:r>
              <w:rPr>
                <w:b/>
                <w:color w:val="FFFFFF"/>
                <w:sz w:val="18"/>
              </w:rPr>
              <w:t>Engagement goal</w:t>
            </w:r>
          </w:p>
        </w:tc>
      </w:tr>
      <w:tr w:rsidR="006A7A3F">
        <w:trPr>
          <w:trHeight w:val="333"/>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113"/>
              <w:rPr>
                <w:b/>
                <w:sz w:val="16"/>
              </w:rPr>
            </w:pPr>
            <w:r>
              <w:rPr>
                <w:b/>
                <w:color w:val="231F20"/>
                <w:sz w:val="16"/>
              </w:rPr>
              <w:t>Inform</w:t>
            </w:r>
          </w:p>
        </w:tc>
        <w:tc>
          <w:tcPr>
            <w:tcW w:w="8494"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113"/>
              <w:rPr>
                <w:sz w:val="16"/>
              </w:rPr>
            </w:pPr>
            <w:r>
              <w:rPr>
                <w:color w:val="231F20"/>
                <w:sz w:val="16"/>
              </w:rPr>
              <w:t>Provide balanced and objective information to assist understanding, alternatives, opportunities and/or solutions</w:t>
            </w:r>
          </w:p>
        </w:tc>
      </w:tr>
      <w:tr w:rsidR="006A7A3F">
        <w:trPr>
          <w:trHeight w:val="3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113"/>
              <w:rPr>
                <w:b/>
                <w:sz w:val="16"/>
              </w:rPr>
            </w:pPr>
            <w:r>
              <w:rPr>
                <w:b/>
                <w:color w:val="231F20"/>
                <w:sz w:val="16"/>
              </w:rPr>
              <w:t>Consult</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113"/>
              <w:rPr>
                <w:sz w:val="16"/>
              </w:rPr>
            </w:pPr>
            <w:r>
              <w:rPr>
                <w:color w:val="231F20"/>
                <w:sz w:val="16"/>
              </w:rPr>
              <w:t>Obtain feedback on analysis, alternatives and/or decisions</w:t>
            </w:r>
          </w:p>
        </w:tc>
      </w:tr>
      <w:tr w:rsidR="006A7A3F">
        <w:trPr>
          <w:trHeight w:val="5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113"/>
              <w:rPr>
                <w:b/>
                <w:sz w:val="16"/>
              </w:rPr>
            </w:pPr>
            <w:r>
              <w:rPr>
                <w:b/>
                <w:color w:val="231F20"/>
                <w:sz w:val="16"/>
              </w:rPr>
              <w:t>Involve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113"/>
              <w:rPr>
                <w:sz w:val="16"/>
              </w:rPr>
            </w:pPr>
            <w:r>
              <w:rPr>
                <w:color w:val="231F20"/>
                <w:sz w:val="16"/>
              </w:rPr>
              <w:t>Work directly throughout a process to ensure that concerns and aspirations are consistently understood and considered</w:t>
            </w:r>
          </w:p>
        </w:tc>
      </w:tr>
      <w:tr w:rsidR="006A7A3F">
        <w:trPr>
          <w:trHeight w:val="5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113"/>
              <w:rPr>
                <w:b/>
                <w:sz w:val="16"/>
              </w:rPr>
            </w:pPr>
            <w:r>
              <w:rPr>
                <w:b/>
                <w:color w:val="231F20"/>
                <w:sz w:val="16"/>
              </w:rPr>
              <w:t>Collaborate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113"/>
              <w:rPr>
                <w:sz w:val="16"/>
              </w:rPr>
            </w:pPr>
            <w:r>
              <w:rPr>
                <w:color w:val="231F20"/>
                <w:sz w:val="16"/>
              </w:rPr>
              <w:t>Partner in each aspect of the decision including the development of alternatives and the identification of the preferred solution</w:t>
            </w:r>
          </w:p>
        </w:tc>
      </w:tr>
      <w:tr w:rsidR="006A7A3F">
        <w:trPr>
          <w:trHeight w:val="3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113"/>
              <w:rPr>
                <w:b/>
                <w:sz w:val="16"/>
              </w:rPr>
            </w:pPr>
            <w:r>
              <w:rPr>
                <w:b/>
                <w:color w:val="231F20"/>
                <w:sz w:val="16"/>
              </w:rPr>
              <w:t>Empower</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113"/>
              <w:rPr>
                <w:sz w:val="16"/>
              </w:rPr>
            </w:pPr>
            <w:r>
              <w:rPr>
                <w:color w:val="231F20"/>
                <w:sz w:val="16"/>
              </w:rPr>
              <w:t>Place final decision making in the hands of the stakeholder</w:t>
            </w:r>
          </w:p>
        </w:tc>
      </w:tr>
    </w:tbl>
    <w:p w:rsidR="006A7A3F" w:rsidRDefault="006A7A3F">
      <w:pPr>
        <w:pStyle w:val="BodyText"/>
        <w:spacing w:before="6"/>
        <w:ind w:left="0"/>
        <w:rPr>
          <w:b/>
          <w:sz w:val="17"/>
        </w:rPr>
      </w:pPr>
    </w:p>
    <w:p w:rsidR="006A7A3F" w:rsidRDefault="00BC7372">
      <w:pPr>
        <w:ind w:left="210"/>
        <w:rPr>
          <w:sz w:val="14"/>
        </w:rPr>
      </w:pPr>
      <w:r>
        <w:rPr>
          <w:color w:val="231F20"/>
          <w:position w:val="5"/>
          <w:sz w:val="8"/>
        </w:rPr>
        <w:t xml:space="preserve">1 </w:t>
      </w:r>
      <w:r>
        <w:rPr>
          <w:color w:val="231F20"/>
          <w:sz w:val="14"/>
        </w:rPr>
        <w:t>The VEWH has the permission of the International Association for Public Participation to reproduce the IAP2 Spectrum.</w:t>
      </w:r>
    </w:p>
    <w:p w:rsidR="005E597C" w:rsidRDefault="005E597C">
      <w:pPr>
        <w:pStyle w:val="BodyText"/>
        <w:spacing w:before="70" w:line="249" w:lineRule="auto"/>
        <w:ind w:right="329"/>
        <w:rPr>
          <w:color w:val="231F20"/>
        </w:rPr>
      </w:pPr>
    </w:p>
    <w:p w:rsidR="006A7A3F" w:rsidRDefault="00BC7372">
      <w:pPr>
        <w:pStyle w:val="BodyText"/>
        <w:spacing w:before="70" w:line="249" w:lineRule="auto"/>
        <w:ind w:right="329"/>
      </w:pPr>
      <w:r>
        <w:rPr>
          <w:color w:val="231F20"/>
        </w:rPr>
        <w:t>Table 2.1.2 shows the partners, stakeholder organisations and individuals with which West Gippsland CMA engaged when preparing the Latrobe River, lower Latrobe wetlands, Thomson and Macalister systems’ seasonal watering proposals. This includes engagement conducted as part of developing the seasonal watering proposals as well as engagement during the preparation of key foundational documents that directly informed the proposals. VEWH staff were also consulted for operational information as part of the development of all annual seasonal watering proposals by CMAs.</w:t>
      </w:r>
    </w:p>
    <w:p w:rsidR="006A7A3F" w:rsidRDefault="00BC7372">
      <w:pPr>
        <w:pStyle w:val="BodyText"/>
        <w:spacing w:before="175" w:line="249" w:lineRule="auto"/>
        <w:ind w:right="251"/>
      </w:pPr>
      <w:r>
        <w:rPr>
          <w:color w:val="231F20"/>
        </w:rPr>
        <w:t>The table also shows the level of engagement between West Gippsland CMA and stakeholders of the environmental watering program in the Gippsland region based on the CMA’s interpretation of the IAP2 Spectrum.</w:t>
      </w:r>
    </w:p>
    <w:p w:rsidR="006A7A3F" w:rsidRDefault="00BC7372">
      <w:pPr>
        <w:pStyle w:val="BodyText"/>
        <w:spacing w:line="249" w:lineRule="auto"/>
        <w:ind w:right="174"/>
      </w:pPr>
      <w:r>
        <w:rPr>
          <w:color w:val="231F20"/>
        </w:rPr>
        <w:t>The level of engagement differs between organisations and between systems, depending on the availability, capacity or interest of stakeholders to participate, roles and responsibilities of organisations in managing a site or system, and potential interaction of proposed watering with other activities on the waterway. For example, in the Gippsland region, Parks Victoria is more involved in planning and management of water for the environment for the lower Latrobe wetlands than for other systems, because it is the land manager for Dowd Morass and Sale Common and it operates the regulators used to release water to these sites.</w:t>
      </w:r>
    </w:p>
    <w:p w:rsidR="005E597C" w:rsidRDefault="005E597C">
      <w:pPr>
        <w:rPr>
          <w:b/>
          <w:color w:val="231F20"/>
          <w:sz w:val="18"/>
        </w:rPr>
      </w:pPr>
      <w:r>
        <w:rPr>
          <w:b/>
          <w:color w:val="231F20"/>
          <w:sz w:val="18"/>
        </w:rPr>
        <w:br w:type="page"/>
      </w:r>
    </w:p>
    <w:p w:rsidR="006A7A3F" w:rsidRDefault="00BC7372">
      <w:pPr>
        <w:spacing w:before="170" w:line="249" w:lineRule="auto"/>
        <w:ind w:left="210" w:right="308"/>
        <w:rPr>
          <w:b/>
          <w:sz w:val="18"/>
        </w:rPr>
      </w:pPr>
      <w:r>
        <w:rPr>
          <w:b/>
          <w:color w:val="231F20"/>
          <w:sz w:val="18"/>
        </w:rPr>
        <w:t>Table 2.1.2 Partners and stakeholders engaged by West Gippsland CMA in developing seasonal watering proposals for the Latrobe River, lower Latrobe wetlands, Thomson River and Macalister River systems and other key foundation documents that have directly informed the proposals</w:t>
      </w:r>
    </w:p>
    <w:p w:rsidR="006A7A3F" w:rsidRDefault="006A7A3F">
      <w:pPr>
        <w:pStyle w:val="BodyText"/>
        <w:spacing w:before="11"/>
        <w:ind w:left="0"/>
        <w:rPr>
          <w:b/>
          <w:sz w:val="7"/>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trPr>
          <w:trHeight w:val="587"/>
        </w:trPr>
        <w:tc>
          <w:tcPr>
            <w:tcW w:w="2041" w:type="dxa"/>
            <w:tcBorders>
              <w:top w:val="nil"/>
              <w:left w:val="nil"/>
              <w:bottom w:val="nil"/>
            </w:tcBorders>
            <w:shd w:val="clear" w:color="auto" w:fill="231F20"/>
          </w:tcPr>
          <w:p w:rsidR="006A7A3F" w:rsidRDefault="006A7A3F">
            <w:pPr>
              <w:pStyle w:val="TableParagraph"/>
              <w:ind w:left="0"/>
              <w:rPr>
                <w:rFonts w:ascii="Times New Roman"/>
                <w:sz w:val="18"/>
              </w:rPr>
            </w:pP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Latrobe River</w:t>
            </w:r>
          </w:p>
        </w:tc>
        <w:tc>
          <w:tcPr>
            <w:tcW w:w="2041" w:type="dxa"/>
            <w:tcBorders>
              <w:top w:val="nil"/>
              <w:bottom w:val="nil"/>
            </w:tcBorders>
            <w:shd w:val="clear" w:color="auto" w:fill="231F20"/>
          </w:tcPr>
          <w:p w:rsidR="006A7A3F" w:rsidRDefault="00BC7372">
            <w:pPr>
              <w:pStyle w:val="TableParagraph"/>
              <w:spacing w:before="80" w:line="254" w:lineRule="auto"/>
              <w:ind w:left="84" w:right="686"/>
              <w:rPr>
                <w:b/>
                <w:sz w:val="18"/>
              </w:rPr>
            </w:pPr>
            <w:r>
              <w:rPr>
                <w:b/>
                <w:color w:val="FFFFFF"/>
                <w:sz w:val="18"/>
              </w:rPr>
              <w:t>Lower Latrobe wetlands</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Thomson River</w:t>
            </w:r>
          </w:p>
        </w:tc>
        <w:tc>
          <w:tcPr>
            <w:tcW w:w="2041"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Macalister River</w:t>
            </w:r>
          </w:p>
        </w:tc>
      </w:tr>
      <w:tr w:rsidR="006A7A3F">
        <w:trPr>
          <w:trHeight w:val="1880"/>
        </w:trPr>
        <w:tc>
          <w:tcPr>
            <w:tcW w:w="2041" w:type="dxa"/>
            <w:vMerge w:val="restart"/>
            <w:tcBorders>
              <w:top w:val="nil"/>
              <w:left w:val="single" w:sz="4" w:space="0" w:color="231F20"/>
              <w:bottom w:val="single" w:sz="4" w:space="0" w:color="231F20"/>
              <w:right w:val="single" w:sz="4" w:space="0" w:color="231F20"/>
            </w:tcBorders>
          </w:tcPr>
          <w:p w:rsidR="006A7A3F" w:rsidRPr="00817C2F" w:rsidRDefault="00BC7372">
            <w:pPr>
              <w:pStyle w:val="TableParagraph"/>
              <w:spacing w:before="74" w:line="261" w:lineRule="auto"/>
              <w:ind w:left="85" w:right="271"/>
              <w:rPr>
                <w:sz w:val="16"/>
                <w:szCs w:val="16"/>
              </w:rPr>
            </w:pPr>
            <w:r w:rsidRPr="00817C2F">
              <w:rPr>
                <w:color w:val="231F20"/>
                <w:sz w:val="16"/>
                <w:szCs w:val="16"/>
              </w:rPr>
              <w:t>Community groups and environment groups</w:t>
            </w:r>
          </w:p>
        </w:tc>
        <w:tc>
          <w:tcPr>
            <w:tcW w:w="2041" w:type="dxa"/>
            <w:vMerge w:val="restart"/>
            <w:tcBorders>
              <w:top w:val="nil"/>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410"/>
              </w:numPr>
              <w:tabs>
                <w:tab w:val="left" w:pos="305"/>
              </w:tabs>
              <w:spacing w:before="74"/>
              <w:rPr>
                <w:sz w:val="16"/>
                <w:szCs w:val="16"/>
              </w:rPr>
            </w:pPr>
            <w:r w:rsidRPr="00817C2F">
              <w:rPr>
                <w:color w:val="231F20"/>
                <w:sz w:val="16"/>
                <w:szCs w:val="16"/>
              </w:rPr>
              <w:t>Greening</w:t>
            </w:r>
            <w:r w:rsidRPr="00817C2F">
              <w:rPr>
                <w:color w:val="231F20"/>
                <w:spacing w:val="-10"/>
                <w:sz w:val="16"/>
                <w:szCs w:val="16"/>
              </w:rPr>
              <w:t xml:space="preserve"> </w:t>
            </w:r>
            <w:r w:rsidRPr="00817C2F">
              <w:rPr>
                <w:color w:val="231F20"/>
                <w:sz w:val="16"/>
                <w:szCs w:val="16"/>
              </w:rPr>
              <w:t>Australia</w:t>
            </w:r>
          </w:p>
          <w:p w:rsidR="006A7A3F" w:rsidRPr="00817C2F" w:rsidRDefault="00BC7372" w:rsidP="009B6917">
            <w:pPr>
              <w:pStyle w:val="TableParagraph"/>
              <w:numPr>
                <w:ilvl w:val="0"/>
                <w:numId w:val="1410"/>
              </w:numPr>
              <w:tabs>
                <w:tab w:val="left" w:pos="305"/>
              </w:tabs>
              <w:spacing w:before="98" w:line="254" w:lineRule="auto"/>
              <w:ind w:right="146"/>
              <w:rPr>
                <w:sz w:val="16"/>
                <w:szCs w:val="16"/>
              </w:rPr>
            </w:pPr>
            <w:r w:rsidRPr="00817C2F">
              <w:rPr>
                <w:color w:val="231F20"/>
                <w:sz w:val="16"/>
                <w:szCs w:val="16"/>
              </w:rPr>
              <w:t xml:space="preserve">Latrobe </w:t>
            </w:r>
            <w:r w:rsidRPr="00817C2F">
              <w:rPr>
                <w:color w:val="231F20"/>
                <w:spacing w:val="-3"/>
                <w:sz w:val="16"/>
                <w:szCs w:val="16"/>
              </w:rPr>
              <w:t xml:space="preserve">Valley </w:t>
            </w:r>
            <w:r w:rsidRPr="00817C2F">
              <w:rPr>
                <w:color w:val="231F20"/>
                <w:sz w:val="16"/>
                <w:szCs w:val="16"/>
              </w:rPr>
              <w:t>Field Naturalists</w:t>
            </w:r>
          </w:p>
          <w:p w:rsidR="006A7A3F" w:rsidRPr="00817C2F" w:rsidRDefault="00BC7372" w:rsidP="009B6917">
            <w:pPr>
              <w:pStyle w:val="TableParagraph"/>
              <w:numPr>
                <w:ilvl w:val="0"/>
                <w:numId w:val="1410"/>
              </w:numPr>
              <w:tabs>
                <w:tab w:val="left" w:pos="305"/>
              </w:tabs>
              <w:spacing w:before="87"/>
              <w:rPr>
                <w:sz w:val="16"/>
                <w:szCs w:val="16"/>
              </w:rPr>
            </w:pPr>
            <w:r w:rsidRPr="00817C2F">
              <w:rPr>
                <w:color w:val="231F20"/>
                <w:sz w:val="16"/>
                <w:szCs w:val="16"/>
              </w:rPr>
              <w:t>Native Fish</w:t>
            </w:r>
            <w:r w:rsidRPr="00817C2F">
              <w:rPr>
                <w:color w:val="231F20"/>
                <w:spacing w:val="-14"/>
                <w:sz w:val="16"/>
                <w:szCs w:val="16"/>
              </w:rPr>
              <w:t xml:space="preserve"> </w:t>
            </w:r>
            <w:r w:rsidRPr="00817C2F">
              <w:rPr>
                <w:color w:val="231F20"/>
                <w:sz w:val="16"/>
                <w:szCs w:val="16"/>
              </w:rPr>
              <w:t>Australia</w:t>
            </w:r>
          </w:p>
        </w:tc>
        <w:tc>
          <w:tcPr>
            <w:tcW w:w="2041" w:type="dxa"/>
            <w:vMerge w:val="restart"/>
            <w:tcBorders>
              <w:top w:val="nil"/>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409"/>
              </w:numPr>
              <w:tabs>
                <w:tab w:val="left" w:pos="305"/>
              </w:tabs>
              <w:spacing w:before="74"/>
              <w:rPr>
                <w:sz w:val="16"/>
                <w:szCs w:val="16"/>
              </w:rPr>
            </w:pPr>
            <w:r w:rsidRPr="00817C2F">
              <w:rPr>
                <w:color w:val="231F20"/>
                <w:sz w:val="16"/>
                <w:szCs w:val="16"/>
              </w:rPr>
              <w:t>Greening</w:t>
            </w:r>
            <w:r w:rsidRPr="00817C2F">
              <w:rPr>
                <w:color w:val="231F20"/>
                <w:spacing w:val="-10"/>
                <w:sz w:val="16"/>
                <w:szCs w:val="16"/>
              </w:rPr>
              <w:t xml:space="preserve"> </w:t>
            </w:r>
            <w:r w:rsidRPr="00817C2F">
              <w:rPr>
                <w:color w:val="231F20"/>
                <w:sz w:val="16"/>
                <w:szCs w:val="16"/>
              </w:rPr>
              <w:t>Australia</w:t>
            </w:r>
          </w:p>
          <w:p w:rsidR="006A7A3F" w:rsidRPr="00817C2F" w:rsidRDefault="00BC7372" w:rsidP="009B6917">
            <w:pPr>
              <w:pStyle w:val="TableParagraph"/>
              <w:numPr>
                <w:ilvl w:val="0"/>
                <w:numId w:val="1409"/>
              </w:numPr>
              <w:tabs>
                <w:tab w:val="left" w:pos="305"/>
              </w:tabs>
              <w:spacing w:before="98" w:line="254" w:lineRule="auto"/>
              <w:ind w:right="146"/>
              <w:rPr>
                <w:sz w:val="16"/>
                <w:szCs w:val="16"/>
              </w:rPr>
            </w:pPr>
            <w:r w:rsidRPr="00817C2F">
              <w:rPr>
                <w:color w:val="231F20"/>
                <w:sz w:val="16"/>
                <w:szCs w:val="16"/>
              </w:rPr>
              <w:t xml:space="preserve">Latrobe </w:t>
            </w:r>
            <w:r w:rsidRPr="00817C2F">
              <w:rPr>
                <w:color w:val="231F20"/>
                <w:spacing w:val="-3"/>
                <w:sz w:val="16"/>
                <w:szCs w:val="16"/>
              </w:rPr>
              <w:t xml:space="preserve">Valley </w:t>
            </w:r>
            <w:r w:rsidRPr="00817C2F">
              <w:rPr>
                <w:color w:val="231F20"/>
                <w:sz w:val="16"/>
                <w:szCs w:val="16"/>
              </w:rPr>
              <w:t>Field Naturalists</w:t>
            </w:r>
          </w:p>
          <w:p w:rsidR="006A7A3F" w:rsidRPr="00817C2F" w:rsidRDefault="00BC7372" w:rsidP="009B6917">
            <w:pPr>
              <w:pStyle w:val="TableParagraph"/>
              <w:numPr>
                <w:ilvl w:val="0"/>
                <w:numId w:val="1409"/>
              </w:numPr>
              <w:tabs>
                <w:tab w:val="left" w:pos="305"/>
              </w:tabs>
              <w:spacing w:before="87"/>
              <w:rPr>
                <w:sz w:val="16"/>
                <w:szCs w:val="16"/>
              </w:rPr>
            </w:pPr>
            <w:r w:rsidRPr="00817C2F">
              <w:rPr>
                <w:color w:val="231F20"/>
                <w:sz w:val="16"/>
                <w:szCs w:val="16"/>
              </w:rPr>
              <w:t>Native Fish</w:t>
            </w:r>
            <w:r w:rsidRPr="00817C2F">
              <w:rPr>
                <w:color w:val="231F20"/>
                <w:spacing w:val="-14"/>
                <w:sz w:val="16"/>
                <w:szCs w:val="16"/>
              </w:rPr>
              <w:t xml:space="preserve"> </w:t>
            </w:r>
            <w:r w:rsidRPr="00817C2F">
              <w:rPr>
                <w:color w:val="231F20"/>
                <w:sz w:val="16"/>
                <w:szCs w:val="16"/>
              </w:rPr>
              <w:t>Australia</w:t>
            </w:r>
          </w:p>
        </w:tc>
        <w:tc>
          <w:tcPr>
            <w:tcW w:w="2041" w:type="dxa"/>
            <w:tcBorders>
              <w:top w:val="nil"/>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408"/>
              </w:numPr>
              <w:tabs>
                <w:tab w:val="left" w:pos="305"/>
              </w:tabs>
              <w:spacing w:before="74" w:line="254" w:lineRule="auto"/>
              <w:ind w:right="277"/>
              <w:rPr>
                <w:sz w:val="16"/>
                <w:szCs w:val="16"/>
              </w:rPr>
            </w:pPr>
            <w:r w:rsidRPr="00817C2F">
              <w:rPr>
                <w:color w:val="231F20"/>
                <w:sz w:val="16"/>
                <w:szCs w:val="16"/>
              </w:rPr>
              <w:t>Heyfield</w:t>
            </w:r>
            <w:r w:rsidRPr="00817C2F">
              <w:rPr>
                <w:color w:val="231F20"/>
                <w:spacing w:val="-15"/>
                <w:sz w:val="16"/>
                <w:szCs w:val="16"/>
              </w:rPr>
              <w:t xml:space="preserve"> </w:t>
            </w:r>
            <w:r w:rsidRPr="00817C2F">
              <w:rPr>
                <w:color w:val="231F20"/>
                <w:sz w:val="16"/>
                <w:szCs w:val="16"/>
              </w:rPr>
              <w:t>Wetlands Committee</w:t>
            </w:r>
          </w:p>
          <w:p w:rsidR="006A7A3F" w:rsidRPr="00817C2F" w:rsidRDefault="00BC7372" w:rsidP="009B6917">
            <w:pPr>
              <w:pStyle w:val="TableParagraph"/>
              <w:numPr>
                <w:ilvl w:val="0"/>
                <w:numId w:val="1408"/>
              </w:numPr>
              <w:tabs>
                <w:tab w:val="left" w:pos="305"/>
              </w:tabs>
              <w:spacing w:before="87" w:line="254" w:lineRule="auto"/>
              <w:ind w:right="214"/>
              <w:rPr>
                <w:sz w:val="16"/>
                <w:szCs w:val="16"/>
              </w:rPr>
            </w:pPr>
            <w:r w:rsidRPr="00817C2F">
              <w:rPr>
                <w:color w:val="231F20"/>
                <w:sz w:val="16"/>
                <w:szCs w:val="16"/>
              </w:rPr>
              <w:t>Cowwarr Landcare Group</w:t>
            </w:r>
          </w:p>
          <w:p w:rsidR="006A7A3F" w:rsidRPr="00817C2F" w:rsidRDefault="00BC7372" w:rsidP="009B6917">
            <w:pPr>
              <w:pStyle w:val="TableParagraph"/>
              <w:numPr>
                <w:ilvl w:val="0"/>
                <w:numId w:val="1408"/>
              </w:numPr>
              <w:tabs>
                <w:tab w:val="left" w:pos="305"/>
              </w:tabs>
              <w:spacing w:before="86" w:line="254" w:lineRule="auto"/>
              <w:ind w:right="781"/>
              <w:rPr>
                <w:sz w:val="16"/>
                <w:szCs w:val="16"/>
              </w:rPr>
            </w:pPr>
            <w:r w:rsidRPr="00817C2F">
              <w:rPr>
                <w:color w:val="231F20"/>
                <w:spacing w:val="-1"/>
                <w:sz w:val="16"/>
                <w:szCs w:val="16"/>
              </w:rPr>
              <w:t xml:space="preserve">Waterwatch </w:t>
            </w:r>
            <w:r w:rsidRPr="00817C2F">
              <w:rPr>
                <w:color w:val="231F20"/>
                <w:sz w:val="16"/>
                <w:szCs w:val="16"/>
              </w:rPr>
              <w:t>volunteers</w:t>
            </w:r>
          </w:p>
        </w:tc>
        <w:tc>
          <w:tcPr>
            <w:tcW w:w="2041" w:type="dxa"/>
            <w:vMerge w:val="restart"/>
            <w:tcBorders>
              <w:top w:val="nil"/>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407"/>
              </w:numPr>
              <w:tabs>
                <w:tab w:val="left" w:pos="305"/>
              </w:tabs>
              <w:spacing w:before="74"/>
              <w:rPr>
                <w:sz w:val="16"/>
                <w:szCs w:val="16"/>
              </w:rPr>
            </w:pPr>
            <w:r w:rsidRPr="00817C2F">
              <w:rPr>
                <w:color w:val="231F20"/>
                <w:sz w:val="16"/>
                <w:szCs w:val="16"/>
              </w:rPr>
              <w:t>Environment</w:t>
            </w:r>
            <w:r w:rsidRPr="00817C2F">
              <w:rPr>
                <w:color w:val="231F20"/>
                <w:spacing w:val="-11"/>
                <w:sz w:val="16"/>
                <w:szCs w:val="16"/>
              </w:rPr>
              <w:t xml:space="preserve"> </w:t>
            </w:r>
            <w:r w:rsidRPr="00817C2F">
              <w:rPr>
                <w:color w:val="231F20"/>
                <w:sz w:val="16"/>
                <w:szCs w:val="16"/>
              </w:rPr>
              <w:t>Victoria</w:t>
            </w:r>
          </w:p>
          <w:p w:rsidR="006A7A3F" w:rsidRPr="00817C2F" w:rsidRDefault="00BC7372" w:rsidP="009B6917">
            <w:pPr>
              <w:pStyle w:val="TableParagraph"/>
              <w:numPr>
                <w:ilvl w:val="0"/>
                <w:numId w:val="1407"/>
              </w:numPr>
              <w:tabs>
                <w:tab w:val="left" w:pos="305"/>
              </w:tabs>
              <w:spacing w:before="98" w:line="254" w:lineRule="auto"/>
              <w:ind w:right="207"/>
              <w:rPr>
                <w:sz w:val="16"/>
                <w:szCs w:val="16"/>
              </w:rPr>
            </w:pPr>
            <w:r w:rsidRPr="00817C2F">
              <w:rPr>
                <w:color w:val="231F20"/>
                <w:sz w:val="16"/>
                <w:szCs w:val="16"/>
              </w:rPr>
              <w:t>Maffra and</w:t>
            </w:r>
            <w:r w:rsidRPr="00817C2F">
              <w:rPr>
                <w:color w:val="231F20"/>
                <w:spacing w:val="-14"/>
                <w:sz w:val="16"/>
                <w:szCs w:val="16"/>
              </w:rPr>
              <w:t xml:space="preserve"> </w:t>
            </w:r>
            <w:r w:rsidRPr="00817C2F">
              <w:rPr>
                <w:color w:val="231F20"/>
                <w:sz w:val="16"/>
                <w:szCs w:val="16"/>
              </w:rPr>
              <w:t>districts Landcare</w:t>
            </w:r>
            <w:r w:rsidRPr="00817C2F">
              <w:rPr>
                <w:color w:val="231F20"/>
                <w:spacing w:val="-6"/>
                <w:sz w:val="16"/>
                <w:szCs w:val="16"/>
              </w:rPr>
              <w:t xml:space="preserve"> </w:t>
            </w:r>
            <w:r w:rsidRPr="00817C2F">
              <w:rPr>
                <w:color w:val="231F20"/>
                <w:sz w:val="16"/>
                <w:szCs w:val="16"/>
              </w:rPr>
              <w:t>network</w:t>
            </w:r>
          </w:p>
          <w:p w:rsidR="006A7A3F" w:rsidRPr="00817C2F" w:rsidRDefault="00BC7372" w:rsidP="009B6917">
            <w:pPr>
              <w:pStyle w:val="TableParagraph"/>
              <w:numPr>
                <w:ilvl w:val="0"/>
                <w:numId w:val="1407"/>
              </w:numPr>
              <w:tabs>
                <w:tab w:val="left" w:pos="305"/>
              </w:tabs>
              <w:spacing w:before="87"/>
              <w:rPr>
                <w:sz w:val="16"/>
                <w:szCs w:val="16"/>
              </w:rPr>
            </w:pPr>
            <w:r w:rsidRPr="00817C2F">
              <w:rPr>
                <w:color w:val="231F20"/>
                <w:sz w:val="16"/>
                <w:szCs w:val="16"/>
              </w:rPr>
              <w:t>Native Fish</w:t>
            </w:r>
            <w:r w:rsidRPr="00817C2F">
              <w:rPr>
                <w:color w:val="231F20"/>
                <w:spacing w:val="-14"/>
                <w:sz w:val="16"/>
                <w:szCs w:val="16"/>
              </w:rPr>
              <w:t xml:space="preserve"> </w:t>
            </w:r>
            <w:r w:rsidRPr="00817C2F">
              <w:rPr>
                <w:color w:val="231F20"/>
                <w:sz w:val="16"/>
                <w:szCs w:val="16"/>
              </w:rPr>
              <w:t>Australia</w:t>
            </w:r>
          </w:p>
        </w:tc>
      </w:tr>
      <w:tr w:rsidR="006A7A3F">
        <w:trPr>
          <w:trHeight w:val="914"/>
        </w:trPr>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406"/>
              </w:numPr>
              <w:tabs>
                <w:tab w:val="left" w:pos="305"/>
              </w:tabs>
              <w:spacing w:before="74"/>
              <w:rPr>
                <w:sz w:val="16"/>
                <w:szCs w:val="16"/>
              </w:rPr>
            </w:pPr>
            <w:r w:rsidRPr="00817C2F">
              <w:rPr>
                <w:color w:val="231F20"/>
                <w:sz w:val="16"/>
                <w:szCs w:val="16"/>
              </w:rPr>
              <w:t>Landcare</w:t>
            </w:r>
            <w:r w:rsidRPr="00817C2F">
              <w:rPr>
                <w:color w:val="231F20"/>
                <w:spacing w:val="-3"/>
                <w:sz w:val="16"/>
                <w:szCs w:val="16"/>
              </w:rPr>
              <w:t xml:space="preserve"> </w:t>
            </w:r>
            <w:r w:rsidRPr="00817C2F">
              <w:rPr>
                <w:color w:val="231F20"/>
                <w:sz w:val="16"/>
                <w:szCs w:val="16"/>
              </w:rPr>
              <w:t>groups</w:t>
            </w:r>
          </w:p>
          <w:p w:rsidR="006A7A3F" w:rsidRPr="00817C2F" w:rsidRDefault="00BC7372" w:rsidP="009B6917">
            <w:pPr>
              <w:pStyle w:val="TableParagraph"/>
              <w:numPr>
                <w:ilvl w:val="0"/>
                <w:numId w:val="1406"/>
              </w:numPr>
              <w:tabs>
                <w:tab w:val="left" w:pos="305"/>
              </w:tabs>
              <w:spacing w:before="98"/>
              <w:rPr>
                <w:sz w:val="16"/>
                <w:szCs w:val="16"/>
              </w:rPr>
            </w:pPr>
            <w:r w:rsidRPr="00817C2F">
              <w:rPr>
                <w:color w:val="231F20"/>
                <w:sz w:val="16"/>
                <w:szCs w:val="16"/>
              </w:rPr>
              <w:t>Birdlife</w:t>
            </w:r>
            <w:r w:rsidRPr="00817C2F">
              <w:rPr>
                <w:color w:val="231F20"/>
                <w:spacing w:val="-10"/>
                <w:sz w:val="16"/>
                <w:szCs w:val="16"/>
              </w:rPr>
              <w:t xml:space="preserve"> </w:t>
            </w:r>
            <w:r w:rsidRPr="00817C2F">
              <w:rPr>
                <w:color w:val="231F20"/>
                <w:sz w:val="16"/>
                <w:szCs w:val="16"/>
              </w:rPr>
              <w:t>Australia</w:t>
            </w:r>
          </w:p>
        </w:tc>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r>
      <w:tr w:rsidR="006A7A3F">
        <w:trPr>
          <w:trHeight w:val="914"/>
        </w:trPr>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5"/>
              <w:rPr>
                <w:sz w:val="16"/>
                <w:szCs w:val="16"/>
              </w:rPr>
            </w:pPr>
            <w:r w:rsidRPr="00817C2F">
              <w:rPr>
                <w:color w:val="231F20"/>
                <w:sz w:val="16"/>
                <w:szCs w:val="16"/>
              </w:rPr>
              <w:t>Government agencies</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405"/>
              </w:numPr>
              <w:tabs>
                <w:tab w:val="left" w:pos="305"/>
              </w:tabs>
              <w:spacing w:before="74"/>
              <w:rPr>
                <w:sz w:val="16"/>
                <w:szCs w:val="16"/>
              </w:rPr>
            </w:pPr>
            <w:r w:rsidRPr="00817C2F">
              <w:rPr>
                <w:color w:val="231F20"/>
                <w:sz w:val="16"/>
                <w:szCs w:val="16"/>
              </w:rPr>
              <w:t>Parks</w:t>
            </w:r>
            <w:r w:rsidRPr="00817C2F">
              <w:rPr>
                <w:color w:val="231F20"/>
                <w:spacing w:val="-1"/>
                <w:sz w:val="16"/>
                <w:szCs w:val="16"/>
              </w:rPr>
              <w:t xml:space="preserve"> </w:t>
            </w:r>
            <w:r w:rsidRPr="00817C2F">
              <w:rPr>
                <w:color w:val="231F20"/>
                <w:sz w:val="16"/>
                <w:szCs w:val="16"/>
              </w:rPr>
              <w:t>Victoria</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404"/>
              </w:numPr>
              <w:tabs>
                <w:tab w:val="left" w:pos="305"/>
              </w:tabs>
              <w:spacing w:before="74"/>
              <w:rPr>
                <w:sz w:val="16"/>
                <w:szCs w:val="16"/>
              </w:rPr>
            </w:pPr>
            <w:r w:rsidRPr="00817C2F">
              <w:rPr>
                <w:color w:val="231F20"/>
                <w:sz w:val="16"/>
                <w:szCs w:val="16"/>
              </w:rPr>
              <w:t>Parks</w:t>
            </w:r>
            <w:r w:rsidRPr="00817C2F">
              <w:rPr>
                <w:color w:val="231F20"/>
                <w:spacing w:val="-1"/>
                <w:sz w:val="16"/>
                <w:szCs w:val="16"/>
              </w:rPr>
              <w:t xml:space="preserve"> </w:t>
            </w:r>
            <w:r w:rsidRPr="00817C2F">
              <w:rPr>
                <w:color w:val="231F20"/>
                <w:sz w:val="16"/>
                <w:szCs w:val="16"/>
              </w:rPr>
              <w:t>Victoria</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403"/>
              </w:numPr>
              <w:tabs>
                <w:tab w:val="left" w:pos="305"/>
              </w:tabs>
              <w:spacing w:before="74"/>
              <w:rPr>
                <w:sz w:val="16"/>
                <w:szCs w:val="16"/>
              </w:rPr>
            </w:pPr>
            <w:r w:rsidRPr="00817C2F">
              <w:rPr>
                <w:color w:val="231F20"/>
                <w:sz w:val="16"/>
                <w:szCs w:val="16"/>
              </w:rPr>
              <w:t xml:space="preserve">Melbourne </w:t>
            </w:r>
            <w:r w:rsidRPr="00817C2F">
              <w:rPr>
                <w:color w:val="231F20"/>
                <w:spacing w:val="-3"/>
                <w:sz w:val="16"/>
                <w:szCs w:val="16"/>
              </w:rPr>
              <w:t>Water</w:t>
            </w:r>
          </w:p>
          <w:p w:rsidR="006A7A3F" w:rsidRPr="00817C2F" w:rsidRDefault="00BC7372" w:rsidP="009B6917">
            <w:pPr>
              <w:pStyle w:val="TableParagraph"/>
              <w:numPr>
                <w:ilvl w:val="0"/>
                <w:numId w:val="1403"/>
              </w:numPr>
              <w:tabs>
                <w:tab w:val="left" w:pos="305"/>
              </w:tabs>
              <w:spacing w:before="98"/>
              <w:ind w:right="-15"/>
              <w:rPr>
                <w:sz w:val="16"/>
                <w:szCs w:val="16"/>
              </w:rPr>
            </w:pPr>
            <w:r w:rsidRPr="00817C2F">
              <w:rPr>
                <w:color w:val="231F20"/>
                <w:sz w:val="16"/>
                <w:szCs w:val="16"/>
              </w:rPr>
              <w:t>Southern Rural</w:t>
            </w:r>
            <w:r w:rsidRPr="00817C2F">
              <w:rPr>
                <w:color w:val="231F20"/>
                <w:spacing w:val="-4"/>
                <w:sz w:val="16"/>
                <w:szCs w:val="16"/>
              </w:rPr>
              <w:t xml:space="preserve"> </w:t>
            </w:r>
            <w:r w:rsidRPr="00817C2F">
              <w:rPr>
                <w:color w:val="231F20"/>
                <w:spacing w:val="-3"/>
                <w:sz w:val="16"/>
                <w:szCs w:val="16"/>
              </w:rPr>
              <w:t>Water</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402"/>
              </w:numPr>
              <w:tabs>
                <w:tab w:val="left" w:pos="305"/>
              </w:tabs>
              <w:spacing w:before="74"/>
              <w:ind w:right="-15"/>
              <w:rPr>
                <w:sz w:val="16"/>
                <w:szCs w:val="16"/>
              </w:rPr>
            </w:pPr>
            <w:r w:rsidRPr="00817C2F">
              <w:rPr>
                <w:color w:val="231F20"/>
                <w:sz w:val="16"/>
                <w:szCs w:val="16"/>
              </w:rPr>
              <w:t>Southern Rural</w:t>
            </w:r>
            <w:r w:rsidRPr="00817C2F">
              <w:rPr>
                <w:color w:val="231F20"/>
                <w:spacing w:val="-4"/>
                <w:sz w:val="16"/>
                <w:szCs w:val="16"/>
              </w:rPr>
              <w:t xml:space="preserve"> </w:t>
            </w:r>
            <w:r w:rsidRPr="00817C2F">
              <w:rPr>
                <w:color w:val="231F20"/>
                <w:spacing w:val="-3"/>
                <w:sz w:val="16"/>
                <w:szCs w:val="16"/>
              </w:rPr>
              <w:t>Water</w:t>
            </w:r>
          </w:p>
        </w:tc>
      </w:tr>
      <w:tr w:rsidR="006A7A3F">
        <w:trPr>
          <w:trHeight w:val="609"/>
        </w:trPr>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Consult</w:t>
            </w:r>
          </w:p>
          <w:p w:rsidR="006A7A3F" w:rsidRPr="00817C2F" w:rsidRDefault="00BC7372" w:rsidP="009B6917">
            <w:pPr>
              <w:pStyle w:val="TableParagraph"/>
              <w:numPr>
                <w:ilvl w:val="0"/>
                <w:numId w:val="1401"/>
              </w:numPr>
              <w:tabs>
                <w:tab w:val="left" w:pos="305"/>
              </w:tabs>
              <w:spacing w:before="74"/>
              <w:rPr>
                <w:sz w:val="16"/>
                <w:szCs w:val="16"/>
              </w:rPr>
            </w:pPr>
            <w:r w:rsidRPr="00817C2F">
              <w:rPr>
                <w:color w:val="231F20"/>
                <w:sz w:val="16"/>
                <w:szCs w:val="16"/>
              </w:rPr>
              <w:t xml:space="preserve">Gippsland </w:t>
            </w:r>
            <w:r w:rsidRPr="00817C2F">
              <w:rPr>
                <w:color w:val="231F20"/>
                <w:spacing w:val="-3"/>
                <w:sz w:val="16"/>
                <w:szCs w:val="16"/>
              </w:rPr>
              <w:t>Water</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Consult</w:t>
            </w:r>
          </w:p>
          <w:p w:rsidR="006A7A3F" w:rsidRPr="00817C2F" w:rsidRDefault="00BC7372" w:rsidP="009B6917">
            <w:pPr>
              <w:pStyle w:val="TableParagraph"/>
              <w:numPr>
                <w:ilvl w:val="0"/>
                <w:numId w:val="1400"/>
              </w:numPr>
              <w:tabs>
                <w:tab w:val="left" w:pos="305"/>
              </w:tabs>
              <w:spacing w:before="74"/>
              <w:rPr>
                <w:sz w:val="16"/>
                <w:szCs w:val="16"/>
              </w:rPr>
            </w:pPr>
            <w:r w:rsidRPr="00817C2F">
              <w:rPr>
                <w:color w:val="231F20"/>
                <w:sz w:val="16"/>
                <w:szCs w:val="16"/>
              </w:rPr>
              <w:t xml:space="preserve">Gippsland </w:t>
            </w:r>
            <w:r w:rsidRPr="00817C2F">
              <w:rPr>
                <w:color w:val="231F20"/>
                <w:spacing w:val="-3"/>
                <w:sz w:val="16"/>
                <w:szCs w:val="16"/>
              </w:rPr>
              <w:t>Water</w:t>
            </w:r>
          </w:p>
        </w:tc>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399"/>
              </w:numPr>
              <w:tabs>
                <w:tab w:val="left" w:pos="305"/>
              </w:tabs>
              <w:spacing w:before="74"/>
              <w:rPr>
                <w:sz w:val="16"/>
                <w:szCs w:val="16"/>
              </w:rPr>
            </w:pPr>
            <w:r w:rsidRPr="00817C2F">
              <w:rPr>
                <w:color w:val="231F20"/>
                <w:sz w:val="16"/>
                <w:szCs w:val="16"/>
              </w:rPr>
              <w:t xml:space="preserve">Gippsland </w:t>
            </w:r>
            <w:r w:rsidRPr="00817C2F">
              <w:rPr>
                <w:color w:val="231F20"/>
                <w:spacing w:val="-3"/>
                <w:sz w:val="16"/>
                <w:szCs w:val="16"/>
              </w:rPr>
              <w:t>Water</w:t>
            </w:r>
          </w:p>
          <w:p w:rsidR="006A7A3F" w:rsidRPr="00817C2F" w:rsidRDefault="00BC7372" w:rsidP="009B6917">
            <w:pPr>
              <w:pStyle w:val="TableParagraph"/>
              <w:numPr>
                <w:ilvl w:val="0"/>
                <w:numId w:val="1399"/>
              </w:numPr>
              <w:tabs>
                <w:tab w:val="left" w:pos="305"/>
              </w:tabs>
              <w:spacing w:before="98" w:line="254" w:lineRule="auto"/>
              <w:ind w:right="400"/>
              <w:rPr>
                <w:sz w:val="16"/>
                <w:szCs w:val="16"/>
              </w:rPr>
            </w:pPr>
            <w:r w:rsidRPr="00817C2F">
              <w:rPr>
                <w:color w:val="231F20"/>
                <w:sz w:val="16"/>
                <w:szCs w:val="16"/>
              </w:rPr>
              <w:t>Department of Environment, Land, Water</w:t>
            </w:r>
            <w:r w:rsidRPr="00817C2F">
              <w:rPr>
                <w:color w:val="231F20"/>
                <w:spacing w:val="-17"/>
                <w:sz w:val="16"/>
                <w:szCs w:val="16"/>
              </w:rPr>
              <w:t xml:space="preserve"> </w:t>
            </w:r>
            <w:r w:rsidRPr="00817C2F">
              <w:rPr>
                <w:color w:val="231F20"/>
                <w:sz w:val="16"/>
                <w:szCs w:val="16"/>
              </w:rPr>
              <w:t>and</w:t>
            </w:r>
          </w:p>
          <w:p w:rsidR="006A7A3F" w:rsidRPr="00817C2F" w:rsidRDefault="00BC7372">
            <w:pPr>
              <w:pStyle w:val="TableParagraph"/>
              <w:spacing w:before="2" w:line="254" w:lineRule="auto"/>
              <w:ind w:right="16"/>
              <w:rPr>
                <w:sz w:val="16"/>
                <w:szCs w:val="16"/>
              </w:rPr>
            </w:pPr>
            <w:r w:rsidRPr="00817C2F">
              <w:rPr>
                <w:color w:val="231F20"/>
                <w:sz w:val="16"/>
                <w:szCs w:val="16"/>
              </w:rPr>
              <w:t>Planning - Water and Catchments</w:t>
            </w:r>
          </w:p>
        </w:tc>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398"/>
              </w:numPr>
              <w:tabs>
                <w:tab w:val="left" w:pos="305"/>
              </w:tabs>
              <w:spacing w:before="74"/>
              <w:rPr>
                <w:sz w:val="16"/>
                <w:szCs w:val="16"/>
              </w:rPr>
            </w:pPr>
            <w:r w:rsidRPr="00817C2F">
              <w:rPr>
                <w:color w:val="231F20"/>
                <w:sz w:val="16"/>
                <w:szCs w:val="16"/>
              </w:rPr>
              <w:t xml:space="preserve">Gippsland </w:t>
            </w:r>
            <w:r w:rsidRPr="00817C2F">
              <w:rPr>
                <w:color w:val="231F20"/>
                <w:spacing w:val="-3"/>
                <w:sz w:val="16"/>
                <w:szCs w:val="16"/>
              </w:rPr>
              <w:t>Water</w:t>
            </w:r>
          </w:p>
        </w:tc>
      </w:tr>
      <w:tr w:rsidR="006A7A3F">
        <w:trPr>
          <w:trHeight w:val="3200"/>
        </w:trPr>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397"/>
              </w:numPr>
              <w:tabs>
                <w:tab w:val="left" w:pos="305"/>
              </w:tabs>
              <w:spacing w:before="74" w:line="254" w:lineRule="auto"/>
              <w:ind w:right="150"/>
              <w:rPr>
                <w:sz w:val="16"/>
                <w:szCs w:val="16"/>
              </w:rPr>
            </w:pPr>
            <w:r w:rsidRPr="00817C2F">
              <w:rPr>
                <w:color w:val="231F20"/>
                <w:sz w:val="16"/>
                <w:szCs w:val="16"/>
              </w:rPr>
              <w:t>Department of Land, Environment, Water and</w:t>
            </w:r>
            <w:r w:rsidRPr="00817C2F">
              <w:rPr>
                <w:color w:val="231F20"/>
                <w:spacing w:val="-13"/>
                <w:sz w:val="16"/>
                <w:szCs w:val="16"/>
              </w:rPr>
              <w:t xml:space="preserve"> </w:t>
            </w:r>
            <w:r w:rsidRPr="00817C2F">
              <w:rPr>
                <w:color w:val="231F20"/>
                <w:sz w:val="16"/>
                <w:szCs w:val="16"/>
              </w:rPr>
              <w:t xml:space="preserve">Planning (Latrobe </w:t>
            </w:r>
            <w:r w:rsidRPr="00817C2F">
              <w:rPr>
                <w:color w:val="231F20"/>
                <w:spacing w:val="-4"/>
                <w:sz w:val="16"/>
                <w:szCs w:val="16"/>
              </w:rPr>
              <w:t xml:space="preserve">Valley </w:t>
            </w:r>
            <w:r w:rsidRPr="00817C2F">
              <w:rPr>
                <w:color w:val="231F20"/>
                <w:sz w:val="16"/>
                <w:szCs w:val="16"/>
              </w:rPr>
              <w:t xml:space="preserve">Regional </w:t>
            </w:r>
            <w:r w:rsidRPr="00817C2F">
              <w:rPr>
                <w:color w:val="231F20"/>
                <w:spacing w:val="-3"/>
                <w:sz w:val="16"/>
                <w:szCs w:val="16"/>
              </w:rPr>
              <w:t xml:space="preserve">Water </w:t>
            </w:r>
            <w:r w:rsidRPr="00817C2F">
              <w:rPr>
                <w:color w:val="231F20"/>
                <w:sz w:val="16"/>
                <w:szCs w:val="16"/>
              </w:rPr>
              <w:t>Study)</w:t>
            </w:r>
          </w:p>
          <w:p w:rsidR="006A7A3F" w:rsidRPr="00817C2F" w:rsidRDefault="00BC7372" w:rsidP="009B6917">
            <w:pPr>
              <w:pStyle w:val="TableParagraph"/>
              <w:numPr>
                <w:ilvl w:val="0"/>
                <w:numId w:val="1397"/>
              </w:numPr>
              <w:tabs>
                <w:tab w:val="left" w:pos="305"/>
              </w:tabs>
              <w:spacing w:before="89" w:line="254" w:lineRule="auto"/>
              <w:ind w:right="150"/>
              <w:rPr>
                <w:sz w:val="16"/>
                <w:szCs w:val="16"/>
              </w:rPr>
            </w:pPr>
            <w:r w:rsidRPr="00817C2F">
              <w:rPr>
                <w:color w:val="231F20"/>
                <w:sz w:val="16"/>
                <w:szCs w:val="16"/>
              </w:rPr>
              <w:t>Department of Land, Environment, Water and</w:t>
            </w:r>
            <w:r w:rsidRPr="00817C2F">
              <w:rPr>
                <w:color w:val="231F20"/>
                <w:spacing w:val="-13"/>
                <w:sz w:val="16"/>
                <w:szCs w:val="16"/>
              </w:rPr>
              <w:t xml:space="preserve"> </w:t>
            </w:r>
            <w:r w:rsidRPr="00817C2F">
              <w:rPr>
                <w:color w:val="231F20"/>
                <w:sz w:val="16"/>
                <w:szCs w:val="16"/>
              </w:rPr>
              <w:t>Planning (Waterways and Catchments)</w:t>
            </w:r>
          </w:p>
          <w:p w:rsidR="006A7A3F" w:rsidRPr="00817C2F" w:rsidRDefault="00BC7372" w:rsidP="009B6917">
            <w:pPr>
              <w:pStyle w:val="TableParagraph"/>
              <w:numPr>
                <w:ilvl w:val="0"/>
                <w:numId w:val="1397"/>
              </w:numPr>
              <w:tabs>
                <w:tab w:val="left" w:pos="305"/>
              </w:tabs>
              <w:spacing w:before="88"/>
              <w:rPr>
                <w:sz w:val="16"/>
                <w:szCs w:val="16"/>
              </w:rPr>
            </w:pPr>
            <w:r w:rsidRPr="00817C2F">
              <w:rPr>
                <w:color w:val="231F20"/>
                <w:sz w:val="16"/>
                <w:szCs w:val="16"/>
              </w:rPr>
              <w:t>East Gippsland</w:t>
            </w:r>
            <w:r w:rsidRPr="00817C2F">
              <w:rPr>
                <w:color w:val="231F20"/>
                <w:spacing w:val="-2"/>
                <w:sz w:val="16"/>
                <w:szCs w:val="16"/>
              </w:rPr>
              <w:t xml:space="preserve"> </w:t>
            </w:r>
            <w:r w:rsidRPr="00817C2F">
              <w:rPr>
                <w:color w:val="231F20"/>
                <w:sz w:val="16"/>
                <w:szCs w:val="16"/>
              </w:rPr>
              <w:t>CMA</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396"/>
              </w:numPr>
              <w:tabs>
                <w:tab w:val="left" w:pos="305"/>
              </w:tabs>
              <w:spacing w:before="74" w:line="254" w:lineRule="auto"/>
              <w:ind w:right="150"/>
              <w:rPr>
                <w:sz w:val="16"/>
                <w:szCs w:val="16"/>
              </w:rPr>
            </w:pPr>
            <w:r w:rsidRPr="00817C2F">
              <w:rPr>
                <w:color w:val="231F20"/>
                <w:sz w:val="16"/>
                <w:szCs w:val="16"/>
              </w:rPr>
              <w:t>Department of Land, Environment, Water and</w:t>
            </w:r>
            <w:r w:rsidRPr="00817C2F">
              <w:rPr>
                <w:color w:val="231F20"/>
                <w:spacing w:val="-13"/>
                <w:sz w:val="16"/>
                <w:szCs w:val="16"/>
              </w:rPr>
              <w:t xml:space="preserve"> </w:t>
            </w:r>
            <w:r w:rsidRPr="00817C2F">
              <w:rPr>
                <w:color w:val="231F20"/>
                <w:sz w:val="16"/>
                <w:szCs w:val="16"/>
              </w:rPr>
              <w:t xml:space="preserve">Planning (Latrobe </w:t>
            </w:r>
            <w:r w:rsidRPr="00817C2F">
              <w:rPr>
                <w:color w:val="231F20"/>
                <w:spacing w:val="-4"/>
                <w:sz w:val="16"/>
                <w:szCs w:val="16"/>
              </w:rPr>
              <w:t xml:space="preserve">Valley </w:t>
            </w:r>
            <w:r w:rsidRPr="00817C2F">
              <w:rPr>
                <w:color w:val="231F20"/>
                <w:sz w:val="16"/>
                <w:szCs w:val="16"/>
              </w:rPr>
              <w:t xml:space="preserve">Regional </w:t>
            </w:r>
            <w:r w:rsidRPr="00817C2F">
              <w:rPr>
                <w:color w:val="231F20"/>
                <w:spacing w:val="-3"/>
                <w:sz w:val="16"/>
                <w:szCs w:val="16"/>
              </w:rPr>
              <w:t xml:space="preserve">Water </w:t>
            </w:r>
            <w:r w:rsidRPr="00817C2F">
              <w:rPr>
                <w:color w:val="231F20"/>
                <w:sz w:val="16"/>
                <w:szCs w:val="16"/>
              </w:rPr>
              <w:t>Study)</w:t>
            </w:r>
          </w:p>
          <w:p w:rsidR="006A7A3F" w:rsidRPr="00817C2F" w:rsidRDefault="00BC7372" w:rsidP="009B6917">
            <w:pPr>
              <w:pStyle w:val="TableParagraph"/>
              <w:numPr>
                <w:ilvl w:val="0"/>
                <w:numId w:val="1396"/>
              </w:numPr>
              <w:tabs>
                <w:tab w:val="left" w:pos="305"/>
              </w:tabs>
              <w:spacing w:before="89" w:line="254" w:lineRule="auto"/>
              <w:ind w:right="150"/>
              <w:rPr>
                <w:sz w:val="16"/>
                <w:szCs w:val="16"/>
              </w:rPr>
            </w:pPr>
            <w:r w:rsidRPr="00817C2F">
              <w:rPr>
                <w:color w:val="231F20"/>
                <w:sz w:val="16"/>
                <w:szCs w:val="16"/>
              </w:rPr>
              <w:t>Department of Land, Environment, Water and</w:t>
            </w:r>
            <w:r w:rsidRPr="00817C2F">
              <w:rPr>
                <w:color w:val="231F20"/>
                <w:spacing w:val="-13"/>
                <w:sz w:val="16"/>
                <w:szCs w:val="16"/>
              </w:rPr>
              <w:t xml:space="preserve"> </w:t>
            </w:r>
            <w:r w:rsidRPr="00817C2F">
              <w:rPr>
                <w:color w:val="231F20"/>
                <w:sz w:val="16"/>
                <w:szCs w:val="16"/>
              </w:rPr>
              <w:t>Planning (Waterways and Catchments)</w:t>
            </w:r>
          </w:p>
          <w:p w:rsidR="006A7A3F" w:rsidRPr="00817C2F" w:rsidRDefault="00BC7372" w:rsidP="009B6917">
            <w:pPr>
              <w:pStyle w:val="TableParagraph"/>
              <w:numPr>
                <w:ilvl w:val="0"/>
                <w:numId w:val="1396"/>
              </w:numPr>
              <w:tabs>
                <w:tab w:val="left" w:pos="305"/>
              </w:tabs>
              <w:spacing w:before="88"/>
              <w:rPr>
                <w:sz w:val="16"/>
                <w:szCs w:val="16"/>
              </w:rPr>
            </w:pPr>
            <w:r w:rsidRPr="00817C2F">
              <w:rPr>
                <w:color w:val="231F20"/>
                <w:sz w:val="16"/>
                <w:szCs w:val="16"/>
              </w:rPr>
              <w:t>East Gippsland</w:t>
            </w:r>
            <w:r w:rsidRPr="00817C2F">
              <w:rPr>
                <w:color w:val="231F20"/>
                <w:spacing w:val="-2"/>
                <w:sz w:val="16"/>
                <w:szCs w:val="16"/>
              </w:rPr>
              <w:t xml:space="preserve"> </w:t>
            </w:r>
            <w:r w:rsidRPr="00817C2F">
              <w:rPr>
                <w:color w:val="231F20"/>
                <w:sz w:val="16"/>
                <w:szCs w:val="16"/>
              </w:rPr>
              <w:t>CMA</w:t>
            </w:r>
          </w:p>
        </w:tc>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r>
      <w:tr w:rsidR="006A7A3F">
        <w:trPr>
          <w:trHeight w:val="1049"/>
        </w:trPr>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5"/>
              <w:rPr>
                <w:sz w:val="16"/>
                <w:szCs w:val="16"/>
              </w:rPr>
            </w:pPr>
            <w:r w:rsidRPr="00817C2F">
              <w:rPr>
                <w:color w:val="231F20"/>
                <w:sz w:val="16"/>
                <w:szCs w:val="16"/>
              </w:rPr>
              <w:t>Landholders/ farmers</w:t>
            </w:r>
          </w:p>
        </w:tc>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395"/>
              </w:numPr>
              <w:tabs>
                <w:tab w:val="left" w:pos="305"/>
              </w:tabs>
              <w:spacing w:before="74" w:line="254" w:lineRule="auto"/>
              <w:ind w:right="793"/>
              <w:rPr>
                <w:sz w:val="16"/>
                <w:szCs w:val="16"/>
              </w:rPr>
            </w:pPr>
            <w:r w:rsidRPr="00817C2F">
              <w:rPr>
                <w:color w:val="231F20"/>
                <w:sz w:val="16"/>
                <w:szCs w:val="16"/>
              </w:rPr>
              <w:t xml:space="preserve">Individual </w:t>
            </w:r>
            <w:r w:rsidRPr="00817C2F">
              <w:rPr>
                <w:color w:val="231F20"/>
                <w:spacing w:val="-1"/>
                <w:sz w:val="16"/>
                <w:szCs w:val="16"/>
              </w:rPr>
              <w:t>landholders</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jc w:val="both"/>
              <w:rPr>
                <w:b/>
                <w:sz w:val="16"/>
                <w:szCs w:val="16"/>
              </w:rPr>
            </w:pPr>
            <w:r w:rsidRPr="00817C2F">
              <w:rPr>
                <w:b/>
                <w:color w:val="231F20"/>
                <w:sz w:val="16"/>
                <w:szCs w:val="16"/>
              </w:rPr>
              <w:t>IAP2 level: Collaborate</w:t>
            </w:r>
          </w:p>
          <w:p w:rsidR="006A7A3F" w:rsidRPr="00817C2F" w:rsidRDefault="00BC7372" w:rsidP="00817C2F">
            <w:pPr>
              <w:pStyle w:val="TableParagraph"/>
              <w:numPr>
                <w:ilvl w:val="0"/>
                <w:numId w:val="1394"/>
              </w:numPr>
              <w:tabs>
                <w:tab w:val="left" w:pos="305"/>
              </w:tabs>
              <w:spacing w:before="74" w:line="254" w:lineRule="auto"/>
              <w:ind w:right="444"/>
              <w:rPr>
                <w:sz w:val="16"/>
                <w:szCs w:val="16"/>
              </w:rPr>
            </w:pPr>
            <w:r w:rsidRPr="00817C2F">
              <w:rPr>
                <w:color w:val="231F20"/>
                <w:sz w:val="16"/>
                <w:szCs w:val="16"/>
              </w:rPr>
              <w:t xml:space="preserve">Field and </w:t>
            </w:r>
            <w:r w:rsidRPr="00817C2F">
              <w:rPr>
                <w:color w:val="231F20"/>
                <w:spacing w:val="-4"/>
                <w:sz w:val="16"/>
                <w:szCs w:val="16"/>
              </w:rPr>
              <w:t xml:space="preserve">Game </w:t>
            </w:r>
            <w:r w:rsidRPr="00817C2F">
              <w:rPr>
                <w:color w:val="231F20"/>
                <w:sz w:val="16"/>
                <w:szCs w:val="16"/>
              </w:rPr>
              <w:t>Australia (Heart Morass)</w:t>
            </w:r>
          </w:p>
        </w:tc>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393"/>
              </w:numPr>
              <w:tabs>
                <w:tab w:val="left" w:pos="305"/>
              </w:tabs>
              <w:spacing w:before="74" w:line="254" w:lineRule="auto"/>
              <w:ind w:right="793"/>
              <w:rPr>
                <w:sz w:val="16"/>
                <w:szCs w:val="16"/>
              </w:rPr>
            </w:pPr>
            <w:r w:rsidRPr="00817C2F">
              <w:rPr>
                <w:color w:val="231F20"/>
                <w:sz w:val="16"/>
                <w:szCs w:val="16"/>
              </w:rPr>
              <w:t xml:space="preserve">Individual </w:t>
            </w:r>
            <w:r w:rsidRPr="00817C2F">
              <w:rPr>
                <w:color w:val="231F20"/>
                <w:spacing w:val="-1"/>
                <w:sz w:val="16"/>
                <w:szCs w:val="16"/>
              </w:rPr>
              <w:t>landholders</w:t>
            </w:r>
          </w:p>
        </w:tc>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392"/>
              </w:numPr>
              <w:tabs>
                <w:tab w:val="left" w:pos="305"/>
              </w:tabs>
              <w:spacing w:before="74" w:line="254" w:lineRule="auto"/>
              <w:ind w:right="153"/>
              <w:rPr>
                <w:sz w:val="16"/>
                <w:szCs w:val="16"/>
              </w:rPr>
            </w:pPr>
            <w:r w:rsidRPr="00817C2F">
              <w:rPr>
                <w:color w:val="231F20"/>
                <w:sz w:val="16"/>
                <w:szCs w:val="16"/>
              </w:rPr>
              <w:t>Macalister Irrigation District irrigators/ diverters</w:t>
            </w:r>
          </w:p>
          <w:p w:rsidR="006A7A3F" w:rsidRPr="00817C2F" w:rsidRDefault="00BC7372" w:rsidP="009B6917">
            <w:pPr>
              <w:pStyle w:val="TableParagraph"/>
              <w:numPr>
                <w:ilvl w:val="0"/>
                <w:numId w:val="1392"/>
              </w:numPr>
              <w:tabs>
                <w:tab w:val="left" w:pos="305"/>
              </w:tabs>
              <w:spacing w:before="87"/>
              <w:rPr>
                <w:sz w:val="16"/>
                <w:szCs w:val="16"/>
              </w:rPr>
            </w:pPr>
            <w:r w:rsidRPr="00817C2F">
              <w:rPr>
                <w:color w:val="231F20"/>
                <w:sz w:val="16"/>
                <w:szCs w:val="16"/>
              </w:rPr>
              <w:t>Other</w:t>
            </w:r>
            <w:r w:rsidRPr="00817C2F">
              <w:rPr>
                <w:color w:val="231F20"/>
                <w:spacing w:val="-2"/>
                <w:sz w:val="16"/>
                <w:szCs w:val="16"/>
              </w:rPr>
              <w:t xml:space="preserve"> </w:t>
            </w:r>
            <w:r w:rsidRPr="00817C2F">
              <w:rPr>
                <w:color w:val="231F20"/>
                <w:sz w:val="16"/>
                <w:szCs w:val="16"/>
              </w:rPr>
              <w:t>landholders</w:t>
            </w:r>
          </w:p>
        </w:tc>
      </w:tr>
      <w:tr w:rsidR="006A7A3F">
        <w:trPr>
          <w:trHeight w:val="829"/>
        </w:trPr>
        <w:tc>
          <w:tcPr>
            <w:tcW w:w="204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04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4"/>
              <w:rPr>
                <w:b/>
                <w:sz w:val="16"/>
                <w:szCs w:val="16"/>
              </w:rPr>
            </w:pPr>
            <w:r w:rsidRPr="00817C2F">
              <w:rPr>
                <w:b/>
                <w:color w:val="231F20"/>
                <w:sz w:val="16"/>
                <w:szCs w:val="16"/>
              </w:rPr>
              <w:t>IAP2 level: Inform</w:t>
            </w:r>
          </w:p>
          <w:p w:rsidR="006A7A3F" w:rsidRDefault="00BC7372" w:rsidP="009B6917">
            <w:pPr>
              <w:pStyle w:val="TableParagraph"/>
              <w:numPr>
                <w:ilvl w:val="0"/>
                <w:numId w:val="1391"/>
              </w:numPr>
              <w:tabs>
                <w:tab w:val="left" w:pos="305"/>
              </w:tabs>
              <w:spacing w:before="74" w:line="254" w:lineRule="auto"/>
              <w:ind w:right="793"/>
              <w:rPr>
                <w:sz w:val="18"/>
              </w:rPr>
            </w:pPr>
            <w:r w:rsidRPr="00817C2F">
              <w:rPr>
                <w:color w:val="231F20"/>
                <w:sz w:val="16"/>
                <w:szCs w:val="16"/>
              </w:rPr>
              <w:t xml:space="preserve">Individual </w:t>
            </w:r>
            <w:r w:rsidRPr="00817C2F">
              <w:rPr>
                <w:color w:val="231F20"/>
                <w:spacing w:val="-1"/>
                <w:sz w:val="16"/>
                <w:szCs w:val="16"/>
              </w:rPr>
              <w:t>landholders</w:t>
            </w:r>
          </w:p>
        </w:tc>
        <w:tc>
          <w:tcPr>
            <w:tcW w:w="204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04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r>
    </w:tbl>
    <w:p w:rsidR="006A7A3F" w:rsidRDefault="006A7A3F">
      <w:pPr>
        <w:rPr>
          <w:sz w:val="2"/>
          <w:szCs w:val="2"/>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trPr>
          <w:trHeight w:val="587"/>
        </w:trPr>
        <w:tc>
          <w:tcPr>
            <w:tcW w:w="2041" w:type="dxa"/>
            <w:tcBorders>
              <w:top w:val="nil"/>
              <w:left w:val="nil"/>
              <w:bottom w:val="nil"/>
            </w:tcBorders>
            <w:shd w:val="clear" w:color="auto" w:fill="231F20"/>
          </w:tcPr>
          <w:p w:rsidR="006A7A3F" w:rsidRDefault="006A7A3F">
            <w:pPr>
              <w:pStyle w:val="TableParagraph"/>
              <w:ind w:left="0"/>
              <w:rPr>
                <w:rFonts w:ascii="Times New Roman"/>
                <w:sz w:val="18"/>
              </w:rPr>
            </w:pP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Latrobe River</w:t>
            </w:r>
          </w:p>
        </w:tc>
        <w:tc>
          <w:tcPr>
            <w:tcW w:w="2041" w:type="dxa"/>
            <w:tcBorders>
              <w:top w:val="nil"/>
              <w:bottom w:val="nil"/>
            </w:tcBorders>
            <w:shd w:val="clear" w:color="auto" w:fill="231F20"/>
          </w:tcPr>
          <w:p w:rsidR="006A7A3F" w:rsidRDefault="00BC7372">
            <w:pPr>
              <w:pStyle w:val="TableParagraph"/>
              <w:spacing w:before="73" w:line="254" w:lineRule="auto"/>
              <w:ind w:left="84" w:right="686"/>
              <w:rPr>
                <w:b/>
                <w:sz w:val="18"/>
              </w:rPr>
            </w:pPr>
            <w:r>
              <w:rPr>
                <w:b/>
                <w:color w:val="FFFFFF"/>
                <w:sz w:val="18"/>
              </w:rPr>
              <w:t>Lower Latrobe wetlands</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Thomson River</w:t>
            </w:r>
          </w:p>
        </w:tc>
        <w:tc>
          <w:tcPr>
            <w:tcW w:w="2041" w:type="dxa"/>
            <w:tcBorders>
              <w:top w:val="nil"/>
              <w:bottom w:val="nil"/>
              <w:right w:val="nil"/>
            </w:tcBorders>
            <w:shd w:val="clear" w:color="auto" w:fill="231F20"/>
          </w:tcPr>
          <w:p w:rsidR="006A7A3F" w:rsidRDefault="00BC7372">
            <w:pPr>
              <w:pStyle w:val="TableParagraph"/>
              <w:spacing w:before="73"/>
              <w:ind w:left="84"/>
              <w:rPr>
                <w:b/>
                <w:sz w:val="18"/>
              </w:rPr>
            </w:pPr>
            <w:r>
              <w:rPr>
                <w:b/>
                <w:color w:val="FFFFFF"/>
                <w:sz w:val="18"/>
              </w:rPr>
              <w:t>Macalister River</w:t>
            </w:r>
          </w:p>
        </w:tc>
      </w:tr>
      <w:tr w:rsidR="006A7A3F">
        <w:trPr>
          <w:trHeight w:val="829"/>
        </w:trPr>
        <w:tc>
          <w:tcPr>
            <w:tcW w:w="2041" w:type="dxa"/>
            <w:tcBorders>
              <w:top w:val="nil"/>
              <w:left w:val="single" w:sz="4" w:space="0" w:color="231F20"/>
              <w:bottom w:val="single" w:sz="4" w:space="0" w:color="231F20"/>
              <w:right w:val="single" w:sz="4" w:space="0" w:color="231F20"/>
            </w:tcBorders>
          </w:tcPr>
          <w:p w:rsidR="006A7A3F" w:rsidRPr="00817C2F" w:rsidRDefault="00BC7372">
            <w:pPr>
              <w:pStyle w:val="TableParagraph"/>
              <w:spacing w:before="67"/>
              <w:ind w:left="85"/>
              <w:rPr>
                <w:sz w:val="16"/>
                <w:szCs w:val="16"/>
              </w:rPr>
            </w:pPr>
            <w:r w:rsidRPr="00817C2F">
              <w:rPr>
                <w:color w:val="231F20"/>
                <w:sz w:val="16"/>
                <w:szCs w:val="16"/>
              </w:rPr>
              <w:t>Local businesses</w:t>
            </w:r>
          </w:p>
        </w:tc>
        <w:tc>
          <w:tcPr>
            <w:tcW w:w="2041" w:type="dxa"/>
            <w:tcBorders>
              <w:top w:val="nil"/>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390"/>
              </w:numPr>
              <w:tabs>
                <w:tab w:val="left" w:pos="305"/>
              </w:tabs>
              <w:spacing w:before="74" w:line="254" w:lineRule="auto"/>
              <w:ind w:right="53"/>
              <w:rPr>
                <w:sz w:val="16"/>
                <w:szCs w:val="16"/>
              </w:rPr>
            </w:pPr>
            <w:r w:rsidRPr="00817C2F">
              <w:rPr>
                <w:color w:val="231F20"/>
                <w:sz w:val="16"/>
                <w:szCs w:val="16"/>
              </w:rPr>
              <w:t>Port of Sale Heritage River</w:t>
            </w:r>
            <w:r w:rsidRPr="00817C2F">
              <w:rPr>
                <w:color w:val="231F20"/>
                <w:spacing w:val="-2"/>
                <w:sz w:val="16"/>
                <w:szCs w:val="16"/>
              </w:rPr>
              <w:t xml:space="preserve"> </w:t>
            </w:r>
            <w:r w:rsidRPr="00817C2F">
              <w:rPr>
                <w:color w:val="231F20"/>
                <w:sz w:val="16"/>
                <w:szCs w:val="16"/>
              </w:rPr>
              <w:t>Cruises</w:t>
            </w:r>
          </w:p>
        </w:tc>
        <w:tc>
          <w:tcPr>
            <w:tcW w:w="2041" w:type="dxa"/>
            <w:tcBorders>
              <w:top w:val="nil"/>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389"/>
              </w:numPr>
              <w:tabs>
                <w:tab w:val="left" w:pos="305"/>
              </w:tabs>
              <w:spacing w:before="74" w:line="254" w:lineRule="auto"/>
              <w:ind w:right="53"/>
              <w:rPr>
                <w:sz w:val="16"/>
                <w:szCs w:val="16"/>
              </w:rPr>
            </w:pPr>
            <w:r w:rsidRPr="00817C2F">
              <w:rPr>
                <w:color w:val="231F20"/>
                <w:sz w:val="16"/>
                <w:szCs w:val="16"/>
              </w:rPr>
              <w:t>Port of Sale Heritage River</w:t>
            </w:r>
            <w:r w:rsidRPr="00817C2F">
              <w:rPr>
                <w:color w:val="231F20"/>
                <w:spacing w:val="-2"/>
                <w:sz w:val="16"/>
                <w:szCs w:val="16"/>
              </w:rPr>
              <w:t xml:space="preserve"> </w:t>
            </w:r>
            <w:r w:rsidRPr="00817C2F">
              <w:rPr>
                <w:color w:val="231F20"/>
                <w:sz w:val="16"/>
                <w:szCs w:val="16"/>
              </w:rPr>
              <w:t>Cruises</w:t>
            </w:r>
          </w:p>
        </w:tc>
        <w:tc>
          <w:tcPr>
            <w:tcW w:w="2041" w:type="dxa"/>
            <w:tcBorders>
              <w:top w:val="nil"/>
              <w:left w:val="single" w:sz="4" w:space="0" w:color="231F20"/>
              <w:bottom w:val="single" w:sz="4" w:space="0" w:color="231F20"/>
              <w:right w:val="single" w:sz="4" w:space="0" w:color="231F20"/>
            </w:tcBorders>
          </w:tcPr>
          <w:p w:rsidR="006A7A3F" w:rsidRPr="00817C2F" w:rsidRDefault="006A7A3F">
            <w:pPr>
              <w:pStyle w:val="TableParagraph"/>
              <w:ind w:left="0"/>
              <w:rPr>
                <w:rFonts w:ascii="Times New Roman"/>
                <w:sz w:val="16"/>
                <w:szCs w:val="16"/>
              </w:rPr>
            </w:pPr>
          </w:p>
        </w:tc>
        <w:tc>
          <w:tcPr>
            <w:tcW w:w="2041" w:type="dxa"/>
            <w:tcBorders>
              <w:top w:val="nil"/>
              <w:left w:val="single" w:sz="4" w:space="0" w:color="231F20"/>
              <w:bottom w:val="single" w:sz="4" w:space="0" w:color="231F20"/>
              <w:right w:val="single" w:sz="4" w:space="0" w:color="231F20"/>
            </w:tcBorders>
          </w:tcPr>
          <w:p w:rsidR="006A7A3F" w:rsidRPr="00817C2F" w:rsidRDefault="006A7A3F">
            <w:pPr>
              <w:pStyle w:val="TableParagraph"/>
              <w:ind w:left="0"/>
              <w:rPr>
                <w:rFonts w:ascii="Times New Roman"/>
                <w:sz w:val="16"/>
                <w:szCs w:val="16"/>
              </w:rPr>
            </w:pPr>
          </w:p>
        </w:tc>
      </w:tr>
      <w:tr w:rsidR="006A7A3F">
        <w:trPr>
          <w:trHeight w:val="1269"/>
        </w:trPr>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5"/>
              <w:rPr>
                <w:sz w:val="16"/>
                <w:szCs w:val="16"/>
              </w:rPr>
            </w:pPr>
            <w:r w:rsidRPr="00817C2F">
              <w:rPr>
                <w:color w:val="231F20"/>
                <w:sz w:val="16"/>
                <w:szCs w:val="16"/>
              </w:rPr>
              <w:t>Recreational users</w:t>
            </w:r>
          </w:p>
        </w:tc>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388"/>
              </w:numPr>
              <w:tabs>
                <w:tab w:val="left" w:pos="305"/>
              </w:tabs>
              <w:spacing w:before="74"/>
              <w:rPr>
                <w:sz w:val="16"/>
                <w:szCs w:val="16"/>
              </w:rPr>
            </w:pPr>
            <w:r w:rsidRPr="00817C2F">
              <w:rPr>
                <w:color w:val="231F20"/>
                <w:sz w:val="16"/>
                <w:szCs w:val="16"/>
              </w:rPr>
              <w:t>VRFish</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387"/>
              </w:numPr>
              <w:tabs>
                <w:tab w:val="left" w:pos="305"/>
              </w:tabs>
              <w:spacing w:before="74" w:line="254" w:lineRule="auto"/>
              <w:ind w:right="373"/>
              <w:rPr>
                <w:sz w:val="16"/>
                <w:szCs w:val="16"/>
              </w:rPr>
            </w:pPr>
            <w:r w:rsidRPr="00817C2F">
              <w:rPr>
                <w:color w:val="231F20"/>
                <w:sz w:val="16"/>
                <w:szCs w:val="16"/>
              </w:rPr>
              <w:t xml:space="preserve">Field and Game Australia (Dowd Morass and </w:t>
            </w:r>
            <w:r w:rsidRPr="00817C2F">
              <w:rPr>
                <w:color w:val="231F20"/>
                <w:spacing w:val="-4"/>
                <w:sz w:val="16"/>
                <w:szCs w:val="16"/>
              </w:rPr>
              <w:t xml:space="preserve">Sale </w:t>
            </w:r>
            <w:r w:rsidRPr="00817C2F">
              <w:rPr>
                <w:color w:val="231F20"/>
                <w:sz w:val="16"/>
                <w:szCs w:val="16"/>
              </w:rPr>
              <w:t>Common)</w:t>
            </w:r>
          </w:p>
        </w:tc>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386"/>
              </w:numPr>
              <w:tabs>
                <w:tab w:val="left" w:pos="305"/>
              </w:tabs>
              <w:spacing w:before="74"/>
              <w:rPr>
                <w:sz w:val="16"/>
                <w:szCs w:val="16"/>
              </w:rPr>
            </w:pPr>
            <w:r w:rsidRPr="00817C2F">
              <w:rPr>
                <w:color w:val="231F20"/>
                <w:spacing w:val="-4"/>
                <w:sz w:val="16"/>
                <w:szCs w:val="16"/>
              </w:rPr>
              <w:t>Tourism</w:t>
            </w:r>
            <w:r w:rsidRPr="00817C2F">
              <w:rPr>
                <w:color w:val="231F20"/>
                <w:spacing w:val="-2"/>
                <w:sz w:val="16"/>
                <w:szCs w:val="16"/>
              </w:rPr>
              <w:t xml:space="preserve"> </w:t>
            </w:r>
            <w:r w:rsidRPr="00817C2F">
              <w:rPr>
                <w:color w:val="231F20"/>
                <w:sz w:val="16"/>
                <w:szCs w:val="16"/>
              </w:rPr>
              <w:t>operators</w:t>
            </w:r>
          </w:p>
          <w:p w:rsidR="006A7A3F" w:rsidRPr="00817C2F" w:rsidRDefault="00BC7372" w:rsidP="009B6917">
            <w:pPr>
              <w:pStyle w:val="TableParagraph"/>
              <w:numPr>
                <w:ilvl w:val="0"/>
                <w:numId w:val="1386"/>
              </w:numPr>
              <w:tabs>
                <w:tab w:val="left" w:pos="305"/>
              </w:tabs>
              <w:spacing w:before="98"/>
              <w:rPr>
                <w:sz w:val="16"/>
                <w:szCs w:val="16"/>
              </w:rPr>
            </w:pPr>
            <w:r w:rsidRPr="00817C2F">
              <w:rPr>
                <w:color w:val="231F20"/>
                <w:sz w:val="16"/>
                <w:szCs w:val="16"/>
              </w:rPr>
              <w:t>VRFish</w:t>
            </w:r>
          </w:p>
        </w:tc>
        <w:tc>
          <w:tcPr>
            <w:tcW w:w="204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385"/>
              </w:numPr>
              <w:tabs>
                <w:tab w:val="left" w:pos="305"/>
              </w:tabs>
              <w:spacing w:before="74"/>
              <w:rPr>
                <w:sz w:val="16"/>
                <w:szCs w:val="16"/>
              </w:rPr>
            </w:pPr>
            <w:r w:rsidRPr="00817C2F">
              <w:rPr>
                <w:color w:val="231F20"/>
                <w:sz w:val="16"/>
                <w:szCs w:val="16"/>
              </w:rPr>
              <w:t>VRFish</w:t>
            </w:r>
          </w:p>
        </w:tc>
      </w:tr>
      <w:tr w:rsidR="006A7A3F">
        <w:trPr>
          <w:trHeight w:val="609"/>
        </w:trPr>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Inform</w:t>
            </w:r>
          </w:p>
          <w:p w:rsidR="006A7A3F" w:rsidRPr="00817C2F" w:rsidRDefault="00BC7372" w:rsidP="009B6917">
            <w:pPr>
              <w:pStyle w:val="TableParagraph"/>
              <w:numPr>
                <w:ilvl w:val="0"/>
                <w:numId w:val="1384"/>
              </w:numPr>
              <w:tabs>
                <w:tab w:val="left" w:pos="305"/>
              </w:tabs>
              <w:spacing w:before="74"/>
              <w:rPr>
                <w:sz w:val="16"/>
                <w:szCs w:val="16"/>
              </w:rPr>
            </w:pPr>
            <w:r w:rsidRPr="00817C2F">
              <w:rPr>
                <w:color w:val="231F20"/>
                <w:sz w:val="16"/>
                <w:szCs w:val="16"/>
              </w:rPr>
              <w:t>VRFish</w:t>
            </w:r>
          </w:p>
        </w:tc>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2041"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r>
      <w:tr w:rsidR="006A7A3F">
        <w:trPr>
          <w:trHeight w:val="1269"/>
        </w:trPr>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5"/>
              <w:rPr>
                <w:sz w:val="16"/>
                <w:szCs w:val="16"/>
              </w:rPr>
            </w:pPr>
            <w:r w:rsidRPr="00817C2F">
              <w:rPr>
                <w:color w:val="231F20"/>
                <w:sz w:val="16"/>
                <w:szCs w:val="16"/>
              </w:rPr>
              <w:t>Technical experts</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6A7A3F">
            <w:pPr>
              <w:pStyle w:val="TableParagraph"/>
              <w:ind w:left="0"/>
              <w:rPr>
                <w:rFonts w:ascii="Times New Roman"/>
                <w:sz w:val="16"/>
                <w:szCs w:val="16"/>
              </w:rPr>
            </w:pP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6A7A3F">
            <w:pPr>
              <w:pStyle w:val="TableParagraph"/>
              <w:ind w:left="0"/>
              <w:rPr>
                <w:rFonts w:ascii="Times New Roman"/>
                <w:sz w:val="16"/>
                <w:szCs w:val="16"/>
              </w:rPr>
            </w:pP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383"/>
              </w:numPr>
              <w:tabs>
                <w:tab w:val="left" w:pos="305"/>
              </w:tabs>
              <w:spacing w:before="74" w:line="254" w:lineRule="auto"/>
              <w:ind w:right="43"/>
              <w:rPr>
                <w:sz w:val="16"/>
                <w:szCs w:val="16"/>
              </w:rPr>
            </w:pPr>
            <w:r w:rsidRPr="00817C2F">
              <w:rPr>
                <w:color w:val="231F20"/>
                <w:sz w:val="16"/>
                <w:szCs w:val="16"/>
              </w:rPr>
              <w:t>Arthur Rylah Institute (Department of Environment, Land, Water and</w:t>
            </w:r>
            <w:r w:rsidRPr="00817C2F">
              <w:rPr>
                <w:color w:val="231F20"/>
                <w:spacing w:val="-10"/>
                <w:sz w:val="16"/>
                <w:szCs w:val="16"/>
              </w:rPr>
              <w:t xml:space="preserve"> </w:t>
            </w:r>
            <w:r w:rsidRPr="00817C2F">
              <w:rPr>
                <w:color w:val="231F20"/>
                <w:sz w:val="16"/>
                <w:szCs w:val="16"/>
              </w:rPr>
              <w:t>Planning)</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382"/>
              </w:numPr>
              <w:tabs>
                <w:tab w:val="left" w:pos="305"/>
              </w:tabs>
              <w:spacing w:before="74" w:line="254" w:lineRule="auto"/>
              <w:ind w:right="43"/>
              <w:rPr>
                <w:sz w:val="16"/>
                <w:szCs w:val="16"/>
              </w:rPr>
            </w:pPr>
            <w:r w:rsidRPr="00817C2F">
              <w:rPr>
                <w:color w:val="231F20"/>
                <w:sz w:val="16"/>
                <w:szCs w:val="16"/>
              </w:rPr>
              <w:t>Arthur Rylah Institute (Department of Environment, Land, Water and</w:t>
            </w:r>
            <w:r w:rsidRPr="00817C2F">
              <w:rPr>
                <w:color w:val="231F20"/>
                <w:spacing w:val="-10"/>
                <w:sz w:val="16"/>
                <w:szCs w:val="16"/>
              </w:rPr>
              <w:t xml:space="preserve"> </w:t>
            </w:r>
            <w:r w:rsidRPr="00817C2F">
              <w:rPr>
                <w:color w:val="231F20"/>
                <w:sz w:val="16"/>
                <w:szCs w:val="16"/>
              </w:rPr>
              <w:t>Planning)</w:t>
            </w:r>
          </w:p>
        </w:tc>
      </w:tr>
      <w:tr w:rsidR="006A7A3F">
        <w:trPr>
          <w:trHeight w:val="1269"/>
        </w:trPr>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5"/>
              <w:rPr>
                <w:sz w:val="16"/>
                <w:szCs w:val="16"/>
              </w:rPr>
            </w:pPr>
            <w:r w:rsidRPr="00817C2F">
              <w:rPr>
                <w:color w:val="231F20"/>
                <w:sz w:val="16"/>
                <w:szCs w:val="16"/>
              </w:rPr>
              <w:t>Traditional Owners</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381"/>
              </w:numPr>
              <w:tabs>
                <w:tab w:val="left" w:pos="305"/>
              </w:tabs>
              <w:spacing w:before="74" w:line="254" w:lineRule="auto"/>
              <w:ind w:right="360"/>
              <w:rPr>
                <w:sz w:val="16"/>
                <w:szCs w:val="16"/>
              </w:rPr>
            </w:pPr>
            <w:r w:rsidRPr="00817C2F">
              <w:rPr>
                <w:color w:val="231F20"/>
                <w:sz w:val="16"/>
                <w:szCs w:val="16"/>
              </w:rPr>
              <w:t>Gunaikurnai Land and</w:t>
            </w:r>
            <w:r w:rsidRPr="00817C2F">
              <w:rPr>
                <w:color w:val="231F20"/>
                <w:spacing w:val="-17"/>
                <w:sz w:val="16"/>
                <w:szCs w:val="16"/>
              </w:rPr>
              <w:t xml:space="preserve"> </w:t>
            </w:r>
            <w:r w:rsidRPr="00817C2F">
              <w:rPr>
                <w:color w:val="231F20"/>
                <w:sz w:val="16"/>
                <w:szCs w:val="16"/>
              </w:rPr>
              <w:t>Waters Aboriginal Corporation</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380"/>
              </w:numPr>
              <w:tabs>
                <w:tab w:val="left" w:pos="305"/>
              </w:tabs>
              <w:spacing w:before="74" w:line="254" w:lineRule="auto"/>
              <w:ind w:right="360"/>
              <w:rPr>
                <w:sz w:val="16"/>
                <w:szCs w:val="16"/>
              </w:rPr>
            </w:pPr>
            <w:r w:rsidRPr="00817C2F">
              <w:rPr>
                <w:color w:val="231F20"/>
                <w:sz w:val="16"/>
                <w:szCs w:val="16"/>
              </w:rPr>
              <w:t>Gunaikurnai Land and</w:t>
            </w:r>
            <w:r w:rsidRPr="00817C2F">
              <w:rPr>
                <w:color w:val="231F20"/>
                <w:spacing w:val="-17"/>
                <w:sz w:val="16"/>
                <w:szCs w:val="16"/>
              </w:rPr>
              <w:t xml:space="preserve"> </w:t>
            </w:r>
            <w:r w:rsidRPr="00817C2F">
              <w:rPr>
                <w:color w:val="231F20"/>
                <w:sz w:val="16"/>
                <w:szCs w:val="16"/>
              </w:rPr>
              <w:t>Waters Aboriginal Corporation</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Collaborate</w:t>
            </w:r>
          </w:p>
          <w:p w:rsidR="006A7A3F" w:rsidRPr="00817C2F" w:rsidRDefault="00BC7372" w:rsidP="009B6917">
            <w:pPr>
              <w:pStyle w:val="TableParagraph"/>
              <w:numPr>
                <w:ilvl w:val="0"/>
                <w:numId w:val="1379"/>
              </w:numPr>
              <w:tabs>
                <w:tab w:val="left" w:pos="305"/>
              </w:tabs>
              <w:spacing w:before="74" w:line="254" w:lineRule="auto"/>
              <w:ind w:right="360"/>
              <w:rPr>
                <w:sz w:val="16"/>
                <w:szCs w:val="16"/>
              </w:rPr>
            </w:pPr>
            <w:r w:rsidRPr="00817C2F">
              <w:rPr>
                <w:color w:val="231F20"/>
                <w:sz w:val="16"/>
                <w:szCs w:val="16"/>
              </w:rPr>
              <w:t>Gunaikurnai Land and</w:t>
            </w:r>
            <w:r w:rsidRPr="00817C2F">
              <w:rPr>
                <w:color w:val="231F20"/>
                <w:spacing w:val="-17"/>
                <w:sz w:val="16"/>
                <w:szCs w:val="16"/>
              </w:rPr>
              <w:t xml:space="preserve"> </w:t>
            </w:r>
            <w:r w:rsidRPr="00817C2F">
              <w:rPr>
                <w:color w:val="231F20"/>
                <w:sz w:val="16"/>
                <w:szCs w:val="16"/>
              </w:rPr>
              <w:t>Waters Aboriginal Corporation</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4"/>
              <w:rPr>
                <w:b/>
                <w:sz w:val="16"/>
                <w:szCs w:val="16"/>
              </w:rPr>
            </w:pPr>
            <w:r w:rsidRPr="00817C2F">
              <w:rPr>
                <w:b/>
                <w:color w:val="231F20"/>
                <w:sz w:val="16"/>
                <w:szCs w:val="16"/>
              </w:rPr>
              <w:t>IAP2 level: Involve</w:t>
            </w:r>
          </w:p>
          <w:p w:rsidR="006A7A3F" w:rsidRPr="00817C2F" w:rsidRDefault="00BC7372" w:rsidP="009B6917">
            <w:pPr>
              <w:pStyle w:val="TableParagraph"/>
              <w:numPr>
                <w:ilvl w:val="0"/>
                <w:numId w:val="1378"/>
              </w:numPr>
              <w:tabs>
                <w:tab w:val="left" w:pos="305"/>
              </w:tabs>
              <w:spacing w:before="74" w:line="254" w:lineRule="auto"/>
              <w:ind w:right="360"/>
              <w:rPr>
                <w:sz w:val="16"/>
                <w:szCs w:val="16"/>
              </w:rPr>
            </w:pPr>
            <w:r w:rsidRPr="00817C2F">
              <w:rPr>
                <w:color w:val="231F20"/>
                <w:sz w:val="16"/>
                <w:szCs w:val="16"/>
              </w:rPr>
              <w:t>Gunaikurnai Land and</w:t>
            </w:r>
            <w:r w:rsidRPr="00817C2F">
              <w:rPr>
                <w:color w:val="231F20"/>
                <w:spacing w:val="-17"/>
                <w:sz w:val="16"/>
                <w:szCs w:val="16"/>
              </w:rPr>
              <w:t xml:space="preserve"> </w:t>
            </w:r>
            <w:r w:rsidRPr="00817C2F">
              <w:rPr>
                <w:color w:val="231F20"/>
                <w:sz w:val="16"/>
                <w:szCs w:val="16"/>
              </w:rPr>
              <w:t>Waters Aboriginal Corporation</w:t>
            </w:r>
          </w:p>
        </w:tc>
      </w:tr>
    </w:tbl>
    <w:p w:rsidR="006A7A3F" w:rsidRDefault="00BC7372" w:rsidP="001413DB">
      <w:pPr>
        <w:pStyle w:val="BodyText"/>
        <w:spacing w:before="135" w:line="249" w:lineRule="auto"/>
        <w:ind w:right="686"/>
      </w:pPr>
      <w:r>
        <w:rPr>
          <w:color w:val="231F20"/>
        </w:rPr>
        <w:t>The NSW Government is responsible for planning environmental flows in the Snowy River in consultation with the Victorian Government. The Snowy Advisory Committee was formed in 2018 and provides community and</w:t>
      </w:r>
      <w:r w:rsidR="001413DB">
        <w:t xml:space="preserve"> </w:t>
      </w:r>
      <w:r>
        <w:rPr>
          <w:color w:val="231F20"/>
        </w:rPr>
        <w:t>expert advice about the pattern of environmental flows to the Snowy River. The committee’s participants represent Aboriginal, local community and environmental interests, alongside NSW and Victorian government agencies. East Gippsland CMA is a member of the Snowy Advisory Committee, and the VEWH is an observer.</w:t>
      </w:r>
    </w:p>
    <w:p w:rsidR="006A7A3F" w:rsidRDefault="00BC7372">
      <w:pPr>
        <w:spacing w:before="182"/>
        <w:ind w:left="210"/>
        <w:rPr>
          <w:rFonts w:ascii="Helvetica Neue LT Std 75" w:hAnsi="Helvetica Neue LT Std 75"/>
          <w:b/>
          <w:sz w:val="19"/>
        </w:rPr>
      </w:pPr>
      <w:r>
        <w:rPr>
          <w:rFonts w:ascii="Helvetica Neue LT Std 75" w:hAnsi="Helvetica Neue LT Std 75"/>
          <w:b/>
          <w:color w:val="231F20"/>
          <w:sz w:val="19"/>
        </w:rPr>
        <w:t>How have Traditional Owners’ values and uses of waterways been considered?</w:t>
      </w:r>
    </w:p>
    <w:p w:rsidR="006A7A3F" w:rsidRDefault="00BC7372">
      <w:pPr>
        <w:pStyle w:val="BodyText"/>
        <w:spacing w:before="68" w:line="249" w:lineRule="auto"/>
        <w:ind w:right="308"/>
      </w:pPr>
      <w:r>
        <w:rPr>
          <w:color w:val="231F20"/>
        </w:rPr>
        <w:t>The waterways of the Gippsland region are important resources for the Gunaikurnai people, with thousands of years of connection to Country evident through numerous registered Gunaikurnai cultural heritage sites. Today, water is no less important to the Gunaikurnai: access to water and being empowered to make decisions and manage natural resources including waterways and water bodies are integral to customary practices, to protecting cultural values and uses and to healing Country.</w:t>
      </w:r>
    </w:p>
    <w:p w:rsidR="006A7A3F" w:rsidRDefault="00BC7372">
      <w:pPr>
        <w:pStyle w:val="BodyText"/>
        <w:spacing w:before="174" w:line="249" w:lineRule="auto"/>
        <w:ind w:right="100"/>
      </w:pPr>
      <w:r>
        <w:rPr>
          <w:color w:val="231F20"/>
        </w:rPr>
        <w:t>GLaWAC is the Registered Aboriginal Party for waterways managed with environmental flows in the Gippsland region, and it holds Native Title and a Recognition and Settlement Agreement over this area. GLaWAC representatives are working closely with the West Gippsland CMA to understand and find alignment between environmental watering objectives and cultural watering objectives.</w:t>
      </w:r>
    </w:p>
    <w:p w:rsidR="006A7A3F" w:rsidRDefault="00BC7372">
      <w:pPr>
        <w:pStyle w:val="BodyText"/>
        <w:spacing w:before="173" w:line="249" w:lineRule="auto"/>
        <w:ind w:right="352"/>
      </w:pPr>
      <w:r>
        <w:rPr>
          <w:color w:val="231F20"/>
        </w:rPr>
        <w:t>GLaWAC has been represented on the environmental flows study review panels for the Thomson and Latrobe rivers. GLaWAC together with Gunaikurnai community members are undertaking Aboriginal Waterway Assessments in the Latrobe River system, and as part of this are assessing how to document, protect and further the cultural values and uses of waterways in the Gippsland region including the Thomson, Latrobe and Macalister rivers and Lower Latrobe wetlands which receive water for the environment.</w:t>
      </w:r>
    </w:p>
    <w:p w:rsidR="006A7A3F" w:rsidRDefault="00BC7372">
      <w:pPr>
        <w:pStyle w:val="BodyText"/>
        <w:spacing w:before="174" w:line="249" w:lineRule="auto"/>
        <w:ind w:right="285"/>
      </w:pPr>
      <w:r>
        <w:rPr>
          <w:color w:val="231F20"/>
        </w:rPr>
        <w:t>GLaWAC and the West Gippsland CMA have a strong working relationship and a collaborative plan to nominate priority sites and determine flows that support Gunaikurnai cultural and environmental values during 2020–21. The teams share the CMA’s Traralgon office. This proximity increases opportunities for knowledge exchange and an appreciation of the broader objectives of each organisation.</w:t>
      </w:r>
    </w:p>
    <w:p w:rsidR="005E597C" w:rsidRDefault="005E597C">
      <w:pPr>
        <w:rPr>
          <w:color w:val="231F20"/>
          <w:sz w:val="20"/>
          <w:szCs w:val="20"/>
        </w:rPr>
      </w:pPr>
      <w:r>
        <w:rPr>
          <w:color w:val="231F20"/>
        </w:rPr>
        <w:br w:type="page"/>
      </w:r>
    </w:p>
    <w:p w:rsidR="006A7A3F" w:rsidRDefault="00BC7372">
      <w:pPr>
        <w:pStyle w:val="BodyText"/>
        <w:spacing w:before="174" w:line="249" w:lineRule="auto"/>
        <w:ind w:right="297"/>
        <w:rPr>
          <w:color w:val="231F20"/>
        </w:rPr>
      </w:pPr>
      <w:r>
        <w:rPr>
          <w:color w:val="231F20"/>
        </w:rPr>
        <w:t>For the Thomson and Latrobe rivers, GLaWAC identified species of high cultural value that depend on water and water management that mimics nature. GLaWAC also expressed the importance of Sale Common and Dowd Morass and the need to protect the freshwater status as much as possible, and to manage invasive species that threaten native plants and animals.</w:t>
      </w:r>
    </w:p>
    <w:p w:rsidR="001D375D" w:rsidRPr="001D375D" w:rsidRDefault="001D375D" w:rsidP="001D375D">
      <w:pPr>
        <w:spacing w:before="182"/>
        <w:ind w:left="210"/>
        <w:rPr>
          <w:rFonts w:ascii="Helvetica Neue LT Std 75"/>
          <w:b/>
          <w:sz w:val="19"/>
          <w:szCs w:val="19"/>
        </w:rPr>
      </w:pPr>
      <w:r w:rsidRPr="001D375D">
        <w:rPr>
          <w:b/>
          <w:bCs/>
          <w:sz w:val="19"/>
          <w:szCs w:val="19"/>
        </w:rPr>
        <w:t>Community benefits from environmental watering</w:t>
      </w:r>
    </w:p>
    <w:p w:rsidR="001D375D" w:rsidRDefault="001D375D" w:rsidP="001D375D">
      <w:pPr>
        <w:pStyle w:val="BodyText"/>
      </w:pPr>
      <w:r>
        <w:t>Healthy rivers and wetlands support vibrant and healthy communities. By improving the health of rivers, wetlands and floodplains, environmental flows also provide benefits to communities.</w:t>
      </w:r>
    </w:p>
    <w:p w:rsidR="001D375D" w:rsidRDefault="001D375D" w:rsidP="001D375D">
      <w:pPr>
        <w:pStyle w:val="BodyText"/>
      </w:pPr>
      <w:r>
        <w:t>The VEWH and its program partners consider Aboriginal cultural values and uses and social and recreational values and uses of waterways when planning for environmental watering activities. Through engagement with community representatives, waterway managers aim to determine how community benefits from environmental flows can be optimised with environmental priorities for the year ahead.</w:t>
      </w:r>
    </w:p>
    <w:p w:rsidR="001D375D" w:rsidRDefault="001D375D" w:rsidP="001D375D">
      <w:pPr>
        <w:pStyle w:val="BodyText"/>
      </w:pPr>
      <w:r>
        <w:t>Healthy waterways provide community benefits (such as providing nice places to walk or picnic and opportunities for recreational fishing). Community benefits can sometimes be enhanced by modifying environmental flows (such as timing a flow to support a community water skiing or fishing event), provided the environmental objective is not compromised.</w:t>
      </w:r>
    </w:p>
    <w:p w:rsidR="006A7A3F" w:rsidRDefault="00BC7372">
      <w:pPr>
        <w:spacing w:before="182"/>
        <w:ind w:left="210"/>
        <w:rPr>
          <w:rFonts w:ascii="Helvetica Neue LT Std 75"/>
          <w:b/>
          <w:sz w:val="19"/>
        </w:rPr>
      </w:pPr>
      <w:r>
        <w:rPr>
          <w:rFonts w:ascii="Helvetica Neue LT Std 75"/>
          <w:b/>
          <w:color w:val="231F20"/>
          <w:sz w:val="19"/>
        </w:rPr>
        <w:t>How have economic, recreational and social values and uses of waterways been considered?</w:t>
      </w:r>
    </w:p>
    <w:p w:rsidR="006A7A3F" w:rsidRDefault="00BC7372">
      <w:pPr>
        <w:pStyle w:val="BodyText"/>
        <w:spacing w:before="68" w:line="249" w:lineRule="auto"/>
        <w:ind w:right="252"/>
      </w:pPr>
      <w:r>
        <w:rPr>
          <w:color w:val="231F20"/>
        </w:rPr>
        <w:t>Environmental outcomes provide some direct economic, recreational, social benefits to communities. Waterway managers, in consultation with communities, have identified numerous opportunities to support these community benefits including activities such as tourism, kayaking, birdwatching, fishing, water skiing and hunting. Examples of these opportunities in the Gippsland region include:</w:t>
      </w:r>
    </w:p>
    <w:p w:rsidR="006A7A3F" w:rsidRDefault="00BC7372" w:rsidP="009B6917">
      <w:pPr>
        <w:pStyle w:val="ListParagraph"/>
        <w:numPr>
          <w:ilvl w:val="0"/>
          <w:numId w:val="1419"/>
        </w:numPr>
        <w:tabs>
          <w:tab w:val="left" w:pos="493"/>
          <w:tab w:val="left" w:pos="494"/>
        </w:tabs>
        <w:spacing w:before="70" w:line="249" w:lineRule="auto"/>
        <w:ind w:right="782"/>
        <w:rPr>
          <w:sz w:val="20"/>
        </w:rPr>
      </w:pPr>
      <w:r>
        <w:rPr>
          <w:color w:val="231F20"/>
          <w:sz w:val="20"/>
        </w:rPr>
        <w:t>encouraging</w:t>
      </w:r>
      <w:r>
        <w:rPr>
          <w:color w:val="231F20"/>
          <w:spacing w:val="-4"/>
          <w:sz w:val="20"/>
        </w:rPr>
        <w:t xml:space="preserve"> </w:t>
      </w:r>
      <w:r>
        <w:rPr>
          <w:color w:val="231F20"/>
          <w:sz w:val="20"/>
        </w:rPr>
        <w:t>the</w:t>
      </w:r>
      <w:r>
        <w:rPr>
          <w:color w:val="231F20"/>
          <w:spacing w:val="-2"/>
          <w:sz w:val="20"/>
        </w:rPr>
        <w:t xml:space="preserve"> </w:t>
      </w:r>
      <w:r>
        <w:rPr>
          <w:color w:val="231F20"/>
          <w:sz w:val="20"/>
        </w:rPr>
        <w:t>spawning</w:t>
      </w:r>
      <w:r>
        <w:rPr>
          <w:color w:val="231F20"/>
          <w:spacing w:val="-2"/>
          <w:sz w:val="20"/>
        </w:rPr>
        <w:t xml:space="preserve"> </w:t>
      </w:r>
      <w:r>
        <w:rPr>
          <w:color w:val="231F20"/>
          <w:sz w:val="20"/>
        </w:rPr>
        <w:t>and</w:t>
      </w:r>
      <w:r>
        <w:rPr>
          <w:color w:val="231F20"/>
          <w:spacing w:val="-3"/>
          <w:sz w:val="20"/>
        </w:rPr>
        <w:t xml:space="preserve"> </w:t>
      </w:r>
      <w:r>
        <w:rPr>
          <w:color w:val="231F20"/>
          <w:sz w:val="20"/>
        </w:rPr>
        <w:t>recruitment</w:t>
      </w:r>
      <w:r>
        <w:rPr>
          <w:color w:val="231F20"/>
          <w:spacing w:val="-2"/>
          <w:sz w:val="20"/>
        </w:rPr>
        <w:t xml:space="preserve"> </w:t>
      </w:r>
      <w:r>
        <w:rPr>
          <w:color w:val="231F20"/>
          <w:sz w:val="20"/>
        </w:rPr>
        <w:t>of</w:t>
      </w:r>
      <w:r>
        <w:rPr>
          <w:color w:val="231F20"/>
          <w:spacing w:val="-12"/>
          <w:sz w:val="20"/>
        </w:rPr>
        <w:t xml:space="preserve"> </w:t>
      </w:r>
      <w:r>
        <w:rPr>
          <w:color w:val="231F20"/>
          <w:sz w:val="20"/>
        </w:rPr>
        <w:t>Australia</w:t>
      </w:r>
      <w:r>
        <w:rPr>
          <w:color w:val="231F20"/>
          <w:spacing w:val="-3"/>
          <w:sz w:val="20"/>
        </w:rPr>
        <w:t xml:space="preserve"> </w:t>
      </w:r>
      <w:r>
        <w:rPr>
          <w:color w:val="231F20"/>
          <w:sz w:val="20"/>
        </w:rPr>
        <w:t>bass,</w:t>
      </w:r>
      <w:r>
        <w:rPr>
          <w:color w:val="231F20"/>
          <w:spacing w:val="-3"/>
          <w:sz w:val="20"/>
        </w:rPr>
        <w:t xml:space="preserve"> </w:t>
      </w:r>
      <w:r>
        <w:rPr>
          <w:color w:val="231F20"/>
          <w:sz w:val="20"/>
        </w:rPr>
        <w:t>a</w:t>
      </w:r>
      <w:r>
        <w:rPr>
          <w:color w:val="231F20"/>
          <w:spacing w:val="-3"/>
          <w:sz w:val="20"/>
        </w:rPr>
        <w:t xml:space="preserve"> </w:t>
      </w:r>
      <w:r>
        <w:rPr>
          <w:color w:val="231F20"/>
          <w:sz w:val="20"/>
        </w:rPr>
        <w:t>popular</w:t>
      </w:r>
      <w:r>
        <w:rPr>
          <w:color w:val="231F20"/>
          <w:spacing w:val="-3"/>
          <w:sz w:val="20"/>
        </w:rPr>
        <w:t xml:space="preserve"> </w:t>
      </w:r>
      <w:r>
        <w:rPr>
          <w:color w:val="231F20"/>
          <w:sz w:val="20"/>
        </w:rPr>
        <w:t>recreational</w:t>
      </w:r>
      <w:r>
        <w:rPr>
          <w:color w:val="231F20"/>
          <w:spacing w:val="-2"/>
          <w:sz w:val="20"/>
        </w:rPr>
        <w:t xml:space="preserve"> </w:t>
      </w:r>
      <w:r>
        <w:rPr>
          <w:color w:val="231F20"/>
          <w:sz w:val="20"/>
        </w:rPr>
        <w:t>angling</w:t>
      </w:r>
      <w:r>
        <w:rPr>
          <w:color w:val="231F20"/>
          <w:spacing w:val="-3"/>
          <w:sz w:val="20"/>
        </w:rPr>
        <w:t xml:space="preserve"> </w:t>
      </w:r>
      <w:r>
        <w:rPr>
          <w:color w:val="231F20"/>
          <w:sz w:val="20"/>
        </w:rPr>
        <w:t>species</w:t>
      </w:r>
      <w:r>
        <w:rPr>
          <w:color w:val="231F20"/>
          <w:spacing w:val="-2"/>
          <w:sz w:val="20"/>
        </w:rPr>
        <w:t xml:space="preserve"> </w:t>
      </w:r>
      <w:r>
        <w:rPr>
          <w:color w:val="231F20"/>
          <w:sz w:val="20"/>
        </w:rPr>
        <w:t>in</w:t>
      </w:r>
      <w:r>
        <w:rPr>
          <w:color w:val="231F20"/>
          <w:spacing w:val="-3"/>
          <w:sz w:val="20"/>
        </w:rPr>
        <w:t xml:space="preserve"> </w:t>
      </w:r>
      <w:r>
        <w:rPr>
          <w:color w:val="231F20"/>
          <w:sz w:val="20"/>
        </w:rPr>
        <w:t>the Macalister and Thomson</w:t>
      </w:r>
      <w:r>
        <w:rPr>
          <w:color w:val="231F20"/>
          <w:spacing w:val="-5"/>
          <w:sz w:val="20"/>
        </w:rPr>
        <w:t xml:space="preserve"> </w:t>
      </w:r>
      <w:r>
        <w:rPr>
          <w:color w:val="231F20"/>
          <w:sz w:val="20"/>
        </w:rPr>
        <w:t>systems</w:t>
      </w:r>
    </w:p>
    <w:p w:rsidR="006A7A3F" w:rsidRDefault="00BC7372" w:rsidP="009B6917">
      <w:pPr>
        <w:pStyle w:val="ListParagraph"/>
        <w:numPr>
          <w:ilvl w:val="0"/>
          <w:numId w:val="1419"/>
        </w:numPr>
        <w:tabs>
          <w:tab w:val="left" w:pos="493"/>
          <w:tab w:val="left" w:pos="494"/>
        </w:tabs>
        <w:spacing w:before="87" w:line="249" w:lineRule="auto"/>
        <w:ind w:right="252"/>
        <w:rPr>
          <w:sz w:val="20"/>
        </w:rPr>
      </w:pPr>
      <w:r>
        <w:rPr>
          <w:color w:val="231F20"/>
          <w:sz w:val="20"/>
        </w:rPr>
        <w:t>supporting waterbirds in the lower Latrobe wetlands, which are valued by birdwatchers and duck hunters. Duck- hunting seasons may be considered in the timing of wetland</w:t>
      </w:r>
      <w:r>
        <w:rPr>
          <w:color w:val="231F20"/>
          <w:spacing w:val="-7"/>
          <w:sz w:val="20"/>
        </w:rPr>
        <w:t xml:space="preserve"> </w:t>
      </w:r>
      <w:r>
        <w:rPr>
          <w:color w:val="231F20"/>
          <w:sz w:val="20"/>
        </w:rPr>
        <w:t>filling</w:t>
      </w:r>
    </w:p>
    <w:p w:rsidR="006A7A3F" w:rsidRDefault="00BC7372" w:rsidP="009B6917">
      <w:pPr>
        <w:pStyle w:val="ListParagraph"/>
        <w:numPr>
          <w:ilvl w:val="0"/>
          <w:numId w:val="1419"/>
        </w:numPr>
        <w:tabs>
          <w:tab w:val="left" w:pos="493"/>
          <w:tab w:val="left" w:pos="494"/>
        </w:tabs>
        <w:spacing w:before="87" w:line="249" w:lineRule="auto"/>
        <w:ind w:right="379"/>
        <w:rPr>
          <w:sz w:val="20"/>
        </w:rPr>
      </w:pPr>
      <w:r>
        <w:rPr>
          <w:color w:val="231F20"/>
          <w:sz w:val="20"/>
        </w:rPr>
        <w:t>delivering</w:t>
      </w:r>
      <w:r>
        <w:rPr>
          <w:color w:val="231F20"/>
          <w:spacing w:val="-4"/>
          <w:sz w:val="20"/>
        </w:rPr>
        <w:t xml:space="preserve"> </w:t>
      </w:r>
      <w:r>
        <w:rPr>
          <w:color w:val="231F20"/>
          <w:sz w:val="20"/>
        </w:rPr>
        <w:t>flows</w:t>
      </w:r>
      <w:r>
        <w:rPr>
          <w:color w:val="231F20"/>
          <w:spacing w:val="-2"/>
          <w:sz w:val="20"/>
        </w:rPr>
        <w:t xml:space="preserve"> </w:t>
      </w:r>
      <w:r>
        <w:rPr>
          <w:color w:val="231F20"/>
          <w:sz w:val="20"/>
        </w:rPr>
        <w:t>in</w:t>
      </w:r>
      <w:r>
        <w:rPr>
          <w:color w:val="231F20"/>
          <w:spacing w:val="-3"/>
          <w:sz w:val="20"/>
        </w:rPr>
        <w:t xml:space="preserve"> </w:t>
      </w:r>
      <w:r>
        <w:rPr>
          <w:color w:val="231F20"/>
          <w:sz w:val="20"/>
        </w:rPr>
        <w:t>the</w:t>
      </w:r>
      <w:r>
        <w:rPr>
          <w:color w:val="231F20"/>
          <w:spacing w:val="-6"/>
          <w:sz w:val="20"/>
        </w:rPr>
        <w:t xml:space="preserve"> </w:t>
      </w:r>
      <w:r>
        <w:rPr>
          <w:color w:val="231F20"/>
          <w:sz w:val="20"/>
        </w:rPr>
        <w:t>Thomson</w:t>
      </w:r>
      <w:r>
        <w:rPr>
          <w:color w:val="231F20"/>
          <w:spacing w:val="-2"/>
          <w:sz w:val="20"/>
        </w:rPr>
        <w:t xml:space="preserve"> </w:t>
      </w:r>
      <w:r>
        <w:rPr>
          <w:color w:val="231F20"/>
          <w:sz w:val="20"/>
        </w:rPr>
        <w:t>River</w:t>
      </w:r>
      <w:r>
        <w:rPr>
          <w:color w:val="231F20"/>
          <w:spacing w:val="-3"/>
          <w:sz w:val="20"/>
        </w:rPr>
        <w:t xml:space="preserve"> </w:t>
      </w:r>
      <w:r>
        <w:rPr>
          <w:color w:val="231F20"/>
          <w:sz w:val="20"/>
        </w:rPr>
        <w:t>that</w:t>
      </w:r>
      <w:r>
        <w:rPr>
          <w:color w:val="231F20"/>
          <w:spacing w:val="-2"/>
          <w:sz w:val="20"/>
        </w:rPr>
        <w:t xml:space="preserve"> </w:t>
      </w:r>
      <w:r>
        <w:rPr>
          <w:color w:val="231F20"/>
          <w:sz w:val="20"/>
        </w:rPr>
        <w:t>refresh</w:t>
      </w:r>
      <w:r>
        <w:rPr>
          <w:color w:val="231F20"/>
          <w:spacing w:val="-2"/>
          <w:sz w:val="20"/>
        </w:rPr>
        <w:t xml:space="preserve"> </w:t>
      </w:r>
      <w:r>
        <w:rPr>
          <w:color w:val="231F20"/>
          <w:sz w:val="20"/>
        </w:rPr>
        <w:t>waterholes</w:t>
      </w:r>
      <w:r>
        <w:rPr>
          <w:color w:val="231F20"/>
          <w:spacing w:val="-3"/>
          <w:sz w:val="20"/>
        </w:rPr>
        <w:t xml:space="preserve"> </w:t>
      </w:r>
      <w:r>
        <w:rPr>
          <w:color w:val="231F20"/>
          <w:sz w:val="20"/>
        </w:rPr>
        <w:t>and</w:t>
      </w:r>
      <w:r>
        <w:rPr>
          <w:color w:val="231F20"/>
          <w:spacing w:val="-3"/>
          <w:sz w:val="20"/>
        </w:rPr>
        <w:t xml:space="preserve"> </w:t>
      </w:r>
      <w:r>
        <w:rPr>
          <w:color w:val="231F20"/>
          <w:sz w:val="20"/>
        </w:rPr>
        <w:t>improve</w:t>
      </w:r>
      <w:r>
        <w:rPr>
          <w:color w:val="231F20"/>
          <w:spacing w:val="-4"/>
          <w:sz w:val="20"/>
        </w:rPr>
        <w:t xml:space="preserve"> </w:t>
      </w:r>
      <w:r>
        <w:rPr>
          <w:color w:val="231F20"/>
          <w:sz w:val="20"/>
        </w:rPr>
        <w:t>summer</w:t>
      </w:r>
      <w:r>
        <w:rPr>
          <w:color w:val="231F20"/>
          <w:spacing w:val="-2"/>
          <w:sz w:val="20"/>
        </w:rPr>
        <w:t xml:space="preserve"> </w:t>
      </w:r>
      <w:r>
        <w:rPr>
          <w:color w:val="231F20"/>
          <w:sz w:val="20"/>
        </w:rPr>
        <w:t>swimming</w:t>
      </w:r>
      <w:r>
        <w:rPr>
          <w:color w:val="231F20"/>
          <w:spacing w:val="-2"/>
          <w:sz w:val="20"/>
        </w:rPr>
        <w:t xml:space="preserve"> </w:t>
      </w:r>
      <w:r>
        <w:rPr>
          <w:color w:val="231F20"/>
          <w:sz w:val="20"/>
        </w:rPr>
        <w:t>conditions.</w:t>
      </w:r>
      <w:r>
        <w:rPr>
          <w:color w:val="231F20"/>
          <w:spacing w:val="-5"/>
          <w:sz w:val="20"/>
        </w:rPr>
        <w:t xml:space="preserve"> </w:t>
      </w:r>
      <w:r>
        <w:rPr>
          <w:color w:val="231F20"/>
          <w:sz w:val="20"/>
        </w:rPr>
        <w:t>This is particularly important in the upper reaches of the river, where camping, hiking and swimming are popular recreational</w:t>
      </w:r>
      <w:r>
        <w:rPr>
          <w:color w:val="231F20"/>
          <w:spacing w:val="-1"/>
          <w:sz w:val="20"/>
        </w:rPr>
        <w:t xml:space="preserve"> </w:t>
      </w:r>
      <w:r>
        <w:rPr>
          <w:color w:val="231F20"/>
          <w:sz w:val="20"/>
        </w:rPr>
        <w:t>activities</w:t>
      </w:r>
    </w:p>
    <w:p w:rsidR="006A7A3F" w:rsidRDefault="00BC7372" w:rsidP="009B6917">
      <w:pPr>
        <w:pStyle w:val="ListParagraph"/>
        <w:numPr>
          <w:ilvl w:val="0"/>
          <w:numId w:val="1419"/>
        </w:numPr>
        <w:tabs>
          <w:tab w:val="left" w:pos="493"/>
          <w:tab w:val="left" w:pos="494"/>
        </w:tabs>
        <w:spacing w:before="87" w:line="249" w:lineRule="auto"/>
        <w:ind w:right="240"/>
        <w:rPr>
          <w:sz w:val="20"/>
        </w:rPr>
      </w:pPr>
      <w:r>
        <w:rPr>
          <w:color w:val="231F20"/>
          <w:sz w:val="20"/>
        </w:rPr>
        <w:t>complementing community efforts to rehabilitate the Heyfield wetlands. An environmental watering trial in the western portion of the wetlands will assist the growth of native, semi-aquatic vegetation planted by students and other volunteers, support community educational programs, provide amenity adjacent to public walking tracks and provide opportunities to engage with</w:t>
      </w:r>
      <w:r>
        <w:rPr>
          <w:color w:val="231F20"/>
          <w:spacing w:val="-7"/>
          <w:sz w:val="20"/>
        </w:rPr>
        <w:t xml:space="preserve"> </w:t>
      </w:r>
      <w:r>
        <w:rPr>
          <w:color w:val="231F20"/>
          <w:sz w:val="20"/>
        </w:rPr>
        <w:t>nature</w:t>
      </w:r>
    </w:p>
    <w:p w:rsidR="006A7A3F" w:rsidRDefault="00BC7372" w:rsidP="009B6917">
      <w:pPr>
        <w:pStyle w:val="ListParagraph"/>
        <w:numPr>
          <w:ilvl w:val="0"/>
          <w:numId w:val="1419"/>
        </w:numPr>
        <w:tabs>
          <w:tab w:val="left" w:pos="493"/>
          <w:tab w:val="left" w:pos="494"/>
        </w:tabs>
        <w:spacing w:before="88" w:line="249" w:lineRule="auto"/>
        <w:ind w:right="817"/>
        <w:rPr>
          <w:sz w:val="20"/>
        </w:rPr>
      </w:pPr>
      <w:r>
        <w:rPr>
          <w:color w:val="231F20"/>
          <w:sz w:val="20"/>
        </w:rPr>
        <w:t>increasing opportunities for canoers and kayakers to take advantage of high flows and white water on the Thomson and Snowy</w:t>
      </w:r>
      <w:r>
        <w:rPr>
          <w:color w:val="231F20"/>
          <w:spacing w:val="-2"/>
          <w:sz w:val="20"/>
        </w:rPr>
        <w:t xml:space="preserve"> </w:t>
      </w:r>
      <w:r>
        <w:rPr>
          <w:color w:val="231F20"/>
          <w:sz w:val="20"/>
        </w:rPr>
        <w:t>rivers.</w:t>
      </w:r>
    </w:p>
    <w:p w:rsidR="006A7A3F" w:rsidRDefault="00BC7372">
      <w:pPr>
        <w:pStyle w:val="BodyText"/>
        <w:spacing w:line="249" w:lineRule="auto"/>
        <w:ind w:right="466"/>
        <w:jc w:val="both"/>
      </w:pPr>
      <w:r>
        <w:rPr>
          <w:color w:val="231F20"/>
        </w:rPr>
        <w:t>Summaries of the social, recreational and economic values considered are provided for each system. Where the timing or management of planned environmental flows may be modified to align with a community benefit, this is identified alongside the potential watering actions.</w:t>
      </w:r>
    </w:p>
    <w:p w:rsidR="006A7A3F" w:rsidRDefault="00BC7372">
      <w:pPr>
        <w:spacing w:before="182"/>
        <w:ind w:left="210"/>
        <w:jc w:val="both"/>
        <w:rPr>
          <w:rFonts w:ascii="Helvetica Neue LT Std 75"/>
          <w:b/>
          <w:sz w:val="19"/>
        </w:rPr>
      </w:pPr>
      <w:r>
        <w:rPr>
          <w:rFonts w:ascii="Helvetica Neue LT Std 75"/>
          <w:b/>
          <w:color w:val="231F20"/>
          <w:sz w:val="19"/>
        </w:rPr>
        <w:t>Integrated catchment management</w:t>
      </w:r>
    </w:p>
    <w:p w:rsidR="006A7A3F" w:rsidRDefault="00BC7372">
      <w:pPr>
        <w:pStyle w:val="BodyText"/>
        <w:spacing w:before="67" w:line="249" w:lineRule="auto"/>
        <w:ind w:right="230"/>
      </w:pPr>
      <w:r>
        <w:rPr>
          <w:color w:val="231F20"/>
        </w:rPr>
        <w:t>Altered water regimes are one of many threats to the health of Victoria’s waterways. To be effective, environmental flows need to be part of an integrated approach to catchment management. Many of the environmental objectives from water for the environment in the Gippsland region will not be fully met without simultaneously addressing issues such as barriers to fish movement, high nutrient loads, invasive species and loss of stream bank vegetation.</w:t>
      </w:r>
    </w:p>
    <w:p w:rsidR="006A7A3F" w:rsidRDefault="00BC7372">
      <w:pPr>
        <w:pStyle w:val="BodyText"/>
        <w:spacing w:before="174" w:line="249" w:lineRule="auto"/>
        <w:ind w:right="563"/>
      </w:pPr>
      <w:r>
        <w:rPr>
          <w:color w:val="231F20"/>
        </w:rPr>
        <w:t>Victorian and Australian government agencies, Traditional Owner groups, community groups and private landholders collectively implement a wide range of programs that aim to protect and improve the environmental condition and function of land, soils and waterways throughout Victoria’s catchments.</w:t>
      </w:r>
    </w:p>
    <w:p w:rsidR="005E597C" w:rsidRDefault="005E597C">
      <w:pPr>
        <w:rPr>
          <w:color w:val="231F20"/>
          <w:sz w:val="20"/>
          <w:szCs w:val="20"/>
        </w:rPr>
      </w:pPr>
      <w:r>
        <w:rPr>
          <w:color w:val="231F20"/>
        </w:rPr>
        <w:br w:type="page"/>
      </w:r>
    </w:p>
    <w:p w:rsidR="006A7A3F" w:rsidRDefault="00BC7372">
      <w:pPr>
        <w:pStyle w:val="BodyText"/>
        <w:spacing w:line="249" w:lineRule="auto"/>
        <w:ind w:right="230"/>
      </w:pPr>
      <w:r>
        <w:rPr>
          <w:color w:val="231F20"/>
        </w:rPr>
        <w:t>Examples of complementary programs that are likely to support environmental watering outcomes in the Gippsland region include:</w:t>
      </w:r>
    </w:p>
    <w:p w:rsidR="006A7A3F" w:rsidRDefault="00BC7372" w:rsidP="009B6917">
      <w:pPr>
        <w:pStyle w:val="ListParagraph"/>
        <w:numPr>
          <w:ilvl w:val="0"/>
          <w:numId w:val="1419"/>
        </w:numPr>
        <w:tabs>
          <w:tab w:val="left" w:pos="493"/>
          <w:tab w:val="left" w:pos="494"/>
        </w:tabs>
        <w:spacing w:before="172" w:line="249" w:lineRule="auto"/>
        <w:ind w:right="443"/>
        <w:rPr>
          <w:sz w:val="20"/>
        </w:rPr>
      </w:pPr>
      <w:r>
        <w:rPr>
          <w:color w:val="231F20"/>
          <w:sz w:val="20"/>
        </w:rPr>
        <w:t>works</w:t>
      </w:r>
      <w:r>
        <w:rPr>
          <w:color w:val="231F20"/>
          <w:spacing w:val="-4"/>
          <w:sz w:val="20"/>
        </w:rPr>
        <w:t xml:space="preserve"> </w:t>
      </w:r>
      <w:r>
        <w:rPr>
          <w:color w:val="231F20"/>
          <w:sz w:val="20"/>
        </w:rPr>
        <w:t>by</w:t>
      </w:r>
      <w:r>
        <w:rPr>
          <w:color w:val="231F20"/>
          <w:spacing w:val="-3"/>
          <w:sz w:val="20"/>
        </w:rPr>
        <w:t xml:space="preserve"> </w:t>
      </w:r>
      <w:r>
        <w:rPr>
          <w:color w:val="231F20"/>
          <w:sz w:val="20"/>
        </w:rPr>
        <w:t>West</w:t>
      </w:r>
      <w:r>
        <w:rPr>
          <w:color w:val="231F20"/>
          <w:spacing w:val="-4"/>
          <w:sz w:val="20"/>
        </w:rPr>
        <w:t xml:space="preserve"> </w:t>
      </w:r>
      <w:r>
        <w:rPr>
          <w:color w:val="231F20"/>
          <w:sz w:val="20"/>
        </w:rPr>
        <w:t>Gippsland</w:t>
      </w:r>
      <w:r>
        <w:rPr>
          <w:color w:val="231F20"/>
          <w:spacing w:val="-3"/>
          <w:sz w:val="20"/>
        </w:rPr>
        <w:t xml:space="preserve"> </w:t>
      </w:r>
      <w:r>
        <w:rPr>
          <w:color w:val="231F20"/>
          <w:sz w:val="20"/>
        </w:rPr>
        <w:t>CMA</w:t>
      </w:r>
      <w:r>
        <w:rPr>
          <w:color w:val="231F20"/>
          <w:spacing w:val="-13"/>
          <w:sz w:val="20"/>
        </w:rPr>
        <w:t xml:space="preserve"> </w:t>
      </w:r>
      <w:r>
        <w:rPr>
          <w:color w:val="231F20"/>
          <w:sz w:val="20"/>
        </w:rPr>
        <w:t>to</w:t>
      </w:r>
      <w:r>
        <w:rPr>
          <w:color w:val="231F20"/>
          <w:spacing w:val="-2"/>
          <w:sz w:val="20"/>
        </w:rPr>
        <w:t xml:space="preserve"> </w:t>
      </w:r>
      <w:r>
        <w:rPr>
          <w:color w:val="231F20"/>
          <w:sz w:val="20"/>
        </w:rPr>
        <w:t>protect</w:t>
      </w:r>
      <w:r>
        <w:rPr>
          <w:color w:val="231F20"/>
          <w:spacing w:val="-4"/>
          <w:sz w:val="20"/>
        </w:rPr>
        <w:t xml:space="preserve"> </w:t>
      </w:r>
      <w:r>
        <w:rPr>
          <w:color w:val="231F20"/>
          <w:sz w:val="20"/>
        </w:rPr>
        <w:t>and</w:t>
      </w:r>
      <w:r>
        <w:rPr>
          <w:color w:val="231F20"/>
          <w:spacing w:val="-3"/>
          <w:sz w:val="20"/>
        </w:rPr>
        <w:t xml:space="preserve"> </w:t>
      </w:r>
      <w:r>
        <w:rPr>
          <w:color w:val="231F20"/>
          <w:sz w:val="20"/>
        </w:rPr>
        <w:t>enhance</w:t>
      </w:r>
      <w:r>
        <w:rPr>
          <w:color w:val="231F20"/>
          <w:spacing w:val="-4"/>
          <w:sz w:val="20"/>
        </w:rPr>
        <w:t xml:space="preserve"> </w:t>
      </w:r>
      <w:r>
        <w:rPr>
          <w:color w:val="231F20"/>
          <w:sz w:val="20"/>
        </w:rPr>
        <w:t>stream</w:t>
      </w:r>
      <w:r>
        <w:rPr>
          <w:color w:val="231F20"/>
          <w:spacing w:val="-2"/>
          <w:sz w:val="20"/>
        </w:rPr>
        <w:t xml:space="preserve"> </w:t>
      </w:r>
      <w:r>
        <w:rPr>
          <w:color w:val="231F20"/>
          <w:sz w:val="20"/>
        </w:rPr>
        <w:t>banks</w:t>
      </w:r>
      <w:r>
        <w:rPr>
          <w:color w:val="231F20"/>
          <w:spacing w:val="-4"/>
          <w:sz w:val="20"/>
        </w:rPr>
        <w:t xml:space="preserve"> </w:t>
      </w:r>
      <w:r>
        <w:rPr>
          <w:color w:val="231F20"/>
          <w:sz w:val="20"/>
        </w:rPr>
        <w:t>along</w:t>
      </w:r>
      <w:r>
        <w:rPr>
          <w:color w:val="231F20"/>
          <w:spacing w:val="-3"/>
          <w:sz w:val="20"/>
        </w:rPr>
        <w:t xml:space="preserve"> </w:t>
      </w:r>
      <w:r>
        <w:rPr>
          <w:color w:val="231F20"/>
          <w:sz w:val="20"/>
        </w:rPr>
        <w:t>priority</w:t>
      </w:r>
      <w:r>
        <w:rPr>
          <w:color w:val="231F20"/>
          <w:spacing w:val="-4"/>
          <w:sz w:val="20"/>
        </w:rPr>
        <w:t xml:space="preserve"> </w:t>
      </w:r>
      <w:r>
        <w:rPr>
          <w:color w:val="231F20"/>
          <w:sz w:val="20"/>
        </w:rPr>
        <w:t>reaches</w:t>
      </w:r>
      <w:r>
        <w:rPr>
          <w:color w:val="231F20"/>
          <w:spacing w:val="-2"/>
          <w:sz w:val="20"/>
        </w:rPr>
        <w:t xml:space="preserve"> </w:t>
      </w:r>
      <w:r>
        <w:rPr>
          <w:color w:val="231F20"/>
          <w:sz w:val="20"/>
        </w:rPr>
        <w:t>of</w:t>
      </w:r>
      <w:r>
        <w:rPr>
          <w:color w:val="231F20"/>
          <w:spacing w:val="-4"/>
          <w:sz w:val="20"/>
        </w:rPr>
        <w:t xml:space="preserve"> </w:t>
      </w:r>
      <w:r>
        <w:rPr>
          <w:color w:val="231F20"/>
          <w:sz w:val="20"/>
        </w:rPr>
        <w:t>rivers</w:t>
      </w:r>
      <w:r>
        <w:rPr>
          <w:color w:val="231F20"/>
          <w:spacing w:val="-2"/>
          <w:sz w:val="20"/>
        </w:rPr>
        <w:t xml:space="preserve"> </w:t>
      </w:r>
      <w:r>
        <w:rPr>
          <w:color w:val="231F20"/>
          <w:sz w:val="20"/>
        </w:rPr>
        <w:t>and</w:t>
      </w:r>
      <w:r>
        <w:rPr>
          <w:color w:val="231F20"/>
          <w:spacing w:val="-4"/>
          <w:sz w:val="20"/>
        </w:rPr>
        <w:t xml:space="preserve"> </w:t>
      </w:r>
      <w:r>
        <w:rPr>
          <w:color w:val="231F20"/>
          <w:sz w:val="20"/>
        </w:rPr>
        <w:t>their tributaries including fencing to exclude stock, revegetation of riverbanks, willow removal and erosion</w:t>
      </w:r>
      <w:r>
        <w:rPr>
          <w:color w:val="231F20"/>
          <w:spacing w:val="-28"/>
          <w:sz w:val="20"/>
        </w:rPr>
        <w:t xml:space="preserve"> </w:t>
      </w:r>
      <w:r>
        <w:rPr>
          <w:color w:val="231F20"/>
          <w:sz w:val="20"/>
        </w:rPr>
        <w:t>control</w:t>
      </w:r>
    </w:p>
    <w:p w:rsidR="006A7A3F" w:rsidRDefault="00BC7372" w:rsidP="009B6917">
      <w:pPr>
        <w:pStyle w:val="ListParagraph"/>
        <w:numPr>
          <w:ilvl w:val="0"/>
          <w:numId w:val="1419"/>
        </w:numPr>
        <w:tabs>
          <w:tab w:val="left" w:pos="493"/>
          <w:tab w:val="left" w:pos="494"/>
        </w:tabs>
        <w:spacing w:before="87" w:line="249" w:lineRule="auto"/>
        <w:ind w:right="697"/>
        <w:rPr>
          <w:sz w:val="20"/>
        </w:rPr>
      </w:pPr>
      <w:r>
        <w:rPr>
          <w:color w:val="231F20"/>
          <w:sz w:val="20"/>
        </w:rPr>
        <w:t xml:space="preserve">West Gippsland </w:t>
      </w:r>
      <w:r>
        <w:rPr>
          <w:color w:val="231F20"/>
          <w:spacing w:val="-5"/>
          <w:sz w:val="20"/>
        </w:rPr>
        <w:t xml:space="preserve">CMA’s </w:t>
      </w:r>
      <w:r>
        <w:rPr>
          <w:color w:val="231F20"/>
          <w:sz w:val="20"/>
        </w:rPr>
        <w:t>work with farmers along the Thomson and Macalister rivers on grazing and soil management, and on nutrient and water-use-efficiency projects that help to improve water quality and river health</w:t>
      </w:r>
    </w:p>
    <w:p w:rsidR="006A7A3F" w:rsidRDefault="00BC7372" w:rsidP="009B6917">
      <w:pPr>
        <w:pStyle w:val="ListParagraph"/>
        <w:numPr>
          <w:ilvl w:val="0"/>
          <w:numId w:val="1419"/>
        </w:numPr>
        <w:tabs>
          <w:tab w:val="left" w:pos="493"/>
          <w:tab w:val="left" w:pos="494"/>
        </w:tabs>
        <w:spacing w:before="87" w:line="249" w:lineRule="auto"/>
        <w:ind w:right="287"/>
        <w:rPr>
          <w:sz w:val="20"/>
        </w:rPr>
      </w:pPr>
      <w:r>
        <w:rPr>
          <w:color w:val="231F20"/>
          <w:sz w:val="20"/>
        </w:rPr>
        <w:t>construction of a fishway on the Thomson River by West Gippsland CMA to improve fish passage near the heritage-listed</w:t>
      </w:r>
      <w:r>
        <w:rPr>
          <w:color w:val="231F20"/>
          <w:spacing w:val="-6"/>
          <w:sz w:val="20"/>
        </w:rPr>
        <w:t xml:space="preserve"> </w:t>
      </w:r>
      <w:r>
        <w:rPr>
          <w:color w:val="231F20"/>
          <w:sz w:val="20"/>
        </w:rPr>
        <w:t>Horseshoe</w:t>
      </w:r>
      <w:r>
        <w:rPr>
          <w:color w:val="231F20"/>
          <w:spacing w:val="-5"/>
          <w:sz w:val="20"/>
        </w:rPr>
        <w:t xml:space="preserve"> </w:t>
      </w:r>
      <w:r>
        <w:rPr>
          <w:color w:val="231F20"/>
          <w:sz w:val="20"/>
        </w:rPr>
        <w:t>Bend</w:t>
      </w:r>
      <w:r>
        <w:rPr>
          <w:color w:val="231F20"/>
          <w:spacing w:val="-8"/>
          <w:sz w:val="20"/>
        </w:rPr>
        <w:t xml:space="preserve"> </w:t>
      </w:r>
      <w:r>
        <w:rPr>
          <w:color w:val="231F20"/>
          <w:sz w:val="20"/>
        </w:rPr>
        <w:t>Tunnel,</w:t>
      </w:r>
      <w:r>
        <w:rPr>
          <w:color w:val="231F20"/>
          <w:spacing w:val="-5"/>
          <w:sz w:val="20"/>
        </w:rPr>
        <w:t xml:space="preserve"> </w:t>
      </w:r>
      <w:r>
        <w:rPr>
          <w:color w:val="231F20"/>
          <w:sz w:val="20"/>
        </w:rPr>
        <w:t>completed</w:t>
      </w:r>
      <w:r>
        <w:rPr>
          <w:color w:val="231F20"/>
          <w:spacing w:val="-4"/>
          <w:sz w:val="20"/>
        </w:rPr>
        <w:t xml:space="preserve"> </w:t>
      </w:r>
      <w:r>
        <w:rPr>
          <w:color w:val="231F20"/>
          <w:sz w:val="20"/>
        </w:rPr>
        <w:t>in</w:t>
      </w:r>
      <w:r>
        <w:rPr>
          <w:color w:val="231F20"/>
          <w:spacing w:val="-14"/>
          <w:sz w:val="20"/>
        </w:rPr>
        <w:t xml:space="preserve"> </w:t>
      </w:r>
      <w:r>
        <w:rPr>
          <w:color w:val="231F20"/>
          <w:sz w:val="20"/>
        </w:rPr>
        <w:t>August</w:t>
      </w:r>
      <w:r>
        <w:rPr>
          <w:color w:val="231F20"/>
          <w:spacing w:val="-4"/>
          <w:sz w:val="20"/>
        </w:rPr>
        <w:t xml:space="preserve"> </w:t>
      </w:r>
      <w:r>
        <w:rPr>
          <w:color w:val="231F20"/>
          <w:sz w:val="20"/>
        </w:rPr>
        <w:t>2019.</w:t>
      </w:r>
      <w:r>
        <w:rPr>
          <w:color w:val="231F20"/>
          <w:spacing w:val="-8"/>
          <w:sz w:val="20"/>
        </w:rPr>
        <w:t xml:space="preserve"> </w:t>
      </w:r>
      <w:r>
        <w:rPr>
          <w:color w:val="231F20"/>
          <w:sz w:val="20"/>
        </w:rPr>
        <w:t>The</w:t>
      </w:r>
      <w:r>
        <w:rPr>
          <w:color w:val="231F20"/>
          <w:spacing w:val="-4"/>
          <w:sz w:val="20"/>
        </w:rPr>
        <w:t xml:space="preserve"> </w:t>
      </w:r>
      <w:r>
        <w:rPr>
          <w:color w:val="231F20"/>
          <w:sz w:val="20"/>
        </w:rPr>
        <w:t>fishway</w:t>
      </w:r>
      <w:r>
        <w:rPr>
          <w:color w:val="231F20"/>
          <w:spacing w:val="-4"/>
          <w:sz w:val="20"/>
        </w:rPr>
        <w:t xml:space="preserve"> </w:t>
      </w:r>
      <w:r>
        <w:rPr>
          <w:color w:val="231F20"/>
          <w:sz w:val="20"/>
        </w:rPr>
        <w:t>now</w:t>
      </w:r>
      <w:r>
        <w:rPr>
          <w:color w:val="231F20"/>
          <w:spacing w:val="-6"/>
          <w:sz w:val="20"/>
        </w:rPr>
        <w:t xml:space="preserve"> </w:t>
      </w:r>
      <w:r>
        <w:rPr>
          <w:color w:val="231F20"/>
          <w:sz w:val="20"/>
        </w:rPr>
        <w:t>allows</w:t>
      </w:r>
      <w:r>
        <w:rPr>
          <w:color w:val="231F20"/>
          <w:spacing w:val="-14"/>
          <w:sz w:val="20"/>
        </w:rPr>
        <w:t xml:space="preserve"> </w:t>
      </w:r>
      <w:r>
        <w:rPr>
          <w:color w:val="231F20"/>
          <w:sz w:val="20"/>
        </w:rPr>
        <w:t>Australian</w:t>
      </w:r>
      <w:r>
        <w:rPr>
          <w:color w:val="231F20"/>
          <w:spacing w:val="-4"/>
          <w:sz w:val="20"/>
        </w:rPr>
        <w:t xml:space="preserve"> </w:t>
      </w:r>
      <w:r>
        <w:rPr>
          <w:color w:val="231F20"/>
          <w:sz w:val="20"/>
        </w:rPr>
        <w:t xml:space="preserve">grayling, which are specifically targeted with releases of water for the environment, and other migratory fish, to access over 200 km of river habitat from the upper reaches of the Aberfeldy River down to the Latrobe </w:t>
      </w:r>
      <w:r>
        <w:rPr>
          <w:color w:val="231F20"/>
          <w:spacing w:val="-3"/>
          <w:sz w:val="20"/>
        </w:rPr>
        <w:t xml:space="preserve">River. Tupong </w:t>
      </w:r>
      <w:r>
        <w:rPr>
          <w:color w:val="231F20"/>
          <w:sz w:val="20"/>
        </w:rPr>
        <w:t xml:space="preserve">have since been found above the Horseshoe Bend </w:t>
      </w:r>
      <w:r>
        <w:rPr>
          <w:color w:val="231F20"/>
          <w:spacing w:val="-2"/>
          <w:sz w:val="20"/>
        </w:rPr>
        <w:t xml:space="preserve">Tunnel </w:t>
      </w:r>
      <w:r>
        <w:rPr>
          <w:color w:val="231F20"/>
          <w:sz w:val="20"/>
        </w:rPr>
        <w:t>in surveys conducted by the Arthur Rylah</w:t>
      </w:r>
      <w:r>
        <w:rPr>
          <w:color w:val="231F20"/>
          <w:spacing w:val="-40"/>
          <w:sz w:val="20"/>
        </w:rPr>
        <w:t xml:space="preserve"> </w:t>
      </w:r>
      <w:r>
        <w:rPr>
          <w:color w:val="231F20"/>
          <w:sz w:val="20"/>
        </w:rPr>
        <w:t>Institute</w:t>
      </w:r>
    </w:p>
    <w:p w:rsidR="006A7A3F" w:rsidRDefault="00BC7372" w:rsidP="009B6917">
      <w:pPr>
        <w:pStyle w:val="ListParagraph"/>
        <w:numPr>
          <w:ilvl w:val="0"/>
          <w:numId w:val="1419"/>
        </w:numPr>
        <w:tabs>
          <w:tab w:val="left" w:pos="493"/>
          <w:tab w:val="left" w:pos="494"/>
        </w:tabs>
        <w:spacing w:before="89" w:line="249" w:lineRule="auto"/>
        <w:ind w:right="530"/>
        <w:rPr>
          <w:sz w:val="20"/>
        </w:rPr>
      </w:pPr>
      <w:r>
        <w:rPr>
          <w:color w:val="231F20"/>
          <w:sz w:val="20"/>
        </w:rPr>
        <w:t>a weed and willow control program by East Gippsland CMA in remote parts of the Snowy River catchment, which led to 200 km of the river now being willow-free: native vegetation is flourishing in areas where willows have been</w:t>
      </w:r>
      <w:r>
        <w:rPr>
          <w:color w:val="231F20"/>
          <w:spacing w:val="-3"/>
          <w:sz w:val="20"/>
        </w:rPr>
        <w:t xml:space="preserve"> </w:t>
      </w:r>
      <w:r>
        <w:rPr>
          <w:color w:val="231F20"/>
          <w:sz w:val="20"/>
        </w:rPr>
        <w:t>removed.</w:t>
      </w:r>
    </w:p>
    <w:p w:rsidR="006A7A3F" w:rsidRDefault="00BC7372">
      <w:pPr>
        <w:pStyle w:val="BodyText"/>
        <w:spacing w:before="173" w:line="249" w:lineRule="auto"/>
        <w:ind w:right="219"/>
      </w:pPr>
      <w:r>
        <w:rPr>
          <w:color w:val="231F20"/>
        </w:rPr>
        <w:t>For more information about integrated catchment management programs in the Gippsland region, refer to the West Gippsland and East Gippsland regional catchment strategies and regional waterway strategies.</w:t>
      </w:r>
    </w:p>
    <w:p w:rsidR="006A7A3F" w:rsidRDefault="00BC7372">
      <w:pPr>
        <w:spacing w:before="181"/>
        <w:ind w:left="210"/>
        <w:rPr>
          <w:rFonts w:ascii="Helvetica Neue LT Std 75"/>
          <w:b/>
          <w:sz w:val="19"/>
        </w:rPr>
      </w:pPr>
      <w:r>
        <w:rPr>
          <w:rFonts w:ascii="Helvetica Neue LT Std 75"/>
          <w:b/>
          <w:color w:val="231F20"/>
          <w:sz w:val="19"/>
        </w:rPr>
        <w:t>Risk management</w:t>
      </w:r>
    </w:p>
    <w:p w:rsidR="006A7A3F" w:rsidRDefault="00BC7372">
      <w:pPr>
        <w:pStyle w:val="BodyText"/>
        <w:spacing w:before="67" w:line="249" w:lineRule="auto"/>
        <w:ind w:right="312"/>
      </w:pPr>
      <w:r>
        <w:rPr>
          <w:color w:val="231F20"/>
          <w:spacing w:val="-3"/>
        </w:rPr>
        <w:t xml:space="preserve">During </w:t>
      </w:r>
      <w:r>
        <w:rPr>
          <w:color w:val="231F20"/>
        </w:rPr>
        <w:t xml:space="preserve">the </w:t>
      </w:r>
      <w:r>
        <w:rPr>
          <w:color w:val="231F20"/>
          <w:spacing w:val="-3"/>
        </w:rPr>
        <w:t xml:space="preserve">development </w:t>
      </w:r>
      <w:r>
        <w:rPr>
          <w:color w:val="231F20"/>
        </w:rPr>
        <w:t xml:space="preserve">of the seasonal </w:t>
      </w:r>
      <w:r>
        <w:rPr>
          <w:color w:val="231F20"/>
          <w:spacing w:val="-3"/>
        </w:rPr>
        <w:t xml:space="preserve">watering proposals </w:t>
      </w:r>
      <w:r>
        <w:rPr>
          <w:color w:val="231F20"/>
        </w:rPr>
        <w:t xml:space="preserve">for the </w:t>
      </w:r>
      <w:r>
        <w:rPr>
          <w:color w:val="231F20"/>
          <w:spacing w:val="-3"/>
        </w:rPr>
        <w:t xml:space="preserve">Latrobe, </w:t>
      </w:r>
      <w:r>
        <w:rPr>
          <w:color w:val="231F20"/>
        </w:rPr>
        <w:t xml:space="preserve">Thomson and Macalister systems, </w:t>
      </w:r>
      <w:r>
        <w:rPr>
          <w:color w:val="231F20"/>
          <w:spacing w:val="-3"/>
        </w:rPr>
        <w:t xml:space="preserve">environmental watering program partners assessed </w:t>
      </w:r>
      <w:r>
        <w:rPr>
          <w:color w:val="231F20"/>
        </w:rPr>
        <w:t xml:space="preserve">risks </w:t>
      </w:r>
      <w:r>
        <w:rPr>
          <w:color w:val="231F20"/>
          <w:spacing w:val="-3"/>
        </w:rPr>
        <w:t xml:space="preserve">associated with potential environmental watering actions  </w:t>
      </w:r>
      <w:r>
        <w:rPr>
          <w:color w:val="231F20"/>
        </w:rPr>
        <w:t>for</w:t>
      </w:r>
      <w:r>
        <w:rPr>
          <w:color w:val="231F20"/>
          <w:spacing w:val="-11"/>
        </w:rPr>
        <w:t xml:space="preserve"> </w:t>
      </w:r>
      <w:r>
        <w:rPr>
          <w:color w:val="231F20"/>
          <w:spacing w:val="-3"/>
        </w:rPr>
        <w:t>2020–21</w:t>
      </w:r>
      <w:r>
        <w:rPr>
          <w:color w:val="231F20"/>
          <w:spacing w:val="-10"/>
        </w:rPr>
        <w:t xml:space="preserve"> </w:t>
      </w:r>
      <w:r>
        <w:rPr>
          <w:color w:val="231F20"/>
        </w:rPr>
        <w:t>and</w:t>
      </w:r>
      <w:r>
        <w:rPr>
          <w:color w:val="231F20"/>
          <w:spacing w:val="-11"/>
        </w:rPr>
        <w:t xml:space="preserve"> </w:t>
      </w:r>
      <w:r>
        <w:rPr>
          <w:color w:val="231F20"/>
          <w:spacing w:val="-3"/>
        </w:rPr>
        <w:t>identified</w:t>
      </w:r>
      <w:r>
        <w:rPr>
          <w:color w:val="231F20"/>
          <w:spacing w:val="-11"/>
        </w:rPr>
        <w:t xml:space="preserve"> </w:t>
      </w:r>
      <w:r>
        <w:rPr>
          <w:color w:val="231F20"/>
          <w:spacing w:val="-3"/>
        </w:rPr>
        <w:t>appropriate</w:t>
      </w:r>
      <w:r>
        <w:rPr>
          <w:color w:val="231F20"/>
          <w:spacing w:val="-11"/>
        </w:rPr>
        <w:t xml:space="preserve"> </w:t>
      </w:r>
      <w:r>
        <w:rPr>
          <w:color w:val="231F20"/>
        </w:rPr>
        <w:t>mitigating</w:t>
      </w:r>
      <w:r>
        <w:rPr>
          <w:color w:val="231F20"/>
          <w:spacing w:val="-10"/>
        </w:rPr>
        <w:t xml:space="preserve"> </w:t>
      </w:r>
      <w:r>
        <w:rPr>
          <w:color w:val="231F20"/>
        </w:rPr>
        <w:t>strategies.</w:t>
      </w:r>
      <w:r>
        <w:rPr>
          <w:color w:val="231F20"/>
          <w:spacing w:val="-10"/>
        </w:rPr>
        <w:t xml:space="preserve"> </w:t>
      </w:r>
      <w:r>
        <w:rPr>
          <w:color w:val="231F20"/>
        </w:rPr>
        <w:t>Risks</w:t>
      </w:r>
      <w:r>
        <w:rPr>
          <w:color w:val="231F20"/>
          <w:spacing w:val="-10"/>
        </w:rPr>
        <w:t xml:space="preserve"> </w:t>
      </w:r>
      <w:r>
        <w:rPr>
          <w:color w:val="231F20"/>
        </w:rPr>
        <w:t>and</w:t>
      </w:r>
      <w:r>
        <w:rPr>
          <w:color w:val="231F20"/>
          <w:spacing w:val="-11"/>
        </w:rPr>
        <w:t xml:space="preserve"> </w:t>
      </w:r>
      <w:r>
        <w:rPr>
          <w:color w:val="231F20"/>
        </w:rPr>
        <w:t>mitigating</w:t>
      </w:r>
      <w:r>
        <w:rPr>
          <w:color w:val="231F20"/>
          <w:spacing w:val="-10"/>
        </w:rPr>
        <w:t xml:space="preserve"> </w:t>
      </w:r>
      <w:r>
        <w:rPr>
          <w:color w:val="231F20"/>
          <w:spacing w:val="-3"/>
        </w:rPr>
        <w:t>actions</w:t>
      </w:r>
      <w:r>
        <w:rPr>
          <w:color w:val="231F20"/>
          <w:spacing w:val="-11"/>
        </w:rPr>
        <w:t xml:space="preserve"> </w:t>
      </w:r>
      <w:r>
        <w:rPr>
          <w:color w:val="231F20"/>
        </w:rPr>
        <w:t>are</w:t>
      </w:r>
      <w:r>
        <w:rPr>
          <w:color w:val="231F20"/>
          <w:spacing w:val="-11"/>
        </w:rPr>
        <w:t xml:space="preserve"> </w:t>
      </w:r>
      <w:r>
        <w:rPr>
          <w:color w:val="231F20"/>
        </w:rPr>
        <w:t>continually</w:t>
      </w:r>
      <w:r>
        <w:rPr>
          <w:color w:val="231F20"/>
          <w:spacing w:val="-10"/>
        </w:rPr>
        <w:t xml:space="preserve"> </w:t>
      </w:r>
      <w:r>
        <w:rPr>
          <w:color w:val="231F20"/>
          <w:spacing w:val="-3"/>
        </w:rPr>
        <w:t>assessed</w:t>
      </w:r>
      <w:r>
        <w:rPr>
          <w:color w:val="231F20"/>
          <w:spacing w:val="-11"/>
        </w:rPr>
        <w:t xml:space="preserve"> </w:t>
      </w:r>
      <w:r>
        <w:rPr>
          <w:color w:val="231F20"/>
          <w:spacing w:val="-3"/>
        </w:rPr>
        <w:t xml:space="preserve">by program partners </w:t>
      </w:r>
      <w:r>
        <w:rPr>
          <w:color w:val="231F20"/>
        </w:rPr>
        <w:t>throughout the year (see subsection</w:t>
      </w:r>
      <w:r>
        <w:rPr>
          <w:color w:val="231F20"/>
          <w:spacing w:val="-28"/>
        </w:rPr>
        <w:t xml:space="preserve"> </w:t>
      </w:r>
      <w:r>
        <w:rPr>
          <w:color w:val="231F20"/>
          <w:spacing w:val="-3"/>
        </w:rPr>
        <w:t>1.3.6).</w:t>
      </w:r>
    </w:p>
    <w:p w:rsidR="006A7A3F" w:rsidRDefault="00BC7372">
      <w:pPr>
        <w:pStyle w:val="BodyText"/>
        <w:spacing w:before="174" w:line="249" w:lineRule="auto"/>
        <w:ind w:right="457"/>
      </w:pPr>
      <w:r>
        <w:rPr>
          <w:color w:val="231F20"/>
        </w:rPr>
        <w:t>In the Snowy system, when weather conditions increase the risk of flooding, the NSW Department of Planning, Industry and Environment works with the NSW State Emergency Service, the Bureau of Meteorology, East Gippsland CMA and the VEWH to inform the community about the management of planned releases. Releases may be cancelled or rescheduled to limit flood impacts on private land.</w:t>
      </w:r>
    </w:p>
    <w:p w:rsidR="005E597C" w:rsidRDefault="005E597C">
      <w:pPr>
        <w:rPr>
          <w:rFonts w:ascii="Helvetica Neue LT Std 75" w:hAnsi="Helvetica Neue LT Std 75"/>
          <w:b/>
          <w:bCs/>
          <w:color w:val="231F20"/>
          <w:sz w:val="28"/>
          <w:szCs w:val="28"/>
        </w:rPr>
      </w:pPr>
      <w:r>
        <w:rPr>
          <w:rFonts w:ascii="Helvetica Neue LT Std 75" w:hAnsi="Helvetica Neue LT Std 75"/>
          <w:color w:val="231F20"/>
        </w:rPr>
        <w:br w:type="page"/>
      </w:r>
    </w:p>
    <w:p w:rsidR="006A7A3F" w:rsidRDefault="00BC7372">
      <w:pPr>
        <w:pStyle w:val="Heading3"/>
        <w:spacing w:before="184"/>
        <w:rPr>
          <w:rFonts w:ascii="Helvetica Neue LT Std 75" w:hAnsi="Helvetica Neue LT Std 75"/>
        </w:rPr>
      </w:pPr>
      <w:r>
        <w:rPr>
          <w:rFonts w:ascii="Helvetica Neue LT Std 75" w:hAnsi="Helvetica Neue LT Std 75"/>
          <w:color w:val="231F20"/>
        </w:rPr>
        <w:t>Seasonal outlook 2020–21</w:t>
      </w:r>
    </w:p>
    <w:p w:rsidR="006A7A3F" w:rsidRDefault="00BC7372" w:rsidP="005E597C">
      <w:pPr>
        <w:pStyle w:val="BodyText"/>
        <w:spacing w:before="105"/>
      </w:pPr>
      <w:r>
        <w:rPr>
          <w:color w:val="231F20"/>
        </w:rPr>
        <w:t>Water for the environment for the Latrobe, Thomson and Macalister systems is held in Blue Rock Reservoir,</w:t>
      </w:r>
      <w:r w:rsidR="005E597C">
        <w:t xml:space="preserve"> </w:t>
      </w:r>
      <w:r>
        <w:rPr>
          <w:color w:val="231F20"/>
        </w:rPr>
        <w:t>Thomson Reservoir and Lake Glenmaggie respectively.</w:t>
      </w:r>
    </w:p>
    <w:p w:rsidR="006A7A3F" w:rsidRDefault="00BC7372">
      <w:pPr>
        <w:pStyle w:val="BodyText"/>
        <w:spacing w:before="124" w:line="249" w:lineRule="auto"/>
        <w:ind w:right="300"/>
      </w:pPr>
      <w:r>
        <w:rPr>
          <w:color w:val="231F20"/>
        </w:rPr>
        <w:t xml:space="preserve">Environmental entitlements in these systems have unique characteristics that influence planning for environmental flows. The Thomson system receives a share of the daily inflows to the Thomson Reservoir and a secure annual allocation which is available on 1 July each </w:t>
      </w:r>
      <w:r>
        <w:rPr>
          <w:color w:val="231F20"/>
          <w:spacing w:val="-3"/>
        </w:rPr>
        <w:t xml:space="preserve">year. </w:t>
      </w:r>
      <w:r>
        <w:rPr>
          <w:color w:val="231F20"/>
        </w:rPr>
        <w:t>In the Latrobe and Macalister systems, the availability of water for the environment depends on system inflows to Blue Rock Reservoir and Lake Glenmaggie respectively. Winter and spring are the peak inflow periods for all systems, so annual allocations are usually well-known before the start of summer. With several planned watering actions being met with natural flows in 2019–20 and the watering year ending with good inflows to storages, high carryover is likely in all systems and waterway managers will start 2020–21 with good water availability to deliver potential watering actions throughout the</w:t>
      </w:r>
      <w:r>
        <w:rPr>
          <w:color w:val="231F20"/>
          <w:spacing w:val="-26"/>
        </w:rPr>
        <w:t xml:space="preserve"> </w:t>
      </w:r>
      <w:r>
        <w:rPr>
          <w:color w:val="231F20"/>
        </w:rPr>
        <w:t>year.</w:t>
      </w:r>
    </w:p>
    <w:p w:rsidR="006A7A3F" w:rsidRDefault="00BC7372">
      <w:pPr>
        <w:pStyle w:val="BodyText"/>
        <w:spacing w:before="120" w:line="249" w:lineRule="auto"/>
        <w:ind w:right="196"/>
      </w:pPr>
      <w:r>
        <w:rPr>
          <w:color w:val="231F20"/>
        </w:rPr>
        <w:t>During December 2019 and January 2020, severe bushfires burnt vast areas of east Gippsland. Heavy rainfall in these areas may wash ash and sediment into waterways including the Snowy River, which could have adverse effects on water quality and environmental values. Flushing flows planned for the Snowy River in winter and spring 2020 may help to mitigate some water quality impacts. West Gippsland was largely untouched by the recent bushfires, and waterways in that area may be essential for sustaining and restoring regional populations of aquatic animals. Environmental flows delivered to the Latrobe, Thomson and Macalister systems in 2020–21 aim to grow local populations of native fish, platypus and waterbirds, and some of these animals may disperse and contribute to the recovery of populations in nearby fire-affected areas in future years.</w:t>
      </w:r>
    </w:p>
    <w:p w:rsidR="006A7A3F" w:rsidRDefault="00BC7372">
      <w:pPr>
        <w:pStyle w:val="BodyText"/>
        <w:spacing w:before="120" w:line="249" w:lineRule="auto"/>
        <w:ind w:right="100"/>
      </w:pPr>
      <w:r>
        <w:rPr>
          <w:color w:val="231F20"/>
        </w:rPr>
        <w:t>Most of the Gippsland region experienced below-average rainfall in 2017–18 and 2018–19, but climatic conditions varied considerably across the region in 2019–20. East Gippsland generally remained dry, although autumn rainfall was closer to the long-term average. West Gippsland had above-average rainfall in late winter 2019, near-average rainfall in spring 2019 and above-average rainfall in summer and autumn 2020. The higher rainfall and associated increase in natural streamflow in west Gippsland met many of the priority environmental watering actions for the Latrobe, Thomson and Macalister systems during 2019–20.</w:t>
      </w:r>
    </w:p>
    <w:p w:rsidR="006A7A3F" w:rsidRDefault="00BC7372" w:rsidP="001D375D">
      <w:pPr>
        <w:pStyle w:val="BodyText"/>
        <w:spacing w:before="118" w:line="249" w:lineRule="auto"/>
        <w:ind w:right="257"/>
      </w:pPr>
      <w:r>
        <w:rPr>
          <w:color w:val="231F20"/>
        </w:rPr>
        <w:t>The Bureau of Meteorology climate outlook indicates wet conditions may continue into 2020–21, with winter  rainfall predicted to be close to or slightly above the long-term average. Significant winter rain will deliver increased inflows to storages in west Gippsland that hold Victorian environmental water entitlements, and it may lead to high flow or overbank flows in some systems. Natural flows may meet many of the environmental flow</w:t>
      </w:r>
      <w:r>
        <w:rPr>
          <w:color w:val="231F20"/>
          <w:spacing w:val="-26"/>
        </w:rPr>
        <w:t xml:space="preserve"> </w:t>
      </w:r>
      <w:r>
        <w:rPr>
          <w:color w:val="231F20"/>
        </w:rPr>
        <w:t>requirements</w:t>
      </w:r>
      <w:r w:rsidR="001D375D">
        <w:rPr>
          <w:color w:val="231F20"/>
        </w:rPr>
        <w:t xml:space="preserve"> </w:t>
      </w:r>
      <w:r>
        <w:rPr>
          <w:color w:val="231F20"/>
        </w:rPr>
        <w:t>for the Latrobe, Thomson and Macalister systems early in 2020–21, and there may be opportunities to release environmental water — on top of natural freshes or as larger flows recede — to enhance environmental outcomes. For example, the duration of a fresh after a storage spill from Lake Glenmaggie could be extended to meet objectives for fringing vegetation and reduce the risk of bank slumping and flush the Latrobe River estuary to export excess salt from the upper water column. If conditions are drier through spring and summer 2020 and into autumn 2021, environmental water will be used to protect high-value environmental assets (such as by providing critical flows for threatened migratory fish, particularly with bushfire potentially affecting waterway habitat in east Gippsland), and set aside sufficient reserves to deliver early-season watering priorities in 2021–22.</w:t>
      </w:r>
    </w:p>
    <w:p w:rsidR="005E597C" w:rsidRDefault="005E597C">
      <w:pPr>
        <w:rPr>
          <w:color w:val="231F20"/>
          <w:sz w:val="20"/>
          <w:szCs w:val="20"/>
        </w:rPr>
      </w:pPr>
      <w:r>
        <w:rPr>
          <w:color w:val="231F20"/>
        </w:rPr>
        <w:br w:type="page"/>
      </w:r>
    </w:p>
    <w:p w:rsidR="006A7A3F" w:rsidRDefault="00BC7372">
      <w:pPr>
        <w:pStyle w:val="BodyText"/>
        <w:spacing w:before="120" w:line="249" w:lineRule="auto"/>
        <w:ind w:right="363"/>
      </w:pPr>
      <w:r>
        <w:rPr>
          <w:color w:val="231F20"/>
        </w:rPr>
        <w:t>Allocations across the west Gippsland systems are largely influenced by storage inflows during winter and spring, and so by late spring waterway managers can determine which potential watering actions they will likely be able to deliver for the rest of the 2020–21 water year. Where critical demands cannot be met by existing allocations, the VEWH and its program partners may investigate alternative supply options (such as transfers or trades). The VEWH also works with storage managers to identify opportunities to adjust the pattern of consumptive water deliveries to support environmental watering outcomes while still meeting the needs of consumptive water users.</w:t>
      </w:r>
    </w:p>
    <w:p w:rsidR="005E597C" w:rsidRDefault="00BC7372">
      <w:pPr>
        <w:pStyle w:val="BodyText"/>
        <w:spacing w:before="118" w:line="249" w:lineRule="auto"/>
        <w:ind w:right="238"/>
        <w:rPr>
          <w:color w:val="231F20"/>
        </w:rPr>
      </w:pPr>
      <w:r>
        <w:rPr>
          <w:color w:val="231F20"/>
        </w:rPr>
        <w:t>The NSW Department of Planning, Industry and Environment plans and manages environmental flows in the Snowy system in consultation with Victorian and Australian governments and relevant stakeholder groups. The water year for the Snowy system starts in May and finishes in April the following year, which differs from how water is managed in the other Gippsland systems. The total volume for release and daily release targets for the Snowy River from May 2020 to April 2021 were endorsed by the Snowy Advisory Committee in February 2020, and daily releases will not vary unless flows increase the risk of flooding downstream or operational constraints prevent delivery.</w:t>
      </w:r>
    </w:p>
    <w:p w:rsidR="005E597C" w:rsidRDefault="005E597C">
      <w:pPr>
        <w:rPr>
          <w:color w:val="231F20"/>
          <w:sz w:val="20"/>
          <w:szCs w:val="20"/>
        </w:rPr>
      </w:pPr>
      <w:r>
        <w:rPr>
          <w:color w:val="231F20"/>
        </w:rPr>
        <w:br w:type="page"/>
      </w:r>
    </w:p>
    <w:p w:rsidR="006A7A3F" w:rsidRDefault="00BC7372" w:rsidP="009B6917">
      <w:pPr>
        <w:pStyle w:val="Heading1"/>
        <w:numPr>
          <w:ilvl w:val="1"/>
          <w:numId w:val="1377"/>
        </w:numPr>
        <w:tabs>
          <w:tab w:val="left" w:pos="1028"/>
        </w:tabs>
        <w:spacing w:before="64"/>
        <w:ind w:hanging="818"/>
      </w:pPr>
      <w:r>
        <w:rPr>
          <w:color w:val="231F20"/>
        </w:rPr>
        <w:t>Latrobe</w:t>
      </w:r>
      <w:r>
        <w:rPr>
          <w:color w:val="231F20"/>
          <w:spacing w:val="-2"/>
        </w:rPr>
        <w:t xml:space="preserve"> </w:t>
      </w:r>
      <w:r>
        <w:rPr>
          <w:color w:val="231F20"/>
        </w:rPr>
        <w:t>system</w:t>
      </w:r>
    </w:p>
    <w:p w:rsidR="006A7A3F" w:rsidRDefault="00BC7372">
      <w:pPr>
        <w:spacing w:before="256"/>
        <w:ind w:left="210"/>
        <w:rPr>
          <w:rFonts w:ascii="Helvetica Neue LT Std 75"/>
          <w:b/>
          <w:sz w:val="19"/>
        </w:rPr>
      </w:pPr>
      <w:r>
        <w:rPr>
          <w:rFonts w:ascii="Helvetica Neue LT Std 75"/>
          <w:b/>
          <w:color w:val="231F20"/>
          <w:sz w:val="19"/>
        </w:rPr>
        <w:t>Did you know...?</w:t>
      </w:r>
    </w:p>
    <w:p w:rsidR="006A7A3F" w:rsidRDefault="00BC7372">
      <w:pPr>
        <w:pStyle w:val="BodyText"/>
        <w:spacing w:before="68"/>
      </w:pPr>
      <w:r>
        <w:rPr>
          <w:color w:val="231F20"/>
        </w:rPr>
        <w:t>The Latrobe River is known to the Gunaikurnai people as Durt-Yowan, which means ‘forefinger.’</w:t>
      </w:r>
    </w:p>
    <w:p w:rsidR="006A7A3F" w:rsidRDefault="00BC7372">
      <w:pPr>
        <w:pStyle w:val="BodyText"/>
        <w:spacing w:before="180" w:line="249" w:lineRule="auto"/>
        <w:ind w:right="185"/>
      </w:pPr>
      <w:r>
        <w:rPr>
          <w:color w:val="231F20"/>
        </w:rPr>
        <w:t>The volume attributed to the environment in the Latrobe system does not include water that is available to the lower Latrobe wetlands because there is no limitation on the volume of water that can be supplied to the wetlands from the Latrobe River.</w:t>
      </w:r>
    </w:p>
    <w:p w:rsidR="006A7A3F" w:rsidRDefault="00BC7372" w:rsidP="00175607">
      <w:pPr>
        <w:pStyle w:val="BodyText"/>
        <w:spacing w:before="240" w:after="120"/>
        <w:ind w:left="0"/>
        <w:rPr>
          <w:sz w:val="15"/>
        </w:rPr>
      </w:pPr>
      <w:r>
        <w:rPr>
          <w:noProof/>
        </w:rPr>
        <w:drawing>
          <wp:inline distT="0" distB="0" distL="0" distR="0">
            <wp:extent cx="2967149" cy="1423987"/>
            <wp:effectExtent l="0" t="0" r="5080" b="0"/>
            <wp:docPr id="35" name="image18.png" descr="Pie chart shows the proportion of water entitlements in the Latrobe basin held by private users (57%), water corporations (35%) and environmental water holders (8%)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7149" cy="1423987"/>
                    </a:xfrm>
                    <a:prstGeom prst="rect">
                      <a:avLst/>
                    </a:prstGeom>
                  </pic:spPr>
                </pic:pic>
              </a:graphicData>
            </a:graphic>
          </wp:inline>
        </w:drawing>
      </w:r>
    </w:p>
    <w:p w:rsidR="006A7A3F" w:rsidRDefault="006A7A3F">
      <w:pPr>
        <w:pStyle w:val="BodyText"/>
        <w:spacing w:before="8"/>
        <w:ind w:left="0"/>
        <w:rPr>
          <w:sz w:val="32"/>
        </w:rPr>
      </w:pPr>
    </w:p>
    <w:p w:rsidR="006A7A3F" w:rsidRDefault="00BC7372">
      <w:pPr>
        <w:pStyle w:val="Heading7"/>
        <w:spacing w:line="249" w:lineRule="auto"/>
        <w:ind w:right="1122"/>
      </w:pPr>
      <w:r>
        <w:rPr>
          <w:color w:val="231F20"/>
        </w:rPr>
        <w:t>Proportion of water entitlements in the Latrobe basin held by private users, water corporations or environmental water holders at 30 June 2019</w:t>
      </w:r>
    </w:p>
    <w:p w:rsidR="006A7A3F" w:rsidRDefault="006A7A3F">
      <w:pPr>
        <w:pStyle w:val="BodyText"/>
        <w:spacing w:before="8"/>
        <w:ind w:left="0"/>
        <w:rPr>
          <w:b/>
          <w:sz w:val="17"/>
        </w:rPr>
      </w:pPr>
    </w:p>
    <w:p w:rsidR="006A7A3F" w:rsidRDefault="00BC7372">
      <w:pPr>
        <w:spacing w:line="276" w:lineRule="auto"/>
        <w:ind w:left="210" w:right="890"/>
      </w:pPr>
      <w:r>
        <w:rPr>
          <w:color w:val="231F20"/>
        </w:rPr>
        <w:t>The Latrobe system includes the Latrobe River and lower Latrobe wetlands: Sale Common, Heart Morass and Dowd Morass.</w:t>
      </w:r>
    </w:p>
    <w:p w:rsidR="006A7A3F" w:rsidRDefault="006A7A3F">
      <w:pPr>
        <w:pStyle w:val="BodyText"/>
        <w:spacing w:before="10"/>
        <w:ind w:left="0"/>
        <w:rPr>
          <w:sz w:val="27"/>
        </w:rPr>
      </w:pPr>
    </w:p>
    <w:p w:rsidR="006A7A3F" w:rsidRDefault="00BC7372" w:rsidP="009B6917">
      <w:pPr>
        <w:pStyle w:val="ListParagraph"/>
        <w:numPr>
          <w:ilvl w:val="2"/>
          <w:numId w:val="1377"/>
        </w:numPr>
        <w:tabs>
          <w:tab w:val="left" w:pos="811"/>
        </w:tabs>
        <w:spacing w:before="0"/>
        <w:rPr>
          <w:rFonts w:ascii="HelveticaNeueLTStd-Md"/>
          <w:sz w:val="24"/>
        </w:rPr>
      </w:pPr>
      <w:r>
        <w:rPr>
          <w:rFonts w:ascii="HelveticaNeueLTStd-Md"/>
          <w:color w:val="231F20"/>
          <w:sz w:val="24"/>
        </w:rPr>
        <w:t>Latrobe</w:t>
      </w:r>
      <w:r>
        <w:rPr>
          <w:rFonts w:ascii="HelveticaNeueLTStd-Md"/>
          <w:color w:val="231F20"/>
          <w:spacing w:val="-1"/>
          <w:sz w:val="24"/>
        </w:rPr>
        <w:t xml:space="preserve"> </w:t>
      </w:r>
      <w:r>
        <w:rPr>
          <w:rFonts w:ascii="HelveticaNeueLTStd-Md"/>
          <w:color w:val="231F20"/>
          <w:sz w:val="24"/>
        </w:rPr>
        <w:t>River</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spacing w:before="99" w:line="276" w:lineRule="auto"/>
        <w:ind w:left="210" w:right="547"/>
      </w:pPr>
      <w:r>
        <w:rPr>
          <w:color w:val="231F20"/>
        </w:rPr>
        <w:t>The Latrobe River originates on the Baw Baw Plateau and passes through relatively flat to undulating plains cleared for agriculture, before flowing into Lake Wellington (the westernmost point of the Gippsland Lakes). Notable tributaries include the Tanjil River, Narracan Creek, Morwell River, Tyers River, Traralgon Creek and the Thomson River.</w:t>
      </w:r>
    </w:p>
    <w:p w:rsidR="006A7A3F" w:rsidRDefault="006A7A3F">
      <w:pPr>
        <w:pStyle w:val="BodyText"/>
        <w:spacing w:before="6"/>
        <w:ind w:left="0"/>
        <w:rPr>
          <w:sz w:val="21"/>
        </w:rPr>
      </w:pPr>
    </w:p>
    <w:p w:rsidR="006A7A3F" w:rsidRDefault="00BC7372">
      <w:pPr>
        <w:pStyle w:val="BodyText"/>
        <w:spacing w:before="1" w:line="249" w:lineRule="auto"/>
        <w:ind w:right="100"/>
      </w:pPr>
      <w:r>
        <w:rPr>
          <w:color w:val="231F20"/>
        </w:rPr>
        <w:t>Water for the environment is supplied to the Latrobe River from Blue Rock Reservoir on the Tanjil River. Blue Rock Reservoir also supplies water for electricity generators and a paper mill in the Latrobe Valley and urban supply.</w:t>
      </w:r>
    </w:p>
    <w:p w:rsidR="006A7A3F" w:rsidRDefault="00BC7372">
      <w:pPr>
        <w:pStyle w:val="BodyText"/>
        <w:spacing w:before="171" w:line="249" w:lineRule="auto"/>
        <w:ind w:right="1001"/>
        <w:jc w:val="both"/>
      </w:pPr>
      <w:r>
        <w:rPr>
          <w:color w:val="231F20"/>
        </w:rPr>
        <w:t>The Latrobe River from Rosedale to the Thomson River confluence (reach 5) is the priority reach for water for environmental watering because it contains endangered plant communities that have good potential for rehabilitation.</w:t>
      </w:r>
    </w:p>
    <w:p w:rsidR="00B670E3" w:rsidRDefault="00B670E3">
      <w:pPr>
        <w:rPr>
          <w:rFonts w:ascii="Helvetica Neue LT Std 75"/>
          <w:b/>
          <w:color w:val="231F20"/>
          <w:sz w:val="19"/>
        </w:rPr>
      </w:pPr>
      <w:r>
        <w:rPr>
          <w:rFonts w:ascii="Helvetica Neue LT Std 75"/>
          <w:b/>
          <w:color w:val="231F20"/>
          <w:sz w:val="19"/>
        </w:rPr>
        <w:br w:type="page"/>
      </w:r>
    </w:p>
    <w:p w:rsidR="006A7A3F" w:rsidRDefault="00BC7372">
      <w:pPr>
        <w:spacing w:before="182"/>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674"/>
      </w:pPr>
      <w:r>
        <w:rPr>
          <w:color w:val="231F20"/>
        </w:rPr>
        <w:t>The upper Latrobe River flows through state forest and is relatively intact and ecologically healthy. It contains continuous stands of river red gums and intact streamside vegetation, and it supports native animals including barred galaxias, river blackfish, Gippsland spiny crayfish and nankeen night herons.</w:t>
      </w:r>
    </w:p>
    <w:p w:rsidR="006A7A3F" w:rsidRDefault="00BC7372">
      <w:pPr>
        <w:pStyle w:val="BodyText"/>
        <w:spacing w:line="249" w:lineRule="auto"/>
        <w:ind w:right="240"/>
      </w:pPr>
      <w:r>
        <w:rPr>
          <w:color w:val="231F20"/>
        </w:rPr>
        <w:t>The Latrobe River below Lake Narracan is regulated and highly degraded due to historic river management practices. Most large woody habitat has been removed from the river and many sections have been artificially straightened. These practices have caused significant erosion and widened the channel, which has in turn reduced the quality and quantity of habitat for aquatic plants and animals.</w:t>
      </w:r>
    </w:p>
    <w:p w:rsidR="006A7A3F" w:rsidRDefault="00BC7372">
      <w:pPr>
        <w:pStyle w:val="BodyText"/>
        <w:spacing w:before="174" w:line="249" w:lineRule="auto"/>
        <w:ind w:right="296"/>
      </w:pPr>
      <w:r>
        <w:rPr>
          <w:color w:val="231F20"/>
        </w:rPr>
        <w:t>Endangered and vulnerable vegetation are found in all but the most modified sections of the Latrobe River. The banks along the lower reaches support stands of swamp scrub, characterised by swamp paperbark and tea tree. Mature river red gums grow adjacent to the lower Latrobe wetlands and provide nesting habitat for sea eagles and other birds of prey that hunt in the wetlands. The Latrobe River supports several native estuarine and freshwater fish including black bream, Australian bass, Australian grayling and short- and long-finned eel.</w:t>
      </w:r>
    </w:p>
    <w:p w:rsidR="006A7A3F" w:rsidRDefault="00BC7372">
      <w:pPr>
        <w:pStyle w:val="BodyText"/>
        <w:spacing w:before="174" w:line="249" w:lineRule="auto"/>
        <w:ind w:right="430"/>
      </w:pPr>
      <w:r>
        <w:rPr>
          <w:color w:val="231F20"/>
        </w:rPr>
        <w:t>The Latrobe River and its tributaries provide an essential source of freshwater to the Gippsland Lakes system, of which the lower Latrobe wetlands are an important component.</w:t>
      </w:r>
    </w:p>
    <w:p w:rsidR="006A7A3F" w:rsidRDefault="00BC7372">
      <w:pPr>
        <w:spacing w:before="180"/>
        <w:ind w:left="210"/>
        <w:rPr>
          <w:rFonts w:ascii="Helvetica Neue LT Std 75"/>
          <w:b/>
          <w:sz w:val="19"/>
        </w:rPr>
      </w:pPr>
      <w:r>
        <w:rPr>
          <w:rFonts w:ascii="Helvetica Neue LT Std 75"/>
          <w:b/>
          <w:color w:val="231F20"/>
          <w:sz w:val="19"/>
        </w:rPr>
        <w:t>Environmental watering objectives in the Latrobe River</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66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5"/>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8" cy="310896"/>
                  <wp:effectExtent l="0" t="0" r="0" b="0"/>
                  <wp:docPr id="3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31417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Pr>
                <w:sz w:val="16"/>
              </w:rPr>
            </w:pPr>
            <w:r>
              <w:rPr>
                <w:color w:val="231F20"/>
                <w:sz w:val="16"/>
              </w:rPr>
              <w:t>Maintain or increase native fish (migratory, resident and estuary) populations</w:t>
            </w:r>
          </w:p>
        </w:tc>
      </w:tr>
      <w:tr w:rsidR="006A7A3F">
        <w:trPr>
          <w:trHeight w:val="66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5"/>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39"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ind w:left="118"/>
              <w:rPr>
                <w:sz w:val="16"/>
              </w:rPr>
            </w:pPr>
            <w:r>
              <w:rPr>
                <w:color w:val="231F20"/>
                <w:sz w:val="16"/>
              </w:rPr>
              <w:t>Maintain or increase in-stream geomorphic diversity</w:t>
            </w:r>
          </w:p>
        </w:tc>
      </w:tr>
      <w:tr w:rsidR="006A7A3F">
        <w:trPr>
          <w:trHeight w:val="1150"/>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sz w:val="23"/>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4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208"/>
              <w:rPr>
                <w:sz w:val="16"/>
              </w:rPr>
            </w:pPr>
            <w:r>
              <w:rPr>
                <w:color w:val="231F20"/>
                <w:sz w:val="16"/>
              </w:rPr>
              <w:t>Improve the condition and increase extent and diversity of submerged, emergent and streamside native vegetation</w:t>
            </w:r>
          </w:p>
          <w:p w:rsidR="006A7A3F" w:rsidRDefault="00BC7372">
            <w:pPr>
              <w:pStyle w:val="TableParagraph"/>
              <w:spacing w:before="112"/>
              <w:ind w:left="118"/>
              <w:rPr>
                <w:sz w:val="16"/>
              </w:rPr>
            </w:pPr>
            <w:r>
              <w:rPr>
                <w:color w:val="231F20"/>
                <w:sz w:val="16"/>
              </w:rPr>
              <w:t>Reduce the extent and density of invasive plants</w:t>
            </w:r>
          </w:p>
        </w:tc>
      </w:tr>
      <w:tr w:rsidR="006A7A3F">
        <w:trPr>
          <w:trHeight w:val="66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5"/>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4" cy="310896"/>
                  <wp:effectExtent l="0" t="0" r="0" b="0"/>
                  <wp:docPr id="43"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4" cstate="print"/>
                          <a:stretch>
                            <a:fillRect/>
                          </a:stretch>
                        </pic:blipFill>
                        <pic:spPr>
                          <a:xfrm>
                            <a:off x="0" y="0"/>
                            <a:ext cx="314174"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279"/>
              <w:rPr>
                <w:sz w:val="16"/>
              </w:rPr>
            </w:pPr>
            <w:r>
              <w:rPr>
                <w:color w:val="231F20"/>
                <w:sz w:val="16"/>
              </w:rPr>
              <w:t>Increase the abundance of all macro- and micro- invertebrates</w:t>
            </w:r>
          </w:p>
        </w:tc>
      </w:tr>
      <w:tr w:rsidR="006A7A3F">
        <w:trPr>
          <w:trHeight w:val="840"/>
        </w:trPr>
        <w:tc>
          <w:tcPr>
            <w:tcW w:w="789" w:type="dxa"/>
            <w:tcBorders>
              <w:top w:val="single" w:sz="8" w:space="0" w:color="FFFFFF"/>
            </w:tcBorders>
            <w:shd w:val="clear" w:color="auto" w:fill="E6E7E8"/>
          </w:tcPr>
          <w:p w:rsidR="006A7A3F" w:rsidRDefault="006A7A3F">
            <w:pPr>
              <w:pStyle w:val="TableParagraph"/>
              <w:spacing w:before="7"/>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4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19" w:line="261" w:lineRule="auto"/>
              <w:ind w:left="118" w:right="83"/>
              <w:rPr>
                <w:sz w:val="16"/>
              </w:rPr>
            </w:pPr>
            <w:r>
              <w:rPr>
                <w:color w:val="231F20"/>
                <w:sz w:val="16"/>
              </w:rPr>
              <w:t>Avoid adverse water quality conditions (such as high salinity) in the lower Latrobe River and estuary</w:t>
            </w:r>
          </w:p>
        </w:tc>
      </w:tr>
    </w:tbl>
    <w:p w:rsidR="006A7A3F" w:rsidRDefault="006A7A3F">
      <w:pPr>
        <w:pStyle w:val="BodyText"/>
        <w:spacing w:before="12"/>
        <w:ind w:left="0"/>
        <w:rPr>
          <w:rFonts w:ascii="Helvetica Neue LT Std 75"/>
          <w:b/>
          <w:sz w:val="5"/>
        </w:rPr>
      </w:pPr>
    </w:p>
    <w:p w:rsidR="006A7A3F" w:rsidRDefault="00BC7372">
      <w:pPr>
        <w:spacing w:before="6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240"/>
      </w:pPr>
      <w:r>
        <w:rPr>
          <w:color w:val="231F20"/>
        </w:rPr>
        <w:t>The Gunaikurnai have had a continued connection to Gunaikurnai Country for thousands of years, including with the waterways in the Latrobe River system. For the Gunaikurnai as traditional custodians there are immense challenges to heal, protect and manage Country which has been drastically altered since colonisation. Gunaikurnai see all of Country as connected with no separation between landscapes, waterways, coasts and oceans and natural and cultural resources – the cultural landscape is interdependent.</w:t>
      </w:r>
    </w:p>
    <w:p w:rsidR="006A7A3F" w:rsidRDefault="00BC7372">
      <w:pPr>
        <w:pStyle w:val="BodyText"/>
        <w:spacing w:before="174" w:line="249" w:lineRule="auto"/>
        <w:ind w:right="852"/>
      </w:pPr>
      <w:r>
        <w:rPr>
          <w:color w:val="231F20"/>
        </w:rPr>
        <w:t>Gunaikurnai Land and Waters Aboriginal Corporation (GLaWAC) is working with the West Gippsland CMA to determine how to express Gunaikurnai objectives for water in a way that contributes to seasonal watering proposals from the perspective of traditional custodians, with traditional knowledge.</w:t>
      </w:r>
    </w:p>
    <w:p w:rsidR="00B670E3" w:rsidRDefault="00B670E3">
      <w:pPr>
        <w:rPr>
          <w:color w:val="231F20"/>
          <w:sz w:val="20"/>
          <w:szCs w:val="20"/>
        </w:rPr>
      </w:pPr>
      <w:r>
        <w:rPr>
          <w:color w:val="231F20"/>
        </w:rPr>
        <w:br w:type="page"/>
      </w:r>
    </w:p>
    <w:p w:rsidR="006A7A3F" w:rsidRDefault="00BC7372">
      <w:pPr>
        <w:pStyle w:val="BodyText"/>
        <w:spacing w:before="173"/>
      </w:pPr>
      <w:r>
        <w:rPr>
          <w:color w:val="231F20"/>
        </w:rPr>
        <w:t>For the Latrobe River system this has included:</w:t>
      </w:r>
    </w:p>
    <w:p w:rsidR="006A7A3F" w:rsidRDefault="00BC7372" w:rsidP="009B6917">
      <w:pPr>
        <w:pStyle w:val="ListParagraph"/>
        <w:numPr>
          <w:ilvl w:val="0"/>
          <w:numId w:val="1419"/>
        </w:numPr>
        <w:tabs>
          <w:tab w:val="left" w:pos="493"/>
          <w:tab w:val="left" w:pos="494"/>
        </w:tabs>
        <w:spacing w:before="123"/>
        <w:ind w:hanging="281"/>
        <w:rPr>
          <w:sz w:val="20"/>
        </w:rPr>
      </w:pPr>
      <w:r>
        <w:rPr>
          <w:color w:val="231F20"/>
          <w:sz w:val="20"/>
        </w:rPr>
        <w:t>Aboriginal Waterway Assessments to examine cultural values and</w:t>
      </w:r>
      <w:r>
        <w:rPr>
          <w:color w:val="231F20"/>
          <w:spacing w:val="-16"/>
          <w:sz w:val="20"/>
        </w:rPr>
        <w:t xml:space="preserve"> </w:t>
      </w:r>
      <w:r>
        <w:rPr>
          <w:color w:val="231F20"/>
          <w:sz w:val="20"/>
        </w:rPr>
        <w:t>uses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identification of primary objectives under the modified water</w:t>
      </w:r>
      <w:r>
        <w:rPr>
          <w:color w:val="231F20"/>
          <w:spacing w:val="-10"/>
          <w:sz w:val="20"/>
        </w:rPr>
        <w:t xml:space="preserve"> </w:t>
      </w:r>
      <w:r>
        <w:rPr>
          <w:color w:val="231F20"/>
          <w:sz w:val="20"/>
        </w:rPr>
        <w:t>regime</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expression of preliminary outcomes: watering actions that recognise and</w:t>
      </w:r>
      <w:r>
        <w:rPr>
          <w:color w:val="231F20"/>
          <w:spacing w:val="-15"/>
          <w:sz w:val="20"/>
        </w:rPr>
        <w:t xml:space="preserve"> </w:t>
      </w:r>
      <w:r>
        <w:rPr>
          <w:color w:val="231F20"/>
          <w:sz w:val="20"/>
        </w:rPr>
        <w:t>promote:</w:t>
      </w:r>
    </w:p>
    <w:p w:rsidR="006A7A3F" w:rsidRDefault="00BC7372" w:rsidP="009B6917">
      <w:pPr>
        <w:pStyle w:val="ListParagraph"/>
        <w:numPr>
          <w:ilvl w:val="0"/>
          <w:numId w:val="1376"/>
        </w:numPr>
        <w:tabs>
          <w:tab w:val="left" w:pos="777"/>
          <w:tab w:val="left" w:pos="778"/>
        </w:tabs>
        <w:ind w:hanging="285"/>
        <w:rPr>
          <w:sz w:val="20"/>
        </w:rPr>
      </w:pPr>
      <w:r>
        <w:rPr>
          <w:color w:val="231F20"/>
          <w:sz w:val="20"/>
        </w:rPr>
        <w:t>Healthy</w:t>
      </w:r>
      <w:r>
        <w:rPr>
          <w:color w:val="231F20"/>
          <w:spacing w:val="-2"/>
          <w:sz w:val="20"/>
        </w:rPr>
        <w:t xml:space="preserve"> </w:t>
      </w:r>
      <w:r>
        <w:rPr>
          <w:color w:val="231F20"/>
          <w:sz w:val="20"/>
        </w:rPr>
        <w:t>Country</w:t>
      </w:r>
    </w:p>
    <w:p w:rsidR="006A7A3F" w:rsidRDefault="00BC7372" w:rsidP="009B6917">
      <w:pPr>
        <w:pStyle w:val="ListParagraph"/>
        <w:numPr>
          <w:ilvl w:val="0"/>
          <w:numId w:val="1376"/>
        </w:numPr>
        <w:tabs>
          <w:tab w:val="left" w:pos="777"/>
          <w:tab w:val="left" w:pos="778"/>
        </w:tabs>
        <w:spacing w:line="249" w:lineRule="auto"/>
        <w:ind w:right="510"/>
        <w:rPr>
          <w:sz w:val="20"/>
        </w:rPr>
      </w:pPr>
      <w:r>
        <w:rPr>
          <w:color w:val="231F20"/>
          <w:sz w:val="20"/>
        </w:rPr>
        <w:t xml:space="preserve">the importance of the Latrobe River system to the Gunaikurnai songline of Boran (pelican) and </w:t>
      </w:r>
      <w:r>
        <w:rPr>
          <w:color w:val="231F20"/>
          <w:spacing w:val="-3"/>
          <w:sz w:val="20"/>
        </w:rPr>
        <w:t xml:space="preserve">Tuk </w:t>
      </w:r>
      <w:r>
        <w:rPr>
          <w:color w:val="231F20"/>
          <w:sz w:val="20"/>
        </w:rPr>
        <w:t>(musk duck) and their respective water quality and habitat</w:t>
      </w:r>
      <w:r>
        <w:rPr>
          <w:color w:val="231F20"/>
          <w:spacing w:val="-9"/>
          <w:sz w:val="20"/>
        </w:rPr>
        <w:t xml:space="preserve"> </w:t>
      </w:r>
      <w:r>
        <w:rPr>
          <w:color w:val="231F20"/>
          <w:sz w:val="20"/>
        </w:rPr>
        <w:t>requirements</w:t>
      </w:r>
    </w:p>
    <w:p w:rsidR="006A7A3F" w:rsidRDefault="00BC7372" w:rsidP="009B6917">
      <w:pPr>
        <w:pStyle w:val="ListParagraph"/>
        <w:numPr>
          <w:ilvl w:val="0"/>
          <w:numId w:val="1376"/>
        </w:numPr>
        <w:tabs>
          <w:tab w:val="left" w:pos="777"/>
          <w:tab w:val="left" w:pos="778"/>
        </w:tabs>
        <w:spacing w:before="87"/>
        <w:ind w:hanging="285"/>
        <w:rPr>
          <w:sz w:val="20"/>
        </w:rPr>
      </w:pPr>
      <w:r>
        <w:rPr>
          <w:color w:val="231F20"/>
          <w:sz w:val="20"/>
        </w:rPr>
        <w:t>waterways as meeting</w:t>
      </w:r>
      <w:r>
        <w:rPr>
          <w:color w:val="231F20"/>
          <w:spacing w:val="-3"/>
          <w:sz w:val="20"/>
        </w:rPr>
        <w:t xml:space="preserve"> </w:t>
      </w:r>
      <w:r>
        <w:rPr>
          <w:color w:val="231F20"/>
          <w:sz w:val="20"/>
        </w:rPr>
        <w:t>places</w:t>
      </w:r>
    </w:p>
    <w:p w:rsidR="006A7A3F" w:rsidRDefault="00BC7372" w:rsidP="009B6917">
      <w:pPr>
        <w:pStyle w:val="ListParagraph"/>
        <w:numPr>
          <w:ilvl w:val="0"/>
          <w:numId w:val="1376"/>
        </w:numPr>
        <w:tabs>
          <w:tab w:val="left" w:pos="777"/>
          <w:tab w:val="left" w:pos="778"/>
        </w:tabs>
        <w:spacing w:line="249" w:lineRule="auto"/>
        <w:ind w:right="445"/>
        <w:rPr>
          <w:sz w:val="20"/>
        </w:rPr>
      </w:pPr>
      <w:r>
        <w:rPr>
          <w:color w:val="231F20"/>
          <w:sz w:val="20"/>
        </w:rPr>
        <w:t>preliminary accommodation of water quality and management requirements of species with cultural values and</w:t>
      </w:r>
      <w:r>
        <w:rPr>
          <w:color w:val="231F20"/>
          <w:spacing w:val="-2"/>
          <w:sz w:val="20"/>
        </w:rPr>
        <w:t xml:space="preserve"> </w:t>
      </w:r>
      <w:r>
        <w:rPr>
          <w:color w:val="231F20"/>
          <w:sz w:val="20"/>
        </w:rPr>
        <w:t>uses.</w:t>
      </w:r>
    </w:p>
    <w:p w:rsidR="006A7A3F" w:rsidRDefault="00BC7372">
      <w:pPr>
        <w:pStyle w:val="BodyText"/>
        <w:spacing w:line="249" w:lineRule="auto"/>
        <w:ind w:right="100"/>
      </w:pPr>
      <w:r>
        <w:rPr>
          <w:color w:val="231F20"/>
        </w:rPr>
        <w:t>GLaWAC shared with the West Gippsland CMA plant and animal species of cultural significance in and around the waterways of the Latrobe Valley, and the importance of specific watering decisions to support them.</w:t>
      </w:r>
    </w:p>
    <w:p w:rsidR="006A7A3F" w:rsidRDefault="00BC7372">
      <w:pPr>
        <w:pStyle w:val="BodyText"/>
        <w:spacing w:before="171"/>
      </w:pPr>
      <w:r>
        <w:rPr>
          <w:color w:val="231F20"/>
        </w:rPr>
        <w:t>Watering requirements to support cultural values and uses include:</w:t>
      </w:r>
    </w:p>
    <w:p w:rsidR="006A7A3F" w:rsidRDefault="00BC7372" w:rsidP="009B6917">
      <w:pPr>
        <w:pStyle w:val="ListParagraph"/>
        <w:numPr>
          <w:ilvl w:val="0"/>
          <w:numId w:val="1419"/>
        </w:numPr>
        <w:tabs>
          <w:tab w:val="left" w:pos="493"/>
          <w:tab w:val="left" w:pos="494"/>
        </w:tabs>
        <w:spacing w:before="124" w:line="249" w:lineRule="auto"/>
        <w:ind w:right="456"/>
        <w:rPr>
          <w:sz w:val="20"/>
        </w:rPr>
      </w:pPr>
      <w:r>
        <w:rPr>
          <w:color w:val="231F20"/>
          <w:sz w:val="20"/>
        </w:rPr>
        <w:t>timing</w:t>
      </w:r>
      <w:r>
        <w:rPr>
          <w:color w:val="231F20"/>
          <w:spacing w:val="-4"/>
          <w:sz w:val="20"/>
        </w:rPr>
        <w:t xml:space="preserve"> </w:t>
      </w:r>
      <w:r>
        <w:rPr>
          <w:color w:val="231F20"/>
          <w:sz w:val="20"/>
        </w:rPr>
        <w:t>of</w:t>
      </w:r>
      <w:r>
        <w:rPr>
          <w:color w:val="231F20"/>
          <w:spacing w:val="-4"/>
          <w:sz w:val="20"/>
        </w:rPr>
        <w:t xml:space="preserve"> </w:t>
      </w:r>
      <w:r>
        <w:rPr>
          <w:color w:val="231F20"/>
          <w:sz w:val="20"/>
        </w:rPr>
        <w:t>environmental</w:t>
      </w:r>
      <w:r>
        <w:rPr>
          <w:color w:val="231F20"/>
          <w:spacing w:val="-4"/>
          <w:sz w:val="20"/>
        </w:rPr>
        <w:t xml:space="preserve"> </w:t>
      </w:r>
      <w:r>
        <w:rPr>
          <w:color w:val="231F20"/>
          <w:sz w:val="20"/>
        </w:rPr>
        <w:t>watering</w:t>
      </w:r>
      <w:r>
        <w:rPr>
          <w:color w:val="231F20"/>
          <w:spacing w:val="-4"/>
          <w:sz w:val="20"/>
        </w:rPr>
        <w:t xml:space="preserve"> </w:t>
      </w:r>
      <w:r>
        <w:rPr>
          <w:color w:val="231F20"/>
          <w:sz w:val="20"/>
        </w:rPr>
        <w:t>planned</w:t>
      </w:r>
      <w:r>
        <w:rPr>
          <w:color w:val="231F20"/>
          <w:spacing w:val="-4"/>
          <w:sz w:val="20"/>
        </w:rPr>
        <w:t xml:space="preserve"> </w:t>
      </w:r>
      <w:r>
        <w:rPr>
          <w:color w:val="231F20"/>
          <w:sz w:val="20"/>
        </w:rPr>
        <w:t>in</w:t>
      </w:r>
      <w:r>
        <w:rPr>
          <w:color w:val="231F20"/>
          <w:spacing w:val="-4"/>
          <w:sz w:val="20"/>
        </w:rPr>
        <w:t xml:space="preserve"> </w:t>
      </w:r>
      <w:r>
        <w:rPr>
          <w:color w:val="231F20"/>
          <w:sz w:val="20"/>
        </w:rPr>
        <w:t>partnership</w:t>
      </w:r>
      <w:r>
        <w:rPr>
          <w:color w:val="231F20"/>
          <w:spacing w:val="-4"/>
          <w:sz w:val="20"/>
        </w:rPr>
        <w:t xml:space="preserve"> </w:t>
      </w:r>
      <w:r>
        <w:rPr>
          <w:color w:val="231F20"/>
          <w:sz w:val="20"/>
        </w:rPr>
        <w:t>with</w:t>
      </w:r>
      <w:r>
        <w:rPr>
          <w:color w:val="231F20"/>
          <w:spacing w:val="-4"/>
          <w:sz w:val="20"/>
        </w:rPr>
        <w:t xml:space="preserve"> </w:t>
      </w:r>
      <w:r>
        <w:rPr>
          <w:color w:val="231F20"/>
          <w:sz w:val="20"/>
        </w:rPr>
        <w:t>GLaWAC</w:t>
      </w:r>
      <w:r>
        <w:rPr>
          <w:color w:val="231F20"/>
          <w:spacing w:val="-3"/>
          <w:sz w:val="20"/>
        </w:rPr>
        <w:t xml:space="preserve"> </w:t>
      </w:r>
      <w:r>
        <w:rPr>
          <w:color w:val="231F20"/>
          <w:sz w:val="20"/>
        </w:rPr>
        <w:t>to</w:t>
      </w:r>
      <w:r>
        <w:rPr>
          <w:color w:val="231F20"/>
          <w:spacing w:val="-3"/>
          <w:sz w:val="20"/>
        </w:rPr>
        <w:t xml:space="preserve"> </w:t>
      </w:r>
      <w:r>
        <w:rPr>
          <w:color w:val="231F20"/>
          <w:sz w:val="20"/>
        </w:rPr>
        <w:t>support</w:t>
      </w:r>
      <w:r>
        <w:rPr>
          <w:color w:val="231F20"/>
          <w:spacing w:val="-3"/>
          <w:sz w:val="20"/>
        </w:rPr>
        <w:t xml:space="preserve"> </w:t>
      </w:r>
      <w:r>
        <w:rPr>
          <w:color w:val="231F20"/>
          <w:sz w:val="20"/>
        </w:rPr>
        <w:t>a</w:t>
      </w:r>
      <w:r>
        <w:rPr>
          <w:color w:val="231F20"/>
          <w:spacing w:val="-4"/>
          <w:sz w:val="20"/>
        </w:rPr>
        <w:t xml:space="preserve"> </w:t>
      </w:r>
      <w:r>
        <w:rPr>
          <w:color w:val="231F20"/>
          <w:sz w:val="20"/>
        </w:rPr>
        <w:t>seasonal</w:t>
      </w:r>
      <w:r>
        <w:rPr>
          <w:color w:val="231F20"/>
          <w:spacing w:val="-3"/>
          <w:sz w:val="20"/>
        </w:rPr>
        <w:t xml:space="preserve"> </w:t>
      </w:r>
      <w:r>
        <w:rPr>
          <w:color w:val="231F20"/>
          <w:sz w:val="20"/>
        </w:rPr>
        <w:t>flow</w:t>
      </w:r>
      <w:r>
        <w:rPr>
          <w:color w:val="231F20"/>
          <w:spacing w:val="-3"/>
          <w:sz w:val="20"/>
        </w:rPr>
        <w:t xml:space="preserve"> </w:t>
      </w:r>
      <w:r>
        <w:rPr>
          <w:color w:val="231F20"/>
          <w:sz w:val="20"/>
        </w:rPr>
        <w:t>regime</w:t>
      </w:r>
      <w:r>
        <w:rPr>
          <w:color w:val="231F20"/>
          <w:spacing w:val="-3"/>
          <w:sz w:val="20"/>
        </w:rPr>
        <w:t xml:space="preserve"> </w:t>
      </w:r>
      <w:r>
        <w:rPr>
          <w:color w:val="231F20"/>
          <w:sz w:val="20"/>
        </w:rPr>
        <w:t>and wet and dry periods that embody Healthy</w:t>
      </w:r>
      <w:r>
        <w:rPr>
          <w:color w:val="231F20"/>
          <w:spacing w:val="-9"/>
          <w:sz w:val="20"/>
        </w:rPr>
        <w:t xml:space="preserve"> </w:t>
      </w:r>
      <w:r>
        <w:rPr>
          <w:color w:val="231F20"/>
          <w:sz w:val="20"/>
        </w:rPr>
        <w:t>Country</w:t>
      </w:r>
    </w:p>
    <w:p w:rsidR="006A7A3F" w:rsidRDefault="00BC7372" w:rsidP="009B6917">
      <w:pPr>
        <w:pStyle w:val="ListParagraph"/>
        <w:numPr>
          <w:ilvl w:val="0"/>
          <w:numId w:val="1419"/>
        </w:numPr>
        <w:tabs>
          <w:tab w:val="left" w:pos="493"/>
          <w:tab w:val="left" w:pos="494"/>
        </w:tabs>
        <w:spacing w:before="86" w:line="249" w:lineRule="auto"/>
        <w:ind w:right="742"/>
        <w:rPr>
          <w:sz w:val="20"/>
        </w:rPr>
      </w:pPr>
      <w:r>
        <w:rPr>
          <w:color w:val="231F20"/>
          <w:sz w:val="20"/>
        </w:rPr>
        <w:t xml:space="preserve">maintaining freshwater supply to Latrobe </w:t>
      </w:r>
      <w:r>
        <w:rPr>
          <w:color w:val="231F20"/>
          <w:spacing w:val="-3"/>
          <w:sz w:val="20"/>
        </w:rPr>
        <w:t xml:space="preserve">estuary, </w:t>
      </w:r>
      <w:r>
        <w:rPr>
          <w:color w:val="231F20"/>
          <w:sz w:val="20"/>
        </w:rPr>
        <w:t>Dowd Morass, Sale Common and Heart Morass and associated</w:t>
      </w:r>
      <w:r>
        <w:rPr>
          <w:color w:val="231F20"/>
          <w:spacing w:val="-5"/>
          <w:sz w:val="20"/>
        </w:rPr>
        <w:t xml:space="preserve"> </w:t>
      </w:r>
      <w:r>
        <w:rPr>
          <w:color w:val="231F20"/>
          <w:sz w:val="20"/>
        </w:rPr>
        <w:t>freshwater</w:t>
      </w:r>
      <w:r>
        <w:rPr>
          <w:color w:val="231F20"/>
          <w:spacing w:val="-3"/>
          <w:sz w:val="20"/>
        </w:rPr>
        <w:t xml:space="preserve"> </w:t>
      </w:r>
      <w:r>
        <w:rPr>
          <w:color w:val="231F20"/>
          <w:sz w:val="20"/>
        </w:rPr>
        <w:t>habitats.</w:t>
      </w:r>
      <w:r>
        <w:rPr>
          <w:color w:val="231F20"/>
          <w:spacing w:val="-7"/>
          <w:sz w:val="20"/>
        </w:rPr>
        <w:t xml:space="preserve"> </w:t>
      </w:r>
      <w:r>
        <w:rPr>
          <w:color w:val="231F20"/>
          <w:sz w:val="20"/>
        </w:rPr>
        <w:t>The</w:t>
      </w:r>
      <w:r>
        <w:rPr>
          <w:color w:val="231F20"/>
          <w:spacing w:val="-3"/>
          <w:sz w:val="20"/>
        </w:rPr>
        <w:t xml:space="preserve"> </w:t>
      </w:r>
      <w:r>
        <w:rPr>
          <w:color w:val="231F20"/>
          <w:sz w:val="20"/>
        </w:rPr>
        <w:t>lower</w:t>
      </w:r>
      <w:r>
        <w:rPr>
          <w:color w:val="231F20"/>
          <w:spacing w:val="-4"/>
          <w:sz w:val="20"/>
        </w:rPr>
        <w:t xml:space="preserve"> </w:t>
      </w:r>
      <w:r>
        <w:rPr>
          <w:color w:val="231F20"/>
          <w:sz w:val="20"/>
        </w:rPr>
        <w:t>Latrobe</w:t>
      </w:r>
      <w:r>
        <w:rPr>
          <w:color w:val="231F20"/>
          <w:spacing w:val="-5"/>
          <w:sz w:val="20"/>
        </w:rPr>
        <w:t xml:space="preserve"> </w:t>
      </w:r>
      <w:r>
        <w:rPr>
          <w:color w:val="231F20"/>
          <w:sz w:val="20"/>
        </w:rPr>
        <w:t>wetlands</w:t>
      </w:r>
      <w:r>
        <w:rPr>
          <w:color w:val="231F20"/>
          <w:spacing w:val="-4"/>
          <w:sz w:val="20"/>
        </w:rPr>
        <w:t xml:space="preserve"> </w:t>
      </w:r>
      <w:r>
        <w:rPr>
          <w:color w:val="231F20"/>
          <w:sz w:val="20"/>
        </w:rPr>
        <w:t>are</w:t>
      </w:r>
      <w:r>
        <w:rPr>
          <w:color w:val="231F20"/>
          <w:spacing w:val="-4"/>
          <w:sz w:val="20"/>
        </w:rPr>
        <w:t xml:space="preserve"> </w:t>
      </w:r>
      <w:r>
        <w:rPr>
          <w:color w:val="231F20"/>
          <w:sz w:val="20"/>
        </w:rPr>
        <w:t>an</w:t>
      </w:r>
      <w:r>
        <w:rPr>
          <w:color w:val="231F20"/>
          <w:spacing w:val="-4"/>
          <w:sz w:val="20"/>
        </w:rPr>
        <w:t xml:space="preserve"> </w:t>
      </w:r>
      <w:r>
        <w:rPr>
          <w:color w:val="231F20"/>
          <w:sz w:val="20"/>
        </w:rPr>
        <w:t>important</w:t>
      </w:r>
      <w:r>
        <w:rPr>
          <w:color w:val="231F20"/>
          <w:spacing w:val="-4"/>
          <w:sz w:val="20"/>
        </w:rPr>
        <w:t xml:space="preserve"> </w:t>
      </w:r>
      <w:r>
        <w:rPr>
          <w:color w:val="231F20"/>
          <w:sz w:val="20"/>
        </w:rPr>
        <w:t>resource</w:t>
      </w:r>
      <w:r>
        <w:rPr>
          <w:color w:val="231F20"/>
          <w:spacing w:val="-4"/>
          <w:sz w:val="20"/>
        </w:rPr>
        <w:t xml:space="preserve"> </w:t>
      </w:r>
      <w:r>
        <w:rPr>
          <w:color w:val="231F20"/>
          <w:sz w:val="20"/>
        </w:rPr>
        <w:t>for</w:t>
      </w:r>
      <w:r>
        <w:rPr>
          <w:color w:val="231F20"/>
          <w:spacing w:val="-3"/>
          <w:sz w:val="20"/>
        </w:rPr>
        <w:t xml:space="preserve"> </w:t>
      </w:r>
      <w:r>
        <w:rPr>
          <w:color w:val="231F20"/>
          <w:sz w:val="20"/>
        </w:rPr>
        <w:t>the</w:t>
      </w:r>
      <w:r>
        <w:rPr>
          <w:color w:val="231F20"/>
          <w:spacing w:val="-3"/>
          <w:sz w:val="20"/>
        </w:rPr>
        <w:t xml:space="preserve"> </w:t>
      </w:r>
      <w:r>
        <w:rPr>
          <w:color w:val="231F20"/>
          <w:sz w:val="20"/>
        </w:rPr>
        <w:t>Gunaikurnai</w:t>
      </w:r>
    </w:p>
    <w:p w:rsidR="006A7A3F" w:rsidRDefault="00BC7372" w:rsidP="009B6917">
      <w:pPr>
        <w:pStyle w:val="ListParagraph"/>
        <w:numPr>
          <w:ilvl w:val="0"/>
          <w:numId w:val="1419"/>
        </w:numPr>
        <w:tabs>
          <w:tab w:val="left" w:pos="493"/>
          <w:tab w:val="left" w:pos="494"/>
        </w:tabs>
        <w:spacing w:before="87" w:line="249" w:lineRule="auto"/>
        <w:ind w:right="695"/>
        <w:rPr>
          <w:sz w:val="20"/>
        </w:rPr>
      </w:pPr>
      <w:r>
        <w:rPr>
          <w:color w:val="231F20"/>
          <w:sz w:val="20"/>
        </w:rPr>
        <w:t>providing connectivity between reaches and onto floodplains to support dependent plants and animals with cultural values and uses of significance to the</w:t>
      </w:r>
      <w:r>
        <w:rPr>
          <w:color w:val="231F20"/>
          <w:spacing w:val="-4"/>
          <w:sz w:val="20"/>
        </w:rPr>
        <w:t xml:space="preserve"> </w:t>
      </w:r>
      <w:r>
        <w:rPr>
          <w:color w:val="231F20"/>
          <w:sz w:val="20"/>
        </w:rPr>
        <w:t>Gunaikurnai</w:t>
      </w:r>
    </w:p>
    <w:p w:rsidR="006A7A3F" w:rsidRDefault="00BC7372" w:rsidP="009B6917">
      <w:pPr>
        <w:pStyle w:val="ListParagraph"/>
        <w:numPr>
          <w:ilvl w:val="0"/>
          <w:numId w:val="1419"/>
        </w:numPr>
        <w:tabs>
          <w:tab w:val="left" w:pos="493"/>
          <w:tab w:val="left" w:pos="494"/>
        </w:tabs>
        <w:spacing w:before="87" w:line="249" w:lineRule="auto"/>
        <w:ind w:right="996"/>
        <w:rPr>
          <w:sz w:val="20"/>
        </w:rPr>
      </w:pPr>
      <w:r>
        <w:rPr>
          <w:color w:val="231F20"/>
          <w:sz w:val="20"/>
        </w:rPr>
        <w:t>maintaining water quality to support health of native plants and animals with cultural values and uses of significance to the Gunaikurnai.</w:t>
      </w:r>
    </w:p>
    <w:p w:rsidR="006A7A3F" w:rsidRDefault="00BC7372">
      <w:pPr>
        <w:spacing w:before="181"/>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7" w:line="249" w:lineRule="auto"/>
        <w:ind w:right="100"/>
      </w:pPr>
      <w:r>
        <w:rPr>
          <w:color w:val="231F20"/>
        </w:rPr>
        <w:t>In planning the potential watering actions in Table 2.2.1, West Gippsland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water-skiing and</w:t>
      </w:r>
      <w:r>
        <w:rPr>
          <w:color w:val="231F20"/>
          <w:spacing w:val="-6"/>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w:t>
      </w:r>
      <w:r>
        <w:rPr>
          <w:color w:val="231F20"/>
          <w:spacing w:val="-4"/>
          <w:sz w:val="20"/>
        </w:rPr>
        <w:t xml:space="preserve"> </w:t>
      </w:r>
      <w:r>
        <w:rPr>
          <w:color w:val="231F20"/>
          <w:sz w:val="20"/>
        </w:rPr>
        <w:t>hunting)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commercial fishing, diverters for irrigation and farming, urban water</w:t>
      </w:r>
      <w:r>
        <w:rPr>
          <w:color w:val="231F20"/>
          <w:spacing w:val="-29"/>
          <w:sz w:val="20"/>
        </w:rPr>
        <w:t xml:space="preserve"> </w:t>
      </w:r>
      <w:r>
        <w:rPr>
          <w:color w:val="231F20"/>
          <w:sz w:val="20"/>
        </w:rPr>
        <w:t>supplies</w:t>
      </w:r>
    </w:p>
    <w:p w:rsidR="006A7A3F" w:rsidRDefault="00BC7372">
      <w:pPr>
        <w:pStyle w:val="BodyText"/>
        <w:spacing w:before="70"/>
        <w:ind w:left="493"/>
      </w:pPr>
      <w:r>
        <w:rPr>
          <w:color w:val="231F20"/>
        </w:rPr>
        <w:t>and power generation).</w:t>
      </w:r>
    </w:p>
    <w:p w:rsidR="006A7A3F" w:rsidRDefault="00BC7372">
      <w:pPr>
        <w:pStyle w:val="BodyText"/>
        <w:spacing w:before="180" w:line="249" w:lineRule="auto"/>
        <w:ind w:right="174"/>
      </w:pPr>
      <w:r>
        <w:rPr>
          <w:color w:val="231F20"/>
        </w:rPr>
        <w:t>If the timing or management of planned environmental flows may be modified to align with a community benefit, this is acknowledged in Table 2.2.1 with an icon.</w:t>
      </w:r>
    </w:p>
    <w:p w:rsidR="006A7A3F" w:rsidRDefault="006A7A3F">
      <w:pPr>
        <w:pStyle w:val="BodyText"/>
        <w:spacing w:before="4"/>
        <w:ind w:left="0"/>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818"/>
        <w:gridCol w:w="3831"/>
      </w:tblGrid>
      <w:tr w:rsidR="006A7A3F">
        <w:trPr>
          <w:trHeight w:val="1205"/>
        </w:trPr>
        <w:tc>
          <w:tcPr>
            <w:tcW w:w="818" w:type="dxa"/>
            <w:shd w:val="clear" w:color="auto" w:fill="E6E7E8"/>
          </w:tcPr>
          <w:p w:rsidR="006A7A3F" w:rsidRDefault="006A7A3F">
            <w:pPr>
              <w:pStyle w:val="TableParagraph"/>
              <w:ind w:left="0"/>
              <w:rPr>
                <w:sz w:val="18"/>
              </w:rPr>
            </w:pPr>
          </w:p>
          <w:p w:rsidR="006A7A3F" w:rsidRDefault="00BC7372">
            <w:pPr>
              <w:pStyle w:val="TableParagraph"/>
              <w:ind w:left="178"/>
              <w:rPr>
                <w:sz w:val="20"/>
              </w:rPr>
            </w:pPr>
            <w:r>
              <w:rPr>
                <w:noProof/>
                <w:sz w:val="20"/>
              </w:rPr>
              <w:drawing>
                <wp:inline distT="0" distB="0" distL="0" distR="0">
                  <wp:extent cx="314168" cy="310896"/>
                  <wp:effectExtent l="0" t="0" r="0" b="0"/>
                  <wp:docPr id="4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6" cstate="print"/>
                          <a:stretch>
                            <a:fillRect/>
                          </a:stretch>
                        </pic:blipFill>
                        <pic:spPr>
                          <a:xfrm>
                            <a:off x="0" y="0"/>
                            <a:ext cx="314168" cy="310896"/>
                          </a:xfrm>
                          <a:prstGeom prst="rect">
                            <a:avLst/>
                          </a:prstGeom>
                        </pic:spPr>
                      </pic:pic>
                    </a:graphicData>
                  </a:graphic>
                </wp:inline>
              </w:drawing>
            </w:r>
          </w:p>
        </w:tc>
        <w:tc>
          <w:tcPr>
            <w:tcW w:w="3831" w:type="dxa"/>
            <w:shd w:val="clear" w:color="auto" w:fill="E6E7E8"/>
          </w:tcPr>
          <w:p w:rsidR="006A7A3F" w:rsidRDefault="00BC7372">
            <w:pPr>
              <w:pStyle w:val="TableParagraph"/>
              <w:spacing w:before="128" w:line="249" w:lineRule="auto"/>
              <w:ind w:left="145" w:right="576"/>
              <w:rPr>
                <w:sz w:val="20"/>
              </w:rPr>
            </w:pPr>
            <w:r>
              <w:rPr>
                <w:color w:val="231F20"/>
                <w:sz w:val="20"/>
              </w:rPr>
              <w:t>Watering planned to support water sports activities (e.g. canoeing, kayaking, rowing, swimming, water skiing)</w:t>
            </w:r>
          </w:p>
        </w:tc>
      </w:tr>
    </w:tbl>
    <w:p w:rsidR="006A7A3F" w:rsidRDefault="00BC7372">
      <w:pPr>
        <w:pStyle w:val="BodyText"/>
        <w:spacing w:before="142" w:line="249" w:lineRule="auto"/>
        <w:ind w:right="297"/>
      </w:pPr>
      <w:r>
        <w:rPr>
          <w:color w:val="231F20"/>
        </w:rPr>
        <w:t>West Gippsland CMA communicates with Lake Narracan Ski Club so environmental water releases can be timed to not affect the water levels in the lake during water</w:t>
      </w:r>
    </w:p>
    <w:p w:rsidR="006A7A3F" w:rsidRDefault="00BC7372">
      <w:pPr>
        <w:pStyle w:val="BodyText"/>
        <w:spacing w:before="2"/>
      </w:pPr>
      <w:r>
        <w:rPr>
          <w:color w:val="231F20"/>
        </w:rPr>
        <w:t>skiing events, which typically take place between January and March.</w:t>
      </w:r>
    </w:p>
    <w:p w:rsidR="00B670E3" w:rsidRDefault="00B670E3">
      <w:pPr>
        <w:rPr>
          <w:rFonts w:ascii="Helvetica Neue LT Std 75"/>
          <w:b/>
          <w:color w:val="231F20"/>
          <w:sz w:val="19"/>
        </w:rPr>
      </w:pPr>
      <w:r>
        <w:rPr>
          <w:rFonts w:ascii="Helvetica Neue LT Std 75"/>
          <w:b/>
          <w:color w:val="231F20"/>
          <w:sz w:val="19"/>
        </w:rPr>
        <w:br w:type="page"/>
      </w:r>
    </w:p>
    <w:p w:rsidR="006A7A3F" w:rsidRDefault="00BC7372">
      <w:pPr>
        <w:spacing w:before="189"/>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851"/>
      </w:pPr>
      <w:r>
        <w:rPr>
          <w:color w:val="231F20"/>
        </w:rPr>
        <w:t>The Latrobe system experienced average to above-average rainfall throughout 2019–20, despite drier-than- average conditions occurring elsewhere in west Gippsland.</w:t>
      </w:r>
    </w:p>
    <w:p w:rsidR="006A7A3F" w:rsidRDefault="00BC7372">
      <w:pPr>
        <w:pStyle w:val="BodyText"/>
        <w:spacing w:before="1" w:line="249" w:lineRule="auto"/>
        <w:ind w:right="5599"/>
      </w:pPr>
      <w:r>
        <w:rPr>
          <w:color w:val="231F20"/>
        </w:rPr>
        <w:t>By summer, environmental water allocations reached 100 percent of the entitlement volume.</w:t>
      </w:r>
    </w:p>
    <w:p w:rsidR="006A7A3F" w:rsidRDefault="00BC7372" w:rsidP="00B55EE8">
      <w:pPr>
        <w:pStyle w:val="BodyText"/>
        <w:spacing w:line="249" w:lineRule="auto"/>
        <w:ind w:right="245"/>
      </w:pPr>
      <w:r>
        <w:rPr>
          <w:color w:val="231F20"/>
        </w:rPr>
        <w:t>Local rainfall and inflows from unregulated tributaries provided flow conditions that met all the watering actions that were planned for the Latrobe River from July 2019 until February 2020. High rainfall caused bankfull flows in winter and minor flooding in some reaches of the Latrobe River in late spring 2019, which provided ecologically important flow events that cannot be delivered through managed environmental flows. Water for the environment was used to partly deliver two freshes in mid-autumn 2020. Heavy rainfall occurred during these events, which</w:t>
      </w:r>
      <w:r>
        <w:rPr>
          <w:color w:val="231F20"/>
          <w:spacing w:val="-34"/>
        </w:rPr>
        <w:t xml:space="preserve"> </w:t>
      </w:r>
      <w:r w:rsidR="00B55EE8">
        <w:rPr>
          <w:color w:val="231F20"/>
          <w:spacing w:val="-34"/>
        </w:rPr>
        <w:t xml:space="preserve"> </w:t>
      </w:r>
      <w:r>
        <w:rPr>
          <w:color w:val="231F20"/>
        </w:rPr>
        <w:t>reduced</w:t>
      </w:r>
      <w:r w:rsidR="00B55EE8">
        <w:rPr>
          <w:color w:val="231F20"/>
        </w:rPr>
        <w:t xml:space="preserve"> </w:t>
      </w:r>
      <w:r>
        <w:rPr>
          <w:color w:val="231F20"/>
        </w:rPr>
        <w:t>the amount of environmental water that needed to be released. The autumn freshes were timed to coincide with environmental flows in the Thomson and Macalister rivers to optimise outcomes for native fish (especially Australian grayling migration and spawning) and outcomes for the Latrobe estuary.</w:t>
      </w:r>
    </w:p>
    <w:p w:rsidR="006A7A3F" w:rsidRDefault="00BC7372">
      <w:pPr>
        <w:spacing w:before="182"/>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7" w:line="249" w:lineRule="auto"/>
        <w:ind w:right="251"/>
      </w:pPr>
      <w:r>
        <w:rPr>
          <w:color w:val="231F20"/>
        </w:rPr>
        <w:t>Table 2.2.1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2.2.1 Potential environmental watering actions and objectives for the Latrobe River</w:t>
      </w:r>
    </w:p>
    <w:p w:rsidR="006A7A3F" w:rsidRDefault="006A7A3F">
      <w:pPr>
        <w:pStyle w:val="BodyText"/>
        <w:spacing w:before="0" w:after="1"/>
        <w:ind w:left="0"/>
        <w:rPr>
          <w:b/>
          <w:sz w:val="9"/>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2"/>
        </w:trPr>
        <w:tc>
          <w:tcPr>
            <w:tcW w:w="2381" w:type="dxa"/>
            <w:tcBorders>
              <w:top w:val="nil"/>
              <w:left w:val="nil"/>
              <w:bottom w:val="nil"/>
            </w:tcBorders>
            <w:shd w:val="clear" w:color="auto" w:fill="231F20"/>
          </w:tcPr>
          <w:p w:rsidR="006A7A3F" w:rsidRDefault="00BC7372">
            <w:pPr>
              <w:pStyle w:val="TableParagraph"/>
              <w:spacing w:before="75"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5"/>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75" w:line="254" w:lineRule="auto"/>
              <w:ind w:left="85" w:right="192"/>
              <w:rPr>
                <w:b/>
                <w:sz w:val="18"/>
              </w:rPr>
            </w:pPr>
            <w:r>
              <w:rPr>
                <w:b/>
                <w:color w:val="FFFFFF"/>
                <w:sz w:val="18"/>
              </w:rPr>
              <w:t>Environmental objectives</w:t>
            </w:r>
          </w:p>
        </w:tc>
      </w:tr>
      <w:tr w:rsidR="006A7A3F">
        <w:trPr>
          <w:trHeight w:val="625"/>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69"/>
              <w:rPr>
                <w:sz w:val="16"/>
              </w:rPr>
            </w:pPr>
            <w:r>
              <w:rPr>
                <w:color w:val="231F20"/>
                <w:sz w:val="16"/>
              </w:rPr>
              <w:t>Summer/autumn low flow (250 ML/day or natural during December to May)</w:t>
            </w:r>
          </w:p>
        </w:tc>
        <w:tc>
          <w:tcPr>
            <w:tcW w:w="6236" w:type="dxa"/>
            <w:vMerge w:val="restart"/>
            <w:tcBorders>
              <w:top w:val="nil"/>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75"/>
              </w:numPr>
              <w:tabs>
                <w:tab w:val="left" w:pos="306"/>
              </w:tabs>
              <w:spacing w:before="70" w:line="254" w:lineRule="auto"/>
              <w:ind w:right="366"/>
              <w:rPr>
                <w:sz w:val="16"/>
                <w:szCs w:val="16"/>
              </w:rPr>
            </w:pPr>
            <w:r w:rsidRPr="00817C2F">
              <w:rPr>
                <w:color w:val="231F20"/>
                <w:sz w:val="16"/>
                <w:szCs w:val="16"/>
              </w:rPr>
              <w:t>Maintain</w:t>
            </w:r>
            <w:r w:rsidRPr="00817C2F">
              <w:rPr>
                <w:color w:val="231F20"/>
                <w:spacing w:val="-4"/>
                <w:sz w:val="16"/>
                <w:szCs w:val="16"/>
              </w:rPr>
              <w:t xml:space="preserve"> </w:t>
            </w:r>
            <w:r w:rsidRPr="00817C2F">
              <w:rPr>
                <w:color w:val="231F20"/>
                <w:sz w:val="16"/>
                <w:szCs w:val="16"/>
              </w:rPr>
              <w:t>an</w:t>
            </w:r>
            <w:r w:rsidRPr="00817C2F">
              <w:rPr>
                <w:color w:val="231F20"/>
                <w:spacing w:val="-4"/>
                <w:sz w:val="16"/>
                <w:szCs w:val="16"/>
              </w:rPr>
              <w:t xml:space="preserve"> </w:t>
            </w:r>
            <w:r w:rsidRPr="00817C2F">
              <w:rPr>
                <w:color w:val="231F20"/>
                <w:sz w:val="16"/>
                <w:szCs w:val="16"/>
              </w:rPr>
              <w:t>adequate</w:t>
            </w:r>
            <w:r w:rsidRPr="00817C2F">
              <w:rPr>
                <w:color w:val="231F20"/>
                <w:spacing w:val="-4"/>
                <w:sz w:val="16"/>
                <w:szCs w:val="16"/>
              </w:rPr>
              <w:t xml:space="preserve"> </w:t>
            </w:r>
            <w:r w:rsidRPr="00817C2F">
              <w:rPr>
                <w:color w:val="231F20"/>
                <w:sz w:val="16"/>
                <w:szCs w:val="16"/>
              </w:rPr>
              <w:t>depth</w:t>
            </w:r>
            <w:r w:rsidRPr="00817C2F">
              <w:rPr>
                <w:color w:val="231F20"/>
                <w:spacing w:val="-4"/>
                <w:sz w:val="16"/>
                <w:szCs w:val="16"/>
              </w:rPr>
              <w:t xml:space="preserve"> </w:t>
            </w:r>
            <w:r w:rsidRPr="00817C2F">
              <w:rPr>
                <w:color w:val="231F20"/>
                <w:sz w:val="16"/>
                <w:szCs w:val="16"/>
              </w:rPr>
              <w:t>in</w:t>
            </w:r>
            <w:r w:rsidRPr="00817C2F">
              <w:rPr>
                <w:color w:val="231F20"/>
                <w:spacing w:val="-5"/>
                <w:sz w:val="16"/>
                <w:szCs w:val="16"/>
              </w:rPr>
              <w:t xml:space="preserve"> </w:t>
            </w:r>
            <w:r w:rsidRPr="00817C2F">
              <w:rPr>
                <w:color w:val="231F20"/>
                <w:sz w:val="16"/>
                <w:szCs w:val="16"/>
              </w:rPr>
              <w:t>pool</w:t>
            </w:r>
            <w:r w:rsidRPr="00817C2F">
              <w:rPr>
                <w:color w:val="231F20"/>
                <w:spacing w:val="-4"/>
                <w:sz w:val="16"/>
                <w:szCs w:val="16"/>
              </w:rPr>
              <w:t xml:space="preserve"> </w:t>
            </w:r>
            <w:r w:rsidRPr="00817C2F">
              <w:rPr>
                <w:color w:val="231F20"/>
                <w:sz w:val="16"/>
                <w:szCs w:val="16"/>
              </w:rPr>
              <w:t>habitat</w:t>
            </w:r>
            <w:r w:rsidRPr="00817C2F">
              <w:rPr>
                <w:color w:val="231F20"/>
                <w:spacing w:val="-4"/>
                <w:sz w:val="16"/>
                <w:szCs w:val="16"/>
              </w:rPr>
              <w:t xml:space="preserve"> </w:t>
            </w:r>
            <w:r w:rsidRPr="00817C2F">
              <w:rPr>
                <w:color w:val="231F20"/>
                <w:sz w:val="16"/>
                <w:szCs w:val="16"/>
              </w:rPr>
              <w:t>to</w:t>
            </w:r>
            <w:r w:rsidRPr="00817C2F">
              <w:rPr>
                <w:color w:val="231F20"/>
                <w:spacing w:val="-3"/>
                <w:sz w:val="16"/>
                <w:szCs w:val="16"/>
              </w:rPr>
              <w:t xml:space="preserve"> </w:t>
            </w:r>
            <w:r w:rsidRPr="00817C2F">
              <w:rPr>
                <w:color w:val="231F20"/>
                <w:sz w:val="16"/>
                <w:szCs w:val="16"/>
              </w:rPr>
              <w:t>support</w:t>
            </w:r>
            <w:r w:rsidRPr="00817C2F">
              <w:rPr>
                <w:color w:val="231F20"/>
                <w:spacing w:val="-3"/>
                <w:sz w:val="16"/>
                <w:szCs w:val="16"/>
              </w:rPr>
              <w:t xml:space="preserve"> </w:t>
            </w:r>
            <w:r w:rsidRPr="00817C2F">
              <w:rPr>
                <w:color w:val="231F20"/>
                <w:sz w:val="16"/>
                <w:szCs w:val="16"/>
              </w:rPr>
              <w:t>aquatic</w:t>
            </w:r>
            <w:r w:rsidRPr="00817C2F">
              <w:rPr>
                <w:color w:val="231F20"/>
                <w:spacing w:val="-5"/>
                <w:sz w:val="16"/>
                <w:szCs w:val="16"/>
              </w:rPr>
              <w:t xml:space="preserve"> </w:t>
            </w:r>
            <w:r w:rsidRPr="00817C2F">
              <w:rPr>
                <w:color w:val="231F20"/>
                <w:sz w:val="16"/>
                <w:szCs w:val="16"/>
              </w:rPr>
              <w:t>animals and submerged</w:t>
            </w:r>
            <w:r w:rsidRPr="00817C2F">
              <w:rPr>
                <w:color w:val="231F20"/>
                <w:spacing w:val="-2"/>
                <w:sz w:val="16"/>
                <w:szCs w:val="16"/>
              </w:rPr>
              <w:t xml:space="preserve"> </w:t>
            </w:r>
            <w:r w:rsidRPr="00817C2F">
              <w:rPr>
                <w:color w:val="231F20"/>
                <w:sz w:val="16"/>
                <w:szCs w:val="16"/>
              </w:rPr>
              <w:t>vegetation</w:t>
            </w:r>
          </w:p>
          <w:p w:rsidR="006A7A3F" w:rsidRPr="00817C2F" w:rsidRDefault="00BC7372" w:rsidP="009B6917">
            <w:pPr>
              <w:pStyle w:val="TableParagraph"/>
              <w:numPr>
                <w:ilvl w:val="0"/>
                <w:numId w:val="1375"/>
              </w:numPr>
              <w:tabs>
                <w:tab w:val="left" w:pos="306"/>
              </w:tabs>
              <w:spacing w:before="87" w:line="254" w:lineRule="auto"/>
              <w:ind w:right="336"/>
              <w:rPr>
                <w:sz w:val="16"/>
                <w:szCs w:val="16"/>
              </w:rPr>
            </w:pPr>
            <w:r w:rsidRPr="00817C2F">
              <w:rPr>
                <w:color w:val="231F20"/>
                <w:sz w:val="16"/>
                <w:szCs w:val="16"/>
              </w:rPr>
              <w:t>Limit encroachment by terrestrial vegetation and support the growth of emergent macrophyte</w:t>
            </w:r>
            <w:r w:rsidRPr="00817C2F">
              <w:rPr>
                <w:color w:val="231F20"/>
                <w:spacing w:val="-2"/>
                <w:sz w:val="16"/>
                <w:szCs w:val="16"/>
              </w:rPr>
              <w:t xml:space="preserve"> </w:t>
            </w:r>
            <w:r w:rsidRPr="00817C2F">
              <w:rPr>
                <w:color w:val="231F20"/>
                <w:sz w:val="16"/>
                <w:szCs w:val="16"/>
              </w:rPr>
              <w:t>vegetation</w:t>
            </w:r>
          </w:p>
          <w:p w:rsidR="006A7A3F" w:rsidRPr="00817C2F" w:rsidRDefault="00BC7372" w:rsidP="009B6917">
            <w:pPr>
              <w:pStyle w:val="TableParagraph"/>
              <w:numPr>
                <w:ilvl w:val="0"/>
                <w:numId w:val="1375"/>
              </w:numPr>
              <w:tabs>
                <w:tab w:val="left" w:pos="306"/>
              </w:tabs>
              <w:spacing w:before="86"/>
              <w:ind w:hanging="218"/>
              <w:rPr>
                <w:sz w:val="16"/>
                <w:szCs w:val="16"/>
              </w:rPr>
            </w:pPr>
            <w:r w:rsidRPr="00817C2F">
              <w:rPr>
                <w:color w:val="231F20"/>
                <w:sz w:val="16"/>
                <w:szCs w:val="16"/>
              </w:rPr>
              <w:t>Maintain oxygen levels in</w:t>
            </w:r>
            <w:r w:rsidRPr="00817C2F">
              <w:rPr>
                <w:color w:val="231F20"/>
                <w:spacing w:val="-4"/>
                <w:sz w:val="16"/>
                <w:szCs w:val="16"/>
              </w:rPr>
              <w:t xml:space="preserve"> </w:t>
            </w:r>
            <w:r w:rsidRPr="00817C2F">
              <w:rPr>
                <w:color w:val="231F20"/>
                <w:sz w:val="16"/>
                <w:szCs w:val="16"/>
              </w:rPr>
              <w:t>pools</w:t>
            </w:r>
          </w:p>
          <w:p w:rsidR="006A7A3F" w:rsidRPr="00817C2F" w:rsidRDefault="00BC7372" w:rsidP="009B6917">
            <w:pPr>
              <w:pStyle w:val="TableParagraph"/>
              <w:numPr>
                <w:ilvl w:val="0"/>
                <w:numId w:val="1375"/>
              </w:numPr>
              <w:tabs>
                <w:tab w:val="left" w:pos="306"/>
              </w:tabs>
              <w:spacing w:before="98"/>
              <w:ind w:hanging="218"/>
              <w:rPr>
                <w:sz w:val="16"/>
                <w:szCs w:val="16"/>
              </w:rPr>
            </w:pPr>
            <w:r w:rsidRPr="00817C2F">
              <w:rPr>
                <w:color w:val="231F20"/>
                <w:sz w:val="16"/>
                <w:szCs w:val="16"/>
              </w:rPr>
              <w:t>Maintain sediments in suspension to prevent pools</w:t>
            </w:r>
            <w:r w:rsidRPr="00817C2F">
              <w:rPr>
                <w:color w:val="231F20"/>
                <w:spacing w:val="-6"/>
                <w:sz w:val="16"/>
                <w:szCs w:val="16"/>
              </w:rPr>
              <w:t xml:space="preserve"> </w:t>
            </w:r>
            <w:r w:rsidRPr="00817C2F">
              <w:rPr>
                <w:color w:val="231F20"/>
                <w:sz w:val="16"/>
                <w:szCs w:val="16"/>
              </w:rPr>
              <w:t>filling</w:t>
            </w:r>
          </w:p>
        </w:tc>
        <w:tc>
          <w:tcPr>
            <w:tcW w:w="850" w:type="dxa"/>
            <w:tcBorders>
              <w:top w:val="nil"/>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4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5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jpeg"/>
                          <pic:cNvPicPr/>
                        </pic:nvPicPr>
                        <pic:blipFill>
                          <a:blip r:embed="rId32" cstate="print"/>
                          <a:stretch>
                            <a:fillRect/>
                          </a:stretch>
                        </pic:blipFill>
                        <pic:spPr>
                          <a:xfrm>
                            <a:off x="0" y="0"/>
                            <a:ext cx="314177"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77" cy="310896"/>
                  <wp:effectExtent l="0" t="0" r="0" b="0"/>
                  <wp:docPr id="5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77" cy="310896"/>
                  <wp:effectExtent l="0" t="0" r="0" b="0"/>
                  <wp:docPr id="5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5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35"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Summer/autumn river</w:t>
            </w:r>
          </w:p>
          <w:p w:rsidR="006A7A3F" w:rsidRDefault="00BC7372">
            <w:pPr>
              <w:pStyle w:val="TableParagraph"/>
              <w:spacing w:before="17" w:line="261" w:lineRule="auto"/>
              <w:ind w:left="85" w:right="97"/>
              <w:rPr>
                <w:sz w:val="16"/>
              </w:rPr>
            </w:pPr>
            <w:r>
              <w:rPr>
                <w:color w:val="231F20"/>
                <w:sz w:val="16"/>
              </w:rPr>
              <w:t>fresh (one to four freshes of 920 ML/day for one to five days during December to</w:t>
            </w:r>
            <w:r>
              <w:rPr>
                <w:color w:val="231F20"/>
                <w:spacing w:val="-17"/>
                <w:sz w:val="16"/>
              </w:rPr>
              <w:t xml:space="preserve"> </w:t>
            </w:r>
            <w:r>
              <w:rPr>
                <w:color w:val="231F20"/>
                <w:sz w:val="16"/>
              </w:rPr>
              <w:t>May)</w:t>
            </w:r>
          </w:p>
          <w:p w:rsidR="006A7A3F" w:rsidRDefault="006A7A3F">
            <w:pPr>
              <w:pStyle w:val="TableParagraph"/>
              <w:spacing w:before="11"/>
              <w:ind w:left="0"/>
              <w:rPr>
                <w:b/>
                <w:sz w:val="7"/>
              </w:rPr>
            </w:pPr>
          </w:p>
          <w:p w:rsidR="006A7A3F" w:rsidRDefault="00BC7372">
            <w:pPr>
              <w:pStyle w:val="TableParagraph"/>
              <w:ind w:left="85"/>
              <w:rPr>
                <w:sz w:val="20"/>
              </w:rPr>
            </w:pPr>
            <w:r>
              <w:rPr>
                <w:noProof/>
                <w:sz w:val="20"/>
              </w:rPr>
              <w:drawing>
                <wp:inline distT="0" distB="0" distL="0" distR="0">
                  <wp:extent cx="314166" cy="310895"/>
                  <wp:effectExtent l="0" t="0" r="0" b="0"/>
                  <wp:docPr id="59"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36" cstate="print"/>
                          <a:stretch>
                            <a:fillRect/>
                          </a:stretch>
                        </pic:blipFill>
                        <pic:spPr>
                          <a:xfrm>
                            <a:off x="0" y="0"/>
                            <a:ext cx="314166" cy="310895"/>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spacing w:before="4"/>
              <w:ind w:left="0"/>
              <w:rPr>
                <w:b/>
                <w:sz w:val="20"/>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74"/>
              </w:numPr>
              <w:tabs>
                <w:tab w:val="left" w:pos="306"/>
              </w:tabs>
              <w:spacing w:before="70" w:line="254" w:lineRule="auto"/>
              <w:ind w:right="450"/>
              <w:rPr>
                <w:sz w:val="16"/>
                <w:szCs w:val="16"/>
              </w:rPr>
            </w:pPr>
            <w:r w:rsidRPr="00817C2F">
              <w:rPr>
                <w:color w:val="231F20"/>
                <w:sz w:val="16"/>
                <w:szCs w:val="16"/>
              </w:rPr>
              <w:t>Wet</w:t>
            </w:r>
            <w:r w:rsidRPr="00817C2F">
              <w:rPr>
                <w:color w:val="231F20"/>
                <w:spacing w:val="-5"/>
                <w:sz w:val="16"/>
                <w:szCs w:val="16"/>
              </w:rPr>
              <w:t xml:space="preserve"> </w:t>
            </w:r>
            <w:r w:rsidRPr="00817C2F">
              <w:rPr>
                <w:color w:val="231F20"/>
                <w:sz w:val="16"/>
                <w:szCs w:val="16"/>
              </w:rPr>
              <w:t>benches</w:t>
            </w:r>
            <w:r w:rsidRPr="00817C2F">
              <w:rPr>
                <w:color w:val="231F20"/>
                <w:spacing w:val="-4"/>
                <w:sz w:val="16"/>
                <w:szCs w:val="16"/>
              </w:rPr>
              <w:t xml:space="preserve"> </w:t>
            </w:r>
            <w:r w:rsidRPr="00817C2F">
              <w:rPr>
                <w:color w:val="231F20"/>
                <w:sz w:val="16"/>
                <w:szCs w:val="16"/>
              </w:rPr>
              <w:t>to</w:t>
            </w:r>
            <w:r w:rsidRPr="00817C2F">
              <w:rPr>
                <w:color w:val="231F20"/>
                <w:spacing w:val="-3"/>
                <w:sz w:val="16"/>
                <w:szCs w:val="16"/>
              </w:rPr>
              <w:t xml:space="preserve"> </w:t>
            </w:r>
            <w:r w:rsidRPr="00817C2F">
              <w:rPr>
                <w:color w:val="231F20"/>
                <w:sz w:val="16"/>
                <w:szCs w:val="16"/>
              </w:rPr>
              <w:t>maintain</w:t>
            </w:r>
            <w:r w:rsidRPr="00817C2F">
              <w:rPr>
                <w:color w:val="231F20"/>
                <w:spacing w:val="-3"/>
                <w:sz w:val="16"/>
                <w:szCs w:val="16"/>
              </w:rPr>
              <w:t xml:space="preserve"> </w:t>
            </w:r>
            <w:r w:rsidRPr="00817C2F">
              <w:rPr>
                <w:color w:val="231F20"/>
                <w:sz w:val="16"/>
                <w:szCs w:val="16"/>
              </w:rPr>
              <w:t>habitat</w:t>
            </w:r>
            <w:r w:rsidRPr="00817C2F">
              <w:rPr>
                <w:color w:val="231F20"/>
                <w:spacing w:val="-4"/>
                <w:sz w:val="16"/>
                <w:szCs w:val="16"/>
              </w:rPr>
              <w:t xml:space="preserve"> </w:t>
            </w:r>
            <w:r w:rsidRPr="00817C2F">
              <w:rPr>
                <w:color w:val="231F20"/>
                <w:sz w:val="16"/>
                <w:szCs w:val="16"/>
              </w:rPr>
              <w:t>and</w:t>
            </w:r>
            <w:r w:rsidRPr="00817C2F">
              <w:rPr>
                <w:color w:val="231F20"/>
                <w:spacing w:val="-4"/>
                <w:sz w:val="16"/>
                <w:szCs w:val="16"/>
              </w:rPr>
              <w:t xml:space="preserve"> </w:t>
            </w:r>
            <w:r w:rsidRPr="00817C2F">
              <w:rPr>
                <w:color w:val="231F20"/>
                <w:sz w:val="16"/>
                <w:szCs w:val="16"/>
              </w:rPr>
              <w:t>support</w:t>
            </w:r>
            <w:r w:rsidRPr="00817C2F">
              <w:rPr>
                <w:color w:val="231F20"/>
                <w:spacing w:val="-3"/>
                <w:sz w:val="16"/>
                <w:szCs w:val="16"/>
              </w:rPr>
              <w:t xml:space="preserve"> </w:t>
            </w:r>
            <w:r w:rsidRPr="00817C2F">
              <w:rPr>
                <w:color w:val="231F20"/>
                <w:sz w:val="16"/>
                <w:szCs w:val="16"/>
              </w:rPr>
              <w:t>the</w:t>
            </w:r>
            <w:r w:rsidRPr="00817C2F">
              <w:rPr>
                <w:color w:val="231F20"/>
                <w:spacing w:val="-3"/>
                <w:sz w:val="16"/>
                <w:szCs w:val="16"/>
              </w:rPr>
              <w:t xml:space="preserve"> </w:t>
            </w:r>
            <w:r w:rsidRPr="00817C2F">
              <w:rPr>
                <w:color w:val="231F20"/>
                <w:sz w:val="16"/>
                <w:szCs w:val="16"/>
              </w:rPr>
              <w:t>growth</w:t>
            </w:r>
            <w:r w:rsidRPr="00817C2F">
              <w:rPr>
                <w:color w:val="231F20"/>
                <w:spacing w:val="-4"/>
                <w:sz w:val="16"/>
                <w:szCs w:val="16"/>
              </w:rPr>
              <w:t xml:space="preserve"> </w:t>
            </w:r>
            <w:r w:rsidRPr="00817C2F">
              <w:rPr>
                <w:color w:val="231F20"/>
                <w:sz w:val="16"/>
                <w:szCs w:val="16"/>
              </w:rPr>
              <w:t>of</w:t>
            </w:r>
            <w:r w:rsidRPr="00817C2F">
              <w:rPr>
                <w:color w:val="231F20"/>
                <w:spacing w:val="-4"/>
                <w:sz w:val="16"/>
                <w:szCs w:val="16"/>
              </w:rPr>
              <w:t xml:space="preserve"> </w:t>
            </w:r>
            <w:r w:rsidRPr="00817C2F">
              <w:rPr>
                <w:color w:val="231F20"/>
                <w:sz w:val="16"/>
                <w:szCs w:val="16"/>
              </w:rPr>
              <w:t>emergent macrophyte vegetation</w:t>
            </w:r>
          </w:p>
          <w:p w:rsidR="006A7A3F" w:rsidRPr="00817C2F" w:rsidRDefault="00BC7372" w:rsidP="009B6917">
            <w:pPr>
              <w:pStyle w:val="TableParagraph"/>
              <w:numPr>
                <w:ilvl w:val="0"/>
                <w:numId w:val="1374"/>
              </w:numPr>
              <w:tabs>
                <w:tab w:val="left" w:pos="306"/>
              </w:tabs>
              <w:spacing w:before="87"/>
              <w:ind w:hanging="218"/>
              <w:rPr>
                <w:sz w:val="16"/>
                <w:szCs w:val="16"/>
              </w:rPr>
            </w:pPr>
            <w:r w:rsidRPr="00817C2F">
              <w:rPr>
                <w:color w:val="231F20"/>
                <w:sz w:val="16"/>
                <w:szCs w:val="16"/>
              </w:rPr>
              <w:t>Freshen water quality to support waterbug and zooplankton</w:t>
            </w:r>
            <w:r w:rsidRPr="00817C2F">
              <w:rPr>
                <w:color w:val="231F20"/>
                <w:spacing w:val="-18"/>
                <w:sz w:val="16"/>
                <w:szCs w:val="16"/>
              </w:rPr>
              <w:t xml:space="preserve"> </w:t>
            </w:r>
            <w:r w:rsidRPr="00817C2F">
              <w:rPr>
                <w:color w:val="231F20"/>
                <w:sz w:val="16"/>
                <w:szCs w:val="16"/>
              </w:rPr>
              <w:t>communities</w:t>
            </w:r>
          </w:p>
          <w:p w:rsidR="006A7A3F" w:rsidRPr="00817C2F" w:rsidRDefault="00BC7372" w:rsidP="009B6917">
            <w:pPr>
              <w:pStyle w:val="TableParagraph"/>
              <w:numPr>
                <w:ilvl w:val="0"/>
                <w:numId w:val="1374"/>
              </w:numPr>
              <w:tabs>
                <w:tab w:val="left" w:pos="306"/>
              </w:tabs>
              <w:spacing w:before="98" w:line="254" w:lineRule="auto"/>
              <w:ind w:right="557"/>
              <w:rPr>
                <w:sz w:val="16"/>
                <w:szCs w:val="16"/>
              </w:rPr>
            </w:pPr>
            <w:r w:rsidRPr="00817C2F">
              <w:rPr>
                <w:color w:val="231F20"/>
                <w:sz w:val="16"/>
                <w:szCs w:val="16"/>
              </w:rPr>
              <w:t>Flush sediment (sands and silts) from pools and mix water in</w:t>
            </w:r>
            <w:r w:rsidRPr="00817C2F">
              <w:rPr>
                <w:color w:val="231F20"/>
                <w:spacing w:val="-24"/>
                <w:sz w:val="16"/>
                <w:szCs w:val="16"/>
              </w:rPr>
              <w:t xml:space="preserve"> </w:t>
            </w:r>
            <w:r w:rsidRPr="00817C2F">
              <w:rPr>
                <w:color w:val="231F20"/>
                <w:sz w:val="16"/>
                <w:szCs w:val="16"/>
              </w:rPr>
              <w:t>pools, helping to provide spawning conditions for Australian grayling and breeding substrate for river</w:t>
            </w:r>
            <w:r w:rsidRPr="00817C2F">
              <w:rPr>
                <w:color w:val="231F20"/>
                <w:spacing w:val="-3"/>
                <w:sz w:val="16"/>
                <w:szCs w:val="16"/>
              </w:rPr>
              <w:t xml:space="preserve"> </w:t>
            </w:r>
            <w:r w:rsidRPr="00817C2F">
              <w:rPr>
                <w:color w:val="231F20"/>
                <w:sz w:val="16"/>
                <w:szCs w:val="16"/>
              </w:rPr>
              <w:t>blackfish</w:t>
            </w:r>
          </w:p>
          <w:p w:rsidR="006A7A3F" w:rsidRPr="00817C2F" w:rsidRDefault="00BC7372" w:rsidP="009B6917">
            <w:pPr>
              <w:pStyle w:val="TableParagraph"/>
              <w:numPr>
                <w:ilvl w:val="0"/>
                <w:numId w:val="1374"/>
              </w:numPr>
              <w:tabs>
                <w:tab w:val="left" w:pos="306"/>
              </w:tabs>
              <w:spacing w:before="86"/>
              <w:ind w:hanging="218"/>
              <w:rPr>
                <w:sz w:val="16"/>
                <w:szCs w:val="16"/>
              </w:rPr>
            </w:pPr>
            <w:r w:rsidRPr="00817C2F">
              <w:rPr>
                <w:color w:val="231F20"/>
                <w:sz w:val="16"/>
                <w:szCs w:val="16"/>
              </w:rPr>
              <w:t>Provide longitudinal connectivity for aquatic</w:t>
            </w:r>
            <w:r w:rsidRPr="00817C2F">
              <w:rPr>
                <w:color w:val="231F20"/>
                <w:spacing w:val="-5"/>
                <w:sz w:val="16"/>
                <w:szCs w:val="16"/>
              </w:rPr>
              <w:t xml:space="preserve"> </w:t>
            </w:r>
            <w:r w:rsidRPr="00817C2F">
              <w:rPr>
                <w:color w:val="231F20"/>
                <w:sz w:val="16"/>
                <w:szCs w:val="16"/>
              </w:rPr>
              <w:t>animals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6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6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jpeg"/>
                          <pic:cNvPicPr/>
                        </pic:nvPicPr>
                        <pic:blipFill>
                          <a:blip r:embed="rId32" cstate="print"/>
                          <a:stretch>
                            <a:fillRect/>
                          </a:stretch>
                        </pic:blipFill>
                        <pic:spPr>
                          <a:xfrm>
                            <a:off x="0" y="0"/>
                            <a:ext cx="314168" cy="310895"/>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6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5"/>
                  <wp:effectExtent l="0" t="0" r="0" b="0"/>
                  <wp:docPr id="6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jpeg"/>
                          <pic:cNvPicPr/>
                        </pic:nvPicPr>
                        <pic:blipFill>
                          <a:blip r:embed="rId34" cstate="print"/>
                          <a:stretch>
                            <a:fillRect/>
                          </a:stretch>
                        </pic:blipFill>
                        <pic:spPr>
                          <a:xfrm>
                            <a:off x="0" y="0"/>
                            <a:ext cx="314168" cy="310895"/>
                          </a:xfrm>
                          <a:prstGeom prst="rect">
                            <a:avLst/>
                          </a:prstGeom>
                        </pic:spPr>
                      </pic:pic>
                    </a:graphicData>
                  </a:graphic>
                </wp:inline>
              </w:drawing>
            </w:r>
          </w:p>
        </w:tc>
      </w:tr>
      <w:tr w:rsidR="006A7A3F">
        <w:trPr>
          <w:trHeight w:val="730"/>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6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png"/>
                          <pic:cNvPicPr/>
                        </pic:nvPicPr>
                        <pic:blipFill>
                          <a:blip r:embed="rId35"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6A7A3F">
      <w:pPr>
        <w:rPr>
          <w:rFonts w:ascii="Times New Roman"/>
          <w:sz w:val="18"/>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73" w:line="254" w:lineRule="auto"/>
              <w:ind w:left="85" w:right="192"/>
              <w:rPr>
                <w:b/>
                <w:sz w:val="18"/>
              </w:rPr>
            </w:pPr>
            <w:r>
              <w:rPr>
                <w:b/>
                <w:color w:val="FFFFFF"/>
                <w:sz w:val="18"/>
              </w:rPr>
              <w:t>Environmental objectives</w:t>
            </w:r>
          </w:p>
        </w:tc>
      </w:tr>
      <w:tr w:rsidR="006A7A3F">
        <w:trPr>
          <w:trHeight w:val="625"/>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14"/>
              <w:rPr>
                <w:sz w:val="16"/>
              </w:rPr>
            </w:pPr>
            <w:r>
              <w:rPr>
                <w:color w:val="231F20"/>
                <w:sz w:val="16"/>
              </w:rPr>
              <w:t>Summer/autumn estuary fresh (one to three freshes of 2,200 ML/day at reach</w:t>
            </w:r>
          </w:p>
          <w:p w:rsidR="006A7A3F" w:rsidRDefault="00BC7372">
            <w:pPr>
              <w:pStyle w:val="TableParagraph"/>
              <w:spacing w:line="261" w:lineRule="auto"/>
              <w:ind w:left="85" w:right="202"/>
              <w:rPr>
                <w:sz w:val="16"/>
              </w:rPr>
            </w:pPr>
            <w:r>
              <w:rPr>
                <w:color w:val="231F20"/>
                <w:sz w:val="16"/>
              </w:rPr>
              <w:t>6 for seven to 10 days during December to May)</w:t>
            </w:r>
          </w:p>
          <w:p w:rsidR="006A7A3F" w:rsidRDefault="006A7A3F">
            <w:pPr>
              <w:pStyle w:val="TableParagraph"/>
              <w:spacing w:before="10"/>
              <w:ind w:left="0"/>
              <w:rPr>
                <w:b/>
                <w:sz w:val="7"/>
              </w:rPr>
            </w:pPr>
          </w:p>
          <w:p w:rsidR="006A7A3F" w:rsidRPr="00AE6949" w:rsidRDefault="00BC7372" w:rsidP="00AE6949">
            <w:pPr>
              <w:pStyle w:val="TableParagraph"/>
              <w:ind w:left="85"/>
              <w:rPr>
                <w:sz w:val="20"/>
              </w:rPr>
            </w:pPr>
            <w:r>
              <w:rPr>
                <w:noProof/>
                <w:sz w:val="20"/>
              </w:rPr>
              <w:drawing>
                <wp:inline distT="0" distB="0" distL="0" distR="0">
                  <wp:extent cx="314158" cy="310896"/>
                  <wp:effectExtent l="0" t="0" r="0" b="0"/>
                  <wp:docPr id="71"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jpeg"/>
                          <pic:cNvPicPr/>
                        </pic:nvPicPr>
                        <pic:blipFill>
                          <a:blip r:embed="rId36" cstate="print"/>
                          <a:stretch>
                            <a:fillRect/>
                          </a:stretch>
                        </pic:blipFill>
                        <pic:spPr>
                          <a:xfrm>
                            <a:off x="0" y="0"/>
                            <a:ext cx="314158" cy="310896"/>
                          </a:xfrm>
                          <a:prstGeom prst="rect">
                            <a:avLst/>
                          </a:prstGeom>
                        </pic:spPr>
                      </pic:pic>
                    </a:graphicData>
                  </a:graphic>
                </wp:inline>
              </w:drawing>
            </w:r>
          </w:p>
          <w:p w:rsidR="006A7A3F" w:rsidRDefault="006A7A3F">
            <w:pPr>
              <w:pStyle w:val="TableParagraph"/>
              <w:ind w:left="0"/>
              <w:rPr>
                <w:b/>
                <w:sz w:val="20"/>
              </w:rPr>
            </w:pPr>
          </w:p>
        </w:tc>
        <w:tc>
          <w:tcPr>
            <w:tcW w:w="6236" w:type="dxa"/>
            <w:vMerge w:val="restart"/>
            <w:tcBorders>
              <w:top w:val="nil"/>
              <w:left w:val="single" w:sz="4" w:space="0" w:color="231F20"/>
              <w:bottom w:val="single" w:sz="4" w:space="0" w:color="231F20"/>
              <w:right w:val="single" w:sz="4" w:space="0" w:color="231F20"/>
            </w:tcBorders>
          </w:tcPr>
          <w:p w:rsidR="006A7A3F" w:rsidRPr="00817C2F" w:rsidRDefault="00BC7372">
            <w:pPr>
              <w:pStyle w:val="TableParagraph"/>
              <w:spacing w:before="67" w:line="261" w:lineRule="auto"/>
              <w:ind w:left="85" w:right="207"/>
              <w:rPr>
                <w:sz w:val="16"/>
                <w:szCs w:val="16"/>
              </w:rPr>
            </w:pPr>
            <w:r w:rsidRPr="00817C2F">
              <w:rPr>
                <w:color w:val="231F20"/>
                <w:sz w:val="16"/>
                <w:szCs w:val="16"/>
              </w:rPr>
              <w:t>Objectives listed for the summer/autumn river fresh and additional objectives for the Latrobe River estuary:</w:t>
            </w:r>
          </w:p>
          <w:p w:rsidR="006A7A3F" w:rsidRPr="00817C2F" w:rsidRDefault="00BC7372" w:rsidP="009B6917">
            <w:pPr>
              <w:pStyle w:val="TableParagraph"/>
              <w:numPr>
                <w:ilvl w:val="0"/>
                <w:numId w:val="1373"/>
              </w:numPr>
              <w:tabs>
                <w:tab w:val="left" w:pos="306"/>
              </w:tabs>
              <w:spacing w:before="57" w:line="254" w:lineRule="auto"/>
              <w:ind w:right="76"/>
              <w:rPr>
                <w:sz w:val="16"/>
                <w:szCs w:val="16"/>
              </w:rPr>
            </w:pPr>
            <w:r w:rsidRPr="00817C2F">
              <w:rPr>
                <w:color w:val="231F20"/>
                <w:sz w:val="16"/>
                <w:szCs w:val="16"/>
              </w:rPr>
              <w:t>upper estuary: fully flush with freshwater to support submerged vegetation, provide suitable conditions including oxygen levels for</w:t>
            </w:r>
            <w:r w:rsidRPr="00817C2F">
              <w:rPr>
                <w:color w:val="231F20"/>
                <w:spacing w:val="-33"/>
                <w:sz w:val="16"/>
                <w:szCs w:val="16"/>
              </w:rPr>
              <w:t xml:space="preserve"> </w:t>
            </w:r>
            <w:r w:rsidRPr="00817C2F">
              <w:rPr>
                <w:color w:val="231F20"/>
                <w:sz w:val="16"/>
                <w:szCs w:val="16"/>
              </w:rPr>
              <w:t>aquatic animals, transport silt, wet benches and deliver freshwater to connected wetlands</w:t>
            </w:r>
          </w:p>
          <w:p w:rsidR="006A7A3F" w:rsidRPr="00817C2F" w:rsidRDefault="00BC7372" w:rsidP="009B6917">
            <w:pPr>
              <w:pStyle w:val="TableParagraph"/>
              <w:numPr>
                <w:ilvl w:val="0"/>
                <w:numId w:val="1373"/>
              </w:numPr>
              <w:tabs>
                <w:tab w:val="left" w:pos="306"/>
              </w:tabs>
              <w:spacing w:before="87" w:line="254" w:lineRule="auto"/>
              <w:ind w:right="587"/>
              <w:rPr>
                <w:sz w:val="16"/>
                <w:szCs w:val="16"/>
              </w:rPr>
            </w:pPr>
            <w:r w:rsidRPr="00817C2F">
              <w:rPr>
                <w:color w:val="231F20"/>
                <w:sz w:val="16"/>
                <w:szCs w:val="16"/>
              </w:rPr>
              <w:t>mid-estuary: partially/fully flush the upper layer of the water</w:t>
            </w:r>
            <w:r w:rsidRPr="00817C2F">
              <w:rPr>
                <w:color w:val="231F20"/>
                <w:spacing w:val="-31"/>
                <w:sz w:val="16"/>
                <w:szCs w:val="16"/>
              </w:rPr>
              <w:t xml:space="preserve"> </w:t>
            </w:r>
            <w:r w:rsidRPr="00817C2F">
              <w:rPr>
                <w:color w:val="231F20"/>
                <w:sz w:val="16"/>
                <w:szCs w:val="16"/>
              </w:rPr>
              <w:t xml:space="preserve">column to improve water </w:t>
            </w:r>
            <w:r w:rsidRPr="00817C2F">
              <w:rPr>
                <w:color w:val="231F20"/>
                <w:spacing w:val="-3"/>
                <w:sz w:val="16"/>
                <w:szCs w:val="16"/>
              </w:rPr>
              <w:t xml:space="preserve">quality, </w:t>
            </w:r>
            <w:r w:rsidRPr="00817C2F">
              <w:rPr>
                <w:color w:val="231F20"/>
                <w:sz w:val="16"/>
                <w:szCs w:val="16"/>
              </w:rPr>
              <w:t>support emergent macrophytes,</w:t>
            </w:r>
            <w:r w:rsidRPr="00817C2F">
              <w:rPr>
                <w:color w:val="231F20"/>
                <w:spacing w:val="-13"/>
                <w:sz w:val="16"/>
                <w:szCs w:val="16"/>
              </w:rPr>
              <w:t xml:space="preserve"> </w:t>
            </w:r>
            <w:r w:rsidRPr="00817C2F">
              <w:rPr>
                <w:color w:val="231F20"/>
                <w:sz w:val="16"/>
                <w:szCs w:val="16"/>
              </w:rPr>
              <w:t>provide</w:t>
            </w:r>
          </w:p>
          <w:p w:rsidR="006A7A3F" w:rsidRPr="00817C2F" w:rsidRDefault="00BC7372">
            <w:pPr>
              <w:pStyle w:val="TableParagraph"/>
              <w:spacing w:before="2" w:line="254" w:lineRule="auto"/>
              <w:ind w:left="305" w:right="297"/>
              <w:rPr>
                <w:sz w:val="16"/>
                <w:szCs w:val="16"/>
              </w:rPr>
            </w:pPr>
            <w:r w:rsidRPr="00817C2F">
              <w:rPr>
                <w:color w:val="231F20"/>
                <w:sz w:val="16"/>
                <w:szCs w:val="16"/>
              </w:rPr>
              <w:t>freshwater habitat and associated food sources for freshwater fish and provide breeding opportunities for estuary fish</w:t>
            </w:r>
          </w:p>
          <w:p w:rsidR="006A7A3F" w:rsidRPr="00817C2F" w:rsidRDefault="00BC7372" w:rsidP="009B6917">
            <w:pPr>
              <w:pStyle w:val="TableParagraph"/>
              <w:numPr>
                <w:ilvl w:val="0"/>
                <w:numId w:val="1373"/>
              </w:numPr>
              <w:tabs>
                <w:tab w:val="left" w:pos="306"/>
              </w:tabs>
              <w:spacing w:before="86" w:line="254" w:lineRule="auto"/>
              <w:ind w:right="88"/>
              <w:rPr>
                <w:sz w:val="16"/>
                <w:szCs w:val="16"/>
              </w:rPr>
            </w:pPr>
            <w:r w:rsidRPr="00817C2F">
              <w:rPr>
                <w:color w:val="231F20"/>
                <w:sz w:val="16"/>
                <w:szCs w:val="16"/>
              </w:rPr>
              <w:t>lower estuary: partially flush the upper layer of the water column; a flow of</w:t>
            </w:r>
            <w:r w:rsidRPr="00817C2F">
              <w:rPr>
                <w:color w:val="231F20"/>
                <w:spacing w:val="-4"/>
                <w:sz w:val="16"/>
                <w:szCs w:val="16"/>
              </w:rPr>
              <w:t xml:space="preserve"> </w:t>
            </w:r>
            <w:r w:rsidRPr="00817C2F">
              <w:rPr>
                <w:color w:val="231F20"/>
                <w:sz w:val="16"/>
                <w:szCs w:val="16"/>
              </w:rPr>
              <w:t>this</w:t>
            </w:r>
            <w:r w:rsidRPr="00817C2F">
              <w:rPr>
                <w:color w:val="231F20"/>
                <w:spacing w:val="-3"/>
                <w:sz w:val="16"/>
                <w:szCs w:val="16"/>
              </w:rPr>
              <w:t xml:space="preserve"> </w:t>
            </w:r>
            <w:r w:rsidRPr="00817C2F">
              <w:rPr>
                <w:color w:val="231F20"/>
                <w:sz w:val="16"/>
                <w:szCs w:val="16"/>
              </w:rPr>
              <w:t>magnitude</w:t>
            </w:r>
            <w:r w:rsidRPr="00817C2F">
              <w:rPr>
                <w:color w:val="231F20"/>
                <w:spacing w:val="-3"/>
                <w:sz w:val="16"/>
                <w:szCs w:val="16"/>
              </w:rPr>
              <w:t xml:space="preserve"> </w:t>
            </w:r>
            <w:r w:rsidRPr="00817C2F">
              <w:rPr>
                <w:color w:val="231F20"/>
                <w:sz w:val="16"/>
                <w:szCs w:val="16"/>
              </w:rPr>
              <w:t>will</w:t>
            </w:r>
            <w:r w:rsidRPr="00817C2F">
              <w:rPr>
                <w:color w:val="231F20"/>
                <w:spacing w:val="-4"/>
                <w:sz w:val="16"/>
                <w:szCs w:val="16"/>
              </w:rPr>
              <w:t xml:space="preserve"> </w:t>
            </w:r>
            <w:r w:rsidRPr="00817C2F">
              <w:rPr>
                <w:color w:val="231F20"/>
                <w:sz w:val="16"/>
                <w:szCs w:val="16"/>
              </w:rPr>
              <w:t>also</w:t>
            </w:r>
            <w:r w:rsidRPr="00817C2F">
              <w:rPr>
                <w:color w:val="231F20"/>
                <w:spacing w:val="-3"/>
                <w:sz w:val="16"/>
                <w:szCs w:val="16"/>
              </w:rPr>
              <w:t xml:space="preserve"> </w:t>
            </w:r>
            <w:r w:rsidRPr="00817C2F">
              <w:rPr>
                <w:color w:val="231F20"/>
                <w:sz w:val="16"/>
                <w:szCs w:val="16"/>
              </w:rPr>
              <w:t>provide</w:t>
            </w:r>
            <w:r w:rsidRPr="00817C2F">
              <w:rPr>
                <w:color w:val="231F20"/>
                <w:spacing w:val="-4"/>
                <w:sz w:val="16"/>
                <w:szCs w:val="16"/>
              </w:rPr>
              <w:t xml:space="preserve"> </w:t>
            </w:r>
            <w:r w:rsidRPr="00817C2F">
              <w:rPr>
                <w:color w:val="231F20"/>
                <w:sz w:val="16"/>
                <w:szCs w:val="16"/>
              </w:rPr>
              <w:t>opportunities</w:t>
            </w:r>
            <w:r w:rsidRPr="00817C2F">
              <w:rPr>
                <w:color w:val="231F20"/>
                <w:spacing w:val="-4"/>
                <w:sz w:val="16"/>
                <w:szCs w:val="16"/>
              </w:rPr>
              <w:t xml:space="preserve"> </w:t>
            </w:r>
            <w:r w:rsidRPr="00817C2F">
              <w:rPr>
                <w:color w:val="231F20"/>
                <w:sz w:val="16"/>
                <w:szCs w:val="16"/>
              </w:rPr>
              <w:t>to</w:t>
            </w:r>
            <w:r w:rsidRPr="00817C2F">
              <w:rPr>
                <w:color w:val="231F20"/>
                <w:spacing w:val="-3"/>
                <w:sz w:val="16"/>
                <w:szCs w:val="16"/>
              </w:rPr>
              <w:t xml:space="preserve"> </w:t>
            </w:r>
            <w:r w:rsidRPr="00817C2F">
              <w:rPr>
                <w:color w:val="231F20"/>
                <w:sz w:val="16"/>
                <w:szCs w:val="16"/>
              </w:rPr>
              <w:t>fill</w:t>
            </w:r>
            <w:r w:rsidRPr="00817C2F">
              <w:rPr>
                <w:color w:val="231F20"/>
                <w:spacing w:val="-3"/>
                <w:sz w:val="16"/>
                <w:szCs w:val="16"/>
              </w:rPr>
              <w:t xml:space="preserve"> </w:t>
            </w:r>
            <w:r w:rsidRPr="00817C2F">
              <w:rPr>
                <w:color w:val="231F20"/>
                <w:sz w:val="16"/>
                <w:szCs w:val="16"/>
              </w:rPr>
              <w:t>to</w:t>
            </w:r>
            <w:r w:rsidRPr="00817C2F">
              <w:rPr>
                <w:color w:val="231F20"/>
                <w:spacing w:val="-3"/>
                <w:sz w:val="16"/>
                <w:szCs w:val="16"/>
              </w:rPr>
              <w:t xml:space="preserve"> </w:t>
            </w:r>
            <w:r w:rsidRPr="00817C2F">
              <w:rPr>
                <w:color w:val="231F20"/>
                <w:sz w:val="16"/>
                <w:szCs w:val="16"/>
              </w:rPr>
              <w:t>the</w:t>
            </w:r>
            <w:r w:rsidRPr="00817C2F">
              <w:rPr>
                <w:color w:val="231F20"/>
                <w:spacing w:val="-2"/>
                <w:sz w:val="16"/>
                <w:szCs w:val="16"/>
              </w:rPr>
              <w:t xml:space="preserve"> </w:t>
            </w:r>
            <w:r w:rsidRPr="00817C2F">
              <w:rPr>
                <w:color w:val="231F20"/>
                <w:sz w:val="16"/>
                <w:szCs w:val="16"/>
              </w:rPr>
              <w:t>lower</w:t>
            </w:r>
            <w:r w:rsidRPr="00817C2F">
              <w:rPr>
                <w:color w:val="231F20"/>
                <w:spacing w:val="-4"/>
                <w:sz w:val="16"/>
                <w:szCs w:val="16"/>
              </w:rPr>
              <w:t xml:space="preserve"> </w:t>
            </w:r>
            <w:r w:rsidRPr="00817C2F">
              <w:rPr>
                <w:color w:val="231F20"/>
                <w:sz w:val="16"/>
                <w:szCs w:val="16"/>
              </w:rPr>
              <w:t>Latrobe wetlands</w:t>
            </w:r>
          </w:p>
          <w:p w:rsidR="006A7A3F" w:rsidRPr="00817C2F" w:rsidRDefault="00BC7372">
            <w:pPr>
              <w:pStyle w:val="TableParagraph"/>
              <w:spacing w:before="85" w:line="261" w:lineRule="auto"/>
              <w:ind w:left="85"/>
              <w:rPr>
                <w:sz w:val="16"/>
                <w:szCs w:val="16"/>
              </w:rPr>
            </w:pPr>
            <w:r w:rsidRPr="00817C2F">
              <w:rPr>
                <w:color w:val="231F20"/>
                <w:sz w:val="16"/>
                <w:szCs w:val="16"/>
              </w:rPr>
              <w:t>Note: This event requires contributions of at least 1,280 ML/day from the Thomson River at Bundalaguah over the equivalent period to meet objectives</w:t>
            </w:r>
          </w:p>
        </w:tc>
        <w:tc>
          <w:tcPr>
            <w:tcW w:w="850"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7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7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7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7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817C2F">
        <w:trPr>
          <w:trHeight w:val="1905"/>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8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58"/>
              <w:rPr>
                <w:sz w:val="9"/>
              </w:rPr>
            </w:pPr>
            <w:r>
              <w:rPr>
                <w:color w:val="231F20"/>
                <w:sz w:val="16"/>
              </w:rPr>
              <w:t>Winter/spring fresh (one to two freshes of 3,200 ML/day at reach 6 for two days during June to November)</w:t>
            </w:r>
            <w:r>
              <w:rPr>
                <w:color w:val="231F20"/>
                <w:position w:val="5"/>
                <w:sz w:val="9"/>
              </w:rPr>
              <w:t>1</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67"/>
              <w:ind w:left="85"/>
              <w:rPr>
                <w:sz w:val="16"/>
                <w:szCs w:val="16"/>
              </w:rPr>
            </w:pPr>
            <w:r w:rsidRPr="00817C2F">
              <w:rPr>
                <w:color w:val="231F20"/>
                <w:sz w:val="16"/>
                <w:szCs w:val="16"/>
              </w:rPr>
              <w:t>Latrobe River objectives:</w:t>
            </w:r>
          </w:p>
          <w:p w:rsidR="006A7A3F" w:rsidRPr="00817C2F" w:rsidRDefault="00BC7372" w:rsidP="009B6917">
            <w:pPr>
              <w:pStyle w:val="TableParagraph"/>
              <w:numPr>
                <w:ilvl w:val="0"/>
                <w:numId w:val="1372"/>
              </w:numPr>
              <w:tabs>
                <w:tab w:val="left" w:pos="306"/>
              </w:tabs>
              <w:spacing w:before="74" w:line="254" w:lineRule="auto"/>
              <w:ind w:right="386"/>
              <w:rPr>
                <w:sz w:val="16"/>
                <w:szCs w:val="16"/>
              </w:rPr>
            </w:pPr>
            <w:r w:rsidRPr="00817C2F">
              <w:rPr>
                <w:color w:val="231F20"/>
                <w:sz w:val="16"/>
                <w:szCs w:val="16"/>
              </w:rPr>
              <w:t>wet banks and higher benches to improve the condition of</w:t>
            </w:r>
            <w:r w:rsidRPr="00817C2F">
              <w:rPr>
                <w:color w:val="231F20"/>
                <w:spacing w:val="-32"/>
                <w:sz w:val="16"/>
                <w:szCs w:val="16"/>
              </w:rPr>
              <w:t xml:space="preserve"> </w:t>
            </w:r>
            <w:r w:rsidRPr="00817C2F">
              <w:rPr>
                <w:color w:val="231F20"/>
                <w:sz w:val="16"/>
                <w:szCs w:val="16"/>
              </w:rPr>
              <w:t>streamside vegetation</w:t>
            </w:r>
          </w:p>
          <w:p w:rsidR="006A7A3F" w:rsidRPr="00817C2F" w:rsidRDefault="00BC7372" w:rsidP="009B6917">
            <w:pPr>
              <w:pStyle w:val="TableParagraph"/>
              <w:numPr>
                <w:ilvl w:val="0"/>
                <w:numId w:val="1372"/>
              </w:numPr>
              <w:tabs>
                <w:tab w:val="left" w:pos="306"/>
              </w:tabs>
              <w:spacing w:before="86"/>
              <w:ind w:hanging="218"/>
              <w:rPr>
                <w:sz w:val="16"/>
                <w:szCs w:val="16"/>
              </w:rPr>
            </w:pPr>
            <w:r w:rsidRPr="00817C2F">
              <w:rPr>
                <w:color w:val="231F20"/>
                <w:sz w:val="16"/>
                <w:szCs w:val="16"/>
              </w:rPr>
              <w:t>provide a variety of wetted areas for emergent</w:t>
            </w:r>
            <w:r w:rsidRPr="00817C2F">
              <w:rPr>
                <w:color w:val="231F20"/>
                <w:spacing w:val="-12"/>
                <w:sz w:val="16"/>
                <w:szCs w:val="16"/>
              </w:rPr>
              <w:t xml:space="preserve"> </w:t>
            </w:r>
            <w:r w:rsidRPr="00817C2F">
              <w:rPr>
                <w:color w:val="231F20"/>
                <w:sz w:val="16"/>
                <w:szCs w:val="16"/>
              </w:rPr>
              <w:t>macrophytes</w:t>
            </w:r>
          </w:p>
          <w:p w:rsidR="006A7A3F" w:rsidRPr="00817C2F" w:rsidRDefault="00BC7372" w:rsidP="009B6917">
            <w:pPr>
              <w:pStyle w:val="TableParagraph"/>
              <w:numPr>
                <w:ilvl w:val="0"/>
                <w:numId w:val="1372"/>
              </w:numPr>
              <w:tabs>
                <w:tab w:val="left" w:pos="306"/>
              </w:tabs>
              <w:spacing w:before="98"/>
              <w:ind w:hanging="218"/>
              <w:rPr>
                <w:sz w:val="16"/>
                <w:szCs w:val="16"/>
              </w:rPr>
            </w:pPr>
            <w:r w:rsidRPr="00817C2F">
              <w:rPr>
                <w:color w:val="231F20"/>
                <w:sz w:val="16"/>
                <w:szCs w:val="16"/>
              </w:rPr>
              <w:t>maintain channel capacity and bench</w:t>
            </w:r>
            <w:r w:rsidRPr="00817C2F">
              <w:rPr>
                <w:color w:val="231F20"/>
                <w:spacing w:val="-4"/>
                <w:sz w:val="16"/>
                <w:szCs w:val="16"/>
              </w:rPr>
              <w:t xml:space="preserve"> </w:t>
            </w:r>
            <w:r w:rsidRPr="00817C2F">
              <w:rPr>
                <w:color w:val="231F20"/>
                <w:sz w:val="16"/>
                <w:szCs w:val="16"/>
              </w:rPr>
              <w:t>habitat</w:t>
            </w:r>
          </w:p>
          <w:p w:rsidR="006A7A3F" w:rsidRPr="00817C2F" w:rsidRDefault="00BC7372">
            <w:pPr>
              <w:pStyle w:val="TableParagraph"/>
              <w:spacing w:before="97"/>
              <w:ind w:left="85"/>
              <w:rPr>
                <w:sz w:val="16"/>
                <w:szCs w:val="16"/>
              </w:rPr>
            </w:pPr>
            <w:r w:rsidRPr="00817C2F">
              <w:rPr>
                <w:color w:val="231F20"/>
                <w:sz w:val="16"/>
                <w:szCs w:val="16"/>
              </w:rPr>
              <w:t>Additional objectives for the Latrobe River estuary:</w:t>
            </w:r>
          </w:p>
          <w:p w:rsidR="006A7A3F" w:rsidRPr="00817C2F" w:rsidRDefault="00BC7372" w:rsidP="009B6917">
            <w:pPr>
              <w:pStyle w:val="TableParagraph"/>
              <w:numPr>
                <w:ilvl w:val="0"/>
                <w:numId w:val="1372"/>
              </w:numPr>
              <w:tabs>
                <w:tab w:val="left" w:pos="306"/>
              </w:tabs>
              <w:spacing w:before="74" w:line="254" w:lineRule="auto"/>
              <w:ind w:right="147"/>
              <w:rPr>
                <w:sz w:val="16"/>
                <w:szCs w:val="16"/>
              </w:rPr>
            </w:pPr>
            <w:r w:rsidRPr="00817C2F">
              <w:rPr>
                <w:color w:val="231F20"/>
                <w:sz w:val="16"/>
                <w:szCs w:val="16"/>
              </w:rPr>
              <w:t>upper estuary: fully flush with freshwater to support submerged vegetation, increase oxygen levels for aquatic animals, transport silt,</w:t>
            </w:r>
            <w:r w:rsidRPr="00817C2F">
              <w:rPr>
                <w:color w:val="231F20"/>
                <w:spacing w:val="-36"/>
                <w:sz w:val="16"/>
                <w:szCs w:val="16"/>
              </w:rPr>
              <w:t xml:space="preserve"> </w:t>
            </w:r>
            <w:r w:rsidRPr="00817C2F">
              <w:rPr>
                <w:color w:val="231F20"/>
                <w:sz w:val="16"/>
                <w:szCs w:val="16"/>
              </w:rPr>
              <w:t>wet benches and deliver freshwater to connected</w:t>
            </w:r>
            <w:r w:rsidRPr="00817C2F">
              <w:rPr>
                <w:color w:val="231F20"/>
                <w:spacing w:val="-7"/>
                <w:sz w:val="16"/>
                <w:szCs w:val="16"/>
              </w:rPr>
              <w:t xml:space="preserve"> </w:t>
            </w:r>
            <w:r w:rsidRPr="00817C2F">
              <w:rPr>
                <w:color w:val="231F20"/>
                <w:sz w:val="16"/>
                <w:szCs w:val="16"/>
              </w:rPr>
              <w:t>wetlands</w:t>
            </w:r>
          </w:p>
          <w:p w:rsidR="006A7A3F" w:rsidRPr="00817C2F" w:rsidRDefault="00BC7372" w:rsidP="009B6917">
            <w:pPr>
              <w:pStyle w:val="TableParagraph"/>
              <w:numPr>
                <w:ilvl w:val="0"/>
                <w:numId w:val="1372"/>
              </w:numPr>
              <w:tabs>
                <w:tab w:val="left" w:pos="306"/>
              </w:tabs>
              <w:spacing w:before="87" w:line="254" w:lineRule="auto"/>
              <w:ind w:right="587"/>
              <w:rPr>
                <w:sz w:val="16"/>
                <w:szCs w:val="16"/>
              </w:rPr>
            </w:pPr>
            <w:r w:rsidRPr="00817C2F">
              <w:rPr>
                <w:color w:val="231F20"/>
                <w:sz w:val="16"/>
                <w:szCs w:val="16"/>
              </w:rPr>
              <w:t>mid-estuary: partially/fully flush the upper layer of the water</w:t>
            </w:r>
            <w:r w:rsidRPr="00817C2F">
              <w:rPr>
                <w:color w:val="231F20"/>
                <w:spacing w:val="-31"/>
                <w:sz w:val="16"/>
                <w:szCs w:val="16"/>
              </w:rPr>
              <w:t xml:space="preserve"> </w:t>
            </w:r>
            <w:r w:rsidRPr="00817C2F">
              <w:rPr>
                <w:color w:val="231F20"/>
                <w:sz w:val="16"/>
                <w:szCs w:val="16"/>
              </w:rPr>
              <w:t xml:space="preserve">column to improve water </w:t>
            </w:r>
            <w:r w:rsidRPr="00817C2F">
              <w:rPr>
                <w:color w:val="231F20"/>
                <w:spacing w:val="-3"/>
                <w:sz w:val="16"/>
                <w:szCs w:val="16"/>
              </w:rPr>
              <w:t xml:space="preserve">quality, </w:t>
            </w:r>
            <w:r w:rsidRPr="00817C2F">
              <w:rPr>
                <w:color w:val="231F20"/>
                <w:sz w:val="16"/>
                <w:szCs w:val="16"/>
              </w:rPr>
              <w:t>support emergent macrophytes,</w:t>
            </w:r>
            <w:r w:rsidRPr="00817C2F">
              <w:rPr>
                <w:color w:val="231F20"/>
                <w:spacing w:val="-13"/>
                <w:sz w:val="16"/>
                <w:szCs w:val="16"/>
              </w:rPr>
              <w:t xml:space="preserve"> </w:t>
            </w:r>
            <w:r w:rsidRPr="00817C2F">
              <w:rPr>
                <w:color w:val="231F20"/>
                <w:sz w:val="16"/>
                <w:szCs w:val="16"/>
              </w:rPr>
              <w:t>provide</w:t>
            </w:r>
          </w:p>
          <w:p w:rsidR="006A7A3F" w:rsidRPr="00817C2F" w:rsidRDefault="00BC7372">
            <w:pPr>
              <w:pStyle w:val="TableParagraph"/>
              <w:spacing w:before="1" w:line="254" w:lineRule="auto"/>
              <w:ind w:left="305" w:right="297"/>
              <w:rPr>
                <w:sz w:val="16"/>
                <w:szCs w:val="16"/>
              </w:rPr>
            </w:pPr>
            <w:r w:rsidRPr="00817C2F">
              <w:rPr>
                <w:color w:val="231F20"/>
                <w:sz w:val="16"/>
                <w:szCs w:val="16"/>
              </w:rPr>
              <w:t>freshwater habitat and associated food sources for freshwater fish and provide breeding opportunities for estuary fish</w:t>
            </w:r>
          </w:p>
          <w:p w:rsidR="006A7A3F" w:rsidRPr="00817C2F" w:rsidRDefault="00BC7372" w:rsidP="009B6917">
            <w:pPr>
              <w:pStyle w:val="TableParagraph"/>
              <w:numPr>
                <w:ilvl w:val="0"/>
                <w:numId w:val="1372"/>
              </w:numPr>
              <w:tabs>
                <w:tab w:val="left" w:pos="306"/>
              </w:tabs>
              <w:spacing w:before="86" w:line="254" w:lineRule="auto"/>
              <w:ind w:right="287"/>
              <w:rPr>
                <w:sz w:val="16"/>
                <w:szCs w:val="16"/>
              </w:rPr>
            </w:pPr>
            <w:r w:rsidRPr="00817C2F">
              <w:rPr>
                <w:color w:val="231F20"/>
                <w:spacing w:val="-4"/>
                <w:sz w:val="16"/>
                <w:szCs w:val="16"/>
              </w:rPr>
              <w:t>lower</w:t>
            </w:r>
            <w:r w:rsidRPr="00817C2F">
              <w:rPr>
                <w:color w:val="231F20"/>
                <w:spacing w:val="-7"/>
                <w:sz w:val="16"/>
                <w:szCs w:val="16"/>
              </w:rPr>
              <w:t xml:space="preserve"> </w:t>
            </w:r>
            <w:r w:rsidRPr="00817C2F">
              <w:rPr>
                <w:color w:val="231F20"/>
                <w:spacing w:val="-4"/>
                <w:sz w:val="16"/>
                <w:szCs w:val="16"/>
              </w:rPr>
              <w:t>estuary:</w:t>
            </w:r>
            <w:r w:rsidRPr="00817C2F">
              <w:rPr>
                <w:color w:val="231F20"/>
                <w:spacing w:val="-7"/>
                <w:sz w:val="16"/>
                <w:szCs w:val="16"/>
              </w:rPr>
              <w:t xml:space="preserve"> </w:t>
            </w:r>
            <w:r w:rsidRPr="00817C2F">
              <w:rPr>
                <w:color w:val="231F20"/>
                <w:spacing w:val="-4"/>
                <w:sz w:val="16"/>
                <w:szCs w:val="16"/>
              </w:rPr>
              <w:t>partially</w:t>
            </w:r>
            <w:r w:rsidRPr="00817C2F">
              <w:rPr>
                <w:color w:val="231F20"/>
                <w:spacing w:val="-6"/>
                <w:sz w:val="16"/>
                <w:szCs w:val="16"/>
              </w:rPr>
              <w:t xml:space="preserve"> </w:t>
            </w:r>
            <w:r w:rsidRPr="00817C2F">
              <w:rPr>
                <w:color w:val="231F20"/>
                <w:spacing w:val="-3"/>
                <w:sz w:val="16"/>
                <w:szCs w:val="16"/>
              </w:rPr>
              <w:t>flush</w:t>
            </w:r>
            <w:r w:rsidRPr="00817C2F">
              <w:rPr>
                <w:color w:val="231F20"/>
                <w:spacing w:val="-7"/>
                <w:sz w:val="16"/>
                <w:szCs w:val="16"/>
              </w:rPr>
              <w:t xml:space="preserve"> </w:t>
            </w:r>
            <w:r w:rsidRPr="00817C2F">
              <w:rPr>
                <w:color w:val="231F20"/>
                <w:sz w:val="16"/>
                <w:szCs w:val="16"/>
              </w:rPr>
              <w:t>the</w:t>
            </w:r>
            <w:r w:rsidRPr="00817C2F">
              <w:rPr>
                <w:color w:val="231F20"/>
                <w:spacing w:val="-6"/>
                <w:sz w:val="16"/>
                <w:szCs w:val="16"/>
              </w:rPr>
              <w:t xml:space="preserve"> </w:t>
            </w:r>
            <w:r w:rsidRPr="00817C2F">
              <w:rPr>
                <w:color w:val="231F20"/>
                <w:spacing w:val="-4"/>
                <w:sz w:val="16"/>
                <w:szCs w:val="16"/>
              </w:rPr>
              <w:t>upper</w:t>
            </w:r>
            <w:r w:rsidRPr="00817C2F">
              <w:rPr>
                <w:color w:val="231F20"/>
                <w:spacing w:val="-7"/>
                <w:sz w:val="16"/>
                <w:szCs w:val="16"/>
              </w:rPr>
              <w:t xml:space="preserve"> </w:t>
            </w:r>
            <w:r w:rsidRPr="00817C2F">
              <w:rPr>
                <w:color w:val="231F20"/>
                <w:spacing w:val="-4"/>
                <w:sz w:val="16"/>
                <w:szCs w:val="16"/>
              </w:rPr>
              <w:t>layer</w:t>
            </w:r>
            <w:r w:rsidRPr="00817C2F">
              <w:rPr>
                <w:color w:val="231F20"/>
                <w:spacing w:val="-6"/>
                <w:sz w:val="16"/>
                <w:szCs w:val="16"/>
              </w:rPr>
              <w:t xml:space="preserve"> </w:t>
            </w:r>
            <w:r w:rsidRPr="00817C2F">
              <w:rPr>
                <w:color w:val="231F20"/>
                <w:sz w:val="16"/>
                <w:szCs w:val="16"/>
              </w:rPr>
              <w:t>of</w:t>
            </w:r>
            <w:r w:rsidRPr="00817C2F">
              <w:rPr>
                <w:color w:val="231F20"/>
                <w:spacing w:val="-7"/>
                <w:sz w:val="16"/>
                <w:szCs w:val="16"/>
              </w:rPr>
              <w:t xml:space="preserve"> </w:t>
            </w:r>
            <w:r w:rsidRPr="00817C2F">
              <w:rPr>
                <w:color w:val="231F20"/>
                <w:sz w:val="16"/>
                <w:szCs w:val="16"/>
              </w:rPr>
              <w:t>the</w:t>
            </w:r>
            <w:r w:rsidRPr="00817C2F">
              <w:rPr>
                <w:color w:val="231F20"/>
                <w:spacing w:val="-6"/>
                <w:sz w:val="16"/>
                <w:szCs w:val="16"/>
              </w:rPr>
              <w:t xml:space="preserve"> </w:t>
            </w:r>
            <w:r w:rsidRPr="00817C2F">
              <w:rPr>
                <w:color w:val="231F20"/>
                <w:spacing w:val="-4"/>
                <w:sz w:val="16"/>
                <w:szCs w:val="16"/>
              </w:rPr>
              <w:t>water</w:t>
            </w:r>
            <w:r w:rsidRPr="00817C2F">
              <w:rPr>
                <w:color w:val="231F20"/>
                <w:spacing w:val="-7"/>
                <w:sz w:val="16"/>
                <w:szCs w:val="16"/>
              </w:rPr>
              <w:t xml:space="preserve"> </w:t>
            </w:r>
            <w:r w:rsidRPr="00817C2F">
              <w:rPr>
                <w:color w:val="231F20"/>
                <w:spacing w:val="-4"/>
                <w:sz w:val="16"/>
                <w:szCs w:val="16"/>
              </w:rPr>
              <w:t>column;</w:t>
            </w:r>
            <w:r w:rsidRPr="00817C2F">
              <w:rPr>
                <w:color w:val="231F20"/>
                <w:spacing w:val="-6"/>
                <w:sz w:val="16"/>
                <w:szCs w:val="16"/>
              </w:rPr>
              <w:t xml:space="preserve"> </w:t>
            </w:r>
            <w:r w:rsidRPr="00817C2F">
              <w:rPr>
                <w:color w:val="231F20"/>
                <w:sz w:val="16"/>
                <w:szCs w:val="16"/>
              </w:rPr>
              <w:t>a</w:t>
            </w:r>
            <w:r w:rsidRPr="00817C2F">
              <w:rPr>
                <w:color w:val="231F20"/>
                <w:spacing w:val="-7"/>
                <w:sz w:val="16"/>
                <w:szCs w:val="16"/>
              </w:rPr>
              <w:t xml:space="preserve"> </w:t>
            </w:r>
            <w:r w:rsidRPr="00817C2F">
              <w:rPr>
                <w:color w:val="231F20"/>
                <w:sz w:val="16"/>
                <w:szCs w:val="16"/>
              </w:rPr>
              <w:t>flow</w:t>
            </w:r>
            <w:r w:rsidRPr="00817C2F">
              <w:rPr>
                <w:color w:val="231F20"/>
                <w:spacing w:val="-6"/>
                <w:sz w:val="16"/>
                <w:szCs w:val="16"/>
              </w:rPr>
              <w:t xml:space="preserve"> </w:t>
            </w:r>
            <w:r w:rsidRPr="00817C2F">
              <w:rPr>
                <w:color w:val="231F20"/>
                <w:spacing w:val="-4"/>
                <w:sz w:val="16"/>
                <w:szCs w:val="16"/>
              </w:rPr>
              <w:t xml:space="preserve">of </w:t>
            </w:r>
            <w:r w:rsidRPr="00817C2F">
              <w:rPr>
                <w:color w:val="231F20"/>
                <w:spacing w:val="-3"/>
                <w:sz w:val="16"/>
                <w:szCs w:val="16"/>
              </w:rPr>
              <w:t xml:space="preserve">this </w:t>
            </w:r>
            <w:r w:rsidRPr="00817C2F">
              <w:rPr>
                <w:color w:val="231F20"/>
                <w:sz w:val="16"/>
                <w:szCs w:val="16"/>
              </w:rPr>
              <w:t>magnitude will also provide opportunities to fill to the lower Latrobe wetlands</w:t>
            </w:r>
          </w:p>
          <w:p w:rsidR="006A7A3F" w:rsidRPr="00817C2F" w:rsidRDefault="00BC7372">
            <w:pPr>
              <w:pStyle w:val="TableParagraph"/>
              <w:spacing w:before="86" w:line="261" w:lineRule="auto"/>
              <w:ind w:left="85"/>
              <w:rPr>
                <w:sz w:val="16"/>
                <w:szCs w:val="16"/>
              </w:rPr>
            </w:pPr>
            <w:r w:rsidRPr="00817C2F">
              <w:rPr>
                <w:color w:val="231F20"/>
                <w:sz w:val="16"/>
                <w:szCs w:val="16"/>
              </w:rPr>
              <w:t>Note: Delivering the target flow event in the estuary will require contributions of 1,000–2,200 ML/day from the Thomson River at Bundalaguah over the equivalent period to meet objectives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8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8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817C2F">
        <w:trPr>
          <w:trHeight w:val="3883"/>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8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8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496"/>
              <w:rPr>
                <w:sz w:val="16"/>
              </w:rPr>
            </w:pPr>
            <w:r>
              <w:rPr>
                <w:color w:val="231F20"/>
                <w:sz w:val="16"/>
              </w:rPr>
              <w:t>Winter/spring low flow (620 ML/day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71"/>
              </w:numPr>
              <w:tabs>
                <w:tab w:val="left" w:pos="306"/>
              </w:tabs>
              <w:spacing w:before="63" w:line="254" w:lineRule="auto"/>
              <w:ind w:right="450"/>
              <w:rPr>
                <w:sz w:val="16"/>
                <w:szCs w:val="16"/>
              </w:rPr>
            </w:pPr>
            <w:r w:rsidRPr="00817C2F">
              <w:rPr>
                <w:color w:val="231F20"/>
                <w:sz w:val="16"/>
                <w:szCs w:val="16"/>
              </w:rPr>
              <w:t>Wet</w:t>
            </w:r>
            <w:r w:rsidRPr="00817C2F">
              <w:rPr>
                <w:color w:val="231F20"/>
                <w:spacing w:val="-5"/>
                <w:sz w:val="16"/>
                <w:szCs w:val="16"/>
              </w:rPr>
              <w:t xml:space="preserve"> </w:t>
            </w:r>
            <w:r w:rsidRPr="00817C2F">
              <w:rPr>
                <w:color w:val="231F20"/>
                <w:sz w:val="16"/>
                <w:szCs w:val="16"/>
              </w:rPr>
              <w:t>benches</w:t>
            </w:r>
            <w:r w:rsidRPr="00817C2F">
              <w:rPr>
                <w:color w:val="231F20"/>
                <w:spacing w:val="-4"/>
                <w:sz w:val="16"/>
                <w:szCs w:val="16"/>
              </w:rPr>
              <w:t xml:space="preserve"> </w:t>
            </w:r>
            <w:r w:rsidRPr="00817C2F">
              <w:rPr>
                <w:color w:val="231F20"/>
                <w:sz w:val="16"/>
                <w:szCs w:val="16"/>
              </w:rPr>
              <w:t>to</w:t>
            </w:r>
            <w:r w:rsidRPr="00817C2F">
              <w:rPr>
                <w:color w:val="231F20"/>
                <w:spacing w:val="-3"/>
                <w:sz w:val="16"/>
                <w:szCs w:val="16"/>
              </w:rPr>
              <w:t xml:space="preserve"> </w:t>
            </w:r>
            <w:r w:rsidRPr="00817C2F">
              <w:rPr>
                <w:color w:val="231F20"/>
                <w:sz w:val="16"/>
                <w:szCs w:val="16"/>
              </w:rPr>
              <w:t>maintain</w:t>
            </w:r>
            <w:r w:rsidRPr="00817C2F">
              <w:rPr>
                <w:color w:val="231F20"/>
                <w:spacing w:val="-3"/>
                <w:sz w:val="16"/>
                <w:szCs w:val="16"/>
              </w:rPr>
              <w:t xml:space="preserve"> </w:t>
            </w:r>
            <w:r w:rsidRPr="00817C2F">
              <w:rPr>
                <w:color w:val="231F20"/>
                <w:sz w:val="16"/>
                <w:szCs w:val="16"/>
              </w:rPr>
              <w:t>habitat</w:t>
            </w:r>
            <w:r w:rsidRPr="00817C2F">
              <w:rPr>
                <w:color w:val="231F20"/>
                <w:spacing w:val="-4"/>
                <w:sz w:val="16"/>
                <w:szCs w:val="16"/>
              </w:rPr>
              <w:t xml:space="preserve"> </w:t>
            </w:r>
            <w:r w:rsidRPr="00817C2F">
              <w:rPr>
                <w:color w:val="231F20"/>
                <w:sz w:val="16"/>
                <w:szCs w:val="16"/>
              </w:rPr>
              <w:t>and</w:t>
            </w:r>
            <w:r w:rsidRPr="00817C2F">
              <w:rPr>
                <w:color w:val="231F20"/>
                <w:spacing w:val="-4"/>
                <w:sz w:val="16"/>
                <w:szCs w:val="16"/>
              </w:rPr>
              <w:t xml:space="preserve"> </w:t>
            </w:r>
            <w:r w:rsidRPr="00817C2F">
              <w:rPr>
                <w:color w:val="231F20"/>
                <w:sz w:val="16"/>
                <w:szCs w:val="16"/>
              </w:rPr>
              <w:t>support</w:t>
            </w:r>
            <w:r w:rsidRPr="00817C2F">
              <w:rPr>
                <w:color w:val="231F20"/>
                <w:spacing w:val="-3"/>
                <w:sz w:val="16"/>
                <w:szCs w:val="16"/>
              </w:rPr>
              <w:t xml:space="preserve"> </w:t>
            </w:r>
            <w:r w:rsidRPr="00817C2F">
              <w:rPr>
                <w:color w:val="231F20"/>
                <w:sz w:val="16"/>
                <w:szCs w:val="16"/>
              </w:rPr>
              <w:t>the</w:t>
            </w:r>
            <w:r w:rsidRPr="00817C2F">
              <w:rPr>
                <w:color w:val="231F20"/>
                <w:spacing w:val="-3"/>
                <w:sz w:val="16"/>
                <w:szCs w:val="16"/>
              </w:rPr>
              <w:t xml:space="preserve"> </w:t>
            </w:r>
            <w:r w:rsidRPr="00817C2F">
              <w:rPr>
                <w:color w:val="231F20"/>
                <w:sz w:val="16"/>
                <w:szCs w:val="16"/>
              </w:rPr>
              <w:t>growth</w:t>
            </w:r>
            <w:r w:rsidRPr="00817C2F">
              <w:rPr>
                <w:color w:val="231F20"/>
                <w:spacing w:val="-4"/>
                <w:sz w:val="16"/>
                <w:szCs w:val="16"/>
              </w:rPr>
              <w:t xml:space="preserve"> </w:t>
            </w:r>
            <w:r w:rsidRPr="00817C2F">
              <w:rPr>
                <w:color w:val="231F20"/>
                <w:sz w:val="16"/>
                <w:szCs w:val="16"/>
              </w:rPr>
              <w:t>of</w:t>
            </w:r>
            <w:r w:rsidRPr="00817C2F">
              <w:rPr>
                <w:color w:val="231F20"/>
                <w:spacing w:val="-4"/>
                <w:sz w:val="16"/>
                <w:szCs w:val="16"/>
              </w:rPr>
              <w:t xml:space="preserve"> </w:t>
            </w:r>
            <w:r w:rsidRPr="00817C2F">
              <w:rPr>
                <w:color w:val="231F20"/>
                <w:sz w:val="16"/>
                <w:szCs w:val="16"/>
              </w:rPr>
              <w:t>emergent macrophyte vegetation</w:t>
            </w:r>
          </w:p>
          <w:p w:rsidR="006A7A3F" w:rsidRPr="00817C2F" w:rsidRDefault="00BC7372" w:rsidP="009B6917">
            <w:pPr>
              <w:pStyle w:val="TableParagraph"/>
              <w:numPr>
                <w:ilvl w:val="0"/>
                <w:numId w:val="1371"/>
              </w:numPr>
              <w:tabs>
                <w:tab w:val="left" w:pos="306"/>
              </w:tabs>
              <w:spacing w:before="86" w:line="254" w:lineRule="auto"/>
              <w:ind w:right="126"/>
              <w:rPr>
                <w:sz w:val="16"/>
                <w:szCs w:val="16"/>
              </w:rPr>
            </w:pPr>
            <w:r w:rsidRPr="00817C2F">
              <w:rPr>
                <w:color w:val="231F20"/>
                <w:sz w:val="16"/>
                <w:szCs w:val="16"/>
              </w:rPr>
              <w:t>Maintain oxygen levels in pools and maintain sediment (sands and silts) in suspension to prevent pools filling and depositing on substrates, helping to maintain habitat for waterbugs and breeding substrate for</w:t>
            </w:r>
            <w:r w:rsidRPr="00817C2F">
              <w:rPr>
                <w:color w:val="231F20"/>
                <w:spacing w:val="-33"/>
                <w:sz w:val="16"/>
                <w:szCs w:val="16"/>
              </w:rPr>
              <w:t xml:space="preserve"> </w:t>
            </w:r>
            <w:r w:rsidRPr="00817C2F">
              <w:rPr>
                <w:color w:val="231F20"/>
                <w:sz w:val="16"/>
                <w:szCs w:val="16"/>
              </w:rPr>
              <w:t>river blackfish</w:t>
            </w:r>
          </w:p>
          <w:p w:rsidR="006A7A3F" w:rsidRPr="00817C2F" w:rsidRDefault="00BC7372" w:rsidP="009B6917">
            <w:pPr>
              <w:pStyle w:val="TableParagraph"/>
              <w:numPr>
                <w:ilvl w:val="0"/>
                <w:numId w:val="1371"/>
              </w:numPr>
              <w:tabs>
                <w:tab w:val="left" w:pos="306"/>
              </w:tabs>
              <w:spacing w:before="88"/>
              <w:ind w:hanging="218"/>
              <w:rPr>
                <w:sz w:val="16"/>
                <w:szCs w:val="16"/>
              </w:rPr>
            </w:pPr>
            <w:r w:rsidRPr="00817C2F">
              <w:rPr>
                <w:color w:val="231F20"/>
                <w:sz w:val="16"/>
                <w:szCs w:val="16"/>
              </w:rPr>
              <w:t>Longitudinal connectivity to allow movement/dispersal of aquatic</w:t>
            </w:r>
            <w:r w:rsidRPr="00817C2F">
              <w:rPr>
                <w:color w:val="231F20"/>
                <w:spacing w:val="-24"/>
                <w:sz w:val="16"/>
                <w:szCs w:val="16"/>
              </w:rPr>
              <w:t xml:space="preserve"> </w:t>
            </w:r>
            <w:r w:rsidRPr="00817C2F">
              <w:rPr>
                <w:color w:val="231F20"/>
                <w:sz w:val="16"/>
                <w:szCs w:val="16"/>
              </w:rPr>
              <w:t>animals</w:t>
            </w:r>
          </w:p>
        </w:tc>
        <w:tc>
          <w:tcPr>
            <w:tcW w:w="850" w:type="dxa"/>
            <w:tcBorders>
              <w:top w:val="single" w:sz="4" w:space="0" w:color="231F20"/>
              <w:left w:val="single" w:sz="4" w:space="0" w:color="231F20"/>
              <w:bottom w:val="nil"/>
              <w:right w:val="nil"/>
            </w:tcBorders>
          </w:tcPr>
          <w:p w:rsidR="006A7A3F" w:rsidRDefault="006A7A3F">
            <w:pPr>
              <w:pStyle w:val="TableParagraph"/>
              <w:spacing w:before="8" w:after="1"/>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9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8" w:after="1"/>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9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53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9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660"/>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2" cy="310896"/>
                  <wp:effectExtent l="0" t="0" r="0" b="0"/>
                  <wp:docPr id="9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3.png"/>
                          <pic:cNvPicPr/>
                        </pic:nvPicPr>
                        <pic:blipFill>
                          <a:blip r:embed="rId35" cstate="print"/>
                          <a:stretch>
                            <a:fillRect/>
                          </a:stretch>
                        </pic:blipFill>
                        <pic:spPr>
                          <a:xfrm>
                            <a:off x="0" y="0"/>
                            <a:ext cx="314172"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bl>
    <w:p w:rsidR="006A7A3F" w:rsidRDefault="00BC7372">
      <w:pPr>
        <w:spacing w:before="129" w:line="266" w:lineRule="auto"/>
        <w:ind w:left="323" w:right="457" w:hanging="114"/>
        <w:rPr>
          <w:sz w:val="14"/>
        </w:rPr>
      </w:pPr>
      <w:r>
        <w:rPr>
          <w:color w:val="231F20"/>
          <w:position w:val="5"/>
          <w:sz w:val="8"/>
        </w:rPr>
        <w:t xml:space="preserve">1 </w:t>
      </w:r>
      <w:r>
        <w:rPr>
          <w:color w:val="231F20"/>
          <w:sz w:val="14"/>
        </w:rPr>
        <w:t>This fresh may involve inundating private land if delivered at higher magnitude, and it will be subject to obtaining landholder agreement. The magnitude of delivery depends on the relative contribution possible from the Thomson system.</w:t>
      </w:r>
    </w:p>
    <w:p w:rsidR="00B670E3" w:rsidRDefault="00B670E3">
      <w:pPr>
        <w:rPr>
          <w:rFonts w:ascii="Helvetica Neue LT Std 75"/>
          <w:b/>
          <w:color w:val="231F20"/>
          <w:sz w:val="19"/>
        </w:rPr>
      </w:pPr>
      <w:r>
        <w:rPr>
          <w:rFonts w:ascii="Helvetica Neue LT Std 75"/>
          <w:b/>
          <w:color w:val="231F20"/>
          <w:sz w:val="19"/>
        </w:rPr>
        <w:br w:type="page"/>
      </w:r>
    </w:p>
    <w:p w:rsidR="006A7A3F" w:rsidRDefault="00BC7372">
      <w:pPr>
        <w:spacing w:before="70"/>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2.2.2 outlines the potential environmental watering and expected water use under a range of planning scenarios.</w:t>
      </w:r>
    </w:p>
    <w:p w:rsidR="006A7A3F" w:rsidRDefault="00BC7372">
      <w:pPr>
        <w:pStyle w:val="BodyText"/>
        <w:spacing w:line="249" w:lineRule="auto"/>
        <w:ind w:right="630"/>
      </w:pPr>
      <w:r>
        <w:rPr>
          <w:color w:val="231F20"/>
        </w:rPr>
        <w:t>Under all scenarios, summer/autumn freshes are a high priority in the Latrobe system. At durations of one to five days, these events aim to maintain the physical form of the river bed and improve water quality by flushing</w:t>
      </w:r>
    </w:p>
    <w:p w:rsidR="006A7A3F" w:rsidRDefault="00BC7372">
      <w:pPr>
        <w:pStyle w:val="BodyText"/>
        <w:spacing w:before="1" w:line="249" w:lineRule="auto"/>
        <w:ind w:right="100"/>
      </w:pPr>
      <w:r>
        <w:rPr>
          <w:color w:val="231F20"/>
        </w:rPr>
        <w:t>sediments and mixing water in pools, which supports aquatic animals including waterbugs. Longer duration freshes (seven to 10 days) will also meet water quality, fish and vegetation objectives for the Latrobe estuary and are a high priority under dry, average and wet scenarios. To meet the flow requirements for the Latrobe estuary, these longer- duration freshes need to coincide with releases in the Thomson River, as the full estuary fresh cannot be delivered from Blue Rock Reservoir without inundating some private land.</w:t>
      </w:r>
    </w:p>
    <w:p w:rsidR="006A7A3F" w:rsidRDefault="00BC7372">
      <w:pPr>
        <w:pStyle w:val="BodyText"/>
        <w:spacing w:before="174" w:line="249" w:lineRule="auto"/>
        <w:ind w:right="457"/>
      </w:pPr>
      <w:r>
        <w:rPr>
          <w:color w:val="231F20"/>
        </w:rPr>
        <w:t>Summer/autumn low flows are a high priority under a drought scenario, to maintain oxygen and connectivity between pools. Water for the environment is unlikely to be required to deliver these flows under other scenarios because they are expected to be met naturally.</w:t>
      </w:r>
    </w:p>
    <w:p w:rsidR="006A7A3F" w:rsidRDefault="00BC7372">
      <w:pPr>
        <w:pStyle w:val="BodyText"/>
        <w:spacing w:before="70" w:line="249" w:lineRule="auto"/>
        <w:ind w:right="1019"/>
      </w:pPr>
      <w:r>
        <w:rPr>
          <w:color w:val="231F20"/>
        </w:rPr>
        <w:t>If more environmental water is available under a drought scenario, it may be used to increase the duration of summer/autumn low flows and/or deliver a summer/autumn estuary fresh. Under a dry scenario, extra environmental water would be used to deliver an additional summer/autumn estuary fresh.</w:t>
      </w:r>
    </w:p>
    <w:p w:rsidR="006A7A3F" w:rsidRDefault="00BC7372">
      <w:pPr>
        <w:pStyle w:val="BodyText"/>
        <w:spacing w:before="173" w:line="249" w:lineRule="auto"/>
        <w:ind w:right="208"/>
      </w:pPr>
      <w:r>
        <w:rPr>
          <w:color w:val="231F20"/>
        </w:rPr>
        <w:t>Winter/spring freshes will improve environmental outcomes under average and wet scenarios. They are considered a high priority under a wet scenario, but there may not be enough available water to deliver them under an average scenario, so they are identified as a tier 1b priority. Large winter/spring freshes may wet private land and therefore landholder agreements will be needed before they are delivered as a managed environmental flow.</w:t>
      </w:r>
    </w:p>
    <w:p w:rsidR="006A7A3F" w:rsidRDefault="00BC7372">
      <w:pPr>
        <w:pStyle w:val="BodyText"/>
        <w:spacing w:before="173" w:line="249" w:lineRule="auto"/>
        <w:ind w:right="352"/>
      </w:pPr>
      <w:r>
        <w:rPr>
          <w:color w:val="231F20"/>
        </w:rPr>
        <w:t>Winter/spring low flows and freshes are considered a lower priority under drought and dry scenarios. No tier 2 watering actions have been identified for the Latrobe River under average or wet scenarios, as natural inflows are expected to meet the remaining demands.</w:t>
      </w:r>
    </w:p>
    <w:p w:rsidR="00A23A84" w:rsidRDefault="00A23A84">
      <w:pPr>
        <w:rPr>
          <w:b/>
          <w:color w:val="231F20"/>
          <w:sz w:val="18"/>
        </w:rPr>
      </w:pPr>
      <w:r>
        <w:rPr>
          <w:b/>
          <w:color w:val="231F20"/>
          <w:sz w:val="18"/>
        </w:rPr>
        <w:br w:type="page"/>
      </w:r>
    </w:p>
    <w:p w:rsidR="006A7A3F" w:rsidRDefault="00BC7372">
      <w:pPr>
        <w:spacing w:before="168"/>
        <w:ind w:left="210"/>
        <w:rPr>
          <w:b/>
          <w:sz w:val="18"/>
        </w:rPr>
      </w:pPr>
      <w:r>
        <w:rPr>
          <w:b/>
          <w:color w:val="231F20"/>
          <w:sz w:val="18"/>
        </w:rPr>
        <w:t>Table 2.2.2 Potential environmental watering for the Latrobe River under a range of planning scenarios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trPr>
          <w:trHeight w:val="301"/>
        </w:trPr>
        <w:tc>
          <w:tcPr>
            <w:tcW w:w="2041" w:type="dxa"/>
            <w:tcBorders>
              <w:top w:val="nil"/>
              <w:left w:val="nil"/>
              <w:bottom w:val="nil"/>
            </w:tcBorders>
            <w:shd w:val="clear" w:color="auto" w:fill="231F20"/>
          </w:tcPr>
          <w:p w:rsidR="006A7A3F" w:rsidRDefault="00BC7372">
            <w:pPr>
              <w:pStyle w:val="TableParagraph"/>
              <w:spacing w:before="47"/>
              <w:ind w:left="85"/>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47"/>
              <w:ind w:left="79"/>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47"/>
              <w:ind w:left="79"/>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47"/>
              <w:ind w:left="79"/>
              <w:rPr>
                <w:b/>
                <w:sz w:val="18"/>
              </w:rPr>
            </w:pPr>
            <w:r>
              <w:rPr>
                <w:b/>
                <w:color w:val="FFFFFF"/>
                <w:sz w:val="18"/>
              </w:rPr>
              <w:t>Average</w:t>
            </w:r>
          </w:p>
        </w:tc>
        <w:tc>
          <w:tcPr>
            <w:tcW w:w="2041" w:type="dxa"/>
            <w:tcBorders>
              <w:top w:val="nil"/>
              <w:bottom w:val="nil"/>
            </w:tcBorders>
            <w:shd w:val="clear" w:color="auto" w:fill="231F20"/>
          </w:tcPr>
          <w:p w:rsidR="006A7A3F" w:rsidRDefault="00BC7372">
            <w:pPr>
              <w:pStyle w:val="TableParagraph"/>
              <w:spacing w:before="47"/>
              <w:ind w:left="79"/>
              <w:rPr>
                <w:b/>
                <w:sz w:val="18"/>
              </w:rPr>
            </w:pPr>
            <w:r>
              <w:rPr>
                <w:b/>
                <w:color w:val="FFFFFF"/>
                <w:sz w:val="18"/>
              </w:rPr>
              <w:t>Wet</w:t>
            </w:r>
          </w:p>
        </w:tc>
      </w:tr>
      <w:tr w:rsidR="006A7A3F">
        <w:trPr>
          <w:trHeight w:val="3971"/>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41"/>
              <w:ind w:left="80"/>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70"/>
              </w:numPr>
              <w:tabs>
                <w:tab w:val="left" w:pos="300"/>
              </w:tabs>
              <w:spacing w:before="37" w:line="254" w:lineRule="auto"/>
              <w:ind w:right="208"/>
              <w:rPr>
                <w:sz w:val="16"/>
                <w:szCs w:val="16"/>
              </w:rPr>
            </w:pPr>
            <w:r w:rsidRPr="00817C2F">
              <w:rPr>
                <w:color w:val="231F20"/>
                <w:sz w:val="16"/>
                <w:szCs w:val="16"/>
              </w:rPr>
              <w:t xml:space="preserve">Small </w:t>
            </w:r>
            <w:r w:rsidRPr="00817C2F">
              <w:rPr>
                <w:color w:val="231F20"/>
                <w:spacing w:val="-2"/>
                <w:sz w:val="16"/>
                <w:szCs w:val="16"/>
              </w:rPr>
              <w:t xml:space="preserve">contributions </w:t>
            </w:r>
            <w:r w:rsidRPr="00817C2F">
              <w:rPr>
                <w:color w:val="231F20"/>
                <w:sz w:val="16"/>
                <w:szCs w:val="16"/>
              </w:rPr>
              <w:t>from unregulated reaches and tributaries of the Latrobe River with little opportunity for freshes to occur naturally</w:t>
            </w:r>
          </w:p>
          <w:p w:rsidR="006A7A3F" w:rsidRPr="00817C2F" w:rsidRDefault="00BC7372" w:rsidP="009B6917">
            <w:pPr>
              <w:pStyle w:val="TableParagraph"/>
              <w:numPr>
                <w:ilvl w:val="0"/>
                <w:numId w:val="1370"/>
              </w:numPr>
              <w:tabs>
                <w:tab w:val="left" w:pos="300"/>
              </w:tabs>
              <w:spacing w:before="90" w:line="254" w:lineRule="auto"/>
              <w:ind w:right="199"/>
              <w:rPr>
                <w:sz w:val="16"/>
                <w:szCs w:val="16"/>
              </w:rPr>
            </w:pPr>
            <w:r w:rsidRPr="00817C2F">
              <w:rPr>
                <w:color w:val="231F20"/>
                <w:sz w:val="16"/>
                <w:szCs w:val="16"/>
              </w:rPr>
              <w:t>Consumptive demand from Blue Rock Reservoir will be very high and regular releases</w:t>
            </w:r>
          </w:p>
          <w:p w:rsidR="006A7A3F" w:rsidRPr="00817C2F" w:rsidRDefault="00BC7372">
            <w:pPr>
              <w:pStyle w:val="TableParagraph"/>
              <w:spacing w:before="3" w:line="254" w:lineRule="auto"/>
              <w:ind w:left="299" w:right="201"/>
              <w:rPr>
                <w:sz w:val="16"/>
                <w:szCs w:val="16"/>
              </w:rPr>
            </w:pPr>
            <w:r w:rsidRPr="00817C2F">
              <w:rPr>
                <w:color w:val="231F20"/>
                <w:sz w:val="16"/>
                <w:szCs w:val="16"/>
              </w:rPr>
              <w:t>to the Tanjil River will contribute substantially to low flows</w:t>
            </w:r>
          </w:p>
        </w:tc>
        <w:tc>
          <w:tcPr>
            <w:tcW w:w="2041" w:type="dxa"/>
            <w:tcBorders>
              <w:top w:val="nil"/>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9"/>
              </w:numPr>
              <w:tabs>
                <w:tab w:val="left" w:pos="300"/>
              </w:tabs>
              <w:spacing w:before="37" w:line="254" w:lineRule="auto"/>
              <w:ind w:right="218"/>
              <w:rPr>
                <w:sz w:val="16"/>
                <w:szCs w:val="16"/>
              </w:rPr>
            </w:pPr>
            <w:r w:rsidRPr="00817C2F">
              <w:rPr>
                <w:color w:val="231F20"/>
                <w:sz w:val="16"/>
                <w:szCs w:val="16"/>
              </w:rPr>
              <w:t>There will be some natural flow that contributes to low flows and</w:t>
            </w:r>
            <w:r w:rsidRPr="00817C2F">
              <w:rPr>
                <w:color w:val="231F20"/>
                <w:spacing w:val="-2"/>
                <w:sz w:val="16"/>
                <w:szCs w:val="16"/>
              </w:rPr>
              <w:t xml:space="preserve"> </w:t>
            </w:r>
            <w:r w:rsidRPr="00817C2F">
              <w:rPr>
                <w:color w:val="231F20"/>
                <w:sz w:val="16"/>
                <w:szCs w:val="16"/>
              </w:rPr>
              <w:t>freshes</w:t>
            </w:r>
          </w:p>
          <w:p w:rsidR="006A7A3F" w:rsidRPr="00817C2F" w:rsidRDefault="00BC7372" w:rsidP="009B6917">
            <w:pPr>
              <w:pStyle w:val="TableParagraph"/>
              <w:numPr>
                <w:ilvl w:val="0"/>
                <w:numId w:val="1369"/>
              </w:numPr>
              <w:tabs>
                <w:tab w:val="left" w:pos="300"/>
              </w:tabs>
              <w:spacing w:before="87" w:line="254" w:lineRule="auto"/>
              <w:ind w:right="258"/>
              <w:rPr>
                <w:sz w:val="16"/>
                <w:szCs w:val="16"/>
              </w:rPr>
            </w:pPr>
            <w:r w:rsidRPr="00817C2F">
              <w:rPr>
                <w:color w:val="231F20"/>
                <w:sz w:val="16"/>
                <w:szCs w:val="16"/>
              </w:rPr>
              <w:t xml:space="preserve">Consumptive demand from </w:t>
            </w:r>
            <w:r w:rsidRPr="00817C2F">
              <w:rPr>
                <w:color w:val="231F20"/>
                <w:spacing w:val="-3"/>
                <w:sz w:val="16"/>
                <w:szCs w:val="16"/>
              </w:rPr>
              <w:t xml:space="preserve">Blue </w:t>
            </w:r>
            <w:r w:rsidRPr="00817C2F">
              <w:rPr>
                <w:color w:val="231F20"/>
                <w:sz w:val="16"/>
                <w:szCs w:val="16"/>
              </w:rPr>
              <w:t>Rock Reservoir will be high and contribute to low flows</w:t>
            </w:r>
          </w:p>
        </w:tc>
        <w:tc>
          <w:tcPr>
            <w:tcW w:w="2041" w:type="dxa"/>
            <w:tcBorders>
              <w:top w:val="nil"/>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8"/>
              </w:numPr>
              <w:tabs>
                <w:tab w:val="left" w:pos="300"/>
              </w:tabs>
              <w:spacing w:before="37" w:line="254" w:lineRule="auto"/>
              <w:ind w:right="188"/>
              <w:rPr>
                <w:sz w:val="16"/>
                <w:szCs w:val="16"/>
              </w:rPr>
            </w:pPr>
            <w:r w:rsidRPr="00817C2F">
              <w:rPr>
                <w:color w:val="231F20"/>
                <w:sz w:val="16"/>
                <w:szCs w:val="16"/>
              </w:rPr>
              <w:t xml:space="preserve">Natural flow will provide low flow throughout the year, and multiple freshes (most </w:t>
            </w:r>
            <w:r w:rsidRPr="00817C2F">
              <w:rPr>
                <w:color w:val="231F20"/>
                <w:spacing w:val="-3"/>
                <w:sz w:val="16"/>
                <w:szCs w:val="16"/>
              </w:rPr>
              <w:t xml:space="preserve">likely </w:t>
            </w:r>
            <w:r w:rsidRPr="00817C2F">
              <w:rPr>
                <w:color w:val="231F20"/>
                <w:sz w:val="16"/>
                <w:szCs w:val="16"/>
              </w:rPr>
              <w:t>in</w:t>
            </w:r>
            <w:r w:rsidRPr="00817C2F">
              <w:rPr>
                <w:color w:val="231F20"/>
                <w:spacing w:val="-4"/>
                <w:sz w:val="16"/>
                <w:szCs w:val="16"/>
              </w:rPr>
              <w:t xml:space="preserve"> </w:t>
            </w:r>
            <w:r w:rsidRPr="00817C2F">
              <w:rPr>
                <w:color w:val="231F20"/>
                <w:sz w:val="16"/>
                <w:szCs w:val="16"/>
              </w:rPr>
              <w:t>winter/spring)</w:t>
            </w:r>
          </w:p>
          <w:p w:rsidR="006A7A3F" w:rsidRPr="00817C2F" w:rsidRDefault="00BC7372" w:rsidP="009B6917">
            <w:pPr>
              <w:pStyle w:val="TableParagraph"/>
              <w:numPr>
                <w:ilvl w:val="0"/>
                <w:numId w:val="1368"/>
              </w:numPr>
              <w:tabs>
                <w:tab w:val="left" w:pos="300"/>
              </w:tabs>
              <w:spacing w:before="89" w:line="254" w:lineRule="auto"/>
              <w:ind w:right="228"/>
              <w:rPr>
                <w:sz w:val="16"/>
                <w:szCs w:val="16"/>
              </w:rPr>
            </w:pPr>
            <w:r w:rsidRPr="00817C2F">
              <w:rPr>
                <w:color w:val="231F20"/>
                <w:sz w:val="16"/>
                <w:szCs w:val="16"/>
              </w:rPr>
              <w:t xml:space="preserve">Some spills are likely and there will be releases for consumptive </w:t>
            </w:r>
            <w:r w:rsidRPr="00817C2F">
              <w:rPr>
                <w:color w:val="231F20"/>
                <w:spacing w:val="-4"/>
                <w:sz w:val="16"/>
                <w:szCs w:val="16"/>
              </w:rPr>
              <w:t xml:space="preserve">users </w:t>
            </w:r>
            <w:r w:rsidRPr="00817C2F">
              <w:rPr>
                <w:color w:val="231F20"/>
                <w:sz w:val="16"/>
                <w:szCs w:val="16"/>
              </w:rPr>
              <w:t>which will partly contribute to low flows</w:t>
            </w:r>
          </w:p>
        </w:tc>
        <w:tc>
          <w:tcPr>
            <w:tcW w:w="2041" w:type="dxa"/>
            <w:tcBorders>
              <w:top w:val="nil"/>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7"/>
              </w:numPr>
              <w:tabs>
                <w:tab w:val="left" w:pos="300"/>
              </w:tabs>
              <w:spacing w:before="37" w:line="254" w:lineRule="auto"/>
              <w:ind w:right="197"/>
              <w:rPr>
                <w:sz w:val="16"/>
                <w:szCs w:val="16"/>
              </w:rPr>
            </w:pPr>
            <w:r w:rsidRPr="00817C2F">
              <w:rPr>
                <w:color w:val="231F20"/>
                <w:sz w:val="16"/>
                <w:szCs w:val="16"/>
              </w:rPr>
              <w:t xml:space="preserve">Natural flow will provide strong low flow throughout </w:t>
            </w:r>
            <w:r w:rsidRPr="00817C2F">
              <w:rPr>
                <w:color w:val="231F20"/>
                <w:spacing w:val="-6"/>
                <w:sz w:val="16"/>
                <w:szCs w:val="16"/>
              </w:rPr>
              <w:t xml:space="preserve">the </w:t>
            </w:r>
            <w:r w:rsidRPr="00817C2F">
              <w:rPr>
                <w:color w:val="231F20"/>
                <w:sz w:val="16"/>
                <w:szCs w:val="16"/>
              </w:rPr>
              <w:t>year</w:t>
            </w:r>
          </w:p>
          <w:p w:rsidR="006A7A3F" w:rsidRPr="00817C2F" w:rsidRDefault="00BC7372" w:rsidP="009B6917">
            <w:pPr>
              <w:pStyle w:val="TableParagraph"/>
              <w:numPr>
                <w:ilvl w:val="0"/>
                <w:numId w:val="1367"/>
              </w:numPr>
              <w:tabs>
                <w:tab w:val="left" w:pos="300"/>
              </w:tabs>
              <w:spacing w:before="87" w:line="254" w:lineRule="auto"/>
              <w:ind w:right="89"/>
              <w:rPr>
                <w:sz w:val="16"/>
                <w:szCs w:val="16"/>
              </w:rPr>
            </w:pPr>
            <w:r w:rsidRPr="00817C2F">
              <w:rPr>
                <w:color w:val="231F20"/>
                <w:sz w:val="16"/>
                <w:szCs w:val="16"/>
              </w:rPr>
              <w:t>Multiple spills from Blue Rock Reservoir will provide extended durations of freshes, high flows and overbank flows</w:t>
            </w:r>
          </w:p>
          <w:p w:rsidR="006A7A3F" w:rsidRPr="00817C2F" w:rsidRDefault="00BC7372" w:rsidP="009B6917">
            <w:pPr>
              <w:pStyle w:val="TableParagraph"/>
              <w:numPr>
                <w:ilvl w:val="0"/>
                <w:numId w:val="1367"/>
              </w:numPr>
              <w:tabs>
                <w:tab w:val="left" w:pos="300"/>
              </w:tabs>
              <w:spacing w:before="90" w:line="254" w:lineRule="auto"/>
              <w:ind w:right="159"/>
              <w:rPr>
                <w:sz w:val="16"/>
                <w:szCs w:val="16"/>
              </w:rPr>
            </w:pPr>
            <w:r w:rsidRPr="00817C2F">
              <w:rPr>
                <w:color w:val="231F20"/>
                <w:sz w:val="16"/>
                <w:szCs w:val="16"/>
              </w:rPr>
              <w:t>No significant releases from consumptive entitlements in Blue Rock Reservoir are likely</w:t>
            </w:r>
          </w:p>
        </w:tc>
      </w:tr>
      <w:tr w:rsidR="006A7A3F">
        <w:trPr>
          <w:trHeight w:val="466"/>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line="261" w:lineRule="auto"/>
              <w:ind w:left="80" w:right="116"/>
              <w:rPr>
                <w:sz w:val="16"/>
              </w:rPr>
            </w:pPr>
            <w:r>
              <w:rPr>
                <w:color w:val="231F20"/>
                <w:sz w:val="16"/>
              </w:rPr>
              <w:t>Expected availability of water for the environment</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6"/>
              </w:numPr>
              <w:tabs>
                <w:tab w:val="left" w:pos="300"/>
              </w:tabs>
              <w:spacing w:before="37"/>
              <w:rPr>
                <w:sz w:val="16"/>
                <w:szCs w:val="16"/>
              </w:rPr>
            </w:pPr>
            <w:r w:rsidRPr="00817C2F">
              <w:rPr>
                <w:color w:val="231F20"/>
                <w:sz w:val="16"/>
                <w:szCs w:val="16"/>
              </w:rPr>
              <w:t>15,000</w:t>
            </w:r>
            <w:r w:rsidRPr="00817C2F">
              <w:rPr>
                <w:color w:val="231F20"/>
                <w:spacing w:val="-2"/>
                <w:sz w:val="16"/>
                <w:szCs w:val="16"/>
              </w:rPr>
              <w:t xml:space="preserve"> </w:t>
            </w:r>
            <w:r w:rsidRPr="00817C2F">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5"/>
              </w:numPr>
              <w:tabs>
                <w:tab w:val="left" w:pos="300"/>
              </w:tabs>
              <w:spacing w:before="37"/>
              <w:rPr>
                <w:sz w:val="16"/>
                <w:szCs w:val="16"/>
              </w:rPr>
            </w:pPr>
            <w:r w:rsidRPr="00817C2F">
              <w:rPr>
                <w:color w:val="231F20"/>
                <w:sz w:val="16"/>
                <w:szCs w:val="16"/>
              </w:rPr>
              <w:t>17,000</w:t>
            </w:r>
            <w:r w:rsidRPr="00817C2F">
              <w:rPr>
                <w:color w:val="231F20"/>
                <w:spacing w:val="-2"/>
                <w:sz w:val="16"/>
                <w:szCs w:val="16"/>
              </w:rPr>
              <w:t xml:space="preserve"> </w:t>
            </w:r>
            <w:r w:rsidRPr="00817C2F">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4"/>
              </w:numPr>
              <w:tabs>
                <w:tab w:val="left" w:pos="300"/>
              </w:tabs>
              <w:spacing w:before="37"/>
              <w:rPr>
                <w:sz w:val="16"/>
                <w:szCs w:val="16"/>
              </w:rPr>
            </w:pPr>
            <w:r w:rsidRPr="00817C2F">
              <w:rPr>
                <w:color w:val="231F20"/>
                <w:sz w:val="16"/>
                <w:szCs w:val="16"/>
              </w:rPr>
              <w:t>22,000</w:t>
            </w:r>
            <w:r w:rsidRPr="00817C2F">
              <w:rPr>
                <w:color w:val="231F20"/>
                <w:spacing w:val="-2"/>
                <w:sz w:val="16"/>
                <w:szCs w:val="16"/>
              </w:rPr>
              <w:t xml:space="preserve"> </w:t>
            </w:r>
            <w:r w:rsidRPr="00817C2F">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3"/>
              </w:numPr>
              <w:tabs>
                <w:tab w:val="left" w:pos="300"/>
              </w:tabs>
              <w:spacing w:before="37"/>
              <w:rPr>
                <w:sz w:val="16"/>
                <w:szCs w:val="16"/>
              </w:rPr>
            </w:pPr>
            <w:r w:rsidRPr="00817C2F">
              <w:rPr>
                <w:color w:val="231F20"/>
                <w:sz w:val="16"/>
                <w:szCs w:val="16"/>
              </w:rPr>
              <w:t>30,000</w:t>
            </w:r>
            <w:r w:rsidRPr="00817C2F">
              <w:rPr>
                <w:color w:val="231F20"/>
                <w:spacing w:val="-2"/>
                <w:sz w:val="16"/>
                <w:szCs w:val="16"/>
              </w:rPr>
              <w:t xml:space="preserve"> </w:t>
            </w:r>
            <w:r w:rsidRPr="00817C2F">
              <w:rPr>
                <w:color w:val="231F20"/>
                <w:sz w:val="16"/>
                <w:szCs w:val="16"/>
              </w:rPr>
              <w:t>ML</w:t>
            </w:r>
          </w:p>
        </w:tc>
      </w:tr>
      <w:tr w:rsidR="006A7A3F">
        <w:trPr>
          <w:trHeight w:val="2431"/>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line="261" w:lineRule="auto"/>
              <w:ind w:left="80" w:right="277"/>
              <w:jc w:val="both"/>
              <w:rPr>
                <w:sz w:val="16"/>
              </w:rPr>
            </w:pPr>
            <w:r>
              <w:rPr>
                <w:color w:val="231F20"/>
                <w:sz w:val="16"/>
              </w:rPr>
              <w:t>Potential environmental watering – tier 1a (high priorities)</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2"/>
              </w:numPr>
              <w:tabs>
                <w:tab w:val="left" w:pos="300"/>
              </w:tabs>
              <w:spacing w:before="37" w:line="254" w:lineRule="auto"/>
              <w:ind w:right="78"/>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(delivered in February to March)</w:t>
            </w:r>
          </w:p>
          <w:p w:rsidR="006A7A3F" w:rsidRPr="00817C2F" w:rsidRDefault="00BC7372" w:rsidP="009B6917">
            <w:pPr>
              <w:pStyle w:val="TableParagraph"/>
              <w:numPr>
                <w:ilvl w:val="0"/>
                <w:numId w:val="1362"/>
              </w:numPr>
              <w:tabs>
                <w:tab w:val="left" w:pos="300"/>
              </w:tabs>
              <w:spacing w:before="87" w:line="254" w:lineRule="auto"/>
              <w:ind w:right="88"/>
              <w:rPr>
                <w:sz w:val="16"/>
                <w:szCs w:val="16"/>
              </w:rPr>
            </w:pPr>
            <w:r w:rsidRPr="00817C2F">
              <w:rPr>
                <w:color w:val="231F20"/>
                <w:sz w:val="16"/>
                <w:szCs w:val="16"/>
              </w:rPr>
              <w:t>Three summer/ autumn river freshes (no extended freshes)</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1"/>
              </w:numPr>
              <w:tabs>
                <w:tab w:val="left" w:pos="300"/>
              </w:tabs>
              <w:spacing w:before="37" w:line="254" w:lineRule="auto"/>
              <w:ind w:right="88"/>
              <w:rPr>
                <w:sz w:val="16"/>
                <w:szCs w:val="16"/>
              </w:rPr>
            </w:pPr>
            <w:r w:rsidRPr="00817C2F">
              <w:rPr>
                <w:color w:val="231F20"/>
                <w:spacing w:val="-4"/>
                <w:sz w:val="16"/>
                <w:szCs w:val="16"/>
              </w:rPr>
              <w:t xml:space="preserve">Two </w:t>
            </w:r>
            <w:r w:rsidRPr="00817C2F">
              <w:rPr>
                <w:color w:val="231F20"/>
                <w:sz w:val="16"/>
                <w:szCs w:val="16"/>
              </w:rPr>
              <w:t>summer/ autumn river</w:t>
            </w:r>
            <w:r w:rsidRPr="00817C2F">
              <w:rPr>
                <w:color w:val="231F20"/>
                <w:spacing w:val="-15"/>
                <w:sz w:val="16"/>
                <w:szCs w:val="16"/>
              </w:rPr>
              <w:t xml:space="preserve"> </w:t>
            </w:r>
            <w:r w:rsidRPr="00817C2F">
              <w:rPr>
                <w:color w:val="231F20"/>
                <w:sz w:val="16"/>
                <w:szCs w:val="16"/>
              </w:rPr>
              <w:t>freshes</w:t>
            </w:r>
          </w:p>
          <w:p w:rsidR="006A7A3F" w:rsidRPr="00817C2F" w:rsidRDefault="00BC7372" w:rsidP="009B6917">
            <w:pPr>
              <w:pStyle w:val="TableParagraph"/>
              <w:numPr>
                <w:ilvl w:val="0"/>
                <w:numId w:val="1361"/>
              </w:numPr>
              <w:tabs>
                <w:tab w:val="left" w:pos="300"/>
              </w:tabs>
              <w:spacing w:before="86" w:line="254" w:lineRule="auto"/>
              <w:ind w:right="108"/>
              <w:rPr>
                <w:sz w:val="16"/>
                <w:szCs w:val="16"/>
              </w:rPr>
            </w:pPr>
            <w:r w:rsidRPr="00817C2F">
              <w:rPr>
                <w:color w:val="231F20"/>
                <w:sz w:val="16"/>
                <w:szCs w:val="16"/>
              </w:rPr>
              <w:t>One summer/ autumn estuary fresh (or river fresh if estuary freshening not</w:t>
            </w:r>
            <w:r w:rsidRPr="00817C2F">
              <w:rPr>
                <w:color w:val="231F20"/>
                <w:spacing w:val="-2"/>
                <w:sz w:val="16"/>
                <w:szCs w:val="16"/>
              </w:rPr>
              <w:t xml:space="preserve"> </w:t>
            </w:r>
            <w:r w:rsidRPr="00817C2F">
              <w:rPr>
                <w:color w:val="231F20"/>
                <w:sz w:val="16"/>
                <w:szCs w:val="16"/>
              </w:rPr>
              <w:t>required)</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60"/>
              </w:numPr>
              <w:tabs>
                <w:tab w:val="left" w:pos="300"/>
              </w:tabs>
              <w:spacing w:before="37" w:line="254" w:lineRule="auto"/>
              <w:ind w:right="278"/>
              <w:rPr>
                <w:sz w:val="16"/>
                <w:szCs w:val="16"/>
              </w:rPr>
            </w:pPr>
            <w:r w:rsidRPr="00817C2F">
              <w:rPr>
                <w:color w:val="231F20"/>
                <w:sz w:val="16"/>
                <w:szCs w:val="16"/>
              </w:rPr>
              <w:t>One summer/ autumn river</w:t>
            </w:r>
            <w:r w:rsidRPr="00817C2F">
              <w:rPr>
                <w:color w:val="231F20"/>
                <w:spacing w:val="-2"/>
                <w:sz w:val="16"/>
                <w:szCs w:val="16"/>
              </w:rPr>
              <w:t xml:space="preserve"> </w:t>
            </w:r>
            <w:r w:rsidRPr="00817C2F">
              <w:rPr>
                <w:color w:val="231F20"/>
                <w:spacing w:val="-3"/>
                <w:sz w:val="16"/>
                <w:szCs w:val="16"/>
              </w:rPr>
              <w:t>fresh</w:t>
            </w:r>
          </w:p>
          <w:p w:rsidR="006A7A3F" w:rsidRPr="00817C2F" w:rsidRDefault="00BC7372" w:rsidP="009B6917">
            <w:pPr>
              <w:pStyle w:val="TableParagraph"/>
              <w:numPr>
                <w:ilvl w:val="0"/>
                <w:numId w:val="1360"/>
              </w:numPr>
              <w:tabs>
                <w:tab w:val="left" w:pos="300"/>
              </w:tabs>
              <w:spacing w:before="86" w:line="254" w:lineRule="auto"/>
              <w:ind w:right="358"/>
              <w:rPr>
                <w:sz w:val="16"/>
                <w:szCs w:val="16"/>
              </w:rPr>
            </w:pPr>
            <w:r w:rsidRPr="00817C2F">
              <w:rPr>
                <w:color w:val="231F20"/>
                <w:sz w:val="16"/>
                <w:szCs w:val="16"/>
              </w:rPr>
              <w:t>Three summer/ autumn estuary freshes (or river freshes if estuary freshening not required)</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9"/>
              </w:numPr>
              <w:tabs>
                <w:tab w:val="left" w:pos="300"/>
              </w:tabs>
              <w:spacing w:before="37" w:line="254" w:lineRule="auto"/>
              <w:ind w:right="278"/>
              <w:rPr>
                <w:sz w:val="16"/>
                <w:szCs w:val="16"/>
              </w:rPr>
            </w:pPr>
            <w:r w:rsidRPr="00817C2F">
              <w:rPr>
                <w:color w:val="231F20"/>
                <w:sz w:val="16"/>
                <w:szCs w:val="16"/>
              </w:rPr>
              <w:t>One summer/ autumn river</w:t>
            </w:r>
            <w:r w:rsidRPr="00817C2F">
              <w:rPr>
                <w:color w:val="231F20"/>
                <w:spacing w:val="-2"/>
                <w:sz w:val="16"/>
                <w:szCs w:val="16"/>
              </w:rPr>
              <w:t xml:space="preserve"> </w:t>
            </w:r>
            <w:r w:rsidRPr="00817C2F">
              <w:rPr>
                <w:color w:val="231F20"/>
                <w:spacing w:val="-3"/>
                <w:sz w:val="16"/>
                <w:szCs w:val="16"/>
              </w:rPr>
              <w:t>fresh</w:t>
            </w:r>
          </w:p>
          <w:p w:rsidR="006A7A3F" w:rsidRPr="00817C2F" w:rsidRDefault="00BC7372" w:rsidP="009B6917">
            <w:pPr>
              <w:pStyle w:val="TableParagraph"/>
              <w:numPr>
                <w:ilvl w:val="0"/>
                <w:numId w:val="1359"/>
              </w:numPr>
              <w:tabs>
                <w:tab w:val="left" w:pos="300"/>
              </w:tabs>
              <w:spacing w:before="86" w:line="254" w:lineRule="auto"/>
              <w:ind w:right="358"/>
              <w:rPr>
                <w:sz w:val="16"/>
                <w:szCs w:val="16"/>
              </w:rPr>
            </w:pPr>
            <w:r w:rsidRPr="00817C2F">
              <w:rPr>
                <w:color w:val="231F20"/>
                <w:sz w:val="16"/>
                <w:szCs w:val="16"/>
              </w:rPr>
              <w:t>Three summer/ autumn estuary freshes (or river freshes if estuary freshening not required)</w:t>
            </w:r>
          </w:p>
          <w:p w:rsidR="006A7A3F" w:rsidRPr="00817C2F" w:rsidRDefault="00BC7372" w:rsidP="009B6917">
            <w:pPr>
              <w:pStyle w:val="TableParagraph"/>
              <w:numPr>
                <w:ilvl w:val="0"/>
                <w:numId w:val="1359"/>
              </w:numPr>
              <w:tabs>
                <w:tab w:val="left" w:pos="300"/>
              </w:tabs>
              <w:spacing w:before="89" w:line="254" w:lineRule="auto"/>
              <w:ind w:right="329"/>
              <w:rPr>
                <w:sz w:val="16"/>
                <w:szCs w:val="16"/>
              </w:rPr>
            </w:pPr>
            <w:r w:rsidRPr="00817C2F">
              <w:rPr>
                <w:color w:val="231F20"/>
                <w:spacing w:val="-4"/>
                <w:sz w:val="16"/>
                <w:szCs w:val="16"/>
              </w:rPr>
              <w:t xml:space="preserve">Two </w:t>
            </w:r>
            <w:r w:rsidRPr="00817C2F">
              <w:rPr>
                <w:color w:val="231F20"/>
                <w:sz w:val="16"/>
                <w:szCs w:val="16"/>
              </w:rPr>
              <w:t>winter/spring freshes</w:t>
            </w:r>
          </w:p>
        </w:tc>
      </w:tr>
      <w:tr w:rsidR="006A7A3F">
        <w:trPr>
          <w:trHeight w:val="1466"/>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line="261" w:lineRule="auto"/>
              <w:ind w:left="80" w:right="277"/>
              <w:jc w:val="both"/>
              <w:rPr>
                <w:sz w:val="16"/>
              </w:rPr>
            </w:pPr>
            <w:r>
              <w:rPr>
                <w:color w:val="231F20"/>
                <w:sz w:val="16"/>
              </w:rPr>
              <w:t>Potential environmental watering – tier 1b (high priorities with shortfall)</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8"/>
              </w:numPr>
              <w:tabs>
                <w:tab w:val="left" w:pos="300"/>
              </w:tabs>
              <w:spacing w:before="37" w:line="254" w:lineRule="auto"/>
              <w:ind w:right="309"/>
              <w:rPr>
                <w:sz w:val="16"/>
                <w:szCs w:val="16"/>
              </w:rPr>
            </w:pPr>
            <w:r w:rsidRPr="00817C2F">
              <w:rPr>
                <w:color w:val="231F20"/>
                <w:sz w:val="16"/>
                <w:szCs w:val="16"/>
              </w:rPr>
              <w:t>Summer/autumn low flow delivered continuously</w:t>
            </w:r>
          </w:p>
          <w:p w:rsidR="006A7A3F" w:rsidRPr="00817C2F" w:rsidRDefault="00BC7372" w:rsidP="009B6917">
            <w:pPr>
              <w:pStyle w:val="TableParagraph"/>
              <w:numPr>
                <w:ilvl w:val="0"/>
                <w:numId w:val="1358"/>
              </w:numPr>
              <w:tabs>
                <w:tab w:val="left" w:pos="300"/>
              </w:tabs>
              <w:spacing w:before="87" w:line="254" w:lineRule="auto"/>
              <w:ind w:right="489"/>
              <w:rPr>
                <w:sz w:val="16"/>
                <w:szCs w:val="16"/>
              </w:rPr>
            </w:pPr>
            <w:r w:rsidRPr="00817C2F">
              <w:rPr>
                <w:color w:val="231F20"/>
                <w:sz w:val="16"/>
                <w:szCs w:val="16"/>
              </w:rPr>
              <w:t>One summer/ autumn estuary fresh</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7"/>
              </w:numPr>
              <w:tabs>
                <w:tab w:val="left" w:pos="300"/>
              </w:tabs>
              <w:spacing w:before="37" w:line="254" w:lineRule="auto"/>
              <w:ind w:right="428"/>
              <w:rPr>
                <w:sz w:val="16"/>
                <w:szCs w:val="16"/>
              </w:rPr>
            </w:pPr>
            <w:r w:rsidRPr="00817C2F">
              <w:rPr>
                <w:color w:val="231F20"/>
                <w:sz w:val="16"/>
                <w:szCs w:val="16"/>
              </w:rPr>
              <w:t>One additional summer/autumn estuary</w:t>
            </w:r>
            <w:r w:rsidRPr="00817C2F">
              <w:rPr>
                <w:color w:val="231F20"/>
                <w:spacing w:val="-2"/>
                <w:sz w:val="16"/>
                <w:szCs w:val="16"/>
              </w:rPr>
              <w:t xml:space="preserve"> </w:t>
            </w:r>
            <w:r w:rsidRPr="00817C2F">
              <w:rPr>
                <w:color w:val="231F20"/>
                <w:sz w:val="16"/>
                <w:szCs w:val="16"/>
              </w:rPr>
              <w:t>fresh</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6"/>
              </w:numPr>
              <w:tabs>
                <w:tab w:val="left" w:pos="300"/>
              </w:tabs>
              <w:spacing w:before="37" w:line="254" w:lineRule="auto"/>
              <w:ind w:right="319"/>
              <w:rPr>
                <w:sz w:val="16"/>
                <w:szCs w:val="16"/>
              </w:rPr>
            </w:pPr>
            <w:r w:rsidRPr="00817C2F">
              <w:rPr>
                <w:color w:val="231F20"/>
                <w:sz w:val="16"/>
                <w:szCs w:val="16"/>
              </w:rPr>
              <w:t>One winter/spring fresh</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5"/>
              </w:numPr>
              <w:tabs>
                <w:tab w:val="left" w:pos="300"/>
              </w:tabs>
              <w:spacing w:before="37"/>
              <w:rPr>
                <w:sz w:val="16"/>
                <w:szCs w:val="16"/>
              </w:rPr>
            </w:pPr>
            <w:r w:rsidRPr="00817C2F">
              <w:rPr>
                <w:color w:val="231F20"/>
                <w:sz w:val="16"/>
                <w:szCs w:val="16"/>
              </w:rPr>
              <w:t>N/A</w:t>
            </w:r>
          </w:p>
        </w:tc>
      </w:tr>
      <w:tr w:rsidR="006A7A3F">
        <w:trPr>
          <w:trHeight w:val="1246"/>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line="261" w:lineRule="auto"/>
              <w:ind w:left="80" w:right="258"/>
              <w:rPr>
                <w:sz w:val="16"/>
              </w:rPr>
            </w:pPr>
            <w:r>
              <w:rPr>
                <w:color w:val="231F20"/>
                <w:sz w:val="16"/>
              </w:rPr>
              <w:t>Potential environmental watering – tier 2 (additional priorities)</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rsidP="009B6917">
            <w:pPr>
              <w:pStyle w:val="TableParagraph"/>
              <w:numPr>
                <w:ilvl w:val="0"/>
                <w:numId w:val="1354"/>
              </w:numPr>
              <w:tabs>
                <w:tab w:val="left" w:pos="300"/>
              </w:tabs>
              <w:spacing w:before="37" w:line="254" w:lineRule="auto"/>
              <w:ind w:right="158"/>
              <w:rPr>
                <w:sz w:val="10"/>
              </w:rPr>
            </w:pPr>
            <w:r w:rsidRPr="00817C2F">
              <w:rPr>
                <w:color w:val="231F20"/>
                <w:sz w:val="16"/>
                <w:szCs w:val="16"/>
              </w:rPr>
              <w:t xml:space="preserve">Winter/spring low flow (deliver for </w:t>
            </w:r>
            <w:r w:rsidRPr="00817C2F">
              <w:rPr>
                <w:color w:val="231F20"/>
                <w:spacing w:val="-6"/>
                <w:sz w:val="16"/>
                <w:szCs w:val="16"/>
              </w:rPr>
              <w:t xml:space="preserve">one </w:t>
            </w:r>
            <w:r w:rsidRPr="00817C2F">
              <w:rPr>
                <w:color w:val="231F20"/>
                <w:sz w:val="16"/>
                <w:szCs w:val="16"/>
              </w:rPr>
              <w:t>month)</w:t>
            </w:r>
            <w:r>
              <w:rPr>
                <w:color w:val="231F20"/>
                <w:position w:val="6"/>
                <w:sz w:val="10"/>
              </w:rPr>
              <w:t>1</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3"/>
              </w:numPr>
              <w:tabs>
                <w:tab w:val="left" w:pos="300"/>
              </w:tabs>
              <w:spacing w:before="37" w:line="254" w:lineRule="auto"/>
              <w:ind w:right="319"/>
              <w:rPr>
                <w:sz w:val="16"/>
                <w:szCs w:val="16"/>
              </w:rPr>
            </w:pPr>
            <w:r w:rsidRPr="00817C2F">
              <w:rPr>
                <w:color w:val="231F20"/>
                <w:sz w:val="16"/>
                <w:szCs w:val="16"/>
              </w:rPr>
              <w:t>One winter/spring fresh</w:t>
            </w:r>
          </w:p>
          <w:p w:rsidR="006A7A3F" w:rsidRPr="00817C2F" w:rsidRDefault="00BC7372" w:rsidP="009B6917">
            <w:pPr>
              <w:pStyle w:val="TableParagraph"/>
              <w:numPr>
                <w:ilvl w:val="0"/>
                <w:numId w:val="1353"/>
              </w:numPr>
              <w:tabs>
                <w:tab w:val="left" w:pos="300"/>
              </w:tabs>
              <w:spacing w:before="86" w:line="254" w:lineRule="auto"/>
              <w:ind w:right="158"/>
              <w:rPr>
                <w:sz w:val="16"/>
                <w:szCs w:val="16"/>
              </w:rPr>
            </w:pPr>
            <w:r w:rsidRPr="00817C2F">
              <w:rPr>
                <w:color w:val="231F20"/>
                <w:sz w:val="16"/>
                <w:szCs w:val="16"/>
              </w:rPr>
              <w:t xml:space="preserve">Winter/spring low flow (deliver for </w:t>
            </w:r>
            <w:r w:rsidRPr="00817C2F">
              <w:rPr>
                <w:color w:val="231F20"/>
                <w:spacing w:val="-6"/>
                <w:sz w:val="16"/>
                <w:szCs w:val="16"/>
              </w:rPr>
              <w:t xml:space="preserve">one </w:t>
            </w:r>
            <w:r w:rsidRPr="00817C2F">
              <w:rPr>
                <w:color w:val="231F20"/>
                <w:sz w:val="16"/>
                <w:szCs w:val="16"/>
              </w:rPr>
              <w:t>month)</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2"/>
              </w:numPr>
              <w:tabs>
                <w:tab w:val="left" w:pos="300"/>
              </w:tabs>
              <w:spacing w:before="37"/>
              <w:rPr>
                <w:sz w:val="16"/>
                <w:szCs w:val="16"/>
              </w:rPr>
            </w:pPr>
            <w:r w:rsidRPr="00817C2F">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1"/>
              </w:numPr>
              <w:tabs>
                <w:tab w:val="left" w:pos="300"/>
              </w:tabs>
              <w:spacing w:before="37"/>
              <w:rPr>
                <w:sz w:val="16"/>
                <w:szCs w:val="16"/>
              </w:rPr>
            </w:pPr>
            <w:r w:rsidRPr="00817C2F">
              <w:rPr>
                <w:color w:val="231F20"/>
                <w:sz w:val="16"/>
                <w:szCs w:val="16"/>
              </w:rPr>
              <w:t>N/A</w:t>
            </w:r>
          </w:p>
        </w:tc>
      </w:tr>
      <w:tr w:rsidR="006A7A3F">
        <w:trPr>
          <w:trHeight w:val="891"/>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line="261" w:lineRule="auto"/>
              <w:ind w:left="80" w:right="490"/>
              <w:rPr>
                <w:sz w:val="9"/>
              </w:rPr>
            </w:pPr>
            <w:r>
              <w:rPr>
                <w:color w:val="231F20"/>
                <w:sz w:val="16"/>
              </w:rPr>
              <w:t>Possible volume of environmental water required to achieve objectives</w:t>
            </w:r>
            <w:r>
              <w:rPr>
                <w:color w:val="231F20"/>
                <w:position w:val="5"/>
                <w:sz w:val="9"/>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50"/>
              </w:numPr>
              <w:tabs>
                <w:tab w:val="left" w:pos="300"/>
              </w:tabs>
              <w:spacing w:before="37"/>
              <w:rPr>
                <w:sz w:val="16"/>
                <w:szCs w:val="16"/>
              </w:rPr>
            </w:pPr>
            <w:r w:rsidRPr="00817C2F">
              <w:rPr>
                <w:color w:val="231F20"/>
                <w:sz w:val="16"/>
                <w:szCs w:val="16"/>
              </w:rPr>
              <w:t>12,800 ML (tier</w:t>
            </w:r>
            <w:r w:rsidRPr="00817C2F">
              <w:rPr>
                <w:color w:val="231F20"/>
                <w:spacing w:val="-16"/>
                <w:sz w:val="16"/>
                <w:szCs w:val="16"/>
              </w:rPr>
              <w:t xml:space="preserve"> </w:t>
            </w:r>
            <w:r w:rsidRPr="00817C2F">
              <w:rPr>
                <w:color w:val="231F20"/>
                <w:sz w:val="16"/>
                <w:szCs w:val="16"/>
              </w:rPr>
              <w:t>1a)</w:t>
            </w:r>
          </w:p>
          <w:p w:rsidR="006A7A3F" w:rsidRPr="00817C2F" w:rsidRDefault="00BC7372" w:rsidP="009B6917">
            <w:pPr>
              <w:pStyle w:val="TableParagraph"/>
              <w:numPr>
                <w:ilvl w:val="0"/>
                <w:numId w:val="1350"/>
              </w:numPr>
              <w:tabs>
                <w:tab w:val="left" w:pos="300"/>
              </w:tabs>
              <w:spacing w:before="98"/>
              <w:rPr>
                <w:sz w:val="16"/>
                <w:szCs w:val="16"/>
              </w:rPr>
            </w:pPr>
            <w:r w:rsidRPr="00817C2F">
              <w:rPr>
                <w:color w:val="231F20"/>
                <w:sz w:val="16"/>
                <w:szCs w:val="16"/>
              </w:rPr>
              <w:t>16,300 ML (tier</w:t>
            </w:r>
            <w:r w:rsidRPr="00817C2F">
              <w:rPr>
                <w:color w:val="231F20"/>
                <w:spacing w:val="-16"/>
                <w:sz w:val="16"/>
                <w:szCs w:val="16"/>
              </w:rPr>
              <w:t xml:space="preserve"> </w:t>
            </w:r>
            <w:r w:rsidRPr="00817C2F">
              <w:rPr>
                <w:color w:val="231F20"/>
                <w:sz w:val="16"/>
                <w:szCs w:val="16"/>
              </w:rPr>
              <w:t>1b)</w:t>
            </w:r>
          </w:p>
          <w:p w:rsidR="006A7A3F" w:rsidRPr="00817C2F" w:rsidRDefault="00BC7372" w:rsidP="009B6917">
            <w:pPr>
              <w:pStyle w:val="TableParagraph"/>
              <w:numPr>
                <w:ilvl w:val="0"/>
                <w:numId w:val="1350"/>
              </w:numPr>
              <w:tabs>
                <w:tab w:val="left" w:pos="300"/>
              </w:tabs>
              <w:spacing w:before="98"/>
              <w:rPr>
                <w:sz w:val="16"/>
                <w:szCs w:val="16"/>
              </w:rPr>
            </w:pPr>
            <w:r w:rsidRPr="00817C2F">
              <w:rPr>
                <w:color w:val="231F20"/>
                <w:sz w:val="16"/>
                <w:szCs w:val="16"/>
              </w:rPr>
              <w:t>9,000 ML (tier</w:t>
            </w:r>
            <w:r w:rsidRPr="00817C2F">
              <w:rPr>
                <w:color w:val="231F20"/>
                <w:spacing w:val="-10"/>
                <w:sz w:val="16"/>
                <w:szCs w:val="16"/>
              </w:rPr>
              <w:t xml:space="preserve"> </w:t>
            </w:r>
            <w:r w:rsidRPr="00817C2F">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49"/>
              </w:numPr>
              <w:tabs>
                <w:tab w:val="left" w:pos="300"/>
              </w:tabs>
              <w:spacing w:before="37"/>
              <w:rPr>
                <w:sz w:val="16"/>
                <w:szCs w:val="16"/>
              </w:rPr>
            </w:pPr>
            <w:r w:rsidRPr="00817C2F">
              <w:rPr>
                <w:color w:val="231F20"/>
                <w:sz w:val="16"/>
                <w:szCs w:val="16"/>
              </w:rPr>
              <w:t>13,200 ML (tier</w:t>
            </w:r>
            <w:r w:rsidRPr="00817C2F">
              <w:rPr>
                <w:color w:val="231F20"/>
                <w:spacing w:val="-12"/>
                <w:sz w:val="16"/>
                <w:szCs w:val="16"/>
              </w:rPr>
              <w:t xml:space="preserve"> </w:t>
            </w:r>
            <w:r w:rsidRPr="00817C2F">
              <w:rPr>
                <w:color w:val="231F20"/>
                <w:sz w:val="16"/>
                <w:szCs w:val="16"/>
              </w:rPr>
              <w:t>1a)</w:t>
            </w:r>
          </w:p>
          <w:p w:rsidR="006A7A3F" w:rsidRPr="00817C2F" w:rsidRDefault="00BC7372" w:rsidP="009B6917">
            <w:pPr>
              <w:pStyle w:val="TableParagraph"/>
              <w:numPr>
                <w:ilvl w:val="0"/>
                <w:numId w:val="1349"/>
              </w:numPr>
              <w:tabs>
                <w:tab w:val="left" w:pos="300"/>
              </w:tabs>
              <w:spacing w:before="98"/>
              <w:rPr>
                <w:sz w:val="16"/>
                <w:szCs w:val="16"/>
              </w:rPr>
            </w:pPr>
            <w:r w:rsidRPr="00817C2F">
              <w:rPr>
                <w:color w:val="231F20"/>
                <w:sz w:val="16"/>
                <w:szCs w:val="16"/>
              </w:rPr>
              <w:t>7,200 ML (tier</w:t>
            </w:r>
            <w:r w:rsidRPr="00817C2F">
              <w:rPr>
                <w:color w:val="231F20"/>
                <w:spacing w:val="-15"/>
                <w:sz w:val="16"/>
                <w:szCs w:val="16"/>
              </w:rPr>
              <w:t xml:space="preserve"> </w:t>
            </w:r>
            <w:r w:rsidRPr="00817C2F">
              <w:rPr>
                <w:color w:val="231F20"/>
                <w:sz w:val="16"/>
                <w:szCs w:val="16"/>
              </w:rPr>
              <w:t>1b)</w:t>
            </w:r>
          </w:p>
          <w:p w:rsidR="006A7A3F" w:rsidRPr="00817C2F" w:rsidRDefault="00BC7372" w:rsidP="009B6917">
            <w:pPr>
              <w:pStyle w:val="TableParagraph"/>
              <w:numPr>
                <w:ilvl w:val="0"/>
                <w:numId w:val="1349"/>
              </w:numPr>
              <w:tabs>
                <w:tab w:val="left" w:pos="300"/>
              </w:tabs>
              <w:spacing w:before="98"/>
              <w:rPr>
                <w:sz w:val="16"/>
                <w:szCs w:val="16"/>
              </w:rPr>
            </w:pPr>
            <w:r w:rsidRPr="00817C2F">
              <w:rPr>
                <w:color w:val="231F20"/>
                <w:sz w:val="16"/>
                <w:szCs w:val="16"/>
              </w:rPr>
              <w:t>15,400 ML (tier</w:t>
            </w:r>
            <w:r w:rsidRPr="00817C2F">
              <w:rPr>
                <w:color w:val="231F20"/>
                <w:spacing w:val="-15"/>
                <w:sz w:val="16"/>
                <w:szCs w:val="16"/>
              </w:rPr>
              <w:t xml:space="preserve"> </w:t>
            </w:r>
            <w:r w:rsidRPr="00817C2F">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48"/>
              </w:numPr>
              <w:tabs>
                <w:tab w:val="left" w:pos="300"/>
              </w:tabs>
              <w:spacing w:before="37"/>
              <w:rPr>
                <w:sz w:val="16"/>
                <w:szCs w:val="16"/>
              </w:rPr>
            </w:pPr>
            <w:r w:rsidRPr="00817C2F">
              <w:rPr>
                <w:color w:val="231F20"/>
                <w:sz w:val="16"/>
                <w:szCs w:val="16"/>
              </w:rPr>
              <w:t>7,400–15,200</w:t>
            </w:r>
            <w:r w:rsidRPr="00817C2F">
              <w:rPr>
                <w:color w:val="231F20"/>
                <w:spacing w:val="-3"/>
                <w:sz w:val="16"/>
                <w:szCs w:val="16"/>
              </w:rPr>
              <w:t xml:space="preserve"> </w:t>
            </w:r>
            <w:r w:rsidRPr="00817C2F">
              <w:rPr>
                <w:color w:val="231F20"/>
                <w:sz w:val="16"/>
                <w:szCs w:val="16"/>
              </w:rPr>
              <w:t>ML</w:t>
            </w:r>
          </w:p>
          <w:p w:rsidR="006A7A3F" w:rsidRPr="00817C2F" w:rsidRDefault="00BC7372">
            <w:pPr>
              <w:pStyle w:val="TableParagraph"/>
              <w:spacing w:before="13"/>
              <w:ind w:left="299"/>
              <w:rPr>
                <w:sz w:val="16"/>
                <w:szCs w:val="16"/>
              </w:rPr>
            </w:pPr>
            <w:r w:rsidRPr="00817C2F">
              <w:rPr>
                <w:color w:val="231F20"/>
                <w:sz w:val="16"/>
                <w:szCs w:val="16"/>
              </w:rPr>
              <w:t>(tier 1a)</w:t>
            </w:r>
          </w:p>
          <w:p w:rsidR="006A7A3F" w:rsidRPr="00817C2F" w:rsidRDefault="00BC7372" w:rsidP="009B6917">
            <w:pPr>
              <w:pStyle w:val="TableParagraph"/>
              <w:numPr>
                <w:ilvl w:val="0"/>
                <w:numId w:val="1348"/>
              </w:numPr>
              <w:tabs>
                <w:tab w:val="left" w:pos="300"/>
              </w:tabs>
              <w:spacing w:before="98"/>
              <w:rPr>
                <w:sz w:val="16"/>
                <w:szCs w:val="16"/>
              </w:rPr>
            </w:pPr>
            <w:r w:rsidRPr="00817C2F">
              <w:rPr>
                <w:color w:val="231F20"/>
                <w:sz w:val="16"/>
                <w:szCs w:val="16"/>
              </w:rPr>
              <w:t>8,900 ML (tier</w:t>
            </w:r>
            <w:r w:rsidRPr="00817C2F">
              <w:rPr>
                <w:color w:val="231F20"/>
                <w:spacing w:val="-11"/>
                <w:sz w:val="16"/>
                <w:szCs w:val="16"/>
              </w:rPr>
              <w:t xml:space="preserve"> </w:t>
            </w:r>
            <w:r w:rsidRPr="00817C2F">
              <w:rPr>
                <w:color w:val="231F20"/>
                <w:sz w:val="16"/>
                <w:szCs w:val="16"/>
              </w:rPr>
              <w:t>1b)</w:t>
            </w:r>
          </w:p>
        </w:tc>
        <w:tc>
          <w:tcPr>
            <w:tcW w:w="2041"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47"/>
              </w:numPr>
              <w:tabs>
                <w:tab w:val="left" w:pos="300"/>
              </w:tabs>
              <w:spacing w:before="37"/>
              <w:rPr>
                <w:sz w:val="16"/>
                <w:szCs w:val="16"/>
              </w:rPr>
            </w:pPr>
            <w:r w:rsidRPr="00817C2F">
              <w:rPr>
                <w:color w:val="231F20"/>
                <w:sz w:val="16"/>
                <w:szCs w:val="16"/>
              </w:rPr>
              <w:t>15,000–21,600</w:t>
            </w:r>
            <w:r w:rsidRPr="00817C2F">
              <w:rPr>
                <w:color w:val="231F20"/>
                <w:spacing w:val="-3"/>
                <w:sz w:val="16"/>
                <w:szCs w:val="16"/>
              </w:rPr>
              <w:t xml:space="preserve"> </w:t>
            </w:r>
            <w:r w:rsidRPr="00817C2F">
              <w:rPr>
                <w:color w:val="231F20"/>
                <w:sz w:val="16"/>
                <w:szCs w:val="16"/>
              </w:rPr>
              <w:t>ML</w:t>
            </w:r>
          </w:p>
          <w:p w:rsidR="006A7A3F" w:rsidRPr="00817C2F" w:rsidRDefault="00BC7372">
            <w:pPr>
              <w:pStyle w:val="TableParagraph"/>
              <w:spacing w:before="13"/>
              <w:ind w:left="299"/>
              <w:rPr>
                <w:sz w:val="16"/>
                <w:szCs w:val="16"/>
              </w:rPr>
            </w:pPr>
            <w:r w:rsidRPr="00817C2F">
              <w:rPr>
                <w:color w:val="231F20"/>
                <w:sz w:val="16"/>
                <w:szCs w:val="16"/>
              </w:rPr>
              <w:t>(tier 1a)</w:t>
            </w:r>
          </w:p>
        </w:tc>
      </w:tr>
      <w:tr w:rsidR="006A7A3F">
        <w:trPr>
          <w:trHeight w:val="466"/>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line="261" w:lineRule="auto"/>
              <w:ind w:left="80" w:right="721"/>
              <w:rPr>
                <w:sz w:val="16"/>
              </w:rPr>
            </w:pPr>
            <w:r>
              <w:rPr>
                <w:color w:val="231F20"/>
                <w:sz w:val="16"/>
              </w:rPr>
              <w:t>Priority carryover requirements</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Default="00BC7372" w:rsidP="00B55EE8">
            <w:pPr>
              <w:pStyle w:val="TableParagraph"/>
              <w:numPr>
                <w:ilvl w:val="0"/>
                <w:numId w:val="1346"/>
              </w:numPr>
              <w:tabs>
                <w:tab w:val="left" w:pos="284"/>
              </w:tabs>
              <w:spacing w:before="37"/>
              <w:ind w:hanging="4000"/>
              <w:jc w:val="center"/>
              <w:rPr>
                <w:sz w:val="10"/>
              </w:rPr>
            </w:pPr>
            <w:r w:rsidRPr="00817C2F">
              <w:rPr>
                <w:color w:val="231F20"/>
                <w:sz w:val="16"/>
                <w:szCs w:val="16"/>
              </w:rPr>
              <w:t>N/A</w:t>
            </w:r>
            <w:r>
              <w:rPr>
                <w:color w:val="231F20"/>
                <w:position w:val="6"/>
                <w:sz w:val="10"/>
              </w:rPr>
              <w:t>3</w:t>
            </w:r>
          </w:p>
        </w:tc>
      </w:tr>
    </w:tbl>
    <w:p w:rsidR="006A7A3F" w:rsidRDefault="00BC7372">
      <w:pPr>
        <w:spacing w:before="137"/>
        <w:ind w:left="210"/>
        <w:rPr>
          <w:sz w:val="14"/>
        </w:rPr>
      </w:pPr>
      <w:r>
        <w:rPr>
          <w:color w:val="231F20"/>
          <w:position w:val="5"/>
          <w:sz w:val="8"/>
        </w:rPr>
        <w:t xml:space="preserve">1 </w:t>
      </w:r>
      <w:r>
        <w:rPr>
          <w:color w:val="231F20"/>
          <w:sz w:val="14"/>
        </w:rPr>
        <w:t>As low flows over winter and spring have a demand of 6,200–9,000 ML per month, only one month of continuous flow will likely be feasible.</w:t>
      </w:r>
    </w:p>
    <w:p w:rsidR="006A7A3F" w:rsidRDefault="00BC7372">
      <w:pPr>
        <w:spacing w:before="74"/>
        <w:ind w:left="210"/>
        <w:rPr>
          <w:sz w:val="14"/>
        </w:rPr>
      </w:pPr>
      <w:r>
        <w:rPr>
          <w:color w:val="231F20"/>
          <w:position w:val="5"/>
          <w:sz w:val="8"/>
        </w:rPr>
        <w:t xml:space="preserve">2 </w:t>
      </w:r>
      <w:r>
        <w:rPr>
          <w:color w:val="231F20"/>
          <w:sz w:val="14"/>
        </w:rPr>
        <w:t>Environmental water requirements for tier 2 actions are additional to tier 1 requirements.</w:t>
      </w:r>
    </w:p>
    <w:p w:rsidR="006A7A3F" w:rsidRDefault="00BC7372">
      <w:pPr>
        <w:spacing w:before="83"/>
        <w:ind w:left="210"/>
        <w:rPr>
          <w:sz w:val="14"/>
        </w:rPr>
      </w:pPr>
      <w:r>
        <w:rPr>
          <w:color w:val="231F20"/>
          <w:position w:val="5"/>
          <w:sz w:val="8"/>
        </w:rPr>
        <w:t xml:space="preserve">3 </w:t>
      </w:r>
      <w:r>
        <w:rPr>
          <w:color w:val="231F20"/>
          <w:sz w:val="14"/>
        </w:rPr>
        <w:t>There are no carryover provisions in the Blue Rock environmental entitlement.</w:t>
      </w:r>
    </w:p>
    <w:p w:rsidR="006A7A3F" w:rsidRDefault="006A7A3F">
      <w:pPr>
        <w:pStyle w:val="BodyText"/>
        <w:spacing w:before="0"/>
        <w:ind w:left="0"/>
        <w:rPr>
          <w:sz w:val="13"/>
        </w:rPr>
      </w:pPr>
    </w:p>
    <w:p w:rsidR="00A23A84" w:rsidRDefault="00A23A84">
      <w:pPr>
        <w:rPr>
          <w:rFonts w:ascii="HelveticaNeueLTStd-Md"/>
          <w:color w:val="231F20"/>
          <w:sz w:val="24"/>
        </w:rPr>
      </w:pPr>
      <w:r>
        <w:rPr>
          <w:rFonts w:ascii="HelveticaNeueLTStd-Md"/>
          <w:color w:val="231F20"/>
          <w:sz w:val="24"/>
        </w:rPr>
        <w:br w:type="page"/>
      </w:r>
    </w:p>
    <w:p w:rsidR="006A7A3F" w:rsidRDefault="00BC7372" w:rsidP="009B6917">
      <w:pPr>
        <w:pStyle w:val="ListParagraph"/>
        <w:numPr>
          <w:ilvl w:val="2"/>
          <w:numId w:val="1377"/>
        </w:numPr>
        <w:tabs>
          <w:tab w:val="left" w:pos="811"/>
        </w:tabs>
        <w:spacing w:before="0"/>
        <w:rPr>
          <w:rFonts w:ascii="HelveticaNeueLTStd-Md"/>
          <w:sz w:val="24"/>
        </w:rPr>
      </w:pPr>
      <w:r>
        <w:rPr>
          <w:rFonts w:ascii="HelveticaNeueLTStd-Md"/>
          <w:color w:val="231F20"/>
          <w:sz w:val="24"/>
        </w:rPr>
        <w:t>Lower Latrobe</w:t>
      </w:r>
      <w:r>
        <w:rPr>
          <w:rFonts w:ascii="HelveticaNeueLTStd-Md"/>
          <w:color w:val="231F20"/>
          <w:spacing w:val="-1"/>
          <w:sz w:val="24"/>
        </w:rPr>
        <w:t xml:space="preserve"> </w:t>
      </w:r>
      <w:r>
        <w:rPr>
          <w:rFonts w:ascii="HelveticaNeueLTStd-Md"/>
          <w:color w:val="231F20"/>
          <w:sz w:val="24"/>
        </w:rPr>
        <w:t>wetlands</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297"/>
      </w:pPr>
      <w:r>
        <w:rPr>
          <w:color w:val="231F20"/>
        </w:rPr>
        <w:t>The lower Latrobe wetlands (Dowd Morass, Heart Morass and Sale Common) are an important component of the internationally recognised Gippsland Lakes Ramsar site and provide habitat for a variety of waterbirds of state, national and international conservation significance. The wetlands are located on the floodplain of the Latrobe River between its confluence with the Thomson River, and they form part of the Gippsland Lakes system.</w:t>
      </w:r>
    </w:p>
    <w:p w:rsidR="006A7A3F" w:rsidRDefault="006A7A3F">
      <w:pPr>
        <w:pStyle w:val="BodyText"/>
        <w:spacing w:before="6"/>
        <w:ind w:left="0"/>
        <w:rPr>
          <w:sz w:val="21"/>
        </w:rPr>
      </w:pPr>
    </w:p>
    <w:p w:rsidR="006A7A3F" w:rsidRDefault="00BC7372">
      <w:pPr>
        <w:pStyle w:val="BodyText"/>
        <w:spacing w:before="0" w:line="249" w:lineRule="auto"/>
        <w:ind w:right="252"/>
      </w:pPr>
      <w:r>
        <w:rPr>
          <w:color w:val="231F20"/>
        </w:rPr>
        <w:t>River regulation and water extraction from the Latrobe, Thomson and Macalister rivers has reduced the frequency of small- and medium-sized floods that naturally wet the lower Latrobe wetlands. Construction of levees and drains and filling of natural depressions have also altered water movement into and through the wetlands. The drainage and flooding regime in all three wetlands is now managed to some extent with regulators connected to the Latrobe River.</w:t>
      </w:r>
    </w:p>
    <w:p w:rsidR="006A7A3F" w:rsidRDefault="00BC7372">
      <w:pPr>
        <w:spacing w:before="183"/>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297"/>
      </w:pPr>
      <w:r>
        <w:rPr>
          <w:color w:val="231F20"/>
        </w:rPr>
        <w:t>Sale Common is one of only two remaining freshwater wetlands in the Gippsland Lakes system. It provides sheltered feeding, breeding and resting habitat for a large range of waterbirds, including the Australasian bittern.</w:t>
      </w:r>
    </w:p>
    <w:p w:rsidR="006A7A3F" w:rsidRDefault="00BC7372">
      <w:pPr>
        <w:pStyle w:val="BodyText"/>
        <w:spacing w:before="171" w:line="249" w:lineRule="auto"/>
        <w:ind w:right="297"/>
      </w:pPr>
      <w:r>
        <w:rPr>
          <w:color w:val="231F20"/>
        </w:rPr>
        <w:t>Dowd Morass is a large, brackish wetland that regularly supports rookeries of colonial nesting waterbirds including Australian white ibis, straw-necked ibis, little black and little pied cormorants, royal spoonbills and great egrets.</w:t>
      </w:r>
    </w:p>
    <w:p w:rsidR="006A7A3F" w:rsidRDefault="00BC7372">
      <w:pPr>
        <w:pStyle w:val="BodyText"/>
        <w:spacing w:line="249" w:lineRule="auto"/>
        <w:ind w:right="241"/>
      </w:pPr>
      <w:r>
        <w:rPr>
          <w:color w:val="231F20"/>
        </w:rPr>
        <w:t>Heart Morass is also a large brackish wetland, with open expanses providing shallow feeding habitat for waterbirds including black swans, Eurasian coots and a variety of ducks.</w:t>
      </w:r>
    </w:p>
    <w:p w:rsidR="006A7A3F" w:rsidRDefault="00BC7372">
      <w:pPr>
        <w:pStyle w:val="BodyText"/>
        <w:spacing w:line="249" w:lineRule="auto"/>
        <w:ind w:right="201"/>
      </w:pPr>
      <w:r>
        <w:rPr>
          <w:color w:val="231F20"/>
        </w:rPr>
        <w:t>Together, the lower Latrobe wetlands function as a diverse and complementary ecological system. Colonial nesting waterbirds breed among swamp paperbark trees at Dowd Morass in spring. Migratory shorebirds feed on the mudflats that are exposed as the wetlands draw down and dry over summer. Waterfowl and fish-eating birds use open-water habitat at the wetlands year-round. The wetlands also support threatened vegetation communities including swamp scrub, brackish herbland and aquatic herbland.</w:t>
      </w:r>
    </w:p>
    <w:p w:rsidR="00A23A84" w:rsidRDefault="00A23A84">
      <w:pPr>
        <w:rPr>
          <w:rFonts w:ascii="Helvetica Neue LT Std 75"/>
          <w:b/>
          <w:color w:val="231F20"/>
          <w:sz w:val="19"/>
        </w:rPr>
      </w:pPr>
      <w:r>
        <w:rPr>
          <w:rFonts w:ascii="Helvetica Neue LT Std 75"/>
          <w:b/>
          <w:color w:val="231F20"/>
          <w:sz w:val="19"/>
        </w:rPr>
        <w:br w:type="page"/>
      </w:r>
    </w:p>
    <w:p w:rsidR="006A7A3F" w:rsidRDefault="00BC7372">
      <w:pPr>
        <w:spacing w:before="183"/>
        <w:ind w:left="210"/>
        <w:rPr>
          <w:rFonts w:ascii="Helvetica Neue LT Std 75"/>
          <w:b/>
          <w:sz w:val="19"/>
        </w:rPr>
      </w:pPr>
      <w:r>
        <w:rPr>
          <w:rFonts w:ascii="Helvetica Neue LT Std 75"/>
          <w:b/>
          <w:color w:val="231F20"/>
          <w:sz w:val="19"/>
        </w:rPr>
        <w:t>Environmental watering objectives in the lower Latrobe wetlands</w:t>
      </w:r>
    </w:p>
    <w:p w:rsidR="006A7A3F" w:rsidRDefault="006A7A3F">
      <w:pPr>
        <w:pStyle w:val="BodyText"/>
        <w:spacing w:before="12"/>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660"/>
        </w:trPr>
        <w:tc>
          <w:tcPr>
            <w:tcW w:w="789" w:type="dxa"/>
            <w:tcBorders>
              <w:top w:val="single" w:sz="8" w:space="0" w:color="FFFFFF"/>
              <w:bottom w:val="single" w:sz="8" w:space="0" w:color="FFFFFF"/>
            </w:tcBorders>
            <w:shd w:val="clear" w:color="auto" w:fill="E6E7E8"/>
          </w:tcPr>
          <w:p w:rsidR="006A7A3F" w:rsidRDefault="006A7A3F">
            <w:pPr>
              <w:pStyle w:val="TableParagraph"/>
              <w:spacing w:before="1"/>
              <w:ind w:left="0"/>
              <w:rPr>
                <w:rFonts w:ascii="Helvetica Neue LT Std 75"/>
                <w:b/>
                <w:sz w:val="6"/>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01"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85"/>
              <w:ind w:left="118"/>
              <w:rPr>
                <w:rFonts w:ascii="HelveticaNeueLTStd-Roman"/>
                <w:sz w:val="17"/>
              </w:rPr>
            </w:pPr>
            <w:r>
              <w:rPr>
                <w:rFonts w:ascii="HelveticaNeueLTStd-Roman"/>
                <w:color w:val="231F20"/>
                <w:sz w:val="17"/>
              </w:rPr>
              <w:t>Maintain the abundance of frog populations</w:t>
            </w:r>
          </w:p>
        </w:tc>
      </w:tr>
      <w:tr w:rsidR="006A7A3F">
        <w:trPr>
          <w:trHeight w:val="660"/>
        </w:trPr>
        <w:tc>
          <w:tcPr>
            <w:tcW w:w="789" w:type="dxa"/>
            <w:tcBorders>
              <w:top w:val="single" w:sz="8" w:space="0" w:color="FFFFFF"/>
              <w:bottom w:val="single" w:sz="8" w:space="0" w:color="FFFFFF"/>
            </w:tcBorders>
            <w:shd w:val="clear" w:color="auto" w:fill="E6E7E8"/>
          </w:tcPr>
          <w:p w:rsidR="006A7A3F" w:rsidRDefault="006A7A3F">
            <w:pPr>
              <w:pStyle w:val="TableParagraph"/>
              <w:spacing w:before="1"/>
              <w:ind w:left="0"/>
              <w:rPr>
                <w:rFonts w:ascii="Helvetica Neue LT Std 75"/>
                <w:b/>
                <w:sz w:val="6"/>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03"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09" w:line="211" w:lineRule="auto"/>
              <w:ind w:left="118"/>
              <w:rPr>
                <w:rFonts w:ascii="HelveticaNeueLTStd-Roman"/>
                <w:sz w:val="17"/>
              </w:rPr>
            </w:pPr>
            <w:r>
              <w:rPr>
                <w:rFonts w:ascii="HelveticaNeueLTStd-Roman"/>
                <w:color w:val="231F20"/>
                <w:sz w:val="17"/>
              </w:rPr>
              <w:t>Maintain the abundance of freshwater turtle populations</w:t>
            </w:r>
          </w:p>
        </w:tc>
      </w:tr>
      <w:tr w:rsidR="006A7A3F" w:rsidTr="00AE6949">
        <w:trPr>
          <w:trHeight w:val="2300"/>
        </w:trPr>
        <w:tc>
          <w:tcPr>
            <w:tcW w:w="789" w:type="dxa"/>
            <w:tcBorders>
              <w:top w:val="single" w:sz="8" w:space="0" w:color="FFFFFF"/>
              <w:bottom w:val="single" w:sz="8" w:space="0" w:color="FFFFFF"/>
            </w:tcBorders>
            <w:shd w:val="clear" w:color="auto" w:fill="E6E7E8"/>
            <w:vAlign w:val="center"/>
          </w:tcPr>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5"/>
                  <wp:effectExtent l="0" t="0" r="0" b="0"/>
                  <wp:docPr id="10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vAlign w:val="center"/>
          </w:tcPr>
          <w:p w:rsidR="006A7A3F" w:rsidRDefault="00BC7372">
            <w:pPr>
              <w:pStyle w:val="TableParagraph"/>
              <w:spacing w:before="109" w:line="211" w:lineRule="auto"/>
              <w:ind w:left="118" w:right="285"/>
              <w:jc w:val="both"/>
              <w:rPr>
                <w:rFonts w:ascii="HelveticaNeueLTStd-Roman"/>
                <w:sz w:val="17"/>
              </w:rPr>
            </w:pPr>
            <w:r>
              <w:rPr>
                <w:rFonts w:ascii="HelveticaNeueLTStd-Roman"/>
                <w:color w:val="231F20"/>
                <w:sz w:val="17"/>
              </w:rPr>
              <w:t xml:space="preserve">Maintain or restore a variety of </w:t>
            </w:r>
            <w:r>
              <w:rPr>
                <w:rFonts w:ascii="HelveticaNeueLTStd-Roman"/>
                <w:color w:val="231F20"/>
                <w:spacing w:val="-2"/>
                <w:sz w:val="17"/>
              </w:rPr>
              <w:t xml:space="preserve">self-sustaining </w:t>
            </w:r>
            <w:r>
              <w:rPr>
                <w:rFonts w:ascii="HelveticaNeueLTStd-Roman"/>
                <w:color w:val="231F20"/>
                <w:sz w:val="17"/>
              </w:rPr>
              <w:t>submerged and emergent aquatic vegetation types</w:t>
            </w:r>
          </w:p>
          <w:p w:rsidR="006A7A3F" w:rsidRDefault="00BC7372">
            <w:pPr>
              <w:pStyle w:val="TableParagraph"/>
              <w:spacing w:before="112" w:line="211" w:lineRule="auto"/>
              <w:ind w:left="118" w:right="208"/>
              <w:rPr>
                <w:rFonts w:ascii="HelveticaNeueLTStd-Roman"/>
                <w:sz w:val="17"/>
              </w:rPr>
            </w:pPr>
            <w:r>
              <w:rPr>
                <w:rFonts w:ascii="HelveticaNeueLTStd-Roman"/>
                <w:color w:val="231F20"/>
                <w:sz w:val="17"/>
              </w:rPr>
              <w:t>Maintain or restore the diversity, condition and/or extent of native streamside vegetation fringing wetlands</w:t>
            </w:r>
          </w:p>
          <w:p w:rsidR="006A7A3F" w:rsidRDefault="00BC7372">
            <w:pPr>
              <w:pStyle w:val="TableParagraph"/>
              <w:spacing w:before="112" w:line="211" w:lineRule="auto"/>
              <w:ind w:left="118"/>
              <w:rPr>
                <w:rFonts w:ascii="HelveticaNeueLTStd-Roman"/>
                <w:sz w:val="17"/>
              </w:rPr>
            </w:pPr>
            <w:r>
              <w:rPr>
                <w:rFonts w:ascii="HelveticaNeueLTStd-Roman"/>
                <w:color w:val="231F20"/>
                <w:sz w:val="17"/>
              </w:rPr>
              <w:t>Discourage the introduction and spread, or reduce the extent and density of undesirable/ invasive plants (Sale Common)</w:t>
            </w:r>
          </w:p>
        </w:tc>
      </w:tr>
      <w:tr w:rsidR="006A7A3F">
        <w:trPr>
          <w:trHeight w:val="84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5"/>
                  <wp:effectExtent l="0" t="0" r="0" b="0"/>
                  <wp:docPr id="107"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jpeg"/>
                          <pic:cNvPicPr/>
                        </pic:nvPicPr>
                        <pic:blipFill>
                          <a:blip r:embed="rId39"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09" w:line="211" w:lineRule="auto"/>
              <w:ind w:left="118" w:right="208"/>
              <w:rPr>
                <w:rFonts w:ascii="HelveticaNeueLTStd-Roman"/>
                <w:sz w:val="17"/>
              </w:rPr>
            </w:pPr>
            <w:r>
              <w:rPr>
                <w:rFonts w:ascii="HelveticaNeueLTStd-Roman"/>
                <w:color w:val="231F20"/>
                <w:sz w:val="17"/>
              </w:rPr>
              <w:t>Maintain or enhance waterbird breeding, recruitment, foraging and sheltering opportunities</w:t>
            </w:r>
          </w:p>
        </w:tc>
      </w:tr>
      <w:tr w:rsidR="006A7A3F">
        <w:trPr>
          <w:trHeight w:val="1380"/>
        </w:trPr>
        <w:tc>
          <w:tcPr>
            <w:tcW w:w="789" w:type="dxa"/>
            <w:tcBorders>
              <w:top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6" w:after="1"/>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09"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09" w:line="211" w:lineRule="auto"/>
              <w:ind w:left="118" w:right="279"/>
              <w:rPr>
                <w:rFonts w:ascii="HelveticaNeueLTStd-Roman"/>
                <w:sz w:val="17"/>
              </w:rPr>
            </w:pPr>
            <w:r>
              <w:rPr>
                <w:rFonts w:ascii="HelveticaNeueLTStd-Roman"/>
                <w:color w:val="231F20"/>
                <w:sz w:val="17"/>
              </w:rPr>
              <w:t>Provide suitable physio-chemical conditions to support aquatic life</w:t>
            </w:r>
          </w:p>
          <w:p w:rsidR="006A7A3F" w:rsidRDefault="00BC7372">
            <w:pPr>
              <w:pStyle w:val="TableParagraph"/>
              <w:spacing w:before="112" w:line="211" w:lineRule="auto"/>
              <w:ind w:left="118" w:right="208"/>
              <w:rPr>
                <w:rFonts w:ascii="HelveticaNeueLTStd-Roman"/>
                <w:sz w:val="17"/>
              </w:rPr>
            </w:pPr>
            <w:r>
              <w:rPr>
                <w:rFonts w:ascii="HelveticaNeueLTStd-Roman"/>
                <w:color w:val="231F20"/>
                <w:sz w:val="17"/>
              </w:rPr>
              <w:t>Avoid catastrophic water quality conditions (such as acid sulfate soil exposure) (Heart Morass)</w:t>
            </w:r>
          </w:p>
        </w:tc>
      </w:tr>
    </w:tbl>
    <w:p w:rsidR="006A7A3F" w:rsidRDefault="00BC7372">
      <w:pPr>
        <w:spacing w:before="151"/>
        <w:ind w:left="210"/>
        <w:rPr>
          <w:rFonts w:ascii="Helvetica Neue LT Std 75"/>
          <w:b/>
          <w:sz w:val="19"/>
        </w:rPr>
      </w:pPr>
      <w:r>
        <w:rPr>
          <w:rFonts w:ascii="Helvetica Neue LT Std 75"/>
          <w:b/>
          <w:color w:val="231F20"/>
          <w:sz w:val="19"/>
        </w:rPr>
        <w:t>Traditional Owner cultural values and uses</w:t>
      </w:r>
    </w:p>
    <w:p w:rsidR="006A7A3F" w:rsidRDefault="00BC7372" w:rsidP="00A23A84">
      <w:pPr>
        <w:pStyle w:val="BodyText"/>
        <w:spacing w:before="68" w:line="249" w:lineRule="auto"/>
        <w:ind w:right="451"/>
      </w:pPr>
      <w:r>
        <w:rPr>
          <w:color w:val="231F20"/>
        </w:rPr>
        <w:t>The Gunaikurnai have had a continued connection to Gunaikurnai Country for thousands of years, including with the waterways that feed into the lower Latrobe wetlands. For the Gunaikurnai as traditional custodians there are</w:t>
      </w:r>
      <w:r w:rsidR="00A23A84">
        <w:rPr>
          <w:color w:val="231F20"/>
        </w:rPr>
        <w:t xml:space="preserve"> </w:t>
      </w:r>
      <w:r>
        <w:rPr>
          <w:color w:val="231F20"/>
        </w:rPr>
        <w:t>immense challenges to heal, protect and manage Country which has been drastically altered since colonisation. Gunaikurnai see all of Country as connected with no separation between landscapes, waterways, coasts and oceans and natural and cultural resources – the cultural landscape is interdependent.</w:t>
      </w:r>
    </w:p>
    <w:p w:rsidR="006A7A3F" w:rsidRDefault="00BC7372">
      <w:pPr>
        <w:pStyle w:val="BodyText"/>
        <w:spacing w:before="173" w:line="249" w:lineRule="auto"/>
        <w:ind w:right="374"/>
      </w:pPr>
      <w:r>
        <w:rPr>
          <w:color w:val="231F20"/>
        </w:rPr>
        <w:t>GLaWAC are working with the West Gippsland CMA to determine how to express Gunaikurnai objectives for water in a way that contributes to seasonal watering proposals from the perspective of traditional custodians, with traditional knowledge.</w:t>
      </w:r>
    </w:p>
    <w:p w:rsidR="006A7A3F" w:rsidRDefault="00BC7372">
      <w:pPr>
        <w:pStyle w:val="BodyText"/>
      </w:pPr>
      <w:r>
        <w:rPr>
          <w:color w:val="231F20"/>
        </w:rPr>
        <w:t>Leading up to the 2020-21 Seasonal Watering Plan, focus on the lower Latrobe wetlands has included:</w:t>
      </w:r>
    </w:p>
    <w:p w:rsidR="006A7A3F" w:rsidRDefault="00BC7372" w:rsidP="009B6917">
      <w:pPr>
        <w:pStyle w:val="ListParagraph"/>
        <w:numPr>
          <w:ilvl w:val="0"/>
          <w:numId w:val="1419"/>
        </w:numPr>
        <w:tabs>
          <w:tab w:val="left" w:pos="493"/>
          <w:tab w:val="left" w:pos="494"/>
        </w:tabs>
        <w:spacing w:before="124" w:line="249" w:lineRule="auto"/>
        <w:ind w:right="380"/>
        <w:rPr>
          <w:sz w:val="20"/>
        </w:rPr>
      </w:pPr>
      <w:r>
        <w:rPr>
          <w:color w:val="231F20"/>
          <w:sz w:val="20"/>
        </w:rPr>
        <w:t>on</w:t>
      </w:r>
      <w:r>
        <w:rPr>
          <w:color w:val="231F20"/>
          <w:spacing w:val="-5"/>
          <w:sz w:val="20"/>
        </w:rPr>
        <w:t xml:space="preserve"> </w:t>
      </w:r>
      <w:r>
        <w:rPr>
          <w:color w:val="231F20"/>
          <w:sz w:val="20"/>
        </w:rPr>
        <w:t>Country</w:t>
      </w:r>
      <w:r>
        <w:rPr>
          <w:color w:val="231F20"/>
          <w:spacing w:val="-4"/>
          <w:sz w:val="20"/>
        </w:rPr>
        <w:t xml:space="preserve"> </w:t>
      </w:r>
      <w:r>
        <w:rPr>
          <w:color w:val="231F20"/>
          <w:sz w:val="20"/>
        </w:rPr>
        <w:t>discussions</w:t>
      </w:r>
      <w:r>
        <w:rPr>
          <w:color w:val="231F20"/>
          <w:spacing w:val="-4"/>
          <w:sz w:val="20"/>
        </w:rPr>
        <w:t xml:space="preserve"> </w:t>
      </w:r>
      <w:r>
        <w:rPr>
          <w:color w:val="231F20"/>
          <w:sz w:val="20"/>
        </w:rPr>
        <w:t>with</w:t>
      </w:r>
      <w:r>
        <w:rPr>
          <w:color w:val="231F20"/>
          <w:spacing w:val="-4"/>
          <w:sz w:val="20"/>
        </w:rPr>
        <w:t xml:space="preserve"> </w:t>
      </w:r>
      <w:r>
        <w:rPr>
          <w:color w:val="231F20"/>
          <w:sz w:val="20"/>
        </w:rPr>
        <w:t>GLaWAC</w:t>
      </w:r>
      <w:r>
        <w:rPr>
          <w:color w:val="231F20"/>
          <w:spacing w:val="-4"/>
          <w:sz w:val="20"/>
        </w:rPr>
        <w:t xml:space="preserve"> </w:t>
      </w:r>
      <w:r>
        <w:rPr>
          <w:color w:val="231F20"/>
          <w:sz w:val="20"/>
        </w:rPr>
        <w:t>and</w:t>
      </w:r>
      <w:r>
        <w:rPr>
          <w:color w:val="231F20"/>
          <w:spacing w:val="-4"/>
          <w:sz w:val="20"/>
        </w:rPr>
        <w:t xml:space="preserve"> </w:t>
      </w:r>
      <w:r>
        <w:rPr>
          <w:color w:val="231F20"/>
          <w:sz w:val="20"/>
        </w:rPr>
        <w:t>Gunaikurnai</w:t>
      </w:r>
      <w:r>
        <w:rPr>
          <w:color w:val="231F20"/>
          <w:spacing w:val="-3"/>
          <w:sz w:val="20"/>
        </w:rPr>
        <w:t xml:space="preserve"> </w:t>
      </w:r>
      <w:r>
        <w:rPr>
          <w:color w:val="231F20"/>
          <w:sz w:val="20"/>
        </w:rPr>
        <w:t>Elders</w:t>
      </w:r>
      <w:r>
        <w:rPr>
          <w:color w:val="231F20"/>
          <w:spacing w:val="-4"/>
          <w:sz w:val="20"/>
        </w:rPr>
        <w:t xml:space="preserve"> </w:t>
      </w:r>
      <w:r>
        <w:rPr>
          <w:color w:val="231F20"/>
          <w:sz w:val="20"/>
        </w:rPr>
        <w:t>and</w:t>
      </w:r>
      <w:r>
        <w:rPr>
          <w:color w:val="231F20"/>
          <w:spacing w:val="-4"/>
          <w:sz w:val="20"/>
        </w:rPr>
        <w:t xml:space="preserve"> </w:t>
      </w:r>
      <w:r>
        <w:rPr>
          <w:color w:val="231F20"/>
          <w:sz w:val="20"/>
        </w:rPr>
        <w:t>Community</w:t>
      </w:r>
      <w:r>
        <w:rPr>
          <w:color w:val="231F20"/>
          <w:spacing w:val="-4"/>
          <w:sz w:val="20"/>
        </w:rPr>
        <w:t xml:space="preserve"> </w:t>
      </w:r>
      <w:r>
        <w:rPr>
          <w:color w:val="231F20"/>
          <w:sz w:val="20"/>
        </w:rPr>
        <w:t>to</w:t>
      </w:r>
      <w:r>
        <w:rPr>
          <w:color w:val="231F20"/>
          <w:spacing w:val="-3"/>
          <w:sz w:val="20"/>
        </w:rPr>
        <w:t xml:space="preserve"> </w:t>
      </w:r>
      <w:r>
        <w:rPr>
          <w:color w:val="231F20"/>
          <w:sz w:val="20"/>
        </w:rPr>
        <w:t>examine</w:t>
      </w:r>
      <w:r>
        <w:rPr>
          <w:color w:val="231F20"/>
          <w:spacing w:val="-5"/>
          <w:sz w:val="20"/>
        </w:rPr>
        <w:t xml:space="preserve"> </w:t>
      </w:r>
      <w:r>
        <w:rPr>
          <w:color w:val="231F20"/>
          <w:sz w:val="20"/>
        </w:rPr>
        <w:t>cultural</w:t>
      </w:r>
      <w:r>
        <w:rPr>
          <w:color w:val="231F20"/>
          <w:spacing w:val="-3"/>
          <w:sz w:val="20"/>
        </w:rPr>
        <w:t xml:space="preserve"> </w:t>
      </w:r>
      <w:r>
        <w:rPr>
          <w:color w:val="231F20"/>
          <w:sz w:val="20"/>
        </w:rPr>
        <w:t>values</w:t>
      </w:r>
      <w:r>
        <w:rPr>
          <w:color w:val="231F20"/>
          <w:spacing w:val="-3"/>
          <w:sz w:val="20"/>
        </w:rPr>
        <w:t xml:space="preserve"> </w:t>
      </w:r>
      <w:r>
        <w:rPr>
          <w:color w:val="231F20"/>
          <w:sz w:val="20"/>
        </w:rPr>
        <w:t>and uses</w:t>
      </w:r>
    </w:p>
    <w:p w:rsidR="006A7A3F" w:rsidRDefault="00BC7372" w:rsidP="009B6917">
      <w:pPr>
        <w:pStyle w:val="ListParagraph"/>
        <w:numPr>
          <w:ilvl w:val="0"/>
          <w:numId w:val="1419"/>
        </w:numPr>
        <w:tabs>
          <w:tab w:val="left" w:pos="493"/>
          <w:tab w:val="left" w:pos="494"/>
        </w:tabs>
        <w:spacing w:before="86" w:line="249" w:lineRule="auto"/>
        <w:ind w:right="416"/>
        <w:rPr>
          <w:sz w:val="20"/>
        </w:rPr>
      </w:pPr>
      <w:r>
        <w:rPr>
          <w:color w:val="231F20"/>
          <w:sz w:val="20"/>
        </w:rPr>
        <w:t>discussions regarding the importance of maintaining the wetlands as a freshwater system to support culturally significant species, including totem</w:t>
      </w:r>
      <w:r>
        <w:rPr>
          <w:color w:val="231F20"/>
          <w:spacing w:val="-2"/>
          <w:sz w:val="20"/>
        </w:rPr>
        <w:t xml:space="preserve"> </w:t>
      </w:r>
      <w:r>
        <w:rPr>
          <w:color w:val="231F20"/>
          <w:sz w:val="20"/>
        </w:rPr>
        <w:t>species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the importance of the lower Latrobe wetlands to the Gunaikurnai traditionally, and</w:t>
      </w:r>
      <w:r>
        <w:rPr>
          <w:color w:val="231F20"/>
          <w:spacing w:val="-16"/>
          <w:sz w:val="20"/>
        </w:rPr>
        <w:t xml:space="preserve"> </w:t>
      </w:r>
      <w:r>
        <w:rPr>
          <w:color w:val="231F20"/>
          <w:sz w:val="20"/>
        </w:rPr>
        <w:t>today</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 xml:space="preserve">concerns regarding water </w:t>
      </w:r>
      <w:r>
        <w:rPr>
          <w:color w:val="231F20"/>
          <w:spacing w:val="-3"/>
          <w:sz w:val="20"/>
        </w:rPr>
        <w:t xml:space="preserve">quality, </w:t>
      </w:r>
      <w:r>
        <w:rPr>
          <w:color w:val="231F20"/>
          <w:sz w:val="20"/>
        </w:rPr>
        <w:t>increasing salinity</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concerns regarding pest species including</w:t>
      </w:r>
      <w:r>
        <w:rPr>
          <w:color w:val="231F20"/>
          <w:spacing w:val="-3"/>
          <w:sz w:val="20"/>
        </w:rPr>
        <w:t xml:space="preserve"> </w:t>
      </w:r>
      <w:r>
        <w:rPr>
          <w:color w:val="231F20"/>
          <w:sz w:val="20"/>
        </w:rPr>
        <w:t>carp.</w:t>
      </w:r>
    </w:p>
    <w:p w:rsidR="00A23A84" w:rsidRDefault="00A23A84">
      <w:pPr>
        <w:rPr>
          <w:color w:val="231F20"/>
          <w:sz w:val="20"/>
          <w:szCs w:val="20"/>
        </w:rPr>
      </w:pPr>
      <w:r>
        <w:rPr>
          <w:color w:val="231F20"/>
        </w:rPr>
        <w:br w:type="page"/>
      </w:r>
    </w:p>
    <w:p w:rsidR="006A7A3F" w:rsidRDefault="00BC7372">
      <w:pPr>
        <w:pStyle w:val="BodyText"/>
        <w:spacing w:before="180" w:line="249" w:lineRule="auto"/>
        <w:ind w:right="100"/>
      </w:pPr>
      <w:r>
        <w:rPr>
          <w:color w:val="231F20"/>
        </w:rPr>
        <w:t>GLaWAC are sharing with the West Gippsland CMA plant and animal species of cultural significance in and around the waterways of the Latrobe Valley, and the importance of specific watering decisions to support them.</w:t>
      </w:r>
    </w:p>
    <w:p w:rsidR="006A7A3F" w:rsidRDefault="00BC7372">
      <w:pPr>
        <w:pStyle w:val="BodyText"/>
      </w:pPr>
      <w:r>
        <w:rPr>
          <w:color w:val="231F20"/>
        </w:rPr>
        <w:t>Watering requirements to support cultural values and uses include:</w:t>
      </w:r>
    </w:p>
    <w:p w:rsidR="006A7A3F" w:rsidRDefault="00BC7372" w:rsidP="009B6917">
      <w:pPr>
        <w:pStyle w:val="ListParagraph"/>
        <w:numPr>
          <w:ilvl w:val="0"/>
          <w:numId w:val="1419"/>
        </w:numPr>
        <w:tabs>
          <w:tab w:val="left" w:pos="493"/>
          <w:tab w:val="left" w:pos="494"/>
        </w:tabs>
        <w:spacing w:before="123" w:line="249" w:lineRule="auto"/>
        <w:ind w:right="456"/>
        <w:rPr>
          <w:sz w:val="20"/>
        </w:rPr>
      </w:pPr>
      <w:r>
        <w:rPr>
          <w:color w:val="231F20"/>
          <w:sz w:val="20"/>
        </w:rPr>
        <w:t>timing</w:t>
      </w:r>
      <w:r>
        <w:rPr>
          <w:color w:val="231F20"/>
          <w:spacing w:val="-4"/>
          <w:sz w:val="20"/>
        </w:rPr>
        <w:t xml:space="preserve"> </w:t>
      </w:r>
      <w:r>
        <w:rPr>
          <w:color w:val="231F20"/>
          <w:sz w:val="20"/>
        </w:rPr>
        <w:t>of</w:t>
      </w:r>
      <w:r>
        <w:rPr>
          <w:color w:val="231F20"/>
          <w:spacing w:val="-4"/>
          <w:sz w:val="20"/>
        </w:rPr>
        <w:t xml:space="preserve"> </w:t>
      </w:r>
      <w:r>
        <w:rPr>
          <w:color w:val="231F20"/>
          <w:sz w:val="20"/>
        </w:rPr>
        <w:t>environmental</w:t>
      </w:r>
      <w:r>
        <w:rPr>
          <w:color w:val="231F20"/>
          <w:spacing w:val="-4"/>
          <w:sz w:val="20"/>
        </w:rPr>
        <w:t xml:space="preserve"> </w:t>
      </w:r>
      <w:r>
        <w:rPr>
          <w:color w:val="231F20"/>
          <w:sz w:val="20"/>
        </w:rPr>
        <w:t>watering</w:t>
      </w:r>
      <w:r>
        <w:rPr>
          <w:color w:val="231F20"/>
          <w:spacing w:val="-4"/>
          <w:sz w:val="20"/>
        </w:rPr>
        <w:t xml:space="preserve"> </w:t>
      </w:r>
      <w:r>
        <w:rPr>
          <w:color w:val="231F20"/>
          <w:sz w:val="20"/>
        </w:rPr>
        <w:t>planned</w:t>
      </w:r>
      <w:r>
        <w:rPr>
          <w:color w:val="231F20"/>
          <w:spacing w:val="-4"/>
          <w:sz w:val="20"/>
        </w:rPr>
        <w:t xml:space="preserve"> </w:t>
      </w:r>
      <w:r>
        <w:rPr>
          <w:color w:val="231F20"/>
          <w:sz w:val="20"/>
        </w:rPr>
        <w:t>in</w:t>
      </w:r>
      <w:r>
        <w:rPr>
          <w:color w:val="231F20"/>
          <w:spacing w:val="-4"/>
          <w:sz w:val="20"/>
        </w:rPr>
        <w:t xml:space="preserve"> </w:t>
      </w:r>
      <w:r>
        <w:rPr>
          <w:color w:val="231F20"/>
          <w:sz w:val="20"/>
        </w:rPr>
        <w:t>partnership</w:t>
      </w:r>
      <w:r>
        <w:rPr>
          <w:color w:val="231F20"/>
          <w:spacing w:val="-4"/>
          <w:sz w:val="20"/>
        </w:rPr>
        <w:t xml:space="preserve"> </w:t>
      </w:r>
      <w:r>
        <w:rPr>
          <w:color w:val="231F20"/>
          <w:sz w:val="20"/>
        </w:rPr>
        <w:t>with</w:t>
      </w:r>
      <w:r>
        <w:rPr>
          <w:color w:val="231F20"/>
          <w:spacing w:val="-4"/>
          <w:sz w:val="20"/>
        </w:rPr>
        <w:t xml:space="preserve"> </w:t>
      </w:r>
      <w:r>
        <w:rPr>
          <w:color w:val="231F20"/>
          <w:sz w:val="20"/>
        </w:rPr>
        <w:t>GLaWAC</w:t>
      </w:r>
      <w:r>
        <w:rPr>
          <w:color w:val="231F20"/>
          <w:spacing w:val="-3"/>
          <w:sz w:val="20"/>
        </w:rPr>
        <w:t xml:space="preserve"> </w:t>
      </w:r>
      <w:r>
        <w:rPr>
          <w:color w:val="231F20"/>
          <w:sz w:val="20"/>
        </w:rPr>
        <w:t>to</w:t>
      </w:r>
      <w:r>
        <w:rPr>
          <w:color w:val="231F20"/>
          <w:spacing w:val="-3"/>
          <w:sz w:val="20"/>
        </w:rPr>
        <w:t xml:space="preserve"> </w:t>
      </w:r>
      <w:r>
        <w:rPr>
          <w:color w:val="231F20"/>
          <w:sz w:val="20"/>
        </w:rPr>
        <w:t>support</w:t>
      </w:r>
      <w:r>
        <w:rPr>
          <w:color w:val="231F20"/>
          <w:spacing w:val="-3"/>
          <w:sz w:val="20"/>
        </w:rPr>
        <w:t xml:space="preserve"> </w:t>
      </w:r>
      <w:r>
        <w:rPr>
          <w:color w:val="231F20"/>
          <w:sz w:val="20"/>
        </w:rPr>
        <w:t>a</w:t>
      </w:r>
      <w:r>
        <w:rPr>
          <w:color w:val="231F20"/>
          <w:spacing w:val="-4"/>
          <w:sz w:val="20"/>
        </w:rPr>
        <w:t xml:space="preserve"> </w:t>
      </w:r>
      <w:r>
        <w:rPr>
          <w:color w:val="231F20"/>
          <w:sz w:val="20"/>
        </w:rPr>
        <w:t>seasonal</w:t>
      </w:r>
      <w:r>
        <w:rPr>
          <w:color w:val="231F20"/>
          <w:spacing w:val="-3"/>
          <w:sz w:val="20"/>
        </w:rPr>
        <w:t xml:space="preserve"> </w:t>
      </w:r>
      <w:r>
        <w:rPr>
          <w:color w:val="231F20"/>
          <w:sz w:val="20"/>
        </w:rPr>
        <w:t>flow</w:t>
      </w:r>
      <w:r>
        <w:rPr>
          <w:color w:val="231F20"/>
          <w:spacing w:val="-3"/>
          <w:sz w:val="20"/>
        </w:rPr>
        <w:t xml:space="preserve"> </w:t>
      </w:r>
      <w:r>
        <w:rPr>
          <w:color w:val="231F20"/>
          <w:sz w:val="20"/>
        </w:rPr>
        <w:t>regime</w:t>
      </w:r>
      <w:r>
        <w:rPr>
          <w:color w:val="231F20"/>
          <w:spacing w:val="-3"/>
          <w:sz w:val="20"/>
        </w:rPr>
        <w:t xml:space="preserve"> </w:t>
      </w:r>
      <w:r>
        <w:rPr>
          <w:color w:val="231F20"/>
          <w:sz w:val="20"/>
        </w:rPr>
        <w:t>and wet and dry periods that embody Healthy</w:t>
      </w:r>
      <w:r>
        <w:rPr>
          <w:color w:val="231F20"/>
          <w:spacing w:val="-9"/>
          <w:sz w:val="20"/>
        </w:rPr>
        <w:t xml:space="preserve"> </w:t>
      </w:r>
      <w:r>
        <w:rPr>
          <w:color w:val="231F20"/>
          <w:sz w:val="20"/>
        </w:rPr>
        <w:t>Country</w:t>
      </w:r>
    </w:p>
    <w:p w:rsidR="006A7A3F" w:rsidRDefault="00BC7372" w:rsidP="009B6917">
      <w:pPr>
        <w:pStyle w:val="ListParagraph"/>
        <w:numPr>
          <w:ilvl w:val="0"/>
          <w:numId w:val="1419"/>
        </w:numPr>
        <w:tabs>
          <w:tab w:val="left" w:pos="493"/>
          <w:tab w:val="left" w:pos="494"/>
        </w:tabs>
        <w:spacing w:before="87" w:line="249" w:lineRule="auto"/>
        <w:ind w:right="742"/>
        <w:rPr>
          <w:sz w:val="20"/>
        </w:rPr>
      </w:pPr>
      <w:r>
        <w:rPr>
          <w:color w:val="231F20"/>
          <w:sz w:val="20"/>
        </w:rPr>
        <w:t xml:space="preserve">maintaining freshwater supply to Latrobe </w:t>
      </w:r>
      <w:r>
        <w:rPr>
          <w:color w:val="231F20"/>
          <w:spacing w:val="-3"/>
          <w:sz w:val="20"/>
        </w:rPr>
        <w:t xml:space="preserve">estuary, </w:t>
      </w:r>
      <w:r>
        <w:rPr>
          <w:color w:val="231F20"/>
          <w:sz w:val="20"/>
        </w:rPr>
        <w:t>Dowd Morass, Sale Common and Heart Morass and associated</w:t>
      </w:r>
      <w:r>
        <w:rPr>
          <w:color w:val="231F20"/>
          <w:spacing w:val="-5"/>
          <w:sz w:val="20"/>
        </w:rPr>
        <w:t xml:space="preserve"> </w:t>
      </w:r>
      <w:r>
        <w:rPr>
          <w:color w:val="231F20"/>
          <w:sz w:val="20"/>
        </w:rPr>
        <w:t>freshwater</w:t>
      </w:r>
      <w:r>
        <w:rPr>
          <w:color w:val="231F20"/>
          <w:spacing w:val="-3"/>
          <w:sz w:val="20"/>
        </w:rPr>
        <w:t xml:space="preserve"> </w:t>
      </w:r>
      <w:r>
        <w:rPr>
          <w:color w:val="231F20"/>
          <w:sz w:val="20"/>
        </w:rPr>
        <w:t>habitats.</w:t>
      </w:r>
      <w:r>
        <w:rPr>
          <w:color w:val="231F20"/>
          <w:spacing w:val="-7"/>
          <w:sz w:val="20"/>
        </w:rPr>
        <w:t xml:space="preserve"> </w:t>
      </w:r>
      <w:r>
        <w:rPr>
          <w:color w:val="231F20"/>
          <w:sz w:val="20"/>
        </w:rPr>
        <w:t>The</w:t>
      </w:r>
      <w:r>
        <w:rPr>
          <w:color w:val="231F20"/>
          <w:spacing w:val="-3"/>
          <w:sz w:val="20"/>
        </w:rPr>
        <w:t xml:space="preserve"> </w:t>
      </w:r>
      <w:r>
        <w:rPr>
          <w:color w:val="231F20"/>
          <w:sz w:val="20"/>
        </w:rPr>
        <w:t>lower</w:t>
      </w:r>
      <w:r>
        <w:rPr>
          <w:color w:val="231F20"/>
          <w:spacing w:val="-4"/>
          <w:sz w:val="20"/>
        </w:rPr>
        <w:t xml:space="preserve"> </w:t>
      </w:r>
      <w:r>
        <w:rPr>
          <w:color w:val="231F20"/>
          <w:sz w:val="20"/>
        </w:rPr>
        <w:t>Latrobe</w:t>
      </w:r>
      <w:r>
        <w:rPr>
          <w:color w:val="231F20"/>
          <w:spacing w:val="-5"/>
          <w:sz w:val="20"/>
        </w:rPr>
        <w:t xml:space="preserve"> </w:t>
      </w:r>
      <w:r>
        <w:rPr>
          <w:color w:val="231F20"/>
          <w:sz w:val="20"/>
        </w:rPr>
        <w:t>wetlands</w:t>
      </w:r>
      <w:r>
        <w:rPr>
          <w:color w:val="231F20"/>
          <w:spacing w:val="-4"/>
          <w:sz w:val="20"/>
        </w:rPr>
        <w:t xml:space="preserve"> </w:t>
      </w:r>
      <w:r>
        <w:rPr>
          <w:color w:val="231F20"/>
          <w:sz w:val="20"/>
        </w:rPr>
        <w:t>are</w:t>
      </w:r>
      <w:r>
        <w:rPr>
          <w:color w:val="231F20"/>
          <w:spacing w:val="-4"/>
          <w:sz w:val="20"/>
        </w:rPr>
        <w:t xml:space="preserve"> </w:t>
      </w:r>
      <w:r>
        <w:rPr>
          <w:color w:val="231F20"/>
          <w:sz w:val="20"/>
        </w:rPr>
        <w:t>an</w:t>
      </w:r>
      <w:r>
        <w:rPr>
          <w:color w:val="231F20"/>
          <w:spacing w:val="-4"/>
          <w:sz w:val="20"/>
        </w:rPr>
        <w:t xml:space="preserve"> </w:t>
      </w:r>
      <w:r>
        <w:rPr>
          <w:color w:val="231F20"/>
          <w:sz w:val="20"/>
        </w:rPr>
        <w:t>important</w:t>
      </w:r>
      <w:r>
        <w:rPr>
          <w:color w:val="231F20"/>
          <w:spacing w:val="-4"/>
          <w:sz w:val="20"/>
        </w:rPr>
        <w:t xml:space="preserve"> </w:t>
      </w:r>
      <w:r>
        <w:rPr>
          <w:color w:val="231F20"/>
          <w:sz w:val="20"/>
        </w:rPr>
        <w:t>resource</w:t>
      </w:r>
      <w:r>
        <w:rPr>
          <w:color w:val="231F20"/>
          <w:spacing w:val="-4"/>
          <w:sz w:val="20"/>
        </w:rPr>
        <w:t xml:space="preserve"> </w:t>
      </w:r>
      <w:r>
        <w:rPr>
          <w:color w:val="231F20"/>
          <w:sz w:val="20"/>
        </w:rPr>
        <w:t>for</w:t>
      </w:r>
      <w:r>
        <w:rPr>
          <w:color w:val="231F20"/>
          <w:spacing w:val="-3"/>
          <w:sz w:val="20"/>
        </w:rPr>
        <w:t xml:space="preserve"> </w:t>
      </w:r>
      <w:r>
        <w:rPr>
          <w:color w:val="231F20"/>
          <w:sz w:val="20"/>
        </w:rPr>
        <w:t>the</w:t>
      </w:r>
      <w:r>
        <w:rPr>
          <w:color w:val="231F20"/>
          <w:spacing w:val="-3"/>
          <w:sz w:val="20"/>
        </w:rPr>
        <w:t xml:space="preserve"> </w:t>
      </w:r>
      <w:r>
        <w:rPr>
          <w:color w:val="231F20"/>
          <w:sz w:val="20"/>
        </w:rPr>
        <w:t>Gunaikurnai</w:t>
      </w:r>
    </w:p>
    <w:p w:rsidR="006A7A3F" w:rsidRDefault="00BC7372" w:rsidP="009B6917">
      <w:pPr>
        <w:pStyle w:val="ListParagraph"/>
        <w:numPr>
          <w:ilvl w:val="0"/>
          <w:numId w:val="1419"/>
        </w:numPr>
        <w:tabs>
          <w:tab w:val="left" w:pos="493"/>
          <w:tab w:val="left" w:pos="494"/>
        </w:tabs>
        <w:spacing w:before="87" w:line="249" w:lineRule="auto"/>
        <w:ind w:right="326"/>
        <w:rPr>
          <w:sz w:val="20"/>
        </w:rPr>
      </w:pPr>
      <w:r>
        <w:rPr>
          <w:color w:val="231F20"/>
          <w:sz w:val="20"/>
        </w:rPr>
        <w:t>providing connectivity between reaches and onto floodplains to support dependent flora and fauna with cultural values and uses of significance to the</w:t>
      </w:r>
      <w:r>
        <w:rPr>
          <w:color w:val="231F20"/>
          <w:spacing w:val="-4"/>
          <w:sz w:val="20"/>
        </w:rPr>
        <w:t xml:space="preserve"> </w:t>
      </w:r>
      <w:r>
        <w:rPr>
          <w:color w:val="231F20"/>
          <w:sz w:val="20"/>
        </w:rPr>
        <w:t>Gunaikurnai</w:t>
      </w:r>
    </w:p>
    <w:p w:rsidR="006A7A3F" w:rsidRDefault="00BC7372" w:rsidP="009B6917">
      <w:pPr>
        <w:pStyle w:val="ListParagraph"/>
        <w:numPr>
          <w:ilvl w:val="0"/>
          <w:numId w:val="1419"/>
        </w:numPr>
        <w:tabs>
          <w:tab w:val="left" w:pos="493"/>
          <w:tab w:val="left" w:pos="494"/>
        </w:tabs>
        <w:spacing w:before="87" w:line="249" w:lineRule="auto"/>
        <w:ind w:right="227"/>
        <w:rPr>
          <w:sz w:val="20"/>
        </w:rPr>
      </w:pPr>
      <w:r>
        <w:rPr>
          <w:color w:val="231F20"/>
          <w:sz w:val="20"/>
        </w:rPr>
        <w:t>maintaining water quality to support health of native flora and fauna with cultural values and uses of significance to the Gunaikurnai.</w:t>
      </w:r>
    </w:p>
    <w:p w:rsidR="006A7A3F" w:rsidRDefault="00BC7372">
      <w:pPr>
        <w:spacing w:before="180"/>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8" w:line="249" w:lineRule="auto"/>
        <w:ind w:right="100"/>
      </w:pPr>
      <w:r>
        <w:rPr>
          <w:color w:val="231F20"/>
        </w:rPr>
        <w:t>In planning the potential watering actions in Table 2.2.3, the West Gippsland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and</w:t>
      </w:r>
      <w:r>
        <w:rPr>
          <w:color w:val="231F20"/>
          <w:spacing w:val="-4"/>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camping, birdwatching, duck hunting and amenity for access</w:t>
      </w:r>
      <w:r>
        <w:rPr>
          <w:color w:val="231F20"/>
          <w:spacing w:val="-37"/>
          <w:sz w:val="20"/>
        </w:rPr>
        <w:t xml:space="preserve"> </w:t>
      </w:r>
      <w:r>
        <w:rPr>
          <w:color w:val="231F20"/>
          <w:sz w:val="20"/>
        </w:rPr>
        <w:t>tracks)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commercial</w:t>
      </w:r>
      <w:r>
        <w:rPr>
          <w:color w:val="231F20"/>
          <w:spacing w:val="-3"/>
          <w:sz w:val="20"/>
        </w:rPr>
        <w:t xml:space="preserve"> </w:t>
      </w:r>
      <w:r>
        <w:rPr>
          <w:color w:val="231F20"/>
          <w:sz w:val="20"/>
        </w:rPr>
        <w:t>fishing).</w:t>
      </w:r>
    </w:p>
    <w:p w:rsidR="006A7A3F" w:rsidRDefault="00BC7372">
      <w:pPr>
        <w:spacing w:before="189"/>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374"/>
      </w:pPr>
      <w:r>
        <w:rPr>
          <w:color w:val="231F20"/>
        </w:rPr>
        <w:t>Climatic conditions in the lower Latrobe wetlands’ catchment varied throughout 2019–20. Total rainfall was below average, but there were still some significant rain events that increased river levels throughout winter and spring 2019, particularly from the Latrobe River catchment, and they caused minor overbank flooding in late spring 2019 and again in late autumn 2020. The VEWH’s entitlement for the lower Latrobe wetlands is not limited in volume, and regulator gates may be opened opportunistically based on water height in the Latrobe River at Swing Bridge.</w:t>
      </w:r>
    </w:p>
    <w:p w:rsidR="006A7A3F" w:rsidRDefault="00BC7372">
      <w:pPr>
        <w:pStyle w:val="BodyText"/>
        <w:spacing w:before="174" w:line="249" w:lineRule="auto"/>
        <w:ind w:right="272"/>
      </w:pPr>
      <w:r>
        <w:rPr>
          <w:color w:val="231F20"/>
        </w:rPr>
        <w:t>Heart Morass, Dowd Morass and Sale Common were allowed to draw down in 2018–19 to allow the die-off of aquatic vegetation, promote nutrient cycling and allow terrestrial grasses and sedges to establish. Overbank flows in late winter and early spring 2019 partly refilled the wetlands. Environmental water was subsequently delivered as required (and when salinity in the Latrobe River estuary was not too high) to maintain water quality and habitat for aquatic and terrestrial animals, and to support the growth and flowering of semi-aquatic vegetation. Complete and near-complete fills were achieved at Dowd Morass and Heart Morass respectively in 2019–20, and a partial fill was achieved at Sale Common. A flushing flow was delivered to Heart Morass in spring 2019 to export salts and sulfates. Water levels at all wetlands were drawn down partially over summer to expose mudflats, which created feeding opportunities for wading birds and oxygenated soils to promote seed germination. High rainfall in late April and May 2020 caused minor flooding, allowing deliveries of freshwater to the lower Latrobe wetlands again in autumn.</w:t>
      </w:r>
    </w:p>
    <w:p w:rsidR="00C65395" w:rsidRDefault="00BC7372" w:rsidP="00C65395">
      <w:pPr>
        <w:pStyle w:val="BodyText"/>
        <w:spacing w:before="179" w:line="249" w:lineRule="auto"/>
        <w:ind w:right="251"/>
        <w:rPr>
          <w:color w:val="231F20"/>
        </w:rPr>
      </w:pPr>
      <w:r>
        <w:rPr>
          <w:color w:val="231F20"/>
        </w:rPr>
        <w:t>Some water was retained in Dowd Morass and Sale Common to maintain habitat for Australasian bittern and other significant waterbirds that were observed at these sites during summer. Maintaining this habitat will likely be a priority throughout 2020–21.</w:t>
      </w:r>
    </w:p>
    <w:p w:rsidR="006A7A3F" w:rsidRPr="00C65395" w:rsidRDefault="00BC7372" w:rsidP="00C65395">
      <w:pPr>
        <w:pStyle w:val="BodyText"/>
        <w:spacing w:before="179" w:line="249" w:lineRule="auto"/>
        <w:ind w:right="251"/>
        <w:rPr>
          <w:color w:val="231F20"/>
        </w:rPr>
      </w:pPr>
      <w:r>
        <w:rPr>
          <w:rFonts w:ascii="Helvetica Neue LT Std 75"/>
          <w:b/>
          <w:color w:val="231F20"/>
          <w:sz w:val="19"/>
        </w:rPr>
        <w:t>Scope of environmental watering</w:t>
      </w:r>
    </w:p>
    <w:p w:rsidR="00C65395" w:rsidRDefault="00BC7372">
      <w:pPr>
        <w:pStyle w:val="BodyText"/>
        <w:spacing w:before="67" w:line="249" w:lineRule="auto"/>
        <w:ind w:right="100"/>
        <w:rPr>
          <w:color w:val="231F20"/>
        </w:rPr>
      </w:pPr>
      <w:r>
        <w:rPr>
          <w:color w:val="231F20"/>
        </w:rPr>
        <w:t>Table 2.2.3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C65395" w:rsidRDefault="00C65395">
      <w:pPr>
        <w:rPr>
          <w:color w:val="231F20"/>
          <w:sz w:val="20"/>
          <w:szCs w:val="20"/>
        </w:rPr>
      </w:pPr>
      <w:r>
        <w:rPr>
          <w:color w:val="231F20"/>
        </w:rPr>
        <w:br w:type="page"/>
      </w:r>
    </w:p>
    <w:p w:rsidR="006A7A3F" w:rsidRDefault="00BC7372">
      <w:pPr>
        <w:spacing w:before="169"/>
        <w:ind w:left="210"/>
        <w:rPr>
          <w:b/>
          <w:sz w:val="18"/>
        </w:rPr>
      </w:pPr>
      <w:r>
        <w:rPr>
          <w:b/>
          <w:color w:val="231F20"/>
          <w:sz w:val="18"/>
        </w:rPr>
        <w:t>Table 2.2.3 Potential environmental watering actions and objectives for the lower Latrobe wetlands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trPr>
          <w:trHeight w:val="333"/>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b/>
                <w:sz w:val="16"/>
              </w:rPr>
            </w:pPr>
            <w:r>
              <w:rPr>
                <w:b/>
                <w:color w:val="231F20"/>
                <w:sz w:val="16"/>
              </w:rPr>
              <w:t>Sale Common</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line="261" w:lineRule="auto"/>
              <w:ind w:left="85" w:right="169"/>
              <w:rPr>
                <w:sz w:val="16"/>
                <w:szCs w:val="16"/>
              </w:rPr>
            </w:pPr>
            <w:r w:rsidRPr="00817C2F">
              <w:rPr>
                <w:color w:val="231F20"/>
                <w:sz w:val="16"/>
                <w:szCs w:val="16"/>
              </w:rPr>
              <w:t>Partial fill (during July to December, with top-ups as required to maintain water height above 0.3m AHD [Australian Height Datum])</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pPr>
              <w:pStyle w:val="TableParagraph"/>
              <w:spacing w:before="74"/>
              <w:ind w:left="85"/>
              <w:rPr>
                <w:sz w:val="16"/>
                <w:szCs w:val="16"/>
              </w:rPr>
            </w:pPr>
            <w:r w:rsidRPr="00817C2F">
              <w:rPr>
                <w:color w:val="231F20"/>
                <w:sz w:val="16"/>
                <w:szCs w:val="16"/>
              </w:rPr>
              <w:t>Maintain a water level at 50 percent or greater (0.3m AHD) to:</w:t>
            </w:r>
          </w:p>
          <w:p w:rsidR="006A7A3F" w:rsidRPr="00817C2F" w:rsidRDefault="00BC7372" w:rsidP="009B6917">
            <w:pPr>
              <w:pStyle w:val="TableParagraph"/>
              <w:numPr>
                <w:ilvl w:val="0"/>
                <w:numId w:val="1345"/>
              </w:numPr>
              <w:tabs>
                <w:tab w:val="left" w:pos="306"/>
              </w:tabs>
              <w:spacing w:before="74"/>
              <w:ind w:hanging="218"/>
              <w:rPr>
                <w:sz w:val="16"/>
                <w:szCs w:val="16"/>
              </w:rPr>
            </w:pPr>
            <w:r w:rsidRPr="00817C2F">
              <w:rPr>
                <w:color w:val="231F20"/>
                <w:sz w:val="16"/>
                <w:szCs w:val="16"/>
              </w:rPr>
              <w:t>encourage the growth and flowering of semi-aquatic</w:t>
            </w:r>
            <w:r w:rsidRPr="00817C2F">
              <w:rPr>
                <w:color w:val="231F20"/>
                <w:spacing w:val="-9"/>
                <w:sz w:val="16"/>
                <w:szCs w:val="16"/>
              </w:rPr>
              <w:t xml:space="preserve"> </w:t>
            </w:r>
            <w:r w:rsidRPr="00817C2F">
              <w:rPr>
                <w:color w:val="231F20"/>
                <w:sz w:val="16"/>
                <w:szCs w:val="16"/>
              </w:rPr>
              <w:t>plants</w:t>
            </w:r>
          </w:p>
          <w:p w:rsidR="006A7A3F" w:rsidRPr="00817C2F" w:rsidRDefault="00BC7372" w:rsidP="009B6917">
            <w:pPr>
              <w:pStyle w:val="TableParagraph"/>
              <w:numPr>
                <w:ilvl w:val="0"/>
                <w:numId w:val="1345"/>
              </w:numPr>
              <w:tabs>
                <w:tab w:val="left" w:pos="306"/>
              </w:tabs>
              <w:spacing w:before="98"/>
              <w:ind w:hanging="218"/>
              <w:rPr>
                <w:sz w:val="16"/>
                <w:szCs w:val="16"/>
              </w:rPr>
            </w:pPr>
            <w:r w:rsidRPr="00817C2F">
              <w:rPr>
                <w:color w:val="231F20"/>
                <w:sz w:val="16"/>
                <w:szCs w:val="16"/>
              </w:rPr>
              <w:t>provide appropriate wetland habitat for frogs and</w:t>
            </w:r>
            <w:r w:rsidRPr="00817C2F">
              <w:rPr>
                <w:color w:val="231F20"/>
                <w:spacing w:val="-11"/>
                <w:sz w:val="16"/>
                <w:szCs w:val="16"/>
              </w:rPr>
              <w:t xml:space="preserve"> </w:t>
            </w:r>
            <w:r w:rsidRPr="00817C2F">
              <w:rPr>
                <w:color w:val="231F20"/>
                <w:sz w:val="16"/>
                <w:szCs w:val="16"/>
              </w:rPr>
              <w:t>turtles</w:t>
            </w:r>
          </w:p>
          <w:p w:rsidR="006A7A3F" w:rsidRPr="00817C2F" w:rsidRDefault="00BC7372" w:rsidP="009B6917">
            <w:pPr>
              <w:pStyle w:val="TableParagraph"/>
              <w:numPr>
                <w:ilvl w:val="0"/>
                <w:numId w:val="1345"/>
              </w:numPr>
              <w:tabs>
                <w:tab w:val="left" w:pos="306"/>
              </w:tabs>
              <w:spacing w:before="99" w:line="254" w:lineRule="auto"/>
              <w:ind w:right="866"/>
              <w:rPr>
                <w:sz w:val="16"/>
                <w:szCs w:val="16"/>
              </w:rPr>
            </w:pPr>
            <w:r w:rsidRPr="00817C2F">
              <w:rPr>
                <w:color w:val="231F20"/>
                <w:sz w:val="16"/>
                <w:szCs w:val="16"/>
              </w:rPr>
              <w:t>provide conditions that support waterbug communities and</w:t>
            </w:r>
            <w:r w:rsidRPr="00817C2F">
              <w:rPr>
                <w:color w:val="231F20"/>
                <w:spacing w:val="-18"/>
                <w:sz w:val="16"/>
                <w:szCs w:val="16"/>
              </w:rPr>
              <w:t xml:space="preserve"> </w:t>
            </w:r>
            <w:r w:rsidRPr="00817C2F">
              <w:rPr>
                <w:color w:val="231F20"/>
                <w:sz w:val="16"/>
                <w:szCs w:val="16"/>
              </w:rPr>
              <w:t>food resources for</w:t>
            </w:r>
            <w:r w:rsidRPr="00817C2F">
              <w:rPr>
                <w:color w:val="231F20"/>
                <w:spacing w:val="-1"/>
                <w:sz w:val="16"/>
                <w:szCs w:val="16"/>
              </w:rPr>
              <w:t xml:space="preserve"> </w:t>
            </w:r>
            <w:r w:rsidRPr="00817C2F">
              <w:rPr>
                <w:color w:val="231F20"/>
                <w:sz w:val="16"/>
                <w:szCs w:val="16"/>
              </w:rPr>
              <w:t>waterbirds</w:t>
            </w:r>
          </w:p>
          <w:p w:rsidR="006A7A3F" w:rsidRPr="00817C2F" w:rsidRDefault="00BC7372" w:rsidP="009B6917">
            <w:pPr>
              <w:pStyle w:val="TableParagraph"/>
              <w:numPr>
                <w:ilvl w:val="0"/>
                <w:numId w:val="1345"/>
              </w:numPr>
              <w:tabs>
                <w:tab w:val="left" w:pos="306"/>
              </w:tabs>
              <w:spacing w:before="86" w:line="254" w:lineRule="auto"/>
              <w:ind w:right="297"/>
              <w:rPr>
                <w:sz w:val="16"/>
                <w:szCs w:val="16"/>
              </w:rPr>
            </w:pPr>
            <w:r w:rsidRPr="00817C2F">
              <w:rPr>
                <w:color w:val="231F20"/>
                <w:sz w:val="16"/>
                <w:szCs w:val="16"/>
              </w:rPr>
              <w:t>wet</w:t>
            </w:r>
            <w:r w:rsidRPr="00817C2F">
              <w:rPr>
                <w:color w:val="231F20"/>
                <w:spacing w:val="-5"/>
                <w:sz w:val="16"/>
                <w:szCs w:val="16"/>
              </w:rPr>
              <w:t xml:space="preserve"> </w:t>
            </w:r>
            <w:r w:rsidRPr="00817C2F">
              <w:rPr>
                <w:color w:val="231F20"/>
                <w:sz w:val="16"/>
                <w:szCs w:val="16"/>
              </w:rPr>
              <w:t>key</w:t>
            </w:r>
            <w:r w:rsidRPr="00817C2F">
              <w:rPr>
                <w:color w:val="231F20"/>
                <w:spacing w:val="-3"/>
                <w:sz w:val="16"/>
                <w:szCs w:val="16"/>
              </w:rPr>
              <w:t xml:space="preserve"> </w:t>
            </w:r>
            <w:r w:rsidRPr="00817C2F">
              <w:rPr>
                <w:color w:val="231F20"/>
                <w:sz w:val="16"/>
                <w:szCs w:val="16"/>
              </w:rPr>
              <w:t>habitats</w:t>
            </w:r>
            <w:r w:rsidRPr="00817C2F">
              <w:rPr>
                <w:color w:val="231F20"/>
                <w:spacing w:val="-5"/>
                <w:sz w:val="16"/>
                <w:szCs w:val="16"/>
              </w:rPr>
              <w:t xml:space="preserve"> </w:t>
            </w:r>
            <w:r w:rsidRPr="00817C2F">
              <w:rPr>
                <w:color w:val="231F20"/>
                <w:sz w:val="16"/>
                <w:szCs w:val="16"/>
              </w:rPr>
              <w:t>within</w:t>
            </w:r>
            <w:r w:rsidRPr="00817C2F">
              <w:rPr>
                <w:color w:val="231F20"/>
                <w:spacing w:val="-4"/>
                <w:sz w:val="16"/>
                <w:szCs w:val="16"/>
              </w:rPr>
              <w:t xml:space="preserve"> </w:t>
            </w:r>
            <w:r w:rsidRPr="00817C2F">
              <w:rPr>
                <w:color w:val="231F20"/>
                <w:sz w:val="16"/>
                <w:szCs w:val="16"/>
              </w:rPr>
              <w:t>the</w:t>
            </w:r>
            <w:r w:rsidRPr="00817C2F">
              <w:rPr>
                <w:color w:val="231F20"/>
                <w:spacing w:val="-3"/>
                <w:sz w:val="16"/>
                <w:szCs w:val="16"/>
              </w:rPr>
              <w:t xml:space="preserve"> </w:t>
            </w:r>
            <w:r w:rsidRPr="00817C2F">
              <w:rPr>
                <w:color w:val="231F20"/>
                <w:sz w:val="16"/>
                <w:szCs w:val="16"/>
              </w:rPr>
              <w:t>wetland</w:t>
            </w:r>
            <w:r w:rsidRPr="00817C2F">
              <w:rPr>
                <w:color w:val="231F20"/>
                <w:spacing w:val="-5"/>
                <w:sz w:val="16"/>
                <w:szCs w:val="16"/>
              </w:rPr>
              <w:t xml:space="preserve"> </w:t>
            </w:r>
            <w:r w:rsidRPr="00817C2F">
              <w:rPr>
                <w:color w:val="231F20"/>
                <w:sz w:val="16"/>
                <w:szCs w:val="16"/>
              </w:rPr>
              <w:t>for</w:t>
            </w:r>
            <w:r w:rsidRPr="00817C2F">
              <w:rPr>
                <w:color w:val="231F20"/>
                <w:spacing w:val="-3"/>
                <w:sz w:val="16"/>
                <w:szCs w:val="16"/>
              </w:rPr>
              <w:t xml:space="preserve"> </w:t>
            </w:r>
            <w:r w:rsidRPr="00817C2F">
              <w:rPr>
                <w:color w:val="231F20"/>
                <w:sz w:val="16"/>
                <w:szCs w:val="16"/>
              </w:rPr>
              <w:t>sufficient</w:t>
            </w:r>
            <w:r w:rsidRPr="00817C2F">
              <w:rPr>
                <w:color w:val="231F20"/>
                <w:spacing w:val="-4"/>
                <w:sz w:val="16"/>
                <w:szCs w:val="16"/>
              </w:rPr>
              <w:t xml:space="preserve"> </w:t>
            </w:r>
            <w:r w:rsidRPr="00817C2F">
              <w:rPr>
                <w:color w:val="231F20"/>
                <w:sz w:val="16"/>
                <w:szCs w:val="16"/>
              </w:rPr>
              <w:t>duration</w:t>
            </w:r>
            <w:r w:rsidRPr="00817C2F">
              <w:rPr>
                <w:color w:val="231F20"/>
                <w:spacing w:val="-4"/>
                <w:sz w:val="16"/>
                <w:szCs w:val="16"/>
              </w:rPr>
              <w:t xml:space="preserve"> </w:t>
            </w:r>
            <w:r w:rsidRPr="00817C2F">
              <w:rPr>
                <w:color w:val="231F20"/>
                <w:sz w:val="16"/>
                <w:szCs w:val="16"/>
              </w:rPr>
              <w:t>to</w:t>
            </w:r>
            <w:r w:rsidRPr="00817C2F">
              <w:rPr>
                <w:color w:val="231F20"/>
                <w:spacing w:val="-4"/>
                <w:sz w:val="16"/>
                <w:szCs w:val="16"/>
              </w:rPr>
              <w:t xml:space="preserve"> </w:t>
            </w:r>
            <w:r w:rsidRPr="00817C2F">
              <w:rPr>
                <w:color w:val="231F20"/>
                <w:sz w:val="16"/>
                <w:szCs w:val="16"/>
              </w:rPr>
              <w:t>discourage invasive plants, particularly the excessive spread of giant</w:t>
            </w:r>
            <w:r w:rsidRPr="00817C2F">
              <w:rPr>
                <w:color w:val="231F20"/>
                <w:spacing w:val="-19"/>
                <w:sz w:val="16"/>
                <w:szCs w:val="16"/>
              </w:rPr>
              <w:t xml:space="preserve"> </w:t>
            </w:r>
            <w:r w:rsidRPr="00817C2F">
              <w:rPr>
                <w:color w:val="231F20"/>
                <w:sz w:val="16"/>
                <w:szCs w:val="16"/>
              </w:rPr>
              <w:t>rush</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1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1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1334"/>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1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11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0"/>
              <w:rPr>
                <w:sz w:val="9"/>
              </w:rPr>
            </w:pPr>
            <w:r>
              <w:rPr>
                <w:color w:val="231F20"/>
                <w:sz w:val="16"/>
              </w:rPr>
              <w:t>Fill (during August to November and maintain at full level for at least two months)</w:t>
            </w:r>
            <w:r>
              <w:rPr>
                <w:color w:val="231F20"/>
                <w:position w:val="5"/>
                <w:sz w:val="9"/>
              </w:rPr>
              <w:t>1</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44"/>
              </w:numPr>
              <w:tabs>
                <w:tab w:val="left" w:pos="306"/>
              </w:tabs>
              <w:spacing w:before="70" w:line="254" w:lineRule="auto"/>
              <w:ind w:right="256"/>
              <w:rPr>
                <w:sz w:val="16"/>
                <w:szCs w:val="16"/>
              </w:rPr>
            </w:pPr>
            <w:r w:rsidRPr="00817C2F">
              <w:rPr>
                <w:color w:val="231F20"/>
                <w:sz w:val="16"/>
                <w:szCs w:val="16"/>
              </w:rPr>
              <w:t>Wet the outer boundaries of the wetland to support the growth and flowering of streamside and fringing wetland plants, increasing</w:t>
            </w:r>
            <w:r w:rsidRPr="00817C2F">
              <w:rPr>
                <w:color w:val="231F20"/>
                <w:spacing w:val="-28"/>
                <w:sz w:val="16"/>
                <w:szCs w:val="16"/>
              </w:rPr>
              <w:t xml:space="preserve"> </w:t>
            </w:r>
            <w:r w:rsidRPr="00817C2F">
              <w:rPr>
                <w:color w:val="231F20"/>
                <w:sz w:val="16"/>
                <w:szCs w:val="16"/>
              </w:rPr>
              <w:t>foraging opportunities for</w:t>
            </w:r>
            <w:r w:rsidRPr="00817C2F">
              <w:rPr>
                <w:color w:val="231F20"/>
                <w:spacing w:val="-2"/>
                <w:sz w:val="16"/>
                <w:szCs w:val="16"/>
              </w:rPr>
              <w:t xml:space="preserve"> </w:t>
            </w:r>
            <w:r w:rsidRPr="00817C2F">
              <w:rPr>
                <w:color w:val="231F20"/>
                <w:sz w:val="16"/>
                <w:szCs w:val="16"/>
              </w:rPr>
              <w:t>waterbirds</w:t>
            </w:r>
          </w:p>
          <w:p w:rsidR="006A7A3F" w:rsidRPr="00817C2F" w:rsidRDefault="00BC7372" w:rsidP="009B6917">
            <w:pPr>
              <w:pStyle w:val="TableParagraph"/>
              <w:numPr>
                <w:ilvl w:val="0"/>
                <w:numId w:val="1344"/>
              </w:numPr>
              <w:tabs>
                <w:tab w:val="left" w:pos="306"/>
              </w:tabs>
              <w:spacing w:before="87" w:line="254" w:lineRule="auto"/>
              <w:ind w:right="327"/>
              <w:rPr>
                <w:sz w:val="16"/>
                <w:szCs w:val="16"/>
              </w:rPr>
            </w:pPr>
            <w:r w:rsidRPr="00817C2F">
              <w:rPr>
                <w:color w:val="231F20"/>
                <w:sz w:val="16"/>
                <w:szCs w:val="16"/>
              </w:rPr>
              <w:t>Encourage</w:t>
            </w:r>
            <w:r w:rsidRPr="00817C2F">
              <w:rPr>
                <w:color w:val="231F20"/>
                <w:spacing w:val="-4"/>
                <w:sz w:val="16"/>
                <w:szCs w:val="16"/>
              </w:rPr>
              <w:t xml:space="preserve"> </w:t>
            </w:r>
            <w:r w:rsidRPr="00817C2F">
              <w:rPr>
                <w:color w:val="231F20"/>
                <w:sz w:val="16"/>
                <w:szCs w:val="16"/>
              </w:rPr>
              <w:t>bird</w:t>
            </w:r>
            <w:r w:rsidRPr="00817C2F">
              <w:rPr>
                <w:color w:val="231F20"/>
                <w:spacing w:val="-4"/>
                <w:sz w:val="16"/>
                <w:szCs w:val="16"/>
              </w:rPr>
              <w:t xml:space="preserve"> </w:t>
            </w:r>
            <w:r w:rsidRPr="00817C2F">
              <w:rPr>
                <w:color w:val="231F20"/>
                <w:sz w:val="16"/>
                <w:szCs w:val="16"/>
              </w:rPr>
              <w:t>breeding</w:t>
            </w:r>
            <w:r w:rsidRPr="00817C2F">
              <w:rPr>
                <w:color w:val="231F20"/>
                <w:spacing w:val="-5"/>
                <w:sz w:val="16"/>
                <w:szCs w:val="16"/>
              </w:rPr>
              <w:t xml:space="preserve"> </w:t>
            </w:r>
            <w:r w:rsidRPr="00817C2F">
              <w:rPr>
                <w:color w:val="231F20"/>
                <w:sz w:val="16"/>
                <w:szCs w:val="16"/>
              </w:rPr>
              <w:t>by</w:t>
            </w:r>
            <w:r w:rsidRPr="00817C2F">
              <w:rPr>
                <w:color w:val="231F20"/>
                <w:spacing w:val="-4"/>
                <w:sz w:val="16"/>
                <w:szCs w:val="16"/>
              </w:rPr>
              <w:t xml:space="preserve"> </w:t>
            </w:r>
            <w:r w:rsidRPr="00817C2F">
              <w:rPr>
                <w:color w:val="231F20"/>
                <w:sz w:val="16"/>
                <w:szCs w:val="16"/>
              </w:rPr>
              <w:t>providing</w:t>
            </w:r>
            <w:r w:rsidRPr="00817C2F">
              <w:rPr>
                <w:color w:val="231F20"/>
                <w:spacing w:val="-4"/>
                <w:sz w:val="16"/>
                <w:szCs w:val="16"/>
              </w:rPr>
              <w:t xml:space="preserve"> </w:t>
            </w:r>
            <w:r w:rsidRPr="00817C2F">
              <w:rPr>
                <w:color w:val="231F20"/>
                <w:sz w:val="16"/>
                <w:szCs w:val="16"/>
              </w:rPr>
              <w:t>nesting</w:t>
            </w:r>
            <w:r w:rsidRPr="00817C2F">
              <w:rPr>
                <w:color w:val="231F20"/>
                <w:spacing w:val="-5"/>
                <w:sz w:val="16"/>
                <w:szCs w:val="16"/>
              </w:rPr>
              <w:t xml:space="preserve"> </w:t>
            </w:r>
            <w:r w:rsidRPr="00817C2F">
              <w:rPr>
                <w:color w:val="231F20"/>
                <w:sz w:val="16"/>
                <w:szCs w:val="16"/>
              </w:rPr>
              <w:t>habitat</w:t>
            </w:r>
            <w:r w:rsidRPr="00817C2F">
              <w:rPr>
                <w:color w:val="231F20"/>
                <w:spacing w:val="-4"/>
                <w:sz w:val="16"/>
                <w:szCs w:val="16"/>
              </w:rPr>
              <w:t xml:space="preserve"> </w:t>
            </w:r>
            <w:r w:rsidRPr="00817C2F">
              <w:rPr>
                <w:color w:val="231F20"/>
                <w:sz w:val="16"/>
                <w:szCs w:val="16"/>
              </w:rPr>
              <w:t>to</w:t>
            </w:r>
            <w:r w:rsidRPr="00817C2F">
              <w:rPr>
                <w:color w:val="231F20"/>
                <w:spacing w:val="-4"/>
                <w:sz w:val="16"/>
                <w:szCs w:val="16"/>
              </w:rPr>
              <w:t xml:space="preserve"> </w:t>
            </w:r>
            <w:r w:rsidRPr="00817C2F">
              <w:rPr>
                <w:color w:val="231F20"/>
                <w:sz w:val="16"/>
                <w:szCs w:val="16"/>
              </w:rPr>
              <w:t>wet</w:t>
            </w:r>
            <w:r w:rsidRPr="00817C2F">
              <w:rPr>
                <w:color w:val="231F20"/>
                <w:spacing w:val="-4"/>
                <w:sz w:val="16"/>
                <w:szCs w:val="16"/>
              </w:rPr>
              <w:t xml:space="preserve"> </w:t>
            </w:r>
            <w:r w:rsidRPr="00817C2F">
              <w:rPr>
                <w:color w:val="231F20"/>
                <w:sz w:val="16"/>
                <w:szCs w:val="16"/>
              </w:rPr>
              <w:t>reed</w:t>
            </w:r>
            <w:r w:rsidRPr="00817C2F">
              <w:rPr>
                <w:color w:val="231F20"/>
                <w:spacing w:val="-3"/>
                <w:sz w:val="16"/>
                <w:szCs w:val="16"/>
              </w:rPr>
              <w:t xml:space="preserve"> </w:t>
            </w:r>
            <w:r w:rsidRPr="00817C2F">
              <w:rPr>
                <w:color w:val="231F20"/>
                <w:sz w:val="16"/>
                <w:szCs w:val="16"/>
              </w:rPr>
              <w:t>beds and provide deep water next to</w:t>
            </w:r>
            <w:r w:rsidRPr="00817C2F">
              <w:rPr>
                <w:color w:val="231F20"/>
                <w:spacing w:val="-8"/>
                <w:sz w:val="16"/>
                <w:szCs w:val="16"/>
              </w:rPr>
              <w:t xml:space="preserve"> </w:t>
            </w:r>
            <w:r w:rsidRPr="00817C2F">
              <w:rPr>
                <w:color w:val="231F20"/>
                <w:sz w:val="16"/>
                <w:szCs w:val="16"/>
              </w:rPr>
              <w:t>reedbeds</w:t>
            </w:r>
          </w:p>
          <w:p w:rsidR="006A7A3F" w:rsidRPr="00817C2F" w:rsidRDefault="00BC7372" w:rsidP="009B6917">
            <w:pPr>
              <w:pStyle w:val="TableParagraph"/>
              <w:numPr>
                <w:ilvl w:val="0"/>
                <w:numId w:val="1344"/>
              </w:numPr>
              <w:tabs>
                <w:tab w:val="left" w:pos="306"/>
              </w:tabs>
              <w:spacing w:before="86" w:line="254" w:lineRule="auto"/>
              <w:ind w:right="107"/>
              <w:rPr>
                <w:sz w:val="16"/>
                <w:szCs w:val="16"/>
              </w:rPr>
            </w:pPr>
            <w:r w:rsidRPr="00817C2F">
              <w:rPr>
                <w:color w:val="231F20"/>
                <w:sz w:val="16"/>
                <w:szCs w:val="16"/>
              </w:rPr>
              <w:t>Provide connectivity between the river and wetlands and increase</w:t>
            </w:r>
            <w:r w:rsidRPr="00817C2F">
              <w:rPr>
                <w:color w:val="231F20"/>
                <w:spacing w:val="-34"/>
                <w:sz w:val="16"/>
                <w:szCs w:val="16"/>
              </w:rPr>
              <w:t xml:space="preserve"> </w:t>
            </w:r>
            <w:r w:rsidRPr="00817C2F">
              <w:rPr>
                <w:color w:val="231F20"/>
                <w:sz w:val="16"/>
                <w:szCs w:val="16"/>
              </w:rPr>
              <w:t>habitat and feeding opportunities for frogs and</w:t>
            </w:r>
            <w:r w:rsidRPr="00817C2F">
              <w:rPr>
                <w:color w:val="231F20"/>
                <w:spacing w:val="-5"/>
                <w:sz w:val="16"/>
                <w:szCs w:val="16"/>
              </w:rPr>
              <w:t xml:space="preserve"> </w:t>
            </w:r>
            <w:r w:rsidRPr="00817C2F">
              <w:rPr>
                <w:color w:val="231F20"/>
                <w:sz w:val="16"/>
                <w:szCs w:val="16"/>
              </w:rPr>
              <w:t>turtles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19"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21"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2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12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645"/>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2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706"/>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Pr>
                <w:sz w:val="16"/>
              </w:rPr>
            </w:pPr>
            <w:r>
              <w:rPr>
                <w:color w:val="231F20"/>
                <w:sz w:val="16"/>
              </w:rPr>
              <w:t>Top-up (anytime, following bird breeding event if required)</w:t>
            </w:r>
          </w:p>
        </w:tc>
        <w:tc>
          <w:tcPr>
            <w:tcW w:w="6236"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43"/>
              </w:numPr>
              <w:tabs>
                <w:tab w:val="left" w:pos="306"/>
              </w:tabs>
              <w:spacing w:before="70" w:line="254" w:lineRule="auto"/>
              <w:ind w:right="255"/>
              <w:rPr>
                <w:sz w:val="16"/>
                <w:szCs w:val="16"/>
              </w:rPr>
            </w:pPr>
            <w:r w:rsidRPr="00817C2F">
              <w:rPr>
                <w:color w:val="231F20"/>
                <w:sz w:val="16"/>
                <w:szCs w:val="16"/>
              </w:rPr>
              <w:t>Prolong wetting of reed beds to maintain habitat and food resources for nesting waterbirds and protect chicks from</w:t>
            </w:r>
            <w:r w:rsidRPr="00817C2F">
              <w:rPr>
                <w:color w:val="231F20"/>
                <w:spacing w:val="-10"/>
                <w:sz w:val="16"/>
                <w:szCs w:val="16"/>
              </w:rPr>
              <w:t xml:space="preserve"> </w:t>
            </w:r>
            <w:r w:rsidRPr="00817C2F">
              <w:rPr>
                <w:color w:val="231F20"/>
                <w:sz w:val="16"/>
                <w:szCs w:val="16"/>
              </w:rPr>
              <w:t>predators</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A23A84">
            <w:pPr>
              <w:pStyle w:val="TableParagraph"/>
              <w:ind w:left="170"/>
              <w:rPr>
                <w:sz w:val="20"/>
              </w:rPr>
            </w:pPr>
            <w:r>
              <w:rPr>
                <w:sz w:val="20"/>
              </w:rPr>
              <w:t xml:space="preserve">   </w:t>
            </w:r>
            <w:r w:rsidR="00BC7372">
              <w:rPr>
                <w:noProof/>
                <w:sz w:val="20"/>
              </w:rPr>
              <w:drawing>
                <wp:inline distT="0" distB="0" distL="0" distR="0">
                  <wp:extent cx="314168" cy="310896"/>
                  <wp:effectExtent l="0" t="0" r="0" b="0"/>
                  <wp:docPr id="12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333"/>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b/>
                <w:sz w:val="16"/>
              </w:rPr>
            </w:pPr>
            <w:r>
              <w:rPr>
                <w:b/>
                <w:color w:val="231F20"/>
                <w:sz w:val="16"/>
              </w:rPr>
              <w:t>Dowd Morass</w:t>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69"/>
              <w:rPr>
                <w:sz w:val="9"/>
              </w:rPr>
            </w:pPr>
            <w:r>
              <w:rPr>
                <w:color w:val="231F20"/>
                <w:sz w:val="16"/>
              </w:rPr>
              <w:t>Partial fill (during April to December, with top-ups over summer to maintain surface coverage)</w:t>
            </w:r>
            <w:r>
              <w:rPr>
                <w:color w:val="231F20"/>
                <w:position w:val="5"/>
                <w:sz w:val="9"/>
              </w:rPr>
              <w:t>2</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42"/>
              </w:numPr>
              <w:tabs>
                <w:tab w:val="left" w:pos="306"/>
              </w:tabs>
              <w:spacing w:before="70" w:line="254" w:lineRule="auto"/>
              <w:ind w:right="545"/>
              <w:rPr>
                <w:sz w:val="16"/>
                <w:szCs w:val="16"/>
              </w:rPr>
            </w:pPr>
            <w:r w:rsidRPr="00817C2F">
              <w:rPr>
                <w:color w:val="231F20"/>
                <w:sz w:val="16"/>
                <w:szCs w:val="16"/>
              </w:rPr>
              <w:t>Provide seasonal variation in water depth throughout the wetland to support the growth and flowering of semi-aquatic</w:t>
            </w:r>
            <w:r w:rsidRPr="00817C2F">
              <w:rPr>
                <w:color w:val="231F20"/>
                <w:spacing w:val="-7"/>
                <w:sz w:val="16"/>
                <w:szCs w:val="16"/>
              </w:rPr>
              <w:t xml:space="preserve"> </w:t>
            </w:r>
            <w:r w:rsidRPr="00817C2F">
              <w:rPr>
                <w:color w:val="231F20"/>
                <w:sz w:val="16"/>
                <w:szCs w:val="16"/>
              </w:rPr>
              <w:t>plants</w:t>
            </w:r>
          </w:p>
          <w:p w:rsidR="006A7A3F" w:rsidRPr="00817C2F" w:rsidRDefault="00BC7372" w:rsidP="009B6917">
            <w:pPr>
              <w:pStyle w:val="TableParagraph"/>
              <w:numPr>
                <w:ilvl w:val="0"/>
                <w:numId w:val="1342"/>
              </w:numPr>
              <w:tabs>
                <w:tab w:val="left" w:pos="306"/>
              </w:tabs>
              <w:spacing w:before="87" w:line="254" w:lineRule="auto"/>
              <w:ind w:right="106"/>
              <w:rPr>
                <w:sz w:val="16"/>
                <w:szCs w:val="16"/>
              </w:rPr>
            </w:pPr>
            <w:r w:rsidRPr="00817C2F">
              <w:rPr>
                <w:color w:val="231F20"/>
                <w:sz w:val="16"/>
                <w:szCs w:val="16"/>
              </w:rPr>
              <w:t>Wet vegetation and soils at middle elevations within the wetland to increase the abundance of waterbugs and other food resources for</w:t>
            </w:r>
            <w:r w:rsidRPr="00817C2F">
              <w:rPr>
                <w:color w:val="231F20"/>
                <w:spacing w:val="-34"/>
                <w:sz w:val="16"/>
                <w:szCs w:val="16"/>
              </w:rPr>
              <w:t xml:space="preserve"> </w:t>
            </w:r>
            <w:r w:rsidRPr="00817C2F">
              <w:rPr>
                <w:color w:val="231F20"/>
                <w:sz w:val="16"/>
                <w:szCs w:val="16"/>
              </w:rPr>
              <w:t>frogs, turtles and</w:t>
            </w:r>
            <w:r w:rsidRPr="00817C2F">
              <w:rPr>
                <w:color w:val="231F20"/>
                <w:spacing w:val="-2"/>
                <w:sz w:val="16"/>
                <w:szCs w:val="16"/>
              </w:rPr>
              <w:t xml:space="preserve"> </w:t>
            </w:r>
            <w:r w:rsidRPr="00817C2F">
              <w:rPr>
                <w:color w:val="231F20"/>
                <w:sz w:val="16"/>
                <w:szCs w:val="16"/>
              </w:rPr>
              <w:t>waterbirds</w:t>
            </w:r>
          </w:p>
          <w:p w:rsidR="006A7A3F" w:rsidRPr="00817C2F" w:rsidRDefault="00BC7372" w:rsidP="009B6917">
            <w:pPr>
              <w:pStyle w:val="TableParagraph"/>
              <w:numPr>
                <w:ilvl w:val="0"/>
                <w:numId w:val="1342"/>
              </w:numPr>
              <w:tabs>
                <w:tab w:val="left" w:pos="306"/>
              </w:tabs>
              <w:spacing w:before="86" w:line="254" w:lineRule="auto"/>
              <w:ind w:right="696"/>
              <w:rPr>
                <w:sz w:val="16"/>
                <w:szCs w:val="16"/>
              </w:rPr>
            </w:pPr>
            <w:r w:rsidRPr="00817C2F">
              <w:rPr>
                <w:color w:val="231F20"/>
                <w:sz w:val="16"/>
                <w:szCs w:val="16"/>
              </w:rPr>
              <w:t>Provide connectivity between the river and wetlands and</w:t>
            </w:r>
            <w:r w:rsidRPr="00817C2F">
              <w:rPr>
                <w:color w:val="231F20"/>
                <w:spacing w:val="-27"/>
                <w:sz w:val="16"/>
                <w:szCs w:val="16"/>
              </w:rPr>
              <w:t xml:space="preserve"> </w:t>
            </w:r>
            <w:r w:rsidRPr="00817C2F">
              <w:rPr>
                <w:color w:val="231F20"/>
                <w:sz w:val="16"/>
                <w:szCs w:val="16"/>
              </w:rPr>
              <w:t>between wetlands, increasing available habitat for frogs and</w:t>
            </w:r>
            <w:r w:rsidRPr="00817C2F">
              <w:rPr>
                <w:color w:val="231F20"/>
                <w:spacing w:val="-17"/>
                <w:sz w:val="16"/>
                <w:szCs w:val="16"/>
              </w:rPr>
              <w:t xml:space="preserve"> </w:t>
            </w:r>
            <w:r w:rsidRPr="00817C2F">
              <w:rPr>
                <w:color w:val="231F20"/>
                <w:sz w:val="16"/>
                <w:szCs w:val="16"/>
              </w:rPr>
              <w:t>turtles</w:t>
            </w:r>
          </w:p>
          <w:p w:rsidR="006A7A3F" w:rsidRDefault="00BC7372" w:rsidP="009B6917">
            <w:pPr>
              <w:pStyle w:val="TableParagraph"/>
              <w:numPr>
                <w:ilvl w:val="0"/>
                <w:numId w:val="1342"/>
              </w:numPr>
              <w:tabs>
                <w:tab w:val="left" w:pos="306"/>
              </w:tabs>
              <w:spacing w:before="87" w:line="254" w:lineRule="auto"/>
              <w:ind w:right="246"/>
              <w:rPr>
                <w:sz w:val="18"/>
              </w:rPr>
            </w:pPr>
            <w:r w:rsidRPr="00817C2F">
              <w:rPr>
                <w:color w:val="231F20"/>
                <w:sz w:val="16"/>
                <w:szCs w:val="16"/>
              </w:rPr>
              <w:t>Support bird breeding (when delivered in spring/early summer following earlier fill) by maintaining wetted habitat around reed</w:t>
            </w:r>
            <w:r w:rsidRPr="00817C2F">
              <w:rPr>
                <w:color w:val="231F20"/>
                <w:spacing w:val="-13"/>
                <w:sz w:val="16"/>
                <w:szCs w:val="16"/>
              </w:rPr>
              <w:t xml:space="preserve"> </w:t>
            </w:r>
            <w:r w:rsidRPr="00817C2F">
              <w:rPr>
                <w:color w:val="231F20"/>
                <w:sz w:val="16"/>
                <w:szCs w:val="16"/>
              </w:rPr>
              <w:t>beds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3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3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rsidTr="00817C2F">
        <w:trPr>
          <w:trHeight w:val="1479"/>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3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13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913"/>
              <w:rPr>
                <w:sz w:val="16"/>
              </w:rPr>
            </w:pPr>
            <w:r>
              <w:rPr>
                <w:color w:val="231F20"/>
                <w:sz w:val="16"/>
              </w:rPr>
              <w:t>Fill (during August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41"/>
              </w:numPr>
              <w:tabs>
                <w:tab w:val="left" w:pos="306"/>
              </w:tabs>
              <w:spacing w:before="70" w:line="254" w:lineRule="auto"/>
              <w:ind w:right="440"/>
              <w:rPr>
                <w:sz w:val="16"/>
                <w:szCs w:val="16"/>
              </w:rPr>
            </w:pPr>
            <w:r w:rsidRPr="00817C2F">
              <w:rPr>
                <w:color w:val="231F20"/>
                <w:sz w:val="16"/>
                <w:szCs w:val="16"/>
              </w:rPr>
              <w:t>Wet</w:t>
            </w:r>
            <w:r w:rsidRPr="00817C2F">
              <w:rPr>
                <w:color w:val="231F20"/>
                <w:spacing w:val="-4"/>
                <w:sz w:val="16"/>
                <w:szCs w:val="16"/>
              </w:rPr>
              <w:t xml:space="preserve"> </w:t>
            </w:r>
            <w:r w:rsidRPr="00817C2F">
              <w:rPr>
                <w:color w:val="231F20"/>
                <w:sz w:val="16"/>
                <w:szCs w:val="16"/>
              </w:rPr>
              <w:t>reed</w:t>
            </w:r>
            <w:r w:rsidRPr="00817C2F">
              <w:rPr>
                <w:color w:val="231F20"/>
                <w:spacing w:val="-3"/>
                <w:sz w:val="16"/>
                <w:szCs w:val="16"/>
              </w:rPr>
              <w:t xml:space="preserve"> </w:t>
            </w:r>
            <w:r w:rsidRPr="00817C2F">
              <w:rPr>
                <w:color w:val="231F20"/>
                <w:sz w:val="16"/>
                <w:szCs w:val="16"/>
              </w:rPr>
              <w:t>beds</w:t>
            </w:r>
            <w:r w:rsidRPr="00817C2F">
              <w:rPr>
                <w:color w:val="231F20"/>
                <w:spacing w:val="-4"/>
                <w:sz w:val="16"/>
                <w:szCs w:val="16"/>
              </w:rPr>
              <w:t xml:space="preserve"> </w:t>
            </w:r>
            <w:r w:rsidRPr="00817C2F">
              <w:rPr>
                <w:color w:val="231F20"/>
                <w:sz w:val="16"/>
                <w:szCs w:val="16"/>
              </w:rPr>
              <w:t>and</w:t>
            </w:r>
            <w:r w:rsidRPr="00817C2F">
              <w:rPr>
                <w:color w:val="231F20"/>
                <w:spacing w:val="-4"/>
                <w:sz w:val="16"/>
                <w:szCs w:val="16"/>
              </w:rPr>
              <w:t xml:space="preserve"> </w:t>
            </w:r>
            <w:r w:rsidRPr="00817C2F">
              <w:rPr>
                <w:color w:val="231F20"/>
                <w:sz w:val="16"/>
                <w:szCs w:val="16"/>
              </w:rPr>
              <w:t>deep</w:t>
            </w:r>
            <w:r w:rsidRPr="00817C2F">
              <w:rPr>
                <w:color w:val="231F20"/>
                <w:spacing w:val="-4"/>
                <w:sz w:val="16"/>
                <w:szCs w:val="16"/>
              </w:rPr>
              <w:t xml:space="preserve"> </w:t>
            </w:r>
            <w:r w:rsidRPr="00817C2F">
              <w:rPr>
                <w:color w:val="231F20"/>
                <w:sz w:val="16"/>
                <w:szCs w:val="16"/>
              </w:rPr>
              <w:t>water</w:t>
            </w:r>
            <w:r w:rsidRPr="00817C2F">
              <w:rPr>
                <w:color w:val="231F20"/>
                <w:spacing w:val="-4"/>
                <w:sz w:val="16"/>
                <w:szCs w:val="16"/>
              </w:rPr>
              <w:t xml:space="preserve"> </w:t>
            </w:r>
            <w:r w:rsidRPr="00817C2F">
              <w:rPr>
                <w:color w:val="231F20"/>
                <w:sz w:val="16"/>
                <w:szCs w:val="16"/>
              </w:rPr>
              <w:t>next</w:t>
            </w:r>
            <w:r w:rsidRPr="00817C2F">
              <w:rPr>
                <w:color w:val="231F20"/>
                <w:spacing w:val="-4"/>
                <w:sz w:val="16"/>
                <w:szCs w:val="16"/>
              </w:rPr>
              <w:t xml:space="preserve"> </w:t>
            </w:r>
            <w:r w:rsidRPr="00817C2F">
              <w:rPr>
                <w:color w:val="231F20"/>
                <w:sz w:val="16"/>
                <w:szCs w:val="16"/>
              </w:rPr>
              <w:t>to</w:t>
            </w:r>
            <w:r w:rsidRPr="00817C2F">
              <w:rPr>
                <w:color w:val="231F20"/>
                <w:spacing w:val="-3"/>
                <w:sz w:val="16"/>
                <w:szCs w:val="16"/>
              </w:rPr>
              <w:t xml:space="preserve"> </w:t>
            </w:r>
            <w:r w:rsidRPr="00817C2F">
              <w:rPr>
                <w:color w:val="231F20"/>
                <w:sz w:val="16"/>
                <w:szCs w:val="16"/>
              </w:rPr>
              <w:t>reedbeds</w:t>
            </w:r>
            <w:r w:rsidRPr="00817C2F">
              <w:rPr>
                <w:color w:val="231F20"/>
                <w:spacing w:val="-3"/>
                <w:sz w:val="16"/>
                <w:szCs w:val="16"/>
              </w:rPr>
              <w:t xml:space="preserve"> </w:t>
            </w:r>
            <w:r w:rsidRPr="00817C2F">
              <w:rPr>
                <w:color w:val="231F20"/>
                <w:sz w:val="16"/>
                <w:szCs w:val="16"/>
              </w:rPr>
              <w:t>to</w:t>
            </w:r>
            <w:r w:rsidRPr="00817C2F">
              <w:rPr>
                <w:color w:val="231F20"/>
                <w:spacing w:val="-3"/>
                <w:sz w:val="16"/>
                <w:szCs w:val="16"/>
              </w:rPr>
              <w:t xml:space="preserve"> </w:t>
            </w:r>
            <w:r w:rsidRPr="00817C2F">
              <w:rPr>
                <w:color w:val="231F20"/>
                <w:sz w:val="16"/>
                <w:szCs w:val="16"/>
              </w:rPr>
              <w:t>provide</w:t>
            </w:r>
            <w:r w:rsidRPr="00817C2F">
              <w:rPr>
                <w:color w:val="231F20"/>
                <w:spacing w:val="-4"/>
                <w:sz w:val="16"/>
                <w:szCs w:val="16"/>
              </w:rPr>
              <w:t xml:space="preserve"> </w:t>
            </w:r>
            <w:r w:rsidRPr="00817C2F">
              <w:rPr>
                <w:color w:val="231F20"/>
                <w:sz w:val="16"/>
                <w:szCs w:val="16"/>
              </w:rPr>
              <w:t>waterbird nesting habitat and to stimulate bird</w:t>
            </w:r>
            <w:r w:rsidRPr="00817C2F">
              <w:rPr>
                <w:color w:val="231F20"/>
                <w:spacing w:val="-8"/>
                <w:sz w:val="16"/>
                <w:szCs w:val="16"/>
              </w:rPr>
              <w:t xml:space="preserve"> </w:t>
            </w:r>
            <w:r w:rsidRPr="00817C2F">
              <w:rPr>
                <w:color w:val="231F20"/>
                <w:sz w:val="16"/>
                <w:szCs w:val="16"/>
              </w:rPr>
              <w:t>breeding</w:t>
            </w:r>
          </w:p>
          <w:p w:rsidR="006A7A3F" w:rsidRPr="00817C2F" w:rsidRDefault="00BC7372" w:rsidP="009B6917">
            <w:pPr>
              <w:pStyle w:val="TableParagraph"/>
              <w:numPr>
                <w:ilvl w:val="0"/>
                <w:numId w:val="1341"/>
              </w:numPr>
              <w:tabs>
                <w:tab w:val="left" w:pos="306"/>
              </w:tabs>
              <w:spacing w:before="87" w:line="254" w:lineRule="auto"/>
              <w:ind w:right="449"/>
              <w:rPr>
                <w:sz w:val="16"/>
                <w:szCs w:val="16"/>
              </w:rPr>
            </w:pPr>
            <w:r w:rsidRPr="00817C2F">
              <w:rPr>
                <w:color w:val="231F20"/>
                <w:sz w:val="16"/>
                <w:szCs w:val="16"/>
              </w:rPr>
              <w:t>Wet high-elevation banks and streamside zone to support</w:t>
            </w:r>
            <w:r w:rsidRPr="00817C2F">
              <w:rPr>
                <w:color w:val="231F20"/>
                <w:spacing w:val="-27"/>
                <w:sz w:val="16"/>
                <w:szCs w:val="16"/>
              </w:rPr>
              <w:t xml:space="preserve"> </w:t>
            </w:r>
            <w:r w:rsidRPr="00817C2F">
              <w:rPr>
                <w:color w:val="231F20"/>
                <w:sz w:val="16"/>
                <w:szCs w:val="16"/>
              </w:rPr>
              <w:t>vegetation growth, creating nesting habitat for</w:t>
            </w:r>
            <w:r w:rsidRPr="00817C2F">
              <w:rPr>
                <w:color w:val="231F20"/>
                <w:spacing w:val="-7"/>
                <w:sz w:val="16"/>
                <w:szCs w:val="16"/>
              </w:rPr>
              <w:t xml:space="preserve"> </w:t>
            </w:r>
            <w:r w:rsidRPr="00817C2F">
              <w:rPr>
                <w:color w:val="231F20"/>
                <w:sz w:val="16"/>
                <w:szCs w:val="16"/>
              </w:rPr>
              <w:t>waterbirds</w:t>
            </w:r>
          </w:p>
          <w:p w:rsidR="006A7A3F" w:rsidRPr="00817C2F" w:rsidRDefault="00BC7372" w:rsidP="009B6917">
            <w:pPr>
              <w:pStyle w:val="TableParagraph"/>
              <w:numPr>
                <w:ilvl w:val="0"/>
                <w:numId w:val="1341"/>
              </w:numPr>
              <w:tabs>
                <w:tab w:val="left" w:pos="306"/>
              </w:tabs>
              <w:spacing w:before="86" w:line="254" w:lineRule="auto"/>
              <w:ind w:right="397"/>
              <w:rPr>
                <w:sz w:val="16"/>
                <w:szCs w:val="16"/>
              </w:rPr>
            </w:pPr>
            <w:r w:rsidRPr="00817C2F">
              <w:rPr>
                <w:color w:val="231F20"/>
                <w:sz w:val="16"/>
                <w:szCs w:val="16"/>
              </w:rPr>
              <w:t>Wet vegetation and soils at higher elevations to stimulate ecosystem productivity</w:t>
            </w:r>
            <w:r w:rsidRPr="00817C2F">
              <w:rPr>
                <w:color w:val="231F20"/>
                <w:spacing w:val="-6"/>
                <w:sz w:val="16"/>
                <w:szCs w:val="16"/>
              </w:rPr>
              <w:t xml:space="preserve"> </w:t>
            </w:r>
            <w:r w:rsidRPr="00817C2F">
              <w:rPr>
                <w:color w:val="231F20"/>
                <w:sz w:val="16"/>
                <w:szCs w:val="16"/>
              </w:rPr>
              <w:t>and</w:t>
            </w:r>
            <w:r w:rsidRPr="00817C2F">
              <w:rPr>
                <w:color w:val="231F20"/>
                <w:spacing w:val="-5"/>
                <w:sz w:val="16"/>
                <w:szCs w:val="16"/>
              </w:rPr>
              <w:t xml:space="preserve"> </w:t>
            </w:r>
            <w:r w:rsidRPr="00817C2F">
              <w:rPr>
                <w:color w:val="231F20"/>
                <w:sz w:val="16"/>
                <w:szCs w:val="16"/>
              </w:rPr>
              <w:t>increase</w:t>
            </w:r>
            <w:r w:rsidRPr="00817C2F">
              <w:rPr>
                <w:color w:val="231F20"/>
                <w:spacing w:val="-5"/>
                <w:sz w:val="16"/>
                <w:szCs w:val="16"/>
              </w:rPr>
              <w:t xml:space="preserve"> </w:t>
            </w:r>
            <w:r w:rsidRPr="00817C2F">
              <w:rPr>
                <w:color w:val="231F20"/>
                <w:sz w:val="16"/>
                <w:szCs w:val="16"/>
              </w:rPr>
              <w:t>the</w:t>
            </w:r>
            <w:r w:rsidRPr="00817C2F">
              <w:rPr>
                <w:color w:val="231F20"/>
                <w:spacing w:val="-5"/>
                <w:sz w:val="16"/>
                <w:szCs w:val="16"/>
              </w:rPr>
              <w:t xml:space="preserve"> </w:t>
            </w:r>
            <w:r w:rsidRPr="00817C2F">
              <w:rPr>
                <w:color w:val="231F20"/>
                <w:sz w:val="16"/>
                <w:szCs w:val="16"/>
              </w:rPr>
              <w:t>abundance</w:t>
            </w:r>
            <w:r w:rsidRPr="00817C2F">
              <w:rPr>
                <w:color w:val="231F20"/>
                <w:spacing w:val="-5"/>
                <w:sz w:val="16"/>
                <w:szCs w:val="16"/>
              </w:rPr>
              <w:t xml:space="preserve"> </w:t>
            </w:r>
            <w:r w:rsidRPr="00817C2F">
              <w:rPr>
                <w:color w:val="231F20"/>
                <w:sz w:val="16"/>
                <w:szCs w:val="16"/>
              </w:rPr>
              <w:t>of</w:t>
            </w:r>
            <w:r w:rsidRPr="00817C2F">
              <w:rPr>
                <w:color w:val="231F20"/>
                <w:spacing w:val="-5"/>
                <w:sz w:val="16"/>
                <w:szCs w:val="16"/>
              </w:rPr>
              <w:t xml:space="preserve"> </w:t>
            </w:r>
            <w:r w:rsidRPr="00817C2F">
              <w:rPr>
                <w:color w:val="231F20"/>
                <w:sz w:val="16"/>
                <w:szCs w:val="16"/>
              </w:rPr>
              <w:t>waterbugs</w:t>
            </w:r>
            <w:r w:rsidRPr="00817C2F">
              <w:rPr>
                <w:color w:val="231F20"/>
                <w:spacing w:val="-5"/>
                <w:sz w:val="16"/>
                <w:szCs w:val="16"/>
              </w:rPr>
              <w:t xml:space="preserve"> </w:t>
            </w:r>
            <w:r w:rsidRPr="00817C2F">
              <w:rPr>
                <w:color w:val="231F20"/>
                <w:sz w:val="16"/>
                <w:szCs w:val="16"/>
              </w:rPr>
              <w:t>and</w:t>
            </w:r>
            <w:r w:rsidRPr="00817C2F">
              <w:rPr>
                <w:color w:val="231F20"/>
                <w:spacing w:val="-6"/>
                <w:sz w:val="16"/>
                <w:szCs w:val="16"/>
              </w:rPr>
              <w:t xml:space="preserve"> </w:t>
            </w:r>
            <w:r w:rsidRPr="00817C2F">
              <w:rPr>
                <w:color w:val="231F20"/>
                <w:sz w:val="16"/>
                <w:szCs w:val="16"/>
              </w:rPr>
              <w:t>other</w:t>
            </w:r>
            <w:r w:rsidRPr="00817C2F">
              <w:rPr>
                <w:color w:val="231F20"/>
                <w:spacing w:val="-5"/>
                <w:sz w:val="16"/>
                <w:szCs w:val="16"/>
              </w:rPr>
              <w:t xml:space="preserve"> </w:t>
            </w:r>
            <w:r w:rsidRPr="00817C2F">
              <w:rPr>
                <w:color w:val="231F20"/>
                <w:sz w:val="16"/>
                <w:szCs w:val="16"/>
              </w:rPr>
              <w:t>food resources for frogs, turtles and</w:t>
            </w:r>
            <w:r w:rsidRPr="00817C2F">
              <w:rPr>
                <w:color w:val="231F20"/>
                <w:spacing w:val="-3"/>
                <w:sz w:val="16"/>
                <w:szCs w:val="16"/>
              </w:rPr>
              <w:t xml:space="preserve"> </w:t>
            </w:r>
            <w:r w:rsidRPr="00817C2F">
              <w:rPr>
                <w:color w:val="231F20"/>
                <w:sz w:val="16"/>
                <w:szCs w:val="16"/>
              </w:rPr>
              <w:t>waterbirds</w:t>
            </w:r>
          </w:p>
          <w:p w:rsidR="006A7A3F" w:rsidRDefault="00BC7372" w:rsidP="009B6917">
            <w:pPr>
              <w:pStyle w:val="TableParagraph"/>
              <w:numPr>
                <w:ilvl w:val="0"/>
                <w:numId w:val="1341"/>
              </w:numPr>
              <w:tabs>
                <w:tab w:val="left" w:pos="306"/>
              </w:tabs>
              <w:spacing w:before="87" w:line="254" w:lineRule="auto"/>
              <w:ind w:right="696"/>
              <w:rPr>
                <w:sz w:val="18"/>
              </w:rPr>
            </w:pPr>
            <w:r w:rsidRPr="00817C2F">
              <w:rPr>
                <w:color w:val="231F20"/>
                <w:sz w:val="16"/>
                <w:szCs w:val="16"/>
              </w:rPr>
              <w:t>Provide connectivity between the river and wetlands and</w:t>
            </w:r>
            <w:r w:rsidRPr="00817C2F">
              <w:rPr>
                <w:color w:val="231F20"/>
                <w:spacing w:val="-27"/>
                <w:sz w:val="16"/>
                <w:szCs w:val="16"/>
              </w:rPr>
              <w:t xml:space="preserve"> </w:t>
            </w:r>
            <w:r w:rsidRPr="00817C2F">
              <w:rPr>
                <w:color w:val="231F20"/>
                <w:sz w:val="16"/>
                <w:szCs w:val="16"/>
              </w:rPr>
              <w:t>between wetlands, increasing available habitat for frogs and</w:t>
            </w:r>
            <w:r w:rsidRPr="00817C2F">
              <w:rPr>
                <w:color w:val="231F20"/>
                <w:spacing w:val="-17"/>
                <w:sz w:val="16"/>
                <w:szCs w:val="16"/>
              </w:rPr>
              <w:t xml:space="preserve"> </w:t>
            </w:r>
            <w:r w:rsidRPr="00817C2F">
              <w:rPr>
                <w:color w:val="231F20"/>
                <w:sz w:val="16"/>
                <w:szCs w:val="16"/>
              </w:rPr>
              <w:t>turtles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39"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41"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173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7" cy="310895"/>
                  <wp:effectExtent l="0" t="0" r="0" b="0"/>
                  <wp:docPr id="14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1.jpeg"/>
                          <pic:cNvPicPr/>
                        </pic:nvPicPr>
                        <pic:blipFill>
                          <a:blip r:embed="rId33" cstate="print"/>
                          <a:stretch>
                            <a:fillRect/>
                          </a:stretch>
                        </pic:blipFill>
                        <pic:spPr>
                          <a:xfrm>
                            <a:off x="0" y="0"/>
                            <a:ext cx="314177"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4" cy="310895"/>
                  <wp:effectExtent l="0" t="0" r="0" b="0"/>
                  <wp:docPr id="14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7.jpeg"/>
                          <pic:cNvPicPr/>
                        </pic:nvPicPr>
                        <pic:blipFill>
                          <a:blip r:embed="rId39" cstate="print"/>
                          <a:stretch>
                            <a:fillRect/>
                          </a:stretch>
                        </pic:blipFill>
                        <pic:spPr>
                          <a:xfrm>
                            <a:off x="0" y="0"/>
                            <a:ext cx="314164" cy="310895"/>
                          </a:xfrm>
                          <a:prstGeom prst="rect">
                            <a:avLst/>
                          </a:prstGeom>
                        </pic:spPr>
                      </pic:pic>
                    </a:graphicData>
                  </a:graphic>
                </wp:inline>
              </w:drawing>
            </w:r>
          </w:p>
        </w:tc>
      </w:tr>
      <w:tr w:rsidR="006A7A3F" w:rsidTr="00817C2F">
        <w:trPr>
          <w:trHeight w:val="115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Trigger-based fill or</w:t>
            </w:r>
          </w:p>
          <w:p w:rsidR="006A7A3F" w:rsidRDefault="00BC7372">
            <w:pPr>
              <w:pStyle w:val="TableParagraph"/>
              <w:spacing w:before="17" w:line="261" w:lineRule="auto"/>
              <w:ind w:left="85" w:right="398"/>
              <w:rPr>
                <w:sz w:val="9"/>
              </w:rPr>
            </w:pPr>
            <w:r>
              <w:rPr>
                <w:color w:val="231F20"/>
                <w:sz w:val="16"/>
              </w:rPr>
              <w:t>partial fill to control salinity (any time)</w:t>
            </w:r>
            <w:r>
              <w:rPr>
                <w:color w:val="231F20"/>
                <w:position w:val="5"/>
                <w:sz w:val="9"/>
              </w:rPr>
              <w:t>3</w:t>
            </w:r>
          </w:p>
        </w:tc>
        <w:tc>
          <w:tcPr>
            <w:tcW w:w="6236"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40"/>
              </w:numPr>
              <w:tabs>
                <w:tab w:val="left" w:pos="306"/>
              </w:tabs>
              <w:spacing w:before="70" w:line="254" w:lineRule="auto"/>
              <w:ind w:right="186"/>
              <w:rPr>
                <w:sz w:val="16"/>
                <w:szCs w:val="16"/>
              </w:rPr>
            </w:pPr>
            <w:r w:rsidRPr="00817C2F">
              <w:rPr>
                <w:color w:val="231F20"/>
                <w:sz w:val="16"/>
                <w:szCs w:val="16"/>
              </w:rPr>
              <w:t>Dilute salt concentrations within the wetland that may be caused by</w:t>
            </w:r>
            <w:r w:rsidRPr="00817C2F">
              <w:rPr>
                <w:color w:val="231F20"/>
                <w:spacing w:val="-23"/>
                <w:sz w:val="16"/>
                <w:szCs w:val="16"/>
              </w:rPr>
              <w:t xml:space="preserve"> </w:t>
            </w:r>
            <w:r w:rsidRPr="00817C2F">
              <w:rPr>
                <w:color w:val="231F20"/>
                <w:sz w:val="16"/>
                <w:szCs w:val="16"/>
              </w:rPr>
              <w:t>king tides from Lake Wellington (likely occurring between March to May) or other</w:t>
            </w:r>
            <w:r w:rsidRPr="00817C2F">
              <w:rPr>
                <w:color w:val="231F20"/>
                <w:spacing w:val="-2"/>
                <w:sz w:val="16"/>
                <w:szCs w:val="16"/>
              </w:rPr>
              <w:t xml:space="preserve"> </w:t>
            </w:r>
            <w:r w:rsidRPr="00817C2F">
              <w:rPr>
                <w:color w:val="231F20"/>
                <w:sz w:val="16"/>
                <w:szCs w:val="16"/>
              </w:rPr>
              <w:t>sources</w:t>
            </w:r>
          </w:p>
          <w:p w:rsidR="006A7A3F" w:rsidRDefault="00BC7372" w:rsidP="009B6917">
            <w:pPr>
              <w:pStyle w:val="TableParagraph"/>
              <w:numPr>
                <w:ilvl w:val="0"/>
                <w:numId w:val="1340"/>
              </w:numPr>
              <w:tabs>
                <w:tab w:val="left" w:pos="306"/>
              </w:tabs>
              <w:spacing w:before="87" w:line="254" w:lineRule="auto"/>
              <w:ind w:right="348"/>
              <w:rPr>
                <w:sz w:val="18"/>
              </w:rPr>
            </w:pPr>
            <w:r w:rsidRPr="00817C2F">
              <w:rPr>
                <w:color w:val="231F20"/>
                <w:sz w:val="16"/>
                <w:szCs w:val="16"/>
              </w:rPr>
              <w:t>This watering action is likely to be triggered</w:t>
            </w:r>
            <w:r>
              <w:rPr>
                <w:color w:val="231F20"/>
                <w:position w:val="6"/>
                <w:sz w:val="10"/>
              </w:rPr>
              <w:t>4</w:t>
            </w:r>
            <w:r w:rsidR="00817C2F">
              <w:rPr>
                <w:color w:val="231F20"/>
                <w:position w:val="6"/>
                <w:sz w:val="10"/>
              </w:rPr>
              <w:t xml:space="preserve"> </w:t>
            </w:r>
            <w:r w:rsidRPr="00817C2F">
              <w:rPr>
                <w:color w:val="231F20"/>
                <w:sz w:val="16"/>
                <w:szCs w:val="16"/>
              </w:rPr>
              <w:t>if electrical conductivity is</w:t>
            </w:r>
            <w:r>
              <w:rPr>
                <w:color w:val="231F20"/>
                <w:sz w:val="18"/>
              </w:rPr>
              <w:t xml:space="preserve"> </w:t>
            </w:r>
            <w:r w:rsidRPr="00817C2F">
              <w:rPr>
                <w:color w:val="231F20"/>
                <w:sz w:val="16"/>
                <w:szCs w:val="16"/>
              </w:rPr>
              <w:t>rising and reaches 7,000</w:t>
            </w:r>
            <w:r w:rsidRPr="00817C2F">
              <w:rPr>
                <w:color w:val="231F20"/>
                <w:spacing w:val="-3"/>
                <w:sz w:val="16"/>
                <w:szCs w:val="16"/>
              </w:rPr>
              <w:t xml:space="preserve"> </w:t>
            </w:r>
            <w:r w:rsidRPr="00817C2F">
              <w:rPr>
                <w:color w:val="231F20"/>
                <w:sz w:val="16"/>
                <w:szCs w:val="16"/>
              </w:rPr>
              <w:t>µS/cm</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C65395">
            <w:pPr>
              <w:pStyle w:val="TableParagraph"/>
              <w:ind w:left="170"/>
              <w:rPr>
                <w:sz w:val="20"/>
              </w:rPr>
            </w:pPr>
            <w:r>
              <w:rPr>
                <w:sz w:val="20"/>
              </w:rPr>
              <w:t xml:space="preserve">  </w:t>
            </w:r>
            <w:r w:rsidR="00BC7372">
              <w:rPr>
                <w:noProof/>
                <w:sz w:val="20"/>
              </w:rPr>
              <w:drawing>
                <wp:inline distT="0" distB="0" distL="0" distR="0">
                  <wp:extent cx="314168" cy="310895"/>
                  <wp:effectExtent l="0" t="0" r="0" b="0"/>
                  <wp:docPr id="14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3.png"/>
                          <pic:cNvPicPr/>
                        </pic:nvPicPr>
                        <pic:blipFill>
                          <a:blip r:embed="rId35" cstate="print"/>
                          <a:stretch>
                            <a:fillRect/>
                          </a:stretch>
                        </pic:blipFill>
                        <pic:spPr>
                          <a:xfrm>
                            <a:off x="0" y="0"/>
                            <a:ext cx="314168" cy="310895"/>
                          </a:xfrm>
                          <a:prstGeom prst="rect">
                            <a:avLst/>
                          </a:prstGeom>
                        </pic:spPr>
                      </pic:pic>
                    </a:graphicData>
                  </a:graphic>
                </wp:inline>
              </w:drawing>
            </w:r>
          </w:p>
        </w:tc>
      </w:tr>
      <w:tr w:rsidR="006A7A3F">
        <w:trPr>
          <w:trHeight w:val="706"/>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Pr>
                <w:sz w:val="16"/>
              </w:rPr>
            </w:pPr>
            <w:r>
              <w:rPr>
                <w:color w:val="231F20"/>
                <w:sz w:val="16"/>
              </w:rPr>
              <w:t>Top-up (anytime, following bird breeding event if required)</w:t>
            </w:r>
          </w:p>
        </w:tc>
        <w:tc>
          <w:tcPr>
            <w:tcW w:w="6236"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39"/>
              </w:numPr>
              <w:tabs>
                <w:tab w:val="left" w:pos="306"/>
              </w:tabs>
              <w:spacing w:before="70" w:line="254" w:lineRule="auto"/>
              <w:ind w:right="516"/>
              <w:rPr>
                <w:sz w:val="16"/>
                <w:szCs w:val="16"/>
              </w:rPr>
            </w:pPr>
            <w:r w:rsidRPr="00817C2F">
              <w:rPr>
                <w:color w:val="231F20"/>
                <w:sz w:val="16"/>
                <w:szCs w:val="16"/>
              </w:rPr>
              <w:t>Prolong wetting of reed beds to maintain habitat for waterbirds and protect</w:t>
            </w:r>
            <w:r w:rsidRPr="00817C2F">
              <w:rPr>
                <w:color w:val="231F20"/>
                <w:spacing w:val="-5"/>
                <w:sz w:val="16"/>
                <w:szCs w:val="16"/>
              </w:rPr>
              <w:t xml:space="preserve"> </w:t>
            </w:r>
            <w:r w:rsidRPr="00817C2F">
              <w:rPr>
                <w:color w:val="231F20"/>
                <w:sz w:val="16"/>
                <w:szCs w:val="16"/>
              </w:rPr>
              <w:t>chicks</w:t>
            </w:r>
            <w:r w:rsidRPr="00817C2F">
              <w:rPr>
                <w:color w:val="231F20"/>
                <w:spacing w:val="-4"/>
                <w:sz w:val="16"/>
                <w:szCs w:val="16"/>
              </w:rPr>
              <w:t xml:space="preserve"> </w:t>
            </w:r>
            <w:r w:rsidRPr="00817C2F">
              <w:rPr>
                <w:color w:val="231F20"/>
                <w:sz w:val="16"/>
                <w:szCs w:val="16"/>
              </w:rPr>
              <w:t>from</w:t>
            </w:r>
            <w:r w:rsidRPr="00817C2F">
              <w:rPr>
                <w:color w:val="231F20"/>
                <w:spacing w:val="-4"/>
                <w:sz w:val="16"/>
                <w:szCs w:val="16"/>
              </w:rPr>
              <w:t xml:space="preserve"> </w:t>
            </w:r>
            <w:r w:rsidRPr="00817C2F">
              <w:rPr>
                <w:color w:val="231F20"/>
                <w:sz w:val="16"/>
                <w:szCs w:val="16"/>
              </w:rPr>
              <w:t>predators,</w:t>
            </w:r>
            <w:r w:rsidRPr="00817C2F">
              <w:rPr>
                <w:color w:val="231F20"/>
                <w:spacing w:val="-5"/>
                <w:sz w:val="16"/>
                <w:szCs w:val="16"/>
              </w:rPr>
              <w:t xml:space="preserve"> </w:t>
            </w:r>
            <w:r w:rsidRPr="00817C2F">
              <w:rPr>
                <w:color w:val="231F20"/>
                <w:sz w:val="16"/>
                <w:szCs w:val="16"/>
              </w:rPr>
              <w:t>following</w:t>
            </w:r>
            <w:r w:rsidRPr="00817C2F">
              <w:rPr>
                <w:color w:val="231F20"/>
                <w:spacing w:val="-4"/>
                <w:sz w:val="16"/>
                <w:szCs w:val="16"/>
              </w:rPr>
              <w:t xml:space="preserve"> </w:t>
            </w:r>
            <w:r w:rsidRPr="00817C2F">
              <w:rPr>
                <w:color w:val="231F20"/>
                <w:sz w:val="16"/>
                <w:szCs w:val="16"/>
              </w:rPr>
              <w:t>an</w:t>
            </w:r>
            <w:r w:rsidRPr="00817C2F">
              <w:rPr>
                <w:color w:val="231F20"/>
                <w:spacing w:val="-5"/>
                <w:sz w:val="16"/>
                <w:szCs w:val="16"/>
              </w:rPr>
              <w:t xml:space="preserve"> </w:t>
            </w:r>
            <w:r w:rsidRPr="00817C2F">
              <w:rPr>
                <w:color w:val="231F20"/>
                <w:sz w:val="16"/>
                <w:szCs w:val="16"/>
              </w:rPr>
              <w:t>observed</w:t>
            </w:r>
            <w:r w:rsidRPr="00817C2F">
              <w:rPr>
                <w:color w:val="231F20"/>
                <w:spacing w:val="-5"/>
                <w:sz w:val="16"/>
                <w:szCs w:val="16"/>
              </w:rPr>
              <w:t xml:space="preserve"> </w:t>
            </w:r>
            <w:r w:rsidRPr="00817C2F">
              <w:rPr>
                <w:color w:val="231F20"/>
                <w:sz w:val="16"/>
                <w:szCs w:val="16"/>
              </w:rPr>
              <w:t>breeding</w:t>
            </w:r>
            <w:r w:rsidRPr="00817C2F">
              <w:rPr>
                <w:color w:val="231F20"/>
                <w:spacing w:val="-5"/>
                <w:sz w:val="16"/>
                <w:szCs w:val="16"/>
              </w:rPr>
              <w:t xml:space="preserve"> </w:t>
            </w:r>
            <w:r w:rsidRPr="00817C2F">
              <w:rPr>
                <w:color w:val="231F20"/>
                <w:sz w:val="16"/>
                <w:szCs w:val="16"/>
              </w:rPr>
              <w:t>event</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C65395">
            <w:pPr>
              <w:pStyle w:val="TableParagraph"/>
              <w:ind w:left="170"/>
              <w:rPr>
                <w:sz w:val="20"/>
              </w:rPr>
            </w:pPr>
            <w:r>
              <w:rPr>
                <w:sz w:val="20"/>
              </w:rPr>
              <w:t xml:space="preserve">  </w:t>
            </w:r>
            <w:r w:rsidR="00BC7372">
              <w:rPr>
                <w:noProof/>
                <w:sz w:val="20"/>
              </w:rPr>
              <w:drawing>
                <wp:inline distT="0" distB="0" distL="0" distR="0">
                  <wp:extent cx="314168" cy="310896"/>
                  <wp:effectExtent l="0" t="0" r="0" b="0"/>
                  <wp:docPr id="14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333"/>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b/>
                <w:sz w:val="16"/>
              </w:rPr>
            </w:pPr>
            <w:r>
              <w:rPr>
                <w:b/>
                <w:color w:val="231F20"/>
                <w:sz w:val="16"/>
              </w:rPr>
              <w:t>Heart Morass</w:t>
            </w:r>
          </w:p>
        </w:tc>
      </w:tr>
    </w:tbl>
    <w:p w:rsidR="006A7A3F" w:rsidRDefault="006A7A3F">
      <w:pPr>
        <w:rPr>
          <w:sz w:val="16"/>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trPr>
          <w:trHeight w:val="625"/>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69"/>
              <w:rPr>
                <w:sz w:val="16"/>
              </w:rPr>
            </w:pPr>
            <w:r>
              <w:rPr>
                <w:color w:val="231F20"/>
                <w:sz w:val="16"/>
              </w:rPr>
              <w:t>Partial fill (during August to December, with top-ups as required to maintain water level above -0.3 m AHD</w:t>
            </w:r>
            <w:r>
              <w:rPr>
                <w:color w:val="231F20"/>
                <w:position w:val="5"/>
                <w:sz w:val="9"/>
              </w:rPr>
              <w:t>5</w:t>
            </w:r>
            <w:r>
              <w:rPr>
                <w:color w:val="231F20"/>
                <w:sz w:val="16"/>
              </w:rPr>
              <w:t>)</w:t>
            </w:r>
          </w:p>
        </w:tc>
        <w:tc>
          <w:tcPr>
            <w:tcW w:w="6236" w:type="dxa"/>
            <w:vMerge w:val="restart"/>
            <w:tcBorders>
              <w:top w:val="nil"/>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38"/>
              </w:numPr>
              <w:tabs>
                <w:tab w:val="left" w:pos="306"/>
              </w:tabs>
              <w:spacing w:before="63" w:line="254" w:lineRule="auto"/>
              <w:ind w:right="346"/>
              <w:rPr>
                <w:sz w:val="16"/>
                <w:szCs w:val="16"/>
              </w:rPr>
            </w:pPr>
            <w:r w:rsidRPr="00817C2F">
              <w:rPr>
                <w:color w:val="231F20"/>
                <w:sz w:val="16"/>
                <w:szCs w:val="16"/>
              </w:rPr>
              <w:t>Maintain water levels above -0.3 m</w:t>
            </w:r>
            <w:r w:rsidRPr="00817C2F">
              <w:rPr>
                <w:color w:val="231F20"/>
                <w:spacing w:val="-38"/>
                <w:sz w:val="16"/>
                <w:szCs w:val="16"/>
              </w:rPr>
              <w:t xml:space="preserve"> </w:t>
            </w:r>
            <w:r w:rsidRPr="00817C2F">
              <w:rPr>
                <w:color w:val="231F20"/>
                <w:sz w:val="16"/>
                <w:szCs w:val="16"/>
              </w:rPr>
              <w:t>AHD year-round to avoid exposing acid sulfate</w:t>
            </w:r>
            <w:r w:rsidRPr="00817C2F">
              <w:rPr>
                <w:color w:val="231F20"/>
                <w:spacing w:val="-2"/>
                <w:sz w:val="16"/>
                <w:szCs w:val="16"/>
              </w:rPr>
              <w:t xml:space="preserve"> </w:t>
            </w:r>
            <w:r w:rsidRPr="00817C2F">
              <w:rPr>
                <w:color w:val="231F20"/>
                <w:sz w:val="16"/>
                <w:szCs w:val="16"/>
              </w:rPr>
              <w:t>soils</w:t>
            </w:r>
          </w:p>
          <w:p w:rsidR="006A7A3F" w:rsidRPr="00817C2F" w:rsidRDefault="00BC7372" w:rsidP="009B6917">
            <w:pPr>
              <w:pStyle w:val="TableParagraph"/>
              <w:numPr>
                <w:ilvl w:val="0"/>
                <w:numId w:val="1338"/>
              </w:numPr>
              <w:tabs>
                <w:tab w:val="left" w:pos="306"/>
              </w:tabs>
              <w:spacing w:before="86" w:line="254" w:lineRule="auto"/>
              <w:ind w:right="545"/>
              <w:rPr>
                <w:sz w:val="16"/>
                <w:szCs w:val="16"/>
              </w:rPr>
            </w:pPr>
            <w:r w:rsidRPr="00817C2F">
              <w:rPr>
                <w:color w:val="231F20"/>
                <w:sz w:val="16"/>
                <w:szCs w:val="16"/>
              </w:rPr>
              <w:t>Provide seasonal variation in water depth throughout the wetland to support the growth and flowering of semi-aquatic</w:t>
            </w:r>
            <w:r w:rsidRPr="00817C2F">
              <w:rPr>
                <w:color w:val="231F20"/>
                <w:spacing w:val="-7"/>
                <w:sz w:val="16"/>
                <w:szCs w:val="16"/>
              </w:rPr>
              <w:t xml:space="preserve"> </w:t>
            </w:r>
            <w:r w:rsidRPr="00817C2F">
              <w:rPr>
                <w:color w:val="231F20"/>
                <w:sz w:val="16"/>
                <w:szCs w:val="16"/>
              </w:rPr>
              <w:t>plants</w:t>
            </w:r>
          </w:p>
          <w:p w:rsidR="006A7A3F" w:rsidRPr="00817C2F" w:rsidRDefault="00BC7372" w:rsidP="009B6917">
            <w:pPr>
              <w:pStyle w:val="TableParagraph"/>
              <w:numPr>
                <w:ilvl w:val="0"/>
                <w:numId w:val="1338"/>
              </w:numPr>
              <w:tabs>
                <w:tab w:val="left" w:pos="306"/>
              </w:tabs>
              <w:spacing w:before="86"/>
              <w:ind w:hanging="218"/>
              <w:rPr>
                <w:sz w:val="16"/>
                <w:szCs w:val="16"/>
              </w:rPr>
            </w:pPr>
            <w:r w:rsidRPr="00817C2F">
              <w:rPr>
                <w:color w:val="231F20"/>
                <w:sz w:val="16"/>
                <w:szCs w:val="16"/>
              </w:rPr>
              <w:t>Provide appropriate wetland fringing habitat for frogs and</w:t>
            </w:r>
            <w:r w:rsidRPr="00817C2F">
              <w:rPr>
                <w:color w:val="231F20"/>
                <w:spacing w:val="-12"/>
                <w:sz w:val="16"/>
                <w:szCs w:val="16"/>
              </w:rPr>
              <w:t xml:space="preserve"> </w:t>
            </w:r>
            <w:r w:rsidRPr="00817C2F">
              <w:rPr>
                <w:color w:val="231F20"/>
                <w:sz w:val="16"/>
                <w:szCs w:val="16"/>
              </w:rPr>
              <w:t>turtles</w:t>
            </w:r>
          </w:p>
          <w:p w:rsidR="006A7A3F" w:rsidRPr="00817C2F" w:rsidRDefault="00BC7372" w:rsidP="009B6917">
            <w:pPr>
              <w:pStyle w:val="TableParagraph"/>
              <w:numPr>
                <w:ilvl w:val="0"/>
                <w:numId w:val="1338"/>
              </w:numPr>
              <w:tabs>
                <w:tab w:val="left" w:pos="306"/>
              </w:tabs>
              <w:spacing w:before="98" w:line="254" w:lineRule="auto"/>
              <w:ind w:right="845"/>
              <w:rPr>
                <w:sz w:val="16"/>
                <w:szCs w:val="16"/>
              </w:rPr>
            </w:pPr>
            <w:r w:rsidRPr="00817C2F">
              <w:rPr>
                <w:color w:val="231F20"/>
                <w:sz w:val="16"/>
                <w:szCs w:val="16"/>
              </w:rPr>
              <w:t>Provide conditions that support waterbug communities and food resources for frogs, turtles and</w:t>
            </w:r>
            <w:r w:rsidRPr="00817C2F">
              <w:rPr>
                <w:color w:val="231F20"/>
                <w:spacing w:val="-3"/>
                <w:sz w:val="16"/>
                <w:szCs w:val="16"/>
              </w:rPr>
              <w:t xml:space="preserve"> </w:t>
            </w:r>
            <w:r w:rsidRPr="00817C2F">
              <w:rPr>
                <w:color w:val="231F20"/>
                <w:sz w:val="16"/>
                <w:szCs w:val="16"/>
              </w:rPr>
              <w:t>waterbirds</w:t>
            </w:r>
          </w:p>
          <w:p w:rsidR="006A7A3F" w:rsidRPr="00817C2F" w:rsidRDefault="00BC7372" w:rsidP="009B6917">
            <w:pPr>
              <w:pStyle w:val="TableParagraph"/>
              <w:numPr>
                <w:ilvl w:val="0"/>
                <w:numId w:val="1338"/>
              </w:numPr>
              <w:tabs>
                <w:tab w:val="left" w:pos="306"/>
              </w:tabs>
              <w:spacing w:before="87" w:line="254" w:lineRule="auto"/>
              <w:ind w:right="257"/>
              <w:rPr>
                <w:sz w:val="16"/>
                <w:szCs w:val="16"/>
              </w:rPr>
            </w:pPr>
            <w:r w:rsidRPr="00817C2F">
              <w:rPr>
                <w:color w:val="231F20"/>
                <w:sz w:val="16"/>
                <w:szCs w:val="16"/>
              </w:rPr>
              <w:t>Stimulate</w:t>
            </w:r>
            <w:r w:rsidRPr="00817C2F">
              <w:rPr>
                <w:color w:val="231F20"/>
                <w:spacing w:val="-5"/>
                <w:sz w:val="16"/>
                <w:szCs w:val="16"/>
              </w:rPr>
              <w:t xml:space="preserve"> </w:t>
            </w:r>
            <w:r w:rsidRPr="00817C2F">
              <w:rPr>
                <w:color w:val="231F20"/>
                <w:sz w:val="16"/>
                <w:szCs w:val="16"/>
              </w:rPr>
              <w:t>bird</w:t>
            </w:r>
            <w:r w:rsidRPr="00817C2F">
              <w:rPr>
                <w:color w:val="231F20"/>
                <w:spacing w:val="-5"/>
                <w:sz w:val="16"/>
                <w:szCs w:val="16"/>
              </w:rPr>
              <w:t xml:space="preserve"> </w:t>
            </w:r>
            <w:r w:rsidRPr="00817C2F">
              <w:rPr>
                <w:color w:val="231F20"/>
                <w:sz w:val="16"/>
                <w:szCs w:val="16"/>
              </w:rPr>
              <w:t>breeding</w:t>
            </w:r>
            <w:r w:rsidRPr="00817C2F">
              <w:rPr>
                <w:color w:val="231F20"/>
                <w:spacing w:val="-5"/>
                <w:sz w:val="16"/>
                <w:szCs w:val="16"/>
              </w:rPr>
              <w:t xml:space="preserve"> </w:t>
            </w:r>
            <w:r w:rsidRPr="00817C2F">
              <w:rPr>
                <w:color w:val="231F20"/>
                <w:sz w:val="16"/>
                <w:szCs w:val="16"/>
              </w:rPr>
              <w:t>by</w:t>
            </w:r>
            <w:r w:rsidRPr="00817C2F">
              <w:rPr>
                <w:color w:val="231F20"/>
                <w:spacing w:val="-5"/>
                <w:sz w:val="16"/>
                <w:szCs w:val="16"/>
              </w:rPr>
              <w:t xml:space="preserve"> </w:t>
            </w:r>
            <w:r w:rsidRPr="00817C2F">
              <w:rPr>
                <w:color w:val="231F20"/>
                <w:sz w:val="16"/>
                <w:szCs w:val="16"/>
              </w:rPr>
              <w:t>providing</w:t>
            </w:r>
            <w:r w:rsidRPr="00817C2F">
              <w:rPr>
                <w:color w:val="231F20"/>
                <w:spacing w:val="-5"/>
                <w:sz w:val="16"/>
                <w:szCs w:val="16"/>
              </w:rPr>
              <w:t xml:space="preserve"> </w:t>
            </w:r>
            <w:r w:rsidRPr="00817C2F">
              <w:rPr>
                <w:color w:val="231F20"/>
                <w:sz w:val="16"/>
                <w:szCs w:val="16"/>
              </w:rPr>
              <w:t>nesting</w:t>
            </w:r>
            <w:r w:rsidRPr="00817C2F">
              <w:rPr>
                <w:color w:val="231F20"/>
                <w:spacing w:val="-5"/>
                <w:sz w:val="16"/>
                <w:szCs w:val="16"/>
              </w:rPr>
              <w:t xml:space="preserve"> </w:t>
            </w:r>
            <w:r w:rsidRPr="00817C2F">
              <w:rPr>
                <w:color w:val="231F20"/>
                <w:sz w:val="16"/>
                <w:szCs w:val="16"/>
              </w:rPr>
              <w:t>habitat</w:t>
            </w:r>
            <w:r w:rsidRPr="00817C2F">
              <w:rPr>
                <w:color w:val="231F20"/>
                <w:spacing w:val="-5"/>
                <w:sz w:val="16"/>
                <w:szCs w:val="16"/>
              </w:rPr>
              <w:t xml:space="preserve"> </w:t>
            </w:r>
            <w:r w:rsidRPr="00817C2F">
              <w:rPr>
                <w:color w:val="231F20"/>
                <w:sz w:val="16"/>
                <w:szCs w:val="16"/>
              </w:rPr>
              <w:t>via</w:t>
            </w:r>
            <w:r w:rsidRPr="00817C2F">
              <w:rPr>
                <w:color w:val="231F20"/>
                <w:spacing w:val="-4"/>
                <w:sz w:val="16"/>
                <w:szCs w:val="16"/>
              </w:rPr>
              <w:t xml:space="preserve"> </w:t>
            </w:r>
            <w:r w:rsidRPr="00817C2F">
              <w:rPr>
                <w:color w:val="231F20"/>
                <w:sz w:val="16"/>
                <w:szCs w:val="16"/>
              </w:rPr>
              <w:t>inundating</w:t>
            </w:r>
            <w:r w:rsidRPr="00817C2F">
              <w:rPr>
                <w:color w:val="231F20"/>
                <w:spacing w:val="-5"/>
                <w:sz w:val="16"/>
                <w:szCs w:val="16"/>
              </w:rPr>
              <w:t xml:space="preserve"> </w:t>
            </w:r>
            <w:r w:rsidRPr="00817C2F">
              <w:rPr>
                <w:color w:val="231F20"/>
                <w:sz w:val="16"/>
                <w:szCs w:val="16"/>
              </w:rPr>
              <w:t>reed beds and deep water next to</w:t>
            </w:r>
            <w:r w:rsidRPr="00817C2F">
              <w:rPr>
                <w:color w:val="231F20"/>
                <w:spacing w:val="-7"/>
                <w:sz w:val="16"/>
                <w:szCs w:val="16"/>
              </w:rPr>
              <w:t xml:space="preserve"> </w:t>
            </w:r>
            <w:r w:rsidRPr="00817C2F">
              <w:rPr>
                <w:color w:val="231F20"/>
                <w:sz w:val="16"/>
                <w:szCs w:val="16"/>
              </w:rPr>
              <w:t>reedbeds</w:t>
            </w:r>
          </w:p>
        </w:tc>
        <w:tc>
          <w:tcPr>
            <w:tcW w:w="850"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5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5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5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15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rsidTr="00817C2F">
        <w:trPr>
          <w:trHeight w:val="119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817C2F"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5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109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91"/>
              <w:rPr>
                <w:sz w:val="16"/>
              </w:rPr>
            </w:pPr>
            <w:r>
              <w:rPr>
                <w:color w:val="231F20"/>
                <w:sz w:val="16"/>
              </w:rPr>
              <w:t>Partial wetland flush (during June to November)</w:t>
            </w:r>
          </w:p>
        </w:tc>
        <w:tc>
          <w:tcPr>
            <w:tcW w:w="6236"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37"/>
              </w:numPr>
              <w:tabs>
                <w:tab w:val="left" w:pos="306"/>
              </w:tabs>
              <w:spacing w:before="63" w:line="254" w:lineRule="auto"/>
              <w:ind w:right="185"/>
              <w:rPr>
                <w:sz w:val="16"/>
                <w:szCs w:val="16"/>
              </w:rPr>
            </w:pPr>
            <w:r w:rsidRPr="00817C2F">
              <w:rPr>
                <w:color w:val="231F20"/>
                <w:sz w:val="16"/>
                <w:szCs w:val="16"/>
              </w:rPr>
              <w:t>Fill</w:t>
            </w:r>
            <w:r w:rsidRPr="00817C2F">
              <w:rPr>
                <w:color w:val="231F20"/>
                <w:spacing w:val="-2"/>
                <w:sz w:val="16"/>
                <w:szCs w:val="16"/>
              </w:rPr>
              <w:t xml:space="preserve"> </w:t>
            </w:r>
            <w:r w:rsidRPr="00817C2F">
              <w:rPr>
                <w:color w:val="231F20"/>
                <w:sz w:val="16"/>
                <w:szCs w:val="16"/>
              </w:rPr>
              <w:t>wetland</w:t>
            </w:r>
            <w:r w:rsidRPr="00817C2F">
              <w:rPr>
                <w:color w:val="231F20"/>
                <w:spacing w:val="-3"/>
                <w:sz w:val="16"/>
                <w:szCs w:val="16"/>
              </w:rPr>
              <w:t xml:space="preserve"> </w:t>
            </w:r>
            <w:r w:rsidRPr="00817C2F">
              <w:rPr>
                <w:color w:val="231F20"/>
                <w:sz w:val="16"/>
                <w:szCs w:val="16"/>
              </w:rPr>
              <w:t>to</w:t>
            </w:r>
            <w:r w:rsidRPr="00817C2F">
              <w:rPr>
                <w:color w:val="231F20"/>
                <w:spacing w:val="-2"/>
                <w:sz w:val="16"/>
                <w:szCs w:val="16"/>
              </w:rPr>
              <w:t xml:space="preserve"> </w:t>
            </w:r>
            <w:r w:rsidRPr="00817C2F">
              <w:rPr>
                <w:color w:val="231F20"/>
                <w:sz w:val="16"/>
                <w:szCs w:val="16"/>
              </w:rPr>
              <w:t>0.5m</w:t>
            </w:r>
            <w:r w:rsidRPr="00817C2F">
              <w:rPr>
                <w:color w:val="231F20"/>
                <w:spacing w:val="-12"/>
                <w:sz w:val="16"/>
                <w:szCs w:val="16"/>
              </w:rPr>
              <w:t xml:space="preserve"> </w:t>
            </w:r>
            <w:r w:rsidRPr="00817C2F">
              <w:rPr>
                <w:color w:val="231F20"/>
                <w:sz w:val="16"/>
                <w:szCs w:val="16"/>
              </w:rPr>
              <w:t>AHD</w:t>
            </w:r>
            <w:r w:rsidRPr="00817C2F">
              <w:rPr>
                <w:color w:val="231F20"/>
                <w:spacing w:val="-1"/>
                <w:sz w:val="16"/>
                <w:szCs w:val="16"/>
              </w:rPr>
              <w:t xml:space="preserve"> </w:t>
            </w:r>
            <w:r w:rsidRPr="00817C2F">
              <w:rPr>
                <w:color w:val="231F20"/>
                <w:sz w:val="16"/>
                <w:szCs w:val="16"/>
              </w:rPr>
              <w:t>and</w:t>
            </w:r>
            <w:r w:rsidRPr="00817C2F">
              <w:rPr>
                <w:color w:val="231F20"/>
                <w:spacing w:val="-3"/>
                <w:sz w:val="16"/>
                <w:szCs w:val="16"/>
              </w:rPr>
              <w:t xml:space="preserve"> </w:t>
            </w:r>
            <w:r w:rsidRPr="00817C2F">
              <w:rPr>
                <w:color w:val="231F20"/>
                <w:sz w:val="16"/>
                <w:szCs w:val="16"/>
              </w:rPr>
              <w:t>allow</w:t>
            </w:r>
            <w:r w:rsidRPr="00817C2F">
              <w:rPr>
                <w:color w:val="231F20"/>
                <w:spacing w:val="-3"/>
                <w:sz w:val="16"/>
                <w:szCs w:val="16"/>
              </w:rPr>
              <w:t xml:space="preserve"> </w:t>
            </w:r>
            <w:r w:rsidRPr="00817C2F">
              <w:rPr>
                <w:color w:val="231F20"/>
                <w:sz w:val="16"/>
                <w:szCs w:val="16"/>
              </w:rPr>
              <w:t>water</w:t>
            </w:r>
            <w:r w:rsidRPr="00817C2F">
              <w:rPr>
                <w:color w:val="231F20"/>
                <w:spacing w:val="-3"/>
                <w:sz w:val="16"/>
                <w:szCs w:val="16"/>
              </w:rPr>
              <w:t xml:space="preserve"> </w:t>
            </w:r>
            <w:r w:rsidRPr="00817C2F">
              <w:rPr>
                <w:color w:val="231F20"/>
                <w:sz w:val="16"/>
                <w:szCs w:val="16"/>
              </w:rPr>
              <w:t>to</w:t>
            </w:r>
            <w:r w:rsidRPr="00817C2F">
              <w:rPr>
                <w:color w:val="231F20"/>
                <w:spacing w:val="-2"/>
                <w:sz w:val="16"/>
                <w:szCs w:val="16"/>
              </w:rPr>
              <w:t xml:space="preserve"> </w:t>
            </w:r>
            <w:r w:rsidRPr="00817C2F">
              <w:rPr>
                <w:color w:val="231F20"/>
                <w:sz w:val="16"/>
                <w:szCs w:val="16"/>
              </w:rPr>
              <w:t>flush</w:t>
            </w:r>
            <w:r w:rsidRPr="00817C2F">
              <w:rPr>
                <w:color w:val="231F20"/>
                <w:spacing w:val="-2"/>
                <w:sz w:val="16"/>
                <w:szCs w:val="16"/>
              </w:rPr>
              <w:t xml:space="preserve"> </w:t>
            </w:r>
            <w:r w:rsidRPr="00817C2F">
              <w:rPr>
                <w:color w:val="231F20"/>
                <w:sz w:val="16"/>
                <w:szCs w:val="16"/>
              </w:rPr>
              <w:t>through</w:t>
            </w:r>
            <w:r w:rsidRPr="00817C2F">
              <w:rPr>
                <w:color w:val="231F20"/>
                <w:spacing w:val="-2"/>
                <w:sz w:val="16"/>
                <w:szCs w:val="16"/>
              </w:rPr>
              <w:t xml:space="preserve"> </w:t>
            </w:r>
            <w:r w:rsidRPr="00817C2F">
              <w:rPr>
                <w:color w:val="231F20"/>
                <w:sz w:val="16"/>
                <w:szCs w:val="16"/>
              </w:rPr>
              <w:t>the</w:t>
            </w:r>
            <w:r w:rsidRPr="00817C2F">
              <w:rPr>
                <w:color w:val="231F20"/>
                <w:spacing w:val="-1"/>
                <w:sz w:val="16"/>
                <w:szCs w:val="16"/>
              </w:rPr>
              <w:t xml:space="preserve"> </w:t>
            </w:r>
            <w:r w:rsidRPr="00817C2F">
              <w:rPr>
                <w:color w:val="231F20"/>
                <w:sz w:val="16"/>
                <w:szCs w:val="16"/>
              </w:rPr>
              <w:t>wetland</w:t>
            </w:r>
            <w:r w:rsidRPr="00817C2F">
              <w:rPr>
                <w:color w:val="231F20"/>
                <w:spacing w:val="-3"/>
                <w:sz w:val="16"/>
                <w:szCs w:val="16"/>
              </w:rPr>
              <w:t xml:space="preserve"> </w:t>
            </w:r>
            <w:r w:rsidRPr="00817C2F">
              <w:rPr>
                <w:color w:val="231F20"/>
                <w:sz w:val="16"/>
                <w:szCs w:val="16"/>
              </w:rPr>
              <w:t>to export accumulated salts and</w:t>
            </w:r>
            <w:r w:rsidRPr="00817C2F">
              <w:rPr>
                <w:color w:val="231F20"/>
                <w:spacing w:val="-5"/>
                <w:sz w:val="16"/>
                <w:szCs w:val="16"/>
              </w:rPr>
              <w:t xml:space="preserve"> </w:t>
            </w:r>
            <w:r w:rsidRPr="00817C2F">
              <w:rPr>
                <w:color w:val="231F20"/>
                <w:sz w:val="16"/>
                <w:szCs w:val="16"/>
              </w:rPr>
              <w:t>sulfates</w:t>
            </w:r>
          </w:p>
          <w:p w:rsidR="006A7A3F" w:rsidRPr="00817C2F" w:rsidRDefault="00BC7372" w:rsidP="009B6917">
            <w:pPr>
              <w:pStyle w:val="TableParagraph"/>
              <w:numPr>
                <w:ilvl w:val="0"/>
                <w:numId w:val="1337"/>
              </w:numPr>
              <w:tabs>
                <w:tab w:val="left" w:pos="306"/>
              </w:tabs>
              <w:spacing w:before="86" w:line="254" w:lineRule="auto"/>
              <w:ind w:right="357"/>
              <w:rPr>
                <w:sz w:val="16"/>
                <w:szCs w:val="16"/>
              </w:rPr>
            </w:pPr>
            <w:r w:rsidRPr="00817C2F">
              <w:rPr>
                <w:color w:val="231F20"/>
                <w:sz w:val="16"/>
                <w:szCs w:val="16"/>
              </w:rPr>
              <w:t>Allow</w:t>
            </w:r>
            <w:r w:rsidRPr="00817C2F">
              <w:rPr>
                <w:color w:val="231F20"/>
                <w:spacing w:val="-4"/>
                <w:sz w:val="16"/>
                <w:szCs w:val="16"/>
              </w:rPr>
              <w:t xml:space="preserve"> </w:t>
            </w:r>
            <w:r w:rsidRPr="00817C2F">
              <w:rPr>
                <w:color w:val="231F20"/>
                <w:sz w:val="16"/>
                <w:szCs w:val="16"/>
              </w:rPr>
              <w:t>the</w:t>
            </w:r>
            <w:r w:rsidRPr="00817C2F">
              <w:rPr>
                <w:color w:val="231F20"/>
                <w:spacing w:val="-4"/>
                <w:sz w:val="16"/>
                <w:szCs w:val="16"/>
              </w:rPr>
              <w:t xml:space="preserve"> </w:t>
            </w:r>
            <w:r w:rsidRPr="00817C2F">
              <w:rPr>
                <w:color w:val="231F20"/>
                <w:sz w:val="16"/>
                <w:szCs w:val="16"/>
              </w:rPr>
              <w:t>import</w:t>
            </w:r>
            <w:r w:rsidRPr="00817C2F">
              <w:rPr>
                <w:color w:val="231F20"/>
                <w:spacing w:val="-4"/>
                <w:sz w:val="16"/>
                <w:szCs w:val="16"/>
              </w:rPr>
              <w:t xml:space="preserve"> </w:t>
            </w:r>
            <w:r w:rsidRPr="00817C2F">
              <w:rPr>
                <w:color w:val="231F20"/>
                <w:sz w:val="16"/>
                <w:szCs w:val="16"/>
              </w:rPr>
              <w:t>and</w:t>
            </w:r>
            <w:r w:rsidRPr="00817C2F">
              <w:rPr>
                <w:color w:val="231F20"/>
                <w:spacing w:val="-5"/>
                <w:sz w:val="16"/>
                <w:szCs w:val="16"/>
              </w:rPr>
              <w:t xml:space="preserve"> </w:t>
            </w:r>
            <w:r w:rsidRPr="00817C2F">
              <w:rPr>
                <w:color w:val="231F20"/>
                <w:sz w:val="16"/>
                <w:szCs w:val="16"/>
              </w:rPr>
              <w:t>export</w:t>
            </w:r>
            <w:r w:rsidRPr="00817C2F">
              <w:rPr>
                <w:color w:val="231F20"/>
                <w:spacing w:val="-4"/>
                <w:sz w:val="16"/>
                <w:szCs w:val="16"/>
              </w:rPr>
              <w:t xml:space="preserve"> </w:t>
            </w:r>
            <w:r w:rsidRPr="00817C2F">
              <w:rPr>
                <w:color w:val="231F20"/>
                <w:sz w:val="16"/>
                <w:szCs w:val="16"/>
              </w:rPr>
              <w:t>of</w:t>
            </w:r>
            <w:r w:rsidRPr="00817C2F">
              <w:rPr>
                <w:color w:val="231F20"/>
                <w:spacing w:val="-5"/>
                <w:sz w:val="16"/>
                <w:szCs w:val="16"/>
              </w:rPr>
              <w:t xml:space="preserve"> </w:t>
            </w:r>
            <w:r w:rsidRPr="00817C2F">
              <w:rPr>
                <w:color w:val="231F20"/>
                <w:sz w:val="16"/>
                <w:szCs w:val="16"/>
              </w:rPr>
              <w:t>nutrients,</w:t>
            </w:r>
            <w:r w:rsidRPr="00817C2F">
              <w:rPr>
                <w:color w:val="231F20"/>
                <w:spacing w:val="-4"/>
                <w:sz w:val="16"/>
                <w:szCs w:val="16"/>
              </w:rPr>
              <w:t xml:space="preserve"> </w:t>
            </w:r>
            <w:r w:rsidRPr="00817C2F">
              <w:rPr>
                <w:color w:val="231F20"/>
                <w:sz w:val="16"/>
                <w:szCs w:val="16"/>
              </w:rPr>
              <w:t>dissolved</w:t>
            </w:r>
            <w:r w:rsidRPr="00817C2F">
              <w:rPr>
                <w:color w:val="231F20"/>
                <w:spacing w:val="-5"/>
                <w:sz w:val="16"/>
                <w:szCs w:val="16"/>
              </w:rPr>
              <w:t xml:space="preserve"> </w:t>
            </w:r>
            <w:r w:rsidRPr="00817C2F">
              <w:rPr>
                <w:color w:val="231F20"/>
                <w:sz w:val="16"/>
                <w:szCs w:val="16"/>
              </w:rPr>
              <w:t>organic</w:t>
            </w:r>
            <w:r w:rsidRPr="00817C2F">
              <w:rPr>
                <w:color w:val="231F20"/>
                <w:spacing w:val="-4"/>
                <w:sz w:val="16"/>
                <w:szCs w:val="16"/>
              </w:rPr>
              <w:t xml:space="preserve"> </w:t>
            </w:r>
            <w:r w:rsidRPr="00817C2F">
              <w:rPr>
                <w:color w:val="231F20"/>
                <w:sz w:val="16"/>
                <w:szCs w:val="16"/>
              </w:rPr>
              <w:t>carbon</w:t>
            </w:r>
            <w:r w:rsidRPr="00817C2F">
              <w:rPr>
                <w:color w:val="231F20"/>
                <w:spacing w:val="-4"/>
                <w:sz w:val="16"/>
                <w:szCs w:val="16"/>
              </w:rPr>
              <w:t xml:space="preserve"> </w:t>
            </w:r>
            <w:r w:rsidRPr="00817C2F">
              <w:rPr>
                <w:color w:val="231F20"/>
                <w:sz w:val="16"/>
                <w:szCs w:val="16"/>
              </w:rPr>
              <w:t>and seed dispersal between the Latrobe River and Heart</w:t>
            </w:r>
            <w:r w:rsidRPr="00817C2F">
              <w:rPr>
                <w:color w:val="231F20"/>
                <w:spacing w:val="-16"/>
                <w:sz w:val="16"/>
                <w:szCs w:val="16"/>
              </w:rPr>
              <w:t xml:space="preserve"> </w:t>
            </w:r>
            <w:r w:rsidRPr="00817C2F">
              <w:rPr>
                <w:color w:val="231F20"/>
                <w:sz w:val="16"/>
                <w:szCs w:val="16"/>
              </w:rPr>
              <w:t>Morass</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6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1" cy="310896"/>
                  <wp:effectExtent l="0" t="0" r="0" b="0"/>
                  <wp:docPr id="16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3.png"/>
                          <pic:cNvPicPr/>
                        </pic:nvPicPr>
                        <pic:blipFill>
                          <a:blip r:embed="rId35" cstate="print"/>
                          <a:stretch>
                            <a:fillRect/>
                          </a:stretch>
                        </pic:blipFill>
                        <pic:spPr>
                          <a:xfrm>
                            <a:off x="0" y="0"/>
                            <a:ext cx="314161" cy="310896"/>
                          </a:xfrm>
                          <a:prstGeom prst="rect">
                            <a:avLst/>
                          </a:prstGeom>
                        </pic:spPr>
                      </pic:pic>
                    </a:graphicData>
                  </a:graphic>
                </wp:inline>
              </w:drawing>
            </w:r>
          </w:p>
        </w:tc>
      </w:tr>
      <w:tr w:rsidR="006A7A3F" w:rsidTr="00817C2F">
        <w:trPr>
          <w:trHeight w:val="144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26"/>
              <w:rPr>
                <w:sz w:val="16"/>
              </w:rPr>
            </w:pPr>
            <w:r>
              <w:rPr>
                <w:color w:val="231F20"/>
                <w:sz w:val="16"/>
              </w:rPr>
              <w:t>Trigger-based fill or partial</w:t>
            </w:r>
            <w:r>
              <w:rPr>
                <w:color w:val="231F20"/>
                <w:spacing w:val="-15"/>
                <w:sz w:val="16"/>
              </w:rPr>
              <w:t xml:space="preserve"> </w:t>
            </w:r>
            <w:r>
              <w:rPr>
                <w:color w:val="231F20"/>
                <w:sz w:val="16"/>
              </w:rPr>
              <w:t>fill to respond to</w:t>
            </w:r>
            <w:r>
              <w:rPr>
                <w:color w:val="231F20"/>
                <w:spacing w:val="-1"/>
                <w:sz w:val="16"/>
              </w:rPr>
              <w:t xml:space="preserve"> </w:t>
            </w:r>
            <w:r>
              <w:rPr>
                <w:color w:val="231F20"/>
                <w:sz w:val="16"/>
              </w:rPr>
              <w:t>acid</w:t>
            </w:r>
          </w:p>
          <w:p w:rsidR="006A7A3F" w:rsidRDefault="00BC7372">
            <w:pPr>
              <w:pStyle w:val="TableParagraph"/>
              <w:spacing w:line="261" w:lineRule="auto"/>
              <w:ind w:left="85" w:right="96"/>
              <w:rPr>
                <w:sz w:val="9"/>
              </w:rPr>
            </w:pPr>
            <w:r>
              <w:rPr>
                <w:color w:val="231F20"/>
                <w:sz w:val="16"/>
              </w:rPr>
              <w:t>sulfate soil exposure or control salinity (any time)</w:t>
            </w:r>
            <w:r>
              <w:rPr>
                <w:color w:val="231F20"/>
                <w:position w:val="5"/>
                <w:sz w:val="9"/>
              </w:rPr>
              <w:t>3</w:t>
            </w:r>
          </w:p>
        </w:tc>
        <w:tc>
          <w:tcPr>
            <w:tcW w:w="6236"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36"/>
              </w:numPr>
              <w:tabs>
                <w:tab w:val="left" w:pos="306"/>
              </w:tabs>
              <w:spacing w:before="63" w:line="254" w:lineRule="auto"/>
              <w:ind w:right="406"/>
              <w:rPr>
                <w:sz w:val="16"/>
                <w:szCs w:val="16"/>
              </w:rPr>
            </w:pPr>
            <w:r w:rsidRPr="00817C2F">
              <w:rPr>
                <w:color w:val="231F20"/>
                <w:sz w:val="16"/>
                <w:szCs w:val="16"/>
              </w:rPr>
              <w:t>Respond to decreasing pH from the rewetting of exposed acid</w:t>
            </w:r>
            <w:r w:rsidRPr="00817C2F">
              <w:rPr>
                <w:color w:val="231F20"/>
                <w:spacing w:val="-31"/>
                <w:sz w:val="16"/>
                <w:szCs w:val="16"/>
              </w:rPr>
              <w:t xml:space="preserve"> </w:t>
            </w:r>
            <w:r w:rsidRPr="00817C2F">
              <w:rPr>
                <w:color w:val="231F20"/>
                <w:sz w:val="16"/>
                <w:szCs w:val="16"/>
              </w:rPr>
              <w:t>sulfate soils (most likely during high-wind</w:t>
            </w:r>
            <w:r w:rsidRPr="00817C2F">
              <w:rPr>
                <w:color w:val="231F20"/>
                <w:spacing w:val="-6"/>
                <w:sz w:val="16"/>
                <w:szCs w:val="16"/>
              </w:rPr>
              <w:t xml:space="preserve"> </w:t>
            </w:r>
            <w:r w:rsidRPr="00817C2F">
              <w:rPr>
                <w:color w:val="231F20"/>
                <w:sz w:val="16"/>
                <w:szCs w:val="16"/>
              </w:rPr>
              <w:t>events)</w:t>
            </w:r>
          </w:p>
          <w:p w:rsidR="006A7A3F" w:rsidRDefault="00BC7372" w:rsidP="009B6917">
            <w:pPr>
              <w:pStyle w:val="TableParagraph"/>
              <w:numPr>
                <w:ilvl w:val="0"/>
                <w:numId w:val="1336"/>
              </w:numPr>
              <w:tabs>
                <w:tab w:val="left" w:pos="306"/>
              </w:tabs>
              <w:spacing w:before="86" w:line="254" w:lineRule="auto"/>
              <w:ind w:right="123"/>
              <w:rPr>
                <w:sz w:val="18"/>
              </w:rPr>
            </w:pPr>
            <w:r w:rsidRPr="00817C2F">
              <w:rPr>
                <w:color w:val="231F20"/>
                <w:sz w:val="16"/>
                <w:szCs w:val="16"/>
              </w:rPr>
              <w:t>Dilute salt concentrations within the wetland that may be caused by king tides</w:t>
            </w:r>
            <w:r w:rsidRPr="00817C2F">
              <w:rPr>
                <w:color w:val="231F20"/>
                <w:spacing w:val="-4"/>
                <w:sz w:val="16"/>
                <w:szCs w:val="16"/>
              </w:rPr>
              <w:t xml:space="preserve"> </w:t>
            </w:r>
            <w:r w:rsidRPr="00817C2F">
              <w:rPr>
                <w:color w:val="231F20"/>
                <w:sz w:val="16"/>
                <w:szCs w:val="16"/>
              </w:rPr>
              <w:t>from</w:t>
            </w:r>
            <w:r w:rsidRPr="00817C2F">
              <w:rPr>
                <w:color w:val="231F20"/>
                <w:spacing w:val="-3"/>
                <w:sz w:val="16"/>
                <w:szCs w:val="16"/>
              </w:rPr>
              <w:t xml:space="preserve"> </w:t>
            </w:r>
            <w:r w:rsidRPr="00817C2F">
              <w:rPr>
                <w:color w:val="231F20"/>
                <w:sz w:val="16"/>
                <w:szCs w:val="16"/>
              </w:rPr>
              <w:t>Lake</w:t>
            </w:r>
            <w:r w:rsidRPr="00817C2F">
              <w:rPr>
                <w:color w:val="231F20"/>
                <w:spacing w:val="-4"/>
                <w:sz w:val="16"/>
                <w:szCs w:val="16"/>
              </w:rPr>
              <w:t xml:space="preserve"> </w:t>
            </w:r>
            <w:r w:rsidRPr="00817C2F">
              <w:rPr>
                <w:color w:val="231F20"/>
                <w:sz w:val="16"/>
                <w:szCs w:val="16"/>
              </w:rPr>
              <w:t>Wellington</w:t>
            </w:r>
            <w:r w:rsidRPr="00817C2F">
              <w:rPr>
                <w:color w:val="231F20"/>
                <w:spacing w:val="-5"/>
                <w:sz w:val="16"/>
                <w:szCs w:val="16"/>
              </w:rPr>
              <w:t xml:space="preserve"> </w:t>
            </w:r>
            <w:r w:rsidRPr="00817C2F">
              <w:rPr>
                <w:color w:val="231F20"/>
                <w:sz w:val="16"/>
                <w:szCs w:val="16"/>
              </w:rPr>
              <w:t>or</w:t>
            </w:r>
            <w:r w:rsidRPr="00817C2F">
              <w:rPr>
                <w:color w:val="231F20"/>
                <w:spacing w:val="-4"/>
                <w:sz w:val="16"/>
                <w:szCs w:val="16"/>
              </w:rPr>
              <w:t xml:space="preserve"> </w:t>
            </w:r>
            <w:r w:rsidRPr="00817C2F">
              <w:rPr>
                <w:color w:val="231F20"/>
                <w:sz w:val="16"/>
                <w:szCs w:val="16"/>
              </w:rPr>
              <w:t>other</w:t>
            </w:r>
            <w:r w:rsidRPr="00817C2F">
              <w:rPr>
                <w:color w:val="231F20"/>
                <w:spacing w:val="-4"/>
                <w:sz w:val="16"/>
                <w:szCs w:val="16"/>
              </w:rPr>
              <w:t xml:space="preserve"> </w:t>
            </w:r>
            <w:r w:rsidRPr="00817C2F">
              <w:rPr>
                <w:color w:val="231F20"/>
                <w:sz w:val="16"/>
                <w:szCs w:val="16"/>
              </w:rPr>
              <w:t>sources.</w:t>
            </w:r>
            <w:r w:rsidRPr="00817C2F">
              <w:rPr>
                <w:color w:val="231F20"/>
                <w:spacing w:val="-7"/>
                <w:sz w:val="16"/>
                <w:szCs w:val="16"/>
              </w:rPr>
              <w:t xml:space="preserve"> </w:t>
            </w:r>
            <w:r w:rsidRPr="00817C2F">
              <w:rPr>
                <w:color w:val="231F20"/>
                <w:sz w:val="16"/>
                <w:szCs w:val="16"/>
              </w:rPr>
              <w:t>This</w:t>
            </w:r>
            <w:r w:rsidRPr="00817C2F">
              <w:rPr>
                <w:color w:val="231F20"/>
                <w:spacing w:val="-4"/>
                <w:sz w:val="16"/>
                <w:szCs w:val="16"/>
              </w:rPr>
              <w:t xml:space="preserve"> </w:t>
            </w:r>
            <w:r w:rsidRPr="00817C2F">
              <w:rPr>
                <w:color w:val="231F20"/>
                <w:sz w:val="16"/>
                <w:szCs w:val="16"/>
              </w:rPr>
              <w:t>watering</w:t>
            </w:r>
            <w:r w:rsidRPr="00817C2F">
              <w:rPr>
                <w:color w:val="231F20"/>
                <w:spacing w:val="-4"/>
                <w:sz w:val="16"/>
                <w:szCs w:val="16"/>
              </w:rPr>
              <w:t xml:space="preserve"> </w:t>
            </w:r>
            <w:r w:rsidRPr="00817C2F">
              <w:rPr>
                <w:color w:val="231F20"/>
                <w:sz w:val="16"/>
                <w:szCs w:val="16"/>
              </w:rPr>
              <w:t>action</w:t>
            </w:r>
            <w:r w:rsidRPr="00817C2F">
              <w:rPr>
                <w:color w:val="231F20"/>
                <w:spacing w:val="-4"/>
                <w:sz w:val="16"/>
                <w:szCs w:val="16"/>
              </w:rPr>
              <w:t xml:space="preserve"> </w:t>
            </w:r>
            <w:r w:rsidRPr="00817C2F">
              <w:rPr>
                <w:color w:val="231F20"/>
                <w:sz w:val="16"/>
                <w:szCs w:val="16"/>
              </w:rPr>
              <w:t>is</w:t>
            </w:r>
            <w:r w:rsidRPr="00817C2F">
              <w:rPr>
                <w:color w:val="231F20"/>
                <w:spacing w:val="-4"/>
                <w:sz w:val="16"/>
                <w:szCs w:val="16"/>
              </w:rPr>
              <w:t xml:space="preserve"> </w:t>
            </w:r>
            <w:r w:rsidRPr="00817C2F">
              <w:rPr>
                <w:color w:val="231F20"/>
                <w:sz w:val="16"/>
                <w:szCs w:val="16"/>
              </w:rPr>
              <w:t>likely to be</w:t>
            </w:r>
            <w:r>
              <w:rPr>
                <w:color w:val="231F20"/>
                <w:sz w:val="18"/>
              </w:rPr>
              <w:t xml:space="preserve"> </w:t>
            </w:r>
            <w:r w:rsidRPr="00817C2F">
              <w:rPr>
                <w:color w:val="231F20"/>
                <w:sz w:val="16"/>
                <w:szCs w:val="16"/>
              </w:rPr>
              <w:t>triggered</w:t>
            </w:r>
            <w:r>
              <w:rPr>
                <w:color w:val="231F20"/>
                <w:position w:val="6"/>
                <w:sz w:val="10"/>
              </w:rPr>
              <w:t xml:space="preserve">6 </w:t>
            </w:r>
            <w:r w:rsidRPr="00817C2F">
              <w:rPr>
                <w:color w:val="231F20"/>
                <w:sz w:val="16"/>
                <w:szCs w:val="16"/>
              </w:rPr>
              <w:t>if wetland overtopping appears likely; based on rising water levels at Lake Wellington (reaching or exceeding +0.5m</w:t>
            </w:r>
            <w:r w:rsidRPr="00817C2F">
              <w:rPr>
                <w:color w:val="231F20"/>
                <w:spacing w:val="-34"/>
                <w:sz w:val="16"/>
                <w:szCs w:val="16"/>
              </w:rPr>
              <w:t xml:space="preserve"> </w:t>
            </w:r>
            <w:r w:rsidRPr="00817C2F">
              <w:rPr>
                <w:color w:val="231F20"/>
                <w:sz w:val="16"/>
                <w:szCs w:val="16"/>
              </w:rPr>
              <w:t>AHD)</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C65395">
            <w:pPr>
              <w:pStyle w:val="TableParagraph"/>
              <w:ind w:left="170"/>
              <w:rPr>
                <w:sz w:val="20"/>
              </w:rPr>
            </w:pPr>
            <w:r>
              <w:rPr>
                <w:sz w:val="20"/>
              </w:rPr>
              <w:t xml:space="preserve">  </w:t>
            </w:r>
            <w:r w:rsidR="00BC7372">
              <w:rPr>
                <w:noProof/>
                <w:sz w:val="20"/>
              </w:rPr>
              <w:drawing>
                <wp:inline distT="0" distB="0" distL="0" distR="0">
                  <wp:extent cx="314170" cy="310896"/>
                  <wp:effectExtent l="0" t="0" r="0" b="0"/>
                  <wp:docPr id="165"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3.png"/>
                          <pic:cNvPicPr/>
                        </pic:nvPicPr>
                        <pic:blipFill>
                          <a:blip r:embed="rId35" cstate="print"/>
                          <a:stretch>
                            <a:fillRect/>
                          </a:stretch>
                        </pic:blipFill>
                        <pic:spPr>
                          <a:xfrm>
                            <a:off x="0" y="0"/>
                            <a:ext cx="314170" cy="310896"/>
                          </a:xfrm>
                          <a:prstGeom prst="rect">
                            <a:avLst/>
                          </a:prstGeom>
                        </pic:spPr>
                      </pic:pic>
                    </a:graphicData>
                  </a:graphic>
                </wp:inline>
              </w:drawing>
            </w:r>
          </w:p>
        </w:tc>
      </w:tr>
      <w:tr w:rsidR="006A7A3F">
        <w:trPr>
          <w:trHeight w:val="7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Top-up (anytime,</w:t>
            </w:r>
          </w:p>
          <w:p w:rsidR="006A7A3F" w:rsidRDefault="00BC7372">
            <w:pPr>
              <w:pStyle w:val="TableParagraph"/>
              <w:spacing w:before="16" w:line="261" w:lineRule="auto"/>
              <w:ind w:left="85" w:right="104"/>
              <w:rPr>
                <w:sz w:val="16"/>
              </w:rPr>
            </w:pPr>
            <w:r>
              <w:rPr>
                <w:color w:val="231F20"/>
                <w:sz w:val="16"/>
              </w:rPr>
              <w:t>following bird breeding event if required)</w:t>
            </w:r>
          </w:p>
        </w:tc>
        <w:tc>
          <w:tcPr>
            <w:tcW w:w="6236" w:type="dxa"/>
            <w:tcBorders>
              <w:top w:val="single" w:sz="4" w:space="0" w:color="231F20"/>
              <w:left w:val="single" w:sz="4" w:space="0" w:color="231F20"/>
              <w:bottom w:val="single" w:sz="4" w:space="0" w:color="231F20"/>
              <w:right w:val="single" w:sz="4" w:space="0" w:color="231F20"/>
            </w:tcBorders>
          </w:tcPr>
          <w:p w:rsidR="006A7A3F" w:rsidRPr="00817C2F" w:rsidRDefault="00BC7372" w:rsidP="009B6917">
            <w:pPr>
              <w:pStyle w:val="TableParagraph"/>
              <w:numPr>
                <w:ilvl w:val="0"/>
                <w:numId w:val="1335"/>
              </w:numPr>
              <w:tabs>
                <w:tab w:val="left" w:pos="306"/>
              </w:tabs>
              <w:spacing w:before="63" w:line="254" w:lineRule="auto"/>
              <w:ind w:right="516"/>
              <w:rPr>
                <w:sz w:val="16"/>
                <w:szCs w:val="16"/>
              </w:rPr>
            </w:pPr>
            <w:r w:rsidRPr="00817C2F">
              <w:rPr>
                <w:color w:val="231F20"/>
                <w:sz w:val="16"/>
                <w:szCs w:val="16"/>
              </w:rPr>
              <w:t>Prolong wetting of reed beds to maintain habitat for waterbirds and protect</w:t>
            </w:r>
            <w:r w:rsidRPr="00817C2F">
              <w:rPr>
                <w:color w:val="231F20"/>
                <w:spacing w:val="-5"/>
                <w:sz w:val="16"/>
                <w:szCs w:val="16"/>
              </w:rPr>
              <w:t xml:space="preserve"> </w:t>
            </w:r>
            <w:r w:rsidRPr="00817C2F">
              <w:rPr>
                <w:color w:val="231F20"/>
                <w:sz w:val="16"/>
                <w:szCs w:val="16"/>
              </w:rPr>
              <w:t>chicks</w:t>
            </w:r>
            <w:r w:rsidRPr="00817C2F">
              <w:rPr>
                <w:color w:val="231F20"/>
                <w:spacing w:val="-4"/>
                <w:sz w:val="16"/>
                <w:szCs w:val="16"/>
              </w:rPr>
              <w:t xml:space="preserve"> </w:t>
            </w:r>
            <w:r w:rsidRPr="00817C2F">
              <w:rPr>
                <w:color w:val="231F20"/>
                <w:sz w:val="16"/>
                <w:szCs w:val="16"/>
              </w:rPr>
              <w:t>from</w:t>
            </w:r>
            <w:r w:rsidRPr="00817C2F">
              <w:rPr>
                <w:color w:val="231F20"/>
                <w:spacing w:val="-4"/>
                <w:sz w:val="16"/>
                <w:szCs w:val="16"/>
              </w:rPr>
              <w:t xml:space="preserve"> </w:t>
            </w:r>
            <w:r w:rsidRPr="00817C2F">
              <w:rPr>
                <w:color w:val="231F20"/>
                <w:sz w:val="16"/>
                <w:szCs w:val="16"/>
              </w:rPr>
              <w:t>predators,</w:t>
            </w:r>
            <w:r w:rsidRPr="00817C2F">
              <w:rPr>
                <w:color w:val="231F20"/>
                <w:spacing w:val="-5"/>
                <w:sz w:val="16"/>
                <w:szCs w:val="16"/>
              </w:rPr>
              <w:t xml:space="preserve"> </w:t>
            </w:r>
            <w:r w:rsidRPr="00817C2F">
              <w:rPr>
                <w:color w:val="231F20"/>
                <w:sz w:val="16"/>
                <w:szCs w:val="16"/>
              </w:rPr>
              <w:t>following</w:t>
            </w:r>
            <w:r w:rsidRPr="00817C2F">
              <w:rPr>
                <w:color w:val="231F20"/>
                <w:spacing w:val="-4"/>
                <w:sz w:val="16"/>
                <w:szCs w:val="16"/>
              </w:rPr>
              <w:t xml:space="preserve"> </w:t>
            </w:r>
            <w:r w:rsidRPr="00817C2F">
              <w:rPr>
                <w:color w:val="231F20"/>
                <w:sz w:val="16"/>
                <w:szCs w:val="16"/>
              </w:rPr>
              <w:t>an</w:t>
            </w:r>
            <w:r w:rsidRPr="00817C2F">
              <w:rPr>
                <w:color w:val="231F20"/>
                <w:spacing w:val="-5"/>
                <w:sz w:val="16"/>
                <w:szCs w:val="16"/>
              </w:rPr>
              <w:t xml:space="preserve"> </w:t>
            </w:r>
            <w:r w:rsidRPr="00817C2F">
              <w:rPr>
                <w:color w:val="231F20"/>
                <w:sz w:val="16"/>
                <w:szCs w:val="16"/>
              </w:rPr>
              <w:t>observed</w:t>
            </w:r>
            <w:r w:rsidRPr="00817C2F">
              <w:rPr>
                <w:color w:val="231F20"/>
                <w:spacing w:val="-5"/>
                <w:sz w:val="16"/>
                <w:szCs w:val="16"/>
              </w:rPr>
              <w:t xml:space="preserve"> </w:t>
            </w:r>
            <w:r w:rsidRPr="00817C2F">
              <w:rPr>
                <w:color w:val="231F20"/>
                <w:sz w:val="16"/>
                <w:szCs w:val="16"/>
              </w:rPr>
              <w:t>breeding</w:t>
            </w:r>
            <w:r w:rsidRPr="00817C2F">
              <w:rPr>
                <w:color w:val="231F20"/>
                <w:spacing w:val="-5"/>
                <w:sz w:val="16"/>
                <w:szCs w:val="16"/>
              </w:rPr>
              <w:t xml:space="preserve"> </w:t>
            </w:r>
            <w:r w:rsidRPr="00817C2F">
              <w:rPr>
                <w:color w:val="231F20"/>
                <w:sz w:val="16"/>
                <w:szCs w:val="16"/>
              </w:rPr>
              <w:t>event</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C65395">
            <w:pPr>
              <w:pStyle w:val="TableParagraph"/>
              <w:ind w:left="170"/>
              <w:rPr>
                <w:sz w:val="20"/>
              </w:rPr>
            </w:pPr>
            <w:r>
              <w:rPr>
                <w:sz w:val="20"/>
              </w:rPr>
              <w:t xml:space="preserve">  </w:t>
            </w:r>
            <w:r w:rsidR="00BC7372">
              <w:rPr>
                <w:noProof/>
                <w:sz w:val="20"/>
              </w:rPr>
              <w:drawing>
                <wp:inline distT="0" distB="0" distL="0" distR="0">
                  <wp:extent cx="314168" cy="310896"/>
                  <wp:effectExtent l="0" t="0" r="0" b="0"/>
                  <wp:docPr id="16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bl>
    <w:p w:rsidR="006A7A3F" w:rsidRDefault="00BC7372">
      <w:pPr>
        <w:spacing w:before="129" w:line="266" w:lineRule="auto"/>
        <w:ind w:left="323" w:right="619" w:hanging="114"/>
        <w:jc w:val="both"/>
        <w:rPr>
          <w:sz w:val="14"/>
        </w:rPr>
      </w:pPr>
      <w:r>
        <w:rPr>
          <w:color w:val="231F20"/>
          <w:position w:val="5"/>
          <w:sz w:val="8"/>
        </w:rPr>
        <w:t xml:space="preserve">1 </w:t>
      </w:r>
      <w:r>
        <w:rPr>
          <w:color w:val="231F20"/>
          <w:sz w:val="14"/>
        </w:rPr>
        <w:t>While a full fill is the target, if salinity in the Latrobe River is too high a partial fill may be provided instead, helping to achieve some of the listed functional watering actions. This is most likely to eventuate under drought conditions.</w:t>
      </w:r>
    </w:p>
    <w:p w:rsidR="006A7A3F" w:rsidRDefault="00BC7372">
      <w:pPr>
        <w:spacing w:before="55" w:line="266" w:lineRule="auto"/>
        <w:ind w:left="323" w:right="212" w:hanging="114"/>
        <w:jc w:val="both"/>
        <w:rPr>
          <w:sz w:val="14"/>
        </w:rPr>
      </w:pPr>
      <w:r>
        <w:rPr>
          <w:color w:val="231F20"/>
          <w:position w:val="5"/>
          <w:sz w:val="8"/>
        </w:rPr>
        <w:t xml:space="preserve">2 </w:t>
      </w:r>
      <w:r>
        <w:rPr>
          <w:color w:val="231F20"/>
          <w:sz w:val="14"/>
        </w:rPr>
        <w:t>Timing of this flow changes depending on the scenario. An extended partial fill may be required under a drought scenario, however under dry to wet scenarios, partial fills either side of the full fill over late winter and spring are preferred. Top-ups over summer are unlikely under a drought scenario, as reduced flow in the Latrobe River is likely to increase salinity levels beyond a tolerable limit for wetland filling.</w:t>
      </w:r>
    </w:p>
    <w:p w:rsidR="006A7A3F" w:rsidRDefault="00BC7372">
      <w:pPr>
        <w:spacing w:before="55"/>
        <w:ind w:left="210"/>
        <w:rPr>
          <w:sz w:val="14"/>
        </w:rPr>
      </w:pPr>
      <w:r>
        <w:rPr>
          <w:color w:val="231F20"/>
          <w:position w:val="5"/>
          <w:sz w:val="8"/>
        </w:rPr>
        <w:t xml:space="preserve">3 </w:t>
      </w:r>
      <w:r>
        <w:rPr>
          <w:color w:val="231F20"/>
          <w:sz w:val="14"/>
        </w:rPr>
        <w:t>Trigger-based events may override other planned watering actions if required, to maintain conditions at the site.</w:t>
      </w:r>
    </w:p>
    <w:p w:rsidR="006A7A3F" w:rsidRDefault="00BC7372">
      <w:pPr>
        <w:spacing w:before="74"/>
        <w:ind w:left="210"/>
        <w:rPr>
          <w:sz w:val="14"/>
        </w:rPr>
      </w:pPr>
      <w:r>
        <w:rPr>
          <w:color w:val="231F20"/>
          <w:position w:val="5"/>
          <w:sz w:val="8"/>
        </w:rPr>
        <w:t xml:space="preserve">4 </w:t>
      </w:r>
      <w:r>
        <w:rPr>
          <w:color w:val="231F20"/>
          <w:sz w:val="14"/>
        </w:rPr>
        <w:t>If salinity level in the Latrobe River exceeds 15,000 µS/cm, a fill or partial fill will not be provided.</w:t>
      </w:r>
    </w:p>
    <w:p w:rsidR="006A7A3F" w:rsidRDefault="00BC7372">
      <w:pPr>
        <w:spacing w:before="73"/>
        <w:ind w:left="210"/>
        <w:rPr>
          <w:sz w:val="14"/>
        </w:rPr>
      </w:pPr>
      <w:r>
        <w:rPr>
          <w:color w:val="231F20"/>
          <w:position w:val="5"/>
          <w:sz w:val="8"/>
        </w:rPr>
        <w:t xml:space="preserve">5 </w:t>
      </w:r>
      <w:r>
        <w:rPr>
          <w:color w:val="231F20"/>
          <w:sz w:val="14"/>
        </w:rPr>
        <w:t>Maintaining the water level above -0.3m AHD is a high priority, to avoid exposing acid sulfate soils.</w:t>
      </w:r>
    </w:p>
    <w:p w:rsidR="006A7A3F" w:rsidRDefault="00BC7372">
      <w:pPr>
        <w:spacing w:before="74"/>
        <w:ind w:left="210"/>
        <w:rPr>
          <w:sz w:val="14"/>
        </w:rPr>
      </w:pPr>
      <w:r>
        <w:rPr>
          <w:color w:val="231F20"/>
          <w:position w:val="5"/>
          <w:sz w:val="8"/>
        </w:rPr>
        <w:t xml:space="preserve">6 </w:t>
      </w:r>
      <w:r>
        <w:rPr>
          <w:color w:val="231F20"/>
          <w:sz w:val="14"/>
        </w:rPr>
        <w:t>If the salinity level in the Latrobe River exceeds 10,000 µS/cm, a fill or partial fill will not be provided.</w:t>
      </w:r>
    </w:p>
    <w:p w:rsidR="00C65395" w:rsidRDefault="00C65395">
      <w:pPr>
        <w:rPr>
          <w:rFonts w:ascii="Helvetica Neue LT Std 75"/>
          <w:b/>
          <w:color w:val="231F20"/>
          <w:sz w:val="19"/>
        </w:rPr>
      </w:pPr>
      <w:r>
        <w:rPr>
          <w:rFonts w:ascii="Helvetica Neue LT Std 75"/>
          <w:b/>
          <w:color w:val="231F20"/>
          <w:sz w:val="19"/>
        </w:rPr>
        <w:br w:type="page"/>
      </w:r>
    </w:p>
    <w:p w:rsidR="006A7A3F" w:rsidRDefault="00BC7372">
      <w:pPr>
        <w:spacing w:before="89"/>
        <w:ind w:left="210"/>
        <w:rPr>
          <w:rFonts w:ascii="Helvetica Neue LT Std 75"/>
          <w:b/>
          <w:sz w:val="19"/>
        </w:rPr>
      </w:pPr>
      <w:r>
        <w:rPr>
          <w:rFonts w:ascii="Helvetica Neue LT Std 75"/>
          <w:b/>
          <w:color w:val="231F20"/>
          <w:sz w:val="19"/>
        </w:rPr>
        <w:t>Scenario planning</w:t>
      </w:r>
    </w:p>
    <w:p w:rsidR="006A7A3F" w:rsidRDefault="00BC7372">
      <w:pPr>
        <w:pStyle w:val="BodyText"/>
        <w:spacing w:before="67" w:line="249" w:lineRule="auto"/>
        <w:ind w:right="100"/>
      </w:pPr>
      <w:r>
        <w:rPr>
          <w:color w:val="231F20"/>
        </w:rPr>
        <w:t>Table 2.2.4 outlines the potential environmental watering and expected water use under a range of planning scenarios.</w:t>
      </w:r>
    </w:p>
    <w:p w:rsidR="006A7A3F" w:rsidRDefault="00BC7372">
      <w:pPr>
        <w:pStyle w:val="BodyText"/>
        <w:spacing w:line="249" w:lineRule="auto"/>
        <w:ind w:right="317"/>
      </w:pPr>
      <w:r>
        <w:rPr>
          <w:color w:val="231F20"/>
        </w:rPr>
        <w:t>The planned approach in 2020–21 at the lower Latrobe wetlands is to mimic natural flows in the system by controlling flow through the regulators when water levels and water quality in the Latrobe River allow. Following extended drying in 2018–19 and 2019–20, actively-managed drying is not prioritised under any scenario, although this will likely occur naturally at all wetlands under drought, particularly as reduced flow in the Latrobe River leads to high salinity that may exceed recommended wetland tolerances.</w:t>
      </w:r>
    </w:p>
    <w:p w:rsidR="006A7A3F" w:rsidRDefault="00BC7372">
      <w:pPr>
        <w:pStyle w:val="BodyText"/>
        <w:spacing w:before="174"/>
      </w:pPr>
      <w:r>
        <w:rPr>
          <w:color w:val="231F20"/>
        </w:rPr>
        <w:t>The preferred watering regime for Sale Common involves:</w:t>
      </w:r>
    </w:p>
    <w:p w:rsidR="006A7A3F" w:rsidRDefault="00BC7372" w:rsidP="009B6917">
      <w:pPr>
        <w:pStyle w:val="ListParagraph"/>
        <w:numPr>
          <w:ilvl w:val="0"/>
          <w:numId w:val="1419"/>
        </w:numPr>
        <w:tabs>
          <w:tab w:val="left" w:pos="493"/>
          <w:tab w:val="left" w:pos="494"/>
        </w:tabs>
        <w:spacing w:before="124" w:line="249" w:lineRule="auto"/>
        <w:ind w:right="292"/>
        <w:rPr>
          <w:sz w:val="20"/>
        </w:rPr>
      </w:pPr>
      <w:r>
        <w:rPr>
          <w:color w:val="231F20"/>
          <w:sz w:val="20"/>
        </w:rPr>
        <w:t>partially</w:t>
      </w:r>
      <w:r>
        <w:rPr>
          <w:color w:val="231F20"/>
          <w:spacing w:val="-4"/>
          <w:sz w:val="20"/>
        </w:rPr>
        <w:t xml:space="preserve"> </w:t>
      </w:r>
      <w:r>
        <w:rPr>
          <w:color w:val="231F20"/>
          <w:sz w:val="20"/>
        </w:rPr>
        <w:t>filling</w:t>
      </w:r>
      <w:r>
        <w:rPr>
          <w:color w:val="231F20"/>
          <w:spacing w:val="-3"/>
          <w:sz w:val="20"/>
        </w:rPr>
        <w:t xml:space="preserve"> </w:t>
      </w:r>
      <w:r>
        <w:rPr>
          <w:color w:val="231F20"/>
          <w:sz w:val="20"/>
        </w:rPr>
        <w:t>the</w:t>
      </w:r>
      <w:r>
        <w:rPr>
          <w:color w:val="231F20"/>
          <w:spacing w:val="-3"/>
          <w:sz w:val="20"/>
        </w:rPr>
        <w:t xml:space="preserve"> </w:t>
      </w:r>
      <w:r>
        <w:rPr>
          <w:color w:val="231F20"/>
          <w:sz w:val="20"/>
        </w:rPr>
        <w:t>wetland</w:t>
      </w:r>
      <w:r>
        <w:rPr>
          <w:color w:val="231F20"/>
          <w:spacing w:val="-3"/>
          <w:sz w:val="20"/>
        </w:rPr>
        <w:t xml:space="preserve"> </w:t>
      </w:r>
      <w:r>
        <w:rPr>
          <w:color w:val="231F20"/>
          <w:sz w:val="20"/>
        </w:rPr>
        <w:t>in</w:t>
      </w:r>
      <w:r>
        <w:rPr>
          <w:color w:val="231F20"/>
          <w:spacing w:val="-4"/>
          <w:sz w:val="20"/>
        </w:rPr>
        <w:t xml:space="preserve"> </w:t>
      </w:r>
      <w:r>
        <w:rPr>
          <w:color w:val="231F20"/>
          <w:sz w:val="20"/>
        </w:rPr>
        <w:t>winter</w:t>
      </w:r>
      <w:r>
        <w:rPr>
          <w:color w:val="231F20"/>
          <w:spacing w:val="-4"/>
          <w:sz w:val="20"/>
        </w:rPr>
        <w:t xml:space="preserve"> </w:t>
      </w:r>
      <w:r>
        <w:rPr>
          <w:color w:val="231F20"/>
          <w:sz w:val="20"/>
        </w:rPr>
        <w:t>and</w:t>
      </w:r>
      <w:r>
        <w:rPr>
          <w:color w:val="231F20"/>
          <w:spacing w:val="-3"/>
          <w:sz w:val="20"/>
        </w:rPr>
        <w:t xml:space="preserve"> </w:t>
      </w:r>
      <w:r>
        <w:rPr>
          <w:color w:val="231F20"/>
          <w:sz w:val="20"/>
        </w:rPr>
        <w:t>providing</w:t>
      </w:r>
      <w:r>
        <w:rPr>
          <w:color w:val="231F20"/>
          <w:spacing w:val="-4"/>
          <w:sz w:val="20"/>
        </w:rPr>
        <w:t xml:space="preserve"> </w:t>
      </w:r>
      <w:r>
        <w:rPr>
          <w:color w:val="231F20"/>
          <w:sz w:val="20"/>
        </w:rPr>
        <w:t>top-ups</w:t>
      </w:r>
      <w:r>
        <w:rPr>
          <w:color w:val="231F20"/>
          <w:spacing w:val="-3"/>
          <w:sz w:val="20"/>
        </w:rPr>
        <w:t xml:space="preserve"> </w:t>
      </w:r>
      <w:r>
        <w:rPr>
          <w:color w:val="231F20"/>
          <w:sz w:val="20"/>
        </w:rPr>
        <w:t>as</w:t>
      </w:r>
      <w:r>
        <w:rPr>
          <w:color w:val="231F20"/>
          <w:spacing w:val="-3"/>
          <w:sz w:val="20"/>
        </w:rPr>
        <w:t xml:space="preserve"> </w:t>
      </w:r>
      <w:r>
        <w:rPr>
          <w:color w:val="231F20"/>
          <w:sz w:val="20"/>
        </w:rPr>
        <w:t>needed</w:t>
      </w:r>
      <w:r>
        <w:rPr>
          <w:color w:val="231F20"/>
          <w:spacing w:val="-4"/>
          <w:sz w:val="20"/>
        </w:rPr>
        <w:t xml:space="preserve"> </w:t>
      </w:r>
      <w:r>
        <w:rPr>
          <w:color w:val="231F20"/>
          <w:sz w:val="20"/>
        </w:rPr>
        <w:t>to</w:t>
      </w:r>
      <w:r>
        <w:rPr>
          <w:color w:val="231F20"/>
          <w:spacing w:val="-3"/>
          <w:sz w:val="20"/>
        </w:rPr>
        <w:t xml:space="preserve"> </w:t>
      </w:r>
      <w:r>
        <w:rPr>
          <w:color w:val="231F20"/>
          <w:sz w:val="20"/>
        </w:rPr>
        <w:t>maintain</w:t>
      </w:r>
      <w:r>
        <w:rPr>
          <w:color w:val="231F20"/>
          <w:spacing w:val="-2"/>
          <w:sz w:val="20"/>
        </w:rPr>
        <w:t xml:space="preserve"> </w:t>
      </w:r>
      <w:r>
        <w:rPr>
          <w:color w:val="231F20"/>
          <w:sz w:val="20"/>
        </w:rPr>
        <w:t>water</w:t>
      </w:r>
      <w:r>
        <w:rPr>
          <w:color w:val="231F20"/>
          <w:spacing w:val="-4"/>
          <w:sz w:val="20"/>
        </w:rPr>
        <w:t xml:space="preserve"> </w:t>
      </w:r>
      <w:r>
        <w:rPr>
          <w:color w:val="231F20"/>
          <w:sz w:val="20"/>
        </w:rPr>
        <w:t>levels</w:t>
      </w:r>
      <w:r>
        <w:rPr>
          <w:color w:val="231F20"/>
          <w:spacing w:val="-4"/>
          <w:sz w:val="20"/>
        </w:rPr>
        <w:t xml:space="preserve"> </w:t>
      </w:r>
      <w:r>
        <w:rPr>
          <w:color w:val="231F20"/>
          <w:sz w:val="20"/>
        </w:rPr>
        <w:t>above</w:t>
      </w:r>
      <w:r>
        <w:rPr>
          <w:color w:val="231F20"/>
          <w:spacing w:val="-3"/>
          <w:sz w:val="20"/>
        </w:rPr>
        <w:t xml:space="preserve"> </w:t>
      </w:r>
      <w:r>
        <w:rPr>
          <w:color w:val="231F20"/>
          <w:sz w:val="20"/>
        </w:rPr>
        <w:t>0.3</w:t>
      </w:r>
      <w:r>
        <w:rPr>
          <w:color w:val="231F20"/>
          <w:spacing w:val="-4"/>
          <w:sz w:val="20"/>
        </w:rPr>
        <w:t xml:space="preserve"> </w:t>
      </w:r>
      <w:r>
        <w:rPr>
          <w:color w:val="231F20"/>
          <w:sz w:val="20"/>
        </w:rPr>
        <w:t>m</w:t>
      </w:r>
      <w:r>
        <w:rPr>
          <w:color w:val="231F20"/>
          <w:spacing w:val="-11"/>
          <w:sz w:val="20"/>
        </w:rPr>
        <w:t xml:space="preserve"> </w:t>
      </w:r>
      <w:r>
        <w:rPr>
          <w:color w:val="231F20"/>
          <w:sz w:val="20"/>
        </w:rPr>
        <w:t>AHD throughout the year to support wetland plant communities and habitat for frogs, turtles and waterbirds,</w:t>
      </w:r>
      <w:r>
        <w:rPr>
          <w:color w:val="231F20"/>
          <w:spacing w:val="-28"/>
          <w:sz w:val="20"/>
        </w:rPr>
        <w:t xml:space="preserve"> </w:t>
      </w:r>
      <w:r>
        <w:rPr>
          <w:color w:val="231F20"/>
          <w:sz w:val="20"/>
        </w:rPr>
        <w:t>and</w:t>
      </w:r>
    </w:p>
    <w:p w:rsidR="006A7A3F" w:rsidRDefault="00BC7372" w:rsidP="009B6917">
      <w:pPr>
        <w:pStyle w:val="ListParagraph"/>
        <w:numPr>
          <w:ilvl w:val="0"/>
          <w:numId w:val="1419"/>
        </w:numPr>
        <w:tabs>
          <w:tab w:val="left" w:pos="493"/>
          <w:tab w:val="left" w:pos="494"/>
        </w:tabs>
        <w:spacing w:before="86" w:line="249" w:lineRule="auto"/>
        <w:ind w:right="416"/>
        <w:rPr>
          <w:sz w:val="20"/>
        </w:rPr>
      </w:pPr>
      <w:r>
        <w:rPr>
          <w:color w:val="231F20"/>
          <w:sz w:val="20"/>
        </w:rPr>
        <w:t xml:space="preserve">filling the wetland for at least two months from late winter or early spring to connect the wetland to the Latrobe </w:t>
      </w:r>
      <w:r>
        <w:rPr>
          <w:color w:val="231F20"/>
          <w:spacing w:val="-3"/>
          <w:sz w:val="20"/>
        </w:rPr>
        <w:t xml:space="preserve">River, </w:t>
      </w:r>
      <w:r>
        <w:rPr>
          <w:color w:val="231F20"/>
          <w:sz w:val="20"/>
        </w:rPr>
        <w:t>stimulate the growth and recruitment of plant communities at the outer margins of the wetland and encourage waterbird breeding by providing appropriate nesting</w:t>
      </w:r>
      <w:r>
        <w:rPr>
          <w:color w:val="231F20"/>
          <w:spacing w:val="-13"/>
          <w:sz w:val="20"/>
        </w:rPr>
        <w:t xml:space="preserve"> </w:t>
      </w:r>
      <w:r>
        <w:rPr>
          <w:color w:val="231F20"/>
          <w:sz w:val="20"/>
        </w:rPr>
        <w:t>habitat.</w:t>
      </w:r>
    </w:p>
    <w:p w:rsidR="006A7A3F" w:rsidRDefault="00BC7372" w:rsidP="00BA18F7">
      <w:pPr>
        <w:pStyle w:val="BodyText"/>
        <w:spacing w:before="173" w:line="249" w:lineRule="auto"/>
        <w:ind w:right="596"/>
      </w:pPr>
      <w:r>
        <w:rPr>
          <w:color w:val="231F20"/>
        </w:rPr>
        <w:t>Further top-ups may be delivered in response to a significant waterbird breeding event, if needed to protect the nests from ground-based predators and to maintain adequate food resources for nesting adults and chicks.</w:t>
      </w:r>
      <w:r w:rsidR="00BA18F7">
        <w:t xml:space="preserve"> </w:t>
      </w:r>
      <w:r>
        <w:rPr>
          <w:color w:val="231F20"/>
        </w:rPr>
        <w:t>Maintaining a target water level of 0.3 m AHD will wet about half of Sale Common, and it is considered important for ecological communities that experienced</w:t>
      </w:r>
    </w:p>
    <w:p w:rsidR="006A7A3F" w:rsidRDefault="00BC7372" w:rsidP="00BA18F7">
      <w:pPr>
        <w:pStyle w:val="BodyText"/>
        <w:spacing w:before="3" w:line="249" w:lineRule="auto"/>
        <w:ind w:right="143"/>
      </w:pPr>
      <w:r>
        <w:rPr>
          <w:color w:val="231F20"/>
        </w:rPr>
        <w:t>near-complete drying in 2018–19 and 2019–20. These watering actions are planned to be delivered under all scenarios, where possible.</w:t>
      </w:r>
    </w:p>
    <w:p w:rsidR="006A7A3F" w:rsidRDefault="00BC7372">
      <w:pPr>
        <w:pStyle w:val="BodyText"/>
      </w:pPr>
      <w:r>
        <w:rPr>
          <w:color w:val="231F20"/>
        </w:rPr>
        <w:t>The preferred watering regime for Dowd Morass involves:</w:t>
      </w:r>
    </w:p>
    <w:p w:rsidR="006A7A3F" w:rsidRPr="0005678E" w:rsidRDefault="00BC7372" w:rsidP="009B6917">
      <w:pPr>
        <w:pStyle w:val="ListParagraph"/>
        <w:numPr>
          <w:ilvl w:val="0"/>
          <w:numId w:val="1419"/>
        </w:numPr>
        <w:tabs>
          <w:tab w:val="left" w:pos="493"/>
          <w:tab w:val="left" w:pos="494"/>
        </w:tabs>
        <w:spacing w:before="123"/>
        <w:ind w:hanging="281"/>
        <w:rPr>
          <w:sz w:val="20"/>
        </w:rPr>
      </w:pPr>
      <w:r>
        <w:rPr>
          <w:color w:val="231F20"/>
          <w:sz w:val="20"/>
        </w:rPr>
        <w:t>partially filling the wetland in autumn to maintain wetland plant communities and provide habitat and</w:t>
      </w:r>
      <w:r>
        <w:rPr>
          <w:color w:val="231F20"/>
          <w:spacing w:val="-32"/>
          <w:sz w:val="20"/>
        </w:rPr>
        <w:t xml:space="preserve"> </w:t>
      </w:r>
      <w:r>
        <w:rPr>
          <w:color w:val="231F20"/>
          <w:sz w:val="20"/>
        </w:rPr>
        <w:t>food</w:t>
      </w:r>
      <w:r w:rsidR="0005678E">
        <w:rPr>
          <w:color w:val="231F20"/>
          <w:sz w:val="20"/>
        </w:rPr>
        <w:t xml:space="preserve"> </w:t>
      </w:r>
      <w:r w:rsidRPr="0005678E">
        <w:rPr>
          <w:color w:val="231F20"/>
        </w:rPr>
        <w:t>resources for waterbirds, frogs and turtles</w:t>
      </w:r>
    </w:p>
    <w:p w:rsidR="006A7A3F" w:rsidRDefault="00BC7372" w:rsidP="009B6917">
      <w:pPr>
        <w:pStyle w:val="ListParagraph"/>
        <w:numPr>
          <w:ilvl w:val="0"/>
          <w:numId w:val="1419"/>
        </w:numPr>
        <w:tabs>
          <w:tab w:val="left" w:pos="494"/>
        </w:tabs>
        <w:spacing w:line="249" w:lineRule="auto"/>
        <w:ind w:right="628"/>
        <w:jc w:val="both"/>
        <w:rPr>
          <w:sz w:val="20"/>
        </w:rPr>
      </w:pPr>
      <w:r>
        <w:rPr>
          <w:color w:val="231F20"/>
          <w:sz w:val="20"/>
        </w:rPr>
        <w:t>filling the wetland in winter and spring to trigger waterbird breeding and improve the condition of streamside vegetation communities</w:t>
      </w:r>
    </w:p>
    <w:p w:rsidR="006A7A3F" w:rsidRDefault="00BC7372" w:rsidP="00BA18F7">
      <w:pPr>
        <w:pStyle w:val="ListParagraph"/>
        <w:numPr>
          <w:ilvl w:val="0"/>
          <w:numId w:val="1419"/>
        </w:numPr>
        <w:tabs>
          <w:tab w:val="left" w:pos="494"/>
        </w:tabs>
        <w:spacing w:before="87" w:line="249" w:lineRule="auto"/>
        <w:ind w:right="143"/>
        <w:jc w:val="both"/>
        <w:rPr>
          <w:sz w:val="20"/>
        </w:rPr>
      </w:pPr>
      <w:r>
        <w:rPr>
          <w:color w:val="231F20"/>
          <w:sz w:val="20"/>
        </w:rPr>
        <w:t>maintaining water at suitable levels through spring and summer to maintain habitat for aquatic plants and</w:t>
      </w:r>
      <w:r>
        <w:rPr>
          <w:color w:val="231F20"/>
          <w:spacing w:val="-2"/>
          <w:sz w:val="20"/>
        </w:rPr>
        <w:t xml:space="preserve"> </w:t>
      </w:r>
      <w:r>
        <w:rPr>
          <w:color w:val="231F20"/>
          <w:sz w:val="20"/>
        </w:rPr>
        <w:t>animals.</w:t>
      </w:r>
    </w:p>
    <w:p w:rsidR="006A7A3F" w:rsidRDefault="00BC7372">
      <w:pPr>
        <w:pStyle w:val="BodyText"/>
        <w:spacing w:before="173" w:line="249" w:lineRule="auto"/>
        <w:ind w:right="251"/>
      </w:pPr>
      <w:r>
        <w:rPr>
          <w:color w:val="231F20"/>
        </w:rPr>
        <w:t>Additional water may be delivered to Dowd Morass at any time of year as needed and as water levels in the Latrobe River allow, to manage high salinity (caused by king tides from Lake Wellington) or to help waterbirds successfully fledge. The preferred water regime is likely to be delivered under dry, average and wet scenarios, but flow in the Latrobe River may not be high enough to allow Dowd Morass to fill under a drought scenario. Waterbird breeding is also a lower priority under a drought scenario, because there are unlikely to be sufficient resources in the surrounding landscape to support chicks and juveniles.</w:t>
      </w:r>
    </w:p>
    <w:p w:rsidR="006A7A3F" w:rsidRDefault="00BC7372">
      <w:pPr>
        <w:pStyle w:val="BodyText"/>
        <w:spacing w:before="175"/>
      </w:pPr>
      <w:r>
        <w:rPr>
          <w:color w:val="231F20"/>
        </w:rPr>
        <w:t>The preferred water regime for Heart Morass involves:</w:t>
      </w:r>
    </w:p>
    <w:p w:rsidR="006A7A3F" w:rsidRDefault="00BC7372" w:rsidP="009B6917">
      <w:pPr>
        <w:pStyle w:val="ListParagraph"/>
        <w:numPr>
          <w:ilvl w:val="0"/>
          <w:numId w:val="1419"/>
        </w:numPr>
        <w:tabs>
          <w:tab w:val="left" w:pos="493"/>
          <w:tab w:val="left" w:pos="494"/>
        </w:tabs>
        <w:spacing w:before="123"/>
        <w:ind w:hanging="281"/>
        <w:rPr>
          <w:sz w:val="20"/>
        </w:rPr>
      </w:pPr>
      <w:r>
        <w:rPr>
          <w:color w:val="231F20"/>
          <w:sz w:val="20"/>
        </w:rPr>
        <w:t>maintaining water levels above -0.3 m AHD year round to prevent exposing acid sulfate</w:t>
      </w:r>
      <w:r>
        <w:rPr>
          <w:color w:val="231F20"/>
          <w:spacing w:val="-26"/>
          <w:sz w:val="20"/>
        </w:rPr>
        <w:t xml:space="preserve"> </w:t>
      </w:r>
      <w:r>
        <w:rPr>
          <w:color w:val="231F20"/>
          <w:sz w:val="20"/>
        </w:rPr>
        <w:t>soils</w:t>
      </w:r>
    </w:p>
    <w:p w:rsidR="006A7A3F" w:rsidRDefault="00BC7372" w:rsidP="009B6917">
      <w:pPr>
        <w:pStyle w:val="ListParagraph"/>
        <w:numPr>
          <w:ilvl w:val="0"/>
          <w:numId w:val="1419"/>
        </w:numPr>
        <w:tabs>
          <w:tab w:val="left" w:pos="493"/>
          <w:tab w:val="left" w:pos="494"/>
        </w:tabs>
        <w:spacing w:line="249" w:lineRule="auto"/>
        <w:ind w:right="250"/>
        <w:rPr>
          <w:sz w:val="20"/>
        </w:rPr>
      </w:pPr>
      <w:r>
        <w:rPr>
          <w:color w:val="231F20"/>
          <w:sz w:val="20"/>
        </w:rPr>
        <w:t>partially filling the wetland from winter through to early summer to support wetland plant communities, maintain habitat</w:t>
      </w:r>
      <w:r>
        <w:rPr>
          <w:color w:val="231F20"/>
          <w:spacing w:val="-5"/>
          <w:sz w:val="20"/>
        </w:rPr>
        <w:t xml:space="preserve"> </w:t>
      </w:r>
      <w:r>
        <w:rPr>
          <w:color w:val="231F20"/>
          <w:sz w:val="20"/>
        </w:rPr>
        <w:t>and</w:t>
      </w:r>
      <w:r>
        <w:rPr>
          <w:color w:val="231F20"/>
          <w:spacing w:val="-4"/>
          <w:sz w:val="20"/>
        </w:rPr>
        <w:t xml:space="preserve"> </w:t>
      </w:r>
      <w:r>
        <w:rPr>
          <w:color w:val="231F20"/>
          <w:sz w:val="20"/>
        </w:rPr>
        <w:t>food</w:t>
      </w:r>
      <w:r>
        <w:rPr>
          <w:color w:val="231F20"/>
          <w:spacing w:val="-4"/>
          <w:sz w:val="20"/>
        </w:rPr>
        <w:t xml:space="preserve"> </w:t>
      </w:r>
      <w:r>
        <w:rPr>
          <w:color w:val="231F20"/>
          <w:sz w:val="20"/>
        </w:rPr>
        <w:t>resources</w:t>
      </w:r>
      <w:r>
        <w:rPr>
          <w:color w:val="231F20"/>
          <w:spacing w:val="-3"/>
          <w:sz w:val="20"/>
        </w:rPr>
        <w:t xml:space="preserve"> </w:t>
      </w:r>
      <w:r>
        <w:rPr>
          <w:color w:val="231F20"/>
          <w:sz w:val="20"/>
        </w:rPr>
        <w:t>for</w:t>
      </w:r>
      <w:r>
        <w:rPr>
          <w:color w:val="231F20"/>
          <w:spacing w:val="-4"/>
          <w:sz w:val="20"/>
        </w:rPr>
        <w:t xml:space="preserve"> </w:t>
      </w:r>
      <w:r>
        <w:rPr>
          <w:color w:val="231F20"/>
          <w:sz w:val="20"/>
        </w:rPr>
        <w:t>frogs,</w:t>
      </w:r>
      <w:r>
        <w:rPr>
          <w:color w:val="231F20"/>
          <w:spacing w:val="-4"/>
          <w:sz w:val="20"/>
        </w:rPr>
        <w:t xml:space="preserve"> </w:t>
      </w:r>
      <w:r>
        <w:rPr>
          <w:color w:val="231F20"/>
          <w:sz w:val="20"/>
        </w:rPr>
        <w:t>turtles</w:t>
      </w:r>
      <w:r>
        <w:rPr>
          <w:color w:val="231F20"/>
          <w:spacing w:val="-3"/>
          <w:sz w:val="20"/>
        </w:rPr>
        <w:t xml:space="preserve"> </w:t>
      </w:r>
      <w:r>
        <w:rPr>
          <w:color w:val="231F20"/>
          <w:sz w:val="20"/>
        </w:rPr>
        <w:t>and</w:t>
      </w:r>
      <w:r>
        <w:rPr>
          <w:color w:val="231F20"/>
          <w:spacing w:val="-5"/>
          <w:sz w:val="20"/>
        </w:rPr>
        <w:t xml:space="preserve"> </w:t>
      </w:r>
      <w:r>
        <w:rPr>
          <w:color w:val="231F20"/>
          <w:sz w:val="20"/>
        </w:rPr>
        <w:t>waterbirds,</w:t>
      </w:r>
      <w:r>
        <w:rPr>
          <w:color w:val="231F20"/>
          <w:spacing w:val="-4"/>
          <w:sz w:val="20"/>
        </w:rPr>
        <w:t xml:space="preserve"> </w:t>
      </w:r>
      <w:r>
        <w:rPr>
          <w:color w:val="231F20"/>
          <w:sz w:val="20"/>
        </w:rPr>
        <w:t>and</w:t>
      </w:r>
      <w:r>
        <w:rPr>
          <w:color w:val="231F20"/>
          <w:spacing w:val="-5"/>
          <w:sz w:val="20"/>
        </w:rPr>
        <w:t xml:space="preserve"> </w:t>
      </w:r>
      <w:r>
        <w:rPr>
          <w:color w:val="231F20"/>
          <w:sz w:val="20"/>
        </w:rPr>
        <w:t>to</w:t>
      </w:r>
      <w:r>
        <w:rPr>
          <w:color w:val="231F20"/>
          <w:spacing w:val="-3"/>
          <w:sz w:val="20"/>
        </w:rPr>
        <w:t xml:space="preserve"> </w:t>
      </w:r>
      <w:r>
        <w:rPr>
          <w:color w:val="231F20"/>
          <w:sz w:val="20"/>
        </w:rPr>
        <w:t>provide</w:t>
      </w:r>
      <w:r>
        <w:rPr>
          <w:color w:val="231F20"/>
          <w:spacing w:val="-5"/>
          <w:sz w:val="20"/>
        </w:rPr>
        <w:t xml:space="preserve"> </w:t>
      </w:r>
      <w:r>
        <w:rPr>
          <w:color w:val="231F20"/>
          <w:sz w:val="20"/>
        </w:rPr>
        <w:t>breeding</w:t>
      </w:r>
      <w:r>
        <w:rPr>
          <w:color w:val="231F20"/>
          <w:spacing w:val="-4"/>
          <w:sz w:val="20"/>
        </w:rPr>
        <w:t xml:space="preserve"> </w:t>
      </w:r>
      <w:r>
        <w:rPr>
          <w:color w:val="231F20"/>
          <w:sz w:val="20"/>
        </w:rPr>
        <w:t>opportunities</w:t>
      </w:r>
      <w:r>
        <w:rPr>
          <w:color w:val="231F20"/>
          <w:spacing w:val="-4"/>
          <w:sz w:val="20"/>
        </w:rPr>
        <w:t xml:space="preserve"> </w:t>
      </w:r>
      <w:r>
        <w:rPr>
          <w:color w:val="231F20"/>
          <w:sz w:val="20"/>
        </w:rPr>
        <w:t>for</w:t>
      </w:r>
      <w:r>
        <w:rPr>
          <w:color w:val="231F20"/>
          <w:spacing w:val="-4"/>
          <w:sz w:val="20"/>
        </w:rPr>
        <w:t xml:space="preserve"> </w:t>
      </w:r>
      <w:r>
        <w:rPr>
          <w:color w:val="231F20"/>
          <w:sz w:val="20"/>
        </w:rPr>
        <w:t>waterbirds</w:t>
      </w:r>
    </w:p>
    <w:p w:rsidR="006A7A3F" w:rsidRDefault="00BC7372" w:rsidP="009B6917">
      <w:pPr>
        <w:pStyle w:val="ListParagraph"/>
        <w:numPr>
          <w:ilvl w:val="0"/>
          <w:numId w:val="1419"/>
        </w:numPr>
        <w:tabs>
          <w:tab w:val="left" w:pos="493"/>
          <w:tab w:val="left" w:pos="494"/>
        </w:tabs>
        <w:spacing w:before="87" w:line="249" w:lineRule="auto"/>
        <w:ind w:right="629"/>
        <w:rPr>
          <w:sz w:val="20"/>
        </w:rPr>
      </w:pPr>
      <w:r>
        <w:rPr>
          <w:color w:val="231F20"/>
          <w:sz w:val="20"/>
        </w:rPr>
        <w:t>briefly filling the wetland to allow a partial flush during a winter/spring high flow event in the Latrobe River to remove accumulated salt and</w:t>
      </w:r>
      <w:r>
        <w:rPr>
          <w:color w:val="231F20"/>
          <w:spacing w:val="-3"/>
          <w:sz w:val="20"/>
        </w:rPr>
        <w:t xml:space="preserve"> </w:t>
      </w:r>
      <w:r>
        <w:rPr>
          <w:color w:val="231F20"/>
          <w:sz w:val="20"/>
        </w:rPr>
        <w:t>sulphides.</w:t>
      </w:r>
    </w:p>
    <w:p w:rsidR="006A7A3F" w:rsidRDefault="00BC7372">
      <w:pPr>
        <w:pStyle w:val="BodyText"/>
        <w:spacing w:before="171" w:line="249" w:lineRule="auto"/>
        <w:ind w:right="423"/>
      </w:pPr>
      <w:r>
        <w:rPr>
          <w:color w:val="231F20"/>
        </w:rPr>
        <w:t xml:space="preserve">Additional water may be delivered to Heart Morass at any time of year as needed and as water levels in the Latrobe River </w:t>
      </w:r>
      <w:r>
        <w:rPr>
          <w:color w:val="231F20"/>
          <w:spacing w:val="-3"/>
        </w:rPr>
        <w:t xml:space="preserve">allow, </w:t>
      </w:r>
      <w:r>
        <w:rPr>
          <w:color w:val="231F20"/>
        </w:rPr>
        <w:t xml:space="preserve">to control water quality — that is, to respond to a low pH or a high-salinity event — or to help waterbirds successfully fledge. </w:t>
      </w:r>
      <w:r>
        <w:rPr>
          <w:color w:val="231F20"/>
          <w:spacing w:val="-3"/>
        </w:rPr>
        <w:t xml:space="preserve">Water </w:t>
      </w:r>
      <w:r>
        <w:rPr>
          <w:color w:val="231F20"/>
        </w:rPr>
        <w:t>levels in the Latrobe River are not expected to be high enough to support  a partial flush of Heart Morass under a drought scenario, and under a wet scenario the partial flush is likely to be replaced by a natural flood that will flush the whole</w:t>
      </w:r>
      <w:r>
        <w:rPr>
          <w:color w:val="231F20"/>
          <w:spacing w:val="-8"/>
        </w:rPr>
        <w:t xml:space="preserve"> </w:t>
      </w:r>
      <w:r>
        <w:rPr>
          <w:color w:val="231F20"/>
        </w:rPr>
        <w:t>wetland.</w:t>
      </w:r>
    </w:p>
    <w:p w:rsidR="00BA18F7" w:rsidRDefault="00BA18F7">
      <w:pPr>
        <w:rPr>
          <w:b/>
          <w:color w:val="231F20"/>
          <w:sz w:val="18"/>
        </w:rPr>
      </w:pPr>
      <w:r>
        <w:rPr>
          <w:b/>
          <w:color w:val="231F20"/>
          <w:sz w:val="18"/>
        </w:rPr>
        <w:br w:type="page"/>
      </w:r>
    </w:p>
    <w:p w:rsidR="006A7A3F" w:rsidRDefault="00BC7372">
      <w:pPr>
        <w:spacing w:before="169"/>
        <w:ind w:left="210"/>
        <w:rPr>
          <w:b/>
          <w:color w:val="231F20"/>
          <w:sz w:val="18"/>
        </w:rPr>
      </w:pPr>
      <w:r>
        <w:rPr>
          <w:b/>
          <w:color w:val="231F20"/>
          <w:sz w:val="18"/>
        </w:rPr>
        <w:t>Table 2.2.4 Potential environmental watering for the lower Latrobe wetlands under a range of planning scenarios</w:t>
      </w: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817C2F" w:rsidTr="002840E5">
        <w:trPr>
          <w:trHeight w:val="367"/>
        </w:trPr>
        <w:tc>
          <w:tcPr>
            <w:tcW w:w="2041" w:type="dxa"/>
            <w:tcBorders>
              <w:top w:val="nil"/>
              <w:left w:val="nil"/>
              <w:bottom w:val="nil"/>
            </w:tcBorders>
            <w:shd w:val="clear" w:color="auto" w:fill="231F20"/>
          </w:tcPr>
          <w:p w:rsidR="00817C2F" w:rsidRDefault="00817C2F" w:rsidP="002840E5">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817C2F" w:rsidRDefault="00817C2F" w:rsidP="002840E5">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817C2F" w:rsidRDefault="00817C2F" w:rsidP="002840E5">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817C2F" w:rsidRDefault="00817C2F" w:rsidP="002840E5">
            <w:pPr>
              <w:pStyle w:val="TableParagraph"/>
              <w:spacing w:before="80"/>
              <w:ind w:left="84"/>
              <w:rPr>
                <w:b/>
                <w:sz w:val="18"/>
              </w:rPr>
            </w:pPr>
            <w:r>
              <w:rPr>
                <w:b/>
                <w:color w:val="FFFFFF"/>
                <w:sz w:val="18"/>
              </w:rPr>
              <w:t>Average</w:t>
            </w:r>
          </w:p>
        </w:tc>
        <w:tc>
          <w:tcPr>
            <w:tcW w:w="2041" w:type="dxa"/>
            <w:tcBorders>
              <w:top w:val="nil"/>
              <w:bottom w:val="nil"/>
            </w:tcBorders>
            <w:shd w:val="clear" w:color="auto" w:fill="231F20"/>
          </w:tcPr>
          <w:p w:rsidR="00817C2F" w:rsidRDefault="00817C2F" w:rsidP="002840E5">
            <w:pPr>
              <w:pStyle w:val="TableParagraph"/>
              <w:spacing w:before="80"/>
              <w:ind w:left="84"/>
              <w:rPr>
                <w:b/>
                <w:sz w:val="18"/>
              </w:rPr>
            </w:pPr>
            <w:r>
              <w:rPr>
                <w:b/>
                <w:color w:val="FFFFFF"/>
                <w:sz w:val="18"/>
              </w:rPr>
              <w:t>Wet</w:t>
            </w:r>
          </w:p>
        </w:tc>
      </w:tr>
      <w:tr w:rsidR="00817C2F" w:rsidTr="002840E5">
        <w:trPr>
          <w:trHeight w:val="1744"/>
        </w:trPr>
        <w:tc>
          <w:tcPr>
            <w:tcW w:w="2041" w:type="dxa"/>
            <w:tcBorders>
              <w:top w:val="nil"/>
              <w:left w:val="single" w:sz="4" w:space="0" w:color="231F20"/>
              <w:bottom w:val="single" w:sz="4" w:space="0" w:color="231F20"/>
              <w:right w:val="single" w:sz="4" w:space="0" w:color="231F20"/>
            </w:tcBorders>
          </w:tcPr>
          <w:p w:rsidR="00817C2F" w:rsidRDefault="00817C2F" w:rsidP="002840E5">
            <w:pPr>
              <w:pStyle w:val="TableParagraph"/>
              <w:spacing w:before="74"/>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817C2F" w:rsidRPr="00817C2F" w:rsidRDefault="00817C2F" w:rsidP="002840E5">
            <w:pPr>
              <w:pStyle w:val="TableParagraph"/>
              <w:numPr>
                <w:ilvl w:val="0"/>
                <w:numId w:val="1334"/>
              </w:numPr>
              <w:tabs>
                <w:tab w:val="left" w:pos="305"/>
              </w:tabs>
              <w:spacing w:before="70" w:line="254" w:lineRule="auto"/>
              <w:ind w:right="153"/>
              <w:rPr>
                <w:sz w:val="16"/>
                <w:szCs w:val="16"/>
              </w:rPr>
            </w:pPr>
            <w:r w:rsidRPr="00817C2F">
              <w:rPr>
                <w:color w:val="231F20"/>
                <w:sz w:val="16"/>
                <w:szCs w:val="16"/>
              </w:rPr>
              <w:t xml:space="preserve">No natural inflows from the Latrobe </w:t>
            </w:r>
            <w:r w:rsidRPr="00817C2F">
              <w:rPr>
                <w:color w:val="231F20"/>
                <w:spacing w:val="-3"/>
                <w:sz w:val="16"/>
                <w:szCs w:val="16"/>
              </w:rPr>
              <w:t xml:space="preserve">River, </w:t>
            </w:r>
            <w:r w:rsidRPr="00817C2F">
              <w:rPr>
                <w:color w:val="231F20"/>
                <w:sz w:val="16"/>
                <w:szCs w:val="16"/>
              </w:rPr>
              <w:t>and wetlands are likely to dry completely</w:t>
            </w:r>
          </w:p>
        </w:tc>
        <w:tc>
          <w:tcPr>
            <w:tcW w:w="2041" w:type="dxa"/>
            <w:tcBorders>
              <w:top w:val="nil"/>
              <w:left w:val="single" w:sz="4" w:space="0" w:color="231F20"/>
              <w:bottom w:val="single" w:sz="4" w:space="0" w:color="231F20"/>
              <w:right w:val="single" w:sz="4" w:space="0" w:color="231F20"/>
            </w:tcBorders>
          </w:tcPr>
          <w:p w:rsidR="00817C2F" w:rsidRPr="00817C2F" w:rsidRDefault="00817C2F" w:rsidP="002840E5">
            <w:pPr>
              <w:pStyle w:val="TableParagraph"/>
              <w:numPr>
                <w:ilvl w:val="0"/>
                <w:numId w:val="1333"/>
              </w:numPr>
              <w:tabs>
                <w:tab w:val="left" w:pos="305"/>
              </w:tabs>
              <w:spacing w:before="70" w:line="254" w:lineRule="auto"/>
              <w:ind w:right="74"/>
              <w:rPr>
                <w:sz w:val="16"/>
                <w:szCs w:val="16"/>
              </w:rPr>
            </w:pPr>
            <w:r w:rsidRPr="00817C2F">
              <w:rPr>
                <w:color w:val="231F20"/>
                <w:sz w:val="16"/>
                <w:szCs w:val="16"/>
              </w:rPr>
              <w:t>Minor natural inflows from the Latrobe River in winter/ spring; expect moderate-to- substantial drying in summer</w:t>
            </w:r>
          </w:p>
        </w:tc>
        <w:tc>
          <w:tcPr>
            <w:tcW w:w="2041" w:type="dxa"/>
            <w:tcBorders>
              <w:top w:val="nil"/>
              <w:left w:val="single" w:sz="4" w:space="0" w:color="231F20"/>
              <w:bottom w:val="single" w:sz="4" w:space="0" w:color="231F20"/>
              <w:right w:val="single" w:sz="4" w:space="0" w:color="231F20"/>
            </w:tcBorders>
          </w:tcPr>
          <w:p w:rsidR="00817C2F" w:rsidRPr="00817C2F" w:rsidRDefault="00817C2F" w:rsidP="002840E5">
            <w:pPr>
              <w:pStyle w:val="TableParagraph"/>
              <w:numPr>
                <w:ilvl w:val="0"/>
                <w:numId w:val="1332"/>
              </w:numPr>
              <w:tabs>
                <w:tab w:val="left" w:pos="305"/>
              </w:tabs>
              <w:spacing w:before="70" w:line="254" w:lineRule="auto"/>
              <w:ind w:right="83"/>
              <w:rPr>
                <w:sz w:val="16"/>
                <w:szCs w:val="16"/>
              </w:rPr>
            </w:pPr>
            <w:r w:rsidRPr="00817C2F">
              <w:rPr>
                <w:color w:val="231F20"/>
                <w:sz w:val="16"/>
                <w:szCs w:val="16"/>
              </w:rPr>
              <w:t>Moderate winter/ spring flows in the Latrobe River likely to fill or partially fill the wetlands; expect minor drying in summer</w:t>
            </w:r>
          </w:p>
        </w:tc>
        <w:tc>
          <w:tcPr>
            <w:tcW w:w="2041" w:type="dxa"/>
            <w:tcBorders>
              <w:top w:val="nil"/>
              <w:left w:val="single" w:sz="4" w:space="0" w:color="231F20"/>
              <w:bottom w:val="single" w:sz="4" w:space="0" w:color="231F20"/>
              <w:right w:val="single" w:sz="4" w:space="0" w:color="231F20"/>
            </w:tcBorders>
          </w:tcPr>
          <w:p w:rsidR="00817C2F" w:rsidRPr="00817C2F" w:rsidRDefault="00817C2F" w:rsidP="002840E5">
            <w:pPr>
              <w:pStyle w:val="TableParagraph"/>
              <w:numPr>
                <w:ilvl w:val="0"/>
                <w:numId w:val="1331"/>
              </w:numPr>
              <w:tabs>
                <w:tab w:val="left" w:pos="305"/>
              </w:tabs>
              <w:spacing w:before="70" w:line="254" w:lineRule="auto"/>
              <w:ind w:right="284"/>
              <w:rPr>
                <w:sz w:val="16"/>
                <w:szCs w:val="16"/>
              </w:rPr>
            </w:pPr>
            <w:r w:rsidRPr="00817C2F">
              <w:rPr>
                <w:color w:val="231F20"/>
                <w:sz w:val="16"/>
                <w:szCs w:val="16"/>
              </w:rPr>
              <w:t>Major flows in the Latrobe River in winter/spring and possibly autumn/ winter likely to fill all wetlands with very little drying in summer</w:t>
            </w:r>
          </w:p>
        </w:tc>
      </w:tr>
      <w:tr w:rsidR="00817C2F" w:rsidTr="002840E5">
        <w:trPr>
          <w:trHeight w:val="333"/>
        </w:trPr>
        <w:tc>
          <w:tcPr>
            <w:tcW w:w="10205" w:type="dxa"/>
            <w:gridSpan w:val="5"/>
            <w:tcBorders>
              <w:top w:val="single" w:sz="4" w:space="0" w:color="231F20"/>
              <w:left w:val="single" w:sz="4" w:space="0" w:color="231F20"/>
              <w:bottom w:val="single" w:sz="4" w:space="0" w:color="231F20"/>
              <w:right w:val="single" w:sz="4" w:space="0" w:color="231F20"/>
            </w:tcBorders>
            <w:shd w:val="clear" w:color="auto" w:fill="E6E7E8"/>
          </w:tcPr>
          <w:p w:rsidR="00817C2F" w:rsidRPr="00817C2F" w:rsidRDefault="00817C2F" w:rsidP="002840E5">
            <w:pPr>
              <w:pStyle w:val="TableParagraph"/>
              <w:ind w:left="0"/>
              <w:rPr>
                <w:rFonts w:ascii="Times New Roman"/>
                <w:sz w:val="16"/>
                <w:szCs w:val="16"/>
              </w:rPr>
            </w:pPr>
            <w:r>
              <w:rPr>
                <w:b/>
                <w:color w:val="231F20"/>
                <w:sz w:val="16"/>
              </w:rPr>
              <w:t>Sale Common</w:t>
            </w:r>
          </w:p>
        </w:tc>
      </w:tr>
      <w:tr w:rsidR="00817C2F" w:rsidTr="002840E5">
        <w:trPr>
          <w:trHeight w:val="957"/>
        </w:trPr>
        <w:tc>
          <w:tcPr>
            <w:tcW w:w="2041" w:type="dxa"/>
            <w:tcBorders>
              <w:top w:val="single" w:sz="4" w:space="0" w:color="231F20"/>
              <w:left w:val="single" w:sz="4" w:space="0" w:color="231F20"/>
              <w:bottom w:val="single" w:sz="4" w:space="0" w:color="231F20"/>
              <w:right w:val="single" w:sz="4" w:space="0" w:color="231F20"/>
            </w:tcBorders>
          </w:tcPr>
          <w:p w:rsidR="00817C2F" w:rsidRDefault="00817C2F" w:rsidP="002840E5">
            <w:pPr>
              <w:pStyle w:val="TableParagraph"/>
              <w:spacing w:before="74" w:line="261" w:lineRule="auto"/>
              <w:ind w:left="85" w:right="253"/>
              <w:rPr>
                <w:sz w:val="9"/>
              </w:rPr>
            </w:pPr>
            <w:r>
              <w:rPr>
                <w:color w:val="231F20"/>
                <w:sz w:val="16"/>
              </w:rPr>
              <w:t>Potential environmental watering – tier 1 (high priorities)</w:t>
            </w:r>
            <w:r>
              <w:rPr>
                <w:color w:val="231F20"/>
                <w:position w:val="5"/>
                <w:sz w:val="9"/>
              </w:rPr>
              <w:t>1</w:t>
            </w:r>
          </w:p>
        </w:tc>
        <w:tc>
          <w:tcPr>
            <w:tcW w:w="8164" w:type="dxa"/>
            <w:gridSpan w:val="4"/>
            <w:tcBorders>
              <w:top w:val="single" w:sz="4" w:space="0" w:color="231F20"/>
              <w:left w:val="single" w:sz="4" w:space="0" w:color="231F20"/>
              <w:bottom w:val="single" w:sz="4" w:space="0" w:color="231F20"/>
              <w:right w:val="single" w:sz="4" w:space="0" w:color="231F20"/>
            </w:tcBorders>
          </w:tcPr>
          <w:p w:rsidR="00817C2F" w:rsidRPr="00817C2F" w:rsidRDefault="00817C2F" w:rsidP="002840E5">
            <w:pPr>
              <w:pStyle w:val="TableParagraph"/>
              <w:numPr>
                <w:ilvl w:val="0"/>
                <w:numId w:val="1330"/>
              </w:numPr>
              <w:tabs>
                <w:tab w:val="left" w:pos="305"/>
              </w:tabs>
              <w:spacing w:before="70"/>
              <w:rPr>
                <w:sz w:val="16"/>
                <w:szCs w:val="16"/>
              </w:rPr>
            </w:pPr>
            <w:r w:rsidRPr="00817C2F">
              <w:rPr>
                <w:color w:val="231F20"/>
                <w:sz w:val="16"/>
                <w:szCs w:val="16"/>
              </w:rPr>
              <w:t>Partial</w:t>
            </w:r>
            <w:r w:rsidRPr="00817C2F">
              <w:rPr>
                <w:color w:val="231F20"/>
                <w:spacing w:val="-2"/>
                <w:sz w:val="16"/>
                <w:szCs w:val="16"/>
              </w:rPr>
              <w:t xml:space="preserve"> </w:t>
            </w:r>
            <w:r w:rsidRPr="00817C2F">
              <w:rPr>
                <w:color w:val="231F20"/>
                <w:sz w:val="16"/>
                <w:szCs w:val="16"/>
              </w:rPr>
              <w:t>fill</w:t>
            </w:r>
            <w:r w:rsidRPr="00817C2F">
              <w:rPr>
                <w:color w:val="231F20"/>
                <w:spacing w:val="-2"/>
                <w:sz w:val="16"/>
                <w:szCs w:val="16"/>
              </w:rPr>
              <w:t xml:space="preserve"> </w:t>
            </w:r>
            <w:r w:rsidRPr="00817C2F">
              <w:rPr>
                <w:color w:val="231F20"/>
                <w:sz w:val="16"/>
                <w:szCs w:val="16"/>
              </w:rPr>
              <w:t>(during</w:t>
            </w:r>
            <w:r w:rsidRPr="00817C2F">
              <w:rPr>
                <w:color w:val="231F20"/>
                <w:spacing w:val="-2"/>
                <w:sz w:val="16"/>
                <w:szCs w:val="16"/>
              </w:rPr>
              <w:t xml:space="preserve"> </w:t>
            </w:r>
            <w:r w:rsidRPr="00817C2F">
              <w:rPr>
                <w:color w:val="231F20"/>
                <w:sz w:val="16"/>
                <w:szCs w:val="16"/>
              </w:rPr>
              <w:t>July</w:t>
            </w:r>
            <w:r w:rsidRPr="00817C2F">
              <w:rPr>
                <w:color w:val="231F20"/>
                <w:spacing w:val="-2"/>
                <w:sz w:val="16"/>
                <w:szCs w:val="16"/>
              </w:rPr>
              <w:t xml:space="preserve"> </w:t>
            </w:r>
            <w:r w:rsidRPr="00817C2F">
              <w:rPr>
                <w:color w:val="231F20"/>
                <w:sz w:val="16"/>
                <w:szCs w:val="16"/>
              </w:rPr>
              <w:t>to</w:t>
            </w:r>
            <w:r w:rsidRPr="00817C2F">
              <w:rPr>
                <w:color w:val="231F20"/>
                <w:spacing w:val="-2"/>
                <w:sz w:val="16"/>
                <w:szCs w:val="16"/>
              </w:rPr>
              <w:t xml:space="preserve"> </w:t>
            </w:r>
            <w:r w:rsidRPr="00817C2F">
              <w:rPr>
                <w:color w:val="231F20"/>
                <w:sz w:val="16"/>
                <w:szCs w:val="16"/>
              </w:rPr>
              <w:t>December,</w:t>
            </w:r>
            <w:r w:rsidRPr="00817C2F">
              <w:rPr>
                <w:color w:val="231F20"/>
                <w:spacing w:val="-2"/>
                <w:sz w:val="16"/>
                <w:szCs w:val="16"/>
              </w:rPr>
              <w:t xml:space="preserve"> </w:t>
            </w:r>
            <w:r w:rsidRPr="00817C2F">
              <w:rPr>
                <w:color w:val="231F20"/>
                <w:sz w:val="16"/>
                <w:szCs w:val="16"/>
              </w:rPr>
              <w:t>with</w:t>
            </w:r>
            <w:r w:rsidRPr="00817C2F">
              <w:rPr>
                <w:color w:val="231F20"/>
                <w:spacing w:val="-3"/>
                <w:sz w:val="16"/>
                <w:szCs w:val="16"/>
              </w:rPr>
              <w:t xml:space="preserve"> </w:t>
            </w:r>
            <w:r w:rsidRPr="00817C2F">
              <w:rPr>
                <w:color w:val="231F20"/>
                <w:sz w:val="16"/>
                <w:szCs w:val="16"/>
              </w:rPr>
              <w:t>top-ups</w:t>
            </w:r>
            <w:r w:rsidRPr="00817C2F">
              <w:rPr>
                <w:color w:val="231F20"/>
                <w:spacing w:val="-2"/>
                <w:sz w:val="16"/>
                <w:szCs w:val="16"/>
              </w:rPr>
              <w:t xml:space="preserve"> </w:t>
            </w:r>
            <w:r w:rsidRPr="00817C2F">
              <w:rPr>
                <w:color w:val="231F20"/>
                <w:sz w:val="16"/>
                <w:szCs w:val="16"/>
              </w:rPr>
              <w:t>as</w:t>
            </w:r>
            <w:r w:rsidRPr="00817C2F">
              <w:rPr>
                <w:color w:val="231F20"/>
                <w:spacing w:val="-2"/>
                <w:sz w:val="16"/>
                <w:szCs w:val="16"/>
              </w:rPr>
              <w:t xml:space="preserve"> </w:t>
            </w:r>
            <w:r w:rsidRPr="00817C2F">
              <w:rPr>
                <w:color w:val="231F20"/>
                <w:sz w:val="16"/>
                <w:szCs w:val="16"/>
              </w:rPr>
              <w:t>required</w:t>
            </w:r>
            <w:r w:rsidRPr="00817C2F">
              <w:rPr>
                <w:color w:val="231F20"/>
                <w:spacing w:val="-2"/>
                <w:sz w:val="16"/>
                <w:szCs w:val="16"/>
              </w:rPr>
              <w:t xml:space="preserve"> </w:t>
            </w:r>
            <w:r w:rsidRPr="00817C2F">
              <w:rPr>
                <w:color w:val="231F20"/>
                <w:sz w:val="16"/>
                <w:szCs w:val="16"/>
              </w:rPr>
              <w:t>to</w:t>
            </w:r>
            <w:r w:rsidRPr="00817C2F">
              <w:rPr>
                <w:color w:val="231F20"/>
                <w:spacing w:val="-2"/>
                <w:sz w:val="16"/>
                <w:szCs w:val="16"/>
              </w:rPr>
              <w:t xml:space="preserve"> </w:t>
            </w:r>
            <w:r w:rsidRPr="00817C2F">
              <w:rPr>
                <w:color w:val="231F20"/>
                <w:sz w:val="16"/>
                <w:szCs w:val="16"/>
              </w:rPr>
              <w:t>maintain</w:t>
            </w:r>
            <w:r w:rsidRPr="00817C2F">
              <w:rPr>
                <w:color w:val="231F20"/>
                <w:spacing w:val="-2"/>
                <w:sz w:val="16"/>
                <w:szCs w:val="16"/>
              </w:rPr>
              <w:t xml:space="preserve"> </w:t>
            </w:r>
            <w:r w:rsidRPr="00817C2F">
              <w:rPr>
                <w:color w:val="231F20"/>
                <w:sz w:val="16"/>
                <w:szCs w:val="16"/>
              </w:rPr>
              <w:t>height</w:t>
            </w:r>
            <w:r w:rsidRPr="00817C2F">
              <w:rPr>
                <w:color w:val="231F20"/>
                <w:spacing w:val="-3"/>
                <w:sz w:val="16"/>
                <w:szCs w:val="16"/>
              </w:rPr>
              <w:t xml:space="preserve"> </w:t>
            </w:r>
            <w:r w:rsidRPr="00817C2F">
              <w:rPr>
                <w:color w:val="231F20"/>
                <w:sz w:val="16"/>
                <w:szCs w:val="16"/>
              </w:rPr>
              <w:t>above</w:t>
            </w:r>
            <w:r w:rsidRPr="00817C2F">
              <w:rPr>
                <w:color w:val="231F20"/>
                <w:spacing w:val="-3"/>
                <w:sz w:val="16"/>
                <w:szCs w:val="16"/>
              </w:rPr>
              <w:t xml:space="preserve"> </w:t>
            </w:r>
            <w:r w:rsidRPr="00817C2F">
              <w:rPr>
                <w:color w:val="231F20"/>
                <w:sz w:val="16"/>
                <w:szCs w:val="16"/>
              </w:rPr>
              <w:t>0.3m</w:t>
            </w:r>
            <w:r w:rsidRPr="00817C2F">
              <w:rPr>
                <w:color w:val="231F20"/>
                <w:spacing w:val="-11"/>
                <w:sz w:val="16"/>
                <w:szCs w:val="16"/>
              </w:rPr>
              <w:t xml:space="preserve"> </w:t>
            </w:r>
            <w:r w:rsidRPr="00817C2F">
              <w:rPr>
                <w:color w:val="231F20"/>
                <w:sz w:val="16"/>
                <w:szCs w:val="16"/>
              </w:rPr>
              <w:t>AHD)</w:t>
            </w:r>
          </w:p>
          <w:p w:rsidR="00817C2F" w:rsidRPr="00817C2F" w:rsidRDefault="00817C2F" w:rsidP="002840E5">
            <w:pPr>
              <w:pStyle w:val="TableParagraph"/>
              <w:numPr>
                <w:ilvl w:val="0"/>
                <w:numId w:val="1330"/>
              </w:numPr>
              <w:tabs>
                <w:tab w:val="left" w:pos="305"/>
              </w:tabs>
              <w:spacing w:before="98"/>
              <w:rPr>
                <w:sz w:val="16"/>
                <w:szCs w:val="16"/>
              </w:rPr>
            </w:pPr>
            <w:r w:rsidRPr="00817C2F">
              <w:rPr>
                <w:color w:val="231F20"/>
                <w:sz w:val="16"/>
                <w:szCs w:val="16"/>
              </w:rPr>
              <w:t>Fill (during August to</w:t>
            </w:r>
            <w:r w:rsidRPr="00817C2F">
              <w:rPr>
                <w:color w:val="231F20"/>
                <w:spacing w:val="-11"/>
                <w:sz w:val="16"/>
                <w:szCs w:val="16"/>
              </w:rPr>
              <w:t xml:space="preserve"> </w:t>
            </w:r>
            <w:r w:rsidRPr="00817C2F">
              <w:rPr>
                <w:color w:val="231F20"/>
                <w:sz w:val="16"/>
                <w:szCs w:val="16"/>
              </w:rPr>
              <w:t>November)</w:t>
            </w:r>
          </w:p>
          <w:p w:rsidR="00817C2F" w:rsidRPr="00817C2F" w:rsidRDefault="00817C2F" w:rsidP="002840E5">
            <w:pPr>
              <w:pStyle w:val="TableParagraph"/>
              <w:numPr>
                <w:ilvl w:val="0"/>
                <w:numId w:val="1330"/>
              </w:numPr>
              <w:tabs>
                <w:tab w:val="left" w:pos="305"/>
              </w:tabs>
              <w:spacing w:before="98"/>
              <w:rPr>
                <w:sz w:val="16"/>
                <w:szCs w:val="16"/>
              </w:rPr>
            </w:pPr>
            <w:r w:rsidRPr="00817C2F">
              <w:rPr>
                <w:color w:val="231F20"/>
                <w:spacing w:val="-4"/>
                <w:sz w:val="16"/>
                <w:szCs w:val="16"/>
              </w:rPr>
              <w:t xml:space="preserve">Top-up </w:t>
            </w:r>
            <w:r w:rsidRPr="00817C2F">
              <w:rPr>
                <w:color w:val="231F20"/>
                <w:sz w:val="16"/>
                <w:szCs w:val="16"/>
              </w:rPr>
              <w:t>(anytime, following bird</w:t>
            </w:r>
            <w:r w:rsidRPr="00817C2F">
              <w:rPr>
                <w:color w:val="231F20"/>
                <w:spacing w:val="1"/>
                <w:sz w:val="16"/>
                <w:szCs w:val="16"/>
              </w:rPr>
              <w:t xml:space="preserve"> </w:t>
            </w:r>
            <w:r w:rsidRPr="00817C2F">
              <w:rPr>
                <w:color w:val="231F20"/>
                <w:sz w:val="16"/>
                <w:szCs w:val="16"/>
              </w:rPr>
              <w:t>breeding)</w:t>
            </w:r>
          </w:p>
        </w:tc>
      </w:tr>
      <w:tr w:rsidR="00817C2F" w:rsidTr="002840E5">
        <w:trPr>
          <w:trHeight w:val="333"/>
        </w:trPr>
        <w:tc>
          <w:tcPr>
            <w:tcW w:w="10205" w:type="dxa"/>
            <w:gridSpan w:val="5"/>
            <w:tcBorders>
              <w:top w:val="single" w:sz="4" w:space="0" w:color="231F20"/>
              <w:left w:val="single" w:sz="4" w:space="0" w:color="231F20"/>
              <w:bottom w:val="single" w:sz="4" w:space="0" w:color="231F20"/>
              <w:right w:val="single" w:sz="4" w:space="0" w:color="231F20"/>
            </w:tcBorders>
            <w:shd w:val="clear" w:color="auto" w:fill="E6E7E8"/>
          </w:tcPr>
          <w:p w:rsidR="00817C2F" w:rsidRPr="00817C2F" w:rsidRDefault="00817C2F" w:rsidP="002840E5">
            <w:pPr>
              <w:pStyle w:val="TableParagraph"/>
              <w:ind w:left="0"/>
              <w:rPr>
                <w:rFonts w:ascii="Times New Roman"/>
                <w:sz w:val="16"/>
                <w:szCs w:val="16"/>
              </w:rPr>
            </w:pPr>
            <w:r>
              <w:rPr>
                <w:b/>
                <w:color w:val="231F20"/>
                <w:sz w:val="16"/>
              </w:rPr>
              <w:t>Dowd Morass</w:t>
            </w:r>
          </w:p>
        </w:tc>
      </w:tr>
      <w:tr w:rsidR="00817C2F" w:rsidTr="002840E5">
        <w:trPr>
          <w:trHeight w:val="1725"/>
        </w:trPr>
        <w:tc>
          <w:tcPr>
            <w:tcW w:w="2041" w:type="dxa"/>
            <w:tcBorders>
              <w:top w:val="single" w:sz="4" w:space="0" w:color="231F20"/>
              <w:left w:val="single" w:sz="4" w:space="0" w:color="231F20"/>
              <w:bottom w:val="single" w:sz="4" w:space="0" w:color="231F20"/>
              <w:right w:val="single" w:sz="4" w:space="0" w:color="231F20"/>
            </w:tcBorders>
          </w:tcPr>
          <w:p w:rsidR="00817C2F" w:rsidRDefault="00817C2F" w:rsidP="002840E5">
            <w:pPr>
              <w:pStyle w:val="TableParagraph"/>
              <w:spacing w:before="74" w:line="261" w:lineRule="auto"/>
              <w:ind w:left="85" w:right="253"/>
              <w:rPr>
                <w:sz w:val="9"/>
              </w:rPr>
            </w:pPr>
            <w:r>
              <w:rPr>
                <w:color w:val="231F20"/>
                <w:sz w:val="16"/>
              </w:rPr>
              <w:t>Potential environmental watering – tier 1 (high priorities)</w:t>
            </w:r>
            <w:r>
              <w:rPr>
                <w:color w:val="231F20"/>
                <w:position w:val="5"/>
                <w:sz w:val="9"/>
              </w:rPr>
              <w:t>1</w:t>
            </w:r>
          </w:p>
        </w:tc>
        <w:tc>
          <w:tcPr>
            <w:tcW w:w="2041" w:type="dxa"/>
            <w:tcBorders>
              <w:top w:val="single" w:sz="4" w:space="0" w:color="231F20"/>
              <w:left w:val="single" w:sz="4" w:space="0" w:color="231F20"/>
              <w:bottom w:val="single" w:sz="4" w:space="0" w:color="231F20"/>
              <w:right w:val="single" w:sz="4" w:space="0" w:color="231F20"/>
            </w:tcBorders>
          </w:tcPr>
          <w:p w:rsidR="00817C2F" w:rsidRPr="00817C2F" w:rsidRDefault="00817C2F" w:rsidP="002840E5">
            <w:pPr>
              <w:pStyle w:val="TableParagraph"/>
              <w:numPr>
                <w:ilvl w:val="0"/>
                <w:numId w:val="1329"/>
              </w:numPr>
              <w:tabs>
                <w:tab w:val="left" w:pos="305"/>
              </w:tabs>
              <w:spacing w:before="70" w:line="254" w:lineRule="auto"/>
              <w:ind w:right="223"/>
              <w:rPr>
                <w:sz w:val="16"/>
                <w:szCs w:val="16"/>
              </w:rPr>
            </w:pPr>
            <w:r w:rsidRPr="00817C2F">
              <w:rPr>
                <w:color w:val="231F20"/>
                <w:sz w:val="16"/>
                <w:szCs w:val="16"/>
              </w:rPr>
              <w:t>Partial fill (during April to</w:t>
            </w:r>
            <w:r w:rsidRPr="00817C2F">
              <w:rPr>
                <w:color w:val="231F20"/>
                <w:spacing w:val="-8"/>
                <w:sz w:val="16"/>
                <w:szCs w:val="16"/>
              </w:rPr>
              <w:t xml:space="preserve"> </w:t>
            </w:r>
            <w:r w:rsidRPr="00817C2F">
              <w:rPr>
                <w:color w:val="231F20"/>
                <w:sz w:val="16"/>
                <w:szCs w:val="16"/>
              </w:rPr>
              <w:t>December)</w:t>
            </w:r>
          </w:p>
          <w:p w:rsidR="00817C2F" w:rsidRPr="00817C2F" w:rsidRDefault="00817C2F" w:rsidP="002840E5">
            <w:pPr>
              <w:pStyle w:val="TableParagraph"/>
              <w:numPr>
                <w:ilvl w:val="0"/>
                <w:numId w:val="1329"/>
              </w:numPr>
              <w:tabs>
                <w:tab w:val="left" w:pos="305"/>
              </w:tabs>
              <w:spacing w:before="87" w:line="254" w:lineRule="auto"/>
              <w:ind w:right="180"/>
              <w:rPr>
                <w:sz w:val="16"/>
                <w:szCs w:val="16"/>
              </w:rPr>
            </w:pPr>
            <w:r w:rsidRPr="00817C2F">
              <w:rPr>
                <w:color w:val="231F20"/>
                <w:sz w:val="16"/>
                <w:szCs w:val="16"/>
              </w:rPr>
              <w:t xml:space="preserve">Trigger-based fill </w:t>
            </w:r>
            <w:r w:rsidRPr="00817C2F">
              <w:rPr>
                <w:color w:val="231F20"/>
                <w:spacing w:val="-8"/>
                <w:sz w:val="16"/>
                <w:szCs w:val="16"/>
              </w:rPr>
              <w:t xml:space="preserve">or </w:t>
            </w:r>
            <w:r w:rsidRPr="00817C2F">
              <w:rPr>
                <w:color w:val="231F20"/>
                <w:sz w:val="16"/>
                <w:szCs w:val="16"/>
              </w:rPr>
              <w:t>partial fill</w:t>
            </w:r>
            <w:r w:rsidRPr="00817C2F">
              <w:rPr>
                <w:color w:val="231F20"/>
                <w:spacing w:val="-7"/>
                <w:sz w:val="16"/>
                <w:szCs w:val="16"/>
              </w:rPr>
              <w:t xml:space="preserve"> </w:t>
            </w:r>
            <w:r w:rsidRPr="00817C2F">
              <w:rPr>
                <w:color w:val="231F20"/>
                <w:sz w:val="16"/>
                <w:szCs w:val="16"/>
              </w:rPr>
              <w:t>(anytime)</w:t>
            </w:r>
          </w:p>
          <w:p w:rsidR="00817C2F" w:rsidRPr="00817C2F" w:rsidRDefault="00817C2F" w:rsidP="002840E5">
            <w:pPr>
              <w:pStyle w:val="TableParagraph"/>
              <w:numPr>
                <w:ilvl w:val="0"/>
                <w:numId w:val="1329"/>
              </w:numPr>
              <w:tabs>
                <w:tab w:val="left" w:pos="305"/>
              </w:tabs>
              <w:spacing w:before="86" w:line="254" w:lineRule="auto"/>
              <w:ind w:right="383"/>
              <w:rPr>
                <w:sz w:val="16"/>
                <w:szCs w:val="16"/>
              </w:rPr>
            </w:pPr>
            <w:r w:rsidRPr="00817C2F">
              <w:rPr>
                <w:color w:val="231F20"/>
                <w:spacing w:val="-4"/>
                <w:sz w:val="16"/>
                <w:szCs w:val="16"/>
              </w:rPr>
              <w:t xml:space="preserve">Top-up </w:t>
            </w:r>
            <w:r w:rsidRPr="00817C2F">
              <w:rPr>
                <w:color w:val="231F20"/>
                <w:sz w:val="16"/>
                <w:szCs w:val="16"/>
              </w:rPr>
              <w:t>(anytime, following bird breeding)</w:t>
            </w:r>
          </w:p>
        </w:tc>
        <w:tc>
          <w:tcPr>
            <w:tcW w:w="6123" w:type="dxa"/>
            <w:gridSpan w:val="3"/>
            <w:tcBorders>
              <w:top w:val="single" w:sz="4" w:space="0" w:color="231F20"/>
              <w:left w:val="single" w:sz="4" w:space="0" w:color="231F20"/>
              <w:bottom w:val="single" w:sz="4" w:space="0" w:color="231F20"/>
              <w:right w:val="single" w:sz="4" w:space="0" w:color="231F20"/>
            </w:tcBorders>
          </w:tcPr>
          <w:p w:rsidR="00817C2F" w:rsidRPr="00817C2F" w:rsidRDefault="00817C2F" w:rsidP="002840E5">
            <w:pPr>
              <w:pStyle w:val="TableParagraph"/>
              <w:numPr>
                <w:ilvl w:val="0"/>
                <w:numId w:val="1328"/>
              </w:numPr>
              <w:tabs>
                <w:tab w:val="left" w:pos="305"/>
              </w:tabs>
              <w:spacing w:before="70" w:line="254" w:lineRule="auto"/>
              <w:ind w:right="542"/>
              <w:rPr>
                <w:sz w:val="16"/>
                <w:szCs w:val="16"/>
              </w:rPr>
            </w:pPr>
            <w:r w:rsidRPr="00817C2F">
              <w:rPr>
                <w:color w:val="231F20"/>
                <w:sz w:val="16"/>
                <w:szCs w:val="16"/>
              </w:rPr>
              <w:t>Partial</w:t>
            </w:r>
            <w:r w:rsidRPr="00817C2F">
              <w:rPr>
                <w:color w:val="231F20"/>
                <w:spacing w:val="-3"/>
                <w:sz w:val="16"/>
                <w:szCs w:val="16"/>
              </w:rPr>
              <w:t xml:space="preserve"> </w:t>
            </w:r>
            <w:r w:rsidRPr="00817C2F">
              <w:rPr>
                <w:color w:val="231F20"/>
                <w:sz w:val="16"/>
                <w:szCs w:val="16"/>
              </w:rPr>
              <w:t>fill</w:t>
            </w:r>
            <w:r w:rsidRPr="00817C2F">
              <w:rPr>
                <w:color w:val="231F20"/>
                <w:spacing w:val="-2"/>
                <w:sz w:val="16"/>
                <w:szCs w:val="16"/>
              </w:rPr>
              <w:t xml:space="preserve"> </w:t>
            </w:r>
            <w:r w:rsidRPr="00817C2F">
              <w:rPr>
                <w:color w:val="231F20"/>
                <w:sz w:val="16"/>
                <w:szCs w:val="16"/>
              </w:rPr>
              <w:t>(during</w:t>
            </w:r>
            <w:r w:rsidRPr="00817C2F">
              <w:rPr>
                <w:color w:val="231F20"/>
                <w:spacing w:val="-12"/>
                <w:sz w:val="16"/>
                <w:szCs w:val="16"/>
              </w:rPr>
              <w:t xml:space="preserve"> </w:t>
            </w:r>
            <w:r w:rsidRPr="00817C2F">
              <w:rPr>
                <w:color w:val="231F20"/>
                <w:sz w:val="16"/>
                <w:szCs w:val="16"/>
              </w:rPr>
              <w:t>April</w:t>
            </w:r>
            <w:r w:rsidRPr="00817C2F">
              <w:rPr>
                <w:color w:val="231F20"/>
                <w:spacing w:val="-3"/>
                <w:sz w:val="16"/>
                <w:szCs w:val="16"/>
              </w:rPr>
              <w:t xml:space="preserve"> </w:t>
            </w:r>
            <w:r w:rsidRPr="00817C2F">
              <w:rPr>
                <w:color w:val="231F20"/>
                <w:sz w:val="16"/>
                <w:szCs w:val="16"/>
              </w:rPr>
              <w:t>to</w:t>
            </w:r>
            <w:r w:rsidRPr="00817C2F">
              <w:rPr>
                <w:color w:val="231F20"/>
                <w:spacing w:val="-2"/>
                <w:sz w:val="16"/>
                <w:szCs w:val="16"/>
              </w:rPr>
              <w:t xml:space="preserve"> </w:t>
            </w:r>
            <w:r w:rsidRPr="00817C2F">
              <w:rPr>
                <w:color w:val="231F20"/>
                <w:sz w:val="16"/>
                <w:szCs w:val="16"/>
              </w:rPr>
              <w:t>June</w:t>
            </w:r>
            <w:r w:rsidRPr="00817C2F">
              <w:rPr>
                <w:color w:val="231F20"/>
                <w:spacing w:val="-2"/>
                <w:sz w:val="16"/>
                <w:szCs w:val="16"/>
              </w:rPr>
              <w:t xml:space="preserve"> </w:t>
            </w:r>
            <w:r w:rsidRPr="00817C2F">
              <w:rPr>
                <w:color w:val="231F20"/>
                <w:sz w:val="16"/>
                <w:szCs w:val="16"/>
              </w:rPr>
              <w:t>and</w:t>
            </w:r>
            <w:r w:rsidRPr="00817C2F">
              <w:rPr>
                <w:color w:val="231F20"/>
                <w:spacing w:val="-4"/>
                <w:sz w:val="16"/>
                <w:szCs w:val="16"/>
              </w:rPr>
              <w:t xml:space="preserve"> </w:t>
            </w:r>
            <w:r w:rsidRPr="00817C2F">
              <w:rPr>
                <w:color w:val="231F20"/>
                <w:sz w:val="16"/>
                <w:szCs w:val="16"/>
              </w:rPr>
              <w:t>in</w:t>
            </w:r>
            <w:r w:rsidRPr="00817C2F">
              <w:rPr>
                <w:color w:val="231F20"/>
                <w:spacing w:val="-3"/>
                <w:sz w:val="16"/>
                <w:szCs w:val="16"/>
              </w:rPr>
              <w:t xml:space="preserve"> </w:t>
            </w:r>
            <w:r w:rsidRPr="00817C2F">
              <w:rPr>
                <w:color w:val="231F20"/>
                <w:sz w:val="16"/>
                <w:szCs w:val="16"/>
              </w:rPr>
              <w:t>December,</w:t>
            </w:r>
            <w:r w:rsidRPr="00817C2F">
              <w:rPr>
                <w:color w:val="231F20"/>
                <w:spacing w:val="-3"/>
                <w:sz w:val="16"/>
                <w:szCs w:val="16"/>
              </w:rPr>
              <w:t xml:space="preserve"> </w:t>
            </w:r>
            <w:r w:rsidRPr="00817C2F">
              <w:rPr>
                <w:color w:val="231F20"/>
                <w:sz w:val="16"/>
                <w:szCs w:val="16"/>
              </w:rPr>
              <w:t>with</w:t>
            </w:r>
            <w:r w:rsidRPr="00817C2F">
              <w:rPr>
                <w:color w:val="231F20"/>
                <w:spacing w:val="-3"/>
                <w:sz w:val="16"/>
                <w:szCs w:val="16"/>
              </w:rPr>
              <w:t xml:space="preserve"> </w:t>
            </w:r>
            <w:r w:rsidRPr="00817C2F">
              <w:rPr>
                <w:color w:val="231F20"/>
                <w:sz w:val="16"/>
                <w:szCs w:val="16"/>
              </w:rPr>
              <w:t>top-ups</w:t>
            </w:r>
            <w:r w:rsidRPr="00817C2F">
              <w:rPr>
                <w:color w:val="231F20"/>
                <w:spacing w:val="-2"/>
                <w:sz w:val="16"/>
                <w:szCs w:val="16"/>
              </w:rPr>
              <w:t xml:space="preserve"> </w:t>
            </w:r>
            <w:r w:rsidRPr="00817C2F">
              <w:rPr>
                <w:color w:val="231F20"/>
                <w:sz w:val="16"/>
                <w:szCs w:val="16"/>
              </w:rPr>
              <w:t>over summer to maintain surface coverage)</w:t>
            </w:r>
          </w:p>
          <w:p w:rsidR="00817C2F" w:rsidRPr="00817C2F" w:rsidRDefault="00817C2F" w:rsidP="002840E5">
            <w:pPr>
              <w:pStyle w:val="TableParagraph"/>
              <w:numPr>
                <w:ilvl w:val="0"/>
                <w:numId w:val="1328"/>
              </w:numPr>
              <w:tabs>
                <w:tab w:val="left" w:pos="305"/>
              </w:tabs>
              <w:spacing w:before="87"/>
              <w:rPr>
                <w:sz w:val="16"/>
                <w:szCs w:val="16"/>
              </w:rPr>
            </w:pPr>
            <w:r w:rsidRPr="00817C2F">
              <w:rPr>
                <w:color w:val="231F20"/>
                <w:sz w:val="16"/>
                <w:szCs w:val="16"/>
              </w:rPr>
              <w:t>Fill (during August to</w:t>
            </w:r>
            <w:r w:rsidRPr="00817C2F">
              <w:rPr>
                <w:color w:val="231F20"/>
                <w:spacing w:val="-11"/>
                <w:sz w:val="16"/>
                <w:szCs w:val="16"/>
              </w:rPr>
              <w:t xml:space="preserve"> </w:t>
            </w:r>
            <w:r w:rsidRPr="00817C2F">
              <w:rPr>
                <w:color w:val="231F20"/>
                <w:sz w:val="16"/>
                <w:szCs w:val="16"/>
              </w:rPr>
              <w:t>November)</w:t>
            </w:r>
          </w:p>
          <w:p w:rsidR="00817C2F" w:rsidRPr="00817C2F" w:rsidRDefault="00817C2F" w:rsidP="002840E5">
            <w:pPr>
              <w:pStyle w:val="TableParagraph"/>
              <w:numPr>
                <w:ilvl w:val="0"/>
                <w:numId w:val="1328"/>
              </w:numPr>
              <w:tabs>
                <w:tab w:val="left" w:pos="305"/>
              </w:tabs>
              <w:spacing w:before="98"/>
              <w:rPr>
                <w:sz w:val="16"/>
                <w:szCs w:val="16"/>
              </w:rPr>
            </w:pPr>
            <w:r w:rsidRPr="00817C2F">
              <w:rPr>
                <w:color w:val="231F20"/>
                <w:sz w:val="16"/>
                <w:szCs w:val="16"/>
              </w:rPr>
              <w:t>Trigger-based fill or partial fill</w:t>
            </w:r>
            <w:r w:rsidRPr="00817C2F">
              <w:rPr>
                <w:color w:val="231F20"/>
                <w:spacing w:val="-4"/>
                <w:sz w:val="16"/>
                <w:szCs w:val="16"/>
              </w:rPr>
              <w:t xml:space="preserve"> </w:t>
            </w:r>
            <w:r w:rsidRPr="00817C2F">
              <w:rPr>
                <w:color w:val="231F20"/>
                <w:sz w:val="16"/>
                <w:szCs w:val="16"/>
              </w:rPr>
              <w:t>(anytime)</w:t>
            </w:r>
          </w:p>
          <w:p w:rsidR="00817C2F" w:rsidRPr="00817C2F" w:rsidRDefault="00817C2F" w:rsidP="002840E5">
            <w:pPr>
              <w:pStyle w:val="TableParagraph"/>
              <w:numPr>
                <w:ilvl w:val="0"/>
                <w:numId w:val="1328"/>
              </w:numPr>
              <w:tabs>
                <w:tab w:val="left" w:pos="305"/>
              </w:tabs>
              <w:spacing w:before="98"/>
              <w:rPr>
                <w:sz w:val="16"/>
                <w:szCs w:val="16"/>
              </w:rPr>
            </w:pPr>
            <w:r w:rsidRPr="00817C2F">
              <w:rPr>
                <w:color w:val="231F20"/>
                <w:spacing w:val="-4"/>
                <w:sz w:val="16"/>
                <w:szCs w:val="16"/>
              </w:rPr>
              <w:t xml:space="preserve">Top-up </w:t>
            </w:r>
            <w:r w:rsidRPr="00817C2F">
              <w:rPr>
                <w:color w:val="231F20"/>
                <w:sz w:val="16"/>
                <w:szCs w:val="16"/>
              </w:rPr>
              <w:t>(anytime, following bird</w:t>
            </w:r>
            <w:r w:rsidRPr="00817C2F">
              <w:rPr>
                <w:color w:val="231F20"/>
                <w:spacing w:val="1"/>
                <w:sz w:val="16"/>
                <w:szCs w:val="16"/>
              </w:rPr>
              <w:t xml:space="preserve"> </w:t>
            </w:r>
            <w:r w:rsidRPr="00817C2F">
              <w:rPr>
                <w:color w:val="231F20"/>
                <w:sz w:val="16"/>
                <w:szCs w:val="16"/>
              </w:rPr>
              <w:t>breeding)</w:t>
            </w:r>
          </w:p>
        </w:tc>
      </w:tr>
      <w:tr w:rsidR="00817C2F" w:rsidTr="002840E5">
        <w:trPr>
          <w:trHeight w:val="333"/>
        </w:trPr>
        <w:tc>
          <w:tcPr>
            <w:tcW w:w="10205" w:type="dxa"/>
            <w:gridSpan w:val="5"/>
            <w:tcBorders>
              <w:top w:val="single" w:sz="4" w:space="0" w:color="231F20"/>
              <w:left w:val="single" w:sz="4" w:space="0" w:color="231F20"/>
              <w:bottom w:val="single" w:sz="4" w:space="0" w:color="231F20"/>
              <w:right w:val="single" w:sz="4" w:space="0" w:color="231F20"/>
            </w:tcBorders>
            <w:shd w:val="clear" w:color="auto" w:fill="E6E7E8"/>
          </w:tcPr>
          <w:p w:rsidR="00817C2F" w:rsidRPr="00817C2F" w:rsidRDefault="00817C2F" w:rsidP="002840E5">
            <w:pPr>
              <w:pStyle w:val="TableParagraph"/>
              <w:ind w:left="0"/>
              <w:rPr>
                <w:rFonts w:ascii="Times New Roman"/>
                <w:sz w:val="16"/>
                <w:szCs w:val="16"/>
              </w:rPr>
            </w:pPr>
            <w:r>
              <w:rPr>
                <w:b/>
                <w:color w:val="231F20"/>
                <w:sz w:val="16"/>
              </w:rPr>
              <w:t>Heart Morass</w:t>
            </w:r>
          </w:p>
        </w:tc>
      </w:tr>
      <w:tr w:rsidR="00817C2F" w:rsidTr="002840E5">
        <w:trPr>
          <w:trHeight w:val="2633"/>
        </w:trPr>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817C2F" w:rsidRDefault="00817C2F" w:rsidP="002840E5">
            <w:pPr>
              <w:pStyle w:val="TableParagraph"/>
              <w:spacing w:before="74"/>
              <w:ind w:left="85"/>
              <w:rPr>
                <w:b/>
                <w:color w:val="231F20"/>
                <w:sz w:val="16"/>
              </w:rPr>
            </w:pPr>
            <w:r>
              <w:rPr>
                <w:color w:val="231F20"/>
                <w:sz w:val="16"/>
              </w:rPr>
              <w:t>Potential environmental watering – tier 1 (high priorities)</w:t>
            </w:r>
            <w:r>
              <w:rPr>
                <w:color w:val="231F20"/>
                <w:position w:val="5"/>
                <w:sz w:val="9"/>
              </w:rPr>
              <w:t>1</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817C2F" w:rsidRPr="00817C2F" w:rsidRDefault="00817C2F" w:rsidP="002840E5">
            <w:pPr>
              <w:pStyle w:val="TableParagraph"/>
              <w:numPr>
                <w:ilvl w:val="0"/>
                <w:numId w:val="1327"/>
              </w:numPr>
              <w:tabs>
                <w:tab w:val="left" w:pos="305"/>
              </w:tabs>
              <w:spacing w:before="63" w:line="254" w:lineRule="auto"/>
              <w:ind w:right="83"/>
              <w:rPr>
                <w:sz w:val="16"/>
                <w:szCs w:val="16"/>
              </w:rPr>
            </w:pPr>
            <w:r w:rsidRPr="00817C2F">
              <w:rPr>
                <w:color w:val="231F20"/>
                <w:sz w:val="16"/>
                <w:szCs w:val="16"/>
              </w:rPr>
              <w:t>Partial fill (during August to December with top-ups as required to maintain water level</w:t>
            </w:r>
            <w:r w:rsidRPr="00817C2F">
              <w:rPr>
                <w:color w:val="231F20"/>
                <w:spacing w:val="-6"/>
                <w:sz w:val="16"/>
                <w:szCs w:val="16"/>
              </w:rPr>
              <w:t xml:space="preserve"> </w:t>
            </w:r>
            <w:r w:rsidRPr="00817C2F">
              <w:rPr>
                <w:color w:val="231F20"/>
                <w:sz w:val="16"/>
                <w:szCs w:val="16"/>
              </w:rPr>
              <w:t>above</w:t>
            </w:r>
          </w:p>
          <w:p w:rsidR="00817C2F" w:rsidRPr="00817C2F" w:rsidRDefault="00817C2F" w:rsidP="002840E5">
            <w:pPr>
              <w:pStyle w:val="TableParagraph"/>
              <w:spacing w:before="3"/>
              <w:rPr>
                <w:sz w:val="16"/>
                <w:szCs w:val="16"/>
              </w:rPr>
            </w:pPr>
            <w:r w:rsidRPr="00817C2F">
              <w:rPr>
                <w:color w:val="231F20"/>
                <w:sz w:val="16"/>
                <w:szCs w:val="16"/>
              </w:rPr>
              <w:t>-0.3m</w:t>
            </w:r>
            <w:r w:rsidRPr="00817C2F">
              <w:rPr>
                <w:color w:val="231F20"/>
                <w:spacing w:val="-10"/>
                <w:sz w:val="16"/>
                <w:szCs w:val="16"/>
              </w:rPr>
              <w:t xml:space="preserve"> </w:t>
            </w:r>
            <w:r w:rsidRPr="00817C2F">
              <w:rPr>
                <w:color w:val="231F20"/>
                <w:sz w:val="16"/>
                <w:szCs w:val="16"/>
              </w:rPr>
              <w:t>AHD)</w:t>
            </w:r>
          </w:p>
          <w:p w:rsidR="00817C2F" w:rsidRPr="00817C2F" w:rsidRDefault="00817C2F" w:rsidP="002840E5">
            <w:pPr>
              <w:pStyle w:val="TableParagraph"/>
              <w:numPr>
                <w:ilvl w:val="0"/>
                <w:numId w:val="1327"/>
              </w:numPr>
              <w:tabs>
                <w:tab w:val="left" w:pos="305"/>
              </w:tabs>
              <w:spacing w:before="98" w:line="254" w:lineRule="auto"/>
              <w:ind w:right="180"/>
              <w:rPr>
                <w:sz w:val="16"/>
                <w:szCs w:val="16"/>
              </w:rPr>
            </w:pPr>
            <w:r w:rsidRPr="00817C2F">
              <w:rPr>
                <w:color w:val="231F20"/>
                <w:sz w:val="16"/>
                <w:szCs w:val="16"/>
              </w:rPr>
              <w:t xml:space="preserve">Trigger-based fill </w:t>
            </w:r>
            <w:r w:rsidRPr="00817C2F">
              <w:rPr>
                <w:color w:val="231F20"/>
                <w:spacing w:val="-8"/>
                <w:sz w:val="16"/>
                <w:szCs w:val="16"/>
              </w:rPr>
              <w:t xml:space="preserve">or </w:t>
            </w:r>
            <w:r w:rsidRPr="00817C2F">
              <w:rPr>
                <w:color w:val="231F20"/>
                <w:sz w:val="16"/>
                <w:szCs w:val="16"/>
              </w:rPr>
              <w:t>partial fill</w:t>
            </w:r>
            <w:r w:rsidRPr="00817C2F">
              <w:rPr>
                <w:color w:val="231F20"/>
                <w:spacing w:val="-7"/>
                <w:sz w:val="16"/>
                <w:szCs w:val="16"/>
              </w:rPr>
              <w:t xml:space="preserve"> </w:t>
            </w:r>
            <w:r w:rsidRPr="00817C2F">
              <w:rPr>
                <w:color w:val="231F20"/>
                <w:sz w:val="16"/>
                <w:szCs w:val="16"/>
              </w:rPr>
              <w:t>(anytime)</w:t>
            </w:r>
          </w:p>
          <w:p w:rsidR="00817C2F" w:rsidRPr="00817C2F" w:rsidRDefault="00817C2F" w:rsidP="002840E5">
            <w:pPr>
              <w:pStyle w:val="TableParagraph"/>
              <w:numPr>
                <w:ilvl w:val="0"/>
                <w:numId w:val="1327"/>
              </w:numPr>
              <w:tabs>
                <w:tab w:val="left" w:pos="305"/>
              </w:tabs>
              <w:spacing w:before="98" w:line="254" w:lineRule="auto"/>
              <w:ind w:right="180"/>
              <w:rPr>
                <w:sz w:val="16"/>
                <w:szCs w:val="16"/>
              </w:rPr>
            </w:pPr>
            <w:r w:rsidRPr="00817C2F">
              <w:rPr>
                <w:color w:val="231F20"/>
                <w:spacing w:val="-4"/>
                <w:sz w:val="16"/>
                <w:szCs w:val="16"/>
              </w:rPr>
              <w:t xml:space="preserve">Top-up </w:t>
            </w:r>
            <w:r w:rsidRPr="00817C2F">
              <w:rPr>
                <w:color w:val="231F20"/>
                <w:sz w:val="16"/>
                <w:szCs w:val="16"/>
              </w:rPr>
              <w:t>(anytime, following bird breeding)</w:t>
            </w:r>
          </w:p>
        </w:tc>
        <w:tc>
          <w:tcPr>
            <w:tcW w:w="4082" w:type="dxa"/>
            <w:gridSpan w:val="2"/>
            <w:tcBorders>
              <w:top w:val="single" w:sz="4" w:space="0" w:color="231F20"/>
              <w:left w:val="single" w:sz="4" w:space="0" w:color="231F20"/>
              <w:bottom w:val="single" w:sz="4" w:space="0" w:color="231F20"/>
              <w:right w:val="single" w:sz="4" w:space="0" w:color="231F20"/>
            </w:tcBorders>
            <w:shd w:val="clear" w:color="auto" w:fill="auto"/>
          </w:tcPr>
          <w:p w:rsidR="00817C2F" w:rsidRPr="00817C2F" w:rsidRDefault="00817C2F" w:rsidP="002840E5">
            <w:pPr>
              <w:pStyle w:val="TableParagraph"/>
              <w:numPr>
                <w:ilvl w:val="0"/>
                <w:numId w:val="1327"/>
              </w:numPr>
              <w:tabs>
                <w:tab w:val="left" w:pos="305"/>
              </w:tabs>
              <w:spacing w:before="63" w:line="254" w:lineRule="auto"/>
              <w:ind w:right="373"/>
              <w:jc w:val="both"/>
              <w:rPr>
                <w:sz w:val="16"/>
                <w:szCs w:val="16"/>
              </w:rPr>
            </w:pPr>
            <w:r w:rsidRPr="00817C2F">
              <w:rPr>
                <w:color w:val="231F20"/>
                <w:sz w:val="16"/>
                <w:szCs w:val="16"/>
              </w:rPr>
              <w:t>Partial fill (during August to December</w:t>
            </w:r>
            <w:r w:rsidRPr="00817C2F">
              <w:rPr>
                <w:color w:val="231F20"/>
                <w:spacing w:val="-22"/>
                <w:sz w:val="16"/>
                <w:szCs w:val="16"/>
              </w:rPr>
              <w:t xml:space="preserve"> </w:t>
            </w:r>
            <w:r w:rsidRPr="00817C2F">
              <w:rPr>
                <w:color w:val="231F20"/>
                <w:sz w:val="16"/>
                <w:szCs w:val="16"/>
              </w:rPr>
              <w:t>with top-ups as required to maintain water level above -0.3m</w:t>
            </w:r>
            <w:r w:rsidRPr="00817C2F">
              <w:rPr>
                <w:color w:val="231F20"/>
                <w:spacing w:val="-12"/>
                <w:sz w:val="16"/>
                <w:szCs w:val="16"/>
              </w:rPr>
              <w:t xml:space="preserve"> </w:t>
            </w:r>
            <w:r w:rsidRPr="00817C2F">
              <w:rPr>
                <w:color w:val="231F20"/>
                <w:sz w:val="16"/>
                <w:szCs w:val="16"/>
              </w:rPr>
              <w:t>AHD)</w:t>
            </w:r>
          </w:p>
          <w:p w:rsidR="00817C2F" w:rsidRPr="00817C2F" w:rsidRDefault="00817C2F" w:rsidP="002840E5">
            <w:pPr>
              <w:pStyle w:val="TableParagraph"/>
              <w:numPr>
                <w:ilvl w:val="0"/>
                <w:numId w:val="1327"/>
              </w:numPr>
              <w:tabs>
                <w:tab w:val="left" w:pos="305"/>
              </w:tabs>
              <w:spacing w:before="87" w:line="254" w:lineRule="auto"/>
              <w:ind w:right="253"/>
              <w:rPr>
                <w:sz w:val="16"/>
                <w:szCs w:val="16"/>
              </w:rPr>
            </w:pPr>
            <w:r w:rsidRPr="00817C2F">
              <w:rPr>
                <w:color w:val="231F20"/>
                <w:sz w:val="16"/>
                <w:szCs w:val="16"/>
              </w:rPr>
              <w:t>Fill to 0.5 m AHD followed by partial</w:t>
            </w:r>
            <w:r w:rsidRPr="00817C2F">
              <w:rPr>
                <w:color w:val="231F20"/>
                <w:spacing w:val="-22"/>
                <w:sz w:val="16"/>
                <w:szCs w:val="16"/>
              </w:rPr>
              <w:t xml:space="preserve"> </w:t>
            </w:r>
            <w:r w:rsidRPr="00817C2F">
              <w:rPr>
                <w:color w:val="231F20"/>
                <w:sz w:val="16"/>
                <w:szCs w:val="16"/>
              </w:rPr>
              <w:t>flushing flow (during June to</w:t>
            </w:r>
            <w:r w:rsidRPr="00817C2F">
              <w:rPr>
                <w:color w:val="231F20"/>
                <w:spacing w:val="-2"/>
                <w:sz w:val="16"/>
                <w:szCs w:val="16"/>
              </w:rPr>
              <w:t xml:space="preserve"> </w:t>
            </w:r>
            <w:r w:rsidRPr="00817C2F">
              <w:rPr>
                <w:color w:val="231F20"/>
                <w:sz w:val="16"/>
                <w:szCs w:val="16"/>
              </w:rPr>
              <w:t>November)</w:t>
            </w:r>
          </w:p>
          <w:p w:rsidR="00817C2F" w:rsidRPr="00BA18F7" w:rsidRDefault="00817C2F" w:rsidP="002840E5">
            <w:pPr>
              <w:pStyle w:val="TableParagraph"/>
              <w:numPr>
                <w:ilvl w:val="0"/>
                <w:numId w:val="1327"/>
              </w:numPr>
              <w:tabs>
                <w:tab w:val="left" w:pos="305"/>
              </w:tabs>
              <w:spacing w:before="86"/>
              <w:rPr>
                <w:sz w:val="16"/>
                <w:szCs w:val="16"/>
              </w:rPr>
            </w:pPr>
            <w:r w:rsidRPr="00817C2F">
              <w:rPr>
                <w:color w:val="231F20"/>
                <w:sz w:val="16"/>
                <w:szCs w:val="16"/>
              </w:rPr>
              <w:t>Trigger-based fill or partial fill</w:t>
            </w:r>
            <w:r w:rsidRPr="00817C2F">
              <w:rPr>
                <w:color w:val="231F20"/>
                <w:spacing w:val="-6"/>
                <w:sz w:val="16"/>
                <w:szCs w:val="16"/>
              </w:rPr>
              <w:t xml:space="preserve"> </w:t>
            </w:r>
            <w:r w:rsidRPr="00817C2F">
              <w:rPr>
                <w:color w:val="231F20"/>
                <w:sz w:val="16"/>
                <w:szCs w:val="16"/>
              </w:rPr>
              <w:t>(anytime)</w:t>
            </w:r>
          </w:p>
          <w:p w:rsidR="00817C2F" w:rsidRPr="00BA18F7" w:rsidRDefault="00817C2F" w:rsidP="00BA18F7">
            <w:pPr>
              <w:pStyle w:val="TableParagraph"/>
              <w:numPr>
                <w:ilvl w:val="0"/>
                <w:numId w:val="1327"/>
              </w:numPr>
              <w:tabs>
                <w:tab w:val="left" w:pos="305"/>
              </w:tabs>
              <w:spacing w:before="86"/>
              <w:rPr>
                <w:sz w:val="16"/>
                <w:szCs w:val="16"/>
              </w:rPr>
            </w:pPr>
            <w:r w:rsidRPr="00BA18F7">
              <w:rPr>
                <w:color w:val="231F20"/>
                <w:spacing w:val="-4"/>
                <w:sz w:val="16"/>
                <w:szCs w:val="16"/>
              </w:rPr>
              <w:t xml:space="preserve">Top-up </w:t>
            </w:r>
            <w:r w:rsidRPr="00BA18F7">
              <w:rPr>
                <w:color w:val="231F20"/>
                <w:sz w:val="16"/>
                <w:szCs w:val="16"/>
              </w:rPr>
              <w:t>(anytime, following bird</w:t>
            </w:r>
            <w:r w:rsidRPr="00BA18F7">
              <w:rPr>
                <w:color w:val="231F20"/>
                <w:spacing w:val="-2"/>
                <w:sz w:val="16"/>
                <w:szCs w:val="16"/>
              </w:rPr>
              <w:t xml:space="preserve"> </w:t>
            </w:r>
            <w:r w:rsidRPr="00BA18F7">
              <w:rPr>
                <w:color w:val="231F20"/>
                <w:sz w:val="16"/>
                <w:szCs w:val="16"/>
              </w:rPr>
              <w:t>breeding)</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817C2F" w:rsidRPr="00817C2F" w:rsidRDefault="00817C2F" w:rsidP="002840E5">
            <w:pPr>
              <w:pStyle w:val="TableParagraph"/>
              <w:numPr>
                <w:ilvl w:val="0"/>
                <w:numId w:val="1326"/>
              </w:numPr>
              <w:tabs>
                <w:tab w:val="left" w:pos="305"/>
              </w:tabs>
              <w:spacing w:before="63" w:line="254" w:lineRule="auto"/>
              <w:ind w:right="83"/>
              <w:rPr>
                <w:sz w:val="16"/>
                <w:szCs w:val="16"/>
              </w:rPr>
            </w:pPr>
            <w:r w:rsidRPr="00817C2F">
              <w:rPr>
                <w:color w:val="231F20"/>
                <w:sz w:val="16"/>
                <w:szCs w:val="16"/>
              </w:rPr>
              <w:t>Partial fill (during August to December with top-ups as required to maintain water level</w:t>
            </w:r>
            <w:r w:rsidRPr="00817C2F">
              <w:rPr>
                <w:color w:val="231F20"/>
                <w:spacing w:val="-6"/>
                <w:sz w:val="16"/>
                <w:szCs w:val="16"/>
              </w:rPr>
              <w:t xml:space="preserve"> </w:t>
            </w:r>
            <w:r w:rsidRPr="00817C2F">
              <w:rPr>
                <w:color w:val="231F20"/>
                <w:sz w:val="16"/>
                <w:szCs w:val="16"/>
              </w:rPr>
              <w:t>above</w:t>
            </w:r>
          </w:p>
          <w:p w:rsidR="00817C2F" w:rsidRPr="00817C2F" w:rsidRDefault="00817C2F" w:rsidP="002840E5">
            <w:pPr>
              <w:pStyle w:val="TableParagraph"/>
              <w:spacing w:before="3"/>
              <w:rPr>
                <w:sz w:val="16"/>
                <w:szCs w:val="16"/>
              </w:rPr>
            </w:pPr>
            <w:r w:rsidRPr="00817C2F">
              <w:rPr>
                <w:color w:val="231F20"/>
                <w:sz w:val="16"/>
                <w:szCs w:val="16"/>
              </w:rPr>
              <w:t>-0.3m</w:t>
            </w:r>
            <w:r w:rsidRPr="00817C2F">
              <w:rPr>
                <w:color w:val="231F20"/>
                <w:spacing w:val="-10"/>
                <w:sz w:val="16"/>
                <w:szCs w:val="16"/>
              </w:rPr>
              <w:t xml:space="preserve"> </w:t>
            </w:r>
            <w:r w:rsidRPr="00817C2F">
              <w:rPr>
                <w:color w:val="231F20"/>
                <w:sz w:val="16"/>
                <w:szCs w:val="16"/>
              </w:rPr>
              <w:t>AHD)</w:t>
            </w:r>
          </w:p>
          <w:p w:rsidR="00817C2F" w:rsidRPr="00817C2F" w:rsidRDefault="00817C2F" w:rsidP="002840E5">
            <w:pPr>
              <w:pStyle w:val="TableParagraph"/>
              <w:numPr>
                <w:ilvl w:val="0"/>
                <w:numId w:val="1326"/>
              </w:numPr>
              <w:tabs>
                <w:tab w:val="left" w:pos="305"/>
              </w:tabs>
              <w:spacing w:before="98" w:line="254" w:lineRule="auto"/>
              <w:ind w:right="180"/>
              <w:rPr>
                <w:sz w:val="16"/>
                <w:szCs w:val="16"/>
              </w:rPr>
            </w:pPr>
            <w:r w:rsidRPr="00817C2F">
              <w:rPr>
                <w:color w:val="231F20"/>
                <w:sz w:val="16"/>
                <w:szCs w:val="16"/>
              </w:rPr>
              <w:t xml:space="preserve">Trigger-based fill </w:t>
            </w:r>
            <w:r w:rsidRPr="00817C2F">
              <w:rPr>
                <w:color w:val="231F20"/>
                <w:spacing w:val="-8"/>
                <w:sz w:val="16"/>
                <w:szCs w:val="16"/>
              </w:rPr>
              <w:t xml:space="preserve">or </w:t>
            </w:r>
            <w:r w:rsidRPr="00817C2F">
              <w:rPr>
                <w:color w:val="231F20"/>
                <w:sz w:val="16"/>
                <w:szCs w:val="16"/>
              </w:rPr>
              <w:t>partial fill</w:t>
            </w:r>
            <w:r w:rsidRPr="00817C2F">
              <w:rPr>
                <w:color w:val="231F20"/>
                <w:spacing w:val="-7"/>
                <w:sz w:val="16"/>
                <w:szCs w:val="16"/>
              </w:rPr>
              <w:t xml:space="preserve"> </w:t>
            </w:r>
            <w:r w:rsidRPr="00817C2F">
              <w:rPr>
                <w:color w:val="231F20"/>
                <w:sz w:val="16"/>
                <w:szCs w:val="16"/>
              </w:rPr>
              <w:t>(anytime)</w:t>
            </w:r>
          </w:p>
          <w:p w:rsidR="00817C2F" w:rsidRPr="00817C2F" w:rsidRDefault="00817C2F" w:rsidP="002840E5">
            <w:pPr>
              <w:pStyle w:val="TableParagraph"/>
              <w:numPr>
                <w:ilvl w:val="0"/>
                <w:numId w:val="1326"/>
              </w:numPr>
              <w:tabs>
                <w:tab w:val="left" w:pos="305"/>
              </w:tabs>
              <w:spacing w:before="98" w:line="254" w:lineRule="auto"/>
              <w:ind w:right="180"/>
              <w:rPr>
                <w:sz w:val="16"/>
                <w:szCs w:val="16"/>
              </w:rPr>
            </w:pPr>
            <w:r w:rsidRPr="00817C2F">
              <w:rPr>
                <w:color w:val="231F20"/>
                <w:spacing w:val="-4"/>
                <w:sz w:val="16"/>
                <w:szCs w:val="16"/>
              </w:rPr>
              <w:t xml:space="preserve">Top-up </w:t>
            </w:r>
            <w:r w:rsidRPr="00817C2F">
              <w:rPr>
                <w:color w:val="231F20"/>
                <w:sz w:val="16"/>
                <w:szCs w:val="16"/>
              </w:rPr>
              <w:t>(anytime, following bird breeding)</w:t>
            </w:r>
          </w:p>
        </w:tc>
      </w:tr>
    </w:tbl>
    <w:p w:rsidR="00817C2F" w:rsidRDefault="00817C2F" w:rsidP="00817C2F">
      <w:pPr>
        <w:spacing w:before="129" w:line="266" w:lineRule="auto"/>
        <w:ind w:left="284" w:right="228"/>
        <w:jc w:val="both"/>
        <w:rPr>
          <w:color w:val="231F20"/>
          <w:sz w:val="14"/>
        </w:rPr>
      </w:pPr>
      <w:r>
        <w:rPr>
          <w:color w:val="231F20"/>
          <w:position w:val="5"/>
          <w:sz w:val="8"/>
        </w:rPr>
        <w:t xml:space="preserve">1 </w:t>
      </w:r>
      <w:r>
        <w:rPr>
          <w:color w:val="231F20"/>
          <w:sz w:val="14"/>
        </w:rPr>
        <w:t xml:space="preserve">Potential environmental watering at the lower Latrobe wetlands is not classified as tier 1a, tier 1b or tier 2, because there is no limitation on the volume of water  that can be supplied to the site from the Latrobe River. Water can be diverted to the lower Latrobe wetlands at any time of the year when flows are above -0.7m </w:t>
      </w:r>
      <w:r>
        <w:rPr>
          <w:color w:val="231F20"/>
          <w:spacing w:val="2"/>
          <w:sz w:val="14"/>
        </w:rPr>
        <w:t xml:space="preserve">AHD </w:t>
      </w:r>
      <w:r>
        <w:rPr>
          <w:color w:val="231F20"/>
          <w:sz w:val="14"/>
        </w:rPr>
        <w:t xml:space="preserve">at the Latrobe River at the Swing </w:t>
      </w:r>
      <w:r>
        <w:rPr>
          <w:color w:val="231F20"/>
          <w:spacing w:val="2"/>
          <w:sz w:val="14"/>
        </w:rPr>
        <w:t xml:space="preserve">Bridge </w:t>
      </w:r>
      <w:r>
        <w:rPr>
          <w:color w:val="231F20"/>
          <w:sz w:val="14"/>
        </w:rPr>
        <w:t>gauging</w:t>
      </w:r>
      <w:r>
        <w:rPr>
          <w:color w:val="231F20"/>
          <w:spacing w:val="-8"/>
          <w:sz w:val="14"/>
        </w:rPr>
        <w:t xml:space="preserve"> </w:t>
      </w:r>
      <w:r>
        <w:rPr>
          <w:color w:val="231F20"/>
          <w:sz w:val="14"/>
        </w:rPr>
        <w:t>station.</w:t>
      </w:r>
    </w:p>
    <w:p w:rsidR="0005678E" w:rsidRDefault="0005678E">
      <w:pPr>
        <w:rPr>
          <w:color w:val="231F20"/>
          <w:sz w:val="14"/>
        </w:rPr>
      </w:pPr>
      <w:r>
        <w:rPr>
          <w:color w:val="231F20"/>
          <w:sz w:val="14"/>
        </w:rPr>
        <w:br w:type="page"/>
      </w:r>
    </w:p>
    <w:p w:rsidR="006A7A3F" w:rsidRDefault="00BC7372" w:rsidP="009B6917">
      <w:pPr>
        <w:pStyle w:val="Heading1"/>
        <w:numPr>
          <w:ilvl w:val="1"/>
          <w:numId w:val="1325"/>
        </w:numPr>
        <w:tabs>
          <w:tab w:val="left" w:pos="904"/>
        </w:tabs>
        <w:spacing w:before="64"/>
        <w:ind w:hanging="694"/>
      </w:pPr>
      <w:r>
        <w:rPr>
          <w:color w:val="231F20"/>
        </w:rPr>
        <w:t>Thomson system</w:t>
      </w:r>
    </w:p>
    <w:p w:rsidR="006A7A3F" w:rsidRDefault="00BC7372">
      <w:pPr>
        <w:spacing w:before="256"/>
        <w:ind w:left="210"/>
        <w:rPr>
          <w:rFonts w:ascii="Helvetica Neue LT Std 75"/>
          <w:b/>
          <w:sz w:val="19"/>
        </w:rPr>
      </w:pPr>
      <w:r>
        <w:rPr>
          <w:rFonts w:ascii="Helvetica Neue LT Std 75"/>
          <w:b/>
          <w:color w:val="231F20"/>
          <w:sz w:val="19"/>
        </w:rPr>
        <w:t>Did you know...?</w:t>
      </w:r>
    </w:p>
    <w:p w:rsidR="006A7A3F" w:rsidRDefault="00BC7372">
      <w:pPr>
        <w:pStyle w:val="BodyText"/>
        <w:spacing w:before="68"/>
      </w:pPr>
      <w:r>
        <w:rPr>
          <w:color w:val="231F20"/>
        </w:rPr>
        <w:t>The Thomson River is known to the Gunaikurnai people as Carran Carran, which means ‘brackish water.’</w:t>
      </w:r>
    </w:p>
    <w:p w:rsidR="006A7A3F" w:rsidRDefault="00BC7372">
      <w:pPr>
        <w:spacing w:before="189"/>
        <w:ind w:left="210"/>
        <w:rPr>
          <w:rFonts w:ascii="Helvetica Neue LT Std 75"/>
          <w:b/>
          <w:sz w:val="19"/>
        </w:rPr>
      </w:pPr>
      <w:r>
        <w:rPr>
          <w:rFonts w:ascii="Helvetica Neue LT Std 75"/>
          <w:b/>
          <w:color w:val="231F20"/>
          <w:sz w:val="19"/>
        </w:rPr>
        <w:t>System overview</w:t>
      </w:r>
    </w:p>
    <w:p w:rsidR="006A7A3F" w:rsidRDefault="00BC7372" w:rsidP="00BA18F7">
      <w:pPr>
        <w:pStyle w:val="Heading6"/>
        <w:spacing w:line="276" w:lineRule="auto"/>
        <w:ind w:right="702"/>
      </w:pPr>
      <w:r>
        <w:rPr>
          <w:color w:val="231F20"/>
        </w:rPr>
        <w:t>The Thomson River flows from the slopes of the Baw Baw Plateau to join the Latrobe River south  of Sale. The major tributaries of the Thomson River are the Aberfeldy and Jordan rivers in the</w:t>
      </w:r>
      <w:r>
        <w:rPr>
          <w:color w:val="231F20"/>
          <w:spacing w:val="-42"/>
        </w:rPr>
        <w:t xml:space="preserve"> </w:t>
      </w:r>
      <w:r>
        <w:rPr>
          <w:color w:val="231F20"/>
        </w:rPr>
        <w:t>upper</w:t>
      </w:r>
      <w:r w:rsidR="00BA18F7">
        <w:rPr>
          <w:color w:val="231F20"/>
        </w:rPr>
        <w:t xml:space="preserve"> </w:t>
      </w:r>
      <w:r>
        <w:rPr>
          <w:color w:val="231F20"/>
        </w:rPr>
        <w:t>reaches and the Macalister River in the lowest reach. Most natural flow originates from the Aberfeldy River. Two major structures regulate flow on the Thomson River: Thomson Reservoir — the largest water supply storage for metropolitan Melbourne — and Cowwarr Weir — a regulating structure which supplies irrigation water to parts of the Macalister Irrigation District.</w:t>
      </w:r>
    </w:p>
    <w:p w:rsidR="006A7A3F" w:rsidRDefault="006A7A3F">
      <w:pPr>
        <w:pStyle w:val="BodyText"/>
        <w:spacing w:before="5"/>
        <w:ind w:left="0"/>
        <w:rPr>
          <w:sz w:val="21"/>
        </w:rPr>
      </w:pPr>
    </w:p>
    <w:p w:rsidR="006A7A3F" w:rsidRDefault="00BC7372">
      <w:pPr>
        <w:pStyle w:val="BodyText"/>
        <w:spacing w:before="0" w:line="249" w:lineRule="auto"/>
        <w:ind w:right="197"/>
      </w:pPr>
      <w:r>
        <w:rPr>
          <w:color w:val="231F20"/>
        </w:rPr>
        <w:t>Thomson Reservoir harvests most of the flow from the Thomson River upper catchment and has a significant effect on flow in all downstream reaches. Natural flow from the Aberfeldy River, which meets the Thomson River below Thomson Reservoir, is essential for providing natural freshes and high flows in the Thomson River.</w:t>
      </w:r>
    </w:p>
    <w:p w:rsidR="006A7A3F" w:rsidRDefault="00BC7372">
      <w:pPr>
        <w:pStyle w:val="BodyText"/>
        <w:spacing w:line="249" w:lineRule="auto"/>
        <w:ind w:right="345"/>
      </w:pPr>
      <w:r>
        <w:rPr>
          <w:color w:val="231F20"/>
          <w:spacing w:val="-3"/>
        </w:rPr>
        <w:t xml:space="preserve">Water </w:t>
      </w:r>
      <w:r>
        <w:rPr>
          <w:color w:val="231F20"/>
        </w:rPr>
        <w:t>for the environment is held in the Thomson Reservoir and released into the river as required. Reach 3 of the</w:t>
      </w:r>
      <w:r>
        <w:rPr>
          <w:color w:val="231F20"/>
          <w:spacing w:val="-7"/>
        </w:rPr>
        <w:t xml:space="preserve"> </w:t>
      </w:r>
      <w:r>
        <w:rPr>
          <w:color w:val="231F20"/>
        </w:rPr>
        <w:t>Thomson</w:t>
      </w:r>
      <w:r>
        <w:rPr>
          <w:color w:val="231F20"/>
          <w:spacing w:val="-3"/>
        </w:rPr>
        <w:t xml:space="preserve"> </w:t>
      </w:r>
      <w:r>
        <w:rPr>
          <w:color w:val="231F20"/>
        </w:rPr>
        <w:t>River</w:t>
      </w:r>
      <w:r>
        <w:rPr>
          <w:color w:val="231F20"/>
          <w:spacing w:val="-4"/>
        </w:rPr>
        <w:t xml:space="preserve"> </w:t>
      </w:r>
      <w:r>
        <w:rPr>
          <w:color w:val="231F20"/>
        </w:rPr>
        <w:t>(from</w:t>
      </w:r>
      <w:r>
        <w:rPr>
          <w:color w:val="231F20"/>
          <w:spacing w:val="-3"/>
        </w:rPr>
        <w:t xml:space="preserve"> </w:t>
      </w:r>
      <w:r>
        <w:rPr>
          <w:color w:val="231F20"/>
        </w:rPr>
        <w:t>the</w:t>
      </w:r>
      <w:r>
        <w:rPr>
          <w:color w:val="231F20"/>
          <w:spacing w:val="-13"/>
        </w:rPr>
        <w:t xml:space="preserve"> </w:t>
      </w:r>
      <w:r>
        <w:rPr>
          <w:color w:val="231F20"/>
        </w:rPr>
        <w:t>Aberfeldy</w:t>
      </w:r>
      <w:r>
        <w:rPr>
          <w:color w:val="231F20"/>
          <w:spacing w:val="-3"/>
        </w:rPr>
        <w:t xml:space="preserve"> </w:t>
      </w:r>
      <w:r>
        <w:rPr>
          <w:color w:val="231F20"/>
        </w:rPr>
        <w:t>River</w:t>
      </w:r>
      <w:r>
        <w:rPr>
          <w:color w:val="231F20"/>
          <w:spacing w:val="-4"/>
        </w:rPr>
        <w:t xml:space="preserve"> </w:t>
      </w:r>
      <w:r>
        <w:rPr>
          <w:color w:val="231F20"/>
        </w:rPr>
        <w:t>confluence</w:t>
      </w:r>
      <w:r>
        <w:rPr>
          <w:color w:val="231F20"/>
          <w:spacing w:val="-3"/>
        </w:rPr>
        <w:t xml:space="preserve"> </w:t>
      </w:r>
      <w:r>
        <w:rPr>
          <w:color w:val="231F20"/>
        </w:rPr>
        <w:t>to</w:t>
      </w:r>
      <w:r>
        <w:rPr>
          <w:color w:val="231F20"/>
          <w:spacing w:val="-3"/>
        </w:rPr>
        <w:t xml:space="preserve"> </w:t>
      </w:r>
      <w:r>
        <w:rPr>
          <w:color w:val="231F20"/>
        </w:rPr>
        <w:t>Cowwarr</w:t>
      </w:r>
      <w:r>
        <w:rPr>
          <w:color w:val="231F20"/>
          <w:spacing w:val="-3"/>
        </w:rPr>
        <w:t xml:space="preserve"> </w:t>
      </w:r>
      <w:r>
        <w:rPr>
          <w:color w:val="231F20"/>
        </w:rPr>
        <w:t>Weir)</w:t>
      </w:r>
      <w:r>
        <w:rPr>
          <w:color w:val="231F20"/>
          <w:spacing w:val="-4"/>
        </w:rPr>
        <w:t xml:space="preserve"> </w:t>
      </w:r>
      <w:r>
        <w:rPr>
          <w:color w:val="231F20"/>
        </w:rPr>
        <w:t>is</w:t>
      </w:r>
      <w:r>
        <w:rPr>
          <w:color w:val="231F20"/>
          <w:spacing w:val="-4"/>
        </w:rPr>
        <w:t xml:space="preserve"> </w:t>
      </w:r>
      <w:r>
        <w:rPr>
          <w:color w:val="231F20"/>
        </w:rPr>
        <w:t>the</w:t>
      </w:r>
      <w:r>
        <w:rPr>
          <w:color w:val="231F20"/>
          <w:spacing w:val="-3"/>
        </w:rPr>
        <w:t xml:space="preserve"> </w:t>
      </w:r>
      <w:r>
        <w:rPr>
          <w:color w:val="231F20"/>
        </w:rPr>
        <w:t>highest</w:t>
      </w:r>
      <w:r>
        <w:rPr>
          <w:color w:val="231F20"/>
          <w:spacing w:val="-4"/>
        </w:rPr>
        <w:t xml:space="preserve"> </w:t>
      </w:r>
      <w:r>
        <w:rPr>
          <w:color w:val="231F20"/>
        </w:rPr>
        <w:t>priority</w:t>
      </w:r>
      <w:r>
        <w:rPr>
          <w:color w:val="231F20"/>
          <w:spacing w:val="-4"/>
        </w:rPr>
        <w:t xml:space="preserve"> </w:t>
      </w:r>
      <w:r>
        <w:rPr>
          <w:color w:val="231F20"/>
        </w:rPr>
        <w:t>for</w:t>
      </w:r>
      <w:r>
        <w:rPr>
          <w:color w:val="231F20"/>
          <w:spacing w:val="-2"/>
        </w:rPr>
        <w:t xml:space="preserve"> </w:t>
      </w:r>
      <w:r>
        <w:rPr>
          <w:color w:val="231F20"/>
        </w:rPr>
        <w:t>environmental</w:t>
      </w:r>
    </w:p>
    <w:p w:rsidR="006A7A3F" w:rsidRDefault="00BC7372">
      <w:pPr>
        <w:pStyle w:val="BodyText"/>
        <w:spacing w:before="2" w:line="249" w:lineRule="auto"/>
        <w:ind w:right="241"/>
      </w:pPr>
      <w:r>
        <w:rPr>
          <w:color w:val="231F20"/>
        </w:rPr>
        <w:t>watering due to its heritage river status, high-value native streamside vegetation, high-quality in-stream habitat and low abundance of exotic fish species.</w:t>
      </w:r>
    </w:p>
    <w:p w:rsidR="006A7A3F" w:rsidRDefault="00BC7372">
      <w:pPr>
        <w:pStyle w:val="BodyText"/>
        <w:spacing w:line="249" w:lineRule="auto"/>
        <w:ind w:right="297"/>
      </w:pPr>
      <w:r>
        <w:rPr>
          <w:color w:val="231F20"/>
        </w:rPr>
        <w:t>At Cowwarr Weir, the Thomson River splits into the old Thomson River course (reach 4a) and Rainbow Creek (reach 4b) (see Figure 2.3.1). Passing flows throughout the year are split two-thirds down reach 4a and one-third down 4b to avoid impacts to irrigators located on Rainbow Creek. Water for the environment is primarily delivered to the old Thomson River course (reach 4a) to support fish migration, because Cowwarr Weir impedes fish movement through Rainbow Creek.</w:t>
      </w:r>
    </w:p>
    <w:p w:rsidR="006A7A3F" w:rsidRDefault="00BC7372">
      <w:pPr>
        <w:pStyle w:val="BodyText"/>
        <w:spacing w:before="174" w:line="249" w:lineRule="auto"/>
        <w:ind w:right="562"/>
      </w:pPr>
      <w:r>
        <w:rPr>
          <w:color w:val="231F20"/>
        </w:rPr>
        <w:t xml:space="preserve">The Heyfield wetlands is a cluster of several pools located between the Thomson River and the township of Heyfield. Due to the construction of levees and weirs along the Thomson </w:t>
      </w:r>
      <w:r>
        <w:rPr>
          <w:color w:val="231F20"/>
          <w:spacing w:val="-3"/>
        </w:rPr>
        <w:t xml:space="preserve">River, </w:t>
      </w:r>
      <w:r>
        <w:rPr>
          <w:color w:val="231F20"/>
        </w:rPr>
        <w:t>natural wetting of river waters to the wetland rarely occurs; and while the largest pool receives stormwater from the Heyfield township,</w:t>
      </w:r>
      <w:r>
        <w:rPr>
          <w:color w:val="231F20"/>
          <w:spacing w:val="-40"/>
        </w:rPr>
        <w:t xml:space="preserve"> </w:t>
      </w:r>
      <w:r>
        <w:rPr>
          <w:color w:val="231F20"/>
        </w:rPr>
        <w:t>smaller</w:t>
      </w:r>
    </w:p>
    <w:p w:rsidR="006A7A3F" w:rsidRDefault="00BC7372">
      <w:pPr>
        <w:pStyle w:val="BodyText"/>
        <w:spacing w:before="2" w:line="249" w:lineRule="auto"/>
        <w:ind w:right="230"/>
      </w:pPr>
      <w:r>
        <w:rPr>
          <w:color w:val="231F20"/>
        </w:rPr>
        <w:t>ponds rely on rainfall or pumped water for the environment to maintain environmental values. These values include significant revegetation that has been done in recent years.</w:t>
      </w:r>
    </w:p>
    <w:p w:rsidR="0005678E" w:rsidRDefault="0005678E">
      <w:pPr>
        <w:rPr>
          <w:rFonts w:ascii="Helvetica Neue LT Std 75"/>
          <w:b/>
          <w:color w:val="231F20"/>
          <w:sz w:val="19"/>
        </w:rPr>
      </w:pPr>
    </w:p>
    <w:p w:rsidR="006A7A3F" w:rsidRDefault="00BC7372">
      <w:pPr>
        <w:spacing w:before="181"/>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197"/>
      </w:pPr>
      <w:r>
        <w:rPr>
          <w:color w:val="231F20"/>
        </w:rPr>
        <w:t>The Thomson River supports six native species of migratory fish that need to move between the sea and freshwater</w:t>
      </w:r>
      <w:r>
        <w:rPr>
          <w:color w:val="231F20"/>
          <w:spacing w:val="-2"/>
        </w:rPr>
        <w:t xml:space="preserve"> </w:t>
      </w:r>
      <w:r>
        <w:rPr>
          <w:color w:val="231F20"/>
        </w:rPr>
        <w:t>environments</w:t>
      </w:r>
      <w:r>
        <w:rPr>
          <w:color w:val="231F20"/>
          <w:spacing w:val="-2"/>
        </w:rPr>
        <w:t xml:space="preserve"> </w:t>
      </w:r>
      <w:r>
        <w:rPr>
          <w:color w:val="231F20"/>
        </w:rPr>
        <w:t>to</w:t>
      </w:r>
      <w:r>
        <w:rPr>
          <w:color w:val="231F20"/>
          <w:spacing w:val="-2"/>
        </w:rPr>
        <w:t xml:space="preserve"> </w:t>
      </w:r>
      <w:r>
        <w:rPr>
          <w:color w:val="231F20"/>
        </w:rPr>
        <w:t>complete</w:t>
      </w:r>
      <w:r>
        <w:rPr>
          <w:color w:val="231F20"/>
          <w:spacing w:val="-2"/>
        </w:rPr>
        <w:t xml:space="preserve"> </w:t>
      </w:r>
      <w:r>
        <w:rPr>
          <w:color w:val="231F20"/>
        </w:rPr>
        <w:t>their</w:t>
      </w:r>
      <w:r>
        <w:rPr>
          <w:color w:val="231F20"/>
          <w:spacing w:val="-1"/>
        </w:rPr>
        <w:t xml:space="preserve"> </w:t>
      </w:r>
      <w:r>
        <w:rPr>
          <w:color w:val="231F20"/>
        </w:rPr>
        <w:t>life</w:t>
      </w:r>
      <w:r>
        <w:rPr>
          <w:color w:val="231F20"/>
          <w:spacing w:val="-3"/>
        </w:rPr>
        <w:t xml:space="preserve"> </w:t>
      </w:r>
      <w:r>
        <w:rPr>
          <w:color w:val="231F20"/>
        </w:rPr>
        <w:t>cycles.</w:t>
      </w:r>
      <w:r>
        <w:rPr>
          <w:color w:val="231F20"/>
          <w:spacing w:val="-13"/>
        </w:rPr>
        <w:t xml:space="preserve"> </w:t>
      </w:r>
      <w:r>
        <w:rPr>
          <w:color w:val="231F20"/>
        </w:rPr>
        <w:t>A</w:t>
      </w:r>
      <w:r>
        <w:rPr>
          <w:color w:val="231F20"/>
          <w:spacing w:val="-12"/>
        </w:rPr>
        <w:t xml:space="preserve"> </w:t>
      </w:r>
      <w:r>
        <w:rPr>
          <w:color w:val="231F20"/>
        </w:rPr>
        <w:t>focus</w:t>
      </w:r>
      <w:r>
        <w:rPr>
          <w:color w:val="231F20"/>
          <w:spacing w:val="-2"/>
        </w:rPr>
        <w:t xml:space="preserve"> </w:t>
      </w:r>
      <w:r>
        <w:rPr>
          <w:color w:val="231F20"/>
        </w:rPr>
        <w:t>for</w:t>
      </w:r>
      <w:r>
        <w:rPr>
          <w:color w:val="231F20"/>
          <w:spacing w:val="-2"/>
        </w:rPr>
        <w:t xml:space="preserve"> </w:t>
      </w:r>
      <w:r>
        <w:rPr>
          <w:color w:val="231F20"/>
        </w:rPr>
        <w:t>environmental</w:t>
      </w:r>
      <w:r>
        <w:rPr>
          <w:color w:val="231F20"/>
          <w:spacing w:val="-1"/>
        </w:rPr>
        <w:t xml:space="preserve"> </w:t>
      </w:r>
      <w:r>
        <w:rPr>
          <w:color w:val="231F20"/>
        </w:rPr>
        <w:t>flows</w:t>
      </w:r>
      <w:r>
        <w:rPr>
          <w:color w:val="231F20"/>
          <w:spacing w:val="-2"/>
        </w:rPr>
        <w:t xml:space="preserve"> </w:t>
      </w:r>
      <w:r>
        <w:rPr>
          <w:color w:val="231F20"/>
        </w:rPr>
        <w:t>management</w:t>
      </w:r>
      <w:r>
        <w:rPr>
          <w:color w:val="231F20"/>
          <w:spacing w:val="-2"/>
        </w:rPr>
        <w:t xml:space="preserve"> </w:t>
      </w:r>
      <w:r>
        <w:rPr>
          <w:color w:val="231F20"/>
        </w:rPr>
        <w:t>is</w:t>
      </w:r>
      <w:r>
        <w:rPr>
          <w:color w:val="231F20"/>
          <w:spacing w:val="-3"/>
        </w:rPr>
        <w:t xml:space="preserve"> </w:t>
      </w:r>
      <w:r>
        <w:rPr>
          <w:color w:val="231F20"/>
        </w:rPr>
        <w:t>the</w:t>
      </w:r>
      <w:r>
        <w:rPr>
          <w:color w:val="231F20"/>
          <w:spacing w:val="-12"/>
        </w:rPr>
        <w:t xml:space="preserve"> </w:t>
      </w:r>
      <w:r>
        <w:rPr>
          <w:color w:val="231F20"/>
        </w:rPr>
        <w:t>Australian grayling, which is listed as a threatened species in Victoria. Australian grayling spawn in response to autumn freshes, and the larvae and juveniles spend time at sea before returning to the freshwater sections of coastal</w:t>
      </w:r>
      <w:r>
        <w:rPr>
          <w:color w:val="231F20"/>
          <w:spacing w:val="-31"/>
        </w:rPr>
        <w:t xml:space="preserve"> </w:t>
      </w:r>
      <w:r>
        <w:rPr>
          <w:color w:val="231F20"/>
        </w:rPr>
        <w:t>rivers.</w:t>
      </w:r>
    </w:p>
    <w:p w:rsidR="006A7A3F" w:rsidRDefault="00BC7372" w:rsidP="00BA18F7">
      <w:pPr>
        <w:pStyle w:val="BodyText"/>
        <w:spacing w:before="173" w:line="249" w:lineRule="auto"/>
        <w:ind w:right="797"/>
      </w:pPr>
      <w:r>
        <w:rPr>
          <w:color w:val="231F20"/>
        </w:rPr>
        <w:t>The composition and condition of streamside vegetation varies throughout the Thomson River catchment. The vegetation is intact and near-natural condition above Thomson Reservoir in the Baw Baw National Park.</w:t>
      </w:r>
      <w:r w:rsidR="00BA18F7">
        <w:t xml:space="preserve"> </w:t>
      </w:r>
      <w:r>
        <w:rPr>
          <w:color w:val="231F20"/>
        </w:rPr>
        <w:t>Streamside vegetation between Thomson Reservoir and Cowwarr Weir is mostly in good condition but is affected by exotic weeds including blackberry and gorse. Below the Cowwarr Weir, the vegetation is degraded due to stock access and widespread weed invasion.</w:t>
      </w:r>
    </w:p>
    <w:p w:rsidR="006A7A3F" w:rsidRDefault="00BC7372">
      <w:pPr>
        <w:pStyle w:val="BodyText"/>
        <w:spacing w:line="249" w:lineRule="auto"/>
        <w:ind w:right="552"/>
      </w:pPr>
      <w:r>
        <w:rPr>
          <w:color w:val="231F20"/>
        </w:rPr>
        <w:t>The Heyfield wetlands are one of the few remaining freshwater wetland sites in the Gippsland Plains landscape area, and they are a source of habitat for aquatic and terrestrial animals that prefer shallow, slow-moving waterbodies, including threatened migratory birds.</w:t>
      </w:r>
    </w:p>
    <w:p w:rsidR="00BA18F7" w:rsidRDefault="00BA18F7">
      <w:pPr>
        <w:rPr>
          <w:rFonts w:ascii="Helvetica Neue LT Std 75"/>
          <w:b/>
          <w:color w:val="231F20"/>
          <w:sz w:val="19"/>
        </w:rPr>
      </w:pPr>
      <w:r>
        <w:rPr>
          <w:rFonts w:ascii="Helvetica Neue LT Std 75"/>
          <w:b/>
          <w:color w:val="231F20"/>
          <w:sz w:val="19"/>
        </w:rPr>
        <w:br w:type="page"/>
      </w:r>
    </w:p>
    <w:p w:rsidR="006A7A3F" w:rsidRDefault="00BC7372">
      <w:pPr>
        <w:spacing w:before="182"/>
        <w:ind w:left="210"/>
        <w:rPr>
          <w:rFonts w:ascii="Helvetica Neue LT Std 75"/>
          <w:b/>
          <w:sz w:val="19"/>
        </w:rPr>
      </w:pPr>
      <w:r>
        <w:rPr>
          <w:rFonts w:ascii="Helvetica Neue LT Std 75"/>
          <w:b/>
          <w:color w:val="231F20"/>
          <w:sz w:val="19"/>
        </w:rPr>
        <w:t>Environmental watering objectives in the Thomson system</w:t>
      </w:r>
    </w:p>
    <w:p w:rsidR="006A7A3F" w:rsidRDefault="006A7A3F">
      <w:pPr>
        <w:pStyle w:val="BodyText"/>
        <w:spacing w:before="12"/>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473"/>
        </w:trPr>
        <w:tc>
          <w:tcPr>
            <w:tcW w:w="789" w:type="dxa"/>
            <w:tcBorders>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7"/>
              <w:ind w:left="0"/>
              <w:rPr>
                <w:rFonts w:ascii="Helvetica Neue LT Std 75"/>
                <w:b/>
                <w:sz w:val="13"/>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0" cy="310896"/>
                  <wp:effectExtent l="0" t="0" r="0" b="0"/>
                  <wp:docPr id="169"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9.jpeg"/>
                          <pic:cNvPicPr/>
                        </pic:nvPicPr>
                        <pic:blipFill>
                          <a:blip r:embed="rId31" cstate="print"/>
                          <a:stretch>
                            <a:fillRect/>
                          </a:stretch>
                        </pic:blipFill>
                        <pic:spPr>
                          <a:xfrm>
                            <a:off x="0" y="0"/>
                            <a:ext cx="314170"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36" w:line="261" w:lineRule="auto"/>
              <w:ind w:left="118" w:right="492"/>
              <w:rPr>
                <w:sz w:val="16"/>
              </w:rPr>
            </w:pPr>
            <w:r>
              <w:rPr>
                <w:color w:val="231F20"/>
                <w:sz w:val="16"/>
              </w:rPr>
              <w:t>Restore populations of native fish, specifically Australian grayling</w:t>
            </w:r>
          </w:p>
          <w:p w:rsidR="006A7A3F" w:rsidRDefault="00BC7372">
            <w:pPr>
              <w:pStyle w:val="TableParagraph"/>
              <w:spacing w:before="112" w:line="261" w:lineRule="auto"/>
              <w:ind w:left="118" w:right="581"/>
              <w:rPr>
                <w:sz w:val="16"/>
              </w:rPr>
            </w:pPr>
            <w:r>
              <w:rPr>
                <w:color w:val="231F20"/>
                <w:sz w:val="16"/>
              </w:rPr>
              <w:t>Maintain/enhance the structure of native fish communities</w:t>
            </w:r>
          </w:p>
          <w:p w:rsidR="006A7A3F" w:rsidRDefault="00BC7372">
            <w:pPr>
              <w:pStyle w:val="TableParagraph"/>
              <w:spacing w:before="113"/>
              <w:ind w:left="118"/>
              <w:rPr>
                <w:sz w:val="16"/>
              </w:rPr>
            </w:pPr>
            <w:r>
              <w:rPr>
                <w:color w:val="231F20"/>
                <w:sz w:val="16"/>
              </w:rPr>
              <w:t>Reduce competition from exotic fish</w:t>
            </w:r>
          </w:p>
        </w:tc>
      </w:tr>
      <w:tr w:rsidR="006A7A3F">
        <w:trPr>
          <w:trHeight w:val="660"/>
        </w:trPr>
        <w:tc>
          <w:tcPr>
            <w:tcW w:w="789" w:type="dxa"/>
            <w:tcBorders>
              <w:top w:val="single" w:sz="8" w:space="0" w:color="FFFFFF"/>
              <w:bottom w:val="single" w:sz="8" w:space="0" w:color="FFFFFF"/>
            </w:tcBorders>
            <w:shd w:val="clear" w:color="auto" w:fill="E6E7E8"/>
          </w:tcPr>
          <w:p w:rsidR="006A7A3F" w:rsidRDefault="006A7A3F">
            <w:pPr>
              <w:pStyle w:val="TableParagraph"/>
              <w:spacing w:before="1"/>
              <w:ind w:left="0"/>
              <w:rPr>
                <w:rFonts w:ascii="Helvetica Neue LT Std 75"/>
                <w:b/>
                <w:sz w:val="6"/>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1" cy="310896"/>
                  <wp:effectExtent l="0" t="0" r="0" b="0"/>
                  <wp:docPr id="171"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5.jpeg"/>
                          <pic:cNvPicPr/>
                        </pic:nvPicPr>
                        <pic:blipFill>
                          <a:blip r:embed="rId37" cstate="print"/>
                          <a:stretch>
                            <a:fillRect/>
                          </a:stretch>
                        </pic:blipFill>
                        <pic:spPr>
                          <a:xfrm>
                            <a:off x="0" y="0"/>
                            <a:ext cx="314171"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89"/>
              <w:rPr>
                <w:sz w:val="16"/>
              </w:rPr>
            </w:pPr>
            <w:r>
              <w:rPr>
                <w:color w:val="231F20"/>
                <w:sz w:val="16"/>
              </w:rPr>
              <w:t>Maintain the existing frog population and enhance opportunities for breeding</w:t>
            </w:r>
          </w:p>
        </w:tc>
      </w:tr>
      <w:tr w:rsidR="0005678E">
        <w:trPr>
          <w:trHeight w:val="660"/>
        </w:trPr>
        <w:tc>
          <w:tcPr>
            <w:tcW w:w="789" w:type="dxa"/>
            <w:tcBorders>
              <w:top w:val="single" w:sz="8" w:space="0" w:color="FFFFFF"/>
              <w:bottom w:val="single" w:sz="8" w:space="0" w:color="FFFFFF"/>
            </w:tcBorders>
            <w:shd w:val="clear" w:color="auto" w:fill="E6E7E8"/>
          </w:tcPr>
          <w:p w:rsidR="0005678E" w:rsidRDefault="0005678E">
            <w:pPr>
              <w:pStyle w:val="TableParagraph"/>
              <w:spacing w:before="1"/>
              <w:ind w:left="0"/>
              <w:rPr>
                <w:rFonts w:ascii="Helvetica Neue LT Std 75"/>
                <w:b/>
                <w:sz w:val="6"/>
              </w:rPr>
            </w:pPr>
          </w:p>
          <w:p w:rsidR="0005678E" w:rsidRDefault="0005678E">
            <w:pPr>
              <w:pStyle w:val="TableParagraph"/>
              <w:spacing w:before="1"/>
              <w:ind w:left="0"/>
              <w:rPr>
                <w:rFonts w:ascii="Helvetica Neue LT Std 75"/>
                <w:b/>
                <w:sz w:val="6"/>
              </w:rPr>
            </w:pPr>
            <w:r>
              <w:rPr>
                <w:rFonts w:ascii="Helvetica Neue LT Std 75"/>
                <w:b/>
                <w:sz w:val="6"/>
              </w:rPr>
              <w:t xml:space="preserve">          </w:t>
            </w:r>
            <w:r>
              <w:rPr>
                <w:rFonts w:ascii="Helvetica Neue LT Std 75"/>
                <w:noProof/>
                <w:sz w:val="20"/>
              </w:rPr>
              <w:drawing>
                <wp:inline distT="0" distB="0" distL="0" distR="0" wp14:anchorId="57278D9A" wp14:editId="23703087">
                  <wp:extent cx="314276" cy="307848"/>
                  <wp:effectExtent l="0" t="0" r="0" b="0"/>
                  <wp:docPr id="216"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8.jpeg"/>
                          <pic:cNvPicPr/>
                        </pic:nvPicPr>
                        <pic:blipFill>
                          <a:blip r:embed="rId40" cstate="print"/>
                          <a:stretch>
                            <a:fillRect/>
                          </a:stretch>
                        </pic:blipFill>
                        <pic:spPr>
                          <a:xfrm>
                            <a:off x="0" y="0"/>
                            <a:ext cx="314276" cy="307848"/>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05678E" w:rsidRDefault="0005678E">
            <w:pPr>
              <w:pStyle w:val="TableParagraph"/>
              <w:spacing w:before="126" w:line="261" w:lineRule="auto"/>
              <w:ind w:left="118" w:right="189"/>
              <w:rPr>
                <w:color w:val="231F20"/>
                <w:sz w:val="16"/>
              </w:rPr>
            </w:pPr>
            <w:r>
              <w:rPr>
                <w:color w:val="231F20"/>
                <w:sz w:val="16"/>
              </w:rPr>
              <w:t>Maintain channel form diversity including pools, to provide a variety of habitats for aquatic animals</w:t>
            </w:r>
          </w:p>
        </w:tc>
      </w:tr>
      <w:tr w:rsidR="0005678E">
        <w:trPr>
          <w:trHeight w:val="660"/>
        </w:trPr>
        <w:tc>
          <w:tcPr>
            <w:tcW w:w="789" w:type="dxa"/>
            <w:tcBorders>
              <w:top w:val="single" w:sz="8" w:space="0" w:color="FFFFFF"/>
              <w:bottom w:val="single" w:sz="8" w:space="0" w:color="FFFFFF"/>
            </w:tcBorders>
            <w:shd w:val="clear" w:color="auto" w:fill="E6E7E8"/>
          </w:tcPr>
          <w:p w:rsidR="0005678E" w:rsidRDefault="0005678E" w:rsidP="0005678E">
            <w:pPr>
              <w:pStyle w:val="TableParagraph"/>
              <w:spacing w:before="1"/>
              <w:ind w:left="0"/>
              <w:rPr>
                <w:rFonts w:ascii="Helvetica Neue LT Std 75"/>
                <w:b/>
                <w:sz w:val="6"/>
              </w:rPr>
            </w:pPr>
            <w:r>
              <w:rPr>
                <w:rFonts w:ascii="Helvetica Neue LT Std 75"/>
                <w:b/>
                <w:sz w:val="6"/>
              </w:rPr>
              <w:t xml:space="preserve">  </w:t>
            </w:r>
          </w:p>
          <w:p w:rsidR="0005678E" w:rsidRDefault="0005678E" w:rsidP="0005678E">
            <w:pPr>
              <w:pStyle w:val="TableParagraph"/>
              <w:spacing w:before="1"/>
              <w:ind w:left="0"/>
              <w:rPr>
                <w:rFonts w:ascii="Helvetica Neue LT Std 75"/>
                <w:b/>
                <w:sz w:val="6"/>
              </w:rPr>
            </w:pPr>
            <w:r>
              <w:rPr>
                <w:rFonts w:ascii="Helvetica Neue LT Std 75"/>
                <w:b/>
                <w:sz w:val="6"/>
              </w:rPr>
              <w:t xml:space="preserve">  </w:t>
            </w:r>
            <w:r w:rsidR="00125631">
              <w:rPr>
                <w:rFonts w:ascii="Helvetica Neue LT Std 75"/>
                <w:b/>
                <w:sz w:val="6"/>
              </w:rPr>
              <w:t xml:space="preserve"> </w:t>
            </w:r>
            <w:r>
              <w:rPr>
                <w:rFonts w:ascii="Helvetica Neue LT Std 75"/>
                <w:b/>
                <w:sz w:val="6"/>
              </w:rPr>
              <w:t xml:space="preserve">      </w:t>
            </w:r>
            <w:r>
              <w:rPr>
                <w:rFonts w:ascii="Helvetica Neue LT Std 75"/>
                <w:noProof/>
                <w:sz w:val="20"/>
              </w:rPr>
              <w:drawing>
                <wp:inline distT="0" distB="0" distL="0" distR="0" wp14:anchorId="28D21155" wp14:editId="1DEFC31F">
                  <wp:extent cx="326488" cy="323088"/>
                  <wp:effectExtent l="0" t="0" r="0" b="0"/>
                  <wp:docPr id="222"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9.jpeg"/>
                          <pic:cNvPicPr/>
                        </pic:nvPicPr>
                        <pic:blipFill>
                          <a:blip r:embed="rId41" cstate="print"/>
                          <a:stretch>
                            <a:fillRect/>
                          </a:stretch>
                        </pic:blipFill>
                        <pic:spPr>
                          <a:xfrm>
                            <a:off x="0" y="0"/>
                            <a:ext cx="326488" cy="323088"/>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05678E" w:rsidRDefault="0005678E" w:rsidP="0005678E">
            <w:pPr>
              <w:pStyle w:val="TableParagraph"/>
              <w:spacing w:before="119"/>
              <w:ind w:left="113"/>
              <w:rPr>
                <w:sz w:val="16"/>
              </w:rPr>
            </w:pPr>
            <w:r>
              <w:rPr>
                <w:color w:val="231F20"/>
                <w:sz w:val="16"/>
              </w:rPr>
              <w:t>Increase the abundance of platypus</w:t>
            </w:r>
          </w:p>
        </w:tc>
      </w:tr>
      <w:tr w:rsidR="00125631">
        <w:trPr>
          <w:trHeight w:val="660"/>
        </w:trPr>
        <w:tc>
          <w:tcPr>
            <w:tcW w:w="789" w:type="dxa"/>
            <w:tcBorders>
              <w:top w:val="single" w:sz="8" w:space="0" w:color="FFFFFF"/>
              <w:bottom w:val="single" w:sz="8" w:space="0" w:color="FFFFFF"/>
            </w:tcBorders>
            <w:shd w:val="clear" w:color="auto" w:fill="E6E7E8"/>
          </w:tcPr>
          <w:p w:rsidR="00125631" w:rsidRDefault="00125631" w:rsidP="00125631">
            <w:pPr>
              <w:pStyle w:val="TableParagraph"/>
              <w:ind w:left="0"/>
              <w:rPr>
                <w:rFonts w:ascii="Helvetica Neue LT Std 75"/>
                <w:b/>
                <w:sz w:val="20"/>
              </w:rPr>
            </w:pPr>
          </w:p>
          <w:p w:rsidR="00125631" w:rsidRDefault="00125631" w:rsidP="00125631">
            <w:pPr>
              <w:pStyle w:val="TableParagraph"/>
              <w:ind w:left="0"/>
              <w:rPr>
                <w:rFonts w:ascii="Helvetica Neue LT Std 75"/>
                <w:b/>
                <w:sz w:val="20"/>
              </w:rPr>
            </w:pPr>
          </w:p>
          <w:p w:rsidR="00125631" w:rsidRDefault="00125631" w:rsidP="00125631">
            <w:pPr>
              <w:pStyle w:val="TableParagraph"/>
              <w:ind w:left="0"/>
              <w:rPr>
                <w:rFonts w:ascii="Helvetica Neue LT Std 75"/>
                <w:b/>
                <w:sz w:val="20"/>
              </w:rPr>
            </w:pPr>
          </w:p>
          <w:p w:rsidR="00125631" w:rsidRDefault="00125631" w:rsidP="00125631">
            <w:pPr>
              <w:pStyle w:val="TableParagraph"/>
              <w:ind w:left="0"/>
              <w:rPr>
                <w:rFonts w:ascii="Helvetica Neue LT Std 75"/>
                <w:b/>
                <w:sz w:val="20"/>
              </w:rPr>
            </w:pPr>
          </w:p>
          <w:p w:rsidR="00125631" w:rsidRDefault="00125631" w:rsidP="00125631">
            <w:pPr>
              <w:pStyle w:val="TableParagraph"/>
              <w:spacing w:before="1" w:after="1"/>
              <w:ind w:left="0"/>
              <w:rPr>
                <w:rFonts w:ascii="Helvetica Neue LT Std 75"/>
                <w:b/>
                <w:sz w:val="13"/>
              </w:rPr>
            </w:pPr>
          </w:p>
          <w:p w:rsidR="00125631" w:rsidRDefault="00125631" w:rsidP="00125631">
            <w:pPr>
              <w:pStyle w:val="TableParagraph"/>
              <w:spacing w:before="1"/>
              <w:ind w:left="0"/>
              <w:rPr>
                <w:rFonts w:ascii="Helvetica Neue LT Std 75"/>
                <w:b/>
                <w:sz w:val="6"/>
              </w:rPr>
            </w:pPr>
            <w:r>
              <w:rPr>
                <w:rFonts w:ascii="Helvetica Neue LT Std 75"/>
                <w:b/>
                <w:sz w:val="6"/>
              </w:rPr>
              <w:t xml:space="preserve">          </w:t>
            </w:r>
            <w:r>
              <w:rPr>
                <w:rFonts w:ascii="Helvetica Neue LT Std 75"/>
                <w:noProof/>
                <w:sz w:val="20"/>
              </w:rPr>
              <w:drawing>
                <wp:inline distT="0" distB="0" distL="0" distR="0" wp14:anchorId="6F6283D5" wp14:editId="316886EE">
                  <wp:extent cx="314167" cy="310896"/>
                  <wp:effectExtent l="0" t="0" r="0" b="0"/>
                  <wp:docPr id="224"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1.jpeg"/>
                          <pic:cNvPicPr/>
                        </pic:nvPicPr>
                        <pic:blipFill>
                          <a:blip r:embed="rId33" cstate="print"/>
                          <a:stretch>
                            <a:fillRect/>
                          </a:stretch>
                        </pic:blipFill>
                        <pic:spPr>
                          <a:xfrm>
                            <a:off x="0" y="0"/>
                            <a:ext cx="314167"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125631" w:rsidRDefault="00125631" w:rsidP="00125631">
            <w:pPr>
              <w:pStyle w:val="TableParagraph"/>
              <w:spacing w:before="119" w:line="261" w:lineRule="auto"/>
              <w:ind w:left="113" w:right="129"/>
              <w:rPr>
                <w:sz w:val="16"/>
              </w:rPr>
            </w:pPr>
            <w:r>
              <w:rPr>
                <w:color w:val="231F20"/>
                <w:sz w:val="16"/>
              </w:rPr>
              <w:t>Maintain and restore the structural diversity and zonation of streamside vegetation and reduce terrestrial encroachment/invasion (Thomson River)</w:t>
            </w:r>
          </w:p>
          <w:p w:rsidR="00125631" w:rsidRDefault="00125631" w:rsidP="00125631">
            <w:pPr>
              <w:pStyle w:val="TableParagraph"/>
              <w:spacing w:before="112" w:line="261" w:lineRule="auto"/>
              <w:ind w:left="113" w:right="529"/>
              <w:jc w:val="both"/>
              <w:rPr>
                <w:sz w:val="16"/>
              </w:rPr>
            </w:pPr>
            <w:r>
              <w:rPr>
                <w:color w:val="231F20"/>
                <w:sz w:val="16"/>
              </w:rPr>
              <w:t>Increase the recruitment and growth of native in-stream, fringing and streamside vegetation (Thomson River)</w:t>
            </w:r>
          </w:p>
          <w:p w:rsidR="00125631" w:rsidRDefault="00125631" w:rsidP="00125631">
            <w:pPr>
              <w:pStyle w:val="TableParagraph"/>
              <w:spacing w:before="111" w:line="261" w:lineRule="auto"/>
              <w:ind w:left="113" w:right="182"/>
              <w:rPr>
                <w:sz w:val="16"/>
              </w:rPr>
            </w:pPr>
            <w:r>
              <w:rPr>
                <w:color w:val="231F20"/>
                <w:sz w:val="16"/>
              </w:rPr>
              <w:t>Maintain the existing vegetation, promote the growth and establishment of semi-aquatic species (Heyfield wetlands)</w:t>
            </w:r>
          </w:p>
          <w:p w:rsidR="00125631" w:rsidRDefault="00125631" w:rsidP="00125631">
            <w:pPr>
              <w:pStyle w:val="TableParagraph"/>
              <w:spacing w:before="119"/>
              <w:ind w:left="113"/>
              <w:rPr>
                <w:color w:val="231F20"/>
                <w:sz w:val="16"/>
              </w:rPr>
            </w:pPr>
            <w:r>
              <w:rPr>
                <w:color w:val="231F20"/>
                <w:sz w:val="16"/>
              </w:rPr>
              <w:t>Enhance the resilience of semi-aquatic and streamside woodland species (Heyfield wetlands)</w:t>
            </w:r>
          </w:p>
          <w:p w:rsidR="00125631" w:rsidRDefault="00125631" w:rsidP="00125631">
            <w:pPr>
              <w:pStyle w:val="TableParagraph"/>
              <w:spacing w:before="119"/>
              <w:ind w:left="113"/>
              <w:rPr>
                <w:color w:val="231F20"/>
                <w:sz w:val="16"/>
              </w:rPr>
            </w:pPr>
          </w:p>
        </w:tc>
      </w:tr>
      <w:tr w:rsidR="00125631">
        <w:trPr>
          <w:trHeight w:val="660"/>
        </w:trPr>
        <w:tc>
          <w:tcPr>
            <w:tcW w:w="789" w:type="dxa"/>
            <w:tcBorders>
              <w:top w:val="single" w:sz="8" w:space="0" w:color="FFFFFF"/>
              <w:bottom w:val="single" w:sz="8" w:space="0" w:color="FFFFFF"/>
            </w:tcBorders>
            <w:shd w:val="clear" w:color="auto" w:fill="E6E7E8"/>
          </w:tcPr>
          <w:p w:rsidR="00125631" w:rsidRDefault="00125631" w:rsidP="00125631">
            <w:pPr>
              <w:pStyle w:val="TableParagraph"/>
              <w:spacing w:before="8"/>
              <w:ind w:left="0"/>
              <w:rPr>
                <w:rFonts w:ascii="Helvetica Neue LT Std 75"/>
                <w:b/>
                <w:sz w:val="5"/>
              </w:rPr>
            </w:pPr>
          </w:p>
          <w:p w:rsidR="00125631" w:rsidRDefault="00125631" w:rsidP="00125631">
            <w:pPr>
              <w:pStyle w:val="TableParagraph"/>
              <w:ind w:left="178"/>
              <w:rPr>
                <w:rFonts w:ascii="Helvetica Neue LT Std 75"/>
                <w:sz w:val="20"/>
              </w:rPr>
            </w:pPr>
            <w:r>
              <w:rPr>
                <w:rFonts w:ascii="Helvetica Neue LT Std 75"/>
                <w:noProof/>
                <w:sz w:val="20"/>
              </w:rPr>
              <w:drawing>
                <wp:inline distT="0" distB="0" distL="0" distR="0" wp14:anchorId="1B35ACEE" wp14:editId="7537F4E8">
                  <wp:extent cx="314170" cy="310896"/>
                  <wp:effectExtent l="0" t="0" r="0" b="0"/>
                  <wp:docPr id="226"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2.jpeg"/>
                          <pic:cNvPicPr/>
                        </pic:nvPicPr>
                        <pic:blipFill>
                          <a:blip r:embed="rId34" cstate="print"/>
                          <a:stretch>
                            <a:fillRect/>
                          </a:stretch>
                        </pic:blipFill>
                        <pic:spPr>
                          <a:xfrm>
                            <a:off x="0" y="0"/>
                            <a:ext cx="314170"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125631" w:rsidRDefault="00125631" w:rsidP="00125631">
            <w:pPr>
              <w:pStyle w:val="TableParagraph"/>
              <w:spacing w:before="119" w:line="261" w:lineRule="auto"/>
              <w:ind w:left="113" w:right="129"/>
              <w:rPr>
                <w:color w:val="231F20"/>
                <w:sz w:val="16"/>
              </w:rPr>
            </w:pPr>
            <w:r>
              <w:rPr>
                <w:color w:val="231F20"/>
                <w:sz w:val="16"/>
              </w:rPr>
              <w:t>Restore and maintain the natural invertebrate community</w:t>
            </w:r>
          </w:p>
        </w:tc>
      </w:tr>
      <w:tr w:rsidR="00125631">
        <w:trPr>
          <w:trHeight w:val="660"/>
        </w:trPr>
        <w:tc>
          <w:tcPr>
            <w:tcW w:w="789" w:type="dxa"/>
            <w:tcBorders>
              <w:top w:val="single" w:sz="8" w:space="0" w:color="FFFFFF"/>
              <w:bottom w:val="single" w:sz="8" w:space="0" w:color="FFFFFF"/>
            </w:tcBorders>
            <w:shd w:val="clear" w:color="auto" w:fill="E6E7E8"/>
          </w:tcPr>
          <w:p w:rsidR="00125631" w:rsidRDefault="00125631" w:rsidP="00125631">
            <w:pPr>
              <w:pStyle w:val="TableParagraph"/>
              <w:ind w:left="0"/>
              <w:rPr>
                <w:rFonts w:ascii="Helvetica Neue LT Std 75"/>
                <w:b/>
                <w:sz w:val="20"/>
              </w:rPr>
            </w:pPr>
          </w:p>
          <w:p w:rsidR="00125631" w:rsidRDefault="00125631" w:rsidP="00125631">
            <w:pPr>
              <w:pStyle w:val="TableParagraph"/>
              <w:spacing w:before="1" w:after="1"/>
              <w:ind w:left="0"/>
              <w:rPr>
                <w:rFonts w:ascii="Helvetica Neue LT Std 75"/>
                <w:b/>
                <w:sz w:val="17"/>
              </w:rPr>
            </w:pPr>
          </w:p>
          <w:p w:rsidR="00125631" w:rsidRDefault="00125631" w:rsidP="00125631">
            <w:pPr>
              <w:pStyle w:val="TableParagraph"/>
              <w:ind w:left="178"/>
              <w:rPr>
                <w:rFonts w:ascii="Helvetica Neue LT Std 75"/>
                <w:sz w:val="20"/>
              </w:rPr>
            </w:pPr>
            <w:r>
              <w:rPr>
                <w:rFonts w:ascii="Helvetica Neue LT Std 75"/>
                <w:noProof/>
                <w:sz w:val="20"/>
              </w:rPr>
              <w:drawing>
                <wp:inline distT="0" distB="0" distL="0" distR="0" wp14:anchorId="12A3E169" wp14:editId="340B38FC">
                  <wp:extent cx="314168" cy="310896"/>
                  <wp:effectExtent l="0" t="0" r="0" b="0"/>
                  <wp:docPr id="228"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125631" w:rsidRDefault="00125631" w:rsidP="00125631">
            <w:pPr>
              <w:pStyle w:val="TableParagraph"/>
              <w:spacing w:before="119" w:line="261" w:lineRule="auto"/>
              <w:ind w:left="113" w:right="102"/>
              <w:rPr>
                <w:sz w:val="16"/>
              </w:rPr>
            </w:pPr>
            <w:r>
              <w:rPr>
                <w:color w:val="231F20"/>
                <w:sz w:val="16"/>
              </w:rPr>
              <w:t>Provide freshwater habitat for migratory and non- migratory wetland birds within the Gippsland Plains landscape</w:t>
            </w:r>
          </w:p>
          <w:p w:rsidR="00125631" w:rsidRDefault="00125631" w:rsidP="00125631">
            <w:pPr>
              <w:pStyle w:val="TableParagraph"/>
              <w:spacing w:before="119" w:line="261" w:lineRule="auto"/>
              <w:ind w:left="113" w:right="129"/>
              <w:rPr>
                <w:color w:val="231F20"/>
                <w:sz w:val="16"/>
              </w:rPr>
            </w:pPr>
            <w:r>
              <w:rPr>
                <w:color w:val="231F20"/>
                <w:sz w:val="16"/>
              </w:rPr>
              <w:t>Continue to support observed terrestrial woodland and grassland birds by maintaining their streamside woodland habitat</w:t>
            </w:r>
          </w:p>
          <w:p w:rsidR="00125631" w:rsidRDefault="00125631" w:rsidP="00125631">
            <w:pPr>
              <w:pStyle w:val="TableParagraph"/>
              <w:spacing w:before="119" w:line="261" w:lineRule="auto"/>
              <w:ind w:left="113" w:right="129"/>
              <w:rPr>
                <w:color w:val="231F20"/>
                <w:sz w:val="16"/>
              </w:rPr>
            </w:pPr>
          </w:p>
        </w:tc>
      </w:tr>
    </w:tbl>
    <w:p w:rsidR="006A7A3F" w:rsidRDefault="006A7A3F">
      <w:pPr>
        <w:spacing w:line="261" w:lineRule="auto"/>
        <w:rPr>
          <w:sz w:val="16"/>
        </w:rPr>
        <w:sectPr w:rsidR="006A7A3F" w:rsidSect="00C92D74">
          <w:pgSz w:w="11910" w:h="16840"/>
          <w:pgMar w:top="1701" w:right="851" w:bottom="1134" w:left="851" w:header="720" w:footer="720" w:gutter="0"/>
          <w:cols w:space="720"/>
        </w:sectPr>
      </w:pPr>
    </w:p>
    <w:p w:rsidR="006A7A3F" w:rsidRDefault="006A7A3F">
      <w:pPr>
        <w:pStyle w:val="BodyText"/>
        <w:spacing w:before="12"/>
        <w:ind w:left="0"/>
        <w:rPr>
          <w:rFonts w:ascii="Helvetica Neue LT Std 75"/>
          <w:b/>
          <w:sz w:val="5"/>
        </w:rPr>
      </w:pPr>
    </w:p>
    <w:p w:rsidR="006A7A3F" w:rsidRDefault="00BC7372">
      <w:pPr>
        <w:spacing w:before="62"/>
        <w:ind w:left="210"/>
        <w:rPr>
          <w:rFonts w:ascii="Helvetica Neue LT Std 75"/>
          <w:b/>
          <w:sz w:val="19"/>
        </w:rPr>
      </w:pPr>
      <w:r>
        <w:rPr>
          <w:rFonts w:ascii="Helvetica Neue LT Std 75"/>
          <w:b/>
          <w:color w:val="231F20"/>
          <w:sz w:val="19"/>
        </w:rPr>
        <w:t>Traditional Owner cultural values and uses</w:t>
      </w:r>
    </w:p>
    <w:p w:rsidR="006A7A3F" w:rsidRDefault="00BC7372" w:rsidP="00BA18F7">
      <w:pPr>
        <w:pStyle w:val="BodyText"/>
        <w:spacing w:before="68" w:line="249" w:lineRule="auto"/>
        <w:ind w:right="190"/>
      </w:pPr>
      <w:r>
        <w:rPr>
          <w:color w:val="231F20"/>
        </w:rPr>
        <w:t>The Gunaikurnai have had a continued connection to Gunaikurnai Country for thousands of years, including with the waterways in the Latrobe River system (which the Thomson River feeds into). For the Gunaikurnai as traditional custodians there are immense challenges to heal, protect and manage Country which has been</w:t>
      </w:r>
      <w:r>
        <w:rPr>
          <w:color w:val="231F20"/>
          <w:spacing w:val="-31"/>
        </w:rPr>
        <w:t xml:space="preserve"> </w:t>
      </w:r>
      <w:r>
        <w:rPr>
          <w:color w:val="231F20"/>
        </w:rPr>
        <w:t>drastically</w:t>
      </w:r>
      <w:r w:rsidR="00BA18F7">
        <w:t xml:space="preserve"> </w:t>
      </w:r>
      <w:r>
        <w:rPr>
          <w:color w:val="231F20"/>
        </w:rPr>
        <w:t>altered since colonisation. Gunaikurnai see all of Country as connected with no separation between landscapes, waterways, coasts and oceans and natural and cultural resources – the cultural landscape is interdependent.</w:t>
      </w:r>
    </w:p>
    <w:p w:rsidR="006A7A3F" w:rsidRDefault="00BC7372">
      <w:pPr>
        <w:pStyle w:val="BodyText"/>
        <w:spacing w:line="249" w:lineRule="auto"/>
        <w:ind w:right="866"/>
        <w:jc w:val="both"/>
      </w:pPr>
      <w:r>
        <w:rPr>
          <w:color w:val="231F20"/>
        </w:rPr>
        <w:t xml:space="preserve">Gunaikurnai Land and </w:t>
      </w:r>
      <w:r>
        <w:rPr>
          <w:color w:val="231F20"/>
          <w:spacing w:val="-2"/>
        </w:rPr>
        <w:t xml:space="preserve">Waters </w:t>
      </w:r>
      <w:r>
        <w:rPr>
          <w:color w:val="231F20"/>
        </w:rPr>
        <w:t>Aboriginal Corporation (GLaWAC) are working with the West Gippsland CMA to determine how to express Gunaikurnai objectives for water in a way that contributes to seasonal watering proposals from the perspective of traditional custodians, with traditional knowledge.</w:t>
      </w:r>
    </w:p>
    <w:p w:rsidR="006A7A3F" w:rsidRDefault="00BC7372">
      <w:pPr>
        <w:pStyle w:val="BodyText"/>
        <w:spacing w:before="173" w:line="249" w:lineRule="auto"/>
        <w:ind w:right="575"/>
      </w:pPr>
      <w:r>
        <w:rPr>
          <w:color w:val="231F20"/>
        </w:rPr>
        <w:t>Traditionally, Carran Carran (Thomson River) was an important meeting place and a place to camp. Today, the majority of Carran Carran is inaccessible to the Gunaikurnai making it difficult to meet and yarn along the river. Assessments for watering requirements of Carran Carran for the Gunaikurnai have been based on cultural indicators, including:</w:t>
      </w:r>
    </w:p>
    <w:p w:rsidR="006A7A3F" w:rsidRDefault="00BC7372" w:rsidP="009B6917">
      <w:pPr>
        <w:pStyle w:val="ListParagraph"/>
        <w:numPr>
          <w:ilvl w:val="0"/>
          <w:numId w:val="1419"/>
        </w:numPr>
        <w:tabs>
          <w:tab w:val="left" w:pos="493"/>
          <w:tab w:val="left" w:pos="494"/>
        </w:tabs>
        <w:spacing w:before="116"/>
        <w:ind w:hanging="281"/>
        <w:rPr>
          <w:sz w:val="20"/>
        </w:rPr>
      </w:pPr>
      <w:r>
        <w:rPr>
          <w:color w:val="231F20"/>
          <w:sz w:val="20"/>
        </w:rPr>
        <w:t>the condition of the lower Latrobe wetlands (which Carran Carran helps</w:t>
      </w:r>
      <w:r>
        <w:rPr>
          <w:color w:val="231F20"/>
          <w:spacing w:val="-13"/>
          <w:sz w:val="20"/>
        </w:rPr>
        <w:t xml:space="preserve"> </w:t>
      </w:r>
      <w:r>
        <w:rPr>
          <w:color w:val="231F20"/>
          <w:sz w:val="20"/>
        </w:rPr>
        <w:t>supply)</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the condition and prevalence of plants and animals with cultural values and</w:t>
      </w:r>
      <w:r>
        <w:rPr>
          <w:color w:val="231F20"/>
          <w:spacing w:val="-15"/>
          <w:sz w:val="20"/>
        </w:rPr>
        <w:t xml:space="preserve"> </w:t>
      </w:r>
      <w:r>
        <w:rPr>
          <w:color w:val="231F20"/>
          <w:sz w:val="20"/>
        </w:rPr>
        <w:t>uses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 xml:space="preserve">species known to be indicators of water </w:t>
      </w:r>
      <w:r>
        <w:rPr>
          <w:color w:val="231F20"/>
          <w:spacing w:val="-3"/>
          <w:sz w:val="20"/>
        </w:rPr>
        <w:t xml:space="preserve">quality, </w:t>
      </w:r>
      <w:r>
        <w:rPr>
          <w:color w:val="231F20"/>
          <w:sz w:val="20"/>
        </w:rPr>
        <w:t>water regimes and Healthy</w:t>
      </w:r>
      <w:r>
        <w:rPr>
          <w:color w:val="231F20"/>
          <w:spacing w:val="-9"/>
          <w:sz w:val="20"/>
        </w:rPr>
        <w:t xml:space="preserve"> </w:t>
      </w:r>
      <w:r>
        <w:rPr>
          <w:color w:val="231F20"/>
          <w:spacing w:val="-3"/>
          <w:sz w:val="20"/>
        </w:rPr>
        <w:t>Country.</w:t>
      </w:r>
    </w:p>
    <w:p w:rsidR="006A7A3F" w:rsidRDefault="00BC7372">
      <w:pPr>
        <w:pStyle w:val="BodyText"/>
        <w:spacing w:before="180" w:line="249" w:lineRule="auto"/>
        <w:ind w:right="100"/>
      </w:pPr>
      <w:r>
        <w:rPr>
          <w:color w:val="231F20"/>
        </w:rPr>
        <w:t>GLaWAC are sharing with the West Gippsland CMA plant and animal species of cultural significance in and around the waterways of the Latrobe Valley, and the importance of specific watering decisions to support them.</w:t>
      </w:r>
    </w:p>
    <w:p w:rsidR="006A7A3F" w:rsidRDefault="00BC7372">
      <w:pPr>
        <w:pStyle w:val="BodyText"/>
        <w:jc w:val="both"/>
      </w:pPr>
      <w:r>
        <w:rPr>
          <w:color w:val="231F20"/>
        </w:rPr>
        <w:t>Watering requirements to support cultural values and uses include:</w:t>
      </w:r>
    </w:p>
    <w:p w:rsidR="006A7A3F" w:rsidRDefault="00BC7372" w:rsidP="009B6917">
      <w:pPr>
        <w:pStyle w:val="ListParagraph"/>
        <w:numPr>
          <w:ilvl w:val="0"/>
          <w:numId w:val="1419"/>
        </w:numPr>
        <w:tabs>
          <w:tab w:val="left" w:pos="493"/>
          <w:tab w:val="left" w:pos="494"/>
        </w:tabs>
        <w:spacing w:before="124" w:line="249" w:lineRule="auto"/>
        <w:ind w:right="456"/>
        <w:rPr>
          <w:sz w:val="20"/>
        </w:rPr>
      </w:pPr>
      <w:r>
        <w:rPr>
          <w:color w:val="231F20"/>
          <w:sz w:val="20"/>
        </w:rPr>
        <w:t>timing</w:t>
      </w:r>
      <w:r>
        <w:rPr>
          <w:color w:val="231F20"/>
          <w:spacing w:val="-4"/>
          <w:sz w:val="20"/>
        </w:rPr>
        <w:t xml:space="preserve"> </w:t>
      </w:r>
      <w:r>
        <w:rPr>
          <w:color w:val="231F20"/>
          <w:sz w:val="20"/>
        </w:rPr>
        <w:t>of</w:t>
      </w:r>
      <w:r>
        <w:rPr>
          <w:color w:val="231F20"/>
          <w:spacing w:val="-4"/>
          <w:sz w:val="20"/>
        </w:rPr>
        <w:t xml:space="preserve"> </w:t>
      </w:r>
      <w:r>
        <w:rPr>
          <w:color w:val="231F20"/>
          <w:sz w:val="20"/>
        </w:rPr>
        <w:t>environmental</w:t>
      </w:r>
      <w:r>
        <w:rPr>
          <w:color w:val="231F20"/>
          <w:spacing w:val="-4"/>
          <w:sz w:val="20"/>
        </w:rPr>
        <w:t xml:space="preserve"> </w:t>
      </w:r>
      <w:r>
        <w:rPr>
          <w:color w:val="231F20"/>
          <w:sz w:val="20"/>
        </w:rPr>
        <w:t>watering</w:t>
      </w:r>
      <w:r>
        <w:rPr>
          <w:color w:val="231F20"/>
          <w:spacing w:val="-4"/>
          <w:sz w:val="20"/>
        </w:rPr>
        <w:t xml:space="preserve"> </w:t>
      </w:r>
      <w:r>
        <w:rPr>
          <w:color w:val="231F20"/>
          <w:sz w:val="20"/>
        </w:rPr>
        <w:t>planned</w:t>
      </w:r>
      <w:r>
        <w:rPr>
          <w:color w:val="231F20"/>
          <w:spacing w:val="-4"/>
          <w:sz w:val="20"/>
        </w:rPr>
        <w:t xml:space="preserve"> </w:t>
      </w:r>
      <w:r>
        <w:rPr>
          <w:color w:val="231F20"/>
          <w:sz w:val="20"/>
        </w:rPr>
        <w:t>in</w:t>
      </w:r>
      <w:r>
        <w:rPr>
          <w:color w:val="231F20"/>
          <w:spacing w:val="-4"/>
          <w:sz w:val="20"/>
        </w:rPr>
        <w:t xml:space="preserve"> </w:t>
      </w:r>
      <w:r>
        <w:rPr>
          <w:color w:val="231F20"/>
          <w:sz w:val="20"/>
        </w:rPr>
        <w:t>partnership</w:t>
      </w:r>
      <w:r>
        <w:rPr>
          <w:color w:val="231F20"/>
          <w:spacing w:val="-4"/>
          <w:sz w:val="20"/>
        </w:rPr>
        <w:t xml:space="preserve"> </w:t>
      </w:r>
      <w:r>
        <w:rPr>
          <w:color w:val="231F20"/>
          <w:sz w:val="20"/>
        </w:rPr>
        <w:t>with</w:t>
      </w:r>
      <w:r>
        <w:rPr>
          <w:color w:val="231F20"/>
          <w:spacing w:val="-4"/>
          <w:sz w:val="20"/>
        </w:rPr>
        <w:t xml:space="preserve"> </w:t>
      </w:r>
      <w:r>
        <w:rPr>
          <w:color w:val="231F20"/>
          <w:sz w:val="20"/>
        </w:rPr>
        <w:t>GLaWAC</w:t>
      </w:r>
      <w:r>
        <w:rPr>
          <w:color w:val="231F20"/>
          <w:spacing w:val="-3"/>
          <w:sz w:val="20"/>
        </w:rPr>
        <w:t xml:space="preserve"> </w:t>
      </w:r>
      <w:r>
        <w:rPr>
          <w:color w:val="231F20"/>
          <w:sz w:val="20"/>
        </w:rPr>
        <w:t>to</w:t>
      </w:r>
      <w:r>
        <w:rPr>
          <w:color w:val="231F20"/>
          <w:spacing w:val="-3"/>
          <w:sz w:val="20"/>
        </w:rPr>
        <w:t xml:space="preserve"> </w:t>
      </w:r>
      <w:r>
        <w:rPr>
          <w:color w:val="231F20"/>
          <w:sz w:val="20"/>
        </w:rPr>
        <w:t>support</w:t>
      </w:r>
      <w:r>
        <w:rPr>
          <w:color w:val="231F20"/>
          <w:spacing w:val="-3"/>
          <w:sz w:val="20"/>
        </w:rPr>
        <w:t xml:space="preserve"> </w:t>
      </w:r>
      <w:r>
        <w:rPr>
          <w:color w:val="231F20"/>
          <w:sz w:val="20"/>
        </w:rPr>
        <w:t>a</w:t>
      </w:r>
      <w:r>
        <w:rPr>
          <w:color w:val="231F20"/>
          <w:spacing w:val="-4"/>
          <w:sz w:val="20"/>
        </w:rPr>
        <w:t xml:space="preserve"> </w:t>
      </w:r>
      <w:r>
        <w:rPr>
          <w:color w:val="231F20"/>
          <w:sz w:val="20"/>
        </w:rPr>
        <w:t>seasonal</w:t>
      </w:r>
      <w:r>
        <w:rPr>
          <w:color w:val="231F20"/>
          <w:spacing w:val="-3"/>
          <w:sz w:val="20"/>
        </w:rPr>
        <w:t xml:space="preserve"> </w:t>
      </w:r>
      <w:r>
        <w:rPr>
          <w:color w:val="231F20"/>
          <w:sz w:val="20"/>
        </w:rPr>
        <w:t>flow</w:t>
      </w:r>
      <w:r>
        <w:rPr>
          <w:color w:val="231F20"/>
          <w:spacing w:val="-3"/>
          <w:sz w:val="20"/>
        </w:rPr>
        <w:t xml:space="preserve"> </w:t>
      </w:r>
      <w:r>
        <w:rPr>
          <w:color w:val="231F20"/>
          <w:sz w:val="20"/>
        </w:rPr>
        <w:t>regime</w:t>
      </w:r>
      <w:r>
        <w:rPr>
          <w:color w:val="231F20"/>
          <w:spacing w:val="-3"/>
          <w:sz w:val="20"/>
        </w:rPr>
        <w:t xml:space="preserve"> </w:t>
      </w:r>
      <w:r>
        <w:rPr>
          <w:color w:val="231F20"/>
          <w:sz w:val="20"/>
        </w:rPr>
        <w:t>and wet and dry periods that embody Healthy</w:t>
      </w:r>
      <w:r>
        <w:rPr>
          <w:color w:val="231F20"/>
          <w:spacing w:val="-9"/>
          <w:sz w:val="20"/>
        </w:rPr>
        <w:t xml:space="preserve"> </w:t>
      </w:r>
      <w:r>
        <w:rPr>
          <w:color w:val="231F20"/>
          <w:sz w:val="20"/>
        </w:rPr>
        <w:t>Country</w:t>
      </w:r>
    </w:p>
    <w:p w:rsidR="006A7A3F" w:rsidRDefault="00BC7372" w:rsidP="009B6917">
      <w:pPr>
        <w:pStyle w:val="ListParagraph"/>
        <w:numPr>
          <w:ilvl w:val="0"/>
          <w:numId w:val="1419"/>
        </w:numPr>
        <w:tabs>
          <w:tab w:val="left" w:pos="493"/>
          <w:tab w:val="left" w:pos="494"/>
        </w:tabs>
        <w:spacing w:before="86" w:line="249" w:lineRule="auto"/>
        <w:ind w:right="742"/>
        <w:rPr>
          <w:sz w:val="20"/>
        </w:rPr>
      </w:pPr>
      <w:r>
        <w:rPr>
          <w:color w:val="231F20"/>
          <w:sz w:val="20"/>
        </w:rPr>
        <w:t xml:space="preserve">maintaining freshwater supply to Latrobe </w:t>
      </w:r>
      <w:r>
        <w:rPr>
          <w:color w:val="231F20"/>
          <w:spacing w:val="-3"/>
          <w:sz w:val="20"/>
        </w:rPr>
        <w:t xml:space="preserve">estuary, </w:t>
      </w:r>
      <w:r>
        <w:rPr>
          <w:color w:val="231F20"/>
          <w:sz w:val="20"/>
        </w:rPr>
        <w:t>Dowd Morass, Sale Common and Heart Morass, and associated</w:t>
      </w:r>
      <w:r>
        <w:rPr>
          <w:color w:val="231F20"/>
          <w:spacing w:val="-5"/>
          <w:sz w:val="20"/>
        </w:rPr>
        <w:t xml:space="preserve"> </w:t>
      </w:r>
      <w:r>
        <w:rPr>
          <w:color w:val="231F20"/>
          <w:sz w:val="20"/>
        </w:rPr>
        <w:t>freshwater</w:t>
      </w:r>
      <w:r>
        <w:rPr>
          <w:color w:val="231F20"/>
          <w:spacing w:val="-3"/>
          <w:sz w:val="20"/>
        </w:rPr>
        <w:t xml:space="preserve"> </w:t>
      </w:r>
      <w:r>
        <w:rPr>
          <w:color w:val="231F20"/>
          <w:sz w:val="20"/>
        </w:rPr>
        <w:t>habitats.</w:t>
      </w:r>
      <w:r>
        <w:rPr>
          <w:color w:val="231F20"/>
          <w:spacing w:val="-7"/>
          <w:sz w:val="20"/>
        </w:rPr>
        <w:t xml:space="preserve"> </w:t>
      </w:r>
      <w:r>
        <w:rPr>
          <w:color w:val="231F20"/>
          <w:sz w:val="20"/>
        </w:rPr>
        <w:t>The</w:t>
      </w:r>
      <w:r>
        <w:rPr>
          <w:color w:val="231F20"/>
          <w:spacing w:val="-3"/>
          <w:sz w:val="20"/>
        </w:rPr>
        <w:t xml:space="preserve"> </w:t>
      </w:r>
      <w:r>
        <w:rPr>
          <w:color w:val="231F20"/>
          <w:sz w:val="20"/>
        </w:rPr>
        <w:t>lower</w:t>
      </w:r>
      <w:r>
        <w:rPr>
          <w:color w:val="231F20"/>
          <w:spacing w:val="-4"/>
          <w:sz w:val="20"/>
        </w:rPr>
        <w:t xml:space="preserve"> </w:t>
      </w:r>
      <w:r>
        <w:rPr>
          <w:color w:val="231F20"/>
          <w:sz w:val="20"/>
        </w:rPr>
        <w:t>Latrobe</w:t>
      </w:r>
      <w:r>
        <w:rPr>
          <w:color w:val="231F20"/>
          <w:spacing w:val="-5"/>
          <w:sz w:val="20"/>
        </w:rPr>
        <w:t xml:space="preserve"> </w:t>
      </w:r>
      <w:r>
        <w:rPr>
          <w:color w:val="231F20"/>
          <w:sz w:val="20"/>
        </w:rPr>
        <w:t>wetlands</w:t>
      </w:r>
      <w:r>
        <w:rPr>
          <w:color w:val="231F20"/>
          <w:spacing w:val="-4"/>
          <w:sz w:val="20"/>
        </w:rPr>
        <w:t xml:space="preserve"> </w:t>
      </w:r>
      <w:r>
        <w:rPr>
          <w:color w:val="231F20"/>
          <w:sz w:val="20"/>
        </w:rPr>
        <w:t>are</w:t>
      </w:r>
      <w:r>
        <w:rPr>
          <w:color w:val="231F20"/>
          <w:spacing w:val="-4"/>
          <w:sz w:val="20"/>
        </w:rPr>
        <w:t xml:space="preserve"> </w:t>
      </w:r>
      <w:r>
        <w:rPr>
          <w:color w:val="231F20"/>
          <w:sz w:val="20"/>
        </w:rPr>
        <w:t>an</w:t>
      </w:r>
      <w:r>
        <w:rPr>
          <w:color w:val="231F20"/>
          <w:spacing w:val="-4"/>
          <w:sz w:val="20"/>
        </w:rPr>
        <w:t xml:space="preserve"> </w:t>
      </w:r>
      <w:r>
        <w:rPr>
          <w:color w:val="231F20"/>
          <w:sz w:val="20"/>
        </w:rPr>
        <w:t>important</w:t>
      </w:r>
      <w:r>
        <w:rPr>
          <w:color w:val="231F20"/>
          <w:spacing w:val="-4"/>
          <w:sz w:val="20"/>
        </w:rPr>
        <w:t xml:space="preserve"> </w:t>
      </w:r>
      <w:r>
        <w:rPr>
          <w:color w:val="231F20"/>
          <w:sz w:val="20"/>
        </w:rPr>
        <w:t>resource</w:t>
      </w:r>
      <w:r>
        <w:rPr>
          <w:color w:val="231F20"/>
          <w:spacing w:val="-4"/>
          <w:sz w:val="20"/>
        </w:rPr>
        <w:t xml:space="preserve"> </w:t>
      </w:r>
      <w:r>
        <w:rPr>
          <w:color w:val="231F20"/>
          <w:sz w:val="20"/>
        </w:rPr>
        <w:t>for</w:t>
      </w:r>
      <w:r>
        <w:rPr>
          <w:color w:val="231F20"/>
          <w:spacing w:val="-3"/>
          <w:sz w:val="20"/>
        </w:rPr>
        <w:t xml:space="preserve"> </w:t>
      </w:r>
      <w:r>
        <w:rPr>
          <w:color w:val="231F20"/>
          <w:sz w:val="20"/>
        </w:rPr>
        <w:t>the</w:t>
      </w:r>
      <w:r>
        <w:rPr>
          <w:color w:val="231F20"/>
          <w:spacing w:val="-3"/>
          <w:sz w:val="20"/>
        </w:rPr>
        <w:t xml:space="preserve"> </w:t>
      </w:r>
      <w:r>
        <w:rPr>
          <w:color w:val="231F20"/>
          <w:sz w:val="20"/>
        </w:rPr>
        <w:t>Gunaikurnai</w:t>
      </w:r>
    </w:p>
    <w:p w:rsidR="006A7A3F" w:rsidRDefault="00BC7372" w:rsidP="009B6917">
      <w:pPr>
        <w:pStyle w:val="ListParagraph"/>
        <w:numPr>
          <w:ilvl w:val="0"/>
          <w:numId w:val="1419"/>
        </w:numPr>
        <w:tabs>
          <w:tab w:val="left" w:pos="493"/>
          <w:tab w:val="left" w:pos="494"/>
        </w:tabs>
        <w:spacing w:before="87" w:line="249" w:lineRule="auto"/>
        <w:ind w:right="695"/>
        <w:rPr>
          <w:sz w:val="20"/>
        </w:rPr>
      </w:pPr>
      <w:r>
        <w:rPr>
          <w:color w:val="231F20"/>
          <w:sz w:val="20"/>
        </w:rPr>
        <w:t>providing connectivity between reaches and onto floodplains to support dependent plants and animals with cultural values and uses of significance to the</w:t>
      </w:r>
      <w:r>
        <w:rPr>
          <w:color w:val="231F20"/>
          <w:spacing w:val="-4"/>
          <w:sz w:val="20"/>
        </w:rPr>
        <w:t xml:space="preserve"> </w:t>
      </w:r>
      <w:r>
        <w:rPr>
          <w:color w:val="231F20"/>
          <w:sz w:val="20"/>
        </w:rPr>
        <w:t>Gunaikurnai</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maintaining water quality to support the health</w:t>
      </w:r>
      <w:r>
        <w:rPr>
          <w:color w:val="231F20"/>
          <w:spacing w:val="-5"/>
          <w:sz w:val="20"/>
        </w:rPr>
        <w:t xml:space="preserve"> </w:t>
      </w:r>
      <w:r>
        <w:rPr>
          <w:color w:val="231F20"/>
          <w:sz w:val="20"/>
        </w:rPr>
        <w:t>of</w:t>
      </w:r>
    </w:p>
    <w:p w:rsidR="006A7A3F" w:rsidRDefault="00BC7372">
      <w:pPr>
        <w:pStyle w:val="BodyText"/>
        <w:spacing w:before="10"/>
        <w:ind w:left="493"/>
      </w:pPr>
      <w:r>
        <w:rPr>
          <w:color w:val="231F20"/>
        </w:rPr>
        <w:t>native plants and animals with cultural values and uses of significance to the Gunaikurnai.</w:t>
      </w:r>
    </w:p>
    <w:p w:rsidR="00125631" w:rsidRDefault="00125631">
      <w:pPr>
        <w:rPr>
          <w:rFonts w:ascii="Helvetica Neue LT Std 75"/>
          <w:b/>
          <w:color w:val="231F20"/>
          <w:sz w:val="19"/>
        </w:rPr>
      </w:pPr>
      <w:r>
        <w:rPr>
          <w:rFonts w:ascii="Helvetica Neue LT Std 75"/>
          <w:b/>
          <w:color w:val="231F20"/>
          <w:sz w:val="19"/>
        </w:rPr>
        <w:br w:type="page"/>
      </w:r>
    </w:p>
    <w:p w:rsidR="006A7A3F" w:rsidRDefault="00BC7372">
      <w:pPr>
        <w:spacing w:before="189"/>
        <w:ind w:left="210"/>
        <w:jc w:val="both"/>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70" w:line="249" w:lineRule="auto"/>
        <w:ind w:right="100"/>
      </w:pPr>
      <w:r>
        <w:rPr>
          <w:color w:val="231F20"/>
        </w:rPr>
        <w:t>In planning the potential watering actions in Table 2.3.1, West Gippsland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kayaking, canoeing, fishing and</w:t>
      </w:r>
      <w:r>
        <w:rPr>
          <w:color w:val="231F20"/>
          <w:spacing w:val="-5"/>
          <w:sz w:val="20"/>
        </w:rPr>
        <w:t xml:space="preserve"> </w:t>
      </w:r>
      <w:r>
        <w:rPr>
          <w:color w:val="231F20"/>
          <w:sz w:val="20"/>
        </w:rPr>
        <w:t>swimming)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camping, hiking, duck hunting and</w:t>
      </w:r>
      <w:r>
        <w:rPr>
          <w:color w:val="231F20"/>
          <w:spacing w:val="-16"/>
          <w:sz w:val="20"/>
        </w:rPr>
        <w:t xml:space="preserve"> </w:t>
      </w:r>
      <w:r>
        <w:rPr>
          <w:color w:val="231F20"/>
          <w:sz w:val="20"/>
        </w:rPr>
        <w:t>birdwatching)</w:t>
      </w:r>
    </w:p>
    <w:p w:rsidR="006A7A3F" w:rsidRDefault="00BC7372" w:rsidP="009B6917">
      <w:pPr>
        <w:pStyle w:val="ListParagraph"/>
        <w:numPr>
          <w:ilvl w:val="0"/>
          <w:numId w:val="1419"/>
        </w:numPr>
        <w:tabs>
          <w:tab w:val="left" w:pos="493"/>
          <w:tab w:val="left" w:pos="494"/>
        </w:tabs>
        <w:spacing w:line="249" w:lineRule="auto"/>
        <w:ind w:right="984"/>
        <w:rPr>
          <w:sz w:val="20"/>
        </w:rPr>
      </w:pPr>
      <w:r>
        <w:rPr>
          <w:color w:val="231F20"/>
          <w:sz w:val="20"/>
        </w:rPr>
        <w:t>community events and tourism (such as community education and events at the Heyfield wetlands, and visitation by locals and</w:t>
      </w:r>
      <w:r>
        <w:rPr>
          <w:color w:val="231F20"/>
          <w:spacing w:val="-4"/>
          <w:sz w:val="20"/>
        </w:rPr>
        <w:t xml:space="preserve"> </w:t>
      </w:r>
      <w:r>
        <w:rPr>
          <w:color w:val="231F20"/>
          <w:sz w:val="20"/>
        </w:rPr>
        <w:t>non-locals)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socio-economic benefits (such as outdoor education</w:t>
      </w:r>
      <w:r>
        <w:rPr>
          <w:color w:val="231F20"/>
          <w:spacing w:val="-6"/>
          <w:sz w:val="20"/>
        </w:rPr>
        <w:t xml:space="preserve"> </w:t>
      </w:r>
      <w:r>
        <w:rPr>
          <w:color w:val="231F20"/>
          <w:sz w:val="20"/>
        </w:rPr>
        <w:t>companies).</w:t>
      </w:r>
    </w:p>
    <w:p w:rsidR="006A7A3F" w:rsidRDefault="00BC7372">
      <w:pPr>
        <w:pStyle w:val="BodyText"/>
        <w:spacing w:before="180" w:line="249" w:lineRule="auto"/>
        <w:ind w:right="174"/>
      </w:pPr>
      <w:r>
        <w:rPr>
          <w:color w:val="231F20"/>
        </w:rPr>
        <w:t>If the timing or management of planned environmental flows may be modified to align with a community benefit, this is acknowledged in Table 2.3.1 with an icon.</w:t>
      </w:r>
    </w:p>
    <w:p w:rsidR="006A7A3F" w:rsidRDefault="006A7A3F">
      <w:pPr>
        <w:pStyle w:val="BodyText"/>
        <w:spacing w:before="4"/>
        <w:ind w:left="0"/>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955"/>
        </w:trPr>
        <w:tc>
          <w:tcPr>
            <w:tcW w:w="789" w:type="dxa"/>
            <w:tcBorders>
              <w:bottom w:val="single" w:sz="8" w:space="0" w:color="FFFFFF"/>
            </w:tcBorders>
            <w:shd w:val="clear" w:color="auto" w:fill="E6E7E8"/>
          </w:tcPr>
          <w:p w:rsidR="006A7A3F" w:rsidRDefault="006A7A3F">
            <w:pPr>
              <w:pStyle w:val="TableParagraph"/>
              <w:spacing w:before="6" w:after="1"/>
              <w:ind w:left="0"/>
              <w:rPr>
                <w:sz w:val="17"/>
              </w:rPr>
            </w:pPr>
          </w:p>
          <w:p w:rsidR="006A7A3F" w:rsidRDefault="00BC7372">
            <w:pPr>
              <w:pStyle w:val="TableParagraph"/>
              <w:ind w:left="178"/>
              <w:rPr>
                <w:sz w:val="20"/>
              </w:rPr>
            </w:pPr>
            <w:r>
              <w:rPr>
                <w:noProof/>
                <w:sz w:val="20"/>
              </w:rPr>
              <w:drawing>
                <wp:inline distT="0" distB="0" distL="0" distR="0">
                  <wp:extent cx="314168" cy="310896"/>
                  <wp:effectExtent l="0" t="0" r="0" b="0"/>
                  <wp:docPr id="183"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4.jpeg"/>
                          <pic:cNvPicPr/>
                        </pic:nvPicPr>
                        <pic:blipFill>
                          <a:blip r:embed="rId36"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28" w:line="249" w:lineRule="auto"/>
              <w:ind w:left="118" w:right="93"/>
              <w:rPr>
                <w:sz w:val="20"/>
              </w:rPr>
            </w:pPr>
            <w:r>
              <w:rPr>
                <w:color w:val="231F20"/>
                <w:sz w:val="20"/>
              </w:rPr>
              <w:t>Watering planned to support water sports activities (e.g. canoeing,</w:t>
            </w:r>
            <w:r>
              <w:rPr>
                <w:color w:val="231F20"/>
                <w:spacing w:val="-10"/>
                <w:sz w:val="20"/>
              </w:rPr>
              <w:t xml:space="preserve"> </w:t>
            </w:r>
            <w:r>
              <w:rPr>
                <w:color w:val="231F20"/>
                <w:sz w:val="20"/>
              </w:rPr>
              <w:t>kayaking, rowing, swimming, water</w:t>
            </w:r>
            <w:r>
              <w:rPr>
                <w:color w:val="231F20"/>
                <w:spacing w:val="-2"/>
                <w:sz w:val="20"/>
              </w:rPr>
              <w:t xml:space="preserve"> </w:t>
            </w:r>
            <w:r>
              <w:rPr>
                <w:color w:val="231F20"/>
                <w:sz w:val="20"/>
              </w:rPr>
              <w:t>skiing)</w:t>
            </w:r>
          </w:p>
        </w:tc>
      </w:tr>
      <w:tr w:rsidR="006A7A3F">
        <w:trPr>
          <w:trHeight w:val="1195"/>
        </w:trPr>
        <w:tc>
          <w:tcPr>
            <w:tcW w:w="789" w:type="dxa"/>
            <w:tcBorders>
              <w:top w:val="single" w:sz="8" w:space="0" w:color="FFFFFF"/>
            </w:tcBorders>
            <w:shd w:val="clear" w:color="auto" w:fill="E6E7E8"/>
          </w:tcPr>
          <w:p w:rsidR="006A7A3F" w:rsidRDefault="006A7A3F">
            <w:pPr>
              <w:pStyle w:val="TableParagraph"/>
              <w:spacing w:before="6" w:after="1"/>
              <w:ind w:left="0"/>
              <w:rPr>
                <w:sz w:val="17"/>
              </w:rPr>
            </w:pPr>
          </w:p>
          <w:p w:rsidR="006A7A3F" w:rsidRDefault="00BC7372">
            <w:pPr>
              <w:pStyle w:val="TableParagraph"/>
              <w:ind w:left="178"/>
              <w:rPr>
                <w:sz w:val="20"/>
              </w:rPr>
            </w:pPr>
            <w:r>
              <w:rPr>
                <w:noProof/>
                <w:sz w:val="20"/>
              </w:rPr>
              <w:drawing>
                <wp:inline distT="0" distB="0" distL="0" distR="0">
                  <wp:extent cx="315596" cy="313944"/>
                  <wp:effectExtent l="0" t="0" r="0" b="0"/>
                  <wp:docPr id="185"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0.jpeg"/>
                          <pic:cNvPicPr/>
                        </pic:nvPicPr>
                        <pic:blipFill>
                          <a:blip r:embed="rId42" cstate="print"/>
                          <a:stretch>
                            <a:fillRect/>
                          </a:stretch>
                        </pic:blipFill>
                        <pic:spPr>
                          <a:xfrm>
                            <a:off x="0" y="0"/>
                            <a:ext cx="315596" cy="313944"/>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18" w:line="249" w:lineRule="auto"/>
              <w:ind w:left="118" w:right="352"/>
              <w:rPr>
                <w:sz w:val="20"/>
              </w:rPr>
            </w:pPr>
            <w:r>
              <w:rPr>
                <w:color w:val="231F20"/>
                <w:sz w:val="20"/>
              </w:rPr>
              <w:t>Watering planned to support peaks in visitation (e.g. camping or other public activities on long weekends or school holidays)</w:t>
            </w:r>
          </w:p>
        </w:tc>
      </w:tr>
    </w:tbl>
    <w:p w:rsidR="006A7A3F" w:rsidRDefault="00BC7372">
      <w:pPr>
        <w:pStyle w:val="BodyText"/>
        <w:spacing w:before="142" w:line="249" w:lineRule="auto"/>
        <w:ind w:right="441"/>
      </w:pPr>
      <w:r>
        <w:rPr>
          <w:color w:val="231F20"/>
        </w:rPr>
        <w:t>Autumn, winter and spring freshes create ideal whitewater rafting conditions for kayakers and canoers in the Thomson River. The timing of environmental flows may be adjusted to optimise opportunities to support these recreation activities, where it does not compromise environmental outcomes. Recreational kayakers and outdoor companies can take advantage of the whitewater rafting conditions as a result of these freshes.</w:t>
      </w:r>
    </w:p>
    <w:p w:rsidR="006A7A3F" w:rsidRDefault="00BC7372">
      <w:pPr>
        <w:pStyle w:val="BodyText"/>
        <w:spacing w:before="174" w:line="249" w:lineRule="auto"/>
        <w:ind w:right="532"/>
        <w:jc w:val="both"/>
      </w:pPr>
      <w:r>
        <w:rPr>
          <w:color w:val="231F20"/>
        </w:rPr>
        <w:t>For example, the spring fresh, which aims to cue the migration of Australian grayling, may be delivered over the Melbourne</w:t>
      </w:r>
      <w:r>
        <w:rPr>
          <w:color w:val="231F20"/>
          <w:spacing w:val="-4"/>
        </w:rPr>
        <w:t xml:space="preserve"> </w:t>
      </w:r>
      <w:r>
        <w:rPr>
          <w:color w:val="231F20"/>
        </w:rPr>
        <w:t>Cup</w:t>
      </w:r>
      <w:r>
        <w:rPr>
          <w:color w:val="231F20"/>
          <w:spacing w:val="-4"/>
        </w:rPr>
        <w:t xml:space="preserve"> </w:t>
      </w:r>
      <w:r>
        <w:rPr>
          <w:color w:val="231F20"/>
        </w:rPr>
        <w:t>racing</w:t>
      </w:r>
      <w:r>
        <w:rPr>
          <w:color w:val="231F20"/>
          <w:spacing w:val="-3"/>
        </w:rPr>
        <w:t xml:space="preserve"> </w:t>
      </w:r>
      <w:r>
        <w:rPr>
          <w:color w:val="231F20"/>
        </w:rPr>
        <w:t>carnival</w:t>
      </w:r>
      <w:r>
        <w:rPr>
          <w:color w:val="231F20"/>
          <w:spacing w:val="-4"/>
        </w:rPr>
        <w:t xml:space="preserve"> </w:t>
      </w:r>
      <w:r>
        <w:rPr>
          <w:color w:val="231F20"/>
        </w:rPr>
        <w:t>weekend</w:t>
      </w:r>
      <w:r>
        <w:rPr>
          <w:color w:val="231F20"/>
          <w:spacing w:val="-4"/>
        </w:rPr>
        <w:t xml:space="preserve"> </w:t>
      </w:r>
      <w:r>
        <w:rPr>
          <w:color w:val="231F20"/>
        </w:rPr>
        <w:t>in</w:t>
      </w:r>
      <w:r>
        <w:rPr>
          <w:color w:val="231F20"/>
          <w:spacing w:val="-4"/>
        </w:rPr>
        <w:t xml:space="preserve"> </w:t>
      </w:r>
      <w:r>
        <w:rPr>
          <w:color w:val="231F20"/>
        </w:rPr>
        <w:t>November</w:t>
      </w:r>
      <w:r>
        <w:rPr>
          <w:color w:val="231F20"/>
          <w:spacing w:val="-4"/>
        </w:rPr>
        <w:t xml:space="preserve"> </w:t>
      </w:r>
      <w:r>
        <w:rPr>
          <w:color w:val="231F20"/>
        </w:rPr>
        <w:t>when</w:t>
      </w:r>
      <w:r>
        <w:rPr>
          <w:color w:val="231F20"/>
          <w:spacing w:val="-4"/>
        </w:rPr>
        <w:t xml:space="preserve"> </w:t>
      </w:r>
      <w:r>
        <w:rPr>
          <w:color w:val="231F20"/>
        </w:rPr>
        <w:t>many</w:t>
      </w:r>
      <w:r>
        <w:rPr>
          <w:color w:val="231F20"/>
          <w:spacing w:val="-4"/>
        </w:rPr>
        <w:t xml:space="preserve"> </w:t>
      </w:r>
      <w:r>
        <w:rPr>
          <w:color w:val="231F20"/>
        </w:rPr>
        <w:t>people</w:t>
      </w:r>
      <w:r>
        <w:rPr>
          <w:color w:val="231F20"/>
          <w:spacing w:val="-4"/>
        </w:rPr>
        <w:t xml:space="preserve"> </w:t>
      </w:r>
      <w:r>
        <w:rPr>
          <w:color w:val="231F20"/>
        </w:rPr>
        <w:t>take</w:t>
      </w:r>
      <w:r>
        <w:rPr>
          <w:color w:val="231F20"/>
          <w:spacing w:val="-3"/>
        </w:rPr>
        <w:t xml:space="preserve"> </w:t>
      </w:r>
      <w:r>
        <w:rPr>
          <w:color w:val="231F20"/>
        </w:rPr>
        <w:t>advantage</w:t>
      </w:r>
      <w:r>
        <w:rPr>
          <w:color w:val="231F20"/>
          <w:spacing w:val="-4"/>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Tuesday</w:t>
      </w:r>
      <w:r>
        <w:rPr>
          <w:color w:val="231F20"/>
          <w:spacing w:val="-4"/>
        </w:rPr>
        <w:t xml:space="preserve"> </w:t>
      </w:r>
      <w:r>
        <w:rPr>
          <w:color w:val="231F20"/>
        </w:rPr>
        <w:t>public holiday to spend a long weekend kayaking on the Thomson</w:t>
      </w:r>
      <w:r>
        <w:rPr>
          <w:color w:val="231F20"/>
          <w:spacing w:val="-10"/>
        </w:rPr>
        <w:t xml:space="preserve"> </w:t>
      </w:r>
      <w:r>
        <w:rPr>
          <w:color w:val="231F20"/>
          <w:spacing w:val="-3"/>
        </w:rPr>
        <w:t>River.</w:t>
      </w:r>
    </w:p>
    <w:p w:rsidR="006A7A3F" w:rsidRDefault="00BC7372">
      <w:pPr>
        <w:pStyle w:val="BodyText"/>
        <w:spacing w:line="249" w:lineRule="auto"/>
        <w:ind w:right="100"/>
      </w:pPr>
      <w:r>
        <w:rPr>
          <w:color w:val="231F20"/>
        </w:rPr>
        <w:t>Recreational users interested in this shared benefit can register on the West Gippsland CMA website to receive a notification of the upcoming watering event.</w:t>
      </w:r>
    </w:p>
    <w:p w:rsidR="006A7A3F" w:rsidRDefault="00BC7372">
      <w:pPr>
        <w:spacing w:before="181"/>
        <w:ind w:left="210"/>
        <w:jc w:val="both"/>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254"/>
      </w:pPr>
      <w:r>
        <w:rPr>
          <w:color w:val="231F20"/>
        </w:rPr>
        <w:t>The start of the 2019–20 water year was warmer and drier than average in the Thomson River catchment, but above-average rainfall over summer increased inflows to the Thomson Reservoir and boosted water availability. Thomson Reservoir did not spill, so moderate releases were made throughout the year to supply minimum passing flow requirements, to meet irrigation demand and for environmental watering. Environmental watering actions were delivered in line with dry conditions during the first half of the year and average conditions from late summer.</w:t>
      </w:r>
    </w:p>
    <w:p w:rsidR="006A7A3F" w:rsidRDefault="00BC7372">
      <w:pPr>
        <w:pStyle w:val="BodyText"/>
        <w:spacing w:before="174" w:line="249" w:lineRule="auto"/>
        <w:ind w:right="1041"/>
      </w:pPr>
      <w:r>
        <w:rPr>
          <w:color w:val="231F20"/>
        </w:rPr>
        <w:t>Other than bankfull and overbank flows (which cannot be managed with water for the environment), all recommended environmental flows for the Thomson River were achieved through natural flows, managed environmental flows, operational deliveries or a combination of these.</w:t>
      </w:r>
    </w:p>
    <w:p w:rsidR="006A7A3F" w:rsidRDefault="00BC7372">
      <w:pPr>
        <w:pStyle w:val="BodyText"/>
        <w:spacing w:line="249" w:lineRule="auto"/>
        <w:ind w:right="100"/>
      </w:pPr>
      <w:r>
        <w:rPr>
          <w:color w:val="231F20"/>
        </w:rPr>
        <w:t>Water for the environment was used to meet high-priority freshes in spring and autumn and to maintain target low flows as needed. The spring and autumn freshes are particularly important to cue native fish to move between habitats, supporting their breeding and recruitment.</w:t>
      </w:r>
    </w:p>
    <w:p w:rsidR="006A7A3F" w:rsidRDefault="00BC7372">
      <w:pPr>
        <w:pStyle w:val="BodyText"/>
        <w:spacing w:before="173" w:line="249" w:lineRule="auto"/>
        <w:ind w:right="297"/>
      </w:pPr>
      <w:r>
        <w:rPr>
          <w:color w:val="231F20"/>
        </w:rPr>
        <w:t>Water for the environment was delivered to Heyfield wetlands in August and October 2019 to enhance the growth of recently planted aquatic and streamside vegetation and to increase feeding habitat for waterbirds.</w:t>
      </w:r>
    </w:p>
    <w:p w:rsidR="006A7A3F" w:rsidRDefault="00BC7372">
      <w:pPr>
        <w:spacing w:before="181"/>
        <w:ind w:left="210"/>
        <w:jc w:val="both"/>
        <w:rPr>
          <w:rFonts w:ascii="Helvetica Neue LT Std 75"/>
          <w:b/>
          <w:sz w:val="19"/>
        </w:rPr>
      </w:pPr>
      <w:r>
        <w:rPr>
          <w:rFonts w:ascii="Helvetica Neue LT Std 75"/>
          <w:b/>
          <w:color w:val="231F20"/>
          <w:sz w:val="19"/>
        </w:rPr>
        <w:t>Scope of environmental watering</w:t>
      </w:r>
    </w:p>
    <w:p w:rsidR="006A7A3F" w:rsidRDefault="00BC7372">
      <w:pPr>
        <w:pStyle w:val="BodyText"/>
        <w:spacing w:before="67" w:line="249" w:lineRule="auto"/>
        <w:ind w:right="251"/>
      </w:pPr>
      <w:r>
        <w:rPr>
          <w:color w:val="231F20"/>
        </w:rPr>
        <w:t>Table 2.3.1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rsidP="00BF686A">
      <w:pPr>
        <w:spacing w:before="168" w:after="120"/>
        <w:ind w:left="210"/>
        <w:jc w:val="both"/>
        <w:rPr>
          <w:b/>
          <w:sz w:val="18"/>
        </w:rPr>
      </w:pPr>
      <w:r>
        <w:rPr>
          <w:b/>
          <w:color w:val="231F20"/>
          <w:sz w:val="18"/>
        </w:rPr>
        <w:t>Table 2.3.1 Potential environmental watering actions and objectives for the Thomson River</w:t>
      </w:r>
    </w:p>
    <w:tbl>
      <w:tblPr>
        <w:tblW w:w="10177"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40"/>
        <w:gridCol w:w="847"/>
        <w:gridCol w:w="709"/>
      </w:tblGrid>
      <w:tr w:rsidR="006A7A3F" w:rsidTr="00BF686A">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40"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6" w:type="dxa"/>
            <w:gridSpan w:val="2"/>
            <w:tcBorders>
              <w:top w:val="nil"/>
              <w:bottom w:val="nil"/>
              <w:right w:val="nil"/>
            </w:tcBorders>
            <w:shd w:val="clear" w:color="auto" w:fill="231F20"/>
          </w:tcPr>
          <w:p w:rsidR="006A7A3F" w:rsidRDefault="00BC7372">
            <w:pPr>
              <w:pStyle w:val="TableParagraph"/>
              <w:spacing w:before="73" w:line="254" w:lineRule="auto"/>
              <w:ind w:left="81" w:right="199"/>
              <w:rPr>
                <w:b/>
                <w:sz w:val="18"/>
              </w:rPr>
            </w:pPr>
            <w:r>
              <w:rPr>
                <w:b/>
                <w:color w:val="FFFFFF"/>
                <w:sz w:val="18"/>
              </w:rPr>
              <w:t>Environmental objectives</w:t>
            </w:r>
          </w:p>
        </w:tc>
      </w:tr>
      <w:tr w:rsidR="006A7A3F" w:rsidTr="00BF686A">
        <w:trPr>
          <w:trHeight w:val="625"/>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20"/>
              <w:rPr>
                <w:sz w:val="16"/>
              </w:rPr>
            </w:pPr>
            <w:r>
              <w:rPr>
                <w:color w:val="231F20"/>
                <w:sz w:val="16"/>
              </w:rPr>
              <w:t>Autumn fresh (two freshes of 800 ML/day for seven days during April to May)</w:t>
            </w:r>
          </w:p>
        </w:tc>
        <w:tc>
          <w:tcPr>
            <w:tcW w:w="6240" w:type="dxa"/>
            <w:vMerge w:val="restart"/>
            <w:tcBorders>
              <w:top w:val="nil"/>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324"/>
              </w:numPr>
              <w:tabs>
                <w:tab w:val="left" w:pos="306"/>
              </w:tabs>
              <w:spacing w:before="63" w:line="254" w:lineRule="auto"/>
              <w:ind w:right="236"/>
              <w:rPr>
                <w:sz w:val="16"/>
                <w:szCs w:val="16"/>
              </w:rPr>
            </w:pPr>
            <w:r w:rsidRPr="00A1021A">
              <w:rPr>
                <w:color w:val="231F20"/>
                <w:sz w:val="16"/>
                <w:szCs w:val="16"/>
              </w:rPr>
              <w:t>Trigger the downstream migration (and spawning) of Australian</w:t>
            </w:r>
            <w:r w:rsidRPr="00A1021A">
              <w:rPr>
                <w:color w:val="231F20"/>
                <w:spacing w:val="-35"/>
                <w:sz w:val="16"/>
                <w:szCs w:val="16"/>
              </w:rPr>
              <w:t xml:space="preserve"> </w:t>
            </w:r>
            <w:r w:rsidRPr="00A1021A">
              <w:rPr>
                <w:color w:val="231F20"/>
                <w:sz w:val="16"/>
                <w:szCs w:val="16"/>
              </w:rPr>
              <w:t>grayling (April)</w:t>
            </w:r>
          </w:p>
          <w:p w:rsidR="006A7A3F" w:rsidRPr="00A1021A" w:rsidRDefault="00BC7372" w:rsidP="009B6917">
            <w:pPr>
              <w:pStyle w:val="TableParagraph"/>
              <w:numPr>
                <w:ilvl w:val="0"/>
                <w:numId w:val="1324"/>
              </w:numPr>
              <w:tabs>
                <w:tab w:val="left" w:pos="306"/>
              </w:tabs>
              <w:spacing w:before="86"/>
              <w:ind w:hanging="218"/>
              <w:rPr>
                <w:sz w:val="16"/>
                <w:szCs w:val="16"/>
              </w:rPr>
            </w:pPr>
            <w:r w:rsidRPr="00A1021A">
              <w:rPr>
                <w:color w:val="231F20"/>
                <w:sz w:val="16"/>
                <w:szCs w:val="16"/>
              </w:rPr>
              <w:t>Trigger the downstream migration of tupong and Australian bass</w:t>
            </w:r>
            <w:r w:rsidRPr="00A1021A">
              <w:rPr>
                <w:color w:val="231F20"/>
                <w:spacing w:val="-26"/>
                <w:sz w:val="16"/>
                <w:szCs w:val="16"/>
              </w:rPr>
              <w:t xml:space="preserve"> </w:t>
            </w:r>
            <w:r w:rsidRPr="00A1021A">
              <w:rPr>
                <w:color w:val="231F20"/>
                <w:sz w:val="16"/>
                <w:szCs w:val="16"/>
              </w:rPr>
              <w:t>(May)</w:t>
            </w:r>
          </w:p>
          <w:p w:rsidR="006A7A3F" w:rsidRPr="00A1021A" w:rsidRDefault="00BC7372" w:rsidP="009B6917">
            <w:pPr>
              <w:pStyle w:val="TableParagraph"/>
              <w:numPr>
                <w:ilvl w:val="0"/>
                <w:numId w:val="1324"/>
              </w:numPr>
              <w:tabs>
                <w:tab w:val="left" w:pos="306"/>
              </w:tabs>
              <w:spacing w:before="98"/>
              <w:ind w:hanging="218"/>
              <w:rPr>
                <w:sz w:val="16"/>
                <w:szCs w:val="16"/>
              </w:rPr>
            </w:pPr>
            <w:r w:rsidRPr="00A1021A">
              <w:rPr>
                <w:color w:val="231F20"/>
                <w:sz w:val="16"/>
                <w:szCs w:val="16"/>
              </w:rPr>
              <w:t>Carry plant seeds from the upper catchment for deposition</w:t>
            </w:r>
            <w:r w:rsidRPr="00A1021A">
              <w:rPr>
                <w:color w:val="231F20"/>
                <w:spacing w:val="-23"/>
                <w:sz w:val="16"/>
                <w:szCs w:val="16"/>
              </w:rPr>
              <w:t xml:space="preserve"> </w:t>
            </w:r>
            <w:r w:rsidRPr="00A1021A">
              <w:rPr>
                <w:color w:val="231F20"/>
                <w:sz w:val="16"/>
                <w:szCs w:val="16"/>
              </w:rPr>
              <w:t>downstream</w:t>
            </w:r>
          </w:p>
          <w:p w:rsidR="006A7A3F" w:rsidRPr="00A1021A" w:rsidRDefault="00BC7372" w:rsidP="009B6917">
            <w:pPr>
              <w:pStyle w:val="TableParagraph"/>
              <w:numPr>
                <w:ilvl w:val="0"/>
                <w:numId w:val="1324"/>
              </w:numPr>
              <w:tabs>
                <w:tab w:val="left" w:pos="306"/>
              </w:tabs>
              <w:spacing w:before="98"/>
              <w:ind w:hanging="218"/>
              <w:rPr>
                <w:sz w:val="16"/>
                <w:szCs w:val="16"/>
              </w:rPr>
            </w:pPr>
            <w:r w:rsidRPr="00A1021A">
              <w:rPr>
                <w:color w:val="231F20"/>
                <w:sz w:val="16"/>
                <w:szCs w:val="16"/>
              </w:rPr>
              <w:t>Deposit sediments on benches, to provide substrate for</w:t>
            </w:r>
            <w:r w:rsidRPr="00A1021A">
              <w:rPr>
                <w:color w:val="231F20"/>
                <w:spacing w:val="-12"/>
                <w:sz w:val="16"/>
                <w:szCs w:val="16"/>
              </w:rPr>
              <w:t xml:space="preserve"> </w:t>
            </w:r>
            <w:r w:rsidRPr="00A1021A">
              <w:rPr>
                <w:color w:val="231F20"/>
                <w:sz w:val="16"/>
                <w:szCs w:val="16"/>
              </w:rPr>
              <w:t>vegetation</w:t>
            </w:r>
          </w:p>
          <w:p w:rsidR="006A7A3F" w:rsidRPr="00A1021A" w:rsidRDefault="00BC7372" w:rsidP="009B6917">
            <w:pPr>
              <w:pStyle w:val="TableParagraph"/>
              <w:numPr>
                <w:ilvl w:val="0"/>
                <w:numId w:val="1324"/>
              </w:numPr>
              <w:tabs>
                <w:tab w:val="left" w:pos="306"/>
              </w:tabs>
              <w:spacing w:before="98" w:line="254" w:lineRule="auto"/>
              <w:ind w:right="325"/>
              <w:rPr>
                <w:sz w:val="16"/>
                <w:szCs w:val="16"/>
              </w:rPr>
            </w:pPr>
            <w:r w:rsidRPr="00A1021A">
              <w:rPr>
                <w:color w:val="231F20"/>
                <w:sz w:val="16"/>
                <w:szCs w:val="16"/>
              </w:rPr>
              <w:t>Wet</w:t>
            </w:r>
            <w:r w:rsidRPr="00A1021A">
              <w:rPr>
                <w:color w:val="231F20"/>
                <w:spacing w:val="-6"/>
                <w:sz w:val="16"/>
                <w:szCs w:val="16"/>
              </w:rPr>
              <w:t xml:space="preserve"> </w:t>
            </w:r>
            <w:r w:rsidRPr="00A1021A">
              <w:rPr>
                <w:color w:val="231F20"/>
                <w:sz w:val="16"/>
                <w:szCs w:val="16"/>
              </w:rPr>
              <w:t>the</w:t>
            </w:r>
            <w:r w:rsidRPr="00A1021A">
              <w:rPr>
                <w:color w:val="231F20"/>
                <w:spacing w:val="-5"/>
                <w:sz w:val="16"/>
                <w:szCs w:val="16"/>
              </w:rPr>
              <w:t xml:space="preserve"> </w:t>
            </w:r>
            <w:r w:rsidRPr="00A1021A">
              <w:rPr>
                <w:color w:val="231F20"/>
                <w:sz w:val="16"/>
                <w:szCs w:val="16"/>
              </w:rPr>
              <w:t>bank/bench</w:t>
            </w:r>
            <w:r w:rsidRPr="00A1021A">
              <w:rPr>
                <w:color w:val="231F20"/>
                <w:spacing w:val="-6"/>
                <w:sz w:val="16"/>
                <w:szCs w:val="16"/>
              </w:rPr>
              <w:t xml:space="preserve"> </w:t>
            </w:r>
            <w:r w:rsidRPr="00A1021A">
              <w:rPr>
                <w:color w:val="231F20"/>
                <w:sz w:val="16"/>
                <w:szCs w:val="16"/>
              </w:rPr>
              <w:t>to</w:t>
            </w:r>
            <w:r w:rsidRPr="00A1021A">
              <w:rPr>
                <w:color w:val="231F20"/>
                <w:spacing w:val="-5"/>
                <w:sz w:val="16"/>
                <w:szCs w:val="16"/>
              </w:rPr>
              <w:t xml:space="preserve"> </w:t>
            </w:r>
            <w:r w:rsidRPr="00A1021A">
              <w:rPr>
                <w:color w:val="231F20"/>
                <w:sz w:val="16"/>
                <w:szCs w:val="16"/>
              </w:rPr>
              <w:t>deliver</w:t>
            </w:r>
            <w:r w:rsidRPr="00A1021A">
              <w:rPr>
                <w:color w:val="231F20"/>
                <w:spacing w:val="-6"/>
                <w:sz w:val="16"/>
                <w:szCs w:val="16"/>
              </w:rPr>
              <w:t xml:space="preserve"> </w:t>
            </w:r>
            <w:r w:rsidRPr="00A1021A">
              <w:rPr>
                <w:color w:val="231F20"/>
                <w:sz w:val="16"/>
                <w:szCs w:val="16"/>
              </w:rPr>
              <w:t>dissolved</w:t>
            </w:r>
            <w:r w:rsidRPr="00A1021A">
              <w:rPr>
                <w:color w:val="231F20"/>
                <w:spacing w:val="-6"/>
                <w:sz w:val="16"/>
                <w:szCs w:val="16"/>
              </w:rPr>
              <w:t xml:space="preserve"> </w:t>
            </w:r>
            <w:r w:rsidRPr="00A1021A">
              <w:rPr>
                <w:color w:val="231F20"/>
                <w:sz w:val="16"/>
                <w:szCs w:val="16"/>
              </w:rPr>
              <w:t>and/or</w:t>
            </w:r>
            <w:r w:rsidRPr="00A1021A">
              <w:rPr>
                <w:color w:val="231F20"/>
                <w:spacing w:val="-6"/>
                <w:sz w:val="16"/>
                <w:szCs w:val="16"/>
              </w:rPr>
              <w:t xml:space="preserve"> </w:t>
            </w:r>
            <w:r w:rsidRPr="00A1021A">
              <w:rPr>
                <w:color w:val="231F20"/>
                <w:sz w:val="16"/>
                <w:szCs w:val="16"/>
              </w:rPr>
              <w:t>fine</w:t>
            </w:r>
            <w:r w:rsidRPr="00A1021A">
              <w:rPr>
                <w:color w:val="231F20"/>
                <w:spacing w:val="-5"/>
                <w:sz w:val="16"/>
                <w:szCs w:val="16"/>
              </w:rPr>
              <w:t xml:space="preserve"> </w:t>
            </w:r>
            <w:r w:rsidRPr="00A1021A">
              <w:rPr>
                <w:color w:val="231F20"/>
                <w:sz w:val="16"/>
                <w:szCs w:val="16"/>
              </w:rPr>
              <w:t>particulate</w:t>
            </w:r>
            <w:r w:rsidRPr="00A1021A">
              <w:rPr>
                <w:color w:val="231F20"/>
                <w:spacing w:val="-6"/>
                <w:sz w:val="16"/>
                <w:szCs w:val="16"/>
              </w:rPr>
              <w:t xml:space="preserve"> </w:t>
            </w:r>
            <w:r w:rsidRPr="00A1021A">
              <w:rPr>
                <w:color w:val="231F20"/>
                <w:sz w:val="16"/>
                <w:szCs w:val="16"/>
              </w:rPr>
              <w:t>organic matter</w:t>
            </w:r>
          </w:p>
          <w:p w:rsidR="006A7A3F" w:rsidRDefault="00BC7372" w:rsidP="009B6917">
            <w:pPr>
              <w:pStyle w:val="TableParagraph"/>
              <w:numPr>
                <w:ilvl w:val="0"/>
                <w:numId w:val="1324"/>
              </w:numPr>
              <w:tabs>
                <w:tab w:val="left" w:pos="306"/>
              </w:tabs>
              <w:spacing w:before="87"/>
              <w:ind w:hanging="218"/>
              <w:rPr>
                <w:sz w:val="18"/>
              </w:rPr>
            </w:pPr>
            <w:r w:rsidRPr="00A1021A">
              <w:rPr>
                <w:color w:val="231F20"/>
                <w:sz w:val="16"/>
                <w:szCs w:val="16"/>
              </w:rPr>
              <w:t>Scour substrates to remove accumulated fine</w:t>
            </w:r>
            <w:r w:rsidRPr="00A1021A">
              <w:rPr>
                <w:color w:val="231F20"/>
                <w:spacing w:val="-3"/>
                <w:sz w:val="16"/>
                <w:szCs w:val="16"/>
              </w:rPr>
              <w:t xml:space="preserve"> </w:t>
            </w:r>
            <w:r w:rsidRPr="00A1021A">
              <w:rPr>
                <w:color w:val="231F20"/>
                <w:sz w:val="16"/>
                <w:szCs w:val="16"/>
              </w:rPr>
              <w:t>sediment</w:t>
            </w:r>
          </w:p>
        </w:tc>
        <w:tc>
          <w:tcPr>
            <w:tcW w:w="847"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1" w:right="-15"/>
              <w:rPr>
                <w:sz w:val="20"/>
              </w:rPr>
            </w:pPr>
            <w:r>
              <w:rPr>
                <w:noProof/>
                <w:sz w:val="20"/>
              </w:rPr>
              <w:drawing>
                <wp:inline distT="0" distB="0" distL="0" distR="0">
                  <wp:extent cx="314168" cy="310896"/>
                  <wp:effectExtent l="0" t="0" r="0" b="0"/>
                  <wp:docPr id="18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9"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7"/>
              <w:rPr>
                <w:sz w:val="20"/>
              </w:rPr>
            </w:pPr>
            <w:r>
              <w:rPr>
                <w:noProof/>
                <w:sz w:val="20"/>
              </w:rPr>
              <w:drawing>
                <wp:inline distT="0" distB="0" distL="0" distR="0">
                  <wp:extent cx="314168" cy="310896"/>
                  <wp:effectExtent l="0" t="0" r="0" b="0"/>
                  <wp:docPr id="189"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A1021A">
        <w:trPr>
          <w:trHeight w:val="129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40"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47" w:type="dxa"/>
            <w:tcBorders>
              <w:top w:val="nil"/>
              <w:left w:val="single" w:sz="4" w:space="0" w:color="231F20"/>
              <w:bottom w:val="single" w:sz="4" w:space="0" w:color="231F20"/>
              <w:right w:val="nil"/>
            </w:tcBorders>
          </w:tcPr>
          <w:p w:rsidR="006A7A3F" w:rsidRDefault="00BC7372">
            <w:pPr>
              <w:pStyle w:val="TableParagraph"/>
              <w:ind w:left="311" w:right="-15"/>
              <w:rPr>
                <w:sz w:val="20"/>
              </w:rPr>
            </w:pPr>
            <w:r>
              <w:rPr>
                <w:noProof/>
                <w:sz w:val="20"/>
              </w:rPr>
              <w:drawing>
                <wp:inline distT="0" distB="0" distL="0" distR="0">
                  <wp:extent cx="314168" cy="310896"/>
                  <wp:effectExtent l="0" t="0" r="0" b="0"/>
                  <wp:docPr id="191" name="image21.jpeg" descr="icon: pla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9" w:type="dxa"/>
            <w:tcBorders>
              <w:top w:val="nil"/>
              <w:left w:val="nil"/>
              <w:bottom w:val="single" w:sz="4" w:space="0" w:color="231F20"/>
              <w:right w:val="single" w:sz="4" w:space="0" w:color="231F20"/>
            </w:tcBorders>
          </w:tcPr>
          <w:p w:rsidR="006A7A3F" w:rsidRDefault="00BC7372">
            <w:pPr>
              <w:pStyle w:val="TableParagraph"/>
              <w:ind w:left="47"/>
              <w:rPr>
                <w:sz w:val="20"/>
              </w:rPr>
            </w:pPr>
            <w:r>
              <w:rPr>
                <w:noProof/>
                <w:sz w:val="20"/>
              </w:rPr>
              <w:drawing>
                <wp:inline distT="0" distB="0" distL="0" distR="0">
                  <wp:extent cx="314168" cy="310896"/>
                  <wp:effectExtent l="0" t="0" r="0" b="0"/>
                  <wp:docPr id="19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BF686A">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40"/>
              <w:rPr>
                <w:sz w:val="16"/>
              </w:rPr>
            </w:pPr>
            <w:r>
              <w:rPr>
                <w:color w:val="231F20"/>
                <w:sz w:val="16"/>
              </w:rPr>
              <w:t>Spring fresh (one to two freshes of 800 ML/day for seven days during September to November)</w:t>
            </w:r>
          </w:p>
          <w:p w:rsidR="006A7A3F" w:rsidRDefault="006A7A3F">
            <w:pPr>
              <w:pStyle w:val="TableParagraph"/>
              <w:spacing w:before="11"/>
              <w:ind w:left="0"/>
              <w:rPr>
                <w:b/>
                <w:sz w:val="7"/>
              </w:rPr>
            </w:pPr>
          </w:p>
          <w:p w:rsidR="006A7A3F" w:rsidRDefault="00BC7372">
            <w:pPr>
              <w:pStyle w:val="TableParagraph"/>
              <w:ind w:left="85"/>
              <w:rPr>
                <w:sz w:val="20"/>
              </w:rPr>
            </w:pPr>
            <w:r>
              <w:rPr>
                <w:noProof/>
                <w:sz w:val="20"/>
              </w:rPr>
              <w:drawing>
                <wp:inline distT="0" distB="0" distL="0" distR="0">
                  <wp:extent cx="314158" cy="310896"/>
                  <wp:effectExtent l="0" t="0" r="0" b="0"/>
                  <wp:docPr id="195"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4.jpeg"/>
                          <pic:cNvPicPr/>
                        </pic:nvPicPr>
                        <pic:blipFill>
                          <a:blip r:embed="rId36" cstate="print"/>
                          <a:stretch>
                            <a:fillRect/>
                          </a:stretch>
                        </pic:blipFill>
                        <pic:spPr>
                          <a:xfrm>
                            <a:off x="0" y="0"/>
                            <a:ext cx="314158" cy="310896"/>
                          </a:xfrm>
                          <a:prstGeom prst="rect">
                            <a:avLst/>
                          </a:prstGeom>
                        </pic:spPr>
                      </pic:pic>
                    </a:graphicData>
                  </a:graphic>
                </wp:inline>
              </w:drawing>
            </w:r>
            <w:r>
              <w:rPr>
                <w:rFonts w:ascii="Times New Roman"/>
                <w:spacing w:val="66"/>
                <w:sz w:val="20"/>
              </w:rPr>
              <w:t xml:space="preserve"> </w:t>
            </w:r>
            <w:r>
              <w:rPr>
                <w:noProof/>
                <w:spacing w:val="66"/>
                <w:sz w:val="20"/>
              </w:rPr>
              <w:drawing>
                <wp:inline distT="0" distB="0" distL="0" distR="0">
                  <wp:extent cx="315593" cy="313944"/>
                  <wp:effectExtent l="0" t="0" r="0" b="0"/>
                  <wp:docPr id="197" name="image30.jpeg" descr="icon: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0.jpeg"/>
                          <pic:cNvPicPr/>
                        </pic:nvPicPr>
                        <pic:blipFill>
                          <a:blip r:embed="rId42" cstate="print"/>
                          <a:stretch>
                            <a:fillRect/>
                          </a:stretch>
                        </pic:blipFill>
                        <pic:spPr>
                          <a:xfrm>
                            <a:off x="0" y="0"/>
                            <a:ext cx="315593" cy="313944"/>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1"/>
              <w:ind w:left="0"/>
              <w:rPr>
                <w:b/>
                <w:sz w:val="27"/>
              </w:rPr>
            </w:pPr>
          </w:p>
        </w:tc>
        <w:tc>
          <w:tcPr>
            <w:tcW w:w="6240"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323"/>
              </w:numPr>
              <w:tabs>
                <w:tab w:val="left" w:pos="306"/>
              </w:tabs>
              <w:spacing w:before="63" w:line="254" w:lineRule="auto"/>
              <w:ind w:right="307"/>
              <w:jc w:val="both"/>
              <w:rPr>
                <w:sz w:val="16"/>
                <w:szCs w:val="16"/>
              </w:rPr>
            </w:pPr>
            <w:r w:rsidRPr="00A1021A">
              <w:rPr>
                <w:color w:val="231F20"/>
                <w:sz w:val="16"/>
                <w:szCs w:val="16"/>
              </w:rPr>
              <w:t>Trigger upstream fish migration from marine/estuarine habitats and</w:t>
            </w:r>
            <w:r w:rsidRPr="00A1021A">
              <w:rPr>
                <w:color w:val="231F20"/>
                <w:spacing w:val="-25"/>
                <w:sz w:val="16"/>
                <w:szCs w:val="16"/>
              </w:rPr>
              <w:t xml:space="preserve"> </w:t>
            </w:r>
            <w:r w:rsidRPr="00A1021A">
              <w:rPr>
                <w:color w:val="231F20"/>
                <w:sz w:val="16"/>
                <w:szCs w:val="16"/>
              </w:rPr>
              <w:t>the recruitment of juvenile native species including Australian grayling and Australian bass (October to</w:t>
            </w:r>
            <w:r w:rsidRPr="00A1021A">
              <w:rPr>
                <w:color w:val="231F20"/>
                <w:spacing w:val="-2"/>
                <w:sz w:val="16"/>
                <w:szCs w:val="16"/>
              </w:rPr>
              <w:t xml:space="preserve"> </w:t>
            </w:r>
            <w:r w:rsidRPr="00A1021A">
              <w:rPr>
                <w:color w:val="231F20"/>
                <w:sz w:val="16"/>
                <w:szCs w:val="16"/>
              </w:rPr>
              <w:t>November)</w:t>
            </w:r>
          </w:p>
          <w:p w:rsidR="006A7A3F" w:rsidRPr="00A1021A" w:rsidRDefault="00BC7372" w:rsidP="009B6917">
            <w:pPr>
              <w:pStyle w:val="TableParagraph"/>
              <w:numPr>
                <w:ilvl w:val="0"/>
                <w:numId w:val="1323"/>
              </w:numPr>
              <w:tabs>
                <w:tab w:val="left" w:pos="355"/>
                <w:tab w:val="left" w:pos="356"/>
              </w:tabs>
              <w:spacing w:before="87" w:line="254" w:lineRule="auto"/>
              <w:ind w:right="179"/>
              <w:rPr>
                <w:sz w:val="16"/>
                <w:szCs w:val="16"/>
              </w:rPr>
            </w:pPr>
            <w:r w:rsidRPr="00A1021A">
              <w:rPr>
                <w:sz w:val="16"/>
                <w:szCs w:val="16"/>
              </w:rPr>
              <w:tab/>
            </w:r>
            <w:r w:rsidRPr="00A1021A">
              <w:rPr>
                <w:color w:val="231F20"/>
                <w:sz w:val="16"/>
                <w:szCs w:val="16"/>
              </w:rPr>
              <w:t>Improve and maintain streamside vegetation by inundating the</w:t>
            </w:r>
            <w:r w:rsidRPr="00A1021A">
              <w:rPr>
                <w:color w:val="231F20"/>
                <w:spacing w:val="-21"/>
                <w:sz w:val="16"/>
                <w:szCs w:val="16"/>
              </w:rPr>
              <w:t xml:space="preserve"> </w:t>
            </w:r>
            <w:r w:rsidRPr="00A1021A">
              <w:rPr>
                <w:color w:val="231F20"/>
                <w:sz w:val="16"/>
                <w:szCs w:val="16"/>
              </w:rPr>
              <w:t>benches and providing variable water levels for plant</w:t>
            </w:r>
            <w:r w:rsidRPr="00A1021A">
              <w:rPr>
                <w:color w:val="231F20"/>
                <w:spacing w:val="-10"/>
                <w:sz w:val="16"/>
                <w:szCs w:val="16"/>
              </w:rPr>
              <w:t xml:space="preserve"> </w:t>
            </w:r>
            <w:r w:rsidRPr="00A1021A">
              <w:rPr>
                <w:color w:val="231F20"/>
                <w:sz w:val="16"/>
                <w:szCs w:val="16"/>
              </w:rPr>
              <w:t>zonation</w:t>
            </w:r>
          </w:p>
          <w:p w:rsidR="006A7A3F" w:rsidRPr="00A1021A" w:rsidRDefault="00BC7372" w:rsidP="009B6917">
            <w:pPr>
              <w:pStyle w:val="TableParagraph"/>
              <w:numPr>
                <w:ilvl w:val="0"/>
                <w:numId w:val="1323"/>
              </w:numPr>
              <w:tabs>
                <w:tab w:val="left" w:pos="306"/>
              </w:tabs>
              <w:spacing w:before="86"/>
              <w:ind w:hanging="218"/>
              <w:rPr>
                <w:sz w:val="16"/>
                <w:szCs w:val="16"/>
              </w:rPr>
            </w:pPr>
            <w:r w:rsidRPr="00A1021A">
              <w:rPr>
                <w:color w:val="231F20"/>
                <w:sz w:val="16"/>
                <w:szCs w:val="16"/>
              </w:rPr>
              <w:t>Carry plant seeds from the upper catchment for deposition</w:t>
            </w:r>
            <w:r w:rsidRPr="00A1021A">
              <w:rPr>
                <w:color w:val="231F20"/>
                <w:spacing w:val="-23"/>
                <w:sz w:val="16"/>
                <w:szCs w:val="16"/>
              </w:rPr>
              <w:t xml:space="preserve"> </w:t>
            </w:r>
            <w:r w:rsidRPr="00A1021A">
              <w:rPr>
                <w:color w:val="231F20"/>
                <w:sz w:val="16"/>
                <w:szCs w:val="16"/>
              </w:rPr>
              <w:t>downstream</w:t>
            </w:r>
          </w:p>
          <w:p w:rsidR="006A7A3F" w:rsidRPr="00A1021A" w:rsidRDefault="00BC7372" w:rsidP="009B6917">
            <w:pPr>
              <w:pStyle w:val="TableParagraph"/>
              <w:numPr>
                <w:ilvl w:val="0"/>
                <w:numId w:val="1323"/>
              </w:numPr>
              <w:tabs>
                <w:tab w:val="left" w:pos="306"/>
              </w:tabs>
              <w:spacing w:before="98"/>
              <w:ind w:hanging="218"/>
              <w:rPr>
                <w:sz w:val="16"/>
                <w:szCs w:val="16"/>
              </w:rPr>
            </w:pPr>
            <w:r w:rsidRPr="00A1021A">
              <w:rPr>
                <w:color w:val="231F20"/>
                <w:sz w:val="16"/>
                <w:szCs w:val="16"/>
              </w:rPr>
              <w:t>Deposit fine particulate sediments on the</w:t>
            </w:r>
            <w:r w:rsidRPr="00A1021A">
              <w:rPr>
                <w:color w:val="231F20"/>
                <w:spacing w:val="-7"/>
                <w:sz w:val="16"/>
                <w:szCs w:val="16"/>
              </w:rPr>
              <w:t xml:space="preserve"> </w:t>
            </w:r>
            <w:r w:rsidRPr="00A1021A">
              <w:rPr>
                <w:color w:val="231F20"/>
                <w:sz w:val="16"/>
                <w:szCs w:val="16"/>
              </w:rPr>
              <w:t>benches</w:t>
            </w:r>
          </w:p>
          <w:p w:rsidR="006A7A3F" w:rsidRPr="00A1021A" w:rsidRDefault="00BC7372" w:rsidP="009B6917">
            <w:pPr>
              <w:pStyle w:val="TableParagraph"/>
              <w:numPr>
                <w:ilvl w:val="0"/>
                <w:numId w:val="1323"/>
              </w:numPr>
              <w:tabs>
                <w:tab w:val="left" w:pos="306"/>
              </w:tabs>
              <w:spacing w:before="98"/>
              <w:ind w:hanging="218"/>
              <w:rPr>
                <w:sz w:val="16"/>
                <w:szCs w:val="16"/>
              </w:rPr>
            </w:pPr>
            <w:r w:rsidRPr="00A1021A">
              <w:rPr>
                <w:color w:val="231F20"/>
                <w:sz w:val="16"/>
                <w:szCs w:val="16"/>
              </w:rPr>
              <w:t>Scour substrates to remove accumulated fine</w:t>
            </w:r>
            <w:r w:rsidRPr="00A1021A">
              <w:rPr>
                <w:color w:val="231F20"/>
                <w:spacing w:val="-3"/>
                <w:sz w:val="16"/>
                <w:szCs w:val="16"/>
              </w:rPr>
              <w:t xml:space="preserve"> </w:t>
            </w:r>
            <w:r w:rsidRPr="00A1021A">
              <w:rPr>
                <w:color w:val="231F20"/>
                <w:sz w:val="16"/>
                <w:szCs w:val="16"/>
              </w:rPr>
              <w:t>sediment</w:t>
            </w:r>
          </w:p>
        </w:tc>
        <w:tc>
          <w:tcPr>
            <w:tcW w:w="847"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1" w:right="-15"/>
              <w:rPr>
                <w:sz w:val="20"/>
              </w:rPr>
            </w:pPr>
            <w:r>
              <w:rPr>
                <w:noProof/>
                <w:sz w:val="20"/>
              </w:rPr>
              <w:drawing>
                <wp:inline distT="0" distB="0" distL="0" distR="0">
                  <wp:extent cx="314171" cy="310896"/>
                  <wp:effectExtent l="0" t="0" r="0" b="0"/>
                  <wp:docPr id="19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jpeg"/>
                          <pic:cNvPicPr/>
                        </pic:nvPicPr>
                        <pic:blipFill>
                          <a:blip r:embed="rId31" cstate="print"/>
                          <a:stretch>
                            <a:fillRect/>
                          </a:stretch>
                        </pic:blipFill>
                        <pic:spPr>
                          <a:xfrm>
                            <a:off x="0" y="0"/>
                            <a:ext cx="314171" cy="310896"/>
                          </a:xfrm>
                          <a:prstGeom prst="rect">
                            <a:avLst/>
                          </a:prstGeom>
                        </pic:spPr>
                      </pic:pic>
                    </a:graphicData>
                  </a:graphic>
                </wp:inline>
              </w:drawing>
            </w:r>
          </w:p>
        </w:tc>
        <w:tc>
          <w:tcPr>
            <w:tcW w:w="709"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7"/>
              <w:rPr>
                <w:sz w:val="20"/>
              </w:rPr>
            </w:pPr>
            <w:r>
              <w:rPr>
                <w:noProof/>
                <w:sz w:val="20"/>
              </w:rPr>
              <w:drawing>
                <wp:inline distT="0" distB="0" distL="0" distR="0">
                  <wp:extent cx="314171" cy="310896"/>
                  <wp:effectExtent l="0" t="0" r="0" b="0"/>
                  <wp:docPr id="20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0.jpeg"/>
                          <pic:cNvPicPr/>
                        </pic:nvPicPr>
                        <pic:blipFill>
                          <a:blip r:embed="rId32" cstate="print"/>
                          <a:stretch>
                            <a:fillRect/>
                          </a:stretch>
                        </pic:blipFill>
                        <pic:spPr>
                          <a:xfrm>
                            <a:off x="0" y="0"/>
                            <a:ext cx="314171" cy="310896"/>
                          </a:xfrm>
                          <a:prstGeom prst="rect">
                            <a:avLst/>
                          </a:prstGeom>
                        </pic:spPr>
                      </pic:pic>
                    </a:graphicData>
                  </a:graphic>
                </wp:inline>
              </w:drawing>
            </w:r>
          </w:p>
        </w:tc>
      </w:tr>
      <w:tr w:rsidR="006A7A3F" w:rsidTr="00BF686A">
        <w:trPr>
          <w:trHeight w:val="159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40"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47" w:type="dxa"/>
            <w:tcBorders>
              <w:top w:val="nil"/>
              <w:left w:val="single" w:sz="4" w:space="0" w:color="231F20"/>
              <w:bottom w:val="single" w:sz="4" w:space="0" w:color="231F20"/>
              <w:right w:val="nil"/>
            </w:tcBorders>
          </w:tcPr>
          <w:p w:rsidR="006A7A3F" w:rsidRDefault="00BC7372">
            <w:pPr>
              <w:pStyle w:val="TableParagraph"/>
              <w:ind w:left="311" w:right="-15"/>
              <w:rPr>
                <w:sz w:val="20"/>
              </w:rPr>
            </w:pPr>
            <w:r>
              <w:rPr>
                <w:noProof/>
                <w:sz w:val="20"/>
              </w:rPr>
              <w:drawing>
                <wp:inline distT="0" distB="0" distL="0" distR="0">
                  <wp:extent cx="314168" cy="310896"/>
                  <wp:effectExtent l="0" t="0" r="0" b="0"/>
                  <wp:docPr id="20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9"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BF686A">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336"/>
              <w:rPr>
                <w:sz w:val="16"/>
              </w:rPr>
            </w:pPr>
            <w:r>
              <w:rPr>
                <w:color w:val="231F20"/>
                <w:sz w:val="16"/>
              </w:rPr>
              <w:t>Summer/autumn fresh (two freshes</w:t>
            </w:r>
            <w:r>
              <w:rPr>
                <w:color w:val="231F20"/>
                <w:position w:val="5"/>
                <w:sz w:val="9"/>
              </w:rPr>
              <w:t xml:space="preserve">1 </w:t>
            </w:r>
            <w:r>
              <w:rPr>
                <w:color w:val="231F20"/>
                <w:sz w:val="16"/>
              </w:rPr>
              <w:t>of 230–350 ML/ day for seven days during December to March)</w:t>
            </w:r>
          </w:p>
        </w:tc>
        <w:tc>
          <w:tcPr>
            <w:tcW w:w="6240"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322"/>
              </w:numPr>
              <w:tabs>
                <w:tab w:val="left" w:pos="306"/>
              </w:tabs>
              <w:spacing w:before="63"/>
              <w:ind w:hanging="218"/>
              <w:rPr>
                <w:sz w:val="16"/>
                <w:szCs w:val="16"/>
              </w:rPr>
            </w:pPr>
            <w:r w:rsidRPr="00A1021A">
              <w:rPr>
                <w:color w:val="231F20"/>
                <w:sz w:val="16"/>
                <w:szCs w:val="16"/>
              </w:rPr>
              <w:t>Increase the water depth to provide habitat for native</w:t>
            </w:r>
            <w:r w:rsidRPr="00A1021A">
              <w:rPr>
                <w:color w:val="231F20"/>
                <w:spacing w:val="-11"/>
                <w:sz w:val="16"/>
                <w:szCs w:val="16"/>
              </w:rPr>
              <w:t xml:space="preserve"> </w:t>
            </w:r>
            <w:r w:rsidRPr="00A1021A">
              <w:rPr>
                <w:color w:val="231F20"/>
                <w:sz w:val="16"/>
                <w:szCs w:val="16"/>
              </w:rPr>
              <w:t>fish</w:t>
            </w:r>
          </w:p>
          <w:p w:rsidR="006A7A3F" w:rsidRPr="00A1021A" w:rsidRDefault="00BC7372" w:rsidP="009B6917">
            <w:pPr>
              <w:pStyle w:val="TableParagraph"/>
              <w:numPr>
                <w:ilvl w:val="0"/>
                <w:numId w:val="1322"/>
              </w:numPr>
              <w:tabs>
                <w:tab w:val="left" w:pos="306"/>
              </w:tabs>
              <w:spacing w:before="98" w:line="254" w:lineRule="auto"/>
              <w:ind w:right="172"/>
              <w:rPr>
                <w:sz w:val="16"/>
                <w:szCs w:val="16"/>
              </w:rPr>
            </w:pPr>
            <w:r w:rsidRPr="00A1021A">
              <w:rPr>
                <w:color w:val="231F20"/>
                <w:sz w:val="16"/>
                <w:szCs w:val="16"/>
              </w:rPr>
              <w:t>Wet aquatic and fringing vegetation to maintain its condition and</w:t>
            </w:r>
            <w:r w:rsidRPr="00A1021A">
              <w:rPr>
                <w:color w:val="231F20"/>
                <w:spacing w:val="-22"/>
                <w:sz w:val="16"/>
                <w:szCs w:val="16"/>
              </w:rPr>
              <w:t xml:space="preserve"> </w:t>
            </w:r>
            <w:r w:rsidRPr="00A1021A">
              <w:rPr>
                <w:color w:val="231F20"/>
                <w:sz w:val="16"/>
                <w:szCs w:val="16"/>
              </w:rPr>
              <w:t>support its</w:t>
            </w:r>
            <w:r w:rsidRPr="00A1021A">
              <w:rPr>
                <w:color w:val="231F20"/>
                <w:spacing w:val="-2"/>
                <w:sz w:val="16"/>
                <w:szCs w:val="16"/>
              </w:rPr>
              <w:t xml:space="preserve"> </w:t>
            </w:r>
            <w:r w:rsidRPr="00A1021A">
              <w:rPr>
                <w:color w:val="231F20"/>
                <w:sz w:val="16"/>
                <w:szCs w:val="16"/>
              </w:rPr>
              <w:t>growth</w:t>
            </w:r>
          </w:p>
          <w:p w:rsidR="006A7A3F" w:rsidRPr="00A1021A" w:rsidRDefault="00BC7372" w:rsidP="009B6917">
            <w:pPr>
              <w:pStyle w:val="TableParagraph"/>
              <w:numPr>
                <w:ilvl w:val="0"/>
                <w:numId w:val="1322"/>
              </w:numPr>
              <w:tabs>
                <w:tab w:val="left" w:pos="306"/>
              </w:tabs>
              <w:spacing w:before="86" w:line="254" w:lineRule="auto"/>
              <w:ind w:right="718"/>
              <w:rPr>
                <w:sz w:val="16"/>
                <w:szCs w:val="16"/>
              </w:rPr>
            </w:pPr>
            <w:r w:rsidRPr="00A1021A">
              <w:rPr>
                <w:color w:val="231F20"/>
                <w:sz w:val="16"/>
                <w:szCs w:val="16"/>
              </w:rPr>
              <w:t>Maintain the physical form and functioning of the channel through mobilisation of fine</w:t>
            </w:r>
            <w:r w:rsidRPr="00A1021A">
              <w:rPr>
                <w:color w:val="231F20"/>
                <w:spacing w:val="-2"/>
                <w:sz w:val="16"/>
                <w:szCs w:val="16"/>
              </w:rPr>
              <w:t xml:space="preserve"> </w:t>
            </w:r>
            <w:r w:rsidRPr="00A1021A">
              <w:rPr>
                <w:color w:val="231F20"/>
                <w:sz w:val="16"/>
                <w:szCs w:val="16"/>
              </w:rPr>
              <w:t>sediments</w:t>
            </w:r>
          </w:p>
        </w:tc>
        <w:tc>
          <w:tcPr>
            <w:tcW w:w="847"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1" w:right="-15"/>
              <w:rPr>
                <w:sz w:val="20"/>
              </w:rPr>
            </w:pPr>
            <w:r>
              <w:rPr>
                <w:noProof/>
                <w:sz w:val="20"/>
              </w:rPr>
              <w:drawing>
                <wp:inline distT="0" distB="0" distL="0" distR="0">
                  <wp:extent cx="314168" cy="310896"/>
                  <wp:effectExtent l="0" t="0" r="0" b="0"/>
                  <wp:docPr id="20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9"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7"/>
              <w:rPr>
                <w:sz w:val="20"/>
              </w:rPr>
            </w:pPr>
            <w:r>
              <w:rPr>
                <w:noProof/>
                <w:sz w:val="20"/>
              </w:rPr>
              <w:drawing>
                <wp:inline distT="0" distB="0" distL="0" distR="0">
                  <wp:extent cx="314168" cy="310896"/>
                  <wp:effectExtent l="0" t="0" r="0" b="0"/>
                  <wp:docPr id="207"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BF686A">
        <w:trPr>
          <w:trHeight w:val="76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40"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47" w:type="dxa"/>
            <w:tcBorders>
              <w:top w:val="nil"/>
              <w:left w:val="single" w:sz="4" w:space="0" w:color="231F20"/>
              <w:bottom w:val="single" w:sz="4" w:space="0" w:color="231F20"/>
              <w:right w:val="nil"/>
            </w:tcBorders>
          </w:tcPr>
          <w:p w:rsidR="006A7A3F" w:rsidRDefault="00BC7372">
            <w:pPr>
              <w:pStyle w:val="TableParagraph"/>
              <w:ind w:left="311" w:right="-15"/>
              <w:rPr>
                <w:sz w:val="20"/>
              </w:rPr>
            </w:pPr>
            <w:r>
              <w:rPr>
                <w:noProof/>
                <w:sz w:val="20"/>
              </w:rPr>
              <w:drawing>
                <wp:inline distT="0" distB="0" distL="0" distR="0">
                  <wp:extent cx="314168" cy="310896"/>
                  <wp:effectExtent l="0" t="0" r="0" b="0"/>
                  <wp:docPr id="20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9"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BF686A">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67"/>
              <w:jc w:val="both"/>
              <w:rPr>
                <w:sz w:val="9"/>
              </w:rPr>
            </w:pPr>
            <w:r>
              <w:rPr>
                <w:color w:val="231F20"/>
                <w:sz w:val="16"/>
              </w:rPr>
              <w:t>Autumn/winter/spring low flow (125–350 ML/day during May to November)</w:t>
            </w:r>
            <w:r>
              <w:rPr>
                <w:color w:val="231F20"/>
                <w:position w:val="5"/>
                <w:sz w:val="9"/>
              </w:rPr>
              <w:t>2</w:t>
            </w:r>
          </w:p>
        </w:tc>
        <w:tc>
          <w:tcPr>
            <w:tcW w:w="6240"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321"/>
              </w:numPr>
              <w:tabs>
                <w:tab w:val="left" w:pos="306"/>
              </w:tabs>
              <w:spacing w:before="63"/>
              <w:ind w:hanging="218"/>
              <w:rPr>
                <w:sz w:val="16"/>
                <w:szCs w:val="16"/>
              </w:rPr>
            </w:pPr>
            <w:r w:rsidRPr="00A1021A">
              <w:rPr>
                <w:color w:val="231F20"/>
                <w:sz w:val="16"/>
                <w:szCs w:val="16"/>
              </w:rPr>
              <w:t>Increase the available habitat for</w:t>
            </w:r>
            <w:r w:rsidRPr="00A1021A">
              <w:rPr>
                <w:color w:val="231F20"/>
                <w:spacing w:val="-25"/>
                <w:sz w:val="16"/>
                <w:szCs w:val="16"/>
              </w:rPr>
              <w:t xml:space="preserve"> </w:t>
            </w:r>
            <w:r w:rsidRPr="00A1021A">
              <w:rPr>
                <w:color w:val="231F20"/>
                <w:sz w:val="16"/>
                <w:szCs w:val="16"/>
              </w:rPr>
              <w:t>waterbugs</w:t>
            </w:r>
          </w:p>
          <w:p w:rsidR="006A7A3F" w:rsidRPr="00A1021A" w:rsidRDefault="00BC7372" w:rsidP="009B6917">
            <w:pPr>
              <w:pStyle w:val="TableParagraph"/>
              <w:numPr>
                <w:ilvl w:val="0"/>
                <w:numId w:val="1321"/>
              </w:numPr>
              <w:tabs>
                <w:tab w:val="left" w:pos="306"/>
              </w:tabs>
              <w:spacing w:before="98" w:line="254" w:lineRule="auto"/>
              <w:ind w:right="310"/>
              <w:rPr>
                <w:sz w:val="16"/>
                <w:szCs w:val="16"/>
              </w:rPr>
            </w:pPr>
            <w:r w:rsidRPr="00A1021A">
              <w:rPr>
                <w:color w:val="231F20"/>
                <w:sz w:val="16"/>
                <w:szCs w:val="16"/>
              </w:rPr>
              <w:t>Regulate</w:t>
            </w:r>
            <w:r w:rsidRPr="00A1021A">
              <w:rPr>
                <w:color w:val="231F20"/>
                <w:spacing w:val="-5"/>
                <w:sz w:val="16"/>
                <w:szCs w:val="16"/>
              </w:rPr>
              <w:t xml:space="preserve"> </w:t>
            </w:r>
            <w:r w:rsidRPr="00A1021A">
              <w:rPr>
                <w:color w:val="231F20"/>
                <w:sz w:val="16"/>
                <w:szCs w:val="16"/>
              </w:rPr>
              <w:t>the</w:t>
            </w:r>
            <w:r w:rsidRPr="00A1021A">
              <w:rPr>
                <w:color w:val="231F20"/>
                <w:spacing w:val="-3"/>
                <w:sz w:val="16"/>
                <w:szCs w:val="16"/>
              </w:rPr>
              <w:t xml:space="preserve"> </w:t>
            </w:r>
            <w:r w:rsidRPr="00A1021A">
              <w:rPr>
                <w:color w:val="231F20"/>
                <w:sz w:val="16"/>
                <w:szCs w:val="16"/>
              </w:rPr>
              <w:t>water</w:t>
            </w:r>
            <w:r w:rsidRPr="00A1021A">
              <w:rPr>
                <w:color w:val="231F20"/>
                <w:spacing w:val="-4"/>
                <w:sz w:val="16"/>
                <w:szCs w:val="16"/>
              </w:rPr>
              <w:t xml:space="preserve"> </w:t>
            </w:r>
            <w:r w:rsidRPr="00A1021A">
              <w:rPr>
                <w:color w:val="231F20"/>
                <w:sz w:val="16"/>
                <w:szCs w:val="16"/>
              </w:rPr>
              <w:t>temperature</w:t>
            </w:r>
            <w:r w:rsidRPr="00A1021A">
              <w:rPr>
                <w:color w:val="231F20"/>
                <w:spacing w:val="-3"/>
                <w:sz w:val="16"/>
                <w:szCs w:val="16"/>
              </w:rPr>
              <w:t xml:space="preserve"> </w:t>
            </w:r>
            <w:r w:rsidRPr="00A1021A">
              <w:rPr>
                <w:color w:val="231F20"/>
                <w:sz w:val="16"/>
                <w:szCs w:val="16"/>
              </w:rPr>
              <w:t>and</w:t>
            </w:r>
            <w:r w:rsidRPr="00A1021A">
              <w:rPr>
                <w:color w:val="231F20"/>
                <w:spacing w:val="-5"/>
                <w:sz w:val="16"/>
                <w:szCs w:val="16"/>
              </w:rPr>
              <w:t xml:space="preserve"> </w:t>
            </w:r>
            <w:r w:rsidRPr="00A1021A">
              <w:rPr>
                <w:color w:val="231F20"/>
                <w:sz w:val="16"/>
                <w:szCs w:val="16"/>
              </w:rPr>
              <w:t>wet</w:t>
            </w:r>
            <w:r w:rsidRPr="00A1021A">
              <w:rPr>
                <w:color w:val="231F20"/>
                <w:spacing w:val="-4"/>
                <w:sz w:val="16"/>
                <w:szCs w:val="16"/>
              </w:rPr>
              <w:t xml:space="preserve"> </w:t>
            </w:r>
            <w:r w:rsidRPr="00A1021A">
              <w:rPr>
                <w:color w:val="231F20"/>
                <w:sz w:val="16"/>
                <w:szCs w:val="16"/>
              </w:rPr>
              <w:t>large</w:t>
            </w:r>
            <w:r w:rsidRPr="00A1021A">
              <w:rPr>
                <w:color w:val="231F20"/>
                <w:spacing w:val="-4"/>
                <w:sz w:val="16"/>
                <w:szCs w:val="16"/>
              </w:rPr>
              <w:t xml:space="preserve"> </w:t>
            </w:r>
            <w:r w:rsidRPr="00A1021A">
              <w:rPr>
                <w:color w:val="231F20"/>
                <w:sz w:val="16"/>
                <w:szCs w:val="16"/>
              </w:rPr>
              <w:t>woody</w:t>
            </w:r>
            <w:r w:rsidRPr="00A1021A">
              <w:rPr>
                <w:color w:val="231F20"/>
                <w:spacing w:val="-4"/>
                <w:sz w:val="16"/>
                <w:szCs w:val="16"/>
              </w:rPr>
              <w:t xml:space="preserve"> </w:t>
            </w:r>
            <w:r w:rsidRPr="00A1021A">
              <w:rPr>
                <w:color w:val="231F20"/>
                <w:sz w:val="16"/>
                <w:szCs w:val="16"/>
              </w:rPr>
              <w:t>debris</w:t>
            </w:r>
            <w:r w:rsidRPr="00A1021A">
              <w:rPr>
                <w:color w:val="231F20"/>
                <w:spacing w:val="-4"/>
                <w:sz w:val="16"/>
                <w:szCs w:val="16"/>
              </w:rPr>
              <w:t xml:space="preserve"> </w:t>
            </w:r>
            <w:r w:rsidRPr="00A1021A">
              <w:rPr>
                <w:color w:val="231F20"/>
                <w:sz w:val="16"/>
                <w:szCs w:val="16"/>
              </w:rPr>
              <w:t>to</w:t>
            </w:r>
            <w:r w:rsidRPr="00A1021A">
              <w:rPr>
                <w:color w:val="231F20"/>
                <w:spacing w:val="-4"/>
                <w:sz w:val="16"/>
                <w:szCs w:val="16"/>
              </w:rPr>
              <w:t xml:space="preserve"> </w:t>
            </w:r>
            <w:r w:rsidRPr="00A1021A">
              <w:rPr>
                <w:color w:val="231F20"/>
                <w:sz w:val="16"/>
                <w:szCs w:val="16"/>
              </w:rPr>
              <w:t>provide food and shelter for waterbugs and</w:t>
            </w:r>
            <w:r w:rsidRPr="00A1021A">
              <w:rPr>
                <w:color w:val="231F20"/>
                <w:spacing w:val="-5"/>
                <w:sz w:val="16"/>
                <w:szCs w:val="16"/>
              </w:rPr>
              <w:t xml:space="preserve"> </w:t>
            </w:r>
            <w:r w:rsidRPr="00A1021A">
              <w:rPr>
                <w:color w:val="231F20"/>
                <w:sz w:val="16"/>
                <w:szCs w:val="16"/>
              </w:rPr>
              <w:t>fish</w:t>
            </w:r>
          </w:p>
          <w:p w:rsidR="006A7A3F" w:rsidRPr="00A1021A" w:rsidRDefault="00BC7372" w:rsidP="009B6917">
            <w:pPr>
              <w:pStyle w:val="TableParagraph"/>
              <w:numPr>
                <w:ilvl w:val="0"/>
                <w:numId w:val="1321"/>
              </w:numPr>
              <w:tabs>
                <w:tab w:val="left" w:pos="306"/>
              </w:tabs>
              <w:spacing w:before="86" w:line="254" w:lineRule="auto"/>
              <w:ind w:right="739"/>
              <w:rPr>
                <w:sz w:val="16"/>
                <w:szCs w:val="16"/>
              </w:rPr>
            </w:pPr>
            <w:r w:rsidRPr="00A1021A">
              <w:rPr>
                <w:color w:val="231F20"/>
                <w:sz w:val="16"/>
                <w:szCs w:val="16"/>
              </w:rPr>
              <w:t>Increase the water depth to facilitate platypus and fish movement between localised habitats and increase foraging</w:t>
            </w:r>
            <w:r w:rsidRPr="00A1021A">
              <w:rPr>
                <w:color w:val="231F20"/>
                <w:spacing w:val="-28"/>
                <w:sz w:val="16"/>
                <w:szCs w:val="16"/>
              </w:rPr>
              <w:t xml:space="preserve"> </w:t>
            </w:r>
            <w:r w:rsidRPr="00A1021A">
              <w:rPr>
                <w:color w:val="231F20"/>
                <w:sz w:val="16"/>
                <w:szCs w:val="16"/>
              </w:rPr>
              <w:t>opportunities</w:t>
            </w:r>
          </w:p>
          <w:p w:rsidR="006A7A3F" w:rsidRPr="00A1021A" w:rsidRDefault="00BC7372" w:rsidP="009B6917">
            <w:pPr>
              <w:pStyle w:val="TableParagraph"/>
              <w:numPr>
                <w:ilvl w:val="0"/>
                <w:numId w:val="1321"/>
              </w:numPr>
              <w:tabs>
                <w:tab w:val="left" w:pos="306"/>
              </w:tabs>
              <w:spacing w:before="86" w:line="254" w:lineRule="auto"/>
              <w:ind w:right="265"/>
              <w:rPr>
                <w:sz w:val="16"/>
                <w:szCs w:val="16"/>
              </w:rPr>
            </w:pPr>
            <w:r w:rsidRPr="00A1021A">
              <w:rPr>
                <w:color w:val="231F20"/>
                <w:sz w:val="16"/>
                <w:szCs w:val="16"/>
              </w:rPr>
              <w:t>Wet</w:t>
            </w:r>
            <w:r w:rsidRPr="00A1021A">
              <w:rPr>
                <w:color w:val="231F20"/>
                <w:spacing w:val="-7"/>
                <w:sz w:val="16"/>
                <w:szCs w:val="16"/>
              </w:rPr>
              <w:t xml:space="preserve"> </w:t>
            </w:r>
            <w:r w:rsidRPr="00A1021A">
              <w:rPr>
                <w:color w:val="231F20"/>
                <w:sz w:val="16"/>
                <w:szCs w:val="16"/>
              </w:rPr>
              <w:t>low-lying</w:t>
            </w:r>
            <w:r w:rsidRPr="00A1021A">
              <w:rPr>
                <w:color w:val="231F20"/>
                <w:spacing w:val="-6"/>
                <w:sz w:val="16"/>
                <w:szCs w:val="16"/>
              </w:rPr>
              <w:t xml:space="preserve"> </w:t>
            </w:r>
            <w:r w:rsidRPr="00A1021A">
              <w:rPr>
                <w:color w:val="231F20"/>
                <w:sz w:val="16"/>
                <w:szCs w:val="16"/>
              </w:rPr>
              <w:t>benches</w:t>
            </w:r>
            <w:r w:rsidRPr="00A1021A">
              <w:rPr>
                <w:color w:val="231F20"/>
                <w:spacing w:val="-6"/>
                <w:sz w:val="16"/>
                <w:szCs w:val="16"/>
              </w:rPr>
              <w:t xml:space="preserve"> </w:t>
            </w:r>
            <w:r w:rsidRPr="00A1021A">
              <w:rPr>
                <w:color w:val="231F20"/>
                <w:sz w:val="16"/>
                <w:szCs w:val="16"/>
              </w:rPr>
              <w:t>to</w:t>
            </w:r>
            <w:r w:rsidRPr="00A1021A">
              <w:rPr>
                <w:color w:val="231F20"/>
                <w:spacing w:val="-5"/>
                <w:sz w:val="16"/>
                <w:szCs w:val="16"/>
              </w:rPr>
              <w:t xml:space="preserve"> </w:t>
            </w:r>
            <w:r w:rsidRPr="00A1021A">
              <w:rPr>
                <w:color w:val="231F20"/>
                <w:sz w:val="16"/>
                <w:szCs w:val="16"/>
              </w:rPr>
              <w:t>prevent</w:t>
            </w:r>
            <w:r w:rsidRPr="00A1021A">
              <w:rPr>
                <w:color w:val="231F20"/>
                <w:spacing w:val="-6"/>
                <w:sz w:val="16"/>
                <w:szCs w:val="16"/>
              </w:rPr>
              <w:t xml:space="preserve"> </w:t>
            </w:r>
            <w:r w:rsidRPr="00A1021A">
              <w:rPr>
                <w:color w:val="231F20"/>
                <w:sz w:val="16"/>
                <w:szCs w:val="16"/>
              </w:rPr>
              <w:t>encroachment</w:t>
            </w:r>
            <w:r w:rsidRPr="00A1021A">
              <w:rPr>
                <w:color w:val="231F20"/>
                <w:spacing w:val="-6"/>
                <w:sz w:val="16"/>
                <w:szCs w:val="16"/>
              </w:rPr>
              <w:t xml:space="preserve"> </w:t>
            </w:r>
            <w:r w:rsidRPr="00A1021A">
              <w:rPr>
                <w:color w:val="231F20"/>
                <w:sz w:val="16"/>
                <w:szCs w:val="16"/>
              </w:rPr>
              <w:t>by</w:t>
            </w:r>
            <w:r w:rsidRPr="00A1021A">
              <w:rPr>
                <w:color w:val="231F20"/>
                <w:spacing w:val="-6"/>
                <w:sz w:val="16"/>
                <w:szCs w:val="16"/>
              </w:rPr>
              <w:t xml:space="preserve"> </w:t>
            </w:r>
            <w:r w:rsidRPr="00A1021A">
              <w:rPr>
                <w:color w:val="231F20"/>
                <w:sz w:val="16"/>
                <w:szCs w:val="16"/>
              </w:rPr>
              <w:t>invasive</w:t>
            </w:r>
            <w:r w:rsidRPr="00A1021A">
              <w:rPr>
                <w:color w:val="231F20"/>
                <w:spacing w:val="-6"/>
                <w:sz w:val="16"/>
                <w:szCs w:val="16"/>
              </w:rPr>
              <w:t xml:space="preserve"> </w:t>
            </w:r>
            <w:r w:rsidRPr="00A1021A">
              <w:rPr>
                <w:color w:val="231F20"/>
                <w:sz w:val="16"/>
                <w:szCs w:val="16"/>
              </w:rPr>
              <w:t>plants</w:t>
            </w:r>
            <w:r w:rsidRPr="00A1021A">
              <w:rPr>
                <w:color w:val="231F20"/>
                <w:spacing w:val="-7"/>
                <w:sz w:val="16"/>
                <w:szCs w:val="16"/>
              </w:rPr>
              <w:t xml:space="preserve"> </w:t>
            </w:r>
            <w:r w:rsidRPr="00A1021A">
              <w:rPr>
                <w:color w:val="231F20"/>
                <w:sz w:val="16"/>
                <w:szCs w:val="16"/>
              </w:rPr>
              <w:t>and permit seed</w:t>
            </w:r>
            <w:r w:rsidRPr="00A1021A">
              <w:rPr>
                <w:color w:val="231F20"/>
                <w:spacing w:val="-2"/>
                <w:sz w:val="16"/>
                <w:szCs w:val="16"/>
              </w:rPr>
              <w:t xml:space="preserve"> </w:t>
            </w:r>
            <w:r w:rsidRPr="00A1021A">
              <w:rPr>
                <w:color w:val="231F20"/>
                <w:sz w:val="16"/>
                <w:szCs w:val="16"/>
              </w:rPr>
              <w:t>dispersal</w:t>
            </w:r>
          </w:p>
        </w:tc>
        <w:tc>
          <w:tcPr>
            <w:tcW w:w="847"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1" w:right="-15"/>
              <w:rPr>
                <w:sz w:val="20"/>
              </w:rPr>
            </w:pPr>
            <w:r>
              <w:rPr>
                <w:noProof/>
                <w:sz w:val="20"/>
              </w:rPr>
              <w:drawing>
                <wp:inline distT="0" distB="0" distL="0" distR="0">
                  <wp:extent cx="314178" cy="310896"/>
                  <wp:effectExtent l="0" t="0" r="0" b="0"/>
                  <wp:docPr id="21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jpeg"/>
                          <pic:cNvPicPr/>
                        </pic:nvPicPr>
                        <pic:blipFill>
                          <a:blip r:embed="rId31" cstate="print"/>
                          <a:stretch>
                            <a:fillRect/>
                          </a:stretch>
                        </pic:blipFill>
                        <pic:spPr>
                          <a:xfrm>
                            <a:off x="0" y="0"/>
                            <a:ext cx="314178" cy="310896"/>
                          </a:xfrm>
                          <a:prstGeom prst="rect">
                            <a:avLst/>
                          </a:prstGeom>
                        </pic:spPr>
                      </pic:pic>
                    </a:graphicData>
                  </a:graphic>
                </wp:inline>
              </w:drawing>
            </w:r>
          </w:p>
        </w:tc>
        <w:tc>
          <w:tcPr>
            <w:tcW w:w="709"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7"/>
              <w:rPr>
                <w:sz w:val="20"/>
              </w:rPr>
            </w:pPr>
            <w:r>
              <w:rPr>
                <w:noProof/>
                <w:sz w:val="20"/>
              </w:rPr>
              <w:drawing>
                <wp:inline distT="0" distB="0" distL="0" distR="0">
                  <wp:extent cx="314179" cy="310896"/>
                  <wp:effectExtent l="0" t="0" r="0" b="0"/>
                  <wp:docPr id="21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1.jpeg"/>
                          <pic:cNvPicPr/>
                        </pic:nvPicPr>
                        <pic:blipFill>
                          <a:blip r:embed="rId43" cstate="print"/>
                          <a:stretch>
                            <a:fillRect/>
                          </a:stretch>
                        </pic:blipFill>
                        <pic:spPr>
                          <a:xfrm>
                            <a:off x="0" y="0"/>
                            <a:ext cx="314179" cy="310896"/>
                          </a:xfrm>
                          <a:prstGeom prst="rect">
                            <a:avLst/>
                          </a:prstGeom>
                        </pic:spPr>
                      </pic:pic>
                    </a:graphicData>
                  </a:graphic>
                </wp:inline>
              </w:drawing>
            </w:r>
          </w:p>
        </w:tc>
      </w:tr>
      <w:tr w:rsidR="006A7A3F" w:rsidTr="00BF686A">
        <w:trPr>
          <w:trHeight w:val="129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40"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47" w:type="dxa"/>
            <w:tcBorders>
              <w:top w:val="nil"/>
              <w:left w:val="single" w:sz="4" w:space="0" w:color="231F20"/>
              <w:bottom w:val="single" w:sz="4" w:space="0" w:color="231F20"/>
              <w:right w:val="nil"/>
            </w:tcBorders>
          </w:tcPr>
          <w:p w:rsidR="006A7A3F" w:rsidRDefault="00BC7372">
            <w:pPr>
              <w:pStyle w:val="TableParagraph"/>
              <w:ind w:left="311" w:right="-15"/>
              <w:rPr>
                <w:sz w:val="20"/>
              </w:rPr>
            </w:pPr>
            <w:r>
              <w:rPr>
                <w:noProof/>
                <w:sz w:val="20"/>
              </w:rPr>
              <w:drawing>
                <wp:inline distT="0" distB="0" distL="0" distR="0">
                  <wp:extent cx="314168" cy="310896"/>
                  <wp:effectExtent l="0" t="0" r="0" b="0"/>
                  <wp:docPr id="21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9" w:type="dxa"/>
            <w:tcBorders>
              <w:top w:val="nil"/>
              <w:left w:val="nil"/>
              <w:bottom w:val="single" w:sz="4" w:space="0" w:color="231F20"/>
              <w:right w:val="single" w:sz="4" w:space="0" w:color="231F20"/>
            </w:tcBorders>
          </w:tcPr>
          <w:p w:rsidR="006A7A3F" w:rsidRDefault="00BC7372">
            <w:pPr>
              <w:pStyle w:val="TableParagraph"/>
              <w:ind w:left="47"/>
              <w:rPr>
                <w:sz w:val="20"/>
              </w:rPr>
            </w:pPr>
            <w:r>
              <w:rPr>
                <w:noProof/>
                <w:sz w:val="20"/>
              </w:rPr>
              <w:drawing>
                <wp:inline distT="0" distB="0" distL="0" distR="0">
                  <wp:extent cx="314168" cy="310896"/>
                  <wp:effectExtent l="0" t="0" r="0" b="0"/>
                  <wp:docPr id="21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BF686A">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49"/>
              <w:rPr>
                <w:sz w:val="16"/>
              </w:rPr>
            </w:pPr>
            <w:r>
              <w:rPr>
                <w:color w:val="231F20"/>
                <w:sz w:val="16"/>
              </w:rPr>
              <w:t>Summer/autumn low flow (340 ML/day at reach 6 during December to</w:t>
            </w:r>
            <w:r>
              <w:rPr>
                <w:color w:val="231F20"/>
                <w:spacing w:val="-2"/>
                <w:sz w:val="16"/>
              </w:rPr>
              <w:t xml:space="preserve"> </w:t>
            </w:r>
            <w:r>
              <w:rPr>
                <w:color w:val="231F20"/>
                <w:sz w:val="16"/>
              </w:rPr>
              <w:t>May)</w:t>
            </w:r>
          </w:p>
        </w:tc>
        <w:tc>
          <w:tcPr>
            <w:tcW w:w="6240"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320"/>
              </w:numPr>
              <w:tabs>
                <w:tab w:val="left" w:pos="306"/>
              </w:tabs>
              <w:spacing w:before="63" w:line="254" w:lineRule="auto"/>
              <w:ind w:right="125"/>
              <w:rPr>
                <w:sz w:val="16"/>
                <w:szCs w:val="16"/>
              </w:rPr>
            </w:pPr>
            <w:r w:rsidRPr="00A1021A">
              <w:rPr>
                <w:color w:val="231F20"/>
                <w:sz w:val="16"/>
                <w:szCs w:val="16"/>
              </w:rPr>
              <w:t xml:space="preserve">Partially flush the upper water column in the Thomson </w:t>
            </w:r>
            <w:r w:rsidRPr="00A1021A">
              <w:rPr>
                <w:color w:val="231F20"/>
                <w:spacing w:val="-3"/>
                <w:sz w:val="16"/>
                <w:szCs w:val="16"/>
              </w:rPr>
              <w:t xml:space="preserve">estuary, </w:t>
            </w:r>
            <w:r w:rsidRPr="00A1021A">
              <w:rPr>
                <w:color w:val="231F20"/>
                <w:sz w:val="16"/>
                <w:szCs w:val="16"/>
              </w:rPr>
              <w:t>helping to sustain waterbug communities and fish by maintaining oxygen</w:t>
            </w:r>
            <w:r w:rsidRPr="00A1021A">
              <w:rPr>
                <w:color w:val="231F20"/>
                <w:spacing w:val="-15"/>
                <w:sz w:val="16"/>
                <w:szCs w:val="16"/>
              </w:rPr>
              <w:t xml:space="preserve"> </w:t>
            </w:r>
            <w:r w:rsidRPr="00A1021A">
              <w:rPr>
                <w:color w:val="231F20"/>
                <w:sz w:val="16"/>
                <w:szCs w:val="16"/>
              </w:rPr>
              <w:t>levels</w:t>
            </w:r>
          </w:p>
          <w:p w:rsidR="006A7A3F" w:rsidRPr="00A1021A" w:rsidRDefault="00BC7372" w:rsidP="009B6917">
            <w:pPr>
              <w:pStyle w:val="TableParagraph"/>
              <w:numPr>
                <w:ilvl w:val="0"/>
                <w:numId w:val="1320"/>
              </w:numPr>
              <w:tabs>
                <w:tab w:val="left" w:pos="306"/>
              </w:tabs>
              <w:spacing w:before="86" w:line="254" w:lineRule="auto"/>
              <w:ind w:right="391"/>
              <w:rPr>
                <w:sz w:val="16"/>
                <w:szCs w:val="16"/>
              </w:rPr>
            </w:pPr>
            <w:r w:rsidRPr="00A1021A">
              <w:rPr>
                <w:color w:val="231F20"/>
                <w:sz w:val="16"/>
                <w:szCs w:val="16"/>
              </w:rPr>
              <w:t>Prevent high salinity levels, helping to maintain emergent</w:t>
            </w:r>
            <w:r w:rsidRPr="00A1021A">
              <w:rPr>
                <w:color w:val="231F20"/>
                <w:spacing w:val="-25"/>
                <w:sz w:val="16"/>
                <w:szCs w:val="16"/>
              </w:rPr>
              <w:t xml:space="preserve"> </w:t>
            </w:r>
            <w:r w:rsidRPr="00A1021A">
              <w:rPr>
                <w:color w:val="231F20"/>
                <w:sz w:val="16"/>
                <w:szCs w:val="16"/>
              </w:rPr>
              <w:t>macrophyte vegetation</w:t>
            </w:r>
          </w:p>
          <w:p w:rsidR="006A7A3F" w:rsidRPr="00A1021A" w:rsidRDefault="00BC7372" w:rsidP="009B6917">
            <w:pPr>
              <w:pStyle w:val="TableParagraph"/>
              <w:numPr>
                <w:ilvl w:val="0"/>
                <w:numId w:val="1320"/>
              </w:numPr>
              <w:tabs>
                <w:tab w:val="left" w:pos="306"/>
              </w:tabs>
              <w:spacing w:before="86"/>
              <w:ind w:hanging="218"/>
              <w:rPr>
                <w:sz w:val="16"/>
                <w:szCs w:val="16"/>
              </w:rPr>
            </w:pPr>
            <w:r w:rsidRPr="00A1021A">
              <w:rPr>
                <w:color w:val="231F20"/>
                <w:sz w:val="16"/>
                <w:szCs w:val="16"/>
              </w:rPr>
              <w:t>Provide freshwater to the Latrobe River</w:t>
            </w:r>
            <w:r w:rsidRPr="00A1021A">
              <w:rPr>
                <w:color w:val="231F20"/>
                <w:spacing w:val="-4"/>
                <w:sz w:val="16"/>
                <w:szCs w:val="16"/>
              </w:rPr>
              <w:t xml:space="preserve"> </w:t>
            </w:r>
            <w:r w:rsidRPr="00A1021A">
              <w:rPr>
                <w:color w:val="231F20"/>
                <w:sz w:val="16"/>
                <w:szCs w:val="16"/>
              </w:rPr>
              <w:t>system</w:t>
            </w:r>
          </w:p>
        </w:tc>
        <w:tc>
          <w:tcPr>
            <w:tcW w:w="847"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1" w:right="-15"/>
              <w:rPr>
                <w:sz w:val="20"/>
              </w:rPr>
            </w:pPr>
            <w:r>
              <w:rPr>
                <w:noProof/>
                <w:sz w:val="20"/>
              </w:rPr>
              <w:drawing>
                <wp:inline distT="0" distB="0" distL="0" distR="0">
                  <wp:extent cx="314168" cy="310896"/>
                  <wp:effectExtent l="0" t="0" r="0" b="0"/>
                  <wp:docPr id="21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9"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7"/>
              <w:rPr>
                <w:sz w:val="20"/>
              </w:rPr>
            </w:pPr>
            <w:r>
              <w:rPr>
                <w:noProof/>
                <w:sz w:val="20"/>
              </w:rPr>
              <w:drawing>
                <wp:inline distT="0" distB="0" distL="0" distR="0">
                  <wp:extent cx="314168" cy="310896"/>
                  <wp:effectExtent l="0" t="0" r="0" b="0"/>
                  <wp:docPr id="22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BF686A">
        <w:trPr>
          <w:trHeight w:val="76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40"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47" w:type="dxa"/>
            <w:tcBorders>
              <w:top w:val="nil"/>
              <w:left w:val="single" w:sz="4" w:space="0" w:color="231F20"/>
              <w:bottom w:val="single" w:sz="4" w:space="0" w:color="231F20"/>
              <w:right w:val="nil"/>
            </w:tcBorders>
          </w:tcPr>
          <w:p w:rsidR="006A7A3F" w:rsidRDefault="00BC7372">
            <w:pPr>
              <w:pStyle w:val="TableParagraph"/>
              <w:ind w:left="311" w:right="-15"/>
              <w:rPr>
                <w:sz w:val="20"/>
              </w:rPr>
            </w:pPr>
            <w:r>
              <w:rPr>
                <w:noProof/>
                <w:sz w:val="20"/>
              </w:rPr>
              <w:drawing>
                <wp:inline distT="0" distB="0" distL="0" distR="0">
                  <wp:extent cx="314168" cy="310896"/>
                  <wp:effectExtent l="0" t="0" r="0" b="0"/>
                  <wp:docPr id="22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9" w:type="dxa"/>
            <w:tcBorders>
              <w:top w:val="nil"/>
              <w:left w:val="nil"/>
              <w:bottom w:val="single" w:sz="4" w:space="0" w:color="231F20"/>
              <w:right w:val="single" w:sz="4" w:space="0" w:color="231F20"/>
            </w:tcBorders>
          </w:tcPr>
          <w:p w:rsidR="006A7A3F" w:rsidRDefault="00BC7372">
            <w:pPr>
              <w:pStyle w:val="TableParagraph"/>
              <w:ind w:left="47"/>
              <w:rPr>
                <w:sz w:val="20"/>
              </w:rPr>
            </w:pPr>
            <w:r>
              <w:rPr>
                <w:noProof/>
                <w:sz w:val="20"/>
              </w:rPr>
              <w:drawing>
                <wp:inline distT="0" distB="0" distL="0" distR="0">
                  <wp:extent cx="314168" cy="310896"/>
                  <wp:effectExtent l="0" t="0" r="0" b="0"/>
                  <wp:docPr id="22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BF686A">
        <w:trPr>
          <w:trHeight w:val="347"/>
        </w:trPr>
        <w:tc>
          <w:tcPr>
            <w:tcW w:w="10177"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7"/>
              <w:ind w:left="85"/>
              <w:rPr>
                <w:b/>
                <w:sz w:val="16"/>
              </w:rPr>
            </w:pPr>
            <w:r>
              <w:rPr>
                <w:b/>
                <w:color w:val="231F20"/>
                <w:sz w:val="16"/>
              </w:rPr>
              <w:t>Heyfield wetlands</w:t>
            </w:r>
          </w:p>
        </w:tc>
      </w:tr>
      <w:tr w:rsidR="006A7A3F" w:rsidTr="00BF686A">
        <w:trPr>
          <w:trHeight w:val="109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Fill (in August)</w:t>
            </w:r>
          </w:p>
        </w:tc>
        <w:tc>
          <w:tcPr>
            <w:tcW w:w="6240" w:type="dxa"/>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319"/>
              </w:numPr>
              <w:tabs>
                <w:tab w:val="left" w:pos="306"/>
              </w:tabs>
              <w:spacing w:before="63" w:line="254" w:lineRule="auto"/>
              <w:ind w:right="546"/>
              <w:rPr>
                <w:sz w:val="16"/>
                <w:szCs w:val="16"/>
              </w:rPr>
            </w:pPr>
            <w:r w:rsidRPr="00A1021A">
              <w:rPr>
                <w:color w:val="231F20"/>
                <w:sz w:val="16"/>
                <w:szCs w:val="16"/>
              </w:rPr>
              <w:t>Wet ponds to capacity, to stabilise the banks and support the</w:t>
            </w:r>
            <w:r w:rsidRPr="00A1021A">
              <w:rPr>
                <w:color w:val="231F20"/>
                <w:spacing w:val="-33"/>
                <w:sz w:val="16"/>
                <w:szCs w:val="16"/>
              </w:rPr>
              <w:t xml:space="preserve"> </w:t>
            </w:r>
            <w:r w:rsidRPr="00A1021A">
              <w:rPr>
                <w:color w:val="231F20"/>
                <w:sz w:val="16"/>
                <w:szCs w:val="16"/>
              </w:rPr>
              <w:t>spring growth of semi-aquatic</w:t>
            </w:r>
            <w:r w:rsidRPr="00A1021A">
              <w:rPr>
                <w:color w:val="231F20"/>
                <w:spacing w:val="-3"/>
                <w:sz w:val="16"/>
                <w:szCs w:val="16"/>
              </w:rPr>
              <w:t xml:space="preserve"> </w:t>
            </w:r>
            <w:r w:rsidRPr="00A1021A">
              <w:rPr>
                <w:color w:val="231F20"/>
                <w:sz w:val="16"/>
                <w:szCs w:val="16"/>
              </w:rPr>
              <w:t>vegetation</w:t>
            </w:r>
          </w:p>
          <w:p w:rsidR="006A7A3F" w:rsidRPr="00A1021A" w:rsidRDefault="00BC7372" w:rsidP="009B6917">
            <w:pPr>
              <w:pStyle w:val="TableParagraph"/>
              <w:numPr>
                <w:ilvl w:val="0"/>
                <w:numId w:val="1319"/>
              </w:numPr>
              <w:tabs>
                <w:tab w:val="left" w:pos="306"/>
              </w:tabs>
              <w:spacing w:before="86" w:line="254" w:lineRule="auto"/>
              <w:ind w:right="440"/>
              <w:rPr>
                <w:sz w:val="16"/>
                <w:szCs w:val="16"/>
              </w:rPr>
            </w:pPr>
            <w:r w:rsidRPr="00A1021A">
              <w:rPr>
                <w:color w:val="231F20"/>
                <w:sz w:val="16"/>
                <w:szCs w:val="16"/>
              </w:rPr>
              <w:t>Provide freshwater habitat for waterbirds and frogs (such as growling grass frogs and golden bell</w:t>
            </w:r>
            <w:r w:rsidRPr="00A1021A">
              <w:rPr>
                <w:color w:val="231F20"/>
                <w:spacing w:val="-6"/>
                <w:sz w:val="16"/>
                <w:szCs w:val="16"/>
              </w:rPr>
              <w:t xml:space="preserve"> </w:t>
            </w:r>
            <w:r w:rsidRPr="00A1021A">
              <w:rPr>
                <w:color w:val="231F20"/>
                <w:sz w:val="16"/>
                <w:szCs w:val="16"/>
              </w:rPr>
              <w:t>frogs)</w:t>
            </w:r>
          </w:p>
        </w:tc>
        <w:tc>
          <w:tcPr>
            <w:tcW w:w="847"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1" w:right="-15"/>
              <w:rPr>
                <w:sz w:val="20"/>
              </w:rPr>
            </w:pPr>
            <w:r>
              <w:rPr>
                <w:noProof/>
                <w:sz w:val="20"/>
              </w:rPr>
              <w:drawing>
                <wp:inline distT="0" distB="0" distL="0" distR="0">
                  <wp:extent cx="314172" cy="310896"/>
                  <wp:effectExtent l="0" t="0" r="0" b="0"/>
                  <wp:docPr id="227"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5.jpeg"/>
                          <pic:cNvPicPr/>
                        </pic:nvPicPr>
                        <pic:blipFill>
                          <a:blip r:embed="rId37" cstate="print"/>
                          <a:stretch>
                            <a:fillRect/>
                          </a:stretch>
                        </pic:blipFill>
                        <pic:spPr>
                          <a:xfrm>
                            <a:off x="0" y="0"/>
                            <a:ext cx="314172" cy="310896"/>
                          </a:xfrm>
                          <a:prstGeom prst="rect">
                            <a:avLst/>
                          </a:prstGeom>
                        </pic:spPr>
                      </pic:pic>
                    </a:graphicData>
                  </a:graphic>
                </wp:inline>
              </w:drawing>
            </w:r>
          </w:p>
        </w:tc>
        <w:tc>
          <w:tcPr>
            <w:tcW w:w="709"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7"/>
              <w:rPr>
                <w:sz w:val="20"/>
              </w:rPr>
            </w:pPr>
            <w:r>
              <w:rPr>
                <w:noProof/>
                <w:sz w:val="20"/>
              </w:rPr>
              <w:drawing>
                <wp:inline distT="0" distB="0" distL="0" distR="0">
                  <wp:extent cx="314174" cy="310896"/>
                  <wp:effectExtent l="0" t="0" r="0" b="0"/>
                  <wp:docPr id="22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jpeg"/>
                          <pic:cNvPicPr/>
                        </pic:nvPicPr>
                        <pic:blipFill>
                          <a:blip r:embed="rId33" cstate="print"/>
                          <a:stretch>
                            <a:fillRect/>
                          </a:stretch>
                        </pic:blipFill>
                        <pic:spPr>
                          <a:xfrm>
                            <a:off x="0" y="0"/>
                            <a:ext cx="314174" cy="310896"/>
                          </a:xfrm>
                          <a:prstGeom prst="rect">
                            <a:avLst/>
                          </a:prstGeom>
                        </pic:spPr>
                      </pic:pic>
                    </a:graphicData>
                  </a:graphic>
                </wp:inline>
              </w:drawing>
            </w:r>
          </w:p>
        </w:tc>
      </w:tr>
      <w:tr w:rsidR="006A7A3F" w:rsidTr="00BF686A">
        <w:trPr>
          <w:trHeight w:val="109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69"/>
              <w:rPr>
                <w:sz w:val="16"/>
              </w:rPr>
            </w:pPr>
            <w:r>
              <w:rPr>
                <w:color w:val="231F20"/>
                <w:sz w:val="16"/>
              </w:rPr>
              <w:t>Top-ups to maintain water level, as required (during October to November)</w:t>
            </w:r>
          </w:p>
        </w:tc>
        <w:tc>
          <w:tcPr>
            <w:tcW w:w="6240" w:type="dxa"/>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318"/>
              </w:numPr>
              <w:tabs>
                <w:tab w:val="left" w:pos="306"/>
              </w:tabs>
              <w:spacing w:before="63" w:line="254" w:lineRule="auto"/>
              <w:ind w:right="460"/>
              <w:rPr>
                <w:sz w:val="16"/>
                <w:szCs w:val="16"/>
              </w:rPr>
            </w:pPr>
            <w:r w:rsidRPr="00A1021A">
              <w:rPr>
                <w:color w:val="231F20"/>
                <w:spacing w:val="-7"/>
                <w:sz w:val="16"/>
                <w:szCs w:val="16"/>
              </w:rPr>
              <w:t xml:space="preserve">Top </w:t>
            </w:r>
            <w:r w:rsidRPr="00A1021A">
              <w:rPr>
                <w:color w:val="231F20"/>
                <w:sz w:val="16"/>
                <w:szCs w:val="16"/>
              </w:rPr>
              <w:t>up ponds before summer to maintain the existing vegetation and enhance its recruitment by triggering seed</w:t>
            </w:r>
            <w:r w:rsidRPr="00A1021A">
              <w:rPr>
                <w:color w:val="231F20"/>
                <w:spacing w:val="-7"/>
                <w:sz w:val="16"/>
                <w:szCs w:val="16"/>
              </w:rPr>
              <w:t xml:space="preserve"> </w:t>
            </w:r>
            <w:r w:rsidRPr="00A1021A">
              <w:rPr>
                <w:color w:val="231F20"/>
                <w:sz w:val="16"/>
                <w:szCs w:val="16"/>
              </w:rPr>
              <w:t>dispersal</w:t>
            </w:r>
          </w:p>
          <w:p w:rsidR="006A7A3F" w:rsidRPr="00A1021A" w:rsidRDefault="00BC7372" w:rsidP="009B6917">
            <w:pPr>
              <w:pStyle w:val="TableParagraph"/>
              <w:numPr>
                <w:ilvl w:val="0"/>
                <w:numId w:val="1318"/>
              </w:numPr>
              <w:tabs>
                <w:tab w:val="left" w:pos="306"/>
              </w:tabs>
              <w:spacing w:before="86" w:line="254" w:lineRule="auto"/>
              <w:ind w:right="440"/>
              <w:rPr>
                <w:sz w:val="16"/>
                <w:szCs w:val="16"/>
              </w:rPr>
            </w:pPr>
            <w:r w:rsidRPr="00A1021A">
              <w:rPr>
                <w:color w:val="231F20"/>
                <w:sz w:val="16"/>
                <w:szCs w:val="16"/>
              </w:rPr>
              <w:t>Provide freshwater habitat for waterbirds and frogs (such as growling grass frogs and golden bell</w:t>
            </w:r>
            <w:r w:rsidRPr="00A1021A">
              <w:rPr>
                <w:color w:val="231F20"/>
                <w:spacing w:val="-6"/>
                <w:sz w:val="16"/>
                <w:szCs w:val="16"/>
              </w:rPr>
              <w:t xml:space="preserve"> </w:t>
            </w:r>
            <w:r w:rsidRPr="00A1021A">
              <w:rPr>
                <w:color w:val="231F20"/>
                <w:sz w:val="16"/>
                <w:szCs w:val="16"/>
              </w:rPr>
              <w:t>frogs)</w:t>
            </w:r>
          </w:p>
        </w:tc>
        <w:tc>
          <w:tcPr>
            <w:tcW w:w="847" w:type="dxa"/>
            <w:tcBorders>
              <w:top w:val="nil"/>
              <w:left w:val="single" w:sz="4" w:space="0" w:color="231F20"/>
              <w:bottom w:val="nil"/>
              <w:right w:val="nil"/>
            </w:tcBorders>
          </w:tcPr>
          <w:p w:rsidR="006A7A3F" w:rsidRDefault="006A7A3F">
            <w:pPr>
              <w:pStyle w:val="TableParagraph"/>
              <w:ind w:left="0"/>
              <w:rPr>
                <w:rFonts w:ascii="Times New Roman"/>
                <w:sz w:val="16"/>
              </w:rPr>
            </w:pPr>
          </w:p>
        </w:tc>
        <w:tc>
          <w:tcPr>
            <w:tcW w:w="709" w:type="dxa"/>
            <w:tcBorders>
              <w:top w:val="nil"/>
              <w:left w:val="nil"/>
              <w:bottom w:val="nil"/>
              <w:right w:val="single" w:sz="4" w:space="0" w:color="231F20"/>
            </w:tcBorders>
          </w:tcPr>
          <w:p w:rsidR="006A7A3F" w:rsidRDefault="006A7A3F">
            <w:pPr>
              <w:pStyle w:val="TableParagraph"/>
              <w:ind w:left="0"/>
              <w:rPr>
                <w:rFonts w:ascii="Times New Roman"/>
                <w:sz w:val="16"/>
              </w:rPr>
            </w:pPr>
          </w:p>
        </w:tc>
      </w:tr>
      <w:tr w:rsidR="006A7A3F" w:rsidTr="00BF686A">
        <w:trPr>
          <w:trHeight w:val="109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612"/>
              <w:rPr>
                <w:sz w:val="16"/>
              </w:rPr>
            </w:pPr>
            <w:r>
              <w:rPr>
                <w:color w:val="231F20"/>
                <w:sz w:val="16"/>
              </w:rPr>
              <w:t>Partial drying (during December to February)</w:t>
            </w:r>
          </w:p>
        </w:tc>
        <w:tc>
          <w:tcPr>
            <w:tcW w:w="6240" w:type="dxa"/>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317"/>
              </w:numPr>
              <w:tabs>
                <w:tab w:val="left" w:pos="306"/>
              </w:tabs>
              <w:spacing w:before="63" w:line="254" w:lineRule="auto"/>
              <w:ind w:right="350"/>
              <w:rPr>
                <w:sz w:val="16"/>
                <w:szCs w:val="16"/>
              </w:rPr>
            </w:pPr>
            <w:r w:rsidRPr="00A1021A">
              <w:rPr>
                <w:color w:val="231F20"/>
                <w:sz w:val="16"/>
                <w:szCs w:val="16"/>
              </w:rPr>
              <w:t>Oxygenate surface soils, break down accumulated organic matter and cycle</w:t>
            </w:r>
            <w:r w:rsidRPr="00A1021A">
              <w:rPr>
                <w:color w:val="231F20"/>
                <w:spacing w:val="-1"/>
                <w:sz w:val="16"/>
                <w:szCs w:val="16"/>
              </w:rPr>
              <w:t xml:space="preserve"> </w:t>
            </w:r>
            <w:r w:rsidRPr="00A1021A">
              <w:rPr>
                <w:color w:val="231F20"/>
                <w:sz w:val="16"/>
                <w:szCs w:val="16"/>
              </w:rPr>
              <w:t>nutrients</w:t>
            </w:r>
          </w:p>
          <w:p w:rsidR="006A7A3F" w:rsidRPr="00A1021A" w:rsidRDefault="00BC7372" w:rsidP="009B6917">
            <w:pPr>
              <w:pStyle w:val="TableParagraph"/>
              <w:numPr>
                <w:ilvl w:val="0"/>
                <w:numId w:val="1317"/>
              </w:numPr>
              <w:tabs>
                <w:tab w:val="left" w:pos="306"/>
              </w:tabs>
              <w:spacing w:before="86" w:line="254" w:lineRule="auto"/>
              <w:ind w:right="110"/>
              <w:rPr>
                <w:sz w:val="16"/>
                <w:szCs w:val="16"/>
              </w:rPr>
            </w:pPr>
            <w:r w:rsidRPr="00A1021A">
              <w:rPr>
                <w:color w:val="231F20"/>
                <w:sz w:val="16"/>
                <w:szCs w:val="16"/>
              </w:rPr>
              <w:t>Enhance</w:t>
            </w:r>
            <w:r w:rsidRPr="00A1021A">
              <w:rPr>
                <w:color w:val="231F20"/>
                <w:spacing w:val="-4"/>
                <w:sz w:val="16"/>
                <w:szCs w:val="16"/>
              </w:rPr>
              <w:t xml:space="preserve"> </w:t>
            </w:r>
            <w:r w:rsidRPr="00A1021A">
              <w:rPr>
                <w:color w:val="231F20"/>
                <w:sz w:val="16"/>
                <w:szCs w:val="16"/>
              </w:rPr>
              <w:t>waterbird</w:t>
            </w:r>
            <w:r w:rsidRPr="00A1021A">
              <w:rPr>
                <w:color w:val="231F20"/>
                <w:spacing w:val="-5"/>
                <w:sz w:val="16"/>
                <w:szCs w:val="16"/>
              </w:rPr>
              <w:t xml:space="preserve"> </w:t>
            </w:r>
            <w:r w:rsidRPr="00A1021A">
              <w:rPr>
                <w:color w:val="231F20"/>
                <w:sz w:val="16"/>
                <w:szCs w:val="16"/>
              </w:rPr>
              <w:t>food</w:t>
            </w:r>
            <w:r w:rsidRPr="00A1021A">
              <w:rPr>
                <w:color w:val="231F20"/>
                <w:spacing w:val="-3"/>
                <w:sz w:val="16"/>
                <w:szCs w:val="16"/>
              </w:rPr>
              <w:t xml:space="preserve"> </w:t>
            </w:r>
            <w:r w:rsidRPr="00A1021A">
              <w:rPr>
                <w:color w:val="231F20"/>
                <w:sz w:val="16"/>
                <w:szCs w:val="16"/>
              </w:rPr>
              <w:t>availability</w:t>
            </w:r>
            <w:r w:rsidRPr="00A1021A">
              <w:rPr>
                <w:color w:val="231F20"/>
                <w:spacing w:val="-5"/>
                <w:sz w:val="16"/>
                <w:szCs w:val="16"/>
              </w:rPr>
              <w:t xml:space="preserve"> </w:t>
            </w:r>
            <w:r w:rsidRPr="00A1021A">
              <w:rPr>
                <w:color w:val="231F20"/>
                <w:sz w:val="16"/>
                <w:szCs w:val="16"/>
              </w:rPr>
              <w:t>by</w:t>
            </w:r>
            <w:r w:rsidRPr="00A1021A">
              <w:rPr>
                <w:color w:val="231F20"/>
                <w:spacing w:val="-5"/>
                <w:sz w:val="16"/>
                <w:szCs w:val="16"/>
              </w:rPr>
              <w:t xml:space="preserve"> </w:t>
            </w:r>
            <w:r w:rsidRPr="00A1021A">
              <w:rPr>
                <w:color w:val="231F20"/>
                <w:sz w:val="16"/>
                <w:szCs w:val="16"/>
              </w:rPr>
              <w:t>exposing</w:t>
            </w:r>
            <w:r w:rsidRPr="00A1021A">
              <w:rPr>
                <w:color w:val="231F20"/>
                <w:spacing w:val="-4"/>
                <w:sz w:val="16"/>
                <w:szCs w:val="16"/>
              </w:rPr>
              <w:t xml:space="preserve"> </w:t>
            </w:r>
            <w:r w:rsidRPr="00A1021A">
              <w:rPr>
                <w:color w:val="231F20"/>
                <w:sz w:val="16"/>
                <w:szCs w:val="16"/>
              </w:rPr>
              <w:t>the</w:t>
            </w:r>
            <w:r w:rsidRPr="00A1021A">
              <w:rPr>
                <w:color w:val="231F20"/>
                <w:spacing w:val="-4"/>
                <w:sz w:val="16"/>
                <w:szCs w:val="16"/>
              </w:rPr>
              <w:t xml:space="preserve"> </w:t>
            </w:r>
            <w:r w:rsidRPr="00A1021A">
              <w:rPr>
                <w:color w:val="231F20"/>
                <w:sz w:val="16"/>
                <w:szCs w:val="16"/>
              </w:rPr>
              <w:t>mudflats</w:t>
            </w:r>
            <w:r w:rsidRPr="00A1021A">
              <w:rPr>
                <w:color w:val="231F20"/>
                <w:spacing w:val="-4"/>
                <w:sz w:val="16"/>
                <w:szCs w:val="16"/>
              </w:rPr>
              <w:t xml:space="preserve"> </w:t>
            </w:r>
            <w:r w:rsidRPr="00A1021A">
              <w:rPr>
                <w:color w:val="231F20"/>
                <w:sz w:val="16"/>
                <w:szCs w:val="16"/>
              </w:rPr>
              <w:t>and</w:t>
            </w:r>
            <w:r w:rsidRPr="00A1021A">
              <w:rPr>
                <w:color w:val="231F20"/>
                <w:spacing w:val="-4"/>
                <w:sz w:val="16"/>
                <w:szCs w:val="16"/>
              </w:rPr>
              <w:t xml:space="preserve"> </w:t>
            </w:r>
            <w:r w:rsidRPr="00A1021A">
              <w:rPr>
                <w:color w:val="231F20"/>
                <w:sz w:val="16"/>
                <w:szCs w:val="16"/>
              </w:rPr>
              <w:t>provide access to burrowing</w:t>
            </w:r>
            <w:r w:rsidRPr="00A1021A">
              <w:rPr>
                <w:color w:val="231F20"/>
                <w:spacing w:val="-4"/>
                <w:sz w:val="16"/>
                <w:szCs w:val="16"/>
              </w:rPr>
              <w:t xml:space="preserve"> </w:t>
            </w:r>
            <w:r w:rsidRPr="00A1021A">
              <w:rPr>
                <w:color w:val="231F20"/>
                <w:sz w:val="16"/>
                <w:szCs w:val="16"/>
              </w:rPr>
              <w:t>invertebrates</w:t>
            </w:r>
          </w:p>
        </w:tc>
        <w:tc>
          <w:tcPr>
            <w:tcW w:w="847" w:type="dxa"/>
            <w:tcBorders>
              <w:top w:val="nil"/>
              <w:left w:val="single" w:sz="4" w:space="0" w:color="231F20"/>
              <w:bottom w:val="single" w:sz="4" w:space="0" w:color="231F20"/>
              <w:right w:val="nil"/>
            </w:tcBorders>
          </w:tcPr>
          <w:p w:rsidR="006A7A3F" w:rsidRDefault="006A7A3F">
            <w:pPr>
              <w:pStyle w:val="TableParagraph"/>
              <w:ind w:left="0"/>
              <w:rPr>
                <w:rFonts w:ascii="Times New Roman"/>
                <w:sz w:val="16"/>
              </w:rPr>
            </w:pPr>
          </w:p>
        </w:tc>
        <w:tc>
          <w:tcPr>
            <w:tcW w:w="709"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bl>
    <w:p w:rsidR="006A7A3F" w:rsidRDefault="00BC7372">
      <w:pPr>
        <w:spacing w:before="129"/>
        <w:ind w:left="210"/>
        <w:rPr>
          <w:sz w:val="14"/>
        </w:rPr>
      </w:pPr>
      <w:r>
        <w:rPr>
          <w:color w:val="231F20"/>
          <w:position w:val="5"/>
          <w:sz w:val="8"/>
        </w:rPr>
        <w:t xml:space="preserve">1 </w:t>
      </w:r>
      <w:r>
        <w:rPr>
          <w:color w:val="231F20"/>
          <w:sz w:val="14"/>
        </w:rPr>
        <w:t>Additional summer freshes are likely to be met with operational water releases.</w:t>
      </w:r>
    </w:p>
    <w:p w:rsidR="006A7A3F" w:rsidRDefault="00BC7372">
      <w:pPr>
        <w:spacing w:before="74"/>
        <w:ind w:left="210"/>
        <w:rPr>
          <w:sz w:val="14"/>
        </w:rPr>
      </w:pPr>
      <w:r>
        <w:rPr>
          <w:color w:val="231F20"/>
          <w:position w:val="5"/>
          <w:sz w:val="8"/>
        </w:rPr>
        <w:t xml:space="preserve">2 </w:t>
      </w:r>
      <w:r>
        <w:rPr>
          <w:color w:val="231F20"/>
          <w:sz w:val="14"/>
        </w:rPr>
        <w:t>Passing flows may be flexibly managed at rates less than 230 ML per day in July.</w:t>
      </w:r>
    </w:p>
    <w:p w:rsidR="00A1021A" w:rsidRDefault="00A1021A">
      <w:pPr>
        <w:spacing w:before="88"/>
        <w:ind w:left="210"/>
        <w:rPr>
          <w:rFonts w:ascii="Helvetica Neue LT Std 75"/>
          <w:b/>
          <w:color w:val="231F20"/>
          <w:sz w:val="19"/>
        </w:rPr>
      </w:pPr>
    </w:p>
    <w:p w:rsidR="006A7A3F" w:rsidRDefault="00BC7372">
      <w:pPr>
        <w:spacing w:before="88"/>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2.3.2 outlines the potential environmental watering and expected water use under a range of planning scenarios.</w:t>
      </w:r>
    </w:p>
    <w:p w:rsidR="006A7A3F" w:rsidRDefault="00BC7372">
      <w:pPr>
        <w:pStyle w:val="BodyText"/>
        <w:spacing w:before="70" w:line="249" w:lineRule="auto"/>
        <w:ind w:right="246"/>
      </w:pPr>
      <w:r>
        <w:rPr>
          <w:color w:val="231F20"/>
        </w:rPr>
        <w:t>The highest-priority potential watering actions in the Thomson River under all scenarios in 2020–21 are freshes in autumn, for which the primary objective is to trigger the migration and spawning of Australian grayling. It is critical to provide autumn freshes under all scenarios in 2020–21 to achieve the minimum two required spawning cues for Australian grayling over a three-year period: autumn freshes were achieved in 2019–20 but not delivered in 2018– 19 due to construction of the Horseshoe Bend fishway. Spring freshes, smaller-magnitude summer/autumn</w:t>
      </w:r>
      <w:r>
        <w:rPr>
          <w:color w:val="231F20"/>
          <w:spacing w:val="-31"/>
        </w:rPr>
        <w:t xml:space="preserve"> </w:t>
      </w:r>
      <w:r>
        <w:rPr>
          <w:color w:val="231F20"/>
        </w:rPr>
        <w:t>freshes and winter/spring low flows are also planned to be delivered under all scenarios. The only difference between scenarios is the intention to deliver an extra fresh in early spring under average and wet conditions, to improve outcomes for streamside</w:t>
      </w:r>
      <w:r>
        <w:rPr>
          <w:color w:val="231F20"/>
          <w:spacing w:val="-2"/>
        </w:rPr>
        <w:t xml:space="preserve"> </w:t>
      </w:r>
      <w:r>
        <w:rPr>
          <w:color w:val="231F20"/>
        </w:rPr>
        <w:t>vegetation.</w:t>
      </w:r>
    </w:p>
    <w:p w:rsidR="006A7A3F" w:rsidRDefault="00BC7372">
      <w:pPr>
        <w:pStyle w:val="BodyText"/>
        <w:spacing w:before="177" w:line="249" w:lineRule="auto"/>
        <w:ind w:right="630"/>
      </w:pPr>
      <w:r>
        <w:rPr>
          <w:color w:val="231F20"/>
        </w:rPr>
        <w:t>If possible, spring and autumn freshes in the Thomson system will be timed to coincide with releases in the Macalister and Latrobe systems, to optimise fish movement and optimise outcomes in the Latrobe estuary and lower Latrobe wetlands. Outcomes for the Latrobe estuary rely on flow contributions from all three systems.</w:t>
      </w:r>
    </w:p>
    <w:p w:rsidR="006A7A3F" w:rsidRDefault="00BC7372">
      <w:pPr>
        <w:pStyle w:val="BodyText"/>
        <w:spacing w:line="249" w:lineRule="auto"/>
        <w:ind w:right="374"/>
      </w:pPr>
      <w:r>
        <w:rPr>
          <w:color w:val="231F20"/>
        </w:rPr>
        <w:t>The second of a two-year watering trial at the Heyfield wetlands is planned to continue in 2020–21 under all scenarios. The trial involves filling the wetlands in winter and providing top-ups as needed throughout spring, to maintain water levels for aquatic vegetation and to provide habitat for waterbirds and frogs. It is then intended the wetlands will be allowed to draw down over summer and autumn, to oxygenate the soil and allow nutrient cycling.</w:t>
      </w:r>
    </w:p>
    <w:p w:rsidR="006A7A3F" w:rsidRDefault="00BC7372">
      <w:pPr>
        <w:pStyle w:val="BodyText"/>
        <w:spacing w:before="174" w:line="249" w:lineRule="auto"/>
        <w:ind w:right="350"/>
      </w:pPr>
      <w:r>
        <w:rPr>
          <w:color w:val="231F20"/>
        </w:rPr>
        <w:t>There are no critical watering actions that cannot be delivered with expected environmental water holdings (that is, there are no tier 1b priorities). Additional environmental watering priorities (tier 2) have been identified for the Thomson River under drought and dry scenarios. Additional water is required to deliver summer/autumn low flows in the Thomson River estuary (reach 6) to freshen water quality and support estuarine fish.</w:t>
      </w:r>
    </w:p>
    <w:p w:rsidR="006A7A3F" w:rsidRDefault="00BC7372">
      <w:pPr>
        <w:pStyle w:val="BodyText"/>
        <w:spacing w:before="173" w:line="249" w:lineRule="auto"/>
        <w:ind w:right="364"/>
      </w:pPr>
      <w:r>
        <w:rPr>
          <w:color w:val="231F20"/>
        </w:rPr>
        <w:t>The tier 2 potential environmental watering actions identified are critical to achieving environmental objectives in the long term. They could be delivered in the current year if circumstances allow, but they can likely be deferred without significant environmental harm. The summer/autumn low flow targeting reach 6 is currently a tier 2 action, as further research is required to establish the specific salinity level tolerances and management triggers for determining when critical flushing of the Thomson River estuary is required, including whether the salt wedge pushing too high upstream could affect breeding and egg drift. In 2020–21 this watering action is not prioritised over freshes and winter/spring low flows, as it requires a significant volume of water and it can be partially met</w:t>
      </w:r>
    </w:p>
    <w:p w:rsidR="006A7A3F" w:rsidRDefault="00BC7372">
      <w:pPr>
        <w:pStyle w:val="BodyText"/>
        <w:spacing w:before="6" w:line="249" w:lineRule="auto"/>
        <w:ind w:right="408"/>
      </w:pPr>
      <w:r>
        <w:rPr>
          <w:color w:val="231F20"/>
        </w:rPr>
        <w:t>by passing flows from both the Thomson and Macalister rivers. In addition, freshes in both rivers may be timed to coincide, potentially achieving some of the functional objectives.</w:t>
      </w:r>
    </w:p>
    <w:p w:rsidR="006A7A3F" w:rsidRDefault="00BC7372">
      <w:pPr>
        <w:pStyle w:val="BodyText"/>
        <w:spacing w:line="249" w:lineRule="auto"/>
        <w:ind w:right="457"/>
      </w:pPr>
      <w:r>
        <w:rPr>
          <w:color w:val="231F20"/>
        </w:rPr>
        <w:t>Under all scenarios, 5,500 ML of water for the environment is prioritised for carryover at the end of 2020–21, to meet critical early season demands in the Thomson River — spring low flows and freshes — under a drought scenario in 2021–22.</w:t>
      </w:r>
    </w:p>
    <w:p w:rsidR="00BF686A" w:rsidRDefault="00BF686A">
      <w:pPr>
        <w:rPr>
          <w:b/>
          <w:color w:val="231F20"/>
          <w:sz w:val="18"/>
        </w:rPr>
      </w:pPr>
      <w:r>
        <w:rPr>
          <w:b/>
          <w:color w:val="231F20"/>
          <w:sz w:val="18"/>
        </w:rPr>
        <w:br w:type="page"/>
      </w:r>
    </w:p>
    <w:p w:rsidR="006A7A3F" w:rsidRDefault="00BC7372" w:rsidP="00A1021A">
      <w:pPr>
        <w:spacing w:before="167" w:after="120"/>
        <w:ind w:left="210"/>
        <w:rPr>
          <w:b/>
          <w:color w:val="231F20"/>
          <w:sz w:val="18"/>
        </w:rPr>
      </w:pPr>
      <w:r>
        <w:rPr>
          <w:b/>
          <w:color w:val="231F20"/>
          <w:sz w:val="18"/>
        </w:rPr>
        <w:t>Table 2.3.2 Potential environmental watering for the Thomson River under a range of planning scenarios</w:t>
      </w:r>
    </w:p>
    <w:tbl>
      <w:tblPr>
        <w:tblW w:w="10205" w:type="dxa"/>
        <w:tblInd w:w="2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34"/>
        <w:gridCol w:w="1985"/>
        <w:gridCol w:w="22"/>
        <w:gridCol w:w="2041"/>
      </w:tblGrid>
      <w:tr w:rsidR="00A1021A" w:rsidTr="002840E5">
        <w:trPr>
          <w:trHeight w:val="367"/>
        </w:trPr>
        <w:tc>
          <w:tcPr>
            <w:tcW w:w="2041" w:type="dxa"/>
            <w:tcBorders>
              <w:top w:val="nil"/>
              <w:left w:val="nil"/>
              <w:bottom w:val="nil"/>
              <w:right w:val="nil"/>
            </w:tcBorders>
            <w:shd w:val="clear" w:color="auto" w:fill="231F20"/>
          </w:tcPr>
          <w:p w:rsidR="00A1021A" w:rsidRDefault="00A1021A" w:rsidP="002840E5">
            <w:pPr>
              <w:pStyle w:val="TableParagraph"/>
              <w:spacing w:before="80"/>
              <w:ind w:left="90"/>
              <w:rPr>
                <w:b/>
                <w:sz w:val="18"/>
              </w:rPr>
            </w:pPr>
            <w:r>
              <w:rPr>
                <w:b/>
                <w:color w:val="FFFFFF"/>
                <w:sz w:val="18"/>
              </w:rPr>
              <w:t>Planning scenario</w:t>
            </w:r>
          </w:p>
        </w:tc>
        <w:tc>
          <w:tcPr>
            <w:tcW w:w="2041" w:type="dxa"/>
            <w:tcBorders>
              <w:top w:val="nil"/>
              <w:left w:val="nil"/>
              <w:bottom w:val="nil"/>
              <w:right w:val="nil"/>
            </w:tcBorders>
            <w:shd w:val="clear" w:color="auto" w:fill="231F20"/>
          </w:tcPr>
          <w:p w:rsidR="00A1021A" w:rsidRDefault="00A1021A" w:rsidP="002840E5">
            <w:pPr>
              <w:pStyle w:val="TableParagraph"/>
              <w:spacing w:before="80"/>
              <w:ind w:left="89"/>
              <w:rPr>
                <w:b/>
                <w:sz w:val="18"/>
              </w:rPr>
            </w:pPr>
            <w:r>
              <w:rPr>
                <w:b/>
                <w:color w:val="FFFFFF"/>
                <w:sz w:val="18"/>
              </w:rPr>
              <w:t>Drought</w:t>
            </w:r>
          </w:p>
        </w:tc>
        <w:tc>
          <w:tcPr>
            <w:tcW w:w="2041" w:type="dxa"/>
            <w:tcBorders>
              <w:top w:val="nil"/>
              <w:left w:val="nil"/>
              <w:bottom w:val="nil"/>
              <w:right w:val="nil"/>
            </w:tcBorders>
            <w:shd w:val="clear" w:color="auto" w:fill="231F20"/>
          </w:tcPr>
          <w:p w:rsidR="00A1021A" w:rsidRDefault="00A1021A" w:rsidP="002840E5">
            <w:pPr>
              <w:pStyle w:val="TableParagraph"/>
              <w:spacing w:before="80"/>
              <w:ind w:left="89"/>
              <w:rPr>
                <w:b/>
                <w:sz w:val="18"/>
              </w:rPr>
            </w:pPr>
            <w:r>
              <w:rPr>
                <w:b/>
                <w:color w:val="FFFFFF"/>
                <w:sz w:val="18"/>
              </w:rPr>
              <w:t>Dry</w:t>
            </w:r>
          </w:p>
        </w:tc>
        <w:tc>
          <w:tcPr>
            <w:tcW w:w="2041" w:type="dxa"/>
            <w:gridSpan w:val="3"/>
            <w:tcBorders>
              <w:top w:val="nil"/>
              <w:left w:val="nil"/>
              <w:bottom w:val="nil"/>
              <w:right w:val="nil"/>
            </w:tcBorders>
            <w:shd w:val="clear" w:color="auto" w:fill="231F20"/>
          </w:tcPr>
          <w:p w:rsidR="00A1021A" w:rsidRDefault="00A1021A" w:rsidP="002840E5">
            <w:pPr>
              <w:pStyle w:val="TableParagraph"/>
              <w:spacing w:before="80"/>
              <w:ind w:left="89"/>
              <w:rPr>
                <w:b/>
                <w:sz w:val="18"/>
              </w:rPr>
            </w:pPr>
            <w:r>
              <w:rPr>
                <w:b/>
                <w:color w:val="FFFFFF"/>
                <w:sz w:val="18"/>
              </w:rPr>
              <w:t>Average</w:t>
            </w:r>
          </w:p>
        </w:tc>
        <w:tc>
          <w:tcPr>
            <w:tcW w:w="2041" w:type="dxa"/>
            <w:tcBorders>
              <w:top w:val="nil"/>
              <w:left w:val="nil"/>
              <w:bottom w:val="nil"/>
              <w:right w:val="nil"/>
            </w:tcBorders>
            <w:shd w:val="clear" w:color="auto" w:fill="231F20"/>
          </w:tcPr>
          <w:p w:rsidR="00A1021A" w:rsidRDefault="00A1021A" w:rsidP="002840E5">
            <w:pPr>
              <w:pStyle w:val="TableParagraph"/>
              <w:spacing w:before="80"/>
              <w:ind w:left="89"/>
              <w:rPr>
                <w:b/>
                <w:sz w:val="18"/>
              </w:rPr>
            </w:pPr>
            <w:r>
              <w:rPr>
                <w:b/>
                <w:color w:val="FFFFFF"/>
                <w:sz w:val="18"/>
              </w:rPr>
              <w:t>Wet</w:t>
            </w:r>
          </w:p>
        </w:tc>
      </w:tr>
      <w:tr w:rsidR="00A1021A" w:rsidTr="002840E5">
        <w:trPr>
          <w:trHeight w:val="2311"/>
        </w:trPr>
        <w:tc>
          <w:tcPr>
            <w:tcW w:w="2041" w:type="dxa"/>
            <w:tcBorders>
              <w:top w:val="nil"/>
            </w:tcBorders>
          </w:tcPr>
          <w:p w:rsidR="00A1021A" w:rsidRDefault="00A1021A" w:rsidP="002840E5">
            <w:pPr>
              <w:pStyle w:val="TableParagraph"/>
              <w:spacing w:before="74"/>
              <w:ind w:left="85"/>
              <w:rPr>
                <w:sz w:val="16"/>
              </w:rPr>
            </w:pPr>
            <w:r>
              <w:rPr>
                <w:color w:val="231F20"/>
                <w:sz w:val="16"/>
              </w:rPr>
              <w:t>Expected river conditions</w:t>
            </w:r>
          </w:p>
        </w:tc>
        <w:tc>
          <w:tcPr>
            <w:tcW w:w="2041" w:type="dxa"/>
            <w:tcBorders>
              <w:top w:val="nil"/>
            </w:tcBorders>
          </w:tcPr>
          <w:p w:rsidR="00A1021A" w:rsidRPr="00A1021A" w:rsidRDefault="00A1021A" w:rsidP="002840E5">
            <w:pPr>
              <w:pStyle w:val="TableParagraph"/>
              <w:numPr>
                <w:ilvl w:val="0"/>
                <w:numId w:val="1316"/>
              </w:numPr>
              <w:tabs>
                <w:tab w:val="left" w:pos="305"/>
              </w:tabs>
              <w:spacing w:before="70"/>
              <w:rPr>
                <w:sz w:val="16"/>
                <w:szCs w:val="16"/>
              </w:rPr>
            </w:pPr>
            <w:r w:rsidRPr="00A1021A">
              <w:rPr>
                <w:color w:val="231F20"/>
                <w:sz w:val="16"/>
                <w:szCs w:val="16"/>
              </w:rPr>
              <w:t>Limited natural</w:t>
            </w:r>
            <w:r w:rsidRPr="00A1021A">
              <w:rPr>
                <w:color w:val="231F20"/>
                <w:spacing w:val="-7"/>
                <w:sz w:val="16"/>
                <w:szCs w:val="16"/>
              </w:rPr>
              <w:t xml:space="preserve"> </w:t>
            </w:r>
            <w:r w:rsidRPr="00A1021A">
              <w:rPr>
                <w:color w:val="231F20"/>
                <w:sz w:val="16"/>
                <w:szCs w:val="16"/>
              </w:rPr>
              <w:t>flow</w:t>
            </w:r>
          </w:p>
          <w:p w:rsidR="00A1021A" w:rsidRPr="00A1021A" w:rsidRDefault="00A1021A" w:rsidP="002840E5">
            <w:pPr>
              <w:pStyle w:val="TableParagraph"/>
              <w:numPr>
                <w:ilvl w:val="0"/>
                <w:numId w:val="1316"/>
              </w:numPr>
              <w:tabs>
                <w:tab w:val="left" w:pos="305"/>
              </w:tabs>
              <w:spacing w:before="98" w:line="254" w:lineRule="auto"/>
              <w:ind w:right="223"/>
              <w:rPr>
                <w:sz w:val="16"/>
                <w:szCs w:val="16"/>
              </w:rPr>
            </w:pPr>
            <w:r w:rsidRPr="00A1021A">
              <w:rPr>
                <w:color w:val="231F20"/>
                <w:sz w:val="16"/>
                <w:szCs w:val="16"/>
              </w:rPr>
              <w:t xml:space="preserve">Large volume of consumptive </w:t>
            </w:r>
            <w:r w:rsidRPr="00A1021A">
              <w:rPr>
                <w:color w:val="231F20"/>
                <w:spacing w:val="-4"/>
                <w:sz w:val="16"/>
                <w:szCs w:val="16"/>
              </w:rPr>
              <w:t xml:space="preserve">water </w:t>
            </w:r>
            <w:r w:rsidRPr="00A1021A">
              <w:rPr>
                <w:color w:val="231F20"/>
                <w:sz w:val="16"/>
                <w:szCs w:val="16"/>
              </w:rPr>
              <w:t>released from storage</w:t>
            </w:r>
          </w:p>
        </w:tc>
        <w:tc>
          <w:tcPr>
            <w:tcW w:w="2041" w:type="dxa"/>
            <w:tcBorders>
              <w:top w:val="nil"/>
            </w:tcBorders>
          </w:tcPr>
          <w:p w:rsidR="00A1021A" w:rsidRPr="00A1021A" w:rsidRDefault="00A1021A" w:rsidP="002840E5">
            <w:pPr>
              <w:pStyle w:val="TableParagraph"/>
              <w:numPr>
                <w:ilvl w:val="0"/>
                <w:numId w:val="1315"/>
              </w:numPr>
              <w:tabs>
                <w:tab w:val="left" w:pos="305"/>
              </w:tabs>
              <w:spacing w:before="70" w:line="254" w:lineRule="auto"/>
              <w:ind w:right="143"/>
              <w:rPr>
                <w:sz w:val="16"/>
                <w:szCs w:val="16"/>
              </w:rPr>
            </w:pPr>
            <w:r w:rsidRPr="00A1021A">
              <w:rPr>
                <w:color w:val="231F20"/>
                <w:sz w:val="16"/>
                <w:szCs w:val="16"/>
              </w:rPr>
              <w:t>Natural flow from Aberfeldy River and other tributaries contributes to low flow and</w:t>
            </w:r>
            <w:r w:rsidRPr="00A1021A">
              <w:rPr>
                <w:color w:val="231F20"/>
                <w:spacing w:val="-2"/>
                <w:sz w:val="16"/>
                <w:szCs w:val="16"/>
              </w:rPr>
              <w:t xml:space="preserve"> </w:t>
            </w:r>
            <w:r w:rsidRPr="00A1021A">
              <w:rPr>
                <w:color w:val="231F20"/>
                <w:sz w:val="16"/>
                <w:szCs w:val="16"/>
              </w:rPr>
              <w:t>freshes</w:t>
            </w:r>
          </w:p>
          <w:p w:rsidR="00A1021A" w:rsidRPr="00A1021A" w:rsidRDefault="00A1021A" w:rsidP="002840E5">
            <w:pPr>
              <w:pStyle w:val="TableParagraph"/>
              <w:numPr>
                <w:ilvl w:val="0"/>
                <w:numId w:val="1315"/>
              </w:numPr>
              <w:tabs>
                <w:tab w:val="left" w:pos="305"/>
              </w:tabs>
              <w:spacing w:before="88" w:line="254" w:lineRule="auto"/>
              <w:ind w:right="133"/>
              <w:rPr>
                <w:sz w:val="16"/>
                <w:szCs w:val="16"/>
              </w:rPr>
            </w:pPr>
            <w:r w:rsidRPr="00A1021A">
              <w:rPr>
                <w:color w:val="231F20"/>
                <w:sz w:val="16"/>
                <w:szCs w:val="16"/>
              </w:rPr>
              <w:t xml:space="preserve">Moderate  volume of consumptive water released </w:t>
            </w:r>
            <w:r w:rsidRPr="00A1021A">
              <w:rPr>
                <w:color w:val="231F20"/>
                <w:spacing w:val="-3"/>
                <w:sz w:val="16"/>
                <w:szCs w:val="16"/>
              </w:rPr>
              <w:t xml:space="preserve">from </w:t>
            </w:r>
            <w:r w:rsidRPr="00A1021A">
              <w:rPr>
                <w:color w:val="231F20"/>
                <w:sz w:val="16"/>
                <w:szCs w:val="16"/>
              </w:rPr>
              <w:t>storage</w:t>
            </w:r>
          </w:p>
        </w:tc>
        <w:tc>
          <w:tcPr>
            <w:tcW w:w="2041" w:type="dxa"/>
            <w:gridSpan w:val="3"/>
            <w:tcBorders>
              <w:top w:val="nil"/>
            </w:tcBorders>
          </w:tcPr>
          <w:p w:rsidR="00A1021A" w:rsidRPr="00A1021A" w:rsidRDefault="00A1021A" w:rsidP="002840E5">
            <w:pPr>
              <w:pStyle w:val="TableParagraph"/>
              <w:numPr>
                <w:ilvl w:val="0"/>
                <w:numId w:val="1314"/>
              </w:numPr>
              <w:tabs>
                <w:tab w:val="left" w:pos="305"/>
              </w:tabs>
              <w:spacing w:before="70" w:line="254" w:lineRule="auto"/>
              <w:ind w:right="143"/>
              <w:rPr>
                <w:sz w:val="16"/>
                <w:szCs w:val="16"/>
              </w:rPr>
            </w:pPr>
            <w:r w:rsidRPr="00A1021A">
              <w:rPr>
                <w:color w:val="231F20"/>
                <w:sz w:val="16"/>
                <w:szCs w:val="16"/>
              </w:rPr>
              <w:t>Natural flow from Aberfeldy River and other tributaries contributes to low flow, freshes and high</w:t>
            </w:r>
            <w:r w:rsidRPr="00A1021A">
              <w:rPr>
                <w:color w:val="231F20"/>
                <w:spacing w:val="-2"/>
                <w:sz w:val="16"/>
                <w:szCs w:val="16"/>
              </w:rPr>
              <w:t xml:space="preserve"> </w:t>
            </w:r>
            <w:r w:rsidRPr="00A1021A">
              <w:rPr>
                <w:color w:val="231F20"/>
                <w:sz w:val="16"/>
                <w:szCs w:val="16"/>
              </w:rPr>
              <w:t>flows</w:t>
            </w:r>
          </w:p>
          <w:p w:rsidR="00A1021A" w:rsidRPr="00A1021A" w:rsidRDefault="00A1021A" w:rsidP="002840E5">
            <w:pPr>
              <w:pStyle w:val="TableParagraph"/>
              <w:numPr>
                <w:ilvl w:val="0"/>
                <w:numId w:val="1314"/>
              </w:numPr>
              <w:tabs>
                <w:tab w:val="left" w:pos="305"/>
              </w:tabs>
              <w:spacing w:before="89" w:line="254" w:lineRule="auto"/>
              <w:ind w:right="223"/>
              <w:rPr>
                <w:sz w:val="16"/>
                <w:szCs w:val="16"/>
              </w:rPr>
            </w:pPr>
            <w:r w:rsidRPr="00A1021A">
              <w:rPr>
                <w:color w:val="231F20"/>
                <w:sz w:val="16"/>
                <w:szCs w:val="16"/>
              </w:rPr>
              <w:t xml:space="preserve">Small volume of consumptive </w:t>
            </w:r>
            <w:r w:rsidRPr="00A1021A">
              <w:rPr>
                <w:color w:val="231F20"/>
                <w:spacing w:val="-4"/>
                <w:sz w:val="16"/>
                <w:szCs w:val="16"/>
              </w:rPr>
              <w:t xml:space="preserve">water </w:t>
            </w:r>
            <w:r w:rsidRPr="00A1021A">
              <w:rPr>
                <w:color w:val="231F20"/>
                <w:sz w:val="16"/>
                <w:szCs w:val="16"/>
              </w:rPr>
              <w:t>released from storage</w:t>
            </w:r>
          </w:p>
        </w:tc>
        <w:tc>
          <w:tcPr>
            <w:tcW w:w="2041" w:type="dxa"/>
            <w:tcBorders>
              <w:top w:val="nil"/>
            </w:tcBorders>
          </w:tcPr>
          <w:p w:rsidR="00A1021A" w:rsidRPr="00A1021A" w:rsidRDefault="00A1021A" w:rsidP="002840E5">
            <w:pPr>
              <w:pStyle w:val="TableParagraph"/>
              <w:numPr>
                <w:ilvl w:val="0"/>
                <w:numId w:val="1313"/>
              </w:numPr>
              <w:tabs>
                <w:tab w:val="left" w:pos="305"/>
              </w:tabs>
              <w:spacing w:before="70" w:line="254" w:lineRule="auto"/>
              <w:ind w:right="103"/>
              <w:rPr>
                <w:sz w:val="16"/>
                <w:szCs w:val="16"/>
              </w:rPr>
            </w:pPr>
            <w:r w:rsidRPr="00A1021A">
              <w:rPr>
                <w:color w:val="231F20"/>
                <w:sz w:val="16"/>
                <w:szCs w:val="16"/>
              </w:rPr>
              <w:t>Natural flow from Aberfeldy River and other tributaries contributes to low flow, freshes and sustained high</w:t>
            </w:r>
            <w:r w:rsidRPr="00A1021A">
              <w:rPr>
                <w:color w:val="231F20"/>
                <w:spacing w:val="-2"/>
                <w:sz w:val="16"/>
                <w:szCs w:val="16"/>
              </w:rPr>
              <w:t xml:space="preserve"> </w:t>
            </w:r>
            <w:r w:rsidRPr="00A1021A">
              <w:rPr>
                <w:color w:val="231F20"/>
                <w:spacing w:val="-3"/>
                <w:sz w:val="16"/>
                <w:szCs w:val="16"/>
              </w:rPr>
              <w:t>flows</w:t>
            </w:r>
          </w:p>
          <w:p w:rsidR="00A1021A" w:rsidRPr="00A1021A" w:rsidRDefault="00A1021A" w:rsidP="002840E5">
            <w:pPr>
              <w:pStyle w:val="TableParagraph"/>
              <w:numPr>
                <w:ilvl w:val="0"/>
                <w:numId w:val="1313"/>
              </w:numPr>
              <w:tabs>
                <w:tab w:val="left" w:pos="305"/>
              </w:tabs>
              <w:spacing w:before="89" w:line="254" w:lineRule="auto"/>
              <w:ind w:right="473"/>
              <w:rPr>
                <w:sz w:val="16"/>
                <w:szCs w:val="16"/>
              </w:rPr>
            </w:pPr>
            <w:r w:rsidRPr="00A1021A">
              <w:rPr>
                <w:color w:val="231F20"/>
                <w:sz w:val="16"/>
                <w:szCs w:val="16"/>
              </w:rPr>
              <w:t xml:space="preserve">Minimal </w:t>
            </w:r>
            <w:r w:rsidRPr="00A1021A">
              <w:rPr>
                <w:color w:val="231F20"/>
                <w:spacing w:val="-3"/>
                <w:sz w:val="16"/>
                <w:szCs w:val="16"/>
              </w:rPr>
              <w:t xml:space="preserve">volume </w:t>
            </w:r>
            <w:r w:rsidRPr="00A1021A">
              <w:rPr>
                <w:color w:val="231F20"/>
                <w:sz w:val="16"/>
                <w:szCs w:val="16"/>
              </w:rPr>
              <w:t>of</w:t>
            </w:r>
            <w:r w:rsidRPr="00A1021A">
              <w:rPr>
                <w:color w:val="231F20"/>
                <w:spacing w:val="-2"/>
                <w:sz w:val="16"/>
                <w:szCs w:val="16"/>
              </w:rPr>
              <w:t xml:space="preserve"> </w:t>
            </w:r>
            <w:r w:rsidRPr="00A1021A">
              <w:rPr>
                <w:color w:val="231F20"/>
                <w:sz w:val="16"/>
                <w:szCs w:val="16"/>
              </w:rPr>
              <w:t>consumptive</w:t>
            </w:r>
          </w:p>
          <w:p w:rsidR="00A1021A" w:rsidRPr="00A1021A" w:rsidRDefault="00A1021A" w:rsidP="002840E5">
            <w:pPr>
              <w:pStyle w:val="TableParagraph"/>
              <w:spacing w:before="1" w:line="254" w:lineRule="auto"/>
              <w:ind w:right="116"/>
              <w:rPr>
                <w:sz w:val="16"/>
                <w:szCs w:val="16"/>
              </w:rPr>
            </w:pPr>
            <w:r w:rsidRPr="00A1021A">
              <w:rPr>
                <w:color w:val="231F20"/>
                <w:sz w:val="16"/>
                <w:szCs w:val="16"/>
              </w:rPr>
              <w:t>water released from storage</w:t>
            </w:r>
          </w:p>
        </w:tc>
      </w:tr>
      <w:tr w:rsidR="00A1021A" w:rsidTr="002840E5">
        <w:trPr>
          <w:trHeight w:val="533"/>
        </w:trPr>
        <w:tc>
          <w:tcPr>
            <w:tcW w:w="2041" w:type="dxa"/>
          </w:tcPr>
          <w:p w:rsidR="00A1021A" w:rsidRDefault="00A1021A" w:rsidP="002840E5">
            <w:pPr>
              <w:pStyle w:val="TableParagraph"/>
              <w:spacing w:before="74" w:line="261" w:lineRule="auto"/>
              <w:ind w:left="85" w:right="111"/>
              <w:rPr>
                <w:sz w:val="16"/>
              </w:rPr>
            </w:pPr>
            <w:r>
              <w:rPr>
                <w:color w:val="231F20"/>
                <w:sz w:val="16"/>
              </w:rPr>
              <w:t>Expected availability of water for the environment</w:t>
            </w:r>
          </w:p>
        </w:tc>
        <w:tc>
          <w:tcPr>
            <w:tcW w:w="2041" w:type="dxa"/>
          </w:tcPr>
          <w:p w:rsidR="00A1021A" w:rsidRPr="00A1021A" w:rsidRDefault="00A1021A" w:rsidP="002840E5">
            <w:pPr>
              <w:pStyle w:val="TableParagraph"/>
              <w:numPr>
                <w:ilvl w:val="0"/>
                <w:numId w:val="1312"/>
              </w:numPr>
              <w:tabs>
                <w:tab w:val="left" w:pos="305"/>
              </w:tabs>
              <w:spacing w:before="70"/>
              <w:rPr>
                <w:sz w:val="16"/>
                <w:szCs w:val="16"/>
              </w:rPr>
            </w:pPr>
            <w:r w:rsidRPr="00A1021A">
              <w:rPr>
                <w:color w:val="231F20"/>
                <w:sz w:val="16"/>
                <w:szCs w:val="16"/>
              </w:rPr>
              <w:t>29,000</w:t>
            </w:r>
            <w:r w:rsidRPr="00A1021A">
              <w:rPr>
                <w:color w:val="231F20"/>
                <w:spacing w:val="-2"/>
                <w:sz w:val="16"/>
                <w:szCs w:val="16"/>
              </w:rPr>
              <w:t xml:space="preserve"> </w:t>
            </w:r>
            <w:r w:rsidRPr="00A1021A">
              <w:rPr>
                <w:color w:val="231F20"/>
                <w:sz w:val="16"/>
                <w:szCs w:val="16"/>
              </w:rPr>
              <w:t>ML</w:t>
            </w:r>
          </w:p>
        </w:tc>
        <w:tc>
          <w:tcPr>
            <w:tcW w:w="2041" w:type="dxa"/>
          </w:tcPr>
          <w:p w:rsidR="00A1021A" w:rsidRPr="00A1021A" w:rsidRDefault="00A1021A" w:rsidP="002840E5">
            <w:pPr>
              <w:pStyle w:val="TableParagraph"/>
              <w:numPr>
                <w:ilvl w:val="0"/>
                <w:numId w:val="1311"/>
              </w:numPr>
              <w:tabs>
                <w:tab w:val="left" w:pos="305"/>
              </w:tabs>
              <w:spacing w:before="70"/>
              <w:rPr>
                <w:sz w:val="16"/>
                <w:szCs w:val="16"/>
              </w:rPr>
            </w:pPr>
            <w:r w:rsidRPr="00A1021A">
              <w:rPr>
                <w:color w:val="231F20"/>
                <w:sz w:val="16"/>
                <w:szCs w:val="16"/>
              </w:rPr>
              <w:t>32,000</w:t>
            </w:r>
            <w:r w:rsidRPr="00A1021A">
              <w:rPr>
                <w:color w:val="231F20"/>
                <w:spacing w:val="-2"/>
                <w:sz w:val="16"/>
                <w:szCs w:val="16"/>
              </w:rPr>
              <w:t xml:space="preserve"> </w:t>
            </w:r>
            <w:r w:rsidRPr="00A1021A">
              <w:rPr>
                <w:color w:val="231F20"/>
                <w:sz w:val="16"/>
                <w:szCs w:val="16"/>
              </w:rPr>
              <w:t>ML</w:t>
            </w:r>
          </w:p>
        </w:tc>
        <w:tc>
          <w:tcPr>
            <w:tcW w:w="2041" w:type="dxa"/>
            <w:gridSpan w:val="3"/>
          </w:tcPr>
          <w:p w:rsidR="00A1021A" w:rsidRPr="00A1021A" w:rsidRDefault="00A1021A" w:rsidP="002840E5">
            <w:pPr>
              <w:pStyle w:val="TableParagraph"/>
              <w:numPr>
                <w:ilvl w:val="0"/>
                <w:numId w:val="1310"/>
              </w:numPr>
              <w:tabs>
                <w:tab w:val="left" w:pos="305"/>
              </w:tabs>
              <w:spacing w:before="70"/>
              <w:rPr>
                <w:sz w:val="16"/>
                <w:szCs w:val="16"/>
              </w:rPr>
            </w:pPr>
            <w:r w:rsidRPr="00A1021A">
              <w:rPr>
                <w:color w:val="231F20"/>
                <w:sz w:val="16"/>
                <w:szCs w:val="16"/>
              </w:rPr>
              <w:t>35,000</w:t>
            </w:r>
            <w:r w:rsidRPr="00A1021A">
              <w:rPr>
                <w:color w:val="231F20"/>
                <w:spacing w:val="-2"/>
                <w:sz w:val="16"/>
                <w:szCs w:val="16"/>
              </w:rPr>
              <w:t xml:space="preserve"> </w:t>
            </w:r>
            <w:r w:rsidRPr="00A1021A">
              <w:rPr>
                <w:color w:val="231F20"/>
                <w:sz w:val="16"/>
                <w:szCs w:val="16"/>
              </w:rPr>
              <w:t>ML</w:t>
            </w:r>
          </w:p>
        </w:tc>
        <w:tc>
          <w:tcPr>
            <w:tcW w:w="2041" w:type="dxa"/>
          </w:tcPr>
          <w:p w:rsidR="00A1021A" w:rsidRPr="00A1021A" w:rsidRDefault="00A1021A" w:rsidP="002840E5">
            <w:pPr>
              <w:pStyle w:val="TableParagraph"/>
              <w:numPr>
                <w:ilvl w:val="0"/>
                <w:numId w:val="1309"/>
              </w:numPr>
              <w:tabs>
                <w:tab w:val="left" w:pos="305"/>
              </w:tabs>
              <w:spacing w:before="70"/>
              <w:rPr>
                <w:sz w:val="16"/>
                <w:szCs w:val="16"/>
              </w:rPr>
            </w:pPr>
            <w:r w:rsidRPr="00A1021A">
              <w:rPr>
                <w:color w:val="231F20"/>
                <w:sz w:val="16"/>
                <w:szCs w:val="16"/>
              </w:rPr>
              <w:t>38,000</w:t>
            </w:r>
            <w:r w:rsidRPr="00A1021A">
              <w:rPr>
                <w:color w:val="231F20"/>
                <w:spacing w:val="-2"/>
                <w:sz w:val="16"/>
                <w:szCs w:val="16"/>
              </w:rPr>
              <w:t xml:space="preserve"> </w:t>
            </w:r>
            <w:r w:rsidRPr="00A1021A">
              <w:rPr>
                <w:color w:val="231F20"/>
                <w:sz w:val="16"/>
                <w:szCs w:val="16"/>
              </w:rPr>
              <w:t>ML</w:t>
            </w:r>
          </w:p>
        </w:tc>
      </w:tr>
      <w:tr w:rsidR="00A1021A" w:rsidTr="002840E5">
        <w:trPr>
          <w:trHeight w:val="1262"/>
        </w:trPr>
        <w:tc>
          <w:tcPr>
            <w:tcW w:w="2041" w:type="dxa"/>
          </w:tcPr>
          <w:p w:rsidR="00A1021A" w:rsidRDefault="00A1021A" w:rsidP="002840E5">
            <w:pPr>
              <w:pStyle w:val="TableParagraph"/>
              <w:spacing w:before="74" w:line="261" w:lineRule="auto"/>
              <w:ind w:left="85" w:right="272"/>
              <w:jc w:val="both"/>
              <w:rPr>
                <w:sz w:val="16"/>
              </w:rPr>
            </w:pPr>
            <w:r>
              <w:rPr>
                <w:color w:val="231F20"/>
                <w:sz w:val="16"/>
              </w:rPr>
              <w:t>Potential environmental watering – tier 1a (high priorities)</w:t>
            </w:r>
          </w:p>
        </w:tc>
        <w:tc>
          <w:tcPr>
            <w:tcW w:w="4082" w:type="dxa"/>
            <w:gridSpan w:val="2"/>
          </w:tcPr>
          <w:p w:rsidR="00A1021A" w:rsidRPr="00A1021A" w:rsidRDefault="00A1021A" w:rsidP="002840E5">
            <w:pPr>
              <w:pStyle w:val="TableParagraph"/>
              <w:numPr>
                <w:ilvl w:val="0"/>
                <w:numId w:val="1308"/>
              </w:numPr>
              <w:tabs>
                <w:tab w:val="left" w:pos="305"/>
              </w:tabs>
              <w:spacing w:before="70"/>
              <w:rPr>
                <w:sz w:val="16"/>
                <w:szCs w:val="16"/>
              </w:rPr>
            </w:pPr>
            <w:r w:rsidRPr="00A1021A">
              <w:rPr>
                <w:color w:val="231F20"/>
                <w:spacing w:val="-4"/>
                <w:sz w:val="16"/>
                <w:szCs w:val="16"/>
              </w:rPr>
              <w:t xml:space="preserve">Two </w:t>
            </w:r>
            <w:r w:rsidRPr="00A1021A">
              <w:rPr>
                <w:color w:val="231F20"/>
                <w:sz w:val="16"/>
                <w:szCs w:val="16"/>
              </w:rPr>
              <w:t>autumn</w:t>
            </w:r>
            <w:r w:rsidRPr="00A1021A">
              <w:rPr>
                <w:color w:val="231F20"/>
                <w:spacing w:val="1"/>
                <w:sz w:val="16"/>
                <w:szCs w:val="16"/>
              </w:rPr>
              <w:t xml:space="preserve"> </w:t>
            </w:r>
            <w:r w:rsidRPr="00A1021A">
              <w:rPr>
                <w:color w:val="231F20"/>
                <w:sz w:val="16"/>
                <w:szCs w:val="16"/>
              </w:rPr>
              <w:t>freshes</w:t>
            </w:r>
          </w:p>
          <w:p w:rsidR="00A1021A" w:rsidRPr="00A1021A" w:rsidRDefault="00A1021A" w:rsidP="002840E5">
            <w:pPr>
              <w:pStyle w:val="TableParagraph"/>
              <w:numPr>
                <w:ilvl w:val="0"/>
                <w:numId w:val="1308"/>
              </w:numPr>
              <w:tabs>
                <w:tab w:val="left" w:pos="305"/>
              </w:tabs>
              <w:spacing w:before="98"/>
              <w:rPr>
                <w:sz w:val="16"/>
                <w:szCs w:val="16"/>
              </w:rPr>
            </w:pPr>
            <w:r w:rsidRPr="00A1021A">
              <w:rPr>
                <w:color w:val="231F20"/>
                <w:sz w:val="16"/>
                <w:szCs w:val="16"/>
              </w:rPr>
              <w:t>One spring fresh</w:t>
            </w:r>
          </w:p>
          <w:p w:rsidR="00A1021A" w:rsidRPr="00A1021A" w:rsidRDefault="00A1021A" w:rsidP="002840E5">
            <w:pPr>
              <w:pStyle w:val="TableParagraph"/>
              <w:numPr>
                <w:ilvl w:val="0"/>
                <w:numId w:val="1308"/>
              </w:numPr>
              <w:tabs>
                <w:tab w:val="left" w:pos="305"/>
              </w:tabs>
              <w:spacing w:before="98"/>
              <w:rPr>
                <w:sz w:val="16"/>
                <w:szCs w:val="16"/>
              </w:rPr>
            </w:pPr>
            <w:r w:rsidRPr="00A1021A">
              <w:rPr>
                <w:color w:val="231F20"/>
                <w:spacing w:val="-4"/>
                <w:sz w:val="16"/>
                <w:szCs w:val="16"/>
              </w:rPr>
              <w:t xml:space="preserve">Two </w:t>
            </w:r>
            <w:r w:rsidRPr="00A1021A">
              <w:rPr>
                <w:color w:val="231F20"/>
                <w:sz w:val="16"/>
                <w:szCs w:val="16"/>
              </w:rPr>
              <w:t>summer/autumn</w:t>
            </w:r>
            <w:r w:rsidRPr="00A1021A">
              <w:rPr>
                <w:color w:val="231F20"/>
                <w:spacing w:val="3"/>
                <w:sz w:val="16"/>
                <w:szCs w:val="16"/>
              </w:rPr>
              <w:t xml:space="preserve"> </w:t>
            </w:r>
            <w:r w:rsidRPr="00A1021A">
              <w:rPr>
                <w:color w:val="231F20"/>
                <w:sz w:val="16"/>
                <w:szCs w:val="16"/>
              </w:rPr>
              <w:t>freshes</w:t>
            </w:r>
          </w:p>
          <w:p w:rsidR="00A1021A" w:rsidRPr="00A1021A" w:rsidRDefault="00A1021A" w:rsidP="002840E5">
            <w:pPr>
              <w:pStyle w:val="TableParagraph"/>
              <w:numPr>
                <w:ilvl w:val="0"/>
                <w:numId w:val="1308"/>
              </w:numPr>
              <w:tabs>
                <w:tab w:val="left" w:pos="305"/>
              </w:tabs>
              <w:spacing w:before="98"/>
              <w:rPr>
                <w:sz w:val="16"/>
                <w:szCs w:val="16"/>
              </w:rPr>
            </w:pPr>
            <w:r w:rsidRPr="00A1021A">
              <w:rPr>
                <w:color w:val="231F20"/>
                <w:sz w:val="16"/>
                <w:szCs w:val="16"/>
              </w:rPr>
              <w:t>Winter/spring low</w:t>
            </w:r>
            <w:r w:rsidRPr="00A1021A">
              <w:rPr>
                <w:color w:val="231F20"/>
                <w:spacing w:val="-2"/>
                <w:sz w:val="16"/>
                <w:szCs w:val="16"/>
              </w:rPr>
              <w:t xml:space="preserve"> </w:t>
            </w:r>
            <w:r w:rsidRPr="00A1021A">
              <w:rPr>
                <w:color w:val="231F20"/>
                <w:sz w:val="16"/>
                <w:szCs w:val="16"/>
              </w:rPr>
              <w:t>flow</w:t>
            </w:r>
          </w:p>
        </w:tc>
        <w:tc>
          <w:tcPr>
            <w:tcW w:w="4082" w:type="dxa"/>
            <w:gridSpan w:val="4"/>
          </w:tcPr>
          <w:p w:rsidR="00A1021A" w:rsidRPr="00A1021A" w:rsidRDefault="00A1021A" w:rsidP="002840E5">
            <w:pPr>
              <w:pStyle w:val="TableParagraph"/>
              <w:numPr>
                <w:ilvl w:val="0"/>
                <w:numId w:val="1307"/>
              </w:numPr>
              <w:tabs>
                <w:tab w:val="left" w:pos="305"/>
              </w:tabs>
              <w:spacing w:before="70"/>
              <w:rPr>
                <w:sz w:val="16"/>
                <w:szCs w:val="16"/>
              </w:rPr>
            </w:pPr>
            <w:r w:rsidRPr="00A1021A">
              <w:rPr>
                <w:color w:val="231F20"/>
                <w:spacing w:val="-4"/>
                <w:sz w:val="16"/>
                <w:szCs w:val="16"/>
              </w:rPr>
              <w:t xml:space="preserve">Two </w:t>
            </w:r>
            <w:r w:rsidRPr="00A1021A">
              <w:rPr>
                <w:color w:val="231F20"/>
                <w:sz w:val="16"/>
                <w:szCs w:val="16"/>
              </w:rPr>
              <w:t>autumn</w:t>
            </w:r>
            <w:r w:rsidRPr="00A1021A">
              <w:rPr>
                <w:color w:val="231F20"/>
                <w:spacing w:val="1"/>
                <w:sz w:val="16"/>
                <w:szCs w:val="16"/>
              </w:rPr>
              <w:t xml:space="preserve"> </w:t>
            </w:r>
            <w:r w:rsidRPr="00A1021A">
              <w:rPr>
                <w:color w:val="231F20"/>
                <w:sz w:val="16"/>
                <w:szCs w:val="16"/>
              </w:rPr>
              <w:t>freshes</w:t>
            </w:r>
          </w:p>
          <w:p w:rsidR="00A1021A" w:rsidRPr="00A1021A" w:rsidRDefault="00A1021A" w:rsidP="002840E5">
            <w:pPr>
              <w:pStyle w:val="TableParagraph"/>
              <w:numPr>
                <w:ilvl w:val="0"/>
                <w:numId w:val="1307"/>
              </w:numPr>
              <w:tabs>
                <w:tab w:val="left" w:pos="305"/>
              </w:tabs>
              <w:spacing w:before="98"/>
              <w:rPr>
                <w:sz w:val="16"/>
                <w:szCs w:val="16"/>
              </w:rPr>
            </w:pPr>
            <w:r w:rsidRPr="00A1021A">
              <w:rPr>
                <w:color w:val="231F20"/>
                <w:spacing w:val="-4"/>
                <w:sz w:val="16"/>
                <w:szCs w:val="16"/>
              </w:rPr>
              <w:t xml:space="preserve">Two </w:t>
            </w:r>
            <w:r w:rsidRPr="00A1021A">
              <w:rPr>
                <w:color w:val="231F20"/>
                <w:sz w:val="16"/>
                <w:szCs w:val="16"/>
              </w:rPr>
              <w:t>spring</w:t>
            </w:r>
            <w:r w:rsidRPr="00A1021A">
              <w:rPr>
                <w:color w:val="231F20"/>
                <w:spacing w:val="3"/>
                <w:sz w:val="16"/>
                <w:szCs w:val="16"/>
              </w:rPr>
              <w:t xml:space="preserve"> </w:t>
            </w:r>
            <w:r w:rsidRPr="00A1021A">
              <w:rPr>
                <w:color w:val="231F20"/>
                <w:sz w:val="16"/>
                <w:szCs w:val="16"/>
              </w:rPr>
              <w:t>freshes</w:t>
            </w:r>
          </w:p>
          <w:p w:rsidR="00A1021A" w:rsidRPr="00A1021A" w:rsidRDefault="00A1021A" w:rsidP="002840E5">
            <w:pPr>
              <w:pStyle w:val="TableParagraph"/>
              <w:numPr>
                <w:ilvl w:val="0"/>
                <w:numId w:val="1307"/>
              </w:numPr>
              <w:tabs>
                <w:tab w:val="left" w:pos="305"/>
              </w:tabs>
              <w:spacing w:before="98"/>
              <w:rPr>
                <w:sz w:val="16"/>
                <w:szCs w:val="16"/>
              </w:rPr>
            </w:pPr>
            <w:r w:rsidRPr="00A1021A">
              <w:rPr>
                <w:color w:val="231F20"/>
                <w:spacing w:val="-4"/>
                <w:sz w:val="16"/>
                <w:szCs w:val="16"/>
              </w:rPr>
              <w:t xml:space="preserve">Two </w:t>
            </w:r>
            <w:r w:rsidRPr="00A1021A">
              <w:rPr>
                <w:color w:val="231F20"/>
                <w:sz w:val="16"/>
                <w:szCs w:val="16"/>
              </w:rPr>
              <w:t>summer/autumn</w:t>
            </w:r>
            <w:r w:rsidRPr="00A1021A">
              <w:rPr>
                <w:color w:val="231F20"/>
                <w:spacing w:val="3"/>
                <w:sz w:val="16"/>
                <w:szCs w:val="16"/>
              </w:rPr>
              <w:t xml:space="preserve"> </w:t>
            </w:r>
            <w:r w:rsidRPr="00A1021A">
              <w:rPr>
                <w:color w:val="231F20"/>
                <w:sz w:val="16"/>
                <w:szCs w:val="16"/>
              </w:rPr>
              <w:t>freshes</w:t>
            </w:r>
          </w:p>
          <w:p w:rsidR="00A1021A" w:rsidRPr="00A1021A" w:rsidRDefault="00A1021A" w:rsidP="002840E5">
            <w:pPr>
              <w:pStyle w:val="TableParagraph"/>
              <w:numPr>
                <w:ilvl w:val="0"/>
                <w:numId w:val="1307"/>
              </w:numPr>
              <w:tabs>
                <w:tab w:val="left" w:pos="305"/>
              </w:tabs>
              <w:spacing w:before="98"/>
              <w:rPr>
                <w:sz w:val="16"/>
                <w:szCs w:val="16"/>
              </w:rPr>
            </w:pPr>
            <w:r w:rsidRPr="00A1021A">
              <w:rPr>
                <w:color w:val="231F20"/>
                <w:sz w:val="16"/>
                <w:szCs w:val="16"/>
              </w:rPr>
              <w:t>Winter/spring low</w:t>
            </w:r>
            <w:r w:rsidRPr="00A1021A">
              <w:rPr>
                <w:color w:val="231F20"/>
                <w:spacing w:val="-2"/>
                <w:sz w:val="16"/>
                <w:szCs w:val="16"/>
              </w:rPr>
              <w:t xml:space="preserve"> </w:t>
            </w:r>
            <w:r w:rsidRPr="00A1021A">
              <w:rPr>
                <w:color w:val="231F20"/>
                <w:sz w:val="16"/>
                <w:szCs w:val="16"/>
              </w:rPr>
              <w:t>flow</w:t>
            </w:r>
          </w:p>
        </w:tc>
      </w:tr>
      <w:tr w:rsidR="00A1021A" w:rsidTr="002840E5">
        <w:trPr>
          <w:trHeight w:val="733"/>
        </w:trPr>
        <w:tc>
          <w:tcPr>
            <w:tcW w:w="2041" w:type="dxa"/>
          </w:tcPr>
          <w:p w:rsidR="00A1021A" w:rsidRDefault="00A1021A" w:rsidP="002840E5">
            <w:pPr>
              <w:pStyle w:val="TableParagraph"/>
              <w:spacing w:before="74" w:line="261" w:lineRule="auto"/>
              <w:ind w:left="85" w:right="272"/>
              <w:jc w:val="both"/>
              <w:rPr>
                <w:sz w:val="16"/>
              </w:rPr>
            </w:pPr>
            <w:r>
              <w:rPr>
                <w:color w:val="231F20"/>
                <w:sz w:val="16"/>
              </w:rPr>
              <w:t>Potential environmental watering – tier 1b (high priorities with shortfall)</w:t>
            </w:r>
          </w:p>
        </w:tc>
        <w:tc>
          <w:tcPr>
            <w:tcW w:w="8164" w:type="dxa"/>
            <w:gridSpan w:val="6"/>
          </w:tcPr>
          <w:p w:rsidR="00A1021A" w:rsidRPr="00A1021A" w:rsidRDefault="00A1021A" w:rsidP="002840E5">
            <w:pPr>
              <w:pStyle w:val="TableParagraph"/>
              <w:numPr>
                <w:ilvl w:val="0"/>
                <w:numId w:val="1306"/>
              </w:numPr>
              <w:tabs>
                <w:tab w:val="left" w:pos="4007"/>
              </w:tabs>
              <w:spacing w:before="70"/>
              <w:rPr>
                <w:sz w:val="16"/>
                <w:szCs w:val="16"/>
              </w:rPr>
            </w:pPr>
            <w:r w:rsidRPr="00A1021A">
              <w:rPr>
                <w:color w:val="231F20"/>
                <w:sz w:val="16"/>
                <w:szCs w:val="16"/>
              </w:rPr>
              <w:t>N/A</w:t>
            </w:r>
          </w:p>
        </w:tc>
      </w:tr>
      <w:tr w:rsidR="00A1021A" w:rsidTr="002840E5">
        <w:trPr>
          <w:trHeight w:val="733"/>
        </w:trPr>
        <w:tc>
          <w:tcPr>
            <w:tcW w:w="2041" w:type="dxa"/>
          </w:tcPr>
          <w:p w:rsidR="00A1021A" w:rsidRDefault="00A1021A" w:rsidP="002840E5">
            <w:pPr>
              <w:pStyle w:val="TableParagraph"/>
              <w:spacing w:before="74" w:line="261" w:lineRule="auto"/>
              <w:ind w:left="85" w:right="253"/>
              <w:rPr>
                <w:sz w:val="16"/>
              </w:rPr>
            </w:pPr>
            <w:r>
              <w:rPr>
                <w:color w:val="231F20"/>
                <w:sz w:val="16"/>
              </w:rPr>
              <w:t>Potential environmental watering – tier 2 (additional priorities)</w:t>
            </w:r>
          </w:p>
        </w:tc>
        <w:tc>
          <w:tcPr>
            <w:tcW w:w="6123" w:type="dxa"/>
            <w:gridSpan w:val="5"/>
          </w:tcPr>
          <w:p w:rsidR="00A1021A" w:rsidRPr="00A1021A" w:rsidRDefault="00A1021A" w:rsidP="002840E5">
            <w:pPr>
              <w:pStyle w:val="TableParagraph"/>
              <w:numPr>
                <w:ilvl w:val="0"/>
                <w:numId w:val="1305"/>
              </w:numPr>
              <w:tabs>
                <w:tab w:val="left" w:pos="305"/>
              </w:tabs>
              <w:spacing w:before="70"/>
              <w:rPr>
                <w:sz w:val="16"/>
                <w:szCs w:val="16"/>
              </w:rPr>
            </w:pPr>
            <w:r w:rsidRPr="00A1021A">
              <w:rPr>
                <w:color w:val="231F20"/>
                <w:sz w:val="16"/>
                <w:szCs w:val="16"/>
              </w:rPr>
              <w:t>Summer/autumn low</w:t>
            </w:r>
            <w:r w:rsidRPr="00A1021A">
              <w:rPr>
                <w:color w:val="231F20"/>
                <w:spacing w:val="-2"/>
                <w:sz w:val="16"/>
                <w:szCs w:val="16"/>
              </w:rPr>
              <w:t xml:space="preserve"> </w:t>
            </w:r>
            <w:r w:rsidRPr="00A1021A">
              <w:rPr>
                <w:color w:val="231F20"/>
                <w:sz w:val="16"/>
                <w:szCs w:val="16"/>
              </w:rPr>
              <w:t>flow</w:t>
            </w:r>
          </w:p>
        </w:tc>
        <w:tc>
          <w:tcPr>
            <w:tcW w:w="2041" w:type="dxa"/>
          </w:tcPr>
          <w:p w:rsidR="00A1021A" w:rsidRPr="00A1021A" w:rsidRDefault="00A1021A" w:rsidP="002840E5">
            <w:pPr>
              <w:pStyle w:val="TableParagraph"/>
              <w:numPr>
                <w:ilvl w:val="0"/>
                <w:numId w:val="1304"/>
              </w:numPr>
              <w:tabs>
                <w:tab w:val="left" w:pos="305"/>
              </w:tabs>
              <w:spacing w:before="70"/>
              <w:rPr>
                <w:sz w:val="16"/>
                <w:szCs w:val="16"/>
              </w:rPr>
            </w:pPr>
            <w:r w:rsidRPr="00A1021A">
              <w:rPr>
                <w:color w:val="231F20"/>
                <w:sz w:val="16"/>
                <w:szCs w:val="16"/>
              </w:rPr>
              <w:t>N/A</w:t>
            </w:r>
          </w:p>
        </w:tc>
      </w:tr>
      <w:tr w:rsidR="00A1021A" w:rsidTr="002840E5">
        <w:trPr>
          <w:trHeight w:val="733"/>
        </w:trPr>
        <w:tc>
          <w:tcPr>
            <w:tcW w:w="2041" w:type="dxa"/>
          </w:tcPr>
          <w:p w:rsidR="00A1021A" w:rsidRDefault="00A1021A" w:rsidP="002840E5">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1</w:t>
            </w:r>
          </w:p>
        </w:tc>
        <w:tc>
          <w:tcPr>
            <w:tcW w:w="6123" w:type="dxa"/>
            <w:gridSpan w:val="5"/>
          </w:tcPr>
          <w:p w:rsidR="00A1021A" w:rsidRPr="00A1021A" w:rsidRDefault="00A1021A" w:rsidP="002840E5">
            <w:pPr>
              <w:pStyle w:val="TableParagraph"/>
              <w:numPr>
                <w:ilvl w:val="0"/>
                <w:numId w:val="1303"/>
              </w:numPr>
              <w:tabs>
                <w:tab w:val="left" w:pos="305"/>
              </w:tabs>
              <w:spacing w:before="63"/>
              <w:rPr>
                <w:sz w:val="16"/>
                <w:szCs w:val="16"/>
              </w:rPr>
            </w:pPr>
            <w:r w:rsidRPr="00A1021A">
              <w:rPr>
                <w:color w:val="231F20"/>
                <w:sz w:val="16"/>
                <w:szCs w:val="16"/>
              </w:rPr>
              <w:t>27,000 ML (tier</w:t>
            </w:r>
            <w:r w:rsidRPr="00A1021A">
              <w:rPr>
                <w:color w:val="231F20"/>
                <w:spacing w:val="-12"/>
                <w:sz w:val="16"/>
                <w:szCs w:val="16"/>
              </w:rPr>
              <w:t xml:space="preserve"> </w:t>
            </w:r>
            <w:r w:rsidRPr="00A1021A">
              <w:rPr>
                <w:color w:val="231F20"/>
                <w:sz w:val="16"/>
                <w:szCs w:val="16"/>
              </w:rPr>
              <w:t>1a)</w:t>
            </w:r>
          </w:p>
          <w:p w:rsidR="00A1021A" w:rsidRPr="00A1021A" w:rsidRDefault="00A1021A" w:rsidP="002840E5">
            <w:pPr>
              <w:pStyle w:val="TableParagraph"/>
              <w:numPr>
                <w:ilvl w:val="0"/>
                <w:numId w:val="1303"/>
              </w:numPr>
              <w:tabs>
                <w:tab w:val="left" w:pos="305"/>
              </w:tabs>
              <w:spacing w:before="98"/>
              <w:rPr>
                <w:sz w:val="16"/>
                <w:szCs w:val="16"/>
              </w:rPr>
            </w:pPr>
            <w:r w:rsidRPr="00A1021A">
              <w:rPr>
                <w:color w:val="231F20"/>
                <w:sz w:val="16"/>
                <w:szCs w:val="16"/>
              </w:rPr>
              <w:t>16,700 ML (tier</w:t>
            </w:r>
            <w:r w:rsidRPr="00A1021A">
              <w:rPr>
                <w:color w:val="231F20"/>
                <w:spacing w:val="-11"/>
                <w:sz w:val="16"/>
                <w:szCs w:val="16"/>
              </w:rPr>
              <w:t xml:space="preserve"> </w:t>
            </w:r>
            <w:r w:rsidRPr="00A1021A">
              <w:rPr>
                <w:color w:val="231F20"/>
                <w:sz w:val="16"/>
                <w:szCs w:val="16"/>
              </w:rPr>
              <w:t>2)</w:t>
            </w:r>
          </w:p>
        </w:tc>
        <w:tc>
          <w:tcPr>
            <w:tcW w:w="2041" w:type="dxa"/>
          </w:tcPr>
          <w:p w:rsidR="00A1021A" w:rsidRPr="00A1021A" w:rsidRDefault="00A1021A" w:rsidP="002840E5">
            <w:pPr>
              <w:pStyle w:val="TableParagraph"/>
              <w:numPr>
                <w:ilvl w:val="0"/>
                <w:numId w:val="1302"/>
              </w:numPr>
              <w:tabs>
                <w:tab w:val="left" w:pos="305"/>
              </w:tabs>
              <w:spacing w:before="63"/>
              <w:rPr>
                <w:sz w:val="16"/>
                <w:szCs w:val="16"/>
              </w:rPr>
            </w:pPr>
            <w:r w:rsidRPr="00A1021A">
              <w:rPr>
                <w:color w:val="231F20"/>
                <w:sz w:val="16"/>
                <w:szCs w:val="16"/>
              </w:rPr>
              <w:t>31,200 ML (tier</w:t>
            </w:r>
            <w:r w:rsidRPr="00A1021A">
              <w:rPr>
                <w:color w:val="231F20"/>
                <w:spacing w:val="-12"/>
                <w:sz w:val="16"/>
                <w:szCs w:val="16"/>
              </w:rPr>
              <w:t xml:space="preserve"> </w:t>
            </w:r>
            <w:r w:rsidRPr="00A1021A">
              <w:rPr>
                <w:color w:val="231F20"/>
                <w:sz w:val="16"/>
                <w:szCs w:val="16"/>
              </w:rPr>
              <w:t>1a)</w:t>
            </w:r>
          </w:p>
          <w:p w:rsidR="00A1021A" w:rsidRPr="00A1021A" w:rsidRDefault="00A1021A" w:rsidP="002840E5">
            <w:pPr>
              <w:pStyle w:val="TableParagraph"/>
              <w:numPr>
                <w:ilvl w:val="0"/>
                <w:numId w:val="1302"/>
              </w:numPr>
              <w:tabs>
                <w:tab w:val="left" w:pos="305"/>
              </w:tabs>
              <w:spacing w:before="98"/>
              <w:rPr>
                <w:sz w:val="16"/>
                <w:szCs w:val="16"/>
              </w:rPr>
            </w:pPr>
            <w:r w:rsidRPr="00A1021A">
              <w:rPr>
                <w:color w:val="231F20"/>
                <w:sz w:val="16"/>
                <w:szCs w:val="16"/>
              </w:rPr>
              <w:t>16,700 ML (tier</w:t>
            </w:r>
            <w:r w:rsidRPr="00A1021A">
              <w:rPr>
                <w:color w:val="231F20"/>
                <w:spacing w:val="-11"/>
                <w:sz w:val="16"/>
                <w:szCs w:val="16"/>
              </w:rPr>
              <w:t xml:space="preserve"> </w:t>
            </w:r>
            <w:r w:rsidRPr="00A1021A">
              <w:rPr>
                <w:color w:val="231F20"/>
                <w:sz w:val="16"/>
                <w:szCs w:val="16"/>
              </w:rPr>
              <w:t>2)</w:t>
            </w:r>
          </w:p>
        </w:tc>
      </w:tr>
      <w:tr w:rsidR="00A1021A" w:rsidTr="002840E5">
        <w:trPr>
          <w:trHeight w:val="733"/>
        </w:trPr>
        <w:tc>
          <w:tcPr>
            <w:tcW w:w="2041" w:type="dxa"/>
          </w:tcPr>
          <w:p w:rsidR="00A1021A" w:rsidRDefault="00A1021A" w:rsidP="002840E5">
            <w:pPr>
              <w:pStyle w:val="TableParagraph"/>
              <w:spacing w:before="67" w:line="261" w:lineRule="auto"/>
              <w:ind w:left="85" w:right="716"/>
              <w:rPr>
                <w:sz w:val="16"/>
              </w:rPr>
            </w:pPr>
            <w:r>
              <w:rPr>
                <w:color w:val="231F20"/>
                <w:sz w:val="16"/>
              </w:rPr>
              <w:t>Priority carryover requirements</w:t>
            </w:r>
          </w:p>
        </w:tc>
        <w:tc>
          <w:tcPr>
            <w:tcW w:w="8164" w:type="dxa"/>
            <w:gridSpan w:val="6"/>
          </w:tcPr>
          <w:p w:rsidR="00A1021A" w:rsidRDefault="00A1021A" w:rsidP="002840E5">
            <w:pPr>
              <w:pStyle w:val="TableParagraph"/>
              <w:numPr>
                <w:ilvl w:val="0"/>
                <w:numId w:val="1299"/>
              </w:numPr>
              <w:tabs>
                <w:tab w:val="left" w:pos="3748"/>
              </w:tabs>
              <w:spacing w:before="63"/>
              <w:ind w:right="64" w:hanging="3748"/>
              <w:rPr>
                <w:sz w:val="10"/>
              </w:rPr>
            </w:pPr>
            <w:r w:rsidRPr="00A1021A">
              <w:rPr>
                <w:color w:val="231F20"/>
                <w:sz w:val="16"/>
                <w:szCs w:val="16"/>
              </w:rPr>
              <w:t>5,500</w:t>
            </w:r>
            <w:r>
              <w:rPr>
                <w:color w:val="231F20"/>
                <w:spacing w:val="-2"/>
                <w:sz w:val="18"/>
              </w:rPr>
              <w:t xml:space="preserve"> </w:t>
            </w:r>
            <w:r w:rsidRPr="00A1021A">
              <w:rPr>
                <w:color w:val="231F20"/>
                <w:sz w:val="16"/>
                <w:szCs w:val="16"/>
              </w:rPr>
              <w:t>ML</w:t>
            </w:r>
            <w:r>
              <w:rPr>
                <w:color w:val="231F20"/>
                <w:position w:val="6"/>
                <w:sz w:val="10"/>
              </w:rPr>
              <w:t>2</w:t>
            </w:r>
          </w:p>
        </w:tc>
      </w:tr>
      <w:tr w:rsidR="00A1021A" w:rsidTr="002840E5">
        <w:trPr>
          <w:trHeight w:val="447"/>
        </w:trPr>
        <w:tc>
          <w:tcPr>
            <w:tcW w:w="10205" w:type="dxa"/>
            <w:gridSpan w:val="7"/>
            <w:shd w:val="clear" w:color="auto" w:fill="D9D9D9" w:themeFill="background1" w:themeFillShade="D9"/>
          </w:tcPr>
          <w:p w:rsidR="00A1021A" w:rsidRDefault="00A1021A" w:rsidP="002840E5">
            <w:pPr>
              <w:pStyle w:val="TableParagraph"/>
              <w:spacing w:before="67"/>
              <w:ind w:left="85"/>
              <w:rPr>
                <w:b/>
                <w:sz w:val="16"/>
              </w:rPr>
            </w:pPr>
            <w:r>
              <w:rPr>
                <w:b/>
                <w:color w:val="231F20"/>
                <w:sz w:val="16"/>
              </w:rPr>
              <w:t>Heyfield wetlands</w:t>
            </w:r>
          </w:p>
        </w:tc>
      </w:tr>
      <w:tr w:rsidR="00A1021A" w:rsidTr="002840E5">
        <w:trPr>
          <w:trHeight w:val="992"/>
        </w:trPr>
        <w:tc>
          <w:tcPr>
            <w:tcW w:w="2041" w:type="dxa"/>
          </w:tcPr>
          <w:p w:rsidR="00A1021A" w:rsidRDefault="00A1021A" w:rsidP="002840E5">
            <w:pPr>
              <w:pStyle w:val="TableParagraph"/>
              <w:spacing w:before="67" w:line="261" w:lineRule="auto"/>
              <w:ind w:left="85" w:right="272"/>
              <w:jc w:val="both"/>
              <w:rPr>
                <w:sz w:val="16"/>
              </w:rPr>
            </w:pPr>
            <w:r>
              <w:rPr>
                <w:color w:val="231F20"/>
                <w:sz w:val="16"/>
              </w:rPr>
              <w:t>Potential environmental watering – tier 1a (high priorities)</w:t>
            </w:r>
          </w:p>
        </w:tc>
        <w:tc>
          <w:tcPr>
            <w:tcW w:w="8164" w:type="dxa"/>
            <w:gridSpan w:val="6"/>
          </w:tcPr>
          <w:p w:rsidR="00A1021A" w:rsidRPr="00A1021A" w:rsidRDefault="00A1021A" w:rsidP="002840E5">
            <w:pPr>
              <w:pStyle w:val="TableParagraph"/>
              <w:numPr>
                <w:ilvl w:val="0"/>
                <w:numId w:val="1298"/>
              </w:numPr>
              <w:tabs>
                <w:tab w:val="left" w:pos="305"/>
              </w:tabs>
              <w:spacing w:before="63"/>
              <w:rPr>
                <w:sz w:val="16"/>
                <w:szCs w:val="16"/>
              </w:rPr>
            </w:pPr>
            <w:r w:rsidRPr="00A1021A">
              <w:rPr>
                <w:color w:val="231F20"/>
                <w:sz w:val="16"/>
                <w:szCs w:val="16"/>
              </w:rPr>
              <w:t>Fill (in</w:t>
            </w:r>
            <w:r w:rsidRPr="00A1021A">
              <w:rPr>
                <w:color w:val="231F20"/>
                <w:spacing w:val="-10"/>
                <w:sz w:val="16"/>
                <w:szCs w:val="16"/>
              </w:rPr>
              <w:t xml:space="preserve"> </w:t>
            </w:r>
            <w:r w:rsidRPr="00A1021A">
              <w:rPr>
                <w:color w:val="231F20"/>
                <w:sz w:val="16"/>
                <w:szCs w:val="16"/>
              </w:rPr>
              <w:t>August)</w:t>
            </w:r>
          </w:p>
          <w:p w:rsidR="00A1021A" w:rsidRPr="00A1021A" w:rsidRDefault="00A1021A" w:rsidP="002840E5">
            <w:pPr>
              <w:pStyle w:val="TableParagraph"/>
              <w:numPr>
                <w:ilvl w:val="0"/>
                <w:numId w:val="1298"/>
              </w:numPr>
              <w:tabs>
                <w:tab w:val="left" w:pos="305"/>
              </w:tabs>
              <w:spacing w:before="98"/>
              <w:rPr>
                <w:sz w:val="16"/>
                <w:szCs w:val="16"/>
              </w:rPr>
            </w:pPr>
            <w:r w:rsidRPr="00A1021A">
              <w:rPr>
                <w:color w:val="231F20"/>
                <w:spacing w:val="-4"/>
                <w:sz w:val="16"/>
                <w:szCs w:val="16"/>
              </w:rPr>
              <w:t xml:space="preserve">Top-ups </w:t>
            </w:r>
            <w:r w:rsidRPr="00A1021A">
              <w:rPr>
                <w:color w:val="231F20"/>
                <w:sz w:val="16"/>
                <w:szCs w:val="16"/>
              </w:rPr>
              <w:t>to maintain water level as required (during October to</w:t>
            </w:r>
            <w:r w:rsidRPr="00A1021A">
              <w:rPr>
                <w:color w:val="231F20"/>
                <w:spacing w:val="-3"/>
                <w:sz w:val="16"/>
                <w:szCs w:val="16"/>
              </w:rPr>
              <w:t xml:space="preserve"> </w:t>
            </w:r>
            <w:r w:rsidRPr="00A1021A">
              <w:rPr>
                <w:color w:val="231F20"/>
                <w:sz w:val="16"/>
                <w:szCs w:val="16"/>
              </w:rPr>
              <w:t>November)</w:t>
            </w:r>
          </w:p>
          <w:p w:rsidR="00A1021A" w:rsidRPr="00A1021A" w:rsidRDefault="00A1021A" w:rsidP="002840E5">
            <w:pPr>
              <w:pStyle w:val="TableParagraph"/>
              <w:numPr>
                <w:ilvl w:val="0"/>
                <w:numId w:val="1298"/>
              </w:numPr>
              <w:tabs>
                <w:tab w:val="left" w:pos="305"/>
              </w:tabs>
              <w:spacing w:before="98"/>
              <w:rPr>
                <w:sz w:val="16"/>
                <w:szCs w:val="16"/>
              </w:rPr>
            </w:pPr>
            <w:r w:rsidRPr="00A1021A">
              <w:rPr>
                <w:color w:val="231F20"/>
                <w:sz w:val="16"/>
                <w:szCs w:val="16"/>
              </w:rPr>
              <w:t>Partial drying (during December to</w:t>
            </w:r>
            <w:r w:rsidRPr="00A1021A">
              <w:rPr>
                <w:color w:val="231F20"/>
                <w:spacing w:val="-3"/>
                <w:sz w:val="16"/>
                <w:szCs w:val="16"/>
              </w:rPr>
              <w:t xml:space="preserve"> </w:t>
            </w:r>
            <w:r w:rsidRPr="00A1021A">
              <w:rPr>
                <w:color w:val="231F20"/>
                <w:sz w:val="16"/>
                <w:szCs w:val="16"/>
              </w:rPr>
              <w:t>February)</w:t>
            </w:r>
          </w:p>
        </w:tc>
      </w:tr>
      <w:tr w:rsidR="00A1021A" w:rsidTr="002840E5">
        <w:trPr>
          <w:trHeight w:val="733"/>
        </w:trPr>
        <w:tc>
          <w:tcPr>
            <w:tcW w:w="2041" w:type="dxa"/>
          </w:tcPr>
          <w:p w:rsidR="00A1021A" w:rsidRDefault="00A1021A" w:rsidP="002840E5">
            <w:pPr>
              <w:pStyle w:val="TableParagraph"/>
              <w:spacing w:before="67" w:line="261" w:lineRule="auto"/>
              <w:ind w:left="85" w:right="485"/>
              <w:rPr>
                <w:sz w:val="16"/>
              </w:rPr>
            </w:pPr>
            <w:r>
              <w:rPr>
                <w:color w:val="231F20"/>
                <w:sz w:val="16"/>
              </w:rPr>
              <w:t>Possible volume of environmental water required to achieve objectives</w:t>
            </w:r>
          </w:p>
        </w:tc>
        <w:tc>
          <w:tcPr>
            <w:tcW w:w="4116" w:type="dxa"/>
            <w:gridSpan w:val="3"/>
          </w:tcPr>
          <w:p w:rsidR="00A1021A" w:rsidRPr="00A1021A" w:rsidRDefault="00A1021A" w:rsidP="002840E5">
            <w:pPr>
              <w:pStyle w:val="TableParagraph"/>
              <w:numPr>
                <w:ilvl w:val="0"/>
                <w:numId w:val="1297"/>
              </w:numPr>
              <w:tabs>
                <w:tab w:val="left" w:pos="305"/>
              </w:tabs>
              <w:spacing w:before="63"/>
              <w:rPr>
                <w:sz w:val="16"/>
                <w:szCs w:val="16"/>
              </w:rPr>
            </w:pPr>
            <w:r w:rsidRPr="00A1021A">
              <w:rPr>
                <w:color w:val="231F20"/>
                <w:sz w:val="16"/>
                <w:szCs w:val="16"/>
              </w:rPr>
              <w:t>15–25 ML (tier</w:t>
            </w:r>
            <w:r w:rsidRPr="00A1021A">
              <w:rPr>
                <w:color w:val="231F20"/>
                <w:spacing w:val="-9"/>
                <w:sz w:val="16"/>
                <w:szCs w:val="16"/>
              </w:rPr>
              <w:t xml:space="preserve"> </w:t>
            </w:r>
            <w:r w:rsidRPr="00A1021A">
              <w:rPr>
                <w:color w:val="231F20"/>
                <w:sz w:val="16"/>
                <w:szCs w:val="16"/>
              </w:rPr>
              <w:t>1a)</w:t>
            </w:r>
          </w:p>
        </w:tc>
        <w:tc>
          <w:tcPr>
            <w:tcW w:w="1985" w:type="dxa"/>
          </w:tcPr>
          <w:p w:rsidR="00A1021A" w:rsidRPr="00A1021A" w:rsidRDefault="00A1021A" w:rsidP="002840E5">
            <w:pPr>
              <w:pStyle w:val="TableParagraph"/>
              <w:numPr>
                <w:ilvl w:val="0"/>
                <w:numId w:val="1296"/>
              </w:numPr>
              <w:tabs>
                <w:tab w:val="left" w:pos="305"/>
              </w:tabs>
              <w:spacing w:before="63"/>
              <w:rPr>
                <w:sz w:val="16"/>
                <w:szCs w:val="16"/>
              </w:rPr>
            </w:pPr>
            <w:r w:rsidRPr="00A1021A">
              <w:rPr>
                <w:color w:val="231F20"/>
                <w:sz w:val="16"/>
                <w:szCs w:val="16"/>
              </w:rPr>
              <w:t>10–17 ML (tier</w:t>
            </w:r>
            <w:r w:rsidRPr="00A1021A">
              <w:rPr>
                <w:color w:val="231F20"/>
                <w:spacing w:val="-11"/>
                <w:sz w:val="16"/>
                <w:szCs w:val="16"/>
              </w:rPr>
              <w:t xml:space="preserve"> </w:t>
            </w:r>
            <w:r w:rsidRPr="00A1021A">
              <w:rPr>
                <w:color w:val="231F20"/>
                <w:sz w:val="16"/>
                <w:szCs w:val="16"/>
              </w:rPr>
              <w:t>1a)</w:t>
            </w:r>
          </w:p>
        </w:tc>
        <w:tc>
          <w:tcPr>
            <w:tcW w:w="2063" w:type="dxa"/>
            <w:gridSpan w:val="2"/>
          </w:tcPr>
          <w:p w:rsidR="00A1021A" w:rsidRPr="00A1021A" w:rsidRDefault="00A1021A" w:rsidP="002840E5">
            <w:pPr>
              <w:pStyle w:val="TableParagraph"/>
              <w:numPr>
                <w:ilvl w:val="0"/>
                <w:numId w:val="1295"/>
              </w:numPr>
              <w:tabs>
                <w:tab w:val="left" w:pos="305"/>
              </w:tabs>
              <w:spacing w:before="63"/>
              <w:rPr>
                <w:sz w:val="16"/>
                <w:szCs w:val="16"/>
              </w:rPr>
            </w:pPr>
            <w:r w:rsidRPr="00A1021A">
              <w:rPr>
                <w:color w:val="231F20"/>
                <w:sz w:val="16"/>
                <w:szCs w:val="16"/>
              </w:rPr>
              <w:t>7–12 ML (tier</w:t>
            </w:r>
            <w:r w:rsidRPr="00A1021A">
              <w:rPr>
                <w:color w:val="231F20"/>
                <w:spacing w:val="-10"/>
                <w:sz w:val="16"/>
                <w:szCs w:val="16"/>
              </w:rPr>
              <w:t xml:space="preserve"> </w:t>
            </w:r>
            <w:r w:rsidRPr="00A1021A">
              <w:rPr>
                <w:color w:val="231F20"/>
                <w:sz w:val="16"/>
                <w:szCs w:val="16"/>
              </w:rPr>
              <w:t>1a)</w:t>
            </w:r>
          </w:p>
        </w:tc>
      </w:tr>
    </w:tbl>
    <w:p w:rsidR="006A7A3F" w:rsidRPr="00A1021A" w:rsidRDefault="00BC7372" w:rsidP="00A1021A">
      <w:pPr>
        <w:spacing w:before="74"/>
        <w:ind w:firstLine="284"/>
        <w:rPr>
          <w:sz w:val="14"/>
        </w:rPr>
      </w:pPr>
      <w:r w:rsidRPr="00A1021A">
        <w:rPr>
          <w:color w:val="231F20"/>
          <w:position w:val="5"/>
          <w:sz w:val="8"/>
        </w:rPr>
        <w:t xml:space="preserve">1 </w:t>
      </w:r>
      <w:r w:rsidRPr="00A1021A">
        <w:rPr>
          <w:color w:val="231F20"/>
          <w:sz w:val="14"/>
        </w:rPr>
        <w:t>Environmental water requirements for tier 2 actions are additional to tier 1 requirements.</w:t>
      </w:r>
    </w:p>
    <w:p w:rsidR="006A7A3F" w:rsidRDefault="00BC7372" w:rsidP="00A1021A">
      <w:pPr>
        <w:spacing w:before="74"/>
        <w:ind w:firstLine="284"/>
        <w:rPr>
          <w:sz w:val="14"/>
        </w:rPr>
      </w:pPr>
      <w:r>
        <w:rPr>
          <w:color w:val="231F20"/>
          <w:position w:val="5"/>
          <w:sz w:val="8"/>
        </w:rPr>
        <w:t xml:space="preserve">2 </w:t>
      </w:r>
      <w:r>
        <w:rPr>
          <w:color w:val="231F20"/>
          <w:sz w:val="14"/>
        </w:rPr>
        <w:t>Priority carryover volumes have been incorporated into tier 1a demands.</w:t>
      </w:r>
    </w:p>
    <w:p w:rsidR="00BF686A" w:rsidRDefault="00BF686A">
      <w:pPr>
        <w:rPr>
          <w:sz w:val="13"/>
          <w:szCs w:val="20"/>
        </w:rPr>
      </w:pPr>
      <w:r>
        <w:rPr>
          <w:sz w:val="13"/>
          <w:szCs w:val="20"/>
        </w:rPr>
        <w:br w:type="page"/>
      </w:r>
    </w:p>
    <w:p w:rsidR="006A7A3F" w:rsidRDefault="00BC7372" w:rsidP="009B6917">
      <w:pPr>
        <w:pStyle w:val="Heading1"/>
        <w:numPr>
          <w:ilvl w:val="1"/>
          <w:numId w:val="1325"/>
        </w:numPr>
        <w:tabs>
          <w:tab w:val="left" w:pos="911"/>
        </w:tabs>
        <w:ind w:left="910" w:hanging="701"/>
      </w:pPr>
      <w:r>
        <w:rPr>
          <w:color w:val="231F20"/>
        </w:rPr>
        <w:t>Macalister system</w:t>
      </w:r>
    </w:p>
    <w:p w:rsidR="006A7A3F" w:rsidRDefault="00BC7372">
      <w:pPr>
        <w:spacing w:before="256"/>
        <w:ind w:left="210"/>
        <w:rPr>
          <w:rFonts w:ascii="Helvetica Neue LT Std 75"/>
          <w:b/>
          <w:sz w:val="19"/>
        </w:rPr>
      </w:pPr>
      <w:r>
        <w:rPr>
          <w:rFonts w:ascii="Helvetica Neue LT Std 75"/>
          <w:b/>
          <w:color w:val="231F20"/>
          <w:sz w:val="19"/>
        </w:rPr>
        <w:t>Did you know...?</w:t>
      </w:r>
    </w:p>
    <w:p w:rsidR="006A7A3F" w:rsidRDefault="00BC7372">
      <w:pPr>
        <w:pStyle w:val="BodyText"/>
        <w:spacing w:before="68" w:line="249" w:lineRule="auto"/>
        <w:ind w:right="227"/>
      </w:pPr>
      <w:r>
        <w:rPr>
          <w:color w:val="231F20"/>
        </w:rPr>
        <w:t>Australian grayling, short-finned eels, long-finned eels, tupong, Australian bass, short-headed lamprey and common galaxias all migrate between the Macalister River, its estuary and the sea to complete their life cycles with the help of environmental flows.</w:t>
      </w:r>
    </w:p>
    <w:p w:rsidR="006A7A3F" w:rsidRDefault="00BC7372">
      <w:pPr>
        <w:spacing w:before="182"/>
        <w:ind w:left="210"/>
        <w:rPr>
          <w:rFonts w:ascii="Helvetica Neue LT Std 75"/>
          <w:b/>
          <w:sz w:val="19"/>
        </w:rPr>
      </w:pPr>
      <w:r>
        <w:rPr>
          <w:rFonts w:ascii="Helvetica Neue LT Std 75"/>
          <w:b/>
          <w:color w:val="231F20"/>
          <w:sz w:val="19"/>
        </w:rPr>
        <w:t>System overview</w:t>
      </w:r>
    </w:p>
    <w:p w:rsidR="006A7A3F" w:rsidRDefault="00BC7372">
      <w:pPr>
        <w:pStyle w:val="Heading6"/>
        <w:spacing w:before="98" w:line="276" w:lineRule="auto"/>
      </w:pPr>
      <w:r>
        <w:rPr>
          <w:color w:val="231F20"/>
        </w:rPr>
        <w:t>The Macalister River flows from Mt Howitt in the Alpine National Park and joins the Thomson River south of Maffra. The river winds its way in a south-easterly direction through mostly forested, confined valleys and narrow floodplains above Lake Glenmaggie. The downstream reaches flow through wide alluvial floodplains that have been cleared for agriculture. The Wellington River and Glenmaggie Creek are the main tributaries of the Macalister River.</w:t>
      </w:r>
    </w:p>
    <w:p w:rsidR="006A7A3F" w:rsidRDefault="006A7A3F">
      <w:pPr>
        <w:pStyle w:val="BodyText"/>
        <w:spacing w:before="6"/>
        <w:ind w:left="0"/>
        <w:rPr>
          <w:sz w:val="21"/>
        </w:rPr>
      </w:pPr>
    </w:p>
    <w:p w:rsidR="006A7A3F" w:rsidRDefault="00BC7372">
      <w:pPr>
        <w:pStyle w:val="BodyText"/>
        <w:spacing w:before="1" w:line="249" w:lineRule="auto"/>
        <w:ind w:right="100"/>
      </w:pPr>
      <w:r>
        <w:rPr>
          <w:color w:val="231F20"/>
        </w:rPr>
        <w:t>Lake Glenmaggie is the major water-harvesting storage regulating the Macalister River. Maffra Weir is a small diversion weir located further downstream in Maffra.</w:t>
      </w:r>
    </w:p>
    <w:p w:rsidR="006A7A3F" w:rsidRDefault="00BC7372">
      <w:pPr>
        <w:pStyle w:val="BodyText"/>
        <w:spacing w:before="171" w:line="249" w:lineRule="auto"/>
        <w:ind w:right="227"/>
      </w:pPr>
      <w:r>
        <w:rPr>
          <w:color w:val="231F20"/>
        </w:rPr>
        <w:t xml:space="preserve">Before the construction of Lake Glenmaggie, the Macalister River would regularly receive high and medium flows in winter and spring. Although Lake Glenmaggie regularly spills, high flows are less frequent than natural because much of the water is captured by the storage. A notable impact of irrigation and water-harvesting is reversed seasonality of flows between Lake Glenmaggie and Maffra </w:t>
      </w:r>
      <w:r>
        <w:rPr>
          <w:color w:val="231F20"/>
          <w:spacing w:val="-4"/>
        </w:rPr>
        <w:t xml:space="preserve">Weir. </w:t>
      </w:r>
      <w:r>
        <w:rPr>
          <w:color w:val="231F20"/>
        </w:rPr>
        <w:t xml:space="preserve">Summer flows through this reach are much higher than natural due to the delivery of irrigation </w:t>
      </w:r>
      <w:r>
        <w:rPr>
          <w:color w:val="231F20"/>
          <w:spacing w:val="-3"/>
        </w:rPr>
        <w:t xml:space="preserve">water. </w:t>
      </w:r>
      <w:r>
        <w:rPr>
          <w:color w:val="231F20"/>
        </w:rPr>
        <w:t xml:space="preserve">Winter flows in this reach are lower than natural because a high proportion of the inflows are captured and there are no irrigation demands over winter. Below Maffra </w:t>
      </w:r>
      <w:r>
        <w:rPr>
          <w:color w:val="231F20"/>
          <w:spacing w:val="-4"/>
        </w:rPr>
        <w:t xml:space="preserve">Weir, </w:t>
      </w:r>
      <w:r>
        <w:rPr>
          <w:color w:val="231F20"/>
        </w:rPr>
        <w:t>most flows are diverted for irrigation in summer/autumn. The changed hydrology restricts fish migration, limits the growth and recruitment of in-stream and streamside plants and reduces the quality of in-stream</w:t>
      </w:r>
      <w:r>
        <w:rPr>
          <w:color w:val="231F20"/>
          <w:spacing w:val="-22"/>
        </w:rPr>
        <w:t xml:space="preserve"> </w:t>
      </w:r>
      <w:r>
        <w:rPr>
          <w:color w:val="231F20"/>
        </w:rPr>
        <w:t>habitat.</w:t>
      </w:r>
    </w:p>
    <w:p w:rsidR="006A7A3F" w:rsidRDefault="00BC7372">
      <w:pPr>
        <w:pStyle w:val="BodyText"/>
        <w:spacing w:before="177" w:line="249" w:lineRule="auto"/>
        <w:ind w:right="208"/>
      </w:pPr>
      <w:r>
        <w:rPr>
          <w:color w:val="231F20"/>
        </w:rPr>
        <w:t>Water for the environment is stored in Lake Glenmaggie and released to the Macalister River. The river is divided into two reaches for the purposes of managing environmental flows: Lake Glenmaggie to Maffra Weir (reach 1) and Maffra Weir to the Thomson River (reach 2).</w:t>
      </w:r>
    </w:p>
    <w:p w:rsidR="006A7A3F" w:rsidRDefault="00BC7372">
      <w:pPr>
        <w:pStyle w:val="BodyText"/>
        <w:spacing w:line="249" w:lineRule="auto"/>
        <w:ind w:right="100"/>
      </w:pPr>
      <w:r>
        <w:rPr>
          <w:color w:val="231F20"/>
        </w:rPr>
        <w:t>Maffra Weir is a major barrier to fish movement along the river, so environmental watering for migratory fish objectives mainly focus on reach 2. All other objectives apply to both reaches 1 and 2.</w:t>
      </w:r>
    </w:p>
    <w:p w:rsidR="006A7A3F" w:rsidRDefault="00BC7372">
      <w:pPr>
        <w:spacing w:before="181"/>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297"/>
      </w:pPr>
      <w:r>
        <w:rPr>
          <w:color w:val="231F20"/>
        </w:rPr>
        <w:t>There are seven migratory native fish species that move between the Macalister River, the estuary and the sea to complete their life cycle. These species include the Australian grayling, short-finned eel, long-finned eel, tupong, Australian bass, short-headed lamprey and common galaxias. Yellow-eye mullet, which is an estuarine species, has been recorded in the river. Platypus and rakali (water rats) are widely distributed through the Macalister River and its tributaries.</w:t>
      </w:r>
    </w:p>
    <w:p w:rsidR="006A7A3F" w:rsidRDefault="00BC7372" w:rsidP="00BF686A">
      <w:pPr>
        <w:pStyle w:val="BodyText"/>
        <w:spacing w:before="174" w:line="249" w:lineRule="auto"/>
        <w:ind w:right="252"/>
      </w:pPr>
      <w:r>
        <w:rPr>
          <w:color w:val="231F20"/>
        </w:rPr>
        <w:t>The streamside vegetation corridor along the regulated reaches of the Macalister River is fragmented. Immediately below Lake Glenmaggie, the vegetation is in good condition and includes remnant river red gums and good-quality</w:t>
      </w:r>
      <w:r w:rsidR="00BF686A">
        <w:t xml:space="preserve"> </w:t>
      </w:r>
      <w:r>
        <w:rPr>
          <w:color w:val="231F20"/>
        </w:rPr>
        <w:t>stands of shrubs, particularly in areas where revegetation has occurred in combination with stock exclusion. Further downstream, the vegetation is degraded. In recent years, the cover of in-stream vegetation has declined, which may be due to a combination of increased water turbidity, erosion and a lack of an appropriate water regime to encourage plant growth. The cover of non-woody plants (such as reeds, sedges and rushes) along the fringes of the river is</w:t>
      </w:r>
      <w:r>
        <w:rPr>
          <w:color w:val="231F20"/>
          <w:spacing w:val="-1"/>
        </w:rPr>
        <w:t xml:space="preserve"> </w:t>
      </w:r>
      <w:r>
        <w:rPr>
          <w:color w:val="231F20"/>
          <w:spacing w:val="-3"/>
        </w:rPr>
        <w:t>patchy.</w:t>
      </w:r>
    </w:p>
    <w:p w:rsidR="00BF686A" w:rsidRDefault="00BF686A">
      <w:pPr>
        <w:rPr>
          <w:rFonts w:ascii="Helvetica Neue LT Std 75"/>
          <w:b/>
          <w:color w:val="231F20"/>
          <w:sz w:val="19"/>
        </w:rPr>
      </w:pPr>
      <w:r>
        <w:rPr>
          <w:rFonts w:ascii="Helvetica Neue LT Std 75"/>
          <w:b/>
          <w:color w:val="231F20"/>
          <w:sz w:val="19"/>
        </w:rPr>
        <w:br w:type="page"/>
      </w:r>
    </w:p>
    <w:p w:rsidR="006A7A3F" w:rsidRDefault="00BC7372">
      <w:pPr>
        <w:spacing w:before="184"/>
        <w:ind w:left="210"/>
        <w:rPr>
          <w:rFonts w:ascii="Helvetica Neue LT Std 75"/>
          <w:b/>
          <w:sz w:val="19"/>
        </w:rPr>
      </w:pPr>
      <w:r>
        <w:rPr>
          <w:rFonts w:ascii="Helvetica Neue LT Std 75"/>
          <w:b/>
          <w:color w:val="231F20"/>
          <w:sz w:val="19"/>
        </w:rPr>
        <w:t>Environmental watering objectives in the Macalister River</w:t>
      </w:r>
    </w:p>
    <w:p w:rsidR="006A7A3F" w:rsidRDefault="006A7A3F">
      <w:pPr>
        <w:pStyle w:val="BodyText"/>
        <w:spacing w:before="11"/>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267"/>
        </w:trPr>
        <w:tc>
          <w:tcPr>
            <w:tcW w:w="789" w:type="dxa"/>
            <w:tcBorders>
              <w:bottom w:val="single" w:sz="8" w:space="0" w:color="FFFFFF"/>
            </w:tcBorders>
            <w:shd w:val="clear" w:color="auto" w:fill="E6E7E8"/>
          </w:tcPr>
          <w:p w:rsidR="006A7A3F" w:rsidRDefault="006A7A3F">
            <w:pPr>
              <w:pStyle w:val="TableParagraph"/>
              <w:spacing w:before="6"/>
              <w:ind w:left="0"/>
              <w:rPr>
                <w:rFonts w:ascii="Helvetica Neue LT Std 75"/>
                <w:b/>
                <w:sz w:val="27"/>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4" cy="310896"/>
                  <wp:effectExtent l="0" t="0" r="0" b="0"/>
                  <wp:docPr id="23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9.jpeg"/>
                          <pic:cNvPicPr/>
                        </pic:nvPicPr>
                        <pic:blipFill>
                          <a:blip r:embed="rId31" cstate="print"/>
                          <a:stretch>
                            <a:fillRect/>
                          </a:stretch>
                        </pic:blipFill>
                        <pic:spPr>
                          <a:xfrm>
                            <a:off x="0" y="0"/>
                            <a:ext cx="314174"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19" w:line="211" w:lineRule="auto"/>
              <w:ind w:left="118" w:right="83"/>
              <w:rPr>
                <w:rFonts w:ascii="HelveticaNeueLTStd-Roman"/>
                <w:sz w:val="17"/>
              </w:rPr>
            </w:pPr>
            <w:r>
              <w:rPr>
                <w:rFonts w:ascii="HelveticaNeueLTStd-Roman"/>
                <w:color w:val="231F20"/>
                <w:sz w:val="17"/>
              </w:rPr>
              <w:t>Increase the distribution, recruitment and abundance of all native fish, and increase opportunities for the spawning and recruitment of native migratory fish (such as the Australian grayling)</w:t>
            </w:r>
          </w:p>
        </w:tc>
      </w:tr>
      <w:tr w:rsidR="006A7A3F">
        <w:trPr>
          <w:trHeight w:val="84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33"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09" w:line="211" w:lineRule="auto"/>
              <w:ind w:left="118" w:right="180"/>
              <w:jc w:val="both"/>
              <w:rPr>
                <w:rFonts w:ascii="HelveticaNeueLTStd-Roman"/>
                <w:sz w:val="17"/>
              </w:rPr>
            </w:pPr>
            <w:r>
              <w:rPr>
                <w:rFonts w:ascii="HelveticaNeueLTStd-Roman"/>
                <w:color w:val="231F20"/>
                <w:sz w:val="17"/>
              </w:rPr>
              <w:t>Improve and maintain the form of the</w:t>
            </w:r>
            <w:r>
              <w:rPr>
                <w:rFonts w:ascii="HelveticaNeueLTStd-Roman"/>
                <w:color w:val="231F20"/>
                <w:spacing w:val="-20"/>
                <w:sz w:val="17"/>
              </w:rPr>
              <w:t xml:space="preserve"> </w:t>
            </w:r>
            <w:r>
              <w:rPr>
                <w:rFonts w:ascii="HelveticaNeueLTStd-Roman"/>
                <w:color w:val="231F20"/>
                <w:sz w:val="17"/>
              </w:rPr>
              <w:t>riverbank and bed to provide physical habitat for aquatic animals and plants</w:t>
            </w:r>
          </w:p>
        </w:tc>
      </w:tr>
      <w:tr w:rsidR="006A7A3F">
        <w:trPr>
          <w:trHeight w:val="660"/>
        </w:trPr>
        <w:tc>
          <w:tcPr>
            <w:tcW w:w="789" w:type="dxa"/>
            <w:tcBorders>
              <w:top w:val="single" w:sz="8" w:space="0" w:color="FFFFFF"/>
              <w:bottom w:val="single" w:sz="8" w:space="0" w:color="FFFFFF"/>
            </w:tcBorders>
            <w:shd w:val="clear" w:color="auto" w:fill="E6E7E8"/>
          </w:tcPr>
          <w:p w:rsidR="006A7A3F" w:rsidRDefault="006A7A3F">
            <w:pPr>
              <w:pStyle w:val="TableParagraph"/>
              <w:spacing w:before="1"/>
              <w:ind w:left="0"/>
              <w:rPr>
                <w:rFonts w:ascii="Helvetica Neue LT Std 75"/>
                <w:b/>
                <w:sz w:val="6"/>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35"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09" w:line="211" w:lineRule="auto"/>
              <w:ind w:left="118"/>
              <w:rPr>
                <w:rFonts w:ascii="HelveticaNeueLTStd-Roman"/>
                <w:sz w:val="17"/>
              </w:rPr>
            </w:pPr>
            <w:r>
              <w:rPr>
                <w:rFonts w:ascii="HelveticaNeueLTStd-Roman"/>
                <w:color w:val="231F20"/>
                <w:sz w:val="17"/>
              </w:rPr>
              <w:t>Increase the abundance of platypus and rakali (water rats)</w:t>
            </w:r>
          </w:p>
        </w:tc>
      </w:tr>
      <w:tr w:rsidR="006A7A3F">
        <w:trPr>
          <w:trHeight w:val="137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1" w:after="1"/>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4" cy="310896"/>
                  <wp:effectExtent l="0" t="0" r="0" b="0"/>
                  <wp:docPr id="237"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1.jpeg"/>
                          <pic:cNvPicPr/>
                        </pic:nvPicPr>
                        <pic:blipFill>
                          <a:blip r:embed="rId33" cstate="print"/>
                          <a:stretch>
                            <a:fillRect/>
                          </a:stretch>
                        </pic:blipFill>
                        <pic:spPr>
                          <a:xfrm>
                            <a:off x="0" y="0"/>
                            <a:ext cx="314174"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09" w:line="211" w:lineRule="auto"/>
              <w:ind w:left="118"/>
              <w:rPr>
                <w:rFonts w:ascii="HelveticaNeueLTStd-Roman"/>
                <w:sz w:val="17"/>
              </w:rPr>
            </w:pPr>
            <w:r>
              <w:rPr>
                <w:rFonts w:ascii="HelveticaNeueLTStd-Roman"/>
                <w:color w:val="231F20"/>
                <w:sz w:val="17"/>
              </w:rPr>
              <w:t>Improve native emergent (non-woody) and fringing (woody) vegetation in the streamside zone</w:t>
            </w:r>
          </w:p>
          <w:p w:rsidR="006A7A3F" w:rsidRDefault="00BC7372">
            <w:pPr>
              <w:pStyle w:val="TableParagraph"/>
              <w:spacing w:before="112" w:line="211" w:lineRule="auto"/>
              <w:ind w:left="118"/>
              <w:rPr>
                <w:rFonts w:ascii="HelveticaNeueLTStd-Roman"/>
                <w:sz w:val="17"/>
              </w:rPr>
            </w:pPr>
            <w:r>
              <w:rPr>
                <w:rFonts w:ascii="HelveticaNeueLTStd-Roman"/>
                <w:color w:val="231F20"/>
                <w:sz w:val="17"/>
              </w:rPr>
              <w:t>Reinstate or instate submerged aquatic vegetation</w:t>
            </w:r>
          </w:p>
        </w:tc>
      </w:tr>
      <w:tr w:rsidR="006A7A3F">
        <w:trPr>
          <w:trHeight w:val="670"/>
        </w:trPr>
        <w:tc>
          <w:tcPr>
            <w:tcW w:w="789" w:type="dxa"/>
            <w:tcBorders>
              <w:top w:val="single" w:sz="8" w:space="0" w:color="FFFFFF"/>
            </w:tcBorders>
            <w:shd w:val="clear" w:color="auto" w:fill="E6E7E8"/>
          </w:tcPr>
          <w:p w:rsidR="006A7A3F" w:rsidRDefault="006A7A3F">
            <w:pPr>
              <w:pStyle w:val="TableParagraph"/>
              <w:spacing w:before="6"/>
              <w:ind w:left="0"/>
              <w:rPr>
                <w:rFonts w:ascii="Helvetica Neue LT Std 75"/>
                <w:b/>
                <w:sz w:val="6"/>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3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09" w:line="211" w:lineRule="auto"/>
              <w:ind w:left="118" w:right="208"/>
              <w:rPr>
                <w:rFonts w:ascii="HelveticaNeueLTStd-Roman"/>
                <w:sz w:val="17"/>
              </w:rPr>
            </w:pPr>
            <w:r>
              <w:rPr>
                <w:rFonts w:ascii="HelveticaNeueLTStd-Roman"/>
                <w:color w:val="231F20"/>
                <w:sz w:val="17"/>
              </w:rPr>
              <w:t>Increase the abundance and number of functional groups of waterbugs</w:t>
            </w:r>
          </w:p>
        </w:tc>
      </w:tr>
    </w:tbl>
    <w:p w:rsidR="006A7A3F" w:rsidRDefault="00BC7372">
      <w:pPr>
        <w:spacing w:before="15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7" w:line="249" w:lineRule="auto"/>
        <w:ind w:right="666"/>
      </w:pPr>
      <w:r>
        <w:rPr>
          <w:color w:val="231F20"/>
        </w:rPr>
        <w:t>The Gunaikurnai have had a continued connection to Gunaikurnai Country for thousands of years, including with the waterways in the Latrobe River system (which the Macalister River feeds into). For the Gunaikurnai as traditional custodians there are immense challenges to heal, protect and manage Country which has been drastically altered since colonisation. Gunaikurnai see all of Country as connected with no separation between landscapes, waterways, coasts and oceans and natural and cultural resources – the cultural landscape is interdependent.</w:t>
      </w:r>
    </w:p>
    <w:p w:rsidR="006A7A3F" w:rsidRDefault="00BC7372">
      <w:pPr>
        <w:pStyle w:val="BodyText"/>
        <w:spacing w:before="175" w:line="249" w:lineRule="auto"/>
        <w:ind w:right="866"/>
        <w:jc w:val="both"/>
      </w:pPr>
      <w:r>
        <w:rPr>
          <w:color w:val="231F20"/>
        </w:rPr>
        <w:t xml:space="preserve">Gunaikurnai Land and </w:t>
      </w:r>
      <w:r>
        <w:rPr>
          <w:color w:val="231F20"/>
          <w:spacing w:val="-2"/>
        </w:rPr>
        <w:t xml:space="preserve">Waters </w:t>
      </w:r>
      <w:r>
        <w:rPr>
          <w:color w:val="231F20"/>
        </w:rPr>
        <w:t>Aboriginal Corporation (GLaWAC) are working with the West Gippsland CMA to determine how to express Gunaikurnai objectives for water in a way that contributes to seasonal watering proposals from the perspective of traditional custodians, with traditional knowledge.</w:t>
      </w:r>
    </w:p>
    <w:p w:rsidR="006A7A3F" w:rsidRDefault="00BC7372">
      <w:pPr>
        <w:pStyle w:val="BodyText"/>
        <w:spacing w:before="173" w:line="249" w:lineRule="auto"/>
        <w:ind w:right="100"/>
      </w:pPr>
      <w:r>
        <w:rPr>
          <w:color w:val="231F20"/>
        </w:rPr>
        <w:t>GLaWAC expressed that more water needs to go down the Macalister River between Lake Glenmaggie and Lake Wellington, to improve water quality including the threat of salinity, and support plants and animals with cultural values and uses.</w:t>
      </w:r>
    </w:p>
    <w:p w:rsidR="006A7A3F" w:rsidRDefault="00BC7372">
      <w:pPr>
        <w:pStyle w:val="BodyText"/>
        <w:spacing w:line="249" w:lineRule="auto"/>
        <w:ind w:right="474"/>
      </w:pPr>
      <w:r>
        <w:rPr>
          <w:color w:val="231F20"/>
        </w:rPr>
        <w:t>Timing of watering events has also been raised by GLaWAC. This includes providing increased water depth to promote downstream fish migration and spawning, deeper water pools to prevent water quality degradation, and more variation to water levels to better mimic natural conditions.</w:t>
      </w:r>
    </w:p>
    <w:p w:rsidR="006A7A3F" w:rsidRDefault="00BC7372">
      <w:pPr>
        <w:pStyle w:val="BodyText"/>
        <w:spacing w:before="173" w:line="249" w:lineRule="auto"/>
        <w:ind w:right="207"/>
      </w:pPr>
      <w:r>
        <w:rPr>
          <w:color w:val="231F20"/>
        </w:rPr>
        <w:t>Traditionally the landscape – which includes the Macalister River, anabranches, and associated floodplains – has been a rich source of food, medicine and resources for the Gunaikurnai people. In the area, there are many sites of cultural significance near the river and around Lake Glenmaggie. The Gunaikurnai people have moved through the landscape along the waterways for thousands of years, sourcing food and plants along the way.</w:t>
      </w:r>
    </w:p>
    <w:p w:rsidR="006A7A3F" w:rsidRDefault="00BC7372">
      <w:pPr>
        <w:pStyle w:val="BodyText"/>
        <w:spacing w:before="173" w:line="249" w:lineRule="auto"/>
        <w:ind w:right="100"/>
      </w:pPr>
      <w:r>
        <w:rPr>
          <w:color w:val="231F20"/>
        </w:rPr>
        <w:t>From the perspective of the Gunaikurnai people, the land and waterways flowing to the Gippsland Lakes are interconnected and cannot be considered separately where decisions made can impact downstream. The lower Latrobe wetlands and the rivers that feed them, including the Macalister, have important cultural significance to the Gunaikurnai people.</w:t>
      </w:r>
    </w:p>
    <w:p w:rsidR="00533036" w:rsidRDefault="00533036">
      <w:pPr>
        <w:rPr>
          <w:color w:val="231F20"/>
          <w:sz w:val="20"/>
          <w:szCs w:val="20"/>
        </w:rPr>
      </w:pPr>
      <w:r>
        <w:rPr>
          <w:color w:val="231F20"/>
        </w:rPr>
        <w:br w:type="page"/>
      </w:r>
    </w:p>
    <w:p w:rsidR="006A7A3F" w:rsidRDefault="00BC7372">
      <w:pPr>
        <w:pStyle w:val="BodyText"/>
        <w:spacing w:before="174"/>
        <w:jc w:val="both"/>
      </w:pPr>
      <w:r>
        <w:rPr>
          <w:color w:val="231F20"/>
        </w:rPr>
        <w:t>Watering requirements to support cultural values and uses include:</w:t>
      </w:r>
    </w:p>
    <w:p w:rsidR="006A7A3F" w:rsidRDefault="00BC7372" w:rsidP="009B6917">
      <w:pPr>
        <w:pStyle w:val="ListParagraph"/>
        <w:numPr>
          <w:ilvl w:val="0"/>
          <w:numId w:val="1419"/>
        </w:numPr>
        <w:tabs>
          <w:tab w:val="left" w:pos="493"/>
          <w:tab w:val="left" w:pos="494"/>
        </w:tabs>
        <w:spacing w:before="123" w:line="249" w:lineRule="auto"/>
        <w:ind w:right="456"/>
        <w:rPr>
          <w:sz w:val="20"/>
        </w:rPr>
      </w:pPr>
      <w:r>
        <w:rPr>
          <w:color w:val="231F20"/>
          <w:sz w:val="20"/>
        </w:rPr>
        <w:t>timing</w:t>
      </w:r>
      <w:r>
        <w:rPr>
          <w:color w:val="231F20"/>
          <w:spacing w:val="-4"/>
          <w:sz w:val="20"/>
        </w:rPr>
        <w:t xml:space="preserve"> </w:t>
      </w:r>
      <w:r>
        <w:rPr>
          <w:color w:val="231F20"/>
          <w:sz w:val="20"/>
        </w:rPr>
        <w:t>of</w:t>
      </w:r>
      <w:r>
        <w:rPr>
          <w:color w:val="231F20"/>
          <w:spacing w:val="-4"/>
          <w:sz w:val="20"/>
        </w:rPr>
        <w:t xml:space="preserve"> </w:t>
      </w:r>
      <w:r>
        <w:rPr>
          <w:color w:val="231F20"/>
          <w:sz w:val="20"/>
        </w:rPr>
        <w:t>environmental</w:t>
      </w:r>
      <w:r>
        <w:rPr>
          <w:color w:val="231F20"/>
          <w:spacing w:val="-4"/>
          <w:sz w:val="20"/>
        </w:rPr>
        <w:t xml:space="preserve"> </w:t>
      </w:r>
      <w:r>
        <w:rPr>
          <w:color w:val="231F20"/>
          <w:sz w:val="20"/>
        </w:rPr>
        <w:t>watering</w:t>
      </w:r>
      <w:r>
        <w:rPr>
          <w:color w:val="231F20"/>
          <w:spacing w:val="-4"/>
          <w:sz w:val="20"/>
        </w:rPr>
        <w:t xml:space="preserve"> </w:t>
      </w:r>
      <w:r>
        <w:rPr>
          <w:color w:val="231F20"/>
          <w:sz w:val="20"/>
        </w:rPr>
        <w:t>planned</w:t>
      </w:r>
      <w:r>
        <w:rPr>
          <w:color w:val="231F20"/>
          <w:spacing w:val="-4"/>
          <w:sz w:val="20"/>
        </w:rPr>
        <w:t xml:space="preserve"> </w:t>
      </w:r>
      <w:r>
        <w:rPr>
          <w:color w:val="231F20"/>
          <w:sz w:val="20"/>
        </w:rPr>
        <w:t>in</w:t>
      </w:r>
      <w:r>
        <w:rPr>
          <w:color w:val="231F20"/>
          <w:spacing w:val="-4"/>
          <w:sz w:val="20"/>
        </w:rPr>
        <w:t xml:space="preserve"> </w:t>
      </w:r>
      <w:r>
        <w:rPr>
          <w:color w:val="231F20"/>
          <w:sz w:val="20"/>
        </w:rPr>
        <w:t>partnership</w:t>
      </w:r>
      <w:r>
        <w:rPr>
          <w:color w:val="231F20"/>
          <w:spacing w:val="-4"/>
          <w:sz w:val="20"/>
        </w:rPr>
        <w:t xml:space="preserve"> </w:t>
      </w:r>
      <w:r>
        <w:rPr>
          <w:color w:val="231F20"/>
          <w:sz w:val="20"/>
        </w:rPr>
        <w:t>with</w:t>
      </w:r>
      <w:r>
        <w:rPr>
          <w:color w:val="231F20"/>
          <w:spacing w:val="-4"/>
          <w:sz w:val="20"/>
        </w:rPr>
        <w:t xml:space="preserve"> </w:t>
      </w:r>
      <w:r>
        <w:rPr>
          <w:color w:val="231F20"/>
          <w:sz w:val="20"/>
        </w:rPr>
        <w:t>GLaWAC</w:t>
      </w:r>
      <w:r>
        <w:rPr>
          <w:color w:val="231F20"/>
          <w:spacing w:val="-3"/>
          <w:sz w:val="20"/>
        </w:rPr>
        <w:t xml:space="preserve"> </w:t>
      </w:r>
      <w:r>
        <w:rPr>
          <w:color w:val="231F20"/>
          <w:sz w:val="20"/>
        </w:rPr>
        <w:t>to</w:t>
      </w:r>
      <w:r>
        <w:rPr>
          <w:color w:val="231F20"/>
          <w:spacing w:val="-3"/>
          <w:sz w:val="20"/>
        </w:rPr>
        <w:t xml:space="preserve"> </w:t>
      </w:r>
      <w:r>
        <w:rPr>
          <w:color w:val="231F20"/>
          <w:sz w:val="20"/>
        </w:rPr>
        <w:t>support</w:t>
      </w:r>
      <w:r>
        <w:rPr>
          <w:color w:val="231F20"/>
          <w:spacing w:val="-3"/>
          <w:sz w:val="20"/>
        </w:rPr>
        <w:t xml:space="preserve"> </w:t>
      </w:r>
      <w:r>
        <w:rPr>
          <w:color w:val="231F20"/>
          <w:sz w:val="20"/>
        </w:rPr>
        <w:t>a</w:t>
      </w:r>
      <w:r>
        <w:rPr>
          <w:color w:val="231F20"/>
          <w:spacing w:val="-4"/>
          <w:sz w:val="20"/>
        </w:rPr>
        <w:t xml:space="preserve"> </w:t>
      </w:r>
      <w:r>
        <w:rPr>
          <w:color w:val="231F20"/>
          <w:sz w:val="20"/>
        </w:rPr>
        <w:t>seasonal</w:t>
      </w:r>
      <w:r>
        <w:rPr>
          <w:color w:val="231F20"/>
          <w:spacing w:val="-3"/>
          <w:sz w:val="20"/>
        </w:rPr>
        <w:t xml:space="preserve"> </w:t>
      </w:r>
      <w:r>
        <w:rPr>
          <w:color w:val="231F20"/>
          <w:sz w:val="20"/>
        </w:rPr>
        <w:t>flow</w:t>
      </w:r>
      <w:r>
        <w:rPr>
          <w:color w:val="231F20"/>
          <w:spacing w:val="-3"/>
          <w:sz w:val="20"/>
        </w:rPr>
        <w:t xml:space="preserve"> </w:t>
      </w:r>
      <w:r>
        <w:rPr>
          <w:color w:val="231F20"/>
          <w:sz w:val="20"/>
        </w:rPr>
        <w:t>regime</w:t>
      </w:r>
      <w:r>
        <w:rPr>
          <w:color w:val="231F20"/>
          <w:spacing w:val="-3"/>
          <w:sz w:val="20"/>
        </w:rPr>
        <w:t xml:space="preserve"> </w:t>
      </w:r>
      <w:r>
        <w:rPr>
          <w:color w:val="231F20"/>
          <w:sz w:val="20"/>
        </w:rPr>
        <w:t>and wet and dry periods that embody Healthy</w:t>
      </w:r>
      <w:r>
        <w:rPr>
          <w:color w:val="231F20"/>
          <w:spacing w:val="-9"/>
          <w:sz w:val="20"/>
        </w:rPr>
        <w:t xml:space="preserve"> </w:t>
      </w:r>
      <w:r>
        <w:rPr>
          <w:color w:val="231F20"/>
          <w:sz w:val="20"/>
        </w:rPr>
        <w:t>Country</w:t>
      </w:r>
    </w:p>
    <w:p w:rsidR="006A7A3F" w:rsidRDefault="00BC7372" w:rsidP="009B6917">
      <w:pPr>
        <w:pStyle w:val="ListParagraph"/>
        <w:numPr>
          <w:ilvl w:val="0"/>
          <w:numId w:val="1419"/>
        </w:numPr>
        <w:tabs>
          <w:tab w:val="left" w:pos="493"/>
          <w:tab w:val="left" w:pos="494"/>
        </w:tabs>
        <w:spacing w:before="87" w:line="249" w:lineRule="auto"/>
        <w:ind w:right="742"/>
        <w:rPr>
          <w:sz w:val="20"/>
        </w:rPr>
      </w:pPr>
      <w:r>
        <w:rPr>
          <w:color w:val="231F20"/>
          <w:sz w:val="20"/>
        </w:rPr>
        <w:t xml:space="preserve">maintaining freshwater supply to Latrobe </w:t>
      </w:r>
      <w:r>
        <w:rPr>
          <w:color w:val="231F20"/>
          <w:spacing w:val="-3"/>
          <w:sz w:val="20"/>
        </w:rPr>
        <w:t xml:space="preserve">estuary, </w:t>
      </w:r>
      <w:r>
        <w:rPr>
          <w:color w:val="231F20"/>
          <w:sz w:val="20"/>
        </w:rPr>
        <w:t>Dowd Morass, Sale Common and Heart Morass, and associated</w:t>
      </w:r>
      <w:r>
        <w:rPr>
          <w:color w:val="231F20"/>
          <w:spacing w:val="-5"/>
          <w:sz w:val="20"/>
        </w:rPr>
        <w:t xml:space="preserve"> </w:t>
      </w:r>
      <w:r>
        <w:rPr>
          <w:color w:val="231F20"/>
          <w:sz w:val="20"/>
        </w:rPr>
        <w:t>freshwater</w:t>
      </w:r>
      <w:r>
        <w:rPr>
          <w:color w:val="231F20"/>
          <w:spacing w:val="-3"/>
          <w:sz w:val="20"/>
        </w:rPr>
        <w:t xml:space="preserve"> </w:t>
      </w:r>
      <w:r>
        <w:rPr>
          <w:color w:val="231F20"/>
          <w:sz w:val="20"/>
        </w:rPr>
        <w:t>habitats.</w:t>
      </w:r>
      <w:r>
        <w:rPr>
          <w:color w:val="231F20"/>
          <w:spacing w:val="-7"/>
          <w:sz w:val="20"/>
        </w:rPr>
        <w:t xml:space="preserve"> </w:t>
      </w:r>
      <w:r>
        <w:rPr>
          <w:color w:val="231F20"/>
          <w:sz w:val="20"/>
        </w:rPr>
        <w:t>The</w:t>
      </w:r>
      <w:r>
        <w:rPr>
          <w:color w:val="231F20"/>
          <w:spacing w:val="-3"/>
          <w:sz w:val="20"/>
        </w:rPr>
        <w:t xml:space="preserve"> </w:t>
      </w:r>
      <w:r>
        <w:rPr>
          <w:color w:val="231F20"/>
          <w:sz w:val="20"/>
        </w:rPr>
        <w:t>lower</w:t>
      </w:r>
      <w:r>
        <w:rPr>
          <w:color w:val="231F20"/>
          <w:spacing w:val="-4"/>
          <w:sz w:val="20"/>
        </w:rPr>
        <w:t xml:space="preserve"> </w:t>
      </w:r>
      <w:r>
        <w:rPr>
          <w:color w:val="231F20"/>
          <w:sz w:val="20"/>
        </w:rPr>
        <w:t>Latrobe</w:t>
      </w:r>
      <w:r>
        <w:rPr>
          <w:color w:val="231F20"/>
          <w:spacing w:val="-5"/>
          <w:sz w:val="20"/>
        </w:rPr>
        <w:t xml:space="preserve"> </w:t>
      </w:r>
      <w:r>
        <w:rPr>
          <w:color w:val="231F20"/>
          <w:sz w:val="20"/>
        </w:rPr>
        <w:t>wetlands</w:t>
      </w:r>
      <w:r>
        <w:rPr>
          <w:color w:val="231F20"/>
          <w:spacing w:val="-4"/>
          <w:sz w:val="20"/>
        </w:rPr>
        <w:t xml:space="preserve"> </w:t>
      </w:r>
      <w:r>
        <w:rPr>
          <w:color w:val="231F20"/>
          <w:sz w:val="20"/>
        </w:rPr>
        <w:t>are</w:t>
      </w:r>
      <w:r>
        <w:rPr>
          <w:color w:val="231F20"/>
          <w:spacing w:val="-4"/>
          <w:sz w:val="20"/>
        </w:rPr>
        <w:t xml:space="preserve"> </w:t>
      </w:r>
      <w:r>
        <w:rPr>
          <w:color w:val="231F20"/>
          <w:sz w:val="20"/>
        </w:rPr>
        <w:t>an</w:t>
      </w:r>
      <w:r>
        <w:rPr>
          <w:color w:val="231F20"/>
          <w:spacing w:val="-4"/>
          <w:sz w:val="20"/>
        </w:rPr>
        <w:t xml:space="preserve"> </w:t>
      </w:r>
      <w:r>
        <w:rPr>
          <w:color w:val="231F20"/>
          <w:sz w:val="20"/>
        </w:rPr>
        <w:t>important</w:t>
      </w:r>
      <w:r>
        <w:rPr>
          <w:color w:val="231F20"/>
          <w:spacing w:val="-4"/>
          <w:sz w:val="20"/>
        </w:rPr>
        <w:t xml:space="preserve"> </w:t>
      </w:r>
      <w:r>
        <w:rPr>
          <w:color w:val="231F20"/>
          <w:sz w:val="20"/>
        </w:rPr>
        <w:t>resource</w:t>
      </w:r>
      <w:r>
        <w:rPr>
          <w:color w:val="231F20"/>
          <w:spacing w:val="-4"/>
          <w:sz w:val="20"/>
        </w:rPr>
        <w:t xml:space="preserve"> </w:t>
      </w:r>
      <w:r>
        <w:rPr>
          <w:color w:val="231F20"/>
          <w:sz w:val="20"/>
        </w:rPr>
        <w:t>for</w:t>
      </w:r>
      <w:r>
        <w:rPr>
          <w:color w:val="231F20"/>
          <w:spacing w:val="-3"/>
          <w:sz w:val="20"/>
        </w:rPr>
        <w:t xml:space="preserve"> </w:t>
      </w:r>
      <w:r>
        <w:rPr>
          <w:color w:val="231F20"/>
          <w:sz w:val="20"/>
        </w:rPr>
        <w:t>the</w:t>
      </w:r>
      <w:r>
        <w:rPr>
          <w:color w:val="231F20"/>
          <w:spacing w:val="-3"/>
          <w:sz w:val="20"/>
        </w:rPr>
        <w:t xml:space="preserve"> </w:t>
      </w:r>
      <w:r>
        <w:rPr>
          <w:color w:val="231F20"/>
          <w:sz w:val="20"/>
        </w:rPr>
        <w:t>Gunaikurnai</w:t>
      </w:r>
    </w:p>
    <w:p w:rsidR="006A7A3F" w:rsidRDefault="00BC7372" w:rsidP="009B6917">
      <w:pPr>
        <w:pStyle w:val="ListParagraph"/>
        <w:numPr>
          <w:ilvl w:val="0"/>
          <w:numId w:val="1419"/>
        </w:numPr>
        <w:tabs>
          <w:tab w:val="left" w:pos="493"/>
          <w:tab w:val="left" w:pos="494"/>
        </w:tabs>
        <w:spacing w:before="70" w:line="249" w:lineRule="auto"/>
        <w:ind w:right="695"/>
        <w:rPr>
          <w:sz w:val="20"/>
        </w:rPr>
      </w:pPr>
      <w:r>
        <w:rPr>
          <w:color w:val="231F20"/>
          <w:sz w:val="20"/>
        </w:rPr>
        <w:t>providing connectivity between reaches and onto floodplains to support dependent plants and animals with cultural values and uses of significance to the</w:t>
      </w:r>
      <w:r>
        <w:rPr>
          <w:color w:val="231F20"/>
          <w:spacing w:val="-4"/>
          <w:sz w:val="20"/>
        </w:rPr>
        <w:t xml:space="preserve"> </w:t>
      </w:r>
      <w:r>
        <w:rPr>
          <w:color w:val="231F20"/>
          <w:sz w:val="20"/>
        </w:rPr>
        <w:t>Gunaikurnai</w:t>
      </w:r>
    </w:p>
    <w:p w:rsidR="006A7A3F" w:rsidRDefault="00BC7372" w:rsidP="009B6917">
      <w:pPr>
        <w:pStyle w:val="ListParagraph"/>
        <w:numPr>
          <w:ilvl w:val="0"/>
          <w:numId w:val="1419"/>
        </w:numPr>
        <w:tabs>
          <w:tab w:val="left" w:pos="493"/>
          <w:tab w:val="left" w:pos="494"/>
        </w:tabs>
        <w:spacing w:before="87" w:line="249" w:lineRule="auto"/>
        <w:ind w:right="662"/>
        <w:rPr>
          <w:sz w:val="20"/>
        </w:rPr>
      </w:pPr>
      <w:r>
        <w:rPr>
          <w:color w:val="231F20"/>
          <w:sz w:val="20"/>
        </w:rPr>
        <w:t>maintaining water quality to support the health of native plants and animals with cultural values and uses of significance to the Gunaikurnai.</w:t>
      </w:r>
    </w:p>
    <w:p w:rsidR="006A7A3F" w:rsidRDefault="00BC7372">
      <w:pPr>
        <w:spacing w:before="181"/>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7" w:line="249" w:lineRule="auto"/>
        <w:ind w:right="100"/>
      </w:pPr>
      <w:r>
        <w:rPr>
          <w:color w:val="231F20"/>
        </w:rPr>
        <w:t>In planning the potential watering actions in Table 2.4.1, West Gippsland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kayaking, fishing and</w:t>
      </w:r>
      <w:r>
        <w:rPr>
          <w:color w:val="231F20"/>
          <w:spacing w:val="-5"/>
          <w:sz w:val="20"/>
        </w:rPr>
        <w:t xml:space="preserve"> </w:t>
      </w:r>
      <w:r>
        <w:rPr>
          <w:color w:val="231F20"/>
          <w:sz w:val="20"/>
        </w:rPr>
        <w:t>swimming)</w:t>
      </w:r>
    </w:p>
    <w:p w:rsidR="006A7A3F" w:rsidRDefault="00BC7372" w:rsidP="009B6917">
      <w:pPr>
        <w:pStyle w:val="ListParagraph"/>
        <w:numPr>
          <w:ilvl w:val="0"/>
          <w:numId w:val="1419"/>
        </w:numPr>
        <w:tabs>
          <w:tab w:val="left" w:pos="493"/>
          <w:tab w:val="left" w:pos="494"/>
        </w:tabs>
        <w:spacing w:before="96"/>
        <w:ind w:hanging="281"/>
        <w:rPr>
          <w:sz w:val="20"/>
        </w:rPr>
      </w:pPr>
      <w:r>
        <w:rPr>
          <w:color w:val="231F20"/>
          <w:sz w:val="20"/>
        </w:rPr>
        <w:t>socio-economic benefits (such as preventing erosion and potential land loss for local</w:t>
      </w:r>
      <w:r>
        <w:rPr>
          <w:color w:val="231F20"/>
          <w:spacing w:val="-26"/>
          <w:sz w:val="20"/>
        </w:rPr>
        <w:t xml:space="preserve"> </w:t>
      </w:r>
      <w:r>
        <w:rPr>
          <w:color w:val="231F20"/>
          <w:sz w:val="20"/>
        </w:rPr>
        <w:t>landholders).</w:t>
      </w:r>
    </w:p>
    <w:p w:rsidR="006A7A3F" w:rsidRDefault="00BC7372">
      <w:pPr>
        <w:spacing w:before="189"/>
        <w:ind w:left="210"/>
        <w:rPr>
          <w:rFonts w:ascii="Helvetica Neue LT Std 75"/>
          <w:b/>
          <w:sz w:val="19"/>
        </w:rPr>
      </w:pPr>
      <w:r>
        <w:rPr>
          <w:rFonts w:ascii="Helvetica Neue LT Std 75"/>
          <w:b/>
          <w:color w:val="231F20"/>
          <w:sz w:val="19"/>
        </w:rPr>
        <w:t>Recent conditions</w:t>
      </w:r>
    </w:p>
    <w:p w:rsidR="006A7A3F" w:rsidRDefault="00BC7372" w:rsidP="00E459ED">
      <w:pPr>
        <w:pStyle w:val="BodyText"/>
        <w:spacing w:before="67" w:line="249" w:lineRule="auto"/>
        <w:ind w:right="247"/>
      </w:pPr>
      <w:r>
        <w:rPr>
          <w:color w:val="231F20"/>
        </w:rPr>
        <w:t>The Macalister River catchment has observed ongoing very dry climatic conditions over the last three years. Rainfall has been below average and temperatures warmer than average. In June 2019, the storage level at Lake Glenmaggie was exceptionally low: just 6.1 percent of the full reservoir capacity. Opening allocations of 45 percent towards high-reliability water shares were declared by the storage manager, and this increased to 80 percent by mid-August after inflows improved the water storage level. Despite the dry start, continued inflows over spring</w:t>
      </w:r>
      <w:r w:rsidR="00E459ED">
        <w:rPr>
          <w:color w:val="231F20"/>
        </w:rPr>
        <w:t xml:space="preserve"> </w:t>
      </w:r>
      <w:r>
        <w:rPr>
          <w:color w:val="231F20"/>
        </w:rPr>
        <w:t>led to full allocations for high-reliability water shares by the end of September 2019, boosting water available for environmental watering. Low-reliability water shares also increased throughout the year in response to inflows, reaching full allocation in April 2020.</w:t>
      </w:r>
    </w:p>
    <w:p w:rsidR="006A7A3F" w:rsidRDefault="00BC7372">
      <w:pPr>
        <w:pStyle w:val="BodyText"/>
        <w:spacing w:before="173" w:line="249" w:lineRule="auto"/>
        <w:ind w:right="330"/>
      </w:pPr>
      <w:r>
        <w:rPr>
          <w:color w:val="231F20"/>
        </w:rPr>
        <w:t>As of 1 June 2020, Lake Glenmaggie had not spilled in 2019–20. This is an unusual occurrence: historically, Lake Glenmaggie spills most years, as it is a relatively small reservoir in a productive water catchment. 2019–20 was the second consecutive year without a spill, demonstrating how dry the system has been in recent times. Without a spill, the natural high and bankfull flows that usually occur in the Macalister River in winter/spring were absent, but above Maffra Weir the river flowed steadily for most of the year, because water for irrigation and urban supply is delivered between Lake Glenmaggie and the offtake at Maffra Weir. Below Maffra Weir, some moderate natural flows occurred in spring and late summer after heavy rainfall.</w:t>
      </w:r>
    </w:p>
    <w:p w:rsidR="006A7A3F" w:rsidRDefault="00BC7372" w:rsidP="00E459ED">
      <w:pPr>
        <w:pStyle w:val="BodyText"/>
        <w:spacing w:before="176" w:line="249" w:lineRule="auto"/>
        <w:ind w:right="552"/>
      </w:pPr>
      <w:r>
        <w:rPr>
          <w:color w:val="231F20"/>
        </w:rPr>
        <w:t>Environmental flows were delivered year-round to provide several objectives in the Macalister system. Flows were delivered over winter to maintain habitat for aquatic animals and to support the establishment of in- stream</w:t>
      </w:r>
      <w:r>
        <w:rPr>
          <w:color w:val="231F20"/>
          <w:spacing w:val="-2"/>
        </w:rPr>
        <w:t xml:space="preserve"> </w:t>
      </w:r>
      <w:r>
        <w:rPr>
          <w:color w:val="231F20"/>
        </w:rPr>
        <w:t>vegetation.</w:t>
      </w:r>
      <w:r>
        <w:rPr>
          <w:color w:val="231F20"/>
          <w:spacing w:val="-6"/>
        </w:rPr>
        <w:t xml:space="preserve"> </w:t>
      </w:r>
      <w:r>
        <w:rPr>
          <w:color w:val="231F20"/>
        </w:rPr>
        <w:t>This</w:t>
      </w:r>
      <w:r>
        <w:rPr>
          <w:color w:val="231F20"/>
          <w:spacing w:val="-2"/>
        </w:rPr>
        <w:t xml:space="preserve"> </w:t>
      </w:r>
      <w:r>
        <w:rPr>
          <w:color w:val="231F20"/>
        </w:rPr>
        <w:t>included</w:t>
      </w:r>
      <w:r>
        <w:rPr>
          <w:color w:val="231F20"/>
          <w:spacing w:val="-3"/>
        </w:rPr>
        <w:t xml:space="preserve"> </w:t>
      </w:r>
      <w:r>
        <w:rPr>
          <w:color w:val="231F20"/>
        </w:rPr>
        <w:t>a</w:t>
      </w:r>
      <w:r>
        <w:rPr>
          <w:color w:val="231F20"/>
          <w:spacing w:val="-3"/>
        </w:rPr>
        <w:t xml:space="preserve"> </w:t>
      </w:r>
      <w:r>
        <w:rPr>
          <w:color w:val="231F20"/>
        </w:rPr>
        <w:t>winter</w:t>
      </w:r>
      <w:r>
        <w:rPr>
          <w:color w:val="231F20"/>
          <w:spacing w:val="-2"/>
        </w:rPr>
        <w:t xml:space="preserve"> </w:t>
      </w:r>
      <w:r>
        <w:rPr>
          <w:color w:val="231F20"/>
        </w:rPr>
        <w:t>fresh</w:t>
      </w:r>
      <w:r>
        <w:rPr>
          <w:color w:val="231F20"/>
          <w:spacing w:val="-2"/>
        </w:rPr>
        <w:t xml:space="preserve"> </w:t>
      </w:r>
      <w:r>
        <w:rPr>
          <w:color w:val="231F20"/>
        </w:rPr>
        <w:t>in</w:t>
      </w:r>
      <w:r>
        <w:rPr>
          <w:color w:val="231F20"/>
          <w:spacing w:val="-13"/>
        </w:rPr>
        <w:t xml:space="preserve"> </w:t>
      </w:r>
      <w:r>
        <w:rPr>
          <w:color w:val="231F20"/>
        </w:rPr>
        <w:t>August</w:t>
      </w:r>
      <w:r>
        <w:rPr>
          <w:color w:val="231F20"/>
          <w:spacing w:val="-2"/>
        </w:rPr>
        <w:t xml:space="preserve"> </w:t>
      </w:r>
      <w:r>
        <w:rPr>
          <w:color w:val="231F20"/>
        </w:rPr>
        <w:t>2019,</w:t>
      </w:r>
      <w:r>
        <w:rPr>
          <w:color w:val="231F20"/>
          <w:spacing w:val="-2"/>
        </w:rPr>
        <w:t xml:space="preserve"> </w:t>
      </w:r>
      <w:r>
        <w:rPr>
          <w:color w:val="231F20"/>
        </w:rPr>
        <w:t>and</w:t>
      </w:r>
      <w:r>
        <w:rPr>
          <w:color w:val="231F20"/>
          <w:spacing w:val="-3"/>
        </w:rPr>
        <w:t xml:space="preserve"> </w:t>
      </w:r>
      <w:r>
        <w:rPr>
          <w:color w:val="231F20"/>
        </w:rPr>
        <w:t>again</w:t>
      </w:r>
      <w:r>
        <w:rPr>
          <w:color w:val="231F20"/>
          <w:spacing w:val="-3"/>
        </w:rPr>
        <w:t xml:space="preserve"> </w:t>
      </w:r>
      <w:r>
        <w:rPr>
          <w:color w:val="231F20"/>
        </w:rPr>
        <w:t>in</w:t>
      </w:r>
      <w:r>
        <w:rPr>
          <w:color w:val="231F20"/>
          <w:spacing w:val="-3"/>
        </w:rPr>
        <w:t xml:space="preserve"> </w:t>
      </w:r>
      <w:r>
        <w:rPr>
          <w:color w:val="231F20"/>
        </w:rPr>
        <w:t>June</w:t>
      </w:r>
      <w:r>
        <w:rPr>
          <w:color w:val="231F20"/>
          <w:spacing w:val="-2"/>
        </w:rPr>
        <w:t xml:space="preserve"> </w:t>
      </w:r>
      <w:r>
        <w:rPr>
          <w:color w:val="231F20"/>
        </w:rPr>
        <w:t>2020,</w:t>
      </w:r>
      <w:r>
        <w:rPr>
          <w:color w:val="231F20"/>
          <w:spacing w:val="-2"/>
        </w:rPr>
        <w:t xml:space="preserve"> </w:t>
      </w:r>
      <w:r>
        <w:rPr>
          <w:color w:val="231F20"/>
        </w:rPr>
        <w:t>which</w:t>
      </w:r>
      <w:r>
        <w:rPr>
          <w:color w:val="231F20"/>
          <w:spacing w:val="-3"/>
        </w:rPr>
        <w:t xml:space="preserve"> </w:t>
      </w:r>
      <w:r>
        <w:rPr>
          <w:color w:val="231F20"/>
        </w:rPr>
        <w:t>aimed</w:t>
      </w:r>
      <w:r>
        <w:rPr>
          <w:color w:val="231F20"/>
          <w:spacing w:val="-3"/>
        </w:rPr>
        <w:t xml:space="preserve"> </w:t>
      </w:r>
      <w:r>
        <w:rPr>
          <w:color w:val="231F20"/>
        </w:rPr>
        <w:t>to</w:t>
      </w:r>
      <w:r>
        <w:rPr>
          <w:color w:val="231F20"/>
          <w:spacing w:val="-2"/>
        </w:rPr>
        <w:t xml:space="preserve"> </w:t>
      </w:r>
      <w:r>
        <w:rPr>
          <w:color w:val="231F20"/>
        </w:rPr>
        <w:t>cue</w:t>
      </w:r>
      <w:r>
        <w:rPr>
          <w:color w:val="231F20"/>
          <w:spacing w:val="-2"/>
        </w:rPr>
        <w:t xml:space="preserve"> </w:t>
      </w:r>
      <w:r>
        <w:rPr>
          <w:color w:val="231F20"/>
        </w:rPr>
        <w:t>the downstream</w:t>
      </w:r>
      <w:r>
        <w:rPr>
          <w:color w:val="231F20"/>
          <w:spacing w:val="-4"/>
        </w:rPr>
        <w:t xml:space="preserve"> </w:t>
      </w:r>
      <w:r>
        <w:rPr>
          <w:color w:val="231F20"/>
        </w:rPr>
        <w:t>migration</w:t>
      </w:r>
      <w:r>
        <w:rPr>
          <w:color w:val="231F20"/>
          <w:spacing w:val="-2"/>
        </w:rPr>
        <w:t xml:space="preserve"> </w:t>
      </w:r>
      <w:r>
        <w:rPr>
          <w:color w:val="231F20"/>
        </w:rPr>
        <w:t>of</w:t>
      </w:r>
      <w:r>
        <w:rPr>
          <w:color w:val="231F20"/>
          <w:spacing w:val="-3"/>
        </w:rPr>
        <w:t xml:space="preserve"> </w:t>
      </w:r>
      <w:r>
        <w:rPr>
          <w:color w:val="231F20"/>
        </w:rPr>
        <w:t>tupong</w:t>
      </w:r>
      <w:r>
        <w:rPr>
          <w:color w:val="231F20"/>
          <w:spacing w:val="-3"/>
        </w:rPr>
        <w:t xml:space="preserve"> </w:t>
      </w:r>
      <w:r>
        <w:rPr>
          <w:color w:val="231F20"/>
        </w:rPr>
        <w:t>and</w:t>
      </w:r>
      <w:r>
        <w:rPr>
          <w:color w:val="231F20"/>
          <w:spacing w:val="-12"/>
        </w:rPr>
        <w:t xml:space="preserve"> </w:t>
      </w:r>
      <w:r>
        <w:rPr>
          <w:color w:val="231F20"/>
        </w:rPr>
        <w:t>Australian</w:t>
      </w:r>
      <w:r>
        <w:rPr>
          <w:color w:val="231F20"/>
          <w:spacing w:val="-3"/>
        </w:rPr>
        <w:t xml:space="preserve"> </w:t>
      </w:r>
      <w:r>
        <w:rPr>
          <w:color w:val="231F20"/>
        </w:rPr>
        <w:t>bass</w:t>
      </w:r>
      <w:r>
        <w:rPr>
          <w:color w:val="231F20"/>
          <w:spacing w:val="-3"/>
        </w:rPr>
        <w:t xml:space="preserve"> </w:t>
      </w:r>
      <w:r>
        <w:rPr>
          <w:color w:val="231F20"/>
        </w:rPr>
        <w:t>towards</w:t>
      </w:r>
      <w:r>
        <w:rPr>
          <w:color w:val="231F20"/>
          <w:spacing w:val="-2"/>
        </w:rPr>
        <w:t xml:space="preserve"> </w:t>
      </w:r>
      <w:r>
        <w:rPr>
          <w:color w:val="231F20"/>
        </w:rPr>
        <w:t>the</w:t>
      </w:r>
      <w:r>
        <w:rPr>
          <w:color w:val="231F20"/>
          <w:spacing w:val="-3"/>
        </w:rPr>
        <w:t xml:space="preserve"> </w:t>
      </w:r>
      <w:r>
        <w:rPr>
          <w:color w:val="231F20"/>
        </w:rPr>
        <w:t>Latrobe</w:t>
      </w:r>
      <w:r>
        <w:rPr>
          <w:color w:val="231F20"/>
          <w:spacing w:val="-3"/>
        </w:rPr>
        <w:t xml:space="preserve"> </w:t>
      </w:r>
      <w:r>
        <w:rPr>
          <w:color w:val="231F20"/>
        </w:rPr>
        <w:t>estuary</w:t>
      </w:r>
      <w:r>
        <w:rPr>
          <w:color w:val="231F20"/>
          <w:spacing w:val="-3"/>
        </w:rPr>
        <w:t xml:space="preserve"> </w:t>
      </w:r>
      <w:r>
        <w:rPr>
          <w:color w:val="231F20"/>
        </w:rPr>
        <w:t>for</w:t>
      </w:r>
      <w:r>
        <w:rPr>
          <w:color w:val="231F20"/>
          <w:spacing w:val="-2"/>
        </w:rPr>
        <w:t xml:space="preserve"> </w:t>
      </w:r>
      <w:r>
        <w:rPr>
          <w:color w:val="231F20"/>
        </w:rPr>
        <w:t>breeding</w:t>
      </w:r>
      <w:r>
        <w:rPr>
          <w:color w:val="231F20"/>
          <w:spacing w:val="-4"/>
        </w:rPr>
        <w:t xml:space="preserve"> </w:t>
      </w:r>
      <w:r>
        <w:rPr>
          <w:color w:val="231F20"/>
        </w:rPr>
        <w:t>and</w:t>
      </w:r>
      <w:r>
        <w:rPr>
          <w:color w:val="231F20"/>
          <w:spacing w:val="-3"/>
        </w:rPr>
        <w:t xml:space="preserve"> </w:t>
      </w:r>
      <w:r>
        <w:rPr>
          <w:color w:val="231F20"/>
        </w:rPr>
        <w:t>spawning.</w:t>
      </w:r>
      <w:r>
        <w:rPr>
          <w:color w:val="231F20"/>
          <w:spacing w:val="-13"/>
        </w:rPr>
        <w:t xml:space="preserve"> </w:t>
      </w:r>
      <w:r>
        <w:rPr>
          <w:color w:val="231F20"/>
        </w:rPr>
        <w:t>A</w:t>
      </w:r>
      <w:r w:rsidR="00E459ED">
        <w:t xml:space="preserve"> </w:t>
      </w:r>
      <w:r>
        <w:rPr>
          <w:color w:val="231F20"/>
        </w:rPr>
        <w:t>spring fresh was delivered in early November 2019, to encourage juvenile fish to migrate into the Macalister River from their estuary nurseries as well as to wet bankside vegetation and enable native seed dispersal.</w:t>
      </w:r>
    </w:p>
    <w:p w:rsidR="006A7A3F" w:rsidRDefault="00BC7372">
      <w:pPr>
        <w:pStyle w:val="BodyText"/>
        <w:spacing w:line="249" w:lineRule="auto"/>
        <w:ind w:right="208"/>
      </w:pPr>
      <w:r>
        <w:rPr>
          <w:color w:val="231F20"/>
        </w:rPr>
        <w:t>In autumn 2020, a fresh to cue the downstream migration of Australian grayling towards the Latrobe River estuary for spawning was delivered. This event coincided with an equivalent fresh in the Thomson River system to optimise fish responses across both systems.</w:t>
      </w:r>
    </w:p>
    <w:p w:rsidR="006A7A3F" w:rsidRDefault="00BC7372">
      <w:pPr>
        <w:pStyle w:val="BodyText"/>
        <w:spacing w:line="249" w:lineRule="auto"/>
        <w:ind w:right="330"/>
      </w:pPr>
      <w:r>
        <w:rPr>
          <w:color w:val="231F20"/>
        </w:rPr>
        <w:t>All tier 1a watering actions planned for 2019–20 under both a dry and average scenario were met. As Lake Glenmaggie did not spill, there were no tier 1b actions, either with releases of water for the environment or natural and operational flows in the system.</w:t>
      </w:r>
    </w:p>
    <w:p w:rsidR="006A7A3F" w:rsidRDefault="00BC7372">
      <w:pPr>
        <w:spacing w:before="182"/>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100"/>
      </w:pPr>
      <w:r>
        <w:rPr>
          <w:color w:val="231F20"/>
        </w:rPr>
        <w:t>Table 2.4.1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533036" w:rsidRDefault="00533036" w:rsidP="00533036">
      <w:pPr>
        <w:spacing w:before="168"/>
        <w:ind w:left="210"/>
        <w:rPr>
          <w:b/>
          <w:sz w:val="18"/>
        </w:rPr>
      </w:pPr>
      <w:r>
        <w:rPr>
          <w:b/>
          <w:color w:val="231F20"/>
          <w:sz w:val="18"/>
        </w:rPr>
        <w:t>Table 2.4.1 Potential environmental watering actions and objectives for the Macalister River</w:t>
      </w:r>
    </w:p>
    <w:p w:rsidR="006A7A3F" w:rsidRDefault="006A7A3F">
      <w:pPr>
        <w:pStyle w:val="BodyText"/>
        <w:spacing w:before="6"/>
        <w:ind w:left="0"/>
        <w:rPr>
          <w:b/>
          <w:sz w:val="8"/>
        </w:r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533036">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533036" w:rsidTr="00533036">
        <w:trPr>
          <w:trHeight w:val="411"/>
        </w:trPr>
        <w:tc>
          <w:tcPr>
            <w:tcW w:w="10175" w:type="dxa"/>
            <w:gridSpan w:val="4"/>
            <w:tcBorders>
              <w:top w:val="nil"/>
              <w:left w:val="single" w:sz="4" w:space="0" w:color="231F20"/>
              <w:bottom w:val="single" w:sz="4" w:space="0" w:color="231F20"/>
              <w:right w:val="single" w:sz="4" w:space="0" w:color="231F20"/>
            </w:tcBorders>
            <w:shd w:val="clear" w:color="auto" w:fill="D9D9D9" w:themeFill="background1" w:themeFillShade="D9"/>
          </w:tcPr>
          <w:p w:rsidR="00533036" w:rsidRPr="00533036" w:rsidRDefault="00533036" w:rsidP="00533036">
            <w:pPr>
              <w:pStyle w:val="TableParagraph"/>
              <w:spacing w:before="74"/>
              <w:ind w:left="85"/>
              <w:rPr>
                <w:b/>
                <w:sz w:val="16"/>
              </w:rPr>
            </w:pPr>
            <w:r>
              <w:rPr>
                <w:b/>
                <w:color w:val="231F20"/>
                <w:sz w:val="16"/>
              </w:rPr>
              <w:t>Macalister River reaches 1 and 2</w:t>
            </w:r>
          </w:p>
        </w:tc>
      </w:tr>
      <w:tr w:rsidR="006A7A3F" w:rsidTr="00533036">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487"/>
              <w:rPr>
                <w:sz w:val="16"/>
              </w:rPr>
            </w:pPr>
            <w:r>
              <w:rPr>
                <w:color w:val="231F20"/>
                <w:sz w:val="16"/>
              </w:rPr>
              <w:t>Autumn/winter low flow (90 ML/day during March to August)</w:t>
            </w:r>
          </w:p>
        </w:tc>
        <w:tc>
          <w:tcPr>
            <w:tcW w:w="6236" w:type="dxa"/>
            <w:vMerge w:val="restart"/>
            <w:tcBorders>
              <w:top w:val="nil"/>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294"/>
              </w:numPr>
              <w:tabs>
                <w:tab w:val="left" w:pos="306"/>
              </w:tabs>
              <w:spacing w:before="63" w:line="254" w:lineRule="auto"/>
              <w:ind w:right="96"/>
              <w:rPr>
                <w:sz w:val="16"/>
                <w:szCs w:val="16"/>
              </w:rPr>
            </w:pPr>
            <w:r w:rsidRPr="00A1021A">
              <w:rPr>
                <w:color w:val="231F20"/>
                <w:sz w:val="16"/>
                <w:szCs w:val="16"/>
              </w:rPr>
              <w:t>Provide minimum depth over riffles for fish species that are migrating (i.e. Australian grayling) or about to migrate (i.e. tupong and Australian bass) downstream towards estuary habitat for spawning or</w:t>
            </w:r>
            <w:r w:rsidRPr="00A1021A">
              <w:rPr>
                <w:color w:val="231F20"/>
                <w:spacing w:val="-13"/>
                <w:sz w:val="16"/>
                <w:szCs w:val="16"/>
              </w:rPr>
              <w:t xml:space="preserve"> </w:t>
            </w:r>
            <w:r w:rsidRPr="00A1021A">
              <w:rPr>
                <w:color w:val="231F20"/>
                <w:sz w:val="16"/>
                <w:szCs w:val="16"/>
              </w:rPr>
              <w:t>breeding</w:t>
            </w:r>
          </w:p>
          <w:p w:rsidR="006A7A3F" w:rsidRPr="00A1021A" w:rsidRDefault="00BC7372" w:rsidP="009B6917">
            <w:pPr>
              <w:pStyle w:val="TableParagraph"/>
              <w:numPr>
                <w:ilvl w:val="0"/>
                <w:numId w:val="1294"/>
              </w:numPr>
              <w:tabs>
                <w:tab w:val="left" w:pos="306"/>
              </w:tabs>
              <w:spacing w:before="87" w:line="254" w:lineRule="auto"/>
              <w:ind w:right="157"/>
              <w:rPr>
                <w:sz w:val="16"/>
                <w:szCs w:val="16"/>
              </w:rPr>
            </w:pPr>
            <w:r w:rsidRPr="00A1021A">
              <w:rPr>
                <w:color w:val="231F20"/>
                <w:sz w:val="16"/>
                <w:szCs w:val="16"/>
              </w:rPr>
              <w:t>Provide permanent wetted habitat for waterbugs through minimum</w:t>
            </w:r>
            <w:r w:rsidRPr="00A1021A">
              <w:rPr>
                <w:color w:val="231F20"/>
                <w:spacing w:val="-34"/>
                <w:sz w:val="16"/>
                <w:szCs w:val="16"/>
              </w:rPr>
              <w:t xml:space="preserve"> </w:t>
            </w:r>
            <w:r w:rsidRPr="00A1021A">
              <w:rPr>
                <w:color w:val="231F20"/>
                <w:sz w:val="16"/>
                <w:szCs w:val="16"/>
              </w:rPr>
              <w:t>water depth in</w:t>
            </w:r>
            <w:r w:rsidRPr="00A1021A">
              <w:rPr>
                <w:color w:val="231F20"/>
                <w:spacing w:val="-3"/>
                <w:sz w:val="16"/>
                <w:szCs w:val="16"/>
              </w:rPr>
              <w:t xml:space="preserve"> </w:t>
            </w:r>
            <w:r w:rsidRPr="00A1021A">
              <w:rPr>
                <w:color w:val="231F20"/>
                <w:sz w:val="16"/>
                <w:szCs w:val="16"/>
              </w:rPr>
              <w:t>pools</w:t>
            </w:r>
          </w:p>
          <w:p w:rsidR="006A7A3F" w:rsidRPr="00A1021A" w:rsidRDefault="00BC7372" w:rsidP="009B6917">
            <w:pPr>
              <w:pStyle w:val="TableParagraph"/>
              <w:numPr>
                <w:ilvl w:val="0"/>
                <w:numId w:val="1294"/>
              </w:numPr>
              <w:tabs>
                <w:tab w:val="left" w:pos="306"/>
              </w:tabs>
              <w:spacing w:before="86" w:line="254" w:lineRule="auto"/>
              <w:ind w:right="468"/>
              <w:rPr>
                <w:sz w:val="16"/>
                <w:szCs w:val="16"/>
              </w:rPr>
            </w:pPr>
            <w:r w:rsidRPr="00A1021A">
              <w:rPr>
                <w:color w:val="231F20"/>
                <w:sz w:val="16"/>
                <w:szCs w:val="16"/>
              </w:rPr>
              <w:t>Provide connectivity throughout the river for the local movement of platypus</w:t>
            </w:r>
            <w:r w:rsidRPr="00A1021A">
              <w:rPr>
                <w:color w:val="231F20"/>
                <w:spacing w:val="-5"/>
                <w:sz w:val="16"/>
                <w:szCs w:val="16"/>
              </w:rPr>
              <w:t xml:space="preserve"> </w:t>
            </w:r>
            <w:r w:rsidRPr="00A1021A">
              <w:rPr>
                <w:color w:val="231F20"/>
                <w:sz w:val="16"/>
                <w:szCs w:val="16"/>
              </w:rPr>
              <w:t>and</w:t>
            </w:r>
            <w:r w:rsidRPr="00A1021A">
              <w:rPr>
                <w:color w:val="231F20"/>
                <w:spacing w:val="-4"/>
                <w:sz w:val="16"/>
                <w:szCs w:val="16"/>
              </w:rPr>
              <w:t xml:space="preserve"> </w:t>
            </w:r>
            <w:r w:rsidRPr="00A1021A">
              <w:rPr>
                <w:color w:val="231F20"/>
                <w:sz w:val="16"/>
                <w:szCs w:val="16"/>
              </w:rPr>
              <w:t>rakali</w:t>
            </w:r>
            <w:r w:rsidRPr="00A1021A">
              <w:rPr>
                <w:color w:val="231F20"/>
                <w:spacing w:val="-3"/>
                <w:sz w:val="16"/>
                <w:szCs w:val="16"/>
              </w:rPr>
              <w:t xml:space="preserve"> </w:t>
            </w:r>
            <w:r w:rsidRPr="00A1021A">
              <w:rPr>
                <w:color w:val="231F20"/>
                <w:sz w:val="16"/>
                <w:szCs w:val="16"/>
              </w:rPr>
              <w:t>(water</w:t>
            </w:r>
            <w:r w:rsidRPr="00A1021A">
              <w:rPr>
                <w:color w:val="231F20"/>
                <w:spacing w:val="-3"/>
                <w:sz w:val="16"/>
                <w:szCs w:val="16"/>
              </w:rPr>
              <w:t xml:space="preserve"> </w:t>
            </w:r>
            <w:r w:rsidRPr="00A1021A">
              <w:rPr>
                <w:color w:val="231F20"/>
                <w:sz w:val="16"/>
                <w:szCs w:val="16"/>
              </w:rPr>
              <w:t>rats),</w:t>
            </w:r>
            <w:r w:rsidRPr="00A1021A">
              <w:rPr>
                <w:color w:val="231F20"/>
                <w:spacing w:val="-3"/>
                <w:sz w:val="16"/>
                <w:szCs w:val="16"/>
              </w:rPr>
              <w:t xml:space="preserve"> </w:t>
            </w:r>
            <w:r w:rsidRPr="00A1021A">
              <w:rPr>
                <w:color w:val="231F20"/>
                <w:sz w:val="16"/>
                <w:szCs w:val="16"/>
              </w:rPr>
              <w:t>as</w:t>
            </w:r>
            <w:r w:rsidRPr="00A1021A">
              <w:rPr>
                <w:color w:val="231F20"/>
                <w:spacing w:val="-4"/>
                <w:sz w:val="16"/>
                <w:szCs w:val="16"/>
              </w:rPr>
              <w:t xml:space="preserve"> </w:t>
            </w:r>
            <w:r w:rsidRPr="00A1021A">
              <w:rPr>
                <w:color w:val="231F20"/>
                <w:sz w:val="16"/>
                <w:szCs w:val="16"/>
              </w:rPr>
              <w:t>well</w:t>
            </w:r>
            <w:r w:rsidRPr="00A1021A">
              <w:rPr>
                <w:color w:val="231F20"/>
                <w:spacing w:val="-4"/>
                <w:sz w:val="16"/>
                <w:szCs w:val="16"/>
              </w:rPr>
              <w:t xml:space="preserve"> </w:t>
            </w:r>
            <w:r w:rsidRPr="00A1021A">
              <w:rPr>
                <w:color w:val="231F20"/>
                <w:sz w:val="16"/>
                <w:szCs w:val="16"/>
              </w:rPr>
              <w:t>as</w:t>
            </w:r>
            <w:r w:rsidRPr="00A1021A">
              <w:rPr>
                <w:color w:val="231F20"/>
                <w:spacing w:val="-4"/>
                <w:sz w:val="16"/>
                <w:szCs w:val="16"/>
              </w:rPr>
              <w:t xml:space="preserve"> </w:t>
            </w:r>
            <w:r w:rsidRPr="00A1021A">
              <w:rPr>
                <w:color w:val="231F20"/>
                <w:sz w:val="16"/>
                <w:szCs w:val="16"/>
              </w:rPr>
              <w:t>protection</w:t>
            </w:r>
            <w:r w:rsidRPr="00A1021A">
              <w:rPr>
                <w:color w:val="231F20"/>
                <w:spacing w:val="-4"/>
                <w:sz w:val="16"/>
                <w:szCs w:val="16"/>
              </w:rPr>
              <w:t xml:space="preserve"> </w:t>
            </w:r>
            <w:r w:rsidRPr="00A1021A">
              <w:rPr>
                <w:color w:val="231F20"/>
                <w:sz w:val="16"/>
                <w:szCs w:val="16"/>
              </w:rPr>
              <w:t>from</w:t>
            </w:r>
            <w:r w:rsidRPr="00A1021A">
              <w:rPr>
                <w:color w:val="231F20"/>
                <w:spacing w:val="-3"/>
                <w:sz w:val="16"/>
                <w:szCs w:val="16"/>
              </w:rPr>
              <w:t xml:space="preserve"> </w:t>
            </w:r>
            <w:r w:rsidRPr="00A1021A">
              <w:rPr>
                <w:color w:val="231F20"/>
                <w:sz w:val="16"/>
                <w:szCs w:val="16"/>
              </w:rPr>
              <w:t>predation, access to food sources and to maintain refuge</w:t>
            </w:r>
            <w:r w:rsidRPr="00A1021A">
              <w:rPr>
                <w:color w:val="231F20"/>
                <w:spacing w:val="-6"/>
                <w:sz w:val="16"/>
                <w:szCs w:val="16"/>
              </w:rPr>
              <w:t xml:space="preserve"> </w:t>
            </w:r>
            <w:r w:rsidRPr="00A1021A">
              <w:rPr>
                <w:color w:val="231F20"/>
                <w:sz w:val="16"/>
                <w:szCs w:val="16"/>
              </w:rPr>
              <w:t>habitats</w:t>
            </w:r>
          </w:p>
          <w:p w:rsidR="006A7A3F" w:rsidRPr="00A1021A" w:rsidRDefault="00BC7372" w:rsidP="009B6917">
            <w:pPr>
              <w:pStyle w:val="TableParagraph"/>
              <w:numPr>
                <w:ilvl w:val="0"/>
                <w:numId w:val="1294"/>
              </w:numPr>
              <w:tabs>
                <w:tab w:val="left" w:pos="306"/>
              </w:tabs>
              <w:spacing w:before="87" w:line="254" w:lineRule="auto"/>
              <w:ind w:right="317"/>
              <w:rPr>
                <w:sz w:val="16"/>
                <w:szCs w:val="16"/>
              </w:rPr>
            </w:pPr>
            <w:r w:rsidRPr="00A1021A">
              <w:rPr>
                <w:color w:val="231F20"/>
                <w:sz w:val="16"/>
                <w:szCs w:val="16"/>
              </w:rPr>
              <w:t>Provide flows with low water velocity and appropriate depth to</w:t>
            </w:r>
            <w:r w:rsidRPr="00A1021A">
              <w:rPr>
                <w:color w:val="231F20"/>
                <w:spacing w:val="-36"/>
                <w:sz w:val="16"/>
                <w:szCs w:val="16"/>
              </w:rPr>
              <w:t xml:space="preserve"> </w:t>
            </w:r>
            <w:r w:rsidRPr="00A1021A">
              <w:rPr>
                <w:color w:val="231F20"/>
                <w:sz w:val="16"/>
                <w:szCs w:val="16"/>
              </w:rPr>
              <w:t>improve water clarity and enable establishment of submerged</w:t>
            </w:r>
            <w:r w:rsidRPr="00A1021A">
              <w:rPr>
                <w:color w:val="231F20"/>
                <w:spacing w:val="-15"/>
                <w:sz w:val="16"/>
                <w:szCs w:val="16"/>
              </w:rPr>
              <w:t xml:space="preserve"> </w:t>
            </w:r>
            <w:r w:rsidRPr="00A1021A">
              <w:rPr>
                <w:color w:val="231F20"/>
                <w:sz w:val="16"/>
                <w:szCs w:val="16"/>
              </w:rPr>
              <w:t>vegetation</w:t>
            </w:r>
          </w:p>
          <w:p w:rsidR="006A7A3F" w:rsidRPr="00A1021A" w:rsidRDefault="00BC7372" w:rsidP="009B6917">
            <w:pPr>
              <w:pStyle w:val="TableParagraph"/>
              <w:numPr>
                <w:ilvl w:val="0"/>
                <w:numId w:val="1294"/>
              </w:numPr>
              <w:tabs>
                <w:tab w:val="left" w:pos="306"/>
              </w:tabs>
              <w:spacing w:before="86" w:line="254" w:lineRule="auto"/>
              <w:ind w:right="207"/>
              <w:rPr>
                <w:sz w:val="16"/>
                <w:szCs w:val="16"/>
              </w:rPr>
            </w:pPr>
            <w:r w:rsidRPr="00A1021A">
              <w:rPr>
                <w:color w:val="231F20"/>
                <w:sz w:val="16"/>
                <w:szCs w:val="16"/>
              </w:rPr>
              <w:t>Provide sustained wetting of low-level benches (increasing water</w:t>
            </w:r>
            <w:r w:rsidRPr="00A1021A">
              <w:rPr>
                <w:color w:val="231F20"/>
                <w:spacing w:val="-34"/>
                <w:sz w:val="16"/>
                <w:szCs w:val="16"/>
              </w:rPr>
              <w:t xml:space="preserve"> </w:t>
            </w:r>
            <w:r w:rsidRPr="00A1021A">
              <w:rPr>
                <w:color w:val="231F20"/>
                <w:sz w:val="16"/>
                <w:szCs w:val="16"/>
              </w:rPr>
              <w:t>depth) to limit terrestrial vegetation</w:t>
            </w:r>
            <w:r w:rsidRPr="00A1021A">
              <w:rPr>
                <w:color w:val="231F20"/>
                <w:spacing w:val="-3"/>
                <w:sz w:val="16"/>
                <w:szCs w:val="16"/>
              </w:rPr>
              <w:t xml:space="preserve"> </w:t>
            </w:r>
            <w:r w:rsidRPr="00A1021A">
              <w:rPr>
                <w:color w:val="231F20"/>
                <w:sz w:val="16"/>
                <w:szCs w:val="16"/>
              </w:rPr>
              <w:t>encroachment</w:t>
            </w:r>
          </w:p>
        </w:tc>
        <w:tc>
          <w:tcPr>
            <w:tcW w:w="850"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4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rsidTr="00A1021A">
        <w:trPr>
          <w:trHeight w:val="2318"/>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4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24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533036">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Spring/summer low flow</w:t>
            </w:r>
          </w:p>
          <w:p w:rsidR="006A7A3F" w:rsidRDefault="00BC7372">
            <w:pPr>
              <w:pStyle w:val="TableParagraph"/>
              <w:spacing w:before="16" w:line="261" w:lineRule="auto"/>
              <w:ind w:left="85" w:right="149"/>
              <w:rPr>
                <w:sz w:val="16"/>
              </w:rPr>
            </w:pPr>
            <w:r>
              <w:rPr>
                <w:color w:val="231F20"/>
                <w:sz w:val="16"/>
              </w:rPr>
              <w:t>(90 ML/day during September to January)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293"/>
              </w:numPr>
              <w:tabs>
                <w:tab w:val="left" w:pos="306"/>
              </w:tabs>
              <w:spacing w:before="63"/>
              <w:ind w:hanging="218"/>
              <w:rPr>
                <w:sz w:val="16"/>
                <w:szCs w:val="16"/>
              </w:rPr>
            </w:pPr>
            <w:r w:rsidRPr="00A1021A">
              <w:rPr>
                <w:color w:val="231F20"/>
                <w:sz w:val="16"/>
                <w:szCs w:val="16"/>
              </w:rPr>
              <w:t>Maintain the water depth in pools and hydraulic habitat for native</w:t>
            </w:r>
            <w:r w:rsidRPr="00A1021A">
              <w:rPr>
                <w:color w:val="231F20"/>
                <w:spacing w:val="-26"/>
                <w:sz w:val="16"/>
                <w:szCs w:val="16"/>
              </w:rPr>
              <w:t xml:space="preserve"> </w:t>
            </w:r>
            <w:r w:rsidRPr="00A1021A">
              <w:rPr>
                <w:color w:val="231F20"/>
                <w:sz w:val="16"/>
                <w:szCs w:val="16"/>
              </w:rPr>
              <w:t>fish</w:t>
            </w:r>
          </w:p>
          <w:p w:rsidR="006A7A3F" w:rsidRPr="00A1021A" w:rsidRDefault="00BC7372" w:rsidP="009B6917">
            <w:pPr>
              <w:pStyle w:val="TableParagraph"/>
              <w:numPr>
                <w:ilvl w:val="0"/>
                <w:numId w:val="1293"/>
              </w:numPr>
              <w:tabs>
                <w:tab w:val="left" w:pos="306"/>
              </w:tabs>
              <w:spacing w:before="98"/>
              <w:ind w:hanging="218"/>
              <w:rPr>
                <w:sz w:val="16"/>
                <w:szCs w:val="16"/>
              </w:rPr>
            </w:pPr>
            <w:r w:rsidRPr="00A1021A">
              <w:rPr>
                <w:color w:val="231F20"/>
                <w:sz w:val="16"/>
                <w:szCs w:val="16"/>
              </w:rPr>
              <w:t>Maintain permanent wetted habitat in pools and riffles for</w:t>
            </w:r>
            <w:r w:rsidRPr="00A1021A">
              <w:rPr>
                <w:color w:val="231F20"/>
                <w:spacing w:val="-22"/>
                <w:sz w:val="16"/>
                <w:szCs w:val="16"/>
              </w:rPr>
              <w:t xml:space="preserve"> </w:t>
            </w:r>
            <w:r w:rsidRPr="00A1021A">
              <w:rPr>
                <w:color w:val="231F20"/>
                <w:sz w:val="16"/>
                <w:szCs w:val="16"/>
              </w:rPr>
              <w:t>waterbugs</w:t>
            </w:r>
          </w:p>
          <w:p w:rsidR="006A7A3F" w:rsidRPr="00A1021A" w:rsidRDefault="00BC7372" w:rsidP="009B6917">
            <w:pPr>
              <w:pStyle w:val="TableParagraph"/>
              <w:numPr>
                <w:ilvl w:val="0"/>
                <w:numId w:val="1293"/>
              </w:numPr>
              <w:tabs>
                <w:tab w:val="left" w:pos="306"/>
              </w:tabs>
              <w:spacing w:before="98" w:line="254" w:lineRule="auto"/>
              <w:ind w:right="226"/>
              <w:rPr>
                <w:sz w:val="16"/>
                <w:szCs w:val="16"/>
              </w:rPr>
            </w:pPr>
            <w:r w:rsidRPr="00A1021A">
              <w:rPr>
                <w:color w:val="231F20"/>
                <w:sz w:val="16"/>
                <w:szCs w:val="16"/>
              </w:rPr>
              <w:t>Maintain</w:t>
            </w:r>
            <w:r w:rsidRPr="00A1021A">
              <w:rPr>
                <w:color w:val="231F20"/>
                <w:spacing w:val="-4"/>
                <w:sz w:val="16"/>
                <w:szCs w:val="16"/>
              </w:rPr>
              <w:t xml:space="preserve"> </w:t>
            </w:r>
            <w:r w:rsidRPr="00A1021A">
              <w:rPr>
                <w:color w:val="231F20"/>
                <w:sz w:val="16"/>
                <w:szCs w:val="16"/>
              </w:rPr>
              <w:t>shallow,</w:t>
            </w:r>
            <w:r w:rsidRPr="00A1021A">
              <w:rPr>
                <w:color w:val="231F20"/>
                <w:spacing w:val="-4"/>
                <w:sz w:val="16"/>
                <w:szCs w:val="16"/>
              </w:rPr>
              <w:t xml:space="preserve"> </w:t>
            </w:r>
            <w:r w:rsidRPr="00A1021A">
              <w:rPr>
                <w:color w:val="231F20"/>
                <w:sz w:val="16"/>
                <w:szCs w:val="16"/>
              </w:rPr>
              <w:t>slow-flowing</w:t>
            </w:r>
            <w:r w:rsidRPr="00A1021A">
              <w:rPr>
                <w:color w:val="231F20"/>
                <w:spacing w:val="-4"/>
                <w:sz w:val="16"/>
                <w:szCs w:val="16"/>
              </w:rPr>
              <w:t xml:space="preserve"> </w:t>
            </w:r>
            <w:r w:rsidRPr="00A1021A">
              <w:rPr>
                <w:color w:val="231F20"/>
                <w:sz w:val="16"/>
                <w:szCs w:val="16"/>
              </w:rPr>
              <w:t>habitat</w:t>
            </w:r>
            <w:r w:rsidRPr="00A1021A">
              <w:rPr>
                <w:color w:val="231F20"/>
                <w:spacing w:val="-5"/>
                <w:sz w:val="16"/>
                <w:szCs w:val="16"/>
              </w:rPr>
              <w:t xml:space="preserve"> </w:t>
            </w:r>
            <w:r w:rsidRPr="00A1021A">
              <w:rPr>
                <w:color w:val="231F20"/>
                <w:sz w:val="16"/>
                <w:szCs w:val="16"/>
              </w:rPr>
              <w:t>to</w:t>
            </w:r>
            <w:r w:rsidRPr="00A1021A">
              <w:rPr>
                <w:color w:val="231F20"/>
                <w:spacing w:val="-4"/>
                <w:sz w:val="16"/>
                <w:szCs w:val="16"/>
              </w:rPr>
              <w:t xml:space="preserve"> </w:t>
            </w:r>
            <w:r w:rsidRPr="00A1021A">
              <w:rPr>
                <w:color w:val="231F20"/>
                <w:sz w:val="16"/>
                <w:szCs w:val="16"/>
              </w:rPr>
              <w:t>enable</w:t>
            </w:r>
            <w:r w:rsidRPr="00A1021A">
              <w:rPr>
                <w:color w:val="231F20"/>
                <w:spacing w:val="-5"/>
                <w:sz w:val="16"/>
                <w:szCs w:val="16"/>
              </w:rPr>
              <w:t xml:space="preserve"> </w:t>
            </w:r>
            <w:r w:rsidRPr="00A1021A">
              <w:rPr>
                <w:color w:val="231F20"/>
                <w:sz w:val="16"/>
                <w:szCs w:val="16"/>
              </w:rPr>
              <w:t>the</w:t>
            </w:r>
            <w:r w:rsidRPr="00A1021A">
              <w:rPr>
                <w:color w:val="231F20"/>
                <w:spacing w:val="-3"/>
                <w:sz w:val="16"/>
                <w:szCs w:val="16"/>
              </w:rPr>
              <w:t xml:space="preserve"> </w:t>
            </w:r>
            <w:r w:rsidRPr="00A1021A">
              <w:rPr>
                <w:color w:val="231F20"/>
                <w:sz w:val="16"/>
                <w:szCs w:val="16"/>
              </w:rPr>
              <w:t>establishment</w:t>
            </w:r>
            <w:r w:rsidRPr="00A1021A">
              <w:rPr>
                <w:color w:val="231F20"/>
                <w:spacing w:val="-5"/>
                <w:sz w:val="16"/>
                <w:szCs w:val="16"/>
              </w:rPr>
              <w:t xml:space="preserve"> </w:t>
            </w:r>
            <w:r w:rsidRPr="00A1021A">
              <w:rPr>
                <w:color w:val="231F20"/>
                <w:sz w:val="16"/>
                <w:szCs w:val="16"/>
              </w:rPr>
              <w:t>of</w:t>
            </w:r>
            <w:r w:rsidRPr="00A1021A">
              <w:rPr>
                <w:color w:val="231F20"/>
                <w:spacing w:val="-5"/>
                <w:sz w:val="16"/>
                <w:szCs w:val="16"/>
              </w:rPr>
              <w:t xml:space="preserve"> </w:t>
            </w:r>
            <w:r w:rsidRPr="00A1021A">
              <w:rPr>
                <w:color w:val="231F20"/>
                <w:sz w:val="16"/>
                <w:szCs w:val="16"/>
              </w:rPr>
              <w:t>in- stream vegetation</w:t>
            </w:r>
          </w:p>
          <w:p w:rsidR="006A7A3F" w:rsidRPr="00A1021A" w:rsidRDefault="00BC7372" w:rsidP="009B6917">
            <w:pPr>
              <w:pStyle w:val="TableParagraph"/>
              <w:numPr>
                <w:ilvl w:val="0"/>
                <w:numId w:val="1293"/>
              </w:numPr>
              <w:tabs>
                <w:tab w:val="left" w:pos="306"/>
              </w:tabs>
              <w:spacing w:before="86" w:line="254" w:lineRule="auto"/>
              <w:ind w:right="266"/>
              <w:rPr>
                <w:sz w:val="16"/>
                <w:szCs w:val="16"/>
              </w:rPr>
            </w:pPr>
            <w:r w:rsidRPr="00A1021A">
              <w:rPr>
                <w:color w:val="231F20"/>
                <w:sz w:val="16"/>
                <w:szCs w:val="16"/>
              </w:rPr>
              <w:t>Maintain a minimum depth in pools to allow for turnover of water and to slow degradation of water quality to support aquatic</w:t>
            </w:r>
            <w:r w:rsidRPr="00A1021A">
              <w:rPr>
                <w:color w:val="231F20"/>
                <w:spacing w:val="-13"/>
                <w:sz w:val="16"/>
                <w:szCs w:val="16"/>
              </w:rPr>
              <w:t xml:space="preserve"> </w:t>
            </w:r>
            <w:r w:rsidRPr="00A1021A">
              <w:rPr>
                <w:color w:val="231F20"/>
                <w:sz w:val="16"/>
                <w:szCs w:val="16"/>
              </w:rPr>
              <w:t>life</w:t>
            </w:r>
          </w:p>
          <w:p w:rsidR="006A7A3F" w:rsidRPr="00A1021A" w:rsidRDefault="00BC7372" w:rsidP="009B6917">
            <w:pPr>
              <w:pStyle w:val="TableParagraph"/>
              <w:numPr>
                <w:ilvl w:val="0"/>
                <w:numId w:val="1293"/>
              </w:numPr>
              <w:tabs>
                <w:tab w:val="left" w:pos="306"/>
              </w:tabs>
              <w:spacing w:before="86"/>
              <w:ind w:hanging="218"/>
              <w:rPr>
                <w:sz w:val="16"/>
                <w:szCs w:val="16"/>
              </w:rPr>
            </w:pPr>
            <w:r w:rsidRPr="00A1021A">
              <w:rPr>
                <w:color w:val="231F20"/>
                <w:sz w:val="16"/>
                <w:szCs w:val="16"/>
              </w:rPr>
              <w:t>Expose and dry lower channel features for</w:t>
            </w:r>
            <w:r w:rsidRPr="00A1021A">
              <w:rPr>
                <w:color w:val="231F20"/>
                <w:spacing w:val="-11"/>
                <w:sz w:val="16"/>
                <w:szCs w:val="16"/>
              </w:rPr>
              <w:t xml:space="preserve"> </w:t>
            </w:r>
            <w:r w:rsidRPr="00A1021A">
              <w:rPr>
                <w:color w:val="231F20"/>
                <w:sz w:val="16"/>
                <w:szCs w:val="16"/>
              </w:rPr>
              <w:t>re-oxygenation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6"/>
                  <wp:effectExtent l="0" t="0" r="0" b="0"/>
                  <wp:docPr id="24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6"/>
                  <wp:effectExtent l="0" t="0" r="0" b="0"/>
                  <wp:docPr id="25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6A7A3F" w:rsidTr="00533036">
        <w:trPr>
          <w:trHeight w:val="137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5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533036">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727"/>
              <w:rPr>
                <w:sz w:val="16"/>
              </w:rPr>
            </w:pPr>
            <w:r>
              <w:rPr>
                <w:color w:val="231F20"/>
                <w:sz w:val="16"/>
              </w:rPr>
              <w:t>Spring/summer fresh (one to two freshes of</w:t>
            </w:r>
          </w:p>
          <w:p w:rsidR="006A7A3F" w:rsidRDefault="00BC7372">
            <w:pPr>
              <w:pStyle w:val="TableParagraph"/>
              <w:spacing w:line="261" w:lineRule="auto"/>
              <w:ind w:left="85" w:right="169"/>
              <w:rPr>
                <w:sz w:val="9"/>
              </w:rPr>
            </w:pPr>
            <w:r>
              <w:rPr>
                <w:color w:val="231F20"/>
                <w:spacing w:val="-4"/>
                <w:sz w:val="16"/>
              </w:rPr>
              <w:t xml:space="preserve">1,500 ML/day </w:t>
            </w:r>
            <w:r>
              <w:rPr>
                <w:color w:val="231F20"/>
                <w:spacing w:val="-3"/>
                <w:sz w:val="16"/>
              </w:rPr>
              <w:t xml:space="preserve">for </w:t>
            </w:r>
            <w:r>
              <w:rPr>
                <w:color w:val="231F20"/>
                <w:spacing w:val="-4"/>
                <w:sz w:val="16"/>
              </w:rPr>
              <w:t xml:space="preserve">three days </w:t>
            </w:r>
            <w:r>
              <w:rPr>
                <w:color w:val="231F20"/>
                <w:sz w:val="16"/>
              </w:rPr>
              <w:t>during September to December)</w:t>
            </w:r>
            <w:r>
              <w:rPr>
                <w:color w:val="231F20"/>
                <w:position w:val="5"/>
                <w:sz w:val="9"/>
              </w:rPr>
              <w:t>1</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292"/>
              </w:numPr>
              <w:tabs>
                <w:tab w:val="left" w:pos="306"/>
              </w:tabs>
              <w:spacing w:before="63" w:line="254" w:lineRule="auto"/>
              <w:ind w:right="407"/>
              <w:rPr>
                <w:sz w:val="16"/>
                <w:szCs w:val="16"/>
              </w:rPr>
            </w:pPr>
            <w:r w:rsidRPr="00A1021A">
              <w:rPr>
                <w:color w:val="231F20"/>
                <w:sz w:val="16"/>
                <w:szCs w:val="16"/>
              </w:rPr>
              <w:t>Cue the upstream migration of adult fish (e.g. short-headed</w:t>
            </w:r>
            <w:r w:rsidRPr="00A1021A">
              <w:rPr>
                <w:color w:val="231F20"/>
                <w:spacing w:val="-26"/>
                <w:sz w:val="16"/>
                <w:szCs w:val="16"/>
              </w:rPr>
              <w:t xml:space="preserve"> </w:t>
            </w:r>
            <w:r w:rsidRPr="00A1021A">
              <w:rPr>
                <w:color w:val="231F20"/>
                <w:sz w:val="16"/>
                <w:szCs w:val="16"/>
              </w:rPr>
              <w:t>lamprey), and the recruitment of juveniles (e.g. Australian grayling, tupong, common galaxias, Australian bass, short and long-finned eels) from marine/estuarine</w:t>
            </w:r>
            <w:r w:rsidRPr="00A1021A">
              <w:rPr>
                <w:color w:val="231F20"/>
                <w:spacing w:val="-1"/>
                <w:sz w:val="16"/>
                <w:szCs w:val="16"/>
              </w:rPr>
              <w:t xml:space="preserve"> </w:t>
            </w:r>
            <w:r w:rsidRPr="00A1021A">
              <w:rPr>
                <w:color w:val="231F20"/>
                <w:sz w:val="16"/>
                <w:szCs w:val="16"/>
              </w:rPr>
              <w:t>environments</w:t>
            </w:r>
          </w:p>
          <w:p w:rsidR="006A7A3F" w:rsidRPr="00A1021A" w:rsidRDefault="00BC7372" w:rsidP="009B6917">
            <w:pPr>
              <w:pStyle w:val="TableParagraph"/>
              <w:numPr>
                <w:ilvl w:val="0"/>
                <w:numId w:val="1292"/>
              </w:numPr>
              <w:tabs>
                <w:tab w:val="left" w:pos="306"/>
              </w:tabs>
              <w:spacing w:before="87" w:line="254" w:lineRule="auto"/>
              <w:ind w:right="90"/>
              <w:rPr>
                <w:sz w:val="16"/>
                <w:szCs w:val="16"/>
              </w:rPr>
            </w:pPr>
            <w:r w:rsidRPr="00A1021A">
              <w:rPr>
                <w:color w:val="231F20"/>
                <w:sz w:val="16"/>
                <w:szCs w:val="16"/>
              </w:rPr>
              <w:t>Wet a greater area of the stream channel (increasing water depth) to</w:t>
            </w:r>
            <w:r w:rsidRPr="00A1021A">
              <w:rPr>
                <w:color w:val="231F20"/>
                <w:spacing w:val="-35"/>
                <w:sz w:val="16"/>
                <w:szCs w:val="16"/>
              </w:rPr>
              <w:t xml:space="preserve"> </w:t>
            </w:r>
            <w:r w:rsidRPr="00A1021A">
              <w:rPr>
                <w:color w:val="231F20"/>
                <w:sz w:val="16"/>
                <w:szCs w:val="16"/>
              </w:rPr>
              <w:t>limit terrestrial vegetation</w:t>
            </w:r>
            <w:r w:rsidRPr="00A1021A">
              <w:rPr>
                <w:color w:val="231F20"/>
                <w:spacing w:val="-1"/>
                <w:sz w:val="16"/>
                <w:szCs w:val="16"/>
              </w:rPr>
              <w:t xml:space="preserve"> </w:t>
            </w:r>
            <w:r w:rsidRPr="00A1021A">
              <w:rPr>
                <w:color w:val="231F20"/>
                <w:sz w:val="16"/>
                <w:szCs w:val="16"/>
              </w:rPr>
              <w:t>encroachment</w:t>
            </w:r>
          </w:p>
          <w:p w:rsidR="006A7A3F" w:rsidRPr="00A1021A" w:rsidRDefault="00BC7372" w:rsidP="009B6917">
            <w:pPr>
              <w:pStyle w:val="TableParagraph"/>
              <w:numPr>
                <w:ilvl w:val="0"/>
                <w:numId w:val="1292"/>
              </w:numPr>
              <w:tabs>
                <w:tab w:val="left" w:pos="306"/>
              </w:tabs>
              <w:spacing w:before="87"/>
              <w:ind w:hanging="218"/>
              <w:rPr>
                <w:sz w:val="16"/>
                <w:szCs w:val="16"/>
              </w:rPr>
            </w:pPr>
            <w:r w:rsidRPr="00A1021A">
              <w:rPr>
                <w:color w:val="231F20"/>
                <w:sz w:val="16"/>
                <w:szCs w:val="16"/>
              </w:rPr>
              <w:t>Wet mid- and higher-level benches to water woody</w:t>
            </w:r>
            <w:r w:rsidRPr="00A1021A">
              <w:rPr>
                <w:color w:val="231F20"/>
                <w:spacing w:val="-15"/>
                <w:sz w:val="16"/>
                <w:szCs w:val="16"/>
              </w:rPr>
              <w:t xml:space="preserve"> </w:t>
            </w:r>
            <w:r w:rsidRPr="00A1021A">
              <w:rPr>
                <w:color w:val="231F20"/>
                <w:sz w:val="16"/>
                <w:szCs w:val="16"/>
              </w:rPr>
              <w:t>vegetation</w:t>
            </w:r>
          </w:p>
          <w:p w:rsidR="006A7A3F" w:rsidRPr="00A1021A" w:rsidRDefault="00BC7372" w:rsidP="009B6917">
            <w:pPr>
              <w:pStyle w:val="TableParagraph"/>
              <w:numPr>
                <w:ilvl w:val="0"/>
                <w:numId w:val="1292"/>
              </w:numPr>
              <w:tabs>
                <w:tab w:val="left" w:pos="306"/>
              </w:tabs>
              <w:spacing w:before="98" w:line="254" w:lineRule="auto"/>
              <w:ind w:right="237"/>
              <w:rPr>
                <w:sz w:val="16"/>
                <w:szCs w:val="16"/>
              </w:rPr>
            </w:pPr>
            <w:r w:rsidRPr="00A1021A">
              <w:rPr>
                <w:color w:val="231F20"/>
                <w:sz w:val="16"/>
                <w:szCs w:val="16"/>
              </w:rPr>
              <w:t>Flush</w:t>
            </w:r>
            <w:r w:rsidRPr="00A1021A">
              <w:rPr>
                <w:color w:val="231F20"/>
                <w:spacing w:val="-4"/>
                <w:sz w:val="16"/>
                <w:szCs w:val="16"/>
              </w:rPr>
              <w:t xml:space="preserve"> </w:t>
            </w:r>
            <w:r w:rsidRPr="00A1021A">
              <w:rPr>
                <w:color w:val="231F20"/>
                <w:sz w:val="16"/>
                <w:szCs w:val="16"/>
              </w:rPr>
              <w:t>pools</w:t>
            </w:r>
            <w:r w:rsidRPr="00A1021A">
              <w:rPr>
                <w:color w:val="231F20"/>
                <w:spacing w:val="-4"/>
                <w:sz w:val="16"/>
                <w:szCs w:val="16"/>
              </w:rPr>
              <w:t xml:space="preserve"> </w:t>
            </w:r>
            <w:r w:rsidRPr="00A1021A">
              <w:rPr>
                <w:color w:val="231F20"/>
                <w:sz w:val="16"/>
                <w:szCs w:val="16"/>
              </w:rPr>
              <w:t>to</w:t>
            </w:r>
            <w:r w:rsidRPr="00A1021A">
              <w:rPr>
                <w:color w:val="231F20"/>
                <w:spacing w:val="-4"/>
                <w:sz w:val="16"/>
                <w:szCs w:val="16"/>
              </w:rPr>
              <w:t xml:space="preserve"> </w:t>
            </w:r>
            <w:r w:rsidRPr="00A1021A">
              <w:rPr>
                <w:color w:val="231F20"/>
                <w:sz w:val="16"/>
                <w:szCs w:val="16"/>
              </w:rPr>
              <w:t>improve</w:t>
            </w:r>
            <w:r w:rsidRPr="00A1021A">
              <w:rPr>
                <w:color w:val="231F20"/>
                <w:spacing w:val="-4"/>
                <w:sz w:val="16"/>
                <w:szCs w:val="16"/>
              </w:rPr>
              <w:t xml:space="preserve"> </w:t>
            </w:r>
            <w:r w:rsidRPr="00A1021A">
              <w:rPr>
                <w:color w:val="231F20"/>
                <w:sz w:val="16"/>
                <w:szCs w:val="16"/>
              </w:rPr>
              <w:t>the</w:t>
            </w:r>
            <w:r w:rsidRPr="00A1021A">
              <w:rPr>
                <w:color w:val="231F20"/>
                <w:spacing w:val="-3"/>
                <w:sz w:val="16"/>
                <w:szCs w:val="16"/>
              </w:rPr>
              <w:t xml:space="preserve"> </w:t>
            </w:r>
            <w:r w:rsidRPr="00A1021A">
              <w:rPr>
                <w:color w:val="231F20"/>
                <w:sz w:val="16"/>
                <w:szCs w:val="16"/>
              </w:rPr>
              <w:t>water</w:t>
            </w:r>
            <w:r w:rsidRPr="00A1021A">
              <w:rPr>
                <w:color w:val="231F20"/>
                <w:spacing w:val="-5"/>
                <w:sz w:val="16"/>
                <w:szCs w:val="16"/>
              </w:rPr>
              <w:t xml:space="preserve"> </w:t>
            </w:r>
            <w:r w:rsidRPr="00A1021A">
              <w:rPr>
                <w:color w:val="231F20"/>
                <w:sz w:val="16"/>
                <w:szCs w:val="16"/>
              </w:rPr>
              <w:t>quality</w:t>
            </w:r>
            <w:r w:rsidRPr="00A1021A">
              <w:rPr>
                <w:color w:val="231F20"/>
                <w:spacing w:val="-4"/>
                <w:sz w:val="16"/>
                <w:szCs w:val="16"/>
              </w:rPr>
              <w:t xml:space="preserve"> </w:t>
            </w:r>
            <w:r w:rsidRPr="00A1021A">
              <w:rPr>
                <w:color w:val="231F20"/>
                <w:sz w:val="16"/>
                <w:szCs w:val="16"/>
              </w:rPr>
              <w:t>and</w:t>
            </w:r>
            <w:r w:rsidRPr="00A1021A">
              <w:rPr>
                <w:color w:val="231F20"/>
                <w:spacing w:val="-4"/>
                <w:sz w:val="16"/>
                <w:szCs w:val="16"/>
              </w:rPr>
              <w:t xml:space="preserve"> </w:t>
            </w:r>
            <w:r w:rsidRPr="00A1021A">
              <w:rPr>
                <w:color w:val="231F20"/>
                <w:sz w:val="16"/>
                <w:szCs w:val="16"/>
              </w:rPr>
              <w:t>increase</w:t>
            </w:r>
            <w:r w:rsidRPr="00A1021A">
              <w:rPr>
                <w:color w:val="231F20"/>
                <w:spacing w:val="-5"/>
                <w:sz w:val="16"/>
                <w:szCs w:val="16"/>
              </w:rPr>
              <w:t xml:space="preserve"> </w:t>
            </w:r>
            <w:r w:rsidRPr="00A1021A">
              <w:rPr>
                <w:color w:val="231F20"/>
                <w:sz w:val="16"/>
                <w:szCs w:val="16"/>
              </w:rPr>
              <w:t>wetted</w:t>
            </w:r>
            <w:r w:rsidRPr="00A1021A">
              <w:rPr>
                <w:color w:val="231F20"/>
                <w:spacing w:val="-4"/>
                <w:sz w:val="16"/>
                <w:szCs w:val="16"/>
              </w:rPr>
              <w:t xml:space="preserve"> </w:t>
            </w:r>
            <w:r w:rsidRPr="00A1021A">
              <w:rPr>
                <w:color w:val="231F20"/>
                <w:sz w:val="16"/>
                <w:szCs w:val="16"/>
              </w:rPr>
              <w:t>habitat</w:t>
            </w:r>
            <w:r w:rsidRPr="00A1021A">
              <w:rPr>
                <w:color w:val="231F20"/>
                <w:spacing w:val="-4"/>
                <w:sz w:val="16"/>
                <w:szCs w:val="16"/>
              </w:rPr>
              <w:t xml:space="preserve"> </w:t>
            </w:r>
            <w:r w:rsidRPr="00A1021A">
              <w:rPr>
                <w:color w:val="231F20"/>
                <w:sz w:val="16"/>
                <w:szCs w:val="16"/>
              </w:rPr>
              <w:t>for waterbugs</w:t>
            </w:r>
          </w:p>
          <w:p w:rsidR="006A7A3F" w:rsidRPr="00A1021A" w:rsidRDefault="00BC7372" w:rsidP="009B6917">
            <w:pPr>
              <w:pStyle w:val="TableParagraph"/>
              <w:numPr>
                <w:ilvl w:val="0"/>
                <w:numId w:val="1292"/>
              </w:numPr>
              <w:tabs>
                <w:tab w:val="left" w:pos="306"/>
              </w:tabs>
              <w:spacing w:before="86" w:line="254" w:lineRule="auto"/>
              <w:ind w:right="526"/>
              <w:rPr>
                <w:sz w:val="16"/>
                <w:szCs w:val="16"/>
              </w:rPr>
            </w:pPr>
            <w:r w:rsidRPr="00A1021A">
              <w:rPr>
                <w:color w:val="231F20"/>
                <w:sz w:val="16"/>
                <w:szCs w:val="16"/>
              </w:rPr>
              <w:t xml:space="preserve">Provide flows with sufficient shear stress to flush fine sediment </w:t>
            </w:r>
            <w:r w:rsidRPr="00A1021A">
              <w:rPr>
                <w:color w:val="231F20"/>
                <w:spacing w:val="-4"/>
                <w:sz w:val="16"/>
                <w:szCs w:val="16"/>
              </w:rPr>
              <w:t xml:space="preserve">from </w:t>
            </w:r>
            <w:r w:rsidRPr="00A1021A">
              <w:rPr>
                <w:color w:val="231F20"/>
                <w:sz w:val="16"/>
                <w:szCs w:val="16"/>
              </w:rPr>
              <w:t>small gaps to improve geomorphic</w:t>
            </w:r>
            <w:r w:rsidRPr="00A1021A">
              <w:rPr>
                <w:color w:val="231F20"/>
                <w:spacing w:val="-6"/>
                <w:sz w:val="16"/>
                <w:szCs w:val="16"/>
              </w:rPr>
              <w:t xml:space="preserve"> </w:t>
            </w:r>
            <w:r w:rsidRPr="00A1021A">
              <w:rPr>
                <w:color w:val="231F20"/>
                <w:sz w:val="16"/>
                <w:szCs w:val="16"/>
              </w:rPr>
              <w:t>habitat</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5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57"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A1021A">
        <w:trPr>
          <w:trHeight w:val="2149"/>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7" cy="310896"/>
                  <wp:effectExtent l="0" t="0" r="0" b="0"/>
                  <wp:docPr id="25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77" cy="310896"/>
                  <wp:effectExtent l="0" t="0" r="0" b="0"/>
                  <wp:docPr id="26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r w:rsidR="006A7A3F" w:rsidTr="00533036">
        <w:trPr>
          <w:trHeight w:val="347"/>
        </w:trPr>
        <w:tc>
          <w:tcPr>
            <w:tcW w:w="2381" w:type="dxa"/>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7"/>
              <w:ind w:left="85"/>
              <w:rPr>
                <w:b/>
                <w:sz w:val="16"/>
              </w:rPr>
            </w:pPr>
            <w:r>
              <w:rPr>
                <w:b/>
                <w:color w:val="231F20"/>
                <w:sz w:val="16"/>
              </w:rPr>
              <w:t>Macalister River reach 2</w:t>
            </w:r>
          </w:p>
        </w:tc>
        <w:tc>
          <w:tcPr>
            <w:tcW w:w="6236" w:type="dxa"/>
            <w:tcBorders>
              <w:top w:val="single" w:sz="4" w:space="0" w:color="231F20"/>
              <w:left w:val="single" w:sz="4" w:space="0" w:color="231F20"/>
              <w:bottom w:val="single" w:sz="4" w:space="0" w:color="231F20"/>
              <w:right w:val="single" w:sz="4" w:space="0" w:color="231F20"/>
            </w:tcBorders>
            <w:shd w:val="clear" w:color="auto" w:fill="E6E7E8"/>
          </w:tcPr>
          <w:p w:rsidR="006A7A3F" w:rsidRDefault="006A7A3F">
            <w:pPr>
              <w:pStyle w:val="TableParagraph"/>
              <w:ind w:left="0"/>
              <w:rPr>
                <w:rFonts w:ascii="Times New Roman"/>
                <w:sz w:val="16"/>
              </w:rPr>
            </w:pPr>
          </w:p>
        </w:tc>
        <w:tc>
          <w:tcPr>
            <w:tcW w:w="1558" w:type="dxa"/>
            <w:gridSpan w:val="2"/>
            <w:tcBorders>
              <w:top w:val="single" w:sz="4" w:space="0" w:color="231F20"/>
              <w:left w:val="single" w:sz="4" w:space="0" w:color="231F20"/>
              <w:bottom w:val="single" w:sz="4" w:space="0" w:color="231F20"/>
              <w:right w:val="single" w:sz="4" w:space="0" w:color="231F20"/>
            </w:tcBorders>
            <w:shd w:val="clear" w:color="auto" w:fill="E6E7E8"/>
          </w:tcPr>
          <w:p w:rsidR="006A7A3F" w:rsidRDefault="006A7A3F">
            <w:pPr>
              <w:pStyle w:val="TableParagraph"/>
              <w:ind w:left="0"/>
              <w:rPr>
                <w:rFonts w:ascii="Times New Roman"/>
                <w:sz w:val="16"/>
              </w:rPr>
            </w:pPr>
          </w:p>
        </w:tc>
      </w:tr>
      <w:tr w:rsidR="006A7A3F" w:rsidTr="00A1021A">
        <w:trPr>
          <w:trHeight w:val="1489"/>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549"/>
              <w:rPr>
                <w:sz w:val="16"/>
              </w:rPr>
            </w:pPr>
            <w:r>
              <w:rPr>
                <w:color w:val="231F20"/>
                <w:sz w:val="16"/>
              </w:rPr>
              <w:t>Autumn fresh (one fresh of 350 ML/day for three</w:t>
            </w:r>
          </w:p>
          <w:p w:rsidR="006A7A3F" w:rsidRDefault="00BC7372">
            <w:pPr>
              <w:pStyle w:val="TableParagraph"/>
              <w:spacing w:line="261" w:lineRule="auto"/>
              <w:ind w:left="85" w:right="169"/>
              <w:rPr>
                <w:sz w:val="16"/>
              </w:rPr>
            </w:pPr>
            <w:r>
              <w:rPr>
                <w:color w:val="231F20"/>
                <w:sz w:val="16"/>
              </w:rPr>
              <w:t>to seven days during April to May)</w:t>
            </w:r>
          </w:p>
        </w:tc>
        <w:tc>
          <w:tcPr>
            <w:tcW w:w="6236" w:type="dxa"/>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291"/>
              </w:numPr>
              <w:tabs>
                <w:tab w:val="left" w:pos="306"/>
              </w:tabs>
              <w:spacing w:before="63" w:line="254" w:lineRule="auto"/>
              <w:ind w:right="705"/>
              <w:rPr>
                <w:sz w:val="16"/>
                <w:szCs w:val="16"/>
              </w:rPr>
            </w:pPr>
            <w:r w:rsidRPr="00A1021A">
              <w:rPr>
                <w:color w:val="231F20"/>
                <w:sz w:val="16"/>
                <w:szCs w:val="16"/>
              </w:rPr>
              <w:t>Cue the downstream migration for Australian grayling towards</w:t>
            </w:r>
            <w:r w:rsidRPr="00A1021A">
              <w:rPr>
                <w:color w:val="231F20"/>
                <w:spacing w:val="-30"/>
                <w:sz w:val="16"/>
                <w:szCs w:val="16"/>
              </w:rPr>
              <w:t xml:space="preserve"> </w:t>
            </w:r>
            <w:r w:rsidRPr="00A1021A">
              <w:rPr>
                <w:color w:val="231F20"/>
                <w:sz w:val="16"/>
                <w:szCs w:val="16"/>
              </w:rPr>
              <w:t>the estuary for</w:t>
            </w:r>
            <w:r w:rsidRPr="00A1021A">
              <w:rPr>
                <w:color w:val="231F20"/>
                <w:spacing w:val="-2"/>
                <w:sz w:val="16"/>
                <w:szCs w:val="16"/>
              </w:rPr>
              <w:t xml:space="preserve"> </w:t>
            </w:r>
            <w:r w:rsidRPr="00A1021A">
              <w:rPr>
                <w:color w:val="231F20"/>
                <w:sz w:val="16"/>
                <w:szCs w:val="16"/>
              </w:rPr>
              <w:t>spawning</w:t>
            </w:r>
          </w:p>
          <w:p w:rsidR="006A7A3F" w:rsidRPr="00A1021A" w:rsidRDefault="00BC7372" w:rsidP="009B6917">
            <w:pPr>
              <w:pStyle w:val="TableParagraph"/>
              <w:numPr>
                <w:ilvl w:val="0"/>
                <w:numId w:val="1291"/>
              </w:numPr>
              <w:tabs>
                <w:tab w:val="left" w:pos="306"/>
              </w:tabs>
              <w:spacing w:before="86" w:line="254" w:lineRule="auto"/>
              <w:ind w:right="196"/>
              <w:rPr>
                <w:sz w:val="16"/>
                <w:szCs w:val="16"/>
              </w:rPr>
            </w:pPr>
            <w:r w:rsidRPr="00A1021A">
              <w:rPr>
                <w:color w:val="231F20"/>
                <w:sz w:val="16"/>
                <w:szCs w:val="16"/>
              </w:rPr>
              <w:t>Fully flush the upper Thomson estuary (when delivered for greater than three days and combined with freshes in the Thomson River) to flush sediments from substrates, provide water quality conditions that support waterbugs and to provide freshwater to the lower Latrobe River and wetlands</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170"/>
              <w:rPr>
                <w:sz w:val="20"/>
              </w:rPr>
            </w:pPr>
            <w:r>
              <w:rPr>
                <w:noProof/>
                <w:sz w:val="20"/>
              </w:rPr>
              <w:drawing>
                <wp:inline distT="0" distB="0" distL="0" distR="0">
                  <wp:extent cx="314168" cy="310896"/>
                  <wp:effectExtent l="0" t="0" r="0" b="0"/>
                  <wp:docPr id="26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r>
      <w:tr w:rsidR="006A7A3F" w:rsidTr="00533036">
        <w:trPr>
          <w:trHeight w:val="9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31"/>
              <w:rPr>
                <w:sz w:val="16"/>
              </w:rPr>
            </w:pPr>
            <w:r>
              <w:rPr>
                <w:color w:val="231F20"/>
                <w:sz w:val="16"/>
              </w:rPr>
              <w:t>Winter fresh (one to two freshes of 700 ML/day for four to five days during June to August)</w:t>
            </w:r>
          </w:p>
        </w:tc>
        <w:tc>
          <w:tcPr>
            <w:tcW w:w="6236" w:type="dxa"/>
            <w:tcBorders>
              <w:top w:val="single" w:sz="4" w:space="0" w:color="231F20"/>
              <w:left w:val="single" w:sz="4" w:space="0" w:color="231F20"/>
              <w:bottom w:val="single" w:sz="4" w:space="0" w:color="231F20"/>
              <w:right w:val="single" w:sz="4" w:space="0" w:color="231F20"/>
            </w:tcBorders>
          </w:tcPr>
          <w:p w:rsidR="006A7A3F" w:rsidRPr="00A1021A" w:rsidRDefault="00BC7372" w:rsidP="009B6917">
            <w:pPr>
              <w:pStyle w:val="TableParagraph"/>
              <w:numPr>
                <w:ilvl w:val="0"/>
                <w:numId w:val="1290"/>
              </w:numPr>
              <w:tabs>
                <w:tab w:val="left" w:pos="306"/>
              </w:tabs>
              <w:spacing w:before="63" w:line="254" w:lineRule="auto"/>
              <w:ind w:right="115"/>
              <w:rPr>
                <w:sz w:val="16"/>
                <w:szCs w:val="16"/>
              </w:rPr>
            </w:pPr>
            <w:r w:rsidRPr="00A1021A">
              <w:rPr>
                <w:color w:val="231F20"/>
                <w:sz w:val="16"/>
                <w:szCs w:val="16"/>
              </w:rPr>
              <w:t>Cue the downstream migration towards the estuary of Australian bass</w:t>
            </w:r>
            <w:r w:rsidRPr="00A1021A">
              <w:rPr>
                <w:color w:val="231F20"/>
                <w:spacing w:val="-34"/>
                <w:sz w:val="16"/>
                <w:szCs w:val="16"/>
              </w:rPr>
              <w:t xml:space="preserve"> </w:t>
            </w:r>
            <w:r w:rsidRPr="00A1021A">
              <w:rPr>
                <w:color w:val="231F20"/>
                <w:sz w:val="16"/>
                <w:szCs w:val="16"/>
              </w:rPr>
              <w:t>for spawning and of tupong for</w:t>
            </w:r>
            <w:r w:rsidRPr="00A1021A">
              <w:rPr>
                <w:color w:val="231F20"/>
                <w:spacing w:val="-3"/>
                <w:sz w:val="16"/>
                <w:szCs w:val="16"/>
              </w:rPr>
              <w:t xml:space="preserve"> </w:t>
            </w:r>
            <w:r w:rsidRPr="00A1021A">
              <w:rPr>
                <w:color w:val="231F20"/>
                <w:sz w:val="16"/>
                <w:szCs w:val="16"/>
              </w:rPr>
              <w:t>breeding</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170"/>
              <w:rPr>
                <w:sz w:val="20"/>
              </w:rPr>
            </w:pPr>
            <w:r>
              <w:rPr>
                <w:noProof/>
                <w:sz w:val="20"/>
              </w:rPr>
              <w:drawing>
                <wp:inline distT="0" distB="0" distL="0" distR="0">
                  <wp:extent cx="314168" cy="310895"/>
                  <wp:effectExtent l="0" t="0" r="0" b="0"/>
                  <wp:docPr id="26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9.jpeg"/>
                          <pic:cNvPicPr/>
                        </pic:nvPicPr>
                        <pic:blipFill>
                          <a:blip r:embed="rId31" cstate="print"/>
                          <a:stretch>
                            <a:fillRect/>
                          </a:stretch>
                        </pic:blipFill>
                        <pic:spPr>
                          <a:xfrm>
                            <a:off x="0" y="0"/>
                            <a:ext cx="314168" cy="310895"/>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5675D9">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5675D9" w:rsidTr="005675D9">
        <w:trPr>
          <w:trHeight w:val="620"/>
        </w:trPr>
        <w:tc>
          <w:tcPr>
            <w:tcW w:w="2381" w:type="dxa"/>
            <w:tcBorders>
              <w:top w:val="nil"/>
              <w:left w:val="single" w:sz="4" w:space="0" w:color="231F20"/>
              <w:bottom w:val="single" w:sz="4" w:space="0" w:color="231F20"/>
              <w:right w:val="single" w:sz="4" w:space="0" w:color="231F20"/>
            </w:tcBorders>
          </w:tcPr>
          <w:p w:rsidR="005675D9" w:rsidRDefault="005675D9" w:rsidP="005675D9">
            <w:pPr>
              <w:pStyle w:val="TableParagraph"/>
              <w:spacing w:before="67" w:line="261" w:lineRule="auto"/>
              <w:ind w:left="85" w:right="318"/>
              <w:rPr>
                <w:color w:val="231F20"/>
                <w:sz w:val="16"/>
              </w:rPr>
            </w:pPr>
            <w:r>
              <w:rPr>
                <w:color w:val="231F20"/>
                <w:sz w:val="16"/>
              </w:rPr>
              <w:t>Spring fresh (one fresh of 700 ML/day for five days during September to November)</w:t>
            </w:r>
          </w:p>
        </w:tc>
        <w:tc>
          <w:tcPr>
            <w:tcW w:w="6236" w:type="dxa"/>
            <w:tcBorders>
              <w:top w:val="nil"/>
              <w:left w:val="single" w:sz="4" w:space="0" w:color="231F20"/>
              <w:bottom w:val="single" w:sz="4" w:space="0" w:color="231F20"/>
              <w:right w:val="single" w:sz="4" w:space="0" w:color="231F20"/>
            </w:tcBorders>
          </w:tcPr>
          <w:p w:rsidR="005675D9" w:rsidRPr="00A1021A" w:rsidRDefault="005675D9" w:rsidP="005675D9">
            <w:pPr>
              <w:pStyle w:val="TableParagraph"/>
              <w:numPr>
                <w:ilvl w:val="0"/>
                <w:numId w:val="1289"/>
              </w:numPr>
              <w:tabs>
                <w:tab w:val="left" w:pos="306"/>
              </w:tabs>
              <w:spacing w:before="63" w:line="254" w:lineRule="auto"/>
              <w:ind w:right="346"/>
              <w:rPr>
                <w:sz w:val="16"/>
                <w:szCs w:val="16"/>
              </w:rPr>
            </w:pPr>
            <w:r w:rsidRPr="00A1021A">
              <w:rPr>
                <w:color w:val="231F20"/>
                <w:sz w:val="16"/>
                <w:szCs w:val="16"/>
              </w:rPr>
              <w:t>Cue the upstream migration of adult fish (e.g. short-headed lamprey), and recruitment of juveniles (e.g. Australian grayling, tupong,</w:t>
            </w:r>
            <w:r w:rsidRPr="00A1021A">
              <w:rPr>
                <w:color w:val="231F20"/>
                <w:spacing w:val="-32"/>
                <w:sz w:val="16"/>
                <w:szCs w:val="16"/>
              </w:rPr>
              <w:t xml:space="preserve"> </w:t>
            </w:r>
            <w:r w:rsidRPr="00A1021A">
              <w:rPr>
                <w:color w:val="231F20"/>
                <w:sz w:val="16"/>
                <w:szCs w:val="16"/>
              </w:rPr>
              <w:t>common galaxias, Australian bass, short and long-finned eels) from marine/ estuarine</w:t>
            </w:r>
            <w:r w:rsidRPr="00A1021A">
              <w:rPr>
                <w:color w:val="231F20"/>
                <w:spacing w:val="-2"/>
                <w:sz w:val="16"/>
                <w:szCs w:val="16"/>
              </w:rPr>
              <w:t xml:space="preserve"> </w:t>
            </w:r>
            <w:r w:rsidRPr="00A1021A">
              <w:rPr>
                <w:color w:val="231F20"/>
                <w:sz w:val="16"/>
                <w:szCs w:val="16"/>
              </w:rPr>
              <w:t>environments</w:t>
            </w:r>
          </w:p>
          <w:p w:rsidR="005675D9" w:rsidRPr="00A1021A" w:rsidRDefault="005675D9" w:rsidP="005675D9">
            <w:pPr>
              <w:pStyle w:val="TableParagraph"/>
              <w:numPr>
                <w:ilvl w:val="0"/>
                <w:numId w:val="1289"/>
              </w:numPr>
              <w:tabs>
                <w:tab w:val="left" w:pos="306"/>
              </w:tabs>
              <w:spacing w:before="87" w:line="254" w:lineRule="auto"/>
              <w:ind w:right="90"/>
              <w:rPr>
                <w:sz w:val="16"/>
                <w:szCs w:val="16"/>
              </w:rPr>
            </w:pPr>
            <w:r w:rsidRPr="00A1021A">
              <w:rPr>
                <w:color w:val="231F20"/>
                <w:sz w:val="16"/>
                <w:szCs w:val="16"/>
              </w:rPr>
              <w:t>Wet a greater area of the stream channel (increasing water depth) to</w:t>
            </w:r>
            <w:r w:rsidRPr="00A1021A">
              <w:rPr>
                <w:color w:val="231F20"/>
                <w:spacing w:val="-35"/>
                <w:sz w:val="16"/>
                <w:szCs w:val="16"/>
              </w:rPr>
              <w:t xml:space="preserve"> </w:t>
            </w:r>
            <w:r w:rsidRPr="00A1021A">
              <w:rPr>
                <w:color w:val="231F20"/>
                <w:sz w:val="16"/>
                <w:szCs w:val="16"/>
              </w:rPr>
              <w:t>limit terrestrial vegetation</w:t>
            </w:r>
            <w:r w:rsidRPr="00A1021A">
              <w:rPr>
                <w:color w:val="231F20"/>
                <w:spacing w:val="-1"/>
                <w:sz w:val="16"/>
                <w:szCs w:val="16"/>
              </w:rPr>
              <w:t xml:space="preserve"> </w:t>
            </w:r>
            <w:r w:rsidRPr="00A1021A">
              <w:rPr>
                <w:color w:val="231F20"/>
                <w:sz w:val="16"/>
                <w:szCs w:val="16"/>
              </w:rPr>
              <w:t>encroachment</w:t>
            </w:r>
          </w:p>
          <w:p w:rsidR="005675D9" w:rsidRPr="00A1021A" w:rsidRDefault="005675D9" w:rsidP="005675D9">
            <w:pPr>
              <w:pStyle w:val="TableParagraph"/>
              <w:numPr>
                <w:ilvl w:val="0"/>
                <w:numId w:val="1289"/>
              </w:numPr>
              <w:tabs>
                <w:tab w:val="left" w:pos="306"/>
              </w:tabs>
              <w:spacing w:before="63" w:after="120"/>
              <w:ind w:left="306" w:hanging="215"/>
              <w:rPr>
                <w:color w:val="231F20"/>
                <w:sz w:val="16"/>
                <w:szCs w:val="16"/>
              </w:rPr>
            </w:pPr>
            <w:r w:rsidRPr="00A1021A">
              <w:rPr>
                <w:color w:val="231F20"/>
                <w:sz w:val="16"/>
                <w:szCs w:val="16"/>
              </w:rPr>
              <w:t>Wet</w:t>
            </w:r>
            <w:r w:rsidRPr="00A1021A">
              <w:rPr>
                <w:color w:val="231F20"/>
                <w:spacing w:val="-4"/>
                <w:sz w:val="16"/>
                <w:szCs w:val="16"/>
              </w:rPr>
              <w:t xml:space="preserve"> </w:t>
            </w:r>
            <w:r w:rsidRPr="00A1021A">
              <w:rPr>
                <w:color w:val="231F20"/>
                <w:sz w:val="16"/>
                <w:szCs w:val="16"/>
              </w:rPr>
              <w:t>low</w:t>
            </w:r>
            <w:r w:rsidRPr="00A1021A">
              <w:rPr>
                <w:color w:val="231F20"/>
                <w:spacing w:val="-4"/>
                <w:sz w:val="16"/>
                <w:szCs w:val="16"/>
              </w:rPr>
              <w:t xml:space="preserve"> </w:t>
            </w:r>
            <w:r w:rsidRPr="00A1021A">
              <w:rPr>
                <w:color w:val="231F20"/>
                <w:sz w:val="16"/>
                <w:szCs w:val="16"/>
              </w:rPr>
              <w:t>and</w:t>
            </w:r>
            <w:r w:rsidRPr="00A1021A">
              <w:rPr>
                <w:color w:val="231F20"/>
                <w:spacing w:val="-4"/>
                <w:sz w:val="16"/>
                <w:szCs w:val="16"/>
              </w:rPr>
              <w:t xml:space="preserve"> </w:t>
            </w:r>
            <w:r w:rsidRPr="00A1021A">
              <w:rPr>
                <w:color w:val="231F20"/>
                <w:sz w:val="16"/>
                <w:szCs w:val="16"/>
              </w:rPr>
              <w:t>mid-level</w:t>
            </w:r>
            <w:r w:rsidRPr="00A1021A">
              <w:rPr>
                <w:color w:val="231F20"/>
                <w:spacing w:val="-3"/>
                <w:sz w:val="16"/>
                <w:szCs w:val="16"/>
              </w:rPr>
              <w:t xml:space="preserve"> </w:t>
            </w:r>
            <w:r w:rsidRPr="00A1021A">
              <w:rPr>
                <w:color w:val="231F20"/>
                <w:sz w:val="16"/>
                <w:szCs w:val="16"/>
              </w:rPr>
              <w:t>benches</w:t>
            </w:r>
            <w:r w:rsidRPr="00A1021A">
              <w:rPr>
                <w:color w:val="231F20"/>
                <w:spacing w:val="-4"/>
                <w:sz w:val="16"/>
                <w:szCs w:val="16"/>
              </w:rPr>
              <w:t xml:space="preserve"> </w:t>
            </w:r>
            <w:r w:rsidRPr="00A1021A">
              <w:rPr>
                <w:color w:val="231F20"/>
                <w:sz w:val="16"/>
                <w:szCs w:val="16"/>
              </w:rPr>
              <w:t>to</w:t>
            </w:r>
            <w:r w:rsidRPr="00A1021A">
              <w:rPr>
                <w:color w:val="231F20"/>
                <w:spacing w:val="-3"/>
                <w:sz w:val="16"/>
                <w:szCs w:val="16"/>
              </w:rPr>
              <w:t xml:space="preserve"> </w:t>
            </w:r>
            <w:r w:rsidRPr="00A1021A">
              <w:rPr>
                <w:color w:val="231F20"/>
                <w:sz w:val="16"/>
                <w:szCs w:val="16"/>
              </w:rPr>
              <w:t>facilitate</w:t>
            </w:r>
            <w:r w:rsidRPr="00A1021A">
              <w:rPr>
                <w:color w:val="231F20"/>
                <w:spacing w:val="-3"/>
                <w:sz w:val="16"/>
                <w:szCs w:val="16"/>
              </w:rPr>
              <w:t xml:space="preserve"> </w:t>
            </w:r>
            <w:r w:rsidRPr="00A1021A">
              <w:rPr>
                <w:color w:val="231F20"/>
                <w:sz w:val="16"/>
                <w:szCs w:val="16"/>
              </w:rPr>
              <w:t>the</w:t>
            </w:r>
            <w:r w:rsidRPr="00A1021A">
              <w:rPr>
                <w:color w:val="231F20"/>
                <w:spacing w:val="-3"/>
                <w:sz w:val="16"/>
                <w:szCs w:val="16"/>
              </w:rPr>
              <w:t xml:space="preserve"> </w:t>
            </w:r>
            <w:r w:rsidRPr="00A1021A">
              <w:rPr>
                <w:color w:val="231F20"/>
                <w:sz w:val="16"/>
                <w:szCs w:val="16"/>
              </w:rPr>
              <w:t>dispersal</w:t>
            </w:r>
            <w:r w:rsidRPr="00A1021A">
              <w:rPr>
                <w:color w:val="231F20"/>
                <w:spacing w:val="-3"/>
                <w:sz w:val="16"/>
                <w:szCs w:val="16"/>
              </w:rPr>
              <w:t xml:space="preserve"> </w:t>
            </w:r>
            <w:r w:rsidRPr="00A1021A">
              <w:rPr>
                <w:color w:val="231F20"/>
                <w:sz w:val="16"/>
                <w:szCs w:val="16"/>
              </w:rPr>
              <w:t>of</w:t>
            </w:r>
            <w:r w:rsidRPr="00A1021A">
              <w:rPr>
                <w:color w:val="231F20"/>
                <w:spacing w:val="-4"/>
                <w:sz w:val="16"/>
                <w:szCs w:val="16"/>
              </w:rPr>
              <w:t xml:space="preserve"> </w:t>
            </w:r>
            <w:r w:rsidRPr="00A1021A">
              <w:rPr>
                <w:color w:val="231F20"/>
                <w:sz w:val="16"/>
                <w:szCs w:val="16"/>
              </w:rPr>
              <w:t>emergent</w:t>
            </w:r>
            <w:r w:rsidRPr="00A1021A">
              <w:rPr>
                <w:color w:val="231F20"/>
                <w:spacing w:val="-4"/>
                <w:sz w:val="16"/>
                <w:szCs w:val="16"/>
              </w:rPr>
              <w:t xml:space="preserve"> </w:t>
            </w:r>
            <w:r w:rsidRPr="00A1021A">
              <w:rPr>
                <w:color w:val="231F20"/>
                <w:sz w:val="16"/>
                <w:szCs w:val="16"/>
              </w:rPr>
              <w:t>and fringing vegetation throughout the reach</w:t>
            </w:r>
          </w:p>
        </w:tc>
        <w:tc>
          <w:tcPr>
            <w:tcW w:w="850" w:type="dxa"/>
            <w:tcBorders>
              <w:top w:val="nil"/>
              <w:left w:val="single" w:sz="4" w:space="0" w:color="231F20"/>
              <w:bottom w:val="single" w:sz="4" w:space="0" w:color="auto"/>
              <w:right w:val="nil"/>
            </w:tcBorders>
          </w:tcPr>
          <w:p w:rsidR="005675D9" w:rsidRDefault="005675D9" w:rsidP="005675D9">
            <w:pPr>
              <w:pStyle w:val="TableParagraph"/>
              <w:spacing w:before="9"/>
              <w:ind w:left="0"/>
              <w:rPr>
                <w:b/>
                <w:sz w:val="8"/>
              </w:rPr>
            </w:pPr>
          </w:p>
          <w:p w:rsidR="005675D9" w:rsidRDefault="005675D9" w:rsidP="005675D9">
            <w:pPr>
              <w:pStyle w:val="TableParagraph"/>
              <w:ind w:left="315" w:right="-15"/>
              <w:rPr>
                <w:sz w:val="20"/>
              </w:rPr>
            </w:pPr>
            <w:r>
              <w:rPr>
                <w:noProof/>
                <w:sz w:val="20"/>
              </w:rPr>
              <w:drawing>
                <wp:inline distT="0" distB="0" distL="0" distR="0" wp14:anchorId="34D1286C" wp14:editId="57087B6B">
                  <wp:extent cx="314168" cy="310895"/>
                  <wp:effectExtent l="0" t="0" r="0" b="0"/>
                  <wp:docPr id="240"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auto"/>
              <w:right w:val="single" w:sz="4" w:space="0" w:color="231F20"/>
            </w:tcBorders>
          </w:tcPr>
          <w:p w:rsidR="005675D9" w:rsidRDefault="005675D9" w:rsidP="005675D9">
            <w:pPr>
              <w:pStyle w:val="TableParagraph"/>
              <w:spacing w:before="9"/>
              <w:ind w:left="0"/>
              <w:rPr>
                <w:b/>
                <w:sz w:val="8"/>
              </w:rPr>
            </w:pPr>
          </w:p>
          <w:p w:rsidR="005675D9" w:rsidRDefault="005675D9" w:rsidP="005675D9">
            <w:pPr>
              <w:pStyle w:val="TableParagraph"/>
              <w:ind w:left="48"/>
              <w:rPr>
                <w:sz w:val="20"/>
              </w:rPr>
            </w:pPr>
            <w:r>
              <w:rPr>
                <w:noProof/>
                <w:sz w:val="20"/>
              </w:rPr>
              <w:drawing>
                <wp:inline distT="0" distB="0" distL="0" distR="0" wp14:anchorId="7B739CF2" wp14:editId="1D58F165">
                  <wp:extent cx="314168" cy="310895"/>
                  <wp:effectExtent l="0" t="0" r="0" b="0"/>
                  <wp:docPr id="242"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r w:rsidR="006A7A3F" w:rsidTr="005675D9">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318"/>
              <w:rPr>
                <w:sz w:val="16"/>
              </w:rPr>
            </w:pPr>
            <w:r>
              <w:rPr>
                <w:color w:val="231F20"/>
                <w:sz w:val="16"/>
              </w:rPr>
              <w:t>Summer/autumn fresh (one to three freshes of 140 ML/</w:t>
            </w:r>
          </w:p>
          <w:p w:rsidR="006A7A3F" w:rsidRDefault="00BC7372">
            <w:pPr>
              <w:pStyle w:val="TableParagraph"/>
              <w:spacing w:line="261" w:lineRule="auto"/>
              <w:ind w:left="85" w:right="95"/>
              <w:rPr>
                <w:sz w:val="16"/>
              </w:rPr>
            </w:pPr>
            <w:r>
              <w:rPr>
                <w:color w:val="231F20"/>
                <w:sz w:val="16"/>
              </w:rPr>
              <w:t>day for three to 10 days during December to May)</w:t>
            </w:r>
          </w:p>
        </w:tc>
        <w:tc>
          <w:tcPr>
            <w:tcW w:w="6236" w:type="dxa"/>
            <w:vMerge w:val="restart"/>
            <w:tcBorders>
              <w:top w:val="nil"/>
              <w:left w:val="single" w:sz="4" w:space="0" w:color="231F20"/>
              <w:bottom w:val="single" w:sz="4" w:space="0" w:color="231F20"/>
              <w:right w:val="single" w:sz="4" w:space="0" w:color="231F20"/>
            </w:tcBorders>
          </w:tcPr>
          <w:p w:rsidR="006A7A3F" w:rsidRPr="00A1021A" w:rsidRDefault="00BC7372">
            <w:pPr>
              <w:pStyle w:val="TableParagraph"/>
              <w:numPr>
                <w:ilvl w:val="0"/>
                <w:numId w:val="1289"/>
              </w:numPr>
              <w:tabs>
                <w:tab w:val="left" w:pos="306"/>
              </w:tabs>
              <w:spacing w:before="63"/>
              <w:ind w:hanging="218"/>
              <w:rPr>
                <w:sz w:val="16"/>
                <w:szCs w:val="16"/>
              </w:rPr>
            </w:pPr>
            <w:r w:rsidRPr="00A1021A">
              <w:rPr>
                <w:color w:val="231F20"/>
                <w:sz w:val="16"/>
                <w:szCs w:val="16"/>
              </w:rPr>
              <w:t>Increase the depth to allow fish to move throughout the</w:t>
            </w:r>
            <w:r w:rsidRPr="00A1021A">
              <w:rPr>
                <w:color w:val="231F20"/>
                <w:spacing w:val="-5"/>
                <w:sz w:val="16"/>
                <w:szCs w:val="16"/>
              </w:rPr>
              <w:t xml:space="preserve"> </w:t>
            </w:r>
            <w:r w:rsidRPr="00A1021A">
              <w:rPr>
                <w:color w:val="231F20"/>
                <w:sz w:val="16"/>
                <w:szCs w:val="16"/>
              </w:rPr>
              <w:t>reach</w:t>
            </w:r>
          </w:p>
          <w:p w:rsidR="006A7A3F" w:rsidRPr="00A1021A" w:rsidRDefault="00BC7372">
            <w:pPr>
              <w:pStyle w:val="TableParagraph"/>
              <w:numPr>
                <w:ilvl w:val="0"/>
                <w:numId w:val="1289"/>
              </w:numPr>
              <w:tabs>
                <w:tab w:val="left" w:pos="306"/>
              </w:tabs>
              <w:spacing w:before="98"/>
              <w:ind w:hanging="218"/>
              <w:rPr>
                <w:sz w:val="16"/>
                <w:szCs w:val="16"/>
              </w:rPr>
            </w:pPr>
            <w:r w:rsidRPr="00A1021A">
              <w:rPr>
                <w:color w:val="231F20"/>
                <w:sz w:val="16"/>
                <w:szCs w:val="16"/>
              </w:rPr>
              <w:t>Flush pools to maintain water quality for aquatic</w:t>
            </w:r>
            <w:r w:rsidRPr="00A1021A">
              <w:rPr>
                <w:color w:val="231F20"/>
                <w:spacing w:val="-10"/>
                <w:sz w:val="16"/>
                <w:szCs w:val="16"/>
              </w:rPr>
              <w:t xml:space="preserve"> </w:t>
            </w:r>
            <w:r w:rsidRPr="00A1021A">
              <w:rPr>
                <w:color w:val="231F20"/>
                <w:sz w:val="16"/>
                <w:szCs w:val="16"/>
              </w:rPr>
              <w:t>animals</w:t>
            </w:r>
          </w:p>
          <w:p w:rsidR="006A7A3F" w:rsidRPr="00A1021A" w:rsidRDefault="00BC7372">
            <w:pPr>
              <w:pStyle w:val="TableParagraph"/>
              <w:numPr>
                <w:ilvl w:val="0"/>
                <w:numId w:val="1289"/>
              </w:numPr>
              <w:tabs>
                <w:tab w:val="left" w:pos="306"/>
              </w:tabs>
              <w:spacing w:before="98" w:line="254" w:lineRule="auto"/>
              <w:ind w:right="97"/>
              <w:rPr>
                <w:sz w:val="16"/>
                <w:szCs w:val="16"/>
              </w:rPr>
            </w:pPr>
            <w:r w:rsidRPr="00A1021A">
              <w:rPr>
                <w:color w:val="231F20"/>
                <w:sz w:val="16"/>
                <w:szCs w:val="16"/>
              </w:rPr>
              <w:t>Flush</w:t>
            </w:r>
            <w:r w:rsidRPr="00A1021A">
              <w:rPr>
                <w:color w:val="231F20"/>
                <w:spacing w:val="-4"/>
                <w:sz w:val="16"/>
                <w:szCs w:val="16"/>
              </w:rPr>
              <w:t xml:space="preserve"> </w:t>
            </w:r>
            <w:r w:rsidRPr="00A1021A">
              <w:rPr>
                <w:color w:val="231F20"/>
                <w:sz w:val="16"/>
                <w:szCs w:val="16"/>
              </w:rPr>
              <w:t>substrates</w:t>
            </w:r>
            <w:r w:rsidRPr="00A1021A">
              <w:rPr>
                <w:color w:val="231F20"/>
                <w:spacing w:val="-4"/>
                <w:sz w:val="16"/>
                <w:szCs w:val="16"/>
              </w:rPr>
              <w:t xml:space="preserve"> </w:t>
            </w:r>
            <w:r w:rsidRPr="00A1021A">
              <w:rPr>
                <w:color w:val="231F20"/>
                <w:sz w:val="16"/>
                <w:szCs w:val="16"/>
              </w:rPr>
              <w:t>and</w:t>
            </w:r>
            <w:r w:rsidRPr="00A1021A">
              <w:rPr>
                <w:color w:val="231F20"/>
                <w:spacing w:val="-4"/>
                <w:sz w:val="16"/>
                <w:szCs w:val="16"/>
              </w:rPr>
              <w:t xml:space="preserve"> </w:t>
            </w:r>
            <w:r w:rsidRPr="00A1021A">
              <w:rPr>
                <w:color w:val="231F20"/>
                <w:sz w:val="16"/>
                <w:szCs w:val="16"/>
              </w:rPr>
              <w:t>improve</w:t>
            </w:r>
            <w:r w:rsidRPr="00A1021A">
              <w:rPr>
                <w:color w:val="231F20"/>
                <w:spacing w:val="-4"/>
                <w:sz w:val="16"/>
                <w:szCs w:val="16"/>
              </w:rPr>
              <w:t xml:space="preserve"> </w:t>
            </w:r>
            <w:r w:rsidRPr="00A1021A">
              <w:rPr>
                <w:color w:val="231F20"/>
                <w:sz w:val="16"/>
                <w:szCs w:val="16"/>
              </w:rPr>
              <w:t>the</w:t>
            </w:r>
            <w:r w:rsidRPr="00A1021A">
              <w:rPr>
                <w:color w:val="231F20"/>
                <w:spacing w:val="-4"/>
                <w:sz w:val="16"/>
                <w:szCs w:val="16"/>
              </w:rPr>
              <w:t xml:space="preserve"> </w:t>
            </w:r>
            <w:r w:rsidRPr="00A1021A">
              <w:rPr>
                <w:color w:val="231F20"/>
                <w:sz w:val="16"/>
                <w:szCs w:val="16"/>
              </w:rPr>
              <w:t>quality</w:t>
            </w:r>
            <w:r w:rsidRPr="00A1021A">
              <w:rPr>
                <w:color w:val="231F20"/>
                <w:spacing w:val="-4"/>
                <w:sz w:val="16"/>
                <w:szCs w:val="16"/>
              </w:rPr>
              <w:t xml:space="preserve"> </w:t>
            </w:r>
            <w:r w:rsidRPr="00A1021A">
              <w:rPr>
                <w:color w:val="231F20"/>
                <w:sz w:val="16"/>
                <w:szCs w:val="16"/>
              </w:rPr>
              <w:t>of</w:t>
            </w:r>
            <w:r w:rsidRPr="00A1021A">
              <w:rPr>
                <w:color w:val="231F20"/>
                <w:spacing w:val="-5"/>
                <w:sz w:val="16"/>
                <w:szCs w:val="16"/>
              </w:rPr>
              <w:t xml:space="preserve"> </w:t>
            </w:r>
            <w:r w:rsidRPr="00A1021A">
              <w:rPr>
                <w:color w:val="231F20"/>
                <w:sz w:val="16"/>
                <w:szCs w:val="16"/>
              </w:rPr>
              <w:t>existing</w:t>
            </w:r>
            <w:r w:rsidRPr="00A1021A">
              <w:rPr>
                <w:color w:val="231F20"/>
                <w:spacing w:val="-4"/>
                <w:sz w:val="16"/>
                <w:szCs w:val="16"/>
              </w:rPr>
              <w:t xml:space="preserve"> </w:t>
            </w:r>
            <w:r w:rsidRPr="00A1021A">
              <w:rPr>
                <w:color w:val="231F20"/>
                <w:sz w:val="16"/>
                <w:szCs w:val="16"/>
              </w:rPr>
              <w:t>waterbug</w:t>
            </w:r>
            <w:r w:rsidRPr="00A1021A">
              <w:rPr>
                <w:color w:val="231F20"/>
                <w:spacing w:val="-5"/>
                <w:sz w:val="16"/>
                <w:szCs w:val="16"/>
              </w:rPr>
              <w:t xml:space="preserve"> </w:t>
            </w:r>
            <w:r w:rsidRPr="00A1021A">
              <w:rPr>
                <w:color w:val="231F20"/>
                <w:sz w:val="16"/>
                <w:szCs w:val="16"/>
              </w:rPr>
              <w:t>habitat</w:t>
            </w:r>
            <w:r w:rsidRPr="00A1021A">
              <w:rPr>
                <w:color w:val="231F20"/>
                <w:spacing w:val="-4"/>
                <w:sz w:val="16"/>
                <w:szCs w:val="16"/>
              </w:rPr>
              <w:t xml:space="preserve"> </w:t>
            </w:r>
            <w:r w:rsidRPr="00A1021A">
              <w:rPr>
                <w:color w:val="231F20"/>
                <w:sz w:val="16"/>
                <w:szCs w:val="16"/>
              </w:rPr>
              <w:t>and food supply</w:t>
            </w:r>
          </w:p>
          <w:p w:rsidR="006A7A3F" w:rsidRPr="00A1021A" w:rsidRDefault="00BC7372">
            <w:pPr>
              <w:pStyle w:val="TableParagraph"/>
              <w:numPr>
                <w:ilvl w:val="0"/>
                <w:numId w:val="1289"/>
              </w:numPr>
              <w:tabs>
                <w:tab w:val="left" w:pos="306"/>
              </w:tabs>
              <w:spacing w:before="86" w:line="254" w:lineRule="auto"/>
              <w:ind w:right="600"/>
              <w:rPr>
                <w:sz w:val="16"/>
                <w:szCs w:val="16"/>
              </w:rPr>
            </w:pPr>
            <w:r w:rsidRPr="00A1021A">
              <w:rPr>
                <w:color w:val="231F20"/>
                <w:sz w:val="16"/>
                <w:szCs w:val="16"/>
              </w:rPr>
              <w:t>Wet</w:t>
            </w:r>
            <w:r w:rsidRPr="00A1021A">
              <w:rPr>
                <w:color w:val="231F20"/>
                <w:spacing w:val="-6"/>
                <w:sz w:val="16"/>
                <w:szCs w:val="16"/>
              </w:rPr>
              <w:t xml:space="preserve"> </w:t>
            </w:r>
            <w:r w:rsidRPr="00A1021A">
              <w:rPr>
                <w:color w:val="231F20"/>
                <w:sz w:val="16"/>
                <w:szCs w:val="16"/>
              </w:rPr>
              <w:t>low</w:t>
            </w:r>
            <w:r w:rsidRPr="00A1021A">
              <w:rPr>
                <w:color w:val="231F20"/>
                <w:spacing w:val="-5"/>
                <w:sz w:val="16"/>
                <w:szCs w:val="16"/>
              </w:rPr>
              <w:t xml:space="preserve"> </w:t>
            </w:r>
            <w:r w:rsidRPr="00A1021A">
              <w:rPr>
                <w:color w:val="231F20"/>
                <w:sz w:val="16"/>
                <w:szCs w:val="16"/>
              </w:rPr>
              <w:t>benches</w:t>
            </w:r>
            <w:r w:rsidRPr="00A1021A">
              <w:rPr>
                <w:color w:val="231F20"/>
                <w:spacing w:val="-5"/>
                <w:sz w:val="16"/>
                <w:szCs w:val="16"/>
              </w:rPr>
              <w:t xml:space="preserve"> </w:t>
            </w:r>
            <w:r w:rsidRPr="00A1021A">
              <w:rPr>
                <w:color w:val="231F20"/>
                <w:sz w:val="16"/>
                <w:szCs w:val="16"/>
              </w:rPr>
              <w:t>to</w:t>
            </w:r>
            <w:r w:rsidRPr="00A1021A">
              <w:rPr>
                <w:color w:val="231F20"/>
                <w:spacing w:val="-4"/>
                <w:sz w:val="16"/>
                <w:szCs w:val="16"/>
              </w:rPr>
              <w:t xml:space="preserve"> </w:t>
            </w:r>
            <w:r w:rsidRPr="00A1021A">
              <w:rPr>
                <w:color w:val="231F20"/>
                <w:sz w:val="16"/>
                <w:szCs w:val="16"/>
              </w:rPr>
              <w:t>facilitate</w:t>
            </w:r>
            <w:r w:rsidRPr="00A1021A">
              <w:rPr>
                <w:color w:val="231F20"/>
                <w:spacing w:val="-4"/>
                <w:sz w:val="16"/>
                <w:szCs w:val="16"/>
              </w:rPr>
              <w:t xml:space="preserve"> </w:t>
            </w:r>
            <w:r w:rsidRPr="00A1021A">
              <w:rPr>
                <w:color w:val="231F20"/>
                <w:sz w:val="16"/>
                <w:szCs w:val="16"/>
              </w:rPr>
              <w:t>the</w:t>
            </w:r>
            <w:r w:rsidRPr="00A1021A">
              <w:rPr>
                <w:color w:val="231F20"/>
                <w:spacing w:val="-4"/>
                <w:sz w:val="16"/>
                <w:szCs w:val="16"/>
              </w:rPr>
              <w:t xml:space="preserve"> </w:t>
            </w:r>
            <w:r w:rsidRPr="00A1021A">
              <w:rPr>
                <w:color w:val="231F20"/>
                <w:sz w:val="16"/>
                <w:szCs w:val="16"/>
              </w:rPr>
              <w:t>longitudinal</w:t>
            </w:r>
            <w:r w:rsidRPr="00A1021A">
              <w:rPr>
                <w:color w:val="231F20"/>
                <w:spacing w:val="-6"/>
                <w:sz w:val="16"/>
                <w:szCs w:val="16"/>
              </w:rPr>
              <w:t xml:space="preserve"> </w:t>
            </w:r>
            <w:r w:rsidRPr="00A1021A">
              <w:rPr>
                <w:color w:val="231F20"/>
                <w:sz w:val="16"/>
                <w:szCs w:val="16"/>
              </w:rPr>
              <w:t>dispersal</w:t>
            </w:r>
            <w:r w:rsidRPr="00A1021A">
              <w:rPr>
                <w:color w:val="231F20"/>
                <w:spacing w:val="-5"/>
                <w:sz w:val="16"/>
                <w:szCs w:val="16"/>
              </w:rPr>
              <w:t xml:space="preserve"> </w:t>
            </w:r>
            <w:r w:rsidRPr="00A1021A">
              <w:rPr>
                <w:color w:val="231F20"/>
                <w:sz w:val="16"/>
                <w:szCs w:val="16"/>
              </w:rPr>
              <w:t>of</w:t>
            </w:r>
            <w:r w:rsidRPr="00A1021A">
              <w:rPr>
                <w:color w:val="231F20"/>
                <w:spacing w:val="-5"/>
                <w:sz w:val="16"/>
                <w:szCs w:val="16"/>
              </w:rPr>
              <w:t xml:space="preserve"> </w:t>
            </w:r>
            <w:r w:rsidRPr="00A1021A">
              <w:rPr>
                <w:color w:val="231F20"/>
                <w:sz w:val="16"/>
                <w:szCs w:val="16"/>
              </w:rPr>
              <w:t>emergent vegetation</w:t>
            </w:r>
          </w:p>
          <w:p w:rsidR="006A7A3F" w:rsidRPr="00A1021A" w:rsidRDefault="00BC7372">
            <w:pPr>
              <w:pStyle w:val="TableParagraph"/>
              <w:numPr>
                <w:ilvl w:val="0"/>
                <w:numId w:val="1289"/>
              </w:numPr>
              <w:tabs>
                <w:tab w:val="left" w:pos="306"/>
              </w:tabs>
              <w:spacing w:before="86" w:line="254" w:lineRule="auto"/>
              <w:ind w:right="526"/>
              <w:rPr>
                <w:sz w:val="16"/>
                <w:szCs w:val="16"/>
              </w:rPr>
            </w:pPr>
            <w:r w:rsidRPr="00A1021A">
              <w:rPr>
                <w:color w:val="231F20"/>
                <w:sz w:val="16"/>
                <w:szCs w:val="16"/>
              </w:rPr>
              <w:t xml:space="preserve">Provide flows with sufficient shear stress to flush fine sediment </w:t>
            </w:r>
            <w:r w:rsidRPr="00A1021A">
              <w:rPr>
                <w:color w:val="231F20"/>
                <w:spacing w:val="-4"/>
                <w:sz w:val="16"/>
                <w:szCs w:val="16"/>
              </w:rPr>
              <w:t xml:space="preserve">from </w:t>
            </w:r>
            <w:r w:rsidRPr="00A1021A">
              <w:rPr>
                <w:color w:val="231F20"/>
                <w:sz w:val="16"/>
                <w:szCs w:val="16"/>
              </w:rPr>
              <w:t>small gaps to improve geomorphic</w:t>
            </w:r>
            <w:r w:rsidRPr="00A1021A">
              <w:rPr>
                <w:color w:val="231F20"/>
                <w:spacing w:val="-6"/>
                <w:sz w:val="16"/>
                <w:szCs w:val="16"/>
              </w:rPr>
              <w:t xml:space="preserve"> </w:t>
            </w:r>
            <w:r w:rsidRPr="00A1021A">
              <w:rPr>
                <w:color w:val="231F20"/>
                <w:sz w:val="16"/>
                <w:szCs w:val="16"/>
              </w:rPr>
              <w:t>habitat</w:t>
            </w:r>
          </w:p>
        </w:tc>
        <w:tc>
          <w:tcPr>
            <w:tcW w:w="850" w:type="dxa"/>
            <w:tcBorders>
              <w:top w:val="single" w:sz="4" w:space="0" w:color="auto"/>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7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auto"/>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7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A1021A">
        <w:trPr>
          <w:trHeight w:val="15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7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27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5675D9">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93"/>
              <w:jc w:val="both"/>
              <w:rPr>
                <w:sz w:val="9"/>
              </w:rPr>
            </w:pPr>
            <w:r>
              <w:rPr>
                <w:color w:val="231F20"/>
                <w:sz w:val="16"/>
              </w:rPr>
              <w:t xml:space="preserve">Trigger-based </w:t>
            </w:r>
            <w:r>
              <w:rPr>
                <w:color w:val="231F20"/>
                <w:spacing w:val="-2"/>
                <w:sz w:val="16"/>
              </w:rPr>
              <w:t xml:space="preserve">summer/autumn </w:t>
            </w:r>
            <w:r>
              <w:rPr>
                <w:color w:val="231F20"/>
                <w:sz w:val="16"/>
              </w:rPr>
              <w:t>low flow (35–60 ML/day during December to May)</w:t>
            </w:r>
            <w:r>
              <w:rPr>
                <w:color w:val="231F20"/>
                <w:position w:val="5"/>
                <w:sz w:val="9"/>
              </w:rPr>
              <w:t>2</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288"/>
              </w:numPr>
              <w:tabs>
                <w:tab w:val="left" w:pos="306"/>
              </w:tabs>
              <w:spacing w:before="63"/>
              <w:ind w:hanging="218"/>
              <w:rPr>
                <w:sz w:val="16"/>
                <w:szCs w:val="16"/>
              </w:rPr>
            </w:pPr>
            <w:r w:rsidRPr="00A1021A">
              <w:rPr>
                <w:color w:val="231F20"/>
                <w:sz w:val="16"/>
                <w:szCs w:val="16"/>
              </w:rPr>
              <w:t>Maintain</w:t>
            </w:r>
            <w:r w:rsidRPr="00A1021A">
              <w:rPr>
                <w:color w:val="231F20"/>
                <w:spacing w:val="-4"/>
                <w:sz w:val="16"/>
                <w:szCs w:val="16"/>
              </w:rPr>
              <w:t xml:space="preserve"> </w:t>
            </w:r>
            <w:r w:rsidRPr="00A1021A">
              <w:rPr>
                <w:color w:val="231F20"/>
                <w:sz w:val="16"/>
                <w:szCs w:val="16"/>
              </w:rPr>
              <w:t>permanent</w:t>
            </w:r>
            <w:r w:rsidRPr="00A1021A">
              <w:rPr>
                <w:color w:val="231F20"/>
                <w:spacing w:val="-4"/>
                <w:sz w:val="16"/>
                <w:szCs w:val="16"/>
              </w:rPr>
              <w:t xml:space="preserve"> </w:t>
            </w:r>
            <w:r w:rsidRPr="00A1021A">
              <w:rPr>
                <w:color w:val="231F20"/>
                <w:sz w:val="16"/>
                <w:szCs w:val="16"/>
              </w:rPr>
              <w:t>wetted</w:t>
            </w:r>
            <w:r w:rsidRPr="00A1021A">
              <w:rPr>
                <w:color w:val="231F20"/>
                <w:spacing w:val="-4"/>
                <w:sz w:val="16"/>
                <w:szCs w:val="16"/>
              </w:rPr>
              <w:t xml:space="preserve"> </w:t>
            </w:r>
            <w:r w:rsidRPr="00A1021A">
              <w:rPr>
                <w:color w:val="231F20"/>
                <w:sz w:val="16"/>
                <w:szCs w:val="16"/>
              </w:rPr>
              <w:t>habitat</w:t>
            </w:r>
            <w:r w:rsidRPr="00A1021A">
              <w:rPr>
                <w:color w:val="231F20"/>
                <w:spacing w:val="-4"/>
                <w:sz w:val="16"/>
                <w:szCs w:val="16"/>
              </w:rPr>
              <w:t xml:space="preserve"> </w:t>
            </w:r>
            <w:r w:rsidRPr="00A1021A">
              <w:rPr>
                <w:color w:val="231F20"/>
                <w:sz w:val="16"/>
                <w:szCs w:val="16"/>
              </w:rPr>
              <w:t>in</w:t>
            </w:r>
            <w:r w:rsidRPr="00A1021A">
              <w:rPr>
                <w:color w:val="231F20"/>
                <w:spacing w:val="-4"/>
                <w:sz w:val="16"/>
                <w:szCs w:val="16"/>
              </w:rPr>
              <w:t xml:space="preserve"> </w:t>
            </w:r>
            <w:r w:rsidRPr="00A1021A">
              <w:rPr>
                <w:color w:val="231F20"/>
                <w:sz w:val="16"/>
                <w:szCs w:val="16"/>
              </w:rPr>
              <w:t>pools</w:t>
            </w:r>
            <w:r w:rsidRPr="00A1021A">
              <w:rPr>
                <w:color w:val="231F20"/>
                <w:spacing w:val="-4"/>
                <w:sz w:val="16"/>
                <w:szCs w:val="16"/>
              </w:rPr>
              <w:t xml:space="preserve"> </w:t>
            </w:r>
            <w:r w:rsidRPr="00A1021A">
              <w:rPr>
                <w:color w:val="231F20"/>
                <w:sz w:val="16"/>
                <w:szCs w:val="16"/>
              </w:rPr>
              <w:t>and</w:t>
            </w:r>
            <w:r w:rsidRPr="00A1021A">
              <w:rPr>
                <w:color w:val="231F20"/>
                <w:spacing w:val="-4"/>
                <w:sz w:val="16"/>
                <w:szCs w:val="16"/>
              </w:rPr>
              <w:t xml:space="preserve"> </w:t>
            </w:r>
            <w:r w:rsidRPr="00A1021A">
              <w:rPr>
                <w:color w:val="231F20"/>
                <w:sz w:val="16"/>
                <w:szCs w:val="16"/>
              </w:rPr>
              <w:t>riffles</w:t>
            </w:r>
            <w:r w:rsidRPr="00A1021A">
              <w:rPr>
                <w:color w:val="231F20"/>
                <w:spacing w:val="-3"/>
                <w:sz w:val="16"/>
                <w:szCs w:val="16"/>
              </w:rPr>
              <w:t xml:space="preserve"> </w:t>
            </w:r>
            <w:r w:rsidRPr="00A1021A">
              <w:rPr>
                <w:color w:val="231F20"/>
                <w:sz w:val="16"/>
                <w:szCs w:val="16"/>
              </w:rPr>
              <w:t>for</w:t>
            </w:r>
            <w:r w:rsidRPr="00A1021A">
              <w:rPr>
                <w:color w:val="231F20"/>
                <w:spacing w:val="-3"/>
                <w:sz w:val="16"/>
                <w:szCs w:val="16"/>
              </w:rPr>
              <w:t xml:space="preserve"> </w:t>
            </w:r>
            <w:r w:rsidRPr="00A1021A">
              <w:rPr>
                <w:color w:val="231F20"/>
                <w:sz w:val="16"/>
                <w:szCs w:val="16"/>
              </w:rPr>
              <w:t>aquatic</w:t>
            </w:r>
            <w:r w:rsidRPr="00A1021A">
              <w:rPr>
                <w:color w:val="231F20"/>
                <w:spacing w:val="-4"/>
                <w:sz w:val="16"/>
                <w:szCs w:val="16"/>
              </w:rPr>
              <w:t xml:space="preserve"> </w:t>
            </w:r>
            <w:r w:rsidRPr="00A1021A">
              <w:rPr>
                <w:color w:val="231F20"/>
                <w:sz w:val="16"/>
                <w:szCs w:val="16"/>
              </w:rPr>
              <w:t>animals</w:t>
            </w:r>
          </w:p>
          <w:p w:rsidR="006A7A3F" w:rsidRPr="00A1021A" w:rsidRDefault="00BC7372">
            <w:pPr>
              <w:pStyle w:val="TableParagraph"/>
              <w:numPr>
                <w:ilvl w:val="0"/>
                <w:numId w:val="1288"/>
              </w:numPr>
              <w:tabs>
                <w:tab w:val="left" w:pos="306"/>
              </w:tabs>
              <w:spacing w:before="98"/>
              <w:ind w:hanging="218"/>
              <w:rPr>
                <w:sz w:val="16"/>
                <w:szCs w:val="16"/>
              </w:rPr>
            </w:pPr>
            <w:r w:rsidRPr="00A1021A">
              <w:rPr>
                <w:color w:val="231F20"/>
                <w:sz w:val="16"/>
                <w:szCs w:val="16"/>
              </w:rPr>
              <w:t>Maintain shallow, slow-flowing habitat to maintain in-stream</w:t>
            </w:r>
            <w:r w:rsidRPr="00A1021A">
              <w:rPr>
                <w:color w:val="231F20"/>
                <w:spacing w:val="-15"/>
                <w:sz w:val="16"/>
                <w:szCs w:val="16"/>
              </w:rPr>
              <w:t xml:space="preserve"> </w:t>
            </w:r>
            <w:r w:rsidRPr="00A1021A">
              <w:rPr>
                <w:color w:val="231F20"/>
                <w:sz w:val="16"/>
                <w:szCs w:val="16"/>
              </w:rPr>
              <w:t>vegetation</w:t>
            </w:r>
          </w:p>
          <w:p w:rsidR="006A7A3F" w:rsidRPr="00A1021A" w:rsidRDefault="00BC7372">
            <w:pPr>
              <w:pStyle w:val="TableParagraph"/>
              <w:numPr>
                <w:ilvl w:val="0"/>
                <w:numId w:val="1288"/>
              </w:numPr>
              <w:tabs>
                <w:tab w:val="left" w:pos="306"/>
              </w:tabs>
              <w:spacing w:before="98" w:line="254" w:lineRule="auto"/>
              <w:ind w:right="266"/>
              <w:rPr>
                <w:sz w:val="16"/>
                <w:szCs w:val="16"/>
              </w:rPr>
            </w:pPr>
            <w:r w:rsidRPr="00A1021A">
              <w:rPr>
                <w:color w:val="231F20"/>
                <w:sz w:val="16"/>
                <w:szCs w:val="16"/>
              </w:rPr>
              <w:t>Maintain a minimum depth in pools to allow for turnover of water and to slow degradation of water quality to support aquatic</w:t>
            </w:r>
            <w:r w:rsidRPr="00A1021A">
              <w:rPr>
                <w:color w:val="231F20"/>
                <w:spacing w:val="-13"/>
                <w:sz w:val="16"/>
                <w:szCs w:val="16"/>
              </w:rPr>
              <w:t xml:space="preserve"> </w:t>
            </w:r>
            <w:r w:rsidRPr="00A1021A">
              <w:rPr>
                <w:color w:val="231F20"/>
                <w:sz w:val="16"/>
                <w:szCs w:val="16"/>
              </w:rPr>
              <w:t>life</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7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8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rsidTr="005675D9">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8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BC7372">
      <w:pPr>
        <w:spacing w:before="129" w:line="266" w:lineRule="auto"/>
        <w:ind w:left="323" w:right="445" w:hanging="114"/>
        <w:rPr>
          <w:sz w:val="14"/>
        </w:rPr>
      </w:pPr>
      <w:r>
        <w:rPr>
          <w:color w:val="231F20"/>
          <w:position w:val="5"/>
          <w:sz w:val="8"/>
        </w:rPr>
        <w:t xml:space="preserve">1 </w:t>
      </w:r>
      <w:r>
        <w:rPr>
          <w:color w:val="231F20"/>
          <w:sz w:val="14"/>
        </w:rPr>
        <w:t>This fresh is only planned to be delivered following a spill in Lake Glenmaggie (if the magnitude is lower than minor flood level), to extend or slow the rate of ramp-down. If a spill occurs, delivering this fresh will meet the functional flow objectives of the lower magnitude spring/summer fresh.</w:t>
      </w:r>
    </w:p>
    <w:p w:rsidR="006A7A3F" w:rsidRDefault="00BC7372">
      <w:pPr>
        <w:spacing w:before="55"/>
        <w:ind w:left="210"/>
        <w:rPr>
          <w:sz w:val="14"/>
        </w:rPr>
      </w:pPr>
      <w:r>
        <w:rPr>
          <w:color w:val="231F20"/>
          <w:position w:val="5"/>
          <w:sz w:val="8"/>
        </w:rPr>
        <w:t xml:space="preserve">2 </w:t>
      </w:r>
      <w:r>
        <w:rPr>
          <w:color w:val="231F20"/>
          <w:sz w:val="14"/>
        </w:rPr>
        <w:t>A low flow of 35–60 ML per day may be triggered if passing flows from Maffra Weir reduce or cease.</w:t>
      </w:r>
    </w:p>
    <w:p w:rsidR="005675D9" w:rsidRDefault="005675D9">
      <w:pPr>
        <w:rPr>
          <w:rFonts w:ascii="Helvetica Neue LT Std 75"/>
          <w:b/>
          <w:color w:val="231F20"/>
          <w:sz w:val="19"/>
        </w:rPr>
      </w:pPr>
      <w:r>
        <w:rPr>
          <w:rFonts w:ascii="Helvetica Neue LT Std 75"/>
          <w:b/>
          <w:color w:val="231F20"/>
          <w:sz w:val="19"/>
        </w:rPr>
        <w:br w:type="page"/>
      </w:r>
    </w:p>
    <w:p w:rsidR="006A7A3F" w:rsidRDefault="00BC7372">
      <w:pPr>
        <w:spacing w:before="89"/>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2.4.2 outlines the potential environmental watering and expected water use under a range of planning scenarios.</w:t>
      </w:r>
    </w:p>
    <w:p w:rsidR="006A7A3F" w:rsidRDefault="00BC7372" w:rsidP="00E459ED">
      <w:pPr>
        <w:pStyle w:val="BodyText"/>
        <w:spacing w:before="171" w:line="249" w:lineRule="auto"/>
        <w:ind w:right="640"/>
      </w:pPr>
      <w:r>
        <w:rPr>
          <w:color w:val="231F20"/>
        </w:rPr>
        <w:t>The assumed supply of environmental water for 2020–21 enables planning for a suite of freshes and low flows in winter, spring and autumn under all climate scenarios. An autumn fresh to cue the downstream migration of</w:t>
      </w:r>
      <w:r w:rsidR="00E459ED">
        <w:t xml:space="preserve"> </w:t>
      </w:r>
      <w:r>
        <w:rPr>
          <w:color w:val="231F20"/>
        </w:rPr>
        <w:t>Australian grayling is the highest-priority fresh, to achieve the minimum two required spawning cues for this species over a three-year period; autumn high flows were achieved in 2019–20 but not delivered in the Macalister or Thomson rivers during 2018–19 due to construction of the Horseshoe Bend fishway.</w:t>
      </w:r>
    </w:p>
    <w:p w:rsidR="006A7A3F" w:rsidRDefault="00BC7372">
      <w:pPr>
        <w:pStyle w:val="BodyText"/>
        <w:spacing w:line="249" w:lineRule="auto"/>
        <w:ind w:right="229"/>
      </w:pPr>
      <w:r>
        <w:rPr>
          <w:color w:val="231F20"/>
        </w:rPr>
        <w:t>A winter fresh to cue the downstream movement of tupong and Australian bass towards the Latrobe estuary for breeding and spawning, and a spring fresh to cue the upstream migration of adult fish from estuarine environments and promote the recruitment of juveniles are also planned. Low flows may be delivered either side of freshes or when operational flows supplying irrigators are insufficient to maintain water quality and connectivity through the river system, particularly below Maffra Weir and during autumn and winter when there is little delivery of water to supply irrigation customers. Depending on the magnitude of the fresh and whether or not it follows a storage spill, additional objectives for watering floodplain vegetation and flushing pools may be achieved.</w:t>
      </w:r>
    </w:p>
    <w:p w:rsidR="006A7A3F" w:rsidRDefault="00BC7372" w:rsidP="005675D9">
      <w:pPr>
        <w:pStyle w:val="BodyText"/>
        <w:spacing w:before="176" w:line="249" w:lineRule="auto"/>
        <w:ind w:right="311"/>
      </w:pPr>
      <w:r>
        <w:rPr>
          <w:color w:val="231F20"/>
        </w:rPr>
        <w:t xml:space="preserve">In a </w:t>
      </w:r>
      <w:r>
        <w:rPr>
          <w:color w:val="231F20"/>
          <w:spacing w:val="-5"/>
        </w:rPr>
        <w:t xml:space="preserve">dry, </w:t>
      </w:r>
      <w:r>
        <w:rPr>
          <w:color w:val="231F20"/>
        </w:rPr>
        <w:t>average or wet scenario, a spill at Lake Glenmaggie is expected in spring. Water for the environment may be used following the peak of the spill to extend the event and ensure the water level does not drop off too suddenly. Freshes in spring aim to cue the upstream migration of adult migratory fish from estuarine environments and</w:t>
      </w:r>
      <w:r>
        <w:rPr>
          <w:color w:val="231F20"/>
          <w:spacing w:val="-4"/>
        </w:rPr>
        <w:t xml:space="preserve"> </w:t>
      </w:r>
      <w:r>
        <w:rPr>
          <w:color w:val="231F20"/>
        </w:rPr>
        <w:t>promote</w:t>
      </w:r>
      <w:r>
        <w:rPr>
          <w:color w:val="231F20"/>
          <w:spacing w:val="-3"/>
        </w:rPr>
        <w:t xml:space="preserve"> </w:t>
      </w:r>
      <w:r>
        <w:rPr>
          <w:color w:val="231F20"/>
        </w:rPr>
        <w:t>the</w:t>
      </w:r>
      <w:r>
        <w:rPr>
          <w:color w:val="231F20"/>
          <w:spacing w:val="-3"/>
        </w:rPr>
        <w:t xml:space="preserve"> </w:t>
      </w:r>
      <w:r>
        <w:rPr>
          <w:color w:val="231F20"/>
        </w:rPr>
        <w:t>recruitment</w:t>
      </w:r>
      <w:r>
        <w:rPr>
          <w:color w:val="231F20"/>
          <w:spacing w:val="-2"/>
        </w:rPr>
        <w:t xml:space="preserve"> </w:t>
      </w:r>
      <w:r>
        <w:rPr>
          <w:color w:val="231F20"/>
        </w:rPr>
        <w:t>of</w:t>
      </w:r>
      <w:r>
        <w:rPr>
          <w:color w:val="231F20"/>
          <w:spacing w:val="-4"/>
        </w:rPr>
        <w:t xml:space="preserve"> </w:t>
      </w:r>
      <w:r>
        <w:rPr>
          <w:color w:val="231F20"/>
        </w:rPr>
        <w:t>juveniles.</w:t>
      </w:r>
      <w:r>
        <w:rPr>
          <w:color w:val="231F20"/>
          <w:spacing w:val="-3"/>
        </w:rPr>
        <w:t xml:space="preserve"> </w:t>
      </w:r>
      <w:r>
        <w:rPr>
          <w:color w:val="231F20"/>
        </w:rPr>
        <w:t>Under</w:t>
      </w:r>
      <w:r>
        <w:rPr>
          <w:color w:val="231F20"/>
          <w:spacing w:val="-3"/>
        </w:rPr>
        <w:t xml:space="preserve"> </w:t>
      </w:r>
      <w:r>
        <w:rPr>
          <w:color w:val="231F20"/>
        </w:rPr>
        <w:t>a</w:t>
      </w:r>
      <w:r>
        <w:rPr>
          <w:color w:val="231F20"/>
          <w:spacing w:val="-4"/>
        </w:rPr>
        <w:t xml:space="preserve"> </w:t>
      </w:r>
      <w:r>
        <w:rPr>
          <w:color w:val="231F20"/>
        </w:rPr>
        <w:t>drought</w:t>
      </w:r>
      <w:r>
        <w:rPr>
          <w:color w:val="231F20"/>
          <w:spacing w:val="-3"/>
        </w:rPr>
        <w:t xml:space="preserve"> </w:t>
      </w:r>
      <w:r>
        <w:rPr>
          <w:color w:val="231F20"/>
        </w:rPr>
        <w:t>scenario,</w:t>
      </w:r>
      <w:r>
        <w:rPr>
          <w:color w:val="231F20"/>
          <w:spacing w:val="-3"/>
        </w:rPr>
        <w:t xml:space="preserve"> </w:t>
      </w:r>
      <w:r>
        <w:rPr>
          <w:color w:val="231F20"/>
        </w:rPr>
        <w:t>Lake</w:t>
      </w:r>
      <w:r>
        <w:rPr>
          <w:color w:val="231F20"/>
          <w:spacing w:val="-3"/>
        </w:rPr>
        <w:t xml:space="preserve"> </w:t>
      </w:r>
      <w:r>
        <w:rPr>
          <w:color w:val="231F20"/>
        </w:rPr>
        <w:t>Glenmaggie</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expected</w:t>
      </w:r>
      <w:r>
        <w:rPr>
          <w:color w:val="231F20"/>
          <w:spacing w:val="-4"/>
        </w:rPr>
        <w:t xml:space="preserve"> </w:t>
      </w:r>
      <w:r>
        <w:rPr>
          <w:color w:val="231F20"/>
        </w:rPr>
        <w:t>to</w:t>
      </w:r>
      <w:r>
        <w:rPr>
          <w:color w:val="231F20"/>
          <w:spacing w:val="-2"/>
        </w:rPr>
        <w:t xml:space="preserve"> </w:t>
      </w:r>
      <w:r>
        <w:rPr>
          <w:color w:val="231F20"/>
        </w:rPr>
        <w:t>spill,</w:t>
      </w:r>
      <w:r>
        <w:rPr>
          <w:color w:val="231F20"/>
          <w:spacing w:val="-3"/>
        </w:rPr>
        <w:t xml:space="preserve"> </w:t>
      </w:r>
      <w:r>
        <w:rPr>
          <w:color w:val="231F20"/>
        </w:rPr>
        <w:t>and</w:t>
      </w:r>
      <w:r w:rsidR="005675D9">
        <w:rPr>
          <w:color w:val="231F20"/>
        </w:rPr>
        <w:t xml:space="preserve"> </w:t>
      </w:r>
      <w:r>
        <w:rPr>
          <w:color w:val="231F20"/>
        </w:rPr>
        <w:t>a smaller fresh will likely be delivered in late spring instead (still meeting flow objectives for migratory fish), followed by low flows to maintain water depth and hydraulic habitat for native fish. During summer and autumn, small- magnitude freshes (to improve water quality and maintain connectivity between habitats for aquatic animals) are planned under all scenarios, but the duration and frequency of the freshes is variable. For example, under drought and dry scenarios, it may be necessary to increase the duration of summer autumn freshes from three to 10 days to</w:t>
      </w:r>
      <w:r>
        <w:rPr>
          <w:color w:val="231F20"/>
          <w:spacing w:val="-3"/>
        </w:rPr>
        <w:t xml:space="preserve"> </w:t>
      </w:r>
      <w:r>
        <w:rPr>
          <w:color w:val="231F20"/>
        </w:rPr>
        <w:t>prevent</w:t>
      </w:r>
      <w:r>
        <w:rPr>
          <w:color w:val="231F20"/>
          <w:spacing w:val="-4"/>
        </w:rPr>
        <w:t xml:space="preserve"> </w:t>
      </w:r>
      <w:r>
        <w:rPr>
          <w:color w:val="231F20"/>
        </w:rPr>
        <w:t>pools</w:t>
      </w:r>
      <w:r>
        <w:rPr>
          <w:color w:val="231F20"/>
          <w:spacing w:val="-3"/>
        </w:rPr>
        <w:t xml:space="preserve"> </w:t>
      </w:r>
      <w:r>
        <w:rPr>
          <w:color w:val="231F20"/>
        </w:rPr>
        <w:t>stagnating.</w:t>
      </w:r>
      <w:r>
        <w:rPr>
          <w:color w:val="231F20"/>
          <w:spacing w:val="-3"/>
        </w:rPr>
        <w:t xml:space="preserve"> </w:t>
      </w:r>
      <w:r>
        <w:rPr>
          <w:color w:val="231F20"/>
        </w:rPr>
        <w:t>If</w:t>
      </w:r>
      <w:r>
        <w:rPr>
          <w:color w:val="231F20"/>
          <w:spacing w:val="-3"/>
        </w:rPr>
        <w:t xml:space="preserve"> </w:t>
      </w:r>
      <w:r>
        <w:rPr>
          <w:color w:val="231F20"/>
        </w:rPr>
        <w:t>passing</w:t>
      </w:r>
      <w:r>
        <w:rPr>
          <w:color w:val="231F20"/>
          <w:spacing w:val="-3"/>
        </w:rPr>
        <w:t xml:space="preserve"> </w:t>
      </w:r>
      <w:r>
        <w:rPr>
          <w:color w:val="231F20"/>
        </w:rPr>
        <w:t>flows</w:t>
      </w:r>
      <w:r>
        <w:rPr>
          <w:color w:val="231F20"/>
          <w:spacing w:val="-3"/>
        </w:rPr>
        <w:t xml:space="preserve"> </w:t>
      </w:r>
      <w:r>
        <w:rPr>
          <w:color w:val="231F20"/>
        </w:rPr>
        <w:t>provided</w:t>
      </w:r>
      <w:r>
        <w:rPr>
          <w:color w:val="231F20"/>
          <w:spacing w:val="-4"/>
        </w:rPr>
        <w:t xml:space="preserve"> </w:t>
      </w:r>
      <w:r>
        <w:rPr>
          <w:color w:val="231F20"/>
        </w:rPr>
        <w:t>below</w:t>
      </w:r>
      <w:r>
        <w:rPr>
          <w:color w:val="231F20"/>
          <w:spacing w:val="-3"/>
        </w:rPr>
        <w:t xml:space="preserve"> </w:t>
      </w:r>
      <w:r>
        <w:rPr>
          <w:color w:val="231F20"/>
        </w:rPr>
        <w:t>Maffra</w:t>
      </w:r>
      <w:r>
        <w:rPr>
          <w:color w:val="231F20"/>
          <w:spacing w:val="-3"/>
        </w:rPr>
        <w:t xml:space="preserve"> </w:t>
      </w:r>
      <w:r>
        <w:rPr>
          <w:color w:val="231F20"/>
        </w:rPr>
        <w:t>Weir</w:t>
      </w:r>
      <w:r>
        <w:rPr>
          <w:color w:val="231F20"/>
          <w:spacing w:val="-4"/>
        </w:rPr>
        <w:t xml:space="preserve"> </w:t>
      </w:r>
      <w:r>
        <w:rPr>
          <w:color w:val="231F20"/>
        </w:rPr>
        <w:t>reduce</w:t>
      </w:r>
      <w:r>
        <w:rPr>
          <w:color w:val="231F20"/>
          <w:spacing w:val="-2"/>
        </w:rPr>
        <w:t xml:space="preserve"> </w:t>
      </w:r>
      <w:r>
        <w:rPr>
          <w:color w:val="231F20"/>
        </w:rPr>
        <w:t>or</w:t>
      </w:r>
      <w:r>
        <w:rPr>
          <w:color w:val="231F20"/>
          <w:spacing w:val="-4"/>
        </w:rPr>
        <w:t xml:space="preserve"> </w:t>
      </w:r>
      <w:r>
        <w:rPr>
          <w:color w:val="231F20"/>
        </w:rPr>
        <w:t>cease</w:t>
      </w:r>
      <w:r>
        <w:rPr>
          <w:color w:val="231F20"/>
          <w:spacing w:val="-3"/>
        </w:rPr>
        <w:t xml:space="preserve"> </w:t>
      </w:r>
      <w:r>
        <w:rPr>
          <w:color w:val="231F20"/>
        </w:rPr>
        <w:t>under</w:t>
      </w:r>
      <w:r>
        <w:rPr>
          <w:color w:val="231F20"/>
          <w:spacing w:val="-3"/>
        </w:rPr>
        <w:t xml:space="preserve"> </w:t>
      </w:r>
      <w:r>
        <w:rPr>
          <w:color w:val="231F20"/>
        </w:rPr>
        <w:t>a</w:t>
      </w:r>
      <w:r>
        <w:rPr>
          <w:color w:val="231F20"/>
          <w:spacing w:val="-4"/>
        </w:rPr>
        <w:t xml:space="preserve"> </w:t>
      </w:r>
      <w:r>
        <w:rPr>
          <w:color w:val="231F20"/>
        </w:rPr>
        <w:t>drought</w:t>
      </w:r>
      <w:r>
        <w:rPr>
          <w:color w:val="231F20"/>
          <w:spacing w:val="-4"/>
        </w:rPr>
        <w:t xml:space="preserve"> </w:t>
      </w:r>
      <w:r>
        <w:rPr>
          <w:color w:val="231F20"/>
        </w:rPr>
        <w:t>scenario, water for the environment may be used to supplement reduced passing flows to maintain connectivity and oxygen levels below Maffra</w:t>
      </w:r>
      <w:r>
        <w:rPr>
          <w:color w:val="231F20"/>
          <w:spacing w:val="-3"/>
        </w:rPr>
        <w:t xml:space="preserve"> </w:t>
      </w:r>
      <w:r>
        <w:rPr>
          <w:color w:val="231F20"/>
          <w:spacing w:val="-4"/>
        </w:rPr>
        <w:t>Weir.</w:t>
      </w:r>
    </w:p>
    <w:p w:rsidR="006A7A3F" w:rsidRDefault="00BC7372">
      <w:pPr>
        <w:pStyle w:val="BodyText"/>
        <w:spacing w:before="176" w:line="249" w:lineRule="auto"/>
        <w:ind w:right="574"/>
      </w:pPr>
      <w:r>
        <w:rPr>
          <w:color w:val="231F20"/>
        </w:rPr>
        <w:t>If additional water for the environment is available under any scenario, it will potentially be used to extend the duration and magnitude of winter/spring low flows or to deliver an additional winter/spring fresh to increase flow variability and provide more opportunities for fish and platypus to move throughout the system.</w:t>
      </w:r>
    </w:p>
    <w:p w:rsidR="006A7A3F" w:rsidRDefault="00BC7372">
      <w:pPr>
        <w:pStyle w:val="BodyText"/>
        <w:spacing w:before="173" w:line="249" w:lineRule="auto"/>
        <w:ind w:right="100"/>
      </w:pPr>
      <w:r>
        <w:rPr>
          <w:color w:val="231F20"/>
        </w:rPr>
        <w:t>A critical carryover volume of at least 1,500 ML is identified into 2021–22 under all scenarios, to ensure there is enough water to deliver winter low flows in July and August 2021.</w:t>
      </w:r>
    </w:p>
    <w:p w:rsidR="005675D9" w:rsidRDefault="005675D9">
      <w:pPr>
        <w:rPr>
          <w:b/>
          <w:color w:val="231F20"/>
          <w:sz w:val="18"/>
        </w:rPr>
      </w:pPr>
      <w:r>
        <w:rPr>
          <w:b/>
          <w:color w:val="231F20"/>
          <w:sz w:val="18"/>
        </w:rPr>
        <w:br w:type="page"/>
      </w:r>
    </w:p>
    <w:p w:rsidR="006A7A3F" w:rsidRDefault="00BC7372" w:rsidP="005675D9">
      <w:pPr>
        <w:spacing w:before="166" w:after="120"/>
        <w:ind w:left="210"/>
        <w:rPr>
          <w:b/>
          <w:sz w:val="18"/>
        </w:rPr>
      </w:pPr>
      <w:r>
        <w:rPr>
          <w:b/>
          <w:color w:val="231F20"/>
          <w:sz w:val="18"/>
        </w:rPr>
        <w:t>Table 2.4.2 Potential environmental watering for the Macalister River under a range of planning scenarios</w:t>
      </w:r>
    </w:p>
    <w:tbl>
      <w:tblPr>
        <w:tblW w:w="10205" w:type="dxa"/>
        <w:tblInd w:w="2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5675D9">
        <w:trPr>
          <w:trHeight w:val="367"/>
        </w:trPr>
        <w:tc>
          <w:tcPr>
            <w:tcW w:w="2041" w:type="dxa"/>
            <w:tcBorders>
              <w:top w:val="nil"/>
              <w:left w:val="nil"/>
              <w:bottom w:val="nil"/>
              <w:right w:val="nil"/>
            </w:tcBorders>
            <w:shd w:val="clear" w:color="auto" w:fill="231F20"/>
          </w:tcPr>
          <w:p w:rsidR="006A7A3F" w:rsidRDefault="00BC7372">
            <w:pPr>
              <w:pStyle w:val="TableParagraph"/>
              <w:spacing w:before="73"/>
              <w:ind w:left="90"/>
              <w:rPr>
                <w:b/>
                <w:sz w:val="18"/>
              </w:rPr>
            </w:pPr>
            <w:r>
              <w:rPr>
                <w:b/>
                <w:color w:val="FFFFFF"/>
                <w:sz w:val="18"/>
              </w:rPr>
              <w:t>Planning scenario</w:t>
            </w:r>
          </w:p>
        </w:tc>
        <w:tc>
          <w:tcPr>
            <w:tcW w:w="2041" w:type="dxa"/>
            <w:tcBorders>
              <w:top w:val="nil"/>
              <w:left w:val="nil"/>
              <w:bottom w:val="nil"/>
              <w:right w:val="nil"/>
            </w:tcBorders>
            <w:shd w:val="clear" w:color="auto" w:fill="231F20"/>
          </w:tcPr>
          <w:p w:rsidR="006A7A3F" w:rsidRDefault="00BC7372">
            <w:pPr>
              <w:pStyle w:val="TableParagraph"/>
              <w:spacing w:before="73"/>
              <w:ind w:left="89"/>
              <w:rPr>
                <w:b/>
                <w:sz w:val="18"/>
              </w:rPr>
            </w:pPr>
            <w:r>
              <w:rPr>
                <w:b/>
                <w:color w:val="FFFFFF"/>
                <w:sz w:val="18"/>
              </w:rPr>
              <w:t>Drought</w:t>
            </w:r>
          </w:p>
        </w:tc>
        <w:tc>
          <w:tcPr>
            <w:tcW w:w="2041" w:type="dxa"/>
            <w:tcBorders>
              <w:top w:val="nil"/>
              <w:left w:val="nil"/>
              <w:bottom w:val="nil"/>
              <w:right w:val="nil"/>
            </w:tcBorders>
            <w:shd w:val="clear" w:color="auto" w:fill="231F20"/>
          </w:tcPr>
          <w:p w:rsidR="006A7A3F" w:rsidRDefault="00BC7372">
            <w:pPr>
              <w:pStyle w:val="TableParagraph"/>
              <w:spacing w:before="73"/>
              <w:ind w:left="89"/>
              <w:rPr>
                <w:b/>
                <w:sz w:val="18"/>
              </w:rPr>
            </w:pPr>
            <w:r>
              <w:rPr>
                <w:b/>
                <w:color w:val="FFFFFF"/>
                <w:sz w:val="18"/>
              </w:rPr>
              <w:t>Dry</w:t>
            </w:r>
          </w:p>
        </w:tc>
        <w:tc>
          <w:tcPr>
            <w:tcW w:w="2041" w:type="dxa"/>
            <w:tcBorders>
              <w:top w:val="nil"/>
              <w:left w:val="nil"/>
              <w:bottom w:val="nil"/>
              <w:right w:val="nil"/>
            </w:tcBorders>
            <w:shd w:val="clear" w:color="auto" w:fill="231F20"/>
          </w:tcPr>
          <w:p w:rsidR="006A7A3F" w:rsidRDefault="00BC7372">
            <w:pPr>
              <w:pStyle w:val="TableParagraph"/>
              <w:spacing w:before="73"/>
              <w:ind w:left="89"/>
              <w:rPr>
                <w:b/>
                <w:sz w:val="18"/>
              </w:rPr>
            </w:pPr>
            <w:r>
              <w:rPr>
                <w:b/>
                <w:color w:val="FFFFFF"/>
                <w:sz w:val="18"/>
              </w:rPr>
              <w:t>Average</w:t>
            </w:r>
          </w:p>
        </w:tc>
        <w:tc>
          <w:tcPr>
            <w:tcW w:w="2041" w:type="dxa"/>
            <w:tcBorders>
              <w:top w:val="nil"/>
              <w:left w:val="nil"/>
              <w:bottom w:val="nil"/>
              <w:right w:val="nil"/>
            </w:tcBorders>
            <w:shd w:val="clear" w:color="auto" w:fill="231F20"/>
          </w:tcPr>
          <w:p w:rsidR="006A7A3F" w:rsidRDefault="00BC7372">
            <w:pPr>
              <w:pStyle w:val="TableParagraph"/>
              <w:spacing w:before="73"/>
              <w:ind w:left="89"/>
              <w:rPr>
                <w:b/>
                <w:sz w:val="18"/>
              </w:rPr>
            </w:pPr>
            <w:r>
              <w:rPr>
                <w:b/>
                <w:color w:val="FFFFFF"/>
                <w:sz w:val="18"/>
              </w:rPr>
              <w:t>Wet</w:t>
            </w:r>
          </w:p>
        </w:tc>
      </w:tr>
      <w:tr w:rsidR="006A7A3F" w:rsidTr="005675D9">
        <w:trPr>
          <w:trHeight w:val="1752"/>
        </w:trPr>
        <w:tc>
          <w:tcPr>
            <w:tcW w:w="2041" w:type="dxa"/>
            <w:tcBorders>
              <w:top w:val="nil"/>
            </w:tcBorders>
          </w:tcPr>
          <w:p w:rsidR="006A7A3F" w:rsidRDefault="00BC7372">
            <w:pPr>
              <w:pStyle w:val="TableParagraph"/>
              <w:spacing w:before="67"/>
              <w:ind w:left="85"/>
              <w:rPr>
                <w:sz w:val="16"/>
              </w:rPr>
            </w:pPr>
            <w:r>
              <w:rPr>
                <w:color w:val="231F20"/>
                <w:sz w:val="16"/>
              </w:rPr>
              <w:t>Expected river conditions</w:t>
            </w:r>
          </w:p>
        </w:tc>
        <w:tc>
          <w:tcPr>
            <w:tcW w:w="2041" w:type="dxa"/>
            <w:tcBorders>
              <w:top w:val="nil"/>
            </w:tcBorders>
          </w:tcPr>
          <w:p w:rsidR="006A7A3F" w:rsidRPr="00A1021A" w:rsidRDefault="00BC7372">
            <w:pPr>
              <w:pStyle w:val="TableParagraph"/>
              <w:numPr>
                <w:ilvl w:val="0"/>
                <w:numId w:val="1287"/>
              </w:numPr>
              <w:tabs>
                <w:tab w:val="left" w:pos="305"/>
              </w:tabs>
              <w:spacing w:before="63"/>
              <w:rPr>
                <w:sz w:val="16"/>
                <w:szCs w:val="16"/>
              </w:rPr>
            </w:pPr>
            <w:r w:rsidRPr="00A1021A">
              <w:rPr>
                <w:color w:val="231F20"/>
                <w:sz w:val="16"/>
                <w:szCs w:val="16"/>
              </w:rPr>
              <w:t>No natural</w:t>
            </w:r>
            <w:r w:rsidRPr="00A1021A">
              <w:rPr>
                <w:color w:val="231F20"/>
                <w:spacing w:val="-4"/>
                <w:sz w:val="16"/>
                <w:szCs w:val="16"/>
              </w:rPr>
              <w:t xml:space="preserve"> </w:t>
            </w:r>
            <w:r w:rsidRPr="00A1021A">
              <w:rPr>
                <w:color w:val="231F20"/>
                <w:sz w:val="16"/>
                <w:szCs w:val="16"/>
              </w:rPr>
              <w:t>flow</w:t>
            </w:r>
          </w:p>
          <w:p w:rsidR="006A7A3F" w:rsidRPr="00A1021A" w:rsidRDefault="00BC7372">
            <w:pPr>
              <w:pStyle w:val="TableParagraph"/>
              <w:numPr>
                <w:ilvl w:val="0"/>
                <w:numId w:val="1287"/>
              </w:numPr>
              <w:tabs>
                <w:tab w:val="left" w:pos="305"/>
              </w:tabs>
              <w:spacing w:before="98" w:line="254" w:lineRule="auto"/>
              <w:ind w:right="99"/>
              <w:rPr>
                <w:sz w:val="16"/>
                <w:szCs w:val="16"/>
              </w:rPr>
            </w:pPr>
            <w:r w:rsidRPr="00A1021A">
              <w:rPr>
                <w:color w:val="231F20"/>
                <w:sz w:val="16"/>
                <w:szCs w:val="16"/>
              </w:rPr>
              <w:t>Passing flows at Maffra Weir</w:t>
            </w:r>
            <w:r w:rsidRPr="00A1021A">
              <w:rPr>
                <w:color w:val="231F20"/>
                <w:spacing w:val="-19"/>
                <w:sz w:val="16"/>
                <w:szCs w:val="16"/>
              </w:rPr>
              <w:t xml:space="preserve"> </w:t>
            </w:r>
            <w:r w:rsidRPr="00A1021A">
              <w:rPr>
                <w:color w:val="231F20"/>
                <w:sz w:val="16"/>
                <w:szCs w:val="16"/>
              </w:rPr>
              <w:t>reduced</w:t>
            </w:r>
          </w:p>
        </w:tc>
        <w:tc>
          <w:tcPr>
            <w:tcW w:w="2041" w:type="dxa"/>
            <w:tcBorders>
              <w:top w:val="nil"/>
            </w:tcBorders>
          </w:tcPr>
          <w:p w:rsidR="006A7A3F" w:rsidRPr="00A1021A" w:rsidRDefault="00BC7372">
            <w:pPr>
              <w:pStyle w:val="TableParagraph"/>
              <w:numPr>
                <w:ilvl w:val="0"/>
                <w:numId w:val="1286"/>
              </w:numPr>
              <w:tabs>
                <w:tab w:val="left" w:pos="305"/>
              </w:tabs>
              <w:spacing w:before="63" w:line="254" w:lineRule="auto"/>
              <w:ind w:right="122"/>
              <w:rPr>
                <w:sz w:val="16"/>
                <w:szCs w:val="16"/>
              </w:rPr>
            </w:pPr>
            <w:r w:rsidRPr="00A1021A">
              <w:rPr>
                <w:color w:val="231F20"/>
                <w:sz w:val="16"/>
                <w:szCs w:val="16"/>
              </w:rPr>
              <w:t xml:space="preserve">Possible spills from Lake Glenmaggie </w:t>
            </w:r>
            <w:r w:rsidRPr="00A1021A">
              <w:rPr>
                <w:color w:val="231F20"/>
                <w:spacing w:val="-6"/>
                <w:sz w:val="16"/>
                <w:szCs w:val="16"/>
              </w:rPr>
              <w:t xml:space="preserve">in </w:t>
            </w:r>
            <w:r w:rsidRPr="00A1021A">
              <w:rPr>
                <w:color w:val="231F20"/>
                <w:sz w:val="16"/>
                <w:szCs w:val="16"/>
              </w:rPr>
              <w:t>spring, minor flood levels may</w:t>
            </w:r>
            <w:r w:rsidRPr="00A1021A">
              <w:rPr>
                <w:color w:val="231F20"/>
                <w:spacing w:val="-4"/>
                <w:sz w:val="16"/>
                <w:szCs w:val="16"/>
              </w:rPr>
              <w:t xml:space="preserve"> </w:t>
            </w:r>
            <w:r w:rsidRPr="00A1021A">
              <w:rPr>
                <w:color w:val="231F20"/>
                <w:sz w:val="16"/>
                <w:szCs w:val="16"/>
              </w:rPr>
              <w:t>occur</w:t>
            </w:r>
          </w:p>
          <w:p w:rsidR="006A7A3F" w:rsidRPr="00A1021A" w:rsidRDefault="00BC7372">
            <w:pPr>
              <w:pStyle w:val="TableParagraph"/>
              <w:numPr>
                <w:ilvl w:val="0"/>
                <w:numId w:val="1286"/>
              </w:numPr>
              <w:tabs>
                <w:tab w:val="left" w:pos="305"/>
              </w:tabs>
              <w:spacing w:before="87" w:line="254" w:lineRule="auto"/>
              <w:ind w:right="160"/>
              <w:rPr>
                <w:sz w:val="16"/>
                <w:szCs w:val="16"/>
              </w:rPr>
            </w:pPr>
            <w:r w:rsidRPr="00A1021A">
              <w:rPr>
                <w:color w:val="231F20"/>
                <w:sz w:val="16"/>
                <w:szCs w:val="16"/>
              </w:rPr>
              <w:t xml:space="preserve">Passing flows at Maffra Weir may </w:t>
            </w:r>
            <w:r w:rsidRPr="00A1021A">
              <w:rPr>
                <w:color w:val="231F20"/>
                <w:spacing w:val="-7"/>
                <w:sz w:val="16"/>
                <w:szCs w:val="16"/>
              </w:rPr>
              <w:t xml:space="preserve">be </w:t>
            </w:r>
            <w:r w:rsidRPr="00A1021A">
              <w:rPr>
                <w:color w:val="231F20"/>
                <w:sz w:val="16"/>
                <w:szCs w:val="16"/>
              </w:rPr>
              <w:t>reduced</w:t>
            </w:r>
          </w:p>
        </w:tc>
        <w:tc>
          <w:tcPr>
            <w:tcW w:w="2041" w:type="dxa"/>
            <w:tcBorders>
              <w:top w:val="nil"/>
            </w:tcBorders>
          </w:tcPr>
          <w:p w:rsidR="006A7A3F" w:rsidRPr="00A1021A" w:rsidRDefault="00BC7372">
            <w:pPr>
              <w:pStyle w:val="TableParagraph"/>
              <w:numPr>
                <w:ilvl w:val="0"/>
                <w:numId w:val="1285"/>
              </w:numPr>
              <w:tabs>
                <w:tab w:val="left" w:pos="305"/>
              </w:tabs>
              <w:spacing w:before="63" w:line="254" w:lineRule="auto"/>
              <w:ind w:right="233"/>
              <w:rPr>
                <w:sz w:val="16"/>
                <w:szCs w:val="16"/>
              </w:rPr>
            </w:pPr>
            <w:r w:rsidRPr="00A1021A">
              <w:rPr>
                <w:color w:val="231F20"/>
                <w:sz w:val="16"/>
                <w:szCs w:val="16"/>
              </w:rPr>
              <w:t>Regular spills from Lake Glenmaggie in spring,</w:t>
            </w:r>
            <w:r w:rsidRPr="00A1021A">
              <w:rPr>
                <w:color w:val="231F20"/>
                <w:spacing w:val="-2"/>
                <w:sz w:val="16"/>
                <w:szCs w:val="16"/>
              </w:rPr>
              <w:t xml:space="preserve"> </w:t>
            </w:r>
            <w:r w:rsidRPr="00A1021A">
              <w:rPr>
                <w:color w:val="231F20"/>
                <w:sz w:val="16"/>
                <w:szCs w:val="16"/>
              </w:rPr>
              <w:t>minor</w:t>
            </w:r>
          </w:p>
          <w:p w:rsidR="006A7A3F" w:rsidRPr="00A1021A" w:rsidRDefault="00BC7372">
            <w:pPr>
              <w:pStyle w:val="TableParagraph"/>
              <w:spacing w:before="2" w:line="254" w:lineRule="auto"/>
              <w:ind w:right="306"/>
              <w:rPr>
                <w:sz w:val="16"/>
                <w:szCs w:val="16"/>
              </w:rPr>
            </w:pPr>
            <w:r w:rsidRPr="00A1021A">
              <w:rPr>
                <w:color w:val="231F20"/>
                <w:sz w:val="16"/>
                <w:szCs w:val="16"/>
              </w:rPr>
              <w:t>to moderate flood levels may occur</w:t>
            </w:r>
          </w:p>
        </w:tc>
        <w:tc>
          <w:tcPr>
            <w:tcW w:w="2041" w:type="dxa"/>
            <w:tcBorders>
              <w:top w:val="nil"/>
            </w:tcBorders>
          </w:tcPr>
          <w:p w:rsidR="006A7A3F" w:rsidRPr="00A1021A" w:rsidRDefault="00BC7372">
            <w:pPr>
              <w:pStyle w:val="TableParagraph"/>
              <w:numPr>
                <w:ilvl w:val="0"/>
                <w:numId w:val="1284"/>
              </w:numPr>
              <w:tabs>
                <w:tab w:val="left" w:pos="305"/>
              </w:tabs>
              <w:spacing w:before="63" w:line="254" w:lineRule="auto"/>
              <w:ind w:right="202"/>
              <w:rPr>
                <w:sz w:val="16"/>
                <w:szCs w:val="16"/>
              </w:rPr>
            </w:pPr>
            <w:r w:rsidRPr="00A1021A">
              <w:rPr>
                <w:color w:val="231F20"/>
                <w:sz w:val="16"/>
                <w:szCs w:val="16"/>
              </w:rPr>
              <w:t>Large and frequent spills from Lake Glenmaggie, moderate to major flood levels may occur</w:t>
            </w:r>
          </w:p>
        </w:tc>
      </w:tr>
      <w:tr w:rsidR="006A7A3F" w:rsidTr="005675D9">
        <w:trPr>
          <w:trHeight w:val="533"/>
        </w:trPr>
        <w:tc>
          <w:tcPr>
            <w:tcW w:w="2041" w:type="dxa"/>
          </w:tcPr>
          <w:p w:rsidR="006A7A3F" w:rsidRDefault="00BC7372">
            <w:pPr>
              <w:pStyle w:val="TableParagraph"/>
              <w:spacing w:before="67" w:line="261" w:lineRule="auto"/>
              <w:ind w:left="85" w:right="111"/>
              <w:rPr>
                <w:sz w:val="16"/>
              </w:rPr>
            </w:pPr>
            <w:r>
              <w:rPr>
                <w:color w:val="231F20"/>
                <w:sz w:val="16"/>
              </w:rPr>
              <w:t>Expected availability of water for the environment</w:t>
            </w:r>
          </w:p>
        </w:tc>
        <w:tc>
          <w:tcPr>
            <w:tcW w:w="2041" w:type="dxa"/>
          </w:tcPr>
          <w:p w:rsidR="006A7A3F" w:rsidRPr="00A1021A" w:rsidRDefault="00BC7372">
            <w:pPr>
              <w:pStyle w:val="TableParagraph"/>
              <w:numPr>
                <w:ilvl w:val="0"/>
                <w:numId w:val="1283"/>
              </w:numPr>
              <w:tabs>
                <w:tab w:val="left" w:pos="305"/>
              </w:tabs>
              <w:spacing w:before="63"/>
              <w:rPr>
                <w:sz w:val="16"/>
                <w:szCs w:val="16"/>
              </w:rPr>
            </w:pPr>
            <w:r w:rsidRPr="00A1021A">
              <w:rPr>
                <w:color w:val="231F20"/>
                <w:sz w:val="16"/>
                <w:szCs w:val="16"/>
              </w:rPr>
              <w:t>16,500</w:t>
            </w:r>
            <w:r w:rsidRPr="00A1021A">
              <w:rPr>
                <w:color w:val="231F20"/>
                <w:spacing w:val="-2"/>
                <w:sz w:val="16"/>
                <w:szCs w:val="16"/>
              </w:rPr>
              <w:t xml:space="preserve"> </w:t>
            </w:r>
            <w:r w:rsidRPr="00A1021A">
              <w:rPr>
                <w:color w:val="231F20"/>
                <w:sz w:val="16"/>
                <w:szCs w:val="16"/>
              </w:rPr>
              <w:t>ML</w:t>
            </w:r>
          </w:p>
        </w:tc>
        <w:tc>
          <w:tcPr>
            <w:tcW w:w="2041" w:type="dxa"/>
          </w:tcPr>
          <w:p w:rsidR="006A7A3F" w:rsidRPr="00A1021A" w:rsidRDefault="00BC7372">
            <w:pPr>
              <w:pStyle w:val="TableParagraph"/>
              <w:numPr>
                <w:ilvl w:val="0"/>
                <w:numId w:val="1282"/>
              </w:numPr>
              <w:tabs>
                <w:tab w:val="left" w:pos="305"/>
              </w:tabs>
              <w:spacing w:before="63"/>
              <w:rPr>
                <w:sz w:val="16"/>
                <w:szCs w:val="16"/>
              </w:rPr>
            </w:pPr>
            <w:r w:rsidRPr="00A1021A">
              <w:rPr>
                <w:color w:val="231F20"/>
                <w:sz w:val="16"/>
                <w:szCs w:val="16"/>
              </w:rPr>
              <w:t>19,800</w:t>
            </w:r>
            <w:r w:rsidRPr="00A1021A">
              <w:rPr>
                <w:color w:val="231F20"/>
                <w:spacing w:val="-2"/>
                <w:sz w:val="16"/>
                <w:szCs w:val="16"/>
              </w:rPr>
              <w:t xml:space="preserve"> </w:t>
            </w:r>
            <w:r w:rsidRPr="00A1021A">
              <w:rPr>
                <w:color w:val="231F20"/>
                <w:sz w:val="16"/>
                <w:szCs w:val="16"/>
              </w:rPr>
              <w:t>ML</w:t>
            </w:r>
          </w:p>
        </w:tc>
        <w:tc>
          <w:tcPr>
            <w:tcW w:w="2041" w:type="dxa"/>
          </w:tcPr>
          <w:p w:rsidR="006A7A3F" w:rsidRPr="00A1021A" w:rsidRDefault="00BC7372">
            <w:pPr>
              <w:pStyle w:val="TableParagraph"/>
              <w:numPr>
                <w:ilvl w:val="0"/>
                <w:numId w:val="1281"/>
              </w:numPr>
              <w:tabs>
                <w:tab w:val="left" w:pos="305"/>
              </w:tabs>
              <w:spacing w:before="63"/>
              <w:rPr>
                <w:sz w:val="16"/>
                <w:szCs w:val="16"/>
              </w:rPr>
            </w:pPr>
            <w:r w:rsidRPr="00A1021A">
              <w:rPr>
                <w:color w:val="231F20"/>
                <w:sz w:val="16"/>
                <w:szCs w:val="16"/>
              </w:rPr>
              <w:t>21,800</w:t>
            </w:r>
            <w:r w:rsidRPr="00A1021A">
              <w:rPr>
                <w:color w:val="231F20"/>
                <w:spacing w:val="-2"/>
                <w:sz w:val="16"/>
                <w:szCs w:val="16"/>
              </w:rPr>
              <w:t xml:space="preserve"> </w:t>
            </w:r>
            <w:r w:rsidRPr="00A1021A">
              <w:rPr>
                <w:color w:val="231F20"/>
                <w:sz w:val="16"/>
                <w:szCs w:val="16"/>
              </w:rPr>
              <w:t>ML</w:t>
            </w:r>
          </w:p>
        </w:tc>
        <w:tc>
          <w:tcPr>
            <w:tcW w:w="2041" w:type="dxa"/>
          </w:tcPr>
          <w:p w:rsidR="006A7A3F" w:rsidRPr="00A1021A" w:rsidRDefault="00BC7372">
            <w:pPr>
              <w:pStyle w:val="TableParagraph"/>
              <w:numPr>
                <w:ilvl w:val="0"/>
                <w:numId w:val="1280"/>
              </w:numPr>
              <w:tabs>
                <w:tab w:val="left" w:pos="305"/>
              </w:tabs>
              <w:spacing w:before="63"/>
              <w:rPr>
                <w:sz w:val="16"/>
                <w:szCs w:val="16"/>
              </w:rPr>
            </w:pPr>
            <w:r w:rsidRPr="00A1021A">
              <w:rPr>
                <w:color w:val="231F20"/>
                <w:sz w:val="16"/>
                <w:szCs w:val="16"/>
              </w:rPr>
              <w:t>26,300</w:t>
            </w:r>
            <w:r w:rsidRPr="00A1021A">
              <w:rPr>
                <w:color w:val="231F20"/>
                <w:spacing w:val="-2"/>
                <w:sz w:val="16"/>
                <w:szCs w:val="16"/>
              </w:rPr>
              <w:t xml:space="preserve"> </w:t>
            </w:r>
            <w:r w:rsidRPr="00A1021A">
              <w:rPr>
                <w:color w:val="231F20"/>
                <w:sz w:val="16"/>
                <w:szCs w:val="16"/>
              </w:rPr>
              <w:t>ML</w:t>
            </w:r>
          </w:p>
        </w:tc>
      </w:tr>
      <w:tr w:rsidR="006A7A3F" w:rsidTr="00A1021A">
        <w:trPr>
          <w:trHeight w:val="4375"/>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1a (high priorities)</w:t>
            </w:r>
          </w:p>
        </w:tc>
        <w:tc>
          <w:tcPr>
            <w:tcW w:w="2041" w:type="dxa"/>
          </w:tcPr>
          <w:p w:rsidR="006A7A3F" w:rsidRPr="00A1021A" w:rsidRDefault="00BC7372">
            <w:pPr>
              <w:pStyle w:val="TableParagraph"/>
              <w:numPr>
                <w:ilvl w:val="0"/>
                <w:numId w:val="1279"/>
              </w:numPr>
              <w:tabs>
                <w:tab w:val="left" w:pos="305"/>
              </w:tabs>
              <w:spacing w:before="63" w:line="254" w:lineRule="auto"/>
              <w:ind w:right="283"/>
              <w:rPr>
                <w:sz w:val="16"/>
                <w:szCs w:val="16"/>
              </w:rPr>
            </w:pPr>
            <w:r w:rsidRPr="00A1021A">
              <w:rPr>
                <w:color w:val="231F20"/>
                <w:sz w:val="16"/>
                <w:szCs w:val="16"/>
              </w:rPr>
              <w:t>One autumn fresh (reach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9"/>
              </w:numPr>
              <w:tabs>
                <w:tab w:val="left" w:pos="305"/>
              </w:tabs>
              <w:spacing w:before="86" w:line="254" w:lineRule="auto"/>
              <w:ind w:right="133"/>
              <w:rPr>
                <w:sz w:val="16"/>
                <w:szCs w:val="16"/>
              </w:rPr>
            </w:pPr>
            <w:r w:rsidRPr="00A1021A">
              <w:rPr>
                <w:color w:val="231F20"/>
                <w:sz w:val="16"/>
                <w:szCs w:val="16"/>
              </w:rPr>
              <w:t>Autumn/winter low flow (reach 1 and</w:t>
            </w:r>
            <w:r w:rsidRPr="00A1021A">
              <w:rPr>
                <w:color w:val="231F20"/>
                <w:spacing w:val="-3"/>
                <w:sz w:val="16"/>
                <w:szCs w:val="16"/>
              </w:rPr>
              <w:t xml:space="preserve"> </w:t>
            </w:r>
            <w:r w:rsidRPr="00A1021A">
              <w:rPr>
                <w:color w:val="231F20"/>
                <w:spacing w:val="-7"/>
                <w:sz w:val="16"/>
                <w:szCs w:val="16"/>
              </w:rPr>
              <w:t>2)</w:t>
            </w:r>
          </w:p>
          <w:p w:rsidR="006A7A3F" w:rsidRPr="00A1021A" w:rsidRDefault="00BC7372">
            <w:pPr>
              <w:pStyle w:val="TableParagraph"/>
              <w:numPr>
                <w:ilvl w:val="0"/>
                <w:numId w:val="1279"/>
              </w:numPr>
              <w:tabs>
                <w:tab w:val="left" w:pos="305"/>
              </w:tabs>
              <w:spacing w:before="86" w:line="254" w:lineRule="auto"/>
              <w:ind w:right="133"/>
              <w:rPr>
                <w:sz w:val="16"/>
                <w:szCs w:val="16"/>
              </w:rPr>
            </w:pPr>
            <w:r w:rsidRPr="00A1021A">
              <w:rPr>
                <w:color w:val="231F20"/>
                <w:sz w:val="16"/>
                <w:szCs w:val="16"/>
              </w:rPr>
              <w:t>Spring/summer low flow (reach 1 and</w:t>
            </w:r>
            <w:r w:rsidRPr="00A1021A">
              <w:rPr>
                <w:color w:val="231F20"/>
                <w:spacing w:val="-3"/>
                <w:sz w:val="16"/>
                <w:szCs w:val="16"/>
              </w:rPr>
              <w:t xml:space="preserve"> </w:t>
            </w:r>
            <w:r w:rsidRPr="00A1021A">
              <w:rPr>
                <w:color w:val="231F20"/>
                <w:spacing w:val="-7"/>
                <w:sz w:val="16"/>
                <w:szCs w:val="16"/>
              </w:rPr>
              <w:t>2)</w:t>
            </w:r>
          </w:p>
          <w:p w:rsidR="006A7A3F" w:rsidRPr="00A1021A" w:rsidRDefault="00BC7372">
            <w:pPr>
              <w:pStyle w:val="TableParagraph"/>
              <w:numPr>
                <w:ilvl w:val="0"/>
                <w:numId w:val="1279"/>
              </w:numPr>
              <w:tabs>
                <w:tab w:val="left" w:pos="305"/>
              </w:tabs>
              <w:spacing w:before="87" w:line="254" w:lineRule="auto"/>
              <w:ind w:right="403"/>
              <w:rPr>
                <w:sz w:val="16"/>
                <w:szCs w:val="16"/>
              </w:rPr>
            </w:pPr>
            <w:r w:rsidRPr="00A1021A">
              <w:rPr>
                <w:color w:val="231F20"/>
                <w:sz w:val="16"/>
                <w:szCs w:val="16"/>
              </w:rPr>
              <w:t>One winter fresh (reach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9"/>
              </w:numPr>
              <w:tabs>
                <w:tab w:val="left" w:pos="305"/>
              </w:tabs>
              <w:spacing w:before="86" w:line="254" w:lineRule="auto"/>
              <w:ind w:right="392"/>
              <w:rPr>
                <w:sz w:val="16"/>
                <w:szCs w:val="16"/>
              </w:rPr>
            </w:pPr>
            <w:r w:rsidRPr="00A1021A">
              <w:rPr>
                <w:color w:val="231F20"/>
                <w:sz w:val="16"/>
                <w:szCs w:val="16"/>
              </w:rPr>
              <w:t xml:space="preserve">One spring </w:t>
            </w:r>
            <w:r w:rsidRPr="00A1021A">
              <w:rPr>
                <w:color w:val="231F20"/>
                <w:spacing w:val="-3"/>
                <w:sz w:val="16"/>
                <w:szCs w:val="16"/>
              </w:rPr>
              <w:t xml:space="preserve">fresh </w:t>
            </w:r>
            <w:r w:rsidRPr="00A1021A">
              <w:rPr>
                <w:color w:val="231F20"/>
                <w:sz w:val="16"/>
                <w:szCs w:val="16"/>
              </w:rPr>
              <w:t>(reach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9"/>
              </w:numPr>
              <w:tabs>
                <w:tab w:val="left" w:pos="305"/>
              </w:tabs>
              <w:spacing w:before="86" w:line="254" w:lineRule="auto"/>
              <w:ind w:right="113"/>
              <w:rPr>
                <w:sz w:val="16"/>
                <w:szCs w:val="16"/>
              </w:rPr>
            </w:pPr>
            <w:r w:rsidRPr="00A1021A">
              <w:rPr>
                <w:color w:val="231F20"/>
                <w:sz w:val="16"/>
                <w:szCs w:val="16"/>
              </w:rPr>
              <w:t>One summer/ autumn fresh (reach 2)</w:t>
            </w:r>
          </w:p>
          <w:p w:rsidR="006A7A3F" w:rsidRPr="00A1021A" w:rsidRDefault="00BC7372">
            <w:pPr>
              <w:pStyle w:val="TableParagraph"/>
              <w:numPr>
                <w:ilvl w:val="0"/>
                <w:numId w:val="1279"/>
              </w:numPr>
              <w:tabs>
                <w:tab w:val="left" w:pos="305"/>
              </w:tabs>
              <w:spacing w:before="87" w:line="254" w:lineRule="auto"/>
              <w:ind w:right="103"/>
              <w:rPr>
                <w:sz w:val="16"/>
                <w:szCs w:val="16"/>
              </w:rPr>
            </w:pPr>
            <w:r w:rsidRPr="00A1021A">
              <w:rPr>
                <w:color w:val="231F20"/>
                <w:sz w:val="16"/>
                <w:szCs w:val="16"/>
              </w:rPr>
              <w:t xml:space="preserve">Trigger-based summer/autumn </w:t>
            </w:r>
            <w:r w:rsidRPr="00A1021A">
              <w:rPr>
                <w:color w:val="231F20"/>
                <w:spacing w:val="-6"/>
                <w:sz w:val="16"/>
                <w:szCs w:val="16"/>
              </w:rPr>
              <w:t xml:space="preserve">low </w:t>
            </w:r>
            <w:r w:rsidRPr="00A1021A">
              <w:rPr>
                <w:color w:val="231F20"/>
                <w:sz w:val="16"/>
                <w:szCs w:val="16"/>
              </w:rPr>
              <w:t>flow (reach</w:t>
            </w:r>
            <w:r w:rsidRPr="00A1021A">
              <w:rPr>
                <w:color w:val="231F20"/>
                <w:spacing w:val="-1"/>
                <w:sz w:val="16"/>
                <w:szCs w:val="16"/>
              </w:rPr>
              <w:t xml:space="preserve"> </w:t>
            </w:r>
            <w:r w:rsidRPr="00A1021A">
              <w:rPr>
                <w:color w:val="231F20"/>
                <w:sz w:val="16"/>
                <w:szCs w:val="16"/>
              </w:rPr>
              <w:t>2)</w:t>
            </w:r>
          </w:p>
        </w:tc>
        <w:tc>
          <w:tcPr>
            <w:tcW w:w="2041" w:type="dxa"/>
          </w:tcPr>
          <w:p w:rsidR="006A7A3F" w:rsidRPr="00A1021A" w:rsidRDefault="00BC7372">
            <w:pPr>
              <w:pStyle w:val="TableParagraph"/>
              <w:numPr>
                <w:ilvl w:val="0"/>
                <w:numId w:val="1278"/>
              </w:numPr>
              <w:tabs>
                <w:tab w:val="left" w:pos="305"/>
              </w:tabs>
              <w:spacing w:before="63" w:line="254" w:lineRule="auto"/>
              <w:ind w:right="283"/>
              <w:rPr>
                <w:sz w:val="16"/>
                <w:szCs w:val="16"/>
              </w:rPr>
            </w:pPr>
            <w:r w:rsidRPr="00A1021A">
              <w:rPr>
                <w:color w:val="231F20"/>
                <w:sz w:val="16"/>
                <w:szCs w:val="16"/>
              </w:rPr>
              <w:t>One autumn fresh (reach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8"/>
              </w:numPr>
              <w:tabs>
                <w:tab w:val="left" w:pos="305"/>
              </w:tabs>
              <w:spacing w:before="86" w:line="254" w:lineRule="auto"/>
              <w:ind w:right="133"/>
              <w:rPr>
                <w:sz w:val="16"/>
                <w:szCs w:val="16"/>
              </w:rPr>
            </w:pPr>
            <w:r w:rsidRPr="00A1021A">
              <w:rPr>
                <w:color w:val="231F20"/>
                <w:sz w:val="16"/>
                <w:szCs w:val="16"/>
              </w:rPr>
              <w:t>Autumn/winter low flow (reach 1 and</w:t>
            </w:r>
            <w:r w:rsidRPr="00A1021A">
              <w:rPr>
                <w:color w:val="231F20"/>
                <w:spacing w:val="-3"/>
                <w:sz w:val="16"/>
                <w:szCs w:val="16"/>
              </w:rPr>
              <w:t xml:space="preserve"> </w:t>
            </w:r>
            <w:r w:rsidRPr="00A1021A">
              <w:rPr>
                <w:color w:val="231F20"/>
                <w:spacing w:val="-7"/>
                <w:sz w:val="16"/>
                <w:szCs w:val="16"/>
              </w:rPr>
              <w:t>2)</w:t>
            </w:r>
          </w:p>
          <w:p w:rsidR="006A7A3F" w:rsidRPr="00A1021A" w:rsidRDefault="00BC7372">
            <w:pPr>
              <w:pStyle w:val="TableParagraph"/>
              <w:numPr>
                <w:ilvl w:val="0"/>
                <w:numId w:val="1278"/>
              </w:numPr>
              <w:tabs>
                <w:tab w:val="left" w:pos="305"/>
              </w:tabs>
              <w:spacing w:before="86" w:line="254" w:lineRule="auto"/>
              <w:ind w:right="133"/>
              <w:rPr>
                <w:sz w:val="16"/>
                <w:szCs w:val="16"/>
              </w:rPr>
            </w:pPr>
            <w:r w:rsidRPr="00A1021A">
              <w:rPr>
                <w:color w:val="231F20"/>
                <w:sz w:val="16"/>
                <w:szCs w:val="16"/>
              </w:rPr>
              <w:t>Spring/summer low flow (reach 1 and</w:t>
            </w:r>
            <w:r w:rsidRPr="00A1021A">
              <w:rPr>
                <w:color w:val="231F20"/>
                <w:spacing w:val="-3"/>
                <w:sz w:val="16"/>
                <w:szCs w:val="16"/>
              </w:rPr>
              <w:t xml:space="preserve"> </w:t>
            </w:r>
            <w:r w:rsidRPr="00A1021A">
              <w:rPr>
                <w:color w:val="231F20"/>
                <w:spacing w:val="-7"/>
                <w:sz w:val="16"/>
                <w:szCs w:val="16"/>
              </w:rPr>
              <w:t>2)</w:t>
            </w:r>
          </w:p>
          <w:p w:rsidR="006A7A3F" w:rsidRPr="00A1021A" w:rsidRDefault="00BC7372">
            <w:pPr>
              <w:pStyle w:val="TableParagraph"/>
              <w:numPr>
                <w:ilvl w:val="0"/>
                <w:numId w:val="1278"/>
              </w:numPr>
              <w:tabs>
                <w:tab w:val="left" w:pos="305"/>
              </w:tabs>
              <w:spacing w:before="87" w:line="254" w:lineRule="auto"/>
              <w:ind w:right="403"/>
              <w:rPr>
                <w:sz w:val="16"/>
                <w:szCs w:val="16"/>
              </w:rPr>
            </w:pPr>
            <w:r w:rsidRPr="00A1021A">
              <w:rPr>
                <w:color w:val="231F20"/>
                <w:sz w:val="16"/>
                <w:szCs w:val="16"/>
              </w:rPr>
              <w:t>One winter fresh (reach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8"/>
              </w:numPr>
              <w:tabs>
                <w:tab w:val="left" w:pos="305"/>
              </w:tabs>
              <w:spacing w:before="86" w:line="254" w:lineRule="auto"/>
              <w:ind w:right="203"/>
              <w:rPr>
                <w:sz w:val="16"/>
                <w:szCs w:val="16"/>
              </w:rPr>
            </w:pPr>
            <w:r w:rsidRPr="00A1021A">
              <w:rPr>
                <w:color w:val="231F20"/>
                <w:sz w:val="16"/>
                <w:szCs w:val="16"/>
              </w:rPr>
              <w:t>One spring fresh (reach 2) or spring/ summer fresh (reach 1 and 2) following spill</w:t>
            </w:r>
          </w:p>
          <w:p w:rsidR="006A7A3F" w:rsidRPr="00A1021A" w:rsidRDefault="00BC7372">
            <w:pPr>
              <w:pStyle w:val="TableParagraph"/>
              <w:numPr>
                <w:ilvl w:val="0"/>
                <w:numId w:val="1278"/>
              </w:numPr>
              <w:tabs>
                <w:tab w:val="left" w:pos="305"/>
              </w:tabs>
              <w:spacing w:before="88" w:line="254" w:lineRule="auto"/>
              <w:ind w:right="113"/>
              <w:rPr>
                <w:sz w:val="16"/>
                <w:szCs w:val="16"/>
              </w:rPr>
            </w:pPr>
            <w:r w:rsidRPr="00A1021A">
              <w:rPr>
                <w:color w:val="231F20"/>
                <w:sz w:val="16"/>
                <w:szCs w:val="16"/>
              </w:rPr>
              <w:t>One summer/ autumn fresh (reach 2)</w:t>
            </w:r>
          </w:p>
          <w:p w:rsidR="006A7A3F" w:rsidRPr="00A1021A" w:rsidRDefault="00BC7372">
            <w:pPr>
              <w:pStyle w:val="TableParagraph"/>
              <w:numPr>
                <w:ilvl w:val="0"/>
                <w:numId w:val="1278"/>
              </w:numPr>
              <w:tabs>
                <w:tab w:val="left" w:pos="305"/>
              </w:tabs>
              <w:spacing w:before="87" w:line="254" w:lineRule="auto"/>
              <w:ind w:right="103"/>
              <w:rPr>
                <w:sz w:val="16"/>
                <w:szCs w:val="16"/>
              </w:rPr>
            </w:pPr>
            <w:r w:rsidRPr="00A1021A">
              <w:rPr>
                <w:color w:val="231F20"/>
                <w:sz w:val="16"/>
                <w:szCs w:val="16"/>
              </w:rPr>
              <w:t xml:space="preserve">Trigger-based summer/autumn </w:t>
            </w:r>
            <w:r w:rsidRPr="00A1021A">
              <w:rPr>
                <w:color w:val="231F20"/>
                <w:spacing w:val="-6"/>
                <w:sz w:val="16"/>
                <w:szCs w:val="16"/>
              </w:rPr>
              <w:t xml:space="preserve">low </w:t>
            </w:r>
            <w:r w:rsidRPr="00A1021A">
              <w:rPr>
                <w:color w:val="231F20"/>
                <w:sz w:val="16"/>
                <w:szCs w:val="16"/>
              </w:rPr>
              <w:t>flow (reach</w:t>
            </w:r>
            <w:r w:rsidRPr="00A1021A">
              <w:rPr>
                <w:color w:val="231F20"/>
                <w:spacing w:val="-1"/>
                <w:sz w:val="16"/>
                <w:szCs w:val="16"/>
              </w:rPr>
              <w:t xml:space="preserve"> </w:t>
            </w:r>
            <w:r w:rsidRPr="00A1021A">
              <w:rPr>
                <w:color w:val="231F20"/>
                <w:sz w:val="16"/>
                <w:szCs w:val="16"/>
              </w:rPr>
              <w:t>2)</w:t>
            </w:r>
          </w:p>
        </w:tc>
        <w:tc>
          <w:tcPr>
            <w:tcW w:w="2041" w:type="dxa"/>
          </w:tcPr>
          <w:p w:rsidR="006A7A3F" w:rsidRPr="00A1021A" w:rsidRDefault="00BC7372">
            <w:pPr>
              <w:pStyle w:val="TableParagraph"/>
              <w:numPr>
                <w:ilvl w:val="0"/>
                <w:numId w:val="1277"/>
              </w:numPr>
              <w:tabs>
                <w:tab w:val="left" w:pos="305"/>
              </w:tabs>
              <w:spacing w:before="63" w:line="254" w:lineRule="auto"/>
              <w:ind w:right="283"/>
              <w:rPr>
                <w:sz w:val="16"/>
                <w:szCs w:val="16"/>
              </w:rPr>
            </w:pPr>
            <w:r w:rsidRPr="00A1021A">
              <w:rPr>
                <w:color w:val="231F20"/>
                <w:sz w:val="16"/>
                <w:szCs w:val="16"/>
              </w:rPr>
              <w:t>One autumn fresh (reach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7"/>
              </w:numPr>
              <w:tabs>
                <w:tab w:val="left" w:pos="305"/>
              </w:tabs>
              <w:spacing w:before="86" w:line="254" w:lineRule="auto"/>
              <w:ind w:right="133"/>
              <w:rPr>
                <w:sz w:val="16"/>
                <w:szCs w:val="16"/>
              </w:rPr>
            </w:pPr>
            <w:r w:rsidRPr="00A1021A">
              <w:rPr>
                <w:color w:val="231F20"/>
                <w:sz w:val="16"/>
                <w:szCs w:val="16"/>
              </w:rPr>
              <w:t>Autumn/winter low flow (reach 1 and</w:t>
            </w:r>
            <w:r w:rsidRPr="00A1021A">
              <w:rPr>
                <w:color w:val="231F20"/>
                <w:spacing w:val="-3"/>
                <w:sz w:val="16"/>
                <w:szCs w:val="16"/>
              </w:rPr>
              <w:t xml:space="preserve"> </w:t>
            </w:r>
            <w:r w:rsidRPr="00A1021A">
              <w:rPr>
                <w:color w:val="231F20"/>
                <w:spacing w:val="-7"/>
                <w:sz w:val="16"/>
                <w:szCs w:val="16"/>
              </w:rPr>
              <w:t>2)</w:t>
            </w:r>
          </w:p>
          <w:p w:rsidR="006A7A3F" w:rsidRPr="00A1021A" w:rsidRDefault="00BC7372">
            <w:pPr>
              <w:pStyle w:val="TableParagraph"/>
              <w:numPr>
                <w:ilvl w:val="0"/>
                <w:numId w:val="1277"/>
              </w:numPr>
              <w:tabs>
                <w:tab w:val="left" w:pos="305"/>
              </w:tabs>
              <w:spacing w:before="86" w:line="254" w:lineRule="auto"/>
              <w:ind w:right="133"/>
              <w:rPr>
                <w:sz w:val="16"/>
                <w:szCs w:val="16"/>
              </w:rPr>
            </w:pPr>
            <w:r w:rsidRPr="00A1021A">
              <w:rPr>
                <w:color w:val="231F20"/>
                <w:sz w:val="16"/>
                <w:szCs w:val="16"/>
              </w:rPr>
              <w:t>Spring/summer low flow (reach 1 and</w:t>
            </w:r>
            <w:r w:rsidRPr="00A1021A">
              <w:rPr>
                <w:color w:val="231F20"/>
                <w:spacing w:val="-3"/>
                <w:sz w:val="16"/>
                <w:szCs w:val="16"/>
              </w:rPr>
              <w:t xml:space="preserve"> </w:t>
            </w:r>
            <w:r w:rsidRPr="00A1021A">
              <w:rPr>
                <w:color w:val="231F20"/>
                <w:spacing w:val="-7"/>
                <w:sz w:val="16"/>
                <w:szCs w:val="16"/>
              </w:rPr>
              <w:t>2)</w:t>
            </w:r>
          </w:p>
          <w:p w:rsidR="006A7A3F" w:rsidRPr="00A1021A" w:rsidRDefault="00BC7372">
            <w:pPr>
              <w:pStyle w:val="TableParagraph"/>
              <w:numPr>
                <w:ilvl w:val="0"/>
                <w:numId w:val="1277"/>
              </w:numPr>
              <w:tabs>
                <w:tab w:val="left" w:pos="305"/>
              </w:tabs>
              <w:spacing w:before="87" w:line="254" w:lineRule="auto"/>
              <w:ind w:right="403"/>
              <w:rPr>
                <w:sz w:val="16"/>
                <w:szCs w:val="16"/>
              </w:rPr>
            </w:pPr>
            <w:r w:rsidRPr="00A1021A">
              <w:rPr>
                <w:color w:val="231F20"/>
                <w:sz w:val="16"/>
                <w:szCs w:val="16"/>
              </w:rPr>
              <w:t>One winter fresh (reach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7"/>
              </w:numPr>
              <w:tabs>
                <w:tab w:val="left" w:pos="305"/>
              </w:tabs>
              <w:spacing w:before="86" w:line="254" w:lineRule="auto"/>
              <w:ind w:right="203"/>
              <w:rPr>
                <w:sz w:val="16"/>
                <w:szCs w:val="16"/>
              </w:rPr>
            </w:pPr>
            <w:r w:rsidRPr="00A1021A">
              <w:rPr>
                <w:color w:val="231F20"/>
                <w:sz w:val="16"/>
                <w:szCs w:val="16"/>
              </w:rPr>
              <w:t>One spring fresh (reach 2) or spring/ summer fresh (reach 1 and 2) following spill</w:t>
            </w:r>
          </w:p>
          <w:p w:rsidR="006A7A3F" w:rsidRPr="00A1021A" w:rsidRDefault="00BC7372">
            <w:pPr>
              <w:pStyle w:val="TableParagraph"/>
              <w:numPr>
                <w:ilvl w:val="0"/>
                <w:numId w:val="1277"/>
              </w:numPr>
              <w:tabs>
                <w:tab w:val="left" w:pos="305"/>
              </w:tabs>
              <w:spacing w:before="88" w:line="254" w:lineRule="auto"/>
              <w:ind w:right="113"/>
              <w:rPr>
                <w:sz w:val="16"/>
                <w:szCs w:val="16"/>
              </w:rPr>
            </w:pPr>
            <w:r w:rsidRPr="00A1021A">
              <w:rPr>
                <w:color w:val="231F20"/>
                <w:sz w:val="16"/>
                <w:szCs w:val="16"/>
              </w:rPr>
              <w:t>One summer/ autumn fresh (reach 2)</w:t>
            </w:r>
          </w:p>
        </w:tc>
        <w:tc>
          <w:tcPr>
            <w:tcW w:w="2041" w:type="dxa"/>
          </w:tcPr>
          <w:p w:rsidR="006A7A3F" w:rsidRPr="00A1021A" w:rsidRDefault="00BC7372">
            <w:pPr>
              <w:pStyle w:val="TableParagraph"/>
              <w:numPr>
                <w:ilvl w:val="0"/>
                <w:numId w:val="1276"/>
              </w:numPr>
              <w:tabs>
                <w:tab w:val="left" w:pos="305"/>
              </w:tabs>
              <w:spacing w:before="63" w:line="254" w:lineRule="auto"/>
              <w:ind w:right="283"/>
              <w:rPr>
                <w:sz w:val="16"/>
                <w:szCs w:val="16"/>
              </w:rPr>
            </w:pPr>
            <w:r w:rsidRPr="00A1021A">
              <w:rPr>
                <w:color w:val="231F20"/>
                <w:sz w:val="16"/>
                <w:szCs w:val="16"/>
              </w:rPr>
              <w:t>One autumn fresh (reach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6"/>
              </w:numPr>
              <w:tabs>
                <w:tab w:val="left" w:pos="305"/>
              </w:tabs>
              <w:spacing w:before="86" w:line="254" w:lineRule="auto"/>
              <w:ind w:right="133"/>
              <w:rPr>
                <w:sz w:val="16"/>
                <w:szCs w:val="16"/>
              </w:rPr>
            </w:pPr>
            <w:r w:rsidRPr="00A1021A">
              <w:rPr>
                <w:color w:val="231F20"/>
                <w:sz w:val="16"/>
                <w:szCs w:val="16"/>
              </w:rPr>
              <w:t>Autumn/winter low flow (reach 1 and</w:t>
            </w:r>
            <w:r w:rsidRPr="00A1021A">
              <w:rPr>
                <w:color w:val="231F20"/>
                <w:spacing w:val="-3"/>
                <w:sz w:val="16"/>
                <w:szCs w:val="16"/>
              </w:rPr>
              <w:t xml:space="preserve"> </w:t>
            </w:r>
            <w:r w:rsidRPr="00A1021A">
              <w:rPr>
                <w:color w:val="231F20"/>
                <w:spacing w:val="-7"/>
                <w:sz w:val="16"/>
                <w:szCs w:val="16"/>
              </w:rPr>
              <w:t>2)</w:t>
            </w:r>
          </w:p>
          <w:p w:rsidR="006A7A3F" w:rsidRPr="00A1021A" w:rsidRDefault="00BC7372">
            <w:pPr>
              <w:pStyle w:val="TableParagraph"/>
              <w:numPr>
                <w:ilvl w:val="0"/>
                <w:numId w:val="1276"/>
              </w:numPr>
              <w:tabs>
                <w:tab w:val="left" w:pos="305"/>
              </w:tabs>
              <w:spacing w:before="86" w:line="254" w:lineRule="auto"/>
              <w:ind w:right="133"/>
              <w:rPr>
                <w:sz w:val="16"/>
                <w:szCs w:val="16"/>
              </w:rPr>
            </w:pPr>
            <w:r w:rsidRPr="00A1021A">
              <w:rPr>
                <w:color w:val="231F20"/>
                <w:sz w:val="16"/>
                <w:szCs w:val="16"/>
              </w:rPr>
              <w:t>Spring/summer low flow (reach 1 and</w:t>
            </w:r>
            <w:r w:rsidRPr="00A1021A">
              <w:rPr>
                <w:color w:val="231F20"/>
                <w:spacing w:val="-3"/>
                <w:sz w:val="16"/>
                <w:szCs w:val="16"/>
              </w:rPr>
              <w:t xml:space="preserve"> </w:t>
            </w:r>
            <w:r w:rsidRPr="00A1021A">
              <w:rPr>
                <w:color w:val="231F20"/>
                <w:spacing w:val="-7"/>
                <w:sz w:val="16"/>
                <w:szCs w:val="16"/>
              </w:rPr>
              <w:t>2)</w:t>
            </w:r>
          </w:p>
          <w:p w:rsidR="006A7A3F" w:rsidRPr="00A1021A" w:rsidRDefault="00BC7372">
            <w:pPr>
              <w:pStyle w:val="TableParagraph"/>
              <w:numPr>
                <w:ilvl w:val="0"/>
                <w:numId w:val="1276"/>
              </w:numPr>
              <w:tabs>
                <w:tab w:val="left" w:pos="305"/>
              </w:tabs>
              <w:spacing w:before="87" w:line="254" w:lineRule="auto"/>
              <w:ind w:right="403"/>
              <w:rPr>
                <w:sz w:val="16"/>
                <w:szCs w:val="16"/>
              </w:rPr>
            </w:pPr>
            <w:r w:rsidRPr="00A1021A">
              <w:rPr>
                <w:color w:val="231F20"/>
                <w:sz w:val="16"/>
                <w:szCs w:val="16"/>
              </w:rPr>
              <w:t>One winter fresh (reach</w:t>
            </w:r>
            <w:r w:rsidRPr="00A1021A">
              <w:rPr>
                <w:color w:val="231F20"/>
                <w:spacing w:val="-1"/>
                <w:sz w:val="16"/>
                <w:szCs w:val="16"/>
              </w:rPr>
              <w:t xml:space="preserve"> </w:t>
            </w:r>
            <w:r w:rsidRPr="00A1021A">
              <w:rPr>
                <w:color w:val="231F20"/>
                <w:sz w:val="16"/>
                <w:szCs w:val="16"/>
              </w:rPr>
              <w:t>2)</w:t>
            </w:r>
          </w:p>
          <w:p w:rsidR="006A7A3F" w:rsidRPr="00A1021A" w:rsidRDefault="00BC7372">
            <w:pPr>
              <w:pStyle w:val="TableParagraph"/>
              <w:numPr>
                <w:ilvl w:val="0"/>
                <w:numId w:val="1276"/>
              </w:numPr>
              <w:tabs>
                <w:tab w:val="left" w:pos="305"/>
              </w:tabs>
              <w:spacing w:before="86" w:line="254" w:lineRule="auto"/>
              <w:ind w:right="143"/>
              <w:rPr>
                <w:sz w:val="16"/>
                <w:szCs w:val="16"/>
              </w:rPr>
            </w:pPr>
            <w:r w:rsidRPr="00A1021A">
              <w:rPr>
                <w:color w:val="231F20"/>
                <w:sz w:val="16"/>
                <w:szCs w:val="16"/>
              </w:rPr>
              <w:t xml:space="preserve">One </w:t>
            </w:r>
            <w:r w:rsidRPr="00A1021A">
              <w:rPr>
                <w:color w:val="231F20"/>
                <w:spacing w:val="-2"/>
                <w:sz w:val="16"/>
                <w:szCs w:val="16"/>
              </w:rPr>
              <w:t xml:space="preserve">spring/summer </w:t>
            </w:r>
            <w:r w:rsidRPr="00A1021A">
              <w:rPr>
                <w:color w:val="231F20"/>
                <w:sz w:val="16"/>
                <w:szCs w:val="16"/>
              </w:rPr>
              <w:t>fresh (reach 1</w:t>
            </w:r>
            <w:r w:rsidRPr="00A1021A">
              <w:rPr>
                <w:color w:val="231F20"/>
                <w:spacing w:val="-3"/>
                <w:sz w:val="16"/>
                <w:szCs w:val="16"/>
              </w:rPr>
              <w:t xml:space="preserve"> </w:t>
            </w:r>
            <w:r w:rsidRPr="00A1021A">
              <w:rPr>
                <w:color w:val="231F20"/>
                <w:sz w:val="16"/>
                <w:szCs w:val="16"/>
              </w:rPr>
              <w:t>and</w:t>
            </w:r>
          </w:p>
          <w:p w:rsidR="006A7A3F" w:rsidRPr="00A1021A" w:rsidRDefault="00BC7372">
            <w:pPr>
              <w:pStyle w:val="TableParagraph"/>
              <w:spacing w:before="1"/>
              <w:rPr>
                <w:sz w:val="16"/>
                <w:szCs w:val="16"/>
              </w:rPr>
            </w:pPr>
            <w:r w:rsidRPr="00A1021A">
              <w:rPr>
                <w:color w:val="231F20"/>
                <w:sz w:val="16"/>
                <w:szCs w:val="16"/>
              </w:rPr>
              <w:t>2) following spill</w:t>
            </w:r>
          </w:p>
          <w:p w:rsidR="006A7A3F" w:rsidRPr="00A1021A" w:rsidRDefault="00BC7372">
            <w:pPr>
              <w:pStyle w:val="TableParagraph"/>
              <w:numPr>
                <w:ilvl w:val="0"/>
                <w:numId w:val="1276"/>
              </w:numPr>
              <w:tabs>
                <w:tab w:val="left" w:pos="305"/>
              </w:tabs>
              <w:spacing w:before="98" w:line="254" w:lineRule="auto"/>
              <w:ind w:right="113"/>
              <w:rPr>
                <w:sz w:val="16"/>
                <w:szCs w:val="16"/>
              </w:rPr>
            </w:pPr>
            <w:r w:rsidRPr="00A1021A">
              <w:rPr>
                <w:color w:val="231F20"/>
                <w:sz w:val="16"/>
                <w:szCs w:val="16"/>
              </w:rPr>
              <w:t>One summer/ autumn fresh (reach 2)</w:t>
            </w:r>
          </w:p>
        </w:tc>
      </w:tr>
      <w:tr w:rsidR="006A7A3F" w:rsidTr="00A1021A">
        <w:trPr>
          <w:trHeight w:val="1688"/>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1b (high priorities with shortfall)</w:t>
            </w:r>
          </w:p>
        </w:tc>
        <w:tc>
          <w:tcPr>
            <w:tcW w:w="2041" w:type="dxa"/>
          </w:tcPr>
          <w:p w:rsidR="006A7A3F" w:rsidRPr="00A1021A" w:rsidRDefault="00BC7372">
            <w:pPr>
              <w:pStyle w:val="TableParagraph"/>
              <w:numPr>
                <w:ilvl w:val="0"/>
                <w:numId w:val="1275"/>
              </w:numPr>
              <w:tabs>
                <w:tab w:val="left" w:pos="305"/>
              </w:tabs>
              <w:spacing w:before="63" w:line="254" w:lineRule="auto"/>
              <w:ind w:right="363"/>
              <w:rPr>
                <w:sz w:val="16"/>
                <w:szCs w:val="16"/>
              </w:rPr>
            </w:pPr>
            <w:r w:rsidRPr="00A1021A">
              <w:rPr>
                <w:color w:val="231F20"/>
                <w:spacing w:val="-4"/>
                <w:sz w:val="16"/>
                <w:szCs w:val="16"/>
              </w:rPr>
              <w:t xml:space="preserve">Two </w:t>
            </w:r>
            <w:r w:rsidRPr="00A1021A">
              <w:rPr>
                <w:color w:val="231F20"/>
                <w:sz w:val="16"/>
                <w:szCs w:val="16"/>
              </w:rPr>
              <w:t>additional summer/autumn freshes (reach</w:t>
            </w:r>
            <w:r w:rsidRPr="00A1021A">
              <w:rPr>
                <w:color w:val="231F20"/>
                <w:spacing w:val="1"/>
                <w:sz w:val="16"/>
                <w:szCs w:val="16"/>
              </w:rPr>
              <w:t xml:space="preserve"> </w:t>
            </w:r>
            <w:r w:rsidRPr="00A1021A">
              <w:rPr>
                <w:color w:val="231F20"/>
                <w:spacing w:val="-9"/>
                <w:sz w:val="16"/>
                <w:szCs w:val="16"/>
              </w:rPr>
              <w:t>2)</w:t>
            </w:r>
          </w:p>
        </w:tc>
        <w:tc>
          <w:tcPr>
            <w:tcW w:w="2041" w:type="dxa"/>
          </w:tcPr>
          <w:p w:rsidR="006A7A3F" w:rsidRPr="00A1021A" w:rsidRDefault="00BC7372">
            <w:pPr>
              <w:pStyle w:val="TableParagraph"/>
              <w:numPr>
                <w:ilvl w:val="0"/>
                <w:numId w:val="1274"/>
              </w:numPr>
              <w:tabs>
                <w:tab w:val="left" w:pos="305"/>
              </w:tabs>
              <w:spacing w:before="63" w:line="254" w:lineRule="auto"/>
              <w:ind w:right="363"/>
              <w:rPr>
                <w:sz w:val="16"/>
                <w:szCs w:val="16"/>
              </w:rPr>
            </w:pPr>
            <w:r w:rsidRPr="00A1021A">
              <w:rPr>
                <w:color w:val="231F20"/>
                <w:spacing w:val="-4"/>
                <w:sz w:val="16"/>
                <w:szCs w:val="16"/>
              </w:rPr>
              <w:t xml:space="preserve">Two </w:t>
            </w:r>
            <w:r w:rsidRPr="00A1021A">
              <w:rPr>
                <w:color w:val="231F20"/>
                <w:sz w:val="16"/>
                <w:szCs w:val="16"/>
              </w:rPr>
              <w:t>additional summer/autumn freshes (reach</w:t>
            </w:r>
            <w:r w:rsidRPr="00A1021A">
              <w:rPr>
                <w:color w:val="231F20"/>
                <w:spacing w:val="1"/>
                <w:sz w:val="16"/>
                <w:szCs w:val="16"/>
              </w:rPr>
              <w:t xml:space="preserve"> </w:t>
            </w:r>
            <w:r w:rsidRPr="00A1021A">
              <w:rPr>
                <w:color w:val="231F20"/>
                <w:spacing w:val="-9"/>
                <w:sz w:val="16"/>
                <w:szCs w:val="16"/>
              </w:rPr>
              <w:t>2)</w:t>
            </w:r>
          </w:p>
          <w:p w:rsidR="006A7A3F" w:rsidRPr="00A1021A" w:rsidRDefault="00BC7372">
            <w:pPr>
              <w:pStyle w:val="TableParagraph"/>
              <w:numPr>
                <w:ilvl w:val="0"/>
                <w:numId w:val="1274"/>
              </w:numPr>
              <w:tabs>
                <w:tab w:val="left" w:pos="305"/>
              </w:tabs>
              <w:spacing w:before="87" w:line="254" w:lineRule="auto"/>
              <w:ind w:right="124"/>
              <w:rPr>
                <w:sz w:val="16"/>
                <w:szCs w:val="16"/>
              </w:rPr>
            </w:pPr>
            <w:r w:rsidRPr="00A1021A">
              <w:rPr>
                <w:color w:val="231F20"/>
                <w:sz w:val="16"/>
                <w:szCs w:val="16"/>
              </w:rPr>
              <w:t>Extend low flow duration through winter/spring if Lake Glenmaggie spills</w:t>
            </w:r>
          </w:p>
        </w:tc>
        <w:tc>
          <w:tcPr>
            <w:tcW w:w="2041" w:type="dxa"/>
          </w:tcPr>
          <w:p w:rsidR="006A7A3F" w:rsidRPr="00A1021A" w:rsidRDefault="00BC7372">
            <w:pPr>
              <w:pStyle w:val="TableParagraph"/>
              <w:numPr>
                <w:ilvl w:val="0"/>
                <w:numId w:val="1273"/>
              </w:numPr>
              <w:tabs>
                <w:tab w:val="left" w:pos="305"/>
              </w:tabs>
              <w:spacing w:before="63" w:line="254" w:lineRule="auto"/>
              <w:ind w:right="392"/>
              <w:rPr>
                <w:sz w:val="16"/>
                <w:szCs w:val="16"/>
              </w:rPr>
            </w:pPr>
            <w:r w:rsidRPr="00A1021A">
              <w:rPr>
                <w:color w:val="231F20"/>
                <w:sz w:val="16"/>
                <w:szCs w:val="16"/>
              </w:rPr>
              <w:t>Extend low flow duration through winter/spring following Lake Glenmaggie</w:t>
            </w:r>
            <w:r w:rsidRPr="00A1021A">
              <w:rPr>
                <w:color w:val="231F20"/>
                <w:spacing w:val="3"/>
                <w:sz w:val="16"/>
                <w:szCs w:val="16"/>
              </w:rPr>
              <w:t xml:space="preserve"> </w:t>
            </w:r>
            <w:r w:rsidRPr="00A1021A">
              <w:rPr>
                <w:color w:val="231F20"/>
                <w:spacing w:val="-4"/>
                <w:sz w:val="16"/>
                <w:szCs w:val="16"/>
              </w:rPr>
              <w:t>spill</w:t>
            </w:r>
          </w:p>
        </w:tc>
        <w:tc>
          <w:tcPr>
            <w:tcW w:w="2041" w:type="dxa"/>
          </w:tcPr>
          <w:p w:rsidR="006A7A3F" w:rsidRPr="00A1021A" w:rsidRDefault="00BC7372">
            <w:pPr>
              <w:pStyle w:val="TableParagraph"/>
              <w:numPr>
                <w:ilvl w:val="0"/>
                <w:numId w:val="1272"/>
              </w:numPr>
              <w:tabs>
                <w:tab w:val="left" w:pos="305"/>
              </w:tabs>
              <w:spacing w:before="63" w:line="254" w:lineRule="auto"/>
              <w:ind w:right="392"/>
              <w:rPr>
                <w:sz w:val="16"/>
                <w:szCs w:val="16"/>
              </w:rPr>
            </w:pPr>
            <w:r w:rsidRPr="00A1021A">
              <w:rPr>
                <w:color w:val="231F20"/>
                <w:sz w:val="16"/>
                <w:szCs w:val="16"/>
              </w:rPr>
              <w:t>Extend low flow duration through winter/spring following Lake Glenmaggie</w:t>
            </w:r>
            <w:r w:rsidRPr="00A1021A">
              <w:rPr>
                <w:color w:val="231F20"/>
                <w:spacing w:val="3"/>
                <w:sz w:val="16"/>
                <w:szCs w:val="16"/>
              </w:rPr>
              <w:t xml:space="preserve"> </w:t>
            </w:r>
            <w:r w:rsidRPr="00A1021A">
              <w:rPr>
                <w:color w:val="231F20"/>
                <w:spacing w:val="-4"/>
                <w:sz w:val="16"/>
                <w:szCs w:val="16"/>
              </w:rPr>
              <w:t>spill</w:t>
            </w:r>
          </w:p>
        </w:tc>
      </w:tr>
      <w:tr w:rsidR="006A7A3F" w:rsidTr="005675D9">
        <w:trPr>
          <w:trHeight w:val="1007"/>
        </w:trPr>
        <w:tc>
          <w:tcPr>
            <w:tcW w:w="2041" w:type="dxa"/>
          </w:tcPr>
          <w:p w:rsidR="006A7A3F" w:rsidRDefault="00BC7372">
            <w:pPr>
              <w:pStyle w:val="TableParagraph"/>
              <w:spacing w:before="67" w:line="261" w:lineRule="auto"/>
              <w:ind w:left="85" w:right="253"/>
              <w:rPr>
                <w:sz w:val="16"/>
              </w:rPr>
            </w:pPr>
            <w:r>
              <w:rPr>
                <w:color w:val="231F20"/>
                <w:sz w:val="16"/>
              </w:rPr>
              <w:t>Potential environmental watering – tier 2 (additional priorities)</w:t>
            </w:r>
          </w:p>
        </w:tc>
        <w:tc>
          <w:tcPr>
            <w:tcW w:w="2041" w:type="dxa"/>
          </w:tcPr>
          <w:p w:rsidR="006A7A3F" w:rsidRPr="00A1021A" w:rsidRDefault="00BC7372">
            <w:pPr>
              <w:pStyle w:val="TableParagraph"/>
              <w:numPr>
                <w:ilvl w:val="0"/>
                <w:numId w:val="1271"/>
              </w:numPr>
              <w:tabs>
                <w:tab w:val="left" w:pos="305"/>
              </w:tabs>
              <w:spacing w:before="63" w:line="254" w:lineRule="auto"/>
              <w:ind w:right="174"/>
              <w:rPr>
                <w:sz w:val="16"/>
                <w:szCs w:val="16"/>
              </w:rPr>
            </w:pPr>
            <w:r w:rsidRPr="00A1021A">
              <w:rPr>
                <w:color w:val="231F20"/>
                <w:sz w:val="16"/>
                <w:szCs w:val="16"/>
              </w:rPr>
              <w:t>Extend duration of delivering low flows through winter/ spring months</w:t>
            </w:r>
          </w:p>
        </w:tc>
        <w:tc>
          <w:tcPr>
            <w:tcW w:w="2041" w:type="dxa"/>
          </w:tcPr>
          <w:p w:rsidR="006A7A3F" w:rsidRPr="00A1021A" w:rsidRDefault="00BC7372">
            <w:pPr>
              <w:pStyle w:val="TableParagraph"/>
              <w:numPr>
                <w:ilvl w:val="0"/>
                <w:numId w:val="1270"/>
              </w:numPr>
              <w:tabs>
                <w:tab w:val="left" w:pos="305"/>
              </w:tabs>
              <w:spacing w:before="63" w:line="254" w:lineRule="auto"/>
              <w:ind w:right="233"/>
              <w:rPr>
                <w:sz w:val="16"/>
                <w:szCs w:val="16"/>
              </w:rPr>
            </w:pPr>
            <w:r w:rsidRPr="00A1021A">
              <w:rPr>
                <w:color w:val="231F20"/>
                <w:sz w:val="16"/>
                <w:szCs w:val="16"/>
              </w:rPr>
              <w:t>One additional winter fresh (reach 2)</w:t>
            </w:r>
          </w:p>
        </w:tc>
        <w:tc>
          <w:tcPr>
            <w:tcW w:w="2041" w:type="dxa"/>
          </w:tcPr>
          <w:p w:rsidR="006A7A3F" w:rsidRPr="00A1021A" w:rsidRDefault="00BC7372">
            <w:pPr>
              <w:pStyle w:val="TableParagraph"/>
              <w:numPr>
                <w:ilvl w:val="0"/>
                <w:numId w:val="1269"/>
              </w:numPr>
              <w:tabs>
                <w:tab w:val="left" w:pos="305"/>
              </w:tabs>
              <w:spacing w:before="63" w:line="254" w:lineRule="auto"/>
              <w:ind w:right="233"/>
              <w:rPr>
                <w:sz w:val="16"/>
                <w:szCs w:val="16"/>
              </w:rPr>
            </w:pPr>
            <w:r w:rsidRPr="00A1021A">
              <w:rPr>
                <w:color w:val="231F20"/>
                <w:sz w:val="16"/>
                <w:szCs w:val="16"/>
              </w:rPr>
              <w:t>One additional winter fresh (reach 2)</w:t>
            </w:r>
          </w:p>
        </w:tc>
        <w:tc>
          <w:tcPr>
            <w:tcW w:w="2041" w:type="dxa"/>
          </w:tcPr>
          <w:p w:rsidR="006A7A3F" w:rsidRPr="00A1021A" w:rsidRDefault="00BC7372">
            <w:pPr>
              <w:pStyle w:val="TableParagraph"/>
              <w:numPr>
                <w:ilvl w:val="0"/>
                <w:numId w:val="1268"/>
              </w:numPr>
              <w:tabs>
                <w:tab w:val="left" w:pos="305"/>
              </w:tabs>
              <w:spacing w:before="63" w:line="254" w:lineRule="auto"/>
              <w:ind w:right="83"/>
              <w:rPr>
                <w:sz w:val="16"/>
                <w:szCs w:val="16"/>
              </w:rPr>
            </w:pPr>
            <w:r w:rsidRPr="00A1021A">
              <w:rPr>
                <w:color w:val="231F20"/>
                <w:sz w:val="16"/>
                <w:szCs w:val="16"/>
              </w:rPr>
              <w:t xml:space="preserve">One additional spring/summer </w:t>
            </w:r>
            <w:r w:rsidRPr="00A1021A">
              <w:rPr>
                <w:color w:val="231F20"/>
                <w:spacing w:val="-4"/>
                <w:sz w:val="16"/>
                <w:szCs w:val="16"/>
              </w:rPr>
              <w:t xml:space="preserve">fresh </w:t>
            </w:r>
            <w:r w:rsidRPr="00A1021A">
              <w:rPr>
                <w:color w:val="231F20"/>
                <w:sz w:val="16"/>
                <w:szCs w:val="16"/>
              </w:rPr>
              <w:t>(reach</w:t>
            </w:r>
            <w:r w:rsidRPr="00A1021A">
              <w:rPr>
                <w:color w:val="231F20"/>
                <w:spacing w:val="-1"/>
                <w:sz w:val="16"/>
                <w:szCs w:val="16"/>
              </w:rPr>
              <w:t xml:space="preserve"> </w:t>
            </w:r>
            <w:r w:rsidRPr="00A1021A">
              <w:rPr>
                <w:color w:val="231F20"/>
                <w:sz w:val="16"/>
                <w:szCs w:val="16"/>
              </w:rPr>
              <w:t>2)</w:t>
            </w:r>
          </w:p>
        </w:tc>
      </w:tr>
      <w:tr w:rsidR="006A7A3F" w:rsidTr="005675D9">
        <w:trPr>
          <w:trHeight w:val="1177"/>
        </w:trPr>
        <w:tc>
          <w:tcPr>
            <w:tcW w:w="2041" w:type="dxa"/>
          </w:tcPr>
          <w:p w:rsidR="006A7A3F" w:rsidRDefault="00BC7372">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1</w:t>
            </w:r>
          </w:p>
        </w:tc>
        <w:tc>
          <w:tcPr>
            <w:tcW w:w="2041" w:type="dxa"/>
          </w:tcPr>
          <w:p w:rsidR="006A7A3F" w:rsidRPr="00A1021A" w:rsidRDefault="00BC7372">
            <w:pPr>
              <w:pStyle w:val="TableParagraph"/>
              <w:numPr>
                <w:ilvl w:val="0"/>
                <w:numId w:val="1267"/>
              </w:numPr>
              <w:tabs>
                <w:tab w:val="left" w:pos="305"/>
              </w:tabs>
              <w:spacing w:before="63"/>
              <w:rPr>
                <w:sz w:val="16"/>
                <w:szCs w:val="16"/>
              </w:rPr>
            </w:pPr>
            <w:r w:rsidRPr="00A1021A">
              <w:rPr>
                <w:color w:val="231F20"/>
                <w:sz w:val="16"/>
                <w:szCs w:val="16"/>
              </w:rPr>
              <w:t>16,200 ML (tier</w:t>
            </w:r>
            <w:r w:rsidRPr="00A1021A">
              <w:rPr>
                <w:color w:val="231F20"/>
                <w:spacing w:val="-12"/>
                <w:sz w:val="16"/>
                <w:szCs w:val="16"/>
              </w:rPr>
              <w:t xml:space="preserve"> </w:t>
            </w:r>
            <w:r w:rsidRPr="00A1021A">
              <w:rPr>
                <w:color w:val="231F20"/>
                <w:sz w:val="16"/>
                <w:szCs w:val="16"/>
              </w:rPr>
              <w:t>1a)</w:t>
            </w:r>
          </w:p>
          <w:p w:rsidR="006A7A3F" w:rsidRPr="00A1021A" w:rsidRDefault="00BC7372">
            <w:pPr>
              <w:pStyle w:val="TableParagraph"/>
              <w:numPr>
                <w:ilvl w:val="0"/>
                <w:numId w:val="1267"/>
              </w:numPr>
              <w:tabs>
                <w:tab w:val="left" w:pos="305"/>
              </w:tabs>
              <w:spacing w:before="98"/>
              <w:rPr>
                <w:sz w:val="16"/>
                <w:szCs w:val="16"/>
              </w:rPr>
            </w:pPr>
            <w:r w:rsidRPr="00A1021A">
              <w:rPr>
                <w:color w:val="231F20"/>
                <w:sz w:val="16"/>
                <w:szCs w:val="16"/>
              </w:rPr>
              <w:t>6,600 ML (tier</w:t>
            </w:r>
            <w:r w:rsidRPr="00A1021A">
              <w:rPr>
                <w:color w:val="231F20"/>
                <w:spacing w:val="-11"/>
                <w:sz w:val="16"/>
                <w:szCs w:val="16"/>
              </w:rPr>
              <w:t xml:space="preserve"> </w:t>
            </w:r>
            <w:r w:rsidRPr="00A1021A">
              <w:rPr>
                <w:color w:val="231F20"/>
                <w:sz w:val="16"/>
                <w:szCs w:val="16"/>
              </w:rPr>
              <w:t>1b)</w:t>
            </w:r>
          </w:p>
          <w:p w:rsidR="006A7A3F" w:rsidRPr="00A1021A" w:rsidRDefault="00BC7372">
            <w:pPr>
              <w:pStyle w:val="TableParagraph"/>
              <w:numPr>
                <w:ilvl w:val="0"/>
                <w:numId w:val="1267"/>
              </w:numPr>
              <w:tabs>
                <w:tab w:val="left" w:pos="305"/>
              </w:tabs>
              <w:spacing w:before="98"/>
              <w:rPr>
                <w:sz w:val="16"/>
                <w:szCs w:val="16"/>
              </w:rPr>
            </w:pPr>
            <w:r w:rsidRPr="00A1021A">
              <w:rPr>
                <w:color w:val="231F20"/>
                <w:sz w:val="16"/>
                <w:szCs w:val="16"/>
              </w:rPr>
              <w:t>1,200–3,600</w:t>
            </w:r>
            <w:r w:rsidRPr="00A1021A">
              <w:rPr>
                <w:color w:val="231F20"/>
                <w:spacing w:val="-2"/>
                <w:sz w:val="16"/>
                <w:szCs w:val="16"/>
              </w:rPr>
              <w:t xml:space="preserve"> </w:t>
            </w:r>
            <w:r w:rsidRPr="00A1021A">
              <w:rPr>
                <w:color w:val="231F20"/>
                <w:sz w:val="16"/>
                <w:szCs w:val="16"/>
              </w:rPr>
              <w:t>ML</w:t>
            </w:r>
          </w:p>
          <w:p w:rsidR="006A7A3F" w:rsidRPr="00A1021A" w:rsidRDefault="00BC7372">
            <w:pPr>
              <w:pStyle w:val="TableParagraph"/>
              <w:spacing w:before="13"/>
              <w:rPr>
                <w:sz w:val="16"/>
                <w:szCs w:val="16"/>
              </w:rPr>
            </w:pPr>
            <w:r w:rsidRPr="00A1021A">
              <w:rPr>
                <w:color w:val="231F20"/>
                <w:sz w:val="16"/>
                <w:szCs w:val="16"/>
              </w:rPr>
              <w:t>(tier 2)</w:t>
            </w:r>
          </w:p>
        </w:tc>
        <w:tc>
          <w:tcPr>
            <w:tcW w:w="2041" w:type="dxa"/>
          </w:tcPr>
          <w:p w:rsidR="006A7A3F" w:rsidRPr="00A1021A" w:rsidRDefault="00BC7372">
            <w:pPr>
              <w:pStyle w:val="TableParagraph"/>
              <w:numPr>
                <w:ilvl w:val="0"/>
                <w:numId w:val="1266"/>
              </w:numPr>
              <w:tabs>
                <w:tab w:val="left" w:pos="305"/>
              </w:tabs>
              <w:spacing w:before="63"/>
              <w:rPr>
                <w:sz w:val="16"/>
                <w:szCs w:val="16"/>
              </w:rPr>
            </w:pPr>
            <w:r w:rsidRPr="00A1021A">
              <w:rPr>
                <w:color w:val="231F20"/>
                <w:sz w:val="16"/>
                <w:szCs w:val="16"/>
              </w:rPr>
              <w:t>18,000 ML (tier</w:t>
            </w:r>
            <w:r w:rsidRPr="00A1021A">
              <w:rPr>
                <w:color w:val="231F20"/>
                <w:spacing w:val="-12"/>
                <w:sz w:val="16"/>
                <w:szCs w:val="16"/>
              </w:rPr>
              <w:t xml:space="preserve"> </w:t>
            </w:r>
            <w:r w:rsidRPr="00A1021A">
              <w:rPr>
                <w:color w:val="231F20"/>
                <w:sz w:val="16"/>
                <w:szCs w:val="16"/>
              </w:rPr>
              <w:t>1a)</w:t>
            </w:r>
          </w:p>
          <w:p w:rsidR="006A7A3F" w:rsidRPr="00A1021A" w:rsidRDefault="00BC7372">
            <w:pPr>
              <w:pStyle w:val="TableParagraph"/>
              <w:numPr>
                <w:ilvl w:val="0"/>
                <w:numId w:val="1266"/>
              </w:numPr>
              <w:tabs>
                <w:tab w:val="left" w:pos="305"/>
              </w:tabs>
              <w:spacing w:before="98"/>
              <w:rPr>
                <w:sz w:val="16"/>
                <w:szCs w:val="16"/>
              </w:rPr>
            </w:pPr>
            <w:r w:rsidRPr="00A1021A">
              <w:rPr>
                <w:color w:val="231F20"/>
                <w:sz w:val="16"/>
                <w:szCs w:val="16"/>
              </w:rPr>
              <w:t>7,800–10,200</w:t>
            </w:r>
            <w:r w:rsidRPr="00A1021A">
              <w:rPr>
                <w:color w:val="231F20"/>
                <w:spacing w:val="-3"/>
                <w:sz w:val="16"/>
                <w:szCs w:val="16"/>
              </w:rPr>
              <w:t xml:space="preserve"> </w:t>
            </w:r>
            <w:r w:rsidRPr="00A1021A">
              <w:rPr>
                <w:color w:val="231F20"/>
                <w:sz w:val="16"/>
                <w:szCs w:val="16"/>
              </w:rPr>
              <w:t>ML</w:t>
            </w:r>
          </w:p>
          <w:p w:rsidR="006A7A3F" w:rsidRPr="00A1021A" w:rsidRDefault="00BC7372">
            <w:pPr>
              <w:pStyle w:val="TableParagraph"/>
              <w:spacing w:before="13"/>
              <w:rPr>
                <w:sz w:val="16"/>
                <w:szCs w:val="16"/>
              </w:rPr>
            </w:pPr>
            <w:r w:rsidRPr="00A1021A">
              <w:rPr>
                <w:color w:val="231F20"/>
                <w:sz w:val="16"/>
                <w:szCs w:val="16"/>
              </w:rPr>
              <w:t>(tier 1b)</w:t>
            </w:r>
          </w:p>
          <w:p w:rsidR="006A7A3F" w:rsidRPr="00A1021A" w:rsidRDefault="00BC7372">
            <w:pPr>
              <w:pStyle w:val="TableParagraph"/>
              <w:numPr>
                <w:ilvl w:val="0"/>
                <w:numId w:val="1266"/>
              </w:numPr>
              <w:tabs>
                <w:tab w:val="left" w:pos="305"/>
              </w:tabs>
              <w:spacing w:before="98"/>
              <w:rPr>
                <w:sz w:val="16"/>
                <w:szCs w:val="16"/>
              </w:rPr>
            </w:pPr>
            <w:r w:rsidRPr="00A1021A">
              <w:rPr>
                <w:color w:val="231F20"/>
                <w:sz w:val="16"/>
                <w:szCs w:val="16"/>
              </w:rPr>
              <w:t>4,900 ML (tier</w:t>
            </w:r>
            <w:r w:rsidRPr="00A1021A">
              <w:rPr>
                <w:color w:val="231F20"/>
                <w:spacing w:val="-10"/>
                <w:sz w:val="16"/>
                <w:szCs w:val="16"/>
              </w:rPr>
              <w:t xml:space="preserve"> </w:t>
            </w:r>
            <w:r w:rsidRPr="00A1021A">
              <w:rPr>
                <w:color w:val="231F20"/>
                <w:sz w:val="16"/>
                <w:szCs w:val="16"/>
              </w:rPr>
              <w:t>2)</w:t>
            </w:r>
          </w:p>
        </w:tc>
        <w:tc>
          <w:tcPr>
            <w:tcW w:w="2041" w:type="dxa"/>
          </w:tcPr>
          <w:p w:rsidR="006A7A3F" w:rsidRPr="00A1021A" w:rsidRDefault="00BC7372">
            <w:pPr>
              <w:pStyle w:val="TableParagraph"/>
              <w:numPr>
                <w:ilvl w:val="0"/>
                <w:numId w:val="1265"/>
              </w:numPr>
              <w:tabs>
                <w:tab w:val="left" w:pos="305"/>
              </w:tabs>
              <w:spacing w:before="63"/>
              <w:rPr>
                <w:sz w:val="16"/>
                <w:szCs w:val="16"/>
              </w:rPr>
            </w:pPr>
            <w:r w:rsidRPr="00A1021A">
              <w:rPr>
                <w:color w:val="231F20"/>
                <w:sz w:val="16"/>
                <w:szCs w:val="16"/>
              </w:rPr>
              <w:t>20,400 ML (tier</w:t>
            </w:r>
            <w:r w:rsidRPr="00A1021A">
              <w:rPr>
                <w:color w:val="231F20"/>
                <w:spacing w:val="-12"/>
                <w:sz w:val="16"/>
                <w:szCs w:val="16"/>
              </w:rPr>
              <w:t xml:space="preserve"> </w:t>
            </w:r>
            <w:r w:rsidRPr="00A1021A">
              <w:rPr>
                <w:color w:val="231F20"/>
                <w:sz w:val="16"/>
                <w:szCs w:val="16"/>
              </w:rPr>
              <w:t>1a)</w:t>
            </w:r>
          </w:p>
          <w:p w:rsidR="006A7A3F" w:rsidRPr="00A1021A" w:rsidRDefault="00BC7372">
            <w:pPr>
              <w:pStyle w:val="TableParagraph"/>
              <w:numPr>
                <w:ilvl w:val="0"/>
                <w:numId w:val="1265"/>
              </w:numPr>
              <w:tabs>
                <w:tab w:val="left" w:pos="305"/>
              </w:tabs>
              <w:spacing w:before="98"/>
              <w:rPr>
                <w:sz w:val="16"/>
                <w:szCs w:val="16"/>
              </w:rPr>
            </w:pPr>
            <w:r w:rsidRPr="00A1021A">
              <w:rPr>
                <w:color w:val="231F20"/>
                <w:sz w:val="16"/>
                <w:szCs w:val="16"/>
              </w:rPr>
              <w:t>1,200–3,600</w:t>
            </w:r>
            <w:r w:rsidRPr="00A1021A">
              <w:rPr>
                <w:color w:val="231F20"/>
                <w:spacing w:val="-2"/>
                <w:sz w:val="16"/>
                <w:szCs w:val="16"/>
              </w:rPr>
              <w:t xml:space="preserve"> </w:t>
            </w:r>
            <w:r w:rsidRPr="00A1021A">
              <w:rPr>
                <w:color w:val="231F20"/>
                <w:sz w:val="16"/>
                <w:szCs w:val="16"/>
              </w:rPr>
              <w:t>ML</w:t>
            </w:r>
          </w:p>
          <w:p w:rsidR="006A7A3F" w:rsidRPr="00A1021A" w:rsidRDefault="00BC7372">
            <w:pPr>
              <w:pStyle w:val="TableParagraph"/>
              <w:spacing w:before="13"/>
              <w:rPr>
                <w:sz w:val="16"/>
                <w:szCs w:val="16"/>
              </w:rPr>
            </w:pPr>
            <w:r w:rsidRPr="00A1021A">
              <w:rPr>
                <w:color w:val="231F20"/>
                <w:sz w:val="16"/>
                <w:szCs w:val="16"/>
              </w:rPr>
              <w:t>(tier 1b)</w:t>
            </w:r>
          </w:p>
          <w:p w:rsidR="006A7A3F" w:rsidRPr="00A1021A" w:rsidRDefault="00BC7372">
            <w:pPr>
              <w:pStyle w:val="TableParagraph"/>
              <w:numPr>
                <w:ilvl w:val="0"/>
                <w:numId w:val="1265"/>
              </w:numPr>
              <w:tabs>
                <w:tab w:val="left" w:pos="305"/>
              </w:tabs>
              <w:spacing w:before="98"/>
              <w:rPr>
                <w:sz w:val="16"/>
                <w:szCs w:val="16"/>
              </w:rPr>
            </w:pPr>
            <w:r w:rsidRPr="00A1021A">
              <w:rPr>
                <w:color w:val="231F20"/>
                <w:sz w:val="16"/>
                <w:szCs w:val="16"/>
              </w:rPr>
              <w:t>4,900 ML (tier</w:t>
            </w:r>
            <w:r w:rsidRPr="00A1021A">
              <w:rPr>
                <w:color w:val="231F20"/>
                <w:spacing w:val="-10"/>
                <w:sz w:val="16"/>
                <w:szCs w:val="16"/>
              </w:rPr>
              <w:t xml:space="preserve"> </w:t>
            </w:r>
            <w:r w:rsidRPr="00A1021A">
              <w:rPr>
                <w:color w:val="231F20"/>
                <w:sz w:val="16"/>
                <w:szCs w:val="16"/>
              </w:rPr>
              <w:t>2)</w:t>
            </w:r>
          </w:p>
        </w:tc>
        <w:tc>
          <w:tcPr>
            <w:tcW w:w="2041" w:type="dxa"/>
          </w:tcPr>
          <w:p w:rsidR="006A7A3F" w:rsidRPr="00A1021A" w:rsidRDefault="00BC7372">
            <w:pPr>
              <w:pStyle w:val="TableParagraph"/>
              <w:numPr>
                <w:ilvl w:val="0"/>
                <w:numId w:val="1264"/>
              </w:numPr>
              <w:tabs>
                <w:tab w:val="left" w:pos="305"/>
              </w:tabs>
              <w:spacing w:before="63"/>
              <w:rPr>
                <w:sz w:val="16"/>
                <w:szCs w:val="16"/>
              </w:rPr>
            </w:pPr>
            <w:r w:rsidRPr="00A1021A">
              <w:rPr>
                <w:color w:val="231F20"/>
                <w:sz w:val="16"/>
                <w:szCs w:val="16"/>
              </w:rPr>
              <w:t>25,800 ML (tier</w:t>
            </w:r>
            <w:r w:rsidRPr="00A1021A">
              <w:rPr>
                <w:color w:val="231F20"/>
                <w:spacing w:val="-12"/>
                <w:sz w:val="16"/>
                <w:szCs w:val="16"/>
              </w:rPr>
              <w:t xml:space="preserve"> </w:t>
            </w:r>
            <w:r w:rsidRPr="00A1021A">
              <w:rPr>
                <w:color w:val="231F20"/>
                <w:sz w:val="16"/>
                <w:szCs w:val="16"/>
              </w:rPr>
              <w:t>1a)</w:t>
            </w:r>
          </w:p>
          <w:p w:rsidR="006A7A3F" w:rsidRPr="00A1021A" w:rsidRDefault="00BC7372">
            <w:pPr>
              <w:pStyle w:val="TableParagraph"/>
              <w:numPr>
                <w:ilvl w:val="0"/>
                <w:numId w:val="1264"/>
              </w:numPr>
              <w:tabs>
                <w:tab w:val="left" w:pos="305"/>
              </w:tabs>
              <w:spacing w:before="98"/>
              <w:rPr>
                <w:sz w:val="16"/>
                <w:szCs w:val="16"/>
              </w:rPr>
            </w:pPr>
            <w:r w:rsidRPr="00A1021A">
              <w:rPr>
                <w:color w:val="231F20"/>
                <w:sz w:val="16"/>
                <w:szCs w:val="16"/>
              </w:rPr>
              <w:t>1,200–3,600</w:t>
            </w:r>
            <w:r w:rsidRPr="00A1021A">
              <w:rPr>
                <w:color w:val="231F20"/>
                <w:spacing w:val="-2"/>
                <w:sz w:val="16"/>
                <w:szCs w:val="16"/>
              </w:rPr>
              <w:t xml:space="preserve"> </w:t>
            </w:r>
            <w:r w:rsidRPr="00A1021A">
              <w:rPr>
                <w:color w:val="231F20"/>
                <w:sz w:val="16"/>
                <w:szCs w:val="16"/>
              </w:rPr>
              <w:t>ML</w:t>
            </w:r>
          </w:p>
          <w:p w:rsidR="006A7A3F" w:rsidRPr="00A1021A" w:rsidRDefault="00BC7372">
            <w:pPr>
              <w:pStyle w:val="TableParagraph"/>
              <w:spacing w:before="13"/>
              <w:rPr>
                <w:sz w:val="16"/>
                <w:szCs w:val="16"/>
              </w:rPr>
            </w:pPr>
            <w:r w:rsidRPr="00A1021A">
              <w:rPr>
                <w:color w:val="231F20"/>
                <w:sz w:val="16"/>
                <w:szCs w:val="16"/>
              </w:rPr>
              <w:t>(tier 1b)</w:t>
            </w:r>
          </w:p>
          <w:p w:rsidR="006A7A3F" w:rsidRPr="00A1021A" w:rsidRDefault="00BC7372">
            <w:pPr>
              <w:pStyle w:val="TableParagraph"/>
              <w:numPr>
                <w:ilvl w:val="0"/>
                <w:numId w:val="1264"/>
              </w:numPr>
              <w:tabs>
                <w:tab w:val="left" w:pos="305"/>
              </w:tabs>
              <w:spacing w:before="98"/>
              <w:rPr>
                <w:sz w:val="16"/>
                <w:szCs w:val="16"/>
              </w:rPr>
            </w:pPr>
            <w:r w:rsidRPr="00A1021A">
              <w:rPr>
                <w:color w:val="231F20"/>
                <w:sz w:val="16"/>
                <w:szCs w:val="16"/>
              </w:rPr>
              <w:t>4,900 ML (tier</w:t>
            </w:r>
            <w:r w:rsidRPr="00A1021A">
              <w:rPr>
                <w:color w:val="231F20"/>
                <w:spacing w:val="-10"/>
                <w:sz w:val="16"/>
                <w:szCs w:val="16"/>
              </w:rPr>
              <w:t xml:space="preserve"> </w:t>
            </w:r>
            <w:r w:rsidRPr="00A1021A">
              <w:rPr>
                <w:color w:val="231F20"/>
                <w:sz w:val="16"/>
                <w:szCs w:val="16"/>
              </w:rPr>
              <w:t>2)</w:t>
            </w:r>
          </w:p>
        </w:tc>
      </w:tr>
      <w:tr w:rsidR="006A7A3F" w:rsidTr="005675D9">
        <w:trPr>
          <w:trHeight w:val="533"/>
        </w:trPr>
        <w:tc>
          <w:tcPr>
            <w:tcW w:w="2041" w:type="dxa"/>
          </w:tcPr>
          <w:p w:rsidR="006A7A3F" w:rsidRDefault="00BC7372">
            <w:pPr>
              <w:pStyle w:val="TableParagraph"/>
              <w:spacing w:before="67" w:line="261" w:lineRule="auto"/>
              <w:ind w:left="85" w:right="716"/>
              <w:rPr>
                <w:sz w:val="16"/>
              </w:rPr>
            </w:pPr>
            <w:r>
              <w:rPr>
                <w:color w:val="231F20"/>
                <w:sz w:val="16"/>
              </w:rPr>
              <w:t>Priority carryover requirements</w:t>
            </w:r>
          </w:p>
        </w:tc>
        <w:tc>
          <w:tcPr>
            <w:tcW w:w="8164" w:type="dxa"/>
            <w:gridSpan w:val="4"/>
          </w:tcPr>
          <w:p w:rsidR="006A7A3F" w:rsidRDefault="00BC7372" w:rsidP="00E459ED">
            <w:pPr>
              <w:pStyle w:val="TableParagraph"/>
              <w:numPr>
                <w:ilvl w:val="0"/>
                <w:numId w:val="1263"/>
              </w:numPr>
              <w:tabs>
                <w:tab w:val="left" w:pos="284"/>
              </w:tabs>
              <w:spacing w:before="63"/>
              <w:ind w:hanging="3500"/>
              <w:jc w:val="center"/>
              <w:rPr>
                <w:sz w:val="10"/>
              </w:rPr>
            </w:pPr>
            <w:r w:rsidRPr="00A1021A">
              <w:rPr>
                <w:color w:val="231F20"/>
                <w:sz w:val="16"/>
                <w:szCs w:val="16"/>
              </w:rPr>
              <w:t>1,500–1,900</w:t>
            </w:r>
            <w:r w:rsidRPr="00A1021A">
              <w:rPr>
                <w:color w:val="231F20"/>
                <w:spacing w:val="-2"/>
                <w:sz w:val="16"/>
                <w:szCs w:val="16"/>
              </w:rPr>
              <w:t xml:space="preserve"> </w:t>
            </w:r>
            <w:r w:rsidRPr="00A1021A">
              <w:rPr>
                <w:color w:val="231F20"/>
                <w:sz w:val="16"/>
                <w:szCs w:val="16"/>
              </w:rPr>
              <w:t>ML</w:t>
            </w:r>
            <w:r>
              <w:rPr>
                <w:color w:val="231F20"/>
                <w:position w:val="6"/>
                <w:sz w:val="10"/>
              </w:rPr>
              <w:t>2</w:t>
            </w:r>
          </w:p>
        </w:tc>
      </w:tr>
    </w:tbl>
    <w:p w:rsidR="006A7A3F" w:rsidRDefault="00BC7372">
      <w:pPr>
        <w:spacing w:before="129"/>
        <w:ind w:left="210"/>
        <w:rPr>
          <w:sz w:val="14"/>
        </w:rPr>
      </w:pPr>
      <w:r>
        <w:rPr>
          <w:color w:val="231F20"/>
          <w:position w:val="5"/>
          <w:sz w:val="8"/>
        </w:rPr>
        <w:t xml:space="preserve">1 </w:t>
      </w:r>
      <w:r>
        <w:rPr>
          <w:color w:val="231F20"/>
          <w:sz w:val="14"/>
        </w:rPr>
        <w:t>Environmental water requirements for tier 2 actions are additional to tier 1 requirements.</w:t>
      </w:r>
    </w:p>
    <w:p w:rsidR="006A7A3F" w:rsidRDefault="00BC7372">
      <w:pPr>
        <w:spacing w:before="74"/>
        <w:ind w:left="210"/>
        <w:rPr>
          <w:sz w:val="14"/>
        </w:rPr>
      </w:pPr>
      <w:r>
        <w:rPr>
          <w:color w:val="231F20"/>
          <w:position w:val="5"/>
          <w:sz w:val="8"/>
        </w:rPr>
        <w:t xml:space="preserve">2 </w:t>
      </w:r>
      <w:r>
        <w:rPr>
          <w:color w:val="231F20"/>
          <w:sz w:val="14"/>
        </w:rPr>
        <w:t>Priority carryover volumes have been incorporated into tier 1a demands.</w:t>
      </w:r>
    </w:p>
    <w:p w:rsidR="006A7A3F" w:rsidRDefault="006A7A3F">
      <w:pPr>
        <w:pStyle w:val="BodyText"/>
        <w:spacing w:before="3"/>
        <w:ind w:left="0"/>
        <w:rPr>
          <w:sz w:val="13"/>
        </w:rPr>
      </w:pPr>
    </w:p>
    <w:p w:rsidR="005675D9" w:rsidRDefault="005675D9">
      <w:pPr>
        <w:rPr>
          <w:color w:val="231F20"/>
          <w:sz w:val="42"/>
          <w:szCs w:val="42"/>
        </w:rPr>
      </w:pPr>
      <w:r>
        <w:rPr>
          <w:color w:val="231F20"/>
        </w:rPr>
        <w:br w:type="page"/>
      </w:r>
    </w:p>
    <w:p w:rsidR="006A7A3F" w:rsidRDefault="00BC7372" w:rsidP="009B6917">
      <w:pPr>
        <w:pStyle w:val="Heading1"/>
        <w:numPr>
          <w:ilvl w:val="1"/>
          <w:numId w:val="1325"/>
        </w:numPr>
        <w:tabs>
          <w:tab w:val="left" w:pos="911"/>
        </w:tabs>
        <w:ind w:left="910" w:hanging="701"/>
      </w:pPr>
      <w:r>
        <w:rPr>
          <w:color w:val="231F20"/>
        </w:rPr>
        <w:t>Snowy system</w:t>
      </w:r>
    </w:p>
    <w:p w:rsidR="006A7A3F" w:rsidRDefault="00BC7372">
      <w:pPr>
        <w:spacing w:before="143"/>
        <w:ind w:left="210"/>
        <w:rPr>
          <w:rFonts w:ascii="Helvetica Neue LT Std 75"/>
          <w:b/>
          <w:sz w:val="19"/>
        </w:rPr>
      </w:pPr>
      <w:r>
        <w:rPr>
          <w:rFonts w:ascii="Helvetica Neue LT Std 75"/>
          <w:b/>
          <w:color w:val="231F20"/>
          <w:sz w:val="19"/>
        </w:rPr>
        <w:t>Did you know...?</w:t>
      </w:r>
    </w:p>
    <w:p w:rsidR="006A7A3F" w:rsidRDefault="00BC7372">
      <w:pPr>
        <w:pStyle w:val="BodyText"/>
        <w:spacing w:before="68" w:line="249" w:lineRule="auto"/>
        <w:ind w:right="232"/>
      </w:pPr>
      <w:r>
        <w:rPr>
          <w:color w:val="231F20"/>
        </w:rPr>
        <w:t>The Snowy River is a popular spot for whitewater rafting, canoeing and kayaking. Most flows from the upper Snowy River catchment are captured in lakes Eucumbene and Jindabyne. Environmental flows released from Lake Jindabyne provide important paddling opportunities that are no longer available from natural</w:t>
      </w:r>
      <w:r>
        <w:rPr>
          <w:color w:val="231F20"/>
          <w:spacing w:val="-26"/>
        </w:rPr>
        <w:t xml:space="preserve"> </w:t>
      </w:r>
      <w:r>
        <w:rPr>
          <w:color w:val="231F20"/>
        </w:rPr>
        <w:t>flows.</w:t>
      </w:r>
    </w:p>
    <w:p w:rsidR="006A7A3F" w:rsidRDefault="00BC7372">
      <w:pPr>
        <w:spacing w:before="181"/>
        <w:ind w:left="210"/>
        <w:rPr>
          <w:rFonts w:ascii="Helvetica Neue LT Std 75"/>
          <w:b/>
          <w:sz w:val="19"/>
        </w:rPr>
      </w:pPr>
      <w:r>
        <w:rPr>
          <w:rFonts w:ascii="Helvetica Neue LT Std 75"/>
          <w:b/>
          <w:color w:val="231F20"/>
          <w:sz w:val="19"/>
        </w:rPr>
        <w:t>System overview</w:t>
      </w:r>
    </w:p>
    <w:p w:rsidR="006A7A3F" w:rsidRDefault="00BC7372">
      <w:pPr>
        <w:pStyle w:val="Heading6"/>
        <w:ind w:right="0"/>
      </w:pPr>
      <w:r>
        <w:rPr>
          <w:color w:val="231F20"/>
        </w:rPr>
        <w:t>The Snowy River originates on the slopes of Mount Kosciuszko. It drains the eastern slopes of the</w:t>
      </w:r>
    </w:p>
    <w:p w:rsidR="006A7A3F" w:rsidRDefault="00BC7372">
      <w:pPr>
        <w:spacing w:before="66" w:line="276" w:lineRule="auto"/>
        <w:ind w:left="210" w:right="100"/>
      </w:pPr>
      <w:r>
        <w:rPr>
          <w:color w:val="231F20"/>
        </w:rPr>
        <w:t>Snowy Mountains in New South Wales (NSW) before flowing through the Snowy River National Park in Victoria and into Bass Strait.</w:t>
      </w:r>
    </w:p>
    <w:p w:rsidR="006A7A3F" w:rsidRDefault="006A7A3F">
      <w:pPr>
        <w:pStyle w:val="BodyText"/>
        <w:spacing w:before="9"/>
        <w:ind w:left="0"/>
        <w:rPr>
          <w:sz w:val="21"/>
        </w:rPr>
      </w:pPr>
    </w:p>
    <w:p w:rsidR="006A7A3F" w:rsidRDefault="00BC7372">
      <w:pPr>
        <w:pStyle w:val="BodyText"/>
        <w:spacing w:before="0" w:line="249" w:lineRule="auto"/>
        <w:ind w:right="197"/>
      </w:pPr>
      <w:r>
        <w:rPr>
          <w:color w:val="231F20"/>
        </w:rPr>
        <w:t>There are four major dams and multiple diversion weirs in the upper Snowy River catchment that divert water to the Murrumbidgee and Murray River valleys. The hydrological effects of the Snowy Mountains Scheme are substantial, but they are partly alleviated by the contribution of flows from tributaries (such as the Delegate River in NSW and the Buchan and Brodribb rivers in Victoria).</w:t>
      </w:r>
    </w:p>
    <w:p w:rsidR="006A7A3F" w:rsidRDefault="00BC7372">
      <w:pPr>
        <w:pStyle w:val="BodyText"/>
        <w:spacing w:before="173" w:line="249" w:lineRule="auto"/>
        <w:ind w:right="430"/>
      </w:pPr>
      <w:r>
        <w:rPr>
          <w:color w:val="231F20"/>
        </w:rPr>
        <w:t>Construction and operation of the Snowy Mountains Hydro-electric Scheme previously diverted 99 percent of the Snowy River’s mean annual natural flow at Jindabyne. The loss of flow changed the structure and function of the river, reduced the opening of the Snowy River entrance to Bass Strait and resulted in a decline in environmental values.</w:t>
      </w:r>
    </w:p>
    <w:p w:rsidR="006A7A3F" w:rsidRDefault="00BC7372">
      <w:pPr>
        <w:pStyle w:val="BodyText"/>
        <w:spacing w:before="174" w:line="249" w:lineRule="auto"/>
        <w:ind w:right="251"/>
      </w:pPr>
      <w:r>
        <w:rPr>
          <w:color w:val="231F20"/>
        </w:rPr>
        <w:t>The Victorian, NSW and Commonwealth governments have recovered water to help restore damage done by decades of limited flow. Victorian water for the environment available for use in the Snowy system is held in the Murray, Goulburn and Loddon systems. This water is made available for environmental flows in the Snowy River via a substitution method, whereby Victorian water for the environment replaces water that was earmarked for transfer from the Snowy to Victoria to support irrigation demands. The NSW Department of Planning, Industry and Environment plans environmental flow releases in the Snowy River, in consultation with the Victorian Government.</w:t>
      </w:r>
    </w:p>
    <w:p w:rsidR="006A7A3F" w:rsidRDefault="00BC7372">
      <w:pPr>
        <w:spacing w:before="184"/>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7" w:line="249" w:lineRule="auto"/>
        <w:ind w:right="262"/>
      </w:pPr>
      <w:r>
        <w:rPr>
          <w:color w:val="231F20"/>
        </w:rPr>
        <w:t>The remaining environmental values in the upper reaches and tributaries of the Snowy River include freshwater fish (such as river blackfish and Australian grayling). The lower reaches support estuary perch and Australian bass that move between saltwater and freshwater systems. The estuary contains estuarine and saltwater species such as flathead and black bream. The floodplain wetlands of the Snowy River near Marlo provide feeding and breeding areas for wetland and migratory birds.</w:t>
      </w:r>
    </w:p>
    <w:p w:rsidR="006A7A3F" w:rsidRDefault="00BC7372">
      <w:pPr>
        <w:spacing w:before="184"/>
        <w:ind w:left="210"/>
        <w:rPr>
          <w:rFonts w:ascii="Helvetica Neue LT Std 75"/>
          <w:b/>
          <w:sz w:val="19"/>
        </w:rPr>
      </w:pPr>
      <w:r>
        <w:rPr>
          <w:rFonts w:ascii="Helvetica Neue LT Std 75"/>
          <w:b/>
          <w:color w:val="231F20"/>
          <w:sz w:val="19"/>
        </w:rPr>
        <w:t>Recent conditions</w:t>
      </w:r>
    </w:p>
    <w:p w:rsidR="006A7A3F" w:rsidRDefault="00BC7372" w:rsidP="00E459ED">
      <w:pPr>
        <w:pStyle w:val="BodyText"/>
        <w:spacing w:before="67" w:line="249" w:lineRule="auto"/>
        <w:ind w:right="284"/>
      </w:pPr>
      <w:r>
        <w:rPr>
          <w:color w:val="231F20"/>
        </w:rPr>
        <w:t>Drought conditions in 2018–19 resulted in reduced environmental flow allocations for the Snowy River in 2019–20, which resulted in smaller peaks to high flows and shorter durations of freshening flow events. The Snowy River catchment continued to experience below-average rainfall and above-average temperatures throughout</w:t>
      </w:r>
      <w:r w:rsidR="00E459ED">
        <w:rPr>
          <w:color w:val="231F20"/>
        </w:rPr>
        <w:t xml:space="preserve"> </w:t>
      </w:r>
      <w:r>
        <w:rPr>
          <w:color w:val="231F20"/>
        </w:rPr>
        <w:t>2019–20. Below-average inflows to Lake Jindabyne occurred, which similarly have influenced the magnitude and</w:t>
      </w:r>
      <w:r>
        <w:rPr>
          <w:color w:val="231F20"/>
          <w:spacing w:val="-5"/>
        </w:rPr>
        <w:t xml:space="preserve"> </w:t>
      </w:r>
      <w:r>
        <w:rPr>
          <w:color w:val="231F20"/>
        </w:rPr>
        <w:t>duration</w:t>
      </w:r>
      <w:r>
        <w:rPr>
          <w:color w:val="231F20"/>
          <w:spacing w:val="-4"/>
        </w:rPr>
        <w:t xml:space="preserve"> </w:t>
      </w:r>
      <w:r>
        <w:rPr>
          <w:color w:val="231F20"/>
        </w:rPr>
        <w:t>of</w:t>
      </w:r>
      <w:r>
        <w:rPr>
          <w:color w:val="231F20"/>
          <w:spacing w:val="-4"/>
        </w:rPr>
        <w:t xml:space="preserve"> </w:t>
      </w:r>
      <w:r>
        <w:rPr>
          <w:color w:val="231F20"/>
        </w:rPr>
        <w:t>high</w:t>
      </w:r>
      <w:r>
        <w:rPr>
          <w:color w:val="231F20"/>
          <w:spacing w:val="-4"/>
        </w:rPr>
        <w:t xml:space="preserve"> </w:t>
      </w:r>
      <w:r>
        <w:rPr>
          <w:color w:val="231F20"/>
        </w:rPr>
        <w:t>flow</w:t>
      </w:r>
      <w:r>
        <w:rPr>
          <w:color w:val="231F20"/>
          <w:spacing w:val="-3"/>
        </w:rPr>
        <w:t xml:space="preserve"> </w:t>
      </w:r>
      <w:r>
        <w:rPr>
          <w:color w:val="231F20"/>
        </w:rPr>
        <w:t>events</w:t>
      </w:r>
      <w:r>
        <w:rPr>
          <w:color w:val="231F20"/>
          <w:spacing w:val="-4"/>
        </w:rPr>
        <w:t xml:space="preserve"> </w:t>
      </w:r>
      <w:r>
        <w:rPr>
          <w:color w:val="231F20"/>
        </w:rPr>
        <w:t>in</w:t>
      </w:r>
      <w:r>
        <w:rPr>
          <w:color w:val="231F20"/>
          <w:spacing w:val="-5"/>
        </w:rPr>
        <w:t xml:space="preserve"> </w:t>
      </w:r>
      <w:r>
        <w:rPr>
          <w:color w:val="231F20"/>
        </w:rPr>
        <w:t>2020–21.</w:t>
      </w:r>
      <w:r>
        <w:rPr>
          <w:color w:val="231F20"/>
          <w:spacing w:val="-4"/>
        </w:rPr>
        <w:t xml:space="preserve"> </w:t>
      </w:r>
      <w:r>
        <w:rPr>
          <w:color w:val="231F20"/>
        </w:rPr>
        <w:t>In</w:t>
      </w:r>
      <w:r>
        <w:rPr>
          <w:color w:val="231F20"/>
          <w:spacing w:val="-3"/>
        </w:rPr>
        <w:t xml:space="preserve"> </w:t>
      </w:r>
      <w:r>
        <w:rPr>
          <w:color w:val="231F20"/>
        </w:rPr>
        <w:t>Victoria,</w:t>
      </w:r>
      <w:r>
        <w:rPr>
          <w:color w:val="231F20"/>
          <w:spacing w:val="-4"/>
        </w:rPr>
        <w:t xml:space="preserve"> </w:t>
      </w:r>
      <w:r>
        <w:rPr>
          <w:color w:val="231F20"/>
        </w:rPr>
        <w:t>most</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Snowy</w:t>
      </w:r>
      <w:r>
        <w:rPr>
          <w:color w:val="231F20"/>
          <w:spacing w:val="-3"/>
        </w:rPr>
        <w:t xml:space="preserve"> </w:t>
      </w:r>
      <w:r>
        <w:rPr>
          <w:color w:val="231F20"/>
        </w:rPr>
        <w:t>River</w:t>
      </w:r>
      <w:r>
        <w:rPr>
          <w:color w:val="231F20"/>
          <w:spacing w:val="-4"/>
        </w:rPr>
        <w:t xml:space="preserve"> </w:t>
      </w:r>
      <w:r>
        <w:rPr>
          <w:color w:val="231F20"/>
        </w:rPr>
        <w:t>catchment</w:t>
      </w:r>
      <w:r>
        <w:rPr>
          <w:color w:val="231F20"/>
          <w:spacing w:val="-3"/>
        </w:rPr>
        <w:t xml:space="preserve"> </w:t>
      </w:r>
      <w:r>
        <w:rPr>
          <w:color w:val="231F20"/>
        </w:rPr>
        <w:t>experienced</w:t>
      </w:r>
      <w:r>
        <w:rPr>
          <w:color w:val="231F20"/>
          <w:spacing w:val="-4"/>
        </w:rPr>
        <w:t xml:space="preserve"> </w:t>
      </w:r>
      <w:r>
        <w:rPr>
          <w:color w:val="231F20"/>
        </w:rPr>
        <w:t>below- average rainfall and above-average temperatures for most of 2019–20, with this easing to average conditions in autumn</w:t>
      </w:r>
      <w:r>
        <w:rPr>
          <w:color w:val="231F20"/>
          <w:spacing w:val="-2"/>
        </w:rPr>
        <w:t xml:space="preserve"> </w:t>
      </w:r>
      <w:r>
        <w:rPr>
          <w:color w:val="231F20"/>
        </w:rPr>
        <w:t>2020.</w:t>
      </w:r>
    </w:p>
    <w:p w:rsidR="006A7A3F" w:rsidRDefault="00BC7372">
      <w:pPr>
        <w:pStyle w:val="BodyText"/>
        <w:spacing w:before="173" w:line="249" w:lineRule="auto"/>
        <w:ind w:right="483"/>
        <w:jc w:val="both"/>
      </w:pPr>
      <w:r>
        <w:rPr>
          <w:color w:val="231F20"/>
        </w:rPr>
        <w:t xml:space="preserve">The water year in the Snowy system runs from May to April. In 2019–20, approximately </w:t>
      </w:r>
      <w:r>
        <w:rPr>
          <w:color w:val="231F20"/>
          <w:spacing w:val="-3"/>
        </w:rPr>
        <w:t xml:space="preserve">117,871 </w:t>
      </w:r>
      <w:r>
        <w:rPr>
          <w:color w:val="231F20"/>
        </w:rPr>
        <w:t>ML</w:t>
      </w:r>
      <w:r w:rsidR="00E175D4">
        <w:rPr>
          <w:color w:val="231F20"/>
          <w:position w:val="7"/>
          <w:sz w:val="11"/>
        </w:rPr>
        <w:t xml:space="preserve"> </w:t>
      </w:r>
      <w:r>
        <w:rPr>
          <w:color w:val="231F20"/>
          <w:position w:val="7"/>
          <w:sz w:val="11"/>
        </w:rPr>
        <w:t xml:space="preserve"> </w:t>
      </w:r>
      <w:r>
        <w:rPr>
          <w:color w:val="231F20"/>
        </w:rPr>
        <w:t xml:space="preserve">of water for the environment was used to deliver five winter/spring high-flow events in the Snowy </w:t>
      </w:r>
      <w:r>
        <w:rPr>
          <w:color w:val="231F20"/>
          <w:spacing w:val="-3"/>
        </w:rPr>
        <w:t xml:space="preserve">River. </w:t>
      </w:r>
      <w:r>
        <w:rPr>
          <w:color w:val="231F20"/>
        </w:rPr>
        <w:t>A major flushing flow occurred in October 2019.</w:t>
      </w:r>
    </w:p>
    <w:p w:rsidR="006A7A3F" w:rsidRDefault="00BC7372">
      <w:pPr>
        <w:pStyle w:val="BodyText"/>
        <w:spacing w:before="173" w:line="249" w:lineRule="auto"/>
        <w:ind w:right="286"/>
      </w:pPr>
      <w:r>
        <w:rPr>
          <w:color w:val="231F20"/>
        </w:rPr>
        <w:t>The Snowy River catchment above Lake Jindabyne in NSW was not severely impacted by the widespread bushfires in south-eastern Australia in December 2019 and January 2020. The catchment area within Victoria, particularly near the estuary mouth in East Gippsland, was severely burnt. If there is heavy rainfall in fire-damaged catchments, it is likely to flush sediment and ash into waterways and degrade water quality in the Snowy River, which may have flow-on effects for river ecology in 2020–21.</w:t>
      </w:r>
    </w:p>
    <w:p w:rsidR="005675D9" w:rsidRDefault="005675D9">
      <w:pPr>
        <w:rPr>
          <w:rFonts w:ascii="Helvetica Neue LT Std 75"/>
          <w:b/>
          <w:color w:val="231F20"/>
          <w:sz w:val="19"/>
        </w:rPr>
      </w:pPr>
      <w:r>
        <w:rPr>
          <w:rFonts w:ascii="Helvetica Neue LT Std 75"/>
          <w:b/>
          <w:color w:val="231F20"/>
          <w:sz w:val="19"/>
        </w:rPr>
        <w:br w:type="page"/>
      </w:r>
    </w:p>
    <w:p w:rsidR="006A7A3F" w:rsidRDefault="00BC7372">
      <w:pPr>
        <w:spacing w:before="183"/>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jc w:val="both"/>
      </w:pPr>
      <w:r>
        <w:rPr>
          <w:color w:val="231F20"/>
        </w:rPr>
        <w:t>The total volume planned for release to the Snowy River in 2020–21 is 91,476 ML.</w:t>
      </w:r>
    </w:p>
    <w:p w:rsidR="006A7A3F" w:rsidRDefault="00BC7372">
      <w:pPr>
        <w:pStyle w:val="BodyText"/>
        <w:spacing w:before="180" w:line="249" w:lineRule="auto"/>
        <w:ind w:right="276"/>
      </w:pPr>
      <w:r>
        <w:rPr>
          <w:color w:val="231F20"/>
        </w:rPr>
        <w:t>Due to operating rules in the system, the flow regime that will be delivered in 2020–21 is pre-planned: the storage manager will make daily releases of varying magnitude from Lake Jindabyne between May 2020 and April 2021 to mimic the typical flow pattern of a mixed snowmelt/rainfall river system characteristic of the Snowy Mountains. The continuous daily releases will aim to support ecological processes in the Snowy River below Jindabyne Dam and maintain a healthy river that is much smaller than the natural channel that existed before the river was regulated.</w:t>
      </w:r>
    </w:p>
    <w:p w:rsidR="006A7A3F" w:rsidRDefault="00BC7372">
      <w:pPr>
        <w:pStyle w:val="BodyText"/>
        <w:spacing w:before="174" w:line="249" w:lineRule="auto"/>
        <w:ind w:right="225"/>
        <w:jc w:val="both"/>
      </w:pPr>
      <w:r>
        <w:rPr>
          <w:color w:val="231F20"/>
        </w:rPr>
        <w:t>Following</w:t>
      </w:r>
      <w:r>
        <w:rPr>
          <w:color w:val="231F20"/>
          <w:spacing w:val="-4"/>
        </w:rPr>
        <w:t xml:space="preserve"> </w:t>
      </w:r>
      <w:r>
        <w:rPr>
          <w:color w:val="231F20"/>
        </w:rPr>
        <w:t>several</w:t>
      </w:r>
      <w:r>
        <w:rPr>
          <w:color w:val="231F20"/>
          <w:spacing w:val="-3"/>
        </w:rPr>
        <w:t xml:space="preserve"> </w:t>
      </w:r>
      <w:r>
        <w:rPr>
          <w:color w:val="231F20"/>
        </w:rPr>
        <w:t>years</w:t>
      </w:r>
      <w:r>
        <w:rPr>
          <w:color w:val="231F20"/>
          <w:spacing w:val="-3"/>
        </w:rPr>
        <w:t xml:space="preserve"> </w:t>
      </w:r>
      <w:r>
        <w:rPr>
          <w:color w:val="231F20"/>
        </w:rPr>
        <w:t>of</w:t>
      </w:r>
      <w:r>
        <w:rPr>
          <w:color w:val="231F20"/>
          <w:spacing w:val="-4"/>
        </w:rPr>
        <w:t xml:space="preserve"> </w:t>
      </w:r>
      <w:r>
        <w:rPr>
          <w:color w:val="231F20"/>
        </w:rPr>
        <w:t>dry</w:t>
      </w:r>
      <w:r>
        <w:rPr>
          <w:color w:val="231F20"/>
          <w:spacing w:val="-4"/>
        </w:rPr>
        <w:t xml:space="preserve"> </w:t>
      </w:r>
      <w:r>
        <w:rPr>
          <w:color w:val="231F20"/>
        </w:rPr>
        <w:t>conditions</w:t>
      </w:r>
      <w:r>
        <w:rPr>
          <w:color w:val="231F20"/>
          <w:spacing w:val="-3"/>
        </w:rPr>
        <w:t xml:space="preserve"> </w:t>
      </w:r>
      <w:r>
        <w:rPr>
          <w:color w:val="231F20"/>
        </w:rPr>
        <w:t>resulting</w:t>
      </w:r>
      <w:r>
        <w:rPr>
          <w:color w:val="231F20"/>
          <w:spacing w:val="-3"/>
        </w:rPr>
        <w:t xml:space="preserve"> </w:t>
      </w:r>
      <w:r>
        <w:rPr>
          <w:color w:val="231F20"/>
        </w:rPr>
        <w:t>in</w:t>
      </w:r>
      <w:r>
        <w:rPr>
          <w:color w:val="231F20"/>
          <w:spacing w:val="-4"/>
        </w:rPr>
        <w:t xml:space="preserve"> </w:t>
      </w:r>
      <w:r>
        <w:rPr>
          <w:color w:val="231F20"/>
        </w:rPr>
        <w:t>lower</w:t>
      </w:r>
      <w:r>
        <w:rPr>
          <w:color w:val="231F20"/>
          <w:spacing w:val="-4"/>
        </w:rPr>
        <w:t xml:space="preserve"> </w:t>
      </w:r>
      <w:r>
        <w:rPr>
          <w:color w:val="231F20"/>
        </w:rPr>
        <w:t>water</w:t>
      </w:r>
      <w:r>
        <w:rPr>
          <w:color w:val="231F20"/>
          <w:spacing w:val="-5"/>
        </w:rPr>
        <w:t xml:space="preserve"> </w:t>
      </w:r>
      <w:r>
        <w:rPr>
          <w:color w:val="231F20"/>
        </w:rPr>
        <w:t>availability,</w:t>
      </w:r>
      <w:r>
        <w:rPr>
          <w:color w:val="231F20"/>
          <w:spacing w:val="-3"/>
        </w:rPr>
        <w:t xml:space="preserve"> </w:t>
      </w:r>
      <w:r>
        <w:rPr>
          <w:color w:val="231F20"/>
        </w:rPr>
        <w:t>fewer</w:t>
      </w:r>
      <w:r>
        <w:rPr>
          <w:color w:val="231F20"/>
          <w:spacing w:val="-3"/>
        </w:rPr>
        <w:t xml:space="preserve"> </w:t>
      </w:r>
      <w:r>
        <w:rPr>
          <w:color w:val="231F20"/>
        </w:rPr>
        <w:t>high</w:t>
      </w:r>
      <w:r>
        <w:rPr>
          <w:color w:val="231F20"/>
          <w:spacing w:val="-4"/>
        </w:rPr>
        <w:t xml:space="preserve"> </w:t>
      </w:r>
      <w:r>
        <w:rPr>
          <w:color w:val="231F20"/>
        </w:rPr>
        <w:t>flow</w:t>
      </w:r>
      <w:r>
        <w:rPr>
          <w:color w:val="231F20"/>
          <w:spacing w:val="-3"/>
        </w:rPr>
        <w:t xml:space="preserve"> </w:t>
      </w:r>
      <w:r>
        <w:rPr>
          <w:color w:val="231F20"/>
        </w:rPr>
        <w:t>events</w:t>
      </w:r>
      <w:r>
        <w:rPr>
          <w:color w:val="231F20"/>
          <w:spacing w:val="-4"/>
        </w:rPr>
        <w:t xml:space="preserve"> </w:t>
      </w:r>
      <w:r>
        <w:rPr>
          <w:color w:val="231F20"/>
        </w:rPr>
        <w:t>and</w:t>
      </w:r>
      <w:r>
        <w:rPr>
          <w:color w:val="231F20"/>
          <w:spacing w:val="-4"/>
        </w:rPr>
        <w:t xml:space="preserve"> </w:t>
      </w:r>
      <w:r>
        <w:rPr>
          <w:color w:val="231F20"/>
        </w:rPr>
        <w:t>lower</w:t>
      </w:r>
      <w:r>
        <w:rPr>
          <w:color w:val="231F20"/>
          <w:spacing w:val="-4"/>
        </w:rPr>
        <w:t xml:space="preserve"> </w:t>
      </w:r>
      <w:r>
        <w:rPr>
          <w:color w:val="231F20"/>
        </w:rPr>
        <w:t>peak magnitudes are planned in 2020–21, but overall flow patterns will be similar. Four high-flow releases are scheduled between</w:t>
      </w:r>
      <w:r>
        <w:rPr>
          <w:color w:val="231F20"/>
          <w:spacing w:val="-4"/>
        </w:rPr>
        <w:t xml:space="preserve"> </w:t>
      </w:r>
      <w:r>
        <w:rPr>
          <w:color w:val="231F20"/>
        </w:rPr>
        <w:t>June</w:t>
      </w:r>
      <w:r>
        <w:rPr>
          <w:color w:val="231F20"/>
          <w:spacing w:val="-2"/>
        </w:rPr>
        <w:t xml:space="preserve"> </w:t>
      </w:r>
      <w:r>
        <w:rPr>
          <w:color w:val="231F20"/>
        </w:rPr>
        <w:t>and</w:t>
      </w:r>
      <w:r>
        <w:rPr>
          <w:color w:val="231F20"/>
          <w:spacing w:val="-3"/>
        </w:rPr>
        <w:t xml:space="preserve"> </w:t>
      </w:r>
      <w:r>
        <w:rPr>
          <w:color w:val="231F20"/>
        </w:rPr>
        <w:t>November</w:t>
      </w:r>
      <w:r>
        <w:rPr>
          <w:color w:val="231F20"/>
          <w:spacing w:val="-3"/>
        </w:rPr>
        <w:t xml:space="preserve"> </w:t>
      </w:r>
      <w:r>
        <w:rPr>
          <w:color w:val="231F20"/>
        </w:rPr>
        <w:t>2020.</w:t>
      </w:r>
      <w:r>
        <w:rPr>
          <w:color w:val="231F20"/>
          <w:spacing w:val="-6"/>
        </w:rPr>
        <w:t xml:space="preserve"> </w:t>
      </w:r>
      <w:r>
        <w:rPr>
          <w:color w:val="231F20"/>
        </w:rPr>
        <w:t>This</w:t>
      </w:r>
      <w:r>
        <w:rPr>
          <w:color w:val="231F20"/>
          <w:spacing w:val="-3"/>
        </w:rPr>
        <w:t xml:space="preserve"> </w:t>
      </w:r>
      <w:r>
        <w:rPr>
          <w:color w:val="231F20"/>
        </w:rPr>
        <w:t>includes</w:t>
      </w:r>
      <w:r>
        <w:rPr>
          <w:color w:val="231F20"/>
          <w:spacing w:val="-3"/>
        </w:rPr>
        <w:t xml:space="preserve"> </w:t>
      </w:r>
      <w:r>
        <w:rPr>
          <w:color w:val="231F20"/>
        </w:rPr>
        <w:t>a</w:t>
      </w:r>
      <w:r>
        <w:rPr>
          <w:color w:val="231F20"/>
          <w:spacing w:val="-3"/>
        </w:rPr>
        <w:t xml:space="preserve"> </w:t>
      </w:r>
      <w:r>
        <w:rPr>
          <w:color w:val="231F20"/>
        </w:rPr>
        <w:t>large</w:t>
      </w:r>
      <w:r>
        <w:rPr>
          <w:color w:val="231F20"/>
          <w:spacing w:val="-3"/>
        </w:rPr>
        <w:t xml:space="preserve"> </w:t>
      </w:r>
      <w:r>
        <w:rPr>
          <w:color w:val="231F20"/>
        </w:rPr>
        <w:t>flushing</w:t>
      </w:r>
      <w:r>
        <w:rPr>
          <w:color w:val="231F20"/>
          <w:spacing w:val="-2"/>
        </w:rPr>
        <w:t xml:space="preserve"> </w:t>
      </w:r>
      <w:r>
        <w:rPr>
          <w:color w:val="231F20"/>
        </w:rPr>
        <w:t>flow</w:t>
      </w:r>
      <w:r>
        <w:rPr>
          <w:color w:val="231F20"/>
          <w:spacing w:val="-3"/>
        </w:rPr>
        <w:t xml:space="preserve"> </w:t>
      </w:r>
      <w:r>
        <w:rPr>
          <w:color w:val="231F20"/>
        </w:rPr>
        <w:t>in</w:t>
      </w:r>
      <w:r>
        <w:rPr>
          <w:color w:val="231F20"/>
          <w:spacing w:val="-3"/>
        </w:rPr>
        <w:t xml:space="preserve"> </w:t>
      </w:r>
      <w:r>
        <w:rPr>
          <w:color w:val="231F20"/>
        </w:rPr>
        <w:t>early</w:t>
      </w:r>
      <w:r>
        <w:rPr>
          <w:color w:val="231F20"/>
          <w:spacing w:val="-3"/>
        </w:rPr>
        <w:t xml:space="preserve"> </w:t>
      </w:r>
      <w:r>
        <w:rPr>
          <w:color w:val="231F20"/>
        </w:rPr>
        <w:t>September</w:t>
      </w:r>
      <w:r>
        <w:rPr>
          <w:color w:val="231F20"/>
          <w:spacing w:val="-2"/>
        </w:rPr>
        <w:t xml:space="preserve"> </w:t>
      </w:r>
      <w:r>
        <w:rPr>
          <w:color w:val="231F20"/>
        </w:rPr>
        <w:t>2020,</w:t>
      </w:r>
      <w:r>
        <w:rPr>
          <w:color w:val="231F20"/>
          <w:spacing w:val="-4"/>
        </w:rPr>
        <w:t xml:space="preserve"> </w:t>
      </w:r>
      <w:r>
        <w:rPr>
          <w:color w:val="231F20"/>
        </w:rPr>
        <w:t>which</w:t>
      </w:r>
      <w:r>
        <w:rPr>
          <w:color w:val="231F20"/>
          <w:spacing w:val="-3"/>
        </w:rPr>
        <w:t xml:space="preserve"> </w:t>
      </w:r>
      <w:r>
        <w:rPr>
          <w:color w:val="231F20"/>
        </w:rPr>
        <w:t>involves</w:t>
      </w:r>
    </w:p>
    <w:p w:rsidR="006A7A3F" w:rsidRDefault="00BC7372">
      <w:pPr>
        <w:pStyle w:val="BodyText"/>
        <w:spacing w:before="2" w:line="249" w:lineRule="auto"/>
        <w:ind w:right="204"/>
      </w:pPr>
      <w:r>
        <w:rPr>
          <w:color w:val="231F20"/>
        </w:rPr>
        <w:t>an eight-hour peak at a rate equivalent to 4,500 ML per day. Other peak flows will mimic winter rainfall events. This variable flow regime aims to improve the physical attributes of the river by scouring and depositing sediment and increasing available aquatic habitat. High flows will be sustained from July to December, to help mix water in the estuary to benefit plants and fish (such as Australian bass). Low flows will then be released until the end of the water year in April 2021.</w:t>
      </w:r>
    </w:p>
    <w:p w:rsidR="006A7A3F" w:rsidRDefault="00BC7372">
      <w:pPr>
        <w:pStyle w:val="BodyText"/>
        <w:spacing w:before="70" w:line="249" w:lineRule="auto"/>
        <w:ind w:right="430"/>
      </w:pPr>
      <w:r>
        <w:rPr>
          <w:color w:val="231F20"/>
        </w:rPr>
        <w:t>Daily releases from Lake Jindabyne will help to mitigate water quality impacts caused by rain that flushes in water from fire-damaged land; but due to the pre-planned annual flow regime process for this system, there is no opportunity to release environmental water in response to serious water quality risks.</w:t>
      </w:r>
    </w:p>
    <w:p w:rsidR="006A7A3F" w:rsidRDefault="00BC7372">
      <w:pPr>
        <w:pStyle w:val="BodyText"/>
        <w:spacing w:before="173" w:line="249" w:lineRule="auto"/>
        <w:ind w:right="457"/>
      </w:pPr>
      <w:r>
        <w:rPr>
          <w:color w:val="231F20"/>
        </w:rPr>
        <w:t>East Gippsland CMA has monitored the lower reaches and estuary over the past eight years. The results show that the managed environmental flows help improve physical and ecological processes, increase ecosystem productivity and improve aquatic habitat.</w:t>
      </w:r>
    </w:p>
    <w:p w:rsidR="005675D9" w:rsidRDefault="005675D9">
      <w:pPr>
        <w:rPr>
          <w:sz w:val="21"/>
          <w:szCs w:val="20"/>
        </w:rPr>
      </w:pPr>
      <w:r>
        <w:rPr>
          <w:sz w:val="21"/>
          <w:szCs w:val="20"/>
        </w:rPr>
        <w:br w:type="page"/>
      </w:r>
    </w:p>
    <w:p w:rsidR="005675D9" w:rsidRDefault="005675D9" w:rsidP="005675D9">
      <w:pPr>
        <w:pStyle w:val="H3-IntroIntroduction"/>
        <w:rPr>
          <w:sz w:val="42"/>
          <w:szCs w:val="42"/>
        </w:rPr>
      </w:pPr>
      <w:r w:rsidRPr="00CC340C">
        <w:rPr>
          <w:sz w:val="42"/>
          <w:szCs w:val="42"/>
        </w:rPr>
        <w:t xml:space="preserve">Section </w:t>
      </w:r>
      <w:r>
        <w:rPr>
          <w:sz w:val="42"/>
          <w:szCs w:val="42"/>
        </w:rPr>
        <w:t>3</w:t>
      </w:r>
      <w:r w:rsidRPr="00CC340C">
        <w:rPr>
          <w:sz w:val="42"/>
          <w:szCs w:val="42"/>
        </w:rPr>
        <w:t xml:space="preserve"> – </w:t>
      </w:r>
      <w:r>
        <w:rPr>
          <w:sz w:val="42"/>
          <w:szCs w:val="42"/>
        </w:rPr>
        <w:t>Central region</w:t>
      </w:r>
    </w:p>
    <w:p w:rsidR="005675D9" w:rsidRDefault="005675D9" w:rsidP="005675D9">
      <w:pPr>
        <w:pStyle w:val="BodyText"/>
        <w:ind w:left="0"/>
      </w:pPr>
    </w:p>
    <w:p w:rsidR="005675D9" w:rsidRPr="002A7565" w:rsidRDefault="005675D9" w:rsidP="00AE6949">
      <w:pPr>
        <w:pStyle w:val="BodyText"/>
        <w:tabs>
          <w:tab w:val="left" w:pos="567"/>
          <w:tab w:val="left" w:pos="1276"/>
          <w:tab w:val="right" w:leader="dot" w:pos="10065"/>
        </w:tabs>
        <w:ind w:left="0"/>
      </w:pPr>
      <w:r>
        <w:t>3</w:t>
      </w:r>
      <w:r w:rsidRPr="002A7565">
        <w:t>.1</w:t>
      </w:r>
      <w:r>
        <w:tab/>
      </w:r>
      <w:r w:rsidRPr="005675D9">
        <w:t>Central region overview</w:t>
      </w:r>
      <w:r>
        <w:tab/>
      </w:r>
      <w:r w:rsidR="00AE6949">
        <w:t>8</w:t>
      </w:r>
      <w:r w:rsidR="00B04111">
        <w:t>4</w:t>
      </w:r>
    </w:p>
    <w:p w:rsidR="005675D9" w:rsidRPr="002A7565" w:rsidRDefault="005675D9" w:rsidP="00AE6949">
      <w:pPr>
        <w:pStyle w:val="BodyText"/>
        <w:tabs>
          <w:tab w:val="left" w:pos="567"/>
          <w:tab w:val="left" w:pos="1276"/>
          <w:tab w:val="right" w:leader="dot" w:pos="10065"/>
        </w:tabs>
        <w:ind w:left="0"/>
      </w:pPr>
      <w:r>
        <w:t>3</w:t>
      </w:r>
      <w:r w:rsidRPr="002A7565">
        <w:t>.2.</w:t>
      </w:r>
      <w:r>
        <w:tab/>
      </w:r>
      <w:r w:rsidRPr="005675D9">
        <w:t>Yarra system</w:t>
      </w:r>
      <w:r>
        <w:tab/>
      </w:r>
      <w:r w:rsidR="00B04111">
        <w:t>92</w:t>
      </w:r>
    </w:p>
    <w:p w:rsidR="005675D9" w:rsidRPr="002A7565" w:rsidRDefault="005675D9" w:rsidP="00AE6949">
      <w:pPr>
        <w:pStyle w:val="BodyText"/>
        <w:tabs>
          <w:tab w:val="left" w:pos="567"/>
          <w:tab w:val="left" w:pos="1276"/>
          <w:tab w:val="right" w:leader="dot" w:pos="10065"/>
        </w:tabs>
        <w:ind w:left="0"/>
      </w:pPr>
      <w:r>
        <w:t>3</w:t>
      </w:r>
      <w:r w:rsidRPr="002A7565">
        <w:t xml:space="preserve">.3 </w:t>
      </w:r>
      <w:r>
        <w:tab/>
      </w:r>
      <w:r w:rsidRPr="005675D9">
        <w:t>Tarago system</w:t>
      </w:r>
      <w:r>
        <w:tab/>
      </w:r>
      <w:r w:rsidR="00AE6949">
        <w:t>9</w:t>
      </w:r>
      <w:r w:rsidR="00B04111">
        <w:t>8</w:t>
      </w:r>
    </w:p>
    <w:p w:rsidR="005675D9" w:rsidRPr="002A7565" w:rsidRDefault="005675D9" w:rsidP="00AE6949">
      <w:pPr>
        <w:pStyle w:val="BodyText"/>
        <w:tabs>
          <w:tab w:val="left" w:pos="567"/>
          <w:tab w:val="left" w:pos="1276"/>
          <w:tab w:val="right" w:leader="dot" w:pos="10065"/>
        </w:tabs>
        <w:ind w:left="0"/>
      </w:pPr>
      <w:r>
        <w:t>3</w:t>
      </w:r>
      <w:r w:rsidRPr="002A7565">
        <w:t>.4</w:t>
      </w:r>
      <w:r>
        <w:tab/>
      </w:r>
      <w:r w:rsidRPr="005675D9">
        <w:t>Maribyrnong system</w:t>
      </w:r>
      <w:r>
        <w:tab/>
      </w:r>
      <w:r w:rsidR="00AE6949">
        <w:t>1</w:t>
      </w:r>
      <w:r w:rsidR="00622D11">
        <w:t>0</w:t>
      </w:r>
      <w:r w:rsidR="00B04111">
        <w:t>3</w:t>
      </w:r>
    </w:p>
    <w:p w:rsidR="005675D9" w:rsidRDefault="005675D9" w:rsidP="00AE6949">
      <w:pPr>
        <w:pStyle w:val="BodyText"/>
        <w:tabs>
          <w:tab w:val="left" w:pos="567"/>
          <w:tab w:val="left" w:pos="1276"/>
          <w:tab w:val="right" w:leader="dot" w:pos="10065"/>
        </w:tabs>
        <w:ind w:left="0"/>
      </w:pPr>
      <w:r>
        <w:t>3</w:t>
      </w:r>
      <w:r w:rsidRPr="002A7565">
        <w:t>.5</w:t>
      </w:r>
      <w:r>
        <w:tab/>
      </w:r>
      <w:r w:rsidRPr="005675D9">
        <w:t>Werribee system</w:t>
      </w:r>
      <w:r>
        <w:tab/>
      </w:r>
      <w:r w:rsidR="00AE6949">
        <w:t>10</w:t>
      </w:r>
      <w:r w:rsidR="00B04111">
        <w:t>7</w:t>
      </w:r>
    </w:p>
    <w:p w:rsidR="005675D9" w:rsidRDefault="005675D9" w:rsidP="00AE6949">
      <w:pPr>
        <w:pStyle w:val="BodyText"/>
        <w:tabs>
          <w:tab w:val="left" w:pos="567"/>
          <w:tab w:val="left" w:pos="1276"/>
          <w:tab w:val="right" w:leader="dot" w:pos="10065"/>
        </w:tabs>
        <w:ind w:left="0"/>
      </w:pPr>
      <w:r>
        <w:t>3.6</w:t>
      </w:r>
      <w:r>
        <w:tab/>
      </w:r>
      <w:r w:rsidRPr="005675D9">
        <w:t>Moorabool system</w:t>
      </w:r>
      <w:r>
        <w:tab/>
      </w:r>
      <w:r w:rsidR="00622D11">
        <w:t>11</w:t>
      </w:r>
      <w:r w:rsidR="00B04111">
        <w:t>3</w:t>
      </w:r>
    </w:p>
    <w:p w:rsidR="005675D9" w:rsidRDefault="005675D9" w:rsidP="00AE6949">
      <w:pPr>
        <w:pStyle w:val="BodyText"/>
        <w:tabs>
          <w:tab w:val="left" w:pos="567"/>
          <w:tab w:val="left" w:pos="1276"/>
          <w:tab w:val="right" w:leader="dot" w:pos="10065"/>
        </w:tabs>
        <w:ind w:left="0"/>
      </w:pPr>
      <w:r>
        <w:t>3.7</w:t>
      </w:r>
      <w:r>
        <w:tab/>
      </w:r>
      <w:r w:rsidRPr="005675D9">
        <w:t>Barwon system</w:t>
      </w:r>
      <w:r>
        <w:tab/>
      </w:r>
      <w:r w:rsidRPr="005675D9">
        <w:t>1</w:t>
      </w:r>
      <w:r w:rsidR="00622D11">
        <w:t>1</w:t>
      </w:r>
      <w:r w:rsidR="00B04111">
        <w:t>9</w:t>
      </w:r>
    </w:p>
    <w:p w:rsidR="005675D9" w:rsidRDefault="005675D9" w:rsidP="00AE6949">
      <w:pPr>
        <w:pStyle w:val="BodyText"/>
        <w:tabs>
          <w:tab w:val="left" w:pos="567"/>
          <w:tab w:val="left" w:pos="1276"/>
          <w:tab w:val="right" w:leader="dot" w:pos="10065"/>
        </w:tabs>
        <w:ind w:left="0"/>
      </w:pPr>
      <w:r>
        <w:tab/>
        <w:t>3.7.1</w:t>
      </w:r>
      <w:r>
        <w:tab/>
      </w:r>
      <w:r w:rsidRPr="005675D9">
        <w:t>Upper Barwon River</w:t>
      </w:r>
      <w:r>
        <w:tab/>
      </w:r>
      <w:r w:rsidR="00622D11">
        <w:t>11</w:t>
      </w:r>
      <w:r w:rsidR="00B04111">
        <w:t>9</w:t>
      </w:r>
    </w:p>
    <w:p w:rsidR="005675D9" w:rsidRDefault="005675D9" w:rsidP="00AE6949">
      <w:pPr>
        <w:pStyle w:val="BodyText"/>
        <w:tabs>
          <w:tab w:val="left" w:pos="567"/>
          <w:tab w:val="left" w:pos="1276"/>
          <w:tab w:val="right" w:leader="dot" w:pos="10065"/>
        </w:tabs>
        <w:ind w:left="0"/>
      </w:pPr>
      <w:r>
        <w:tab/>
        <w:t>3.7.2</w:t>
      </w:r>
      <w:r>
        <w:tab/>
      </w:r>
      <w:r w:rsidRPr="005675D9">
        <w:t>Lower Barwon wetlands</w:t>
      </w:r>
      <w:r>
        <w:tab/>
      </w:r>
      <w:r w:rsidR="00622D11">
        <w:t>12</w:t>
      </w:r>
      <w:r w:rsidR="00B04111">
        <w:t>4</w:t>
      </w:r>
    </w:p>
    <w:p w:rsidR="005675D9" w:rsidRDefault="005675D9" w:rsidP="00AE6949">
      <w:pPr>
        <w:tabs>
          <w:tab w:val="left" w:pos="567"/>
          <w:tab w:val="left" w:pos="1134"/>
          <w:tab w:val="right" w:pos="10065"/>
        </w:tabs>
        <w:rPr>
          <w:color w:val="231F20"/>
          <w:sz w:val="42"/>
          <w:szCs w:val="42"/>
        </w:rPr>
      </w:pPr>
      <w:r>
        <w:rPr>
          <w:color w:val="231F20"/>
        </w:rPr>
        <w:br w:type="page"/>
      </w:r>
    </w:p>
    <w:p w:rsidR="006A7A3F" w:rsidRDefault="00BC7372">
      <w:pPr>
        <w:pStyle w:val="Heading1"/>
        <w:numPr>
          <w:ilvl w:val="1"/>
          <w:numId w:val="1262"/>
        </w:numPr>
        <w:tabs>
          <w:tab w:val="left" w:pos="911"/>
        </w:tabs>
        <w:spacing w:before="1"/>
      </w:pPr>
      <w:r>
        <w:rPr>
          <w:color w:val="231F20"/>
        </w:rPr>
        <w:t>Central region</w:t>
      </w:r>
      <w:r>
        <w:rPr>
          <w:color w:val="231F20"/>
          <w:spacing w:val="-2"/>
        </w:rPr>
        <w:t xml:space="preserve"> </w:t>
      </w:r>
      <w:r>
        <w:rPr>
          <w:color w:val="231F20"/>
        </w:rPr>
        <w:t>overview</w:t>
      </w:r>
    </w:p>
    <w:p w:rsidR="006A7A3F" w:rsidRDefault="00BC7372">
      <w:pPr>
        <w:pStyle w:val="Heading2"/>
        <w:spacing w:line="249" w:lineRule="auto"/>
        <w:ind w:right="774"/>
      </w:pPr>
      <w:r>
        <w:rPr>
          <w:color w:val="231F20"/>
        </w:rPr>
        <w:t>There are six systems in the central region that can receive managed environmental flows: the Yarra and Tarago in the east and the Werribee, Maribyrnong, Moorabool and Barwon (upper Barwon River and lower Barwon wetlands) in the west.</w:t>
      </w:r>
    </w:p>
    <w:p w:rsidR="006A7A3F" w:rsidRDefault="00BC7372">
      <w:pPr>
        <w:pStyle w:val="BodyText"/>
        <w:spacing w:before="148" w:line="249" w:lineRule="auto"/>
        <w:ind w:right="196"/>
      </w:pPr>
      <w:r>
        <w:rPr>
          <w:color w:val="231F20"/>
        </w:rPr>
        <w:t>Environmental values, recent conditions, environmental watering objectives and planned actions for each system in the central region are presented in the system sections that follow.</w:t>
      </w:r>
    </w:p>
    <w:p w:rsidR="006A7A3F" w:rsidRDefault="006A7A3F">
      <w:pPr>
        <w:pStyle w:val="BodyText"/>
        <w:spacing w:before="1"/>
        <w:ind w:left="0"/>
      </w:pPr>
    </w:p>
    <w:p w:rsidR="006A7A3F" w:rsidRDefault="00BC7372">
      <w:pPr>
        <w:pStyle w:val="Heading4"/>
      </w:pPr>
      <w:r>
        <w:rPr>
          <w:color w:val="231F20"/>
        </w:rPr>
        <w:t>Traditional Owners in the central region</w:t>
      </w:r>
    </w:p>
    <w:p w:rsidR="006A7A3F" w:rsidRDefault="00BC7372">
      <w:pPr>
        <w:pStyle w:val="BodyText"/>
        <w:spacing w:before="59"/>
      </w:pPr>
      <w:r>
        <w:rPr>
          <w:color w:val="231F20"/>
        </w:rPr>
        <w:t>Traditional Owners in the central region have a deep connection to the region’s rivers, wetlands and floodplains.</w:t>
      </w:r>
    </w:p>
    <w:p w:rsidR="006A7A3F" w:rsidRDefault="00BC7372">
      <w:pPr>
        <w:pStyle w:val="BodyText"/>
        <w:spacing w:before="180" w:line="249" w:lineRule="auto"/>
        <w:ind w:right="297"/>
      </w:pPr>
      <w:r>
        <w:rPr>
          <w:color w:val="231F20"/>
        </w:rPr>
        <w:t>The Bunurong Land Council Aboriginal Corporation, Eastern Maar Aboriginal Corporation, Wathaurung Aboriginal Corporation (trading as Wadawurrung) and Wurundjeri Woi-Wurrung Cultural Heritage Aboriginal Corporation are the Registered Aboriginal Parties for the areas incorporating waterways covered by this section of the seasonal watering plan.</w:t>
      </w:r>
    </w:p>
    <w:p w:rsidR="006A7A3F" w:rsidRDefault="00BC7372">
      <w:pPr>
        <w:pStyle w:val="BodyText"/>
        <w:spacing w:before="173" w:line="249" w:lineRule="auto"/>
        <w:ind w:right="495"/>
        <w:jc w:val="both"/>
      </w:pPr>
      <w:r>
        <w:rPr>
          <w:color w:val="231F20"/>
        </w:rPr>
        <w:t>Gunaikurnai</w:t>
      </w:r>
      <w:r>
        <w:rPr>
          <w:color w:val="231F20"/>
          <w:spacing w:val="-3"/>
        </w:rPr>
        <w:t xml:space="preserve"> </w:t>
      </w:r>
      <w:r>
        <w:rPr>
          <w:color w:val="231F20"/>
        </w:rPr>
        <w:t>Land</w:t>
      </w:r>
      <w:r>
        <w:rPr>
          <w:color w:val="231F20"/>
          <w:spacing w:val="-4"/>
        </w:rPr>
        <w:t xml:space="preserve"> </w:t>
      </w:r>
      <w:r>
        <w:rPr>
          <w:color w:val="231F20"/>
        </w:rPr>
        <w:t>and</w:t>
      </w:r>
      <w:r>
        <w:rPr>
          <w:color w:val="231F20"/>
          <w:spacing w:val="-4"/>
        </w:rPr>
        <w:t xml:space="preserve"> </w:t>
      </w:r>
      <w:r>
        <w:rPr>
          <w:color w:val="231F20"/>
          <w:spacing w:val="-2"/>
        </w:rPr>
        <w:t>Waters</w:t>
      </w:r>
      <w:r>
        <w:rPr>
          <w:color w:val="231F20"/>
          <w:spacing w:val="-15"/>
        </w:rPr>
        <w:t xml:space="preserve"> </w:t>
      </w:r>
      <w:r>
        <w:rPr>
          <w:color w:val="231F20"/>
        </w:rPr>
        <w:t>Aboriginal</w:t>
      </w:r>
      <w:r>
        <w:rPr>
          <w:color w:val="231F20"/>
          <w:spacing w:val="-2"/>
        </w:rPr>
        <w:t xml:space="preserve"> </w:t>
      </w:r>
      <w:r>
        <w:rPr>
          <w:color w:val="231F20"/>
        </w:rPr>
        <w:t>Corporation</w:t>
      </w:r>
      <w:r>
        <w:rPr>
          <w:color w:val="231F20"/>
          <w:spacing w:val="-4"/>
        </w:rPr>
        <w:t xml:space="preserve"> </w:t>
      </w:r>
      <w:r>
        <w:rPr>
          <w:color w:val="231F20"/>
        </w:rPr>
        <w:t>is</w:t>
      </w:r>
      <w:r>
        <w:rPr>
          <w:color w:val="231F20"/>
          <w:spacing w:val="-4"/>
        </w:rPr>
        <w:t xml:space="preserve"> </w:t>
      </w:r>
      <w:r>
        <w:rPr>
          <w:color w:val="231F20"/>
        </w:rPr>
        <w:t>also</w:t>
      </w:r>
      <w:r>
        <w:rPr>
          <w:color w:val="231F20"/>
          <w:spacing w:val="-4"/>
        </w:rPr>
        <w:t xml:space="preserve"> </w:t>
      </w:r>
      <w:r>
        <w:rPr>
          <w:color w:val="231F20"/>
        </w:rPr>
        <w:t>a</w:t>
      </w:r>
      <w:r>
        <w:rPr>
          <w:color w:val="231F20"/>
          <w:spacing w:val="-4"/>
        </w:rPr>
        <w:t xml:space="preserve"> </w:t>
      </w:r>
      <w:r>
        <w:rPr>
          <w:color w:val="231F20"/>
        </w:rPr>
        <w:t>Registered</w:t>
      </w:r>
      <w:r>
        <w:rPr>
          <w:color w:val="231F20"/>
          <w:spacing w:val="-13"/>
        </w:rPr>
        <w:t xml:space="preserve"> </w:t>
      </w:r>
      <w:r>
        <w:rPr>
          <w:color w:val="231F20"/>
        </w:rPr>
        <w:t>Aboriginal</w:t>
      </w:r>
      <w:r>
        <w:rPr>
          <w:color w:val="231F20"/>
          <w:spacing w:val="-3"/>
        </w:rPr>
        <w:t xml:space="preserve"> </w:t>
      </w:r>
      <w:r>
        <w:rPr>
          <w:color w:val="231F20"/>
        </w:rPr>
        <w:t>Party</w:t>
      </w:r>
      <w:r>
        <w:rPr>
          <w:color w:val="231F20"/>
          <w:spacing w:val="-3"/>
        </w:rPr>
        <w:t xml:space="preserve"> </w:t>
      </w:r>
      <w:r>
        <w:rPr>
          <w:color w:val="231F20"/>
        </w:rPr>
        <w:t>within</w:t>
      </w:r>
      <w:r>
        <w:rPr>
          <w:color w:val="231F20"/>
          <w:spacing w:val="-4"/>
        </w:rPr>
        <w:t xml:space="preserve"> </w:t>
      </w:r>
      <w:r>
        <w:rPr>
          <w:color w:val="231F20"/>
        </w:rPr>
        <w:t>the</w:t>
      </w:r>
      <w:r>
        <w:rPr>
          <w:color w:val="231F20"/>
          <w:spacing w:val="-3"/>
        </w:rPr>
        <w:t xml:space="preserve"> </w:t>
      </w:r>
      <w:r>
        <w:rPr>
          <w:color w:val="231F20"/>
        </w:rPr>
        <w:t>geographic area, but the Gunaikurnai waterways managed with water for the environment are covered under the Gippsland region section of the seasonal watering</w:t>
      </w:r>
      <w:r>
        <w:rPr>
          <w:color w:val="231F20"/>
          <w:spacing w:val="-3"/>
        </w:rPr>
        <w:t xml:space="preserve"> </w:t>
      </w:r>
      <w:r>
        <w:rPr>
          <w:color w:val="231F20"/>
        </w:rPr>
        <w:t>plan.</w:t>
      </w:r>
    </w:p>
    <w:p w:rsidR="006A7A3F" w:rsidRDefault="006A7A3F">
      <w:pPr>
        <w:pStyle w:val="BodyText"/>
        <w:spacing w:before="2"/>
        <w:ind w:left="0"/>
      </w:pPr>
    </w:p>
    <w:p w:rsidR="006A7A3F" w:rsidRDefault="00BC7372">
      <w:pPr>
        <w:pStyle w:val="Heading4"/>
      </w:pPr>
      <w:r>
        <w:rPr>
          <w:color w:val="231F20"/>
        </w:rPr>
        <w:t>Engagement</w:t>
      </w:r>
    </w:p>
    <w:p w:rsidR="006A7A3F" w:rsidRDefault="00BC7372">
      <w:pPr>
        <w:pStyle w:val="BodyText"/>
        <w:spacing w:before="58" w:line="249" w:lineRule="auto"/>
        <w:ind w:right="489"/>
      </w:pPr>
      <w:r>
        <w:rPr>
          <w:color w:val="231F20"/>
        </w:rPr>
        <w:t>Seasonal watering proposals are informed by community, stakeholder and program partner engagement, as well as longer-term regional catchment strategies, regional waterway strategies, relevant technical studies (such as environmental flows studies and environmental water management plans). Program partners and</w:t>
      </w:r>
      <w:r>
        <w:rPr>
          <w:color w:val="231F20"/>
          <w:spacing w:val="-35"/>
        </w:rPr>
        <w:t xml:space="preserve"> </w:t>
      </w:r>
      <w:r>
        <w:rPr>
          <w:color w:val="231F20"/>
        </w:rPr>
        <w:t>other</w:t>
      </w:r>
    </w:p>
    <w:p w:rsidR="006A7A3F" w:rsidRDefault="00BC7372">
      <w:pPr>
        <w:pStyle w:val="BodyText"/>
        <w:spacing w:before="2" w:line="249" w:lineRule="auto"/>
        <w:ind w:right="204"/>
      </w:pPr>
      <w:r>
        <w:rPr>
          <w:color w:val="231F20"/>
        </w:rPr>
        <w:t>stakeholders help to identify environmental watering priorities and opportunities for the coming year. The strategies and technical reports collectively describe a range of environmental, cultural, economic, social and Traditional Owner perspectives and longer-term integrated catchment and waterway management objectives that influence environmental watering actions and priorities.</w:t>
      </w:r>
    </w:p>
    <w:p w:rsidR="006A7A3F" w:rsidRDefault="00BC7372">
      <w:pPr>
        <w:pStyle w:val="BodyText"/>
        <w:spacing w:before="174" w:line="249" w:lineRule="auto"/>
        <w:ind w:right="457"/>
      </w:pPr>
      <w:r>
        <w:rPr>
          <w:color w:val="231F20"/>
        </w:rPr>
        <w:t>The International Association for Public Participation’s Public Participation Spectrum (IAP2 Spectrum) has been used to categorise the levels of participation of stakeholders involved in the environmental watering planning process. Table 3.1.1 shows the IAP2 Spectrum categories and participation goals.</w:t>
      </w:r>
    </w:p>
    <w:p w:rsidR="006A7A3F" w:rsidRDefault="00BC7372">
      <w:pPr>
        <w:spacing w:before="167" w:line="249" w:lineRule="auto"/>
        <w:ind w:left="210" w:right="457"/>
        <w:rPr>
          <w:b/>
          <w:sz w:val="10"/>
        </w:rPr>
      </w:pPr>
      <w:r>
        <w:rPr>
          <w:b/>
          <w:color w:val="231F20"/>
          <w:sz w:val="18"/>
        </w:rPr>
        <w:t>Table 3.1.1 International Association for Public Participation’s Public Participation Spectrum categories and participation goals</w:t>
      </w:r>
      <w:r>
        <w:rPr>
          <w:b/>
          <w:color w:val="231F20"/>
          <w:position w:val="6"/>
          <w:sz w:val="10"/>
        </w:rPr>
        <w:t>1</w:t>
      </w:r>
    </w:p>
    <w:p w:rsidR="006A7A3F" w:rsidRDefault="006A7A3F">
      <w:pPr>
        <w:pStyle w:val="BodyText"/>
        <w:spacing w:before="10"/>
        <w:ind w:left="0"/>
        <w:rPr>
          <w:b/>
          <w:sz w:val="7"/>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8494"/>
      </w:tblGrid>
      <w:tr w:rsidR="006A7A3F">
        <w:trPr>
          <w:trHeight w:val="367"/>
        </w:trPr>
        <w:tc>
          <w:tcPr>
            <w:tcW w:w="170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IAP2 level</w:t>
            </w:r>
          </w:p>
        </w:tc>
        <w:tc>
          <w:tcPr>
            <w:tcW w:w="8494"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Engagement goal</w:t>
            </w:r>
          </w:p>
        </w:tc>
      </w:tr>
      <w:tr w:rsidR="006A7A3F">
        <w:trPr>
          <w:trHeight w:val="333"/>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b/>
                <w:sz w:val="16"/>
              </w:rPr>
            </w:pPr>
            <w:r>
              <w:rPr>
                <w:b/>
                <w:color w:val="231F20"/>
                <w:sz w:val="16"/>
              </w:rPr>
              <w:t>Inform</w:t>
            </w:r>
          </w:p>
        </w:tc>
        <w:tc>
          <w:tcPr>
            <w:tcW w:w="8494"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4"/>
              <w:rPr>
                <w:sz w:val="16"/>
              </w:rPr>
            </w:pPr>
            <w:r>
              <w:rPr>
                <w:color w:val="231F20"/>
                <w:sz w:val="16"/>
              </w:rPr>
              <w:t>Provide balanced and objective information to assist understanding, alternatives, opportunities and/or solutions</w:t>
            </w:r>
          </w:p>
        </w:tc>
      </w:tr>
      <w:tr w:rsidR="006A7A3F">
        <w:trPr>
          <w:trHeight w:val="3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b/>
                <w:sz w:val="16"/>
              </w:rPr>
            </w:pPr>
            <w:r>
              <w:rPr>
                <w:b/>
                <w:color w:val="231F20"/>
                <w:sz w:val="16"/>
              </w:rPr>
              <w:t>Consult</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4"/>
              <w:rPr>
                <w:sz w:val="16"/>
              </w:rPr>
            </w:pPr>
            <w:r>
              <w:rPr>
                <w:color w:val="231F20"/>
                <w:sz w:val="16"/>
              </w:rPr>
              <w:t>Obtain feedback on analysis, alternatives and/or decisions</w:t>
            </w:r>
          </w:p>
        </w:tc>
      </w:tr>
      <w:tr w:rsidR="006A7A3F">
        <w:trPr>
          <w:trHeight w:val="5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b/>
                <w:sz w:val="16"/>
              </w:rPr>
            </w:pPr>
            <w:r>
              <w:rPr>
                <w:b/>
                <w:color w:val="231F20"/>
                <w:sz w:val="16"/>
              </w:rPr>
              <w:t>Involve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108"/>
              <w:rPr>
                <w:sz w:val="16"/>
              </w:rPr>
            </w:pPr>
            <w:r>
              <w:rPr>
                <w:color w:val="231F20"/>
                <w:sz w:val="16"/>
              </w:rPr>
              <w:t>Work directly throughout a process to ensure that concerns and aspirations are consistently understood and considered</w:t>
            </w:r>
          </w:p>
        </w:tc>
      </w:tr>
      <w:tr w:rsidR="006A7A3F">
        <w:trPr>
          <w:trHeight w:val="5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b/>
                <w:sz w:val="16"/>
              </w:rPr>
            </w:pPr>
            <w:r>
              <w:rPr>
                <w:b/>
                <w:color w:val="231F20"/>
                <w:sz w:val="16"/>
              </w:rPr>
              <w:t>Collaborate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108"/>
              <w:rPr>
                <w:sz w:val="16"/>
              </w:rPr>
            </w:pPr>
            <w:r>
              <w:rPr>
                <w:color w:val="231F20"/>
                <w:sz w:val="16"/>
              </w:rPr>
              <w:t>Partner in each aspect of the decision including the development of alternatives and the identification of the preferred solution</w:t>
            </w:r>
          </w:p>
        </w:tc>
      </w:tr>
      <w:tr w:rsidR="006A7A3F">
        <w:trPr>
          <w:trHeight w:val="3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b/>
                <w:sz w:val="16"/>
              </w:rPr>
            </w:pPr>
            <w:r>
              <w:rPr>
                <w:b/>
                <w:color w:val="231F20"/>
                <w:sz w:val="16"/>
              </w:rPr>
              <w:t>Empower</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4"/>
              <w:rPr>
                <w:sz w:val="16"/>
              </w:rPr>
            </w:pPr>
            <w:r>
              <w:rPr>
                <w:color w:val="231F20"/>
                <w:sz w:val="16"/>
              </w:rPr>
              <w:t>Place final decision making in the hands of the stakeholder</w:t>
            </w:r>
          </w:p>
        </w:tc>
      </w:tr>
    </w:tbl>
    <w:p w:rsidR="006A7A3F" w:rsidRDefault="006A7A3F">
      <w:pPr>
        <w:rPr>
          <w:sz w:val="16"/>
        </w:rPr>
        <w:sectPr w:rsidR="006A7A3F" w:rsidSect="00C92D74">
          <w:pgSz w:w="11910" w:h="16840"/>
          <w:pgMar w:top="1701" w:right="851" w:bottom="1134" w:left="851" w:header="720" w:footer="720" w:gutter="0"/>
          <w:cols w:space="720"/>
        </w:sectPr>
      </w:pPr>
    </w:p>
    <w:p w:rsidR="006A7A3F" w:rsidRDefault="00BC7372" w:rsidP="00E459ED">
      <w:pPr>
        <w:pStyle w:val="BodyText"/>
        <w:spacing w:before="70" w:line="249" w:lineRule="auto"/>
        <w:ind w:right="660"/>
      </w:pPr>
      <w:r>
        <w:rPr>
          <w:color w:val="231F20"/>
          <w:spacing w:val="-5"/>
        </w:rPr>
        <w:t xml:space="preserve">Tables </w:t>
      </w:r>
      <w:r>
        <w:rPr>
          <w:color w:val="231F20"/>
        </w:rPr>
        <w:t xml:space="preserve">3.1.2 and 3.1.3 show the partners, stakeholder organisations and individuals that Melbourne </w:t>
      </w:r>
      <w:r>
        <w:rPr>
          <w:color w:val="231F20"/>
          <w:spacing w:val="-3"/>
        </w:rPr>
        <w:t xml:space="preserve">Water  </w:t>
      </w:r>
      <w:r>
        <w:rPr>
          <w:color w:val="231F20"/>
        </w:rPr>
        <w:t>and</w:t>
      </w:r>
      <w:r>
        <w:rPr>
          <w:color w:val="231F20"/>
          <w:spacing w:val="-7"/>
        </w:rPr>
        <w:t xml:space="preserve"> </w:t>
      </w:r>
      <w:r>
        <w:rPr>
          <w:color w:val="231F20"/>
        </w:rPr>
        <w:t>Corangamite</w:t>
      </w:r>
      <w:r>
        <w:rPr>
          <w:color w:val="231F20"/>
          <w:spacing w:val="-6"/>
        </w:rPr>
        <w:t xml:space="preserve"> </w:t>
      </w:r>
      <w:r>
        <w:rPr>
          <w:color w:val="231F20"/>
        </w:rPr>
        <w:t>CMA</w:t>
      </w:r>
      <w:r>
        <w:rPr>
          <w:color w:val="231F20"/>
          <w:spacing w:val="-15"/>
        </w:rPr>
        <w:t xml:space="preserve"> </w:t>
      </w:r>
      <w:r>
        <w:rPr>
          <w:color w:val="231F20"/>
        </w:rPr>
        <w:t>engaged</w:t>
      </w:r>
      <w:r>
        <w:rPr>
          <w:color w:val="231F20"/>
          <w:spacing w:val="-6"/>
        </w:rPr>
        <w:t xml:space="preserve"> </w:t>
      </w:r>
      <w:r>
        <w:rPr>
          <w:color w:val="231F20"/>
        </w:rPr>
        <w:t>with</w:t>
      </w:r>
      <w:r>
        <w:rPr>
          <w:color w:val="231F20"/>
          <w:spacing w:val="-6"/>
        </w:rPr>
        <w:t xml:space="preserve"> </w:t>
      </w:r>
      <w:r>
        <w:rPr>
          <w:color w:val="231F20"/>
        </w:rPr>
        <w:t>when</w:t>
      </w:r>
      <w:r>
        <w:rPr>
          <w:color w:val="231F20"/>
          <w:spacing w:val="-6"/>
        </w:rPr>
        <w:t xml:space="preserve"> </w:t>
      </w:r>
      <w:r>
        <w:rPr>
          <w:color w:val="231F20"/>
        </w:rPr>
        <w:t>preparing</w:t>
      </w:r>
      <w:r>
        <w:rPr>
          <w:color w:val="231F20"/>
          <w:spacing w:val="-6"/>
        </w:rPr>
        <w:t xml:space="preserve"> </w:t>
      </w:r>
      <w:r>
        <w:rPr>
          <w:color w:val="231F20"/>
        </w:rPr>
        <w:t>seasonal</w:t>
      </w:r>
      <w:r>
        <w:rPr>
          <w:color w:val="231F20"/>
          <w:spacing w:val="-5"/>
        </w:rPr>
        <w:t xml:space="preserve"> </w:t>
      </w:r>
      <w:r>
        <w:rPr>
          <w:color w:val="231F20"/>
        </w:rPr>
        <w:t>watering</w:t>
      </w:r>
      <w:r>
        <w:rPr>
          <w:color w:val="231F20"/>
          <w:spacing w:val="-6"/>
        </w:rPr>
        <w:t xml:space="preserve"> </w:t>
      </w:r>
      <w:r>
        <w:rPr>
          <w:color w:val="231F20"/>
        </w:rPr>
        <w:t>proposals.</w:t>
      </w:r>
      <w:r>
        <w:rPr>
          <w:color w:val="231F20"/>
          <w:spacing w:val="-8"/>
        </w:rPr>
        <w:t xml:space="preserve"> </w:t>
      </w:r>
      <w:r>
        <w:rPr>
          <w:color w:val="231F20"/>
        </w:rPr>
        <w:t>This</w:t>
      </w:r>
      <w:r>
        <w:rPr>
          <w:color w:val="231F20"/>
          <w:spacing w:val="-5"/>
        </w:rPr>
        <w:t xml:space="preserve"> </w:t>
      </w:r>
      <w:r>
        <w:rPr>
          <w:color w:val="231F20"/>
        </w:rPr>
        <w:t>includes</w:t>
      </w:r>
      <w:r>
        <w:rPr>
          <w:color w:val="231F20"/>
          <w:spacing w:val="-6"/>
        </w:rPr>
        <w:t xml:space="preserve"> </w:t>
      </w:r>
      <w:r>
        <w:rPr>
          <w:color w:val="231F20"/>
        </w:rPr>
        <w:t>engagement</w:t>
      </w:r>
      <w:r w:rsidR="00E459ED">
        <w:rPr>
          <w:color w:val="231F20"/>
        </w:rPr>
        <w:t xml:space="preserve"> </w:t>
      </w:r>
      <w:r>
        <w:rPr>
          <w:color w:val="231F20"/>
        </w:rPr>
        <w:t>conducted as part of developing the seasonal watering proposals as well as engagement during the preparation of key foundational documents that directly informed the proposals. VEWH staff were also consulted for operational information as part of the development of all annual seasonal watering proposals by CMAs and Melbourne Water.</w:t>
      </w:r>
    </w:p>
    <w:p w:rsidR="006A7A3F" w:rsidRDefault="00BC7372">
      <w:pPr>
        <w:pStyle w:val="BodyText"/>
        <w:spacing w:line="249" w:lineRule="auto"/>
        <w:ind w:right="204"/>
      </w:pPr>
      <w:r>
        <w:rPr>
          <w:color w:val="231F20"/>
        </w:rPr>
        <w:t>The table also shows the level of engagement between Melbourne Water and Corangamite CMA and stakeholders of the environmental watering program in the central region based on Melbourne Water’s and Corangamite CMA’s interpretation of the IAP2 Spectrum.</w:t>
      </w:r>
    </w:p>
    <w:p w:rsidR="006A7A3F" w:rsidRDefault="00BC7372">
      <w:pPr>
        <w:pStyle w:val="BodyText"/>
        <w:spacing w:before="173" w:line="249" w:lineRule="auto"/>
        <w:ind w:right="241"/>
      </w:pPr>
      <w:r>
        <w:rPr>
          <w:color w:val="231F20"/>
        </w:rPr>
        <w:t>The level of engagement differs between organisations and between systems, depending on the availability, capacity or interest of stakeholders to participate, the roles and responsibilities of organisations in managing a site or system, and potential interaction of proposed watering with other activities on the waterway. For example, a landholder on a waterway may only wish to be informed of what’s planned, while another may wish to participate in the planning. A government agency may collaborate in planning where it has a land management responsibility for a site, but only need to be informed for another site where it does not affect its responsibilities.</w:t>
      </w:r>
    </w:p>
    <w:p w:rsidR="006A7A3F" w:rsidRDefault="00BC7372">
      <w:pPr>
        <w:spacing w:before="170" w:line="249" w:lineRule="auto"/>
        <w:ind w:left="210" w:right="297"/>
        <w:rPr>
          <w:b/>
          <w:sz w:val="18"/>
        </w:rPr>
      </w:pPr>
      <w:r>
        <w:rPr>
          <w:b/>
          <w:color w:val="231F20"/>
          <w:sz w:val="18"/>
        </w:rPr>
        <w:t>Table 3.1.2 Partners and stakeholders engaged by Corangamite CMA in developing seasonal watering proposals for the Moorabool, upper Barwon and lower Barwon wetlands systems and other key foundation documents that have directly informed the proposals</w:t>
      </w:r>
    </w:p>
    <w:p w:rsidR="006A7A3F" w:rsidRDefault="006A7A3F">
      <w:pPr>
        <w:pStyle w:val="BodyText"/>
        <w:spacing w:before="11"/>
        <w:ind w:left="0"/>
        <w:rPr>
          <w:b/>
          <w:sz w:val="7"/>
        </w:rPr>
      </w:pP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2608"/>
        <w:gridCol w:w="2608"/>
        <w:gridCol w:w="2608"/>
      </w:tblGrid>
      <w:tr w:rsidR="006A7A3F" w:rsidTr="003D4127">
        <w:trPr>
          <w:trHeight w:val="301"/>
        </w:trPr>
        <w:tc>
          <w:tcPr>
            <w:tcW w:w="4989" w:type="dxa"/>
            <w:gridSpan w:val="2"/>
            <w:tcBorders>
              <w:top w:val="nil"/>
              <w:left w:val="nil"/>
              <w:bottom w:val="nil"/>
            </w:tcBorders>
            <w:shd w:val="clear" w:color="auto" w:fill="231F20"/>
          </w:tcPr>
          <w:p w:rsidR="006A7A3F" w:rsidRDefault="00BC7372">
            <w:pPr>
              <w:pStyle w:val="TableParagraph"/>
              <w:spacing w:before="47"/>
              <w:ind w:left="2466"/>
              <w:rPr>
                <w:b/>
                <w:sz w:val="18"/>
              </w:rPr>
            </w:pPr>
            <w:r>
              <w:rPr>
                <w:b/>
                <w:color w:val="FFFFFF"/>
                <w:sz w:val="18"/>
              </w:rPr>
              <w:t>Moorabool</w:t>
            </w:r>
          </w:p>
        </w:tc>
        <w:tc>
          <w:tcPr>
            <w:tcW w:w="2608" w:type="dxa"/>
            <w:tcBorders>
              <w:top w:val="nil"/>
              <w:bottom w:val="nil"/>
            </w:tcBorders>
            <w:shd w:val="clear" w:color="auto" w:fill="231F20"/>
          </w:tcPr>
          <w:p w:rsidR="006A7A3F" w:rsidRDefault="00BC7372">
            <w:pPr>
              <w:pStyle w:val="TableParagraph"/>
              <w:spacing w:before="47"/>
              <w:ind w:left="79"/>
              <w:rPr>
                <w:b/>
                <w:sz w:val="18"/>
              </w:rPr>
            </w:pPr>
            <w:r>
              <w:rPr>
                <w:b/>
                <w:color w:val="FFFFFF"/>
                <w:sz w:val="18"/>
              </w:rPr>
              <w:t>Upper Barwon River</w:t>
            </w:r>
          </w:p>
        </w:tc>
        <w:tc>
          <w:tcPr>
            <w:tcW w:w="2608" w:type="dxa"/>
            <w:tcBorders>
              <w:top w:val="nil"/>
              <w:bottom w:val="nil"/>
              <w:right w:val="nil"/>
            </w:tcBorders>
            <w:shd w:val="clear" w:color="auto" w:fill="231F20"/>
          </w:tcPr>
          <w:p w:rsidR="006A7A3F" w:rsidRDefault="00BC7372">
            <w:pPr>
              <w:pStyle w:val="TableParagraph"/>
              <w:spacing w:before="47"/>
              <w:ind w:left="79"/>
              <w:rPr>
                <w:b/>
                <w:sz w:val="18"/>
              </w:rPr>
            </w:pPr>
            <w:r>
              <w:rPr>
                <w:b/>
                <w:color w:val="FFFFFF"/>
                <w:sz w:val="18"/>
              </w:rPr>
              <w:t>Lower Barwon wetlands</w:t>
            </w:r>
          </w:p>
        </w:tc>
      </w:tr>
      <w:tr w:rsidR="006A7A3F" w:rsidTr="003D4127">
        <w:trPr>
          <w:trHeight w:val="1948"/>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41" w:line="261" w:lineRule="auto"/>
              <w:ind w:left="80" w:right="616"/>
              <w:rPr>
                <w:sz w:val="16"/>
              </w:rPr>
            </w:pPr>
            <w:r>
              <w:rPr>
                <w:color w:val="231F20"/>
                <w:sz w:val="16"/>
              </w:rPr>
              <w:t>Community groups and environment groups</w:t>
            </w:r>
          </w:p>
        </w:tc>
        <w:tc>
          <w:tcPr>
            <w:tcW w:w="2608" w:type="dxa"/>
            <w:vMerge w:val="restart"/>
            <w:tcBorders>
              <w:top w:val="nil"/>
              <w:left w:val="single" w:sz="4" w:space="0" w:color="231F20"/>
              <w:bottom w:val="single" w:sz="4" w:space="0" w:color="231F20"/>
              <w:right w:val="single" w:sz="4" w:space="0" w:color="231F20"/>
            </w:tcBorders>
          </w:tcPr>
          <w:p w:rsidR="006A7A3F" w:rsidRPr="00A1021A" w:rsidRDefault="00BC7372">
            <w:pPr>
              <w:pStyle w:val="TableParagraph"/>
              <w:spacing w:before="41"/>
              <w:ind w:left="80"/>
              <w:rPr>
                <w:b/>
                <w:sz w:val="16"/>
                <w:szCs w:val="16"/>
              </w:rPr>
            </w:pPr>
            <w:r w:rsidRPr="00A1021A">
              <w:rPr>
                <w:b/>
                <w:color w:val="231F20"/>
                <w:sz w:val="16"/>
                <w:szCs w:val="16"/>
              </w:rPr>
              <w:t>IAP2 level: Consult</w:t>
            </w:r>
          </w:p>
          <w:p w:rsidR="006A7A3F" w:rsidRPr="00A1021A" w:rsidRDefault="00BC7372">
            <w:pPr>
              <w:pStyle w:val="TableParagraph"/>
              <w:numPr>
                <w:ilvl w:val="0"/>
                <w:numId w:val="1261"/>
              </w:numPr>
              <w:tabs>
                <w:tab w:val="left" w:pos="301"/>
              </w:tabs>
              <w:spacing w:before="74" w:line="254" w:lineRule="auto"/>
              <w:ind w:right="755"/>
              <w:rPr>
                <w:sz w:val="16"/>
                <w:szCs w:val="16"/>
              </w:rPr>
            </w:pPr>
            <w:r w:rsidRPr="00A1021A">
              <w:rPr>
                <w:color w:val="231F20"/>
                <w:sz w:val="16"/>
                <w:szCs w:val="16"/>
              </w:rPr>
              <w:t xml:space="preserve">Australian </w:t>
            </w:r>
            <w:r w:rsidRPr="00A1021A">
              <w:rPr>
                <w:color w:val="231F20"/>
                <w:spacing w:val="-3"/>
                <w:sz w:val="16"/>
                <w:szCs w:val="16"/>
              </w:rPr>
              <w:t xml:space="preserve">Platypus </w:t>
            </w:r>
            <w:r w:rsidRPr="00A1021A">
              <w:rPr>
                <w:color w:val="231F20"/>
                <w:sz w:val="16"/>
                <w:szCs w:val="16"/>
              </w:rPr>
              <w:t>Conservancy</w:t>
            </w:r>
          </w:p>
          <w:p w:rsidR="006A7A3F" w:rsidRPr="00A1021A" w:rsidRDefault="00BC7372">
            <w:pPr>
              <w:pStyle w:val="TableParagraph"/>
              <w:numPr>
                <w:ilvl w:val="0"/>
                <w:numId w:val="1261"/>
              </w:numPr>
              <w:tabs>
                <w:tab w:val="left" w:pos="301"/>
              </w:tabs>
              <w:spacing w:before="86"/>
              <w:ind w:hanging="218"/>
              <w:rPr>
                <w:sz w:val="16"/>
                <w:szCs w:val="16"/>
              </w:rPr>
            </w:pPr>
            <w:r w:rsidRPr="00A1021A">
              <w:rPr>
                <w:color w:val="231F20"/>
                <w:sz w:val="16"/>
                <w:szCs w:val="16"/>
              </w:rPr>
              <w:t>Geelong Landcare</w:t>
            </w:r>
            <w:r w:rsidRPr="00A1021A">
              <w:rPr>
                <w:color w:val="231F20"/>
                <w:spacing w:val="-8"/>
                <w:sz w:val="16"/>
                <w:szCs w:val="16"/>
              </w:rPr>
              <w:t xml:space="preserve"> </w:t>
            </w:r>
            <w:r w:rsidRPr="00A1021A">
              <w:rPr>
                <w:color w:val="231F20"/>
                <w:sz w:val="16"/>
                <w:szCs w:val="16"/>
              </w:rPr>
              <w:t>Network</w:t>
            </w:r>
          </w:p>
          <w:p w:rsidR="006A7A3F" w:rsidRPr="00A1021A" w:rsidRDefault="00BC7372">
            <w:pPr>
              <w:pStyle w:val="TableParagraph"/>
              <w:numPr>
                <w:ilvl w:val="0"/>
                <w:numId w:val="1261"/>
              </w:numPr>
              <w:tabs>
                <w:tab w:val="left" w:pos="301"/>
              </w:tabs>
              <w:spacing w:before="98"/>
              <w:ind w:hanging="218"/>
              <w:rPr>
                <w:sz w:val="16"/>
                <w:szCs w:val="16"/>
              </w:rPr>
            </w:pPr>
            <w:r w:rsidRPr="00A1021A">
              <w:rPr>
                <w:color w:val="231F20"/>
                <w:sz w:val="16"/>
                <w:szCs w:val="16"/>
              </w:rPr>
              <w:t>Local community</w:t>
            </w:r>
            <w:r w:rsidRPr="00A1021A">
              <w:rPr>
                <w:color w:val="231F20"/>
                <w:spacing w:val="-4"/>
                <w:sz w:val="16"/>
                <w:szCs w:val="16"/>
              </w:rPr>
              <w:t xml:space="preserve"> </w:t>
            </w:r>
            <w:r w:rsidRPr="00A1021A">
              <w:rPr>
                <w:color w:val="231F20"/>
                <w:sz w:val="16"/>
                <w:szCs w:val="16"/>
              </w:rPr>
              <w:t>groups</w:t>
            </w:r>
          </w:p>
          <w:p w:rsidR="006A7A3F" w:rsidRPr="00A1021A" w:rsidRDefault="00BC7372">
            <w:pPr>
              <w:pStyle w:val="TableParagraph"/>
              <w:numPr>
                <w:ilvl w:val="0"/>
                <w:numId w:val="1261"/>
              </w:numPr>
              <w:tabs>
                <w:tab w:val="left" w:pos="301"/>
              </w:tabs>
              <w:spacing w:before="98" w:line="254" w:lineRule="auto"/>
              <w:ind w:right="434"/>
              <w:rPr>
                <w:sz w:val="16"/>
                <w:szCs w:val="16"/>
              </w:rPr>
            </w:pPr>
            <w:r w:rsidRPr="00A1021A">
              <w:rPr>
                <w:color w:val="231F20"/>
                <w:sz w:val="16"/>
                <w:szCs w:val="16"/>
              </w:rPr>
              <w:t>Moorabool Stakeholder Advisory</w:t>
            </w:r>
            <w:r w:rsidRPr="00A1021A">
              <w:rPr>
                <w:color w:val="231F20"/>
                <w:spacing w:val="-2"/>
                <w:sz w:val="16"/>
                <w:szCs w:val="16"/>
              </w:rPr>
              <w:t xml:space="preserve"> </w:t>
            </w:r>
            <w:r w:rsidRPr="00A1021A">
              <w:rPr>
                <w:color w:val="231F20"/>
                <w:sz w:val="16"/>
                <w:szCs w:val="16"/>
              </w:rPr>
              <w:t>Committee</w:t>
            </w:r>
          </w:p>
          <w:p w:rsidR="006A7A3F" w:rsidRPr="00A1021A" w:rsidRDefault="00BC7372">
            <w:pPr>
              <w:pStyle w:val="TableParagraph"/>
              <w:numPr>
                <w:ilvl w:val="0"/>
                <w:numId w:val="1261"/>
              </w:numPr>
              <w:tabs>
                <w:tab w:val="left" w:pos="301"/>
              </w:tabs>
              <w:spacing w:before="87" w:line="254" w:lineRule="auto"/>
              <w:ind w:right="805"/>
              <w:rPr>
                <w:sz w:val="16"/>
                <w:szCs w:val="16"/>
              </w:rPr>
            </w:pPr>
            <w:r w:rsidRPr="00A1021A">
              <w:rPr>
                <w:color w:val="231F20"/>
                <w:sz w:val="16"/>
                <w:szCs w:val="16"/>
              </w:rPr>
              <w:t xml:space="preserve">People for a </w:t>
            </w:r>
            <w:r w:rsidRPr="00A1021A">
              <w:rPr>
                <w:color w:val="231F20"/>
                <w:spacing w:val="-3"/>
                <w:sz w:val="16"/>
                <w:szCs w:val="16"/>
              </w:rPr>
              <w:t xml:space="preserve">Living </w:t>
            </w:r>
            <w:r w:rsidRPr="00A1021A">
              <w:rPr>
                <w:color w:val="231F20"/>
                <w:sz w:val="16"/>
                <w:szCs w:val="16"/>
              </w:rPr>
              <w:t>Moorabool</w:t>
            </w:r>
          </w:p>
        </w:tc>
        <w:tc>
          <w:tcPr>
            <w:tcW w:w="2608" w:type="dxa"/>
            <w:tcBorders>
              <w:top w:val="nil"/>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Involve</w:t>
            </w:r>
          </w:p>
          <w:p w:rsidR="006A7A3F" w:rsidRPr="00A1021A" w:rsidRDefault="00BC7372">
            <w:pPr>
              <w:pStyle w:val="TableParagraph"/>
              <w:numPr>
                <w:ilvl w:val="0"/>
                <w:numId w:val="1260"/>
              </w:numPr>
              <w:tabs>
                <w:tab w:val="left" w:pos="300"/>
              </w:tabs>
              <w:spacing w:before="74" w:line="254" w:lineRule="auto"/>
              <w:ind w:right="475"/>
              <w:rPr>
                <w:sz w:val="16"/>
                <w:szCs w:val="16"/>
              </w:rPr>
            </w:pPr>
            <w:r w:rsidRPr="00A1021A">
              <w:rPr>
                <w:color w:val="231F20"/>
                <w:sz w:val="16"/>
                <w:szCs w:val="16"/>
              </w:rPr>
              <w:t>Upper Barwon Surface Water Advisory</w:t>
            </w:r>
            <w:r w:rsidRPr="00A1021A">
              <w:rPr>
                <w:color w:val="231F20"/>
                <w:spacing w:val="-16"/>
                <w:sz w:val="16"/>
                <w:szCs w:val="16"/>
              </w:rPr>
              <w:t xml:space="preserve"> </w:t>
            </w:r>
            <w:r w:rsidRPr="00A1021A">
              <w:rPr>
                <w:color w:val="231F20"/>
                <w:sz w:val="16"/>
                <w:szCs w:val="16"/>
              </w:rPr>
              <w:t>Group</w:t>
            </w:r>
          </w:p>
        </w:tc>
        <w:tc>
          <w:tcPr>
            <w:tcW w:w="2608" w:type="dxa"/>
            <w:tcBorders>
              <w:top w:val="nil"/>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Involve</w:t>
            </w:r>
          </w:p>
          <w:p w:rsidR="006A7A3F" w:rsidRPr="00A1021A" w:rsidRDefault="00BC7372">
            <w:pPr>
              <w:pStyle w:val="TableParagraph"/>
              <w:numPr>
                <w:ilvl w:val="0"/>
                <w:numId w:val="1259"/>
              </w:numPr>
              <w:tabs>
                <w:tab w:val="left" w:pos="300"/>
              </w:tabs>
              <w:spacing w:before="74" w:line="254" w:lineRule="auto"/>
              <w:ind w:right="586"/>
              <w:rPr>
                <w:sz w:val="16"/>
                <w:szCs w:val="16"/>
              </w:rPr>
            </w:pPr>
            <w:r w:rsidRPr="00A1021A">
              <w:rPr>
                <w:color w:val="231F20"/>
                <w:sz w:val="16"/>
                <w:szCs w:val="16"/>
              </w:rPr>
              <w:t>Community members on the Lower Barwon Community Advisory Committee</w:t>
            </w:r>
          </w:p>
          <w:p w:rsidR="006A7A3F" w:rsidRPr="00A1021A" w:rsidRDefault="00BC7372">
            <w:pPr>
              <w:pStyle w:val="TableParagraph"/>
              <w:numPr>
                <w:ilvl w:val="0"/>
                <w:numId w:val="1259"/>
              </w:numPr>
              <w:tabs>
                <w:tab w:val="left" w:pos="300"/>
              </w:tabs>
              <w:spacing w:before="87" w:line="254" w:lineRule="auto"/>
              <w:ind w:right="435"/>
              <w:rPr>
                <w:sz w:val="16"/>
                <w:szCs w:val="16"/>
              </w:rPr>
            </w:pPr>
            <w:r w:rsidRPr="00A1021A">
              <w:rPr>
                <w:color w:val="231F20"/>
                <w:sz w:val="16"/>
                <w:szCs w:val="16"/>
              </w:rPr>
              <w:t>Members of the Lower Barwon Review Project Advisory Group</w:t>
            </w:r>
          </w:p>
        </w:tc>
      </w:tr>
      <w:tr w:rsidR="006A7A3F" w:rsidTr="003D4127">
        <w:trPr>
          <w:trHeight w:val="1593"/>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608"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58"/>
              </w:numPr>
              <w:tabs>
                <w:tab w:val="left" w:pos="300"/>
              </w:tabs>
              <w:spacing w:before="74" w:line="254" w:lineRule="auto"/>
              <w:ind w:right="112"/>
              <w:rPr>
                <w:sz w:val="16"/>
                <w:szCs w:val="16"/>
              </w:rPr>
            </w:pPr>
            <w:r w:rsidRPr="00A1021A">
              <w:rPr>
                <w:color w:val="231F20"/>
                <w:sz w:val="16"/>
                <w:szCs w:val="16"/>
              </w:rPr>
              <w:t>Land and Water</w:t>
            </w:r>
            <w:r w:rsidRPr="00A1021A">
              <w:rPr>
                <w:color w:val="231F20"/>
                <w:spacing w:val="-24"/>
                <w:sz w:val="16"/>
                <w:szCs w:val="16"/>
              </w:rPr>
              <w:t xml:space="preserve"> </w:t>
            </w:r>
            <w:r w:rsidRPr="00A1021A">
              <w:rPr>
                <w:color w:val="231F20"/>
                <w:sz w:val="16"/>
                <w:szCs w:val="16"/>
              </w:rPr>
              <w:t>Resources Otway</w:t>
            </w:r>
            <w:r w:rsidRPr="00A1021A">
              <w:rPr>
                <w:color w:val="231F20"/>
                <w:spacing w:val="-1"/>
                <w:sz w:val="16"/>
                <w:szCs w:val="16"/>
              </w:rPr>
              <w:t xml:space="preserve"> </w:t>
            </w:r>
            <w:r w:rsidRPr="00A1021A">
              <w:rPr>
                <w:color w:val="231F20"/>
                <w:sz w:val="16"/>
                <w:szCs w:val="16"/>
              </w:rPr>
              <w:t>Catchment</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57"/>
              </w:numPr>
              <w:tabs>
                <w:tab w:val="left" w:pos="300"/>
              </w:tabs>
              <w:spacing w:before="74"/>
              <w:rPr>
                <w:sz w:val="16"/>
                <w:szCs w:val="16"/>
              </w:rPr>
            </w:pPr>
            <w:r w:rsidRPr="00A1021A">
              <w:rPr>
                <w:color w:val="231F20"/>
                <w:sz w:val="16"/>
                <w:szCs w:val="16"/>
              </w:rPr>
              <w:t>Environment</w:t>
            </w:r>
            <w:r w:rsidRPr="00A1021A">
              <w:rPr>
                <w:color w:val="231F20"/>
                <w:spacing w:val="-1"/>
                <w:sz w:val="16"/>
                <w:szCs w:val="16"/>
              </w:rPr>
              <w:t xml:space="preserve"> </w:t>
            </w:r>
            <w:r w:rsidRPr="00A1021A">
              <w:rPr>
                <w:color w:val="231F20"/>
                <w:sz w:val="16"/>
                <w:szCs w:val="16"/>
              </w:rPr>
              <w:t>Victoria</w:t>
            </w:r>
          </w:p>
          <w:p w:rsidR="006A7A3F" w:rsidRPr="00A1021A" w:rsidRDefault="00BC7372">
            <w:pPr>
              <w:pStyle w:val="TableParagraph"/>
              <w:numPr>
                <w:ilvl w:val="0"/>
                <w:numId w:val="1257"/>
              </w:numPr>
              <w:tabs>
                <w:tab w:val="left" w:pos="300"/>
              </w:tabs>
              <w:spacing w:before="98" w:line="254" w:lineRule="auto"/>
              <w:ind w:right="554"/>
              <w:rPr>
                <w:sz w:val="16"/>
                <w:szCs w:val="16"/>
              </w:rPr>
            </w:pPr>
            <w:r w:rsidRPr="00A1021A">
              <w:rPr>
                <w:color w:val="231F20"/>
                <w:sz w:val="16"/>
                <w:szCs w:val="16"/>
              </w:rPr>
              <w:t>Geelong Environment Council</w:t>
            </w:r>
          </w:p>
          <w:p w:rsidR="006A7A3F" w:rsidRPr="00A1021A" w:rsidRDefault="00BC7372">
            <w:pPr>
              <w:pStyle w:val="TableParagraph"/>
              <w:numPr>
                <w:ilvl w:val="0"/>
                <w:numId w:val="1257"/>
              </w:numPr>
              <w:tabs>
                <w:tab w:val="left" w:pos="300"/>
              </w:tabs>
              <w:spacing w:before="86" w:line="254" w:lineRule="auto"/>
              <w:ind w:right="275"/>
              <w:rPr>
                <w:sz w:val="16"/>
                <w:szCs w:val="16"/>
              </w:rPr>
            </w:pPr>
            <w:r w:rsidRPr="00A1021A">
              <w:rPr>
                <w:color w:val="231F20"/>
                <w:sz w:val="16"/>
                <w:szCs w:val="16"/>
              </w:rPr>
              <w:t>Geelong Field Naturalists Club</w:t>
            </w:r>
          </w:p>
        </w:tc>
      </w:tr>
      <w:tr w:rsidR="006A7A3F" w:rsidTr="003D4127">
        <w:trPr>
          <w:trHeight w:val="1898"/>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ind w:left="80"/>
              <w:rPr>
                <w:sz w:val="16"/>
              </w:rPr>
            </w:pPr>
            <w:r>
              <w:rPr>
                <w:color w:val="231F20"/>
                <w:sz w:val="16"/>
              </w:rPr>
              <w:t>Government agencies</w:t>
            </w:r>
          </w:p>
        </w:tc>
        <w:tc>
          <w:tcPr>
            <w:tcW w:w="2608"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80"/>
              <w:rPr>
                <w:b/>
                <w:sz w:val="16"/>
                <w:szCs w:val="16"/>
              </w:rPr>
            </w:pPr>
            <w:r w:rsidRPr="00A1021A">
              <w:rPr>
                <w:b/>
                <w:color w:val="231F20"/>
                <w:sz w:val="16"/>
                <w:szCs w:val="16"/>
              </w:rPr>
              <w:t>IAP2 level: Collaborate</w:t>
            </w:r>
          </w:p>
          <w:p w:rsidR="006A7A3F" w:rsidRPr="00A1021A" w:rsidRDefault="00BC7372">
            <w:pPr>
              <w:pStyle w:val="TableParagraph"/>
              <w:numPr>
                <w:ilvl w:val="0"/>
                <w:numId w:val="1256"/>
              </w:numPr>
              <w:tabs>
                <w:tab w:val="left" w:pos="301"/>
              </w:tabs>
              <w:spacing w:before="74"/>
              <w:ind w:hanging="218"/>
              <w:rPr>
                <w:sz w:val="16"/>
                <w:szCs w:val="16"/>
              </w:rPr>
            </w:pPr>
            <w:r w:rsidRPr="00A1021A">
              <w:rPr>
                <w:color w:val="231F20"/>
                <w:sz w:val="16"/>
                <w:szCs w:val="16"/>
              </w:rPr>
              <w:t xml:space="preserve">Barwon </w:t>
            </w:r>
            <w:r w:rsidRPr="00A1021A">
              <w:rPr>
                <w:color w:val="231F20"/>
                <w:spacing w:val="-3"/>
                <w:sz w:val="16"/>
                <w:szCs w:val="16"/>
              </w:rPr>
              <w:t>Water</w:t>
            </w:r>
          </w:p>
          <w:p w:rsidR="006A7A3F" w:rsidRPr="00A1021A" w:rsidRDefault="00BC7372">
            <w:pPr>
              <w:pStyle w:val="TableParagraph"/>
              <w:numPr>
                <w:ilvl w:val="0"/>
                <w:numId w:val="1256"/>
              </w:numPr>
              <w:tabs>
                <w:tab w:val="left" w:pos="301"/>
              </w:tabs>
              <w:spacing w:before="98"/>
              <w:ind w:hanging="218"/>
              <w:rPr>
                <w:sz w:val="16"/>
                <w:szCs w:val="16"/>
              </w:rPr>
            </w:pPr>
            <w:r w:rsidRPr="00A1021A">
              <w:rPr>
                <w:color w:val="231F20"/>
                <w:sz w:val="16"/>
                <w:szCs w:val="16"/>
              </w:rPr>
              <w:t>Central Highlands</w:t>
            </w:r>
            <w:r w:rsidRPr="00A1021A">
              <w:rPr>
                <w:color w:val="231F20"/>
                <w:spacing w:val="-5"/>
                <w:sz w:val="16"/>
                <w:szCs w:val="16"/>
              </w:rPr>
              <w:t xml:space="preserve"> </w:t>
            </w:r>
            <w:r w:rsidRPr="00A1021A">
              <w:rPr>
                <w:color w:val="231F20"/>
                <w:spacing w:val="-3"/>
                <w:sz w:val="16"/>
                <w:szCs w:val="16"/>
              </w:rPr>
              <w:t>Water</w:t>
            </w:r>
          </w:p>
          <w:p w:rsidR="006A7A3F" w:rsidRPr="00A1021A" w:rsidRDefault="00BC7372">
            <w:pPr>
              <w:pStyle w:val="TableParagraph"/>
              <w:numPr>
                <w:ilvl w:val="0"/>
                <w:numId w:val="1256"/>
              </w:numPr>
              <w:tabs>
                <w:tab w:val="left" w:pos="301"/>
              </w:tabs>
              <w:spacing w:before="98" w:line="254" w:lineRule="auto"/>
              <w:ind w:right="211"/>
              <w:rPr>
                <w:sz w:val="16"/>
                <w:szCs w:val="16"/>
              </w:rPr>
            </w:pPr>
            <w:r w:rsidRPr="00A1021A">
              <w:rPr>
                <w:color w:val="231F20"/>
                <w:sz w:val="16"/>
                <w:szCs w:val="16"/>
              </w:rPr>
              <w:t xml:space="preserve">Department of Environment, Land, </w:t>
            </w:r>
            <w:r w:rsidRPr="00A1021A">
              <w:rPr>
                <w:color w:val="231F20"/>
                <w:spacing w:val="-3"/>
                <w:sz w:val="16"/>
                <w:szCs w:val="16"/>
              </w:rPr>
              <w:t xml:space="preserve">Water </w:t>
            </w:r>
            <w:r w:rsidRPr="00A1021A">
              <w:rPr>
                <w:color w:val="231F20"/>
                <w:sz w:val="16"/>
                <w:szCs w:val="16"/>
              </w:rPr>
              <w:t>and Planning - Water and Catchments</w:t>
            </w:r>
          </w:p>
          <w:p w:rsidR="006A7A3F" w:rsidRPr="00A1021A" w:rsidRDefault="00BC7372">
            <w:pPr>
              <w:pStyle w:val="TableParagraph"/>
              <w:numPr>
                <w:ilvl w:val="0"/>
                <w:numId w:val="1256"/>
              </w:numPr>
              <w:tabs>
                <w:tab w:val="left" w:pos="301"/>
              </w:tabs>
              <w:spacing w:before="88"/>
              <w:ind w:hanging="218"/>
              <w:rPr>
                <w:sz w:val="16"/>
                <w:szCs w:val="16"/>
              </w:rPr>
            </w:pPr>
            <w:r w:rsidRPr="00A1021A">
              <w:rPr>
                <w:color w:val="231F20"/>
                <w:sz w:val="16"/>
                <w:szCs w:val="16"/>
              </w:rPr>
              <w:t>Southern Rural</w:t>
            </w:r>
            <w:r w:rsidRPr="00A1021A">
              <w:rPr>
                <w:color w:val="231F20"/>
                <w:spacing w:val="-1"/>
                <w:sz w:val="16"/>
                <w:szCs w:val="16"/>
              </w:rPr>
              <w:t xml:space="preserve"> </w:t>
            </w:r>
            <w:r w:rsidRPr="00A1021A">
              <w:rPr>
                <w:color w:val="231F20"/>
                <w:spacing w:val="-3"/>
                <w:sz w:val="16"/>
                <w:szCs w:val="16"/>
              </w:rPr>
              <w:t>Water</w:t>
            </w:r>
          </w:p>
          <w:p w:rsidR="006A7A3F" w:rsidRPr="00A1021A" w:rsidRDefault="00BC7372">
            <w:pPr>
              <w:pStyle w:val="TableParagraph"/>
              <w:numPr>
                <w:ilvl w:val="0"/>
                <w:numId w:val="1256"/>
              </w:numPr>
              <w:tabs>
                <w:tab w:val="left" w:pos="301"/>
              </w:tabs>
              <w:spacing w:before="98"/>
              <w:ind w:hanging="218"/>
              <w:rPr>
                <w:sz w:val="16"/>
                <w:szCs w:val="16"/>
              </w:rPr>
            </w:pPr>
            <w:r w:rsidRPr="00A1021A">
              <w:rPr>
                <w:color w:val="231F20"/>
                <w:sz w:val="16"/>
                <w:szCs w:val="16"/>
              </w:rPr>
              <w:t>Parks</w:t>
            </w:r>
            <w:r w:rsidRPr="00A1021A">
              <w:rPr>
                <w:color w:val="231F20"/>
                <w:spacing w:val="-1"/>
                <w:sz w:val="16"/>
                <w:szCs w:val="16"/>
              </w:rPr>
              <w:t xml:space="preserve"> </w:t>
            </w:r>
            <w:r w:rsidRPr="00A1021A">
              <w:rPr>
                <w:color w:val="231F20"/>
                <w:sz w:val="16"/>
                <w:szCs w:val="16"/>
              </w:rPr>
              <w:t>Victoria</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Collaborate</w:t>
            </w:r>
          </w:p>
          <w:p w:rsidR="006A7A3F" w:rsidRPr="00A1021A" w:rsidRDefault="00BC7372">
            <w:pPr>
              <w:pStyle w:val="TableParagraph"/>
              <w:numPr>
                <w:ilvl w:val="0"/>
                <w:numId w:val="1255"/>
              </w:numPr>
              <w:tabs>
                <w:tab w:val="left" w:pos="300"/>
              </w:tabs>
              <w:spacing w:before="74"/>
              <w:rPr>
                <w:sz w:val="16"/>
                <w:szCs w:val="16"/>
              </w:rPr>
            </w:pPr>
            <w:r w:rsidRPr="00A1021A">
              <w:rPr>
                <w:color w:val="231F20"/>
                <w:sz w:val="16"/>
                <w:szCs w:val="16"/>
              </w:rPr>
              <w:t xml:space="preserve">Barwon </w:t>
            </w:r>
            <w:r w:rsidRPr="00A1021A">
              <w:rPr>
                <w:color w:val="231F20"/>
                <w:spacing w:val="-3"/>
                <w:sz w:val="16"/>
                <w:szCs w:val="16"/>
              </w:rPr>
              <w:t>Water</w:t>
            </w:r>
          </w:p>
          <w:p w:rsidR="006A7A3F" w:rsidRPr="00A1021A" w:rsidRDefault="00BC7372">
            <w:pPr>
              <w:pStyle w:val="TableParagraph"/>
              <w:numPr>
                <w:ilvl w:val="0"/>
                <w:numId w:val="1255"/>
              </w:numPr>
              <w:tabs>
                <w:tab w:val="left" w:pos="300"/>
              </w:tabs>
              <w:spacing w:before="98" w:line="254" w:lineRule="auto"/>
              <w:ind w:right="211"/>
              <w:rPr>
                <w:sz w:val="16"/>
                <w:szCs w:val="16"/>
              </w:rPr>
            </w:pPr>
            <w:r w:rsidRPr="00A1021A">
              <w:rPr>
                <w:color w:val="231F20"/>
                <w:sz w:val="16"/>
                <w:szCs w:val="16"/>
              </w:rPr>
              <w:t xml:space="preserve">Department of Environment, Land, </w:t>
            </w:r>
            <w:r w:rsidRPr="00A1021A">
              <w:rPr>
                <w:color w:val="231F20"/>
                <w:spacing w:val="-3"/>
                <w:sz w:val="16"/>
                <w:szCs w:val="16"/>
              </w:rPr>
              <w:t xml:space="preserve">Water </w:t>
            </w:r>
            <w:r w:rsidRPr="00A1021A">
              <w:rPr>
                <w:color w:val="231F20"/>
                <w:sz w:val="16"/>
                <w:szCs w:val="16"/>
              </w:rPr>
              <w:t>and Planning Water and Catchments</w:t>
            </w:r>
          </w:p>
          <w:p w:rsidR="006A7A3F" w:rsidRPr="00A1021A" w:rsidRDefault="00BC7372">
            <w:pPr>
              <w:pStyle w:val="TableParagraph"/>
              <w:numPr>
                <w:ilvl w:val="0"/>
                <w:numId w:val="1255"/>
              </w:numPr>
              <w:tabs>
                <w:tab w:val="left" w:pos="300"/>
              </w:tabs>
              <w:spacing w:before="88"/>
              <w:rPr>
                <w:sz w:val="16"/>
                <w:szCs w:val="16"/>
              </w:rPr>
            </w:pPr>
            <w:r w:rsidRPr="00A1021A">
              <w:rPr>
                <w:color w:val="231F20"/>
                <w:sz w:val="16"/>
                <w:szCs w:val="16"/>
              </w:rPr>
              <w:t>Southern Rural</w:t>
            </w:r>
            <w:r w:rsidRPr="00A1021A">
              <w:rPr>
                <w:color w:val="231F20"/>
                <w:spacing w:val="-1"/>
                <w:sz w:val="16"/>
                <w:szCs w:val="16"/>
              </w:rPr>
              <w:t xml:space="preserve"> </w:t>
            </w:r>
            <w:r w:rsidRPr="00A1021A">
              <w:rPr>
                <w:color w:val="231F20"/>
                <w:spacing w:val="-3"/>
                <w:sz w:val="16"/>
                <w:szCs w:val="16"/>
              </w:rPr>
              <w:t>Water</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Collaborate</w:t>
            </w:r>
          </w:p>
          <w:p w:rsidR="006A7A3F" w:rsidRPr="00A1021A" w:rsidRDefault="00BC7372">
            <w:pPr>
              <w:pStyle w:val="TableParagraph"/>
              <w:numPr>
                <w:ilvl w:val="0"/>
                <w:numId w:val="1254"/>
              </w:numPr>
              <w:tabs>
                <w:tab w:val="left" w:pos="300"/>
              </w:tabs>
              <w:spacing w:before="74"/>
              <w:rPr>
                <w:sz w:val="16"/>
                <w:szCs w:val="16"/>
              </w:rPr>
            </w:pPr>
            <w:r w:rsidRPr="00A1021A">
              <w:rPr>
                <w:color w:val="231F20"/>
                <w:sz w:val="16"/>
                <w:szCs w:val="16"/>
              </w:rPr>
              <w:t xml:space="preserve">Barwon </w:t>
            </w:r>
            <w:r w:rsidRPr="00A1021A">
              <w:rPr>
                <w:color w:val="231F20"/>
                <w:spacing w:val="-3"/>
                <w:sz w:val="16"/>
                <w:szCs w:val="16"/>
              </w:rPr>
              <w:t>Water</w:t>
            </w:r>
          </w:p>
          <w:p w:rsidR="006A7A3F" w:rsidRPr="00A1021A" w:rsidRDefault="00BC7372">
            <w:pPr>
              <w:pStyle w:val="TableParagraph"/>
              <w:numPr>
                <w:ilvl w:val="0"/>
                <w:numId w:val="1254"/>
              </w:numPr>
              <w:tabs>
                <w:tab w:val="left" w:pos="300"/>
              </w:tabs>
              <w:spacing w:before="98" w:line="254" w:lineRule="auto"/>
              <w:ind w:right="212"/>
              <w:rPr>
                <w:sz w:val="16"/>
                <w:szCs w:val="16"/>
              </w:rPr>
            </w:pPr>
            <w:r w:rsidRPr="00A1021A">
              <w:rPr>
                <w:color w:val="231F20"/>
                <w:sz w:val="16"/>
                <w:szCs w:val="16"/>
              </w:rPr>
              <w:t xml:space="preserve">Department of Environment, Land, </w:t>
            </w:r>
            <w:r w:rsidRPr="00A1021A">
              <w:rPr>
                <w:color w:val="231F20"/>
                <w:spacing w:val="-3"/>
                <w:sz w:val="16"/>
                <w:szCs w:val="16"/>
              </w:rPr>
              <w:t xml:space="preserve">Water </w:t>
            </w:r>
            <w:r w:rsidRPr="00A1021A">
              <w:rPr>
                <w:color w:val="231F20"/>
                <w:sz w:val="16"/>
                <w:szCs w:val="16"/>
              </w:rPr>
              <w:t>and</w:t>
            </w:r>
            <w:r w:rsidRPr="00A1021A">
              <w:rPr>
                <w:color w:val="231F20"/>
                <w:spacing w:val="-2"/>
                <w:sz w:val="16"/>
                <w:szCs w:val="16"/>
              </w:rPr>
              <w:t xml:space="preserve"> </w:t>
            </w:r>
            <w:r w:rsidRPr="00A1021A">
              <w:rPr>
                <w:color w:val="231F20"/>
                <w:sz w:val="16"/>
                <w:szCs w:val="16"/>
              </w:rPr>
              <w:t>Planning</w:t>
            </w:r>
          </w:p>
          <w:p w:rsidR="006A7A3F" w:rsidRPr="00A1021A" w:rsidRDefault="00BC7372">
            <w:pPr>
              <w:pStyle w:val="TableParagraph"/>
              <w:numPr>
                <w:ilvl w:val="0"/>
                <w:numId w:val="1254"/>
              </w:numPr>
              <w:tabs>
                <w:tab w:val="left" w:pos="300"/>
              </w:tabs>
              <w:spacing w:before="87"/>
              <w:rPr>
                <w:sz w:val="16"/>
                <w:szCs w:val="16"/>
              </w:rPr>
            </w:pPr>
            <w:r w:rsidRPr="00A1021A">
              <w:rPr>
                <w:color w:val="231F20"/>
                <w:sz w:val="16"/>
                <w:szCs w:val="16"/>
              </w:rPr>
              <w:t>Parks</w:t>
            </w:r>
            <w:r w:rsidRPr="00A1021A">
              <w:rPr>
                <w:color w:val="231F20"/>
                <w:spacing w:val="-1"/>
                <w:sz w:val="16"/>
                <w:szCs w:val="16"/>
              </w:rPr>
              <w:t xml:space="preserve"> </w:t>
            </w:r>
            <w:r w:rsidRPr="00A1021A">
              <w:rPr>
                <w:color w:val="231F20"/>
                <w:sz w:val="16"/>
                <w:szCs w:val="16"/>
              </w:rPr>
              <w:t>Victoria</w:t>
            </w:r>
          </w:p>
          <w:p w:rsidR="006A7A3F" w:rsidRPr="00A1021A" w:rsidRDefault="00BC7372">
            <w:pPr>
              <w:pStyle w:val="TableParagraph"/>
              <w:numPr>
                <w:ilvl w:val="0"/>
                <w:numId w:val="1254"/>
              </w:numPr>
              <w:tabs>
                <w:tab w:val="left" w:pos="300"/>
              </w:tabs>
              <w:spacing w:before="98"/>
              <w:rPr>
                <w:sz w:val="16"/>
                <w:szCs w:val="16"/>
              </w:rPr>
            </w:pPr>
            <w:r w:rsidRPr="00A1021A">
              <w:rPr>
                <w:color w:val="231F20"/>
                <w:sz w:val="16"/>
                <w:szCs w:val="16"/>
              </w:rPr>
              <w:t>Southern Rural</w:t>
            </w:r>
            <w:r w:rsidRPr="00A1021A">
              <w:rPr>
                <w:color w:val="231F20"/>
                <w:spacing w:val="-1"/>
                <w:sz w:val="16"/>
                <w:szCs w:val="16"/>
              </w:rPr>
              <w:t xml:space="preserve"> </w:t>
            </w:r>
            <w:r w:rsidRPr="00A1021A">
              <w:rPr>
                <w:color w:val="231F20"/>
                <w:spacing w:val="-3"/>
                <w:sz w:val="16"/>
                <w:szCs w:val="16"/>
              </w:rPr>
              <w:t>Water</w:t>
            </w:r>
          </w:p>
        </w:tc>
      </w:tr>
      <w:tr w:rsidR="006A7A3F" w:rsidTr="003D4127">
        <w:trPr>
          <w:trHeight w:val="1068"/>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608"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53"/>
              </w:numPr>
              <w:tabs>
                <w:tab w:val="left" w:pos="300"/>
              </w:tabs>
              <w:spacing w:before="74"/>
              <w:rPr>
                <w:sz w:val="16"/>
                <w:szCs w:val="16"/>
              </w:rPr>
            </w:pPr>
            <w:r w:rsidRPr="00A1021A">
              <w:rPr>
                <w:color w:val="231F20"/>
                <w:sz w:val="16"/>
                <w:szCs w:val="16"/>
              </w:rPr>
              <w:t>Colac Otway Shire</w:t>
            </w:r>
            <w:r w:rsidRPr="00A1021A">
              <w:rPr>
                <w:color w:val="231F20"/>
                <w:spacing w:val="-7"/>
                <w:sz w:val="16"/>
                <w:szCs w:val="16"/>
              </w:rPr>
              <w:t xml:space="preserve"> </w:t>
            </w:r>
            <w:r w:rsidRPr="00A1021A">
              <w:rPr>
                <w:color w:val="231F20"/>
                <w:sz w:val="16"/>
                <w:szCs w:val="16"/>
              </w:rPr>
              <w:t>Council</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52"/>
              </w:numPr>
              <w:tabs>
                <w:tab w:val="left" w:pos="300"/>
              </w:tabs>
              <w:spacing w:before="74" w:line="254" w:lineRule="auto"/>
              <w:ind w:right="594"/>
              <w:rPr>
                <w:sz w:val="16"/>
                <w:szCs w:val="16"/>
              </w:rPr>
            </w:pPr>
            <w:r w:rsidRPr="00A1021A">
              <w:rPr>
                <w:color w:val="231F20"/>
                <w:sz w:val="16"/>
                <w:szCs w:val="16"/>
              </w:rPr>
              <w:t xml:space="preserve">Greater Geelong </w:t>
            </w:r>
            <w:r w:rsidRPr="00A1021A">
              <w:rPr>
                <w:color w:val="231F20"/>
                <w:spacing w:val="-4"/>
                <w:sz w:val="16"/>
                <w:szCs w:val="16"/>
              </w:rPr>
              <w:t xml:space="preserve">City </w:t>
            </w:r>
            <w:r w:rsidRPr="00A1021A">
              <w:rPr>
                <w:color w:val="231F20"/>
                <w:sz w:val="16"/>
                <w:szCs w:val="16"/>
              </w:rPr>
              <w:t>Council</w:t>
            </w:r>
          </w:p>
          <w:p w:rsidR="006A7A3F" w:rsidRPr="00A1021A" w:rsidRDefault="00BC7372">
            <w:pPr>
              <w:pStyle w:val="TableParagraph"/>
              <w:numPr>
                <w:ilvl w:val="0"/>
                <w:numId w:val="1252"/>
              </w:numPr>
              <w:tabs>
                <w:tab w:val="left" w:pos="300"/>
              </w:tabs>
              <w:spacing w:before="86"/>
              <w:rPr>
                <w:sz w:val="16"/>
                <w:szCs w:val="16"/>
              </w:rPr>
            </w:pPr>
            <w:r w:rsidRPr="00A1021A">
              <w:rPr>
                <w:color w:val="231F20"/>
                <w:sz w:val="16"/>
                <w:szCs w:val="16"/>
              </w:rPr>
              <w:t>Victorian Fisheries</w:t>
            </w:r>
            <w:r w:rsidRPr="00A1021A">
              <w:rPr>
                <w:color w:val="231F20"/>
                <w:spacing w:val="-16"/>
                <w:sz w:val="16"/>
                <w:szCs w:val="16"/>
              </w:rPr>
              <w:t xml:space="preserve"> </w:t>
            </w:r>
            <w:r w:rsidRPr="00A1021A">
              <w:rPr>
                <w:color w:val="231F20"/>
                <w:sz w:val="16"/>
                <w:szCs w:val="16"/>
              </w:rPr>
              <w:t>Authority</w:t>
            </w:r>
          </w:p>
        </w:tc>
      </w:tr>
      <w:tr w:rsidR="006A7A3F" w:rsidTr="003D4127">
        <w:trPr>
          <w:trHeight w:val="98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ind w:left="80"/>
              <w:rPr>
                <w:sz w:val="16"/>
              </w:rPr>
            </w:pPr>
            <w:r>
              <w:rPr>
                <w:color w:val="231F20"/>
                <w:sz w:val="16"/>
              </w:rPr>
              <w:t>Landholders/ farmers</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80"/>
              <w:rPr>
                <w:b/>
                <w:sz w:val="16"/>
                <w:szCs w:val="16"/>
              </w:rPr>
            </w:pPr>
            <w:r w:rsidRPr="00A1021A">
              <w:rPr>
                <w:b/>
                <w:color w:val="231F20"/>
                <w:sz w:val="16"/>
                <w:szCs w:val="16"/>
              </w:rPr>
              <w:t>IAP2 level: Consult</w:t>
            </w:r>
          </w:p>
          <w:p w:rsidR="006A7A3F" w:rsidRPr="00A1021A" w:rsidRDefault="00BC7372">
            <w:pPr>
              <w:pStyle w:val="TableParagraph"/>
              <w:numPr>
                <w:ilvl w:val="0"/>
                <w:numId w:val="1251"/>
              </w:numPr>
              <w:tabs>
                <w:tab w:val="left" w:pos="301"/>
              </w:tabs>
              <w:spacing w:before="74" w:line="254" w:lineRule="auto"/>
              <w:ind w:right="434"/>
              <w:rPr>
                <w:sz w:val="16"/>
                <w:szCs w:val="16"/>
              </w:rPr>
            </w:pPr>
            <w:r w:rsidRPr="00A1021A">
              <w:rPr>
                <w:color w:val="231F20"/>
                <w:sz w:val="16"/>
                <w:szCs w:val="16"/>
              </w:rPr>
              <w:t>Landholders on the Moorabool Stakeholder Advisory</w:t>
            </w:r>
            <w:r w:rsidRPr="00A1021A">
              <w:rPr>
                <w:color w:val="231F20"/>
                <w:spacing w:val="-2"/>
                <w:sz w:val="16"/>
                <w:szCs w:val="16"/>
              </w:rPr>
              <w:t xml:space="preserve"> </w:t>
            </w:r>
            <w:r w:rsidRPr="00A1021A">
              <w:rPr>
                <w:color w:val="231F20"/>
                <w:sz w:val="16"/>
                <w:szCs w:val="16"/>
              </w:rPr>
              <w:t>Committee</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50"/>
              </w:numPr>
              <w:tabs>
                <w:tab w:val="left" w:pos="300"/>
              </w:tabs>
              <w:spacing w:before="74" w:line="254" w:lineRule="auto"/>
              <w:ind w:right="215"/>
              <w:rPr>
                <w:sz w:val="16"/>
                <w:szCs w:val="16"/>
              </w:rPr>
            </w:pPr>
            <w:r w:rsidRPr="00A1021A">
              <w:rPr>
                <w:color w:val="231F20"/>
                <w:sz w:val="16"/>
                <w:szCs w:val="16"/>
              </w:rPr>
              <w:t xml:space="preserve">Landholders on the Upper Barwon Surface </w:t>
            </w:r>
            <w:r w:rsidRPr="00A1021A">
              <w:rPr>
                <w:color w:val="231F20"/>
                <w:spacing w:val="-3"/>
                <w:sz w:val="16"/>
                <w:szCs w:val="16"/>
              </w:rPr>
              <w:t xml:space="preserve">Water </w:t>
            </w:r>
            <w:r w:rsidRPr="00A1021A">
              <w:rPr>
                <w:color w:val="231F20"/>
                <w:sz w:val="16"/>
                <w:szCs w:val="16"/>
              </w:rPr>
              <w:t>Advisory Group</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49"/>
              </w:numPr>
              <w:tabs>
                <w:tab w:val="left" w:pos="300"/>
              </w:tabs>
              <w:spacing w:before="74"/>
              <w:rPr>
                <w:sz w:val="16"/>
                <w:szCs w:val="16"/>
              </w:rPr>
            </w:pPr>
            <w:r w:rsidRPr="00A1021A">
              <w:rPr>
                <w:color w:val="231F20"/>
                <w:sz w:val="16"/>
                <w:szCs w:val="16"/>
              </w:rPr>
              <w:t>Landholders</w:t>
            </w:r>
          </w:p>
          <w:p w:rsidR="006A7A3F" w:rsidRPr="00A1021A" w:rsidRDefault="00BC7372">
            <w:pPr>
              <w:pStyle w:val="TableParagraph"/>
              <w:numPr>
                <w:ilvl w:val="0"/>
                <w:numId w:val="1249"/>
              </w:numPr>
              <w:tabs>
                <w:tab w:val="left" w:pos="300"/>
              </w:tabs>
              <w:spacing w:before="98"/>
              <w:rPr>
                <w:sz w:val="16"/>
                <w:szCs w:val="16"/>
              </w:rPr>
            </w:pPr>
            <w:r w:rsidRPr="00A1021A">
              <w:rPr>
                <w:color w:val="231F20"/>
                <w:sz w:val="16"/>
                <w:szCs w:val="16"/>
              </w:rPr>
              <w:t>Farmers</w:t>
            </w:r>
          </w:p>
        </w:tc>
      </w:tr>
      <w:tr w:rsidR="006A7A3F" w:rsidTr="003D4127">
        <w:trPr>
          <w:trHeight w:val="54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ind w:left="80"/>
              <w:rPr>
                <w:sz w:val="16"/>
              </w:rPr>
            </w:pPr>
            <w:r>
              <w:rPr>
                <w:color w:val="231F20"/>
                <w:sz w:val="16"/>
              </w:rPr>
              <w:t>Local businesses</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6A7A3F">
            <w:pPr>
              <w:pStyle w:val="TableParagraph"/>
              <w:ind w:left="0"/>
              <w:rPr>
                <w:rFonts w:ascii="Times New Roman"/>
                <w:sz w:val="16"/>
                <w:szCs w:val="16"/>
              </w:rPr>
            </w:pP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6A7A3F">
            <w:pPr>
              <w:pStyle w:val="TableParagraph"/>
              <w:ind w:left="0"/>
              <w:rPr>
                <w:rFonts w:ascii="Times New Roman"/>
                <w:sz w:val="16"/>
                <w:szCs w:val="16"/>
              </w:rPr>
            </w:pP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48"/>
              </w:numPr>
              <w:tabs>
                <w:tab w:val="left" w:pos="300"/>
              </w:tabs>
              <w:spacing w:before="74"/>
              <w:rPr>
                <w:sz w:val="16"/>
                <w:szCs w:val="16"/>
              </w:rPr>
            </w:pPr>
            <w:r w:rsidRPr="00A1021A">
              <w:rPr>
                <w:color w:val="231F20"/>
                <w:sz w:val="16"/>
                <w:szCs w:val="16"/>
              </w:rPr>
              <w:t>Commercial eel</w:t>
            </w:r>
            <w:r w:rsidRPr="00A1021A">
              <w:rPr>
                <w:color w:val="231F20"/>
                <w:spacing w:val="-4"/>
                <w:sz w:val="16"/>
                <w:szCs w:val="16"/>
              </w:rPr>
              <w:t xml:space="preserve"> </w:t>
            </w:r>
            <w:r w:rsidRPr="00A1021A">
              <w:rPr>
                <w:color w:val="231F20"/>
                <w:sz w:val="16"/>
                <w:szCs w:val="16"/>
              </w:rPr>
              <w:t>fishers</w:t>
            </w:r>
          </w:p>
        </w:tc>
      </w:tr>
      <w:tr w:rsidR="006A7A3F" w:rsidTr="003D4127">
        <w:trPr>
          <w:trHeight w:val="137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ind w:left="80"/>
              <w:rPr>
                <w:sz w:val="16"/>
              </w:rPr>
            </w:pPr>
            <w:r>
              <w:rPr>
                <w:color w:val="231F20"/>
                <w:sz w:val="16"/>
              </w:rPr>
              <w:t>Recreational users</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80"/>
              <w:rPr>
                <w:b/>
                <w:sz w:val="16"/>
                <w:szCs w:val="16"/>
              </w:rPr>
            </w:pPr>
            <w:r w:rsidRPr="00A1021A">
              <w:rPr>
                <w:b/>
                <w:color w:val="231F20"/>
                <w:sz w:val="16"/>
                <w:szCs w:val="16"/>
              </w:rPr>
              <w:t>IAP2 level: Consult</w:t>
            </w:r>
          </w:p>
          <w:p w:rsidR="006A7A3F" w:rsidRPr="00A1021A" w:rsidRDefault="00BC7372">
            <w:pPr>
              <w:pStyle w:val="TableParagraph"/>
              <w:numPr>
                <w:ilvl w:val="0"/>
                <w:numId w:val="1247"/>
              </w:numPr>
              <w:tabs>
                <w:tab w:val="left" w:pos="301"/>
              </w:tabs>
              <w:spacing w:before="74" w:line="254" w:lineRule="auto"/>
              <w:ind w:right="245"/>
              <w:rPr>
                <w:sz w:val="16"/>
                <w:szCs w:val="16"/>
              </w:rPr>
            </w:pPr>
            <w:r w:rsidRPr="00A1021A">
              <w:rPr>
                <w:color w:val="231F20"/>
                <w:sz w:val="16"/>
                <w:szCs w:val="16"/>
              </w:rPr>
              <w:t>Recreational users on</w:t>
            </w:r>
            <w:r w:rsidRPr="00A1021A">
              <w:rPr>
                <w:color w:val="231F20"/>
                <w:spacing w:val="-18"/>
                <w:sz w:val="16"/>
                <w:szCs w:val="16"/>
              </w:rPr>
              <w:t xml:space="preserve"> </w:t>
            </w:r>
            <w:r w:rsidRPr="00A1021A">
              <w:rPr>
                <w:color w:val="231F20"/>
                <w:sz w:val="16"/>
                <w:szCs w:val="16"/>
              </w:rPr>
              <w:t>the Moorabool Stakeholder Advisory</w:t>
            </w:r>
            <w:r w:rsidRPr="00A1021A">
              <w:rPr>
                <w:color w:val="231F20"/>
                <w:spacing w:val="-1"/>
                <w:sz w:val="16"/>
                <w:szCs w:val="16"/>
              </w:rPr>
              <w:t xml:space="preserve"> </w:t>
            </w:r>
            <w:r w:rsidRPr="00A1021A">
              <w:rPr>
                <w:color w:val="231F20"/>
                <w:sz w:val="16"/>
                <w:szCs w:val="16"/>
              </w:rPr>
              <w:t>Committee</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46"/>
              </w:numPr>
              <w:tabs>
                <w:tab w:val="left" w:pos="300"/>
              </w:tabs>
              <w:spacing w:before="74" w:line="254" w:lineRule="auto"/>
              <w:ind w:right="245"/>
              <w:rPr>
                <w:sz w:val="16"/>
                <w:szCs w:val="16"/>
              </w:rPr>
            </w:pPr>
            <w:r w:rsidRPr="00A1021A">
              <w:rPr>
                <w:color w:val="231F20"/>
                <w:sz w:val="16"/>
                <w:szCs w:val="16"/>
              </w:rPr>
              <w:t>Recreational users on the Upper Barwon Surface Water Advisory</w:t>
            </w:r>
            <w:r w:rsidRPr="00A1021A">
              <w:rPr>
                <w:color w:val="231F20"/>
                <w:spacing w:val="-13"/>
                <w:sz w:val="16"/>
                <w:szCs w:val="16"/>
              </w:rPr>
              <w:t xml:space="preserve"> </w:t>
            </w:r>
            <w:r w:rsidRPr="00A1021A">
              <w:rPr>
                <w:color w:val="231F20"/>
                <w:sz w:val="16"/>
                <w:szCs w:val="16"/>
              </w:rPr>
              <w:t>Group</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Consult</w:t>
            </w:r>
          </w:p>
          <w:p w:rsidR="006A7A3F" w:rsidRPr="00A1021A" w:rsidRDefault="00BC7372">
            <w:pPr>
              <w:pStyle w:val="TableParagraph"/>
              <w:numPr>
                <w:ilvl w:val="0"/>
                <w:numId w:val="1245"/>
              </w:numPr>
              <w:tabs>
                <w:tab w:val="left" w:pos="300"/>
              </w:tabs>
              <w:spacing w:before="74"/>
              <w:rPr>
                <w:sz w:val="16"/>
                <w:szCs w:val="16"/>
              </w:rPr>
            </w:pPr>
            <w:r w:rsidRPr="00A1021A">
              <w:rPr>
                <w:color w:val="231F20"/>
                <w:sz w:val="16"/>
                <w:szCs w:val="16"/>
              </w:rPr>
              <w:t>Geelong Field and</w:t>
            </w:r>
            <w:r w:rsidRPr="00A1021A">
              <w:rPr>
                <w:color w:val="231F20"/>
                <w:spacing w:val="-2"/>
                <w:sz w:val="16"/>
                <w:szCs w:val="16"/>
              </w:rPr>
              <w:t xml:space="preserve"> </w:t>
            </w:r>
            <w:r w:rsidRPr="00A1021A">
              <w:rPr>
                <w:color w:val="231F20"/>
                <w:sz w:val="16"/>
                <w:szCs w:val="16"/>
              </w:rPr>
              <w:t>Game</w:t>
            </w:r>
          </w:p>
          <w:p w:rsidR="006A7A3F" w:rsidRPr="00A1021A" w:rsidRDefault="00BC7372">
            <w:pPr>
              <w:pStyle w:val="TableParagraph"/>
              <w:numPr>
                <w:ilvl w:val="0"/>
                <w:numId w:val="1245"/>
              </w:numPr>
              <w:tabs>
                <w:tab w:val="left" w:pos="300"/>
              </w:tabs>
              <w:spacing w:before="98" w:line="254" w:lineRule="auto"/>
              <w:ind w:right="494"/>
              <w:rPr>
                <w:sz w:val="16"/>
                <w:szCs w:val="16"/>
              </w:rPr>
            </w:pPr>
            <w:r w:rsidRPr="00A1021A">
              <w:rPr>
                <w:color w:val="231F20"/>
                <w:sz w:val="16"/>
                <w:szCs w:val="16"/>
              </w:rPr>
              <w:t>Geelong Gun and Rod Association</w:t>
            </w:r>
          </w:p>
          <w:p w:rsidR="006A7A3F" w:rsidRPr="00A1021A" w:rsidRDefault="00BC7372">
            <w:pPr>
              <w:pStyle w:val="TableParagraph"/>
              <w:numPr>
                <w:ilvl w:val="0"/>
                <w:numId w:val="1245"/>
              </w:numPr>
              <w:tabs>
                <w:tab w:val="left" w:pos="300"/>
              </w:tabs>
              <w:spacing w:before="86"/>
              <w:rPr>
                <w:sz w:val="16"/>
                <w:szCs w:val="16"/>
              </w:rPr>
            </w:pPr>
            <w:r w:rsidRPr="00A1021A">
              <w:rPr>
                <w:color w:val="231F20"/>
                <w:sz w:val="16"/>
                <w:szCs w:val="16"/>
              </w:rPr>
              <w:t>VR Fish</w:t>
            </w:r>
          </w:p>
        </w:tc>
      </w:tr>
      <w:tr w:rsidR="006A7A3F" w:rsidTr="003D4127">
        <w:trPr>
          <w:trHeight w:val="76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1"/>
              <w:ind w:left="80"/>
              <w:rPr>
                <w:sz w:val="16"/>
              </w:rPr>
            </w:pPr>
            <w:r>
              <w:rPr>
                <w:color w:val="231F20"/>
                <w:sz w:val="16"/>
              </w:rPr>
              <w:t>Technical experts</w:t>
            </w: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6A7A3F">
            <w:pPr>
              <w:pStyle w:val="TableParagraph"/>
              <w:ind w:left="0"/>
              <w:rPr>
                <w:rFonts w:ascii="Times New Roman"/>
                <w:sz w:val="16"/>
                <w:szCs w:val="16"/>
              </w:rPr>
            </w:pP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6A7A3F">
            <w:pPr>
              <w:pStyle w:val="TableParagraph"/>
              <w:ind w:left="0"/>
              <w:rPr>
                <w:rFonts w:ascii="Times New Roman"/>
                <w:sz w:val="16"/>
                <w:szCs w:val="16"/>
              </w:rPr>
            </w:pPr>
          </w:p>
        </w:tc>
        <w:tc>
          <w:tcPr>
            <w:tcW w:w="2608"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spacing w:before="41"/>
              <w:ind w:left="79"/>
              <w:rPr>
                <w:b/>
                <w:sz w:val="16"/>
                <w:szCs w:val="16"/>
              </w:rPr>
            </w:pPr>
            <w:r w:rsidRPr="00A1021A">
              <w:rPr>
                <w:b/>
                <w:color w:val="231F20"/>
                <w:sz w:val="16"/>
                <w:szCs w:val="16"/>
              </w:rPr>
              <w:t>IAP2 level: Involve</w:t>
            </w:r>
          </w:p>
          <w:p w:rsidR="006A7A3F" w:rsidRPr="00A1021A" w:rsidRDefault="00BC7372">
            <w:pPr>
              <w:pStyle w:val="TableParagraph"/>
              <w:numPr>
                <w:ilvl w:val="0"/>
                <w:numId w:val="1244"/>
              </w:numPr>
              <w:tabs>
                <w:tab w:val="left" w:pos="300"/>
              </w:tabs>
              <w:spacing w:before="74" w:line="254" w:lineRule="auto"/>
              <w:ind w:right="175"/>
              <w:rPr>
                <w:sz w:val="16"/>
                <w:szCs w:val="16"/>
              </w:rPr>
            </w:pPr>
            <w:r w:rsidRPr="00A1021A">
              <w:rPr>
                <w:color w:val="231F20"/>
                <w:sz w:val="16"/>
                <w:szCs w:val="16"/>
              </w:rPr>
              <w:t>Lower Barwon Review 2020 Expert Review</w:t>
            </w:r>
            <w:r w:rsidRPr="00A1021A">
              <w:rPr>
                <w:color w:val="231F20"/>
                <w:spacing w:val="-10"/>
                <w:sz w:val="16"/>
                <w:szCs w:val="16"/>
              </w:rPr>
              <w:t xml:space="preserve"> </w:t>
            </w:r>
            <w:r w:rsidRPr="00A1021A">
              <w:rPr>
                <w:color w:val="231F20"/>
                <w:sz w:val="16"/>
                <w:szCs w:val="16"/>
              </w:rPr>
              <w:t>Panel</w:t>
            </w:r>
          </w:p>
        </w:tc>
      </w:tr>
      <w:tr w:rsidR="003D4127" w:rsidTr="003D4127">
        <w:trPr>
          <w:trHeight w:val="763"/>
        </w:trPr>
        <w:tc>
          <w:tcPr>
            <w:tcW w:w="2381" w:type="dxa"/>
            <w:tcBorders>
              <w:top w:val="single" w:sz="4" w:space="0" w:color="231F20"/>
              <w:left w:val="single" w:sz="4" w:space="0" w:color="231F20"/>
              <w:bottom w:val="single" w:sz="4" w:space="0" w:color="231F20"/>
              <w:right w:val="single" w:sz="4" w:space="0" w:color="231F20"/>
            </w:tcBorders>
          </w:tcPr>
          <w:p w:rsidR="003D4127" w:rsidRDefault="003D4127" w:rsidP="003D4127">
            <w:pPr>
              <w:pStyle w:val="TableParagraph"/>
              <w:spacing w:before="34"/>
              <w:ind w:left="80"/>
              <w:rPr>
                <w:sz w:val="16"/>
              </w:rPr>
            </w:pPr>
            <w:r>
              <w:rPr>
                <w:color w:val="231F20"/>
                <w:sz w:val="16"/>
              </w:rPr>
              <w:t>Traditional Owners</w:t>
            </w:r>
          </w:p>
        </w:tc>
        <w:tc>
          <w:tcPr>
            <w:tcW w:w="2608" w:type="dxa"/>
            <w:tcBorders>
              <w:top w:val="single" w:sz="4" w:space="0" w:color="231F20"/>
              <w:left w:val="single" w:sz="4" w:space="0" w:color="231F20"/>
              <w:bottom w:val="single" w:sz="4" w:space="0" w:color="231F20"/>
              <w:right w:val="single" w:sz="4" w:space="0" w:color="231F20"/>
            </w:tcBorders>
          </w:tcPr>
          <w:p w:rsidR="003D4127" w:rsidRPr="00A1021A" w:rsidRDefault="003D4127" w:rsidP="003D4127">
            <w:pPr>
              <w:pStyle w:val="TableParagraph"/>
              <w:spacing w:before="34"/>
              <w:ind w:left="80"/>
              <w:rPr>
                <w:b/>
                <w:sz w:val="16"/>
                <w:szCs w:val="16"/>
              </w:rPr>
            </w:pPr>
            <w:r w:rsidRPr="00A1021A">
              <w:rPr>
                <w:b/>
                <w:color w:val="231F20"/>
                <w:sz w:val="16"/>
                <w:szCs w:val="16"/>
              </w:rPr>
              <w:t>IAP2 level: Consult</w:t>
            </w:r>
          </w:p>
          <w:p w:rsidR="003D4127" w:rsidRPr="00A1021A" w:rsidRDefault="003D4127" w:rsidP="003D4127">
            <w:pPr>
              <w:pStyle w:val="TableParagraph"/>
              <w:numPr>
                <w:ilvl w:val="0"/>
                <w:numId w:val="1243"/>
              </w:numPr>
              <w:tabs>
                <w:tab w:val="left" w:pos="301"/>
              </w:tabs>
              <w:spacing w:before="74" w:line="254" w:lineRule="auto"/>
              <w:ind w:right="481"/>
              <w:rPr>
                <w:sz w:val="16"/>
                <w:szCs w:val="16"/>
              </w:rPr>
            </w:pPr>
            <w:r w:rsidRPr="00A1021A">
              <w:rPr>
                <w:color w:val="231F20"/>
                <w:sz w:val="16"/>
                <w:szCs w:val="16"/>
              </w:rPr>
              <w:t>Wathaurung</w:t>
            </w:r>
            <w:r w:rsidRPr="00A1021A">
              <w:rPr>
                <w:color w:val="231F20"/>
                <w:spacing w:val="-22"/>
                <w:sz w:val="16"/>
                <w:szCs w:val="16"/>
              </w:rPr>
              <w:t xml:space="preserve"> </w:t>
            </w:r>
            <w:r w:rsidRPr="00A1021A">
              <w:rPr>
                <w:color w:val="231F20"/>
                <w:sz w:val="16"/>
                <w:szCs w:val="16"/>
              </w:rPr>
              <w:t>Aboriginal Corporation</w:t>
            </w:r>
          </w:p>
        </w:tc>
        <w:tc>
          <w:tcPr>
            <w:tcW w:w="2608" w:type="dxa"/>
            <w:tcBorders>
              <w:top w:val="single" w:sz="4" w:space="0" w:color="231F20"/>
              <w:left w:val="single" w:sz="4" w:space="0" w:color="231F20"/>
              <w:bottom w:val="single" w:sz="4" w:space="0" w:color="231F20"/>
              <w:right w:val="single" w:sz="4" w:space="0" w:color="231F20"/>
            </w:tcBorders>
          </w:tcPr>
          <w:p w:rsidR="003D4127" w:rsidRPr="00A1021A" w:rsidRDefault="003D4127" w:rsidP="003D4127">
            <w:pPr>
              <w:pStyle w:val="TableParagraph"/>
              <w:spacing w:before="34"/>
              <w:ind w:left="79"/>
              <w:rPr>
                <w:b/>
                <w:sz w:val="16"/>
                <w:szCs w:val="16"/>
              </w:rPr>
            </w:pPr>
            <w:r w:rsidRPr="00A1021A">
              <w:rPr>
                <w:b/>
                <w:color w:val="231F20"/>
                <w:sz w:val="16"/>
                <w:szCs w:val="16"/>
              </w:rPr>
              <w:t>IAP2 level: Involve</w:t>
            </w:r>
          </w:p>
          <w:p w:rsidR="003D4127" w:rsidRPr="00A1021A" w:rsidRDefault="003D4127" w:rsidP="003D4127">
            <w:pPr>
              <w:pStyle w:val="TableParagraph"/>
              <w:numPr>
                <w:ilvl w:val="0"/>
                <w:numId w:val="1242"/>
              </w:numPr>
              <w:tabs>
                <w:tab w:val="left" w:pos="300"/>
              </w:tabs>
              <w:spacing w:before="74" w:line="254" w:lineRule="auto"/>
              <w:ind w:right="374"/>
              <w:rPr>
                <w:sz w:val="16"/>
                <w:szCs w:val="16"/>
              </w:rPr>
            </w:pPr>
            <w:r w:rsidRPr="00A1021A">
              <w:rPr>
                <w:color w:val="231F20"/>
                <w:sz w:val="16"/>
                <w:szCs w:val="16"/>
              </w:rPr>
              <w:t>Eastern Maar</w:t>
            </w:r>
            <w:r w:rsidRPr="00A1021A">
              <w:rPr>
                <w:color w:val="231F20"/>
                <w:spacing w:val="-23"/>
                <w:sz w:val="16"/>
                <w:szCs w:val="16"/>
              </w:rPr>
              <w:t xml:space="preserve"> </w:t>
            </w:r>
            <w:r w:rsidRPr="00A1021A">
              <w:rPr>
                <w:color w:val="231F20"/>
                <w:sz w:val="16"/>
                <w:szCs w:val="16"/>
              </w:rPr>
              <w:t>Aboriginal Corporation</w:t>
            </w:r>
          </w:p>
          <w:p w:rsidR="003D4127" w:rsidRPr="00A1021A" w:rsidRDefault="003D4127" w:rsidP="003D4127">
            <w:pPr>
              <w:pStyle w:val="TableParagraph"/>
              <w:numPr>
                <w:ilvl w:val="0"/>
                <w:numId w:val="1242"/>
              </w:numPr>
              <w:tabs>
                <w:tab w:val="left" w:pos="300"/>
              </w:tabs>
              <w:spacing w:before="86" w:line="254" w:lineRule="auto"/>
              <w:ind w:right="481"/>
              <w:rPr>
                <w:sz w:val="16"/>
                <w:szCs w:val="16"/>
              </w:rPr>
            </w:pPr>
            <w:r w:rsidRPr="00A1021A">
              <w:rPr>
                <w:color w:val="231F20"/>
                <w:sz w:val="16"/>
                <w:szCs w:val="16"/>
              </w:rPr>
              <w:t>Wathaurung</w:t>
            </w:r>
            <w:r w:rsidRPr="00A1021A">
              <w:rPr>
                <w:color w:val="231F20"/>
                <w:spacing w:val="-22"/>
                <w:sz w:val="16"/>
                <w:szCs w:val="16"/>
              </w:rPr>
              <w:t xml:space="preserve"> </w:t>
            </w:r>
            <w:r w:rsidRPr="00A1021A">
              <w:rPr>
                <w:color w:val="231F20"/>
                <w:sz w:val="16"/>
                <w:szCs w:val="16"/>
              </w:rPr>
              <w:t>Aboriginal Corporation</w:t>
            </w:r>
          </w:p>
        </w:tc>
        <w:tc>
          <w:tcPr>
            <w:tcW w:w="2608" w:type="dxa"/>
            <w:tcBorders>
              <w:top w:val="single" w:sz="4" w:space="0" w:color="231F20"/>
              <w:left w:val="single" w:sz="4" w:space="0" w:color="231F20"/>
              <w:bottom w:val="single" w:sz="4" w:space="0" w:color="231F20"/>
              <w:right w:val="single" w:sz="4" w:space="0" w:color="231F20"/>
            </w:tcBorders>
          </w:tcPr>
          <w:p w:rsidR="003D4127" w:rsidRPr="00A1021A" w:rsidRDefault="003D4127" w:rsidP="003D4127">
            <w:pPr>
              <w:pStyle w:val="TableParagraph"/>
              <w:spacing w:before="34"/>
              <w:ind w:left="79"/>
              <w:rPr>
                <w:b/>
                <w:sz w:val="16"/>
                <w:szCs w:val="16"/>
              </w:rPr>
            </w:pPr>
            <w:r w:rsidRPr="00A1021A">
              <w:rPr>
                <w:b/>
                <w:color w:val="231F20"/>
                <w:sz w:val="16"/>
                <w:szCs w:val="16"/>
              </w:rPr>
              <w:t>IAP2 level: Involve</w:t>
            </w:r>
          </w:p>
          <w:p w:rsidR="003D4127" w:rsidRPr="00A1021A" w:rsidRDefault="003D4127" w:rsidP="003D4127">
            <w:pPr>
              <w:pStyle w:val="TableParagraph"/>
              <w:numPr>
                <w:ilvl w:val="0"/>
                <w:numId w:val="1241"/>
              </w:numPr>
              <w:tabs>
                <w:tab w:val="left" w:pos="300"/>
              </w:tabs>
              <w:spacing w:before="74" w:line="254" w:lineRule="auto"/>
              <w:ind w:right="481"/>
              <w:rPr>
                <w:sz w:val="16"/>
                <w:szCs w:val="16"/>
              </w:rPr>
            </w:pPr>
            <w:r w:rsidRPr="00A1021A">
              <w:rPr>
                <w:color w:val="231F20"/>
                <w:sz w:val="16"/>
                <w:szCs w:val="16"/>
              </w:rPr>
              <w:t>Wathaurung</w:t>
            </w:r>
            <w:r w:rsidRPr="00A1021A">
              <w:rPr>
                <w:color w:val="231F20"/>
                <w:spacing w:val="-22"/>
                <w:sz w:val="16"/>
                <w:szCs w:val="16"/>
              </w:rPr>
              <w:t xml:space="preserve"> </w:t>
            </w:r>
            <w:r w:rsidRPr="00A1021A">
              <w:rPr>
                <w:color w:val="231F20"/>
                <w:sz w:val="16"/>
                <w:szCs w:val="16"/>
              </w:rPr>
              <w:t>Aboriginal Corporation</w:t>
            </w:r>
          </w:p>
        </w:tc>
      </w:tr>
    </w:tbl>
    <w:p w:rsidR="006A7A3F" w:rsidRDefault="006A7A3F">
      <w:pPr>
        <w:spacing w:line="254" w:lineRule="auto"/>
        <w:rPr>
          <w:sz w:val="18"/>
        </w:rPr>
        <w:sectPr w:rsidR="006A7A3F" w:rsidSect="00C92D74">
          <w:pgSz w:w="11910" w:h="16840"/>
          <w:pgMar w:top="1701" w:right="851" w:bottom="1134" w:left="851" w:header="720" w:footer="720" w:gutter="0"/>
          <w:cols w:space="720"/>
        </w:sectPr>
      </w:pPr>
    </w:p>
    <w:p w:rsidR="006A7A3F" w:rsidRDefault="00BC7372">
      <w:pPr>
        <w:spacing w:before="130" w:line="249" w:lineRule="auto"/>
        <w:ind w:left="210" w:right="277"/>
        <w:jc w:val="both"/>
        <w:rPr>
          <w:b/>
          <w:sz w:val="18"/>
        </w:rPr>
      </w:pPr>
      <w:r>
        <w:rPr>
          <w:b/>
          <w:color w:val="231F20"/>
          <w:spacing w:val="-4"/>
          <w:sz w:val="18"/>
        </w:rPr>
        <w:t xml:space="preserve">Table </w:t>
      </w:r>
      <w:r>
        <w:rPr>
          <w:b/>
          <w:color w:val="231F20"/>
          <w:sz w:val="18"/>
        </w:rPr>
        <w:t xml:space="preserve">3.1.3 Partners and stakeholders engaged by Melbourne Water in developing seasonal watering proposals for the </w:t>
      </w:r>
      <w:r>
        <w:rPr>
          <w:b/>
          <w:color w:val="231F20"/>
          <w:spacing w:val="-3"/>
          <w:sz w:val="18"/>
        </w:rPr>
        <w:t xml:space="preserve">Yarra, Tarago </w:t>
      </w:r>
      <w:r>
        <w:rPr>
          <w:b/>
          <w:color w:val="231F20"/>
          <w:sz w:val="18"/>
        </w:rPr>
        <w:t>Maribyrnong and Werribee systems and other key foundation documents that have directly informed the proposals</w:t>
      </w:r>
    </w:p>
    <w:p w:rsidR="006A7A3F" w:rsidRDefault="006A7A3F">
      <w:pPr>
        <w:pStyle w:val="BodyText"/>
        <w:spacing w:before="4"/>
        <w:ind w:left="0"/>
        <w:rPr>
          <w:b/>
          <w:sz w:val="8"/>
        </w:rPr>
      </w:pPr>
    </w:p>
    <w:tbl>
      <w:tblPr>
        <w:tblW w:w="0" w:type="auto"/>
        <w:tblInd w:w="2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38"/>
        <w:gridCol w:w="2043"/>
        <w:gridCol w:w="2041"/>
        <w:gridCol w:w="2041"/>
        <w:gridCol w:w="2041"/>
      </w:tblGrid>
      <w:tr w:rsidR="006A7A3F">
        <w:trPr>
          <w:trHeight w:val="362"/>
        </w:trPr>
        <w:tc>
          <w:tcPr>
            <w:tcW w:w="2038" w:type="dxa"/>
            <w:tcBorders>
              <w:top w:val="nil"/>
              <w:left w:val="nil"/>
              <w:bottom w:val="nil"/>
              <w:right w:val="nil"/>
            </w:tcBorders>
            <w:shd w:val="clear" w:color="auto" w:fill="231F20"/>
          </w:tcPr>
          <w:p w:rsidR="006A7A3F" w:rsidRDefault="006A7A3F">
            <w:pPr>
              <w:pStyle w:val="TableParagraph"/>
              <w:ind w:left="0"/>
              <w:rPr>
                <w:rFonts w:ascii="Times New Roman"/>
                <w:sz w:val="16"/>
              </w:rPr>
            </w:pPr>
          </w:p>
        </w:tc>
        <w:tc>
          <w:tcPr>
            <w:tcW w:w="2043" w:type="dxa"/>
            <w:tcBorders>
              <w:top w:val="nil"/>
              <w:left w:val="nil"/>
              <w:bottom w:val="nil"/>
              <w:right w:val="nil"/>
            </w:tcBorders>
            <w:shd w:val="clear" w:color="auto" w:fill="231F20"/>
          </w:tcPr>
          <w:p w:rsidR="006A7A3F" w:rsidRDefault="00BC7372">
            <w:pPr>
              <w:pStyle w:val="TableParagraph"/>
              <w:spacing w:before="75"/>
              <w:ind w:left="92"/>
              <w:rPr>
                <w:b/>
                <w:sz w:val="18"/>
              </w:rPr>
            </w:pPr>
            <w:r>
              <w:rPr>
                <w:b/>
                <w:color w:val="FFFFFF"/>
                <w:sz w:val="18"/>
              </w:rPr>
              <w:t>Yarra system</w:t>
            </w:r>
          </w:p>
        </w:tc>
        <w:tc>
          <w:tcPr>
            <w:tcW w:w="2041" w:type="dxa"/>
            <w:tcBorders>
              <w:top w:val="nil"/>
              <w:left w:val="nil"/>
              <w:bottom w:val="nil"/>
              <w:right w:val="nil"/>
            </w:tcBorders>
            <w:shd w:val="clear" w:color="auto" w:fill="231F20"/>
          </w:tcPr>
          <w:p w:rsidR="006A7A3F" w:rsidRDefault="00BC7372">
            <w:pPr>
              <w:pStyle w:val="TableParagraph"/>
              <w:spacing w:before="75"/>
              <w:ind w:left="90"/>
              <w:rPr>
                <w:b/>
                <w:sz w:val="18"/>
              </w:rPr>
            </w:pPr>
            <w:r>
              <w:rPr>
                <w:b/>
                <w:color w:val="FFFFFF"/>
                <w:sz w:val="18"/>
              </w:rPr>
              <w:t>Tarago system</w:t>
            </w:r>
          </w:p>
        </w:tc>
        <w:tc>
          <w:tcPr>
            <w:tcW w:w="2041" w:type="dxa"/>
            <w:tcBorders>
              <w:top w:val="nil"/>
              <w:left w:val="nil"/>
              <w:bottom w:val="nil"/>
              <w:right w:val="nil"/>
            </w:tcBorders>
            <w:shd w:val="clear" w:color="auto" w:fill="231F20"/>
          </w:tcPr>
          <w:p w:rsidR="006A7A3F" w:rsidRDefault="00BC7372">
            <w:pPr>
              <w:pStyle w:val="TableParagraph"/>
              <w:spacing w:before="75"/>
              <w:ind w:left="90"/>
              <w:rPr>
                <w:b/>
                <w:sz w:val="18"/>
              </w:rPr>
            </w:pPr>
            <w:r>
              <w:rPr>
                <w:b/>
                <w:color w:val="FFFFFF"/>
                <w:sz w:val="18"/>
              </w:rPr>
              <w:t>Maribyrnong River</w:t>
            </w:r>
          </w:p>
        </w:tc>
        <w:tc>
          <w:tcPr>
            <w:tcW w:w="2041" w:type="dxa"/>
            <w:tcBorders>
              <w:top w:val="nil"/>
              <w:left w:val="nil"/>
              <w:bottom w:val="nil"/>
              <w:right w:val="nil"/>
            </w:tcBorders>
            <w:shd w:val="clear" w:color="auto" w:fill="231F20"/>
          </w:tcPr>
          <w:p w:rsidR="006A7A3F" w:rsidRDefault="00BC7372">
            <w:pPr>
              <w:pStyle w:val="TableParagraph"/>
              <w:spacing w:before="75"/>
              <w:ind w:left="90"/>
              <w:rPr>
                <w:b/>
                <w:sz w:val="18"/>
              </w:rPr>
            </w:pPr>
            <w:r>
              <w:rPr>
                <w:b/>
                <w:color w:val="FFFFFF"/>
                <w:sz w:val="18"/>
              </w:rPr>
              <w:t>Werribee River</w:t>
            </w:r>
          </w:p>
        </w:tc>
      </w:tr>
      <w:tr w:rsidR="006A7A3F" w:rsidRPr="00A1021A">
        <w:trPr>
          <w:trHeight w:val="2100"/>
        </w:trPr>
        <w:tc>
          <w:tcPr>
            <w:tcW w:w="2038" w:type="dxa"/>
            <w:tcBorders>
              <w:top w:val="nil"/>
            </w:tcBorders>
          </w:tcPr>
          <w:p w:rsidR="006A7A3F" w:rsidRPr="00A1021A" w:rsidRDefault="00BC7372">
            <w:pPr>
              <w:pStyle w:val="TableParagraph"/>
              <w:spacing w:before="74" w:line="261" w:lineRule="auto"/>
              <w:ind w:left="85" w:right="268"/>
              <w:rPr>
                <w:sz w:val="16"/>
                <w:szCs w:val="16"/>
              </w:rPr>
            </w:pPr>
            <w:r w:rsidRPr="00A1021A">
              <w:rPr>
                <w:color w:val="231F20"/>
                <w:sz w:val="16"/>
                <w:szCs w:val="16"/>
              </w:rPr>
              <w:t>Community groups and environment groups</w:t>
            </w:r>
          </w:p>
        </w:tc>
        <w:tc>
          <w:tcPr>
            <w:tcW w:w="2043" w:type="dxa"/>
            <w:tcBorders>
              <w:top w:val="nil"/>
            </w:tcBorders>
          </w:tcPr>
          <w:p w:rsidR="006A7A3F" w:rsidRPr="00A1021A" w:rsidRDefault="00BC7372">
            <w:pPr>
              <w:pStyle w:val="TableParagraph"/>
              <w:spacing w:before="74"/>
              <w:ind w:left="87"/>
              <w:rPr>
                <w:b/>
                <w:sz w:val="16"/>
                <w:szCs w:val="16"/>
              </w:rPr>
            </w:pPr>
            <w:r w:rsidRPr="00A1021A">
              <w:rPr>
                <w:b/>
                <w:color w:val="231F20"/>
                <w:sz w:val="16"/>
                <w:szCs w:val="16"/>
              </w:rPr>
              <w:t>IAP2 level: Inform</w:t>
            </w:r>
          </w:p>
          <w:p w:rsidR="006A7A3F" w:rsidRPr="00A1021A" w:rsidRDefault="00BC7372">
            <w:pPr>
              <w:pStyle w:val="TableParagraph"/>
              <w:numPr>
                <w:ilvl w:val="0"/>
                <w:numId w:val="1240"/>
              </w:numPr>
              <w:tabs>
                <w:tab w:val="left" w:pos="308"/>
              </w:tabs>
              <w:spacing w:before="74" w:line="254" w:lineRule="auto"/>
              <w:ind w:right="712"/>
              <w:rPr>
                <w:sz w:val="16"/>
                <w:szCs w:val="16"/>
              </w:rPr>
            </w:pPr>
            <w:r w:rsidRPr="00A1021A">
              <w:rPr>
                <w:color w:val="231F20"/>
                <w:sz w:val="16"/>
                <w:szCs w:val="16"/>
              </w:rPr>
              <w:t>Environment Victoria</w:t>
            </w:r>
          </w:p>
          <w:p w:rsidR="006A7A3F" w:rsidRPr="00A1021A" w:rsidRDefault="00BC7372">
            <w:pPr>
              <w:pStyle w:val="TableParagraph"/>
              <w:numPr>
                <w:ilvl w:val="0"/>
                <w:numId w:val="1240"/>
              </w:numPr>
              <w:tabs>
                <w:tab w:val="left" w:pos="308"/>
              </w:tabs>
              <w:spacing w:before="87"/>
              <w:rPr>
                <w:sz w:val="16"/>
                <w:szCs w:val="16"/>
              </w:rPr>
            </w:pPr>
            <w:r w:rsidRPr="00A1021A">
              <w:rPr>
                <w:color w:val="231F20"/>
                <w:sz w:val="16"/>
                <w:szCs w:val="16"/>
              </w:rPr>
              <w:t>Native Fish</w:t>
            </w:r>
            <w:r w:rsidRPr="00A1021A">
              <w:rPr>
                <w:color w:val="231F20"/>
                <w:spacing w:val="-14"/>
                <w:sz w:val="16"/>
                <w:szCs w:val="16"/>
              </w:rPr>
              <w:t xml:space="preserve"> </w:t>
            </w:r>
            <w:r w:rsidRPr="00A1021A">
              <w:rPr>
                <w:color w:val="231F20"/>
                <w:sz w:val="16"/>
                <w:szCs w:val="16"/>
              </w:rPr>
              <w:t>Australia</w:t>
            </w:r>
          </w:p>
          <w:p w:rsidR="006A7A3F" w:rsidRPr="00A1021A" w:rsidRDefault="00BC7372">
            <w:pPr>
              <w:pStyle w:val="TableParagraph"/>
              <w:numPr>
                <w:ilvl w:val="0"/>
                <w:numId w:val="1240"/>
              </w:numPr>
              <w:tabs>
                <w:tab w:val="left" w:pos="308"/>
              </w:tabs>
              <w:spacing w:before="98"/>
              <w:rPr>
                <w:sz w:val="16"/>
                <w:szCs w:val="16"/>
              </w:rPr>
            </w:pPr>
            <w:r w:rsidRPr="00A1021A">
              <w:rPr>
                <w:color w:val="231F20"/>
                <w:spacing w:val="-4"/>
                <w:sz w:val="16"/>
                <w:szCs w:val="16"/>
              </w:rPr>
              <w:t>Yarra</w:t>
            </w:r>
            <w:r w:rsidRPr="00A1021A">
              <w:rPr>
                <w:color w:val="231F20"/>
                <w:spacing w:val="-3"/>
                <w:sz w:val="16"/>
                <w:szCs w:val="16"/>
              </w:rPr>
              <w:t xml:space="preserve"> </w:t>
            </w:r>
            <w:r w:rsidRPr="00A1021A">
              <w:rPr>
                <w:color w:val="231F20"/>
                <w:sz w:val="16"/>
                <w:szCs w:val="16"/>
              </w:rPr>
              <w:t>Riverkeeper</w:t>
            </w:r>
          </w:p>
        </w:tc>
        <w:tc>
          <w:tcPr>
            <w:tcW w:w="2041" w:type="dxa"/>
            <w:tcBorders>
              <w:top w:val="nil"/>
            </w:tcBorders>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39"/>
              </w:numPr>
              <w:tabs>
                <w:tab w:val="left" w:pos="306"/>
              </w:tabs>
              <w:spacing w:before="74" w:line="254" w:lineRule="auto"/>
              <w:ind w:right="402"/>
              <w:rPr>
                <w:sz w:val="16"/>
                <w:szCs w:val="16"/>
              </w:rPr>
            </w:pPr>
            <w:r w:rsidRPr="00A1021A">
              <w:rPr>
                <w:color w:val="231F20"/>
                <w:sz w:val="16"/>
                <w:szCs w:val="16"/>
              </w:rPr>
              <w:t>Friends of Robin Hood</w:t>
            </w:r>
            <w:r w:rsidRPr="00A1021A">
              <w:rPr>
                <w:color w:val="231F20"/>
                <w:spacing w:val="-4"/>
                <w:sz w:val="16"/>
                <w:szCs w:val="16"/>
              </w:rPr>
              <w:t xml:space="preserve"> </w:t>
            </w:r>
            <w:r w:rsidRPr="00A1021A">
              <w:rPr>
                <w:color w:val="231F20"/>
                <w:sz w:val="16"/>
                <w:szCs w:val="16"/>
              </w:rPr>
              <w:t>Reserve</w:t>
            </w:r>
          </w:p>
          <w:p w:rsidR="006A7A3F" w:rsidRPr="00A1021A" w:rsidRDefault="00BC7372">
            <w:pPr>
              <w:pStyle w:val="TableParagraph"/>
              <w:numPr>
                <w:ilvl w:val="0"/>
                <w:numId w:val="1239"/>
              </w:numPr>
              <w:tabs>
                <w:tab w:val="left" w:pos="306"/>
              </w:tabs>
              <w:spacing w:before="87" w:line="254" w:lineRule="auto"/>
              <w:ind w:right="672"/>
              <w:rPr>
                <w:sz w:val="16"/>
                <w:szCs w:val="16"/>
              </w:rPr>
            </w:pPr>
            <w:r w:rsidRPr="00A1021A">
              <w:rPr>
                <w:color w:val="231F20"/>
                <w:sz w:val="16"/>
                <w:szCs w:val="16"/>
              </w:rPr>
              <w:t>Waterwatch co-ordinators</w:t>
            </w:r>
          </w:p>
        </w:tc>
        <w:tc>
          <w:tcPr>
            <w:tcW w:w="2041" w:type="dxa"/>
            <w:tcBorders>
              <w:top w:val="nil"/>
            </w:tcBorders>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38"/>
              </w:numPr>
              <w:tabs>
                <w:tab w:val="left" w:pos="306"/>
              </w:tabs>
              <w:spacing w:before="74" w:line="254" w:lineRule="auto"/>
              <w:ind w:right="302"/>
              <w:rPr>
                <w:sz w:val="16"/>
                <w:szCs w:val="16"/>
              </w:rPr>
            </w:pPr>
            <w:r w:rsidRPr="00A1021A">
              <w:rPr>
                <w:color w:val="231F20"/>
                <w:sz w:val="16"/>
                <w:szCs w:val="16"/>
              </w:rPr>
              <w:t>Friends of Holden Flora</w:t>
            </w:r>
            <w:r w:rsidRPr="00A1021A">
              <w:rPr>
                <w:color w:val="231F20"/>
                <w:spacing w:val="-1"/>
                <w:sz w:val="16"/>
                <w:szCs w:val="16"/>
              </w:rPr>
              <w:t xml:space="preserve"> </w:t>
            </w:r>
            <w:r w:rsidRPr="00A1021A">
              <w:rPr>
                <w:color w:val="231F20"/>
                <w:sz w:val="16"/>
                <w:szCs w:val="16"/>
              </w:rPr>
              <w:t>Reserve</w:t>
            </w:r>
          </w:p>
          <w:p w:rsidR="006A7A3F" w:rsidRPr="00A1021A" w:rsidRDefault="00BC7372">
            <w:pPr>
              <w:pStyle w:val="TableParagraph"/>
              <w:numPr>
                <w:ilvl w:val="0"/>
                <w:numId w:val="1238"/>
              </w:numPr>
              <w:tabs>
                <w:tab w:val="left" w:pos="306"/>
              </w:tabs>
              <w:spacing w:before="87" w:line="254" w:lineRule="auto"/>
              <w:ind w:right="195"/>
              <w:rPr>
                <w:sz w:val="16"/>
                <w:szCs w:val="16"/>
              </w:rPr>
            </w:pPr>
            <w:r w:rsidRPr="00A1021A">
              <w:rPr>
                <w:color w:val="231F20"/>
                <w:sz w:val="16"/>
                <w:szCs w:val="16"/>
              </w:rPr>
              <w:t xml:space="preserve">Friends of the Maribyrnong </w:t>
            </w:r>
            <w:r w:rsidRPr="00A1021A">
              <w:rPr>
                <w:color w:val="231F20"/>
                <w:spacing w:val="-6"/>
                <w:sz w:val="16"/>
                <w:szCs w:val="16"/>
              </w:rPr>
              <w:t xml:space="preserve">Valley </w:t>
            </w:r>
            <w:r w:rsidRPr="00A1021A">
              <w:rPr>
                <w:color w:val="231F20"/>
                <w:sz w:val="16"/>
                <w:szCs w:val="16"/>
              </w:rPr>
              <w:t>Inc.</w:t>
            </w:r>
          </w:p>
          <w:p w:rsidR="006A7A3F" w:rsidRPr="00A1021A" w:rsidRDefault="00BC7372">
            <w:pPr>
              <w:pStyle w:val="TableParagraph"/>
              <w:numPr>
                <w:ilvl w:val="0"/>
                <w:numId w:val="1238"/>
              </w:numPr>
              <w:tabs>
                <w:tab w:val="left" w:pos="306"/>
              </w:tabs>
              <w:spacing w:before="87" w:line="254" w:lineRule="auto"/>
              <w:ind w:right="442"/>
              <w:rPr>
                <w:sz w:val="16"/>
                <w:szCs w:val="16"/>
              </w:rPr>
            </w:pPr>
            <w:r w:rsidRPr="00A1021A">
              <w:rPr>
                <w:color w:val="231F20"/>
                <w:sz w:val="16"/>
                <w:szCs w:val="16"/>
              </w:rPr>
              <w:t xml:space="preserve">Jacksons </w:t>
            </w:r>
            <w:r w:rsidRPr="00A1021A">
              <w:rPr>
                <w:color w:val="231F20"/>
                <w:spacing w:val="-4"/>
                <w:sz w:val="16"/>
                <w:szCs w:val="16"/>
              </w:rPr>
              <w:t xml:space="preserve">Creek </w:t>
            </w:r>
            <w:r w:rsidRPr="00A1021A">
              <w:rPr>
                <w:color w:val="231F20"/>
                <w:sz w:val="16"/>
                <w:szCs w:val="16"/>
              </w:rPr>
              <w:t>Eco-network</w:t>
            </w:r>
          </w:p>
        </w:tc>
        <w:tc>
          <w:tcPr>
            <w:tcW w:w="2041" w:type="dxa"/>
            <w:tcBorders>
              <w:top w:val="nil"/>
            </w:tcBorders>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37"/>
              </w:numPr>
              <w:tabs>
                <w:tab w:val="left" w:pos="306"/>
              </w:tabs>
              <w:spacing w:before="74" w:line="254" w:lineRule="auto"/>
              <w:ind w:right="753"/>
              <w:rPr>
                <w:sz w:val="16"/>
                <w:szCs w:val="16"/>
              </w:rPr>
            </w:pPr>
            <w:r w:rsidRPr="00A1021A">
              <w:rPr>
                <w:color w:val="231F20"/>
                <w:sz w:val="16"/>
                <w:szCs w:val="16"/>
              </w:rPr>
              <w:t xml:space="preserve">Werribee </w:t>
            </w:r>
            <w:r w:rsidRPr="00A1021A">
              <w:rPr>
                <w:color w:val="231F20"/>
                <w:spacing w:val="-1"/>
                <w:sz w:val="16"/>
                <w:szCs w:val="16"/>
              </w:rPr>
              <w:t>Riverkeeper</w:t>
            </w:r>
          </w:p>
        </w:tc>
      </w:tr>
      <w:tr w:rsidR="006A7A3F" w:rsidRPr="00A1021A">
        <w:trPr>
          <w:trHeight w:val="3895"/>
        </w:trPr>
        <w:tc>
          <w:tcPr>
            <w:tcW w:w="2038" w:type="dxa"/>
            <w:vMerge w:val="restart"/>
          </w:tcPr>
          <w:p w:rsidR="006A7A3F" w:rsidRPr="00A1021A" w:rsidRDefault="00BC7372">
            <w:pPr>
              <w:pStyle w:val="TableParagraph"/>
              <w:spacing w:before="74"/>
              <w:ind w:left="85"/>
              <w:rPr>
                <w:sz w:val="16"/>
                <w:szCs w:val="16"/>
              </w:rPr>
            </w:pPr>
            <w:r w:rsidRPr="00A1021A">
              <w:rPr>
                <w:color w:val="231F20"/>
                <w:sz w:val="16"/>
                <w:szCs w:val="16"/>
              </w:rPr>
              <w:t>Government agencies</w:t>
            </w:r>
          </w:p>
        </w:tc>
        <w:tc>
          <w:tcPr>
            <w:tcW w:w="2043" w:type="dxa"/>
          </w:tcPr>
          <w:p w:rsidR="006A7A3F" w:rsidRPr="00A1021A" w:rsidRDefault="00BC7372">
            <w:pPr>
              <w:pStyle w:val="TableParagraph"/>
              <w:spacing w:before="74"/>
              <w:ind w:left="87"/>
              <w:rPr>
                <w:b/>
                <w:sz w:val="16"/>
                <w:szCs w:val="16"/>
              </w:rPr>
            </w:pPr>
            <w:r w:rsidRPr="00A1021A">
              <w:rPr>
                <w:b/>
                <w:color w:val="231F20"/>
                <w:sz w:val="16"/>
                <w:szCs w:val="16"/>
              </w:rPr>
              <w:t>IAP2 level: Collaborate</w:t>
            </w:r>
          </w:p>
          <w:p w:rsidR="006A7A3F" w:rsidRPr="00A1021A" w:rsidRDefault="00BC7372">
            <w:pPr>
              <w:pStyle w:val="TableParagraph"/>
              <w:numPr>
                <w:ilvl w:val="0"/>
                <w:numId w:val="1236"/>
              </w:numPr>
              <w:tabs>
                <w:tab w:val="left" w:pos="308"/>
              </w:tabs>
              <w:spacing w:before="74" w:line="254" w:lineRule="auto"/>
              <w:ind w:right="712"/>
              <w:rPr>
                <w:sz w:val="16"/>
                <w:szCs w:val="16"/>
              </w:rPr>
            </w:pPr>
            <w:r w:rsidRPr="00A1021A">
              <w:rPr>
                <w:color w:val="231F20"/>
                <w:sz w:val="16"/>
                <w:szCs w:val="16"/>
              </w:rPr>
              <w:t xml:space="preserve">Banyule </w:t>
            </w:r>
            <w:r w:rsidRPr="00A1021A">
              <w:rPr>
                <w:color w:val="231F20"/>
                <w:spacing w:val="-4"/>
                <w:sz w:val="16"/>
                <w:szCs w:val="16"/>
              </w:rPr>
              <w:t xml:space="preserve">City </w:t>
            </w:r>
            <w:r w:rsidRPr="00A1021A">
              <w:rPr>
                <w:color w:val="231F20"/>
                <w:sz w:val="16"/>
                <w:szCs w:val="16"/>
              </w:rPr>
              <w:t>Council</w:t>
            </w:r>
          </w:p>
          <w:p w:rsidR="006A7A3F" w:rsidRPr="00A1021A" w:rsidRDefault="00BC7372">
            <w:pPr>
              <w:pStyle w:val="TableParagraph"/>
              <w:numPr>
                <w:ilvl w:val="0"/>
                <w:numId w:val="1236"/>
              </w:numPr>
              <w:tabs>
                <w:tab w:val="left" w:pos="308"/>
              </w:tabs>
              <w:spacing w:before="87" w:line="254" w:lineRule="auto"/>
              <w:ind w:right="422"/>
              <w:rPr>
                <w:sz w:val="16"/>
                <w:szCs w:val="16"/>
              </w:rPr>
            </w:pPr>
            <w:r w:rsidRPr="00A1021A">
              <w:rPr>
                <w:color w:val="231F20"/>
                <w:sz w:val="16"/>
                <w:szCs w:val="16"/>
              </w:rPr>
              <w:t xml:space="preserve">Boroondara </w:t>
            </w:r>
            <w:r w:rsidRPr="00A1021A">
              <w:rPr>
                <w:color w:val="231F20"/>
                <w:spacing w:val="-4"/>
                <w:sz w:val="16"/>
                <w:szCs w:val="16"/>
              </w:rPr>
              <w:t xml:space="preserve">City </w:t>
            </w:r>
            <w:r w:rsidRPr="00A1021A">
              <w:rPr>
                <w:color w:val="231F20"/>
                <w:sz w:val="16"/>
                <w:szCs w:val="16"/>
              </w:rPr>
              <w:t>Council</w:t>
            </w:r>
          </w:p>
          <w:p w:rsidR="006A7A3F" w:rsidRPr="00A1021A" w:rsidRDefault="00BC7372">
            <w:pPr>
              <w:pStyle w:val="TableParagraph"/>
              <w:numPr>
                <w:ilvl w:val="0"/>
                <w:numId w:val="1236"/>
              </w:numPr>
              <w:tabs>
                <w:tab w:val="left" w:pos="308"/>
              </w:tabs>
              <w:spacing w:before="86" w:line="254" w:lineRule="auto"/>
              <w:ind w:right="149"/>
              <w:rPr>
                <w:sz w:val="16"/>
                <w:szCs w:val="16"/>
              </w:rPr>
            </w:pPr>
            <w:r w:rsidRPr="00A1021A">
              <w:rPr>
                <w:color w:val="231F20"/>
                <w:sz w:val="16"/>
                <w:szCs w:val="16"/>
              </w:rPr>
              <w:t>Department of Environment, Land, Water and</w:t>
            </w:r>
            <w:r w:rsidRPr="00A1021A">
              <w:rPr>
                <w:color w:val="231F20"/>
                <w:spacing w:val="-13"/>
                <w:sz w:val="16"/>
                <w:szCs w:val="16"/>
              </w:rPr>
              <w:t xml:space="preserve"> </w:t>
            </w:r>
            <w:r w:rsidRPr="00A1021A">
              <w:rPr>
                <w:color w:val="231F20"/>
                <w:sz w:val="16"/>
                <w:szCs w:val="16"/>
              </w:rPr>
              <w:t>Planning</w:t>
            </w:r>
          </w:p>
          <w:p w:rsidR="006A7A3F" w:rsidRPr="00A1021A" w:rsidRDefault="00BC7372">
            <w:pPr>
              <w:pStyle w:val="TableParagraph"/>
              <w:spacing w:before="2" w:line="254" w:lineRule="auto"/>
              <w:ind w:left="307" w:right="755"/>
              <w:rPr>
                <w:sz w:val="16"/>
                <w:szCs w:val="16"/>
              </w:rPr>
            </w:pPr>
            <w:r w:rsidRPr="00A1021A">
              <w:rPr>
                <w:color w:val="231F20"/>
                <w:sz w:val="16"/>
                <w:szCs w:val="16"/>
              </w:rPr>
              <w:t xml:space="preserve">| Water and </w:t>
            </w:r>
            <w:r w:rsidRPr="00A1021A">
              <w:rPr>
                <w:color w:val="231F20"/>
                <w:spacing w:val="-1"/>
                <w:sz w:val="16"/>
                <w:szCs w:val="16"/>
              </w:rPr>
              <w:t>Catchments</w:t>
            </w:r>
          </w:p>
          <w:p w:rsidR="006A7A3F" w:rsidRPr="00A1021A" w:rsidRDefault="00BC7372">
            <w:pPr>
              <w:pStyle w:val="TableParagraph"/>
              <w:numPr>
                <w:ilvl w:val="0"/>
                <w:numId w:val="1236"/>
              </w:numPr>
              <w:tabs>
                <w:tab w:val="left" w:pos="308"/>
              </w:tabs>
              <w:spacing w:before="86" w:line="254" w:lineRule="auto"/>
              <w:ind w:right="322"/>
              <w:rPr>
                <w:sz w:val="16"/>
                <w:szCs w:val="16"/>
              </w:rPr>
            </w:pPr>
            <w:r w:rsidRPr="00A1021A">
              <w:rPr>
                <w:color w:val="231F20"/>
                <w:sz w:val="16"/>
                <w:szCs w:val="16"/>
              </w:rPr>
              <w:t xml:space="preserve">Manningham </w:t>
            </w:r>
            <w:r w:rsidRPr="00A1021A">
              <w:rPr>
                <w:color w:val="231F20"/>
                <w:spacing w:val="-4"/>
                <w:sz w:val="16"/>
                <w:szCs w:val="16"/>
              </w:rPr>
              <w:t xml:space="preserve">City </w:t>
            </w:r>
            <w:r w:rsidRPr="00A1021A">
              <w:rPr>
                <w:color w:val="231F20"/>
                <w:sz w:val="16"/>
                <w:szCs w:val="16"/>
              </w:rPr>
              <w:t>Council</w:t>
            </w:r>
          </w:p>
          <w:p w:rsidR="006A7A3F" w:rsidRPr="00A1021A" w:rsidRDefault="00BC7372">
            <w:pPr>
              <w:pStyle w:val="TableParagraph"/>
              <w:numPr>
                <w:ilvl w:val="0"/>
                <w:numId w:val="1236"/>
              </w:numPr>
              <w:tabs>
                <w:tab w:val="left" w:pos="308"/>
              </w:tabs>
              <w:spacing w:before="86" w:line="254" w:lineRule="auto"/>
              <w:ind w:right="349"/>
              <w:rPr>
                <w:sz w:val="16"/>
                <w:szCs w:val="16"/>
              </w:rPr>
            </w:pPr>
            <w:r w:rsidRPr="00A1021A">
              <w:rPr>
                <w:color w:val="231F20"/>
                <w:sz w:val="16"/>
                <w:szCs w:val="16"/>
              </w:rPr>
              <w:t xml:space="preserve">Melbourne </w:t>
            </w:r>
            <w:r w:rsidRPr="00A1021A">
              <w:rPr>
                <w:color w:val="231F20"/>
                <w:spacing w:val="-6"/>
                <w:sz w:val="16"/>
                <w:szCs w:val="16"/>
              </w:rPr>
              <w:t xml:space="preserve">Water </w:t>
            </w:r>
            <w:r w:rsidRPr="00A1021A">
              <w:rPr>
                <w:color w:val="231F20"/>
                <w:sz w:val="16"/>
                <w:szCs w:val="16"/>
              </w:rPr>
              <w:t>Service</w:t>
            </w:r>
            <w:r w:rsidRPr="00A1021A">
              <w:rPr>
                <w:color w:val="231F20"/>
                <w:spacing w:val="-3"/>
                <w:sz w:val="16"/>
                <w:szCs w:val="16"/>
              </w:rPr>
              <w:t xml:space="preserve"> </w:t>
            </w:r>
            <w:r w:rsidRPr="00A1021A">
              <w:rPr>
                <w:color w:val="231F20"/>
                <w:sz w:val="16"/>
                <w:szCs w:val="16"/>
              </w:rPr>
              <w:t>Delivery</w:t>
            </w:r>
          </w:p>
          <w:p w:rsidR="006A7A3F" w:rsidRPr="00A1021A" w:rsidRDefault="00BC7372">
            <w:pPr>
              <w:pStyle w:val="TableParagraph"/>
              <w:numPr>
                <w:ilvl w:val="0"/>
                <w:numId w:val="1236"/>
              </w:numPr>
              <w:tabs>
                <w:tab w:val="left" w:pos="308"/>
              </w:tabs>
              <w:spacing w:before="86"/>
              <w:rPr>
                <w:sz w:val="16"/>
                <w:szCs w:val="16"/>
              </w:rPr>
            </w:pPr>
            <w:r w:rsidRPr="00A1021A">
              <w:rPr>
                <w:color w:val="231F20"/>
                <w:sz w:val="16"/>
                <w:szCs w:val="16"/>
              </w:rPr>
              <w:t>Parks</w:t>
            </w:r>
            <w:r w:rsidRPr="00A1021A">
              <w:rPr>
                <w:color w:val="231F20"/>
                <w:spacing w:val="-1"/>
                <w:sz w:val="16"/>
                <w:szCs w:val="16"/>
              </w:rPr>
              <w:t xml:space="preserve"> </w:t>
            </w:r>
            <w:r w:rsidRPr="00A1021A">
              <w:rPr>
                <w:color w:val="231F20"/>
                <w:sz w:val="16"/>
                <w:szCs w:val="16"/>
              </w:rPr>
              <w:t>Victoria</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Collaborate</w:t>
            </w:r>
          </w:p>
          <w:p w:rsidR="006A7A3F" w:rsidRPr="00A1021A" w:rsidRDefault="00BC7372">
            <w:pPr>
              <w:pStyle w:val="TableParagraph"/>
              <w:numPr>
                <w:ilvl w:val="0"/>
                <w:numId w:val="1235"/>
              </w:numPr>
              <w:tabs>
                <w:tab w:val="left" w:pos="306"/>
              </w:tabs>
              <w:spacing w:before="74" w:line="254" w:lineRule="auto"/>
              <w:ind w:right="149"/>
              <w:rPr>
                <w:sz w:val="16"/>
                <w:szCs w:val="16"/>
              </w:rPr>
            </w:pPr>
            <w:r w:rsidRPr="00A1021A">
              <w:rPr>
                <w:color w:val="231F20"/>
                <w:sz w:val="16"/>
                <w:szCs w:val="16"/>
              </w:rPr>
              <w:t>Department of Environment, Land, Water and</w:t>
            </w:r>
            <w:r w:rsidRPr="00A1021A">
              <w:rPr>
                <w:color w:val="231F20"/>
                <w:spacing w:val="-13"/>
                <w:sz w:val="16"/>
                <w:szCs w:val="16"/>
              </w:rPr>
              <w:t xml:space="preserve"> </w:t>
            </w:r>
            <w:r w:rsidRPr="00A1021A">
              <w:rPr>
                <w:color w:val="231F20"/>
                <w:sz w:val="16"/>
                <w:szCs w:val="16"/>
              </w:rPr>
              <w:t>Planning</w:t>
            </w:r>
          </w:p>
          <w:p w:rsidR="006A7A3F" w:rsidRPr="00A1021A" w:rsidRDefault="00BC7372">
            <w:pPr>
              <w:pStyle w:val="TableParagraph"/>
              <w:spacing w:before="2" w:line="254" w:lineRule="auto"/>
              <w:ind w:left="305" w:right="745"/>
              <w:rPr>
                <w:sz w:val="16"/>
                <w:szCs w:val="16"/>
              </w:rPr>
            </w:pPr>
            <w:r w:rsidRPr="00A1021A">
              <w:rPr>
                <w:color w:val="231F20"/>
                <w:sz w:val="16"/>
                <w:szCs w:val="16"/>
              </w:rPr>
              <w:t>| Water and Catchments</w:t>
            </w:r>
          </w:p>
          <w:p w:rsidR="006A7A3F" w:rsidRPr="00A1021A" w:rsidRDefault="00BC7372">
            <w:pPr>
              <w:pStyle w:val="TableParagraph"/>
              <w:numPr>
                <w:ilvl w:val="0"/>
                <w:numId w:val="1235"/>
              </w:numPr>
              <w:tabs>
                <w:tab w:val="left" w:pos="306"/>
              </w:tabs>
              <w:spacing w:before="86" w:line="254" w:lineRule="auto"/>
              <w:ind w:right="349"/>
              <w:rPr>
                <w:sz w:val="16"/>
                <w:szCs w:val="16"/>
              </w:rPr>
            </w:pPr>
            <w:r w:rsidRPr="00A1021A">
              <w:rPr>
                <w:color w:val="231F20"/>
                <w:sz w:val="16"/>
                <w:szCs w:val="16"/>
              </w:rPr>
              <w:t xml:space="preserve">Melbourne </w:t>
            </w:r>
            <w:r w:rsidRPr="00A1021A">
              <w:rPr>
                <w:color w:val="231F20"/>
                <w:spacing w:val="-6"/>
                <w:sz w:val="16"/>
                <w:szCs w:val="16"/>
              </w:rPr>
              <w:t xml:space="preserve">Water </w:t>
            </w:r>
            <w:r w:rsidRPr="00A1021A">
              <w:rPr>
                <w:color w:val="231F20"/>
                <w:sz w:val="16"/>
                <w:szCs w:val="16"/>
              </w:rPr>
              <w:t>Service</w:t>
            </w:r>
            <w:r w:rsidRPr="00A1021A">
              <w:rPr>
                <w:color w:val="231F20"/>
                <w:spacing w:val="-3"/>
                <w:sz w:val="16"/>
                <w:szCs w:val="16"/>
              </w:rPr>
              <w:t xml:space="preserve"> </w:t>
            </w:r>
            <w:r w:rsidRPr="00A1021A">
              <w:rPr>
                <w:color w:val="231F20"/>
                <w:sz w:val="16"/>
                <w:szCs w:val="16"/>
              </w:rPr>
              <w:t>Delivery</w:t>
            </w:r>
          </w:p>
          <w:p w:rsidR="006A7A3F" w:rsidRPr="00A1021A" w:rsidRDefault="00BC7372">
            <w:pPr>
              <w:pStyle w:val="TableParagraph"/>
              <w:numPr>
                <w:ilvl w:val="0"/>
                <w:numId w:val="1235"/>
              </w:numPr>
              <w:tabs>
                <w:tab w:val="left" w:pos="306"/>
              </w:tabs>
              <w:spacing w:before="87"/>
              <w:rPr>
                <w:sz w:val="16"/>
                <w:szCs w:val="16"/>
              </w:rPr>
            </w:pPr>
            <w:r w:rsidRPr="00A1021A">
              <w:rPr>
                <w:color w:val="231F20"/>
                <w:sz w:val="16"/>
                <w:szCs w:val="16"/>
              </w:rPr>
              <w:t>Parks</w:t>
            </w:r>
            <w:r w:rsidRPr="00A1021A">
              <w:rPr>
                <w:color w:val="231F20"/>
                <w:spacing w:val="-1"/>
                <w:sz w:val="16"/>
                <w:szCs w:val="16"/>
              </w:rPr>
              <w:t xml:space="preserve"> </w:t>
            </w:r>
            <w:r w:rsidRPr="00A1021A">
              <w:rPr>
                <w:color w:val="231F20"/>
                <w:sz w:val="16"/>
                <w:szCs w:val="16"/>
              </w:rPr>
              <w:t>Victoria</w:t>
            </w:r>
          </w:p>
          <w:p w:rsidR="006A7A3F" w:rsidRPr="00A1021A" w:rsidRDefault="00BC7372">
            <w:pPr>
              <w:pStyle w:val="TableParagraph"/>
              <w:numPr>
                <w:ilvl w:val="0"/>
                <w:numId w:val="1235"/>
              </w:numPr>
              <w:tabs>
                <w:tab w:val="left" w:pos="306"/>
              </w:tabs>
              <w:spacing w:before="98" w:line="254" w:lineRule="auto"/>
              <w:ind w:right="512"/>
              <w:rPr>
                <w:sz w:val="16"/>
                <w:szCs w:val="16"/>
              </w:rPr>
            </w:pPr>
            <w:r w:rsidRPr="00A1021A">
              <w:rPr>
                <w:color w:val="231F20"/>
                <w:sz w:val="16"/>
                <w:szCs w:val="16"/>
              </w:rPr>
              <w:t xml:space="preserve">Southern </w:t>
            </w:r>
            <w:r w:rsidRPr="00A1021A">
              <w:rPr>
                <w:color w:val="231F20"/>
                <w:spacing w:val="-4"/>
                <w:sz w:val="16"/>
                <w:szCs w:val="16"/>
              </w:rPr>
              <w:t xml:space="preserve">Rural </w:t>
            </w:r>
            <w:r w:rsidRPr="00A1021A">
              <w:rPr>
                <w:color w:val="231F20"/>
                <w:spacing w:val="-3"/>
                <w:sz w:val="16"/>
                <w:szCs w:val="16"/>
              </w:rPr>
              <w:t>Water</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Collaborate</w:t>
            </w:r>
          </w:p>
          <w:p w:rsidR="006A7A3F" w:rsidRPr="00A1021A" w:rsidRDefault="00BC7372">
            <w:pPr>
              <w:pStyle w:val="TableParagraph"/>
              <w:numPr>
                <w:ilvl w:val="0"/>
                <w:numId w:val="1234"/>
              </w:numPr>
              <w:tabs>
                <w:tab w:val="left" w:pos="306"/>
              </w:tabs>
              <w:spacing w:before="74" w:line="254" w:lineRule="auto"/>
              <w:ind w:right="149"/>
              <w:rPr>
                <w:sz w:val="16"/>
                <w:szCs w:val="16"/>
              </w:rPr>
            </w:pPr>
            <w:r w:rsidRPr="00A1021A">
              <w:rPr>
                <w:color w:val="231F20"/>
                <w:sz w:val="16"/>
                <w:szCs w:val="16"/>
              </w:rPr>
              <w:t>Department of Environment, Land, Water and</w:t>
            </w:r>
            <w:r w:rsidRPr="00A1021A">
              <w:rPr>
                <w:color w:val="231F20"/>
                <w:spacing w:val="-13"/>
                <w:sz w:val="16"/>
                <w:szCs w:val="16"/>
              </w:rPr>
              <w:t xml:space="preserve"> </w:t>
            </w:r>
            <w:r w:rsidRPr="00A1021A">
              <w:rPr>
                <w:color w:val="231F20"/>
                <w:sz w:val="16"/>
                <w:szCs w:val="16"/>
              </w:rPr>
              <w:t>Planning</w:t>
            </w:r>
          </w:p>
          <w:p w:rsidR="006A7A3F" w:rsidRPr="00A1021A" w:rsidRDefault="00BC7372">
            <w:pPr>
              <w:pStyle w:val="TableParagraph"/>
              <w:spacing w:before="2" w:line="254" w:lineRule="auto"/>
              <w:ind w:left="305" w:right="755"/>
              <w:rPr>
                <w:sz w:val="16"/>
                <w:szCs w:val="16"/>
              </w:rPr>
            </w:pPr>
            <w:r w:rsidRPr="00A1021A">
              <w:rPr>
                <w:color w:val="231F20"/>
                <w:sz w:val="16"/>
                <w:szCs w:val="16"/>
              </w:rPr>
              <w:t xml:space="preserve">| Water and </w:t>
            </w:r>
            <w:r w:rsidRPr="00A1021A">
              <w:rPr>
                <w:color w:val="231F20"/>
                <w:spacing w:val="-1"/>
                <w:sz w:val="16"/>
                <w:szCs w:val="16"/>
              </w:rPr>
              <w:t>Catchments</w:t>
            </w:r>
          </w:p>
          <w:p w:rsidR="006A7A3F" w:rsidRPr="00A1021A" w:rsidRDefault="00BC7372">
            <w:pPr>
              <w:pStyle w:val="TableParagraph"/>
              <w:numPr>
                <w:ilvl w:val="0"/>
                <w:numId w:val="1234"/>
              </w:numPr>
              <w:tabs>
                <w:tab w:val="left" w:pos="306"/>
              </w:tabs>
              <w:spacing w:before="86" w:line="254" w:lineRule="auto"/>
              <w:ind w:right="512"/>
              <w:rPr>
                <w:sz w:val="16"/>
                <w:szCs w:val="16"/>
              </w:rPr>
            </w:pPr>
            <w:r w:rsidRPr="00A1021A">
              <w:rPr>
                <w:color w:val="231F20"/>
                <w:sz w:val="16"/>
                <w:szCs w:val="16"/>
              </w:rPr>
              <w:t xml:space="preserve">Southern </w:t>
            </w:r>
            <w:r w:rsidRPr="00A1021A">
              <w:rPr>
                <w:color w:val="231F20"/>
                <w:spacing w:val="-4"/>
                <w:sz w:val="16"/>
                <w:szCs w:val="16"/>
              </w:rPr>
              <w:t xml:space="preserve">Rural </w:t>
            </w:r>
            <w:r w:rsidRPr="00A1021A">
              <w:rPr>
                <w:color w:val="231F20"/>
                <w:spacing w:val="-3"/>
                <w:sz w:val="16"/>
                <w:szCs w:val="16"/>
              </w:rPr>
              <w:t>Water</w:t>
            </w:r>
          </w:p>
          <w:p w:rsidR="006A7A3F" w:rsidRPr="00A1021A" w:rsidRDefault="00BC7372">
            <w:pPr>
              <w:pStyle w:val="TableParagraph"/>
              <w:numPr>
                <w:ilvl w:val="0"/>
                <w:numId w:val="1234"/>
              </w:numPr>
              <w:tabs>
                <w:tab w:val="left" w:pos="306"/>
              </w:tabs>
              <w:spacing w:before="87"/>
              <w:rPr>
                <w:sz w:val="16"/>
                <w:szCs w:val="16"/>
              </w:rPr>
            </w:pPr>
            <w:r w:rsidRPr="00A1021A">
              <w:rPr>
                <w:color w:val="231F20"/>
                <w:sz w:val="16"/>
                <w:szCs w:val="16"/>
              </w:rPr>
              <w:t>Western</w:t>
            </w:r>
            <w:r w:rsidRPr="00A1021A">
              <w:rPr>
                <w:color w:val="231F20"/>
                <w:spacing w:val="-2"/>
                <w:sz w:val="16"/>
                <w:szCs w:val="16"/>
              </w:rPr>
              <w:t xml:space="preserve"> </w:t>
            </w:r>
            <w:r w:rsidRPr="00A1021A">
              <w:rPr>
                <w:color w:val="231F20"/>
                <w:spacing w:val="-3"/>
                <w:sz w:val="16"/>
                <w:szCs w:val="16"/>
              </w:rPr>
              <w:t>Water</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Collaborate</w:t>
            </w:r>
          </w:p>
          <w:p w:rsidR="006A7A3F" w:rsidRPr="00A1021A" w:rsidRDefault="00BC7372">
            <w:pPr>
              <w:pStyle w:val="TableParagraph"/>
              <w:numPr>
                <w:ilvl w:val="0"/>
                <w:numId w:val="1233"/>
              </w:numPr>
              <w:tabs>
                <w:tab w:val="left" w:pos="306"/>
              </w:tabs>
              <w:spacing w:before="74" w:line="254" w:lineRule="auto"/>
              <w:ind w:right="149"/>
              <w:rPr>
                <w:sz w:val="16"/>
                <w:szCs w:val="16"/>
              </w:rPr>
            </w:pPr>
            <w:r w:rsidRPr="00A1021A">
              <w:rPr>
                <w:color w:val="231F20"/>
                <w:sz w:val="16"/>
                <w:szCs w:val="16"/>
              </w:rPr>
              <w:t>Department of Environment, Land, Water and</w:t>
            </w:r>
            <w:r w:rsidRPr="00A1021A">
              <w:rPr>
                <w:color w:val="231F20"/>
                <w:spacing w:val="-13"/>
                <w:sz w:val="16"/>
                <w:szCs w:val="16"/>
              </w:rPr>
              <w:t xml:space="preserve"> </w:t>
            </w:r>
            <w:r w:rsidRPr="00A1021A">
              <w:rPr>
                <w:color w:val="231F20"/>
                <w:sz w:val="16"/>
                <w:szCs w:val="16"/>
              </w:rPr>
              <w:t>Planning</w:t>
            </w:r>
          </w:p>
          <w:p w:rsidR="006A7A3F" w:rsidRPr="00A1021A" w:rsidRDefault="00BC7372">
            <w:pPr>
              <w:pStyle w:val="TableParagraph"/>
              <w:spacing w:before="2" w:line="254" w:lineRule="auto"/>
              <w:ind w:left="305" w:right="755"/>
              <w:rPr>
                <w:sz w:val="16"/>
                <w:szCs w:val="16"/>
              </w:rPr>
            </w:pPr>
            <w:r w:rsidRPr="00A1021A">
              <w:rPr>
                <w:color w:val="231F20"/>
                <w:sz w:val="16"/>
                <w:szCs w:val="16"/>
              </w:rPr>
              <w:t xml:space="preserve">| Water and </w:t>
            </w:r>
            <w:r w:rsidRPr="00A1021A">
              <w:rPr>
                <w:color w:val="231F20"/>
                <w:spacing w:val="-1"/>
                <w:sz w:val="16"/>
                <w:szCs w:val="16"/>
              </w:rPr>
              <w:t>Catchments</w:t>
            </w:r>
          </w:p>
          <w:p w:rsidR="006A7A3F" w:rsidRPr="00A1021A" w:rsidRDefault="00BC7372">
            <w:pPr>
              <w:pStyle w:val="TableParagraph"/>
              <w:numPr>
                <w:ilvl w:val="0"/>
                <w:numId w:val="1233"/>
              </w:numPr>
              <w:tabs>
                <w:tab w:val="left" w:pos="306"/>
              </w:tabs>
              <w:spacing w:before="86" w:line="254" w:lineRule="auto"/>
              <w:ind w:right="512"/>
              <w:rPr>
                <w:sz w:val="16"/>
                <w:szCs w:val="16"/>
              </w:rPr>
            </w:pPr>
            <w:r w:rsidRPr="00A1021A">
              <w:rPr>
                <w:color w:val="231F20"/>
                <w:sz w:val="16"/>
                <w:szCs w:val="16"/>
              </w:rPr>
              <w:t xml:space="preserve">Southern </w:t>
            </w:r>
            <w:r w:rsidRPr="00A1021A">
              <w:rPr>
                <w:color w:val="231F20"/>
                <w:spacing w:val="-4"/>
                <w:sz w:val="16"/>
                <w:szCs w:val="16"/>
              </w:rPr>
              <w:t xml:space="preserve">Rural </w:t>
            </w:r>
            <w:r w:rsidRPr="00A1021A">
              <w:rPr>
                <w:color w:val="231F20"/>
                <w:spacing w:val="-3"/>
                <w:sz w:val="16"/>
                <w:szCs w:val="16"/>
              </w:rPr>
              <w:t>Water</w:t>
            </w:r>
          </w:p>
          <w:p w:rsidR="006A7A3F" w:rsidRPr="00A1021A" w:rsidRDefault="00BC7372">
            <w:pPr>
              <w:pStyle w:val="TableParagraph"/>
              <w:numPr>
                <w:ilvl w:val="0"/>
                <w:numId w:val="1233"/>
              </w:numPr>
              <w:tabs>
                <w:tab w:val="left" w:pos="306"/>
              </w:tabs>
              <w:spacing w:before="87"/>
              <w:rPr>
                <w:sz w:val="16"/>
                <w:szCs w:val="16"/>
              </w:rPr>
            </w:pPr>
            <w:r w:rsidRPr="00A1021A">
              <w:rPr>
                <w:color w:val="231F20"/>
                <w:sz w:val="16"/>
                <w:szCs w:val="16"/>
              </w:rPr>
              <w:t>Western</w:t>
            </w:r>
            <w:r w:rsidRPr="00A1021A">
              <w:rPr>
                <w:color w:val="231F20"/>
                <w:spacing w:val="-2"/>
                <w:sz w:val="16"/>
                <w:szCs w:val="16"/>
              </w:rPr>
              <w:t xml:space="preserve"> </w:t>
            </w:r>
            <w:r w:rsidRPr="00A1021A">
              <w:rPr>
                <w:color w:val="231F20"/>
                <w:spacing w:val="-3"/>
                <w:sz w:val="16"/>
                <w:szCs w:val="16"/>
              </w:rPr>
              <w:t>Water</w:t>
            </w:r>
          </w:p>
        </w:tc>
      </w:tr>
      <w:tr w:rsidR="006A7A3F" w:rsidRPr="00A1021A">
        <w:trPr>
          <w:trHeight w:val="3065"/>
        </w:trPr>
        <w:tc>
          <w:tcPr>
            <w:tcW w:w="2038" w:type="dxa"/>
            <w:vMerge/>
            <w:tcBorders>
              <w:top w:val="nil"/>
            </w:tcBorders>
          </w:tcPr>
          <w:p w:rsidR="006A7A3F" w:rsidRPr="00A1021A" w:rsidRDefault="006A7A3F">
            <w:pPr>
              <w:rPr>
                <w:sz w:val="16"/>
                <w:szCs w:val="16"/>
              </w:rPr>
            </w:pPr>
          </w:p>
        </w:tc>
        <w:tc>
          <w:tcPr>
            <w:tcW w:w="2043" w:type="dxa"/>
          </w:tcPr>
          <w:p w:rsidR="006A7A3F" w:rsidRPr="00A1021A" w:rsidRDefault="00BC7372">
            <w:pPr>
              <w:pStyle w:val="TableParagraph"/>
              <w:spacing w:before="74"/>
              <w:ind w:left="87"/>
              <w:rPr>
                <w:b/>
                <w:sz w:val="16"/>
                <w:szCs w:val="16"/>
              </w:rPr>
            </w:pPr>
            <w:r w:rsidRPr="00A1021A">
              <w:rPr>
                <w:b/>
                <w:color w:val="231F20"/>
                <w:sz w:val="16"/>
                <w:szCs w:val="16"/>
              </w:rPr>
              <w:t>IAP2 level: Inform</w:t>
            </w:r>
          </w:p>
          <w:p w:rsidR="006A7A3F" w:rsidRPr="00A1021A" w:rsidRDefault="00BC7372">
            <w:pPr>
              <w:pStyle w:val="TableParagraph"/>
              <w:numPr>
                <w:ilvl w:val="0"/>
                <w:numId w:val="1232"/>
              </w:numPr>
              <w:tabs>
                <w:tab w:val="left" w:pos="308"/>
              </w:tabs>
              <w:spacing w:before="74" w:line="254" w:lineRule="auto"/>
              <w:ind w:right="162"/>
              <w:rPr>
                <w:sz w:val="16"/>
                <w:szCs w:val="16"/>
              </w:rPr>
            </w:pPr>
            <w:r w:rsidRPr="00A1021A">
              <w:rPr>
                <w:color w:val="231F20"/>
                <w:sz w:val="16"/>
                <w:szCs w:val="16"/>
              </w:rPr>
              <w:t>Environment Protection</w:t>
            </w:r>
            <w:r w:rsidRPr="00A1021A">
              <w:rPr>
                <w:color w:val="231F20"/>
                <w:spacing w:val="-22"/>
                <w:sz w:val="16"/>
                <w:szCs w:val="16"/>
              </w:rPr>
              <w:t xml:space="preserve"> </w:t>
            </w:r>
            <w:r w:rsidRPr="00A1021A">
              <w:rPr>
                <w:color w:val="231F20"/>
                <w:sz w:val="16"/>
                <w:szCs w:val="16"/>
              </w:rPr>
              <w:t>Authority</w:t>
            </w:r>
          </w:p>
          <w:p w:rsidR="006A7A3F" w:rsidRPr="00A1021A" w:rsidRDefault="00BC7372">
            <w:pPr>
              <w:pStyle w:val="TableParagraph"/>
              <w:numPr>
                <w:ilvl w:val="0"/>
                <w:numId w:val="1232"/>
              </w:numPr>
              <w:tabs>
                <w:tab w:val="left" w:pos="308"/>
              </w:tabs>
              <w:spacing w:before="87" w:line="254" w:lineRule="auto"/>
              <w:ind w:right="512"/>
              <w:rPr>
                <w:sz w:val="16"/>
                <w:szCs w:val="16"/>
              </w:rPr>
            </w:pPr>
            <w:r w:rsidRPr="00A1021A">
              <w:rPr>
                <w:color w:val="231F20"/>
                <w:sz w:val="16"/>
                <w:szCs w:val="16"/>
              </w:rPr>
              <w:t xml:space="preserve">Port Phillip </w:t>
            </w:r>
            <w:r w:rsidRPr="00A1021A">
              <w:rPr>
                <w:color w:val="231F20"/>
                <w:spacing w:val="-6"/>
                <w:sz w:val="16"/>
                <w:szCs w:val="16"/>
              </w:rPr>
              <w:t xml:space="preserve">and </w:t>
            </w:r>
            <w:r w:rsidRPr="00A1021A">
              <w:rPr>
                <w:color w:val="231F20"/>
                <w:sz w:val="16"/>
                <w:szCs w:val="16"/>
              </w:rPr>
              <w:t>Westernport Catchment Management Authority</w:t>
            </w:r>
          </w:p>
          <w:p w:rsidR="006A7A3F" w:rsidRPr="00A1021A" w:rsidRDefault="00BC7372">
            <w:pPr>
              <w:pStyle w:val="TableParagraph"/>
              <w:numPr>
                <w:ilvl w:val="0"/>
                <w:numId w:val="1232"/>
              </w:numPr>
              <w:tabs>
                <w:tab w:val="left" w:pos="308"/>
              </w:tabs>
              <w:spacing w:before="88" w:line="254" w:lineRule="auto"/>
              <w:ind w:right="633"/>
              <w:rPr>
                <w:sz w:val="16"/>
                <w:szCs w:val="16"/>
              </w:rPr>
            </w:pPr>
            <w:r w:rsidRPr="00A1021A">
              <w:rPr>
                <w:color w:val="231F20"/>
                <w:sz w:val="16"/>
                <w:szCs w:val="16"/>
              </w:rPr>
              <w:t>Nillumbik City Council</w:t>
            </w:r>
          </w:p>
          <w:p w:rsidR="006A7A3F" w:rsidRPr="00A1021A" w:rsidRDefault="00BC7372">
            <w:pPr>
              <w:pStyle w:val="TableParagraph"/>
              <w:numPr>
                <w:ilvl w:val="0"/>
                <w:numId w:val="1232"/>
              </w:numPr>
              <w:tabs>
                <w:tab w:val="left" w:pos="308"/>
              </w:tabs>
              <w:spacing w:before="86" w:line="254" w:lineRule="auto"/>
              <w:ind w:right="156"/>
              <w:rPr>
                <w:sz w:val="16"/>
                <w:szCs w:val="16"/>
              </w:rPr>
            </w:pPr>
            <w:r w:rsidRPr="00A1021A">
              <w:rPr>
                <w:color w:val="231F20"/>
                <w:spacing w:val="-4"/>
                <w:sz w:val="16"/>
                <w:szCs w:val="16"/>
              </w:rPr>
              <w:t xml:space="preserve">Yarra </w:t>
            </w:r>
            <w:r w:rsidRPr="00A1021A">
              <w:rPr>
                <w:color w:val="231F20"/>
                <w:sz w:val="16"/>
                <w:szCs w:val="16"/>
              </w:rPr>
              <w:t>Ranges Shire Council</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31"/>
              </w:numPr>
              <w:tabs>
                <w:tab w:val="left" w:pos="306"/>
              </w:tabs>
              <w:spacing w:before="74" w:line="254" w:lineRule="auto"/>
              <w:ind w:right="502"/>
              <w:rPr>
                <w:sz w:val="16"/>
                <w:szCs w:val="16"/>
              </w:rPr>
            </w:pPr>
            <w:r w:rsidRPr="00A1021A">
              <w:rPr>
                <w:color w:val="231F20"/>
                <w:sz w:val="16"/>
                <w:szCs w:val="16"/>
              </w:rPr>
              <w:t xml:space="preserve">Baw Baw </w:t>
            </w:r>
            <w:r w:rsidRPr="00A1021A">
              <w:rPr>
                <w:color w:val="231F20"/>
                <w:spacing w:val="-4"/>
                <w:sz w:val="16"/>
                <w:szCs w:val="16"/>
              </w:rPr>
              <w:t xml:space="preserve">Shire </w:t>
            </w:r>
            <w:r w:rsidRPr="00A1021A">
              <w:rPr>
                <w:color w:val="231F20"/>
                <w:sz w:val="16"/>
                <w:szCs w:val="16"/>
              </w:rPr>
              <w:t>Council</w:t>
            </w:r>
          </w:p>
          <w:p w:rsidR="006A7A3F" w:rsidRPr="00A1021A" w:rsidRDefault="00BC7372">
            <w:pPr>
              <w:pStyle w:val="TableParagraph"/>
              <w:numPr>
                <w:ilvl w:val="0"/>
                <w:numId w:val="1231"/>
              </w:numPr>
              <w:tabs>
                <w:tab w:val="left" w:pos="306"/>
              </w:tabs>
              <w:spacing w:before="87" w:line="254" w:lineRule="auto"/>
              <w:ind w:right="582"/>
              <w:rPr>
                <w:sz w:val="16"/>
                <w:szCs w:val="16"/>
              </w:rPr>
            </w:pPr>
            <w:r w:rsidRPr="00A1021A">
              <w:rPr>
                <w:color w:val="231F20"/>
                <w:sz w:val="16"/>
                <w:szCs w:val="16"/>
              </w:rPr>
              <w:t>Cardinia Shire Council</w:t>
            </w:r>
          </w:p>
          <w:p w:rsidR="006A7A3F" w:rsidRPr="00A1021A" w:rsidRDefault="00BC7372">
            <w:pPr>
              <w:pStyle w:val="TableParagraph"/>
              <w:numPr>
                <w:ilvl w:val="0"/>
                <w:numId w:val="1231"/>
              </w:numPr>
              <w:tabs>
                <w:tab w:val="left" w:pos="306"/>
              </w:tabs>
              <w:spacing w:before="86" w:line="254" w:lineRule="auto"/>
              <w:ind w:right="162"/>
              <w:rPr>
                <w:sz w:val="16"/>
                <w:szCs w:val="16"/>
              </w:rPr>
            </w:pPr>
            <w:r w:rsidRPr="00A1021A">
              <w:rPr>
                <w:color w:val="231F20"/>
                <w:sz w:val="16"/>
                <w:szCs w:val="16"/>
              </w:rPr>
              <w:t>Environment Protection</w:t>
            </w:r>
            <w:r w:rsidRPr="00A1021A">
              <w:rPr>
                <w:color w:val="231F20"/>
                <w:spacing w:val="-22"/>
                <w:sz w:val="16"/>
                <w:szCs w:val="16"/>
              </w:rPr>
              <w:t xml:space="preserve"> </w:t>
            </w:r>
            <w:r w:rsidRPr="00A1021A">
              <w:rPr>
                <w:color w:val="231F20"/>
                <w:sz w:val="16"/>
                <w:szCs w:val="16"/>
              </w:rPr>
              <w:t>Authority</w:t>
            </w:r>
          </w:p>
          <w:p w:rsidR="006A7A3F" w:rsidRPr="00A1021A" w:rsidRDefault="00BC7372">
            <w:pPr>
              <w:pStyle w:val="TableParagraph"/>
              <w:numPr>
                <w:ilvl w:val="0"/>
                <w:numId w:val="1231"/>
              </w:numPr>
              <w:tabs>
                <w:tab w:val="left" w:pos="306"/>
              </w:tabs>
              <w:spacing w:before="86" w:line="254" w:lineRule="auto"/>
              <w:ind w:right="512"/>
              <w:rPr>
                <w:sz w:val="16"/>
                <w:szCs w:val="16"/>
              </w:rPr>
            </w:pPr>
            <w:r w:rsidRPr="00A1021A">
              <w:rPr>
                <w:color w:val="231F20"/>
                <w:sz w:val="16"/>
                <w:szCs w:val="16"/>
              </w:rPr>
              <w:t xml:space="preserve">Port Phillip </w:t>
            </w:r>
            <w:r w:rsidRPr="00A1021A">
              <w:rPr>
                <w:color w:val="231F20"/>
                <w:spacing w:val="-6"/>
                <w:sz w:val="16"/>
                <w:szCs w:val="16"/>
              </w:rPr>
              <w:t xml:space="preserve">and </w:t>
            </w:r>
            <w:r w:rsidRPr="00A1021A">
              <w:rPr>
                <w:color w:val="231F20"/>
                <w:sz w:val="16"/>
                <w:szCs w:val="16"/>
              </w:rPr>
              <w:t>Westernport Catchment Management Authority</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30"/>
              </w:numPr>
              <w:tabs>
                <w:tab w:val="left" w:pos="306"/>
              </w:tabs>
              <w:spacing w:before="74" w:line="254" w:lineRule="auto"/>
              <w:ind w:right="162"/>
              <w:rPr>
                <w:sz w:val="16"/>
                <w:szCs w:val="16"/>
              </w:rPr>
            </w:pPr>
            <w:r w:rsidRPr="00A1021A">
              <w:rPr>
                <w:color w:val="231F20"/>
                <w:sz w:val="16"/>
                <w:szCs w:val="16"/>
              </w:rPr>
              <w:t>Environment Protection</w:t>
            </w:r>
            <w:r w:rsidRPr="00A1021A">
              <w:rPr>
                <w:color w:val="231F20"/>
                <w:spacing w:val="-22"/>
                <w:sz w:val="16"/>
                <w:szCs w:val="16"/>
              </w:rPr>
              <w:t xml:space="preserve"> </w:t>
            </w:r>
            <w:r w:rsidRPr="00A1021A">
              <w:rPr>
                <w:color w:val="231F20"/>
                <w:sz w:val="16"/>
                <w:szCs w:val="16"/>
              </w:rPr>
              <w:t>Authority</w:t>
            </w:r>
          </w:p>
          <w:p w:rsidR="006A7A3F" w:rsidRPr="00A1021A" w:rsidRDefault="00BC7372">
            <w:pPr>
              <w:pStyle w:val="TableParagraph"/>
              <w:numPr>
                <w:ilvl w:val="0"/>
                <w:numId w:val="1230"/>
              </w:numPr>
              <w:tabs>
                <w:tab w:val="left" w:pos="306"/>
              </w:tabs>
              <w:spacing w:before="87" w:line="254" w:lineRule="auto"/>
              <w:ind w:right="512"/>
              <w:rPr>
                <w:sz w:val="16"/>
                <w:szCs w:val="16"/>
              </w:rPr>
            </w:pPr>
            <w:r w:rsidRPr="00A1021A">
              <w:rPr>
                <w:color w:val="231F20"/>
                <w:sz w:val="16"/>
                <w:szCs w:val="16"/>
              </w:rPr>
              <w:t xml:space="preserve">Port Phillip </w:t>
            </w:r>
            <w:r w:rsidRPr="00A1021A">
              <w:rPr>
                <w:color w:val="231F20"/>
                <w:spacing w:val="-6"/>
                <w:sz w:val="16"/>
                <w:szCs w:val="16"/>
              </w:rPr>
              <w:t xml:space="preserve">and </w:t>
            </w:r>
            <w:r w:rsidRPr="00A1021A">
              <w:rPr>
                <w:color w:val="231F20"/>
                <w:sz w:val="16"/>
                <w:szCs w:val="16"/>
              </w:rPr>
              <w:t>Westernport Catchment Management Authority</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29"/>
              </w:numPr>
              <w:tabs>
                <w:tab w:val="left" w:pos="306"/>
              </w:tabs>
              <w:spacing w:before="74" w:line="254" w:lineRule="auto"/>
              <w:ind w:right="162"/>
              <w:rPr>
                <w:sz w:val="16"/>
                <w:szCs w:val="16"/>
              </w:rPr>
            </w:pPr>
            <w:r w:rsidRPr="00A1021A">
              <w:rPr>
                <w:color w:val="231F20"/>
                <w:sz w:val="16"/>
                <w:szCs w:val="16"/>
              </w:rPr>
              <w:t>Environment Protection</w:t>
            </w:r>
            <w:r w:rsidRPr="00A1021A">
              <w:rPr>
                <w:color w:val="231F20"/>
                <w:spacing w:val="-22"/>
                <w:sz w:val="16"/>
                <w:szCs w:val="16"/>
              </w:rPr>
              <w:t xml:space="preserve"> </w:t>
            </w:r>
            <w:r w:rsidRPr="00A1021A">
              <w:rPr>
                <w:color w:val="231F20"/>
                <w:sz w:val="16"/>
                <w:szCs w:val="16"/>
              </w:rPr>
              <w:t>Authority</w:t>
            </w:r>
          </w:p>
          <w:p w:rsidR="006A7A3F" w:rsidRPr="00A1021A" w:rsidRDefault="00BC7372">
            <w:pPr>
              <w:pStyle w:val="TableParagraph"/>
              <w:numPr>
                <w:ilvl w:val="0"/>
                <w:numId w:val="1229"/>
              </w:numPr>
              <w:tabs>
                <w:tab w:val="left" w:pos="306"/>
              </w:tabs>
              <w:spacing w:before="87" w:line="254" w:lineRule="auto"/>
              <w:ind w:right="166"/>
              <w:rPr>
                <w:sz w:val="16"/>
                <w:szCs w:val="16"/>
              </w:rPr>
            </w:pPr>
            <w:r w:rsidRPr="00A1021A">
              <w:rPr>
                <w:color w:val="231F20"/>
                <w:sz w:val="16"/>
                <w:szCs w:val="16"/>
              </w:rPr>
              <w:t>Parks Victoria</w:t>
            </w:r>
            <w:r w:rsidRPr="00A1021A">
              <w:rPr>
                <w:color w:val="231F20"/>
                <w:spacing w:val="-11"/>
                <w:sz w:val="16"/>
                <w:szCs w:val="16"/>
              </w:rPr>
              <w:t xml:space="preserve"> </w:t>
            </w:r>
            <w:r w:rsidRPr="00A1021A">
              <w:rPr>
                <w:color w:val="231F20"/>
                <w:sz w:val="16"/>
                <w:szCs w:val="16"/>
              </w:rPr>
              <w:t>(land manager)</w:t>
            </w:r>
          </w:p>
          <w:p w:rsidR="006A7A3F" w:rsidRPr="00A1021A" w:rsidRDefault="00BC7372">
            <w:pPr>
              <w:pStyle w:val="TableParagraph"/>
              <w:numPr>
                <w:ilvl w:val="0"/>
                <w:numId w:val="1229"/>
              </w:numPr>
              <w:tabs>
                <w:tab w:val="left" w:pos="306"/>
              </w:tabs>
              <w:spacing w:before="86" w:line="254" w:lineRule="auto"/>
              <w:ind w:right="512"/>
              <w:rPr>
                <w:sz w:val="16"/>
                <w:szCs w:val="16"/>
              </w:rPr>
            </w:pPr>
            <w:r w:rsidRPr="00A1021A">
              <w:rPr>
                <w:color w:val="231F20"/>
                <w:sz w:val="16"/>
                <w:szCs w:val="16"/>
              </w:rPr>
              <w:t xml:space="preserve">Port Phillip </w:t>
            </w:r>
            <w:r w:rsidRPr="00A1021A">
              <w:rPr>
                <w:color w:val="231F20"/>
                <w:spacing w:val="-6"/>
                <w:sz w:val="16"/>
                <w:szCs w:val="16"/>
              </w:rPr>
              <w:t xml:space="preserve">and </w:t>
            </w:r>
            <w:r w:rsidRPr="00A1021A">
              <w:rPr>
                <w:color w:val="231F20"/>
                <w:sz w:val="16"/>
                <w:szCs w:val="16"/>
              </w:rPr>
              <w:t>Westernport Catchment Management Authority</w:t>
            </w:r>
          </w:p>
          <w:p w:rsidR="006A7A3F" w:rsidRPr="00A1021A" w:rsidRDefault="00BC7372">
            <w:pPr>
              <w:pStyle w:val="TableParagraph"/>
              <w:numPr>
                <w:ilvl w:val="0"/>
                <w:numId w:val="1229"/>
              </w:numPr>
              <w:tabs>
                <w:tab w:val="left" w:pos="306"/>
              </w:tabs>
              <w:spacing w:before="88" w:line="254" w:lineRule="auto"/>
              <w:ind w:right="554"/>
              <w:rPr>
                <w:sz w:val="16"/>
                <w:szCs w:val="16"/>
              </w:rPr>
            </w:pPr>
            <w:r w:rsidRPr="00A1021A">
              <w:rPr>
                <w:color w:val="231F20"/>
                <w:sz w:val="16"/>
                <w:szCs w:val="16"/>
              </w:rPr>
              <w:t xml:space="preserve">Wyndham </w:t>
            </w:r>
            <w:r w:rsidRPr="00A1021A">
              <w:rPr>
                <w:color w:val="231F20"/>
                <w:spacing w:val="-4"/>
                <w:sz w:val="16"/>
                <w:szCs w:val="16"/>
              </w:rPr>
              <w:t xml:space="preserve">City </w:t>
            </w:r>
            <w:r w:rsidRPr="00A1021A">
              <w:rPr>
                <w:color w:val="231F20"/>
                <w:sz w:val="16"/>
                <w:szCs w:val="16"/>
              </w:rPr>
              <w:t>Council</w:t>
            </w:r>
          </w:p>
        </w:tc>
      </w:tr>
      <w:tr w:rsidR="006A7A3F" w:rsidRPr="00A1021A">
        <w:trPr>
          <w:trHeight w:val="1269"/>
        </w:trPr>
        <w:tc>
          <w:tcPr>
            <w:tcW w:w="2038" w:type="dxa"/>
          </w:tcPr>
          <w:p w:rsidR="006A7A3F" w:rsidRPr="00A1021A" w:rsidRDefault="00BC7372">
            <w:pPr>
              <w:pStyle w:val="TableParagraph"/>
              <w:spacing w:before="74"/>
              <w:ind w:left="85"/>
              <w:rPr>
                <w:sz w:val="16"/>
                <w:szCs w:val="16"/>
              </w:rPr>
            </w:pPr>
            <w:r w:rsidRPr="00A1021A">
              <w:rPr>
                <w:color w:val="231F20"/>
                <w:sz w:val="16"/>
                <w:szCs w:val="16"/>
              </w:rPr>
              <w:t>Landholders/ farmers</w:t>
            </w:r>
          </w:p>
        </w:tc>
        <w:tc>
          <w:tcPr>
            <w:tcW w:w="2043" w:type="dxa"/>
          </w:tcPr>
          <w:p w:rsidR="006A7A3F" w:rsidRPr="00A1021A" w:rsidRDefault="00BC7372">
            <w:pPr>
              <w:pStyle w:val="TableParagraph"/>
              <w:spacing w:before="74"/>
              <w:ind w:left="87"/>
              <w:rPr>
                <w:b/>
                <w:sz w:val="16"/>
                <w:szCs w:val="16"/>
              </w:rPr>
            </w:pPr>
            <w:r w:rsidRPr="00A1021A">
              <w:rPr>
                <w:b/>
                <w:color w:val="231F20"/>
                <w:sz w:val="16"/>
                <w:szCs w:val="16"/>
              </w:rPr>
              <w:t>IAP2 level: Inform</w:t>
            </w:r>
          </w:p>
          <w:p w:rsidR="006A7A3F" w:rsidRPr="00A1021A" w:rsidRDefault="00BC7372">
            <w:pPr>
              <w:pStyle w:val="TableParagraph"/>
              <w:numPr>
                <w:ilvl w:val="0"/>
                <w:numId w:val="1228"/>
              </w:numPr>
              <w:tabs>
                <w:tab w:val="left" w:pos="308"/>
              </w:tabs>
              <w:spacing w:before="74" w:line="254" w:lineRule="auto"/>
              <w:ind w:right="793"/>
              <w:rPr>
                <w:sz w:val="16"/>
                <w:szCs w:val="16"/>
              </w:rPr>
            </w:pPr>
            <w:r w:rsidRPr="00A1021A">
              <w:rPr>
                <w:color w:val="231F20"/>
                <w:sz w:val="16"/>
                <w:szCs w:val="16"/>
              </w:rPr>
              <w:t xml:space="preserve">Individual </w:t>
            </w:r>
            <w:r w:rsidRPr="00A1021A">
              <w:rPr>
                <w:color w:val="231F20"/>
                <w:spacing w:val="-1"/>
                <w:sz w:val="16"/>
                <w:szCs w:val="16"/>
              </w:rPr>
              <w:t>landholders</w:t>
            </w:r>
          </w:p>
          <w:p w:rsidR="006A7A3F" w:rsidRPr="00A1021A" w:rsidRDefault="00BC7372">
            <w:pPr>
              <w:pStyle w:val="TableParagraph"/>
              <w:numPr>
                <w:ilvl w:val="0"/>
                <w:numId w:val="1228"/>
              </w:numPr>
              <w:tabs>
                <w:tab w:val="left" w:pos="308"/>
              </w:tabs>
              <w:spacing w:before="87"/>
              <w:rPr>
                <w:sz w:val="16"/>
                <w:szCs w:val="16"/>
              </w:rPr>
            </w:pPr>
            <w:r w:rsidRPr="00A1021A">
              <w:rPr>
                <w:color w:val="231F20"/>
                <w:sz w:val="16"/>
                <w:szCs w:val="16"/>
              </w:rPr>
              <w:t>Licensed</w:t>
            </w:r>
            <w:r w:rsidRPr="00A1021A">
              <w:rPr>
                <w:color w:val="231F20"/>
                <w:spacing w:val="-4"/>
                <w:sz w:val="16"/>
                <w:szCs w:val="16"/>
              </w:rPr>
              <w:t xml:space="preserve"> </w:t>
            </w:r>
            <w:r w:rsidRPr="00A1021A">
              <w:rPr>
                <w:color w:val="231F20"/>
                <w:sz w:val="16"/>
                <w:szCs w:val="16"/>
              </w:rPr>
              <w:t>diverters</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27"/>
              </w:numPr>
              <w:tabs>
                <w:tab w:val="left" w:pos="306"/>
              </w:tabs>
              <w:spacing w:before="74" w:line="254" w:lineRule="auto"/>
              <w:ind w:right="792"/>
              <w:rPr>
                <w:sz w:val="16"/>
                <w:szCs w:val="16"/>
              </w:rPr>
            </w:pPr>
            <w:r w:rsidRPr="00A1021A">
              <w:rPr>
                <w:color w:val="231F20"/>
                <w:sz w:val="16"/>
                <w:szCs w:val="16"/>
              </w:rPr>
              <w:t xml:space="preserve">Individual </w:t>
            </w:r>
            <w:r w:rsidRPr="00A1021A">
              <w:rPr>
                <w:color w:val="231F20"/>
                <w:spacing w:val="-1"/>
                <w:sz w:val="16"/>
                <w:szCs w:val="16"/>
              </w:rPr>
              <w:t>landholders</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26"/>
              </w:numPr>
              <w:tabs>
                <w:tab w:val="left" w:pos="306"/>
              </w:tabs>
              <w:spacing w:before="74" w:line="254" w:lineRule="auto"/>
              <w:ind w:right="322"/>
              <w:rPr>
                <w:sz w:val="16"/>
                <w:szCs w:val="16"/>
              </w:rPr>
            </w:pPr>
            <w:r w:rsidRPr="00A1021A">
              <w:rPr>
                <w:color w:val="231F20"/>
                <w:sz w:val="16"/>
                <w:szCs w:val="16"/>
              </w:rPr>
              <w:t>Licenced diverters from</w:t>
            </w:r>
            <w:r w:rsidRPr="00A1021A">
              <w:rPr>
                <w:color w:val="231F20"/>
                <w:spacing w:val="-9"/>
                <w:sz w:val="16"/>
                <w:szCs w:val="16"/>
              </w:rPr>
              <w:t xml:space="preserve"> </w:t>
            </w:r>
            <w:r w:rsidRPr="00A1021A">
              <w:rPr>
                <w:color w:val="231F20"/>
                <w:sz w:val="16"/>
                <w:szCs w:val="16"/>
              </w:rPr>
              <w:t>the</w:t>
            </w:r>
          </w:p>
          <w:p w:rsidR="006A7A3F" w:rsidRPr="00A1021A" w:rsidRDefault="00BC7372">
            <w:pPr>
              <w:pStyle w:val="TableParagraph"/>
              <w:spacing w:before="2" w:line="254" w:lineRule="auto"/>
              <w:ind w:left="305" w:right="235"/>
              <w:rPr>
                <w:sz w:val="16"/>
                <w:szCs w:val="16"/>
              </w:rPr>
            </w:pPr>
            <w:r w:rsidRPr="00A1021A">
              <w:rPr>
                <w:color w:val="231F20"/>
                <w:sz w:val="16"/>
                <w:szCs w:val="16"/>
              </w:rPr>
              <w:t>Maribyrnong River at Keilor</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25"/>
              </w:numPr>
              <w:tabs>
                <w:tab w:val="left" w:pos="306"/>
              </w:tabs>
              <w:spacing w:before="74"/>
              <w:rPr>
                <w:sz w:val="16"/>
                <w:szCs w:val="16"/>
              </w:rPr>
            </w:pPr>
            <w:r w:rsidRPr="00A1021A">
              <w:rPr>
                <w:color w:val="231F20"/>
                <w:sz w:val="16"/>
                <w:szCs w:val="16"/>
              </w:rPr>
              <w:t>Zoos</w:t>
            </w:r>
            <w:r w:rsidRPr="00A1021A">
              <w:rPr>
                <w:color w:val="231F20"/>
                <w:spacing w:val="-1"/>
                <w:sz w:val="16"/>
                <w:szCs w:val="16"/>
              </w:rPr>
              <w:t xml:space="preserve"> </w:t>
            </w:r>
            <w:r w:rsidRPr="00A1021A">
              <w:rPr>
                <w:color w:val="231F20"/>
                <w:sz w:val="16"/>
                <w:szCs w:val="16"/>
              </w:rPr>
              <w:t>Victoria</w:t>
            </w:r>
          </w:p>
        </w:tc>
      </w:tr>
      <w:tr w:rsidR="006A7A3F" w:rsidRPr="00A1021A">
        <w:trPr>
          <w:trHeight w:val="829"/>
        </w:trPr>
        <w:tc>
          <w:tcPr>
            <w:tcW w:w="2038" w:type="dxa"/>
          </w:tcPr>
          <w:p w:rsidR="006A7A3F" w:rsidRPr="00A1021A" w:rsidRDefault="00BC7372">
            <w:pPr>
              <w:pStyle w:val="TableParagraph"/>
              <w:spacing w:before="74"/>
              <w:ind w:left="85"/>
              <w:rPr>
                <w:sz w:val="16"/>
                <w:szCs w:val="16"/>
              </w:rPr>
            </w:pPr>
            <w:r w:rsidRPr="00A1021A">
              <w:rPr>
                <w:color w:val="231F20"/>
                <w:sz w:val="16"/>
                <w:szCs w:val="16"/>
              </w:rPr>
              <w:t>Local businesses</w:t>
            </w:r>
          </w:p>
        </w:tc>
        <w:tc>
          <w:tcPr>
            <w:tcW w:w="2043" w:type="dxa"/>
          </w:tcPr>
          <w:p w:rsidR="006A7A3F" w:rsidRPr="00A1021A" w:rsidRDefault="00BC7372">
            <w:pPr>
              <w:pStyle w:val="TableParagraph"/>
              <w:spacing w:before="74"/>
              <w:ind w:left="87"/>
              <w:rPr>
                <w:b/>
                <w:sz w:val="16"/>
                <w:szCs w:val="16"/>
              </w:rPr>
            </w:pPr>
            <w:r w:rsidRPr="00A1021A">
              <w:rPr>
                <w:b/>
                <w:color w:val="231F20"/>
                <w:sz w:val="16"/>
                <w:szCs w:val="16"/>
              </w:rPr>
              <w:t>IAP2 level: Inform</w:t>
            </w:r>
          </w:p>
          <w:p w:rsidR="006A7A3F" w:rsidRPr="00A1021A" w:rsidRDefault="00BC7372">
            <w:pPr>
              <w:pStyle w:val="TableParagraph"/>
              <w:numPr>
                <w:ilvl w:val="0"/>
                <w:numId w:val="1224"/>
              </w:numPr>
              <w:tabs>
                <w:tab w:val="left" w:pos="308"/>
              </w:tabs>
              <w:spacing w:before="74" w:line="254" w:lineRule="auto"/>
              <w:ind w:right="239"/>
              <w:rPr>
                <w:sz w:val="16"/>
                <w:szCs w:val="16"/>
              </w:rPr>
            </w:pPr>
            <w:r w:rsidRPr="00A1021A">
              <w:rPr>
                <w:color w:val="231F20"/>
                <w:sz w:val="16"/>
                <w:szCs w:val="16"/>
              </w:rPr>
              <w:t>Warburton</w:t>
            </w:r>
            <w:r w:rsidRPr="00A1021A">
              <w:rPr>
                <w:color w:val="231F20"/>
                <w:spacing w:val="-17"/>
                <w:sz w:val="16"/>
                <w:szCs w:val="16"/>
              </w:rPr>
              <w:t xml:space="preserve"> </w:t>
            </w:r>
            <w:r w:rsidRPr="00A1021A">
              <w:rPr>
                <w:color w:val="231F20"/>
                <w:sz w:val="16"/>
                <w:szCs w:val="16"/>
              </w:rPr>
              <w:t>Holiday Park</w:t>
            </w:r>
          </w:p>
        </w:tc>
        <w:tc>
          <w:tcPr>
            <w:tcW w:w="2041" w:type="dxa"/>
          </w:tcPr>
          <w:p w:rsidR="006A7A3F" w:rsidRPr="00A1021A" w:rsidRDefault="00BC7372">
            <w:pPr>
              <w:pStyle w:val="TableParagraph"/>
              <w:spacing w:before="74"/>
              <w:ind w:left="85"/>
              <w:rPr>
                <w:b/>
                <w:sz w:val="16"/>
                <w:szCs w:val="16"/>
              </w:rPr>
            </w:pPr>
            <w:r w:rsidRPr="00A1021A">
              <w:rPr>
                <w:b/>
                <w:color w:val="231F20"/>
                <w:sz w:val="16"/>
                <w:szCs w:val="16"/>
              </w:rPr>
              <w:t>IAP2 level: Inform</w:t>
            </w:r>
          </w:p>
          <w:p w:rsidR="006A7A3F" w:rsidRPr="00A1021A" w:rsidRDefault="00BC7372">
            <w:pPr>
              <w:pStyle w:val="TableParagraph"/>
              <w:numPr>
                <w:ilvl w:val="0"/>
                <w:numId w:val="1223"/>
              </w:numPr>
              <w:tabs>
                <w:tab w:val="left" w:pos="306"/>
              </w:tabs>
              <w:spacing w:before="74" w:line="254" w:lineRule="auto"/>
              <w:ind w:right="622"/>
              <w:rPr>
                <w:sz w:val="16"/>
                <w:szCs w:val="16"/>
              </w:rPr>
            </w:pPr>
            <w:r w:rsidRPr="00A1021A">
              <w:rPr>
                <w:color w:val="231F20"/>
                <w:sz w:val="16"/>
                <w:szCs w:val="16"/>
              </w:rPr>
              <w:t>Glen Cromie Caravan</w:t>
            </w:r>
            <w:r w:rsidRPr="00A1021A">
              <w:rPr>
                <w:color w:val="231F20"/>
                <w:spacing w:val="-7"/>
                <w:sz w:val="16"/>
                <w:szCs w:val="16"/>
              </w:rPr>
              <w:t xml:space="preserve"> </w:t>
            </w:r>
            <w:r w:rsidRPr="00A1021A">
              <w:rPr>
                <w:color w:val="231F20"/>
                <w:sz w:val="16"/>
                <w:szCs w:val="16"/>
              </w:rPr>
              <w:t>Park</w:t>
            </w:r>
          </w:p>
        </w:tc>
        <w:tc>
          <w:tcPr>
            <w:tcW w:w="2041" w:type="dxa"/>
          </w:tcPr>
          <w:p w:rsidR="006A7A3F" w:rsidRPr="00A1021A" w:rsidRDefault="006A7A3F">
            <w:pPr>
              <w:pStyle w:val="TableParagraph"/>
              <w:ind w:left="0"/>
              <w:rPr>
                <w:rFonts w:ascii="Times New Roman"/>
                <w:sz w:val="16"/>
                <w:szCs w:val="16"/>
              </w:rPr>
            </w:pPr>
          </w:p>
        </w:tc>
        <w:tc>
          <w:tcPr>
            <w:tcW w:w="2041" w:type="dxa"/>
          </w:tcPr>
          <w:p w:rsidR="006A7A3F" w:rsidRPr="00A1021A" w:rsidRDefault="006A7A3F">
            <w:pPr>
              <w:pStyle w:val="TableParagraph"/>
              <w:ind w:left="0"/>
              <w:rPr>
                <w:rFonts w:ascii="Times New Roman"/>
                <w:sz w:val="16"/>
                <w:szCs w:val="16"/>
              </w:rPr>
            </w:pPr>
          </w:p>
        </w:tc>
      </w:tr>
    </w:tbl>
    <w:p w:rsidR="006A7A3F" w:rsidRPr="00A1021A" w:rsidRDefault="006A7A3F">
      <w:pPr>
        <w:rPr>
          <w:rFonts w:ascii="Times New Roman"/>
          <w:sz w:val="16"/>
          <w:szCs w:val="16"/>
        </w:rPr>
        <w:sectPr w:rsidR="006A7A3F" w:rsidRPr="00A1021A" w:rsidSect="00C92D74">
          <w:pgSz w:w="11910" w:h="16840"/>
          <w:pgMar w:top="1701" w:right="851" w:bottom="1134" w:left="851" w:header="720" w:footer="720" w:gutter="0"/>
          <w:cols w:space="720"/>
        </w:sectPr>
      </w:pPr>
    </w:p>
    <w:tbl>
      <w:tblPr>
        <w:tblW w:w="0" w:type="auto"/>
        <w:tblInd w:w="2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RPr="00A1021A">
        <w:trPr>
          <w:trHeight w:val="367"/>
        </w:trPr>
        <w:tc>
          <w:tcPr>
            <w:tcW w:w="2041" w:type="dxa"/>
            <w:tcBorders>
              <w:top w:val="nil"/>
              <w:left w:val="nil"/>
              <w:bottom w:val="nil"/>
              <w:right w:val="nil"/>
            </w:tcBorders>
            <w:shd w:val="clear" w:color="auto" w:fill="231F20"/>
          </w:tcPr>
          <w:p w:rsidR="006A7A3F" w:rsidRPr="00A1021A" w:rsidRDefault="006A7A3F">
            <w:pPr>
              <w:pStyle w:val="TableParagraph"/>
              <w:ind w:left="0"/>
              <w:rPr>
                <w:rFonts w:ascii="Times New Roman"/>
                <w:sz w:val="16"/>
                <w:szCs w:val="16"/>
              </w:rPr>
            </w:pPr>
          </w:p>
        </w:tc>
        <w:tc>
          <w:tcPr>
            <w:tcW w:w="2041" w:type="dxa"/>
            <w:tcBorders>
              <w:top w:val="nil"/>
              <w:left w:val="nil"/>
              <w:bottom w:val="nil"/>
              <w:right w:val="nil"/>
            </w:tcBorders>
            <w:shd w:val="clear" w:color="auto" w:fill="231F20"/>
          </w:tcPr>
          <w:p w:rsidR="006A7A3F" w:rsidRPr="00A1021A" w:rsidRDefault="00BC7372">
            <w:pPr>
              <w:pStyle w:val="TableParagraph"/>
              <w:spacing w:before="73"/>
              <w:ind w:left="89"/>
              <w:rPr>
                <w:b/>
                <w:sz w:val="16"/>
                <w:szCs w:val="16"/>
              </w:rPr>
            </w:pPr>
            <w:r w:rsidRPr="00A1021A">
              <w:rPr>
                <w:b/>
                <w:color w:val="FFFFFF"/>
                <w:sz w:val="16"/>
                <w:szCs w:val="16"/>
              </w:rPr>
              <w:t>Yarra system</w:t>
            </w:r>
          </w:p>
        </w:tc>
        <w:tc>
          <w:tcPr>
            <w:tcW w:w="2041" w:type="dxa"/>
            <w:tcBorders>
              <w:top w:val="nil"/>
              <w:left w:val="nil"/>
              <w:bottom w:val="nil"/>
              <w:right w:val="nil"/>
            </w:tcBorders>
            <w:shd w:val="clear" w:color="auto" w:fill="231F20"/>
          </w:tcPr>
          <w:p w:rsidR="006A7A3F" w:rsidRPr="00A1021A" w:rsidRDefault="00BC7372">
            <w:pPr>
              <w:pStyle w:val="TableParagraph"/>
              <w:spacing w:before="73"/>
              <w:ind w:left="89"/>
              <w:rPr>
                <w:b/>
                <w:sz w:val="16"/>
                <w:szCs w:val="16"/>
              </w:rPr>
            </w:pPr>
            <w:r w:rsidRPr="00A1021A">
              <w:rPr>
                <w:b/>
                <w:color w:val="FFFFFF"/>
                <w:sz w:val="16"/>
                <w:szCs w:val="16"/>
              </w:rPr>
              <w:t>Tarago system</w:t>
            </w:r>
          </w:p>
        </w:tc>
        <w:tc>
          <w:tcPr>
            <w:tcW w:w="2041" w:type="dxa"/>
            <w:tcBorders>
              <w:top w:val="nil"/>
              <w:left w:val="nil"/>
              <w:bottom w:val="nil"/>
              <w:right w:val="nil"/>
            </w:tcBorders>
            <w:shd w:val="clear" w:color="auto" w:fill="231F20"/>
          </w:tcPr>
          <w:p w:rsidR="006A7A3F" w:rsidRPr="00A1021A" w:rsidRDefault="00BC7372">
            <w:pPr>
              <w:pStyle w:val="TableParagraph"/>
              <w:spacing w:before="73"/>
              <w:ind w:left="89"/>
              <w:rPr>
                <w:b/>
                <w:sz w:val="16"/>
                <w:szCs w:val="16"/>
              </w:rPr>
            </w:pPr>
            <w:r w:rsidRPr="00A1021A">
              <w:rPr>
                <w:b/>
                <w:color w:val="FFFFFF"/>
                <w:sz w:val="16"/>
                <w:szCs w:val="16"/>
              </w:rPr>
              <w:t>Maribyrnong River</w:t>
            </w:r>
          </w:p>
        </w:tc>
        <w:tc>
          <w:tcPr>
            <w:tcW w:w="2041" w:type="dxa"/>
            <w:tcBorders>
              <w:top w:val="nil"/>
              <w:left w:val="nil"/>
              <w:bottom w:val="nil"/>
              <w:right w:val="nil"/>
            </w:tcBorders>
            <w:shd w:val="clear" w:color="auto" w:fill="231F20"/>
          </w:tcPr>
          <w:p w:rsidR="006A7A3F" w:rsidRPr="00A1021A" w:rsidRDefault="00BC7372">
            <w:pPr>
              <w:pStyle w:val="TableParagraph"/>
              <w:spacing w:before="73"/>
              <w:ind w:left="89"/>
              <w:rPr>
                <w:b/>
                <w:sz w:val="16"/>
                <w:szCs w:val="16"/>
              </w:rPr>
            </w:pPr>
            <w:r w:rsidRPr="00A1021A">
              <w:rPr>
                <w:b/>
                <w:color w:val="FFFFFF"/>
                <w:sz w:val="16"/>
                <w:szCs w:val="16"/>
              </w:rPr>
              <w:t>Werribee River</w:t>
            </w:r>
          </w:p>
        </w:tc>
      </w:tr>
      <w:tr w:rsidR="006A7A3F" w:rsidRPr="00A1021A">
        <w:trPr>
          <w:trHeight w:val="1440"/>
        </w:trPr>
        <w:tc>
          <w:tcPr>
            <w:tcW w:w="2041" w:type="dxa"/>
            <w:tcBorders>
              <w:top w:val="nil"/>
            </w:tcBorders>
          </w:tcPr>
          <w:p w:rsidR="006A7A3F" w:rsidRPr="00A1021A" w:rsidRDefault="00BC7372">
            <w:pPr>
              <w:pStyle w:val="TableParagraph"/>
              <w:spacing w:before="67"/>
              <w:ind w:left="85"/>
              <w:rPr>
                <w:sz w:val="16"/>
                <w:szCs w:val="16"/>
              </w:rPr>
            </w:pPr>
            <w:r w:rsidRPr="00A1021A">
              <w:rPr>
                <w:color w:val="231F20"/>
                <w:sz w:val="16"/>
                <w:szCs w:val="16"/>
              </w:rPr>
              <w:t>Recreational users</w:t>
            </w:r>
          </w:p>
        </w:tc>
        <w:tc>
          <w:tcPr>
            <w:tcW w:w="2041" w:type="dxa"/>
            <w:tcBorders>
              <w:top w:val="nil"/>
            </w:tcBorders>
          </w:tcPr>
          <w:p w:rsidR="006A7A3F" w:rsidRPr="00A1021A" w:rsidRDefault="00BC7372">
            <w:pPr>
              <w:pStyle w:val="TableParagraph"/>
              <w:spacing w:before="67"/>
              <w:ind w:left="84"/>
              <w:rPr>
                <w:b/>
                <w:sz w:val="16"/>
                <w:szCs w:val="16"/>
              </w:rPr>
            </w:pPr>
            <w:r w:rsidRPr="00A1021A">
              <w:rPr>
                <w:b/>
                <w:color w:val="231F20"/>
                <w:sz w:val="16"/>
                <w:szCs w:val="16"/>
              </w:rPr>
              <w:t>IAP2 level: Inform</w:t>
            </w:r>
          </w:p>
          <w:p w:rsidR="006A7A3F" w:rsidRPr="00A1021A" w:rsidRDefault="00BC7372">
            <w:pPr>
              <w:pStyle w:val="TableParagraph"/>
              <w:numPr>
                <w:ilvl w:val="0"/>
                <w:numId w:val="1222"/>
              </w:numPr>
              <w:tabs>
                <w:tab w:val="left" w:pos="305"/>
              </w:tabs>
              <w:spacing w:before="74"/>
              <w:rPr>
                <w:sz w:val="16"/>
                <w:szCs w:val="16"/>
              </w:rPr>
            </w:pPr>
            <w:r w:rsidRPr="00A1021A">
              <w:rPr>
                <w:color w:val="231F20"/>
                <w:sz w:val="16"/>
                <w:szCs w:val="16"/>
              </w:rPr>
              <w:t>Paddle</w:t>
            </w:r>
            <w:r w:rsidRPr="00A1021A">
              <w:rPr>
                <w:color w:val="231F20"/>
                <w:spacing w:val="-1"/>
                <w:sz w:val="16"/>
                <w:szCs w:val="16"/>
              </w:rPr>
              <w:t xml:space="preserve"> </w:t>
            </w:r>
            <w:r w:rsidRPr="00A1021A">
              <w:rPr>
                <w:color w:val="231F20"/>
                <w:sz w:val="16"/>
                <w:szCs w:val="16"/>
              </w:rPr>
              <w:t>Victoria</w:t>
            </w:r>
          </w:p>
          <w:p w:rsidR="006A7A3F" w:rsidRPr="00A1021A" w:rsidRDefault="00BC7372">
            <w:pPr>
              <w:pStyle w:val="TableParagraph"/>
              <w:numPr>
                <w:ilvl w:val="0"/>
                <w:numId w:val="1222"/>
              </w:numPr>
              <w:tabs>
                <w:tab w:val="left" w:pos="305"/>
              </w:tabs>
              <w:spacing w:before="98"/>
              <w:rPr>
                <w:sz w:val="16"/>
                <w:szCs w:val="16"/>
              </w:rPr>
            </w:pPr>
            <w:r w:rsidRPr="00A1021A">
              <w:rPr>
                <w:color w:val="231F20"/>
                <w:sz w:val="16"/>
                <w:szCs w:val="16"/>
              </w:rPr>
              <w:t>VRFish</w:t>
            </w:r>
          </w:p>
          <w:p w:rsidR="006A7A3F" w:rsidRPr="00A1021A" w:rsidRDefault="00BC7372">
            <w:pPr>
              <w:pStyle w:val="TableParagraph"/>
              <w:numPr>
                <w:ilvl w:val="0"/>
                <w:numId w:val="1222"/>
              </w:numPr>
              <w:tabs>
                <w:tab w:val="left" w:pos="305"/>
              </w:tabs>
              <w:spacing w:before="98" w:line="254" w:lineRule="auto"/>
              <w:ind w:right="232"/>
              <w:rPr>
                <w:sz w:val="16"/>
                <w:szCs w:val="16"/>
              </w:rPr>
            </w:pPr>
            <w:r w:rsidRPr="00A1021A">
              <w:rPr>
                <w:color w:val="231F20"/>
                <w:sz w:val="16"/>
                <w:szCs w:val="16"/>
              </w:rPr>
              <w:t>Whitehorse Canoe Club</w:t>
            </w:r>
          </w:p>
        </w:tc>
        <w:tc>
          <w:tcPr>
            <w:tcW w:w="2041" w:type="dxa"/>
            <w:tcBorders>
              <w:top w:val="nil"/>
            </w:tcBorders>
          </w:tcPr>
          <w:p w:rsidR="006A7A3F" w:rsidRPr="00A1021A" w:rsidRDefault="00BC7372">
            <w:pPr>
              <w:pStyle w:val="TableParagraph"/>
              <w:spacing w:before="67"/>
              <w:ind w:left="84"/>
              <w:rPr>
                <w:b/>
                <w:sz w:val="16"/>
                <w:szCs w:val="16"/>
              </w:rPr>
            </w:pPr>
            <w:r w:rsidRPr="00A1021A">
              <w:rPr>
                <w:b/>
                <w:color w:val="231F20"/>
                <w:sz w:val="16"/>
                <w:szCs w:val="16"/>
              </w:rPr>
              <w:t>IAP2 level: Inform</w:t>
            </w:r>
          </w:p>
          <w:p w:rsidR="006A7A3F" w:rsidRPr="00A1021A" w:rsidRDefault="00BC7372">
            <w:pPr>
              <w:pStyle w:val="TableParagraph"/>
              <w:numPr>
                <w:ilvl w:val="0"/>
                <w:numId w:val="1221"/>
              </w:numPr>
              <w:tabs>
                <w:tab w:val="left" w:pos="305"/>
              </w:tabs>
              <w:spacing w:before="74"/>
              <w:rPr>
                <w:sz w:val="16"/>
                <w:szCs w:val="16"/>
              </w:rPr>
            </w:pPr>
            <w:r w:rsidRPr="00A1021A">
              <w:rPr>
                <w:color w:val="231F20"/>
                <w:sz w:val="16"/>
                <w:szCs w:val="16"/>
              </w:rPr>
              <w:t>Local</w:t>
            </w:r>
            <w:r w:rsidRPr="00A1021A">
              <w:rPr>
                <w:color w:val="231F20"/>
                <w:spacing w:val="-11"/>
                <w:sz w:val="16"/>
                <w:szCs w:val="16"/>
              </w:rPr>
              <w:t xml:space="preserve"> </w:t>
            </w:r>
            <w:r w:rsidRPr="00A1021A">
              <w:rPr>
                <w:color w:val="231F20"/>
                <w:sz w:val="16"/>
                <w:szCs w:val="16"/>
              </w:rPr>
              <w:t>Anglers</w:t>
            </w:r>
          </w:p>
          <w:p w:rsidR="006A7A3F" w:rsidRPr="00A1021A" w:rsidRDefault="00BC7372">
            <w:pPr>
              <w:pStyle w:val="TableParagraph"/>
              <w:numPr>
                <w:ilvl w:val="0"/>
                <w:numId w:val="1221"/>
              </w:numPr>
              <w:tabs>
                <w:tab w:val="left" w:pos="305"/>
              </w:tabs>
              <w:spacing w:before="98"/>
              <w:rPr>
                <w:sz w:val="16"/>
                <w:szCs w:val="16"/>
              </w:rPr>
            </w:pPr>
            <w:r w:rsidRPr="00A1021A">
              <w:rPr>
                <w:color w:val="231F20"/>
                <w:sz w:val="16"/>
                <w:szCs w:val="16"/>
              </w:rPr>
              <w:t>VRFish</w:t>
            </w:r>
          </w:p>
        </w:tc>
        <w:tc>
          <w:tcPr>
            <w:tcW w:w="2041" w:type="dxa"/>
            <w:tcBorders>
              <w:top w:val="nil"/>
            </w:tcBorders>
          </w:tcPr>
          <w:p w:rsidR="006A7A3F" w:rsidRPr="00A1021A" w:rsidRDefault="006A7A3F">
            <w:pPr>
              <w:pStyle w:val="TableParagraph"/>
              <w:ind w:left="0"/>
              <w:rPr>
                <w:rFonts w:ascii="Times New Roman"/>
                <w:sz w:val="16"/>
                <w:szCs w:val="16"/>
              </w:rPr>
            </w:pPr>
          </w:p>
        </w:tc>
        <w:tc>
          <w:tcPr>
            <w:tcW w:w="2041" w:type="dxa"/>
            <w:tcBorders>
              <w:top w:val="nil"/>
            </w:tcBorders>
          </w:tcPr>
          <w:p w:rsidR="006A7A3F" w:rsidRPr="00A1021A" w:rsidRDefault="00BC7372">
            <w:pPr>
              <w:pStyle w:val="TableParagraph"/>
              <w:spacing w:before="67"/>
              <w:ind w:left="84"/>
              <w:rPr>
                <w:b/>
                <w:sz w:val="16"/>
                <w:szCs w:val="16"/>
              </w:rPr>
            </w:pPr>
            <w:r w:rsidRPr="00A1021A">
              <w:rPr>
                <w:b/>
                <w:color w:val="231F20"/>
                <w:sz w:val="16"/>
                <w:szCs w:val="16"/>
              </w:rPr>
              <w:t>IAP2 level: Inform</w:t>
            </w:r>
          </w:p>
          <w:p w:rsidR="006A7A3F" w:rsidRPr="00A1021A" w:rsidRDefault="00BC7372">
            <w:pPr>
              <w:pStyle w:val="TableParagraph"/>
              <w:numPr>
                <w:ilvl w:val="0"/>
                <w:numId w:val="1220"/>
              </w:numPr>
              <w:tabs>
                <w:tab w:val="left" w:pos="305"/>
              </w:tabs>
              <w:spacing w:before="74" w:line="254" w:lineRule="auto"/>
              <w:ind w:right="347"/>
              <w:rPr>
                <w:sz w:val="16"/>
                <w:szCs w:val="16"/>
              </w:rPr>
            </w:pPr>
            <w:r w:rsidRPr="00A1021A">
              <w:rPr>
                <w:color w:val="231F20"/>
                <w:sz w:val="16"/>
                <w:szCs w:val="16"/>
              </w:rPr>
              <w:t>Werribee</w:t>
            </w:r>
            <w:r w:rsidRPr="00A1021A">
              <w:rPr>
                <w:color w:val="231F20"/>
                <w:spacing w:val="-19"/>
                <w:sz w:val="16"/>
                <w:szCs w:val="16"/>
              </w:rPr>
              <w:t xml:space="preserve"> </w:t>
            </w:r>
            <w:r w:rsidRPr="00A1021A">
              <w:rPr>
                <w:color w:val="231F20"/>
                <w:sz w:val="16"/>
                <w:szCs w:val="16"/>
              </w:rPr>
              <w:t>Anglers Club</w:t>
            </w:r>
          </w:p>
        </w:tc>
      </w:tr>
      <w:tr w:rsidR="006A7A3F" w:rsidRPr="00A1021A">
        <w:trPr>
          <w:trHeight w:val="1574"/>
        </w:trPr>
        <w:tc>
          <w:tcPr>
            <w:tcW w:w="2041" w:type="dxa"/>
            <w:vMerge w:val="restart"/>
          </w:tcPr>
          <w:p w:rsidR="006A7A3F" w:rsidRPr="00A1021A" w:rsidRDefault="00BC7372">
            <w:pPr>
              <w:pStyle w:val="TableParagraph"/>
              <w:spacing w:before="67"/>
              <w:ind w:left="85"/>
              <w:rPr>
                <w:sz w:val="16"/>
                <w:szCs w:val="16"/>
              </w:rPr>
            </w:pPr>
            <w:r w:rsidRPr="00A1021A">
              <w:rPr>
                <w:color w:val="231F20"/>
                <w:sz w:val="16"/>
                <w:szCs w:val="16"/>
              </w:rPr>
              <w:t>Technical experts</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Involve</w:t>
            </w:r>
          </w:p>
          <w:p w:rsidR="006A7A3F" w:rsidRPr="00A1021A" w:rsidRDefault="00BC7372">
            <w:pPr>
              <w:pStyle w:val="TableParagraph"/>
              <w:numPr>
                <w:ilvl w:val="0"/>
                <w:numId w:val="1219"/>
              </w:numPr>
              <w:tabs>
                <w:tab w:val="left" w:pos="305"/>
              </w:tabs>
              <w:spacing w:before="74" w:line="254" w:lineRule="auto"/>
              <w:ind w:right="873"/>
              <w:rPr>
                <w:sz w:val="16"/>
                <w:szCs w:val="16"/>
              </w:rPr>
            </w:pPr>
            <w:r w:rsidRPr="00A1021A">
              <w:rPr>
                <w:color w:val="231F20"/>
                <w:sz w:val="16"/>
                <w:szCs w:val="16"/>
              </w:rPr>
              <w:t>Melbourne University</w:t>
            </w:r>
          </w:p>
          <w:p w:rsidR="006A7A3F" w:rsidRPr="00A1021A" w:rsidRDefault="00BC7372">
            <w:pPr>
              <w:pStyle w:val="TableParagraph"/>
              <w:spacing w:before="1" w:line="254" w:lineRule="auto"/>
              <w:ind w:right="676"/>
              <w:rPr>
                <w:sz w:val="16"/>
                <w:szCs w:val="16"/>
              </w:rPr>
            </w:pPr>
            <w:r w:rsidRPr="00A1021A">
              <w:rPr>
                <w:color w:val="231F20"/>
                <w:sz w:val="16"/>
                <w:szCs w:val="16"/>
              </w:rPr>
              <w:t>– research collaborators</w:t>
            </w:r>
          </w:p>
          <w:p w:rsidR="006A7A3F" w:rsidRPr="00A1021A" w:rsidRDefault="00BC7372">
            <w:pPr>
              <w:pStyle w:val="TableParagraph"/>
              <w:numPr>
                <w:ilvl w:val="0"/>
                <w:numId w:val="1219"/>
              </w:numPr>
              <w:tabs>
                <w:tab w:val="left" w:pos="305"/>
              </w:tabs>
              <w:spacing w:before="86"/>
              <w:rPr>
                <w:sz w:val="16"/>
                <w:szCs w:val="16"/>
              </w:rPr>
            </w:pPr>
            <w:r w:rsidRPr="00A1021A">
              <w:rPr>
                <w:color w:val="231F20"/>
                <w:sz w:val="16"/>
                <w:szCs w:val="16"/>
              </w:rPr>
              <w:t>Monash</w:t>
            </w:r>
            <w:r w:rsidRPr="00A1021A">
              <w:rPr>
                <w:color w:val="231F20"/>
                <w:spacing w:val="-2"/>
                <w:sz w:val="16"/>
                <w:szCs w:val="16"/>
              </w:rPr>
              <w:t xml:space="preserve"> </w:t>
            </w:r>
            <w:r w:rsidRPr="00A1021A">
              <w:rPr>
                <w:color w:val="231F20"/>
                <w:sz w:val="16"/>
                <w:szCs w:val="16"/>
              </w:rPr>
              <w:t>University</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Involve</w:t>
            </w:r>
          </w:p>
          <w:p w:rsidR="006A7A3F" w:rsidRPr="00A1021A" w:rsidRDefault="00BC7372">
            <w:pPr>
              <w:pStyle w:val="TableParagraph"/>
              <w:numPr>
                <w:ilvl w:val="0"/>
                <w:numId w:val="1218"/>
              </w:numPr>
              <w:tabs>
                <w:tab w:val="left" w:pos="305"/>
              </w:tabs>
              <w:spacing w:before="74" w:line="254" w:lineRule="auto"/>
              <w:ind w:right="873"/>
              <w:rPr>
                <w:sz w:val="16"/>
                <w:szCs w:val="16"/>
              </w:rPr>
            </w:pPr>
            <w:r w:rsidRPr="00A1021A">
              <w:rPr>
                <w:color w:val="231F20"/>
                <w:sz w:val="16"/>
                <w:szCs w:val="16"/>
              </w:rPr>
              <w:t>Melbourne University</w:t>
            </w:r>
          </w:p>
          <w:p w:rsidR="006A7A3F" w:rsidRPr="00A1021A" w:rsidRDefault="00BC7372">
            <w:pPr>
              <w:pStyle w:val="TableParagraph"/>
              <w:spacing w:before="1" w:line="254" w:lineRule="auto"/>
              <w:ind w:right="676"/>
              <w:rPr>
                <w:sz w:val="16"/>
                <w:szCs w:val="16"/>
              </w:rPr>
            </w:pPr>
            <w:r w:rsidRPr="00A1021A">
              <w:rPr>
                <w:color w:val="231F20"/>
                <w:sz w:val="16"/>
                <w:szCs w:val="16"/>
              </w:rPr>
              <w:t>– research collaborators</w:t>
            </w:r>
          </w:p>
          <w:p w:rsidR="006A7A3F" w:rsidRPr="00A1021A" w:rsidRDefault="00BC7372">
            <w:pPr>
              <w:pStyle w:val="TableParagraph"/>
              <w:numPr>
                <w:ilvl w:val="0"/>
                <w:numId w:val="1218"/>
              </w:numPr>
              <w:tabs>
                <w:tab w:val="left" w:pos="305"/>
              </w:tabs>
              <w:spacing w:before="86"/>
              <w:rPr>
                <w:sz w:val="16"/>
                <w:szCs w:val="16"/>
              </w:rPr>
            </w:pPr>
            <w:r w:rsidRPr="00A1021A">
              <w:rPr>
                <w:color w:val="231F20"/>
                <w:sz w:val="16"/>
                <w:szCs w:val="16"/>
              </w:rPr>
              <w:t>Monash</w:t>
            </w:r>
            <w:r w:rsidRPr="00A1021A">
              <w:rPr>
                <w:color w:val="231F20"/>
                <w:spacing w:val="-2"/>
                <w:sz w:val="16"/>
                <w:szCs w:val="16"/>
              </w:rPr>
              <w:t xml:space="preserve"> </w:t>
            </w:r>
            <w:r w:rsidRPr="00A1021A">
              <w:rPr>
                <w:color w:val="231F20"/>
                <w:sz w:val="16"/>
                <w:szCs w:val="16"/>
              </w:rPr>
              <w:t>University</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Involve</w:t>
            </w:r>
          </w:p>
          <w:p w:rsidR="006A7A3F" w:rsidRPr="00A1021A" w:rsidRDefault="00BC7372">
            <w:pPr>
              <w:pStyle w:val="TableParagraph"/>
              <w:numPr>
                <w:ilvl w:val="0"/>
                <w:numId w:val="1217"/>
              </w:numPr>
              <w:tabs>
                <w:tab w:val="left" w:pos="305"/>
              </w:tabs>
              <w:spacing w:before="74" w:line="254" w:lineRule="auto"/>
              <w:ind w:right="873"/>
              <w:rPr>
                <w:sz w:val="16"/>
                <w:szCs w:val="16"/>
              </w:rPr>
            </w:pPr>
            <w:r w:rsidRPr="00A1021A">
              <w:rPr>
                <w:color w:val="231F20"/>
                <w:sz w:val="16"/>
                <w:szCs w:val="16"/>
              </w:rPr>
              <w:t>Melbourne University</w:t>
            </w:r>
          </w:p>
          <w:p w:rsidR="006A7A3F" w:rsidRPr="00A1021A" w:rsidRDefault="00BC7372">
            <w:pPr>
              <w:pStyle w:val="TableParagraph"/>
              <w:spacing w:before="1" w:line="254" w:lineRule="auto"/>
              <w:ind w:right="676"/>
              <w:rPr>
                <w:sz w:val="16"/>
                <w:szCs w:val="16"/>
              </w:rPr>
            </w:pPr>
            <w:r w:rsidRPr="00A1021A">
              <w:rPr>
                <w:color w:val="231F20"/>
                <w:sz w:val="16"/>
                <w:szCs w:val="16"/>
              </w:rPr>
              <w:t>– research collaborators</w:t>
            </w:r>
          </w:p>
          <w:p w:rsidR="006A7A3F" w:rsidRPr="00A1021A" w:rsidRDefault="00BC7372">
            <w:pPr>
              <w:pStyle w:val="TableParagraph"/>
              <w:numPr>
                <w:ilvl w:val="0"/>
                <w:numId w:val="1217"/>
              </w:numPr>
              <w:tabs>
                <w:tab w:val="left" w:pos="305"/>
              </w:tabs>
              <w:spacing w:before="86"/>
              <w:rPr>
                <w:sz w:val="16"/>
                <w:szCs w:val="16"/>
              </w:rPr>
            </w:pPr>
            <w:r w:rsidRPr="00A1021A">
              <w:rPr>
                <w:color w:val="231F20"/>
                <w:sz w:val="16"/>
                <w:szCs w:val="16"/>
              </w:rPr>
              <w:t>Monash</w:t>
            </w:r>
            <w:r w:rsidRPr="00A1021A">
              <w:rPr>
                <w:color w:val="231F20"/>
                <w:spacing w:val="-2"/>
                <w:sz w:val="16"/>
                <w:szCs w:val="16"/>
              </w:rPr>
              <w:t xml:space="preserve"> </w:t>
            </w:r>
            <w:r w:rsidRPr="00A1021A">
              <w:rPr>
                <w:color w:val="231F20"/>
                <w:sz w:val="16"/>
                <w:szCs w:val="16"/>
              </w:rPr>
              <w:t>University</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Involve</w:t>
            </w:r>
          </w:p>
          <w:p w:rsidR="006A7A3F" w:rsidRPr="00A1021A" w:rsidRDefault="00BC7372">
            <w:pPr>
              <w:pStyle w:val="TableParagraph"/>
              <w:numPr>
                <w:ilvl w:val="0"/>
                <w:numId w:val="1216"/>
              </w:numPr>
              <w:tabs>
                <w:tab w:val="left" w:pos="305"/>
              </w:tabs>
              <w:spacing w:before="74" w:line="254" w:lineRule="auto"/>
              <w:ind w:right="873"/>
              <w:rPr>
                <w:sz w:val="16"/>
                <w:szCs w:val="16"/>
              </w:rPr>
            </w:pPr>
            <w:r w:rsidRPr="00A1021A">
              <w:rPr>
                <w:color w:val="231F20"/>
                <w:sz w:val="16"/>
                <w:szCs w:val="16"/>
              </w:rPr>
              <w:t>Melbourne University</w:t>
            </w:r>
          </w:p>
          <w:p w:rsidR="006A7A3F" w:rsidRPr="00A1021A" w:rsidRDefault="00BC7372">
            <w:pPr>
              <w:pStyle w:val="TableParagraph"/>
              <w:spacing w:before="1" w:line="254" w:lineRule="auto"/>
              <w:ind w:right="676"/>
              <w:rPr>
                <w:sz w:val="16"/>
                <w:szCs w:val="16"/>
              </w:rPr>
            </w:pPr>
            <w:r w:rsidRPr="00A1021A">
              <w:rPr>
                <w:color w:val="231F20"/>
                <w:sz w:val="16"/>
                <w:szCs w:val="16"/>
              </w:rPr>
              <w:t>– research collaborators</w:t>
            </w:r>
          </w:p>
          <w:p w:rsidR="006A7A3F" w:rsidRPr="00A1021A" w:rsidRDefault="00BC7372">
            <w:pPr>
              <w:pStyle w:val="TableParagraph"/>
              <w:numPr>
                <w:ilvl w:val="0"/>
                <w:numId w:val="1216"/>
              </w:numPr>
              <w:tabs>
                <w:tab w:val="left" w:pos="305"/>
              </w:tabs>
              <w:spacing w:before="86"/>
              <w:rPr>
                <w:sz w:val="16"/>
                <w:szCs w:val="16"/>
              </w:rPr>
            </w:pPr>
            <w:r w:rsidRPr="00A1021A">
              <w:rPr>
                <w:color w:val="231F20"/>
                <w:sz w:val="16"/>
                <w:szCs w:val="16"/>
              </w:rPr>
              <w:t>Monash</w:t>
            </w:r>
            <w:r w:rsidRPr="00A1021A">
              <w:rPr>
                <w:color w:val="231F20"/>
                <w:spacing w:val="-2"/>
                <w:sz w:val="16"/>
                <w:szCs w:val="16"/>
              </w:rPr>
              <w:t xml:space="preserve"> </w:t>
            </w:r>
            <w:r w:rsidRPr="00A1021A">
              <w:rPr>
                <w:color w:val="231F20"/>
                <w:sz w:val="16"/>
                <w:szCs w:val="16"/>
              </w:rPr>
              <w:t>University</w:t>
            </w:r>
          </w:p>
        </w:tc>
      </w:tr>
      <w:tr w:rsidR="006A7A3F" w:rsidRPr="00A1021A">
        <w:trPr>
          <w:trHeight w:val="1489"/>
        </w:trPr>
        <w:tc>
          <w:tcPr>
            <w:tcW w:w="2041" w:type="dxa"/>
            <w:vMerge/>
            <w:tcBorders>
              <w:top w:val="nil"/>
            </w:tcBorders>
          </w:tcPr>
          <w:p w:rsidR="006A7A3F" w:rsidRPr="00A1021A" w:rsidRDefault="006A7A3F">
            <w:pPr>
              <w:rPr>
                <w:sz w:val="16"/>
                <w:szCs w:val="16"/>
              </w:rPr>
            </w:pP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Inform</w:t>
            </w:r>
          </w:p>
          <w:p w:rsidR="006A7A3F" w:rsidRPr="00A1021A" w:rsidRDefault="00BC7372">
            <w:pPr>
              <w:pStyle w:val="TableParagraph"/>
              <w:numPr>
                <w:ilvl w:val="0"/>
                <w:numId w:val="1215"/>
              </w:numPr>
              <w:tabs>
                <w:tab w:val="left" w:pos="305"/>
              </w:tabs>
              <w:spacing w:before="74" w:line="254" w:lineRule="auto"/>
              <w:ind w:right="90"/>
              <w:rPr>
                <w:sz w:val="16"/>
                <w:szCs w:val="16"/>
              </w:rPr>
            </w:pPr>
            <w:r w:rsidRPr="00A1021A">
              <w:rPr>
                <w:color w:val="231F20"/>
                <w:sz w:val="16"/>
                <w:szCs w:val="16"/>
              </w:rPr>
              <w:t>Arthur Rylah Institute (Department of Environment, Land, Water and</w:t>
            </w:r>
            <w:r w:rsidRPr="00A1021A">
              <w:rPr>
                <w:color w:val="231F20"/>
                <w:spacing w:val="-13"/>
                <w:sz w:val="16"/>
                <w:szCs w:val="16"/>
              </w:rPr>
              <w:t xml:space="preserve"> </w:t>
            </w:r>
            <w:r w:rsidRPr="00A1021A">
              <w:rPr>
                <w:color w:val="231F20"/>
                <w:sz w:val="16"/>
                <w:szCs w:val="16"/>
              </w:rPr>
              <w:t>Planning)</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Inform</w:t>
            </w:r>
          </w:p>
          <w:p w:rsidR="006A7A3F" w:rsidRPr="00A1021A" w:rsidRDefault="00BC7372">
            <w:pPr>
              <w:pStyle w:val="TableParagraph"/>
              <w:numPr>
                <w:ilvl w:val="0"/>
                <w:numId w:val="1214"/>
              </w:numPr>
              <w:tabs>
                <w:tab w:val="left" w:pos="305"/>
              </w:tabs>
              <w:spacing w:before="74" w:line="254" w:lineRule="auto"/>
              <w:ind w:right="90"/>
              <w:rPr>
                <w:sz w:val="16"/>
                <w:szCs w:val="16"/>
              </w:rPr>
            </w:pPr>
            <w:r w:rsidRPr="00A1021A">
              <w:rPr>
                <w:color w:val="231F20"/>
                <w:sz w:val="16"/>
                <w:szCs w:val="16"/>
              </w:rPr>
              <w:t>Arthur Rylah Institute (Department of Environment, Land, Water and</w:t>
            </w:r>
            <w:r w:rsidRPr="00A1021A">
              <w:rPr>
                <w:color w:val="231F20"/>
                <w:spacing w:val="-13"/>
                <w:sz w:val="16"/>
                <w:szCs w:val="16"/>
              </w:rPr>
              <w:t xml:space="preserve"> </w:t>
            </w:r>
            <w:r w:rsidRPr="00A1021A">
              <w:rPr>
                <w:color w:val="231F20"/>
                <w:sz w:val="16"/>
                <w:szCs w:val="16"/>
              </w:rPr>
              <w:t>Planning)</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Inform</w:t>
            </w:r>
          </w:p>
          <w:p w:rsidR="006A7A3F" w:rsidRPr="00A1021A" w:rsidRDefault="00BC7372">
            <w:pPr>
              <w:pStyle w:val="TableParagraph"/>
              <w:numPr>
                <w:ilvl w:val="0"/>
                <w:numId w:val="1213"/>
              </w:numPr>
              <w:tabs>
                <w:tab w:val="left" w:pos="305"/>
              </w:tabs>
              <w:spacing w:before="74" w:line="254" w:lineRule="auto"/>
              <w:ind w:right="90"/>
              <w:rPr>
                <w:sz w:val="16"/>
                <w:szCs w:val="16"/>
              </w:rPr>
            </w:pPr>
            <w:r w:rsidRPr="00A1021A">
              <w:rPr>
                <w:color w:val="231F20"/>
                <w:sz w:val="16"/>
                <w:szCs w:val="16"/>
              </w:rPr>
              <w:t>Arthur Rylah Institute (Department of Environment, Land, Water and</w:t>
            </w:r>
            <w:r w:rsidRPr="00A1021A">
              <w:rPr>
                <w:color w:val="231F20"/>
                <w:spacing w:val="-13"/>
                <w:sz w:val="16"/>
                <w:szCs w:val="16"/>
              </w:rPr>
              <w:t xml:space="preserve"> </w:t>
            </w:r>
            <w:r w:rsidRPr="00A1021A">
              <w:rPr>
                <w:color w:val="231F20"/>
                <w:sz w:val="16"/>
                <w:szCs w:val="16"/>
              </w:rPr>
              <w:t>Planning)</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Inform</w:t>
            </w:r>
          </w:p>
          <w:p w:rsidR="006A7A3F" w:rsidRPr="00A1021A" w:rsidRDefault="00BC7372">
            <w:pPr>
              <w:pStyle w:val="TableParagraph"/>
              <w:numPr>
                <w:ilvl w:val="0"/>
                <w:numId w:val="1212"/>
              </w:numPr>
              <w:tabs>
                <w:tab w:val="left" w:pos="305"/>
              </w:tabs>
              <w:spacing w:before="74" w:line="254" w:lineRule="auto"/>
              <w:ind w:right="90"/>
              <w:rPr>
                <w:sz w:val="16"/>
                <w:szCs w:val="16"/>
              </w:rPr>
            </w:pPr>
            <w:r w:rsidRPr="00A1021A">
              <w:rPr>
                <w:color w:val="231F20"/>
                <w:sz w:val="16"/>
                <w:szCs w:val="16"/>
              </w:rPr>
              <w:t>Arthur Rylah Institute (Department of Environment, Land, Water and</w:t>
            </w:r>
            <w:r w:rsidRPr="00A1021A">
              <w:rPr>
                <w:color w:val="231F20"/>
                <w:spacing w:val="-13"/>
                <w:sz w:val="16"/>
                <w:szCs w:val="16"/>
              </w:rPr>
              <w:t xml:space="preserve"> </w:t>
            </w:r>
            <w:r w:rsidRPr="00A1021A">
              <w:rPr>
                <w:color w:val="231F20"/>
                <w:sz w:val="16"/>
                <w:szCs w:val="16"/>
              </w:rPr>
              <w:t>Planning)</w:t>
            </w:r>
          </w:p>
        </w:tc>
      </w:tr>
      <w:tr w:rsidR="006A7A3F" w:rsidRPr="00A1021A" w:rsidTr="00A1021A">
        <w:trPr>
          <w:trHeight w:val="3182"/>
        </w:trPr>
        <w:tc>
          <w:tcPr>
            <w:tcW w:w="2041" w:type="dxa"/>
            <w:vMerge w:val="restart"/>
          </w:tcPr>
          <w:p w:rsidR="006A7A3F" w:rsidRPr="00A1021A" w:rsidRDefault="00BC7372">
            <w:pPr>
              <w:pStyle w:val="TableParagraph"/>
              <w:spacing w:before="67"/>
              <w:ind w:left="85"/>
              <w:rPr>
                <w:sz w:val="16"/>
                <w:szCs w:val="16"/>
              </w:rPr>
            </w:pPr>
            <w:r w:rsidRPr="00A1021A">
              <w:rPr>
                <w:color w:val="231F20"/>
                <w:sz w:val="16"/>
                <w:szCs w:val="16"/>
              </w:rPr>
              <w:t>Traditional Owners</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Collaborate</w:t>
            </w:r>
          </w:p>
          <w:p w:rsidR="006A7A3F" w:rsidRPr="00A1021A" w:rsidRDefault="00BC7372">
            <w:pPr>
              <w:pStyle w:val="TableParagraph"/>
              <w:numPr>
                <w:ilvl w:val="0"/>
                <w:numId w:val="1211"/>
              </w:numPr>
              <w:tabs>
                <w:tab w:val="left" w:pos="305"/>
              </w:tabs>
              <w:spacing w:before="74" w:line="254" w:lineRule="auto"/>
              <w:ind w:right="203"/>
              <w:rPr>
                <w:sz w:val="16"/>
                <w:szCs w:val="16"/>
              </w:rPr>
            </w:pPr>
            <w:r w:rsidRPr="00A1021A">
              <w:rPr>
                <w:color w:val="231F20"/>
                <w:sz w:val="16"/>
                <w:szCs w:val="16"/>
              </w:rPr>
              <w:t>Wurundjeri Woi- Wurrung Cultural Heritage</w:t>
            </w:r>
            <w:r w:rsidRPr="00A1021A">
              <w:rPr>
                <w:color w:val="231F20"/>
                <w:spacing w:val="-16"/>
                <w:sz w:val="16"/>
                <w:szCs w:val="16"/>
              </w:rPr>
              <w:t xml:space="preserve"> </w:t>
            </w:r>
            <w:r w:rsidRPr="00A1021A">
              <w:rPr>
                <w:color w:val="231F20"/>
                <w:sz w:val="16"/>
                <w:szCs w:val="16"/>
              </w:rPr>
              <w:t>Aboriginal Corporation</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Consult</w:t>
            </w:r>
          </w:p>
          <w:p w:rsidR="006A7A3F" w:rsidRPr="00A1021A" w:rsidRDefault="00BC7372">
            <w:pPr>
              <w:pStyle w:val="TableParagraph"/>
              <w:numPr>
                <w:ilvl w:val="0"/>
                <w:numId w:val="1210"/>
              </w:numPr>
              <w:tabs>
                <w:tab w:val="left" w:pos="305"/>
              </w:tabs>
              <w:spacing w:before="74" w:line="254" w:lineRule="auto"/>
              <w:ind w:right="566"/>
              <w:rPr>
                <w:sz w:val="16"/>
                <w:szCs w:val="16"/>
              </w:rPr>
            </w:pPr>
            <w:r w:rsidRPr="00A1021A">
              <w:rPr>
                <w:color w:val="231F20"/>
                <w:sz w:val="16"/>
                <w:szCs w:val="16"/>
              </w:rPr>
              <w:t>Boon</w:t>
            </w:r>
            <w:r w:rsidRPr="00A1021A">
              <w:rPr>
                <w:color w:val="231F20"/>
                <w:spacing w:val="-9"/>
                <w:sz w:val="16"/>
                <w:szCs w:val="16"/>
              </w:rPr>
              <w:t xml:space="preserve"> </w:t>
            </w:r>
            <w:r w:rsidRPr="00A1021A">
              <w:rPr>
                <w:color w:val="231F20"/>
                <w:sz w:val="16"/>
                <w:szCs w:val="16"/>
              </w:rPr>
              <w:t>Wurrung Foundation</w:t>
            </w:r>
          </w:p>
          <w:p w:rsidR="006A7A3F" w:rsidRPr="00A1021A" w:rsidRDefault="00BC7372">
            <w:pPr>
              <w:pStyle w:val="TableParagraph"/>
              <w:numPr>
                <w:ilvl w:val="0"/>
                <w:numId w:val="1210"/>
              </w:numPr>
              <w:tabs>
                <w:tab w:val="left" w:pos="305"/>
              </w:tabs>
              <w:spacing w:before="86" w:line="254" w:lineRule="auto"/>
              <w:ind w:right="283"/>
              <w:rPr>
                <w:sz w:val="16"/>
                <w:szCs w:val="16"/>
              </w:rPr>
            </w:pPr>
            <w:r w:rsidRPr="00A1021A">
              <w:rPr>
                <w:color w:val="231F20"/>
                <w:sz w:val="16"/>
                <w:szCs w:val="16"/>
              </w:rPr>
              <w:t>Bunurong Land Council</w:t>
            </w:r>
            <w:r w:rsidRPr="00A1021A">
              <w:rPr>
                <w:color w:val="231F20"/>
                <w:spacing w:val="-22"/>
                <w:sz w:val="16"/>
                <w:szCs w:val="16"/>
              </w:rPr>
              <w:t xml:space="preserve"> </w:t>
            </w:r>
            <w:r w:rsidRPr="00A1021A">
              <w:rPr>
                <w:color w:val="231F20"/>
                <w:sz w:val="16"/>
                <w:szCs w:val="16"/>
              </w:rPr>
              <w:t>Aboriginal Corporation</w:t>
            </w:r>
          </w:p>
          <w:p w:rsidR="006A7A3F" w:rsidRPr="00A1021A" w:rsidRDefault="00BC7372">
            <w:pPr>
              <w:pStyle w:val="TableParagraph"/>
              <w:numPr>
                <w:ilvl w:val="0"/>
                <w:numId w:val="1210"/>
              </w:numPr>
              <w:tabs>
                <w:tab w:val="left" w:pos="305"/>
              </w:tabs>
              <w:spacing w:before="87" w:line="254" w:lineRule="auto"/>
              <w:ind w:right="203"/>
              <w:rPr>
                <w:sz w:val="16"/>
                <w:szCs w:val="16"/>
              </w:rPr>
            </w:pPr>
            <w:r w:rsidRPr="00A1021A">
              <w:rPr>
                <w:color w:val="231F20"/>
                <w:sz w:val="16"/>
                <w:szCs w:val="16"/>
              </w:rPr>
              <w:t>Wurundjeri Woi- Wurrung Cultural Heritage</w:t>
            </w:r>
            <w:r w:rsidRPr="00A1021A">
              <w:rPr>
                <w:color w:val="231F20"/>
                <w:spacing w:val="-16"/>
                <w:sz w:val="16"/>
                <w:szCs w:val="16"/>
              </w:rPr>
              <w:t xml:space="preserve"> </w:t>
            </w:r>
            <w:r w:rsidRPr="00A1021A">
              <w:rPr>
                <w:color w:val="231F20"/>
                <w:sz w:val="16"/>
                <w:szCs w:val="16"/>
              </w:rPr>
              <w:t>Aboriginal Corporation</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Consult</w:t>
            </w:r>
          </w:p>
          <w:p w:rsidR="006A7A3F" w:rsidRPr="00A1021A" w:rsidRDefault="00BC7372">
            <w:pPr>
              <w:pStyle w:val="TableParagraph"/>
              <w:numPr>
                <w:ilvl w:val="0"/>
                <w:numId w:val="1209"/>
              </w:numPr>
              <w:tabs>
                <w:tab w:val="left" w:pos="305"/>
              </w:tabs>
              <w:spacing w:before="74" w:line="254" w:lineRule="auto"/>
              <w:ind w:right="567"/>
              <w:rPr>
                <w:sz w:val="16"/>
                <w:szCs w:val="16"/>
              </w:rPr>
            </w:pPr>
            <w:r w:rsidRPr="00A1021A">
              <w:rPr>
                <w:color w:val="231F20"/>
                <w:sz w:val="16"/>
                <w:szCs w:val="16"/>
              </w:rPr>
              <w:t>Boon</w:t>
            </w:r>
            <w:r w:rsidRPr="00A1021A">
              <w:rPr>
                <w:color w:val="231F20"/>
                <w:spacing w:val="-9"/>
                <w:sz w:val="16"/>
                <w:szCs w:val="16"/>
              </w:rPr>
              <w:t xml:space="preserve"> </w:t>
            </w:r>
            <w:r w:rsidRPr="00A1021A">
              <w:rPr>
                <w:color w:val="231F20"/>
                <w:sz w:val="16"/>
                <w:szCs w:val="16"/>
              </w:rPr>
              <w:t>Wurrung Foundation</w:t>
            </w:r>
          </w:p>
          <w:p w:rsidR="006A7A3F" w:rsidRPr="00A1021A" w:rsidRDefault="00BC7372">
            <w:pPr>
              <w:pStyle w:val="TableParagraph"/>
              <w:numPr>
                <w:ilvl w:val="0"/>
                <w:numId w:val="1209"/>
              </w:numPr>
              <w:tabs>
                <w:tab w:val="left" w:pos="305"/>
              </w:tabs>
              <w:spacing w:before="86" w:line="254" w:lineRule="auto"/>
              <w:ind w:right="283"/>
              <w:rPr>
                <w:sz w:val="16"/>
                <w:szCs w:val="16"/>
              </w:rPr>
            </w:pPr>
            <w:r w:rsidRPr="00A1021A">
              <w:rPr>
                <w:color w:val="231F20"/>
                <w:sz w:val="16"/>
                <w:szCs w:val="16"/>
              </w:rPr>
              <w:t>Bunurong Land Council</w:t>
            </w:r>
            <w:r w:rsidRPr="00A1021A">
              <w:rPr>
                <w:color w:val="231F20"/>
                <w:spacing w:val="-22"/>
                <w:sz w:val="16"/>
                <w:szCs w:val="16"/>
              </w:rPr>
              <w:t xml:space="preserve"> </w:t>
            </w:r>
            <w:r w:rsidRPr="00A1021A">
              <w:rPr>
                <w:color w:val="231F20"/>
                <w:sz w:val="16"/>
                <w:szCs w:val="16"/>
              </w:rPr>
              <w:t>Aboriginal Corporation</w:t>
            </w:r>
          </w:p>
          <w:p w:rsidR="006A7A3F" w:rsidRPr="00A1021A" w:rsidRDefault="00BC7372">
            <w:pPr>
              <w:pStyle w:val="TableParagraph"/>
              <w:numPr>
                <w:ilvl w:val="0"/>
                <w:numId w:val="1209"/>
              </w:numPr>
              <w:tabs>
                <w:tab w:val="left" w:pos="305"/>
              </w:tabs>
              <w:spacing w:before="87" w:line="254" w:lineRule="auto"/>
              <w:ind w:right="203"/>
              <w:rPr>
                <w:sz w:val="16"/>
                <w:szCs w:val="16"/>
              </w:rPr>
            </w:pPr>
            <w:r w:rsidRPr="00A1021A">
              <w:rPr>
                <w:color w:val="231F20"/>
                <w:sz w:val="16"/>
                <w:szCs w:val="16"/>
              </w:rPr>
              <w:t>Wurundjeri Woi- Wurrung Cultural Heritage</w:t>
            </w:r>
            <w:r w:rsidRPr="00A1021A">
              <w:rPr>
                <w:color w:val="231F20"/>
                <w:spacing w:val="-16"/>
                <w:sz w:val="16"/>
                <w:szCs w:val="16"/>
              </w:rPr>
              <w:t xml:space="preserve"> </w:t>
            </w:r>
            <w:r w:rsidRPr="00A1021A">
              <w:rPr>
                <w:color w:val="231F20"/>
                <w:sz w:val="16"/>
                <w:szCs w:val="16"/>
              </w:rPr>
              <w:t>Aboriginal Corporation</w:t>
            </w: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Consult</w:t>
            </w:r>
          </w:p>
          <w:p w:rsidR="006A7A3F" w:rsidRPr="00A1021A" w:rsidRDefault="00BC7372">
            <w:pPr>
              <w:pStyle w:val="TableParagraph"/>
              <w:numPr>
                <w:ilvl w:val="0"/>
                <w:numId w:val="1208"/>
              </w:numPr>
              <w:tabs>
                <w:tab w:val="left" w:pos="305"/>
              </w:tabs>
              <w:spacing w:before="74" w:line="254" w:lineRule="auto"/>
              <w:ind w:right="567"/>
              <w:rPr>
                <w:sz w:val="16"/>
                <w:szCs w:val="16"/>
              </w:rPr>
            </w:pPr>
            <w:r w:rsidRPr="00A1021A">
              <w:rPr>
                <w:color w:val="231F20"/>
                <w:sz w:val="16"/>
                <w:szCs w:val="16"/>
              </w:rPr>
              <w:t>Boon</w:t>
            </w:r>
            <w:r w:rsidRPr="00A1021A">
              <w:rPr>
                <w:color w:val="231F20"/>
                <w:spacing w:val="-9"/>
                <w:sz w:val="16"/>
                <w:szCs w:val="16"/>
              </w:rPr>
              <w:t xml:space="preserve"> </w:t>
            </w:r>
            <w:r w:rsidRPr="00A1021A">
              <w:rPr>
                <w:color w:val="231F20"/>
                <w:sz w:val="16"/>
                <w:szCs w:val="16"/>
              </w:rPr>
              <w:t>Wurrung Foundation</w:t>
            </w:r>
          </w:p>
          <w:p w:rsidR="006A7A3F" w:rsidRPr="00A1021A" w:rsidRDefault="00BC7372">
            <w:pPr>
              <w:pStyle w:val="TableParagraph"/>
              <w:numPr>
                <w:ilvl w:val="0"/>
                <w:numId w:val="1208"/>
              </w:numPr>
              <w:tabs>
                <w:tab w:val="left" w:pos="305"/>
              </w:tabs>
              <w:spacing w:before="86" w:line="254" w:lineRule="auto"/>
              <w:ind w:right="283"/>
              <w:rPr>
                <w:sz w:val="16"/>
                <w:szCs w:val="16"/>
              </w:rPr>
            </w:pPr>
            <w:r w:rsidRPr="00A1021A">
              <w:rPr>
                <w:color w:val="231F20"/>
                <w:sz w:val="16"/>
                <w:szCs w:val="16"/>
              </w:rPr>
              <w:t>Bunurong Land Council</w:t>
            </w:r>
            <w:r w:rsidRPr="00A1021A">
              <w:rPr>
                <w:color w:val="231F20"/>
                <w:spacing w:val="-22"/>
                <w:sz w:val="16"/>
                <w:szCs w:val="16"/>
              </w:rPr>
              <w:t xml:space="preserve"> </w:t>
            </w:r>
            <w:r w:rsidRPr="00A1021A">
              <w:rPr>
                <w:color w:val="231F20"/>
                <w:sz w:val="16"/>
                <w:szCs w:val="16"/>
              </w:rPr>
              <w:t>Aboriginal Corporation</w:t>
            </w:r>
          </w:p>
          <w:p w:rsidR="006A7A3F" w:rsidRPr="00A1021A" w:rsidRDefault="00BC7372">
            <w:pPr>
              <w:pStyle w:val="TableParagraph"/>
              <w:numPr>
                <w:ilvl w:val="0"/>
                <w:numId w:val="1208"/>
              </w:numPr>
              <w:tabs>
                <w:tab w:val="left" w:pos="305"/>
              </w:tabs>
              <w:spacing w:before="87" w:line="254" w:lineRule="auto"/>
              <w:ind w:right="203"/>
              <w:rPr>
                <w:sz w:val="16"/>
                <w:szCs w:val="16"/>
              </w:rPr>
            </w:pPr>
            <w:r w:rsidRPr="00A1021A">
              <w:rPr>
                <w:color w:val="231F20"/>
                <w:sz w:val="16"/>
                <w:szCs w:val="16"/>
              </w:rPr>
              <w:t>Wurundjeri Woi- Wurrung Cultural Heritage</w:t>
            </w:r>
            <w:r w:rsidRPr="00A1021A">
              <w:rPr>
                <w:color w:val="231F20"/>
                <w:spacing w:val="-16"/>
                <w:sz w:val="16"/>
                <w:szCs w:val="16"/>
              </w:rPr>
              <w:t xml:space="preserve"> </w:t>
            </w:r>
            <w:r w:rsidRPr="00A1021A">
              <w:rPr>
                <w:color w:val="231F20"/>
                <w:sz w:val="16"/>
                <w:szCs w:val="16"/>
              </w:rPr>
              <w:t>Aboriginal Corporation</w:t>
            </w:r>
          </w:p>
          <w:p w:rsidR="006A7A3F" w:rsidRPr="00A1021A" w:rsidRDefault="00BC7372">
            <w:pPr>
              <w:pStyle w:val="TableParagraph"/>
              <w:numPr>
                <w:ilvl w:val="0"/>
                <w:numId w:val="1208"/>
              </w:numPr>
              <w:tabs>
                <w:tab w:val="left" w:pos="305"/>
              </w:tabs>
              <w:spacing w:before="88" w:line="254" w:lineRule="auto"/>
              <w:ind w:right="750"/>
              <w:rPr>
                <w:sz w:val="16"/>
                <w:szCs w:val="16"/>
              </w:rPr>
            </w:pPr>
            <w:r w:rsidRPr="00A1021A">
              <w:rPr>
                <w:color w:val="231F20"/>
                <w:spacing w:val="-1"/>
                <w:sz w:val="16"/>
                <w:szCs w:val="16"/>
              </w:rPr>
              <w:t xml:space="preserve">Wathaurung </w:t>
            </w:r>
            <w:r w:rsidRPr="00A1021A">
              <w:rPr>
                <w:color w:val="231F20"/>
                <w:sz w:val="16"/>
                <w:szCs w:val="16"/>
              </w:rPr>
              <w:t>Aboriginal Corporation</w:t>
            </w:r>
          </w:p>
        </w:tc>
      </w:tr>
      <w:tr w:rsidR="006A7A3F" w:rsidRPr="00A1021A">
        <w:trPr>
          <w:trHeight w:val="1574"/>
        </w:trPr>
        <w:tc>
          <w:tcPr>
            <w:tcW w:w="2041" w:type="dxa"/>
            <w:vMerge/>
            <w:tcBorders>
              <w:top w:val="nil"/>
            </w:tcBorders>
          </w:tcPr>
          <w:p w:rsidR="006A7A3F" w:rsidRPr="00A1021A" w:rsidRDefault="006A7A3F">
            <w:pPr>
              <w:rPr>
                <w:sz w:val="16"/>
                <w:szCs w:val="16"/>
              </w:rPr>
            </w:pPr>
          </w:p>
        </w:tc>
        <w:tc>
          <w:tcPr>
            <w:tcW w:w="2041" w:type="dxa"/>
          </w:tcPr>
          <w:p w:rsidR="006A7A3F" w:rsidRPr="00A1021A" w:rsidRDefault="00BC7372">
            <w:pPr>
              <w:pStyle w:val="TableParagraph"/>
              <w:spacing w:before="67"/>
              <w:ind w:left="84"/>
              <w:rPr>
                <w:b/>
                <w:sz w:val="16"/>
                <w:szCs w:val="16"/>
              </w:rPr>
            </w:pPr>
            <w:r w:rsidRPr="00A1021A">
              <w:rPr>
                <w:b/>
                <w:color w:val="231F20"/>
                <w:sz w:val="16"/>
                <w:szCs w:val="16"/>
              </w:rPr>
              <w:t>IAP2 level: Consult</w:t>
            </w:r>
          </w:p>
          <w:p w:rsidR="006A7A3F" w:rsidRPr="00A1021A" w:rsidRDefault="00BC7372">
            <w:pPr>
              <w:pStyle w:val="TableParagraph"/>
              <w:numPr>
                <w:ilvl w:val="0"/>
                <w:numId w:val="1207"/>
              </w:numPr>
              <w:tabs>
                <w:tab w:val="left" w:pos="305"/>
              </w:tabs>
              <w:spacing w:before="74" w:line="254" w:lineRule="auto"/>
              <w:ind w:right="566"/>
              <w:rPr>
                <w:sz w:val="16"/>
                <w:szCs w:val="16"/>
              </w:rPr>
            </w:pPr>
            <w:r w:rsidRPr="00A1021A">
              <w:rPr>
                <w:color w:val="231F20"/>
                <w:sz w:val="16"/>
                <w:szCs w:val="16"/>
              </w:rPr>
              <w:t>Boon</w:t>
            </w:r>
            <w:r w:rsidRPr="00A1021A">
              <w:rPr>
                <w:color w:val="231F20"/>
                <w:spacing w:val="-9"/>
                <w:sz w:val="16"/>
                <w:szCs w:val="16"/>
              </w:rPr>
              <w:t xml:space="preserve"> </w:t>
            </w:r>
            <w:r w:rsidRPr="00A1021A">
              <w:rPr>
                <w:color w:val="231F20"/>
                <w:sz w:val="16"/>
                <w:szCs w:val="16"/>
              </w:rPr>
              <w:t>Wurrung Foundation</w:t>
            </w:r>
          </w:p>
          <w:p w:rsidR="006A7A3F" w:rsidRPr="00A1021A" w:rsidRDefault="00BC7372">
            <w:pPr>
              <w:pStyle w:val="TableParagraph"/>
              <w:numPr>
                <w:ilvl w:val="0"/>
                <w:numId w:val="1207"/>
              </w:numPr>
              <w:tabs>
                <w:tab w:val="left" w:pos="305"/>
              </w:tabs>
              <w:spacing w:before="86" w:line="254" w:lineRule="auto"/>
              <w:ind w:right="283"/>
              <w:rPr>
                <w:sz w:val="16"/>
                <w:szCs w:val="16"/>
              </w:rPr>
            </w:pPr>
            <w:r w:rsidRPr="00A1021A">
              <w:rPr>
                <w:color w:val="231F20"/>
                <w:sz w:val="16"/>
                <w:szCs w:val="16"/>
              </w:rPr>
              <w:t>Bunurong Land Council</w:t>
            </w:r>
            <w:r w:rsidRPr="00A1021A">
              <w:rPr>
                <w:color w:val="231F20"/>
                <w:spacing w:val="-22"/>
                <w:sz w:val="16"/>
                <w:szCs w:val="16"/>
              </w:rPr>
              <w:t xml:space="preserve"> </w:t>
            </w:r>
            <w:r w:rsidRPr="00A1021A">
              <w:rPr>
                <w:color w:val="231F20"/>
                <w:sz w:val="16"/>
                <w:szCs w:val="16"/>
              </w:rPr>
              <w:t>Aboriginal Corporation</w:t>
            </w:r>
          </w:p>
        </w:tc>
        <w:tc>
          <w:tcPr>
            <w:tcW w:w="2041" w:type="dxa"/>
          </w:tcPr>
          <w:p w:rsidR="006A7A3F" w:rsidRPr="00A1021A" w:rsidRDefault="006A7A3F">
            <w:pPr>
              <w:pStyle w:val="TableParagraph"/>
              <w:ind w:left="0"/>
              <w:rPr>
                <w:rFonts w:ascii="Times New Roman"/>
                <w:sz w:val="16"/>
                <w:szCs w:val="16"/>
              </w:rPr>
            </w:pPr>
          </w:p>
        </w:tc>
        <w:tc>
          <w:tcPr>
            <w:tcW w:w="2041" w:type="dxa"/>
          </w:tcPr>
          <w:p w:rsidR="006A7A3F" w:rsidRPr="00A1021A" w:rsidRDefault="006A7A3F">
            <w:pPr>
              <w:pStyle w:val="TableParagraph"/>
              <w:ind w:left="0"/>
              <w:rPr>
                <w:rFonts w:ascii="Times New Roman"/>
                <w:sz w:val="16"/>
                <w:szCs w:val="16"/>
              </w:rPr>
            </w:pPr>
          </w:p>
        </w:tc>
        <w:tc>
          <w:tcPr>
            <w:tcW w:w="2041" w:type="dxa"/>
          </w:tcPr>
          <w:p w:rsidR="006A7A3F" w:rsidRPr="00A1021A" w:rsidRDefault="006A7A3F">
            <w:pPr>
              <w:pStyle w:val="TableParagraph"/>
              <w:ind w:left="0"/>
              <w:rPr>
                <w:rFonts w:ascii="Times New Roman"/>
                <w:sz w:val="16"/>
                <w:szCs w:val="16"/>
              </w:rPr>
            </w:pPr>
          </w:p>
        </w:tc>
      </w:tr>
    </w:tbl>
    <w:p w:rsidR="006A7A3F" w:rsidRDefault="006A7A3F">
      <w:pPr>
        <w:pStyle w:val="BodyText"/>
        <w:spacing w:before="10"/>
        <w:ind w:left="0"/>
        <w:rPr>
          <w:b/>
          <w:sz w:val="8"/>
        </w:rPr>
      </w:pPr>
    </w:p>
    <w:p w:rsidR="00511048" w:rsidRDefault="00511048">
      <w:pPr>
        <w:rPr>
          <w:b/>
          <w:bCs/>
          <w:color w:val="231F20"/>
          <w:sz w:val="24"/>
          <w:szCs w:val="24"/>
        </w:rPr>
      </w:pPr>
      <w:r>
        <w:rPr>
          <w:color w:val="231F20"/>
        </w:rPr>
        <w:br w:type="page"/>
      </w:r>
    </w:p>
    <w:p w:rsidR="006A7A3F" w:rsidRDefault="00BC7372">
      <w:pPr>
        <w:pStyle w:val="Heading4"/>
        <w:spacing w:before="92"/>
      </w:pPr>
      <w:r>
        <w:rPr>
          <w:color w:val="231F20"/>
        </w:rPr>
        <w:t>How have Traditional Owners’ values and uses of waterways been considered?</w:t>
      </w:r>
    </w:p>
    <w:p w:rsidR="006A7A3F" w:rsidRDefault="00BC7372">
      <w:pPr>
        <w:pStyle w:val="BodyText"/>
        <w:spacing w:before="58" w:line="249" w:lineRule="auto"/>
        <w:ind w:right="100"/>
      </w:pPr>
      <w:r>
        <w:rPr>
          <w:color w:val="231F20"/>
        </w:rPr>
        <w:t>In recognition of the cultural importance of water, caring for Country and their long-standing traditional ecological knowledge, Traditional Owners are increasingly working with waterway managers to plan for and deliver environmental flows. Examples in the central region in 2020–21 include:</w:t>
      </w:r>
    </w:p>
    <w:p w:rsidR="006A7A3F" w:rsidRDefault="00BC7372" w:rsidP="009B6917">
      <w:pPr>
        <w:pStyle w:val="ListParagraph"/>
        <w:numPr>
          <w:ilvl w:val="0"/>
          <w:numId w:val="1419"/>
        </w:numPr>
        <w:tabs>
          <w:tab w:val="left" w:pos="493"/>
          <w:tab w:val="left" w:pos="494"/>
        </w:tabs>
        <w:spacing w:before="116" w:line="249" w:lineRule="auto"/>
        <w:ind w:right="190"/>
        <w:rPr>
          <w:sz w:val="20"/>
        </w:rPr>
      </w:pPr>
      <w:r>
        <w:rPr>
          <w:color w:val="231F20"/>
          <w:sz w:val="20"/>
        </w:rPr>
        <w:t>ongoing</w:t>
      </w:r>
      <w:r>
        <w:rPr>
          <w:color w:val="231F20"/>
          <w:spacing w:val="-7"/>
          <w:sz w:val="20"/>
        </w:rPr>
        <w:t xml:space="preserve"> </w:t>
      </w:r>
      <w:r>
        <w:rPr>
          <w:color w:val="231F20"/>
          <w:sz w:val="20"/>
        </w:rPr>
        <w:t>work</w:t>
      </w:r>
      <w:r>
        <w:rPr>
          <w:color w:val="231F20"/>
          <w:spacing w:val="-6"/>
          <w:sz w:val="20"/>
        </w:rPr>
        <w:t xml:space="preserve"> </w:t>
      </w:r>
      <w:r>
        <w:rPr>
          <w:color w:val="231F20"/>
          <w:sz w:val="20"/>
        </w:rPr>
        <w:t>by</w:t>
      </w:r>
      <w:r>
        <w:rPr>
          <w:color w:val="231F20"/>
          <w:spacing w:val="-6"/>
          <w:sz w:val="20"/>
        </w:rPr>
        <w:t xml:space="preserve"> </w:t>
      </w:r>
      <w:r>
        <w:rPr>
          <w:color w:val="231F20"/>
          <w:sz w:val="20"/>
        </w:rPr>
        <w:t>Wadawurrung</w:t>
      </w:r>
      <w:r>
        <w:rPr>
          <w:color w:val="231F20"/>
          <w:spacing w:val="-7"/>
          <w:sz w:val="20"/>
        </w:rPr>
        <w:t xml:space="preserve"> </w:t>
      </w:r>
      <w:r>
        <w:rPr>
          <w:color w:val="231F20"/>
          <w:sz w:val="20"/>
        </w:rPr>
        <w:t>(Wathaurung</w:t>
      </w:r>
      <w:r>
        <w:rPr>
          <w:color w:val="231F20"/>
          <w:spacing w:val="-16"/>
          <w:sz w:val="20"/>
        </w:rPr>
        <w:t xml:space="preserve"> </w:t>
      </w:r>
      <w:r>
        <w:rPr>
          <w:color w:val="231F20"/>
          <w:sz w:val="20"/>
        </w:rPr>
        <w:t>Aboriginal</w:t>
      </w:r>
      <w:r>
        <w:rPr>
          <w:color w:val="231F20"/>
          <w:spacing w:val="-5"/>
          <w:sz w:val="20"/>
        </w:rPr>
        <w:t xml:space="preserve"> </w:t>
      </w:r>
      <w:r>
        <w:rPr>
          <w:color w:val="231F20"/>
          <w:sz w:val="20"/>
        </w:rPr>
        <w:t>Corporation)</w:t>
      </w:r>
      <w:r>
        <w:rPr>
          <w:color w:val="231F20"/>
          <w:spacing w:val="-7"/>
          <w:sz w:val="20"/>
        </w:rPr>
        <w:t xml:space="preserve"> </w:t>
      </w:r>
      <w:r>
        <w:rPr>
          <w:color w:val="231F20"/>
          <w:sz w:val="20"/>
        </w:rPr>
        <w:t>and</w:t>
      </w:r>
      <w:r>
        <w:rPr>
          <w:color w:val="231F20"/>
          <w:spacing w:val="-6"/>
          <w:sz w:val="20"/>
        </w:rPr>
        <w:t xml:space="preserve"> </w:t>
      </w:r>
      <w:r>
        <w:rPr>
          <w:color w:val="231F20"/>
          <w:sz w:val="20"/>
        </w:rPr>
        <w:t>Corangamite</w:t>
      </w:r>
      <w:r>
        <w:rPr>
          <w:color w:val="231F20"/>
          <w:spacing w:val="-6"/>
          <w:sz w:val="20"/>
        </w:rPr>
        <w:t xml:space="preserve"> </w:t>
      </w:r>
      <w:r>
        <w:rPr>
          <w:color w:val="231F20"/>
          <w:sz w:val="20"/>
        </w:rPr>
        <w:t>CMA</w:t>
      </w:r>
      <w:r>
        <w:rPr>
          <w:color w:val="231F20"/>
          <w:spacing w:val="-16"/>
          <w:sz w:val="20"/>
        </w:rPr>
        <w:t xml:space="preserve"> </w:t>
      </w:r>
      <w:r>
        <w:rPr>
          <w:color w:val="231F20"/>
          <w:sz w:val="20"/>
        </w:rPr>
        <w:t>to</w:t>
      </w:r>
      <w:r>
        <w:rPr>
          <w:color w:val="231F20"/>
          <w:spacing w:val="-7"/>
          <w:sz w:val="20"/>
        </w:rPr>
        <w:t xml:space="preserve"> </w:t>
      </w:r>
      <w:r>
        <w:rPr>
          <w:color w:val="231F20"/>
          <w:sz w:val="20"/>
        </w:rPr>
        <w:t>share</w:t>
      </w:r>
      <w:r>
        <w:rPr>
          <w:color w:val="231F20"/>
          <w:spacing w:val="-6"/>
          <w:sz w:val="20"/>
        </w:rPr>
        <w:t xml:space="preserve"> </w:t>
      </w:r>
      <w:r>
        <w:rPr>
          <w:color w:val="231F20"/>
          <w:sz w:val="20"/>
        </w:rPr>
        <w:t>knowledge of cultural values and environmental water planning. Wadawurrung have shared knowledge of significant sites (such as refuge pools and river confluences traditionally used as meeting places for clans) and animals with cultural value including platypus, eels and blackfish, and they have recommended how these can be supported by environmental flows. Corangamite CMA has incorporated this into its environmental water planning and management of environmental flows in collaboration with</w:t>
      </w:r>
      <w:r>
        <w:rPr>
          <w:color w:val="231F20"/>
          <w:spacing w:val="-8"/>
          <w:sz w:val="20"/>
        </w:rPr>
        <w:t xml:space="preserve"> </w:t>
      </w:r>
      <w:r>
        <w:rPr>
          <w:color w:val="231F20"/>
          <w:sz w:val="20"/>
        </w:rPr>
        <w:t>Wadawurrung</w:t>
      </w:r>
    </w:p>
    <w:p w:rsidR="006A7A3F" w:rsidRDefault="00BC7372" w:rsidP="009B6917">
      <w:pPr>
        <w:pStyle w:val="ListParagraph"/>
        <w:numPr>
          <w:ilvl w:val="0"/>
          <w:numId w:val="1419"/>
        </w:numPr>
        <w:tabs>
          <w:tab w:val="left" w:pos="493"/>
          <w:tab w:val="left" w:pos="494"/>
        </w:tabs>
        <w:spacing w:before="90" w:line="249" w:lineRule="auto"/>
        <w:ind w:right="295"/>
        <w:rPr>
          <w:sz w:val="20"/>
        </w:rPr>
      </w:pPr>
      <w:r>
        <w:rPr>
          <w:color w:val="231F20"/>
          <w:sz w:val="20"/>
        </w:rPr>
        <w:t xml:space="preserve">ongoing work with the Wurundjeri Woi-Wurrung Cultural Heritage Aboriginal Corporation and Melbourne </w:t>
      </w:r>
      <w:r>
        <w:rPr>
          <w:color w:val="231F20"/>
          <w:spacing w:val="-3"/>
          <w:sz w:val="20"/>
        </w:rPr>
        <w:t xml:space="preserve">Water </w:t>
      </w:r>
      <w:r>
        <w:rPr>
          <w:color w:val="231F20"/>
          <w:sz w:val="20"/>
        </w:rPr>
        <w:t xml:space="preserve">to implement initiatives under the </w:t>
      </w:r>
      <w:r>
        <w:rPr>
          <w:color w:val="231F20"/>
          <w:spacing w:val="-4"/>
          <w:sz w:val="20"/>
        </w:rPr>
        <w:t xml:space="preserve">Yarra </w:t>
      </w:r>
      <w:r>
        <w:rPr>
          <w:color w:val="231F20"/>
          <w:sz w:val="20"/>
        </w:rPr>
        <w:t xml:space="preserve">River Strategic Plan, in particular the restoration of billabongs on the lower </w:t>
      </w:r>
      <w:r>
        <w:rPr>
          <w:color w:val="231F20"/>
          <w:spacing w:val="-4"/>
          <w:sz w:val="20"/>
        </w:rPr>
        <w:t xml:space="preserve">Yarra </w:t>
      </w:r>
      <w:r>
        <w:rPr>
          <w:color w:val="231F20"/>
          <w:sz w:val="20"/>
        </w:rPr>
        <w:t>floodplain. Wurundjeri Woi-Wurrung people and the Narrap ranger team are helping identify the cultural and environmental values of the billabongs, supporting environmental water planning and management and monitoring outcomes of environmental water deliveries at the</w:t>
      </w:r>
      <w:r>
        <w:rPr>
          <w:color w:val="231F20"/>
          <w:spacing w:val="-14"/>
          <w:sz w:val="20"/>
        </w:rPr>
        <w:t xml:space="preserve"> </w:t>
      </w:r>
      <w:r>
        <w:rPr>
          <w:color w:val="231F20"/>
          <w:sz w:val="20"/>
        </w:rPr>
        <w:t>billabongs.</w:t>
      </w:r>
    </w:p>
    <w:p w:rsidR="006A7A3F" w:rsidRDefault="00BC7372">
      <w:pPr>
        <w:pStyle w:val="BodyText"/>
        <w:spacing w:before="89" w:line="249" w:lineRule="auto"/>
        <w:ind w:right="100"/>
      </w:pPr>
      <w:r>
        <w:rPr>
          <w:color w:val="231F20"/>
        </w:rPr>
        <w:t>Where the involvement of Traditional Owners in planning and delivering water for the environment has explicitly identified environmental flows supporting cultural outcomes, these are identified in the system sections.</w:t>
      </w:r>
    </w:p>
    <w:p w:rsidR="006A7A3F" w:rsidRDefault="006A7A3F">
      <w:pPr>
        <w:pStyle w:val="BodyText"/>
        <w:spacing w:before="1"/>
        <w:ind w:left="0"/>
      </w:pPr>
    </w:p>
    <w:p w:rsidR="006A7A3F" w:rsidRPr="00511048" w:rsidRDefault="00BC7372" w:rsidP="00511048">
      <w:pPr>
        <w:pStyle w:val="Heading4"/>
      </w:pPr>
      <w:r w:rsidRPr="00511048">
        <w:rPr>
          <w:color w:val="231F20"/>
        </w:rPr>
        <w:t>How have economic, recreational and social values and uses of waterways been</w:t>
      </w:r>
      <w:r w:rsidR="00511048" w:rsidRPr="00511048">
        <w:rPr>
          <w:color w:val="231F20"/>
        </w:rPr>
        <w:t xml:space="preserve"> </w:t>
      </w:r>
      <w:r w:rsidRPr="00511048">
        <w:rPr>
          <w:color w:val="231F20"/>
        </w:rPr>
        <w:t>considered?</w:t>
      </w:r>
    </w:p>
    <w:p w:rsidR="006A7A3F" w:rsidRDefault="00BC7372">
      <w:pPr>
        <w:pStyle w:val="BodyText"/>
        <w:spacing w:before="58" w:line="249" w:lineRule="auto"/>
        <w:ind w:right="452"/>
      </w:pPr>
      <w:r>
        <w:rPr>
          <w:color w:val="231F20"/>
        </w:rPr>
        <w:t>Environmental outcomes provide some direct economic, recreational, social benefits to communities. Waterway managers, in consultation with communities, have identified numerous opportunities to support these community benefits including activities such as tourism, fishing, birdwatching, boating and hunting. Examples of these opportunities in the central region include:</w:t>
      </w:r>
    </w:p>
    <w:p w:rsidR="006A7A3F" w:rsidRDefault="00BC7372" w:rsidP="009B6917">
      <w:pPr>
        <w:pStyle w:val="ListParagraph"/>
        <w:numPr>
          <w:ilvl w:val="0"/>
          <w:numId w:val="1419"/>
        </w:numPr>
        <w:tabs>
          <w:tab w:val="left" w:pos="493"/>
          <w:tab w:val="left" w:pos="494"/>
        </w:tabs>
        <w:spacing w:before="117" w:line="249" w:lineRule="auto"/>
        <w:ind w:right="404"/>
        <w:rPr>
          <w:sz w:val="20"/>
        </w:rPr>
      </w:pPr>
      <w:r>
        <w:rPr>
          <w:color w:val="231F20"/>
          <w:sz w:val="20"/>
        </w:rPr>
        <w:t xml:space="preserve">enhancing major events (such as Moomba and the Inflatable Regatta) through summer and autumn flows that improve water quality in the </w:t>
      </w:r>
      <w:r>
        <w:rPr>
          <w:color w:val="231F20"/>
          <w:spacing w:val="-4"/>
          <w:sz w:val="20"/>
        </w:rPr>
        <w:t>Yarra</w:t>
      </w:r>
      <w:r>
        <w:rPr>
          <w:color w:val="231F20"/>
          <w:spacing w:val="-10"/>
          <w:sz w:val="20"/>
        </w:rPr>
        <w:t xml:space="preserve"> </w:t>
      </w:r>
      <w:r>
        <w:rPr>
          <w:color w:val="231F20"/>
          <w:sz w:val="20"/>
        </w:rPr>
        <w:t>River</w:t>
      </w:r>
    </w:p>
    <w:p w:rsidR="006A7A3F" w:rsidRDefault="00BC7372" w:rsidP="009B6917">
      <w:pPr>
        <w:pStyle w:val="ListParagraph"/>
        <w:numPr>
          <w:ilvl w:val="0"/>
          <w:numId w:val="1419"/>
        </w:numPr>
        <w:tabs>
          <w:tab w:val="left" w:pos="493"/>
          <w:tab w:val="left" w:pos="494"/>
        </w:tabs>
        <w:spacing w:before="86" w:line="249" w:lineRule="auto"/>
        <w:ind w:right="239"/>
        <w:rPr>
          <w:sz w:val="20"/>
        </w:rPr>
      </w:pPr>
      <w:r>
        <w:rPr>
          <w:color w:val="231F20"/>
          <w:sz w:val="20"/>
        </w:rPr>
        <w:t>supporting recreational fishing in the Barwon River by allowing species including river blackfish and short-finned eel to move between pools to breed, feed and find new</w:t>
      </w:r>
      <w:r>
        <w:rPr>
          <w:color w:val="231F20"/>
          <w:spacing w:val="-10"/>
          <w:sz w:val="20"/>
        </w:rPr>
        <w:t xml:space="preserve"> </w:t>
      </w:r>
      <w:r>
        <w:rPr>
          <w:color w:val="231F20"/>
          <w:sz w:val="20"/>
        </w:rPr>
        <w:t>habitats.</w:t>
      </w:r>
    </w:p>
    <w:p w:rsidR="006A7A3F" w:rsidRDefault="00BC7372">
      <w:pPr>
        <w:pStyle w:val="BodyText"/>
        <w:spacing w:line="249" w:lineRule="auto"/>
        <w:ind w:right="466"/>
        <w:jc w:val="both"/>
        <w:rPr>
          <w:color w:val="231F20"/>
        </w:rPr>
      </w:pPr>
      <w:r>
        <w:rPr>
          <w:color w:val="231F20"/>
        </w:rPr>
        <w:t>Summaries of the social, recreational and economic values considered are provided for each system. Where the timing or management of planned environmental flows may be modified to align with a community benefit, this is identified alongside the potential watering actions.</w:t>
      </w:r>
    </w:p>
    <w:p w:rsidR="00E459ED" w:rsidRDefault="00E459ED">
      <w:pPr>
        <w:pStyle w:val="BodyText"/>
        <w:spacing w:line="249" w:lineRule="auto"/>
        <w:ind w:right="466"/>
        <w:jc w:val="both"/>
      </w:pPr>
    </w:p>
    <w:p w:rsidR="00E459ED" w:rsidRPr="00E459ED" w:rsidRDefault="00E459ED" w:rsidP="00E459ED">
      <w:pPr>
        <w:pStyle w:val="Heading4"/>
        <w:rPr>
          <w:lang w:eastAsia="en-US" w:bidi="ar-SA"/>
        </w:rPr>
      </w:pPr>
      <w:r w:rsidRPr="00E459ED">
        <w:rPr>
          <w:lang w:eastAsia="en-US" w:bidi="ar-SA"/>
        </w:rPr>
        <w:t>Community benefits from environmental watering</w:t>
      </w:r>
    </w:p>
    <w:p w:rsidR="00E459ED" w:rsidRPr="00E459ED" w:rsidRDefault="00E459ED" w:rsidP="00E459ED">
      <w:pPr>
        <w:pStyle w:val="BodyText"/>
        <w:rPr>
          <w:lang w:eastAsia="en-US" w:bidi="ar-SA"/>
        </w:rPr>
      </w:pPr>
      <w:r w:rsidRPr="00E459ED">
        <w:rPr>
          <w:lang w:eastAsia="en-US" w:bidi="ar-SA"/>
        </w:rPr>
        <w:t>Healthy rivers and wetlands support vibrant and healthy communities. By improving the health of rivers, wetlands and floodplains, environmental flows also provide benefits to communities.</w:t>
      </w:r>
    </w:p>
    <w:p w:rsidR="00E459ED" w:rsidRPr="00E459ED" w:rsidRDefault="00E459ED" w:rsidP="00E459ED">
      <w:pPr>
        <w:pStyle w:val="BodyText"/>
        <w:rPr>
          <w:lang w:eastAsia="en-US" w:bidi="ar-SA"/>
        </w:rPr>
      </w:pPr>
      <w:r w:rsidRPr="00E459ED">
        <w:rPr>
          <w:lang w:eastAsia="en-US" w:bidi="ar-SA"/>
        </w:rPr>
        <w:t>The VEWH and its program partners consider Aboriginal cultural values and uses and social and recreational values and uses of waterways when planning for environmental watering activities. Through engagement with community representatives, waterway managers aim to determine how community benefits from environmental flows can be optimised with environmental priorities for the year ahead.</w:t>
      </w:r>
    </w:p>
    <w:p w:rsidR="00E459ED" w:rsidRPr="00E459ED" w:rsidRDefault="00E459ED" w:rsidP="00E459ED">
      <w:pPr>
        <w:pStyle w:val="BodyText"/>
        <w:rPr>
          <w:lang w:eastAsia="en-US" w:bidi="ar-SA"/>
        </w:rPr>
      </w:pPr>
      <w:r w:rsidRPr="00E459ED">
        <w:rPr>
          <w:lang w:eastAsia="en-US" w:bidi="ar-SA"/>
        </w:rPr>
        <w:t>Healthy waterways provide community benefits (such as providing nice places to walk, picnic or fish recreationally, and sustaining Healthy Country for Aboriginal communities). Community benefits can sometimes be enhanced by modifying environmental flows (such as timing a flow to support a community rowing or fishing event), provided the environmental objective is not compromised.</w:t>
      </w:r>
    </w:p>
    <w:p w:rsidR="00E459ED" w:rsidRPr="00E459ED" w:rsidRDefault="00E459ED" w:rsidP="00E459ED">
      <w:pPr>
        <w:pStyle w:val="BodyText"/>
        <w:rPr>
          <w:lang w:eastAsia="en-US" w:bidi="ar-SA"/>
        </w:rPr>
      </w:pPr>
      <w:r w:rsidRPr="00E459ED">
        <w:rPr>
          <w:lang w:eastAsia="en-US" w:bidi="ar-SA"/>
        </w:rPr>
        <w:t>The VEWH and its partners seek to deliver these benefits throughout the water year, though opportunities can depend on the weather, climate or environmental conditions, water availability and the way the system is being operated to deliver water for other purposes.</w:t>
      </w:r>
    </w:p>
    <w:p w:rsidR="00E459ED" w:rsidRDefault="00E459ED">
      <w:pPr>
        <w:rPr>
          <w:sz w:val="20"/>
          <w:szCs w:val="20"/>
        </w:rPr>
      </w:pPr>
      <w:r>
        <w:rPr>
          <w:b/>
          <w:bCs/>
          <w:sz w:val="20"/>
          <w:szCs w:val="20"/>
        </w:rPr>
        <w:br w:type="page"/>
      </w:r>
    </w:p>
    <w:p w:rsidR="006A7A3F" w:rsidRDefault="00BC7372">
      <w:pPr>
        <w:pStyle w:val="Heading4"/>
      </w:pPr>
      <w:r>
        <w:rPr>
          <w:color w:val="231F20"/>
        </w:rPr>
        <w:t>Integrated catchment management</w:t>
      </w:r>
    </w:p>
    <w:p w:rsidR="006A7A3F" w:rsidRDefault="00BC7372">
      <w:pPr>
        <w:pStyle w:val="BodyText"/>
        <w:spacing w:before="58" w:line="249" w:lineRule="auto"/>
        <w:ind w:right="204"/>
      </w:pPr>
      <w:r>
        <w:rPr>
          <w:color w:val="231F20"/>
        </w:rPr>
        <w:t>Altered water regimes are one of many threats to the health of Victoria’s waterways. To be effective, environmental flows need to be part of an integrated approach to catchment management. Many of the environmental objectives for water for the environment in the central region will not be fully met without simultaneously addressing issues such as barriers to fish movement, limited volumes of environmental entitlement, poor water quality, reduced contribution of groundwater to surface water flows and loss of stream bank vegetation and invasive species.</w:t>
      </w:r>
    </w:p>
    <w:p w:rsidR="006A7A3F" w:rsidRDefault="00BC7372">
      <w:pPr>
        <w:pStyle w:val="BodyText"/>
        <w:spacing w:before="174" w:line="249" w:lineRule="auto"/>
        <w:ind w:right="563"/>
      </w:pPr>
      <w:r>
        <w:rPr>
          <w:color w:val="231F20"/>
        </w:rPr>
        <w:t>Victorian and Australian government agencies, Traditional Owner groups, community groups and private landholders collectively implement a wide range of programs that aim to protect and improve the environmental condition and function of land, soils and waterways throughout Victoria’s catchments.</w:t>
      </w:r>
    </w:p>
    <w:p w:rsidR="006A7A3F" w:rsidRDefault="00BC7372">
      <w:pPr>
        <w:pStyle w:val="BodyText"/>
        <w:spacing w:before="173" w:line="249" w:lineRule="auto"/>
        <w:ind w:right="530"/>
      </w:pPr>
      <w:r>
        <w:rPr>
          <w:color w:val="231F20"/>
        </w:rPr>
        <w:t>Examples of complementary programs that are likely to support environmental watering outcomes in the central region include:</w:t>
      </w:r>
    </w:p>
    <w:p w:rsidR="006A7A3F" w:rsidRDefault="00BC7372" w:rsidP="009B6917">
      <w:pPr>
        <w:pStyle w:val="ListParagraph"/>
        <w:numPr>
          <w:ilvl w:val="0"/>
          <w:numId w:val="1419"/>
        </w:numPr>
        <w:tabs>
          <w:tab w:val="left" w:pos="493"/>
          <w:tab w:val="left" w:pos="494"/>
        </w:tabs>
        <w:spacing w:before="115" w:line="249" w:lineRule="auto"/>
        <w:ind w:right="538"/>
        <w:rPr>
          <w:sz w:val="20"/>
        </w:rPr>
      </w:pPr>
      <w:r>
        <w:rPr>
          <w:color w:val="231F20"/>
          <w:sz w:val="20"/>
        </w:rPr>
        <w:t xml:space="preserve">Corangamite </w:t>
      </w:r>
      <w:r>
        <w:rPr>
          <w:color w:val="231F20"/>
          <w:spacing w:val="-5"/>
          <w:sz w:val="20"/>
        </w:rPr>
        <w:t xml:space="preserve">CMA’s </w:t>
      </w:r>
      <w:r>
        <w:rPr>
          <w:color w:val="231F20"/>
          <w:sz w:val="20"/>
        </w:rPr>
        <w:t>ongoing investigations into the surface water and groundwater interactions in the Moorabool River and their continued partnership with the Batesford Quarry operators to allow water from the quarry to be discharged to the river (an important contribution to</w:t>
      </w:r>
      <w:r>
        <w:rPr>
          <w:color w:val="231F20"/>
          <w:spacing w:val="-8"/>
          <w:sz w:val="20"/>
        </w:rPr>
        <w:t xml:space="preserve"> </w:t>
      </w:r>
      <w:r>
        <w:rPr>
          <w:color w:val="231F20"/>
          <w:sz w:val="20"/>
        </w:rPr>
        <w:t>flow)</w:t>
      </w:r>
    </w:p>
    <w:p w:rsidR="006A7A3F" w:rsidRDefault="00BC7372" w:rsidP="009B6917">
      <w:pPr>
        <w:pStyle w:val="ListParagraph"/>
        <w:numPr>
          <w:ilvl w:val="0"/>
          <w:numId w:val="1419"/>
        </w:numPr>
        <w:tabs>
          <w:tab w:val="left" w:pos="493"/>
          <w:tab w:val="left" w:pos="494"/>
        </w:tabs>
        <w:spacing w:before="87" w:line="249" w:lineRule="auto"/>
        <w:ind w:right="508"/>
        <w:rPr>
          <w:sz w:val="20"/>
        </w:rPr>
      </w:pPr>
      <w:r>
        <w:rPr>
          <w:color w:val="231F20"/>
          <w:sz w:val="20"/>
        </w:rPr>
        <w:t>the review of the effectiveness of recent wetting and drying regimes at Reedy Lake and recommended future directions for water management at Reedy Lake and Hospital</w:t>
      </w:r>
      <w:r>
        <w:rPr>
          <w:color w:val="231F20"/>
          <w:spacing w:val="-11"/>
          <w:sz w:val="20"/>
        </w:rPr>
        <w:t xml:space="preserve"> </w:t>
      </w:r>
      <w:r>
        <w:rPr>
          <w:color w:val="231F20"/>
          <w:sz w:val="20"/>
        </w:rPr>
        <w:t>Swamps</w:t>
      </w:r>
    </w:p>
    <w:p w:rsidR="006A7A3F" w:rsidRDefault="00BC7372" w:rsidP="009B6917">
      <w:pPr>
        <w:pStyle w:val="ListParagraph"/>
        <w:numPr>
          <w:ilvl w:val="0"/>
          <w:numId w:val="1419"/>
        </w:numPr>
        <w:tabs>
          <w:tab w:val="left" w:pos="493"/>
          <w:tab w:val="left" w:pos="494"/>
        </w:tabs>
        <w:spacing w:before="87" w:line="249" w:lineRule="auto"/>
        <w:ind w:right="439"/>
        <w:rPr>
          <w:sz w:val="20"/>
        </w:rPr>
      </w:pPr>
      <w:r>
        <w:rPr>
          <w:color w:val="231F20"/>
          <w:sz w:val="20"/>
        </w:rPr>
        <w:t xml:space="preserve">Melbourne Water’s performance review and rectification works for the Dights Falls fishway on the </w:t>
      </w:r>
      <w:r>
        <w:rPr>
          <w:color w:val="231F20"/>
          <w:spacing w:val="-4"/>
          <w:sz w:val="20"/>
        </w:rPr>
        <w:t xml:space="preserve">Yarra </w:t>
      </w:r>
      <w:r>
        <w:rPr>
          <w:color w:val="231F20"/>
          <w:spacing w:val="-3"/>
          <w:sz w:val="20"/>
        </w:rPr>
        <w:t xml:space="preserve">River, </w:t>
      </w:r>
      <w:r>
        <w:rPr>
          <w:color w:val="231F20"/>
          <w:sz w:val="20"/>
        </w:rPr>
        <w:t>which will allow native fish to move upstream under a wider range of</w:t>
      </w:r>
      <w:r>
        <w:rPr>
          <w:color w:val="231F20"/>
          <w:spacing w:val="-15"/>
          <w:sz w:val="20"/>
        </w:rPr>
        <w:t xml:space="preserve"> </w:t>
      </w:r>
      <w:r>
        <w:rPr>
          <w:color w:val="231F20"/>
          <w:sz w:val="20"/>
        </w:rPr>
        <w:t>flows</w:t>
      </w:r>
    </w:p>
    <w:p w:rsidR="006A7A3F" w:rsidRDefault="00BC7372" w:rsidP="009B6917">
      <w:pPr>
        <w:pStyle w:val="ListParagraph"/>
        <w:numPr>
          <w:ilvl w:val="0"/>
          <w:numId w:val="1419"/>
        </w:numPr>
        <w:tabs>
          <w:tab w:val="left" w:pos="493"/>
          <w:tab w:val="left" w:pos="494"/>
        </w:tabs>
        <w:spacing w:before="87" w:line="249" w:lineRule="auto"/>
        <w:ind w:right="329"/>
        <w:rPr>
          <w:sz w:val="20"/>
        </w:rPr>
      </w:pPr>
      <w:r>
        <w:rPr>
          <w:color w:val="231F20"/>
          <w:sz w:val="20"/>
        </w:rPr>
        <w:t xml:space="preserve">Corangamite </w:t>
      </w:r>
      <w:r>
        <w:rPr>
          <w:color w:val="231F20"/>
          <w:spacing w:val="-5"/>
          <w:sz w:val="20"/>
        </w:rPr>
        <w:t xml:space="preserve">CMA’s </w:t>
      </w:r>
      <w:r>
        <w:rPr>
          <w:color w:val="231F20"/>
          <w:sz w:val="20"/>
        </w:rPr>
        <w:t xml:space="preserve">scoping of channel restoration in the upper Barwon </w:t>
      </w:r>
      <w:r>
        <w:rPr>
          <w:color w:val="231F20"/>
          <w:spacing w:val="-3"/>
          <w:sz w:val="20"/>
        </w:rPr>
        <w:t xml:space="preserve">River, </w:t>
      </w:r>
      <w:r>
        <w:rPr>
          <w:color w:val="231F20"/>
          <w:sz w:val="20"/>
        </w:rPr>
        <w:t>investigating options to remediate constriction points along the upper Barwon River to improve environmental water deliveries from the West Barwon</w:t>
      </w:r>
      <w:r>
        <w:rPr>
          <w:color w:val="231F20"/>
          <w:spacing w:val="-2"/>
          <w:sz w:val="20"/>
        </w:rPr>
        <w:t xml:space="preserve"> </w:t>
      </w:r>
      <w:r>
        <w:rPr>
          <w:color w:val="231F20"/>
          <w:sz w:val="20"/>
        </w:rPr>
        <w:t>Reservoir</w:t>
      </w:r>
    </w:p>
    <w:p w:rsidR="006A7A3F" w:rsidRDefault="00BC7372" w:rsidP="009B6917">
      <w:pPr>
        <w:pStyle w:val="ListParagraph"/>
        <w:numPr>
          <w:ilvl w:val="0"/>
          <w:numId w:val="1419"/>
        </w:numPr>
        <w:tabs>
          <w:tab w:val="left" w:pos="493"/>
          <w:tab w:val="left" w:pos="494"/>
        </w:tabs>
        <w:spacing w:before="87" w:line="249" w:lineRule="auto"/>
        <w:ind w:right="236"/>
        <w:rPr>
          <w:sz w:val="20"/>
        </w:rPr>
      </w:pPr>
      <w:r>
        <w:rPr>
          <w:color w:val="231F20"/>
          <w:sz w:val="20"/>
        </w:rPr>
        <w:t xml:space="preserve">continued works by Corangamite CMA and Melbourne </w:t>
      </w:r>
      <w:r>
        <w:rPr>
          <w:color w:val="231F20"/>
          <w:spacing w:val="-3"/>
          <w:sz w:val="20"/>
        </w:rPr>
        <w:t xml:space="preserve">Water </w:t>
      </w:r>
      <w:r>
        <w:rPr>
          <w:color w:val="231F20"/>
          <w:sz w:val="20"/>
        </w:rPr>
        <w:t>to protect and enhance streambanks along priority reaches in the catchments including willow removal, revegetation and fencing to exclude</w:t>
      </w:r>
      <w:r>
        <w:rPr>
          <w:color w:val="231F20"/>
          <w:spacing w:val="-12"/>
          <w:sz w:val="20"/>
        </w:rPr>
        <w:t xml:space="preserve"> </w:t>
      </w:r>
      <w:r>
        <w:rPr>
          <w:color w:val="231F20"/>
          <w:sz w:val="20"/>
        </w:rPr>
        <w:t>stock</w:t>
      </w:r>
    </w:p>
    <w:p w:rsidR="006A7A3F" w:rsidRDefault="00BC7372" w:rsidP="009B6917">
      <w:pPr>
        <w:pStyle w:val="ListParagraph"/>
        <w:numPr>
          <w:ilvl w:val="0"/>
          <w:numId w:val="1419"/>
        </w:numPr>
        <w:tabs>
          <w:tab w:val="left" w:pos="493"/>
          <w:tab w:val="left" w:pos="494"/>
        </w:tabs>
        <w:spacing w:before="87" w:line="249" w:lineRule="auto"/>
        <w:ind w:right="394"/>
        <w:rPr>
          <w:sz w:val="20"/>
        </w:rPr>
      </w:pPr>
      <w:r>
        <w:rPr>
          <w:color w:val="231F20"/>
          <w:sz w:val="20"/>
        </w:rPr>
        <w:t xml:space="preserve">Melbourne Water’s landscape-scale approach to improve the management of billabongs along the </w:t>
      </w:r>
      <w:r>
        <w:rPr>
          <w:color w:val="231F20"/>
          <w:spacing w:val="-4"/>
          <w:sz w:val="20"/>
        </w:rPr>
        <w:t xml:space="preserve">Yarra </w:t>
      </w:r>
      <w:r>
        <w:rPr>
          <w:color w:val="231F20"/>
          <w:sz w:val="20"/>
        </w:rPr>
        <w:t>River to help meet cultural, ecological and liveability</w:t>
      </w:r>
      <w:r>
        <w:rPr>
          <w:color w:val="231F20"/>
          <w:spacing w:val="-7"/>
          <w:sz w:val="20"/>
        </w:rPr>
        <w:t xml:space="preserve"> </w:t>
      </w:r>
      <w:r>
        <w:rPr>
          <w:color w:val="231F20"/>
          <w:sz w:val="20"/>
        </w:rPr>
        <w:t>objectives.</w:t>
      </w:r>
    </w:p>
    <w:p w:rsidR="006A7A3F" w:rsidRDefault="00BC7372">
      <w:pPr>
        <w:pStyle w:val="BodyText"/>
        <w:spacing w:line="249" w:lineRule="auto"/>
        <w:ind w:right="1030"/>
      </w:pPr>
      <w:r>
        <w:rPr>
          <w:color w:val="231F20"/>
        </w:rPr>
        <w:t>For more information about integrated catchment management programs in the central region, refer to the Corangamite CMA and Melbourne Water regional catchment strategies and regional waterway strategies.</w:t>
      </w:r>
    </w:p>
    <w:p w:rsidR="00E459ED" w:rsidRDefault="00E459ED">
      <w:pPr>
        <w:rPr>
          <w:sz w:val="20"/>
          <w:szCs w:val="20"/>
        </w:rPr>
      </w:pPr>
      <w:r>
        <w:rPr>
          <w:b/>
          <w:bCs/>
          <w:sz w:val="20"/>
          <w:szCs w:val="20"/>
        </w:rPr>
        <w:br w:type="page"/>
      </w:r>
    </w:p>
    <w:p w:rsidR="006A7A3F" w:rsidRDefault="00BC7372">
      <w:pPr>
        <w:pStyle w:val="Heading4"/>
        <w:spacing w:before="1"/>
      </w:pPr>
      <w:r>
        <w:rPr>
          <w:color w:val="231F20"/>
        </w:rPr>
        <w:t>Risk management</w:t>
      </w:r>
    </w:p>
    <w:p w:rsidR="006A7A3F" w:rsidRDefault="00BC7372">
      <w:pPr>
        <w:pStyle w:val="BodyText"/>
        <w:spacing w:before="58" w:line="249" w:lineRule="auto"/>
        <w:ind w:right="551"/>
      </w:pPr>
      <w:r>
        <w:rPr>
          <w:color w:val="231F20"/>
        </w:rPr>
        <w:t>During the development of the seasonal watering proposals for the Yarra, Tarago, Maribyrnong, Werribee, Moorabool and Barwon systems, environmental watering program partners assessed risks associated with potential environmental watering actions for 2020–21 and identified appropriate mitigating strategies. Risks and mitigating actions are continually assessed by program partners throughout the year (see subsection 1.3.6).</w:t>
      </w:r>
    </w:p>
    <w:p w:rsidR="003D4127" w:rsidRDefault="003D4127">
      <w:pPr>
        <w:spacing w:before="128"/>
        <w:ind w:left="210"/>
        <w:jc w:val="both"/>
        <w:rPr>
          <w:rFonts w:ascii="Helvetica Neue LT Std 75" w:hAnsi="Helvetica Neue LT Std 75"/>
          <w:b/>
          <w:color w:val="231F20"/>
          <w:sz w:val="28"/>
        </w:rPr>
      </w:pPr>
    </w:p>
    <w:p w:rsidR="006A7A3F" w:rsidRDefault="00BC7372">
      <w:pPr>
        <w:spacing w:before="128"/>
        <w:ind w:left="210"/>
        <w:jc w:val="both"/>
        <w:rPr>
          <w:rFonts w:ascii="Helvetica Neue LT Std 75" w:hAnsi="Helvetica Neue LT Std 75"/>
          <w:b/>
          <w:sz w:val="28"/>
        </w:rPr>
      </w:pPr>
      <w:r>
        <w:rPr>
          <w:rFonts w:ascii="Helvetica Neue LT Std 75" w:hAnsi="Helvetica Neue LT Std 75"/>
          <w:b/>
          <w:color w:val="231F20"/>
          <w:sz w:val="28"/>
        </w:rPr>
        <w:t>Seasonal outlook 2020–21</w:t>
      </w:r>
    </w:p>
    <w:p w:rsidR="006A7A3F" w:rsidRDefault="00BC7372" w:rsidP="00511048">
      <w:pPr>
        <w:pStyle w:val="BodyText"/>
        <w:spacing w:before="161" w:line="249" w:lineRule="auto"/>
        <w:ind w:right="319"/>
      </w:pPr>
      <w:r>
        <w:rPr>
          <w:color w:val="231F20"/>
        </w:rPr>
        <w:t>Rainfall</w:t>
      </w:r>
      <w:r>
        <w:rPr>
          <w:color w:val="231F20"/>
          <w:spacing w:val="-4"/>
        </w:rPr>
        <w:t xml:space="preserve"> </w:t>
      </w:r>
      <w:r>
        <w:rPr>
          <w:color w:val="231F20"/>
        </w:rPr>
        <w:t>in</w:t>
      </w:r>
      <w:r>
        <w:rPr>
          <w:color w:val="231F20"/>
          <w:spacing w:val="-4"/>
        </w:rPr>
        <w:t xml:space="preserve"> </w:t>
      </w:r>
      <w:r>
        <w:rPr>
          <w:color w:val="231F20"/>
        </w:rPr>
        <w:t>2019–20</w:t>
      </w:r>
      <w:r>
        <w:rPr>
          <w:color w:val="231F20"/>
          <w:spacing w:val="-3"/>
        </w:rPr>
        <w:t xml:space="preserve"> </w:t>
      </w:r>
      <w:r>
        <w:rPr>
          <w:color w:val="231F20"/>
        </w:rPr>
        <w:t>was</w:t>
      </w:r>
      <w:r>
        <w:rPr>
          <w:color w:val="231F20"/>
          <w:spacing w:val="-4"/>
        </w:rPr>
        <w:t xml:space="preserve"> </w:t>
      </w:r>
      <w:r>
        <w:rPr>
          <w:color w:val="231F20"/>
        </w:rPr>
        <w:t>highly</w:t>
      </w:r>
      <w:r>
        <w:rPr>
          <w:color w:val="231F20"/>
          <w:spacing w:val="-4"/>
        </w:rPr>
        <w:t xml:space="preserve"> </w:t>
      </w:r>
      <w:r>
        <w:rPr>
          <w:color w:val="231F20"/>
        </w:rPr>
        <w:t>variable</w:t>
      </w:r>
      <w:r>
        <w:rPr>
          <w:color w:val="231F20"/>
          <w:spacing w:val="-2"/>
        </w:rPr>
        <w:t xml:space="preserve"> </w:t>
      </w:r>
      <w:r>
        <w:rPr>
          <w:color w:val="231F20"/>
        </w:rPr>
        <w:t>both</w:t>
      </w:r>
      <w:r>
        <w:rPr>
          <w:color w:val="231F20"/>
          <w:spacing w:val="-4"/>
        </w:rPr>
        <w:t xml:space="preserve"> </w:t>
      </w:r>
      <w:r>
        <w:rPr>
          <w:color w:val="231F20"/>
        </w:rPr>
        <w:t>within</w:t>
      </w:r>
      <w:r>
        <w:rPr>
          <w:color w:val="231F20"/>
          <w:spacing w:val="-4"/>
        </w:rPr>
        <w:t xml:space="preserve"> </w:t>
      </w:r>
      <w:r>
        <w:rPr>
          <w:color w:val="231F20"/>
        </w:rPr>
        <w:t>and</w:t>
      </w:r>
      <w:r>
        <w:rPr>
          <w:color w:val="231F20"/>
          <w:spacing w:val="-3"/>
        </w:rPr>
        <w:t xml:space="preserve"> </w:t>
      </w:r>
      <w:r>
        <w:rPr>
          <w:color w:val="231F20"/>
        </w:rPr>
        <w:t>between</w:t>
      </w:r>
      <w:r>
        <w:rPr>
          <w:color w:val="231F20"/>
          <w:spacing w:val="-4"/>
        </w:rPr>
        <w:t xml:space="preserve"> </w:t>
      </w:r>
      <w:r>
        <w:rPr>
          <w:color w:val="231F20"/>
        </w:rPr>
        <w:t>seasons</w:t>
      </w:r>
      <w:r>
        <w:rPr>
          <w:color w:val="231F20"/>
          <w:spacing w:val="-3"/>
        </w:rPr>
        <w:t xml:space="preserve"> </w:t>
      </w:r>
      <w:r>
        <w:rPr>
          <w:color w:val="231F20"/>
        </w:rPr>
        <w:t>across</w:t>
      </w:r>
      <w:r>
        <w:rPr>
          <w:color w:val="231F20"/>
          <w:spacing w:val="-3"/>
        </w:rPr>
        <w:t xml:space="preserve"> </w:t>
      </w:r>
      <w:r>
        <w:rPr>
          <w:color w:val="231F20"/>
        </w:rPr>
        <w:t>the</w:t>
      </w:r>
      <w:r>
        <w:rPr>
          <w:color w:val="231F20"/>
          <w:spacing w:val="-3"/>
        </w:rPr>
        <w:t xml:space="preserve"> </w:t>
      </w:r>
      <w:r>
        <w:rPr>
          <w:color w:val="231F20"/>
        </w:rPr>
        <w:t>central</w:t>
      </w:r>
      <w:r>
        <w:rPr>
          <w:color w:val="231F20"/>
          <w:spacing w:val="-3"/>
        </w:rPr>
        <w:t xml:space="preserve"> </w:t>
      </w:r>
      <w:r>
        <w:rPr>
          <w:color w:val="231F20"/>
        </w:rPr>
        <w:t>region’s</w:t>
      </w:r>
      <w:r>
        <w:rPr>
          <w:color w:val="231F20"/>
          <w:spacing w:val="-2"/>
        </w:rPr>
        <w:t xml:space="preserve"> </w:t>
      </w:r>
      <w:r>
        <w:rPr>
          <w:color w:val="231F20"/>
        </w:rPr>
        <w:t>systems.</w:t>
      </w:r>
      <w:r>
        <w:rPr>
          <w:color w:val="231F20"/>
          <w:spacing w:val="-7"/>
        </w:rPr>
        <w:t xml:space="preserve"> </w:t>
      </w:r>
      <w:r>
        <w:rPr>
          <w:color w:val="231F20"/>
        </w:rPr>
        <w:t xml:space="preserve">The </w:t>
      </w:r>
      <w:r>
        <w:rPr>
          <w:color w:val="231F20"/>
          <w:spacing w:val="-4"/>
        </w:rPr>
        <w:t xml:space="preserve">Yarra </w:t>
      </w:r>
      <w:r>
        <w:rPr>
          <w:color w:val="231F20"/>
        </w:rPr>
        <w:t>catchment experienced above-average conditions with natural inflows achieving many planned watering actions including low flows and freshes. Lal Lal Reservoir in the Moorabool system filled in spring 2019, and Pykes</w:t>
      </w:r>
      <w:r>
        <w:rPr>
          <w:color w:val="231F20"/>
          <w:spacing w:val="-2"/>
        </w:rPr>
        <w:t xml:space="preserve"> </w:t>
      </w:r>
      <w:r>
        <w:rPr>
          <w:color w:val="231F20"/>
        </w:rPr>
        <w:t>Creek</w:t>
      </w:r>
      <w:r>
        <w:rPr>
          <w:color w:val="231F20"/>
          <w:spacing w:val="-3"/>
        </w:rPr>
        <w:t xml:space="preserve"> </w:t>
      </w:r>
      <w:r>
        <w:rPr>
          <w:color w:val="231F20"/>
        </w:rPr>
        <w:t>Reservoir</w:t>
      </w:r>
      <w:r>
        <w:rPr>
          <w:color w:val="231F20"/>
          <w:spacing w:val="-3"/>
        </w:rPr>
        <w:t xml:space="preserve"> </w:t>
      </w:r>
      <w:r>
        <w:rPr>
          <w:color w:val="231F20"/>
        </w:rPr>
        <w:t>and</w:t>
      </w:r>
      <w:r>
        <w:rPr>
          <w:color w:val="231F20"/>
          <w:spacing w:val="-3"/>
        </w:rPr>
        <w:t xml:space="preserve"> </w:t>
      </w:r>
      <w:r>
        <w:rPr>
          <w:color w:val="231F20"/>
        </w:rPr>
        <w:t>Melton</w:t>
      </w:r>
      <w:r>
        <w:rPr>
          <w:color w:val="231F20"/>
          <w:spacing w:val="-2"/>
        </w:rPr>
        <w:t xml:space="preserve"> </w:t>
      </w:r>
      <w:r>
        <w:rPr>
          <w:color w:val="231F20"/>
        </w:rPr>
        <w:t>Reservoir</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Werribee</w:t>
      </w:r>
      <w:r>
        <w:rPr>
          <w:color w:val="231F20"/>
          <w:spacing w:val="-3"/>
        </w:rPr>
        <w:t xml:space="preserve"> </w:t>
      </w:r>
      <w:r>
        <w:rPr>
          <w:color w:val="231F20"/>
        </w:rPr>
        <w:t>system</w:t>
      </w:r>
      <w:r>
        <w:rPr>
          <w:color w:val="231F20"/>
          <w:spacing w:val="-2"/>
        </w:rPr>
        <w:t xml:space="preserve"> </w:t>
      </w:r>
      <w:r>
        <w:rPr>
          <w:color w:val="231F20"/>
        </w:rPr>
        <w:t>both</w:t>
      </w:r>
      <w:r>
        <w:rPr>
          <w:color w:val="231F20"/>
          <w:spacing w:val="-3"/>
        </w:rPr>
        <w:t xml:space="preserve"> </w:t>
      </w:r>
      <w:r>
        <w:rPr>
          <w:color w:val="231F20"/>
        </w:rPr>
        <w:t>filled</w:t>
      </w:r>
      <w:r>
        <w:rPr>
          <w:color w:val="231F20"/>
          <w:spacing w:val="-2"/>
        </w:rPr>
        <w:t xml:space="preserve"> </w:t>
      </w:r>
      <w:r>
        <w:rPr>
          <w:color w:val="231F20"/>
        </w:rPr>
        <w:t>and</w:t>
      </w:r>
      <w:r>
        <w:rPr>
          <w:color w:val="231F20"/>
          <w:spacing w:val="-3"/>
        </w:rPr>
        <w:t xml:space="preserve"> </w:t>
      </w:r>
      <w:r>
        <w:rPr>
          <w:color w:val="231F20"/>
        </w:rPr>
        <w:t>spilled.</w:t>
      </w:r>
      <w:r>
        <w:rPr>
          <w:color w:val="231F20"/>
          <w:spacing w:val="-2"/>
        </w:rPr>
        <w:t xml:space="preserve"> </w:t>
      </w:r>
      <w:r>
        <w:rPr>
          <w:color w:val="231F20"/>
        </w:rPr>
        <w:t>In</w:t>
      </w:r>
      <w:r>
        <w:rPr>
          <w:color w:val="231F20"/>
          <w:spacing w:val="-2"/>
        </w:rPr>
        <w:t xml:space="preserve"> </w:t>
      </w:r>
      <w:r>
        <w:rPr>
          <w:color w:val="231F20"/>
        </w:rPr>
        <w:t>contrast,</w:t>
      </w:r>
      <w:r>
        <w:rPr>
          <w:color w:val="231F20"/>
          <w:spacing w:val="-2"/>
        </w:rPr>
        <w:t xml:space="preserve"> </w:t>
      </w:r>
      <w:r>
        <w:rPr>
          <w:color w:val="231F20"/>
        </w:rPr>
        <w:t>inflows</w:t>
      </w:r>
      <w:r w:rsidR="00511048">
        <w:rPr>
          <w:color w:val="231F20"/>
        </w:rPr>
        <w:t xml:space="preserve"> </w:t>
      </w:r>
      <w:r>
        <w:rPr>
          <w:color w:val="231F20"/>
        </w:rPr>
        <w:t>to Rosslynne Reservoir were well-below average, which meant the VEWH was unable to purchase any water to support environmental flows in the Maribyrnong system.</w:t>
      </w:r>
    </w:p>
    <w:p w:rsidR="006A7A3F" w:rsidRDefault="00BC7372">
      <w:pPr>
        <w:pStyle w:val="BodyText"/>
        <w:spacing w:before="70" w:line="249" w:lineRule="auto"/>
        <w:ind w:right="222"/>
      </w:pPr>
      <w:r>
        <w:rPr>
          <w:color w:val="231F20"/>
        </w:rPr>
        <w:t xml:space="preserve">The Bureau of Meteorology is predicting above-average rainfall across the central region for the first three months of the 2020–21 water </w:t>
      </w:r>
      <w:r>
        <w:rPr>
          <w:color w:val="231F20"/>
          <w:spacing w:val="-3"/>
        </w:rPr>
        <w:t xml:space="preserve">year, </w:t>
      </w:r>
      <w:r>
        <w:rPr>
          <w:color w:val="231F20"/>
        </w:rPr>
        <w:t>which could increase storage levels and produce some larger flow events that cannot be delivered through managed environmental flows. These conditions may allow the VEWH, Melbourne Water and Corangamite CMA to deliver watering actions that are only planned under average or wet scenarios and aim to improve</w:t>
      </w:r>
      <w:r>
        <w:rPr>
          <w:color w:val="231F20"/>
          <w:spacing w:val="-5"/>
        </w:rPr>
        <w:t xml:space="preserve"> </w:t>
      </w:r>
      <w:r>
        <w:rPr>
          <w:color w:val="231F20"/>
        </w:rPr>
        <w:t>rather</w:t>
      </w:r>
      <w:r>
        <w:rPr>
          <w:color w:val="231F20"/>
          <w:spacing w:val="-3"/>
        </w:rPr>
        <w:t xml:space="preserve"> </w:t>
      </w:r>
      <w:r>
        <w:rPr>
          <w:color w:val="231F20"/>
        </w:rPr>
        <w:t>than</w:t>
      </w:r>
      <w:r>
        <w:rPr>
          <w:color w:val="231F20"/>
          <w:spacing w:val="-3"/>
        </w:rPr>
        <w:t xml:space="preserve"> </w:t>
      </w:r>
      <w:r>
        <w:rPr>
          <w:color w:val="231F20"/>
        </w:rPr>
        <w:t>just</w:t>
      </w:r>
      <w:r>
        <w:rPr>
          <w:color w:val="231F20"/>
          <w:spacing w:val="-4"/>
        </w:rPr>
        <w:t xml:space="preserve"> </w:t>
      </w:r>
      <w:r>
        <w:rPr>
          <w:color w:val="231F20"/>
        </w:rPr>
        <w:t>maintain</w:t>
      </w:r>
      <w:r>
        <w:rPr>
          <w:color w:val="231F20"/>
          <w:spacing w:val="-3"/>
        </w:rPr>
        <w:t xml:space="preserve"> </w:t>
      </w:r>
      <w:r>
        <w:rPr>
          <w:color w:val="231F20"/>
        </w:rPr>
        <w:t>environmental</w:t>
      </w:r>
      <w:r>
        <w:rPr>
          <w:color w:val="231F20"/>
          <w:spacing w:val="-4"/>
        </w:rPr>
        <w:t xml:space="preserve"> </w:t>
      </w:r>
      <w:r>
        <w:rPr>
          <w:color w:val="231F20"/>
        </w:rPr>
        <w:t>values</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region’s</w:t>
      </w:r>
      <w:r>
        <w:rPr>
          <w:color w:val="231F20"/>
          <w:spacing w:val="-3"/>
        </w:rPr>
        <w:t xml:space="preserve"> </w:t>
      </w:r>
      <w:r>
        <w:rPr>
          <w:color w:val="231F20"/>
        </w:rPr>
        <w:t>waterways.</w:t>
      </w:r>
      <w:r>
        <w:rPr>
          <w:color w:val="231F20"/>
          <w:spacing w:val="-7"/>
        </w:rPr>
        <w:t xml:space="preserve"> </w:t>
      </w:r>
      <w:r>
        <w:rPr>
          <w:color w:val="231F20"/>
        </w:rPr>
        <w:t>This</w:t>
      </w:r>
      <w:r>
        <w:rPr>
          <w:color w:val="231F20"/>
          <w:spacing w:val="-3"/>
        </w:rPr>
        <w:t xml:space="preserve"> </w:t>
      </w:r>
      <w:r>
        <w:rPr>
          <w:color w:val="231F20"/>
        </w:rPr>
        <w:t>may</w:t>
      </w:r>
      <w:r>
        <w:rPr>
          <w:color w:val="231F20"/>
          <w:spacing w:val="-3"/>
        </w:rPr>
        <w:t xml:space="preserve"> </w:t>
      </w:r>
      <w:r>
        <w:rPr>
          <w:color w:val="231F20"/>
        </w:rPr>
        <w:t>include</w:t>
      </w:r>
      <w:r>
        <w:rPr>
          <w:color w:val="231F20"/>
          <w:spacing w:val="-4"/>
        </w:rPr>
        <w:t xml:space="preserve"> </w:t>
      </w:r>
      <w:r>
        <w:rPr>
          <w:color w:val="231F20"/>
        </w:rPr>
        <w:t>delivering</w:t>
      </w:r>
      <w:r>
        <w:rPr>
          <w:color w:val="231F20"/>
          <w:spacing w:val="-4"/>
        </w:rPr>
        <w:t xml:space="preserve"> </w:t>
      </w:r>
      <w:r>
        <w:rPr>
          <w:color w:val="231F20"/>
        </w:rPr>
        <w:t>flows over winter/spring of increased magnitude or duration, such as in the Moorabool system to provide a cue for fish (like the adult tupong) to migrate downstream to</w:t>
      </w:r>
      <w:r>
        <w:rPr>
          <w:color w:val="231F20"/>
          <w:spacing w:val="-3"/>
        </w:rPr>
        <w:t xml:space="preserve"> </w:t>
      </w:r>
      <w:r>
        <w:rPr>
          <w:color w:val="231F20"/>
        </w:rPr>
        <w:t>spawn.</w:t>
      </w:r>
    </w:p>
    <w:p w:rsidR="00511048" w:rsidRDefault="00BC7372">
      <w:pPr>
        <w:pStyle w:val="BodyText"/>
        <w:spacing w:before="176" w:line="249" w:lineRule="auto"/>
        <w:ind w:right="207"/>
        <w:rPr>
          <w:color w:val="231F20"/>
        </w:rPr>
      </w:pPr>
      <w:r>
        <w:rPr>
          <w:color w:val="231F20"/>
        </w:rPr>
        <w:t>If the central region experiences relatively dry conditions throughout 2020–21, water for the environment will mostly be used to deliver minimum low flows and freshes to maintain habitat and water quality and prevent significant decline in populations of aquatic plants and animals.</w:t>
      </w:r>
    </w:p>
    <w:p w:rsidR="00511048" w:rsidRDefault="00511048">
      <w:pPr>
        <w:rPr>
          <w:color w:val="231F20"/>
          <w:sz w:val="20"/>
          <w:szCs w:val="20"/>
        </w:rPr>
      </w:pPr>
      <w:r>
        <w:rPr>
          <w:color w:val="231F20"/>
        </w:rPr>
        <w:br w:type="page"/>
      </w:r>
    </w:p>
    <w:p w:rsidR="006A7A3F" w:rsidRDefault="00BC7372">
      <w:pPr>
        <w:pStyle w:val="Heading1"/>
        <w:numPr>
          <w:ilvl w:val="1"/>
          <w:numId w:val="1262"/>
        </w:numPr>
        <w:tabs>
          <w:tab w:val="left" w:pos="904"/>
        </w:tabs>
        <w:spacing w:before="64"/>
        <w:ind w:left="903" w:hanging="694"/>
      </w:pPr>
      <w:r>
        <w:rPr>
          <w:color w:val="231F20"/>
          <w:spacing w:val="-7"/>
        </w:rPr>
        <w:t>Yarra</w:t>
      </w:r>
      <w:r>
        <w:rPr>
          <w:color w:val="231F20"/>
          <w:spacing w:val="-1"/>
        </w:rPr>
        <w:t xml:space="preserve"> </w:t>
      </w:r>
      <w:r>
        <w:rPr>
          <w:color w:val="231F20"/>
        </w:rPr>
        <w:t>system</w:t>
      </w:r>
    </w:p>
    <w:p w:rsidR="006A7A3F" w:rsidRDefault="00BC7372">
      <w:pPr>
        <w:pStyle w:val="Heading4"/>
        <w:spacing w:before="306"/>
      </w:pPr>
      <w:r>
        <w:rPr>
          <w:color w:val="231F20"/>
        </w:rPr>
        <w:t>Did you know...?</w:t>
      </w:r>
    </w:p>
    <w:p w:rsidR="006A7A3F" w:rsidRDefault="00BC7372">
      <w:pPr>
        <w:pStyle w:val="BodyText"/>
        <w:spacing w:before="58"/>
      </w:pPr>
      <w:r>
        <w:rPr>
          <w:color w:val="231F20"/>
        </w:rPr>
        <w:t>The Yarra River is known to Wurundjeri Woi-Wurrung people as Birrarung.</w:t>
      </w:r>
    </w:p>
    <w:p w:rsidR="006A7A3F" w:rsidRDefault="006A7A3F">
      <w:pPr>
        <w:pStyle w:val="BodyText"/>
        <w:spacing w:before="9"/>
        <w:ind w:left="0"/>
      </w:pPr>
    </w:p>
    <w:p w:rsidR="006A7A3F" w:rsidRDefault="00BC7372">
      <w:pPr>
        <w:pStyle w:val="Heading4"/>
        <w:spacing w:before="1"/>
      </w:pPr>
      <w:r>
        <w:rPr>
          <w:color w:val="231F20"/>
        </w:rPr>
        <w:t>System overview</w:t>
      </w:r>
    </w:p>
    <w:p w:rsidR="006A7A3F" w:rsidRDefault="00BC7372">
      <w:pPr>
        <w:pStyle w:val="Heading6"/>
        <w:spacing w:before="89" w:line="276" w:lineRule="auto"/>
        <w:ind w:right="303"/>
      </w:pPr>
      <w:r>
        <w:rPr>
          <w:color w:val="231F20"/>
        </w:rPr>
        <w:t>The Yarra River flows west from the Yarra Ranges above Warburton, through the Yarra Valley and then opens out into a wider plain as it meanders through the suburbs and city of Melbourne before entering Port Phillip Bay. Over time, the lower Yarra River (below Warrandyte) has been straightened, widened and cleared of natural debris as Melbourne has developed.</w:t>
      </w:r>
    </w:p>
    <w:p w:rsidR="006A7A3F" w:rsidRDefault="006A7A3F">
      <w:pPr>
        <w:pStyle w:val="BodyText"/>
        <w:spacing w:before="7"/>
        <w:ind w:left="0"/>
        <w:rPr>
          <w:sz w:val="21"/>
        </w:rPr>
      </w:pPr>
    </w:p>
    <w:p w:rsidR="006A7A3F" w:rsidRDefault="00BC7372">
      <w:pPr>
        <w:pStyle w:val="BodyText"/>
        <w:spacing w:before="0" w:line="249" w:lineRule="auto"/>
        <w:ind w:right="251"/>
      </w:pPr>
      <w:r>
        <w:rPr>
          <w:color w:val="231F20"/>
        </w:rPr>
        <w:t>Up to 400,000 ML per year (long-term average diversion limit) can be harvested from the Yarra River system for consumptive use in Melbourne and surrounding areas. The Upper Yarra, O’Shannassy and Maroondah reservoirs harvest water from headwater tributaries, and a pump station at Yering is used to divert water from the Yarra River to Sugarloaf Reservoir.</w:t>
      </w:r>
    </w:p>
    <w:p w:rsidR="006A7A3F" w:rsidRDefault="00BC7372">
      <w:pPr>
        <w:pStyle w:val="BodyText"/>
        <w:spacing w:before="174" w:line="249" w:lineRule="auto"/>
        <w:ind w:right="198"/>
      </w:pPr>
      <w:r>
        <w:rPr>
          <w:color w:val="231F20"/>
        </w:rPr>
        <w:t>Flow in the upper reaches of the Yarra River is influenced by tributaries (such as Armstrong Creek, McMahons Creek, Starvation Creek, Woori Yallock Creek, Watts River and Little Yarra River). Urbanised tributaries (such as Olinda Creek, Mullum Mullum Creek, Diamond Creek, Plenty River and Merri Creek) provide additional water to the middle and lower reaches of the Yarra River.</w:t>
      </w:r>
    </w:p>
    <w:p w:rsidR="006A7A3F" w:rsidRDefault="00BC7372">
      <w:pPr>
        <w:pStyle w:val="BodyText"/>
        <w:spacing w:before="173" w:line="249" w:lineRule="auto"/>
        <w:ind w:right="457"/>
      </w:pPr>
      <w:r>
        <w:rPr>
          <w:color w:val="231F20"/>
        </w:rPr>
        <w:t>Environmental flows can be released from the Upper Yarra, Maroondah and O’Shannassy reservoirs to support ecological processes and environmental outcomes in downstream river reaches and wetlands. The priority environmental flow reaches in the Yarra River are reaches 2 and 5, shown in Figure 3.2.1. Water for the environment that is delivered to reaches 2 and 5 will help meet flow targets in downstream reaches.</w:t>
      </w:r>
    </w:p>
    <w:p w:rsidR="006A7A3F" w:rsidRDefault="00BC7372">
      <w:pPr>
        <w:pStyle w:val="BodyText"/>
        <w:spacing w:before="173" w:line="249" w:lineRule="auto"/>
        <w:ind w:right="100"/>
      </w:pPr>
      <w:r>
        <w:rPr>
          <w:color w:val="231F20"/>
        </w:rPr>
        <w:t>Plenty River rises from the slopes of Mt Disappointment in the Great Dividing Range about 50 km north of Melbourne. It flows downstream through rural and semi-rural areas and Plenty Gorge before joining the Yarra River near Viewbank, east of Banyule Flats Reserve. Yan Yean Reservoir is located off the waterway, north of Plenty Gorge, and it receives flows from Toorourrong Reservoir via a channel. The Plenty River has not received managed environmental flows before, but there may be opportunities to deliver water for the environment from Yan Yean Reservoir from 2020–21 onwards.</w:t>
      </w:r>
    </w:p>
    <w:p w:rsidR="006A7A3F" w:rsidRDefault="006A7A3F">
      <w:pPr>
        <w:pStyle w:val="BodyText"/>
        <w:spacing w:before="4"/>
        <w:ind w:left="0"/>
      </w:pPr>
    </w:p>
    <w:p w:rsidR="006A7A3F" w:rsidRDefault="00BC7372">
      <w:pPr>
        <w:pStyle w:val="Heading4"/>
      </w:pPr>
      <w:r>
        <w:rPr>
          <w:color w:val="231F20"/>
        </w:rPr>
        <w:t>Environmental values</w:t>
      </w:r>
    </w:p>
    <w:p w:rsidR="006A7A3F" w:rsidRDefault="00BC7372" w:rsidP="00E459ED">
      <w:pPr>
        <w:pStyle w:val="BodyText"/>
        <w:spacing w:before="59" w:line="249" w:lineRule="auto"/>
        <w:ind w:right="273"/>
      </w:pPr>
      <w:r>
        <w:rPr>
          <w:color w:val="231F20"/>
        </w:rPr>
        <w:t xml:space="preserve">The upper </w:t>
      </w:r>
      <w:r>
        <w:rPr>
          <w:color w:val="231F20"/>
          <w:spacing w:val="-4"/>
        </w:rPr>
        <w:t xml:space="preserve">Yarra </w:t>
      </w:r>
      <w:r>
        <w:rPr>
          <w:color w:val="231F20"/>
        </w:rPr>
        <w:t xml:space="preserve">River (reaches 1–3) provides habitat for a range of native fish species including river blackfish, mountain galaxias and common galaxias, and has good-quality streamside and aquatic vegetation. The middle and lower </w:t>
      </w:r>
      <w:r>
        <w:rPr>
          <w:color w:val="231F20"/>
          <w:spacing w:val="-4"/>
        </w:rPr>
        <w:t xml:space="preserve">Yarra </w:t>
      </w:r>
      <w:r>
        <w:rPr>
          <w:color w:val="231F20"/>
        </w:rPr>
        <w:t>River (reaches 4–6) flows through forested gorges, cleared floodplains and some</w:t>
      </w:r>
      <w:r>
        <w:rPr>
          <w:color w:val="231F20"/>
          <w:spacing w:val="-39"/>
        </w:rPr>
        <w:t xml:space="preserve"> </w:t>
      </w:r>
      <w:r>
        <w:rPr>
          <w:color w:val="231F20"/>
        </w:rPr>
        <w:t>highly-urbanised</w:t>
      </w:r>
      <w:r w:rsidR="00E459ED">
        <w:rPr>
          <w:color w:val="231F20"/>
        </w:rPr>
        <w:t xml:space="preserve"> </w:t>
      </w:r>
      <w:r>
        <w:rPr>
          <w:color w:val="231F20"/>
        </w:rPr>
        <w:t>areas, and supports several populations of native fish including Australian grayling, river blackfish, Macquarie perch and tupong. Macquarie perch was introduced to the Yarra River last century, and the population is now considered one of the largest and most important in Victoria.</w:t>
      </w:r>
    </w:p>
    <w:p w:rsidR="006A7A3F" w:rsidRDefault="00BC7372">
      <w:pPr>
        <w:pStyle w:val="BodyText"/>
        <w:spacing w:before="173" w:line="249" w:lineRule="auto"/>
        <w:ind w:right="619"/>
      </w:pPr>
      <w:r>
        <w:rPr>
          <w:color w:val="231F20"/>
        </w:rPr>
        <w:t>The Plenty River (reach 9) provides habitat for waterbug populations and native fish species (such as common galaxias and river blackfish). Platypus have been detected in the Plenty River in the past, but none have been recorded in recent surveys.</w:t>
      </w:r>
    </w:p>
    <w:p w:rsidR="00511048" w:rsidRDefault="00BC7372">
      <w:pPr>
        <w:pStyle w:val="BodyText"/>
        <w:spacing w:line="249" w:lineRule="auto"/>
        <w:ind w:right="378"/>
        <w:rPr>
          <w:color w:val="231F20"/>
          <w:spacing w:val="-3"/>
        </w:rPr>
      </w:pPr>
      <w:r>
        <w:rPr>
          <w:color w:val="231F20"/>
        </w:rPr>
        <w:t xml:space="preserve">Billabongs are an important feature of the </w:t>
      </w:r>
      <w:r>
        <w:rPr>
          <w:color w:val="231F20"/>
          <w:spacing w:val="-4"/>
        </w:rPr>
        <w:t xml:space="preserve">Yarra </w:t>
      </w:r>
      <w:r>
        <w:rPr>
          <w:color w:val="231F20"/>
        </w:rPr>
        <w:t xml:space="preserve">River floodplain between Millgrove and </w:t>
      </w:r>
      <w:r>
        <w:rPr>
          <w:color w:val="231F20"/>
          <w:spacing w:val="-4"/>
        </w:rPr>
        <w:t xml:space="preserve">Yering </w:t>
      </w:r>
      <w:r>
        <w:rPr>
          <w:color w:val="231F20"/>
        </w:rPr>
        <w:t xml:space="preserve">Gorge and in the lower reaches around Banyule Flats near Heidelberg. The billabongs support distinct vegetation communities and provide foraging and breeding habitat for waterbirds and frogs. Except in very high flows, most billabongs are disconnected from the </w:t>
      </w:r>
      <w:r>
        <w:rPr>
          <w:color w:val="231F20"/>
          <w:spacing w:val="-4"/>
        </w:rPr>
        <w:t>Yarra</w:t>
      </w:r>
      <w:r>
        <w:rPr>
          <w:color w:val="231F20"/>
          <w:spacing w:val="-7"/>
        </w:rPr>
        <w:t xml:space="preserve"> </w:t>
      </w:r>
      <w:r>
        <w:rPr>
          <w:color w:val="231F20"/>
          <w:spacing w:val="-3"/>
        </w:rPr>
        <w:t>River.</w:t>
      </w:r>
    </w:p>
    <w:p w:rsidR="00511048" w:rsidRDefault="00511048">
      <w:pPr>
        <w:rPr>
          <w:color w:val="231F20"/>
          <w:spacing w:val="-3"/>
          <w:sz w:val="20"/>
          <w:szCs w:val="20"/>
        </w:rPr>
      </w:pPr>
      <w:r>
        <w:rPr>
          <w:color w:val="231F20"/>
          <w:spacing w:val="-3"/>
        </w:rPr>
        <w:br w:type="page"/>
      </w:r>
    </w:p>
    <w:p w:rsidR="006A7A3F" w:rsidRDefault="00BC7372">
      <w:pPr>
        <w:pStyle w:val="Heading4"/>
      </w:pPr>
      <w:r>
        <w:rPr>
          <w:color w:val="231F20"/>
        </w:rPr>
        <w:t>Environmental watering objectives in the Yarra River, Plenty River and Yarra billabongs</w:t>
      </w:r>
    </w:p>
    <w:p w:rsidR="006A7A3F" w:rsidRDefault="006A7A3F">
      <w:pPr>
        <w:pStyle w:val="BodyText"/>
        <w:spacing w:before="5"/>
        <w:ind w:left="0"/>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511048" w:rsidTr="00511048">
        <w:trPr>
          <w:trHeight w:val="660"/>
        </w:trPr>
        <w:tc>
          <w:tcPr>
            <w:tcW w:w="789" w:type="dxa"/>
            <w:tcBorders>
              <w:top w:val="single" w:sz="8" w:space="0" w:color="FFFFFF"/>
              <w:bottom w:val="single" w:sz="8" w:space="0" w:color="FFFFFF"/>
            </w:tcBorders>
            <w:shd w:val="clear" w:color="auto" w:fill="E6E7E8"/>
            <w:vAlign w:val="center"/>
          </w:tcPr>
          <w:p w:rsidR="00511048" w:rsidRDefault="00511048" w:rsidP="00511048">
            <w:pPr>
              <w:pStyle w:val="TableParagraph"/>
              <w:ind w:left="0"/>
              <w:rPr>
                <w:sz w:val="20"/>
              </w:rPr>
            </w:pPr>
            <w:r>
              <w:rPr>
                <w:b/>
                <w:sz w:val="19"/>
              </w:rPr>
              <w:t xml:space="preserve">   </w:t>
            </w:r>
            <w:r>
              <w:rPr>
                <w:noProof/>
                <w:sz w:val="20"/>
              </w:rPr>
              <w:drawing>
                <wp:inline distT="0" distB="0" distL="0" distR="0" wp14:anchorId="0133C9E2" wp14:editId="3AD4A244">
                  <wp:extent cx="314168" cy="310896"/>
                  <wp:effectExtent l="0" t="0" r="0" b="0"/>
                  <wp:docPr id="244"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vAlign w:val="center"/>
          </w:tcPr>
          <w:p w:rsidR="00511048" w:rsidRDefault="00511048" w:rsidP="00511048">
            <w:pPr>
              <w:pStyle w:val="TableParagraph"/>
              <w:ind w:left="0"/>
              <w:rPr>
                <w:b/>
                <w:sz w:val="20"/>
              </w:rPr>
            </w:pPr>
            <w:r>
              <w:rPr>
                <w:color w:val="231F20"/>
                <w:sz w:val="16"/>
              </w:rPr>
              <w:t>Protect and increase populations of native fish including threatened species (such as the Australian grayling, Macquarie perch and river blackfish)</w:t>
            </w:r>
          </w:p>
        </w:tc>
      </w:tr>
      <w:tr w:rsidR="00511048">
        <w:trPr>
          <w:trHeight w:val="660"/>
        </w:trPr>
        <w:tc>
          <w:tcPr>
            <w:tcW w:w="789" w:type="dxa"/>
            <w:tcBorders>
              <w:top w:val="single" w:sz="8" w:space="0" w:color="FFFFFF"/>
              <w:bottom w:val="single" w:sz="8" w:space="0" w:color="FFFFFF"/>
            </w:tcBorders>
            <w:shd w:val="clear" w:color="auto" w:fill="E6E7E8"/>
          </w:tcPr>
          <w:p w:rsidR="00511048" w:rsidRDefault="00511048" w:rsidP="00511048">
            <w:pPr>
              <w:pStyle w:val="TableParagraph"/>
              <w:spacing w:before="4"/>
              <w:ind w:left="0"/>
              <w:rPr>
                <w:b/>
                <w:sz w:val="7"/>
              </w:rPr>
            </w:pPr>
          </w:p>
          <w:p w:rsidR="00511048" w:rsidRDefault="00511048" w:rsidP="00511048">
            <w:pPr>
              <w:pStyle w:val="TableParagraph"/>
              <w:ind w:left="178"/>
              <w:rPr>
                <w:sz w:val="20"/>
              </w:rPr>
            </w:pPr>
            <w:r>
              <w:rPr>
                <w:noProof/>
                <w:sz w:val="20"/>
              </w:rPr>
              <w:drawing>
                <wp:inline distT="0" distB="0" distL="0" distR="0" wp14:anchorId="7802EA6F" wp14:editId="22E8995D">
                  <wp:extent cx="314169" cy="310896"/>
                  <wp:effectExtent l="0" t="0" r="0" b="0"/>
                  <wp:docPr id="246"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5.jpeg"/>
                          <pic:cNvPicPr/>
                        </pic:nvPicPr>
                        <pic:blipFill>
                          <a:blip r:embed="rId37" cstate="print"/>
                          <a:stretch>
                            <a:fillRect/>
                          </a:stretch>
                        </pic:blipFill>
                        <pic:spPr>
                          <a:xfrm>
                            <a:off x="0" y="0"/>
                            <a:ext cx="314169"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511048" w:rsidRDefault="00511048" w:rsidP="00511048">
            <w:pPr>
              <w:pStyle w:val="TableParagraph"/>
              <w:spacing w:before="138" w:line="261" w:lineRule="auto"/>
              <w:ind w:left="118" w:right="156"/>
              <w:rPr>
                <w:sz w:val="16"/>
              </w:rPr>
            </w:pPr>
            <w:r>
              <w:rPr>
                <w:color w:val="231F20"/>
                <w:sz w:val="16"/>
              </w:rPr>
              <w:t>Maintain the population of frogs, particularly on the mid-Yarra floodplain</w:t>
            </w:r>
          </w:p>
        </w:tc>
      </w:tr>
      <w:tr w:rsidR="00511048">
        <w:trPr>
          <w:trHeight w:val="660"/>
        </w:trPr>
        <w:tc>
          <w:tcPr>
            <w:tcW w:w="789" w:type="dxa"/>
            <w:tcBorders>
              <w:top w:val="single" w:sz="8" w:space="0" w:color="FFFFFF"/>
              <w:bottom w:val="single" w:sz="8" w:space="0" w:color="FFFFFF"/>
            </w:tcBorders>
            <w:shd w:val="clear" w:color="auto" w:fill="E6E7E8"/>
          </w:tcPr>
          <w:p w:rsidR="00511048" w:rsidRDefault="00511048" w:rsidP="00511048">
            <w:pPr>
              <w:pStyle w:val="TableParagraph"/>
              <w:spacing w:before="4"/>
              <w:ind w:left="0"/>
              <w:rPr>
                <w:b/>
                <w:sz w:val="7"/>
              </w:rPr>
            </w:pPr>
          </w:p>
          <w:p w:rsidR="00511048" w:rsidRDefault="00511048" w:rsidP="00511048">
            <w:pPr>
              <w:pStyle w:val="TableParagraph"/>
              <w:ind w:left="178"/>
              <w:rPr>
                <w:sz w:val="20"/>
              </w:rPr>
            </w:pPr>
            <w:r>
              <w:rPr>
                <w:noProof/>
                <w:sz w:val="20"/>
              </w:rPr>
              <w:drawing>
                <wp:inline distT="0" distB="0" distL="0" distR="0" wp14:anchorId="2B72613F" wp14:editId="5E098720">
                  <wp:extent cx="314168" cy="310896"/>
                  <wp:effectExtent l="0" t="0" r="0" b="0"/>
                  <wp:docPr id="248"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511048" w:rsidRDefault="00511048" w:rsidP="00511048">
            <w:pPr>
              <w:pStyle w:val="TableParagraph"/>
              <w:spacing w:before="110" w:line="336" w:lineRule="auto"/>
              <w:ind w:left="118" w:right="937"/>
              <w:rPr>
                <w:sz w:val="16"/>
              </w:rPr>
            </w:pPr>
            <w:r>
              <w:rPr>
                <w:color w:val="231F20"/>
                <w:sz w:val="16"/>
              </w:rPr>
              <w:t>Maintain the form of the river channel Scour silt from riffles and clean cobbles</w:t>
            </w:r>
          </w:p>
        </w:tc>
      </w:tr>
      <w:tr w:rsidR="00511048">
        <w:trPr>
          <w:trHeight w:val="660"/>
        </w:trPr>
        <w:tc>
          <w:tcPr>
            <w:tcW w:w="789" w:type="dxa"/>
            <w:tcBorders>
              <w:top w:val="single" w:sz="8" w:space="0" w:color="FFFFFF"/>
              <w:bottom w:val="single" w:sz="8" w:space="0" w:color="FFFFFF"/>
            </w:tcBorders>
            <w:shd w:val="clear" w:color="auto" w:fill="E6E7E8"/>
          </w:tcPr>
          <w:p w:rsidR="00511048" w:rsidRDefault="00511048" w:rsidP="00511048">
            <w:pPr>
              <w:pStyle w:val="TableParagraph"/>
              <w:spacing w:before="8"/>
              <w:ind w:left="0"/>
              <w:rPr>
                <w:b/>
                <w:sz w:val="6"/>
              </w:rPr>
            </w:pPr>
          </w:p>
          <w:p w:rsidR="00511048" w:rsidRDefault="00511048" w:rsidP="00511048">
            <w:pPr>
              <w:pStyle w:val="TableParagraph"/>
              <w:ind w:left="178"/>
              <w:rPr>
                <w:sz w:val="20"/>
              </w:rPr>
            </w:pPr>
            <w:r>
              <w:rPr>
                <w:noProof/>
                <w:sz w:val="20"/>
              </w:rPr>
              <w:drawing>
                <wp:inline distT="0" distB="0" distL="0" distR="0" wp14:anchorId="33DF82AB" wp14:editId="20A4B217">
                  <wp:extent cx="314168" cy="310896"/>
                  <wp:effectExtent l="0" t="0" r="0" b="0"/>
                  <wp:docPr id="291"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511048" w:rsidRDefault="00511048" w:rsidP="00511048">
            <w:pPr>
              <w:pStyle w:val="TableParagraph"/>
              <w:ind w:left="0"/>
              <w:rPr>
                <w:b/>
                <w:sz w:val="20"/>
              </w:rPr>
            </w:pPr>
          </w:p>
          <w:p w:rsidR="00511048" w:rsidRDefault="00511048" w:rsidP="00511048">
            <w:pPr>
              <w:pStyle w:val="TableParagraph"/>
              <w:spacing w:before="1"/>
              <w:ind w:left="118"/>
              <w:rPr>
                <w:sz w:val="16"/>
              </w:rPr>
            </w:pPr>
            <w:r>
              <w:rPr>
                <w:color w:val="231F20"/>
                <w:sz w:val="16"/>
              </w:rPr>
              <w:t>Maintain the population of resident platypus</w:t>
            </w:r>
          </w:p>
        </w:tc>
      </w:tr>
      <w:tr w:rsidR="00511048">
        <w:trPr>
          <w:trHeight w:val="1636"/>
        </w:trPr>
        <w:tc>
          <w:tcPr>
            <w:tcW w:w="789" w:type="dxa"/>
            <w:tcBorders>
              <w:top w:val="single" w:sz="8" w:space="0" w:color="FFFFFF"/>
              <w:bottom w:val="single" w:sz="8" w:space="0" w:color="FFFFFF"/>
            </w:tcBorders>
            <w:shd w:val="clear" w:color="auto" w:fill="E6E7E8"/>
          </w:tcPr>
          <w:p w:rsidR="00511048" w:rsidRDefault="00511048" w:rsidP="00511048">
            <w:pPr>
              <w:pStyle w:val="TableParagraph"/>
              <w:ind w:left="0"/>
              <w:rPr>
                <w:b/>
                <w:sz w:val="20"/>
              </w:rPr>
            </w:pPr>
          </w:p>
          <w:p w:rsidR="00511048" w:rsidRDefault="00511048" w:rsidP="00511048">
            <w:pPr>
              <w:pStyle w:val="TableParagraph"/>
              <w:ind w:left="0"/>
              <w:rPr>
                <w:b/>
                <w:sz w:val="20"/>
              </w:rPr>
            </w:pPr>
          </w:p>
          <w:p w:rsidR="00511048" w:rsidRDefault="00511048" w:rsidP="00511048">
            <w:pPr>
              <w:pStyle w:val="TableParagraph"/>
              <w:ind w:left="0"/>
              <w:rPr>
                <w:b/>
                <w:sz w:val="17"/>
              </w:rPr>
            </w:pPr>
          </w:p>
          <w:p w:rsidR="00511048" w:rsidRDefault="00511048" w:rsidP="00511048">
            <w:pPr>
              <w:pStyle w:val="TableParagraph"/>
              <w:ind w:left="178"/>
              <w:rPr>
                <w:sz w:val="20"/>
              </w:rPr>
            </w:pPr>
            <w:r>
              <w:rPr>
                <w:noProof/>
                <w:sz w:val="20"/>
              </w:rPr>
              <w:drawing>
                <wp:inline distT="0" distB="0" distL="0" distR="0" wp14:anchorId="6950D945" wp14:editId="5DAC1FC1">
                  <wp:extent cx="314176" cy="310896"/>
                  <wp:effectExtent l="0" t="0" r="0" b="0"/>
                  <wp:docPr id="293"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1.jpeg"/>
                          <pic:cNvPicPr/>
                        </pic:nvPicPr>
                        <pic:blipFill>
                          <a:blip r:embed="rId33" cstate="print"/>
                          <a:stretch>
                            <a:fillRect/>
                          </a:stretch>
                        </pic:blipFill>
                        <pic:spPr>
                          <a:xfrm>
                            <a:off x="0" y="0"/>
                            <a:ext cx="314176"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511048" w:rsidRDefault="00511048" w:rsidP="00511048">
            <w:pPr>
              <w:pStyle w:val="TableParagraph"/>
              <w:spacing w:before="62" w:line="261" w:lineRule="auto"/>
              <w:ind w:left="118" w:right="92"/>
              <w:rPr>
                <w:sz w:val="16"/>
              </w:rPr>
            </w:pPr>
            <w:r>
              <w:rPr>
                <w:color w:val="231F20"/>
                <w:sz w:val="16"/>
              </w:rPr>
              <w:t>Increase, strengthen and maintain native streamside and aquatic vegetation on the riverbank and in the channels</w:t>
            </w:r>
          </w:p>
          <w:p w:rsidR="00511048" w:rsidRDefault="00511048" w:rsidP="00511048">
            <w:pPr>
              <w:pStyle w:val="TableParagraph"/>
              <w:spacing w:before="112" w:line="261" w:lineRule="auto"/>
              <w:ind w:left="118" w:right="332"/>
              <w:rPr>
                <w:sz w:val="16"/>
              </w:rPr>
            </w:pPr>
            <w:r>
              <w:rPr>
                <w:color w:val="231F20"/>
                <w:sz w:val="16"/>
              </w:rPr>
              <w:t>Increase, strengthen and maintain the growth of threatened wetland plant species to rehabilitate shallow marsh, deep marsh and freshwater meadows on the floodplain and billabongs</w:t>
            </w:r>
          </w:p>
        </w:tc>
      </w:tr>
      <w:tr w:rsidR="00511048">
        <w:trPr>
          <w:trHeight w:val="723"/>
        </w:trPr>
        <w:tc>
          <w:tcPr>
            <w:tcW w:w="789" w:type="dxa"/>
            <w:tcBorders>
              <w:top w:val="single" w:sz="8" w:space="0" w:color="FFFFFF"/>
              <w:bottom w:val="single" w:sz="8" w:space="0" w:color="FFFFFF"/>
            </w:tcBorders>
            <w:shd w:val="clear" w:color="auto" w:fill="E6E7E8"/>
          </w:tcPr>
          <w:p w:rsidR="00511048" w:rsidRDefault="00511048" w:rsidP="00511048">
            <w:pPr>
              <w:pStyle w:val="TableParagraph"/>
              <w:spacing w:before="9"/>
              <w:ind w:left="0"/>
              <w:rPr>
                <w:b/>
                <w:sz w:val="9"/>
              </w:rPr>
            </w:pPr>
          </w:p>
          <w:p w:rsidR="00511048" w:rsidRDefault="00511048" w:rsidP="00511048">
            <w:pPr>
              <w:pStyle w:val="TableParagraph"/>
              <w:ind w:left="178"/>
              <w:rPr>
                <w:sz w:val="20"/>
              </w:rPr>
            </w:pPr>
            <w:r>
              <w:rPr>
                <w:noProof/>
                <w:sz w:val="20"/>
              </w:rPr>
              <w:drawing>
                <wp:inline distT="0" distB="0" distL="0" distR="0" wp14:anchorId="2F4B1A56" wp14:editId="6F3E2C4E">
                  <wp:extent cx="314168" cy="310896"/>
                  <wp:effectExtent l="0" t="0" r="0" b="0"/>
                  <wp:docPr id="295"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511048" w:rsidRDefault="00511048" w:rsidP="00511048">
            <w:pPr>
              <w:pStyle w:val="TableParagraph"/>
              <w:spacing w:before="62" w:line="261" w:lineRule="auto"/>
              <w:ind w:left="118" w:right="83"/>
              <w:rPr>
                <w:sz w:val="16"/>
              </w:rPr>
            </w:pPr>
            <w:r>
              <w:rPr>
                <w:color w:val="231F20"/>
                <w:sz w:val="16"/>
              </w:rPr>
              <w:t>Protect and increase communities of waterbugs, which break down dead organic matter and support the river’s food chain</w:t>
            </w:r>
          </w:p>
        </w:tc>
      </w:tr>
      <w:tr w:rsidR="00511048">
        <w:trPr>
          <w:trHeight w:val="733"/>
        </w:trPr>
        <w:tc>
          <w:tcPr>
            <w:tcW w:w="789" w:type="dxa"/>
            <w:tcBorders>
              <w:top w:val="single" w:sz="8" w:space="0" w:color="FFFFFF"/>
            </w:tcBorders>
            <w:shd w:val="clear" w:color="auto" w:fill="E6E7E8"/>
          </w:tcPr>
          <w:p w:rsidR="00511048" w:rsidRDefault="00511048" w:rsidP="00511048">
            <w:pPr>
              <w:pStyle w:val="TableParagraph"/>
              <w:spacing w:before="3"/>
              <w:ind w:left="0"/>
              <w:rPr>
                <w:b/>
                <w:sz w:val="10"/>
              </w:rPr>
            </w:pPr>
          </w:p>
          <w:p w:rsidR="00511048" w:rsidRDefault="00511048" w:rsidP="00511048">
            <w:pPr>
              <w:pStyle w:val="TableParagraph"/>
              <w:ind w:left="178"/>
              <w:rPr>
                <w:sz w:val="20"/>
              </w:rPr>
            </w:pPr>
            <w:r>
              <w:rPr>
                <w:noProof/>
                <w:sz w:val="20"/>
              </w:rPr>
              <w:drawing>
                <wp:inline distT="0" distB="0" distL="0" distR="0" wp14:anchorId="3F36AF16" wp14:editId="2FE7B77C">
                  <wp:extent cx="314159" cy="310896"/>
                  <wp:effectExtent l="0" t="0" r="0" b="0"/>
                  <wp:docPr id="29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3.png"/>
                          <pic:cNvPicPr/>
                        </pic:nvPicPr>
                        <pic:blipFill>
                          <a:blip r:embed="rId35" cstate="print"/>
                          <a:stretch>
                            <a:fillRect/>
                          </a:stretch>
                        </pic:blipFill>
                        <pic:spPr>
                          <a:xfrm>
                            <a:off x="0" y="0"/>
                            <a:ext cx="314159" cy="310896"/>
                          </a:xfrm>
                          <a:prstGeom prst="rect">
                            <a:avLst/>
                          </a:prstGeom>
                        </pic:spPr>
                      </pic:pic>
                    </a:graphicData>
                  </a:graphic>
                </wp:inline>
              </w:drawing>
            </w:r>
          </w:p>
        </w:tc>
        <w:tc>
          <w:tcPr>
            <w:tcW w:w="3859" w:type="dxa"/>
            <w:tcBorders>
              <w:top w:val="single" w:sz="8" w:space="0" w:color="FFFFFF"/>
            </w:tcBorders>
            <w:shd w:val="clear" w:color="auto" w:fill="E6E7E8"/>
          </w:tcPr>
          <w:p w:rsidR="00511048" w:rsidRDefault="00511048" w:rsidP="00511048">
            <w:pPr>
              <w:pStyle w:val="TableParagraph"/>
              <w:spacing w:before="62" w:line="261" w:lineRule="auto"/>
              <w:ind w:left="118" w:right="438"/>
              <w:rPr>
                <w:sz w:val="16"/>
              </w:rPr>
            </w:pPr>
            <w:r>
              <w:rPr>
                <w:color w:val="231F20"/>
                <w:sz w:val="16"/>
              </w:rPr>
              <w:t>Improve water quality in river pools, ensuring adequate oxygen concentration in the water to support fish, crustaceans and waterbugs</w:t>
            </w:r>
          </w:p>
        </w:tc>
      </w:tr>
    </w:tbl>
    <w:p w:rsidR="006A7A3F" w:rsidRDefault="006A7A3F">
      <w:pPr>
        <w:pStyle w:val="BodyText"/>
        <w:spacing w:before="10"/>
        <w:ind w:left="0"/>
        <w:rPr>
          <w:b/>
          <w:sz w:val="8"/>
        </w:rPr>
      </w:pPr>
    </w:p>
    <w:p w:rsidR="003D4127" w:rsidRDefault="003D4127">
      <w:pPr>
        <w:spacing w:before="92"/>
        <w:ind w:left="210"/>
        <w:rPr>
          <w:b/>
          <w:color w:val="231F20"/>
          <w:sz w:val="24"/>
        </w:rPr>
      </w:pPr>
    </w:p>
    <w:p w:rsidR="006A7A3F" w:rsidRDefault="00BC7372">
      <w:pPr>
        <w:spacing w:before="92"/>
        <w:ind w:left="210"/>
        <w:rPr>
          <w:b/>
          <w:sz w:val="24"/>
        </w:rPr>
      </w:pPr>
      <w:r>
        <w:rPr>
          <w:b/>
          <w:color w:val="231F20"/>
          <w:sz w:val="24"/>
        </w:rPr>
        <w:t>Traditional Owner cultural values and uses</w:t>
      </w:r>
    </w:p>
    <w:p w:rsidR="006A7A3F" w:rsidRDefault="00BC7372">
      <w:pPr>
        <w:pStyle w:val="BodyText"/>
        <w:spacing w:before="58" w:line="249" w:lineRule="auto"/>
        <w:ind w:right="100"/>
      </w:pPr>
      <w:r>
        <w:rPr>
          <w:color w:val="231F20"/>
        </w:rPr>
        <w:t>Wurundjeri Woi-Wurrung Cultural Heritage Aboriginal Corporation and Melbourne Water are working towards an integrated approach that includes Wurundjeri as active participants in the planning, delivery, and monitoring of all works on the lower Yarra floodplain. Melbourne Water has also made initial contact with Bunurong Land Council Aboriginal Corporation and Boon Wurrung Foundation to discuss environmental watering in the Yarra system.</w:t>
      </w:r>
    </w:p>
    <w:p w:rsidR="006A7A3F" w:rsidRDefault="00BC7372">
      <w:pPr>
        <w:pStyle w:val="BodyText"/>
        <w:spacing w:before="174" w:line="249" w:lineRule="auto"/>
        <w:ind w:right="251"/>
      </w:pPr>
      <w:r>
        <w:rPr>
          <w:color w:val="231F20"/>
        </w:rPr>
        <w:t>Waterway managers are seeking opportunities to increase the involvement of Traditional Owners in environmental water planning and management. Where Traditional Owners are more deeply involved in the planning and/or delivery of environmental flows for a particular site, their contribution is acknowledged in Table 3.2.1 with an icon.</w:t>
      </w:r>
    </w:p>
    <w:p w:rsidR="006A7A3F" w:rsidRDefault="006A7A3F">
      <w:pPr>
        <w:pStyle w:val="BodyText"/>
        <w:spacing w:before="4"/>
        <w:ind w:left="0"/>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61"/>
      </w:tblGrid>
      <w:tr w:rsidR="006A7A3F">
        <w:trPr>
          <w:trHeight w:val="856"/>
        </w:trPr>
        <w:tc>
          <w:tcPr>
            <w:tcW w:w="789" w:type="dxa"/>
            <w:shd w:val="clear" w:color="auto" w:fill="E6E7E8"/>
          </w:tcPr>
          <w:p w:rsidR="006A7A3F" w:rsidRDefault="006A7A3F">
            <w:pPr>
              <w:pStyle w:val="TableParagraph"/>
              <w:spacing w:before="3"/>
              <w:ind w:left="0"/>
              <w:rPr>
                <w:sz w:val="16"/>
              </w:rPr>
            </w:pPr>
          </w:p>
          <w:p w:rsidR="006A7A3F" w:rsidRDefault="00BC7372">
            <w:pPr>
              <w:pStyle w:val="TableParagraph"/>
              <w:ind w:left="180"/>
              <w:rPr>
                <w:sz w:val="20"/>
              </w:rPr>
            </w:pPr>
            <w:r>
              <w:rPr>
                <w:noProof/>
                <w:sz w:val="20"/>
              </w:rPr>
              <w:drawing>
                <wp:inline distT="0" distB="0" distL="0" distR="0">
                  <wp:extent cx="313944" cy="313944"/>
                  <wp:effectExtent l="0" t="0" r="0" b="0"/>
                  <wp:docPr id="299"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8.jpeg"/>
                          <pic:cNvPicPr/>
                        </pic:nvPicPr>
                        <pic:blipFill>
                          <a:blip r:embed="rId18" cstate="print"/>
                          <a:stretch>
                            <a:fillRect/>
                          </a:stretch>
                        </pic:blipFill>
                        <pic:spPr>
                          <a:xfrm>
                            <a:off x="0" y="0"/>
                            <a:ext cx="313944" cy="313944"/>
                          </a:xfrm>
                          <a:prstGeom prst="rect">
                            <a:avLst/>
                          </a:prstGeom>
                        </pic:spPr>
                      </pic:pic>
                    </a:graphicData>
                  </a:graphic>
                </wp:inline>
              </w:drawing>
            </w:r>
          </w:p>
        </w:tc>
        <w:tc>
          <w:tcPr>
            <w:tcW w:w="3861" w:type="dxa"/>
            <w:shd w:val="clear" w:color="auto" w:fill="E6E7E8"/>
          </w:tcPr>
          <w:p w:rsidR="006A7A3F" w:rsidRDefault="00BC7372">
            <w:pPr>
              <w:pStyle w:val="TableParagraph"/>
              <w:spacing w:before="136" w:line="261" w:lineRule="auto"/>
              <w:ind w:left="118" w:right="63"/>
              <w:rPr>
                <w:sz w:val="16"/>
              </w:rPr>
            </w:pPr>
            <w:r>
              <w:rPr>
                <w:color w:val="231F20"/>
                <w:sz w:val="16"/>
              </w:rPr>
              <w:t>Watering planned and/or delivered in partnership with Traditional Owners to support Aboriginal cultural values and uses</w:t>
            </w:r>
          </w:p>
        </w:tc>
      </w:tr>
    </w:tbl>
    <w:p w:rsidR="006A7A3F" w:rsidRDefault="00BC7372">
      <w:pPr>
        <w:pStyle w:val="BodyText"/>
        <w:spacing w:before="142" w:line="249" w:lineRule="auto"/>
        <w:ind w:right="204"/>
      </w:pPr>
      <w:r>
        <w:rPr>
          <w:color w:val="231F20"/>
        </w:rPr>
        <w:t>In November 2019 Wurundjeri Woi-Wurrung Cultural Heritage Aboriginal Corporation completed the Bulleen‐ Banyule Flats Cultural Values Study, which details places of Traditional Owner tangible and intangible significance. Melbourne Water has supported this project by attending on-Country visits with Elders and hope to link this study and the identified potential cultural benefits with environmental watering.</w:t>
      </w:r>
    </w:p>
    <w:p w:rsidR="006A7A3F" w:rsidRDefault="00BC7372">
      <w:pPr>
        <w:pStyle w:val="BodyText"/>
        <w:spacing w:before="174" w:line="249" w:lineRule="auto"/>
        <w:ind w:right="297"/>
      </w:pPr>
      <w:r>
        <w:rPr>
          <w:color w:val="231F20"/>
        </w:rPr>
        <w:t>Wurundjeri Woi-Wurrung Cultural Heritage Aboriginal Corporation’s Narrap team undertakes on-ground activities, such as water quality and frog monitoring, through the cultural water program at billabong sites along the lower Yarra floodplain. Monitoring is underway at Banyule Billabong following a delivery of water for the environment in 2019–20 and similar work will likely be undertaken at Annulus Billabong in 2020–21.</w:t>
      </w:r>
    </w:p>
    <w:p w:rsidR="00511048" w:rsidRDefault="00511048">
      <w:pPr>
        <w:rPr>
          <w:sz w:val="20"/>
          <w:szCs w:val="20"/>
        </w:rPr>
      </w:pPr>
      <w:r>
        <w:rPr>
          <w:b/>
          <w:bCs/>
          <w:sz w:val="20"/>
          <w:szCs w:val="20"/>
        </w:rPr>
        <w:br w:type="page"/>
      </w:r>
    </w:p>
    <w:p w:rsidR="006A7A3F" w:rsidRDefault="00BC7372">
      <w:pPr>
        <w:pStyle w:val="Heading4"/>
      </w:pPr>
      <w:r>
        <w:rPr>
          <w:color w:val="231F20"/>
        </w:rPr>
        <w:t>Social, recreational and economic values and uses</w:t>
      </w:r>
    </w:p>
    <w:p w:rsidR="006A7A3F" w:rsidRDefault="00BC7372">
      <w:pPr>
        <w:pStyle w:val="BodyText"/>
        <w:spacing w:before="58" w:line="249" w:lineRule="auto"/>
        <w:ind w:right="457"/>
      </w:pPr>
      <w:r>
        <w:rPr>
          <w:color w:val="231F20"/>
        </w:rPr>
        <w:t>In planning the potential watering actions in Table 3.2.1, Melbourne Water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kayaking, canoeing, fishing and</w:t>
      </w:r>
      <w:r>
        <w:rPr>
          <w:color w:val="231F20"/>
          <w:spacing w:val="-5"/>
          <w:sz w:val="20"/>
        </w:rPr>
        <w:t xml:space="preserve"> </w:t>
      </w:r>
      <w:r>
        <w:rPr>
          <w:color w:val="231F20"/>
          <w:sz w:val="20"/>
        </w:rPr>
        <w:t>swimming)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walking, running, cycling, camping and</w:t>
      </w:r>
      <w:r>
        <w:rPr>
          <w:color w:val="231F20"/>
          <w:spacing w:val="-13"/>
          <w:sz w:val="20"/>
        </w:rPr>
        <w:t xml:space="preserve"> </w:t>
      </w:r>
      <w:r>
        <w:rPr>
          <w:color w:val="231F20"/>
          <w:sz w:val="20"/>
        </w:rPr>
        <w:t>birdwatching)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 the Moomba Festival and the Inflatable</w:t>
      </w:r>
      <w:r>
        <w:rPr>
          <w:color w:val="231F20"/>
          <w:spacing w:val="-9"/>
          <w:sz w:val="20"/>
        </w:rPr>
        <w:t xml:space="preserve"> </w:t>
      </w:r>
      <w:r>
        <w:rPr>
          <w:color w:val="231F20"/>
          <w:sz w:val="20"/>
        </w:rPr>
        <w:t>Regatta)</w:t>
      </w:r>
    </w:p>
    <w:p w:rsidR="006A7A3F" w:rsidRDefault="00BC7372" w:rsidP="009B6917">
      <w:pPr>
        <w:pStyle w:val="ListParagraph"/>
        <w:numPr>
          <w:ilvl w:val="0"/>
          <w:numId w:val="1419"/>
        </w:numPr>
        <w:tabs>
          <w:tab w:val="left" w:pos="493"/>
          <w:tab w:val="left" w:pos="494"/>
        </w:tabs>
        <w:spacing w:before="96" w:line="249" w:lineRule="auto"/>
        <w:ind w:right="787"/>
        <w:rPr>
          <w:sz w:val="20"/>
        </w:rPr>
      </w:pPr>
      <w:r>
        <w:rPr>
          <w:color w:val="231F20"/>
          <w:sz w:val="20"/>
        </w:rPr>
        <w:t>socio-economic benefits (such as diverters for irrigation, domestic and stock uses, and Melbourne’s water supply).</w:t>
      </w:r>
    </w:p>
    <w:p w:rsidR="006A7A3F" w:rsidRDefault="006A7A3F">
      <w:pPr>
        <w:pStyle w:val="BodyText"/>
        <w:spacing w:before="0"/>
        <w:ind w:left="0"/>
      </w:pPr>
    </w:p>
    <w:p w:rsidR="006A7A3F" w:rsidRDefault="00BC7372">
      <w:pPr>
        <w:pStyle w:val="Heading4"/>
      </w:pPr>
      <w:r>
        <w:rPr>
          <w:color w:val="231F20"/>
        </w:rPr>
        <w:t>Recent conditions</w:t>
      </w:r>
    </w:p>
    <w:p w:rsidR="006A7A3F" w:rsidRDefault="00BC7372">
      <w:pPr>
        <w:pStyle w:val="BodyText"/>
        <w:spacing w:before="59" w:line="249" w:lineRule="auto"/>
        <w:ind w:right="297"/>
      </w:pPr>
      <w:r>
        <w:rPr>
          <w:color w:val="231F20"/>
        </w:rPr>
        <w:t>Rainfall in 2019–20 in the Yarra catchment was above the long-term average, and tributary inflows significantly contributed to flow in the Yarra and Plenty rivers throughout the year. O’Shannassy Reservoir was offline for most of the year for maintenance, so most flow in the O’Shannassy River passed directly into the Yarra River.</w:t>
      </w:r>
    </w:p>
    <w:p w:rsidR="006A7A3F" w:rsidRDefault="00BC7372" w:rsidP="00E459ED">
      <w:pPr>
        <w:pStyle w:val="BodyText"/>
        <w:spacing w:line="249" w:lineRule="auto"/>
        <w:ind w:right="508"/>
      </w:pPr>
      <w:r>
        <w:rPr>
          <w:color w:val="231F20"/>
        </w:rPr>
        <w:t>Natural rainfall events, combined with the larger-than-normal inflows from the O’Shannassy River, achieved most of the high-priority planned watering actions for 2019–20, and some lower-priority watering actions (such as winter/spring freshes) provided important flow variability. One of the highest-priority planned watering actions for the Yarra River was an autumn high flow to support the migration and spawning of Australian grayling. The</w:t>
      </w:r>
      <w:r w:rsidR="00E459ED">
        <w:rPr>
          <w:color w:val="231F20"/>
        </w:rPr>
        <w:t xml:space="preserve"> </w:t>
      </w:r>
      <w:r>
        <w:rPr>
          <w:color w:val="231F20"/>
        </w:rPr>
        <w:t>planned environmental flow release in April 2020 coincided with a natural rain event, which reduced the volume of environmental water needed to achieve the target flow.</w:t>
      </w:r>
    </w:p>
    <w:p w:rsidR="006A7A3F" w:rsidRDefault="00BC7372">
      <w:pPr>
        <w:pStyle w:val="BodyText"/>
        <w:spacing w:before="70" w:line="249" w:lineRule="auto"/>
        <w:ind w:right="563"/>
      </w:pPr>
      <w:r>
        <w:rPr>
          <w:color w:val="231F20"/>
        </w:rPr>
        <w:t>In September 2019, water for the environment was used to partially fill Banyule Billabong on the lower Yarra floodplain near Heidelberg for the first time since 2016–17. Monitoring by Melbourne Water indicated that the watering action drowned some of the terrestrial plants that had colonised the bed of the wetland in recent years and stimulated growth of some native wetland plant species. Water for the environment was used to fill Yering Backswamp in May 2020, to maintain water-dependent vegetation and aquatic animals.</w:t>
      </w:r>
    </w:p>
    <w:p w:rsidR="006A7A3F" w:rsidRDefault="006A7A3F">
      <w:pPr>
        <w:pStyle w:val="BodyText"/>
        <w:spacing w:before="3"/>
        <w:ind w:left="0"/>
      </w:pPr>
    </w:p>
    <w:p w:rsidR="006A7A3F" w:rsidRDefault="00BC7372">
      <w:pPr>
        <w:pStyle w:val="Heading4"/>
        <w:spacing w:before="1"/>
      </w:pPr>
      <w:r>
        <w:rPr>
          <w:color w:val="231F20"/>
        </w:rPr>
        <w:t>Scope of environmental watering</w:t>
      </w:r>
    </w:p>
    <w:p w:rsidR="006A7A3F" w:rsidRDefault="00BC7372">
      <w:pPr>
        <w:pStyle w:val="BodyText"/>
        <w:spacing w:before="58" w:line="249" w:lineRule="auto"/>
        <w:ind w:right="251"/>
      </w:pPr>
      <w:r>
        <w:rPr>
          <w:color w:val="231F20"/>
        </w:rPr>
        <w:t>Table 3.2.1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511048" w:rsidRDefault="00511048">
      <w:pPr>
        <w:rPr>
          <w:b/>
          <w:color w:val="231F20"/>
          <w:sz w:val="18"/>
        </w:rPr>
      </w:pPr>
      <w:r>
        <w:rPr>
          <w:b/>
          <w:color w:val="231F20"/>
          <w:sz w:val="18"/>
        </w:rPr>
        <w:br w:type="page"/>
      </w:r>
    </w:p>
    <w:p w:rsidR="006A7A3F" w:rsidRDefault="00BC7372">
      <w:pPr>
        <w:spacing w:before="168" w:line="249" w:lineRule="auto"/>
        <w:ind w:left="210" w:right="956"/>
        <w:rPr>
          <w:b/>
          <w:sz w:val="18"/>
        </w:rPr>
      </w:pPr>
      <w:r>
        <w:rPr>
          <w:b/>
          <w:color w:val="231F20"/>
          <w:sz w:val="18"/>
        </w:rPr>
        <w:t>Table 3.2.1 Potential environmental watering actions and objectives for the Yarra River, Plenty River and Yarra billabongs</w:t>
      </w:r>
    </w:p>
    <w:p w:rsidR="006A7A3F" w:rsidRDefault="006A7A3F">
      <w:pPr>
        <w:pStyle w:val="BodyText"/>
        <w:spacing w:before="10"/>
        <w:ind w:left="0"/>
        <w:rPr>
          <w:b/>
          <w:sz w:val="7"/>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trPr>
          <w:trHeight w:val="347"/>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b/>
                <w:sz w:val="16"/>
              </w:rPr>
            </w:pPr>
            <w:r>
              <w:rPr>
                <w:b/>
                <w:color w:val="231F20"/>
                <w:sz w:val="16"/>
              </w:rPr>
              <w:t>Yarra River</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05"/>
              <w:rPr>
                <w:sz w:val="16"/>
              </w:rPr>
            </w:pPr>
            <w:r>
              <w:rPr>
                <w:color w:val="231F20"/>
                <w:sz w:val="16"/>
              </w:rPr>
              <w:t>Summer/autumn low flow (80– 200 ML/day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206"/>
              </w:numPr>
              <w:tabs>
                <w:tab w:val="left" w:pos="306"/>
              </w:tabs>
              <w:spacing w:before="70"/>
              <w:ind w:hanging="218"/>
              <w:rPr>
                <w:sz w:val="16"/>
                <w:szCs w:val="16"/>
              </w:rPr>
            </w:pPr>
            <w:r w:rsidRPr="00A1021A">
              <w:rPr>
                <w:color w:val="231F20"/>
                <w:sz w:val="16"/>
                <w:szCs w:val="16"/>
              </w:rPr>
              <w:t>Physically mix pools to minimise the risk of stratification and low</w:t>
            </w:r>
            <w:r w:rsidRPr="00A1021A">
              <w:rPr>
                <w:color w:val="231F20"/>
                <w:spacing w:val="-15"/>
                <w:sz w:val="16"/>
                <w:szCs w:val="16"/>
              </w:rPr>
              <w:t xml:space="preserve"> </w:t>
            </w:r>
            <w:r w:rsidRPr="00A1021A">
              <w:rPr>
                <w:color w:val="231F20"/>
                <w:sz w:val="16"/>
                <w:szCs w:val="16"/>
              </w:rPr>
              <w:t>oxygen</w:t>
            </w:r>
          </w:p>
          <w:p w:rsidR="006A7A3F" w:rsidRPr="00A1021A" w:rsidRDefault="00BC7372">
            <w:pPr>
              <w:pStyle w:val="TableParagraph"/>
              <w:numPr>
                <w:ilvl w:val="0"/>
                <w:numId w:val="1206"/>
              </w:numPr>
              <w:tabs>
                <w:tab w:val="left" w:pos="306"/>
              </w:tabs>
              <w:spacing w:before="98"/>
              <w:ind w:hanging="218"/>
              <w:rPr>
                <w:sz w:val="16"/>
                <w:szCs w:val="16"/>
              </w:rPr>
            </w:pPr>
            <w:r w:rsidRPr="00A1021A">
              <w:rPr>
                <w:color w:val="231F20"/>
                <w:sz w:val="16"/>
                <w:szCs w:val="16"/>
              </w:rPr>
              <w:t>Maintain access to habitats for fish, waterbugs and</w:t>
            </w:r>
            <w:r w:rsidRPr="00A1021A">
              <w:rPr>
                <w:color w:val="231F20"/>
                <w:spacing w:val="-12"/>
                <w:sz w:val="16"/>
                <w:szCs w:val="16"/>
              </w:rPr>
              <w:t xml:space="preserve"> </w:t>
            </w:r>
            <w:r w:rsidRPr="00A1021A">
              <w:rPr>
                <w:color w:val="231F20"/>
                <w:sz w:val="16"/>
                <w:szCs w:val="16"/>
              </w:rPr>
              <w:t>platypus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30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30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30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58" cy="310896"/>
                  <wp:effectExtent l="0" t="0" r="0" b="0"/>
                  <wp:docPr id="30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3.png"/>
                          <pic:cNvPicPr/>
                        </pic:nvPicPr>
                        <pic:blipFill>
                          <a:blip r:embed="rId35" cstate="print"/>
                          <a:stretch>
                            <a:fillRect/>
                          </a:stretch>
                        </pic:blipFill>
                        <pic:spPr>
                          <a:xfrm>
                            <a:off x="0" y="0"/>
                            <a:ext cx="314158" cy="310896"/>
                          </a:xfrm>
                          <a:prstGeom prst="rect">
                            <a:avLst/>
                          </a:prstGeom>
                        </pic:spPr>
                      </pic:pic>
                    </a:graphicData>
                  </a:graphic>
                </wp:inline>
              </w:drawing>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0"/>
              <w:rPr>
                <w:sz w:val="16"/>
              </w:rPr>
            </w:pPr>
            <w:r>
              <w:rPr>
                <w:color w:val="231F20"/>
                <w:sz w:val="16"/>
              </w:rPr>
              <w:t>Winter/spring low flow (200–350 ML/day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205"/>
              </w:numPr>
              <w:tabs>
                <w:tab w:val="left" w:pos="306"/>
              </w:tabs>
              <w:spacing w:before="70"/>
              <w:ind w:hanging="218"/>
              <w:rPr>
                <w:sz w:val="16"/>
                <w:szCs w:val="16"/>
              </w:rPr>
            </w:pPr>
            <w:r w:rsidRPr="00A1021A">
              <w:rPr>
                <w:color w:val="231F20"/>
                <w:sz w:val="16"/>
                <w:szCs w:val="16"/>
              </w:rPr>
              <w:t>Physically mix pools to minimise the risk of stratification and low</w:t>
            </w:r>
            <w:r w:rsidRPr="00A1021A">
              <w:rPr>
                <w:color w:val="231F20"/>
                <w:spacing w:val="-15"/>
                <w:sz w:val="16"/>
                <w:szCs w:val="16"/>
              </w:rPr>
              <w:t xml:space="preserve"> </w:t>
            </w:r>
            <w:r w:rsidRPr="00A1021A">
              <w:rPr>
                <w:color w:val="231F20"/>
                <w:sz w:val="16"/>
                <w:szCs w:val="16"/>
              </w:rPr>
              <w:t>oxygen</w:t>
            </w:r>
          </w:p>
          <w:p w:rsidR="006A7A3F" w:rsidRPr="00A1021A" w:rsidRDefault="00BC7372">
            <w:pPr>
              <w:pStyle w:val="TableParagraph"/>
              <w:numPr>
                <w:ilvl w:val="0"/>
                <w:numId w:val="1205"/>
              </w:numPr>
              <w:tabs>
                <w:tab w:val="left" w:pos="306"/>
              </w:tabs>
              <w:spacing w:before="98"/>
              <w:ind w:hanging="218"/>
              <w:rPr>
                <w:sz w:val="16"/>
                <w:szCs w:val="16"/>
              </w:rPr>
            </w:pPr>
            <w:r w:rsidRPr="00A1021A">
              <w:rPr>
                <w:color w:val="231F20"/>
                <w:sz w:val="16"/>
                <w:szCs w:val="16"/>
              </w:rPr>
              <w:t>Maintain access to habitats for fish, waterbugs and</w:t>
            </w:r>
            <w:r w:rsidRPr="00A1021A">
              <w:rPr>
                <w:color w:val="231F20"/>
                <w:spacing w:val="-12"/>
                <w:sz w:val="16"/>
                <w:szCs w:val="16"/>
              </w:rPr>
              <w:t xml:space="preserve"> </w:t>
            </w:r>
            <w:r w:rsidRPr="00A1021A">
              <w:rPr>
                <w:color w:val="231F20"/>
                <w:sz w:val="16"/>
                <w:szCs w:val="16"/>
              </w:rPr>
              <w:t>platypus</w:t>
            </w:r>
          </w:p>
          <w:p w:rsidR="006A7A3F" w:rsidRPr="00A1021A" w:rsidRDefault="00BC7372">
            <w:pPr>
              <w:pStyle w:val="TableParagraph"/>
              <w:numPr>
                <w:ilvl w:val="0"/>
                <w:numId w:val="1205"/>
              </w:numPr>
              <w:tabs>
                <w:tab w:val="left" w:pos="306"/>
              </w:tabs>
              <w:spacing w:before="98"/>
              <w:ind w:hanging="218"/>
              <w:rPr>
                <w:sz w:val="16"/>
                <w:szCs w:val="16"/>
              </w:rPr>
            </w:pPr>
            <w:r w:rsidRPr="00A1021A">
              <w:rPr>
                <w:color w:val="231F20"/>
                <w:sz w:val="16"/>
                <w:szCs w:val="16"/>
              </w:rPr>
              <w:t>Wet bank vegetation to promote</w:t>
            </w:r>
            <w:r w:rsidRPr="00A1021A">
              <w:rPr>
                <w:color w:val="231F20"/>
                <w:spacing w:val="-5"/>
                <w:sz w:val="16"/>
                <w:szCs w:val="16"/>
              </w:rPr>
              <w:t xml:space="preserve"> </w:t>
            </w:r>
            <w:r w:rsidRPr="00A1021A">
              <w:rPr>
                <w:color w:val="231F20"/>
                <w:sz w:val="16"/>
                <w:szCs w:val="16"/>
              </w:rPr>
              <w:t>growth</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30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31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31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31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9" cy="310896"/>
                  <wp:effectExtent l="0" t="0" r="0" b="0"/>
                  <wp:docPr id="31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3.png"/>
                          <pic:cNvPicPr/>
                        </pic:nvPicPr>
                        <pic:blipFill>
                          <a:blip r:embed="rId35" cstate="print"/>
                          <a:stretch>
                            <a:fillRect/>
                          </a:stretch>
                        </pic:blipFill>
                        <pic:spPr>
                          <a:xfrm>
                            <a:off x="0" y="0"/>
                            <a:ext cx="314169"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31"/>
              <w:jc w:val="both"/>
              <w:rPr>
                <w:sz w:val="16"/>
              </w:rPr>
            </w:pPr>
            <w:r>
              <w:rPr>
                <w:color w:val="231F20"/>
                <w:sz w:val="16"/>
              </w:rPr>
              <w:t>Summer/autumn fresh (one to three freshes of 350–750 ML/ day for two to four days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204"/>
              </w:numPr>
              <w:tabs>
                <w:tab w:val="left" w:pos="306"/>
              </w:tabs>
              <w:spacing w:before="70"/>
              <w:ind w:hanging="218"/>
              <w:rPr>
                <w:sz w:val="16"/>
                <w:szCs w:val="16"/>
              </w:rPr>
            </w:pPr>
            <w:r w:rsidRPr="00A1021A">
              <w:rPr>
                <w:color w:val="231F20"/>
                <w:sz w:val="16"/>
                <w:szCs w:val="16"/>
              </w:rPr>
              <w:t>Flush pools to prevent a decline in water</w:t>
            </w:r>
            <w:r w:rsidRPr="00A1021A">
              <w:rPr>
                <w:color w:val="231F20"/>
                <w:spacing w:val="-11"/>
                <w:sz w:val="16"/>
                <w:szCs w:val="16"/>
              </w:rPr>
              <w:t xml:space="preserve"> </w:t>
            </w:r>
            <w:r w:rsidRPr="00A1021A">
              <w:rPr>
                <w:color w:val="231F20"/>
                <w:sz w:val="16"/>
                <w:szCs w:val="16"/>
              </w:rPr>
              <w:t>quality</w:t>
            </w:r>
          </w:p>
          <w:p w:rsidR="006A7A3F" w:rsidRPr="00A1021A" w:rsidRDefault="00BC7372">
            <w:pPr>
              <w:pStyle w:val="TableParagraph"/>
              <w:numPr>
                <w:ilvl w:val="0"/>
                <w:numId w:val="1204"/>
              </w:numPr>
              <w:tabs>
                <w:tab w:val="left" w:pos="306"/>
              </w:tabs>
              <w:spacing w:before="98" w:line="254" w:lineRule="auto"/>
              <w:ind w:right="366"/>
              <w:rPr>
                <w:sz w:val="16"/>
                <w:szCs w:val="16"/>
              </w:rPr>
            </w:pPr>
            <w:r w:rsidRPr="00A1021A">
              <w:rPr>
                <w:color w:val="231F20"/>
                <w:sz w:val="16"/>
                <w:szCs w:val="16"/>
              </w:rPr>
              <w:t>Scour sediment and biofilm from gravel in riffles and pools to maintain habitat quality for fish and</w:t>
            </w:r>
            <w:r w:rsidRPr="00A1021A">
              <w:rPr>
                <w:color w:val="231F20"/>
                <w:spacing w:val="-5"/>
                <w:sz w:val="16"/>
                <w:szCs w:val="16"/>
              </w:rPr>
              <w:t xml:space="preserve"> </w:t>
            </w:r>
            <w:r w:rsidRPr="00A1021A">
              <w:rPr>
                <w:color w:val="231F20"/>
                <w:sz w:val="16"/>
                <w:szCs w:val="16"/>
              </w:rPr>
              <w:t>waterbugs</w:t>
            </w:r>
          </w:p>
          <w:p w:rsidR="006A7A3F" w:rsidRPr="00A1021A" w:rsidRDefault="00BC7372">
            <w:pPr>
              <w:pStyle w:val="TableParagraph"/>
              <w:numPr>
                <w:ilvl w:val="0"/>
                <w:numId w:val="1204"/>
              </w:numPr>
              <w:tabs>
                <w:tab w:val="left" w:pos="306"/>
              </w:tabs>
              <w:spacing w:before="87"/>
              <w:ind w:hanging="218"/>
              <w:rPr>
                <w:sz w:val="16"/>
                <w:szCs w:val="16"/>
              </w:rPr>
            </w:pPr>
            <w:r w:rsidRPr="00A1021A">
              <w:rPr>
                <w:color w:val="231F20"/>
                <w:sz w:val="16"/>
                <w:szCs w:val="16"/>
              </w:rPr>
              <w:t>Provide opportunities for localised movement of fish and</w:t>
            </w:r>
            <w:r w:rsidRPr="00A1021A">
              <w:rPr>
                <w:color w:val="231F20"/>
                <w:spacing w:val="-15"/>
                <w:sz w:val="16"/>
                <w:szCs w:val="16"/>
              </w:rPr>
              <w:t xml:space="preserve"> </w:t>
            </w:r>
            <w:r w:rsidRPr="00A1021A">
              <w:rPr>
                <w:color w:val="231F20"/>
                <w:sz w:val="16"/>
                <w:szCs w:val="16"/>
              </w:rPr>
              <w:t>platypus</w:t>
            </w:r>
          </w:p>
          <w:p w:rsidR="006A7A3F" w:rsidRPr="00A1021A" w:rsidRDefault="00BC7372">
            <w:pPr>
              <w:pStyle w:val="TableParagraph"/>
              <w:numPr>
                <w:ilvl w:val="0"/>
                <w:numId w:val="1204"/>
              </w:numPr>
              <w:tabs>
                <w:tab w:val="left" w:pos="306"/>
              </w:tabs>
              <w:spacing w:before="98" w:line="254" w:lineRule="auto"/>
              <w:ind w:right="408"/>
              <w:rPr>
                <w:sz w:val="16"/>
                <w:szCs w:val="16"/>
              </w:rPr>
            </w:pPr>
            <w:r w:rsidRPr="00A1021A">
              <w:rPr>
                <w:color w:val="231F20"/>
                <w:sz w:val="16"/>
                <w:szCs w:val="16"/>
              </w:rPr>
              <w:t>Wet the banks of the river to maintain flood-tolerant vegetation on</w:t>
            </w:r>
            <w:r w:rsidRPr="00A1021A">
              <w:rPr>
                <w:color w:val="231F20"/>
                <w:spacing w:val="-15"/>
                <w:sz w:val="16"/>
                <w:szCs w:val="16"/>
              </w:rPr>
              <w:t xml:space="preserve"> </w:t>
            </w:r>
            <w:r w:rsidRPr="00A1021A">
              <w:rPr>
                <w:color w:val="231F20"/>
                <w:sz w:val="16"/>
                <w:szCs w:val="16"/>
              </w:rPr>
              <w:t>the banks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31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32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0.jpeg"/>
                          <pic:cNvPicPr/>
                        </pic:nvPicPr>
                        <pic:blipFill>
                          <a:blip r:embed="rId32" cstate="print"/>
                          <a:stretch>
                            <a:fillRect/>
                          </a:stretch>
                        </pic:blipFill>
                        <pic:spPr>
                          <a:xfrm>
                            <a:off x="0" y="0"/>
                            <a:ext cx="314177"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32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72" cy="310896"/>
                  <wp:effectExtent l="0" t="0" r="0" b="0"/>
                  <wp:docPr id="32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1.jpeg"/>
                          <pic:cNvPicPr/>
                        </pic:nvPicPr>
                        <pic:blipFill>
                          <a:blip r:embed="rId33" cstate="print"/>
                          <a:stretch>
                            <a:fillRect/>
                          </a:stretch>
                        </pic:blipFill>
                        <pic:spPr>
                          <a:xfrm>
                            <a:off x="0" y="0"/>
                            <a:ext cx="314172"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32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4" cy="310896"/>
                  <wp:effectExtent l="0" t="0" r="0" b="0"/>
                  <wp:docPr id="329" name="image23.png" descr="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3.png"/>
                          <pic:cNvPicPr/>
                        </pic:nvPicPr>
                        <pic:blipFill>
                          <a:blip r:embed="rId35" cstate="print"/>
                          <a:stretch>
                            <a:fillRect/>
                          </a:stretch>
                        </pic:blipFill>
                        <pic:spPr>
                          <a:xfrm>
                            <a:off x="0" y="0"/>
                            <a:ext cx="314164" cy="310896"/>
                          </a:xfrm>
                          <a:prstGeom prst="rect">
                            <a:avLst/>
                          </a:prstGeom>
                        </pic:spPr>
                      </pic:pic>
                    </a:graphicData>
                  </a:graphic>
                </wp:inline>
              </w:drawing>
            </w:r>
          </w:p>
        </w:tc>
      </w:tr>
      <w:tr w:rsidR="006A7A3F">
        <w:trPr>
          <w:trHeight w:val="87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78"/>
              <w:jc w:val="both"/>
              <w:rPr>
                <w:sz w:val="16"/>
              </w:rPr>
            </w:pPr>
            <w:r>
              <w:rPr>
                <w:color w:val="231F20"/>
                <w:sz w:val="16"/>
              </w:rPr>
              <w:t>Autumn high flow (one fresh of 560–1,300 ML/day for seven to 14 days during April to May)</w:t>
            </w:r>
          </w:p>
        </w:tc>
        <w:tc>
          <w:tcPr>
            <w:tcW w:w="6236" w:type="dxa"/>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203"/>
              </w:numPr>
              <w:tabs>
                <w:tab w:val="left" w:pos="306"/>
              </w:tabs>
              <w:spacing w:before="70"/>
              <w:ind w:hanging="218"/>
              <w:rPr>
                <w:sz w:val="16"/>
                <w:szCs w:val="16"/>
              </w:rPr>
            </w:pPr>
            <w:r w:rsidRPr="00A1021A">
              <w:rPr>
                <w:color w:val="231F20"/>
                <w:sz w:val="16"/>
                <w:szCs w:val="16"/>
              </w:rPr>
              <w:t>Cue the migration of Australian</w:t>
            </w:r>
            <w:r w:rsidRPr="00A1021A">
              <w:rPr>
                <w:color w:val="231F20"/>
                <w:spacing w:val="-12"/>
                <w:sz w:val="16"/>
                <w:szCs w:val="16"/>
              </w:rPr>
              <w:t xml:space="preserve"> </w:t>
            </w:r>
            <w:r w:rsidRPr="00A1021A">
              <w:rPr>
                <w:color w:val="231F20"/>
                <w:sz w:val="16"/>
                <w:szCs w:val="16"/>
              </w:rPr>
              <w:t>grayling</w:t>
            </w:r>
          </w:p>
          <w:p w:rsidR="006A7A3F" w:rsidRPr="00A1021A" w:rsidRDefault="00BC7372">
            <w:pPr>
              <w:pStyle w:val="TableParagraph"/>
              <w:numPr>
                <w:ilvl w:val="0"/>
                <w:numId w:val="1203"/>
              </w:numPr>
              <w:tabs>
                <w:tab w:val="left" w:pos="306"/>
              </w:tabs>
              <w:spacing w:before="98" w:line="254" w:lineRule="auto"/>
              <w:ind w:right="366"/>
              <w:rPr>
                <w:sz w:val="16"/>
                <w:szCs w:val="16"/>
              </w:rPr>
            </w:pPr>
            <w:r w:rsidRPr="00A1021A">
              <w:rPr>
                <w:color w:val="231F20"/>
                <w:sz w:val="16"/>
                <w:szCs w:val="16"/>
              </w:rPr>
              <w:t>Scour sediment and biofilm from gravel in riffles and pools to maintain habitat quality for fish and</w:t>
            </w:r>
            <w:r w:rsidRPr="00A1021A">
              <w:rPr>
                <w:color w:val="231F20"/>
                <w:spacing w:val="-5"/>
                <w:sz w:val="16"/>
                <w:szCs w:val="16"/>
              </w:rPr>
              <w:t xml:space="preserve"> </w:t>
            </w:r>
            <w:r w:rsidRPr="00A1021A">
              <w:rPr>
                <w:color w:val="231F20"/>
                <w:sz w:val="16"/>
                <w:szCs w:val="16"/>
              </w:rPr>
              <w:t>waterbugs</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33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33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87"/>
              <w:rPr>
                <w:sz w:val="16"/>
              </w:rPr>
            </w:pPr>
            <w:r>
              <w:rPr>
                <w:color w:val="231F20"/>
                <w:sz w:val="16"/>
              </w:rPr>
              <w:t>Winter/spring fresh (one to two freshes of 700–2,500 ML/day for three to seven days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202"/>
              </w:numPr>
              <w:tabs>
                <w:tab w:val="left" w:pos="306"/>
              </w:tabs>
              <w:spacing w:before="70" w:line="254" w:lineRule="auto"/>
              <w:ind w:right="427"/>
              <w:rPr>
                <w:sz w:val="16"/>
                <w:szCs w:val="16"/>
              </w:rPr>
            </w:pPr>
            <w:r w:rsidRPr="00A1021A">
              <w:rPr>
                <w:color w:val="231F20"/>
                <w:sz w:val="16"/>
                <w:szCs w:val="16"/>
              </w:rPr>
              <w:t>Scour sediment and biofilm from gravel in riffles to improve</w:t>
            </w:r>
            <w:r w:rsidRPr="00A1021A">
              <w:rPr>
                <w:color w:val="231F20"/>
                <w:spacing w:val="-24"/>
                <w:sz w:val="16"/>
                <w:szCs w:val="16"/>
              </w:rPr>
              <w:t xml:space="preserve"> </w:t>
            </w:r>
            <w:r w:rsidRPr="00A1021A">
              <w:rPr>
                <w:color w:val="231F20"/>
                <w:sz w:val="16"/>
                <w:szCs w:val="16"/>
              </w:rPr>
              <w:t>spawning opportunities for Macquarie</w:t>
            </w:r>
            <w:r w:rsidRPr="00A1021A">
              <w:rPr>
                <w:color w:val="231F20"/>
                <w:spacing w:val="-2"/>
                <w:sz w:val="16"/>
                <w:szCs w:val="16"/>
              </w:rPr>
              <w:t xml:space="preserve"> </w:t>
            </w:r>
            <w:r w:rsidRPr="00A1021A">
              <w:rPr>
                <w:color w:val="231F20"/>
                <w:sz w:val="16"/>
                <w:szCs w:val="16"/>
              </w:rPr>
              <w:t>perch</w:t>
            </w:r>
          </w:p>
          <w:p w:rsidR="006A7A3F" w:rsidRPr="00A1021A" w:rsidRDefault="00BC7372">
            <w:pPr>
              <w:pStyle w:val="TableParagraph"/>
              <w:numPr>
                <w:ilvl w:val="0"/>
                <w:numId w:val="1202"/>
              </w:numPr>
              <w:tabs>
                <w:tab w:val="left" w:pos="306"/>
              </w:tabs>
              <w:spacing w:before="87" w:line="254" w:lineRule="auto"/>
              <w:ind w:right="369"/>
              <w:rPr>
                <w:sz w:val="16"/>
                <w:szCs w:val="16"/>
              </w:rPr>
            </w:pPr>
            <w:r w:rsidRPr="00A1021A">
              <w:rPr>
                <w:color w:val="231F20"/>
                <w:sz w:val="16"/>
                <w:szCs w:val="16"/>
              </w:rPr>
              <w:t>Wet native streamside vegetation on the banks of the river to</w:t>
            </w:r>
            <w:r w:rsidRPr="00A1021A">
              <w:rPr>
                <w:color w:val="231F20"/>
                <w:spacing w:val="-27"/>
                <w:sz w:val="16"/>
                <w:szCs w:val="16"/>
              </w:rPr>
              <w:t xml:space="preserve"> </w:t>
            </w:r>
            <w:r w:rsidRPr="00A1021A">
              <w:rPr>
                <w:color w:val="231F20"/>
                <w:sz w:val="16"/>
                <w:szCs w:val="16"/>
              </w:rPr>
              <w:t>promote growth</w:t>
            </w:r>
          </w:p>
          <w:p w:rsidR="006A7A3F" w:rsidRPr="00A1021A" w:rsidRDefault="00BC7372">
            <w:pPr>
              <w:pStyle w:val="TableParagraph"/>
              <w:numPr>
                <w:ilvl w:val="0"/>
                <w:numId w:val="1202"/>
              </w:numPr>
              <w:tabs>
                <w:tab w:val="left" w:pos="306"/>
              </w:tabs>
              <w:spacing w:before="86" w:line="254" w:lineRule="auto"/>
              <w:ind w:right="627"/>
              <w:rPr>
                <w:sz w:val="16"/>
                <w:szCs w:val="16"/>
              </w:rPr>
            </w:pPr>
            <w:r w:rsidRPr="00A1021A">
              <w:rPr>
                <w:color w:val="231F20"/>
                <w:sz w:val="16"/>
                <w:szCs w:val="16"/>
              </w:rPr>
              <w:t>Provide cues for upstream migration of juvenile migratory fish</w:t>
            </w:r>
            <w:r w:rsidRPr="00A1021A">
              <w:rPr>
                <w:color w:val="231F20"/>
                <w:spacing w:val="-18"/>
                <w:sz w:val="16"/>
                <w:szCs w:val="16"/>
              </w:rPr>
              <w:t xml:space="preserve"> </w:t>
            </w:r>
            <w:r w:rsidRPr="00A1021A">
              <w:rPr>
                <w:color w:val="231F20"/>
                <w:sz w:val="16"/>
                <w:szCs w:val="16"/>
              </w:rPr>
              <w:t>(e.g. Australian grayling and</w:t>
            </w:r>
            <w:r w:rsidRPr="00A1021A">
              <w:rPr>
                <w:color w:val="231F20"/>
                <w:spacing w:val="-3"/>
                <w:sz w:val="16"/>
                <w:szCs w:val="16"/>
              </w:rPr>
              <w:t xml:space="preserve"> </w:t>
            </w:r>
            <w:r w:rsidRPr="00A1021A">
              <w:rPr>
                <w:color w:val="231F20"/>
                <w:sz w:val="16"/>
                <w:szCs w:val="16"/>
              </w:rPr>
              <w:t>tupong)</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33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337"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0.jpeg"/>
                          <pic:cNvPicPr/>
                        </pic:nvPicPr>
                        <pic:blipFill>
                          <a:blip r:embed="rId32" cstate="print"/>
                          <a:stretch>
                            <a:fillRect/>
                          </a:stretch>
                        </pic:blipFill>
                        <pic:spPr>
                          <a:xfrm>
                            <a:off x="0" y="0"/>
                            <a:ext cx="314177" cy="310896"/>
                          </a:xfrm>
                          <a:prstGeom prst="rect">
                            <a:avLst/>
                          </a:prstGeom>
                        </pic:spPr>
                      </pic:pic>
                    </a:graphicData>
                  </a:graphic>
                </wp:inline>
              </w:drawing>
            </w:r>
          </w:p>
        </w:tc>
      </w:tr>
      <w:tr w:rsidR="006A7A3F">
        <w:trPr>
          <w:trHeight w:val="98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2" cy="310895"/>
                  <wp:effectExtent l="0" t="0" r="0" b="0"/>
                  <wp:docPr id="33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1.jpeg"/>
                          <pic:cNvPicPr/>
                        </pic:nvPicPr>
                        <pic:blipFill>
                          <a:blip r:embed="rId33" cstate="print"/>
                          <a:stretch>
                            <a:fillRect/>
                          </a:stretch>
                        </pic:blipFill>
                        <pic:spPr>
                          <a:xfrm>
                            <a:off x="0" y="0"/>
                            <a:ext cx="314172"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86"/>
              <w:rPr>
                <w:sz w:val="16"/>
              </w:rPr>
            </w:pPr>
            <w:r>
              <w:rPr>
                <w:color w:val="231F20"/>
                <w:sz w:val="16"/>
              </w:rPr>
              <w:t>Spring high flow (one high flow of 700–2,500 ML/day for 14 days in September)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201"/>
              </w:numPr>
              <w:tabs>
                <w:tab w:val="left" w:pos="306"/>
              </w:tabs>
              <w:spacing w:before="70"/>
              <w:ind w:hanging="218"/>
              <w:rPr>
                <w:sz w:val="16"/>
                <w:szCs w:val="16"/>
              </w:rPr>
            </w:pPr>
            <w:r w:rsidRPr="00A1021A">
              <w:rPr>
                <w:color w:val="231F20"/>
                <w:sz w:val="16"/>
                <w:szCs w:val="16"/>
              </w:rPr>
              <w:t>Scour sediment and biofilm from gravel in</w:t>
            </w:r>
            <w:r w:rsidRPr="00A1021A">
              <w:rPr>
                <w:color w:val="231F20"/>
                <w:spacing w:val="-6"/>
                <w:sz w:val="16"/>
                <w:szCs w:val="16"/>
              </w:rPr>
              <w:t xml:space="preserve"> </w:t>
            </w:r>
            <w:r w:rsidRPr="00A1021A">
              <w:rPr>
                <w:color w:val="231F20"/>
                <w:sz w:val="16"/>
                <w:szCs w:val="16"/>
              </w:rPr>
              <w:t>riffles</w:t>
            </w:r>
          </w:p>
          <w:p w:rsidR="006A7A3F" w:rsidRPr="00A1021A" w:rsidRDefault="00BC7372">
            <w:pPr>
              <w:pStyle w:val="TableParagraph"/>
              <w:numPr>
                <w:ilvl w:val="0"/>
                <w:numId w:val="1201"/>
              </w:numPr>
              <w:tabs>
                <w:tab w:val="left" w:pos="306"/>
              </w:tabs>
              <w:spacing w:before="98" w:line="254" w:lineRule="auto"/>
              <w:ind w:right="85"/>
              <w:rPr>
                <w:sz w:val="16"/>
                <w:szCs w:val="16"/>
              </w:rPr>
            </w:pPr>
            <w:r w:rsidRPr="00A1021A">
              <w:rPr>
                <w:color w:val="231F20"/>
                <w:sz w:val="16"/>
                <w:szCs w:val="16"/>
              </w:rPr>
              <w:t>Provide prolonged wetting to favour flood-tolerant native vegetation in the streamside zone</w:t>
            </w:r>
          </w:p>
          <w:p w:rsidR="006A7A3F" w:rsidRPr="00A1021A" w:rsidRDefault="00BC7372">
            <w:pPr>
              <w:pStyle w:val="TableParagraph"/>
              <w:numPr>
                <w:ilvl w:val="0"/>
                <w:numId w:val="1201"/>
              </w:numPr>
              <w:tabs>
                <w:tab w:val="left" w:pos="306"/>
              </w:tabs>
              <w:spacing w:before="87" w:line="254" w:lineRule="auto"/>
              <w:ind w:right="627"/>
              <w:rPr>
                <w:sz w:val="16"/>
                <w:szCs w:val="16"/>
              </w:rPr>
            </w:pPr>
            <w:r w:rsidRPr="00A1021A">
              <w:rPr>
                <w:color w:val="231F20"/>
                <w:sz w:val="16"/>
                <w:szCs w:val="16"/>
              </w:rPr>
              <w:t>Provide cues for upstream migration of juvenile migratory fish</w:t>
            </w:r>
            <w:r w:rsidRPr="00A1021A">
              <w:rPr>
                <w:color w:val="231F20"/>
                <w:spacing w:val="-18"/>
                <w:sz w:val="16"/>
                <w:szCs w:val="16"/>
              </w:rPr>
              <w:t xml:space="preserve"> </w:t>
            </w:r>
            <w:r w:rsidRPr="00A1021A">
              <w:rPr>
                <w:color w:val="231F20"/>
                <w:sz w:val="16"/>
                <w:szCs w:val="16"/>
              </w:rPr>
              <w:t>(e.g. Australian grayling and</w:t>
            </w:r>
            <w:r w:rsidRPr="00A1021A">
              <w:rPr>
                <w:color w:val="231F20"/>
                <w:spacing w:val="-3"/>
                <w:sz w:val="16"/>
                <w:szCs w:val="16"/>
              </w:rPr>
              <w:t xml:space="preserve"> </w:t>
            </w:r>
            <w:r w:rsidRPr="00A1021A">
              <w:rPr>
                <w:color w:val="231F20"/>
                <w:sz w:val="16"/>
                <w:szCs w:val="16"/>
              </w:rPr>
              <w:t>tupong)</w:t>
            </w:r>
          </w:p>
          <w:p w:rsidR="006A7A3F" w:rsidRPr="00A1021A" w:rsidRDefault="00BC7372">
            <w:pPr>
              <w:pStyle w:val="TableParagraph"/>
              <w:numPr>
                <w:ilvl w:val="0"/>
                <w:numId w:val="1201"/>
              </w:numPr>
              <w:tabs>
                <w:tab w:val="left" w:pos="306"/>
              </w:tabs>
              <w:spacing w:before="86"/>
              <w:ind w:hanging="218"/>
              <w:rPr>
                <w:sz w:val="16"/>
                <w:szCs w:val="16"/>
              </w:rPr>
            </w:pPr>
            <w:r w:rsidRPr="00A1021A">
              <w:rPr>
                <w:color w:val="231F20"/>
                <w:sz w:val="16"/>
                <w:szCs w:val="16"/>
              </w:rPr>
              <w:t>Promote spawning of Macquarie</w:t>
            </w:r>
            <w:r w:rsidRPr="00A1021A">
              <w:rPr>
                <w:color w:val="231F20"/>
                <w:spacing w:val="-2"/>
                <w:sz w:val="16"/>
                <w:szCs w:val="16"/>
              </w:rPr>
              <w:t xml:space="preserve"> </w:t>
            </w:r>
            <w:r w:rsidRPr="00A1021A">
              <w:rPr>
                <w:color w:val="231F20"/>
                <w:sz w:val="16"/>
                <w:szCs w:val="16"/>
              </w:rPr>
              <w:t>perch</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34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34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0.jpeg"/>
                          <pic:cNvPicPr/>
                        </pic:nvPicPr>
                        <pic:blipFill>
                          <a:blip r:embed="rId32" cstate="print"/>
                          <a:stretch>
                            <a:fillRect/>
                          </a:stretch>
                        </pic:blipFill>
                        <pic:spPr>
                          <a:xfrm>
                            <a:off x="0" y="0"/>
                            <a:ext cx="314168" cy="310895"/>
                          </a:xfrm>
                          <a:prstGeom prst="rect">
                            <a:avLst/>
                          </a:prstGeom>
                        </pic:spPr>
                      </pic:pic>
                    </a:graphicData>
                  </a:graphic>
                </wp:inline>
              </w:drawing>
            </w:r>
          </w:p>
        </w:tc>
      </w:tr>
      <w:tr w:rsidR="006A7A3F">
        <w:trPr>
          <w:trHeight w:val="107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34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b/>
                <w:sz w:val="16"/>
              </w:rPr>
            </w:pPr>
            <w:r>
              <w:rPr>
                <w:b/>
                <w:color w:val="231F20"/>
                <w:sz w:val="16"/>
              </w:rPr>
              <w:t>Plenty River</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584"/>
              <w:rPr>
                <w:sz w:val="16"/>
              </w:rPr>
            </w:pPr>
            <w:r>
              <w:rPr>
                <w:color w:val="231F20"/>
                <w:sz w:val="16"/>
              </w:rPr>
              <w:t>Winter/spring low flow (20 ML/day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200"/>
              </w:numPr>
              <w:tabs>
                <w:tab w:val="left" w:pos="306"/>
              </w:tabs>
              <w:spacing w:before="70"/>
              <w:ind w:hanging="218"/>
              <w:rPr>
                <w:sz w:val="16"/>
                <w:szCs w:val="16"/>
              </w:rPr>
            </w:pPr>
            <w:r w:rsidRPr="00A1021A">
              <w:rPr>
                <w:color w:val="231F20"/>
                <w:sz w:val="16"/>
                <w:szCs w:val="16"/>
              </w:rPr>
              <w:t>Physically mix pools to minimise the risk of stratification and low</w:t>
            </w:r>
            <w:r w:rsidRPr="00A1021A">
              <w:rPr>
                <w:color w:val="231F20"/>
                <w:spacing w:val="-15"/>
                <w:sz w:val="16"/>
                <w:szCs w:val="16"/>
              </w:rPr>
              <w:t xml:space="preserve"> </w:t>
            </w:r>
            <w:r w:rsidRPr="00A1021A">
              <w:rPr>
                <w:color w:val="231F20"/>
                <w:sz w:val="16"/>
                <w:szCs w:val="16"/>
              </w:rPr>
              <w:t>oxygen</w:t>
            </w:r>
          </w:p>
          <w:p w:rsidR="006A7A3F" w:rsidRPr="00A1021A" w:rsidRDefault="00BC7372">
            <w:pPr>
              <w:pStyle w:val="TableParagraph"/>
              <w:numPr>
                <w:ilvl w:val="0"/>
                <w:numId w:val="1200"/>
              </w:numPr>
              <w:tabs>
                <w:tab w:val="left" w:pos="306"/>
              </w:tabs>
              <w:spacing w:before="98"/>
              <w:ind w:hanging="218"/>
              <w:rPr>
                <w:sz w:val="16"/>
                <w:szCs w:val="16"/>
              </w:rPr>
            </w:pPr>
            <w:r w:rsidRPr="00A1021A">
              <w:rPr>
                <w:color w:val="231F20"/>
                <w:sz w:val="16"/>
                <w:szCs w:val="16"/>
              </w:rPr>
              <w:t>Maintain access to habitats for fish and</w:t>
            </w:r>
            <w:r w:rsidRPr="00A1021A">
              <w:rPr>
                <w:color w:val="231F20"/>
                <w:spacing w:val="-7"/>
                <w:sz w:val="16"/>
                <w:szCs w:val="16"/>
              </w:rPr>
              <w:t xml:space="preserve"> </w:t>
            </w:r>
            <w:r w:rsidRPr="00A1021A">
              <w:rPr>
                <w:color w:val="231F20"/>
                <w:sz w:val="16"/>
                <w:szCs w:val="16"/>
              </w:rPr>
              <w:t>waterbugs</w:t>
            </w:r>
          </w:p>
          <w:p w:rsidR="006A7A3F" w:rsidRDefault="00BC7372">
            <w:pPr>
              <w:pStyle w:val="TableParagraph"/>
              <w:numPr>
                <w:ilvl w:val="0"/>
                <w:numId w:val="1200"/>
              </w:numPr>
              <w:tabs>
                <w:tab w:val="left" w:pos="306"/>
              </w:tabs>
              <w:spacing w:before="98"/>
              <w:ind w:hanging="218"/>
              <w:rPr>
                <w:sz w:val="18"/>
              </w:rPr>
            </w:pPr>
            <w:r w:rsidRPr="00A1021A">
              <w:rPr>
                <w:color w:val="231F20"/>
                <w:sz w:val="16"/>
                <w:szCs w:val="16"/>
              </w:rPr>
              <w:t>Wet bank vegetation to promote</w:t>
            </w:r>
            <w:r w:rsidRPr="00A1021A">
              <w:rPr>
                <w:color w:val="231F20"/>
                <w:spacing w:val="-5"/>
                <w:sz w:val="16"/>
                <w:szCs w:val="16"/>
              </w:rPr>
              <w:t xml:space="preserve"> </w:t>
            </w:r>
            <w:r w:rsidRPr="00A1021A">
              <w:rPr>
                <w:color w:val="231F20"/>
                <w:sz w:val="16"/>
                <w:szCs w:val="16"/>
              </w:rPr>
              <w:t>growth</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34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34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35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59" cy="310896"/>
                  <wp:effectExtent l="0" t="0" r="0" b="0"/>
                  <wp:docPr id="353" name="image23.png" descr="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3.png"/>
                          <pic:cNvPicPr/>
                        </pic:nvPicPr>
                        <pic:blipFill>
                          <a:blip r:embed="rId35" cstate="print"/>
                          <a:stretch>
                            <a:fillRect/>
                          </a:stretch>
                        </pic:blipFill>
                        <pic:spPr>
                          <a:xfrm>
                            <a:off x="0" y="0"/>
                            <a:ext cx="314159" cy="310896"/>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31"/>
              <w:rPr>
                <w:sz w:val="16"/>
              </w:rPr>
            </w:pPr>
            <w:r>
              <w:rPr>
                <w:color w:val="231F20"/>
                <w:sz w:val="16"/>
              </w:rPr>
              <w:t>Winter/spring freshes (four freshes of 70 ML/day for three days during June</w:t>
            </w:r>
          </w:p>
          <w:p w:rsidR="006A7A3F" w:rsidRDefault="00BC7372">
            <w:pPr>
              <w:pStyle w:val="TableParagraph"/>
              <w:spacing w:line="182" w:lineRule="exact"/>
              <w:ind w:left="85"/>
              <w:rPr>
                <w:sz w:val="16"/>
              </w:rPr>
            </w:pPr>
            <w:r>
              <w:rPr>
                <w:color w:val="231F20"/>
                <w:sz w:val="16"/>
              </w:rPr>
              <w:t>to November)</w:t>
            </w:r>
          </w:p>
        </w:tc>
        <w:tc>
          <w:tcPr>
            <w:tcW w:w="6236" w:type="dxa"/>
            <w:vMerge w:val="restart"/>
            <w:tcBorders>
              <w:top w:val="nil"/>
              <w:left w:val="single" w:sz="4" w:space="0" w:color="231F20"/>
              <w:bottom w:val="single" w:sz="4" w:space="0" w:color="231F20"/>
              <w:right w:val="single" w:sz="4" w:space="0" w:color="231F20"/>
            </w:tcBorders>
          </w:tcPr>
          <w:p w:rsidR="006A7A3F" w:rsidRPr="00A1021A" w:rsidRDefault="00BC7372">
            <w:pPr>
              <w:pStyle w:val="TableParagraph"/>
              <w:numPr>
                <w:ilvl w:val="0"/>
                <w:numId w:val="1199"/>
              </w:numPr>
              <w:tabs>
                <w:tab w:val="left" w:pos="306"/>
              </w:tabs>
              <w:spacing w:before="63"/>
              <w:ind w:hanging="218"/>
              <w:rPr>
                <w:sz w:val="16"/>
                <w:szCs w:val="16"/>
              </w:rPr>
            </w:pPr>
            <w:r w:rsidRPr="00A1021A">
              <w:rPr>
                <w:color w:val="231F20"/>
                <w:sz w:val="16"/>
                <w:szCs w:val="16"/>
              </w:rPr>
              <w:t>Scour sediment and biofilm from gravel in</w:t>
            </w:r>
            <w:r w:rsidRPr="00A1021A">
              <w:rPr>
                <w:color w:val="231F20"/>
                <w:spacing w:val="-6"/>
                <w:sz w:val="16"/>
                <w:szCs w:val="16"/>
              </w:rPr>
              <w:t xml:space="preserve"> </w:t>
            </w:r>
            <w:r w:rsidRPr="00A1021A">
              <w:rPr>
                <w:color w:val="231F20"/>
                <w:sz w:val="16"/>
                <w:szCs w:val="16"/>
              </w:rPr>
              <w:t>riffles</w:t>
            </w:r>
          </w:p>
          <w:p w:rsidR="006A7A3F" w:rsidRPr="00A1021A" w:rsidRDefault="00BC7372">
            <w:pPr>
              <w:pStyle w:val="TableParagraph"/>
              <w:numPr>
                <w:ilvl w:val="0"/>
                <w:numId w:val="1199"/>
              </w:numPr>
              <w:tabs>
                <w:tab w:val="left" w:pos="306"/>
              </w:tabs>
              <w:spacing w:before="98"/>
              <w:ind w:hanging="218"/>
              <w:rPr>
                <w:sz w:val="16"/>
                <w:szCs w:val="16"/>
              </w:rPr>
            </w:pPr>
            <w:r w:rsidRPr="00A1021A">
              <w:rPr>
                <w:color w:val="231F20"/>
                <w:sz w:val="16"/>
                <w:szCs w:val="16"/>
              </w:rPr>
              <w:t>Provide access to habitats for fish and</w:t>
            </w:r>
            <w:r w:rsidRPr="00A1021A">
              <w:rPr>
                <w:color w:val="231F20"/>
                <w:spacing w:val="-7"/>
                <w:sz w:val="16"/>
                <w:szCs w:val="16"/>
              </w:rPr>
              <w:t xml:space="preserve"> </w:t>
            </w:r>
            <w:r w:rsidRPr="00A1021A">
              <w:rPr>
                <w:color w:val="231F20"/>
                <w:sz w:val="16"/>
                <w:szCs w:val="16"/>
              </w:rPr>
              <w:t>waterbugs</w:t>
            </w:r>
          </w:p>
          <w:p w:rsidR="006A7A3F" w:rsidRDefault="00BC7372">
            <w:pPr>
              <w:pStyle w:val="TableParagraph"/>
              <w:numPr>
                <w:ilvl w:val="0"/>
                <w:numId w:val="1199"/>
              </w:numPr>
              <w:tabs>
                <w:tab w:val="left" w:pos="306"/>
              </w:tabs>
              <w:spacing w:before="98" w:line="254" w:lineRule="auto"/>
              <w:ind w:right="369"/>
              <w:rPr>
                <w:sz w:val="18"/>
              </w:rPr>
            </w:pPr>
            <w:r w:rsidRPr="00A1021A">
              <w:rPr>
                <w:color w:val="231F20"/>
                <w:sz w:val="16"/>
                <w:szCs w:val="16"/>
              </w:rPr>
              <w:t>Wet native streamside vegetation on the banks of the river to</w:t>
            </w:r>
            <w:r w:rsidRPr="00A1021A">
              <w:rPr>
                <w:color w:val="231F20"/>
                <w:spacing w:val="-27"/>
                <w:sz w:val="16"/>
                <w:szCs w:val="16"/>
              </w:rPr>
              <w:t xml:space="preserve"> </w:t>
            </w:r>
            <w:r w:rsidRPr="00A1021A">
              <w:rPr>
                <w:color w:val="231F20"/>
                <w:sz w:val="16"/>
                <w:szCs w:val="16"/>
              </w:rPr>
              <w:t>promote growth</w:t>
            </w:r>
          </w:p>
        </w:tc>
        <w:tc>
          <w:tcPr>
            <w:tcW w:w="850"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35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35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35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361" name="image23.png" descr="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6A7A3F">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7"/>
              <w:ind w:left="85"/>
              <w:rPr>
                <w:b/>
                <w:sz w:val="16"/>
              </w:rPr>
            </w:pPr>
            <w:r>
              <w:rPr>
                <w:b/>
                <w:color w:val="231F20"/>
                <w:sz w:val="16"/>
              </w:rPr>
              <w:t>Billabong watering</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Annulus Billabong</w:t>
            </w:r>
          </w:p>
          <w:p w:rsidR="006A7A3F" w:rsidRDefault="00BC7372">
            <w:pPr>
              <w:pStyle w:val="TableParagraph"/>
              <w:spacing w:before="16"/>
              <w:ind w:left="85"/>
              <w:rPr>
                <w:sz w:val="16"/>
              </w:rPr>
            </w:pPr>
            <w:r>
              <w:rPr>
                <w:color w:val="231F20"/>
                <w:sz w:val="16"/>
              </w:rPr>
              <w:t>(partial fill in winter/spring)</w:t>
            </w:r>
          </w:p>
          <w:p w:rsidR="006A7A3F" w:rsidRDefault="006A7A3F">
            <w:pPr>
              <w:pStyle w:val="TableParagraph"/>
              <w:spacing w:before="5"/>
              <w:ind w:left="0"/>
              <w:rPr>
                <w:b/>
                <w:sz w:val="7"/>
              </w:rPr>
            </w:pPr>
          </w:p>
          <w:p w:rsidR="006A7A3F" w:rsidRDefault="00BC7372">
            <w:pPr>
              <w:pStyle w:val="TableParagraph"/>
              <w:ind w:left="85"/>
              <w:rPr>
                <w:sz w:val="20"/>
              </w:rPr>
            </w:pPr>
            <w:r>
              <w:rPr>
                <w:noProof/>
                <w:sz w:val="20"/>
              </w:rPr>
              <w:drawing>
                <wp:inline distT="0" distB="0" distL="0" distR="0">
                  <wp:extent cx="313943" cy="313944"/>
                  <wp:effectExtent l="0" t="0" r="0" b="0"/>
                  <wp:docPr id="363" name="image8.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jpeg"/>
                          <pic:cNvPicPr/>
                        </pic:nvPicPr>
                        <pic:blipFill>
                          <a:blip r:embed="rId18" cstate="print"/>
                          <a:stretch>
                            <a:fillRect/>
                          </a:stretch>
                        </pic:blipFill>
                        <pic:spPr>
                          <a:xfrm>
                            <a:off x="0" y="0"/>
                            <a:ext cx="313943" cy="313944"/>
                          </a:xfrm>
                          <a:prstGeom prst="rect">
                            <a:avLst/>
                          </a:prstGeom>
                        </pic:spPr>
                      </pic:pic>
                    </a:graphicData>
                  </a:graphic>
                </wp:inline>
              </w:drawing>
            </w:r>
          </w:p>
          <w:p w:rsidR="006A7A3F" w:rsidRDefault="006A7A3F">
            <w:pPr>
              <w:pStyle w:val="TableParagraph"/>
              <w:ind w:left="0"/>
              <w:rPr>
                <w:b/>
                <w:sz w:val="20"/>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198"/>
              </w:numPr>
              <w:tabs>
                <w:tab w:val="left" w:pos="306"/>
              </w:tabs>
              <w:spacing w:before="63"/>
              <w:ind w:hanging="218"/>
              <w:rPr>
                <w:sz w:val="16"/>
                <w:szCs w:val="16"/>
              </w:rPr>
            </w:pPr>
            <w:r w:rsidRPr="00A1021A">
              <w:rPr>
                <w:color w:val="231F20"/>
                <w:sz w:val="16"/>
                <w:szCs w:val="16"/>
              </w:rPr>
              <w:t>Prime wetland for a</w:t>
            </w:r>
            <w:r w:rsidRPr="00A1021A">
              <w:rPr>
                <w:color w:val="231F20"/>
                <w:spacing w:val="-3"/>
                <w:sz w:val="16"/>
                <w:szCs w:val="16"/>
              </w:rPr>
              <w:t xml:space="preserve"> </w:t>
            </w:r>
            <w:r w:rsidRPr="00A1021A">
              <w:rPr>
                <w:color w:val="231F20"/>
                <w:sz w:val="16"/>
                <w:szCs w:val="16"/>
              </w:rPr>
              <w:t>fill</w:t>
            </w:r>
          </w:p>
          <w:p w:rsidR="006A7A3F" w:rsidRPr="00A1021A" w:rsidRDefault="00BC7372">
            <w:pPr>
              <w:pStyle w:val="TableParagraph"/>
              <w:numPr>
                <w:ilvl w:val="0"/>
                <w:numId w:val="1198"/>
              </w:numPr>
              <w:tabs>
                <w:tab w:val="left" w:pos="306"/>
              </w:tabs>
              <w:spacing w:before="98" w:line="254" w:lineRule="auto"/>
              <w:ind w:right="455"/>
              <w:rPr>
                <w:sz w:val="16"/>
                <w:szCs w:val="16"/>
              </w:rPr>
            </w:pPr>
            <w:r w:rsidRPr="00A1021A">
              <w:rPr>
                <w:color w:val="231F20"/>
                <w:sz w:val="16"/>
                <w:szCs w:val="16"/>
              </w:rPr>
              <w:t>Wet the wetland bed for up to three months to support the growth of threatened wetland plant species to rehabilitate shallow marsh, deep marsh and freshwater</w:t>
            </w:r>
            <w:r w:rsidRPr="00A1021A">
              <w:rPr>
                <w:color w:val="231F20"/>
                <w:spacing w:val="-2"/>
                <w:sz w:val="16"/>
                <w:szCs w:val="16"/>
              </w:rPr>
              <w:t xml:space="preserve"> </w:t>
            </w:r>
            <w:r w:rsidRPr="00A1021A">
              <w:rPr>
                <w:color w:val="231F20"/>
                <w:sz w:val="16"/>
                <w:szCs w:val="16"/>
              </w:rPr>
              <w:t>meadows</w:t>
            </w:r>
          </w:p>
          <w:p w:rsidR="006A7A3F" w:rsidRPr="00A1021A" w:rsidRDefault="00BC7372">
            <w:pPr>
              <w:pStyle w:val="TableParagraph"/>
              <w:numPr>
                <w:ilvl w:val="0"/>
                <w:numId w:val="1198"/>
              </w:numPr>
              <w:tabs>
                <w:tab w:val="left" w:pos="306"/>
              </w:tabs>
              <w:spacing w:before="87"/>
              <w:ind w:hanging="218"/>
              <w:rPr>
                <w:sz w:val="16"/>
                <w:szCs w:val="16"/>
              </w:rPr>
            </w:pPr>
            <w:r w:rsidRPr="00A1021A">
              <w:rPr>
                <w:color w:val="231F20"/>
                <w:sz w:val="16"/>
                <w:szCs w:val="16"/>
              </w:rPr>
              <w:t>Provide habitat for frogs, waterbugs and</w:t>
            </w:r>
            <w:r w:rsidRPr="00A1021A">
              <w:rPr>
                <w:color w:val="231F20"/>
                <w:spacing w:val="-6"/>
                <w:sz w:val="16"/>
                <w:szCs w:val="16"/>
              </w:rPr>
              <w:t xml:space="preserve"> </w:t>
            </w:r>
            <w:r w:rsidRPr="00A1021A">
              <w:rPr>
                <w:color w:val="231F20"/>
                <w:sz w:val="16"/>
                <w:szCs w:val="16"/>
              </w:rPr>
              <w:t>eels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36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367"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76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A1021A"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36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37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Pr>
                <w:sz w:val="16"/>
              </w:rPr>
            </w:pPr>
            <w:r>
              <w:rPr>
                <w:color w:val="231F20"/>
                <w:sz w:val="16"/>
              </w:rPr>
              <w:t>Yering Backswamp (partial or complete fill in autumn and winter/spring)</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A1021A" w:rsidRDefault="00BC7372">
            <w:pPr>
              <w:pStyle w:val="TableParagraph"/>
              <w:numPr>
                <w:ilvl w:val="0"/>
                <w:numId w:val="1197"/>
              </w:numPr>
              <w:tabs>
                <w:tab w:val="left" w:pos="306"/>
              </w:tabs>
              <w:spacing w:before="63" w:line="254" w:lineRule="auto"/>
              <w:ind w:right="320"/>
              <w:rPr>
                <w:sz w:val="16"/>
                <w:szCs w:val="16"/>
              </w:rPr>
            </w:pPr>
            <w:r w:rsidRPr="00A1021A">
              <w:rPr>
                <w:color w:val="231F20"/>
                <w:sz w:val="16"/>
                <w:szCs w:val="16"/>
              </w:rPr>
              <w:t>Wet</w:t>
            </w:r>
            <w:r w:rsidRPr="00A1021A">
              <w:rPr>
                <w:color w:val="231F20"/>
                <w:spacing w:val="-4"/>
                <w:sz w:val="16"/>
                <w:szCs w:val="16"/>
              </w:rPr>
              <w:t xml:space="preserve"> </w:t>
            </w:r>
            <w:r w:rsidRPr="00A1021A">
              <w:rPr>
                <w:color w:val="231F20"/>
                <w:sz w:val="16"/>
                <w:szCs w:val="16"/>
              </w:rPr>
              <w:t>the</w:t>
            </w:r>
            <w:r w:rsidRPr="00A1021A">
              <w:rPr>
                <w:color w:val="231F20"/>
                <w:spacing w:val="-3"/>
                <w:sz w:val="16"/>
                <w:szCs w:val="16"/>
              </w:rPr>
              <w:t xml:space="preserve"> </w:t>
            </w:r>
            <w:r w:rsidRPr="00A1021A">
              <w:rPr>
                <w:color w:val="231F20"/>
                <w:sz w:val="16"/>
                <w:szCs w:val="16"/>
              </w:rPr>
              <w:t>deepest</w:t>
            </w:r>
            <w:r w:rsidRPr="00A1021A">
              <w:rPr>
                <w:color w:val="231F20"/>
                <w:spacing w:val="-4"/>
                <w:sz w:val="16"/>
                <w:szCs w:val="16"/>
              </w:rPr>
              <w:t xml:space="preserve"> </w:t>
            </w:r>
            <w:r w:rsidRPr="00A1021A">
              <w:rPr>
                <w:color w:val="231F20"/>
                <w:sz w:val="16"/>
                <w:szCs w:val="16"/>
              </w:rPr>
              <w:t>parts</w:t>
            </w:r>
            <w:r w:rsidRPr="00A1021A">
              <w:rPr>
                <w:color w:val="231F20"/>
                <w:spacing w:val="-4"/>
                <w:sz w:val="16"/>
                <w:szCs w:val="16"/>
              </w:rPr>
              <w:t xml:space="preserve"> </w:t>
            </w:r>
            <w:r w:rsidRPr="00A1021A">
              <w:rPr>
                <w:color w:val="231F20"/>
                <w:sz w:val="16"/>
                <w:szCs w:val="16"/>
              </w:rPr>
              <w:t>of</w:t>
            </w:r>
            <w:r w:rsidRPr="00A1021A">
              <w:rPr>
                <w:color w:val="231F20"/>
                <w:spacing w:val="-4"/>
                <w:sz w:val="16"/>
                <w:szCs w:val="16"/>
              </w:rPr>
              <w:t xml:space="preserve"> </w:t>
            </w:r>
            <w:r w:rsidRPr="00A1021A">
              <w:rPr>
                <w:color w:val="231F20"/>
                <w:sz w:val="16"/>
                <w:szCs w:val="16"/>
              </w:rPr>
              <w:t>the</w:t>
            </w:r>
            <w:r w:rsidRPr="00A1021A">
              <w:rPr>
                <w:color w:val="231F20"/>
                <w:spacing w:val="-3"/>
                <w:sz w:val="16"/>
                <w:szCs w:val="16"/>
              </w:rPr>
              <w:t xml:space="preserve"> </w:t>
            </w:r>
            <w:r w:rsidRPr="00A1021A">
              <w:rPr>
                <w:color w:val="231F20"/>
                <w:sz w:val="16"/>
                <w:szCs w:val="16"/>
              </w:rPr>
              <w:t>wetland</w:t>
            </w:r>
            <w:r w:rsidRPr="00A1021A">
              <w:rPr>
                <w:color w:val="231F20"/>
                <w:spacing w:val="-4"/>
                <w:sz w:val="16"/>
                <w:szCs w:val="16"/>
              </w:rPr>
              <w:t xml:space="preserve"> </w:t>
            </w:r>
            <w:r w:rsidRPr="00A1021A">
              <w:rPr>
                <w:color w:val="231F20"/>
                <w:sz w:val="16"/>
                <w:szCs w:val="16"/>
              </w:rPr>
              <w:t>to</w:t>
            </w:r>
            <w:r w:rsidRPr="00A1021A">
              <w:rPr>
                <w:color w:val="231F20"/>
                <w:spacing w:val="-2"/>
                <w:sz w:val="16"/>
                <w:szCs w:val="16"/>
              </w:rPr>
              <w:t xml:space="preserve"> </w:t>
            </w:r>
            <w:r w:rsidRPr="00A1021A">
              <w:rPr>
                <w:color w:val="231F20"/>
                <w:sz w:val="16"/>
                <w:szCs w:val="16"/>
              </w:rPr>
              <w:t>about</w:t>
            </w:r>
            <w:r w:rsidRPr="00A1021A">
              <w:rPr>
                <w:color w:val="231F20"/>
                <w:spacing w:val="-4"/>
                <w:sz w:val="16"/>
                <w:szCs w:val="16"/>
              </w:rPr>
              <w:t xml:space="preserve"> </w:t>
            </w:r>
            <w:r w:rsidRPr="00A1021A">
              <w:rPr>
                <w:color w:val="231F20"/>
                <w:sz w:val="16"/>
                <w:szCs w:val="16"/>
              </w:rPr>
              <w:t>80</w:t>
            </w:r>
            <w:r w:rsidRPr="00A1021A">
              <w:rPr>
                <w:color w:val="231F20"/>
                <w:spacing w:val="-4"/>
                <w:sz w:val="16"/>
                <w:szCs w:val="16"/>
              </w:rPr>
              <w:t xml:space="preserve"> </w:t>
            </w:r>
            <w:r w:rsidRPr="00A1021A">
              <w:rPr>
                <w:color w:val="231F20"/>
                <w:sz w:val="16"/>
                <w:szCs w:val="16"/>
              </w:rPr>
              <w:t>cm</w:t>
            </w:r>
            <w:r w:rsidRPr="00A1021A">
              <w:rPr>
                <w:color w:val="231F20"/>
                <w:spacing w:val="-3"/>
                <w:sz w:val="16"/>
                <w:szCs w:val="16"/>
              </w:rPr>
              <w:t xml:space="preserve"> </w:t>
            </w:r>
            <w:r w:rsidRPr="00A1021A">
              <w:rPr>
                <w:color w:val="231F20"/>
                <w:sz w:val="16"/>
                <w:szCs w:val="16"/>
              </w:rPr>
              <w:t>to</w:t>
            </w:r>
            <w:r w:rsidRPr="00A1021A">
              <w:rPr>
                <w:color w:val="231F20"/>
                <w:spacing w:val="-3"/>
                <w:sz w:val="16"/>
                <w:szCs w:val="16"/>
              </w:rPr>
              <w:t xml:space="preserve"> </w:t>
            </w:r>
            <w:r w:rsidRPr="00A1021A">
              <w:rPr>
                <w:color w:val="231F20"/>
                <w:sz w:val="16"/>
                <w:szCs w:val="16"/>
              </w:rPr>
              <w:t>provide</w:t>
            </w:r>
            <w:r w:rsidRPr="00A1021A">
              <w:rPr>
                <w:color w:val="231F20"/>
                <w:spacing w:val="-4"/>
                <w:sz w:val="16"/>
                <w:szCs w:val="16"/>
              </w:rPr>
              <w:t xml:space="preserve"> </w:t>
            </w:r>
            <w:r w:rsidRPr="00A1021A">
              <w:rPr>
                <w:color w:val="231F20"/>
                <w:sz w:val="16"/>
                <w:szCs w:val="16"/>
              </w:rPr>
              <w:t>habitat for fish, frogs and</w:t>
            </w:r>
            <w:r w:rsidRPr="00A1021A">
              <w:rPr>
                <w:color w:val="231F20"/>
                <w:spacing w:val="-2"/>
                <w:sz w:val="16"/>
                <w:szCs w:val="16"/>
              </w:rPr>
              <w:t xml:space="preserve"> </w:t>
            </w:r>
            <w:r w:rsidRPr="00A1021A">
              <w:rPr>
                <w:color w:val="231F20"/>
                <w:sz w:val="16"/>
                <w:szCs w:val="16"/>
              </w:rPr>
              <w:t>waterbugs</w:t>
            </w:r>
          </w:p>
          <w:p w:rsidR="006A7A3F" w:rsidRPr="00A1021A" w:rsidRDefault="00BC7372">
            <w:pPr>
              <w:pStyle w:val="TableParagraph"/>
              <w:numPr>
                <w:ilvl w:val="0"/>
                <w:numId w:val="1197"/>
              </w:numPr>
              <w:tabs>
                <w:tab w:val="left" w:pos="306"/>
              </w:tabs>
              <w:spacing w:before="86" w:line="254" w:lineRule="auto"/>
              <w:ind w:right="109"/>
              <w:rPr>
                <w:sz w:val="16"/>
                <w:szCs w:val="16"/>
              </w:rPr>
            </w:pPr>
            <w:r w:rsidRPr="00A1021A">
              <w:rPr>
                <w:color w:val="231F20"/>
                <w:sz w:val="16"/>
                <w:szCs w:val="16"/>
              </w:rPr>
              <w:t>Wet remaining areas of wetland to about 40–60 cm to support the</w:t>
            </w:r>
            <w:r w:rsidRPr="00A1021A">
              <w:rPr>
                <w:color w:val="231F20"/>
                <w:spacing w:val="-35"/>
                <w:sz w:val="16"/>
                <w:szCs w:val="16"/>
              </w:rPr>
              <w:t xml:space="preserve"> </w:t>
            </w:r>
            <w:r w:rsidRPr="00A1021A">
              <w:rPr>
                <w:color w:val="231F20"/>
                <w:sz w:val="16"/>
                <w:szCs w:val="16"/>
              </w:rPr>
              <w:t>growth of threatened wetland plant species and encourage the regeneration of spreading aquatic</w:t>
            </w:r>
            <w:r w:rsidRPr="00A1021A">
              <w:rPr>
                <w:color w:val="231F20"/>
                <w:spacing w:val="-2"/>
                <w:sz w:val="16"/>
                <w:szCs w:val="16"/>
              </w:rPr>
              <w:t xml:space="preserve"> </w:t>
            </w:r>
            <w:r w:rsidRPr="00A1021A">
              <w:rPr>
                <w:color w:val="231F20"/>
                <w:sz w:val="16"/>
                <w:szCs w:val="16"/>
              </w:rPr>
              <w:t>herbs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37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37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68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7" cy="310896"/>
                  <wp:effectExtent l="0" t="0" r="0" b="0"/>
                  <wp:docPr id="37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77" cy="310896"/>
                  <wp:effectExtent l="0" t="0" r="0" b="0"/>
                  <wp:docPr id="37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bl>
    <w:p w:rsidR="006A7A3F" w:rsidRDefault="006A7A3F">
      <w:pPr>
        <w:pStyle w:val="BodyText"/>
        <w:spacing w:before="10"/>
        <w:ind w:left="0"/>
        <w:rPr>
          <w:b/>
          <w:sz w:val="8"/>
        </w:rPr>
      </w:pPr>
    </w:p>
    <w:p w:rsidR="006A7A3F" w:rsidRDefault="00BC7372">
      <w:pPr>
        <w:pStyle w:val="Heading4"/>
        <w:spacing w:before="92"/>
      </w:pPr>
      <w:r>
        <w:rPr>
          <w:color w:val="231F20"/>
        </w:rPr>
        <w:t>Scenario planning</w:t>
      </w:r>
    </w:p>
    <w:p w:rsidR="006A7A3F" w:rsidRDefault="00BC7372">
      <w:pPr>
        <w:pStyle w:val="BodyText"/>
        <w:spacing w:before="58" w:line="249" w:lineRule="auto"/>
        <w:ind w:right="457"/>
      </w:pPr>
      <w:r>
        <w:rPr>
          <w:color w:val="231F20"/>
          <w:spacing w:val="-7"/>
        </w:rPr>
        <w:t xml:space="preserve">Table </w:t>
      </w:r>
      <w:r>
        <w:rPr>
          <w:color w:val="231F20"/>
          <w:spacing w:val="-3"/>
        </w:rPr>
        <w:t xml:space="preserve">3.2.2 outlines </w:t>
      </w:r>
      <w:r>
        <w:rPr>
          <w:color w:val="231F20"/>
        </w:rPr>
        <w:t xml:space="preserve">the </w:t>
      </w:r>
      <w:r>
        <w:rPr>
          <w:color w:val="231F20"/>
          <w:spacing w:val="-3"/>
        </w:rPr>
        <w:t xml:space="preserve">potential environmental watering </w:t>
      </w:r>
      <w:r>
        <w:rPr>
          <w:color w:val="231F20"/>
        </w:rPr>
        <w:t xml:space="preserve">and </w:t>
      </w:r>
      <w:r>
        <w:rPr>
          <w:color w:val="231F20"/>
          <w:spacing w:val="-3"/>
        </w:rPr>
        <w:t xml:space="preserve">expected water </w:t>
      </w:r>
      <w:r>
        <w:rPr>
          <w:color w:val="231F20"/>
        </w:rPr>
        <w:t xml:space="preserve">use </w:t>
      </w:r>
      <w:r>
        <w:rPr>
          <w:color w:val="231F20"/>
          <w:spacing w:val="-3"/>
        </w:rPr>
        <w:t xml:space="preserve">under </w:t>
      </w:r>
      <w:r>
        <w:rPr>
          <w:color w:val="231F20"/>
        </w:rPr>
        <w:t xml:space="preserve">a range of </w:t>
      </w:r>
      <w:r>
        <w:rPr>
          <w:color w:val="231F20"/>
          <w:spacing w:val="-3"/>
        </w:rPr>
        <w:t xml:space="preserve">planning </w:t>
      </w:r>
      <w:r>
        <w:rPr>
          <w:color w:val="231F20"/>
        </w:rPr>
        <w:t>scenarios.</w:t>
      </w:r>
    </w:p>
    <w:p w:rsidR="006A7A3F" w:rsidRDefault="00BC7372">
      <w:pPr>
        <w:pStyle w:val="BodyText"/>
        <w:spacing w:line="249" w:lineRule="auto"/>
        <w:ind w:right="297"/>
      </w:pPr>
      <w:r>
        <w:rPr>
          <w:color w:val="231F20"/>
        </w:rPr>
        <w:t xml:space="preserve">Environmental flow planning in the Yarra River primarily focuses on providing sufficient low flow throughout </w:t>
      </w:r>
      <w:r>
        <w:rPr>
          <w:color w:val="231F20"/>
          <w:spacing w:val="2"/>
        </w:rPr>
        <w:t xml:space="preserve">the </w:t>
      </w:r>
      <w:r>
        <w:rPr>
          <w:color w:val="231F20"/>
        </w:rPr>
        <w:t xml:space="preserve">year to maintain habitat for aquatic life and providing high flows at critical times to support the migration and breeding requirements of native fish. The extent to which the required flows are met by natural tributary inflows varies between </w:t>
      </w:r>
      <w:r>
        <w:rPr>
          <w:color w:val="231F20"/>
          <w:spacing w:val="-3"/>
        </w:rPr>
        <w:t xml:space="preserve">dry, </w:t>
      </w:r>
      <w:r>
        <w:rPr>
          <w:color w:val="231F20"/>
        </w:rPr>
        <w:t>average and wet scenarios. Water for the environment is used to fill the main shortfalls under each scenario, where</w:t>
      </w:r>
      <w:r>
        <w:rPr>
          <w:color w:val="231F20"/>
          <w:spacing w:val="10"/>
        </w:rPr>
        <w:t xml:space="preserve"> </w:t>
      </w:r>
      <w:r>
        <w:rPr>
          <w:color w:val="231F20"/>
        </w:rPr>
        <w:t>possible.</w:t>
      </w:r>
    </w:p>
    <w:p w:rsidR="006A7A3F" w:rsidRDefault="00BC7372">
      <w:pPr>
        <w:pStyle w:val="BodyText"/>
        <w:spacing w:before="174" w:line="249" w:lineRule="auto"/>
        <w:ind w:right="297"/>
      </w:pPr>
      <w:r>
        <w:rPr>
          <w:color w:val="231F20"/>
        </w:rPr>
        <w:t>The highest priorities for watering in the Yarra River are summer/autumn low flows and freshes, an autumn high flow, a spring high flow and winter/spring low flows and freshes. Summer/autumn low flows are not identified as a planned watering action under a wet scenario, as it is anticipated they would be met by natural flows.</w:t>
      </w:r>
    </w:p>
    <w:p w:rsidR="006A7A3F" w:rsidRDefault="00BC7372">
      <w:pPr>
        <w:pStyle w:val="BodyText"/>
        <w:spacing w:before="173" w:line="249" w:lineRule="auto"/>
        <w:ind w:right="433"/>
      </w:pPr>
      <w:r>
        <w:rPr>
          <w:color w:val="231F20"/>
        </w:rPr>
        <w:t>The summer/autumn low flows and freshes help maintain water quality and improve aquatic habitats. A higher- than-normal carryover volume from 2019–20 will potentially allow an autumn high flow and a spring high flow    to be delivered in 2020–21 under all scenarios. The autumn high flow is a priority because it was not delivered  in 2017–18 or 2018–19 and is needed in most years to support Australian grayling breeding. Spring high flows trigger Australian grayling migration back up the system and scour sediments in the mid-reaches, to improve spawning habitat for Macquarie</w:t>
      </w:r>
      <w:r>
        <w:rPr>
          <w:color w:val="231F20"/>
          <w:spacing w:val="16"/>
        </w:rPr>
        <w:t xml:space="preserve"> </w:t>
      </w:r>
      <w:r>
        <w:rPr>
          <w:color w:val="231F20"/>
        </w:rPr>
        <w:t>perch.</w:t>
      </w:r>
    </w:p>
    <w:p w:rsidR="006A7A3F" w:rsidRDefault="00BC7372">
      <w:pPr>
        <w:pStyle w:val="BodyText"/>
        <w:spacing w:before="175" w:line="249" w:lineRule="auto"/>
        <w:ind w:right="242"/>
      </w:pPr>
      <w:r>
        <w:rPr>
          <w:color w:val="231F20"/>
        </w:rPr>
        <w:t>The potential watering actions for the Plenty River are winter/spring low flows and freshes. This is the first time that environmental flows are planned to be delivered in the Plenty River. Flows are planned as a trial to help waterway managers understand the operational and safety requirements for the system and to better understand the river’s response to water for the environment.</w:t>
      </w:r>
    </w:p>
    <w:p w:rsidR="006A7A3F" w:rsidRDefault="00BC7372">
      <w:pPr>
        <w:pStyle w:val="BodyText"/>
        <w:spacing w:before="173" w:line="249" w:lineRule="auto"/>
        <w:ind w:right="184"/>
      </w:pPr>
      <w:r>
        <w:rPr>
          <w:color w:val="231F20"/>
        </w:rPr>
        <w:t>Watering at Yering Backswamp and Annulus Billabong is considered a high priority under all scenarios in 2020–21. There are numerous billabongs throughout the Yarra catchment that are drier than natural, due to river regulation and modifications to natural flow paths. Melbourne Water is currently developing a landscape-scale approach to watering floodplain billabongs that will consider the ecosystem services provided by different billabongs and how many billabongs need to be watered at any given time to support regionally-important plant and animal populations. This is the first year that Annulus Billabong is planned to receive water for the environment. Water levels will be monitored at Annulus Billabong to inform future management of the site and the broader billabong assessment.</w:t>
      </w:r>
    </w:p>
    <w:p w:rsidR="00511048" w:rsidRDefault="00511048">
      <w:pPr>
        <w:rPr>
          <w:color w:val="231F20"/>
          <w:sz w:val="20"/>
          <w:szCs w:val="20"/>
        </w:rPr>
      </w:pPr>
      <w:r>
        <w:rPr>
          <w:color w:val="231F20"/>
        </w:rPr>
        <w:br w:type="page"/>
      </w:r>
    </w:p>
    <w:p w:rsidR="006A7A3F" w:rsidRDefault="00BC7372">
      <w:pPr>
        <w:pStyle w:val="BodyText"/>
        <w:spacing w:before="176" w:line="249" w:lineRule="auto"/>
        <w:ind w:right="218"/>
      </w:pPr>
      <w:r>
        <w:rPr>
          <w:color w:val="231F20"/>
        </w:rPr>
        <w:t>The environmental entitlement for the Yarra system is highly secure, and it is expected that the volume of water available for use in 2020–21 will be sufficient to deliver all the potential watering actions under the average and wet scenarios. Lower tributary inflows under a dry scenario means that larger volumes of environmental water will likely be needed to deliver potential watering actions in a dry year. The expected volume of available water should be sufficient to deliver all of the potential watering actions under a dry scenario except for winter/spring freshes in the Yarra River.</w:t>
      </w:r>
    </w:p>
    <w:p w:rsidR="006A7A3F" w:rsidRDefault="00BC7372">
      <w:pPr>
        <w:pStyle w:val="BodyText"/>
        <w:spacing w:before="175" w:line="249" w:lineRule="auto"/>
        <w:ind w:right="100"/>
      </w:pPr>
      <w:r>
        <w:rPr>
          <w:color w:val="231F20"/>
        </w:rPr>
        <w:t>A critical carryover volume of 3,000 ML has been identified to provide sufficient water to deliver high-priority actions (summer/autumn low flows and freshes, an autumn high flow and targeted billabong watering) in 2021–22.</w:t>
      </w:r>
    </w:p>
    <w:p w:rsidR="006A7A3F" w:rsidRDefault="00BC7372">
      <w:pPr>
        <w:spacing w:before="75" w:line="249" w:lineRule="auto"/>
        <w:ind w:left="210" w:right="527"/>
        <w:rPr>
          <w:b/>
          <w:sz w:val="18"/>
        </w:rPr>
      </w:pPr>
      <w:r>
        <w:rPr>
          <w:b/>
          <w:color w:val="231F20"/>
          <w:sz w:val="18"/>
        </w:rPr>
        <w:t>Table 3.2.2 Potential environmental watering for the Yarra River, Plenty River and Yarra billabongs under a range of planning scenarios</w:t>
      </w:r>
    </w:p>
    <w:p w:rsidR="006A7A3F" w:rsidRDefault="006A7A3F">
      <w:pPr>
        <w:pStyle w:val="BodyText"/>
        <w:spacing w:before="10"/>
        <w:ind w:left="0"/>
        <w:rPr>
          <w:b/>
          <w:sz w:val="7"/>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721"/>
        <w:gridCol w:w="2721"/>
        <w:gridCol w:w="2721"/>
      </w:tblGrid>
      <w:tr w:rsidR="006A7A3F">
        <w:trPr>
          <w:trHeight w:val="367"/>
        </w:trPr>
        <w:tc>
          <w:tcPr>
            <w:tcW w:w="204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72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2721"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Average</w:t>
            </w:r>
          </w:p>
        </w:tc>
        <w:tc>
          <w:tcPr>
            <w:tcW w:w="2721" w:type="dxa"/>
            <w:tcBorders>
              <w:top w:val="nil"/>
              <w:bottom w:val="nil"/>
              <w:right w:val="nil"/>
            </w:tcBorders>
            <w:shd w:val="clear" w:color="auto" w:fill="231F20"/>
          </w:tcPr>
          <w:p w:rsidR="006A7A3F" w:rsidRDefault="00BC7372">
            <w:pPr>
              <w:pStyle w:val="TableParagraph"/>
              <w:spacing w:before="80"/>
              <w:ind w:left="85"/>
              <w:rPr>
                <w:b/>
                <w:sz w:val="18"/>
              </w:rPr>
            </w:pPr>
            <w:r>
              <w:rPr>
                <w:b/>
                <w:color w:val="FFFFFF"/>
                <w:sz w:val="18"/>
              </w:rPr>
              <w:t>Wet</w:t>
            </w:r>
          </w:p>
        </w:tc>
      </w:tr>
      <w:tr w:rsidR="006A7A3F" w:rsidTr="00A1021A">
        <w:trPr>
          <w:trHeight w:val="3226"/>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Expected river conditions</w:t>
            </w:r>
          </w:p>
        </w:tc>
        <w:tc>
          <w:tcPr>
            <w:tcW w:w="2721" w:type="dxa"/>
            <w:tcBorders>
              <w:top w:val="nil"/>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96"/>
              </w:numPr>
              <w:tabs>
                <w:tab w:val="left" w:pos="305"/>
              </w:tabs>
              <w:spacing w:beforeLines="30" w:before="72"/>
              <w:rPr>
                <w:sz w:val="16"/>
                <w:szCs w:val="16"/>
              </w:rPr>
            </w:pPr>
            <w:r w:rsidRPr="00A1021A">
              <w:rPr>
                <w:color w:val="231F20"/>
                <w:sz w:val="16"/>
                <w:szCs w:val="16"/>
              </w:rPr>
              <w:t>Low streamflows year</w:t>
            </w:r>
            <w:r w:rsidRPr="00A1021A">
              <w:rPr>
                <w:color w:val="231F20"/>
                <w:spacing w:val="-2"/>
                <w:sz w:val="16"/>
                <w:szCs w:val="16"/>
              </w:rPr>
              <w:t xml:space="preserve"> </w:t>
            </w:r>
            <w:r w:rsidRPr="00A1021A">
              <w:rPr>
                <w:color w:val="231F20"/>
                <w:sz w:val="16"/>
                <w:szCs w:val="16"/>
              </w:rPr>
              <w:t>round</w:t>
            </w:r>
          </w:p>
          <w:p w:rsidR="006A7A3F" w:rsidRPr="00A1021A" w:rsidRDefault="00BC7372" w:rsidP="00B408A4">
            <w:pPr>
              <w:pStyle w:val="TableParagraph"/>
              <w:numPr>
                <w:ilvl w:val="0"/>
                <w:numId w:val="1196"/>
              </w:numPr>
              <w:tabs>
                <w:tab w:val="left" w:pos="305"/>
              </w:tabs>
              <w:spacing w:beforeLines="30" w:before="72"/>
              <w:ind w:right="184"/>
              <w:rPr>
                <w:sz w:val="16"/>
                <w:szCs w:val="16"/>
              </w:rPr>
            </w:pPr>
            <w:r w:rsidRPr="00A1021A">
              <w:rPr>
                <w:color w:val="231F20"/>
                <w:sz w:val="16"/>
                <w:szCs w:val="16"/>
              </w:rPr>
              <w:t>Lack of unregulated</w:t>
            </w:r>
            <w:r w:rsidRPr="00A1021A">
              <w:rPr>
                <w:color w:val="231F20"/>
                <w:spacing w:val="-16"/>
                <w:sz w:val="16"/>
                <w:szCs w:val="16"/>
              </w:rPr>
              <w:t xml:space="preserve"> </w:t>
            </w:r>
            <w:r w:rsidRPr="00A1021A">
              <w:rPr>
                <w:color w:val="231F20"/>
                <w:sz w:val="16"/>
                <w:szCs w:val="16"/>
              </w:rPr>
              <w:t>freshes and high</w:t>
            </w:r>
            <w:r w:rsidRPr="00A1021A">
              <w:rPr>
                <w:color w:val="231F20"/>
                <w:spacing w:val="-3"/>
                <w:sz w:val="16"/>
                <w:szCs w:val="16"/>
              </w:rPr>
              <w:t xml:space="preserve"> </w:t>
            </w:r>
            <w:r w:rsidRPr="00A1021A">
              <w:rPr>
                <w:color w:val="231F20"/>
                <w:sz w:val="16"/>
                <w:szCs w:val="16"/>
              </w:rPr>
              <w:t>flows</w:t>
            </w:r>
          </w:p>
          <w:p w:rsidR="006A7A3F" w:rsidRPr="00A1021A" w:rsidRDefault="00BC7372" w:rsidP="00B408A4">
            <w:pPr>
              <w:pStyle w:val="TableParagraph"/>
              <w:numPr>
                <w:ilvl w:val="0"/>
                <w:numId w:val="1196"/>
              </w:numPr>
              <w:tabs>
                <w:tab w:val="left" w:pos="305"/>
              </w:tabs>
              <w:spacing w:beforeLines="30" w:before="72"/>
              <w:ind w:right="273"/>
              <w:rPr>
                <w:sz w:val="16"/>
                <w:szCs w:val="16"/>
              </w:rPr>
            </w:pPr>
            <w:r w:rsidRPr="00A1021A">
              <w:rPr>
                <w:color w:val="231F20"/>
                <w:sz w:val="16"/>
                <w:szCs w:val="16"/>
              </w:rPr>
              <w:t>Passing flows are not likely to meet the minimum environmental flow recommendations</w:t>
            </w:r>
          </w:p>
          <w:p w:rsidR="006A7A3F" w:rsidRPr="00A1021A" w:rsidRDefault="00BC7372" w:rsidP="00B408A4">
            <w:pPr>
              <w:pStyle w:val="TableParagraph"/>
              <w:numPr>
                <w:ilvl w:val="0"/>
                <w:numId w:val="1196"/>
              </w:numPr>
              <w:tabs>
                <w:tab w:val="left" w:pos="305"/>
              </w:tabs>
              <w:spacing w:beforeLines="30" w:before="72"/>
              <w:ind w:right="196"/>
              <w:rPr>
                <w:sz w:val="16"/>
                <w:szCs w:val="16"/>
              </w:rPr>
            </w:pPr>
            <w:r w:rsidRPr="00A1021A">
              <w:rPr>
                <w:color w:val="231F20"/>
                <w:sz w:val="16"/>
                <w:szCs w:val="16"/>
              </w:rPr>
              <w:t xml:space="preserve">Potential poor water </w:t>
            </w:r>
            <w:r w:rsidRPr="00A1021A">
              <w:rPr>
                <w:color w:val="231F20"/>
                <w:spacing w:val="-3"/>
                <w:sz w:val="16"/>
                <w:szCs w:val="16"/>
              </w:rPr>
              <w:t xml:space="preserve">quality, </w:t>
            </w:r>
            <w:r w:rsidRPr="00A1021A">
              <w:rPr>
                <w:color w:val="231F20"/>
                <w:sz w:val="16"/>
                <w:szCs w:val="16"/>
              </w:rPr>
              <w:t>particularly in</w:t>
            </w:r>
            <w:r w:rsidRPr="00A1021A">
              <w:rPr>
                <w:color w:val="231F20"/>
                <w:spacing w:val="-5"/>
                <w:sz w:val="16"/>
                <w:szCs w:val="16"/>
              </w:rPr>
              <w:t xml:space="preserve"> </w:t>
            </w:r>
            <w:r w:rsidRPr="00A1021A">
              <w:rPr>
                <w:color w:val="231F20"/>
                <w:sz w:val="16"/>
                <w:szCs w:val="16"/>
              </w:rPr>
              <w:t>summer</w:t>
            </w:r>
          </w:p>
          <w:p w:rsidR="006A7A3F" w:rsidRPr="00A1021A" w:rsidRDefault="00BC7372" w:rsidP="00B408A4">
            <w:pPr>
              <w:pStyle w:val="TableParagraph"/>
              <w:numPr>
                <w:ilvl w:val="0"/>
                <w:numId w:val="1196"/>
              </w:numPr>
              <w:tabs>
                <w:tab w:val="left" w:pos="305"/>
              </w:tabs>
              <w:spacing w:beforeLines="30" w:before="72"/>
              <w:rPr>
                <w:sz w:val="16"/>
                <w:szCs w:val="16"/>
              </w:rPr>
            </w:pPr>
            <w:r w:rsidRPr="00A1021A">
              <w:rPr>
                <w:color w:val="231F20"/>
                <w:sz w:val="16"/>
                <w:szCs w:val="16"/>
              </w:rPr>
              <w:t>Pools may stratify</w:t>
            </w:r>
          </w:p>
          <w:p w:rsidR="006A7A3F" w:rsidRPr="00A1021A" w:rsidRDefault="00BC7372" w:rsidP="00B408A4">
            <w:pPr>
              <w:pStyle w:val="TableParagraph"/>
              <w:numPr>
                <w:ilvl w:val="0"/>
                <w:numId w:val="1196"/>
              </w:numPr>
              <w:tabs>
                <w:tab w:val="left" w:pos="305"/>
              </w:tabs>
              <w:spacing w:beforeLines="30" w:before="72"/>
              <w:ind w:right="113"/>
              <w:rPr>
                <w:sz w:val="16"/>
                <w:szCs w:val="16"/>
              </w:rPr>
            </w:pPr>
            <w:r w:rsidRPr="00A1021A">
              <w:rPr>
                <w:color w:val="231F20"/>
                <w:sz w:val="16"/>
                <w:szCs w:val="16"/>
              </w:rPr>
              <w:t>Plenty River may experience cease-to-flow</w:t>
            </w:r>
            <w:r w:rsidRPr="00A1021A">
              <w:rPr>
                <w:color w:val="231F20"/>
                <w:spacing w:val="-1"/>
                <w:sz w:val="16"/>
                <w:szCs w:val="16"/>
              </w:rPr>
              <w:t xml:space="preserve"> </w:t>
            </w:r>
            <w:r w:rsidRPr="00A1021A">
              <w:rPr>
                <w:color w:val="231F20"/>
                <w:sz w:val="16"/>
                <w:szCs w:val="16"/>
              </w:rPr>
              <w:t>events</w:t>
            </w:r>
          </w:p>
        </w:tc>
        <w:tc>
          <w:tcPr>
            <w:tcW w:w="2721" w:type="dxa"/>
            <w:tcBorders>
              <w:top w:val="nil"/>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95"/>
              </w:numPr>
              <w:tabs>
                <w:tab w:val="left" w:pos="306"/>
              </w:tabs>
              <w:spacing w:beforeLines="30" w:before="72"/>
              <w:ind w:right="213"/>
              <w:rPr>
                <w:sz w:val="16"/>
                <w:szCs w:val="16"/>
              </w:rPr>
            </w:pPr>
            <w:r w:rsidRPr="00A1021A">
              <w:rPr>
                <w:color w:val="231F20"/>
                <w:sz w:val="16"/>
                <w:szCs w:val="16"/>
              </w:rPr>
              <w:t>Minimum passing-flow recommendations are likely to be</w:t>
            </w:r>
            <w:r w:rsidRPr="00A1021A">
              <w:rPr>
                <w:color w:val="231F20"/>
                <w:spacing w:val="-2"/>
                <w:sz w:val="16"/>
                <w:szCs w:val="16"/>
              </w:rPr>
              <w:t xml:space="preserve"> </w:t>
            </w:r>
            <w:r w:rsidRPr="00A1021A">
              <w:rPr>
                <w:color w:val="231F20"/>
                <w:sz w:val="16"/>
                <w:szCs w:val="16"/>
              </w:rPr>
              <w:t>met</w:t>
            </w:r>
          </w:p>
          <w:p w:rsidR="006A7A3F" w:rsidRPr="00A1021A" w:rsidRDefault="00BC7372" w:rsidP="00B408A4">
            <w:pPr>
              <w:pStyle w:val="TableParagraph"/>
              <w:numPr>
                <w:ilvl w:val="0"/>
                <w:numId w:val="1195"/>
              </w:numPr>
              <w:tabs>
                <w:tab w:val="left" w:pos="306"/>
              </w:tabs>
              <w:spacing w:beforeLines="30" w:before="72"/>
              <w:ind w:right="73"/>
              <w:rPr>
                <w:sz w:val="16"/>
                <w:szCs w:val="16"/>
              </w:rPr>
            </w:pPr>
            <w:r w:rsidRPr="00A1021A">
              <w:rPr>
                <w:color w:val="231F20"/>
                <w:sz w:val="16"/>
                <w:szCs w:val="16"/>
              </w:rPr>
              <w:t>Natural flow may provide some freshes, but its duration and/or magnitude will likely be less than recommended</w:t>
            </w:r>
            <w:r w:rsidRPr="00A1021A">
              <w:rPr>
                <w:color w:val="231F20"/>
                <w:spacing w:val="-11"/>
                <w:sz w:val="16"/>
                <w:szCs w:val="16"/>
              </w:rPr>
              <w:t xml:space="preserve"> </w:t>
            </w:r>
            <w:r w:rsidRPr="00A1021A">
              <w:rPr>
                <w:color w:val="231F20"/>
                <w:sz w:val="16"/>
                <w:szCs w:val="16"/>
              </w:rPr>
              <w:t>environmental flows</w:t>
            </w:r>
          </w:p>
          <w:p w:rsidR="006A7A3F" w:rsidRPr="00A1021A" w:rsidRDefault="00BC7372" w:rsidP="00B408A4">
            <w:pPr>
              <w:pStyle w:val="TableParagraph"/>
              <w:numPr>
                <w:ilvl w:val="0"/>
                <w:numId w:val="1195"/>
              </w:numPr>
              <w:tabs>
                <w:tab w:val="left" w:pos="306"/>
              </w:tabs>
              <w:spacing w:beforeLines="30" w:before="72"/>
              <w:ind w:right="72"/>
              <w:rPr>
                <w:sz w:val="16"/>
                <w:szCs w:val="16"/>
              </w:rPr>
            </w:pPr>
            <w:r w:rsidRPr="00A1021A">
              <w:rPr>
                <w:color w:val="231F20"/>
                <w:sz w:val="16"/>
                <w:szCs w:val="16"/>
              </w:rPr>
              <w:t xml:space="preserve">Potentially poor water </w:t>
            </w:r>
            <w:r w:rsidRPr="00A1021A">
              <w:rPr>
                <w:color w:val="231F20"/>
                <w:spacing w:val="-3"/>
                <w:sz w:val="16"/>
                <w:szCs w:val="16"/>
              </w:rPr>
              <w:t xml:space="preserve">quality, </w:t>
            </w:r>
            <w:r w:rsidRPr="00A1021A">
              <w:rPr>
                <w:color w:val="231F20"/>
                <w:sz w:val="16"/>
                <w:szCs w:val="16"/>
              </w:rPr>
              <w:t>particularly in</w:t>
            </w:r>
            <w:r w:rsidRPr="00A1021A">
              <w:rPr>
                <w:color w:val="231F20"/>
                <w:spacing w:val="-4"/>
                <w:sz w:val="16"/>
                <w:szCs w:val="16"/>
              </w:rPr>
              <w:t xml:space="preserve"> </w:t>
            </w:r>
            <w:r w:rsidRPr="00A1021A">
              <w:rPr>
                <w:color w:val="231F20"/>
                <w:sz w:val="16"/>
                <w:szCs w:val="16"/>
              </w:rPr>
              <w:t>summer</w:t>
            </w:r>
          </w:p>
          <w:p w:rsidR="006A7A3F" w:rsidRPr="00A1021A" w:rsidRDefault="00BC7372" w:rsidP="00B408A4">
            <w:pPr>
              <w:pStyle w:val="TableParagraph"/>
              <w:numPr>
                <w:ilvl w:val="0"/>
                <w:numId w:val="1195"/>
              </w:numPr>
              <w:tabs>
                <w:tab w:val="left" w:pos="306"/>
              </w:tabs>
              <w:spacing w:beforeLines="30" w:before="72"/>
              <w:ind w:hanging="218"/>
              <w:rPr>
                <w:sz w:val="16"/>
                <w:szCs w:val="16"/>
              </w:rPr>
            </w:pPr>
            <w:r w:rsidRPr="00A1021A">
              <w:rPr>
                <w:color w:val="231F20"/>
                <w:sz w:val="16"/>
                <w:szCs w:val="16"/>
              </w:rPr>
              <w:t>Pools may stratify</w:t>
            </w:r>
          </w:p>
          <w:p w:rsidR="006A7A3F" w:rsidRPr="00A1021A" w:rsidRDefault="00BC7372" w:rsidP="00B408A4">
            <w:pPr>
              <w:pStyle w:val="TableParagraph"/>
              <w:numPr>
                <w:ilvl w:val="0"/>
                <w:numId w:val="1195"/>
              </w:numPr>
              <w:tabs>
                <w:tab w:val="left" w:pos="306"/>
              </w:tabs>
              <w:spacing w:beforeLines="30" w:before="72"/>
              <w:ind w:hanging="218"/>
              <w:rPr>
                <w:sz w:val="16"/>
                <w:szCs w:val="16"/>
              </w:rPr>
            </w:pPr>
            <w:r w:rsidRPr="00A1021A">
              <w:rPr>
                <w:color w:val="231F20"/>
                <w:sz w:val="16"/>
                <w:szCs w:val="16"/>
              </w:rPr>
              <w:t>Small reservoirs may spill</w:t>
            </w:r>
          </w:p>
          <w:p w:rsidR="006A7A3F" w:rsidRPr="00A1021A" w:rsidRDefault="00BC7372" w:rsidP="00B408A4">
            <w:pPr>
              <w:pStyle w:val="TableParagraph"/>
              <w:numPr>
                <w:ilvl w:val="0"/>
                <w:numId w:val="1195"/>
              </w:numPr>
              <w:tabs>
                <w:tab w:val="left" w:pos="306"/>
              </w:tabs>
              <w:spacing w:beforeLines="30" w:before="72"/>
              <w:ind w:hanging="218"/>
              <w:rPr>
                <w:sz w:val="16"/>
                <w:szCs w:val="16"/>
              </w:rPr>
            </w:pPr>
            <w:r w:rsidRPr="00A1021A">
              <w:rPr>
                <w:color w:val="231F20"/>
                <w:sz w:val="16"/>
                <w:szCs w:val="16"/>
              </w:rPr>
              <w:t>Overbank flows are not</w:t>
            </w:r>
            <w:r w:rsidRPr="00A1021A">
              <w:rPr>
                <w:color w:val="231F20"/>
                <w:spacing w:val="-9"/>
                <w:sz w:val="16"/>
                <w:szCs w:val="16"/>
              </w:rPr>
              <w:t xml:space="preserve"> </w:t>
            </w:r>
            <w:r w:rsidRPr="00A1021A">
              <w:rPr>
                <w:color w:val="231F20"/>
                <w:sz w:val="16"/>
                <w:szCs w:val="16"/>
              </w:rPr>
              <w:t>likely</w:t>
            </w:r>
          </w:p>
        </w:tc>
        <w:tc>
          <w:tcPr>
            <w:tcW w:w="2721" w:type="dxa"/>
            <w:tcBorders>
              <w:top w:val="nil"/>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94"/>
              </w:numPr>
              <w:tabs>
                <w:tab w:val="left" w:pos="306"/>
              </w:tabs>
              <w:spacing w:beforeLines="30" w:before="72"/>
              <w:ind w:right="213"/>
              <w:rPr>
                <w:sz w:val="16"/>
                <w:szCs w:val="16"/>
              </w:rPr>
            </w:pPr>
            <w:r w:rsidRPr="00A1021A">
              <w:rPr>
                <w:color w:val="231F20"/>
                <w:sz w:val="16"/>
                <w:szCs w:val="16"/>
              </w:rPr>
              <w:t>Passing flow recommendations are likely to be</w:t>
            </w:r>
            <w:r w:rsidRPr="00A1021A">
              <w:rPr>
                <w:color w:val="231F20"/>
                <w:spacing w:val="-2"/>
                <w:sz w:val="16"/>
                <w:szCs w:val="16"/>
              </w:rPr>
              <w:t xml:space="preserve"> </w:t>
            </w:r>
            <w:r w:rsidRPr="00A1021A">
              <w:rPr>
                <w:color w:val="231F20"/>
                <w:sz w:val="16"/>
                <w:szCs w:val="16"/>
              </w:rPr>
              <w:t>met</w:t>
            </w:r>
          </w:p>
          <w:p w:rsidR="006A7A3F" w:rsidRPr="00A1021A" w:rsidRDefault="00BC7372" w:rsidP="00B408A4">
            <w:pPr>
              <w:pStyle w:val="TableParagraph"/>
              <w:numPr>
                <w:ilvl w:val="0"/>
                <w:numId w:val="1194"/>
              </w:numPr>
              <w:tabs>
                <w:tab w:val="left" w:pos="306"/>
              </w:tabs>
              <w:spacing w:beforeLines="30" w:before="72"/>
              <w:ind w:right="183"/>
              <w:rPr>
                <w:sz w:val="16"/>
                <w:szCs w:val="16"/>
              </w:rPr>
            </w:pPr>
            <w:r w:rsidRPr="00A1021A">
              <w:rPr>
                <w:color w:val="231F20"/>
                <w:sz w:val="16"/>
                <w:szCs w:val="16"/>
              </w:rPr>
              <w:t xml:space="preserve">High, natural flow will </w:t>
            </w:r>
            <w:r w:rsidRPr="00A1021A">
              <w:rPr>
                <w:color w:val="231F20"/>
                <w:spacing w:val="-3"/>
                <w:sz w:val="16"/>
                <w:szCs w:val="16"/>
              </w:rPr>
              <w:t xml:space="preserve">occur, </w:t>
            </w:r>
            <w:r w:rsidRPr="00A1021A">
              <w:rPr>
                <w:color w:val="231F20"/>
                <w:sz w:val="16"/>
                <w:szCs w:val="16"/>
              </w:rPr>
              <w:t>most likely in</w:t>
            </w:r>
            <w:r w:rsidRPr="00A1021A">
              <w:rPr>
                <w:color w:val="231F20"/>
                <w:spacing w:val="-12"/>
                <w:sz w:val="16"/>
                <w:szCs w:val="16"/>
              </w:rPr>
              <w:t xml:space="preserve"> </w:t>
            </w:r>
            <w:r w:rsidRPr="00A1021A">
              <w:rPr>
                <w:color w:val="231F20"/>
                <w:sz w:val="16"/>
                <w:szCs w:val="16"/>
              </w:rPr>
              <w:t>winter/spring</w:t>
            </w:r>
          </w:p>
          <w:p w:rsidR="006A7A3F" w:rsidRPr="00A1021A" w:rsidRDefault="00BC7372" w:rsidP="00B408A4">
            <w:pPr>
              <w:pStyle w:val="TableParagraph"/>
              <w:numPr>
                <w:ilvl w:val="0"/>
                <w:numId w:val="1194"/>
              </w:numPr>
              <w:tabs>
                <w:tab w:val="left" w:pos="306"/>
              </w:tabs>
              <w:spacing w:beforeLines="30" w:before="72"/>
              <w:ind w:right="252"/>
              <w:rPr>
                <w:sz w:val="16"/>
                <w:szCs w:val="16"/>
              </w:rPr>
            </w:pPr>
            <w:r w:rsidRPr="00A1021A">
              <w:rPr>
                <w:color w:val="231F20"/>
                <w:sz w:val="16"/>
                <w:szCs w:val="16"/>
              </w:rPr>
              <w:t>Major spills from reservoirs may</w:t>
            </w:r>
            <w:r w:rsidRPr="00A1021A">
              <w:rPr>
                <w:color w:val="231F20"/>
                <w:spacing w:val="-1"/>
                <w:sz w:val="16"/>
                <w:szCs w:val="16"/>
              </w:rPr>
              <w:t xml:space="preserve"> </w:t>
            </w:r>
            <w:r w:rsidRPr="00A1021A">
              <w:rPr>
                <w:color w:val="231F20"/>
                <w:sz w:val="16"/>
                <w:szCs w:val="16"/>
              </w:rPr>
              <w:t>occur</w:t>
            </w:r>
          </w:p>
          <w:p w:rsidR="006A7A3F" w:rsidRPr="00A1021A" w:rsidRDefault="00BC7372" w:rsidP="00B408A4">
            <w:pPr>
              <w:pStyle w:val="TableParagraph"/>
              <w:numPr>
                <w:ilvl w:val="0"/>
                <w:numId w:val="1194"/>
              </w:numPr>
              <w:tabs>
                <w:tab w:val="left" w:pos="306"/>
              </w:tabs>
              <w:spacing w:beforeLines="30" w:before="72"/>
              <w:ind w:right="513"/>
              <w:rPr>
                <w:sz w:val="16"/>
                <w:szCs w:val="16"/>
              </w:rPr>
            </w:pPr>
            <w:r w:rsidRPr="00A1021A">
              <w:rPr>
                <w:color w:val="231F20"/>
                <w:sz w:val="16"/>
                <w:szCs w:val="16"/>
              </w:rPr>
              <w:t>Some natural wetting</w:t>
            </w:r>
            <w:r w:rsidRPr="00A1021A">
              <w:rPr>
                <w:color w:val="231F20"/>
                <w:spacing w:val="-15"/>
                <w:sz w:val="16"/>
                <w:szCs w:val="16"/>
              </w:rPr>
              <w:t xml:space="preserve"> </w:t>
            </w:r>
            <w:r w:rsidRPr="00A1021A">
              <w:rPr>
                <w:color w:val="231F20"/>
                <w:sz w:val="16"/>
                <w:szCs w:val="16"/>
              </w:rPr>
              <w:t>of billabongs may</w:t>
            </w:r>
            <w:r w:rsidRPr="00A1021A">
              <w:rPr>
                <w:color w:val="231F20"/>
                <w:spacing w:val="-6"/>
                <w:sz w:val="16"/>
                <w:szCs w:val="16"/>
              </w:rPr>
              <w:t xml:space="preserve"> </w:t>
            </w:r>
            <w:r w:rsidRPr="00A1021A">
              <w:rPr>
                <w:color w:val="231F20"/>
                <w:sz w:val="16"/>
                <w:szCs w:val="16"/>
              </w:rPr>
              <w:t>occur</w:t>
            </w:r>
          </w:p>
        </w:tc>
      </w:tr>
      <w:tr w:rsidR="006A7A3F">
        <w:trPr>
          <w:trHeight w:val="5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11"/>
              <w:rPr>
                <w:sz w:val="16"/>
              </w:rPr>
            </w:pPr>
            <w:r>
              <w:rPr>
                <w:color w:val="231F20"/>
                <w:sz w:val="16"/>
              </w:rPr>
              <w:t>Expected availability of water for the environment</w:t>
            </w:r>
          </w:p>
        </w:tc>
        <w:tc>
          <w:tcPr>
            <w:tcW w:w="8163" w:type="dxa"/>
            <w:gridSpan w:val="3"/>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93"/>
              </w:numPr>
              <w:tabs>
                <w:tab w:val="left" w:pos="3770"/>
              </w:tabs>
              <w:spacing w:beforeLines="30" w:before="72"/>
              <w:ind w:hanging="3750"/>
              <w:rPr>
                <w:sz w:val="16"/>
                <w:szCs w:val="16"/>
              </w:rPr>
            </w:pPr>
            <w:r w:rsidRPr="00A1021A">
              <w:rPr>
                <w:color w:val="231F20"/>
                <w:sz w:val="16"/>
                <w:szCs w:val="16"/>
              </w:rPr>
              <w:t>43,000</w:t>
            </w:r>
            <w:r w:rsidRPr="00A1021A">
              <w:rPr>
                <w:color w:val="231F20"/>
                <w:spacing w:val="-2"/>
                <w:sz w:val="16"/>
                <w:szCs w:val="16"/>
              </w:rPr>
              <w:t xml:space="preserve"> </w:t>
            </w:r>
            <w:r w:rsidRPr="00A1021A">
              <w:rPr>
                <w:color w:val="231F20"/>
                <w:sz w:val="16"/>
                <w:szCs w:val="16"/>
              </w:rPr>
              <w:t>ML</w:t>
            </w:r>
          </w:p>
        </w:tc>
      </w:tr>
      <w:tr w:rsidR="006A7A3F" w:rsidTr="00B408A4">
        <w:trPr>
          <w:trHeight w:val="3710"/>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53"/>
              <w:rPr>
                <w:sz w:val="16"/>
              </w:rPr>
            </w:pPr>
            <w:r>
              <w:rPr>
                <w:color w:val="231F20"/>
                <w:sz w:val="16"/>
              </w:rPr>
              <w:t>Potential environmental watering – tier 1a</w:t>
            </w:r>
          </w:p>
          <w:p w:rsidR="006A7A3F" w:rsidRDefault="00BC7372">
            <w:pPr>
              <w:pStyle w:val="TableParagraph"/>
              <w:spacing w:line="183" w:lineRule="exact"/>
              <w:ind w:left="85"/>
              <w:rPr>
                <w:sz w:val="16"/>
              </w:rPr>
            </w:pPr>
            <w:r>
              <w:rPr>
                <w:color w:val="231F20"/>
                <w:sz w:val="16"/>
              </w:rPr>
              <w:t>(high priorities)</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92"/>
              </w:numPr>
              <w:tabs>
                <w:tab w:val="left" w:pos="305"/>
              </w:tabs>
              <w:spacing w:beforeLines="30" w:before="72"/>
              <w:rPr>
                <w:sz w:val="16"/>
                <w:szCs w:val="16"/>
              </w:rPr>
            </w:pPr>
            <w:r w:rsidRPr="00A1021A">
              <w:rPr>
                <w:color w:val="231F20"/>
                <w:sz w:val="16"/>
                <w:szCs w:val="16"/>
              </w:rPr>
              <w:t>Summer/autumn low</w:t>
            </w:r>
            <w:r w:rsidRPr="00A1021A">
              <w:rPr>
                <w:color w:val="231F20"/>
                <w:spacing w:val="-2"/>
                <w:sz w:val="16"/>
                <w:szCs w:val="16"/>
              </w:rPr>
              <w:t xml:space="preserve"> </w:t>
            </w:r>
            <w:r w:rsidRPr="00A1021A">
              <w:rPr>
                <w:color w:val="231F20"/>
                <w:sz w:val="16"/>
                <w:szCs w:val="16"/>
              </w:rPr>
              <w:t>flows</w:t>
            </w:r>
          </w:p>
          <w:p w:rsidR="006A7A3F" w:rsidRPr="00A1021A" w:rsidRDefault="00BC7372" w:rsidP="00B408A4">
            <w:pPr>
              <w:pStyle w:val="TableParagraph"/>
              <w:numPr>
                <w:ilvl w:val="0"/>
                <w:numId w:val="1192"/>
              </w:numPr>
              <w:tabs>
                <w:tab w:val="left" w:pos="305"/>
              </w:tabs>
              <w:spacing w:beforeLines="30" w:before="72"/>
              <w:ind w:right="652"/>
              <w:rPr>
                <w:sz w:val="16"/>
                <w:szCs w:val="16"/>
              </w:rPr>
            </w:pPr>
            <w:r w:rsidRPr="00A1021A">
              <w:rPr>
                <w:color w:val="231F20"/>
                <w:sz w:val="16"/>
                <w:szCs w:val="16"/>
              </w:rPr>
              <w:t xml:space="preserve">One to three </w:t>
            </w:r>
            <w:r w:rsidRPr="00A1021A">
              <w:rPr>
                <w:color w:val="231F20"/>
                <w:spacing w:val="-3"/>
                <w:sz w:val="16"/>
                <w:szCs w:val="16"/>
              </w:rPr>
              <w:t xml:space="preserve">summer/ </w:t>
            </w:r>
            <w:r w:rsidRPr="00A1021A">
              <w:rPr>
                <w:color w:val="231F20"/>
                <w:sz w:val="16"/>
                <w:szCs w:val="16"/>
              </w:rPr>
              <w:t>autumn</w:t>
            </w:r>
            <w:r w:rsidRPr="00A1021A">
              <w:rPr>
                <w:color w:val="231F20"/>
                <w:spacing w:val="-2"/>
                <w:sz w:val="16"/>
                <w:szCs w:val="16"/>
              </w:rPr>
              <w:t xml:space="preserve"> </w:t>
            </w:r>
            <w:r w:rsidRPr="00A1021A">
              <w:rPr>
                <w:color w:val="231F20"/>
                <w:sz w:val="16"/>
                <w:szCs w:val="16"/>
              </w:rPr>
              <w:t>freshes</w:t>
            </w:r>
          </w:p>
          <w:p w:rsidR="006A7A3F" w:rsidRPr="00A1021A" w:rsidRDefault="00BC7372" w:rsidP="00B408A4">
            <w:pPr>
              <w:pStyle w:val="TableParagraph"/>
              <w:numPr>
                <w:ilvl w:val="0"/>
                <w:numId w:val="1192"/>
              </w:numPr>
              <w:tabs>
                <w:tab w:val="left" w:pos="305"/>
              </w:tabs>
              <w:spacing w:beforeLines="30" w:before="72"/>
              <w:rPr>
                <w:sz w:val="16"/>
                <w:szCs w:val="16"/>
              </w:rPr>
            </w:pPr>
            <w:r w:rsidRPr="00A1021A">
              <w:rPr>
                <w:color w:val="231F20"/>
                <w:sz w:val="16"/>
                <w:szCs w:val="16"/>
              </w:rPr>
              <w:t>One autumn high</w:t>
            </w:r>
            <w:r w:rsidRPr="00A1021A">
              <w:rPr>
                <w:color w:val="231F20"/>
                <w:spacing w:val="-4"/>
                <w:sz w:val="16"/>
                <w:szCs w:val="16"/>
              </w:rPr>
              <w:t xml:space="preserve"> </w:t>
            </w:r>
            <w:r w:rsidRPr="00A1021A">
              <w:rPr>
                <w:color w:val="231F20"/>
                <w:sz w:val="16"/>
                <w:szCs w:val="16"/>
              </w:rPr>
              <w:t>flow</w:t>
            </w:r>
          </w:p>
          <w:p w:rsidR="006A7A3F" w:rsidRPr="00A1021A" w:rsidRDefault="00BC7372" w:rsidP="00B408A4">
            <w:pPr>
              <w:pStyle w:val="TableParagraph"/>
              <w:numPr>
                <w:ilvl w:val="0"/>
                <w:numId w:val="1192"/>
              </w:numPr>
              <w:tabs>
                <w:tab w:val="left" w:pos="305"/>
              </w:tabs>
              <w:spacing w:beforeLines="30" w:before="72"/>
              <w:rPr>
                <w:sz w:val="16"/>
                <w:szCs w:val="16"/>
              </w:rPr>
            </w:pPr>
            <w:r w:rsidRPr="00A1021A">
              <w:rPr>
                <w:color w:val="231F20"/>
                <w:sz w:val="16"/>
                <w:szCs w:val="16"/>
              </w:rPr>
              <w:t>One spring high</w:t>
            </w:r>
            <w:r w:rsidRPr="00A1021A">
              <w:rPr>
                <w:color w:val="231F20"/>
                <w:spacing w:val="-2"/>
                <w:sz w:val="16"/>
                <w:szCs w:val="16"/>
              </w:rPr>
              <w:t xml:space="preserve"> </w:t>
            </w:r>
            <w:r w:rsidRPr="00A1021A">
              <w:rPr>
                <w:color w:val="231F20"/>
                <w:sz w:val="16"/>
                <w:szCs w:val="16"/>
              </w:rPr>
              <w:t>flow</w:t>
            </w:r>
          </w:p>
          <w:p w:rsidR="006A7A3F" w:rsidRPr="00A1021A" w:rsidRDefault="00BC7372" w:rsidP="00B408A4">
            <w:pPr>
              <w:pStyle w:val="TableParagraph"/>
              <w:numPr>
                <w:ilvl w:val="0"/>
                <w:numId w:val="1192"/>
              </w:numPr>
              <w:tabs>
                <w:tab w:val="left" w:pos="305"/>
              </w:tabs>
              <w:spacing w:beforeLines="30" w:before="72"/>
              <w:ind w:right="392"/>
              <w:rPr>
                <w:sz w:val="16"/>
                <w:szCs w:val="16"/>
              </w:rPr>
            </w:pPr>
            <w:r w:rsidRPr="00A1021A">
              <w:rPr>
                <w:color w:val="231F20"/>
                <w:sz w:val="16"/>
                <w:szCs w:val="16"/>
              </w:rPr>
              <w:t xml:space="preserve">Fill or partial fill of </w:t>
            </w:r>
            <w:r w:rsidRPr="00A1021A">
              <w:rPr>
                <w:color w:val="231F20"/>
                <w:spacing w:val="-4"/>
                <w:sz w:val="16"/>
                <w:szCs w:val="16"/>
              </w:rPr>
              <w:t xml:space="preserve">Yering </w:t>
            </w:r>
            <w:r w:rsidRPr="00A1021A">
              <w:rPr>
                <w:color w:val="231F20"/>
                <w:sz w:val="16"/>
                <w:szCs w:val="16"/>
              </w:rPr>
              <w:t xml:space="preserve">Backswamp and </w:t>
            </w:r>
            <w:r w:rsidRPr="00A1021A">
              <w:rPr>
                <w:color w:val="231F20"/>
                <w:spacing w:val="-3"/>
                <w:sz w:val="16"/>
                <w:szCs w:val="16"/>
              </w:rPr>
              <w:t xml:space="preserve">Annulus </w:t>
            </w:r>
            <w:r w:rsidRPr="00A1021A">
              <w:rPr>
                <w:color w:val="231F20"/>
                <w:sz w:val="16"/>
                <w:szCs w:val="16"/>
              </w:rPr>
              <w:t>Billabong</w:t>
            </w:r>
          </w:p>
          <w:p w:rsidR="006A7A3F" w:rsidRPr="00A1021A" w:rsidRDefault="00BC7372" w:rsidP="00B408A4">
            <w:pPr>
              <w:pStyle w:val="TableParagraph"/>
              <w:numPr>
                <w:ilvl w:val="0"/>
                <w:numId w:val="1192"/>
              </w:numPr>
              <w:tabs>
                <w:tab w:val="left" w:pos="305"/>
              </w:tabs>
              <w:spacing w:beforeLines="30" w:before="72"/>
              <w:rPr>
                <w:sz w:val="16"/>
                <w:szCs w:val="16"/>
              </w:rPr>
            </w:pPr>
            <w:r w:rsidRPr="00A1021A">
              <w:rPr>
                <w:color w:val="231F20"/>
                <w:sz w:val="16"/>
                <w:szCs w:val="16"/>
              </w:rPr>
              <w:t>Winter/spring low</w:t>
            </w:r>
            <w:r w:rsidRPr="00A1021A">
              <w:rPr>
                <w:color w:val="231F20"/>
                <w:spacing w:val="-2"/>
                <w:sz w:val="16"/>
                <w:szCs w:val="16"/>
              </w:rPr>
              <w:t xml:space="preserve"> </w:t>
            </w:r>
            <w:r w:rsidRPr="00A1021A">
              <w:rPr>
                <w:color w:val="231F20"/>
                <w:sz w:val="16"/>
                <w:szCs w:val="16"/>
              </w:rPr>
              <w:t>flows</w:t>
            </w:r>
          </w:p>
          <w:p w:rsidR="006A7A3F" w:rsidRPr="00A1021A" w:rsidRDefault="00BC7372" w:rsidP="00B408A4">
            <w:pPr>
              <w:pStyle w:val="TableParagraph"/>
              <w:numPr>
                <w:ilvl w:val="0"/>
                <w:numId w:val="1192"/>
              </w:numPr>
              <w:tabs>
                <w:tab w:val="left" w:pos="305"/>
              </w:tabs>
              <w:spacing w:beforeLines="30" w:before="72"/>
              <w:ind w:right="562"/>
              <w:rPr>
                <w:sz w:val="16"/>
                <w:szCs w:val="16"/>
              </w:rPr>
            </w:pPr>
            <w:r w:rsidRPr="00A1021A">
              <w:rPr>
                <w:color w:val="231F20"/>
                <w:sz w:val="16"/>
                <w:szCs w:val="16"/>
              </w:rPr>
              <w:t xml:space="preserve">Winter/spring low </w:t>
            </w:r>
            <w:r w:rsidRPr="00A1021A">
              <w:rPr>
                <w:color w:val="231F20"/>
                <w:spacing w:val="-3"/>
                <w:sz w:val="16"/>
                <w:szCs w:val="16"/>
              </w:rPr>
              <w:t xml:space="preserve">flows </w:t>
            </w:r>
            <w:r w:rsidRPr="00A1021A">
              <w:rPr>
                <w:color w:val="231F20"/>
                <w:sz w:val="16"/>
                <w:szCs w:val="16"/>
              </w:rPr>
              <w:t>(Plenty</w:t>
            </w:r>
            <w:r w:rsidRPr="00A1021A">
              <w:rPr>
                <w:color w:val="231F20"/>
                <w:spacing w:val="-1"/>
                <w:sz w:val="16"/>
                <w:szCs w:val="16"/>
              </w:rPr>
              <w:t xml:space="preserve"> </w:t>
            </w:r>
            <w:r w:rsidRPr="00A1021A">
              <w:rPr>
                <w:color w:val="231F20"/>
                <w:sz w:val="16"/>
                <w:szCs w:val="16"/>
              </w:rPr>
              <w:t>River)</w:t>
            </w:r>
          </w:p>
          <w:p w:rsidR="006A7A3F" w:rsidRPr="00A1021A" w:rsidRDefault="00BC7372" w:rsidP="00B408A4">
            <w:pPr>
              <w:pStyle w:val="TableParagraph"/>
              <w:numPr>
                <w:ilvl w:val="0"/>
                <w:numId w:val="1192"/>
              </w:numPr>
              <w:tabs>
                <w:tab w:val="left" w:pos="305"/>
              </w:tabs>
              <w:spacing w:beforeLines="30" w:before="72"/>
              <w:ind w:right="323"/>
              <w:rPr>
                <w:sz w:val="16"/>
                <w:szCs w:val="16"/>
              </w:rPr>
            </w:pPr>
            <w:r w:rsidRPr="00A1021A">
              <w:rPr>
                <w:color w:val="231F20"/>
                <w:sz w:val="16"/>
                <w:szCs w:val="16"/>
              </w:rPr>
              <w:t>Four winter/spring freshes (Plenty</w:t>
            </w:r>
            <w:r w:rsidRPr="00A1021A">
              <w:rPr>
                <w:color w:val="231F20"/>
                <w:spacing w:val="-1"/>
                <w:sz w:val="16"/>
                <w:szCs w:val="16"/>
              </w:rPr>
              <w:t xml:space="preserve"> </w:t>
            </w:r>
            <w:r w:rsidRPr="00A1021A">
              <w:rPr>
                <w:color w:val="231F20"/>
                <w:sz w:val="16"/>
                <w:szCs w:val="16"/>
              </w:rPr>
              <w:t>River)</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91"/>
              </w:numPr>
              <w:tabs>
                <w:tab w:val="left" w:pos="306"/>
              </w:tabs>
              <w:spacing w:beforeLines="30" w:before="72"/>
              <w:ind w:hanging="218"/>
              <w:rPr>
                <w:sz w:val="16"/>
                <w:szCs w:val="16"/>
              </w:rPr>
            </w:pPr>
            <w:r w:rsidRPr="00A1021A">
              <w:rPr>
                <w:color w:val="231F20"/>
                <w:sz w:val="16"/>
                <w:szCs w:val="16"/>
              </w:rPr>
              <w:t>Summer/autumn low</w:t>
            </w:r>
            <w:r w:rsidRPr="00A1021A">
              <w:rPr>
                <w:color w:val="231F20"/>
                <w:spacing w:val="-2"/>
                <w:sz w:val="16"/>
                <w:szCs w:val="16"/>
              </w:rPr>
              <w:t xml:space="preserve"> </w:t>
            </w:r>
            <w:r w:rsidRPr="00A1021A">
              <w:rPr>
                <w:color w:val="231F20"/>
                <w:sz w:val="16"/>
                <w:szCs w:val="16"/>
              </w:rPr>
              <w:t>flows</w:t>
            </w:r>
          </w:p>
          <w:p w:rsidR="006A7A3F" w:rsidRPr="00A1021A" w:rsidRDefault="00BC7372" w:rsidP="00B408A4">
            <w:pPr>
              <w:pStyle w:val="TableParagraph"/>
              <w:numPr>
                <w:ilvl w:val="0"/>
                <w:numId w:val="1191"/>
              </w:numPr>
              <w:tabs>
                <w:tab w:val="left" w:pos="306"/>
              </w:tabs>
              <w:spacing w:beforeLines="30" w:before="72"/>
              <w:ind w:right="652"/>
              <w:rPr>
                <w:sz w:val="16"/>
                <w:szCs w:val="16"/>
              </w:rPr>
            </w:pPr>
            <w:r w:rsidRPr="00A1021A">
              <w:rPr>
                <w:color w:val="231F20"/>
                <w:sz w:val="16"/>
                <w:szCs w:val="16"/>
              </w:rPr>
              <w:t xml:space="preserve">One to three </w:t>
            </w:r>
            <w:r w:rsidRPr="00A1021A">
              <w:rPr>
                <w:color w:val="231F20"/>
                <w:spacing w:val="-3"/>
                <w:sz w:val="16"/>
                <w:szCs w:val="16"/>
              </w:rPr>
              <w:t xml:space="preserve">summer/ </w:t>
            </w:r>
            <w:r w:rsidRPr="00A1021A">
              <w:rPr>
                <w:color w:val="231F20"/>
                <w:sz w:val="16"/>
                <w:szCs w:val="16"/>
              </w:rPr>
              <w:t>autumn</w:t>
            </w:r>
            <w:r w:rsidRPr="00A1021A">
              <w:rPr>
                <w:color w:val="231F20"/>
                <w:spacing w:val="-2"/>
                <w:sz w:val="16"/>
                <w:szCs w:val="16"/>
              </w:rPr>
              <w:t xml:space="preserve"> </w:t>
            </w:r>
            <w:r w:rsidRPr="00A1021A">
              <w:rPr>
                <w:color w:val="231F20"/>
                <w:sz w:val="16"/>
                <w:szCs w:val="16"/>
              </w:rPr>
              <w:t>freshes</w:t>
            </w:r>
          </w:p>
          <w:p w:rsidR="006A7A3F" w:rsidRPr="00A1021A" w:rsidRDefault="00BC7372" w:rsidP="00B408A4">
            <w:pPr>
              <w:pStyle w:val="TableParagraph"/>
              <w:numPr>
                <w:ilvl w:val="0"/>
                <w:numId w:val="1191"/>
              </w:numPr>
              <w:tabs>
                <w:tab w:val="left" w:pos="306"/>
              </w:tabs>
              <w:spacing w:beforeLines="30" w:before="72"/>
              <w:ind w:hanging="218"/>
              <w:rPr>
                <w:sz w:val="16"/>
                <w:szCs w:val="16"/>
              </w:rPr>
            </w:pPr>
            <w:r w:rsidRPr="00A1021A">
              <w:rPr>
                <w:color w:val="231F20"/>
                <w:sz w:val="16"/>
                <w:szCs w:val="16"/>
              </w:rPr>
              <w:t>One autumn high</w:t>
            </w:r>
            <w:r w:rsidRPr="00A1021A">
              <w:rPr>
                <w:color w:val="231F20"/>
                <w:spacing w:val="-4"/>
                <w:sz w:val="16"/>
                <w:szCs w:val="16"/>
              </w:rPr>
              <w:t xml:space="preserve"> </w:t>
            </w:r>
            <w:r w:rsidRPr="00A1021A">
              <w:rPr>
                <w:color w:val="231F20"/>
                <w:sz w:val="16"/>
                <w:szCs w:val="16"/>
              </w:rPr>
              <w:t>flow</w:t>
            </w:r>
          </w:p>
          <w:p w:rsidR="006A7A3F" w:rsidRPr="00A1021A" w:rsidRDefault="00BC7372" w:rsidP="00B408A4">
            <w:pPr>
              <w:pStyle w:val="TableParagraph"/>
              <w:numPr>
                <w:ilvl w:val="0"/>
                <w:numId w:val="1191"/>
              </w:numPr>
              <w:tabs>
                <w:tab w:val="left" w:pos="306"/>
              </w:tabs>
              <w:spacing w:beforeLines="30" w:before="72"/>
              <w:ind w:hanging="218"/>
              <w:rPr>
                <w:sz w:val="16"/>
                <w:szCs w:val="16"/>
              </w:rPr>
            </w:pPr>
            <w:r w:rsidRPr="00A1021A">
              <w:rPr>
                <w:color w:val="231F20"/>
                <w:sz w:val="16"/>
                <w:szCs w:val="16"/>
              </w:rPr>
              <w:t>One spring high</w:t>
            </w:r>
            <w:r w:rsidRPr="00A1021A">
              <w:rPr>
                <w:color w:val="231F20"/>
                <w:spacing w:val="-2"/>
                <w:sz w:val="16"/>
                <w:szCs w:val="16"/>
              </w:rPr>
              <w:t xml:space="preserve"> </w:t>
            </w:r>
            <w:r w:rsidRPr="00A1021A">
              <w:rPr>
                <w:color w:val="231F20"/>
                <w:sz w:val="16"/>
                <w:szCs w:val="16"/>
              </w:rPr>
              <w:t>flow</w:t>
            </w:r>
          </w:p>
          <w:p w:rsidR="006A7A3F" w:rsidRPr="00A1021A" w:rsidRDefault="00BC7372" w:rsidP="00B408A4">
            <w:pPr>
              <w:pStyle w:val="TableParagraph"/>
              <w:numPr>
                <w:ilvl w:val="0"/>
                <w:numId w:val="1191"/>
              </w:numPr>
              <w:tabs>
                <w:tab w:val="left" w:pos="306"/>
              </w:tabs>
              <w:spacing w:beforeLines="30" w:before="72"/>
              <w:ind w:right="392"/>
              <w:rPr>
                <w:sz w:val="16"/>
                <w:szCs w:val="16"/>
              </w:rPr>
            </w:pPr>
            <w:r w:rsidRPr="00A1021A">
              <w:rPr>
                <w:color w:val="231F20"/>
                <w:sz w:val="16"/>
                <w:szCs w:val="16"/>
              </w:rPr>
              <w:t xml:space="preserve">Fill or partial fill of </w:t>
            </w:r>
            <w:r w:rsidRPr="00A1021A">
              <w:rPr>
                <w:color w:val="231F20"/>
                <w:spacing w:val="-4"/>
                <w:sz w:val="16"/>
                <w:szCs w:val="16"/>
              </w:rPr>
              <w:t xml:space="preserve">Yering </w:t>
            </w:r>
            <w:r w:rsidRPr="00A1021A">
              <w:rPr>
                <w:color w:val="231F20"/>
                <w:sz w:val="16"/>
                <w:szCs w:val="16"/>
              </w:rPr>
              <w:t xml:space="preserve">Backswamp and </w:t>
            </w:r>
            <w:r w:rsidRPr="00A1021A">
              <w:rPr>
                <w:color w:val="231F20"/>
                <w:spacing w:val="-3"/>
                <w:sz w:val="16"/>
                <w:szCs w:val="16"/>
              </w:rPr>
              <w:t xml:space="preserve">Annulus </w:t>
            </w:r>
            <w:r w:rsidRPr="00A1021A">
              <w:rPr>
                <w:color w:val="231F20"/>
                <w:sz w:val="16"/>
                <w:szCs w:val="16"/>
              </w:rPr>
              <w:t>Billabong</w:t>
            </w:r>
          </w:p>
          <w:p w:rsidR="006A7A3F" w:rsidRPr="00A1021A" w:rsidRDefault="00BC7372" w:rsidP="00B408A4">
            <w:pPr>
              <w:pStyle w:val="TableParagraph"/>
              <w:numPr>
                <w:ilvl w:val="0"/>
                <w:numId w:val="1191"/>
              </w:numPr>
              <w:tabs>
                <w:tab w:val="left" w:pos="306"/>
              </w:tabs>
              <w:spacing w:beforeLines="30" w:before="72"/>
              <w:ind w:hanging="218"/>
              <w:rPr>
                <w:sz w:val="16"/>
                <w:szCs w:val="16"/>
              </w:rPr>
            </w:pPr>
            <w:r w:rsidRPr="00A1021A">
              <w:rPr>
                <w:color w:val="231F20"/>
                <w:sz w:val="16"/>
                <w:szCs w:val="16"/>
              </w:rPr>
              <w:t>Winter/spring low</w:t>
            </w:r>
            <w:r w:rsidRPr="00A1021A">
              <w:rPr>
                <w:color w:val="231F20"/>
                <w:spacing w:val="-2"/>
                <w:sz w:val="16"/>
                <w:szCs w:val="16"/>
              </w:rPr>
              <w:t xml:space="preserve"> </w:t>
            </w:r>
            <w:r w:rsidRPr="00A1021A">
              <w:rPr>
                <w:color w:val="231F20"/>
                <w:sz w:val="16"/>
                <w:szCs w:val="16"/>
              </w:rPr>
              <w:t>flows</w:t>
            </w:r>
          </w:p>
          <w:p w:rsidR="006A7A3F" w:rsidRPr="00A1021A" w:rsidRDefault="00BC7372" w:rsidP="00B408A4">
            <w:pPr>
              <w:pStyle w:val="TableParagraph"/>
              <w:numPr>
                <w:ilvl w:val="0"/>
                <w:numId w:val="1191"/>
              </w:numPr>
              <w:tabs>
                <w:tab w:val="left" w:pos="306"/>
              </w:tabs>
              <w:spacing w:beforeLines="30" w:before="72"/>
              <w:ind w:right="463"/>
              <w:rPr>
                <w:sz w:val="16"/>
                <w:szCs w:val="16"/>
              </w:rPr>
            </w:pPr>
            <w:r w:rsidRPr="00A1021A">
              <w:rPr>
                <w:color w:val="231F20"/>
                <w:sz w:val="16"/>
                <w:szCs w:val="16"/>
              </w:rPr>
              <w:t>One to two winter/spring freshes</w:t>
            </w:r>
          </w:p>
          <w:p w:rsidR="006A7A3F" w:rsidRPr="00A1021A" w:rsidRDefault="00BC7372" w:rsidP="00B408A4">
            <w:pPr>
              <w:pStyle w:val="TableParagraph"/>
              <w:numPr>
                <w:ilvl w:val="0"/>
                <w:numId w:val="1191"/>
              </w:numPr>
              <w:tabs>
                <w:tab w:val="left" w:pos="306"/>
              </w:tabs>
              <w:spacing w:beforeLines="30" w:before="72"/>
              <w:ind w:right="562"/>
              <w:rPr>
                <w:sz w:val="16"/>
                <w:szCs w:val="16"/>
              </w:rPr>
            </w:pPr>
            <w:r w:rsidRPr="00A1021A">
              <w:rPr>
                <w:color w:val="231F20"/>
                <w:sz w:val="16"/>
                <w:szCs w:val="16"/>
              </w:rPr>
              <w:t xml:space="preserve">Winter/spring low </w:t>
            </w:r>
            <w:r w:rsidRPr="00A1021A">
              <w:rPr>
                <w:color w:val="231F20"/>
                <w:spacing w:val="-3"/>
                <w:sz w:val="16"/>
                <w:szCs w:val="16"/>
              </w:rPr>
              <w:t xml:space="preserve">flows </w:t>
            </w:r>
            <w:r w:rsidRPr="00A1021A">
              <w:rPr>
                <w:color w:val="231F20"/>
                <w:sz w:val="16"/>
                <w:szCs w:val="16"/>
              </w:rPr>
              <w:t>(Plenty</w:t>
            </w:r>
            <w:r w:rsidRPr="00A1021A">
              <w:rPr>
                <w:color w:val="231F20"/>
                <w:spacing w:val="-1"/>
                <w:sz w:val="16"/>
                <w:szCs w:val="16"/>
              </w:rPr>
              <w:t xml:space="preserve"> </w:t>
            </w:r>
            <w:r w:rsidRPr="00A1021A">
              <w:rPr>
                <w:color w:val="231F20"/>
                <w:sz w:val="16"/>
                <w:szCs w:val="16"/>
              </w:rPr>
              <w:t>River)</w:t>
            </w:r>
          </w:p>
          <w:p w:rsidR="006A7A3F" w:rsidRPr="00A1021A" w:rsidRDefault="00BC7372" w:rsidP="00B408A4">
            <w:pPr>
              <w:pStyle w:val="TableParagraph"/>
              <w:numPr>
                <w:ilvl w:val="0"/>
                <w:numId w:val="1191"/>
              </w:numPr>
              <w:tabs>
                <w:tab w:val="left" w:pos="306"/>
              </w:tabs>
              <w:spacing w:beforeLines="30" w:before="72"/>
              <w:ind w:right="323"/>
              <w:rPr>
                <w:sz w:val="16"/>
                <w:szCs w:val="16"/>
              </w:rPr>
            </w:pPr>
            <w:r w:rsidRPr="00A1021A">
              <w:rPr>
                <w:color w:val="231F20"/>
                <w:sz w:val="16"/>
                <w:szCs w:val="16"/>
              </w:rPr>
              <w:t>Four winter/spring freshes (Plenty</w:t>
            </w:r>
            <w:r w:rsidRPr="00A1021A">
              <w:rPr>
                <w:color w:val="231F20"/>
                <w:spacing w:val="-1"/>
                <w:sz w:val="16"/>
                <w:szCs w:val="16"/>
              </w:rPr>
              <w:t xml:space="preserve"> </w:t>
            </w:r>
            <w:r w:rsidRPr="00A1021A">
              <w:rPr>
                <w:color w:val="231F20"/>
                <w:sz w:val="16"/>
                <w:szCs w:val="16"/>
              </w:rPr>
              <w:t>River)</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90"/>
              </w:numPr>
              <w:tabs>
                <w:tab w:val="left" w:pos="306"/>
              </w:tabs>
              <w:spacing w:beforeLines="30" w:before="72"/>
              <w:ind w:right="652"/>
              <w:rPr>
                <w:sz w:val="16"/>
                <w:szCs w:val="16"/>
              </w:rPr>
            </w:pPr>
            <w:r w:rsidRPr="00A1021A">
              <w:rPr>
                <w:color w:val="231F20"/>
                <w:sz w:val="16"/>
                <w:szCs w:val="16"/>
              </w:rPr>
              <w:t xml:space="preserve">One to three </w:t>
            </w:r>
            <w:r w:rsidRPr="00A1021A">
              <w:rPr>
                <w:color w:val="231F20"/>
                <w:spacing w:val="-3"/>
                <w:sz w:val="16"/>
                <w:szCs w:val="16"/>
              </w:rPr>
              <w:t xml:space="preserve">summer/ </w:t>
            </w:r>
            <w:r w:rsidRPr="00A1021A">
              <w:rPr>
                <w:color w:val="231F20"/>
                <w:sz w:val="16"/>
                <w:szCs w:val="16"/>
              </w:rPr>
              <w:t>autumn</w:t>
            </w:r>
            <w:r w:rsidRPr="00A1021A">
              <w:rPr>
                <w:color w:val="231F20"/>
                <w:spacing w:val="-2"/>
                <w:sz w:val="16"/>
                <w:szCs w:val="16"/>
              </w:rPr>
              <w:t xml:space="preserve"> </w:t>
            </w:r>
            <w:r w:rsidRPr="00A1021A">
              <w:rPr>
                <w:color w:val="231F20"/>
                <w:sz w:val="16"/>
                <w:szCs w:val="16"/>
              </w:rPr>
              <w:t>freshes</w:t>
            </w:r>
          </w:p>
          <w:p w:rsidR="006A7A3F" w:rsidRPr="00A1021A" w:rsidRDefault="00BC7372" w:rsidP="00B408A4">
            <w:pPr>
              <w:pStyle w:val="TableParagraph"/>
              <w:numPr>
                <w:ilvl w:val="0"/>
                <w:numId w:val="1190"/>
              </w:numPr>
              <w:tabs>
                <w:tab w:val="left" w:pos="306"/>
              </w:tabs>
              <w:spacing w:beforeLines="30" w:before="72"/>
              <w:ind w:hanging="218"/>
              <w:rPr>
                <w:sz w:val="16"/>
                <w:szCs w:val="16"/>
              </w:rPr>
            </w:pPr>
            <w:r w:rsidRPr="00A1021A">
              <w:rPr>
                <w:color w:val="231F20"/>
                <w:sz w:val="16"/>
                <w:szCs w:val="16"/>
              </w:rPr>
              <w:t>One autumn high</w:t>
            </w:r>
            <w:r w:rsidRPr="00A1021A">
              <w:rPr>
                <w:color w:val="231F20"/>
                <w:spacing w:val="-4"/>
                <w:sz w:val="16"/>
                <w:szCs w:val="16"/>
              </w:rPr>
              <w:t xml:space="preserve"> </w:t>
            </w:r>
            <w:r w:rsidRPr="00A1021A">
              <w:rPr>
                <w:color w:val="231F20"/>
                <w:sz w:val="16"/>
                <w:szCs w:val="16"/>
              </w:rPr>
              <w:t>flow</w:t>
            </w:r>
          </w:p>
          <w:p w:rsidR="006A7A3F" w:rsidRPr="00A1021A" w:rsidRDefault="00BC7372" w:rsidP="00B408A4">
            <w:pPr>
              <w:pStyle w:val="TableParagraph"/>
              <w:numPr>
                <w:ilvl w:val="0"/>
                <w:numId w:val="1190"/>
              </w:numPr>
              <w:tabs>
                <w:tab w:val="left" w:pos="306"/>
              </w:tabs>
              <w:spacing w:beforeLines="30" w:before="72"/>
              <w:ind w:hanging="218"/>
              <w:rPr>
                <w:sz w:val="16"/>
                <w:szCs w:val="16"/>
              </w:rPr>
            </w:pPr>
            <w:r w:rsidRPr="00A1021A">
              <w:rPr>
                <w:color w:val="231F20"/>
                <w:sz w:val="16"/>
                <w:szCs w:val="16"/>
              </w:rPr>
              <w:t>One spring high</w:t>
            </w:r>
            <w:r w:rsidRPr="00A1021A">
              <w:rPr>
                <w:color w:val="231F20"/>
                <w:spacing w:val="-2"/>
                <w:sz w:val="16"/>
                <w:szCs w:val="16"/>
              </w:rPr>
              <w:t xml:space="preserve"> </w:t>
            </w:r>
            <w:r w:rsidRPr="00A1021A">
              <w:rPr>
                <w:color w:val="231F20"/>
                <w:sz w:val="16"/>
                <w:szCs w:val="16"/>
              </w:rPr>
              <w:t>flow</w:t>
            </w:r>
          </w:p>
          <w:p w:rsidR="006A7A3F" w:rsidRPr="00A1021A" w:rsidRDefault="00BC7372" w:rsidP="00B408A4">
            <w:pPr>
              <w:pStyle w:val="TableParagraph"/>
              <w:numPr>
                <w:ilvl w:val="0"/>
                <w:numId w:val="1190"/>
              </w:numPr>
              <w:tabs>
                <w:tab w:val="left" w:pos="306"/>
              </w:tabs>
              <w:spacing w:beforeLines="30" w:before="72"/>
              <w:ind w:right="392"/>
              <w:rPr>
                <w:sz w:val="16"/>
                <w:szCs w:val="16"/>
              </w:rPr>
            </w:pPr>
            <w:r w:rsidRPr="00A1021A">
              <w:rPr>
                <w:color w:val="231F20"/>
                <w:sz w:val="16"/>
                <w:szCs w:val="16"/>
              </w:rPr>
              <w:t xml:space="preserve">Fill or partial fill of </w:t>
            </w:r>
            <w:r w:rsidRPr="00A1021A">
              <w:rPr>
                <w:color w:val="231F20"/>
                <w:spacing w:val="-4"/>
                <w:sz w:val="16"/>
                <w:szCs w:val="16"/>
              </w:rPr>
              <w:t xml:space="preserve">Yering </w:t>
            </w:r>
            <w:r w:rsidRPr="00A1021A">
              <w:rPr>
                <w:color w:val="231F20"/>
                <w:sz w:val="16"/>
                <w:szCs w:val="16"/>
              </w:rPr>
              <w:t xml:space="preserve">Backswamp and </w:t>
            </w:r>
            <w:r w:rsidRPr="00A1021A">
              <w:rPr>
                <w:color w:val="231F20"/>
                <w:spacing w:val="-3"/>
                <w:sz w:val="16"/>
                <w:szCs w:val="16"/>
              </w:rPr>
              <w:t xml:space="preserve">Annulus </w:t>
            </w:r>
            <w:r w:rsidRPr="00A1021A">
              <w:rPr>
                <w:color w:val="231F20"/>
                <w:sz w:val="16"/>
                <w:szCs w:val="16"/>
              </w:rPr>
              <w:t>Billabong</w:t>
            </w:r>
          </w:p>
          <w:p w:rsidR="006A7A3F" w:rsidRPr="00A1021A" w:rsidRDefault="00BC7372" w:rsidP="00B408A4">
            <w:pPr>
              <w:pStyle w:val="TableParagraph"/>
              <w:numPr>
                <w:ilvl w:val="0"/>
                <w:numId w:val="1190"/>
              </w:numPr>
              <w:tabs>
                <w:tab w:val="left" w:pos="306"/>
              </w:tabs>
              <w:spacing w:beforeLines="30" w:before="72"/>
              <w:ind w:hanging="218"/>
              <w:rPr>
                <w:sz w:val="16"/>
                <w:szCs w:val="16"/>
              </w:rPr>
            </w:pPr>
            <w:r w:rsidRPr="00A1021A">
              <w:rPr>
                <w:color w:val="231F20"/>
                <w:sz w:val="16"/>
                <w:szCs w:val="16"/>
              </w:rPr>
              <w:t>Winter/spring low</w:t>
            </w:r>
            <w:r w:rsidRPr="00A1021A">
              <w:rPr>
                <w:color w:val="231F20"/>
                <w:spacing w:val="-2"/>
                <w:sz w:val="16"/>
                <w:szCs w:val="16"/>
              </w:rPr>
              <w:t xml:space="preserve"> </w:t>
            </w:r>
            <w:r w:rsidRPr="00A1021A">
              <w:rPr>
                <w:color w:val="231F20"/>
                <w:sz w:val="16"/>
                <w:szCs w:val="16"/>
              </w:rPr>
              <w:t>flows</w:t>
            </w:r>
          </w:p>
          <w:p w:rsidR="006A7A3F" w:rsidRPr="00A1021A" w:rsidRDefault="00BC7372" w:rsidP="00B408A4">
            <w:pPr>
              <w:pStyle w:val="TableParagraph"/>
              <w:numPr>
                <w:ilvl w:val="0"/>
                <w:numId w:val="1190"/>
              </w:numPr>
              <w:tabs>
                <w:tab w:val="left" w:pos="306"/>
              </w:tabs>
              <w:spacing w:beforeLines="30" w:before="72"/>
              <w:ind w:right="462"/>
              <w:rPr>
                <w:sz w:val="16"/>
                <w:szCs w:val="16"/>
              </w:rPr>
            </w:pPr>
            <w:r w:rsidRPr="00A1021A">
              <w:rPr>
                <w:color w:val="231F20"/>
                <w:sz w:val="16"/>
                <w:szCs w:val="16"/>
              </w:rPr>
              <w:t>One to two winter/spring freshes</w:t>
            </w:r>
          </w:p>
          <w:p w:rsidR="006A7A3F" w:rsidRPr="00A1021A" w:rsidRDefault="00BC7372" w:rsidP="00B408A4">
            <w:pPr>
              <w:pStyle w:val="TableParagraph"/>
              <w:numPr>
                <w:ilvl w:val="0"/>
                <w:numId w:val="1190"/>
              </w:numPr>
              <w:tabs>
                <w:tab w:val="left" w:pos="306"/>
              </w:tabs>
              <w:spacing w:beforeLines="30" w:before="72"/>
              <w:ind w:right="562"/>
              <w:rPr>
                <w:sz w:val="16"/>
                <w:szCs w:val="16"/>
              </w:rPr>
            </w:pPr>
            <w:r w:rsidRPr="00A1021A">
              <w:rPr>
                <w:color w:val="231F20"/>
                <w:sz w:val="16"/>
                <w:szCs w:val="16"/>
              </w:rPr>
              <w:t xml:space="preserve">Winter/spring low </w:t>
            </w:r>
            <w:r w:rsidRPr="00A1021A">
              <w:rPr>
                <w:color w:val="231F20"/>
                <w:spacing w:val="-3"/>
                <w:sz w:val="16"/>
                <w:szCs w:val="16"/>
              </w:rPr>
              <w:t xml:space="preserve">flows </w:t>
            </w:r>
            <w:r w:rsidRPr="00A1021A">
              <w:rPr>
                <w:color w:val="231F20"/>
                <w:sz w:val="16"/>
                <w:szCs w:val="16"/>
              </w:rPr>
              <w:t>(Plenty</w:t>
            </w:r>
            <w:r w:rsidRPr="00A1021A">
              <w:rPr>
                <w:color w:val="231F20"/>
                <w:spacing w:val="-1"/>
                <w:sz w:val="16"/>
                <w:szCs w:val="16"/>
              </w:rPr>
              <w:t xml:space="preserve"> </w:t>
            </w:r>
            <w:r w:rsidRPr="00A1021A">
              <w:rPr>
                <w:color w:val="231F20"/>
                <w:sz w:val="16"/>
                <w:szCs w:val="16"/>
              </w:rPr>
              <w:t>River)</w:t>
            </w:r>
          </w:p>
          <w:p w:rsidR="006A7A3F" w:rsidRPr="00A1021A" w:rsidRDefault="00BC7372" w:rsidP="00B408A4">
            <w:pPr>
              <w:pStyle w:val="TableParagraph"/>
              <w:numPr>
                <w:ilvl w:val="0"/>
                <w:numId w:val="1190"/>
              </w:numPr>
              <w:tabs>
                <w:tab w:val="left" w:pos="306"/>
              </w:tabs>
              <w:spacing w:beforeLines="30" w:before="72"/>
              <w:ind w:right="322"/>
              <w:rPr>
                <w:sz w:val="16"/>
                <w:szCs w:val="16"/>
              </w:rPr>
            </w:pPr>
            <w:r w:rsidRPr="00A1021A">
              <w:rPr>
                <w:color w:val="231F20"/>
                <w:sz w:val="16"/>
                <w:szCs w:val="16"/>
              </w:rPr>
              <w:t>Four winter/spring freshes (Plenty</w:t>
            </w:r>
            <w:r w:rsidRPr="00A1021A">
              <w:rPr>
                <w:color w:val="231F20"/>
                <w:spacing w:val="-1"/>
                <w:sz w:val="16"/>
                <w:szCs w:val="16"/>
              </w:rPr>
              <w:t xml:space="preserve"> </w:t>
            </w:r>
            <w:r w:rsidRPr="00A1021A">
              <w:rPr>
                <w:color w:val="231F20"/>
                <w:sz w:val="16"/>
                <w:szCs w:val="16"/>
              </w:rPr>
              <w:t>River)</w:t>
            </w:r>
          </w:p>
        </w:tc>
      </w:tr>
      <w:tr w:rsidR="006A7A3F">
        <w:trPr>
          <w:trHeight w:val="9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53"/>
              <w:rPr>
                <w:sz w:val="16"/>
              </w:rPr>
            </w:pPr>
            <w:r>
              <w:rPr>
                <w:color w:val="231F20"/>
                <w:sz w:val="16"/>
              </w:rPr>
              <w:t>Potential environmental watering – tier 1b</w:t>
            </w:r>
          </w:p>
          <w:p w:rsidR="006A7A3F" w:rsidRDefault="00BC7372">
            <w:pPr>
              <w:pStyle w:val="TableParagraph"/>
              <w:spacing w:line="261" w:lineRule="auto"/>
              <w:ind w:left="85" w:right="592"/>
              <w:rPr>
                <w:sz w:val="16"/>
              </w:rPr>
            </w:pPr>
            <w:r>
              <w:rPr>
                <w:color w:val="231F20"/>
                <w:sz w:val="16"/>
              </w:rPr>
              <w:t>(high priorities with shortfall)</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9"/>
              </w:numPr>
              <w:tabs>
                <w:tab w:val="left" w:pos="305"/>
              </w:tabs>
              <w:spacing w:beforeLines="30" w:before="72"/>
              <w:ind w:right="463"/>
              <w:rPr>
                <w:sz w:val="16"/>
                <w:szCs w:val="16"/>
              </w:rPr>
            </w:pPr>
            <w:r w:rsidRPr="00A1021A">
              <w:rPr>
                <w:color w:val="231F20"/>
                <w:sz w:val="16"/>
                <w:szCs w:val="16"/>
              </w:rPr>
              <w:t>One to two winter/spring freshes</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8"/>
              </w:numPr>
              <w:tabs>
                <w:tab w:val="left" w:pos="306"/>
              </w:tabs>
              <w:spacing w:beforeLines="30" w:before="72"/>
              <w:ind w:hanging="218"/>
              <w:rPr>
                <w:sz w:val="16"/>
                <w:szCs w:val="16"/>
              </w:rPr>
            </w:pPr>
            <w:r w:rsidRPr="00A1021A">
              <w:rPr>
                <w:color w:val="231F20"/>
                <w:sz w:val="16"/>
                <w:szCs w:val="16"/>
              </w:rPr>
              <w:t>N/A</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7"/>
              </w:numPr>
              <w:tabs>
                <w:tab w:val="left" w:pos="306"/>
              </w:tabs>
              <w:spacing w:beforeLines="30" w:before="72"/>
              <w:ind w:hanging="218"/>
              <w:rPr>
                <w:sz w:val="16"/>
                <w:szCs w:val="16"/>
              </w:rPr>
            </w:pPr>
            <w:r w:rsidRPr="00A1021A">
              <w:rPr>
                <w:color w:val="231F20"/>
                <w:sz w:val="16"/>
                <w:szCs w:val="16"/>
              </w:rPr>
              <w:t>N/A</w:t>
            </w:r>
          </w:p>
        </w:tc>
      </w:tr>
      <w:tr w:rsidR="006A7A3F">
        <w:trPr>
          <w:trHeight w:val="7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53"/>
              <w:rPr>
                <w:sz w:val="16"/>
              </w:rPr>
            </w:pPr>
            <w:r>
              <w:rPr>
                <w:color w:val="231F20"/>
                <w:sz w:val="16"/>
              </w:rPr>
              <w:t>Potential environmental watering – tier 2 (additional priorities)</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6"/>
              </w:numPr>
              <w:tabs>
                <w:tab w:val="left" w:pos="305"/>
              </w:tabs>
              <w:spacing w:beforeLines="30" w:before="72"/>
              <w:rPr>
                <w:sz w:val="16"/>
                <w:szCs w:val="16"/>
              </w:rPr>
            </w:pPr>
            <w:r w:rsidRPr="00A1021A">
              <w:rPr>
                <w:color w:val="231F20"/>
                <w:sz w:val="16"/>
                <w:szCs w:val="16"/>
              </w:rPr>
              <w:t>N/A</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5"/>
              </w:numPr>
              <w:tabs>
                <w:tab w:val="left" w:pos="306"/>
              </w:tabs>
              <w:spacing w:beforeLines="30" w:before="72"/>
              <w:ind w:hanging="218"/>
              <w:rPr>
                <w:sz w:val="16"/>
                <w:szCs w:val="16"/>
              </w:rPr>
            </w:pPr>
            <w:r w:rsidRPr="00A1021A">
              <w:rPr>
                <w:color w:val="231F20"/>
                <w:sz w:val="16"/>
                <w:szCs w:val="16"/>
              </w:rPr>
              <w:t>N/A</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4"/>
              </w:numPr>
              <w:tabs>
                <w:tab w:val="left" w:pos="306"/>
              </w:tabs>
              <w:spacing w:beforeLines="30" w:before="72"/>
              <w:ind w:hanging="218"/>
              <w:rPr>
                <w:sz w:val="16"/>
                <w:szCs w:val="16"/>
              </w:rPr>
            </w:pPr>
            <w:r w:rsidRPr="00A1021A">
              <w:rPr>
                <w:color w:val="231F20"/>
                <w:sz w:val="16"/>
                <w:szCs w:val="16"/>
              </w:rPr>
              <w:t>N/A</w:t>
            </w:r>
          </w:p>
        </w:tc>
      </w:tr>
      <w:tr w:rsidR="006A7A3F">
        <w:trPr>
          <w:trHeight w:val="9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85"/>
              <w:rPr>
                <w:sz w:val="16"/>
              </w:rPr>
            </w:pPr>
            <w:r>
              <w:rPr>
                <w:color w:val="231F20"/>
                <w:sz w:val="16"/>
              </w:rPr>
              <w:t>Possible volume of environmental water required to achieve objectives</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3"/>
              </w:numPr>
              <w:tabs>
                <w:tab w:val="left" w:pos="305"/>
              </w:tabs>
              <w:spacing w:beforeLines="30" w:before="72"/>
              <w:rPr>
                <w:sz w:val="16"/>
                <w:szCs w:val="16"/>
              </w:rPr>
            </w:pPr>
            <w:r w:rsidRPr="00A1021A">
              <w:rPr>
                <w:color w:val="231F20"/>
                <w:sz w:val="16"/>
                <w:szCs w:val="16"/>
              </w:rPr>
              <w:t>40,000 ML (tier</w:t>
            </w:r>
            <w:r w:rsidRPr="00A1021A">
              <w:rPr>
                <w:color w:val="231F20"/>
                <w:spacing w:val="-10"/>
                <w:sz w:val="16"/>
                <w:szCs w:val="16"/>
              </w:rPr>
              <w:t xml:space="preserve"> </w:t>
            </w:r>
            <w:r w:rsidRPr="00A1021A">
              <w:rPr>
                <w:color w:val="231F20"/>
                <w:sz w:val="16"/>
                <w:szCs w:val="16"/>
              </w:rPr>
              <w:t>1a)</w:t>
            </w:r>
          </w:p>
          <w:p w:rsidR="006A7A3F" w:rsidRPr="00A1021A" w:rsidRDefault="00BC7372" w:rsidP="00B408A4">
            <w:pPr>
              <w:pStyle w:val="TableParagraph"/>
              <w:numPr>
                <w:ilvl w:val="0"/>
                <w:numId w:val="1183"/>
              </w:numPr>
              <w:tabs>
                <w:tab w:val="left" w:pos="305"/>
              </w:tabs>
              <w:spacing w:beforeLines="30" w:before="72"/>
              <w:rPr>
                <w:sz w:val="16"/>
                <w:szCs w:val="16"/>
              </w:rPr>
            </w:pPr>
            <w:r w:rsidRPr="00A1021A">
              <w:rPr>
                <w:color w:val="231F20"/>
                <w:sz w:val="16"/>
                <w:szCs w:val="16"/>
              </w:rPr>
              <w:t>7,500 ML (tier</w:t>
            </w:r>
            <w:r w:rsidRPr="00A1021A">
              <w:rPr>
                <w:color w:val="231F20"/>
                <w:spacing w:val="-9"/>
                <w:sz w:val="16"/>
                <w:szCs w:val="16"/>
              </w:rPr>
              <w:t xml:space="preserve"> </w:t>
            </w:r>
            <w:r w:rsidRPr="00A1021A">
              <w:rPr>
                <w:color w:val="231F20"/>
                <w:sz w:val="16"/>
                <w:szCs w:val="16"/>
              </w:rPr>
              <w:t>1b)</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2"/>
              </w:numPr>
              <w:tabs>
                <w:tab w:val="left" w:pos="306"/>
              </w:tabs>
              <w:spacing w:beforeLines="30" w:before="72"/>
              <w:ind w:hanging="218"/>
              <w:rPr>
                <w:sz w:val="16"/>
                <w:szCs w:val="16"/>
              </w:rPr>
            </w:pPr>
            <w:r w:rsidRPr="00A1021A">
              <w:rPr>
                <w:color w:val="231F20"/>
                <w:sz w:val="16"/>
                <w:szCs w:val="16"/>
              </w:rPr>
              <w:t>38,000 ML (tier</w:t>
            </w:r>
            <w:r w:rsidRPr="00A1021A">
              <w:rPr>
                <w:color w:val="231F20"/>
                <w:spacing w:val="-10"/>
                <w:sz w:val="16"/>
                <w:szCs w:val="16"/>
              </w:rPr>
              <w:t xml:space="preserve"> </w:t>
            </w:r>
            <w:r w:rsidRPr="00A1021A">
              <w:rPr>
                <w:color w:val="231F20"/>
                <w:sz w:val="16"/>
                <w:szCs w:val="16"/>
              </w:rPr>
              <w:t>1a)</w:t>
            </w:r>
          </w:p>
        </w:tc>
        <w:tc>
          <w:tcPr>
            <w:tcW w:w="2721" w:type="dxa"/>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1"/>
              </w:numPr>
              <w:tabs>
                <w:tab w:val="left" w:pos="306"/>
              </w:tabs>
              <w:spacing w:beforeLines="30" w:before="72"/>
              <w:ind w:hanging="218"/>
              <w:rPr>
                <w:sz w:val="16"/>
                <w:szCs w:val="16"/>
              </w:rPr>
            </w:pPr>
            <w:r w:rsidRPr="00A1021A">
              <w:rPr>
                <w:color w:val="231F20"/>
                <w:sz w:val="16"/>
                <w:szCs w:val="16"/>
              </w:rPr>
              <w:t>29,000 ML (tier</w:t>
            </w:r>
            <w:r w:rsidRPr="00A1021A">
              <w:rPr>
                <w:color w:val="231F20"/>
                <w:spacing w:val="-10"/>
                <w:sz w:val="16"/>
                <w:szCs w:val="16"/>
              </w:rPr>
              <w:t xml:space="preserve"> </w:t>
            </w:r>
            <w:r w:rsidRPr="00A1021A">
              <w:rPr>
                <w:color w:val="231F20"/>
                <w:sz w:val="16"/>
                <w:szCs w:val="16"/>
              </w:rPr>
              <w:t>1a)</w:t>
            </w:r>
          </w:p>
        </w:tc>
      </w:tr>
      <w:tr w:rsidR="006A7A3F">
        <w:trPr>
          <w:trHeight w:val="5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716"/>
              <w:rPr>
                <w:sz w:val="16"/>
              </w:rPr>
            </w:pPr>
            <w:r>
              <w:rPr>
                <w:color w:val="231F20"/>
                <w:sz w:val="16"/>
              </w:rPr>
              <w:t>Priority carryover requirements</w:t>
            </w:r>
          </w:p>
        </w:tc>
        <w:tc>
          <w:tcPr>
            <w:tcW w:w="8163" w:type="dxa"/>
            <w:gridSpan w:val="3"/>
            <w:tcBorders>
              <w:top w:val="single" w:sz="4" w:space="0" w:color="231F20"/>
              <w:left w:val="single" w:sz="4" w:space="0" w:color="231F20"/>
              <w:bottom w:val="single" w:sz="4" w:space="0" w:color="231F20"/>
              <w:right w:val="single" w:sz="4" w:space="0" w:color="231F20"/>
            </w:tcBorders>
          </w:tcPr>
          <w:p w:rsidR="006A7A3F" w:rsidRPr="00A1021A" w:rsidRDefault="00BC7372" w:rsidP="00B408A4">
            <w:pPr>
              <w:pStyle w:val="TableParagraph"/>
              <w:numPr>
                <w:ilvl w:val="0"/>
                <w:numId w:val="1180"/>
              </w:numPr>
              <w:tabs>
                <w:tab w:val="left" w:pos="3820"/>
              </w:tabs>
              <w:spacing w:beforeLines="30" w:before="72"/>
              <w:ind w:hanging="3800"/>
              <w:rPr>
                <w:sz w:val="16"/>
                <w:szCs w:val="16"/>
              </w:rPr>
            </w:pPr>
            <w:r w:rsidRPr="00A1021A">
              <w:rPr>
                <w:color w:val="231F20"/>
                <w:sz w:val="16"/>
                <w:szCs w:val="16"/>
              </w:rPr>
              <w:t>3,000</w:t>
            </w:r>
            <w:r w:rsidRPr="00A1021A">
              <w:rPr>
                <w:color w:val="231F20"/>
                <w:spacing w:val="-2"/>
                <w:sz w:val="16"/>
                <w:szCs w:val="16"/>
              </w:rPr>
              <w:t xml:space="preserve"> </w:t>
            </w:r>
            <w:r w:rsidRPr="00A1021A">
              <w:rPr>
                <w:color w:val="231F20"/>
                <w:sz w:val="16"/>
                <w:szCs w:val="16"/>
              </w:rPr>
              <w:t>ML</w:t>
            </w:r>
          </w:p>
        </w:tc>
      </w:tr>
    </w:tbl>
    <w:p w:rsidR="006A7A3F" w:rsidRDefault="00BC7372">
      <w:pPr>
        <w:pStyle w:val="Heading1"/>
        <w:numPr>
          <w:ilvl w:val="1"/>
          <w:numId w:val="1262"/>
        </w:numPr>
        <w:tabs>
          <w:tab w:val="left" w:pos="904"/>
        </w:tabs>
        <w:ind w:left="903" w:hanging="694"/>
      </w:pPr>
      <w:r>
        <w:rPr>
          <w:color w:val="231F20"/>
          <w:spacing w:val="-9"/>
        </w:rPr>
        <w:t>Tarago</w:t>
      </w:r>
      <w:r>
        <w:rPr>
          <w:color w:val="231F20"/>
          <w:spacing w:val="-1"/>
        </w:rPr>
        <w:t xml:space="preserve"> </w:t>
      </w:r>
      <w:r>
        <w:rPr>
          <w:color w:val="231F20"/>
        </w:rPr>
        <w:t>system</w:t>
      </w:r>
    </w:p>
    <w:p w:rsidR="006A7A3F" w:rsidRDefault="00BC7372">
      <w:pPr>
        <w:pStyle w:val="Heading4"/>
        <w:spacing w:before="306"/>
      </w:pPr>
      <w:r>
        <w:rPr>
          <w:color w:val="231F20"/>
        </w:rPr>
        <w:t>Did you know...?</w:t>
      </w:r>
    </w:p>
    <w:p w:rsidR="006A7A3F" w:rsidRDefault="00BC7372">
      <w:pPr>
        <w:pStyle w:val="BodyText"/>
        <w:spacing w:before="58" w:line="249" w:lineRule="auto"/>
        <w:ind w:right="314"/>
      </w:pPr>
      <w:r>
        <w:rPr>
          <w:color w:val="231F20"/>
        </w:rPr>
        <w:t>Diadromous fish spend some of their life in freshwater and some in saltwater. Scientists tagged over 150 diadromous fish in the Tarago River in March 2020, and they will now be able to track how the Australian grayling, short-finned eels, tupong and common galaxia move in response to environmental flows in real time.</w:t>
      </w:r>
    </w:p>
    <w:p w:rsidR="006A7A3F" w:rsidRDefault="006A7A3F">
      <w:pPr>
        <w:pStyle w:val="BodyText"/>
        <w:spacing w:before="2"/>
        <w:ind w:left="0"/>
      </w:pPr>
    </w:p>
    <w:p w:rsidR="006A7A3F" w:rsidRDefault="00BC7372">
      <w:pPr>
        <w:pStyle w:val="Heading4"/>
      </w:pPr>
      <w:r>
        <w:rPr>
          <w:color w:val="231F20"/>
        </w:rPr>
        <w:t>System overview</w:t>
      </w:r>
    </w:p>
    <w:p w:rsidR="006A7A3F" w:rsidRDefault="00BC7372">
      <w:pPr>
        <w:pStyle w:val="Heading6"/>
        <w:spacing w:before="66" w:line="276" w:lineRule="auto"/>
        <w:ind w:right="329"/>
      </w:pPr>
      <w:r>
        <w:rPr>
          <w:color w:val="231F20"/>
        </w:rPr>
        <w:t xml:space="preserve">The </w:t>
      </w:r>
      <w:r>
        <w:rPr>
          <w:color w:val="231F20"/>
          <w:spacing w:val="-5"/>
        </w:rPr>
        <w:t xml:space="preserve">Tarago </w:t>
      </w:r>
      <w:r>
        <w:rPr>
          <w:color w:val="231F20"/>
        </w:rPr>
        <w:t xml:space="preserve">River rises in the </w:t>
      </w:r>
      <w:r>
        <w:rPr>
          <w:color w:val="231F20"/>
          <w:spacing w:val="-5"/>
        </w:rPr>
        <w:t xml:space="preserve">Tarago </w:t>
      </w:r>
      <w:r>
        <w:rPr>
          <w:color w:val="231F20"/>
        </w:rPr>
        <w:t xml:space="preserve">State Forest and flows into the </w:t>
      </w:r>
      <w:r>
        <w:rPr>
          <w:color w:val="231F20"/>
          <w:spacing w:val="-5"/>
        </w:rPr>
        <w:t xml:space="preserve">Tarago </w:t>
      </w:r>
      <w:r>
        <w:rPr>
          <w:color w:val="231F20"/>
        </w:rPr>
        <w:t>Reservoir at Neerim. The reservoir harvests inflows from all upstream tributaries to supply towns on the Mornington Peninsula and</w:t>
      </w:r>
      <w:r>
        <w:rPr>
          <w:color w:val="231F20"/>
          <w:spacing w:val="-4"/>
        </w:rPr>
        <w:t xml:space="preserve"> </w:t>
      </w:r>
      <w:r>
        <w:rPr>
          <w:color w:val="231F20"/>
        </w:rPr>
        <w:t>around</w:t>
      </w:r>
      <w:r>
        <w:rPr>
          <w:color w:val="231F20"/>
          <w:spacing w:val="-4"/>
        </w:rPr>
        <w:t xml:space="preserve"> </w:t>
      </w:r>
      <w:r>
        <w:rPr>
          <w:color w:val="231F20"/>
        </w:rPr>
        <w:t>the</w:t>
      </w:r>
      <w:r>
        <w:rPr>
          <w:color w:val="231F20"/>
          <w:spacing w:val="-3"/>
        </w:rPr>
        <w:t xml:space="preserve"> </w:t>
      </w:r>
      <w:r>
        <w:rPr>
          <w:color w:val="231F20"/>
        </w:rPr>
        <w:t>Western</w:t>
      </w:r>
      <w:r>
        <w:rPr>
          <w:color w:val="231F20"/>
          <w:spacing w:val="-3"/>
        </w:rPr>
        <w:t xml:space="preserve"> </w:t>
      </w:r>
      <w:r>
        <w:rPr>
          <w:color w:val="231F20"/>
        </w:rPr>
        <w:t>Port</w:t>
      </w:r>
      <w:r>
        <w:rPr>
          <w:color w:val="231F20"/>
          <w:spacing w:val="-3"/>
        </w:rPr>
        <w:t xml:space="preserve"> </w:t>
      </w:r>
      <w:r>
        <w:rPr>
          <w:color w:val="231F20"/>
        </w:rPr>
        <w:t>area,</w:t>
      </w:r>
      <w:r>
        <w:rPr>
          <w:color w:val="231F20"/>
          <w:spacing w:val="-4"/>
        </w:rPr>
        <w:t xml:space="preserve"> </w:t>
      </w:r>
      <w:r>
        <w:rPr>
          <w:color w:val="231F20"/>
        </w:rPr>
        <w:t>and</w:t>
      </w:r>
      <w:r>
        <w:rPr>
          <w:color w:val="231F20"/>
          <w:spacing w:val="-4"/>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also</w:t>
      </w:r>
      <w:r>
        <w:rPr>
          <w:color w:val="231F20"/>
          <w:spacing w:val="-4"/>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manage</w:t>
      </w:r>
      <w:r>
        <w:rPr>
          <w:color w:val="231F20"/>
          <w:spacing w:val="-3"/>
        </w:rPr>
        <w:t xml:space="preserve"> </w:t>
      </w:r>
      <w:r>
        <w:rPr>
          <w:color w:val="231F20"/>
        </w:rPr>
        <w:t>flows</w:t>
      </w:r>
      <w:r>
        <w:rPr>
          <w:color w:val="231F20"/>
          <w:spacing w:val="-3"/>
        </w:rPr>
        <w:t xml:space="preserve"> </w:t>
      </w:r>
      <w:r>
        <w:rPr>
          <w:color w:val="231F20"/>
        </w:rPr>
        <w:t>for</w:t>
      </w:r>
      <w:r>
        <w:rPr>
          <w:color w:val="231F20"/>
          <w:spacing w:val="-2"/>
        </w:rPr>
        <w:t xml:space="preserve"> </w:t>
      </w:r>
      <w:r>
        <w:rPr>
          <w:color w:val="231F20"/>
        </w:rPr>
        <w:t>downstream</w:t>
      </w:r>
      <w:r>
        <w:rPr>
          <w:color w:val="231F20"/>
          <w:spacing w:val="-4"/>
        </w:rPr>
        <w:t xml:space="preserve"> </w:t>
      </w:r>
      <w:r>
        <w:rPr>
          <w:color w:val="231F20"/>
        </w:rPr>
        <w:t>irrigators.</w:t>
      </w:r>
      <w:r>
        <w:rPr>
          <w:color w:val="231F20"/>
          <w:spacing w:val="-4"/>
        </w:rPr>
        <w:t xml:space="preserve"> </w:t>
      </w:r>
      <w:r>
        <w:rPr>
          <w:color w:val="231F20"/>
        </w:rPr>
        <w:t>Below the reservoir, the river flows close to the town of Rokeby before meeting the Bunyip River at Longwarry North. From there, the Bunyip River flows through a modified, straightened channel — Bunyip Main Drain — that discharges into Western Port. The Bunyip Main Drain supplies many irrigators in the catchment.</w:t>
      </w:r>
    </w:p>
    <w:p w:rsidR="006A7A3F" w:rsidRDefault="006A7A3F">
      <w:pPr>
        <w:pStyle w:val="BodyText"/>
        <w:spacing w:before="4"/>
        <w:ind w:left="0"/>
        <w:rPr>
          <w:sz w:val="21"/>
        </w:rPr>
      </w:pPr>
    </w:p>
    <w:p w:rsidR="006A7A3F" w:rsidRDefault="00BC7372">
      <w:pPr>
        <w:pStyle w:val="BodyText"/>
        <w:spacing w:before="0" w:line="249" w:lineRule="auto"/>
        <w:ind w:right="443"/>
      </w:pPr>
      <w:r>
        <w:rPr>
          <w:color w:val="231F20"/>
          <w:spacing w:val="-3"/>
        </w:rPr>
        <w:t xml:space="preserve">Water </w:t>
      </w:r>
      <w:r>
        <w:rPr>
          <w:color w:val="231F20"/>
        </w:rPr>
        <w:t xml:space="preserve">available under the </w:t>
      </w:r>
      <w:r>
        <w:rPr>
          <w:color w:val="231F20"/>
          <w:spacing w:val="-5"/>
        </w:rPr>
        <w:t xml:space="preserve">Tarago </w:t>
      </w:r>
      <w:r>
        <w:rPr>
          <w:color w:val="231F20"/>
        </w:rPr>
        <w:t xml:space="preserve">environmental entitlement is stored in and released from </w:t>
      </w:r>
      <w:r>
        <w:rPr>
          <w:color w:val="231F20"/>
          <w:spacing w:val="-5"/>
        </w:rPr>
        <w:t xml:space="preserve">Tarago </w:t>
      </w:r>
      <w:r>
        <w:rPr>
          <w:color w:val="231F20"/>
        </w:rPr>
        <w:t xml:space="preserve">Reservoir. This water is primarily used to meet environmental objectives in reach 2, which is between the reservoir and the confluence of the </w:t>
      </w:r>
      <w:r>
        <w:rPr>
          <w:color w:val="231F20"/>
          <w:spacing w:val="-5"/>
        </w:rPr>
        <w:t xml:space="preserve">Tarago </w:t>
      </w:r>
      <w:r>
        <w:rPr>
          <w:color w:val="231F20"/>
        </w:rPr>
        <w:t xml:space="preserve">and Bunyip rivers, as Figure 3.3.1 shows. </w:t>
      </w:r>
      <w:r>
        <w:rPr>
          <w:color w:val="231F20"/>
          <w:spacing w:val="-3"/>
        </w:rPr>
        <w:t xml:space="preserve">Water </w:t>
      </w:r>
      <w:r>
        <w:rPr>
          <w:color w:val="231F20"/>
        </w:rPr>
        <w:t>for the environment that is delivered to reach 2 also supports environmental flow recommendations in reach 6 (Bunyip Main</w:t>
      </w:r>
      <w:r>
        <w:rPr>
          <w:color w:val="231F20"/>
          <w:spacing w:val="-11"/>
        </w:rPr>
        <w:t xml:space="preserve"> </w:t>
      </w:r>
      <w:r>
        <w:rPr>
          <w:color w:val="231F20"/>
        </w:rPr>
        <w:t>Drain).</w:t>
      </w:r>
    </w:p>
    <w:p w:rsidR="006A7A3F" w:rsidRDefault="00BC7372">
      <w:pPr>
        <w:pStyle w:val="BodyText"/>
        <w:spacing w:before="174" w:line="249" w:lineRule="auto"/>
        <w:ind w:right="217"/>
      </w:pPr>
      <w:r>
        <w:rPr>
          <w:color w:val="231F20"/>
        </w:rPr>
        <w:t>Year-round passing flows in the Bunyip and Tarago rivers are stipulated under both the environmental entitlement and Melbourne Water’s bulk entitlement. These passing flows are generally sufficient to meet the minimum low- flow requirements in summer/autumn, but are much less than the recommended minimum flows in winter/ spring; and do not provide any of the freshes or higher flows that are needed throughout the year to support environmental outcomes.</w:t>
      </w:r>
    </w:p>
    <w:p w:rsidR="006A7A3F" w:rsidRDefault="00BC7372">
      <w:pPr>
        <w:pStyle w:val="BodyText"/>
        <w:spacing w:before="174" w:line="249" w:lineRule="auto"/>
        <w:ind w:right="100"/>
      </w:pPr>
      <w:r>
        <w:rPr>
          <w:color w:val="231F20"/>
        </w:rPr>
        <w:t>Water releases to meet irrigation demands create variable flow patterns in the Tarago and Bunyip rivers throughout the year. The magnitude and timing of these releases can influence environmental outcomes, and Melbourne Water continues to work with Southern Rural Water to optimise the shared value derived from irrigation releases.</w:t>
      </w:r>
    </w:p>
    <w:p w:rsidR="006A7A3F" w:rsidRDefault="006A7A3F">
      <w:pPr>
        <w:pStyle w:val="BodyText"/>
        <w:spacing w:before="1"/>
        <w:ind w:left="0"/>
      </w:pPr>
    </w:p>
    <w:p w:rsidR="006A7A3F" w:rsidRDefault="00BC7372">
      <w:pPr>
        <w:pStyle w:val="Heading4"/>
        <w:spacing w:before="1"/>
        <w:jc w:val="both"/>
      </w:pPr>
      <w:r>
        <w:rPr>
          <w:color w:val="231F20"/>
        </w:rPr>
        <w:t>Environmental values</w:t>
      </w:r>
    </w:p>
    <w:p w:rsidR="006A7A3F" w:rsidRDefault="00BC7372">
      <w:pPr>
        <w:pStyle w:val="BodyText"/>
        <w:spacing w:before="58" w:line="249" w:lineRule="auto"/>
        <w:ind w:right="167"/>
      </w:pPr>
      <w:r>
        <w:rPr>
          <w:color w:val="231F20"/>
        </w:rPr>
        <w:t>The Tarago system contains several significant and threatened native plant and animal species including Australian grayling, long pink-bells, tree geebung and swamp bush-pea. The upper catchment (reach 2) has healthy streamside vegetation and diverse in-stream habitat that supports platypus and native fish including river blackfish and mountain galaxias. The lower catchment (reach 6) has been highly modified, but it still contains patches of remnant vegetation and healthy populations of Australian grayling and platypus.</w:t>
      </w:r>
    </w:p>
    <w:p w:rsidR="00C20B4E" w:rsidRDefault="00C20B4E">
      <w:pPr>
        <w:rPr>
          <w:sz w:val="20"/>
          <w:szCs w:val="20"/>
        </w:rPr>
      </w:pPr>
      <w:r>
        <w:br w:type="page"/>
      </w:r>
    </w:p>
    <w:p w:rsidR="006A7A3F" w:rsidRDefault="00BC7372">
      <w:pPr>
        <w:pStyle w:val="Heading4"/>
        <w:jc w:val="both"/>
      </w:pPr>
      <w:r>
        <w:rPr>
          <w:color w:val="231F20"/>
        </w:rPr>
        <w:t>Environmental watering objectives in the Tarago River</w:t>
      </w:r>
    </w:p>
    <w:p w:rsidR="006A7A3F" w:rsidRDefault="006A7A3F">
      <w:pPr>
        <w:pStyle w:val="BodyText"/>
        <w:spacing w:before="5"/>
        <w:ind w:left="0"/>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9"/>
              <w:ind w:left="0"/>
              <w:rPr>
                <w:b/>
                <w:sz w:val="14"/>
              </w:rPr>
            </w:pPr>
          </w:p>
          <w:p w:rsidR="006A7A3F" w:rsidRDefault="00BC7372">
            <w:pPr>
              <w:pStyle w:val="TableParagraph"/>
              <w:ind w:left="178"/>
              <w:rPr>
                <w:sz w:val="20"/>
              </w:rPr>
            </w:pPr>
            <w:r>
              <w:rPr>
                <w:noProof/>
                <w:sz w:val="20"/>
              </w:rPr>
              <w:drawing>
                <wp:inline distT="0" distB="0" distL="0" distR="0">
                  <wp:extent cx="314174" cy="310896"/>
                  <wp:effectExtent l="0" t="0" r="0" b="0"/>
                  <wp:docPr id="38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jpeg"/>
                          <pic:cNvPicPr/>
                        </pic:nvPicPr>
                        <pic:blipFill>
                          <a:blip r:embed="rId31" cstate="print"/>
                          <a:stretch>
                            <a:fillRect/>
                          </a:stretch>
                        </pic:blipFill>
                        <pic:spPr>
                          <a:xfrm>
                            <a:off x="0" y="0"/>
                            <a:ext cx="314174"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spacing w:before="4"/>
              <w:ind w:left="0"/>
              <w:rPr>
                <w:b/>
                <w:sz w:val="19"/>
              </w:rPr>
            </w:pPr>
          </w:p>
          <w:p w:rsidR="006A7A3F" w:rsidRDefault="00BC7372">
            <w:pPr>
              <w:pStyle w:val="TableParagraph"/>
              <w:spacing w:line="261" w:lineRule="auto"/>
              <w:ind w:left="118"/>
              <w:rPr>
                <w:sz w:val="16"/>
              </w:rPr>
            </w:pPr>
            <w:r>
              <w:rPr>
                <w:color w:val="231F20"/>
                <w:sz w:val="16"/>
              </w:rPr>
              <w:t>Increase populations of native fish including threatened species (such as the Australian grayling)</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383"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ind w:left="0"/>
              <w:rPr>
                <w:b/>
                <w:sz w:val="18"/>
              </w:rPr>
            </w:pPr>
          </w:p>
          <w:p w:rsidR="006A7A3F" w:rsidRDefault="00BC7372">
            <w:pPr>
              <w:pStyle w:val="TableParagraph"/>
              <w:spacing w:before="106"/>
              <w:ind w:left="118"/>
              <w:rPr>
                <w:sz w:val="16"/>
              </w:rPr>
            </w:pPr>
            <w:r>
              <w:rPr>
                <w:color w:val="231F20"/>
                <w:sz w:val="16"/>
              </w:rPr>
              <w:t>Maintain channel form and structure</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385"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ind w:left="0"/>
              <w:rPr>
                <w:b/>
                <w:sz w:val="18"/>
              </w:rPr>
            </w:pPr>
          </w:p>
          <w:p w:rsidR="006A7A3F" w:rsidRDefault="00BC7372">
            <w:pPr>
              <w:pStyle w:val="TableParagraph"/>
              <w:spacing w:before="106"/>
              <w:ind w:left="118"/>
              <w:rPr>
                <w:sz w:val="16"/>
              </w:rPr>
            </w:pPr>
            <w:r>
              <w:rPr>
                <w:color w:val="231F20"/>
                <w:sz w:val="16"/>
              </w:rPr>
              <w:t>Increase platypus populations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5"/>
                  <wp:effectExtent l="0" t="0" r="0" b="0"/>
                  <wp:docPr id="387"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6"/>
              <w:ind w:left="0"/>
              <w:rPr>
                <w:b/>
                <w:sz w:val="18"/>
              </w:rPr>
            </w:pPr>
          </w:p>
          <w:p w:rsidR="006A7A3F" w:rsidRDefault="00BC7372">
            <w:pPr>
              <w:pStyle w:val="TableParagraph"/>
              <w:spacing w:line="261" w:lineRule="auto"/>
              <w:ind w:left="118" w:right="278"/>
              <w:rPr>
                <w:sz w:val="16"/>
              </w:rPr>
            </w:pPr>
            <w:r>
              <w:rPr>
                <w:color w:val="231F20"/>
                <w:sz w:val="16"/>
              </w:rPr>
              <w:t>Increase native streamside and aquatic plant communities on the riverbank and in the channel</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75" cy="310895"/>
                  <wp:effectExtent l="0" t="0" r="0" b="0"/>
                  <wp:docPr id="38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2.jpeg"/>
                          <pic:cNvPicPr/>
                        </pic:nvPicPr>
                        <pic:blipFill>
                          <a:blip r:embed="rId34" cstate="print"/>
                          <a:stretch>
                            <a:fillRect/>
                          </a:stretch>
                        </pic:blipFill>
                        <pic:spPr>
                          <a:xfrm>
                            <a:off x="0" y="0"/>
                            <a:ext cx="314175" cy="310895"/>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6"/>
              <w:ind w:left="0"/>
              <w:rPr>
                <w:b/>
                <w:sz w:val="18"/>
              </w:rPr>
            </w:pPr>
          </w:p>
          <w:p w:rsidR="006A7A3F" w:rsidRDefault="00BC7372">
            <w:pPr>
              <w:pStyle w:val="TableParagraph"/>
              <w:spacing w:line="261" w:lineRule="auto"/>
              <w:ind w:left="118" w:right="74"/>
              <w:rPr>
                <w:sz w:val="16"/>
              </w:rPr>
            </w:pPr>
            <w:r>
              <w:rPr>
                <w:color w:val="231F20"/>
                <w:sz w:val="16"/>
              </w:rPr>
              <w:t>Increase the diversity and biomass of waterbugs, to support aquatic foodwebs</w:t>
            </w:r>
          </w:p>
        </w:tc>
      </w:tr>
    </w:tbl>
    <w:p w:rsidR="006A7A3F" w:rsidRDefault="00BC7372">
      <w:pPr>
        <w:spacing w:before="202"/>
        <w:ind w:left="210"/>
        <w:jc w:val="both"/>
        <w:rPr>
          <w:b/>
          <w:sz w:val="24"/>
        </w:rPr>
      </w:pPr>
      <w:r>
        <w:rPr>
          <w:b/>
          <w:color w:val="231F20"/>
          <w:sz w:val="24"/>
        </w:rPr>
        <w:t>Traditional Owner cultural values and uses</w:t>
      </w:r>
    </w:p>
    <w:p w:rsidR="006A7A3F" w:rsidRDefault="00BC7372">
      <w:pPr>
        <w:pStyle w:val="BodyText"/>
        <w:spacing w:before="58" w:line="249" w:lineRule="auto"/>
        <w:ind w:right="776"/>
        <w:jc w:val="both"/>
      </w:pPr>
      <w:r>
        <w:rPr>
          <w:color w:val="231F20"/>
        </w:rPr>
        <w:t xml:space="preserve">Melbourne </w:t>
      </w:r>
      <w:r>
        <w:rPr>
          <w:color w:val="231F20"/>
          <w:spacing w:val="-3"/>
        </w:rPr>
        <w:t xml:space="preserve">Water </w:t>
      </w:r>
      <w:r>
        <w:rPr>
          <w:color w:val="231F20"/>
        </w:rPr>
        <w:t xml:space="preserve">has made initial contact with Boon Wurrung Foundation, Bunurong Land Council Aboriginal Corporation and Wurundjeri Woi Wurrung Cultural Heritage Aboriginal Corporation, to discuss environmental watering in the </w:t>
      </w:r>
      <w:r>
        <w:rPr>
          <w:color w:val="231F20"/>
          <w:spacing w:val="-3"/>
        </w:rPr>
        <w:t xml:space="preserve">Tarago/Bunyip </w:t>
      </w:r>
      <w:r>
        <w:rPr>
          <w:color w:val="231F20"/>
        </w:rPr>
        <w:t>system.</w:t>
      </w:r>
    </w:p>
    <w:p w:rsidR="006A7A3F" w:rsidRDefault="006A7A3F">
      <w:pPr>
        <w:pStyle w:val="BodyText"/>
        <w:spacing w:before="2"/>
        <w:ind w:left="0"/>
      </w:pPr>
    </w:p>
    <w:p w:rsidR="006A7A3F" w:rsidRDefault="00BC7372">
      <w:pPr>
        <w:pStyle w:val="Heading4"/>
        <w:jc w:val="both"/>
      </w:pPr>
      <w:r>
        <w:rPr>
          <w:color w:val="231F20"/>
        </w:rPr>
        <w:t>Social, recreational and economic values and uses</w:t>
      </w:r>
    </w:p>
    <w:p w:rsidR="006A7A3F" w:rsidRDefault="00BC7372" w:rsidP="00C20B4E">
      <w:pPr>
        <w:pStyle w:val="BodyText"/>
        <w:spacing w:before="58" w:after="120" w:line="250" w:lineRule="auto"/>
        <w:ind w:right="176"/>
      </w:pPr>
      <w:r>
        <w:rPr>
          <w:color w:val="231F20"/>
        </w:rPr>
        <w:t>If the timing or management of planned environmental flows may be modified to align with a community benefit, this is acknowledged in Table 3.3.1 with an icon.</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56"/>
        </w:trPr>
        <w:tc>
          <w:tcPr>
            <w:tcW w:w="789" w:type="dxa"/>
            <w:shd w:val="clear" w:color="auto" w:fill="E6E7E8"/>
          </w:tcPr>
          <w:p w:rsidR="006A7A3F" w:rsidRDefault="006A7A3F">
            <w:pPr>
              <w:pStyle w:val="TableParagraph"/>
              <w:spacing w:before="3"/>
              <w:ind w:left="0"/>
              <w:rPr>
                <w:sz w:val="15"/>
              </w:rPr>
            </w:pPr>
          </w:p>
          <w:p w:rsidR="006A7A3F" w:rsidRDefault="00BC7372">
            <w:pPr>
              <w:pStyle w:val="TableParagraph"/>
              <w:ind w:left="178"/>
              <w:rPr>
                <w:sz w:val="20"/>
              </w:rPr>
            </w:pPr>
            <w:r>
              <w:rPr>
                <w:noProof/>
                <w:sz w:val="20"/>
              </w:rPr>
              <w:drawing>
                <wp:inline distT="0" distB="0" distL="0" distR="0">
                  <wp:extent cx="316042" cy="313944"/>
                  <wp:effectExtent l="0" t="0" r="0" b="0"/>
                  <wp:docPr id="391"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0.jpeg"/>
                          <pic:cNvPicPr/>
                        </pic:nvPicPr>
                        <pic:blipFill>
                          <a:blip r:embed="rId42" cstate="print"/>
                          <a:stretch>
                            <a:fillRect/>
                          </a:stretch>
                        </pic:blipFill>
                        <pic:spPr>
                          <a:xfrm>
                            <a:off x="0" y="0"/>
                            <a:ext cx="316042" cy="313944"/>
                          </a:xfrm>
                          <a:prstGeom prst="rect">
                            <a:avLst/>
                          </a:prstGeom>
                        </pic:spPr>
                      </pic:pic>
                    </a:graphicData>
                  </a:graphic>
                </wp:inline>
              </w:drawing>
            </w:r>
          </w:p>
        </w:tc>
        <w:tc>
          <w:tcPr>
            <w:tcW w:w="3859" w:type="dxa"/>
            <w:shd w:val="clear" w:color="auto" w:fill="E6E7E8"/>
          </w:tcPr>
          <w:p w:rsidR="006A7A3F" w:rsidRDefault="00BC7372">
            <w:pPr>
              <w:pStyle w:val="TableParagraph"/>
              <w:spacing w:before="129" w:line="261" w:lineRule="auto"/>
              <w:ind w:left="118" w:right="63"/>
              <w:jc w:val="both"/>
              <w:rPr>
                <w:sz w:val="16"/>
              </w:rPr>
            </w:pPr>
            <w:r>
              <w:rPr>
                <w:color w:val="231F20"/>
                <w:sz w:val="16"/>
              </w:rPr>
              <w:t>Watering planned to support peaks in visitation</w:t>
            </w:r>
            <w:r>
              <w:rPr>
                <w:color w:val="231F20"/>
                <w:spacing w:val="-26"/>
                <w:sz w:val="16"/>
              </w:rPr>
              <w:t xml:space="preserve"> </w:t>
            </w:r>
            <w:r>
              <w:rPr>
                <w:color w:val="231F20"/>
                <w:sz w:val="16"/>
              </w:rPr>
              <w:t>(e.g. camping or other public activities on long weekends or school</w:t>
            </w:r>
            <w:r>
              <w:rPr>
                <w:color w:val="231F20"/>
                <w:spacing w:val="-2"/>
                <w:sz w:val="16"/>
              </w:rPr>
              <w:t xml:space="preserve"> </w:t>
            </w:r>
            <w:r>
              <w:rPr>
                <w:color w:val="231F20"/>
                <w:sz w:val="16"/>
              </w:rPr>
              <w:t>holidays)</w:t>
            </w:r>
          </w:p>
        </w:tc>
      </w:tr>
    </w:tbl>
    <w:p w:rsidR="006A7A3F" w:rsidRDefault="00BC7372">
      <w:pPr>
        <w:pStyle w:val="BodyText"/>
        <w:spacing w:before="135" w:line="249" w:lineRule="auto"/>
        <w:ind w:right="100"/>
      </w:pPr>
      <w:r>
        <w:rPr>
          <w:color w:val="231F20"/>
        </w:rPr>
        <w:t>Melbourne Water may time a summer fresh in the Tarago River to occur on the long weekends in January or March 2020, so visitors and long-term residents of the Glen Crombie Caravan Park alongside the river can enjoy the additional flows in the river.</w:t>
      </w:r>
    </w:p>
    <w:p w:rsidR="006A7A3F" w:rsidRDefault="006A7A3F">
      <w:pPr>
        <w:pStyle w:val="BodyText"/>
        <w:spacing w:before="1"/>
        <w:ind w:left="0"/>
      </w:pPr>
    </w:p>
    <w:p w:rsidR="006A7A3F" w:rsidRDefault="00BC7372">
      <w:pPr>
        <w:pStyle w:val="Heading4"/>
        <w:spacing w:before="1"/>
      </w:pPr>
      <w:r>
        <w:rPr>
          <w:color w:val="231F20"/>
        </w:rPr>
        <w:t>Recent conditions</w:t>
      </w:r>
    </w:p>
    <w:p w:rsidR="006A7A3F" w:rsidRDefault="00BC7372">
      <w:pPr>
        <w:pStyle w:val="BodyText"/>
        <w:spacing w:before="58" w:line="249" w:lineRule="auto"/>
        <w:ind w:right="100"/>
      </w:pPr>
      <w:r>
        <w:rPr>
          <w:color w:val="231F20"/>
        </w:rPr>
        <w:t xml:space="preserve">The </w:t>
      </w:r>
      <w:r>
        <w:rPr>
          <w:color w:val="231F20"/>
          <w:spacing w:val="-7"/>
        </w:rPr>
        <w:t xml:space="preserve">Tarago </w:t>
      </w:r>
      <w:r>
        <w:rPr>
          <w:color w:val="231F20"/>
          <w:spacing w:val="-3"/>
        </w:rPr>
        <w:t xml:space="preserve">River </w:t>
      </w:r>
      <w:r>
        <w:rPr>
          <w:color w:val="231F20"/>
        </w:rPr>
        <w:t xml:space="preserve">catchment received </w:t>
      </w:r>
      <w:r>
        <w:rPr>
          <w:color w:val="231F20"/>
          <w:spacing w:val="-3"/>
        </w:rPr>
        <w:t xml:space="preserve">below-average </w:t>
      </w:r>
      <w:r>
        <w:rPr>
          <w:color w:val="231F20"/>
        </w:rPr>
        <w:t xml:space="preserve">rainfall in </w:t>
      </w:r>
      <w:r>
        <w:rPr>
          <w:color w:val="231F20"/>
          <w:spacing w:val="-3"/>
        </w:rPr>
        <w:t xml:space="preserve">winter 2019 </w:t>
      </w:r>
      <w:r>
        <w:rPr>
          <w:color w:val="231F20"/>
        </w:rPr>
        <w:t xml:space="preserve">but </w:t>
      </w:r>
      <w:r>
        <w:rPr>
          <w:color w:val="231F20"/>
          <w:spacing w:val="-3"/>
        </w:rPr>
        <w:t xml:space="preserve">above-average </w:t>
      </w:r>
      <w:r>
        <w:rPr>
          <w:color w:val="231F20"/>
        </w:rPr>
        <w:t xml:space="preserve">rainfall in spring </w:t>
      </w:r>
      <w:r>
        <w:rPr>
          <w:color w:val="231F20"/>
          <w:spacing w:val="-3"/>
        </w:rPr>
        <w:t xml:space="preserve">2019 </w:t>
      </w:r>
      <w:r>
        <w:rPr>
          <w:color w:val="231F20"/>
        </w:rPr>
        <w:t xml:space="preserve">and summer </w:t>
      </w:r>
      <w:r>
        <w:rPr>
          <w:color w:val="231F20"/>
          <w:spacing w:val="-3"/>
        </w:rPr>
        <w:t xml:space="preserve">2020. </w:t>
      </w:r>
      <w:r>
        <w:rPr>
          <w:color w:val="231F20"/>
        </w:rPr>
        <w:t xml:space="preserve">Most of the rain fell </w:t>
      </w:r>
      <w:r>
        <w:rPr>
          <w:color w:val="231F20"/>
          <w:spacing w:val="-3"/>
        </w:rPr>
        <w:t xml:space="preserve">downstream </w:t>
      </w:r>
      <w:r>
        <w:rPr>
          <w:color w:val="231F20"/>
        </w:rPr>
        <w:t xml:space="preserve">of the </w:t>
      </w:r>
      <w:r>
        <w:rPr>
          <w:color w:val="231F20"/>
          <w:spacing w:val="-7"/>
        </w:rPr>
        <w:t xml:space="preserve">Tarago </w:t>
      </w:r>
      <w:r>
        <w:rPr>
          <w:color w:val="231F20"/>
          <w:spacing w:val="-4"/>
        </w:rPr>
        <w:t xml:space="preserve">Reservoir, </w:t>
      </w:r>
      <w:r>
        <w:rPr>
          <w:color w:val="231F20"/>
        </w:rPr>
        <w:t xml:space="preserve">so </w:t>
      </w:r>
      <w:r>
        <w:rPr>
          <w:color w:val="231F20"/>
          <w:spacing w:val="-3"/>
        </w:rPr>
        <w:t xml:space="preserve">although </w:t>
      </w:r>
      <w:r>
        <w:rPr>
          <w:color w:val="231F20"/>
        </w:rPr>
        <w:t xml:space="preserve">it </w:t>
      </w:r>
      <w:r>
        <w:rPr>
          <w:color w:val="231F20"/>
          <w:spacing w:val="-3"/>
        </w:rPr>
        <w:t xml:space="preserve">provided natural </w:t>
      </w:r>
      <w:r>
        <w:rPr>
          <w:color w:val="231F20"/>
        </w:rPr>
        <w:t xml:space="preserve">flow in </w:t>
      </w:r>
      <w:r>
        <w:rPr>
          <w:color w:val="231F20"/>
          <w:spacing w:val="-2"/>
        </w:rPr>
        <w:t xml:space="preserve">the </w:t>
      </w:r>
      <w:r>
        <w:rPr>
          <w:color w:val="231F20"/>
        </w:rPr>
        <w:t xml:space="preserve">river it did not translate to significant </w:t>
      </w:r>
      <w:r>
        <w:rPr>
          <w:color w:val="231F20"/>
          <w:spacing w:val="-3"/>
        </w:rPr>
        <w:t xml:space="preserve">inflows into </w:t>
      </w:r>
      <w:r>
        <w:rPr>
          <w:color w:val="231F20"/>
        </w:rPr>
        <w:t xml:space="preserve">the </w:t>
      </w:r>
      <w:r>
        <w:rPr>
          <w:color w:val="231F20"/>
          <w:spacing w:val="-3"/>
        </w:rPr>
        <w:t>storage.</w:t>
      </w:r>
    </w:p>
    <w:p w:rsidR="006A7A3F" w:rsidRDefault="00BC7372">
      <w:pPr>
        <w:pStyle w:val="BodyText"/>
        <w:spacing w:line="249" w:lineRule="auto"/>
        <w:ind w:right="185"/>
      </w:pPr>
      <w:r>
        <w:rPr>
          <w:color w:val="231F20"/>
        </w:rPr>
        <w:t>Winter/spring high flows, winter/spring freshes, spring high flow and autumn high flow requirements and most of the recommended summer/autumn freshes were met from natural flows. Summer/autumn freshes were the highest- priority potential watering actions for all scenarios in 2019–20; they play a critical role in providing habitat for native fish species (such as short-finned eels and common galaxias) and maintaining water quality throughout the system.</w:t>
      </w:r>
    </w:p>
    <w:p w:rsidR="006A7A3F" w:rsidRDefault="00BC7372">
      <w:pPr>
        <w:pStyle w:val="BodyText"/>
        <w:spacing w:before="174"/>
      </w:pPr>
      <w:r>
        <w:rPr>
          <w:color w:val="231F20"/>
        </w:rPr>
        <w:t>A volume of 1,000 ML of water for the environment will be carried over to help meet critical priorities in 2020–21.</w:t>
      </w:r>
    </w:p>
    <w:p w:rsidR="006A7A3F" w:rsidRDefault="006A7A3F">
      <w:pPr>
        <w:pStyle w:val="BodyText"/>
        <w:spacing w:before="9"/>
        <w:ind w:left="0"/>
      </w:pPr>
    </w:p>
    <w:p w:rsidR="006A7A3F" w:rsidRDefault="00BC7372">
      <w:pPr>
        <w:pStyle w:val="Heading4"/>
      </w:pPr>
      <w:r>
        <w:rPr>
          <w:color w:val="231F20"/>
        </w:rPr>
        <w:t>Scope of environmental watering</w:t>
      </w:r>
    </w:p>
    <w:p w:rsidR="00C20B4E" w:rsidRDefault="00BC7372">
      <w:pPr>
        <w:pStyle w:val="BodyText"/>
        <w:spacing w:before="58" w:line="249" w:lineRule="auto"/>
        <w:ind w:right="100"/>
        <w:rPr>
          <w:color w:val="231F20"/>
        </w:rPr>
      </w:pPr>
      <w:r>
        <w:rPr>
          <w:color w:val="231F20"/>
        </w:rPr>
        <w:t>Table 3.3.1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C20B4E" w:rsidRDefault="00C20B4E">
      <w:pPr>
        <w:rPr>
          <w:color w:val="231F20"/>
          <w:sz w:val="20"/>
          <w:szCs w:val="20"/>
        </w:rPr>
      </w:pPr>
      <w:r>
        <w:rPr>
          <w:color w:val="231F20"/>
        </w:rPr>
        <w:br w:type="page"/>
      </w:r>
    </w:p>
    <w:p w:rsidR="006A7A3F" w:rsidRDefault="006A7A3F">
      <w:pPr>
        <w:pStyle w:val="BodyText"/>
        <w:spacing w:before="58" w:line="249" w:lineRule="auto"/>
        <w:ind w:right="100"/>
      </w:pPr>
    </w:p>
    <w:p w:rsidR="006A7A3F" w:rsidRDefault="00BC7372">
      <w:pPr>
        <w:spacing w:before="168"/>
        <w:ind w:left="210"/>
        <w:rPr>
          <w:b/>
          <w:sz w:val="18"/>
        </w:rPr>
      </w:pPr>
      <w:r>
        <w:rPr>
          <w:b/>
          <w:color w:val="231F20"/>
          <w:sz w:val="18"/>
        </w:rPr>
        <w:t>Table 3.3.1 Potential environmental watering actions and objectives for the Tarago River</w:t>
      </w:r>
    </w:p>
    <w:p w:rsidR="006A7A3F" w:rsidRDefault="006A7A3F">
      <w:pPr>
        <w:pStyle w:val="BodyText"/>
        <w:spacing w:before="0"/>
        <w:ind w:left="0"/>
        <w:rPr>
          <w:b/>
          <w:sz w:val="9"/>
        </w:r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C20B4E">
        <w:trPr>
          <w:trHeight w:val="582"/>
        </w:trPr>
        <w:tc>
          <w:tcPr>
            <w:tcW w:w="2381" w:type="dxa"/>
            <w:tcBorders>
              <w:top w:val="nil"/>
              <w:left w:val="nil"/>
              <w:bottom w:val="nil"/>
            </w:tcBorders>
            <w:shd w:val="clear" w:color="auto" w:fill="231F20"/>
          </w:tcPr>
          <w:p w:rsidR="006A7A3F" w:rsidRDefault="00BC7372">
            <w:pPr>
              <w:pStyle w:val="TableParagraph"/>
              <w:spacing w:before="75"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5"/>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5" w:line="254" w:lineRule="auto"/>
              <w:ind w:left="85" w:right="197"/>
              <w:rPr>
                <w:b/>
                <w:sz w:val="18"/>
              </w:rPr>
            </w:pPr>
            <w:r>
              <w:rPr>
                <w:b/>
                <w:color w:val="FFFFFF"/>
                <w:sz w:val="18"/>
              </w:rPr>
              <w:t>Environmental objectives</w:t>
            </w:r>
          </w:p>
        </w:tc>
      </w:tr>
      <w:tr w:rsidR="006A7A3F" w:rsidTr="00C20B4E">
        <w:trPr>
          <w:trHeight w:val="634"/>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683"/>
              <w:rPr>
                <w:sz w:val="16"/>
              </w:rPr>
            </w:pPr>
            <w:r>
              <w:rPr>
                <w:color w:val="231F20"/>
                <w:sz w:val="16"/>
              </w:rPr>
              <w:t>Summer/autumn fresh (one to five freshes of</w:t>
            </w:r>
          </w:p>
          <w:p w:rsidR="006A7A3F" w:rsidRDefault="00BC7372">
            <w:pPr>
              <w:pStyle w:val="TableParagraph"/>
              <w:spacing w:line="261" w:lineRule="auto"/>
              <w:ind w:left="85" w:right="122"/>
              <w:rPr>
                <w:color w:val="231F20"/>
                <w:sz w:val="16"/>
              </w:rPr>
            </w:pPr>
            <w:r>
              <w:rPr>
                <w:color w:val="231F20"/>
                <w:sz w:val="16"/>
              </w:rPr>
              <w:t>75 ML/day for two days during December to May)</w:t>
            </w:r>
          </w:p>
          <w:p w:rsidR="00E459ED" w:rsidRDefault="00E459ED">
            <w:pPr>
              <w:pStyle w:val="TableParagraph"/>
              <w:spacing w:line="261" w:lineRule="auto"/>
              <w:ind w:left="85" w:right="122"/>
              <w:rPr>
                <w:sz w:val="16"/>
              </w:rPr>
            </w:pPr>
            <w:r>
              <w:rPr>
                <w:noProof/>
                <w:sz w:val="20"/>
              </w:rPr>
              <w:drawing>
                <wp:inline distT="0" distB="0" distL="0" distR="0" wp14:anchorId="40A57C8E" wp14:editId="27A82F3A">
                  <wp:extent cx="316042" cy="313944"/>
                  <wp:effectExtent l="0" t="0" r="0" b="0"/>
                  <wp:docPr id="42"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0.jpeg"/>
                          <pic:cNvPicPr/>
                        </pic:nvPicPr>
                        <pic:blipFill>
                          <a:blip r:embed="rId42" cstate="print"/>
                          <a:stretch>
                            <a:fillRect/>
                          </a:stretch>
                        </pic:blipFill>
                        <pic:spPr>
                          <a:xfrm>
                            <a:off x="0" y="0"/>
                            <a:ext cx="316042" cy="313944"/>
                          </a:xfrm>
                          <a:prstGeom prst="rect">
                            <a:avLst/>
                          </a:prstGeom>
                        </pic:spPr>
                      </pic:pic>
                    </a:graphicData>
                  </a:graphic>
                </wp:inline>
              </w:drawing>
            </w:r>
          </w:p>
        </w:tc>
        <w:tc>
          <w:tcPr>
            <w:tcW w:w="6236" w:type="dxa"/>
            <w:vMerge w:val="restart"/>
            <w:tcBorders>
              <w:top w:val="nil"/>
              <w:left w:val="single" w:sz="4" w:space="0" w:color="231F20"/>
              <w:bottom w:val="single" w:sz="4" w:space="0" w:color="231F20"/>
              <w:right w:val="single" w:sz="4" w:space="0" w:color="231F20"/>
            </w:tcBorders>
          </w:tcPr>
          <w:p w:rsidR="006A7A3F" w:rsidRPr="00B408A4" w:rsidRDefault="00BC7372">
            <w:pPr>
              <w:pStyle w:val="TableParagraph"/>
              <w:numPr>
                <w:ilvl w:val="0"/>
                <w:numId w:val="1179"/>
              </w:numPr>
              <w:tabs>
                <w:tab w:val="left" w:pos="306"/>
              </w:tabs>
              <w:spacing w:before="70" w:line="254" w:lineRule="auto"/>
              <w:ind w:right="326"/>
              <w:rPr>
                <w:sz w:val="16"/>
                <w:szCs w:val="16"/>
              </w:rPr>
            </w:pPr>
            <w:r w:rsidRPr="00B408A4">
              <w:rPr>
                <w:color w:val="231F20"/>
                <w:sz w:val="16"/>
                <w:szCs w:val="16"/>
              </w:rPr>
              <w:t>Scour sediment from holes and around large woody debris to</w:t>
            </w:r>
            <w:r w:rsidRPr="00B408A4">
              <w:rPr>
                <w:color w:val="231F20"/>
                <w:spacing w:val="-29"/>
                <w:sz w:val="16"/>
                <w:szCs w:val="16"/>
              </w:rPr>
              <w:t xml:space="preserve"> </w:t>
            </w:r>
            <w:r w:rsidRPr="00B408A4">
              <w:rPr>
                <w:color w:val="231F20"/>
                <w:sz w:val="16"/>
                <w:szCs w:val="16"/>
              </w:rPr>
              <w:t>maintain habitat for native fish in low-flow</w:t>
            </w:r>
            <w:r w:rsidRPr="00B408A4">
              <w:rPr>
                <w:color w:val="231F20"/>
                <w:spacing w:val="-7"/>
                <w:sz w:val="16"/>
                <w:szCs w:val="16"/>
              </w:rPr>
              <w:t xml:space="preserve"> </w:t>
            </w:r>
            <w:r w:rsidRPr="00B408A4">
              <w:rPr>
                <w:color w:val="231F20"/>
                <w:sz w:val="16"/>
                <w:szCs w:val="16"/>
              </w:rPr>
              <w:t>periods</w:t>
            </w:r>
          </w:p>
          <w:p w:rsidR="006A7A3F" w:rsidRPr="00B408A4" w:rsidRDefault="00BC7372">
            <w:pPr>
              <w:pStyle w:val="TableParagraph"/>
              <w:numPr>
                <w:ilvl w:val="0"/>
                <w:numId w:val="1179"/>
              </w:numPr>
              <w:tabs>
                <w:tab w:val="left" w:pos="306"/>
              </w:tabs>
              <w:spacing w:before="87"/>
              <w:ind w:hanging="218"/>
              <w:rPr>
                <w:sz w:val="16"/>
                <w:szCs w:val="16"/>
              </w:rPr>
            </w:pPr>
            <w:r w:rsidRPr="00B408A4">
              <w:rPr>
                <w:color w:val="231F20"/>
                <w:sz w:val="16"/>
                <w:szCs w:val="16"/>
              </w:rPr>
              <w:t>Allow the localised movement of native</w:t>
            </w:r>
            <w:r w:rsidRPr="00B408A4">
              <w:rPr>
                <w:color w:val="231F20"/>
                <w:spacing w:val="-5"/>
                <w:sz w:val="16"/>
                <w:szCs w:val="16"/>
              </w:rPr>
              <w:t xml:space="preserve"> </w:t>
            </w:r>
            <w:r w:rsidRPr="00B408A4">
              <w:rPr>
                <w:color w:val="231F20"/>
                <w:sz w:val="16"/>
                <w:szCs w:val="16"/>
              </w:rPr>
              <w:t>fish</w:t>
            </w:r>
          </w:p>
          <w:p w:rsidR="006A7A3F" w:rsidRPr="00B408A4" w:rsidRDefault="00BC7372">
            <w:pPr>
              <w:pStyle w:val="TableParagraph"/>
              <w:numPr>
                <w:ilvl w:val="0"/>
                <w:numId w:val="1179"/>
              </w:numPr>
              <w:tabs>
                <w:tab w:val="left" w:pos="306"/>
              </w:tabs>
              <w:spacing w:before="98"/>
              <w:ind w:hanging="218"/>
              <w:rPr>
                <w:sz w:val="16"/>
                <w:szCs w:val="16"/>
              </w:rPr>
            </w:pPr>
            <w:r w:rsidRPr="00B408A4">
              <w:rPr>
                <w:color w:val="231F20"/>
                <w:sz w:val="16"/>
                <w:szCs w:val="16"/>
              </w:rPr>
              <w:t>Prevent terrestrial vegetation growth on</w:t>
            </w:r>
            <w:r w:rsidRPr="00B408A4">
              <w:rPr>
                <w:color w:val="231F20"/>
                <w:spacing w:val="-3"/>
                <w:sz w:val="16"/>
                <w:szCs w:val="16"/>
              </w:rPr>
              <w:t xml:space="preserve"> </w:t>
            </w:r>
            <w:r w:rsidRPr="00B408A4">
              <w:rPr>
                <w:color w:val="231F20"/>
                <w:sz w:val="16"/>
                <w:szCs w:val="16"/>
              </w:rPr>
              <w:t>sandbars</w:t>
            </w:r>
          </w:p>
          <w:p w:rsidR="006A7A3F" w:rsidRPr="00B408A4" w:rsidRDefault="00BC7372">
            <w:pPr>
              <w:pStyle w:val="TableParagraph"/>
              <w:numPr>
                <w:ilvl w:val="0"/>
                <w:numId w:val="1179"/>
              </w:numPr>
              <w:tabs>
                <w:tab w:val="left" w:pos="306"/>
              </w:tabs>
              <w:spacing w:before="98"/>
              <w:ind w:hanging="218"/>
              <w:rPr>
                <w:sz w:val="16"/>
                <w:szCs w:val="16"/>
              </w:rPr>
            </w:pPr>
            <w:r w:rsidRPr="00B408A4">
              <w:rPr>
                <w:color w:val="231F20"/>
                <w:sz w:val="16"/>
                <w:szCs w:val="16"/>
              </w:rPr>
              <w:t>Maintain water quality by aeration in times of low</w:t>
            </w:r>
            <w:r w:rsidRPr="00B408A4">
              <w:rPr>
                <w:color w:val="231F20"/>
                <w:spacing w:val="-12"/>
                <w:sz w:val="16"/>
                <w:szCs w:val="16"/>
              </w:rPr>
              <w:t xml:space="preserve"> </w:t>
            </w:r>
            <w:r w:rsidRPr="00B408A4">
              <w:rPr>
                <w:color w:val="231F20"/>
                <w:sz w:val="16"/>
                <w:szCs w:val="16"/>
              </w:rPr>
              <w:t>flow</w:t>
            </w:r>
          </w:p>
        </w:tc>
        <w:tc>
          <w:tcPr>
            <w:tcW w:w="850" w:type="dxa"/>
            <w:tcBorders>
              <w:top w:val="nil"/>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39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39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C20B4E">
        <w:trPr>
          <w:trHeight w:val="87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3"/>
              <w:ind w:left="0"/>
              <w:rPr>
                <w:b/>
                <w:sz w:val="3"/>
              </w:rPr>
            </w:pPr>
          </w:p>
          <w:p w:rsidR="006A7A3F" w:rsidRDefault="00BC7372">
            <w:pPr>
              <w:pStyle w:val="TableParagraph"/>
              <w:ind w:left="315" w:right="-15"/>
              <w:rPr>
                <w:sz w:val="20"/>
              </w:rPr>
            </w:pPr>
            <w:r>
              <w:rPr>
                <w:noProof/>
                <w:sz w:val="20"/>
              </w:rPr>
              <w:drawing>
                <wp:inline distT="0" distB="0" distL="0" distR="0">
                  <wp:extent cx="314168" cy="310896"/>
                  <wp:effectExtent l="0" t="0" r="0" b="0"/>
                  <wp:docPr id="39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3"/>
              <w:ind w:left="0"/>
              <w:rPr>
                <w:b/>
                <w:sz w:val="3"/>
              </w:rPr>
            </w:pPr>
          </w:p>
          <w:p w:rsidR="006A7A3F" w:rsidRDefault="00BC7372">
            <w:pPr>
              <w:pStyle w:val="TableParagraph"/>
              <w:ind w:left="48"/>
              <w:rPr>
                <w:sz w:val="20"/>
              </w:rPr>
            </w:pPr>
            <w:r>
              <w:rPr>
                <w:noProof/>
                <w:sz w:val="20"/>
              </w:rPr>
              <w:drawing>
                <wp:inline distT="0" distB="0" distL="0" distR="0">
                  <wp:extent cx="314168" cy="310896"/>
                  <wp:effectExtent l="0" t="0" r="0" b="0"/>
                  <wp:docPr id="39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C20B4E">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73"/>
              <w:rPr>
                <w:sz w:val="16"/>
              </w:rPr>
            </w:pPr>
            <w:r>
              <w:rPr>
                <w:color w:val="231F20"/>
                <w:sz w:val="16"/>
              </w:rPr>
              <w:t>Autumn high flow (one fresh with a peak of 100 ML/day for two days in a minimum</w:t>
            </w:r>
          </w:p>
          <w:p w:rsidR="006A7A3F" w:rsidRDefault="00BC7372">
            <w:pPr>
              <w:pStyle w:val="TableParagraph"/>
              <w:spacing w:line="261" w:lineRule="auto"/>
              <w:ind w:left="85"/>
              <w:rPr>
                <w:sz w:val="16"/>
              </w:rPr>
            </w:pPr>
            <w:r>
              <w:rPr>
                <w:color w:val="231F20"/>
                <w:sz w:val="16"/>
              </w:rPr>
              <w:t>seven-day duration during April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78"/>
              </w:numPr>
              <w:tabs>
                <w:tab w:val="left" w:pos="306"/>
              </w:tabs>
              <w:spacing w:before="70"/>
              <w:ind w:hanging="218"/>
              <w:rPr>
                <w:sz w:val="16"/>
                <w:szCs w:val="16"/>
              </w:rPr>
            </w:pPr>
            <w:r w:rsidRPr="00B408A4">
              <w:rPr>
                <w:color w:val="231F20"/>
                <w:sz w:val="16"/>
                <w:szCs w:val="16"/>
              </w:rPr>
              <w:t>Form and maintain scour holes around large</w:t>
            </w:r>
            <w:r w:rsidRPr="00B408A4">
              <w:rPr>
                <w:color w:val="231F20"/>
                <w:spacing w:val="-7"/>
                <w:sz w:val="16"/>
                <w:szCs w:val="16"/>
              </w:rPr>
              <w:t xml:space="preserve"> </w:t>
            </w:r>
            <w:r w:rsidRPr="00B408A4">
              <w:rPr>
                <w:color w:val="231F20"/>
                <w:sz w:val="16"/>
                <w:szCs w:val="16"/>
              </w:rPr>
              <w:t>wood</w:t>
            </w:r>
          </w:p>
          <w:p w:rsidR="006A7A3F" w:rsidRPr="00B408A4" w:rsidRDefault="00BC7372">
            <w:pPr>
              <w:pStyle w:val="TableParagraph"/>
              <w:numPr>
                <w:ilvl w:val="0"/>
                <w:numId w:val="1178"/>
              </w:numPr>
              <w:tabs>
                <w:tab w:val="left" w:pos="306"/>
              </w:tabs>
              <w:spacing w:before="98"/>
              <w:ind w:hanging="218"/>
              <w:rPr>
                <w:sz w:val="16"/>
                <w:szCs w:val="16"/>
              </w:rPr>
            </w:pPr>
            <w:r w:rsidRPr="00B408A4">
              <w:rPr>
                <w:color w:val="231F20"/>
                <w:sz w:val="16"/>
                <w:szCs w:val="16"/>
              </w:rPr>
              <w:t>Cue spawning for diadromous fish (e.g. Australian</w:t>
            </w:r>
            <w:r w:rsidRPr="00B408A4">
              <w:rPr>
                <w:color w:val="231F20"/>
                <w:spacing w:val="-17"/>
                <w:sz w:val="16"/>
                <w:szCs w:val="16"/>
              </w:rPr>
              <w:t xml:space="preserve"> </w:t>
            </w:r>
            <w:r w:rsidRPr="00B408A4">
              <w:rPr>
                <w:color w:val="231F20"/>
                <w:sz w:val="16"/>
                <w:szCs w:val="16"/>
              </w:rPr>
              <w:t>grayling)</w:t>
            </w:r>
          </w:p>
          <w:p w:rsidR="006A7A3F" w:rsidRPr="00B408A4" w:rsidRDefault="00BC7372">
            <w:pPr>
              <w:pStyle w:val="TableParagraph"/>
              <w:numPr>
                <w:ilvl w:val="0"/>
                <w:numId w:val="1178"/>
              </w:numPr>
              <w:tabs>
                <w:tab w:val="left" w:pos="306"/>
              </w:tabs>
              <w:spacing w:before="98"/>
              <w:ind w:hanging="218"/>
              <w:rPr>
                <w:sz w:val="16"/>
                <w:szCs w:val="16"/>
              </w:rPr>
            </w:pPr>
            <w:r w:rsidRPr="00B408A4">
              <w:rPr>
                <w:color w:val="231F20"/>
                <w:sz w:val="16"/>
                <w:szCs w:val="16"/>
              </w:rPr>
              <w:t>Allow the downstream movement of Australian</w:t>
            </w:r>
            <w:r w:rsidRPr="00B408A4">
              <w:rPr>
                <w:color w:val="231F20"/>
                <w:spacing w:val="-14"/>
                <w:sz w:val="16"/>
                <w:szCs w:val="16"/>
              </w:rPr>
              <w:t xml:space="preserve"> </w:t>
            </w:r>
            <w:r w:rsidRPr="00B408A4">
              <w:rPr>
                <w:color w:val="231F20"/>
                <w:sz w:val="16"/>
                <w:szCs w:val="16"/>
              </w:rPr>
              <w:t>grayling</w:t>
            </w:r>
          </w:p>
          <w:p w:rsidR="006A7A3F" w:rsidRPr="00B408A4" w:rsidRDefault="00BC7372">
            <w:pPr>
              <w:pStyle w:val="TableParagraph"/>
              <w:numPr>
                <w:ilvl w:val="0"/>
                <w:numId w:val="1178"/>
              </w:numPr>
              <w:tabs>
                <w:tab w:val="left" w:pos="306"/>
              </w:tabs>
              <w:spacing w:before="98"/>
              <w:ind w:hanging="218"/>
              <w:rPr>
                <w:sz w:val="16"/>
                <w:szCs w:val="16"/>
              </w:rPr>
            </w:pPr>
            <w:r w:rsidRPr="00B408A4">
              <w:rPr>
                <w:color w:val="231F20"/>
                <w:sz w:val="16"/>
                <w:szCs w:val="16"/>
              </w:rPr>
              <w:t>Assist the dispersal of juvenile</w:t>
            </w:r>
            <w:r w:rsidRPr="00B408A4">
              <w:rPr>
                <w:color w:val="231F20"/>
                <w:spacing w:val="-5"/>
                <w:sz w:val="16"/>
                <w:szCs w:val="16"/>
              </w:rPr>
              <w:t xml:space="preserve"> </w:t>
            </w:r>
            <w:r w:rsidRPr="00B408A4">
              <w:rPr>
                <w:color w:val="231F20"/>
                <w:sz w:val="16"/>
                <w:szCs w:val="16"/>
              </w:rPr>
              <w:t>platypus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40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40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0.jpeg"/>
                          <pic:cNvPicPr/>
                        </pic:nvPicPr>
                        <pic:blipFill>
                          <a:blip r:embed="rId32" cstate="print"/>
                          <a:stretch>
                            <a:fillRect/>
                          </a:stretch>
                        </pic:blipFill>
                        <pic:spPr>
                          <a:xfrm>
                            <a:off x="0" y="0"/>
                            <a:ext cx="314177" cy="310896"/>
                          </a:xfrm>
                          <a:prstGeom prst="rect">
                            <a:avLst/>
                          </a:prstGeom>
                        </pic:spPr>
                      </pic:pic>
                    </a:graphicData>
                  </a:graphic>
                </wp:inline>
              </w:drawing>
            </w:r>
          </w:p>
        </w:tc>
      </w:tr>
      <w:tr w:rsidR="006A7A3F" w:rsidTr="00C20B4E">
        <w:trPr>
          <w:trHeight w:val="63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40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rsidTr="00C20B4E">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9"/>
              <w:rPr>
                <w:sz w:val="16"/>
              </w:rPr>
            </w:pPr>
            <w:r>
              <w:rPr>
                <w:color w:val="231F20"/>
                <w:sz w:val="16"/>
              </w:rPr>
              <w:t>Spring high flow (two to three high flows with a peak of 200–300 ML/day for two days in a seven-to-10 day duration during September to October)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77"/>
              </w:numPr>
              <w:tabs>
                <w:tab w:val="left" w:pos="306"/>
              </w:tabs>
              <w:spacing w:before="70"/>
              <w:ind w:hanging="218"/>
              <w:rPr>
                <w:sz w:val="16"/>
                <w:szCs w:val="16"/>
              </w:rPr>
            </w:pPr>
            <w:r w:rsidRPr="00B408A4">
              <w:rPr>
                <w:color w:val="231F20"/>
                <w:sz w:val="16"/>
                <w:szCs w:val="16"/>
              </w:rPr>
              <w:t>Form and maintain scour holes around large</w:t>
            </w:r>
            <w:r w:rsidRPr="00B408A4">
              <w:rPr>
                <w:color w:val="231F20"/>
                <w:spacing w:val="-7"/>
                <w:sz w:val="16"/>
                <w:szCs w:val="16"/>
              </w:rPr>
              <w:t xml:space="preserve"> </w:t>
            </w:r>
            <w:r w:rsidRPr="00B408A4">
              <w:rPr>
                <w:color w:val="231F20"/>
                <w:sz w:val="16"/>
                <w:szCs w:val="16"/>
              </w:rPr>
              <w:t>wood</w:t>
            </w:r>
          </w:p>
          <w:p w:rsidR="006A7A3F" w:rsidRPr="00B408A4" w:rsidRDefault="00BC7372">
            <w:pPr>
              <w:pStyle w:val="TableParagraph"/>
              <w:numPr>
                <w:ilvl w:val="0"/>
                <w:numId w:val="1177"/>
              </w:numPr>
              <w:tabs>
                <w:tab w:val="left" w:pos="306"/>
              </w:tabs>
              <w:spacing w:before="98"/>
              <w:ind w:hanging="218"/>
              <w:rPr>
                <w:sz w:val="16"/>
                <w:szCs w:val="16"/>
              </w:rPr>
            </w:pPr>
            <w:r w:rsidRPr="00B408A4">
              <w:rPr>
                <w:color w:val="231F20"/>
                <w:sz w:val="16"/>
                <w:szCs w:val="16"/>
              </w:rPr>
              <w:t>Prevent the encroachment of terrestrial vegetation into the</w:t>
            </w:r>
            <w:r w:rsidRPr="00B408A4">
              <w:rPr>
                <w:color w:val="231F20"/>
                <w:spacing w:val="-9"/>
                <w:sz w:val="16"/>
                <w:szCs w:val="16"/>
              </w:rPr>
              <w:t xml:space="preserve"> </w:t>
            </w:r>
            <w:r w:rsidRPr="00B408A4">
              <w:rPr>
                <w:color w:val="231F20"/>
                <w:sz w:val="16"/>
                <w:szCs w:val="16"/>
              </w:rPr>
              <w:t>channel</w:t>
            </w:r>
          </w:p>
          <w:p w:rsidR="006A7A3F" w:rsidRPr="00B408A4" w:rsidRDefault="00BC7372">
            <w:pPr>
              <w:pStyle w:val="TableParagraph"/>
              <w:numPr>
                <w:ilvl w:val="0"/>
                <w:numId w:val="1177"/>
              </w:numPr>
              <w:tabs>
                <w:tab w:val="left" w:pos="306"/>
              </w:tabs>
              <w:spacing w:before="98" w:line="254" w:lineRule="auto"/>
              <w:ind w:right="787"/>
              <w:rPr>
                <w:sz w:val="16"/>
                <w:szCs w:val="16"/>
              </w:rPr>
            </w:pPr>
            <w:r w:rsidRPr="00B408A4">
              <w:rPr>
                <w:color w:val="231F20"/>
                <w:sz w:val="16"/>
                <w:szCs w:val="16"/>
              </w:rPr>
              <w:t>Cue the upstream migration of juvenile diadromous fish (such</w:t>
            </w:r>
            <w:r w:rsidRPr="00B408A4">
              <w:rPr>
                <w:color w:val="231F20"/>
                <w:spacing w:val="-31"/>
                <w:sz w:val="16"/>
                <w:szCs w:val="16"/>
              </w:rPr>
              <w:t xml:space="preserve"> </w:t>
            </w:r>
            <w:r w:rsidRPr="00B408A4">
              <w:rPr>
                <w:color w:val="231F20"/>
                <w:sz w:val="16"/>
                <w:szCs w:val="16"/>
              </w:rPr>
              <w:t>as Australian grayling) from the sea or estuary into the</w:t>
            </w:r>
            <w:r w:rsidRPr="00B408A4">
              <w:rPr>
                <w:color w:val="231F20"/>
                <w:spacing w:val="-12"/>
                <w:sz w:val="16"/>
                <w:szCs w:val="16"/>
              </w:rPr>
              <w:t xml:space="preserve"> </w:t>
            </w:r>
            <w:r w:rsidRPr="00B408A4">
              <w:rPr>
                <w:color w:val="231F20"/>
                <w:sz w:val="16"/>
                <w:szCs w:val="16"/>
              </w:rPr>
              <w:t>river</w:t>
            </w:r>
          </w:p>
          <w:p w:rsidR="006A7A3F" w:rsidRPr="00B408A4" w:rsidRDefault="00BC7372">
            <w:pPr>
              <w:pStyle w:val="TableParagraph"/>
              <w:numPr>
                <w:ilvl w:val="0"/>
                <w:numId w:val="1177"/>
              </w:numPr>
              <w:tabs>
                <w:tab w:val="left" w:pos="306"/>
              </w:tabs>
              <w:spacing w:before="87" w:line="254" w:lineRule="auto"/>
              <w:ind w:right="588"/>
              <w:rPr>
                <w:sz w:val="16"/>
                <w:szCs w:val="16"/>
              </w:rPr>
            </w:pPr>
            <w:r w:rsidRPr="00B408A4">
              <w:rPr>
                <w:color w:val="231F20"/>
                <w:sz w:val="16"/>
                <w:szCs w:val="16"/>
              </w:rPr>
              <w:t>Wet higher benches to maintain the fringing aquatic vegetation</w:t>
            </w:r>
            <w:r w:rsidRPr="00B408A4">
              <w:rPr>
                <w:color w:val="231F20"/>
                <w:spacing w:val="-28"/>
                <w:sz w:val="16"/>
                <w:szCs w:val="16"/>
              </w:rPr>
              <w:t xml:space="preserve"> </w:t>
            </w:r>
            <w:r w:rsidRPr="00B408A4">
              <w:rPr>
                <w:color w:val="231F20"/>
                <w:sz w:val="16"/>
                <w:szCs w:val="16"/>
              </w:rPr>
              <w:t>and ensure vertical zonation of the fringing</w:t>
            </w:r>
            <w:r w:rsidRPr="00B408A4">
              <w:rPr>
                <w:color w:val="231F20"/>
                <w:spacing w:val="-4"/>
                <w:sz w:val="16"/>
                <w:szCs w:val="16"/>
              </w:rPr>
              <w:t xml:space="preserve"> </w:t>
            </w:r>
            <w:r w:rsidRPr="00B408A4">
              <w:rPr>
                <w:color w:val="231F20"/>
                <w:sz w:val="16"/>
                <w:szCs w:val="16"/>
              </w:rPr>
              <w:t>vegetation</w:t>
            </w:r>
          </w:p>
          <w:p w:rsidR="006A7A3F" w:rsidRPr="00B408A4" w:rsidRDefault="00BC7372">
            <w:pPr>
              <w:pStyle w:val="TableParagraph"/>
              <w:numPr>
                <w:ilvl w:val="0"/>
                <w:numId w:val="1177"/>
              </w:numPr>
              <w:tabs>
                <w:tab w:val="left" w:pos="306"/>
              </w:tabs>
              <w:spacing w:before="86" w:line="254" w:lineRule="auto"/>
              <w:ind w:right="377"/>
              <w:rPr>
                <w:sz w:val="16"/>
                <w:szCs w:val="16"/>
              </w:rPr>
            </w:pPr>
            <w:r w:rsidRPr="00B408A4">
              <w:rPr>
                <w:color w:val="231F20"/>
                <w:sz w:val="16"/>
                <w:szCs w:val="16"/>
              </w:rPr>
              <w:t>Provide a cue for platypus to select nesting burrows above high</w:t>
            </w:r>
            <w:r w:rsidRPr="00B408A4">
              <w:rPr>
                <w:color w:val="231F20"/>
                <w:spacing w:val="-35"/>
                <w:sz w:val="16"/>
                <w:szCs w:val="16"/>
              </w:rPr>
              <w:t xml:space="preserve"> </w:t>
            </w:r>
            <w:r w:rsidRPr="00B408A4">
              <w:rPr>
                <w:color w:val="231F20"/>
                <w:sz w:val="16"/>
                <w:szCs w:val="16"/>
              </w:rPr>
              <w:t>water level</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40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409"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C20B4E">
        <w:trPr>
          <w:trHeight w:val="159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41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1.jpeg"/>
                          <pic:cNvPicPr/>
                        </pic:nvPicPr>
                        <pic:blipFill>
                          <a:blip r:embed="rId43"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8" cy="310895"/>
                  <wp:effectExtent l="0" t="0" r="0" b="0"/>
                  <wp:docPr id="41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r w:rsidR="006A7A3F" w:rsidTr="00C20B4E">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66"/>
              <w:rPr>
                <w:sz w:val="16"/>
              </w:rPr>
            </w:pPr>
            <w:r>
              <w:rPr>
                <w:color w:val="231F20"/>
                <w:sz w:val="16"/>
              </w:rPr>
              <w:t>Winter/spring fresh (one to two freshes with a peak of 100–200 ML/day for two days during June to September)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76"/>
              </w:numPr>
              <w:tabs>
                <w:tab w:val="left" w:pos="306"/>
              </w:tabs>
              <w:spacing w:before="70" w:line="254" w:lineRule="auto"/>
              <w:ind w:right="87"/>
              <w:rPr>
                <w:sz w:val="16"/>
                <w:szCs w:val="16"/>
              </w:rPr>
            </w:pPr>
            <w:r w:rsidRPr="00B408A4">
              <w:rPr>
                <w:color w:val="231F20"/>
                <w:sz w:val="16"/>
                <w:szCs w:val="16"/>
              </w:rPr>
              <w:t>Prevent sediment build-up and remove biofilm from large woody debris</w:t>
            </w:r>
            <w:r w:rsidRPr="00B408A4">
              <w:rPr>
                <w:color w:val="231F20"/>
                <w:spacing w:val="-33"/>
                <w:sz w:val="16"/>
                <w:szCs w:val="16"/>
              </w:rPr>
              <w:t xml:space="preserve"> </w:t>
            </w:r>
            <w:r w:rsidRPr="00B408A4">
              <w:rPr>
                <w:color w:val="231F20"/>
                <w:sz w:val="16"/>
                <w:szCs w:val="16"/>
              </w:rPr>
              <w:t>to maintain habitat for macroinvertebrates and fish including river</w:t>
            </w:r>
            <w:r w:rsidRPr="00B408A4">
              <w:rPr>
                <w:color w:val="231F20"/>
                <w:spacing w:val="-22"/>
                <w:sz w:val="16"/>
                <w:szCs w:val="16"/>
              </w:rPr>
              <w:t xml:space="preserve"> </w:t>
            </w:r>
            <w:r w:rsidRPr="00B408A4">
              <w:rPr>
                <w:color w:val="231F20"/>
                <w:sz w:val="16"/>
                <w:szCs w:val="16"/>
              </w:rPr>
              <w:t>blackfish</w:t>
            </w:r>
          </w:p>
          <w:p w:rsidR="006A7A3F" w:rsidRPr="00B408A4" w:rsidRDefault="00BC7372">
            <w:pPr>
              <w:pStyle w:val="TableParagraph"/>
              <w:numPr>
                <w:ilvl w:val="0"/>
                <w:numId w:val="1176"/>
              </w:numPr>
              <w:tabs>
                <w:tab w:val="left" w:pos="306"/>
              </w:tabs>
              <w:spacing w:before="87" w:line="254" w:lineRule="auto"/>
              <w:ind w:right="166"/>
              <w:rPr>
                <w:sz w:val="16"/>
                <w:szCs w:val="16"/>
              </w:rPr>
            </w:pPr>
            <w:r w:rsidRPr="00B408A4">
              <w:rPr>
                <w:color w:val="231F20"/>
                <w:sz w:val="16"/>
                <w:szCs w:val="16"/>
              </w:rPr>
              <w:t>Maintain access to habitats by ensuring sufficient depth through riffles</w:t>
            </w:r>
            <w:r w:rsidRPr="00B408A4">
              <w:rPr>
                <w:color w:val="231F20"/>
                <w:spacing w:val="-28"/>
                <w:sz w:val="16"/>
                <w:szCs w:val="16"/>
              </w:rPr>
              <w:t xml:space="preserve"> </w:t>
            </w:r>
            <w:r w:rsidRPr="00B408A4">
              <w:rPr>
                <w:color w:val="231F20"/>
                <w:sz w:val="16"/>
                <w:szCs w:val="16"/>
              </w:rPr>
              <w:t>to allow fish movement between pools and</w:t>
            </w:r>
            <w:r w:rsidRPr="00B408A4">
              <w:rPr>
                <w:color w:val="231F20"/>
                <w:spacing w:val="-7"/>
                <w:sz w:val="16"/>
                <w:szCs w:val="16"/>
              </w:rPr>
              <w:t xml:space="preserve"> </w:t>
            </w:r>
            <w:r w:rsidRPr="00B408A4">
              <w:rPr>
                <w:color w:val="231F20"/>
                <w:sz w:val="16"/>
                <w:szCs w:val="16"/>
              </w:rPr>
              <w:t>reaches</w:t>
            </w:r>
          </w:p>
          <w:p w:rsidR="006A7A3F" w:rsidRPr="00B408A4" w:rsidRDefault="00BC7372">
            <w:pPr>
              <w:pStyle w:val="TableParagraph"/>
              <w:numPr>
                <w:ilvl w:val="0"/>
                <w:numId w:val="1176"/>
              </w:numPr>
              <w:tabs>
                <w:tab w:val="left" w:pos="306"/>
              </w:tabs>
              <w:spacing w:before="86"/>
              <w:ind w:hanging="218"/>
              <w:rPr>
                <w:sz w:val="16"/>
                <w:szCs w:val="16"/>
              </w:rPr>
            </w:pPr>
            <w:r w:rsidRPr="00B408A4">
              <w:rPr>
                <w:color w:val="231F20"/>
                <w:sz w:val="16"/>
                <w:szCs w:val="16"/>
              </w:rPr>
              <w:t>Cue the downstream migration of species such as eel and</w:t>
            </w:r>
            <w:r w:rsidRPr="00B408A4">
              <w:rPr>
                <w:color w:val="231F20"/>
                <w:spacing w:val="-13"/>
                <w:sz w:val="16"/>
                <w:szCs w:val="16"/>
              </w:rPr>
              <w:t xml:space="preserve"> </w:t>
            </w:r>
            <w:r w:rsidRPr="00B408A4">
              <w:rPr>
                <w:color w:val="231F20"/>
                <w:sz w:val="16"/>
                <w:szCs w:val="16"/>
              </w:rPr>
              <w:t>tupong</w:t>
            </w:r>
          </w:p>
          <w:p w:rsidR="006A7A3F" w:rsidRPr="00B408A4" w:rsidRDefault="00BC7372">
            <w:pPr>
              <w:pStyle w:val="TableParagraph"/>
              <w:numPr>
                <w:ilvl w:val="0"/>
                <w:numId w:val="1176"/>
              </w:numPr>
              <w:tabs>
                <w:tab w:val="left" w:pos="306"/>
              </w:tabs>
              <w:spacing w:before="98" w:line="254" w:lineRule="auto"/>
              <w:ind w:right="89"/>
              <w:rPr>
                <w:sz w:val="16"/>
                <w:szCs w:val="16"/>
              </w:rPr>
            </w:pPr>
            <w:r w:rsidRPr="00B408A4">
              <w:rPr>
                <w:color w:val="231F20"/>
                <w:sz w:val="16"/>
                <w:szCs w:val="16"/>
              </w:rPr>
              <w:t>Wet the banks, wetting the lower benches</w:t>
            </w:r>
            <w:r w:rsidRPr="00B408A4">
              <w:rPr>
                <w:color w:val="231F20"/>
                <w:spacing w:val="-36"/>
                <w:sz w:val="16"/>
                <w:szCs w:val="16"/>
              </w:rPr>
              <w:t xml:space="preserve"> </w:t>
            </w:r>
            <w:r w:rsidRPr="00B408A4">
              <w:rPr>
                <w:color w:val="231F20"/>
                <w:sz w:val="16"/>
                <w:szCs w:val="16"/>
              </w:rPr>
              <w:t>to maintain the fringing aquatic vegetation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41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417"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0.jpeg"/>
                          <pic:cNvPicPr/>
                        </pic:nvPicPr>
                        <pic:blipFill>
                          <a:blip r:embed="rId32" cstate="print"/>
                          <a:stretch>
                            <a:fillRect/>
                          </a:stretch>
                        </pic:blipFill>
                        <pic:spPr>
                          <a:xfrm>
                            <a:off x="0" y="0"/>
                            <a:ext cx="314168" cy="310895"/>
                          </a:xfrm>
                          <a:prstGeom prst="rect">
                            <a:avLst/>
                          </a:prstGeom>
                        </pic:spPr>
                      </pic:pic>
                    </a:graphicData>
                  </a:graphic>
                </wp:inline>
              </w:drawing>
            </w:r>
          </w:p>
        </w:tc>
      </w:tr>
      <w:tr w:rsidR="006A7A3F" w:rsidTr="00C20B4E">
        <w:trPr>
          <w:trHeight w:val="1292"/>
        </w:trPr>
        <w:tc>
          <w:tcPr>
            <w:tcW w:w="2381"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auto"/>
              <w:right w:val="single" w:sz="4" w:space="0" w:color="231F20"/>
            </w:tcBorders>
          </w:tcPr>
          <w:p w:rsidR="006A7A3F" w:rsidRPr="00B408A4" w:rsidRDefault="006A7A3F">
            <w:pPr>
              <w:rPr>
                <w:sz w:val="16"/>
                <w:szCs w:val="16"/>
              </w:rPr>
            </w:pPr>
          </w:p>
        </w:tc>
        <w:tc>
          <w:tcPr>
            <w:tcW w:w="850" w:type="dxa"/>
            <w:tcBorders>
              <w:top w:val="nil"/>
              <w:left w:val="single" w:sz="4" w:space="0" w:color="231F20"/>
              <w:bottom w:val="single" w:sz="4" w:space="0" w:color="auto"/>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41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auto"/>
              <w:right w:val="single" w:sz="4" w:space="0" w:color="231F20"/>
            </w:tcBorders>
          </w:tcPr>
          <w:p w:rsidR="006A7A3F" w:rsidRDefault="006A7A3F">
            <w:pPr>
              <w:pStyle w:val="TableParagraph"/>
              <w:ind w:left="0"/>
              <w:rPr>
                <w:rFonts w:ascii="Times New Roman"/>
                <w:sz w:val="18"/>
              </w:rPr>
            </w:pPr>
          </w:p>
        </w:tc>
      </w:tr>
      <w:tr w:rsidR="00C20B4E" w:rsidTr="003D4127">
        <w:trPr>
          <w:trHeight w:val="1292"/>
        </w:trPr>
        <w:tc>
          <w:tcPr>
            <w:tcW w:w="2381" w:type="dxa"/>
            <w:tcBorders>
              <w:top w:val="single" w:sz="4" w:space="0" w:color="auto"/>
              <w:left w:val="single" w:sz="4" w:space="0" w:color="231F20"/>
              <w:bottom w:val="nil"/>
              <w:right w:val="single" w:sz="4" w:space="0" w:color="231F20"/>
            </w:tcBorders>
          </w:tcPr>
          <w:p w:rsidR="00C20B4E" w:rsidRPr="00C20B4E" w:rsidRDefault="00C20B4E" w:rsidP="00C20B4E">
            <w:pPr>
              <w:pStyle w:val="TableParagraph"/>
              <w:spacing w:before="67"/>
              <w:ind w:left="85"/>
              <w:rPr>
                <w:sz w:val="16"/>
              </w:rPr>
            </w:pPr>
            <w:r>
              <w:rPr>
                <w:color w:val="231F20"/>
                <w:sz w:val="16"/>
              </w:rPr>
              <w:t xml:space="preserve">Winter/spring low flow </w:t>
            </w:r>
            <w:r>
              <w:rPr>
                <w:color w:val="231F20"/>
                <w:sz w:val="16"/>
              </w:rPr>
              <w:br/>
              <w:t>(75 ML/day [or natural] during June to November)</w:t>
            </w:r>
          </w:p>
        </w:tc>
        <w:tc>
          <w:tcPr>
            <w:tcW w:w="6236" w:type="dxa"/>
            <w:tcBorders>
              <w:top w:val="single" w:sz="4" w:space="0" w:color="auto"/>
              <w:left w:val="single" w:sz="4" w:space="0" w:color="231F20"/>
              <w:bottom w:val="nil"/>
              <w:right w:val="single" w:sz="4" w:space="0" w:color="231F20"/>
            </w:tcBorders>
          </w:tcPr>
          <w:p w:rsidR="00C20B4E" w:rsidRPr="00B408A4" w:rsidRDefault="00C20B4E" w:rsidP="00C20B4E">
            <w:pPr>
              <w:pStyle w:val="TableParagraph"/>
              <w:numPr>
                <w:ilvl w:val="0"/>
                <w:numId w:val="1175"/>
              </w:numPr>
              <w:tabs>
                <w:tab w:val="left" w:pos="306"/>
              </w:tabs>
              <w:spacing w:before="63"/>
              <w:ind w:hanging="218"/>
              <w:rPr>
                <w:sz w:val="16"/>
                <w:szCs w:val="16"/>
              </w:rPr>
            </w:pPr>
            <w:r w:rsidRPr="00B408A4">
              <w:rPr>
                <w:color w:val="231F20"/>
                <w:sz w:val="16"/>
                <w:szCs w:val="16"/>
              </w:rPr>
              <w:t>Prevent the encroachment of terrestrial vegetation in the</w:t>
            </w:r>
            <w:r w:rsidRPr="00B408A4">
              <w:rPr>
                <w:color w:val="231F20"/>
                <w:spacing w:val="-8"/>
                <w:sz w:val="16"/>
                <w:szCs w:val="16"/>
              </w:rPr>
              <w:t xml:space="preserve"> </w:t>
            </w:r>
            <w:r w:rsidRPr="00B408A4">
              <w:rPr>
                <w:color w:val="231F20"/>
                <w:sz w:val="16"/>
                <w:szCs w:val="16"/>
              </w:rPr>
              <w:t>channel</w:t>
            </w:r>
          </w:p>
          <w:p w:rsidR="00C20B4E" w:rsidRPr="00B408A4" w:rsidRDefault="00C20B4E" w:rsidP="00C20B4E">
            <w:pPr>
              <w:pStyle w:val="TableParagraph"/>
              <w:numPr>
                <w:ilvl w:val="0"/>
                <w:numId w:val="1175"/>
              </w:numPr>
              <w:tabs>
                <w:tab w:val="left" w:pos="306"/>
              </w:tabs>
              <w:spacing w:before="98"/>
              <w:ind w:hanging="218"/>
              <w:rPr>
                <w:sz w:val="16"/>
                <w:szCs w:val="16"/>
              </w:rPr>
            </w:pPr>
            <w:r w:rsidRPr="00B408A4">
              <w:rPr>
                <w:color w:val="231F20"/>
                <w:sz w:val="16"/>
                <w:szCs w:val="16"/>
              </w:rPr>
              <w:t>Wet the banks to promote streamside vegetation</w:t>
            </w:r>
            <w:r w:rsidRPr="00B408A4">
              <w:rPr>
                <w:color w:val="231F20"/>
                <w:spacing w:val="-7"/>
                <w:sz w:val="16"/>
                <w:szCs w:val="16"/>
              </w:rPr>
              <w:t xml:space="preserve"> </w:t>
            </w:r>
            <w:r w:rsidRPr="00B408A4">
              <w:rPr>
                <w:color w:val="231F20"/>
                <w:sz w:val="16"/>
                <w:szCs w:val="16"/>
              </w:rPr>
              <w:t>growth</w:t>
            </w:r>
          </w:p>
          <w:p w:rsidR="00C20B4E" w:rsidRPr="00B408A4" w:rsidRDefault="00C20B4E" w:rsidP="00C20B4E">
            <w:pPr>
              <w:pStyle w:val="TableParagraph"/>
              <w:numPr>
                <w:ilvl w:val="0"/>
                <w:numId w:val="1175"/>
              </w:numPr>
              <w:tabs>
                <w:tab w:val="left" w:pos="306"/>
              </w:tabs>
              <w:spacing w:before="98" w:line="254" w:lineRule="auto"/>
              <w:ind w:right="136"/>
              <w:rPr>
                <w:sz w:val="16"/>
                <w:szCs w:val="16"/>
              </w:rPr>
            </w:pPr>
            <w:r w:rsidRPr="00B408A4">
              <w:rPr>
                <w:color w:val="231F20"/>
                <w:sz w:val="16"/>
                <w:szCs w:val="16"/>
              </w:rPr>
              <w:t>Maintain an adequate depth through riffles to allow access to habitats</w:t>
            </w:r>
            <w:r w:rsidRPr="00B408A4">
              <w:rPr>
                <w:color w:val="231F20"/>
                <w:spacing w:val="-33"/>
                <w:sz w:val="16"/>
                <w:szCs w:val="16"/>
              </w:rPr>
              <w:t xml:space="preserve"> </w:t>
            </w:r>
            <w:r w:rsidRPr="00B408A4">
              <w:rPr>
                <w:color w:val="231F20"/>
                <w:sz w:val="16"/>
                <w:szCs w:val="16"/>
              </w:rPr>
              <w:t>for fish and</w:t>
            </w:r>
            <w:r w:rsidRPr="00B408A4">
              <w:rPr>
                <w:color w:val="231F20"/>
                <w:spacing w:val="-2"/>
                <w:sz w:val="16"/>
                <w:szCs w:val="16"/>
              </w:rPr>
              <w:t xml:space="preserve"> </w:t>
            </w:r>
            <w:r w:rsidRPr="00B408A4">
              <w:rPr>
                <w:color w:val="231F20"/>
                <w:sz w:val="16"/>
                <w:szCs w:val="16"/>
              </w:rPr>
              <w:t>platypus</w:t>
            </w:r>
          </w:p>
          <w:p w:rsidR="00C20B4E" w:rsidRPr="00B408A4" w:rsidRDefault="00C20B4E" w:rsidP="00C20B4E">
            <w:pPr>
              <w:pStyle w:val="TableParagraph"/>
              <w:numPr>
                <w:ilvl w:val="0"/>
                <w:numId w:val="1175"/>
              </w:numPr>
              <w:tabs>
                <w:tab w:val="left" w:pos="306"/>
              </w:tabs>
              <w:spacing w:before="86" w:line="254" w:lineRule="auto"/>
              <w:ind w:right="356"/>
              <w:rPr>
                <w:sz w:val="16"/>
                <w:szCs w:val="16"/>
              </w:rPr>
            </w:pPr>
            <w:r w:rsidRPr="00B408A4">
              <w:rPr>
                <w:color w:val="231F20"/>
                <w:sz w:val="16"/>
                <w:szCs w:val="16"/>
              </w:rPr>
              <w:t>Maintain water quality through increased low flows to flush the system and wet additional habitat for fish and</w:t>
            </w:r>
            <w:r w:rsidRPr="00B408A4">
              <w:rPr>
                <w:color w:val="231F20"/>
                <w:spacing w:val="-11"/>
                <w:sz w:val="16"/>
                <w:szCs w:val="16"/>
              </w:rPr>
              <w:t xml:space="preserve"> </w:t>
            </w:r>
            <w:r w:rsidRPr="00B408A4">
              <w:rPr>
                <w:color w:val="231F20"/>
                <w:sz w:val="16"/>
                <w:szCs w:val="16"/>
              </w:rPr>
              <w:t>macroinvertebrates</w:t>
            </w:r>
          </w:p>
          <w:p w:rsidR="00C20B4E" w:rsidRPr="00B408A4" w:rsidRDefault="00C20B4E" w:rsidP="00C20B4E">
            <w:pPr>
              <w:pStyle w:val="TableParagraph"/>
              <w:numPr>
                <w:ilvl w:val="0"/>
                <w:numId w:val="1175"/>
              </w:numPr>
              <w:tabs>
                <w:tab w:val="left" w:pos="306"/>
              </w:tabs>
              <w:spacing w:before="86" w:line="254" w:lineRule="auto"/>
              <w:ind w:right="356"/>
              <w:rPr>
                <w:sz w:val="16"/>
                <w:szCs w:val="16"/>
              </w:rPr>
            </w:pPr>
            <w:r w:rsidRPr="00B408A4">
              <w:rPr>
                <w:color w:val="231F20"/>
                <w:sz w:val="16"/>
                <w:szCs w:val="16"/>
              </w:rPr>
              <w:t>Maintain foraging habitat for</w:t>
            </w:r>
            <w:r w:rsidRPr="00B408A4">
              <w:rPr>
                <w:color w:val="231F20"/>
                <w:spacing w:val="-2"/>
                <w:sz w:val="16"/>
                <w:szCs w:val="16"/>
              </w:rPr>
              <w:t xml:space="preserve"> </w:t>
            </w:r>
            <w:r w:rsidRPr="00B408A4">
              <w:rPr>
                <w:color w:val="231F20"/>
                <w:sz w:val="16"/>
                <w:szCs w:val="16"/>
              </w:rPr>
              <w:t>platypus</w:t>
            </w:r>
          </w:p>
        </w:tc>
        <w:tc>
          <w:tcPr>
            <w:tcW w:w="1558" w:type="dxa"/>
            <w:gridSpan w:val="2"/>
            <w:vMerge w:val="restart"/>
            <w:tcBorders>
              <w:top w:val="single" w:sz="4" w:space="0" w:color="auto"/>
              <w:left w:val="single" w:sz="4" w:space="0" w:color="231F20"/>
              <w:right w:val="single" w:sz="4" w:space="0" w:color="231F20"/>
            </w:tcBorders>
          </w:tcPr>
          <w:p w:rsidR="00C20B4E" w:rsidRDefault="00C20B4E" w:rsidP="00C20B4E">
            <w:pPr>
              <w:pStyle w:val="TableParagraph"/>
              <w:spacing w:before="9"/>
              <w:ind w:left="0"/>
              <w:rPr>
                <w:b/>
                <w:sz w:val="8"/>
              </w:rPr>
            </w:pPr>
          </w:p>
          <w:p w:rsidR="00C20B4E" w:rsidRDefault="00C20B4E" w:rsidP="00C20B4E">
            <w:pPr>
              <w:pStyle w:val="TableParagraph"/>
              <w:spacing w:after="60"/>
              <w:ind w:left="318" w:right="-17"/>
              <w:rPr>
                <w:sz w:val="20"/>
              </w:rPr>
            </w:pPr>
            <w:r>
              <w:rPr>
                <w:noProof/>
                <w:sz w:val="20"/>
              </w:rPr>
              <w:drawing>
                <wp:inline distT="0" distB="0" distL="0" distR="0" wp14:anchorId="379028DF" wp14:editId="307CD339">
                  <wp:extent cx="314168" cy="310896"/>
                  <wp:effectExtent l="0" t="0" r="0" b="0"/>
                  <wp:docPr id="258"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jpeg"/>
                          <pic:cNvPicPr/>
                        </pic:nvPicPr>
                        <pic:blipFill>
                          <a:blip r:embed="rId31"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3FBFEDE0" wp14:editId="41157EBF">
                  <wp:extent cx="314168" cy="310896"/>
                  <wp:effectExtent l="0" t="0" r="0" b="0"/>
                  <wp:docPr id="260"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1.jpeg"/>
                          <pic:cNvPicPr/>
                        </pic:nvPicPr>
                        <pic:blipFill>
                          <a:blip r:embed="rId43" cstate="print"/>
                          <a:stretch>
                            <a:fillRect/>
                          </a:stretch>
                        </pic:blipFill>
                        <pic:spPr>
                          <a:xfrm>
                            <a:off x="0" y="0"/>
                            <a:ext cx="314168" cy="310896"/>
                          </a:xfrm>
                          <a:prstGeom prst="rect">
                            <a:avLst/>
                          </a:prstGeom>
                        </pic:spPr>
                      </pic:pic>
                    </a:graphicData>
                  </a:graphic>
                </wp:inline>
              </w:drawing>
            </w:r>
          </w:p>
          <w:p w:rsidR="00C20B4E" w:rsidRDefault="00C20B4E" w:rsidP="00C20B4E">
            <w:pPr>
              <w:pStyle w:val="TableParagraph"/>
              <w:ind w:left="315" w:right="-15"/>
              <w:rPr>
                <w:sz w:val="20"/>
              </w:rPr>
            </w:pPr>
            <w:r>
              <w:rPr>
                <w:noProof/>
                <w:sz w:val="20"/>
              </w:rPr>
              <w:drawing>
                <wp:inline distT="0" distB="0" distL="0" distR="0" wp14:anchorId="2E301464" wp14:editId="058AFD79">
                  <wp:extent cx="314168" cy="310896"/>
                  <wp:effectExtent l="0" t="0" r="0" b="0"/>
                  <wp:docPr id="262"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1.jpeg"/>
                          <pic:cNvPicPr/>
                        </pic:nvPicPr>
                        <pic:blipFill>
                          <a:blip r:embed="rId33"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402AC6D3" wp14:editId="441A6B83">
                  <wp:extent cx="314168" cy="310896"/>
                  <wp:effectExtent l="0" t="0" r="0" b="0"/>
                  <wp:docPr id="264"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C20B4E" w:rsidTr="003D4127">
        <w:trPr>
          <w:trHeight w:val="1292"/>
        </w:trPr>
        <w:tc>
          <w:tcPr>
            <w:tcW w:w="2381" w:type="dxa"/>
            <w:tcBorders>
              <w:top w:val="nil"/>
              <w:left w:val="single" w:sz="4" w:space="0" w:color="231F20"/>
              <w:bottom w:val="single" w:sz="4" w:space="0" w:color="231F20"/>
              <w:right w:val="single" w:sz="4" w:space="0" w:color="231F20"/>
            </w:tcBorders>
          </w:tcPr>
          <w:p w:rsidR="00C20B4E" w:rsidRDefault="00C20B4E" w:rsidP="00C20B4E">
            <w:pPr>
              <w:rPr>
                <w:sz w:val="2"/>
                <w:szCs w:val="2"/>
              </w:rPr>
            </w:pPr>
          </w:p>
        </w:tc>
        <w:tc>
          <w:tcPr>
            <w:tcW w:w="6236" w:type="dxa"/>
            <w:tcBorders>
              <w:top w:val="nil"/>
              <w:left w:val="single" w:sz="4" w:space="0" w:color="231F20"/>
              <w:bottom w:val="single" w:sz="4" w:space="0" w:color="231F20"/>
              <w:right w:val="single" w:sz="4" w:space="0" w:color="231F20"/>
            </w:tcBorders>
          </w:tcPr>
          <w:p w:rsidR="00C20B4E" w:rsidRDefault="00C20B4E" w:rsidP="00C20B4E">
            <w:pPr>
              <w:rPr>
                <w:sz w:val="2"/>
                <w:szCs w:val="2"/>
              </w:rPr>
            </w:pPr>
          </w:p>
        </w:tc>
        <w:tc>
          <w:tcPr>
            <w:tcW w:w="1558" w:type="dxa"/>
            <w:gridSpan w:val="2"/>
            <w:vMerge/>
            <w:tcBorders>
              <w:left w:val="single" w:sz="4" w:space="0" w:color="231F20"/>
              <w:bottom w:val="single" w:sz="4" w:space="0" w:color="231F20"/>
              <w:right w:val="single" w:sz="4" w:space="0" w:color="231F20"/>
            </w:tcBorders>
          </w:tcPr>
          <w:p w:rsidR="00C20B4E" w:rsidRDefault="00C20B4E" w:rsidP="00C20B4E">
            <w:pPr>
              <w:pStyle w:val="TableParagraph"/>
              <w:ind w:left="48"/>
              <w:rPr>
                <w:sz w:val="20"/>
              </w:rPr>
            </w:pPr>
          </w:p>
        </w:tc>
      </w:tr>
    </w:tbl>
    <w:p w:rsidR="006A7A3F" w:rsidRDefault="006A7A3F">
      <w:pPr>
        <w:rPr>
          <w:rFonts w:ascii="Times New Roman"/>
          <w:sz w:val="18"/>
        </w:rPr>
        <w:sectPr w:rsidR="006A7A3F" w:rsidSect="00C92D74">
          <w:pgSz w:w="11910" w:h="16840"/>
          <w:pgMar w:top="1701" w:right="851" w:bottom="1134" w:left="851" w:header="720" w:footer="720" w:gutter="0"/>
          <w:cols w:space="720"/>
        </w:sectPr>
      </w:pPr>
    </w:p>
    <w:p w:rsidR="006A7A3F" w:rsidRDefault="00BC7372">
      <w:pPr>
        <w:pStyle w:val="Heading4"/>
        <w:spacing w:before="92"/>
      </w:pPr>
      <w:r>
        <w:rPr>
          <w:color w:val="231F20"/>
        </w:rPr>
        <w:t>Scenario planning</w:t>
      </w:r>
    </w:p>
    <w:p w:rsidR="006A7A3F" w:rsidRDefault="00BC7372">
      <w:pPr>
        <w:pStyle w:val="BodyText"/>
        <w:spacing w:before="58" w:line="249" w:lineRule="auto"/>
        <w:ind w:right="100"/>
      </w:pPr>
      <w:r>
        <w:rPr>
          <w:color w:val="231F20"/>
        </w:rPr>
        <w:t>Table 3.3.2 outlines the potential environmental watering and expected water use under a range of planning scenarios.</w:t>
      </w:r>
    </w:p>
    <w:p w:rsidR="006A7A3F" w:rsidRDefault="00BC7372" w:rsidP="00E459ED">
      <w:pPr>
        <w:pStyle w:val="BodyText"/>
        <w:spacing w:line="249" w:lineRule="auto"/>
        <w:ind w:right="318"/>
      </w:pPr>
      <w:r>
        <w:rPr>
          <w:color w:val="231F20"/>
        </w:rPr>
        <w:t>Summer and autumn freshes are considered high priority under all climatic conditions. These freshes aim to top up pool habitats and improve water quality, which helps to maintain the quality and quantity of available habitat for fish, macroinvertebrates and platypus. Freshes temporarily increase river depth in riffles and run habitats between pools, allowing native fish to move within and between reaches. Freshes also wet sand bars and lower sections of</w:t>
      </w:r>
      <w:r w:rsidR="00E459ED">
        <w:rPr>
          <w:color w:val="231F20"/>
        </w:rPr>
        <w:t xml:space="preserve"> </w:t>
      </w:r>
      <w:r>
        <w:rPr>
          <w:color w:val="231F20"/>
        </w:rPr>
        <w:t>the riverbank, which helps to prevent the encroachment and growth of unwanted terrestrial species in the waterway.</w:t>
      </w:r>
    </w:p>
    <w:p w:rsidR="006A7A3F" w:rsidRDefault="00BC7372">
      <w:pPr>
        <w:pStyle w:val="BodyText"/>
        <w:spacing w:before="180" w:line="249" w:lineRule="auto"/>
        <w:ind w:right="246"/>
      </w:pPr>
      <w:r>
        <w:rPr>
          <w:color w:val="231F20"/>
        </w:rPr>
        <w:t>An autumn high flow is needed to cue Australian grayling to spawn. As this is a short-lived species, the autumn high flow should be delivered in at least two out of every three years. In average and wet years, this increases to an annual requirement. The autumn high flow was partially achieved in 2018–19 and fully achieved in 2019–20. Hence, full delivery of an autumn high flow is a tier 2 priority for 2020–21, although a partial autumn high flow using a lesser volume of water may be delivered under dry and average</w:t>
      </w:r>
      <w:r>
        <w:rPr>
          <w:color w:val="231F20"/>
          <w:spacing w:val="-16"/>
        </w:rPr>
        <w:t xml:space="preserve"> </w:t>
      </w:r>
      <w:r>
        <w:rPr>
          <w:color w:val="231F20"/>
        </w:rPr>
        <w:t>conditions.</w:t>
      </w:r>
    </w:p>
    <w:p w:rsidR="006A7A3F" w:rsidRDefault="00BC7372">
      <w:pPr>
        <w:pStyle w:val="BodyText"/>
        <w:spacing w:before="174" w:line="249" w:lineRule="auto"/>
        <w:ind w:right="319"/>
      </w:pPr>
      <w:r>
        <w:rPr>
          <w:color w:val="231F20"/>
        </w:rPr>
        <w:t>Under average and wet scenarios, a spring high flow may be delivered to support the migration of native fish. This flow has not been achieved with environmental flows since 2012–13, and although reach 6 has received some natural spring high flows, reach 2 has not. The spring high flow will encourage movement and cue the upstream migration of juvenile native fish species including Australian grayling, common galaxias and tupong.</w:t>
      </w:r>
    </w:p>
    <w:p w:rsidR="006A7A3F" w:rsidRDefault="00BC7372">
      <w:pPr>
        <w:pStyle w:val="BodyText"/>
        <w:spacing w:before="174" w:line="249" w:lineRule="auto"/>
        <w:ind w:right="307"/>
      </w:pPr>
      <w:r>
        <w:rPr>
          <w:color w:val="231F20"/>
        </w:rPr>
        <w:t>The spring high event is a higher priority than the winter/spring freshes, because previous monitoring has shown it triggers more fish to move.</w:t>
      </w:r>
    </w:p>
    <w:p w:rsidR="00C20B4E" w:rsidRDefault="00BC7372">
      <w:pPr>
        <w:pStyle w:val="BodyText"/>
        <w:spacing w:line="249" w:lineRule="auto"/>
        <w:ind w:right="251"/>
        <w:rPr>
          <w:color w:val="231F20"/>
        </w:rPr>
      </w:pPr>
      <w:r>
        <w:rPr>
          <w:color w:val="231F20"/>
        </w:rPr>
        <w:t>A carryover volume of 700–1,000 ML is required to support high-priority actions (such as summer/autumn freshes) in 2021–22.</w:t>
      </w:r>
    </w:p>
    <w:p w:rsidR="00C20B4E" w:rsidRDefault="00C20B4E">
      <w:pPr>
        <w:rPr>
          <w:color w:val="231F20"/>
          <w:sz w:val="20"/>
          <w:szCs w:val="20"/>
        </w:rPr>
      </w:pPr>
      <w:r>
        <w:rPr>
          <w:color w:val="231F20"/>
        </w:rPr>
        <w:br w:type="page"/>
      </w:r>
    </w:p>
    <w:p w:rsidR="006A7A3F" w:rsidRDefault="00BC7372">
      <w:pPr>
        <w:spacing w:before="166"/>
        <w:ind w:left="210"/>
        <w:rPr>
          <w:b/>
          <w:sz w:val="18"/>
        </w:rPr>
      </w:pPr>
      <w:r>
        <w:rPr>
          <w:b/>
          <w:color w:val="231F20"/>
          <w:sz w:val="18"/>
        </w:rPr>
        <w:t>Table 3.3.2 Potential environmental watering for the Tarago River under a range of planning scenarios</w:t>
      </w:r>
    </w:p>
    <w:p w:rsidR="006A7A3F" w:rsidRDefault="006A7A3F">
      <w:pPr>
        <w:pStyle w:val="BodyText"/>
        <w:spacing w:before="6"/>
        <w:ind w:left="0"/>
        <w:rPr>
          <w:b/>
          <w:sz w:val="8"/>
        </w:rPr>
      </w:pPr>
    </w:p>
    <w:tbl>
      <w:tblPr>
        <w:tblW w:w="10205" w:type="dxa"/>
        <w:tblInd w:w="2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C20B4E">
        <w:trPr>
          <w:trHeight w:val="367"/>
        </w:trPr>
        <w:tc>
          <w:tcPr>
            <w:tcW w:w="2041" w:type="dxa"/>
            <w:tcBorders>
              <w:top w:val="nil"/>
              <w:left w:val="nil"/>
              <w:bottom w:val="nil"/>
              <w:right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left w:val="nil"/>
              <w:bottom w:val="nil"/>
              <w:right w:val="nil"/>
            </w:tcBorders>
            <w:shd w:val="clear" w:color="auto" w:fill="231F20"/>
          </w:tcPr>
          <w:p w:rsidR="006A7A3F" w:rsidRDefault="00BC7372">
            <w:pPr>
              <w:pStyle w:val="TableParagraph"/>
              <w:spacing w:before="80"/>
              <w:ind w:left="89"/>
              <w:rPr>
                <w:b/>
                <w:sz w:val="18"/>
              </w:rPr>
            </w:pPr>
            <w:r>
              <w:rPr>
                <w:b/>
                <w:color w:val="FFFFFF"/>
                <w:sz w:val="18"/>
              </w:rPr>
              <w:t>Drought</w:t>
            </w:r>
          </w:p>
        </w:tc>
        <w:tc>
          <w:tcPr>
            <w:tcW w:w="2041" w:type="dxa"/>
            <w:tcBorders>
              <w:top w:val="nil"/>
              <w:left w:val="nil"/>
              <w:bottom w:val="nil"/>
              <w:right w:val="nil"/>
            </w:tcBorders>
            <w:shd w:val="clear" w:color="auto" w:fill="231F20"/>
          </w:tcPr>
          <w:p w:rsidR="006A7A3F" w:rsidRDefault="00BC7372">
            <w:pPr>
              <w:pStyle w:val="TableParagraph"/>
              <w:spacing w:before="80"/>
              <w:ind w:left="89"/>
              <w:rPr>
                <w:b/>
                <w:sz w:val="18"/>
              </w:rPr>
            </w:pPr>
            <w:r>
              <w:rPr>
                <w:b/>
                <w:color w:val="FFFFFF"/>
                <w:sz w:val="18"/>
              </w:rPr>
              <w:t>Dry</w:t>
            </w:r>
          </w:p>
        </w:tc>
        <w:tc>
          <w:tcPr>
            <w:tcW w:w="2041" w:type="dxa"/>
            <w:tcBorders>
              <w:top w:val="nil"/>
              <w:left w:val="nil"/>
              <w:bottom w:val="nil"/>
              <w:right w:val="nil"/>
            </w:tcBorders>
            <w:shd w:val="clear" w:color="auto" w:fill="231F20"/>
          </w:tcPr>
          <w:p w:rsidR="006A7A3F" w:rsidRDefault="00BC7372">
            <w:pPr>
              <w:pStyle w:val="TableParagraph"/>
              <w:spacing w:before="80"/>
              <w:ind w:left="89"/>
              <w:rPr>
                <w:b/>
                <w:sz w:val="18"/>
              </w:rPr>
            </w:pPr>
            <w:r>
              <w:rPr>
                <w:b/>
                <w:color w:val="FFFFFF"/>
                <w:sz w:val="18"/>
              </w:rPr>
              <w:t>Average</w:t>
            </w:r>
          </w:p>
        </w:tc>
        <w:tc>
          <w:tcPr>
            <w:tcW w:w="2041" w:type="dxa"/>
            <w:tcBorders>
              <w:top w:val="nil"/>
              <w:left w:val="nil"/>
              <w:bottom w:val="nil"/>
              <w:right w:val="nil"/>
            </w:tcBorders>
            <w:shd w:val="clear" w:color="auto" w:fill="231F20"/>
          </w:tcPr>
          <w:p w:rsidR="006A7A3F" w:rsidRDefault="00BC7372">
            <w:pPr>
              <w:pStyle w:val="TableParagraph"/>
              <w:spacing w:before="80"/>
              <w:ind w:left="89"/>
              <w:rPr>
                <w:b/>
                <w:sz w:val="18"/>
              </w:rPr>
            </w:pPr>
            <w:r>
              <w:rPr>
                <w:b/>
                <w:color w:val="FFFFFF"/>
                <w:sz w:val="18"/>
              </w:rPr>
              <w:t>Wet</w:t>
            </w:r>
          </w:p>
        </w:tc>
      </w:tr>
      <w:tr w:rsidR="006A7A3F" w:rsidTr="00C20B4E">
        <w:trPr>
          <w:trHeight w:val="1702"/>
        </w:trPr>
        <w:tc>
          <w:tcPr>
            <w:tcW w:w="2041" w:type="dxa"/>
            <w:tcBorders>
              <w:top w:val="nil"/>
            </w:tcBorders>
          </w:tcPr>
          <w:p w:rsidR="006A7A3F" w:rsidRDefault="00BC7372">
            <w:pPr>
              <w:pStyle w:val="TableParagraph"/>
              <w:spacing w:before="74"/>
              <w:ind w:left="85"/>
              <w:rPr>
                <w:sz w:val="16"/>
              </w:rPr>
            </w:pPr>
            <w:r>
              <w:rPr>
                <w:color w:val="231F20"/>
                <w:sz w:val="16"/>
              </w:rPr>
              <w:t>Expected river conditions</w:t>
            </w:r>
          </w:p>
        </w:tc>
        <w:tc>
          <w:tcPr>
            <w:tcW w:w="2041" w:type="dxa"/>
            <w:tcBorders>
              <w:top w:val="nil"/>
            </w:tcBorders>
          </w:tcPr>
          <w:p w:rsidR="006A7A3F" w:rsidRPr="00B408A4" w:rsidRDefault="00BC7372">
            <w:pPr>
              <w:pStyle w:val="TableParagraph"/>
              <w:numPr>
                <w:ilvl w:val="0"/>
                <w:numId w:val="1174"/>
              </w:numPr>
              <w:tabs>
                <w:tab w:val="left" w:pos="305"/>
              </w:tabs>
              <w:spacing w:before="70"/>
              <w:rPr>
                <w:sz w:val="16"/>
                <w:szCs w:val="16"/>
              </w:rPr>
            </w:pPr>
            <w:r w:rsidRPr="00B408A4">
              <w:rPr>
                <w:color w:val="231F20"/>
                <w:spacing w:val="-3"/>
                <w:sz w:val="16"/>
                <w:szCs w:val="16"/>
              </w:rPr>
              <w:t xml:space="preserve">Very </w:t>
            </w:r>
            <w:r w:rsidRPr="00B408A4">
              <w:rPr>
                <w:color w:val="231F20"/>
                <w:sz w:val="16"/>
                <w:szCs w:val="16"/>
              </w:rPr>
              <w:t>low streamflow</w:t>
            </w:r>
          </w:p>
          <w:p w:rsidR="006A7A3F" w:rsidRPr="00B408A4" w:rsidRDefault="00BC7372">
            <w:pPr>
              <w:pStyle w:val="TableParagraph"/>
              <w:numPr>
                <w:ilvl w:val="0"/>
                <w:numId w:val="1174"/>
              </w:numPr>
              <w:tabs>
                <w:tab w:val="left" w:pos="305"/>
              </w:tabs>
              <w:spacing w:before="98"/>
              <w:rPr>
                <w:sz w:val="16"/>
                <w:szCs w:val="16"/>
              </w:rPr>
            </w:pPr>
            <w:r w:rsidRPr="00B408A4">
              <w:rPr>
                <w:color w:val="231F20"/>
                <w:spacing w:val="-3"/>
                <w:sz w:val="16"/>
                <w:szCs w:val="16"/>
              </w:rPr>
              <w:t xml:space="preserve">Very </w:t>
            </w:r>
            <w:r w:rsidRPr="00B408A4">
              <w:rPr>
                <w:color w:val="231F20"/>
                <w:sz w:val="16"/>
                <w:szCs w:val="16"/>
              </w:rPr>
              <w:t>low</w:t>
            </w:r>
            <w:r w:rsidRPr="00B408A4">
              <w:rPr>
                <w:color w:val="231F20"/>
                <w:spacing w:val="-1"/>
                <w:sz w:val="16"/>
                <w:szCs w:val="16"/>
              </w:rPr>
              <w:t xml:space="preserve"> </w:t>
            </w:r>
            <w:r w:rsidRPr="00B408A4">
              <w:rPr>
                <w:color w:val="231F20"/>
                <w:sz w:val="16"/>
                <w:szCs w:val="16"/>
              </w:rPr>
              <w:t>inflows</w:t>
            </w:r>
          </w:p>
          <w:p w:rsidR="006A7A3F" w:rsidRPr="00B408A4" w:rsidRDefault="00BC7372">
            <w:pPr>
              <w:pStyle w:val="TableParagraph"/>
              <w:numPr>
                <w:ilvl w:val="0"/>
                <w:numId w:val="1174"/>
              </w:numPr>
              <w:tabs>
                <w:tab w:val="left" w:pos="305"/>
              </w:tabs>
              <w:spacing w:before="98" w:line="254" w:lineRule="auto"/>
              <w:ind w:right="333"/>
              <w:rPr>
                <w:sz w:val="16"/>
                <w:szCs w:val="16"/>
              </w:rPr>
            </w:pPr>
            <w:r w:rsidRPr="00B408A4">
              <w:rPr>
                <w:color w:val="231F20"/>
                <w:sz w:val="16"/>
                <w:szCs w:val="16"/>
              </w:rPr>
              <w:t>Reduced passing flows</w:t>
            </w:r>
          </w:p>
          <w:p w:rsidR="006A7A3F" w:rsidRPr="00B408A4" w:rsidRDefault="00BC7372">
            <w:pPr>
              <w:pStyle w:val="TableParagraph"/>
              <w:numPr>
                <w:ilvl w:val="0"/>
                <w:numId w:val="1174"/>
              </w:numPr>
              <w:tabs>
                <w:tab w:val="left" w:pos="305"/>
              </w:tabs>
              <w:spacing w:before="87" w:line="254" w:lineRule="auto"/>
              <w:ind w:right="292"/>
              <w:rPr>
                <w:sz w:val="16"/>
                <w:szCs w:val="16"/>
              </w:rPr>
            </w:pPr>
            <w:r w:rsidRPr="00B408A4">
              <w:rPr>
                <w:color w:val="231F20"/>
                <w:sz w:val="16"/>
                <w:szCs w:val="16"/>
              </w:rPr>
              <w:t>Irrigation releases likely</w:t>
            </w:r>
          </w:p>
        </w:tc>
        <w:tc>
          <w:tcPr>
            <w:tcW w:w="2041" w:type="dxa"/>
            <w:tcBorders>
              <w:top w:val="nil"/>
            </w:tcBorders>
          </w:tcPr>
          <w:p w:rsidR="006A7A3F" w:rsidRPr="00B408A4" w:rsidRDefault="00BC7372">
            <w:pPr>
              <w:pStyle w:val="TableParagraph"/>
              <w:numPr>
                <w:ilvl w:val="0"/>
                <w:numId w:val="1173"/>
              </w:numPr>
              <w:tabs>
                <w:tab w:val="left" w:pos="305"/>
              </w:tabs>
              <w:spacing w:before="70"/>
              <w:rPr>
                <w:sz w:val="16"/>
                <w:szCs w:val="16"/>
              </w:rPr>
            </w:pPr>
            <w:r w:rsidRPr="00B408A4">
              <w:rPr>
                <w:color w:val="231F20"/>
                <w:sz w:val="16"/>
                <w:szCs w:val="16"/>
              </w:rPr>
              <w:t>Low</w:t>
            </w:r>
            <w:r w:rsidRPr="00B408A4">
              <w:rPr>
                <w:color w:val="231F20"/>
                <w:spacing w:val="-2"/>
                <w:sz w:val="16"/>
                <w:szCs w:val="16"/>
              </w:rPr>
              <w:t xml:space="preserve"> </w:t>
            </w:r>
            <w:r w:rsidRPr="00B408A4">
              <w:rPr>
                <w:color w:val="231F20"/>
                <w:sz w:val="16"/>
                <w:szCs w:val="16"/>
              </w:rPr>
              <w:t>streamflow</w:t>
            </w:r>
          </w:p>
          <w:p w:rsidR="006A7A3F" w:rsidRPr="00B408A4" w:rsidRDefault="00BC7372">
            <w:pPr>
              <w:pStyle w:val="TableParagraph"/>
              <w:numPr>
                <w:ilvl w:val="0"/>
                <w:numId w:val="1173"/>
              </w:numPr>
              <w:tabs>
                <w:tab w:val="left" w:pos="305"/>
              </w:tabs>
              <w:spacing w:before="98" w:line="254" w:lineRule="auto"/>
              <w:ind w:right="263"/>
              <w:rPr>
                <w:sz w:val="16"/>
                <w:szCs w:val="16"/>
              </w:rPr>
            </w:pPr>
            <w:r w:rsidRPr="00B408A4">
              <w:rPr>
                <w:color w:val="231F20"/>
                <w:sz w:val="16"/>
                <w:szCs w:val="16"/>
              </w:rPr>
              <w:t xml:space="preserve">Some reduction </w:t>
            </w:r>
            <w:r w:rsidRPr="00B408A4">
              <w:rPr>
                <w:color w:val="231F20"/>
                <w:spacing w:val="-8"/>
                <w:sz w:val="16"/>
                <w:szCs w:val="16"/>
              </w:rPr>
              <w:t xml:space="preserve">to </w:t>
            </w:r>
            <w:r w:rsidRPr="00B408A4">
              <w:rPr>
                <w:color w:val="231F20"/>
                <w:sz w:val="16"/>
                <w:szCs w:val="16"/>
              </w:rPr>
              <w:t>passing</w:t>
            </w:r>
            <w:r w:rsidRPr="00B408A4">
              <w:rPr>
                <w:color w:val="231F20"/>
                <w:spacing w:val="-2"/>
                <w:sz w:val="16"/>
                <w:szCs w:val="16"/>
              </w:rPr>
              <w:t xml:space="preserve"> </w:t>
            </w:r>
            <w:r w:rsidRPr="00B408A4">
              <w:rPr>
                <w:color w:val="231F20"/>
                <w:sz w:val="16"/>
                <w:szCs w:val="16"/>
              </w:rPr>
              <w:t>flows</w:t>
            </w:r>
          </w:p>
          <w:p w:rsidR="006A7A3F" w:rsidRPr="00B408A4" w:rsidRDefault="00BC7372">
            <w:pPr>
              <w:pStyle w:val="TableParagraph"/>
              <w:numPr>
                <w:ilvl w:val="0"/>
                <w:numId w:val="1173"/>
              </w:numPr>
              <w:tabs>
                <w:tab w:val="left" w:pos="305"/>
              </w:tabs>
              <w:spacing w:before="87" w:line="254" w:lineRule="auto"/>
              <w:ind w:right="292"/>
              <w:rPr>
                <w:sz w:val="16"/>
                <w:szCs w:val="16"/>
              </w:rPr>
            </w:pPr>
            <w:r w:rsidRPr="00B408A4">
              <w:rPr>
                <w:color w:val="231F20"/>
                <w:sz w:val="16"/>
                <w:szCs w:val="16"/>
              </w:rPr>
              <w:t>Irrigation releases likely</w:t>
            </w:r>
          </w:p>
        </w:tc>
        <w:tc>
          <w:tcPr>
            <w:tcW w:w="2041" w:type="dxa"/>
            <w:tcBorders>
              <w:top w:val="nil"/>
            </w:tcBorders>
          </w:tcPr>
          <w:p w:rsidR="006A7A3F" w:rsidRPr="00B408A4" w:rsidRDefault="00BC7372">
            <w:pPr>
              <w:pStyle w:val="TableParagraph"/>
              <w:numPr>
                <w:ilvl w:val="0"/>
                <w:numId w:val="1172"/>
              </w:numPr>
              <w:tabs>
                <w:tab w:val="left" w:pos="305"/>
              </w:tabs>
              <w:spacing w:before="70" w:line="254" w:lineRule="auto"/>
              <w:ind w:right="763"/>
              <w:rPr>
                <w:sz w:val="16"/>
                <w:szCs w:val="16"/>
              </w:rPr>
            </w:pPr>
            <w:r w:rsidRPr="00B408A4">
              <w:rPr>
                <w:color w:val="231F20"/>
                <w:sz w:val="16"/>
                <w:szCs w:val="16"/>
              </w:rPr>
              <w:t>Average streamflows</w:t>
            </w:r>
          </w:p>
          <w:p w:rsidR="006A7A3F" w:rsidRPr="00B408A4" w:rsidRDefault="00BC7372">
            <w:pPr>
              <w:pStyle w:val="TableParagraph"/>
              <w:numPr>
                <w:ilvl w:val="0"/>
                <w:numId w:val="1172"/>
              </w:numPr>
              <w:tabs>
                <w:tab w:val="left" w:pos="305"/>
              </w:tabs>
              <w:spacing w:before="87" w:line="254" w:lineRule="auto"/>
              <w:ind w:right="303"/>
              <w:rPr>
                <w:sz w:val="16"/>
                <w:szCs w:val="16"/>
              </w:rPr>
            </w:pPr>
            <w:r w:rsidRPr="00B408A4">
              <w:rPr>
                <w:color w:val="231F20"/>
                <w:sz w:val="16"/>
                <w:szCs w:val="16"/>
              </w:rPr>
              <w:t>Partial freshes naturally</w:t>
            </w:r>
            <w:r w:rsidRPr="00B408A4">
              <w:rPr>
                <w:color w:val="231F20"/>
                <w:spacing w:val="-13"/>
                <w:sz w:val="16"/>
                <w:szCs w:val="16"/>
              </w:rPr>
              <w:t xml:space="preserve"> </w:t>
            </w:r>
            <w:r w:rsidRPr="00B408A4">
              <w:rPr>
                <w:color w:val="231F20"/>
                <w:sz w:val="16"/>
                <w:szCs w:val="16"/>
              </w:rPr>
              <w:t>provided</w:t>
            </w:r>
          </w:p>
        </w:tc>
        <w:tc>
          <w:tcPr>
            <w:tcW w:w="2041" w:type="dxa"/>
            <w:tcBorders>
              <w:top w:val="nil"/>
            </w:tcBorders>
          </w:tcPr>
          <w:p w:rsidR="006A7A3F" w:rsidRPr="00B408A4" w:rsidRDefault="00BC7372">
            <w:pPr>
              <w:pStyle w:val="TableParagraph"/>
              <w:numPr>
                <w:ilvl w:val="0"/>
                <w:numId w:val="1171"/>
              </w:numPr>
              <w:tabs>
                <w:tab w:val="left" w:pos="305"/>
              </w:tabs>
              <w:spacing w:before="70" w:line="254" w:lineRule="auto"/>
              <w:ind w:right="503"/>
              <w:rPr>
                <w:sz w:val="16"/>
                <w:szCs w:val="16"/>
              </w:rPr>
            </w:pPr>
            <w:r w:rsidRPr="00B408A4">
              <w:rPr>
                <w:color w:val="231F20"/>
                <w:sz w:val="16"/>
                <w:szCs w:val="16"/>
              </w:rPr>
              <w:t>Above-average streamflows</w:t>
            </w:r>
          </w:p>
          <w:p w:rsidR="006A7A3F" w:rsidRPr="00B408A4" w:rsidRDefault="00BC7372">
            <w:pPr>
              <w:pStyle w:val="TableParagraph"/>
              <w:numPr>
                <w:ilvl w:val="0"/>
                <w:numId w:val="1171"/>
              </w:numPr>
              <w:tabs>
                <w:tab w:val="left" w:pos="305"/>
              </w:tabs>
              <w:spacing w:before="87" w:line="254" w:lineRule="auto"/>
              <w:ind w:right="82"/>
              <w:rPr>
                <w:sz w:val="16"/>
                <w:szCs w:val="16"/>
              </w:rPr>
            </w:pPr>
            <w:r w:rsidRPr="00B408A4">
              <w:rPr>
                <w:color w:val="231F20"/>
                <w:sz w:val="16"/>
                <w:szCs w:val="16"/>
              </w:rPr>
              <w:t>Partial or full freshes naturally</w:t>
            </w:r>
            <w:r w:rsidRPr="00B408A4">
              <w:rPr>
                <w:color w:val="231F20"/>
                <w:spacing w:val="-4"/>
                <w:sz w:val="16"/>
                <w:szCs w:val="16"/>
              </w:rPr>
              <w:t xml:space="preserve"> </w:t>
            </w:r>
            <w:r w:rsidRPr="00B408A4">
              <w:rPr>
                <w:color w:val="231F20"/>
                <w:sz w:val="16"/>
                <w:szCs w:val="16"/>
              </w:rPr>
              <w:t>provided</w:t>
            </w:r>
          </w:p>
          <w:p w:rsidR="006A7A3F" w:rsidRPr="00B408A4" w:rsidRDefault="00BC7372">
            <w:pPr>
              <w:pStyle w:val="TableParagraph"/>
              <w:numPr>
                <w:ilvl w:val="0"/>
                <w:numId w:val="1171"/>
              </w:numPr>
              <w:tabs>
                <w:tab w:val="left" w:pos="305"/>
              </w:tabs>
              <w:spacing w:before="86" w:line="254" w:lineRule="auto"/>
              <w:ind w:right="292"/>
              <w:rPr>
                <w:sz w:val="16"/>
                <w:szCs w:val="16"/>
              </w:rPr>
            </w:pPr>
            <w:r w:rsidRPr="00B408A4">
              <w:rPr>
                <w:color w:val="231F20"/>
                <w:sz w:val="16"/>
                <w:szCs w:val="16"/>
              </w:rPr>
              <w:t>Irrigation releases unlikely</w:t>
            </w:r>
          </w:p>
        </w:tc>
      </w:tr>
      <w:tr w:rsidR="006A7A3F" w:rsidTr="00C20B4E">
        <w:trPr>
          <w:trHeight w:val="533"/>
        </w:trPr>
        <w:tc>
          <w:tcPr>
            <w:tcW w:w="2041" w:type="dxa"/>
          </w:tcPr>
          <w:p w:rsidR="006A7A3F" w:rsidRDefault="00BC7372">
            <w:pPr>
              <w:pStyle w:val="TableParagraph"/>
              <w:spacing w:before="74" w:line="261" w:lineRule="auto"/>
              <w:ind w:left="85" w:right="111"/>
              <w:rPr>
                <w:sz w:val="16"/>
              </w:rPr>
            </w:pPr>
            <w:r>
              <w:rPr>
                <w:color w:val="231F20"/>
                <w:sz w:val="16"/>
              </w:rPr>
              <w:t>Expected availability of water for the environment</w:t>
            </w:r>
          </w:p>
        </w:tc>
        <w:tc>
          <w:tcPr>
            <w:tcW w:w="2041" w:type="dxa"/>
          </w:tcPr>
          <w:p w:rsidR="006A7A3F" w:rsidRPr="00B408A4" w:rsidRDefault="00BC7372">
            <w:pPr>
              <w:pStyle w:val="TableParagraph"/>
              <w:numPr>
                <w:ilvl w:val="0"/>
                <w:numId w:val="1170"/>
              </w:numPr>
              <w:tabs>
                <w:tab w:val="left" w:pos="305"/>
              </w:tabs>
              <w:spacing w:before="70"/>
              <w:rPr>
                <w:sz w:val="16"/>
                <w:szCs w:val="16"/>
              </w:rPr>
            </w:pPr>
            <w:r w:rsidRPr="00B408A4">
              <w:rPr>
                <w:color w:val="231F20"/>
                <w:sz w:val="16"/>
                <w:szCs w:val="16"/>
              </w:rPr>
              <w:t>1,700</w:t>
            </w:r>
            <w:r w:rsidRPr="00B408A4">
              <w:rPr>
                <w:color w:val="231F20"/>
                <w:spacing w:val="-2"/>
                <w:sz w:val="16"/>
                <w:szCs w:val="16"/>
              </w:rPr>
              <w:t xml:space="preserve"> </w:t>
            </w:r>
            <w:r w:rsidRPr="00B408A4">
              <w:rPr>
                <w:color w:val="231F20"/>
                <w:sz w:val="16"/>
                <w:szCs w:val="16"/>
              </w:rPr>
              <w:t>ML</w:t>
            </w:r>
          </w:p>
        </w:tc>
        <w:tc>
          <w:tcPr>
            <w:tcW w:w="2041" w:type="dxa"/>
          </w:tcPr>
          <w:p w:rsidR="006A7A3F" w:rsidRPr="00B408A4" w:rsidRDefault="00BC7372">
            <w:pPr>
              <w:pStyle w:val="TableParagraph"/>
              <w:numPr>
                <w:ilvl w:val="0"/>
                <w:numId w:val="1169"/>
              </w:numPr>
              <w:tabs>
                <w:tab w:val="left" w:pos="305"/>
              </w:tabs>
              <w:spacing w:before="70"/>
              <w:rPr>
                <w:sz w:val="16"/>
                <w:szCs w:val="16"/>
              </w:rPr>
            </w:pPr>
            <w:r w:rsidRPr="00B408A4">
              <w:rPr>
                <w:color w:val="231F20"/>
                <w:sz w:val="16"/>
                <w:szCs w:val="16"/>
              </w:rPr>
              <w:t>2,000–2,500</w:t>
            </w:r>
            <w:r w:rsidRPr="00B408A4">
              <w:rPr>
                <w:color w:val="231F20"/>
                <w:spacing w:val="-2"/>
                <w:sz w:val="16"/>
                <w:szCs w:val="16"/>
              </w:rPr>
              <w:t xml:space="preserve"> </w:t>
            </w:r>
            <w:r w:rsidRPr="00B408A4">
              <w:rPr>
                <w:color w:val="231F20"/>
                <w:sz w:val="16"/>
                <w:szCs w:val="16"/>
              </w:rPr>
              <w:t>ML</w:t>
            </w:r>
          </w:p>
        </w:tc>
        <w:tc>
          <w:tcPr>
            <w:tcW w:w="2041" w:type="dxa"/>
          </w:tcPr>
          <w:p w:rsidR="006A7A3F" w:rsidRPr="00B408A4" w:rsidRDefault="00BC7372">
            <w:pPr>
              <w:pStyle w:val="TableParagraph"/>
              <w:numPr>
                <w:ilvl w:val="0"/>
                <w:numId w:val="1168"/>
              </w:numPr>
              <w:tabs>
                <w:tab w:val="left" w:pos="305"/>
              </w:tabs>
              <w:spacing w:before="70"/>
              <w:rPr>
                <w:sz w:val="16"/>
                <w:szCs w:val="16"/>
              </w:rPr>
            </w:pPr>
            <w:r w:rsidRPr="00B408A4">
              <w:rPr>
                <w:color w:val="231F20"/>
                <w:sz w:val="16"/>
                <w:szCs w:val="16"/>
              </w:rPr>
              <w:t>2,500–3,500</w:t>
            </w:r>
            <w:r w:rsidRPr="00B408A4">
              <w:rPr>
                <w:color w:val="231F20"/>
                <w:spacing w:val="-2"/>
                <w:sz w:val="16"/>
                <w:szCs w:val="16"/>
              </w:rPr>
              <w:t xml:space="preserve"> </w:t>
            </w:r>
            <w:r w:rsidRPr="00B408A4">
              <w:rPr>
                <w:color w:val="231F20"/>
                <w:sz w:val="16"/>
                <w:szCs w:val="16"/>
              </w:rPr>
              <w:t>ML</w:t>
            </w:r>
          </w:p>
        </w:tc>
        <w:tc>
          <w:tcPr>
            <w:tcW w:w="2041" w:type="dxa"/>
          </w:tcPr>
          <w:p w:rsidR="006A7A3F" w:rsidRPr="00B408A4" w:rsidRDefault="00BC7372">
            <w:pPr>
              <w:pStyle w:val="TableParagraph"/>
              <w:numPr>
                <w:ilvl w:val="0"/>
                <w:numId w:val="1167"/>
              </w:numPr>
              <w:tabs>
                <w:tab w:val="left" w:pos="305"/>
              </w:tabs>
              <w:spacing w:before="70"/>
              <w:rPr>
                <w:sz w:val="16"/>
                <w:szCs w:val="16"/>
              </w:rPr>
            </w:pPr>
            <w:r w:rsidRPr="00B408A4">
              <w:rPr>
                <w:color w:val="231F20"/>
                <w:sz w:val="16"/>
                <w:szCs w:val="16"/>
              </w:rPr>
              <w:t>3,800–5,000</w:t>
            </w:r>
            <w:r w:rsidRPr="00B408A4">
              <w:rPr>
                <w:color w:val="231F20"/>
                <w:spacing w:val="-2"/>
                <w:sz w:val="16"/>
                <w:szCs w:val="16"/>
              </w:rPr>
              <w:t xml:space="preserve"> </w:t>
            </w:r>
            <w:r w:rsidRPr="00B408A4">
              <w:rPr>
                <w:color w:val="231F20"/>
                <w:sz w:val="16"/>
                <w:szCs w:val="16"/>
              </w:rPr>
              <w:t>ML</w:t>
            </w:r>
          </w:p>
        </w:tc>
      </w:tr>
      <w:tr w:rsidR="006A7A3F" w:rsidTr="00C20B4E">
        <w:trPr>
          <w:trHeight w:val="2142"/>
        </w:trPr>
        <w:tc>
          <w:tcPr>
            <w:tcW w:w="2041" w:type="dxa"/>
          </w:tcPr>
          <w:p w:rsidR="006A7A3F" w:rsidRDefault="00BC7372">
            <w:pPr>
              <w:pStyle w:val="TableParagraph"/>
              <w:spacing w:before="74" w:line="261" w:lineRule="auto"/>
              <w:ind w:left="85" w:right="272"/>
              <w:jc w:val="both"/>
              <w:rPr>
                <w:sz w:val="16"/>
              </w:rPr>
            </w:pPr>
            <w:r>
              <w:rPr>
                <w:color w:val="231F20"/>
                <w:sz w:val="16"/>
              </w:rPr>
              <w:t>Potential environmental watering – tier 1a (high priorities)</w:t>
            </w:r>
          </w:p>
        </w:tc>
        <w:tc>
          <w:tcPr>
            <w:tcW w:w="2041" w:type="dxa"/>
          </w:tcPr>
          <w:p w:rsidR="006A7A3F" w:rsidRPr="00B408A4" w:rsidRDefault="00BC7372">
            <w:pPr>
              <w:pStyle w:val="TableParagraph"/>
              <w:numPr>
                <w:ilvl w:val="0"/>
                <w:numId w:val="1166"/>
              </w:numPr>
              <w:tabs>
                <w:tab w:val="left" w:pos="305"/>
              </w:tabs>
              <w:spacing w:before="70" w:line="254" w:lineRule="auto"/>
              <w:ind w:right="423"/>
              <w:rPr>
                <w:sz w:val="16"/>
                <w:szCs w:val="16"/>
              </w:rPr>
            </w:pPr>
            <w:r w:rsidRPr="00B408A4">
              <w:rPr>
                <w:color w:val="231F20"/>
                <w:sz w:val="16"/>
                <w:szCs w:val="16"/>
              </w:rPr>
              <w:t>One to three summer/autumn freshes</w:t>
            </w:r>
          </w:p>
        </w:tc>
        <w:tc>
          <w:tcPr>
            <w:tcW w:w="2041" w:type="dxa"/>
          </w:tcPr>
          <w:p w:rsidR="006A7A3F" w:rsidRPr="00B408A4" w:rsidRDefault="00BC7372">
            <w:pPr>
              <w:pStyle w:val="TableParagraph"/>
              <w:numPr>
                <w:ilvl w:val="0"/>
                <w:numId w:val="1165"/>
              </w:numPr>
              <w:tabs>
                <w:tab w:val="left" w:pos="305"/>
              </w:tabs>
              <w:spacing w:before="70" w:line="254" w:lineRule="auto"/>
              <w:ind w:right="423"/>
              <w:rPr>
                <w:sz w:val="16"/>
                <w:szCs w:val="16"/>
              </w:rPr>
            </w:pPr>
            <w:r w:rsidRPr="00B408A4">
              <w:rPr>
                <w:color w:val="231F20"/>
                <w:sz w:val="16"/>
                <w:szCs w:val="16"/>
              </w:rPr>
              <w:t>One to three summer/autumn freshes</w:t>
            </w:r>
          </w:p>
          <w:p w:rsidR="006A7A3F" w:rsidRPr="00B408A4" w:rsidRDefault="00BC7372">
            <w:pPr>
              <w:pStyle w:val="TableParagraph"/>
              <w:numPr>
                <w:ilvl w:val="0"/>
                <w:numId w:val="1165"/>
              </w:numPr>
              <w:tabs>
                <w:tab w:val="left" w:pos="305"/>
              </w:tabs>
              <w:spacing w:before="87" w:line="254" w:lineRule="auto"/>
              <w:ind w:right="413"/>
              <w:rPr>
                <w:sz w:val="16"/>
                <w:szCs w:val="16"/>
              </w:rPr>
            </w:pPr>
            <w:r w:rsidRPr="00B408A4">
              <w:rPr>
                <w:color w:val="231F20"/>
                <w:sz w:val="16"/>
                <w:szCs w:val="16"/>
              </w:rPr>
              <w:t>One autumn high flow (partial achievement)</w:t>
            </w:r>
          </w:p>
        </w:tc>
        <w:tc>
          <w:tcPr>
            <w:tcW w:w="2041" w:type="dxa"/>
          </w:tcPr>
          <w:p w:rsidR="006A7A3F" w:rsidRPr="00B408A4" w:rsidRDefault="00BC7372">
            <w:pPr>
              <w:pStyle w:val="TableParagraph"/>
              <w:numPr>
                <w:ilvl w:val="0"/>
                <w:numId w:val="1164"/>
              </w:numPr>
              <w:tabs>
                <w:tab w:val="left" w:pos="305"/>
              </w:tabs>
              <w:spacing w:before="70" w:line="254" w:lineRule="auto"/>
              <w:ind w:right="103"/>
              <w:rPr>
                <w:sz w:val="16"/>
                <w:szCs w:val="16"/>
              </w:rPr>
            </w:pPr>
            <w:r w:rsidRPr="00B408A4">
              <w:rPr>
                <w:color w:val="231F20"/>
                <w:sz w:val="16"/>
                <w:szCs w:val="16"/>
              </w:rPr>
              <w:t xml:space="preserve">One to five </w:t>
            </w:r>
            <w:r w:rsidRPr="00B408A4">
              <w:rPr>
                <w:color w:val="231F20"/>
                <w:spacing w:val="-3"/>
                <w:sz w:val="16"/>
                <w:szCs w:val="16"/>
              </w:rPr>
              <w:t xml:space="preserve">summer/ </w:t>
            </w:r>
            <w:r w:rsidRPr="00B408A4">
              <w:rPr>
                <w:color w:val="231F20"/>
                <w:sz w:val="16"/>
                <w:szCs w:val="16"/>
              </w:rPr>
              <w:t>autumn</w:t>
            </w:r>
            <w:r w:rsidRPr="00B408A4">
              <w:rPr>
                <w:color w:val="231F20"/>
                <w:spacing w:val="-2"/>
                <w:sz w:val="16"/>
                <w:szCs w:val="16"/>
              </w:rPr>
              <w:t xml:space="preserve"> </w:t>
            </w:r>
            <w:r w:rsidRPr="00B408A4">
              <w:rPr>
                <w:color w:val="231F20"/>
                <w:sz w:val="16"/>
                <w:szCs w:val="16"/>
              </w:rPr>
              <w:t>freshes</w:t>
            </w:r>
          </w:p>
          <w:p w:rsidR="006A7A3F" w:rsidRPr="00B408A4" w:rsidRDefault="00BC7372">
            <w:pPr>
              <w:pStyle w:val="TableParagraph"/>
              <w:numPr>
                <w:ilvl w:val="0"/>
                <w:numId w:val="1164"/>
              </w:numPr>
              <w:tabs>
                <w:tab w:val="left" w:pos="305"/>
              </w:tabs>
              <w:spacing w:before="87" w:line="254" w:lineRule="auto"/>
              <w:ind w:right="413"/>
              <w:rPr>
                <w:sz w:val="16"/>
                <w:szCs w:val="16"/>
              </w:rPr>
            </w:pPr>
            <w:r w:rsidRPr="00B408A4">
              <w:rPr>
                <w:color w:val="231F20"/>
                <w:sz w:val="16"/>
                <w:szCs w:val="16"/>
              </w:rPr>
              <w:t>One autumn high flow (partial achievement)</w:t>
            </w:r>
          </w:p>
          <w:p w:rsidR="006A7A3F" w:rsidRPr="00B408A4" w:rsidRDefault="00BC7372">
            <w:pPr>
              <w:pStyle w:val="TableParagraph"/>
              <w:numPr>
                <w:ilvl w:val="0"/>
                <w:numId w:val="1164"/>
              </w:numPr>
              <w:tabs>
                <w:tab w:val="left" w:pos="305"/>
              </w:tabs>
              <w:spacing w:before="86" w:line="254" w:lineRule="auto"/>
              <w:ind w:right="413"/>
              <w:rPr>
                <w:sz w:val="16"/>
                <w:szCs w:val="16"/>
              </w:rPr>
            </w:pPr>
            <w:r w:rsidRPr="00B408A4">
              <w:rPr>
                <w:color w:val="231F20"/>
                <w:sz w:val="16"/>
                <w:szCs w:val="16"/>
              </w:rPr>
              <w:t>Winter/spring high flow (partial achievement)</w:t>
            </w:r>
          </w:p>
        </w:tc>
        <w:tc>
          <w:tcPr>
            <w:tcW w:w="2041" w:type="dxa"/>
          </w:tcPr>
          <w:p w:rsidR="006A7A3F" w:rsidRPr="00B408A4" w:rsidRDefault="00BC7372">
            <w:pPr>
              <w:pStyle w:val="TableParagraph"/>
              <w:numPr>
                <w:ilvl w:val="0"/>
                <w:numId w:val="1163"/>
              </w:numPr>
              <w:tabs>
                <w:tab w:val="left" w:pos="305"/>
              </w:tabs>
              <w:spacing w:before="70" w:line="254" w:lineRule="auto"/>
              <w:ind w:right="103"/>
              <w:rPr>
                <w:sz w:val="16"/>
                <w:szCs w:val="16"/>
              </w:rPr>
            </w:pPr>
            <w:r w:rsidRPr="00B408A4">
              <w:rPr>
                <w:color w:val="231F20"/>
                <w:sz w:val="16"/>
                <w:szCs w:val="16"/>
              </w:rPr>
              <w:t xml:space="preserve">One to five </w:t>
            </w:r>
            <w:r w:rsidRPr="00B408A4">
              <w:rPr>
                <w:color w:val="231F20"/>
                <w:spacing w:val="-3"/>
                <w:sz w:val="16"/>
                <w:szCs w:val="16"/>
              </w:rPr>
              <w:t xml:space="preserve">summer/ </w:t>
            </w:r>
            <w:r w:rsidRPr="00B408A4">
              <w:rPr>
                <w:color w:val="231F20"/>
                <w:sz w:val="16"/>
                <w:szCs w:val="16"/>
              </w:rPr>
              <w:t>autumn</w:t>
            </w:r>
            <w:r w:rsidRPr="00B408A4">
              <w:rPr>
                <w:color w:val="231F20"/>
                <w:spacing w:val="-2"/>
                <w:sz w:val="16"/>
                <w:szCs w:val="16"/>
              </w:rPr>
              <w:t xml:space="preserve"> </w:t>
            </w:r>
            <w:r w:rsidRPr="00B408A4">
              <w:rPr>
                <w:color w:val="231F20"/>
                <w:sz w:val="16"/>
                <w:szCs w:val="16"/>
              </w:rPr>
              <w:t>freshes</w:t>
            </w:r>
          </w:p>
          <w:p w:rsidR="006A7A3F" w:rsidRPr="00B408A4" w:rsidRDefault="00BC7372">
            <w:pPr>
              <w:pStyle w:val="TableParagraph"/>
              <w:numPr>
                <w:ilvl w:val="0"/>
                <w:numId w:val="1163"/>
              </w:numPr>
              <w:tabs>
                <w:tab w:val="left" w:pos="305"/>
              </w:tabs>
              <w:spacing w:before="87" w:line="254" w:lineRule="auto"/>
              <w:ind w:right="343"/>
              <w:rPr>
                <w:sz w:val="16"/>
                <w:szCs w:val="16"/>
              </w:rPr>
            </w:pPr>
            <w:r w:rsidRPr="00B408A4">
              <w:rPr>
                <w:color w:val="231F20"/>
                <w:sz w:val="16"/>
                <w:szCs w:val="16"/>
              </w:rPr>
              <w:t>One autumn high flow</w:t>
            </w:r>
          </w:p>
          <w:p w:rsidR="006A7A3F" w:rsidRPr="00B408A4" w:rsidRDefault="00BC7372">
            <w:pPr>
              <w:pStyle w:val="TableParagraph"/>
              <w:numPr>
                <w:ilvl w:val="0"/>
                <w:numId w:val="1163"/>
              </w:numPr>
              <w:tabs>
                <w:tab w:val="left" w:pos="305"/>
              </w:tabs>
              <w:spacing w:before="86" w:line="254" w:lineRule="auto"/>
              <w:ind w:right="273"/>
              <w:rPr>
                <w:sz w:val="16"/>
                <w:szCs w:val="16"/>
              </w:rPr>
            </w:pPr>
            <w:r w:rsidRPr="00B408A4">
              <w:rPr>
                <w:color w:val="231F20"/>
                <w:sz w:val="16"/>
                <w:szCs w:val="16"/>
              </w:rPr>
              <w:t xml:space="preserve">Winter/spring </w:t>
            </w:r>
            <w:r w:rsidRPr="00B408A4">
              <w:rPr>
                <w:color w:val="231F20"/>
                <w:spacing w:val="-4"/>
                <w:sz w:val="16"/>
                <w:szCs w:val="16"/>
              </w:rPr>
              <w:t xml:space="preserve">high </w:t>
            </w:r>
            <w:r w:rsidRPr="00B408A4">
              <w:rPr>
                <w:color w:val="231F20"/>
                <w:sz w:val="16"/>
                <w:szCs w:val="16"/>
              </w:rPr>
              <w:t>flow</w:t>
            </w:r>
          </w:p>
          <w:p w:rsidR="006A7A3F" w:rsidRPr="00B408A4" w:rsidRDefault="00BC7372">
            <w:pPr>
              <w:pStyle w:val="TableParagraph"/>
              <w:numPr>
                <w:ilvl w:val="0"/>
                <w:numId w:val="1163"/>
              </w:numPr>
              <w:tabs>
                <w:tab w:val="left" w:pos="305"/>
              </w:tabs>
              <w:spacing w:before="86" w:line="254" w:lineRule="auto"/>
              <w:ind w:right="273"/>
              <w:rPr>
                <w:sz w:val="16"/>
                <w:szCs w:val="16"/>
              </w:rPr>
            </w:pPr>
            <w:r w:rsidRPr="00B408A4">
              <w:rPr>
                <w:color w:val="231F20"/>
                <w:sz w:val="16"/>
                <w:szCs w:val="16"/>
              </w:rPr>
              <w:t>One to two winter/ spring freshes</w:t>
            </w:r>
          </w:p>
        </w:tc>
      </w:tr>
      <w:tr w:rsidR="006A7A3F" w:rsidTr="00C20B4E">
        <w:trPr>
          <w:trHeight w:val="1532"/>
        </w:trPr>
        <w:tc>
          <w:tcPr>
            <w:tcW w:w="2041" w:type="dxa"/>
          </w:tcPr>
          <w:p w:rsidR="006A7A3F" w:rsidRDefault="00BC7372">
            <w:pPr>
              <w:pStyle w:val="TableParagraph"/>
              <w:spacing w:before="74" w:line="261" w:lineRule="auto"/>
              <w:ind w:left="85" w:right="272"/>
              <w:jc w:val="both"/>
              <w:rPr>
                <w:sz w:val="16"/>
              </w:rPr>
            </w:pPr>
            <w:r>
              <w:rPr>
                <w:color w:val="231F20"/>
                <w:sz w:val="16"/>
              </w:rPr>
              <w:t>Potential environmental watering – tier 1b (high priorities with shortfall)</w:t>
            </w:r>
          </w:p>
        </w:tc>
        <w:tc>
          <w:tcPr>
            <w:tcW w:w="2041" w:type="dxa"/>
          </w:tcPr>
          <w:p w:rsidR="006A7A3F" w:rsidRPr="00B408A4" w:rsidRDefault="00BC7372">
            <w:pPr>
              <w:pStyle w:val="TableParagraph"/>
              <w:numPr>
                <w:ilvl w:val="0"/>
                <w:numId w:val="1162"/>
              </w:numPr>
              <w:tabs>
                <w:tab w:val="left" w:pos="305"/>
              </w:tabs>
              <w:spacing w:before="70" w:line="254" w:lineRule="auto"/>
              <w:ind w:right="413"/>
              <w:rPr>
                <w:sz w:val="16"/>
                <w:szCs w:val="16"/>
              </w:rPr>
            </w:pPr>
            <w:r w:rsidRPr="00B408A4">
              <w:rPr>
                <w:color w:val="231F20"/>
                <w:sz w:val="16"/>
                <w:szCs w:val="16"/>
              </w:rPr>
              <w:t>Winter/spring high flow (partial achievement)</w:t>
            </w:r>
          </w:p>
          <w:p w:rsidR="006A7A3F" w:rsidRPr="00B408A4" w:rsidRDefault="00BC7372">
            <w:pPr>
              <w:pStyle w:val="TableParagraph"/>
              <w:numPr>
                <w:ilvl w:val="0"/>
                <w:numId w:val="1162"/>
              </w:numPr>
              <w:tabs>
                <w:tab w:val="left" w:pos="305"/>
              </w:tabs>
              <w:spacing w:before="87" w:line="254" w:lineRule="auto"/>
              <w:ind w:right="643"/>
              <w:rPr>
                <w:sz w:val="16"/>
                <w:szCs w:val="16"/>
              </w:rPr>
            </w:pPr>
            <w:r w:rsidRPr="00B408A4">
              <w:rPr>
                <w:color w:val="231F20"/>
                <w:sz w:val="16"/>
                <w:szCs w:val="16"/>
              </w:rPr>
              <w:t xml:space="preserve">One autumn high (partial </w:t>
            </w:r>
            <w:r w:rsidRPr="00B408A4">
              <w:rPr>
                <w:color w:val="231F20"/>
                <w:spacing w:val="-1"/>
                <w:sz w:val="16"/>
                <w:szCs w:val="16"/>
              </w:rPr>
              <w:t>achievement)</w:t>
            </w:r>
          </w:p>
        </w:tc>
        <w:tc>
          <w:tcPr>
            <w:tcW w:w="2041" w:type="dxa"/>
          </w:tcPr>
          <w:p w:rsidR="006A7A3F" w:rsidRPr="00B408A4" w:rsidRDefault="00BC7372">
            <w:pPr>
              <w:pStyle w:val="TableParagraph"/>
              <w:numPr>
                <w:ilvl w:val="0"/>
                <w:numId w:val="1161"/>
              </w:numPr>
              <w:tabs>
                <w:tab w:val="left" w:pos="305"/>
              </w:tabs>
              <w:spacing w:before="70" w:line="254" w:lineRule="auto"/>
              <w:ind w:right="413"/>
              <w:rPr>
                <w:sz w:val="16"/>
                <w:szCs w:val="16"/>
              </w:rPr>
            </w:pPr>
            <w:r w:rsidRPr="00B408A4">
              <w:rPr>
                <w:color w:val="231F20"/>
                <w:sz w:val="16"/>
                <w:szCs w:val="16"/>
              </w:rPr>
              <w:t>Winter/spring high flow (partial achievement)</w:t>
            </w:r>
          </w:p>
          <w:p w:rsidR="006A7A3F" w:rsidRPr="00B408A4" w:rsidRDefault="00BC7372">
            <w:pPr>
              <w:pStyle w:val="TableParagraph"/>
              <w:numPr>
                <w:ilvl w:val="0"/>
                <w:numId w:val="1161"/>
              </w:numPr>
              <w:tabs>
                <w:tab w:val="left" w:pos="305"/>
              </w:tabs>
              <w:spacing w:before="87" w:line="254" w:lineRule="auto"/>
              <w:ind w:right="273"/>
              <w:rPr>
                <w:sz w:val="16"/>
                <w:szCs w:val="16"/>
              </w:rPr>
            </w:pPr>
            <w:r w:rsidRPr="00B408A4">
              <w:rPr>
                <w:color w:val="231F20"/>
                <w:sz w:val="16"/>
                <w:szCs w:val="16"/>
              </w:rPr>
              <w:t>One to two winter/ spring freshes</w:t>
            </w:r>
          </w:p>
        </w:tc>
        <w:tc>
          <w:tcPr>
            <w:tcW w:w="2041" w:type="dxa"/>
          </w:tcPr>
          <w:p w:rsidR="006A7A3F" w:rsidRPr="00B408A4" w:rsidRDefault="00BC7372">
            <w:pPr>
              <w:pStyle w:val="TableParagraph"/>
              <w:numPr>
                <w:ilvl w:val="0"/>
                <w:numId w:val="1160"/>
              </w:numPr>
              <w:tabs>
                <w:tab w:val="left" w:pos="305"/>
              </w:tabs>
              <w:spacing w:before="70" w:line="254" w:lineRule="auto"/>
              <w:ind w:right="272"/>
              <w:rPr>
                <w:sz w:val="16"/>
                <w:szCs w:val="16"/>
              </w:rPr>
            </w:pPr>
            <w:r w:rsidRPr="00B408A4">
              <w:rPr>
                <w:color w:val="231F20"/>
                <w:sz w:val="16"/>
                <w:szCs w:val="16"/>
              </w:rPr>
              <w:t xml:space="preserve">Winter/spring </w:t>
            </w:r>
            <w:r w:rsidRPr="00B408A4">
              <w:rPr>
                <w:color w:val="231F20"/>
                <w:spacing w:val="-4"/>
                <w:sz w:val="16"/>
                <w:szCs w:val="16"/>
              </w:rPr>
              <w:t xml:space="preserve">high </w:t>
            </w:r>
            <w:r w:rsidRPr="00B408A4">
              <w:rPr>
                <w:color w:val="231F20"/>
                <w:sz w:val="16"/>
                <w:szCs w:val="16"/>
              </w:rPr>
              <w:t>flow</w:t>
            </w:r>
          </w:p>
          <w:p w:rsidR="006A7A3F" w:rsidRPr="00B408A4" w:rsidRDefault="00BC7372">
            <w:pPr>
              <w:pStyle w:val="TableParagraph"/>
              <w:numPr>
                <w:ilvl w:val="0"/>
                <w:numId w:val="1160"/>
              </w:numPr>
              <w:tabs>
                <w:tab w:val="left" w:pos="305"/>
              </w:tabs>
              <w:spacing w:before="87" w:line="254" w:lineRule="auto"/>
              <w:ind w:right="273"/>
              <w:rPr>
                <w:sz w:val="16"/>
                <w:szCs w:val="16"/>
              </w:rPr>
            </w:pPr>
            <w:r w:rsidRPr="00B408A4">
              <w:rPr>
                <w:color w:val="231F20"/>
                <w:sz w:val="16"/>
                <w:szCs w:val="16"/>
              </w:rPr>
              <w:t>One to two winter/ spring freshes</w:t>
            </w:r>
          </w:p>
        </w:tc>
        <w:tc>
          <w:tcPr>
            <w:tcW w:w="2041" w:type="dxa"/>
          </w:tcPr>
          <w:p w:rsidR="006A7A3F" w:rsidRPr="00B408A4" w:rsidRDefault="00BC7372">
            <w:pPr>
              <w:pStyle w:val="TableParagraph"/>
              <w:numPr>
                <w:ilvl w:val="0"/>
                <w:numId w:val="1159"/>
              </w:numPr>
              <w:tabs>
                <w:tab w:val="left" w:pos="305"/>
              </w:tabs>
              <w:spacing w:before="70"/>
              <w:rPr>
                <w:sz w:val="16"/>
                <w:szCs w:val="16"/>
              </w:rPr>
            </w:pPr>
            <w:r w:rsidRPr="00B408A4">
              <w:rPr>
                <w:color w:val="231F20"/>
                <w:sz w:val="16"/>
                <w:szCs w:val="16"/>
              </w:rPr>
              <w:t>N/A</w:t>
            </w:r>
          </w:p>
        </w:tc>
      </w:tr>
      <w:tr w:rsidR="00C20B4E" w:rsidTr="00C20B4E">
        <w:trPr>
          <w:trHeight w:val="1532"/>
        </w:trPr>
        <w:tc>
          <w:tcPr>
            <w:tcW w:w="2041" w:type="dxa"/>
          </w:tcPr>
          <w:p w:rsidR="00C20B4E" w:rsidRDefault="00C20B4E" w:rsidP="00C20B4E">
            <w:pPr>
              <w:pStyle w:val="TableParagraph"/>
              <w:spacing w:before="67" w:line="261" w:lineRule="auto"/>
              <w:ind w:left="85" w:right="253"/>
              <w:rPr>
                <w:sz w:val="16"/>
              </w:rPr>
            </w:pPr>
            <w:r>
              <w:rPr>
                <w:color w:val="231F20"/>
                <w:sz w:val="16"/>
              </w:rPr>
              <w:t>Potential environmental watering – tier 2 (additional priorities)</w:t>
            </w:r>
          </w:p>
        </w:tc>
        <w:tc>
          <w:tcPr>
            <w:tcW w:w="2041" w:type="dxa"/>
          </w:tcPr>
          <w:p w:rsidR="00C20B4E" w:rsidRPr="00B408A4" w:rsidRDefault="00C20B4E" w:rsidP="00C20B4E">
            <w:pPr>
              <w:pStyle w:val="TableParagraph"/>
              <w:numPr>
                <w:ilvl w:val="0"/>
                <w:numId w:val="1158"/>
              </w:numPr>
              <w:tabs>
                <w:tab w:val="left" w:pos="305"/>
              </w:tabs>
              <w:spacing w:before="63" w:line="254" w:lineRule="auto"/>
              <w:ind w:right="343"/>
              <w:rPr>
                <w:sz w:val="16"/>
                <w:szCs w:val="16"/>
              </w:rPr>
            </w:pPr>
            <w:r w:rsidRPr="00B408A4">
              <w:rPr>
                <w:color w:val="231F20"/>
                <w:sz w:val="16"/>
                <w:szCs w:val="16"/>
              </w:rPr>
              <w:t>One autumn high flow</w:t>
            </w:r>
          </w:p>
          <w:p w:rsidR="00C20B4E" w:rsidRPr="00B408A4" w:rsidRDefault="00C20B4E" w:rsidP="00C20B4E">
            <w:pPr>
              <w:pStyle w:val="TableParagraph"/>
              <w:numPr>
                <w:ilvl w:val="0"/>
                <w:numId w:val="1158"/>
              </w:numPr>
              <w:tabs>
                <w:tab w:val="left" w:pos="305"/>
              </w:tabs>
              <w:spacing w:before="86" w:line="254" w:lineRule="auto"/>
              <w:ind w:right="273"/>
              <w:rPr>
                <w:sz w:val="16"/>
                <w:szCs w:val="16"/>
              </w:rPr>
            </w:pPr>
            <w:r w:rsidRPr="00B408A4">
              <w:rPr>
                <w:color w:val="231F20"/>
                <w:sz w:val="16"/>
                <w:szCs w:val="16"/>
              </w:rPr>
              <w:t>One to two winter/ spring high</w:t>
            </w:r>
            <w:r w:rsidRPr="00B408A4">
              <w:rPr>
                <w:color w:val="231F20"/>
                <w:spacing w:val="-2"/>
                <w:sz w:val="16"/>
                <w:szCs w:val="16"/>
              </w:rPr>
              <w:t xml:space="preserve"> </w:t>
            </w:r>
            <w:r w:rsidRPr="00B408A4">
              <w:rPr>
                <w:color w:val="231F20"/>
                <w:sz w:val="16"/>
                <w:szCs w:val="16"/>
              </w:rPr>
              <w:t>flow</w:t>
            </w:r>
          </w:p>
          <w:p w:rsidR="00C20B4E" w:rsidRPr="00B408A4" w:rsidRDefault="00C20B4E" w:rsidP="00C20B4E">
            <w:pPr>
              <w:pStyle w:val="TableParagraph"/>
              <w:numPr>
                <w:ilvl w:val="0"/>
                <w:numId w:val="1158"/>
              </w:numPr>
              <w:tabs>
                <w:tab w:val="left" w:pos="305"/>
              </w:tabs>
              <w:spacing w:before="86" w:line="254" w:lineRule="auto"/>
              <w:ind w:right="273"/>
              <w:rPr>
                <w:sz w:val="16"/>
                <w:szCs w:val="16"/>
              </w:rPr>
            </w:pPr>
            <w:r w:rsidRPr="00B408A4">
              <w:rPr>
                <w:color w:val="231F20"/>
                <w:sz w:val="16"/>
                <w:szCs w:val="16"/>
              </w:rPr>
              <w:t>One to two winter/ spring freshes</w:t>
            </w:r>
          </w:p>
        </w:tc>
        <w:tc>
          <w:tcPr>
            <w:tcW w:w="2041" w:type="dxa"/>
          </w:tcPr>
          <w:p w:rsidR="00C20B4E" w:rsidRPr="00B408A4" w:rsidRDefault="00C20B4E" w:rsidP="00C20B4E">
            <w:pPr>
              <w:pStyle w:val="TableParagraph"/>
              <w:numPr>
                <w:ilvl w:val="0"/>
                <w:numId w:val="1157"/>
              </w:numPr>
              <w:tabs>
                <w:tab w:val="left" w:pos="305"/>
              </w:tabs>
              <w:spacing w:before="63" w:line="254" w:lineRule="auto"/>
              <w:ind w:right="343"/>
              <w:rPr>
                <w:sz w:val="16"/>
                <w:szCs w:val="16"/>
              </w:rPr>
            </w:pPr>
            <w:r w:rsidRPr="00B408A4">
              <w:rPr>
                <w:color w:val="231F20"/>
                <w:sz w:val="16"/>
                <w:szCs w:val="16"/>
              </w:rPr>
              <w:t>One autumn high flow</w:t>
            </w:r>
          </w:p>
          <w:p w:rsidR="00C20B4E" w:rsidRPr="00B408A4" w:rsidRDefault="00C20B4E" w:rsidP="00C20B4E">
            <w:pPr>
              <w:pStyle w:val="TableParagraph"/>
              <w:numPr>
                <w:ilvl w:val="0"/>
                <w:numId w:val="1157"/>
              </w:numPr>
              <w:tabs>
                <w:tab w:val="left" w:pos="305"/>
              </w:tabs>
              <w:spacing w:before="86" w:line="254" w:lineRule="auto"/>
              <w:ind w:right="273"/>
              <w:rPr>
                <w:sz w:val="16"/>
                <w:szCs w:val="16"/>
              </w:rPr>
            </w:pPr>
            <w:r w:rsidRPr="00B408A4">
              <w:rPr>
                <w:color w:val="231F20"/>
                <w:sz w:val="16"/>
                <w:szCs w:val="16"/>
              </w:rPr>
              <w:t>One to two winter/ spring high</w:t>
            </w:r>
            <w:r w:rsidRPr="00B408A4">
              <w:rPr>
                <w:color w:val="231F20"/>
                <w:spacing w:val="-3"/>
                <w:sz w:val="16"/>
                <w:szCs w:val="16"/>
              </w:rPr>
              <w:t xml:space="preserve"> </w:t>
            </w:r>
            <w:r w:rsidRPr="00B408A4">
              <w:rPr>
                <w:color w:val="231F20"/>
                <w:sz w:val="16"/>
                <w:szCs w:val="16"/>
              </w:rPr>
              <w:t>flows</w:t>
            </w:r>
          </w:p>
        </w:tc>
        <w:tc>
          <w:tcPr>
            <w:tcW w:w="2041" w:type="dxa"/>
          </w:tcPr>
          <w:p w:rsidR="00C20B4E" w:rsidRPr="00B408A4" w:rsidRDefault="00C20B4E" w:rsidP="00C20B4E">
            <w:pPr>
              <w:pStyle w:val="TableParagraph"/>
              <w:numPr>
                <w:ilvl w:val="0"/>
                <w:numId w:val="1156"/>
              </w:numPr>
              <w:tabs>
                <w:tab w:val="left" w:pos="305"/>
              </w:tabs>
              <w:spacing w:before="63" w:line="254" w:lineRule="auto"/>
              <w:ind w:right="343"/>
              <w:rPr>
                <w:sz w:val="16"/>
                <w:szCs w:val="16"/>
              </w:rPr>
            </w:pPr>
            <w:r w:rsidRPr="00B408A4">
              <w:rPr>
                <w:color w:val="231F20"/>
                <w:sz w:val="16"/>
                <w:szCs w:val="16"/>
              </w:rPr>
              <w:t>One autumn high flow</w:t>
            </w:r>
          </w:p>
        </w:tc>
        <w:tc>
          <w:tcPr>
            <w:tcW w:w="2041" w:type="dxa"/>
          </w:tcPr>
          <w:p w:rsidR="00C20B4E" w:rsidRPr="00B408A4" w:rsidRDefault="00C20B4E" w:rsidP="00C20B4E">
            <w:pPr>
              <w:pStyle w:val="TableParagraph"/>
              <w:numPr>
                <w:ilvl w:val="0"/>
                <w:numId w:val="1155"/>
              </w:numPr>
              <w:tabs>
                <w:tab w:val="left" w:pos="305"/>
              </w:tabs>
              <w:spacing w:before="63"/>
              <w:rPr>
                <w:sz w:val="16"/>
                <w:szCs w:val="16"/>
              </w:rPr>
            </w:pPr>
            <w:r w:rsidRPr="00B408A4">
              <w:rPr>
                <w:color w:val="231F20"/>
                <w:sz w:val="16"/>
                <w:szCs w:val="16"/>
              </w:rPr>
              <w:t>N/A</w:t>
            </w:r>
          </w:p>
        </w:tc>
      </w:tr>
      <w:tr w:rsidR="00C20B4E" w:rsidTr="00C20B4E">
        <w:trPr>
          <w:trHeight w:val="1532"/>
        </w:trPr>
        <w:tc>
          <w:tcPr>
            <w:tcW w:w="2041" w:type="dxa"/>
          </w:tcPr>
          <w:p w:rsidR="00C20B4E" w:rsidRDefault="00C20B4E" w:rsidP="00C20B4E">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1</w:t>
            </w:r>
          </w:p>
        </w:tc>
        <w:tc>
          <w:tcPr>
            <w:tcW w:w="2041" w:type="dxa"/>
          </w:tcPr>
          <w:p w:rsidR="00C20B4E" w:rsidRPr="00B408A4" w:rsidRDefault="00C20B4E" w:rsidP="00C20B4E">
            <w:pPr>
              <w:pStyle w:val="TableParagraph"/>
              <w:numPr>
                <w:ilvl w:val="0"/>
                <w:numId w:val="1154"/>
              </w:numPr>
              <w:tabs>
                <w:tab w:val="left" w:pos="305"/>
              </w:tabs>
              <w:spacing w:before="63"/>
              <w:rPr>
                <w:sz w:val="16"/>
                <w:szCs w:val="16"/>
              </w:rPr>
            </w:pPr>
            <w:r w:rsidRPr="00B408A4">
              <w:rPr>
                <w:color w:val="231F20"/>
                <w:sz w:val="16"/>
                <w:szCs w:val="16"/>
              </w:rPr>
              <w:t>1,000 ML (tier</w:t>
            </w:r>
            <w:r w:rsidRPr="00B408A4">
              <w:rPr>
                <w:color w:val="231F20"/>
                <w:spacing w:val="-15"/>
                <w:sz w:val="16"/>
                <w:szCs w:val="16"/>
              </w:rPr>
              <w:t xml:space="preserve"> </w:t>
            </w:r>
            <w:r w:rsidRPr="00B408A4">
              <w:rPr>
                <w:color w:val="231F20"/>
                <w:sz w:val="16"/>
                <w:szCs w:val="16"/>
              </w:rPr>
              <w:t>1a)</w:t>
            </w:r>
          </w:p>
          <w:p w:rsidR="00C20B4E" w:rsidRPr="00B408A4" w:rsidRDefault="00C20B4E" w:rsidP="00C20B4E">
            <w:pPr>
              <w:pStyle w:val="TableParagraph"/>
              <w:numPr>
                <w:ilvl w:val="0"/>
                <w:numId w:val="1154"/>
              </w:numPr>
              <w:tabs>
                <w:tab w:val="left" w:pos="305"/>
              </w:tabs>
              <w:spacing w:before="98"/>
              <w:rPr>
                <w:sz w:val="16"/>
                <w:szCs w:val="16"/>
              </w:rPr>
            </w:pPr>
            <w:r w:rsidRPr="00B408A4">
              <w:rPr>
                <w:color w:val="231F20"/>
                <w:sz w:val="16"/>
                <w:szCs w:val="16"/>
              </w:rPr>
              <w:t>1,000 ML (tier</w:t>
            </w:r>
            <w:r w:rsidRPr="00B408A4">
              <w:rPr>
                <w:color w:val="231F20"/>
                <w:spacing w:val="-15"/>
                <w:sz w:val="16"/>
                <w:szCs w:val="16"/>
              </w:rPr>
              <w:t xml:space="preserve"> </w:t>
            </w:r>
            <w:r w:rsidRPr="00B408A4">
              <w:rPr>
                <w:color w:val="231F20"/>
                <w:sz w:val="16"/>
                <w:szCs w:val="16"/>
              </w:rPr>
              <w:t>1b)</w:t>
            </w:r>
          </w:p>
          <w:p w:rsidR="00C20B4E" w:rsidRPr="00B408A4" w:rsidRDefault="00C20B4E" w:rsidP="00C20B4E">
            <w:pPr>
              <w:pStyle w:val="TableParagraph"/>
              <w:numPr>
                <w:ilvl w:val="0"/>
                <w:numId w:val="1154"/>
              </w:numPr>
              <w:tabs>
                <w:tab w:val="left" w:pos="305"/>
              </w:tabs>
              <w:spacing w:before="98"/>
              <w:rPr>
                <w:sz w:val="16"/>
                <w:szCs w:val="16"/>
              </w:rPr>
            </w:pPr>
            <w:r w:rsidRPr="00B408A4">
              <w:rPr>
                <w:color w:val="231F20"/>
                <w:sz w:val="16"/>
                <w:szCs w:val="16"/>
              </w:rPr>
              <w:t>800 ML (tier</w:t>
            </w:r>
            <w:r w:rsidRPr="00B408A4">
              <w:rPr>
                <w:color w:val="231F20"/>
                <w:spacing w:val="-9"/>
                <w:sz w:val="16"/>
                <w:szCs w:val="16"/>
              </w:rPr>
              <w:t xml:space="preserve"> </w:t>
            </w:r>
            <w:r w:rsidRPr="00B408A4">
              <w:rPr>
                <w:color w:val="231F20"/>
                <w:sz w:val="16"/>
                <w:szCs w:val="16"/>
              </w:rPr>
              <w:t>2)</w:t>
            </w:r>
          </w:p>
        </w:tc>
        <w:tc>
          <w:tcPr>
            <w:tcW w:w="2041" w:type="dxa"/>
          </w:tcPr>
          <w:p w:rsidR="00C20B4E" w:rsidRPr="00B408A4" w:rsidRDefault="00C20B4E" w:rsidP="00C20B4E">
            <w:pPr>
              <w:pStyle w:val="TableParagraph"/>
              <w:numPr>
                <w:ilvl w:val="0"/>
                <w:numId w:val="1153"/>
              </w:numPr>
              <w:tabs>
                <w:tab w:val="left" w:pos="305"/>
              </w:tabs>
              <w:spacing w:before="63"/>
              <w:rPr>
                <w:sz w:val="16"/>
                <w:szCs w:val="16"/>
              </w:rPr>
            </w:pPr>
            <w:r w:rsidRPr="00B408A4">
              <w:rPr>
                <w:color w:val="231F20"/>
                <w:sz w:val="16"/>
                <w:szCs w:val="16"/>
              </w:rPr>
              <w:t>1,000–1,500</w:t>
            </w:r>
            <w:r w:rsidRPr="00B408A4">
              <w:rPr>
                <w:color w:val="231F20"/>
                <w:spacing w:val="-2"/>
                <w:sz w:val="16"/>
                <w:szCs w:val="16"/>
              </w:rPr>
              <w:t xml:space="preserve"> </w:t>
            </w:r>
            <w:r w:rsidRPr="00B408A4">
              <w:rPr>
                <w:color w:val="231F20"/>
                <w:sz w:val="16"/>
                <w:szCs w:val="16"/>
              </w:rPr>
              <w:t>ML</w:t>
            </w:r>
          </w:p>
          <w:p w:rsidR="00C20B4E" w:rsidRPr="00B408A4" w:rsidRDefault="00C20B4E" w:rsidP="00C20B4E">
            <w:pPr>
              <w:pStyle w:val="TableParagraph"/>
              <w:spacing w:before="13"/>
              <w:rPr>
                <w:sz w:val="16"/>
                <w:szCs w:val="16"/>
              </w:rPr>
            </w:pPr>
            <w:r w:rsidRPr="00B408A4">
              <w:rPr>
                <w:color w:val="231F20"/>
                <w:sz w:val="16"/>
                <w:szCs w:val="16"/>
              </w:rPr>
              <w:t>(tier 1a)</w:t>
            </w:r>
          </w:p>
          <w:p w:rsidR="00C20B4E" w:rsidRPr="00B408A4" w:rsidRDefault="00C20B4E" w:rsidP="00C20B4E">
            <w:pPr>
              <w:pStyle w:val="TableParagraph"/>
              <w:numPr>
                <w:ilvl w:val="0"/>
                <w:numId w:val="1153"/>
              </w:numPr>
              <w:tabs>
                <w:tab w:val="left" w:pos="305"/>
              </w:tabs>
              <w:spacing w:before="98"/>
              <w:rPr>
                <w:sz w:val="16"/>
                <w:szCs w:val="16"/>
              </w:rPr>
            </w:pPr>
            <w:r w:rsidRPr="00B408A4">
              <w:rPr>
                <w:color w:val="231F20"/>
                <w:sz w:val="16"/>
                <w:szCs w:val="16"/>
              </w:rPr>
              <w:t>1,000–1,200</w:t>
            </w:r>
            <w:r w:rsidRPr="00B408A4">
              <w:rPr>
                <w:color w:val="231F20"/>
                <w:spacing w:val="-2"/>
                <w:sz w:val="16"/>
                <w:szCs w:val="16"/>
              </w:rPr>
              <w:t xml:space="preserve"> </w:t>
            </w:r>
            <w:r w:rsidRPr="00B408A4">
              <w:rPr>
                <w:color w:val="231F20"/>
                <w:sz w:val="16"/>
                <w:szCs w:val="16"/>
              </w:rPr>
              <w:t>ML</w:t>
            </w:r>
          </w:p>
          <w:p w:rsidR="00C20B4E" w:rsidRPr="00B408A4" w:rsidRDefault="00C20B4E" w:rsidP="00C20B4E">
            <w:pPr>
              <w:pStyle w:val="TableParagraph"/>
              <w:spacing w:before="13"/>
              <w:rPr>
                <w:sz w:val="16"/>
                <w:szCs w:val="16"/>
              </w:rPr>
            </w:pPr>
            <w:r w:rsidRPr="00B408A4">
              <w:rPr>
                <w:color w:val="231F20"/>
                <w:sz w:val="16"/>
                <w:szCs w:val="16"/>
              </w:rPr>
              <w:t>(tier 1b)</w:t>
            </w:r>
          </w:p>
          <w:p w:rsidR="00C20B4E" w:rsidRPr="00B408A4" w:rsidRDefault="00C20B4E" w:rsidP="00C20B4E">
            <w:pPr>
              <w:pStyle w:val="TableParagraph"/>
              <w:numPr>
                <w:ilvl w:val="0"/>
                <w:numId w:val="1153"/>
              </w:numPr>
              <w:tabs>
                <w:tab w:val="left" w:pos="305"/>
              </w:tabs>
              <w:spacing w:before="98"/>
              <w:rPr>
                <w:sz w:val="16"/>
                <w:szCs w:val="16"/>
              </w:rPr>
            </w:pPr>
            <w:r w:rsidRPr="00B408A4">
              <w:rPr>
                <w:color w:val="231F20"/>
                <w:sz w:val="16"/>
                <w:szCs w:val="16"/>
              </w:rPr>
              <w:t>400 ML (tier</w:t>
            </w:r>
            <w:r w:rsidRPr="00B408A4">
              <w:rPr>
                <w:color w:val="231F20"/>
                <w:spacing w:val="-9"/>
                <w:sz w:val="16"/>
                <w:szCs w:val="16"/>
              </w:rPr>
              <w:t xml:space="preserve"> </w:t>
            </w:r>
            <w:r w:rsidRPr="00B408A4">
              <w:rPr>
                <w:color w:val="231F20"/>
                <w:sz w:val="16"/>
                <w:szCs w:val="16"/>
              </w:rPr>
              <w:t>2)</w:t>
            </w:r>
          </w:p>
        </w:tc>
        <w:tc>
          <w:tcPr>
            <w:tcW w:w="2041" w:type="dxa"/>
          </w:tcPr>
          <w:p w:rsidR="00C20B4E" w:rsidRPr="00B408A4" w:rsidRDefault="00C20B4E" w:rsidP="00C20B4E">
            <w:pPr>
              <w:pStyle w:val="TableParagraph"/>
              <w:numPr>
                <w:ilvl w:val="0"/>
                <w:numId w:val="1152"/>
              </w:numPr>
              <w:tabs>
                <w:tab w:val="left" w:pos="305"/>
              </w:tabs>
              <w:spacing w:before="63"/>
              <w:rPr>
                <w:sz w:val="16"/>
                <w:szCs w:val="16"/>
              </w:rPr>
            </w:pPr>
            <w:r w:rsidRPr="00B408A4">
              <w:rPr>
                <w:color w:val="231F20"/>
                <w:sz w:val="16"/>
                <w:szCs w:val="16"/>
              </w:rPr>
              <w:t>2,000–3,000</w:t>
            </w:r>
            <w:r w:rsidRPr="00B408A4">
              <w:rPr>
                <w:color w:val="231F20"/>
                <w:spacing w:val="-2"/>
                <w:sz w:val="16"/>
                <w:szCs w:val="16"/>
              </w:rPr>
              <w:t xml:space="preserve"> </w:t>
            </w:r>
            <w:r w:rsidRPr="00B408A4">
              <w:rPr>
                <w:color w:val="231F20"/>
                <w:sz w:val="16"/>
                <w:szCs w:val="16"/>
              </w:rPr>
              <w:t>ML</w:t>
            </w:r>
          </w:p>
          <w:p w:rsidR="00C20B4E" w:rsidRPr="00B408A4" w:rsidRDefault="00C20B4E" w:rsidP="00C20B4E">
            <w:pPr>
              <w:pStyle w:val="TableParagraph"/>
              <w:spacing w:before="13"/>
              <w:rPr>
                <w:sz w:val="16"/>
                <w:szCs w:val="16"/>
              </w:rPr>
            </w:pPr>
            <w:r w:rsidRPr="00B408A4">
              <w:rPr>
                <w:color w:val="231F20"/>
                <w:sz w:val="16"/>
                <w:szCs w:val="16"/>
              </w:rPr>
              <w:t>(tier 1a)</w:t>
            </w:r>
          </w:p>
          <w:p w:rsidR="00C20B4E" w:rsidRPr="00B408A4" w:rsidRDefault="00C20B4E" w:rsidP="00C20B4E">
            <w:pPr>
              <w:pStyle w:val="TableParagraph"/>
              <w:numPr>
                <w:ilvl w:val="0"/>
                <w:numId w:val="1152"/>
              </w:numPr>
              <w:tabs>
                <w:tab w:val="left" w:pos="305"/>
              </w:tabs>
              <w:spacing w:before="98"/>
              <w:rPr>
                <w:sz w:val="16"/>
                <w:szCs w:val="16"/>
              </w:rPr>
            </w:pPr>
            <w:r w:rsidRPr="00B408A4">
              <w:rPr>
                <w:color w:val="231F20"/>
                <w:sz w:val="16"/>
                <w:szCs w:val="16"/>
              </w:rPr>
              <w:t>1,500–1,800</w:t>
            </w:r>
            <w:r w:rsidRPr="00B408A4">
              <w:rPr>
                <w:color w:val="231F20"/>
                <w:spacing w:val="-2"/>
                <w:sz w:val="16"/>
                <w:szCs w:val="16"/>
              </w:rPr>
              <w:t xml:space="preserve"> </w:t>
            </w:r>
            <w:r w:rsidRPr="00B408A4">
              <w:rPr>
                <w:color w:val="231F20"/>
                <w:sz w:val="16"/>
                <w:szCs w:val="16"/>
              </w:rPr>
              <w:t>ML</w:t>
            </w:r>
          </w:p>
          <w:p w:rsidR="00C20B4E" w:rsidRPr="00B408A4" w:rsidRDefault="00C20B4E" w:rsidP="00C20B4E">
            <w:pPr>
              <w:pStyle w:val="TableParagraph"/>
              <w:spacing w:before="13"/>
              <w:rPr>
                <w:sz w:val="16"/>
                <w:szCs w:val="16"/>
              </w:rPr>
            </w:pPr>
            <w:r w:rsidRPr="00B408A4">
              <w:rPr>
                <w:color w:val="231F20"/>
                <w:sz w:val="16"/>
                <w:szCs w:val="16"/>
              </w:rPr>
              <w:t>(tier 1b)</w:t>
            </w:r>
          </w:p>
          <w:p w:rsidR="00C20B4E" w:rsidRPr="00B408A4" w:rsidRDefault="00C20B4E" w:rsidP="00C20B4E">
            <w:pPr>
              <w:pStyle w:val="TableParagraph"/>
              <w:numPr>
                <w:ilvl w:val="0"/>
                <w:numId w:val="1152"/>
              </w:numPr>
              <w:tabs>
                <w:tab w:val="left" w:pos="305"/>
              </w:tabs>
              <w:spacing w:before="98"/>
              <w:rPr>
                <w:sz w:val="16"/>
                <w:szCs w:val="16"/>
              </w:rPr>
            </w:pPr>
            <w:r w:rsidRPr="00B408A4">
              <w:rPr>
                <w:color w:val="231F20"/>
                <w:sz w:val="16"/>
                <w:szCs w:val="16"/>
              </w:rPr>
              <w:t>3,000 ML (tier</w:t>
            </w:r>
            <w:r w:rsidRPr="00B408A4">
              <w:rPr>
                <w:color w:val="231F20"/>
                <w:spacing w:val="-10"/>
                <w:sz w:val="16"/>
                <w:szCs w:val="16"/>
              </w:rPr>
              <w:t xml:space="preserve"> </w:t>
            </w:r>
            <w:r w:rsidRPr="00B408A4">
              <w:rPr>
                <w:color w:val="231F20"/>
                <w:sz w:val="16"/>
                <w:szCs w:val="16"/>
              </w:rPr>
              <w:t>2)</w:t>
            </w:r>
          </w:p>
        </w:tc>
        <w:tc>
          <w:tcPr>
            <w:tcW w:w="2041" w:type="dxa"/>
          </w:tcPr>
          <w:p w:rsidR="00C20B4E" w:rsidRPr="00B408A4" w:rsidRDefault="00C20B4E" w:rsidP="00C20B4E">
            <w:pPr>
              <w:pStyle w:val="TableParagraph"/>
              <w:numPr>
                <w:ilvl w:val="0"/>
                <w:numId w:val="1151"/>
              </w:numPr>
              <w:tabs>
                <w:tab w:val="left" w:pos="305"/>
              </w:tabs>
              <w:spacing w:before="63"/>
              <w:rPr>
                <w:sz w:val="16"/>
                <w:szCs w:val="16"/>
              </w:rPr>
            </w:pPr>
            <w:r w:rsidRPr="00B408A4">
              <w:rPr>
                <w:color w:val="231F20"/>
                <w:sz w:val="16"/>
                <w:szCs w:val="16"/>
              </w:rPr>
              <w:t>0–3,000 ML (tier</w:t>
            </w:r>
            <w:r w:rsidRPr="00B408A4">
              <w:rPr>
                <w:color w:val="231F20"/>
                <w:spacing w:val="-13"/>
                <w:sz w:val="16"/>
                <w:szCs w:val="16"/>
              </w:rPr>
              <w:t xml:space="preserve"> </w:t>
            </w:r>
            <w:r w:rsidRPr="00B408A4">
              <w:rPr>
                <w:color w:val="231F20"/>
                <w:sz w:val="16"/>
                <w:szCs w:val="16"/>
              </w:rPr>
              <w:t>1a)</w:t>
            </w:r>
          </w:p>
          <w:p w:rsidR="00C20B4E" w:rsidRPr="00B408A4" w:rsidRDefault="00C20B4E" w:rsidP="00C20B4E">
            <w:pPr>
              <w:pStyle w:val="TableParagraph"/>
              <w:numPr>
                <w:ilvl w:val="0"/>
                <w:numId w:val="1151"/>
              </w:numPr>
              <w:tabs>
                <w:tab w:val="left" w:pos="305"/>
              </w:tabs>
              <w:spacing w:before="98"/>
              <w:rPr>
                <w:sz w:val="16"/>
                <w:szCs w:val="16"/>
              </w:rPr>
            </w:pPr>
            <w:r w:rsidRPr="00B408A4">
              <w:rPr>
                <w:color w:val="231F20"/>
                <w:sz w:val="16"/>
                <w:szCs w:val="16"/>
              </w:rPr>
              <w:t>N/A (tier</w:t>
            </w:r>
            <w:r w:rsidRPr="00B408A4">
              <w:rPr>
                <w:color w:val="231F20"/>
                <w:spacing w:val="-11"/>
                <w:sz w:val="16"/>
                <w:szCs w:val="16"/>
              </w:rPr>
              <w:t xml:space="preserve"> </w:t>
            </w:r>
            <w:r w:rsidRPr="00B408A4">
              <w:rPr>
                <w:color w:val="231F20"/>
                <w:sz w:val="16"/>
                <w:szCs w:val="16"/>
              </w:rPr>
              <w:t>1b)</w:t>
            </w:r>
          </w:p>
          <w:p w:rsidR="00C20B4E" w:rsidRPr="00B408A4" w:rsidRDefault="00C20B4E" w:rsidP="00C20B4E">
            <w:pPr>
              <w:pStyle w:val="TableParagraph"/>
              <w:numPr>
                <w:ilvl w:val="0"/>
                <w:numId w:val="1151"/>
              </w:numPr>
              <w:tabs>
                <w:tab w:val="left" w:pos="305"/>
              </w:tabs>
              <w:spacing w:before="98"/>
              <w:rPr>
                <w:sz w:val="16"/>
                <w:szCs w:val="16"/>
              </w:rPr>
            </w:pPr>
            <w:r w:rsidRPr="00B408A4">
              <w:rPr>
                <w:color w:val="231F20"/>
                <w:sz w:val="16"/>
                <w:szCs w:val="16"/>
              </w:rPr>
              <w:t>N/A(tier</w:t>
            </w:r>
            <w:r w:rsidRPr="00B408A4">
              <w:rPr>
                <w:color w:val="231F20"/>
                <w:spacing w:val="-2"/>
                <w:sz w:val="16"/>
                <w:szCs w:val="16"/>
              </w:rPr>
              <w:t xml:space="preserve"> </w:t>
            </w:r>
            <w:r w:rsidRPr="00B408A4">
              <w:rPr>
                <w:color w:val="231F20"/>
                <w:sz w:val="16"/>
                <w:szCs w:val="16"/>
              </w:rPr>
              <w:t>2)</w:t>
            </w:r>
          </w:p>
        </w:tc>
      </w:tr>
      <w:tr w:rsidR="00C20B4E" w:rsidTr="00B408A4">
        <w:trPr>
          <w:trHeight w:val="662"/>
        </w:trPr>
        <w:tc>
          <w:tcPr>
            <w:tcW w:w="2041" w:type="dxa"/>
          </w:tcPr>
          <w:p w:rsidR="00C20B4E" w:rsidRDefault="00C20B4E" w:rsidP="00C20B4E">
            <w:pPr>
              <w:pStyle w:val="TableParagraph"/>
              <w:spacing w:before="67" w:line="261" w:lineRule="auto"/>
              <w:ind w:left="85" w:right="716"/>
              <w:rPr>
                <w:sz w:val="16"/>
              </w:rPr>
            </w:pPr>
            <w:r>
              <w:rPr>
                <w:color w:val="231F20"/>
                <w:sz w:val="16"/>
              </w:rPr>
              <w:t>Priority carryover requirements</w:t>
            </w:r>
          </w:p>
        </w:tc>
        <w:tc>
          <w:tcPr>
            <w:tcW w:w="8164" w:type="dxa"/>
            <w:gridSpan w:val="4"/>
          </w:tcPr>
          <w:p w:rsidR="00C20B4E" w:rsidRPr="00B408A4" w:rsidRDefault="00C20B4E" w:rsidP="00E459ED">
            <w:pPr>
              <w:pStyle w:val="TableParagraph"/>
              <w:numPr>
                <w:ilvl w:val="0"/>
                <w:numId w:val="1150"/>
              </w:numPr>
              <w:tabs>
                <w:tab w:val="left" w:pos="284"/>
              </w:tabs>
              <w:spacing w:before="63"/>
              <w:ind w:hanging="3601"/>
              <w:jc w:val="center"/>
              <w:rPr>
                <w:sz w:val="16"/>
                <w:szCs w:val="16"/>
              </w:rPr>
            </w:pPr>
            <w:r w:rsidRPr="00B408A4">
              <w:rPr>
                <w:color w:val="231F20"/>
                <w:sz w:val="16"/>
                <w:szCs w:val="16"/>
              </w:rPr>
              <w:t>700–1,000</w:t>
            </w:r>
            <w:r w:rsidRPr="00B408A4">
              <w:rPr>
                <w:color w:val="231F20"/>
                <w:spacing w:val="-2"/>
                <w:sz w:val="16"/>
                <w:szCs w:val="16"/>
              </w:rPr>
              <w:t xml:space="preserve"> </w:t>
            </w:r>
            <w:r w:rsidRPr="00B408A4">
              <w:rPr>
                <w:color w:val="231F20"/>
                <w:sz w:val="16"/>
                <w:szCs w:val="16"/>
              </w:rPr>
              <w:t>ML</w:t>
            </w:r>
          </w:p>
        </w:tc>
      </w:tr>
    </w:tbl>
    <w:p w:rsidR="006A7A3F" w:rsidRDefault="006A7A3F">
      <w:pPr>
        <w:rPr>
          <w:sz w:val="18"/>
        </w:rPr>
        <w:sectPr w:rsidR="006A7A3F" w:rsidSect="00C92D74">
          <w:pgSz w:w="11910" w:h="16840"/>
          <w:pgMar w:top="1701" w:right="851" w:bottom="1134" w:left="851" w:header="720" w:footer="720" w:gutter="0"/>
          <w:cols w:space="720"/>
        </w:sectPr>
      </w:pPr>
    </w:p>
    <w:p w:rsidR="006A7A3F" w:rsidRDefault="00BC7372">
      <w:pPr>
        <w:pStyle w:val="Heading1"/>
        <w:numPr>
          <w:ilvl w:val="1"/>
          <w:numId w:val="1262"/>
        </w:numPr>
        <w:tabs>
          <w:tab w:val="left" w:pos="911"/>
        </w:tabs>
        <w:spacing w:before="86"/>
      </w:pPr>
      <w:r>
        <w:rPr>
          <w:color w:val="231F20"/>
        </w:rPr>
        <w:t>Maribyrnong system</w:t>
      </w:r>
    </w:p>
    <w:p w:rsidR="006A7A3F" w:rsidRDefault="00BC7372">
      <w:pPr>
        <w:pStyle w:val="Heading4"/>
        <w:spacing w:before="306"/>
      </w:pPr>
      <w:r>
        <w:rPr>
          <w:color w:val="231F20"/>
        </w:rPr>
        <w:t>Did you know...?</w:t>
      </w:r>
    </w:p>
    <w:p w:rsidR="006A7A3F" w:rsidRDefault="00BC7372">
      <w:pPr>
        <w:pStyle w:val="BodyText"/>
        <w:spacing w:before="59" w:line="249" w:lineRule="auto"/>
        <w:ind w:right="100"/>
      </w:pPr>
      <w:r>
        <w:rPr>
          <w:color w:val="231F20"/>
        </w:rPr>
        <w:t>The Maribyrnong River is the second major river in metropolitan Melbourne, after the Yarra. It runs for 160 km from its source on the slopes of Mount Macedon to Port Phillip Bay, where it meets the sea.</w:t>
      </w:r>
    </w:p>
    <w:p w:rsidR="006A7A3F" w:rsidRDefault="00BC7372" w:rsidP="00175607">
      <w:pPr>
        <w:pStyle w:val="BodyText"/>
        <w:spacing w:before="240" w:after="120"/>
        <w:ind w:left="0"/>
        <w:rPr>
          <w:sz w:val="12"/>
        </w:rPr>
      </w:pPr>
      <w:r>
        <w:rPr>
          <w:noProof/>
        </w:rPr>
        <w:drawing>
          <wp:inline distT="0" distB="0" distL="0" distR="0">
            <wp:extent cx="2967152" cy="1423987"/>
            <wp:effectExtent l="0" t="0" r="5080" b="0"/>
            <wp:docPr id="429" name="image32.png" descr="Pie chart shows the proportion of water entitlements in the Maribyrnong basin held by private users (37%), water corporations (63%) and environmental water holders (0%)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67152" cy="1423987"/>
                    </a:xfrm>
                    <a:prstGeom prst="rect">
                      <a:avLst/>
                    </a:prstGeom>
                  </pic:spPr>
                </pic:pic>
              </a:graphicData>
            </a:graphic>
          </wp:inline>
        </w:drawing>
      </w:r>
    </w:p>
    <w:p w:rsidR="006A7A3F" w:rsidRDefault="006A7A3F">
      <w:pPr>
        <w:pStyle w:val="BodyText"/>
        <w:spacing w:before="2"/>
        <w:ind w:left="0"/>
        <w:rPr>
          <w:sz w:val="31"/>
        </w:rPr>
      </w:pPr>
    </w:p>
    <w:p w:rsidR="006A7A3F" w:rsidRDefault="00BC7372">
      <w:pPr>
        <w:pStyle w:val="Heading7"/>
        <w:spacing w:before="1" w:line="249" w:lineRule="auto"/>
        <w:ind w:right="645"/>
      </w:pPr>
      <w:r>
        <w:rPr>
          <w:color w:val="231F20"/>
        </w:rPr>
        <w:t>Proportion of water entitlements in the Maribyrnong basin held by private users, water corporations or environmental water holders at 30 June 2019.</w:t>
      </w:r>
    </w:p>
    <w:p w:rsidR="006A7A3F" w:rsidRDefault="006A7A3F">
      <w:pPr>
        <w:pStyle w:val="BodyText"/>
        <w:spacing w:before="0"/>
        <w:ind w:left="0"/>
        <w:rPr>
          <w:b/>
        </w:rPr>
      </w:pPr>
    </w:p>
    <w:p w:rsidR="006A7A3F" w:rsidRDefault="00BC7372">
      <w:pPr>
        <w:spacing w:before="1"/>
        <w:ind w:left="210"/>
        <w:rPr>
          <w:b/>
          <w:sz w:val="24"/>
        </w:rPr>
      </w:pPr>
      <w:r>
        <w:rPr>
          <w:b/>
          <w:color w:val="231F20"/>
          <w:sz w:val="24"/>
        </w:rPr>
        <w:t>System overview</w:t>
      </w:r>
    </w:p>
    <w:p w:rsidR="006A7A3F" w:rsidRDefault="00BC7372">
      <w:pPr>
        <w:spacing w:before="89" w:line="276" w:lineRule="auto"/>
        <w:ind w:left="210" w:right="475"/>
      </w:pPr>
      <w:r>
        <w:rPr>
          <w:color w:val="231F20"/>
        </w:rPr>
        <w:t>The Maribyrnong catchment is located to the north-west of Melbourne. The main waterways in the catchment are Jacksons Creek, which flows south-east from Mount Macedon, and Deep Creek, which flows south from Lancefield. These two tributaries join at Keilor North to form the Maribyrnong River, which flows south to join the Yarra River at Yarraville, before flowing into Port Phillip Bay.</w:t>
      </w:r>
    </w:p>
    <w:p w:rsidR="006A7A3F" w:rsidRDefault="006A7A3F">
      <w:pPr>
        <w:pStyle w:val="BodyText"/>
        <w:spacing w:before="7"/>
        <w:ind w:left="0"/>
        <w:rPr>
          <w:sz w:val="21"/>
        </w:rPr>
      </w:pPr>
    </w:p>
    <w:p w:rsidR="006A7A3F" w:rsidRDefault="00BC7372">
      <w:pPr>
        <w:pStyle w:val="BodyText"/>
        <w:spacing w:before="0" w:line="249" w:lineRule="auto"/>
        <w:ind w:right="386"/>
      </w:pPr>
      <w:r>
        <w:rPr>
          <w:color w:val="231F20"/>
        </w:rPr>
        <w:t>Rosslynne Reservoir is in the upper reaches of Jacksons Creek near Gisborne, and it is the only major storage in the Maribyrnong catchment. The reservoir has a release capacity of 20 ML per day, which significantly constrains the environmental outcomes that can be achieved in the Maribyrnong system. Water for the environment is primarily used to support environmental outcomes in Jacksons Creek between Rosslynne Reservoir and the confluence with Deep Creek (that is, environmental flow reaches 6 and 7 shown in Figure 3.4.1). These two reaches are described as upper and lower Jacksons Creek respectively.</w:t>
      </w:r>
    </w:p>
    <w:p w:rsidR="006A7A3F" w:rsidRDefault="00BC7372">
      <w:pPr>
        <w:pStyle w:val="BodyText"/>
        <w:spacing w:before="175" w:line="249" w:lineRule="auto"/>
        <w:ind w:right="441"/>
      </w:pPr>
      <w:r>
        <w:rPr>
          <w:color w:val="231F20"/>
        </w:rPr>
        <w:t>The VEWH does not hold an environmental entitlement in the Maribyrnong system, and it relies on opportunistic, temporary trade to meet demands. Melbourne Water and the VEWH work with local diversion licence holders to purchase unused water when it is available to support environmental outcomes. This arrangement is negotiated each year, and it only occurs with the agreement of all parties involved.</w:t>
      </w:r>
    </w:p>
    <w:p w:rsidR="006A7A3F" w:rsidRDefault="006A7A3F">
      <w:pPr>
        <w:pStyle w:val="BodyText"/>
        <w:spacing w:before="2"/>
        <w:ind w:left="0"/>
      </w:pPr>
    </w:p>
    <w:p w:rsidR="006A7A3F" w:rsidRDefault="00BC7372">
      <w:pPr>
        <w:pStyle w:val="Heading4"/>
        <w:spacing w:before="1"/>
      </w:pPr>
      <w:r>
        <w:rPr>
          <w:color w:val="231F20"/>
        </w:rPr>
        <w:t>Environmental values</w:t>
      </w:r>
    </w:p>
    <w:p w:rsidR="006A7A3F" w:rsidRDefault="00BC7372">
      <w:pPr>
        <w:pStyle w:val="BodyText"/>
        <w:spacing w:before="58" w:line="249" w:lineRule="auto"/>
        <w:ind w:right="319"/>
      </w:pPr>
      <w:r>
        <w:rPr>
          <w:color w:val="231F20"/>
        </w:rPr>
        <w:t>The upper Maribyrnong catchment contains areas of intact streamside vegetation, which provide important habitat for native fish including migratory short-finned eels, common and ornate galaxias, flathead gudgeon, tupong and Australian smelt. A large population of waterbugs provides abundant food for a significant platypus population in several reaches in the Maribyrnong system.</w:t>
      </w:r>
    </w:p>
    <w:p w:rsidR="009A012E" w:rsidRDefault="009A012E">
      <w:pPr>
        <w:rPr>
          <w:b/>
          <w:bCs/>
          <w:color w:val="231F20"/>
          <w:sz w:val="24"/>
          <w:szCs w:val="24"/>
        </w:rPr>
      </w:pPr>
      <w:r>
        <w:rPr>
          <w:color w:val="231F20"/>
        </w:rPr>
        <w:br w:type="page"/>
      </w:r>
    </w:p>
    <w:p w:rsidR="006A7A3F" w:rsidRDefault="00BC7372">
      <w:pPr>
        <w:pStyle w:val="Heading4"/>
        <w:spacing w:before="62"/>
        <w:jc w:val="both"/>
      </w:pPr>
      <w:r>
        <w:rPr>
          <w:color w:val="231F20"/>
        </w:rPr>
        <w:t>Environmental watering objectives in the Maribyrnong system</w:t>
      </w:r>
    </w:p>
    <w:p w:rsidR="006A7A3F" w:rsidRDefault="006A7A3F">
      <w:pPr>
        <w:pStyle w:val="BodyText"/>
        <w:spacing w:before="5"/>
        <w:ind w:left="0"/>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9"/>
              <w:ind w:left="0"/>
              <w:rPr>
                <w:b/>
                <w:sz w:val="14"/>
              </w:rPr>
            </w:pPr>
          </w:p>
          <w:p w:rsidR="006A7A3F" w:rsidRDefault="00BC7372">
            <w:pPr>
              <w:pStyle w:val="TableParagraph"/>
              <w:ind w:left="178"/>
              <w:rPr>
                <w:sz w:val="20"/>
              </w:rPr>
            </w:pPr>
            <w:r>
              <w:rPr>
                <w:noProof/>
                <w:sz w:val="20"/>
              </w:rPr>
              <w:drawing>
                <wp:inline distT="0" distB="0" distL="0" distR="0">
                  <wp:extent cx="314168" cy="310896"/>
                  <wp:effectExtent l="0" t="0" r="0" b="0"/>
                  <wp:docPr id="43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spacing w:before="4"/>
              <w:ind w:left="0"/>
              <w:rPr>
                <w:b/>
                <w:sz w:val="19"/>
              </w:rPr>
            </w:pPr>
          </w:p>
          <w:p w:rsidR="006A7A3F" w:rsidRDefault="00BC7372">
            <w:pPr>
              <w:pStyle w:val="TableParagraph"/>
              <w:spacing w:line="261" w:lineRule="auto"/>
              <w:ind w:left="118" w:right="270"/>
              <w:rPr>
                <w:sz w:val="16"/>
              </w:rPr>
            </w:pPr>
            <w:r>
              <w:rPr>
                <w:color w:val="231F20"/>
                <w:sz w:val="16"/>
              </w:rPr>
              <w:t>Protect and increase populations of native small- bodied fish</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433"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ind w:left="0"/>
              <w:rPr>
                <w:b/>
                <w:sz w:val="18"/>
              </w:rPr>
            </w:pPr>
          </w:p>
          <w:p w:rsidR="006A7A3F" w:rsidRDefault="00BC7372">
            <w:pPr>
              <w:pStyle w:val="TableParagraph"/>
              <w:spacing w:before="106"/>
              <w:ind w:left="118"/>
              <w:rPr>
                <w:sz w:val="16"/>
              </w:rPr>
            </w:pPr>
            <w:r>
              <w:rPr>
                <w:color w:val="231F20"/>
                <w:sz w:val="16"/>
              </w:rPr>
              <w:t>Maintain channel morphology</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435"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ind w:left="0"/>
              <w:rPr>
                <w:b/>
                <w:sz w:val="18"/>
              </w:rPr>
            </w:pPr>
          </w:p>
          <w:p w:rsidR="006A7A3F" w:rsidRDefault="00BC7372">
            <w:pPr>
              <w:pStyle w:val="TableParagraph"/>
              <w:spacing w:before="106"/>
              <w:ind w:left="118"/>
              <w:rPr>
                <w:sz w:val="16"/>
              </w:rPr>
            </w:pPr>
            <w:r>
              <w:rPr>
                <w:color w:val="231F20"/>
                <w:sz w:val="16"/>
              </w:rPr>
              <w:t>Maintain platypus population</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after="1"/>
              <w:ind w:left="0"/>
              <w:rPr>
                <w:b/>
                <w:sz w:val="15"/>
              </w:rPr>
            </w:pPr>
          </w:p>
          <w:p w:rsidR="006A7A3F" w:rsidRDefault="00BC7372">
            <w:pPr>
              <w:pStyle w:val="TableParagraph"/>
              <w:ind w:left="178"/>
              <w:rPr>
                <w:sz w:val="20"/>
              </w:rPr>
            </w:pPr>
            <w:r>
              <w:rPr>
                <w:noProof/>
                <w:sz w:val="20"/>
              </w:rPr>
              <w:drawing>
                <wp:inline distT="0" distB="0" distL="0" distR="0">
                  <wp:extent cx="314168" cy="310896"/>
                  <wp:effectExtent l="0" t="0" r="0" b="0"/>
                  <wp:docPr id="437"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81"/>
              <w:rPr>
                <w:sz w:val="16"/>
              </w:rPr>
            </w:pPr>
            <w:r>
              <w:rPr>
                <w:color w:val="231F20"/>
                <w:sz w:val="16"/>
              </w:rPr>
              <w:t>Maintain and improve the condition, abundance, diversity and structure of instream and streamside vegetation</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after="1"/>
              <w:ind w:left="0"/>
              <w:rPr>
                <w:b/>
                <w:sz w:val="15"/>
              </w:rPr>
            </w:pPr>
          </w:p>
          <w:p w:rsidR="006A7A3F" w:rsidRDefault="00BC7372">
            <w:pPr>
              <w:pStyle w:val="TableParagraph"/>
              <w:ind w:left="178"/>
              <w:rPr>
                <w:sz w:val="20"/>
              </w:rPr>
            </w:pPr>
            <w:r>
              <w:rPr>
                <w:noProof/>
                <w:sz w:val="20"/>
              </w:rPr>
              <w:drawing>
                <wp:inline distT="0" distB="0" distL="0" distR="0">
                  <wp:extent cx="314168" cy="310896"/>
                  <wp:effectExtent l="0" t="0" r="0" b="0"/>
                  <wp:docPr id="43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09"/>
              <w:rPr>
                <w:sz w:val="16"/>
              </w:rPr>
            </w:pPr>
            <w:r>
              <w:rPr>
                <w:color w:val="231F20"/>
                <w:sz w:val="16"/>
              </w:rPr>
              <w:t>Support a wide range and high biomass of waterbugs, to break down dead organic matter and support the river’s food chain</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1" cy="310896"/>
                  <wp:effectExtent l="0" t="0" r="0" b="0"/>
                  <wp:docPr id="44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3.png"/>
                          <pic:cNvPicPr/>
                        </pic:nvPicPr>
                        <pic:blipFill>
                          <a:blip r:embed="rId35" cstate="print"/>
                          <a:stretch>
                            <a:fillRect/>
                          </a:stretch>
                        </pic:blipFill>
                        <pic:spPr>
                          <a:xfrm>
                            <a:off x="0" y="0"/>
                            <a:ext cx="314161"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6"/>
              <w:ind w:left="0"/>
              <w:rPr>
                <w:b/>
                <w:sz w:val="18"/>
              </w:rPr>
            </w:pPr>
          </w:p>
          <w:p w:rsidR="006A7A3F" w:rsidRDefault="00BC7372">
            <w:pPr>
              <w:pStyle w:val="TableParagraph"/>
              <w:spacing w:line="261" w:lineRule="auto"/>
              <w:ind w:left="118"/>
              <w:rPr>
                <w:sz w:val="16"/>
              </w:rPr>
            </w:pPr>
            <w:r>
              <w:rPr>
                <w:color w:val="231F20"/>
                <w:sz w:val="16"/>
              </w:rPr>
              <w:t>Maintain water quality, particularly oxygen concentrations</w:t>
            </w:r>
          </w:p>
        </w:tc>
      </w:tr>
    </w:tbl>
    <w:p w:rsidR="006A7A3F" w:rsidRDefault="00BC7372">
      <w:pPr>
        <w:spacing w:before="202"/>
        <w:ind w:left="210"/>
        <w:jc w:val="both"/>
        <w:rPr>
          <w:b/>
          <w:sz w:val="24"/>
        </w:rPr>
      </w:pPr>
      <w:r>
        <w:rPr>
          <w:b/>
          <w:color w:val="231F20"/>
          <w:sz w:val="24"/>
        </w:rPr>
        <w:t>Traditional Owner cultural values and uses</w:t>
      </w:r>
    </w:p>
    <w:p w:rsidR="006A7A3F" w:rsidRDefault="00BC7372">
      <w:pPr>
        <w:pStyle w:val="BodyText"/>
        <w:spacing w:before="58" w:line="249" w:lineRule="auto"/>
        <w:ind w:right="776"/>
        <w:jc w:val="both"/>
      </w:pPr>
      <w:r>
        <w:rPr>
          <w:color w:val="231F20"/>
        </w:rPr>
        <w:t xml:space="preserve">Melbourne </w:t>
      </w:r>
      <w:r>
        <w:rPr>
          <w:color w:val="231F20"/>
          <w:spacing w:val="-3"/>
        </w:rPr>
        <w:t xml:space="preserve">Water </w:t>
      </w:r>
      <w:r>
        <w:rPr>
          <w:color w:val="231F20"/>
        </w:rPr>
        <w:t>has made initial contact with Boon Wurrung Foundation, Bunurong Land Council Aboriginal Corporation and Wurundjeri Woi Wurrung Cultural Heritage Aboriginal Corporation, to discuss environmental watering in the Maribyrnong system.</w:t>
      </w:r>
    </w:p>
    <w:p w:rsidR="006A7A3F" w:rsidRDefault="006A7A3F">
      <w:pPr>
        <w:pStyle w:val="BodyText"/>
        <w:spacing w:before="2"/>
        <w:ind w:left="0"/>
      </w:pPr>
    </w:p>
    <w:p w:rsidR="006A7A3F" w:rsidRDefault="00BC7372">
      <w:pPr>
        <w:pStyle w:val="Heading4"/>
      </w:pPr>
      <w:r>
        <w:rPr>
          <w:color w:val="231F20"/>
        </w:rPr>
        <w:t>Social, recreational and economic values and uses</w:t>
      </w:r>
    </w:p>
    <w:p w:rsidR="006A7A3F" w:rsidRDefault="00BC7372">
      <w:pPr>
        <w:pStyle w:val="BodyText"/>
        <w:spacing w:before="58" w:line="249" w:lineRule="auto"/>
        <w:ind w:right="311"/>
      </w:pPr>
      <w:r>
        <w:rPr>
          <w:color w:val="231F20"/>
        </w:rPr>
        <w:t xml:space="preserve">In planning the potential watering actions in </w:t>
      </w:r>
      <w:r>
        <w:rPr>
          <w:color w:val="231F20"/>
          <w:spacing w:val="-6"/>
        </w:rPr>
        <w:t xml:space="preserve">Table </w:t>
      </w:r>
      <w:r>
        <w:rPr>
          <w:color w:val="231F20"/>
        </w:rPr>
        <w:t xml:space="preserve">3.4.1, Melbourne </w:t>
      </w:r>
      <w:r>
        <w:rPr>
          <w:color w:val="231F20"/>
          <w:spacing w:val="-3"/>
        </w:rPr>
        <w:t xml:space="preserve">Water </w:t>
      </w:r>
      <w:r>
        <w:rPr>
          <w:color w:val="231F20"/>
        </w:rPr>
        <w:t>considered how environmental flows could support social values (such as community connection and amenity). This includes repeating the outcomes of watering in 2019–20, where releases into the upper reaches of the Maribyrnong helped maintain healthy habitat and improve water</w:t>
      </w:r>
      <w:r>
        <w:rPr>
          <w:color w:val="231F20"/>
          <w:spacing w:val="-4"/>
        </w:rPr>
        <w:t xml:space="preserve"> </w:t>
      </w:r>
      <w:r>
        <w:rPr>
          <w:color w:val="231F20"/>
          <w:spacing w:val="-3"/>
        </w:rPr>
        <w:t>quality.</w:t>
      </w:r>
    </w:p>
    <w:p w:rsidR="006A7A3F" w:rsidRDefault="006A7A3F">
      <w:pPr>
        <w:pStyle w:val="BodyText"/>
        <w:spacing w:before="2"/>
        <w:ind w:left="0"/>
      </w:pPr>
    </w:p>
    <w:p w:rsidR="006A7A3F" w:rsidRDefault="00BC7372">
      <w:pPr>
        <w:pStyle w:val="Heading4"/>
        <w:spacing w:before="1"/>
      </w:pPr>
      <w:r>
        <w:rPr>
          <w:color w:val="231F20"/>
        </w:rPr>
        <w:t>Recent conditions</w:t>
      </w:r>
    </w:p>
    <w:p w:rsidR="006A7A3F" w:rsidRDefault="00BC7372">
      <w:pPr>
        <w:pStyle w:val="BodyText"/>
        <w:spacing w:before="58" w:line="249" w:lineRule="auto"/>
        <w:ind w:right="330"/>
      </w:pPr>
      <w:r>
        <w:rPr>
          <w:color w:val="231F20"/>
        </w:rPr>
        <w:t>The Maribyrnong catchment has experienced below-average rainfall since the summer of 2016–17, and inflows to Rosslynne Reservoir in 2019–20 continued to track well-below average. The VEWH did not purchase allocation from licence holders in 2019–20, due to low water availability in the Maribyrnong system.</w:t>
      </w:r>
    </w:p>
    <w:p w:rsidR="006A7A3F" w:rsidRDefault="00BC7372">
      <w:pPr>
        <w:pStyle w:val="BodyText"/>
        <w:spacing w:line="249" w:lineRule="auto"/>
        <w:ind w:right="230"/>
      </w:pPr>
      <w:r>
        <w:rPr>
          <w:color w:val="231F20"/>
        </w:rPr>
        <w:t>The dry conditions meant that winter/spring low-flow, winter/spring and summer/autumn freshes were not achieved in 2019–20. Summer/autumn low flows were achieved in reach 6, but only partially achieved in reach 7 (below Riddles Creek) by passing flows delivered under Southern Rural Water’s bulk entitlement. These flows prevented poor water quality conditions and maintained suitable habitat and food resources for small-bodied native fish, waterbugs and platypus.</w:t>
      </w:r>
    </w:p>
    <w:p w:rsidR="006A7A3F" w:rsidRDefault="006A7A3F">
      <w:pPr>
        <w:pStyle w:val="BodyText"/>
        <w:spacing w:before="4"/>
        <w:ind w:left="0"/>
      </w:pPr>
    </w:p>
    <w:p w:rsidR="009A012E" w:rsidRDefault="009A012E">
      <w:pPr>
        <w:rPr>
          <w:b/>
          <w:bCs/>
          <w:color w:val="231F20"/>
          <w:sz w:val="24"/>
          <w:szCs w:val="24"/>
        </w:rPr>
      </w:pPr>
      <w:r>
        <w:rPr>
          <w:color w:val="231F20"/>
        </w:rPr>
        <w:br w:type="page"/>
      </w:r>
    </w:p>
    <w:p w:rsidR="009A012E" w:rsidRDefault="009A012E" w:rsidP="009A012E">
      <w:pPr>
        <w:pStyle w:val="Heading4"/>
      </w:pPr>
      <w:r>
        <w:rPr>
          <w:color w:val="231F20"/>
        </w:rPr>
        <w:t>Scope of environmental watering</w:t>
      </w:r>
    </w:p>
    <w:p w:rsidR="009A012E" w:rsidRDefault="009A012E" w:rsidP="009A012E">
      <w:pPr>
        <w:pStyle w:val="BodyText"/>
        <w:spacing w:before="58" w:line="249" w:lineRule="auto"/>
        <w:ind w:right="100"/>
      </w:pPr>
      <w:r>
        <w:rPr>
          <w:color w:val="231F20"/>
        </w:rPr>
        <w:t>Table 3.4.1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9A012E" w:rsidRDefault="009A012E" w:rsidP="009A012E">
      <w:pPr>
        <w:spacing w:before="168"/>
        <w:ind w:left="210"/>
        <w:rPr>
          <w:b/>
          <w:sz w:val="18"/>
        </w:rPr>
      </w:pPr>
      <w:r>
        <w:rPr>
          <w:b/>
          <w:color w:val="231F20"/>
          <w:sz w:val="18"/>
        </w:rPr>
        <w:t>Table 3.4.1 Potential environmental watering actions and objectives for the Maribyrnong system</w:t>
      </w:r>
    </w:p>
    <w:p w:rsidR="009A012E" w:rsidRDefault="009A012E" w:rsidP="009A012E">
      <w:pPr>
        <w:pStyle w:val="BodyText"/>
        <w:spacing w:before="0"/>
        <w:ind w:left="0"/>
        <w:rPr>
          <w:b/>
          <w:sz w:val="9"/>
        </w:r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9A012E" w:rsidTr="003D4127">
        <w:trPr>
          <w:trHeight w:val="582"/>
        </w:trPr>
        <w:tc>
          <w:tcPr>
            <w:tcW w:w="2381" w:type="dxa"/>
            <w:tcBorders>
              <w:top w:val="nil"/>
              <w:left w:val="nil"/>
              <w:bottom w:val="nil"/>
            </w:tcBorders>
            <w:shd w:val="clear" w:color="auto" w:fill="231F20"/>
          </w:tcPr>
          <w:p w:rsidR="009A012E" w:rsidRDefault="009A012E" w:rsidP="003D4127">
            <w:pPr>
              <w:pStyle w:val="TableParagraph"/>
              <w:spacing w:before="75"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9A012E" w:rsidRDefault="009A012E" w:rsidP="003D4127">
            <w:pPr>
              <w:pStyle w:val="TableParagraph"/>
              <w:spacing w:before="75"/>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9A012E" w:rsidRDefault="009A012E" w:rsidP="003D4127">
            <w:pPr>
              <w:pStyle w:val="TableParagraph"/>
              <w:spacing w:before="75" w:line="254" w:lineRule="auto"/>
              <w:ind w:left="85" w:right="192"/>
              <w:rPr>
                <w:b/>
                <w:sz w:val="18"/>
              </w:rPr>
            </w:pPr>
            <w:r>
              <w:rPr>
                <w:b/>
                <w:color w:val="FFFFFF"/>
                <w:sz w:val="18"/>
              </w:rPr>
              <w:t>Environmental objectives</w:t>
            </w:r>
          </w:p>
        </w:tc>
      </w:tr>
      <w:tr w:rsidR="009A012E" w:rsidTr="003D4127">
        <w:trPr>
          <w:trHeight w:val="620"/>
        </w:trPr>
        <w:tc>
          <w:tcPr>
            <w:tcW w:w="2381" w:type="dxa"/>
            <w:vMerge w:val="restart"/>
            <w:tcBorders>
              <w:top w:val="nil"/>
              <w:left w:val="single" w:sz="4" w:space="0" w:color="231F20"/>
              <w:bottom w:val="single" w:sz="4" w:space="0" w:color="231F20"/>
              <w:right w:val="single" w:sz="4" w:space="0" w:color="231F20"/>
            </w:tcBorders>
          </w:tcPr>
          <w:p w:rsidR="009A012E" w:rsidRDefault="009A012E" w:rsidP="003D4127">
            <w:pPr>
              <w:pStyle w:val="TableParagraph"/>
              <w:spacing w:before="74" w:line="261" w:lineRule="auto"/>
              <w:ind w:left="85" w:right="73"/>
              <w:jc w:val="both"/>
              <w:rPr>
                <w:sz w:val="16"/>
              </w:rPr>
            </w:pPr>
            <w:r>
              <w:rPr>
                <w:color w:val="231F20"/>
                <w:sz w:val="16"/>
              </w:rPr>
              <w:t>Summer/autumn low flow (four to six ML/day during</w:t>
            </w:r>
            <w:r>
              <w:rPr>
                <w:color w:val="231F20"/>
                <w:spacing w:val="-16"/>
                <w:sz w:val="16"/>
              </w:rPr>
              <w:t xml:space="preserve"> </w:t>
            </w:r>
            <w:r>
              <w:rPr>
                <w:color w:val="231F20"/>
                <w:sz w:val="16"/>
              </w:rPr>
              <w:t>December to May)</w:t>
            </w:r>
          </w:p>
        </w:tc>
        <w:tc>
          <w:tcPr>
            <w:tcW w:w="6236" w:type="dxa"/>
            <w:vMerge w:val="restart"/>
            <w:tcBorders>
              <w:top w:val="nil"/>
              <w:left w:val="single" w:sz="4" w:space="0" w:color="231F20"/>
              <w:bottom w:val="single" w:sz="4" w:space="0" w:color="231F20"/>
              <w:right w:val="single" w:sz="4" w:space="0" w:color="231F20"/>
            </w:tcBorders>
          </w:tcPr>
          <w:p w:rsidR="009A012E" w:rsidRPr="00B408A4" w:rsidRDefault="009A012E" w:rsidP="003D4127">
            <w:pPr>
              <w:pStyle w:val="TableParagraph"/>
              <w:numPr>
                <w:ilvl w:val="0"/>
                <w:numId w:val="1149"/>
              </w:numPr>
              <w:tabs>
                <w:tab w:val="left" w:pos="306"/>
              </w:tabs>
              <w:spacing w:before="70" w:line="254" w:lineRule="auto"/>
              <w:ind w:right="737"/>
              <w:rPr>
                <w:sz w:val="16"/>
                <w:szCs w:val="16"/>
              </w:rPr>
            </w:pPr>
            <w:r w:rsidRPr="00B408A4">
              <w:rPr>
                <w:color w:val="231F20"/>
                <w:sz w:val="16"/>
                <w:szCs w:val="16"/>
              </w:rPr>
              <w:t>Maintain waterbug habitat by providing suitable depth over</w:t>
            </w:r>
            <w:r w:rsidRPr="00B408A4">
              <w:rPr>
                <w:color w:val="231F20"/>
                <w:spacing w:val="-33"/>
                <w:sz w:val="16"/>
                <w:szCs w:val="16"/>
              </w:rPr>
              <w:t xml:space="preserve"> </w:t>
            </w:r>
            <w:r w:rsidRPr="00B408A4">
              <w:rPr>
                <w:color w:val="231F20"/>
                <w:sz w:val="16"/>
                <w:szCs w:val="16"/>
              </w:rPr>
              <w:t>riffles, maintaining pools and inundating large woody</w:t>
            </w:r>
            <w:r w:rsidRPr="00B408A4">
              <w:rPr>
                <w:color w:val="231F20"/>
                <w:spacing w:val="-12"/>
                <w:sz w:val="16"/>
                <w:szCs w:val="16"/>
              </w:rPr>
              <w:t xml:space="preserve"> </w:t>
            </w:r>
            <w:r w:rsidRPr="00B408A4">
              <w:rPr>
                <w:color w:val="231F20"/>
                <w:sz w:val="16"/>
                <w:szCs w:val="16"/>
              </w:rPr>
              <w:t>debris</w:t>
            </w:r>
          </w:p>
          <w:p w:rsidR="009A012E" w:rsidRPr="00B408A4" w:rsidRDefault="009A012E" w:rsidP="003D4127">
            <w:pPr>
              <w:pStyle w:val="TableParagraph"/>
              <w:numPr>
                <w:ilvl w:val="0"/>
                <w:numId w:val="1149"/>
              </w:numPr>
              <w:tabs>
                <w:tab w:val="left" w:pos="306"/>
              </w:tabs>
              <w:spacing w:before="87" w:line="254" w:lineRule="auto"/>
              <w:ind w:right="586"/>
              <w:rPr>
                <w:sz w:val="16"/>
                <w:szCs w:val="16"/>
              </w:rPr>
            </w:pPr>
            <w:r w:rsidRPr="00B408A4">
              <w:rPr>
                <w:color w:val="231F20"/>
                <w:sz w:val="16"/>
                <w:szCs w:val="16"/>
              </w:rPr>
              <w:t>Provide passage for small-bodied native fish and platypus</w:t>
            </w:r>
            <w:r w:rsidRPr="00B408A4">
              <w:rPr>
                <w:color w:val="231F20"/>
                <w:spacing w:val="-29"/>
                <w:sz w:val="16"/>
                <w:szCs w:val="16"/>
              </w:rPr>
              <w:t xml:space="preserve"> </w:t>
            </w:r>
            <w:r w:rsidRPr="00B408A4">
              <w:rPr>
                <w:color w:val="231F20"/>
                <w:sz w:val="16"/>
                <w:szCs w:val="16"/>
              </w:rPr>
              <w:t>between habitats</w:t>
            </w:r>
          </w:p>
        </w:tc>
        <w:tc>
          <w:tcPr>
            <w:tcW w:w="850" w:type="dxa"/>
            <w:tcBorders>
              <w:top w:val="nil"/>
              <w:left w:val="single" w:sz="4" w:space="0" w:color="231F20"/>
              <w:bottom w:val="nil"/>
              <w:right w:val="nil"/>
            </w:tcBorders>
          </w:tcPr>
          <w:p w:rsidR="009A012E" w:rsidRDefault="009A012E" w:rsidP="003D4127">
            <w:pPr>
              <w:pStyle w:val="TableParagraph"/>
              <w:spacing w:before="4" w:after="1"/>
              <w:ind w:left="0"/>
              <w:rPr>
                <w:b/>
                <w:sz w:val="9"/>
              </w:rPr>
            </w:pPr>
          </w:p>
          <w:p w:rsidR="009A012E" w:rsidRDefault="009A012E" w:rsidP="003D4127">
            <w:pPr>
              <w:pStyle w:val="TableParagraph"/>
              <w:ind w:left="315" w:right="-15"/>
              <w:rPr>
                <w:sz w:val="20"/>
              </w:rPr>
            </w:pPr>
            <w:r>
              <w:rPr>
                <w:noProof/>
                <w:sz w:val="20"/>
              </w:rPr>
              <w:drawing>
                <wp:inline distT="0" distB="0" distL="0" distR="0" wp14:anchorId="6FD8AC99" wp14:editId="66625E51">
                  <wp:extent cx="314168" cy="310896"/>
                  <wp:effectExtent l="0" t="0" r="0" b="0"/>
                  <wp:docPr id="290"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9A012E" w:rsidRDefault="009A012E" w:rsidP="003D4127">
            <w:pPr>
              <w:pStyle w:val="TableParagraph"/>
              <w:spacing w:before="4" w:after="1"/>
              <w:ind w:left="0"/>
              <w:rPr>
                <w:b/>
                <w:sz w:val="9"/>
              </w:rPr>
            </w:pPr>
          </w:p>
          <w:p w:rsidR="009A012E" w:rsidRDefault="009A012E" w:rsidP="003D4127">
            <w:pPr>
              <w:pStyle w:val="TableParagraph"/>
              <w:ind w:left="48"/>
              <w:rPr>
                <w:sz w:val="20"/>
              </w:rPr>
            </w:pPr>
            <w:r>
              <w:rPr>
                <w:noProof/>
                <w:sz w:val="20"/>
              </w:rPr>
              <w:drawing>
                <wp:inline distT="0" distB="0" distL="0" distR="0" wp14:anchorId="66C949A0" wp14:editId="531A7729">
                  <wp:extent cx="314168" cy="310896"/>
                  <wp:effectExtent l="0" t="0" r="0" b="0"/>
                  <wp:docPr id="292"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9A012E" w:rsidTr="003D4127">
        <w:trPr>
          <w:trHeight w:val="622"/>
        </w:trPr>
        <w:tc>
          <w:tcPr>
            <w:tcW w:w="2381" w:type="dxa"/>
            <w:vMerge/>
            <w:tcBorders>
              <w:top w:val="nil"/>
              <w:left w:val="single" w:sz="4" w:space="0" w:color="231F20"/>
              <w:bottom w:val="single" w:sz="4" w:space="0" w:color="auto"/>
              <w:right w:val="single" w:sz="4" w:space="0" w:color="231F20"/>
            </w:tcBorders>
          </w:tcPr>
          <w:p w:rsidR="009A012E" w:rsidRDefault="009A012E" w:rsidP="003D4127">
            <w:pPr>
              <w:rPr>
                <w:sz w:val="2"/>
                <w:szCs w:val="2"/>
              </w:rPr>
            </w:pPr>
          </w:p>
        </w:tc>
        <w:tc>
          <w:tcPr>
            <w:tcW w:w="6236" w:type="dxa"/>
            <w:vMerge/>
            <w:tcBorders>
              <w:top w:val="nil"/>
              <w:left w:val="single" w:sz="4" w:space="0" w:color="231F20"/>
              <w:bottom w:val="single" w:sz="4" w:space="0" w:color="auto"/>
              <w:right w:val="single" w:sz="4" w:space="0" w:color="231F20"/>
            </w:tcBorders>
          </w:tcPr>
          <w:p w:rsidR="009A012E" w:rsidRPr="00B408A4" w:rsidRDefault="009A012E" w:rsidP="003D4127">
            <w:pPr>
              <w:rPr>
                <w:sz w:val="16"/>
                <w:szCs w:val="16"/>
              </w:rPr>
            </w:pPr>
          </w:p>
        </w:tc>
        <w:tc>
          <w:tcPr>
            <w:tcW w:w="850" w:type="dxa"/>
            <w:tcBorders>
              <w:top w:val="nil"/>
              <w:left w:val="single" w:sz="4" w:space="0" w:color="231F20"/>
              <w:bottom w:val="single" w:sz="4" w:space="0" w:color="auto"/>
              <w:right w:val="nil"/>
            </w:tcBorders>
          </w:tcPr>
          <w:p w:rsidR="009A012E" w:rsidRDefault="009A012E" w:rsidP="003D4127">
            <w:pPr>
              <w:pStyle w:val="TableParagraph"/>
              <w:spacing w:before="1"/>
              <w:ind w:left="0"/>
              <w:rPr>
                <w:b/>
                <w:sz w:val="2"/>
              </w:rPr>
            </w:pPr>
          </w:p>
          <w:p w:rsidR="009A012E" w:rsidRDefault="009A012E" w:rsidP="003D4127">
            <w:pPr>
              <w:pStyle w:val="TableParagraph"/>
              <w:ind w:left="315" w:right="-15"/>
              <w:rPr>
                <w:sz w:val="20"/>
              </w:rPr>
            </w:pPr>
            <w:r>
              <w:rPr>
                <w:noProof/>
                <w:sz w:val="20"/>
              </w:rPr>
              <w:drawing>
                <wp:inline distT="0" distB="0" distL="0" distR="0" wp14:anchorId="395A3949" wp14:editId="555473BE">
                  <wp:extent cx="314177" cy="310896"/>
                  <wp:effectExtent l="0" t="0" r="0" b="0"/>
                  <wp:docPr id="294"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auto"/>
              <w:right w:val="single" w:sz="4" w:space="0" w:color="231F20"/>
            </w:tcBorders>
          </w:tcPr>
          <w:p w:rsidR="009A012E" w:rsidRDefault="009A012E" w:rsidP="003D4127">
            <w:pPr>
              <w:pStyle w:val="TableParagraph"/>
              <w:ind w:left="0"/>
              <w:rPr>
                <w:rFonts w:ascii="Times New Roman"/>
                <w:sz w:val="18"/>
              </w:rPr>
            </w:pPr>
          </w:p>
        </w:tc>
      </w:tr>
      <w:tr w:rsidR="009A012E" w:rsidTr="006E712C">
        <w:trPr>
          <w:trHeight w:val="1134"/>
        </w:trPr>
        <w:tc>
          <w:tcPr>
            <w:tcW w:w="2381" w:type="dxa"/>
            <w:tcBorders>
              <w:top w:val="single" w:sz="4" w:space="0" w:color="auto"/>
              <w:left w:val="single" w:sz="4" w:space="0" w:color="231F20"/>
              <w:bottom w:val="single" w:sz="4" w:space="0" w:color="auto"/>
              <w:right w:val="single" w:sz="4" w:space="0" w:color="231F20"/>
            </w:tcBorders>
          </w:tcPr>
          <w:p w:rsidR="009A012E" w:rsidRDefault="009A012E" w:rsidP="003D4127">
            <w:pPr>
              <w:pStyle w:val="TableParagraph"/>
              <w:spacing w:before="67" w:line="261" w:lineRule="auto"/>
              <w:ind w:left="85" w:right="140"/>
              <w:rPr>
                <w:sz w:val="16"/>
              </w:rPr>
            </w:pPr>
            <w:r>
              <w:rPr>
                <w:color w:val="231F20"/>
                <w:sz w:val="16"/>
              </w:rPr>
              <w:t>Summer/autumn fresh (one to five freshes of 20–40 ML/day for up to seven days during December to May)</w:t>
            </w:r>
          </w:p>
        </w:tc>
        <w:tc>
          <w:tcPr>
            <w:tcW w:w="6236" w:type="dxa"/>
            <w:tcBorders>
              <w:top w:val="single" w:sz="4" w:space="0" w:color="auto"/>
              <w:left w:val="single" w:sz="4" w:space="0" w:color="231F20"/>
              <w:bottom w:val="single" w:sz="4" w:space="0" w:color="auto"/>
              <w:right w:val="single" w:sz="4" w:space="0" w:color="231F20"/>
            </w:tcBorders>
          </w:tcPr>
          <w:p w:rsidR="009A012E" w:rsidRPr="00B408A4" w:rsidRDefault="009A012E" w:rsidP="003D4127">
            <w:pPr>
              <w:pStyle w:val="TableParagraph"/>
              <w:numPr>
                <w:ilvl w:val="0"/>
                <w:numId w:val="1148"/>
              </w:numPr>
              <w:tabs>
                <w:tab w:val="left" w:pos="306"/>
              </w:tabs>
              <w:spacing w:before="63"/>
              <w:ind w:hanging="218"/>
              <w:rPr>
                <w:sz w:val="16"/>
                <w:szCs w:val="16"/>
              </w:rPr>
            </w:pPr>
            <w:r w:rsidRPr="00B408A4">
              <w:rPr>
                <w:color w:val="231F20"/>
                <w:sz w:val="16"/>
                <w:szCs w:val="16"/>
              </w:rPr>
              <w:t>Flush pools to maintain water</w:t>
            </w:r>
            <w:r w:rsidRPr="00B408A4">
              <w:rPr>
                <w:color w:val="231F20"/>
                <w:spacing w:val="-4"/>
                <w:sz w:val="16"/>
                <w:szCs w:val="16"/>
              </w:rPr>
              <w:t xml:space="preserve"> </w:t>
            </w:r>
            <w:r w:rsidRPr="00B408A4">
              <w:rPr>
                <w:color w:val="231F20"/>
                <w:sz w:val="16"/>
                <w:szCs w:val="16"/>
              </w:rPr>
              <w:t>quality</w:t>
            </w:r>
          </w:p>
          <w:p w:rsidR="009A012E" w:rsidRPr="00B408A4" w:rsidRDefault="009A012E" w:rsidP="003D4127">
            <w:pPr>
              <w:pStyle w:val="TableParagraph"/>
              <w:numPr>
                <w:ilvl w:val="0"/>
                <w:numId w:val="1148"/>
              </w:numPr>
              <w:tabs>
                <w:tab w:val="left" w:pos="306"/>
              </w:tabs>
              <w:spacing w:before="98"/>
              <w:ind w:hanging="218"/>
              <w:rPr>
                <w:sz w:val="16"/>
                <w:szCs w:val="16"/>
              </w:rPr>
            </w:pPr>
            <w:r w:rsidRPr="00B408A4">
              <w:rPr>
                <w:color w:val="231F20"/>
                <w:sz w:val="16"/>
                <w:szCs w:val="16"/>
              </w:rPr>
              <w:t>Scour substrates to remove fine sediment</w:t>
            </w:r>
          </w:p>
          <w:p w:rsidR="009A012E" w:rsidRPr="00B408A4" w:rsidRDefault="009A012E" w:rsidP="003D4127">
            <w:pPr>
              <w:pStyle w:val="TableParagraph"/>
              <w:numPr>
                <w:ilvl w:val="0"/>
                <w:numId w:val="1148"/>
              </w:numPr>
              <w:tabs>
                <w:tab w:val="left" w:pos="306"/>
              </w:tabs>
              <w:spacing w:before="98" w:line="254" w:lineRule="auto"/>
              <w:ind w:right="537"/>
              <w:rPr>
                <w:sz w:val="16"/>
                <w:szCs w:val="16"/>
              </w:rPr>
            </w:pPr>
            <w:r w:rsidRPr="00B408A4">
              <w:rPr>
                <w:color w:val="231F20"/>
                <w:sz w:val="16"/>
                <w:szCs w:val="16"/>
              </w:rPr>
              <w:t>Wet the in-stream vegetation and streamside benches to support the</w:t>
            </w:r>
            <w:r w:rsidRPr="00B408A4">
              <w:rPr>
                <w:color w:val="231F20"/>
                <w:spacing w:val="-4"/>
                <w:sz w:val="16"/>
                <w:szCs w:val="16"/>
              </w:rPr>
              <w:t xml:space="preserve"> </w:t>
            </w:r>
            <w:r w:rsidRPr="00B408A4">
              <w:rPr>
                <w:color w:val="231F20"/>
                <w:sz w:val="16"/>
                <w:szCs w:val="16"/>
              </w:rPr>
              <w:t>growth</w:t>
            </w:r>
            <w:r w:rsidRPr="00B408A4">
              <w:rPr>
                <w:color w:val="231F20"/>
                <w:spacing w:val="-4"/>
                <w:sz w:val="16"/>
                <w:szCs w:val="16"/>
              </w:rPr>
              <w:t xml:space="preserve"> </w:t>
            </w:r>
            <w:r w:rsidRPr="00B408A4">
              <w:rPr>
                <w:color w:val="231F20"/>
                <w:sz w:val="16"/>
                <w:szCs w:val="16"/>
              </w:rPr>
              <w:t>of</w:t>
            </w:r>
            <w:r w:rsidRPr="00B408A4">
              <w:rPr>
                <w:color w:val="231F20"/>
                <w:spacing w:val="-4"/>
                <w:sz w:val="16"/>
                <w:szCs w:val="16"/>
              </w:rPr>
              <w:t xml:space="preserve"> </w:t>
            </w:r>
            <w:r w:rsidRPr="00B408A4">
              <w:rPr>
                <w:color w:val="231F20"/>
                <w:sz w:val="16"/>
                <w:szCs w:val="16"/>
              </w:rPr>
              <w:t>native</w:t>
            </w:r>
            <w:r w:rsidRPr="00B408A4">
              <w:rPr>
                <w:color w:val="231F20"/>
                <w:spacing w:val="-4"/>
                <w:sz w:val="16"/>
                <w:szCs w:val="16"/>
              </w:rPr>
              <w:t xml:space="preserve"> </w:t>
            </w:r>
            <w:r w:rsidRPr="00B408A4">
              <w:rPr>
                <w:color w:val="231F20"/>
                <w:sz w:val="16"/>
                <w:szCs w:val="16"/>
              </w:rPr>
              <w:t>streamside</w:t>
            </w:r>
            <w:r w:rsidRPr="00B408A4">
              <w:rPr>
                <w:color w:val="231F20"/>
                <w:spacing w:val="-4"/>
                <w:sz w:val="16"/>
                <w:szCs w:val="16"/>
              </w:rPr>
              <w:t xml:space="preserve"> </w:t>
            </w:r>
            <w:r w:rsidRPr="00B408A4">
              <w:rPr>
                <w:color w:val="231F20"/>
                <w:sz w:val="16"/>
                <w:szCs w:val="16"/>
              </w:rPr>
              <w:t>plants</w:t>
            </w:r>
            <w:r w:rsidRPr="00B408A4">
              <w:rPr>
                <w:color w:val="231F20"/>
                <w:spacing w:val="-4"/>
                <w:sz w:val="16"/>
                <w:szCs w:val="16"/>
              </w:rPr>
              <w:t xml:space="preserve"> </w:t>
            </w:r>
            <w:r w:rsidRPr="00B408A4">
              <w:rPr>
                <w:color w:val="231F20"/>
                <w:sz w:val="16"/>
                <w:szCs w:val="16"/>
              </w:rPr>
              <w:t>and</w:t>
            </w:r>
            <w:r w:rsidRPr="00B408A4">
              <w:rPr>
                <w:color w:val="231F20"/>
                <w:spacing w:val="-4"/>
                <w:sz w:val="16"/>
                <w:szCs w:val="16"/>
              </w:rPr>
              <w:t xml:space="preserve"> </w:t>
            </w:r>
            <w:r w:rsidRPr="00B408A4">
              <w:rPr>
                <w:color w:val="231F20"/>
                <w:sz w:val="16"/>
                <w:szCs w:val="16"/>
              </w:rPr>
              <w:t>to</w:t>
            </w:r>
            <w:r w:rsidRPr="00B408A4">
              <w:rPr>
                <w:color w:val="231F20"/>
                <w:spacing w:val="-3"/>
                <w:sz w:val="16"/>
                <w:szCs w:val="16"/>
              </w:rPr>
              <w:t xml:space="preserve"> </w:t>
            </w:r>
            <w:r w:rsidRPr="00B408A4">
              <w:rPr>
                <w:color w:val="231F20"/>
                <w:sz w:val="16"/>
                <w:szCs w:val="16"/>
              </w:rPr>
              <w:t>limit</w:t>
            </w:r>
            <w:r w:rsidRPr="00B408A4">
              <w:rPr>
                <w:color w:val="231F20"/>
                <w:spacing w:val="-4"/>
                <w:sz w:val="16"/>
                <w:szCs w:val="16"/>
              </w:rPr>
              <w:t xml:space="preserve"> </w:t>
            </w:r>
            <w:r w:rsidRPr="00B408A4">
              <w:rPr>
                <w:color w:val="231F20"/>
                <w:sz w:val="16"/>
                <w:szCs w:val="16"/>
              </w:rPr>
              <w:t>encroachment</w:t>
            </w:r>
            <w:r w:rsidRPr="00B408A4">
              <w:rPr>
                <w:color w:val="231F20"/>
                <w:spacing w:val="-5"/>
                <w:sz w:val="16"/>
                <w:szCs w:val="16"/>
              </w:rPr>
              <w:t xml:space="preserve"> </w:t>
            </w:r>
            <w:r w:rsidRPr="00B408A4">
              <w:rPr>
                <w:color w:val="231F20"/>
                <w:sz w:val="16"/>
                <w:szCs w:val="16"/>
              </w:rPr>
              <w:t>by terrestrial plant</w:t>
            </w:r>
            <w:r w:rsidRPr="00B408A4">
              <w:rPr>
                <w:color w:val="231F20"/>
                <w:spacing w:val="-2"/>
                <w:sz w:val="16"/>
                <w:szCs w:val="16"/>
              </w:rPr>
              <w:t xml:space="preserve"> </w:t>
            </w:r>
            <w:r w:rsidRPr="00B408A4">
              <w:rPr>
                <w:color w:val="231F20"/>
                <w:sz w:val="16"/>
                <w:szCs w:val="16"/>
              </w:rPr>
              <w:t>species</w:t>
            </w:r>
          </w:p>
          <w:p w:rsidR="009A012E" w:rsidRPr="00B408A4" w:rsidRDefault="009A012E" w:rsidP="003D4127">
            <w:pPr>
              <w:pStyle w:val="TableParagraph"/>
              <w:numPr>
                <w:ilvl w:val="0"/>
                <w:numId w:val="1148"/>
              </w:numPr>
              <w:tabs>
                <w:tab w:val="left" w:pos="306"/>
              </w:tabs>
              <w:spacing w:before="87" w:line="254" w:lineRule="auto"/>
              <w:ind w:right="586"/>
              <w:rPr>
                <w:sz w:val="16"/>
                <w:szCs w:val="16"/>
              </w:rPr>
            </w:pPr>
            <w:r w:rsidRPr="00B408A4">
              <w:rPr>
                <w:color w:val="231F20"/>
                <w:sz w:val="16"/>
                <w:szCs w:val="16"/>
              </w:rPr>
              <w:t>Provide passage for small-bodied native fish and platypus</w:t>
            </w:r>
            <w:r w:rsidRPr="00B408A4">
              <w:rPr>
                <w:color w:val="231F20"/>
                <w:spacing w:val="-29"/>
                <w:sz w:val="16"/>
                <w:szCs w:val="16"/>
              </w:rPr>
              <w:t xml:space="preserve"> </w:t>
            </w:r>
            <w:r w:rsidRPr="00B408A4">
              <w:rPr>
                <w:color w:val="231F20"/>
                <w:sz w:val="16"/>
                <w:szCs w:val="16"/>
              </w:rPr>
              <w:t>between habitats</w:t>
            </w:r>
          </w:p>
        </w:tc>
        <w:tc>
          <w:tcPr>
            <w:tcW w:w="1558" w:type="dxa"/>
            <w:gridSpan w:val="2"/>
            <w:tcBorders>
              <w:top w:val="single" w:sz="4" w:space="0" w:color="auto"/>
              <w:left w:val="single" w:sz="4" w:space="0" w:color="231F20"/>
              <w:bottom w:val="single" w:sz="4" w:space="0" w:color="auto"/>
              <w:right w:val="single" w:sz="4" w:space="0" w:color="231F20"/>
            </w:tcBorders>
          </w:tcPr>
          <w:p w:rsidR="009A012E" w:rsidRDefault="009A012E" w:rsidP="003D4127">
            <w:pPr>
              <w:pStyle w:val="TableParagraph"/>
              <w:spacing w:before="9"/>
              <w:ind w:left="0"/>
              <w:rPr>
                <w:b/>
                <w:sz w:val="8"/>
              </w:rPr>
            </w:pPr>
          </w:p>
          <w:p w:rsidR="009A012E" w:rsidRDefault="009A012E" w:rsidP="003D4127">
            <w:pPr>
              <w:pStyle w:val="TableParagraph"/>
              <w:spacing w:after="60"/>
              <w:ind w:left="318" w:right="-17"/>
              <w:rPr>
                <w:sz w:val="20"/>
              </w:rPr>
            </w:pPr>
            <w:r>
              <w:rPr>
                <w:noProof/>
                <w:sz w:val="20"/>
              </w:rPr>
              <w:drawing>
                <wp:inline distT="0" distB="0" distL="0" distR="0" wp14:anchorId="23E93224" wp14:editId="44355B0E">
                  <wp:extent cx="314168" cy="310896"/>
                  <wp:effectExtent l="0" t="0" r="0" b="0"/>
                  <wp:docPr id="296"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9.jpeg"/>
                          <pic:cNvPicPr/>
                        </pic:nvPicPr>
                        <pic:blipFill>
                          <a:blip r:embed="rId31"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4DF308F8" wp14:editId="7FABE69C">
                  <wp:extent cx="314168" cy="310896"/>
                  <wp:effectExtent l="0" t="0" r="0" b="0"/>
                  <wp:docPr id="298"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0.jpeg"/>
                          <pic:cNvPicPr/>
                        </pic:nvPicPr>
                        <pic:blipFill>
                          <a:blip r:embed="rId32" cstate="print"/>
                          <a:stretch>
                            <a:fillRect/>
                          </a:stretch>
                        </pic:blipFill>
                        <pic:spPr>
                          <a:xfrm>
                            <a:off x="0" y="0"/>
                            <a:ext cx="314168" cy="310896"/>
                          </a:xfrm>
                          <a:prstGeom prst="rect">
                            <a:avLst/>
                          </a:prstGeom>
                        </pic:spPr>
                      </pic:pic>
                    </a:graphicData>
                  </a:graphic>
                </wp:inline>
              </w:drawing>
            </w:r>
          </w:p>
          <w:p w:rsidR="009A012E" w:rsidRDefault="009A012E" w:rsidP="003D4127">
            <w:pPr>
              <w:pStyle w:val="TableParagraph"/>
              <w:spacing w:after="60"/>
              <w:ind w:left="318" w:right="-17"/>
              <w:rPr>
                <w:sz w:val="20"/>
              </w:rPr>
            </w:pPr>
            <w:r>
              <w:rPr>
                <w:noProof/>
                <w:sz w:val="20"/>
              </w:rPr>
              <w:drawing>
                <wp:inline distT="0" distB="0" distL="0" distR="0" wp14:anchorId="00BAEAAF" wp14:editId="1DC9E05E">
                  <wp:extent cx="314168" cy="310896"/>
                  <wp:effectExtent l="0" t="0" r="0" b="0"/>
                  <wp:docPr id="300"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1.jpeg"/>
                          <pic:cNvPicPr/>
                        </pic:nvPicPr>
                        <pic:blipFill>
                          <a:blip r:embed="rId43"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64B130BE" wp14:editId="7CA7D002">
                  <wp:extent cx="314168" cy="310896"/>
                  <wp:effectExtent l="0" t="0" r="0" b="0"/>
                  <wp:docPr id="302"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1.jpeg"/>
                          <pic:cNvPicPr/>
                        </pic:nvPicPr>
                        <pic:blipFill>
                          <a:blip r:embed="rId33" cstate="print"/>
                          <a:stretch>
                            <a:fillRect/>
                          </a:stretch>
                        </pic:blipFill>
                        <pic:spPr>
                          <a:xfrm>
                            <a:off x="0" y="0"/>
                            <a:ext cx="314168" cy="310896"/>
                          </a:xfrm>
                          <a:prstGeom prst="rect">
                            <a:avLst/>
                          </a:prstGeom>
                        </pic:spPr>
                      </pic:pic>
                    </a:graphicData>
                  </a:graphic>
                </wp:inline>
              </w:drawing>
            </w:r>
          </w:p>
          <w:p w:rsidR="009A012E" w:rsidRDefault="009A012E" w:rsidP="003D4127">
            <w:pPr>
              <w:pStyle w:val="TableParagraph"/>
              <w:ind w:left="315" w:right="-15"/>
              <w:rPr>
                <w:sz w:val="20"/>
              </w:rPr>
            </w:pPr>
            <w:r>
              <w:rPr>
                <w:noProof/>
                <w:sz w:val="20"/>
              </w:rPr>
              <w:drawing>
                <wp:inline distT="0" distB="0" distL="0" distR="0" wp14:anchorId="4CE3E34C" wp14:editId="5D93BD23">
                  <wp:extent cx="314168" cy="310896"/>
                  <wp:effectExtent l="0" t="0" r="0" b="0"/>
                  <wp:docPr id="304"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2.jpeg"/>
                          <pic:cNvPicPr/>
                        </pic:nvPicPr>
                        <pic:blipFill>
                          <a:blip r:embed="rId34"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07CBE273" wp14:editId="33BB1D7C">
                  <wp:extent cx="312858" cy="309600"/>
                  <wp:effectExtent l="0" t="0" r="5080" b="0"/>
                  <wp:docPr id="306" name="image23.png" descr="icon: water drop (qualit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png"/>
                          <pic:cNvPicPr/>
                        </pic:nvPicPr>
                        <pic:blipFill>
                          <a:blip r:embed="rId35" cstate="print"/>
                          <a:stretch>
                            <a:fillRect/>
                          </a:stretch>
                        </pic:blipFill>
                        <pic:spPr>
                          <a:xfrm>
                            <a:off x="0" y="0"/>
                            <a:ext cx="312858" cy="309600"/>
                          </a:xfrm>
                          <a:prstGeom prst="rect">
                            <a:avLst/>
                          </a:prstGeom>
                        </pic:spPr>
                      </pic:pic>
                    </a:graphicData>
                  </a:graphic>
                </wp:inline>
              </w:drawing>
            </w:r>
          </w:p>
        </w:tc>
      </w:tr>
      <w:tr w:rsidR="009A012E" w:rsidTr="003D4127">
        <w:trPr>
          <w:trHeight w:val="622"/>
        </w:trPr>
        <w:tc>
          <w:tcPr>
            <w:tcW w:w="2381" w:type="dxa"/>
            <w:tcBorders>
              <w:top w:val="single" w:sz="4" w:space="0" w:color="auto"/>
              <w:left w:val="single" w:sz="4" w:space="0" w:color="231F20"/>
              <w:bottom w:val="single" w:sz="4" w:space="0" w:color="auto"/>
              <w:right w:val="single" w:sz="4" w:space="0" w:color="231F20"/>
            </w:tcBorders>
          </w:tcPr>
          <w:p w:rsidR="009A012E" w:rsidRDefault="009A012E" w:rsidP="003D4127">
            <w:pPr>
              <w:pStyle w:val="TableParagraph"/>
              <w:spacing w:before="67"/>
              <w:ind w:left="85"/>
              <w:rPr>
                <w:sz w:val="16"/>
              </w:rPr>
            </w:pPr>
            <w:r>
              <w:rPr>
                <w:color w:val="231F20"/>
                <w:sz w:val="16"/>
              </w:rPr>
              <w:t>Winter/spring low flow</w:t>
            </w:r>
          </w:p>
          <w:p w:rsidR="009A012E" w:rsidRDefault="009A012E" w:rsidP="003D4127">
            <w:pPr>
              <w:pStyle w:val="TableParagraph"/>
              <w:spacing w:before="67" w:line="261" w:lineRule="auto"/>
              <w:ind w:left="85" w:right="140"/>
              <w:rPr>
                <w:color w:val="231F20"/>
                <w:sz w:val="16"/>
              </w:rPr>
            </w:pPr>
            <w:r>
              <w:rPr>
                <w:color w:val="231F20"/>
                <w:sz w:val="16"/>
              </w:rPr>
              <w:t>(20–40 ML/day during June to November)</w:t>
            </w:r>
          </w:p>
        </w:tc>
        <w:tc>
          <w:tcPr>
            <w:tcW w:w="6236" w:type="dxa"/>
            <w:tcBorders>
              <w:top w:val="single" w:sz="4" w:space="0" w:color="auto"/>
              <w:left w:val="single" w:sz="4" w:space="0" w:color="231F20"/>
              <w:bottom w:val="single" w:sz="4" w:space="0" w:color="auto"/>
              <w:right w:val="single" w:sz="4" w:space="0" w:color="231F20"/>
            </w:tcBorders>
          </w:tcPr>
          <w:p w:rsidR="009A012E" w:rsidRPr="00B408A4" w:rsidRDefault="009A012E" w:rsidP="003D4127">
            <w:pPr>
              <w:pStyle w:val="TableParagraph"/>
              <w:numPr>
                <w:ilvl w:val="0"/>
                <w:numId w:val="1147"/>
              </w:numPr>
              <w:tabs>
                <w:tab w:val="left" w:pos="306"/>
              </w:tabs>
              <w:spacing w:before="63" w:line="254" w:lineRule="auto"/>
              <w:ind w:right="459"/>
              <w:rPr>
                <w:sz w:val="16"/>
                <w:szCs w:val="16"/>
              </w:rPr>
            </w:pPr>
            <w:r w:rsidRPr="00B408A4">
              <w:rPr>
                <w:color w:val="231F20"/>
                <w:sz w:val="16"/>
                <w:szCs w:val="16"/>
              </w:rPr>
              <w:t>Wet the in-stream vegetation and streamside benches to support</w:t>
            </w:r>
            <w:r w:rsidRPr="00B408A4">
              <w:rPr>
                <w:color w:val="231F20"/>
                <w:spacing w:val="-24"/>
                <w:sz w:val="16"/>
                <w:szCs w:val="16"/>
              </w:rPr>
              <w:t xml:space="preserve"> </w:t>
            </w:r>
            <w:r w:rsidRPr="00B408A4">
              <w:rPr>
                <w:color w:val="231F20"/>
                <w:sz w:val="16"/>
                <w:szCs w:val="16"/>
              </w:rPr>
              <w:t>the growth of native plants and to limit encroachment by terrestrial plant species</w:t>
            </w:r>
          </w:p>
          <w:p w:rsidR="009A012E" w:rsidRPr="00B408A4" w:rsidRDefault="009A012E" w:rsidP="003D4127">
            <w:pPr>
              <w:pStyle w:val="TableParagraph"/>
              <w:numPr>
                <w:ilvl w:val="0"/>
                <w:numId w:val="1147"/>
              </w:numPr>
              <w:tabs>
                <w:tab w:val="left" w:pos="306"/>
              </w:tabs>
              <w:spacing w:before="87"/>
              <w:ind w:hanging="218"/>
              <w:rPr>
                <w:sz w:val="16"/>
                <w:szCs w:val="16"/>
              </w:rPr>
            </w:pPr>
            <w:r w:rsidRPr="00B408A4">
              <w:rPr>
                <w:color w:val="231F20"/>
                <w:sz w:val="16"/>
                <w:szCs w:val="16"/>
              </w:rPr>
              <w:t>Scour substrates to remove fine sediment</w:t>
            </w:r>
          </w:p>
          <w:p w:rsidR="009A012E" w:rsidRPr="00B408A4" w:rsidRDefault="009A012E" w:rsidP="003D4127">
            <w:pPr>
              <w:pStyle w:val="TableParagraph"/>
              <w:numPr>
                <w:ilvl w:val="0"/>
                <w:numId w:val="1147"/>
              </w:numPr>
              <w:tabs>
                <w:tab w:val="left" w:pos="306"/>
              </w:tabs>
              <w:spacing w:before="98" w:line="254" w:lineRule="auto"/>
              <w:ind w:right="586"/>
              <w:rPr>
                <w:sz w:val="16"/>
                <w:szCs w:val="16"/>
              </w:rPr>
            </w:pPr>
            <w:r w:rsidRPr="00B408A4">
              <w:rPr>
                <w:color w:val="231F20"/>
                <w:sz w:val="16"/>
                <w:szCs w:val="16"/>
              </w:rPr>
              <w:t>Provide passage for small-bodied native fish and platypus</w:t>
            </w:r>
            <w:r w:rsidRPr="00B408A4">
              <w:rPr>
                <w:color w:val="231F20"/>
                <w:spacing w:val="-29"/>
                <w:sz w:val="16"/>
                <w:szCs w:val="16"/>
              </w:rPr>
              <w:t xml:space="preserve"> </w:t>
            </w:r>
            <w:r w:rsidRPr="00B408A4">
              <w:rPr>
                <w:color w:val="231F20"/>
                <w:sz w:val="16"/>
                <w:szCs w:val="16"/>
              </w:rPr>
              <w:t>between habitats</w:t>
            </w:r>
          </w:p>
        </w:tc>
        <w:tc>
          <w:tcPr>
            <w:tcW w:w="1558" w:type="dxa"/>
            <w:gridSpan w:val="2"/>
            <w:tcBorders>
              <w:top w:val="single" w:sz="4" w:space="0" w:color="auto"/>
              <w:left w:val="single" w:sz="4" w:space="0" w:color="231F20"/>
              <w:bottom w:val="single" w:sz="4" w:space="0" w:color="auto"/>
              <w:right w:val="single" w:sz="4" w:space="0" w:color="231F20"/>
            </w:tcBorders>
          </w:tcPr>
          <w:p w:rsidR="009A012E" w:rsidRDefault="009A012E" w:rsidP="003D4127">
            <w:pPr>
              <w:pStyle w:val="TableParagraph"/>
              <w:spacing w:before="9"/>
              <w:ind w:left="0"/>
              <w:rPr>
                <w:b/>
                <w:sz w:val="8"/>
              </w:rPr>
            </w:pPr>
          </w:p>
          <w:p w:rsidR="009A012E" w:rsidRDefault="009A012E" w:rsidP="003D4127">
            <w:pPr>
              <w:pStyle w:val="TableParagraph"/>
              <w:spacing w:after="60"/>
              <w:ind w:left="318" w:right="-17"/>
              <w:rPr>
                <w:sz w:val="20"/>
              </w:rPr>
            </w:pPr>
            <w:r>
              <w:rPr>
                <w:noProof/>
                <w:sz w:val="20"/>
              </w:rPr>
              <w:drawing>
                <wp:inline distT="0" distB="0" distL="0" distR="0" wp14:anchorId="2C66F15E" wp14:editId="04467C64">
                  <wp:extent cx="314168" cy="310896"/>
                  <wp:effectExtent l="0" t="0" r="0" b="0"/>
                  <wp:docPr id="308"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9.jpeg"/>
                          <pic:cNvPicPr/>
                        </pic:nvPicPr>
                        <pic:blipFill>
                          <a:blip r:embed="rId31"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1F1EC89E" wp14:editId="7B032964">
                  <wp:extent cx="314168" cy="310896"/>
                  <wp:effectExtent l="0" t="0" r="0" b="0"/>
                  <wp:docPr id="310"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0.jpeg"/>
                          <pic:cNvPicPr/>
                        </pic:nvPicPr>
                        <pic:blipFill>
                          <a:blip r:embed="rId32" cstate="print"/>
                          <a:stretch>
                            <a:fillRect/>
                          </a:stretch>
                        </pic:blipFill>
                        <pic:spPr>
                          <a:xfrm>
                            <a:off x="0" y="0"/>
                            <a:ext cx="314168" cy="310896"/>
                          </a:xfrm>
                          <a:prstGeom prst="rect">
                            <a:avLst/>
                          </a:prstGeom>
                        </pic:spPr>
                      </pic:pic>
                    </a:graphicData>
                  </a:graphic>
                </wp:inline>
              </w:drawing>
            </w:r>
          </w:p>
          <w:p w:rsidR="009A012E" w:rsidRDefault="009A012E" w:rsidP="003D4127">
            <w:pPr>
              <w:pStyle w:val="TableParagraph"/>
              <w:spacing w:after="60"/>
              <w:ind w:left="318" w:right="-17"/>
              <w:rPr>
                <w:sz w:val="20"/>
              </w:rPr>
            </w:pPr>
            <w:r>
              <w:rPr>
                <w:noProof/>
                <w:sz w:val="20"/>
              </w:rPr>
              <w:drawing>
                <wp:inline distT="0" distB="0" distL="0" distR="0" wp14:anchorId="4357D2EB" wp14:editId="1B43694D">
                  <wp:extent cx="314168" cy="310896"/>
                  <wp:effectExtent l="0" t="0" r="0" b="0"/>
                  <wp:docPr id="312"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1.jpeg"/>
                          <pic:cNvPicPr/>
                        </pic:nvPicPr>
                        <pic:blipFill>
                          <a:blip r:embed="rId43"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042B5FFB" wp14:editId="0F0DCBB8">
                  <wp:extent cx="314168" cy="310896"/>
                  <wp:effectExtent l="0" t="0" r="0" b="0"/>
                  <wp:docPr id="314"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1.jpeg"/>
                          <pic:cNvPicPr/>
                        </pic:nvPicPr>
                        <pic:blipFill>
                          <a:blip r:embed="rId33" cstate="print"/>
                          <a:stretch>
                            <a:fillRect/>
                          </a:stretch>
                        </pic:blipFill>
                        <pic:spPr>
                          <a:xfrm>
                            <a:off x="0" y="0"/>
                            <a:ext cx="314168" cy="310896"/>
                          </a:xfrm>
                          <a:prstGeom prst="rect">
                            <a:avLst/>
                          </a:prstGeom>
                        </pic:spPr>
                      </pic:pic>
                    </a:graphicData>
                  </a:graphic>
                </wp:inline>
              </w:drawing>
            </w:r>
          </w:p>
          <w:p w:rsidR="009A012E" w:rsidRDefault="009A012E" w:rsidP="003D4127">
            <w:pPr>
              <w:pStyle w:val="TableParagraph"/>
              <w:spacing w:after="120"/>
              <w:ind w:left="318" w:right="-17"/>
              <w:rPr>
                <w:sz w:val="20"/>
              </w:rPr>
            </w:pPr>
            <w:r>
              <w:rPr>
                <w:noProof/>
                <w:sz w:val="20"/>
              </w:rPr>
              <w:drawing>
                <wp:inline distT="0" distB="0" distL="0" distR="0" wp14:anchorId="1F4D19C7" wp14:editId="6BE2A927">
                  <wp:extent cx="314177" cy="310896"/>
                  <wp:effectExtent l="0" t="0" r="0" b="0"/>
                  <wp:docPr id="316"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bl>
    <w:p w:rsidR="006A7A3F" w:rsidRDefault="006A7A3F">
      <w:pPr>
        <w:pStyle w:val="BodyText"/>
        <w:spacing w:before="10"/>
        <w:ind w:left="0"/>
        <w:rPr>
          <w:b/>
          <w:sz w:val="8"/>
        </w:rPr>
      </w:pPr>
    </w:p>
    <w:p w:rsidR="006A7A3F" w:rsidRDefault="00BC7372">
      <w:pPr>
        <w:pStyle w:val="Heading4"/>
        <w:spacing w:before="92"/>
      </w:pPr>
      <w:r>
        <w:rPr>
          <w:color w:val="231F20"/>
        </w:rPr>
        <w:t>Scenario planning</w:t>
      </w:r>
    </w:p>
    <w:p w:rsidR="006A7A3F" w:rsidRDefault="00BC7372">
      <w:pPr>
        <w:pStyle w:val="BodyText"/>
        <w:spacing w:before="58" w:line="249" w:lineRule="auto"/>
        <w:ind w:right="100"/>
      </w:pPr>
      <w:r>
        <w:rPr>
          <w:color w:val="231F20"/>
        </w:rPr>
        <w:t>Table 3.4.2 outlines the potential environmental watering and expected water use under a range of planning scenarios.</w:t>
      </w:r>
    </w:p>
    <w:p w:rsidR="006A7A3F" w:rsidRDefault="00BC7372">
      <w:pPr>
        <w:pStyle w:val="BodyText"/>
        <w:spacing w:line="249" w:lineRule="auto"/>
        <w:ind w:right="406"/>
      </w:pPr>
      <w:r>
        <w:rPr>
          <w:color w:val="231F20"/>
        </w:rPr>
        <w:t>Under drought or dry conditions, any water purchased for the environment would be used to maintain suitable habitat for plants and animals in Jacksons Creek (reaches 6 and 7). Summer/autumn low flows and freshes aim to maintain the health of native fish, waterbugs and platypus populations, by providing access to food and habitat resources in drier conditions.</w:t>
      </w:r>
    </w:p>
    <w:p w:rsidR="006A7A3F" w:rsidRDefault="00BC7372">
      <w:pPr>
        <w:pStyle w:val="BodyText"/>
        <w:spacing w:before="173" w:line="249" w:lineRule="auto"/>
        <w:ind w:right="297"/>
      </w:pPr>
      <w:r>
        <w:rPr>
          <w:color w:val="231F20"/>
        </w:rPr>
        <w:t>Under average and wet conditions, natural flow is expected to meet some of the environmental flow objectives. Water for the environment may be used to improve and enhance environmental outcomes for aquatic plants and animals, by filling gaps not met by natural flow (for example, by providing additional freshes) or by extending the duration of unregulated events.</w:t>
      </w:r>
    </w:p>
    <w:p w:rsidR="006A7A3F" w:rsidRDefault="00BC7372">
      <w:pPr>
        <w:pStyle w:val="BodyText"/>
        <w:spacing w:before="174" w:line="249" w:lineRule="auto"/>
        <w:ind w:right="196"/>
      </w:pPr>
      <w:r>
        <w:rPr>
          <w:color w:val="231F20"/>
        </w:rPr>
        <w:t>If more water is made available in 2020–21, the priority will be to deliver additional freshes year-round and increase the duration and magnitude of low flows during winter and spring.</w:t>
      </w:r>
    </w:p>
    <w:p w:rsidR="006A7A3F" w:rsidRDefault="00BC7372">
      <w:pPr>
        <w:pStyle w:val="BodyText"/>
        <w:spacing w:before="171" w:line="249" w:lineRule="auto"/>
        <w:ind w:right="208"/>
      </w:pPr>
      <w:r>
        <w:rPr>
          <w:color w:val="231F20"/>
        </w:rPr>
        <w:t>If Rosslynne Reservoir receives limited inflows in winter and spring 2020, there will be little if any opportunity to purchase water to support environmental flows in the Maribyrnong system during 2020–21. The VEWH is unable to carry over any water in the Maribyrnong system to support multi-year planning.</w:t>
      </w:r>
    </w:p>
    <w:p w:rsidR="009A012E" w:rsidRDefault="009A012E">
      <w:pPr>
        <w:rPr>
          <w:b/>
          <w:color w:val="231F20"/>
          <w:sz w:val="18"/>
        </w:rPr>
      </w:pPr>
      <w:r>
        <w:rPr>
          <w:b/>
          <w:color w:val="231F20"/>
          <w:sz w:val="18"/>
        </w:rPr>
        <w:br w:type="page"/>
      </w:r>
    </w:p>
    <w:p w:rsidR="006A7A3F" w:rsidRDefault="00BC7372" w:rsidP="001519FF">
      <w:pPr>
        <w:spacing w:before="168" w:after="120"/>
        <w:ind w:left="210"/>
        <w:rPr>
          <w:b/>
          <w:sz w:val="18"/>
        </w:rPr>
      </w:pPr>
      <w:r>
        <w:rPr>
          <w:b/>
          <w:color w:val="231F20"/>
          <w:sz w:val="18"/>
        </w:rPr>
        <w:t>Table 3.4.2 Potential environmental watering for the Maribyrnong system under a range of planning scenarios</w:t>
      </w: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1519FF" w:rsidTr="003D4127">
        <w:trPr>
          <w:trHeight w:val="367"/>
        </w:trPr>
        <w:tc>
          <w:tcPr>
            <w:tcW w:w="2041" w:type="dxa"/>
            <w:tcBorders>
              <w:top w:val="nil"/>
              <w:left w:val="nil"/>
              <w:bottom w:val="nil"/>
            </w:tcBorders>
            <w:shd w:val="clear" w:color="auto" w:fill="231F20"/>
          </w:tcPr>
          <w:p w:rsidR="001519FF" w:rsidRDefault="001519FF" w:rsidP="003D4127">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1519FF" w:rsidRDefault="001519FF" w:rsidP="003D4127">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1519FF" w:rsidRDefault="001519FF" w:rsidP="003D4127">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1519FF" w:rsidRDefault="001519FF" w:rsidP="003D4127">
            <w:pPr>
              <w:pStyle w:val="TableParagraph"/>
              <w:spacing w:before="80"/>
              <w:ind w:left="84"/>
              <w:rPr>
                <w:b/>
                <w:sz w:val="18"/>
              </w:rPr>
            </w:pPr>
            <w:r>
              <w:rPr>
                <w:b/>
                <w:color w:val="FFFFFF"/>
                <w:sz w:val="18"/>
              </w:rPr>
              <w:t>Average</w:t>
            </w:r>
          </w:p>
        </w:tc>
        <w:tc>
          <w:tcPr>
            <w:tcW w:w="2041" w:type="dxa"/>
            <w:tcBorders>
              <w:top w:val="nil"/>
              <w:bottom w:val="nil"/>
              <w:right w:val="nil"/>
            </w:tcBorders>
            <w:shd w:val="clear" w:color="auto" w:fill="231F20"/>
          </w:tcPr>
          <w:p w:rsidR="001519FF" w:rsidRDefault="001519FF" w:rsidP="003D4127">
            <w:pPr>
              <w:pStyle w:val="TableParagraph"/>
              <w:spacing w:before="80"/>
              <w:ind w:left="84"/>
              <w:rPr>
                <w:b/>
                <w:sz w:val="18"/>
              </w:rPr>
            </w:pPr>
            <w:r>
              <w:rPr>
                <w:b/>
                <w:color w:val="FFFFFF"/>
                <w:sz w:val="18"/>
              </w:rPr>
              <w:t>Wet</w:t>
            </w:r>
          </w:p>
        </w:tc>
      </w:tr>
      <w:tr w:rsidR="001519FF" w:rsidTr="003D4127">
        <w:trPr>
          <w:trHeight w:val="2717"/>
        </w:trPr>
        <w:tc>
          <w:tcPr>
            <w:tcW w:w="2041" w:type="dxa"/>
            <w:tcBorders>
              <w:top w:val="nil"/>
              <w:left w:val="single" w:sz="4" w:space="0" w:color="231F20"/>
              <w:bottom w:val="single" w:sz="4" w:space="0" w:color="231F20"/>
              <w:right w:val="single" w:sz="4" w:space="0" w:color="231F20"/>
            </w:tcBorders>
          </w:tcPr>
          <w:p w:rsidR="001519FF" w:rsidRDefault="001519FF" w:rsidP="003D4127">
            <w:pPr>
              <w:pStyle w:val="TableParagraph"/>
              <w:spacing w:before="74"/>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46"/>
              </w:numPr>
              <w:tabs>
                <w:tab w:val="left" w:pos="305"/>
              </w:tabs>
              <w:spacing w:before="70" w:line="254" w:lineRule="auto"/>
              <w:ind w:right="283"/>
              <w:rPr>
                <w:sz w:val="16"/>
                <w:szCs w:val="16"/>
              </w:rPr>
            </w:pPr>
            <w:r w:rsidRPr="00B408A4">
              <w:rPr>
                <w:color w:val="231F20"/>
                <w:sz w:val="16"/>
                <w:szCs w:val="16"/>
              </w:rPr>
              <w:t>Unregulated flows unlikely</w:t>
            </w:r>
          </w:p>
          <w:p w:rsidR="001519FF" w:rsidRPr="00B408A4" w:rsidRDefault="001519FF" w:rsidP="003D4127">
            <w:pPr>
              <w:pStyle w:val="TableParagraph"/>
              <w:numPr>
                <w:ilvl w:val="0"/>
                <w:numId w:val="1146"/>
              </w:numPr>
              <w:tabs>
                <w:tab w:val="left" w:pos="305"/>
              </w:tabs>
              <w:spacing w:before="87" w:line="254" w:lineRule="auto"/>
              <w:ind w:right="623"/>
              <w:rPr>
                <w:sz w:val="16"/>
                <w:szCs w:val="16"/>
              </w:rPr>
            </w:pPr>
            <w:r w:rsidRPr="00B408A4">
              <w:rPr>
                <w:color w:val="231F20"/>
                <w:sz w:val="16"/>
                <w:szCs w:val="16"/>
              </w:rPr>
              <w:t xml:space="preserve">Passing </w:t>
            </w:r>
            <w:r w:rsidRPr="00B408A4">
              <w:rPr>
                <w:color w:val="231F20"/>
                <w:spacing w:val="-4"/>
                <w:sz w:val="16"/>
                <w:szCs w:val="16"/>
              </w:rPr>
              <w:t xml:space="preserve">flows </w:t>
            </w:r>
            <w:r w:rsidRPr="00B408A4">
              <w:rPr>
                <w:color w:val="231F20"/>
                <w:sz w:val="16"/>
                <w:szCs w:val="16"/>
              </w:rPr>
              <w:t>ceased</w:t>
            </w:r>
          </w:p>
          <w:p w:rsidR="001519FF" w:rsidRPr="00B408A4" w:rsidRDefault="001519FF" w:rsidP="003D4127">
            <w:pPr>
              <w:pStyle w:val="TableParagraph"/>
              <w:numPr>
                <w:ilvl w:val="0"/>
                <w:numId w:val="1146"/>
              </w:numPr>
              <w:tabs>
                <w:tab w:val="left" w:pos="305"/>
              </w:tabs>
              <w:spacing w:before="86" w:line="254" w:lineRule="auto"/>
              <w:ind w:right="313"/>
              <w:rPr>
                <w:sz w:val="16"/>
                <w:szCs w:val="16"/>
              </w:rPr>
            </w:pPr>
            <w:r w:rsidRPr="00B408A4">
              <w:rPr>
                <w:color w:val="231F20"/>
                <w:sz w:val="16"/>
                <w:szCs w:val="16"/>
              </w:rPr>
              <w:t>Some baseflow from groundwater contributions in lower Jacksons Creek</w:t>
            </w:r>
          </w:p>
        </w:tc>
        <w:tc>
          <w:tcPr>
            <w:tcW w:w="2041" w:type="dxa"/>
            <w:tcBorders>
              <w:top w:val="nil"/>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45"/>
              </w:numPr>
              <w:tabs>
                <w:tab w:val="left" w:pos="305"/>
              </w:tabs>
              <w:spacing w:before="70" w:line="254" w:lineRule="auto"/>
              <w:ind w:right="313"/>
              <w:rPr>
                <w:sz w:val="16"/>
                <w:szCs w:val="16"/>
              </w:rPr>
            </w:pPr>
            <w:r w:rsidRPr="00B408A4">
              <w:rPr>
                <w:color w:val="231F20"/>
                <w:sz w:val="16"/>
                <w:szCs w:val="16"/>
              </w:rPr>
              <w:t>Low volumes of unregulated</w:t>
            </w:r>
            <w:r w:rsidRPr="00B408A4">
              <w:rPr>
                <w:color w:val="231F20"/>
                <w:spacing w:val="-9"/>
                <w:sz w:val="16"/>
                <w:szCs w:val="16"/>
              </w:rPr>
              <w:t xml:space="preserve"> </w:t>
            </w:r>
            <w:r w:rsidRPr="00B408A4">
              <w:rPr>
                <w:color w:val="231F20"/>
                <w:sz w:val="16"/>
                <w:szCs w:val="16"/>
              </w:rPr>
              <w:t>flows</w:t>
            </w:r>
          </w:p>
          <w:p w:rsidR="001519FF" w:rsidRPr="00B408A4" w:rsidRDefault="001519FF" w:rsidP="003D4127">
            <w:pPr>
              <w:pStyle w:val="TableParagraph"/>
              <w:numPr>
                <w:ilvl w:val="0"/>
                <w:numId w:val="1145"/>
              </w:numPr>
              <w:tabs>
                <w:tab w:val="left" w:pos="305"/>
              </w:tabs>
              <w:spacing w:before="87" w:line="254" w:lineRule="auto"/>
              <w:ind w:right="133"/>
              <w:rPr>
                <w:sz w:val="16"/>
                <w:szCs w:val="16"/>
              </w:rPr>
            </w:pPr>
            <w:r w:rsidRPr="00B408A4">
              <w:rPr>
                <w:color w:val="231F20"/>
                <w:sz w:val="16"/>
                <w:szCs w:val="16"/>
              </w:rPr>
              <w:t>Passing flows may meet some low-flow objectives</w:t>
            </w:r>
          </w:p>
          <w:p w:rsidR="001519FF" w:rsidRPr="00B408A4" w:rsidRDefault="001519FF" w:rsidP="003D4127">
            <w:pPr>
              <w:pStyle w:val="TableParagraph"/>
              <w:numPr>
                <w:ilvl w:val="0"/>
                <w:numId w:val="1145"/>
              </w:numPr>
              <w:tabs>
                <w:tab w:val="left" w:pos="305"/>
              </w:tabs>
              <w:spacing w:before="86" w:line="254" w:lineRule="auto"/>
              <w:ind w:right="313"/>
              <w:rPr>
                <w:sz w:val="16"/>
                <w:szCs w:val="16"/>
              </w:rPr>
            </w:pPr>
            <w:r w:rsidRPr="00B408A4">
              <w:rPr>
                <w:color w:val="231F20"/>
                <w:sz w:val="16"/>
                <w:szCs w:val="16"/>
              </w:rPr>
              <w:t>Some baseflow from groundwater contributions in lower Jacksons Creek</w:t>
            </w:r>
          </w:p>
        </w:tc>
        <w:tc>
          <w:tcPr>
            <w:tcW w:w="2041" w:type="dxa"/>
            <w:tcBorders>
              <w:top w:val="nil"/>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44"/>
              </w:numPr>
              <w:tabs>
                <w:tab w:val="left" w:pos="305"/>
              </w:tabs>
              <w:spacing w:before="70" w:line="254" w:lineRule="auto"/>
              <w:ind w:right="373"/>
              <w:rPr>
                <w:sz w:val="16"/>
                <w:szCs w:val="16"/>
              </w:rPr>
            </w:pPr>
            <w:r w:rsidRPr="00B408A4">
              <w:rPr>
                <w:color w:val="231F20"/>
                <w:sz w:val="16"/>
                <w:szCs w:val="16"/>
              </w:rPr>
              <w:t xml:space="preserve">Unregulated flows meet </w:t>
            </w:r>
            <w:r w:rsidRPr="00B408A4">
              <w:rPr>
                <w:color w:val="231F20"/>
                <w:spacing w:val="-5"/>
                <w:sz w:val="16"/>
                <w:szCs w:val="16"/>
              </w:rPr>
              <w:t xml:space="preserve">some </w:t>
            </w:r>
            <w:r w:rsidRPr="00B408A4">
              <w:rPr>
                <w:color w:val="231F20"/>
                <w:sz w:val="16"/>
                <w:szCs w:val="16"/>
              </w:rPr>
              <w:t>objectives</w:t>
            </w:r>
          </w:p>
          <w:p w:rsidR="001519FF" w:rsidRPr="00B408A4" w:rsidRDefault="001519FF" w:rsidP="003D4127">
            <w:pPr>
              <w:pStyle w:val="TableParagraph"/>
              <w:numPr>
                <w:ilvl w:val="0"/>
                <w:numId w:val="1144"/>
              </w:numPr>
              <w:tabs>
                <w:tab w:val="left" w:pos="305"/>
              </w:tabs>
              <w:spacing w:before="87" w:line="254" w:lineRule="auto"/>
              <w:ind w:right="233"/>
              <w:rPr>
                <w:sz w:val="16"/>
                <w:szCs w:val="16"/>
              </w:rPr>
            </w:pPr>
            <w:r w:rsidRPr="00B408A4">
              <w:rPr>
                <w:color w:val="231F20"/>
                <w:sz w:val="16"/>
                <w:szCs w:val="16"/>
              </w:rPr>
              <w:t xml:space="preserve">Passing flows </w:t>
            </w:r>
            <w:r w:rsidRPr="00B408A4">
              <w:rPr>
                <w:color w:val="231F20"/>
                <w:spacing w:val="-6"/>
                <w:sz w:val="16"/>
                <w:szCs w:val="16"/>
              </w:rPr>
              <w:t xml:space="preserve">may </w:t>
            </w:r>
            <w:r w:rsidRPr="00B408A4">
              <w:rPr>
                <w:color w:val="231F20"/>
                <w:sz w:val="16"/>
                <w:szCs w:val="16"/>
              </w:rPr>
              <w:t>meet several low- flow</w:t>
            </w:r>
            <w:r w:rsidRPr="00B408A4">
              <w:rPr>
                <w:color w:val="231F20"/>
                <w:spacing w:val="-2"/>
                <w:sz w:val="16"/>
                <w:szCs w:val="16"/>
              </w:rPr>
              <w:t xml:space="preserve"> </w:t>
            </w:r>
            <w:r w:rsidRPr="00B408A4">
              <w:rPr>
                <w:color w:val="231F20"/>
                <w:sz w:val="16"/>
                <w:szCs w:val="16"/>
              </w:rPr>
              <w:t>objectives</w:t>
            </w:r>
          </w:p>
          <w:p w:rsidR="001519FF" w:rsidRPr="00B408A4" w:rsidRDefault="001519FF" w:rsidP="003D4127">
            <w:pPr>
              <w:pStyle w:val="TableParagraph"/>
              <w:numPr>
                <w:ilvl w:val="0"/>
                <w:numId w:val="1144"/>
              </w:numPr>
              <w:tabs>
                <w:tab w:val="left" w:pos="305"/>
              </w:tabs>
              <w:spacing w:before="87" w:line="254" w:lineRule="auto"/>
              <w:ind w:right="303"/>
              <w:rPr>
                <w:sz w:val="16"/>
                <w:szCs w:val="16"/>
              </w:rPr>
            </w:pPr>
            <w:r w:rsidRPr="00B408A4">
              <w:rPr>
                <w:color w:val="231F20"/>
                <w:sz w:val="16"/>
                <w:szCs w:val="16"/>
              </w:rPr>
              <w:t>Groundwater contributions provide baseflow in lower Jacksons Creek</w:t>
            </w:r>
          </w:p>
        </w:tc>
        <w:tc>
          <w:tcPr>
            <w:tcW w:w="2041" w:type="dxa"/>
            <w:tcBorders>
              <w:top w:val="nil"/>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43"/>
              </w:numPr>
              <w:tabs>
                <w:tab w:val="left" w:pos="305"/>
              </w:tabs>
              <w:spacing w:before="70" w:line="254" w:lineRule="auto"/>
              <w:ind w:right="423"/>
              <w:rPr>
                <w:sz w:val="16"/>
                <w:szCs w:val="16"/>
              </w:rPr>
            </w:pPr>
            <w:r w:rsidRPr="00B408A4">
              <w:rPr>
                <w:color w:val="231F20"/>
                <w:sz w:val="16"/>
                <w:szCs w:val="16"/>
              </w:rPr>
              <w:t xml:space="preserve">Unregulated flows meet </w:t>
            </w:r>
            <w:r w:rsidRPr="00B408A4">
              <w:rPr>
                <w:color w:val="231F20"/>
                <w:spacing w:val="-5"/>
                <w:sz w:val="16"/>
                <w:szCs w:val="16"/>
              </w:rPr>
              <w:t xml:space="preserve">most </w:t>
            </w:r>
            <w:r w:rsidRPr="00B408A4">
              <w:rPr>
                <w:color w:val="231F20"/>
                <w:sz w:val="16"/>
                <w:szCs w:val="16"/>
              </w:rPr>
              <w:t>objectives</w:t>
            </w:r>
          </w:p>
          <w:p w:rsidR="001519FF" w:rsidRPr="00B408A4" w:rsidRDefault="001519FF" w:rsidP="003D4127">
            <w:pPr>
              <w:pStyle w:val="TableParagraph"/>
              <w:numPr>
                <w:ilvl w:val="0"/>
                <w:numId w:val="1143"/>
              </w:numPr>
              <w:tabs>
                <w:tab w:val="left" w:pos="305"/>
              </w:tabs>
              <w:spacing w:before="87" w:line="254" w:lineRule="auto"/>
              <w:ind w:right="184"/>
              <w:jc w:val="both"/>
              <w:rPr>
                <w:sz w:val="16"/>
                <w:szCs w:val="16"/>
              </w:rPr>
            </w:pPr>
            <w:r w:rsidRPr="00B408A4">
              <w:rPr>
                <w:color w:val="231F20"/>
                <w:sz w:val="16"/>
                <w:szCs w:val="16"/>
              </w:rPr>
              <w:t>Passing flows may meet most low-flow objectives</w:t>
            </w:r>
          </w:p>
          <w:p w:rsidR="001519FF" w:rsidRPr="00B408A4" w:rsidRDefault="001519FF" w:rsidP="003D4127">
            <w:pPr>
              <w:pStyle w:val="TableParagraph"/>
              <w:numPr>
                <w:ilvl w:val="0"/>
                <w:numId w:val="1143"/>
              </w:numPr>
              <w:tabs>
                <w:tab w:val="left" w:pos="305"/>
              </w:tabs>
              <w:spacing w:before="87" w:line="254" w:lineRule="auto"/>
              <w:ind w:right="303"/>
              <w:rPr>
                <w:sz w:val="16"/>
                <w:szCs w:val="16"/>
              </w:rPr>
            </w:pPr>
            <w:r w:rsidRPr="00B408A4">
              <w:rPr>
                <w:color w:val="231F20"/>
                <w:sz w:val="16"/>
                <w:szCs w:val="16"/>
              </w:rPr>
              <w:t>Groundwater contributions provide baseflow in lower Jacksons Creek</w:t>
            </w:r>
          </w:p>
        </w:tc>
      </w:tr>
      <w:tr w:rsidR="001519FF" w:rsidTr="003D4127">
        <w:trPr>
          <w:trHeight w:val="1007"/>
        </w:trPr>
        <w:tc>
          <w:tcPr>
            <w:tcW w:w="2041" w:type="dxa"/>
            <w:tcBorders>
              <w:top w:val="single" w:sz="4" w:space="0" w:color="231F20"/>
              <w:left w:val="single" w:sz="4" w:space="0" w:color="231F20"/>
              <w:bottom w:val="single" w:sz="4" w:space="0" w:color="231F20"/>
              <w:right w:val="single" w:sz="4" w:space="0" w:color="231F20"/>
            </w:tcBorders>
          </w:tcPr>
          <w:p w:rsidR="001519FF" w:rsidRDefault="001519FF" w:rsidP="003D4127">
            <w:pPr>
              <w:pStyle w:val="TableParagraph"/>
              <w:spacing w:before="74" w:line="261" w:lineRule="auto"/>
              <w:ind w:left="85" w:right="272"/>
              <w:jc w:val="both"/>
              <w:rPr>
                <w:sz w:val="16"/>
              </w:rPr>
            </w:pPr>
            <w:r>
              <w:rPr>
                <w:color w:val="231F20"/>
                <w:sz w:val="16"/>
              </w:rPr>
              <w:t>Potential environmental watering – tier 1a (high priorities)</w:t>
            </w:r>
          </w:p>
        </w:tc>
        <w:tc>
          <w:tcPr>
            <w:tcW w:w="8164" w:type="dxa"/>
            <w:gridSpan w:val="4"/>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42"/>
              </w:numPr>
              <w:tabs>
                <w:tab w:val="left" w:pos="305"/>
              </w:tabs>
              <w:spacing w:before="70" w:line="254" w:lineRule="auto"/>
              <w:ind w:right="554"/>
              <w:rPr>
                <w:sz w:val="16"/>
                <w:szCs w:val="16"/>
              </w:rPr>
            </w:pPr>
            <w:r w:rsidRPr="00B408A4">
              <w:rPr>
                <w:color w:val="231F20"/>
                <w:sz w:val="16"/>
                <w:szCs w:val="16"/>
              </w:rPr>
              <w:t>Due to a lack of formal environmental entitlement, the Maribyrnong system will not receive an</w:t>
            </w:r>
            <w:r w:rsidRPr="00B408A4">
              <w:rPr>
                <w:color w:val="231F20"/>
                <w:spacing w:val="-5"/>
                <w:sz w:val="16"/>
                <w:szCs w:val="16"/>
              </w:rPr>
              <w:t xml:space="preserve"> </w:t>
            </w:r>
            <w:r w:rsidRPr="00B408A4">
              <w:rPr>
                <w:color w:val="231F20"/>
                <w:sz w:val="16"/>
                <w:szCs w:val="16"/>
              </w:rPr>
              <w:t>environmental</w:t>
            </w:r>
            <w:r w:rsidRPr="00B408A4">
              <w:rPr>
                <w:color w:val="231F20"/>
                <w:spacing w:val="-5"/>
                <w:sz w:val="16"/>
                <w:szCs w:val="16"/>
              </w:rPr>
              <w:t xml:space="preserve"> </w:t>
            </w:r>
            <w:r w:rsidRPr="00B408A4">
              <w:rPr>
                <w:color w:val="231F20"/>
                <w:sz w:val="16"/>
                <w:szCs w:val="16"/>
              </w:rPr>
              <w:t>allocation</w:t>
            </w:r>
            <w:r w:rsidRPr="00B408A4">
              <w:rPr>
                <w:color w:val="231F20"/>
                <w:spacing w:val="-5"/>
                <w:sz w:val="16"/>
                <w:szCs w:val="16"/>
              </w:rPr>
              <w:t xml:space="preserve"> </w:t>
            </w:r>
            <w:r w:rsidRPr="00B408A4">
              <w:rPr>
                <w:color w:val="231F20"/>
                <w:sz w:val="16"/>
                <w:szCs w:val="16"/>
              </w:rPr>
              <w:t>in</w:t>
            </w:r>
            <w:r w:rsidRPr="00B408A4">
              <w:rPr>
                <w:color w:val="231F20"/>
                <w:spacing w:val="-4"/>
                <w:sz w:val="16"/>
                <w:szCs w:val="16"/>
              </w:rPr>
              <w:t xml:space="preserve"> </w:t>
            </w:r>
            <w:r w:rsidRPr="00B408A4">
              <w:rPr>
                <w:color w:val="231F20"/>
                <w:sz w:val="16"/>
                <w:szCs w:val="16"/>
              </w:rPr>
              <w:t>2020–21</w:t>
            </w:r>
            <w:r w:rsidRPr="00B408A4">
              <w:rPr>
                <w:color w:val="231F20"/>
                <w:spacing w:val="-5"/>
                <w:sz w:val="16"/>
                <w:szCs w:val="16"/>
              </w:rPr>
              <w:t xml:space="preserve"> </w:t>
            </w:r>
            <w:r w:rsidRPr="00B408A4">
              <w:rPr>
                <w:color w:val="231F20"/>
                <w:sz w:val="16"/>
                <w:szCs w:val="16"/>
              </w:rPr>
              <w:t>and</w:t>
            </w:r>
            <w:r w:rsidRPr="00B408A4">
              <w:rPr>
                <w:color w:val="231F20"/>
                <w:spacing w:val="-5"/>
                <w:sz w:val="16"/>
                <w:szCs w:val="16"/>
              </w:rPr>
              <w:t xml:space="preserve"> </w:t>
            </w:r>
            <w:r w:rsidRPr="00B408A4">
              <w:rPr>
                <w:color w:val="231F20"/>
                <w:sz w:val="16"/>
                <w:szCs w:val="16"/>
              </w:rPr>
              <w:t>therefore</w:t>
            </w:r>
            <w:r w:rsidRPr="00B408A4">
              <w:rPr>
                <w:color w:val="231F20"/>
                <w:spacing w:val="-3"/>
                <w:sz w:val="16"/>
                <w:szCs w:val="16"/>
              </w:rPr>
              <w:t xml:space="preserve"> </w:t>
            </w:r>
            <w:r w:rsidRPr="00B408A4">
              <w:rPr>
                <w:color w:val="231F20"/>
                <w:sz w:val="16"/>
                <w:szCs w:val="16"/>
              </w:rPr>
              <w:t>no</w:t>
            </w:r>
            <w:r w:rsidRPr="00B408A4">
              <w:rPr>
                <w:color w:val="231F20"/>
                <w:spacing w:val="-5"/>
                <w:sz w:val="16"/>
                <w:szCs w:val="16"/>
              </w:rPr>
              <w:t xml:space="preserve"> </w:t>
            </w:r>
            <w:r w:rsidRPr="00B408A4">
              <w:rPr>
                <w:color w:val="231F20"/>
                <w:sz w:val="16"/>
                <w:szCs w:val="16"/>
              </w:rPr>
              <w:t>tier</w:t>
            </w:r>
            <w:r w:rsidRPr="00B408A4">
              <w:rPr>
                <w:color w:val="231F20"/>
                <w:spacing w:val="-4"/>
                <w:sz w:val="16"/>
                <w:szCs w:val="16"/>
              </w:rPr>
              <w:t xml:space="preserve"> </w:t>
            </w:r>
            <w:r w:rsidRPr="00B408A4">
              <w:rPr>
                <w:color w:val="231F20"/>
                <w:sz w:val="16"/>
                <w:szCs w:val="16"/>
              </w:rPr>
              <w:t>1a</w:t>
            </w:r>
            <w:r w:rsidRPr="00B408A4">
              <w:rPr>
                <w:color w:val="231F20"/>
                <w:spacing w:val="-5"/>
                <w:sz w:val="16"/>
                <w:szCs w:val="16"/>
              </w:rPr>
              <w:t xml:space="preserve"> </w:t>
            </w:r>
            <w:r w:rsidRPr="00B408A4">
              <w:rPr>
                <w:color w:val="231F20"/>
                <w:sz w:val="16"/>
                <w:szCs w:val="16"/>
              </w:rPr>
              <w:t>watering</w:t>
            </w:r>
            <w:r w:rsidRPr="00B408A4">
              <w:rPr>
                <w:color w:val="231F20"/>
                <w:spacing w:val="-4"/>
                <w:sz w:val="16"/>
                <w:szCs w:val="16"/>
              </w:rPr>
              <w:t xml:space="preserve"> </w:t>
            </w:r>
            <w:r w:rsidRPr="00B408A4">
              <w:rPr>
                <w:color w:val="231F20"/>
                <w:sz w:val="16"/>
                <w:szCs w:val="16"/>
              </w:rPr>
              <w:t>actions</w:t>
            </w:r>
            <w:r w:rsidRPr="00B408A4">
              <w:rPr>
                <w:color w:val="231F20"/>
                <w:spacing w:val="-5"/>
                <w:sz w:val="16"/>
                <w:szCs w:val="16"/>
              </w:rPr>
              <w:t xml:space="preserve"> </w:t>
            </w:r>
            <w:r w:rsidRPr="00B408A4">
              <w:rPr>
                <w:color w:val="231F20"/>
                <w:sz w:val="16"/>
                <w:szCs w:val="16"/>
              </w:rPr>
              <w:t>have</w:t>
            </w:r>
            <w:r w:rsidRPr="00B408A4">
              <w:rPr>
                <w:color w:val="231F20"/>
                <w:spacing w:val="-5"/>
                <w:sz w:val="16"/>
                <w:szCs w:val="16"/>
              </w:rPr>
              <w:t xml:space="preserve"> </w:t>
            </w:r>
            <w:r w:rsidRPr="00B408A4">
              <w:rPr>
                <w:color w:val="231F20"/>
                <w:sz w:val="16"/>
                <w:szCs w:val="16"/>
              </w:rPr>
              <w:t>been</w:t>
            </w:r>
          </w:p>
          <w:p w:rsidR="001519FF" w:rsidRPr="00B408A4" w:rsidRDefault="001519FF" w:rsidP="003D4127">
            <w:pPr>
              <w:pStyle w:val="TableParagraph"/>
              <w:spacing w:before="1" w:line="254" w:lineRule="auto"/>
              <w:rPr>
                <w:sz w:val="16"/>
                <w:szCs w:val="16"/>
              </w:rPr>
            </w:pPr>
            <w:r w:rsidRPr="00B408A4">
              <w:rPr>
                <w:color w:val="231F20"/>
                <w:sz w:val="16"/>
                <w:szCs w:val="16"/>
              </w:rPr>
              <w:t>identified. Water will need to be purchased from willing sellers to support tier 1b or tier 2 watering actions</w:t>
            </w:r>
          </w:p>
        </w:tc>
      </w:tr>
      <w:tr w:rsidR="001519FF" w:rsidTr="003D4127">
        <w:trPr>
          <w:trHeight w:val="1312"/>
        </w:trPr>
        <w:tc>
          <w:tcPr>
            <w:tcW w:w="2041" w:type="dxa"/>
            <w:tcBorders>
              <w:top w:val="single" w:sz="4" w:space="0" w:color="231F20"/>
              <w:left w:val="single" w:sz="4" w:space="0" w:color="231F20"/>
              <w:bottom w:val="single" w:sz="4" w:space="0" w:color="231F20"/>
              <w:right w:val="single" w:sz="4" w:space="0" w:color="231F20"/>
            </w:tcBorders>
          </w:tcPr>
          <w:p w:rsidR="001519FF" w:rsidRDefault="001519FF" w:rsidP="003D4127">
            <w:pPr>
              <w:pStyle w:val="TableParagraph"/>
              <w:spacing w:before="74" w:line="261" w:lineRule="auto"/>
              <w:ind w:left="85" w:right="272"/>
              <w:jc w:val="both"/>
              <w:rPr>
                <w:sz w:val="16"/>
              </w:rPr>
            </w:pPr>
            <w:r>
              <w:rPr>
                <w:color w:val="231F20"/>
                <w:sz w:val="16"/>
              </w:rPr>
              <w:t>Potential environmental watering – tier 1b (high priorities with shortfall)</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41"/>
              </w:numPr>
              <w:tabs>
                <w:tab w:val="left" w:pos="305"/>
              </w:tabs>
              <w:spacing w:before="70" w:line="254" w:lineRule="auto"/>
              <w:ind w:right="73"/>
              <w:rPr>
                <w:sz w:val="16"/>
                <w:szCs w:val="16"/>
              </w:rPr>
            </w:pPr>
            <w:r w:rsidRPr="00B408A4">
              <w:rPr>
                <w:color w:val="231F20"/>
                <w:sz w:val="16"/>
                <w:szCs w:val="16"/>
              </w:rPr>
              <w:t xml:space="preserve">Summer/autumn </w:t>
            </w:r>
            <w:r w:rsidRPr="00B408A4">
              <w:rPr>
                <w:color w:val="231F20"/>
                <w:spacing w:val="-6"/>
                <w:sz w:val="16"/>
                <w:szCs w:val="16"/>
              </w:rPr>
              <w:t xml:space="preserve">low </w:t>
            </w:r>
            <w:r w:rsidRPr="00B408A4">
              <w:rPr>
                <w:color w:val="231F20"/>
                <w:sz w:val="16"/>
                <w:szCs w:val="16"/>
              </w:rPr>
              <w:t>flows</w:t>
            </w:r>
          </w:p>
          <w:p w:rsidR="001519FF" w:rsidRPr="00B408A4" w:rsidRDefault="001519FF" w:rsidP="003D4127">
            <w:pPr>
              <w:pStyle w:val="TableParagraph"/>
              <w:numPr>
                <w:ilvl w:val="0"/>
                <w:numId w:val="1141"/>
              </w:numPr>
              <w:tabs>
                <w:tab w:val="left" w:pos="305"/>
              </w:tabs>
              <w:spacing w:before="87" w:line="254" w:lineRule="auto"/>
              <w:ind w:right="483"/>
              <w:rPr>
                <w:sz w:val="16"/>
                <w:szCs w:val="16"/>
              </w:rPr>
            </w:pPr>
            <w:r w:rsidRPr="00B408A4">
              <w:rPr>
                <w:color w:val="231F20"/>
                <w:spacing w:val="-4"/>
                <w:sz w:val="16"/>
                <w:szCs w:val="16"/>
              </w:rPr>
              <w:t xml:space="preserve">Two </w:t>
            </w:r>
            <w:r w:rsidRPr="00B408A4">
              <w:rPr>
                <w:color w:val="231F20"/>
                <w:sz w:val="16"/>
                <w:szCs w:val="16"/>
              </w:rPr>
              <w:t>summer/ autumn</w:t>
            </w:r>
            <w:r w:rsidRPr="00B408A4">
              <w:rPr>
                <w:color w:val="231F20"/>
                <w:spacing w:val="-13"/>
                <w:sz w:val="16"/>
                <w:szCs w:val="16"/>
              </w:rPr>
              <w:t xml:space="preserve"> </w:t>
            </w:r>
            <w:r w:rsidRPr="00B408A4">
              <w:rPr>
                <w:color w:val="231F20"/>
                <w:sz w:val="16"/>
                <w:szCs w:val="16"/>
              </w:rPr>
              <w:t>freshes</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40"/>
              </w:numPr>
              <w:tabs>
                <w:tab w:val="left" w:pos="305"/>
              </w:tabs>
              <w:spacing w:before="70" w:line="254" w:lineRule="auto"/>
              <w:ind w:right="483"/>
              <w:rPr>
                <w:sz w:val="16"/>
                <w:szCs w:val="16"/>
              </w:rPr>
            </w:pPr>
            <w:r w:rsidRPr="00B408A4">
              <w:rPr>
                <w:color w:val="231F20"/>
                <w:sz w:val="16"/>
                <w:szCs w:val="16"/>
              </w:rPr>
              <w:t>Three summer/ autumn</w:t>
            </w:r>
            <w:r w:rsidRPr="00B408A4">
              <w:rPr>
                <w:color w:val="231F20"/>
                <w:spacing w:val="-13"/>
                <w:sz w:val="16"/>
                <w:szCs w:val="16"/>
              </w:rPr>
              <w:t xml:space="preserve"> </w:t>
            </w:r>
            <w:r w:rsidRPr="00B408A4">
              <w:rPr>
                <w:color w:val="231F20"/>
                <w:sz w:val="16"/>
                <w:szCs w:val="16"/>
              </w:rPr>
              <w:t>freshes</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9"/>
              </w:numPr>
              <w:tabs>
                <w:tab w:val="left" w:pos="305"/>
              </w:tabs>
              <w:spacing w:before="70" w:line="254" w:lineRule="auto"/>
              <w:ind w:right="483"/>
              <w:rPr>
                <w:sz w:val="16"/>
                <w:szCs w:val="16"/>
              </w:rPr>
            </w:pPr>
            <w:r w:rsidRPr="00B408A4">
              <w:rPr>
                <w:color w:val="231F20"/>
                <w:sz w:val="16"/>
                <w:szCs w:val="16"/>
              </w:rPr>
              <w:t>Three summer/ autumn</w:t>
            </w:r>
            <w:r w:rsidRPr="00B408A4">
              <w:rPr>
                <w:color w:val="231F20"/>
                <w:spacing w:val="-13"/>
                <w:sz w:val="16"/>
                <w:szCs w:val="16"/>
              </w:rPr>
              <w:t xml:space="preserve"> </w:t>
            </w:r>
            <w:r w:rsidRPr="00B408A4">
              <w:rPr>
                <w:color w:val="231F20"/>
                <w:sz w:val="16"/>
                <w:szCs w:val="16"/>
              </w:rPr>
              <w:t>freshes</w:t>
            </w:r>
          </w:p>
          <w:p w:rsidR="001519FF" w:rsidRPr="00B408A4" w:rsidRDefault="001519FF" w:rsidP="003D4127">
            <w:pPr>
              <w:pStyle w:val="TableParagraph"/>
              <w:numPr>
                <w:ilvl w:val="0"/>
                <w:numId w:val="1139"/>
              </w:numPr>
              <w:tabs>
                <w:tab w:val="left" w:pos="305"/>
              </w:tabs>
              <w:spacing w:before="87" w:line="254" w:lineRule="auto"/>
              <w:ind w:right="343"/>
              <w:rPr>
                <w:sz w:val="16"/>
                <w:szCs w:val="16"/>
              </w:rPr>
            </w:pPr>
            <w:r w:rsidRPr="00B408A4">
              <w:rPr>
                <w:color w:val="231F20"/>
                <w:sz w:val="16"/>
                <w:szCs w:val="16"/>
              </w:rPr>
              <w:t xml:space="preserve">Winter/spring </w:t>
            </w:r>
            <w:r w:rsidRPr="00B408A4">
              <w:rPr>
                <w:color w:val="231F20"/>
                <w:spacing w:val="-6"/>
                <w:sz w:val="16"/>
                <w:szCs w:val="16"/>
              </w:rPr>
              <w:t xml:space="preserve">low </w:t>
            </w:r>
            <w:r w:rsidRPr="00B408A4">
              <w:rPr>
                <w:color w:val="231F20"/>
                <w:sz w:val="16"/>
                <w:szCs w:val="16"/>
              </w:rPr>
              <w:t>flows (up to 14 days)</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8"/>
              </w:numPr>
              <w:tabs>
                <w:tab w:val="left" w:pos="305"/>
              </w:tabs>
              <w:spacing w:before="70" w:line="254" w:lineRule="auto"/>
              <w:ind w:right="483"/>
              <w:rPr>
                <w:sz w:val="16"/>
                <w:szCs w:val="16"/>
              </w:rPr>
            </w:pPr>
            <w:r w:rsidRPr="00B408A4">
              <w:rPr>
                <w:color w:val="231F20"/>
                <w:spacing w:val="-4"/>
                <w:sz w:val="16"/>
                <w:szCs w:val="16"/>
              </w:rPr>
              <w:t xml:space="preserve">Two </w:t>
            </w:r>
            <w:r w:rsidRPr="00B408A4">
              <w:rPr>
                <w:color w:val="231F20"/>
                <w:sz w:val="16"/>
                <w:szCs w:val="16"/>
              </w:rPr>
              <w:t>summer/ autumn</w:t>
            </w:r>
            <w:r w:rsidRPr="00B408A4">
              <w:rPr>
                <w:color w:val="231F20"/>
                <w:spacing w:val="-13"/>
                <w:sz w:val="16"/>
                <w:szCs w:val="16"/>
              </w:rPr>
              <w:t xml:space="preserve"> </w:t>
            </w:r>
            <w:r w:rsidRPr="00B408A4">
              <w:rPr>
                <w:color w:val="231F20"/>
                <w:sz w:val="16"/>
                <w:szCs w:val="16"/>
              </w:rPr>
              <w:t>freshes</w:t>
            </w:r>
          </w:p>
          <w:p w:rsidR="001519FF" w:rsidRPr="00B408A4" w:rsidRDefault="001519FF" w:rsidP="003D4127">
            <w:pPr>
              <w:pStyle w:val="TableParagraph"/>
              <w:numPr>
                <w:ilvl w:val="0"/>
                <w:numId w:val="1138"/>
              </w:numPr>
              <w:tabs>
                <w:tab w:val="left" w:pos="305"/>
              </w:tabs>
              <w:spacing w:before="87" w:line="254" w:lineRule="auto"/>
              <w:ind w:right="343"/>
              <w:rPr>
                <w:sz w:val="16"/>
                <w:szCs w:val="16"/>
              </w:rPr>
            </w:pPr>
            <w:r w:rsidRPr="00B408A4">
              <w:rPr>
                <w:color w:val="231F20"/>
                <w:sz w:val="16"/>
                <w:szCs w:val="16"/>
              </w:rPr>
              <w:t xml:space="preserve">Winter/spring </w:t>
            </w:r>
            <w:r w:rsidRPr="00B408A4">
              <w:rPr>
                <w:color w:val="231F20"/>
                <w:spacing w:val="-6"/>
                <w:sz w:val="16"/>
                <w:szCs w:val="16"/>
              </w:rPr>
              <w:t xml:space="preserve">low </w:t>
            </w:r>
            <w:r w:rsidRPr="00B408A4">
              <w:rPr>
                <w:color w:val="231F20"/>
                <w:sz w:val="16"/>
                <w:szCs w:val="16"/>
              </w:rPr>
              <w:t>flows (up to 21 days)</w:t>
            </w:r>
          </w:p>
        </w:tc>
      </w:tr>
      <w:tr w:rsidR="001519FF" w:rsidTr="003D4127">
        <w:trPr>
          <w:trHeight w:val="1312"/>
        </w:trPr>
        <w:tc>
          <w:tcPr>
            <w:tcW w:w="2041" w:type="dxa"/>
            <w:tcBorders>
              <w:top w:val="single" w:sz="4" w:space="0" w:color="231F20"/>
              <w:left w:val="single" w:sz="4" w:space="0" w:color="231F20"/>
              <w:bottom w:val="single" w:sz="4" w:space="0" w:color="231F20"/>
              <w:right w:val="single" w:sz="4" w:space="0" w:color="231F20"/>
            </w:tcBorders>
          </w:tcPr>
          <w:p w:rsidR="001519FF" w:rsidRDefault="001519FF" w:rsidP="003D4127">
            <w:pPr>
              <w:pStyle w:val="TableParagraph"/>
              <w:spacing w:before="67" w:line="261" w:lineRule="auto"/>
              <w:ind w:left="85" w:right="253"/>
              <w:rPr>
                <w:sz w:val="16"/>
              </w:rPr>
            </w:pPr>
            <w:r>
              <w:rPr>
                <w:color w:val="231F20"/>
                <w:sz w:val="16"/>
              </w:rPr>
              <w:t>Potential environmental watering – tier 2 (additional priorities)</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7"/>
              </w:numPr>
              <w:tabs>
                <w:tab w:val="left" w:pos="305"/>
              </w:tabs>
              <w:spacing w:before="63" w:line="254" w:lineRule="auto"/>
              <w:ind w:right="483"/>
              <w:rPr>
                <w:sz w:val="16"/>
                <w:szCs w:val="16"/>
              </w:rPr>
            </w:pPr>
            <w:r w:rsidRPr="00B408A4">
              <w:rPr>
                <w:color w:val="231F20"/>
                <w:spacing w:val="-4"/>
                <w:sz w:val="16"/>
                <w:szCs w:val="16"/>
              </w:rPr>
              <w:t xml:space="preserve">Two </w:t>
            </w:r>
            <w:r w:rsidRPr="00B408A4">
              <w:rPr>
                <w:color w:val="231F20"/>
                <w:sz w:val="16"/>
                <w:szCs w:val="16"/>
              </w:rPr>
              <w:t>summer/ autumn</w:t>
            </w:r>
            <w:r w:rsidRPr="00B408A4">
              <w:rPr>
                <w:color w:val="231F20"/>
                <w:spacing w:val="-13"/>
                <w:sz w:val="16"/>
                <w:szCs w:val="16"/>
              </w:rPr>
              <w:t xml:space="preserve"> </w:t>
            </w:r>
            <w:r w:rsidRPr="00B408A4">
              <w:rPr>
                <w:color w:val="231F20"/>
                <w:sz w:val="16"/>
                <w:szCs w:val="16"/>
              </w:rPr>
              <w:t>freshes</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6"/>
              </w:numPr>
              <w:tabs>
                <w:tab w:val="left" w:pos="305"/>
              </w:tabs>
              <w:spacing w:before="63" w:line="254" w:lineRule="auto"/>
              <w:ind w:right="483"/>
              <w:rPr>
                <w:sz w:val="16"/>
                <w:szCs w:val="16"/>
              </w:rPr>
            </w:pPr>
            <w:r w:rsidRPr="00B408A4">
              <w:rPr>
                <w:color w:val="231F20"/>
                <w:spacing w:val="-4"/>
                <w:sz w:val="16"/>
                <w:szCs w:val="16"/>
              </w:rPr>
              <w:t xml:space="preserve">Two </w:t>
            </w:r>
            <w:r w:rsidRPr="00B408A4">
              <w:rPr>
                <w:color w:val="231F20"/>
                <w:sz w:val="16"/>
                <w:szCs w:val="16"/>
              </w:rPr>
              <w:t>summer/ autumn</w:t>
            </w:r>
            <w:r w:rsidRPr="00B408A4">
              <w:rPr>
                <w:color w:val="231F20"/>
                <w:spacing w:val="-13"/>
                <w:sz w:val="16"/>
                <w:szCs w:val="16"/>
              </w:rPr>
              <w:t xml:space="preserve"> </w:t>
            </w:r>
            <w:r w:rsidRPr="00B408A4">
              <w:rPr>
                <w:color w:val="231F20"/>
                <w:sz w:val="16"/>
                <w:szCs w:val="16"/>
              </w:rPr>
              <w:t>freshes</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5"/>
              </w:numPr>
              <w:tabs>
                <w:tab w:val="left" w:pos="305"/>
              </w:tabs>
              <w:spacing w:before="63" w:line="254" w:lineRule="auto"/>
              <w:ind w:right="483"/>
              <w:rPr>
                <w:sz w:val="16"/>
                <w:szCs w:val="16"/>
              </w:rPr>
            </w:pPr>
            <w:r w:rsidRPr="00B408A4">
              <w:rPr>
                <w:color w:val="231F20"/>
                <w:spacing w:val="-4"/>
                <w:sz w:val="16"/>
                <w:szCs w:val="16"/>
              </w:rPr>
              <w:t xml:space="preserve">Two </w:t>
            </w:r>
            <w:r w:rsidRPr="00B408A4">
              <w:rPr>
                <w:color w:val="231F20"/>
                <w:sz w:val="16"/>
                <w:szCs w:val="16"/>
              </w:rPr>
              <w:t>summer/ autumn</w:t>
            </w:r>
            <w:r w:rsidRPr="00B408A4">
              <w:rPr>
                <w:color w:val="231F20"/>
                <w:spacing w:val="-13"/>
                <w:sz w:val="16"/>
                <w:szCs w:val="16"/>
              </w:rPr>
              <w:t xml:space="preserve"> </w:t>
            </w:r>
            <w:r w:rsidRPr="00B408A4">
              <w:rPr>
                <w:color w:val="231F20"/>
                <w:sz w:val="16"/>
                <w:szCs w:val="16"/>
              </w:rPr>
              <w:t>freshes</w:t>
            </w:r>
          </w:p>
          <w:p w:rsidR="001519FF" w:rsidRPr="00B408A4" w:rsidRDefault="001519FF" w:rsidP="003D4127">
            <w:pPr>
              <w:pStyle w:val="TableParagraph"/>
              <w:numPr>
                <w:ilvl w:val="0"/>
                <w:numId w:val="1135"/>
              </w:numPr>
              <w:tabs>
                <w:tab w:val="left" w:pos="305"/>
              </w:tabs>
              <w:spacing w:before="86" w:line="254" w:lineRule="auto"/>
              <w:ind w:right="233"/>
              <w:rPr>
                <w:sz w:val="16"/>
                <w:szCs w:val="16"/>
              </w:rPr>
            </w:pPr>
            <w:r w:rsidRPr="00B408A4">
              <w:rPr>
                <w:color w:val="231F20"/>
                <w:sz w:val="16"/>
                <w:szCs w:val="16"/>
              </w:rPr>
              <w:t>Increased duration winter/spring low flows</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4"/>
              </w:numPr>
              <w:tabs>
                <w:tab w:val="left" w:pos="305"/>
              </w:tabs>
              <w:spacing w:before="63" w:line="254" w:lineRule="auto"/>
              <w:ind w:right="483"/>
              <w:rPr>
                <w:sz w:val="16"/>
                <w:szCs w:val="16"/>
              </w:rPr>
            </w:pPr>
            <w:r w:rsidRPr="00B408A4">
              <w:rPr>
                <w:color w:val="231F20"/>
                <w:spacing w:val="-4"/>
                <w:sz w:val="16"/>
                <w:szCs w:val="16"/>
              </w:rPr>
              <w:t xml:space="preserve">Two </w:t>
            </w:r>
            <w:r w:rsidRPr="00B408A4">
              <w:rPr>
                <w:color w:val="231F20"/>
                <w:sz w:val="16"/>
                <w:szCs w:val="16"/>
              </w:rPr>
              <w:t>summer/ autumn</w:t>
            </w:r>
            <w:r w:rsidRPr="00B408A4">
              <w:rPr>
                <w:color w:val="231F20"/>
                <w:spacing w:val="-13"/>
                <w:sz w:val="16"/>
                <w:szCs w:val="16"/>
              </w:rPr>
              <w:t xml:space="preserve"> </w:t>
            </w:r>
            <w:r w:rsidRPr="00B408A4">
              <w:rPr>
                <w:color w:val="231F20"/>
                <w:sz w:val="16"/>
                <w:szCs w:val="16"/>
              </w:rPr>
              <w:t>freshes</w:t>
            </w:r>
          </w:p>
          <w:p w:rsidR="001519FF" w:rsidRPr="00B408A4" w:rsidRDefault="001519FF" w:rsidP="003D4127">
            <w:pPr>
              <w:pStyle w:val="TableParagraph"/>
              <w:numPr>
                <w:ilvl w:val="0"/>
                <w:numId w:val="1134"/>
              </w:numPr>
              <w:tabs>
                <w:tab w:val="left" w:pos="305"/>
              </w:tabs>
              <w:spacing w:before="86" w:line="254" w:lineRule="auto"/>
              <w:ind w:right="233"/>
              <w:rPr>
                <w:sz w:val="16"/>
                <w:szCs w:val="16"/>
              </w:rPr>
            </w:pPr>
            <w:r w:rsidRPr="00B408A4">
              <w:rPr>
                <w:color w:val="231F20"/>
                <w:sz w:val="16"/>
                <w:szCs w:val="16"/>
              </w:rPr>
              <w:t>Increased duration winter/spring low flows</w:t>
            </w:r>
          </w:p>
        </w:tc>
      </w:tr>
      <w:tr w:rsidR="001519FF" w:rsidTr="003D4127">
        <w:trPr>
          <w:trHeight w:val="1312"/>
        </w:trPr>
        <w:tc>
          <w:tcPr>
            <w:tcW w:w="2041" w:type="dxa"/>
            <w:tcBorders>
              <w:top w:val="single" w:sz="4" w:space="0" w:color="231F20"/>
              <w:left w:val="single" w:sz="4" w:space="0" w:color="231F20"/>
              <w:bottom w:val="single" w:sz="4" w:space="0" w:color="231F20"/>
              <w:right w:val="single" w:sz="4" w:space="0" w:color="231F20"/>
            </w:tcBorders>
          </w:tcPr>
          <w:p w:rsidR="001519FF" w:rsidRDefault="001519FF" w:rsidP="003D4127">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1</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3"/>
              </w:numPr>
              <w:tabs>
                <w:tab w:val="left" w:pos="305"/>
              </w:tabs>
              <w:spacing w:before="63"/>
              <w:rPr>
                <w:sz w:val="16"/>
                <w:szCs w:val="16"/>
              </w:rPr>
            </w:pPr>
            <w:r w:rsidRPr="00B408A4">
              <w:rPr>
                <w:color w:val="231F20"/>
                <w:sz w:val="16"/>
                <w:szCs w:val="16"/>
              </w:rPr>
              <w:t>300 ML (tier</w:t>
            </w:r>
            <w:r w:rsidRPr="00B408A4">
              <w:rPr>
                <w:color w:val="231F20"/>
                <w:spacing w:val="-10"/>
                <w:sz w:val="16"/>
                <w:szCs w:val="16"/>
              </w:rPr>
              <w:t xml:space="preserve"> </w:t>
            </w:r>
            <w:r w:rsidRPr="00B408A4">
              <w:rPr>
                <w:color w:val="231F20"/>
                <w:sz w:val="16"/>
                <w:szCs w:val="16"/>
              </w:rPr>
              <w:t>1b)</w:t>
            </w:r>
          </w:p>
          <w:p w:rsidR="001519FF" w:rsidRPr="00B408A4" w:rsidRDefault="001519FF" w:rsidP="003D4127">
            <w:pPr>
              <w:pStyle w:val="TableParagraph"/>
              <w:numPr>
                <w:ilvl w:val="0"/>
                <w:numId w:val="1133"/>
              </w:numPr>
              <w:tabs>
                <w:tab w:val="left" w:pos="305"/>
              </w:tabs>
              <w:spacing w:before="98"/>
              <w:rPr>
                <w:sz w:val="16"/>
                <w:szCs w:val="16"/>
              </w:rPr>
            </w:pPr>
            <w:r w:rsidRPr="00B408A4">
              <w:rPr>
                <w:color w:val="231F20"/>
                <w:sz w:val="16"/>
                <w:szCs w:val="16"/>
              </w:rPr>
              <w:t>200 ML (tier</w:t>
            </w:r>
            <w:r w:rsidRPr="00B408A4">
              <w:rPr>
                <w:color w:val="231F20"/>
                <w:spacing w:val="-9"/>
                <w:sz w:val="16"/>
                <w:szCs w:val="16"/>
              </w:rPr>
              <w:t xml:space="preserve"> </w:t>
            </w:r>
            <w:r w:rsidRPr="00B408A4">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2"/>
              </w:numPr>
              <w:tabs>
                <w:tab w:val="left" w:pos="305"/>
              </w:tabs>
              <w:spacing w:before="63"/>
              <w:rPr>
                <w:sz w:val="16"/>
                <w:szCs w:val="16"/>
              </w:rPr>
            </w:pPr>
            <w:r w:rsidRPr="00B408A4">
              <w:rPr>
                <w:color w:val="231F20"/>
                <w:sz w:val="16"/>
                <w:szCs w:val="16"/>
              </w:rPr>
              <w:t>300 ML (tier</w:t>
            </w:r>
            <w:r w:rsidRPr="00B408A4">
              <w:rPr>
                <w:color w:val="231F20"/>
                <w:spacing w:val="-10"/>
                <w:sz w:val="16"/>
                <w:szCs w:val="16"/>
              </w:rPr>
              <w:t xml:space="preserve"> </w:t>
            </w:r>
            <w:r w:rsidRPr="00B408A4">
              <w:rPr>
                <w:color w:val="231F20"/>
                <w:sz w:val="16"/>
                <w:szCs w:val="16"/>
              </w:rPr>
              <w:t>1b)</w:t>
            </w:r>
          </w:p>
          <w:p w:rsidR="001519FF" w:rsidRPr="00B408A4" w:rsidRDefault="001519FF" w:rsidP="003D4127">
            <w:pPr>
              <w:pStyle w:val="TableParagraph"/>
              <w:numPr>
                <w:ilvl w:val="0"/>
                <w:numId w:val="1132"/>
              </w:numPr>
              <w:tabs>
                <w:tab w:val="left" w:pos="305"/>
              </w:tabs>
              <w:spacing w:before="98"/>
              <w:rPr>
                <w:sz w:val="16"/>
                <w:szCs w:val="16"/>
              </w:rPr>
            </w:pPr>
            <w:r w:rsidRPr="00B408A4">
              <w:rPr>
                <w:color w:val="231F20"/>
                <w:sz w:val="16"/>
                <w:szCs w:val="16"/>
              </w:rPr>
              <w:t>200 ML (tier</w:t>
            </w:r>
            <w:r w:rsidRPr="00B408A4">
              <w:rPr>
                <w:color w:val="231F20"/>
                <w:spacing w:val="-9"/>
                <w:sz w:val="16"/>
                <w:szCs w:val="16"/>
              </w:rPr>
              <w:t xml:space="preserve"> </w:t>
            </w:r>
            <w:r w:rsidRPr="00B408A4">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1"/>
              </w:numPr>
              <w:tabs>
                <w:tab w:val="left" w:pos="305"/>
              </w:tabs>
              <w:spacing w:before="63"/>
              <w:rPr>
                <w:sz w:val="16"/>
                <w:szCs w:val="16"/>
              </w:rPr>
            </w:pPr>
            <w:r w:rsidRPr="00B408A4">
              <w:rPr>
                <w:color w:val="231F20"/>
                <w:sz w:val="16"/>
                <w:szCs w:val="16"/>
              </w:rPr>
              <w:t>600 ML (tier</w:t>
            </w:r>
            <w:r w:rsidRPr="00B408A4">
              <w:rPr>
                <w:color w:val="231F20"/>
                <w:spacing w:val="-10"/>
                <w:sz w:val="16"/>
                <w:szCs w:val="16"/>
              </w:rPr>
              <w:t xml:space="preserve"> </w:t>
            </w:r>
            <w:r w:rsidRPr="00B408A4">
              <w:rPr>
                <w:color w:val="231F20"/>
                <w:sz w:val="16"/>
                <w:szCs w:val="16"/>
              </w:rPr>
              <w:t>1b)</w:t>
            </w:r>
          </w:p>
          <w:p w:rsidR="001519FF" w:rsidRPr="00B408A4" w:rsidRDefault="001519FF" w:rsidP="003D4127">
            <w:pPr>
              <w:pStyle w:val="TableParagraph"/>
              <w:numPr>
                <w:ilvl w:val="0"/>
                <w:numId w:val="1131"/>
              </w:numPr>
              <w:tabs>
                <w:tab w:val="left" w:pos="305"/>
              </w:tabs>
              <w:spacing w:before="98"/>
              <w:rPr>
                <w:sz w:val="16"/>
                <w:szCs w:val="16"/>
              </w:rPr>
            </w:pPr>
            <w:r w:rsidRPr="00B408A4">
              <w:rPr>
                <w:color w:val="231F20"/>
                <w:sz w:val="16"/>
                <w:szCs w:val="16"/>
              </w:rPr>
              <w:t>200 ML (tier</w:t>
            </w:r>
            <w:r w:rsidRPr="00B408A4">
              <w:rPr>
                <w:color w:val="231F20"/>
                <w:spacing w:val="-9"/>
                <w:sz w:val="16"/>
                <w:szCs w:val="16"/>
              </w:rPr>
              <w:t xml:space="preserve"> </w:t>
            </w:r>
            <w:r w:rsidRPr="00B408A4">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1519FF" w:rsidRPr="00B408A4" w:rsidRDefault="001519FF" w:rsidP="003D4127">
            <w:pPr>
              <w:pStyle w:val="TableParagraph"/>
              <w:numPr>
                <w:ilvl w:val="0"/>
                <w:numId w:val="1130"/>
              </w:numPr>
              <w:tabs>
                <w:tab w:val="left" w:pos="305"/>
              </w:tabs>
              <w:spacing w:before="63"/>
              <w:rPr>
                <w:sz w:val="16"/>
                <w:szCs w:val="16"/>
              </w:rPr>
            </w:pPr>
            <w:r w:rsidRPr="00B408A4">
              <w:rPr>
                <w:color w:val="231F20"/>
                <w:sz w:val="16"/>
                <w:szCs w:val="16"/>
              </w:rPr>
              <w:t>600 ML (tier</w:t>
            </w:r>
            <w:r w:rsidRPr="00B408A4">
              <w:rPr>
                <w:color w:val="231F20"/>
                <w:spacing w:val="-10"/>
                <w:sz w:val="16"/>
                <w:szCs w:val="16"/>
              </w:rPr>
              <w:t xml:space="preserve"> </w:t>
            </w:r>
            <w:r w:rsidRPr="00B408A4">
              <w:rPr>
                <w:color w:val="231F20"/>
                <w:sz w:val="16"/>
                <w:szCs w:val="16"/>
              </w:rPr>
              <w:t>1b)</w:t>
            </w:r>
          </w:p>
          <w:p w:rsidR="001519FF" w:rsidRPr="00B408A4" w:rsidRDefault="001519FF" w:rsidP="003D4127">
            <w:pPr>
              <w:pStyle w:val="TableParagraph"/>
              <w:numPr>
                <w:ilvl w:val="0"/>
                <w:numId w:val="1130"/>
              </w:numPr>
              <w:tabs>
                <w:tab w:val="left" w:pos="305"/>
              </w:tabs>
              <w:spacing w:before="98"/>
              <w:rPr>
                <w:sz w:val="16"/>
                <w:szCs w:val="16"/>
              </w:rPr>
            </w:pPr>
            <w:r w:rsidRPr="00B408A4">
              <w:rPr>
                <w:color w:val="231F20"/>
                <w:sz w:val="16"/>
                <w:szCs w:val="16"/>
              </w:rPr>
              <w:t>200 ML (tier</w:t>
            </w:r>
            <w:r w:rsidRPr="00B408A4">
              <w:rPr>
                <w:color w:val="231F20"/>
                <w:spacing w:val="-9"/>
                <w:sz w:val="16"/>
                <w:szCs w:val="16"/>
              </w:rPr>
              <w:t xml:space="preserve"> </w:t>
            </w:r>
            <w:r w:rsidRPr="00B408A4">
              <w:rPr>
                <w:color w:val="231F20"/>
                <w:sz w:val="16"/>
                <w:szCs w:val="16"/>
              </w:rPr>
              <w:t>2)</w:t>
            </w:r>
          </w:p>
        </w:tc>
      </w:tr>
    </w:tbl>
    <w:p w:rsidR="001519FF" w:rsidRDefault="001519FF" w:rsidP="001519FF">
      <w:pPr>
        <w:spacing w:before="129"/>
        <w:rPr>
          <w:sz w:val="14"/>
        </w:rPr>
      </w:pPr>
      <w:r>
        <w:rPr>
          <w:color w:val="231F20"/>
          <w:sz w:val="14"/>
        </w:rPr>
        <w:t>1 Environmental water requirements for tier 2 actions are additional to tier 1 requirements.</w:t>
      </w:r>
    </w:p>
    <w:p w:rsidR="006A7A3F" w:rsidRDefault="006A7A3F">
      <w:pPr>
        <w:pStyle w:val="BodyText"/>
        <w:spacing w:before="6"/>
        <w:ind w:left="0"/>
        <w:rPr>
          <w:b/>
          <w:sz w:val="8"/>
        </w:rPr>
      </w:pPr>
    </w:p>
    <w:p w:rsidR="001519FF" w:rsidRDefault="001519FF">
      <w:pPr>
        <w:rPr>
          <w:sz w:val="13"/>
          <w:szCs w:val="20"/>
        </w:rPr>
      </w:pPr>
      <w:r>
        <w:rPr>
          <w:sz w:val="13"/>
        </w:rPr>
        <w:br w:type="page"/>
      </w:r>
    </w:p>
    <w:p w:rsidR="006A7A3F" w:rsidRDefault="00BC7372">
      <w:pPr>
        <w:pStyle w:val="Heading1"/>
        <w:numPr>
          <w:ilvl w:val="1"/>
          <w:numId w:val="1262"/>
        </w:numPr>
        <w:tabs>
          <w:tab w:val="left" w:pos="911"/>
        </w:tabs>
        <w:spacing w:before="1"/>
      </w:pPr>
      <w:r>
        <w:rPr>
          <w:color w:val="231F20"/>
        </w:rPr>
        <w:t>Werribee</w:t>
      </w:r>
      <w:r>
        <w:rPr>
          <w:color w:val="231F20"/>
          <w:spacing w:val="-2"/>
        </w:rPr>
        <w:t xml:space="preserve"> </w:t>
      </w:r>
      <w:r>
        <w:rPr>
          <w:color w:val="231F20"/>
        </w:rPr>
        <w:t>system</w:t>
      </w:r>
    </w:p>
    <w:p w:rsidR="006A7A3F" w:rsidRDefault="00BC7372">
      <w:pPr>
        <w:pStyle w:val="Heading4"/>
        <w:spacing w:before="306"/>
      </w:pPr>
      <w:r>
        <w:rPr>
          <w:color w:val="231F20"/>
        </w:rPr>
        <w:t>Did you know...?</w:t>
      </w:r>
    </w:p>
    <w:p w:rsidR="006A7A3F" w:rsidRDefault="00BC7372">
      <w:pPr>
        <w:pStyle w:val="BodyText"/>
        <w:spacing w:before="58"/>
      </w:pPr>
      <w:r>
        <w:rPr>
          <w:color w:val="231F20"/>
        </w:rPr>
        <w:t>The Werribee River is known to Wadawurrung people as Wirribi yulluk, which means ‘wide river with big red gums.’</w:t>
      </w:r>
    </w:p>
    <w:p w:rsidR="006A7A3F" w:rsidRDefault="00BC7372" w:rsidP="00657BB6">
      <w:pPr>
        <w:pStyle w:val="BodyText"/>
        <w:spacing w:before="240" w:after="120"/>
        <w:ind w:left="0"/>
        <w:rPr>
          <w:sz w:val="13"/>
        </w:rPr>
      </w:pPr>
      <w:r>
        <w:rPr>
          <w:noProof/>
        </w:rPr>
        <w:drawing>
          <wp:inline distT="0" distB="0" distL="0" distR="0">
            <wp:extent cx="2957226" cy="1419225"/>
            <wp:effectExtent l="0" t="0" r="1905" b="3175"/>
            <wp:docPr id="471" name="image33.png" descr="Pie chart shows the proportion of water entitlements in the Werribee basin held by private users (66%), water corporations (31%) and environmental water holders (3%)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57226" cy="1419225"/>
                    </a:xfrm>
                    <a:prstGeom prst="rect">
                      <a:avLst/>
                    </a:prstGeom>
                  </pic:spPr>
                </pic:pic>
              </a:graphicData>
            </a:graphic>
          </wp:inline>
        </w:drawing>
      </w:r>
    </w:p>
    <w:p w:rsidR="006A7A3F" w:rsidRDefault="006A7A3F">
      <w:pPr>
        <w:pStyle w:val="BodyText"/>
        <w:spacing w:before="10"/>
        <w:ind w:left="0"/>
        <w:rPr>
          <w:sz w:val="31"/>
        </w:rPr>
      </w:pPr>
    </w:p>
    <w:p w:rsidR="006A7A3F" w:rsidRDefault="00BC7372">
      <w:pPr>
        <w:pStyle w:val="Heading7"/>
        <w:spacing w:line="249" w:lineRule="auto"/>
        <w:ind w:right="1000"/>
      </w:pPr>
      <w:r>
        <w:rPr>
          <w:color w:val="231F20"/>
        </w:rPr>
        <w:t>Proportion of water entitlements in the Werribee basin held by private users, water corporations or environmental water holders at 30 June 2019.</w:t>
      </w:r>
    </w:p>
    <w:p w:rsidR="006A7A3F" w:rsidRDefault="006A7A3F">
      <w:pPr>
        <w:pStyle w:val="BodyText"/>
        <w:spacing w:before="1"/>
        <w:ind w:left="0"/>
        <w:rPr>
          <w:b/>
        </w:rPr>
      </w:pPr>
    </w:p>
    <w:p w:rsidR="006A7A3F" w:rsidRDefault="00BC7372">
      <w:pPr>
        <w:ind w:left="210"/>
        <w:rPr>
          <w:b/>
          <w:sz w:val="24"/>
        </w:rPr>
      </w:pPr>
      <w:r>
        <w:rPr>
          <w:b/>
          <w:color w:val="231F20"/>
          <w:sz w:val="24"/>
        </w:rPr>
        <w:t>System overview</w:t>
      </w:r>
    </w:p>
    <w:p w:rsidR="006A7A3F" w:rsidRDefault="00BC7372">
      <w:pPr>
        <w:spacing w:before="90" w:line="276" w:lineRule="auto"/>
        <w:ind w:left="210" w:right="297"/>
      </w:pPr>
      <w:r>
        <w:rPr>
          <w:color w:val="231F20"/>
        </w:rPr>
        <w:t>The Werribee River flows south-east from the Wombat State Forest near Ballan, through the Werribee Gorge to Bacchus Marsh and then into Port Phillip Bay at Werribee. The Lerderderg River is a major tributary that joins the river at Bacchus Marsh. The main storages in the Werribee system are Pykes Creek Reservoir, Melton Reservoir and Merrimu Reservoir.</w:t>
      </w:r>
    </w:p>
    <w:p w:rsidR="006A7A3F" w:rsidRDefault="006A7A3F">
      <w:pPr>
        <w:pStyle w:val="BodyText"/>
        <w:spacing w:before="6"/>
        <w:ind w:left="0"/>
        <w:rPr>
          <w:sz w:val="21"/>
        </w:rPr>
      </w:pPr>
    </w:p>
    <w:p w:rsidR="006A7A3F" w:rsidRDefault="00BC7372">
      <w:pPr>
        <w:pStyle w:val="BodyText"/>
        <w:spacing w:before="1" w:line="249" w:lineRule="auto"/>
        <w:ind w:right="581"/>
        <w:jc w:val="both"/>
      </w:pPr>
      <w:r>
        <w:rPr>
          <w:color w:val="231F20"/>
        </w:rPr>
        <w:t>The four reaches in the Werribee system that can receive water for the environment are Pyrites Creek between Lake Merrimu and Melton Reservoir (reach 6), the Werribee River between Melton Reservoir and the Werribee Diversion Weir (reach 8), the Werribee River between the Werribee Diversion Weir and Werribee Park Tourism Precinct (reach 9) and the Werribee estuary below the Werribee Park Tourism Precinct (the estuary).</w:t>
      </w:r>
    </w:p>
    <w:p w:rsidR="006A7A3F" w:rsidRDefault="00BC7372">
      <w:pPr>
        <w:pStyle w:val="BodyText"/>
        <w:spacing w:before="173" w:line="249" w:lineRule="auto"/>
        <w:ind w:right="100"/>
      </w:pPr>
      <w:r>
        <w:rPr>
          <w:color w:val="231F20"/>
        </w:rPr>
        <w:t>Environmental watering that targets environmental objectives in reach 9 and the estuary is delivered from Melton Reservoir and therefore also benefits reach 8. Water for the environment released from Lake Merrimu is re- harvested in Melton Reservoir, where it can be held and released at an appropriate time to achieve environmental objectives in the lower Werribee River.</w:t>
      </w:r>
    </w:p>
    <w:p w:rsidR="006A7A3F" w:rsidRDefault="006A7A3F">
      <w:pPr>
        <w:pStyle w:val="BodyText"/>
        <w:spacing w:before="2"/>
        <w:ind w:left="0"/>
      </w:pPr>
    </w:p>
    <w:p w:rsidR="006A7A3F" w:rsidRDefault="00BC7372">
      <w:pPr>
        <w:pStyle w:val="Heading4"/>
      </w:pPr>
      <w:r>
        <w:rPr>
          <w:color w:val="231F20"/>
        </w:rPr>
        <w:t>Environmental values</w:t>
      </w:r>
    </w:p>
    <w:p w:rsidR="006A7A3F" w:rsidRDefault="00BC7372">
      <w:pPr>
        <w:pStyle w:val="BodyText"/>
        <w:spacing w:before="59" w:line="249" w:lineRule="auto"/>
        <w:ind w:right="200"/>
      </w:pPr>
      <w:r>
        <w:rPr>
          <w:color w:val="231F20"/>
        </w:rPr>
        <w:t xml:space="preserve">The Werribee system supports a range of native fish including river blackfish, flathead gudgeon, short-finned eel, tupong, Australian smelt, several species of galaxiids, and a large population of black bream in the </w:t>
      </w:r>
      <w:r>
        <w:rPr>
          <w:color w:val="231F20"/>
          <w:spacing w:val="-3"/>
        </w:rPr>
        <w:t xml:space="preserve">estuary. </w:t>
      </w:r>
      <w:r>
        <w:rPr>
          <w:color w:val="231F20"/>
        </w:rPr>
        <w:t>Several species of frogs and diverse waterbug communities inhabit the upper reaches and platypus are present in the lower reaches. The freshwater-saltwater interface of the Werribee River estuary is a regionally significant ecosystem due to the many aquatic plants and animals it supports, providing nursery habitat for juvenile freshwater fish species and estuarine species such as black</w:t>
      </w:r>
      <w:r>
        <w:rPr>
          <w:color w:val="231F20"/>
          <w:spacing w:val="-6"/>
        </w:rPr>
        <w:t xml:space="preserve"> </w:t>
      </w:r>
      <w:r>
        <w:rPr>
          <w:color w:val="231F20"/>
        </w:rPr>
        <w:t>bream.</w:t>
      </w:r>
    </w:p>
    <w:p w:rsidR="001519FF" w:rsidRDefault="001519FF">
      <w:pPr>
        <w:rPr>
          <w:sz w:val="20"/>
          <w:szCs w:val="20"/>
        </w:rPr>
      </w:pPr>
      <w:r>
        <w:br w:type="page"/>
      </w:r>
    </w:p>
    <w:p w:rsidR="006A7A3F" w:rsidRDefault="00BC7372" w:rsidP="001519FF">
      <w:pPr>
        <w:pStyle w:val="Heading4"/>
        <w:spacing w:after="120"/>
      </w:pPr>
      <w:r>
        <w:rPr>
          <w:color w:val="231F20"/>
        </w:rPr>
        <w:t>Environmental watering objectives in the Werribee system</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063"/>
        </w:trPr>
        <w:tc>
          <w:tcPr>
            <w:tcW w:w="789" w:type="dxa"/>
            <w:tcBorders>
              <w:bottom w:val="single" w:sz="8" w:space="0" w:color="FFFFFF"/>
            </w:tcBorders>
            <w:shd w:val="clear" w:color="auto" w:fill="E6E7E8"/>
          </w:tcPr>
          <w:p w:rsidR="006A7A3F" w:rsidRDefault="006A7A3F">
            <w:pPr>
              <w:pStyle w:val="TableParagraph"/>
              <w:spacing w:before="8"/>
              <w:ind w:left="0"/>
              <w:rPr>
                <w:b/>
                <w:sz w:val="24"/>
              </w:rPr>
            </w:pPr>
          </w:p>
          <w:p w:rsidR="006A7A3F" w:rsidRDefault="00BC7372">
            <w:pPr>
              <w:pStyle w:val="TableParagraph"/>
              <w:ind w:left="178"/>
              <w:rPr>
                <w:sz w:val="20"/>
              </w:rPr>
            </w:pPr>
            <w:r>
              <w:rPr>
                <w:noProof/>
                <w:sz w:val="20"/>
              </w:rPr>
              <w:drawing>
                <wp:inline distT="0" distB="0" distL="0" distR="0">
                  <wp:extent cx="314171" cy="310896"/>
                  <wp:effectExtent l="0" t="0" r="0" b="0"/>
                  <wp:docPr id="473"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9.jpeg"/>
                          <pic:cNvPicPr/>
                        </pic:nvPicPr>
                        <pic:blipFill>
                          <a:blip r:embed="rId31" cstate="print"/>
                          <a:stretch>
                            <a:fillRect/>
                          </a:stretch>
                        </pic:blipFill>
                        <pic:spPr>
                          <a:xfrm>
                            <a:off x="0" y="0"/>
                            <a:ext cx="314171"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11" w:line="211" w:lineRule="auto"/>
              <w:ind w:left="118" w:right="14"/>
              <w:rPr>
                <w:rFonts w:ascii="HelveticaNeueLTStd-Roman"/>
                <w:sz w:val="17"/>
              </w:rPr>
            </w:pPr>
            <w:r>
              <w:rPr>
                <w:rFonts w:ascii="HelveticaNeueLTStd-Roman"/>
                <w:color w:val="231F20"/>
                <w:sz w:val="17"/>
              </w:rPr>
              <w:t>Protect and increase populations of native freshwater fish species including galaxiids Protect and increase populations of black bream in the estuary</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3"/>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475"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9"/>
              <w:ind w:left="0"/>
              <w:rPr>
                <w:b/>
              </w:rPr>
            </w:pPr>
          </w:p>
          <w:p w:rsidR="006A7A3F" w:rsidRDefault="00BC7372">
            <w:pPr>
              <w:pStyle w:val="TableParagraph"/>
              <w:ind w:left="118"/>
              <w:rPr>
                <w:rFonts w:ascii="HelveticaNeueLTStd-Roman"/>
                <w:sz w:val="17"/>
              </w:rPr>
            </w:pPr>
            <w:r>
              <w:rPr>
                <w:rFonts w:ascii="HelveticaNeueLTStd-Roman"/>
                <w:color w:val="231F20"/>
                <w:sz w:val="17"/>
              </w:rPr>
              <w:t>Maintain native frog populations</w:t>
            </w:r>
          </w:p>
        </w:tc>
      </w:tr>
      <w:tr w:rsidR="006A7A3F">
        <w:trPr>
          <w:trHeight w:val="84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1"/>
              <w:ind w:left="0"/>
              <w:rPr>
                <w:b/>
                <w:sz w:val="14"/>
              </w:rPr>
            </w:pPr>
          </w:p>
          <w:p w:rsidR="006A7A3F" w:rsidRDefault="00BC7372">
            <w:pPr>
              <w:pStyle w:val="TableParagraph"/>
              <w:ind w:left="178"/>
              <w:rPr>
                <w:sz w:val="20"/>
              </w:rPr>
            </w:pPr>
            <w:r>
              <w:rPr>
                <w:noProof/>
                <w:sz w:val="20"/>
              </w:rPr>
              <w:drawing>
                <wp:inline distT="0" distB="0" distL="0" distR="0">
                  <wp:extent cx="314175" cy="310896"/>
                  <wp:effectExtent l="0" t="0" r="0" b="0"/>
                  <wp:docPr id="477"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0.jpeg"/>
                          <pic:cNvPicPr/>
                        </pic:nvPicPr>
                        <pic:blipFill>
                          <a:blip r:embed="rId32"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01" w:line="211" w:lineRule="auto"/>
              <w:ind w:left="118" w:right="332"/>
              <w:rPr>
                <w:rFonts w:ascii="HelveticaNeueLTStd-Roman"/>
                <w:sz w:val="17"/>
              </w:rPr>
            </w:pPr>
            <w:r>
              <w:rPr>
                <w:rFonts w:ascii="HelveticaNeueLTStd-Roman"/>
                <w:color w:val="231F20"/>
                <w:sz w:val="17"/>
              </w:rPr>
              <w:t>Maintain channel beds and pool habitats Maintain clean substrate surfaces to support biological processes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3"/>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479"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9"/>
              <w:ind w:left="0"/>
              <w:rPr>
                <w:b/>
              </w:rPr>
            </w:pPr>
          </w:p>
          <w:p w:rsidR="006A7A3F" w:rsidRDefault="00BC7372">
            <w:pPr>
              <w:pStyle w:val="TableParagraph"/>
              <w:ind w:left="118"/>
              <w:rPr>
                <w:rFonts w:ascii="HelveticaNeueLTStd-Roman"/>
                <w:sz w:val="17"/>
              </w:rPr>
            </w:pPr>
            <w:r>
              <w:rPr>
                <w:rFonts w:ascii="HelveticaNeueLTStd-Roman"/>
                <w:color w:val="231F20"/>
                <w:sz w:val="17"/>
              </w:rPr>
              <w:t>Maintain the platypus population</w:t>
            </w:r>
          </w:p>
        </w:tc>
      </w:tr>
      <w:tr w:rsidR="006A7A3F">
        <w:trPr>
          <w:trHeight w:val="1461"/>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spacing w:before="7"/>
              <w:ind w:left="0"/>
              <w:rPr>
                <w:b/>
                <w:sz w:val="21"/>
              </w:rPr>
            </w:pPr>
          </w:p>
          <w:p w:rsidR="006A7A3F" w:rsidRDefault="00BC7372">
            <w:pPr>
              <w:pStyle w:val="TableParagraph"/>
              <w:ind w:left="178"/>
              <w:rPr>
                <w:sz w:val="20"/>
              </w:rPr>
            </w:pPr>
            <w:r>
              <w:rPr>
                <w:noProof/>
                <w:sz w:val="20"/>
              </w:rPr>
              <w:drawing>
                <wp:inline distT="0" distB="0" distL="0" distR="0">
                  <wp:extent cx="314168" cy="310896"/>
                  <wp:effectExtent l="0" t="0" r="0" b="0"/>
                  <wp:docPr id="48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01" w:line="211" w:lineRule="auto"/>
              <w:ind w:left="118" w:right="297"/>
              <w:rPr>
                <w:rFonts w:ascii="HelveticaNeueLTStd-Roman"/>
                <w:sz w:val="17"/>
              </w:rPr>
            </w:pPr>
            <w:r>
              <w:rPr>
                <w:rFonts w:ascii="HelveticaNeueLTStd-Roman"/>
                <w:color w:val="231F20"/>
                <w:sz w:val="17"/>
              </w:rPr>
              <w:t>Maintain the health and increase the cover of in-stream, streamside and estuary plants Limit the spread of terrestrial plants, and promote the recruitment of native water- dependent plant species on the banks and benches of waterways</w:t>
            </w:r>
          </w:p>
        </w:tc>
      </w:tr>
      <w:tr w:rsidR="006A7A3F">
        <w:trPr>
          <w:trHeight w:val="84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1"/>
              <w:ind w:left="0"/>
              <w:rPr>
                <w:b/>
                <w:sz w:val="14"/>
              </w:rPr>
            </w:pPr>
          </w:p>
          <w:p w:rsidR="006A7A3F" w:rsidRDefault="00BC7372">
            <w:pPr>
              <w:pStyle w:val="TableParagraph"/>
              <w:ind w:left="178"/>
              <w:rPr>
                <w:sz w:val="20"/>
              </w:rPr>
            </w:pPr>
            <w:r>
              <w:rPr>
                <w:noProof/>
                <w:sz w:val="20"/>
              </w:rPr>
              <w:drawing>
                <wp:inline distT="0" distB="0" distL="0" distR="0">
                  <wp:extent cx="314168" cy="310896"/>
                  <wp:effectExtent l="0" t="0" r="0" b="0"/>
                  <wp:docPr id="483"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01" w:line="211" w:lineRule="auto"/>
              <w:ind w:left="118"/>
              <w:rPr>
                <w:rFonts w:ascii="HelveticaNeueLTStd-Roman" w:hAnsi="HelveticaNeueLTStd-Roman"/>
                <w:sz w:val="17"/>
              </w:rPr>
            </w:pPr>
            <w:r>
              <w:rPr>
                <w:rFonts w:ascii="HelveticaNeueLTStd-Roman" w:hAnsi="HelveticaNeueLTStd-Roman"/>
                <w:color w:val="231F20"/>
                <w:sz w:val="17"/>
              </w:rPr>
              <w:t>Maintain and enhance the population of waterbugs, to break down dead organic matter and support the river’s food chain</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3"/>
              <w:ind w:left="0"/>
              <w:rPr>
                <w:b/>
                <w:sz w:val="13"/>
              </w:rPr>
            </w:pPr>
          </w:p>
          <w:p w:rsidR="006A7A3F" w:rsidRDefault="00BC7372">
            <w:pPr>
              <w:pStyle w:val="TableParagraph"/>
              <w:ind w:left="178"/>
              <w:rPr>
                <w:sz w:val="20"/>
              </w:rPr>
            </w:pPr>
            <w:r>
              <w:rPr>
                <w:noProof/>
                <w:sz w:val="20"/>
              </w:rPr>
              <w:drawing>
                <wp:inline distT="0" distB="0" distL="0" distR="0">
                  <wp:extent cx="314166" cy="310896"/>
                  <wp:effectExtent l="0" t="0" r="0" b="0"/>
                  <wp:docPr id="48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3.png"/>
                          <pic:cNvPicPr/>
                        </pic:nvPicPr>
                        <pic:blipFill>
                          <a:blip r:embed="rId35" cstate="print"/>
                          <a:stretch>
                            <a:fillRect/>
                          </a:stretch>
                        </pic:blipFill>
                        <pic:spPr>
                          <a:xfrm>
                            <a:off x="0" y="0"/>
                            <a:ext cx="314166"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9"/>
              <w:ind w:left="0"/>
              <w:rPr>
                <w:b/>
              </w:rPr>
            </w:pPr>
          </w:p>
          <w:p w:rsidR="006A7A3F" w:rsidRDefault="00BC7372">
            <w:pPr>
              <w:pStyle w:val="TableParagraph"/>
              <w:ind w:left="118"/>
              <w:rPr>
                <w:rFonts w:ascii="HelveticaNeueLTStd-Roman"/>
                <w:sz w:val="17"/>
              </w:rPr>
            </w:pPr>
            <w:r>
              <w:rPr>
                <w:rFonts w:ascii="HelveticaNeueLTStd-Roman"/>
                <w:color w:val="231F20"/>
                <w:sz w:val="17"/>
              </w:rPr>
              <w:t>Maintain oxygen and salinity levels in pools</w:t>
            </w:r>
          </w:p>
        </w:tc>
      </w:tr>
    </w:tbl>
    <w:p w:rsidR="006A7A3F" w:rsidRDefault="006A7A3F">
      <w:pPr>
        <w:pStyle w:val="BodyText"/>
        <w:spacing w:before="10"/>
        <w:ind w:left="0"/>
        <w:rPr>
          <w:b/>
          <w:sz w:val="8"/>
        </w:rPr>
      </w:pPr>
    </w:p>
    <w:p w:rsidR="006A7A3F" w:rsidRDefault="00BC7372">
      <w:pPr>
        <w:spacing w:before="92"/>
        <w:ind w:left="210"/>
        <w:rPr>
          <w:b/>
          <w:sz w:val="24"/>
        </w:rPr>
      </w:pPr>
      <w:r>
        <w:rPr>
          <w:b/>
          <w:color w:val="231F20"/>
          <w:sz w:val="24"/>
        </w:rPr>
        <w:t>Traditional Owner cultural values and uses</w:t>
      </w:r>
    </w:p>
    <w:p w:rsidR="006A7A3F" w:rsidRDefault="00BC7372">
      <w:pPr>
        <w:pStyle w:val="BodyText"/>
        <w:spacing w:before="58" w:line="249" w:lineRule="auto"/>
        <w:ind w:right="248"/>
      </w:pPr>
      <w:r>
        <w:rPr>
          <w:color w:val="231F20"/>
        </w:rPr>
        <w:t>Melbourne Water has made initial contact with Wathaurung Aboriginal Corporation (Wadawurrung) and Wurundjeri Woi-Wurrung Cultural Heritage Aboriginal Corporation, to discuss environmental watering in the Werribee system.</w:t>
      </w:r>
    </w:p>
    <w:p w:rsidR="006A7A3F" w:rsidRDefault="006A7A3F">
      <w:pPr>
        <w:pStyle w:val="BodyText"/>
        <w:spacing w:before="1"/>
        <w:ind w:left="0"/>
      </w:pPr>
    </w:p>
    <w:p w:rsidR="006A7A3F" w:rsidRDefault="00BC7372">
      <w:pPr>
        <w:pStyle w:val="Heading4"/>
      </w:pPr>
      <w:r>
        <w:rPr>
          <w:color w:val="231F20"/>
        </w:rPr>
        <w:t>Social, recreational and economic values and uses</w:t>
      </w:r>
    </w:p>
    <w:p w:rsidR="006A7A3F" w:rsidRDefault="00BC7372">
      <w:pPr>
        <w:pStyle w:val="BodyText"/>
        <w:spacing w:before="58" w:line="249" w:lineRule="auto"/>
        <w:ind w:right="457"/>
      </w:pPr>
      <w:r>
        <w:rPr>
          <w:color w:val="231F20"/>
        </w:rPr>
        <w:t>In planning the potential watering actions in Table 3.5.1, Melbourne Water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w:t>
      </w:r>
      <w:r>
        <w:rPr>
          <w:color w:val="231F20"/>
          <w:spacing w:val="-3"/>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improved water quality for</w:t>
      </w:r>
      <w:r>
        <w:rPr>
          <w:color w:val="231F20"/>
          <w:spacing w:val="-11"/>
          <w:sz w:val="20"/>
        </w:rPr>
        <w:t xml:space="preserve"> </w:t>
      </w:r>
      <w:r>
        <w:rPr>
          <w:color w:val="231F20"/>
          <w:sz w:val="20"/>
        </w:rPr>
        <w:t>communities)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tourism (such as Werribee</w:t>
      </w:r>
      <w:r>
        <w:rPr>
          <w:color w:val="231F20"/>
          <w:spacing w:val="-3"/>
          <w:sz w:val="20"/>
        </w:rPr>
        <w:t xml:space="preserve"> </w:t>
      </w:r>
      <w:r>
        <w:rPr>
          <w:color w:val="231F20"/>
          <w:sz w:val="20"/>
        </w:rPr>
        <w:t>Zoo).</w:t>
      </w:r>
    </w:p>
    <w:p w:rsidR="006A7A3F" w:rsidRDefault="006A7A3F">
      <w:pPr>
        <w:pStyle w:val="BodyText"/>
        <w:spacing w:before="10"/>
        <w:ind w:left="0"/>
      </w:pPr>
    </w:p>
    <w:p w:rsidR="008B4453" w:rsidRDefault="008B4453">
      <w:pPr>
        <w:rPr>
          <w:b/>
          <w:bCs/>
          <w:color w:val="231F20"/>
          <w:sz w:val="24"/>
          <w:szCs w:val="24"/>
        </w:rPr>
      </w:pPr>
      <w:r>
        <w:rPr>
          <w:color w:val="231F20"/>
        </w:rPr>
        <w:br w:type="page"/>
      </w:r>
    </w:p>
    <w:p w:rsidR="006A7A3F" w:rsidRDefault="00BC7372">
      <w:pPr>
        <w:pStyle w:val="Heading4"/>
      </w:pPr>
      <w:r>
        <w:rPr>
          <w:color w:val="231F20"/>
        </w:rPr>
        <w:t>Recent conditions</w:t>
      </w:r>
    </w:p>
    <w:p w:rsidR="006A7A3F" w:rsidRDefault="00BC7372">
      <w:pPr>
        <w:pStyle w:val="BodyText"/>
        <w:spacing w:before="58" w:line="249" w:lineRule="auto"/>
        <w:ind w:right="253"/>
      </w:pPr>
      <w:r>
        <w:rPr>
          <w:color w:val="231F20"/>
        </w:rPr>
        <w:t>Total rainfall in the Werribee system during 2019–20 was close to the long-term annual average, but rainfall was not evenly distributed across all reaches or storages. Pykes Creek Reservoir and Melton Reservoir both spilled in winter and spring 2019, which delivered large flows to the lower Werribee River. Inflows to Lake Merrimu remained low throughout the year, and environmental flows provided some flow in Pyrites Creek in spring 2019. By early March 2020, holders of high-reliability water shares in the Werribee system had received 100 percent allocations, and holders of low-reliability water shares had received 60 percent allocations. Small volumes of inflows into Lake Merrimu were attributed to the environmental entitlement throughout 2019–20.</w:t>
      </w:r>
    </w:p>
    <w:p w:rsidR="006A7A3F" w:rsidRDefault="00BC7372">
      <w:pPr>
        <w:pStyle w:val="BodyText"/>
        <w:spacing w:before="176" w:line="249" w:lineRule="auto"/>
        <w:ind w:right="100"/>
      </w:pPr>
      <w:r>
        <w:rPr>
          <w:color w:val="231F20"/>
        </w:rPr>
        <w:t>Most of the potential watering actions for the lower Werribee River were delivered in 2019–20. Natural events provided regular freshes throughout the year, and water for the environment was used to deliver additional summer freshes and some low flows in June 2020. One of the summer freshes was used to flush an algal bloom that developed in the lower Werribee River during early summer. Low flows during autumn and winter were achieved by passing flows delivered by the storage manager.</w:t>
      </w:r>
    </w:p>
    <w:p w:rsidR="006A7A3F" w:rsidRDefault="00BC7372">
      <w:pPr>
        <w:pStyle w:val="BodyText"/>
        <w:spacing w:before="174" w:line="249" w:lineRule="auto"/>
        <w:ind w:right="297"/>
        <w:rPr>
          <w:color w:val="231F20"/>
        </w:rPr>
      </w:pPr>
      <w:r>
        <w:rPr>
          <w:color w:val="231F20"/>
        </w:rPr>
        <w:t>In Pyrites Creek, water for the environment was used to deliver low flows and two spring freshes. These flows connected habitat pools for frogs, waterbugs and native fish, flushed sediment from pools and supported the recruitment and growth of native vegetation in the stream and along the margins of the banks. About one-third of flow in Pyrites Creek seeps into groundwater reserves or evaporates, but all flow that reached Melton Reservoir was re-harvested for later use.</w:t>
      </w:r>
    </w:p>
    <w:p w:rsidR="008B4453" w:rsidRDefault="008B4453">
      <w:pPr>
        <w:pStyle w:val="BodyText"/>
        <w:spacing w:before="174" w:line="249" w:lineRule="auto"/>
        <w:ind w:right="297"/>
      </w:pPr>
    </w:p>
    <w:p w:rsidR="006A7A3F" w:rsidRDefault="00BC7372">
      <w:pPr>
        <w:pStyle w:val="Heading4"/>
        <w:spacing w:before="62"/>
      </w:pPr>
      <w:r>
        <w:rPr>
          <w:color w:val="231F20"/>
        </w:rPr>
        <w:t>Scope of environmental watering</w:t>
      </w:r>
    </w:p>
    <w:p w:rsidR="006A7A3F" w:rsidRDefault="00BC7372">
      <w:pPr>
        <w:pStyle w:val="BodyText"/>
        <w:spacing w:before="58" w:line="249" w:lineRule="auto"/>
        <w:ind w:right="251"/>
      </w:pPr>
      <w:r>
        <w:rPr>
          <w:color w:val="231F20"/>
        </w:rPr>
        <w:t>Table 3.5.1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8B4453" w:rsidRDefault="008B4453">
      <w:pPr>
        <w:rPr>
          <w:b/>
          <w:color w:val="231F20"/>
          <w:sz w:val="18"/>
        </w:rPr>
      </w:pPr>
      <w:r>
        <w:rPr>
          <w:b/>
          <w:color w:val="231F20"/>
          <w:sz w:val="18"/>
        </w:rPr>
        <w:br w:type="page"/>
      </w:r>
    </w:p>
    <w:p w:rsidR="006A7A3F" w:rsidRDefault="00BC7372">
      <w:pPr>
        <w:spacing w:before="168"/>
        <w:ind w:left="210"/>
        <w:rPr>
          <w:b/>
          <w:sz w:val="18"/>
        </w:rPr>
      </w:pPr>
      <w:r>
        <w:rPr>
          <w:b/>
          <w:color w:val="231F20"/>
          <w:sz w:val="18"/>
        </w:rPr>
        <w:t>Table 3.5.1 Potential environmental watering actions and objectives for the Werribee system</w:t>
      </w:r>
    </w:p>
    <w:p w:rsidR="006A7A3F" w:rsidRDefault="006A7A3F">
      <w:pPr>
        <w:pStyle w:val="BodyText"/>
        <w:spacing w:before="7"/>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trPr>
          <w:trHeight w:val="333"/>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b/>
                <w:sz w:val="16"/>
              </w:rPr>
            </w:pPr>
            <w:r>
              <w:rPr>
                <w:b/>
                <w:color w:val="231F20"/>
                <w:sz w:val="16"/>
              </w:rPr>
              <w:t>Pyrites Creek (reach 6)</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47"/>
              <w:rPr>
                <w:sz w:val="16"/>
              </w:rPr>
            </w:pPr>
            <w:r>
              <w:rPr>
                <w:color w:val="231F20"/>
                <w:sz w:val="16"/>
              </w:rPr>
              <w:t>Spring fresh (one to four freshes of 40 ML/day for two days during September to October)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29"/>
              </w:numPr>
              <w:tabs>
                <w:tab w:val="left" w:pos="306"/>
              </w:tabs>
              <w:spacing w:before="70"/>
              <w:ind w:hanging="218"/>
              <w:rPr>
                <w:sz w:val="16"/>
                <w:szCs w:val="16"/>
              </w:rPr>
            </w:pPr>
            <w:r w:rsidRPr="00B408A4">
              <w:rPr>
                <w:color w:val="231F20"/>
                <w:sz w:val="16"/>
                <w:szCs w:val="16"/>
              </w:rPr>
              <w:t>Drown terrestrial plant species that encroach into the</w:t>
            </w:r>
            <w:r w:rsidRPr="00B408A4">
              <w:rPr>
                <w:color w:val="231F20"/>
                <w:spacing w:val="-12"/>
                <w:sz w:val="16"/>
                <w:szCs w:val="16"/>
              </w:rPr>
              <w:t xml:space="preserve"> </w:t>
            </w:r>
            <w:r w:rsidRPr="00B408A4">
              <w:rPr>
                <w:color w:val="231F20"/>
                <w:sz w:val="16"/>
                <w:szCs w:val="16"/>
              </w:rPr>
              <w:t>waterway</w:t>
            </w:r>
          </w:p>
          <w:p w:rsidR="006A7A3F" w:rsidRPr="00B408A4" w:rsidRDefault="00BC7372">
            <w:pPr>
              <w:pStyle w:val="TableParagraph"/>
              <w:numPr>
                <w:ilvl w:val="0"/>
                <w:numId w:val="1129"/>
              </w:numPr>
              <w:tabs>
                <w:tab w:val="left" w:pos="306"/>
              </w:tabs>
              <w:spacing w:before="98" w:line="254" w:lineRule="auto"/>
              <w:ind w:right="756"/>
              <w:rPr>
                <w:sz w:val="16"/>
                <w:szCs w:val="16"/>
              </w:rPr>
            </w:pPr>
            <w:r w:rsidRPr="00B408A4">
              <w:rPr>
                <w:color w:val="231F20"/>
                <w:sz w:val="16"/>
                <w:szCs w:val="16"/>
              </w:rPr>
              <w:t>Increase the growth and recruitment of streamside and in-stream vegetation</w:t>
            </w:r>
          </w:p>
          <w:p w:rsidR="006A7A3F" w:rsidRPr="00B408A4" w:rsidRDefault="00BC7372">
            <w:pPr>
              <w:pStyle w:val="TableParagraph"/>
              <w:numPr>
                <w:ilvl w:val="0"/>
                <w:numId w:val="1129"/>
              </w:numPr>
              <w:tabs>
                <w:tab w:val="left" w:pos="306"/>
              </w:tabs>
              <w:spacing w:before="87" w:line="254" w:lineRule="auto"/>
              <w:ind w:right="186"/>
              <w:rPr>
                <w:sz w:val="16"/>
                <w:szCs w:val="16"/>
              </w:rPr>
            </w:pPr>
            <w:r w:rsidRPr="00B408A4">
              <w:rPr>
                <w:color w:val="231F20"/>
                <w:sz w:val="16"/>
                <w:szCs w:val="16"/>
              </w:rPr>
              <w:t>Scour silt, biofilms and algae from substrates to maintain the quality and quantity of food and habitat for</w:t>
            </w:r>
            <w:r w:rsidRPr="00B408A4">
              <w:rPr>
                <w:color w:val="231F20"/>
                <w:spacing w:val="-7"/>
                <w:sz w:val="16"/>
                <w:szCs w:val="16"/>
              </w:rPr>
              <w:t xml:space="preserve"> </w:t>
            </w:r>
            <w:r w:rsidRPr="00B408A4">
              <w:rPr>
                <w:color w:val="231F20"/>
                <w:sz w:val="16"/>
                <w:szCs w:val="16"/>
              </w:rPr>
              <w:t>waterbugs</w:t>
            </w:r>
          </w:p>
          <w:p w:rsidR="006A7A3F" w:rsidRPr="00B408A4" w:rsidRDefault="00BC7372">
            <w:pPr>
              <w:pStyle w:val="TableParagraph"/>
              <w:numPr>
                <w:ilvl w:val="0"/>
                <w:numId w:val="1129"/>
              </w:numPr>
              <w:tabs>
                <w:tab w:val="left" w:pos="306"/>
              </w:tabs>
              <w:spacing w:before="86"/>
              <w:ind w:hanging="218"/>
              <w:rPr>
                <w:sz w:val="16"/>
                <w:szCs w:val="16"/>
              </w:rPr>
            </w:pPr>
            <w:r w:rsidRPr="00B408A4">
              <w:rPr>
                <w:color w:val="231F20"/>
                <w:sz w:val="16"/>
                <w:szCs w:val="16"/>
              </w:rPr>
              <w:t>Wet depressions adjacent to the stream that frogs can use for</w:t>
            </w:r>
            <w:r w:rsidRPr="00B408A4">
              <w:rPr>
                <w:color w:val="231F20"/>
                <w:spacing w:val="-25"/>
                <w:sz w:val="16"/>
                <w:szCs w:val="16"/>
              </w:rPr>
              <w:t xml:space="preserve"> </w:t>
            </w:r>
            <w:r w:rsidRPr="00B408A4">
              <w:rPr>
                <w:color w:val="231F20"/>
                <w:sz w:val="16"/>
                <w:szCs w:val="16"/>
              </w:rPr>
              <w:t>breeding</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2" cy="310896"/>
                  <wp:effectExtent l="0" t="0" r="0" b="0"/>
                  <wp:docPr id="487"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5.jpeg"/>
                          <pic:cNvPicPr/>
                        </pic:nvPicPr>
                        <pic:blipFill>
                          <a:blip r:embed="rId37" cstate="print"/>
                          <a:stretch>
                            <a:fillRect/>
                          </a:stretch>
                        </pic:blipFill>
                        <pic:spPr>
                          <a:xfrm>
                            <a:off x="0" y="0"/>
                            <a:ext cx="314172"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48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6A7A3F">
        <w:trPr>
          <w:trHeight w:val="107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5" cy="310896"/>
                  <wp:effectExtent l="0" t="0" r="0" b="0"/>
                  <wp:docPr id="49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2.jpeg"/>
                          <pic:cNvPicPr/>
                        </pic:nvPicPr>
                        <pic:blipFill>
                          <a:blip r:embed="rId34" cstate="print"/>
                          <a:stretch>
                            <a:fillRect/>
                          </a:stretch>
                        </pic:blipFill>
                        <pic:spPr>
                          <a:xfrm>
                            <a:off x="0" y="0"/>
                            <a:ext cx="314175"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0"/>
              <w:rPr>
                <w:sz w:val="16"/>
              </w:rPr>
            </w:pPr>
            <w:r>
              <w:rPr>
                <w:color w:val="231F20"/>
                <w:sz w:val="16"/>
              </w:rPr>
              <w:t>Spring/summer high flow (one to three high flows of 130 ML/day for two days during September to December)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28"/>
              </w:numPr>
              <w:tabs>
                <w:tab w:val="left" w:pos="306"/>
              </w:tabs>
              <w:spacing w:before="70"/>
              <w:ind w:hanging="218"/>
              <w:rPr>
                <w:sz w:val="16"/>
                <w:szCs w:val="16"/>
              </w:rPr>
            </w:pPr>
            <w:r w:rsidRPr="00B408A4">
              <w:rPr>
                <w:color w:val="231F20"/>
                <w:sz w:val="16"/>
                <w:szCs w:val="16"/>
              </w:rPr>
              <w:t>Drown terrestrial plant species that encroach into the</w:t>
            </w:r>
            <w:r w:rsidRPr="00B408A4">
              <w:rPr>
                <w:color w:val="231F20"/>
                <w:spacing w:val="-12"/>
                <w:sz w:val="16"/>
                <w:szCs w:val="16"/>
              </w:rPr>
              <w:t xml:space="preserve"> </w:t>
            </w:r>
            <w:r w:rsidRPr="00B408A4">
              <w:rPr>
                <w:color w:val="231F20"/>
                <w:sz w:val="16"/>
                <w:szCs w:val="16"/>
              </w:rPr>
              <w:t>waterway</w:t>
            </w:r>
          </w:p>
          <w:p w:rsidR="006A7A3F" w:rsidRPr="00B408A4" w:rsidRDefault="00BC7372">
            <w:pPr>
              <w:pStyle w:val="TableParagraph"/>
              <w:numPr>
                <w:ilvl w:val="0"/>
                <w:numId w:val="1128"/>
              </w:numPr>
              <w:tabs>
                <w:tab w:val="left" w:pos="306"/>
              </w:tabs>
              <w:spacing w:before="98" w:line="254" w:lineRule="auto"/>
              <w:ind w:right="756"/>
              <w:rPr>
                <w:sz w:val="16"/>
                <w:szCs w:val="16"/>
              </w:rPr>
            </w:pPr>
            <w:r w:rsidRPr="00B408A4">
              <w:rPr>
                <w:color w:val="231F20"/>
                <w:sz w:val="16"/>
                <w:szCs w:val="16"/>
              </w:rPr>
              <w:t>Increase the growth and recruitment of streamside and in-stream vegetation</w:t>
            </w:r>
          </w:p>
          <w:p w:rsidR="006A7A3F" w:rsidRPr="00B408A4" w:rsidRDefault="00BC7372">
            <w:pPr>
              <w:pStyle w:val="TableParagraph"/>
              <w:numPr>
                <w:ilvl w:val="0"/>
                <w:numId w:val="1128"/>
              </w:numPr>
              <w:tabs>
                <w:tab w:val="left" w:pos="306"/>
              </w:tabs>
              <w:spacing w:before="87"/>
              <w:ind w:hanging="218"/>
              <w:rPr>
                <w:sz w:val="16"/>
                <w:szCs w:val="16"/>
              </w:rPr>
            </w:pPr>
            <w:r w:rsidRPr="00B408A4">
              <w:rPr>
                <w:color w:val="231F20"/>
                <w:sz w:val="16"/>
                <w:szCs w:val="16"/>
              </w:rPr>
              <w:t>Transport carbon to drive aquatic food</w:t>
            </w:r>
            <w:r w:rsidRPr="00B408A4">
              <w:rPr>
                <w:color w:val="231F20"/>
                <w:spacing w:val="-5"/>
                <w:sz w:val="16"/>
                <w:szCs w:val="16"/>
              </w:rPr>
              <w:t xml:space="preserve"> </w:t>
            </w:r>
            <w:r w:rsidRPr="00B408A4">
              <w:rPr>
                <w:color w:val="231F20"/>
                <w:sz w:val="16"/>
                <w:szCs w:val="16"/>
              </w:rPr>
              <w:t>webs</w:t>
            </w:r>
          </w:p>
          <w:p w:rsidR="006A7A3F" w:rsidRPr="00B408A4" w:rsidRDefault="00BC7372">
            <w:pPr>
              <w:pStyle w:val="TableParagraph"/>
              <w:numPr>
                <w:ilvl w:val="0"/>
                <w:numId w:val="1128"/>
              </w:numPr>
              <w:tabs>
                <w:tab w:val="left" w:pos="306"/>
              </w:tabs>
              <w:spacing w:before="98" w:line="254" w:lineRule="auto"/>
              <w:ind w:right="186"/>
              <w:rPr>
                <w:sz w:val="16"/>
                <w:szCs w:val="16"/>
              </w:rPr>
            </w:pPr>
            <w:r w:rsidRPr="00B408A4">
              <w:rPr>
                <w:color w:val="231F20"/>
                <w:sz w:val="16"/>
                <w:szCs w:val="16"/>
              </w:rPr>
              <w:t>Scour silt, biofilms and algae from substrates to maintain the quality and quantity of food and habitat for</w:t>
            </w:r>
            <w:r w:rsidRPr="00B408A4">
              <w:rPr>
                <w:color w:val="231F20"/>
                <w:spacing w:val="-7"/>
                <w:sz w:val="16"/>
                <w:szCs w:val="16"/>
              </w:rPr>
              <w:t xml:space="preserve"> </w:t>
            </w:r>
            <w:r w:rsidRPr="00B408A4">
              <w:rPr>
                <w:color w:val="231F20"/>
                <w:sz w:val="16"/>
                <w:szCs w:val="16"/>
              </w:rPr>
              <w:t>waterbugs</w:t>
            </w:r>
          </w:p>
          <w:p w:rsidR="006A7A3F" w:rsidRPr="00B408A4" w:rsidRDefault="00BC7372">
            <w:pPr>
              <w:pStyle w:val="TableParagraph"/>
              <w:numPr>
                <w:ilvl w:val="0"/>
                <w:numId w:val="1128"/>
              </w:numPr>
              <w:tabs>
                <w:tab w:val="left" w:pos="306"/>
              </w:tabs>
              <w:spacing w:before="86"/>
              <w:ind w:hanging="218"/>
              <w:rPr>
                <w:sz w:val="16"/>
                <w:szCs w:val="16"/>
              </w:rPr>
            </w:pPr>
            <w:r w:rsidRPr="00B408A4">
              <w:rPr>
                <w:color w:val="231F20"/>
                <w:sz w:val="16"/>
                <w:szCs w:val="16"/>
              </w:rPr>
              <w:t>Wet depressions adjacent to the stream that frogs can use for</w:t>
            </w:r>
            <w:r w:rsidRPr="00B408A4">
              <w:rPr>
                <w:color w:val="231F20"/>
                <w:spacing w:val="-25"/>
                <w:sz w:val="16"/>
                <w:szCs w:val="16"/>
              </w:rPr>
              <w:t xml:space="preserve"> </w:t>
            </w:r>
            <w:r w:rsidRPr="00B408A4">
              <w:rPr>
                <w:color w:val="231F20"/>
                <w:sz w:val="16"/>
                <w:szCs w:val="16"/>
              </w:rPr>
              <w:t>breeding</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6" cy="310896"/>
                  <wp:effectExtent l="0" t="0" r="0" b="0"/>
                  <wp:docPr id="49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5.jpeg"/>
                          <pic:cNvPicPr/>
                        </pic:nvPicPr>
                        <pic:blipFill>
                          <a:blip r:embed="rId37" cstate="print"/>
                          <a:stretch>
                            <a:fillRect/>
                          </a:stretch>
                        </pic:blipFill>
                        <pic:spPr>
                          <a:xfrm>
                            <a:off x="0" y="0"/>
                            <a:ext cx="314176"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9" cy="310896"/>
                  <wp:effectExtent l="0" t="0" r="0" b="0"/>
                  <wp:docPr id="49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0.jpeg"/>
                          <pic:cNvPicPr/>
                        </pic:nvPicPr>
                        <pic:blipFill>
                          <a:blip r:embed="rId32" cstate="print"/>
                          <a:stretch>
                            <a:fillRect/>
                          </a:stretch>
                        </pic:blipFill>
                        <pic:spPr>
                          <a:xfrm>
                            <a:off x="0" y="0"/>
                            <a:ext cx="314179" cy="310896"/>
                          </a:xfrm>
                          <a:prstGeom prst="rect">
                            <a:avLst/>
                          </a:prstGeom>
                        </pic:spPr>
                      </pic:pic>
                    </a:graphicData>
                  </a:graphic>
                </wp:inline>
              </w:drawing>
            </w:r>
          </w:p>
        </w:tc>
      </w:tr>
      <w:tr w:rsidR="006A7A3F">
        <w:trPr>
          <w:trHeight w:val="137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49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49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04"/>
              <w:jc w:val="both"/>
              <w:rPr>
                <w:sz w:val="16"/>
              </w:rPr>
            </w:pPr>
            <w:r>
              <w:rPr>
                <w:color w:val="231F20"/>
                <w:sz w:val="16"/>
              </w:rPr>
              <w:t>Winter/spring/summer low flow (two ML/day [or natural] during June to December)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27"/>
              </w:numPr>
              <w:tabs>
                <w:tab w:val="left" w:pos="306"/>
              </w:tabs>
              <w:spacing w:before="70"/>
              <w:ind w:hanging="218"/>
              <w:rPr>
                <w:sz w:val="16"/>
                <w:szCs w:val="16"/>
              </w:rPr>
            </w:pPr>
            <w:r w:rsidRPr="00B408A4">
              <w:rPr>
                <w:color w:val="231F20"/>
                <w:sz w:val="16"/>
                <w:szCs w:val="16"/>
              </w:rPr>
              <w:t>Maintain access to food and habitat for waterbugs, native fish and</w:t>
            </w:r>
            <w:r w:rsidRPr="00B408A4">
              <w:rPr>
                <w:color w:val="231F20"/>
                <w:spacing w:val="-26"/>
                <w:sz w:val="16"/>
                <w:szCs w:val="16"/>
              </w:rPr>
              <w:t xml:space="preserve"> </w:t>
            </w:r>
            <w:r w:rsidRPr="00B408A4">
              <w:rPr>
                <w:color w:val="231F20"/>
                <w:sz w:val="16"/>
                <w:szCs w:val="16"/>
              </w:rPr>
              <w:t>frogs</w:t>
            </w:r>
          </w:p>
          <w:p w:rsidR="006A7A3F" w:rsidRPr="00B408A4" w:rsidRDefault="00BC7372">
            <w:pPr>
              <w:pStyle w:val="TableParagraph"/>
              <w:numPr>
                <w:ilvl w:val="0"/>
                <w:numId w:val="1127"/>
              </w:numPr>
              <w:tabs>
                <w:tab w:val="left" w:pos="306"/>
              </w:tabs>
              <w:spacing w:before="98"/>
              <w:ind w:hanging="218"/>
              <w:rPr>
                <w:sz w:val="16"/>
                <w:szCs w:val="16"/>
              </w:rPr>
            </w:pPr>
            <w:r w:rsidRPr="00B408A4">
              <w:rPr>
                <w:color w:val="231F20"/>
                <w:sz w:val="16"/>
                <w:szCs w:val="16"/>
              </w:rPr>
              <w:t>Increase the growth and recruitment of in-stream</w:t>
            </w:r>
            <w:r w:rsidRPr="00B408A4">
              <w:rPr>
                <w:color w:val="231F20"/>
                <w:spacing w:val="-8"/>
                <w:sz w:val="16"/>
                <w:szCs w:val="16"/>
              </w:rPr>
              <w:t xml:space="preserve"> </w:t>
            </w:r>
            <w:r w:rsidRPr="00B408A4">
              <w:rPr>
                <w:color w:val="231F20"/>
                <w:sz w:val="16"/>
                <w:szCs w:val="16"/>
              </w:rPr>
              <w:t>vegetation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50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50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7" cy="310896"/>
                  <wp:effectExtent l="0" t="0" r="0" b="0"/>
                  <wp:docPr id="50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77" cy="310896"/>
                  <wp:effectExtent l="0" t="0" r="0" b="0"/>
                  <wp:docPr id="50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r w:rsidR="006A7A3F">
        <w:trPr>
          <w:trHeight w:val="360"/>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b/>
                <w:sz w:val="16"/>
              </w:rPr>
            </w:pPr>
            <w:r>
              <w:rPr>
                <w:b/>
                <w:color w:val="231F20"/>
                <w:sz w:val="16"/>
              </w:rPr>
              <w:t>Lower Werribee River (reaches 8, 9 and estuary)</w:t>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0"/>
              <w:rPr>
                <w:sz w:val="16"/>
              </w:rPr>
            </w:pPr>
            <w:r>
              <w:rPr>
                <w:color w:val="231F20"/>
                <w:sz w:val="16"/>
              </w:rPr>
              <w:t>Summer/autumn fresh (one to five freshes of 80 ML/day for two days during November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26"/>
              </w:numPr>
              <w:tabs>
                <w:tab w:val="left" w:pos="306"/>
              </w:tabs>
              <w:spacing w:before="70" w:line="254" w:lineRule="auto"/>
              <w:ind w:right="567"/>
              <w:rPr>
                <w:sz w:val="16"/>
                <w:szCs w:val="16"/>
              </w:rPr>
            </w:pPr>
            <w:r w:rsidRPr="00B408A4">
              <w:rPr>
                <w:color w:val="231F20"/>
                <w:sz w:val="16"/>
                <w:szCs w:val="16"/>
              </w:rPr>
              <w:t>Support the growth and recruitment of water-dependent</w:t>
            </w:r>
            <w:r w:rsidRPr="00B408A4">
              <w:rPr>
                <w:color w:val="231F20"/>
                <w:spacing w:val="-25"/>
                <w:sz w:val="16"/>
                <w:szCs w:val="16"/>
              </w:rPr>
              <w:t xml:space="preserve"> </w:t>
            </w:r>
            <w:r w:rsidRPr="00B408A4">
              <w:rPr>
                <w:color w:val="231F20"/>
                <w:sz w:val="16"/>
                <w:szCs w:val="16"/>
              </w:rPr>
              <w:t>streamside vegetation</w:t>
            </w:r>
          </w:p>
          <w:p w:rsidR="006A7A3F" w:rsidRPr="00B408A4" w:rsidRDefault="00BC7372">
            <w:pPr>
              <w:pStyle w:val="TableParagraph"/>
              <w:numPr>
                <w:ilvl w:val="0"/>
                <w:numId w:val="1126"/>
              </w:numPr>
              <w:tabs>
                <w:tab w:val="left" w:pos="306"/>
              </w:tabs>
              <w:spacing w:before="87" w:line="254" w:lineRule="auto"/>
              <w:ind w:right="76"/>
              <w:rPr>
                <w:sz w:val="16"/>
                <w:szCs w:val="16"/>
              </w:rPr>
            </w:pPr>
            <w:r w:rsidRPr="00B408A4">
              <w:rPr>
                <w:color w:val="231F20"/>
                <w:sz w:val="16"/>
                <w:szCs w:val="16"/>
              </w:rPr>
              <w:t>Flush silt and scour biofilms and algae from substrates on the stream bed and maintain pools and channel</w:t>
            </w:r>
            <w:r w:rsidRPr="00B408A4">
              <w:rPr>
                <w:color w:val="231F20"/>
                <w:spacing w:val="-5"/>
                <w:sz w:val="16"/>
                <w:szCs w:val="16"/>
              </w:rPr>
              <w:t xml:space="preserve"> </w:t>
            </w:r>
            <w:r w:rsidRPr="00B408A4">
              <w:rPr>
                <w:color w:val="231F20"/>
                <w:sz w:val="16"/>
                <w:szCs w:val="16"/>
              </w:rPr>
              <w:t>dimensions</w:t>
            </w:r>
          </w:p>
          <w:p w:rsidR="006A7A3F" w:rsidRPr="00B408A4" w:rsidRDefault="00BC7372">
            <w:pPr>
              <w:pStyle w:val="TableParagraph"/>
              <w:numPr>
                <w:ilvl w:val="0"/>
                <w:numId w:val="1126"/>
              </w:numPr>
              <w:tabs>
                <w:tab w:val="left" w:pos="306"/>
              </w:tabs>
              <w:spacing w:before="86" w:line="254" w:lineRule="auto"/>
              <w:ind w:right="117"/>
              <w:rPr>
                <w:sz w:val="16"/>
                <w:szCs w:val="16"/>
              </w:rPr>
            </w:pPr>
            <w:r w:rsidRPr="00B408A4">
              <w:rPr>
                <w:color w:val="231F20"/>
                <w:sz w:val="16"/>
                <w:szCs w:val="16"/>
              </w:rPr>
              <w:t>Maintain</w:t>
            </w:r>
            <w:r w:rsidRPr="00B408A4">
              <w:rPr>
                <w:color w:val="231F20"/>
                <w:spacing w:val="-3"/>
                <w:sz w:val="16"/>
                <w:szCs w:val="16"/>
              </w:rPr>
              <w:t xml:space="preserve"> </w:t>
            </w:r>
            <w:r w:rsidRPr="00B408A4">
              <w:rPr>
                <w:color w:val="231F20"/>
                <w:sz w:val="16"/>
                <w:szCs w:val="16"/>
              </w:rPr>
              <w:t>access</w:t>
            </w:r>
            <w:r w:rsidRPr="00B408A4">
              <w:rPr>
                <w:color w:val="231F20"/>
                <w:spacing w:val="-4"/>
                <w:sz w:val="16"/>
                <w:szCs w:val="16"/>
              </w:rPr>
              <w:t xml:space="preserve"> </w:t>
            </w:r>
            <w:r w:rsidRPr="00B408A4">
              <w:rPr>
                <w:color w:val="231F20"/>
                <w:sz w:val="16"/>
                <w:szCs w:val="16"/>
              </w:rPr>
              <w:t>to</w:t>
            </w:r>
            <w:r w:rsidRPr="00B408A4">
              <w:rPr>
                <w:color w:val="231F20"/>
                <w:spacing w:val="-3"/>
                <w:sz w:val="16"/>
                <w:szCs w:val="16"/>
              </w:rPr>
              <w:t xml:space="preserve"> </w:t>
            </w:r>
            <w:r w:rsidRPr="00B408A4">
              <w:rPr>
                <w:color w:val="231F20"/>
                <w:sz w:val="16"/>
                <w:szCs w:val="16"/>
              </w:rPr>
              <w:t>habitat</w:t>
            </w:r>
            <w:r w:rsidRPr="00B408A4">
              <w:rPr>
                <w:color w:val="231F20"/>
                <w:spacing w:val="-4"/>
                <w:sz w:val="16"/>
                <w:szCs w:val="16"/>
              </w:rPr>
              <w:t xml:space="preserve"> </w:t>
            </w:r>
            <w:r w:rsidRPr="00B408A4">
              <w:rPr>
                <w:color w:val="231F20"/>
                <w:sz w:val="16"/>
                <w:szCs w:val="16"/>
              </w:rPr>
              <w:t>and</w:t>
            </w:r>
            <w:r w:rsidRPr="00B408A4">
              <w:rPr>
                <w:color w:val="231F20"/>
                <w:spacing w:val="-4"/>
                <w:sz w:val="16"/>
                <w:szCs w:val="16"/>
              </w:rPr>
              <w:t xml:space="preserve"> </w:t>
            </w:r>
            <w:r w:rsidRPr="00B408A4">
              <w:rPr>
                <w:color w:val="231F20"/>
                <w:sz w:val="16"/>
                <w:szCs w:val="16"/>
              </w:rPr>
              <w:t>improve</w:t>
            </w:r>
            <w:r w:rsidRPr="00B408A4">
              <w:rPr>
                <w:color w:val="231F20"/>
                <w:spacing w:val="-4"/>
                <w:sz w:val="16"/>
                <w:szCs w:val="16"/>
              </w:rPr>
              <w:t xml:space="preserve"> </w:t>
            </w:r>
            <w:r w:rsidRPr="00B408A4">
              <w:rPr>
                <w:color w:val="231F20"/>
                <w:sz w:val="16"/>
                <w:szCs w:val="16"/>
              </w:rPr>
              <w:t>water</w:t>
            </w:r>
            <w:r w:rsidRPr="00B408A4">
              <w:rPr>
                <w:color w:val="231F20"/>
                <w:spacing w:val="-4"/>
                <w:sz w:val="16"/>
                <w:szCs w:val="16"/>
              </w:rPr>
              <w:t xml:space="preserve"> </w:t>
            </w:r>
            <w:r w:rsidRPr="00B408A4">
              <w:rPr>
                <w:color w:val="231F20"/>
                <w:sz w:val="16"/>
                <w:szCs w:val="16"/>
              </w:rPr>
              <w:t>quality</w:t>
            </w:r>
            <w:r w:rsidRPr="00B408A4">
              <w:rPr>
                <w:color w:val="231F20"/>
                <w:spacing w:val="-3"/>
                <w:sz w:val="16"/>
                <w:szCs w:val="16"/>
              </w:rPr>
              <w:t xml:space="preserve"> </w:t>
            </w:r>
            <w:r w:rsidRPr="00B408A4">
              <w:rPr>
                <w:color w:val="231F20"/>
                <w:sz w:val="16"/>
                <w:szCs w:val="16"/>
              </w:rPr>
              <w:t>for</w:t>
            </w:r>
            <w:r w:rsidRPr="00B408A4">
              <w:rPr>
                <w:color w:val="231F20"/>
                <w:spacing w:val="-3"/>
                <w:sz w:val="16"/>
                <w:szCs w:val="16"/>
              </w:rPr>
              <w:t xml:space="preserve"> </w:t>
            </w:r>
            <w:r w:rsidRPr="00B408A4">
              <w:rPr>
                <w:color w:val="231F20"/>
                <w:sz w:val="16"/>
                <w:szCs w:val="16"/>
              </w:rPr>
              <w:t>native</w:t>
            </w:r>
            <w:r w:rsidRPr="00B408A4">
              <w:rPr>
                <w:color w:val="231F20"/>
                <w:spacing w:val="-4"/>
                <w:sz w:val="16"/>
                <w:szCs w:val="16"/>
              </w:rPr>
              <w:t xml:space="preserve"> </w:t>
            </w:r>
            <w:r w:rsidRPr="00B408A4">
              <w:rPr>
                <w:color w:val="231F20"/>
                <w:sz w:val="16"/>
                <w:szCs w:val="16"/>
              </w:rPr>
              <w:t>fish,</w:t>
            </w:r>
            <w:r w:rsidRPr="00B408A4">
              <w:rPr>
                <w:color w:val="231F20"/>
                <w:spacing w:val="-3"/>
                <w:sz w:val="16"/>
                <w:szCs w:val="16"/>
              </w:rPr>
              <w:t xml:space="preserve"> </w:t>
            </w:r>
            <w:r w:rsidRPr="00B408A4">
              <w:rPr>
                <w:color w:val="231F20"/>
                <w:sz w:val="16"/>
                <w:szCs w:val="16"/>
              </w:rPr>
              <w:t>frogs and</w:t>
            </w:r>
            <w:r w:rsidRPr="00B408A4">
              <w:rPr>
                <w:color w:val="231F20"/>
                <w:spacing w:val="-2"/>
                <w:sz w:val="16"/>
                <w:szCs w:val="16"/>
              </w:rPr>
              <w:t xml:space="preserve"> </w:t>
            </w:r>
            <w:r w:rsidRPr="00B408A4">
              <w:rPr>
                <w:color w:val="231F20"/>
                <w:sz w:val="16"/>
                <w:szCs w:val="16"/>
              </w:rPr>
              <w:t>platypus</w:t>
            </w:r>
          </w:p>
          <w:p w:rsidR="006A7A3F" w:rsidRPr="00B408A4" w:rsidRDefault="00BC7372">
            <w:pPr>
              <w:pStyle w:val="TableParagraph"/>
              <w:numPr>
                <w:ilvl w:val="0"/>
                <w:numId w:val="1126"/>
              </w:numPr>
              <w:tabs>
                <w:tab w:val="left" w:pos="306"/>
              </w:tabs>
              <w:spacing w:before="86" w:line="254" w:lineRule="auto"/>
              <w:ind w:right="247"/>
              <w:rPr>
                <w:sz w:val="16"/>
                <w:szCs w:val="16"/>
              </w:rPr>
            </w:pPr>
            <w:r w:rsidRPr="00B408A4">
              <w:rPr>
                <w:color w:val="231F20"/>
                <w:sz w:val="16"/>
                <w:szCs w:val="16"/>
              </w:rPr>
              <w:t>Provide enough flow for native fish to move downstream past natural</w:t>
            </w:r>
            <w:r w:rsidRPr="00B408A4">
              <w:rPr>
                <w:color w:val="231F20"/>
                <w:spacing w:val="-34"/>
                <w:sz w:val="16"/>
                <w:szCs w:val="16"/>
              </w:rPr>
              <w:t xml:space="preserve"> </w:t>
            </w:r>
            <w:r w:rsidRPr="00B408A4">
              <w:rPr>
                <w:color w:val="231F20"/>
                <w:sz w:val="16"/>
                <w:szCs w:val="16"/>
              </w:rPr>
              <w:t>or artificial</w:t>
            </w:r>
            <w:r w:rsidRPr="00B408A4">
              <w:rPr>
                <w:color w:val="231F20"/>
                <w:spacing w:val="-2"/>
                <w:sz w:val="16"/>
                <w:szCs w:val="16"/>
              </w:rPr>
              <w:t xml:space="preserve"> </w:t>
            </w:r>
            <w:r w:rsidRPr="00B408A4">
              <w:rPr>
                <w:color w:val="231F20"/>
                <w:sz w:val="16"/>
                <w:szCs w:val="16"/>
              </w:rPr>
              <w:t>barriers</w:t>
            </w:r>
          </w:p>
          <w:p w:rsidR="006A7A3F" w:rsidRPr="00B408A4" w:rsidRDefault="00BC7372">
            <w:pPr>
              <w:pStyle w:val="TableParagraph"/>
              <w:numPr>
                <w:ilvl w:val="0"/>
                <w:numId w:val="1126"/>
              </w:numPr>
              <w:tabs>
                <w:tab w:val="left" w:pos="306"/>
              </w:tabs>
              <w:spacing w:before="86"/>
              <w:ind w:hanging="218"/>
              <w:rPr>
                <w:sz w:val="16"/>
                <w:szCs w:val="16"/>
              </w:rPr>
            </w:pPr>
            <w:r w:rsidRPr="00B408A4">
              <w:rPr>
                <w:color w:val="231F20"/>
                <w:sz w:val="16"/>
                <w:szCs w:val="16"/>
              </w:rPr>
              <w:t>Maintain the quality and quantity of food and habitat for</w:t>
            </w:r>
            <w:r w:rsidRPr="00B408A4">
              <w:rPr>
                <w:color w:val="231F20"/>
                <w:spacing w:val="-20"/>
                <w:sz w:val="16"/>
                <w:szCs w:val="16"/>
              </w:rPr>
              <w:t xml:space="preserve"> </w:t>
            </w:r>
            <w:r w:rsidRPr="00B408A4">
              <w:rPr>
                <w:color w:val="231F20"/>
                <w:sz w:val="16"/>
                <w:szCs w:val="16"/>
              </w:rPr>
              <w:t>waterbugs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50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51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551"/>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51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51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551"/>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nil"/>
              <w:right w:val="nil"/>
            </w:tcBorders>
          </w:tcPr>
          <w:p w:rsidR="006A7A3F" w:rsidRDefault="006A7A3F">
            <w:pPr>
              <w:pStyle w:val="TableParagraph"/>
              <w:spacing w:before="11"/>
              <w:ind w:left="0"/>
              <w:rPr>
                <w:b/>
                <w:sz w:val="2"/>
              </w:rPr>
            </w:pPr>
          </w:p>
          <w:p w:rsidR="006A7A3F" w:rsidRDefault="00BC7372">
            <w:pPr>
              <w:pStyle w:val="TableParagraph"/>
              <w:ind w:left="315" w:right="-15"/>
              <w:rPr>
                <w:sz w:val="20"/>
              </w:rPr>
            </w:pPr>
            <w:r>
              <w:rPr>
                <w:noProof/>
                <w:sz w:val="20"/>
              </w:rPr>
              <w:drawing>
                <wp:inline distT="0" distB="0" distL="0" distR="0">
                  <wp:extent cx="314177" cy="310896"/>
                  <wp:effectExtent l="0" t="0" r="0" b="0"/>
                  <wp:docPr id="51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11"/>
              <w:ind w:left="0"/>
              <w:rPr>
                <w:b/>
                <w:sz w:val="2"/>
              </w:rPr>
            </w:pPr>
          </w:p>
          <w:p w:rsidR="006A7A3F" w:rsidRDefault="00BC7372">
            <w:pPr>
              <w:pStyle w:val="TableParagraph"/>
              <w:ind w:left="48"/>
              <w:rPr>
                <w:sz w:val="20"/>
              </w:rPr>
            </w:pPr>
            <w:r>
              <w:rPr>
                <w:noProof/>
                <w:sz w:val="20"/>
              </w:rPr>
              <w:drawing>
                <wp:inline distT="0" distB="0" distL="0" distR="0">
                  <wp:extent cx="314177" cy="310896"/>
                  <wp:effectExtent l="0" t="0" r="0" b="0"/>
                  <wp:docPr id="51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r w:rsidR="006A7A3F">
        <w:trPr>
          <w:trHeight w:val="688"/>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52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29"/>
              <w:rPr>
                <w:sz w:val="16"/>
              </w:rPr>
            </w:pPr>
            <w:r>
              <w:rPr>
                <w:color w:val="231F20"/>
                <w:sz w:val="16"/>
              </w:rPr>
              <w:t>Winter/spring fresh (one to two freshes of 350 ML/day for three days during June to October)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25"/>
              </w:numPr>
              <w:tabs>
                <w:tab w:val="left" w:pos="306"/>
              </w:tabs>
              <w:spacing w:before="70" w:line="254" w:lineRule="auto"/>
              <w:ind w:right="567"/>
              <w:rPr>
                <w:sz w:val="16"/>
                <w:szCs w:val="16"/>
              </w:rPr>
            </w:pPr>
            <w:r w:rsidRPr="00B408A4">
              <w:rPr>
                <w:color w:val="231F20"/>
                <w:sz w:val="16"/>
                <w:szCs w:val="16"/>
              </w:rPr>
              <w:t>Support the growth and recruitment of water-dependent</w:t>
            </w:r>
            <w:r w:rsidRPr="00B408A4">
              <w:rPr>
                <w:color w:val="231F20"/>
                <w:spacing w:val="-25"/>
                <w:sz w:val="16"/>
                <w:szCs w:val="16"/>
              </w:rPr>
              <w:t xml:space="preserve"> </w:t>
            </w:r>
            <w:r w:rsidRPr="00B408A4">
              <w:rPr>
                <w:color w:val="231F20"/>
                <w:sz w:val="16"/>
                <w:szCs w:val="16"/>
              </w:rPr>
              <w:t>streamside vegetation</w:t>
            </w:r>
          </w:p>
          <w:p w:rsidR="006A7A3F" w:rsidRPr="00B408A4" w:rsidRDefault="00BC7372">
            <w:pPr>
              <w:pStyle w:val="TableParagraph"/>
              <w:numPr>
                <w:ilvl w:val="0"/>
                <w:numId w:val="1125"/>
              </w:numPr>
              <w:tabs>
                <w:tab w:val="left" w:pos="306"/>
              </w:tabs>
              <w:spacing w:before="87" w:line="254" w:lineRule="auto"/>
              <w:ind w:right="76"/>
              <w:rPr>
                <w:sz w:val="16"/>
                <w:szCs w:val="16"/>
              </w:rPr>
            </w:pPr>
            <w:r w:rsidRPr="00B408A4">
              <w:rPr>
                <w:color w:val="231F20"/>
                <w:sz w:val="16"/>
                <w:szCs w:val="16"/>
              </w:rPr>
              <w:t>Flush silt and scour biofilms and algae from substrates on the stream bed and maintain pools and channel</w:t>
            </w:r>
            <w:r w:rsidRPr="00B408A4">
              <w:rPr>
                <w:color w:val="231F20"/>
                <w:spacing w:val="-5"/>
                <w:sz w:val="16"/>
                <w:szCs w:val="16"/>
              </w:rPr>
              <w:t xml:space="preserve"> </w:t>
            </w:r>
            <w:r w:rsidRPr="00B408A4">
              <w:rPr>
                <w:color w:val="231F20"/>
                <w:sz w:val="16"/>
                <w:szCs w:val="16"/>
              </w:rPr>
              <w:t>dimensions</w:t>
            </w:r>
          </w:p>
          <w:p w:rsidR="006A7A3F" w:rsidRPr="00B408A4" w:rsidRDefault="00BC7372">
            <w:pPr>
              <w:pStyle w:val="TableParagraph"/>
              <w:numPr>
                <w:ilvl w:val="0"/>
                <w:numId w:val="1125"/>
              </w:numPr>
              <w:tabs>
                <w:tab w:val="left" w:pos="306"/>
              </w:tabs>
              <w:spacing w:before="86" w:line="254" w:lineRule="auto"/>
              <w:ind w:right="446"/>
              <w:rPr>
                <w:sz w:val="16"/>
                <w:szCs w:val="16"/>
              </w:rPr>
            </w:pPr>
            <w:r w:rsidRPr="00B408A4">
              <w:rPr>
                <w:color w:val="231F20"/>
                <w:sz w:val="16"/>
                <w:szCs w:val="16"/>
              </w:rPr>
              <w:t>Provide movement cues and enough flows for fish to move upstream past natural and artificial</w:t>
            </w:r>
            <w:r w:rsidRPr="00B408A4">
              <w:rPr>
                <w:color w:val="231F20"/>
                <w:spacing w:val="-6"/>
                <w:sz w:val="16"/>
                <w:szCs w:val="16"/>
              </w:rPr>
              <w:t xml:space="preserve"> </w:t>
            </w:r>
            <w:r w:rsidRPr="00B408A4">
              <w:rPr>
                <w:color w:val="231F20"/>
                <w:sz w:val="16"/>
                <w:szCs w:val="16"/>
              </w:rPr>
              <w:t>barriers</w:t>
            </w:r>
          </w:p>
          <w:p w:rsidR="006A7A3F" w:rsidRPr="00B408A4" w:rsidRDefault="00BC7372">
            <w:pPr>
              <w:pStyle w:val="TableParagraph"/>
              <w:numPr>
                <w:ilvl w:val="0"/>
                <w:numId w:val="1125"/>
              </w:numPr>
              <w:tabs>
                <w:tab w:val="left" w:pos="306"/>
              </w:tabs>
              <w:spacing w:before="86" w:line="254" w:lineRule="auto"/>
              <w:ind w:right="117"/>
              <w:rPr>
                <w:sz w:val="16"/>
                <w:szCs w:val="16"/>
              </w:rPr>
            </w:pPr>
            <w:r w:rsidRPr="00B408A4">
              <w:rPr>
                <w:color w:val="231F20"/>
                <w:sz w:val="16"/>
                <w:szCs w:val="16"/>
              </w:rPr>
              <w:t>Maintain</w:t>
            </w:r>
            <w:r w:rsidRPr="00B408A4">
              <w:rPr>
                <w:color w:val="231F20"/>
                <w:spacing w:val="-4"/>
                <w:sz w:val="16"/>
                <w:szCs w:val="16"/>
              </w:rPr>
              <w:t xml:space="preserve"> </w:t>
            </w:r>
            <w:r w:rsidRPr="00B408A4">
              <w:rPr>
                <w:color w:val="231F20"/>
                <w:sz w:val="16"/>
                <w:szCs w:val="16"/>
              </w:rPr>
              <w:t>water</w:t>
            </w:r>
            <w:r w:rsidRPr="00B408A4">
              <w:rPr>
                <w:color w:val="231F20"/>
                <w:spacing w:val="-4"/>
                <w:sz w:val="16"/>
                <w:szCs w:val="16"/>
              </w:rPr>
              <w:t xml:space="preserve"> </w:t>
            </w:r>
            <w:r w:rsidRPr="00B408A4">
              <w:rPr>
                <w:color w:val="231F20"/>
                <w:sz w:val="16"/>
                <w:szCs w:val="16"/>
              </w:rPr>
              <w:t>quality</w:t>
            </w:r>
            <w:r w:rsidRPr="00B408A4">
              <w:rPr>
                <w:color w:val="231F20"/>
                <w:spacing w:val="-4"/>
                <w:sz w:val="16"/>
                <w:szCs w:val="16"/>
              </w:rPr>
              <w:t xml:space="preserve"> </w:t>
            </w:r>
            <w:r w:rsidRPr="00B408A4">
              <w:rPr>
                <w:color w:val="231F20"/>
                <w:sz w:val="16"/>
                <w:szCs w:val="16"/>
              </w:rPr>
              <w:t>and</w:t>
            </w:r>
            <w:r w:rsidRPr="00B408A4">
              <w:rPr>
                <w:color w:val="231F20"/>
                <w:spacing w:val="-5"/>
                <w:sz w:val="16"/>
                <w:szCs w:val="16"/>
              </w:rPr>
              <w:t xml:space="preserve"> </w:t>
            </w:r>
            <w:r w:rsidRPr="00B408A4">
              <w:rPr>
                <w:color w:val="231F20"/>
                <w:sz w:val="16"/>
                <w:szCs w:val="16"/>
              </w:rPr>
              <w:t>quantity</w:t>
            </w:r>
            <w:r w:rsidRPr="00B408A4">
              <w:rPr>
                <w:color w:val="231F20"/>
                <w:spacing w:val="-4"/>
                <w:sz w:val="16"/>
                <w:szCs w:val="16"/>
              </w:rPr>
              <w:t xml:space="preserve"> </w:t>
            </w:r>
            <w:r w:rsidRPr="00B408A4">
              <w:rPr>
                <w:color w:val="231F20"/>
                <w:sz w:val="16"/>
                <w:szCs w:val="16"/>
              </w:rPr>
              <w:t>of</w:t>
            </w:r>
            <w:r w:rsidRPr="00B408A4">
              <w:rPr>
                <w:color w:val="231F20"/>
                <w:spacing w:val="-4"/>
                <w:sz w:val="16"/>
                <w:szCs w:val="16"/>
              </w:rPr>
              <w:t xml:space="preserve"> </w:t>
            </w:r>
            <w:r w:rsidRPr="00B408A4">
              <w:rPr>
                <w:color w:val="231F20"/>
                <w:sz w:val="16"/>
                <w:szCs w:val="16"/>
              </w:rPr>
              <w:t>food</w:t>
            </w:r>
            <w:r w:rsidRPr="00B408A4">
              <w:rPr>
                <w:color w:val="231F20"/>
                <w:spacing w:val="-3"/>
                <w:sz w:val="16"/>
                <w:szCs w:val="16"/>
              </w:rPr>
              <w:t xml:space="preserve"> </w:t>
            </w:r>
            <w:r w:rsidRPr="00B408A4">
              <w:rPr>
                <w:color w:val="231F20"/>
                <w:sz w:val="16"/>
                <w:szCs w:val="16"/>
              </w:rPr>
              <w:t>and</w:t>
            </w:r>
            <w:r w:rsidRPr="00B408A4">
              <w:rPr>
                <w:color w:val="231F20"/>
                <w:spacing w:val="-5"/>
                <w:sz w:val="16"/>
                <w:szCs w:val="16"/>
              </w:rPr>
              <w:t xml:space="preserve"> </w:t>
            </w:r>
            <w:r w:rsidRPr="00B408A4">
              <w:rPr>
                <w:color w:val="231F20"/>
                <w:sz w:val="16"/>
                <w:szCs w:val="16"/>
              </w:rPr>
              <w:t>habitat</w:t>
            </w:r>
            <w:r w:rsidRPr="00B408A4">
              <w:rPr>
                <w:color w:val="231F20"/>
                <w:spacing w:val="-4"/>
                <w:sz w:val="16"/>
                <w:szCs w:val="16"/>
              </w:rPr>
              <w:t xml:space="preserve"> </w:t>
            </w:r>
            <w:r w:rsidRPr="00B408A4">
              <w:rPr>
                <w:color w:val="231F20"/>
                <w:sz w:val="16"/>
                <w:szCs w:val="16"/>
              </w:rPr>
              <w:t>for</w:t>
            </w:r>
            <w:r w:rsidRPr="00B408A4">
              <w:rPr>
                <w:color w:val="231F20"/>
                <w:spacing w:val="-3"/>
                <w:sz w:val="16"/>
                <w:szCs w:val="16"/>
              </w:rPr>
              <w:t xml:space="preserve"> </w:t>
            </w:r>
            <w:r w:rsidRPr="00B408A4">
              <w:rPr>
                <w:color w:val="231F20"/>
                <w:sz w:val="16"/>
                <w:szCs w:val="16"/>
              </w:rPr>
              <w:t>waterbugs</w:t>
            </w:r>
            <w:r w:rsidRPr="00B408A4">
              <w:rPr>
                <w:color w:val="231F20"/>
                <w:spacing w:val="-4"/>
                <w:sz w:val="16"/>
                <w:szCs w:val="16"/>
              </w:rPr>
              <w:t xml:space="preserve"> </w:t>
            </w:r>
            <w:r w:rsidRPr="00B408A4">
              <w:rPr>
                <w:color w:val="231F20"/>
                <w:sz w:val="16"/>
                <w:szCs w:val="16"/>
              </w:rPr>
              <w:t>and platypus</w:t>
            </w:r>
          </w:p>
          <w:p w:rsidR="006A7A3F" w:rsidRPr="00B408A4" w:rsidRDefault="00BC7372">
            <w:pPr>
              <w:pStyle w:val="TableParagraph"/>
              <w:numPr>
                <w:ilvl w:val="0"/>
                <w:numId w:val="1125"/>
              </w:numPr>
              <w:tabs>
                <w:tab w:val="left" w:pos="306"/>
              </w:tabs>
              <w:spacing w:before="86"/>
              <w:ind w:hanging="218"/>
              <w:rPr>
                <w:sz w:val="16"/>
                <w:szCs w:val="16"/>
              </w:rPr>
            </w:pPr>
            <w:r w:rsidRPr="00B408A4">
              <w:rPr>
                <w:color w:val="231F20"/>
                <w:sz w:val="16"/>
                <w:szCs w:val="16"/>
              </w:rPr>
              <w:t>Wet depressions adjacent to the stream that frogs can use for</w:t>
            </w:r>
            <w:r w:rsidRPr="00B408A4">
              <w:rPr>
                <w:color w:val="231F20"/>
                <w:spacing w:val="-25"/>
                <w:sz w:val="16"/>
                <w:szCs w:val="16"/>
              </w:rPr>
              <w:t xml:space="preserve"> </w:t>
            </w:r>
            <w:r w:rsidRPr="00B408A4">
              <w:rPr>
                <w:color w:val="231F20"/>
                <w:sz w:val="16"/>
                <w:szCs w:val="16"/>
              </w:rPr>
              <w:t>breeding</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52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525" name="image25.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5.jpeg"/>
                          <pic:cNvPicPr/>
                        </pic:nvPicPr>
                        <pic:blipFill>
                          <a:blip r:embed="rId37" cstate="print"/>
                          <a:stretch>
                            <a:fillRect/>
                          </a:stretch>
                        </pic:blipFill>
                        <pic:spPr>
                          <a:xfrm>
                            <a:off x="0" y="0"/>
                            <a:ext cx="314168" cy="310895"/>
                          </a:xfrm>
                          <a:prstGeom prst="rect">
                            <a:avLst/>
                          </a:prstGeom>
                        </pic:spPr>
                      </pic:pic>
                    </a:graphicData>
                  </a:graphic>
                </wp:inline>
              </w:drawing>
            </w:r>
          </w:p>
        </w:tc>
      </w:tr>
      <w:tr w:rsidR="006A7A3F">
        <w:trPr>
          <w:trHeight w:val="551"/>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77" cy="310895"/>
                  <wp:effectExtent l="0" t="0" r="0" b="0"/>
                  <wp:docPr id="527"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0.jpeg"/>
                          <pic:cNvPicPr/>
                        </pic:nvPicPr>
                        <pic:blipFill>
                          <a:blip r:embed="rId32" cstate="print"/>
                          <a:stretch>
                            <a:fillRect/>
                          </a:stretch>
                        </pic:blipFill>
                        <pic:spPr>
                          <a:xfrm>
                            <a:off x="0" y="0"/>
                            <a:ext cx="314177"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5"/>
                  <wp:effectExtent l="0" t="0" r="0" b="0"/>
                  <wp:docPr id="529"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1.jpeg"/>
                          <pic:cNvPicPr/>
                        </pic:nvPicPr>
                        <pic:blipFill>
                          <a:blip r:embed="rId43" cstate="print"/>
                          <a:stretch>
                            <a:fillRect/>
                          </a:stretch>
                        </pic:blipFill>
                        <pic:spPr>
                          <a:xfrm>
                            <a:off x="0" y="0"/>
                            <a:ext cx="314168" cy="310895"/>
                          </a:xfrm>
                          <a:prstGeom prst="rect">
                            <a:avLst/>
                          </a:prstGeom>
                        </pic:spPr>
                      </pic:pic>
                    </a:graphicData>
                  </a:graphic>
                </wp:inline>
              </w:drawing>
            </w:r>
          </w:p>
        </w:tc>
      </w:tr>
      <w:tr w:rsidR="006A7A3F">
        <w:trPr>
          <w:trHeight w:val="551"/>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nil"/>
              <w:right w:val="nil"/>
            </w:tcBorders>
          </w:tcPr>
          <w:p w:rsidR="006A7A3F" w:rsidRDefault="006A7A3F">
            <w:pPr>
              <w:pStyle w:val="TableParagraph"/>
              <w:spacing w:before="11"/>
              <w:ind w:left="0"/>
              <w:rPr>
                <w:b/>
                <w:sz w:val="2"/>
              </w:rPr>
            </w:pPr>
          </w:p>
          <w:p w:rsidR="006A7A3F" w:rsidRDefault="00BC7372">
            <w:pPr>
              <w:pStyle w:val="TableParagraph"/>
              <w:ind w:left="315" w:right="-15"/>
              <w:rPr>
                <w:sz w:val="20"/>
              </w:rPr>
            </w:pPr>
            <w:r>
              <w:rPr>
                <w:noProof/>
                <w:sz w:val="20"/>
              </w:rPr>
              <w:drawing>
                <wp:inline distT="0" distB="0" distL="0" distR="0">
                  <wp:extent cx="314177" cy="310895"/>
                  <wp:effectExtent l="0" t="0" r="0" b="0"/>
                  <wp:docPr id="53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1.jpeg"/>
                          <pic:cNvPicPr/>
                        </pic:nvPicPr>
                        <pic:blipFill>
                          <a:blip r:embed="rId33" cstate="print"/>
                          <a:stretch>
                            <a:fillRect/>
                          </a:stretch>
                        </pic:blipFill>
                        <pic:spPr>
                          <a:xfrm>
                            <a:off x="0" y="0"/>
                            <a:ext cx="314177"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11"/>
              <w:ind w:left="0"/>
              <w:rPr>
                <w:b/>
                <w:sz w:val="2"/>
              </w:rPr>
            </w:pPr>
          </w:p>
          <w:p w:rsidR="006A7A3F" w:rsidRDefault="00BC7372">
            <w:pPr>
              <w:pStyle w:val="TableParagraph"/>
              <w:ind w:left="48"/>
              <w:rPr>
                <w:sz w:val="20"/>
              </w:rPr>
            </w:pPr>
            <w:r>
              <w:rPr>
                <w:noProof/>
                <w:sz w:val="20"/>
              </w:rPr>
              <w:drawing>
                <wp:inline distT="0" distB="0" distL="0" distR="0">
                  <wp:extent cx="314177" cy="310895"/>
                  <wp:effectExtent l="0" t="0" r="0" b="0"/>
                  <wp:docPr id="53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2.jpeg"/>
                          <pic:cNvPicPr/>
                        </pic:nvPicPr>
                        <pic:blipFill>
                          <a:blip r:embed="rId34" cstate="print"/>
                          <a:stretch>
                            <a:fillRect/>
                          </a:stretch>
                        </pic:blipFill>
                        <pic:spPr>
                          <a:xfrm>
                            <a:off x="0" y="0"/>
                            <a:ext cx="314177" cy="310895"/>
                          </a:xfrm>
                          <a:prstGeom prst="rect">
                            <a:avLst/>
                          </a:prstGeom>
                        </pic:spPr>
                      </pic:pic>
                    </a:graphicData>
                  </a:graphic>
                </wp:inline>
              </w:drawing>
            </w:r>
          </w:p>
        </w:tc>
      </w:tr>
      <w:tr w:rsidR="006A7A3F">
        <w:trPr>
          <w:trHeight w:val="688"/>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B408A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535"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3.png"/>
                          <pic:cNvPicPr/>
                        </pic:nvPicPr>
                        <pic:blipFill>
                          <a:blip r:embed="rId35"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76"/>
              <w:rPr>
                <w:sz w:val="16"/>
              </w:rPr>
            </w:pPr>
            <w:r>
              <w:rPr>
                <w:color w:val="231F20"/>
                <w:sz w:val="16"/>
              </w:rPr>
              <w:t>Summer/autumn low flow (six ML/day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408A4" w:rsidRDefault="00BC7372">
            <w:pPr>
              <w:pStyle w:val="TableParagraph"/>
              <w:numPr>
                <w:ilvl w:val="0"/>
                <w:numId w:val="1124"/>
              </w:numPr>
              <w:tabs>
                <w:tab w:val="left" w:pos="306"/>
              </w:tabs>
              <w:spacing w:before="70"/>
              <w:ind w:hanging="218"/>
              <w:rPr>
                <w:sz w:val="16"/>
                <w:szCs w:val="16"/>
              </w:rPr>
            </w:pPr>
            <w:r w:rsidRPr="00B408A4">
              <w:rPr>
                <w:color w:val="231F20"/>
                <w:sz w:val="16"/>
                <w:szCs w:val="16"/>
              </w:rPr>
              <w:t>Maintain the growth and recruitment of in-stream</w:t>
            </w:r>
            <w:r w:rsidRPr="00B408A4">
              <w:rPr>
                <w:color w:val="231F20"/>
                <w:spacing w:val="-8"/>
                <w:sz w:val="16"/>
                <w:szCs w:val="16"/>
              </w:rPr>
              <w:t xml:space="preserve"> </w:t>
            </w:r>
            <w:r w:rsidRPr="00B408A4">
              <w:rPr>
                <w:color w:val="231F20"/>
                <w:sz w:val="16"/>
                <w:szCs w:val="16"/>
              </w:rPr>
              <w:t>vegetation</w:t>
            </w:r>
          </w:p>
          <w:p w:rsidR="006A7A3F" w:rsidRPr="00B408A4" w:rsidRDefault="00BC7372">
            <w:pPr>
              <w:pStyle w:val="TableParagraph"/>
              <w:numPr>
                <w:ilvl w:val="0"/>
                <w:numId w:val="1124"/>
              </w:numPr>
              <w:tabs>
                <w:tab w:val="left" w:pos="306"/>
              </w:tabs>
              <w:spacing w:before="98" w:line="254" w:lineRule="auto"/>
              <w:ind w:right="567"/>
              <w:rPr>
                <w:sz w:val="16"/>
                <w:szCs w:val="16"/>
              </w:rPr>
            </w:pPr>
            <w:r w:rsidRPr="00B408A4">
              <w:rPr>
                <w:color w:val="231F20"/>
                <w:sz w:val="16"/>
                <w:szCs w:val="16"/>
              </w:rPr>
              <w:t>Support the growth and recruitment of water-dependent</w:t>
            </w:r>
            <w:r w:rsidRPr="00B408A4">
              <w:rPr>
                <w:color w:val="231F20"/>
                <w:spacing w:val="-25"/>
                <w:sz w:val="16"/>
                <w:szCs w:val="16"/>
              </w:rPr>
              <w:t xml:space="preserve"> </w:t>
            </w:r>
            <w:r w:rsidRPr="00B408A4">
              <w:rPr>
                <w:color w:val="231F20"/>
                <w:sz w:val="16"/>
                <w:szCs w:val="16"/>
              </w:rPr>
              <w:t>streamside vegetation</w:t>
            </w:r>
          </w:p>
          <w:p w:rsidR="006A7A3F" w:rsidRPr="00B408A4" w:rsidRDefault="00BC7372">
            <w:pPr>
              <w:pStyle w:val="TableParagraph"/>
              <w:numPr>
                <w:ilvl w:val="0"/>
                <w:numId w:val="1124"/>
              </w:numPr>
              <w:tabs>
                <w:tab w:val="left" w:pos="306"/>
              </w:tabs>
              <w:spacing w:before="87"/>
              <w:ind w:hanging="218"/>
              <w:rPr>
                <w:sz w:val="16"/>
                <w:szCs w:val="16"/>
              </w:rPr>
            </w:pPr>
            <w:r w:rsidRPr="00B408A4">
              <w:rPr>
                <w:color w:val="231F20"/>
                <w:sz w:val="16"/>
                <w:szCs w:val="16"/>
              </w:rPr>
              <w:t>Maintain water quality and food in pool habitats for native</w:t>
            </w:r>
            <w:r w:rsidRPr="00B408A4">
              <w:rPr>
                <w:color w:val="231F20"/>
                <w:spacing w:val="-16"/>
                <w:sz w:val="16"/>
                <w:szCs w:val="16"/>
              </w:rPr>
              <w:t xml:space="preserve"> </w:t>
            </w:r>
            <w:r w:rsidRPr="00B408A4">
              <w:rPr>
                <w:color w:val="231F20"/>
                <w:sz w:val="16"/>
                <w:szCs w:val="16"/>
              </w:rPr>
              <w:t>fish</w:t>
            </w:r>
          </w:p>
          <w:p w:rsidR="006A7A3F" w:rsidRPr="00B408A4" w:rsidRDefault="00BC7372">
            <w:pPr>
              <w:pStyle w:val="TableParagraph"/>
              <w:numPr>
                <w:ilvl w:val="0"/>
                <w:numId w:val="1124"/>
              </w:numPr>
              <w:tabs>
                <w:tab w:val="left" w:pos="306"/>
              </w:tabs>
              <w:spacing w:before="98"/>
              <w:ind w:hanging="218"/>
              <w:rPr>
                <w:sz w:val="16"/>
                <w:szCs w:val="16"/>
              </w:rPr>
            </w:pPr>
            <w:r w:rsidRPr="00B408A4">
              <w:rPr>
                <w:color w:val="231F20"/>
                <w:sz w:val="16"/>
                <w:szCs w:val="16"/>
              </w:rPr>
              <w:t>Maintain access to habitat for native fish, frogs, platypus and</w:t>
            </w:r>
            <w:r w:rsidRPr="00B408A4">
              <w:rPr>
                <w:color w:val="231F20"/>
                <w:spacing w:val="-28"/>
                <w:sz w:val="16"/>
                <w:szCs w:val="16"/>
              </w:rPr>
              <w:t xml:space="preserve"> </w:t>
            </w:r>
            <w:r w:rsidRPr="00B408A4">
              <w:rPr>
                <w:color w:val="231F20"/>
                <w:sz w:val="16"/>
                <w:szCs w:val="16"/>
              </w:rPr>
              <w:t>waterbugs</w:t>
            </w:r>
          </w:p>
          <w:p w:rsidR="006A7A3F" w:rsidRPr="00B408A4" w:rsidRDefault="00BC7372">
            <w:pPr>
              <w:pStyle w:val="TableParagraph"/>
              <w:numPr>
                <w:ilvl w:val="0"/>
                <w:numId w:val="1124"/>
              </w:numPr>
              <w:tabs>
                <w:tab w:val="left" w:pos="306"/>
              </w:tabs>
              <w:spacing w:before="98" w:line="254" w:lineRule="auto"/>
              <w:ind w:right="626"/>
              <w:rPr>
                <w:sz w:val="16"/>
                <w:szCs w:val="16"/>
              </w:rPr>
            </w:pPr>
            <w:r w:rsidRPr="00B408A4">
              <w:rPr>
                <w:color w:val="231F20"/>
                <w:sz w:val="16"/>
                <w:szCs w:val="16"/>
              </w:rPr>
              <w:t>Maintain flow through pool habitats to allow mixing or suppression/ dilution of saline groundwater</w:t>
            </w:r>
            <w:r w:rsidRPr="00B408A4">
              <w:rPr>
                <w:color w:val="231F20"/>
                <w:spacing w:val="-6"/>
                <w:sz w:val="16"/>
                <w:szCs w:val="16"/>
              </w:rPr>
              <w:t xml:space="preserve"> </w:t>
            </w:r>
            <w:r w:rsidRPr="00B408A4">
              <w:rPr>
                <w:color w:val="231F20"/>
                <w:sz w:val="16"/>
                <w:szCs w:val="16"/>
              </w:rPr>
              <w:t>intrusion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53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4" cy="310896"/>
                  <wp:effectExtent l="0" t="0" r="0" b="0"/>
                  <wp:docPr id="539" name="image25.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5.jpeg"/>
                          <pic:cNvPicPr/>
                        </pic:nvPicPr>
                        <pic:blipFill>
                          <a:blip r:embed="rId37" cstate="print"/>
                          <a:stretch>
                            <a:fillRect/>
                          </a:stretch>
                        </pic:blipFill>
                        <pic:spPr>
                          <a:xfrm>
                            <a:off x="0" y="0"/>
                            <a:ext cx="314174"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54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77" cy="310896"/>
                  <wp:effectExtent l="0" t="0" r="0" b="0"/>
                  <wp:docPr id="54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6A7A3F">
        <w:trPr>
          <w:trHeight w:val="815"/>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54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4" cy="310896"/>
                  <wp:effectExtent l="0" t="0" r="0" b="0"/>
                  <wp:docPr id="54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3.png"/>
                          <pic:cNvPicPr/>
                        </pic:nvPicPr>
                        <pic:blipFill>
                          <a:blip r:embed="rId35" cstate="print"/>
                          <a:stretch>
                            <a:fillRect/>
                          </a:stretch>
                        </pic:blipFill>
                        <pic:spPr>
                          <a:xfrm>
                            <a:off x="0" y="0"/>
                            <a:ext cx="314164" cy="310896"/>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tbl>
      <w:tblPr>
        <w:tblW w:w="0" w:type="auto"/>
        <w:tblInd w:w="222" w:type="dxa"/>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right w:val="single" w:sz="4" w:space="0" w:color="6D6E71"/>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left w:val="single" w:sz="4" w:space="0" w:color="6D6E71"/>
              <w:right w:val="single" w:sz="4" w:space="0" w:color="6D6E71"/>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left w:val="single" w:sz="4" w:space="0" w:color="6D6E71"/>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trPr>
          <w:trHeight w:val="625"/>
        </w:trPr>
        <w:tc>
          <w:tcPr>
            <w:tcW w:w="2381" w:type="dxa"/>
            <w:vMerge w:val="restart"/>
            <w:tcBorders>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451"/>
              <w:rPr>
                <w:sz w:val="16"/>
              </w:rPr>
            </w:pPr>
            <w:r>
              <w:rPr>
                <w:color w:val="231F20"/>
                <w:sz w:val="16"/>
              </w:rPr>
              <w:t>Increased winter/spring low flow (up to 80 ML/day or natural during June to November)</w:t>
            </w:r>
          </w:p>
        </w:tc>
        <w:tc>
          <w:tcPr>
            <w:tcW w:w="6236" w:type="dxa"/>
            <w:vMerge w:val="restart"/>
            <w:tcBorders>
              <w:left w:val="single" w:sz="4" w:space="0" w:color="231F20"/>
              <w:bottom w:val="single" w:sz="4" w:space="0" w:color="231F20"/>
              <w:right w:val="single" w:sz="4" w:space="0" w:color="231F20"/>
            </w:tcBorders>
          </w:tcPr>
          <w:p w:rsidR="006A7A3F" w:rsidRPr="00B408A4" w:rsidRDefault="00BC7372">
            <w:pPr>
              <w:pStyle w:val="TableParagraph"/>
              <w:numPr>
                <w:ilvl w:val="0"/>
                <w:numId w:val="1123"/>
              </w:numPr>
              <w:tabs>
                <w:tab w:val="left" w:pos="306"/>
              </w:tabs>
              <w:spacing w:before="63" w:line="254" w:lineRule="auto"/>
              <w:ind w:right="367"/>
              <w:rPr>
                <w:sz w:val="16"/>
                <w:szCs w:val="16"/>
              </w:rPr>
            </w:pPr>
            <w:r w:rsidRPr="00B408A4">
              <w:rPr>
                <w:color w:val="231F20"/>
                <w:sz w:val="16"/>
                <w:szCs w:val="16"/>
              </w:rPr>
              <w:t>Provide flows to allow fish to move upstream past natural and</w:t>
            </w:r>
            <w:r w:rsidRPr="00B408A4">
              <w:rPr>
                <w:color w:val="231F20"/>
                <w:spacing w:val="-35"/>
                <w:sz w:val="16"/>
                <w:szCs w:val="16"/>
              </w:rPr>
              <w:t xml:space="preserve"> </w:t>
            </w:r>
            <w:r w:rsidRPr="00B408A4">
              <w:rPr>
                <w:color w:val="231F20"/>
                <w:sz w:val="16"/>
                <w:szCs w:val="16"/>
              </w:rPr>
              <w:t>artificial barriers</w:t>
            </w:r>
          </w:p>
          <w:p w:rsidR="006A7A3F" w:rsidRPr="00B408A4" w:rsidRDefault="00BC7372">
            <w:pPr>
              <w:pStyle w:val="TableParagraph"/>
              <w:numPr>
                <w:ilvl w:val="0"/>
                <w:numId w:val="1123"/>
              </w:numPr>
              <w:tabs>
                <w:tab w:val="left" w:pos="306"/>
              </w:tabs>
              <w:spacing w:before="86" w:line="254" w:lineRule="auto"/>
              <w:ind w:right="106"/>
              <w:rPr>
                <w:sz w:val="16"/>
                <w:szCs w:val="16"/>
              </w:rPr>
            </w:pPr>
            <w:r w:rsidRPr="00B408A4">
              <w:rPr>
                <w:color w:val="231F20"/>
                <w:sz w:val="16"/>
                <w:szCs w:val="16"/>
              </w:rPr>
              <w:t>Drown terrestrial plant species and support the growth and recruitment of water-dependent streamside</w:t>
            </w:r>
            <w:r w:rsidRPr="00B408A4">
              <w:rPr>
                <w:color w:val="231F20"/>
                <w:spacing w:val="-2"/>
                <w:sz w:val="16"/>
                <w:szCs w:val="16"/>
              </w:rPr>
              <w:t xml:space="preserve"> </w:t>
            </w:r>
            <w:r w:rsidRPr="00B408A4">
              <w:rPr>
                <w:color w:val="231F20"/>
                <w:sz w:val="16"/>
                <w:szCs w:val="16"/>
              </w:rPr>
              <w:t>vegetation</w:t>
            </w:r>
          </w:p>
          <w:p w:rsidR="006A7A3F" w:rsidRPr="00B408A4" w:rsidRDefault="00BC7372">
            <w:pPr>
              <w:pStyle w:val="TableParagraph"/>
              <w:numPr>
                <w:ilvl w:val="0"/>
                <w:numId w:val="1123"/>
              </w:numPr>
              <w:tabs>
                <w:tab w:val="left" w:pos="306"/>
              </w:tabs>
              <w:spacing w:before="86" w:line="254" w:lineRule="auto"/>
              <w:ind w:right="877"/>
              <w:rPr>
                <w:sz w:val="16"/>
                <w:szCs w:val="16"/>
              </w:rPr>
            </w:pPr>
            <w:r w:rsidRPr="00B408A4">
              <w:rPr>
                <w:color w:val="231F20"/>
                <w:sz w:val="16"/>
                <w:szCs w:val="16"/>
              </w:rPr>
              <w:t>Maintain</w:t>
            </w:r>
            <w:r w:rsidRPr="00B408A4">
              <w:rPr>
                <w:color w:val="231F20"/>
                <w:spacing w:val="-4"/>
                <w:sz w:val="16"/>
                <w:szCs w:val="16"/>
              </w:rPr>
              <w:t xml:space="preserve"> </w:t>
            </w:r>
            <w:r w:rsidRPr="00B408A4">
              <w:rPr>
                <w:color w:val="231F20"/>
                <w:sz w:val="16"/>
                <w:szCs w:val="16"/>
              </w:rPr>
              <w:t>permanent</w:t>
            </w:r>
            <w:r w:rsidRPr="00B408A4">
              <w:rPr>
                <w:color w:val="231F20"/>
                <w:spacing w:val="-4"/>
                <w:sz w:val="16"/>
                <w:szCs w:val="16"/>
              </w:rPr>
              <w:t xml:space="preserve"> </w:t>
            </w:r>
            <w:r w:rsidRPr="00B408A4">
              <w:rPr>
                <w:color w:val="231F20"/>
                <w:sz w:val="16"/>
                <w:szCs w:val="16"/>
              </w:rPr>
              <w:t>pools</w:t>
            </w:r>
            <w:r w:rsidRPr="00B408A4">
              <w:rPr>
                <w:color w:val="231F20"/>
                <w:spacing w:val="-5"/>
                <w:sz w:val="16"/>
                <w:szCs w:val="16"/>
              </w:rPr>
              <w:t xml:space="preserve"> </w:t>
            </w:r>
            <w:r w:rsidRPr="00B408A4">
              <w:rPr>
                <w:color w:val="231F20"/>
                <w:sz w:val="16"/>
                <w:szCs w:val="16"/>
              </w:rPr>
              <w:t>and</w:t>
            </w:r>
            <w:r w:rsidRPr="00B408A4">
              <w:rPr>
                <w:color w:val="231F20"/>
                <w:spacing w:val="-4"/>
                <w:sz w:val="16"/>
                <w:szCs w:val="16"/>
              </w:rPr>
              <w:t xml:space="preserve"> </w:t>
            </w:r>
            <w:r w:rsidRPr="00B408A4">
              <w:rPr>
                <w:color w:val="231F20"/>
                <w:sz w:val="16"/>
                <w:szCs w:val="16"/>
              </w:rPr>
              <w:t>increase</w:t>
            </w:r>
            <w:r w:rsidRPr="00B408A4">
              <w:rPr>
                <w:color w:val="231F20"/>
                <w:spacing w:val="-4"/>
                <w:sz w:val="16"/>
                <w:szCs w:val="16"/>
              </w:rPr>
              <w:t xml:space="preserve"> </w:t>
            </w:r>
            <w:r w:rsidRPr="00B408A4">
              <w:rPr>
                <w:color w:val="231F20"/>
                <w:sz w:val="16"/>
                <w:szCs w:val="16"/>
              </w:rPr>
              <w:t>the</w:t>
            </w:r>
            <w:r w:rsidRPr="00B408A4">
              <w:rPr>
                <w:color w:val="231F20"/>
                <w:spacing w:val="-4"/>
                <w:sz w:val="16"/>
                <w:szCs w:val="16"/>
              </w:rPr>
              <w:t xml:space="preserve"> </w:t>
            </w:r>
            <w:r w:rsidRPr="00B408A4">
              <w:rPr>
                <w:color w:val="231F20"/>
                <w:sz w:val="16"/>
                <w:szCs w:val="16"/>
              </w:rPr>
              <w:t>extent</w:t>
            </w:r>
            <w:r w:rsidRPr="00B408A4">
              <w:rPr>
                <w:color w:val="231F20"/>
                <w:spacing w:val="-4"/>
                <w:sz w:val="16"/>
                <w:szCs w:val="16"/>
              </w:rPr>
              <w:t xml:space="preserve"> </w:t>
            </w:r>
            <w:r w:rsidRPr="00B408A4">
              <w:rPr>
                <w:color w:val="231F20"/>
                <w:sz w:val="16"/>
                <w:szCs w:val="16"/>
              </w:rPr>
              <w:t>of</w:t>
            </w:r>
            <w:r w:rsidRPr="00B408A4">
              <w:rPr>
                <w:color w:val="231F20"/>
                <w:spacing w:val="-4"/>
                <w:sz w:val="16"/>
                <w:szCs w:val="16"/>
              </w:rPr>
              <w:t xml:space="preserve"> </w:t>
            </w:r>
            <w:r w:rsidRPr="00B408A4">
              <w:rPr>
                <w:color w:val="231F20"/>
                <w:sz w:val="16"/>
                <w:szCs w:val="16"/>
              </w:rPr>
              <w:t>habitat</w:t>
            </w:r>
            <w:r w:rsidRPr="00B408A4">
              <w:rPr>
                <w:color w:val="231F20"/>
                <w:spacing w:val="-5"/>
                <w:sz w:val="16"/>
                <w:szCs w:val="16"/>
              </w:rPr>
              <w:t xml:space="preserve"> </w:t>
            </w:r>
            <w:r w:rsidRPr="00B408A4">
              <w:rPr>
                <w:color w:val="231F20"/>
                <w:sz w:val="16"/>
                <w:szCs w:val="16"/>
              </w:rPr>
              <w:t>for waterbugs, platypus and</w:t>
            </w:r>
            <w:r w:rsidRPr="00B408A4">
              <w:rPr>
                <w:color w:val="231F20"/>
                <w:spacing w:val="-4"/>
                <w:sz w:val="16"/>
                <w:szCs w:val="16"/>
              </w:rPr>
              <w:t xml:space="preserve"> </w:t>
            </w:r>
            <w:r w:rsidRPr="00B408A4">
              <w:rPr>
                <w:color w:val="231F20"/>
                <w:sz w:val="16"/>
                <w:szCs w:val="16"/>
              </w:rPr>
              <w:t>frogs</w:t>
            </w:r>
          </w:p>
          <w:p w:rsidR="006A7A3F" w:rsidRDefault="00BC7372">
            <w:pPr>
              <w:pStyle w:val="TableParagraph"/>
              <w:numPr>
                <w:ilvl w:val="0"/>
                <w:numId w:val="1123"/>
              </w:numPr>
              <w:tabs>
                <w:tab w:val="left" w:pos="306"/>
              </w:tabs>
              <w:spacing w:before="87" w:line="254" w:lineRule="auto"/>
              <w:ind w:right="626"/>
              <w:rPr>
                <w:sz w:val="18"/>
              </w:rPr>
            </w:pPr>
            <w:r w:rsidRPr="00B408A4">
              <w:rPr>
                <w:color w:val="231F20"/>
                <w:sz w:val="16"/>
                <w:szCs w:val="16"/>
              </w:rPr>
              <w:t>Maintain flow through pool habitats to allow mixing or suppression/ dilution of saline</w:t>
            </w:r>
            <w:r w:rsidRPr="00B408A4">
              <w:rPr>
                <w:color w:val="231F20"/>
                <w:spacing w:val="-3"/>
                <w:sz w:val="16"/>
                <w:szCs w:val="16"/>
              </w:rPr>
              <w:t xml:space="preserve"> </w:t>
            </w:r>
            <w:r w:rsidRPr="00B408A4">
              <w:rPr>
                <w:color w:val="231F20"/>
                <w:sz w:val="16"/>
                <w:szCs w:val="16"/>
              </w:rPr>
              <w:t>groundwater</w:t>
            </w:r>
          </w:p>
        </w:tc>
        <w:tc>
          <w:tcPr>
            <w:tcW w:w="850" w:type="dxa"/>
            <w:tcBorders>
              <w:left w:val="single" w:sz="4" w:space="0" w:color="231F20"/>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54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55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left w:val="single" w:sz="4" w:space="0" w:color="231F20"/>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55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55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rsidTr="00B408A4">
        <w:trPr>
          <w:trHeight w:val="771"/>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left w:val="single" w:sz="4" w:space="0" w:color="231F20"/>
              <w:bottom w:val="single" w:sz="4" w:space="0" w:color="231F20"/>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55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55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bl>
    <w:p w:rsidR="006A7A3F" w:rsidRDefault="006A7A3F">
      <w:pPr>
        <w:pStyle w:val="BodyText"/>
        <w:spacing w:before="10"/>
        <w:ind w:left="0"/>
        <w:rPr>
          <w:b/>
          <w:sz w:val="8"/>
        </w:rPr>
      </w:pPr>
    </w:p>
    <w:p w:rsidR="006A7A3F" w:rsidRDefault="00BC7372">
      <w:pPr>
        <w:pStyle w:val="Heading4"/>
        <w:spacing w:before="92"/>
      </w:pPr>
      <w:r>
        <w:rPr>
          <w:color w:val="231F20"/>
        </w:rPr>
        <w:t>Scenario planning</w:t>
      </w:r>
    </w:p>
    <w:p w:rsidR="006A7A3F" w:rsidRDefault="00BC7372">
      <w:pPr>
        <w:pStyle w:val="BodyText"/>
        <w:spacing w:before="58" w:line="249" w:lineRule="auto"/>
        <w:ind w:right="100"/>
      </w:pPr>
      <w:r>
        <w:rPr>
          <w:color w:val="231F20"/>
        </w:rPr>
        <w:t>Table 3.5.2 outlines the potential environmental watering and expected water use under a range of planning scenarios.</w:t>
      </w:r>
    </w:p>
    <w:p w:rsidR="006A7A3F" w:rsidRDefault="00BC7372">
      <w:pPr>
        <w:pStyle w:val="BodyText"/>
        <w:spacing w:line="249" w:lineRule="auto"/>
        <w:ind w:right="334"/>
      </w:pPr>
      <w:r>
        <w:rPr>
          <w:color w:val="231F20"/>
        </w:rPr>
        <w:t>The highest-priority potential watering actions for Pyrites Creek under all scenarios are spring freshes, spring/ summer high flows and winter/spring/summer low flows. These flows will maintain connected aquatic habitats from</w:t>
      </w:r>
      <w:r>
        <w:rPr>
          <w:color w:val="231F20"/>
          <w:spacing w:val="-3"/>
        </w:rPr>
        <w:t xml:space="preserve"> </w:t>
      </w:r>
      <w:r>
        <w:rPr>
          <w:color w:val="231F20"/>
        </w:rPr>
        <w:t>winter</w:t>
      </w:r>
      <w:r>
        <w:rPr>
          <w:color w:val="231F20"/>
          <w:spacing w:val="-4"/>
        </w:rPr>
        <w:t xml:space="preserve"> </w:t>
      </w:r>
      <w:r>
        <w:rPr>
          <w:color w:val="231F20"/>
        </w:rPr>
        <w:t>to</w:t>
      </w:r>
      <w:r>
        <w:rPr>
          <w:color w:val="231F20"/>
          <w:spacing w:val="-3"/>
        </w:rPr>
        <w:t xml:space="preserve"> </w:t>
      </w:r>
      <w:r>
        <w:rPr>
          <w:color w:val="231F20"/>
        </w:rPr>
        <w:t>summer,</w:t>
      </w:r>
      <w:r>
        <w:rPr>
          <w:color w:val="231F20"/>
          <w:spacing w:val="-3"/>
        </w:rPr>
        <w:t xml:space="preserve"> </w:t>
      </w:r>
      <w:r>
        <w:rPr>
          <w:color w:val="231F20"/>
        </w:rPr>
        <w:t>maintain</w:t>
      </w:r>
      <w:r>
        <w:rPr>
          <w:color w:val="231F20"/>
          <w:spacing w:val="-2"/>
        </w:rPr>
        <w:t xml:space="preserve"> </w:t>
      </w:r>
      <w:r>
        <w:rPr>
          <w:color w:val="231F20"/>
        </w:rPr>
        <w:t>streamside</w:t>
      </w:r>
      <w:r>
        <w:rPr>
          <w:color w:val="231F20"/>
          <w:spacing w:val="-3"/>
        </w:rPr>
        <w:t xml:space="preserve"> </w:t>
      </w:r>
      <w:r>
        <w:rPr>
          <w:color w:val="231F20"/>
        </w:rPr>
        <w:t>and</w:t>
      </w:r>
      <w:r>
        <w:rPr>
          <w:color w:val="231F20"/>
          <w:spacing w:val="-4"/>
        </w:rPr>
        <w:t xml:space="preserve"> </w:t>
      </w:r>
      <w:r>
        <w:rPr>
          <w:color w:val="231F20"/>
        </w:rPr>
        <w:t>in-stream</w:t>
      </w:r>
      <w:r>
        <w:rPr>
          <w:color w:val="231F20"/>
          <w:spacing w:val="-4"/>
        </w:rPr>
        <w:t xml:space="preserve"> </w:t>
      </w:r>
      <w:r>
        <w:rPr>
          <w:color w:val="231F20"/>
        </w:rPr>
        <w:t>vegetation</w:t>
      </w:r>
      <w:r>
        <w:rPr>
          <w:color w:val="231F20"/>
          <w:spacing w:val="-3"/>
        </w:rPr>
        <w:t xml:space="preserve"> </w:t>
      </w:r>
      <w:r>
        <w:rPr>
          <w:color w:val="231F20"/>
        </w:rPr>
        <w:t>zones</w:t>
      </w:r>
      <w:r>
        <w:rPr>
          <w:color w:val="231F20"/>
          <w:spacing w:val="-2"/>
        </w:rPr>
        <w:t xml:space="preserve"> </w:t>
      </w:r>
      <w:r>
        <w:rPr>
          <w:color w:val="231F20"/>
        </w:rPr>
        <w:t>and</w:t>
      </w:r>
      <w:r>
        <w:rPr>
          <w:color w:val="231F20"/>
          <w:spacing w:val="-4"/>
        </w:rPr>
        <w:t xml:space="preserve"> </w:t>
      </w:r>
      <w:r>
        <w:rPr>
          <w:color w:val="231F20"/>
        </w:rPr>
        <w:t>periodically</w:t>
      </w:r>
      <w:r>
        <w:rPr>
          <w:color w:val="231F20"/>
          <w:spacing w:val="-4"/>
        </w:rPr>
        <w:t xml:space="preserve"> </w:t>
      </w:r>
      <w:r>
        <w:rPr>
          <w:color w:val="231F20"/>
        </w:rPr>
        <w:t>wet</w:t>
      </w:r>
      <w:r>
        <w:rPr>
          <w:color w:val="231F20"/>
          <w:spacing w:val="-4"/>
        </w:rPr>
        <w:t xml:space="preserve"> </w:t>
      </w:r>
      <w:r>
        <w:rPr>
          <w:color w:val="231F20"/>
        </w:rPr>
        <w:t>channel</w:t>
      </w:r>
      <w:r>
        <w:rPr>
          <w:color w:val="231F20"/>
          <w:spacing w:val="-2"/>
        </w:rPr>
        <w:t xml:space="preserve"> </w:t>
      </w:r>
      <w:r>
        <w:rPr>
          <w:color w:val="231F20"/>
        </w:rPr>
        <w:t xml:space="preserve">margins that can support frog breeding. Fish and other aquatic animals will retreat to permanent pools that are maintained by groundwater in summer and autumn. The highest-priority watering actions for the lower Werribee River under all scenarios are summer/autumn freshes and winter/spring freshes. Passing flows and operational deliveries for irrigation customers are expected to meet most low-flow requirements in the lower Werribee </w:t>
      </w:r>
      <w:r>
        <w:rPr>
          <w:color w:val="231F20"/>
          <w:spacing w:val="-3"/>
        </w:rPr>
        <w:t xml:space="preserve">River, </w:t>
      </w:r>
      <w:r>
        <w:rPr>
          <w:color w:val="231F20"/>
        </w:rPr>
        <w:t>but</w:t>
      </w:r>
      <w:r>
        <w:rPr>
          <w:color w:val="231F20"/>
          <w:spacing w:val="-35"/>
        </w:rPr>
        <w:t xml:space="preserve"> </w:t>
      </w:r>
      <w:r>
        <w:rPr>
          <w:color w:val="231F20"/>
        </w:rPr>
        <w:t>managed</w:t>
      </w:r>
    </w:p>
    <w:p w:rsidR="006A7A3F" w:rsidRDefault="00BC7372">
      <w:pPr>
        <w:pStyle w:val="BodyText"/>
        <w:spacing w:before="6" w:line="249" w:lineRule="auto"/>
        <w:ind w:right="274"/>
      </w:pPr>
      <w:r>
        <w:rPr>
          <w:color w:val="231F20"/>
        </w:rPr>
        <w:t>environmental flows are important to control water quality and provide regular opportunities for fish and platypus to move throughout the lower Werribee River and to support streamside and aquatic vegetation.</w:t>
      </w:r>
    </w:p>
    <w:p w:rsidR="006A7A3F" w:rsidRDefault="00BC7372">
      <w:pPr>
        <w:pStyle w:val="BodyText"/>
        <w:spacing w:before="171" w:line="249" w:lineRule="auto"/>
        <w:ind w:right="188"/>
      </w:pPr>
      <w:r>
        <w:rPr>
          <w:color w:val="231F20"/>
        </w:rPr>
        <w:t xml:space="preserve">The number of freshes delivered to both Pyrites Creek and the lower Werribee River will vary between </w:t>
      </w:r>
      <w:r>
        <w:rPr>
          <w:color w:val="231F20"/>
          <w:spacing w:val="-5"/>
        </w:rPr>
        <w:t xml:space="preserve">dry, </w:t>
      </w:r>
      <w:r>
        <w:rPr>
          <w:color w:val="231F20"/>
        </w:rPr>
        <w:t xml:space="preserve">average and wet scenarios, depending on water availability. </w:t>
      </w:r>
      <w:r>
        <w:rPr>
          <w:color w:val="231F20"/>
          <w:spacing w:val="-3"/>
        </w:rPr>
        <w:t xml:space="preserve">Water </w:t>
      </w:r>
      <w:r>
        <w:rPr>
          <w:color w:val="231F20"/>
        </w:rPr>
        <w:t xml:space="preserve">for the environment may be used to supplement summer/ autumn low flows in the lower Werribee River under a wet scenario, but more environmental water would need to be secured to deliver these flows under dry or average scenarios. A minimum of 980 ML is planned to be carried over into 2021–22 to ensure high-priority flows can be delivered to Pyrites Creek (reach 6) and the lower Werribee </w:t>
      </w:r>
      <w:r>
        <w:rPr>
          <w:color w:val="231F20"/>
          <w:spacing w:val="-3"/>
        </w:rPr>
        <w:t xml:space="preserve">River, </w:t>
      </w:r>
      <w:r>
        <w:rPr>
          <w:color w:val="231F20"/>
        </w:rPr>
        <w:t>if environmental water allocations are</w:t>
      </w:r>
      <w:r>
        <w:rPr>
          <w:color w:val="231F20"/>
          <w:spacing w:val="-4"/>
        </w:rPr>
        <w:t xml:space="preserve"> low.</w:t>
      </w:r>
    </w:p>
    <w:p w:rsidR="00CD0057" w:rsidRDefault="00CD0057">
      <w:pPr>
        <w:rPr>
          <w:b/>
          <w:color w:val="231F20"/>
          <w:sz w:val="18"/>
        </w:rPr>
      </w:pPr>
      <w:r>
        <w:rPr>
          <w:b/>
          <w:color w:val="231F20"/>
          <w:sz w:val="18"/>
        </w:rPr>
        <w:br w:type="page"/>
      </w:r>
    </w:p>
    <w:p w:rsidR="006A7A3F" w:rsidRDefault="00BC7372">
      <w:pPr>
        <w:spacing w:before="170"/>
        <w:ind w:left="210"/>
        <w:rPr>
          <w:b/>
          <w:color w:val="231F20"/>
          <w:sz w:val="18"/>
        </w:rPr>
      </w:pPr>
      <w:r>
        <w:rPr>
          <w:b/>
          <w:color w:val="231F20"/>
          <w:sz w:val="18"/>
        </w:rPr>
        <w:t>Table 3.5.2 Potential environmental watering for the Werribee system under a range of planning scenarios</w:t>
      </w:r>
    </w:p>
    <w:tbl>
      <w:tblPr>
        <w:tblW w:w="10204"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721"/>
        <w:gridCol w:w="2721"/>
        <w:gridCol w:w="2721"/>
      </w:tblGrid>
      <w:tr w:rsidR="00CD0057" w:rsidTr="002840E5">
        <w:trPr>
          <w:trHeight w:val="362"/>
        </w:trPr>
        <w:tc>
          <w:tcPr>
            <w:tcW w:w="2041" w:type="dxa"/>
            <w:tcBorders>
              <w:top w:val="nil"/>
              <w:left w:val="nil"/>
              <w:bottom w:val="nil"/>
            </w:tcBorders>
            <w:shd w:val="clear" w:color="auto" w:fill="231F20"/>
          </w:tcPr>
          <w:p w:rsidR="00CD0057" w:rsidRDefault="00CD0057" w:rsidP="002840E5">
            <w:pPr>
              <w:pStyle w:val="TableParagraph"/>
              <w:spacing w:before="75"/>
              <w:ind w:left="90"/>
              <w:rPr>
                <w:b/>
                <w:sz w:val="18"/>
              </w:rPr>
            </w:pPr>
            <w:r>
              <w:rPr>
                <w:b/>
                <w:color w:val="FFFFFF"/>
                <w:sz w:val="18"/>
              </w:rPr>
              <w:t>Planning scenario</w:t>
            </w:r>
          </w:p>
        </w:tc>
        <w:tc>
          <w:tcPr>
            <w:tcW w:w="2721" w:type="dxa"/>
            <w:tcBorders>
              <w:top w:val="nil"/>
              <w:bottom w:val="nil"/>
            </w:tcBorders>
            <w:shd w:val="clear" w:color="auto" w:fill="231F20"/>
          </w:tcPr>
          <w:p w:rsidR="00CD0057" w:rsidRDefault="00CD0057" w:rsidP="002840E5">
            <w:pPr>
              <w:pStyle w:val="TableParagraph"/>
              <w:spacing w:before="75"/>
              <w:ind w:left="84"/>
              <w:rPr>
                <w:b/>
                <w:sz w:val="18"/>
              </w:rPr>
            </w:pPr>
            <w:r>
              <w:rPr>
                <w:b/>
                <w:color w:val="FFFFFF"/>
                <w:sz w:val="18"/>
              </w:rPr>
              <w:t>Dry</w:t>
            </w:r>
          </w:p>
        </w:tc>
        <w:tc>
          <w:tcPr>
            <w:tcW w:w="2721" w:type="dxa"/>
            <w:tcBorders>
              <w:top w:val="nil"/>
              <w:bottom w:val="nil"/>
            </w:tcBorders>
            <w:shd w:val="clear" w:color="auto" w:fill="231F20"/>
          </w:tcPr>
          <w:p w:rsidR="00CD0057" w:rsidRDefault="00CD0057" w:rsidP="002840E5">
            <w:pPr>
              <w:pStyle w:val="TableParagraph"/>
              <w:spacing w:before="75"/>
              <w:ind w:left="85"/>
              <w:rPr>
                <w:b/>
                <w:sz w:val="18"/>
              </w:rPr>
            </w:pPr>
            <w:r>
              <w:rPr>
                <w:b/>
                <w:color w:val="FFFFFF"/>
                <w:sz w:val="18"/>
              </w:rPr>
              <w:t>Average</w:t>
            </w:r>
          </w:p>
        </w:tc>
        <w:tc>
          <w:tcPr>
            <w:tcW w:w="2721" w:type="dxa"/>
            <w:tcBorders>
              <w:top w:val="nil"/>
              <w:bottom w:val="nil"/>
              <w:right w:val="nil"/>
            </w:tcBorders>
            <w:shd w:val="clear" w:color="auto" w:fill="231F20"/>
          </w:tcPr>
          <w:p w:rsidR="00CD0057" w:rsidRDefault="00CD0057" w:rsidP="002840E5">
            <w:pPr>
              <w:pStyle w:val="TableParagraph"/>
              <w:spacing w:before="75"/>
              <w:ind w:left="85"/>
              <w:rPr>
                <w:b/>
                <w:sz w:val="18"/>
              </w:rPr>
            </w:pPr>
            <w:r>
              <w:rPr>
                <w:b/>
                <w:color w:val="FFFFFF"/>
                <w:sz w:val="18"/>
              </w:rPr>
              <w:t>Wet</w:t>
            </w:r>
          </w:p>
        </w:tc>
      </w:tr>
      <w:tr w:rsidR="00CD0057" w:rsidTr="002840E5">
        <w:trPr>
          <w:trHeight w:val="2057"/>
        </w:trPr>
        <w:tc>
          <w:tcPr>
            <w:tcW w:w="2041" w:type="dxa"/>
            <w:tcBorders>
              <w:top w:val="nil"/>
              <w:left w:val="single" w:sz="4" w:space="0" w:color="231F20"/>
              <w:bottom w:val="single" w:sz="4" w:space="0" w:color="231F20"/>
              <w:right w:val="single" w:sz="4" w:space="0" w:color="231F20"/>
            </w:tcBorders>
          </w:tcPr>
          <w:p w:rsidR="00CD0057" w:rsidRDefault="00CD0057" w:rsidP="002840E5">
            <w:pPr>
              <w:pStyle w:val="TableParagraph"/>
              <w:spacing w:before="74"/>
              <w:ind w:left="85"/>
              <w:rPr>
                <w:sz w:val="16"/>
              </w:rPr>
            </w:pPr>
            <w:r>
              <w:rPr>
                <w:color w:val="231F20"/>
                <w:sz w:val="16"/>
              </w:rPr>
              <w:t>Expected river conditions</w:t>
            </w:r>
          </w:p>
        </w:tc>
        <w:tc>
          <w:tcPr>
            <w:tcW w:w="2721" w:type="dxa"/>
            <w:tcBorders>
              <w:top w:val="nil"/>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22"/>
              </w:numPr>
              <w:tabs>
                <w:tab w:val="left" w:pos="305"/>
              </w:tabs>
              <w:spacing w:before="70" w:line="254" w:lineRule="auto"/>
              <w:ind w:right="93"/>
              <w:rPr>
                <w:sz w:val="16"/>
                <w:szCs w:val="16"/>
              </w:rPr>
            </w:pPr>
            <w:r w:rsidRPr="00B408A4">
              <w:rPr>
                <w:color w:val="231F20"/>
                <w:sz w:val="16"/>
                <w:szCs w:val="16"/>
              </w:rPr>
              <w:t>No natural flow below Melton Reservoir</w:t>
            </w:r>
          </w:p>
          <w:p w:rsidR="00CD0057" w:rsidRPr="00B408A4" w:rsidRDefault="00CD0057" w:rsidP="002840E5">
            <w:pPr>
              <w:pStyle w:val="TableParagraph"/>
              <w:numPr>
                <w:ilvl w:val="0"/>
                <w:numId w:val="1122"/>
              </w:numPr>
              <w:tabs>
                <w:tab w:val="left" w:pos="305"/>
              </w:tabs>
              <w:spacing w:before="87" w:line="254" w:lineRule="auto"/>
              <w:ind w:right="292"/>
              <w:rPr>
                <w:sz w:val="16"/>
                <w:szCs w:val="16"/>
              </w:rPr>
            </w:pPr>
            <w:r w:rsidRPr="00B408A4">
              <w:rPr>
                <w:color w:val="231F20"/>
                <w:sz w:val="16"/>
                <w:szCs w:val="16"/>
              </w:rPr>
              <w:t>Minimal passing flows to reach 6, possible transfers during</w:t>
            </w:r>
            <w:r w:rsidRPr="00B408A4">
              <w:rPr>
                <w:color w:val="231F20"/>
                <w:spacing w:val="-2"/>
                <w:sz w:val="16"/>
                <w:szCs w:val="16"/>
              </w:rPr>
              <w:t xml:space="preserve"> </w:t>
            </w:r>
            <w:r w:rsidRPr="00B408A4">
              <w:rPr>
                <w:color w:val="231F20"/>
                <w:sz w:val="16"/>
                <w:szCs w:val="16"/>
              </w:rPr>
              <w:t>summer</w:t>
            </w:r>
          </w:p>
          <w:p w:rsidR="00CD0057" w:rsidRPr="00B408A4" w:rsidRDefault="00CD0057" w:rsidP="002840E5">
            <w:pPr>
              <w:pStyle w:val="TableParagraph"/>
              <w:numPr>
                <w:ilvl w:val="0"/>
                <w:numId w:val="1122"/>
              </w:numPr>
              <w:tabs>
                <w:tab w:val="left" w:pos="305"/>
              </w:tabs>
              <w:spacing w:before="86" w:line="254" w:lineRule="auto"/>
              <w:ind w:right="123"/>
              <w:jc w:val="both"/>
              <w:rPr>
                <w:sz w:val="16"/>
                <w:szCs w:val="16"/>
              </w:rPr>
            </w:pPr>
            <w:r w:rsidRPr="00B408A4">
              <w:rPr>
                <w:color w:val="231F20"/>
                <w:sz w:val="16"/>
                <w:szCs w:val="16"/>
              </w:rPr>
              <w:t>Some consumptive releases out of storage into reach 8 in summer/autumn</w:t>
            </w:r>
          </w:p>
        </w:tc>
        <w:tc>
          <w:tcPr>
            <w:tcW w:w="2721" w:type="dxa"/>
            <w:tcBorders>
              <w:top w:val="nil"/>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21"/>
              </w:numPr>
              <w:tabs>
                <w:tab w:val="left" w:pos="306"/>
              </w:tabs>
              <w:spacing w:before="70" w:line="254" w:lineRule="auto"/>
              <w:ind w:right="83"/>
              <w:rPr>
                <w:sz w:val="16"/>
                <w:szCs w:val="16"/>
              </w:rPr>
            </w:pPr>
            <w:r w:rsidRPr="00B408A4">
              <w:rPr>
                <w:color w:val="231F20"/>
                <w:sz w:val="16"/>
                <w:szCs w:val="16"/>
              </w:rPr>
              <w:t>Unregulated spills in winter/ spring from Melton Reservoir into reaches 8 and 9 and the estuary; most low flows in reach 6 met by passing</w:t>
            </w:r>
            <w:r w:rsidRPr="00B408A4">
              <w:rPr>
                <w:color w:val="231F20"/>
                <w:spacing w:val="-10"/>
                <w:sz w:val="16"/>
                <w:szCs w:val="16"/>
              </w:rPr>
              <w:t xml:space="preserve"> </w:t>
            </w:r>
            <w:r w:rsidRPr="00B408A4">
              <w:rPr>
                <w:color w:val="231F20"/>
                <w:sz w:val="16"/>
                <w:szCs w:val="16"/>
              </w:rPr>
              <w:t>flows</w:t>
            </w:r>
          </w:p>
          <w:p w:rsidR="00CD0057" w:rsidRPr="00B408A4" w:rsidRDefault="00CD0057" w:rsidP="002840E5">
            <w:pPr>
              <w:pStyle w:val="TableParagraph"/>
              <w:numPr>
                <w:ilvl w:val="0"/>
                <w:numId w:val="1121"/>
              </w:numPr>
              <w:tabs>
                <w:tab w:val="left" w:pos="306"/>
              </w:tabs>
              <w:spacing w:before="88" w:line="254" w:lineRule="auto"/>
              <w:ind w:right="323"/>
              <w:rPr>
                <w:sz w:val="16"/>
                <w:szCs w:val="16"/>
              </w:rPr>
            </w:pPr>
            <w:r w:rsidRPr="00B408A4">
              <w:rPr>
                <w:color w:val="231F20"/>
                <w:sz w:val="16"/>
                <w:szCs w:val="16"/>
              </w:rPr>
              <w:t>Consumptive releases</w:t>
            </w:r>
            <w:r w:rsidRPr="00B408A4">
              <w:rPr>
                <w:color w:val="231F20"/>
                <w:spacing w:val="-13"/>
                <w:sz w:val="16"/>
                <w:szCs w:val="16"/>
              </w:rPr>
              <w:t xml:space="preserve"> </w:t>
            </w:r>
            <w:r w:rsidRPr="00B408A4">
              <w:rPr>
                <w:color w:val="231F20"/>
                <w:sz w:val="16"/>
                <w:szCs w:val="16"/>
              </w:rPr>
              <w:t>out of storage into reach 8 in summer/autumn</w:t>
            </w:r>
          </w:p>
        </w:tc>
        <w:tc>
          <w:tcPr>
            <w:tcW w:w="2721" w:type="dxa"/>
            <w:tcBorders>
              <w:top w:val="nil"/>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20"/>
              </w:numPr>
              <w:tabs>
                <w:tab w:val="left" w:pos="306"/>
              </w:tabs>
              <w:spacing w:before="70" w:line="254" w:lineRule="auto"/>
              <w:ind w:right="94"/>
              <w:rPr>
                <w:sz w:val="16"/>
                <w:szCs w:val="16"/>
              </w:rPr>
            </w:pPr>
            <w:r w:rsidRPr="00B408A4">
              <w:rPr>
                <w:color w:val="231F20"/>
                <w:sz w:val="16"/>
                <w:szCs w:val="16"/>
              </w:rPr>
              <w:t>Unregulated spills in winter/ spring from Melton</w:t>
            </w:r>
            <w:r w:rsidRPr="00B408A4">
              <w:rPr>
                <w:color w:val="231F20"/>
                <w:spacing w:val="-9"/>
                <w:sz w:val="16"/>
                <w:szCs w:val="16"/>
              </w:rPr>
              <w:t xml:space="preserve"> </w:t>
            </w:r>
            <w:r w:rsidRPr="00B408A4">
              <w:rPr>
                <w:color w:val="231F20"/>
                <w:sz w:val="16"/>
                <w:szCs w:val="16"/>
              </w:rPr>
              <w:t>Reservoir into reaches 8 and 9</w:t>
            </w:r>
            <w:r w:rsidRPr="00B408A4">
              <w:rPr>
                <w:color w:val="231F20"/>
                <w:spacing w:val="-8"/>
                <w:sz w:val="16"/>
                <w:szCs w:val="16"/>
              </w:rPr>
              <w:t xml:space="preserve"> </w:t>
            </w:r>
            <w:r w:rsidRPr="00B408A4">
              <w:rPr>
                <w:color w:val="231F20"/>
                <w:sz w:val="16"/>
                <w:szCs w:val="16"/>
              </w:rPr>
              <w:t>and</w:t>
            </w:r>
          </w:p>
          <w:p w:rsidR="00CD0057" w:rsidRPr="00B408A4" w:rsidRDefault="00CD0057" w:rsidP="002840E5">
            <w:pPr>
              <w:pStyle w:val="TableParagraph"/>
              <w:spacing w:before="2" w:line="254" w:lineRule="auto"/>
              <w:ind w:left="305" w:right="245"/>
              <w:rPr>
                <w:sz w:val="16"/>
                <w:szCs w:val="16"/>
              </w:rPr>
            </w:pPr>
            <w:r w:rsidRPr="00B408A4">
              <w:rPr>
                <w:color w:val="231F20"/>
                <w:sz w:val="16"/>
                <w:szCs w:val="16"/>
              </w:rPr>
              <w:t>the estuary; all low flows in reach 6 provided</w:t>
            </w:r>
          </w:p>
          <w:p w:rsidR="00CD0057" w:rsidRPr="00B408A4" w:rsidRDefault="00CD0057" w:rsidP="002840E5">
            <w:pPr>
              <w:pStyle w:val="TableParagraph"/>
              <w:numPr>
                <w:ilvl w:val="0"/>
                <w:numId w:val="1120"/>
              </w:numPr>
              <w:tabs>
                <w:tab w:val="left" w:pos="306"/>
              </w:tabs>
              <w:spacing w:before="86" w:line="254" w:lineRule="auto"/>
              <w:ind w:right="323"/>
              <w:rPr>
                <w:sz w:val="16"/>
                <w:szCs w:val="16"/>
              </w:rPr>
            </w:pPr>
            <w:r w:rsidRPr="00B408A4">
              <w:rPr>
                <w:color w:val="231F20"/>
                <w:sz w:val="16"/>
                <w:szCs w:val="16"/>
              </w:rPr>
              <w:t>Consumptive releases</w:t>
            </w:r>
            <w:r w:rsidRPr="00B408A4">
              <w:rPr>
                <w:color w:val="231F20"/>
                <w:spacing w:val="-13"/>
                <w:sz w:val="16"/>
                <w:szCs w:val="16"/>
              </w:rPr>
              <w:t xml:space="preserve"> </w:t>
            </w:r>
            <w:r w:rsidRPr="00B408A4">
              <w:rPr>
                <w:color w:val="231F20"/>
                <w:sz w:val="16"/>
                <w:szCs w:val="16"/>
              </w:rPr>
              <w:t>out of storage into reach 8 in summer/autumn</w:t>
            </w:r>
          </w:p>
        </w:tc>
      </w:tr>
      <w:tr w:rsidR="00CD0057" w:rsidTr="002840E5">
        <w:trPr>
          <w:trHeight w:val="533"/>
        </w:trPr>
        <w:tc>
          <w:tcPr>
            <w:tcW w:w="2041" w:type="dxa"/>
            <w:tcBorders>
              <w:top w:val="single" w:sz="4" w:space="0" w:color="231F20"/>
              <w:left w:val="single" w:sz="4" w:space="0" w:color="231F20"/>
              <w:bottom w:val="single" w:sz="4" w:space="0" w:color="231F20"/>
              <w:right w:val="single" w:sz="4" w:space="0" w:color="231F20"/>
            </w:tcBorders>
          </w:tcPr>
          <w:p w:rsidR="00CD0057" w:rsidRDefault="00CD0057" w:rsidP="002840E5">
            <w:pPr>
              <w:pStyle w:val="TableParagraph"/>
              <w:spacing w:before="74" w:line="261" w:lineRule="auto"/>
              <w:ind w:left="85" w:right="61"/>
              <w:rPr>
                <w:sz w:val="9"/>
              </w:rPr>
            </w:pPr>
            <w:r>
              <w:rPr>
                <w:color w:val="231F20"/>
                <w:sz w:val="16"/>
              </w:rPr>
              <w:t>Expected availability of water for the environment</w:t>
            </w:r>
            <w:r>
              <w:rPr>
                <w:color w:val="231F20"/>
                <w:position w:val="5"/>
                <w:sz w:val="9"/>
              </w:rPr>
              <w:t>1</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9"/>
              </w:numPr>
              <w:tabs>
                <w:tab w:val="left" w:pos="305"/>
              </w:tabs>
              <w:spacing w:before="70"/>
              <w:rPr>
                <w:sz w:val="16"/>
                <w:szCs w:val="16"/>
              </w:rPr>
            </w:pPr>
            <w:r w:rsidRPr="00B408A4">
              <w:rPr>
                <w:color w:val="231F20"/>
                <w:sz w:val="16"/>
                <w:szCs w:val="16"/>
              </w:rPr>
              <w:t>2,154</w:t>
            </w:r>
            <w:r w:rsidRPr="00B408A4">
              <w:rPr>
                <w:color w:val="231F20"/>
                <w:spacing w:val="-2"/>
                <w:sz w:val="16"/>
                <w:szCs w:val="16"/>
              </w:rPr>
              <w:t xml:space="preserve"> </w:t>
            </w:r>
            <w:r w:rsidRPr="00B408A4">
              <w:rPr>
                <w:color w:val="231F20"/>
                <w:sz w:val="16"/>
                <w:szCs w:val="16"/>
              </w:rPr>
              <w:t>ML</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8"/>
              </w:numPr>
              <w:tabs>
                <w:tab w:val="left" w:pos="306"/>
              </w:tabs>
              <w:spacing w:before="70"/>
              <w:ind w:hanging="218"/>
              <w:rPr>
                <w:sz w:val="16"/>
                <w:szCs w:val="16"/>
              </w:rPr>
            </w:pPr>
            <w:r w:rsidRPr="00B408A4">
              <w:rPr>
                <w:color w:val="231F20"/>
                <w:sz w:val="16"/>
                <w:szCs w:val="16"/>
              </w:rPr>
              <w:t>2,789</w:t>
            </w:r>
            <w:r w:rsidRPr="00B408A4">
              <w:rPr>
                <w:color w:val="231F20"/>
                <w:spacing w:val="-2"/>
                <w:sz w:val="16"/>
                <w:szCs w:val="16"/>
              </w:rPr>
              <w:t xml:space="preserve"> </w:t>
            </w:r>
            <w:r w:rsidRPr="00B408A4">
              <w:rPr>
                <w:color w:val="231F20"/>
                <w:sz w:val="16"/>
                <w:szCs w:val="16"/>
              </w:rPr>
              <w:t>ML</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7"/>
              </w:numPr>
              <w:tabs>
                <w:tab w:val="left" w:pos="306"/>
              </w:tabs>
              <w:spacing w:before="70"/>
              <w:ind w:hanging="218"/>
              <w:rPr>
                <w:sz w:val="16"/>
                <w:szCs w:val="16"/>
              </w:rPr>
            </w:pPr>
            <w:r w:rsidRPr="00B408A4">
              <w:rPr>
                <w:color w:val="231F20"/>
                <w:sz w:val="16"/>
                <w:szCs w:val="16"/>
              </w:rPr>
              <w:t>3,039</w:t>
            </w:r>
            <w:r w:rsidRPr="00B408A4">
              <w:rPr>
                <w:color w:val="231F20"/>
                <w:spacing w:val="-2"/>
                <w:sz w:val="16"/>
                <w:szCs w:val="16"/>
              </w:rPr>
              <w:t xml:space="preserve"> </w:t>
            </w:r>
            <w:r w:rsidRPr="00B408A4">
              <w:rPr>
                <w:color w:val="231F20"/>
                <w:sz w:val="16"/>
                <w:szCs w:val="16"/>
              </w:rPr>
              <w:t>ML</w:t>
            </w:r>
          </w:p>
        </w:tc>
      </w:tr>
      <w:tr w:rsidR="00CD0057" w:rsidTr="002840E5">
        <w:trPr>
          <w:trHeight w:val="2973"/>
        </w:trPr>
        <w:tc>
          <w:tcPr>
            <w:tcW w:w="2041" w:type="dxa"/>
            <w:tcBorders>
              <w:top w:val="single" w:sz="4" w:space="0" w:color="231F20"/>
              <w:left w:val="single" w:sz="4" w:space="0" w:color="231F20"/>
              <w:bottom w:val="single" w:sz="4" w:space="0" w:color="231F20"/>
              <w:right w:val="single" w:sz="4" w:space="0" w:color="231F20"/>
            </w:tcBorders>
          </w:tcPr>
          <w:p w:rsidR="00CD0057" w:rsidRDefault="00CD0057" w:rsidP="002840E5">
            <w:pPr>
              <w:pStyle w:val="TableParagraph"/>
              <w:spacing w:before="74" w:line="261" w:lineRule="auto"/>
              <w:ind w:left="85" w:right="272"/>
              <w:jc w:val="both"/>
              <w:rPr>
                <w:sz w:val="16"/>
              </w:rPr>
            </w:pPr>
            <w:r>
              <w:rPr>
                <w:color w:val="231F20"/>
                <w:sz w:val="16"/>
              </w:rPr>
              <w:t>Potential environmental watering – tier 1a (high priorities)</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6"/>
              </w:numPr>
              <w:tabs>
                <w:tab w:val="left" w:pos="305"/>
              </w:tabs>
              <w:spacing w:before="70" w:line="254" w:lineRule="auto"/>
              <w:ind w:right="192"/>
              <w:rPr>
                <w:sz w:val="16"/>
                <w:szCs w:val="16"/>
              </w:rPr>
            </w:pPr>
            <w:r w:rsidRPr="00B408A4">
              <w:rPr>
                <w:color w:val="231F20"/>
                <w:sz w:val="16"/>
                <w:szCs w:val="16"/>
              </w:rPr>
              <w:t xml:space="preserve">Three spring freshes </w:t>
            </w:r>
            <w:r w:rsidRPr="00B408A4">
              <w:rPr>
                <w:color w:val="231F20"/>
                <w:spacing w:val="-3"/>
                <w:sz w:val="16"/>
                <w:szCs w:val="16"/>
              </w:rPr>
              <w:t xml:space="preserve">(reach </w:t>
            </w:r>
            <w:r w:rsidRPr="00B408A4">
              <w:rPr>
                <w:color w:val="231F20"/>
                <w:sz w:val="16"/>
                <w:szCs w:val="16"/>
              </w:rPr>
              <w:t>6)</w:t>
            </w:r>
          </w:p>
          <w:p w:rsidR="00CD0057" w:rsidRPr="00B408A4" w:rsidRDefault="00CD0057" w:rsidP="002840E5">
            <w:pPr>
              <w:pStyle w:val="TableParagraph"/>
              <w:numPr>
                <w:ilvl w:val="0"/>
                <w:numId w:val="1116"/>
              </w:numPr>
              <w:tabs>
                <w:tab w:val="left" w:pos="305"/>
              </w:tabs>
              <w:spacing w:before="87" w:line="254" w:lineRule="auto"/>
              <w:ind w:right="433"/>
              <w:rPr>
                <w:sz w:val="16"/>
                <w:szCs w:val="16"/>
              </w:rPr>
            </w:pPr>
            <w:r w:rsidRPr="00B408A4">
              <w:rPr>
                <w:color w:val="231F20"/>
                <w:sz w:val="16"/>
                <w:szCs w:val="16"/>
              </w:rPr>
              <w:t xml:space="preserve">One spring/summer </w:t>
            </w:r>
            <w:r w:rsidRPr="00B408A4">
              <w:rPr>
                <w:color w:val="231F20"/>
                <w:spacing w:val="-4"/>
                <w:sz w:val="16"/>
                <w:szCs w:val="16"/>
              </w:rPr>
              <w:t xml:space="preserve">high </w:t>
            </w:r>
            <w:r w:rsidRPr="00B408A4">
              <w:rPr>
                <w:color w:val="231F20"/>
                <w:sz w:val="16"/>
                <w:szCs w:val="16"/>
              </w:rPr>
              <w:t>flow (reach</w:t>
            </w:r>
            <w:r w:rsidRPr="00B408A4">
              <w:rPr>
                <w:color w:val="231F20"/>
                <w:spacing w:val="-1"/>
                <w:sz w:val="16"/>
                <w:szCs w:val="16"/>
              </w:rPr>
              <w:t xml:space="preserve"> </w:t>
            </w:r>
            <w:r w:rsidRPr="00B408A4">
              <w:rPr>
                <w:color w:val="231F20"/>
                <w:sz w:val="16"/>
                <w:szCs w:val="16"/>
              </w:rPr>
              <w:t>6)</w:t>
            </w:r>
          </w:p>
          <w:p w:rsidR="00CD0057" w:rsidRPr="00B408A4" w:rsidRDefault="00CD0057" w:rsidP="002840E5">
            <w:pPr>
              <w:pStyle w:val="TableParagraph"/>
              <w:numPr>
                <w:ilvl w:val="0"/>
                <w:numId w:val="1116"/>
              </w:numPr>
              <w:tabs>
                <w:tab w:val="left" w:pos="305"/>
              </w:tabs>
              <w:spacing w:before="86" w:line="254" w:lineRule="auto"/>
              <w:ind w:right="322"/>
              <w:rPr>
                <w:sz w:val="16"/>
                <w:szCs w:val="16"/>
              </w:rPr>
            </w:pPr>
            <w:r w:rsidRPr="00B408A4">
              <w:rPr>
                <w:color w:val="231F20"/>
                <w:sz w:val="16"/>
                <w:szCs w:val="16"/>
              </w:rPr>
              <w:t xml:space="preserve">Winter/spring/summer </w:t>
            </w:r>
            <w:r w:rsidRPr="00B408A4">
              <w:rPr>
                <w:color w:val="231F20"/>
                <w:spacing w:val="-5"/>
                <w:sz w:val="16"/>
                <w:szCs w:val="16"/>
              </w:rPr>
              <w:t xml:space="preserve">low </w:t>
            </w:r>
            <w:r w:rsidRPr="00B408A4">
              <w:rPr>
                <w:color w:val="231F20"/>
                <w:sz w:val="16"/>
                <w:szCs w:val="16"/>
              </w:rPr>
              <w:t>flows (reach</w:t>
            </w:r>
            <w:r w:rsidRPr="00B408A4">
              <w:rPr>
                <w:color w:val="231F20"/>
                <w:spacing w:val="-1"/>
                <w:sz w:val="16"/>
                <w:szCs w:val="16"/>
              </w:rPr>
              <w:t xml:space="preserve"> </w:t>
            </w:r>
            <w:r w:rsidRPr="00B408A4">
              <w:rPr>
                <w:color w:val="231F20"/>
                <w:sz w:val="16"/>
                <w:szCs w:val="16"/>
              </w:rPr>
              <w:t>6)</w:t>
            </w:r>
          </w:p>
          <w:p w:rsidR="00CD0057" w:rsidRPr="00B408A4" w:rsidRDefault="00CD0057" w:rsidP="002840E5">
            <w:pPr>
              <w:pStyle w:val="TableParagraph"/>
              <w:numPr>
                <w:ilvl w:val="0"/>
                <w:numId w:val="1116"/>
              </w:numPr>
              <w:tabs>
                <w:tab w:val="left" w:pos="305"/>
              </w:tabs>
              <w:spacing w:before="86" w:line="254" w:lineRule="auto"/>
              <w:ind w:right="86"/>
              <w:rPr>
                <w:sz w:val="16"/>
                <w:szCs w:val="16"/>
              </w:rPr>
            </w:pPr>
            <w:r w:rsidRPr="00B408A4">
              <w:rPr>
                <w:color w:val="231F20"/>
                <w:sz w:val="16"/>
                <w:szCs w:val="16"/>
              </w:rPr>
              <w:t>Three summer/autumn freshes lower Werribee</w:t>
            </w:r>
            <w:r w:rsidRPr="00B408A4">
              <w:rPr>
                <w:color w:val="231F20"/>
                <w:spacing w:val="-19"/>
                <w:sz w:val="16"/>
                <w:szCs w:val="16"/>
              </w:rPr>
              <w:t xml:space="preserve"> </w:t>
            </w:r>
            <w:r w:rsidRPr="00B408A4">
              <w:rPr>
                <w:color w:val="231F20"/>
                <w:sz w:val="16"/>
                <w:szCs w:val="16"/>
              </w:rPr>
              <w:t>River</w:t>
            </w:r>
          </w:p>
          <w:p w:rsidR="00CD0057" w:rsidRPr="00B408A4" w:rsidRDefault="00CD0057" w:rsidP="002840E5">
            <w:pPr>
              <w:pStyle w:val="TableParagraph"/>
              <w:numPr>
                <w:ilvl w:val="0"/>
                <w:numId w:val="1116"/>
              </w:numPr>
              <w:tabs>
                <w:tab w:val="left" w:pos="305"/>
              </w:tabs>
              <w:spacing w:before="86" w:line="254" w:lineRule="auto"/>
              <w:ind w:right="67"/>
              <w:rPr>
                <w:sz w:val="16"/>
                <w:szCs w:val="16"/>
              </w:rPr>
            </w:pPr>
            <w:r w:rsidRPr="00B408A4">
              <w:rPr>
                <w:color w:val="231F20"/>
                <w:sz w:val="16"/>
                <w:szCs w:val="16"/>
              </w:rPr>
              <w:t>One winter/spring fresh</w:t>
            </w:r>
            <w:r w:rsidRPr="00B408A4">
              <w:rPr>
                <w:color w:val="231F20"/>
                <w:spacing w:val="-20"/>
                <w:sz w:val="16"/>
                <w:szCs w:val="16"/>
              </w:rPr>
              <w:t xml:space="preserve"> </w:t>
            </w:r>
            <w:r w:rsidRPr="00B408A4">
              <w:rPr>
                <w:color w:val="231F20"/>
                <w:sz w:val="16"/>
                <w:szCs w:val="16"/>
              </w:rPr>
              <w:t>lower Werribee</w:t>
            </w:r>
            <w:r w:rsidRPr="00B408A4">
              <w:rPr>
                <w:color w:val="231F20"/>
                <w:spacing w:val="-2"/>
                <w:sz w:val="16"/>
                <w:szCs w:val="16"/>
              </w:rPr>
              <w:t xml:space="preserve"> </w:t>
            </w:r>
            <w:r w:rsidRPr="00B408A4">
              <w:rPr>
                <w:color w:val="231F20"/>
                <w:sz w:val="16"/>
                <w:szCs w:val="16"/>
              </w:rPr>
              <w:t>River</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5"/>
              </w:numPr>
              <w:tabs>
                <w:tab w:val="left" w:pos="306"/>
              </w:tabs>
              <w:spacing w:before="70"/>
              <w:ind w:hanging="218"/>
              <w:rPr>
                <w:sz w:val="16"/>
                <w:szCs w:val="16"/>
              </w:rPr>
            </w:pPr>
            <w:r w:rsidRPr="00B408A4">
              <w:rPr>
                <w:color w:val="231F20"/>
                <w:sz w:val="16"/>
                <w:szCs w:val="16"/>
              </w:rPr>
              <w:t>Four spring freshes (reach</w:t>
            </w:r>
            <w:r w:rsidRPr="00B408A4">
              <w:rPr>
                <w:color w:val="231F20"/>
                <w:spacing w:val="-2"/>
                <w:sz w:val="16"/>
                <w:szCs w:val="16"/>
              </w:rPr>
              <w:t xml:space="preserve"> </w:t>
            </w:r>
            <w:r w:rsidRPr="00B408A4">
              <w:rPr>
                <w:color w:val="231F20"/>
                <w:sz w:val="16"/>
                <w:szCs w:val="16"/>
              </w:rPr>
              <w:t>6)</w:t>
            </w:r>
          </w:p>
          <w:p w:rsidR="00CD0057" w:rsidRPr="00B408A4" w:rsidRDefault="00CD0057" w:rsidP="002840E5">
            <w:pPr>
              <w:pStyle w:val="TableParagraph"/>
              <w:numPr>
                <w:ilvl w:val="0"/>
                <w:numId w:val="1115"/>
              </w:numPr>
              <w:tabs>
                <w:tab w:val="left" w:pos="306"/>
              </w:tabs>
              <w:spacing w:before="98" w:line="254" w:lineRule="auto"/>
              <w:ind w:right="302"/>
              <w:rPr>
                <w:sz w:val="16"/>
                <w:szCs w:val="16"/>
              </w:rPr>
            </w:pPr>
            <w:r w:rsidRPr="00B408A4">
              <w:rPr>
                <w:color w:val="231F20"/>
                <w:sz w:val="16"/>
                <w:szCs w:val="16"/>
              </w:rPr>
              <w:t xml:space="preserve">Three spring/summer </w:t>
            </w:r>
            <w:r w:rsidRPr="00B408A4">
              <w:rPr>
                <w:color w:val="231F20"/>
                <w:spacing w:val="-4"/>
                <w:sz w:val="16"/>
                <w:szCs w:val="16"/>
              </w:rPr>
              <w:t xml:space="preserve">high </w:t>
            </w:r>
            <w:r w:rsidRPr="00B408A4">
              <w:rPr>
                <w:color w:val="231F20"/>
                <w:sz w:val="16"/>
                <w:szCs w:val="16"/>
              </w:rPr>
              <w:t>flows (reach</w:t>
            </w:r>
            <w:r w:rsidRPr="00B408A4">
              <w:rPr>
                <w:color w:val="231F20"/>
                <w:spacing w:val="-1"/>
                <w:sz w:val="16"/>
                <w:szCs w:val="16"/>
              </w:rPr>
              <w:t xml:space="preserve"> </w:t>
            </w:r>
            <w:r w:rsidRPr="00B408A4">
              <w:rPr>
                <w:color w:val="231F20"/>
                <w:sz w:val="16"/>
                <w:szCs w:val="16"/>
              </w:rPr>
              <w:t>6)</w:t>
            </w:r>
          </w:p>
          <w:p w:rsidR="00CD0057" w:rsidRPr="00B408A4" w:rsidRDefault="00CD0057" w:rsidP="002840E5">
            <w:pPr>
              <w:pStyle w:val="TableParagraph"/>
              <w:numPr>
                <w:ilvl w:val="0"/>
                <w:numId w:val="1115"/>
              </w:numPr>
              <w:tabs>
                <w:tab w:val="left" w:pos="306"/>
              </w:tabs>
              <w:spacing w:before="87" w:line="254" w:lineRule="auto"/>
              <w:ind w:right="322"/>
              <w:rPr>
                <w:sz w:val="16"/>
                <w:szCs w:val="16"/>
              </w:rPr>
            </w:pPr>
            <w:r w:rsidRPr="00B408A4">
              <w:rPr>
                <w:color w:val="231F20"/>
                <w:sz w:val="16"/>
                <w:szCs w:val="16"/>
              </w:rPr>
              <w:t xml:space="preserve">Winter/spring/summer </w:t>
            </w:r>
            <w:r w:rsidRPr="00B408A4">
              <w:rPr>
                <w:color w:val="231F20"/>
                <w:spacing w:val="-6"/>
                <w:sz w:val="16"/>
                <w:szCs w:val="16"/>
              </w:rPr>
              <w:t xml:space="preserve">low </w:t>
            </w:r>
            <w:r w:rsidRPr="00B408A4">
              <w:rPr>
                <w:color w:val="231F20"/>
                <w:sz w:val="16"/>
                <w:szCs w:val="16"/>
              </w:rPr>
              <w:t>flows (reach</w:t>
            </w:r>
            <w:r w:rsidRPr="00B408A4">
              <w:rPr>
                <w:color w:val="231F20"/>
                <w:spacing w:val="-1"/>
                <w:sz w:val="16"/>
                <w:szCs w:val="16"/>
              </w:rPr>
              <w:t xml:space="preserve"> </w:t>
            </w:r>
            <w:r w:rsidRPr="00B408A4">
              <w:rPr>
                <w:color w:val="231F20"/>
                <w:sz w:val="16"/>
                <w:szCs w:val="16"/>
              </w:rPr>
              <w:t>6)</w:t>
            </w:r>
          </w:p>
          <w:p w:rsidR="00CD0057" w:rsidRPr="00B408A4" w:rsidRDefault="00CD0057" w:rsidP="002840E5">
            <w:pPr>
              <w:pStyle w:val="TableParagraph"/>
              <w:numPr>
                <w:ilvl w:val="0"/>
                <w:numId w:val="1115"/>
              </w:numPr>
              <w:tabs>
                <w:tab w:val="left" w:pos="306"/>
              </w:tabs>
              <w:spacing w:before="86" w:line="254" w:lineRule="auto"/>
              <w:ind w:right="72"/>
              <w:rPr>
                <w:sz w:val="16"/>
                <w:szCs w:val="16"/>
              </w:rPr>
            </w:pPr>
            <w:r w:rsidRPr="00B408A4">
              <w:rPr>
                <w:color w:val="231F20"/>
                <w:sz w:val="16"/>
                <w:szCs w:val="16"/>
              </w:rPr>
              <w:t xml:space="preserve">Five summer/autumn </w:t>
            </w:r>
            <w:r w:rsidRPr="00B408A4">
              <w:rPr>
                <w:color w:val="231F20"/>
                <w:spacing w:val="-3"/>
                <w:sz w:val="16"/>
                <w:szCs w:val="16"/>
              </w:rPr>
              <w:t xml:space="preserve">freshes </w:t>
            </w:r>
            <w:r w:rsidRPr="00B408A4">
              <w:rPr>
                <w:color w:val="231F20"/>
                <w:sz w:val="16"/>
                <w:szCs w:val="16"/>
              </w:rPr>
              <w:t>lower Werribee</w:t>
            </w:r>
            <w:r w:rsidRPr="00B408A4">
              <w:rPr>
                <w:color w:val="231F20"/>
                <w:spacing w:val="-5"/>
                <w:sz w:val="16"/>
                <w:szCs w:val="16"/>
              </w:rPr>
              <w:t xml:space="preserve"> </w:t>
            </w:r>
            <w:r w:rsidRPr="00B408A4">
              <w:rPr>
                <w:color w:val="231F20"/>
                <w:sz w:val="16"/>
                <w:szCs w:val="16"/>
              </w:rPr>
              <w:t>River</w:t>
            </w:r>
          </w:p>
          <w:p w:rsidR="00CD0057" w:rsidRPr="00B408A4" w:rsidRDefault="00CD0057" w:rsidP="002840E5">
            <w:pPr>
              <w:pStyle w:val="TableParagraph"/>
              <w:numPr>
                <w:ilvl w:val="0"/>
                <w:numId w:val="1115"/>
              </w:numPr>
              <w:tabs>
                <w:tab w:val="left" w:pos="306"/>
              </w:tabs>
              <w:spacing w:before="86" w:line="254" w:lineRule="auto"/>
              <w:ind w:right="67"/>
              <w:rPr>
                <w:sz w:val="16"/>
                <w:szCs w:val="16"/>
              </w:rPr>
            </w:pPr>
            <w:r w:rsidRPr="00B408A4">
              <w:rPr>
                <w:color w:val="231F20"/>
                <w:sz w:val="16"/>
                <w:szCs w:val="16"/>
              </w:rPr>
              <w:t>One winter/spring fresh</w:t>
            </w:r>
            <w:r w:rsidRPr="00B408A4">
              <w:rPr>
                <w:color w:val="231F20"/>
                <w:spacing w:val="-21"/>
                <w:sz w:val="16"/>
                <w:szCs w:val="16"/>
              </w:rPr>
              <w:t xml:space="preserve"> </w:t>
            </w:r>
            <w:r w:rsidRPr="00B408A4">
              <w:rPr>
                <w:color w:val="231F20"/>
                <w:sz w:val="16"/>
                <w:szCs w:val="16"/>
              </w:rPr>
              <w:t>lower Werribee</w:t>
            </w:r>
            <w:r w:rsidRPr="00B408A4">
              <w:rPr>
                <w:color w:val="231F20"/>
                <w:spacing w:val="-2"/>
                <w:sz w:val="16"/>
                <w:szCs w:val="16"/>
              </w:rPr>
              <w:t xml:space="preserve"> </w:t>
            </w:r>
            <w:r w:rsidRPr="00B408A4">
              <w:rPr>
                <w:color w:val="231F20"/>
                <w:sz w:val="16"/>
                <w:szCs w:val="16"/>
              </w:rPr>
              <w:t>River</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4"/>
              </w:numPr>
              <w:tabs>
                <w:tab w:val="left" w:pos="306"/>
              </w:tabs>
              <w:spacing w:before="70"/>
              <w:ind w:hanging="218"/>
              <w:rPr>
                <w:sz w:val="16"/>
                <w:szCs w:val="16"/>
              </w:rPr>
            </w:pPr>
            <w:r w:rsidRPr="00B408A4">
              <w:rPr>
                <w:color w:val="231F20"/>
                <w:sz w:val="16"/>
                <w:szCs w:val="16"/>
              </w:rPr>
              <w:t>Four spring freshes (reach</w:t>
            </w:r>
            <w:r w:rsidRPr="00B408A4">
              <w:rPr>
                <w:color w:val="231F20"/>
                <w:spacing w:val="-2"/>
                <w:sz w:val="16"/>
                <w:szCs w:val="16"/>
              </w:rPr>
              <w:t xml:space="preserve"> </w:t>
            </w:r>
            <w:r w:rsidRPr="00B408A4">
              <w:rPr>
                <w:color w:val="231F20"/>
                <w:sz w:val="16"/>
                <w:szCs w:val="16"/>
              </w:rPr>
              <w:t>6)</w:t>
            </w:r>
          </w:p>
          <w:p w:rsidR="00CD0057" w:rsidRPr="00B408A4" w:rsidRDefault="00CD0057" w:rsidP="002840E5">
            <w:pPr>
              <w:pStyle w:val="TableParagraph"/>
              <w:numPr>
                <w:ilvl w:val="0"/>
                <w:numId w:val="1114"/>
              </w:numPr>
              <w:tabs>
                <w:tab w:val="left" w:pos="306"/>
              </w:tabs>
              <w:spacing w:before="98" w:line="254" w:lineRule="auto"/>
              <w:ind w:right="302"/>
              <w:rPr>
                <w:sz w:val="16"/>
                <w:szCs w:val="16"/>
              </w:rPr>
            </w:pPr>
            <w:r w:rsidRPr="00B408A4">
              <w:rPr>
                <w:color w:val="231F20"/>
                <w:sz w:val="16"/>
                <w:szCs w:val="16"/>
              </w:rPr>
              <w:t xml:space="preserve">Three spring/summer </w:t>
            </w:r>
            <w:r w:rsidRPr="00B408A4">
              <w:rPr>
                <w:color w:val="231F20"/>
                <w:spacing w:val="-4"/>
                <w:sz w:val="16"/>
                <w:szCs w:val="16"/>
              </w:rPr>
              <w:t xml:space="preserve">high </w:t>
            </w:r>
            <w:r w:rsidRPr="00B408A4">
              <w:rPr>
                <w:color w:val="231F20"/>
                <w:sz w:val="16"/>
                <w:szCs w:val="16"/>
              </w:rPr>
              <w:t>flows (reach</w:t>
            </w:r>
            <w:r w:rsidRPr="00B408A4">
              <w:rPr>
                <w:color w:val="231F20"/>
                <w:spacing w:val="-1"/>
                <w:sz w:val="16"/>
                <w:szCs w:val="16"/>
              </w:rPr>
              <w:t xml:space="preserve"> </w:t>
            </w:r>
            <w:r w:rsidRPr="00B408A4">
              <w:rPr>
                <w:color w:val="231F20"/>
                <w:sz w:val="16"/>
                <w:szCs w:val="16"/>
              </w:rPr>
              <w:t>6)</w:t>
            </w:r>
          </w:p>
          <w:p w:rsidR="00CD0057" w:rsidRPr="00B408A4" w:rsidRDefault="00CD0057" w:rsidP="002840E5">
            <w:pPr>
              <w:pStyle w:val="TableParagraph"/>
              <w:numPr>
                <w:ilvl w:val="0"/>
                <w:numId w:val="1114"/>
              </w:numPr>
              <w:tabs>
                <w:tab w:val="left" w:pos="306"/>
              </w:tabs>
              <w:spacing w:before="87" w:line="254" w:lineRule="auto"/>
              <w:ind w:right="322"/>
              <w:rPr>
                <w:sz w:val="16"/>
                <w:szCs w:val="16"/>
              </w:rPr>
            </w:pPr>
            <w:r w:rsidRPr="00B408A4">
              <w:rPr>
                <w:color w:val="231F20"/>
                <w:sz w:val="16"/>
                <w:szCs w:val="16"/>
              </w:rPr>
              <w:t xml:space="preserve">Winter/spring/summer </w:t>
            </w:r>
            <w:r w:rsidRPr="00B408A4">
              <w:rPr>
                <w:color w:val="231F20"/>
                <w:spacing w:val="-6"/>
                <w:sz w:val="16"/>
                <w:szCs w:val="16"/>
              </w:rPr>
              <w:t xml:space="preserve">low </w:t>
            </w:r>
            <w:r w:rsidRPr="00B408A4">
              <w:rPr>
                <w:color w:val="231F20"/>
                <w:sz w:val="16"/>
                <w:szCs w:val="16"/>
              </w:rPr>
              <w:t>flows (reach</w:t>
            </w:r>
            <w:r w:rsidRPr="00B408A4">
              <w:rPr>
                <w:color w:val="231F20"/>
                <w:spacing w:val="-1"/>
                <w:sz w:val="16"/>
                <w:szCs w:val="16"/>
              </w:rPr>
              <w:t xml:space="preserve"> </w:t>
            </w:r>
            <w:r w:rsidRPr="00B408A4">
              <w:rPr>
                <w:color w:val="231F20"/>
                <w:sz w:val="16"/>
                <w:szCs w:val="16"/>
              </w:rPr>
              <w:t>6)</w:t>
            </w:r>
          </w:p>
          <w:p w:rsidR="00CD0057" w:rsidRPr="00B408A4" w:rsidRDefault="00CD0057" w:rsidP="002840E5">
            <w:pPr>
              <w:pStyle w:val="TableParagraph"/>
              <w:numPr>
                <w:ilvl w:val="0"/>
                <w:numId w:val="1114"/>
              </w:numPr>
              <w:tabs>
                <w:tab w:val="left" w:pos="306"/>
              </w:tabs>
              <w:spacing w:before="86" w:line="254" w:lineRule="auto"/>
              <w:ind w:right="72"/>
              <w:rPr>
                <w:sz w:val="16"/>
                <w:szCs w:val="16"/>
              </w:rPr>
            </w:pPr>
            <w:r w:rsidRPr="00B408A4">
              <w:rPr>
                <w:color w:val="231F20"/>
                <w:sz w:val="16"/>
                <w:szCs w:val="16"/>
              </w:rPr>
              <w:t xml:space="preserve">Five summer/autumn </w:t>
            </w:r>
            <w:r w:rsidRPr="00B408A4">
              <w:rPr>
                <w:color w:val="231F20"/>
                <w:spacing w:val="-3"/>
                <w:sz w:val="16"/>
                <w:szCs w:val="16"/>
              </w:rPr>
              <w:t xml:space="preserve">freshes </w:t>
            </w:r>
            <w:r w:rsidRPr="00B408A4">
              <w:rPr>
                <w:color w:val="231F20"/>
                <w:sz w:val="16"/>
                <w:szCs w:val="16"/>
              </w:rPr>
              <w:t>lower Werribee</w:t>
            </w:r>
            <w:r w:rsidRPr="00B408A4">
              <w:rPr>
                <w:color w:val="231F20"/>
                <w:spacing w:val="-5"/>
                <w:sz w:val="16"/>
                <w:szCs w:val="16"/>
              </w:rPr>
              <w:t xml:space="preserve"> </w:t>
            </w:r>
            <w:r w:rsidRPr="00B408A4">
              <w:rPr>
                <w:color w:val="231F20"/>
                <w:sz w:val="16"/>
                <w:szCs w:val="16"/>
              </w:rPr>
              <w:t>River</w:t>
            </w:r>
          </w:p>
          <w:p w:rsidR="00CD0057" w:rsidRPr="00B408A4" w:rsidRDefault="00CD0057" w:rsidP="002840E5">
            <w:pPr>
              <w:pStyle w:val="TableParagraph"/>
              <w:numPr>
                <w:ilvl w:val="0"/>
                <w:numId w:val="1114"/>
              </w:numPr>
              <w:tabs>
                <w:tab w:val="left" w:pos="306"/>
              </w:tabs>
              <w:spacing w:before="86" w:line="254" w:lineRule="auto"/>
              <w:ind w:right="363"/>
              <w:rPr>
                <w:sz w:val="16"/>
                <w:szCs w:val="16"/>
              </w:rPr>
            </w:pPr>
            <w:r w:rsidRPr="00B408A4">
              <w:rPr>
                <w:color w:val="231F20"/>
                <w:spacing w:val="-4"/>
                <w:sz w:val="16"/>
                <w:szCs w:val="16"/>
              </w:rPr>
              <w:t xml:space="preserve">Two </w:t>
            </w:r>
            <w:r w:rsidRPr="00B408A4">
              <w:rPr>
                <w:color w:val="231F20"/>
                <w:sz w:val="16"/>
                <w:szCs w:val="16"/>
              </w:rPr>
              <w:t>winter/spring freshes lower Werribee</w:t>
            </w:r>
            <w:r w:rsidRPr="00B408A4">
              <w:rPr>
                <w:color w:val="231F20"/>
                <w:spacing w:val="-6"/>
                <w:sz w:val="16"/>
                <w:szCs w:val="16"/>
              </w:rPr>
              <w:t xml:space="preserve"> </w:t>
            </w:r>
            <w:r w:rsidRPr="00B408A4">
              <w:rPr>
                <w:color w:val="231F20"/>
                <w:sz w:val="16"/>
                <w:szCs w:val="16"/>
              </w:rPr>
              <w:t>River</w:t>
            </w:r>
          </w:p>
          <w:p w:rsidR="00CD0057" w:rsidRPr="00B408A4" w:rsidRDefault="00CD0057" w:rsidP="002840E5">
            <w:pPr>
              <w:pStyle w:val="TableParagraph"/>
              <w:numPr>
                <w:ilvl w:val="0"/>
                <w:numId w:val="1114"/>
              </w:numPr>
              <w:tabs>
                <w:tab w:val="left" w:pos="306"/>
              </w:tabs>
              <w:spacing w:before="86" w:line="254" w:lineRule="auto"/>
              <w:ind w:right="292"/>
              <w:rPr>
                <w:sz w:val="16"/>
                <w:szCs w:val="16"/>
              </w:rPr>
            </w:pPr>
            <w:r w:rsidRPr="00B408A4">
              <w:rPr>
                <w:color w:val="231F20"/>
                <w:sz w:val="16"/>
                <w:szCs w:val="16"/>
              </w:rPr>
              <w:t xml:space="preserve">Summer/autumn low </w:t>
            </w:r>
            <w:r w:rsidRPr="00B408A4">
              <w:rPr>
                <w:color w:val="231F20"/>
                <w:spacing w:val="-3"/>
                <w:sz w:val="16"/>
                <w:szCs w:val="16"/>
              </w:rPr>
              <w:t xml:space="preserve">flows </w:t>
            </w:r>
            <w:r w:rsidRPr="00B408A4">
              <w:rPr>
                <w:color w:val="231F20"/>
                <w:sz w:val="16"/>
                <w:szCs w:val="16"/>
              </w:rPr>
              <w:t>lower Werribee</w:t>
            </w:r>
            <w:r w:rsidRPr="00B408A4">
              <w:rPr>
                <w:color w:val="231F20"/>
                <w:spacing w:val="-6"/>
                <w:sz w:val="16"/>
                <w:szCs w:val="16"/>
              </w:rPr>
              <w:t xml:space="preserve"> </w:t>
            </w:r>
            <w:r w:rsidRPr="00B408A4">
              <w:rPr>
                <w:color w:val="231F20"/>
                <w:sz w:val="16"/>
                <w:szCs w:val="16"/>
              </w:rPr>
              <w:t>River</w:t>
            </w:r>
          </w:p>
        </w:tc>
      </w:tr>
      <w:tr w:rsidR="00CD0057" w:rsidTr="00B408A4">
        <w:trPr>
          <w:trHeight w:val="1074"/>
        </w:trPr>
        <w:tc>
          <w:tcPr>
            <w:tcW w:w="2041" w:type="dxa"/>
            <w:tcBorders>
              <w:top w:val="single" w:sz="4" w:space="0" w:color="231F20"/>
              <w:left w:val="single" w:sz="4" w:space="0" w:color="231F20"/>
              <w:bottom w:val="single" w:sz="4" w:space="0" w:color="231F20"/>
              <w:right w:val="single" w:sz="4" w:space="0" w:color="231F20"/>
            </w:tcBorders>
          </w:tcPr>
          <w:p w:rsidR="00CD0057" w:rsidRDefault="00CD0057" w:rsidP="002840E5">
            <w:pPr>
              <w:pStyle w:val="TableParagraph"/>
              <w:spacing w:before="67" w:line="261" w:lineRule="auto"/>
              <w:ind w:left="85" w:right="272"/>
              <w:jc w:val="both"/>
              <w:rPr>
                <w:sz w:val="16"/>
              </w:rPr>
            </w:pPr>
            <w:r>
              <w:rPr>
                <w:color w:val="231F20"/>
                <w:sz w:val="16"/>
              </w:rPr>
              <w:t>Potential environmental watering – tier 1b (high priorities with shortfall)</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3"/>
              </w:numPr>
              <w:tabs>
                <w:tab w:val="left" w:pos="305"/>
              </w:tabs>
              <w:spacing w:before="63" w:line="254" w:lineRule="auto"/>
              <w:ind w:right="293"/>
              <w:rPr>
                <w:sz w:val="16"/>
                <w:szCs w:val="16"/>
              </w:rPr>
            </w:pPr>
            <w:r w:rsidRPr="00B408A4">
              <w:rPr>
                <w:color w:val="231F20"/>
                <w:sz w:val="16"/>
                <w:szCs w:val="16"/>
              </w:rPr>
              <w:t xml:space="preserve">Summer/autumn low </w:t>
            </w:r>
            <w:r w:rsidRPr="00B408A4">
              <w:rPr>
                <w:color w:val="231F20"/>
                <w:spacing w:val="-3"/>
                <w:sz w:val="16"/>
                <w:szCs w:val="16"/>
              </w:rPr>
              <w:t xml:space="preserve">flows </w:t>
            </w:r>
            <w:r w:rsidRPr="00B408A4">
              <w:rPr>
                <w:color w:val="231F20"/>
                <w:sz w:val="16"/>
                <w:szCs w:val="16"/>
              </w:rPr>
              <w:t>lower Werribee</w:t>
            </w:r>
            <w:r w:rsidRPr="00B408A4">
              <w:rPr>
                <w:color w:val="231F20"/>
                <w:spacing w:val="-6"/>
                <w:sz w:val="16"/>
                <w:szCs w:val="16"/>
              </w:rPr>
              <w:t xml:space="preserve"> </w:t>
            </w:r>
            <w:r w:rsidRPr="00B408A4">
              <w:rPr>
                <w:color w:val="231F20"/>
                <w:sz w:val="16"/>
                <w:szCs w:val="16"/>
              </w:rPr>
              <w:t>River</w:t>
            </w:r>
          </w:p>
          <w:p w:rsidR="00CD0057" w:rsidRPr="00B408A4" w:rsidRDefault="00CD0057" w:rsidP="002840E5">
            <w:pPr>
              <w:pStyle w:val="TableParagraph"/>
              <w:numPr>
                <w:ilvl w:val="0"/>
                <w:numId w:val="1113"/>
              </w:numPr>
              <w:tabs>
                <w:tab w:val="left" w:pos="305"/>
              </w:tabs>
              <w:spacing w:before="86" w:line="254" w:lineRule="auto"/>
              <w:ind w:right="93"/>
              <w:rPr>
                <w:sz w:val="16"/>
                <w:szCs w:val="16"/>
              </w:rPr>
            </w:pPr>
            <w:r w:rsidRPr="00B408A4">
              <w:rPr>
                <w:color w:val="231F20"/>
                <w:sz w:val="16"/>
                <w:szCs w:val="16"/>
              </w:rPr>
              <w:t>Additional winter/spring fresh lower Werribee</w:t>
            </w:r>
            <w:r w:rsidRPr="00B408A4">
              <w:rPr>
                <w:color w:val="231F20"/>
                <w:spacing w:val="-5"/>
                <w:sz w:val="16"/>
                <w:szCs w:val="16"/>
              </w:rPr>
              <w:t xml:space="preserve"> </w:t>
            </w:r>
            <w:r w:rsidRPr="00B408A4">
              <w:rPr>
                <w:color w:val="231F20"/>
                <w:sz w:val="16"/>
                <w:szCs w:val="16"/>
              </w:rPr>
              <w:t>River</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2"/>
              </w:numPr>
              <w:tabs>
                <w:tab w:val="left" w:pos="306"/>
              </w:tabs>
              <w:spacing w:before="63" w:line="254" w:lineRule="auto"/>
              <w:ind w:right="293"/>
              <w:rPr>
                <w:sz w:val="16"/>
                <w:szCs w:val="16"/>
              </w:rPr>
            </w:pPr>
            <w:r w:rsidRPr="00B408A4">
              <w:rPr>
                <w:color w:val="231F20"/>
                <w:sz w:val="16"/>
                <w:szCs w:val="16"/>
              </w:rPr>
              <w:t xml:space="preserve">Summer/autumn low </w:t>
            </w:r>
            <w:r w:rsidRPr="00B408A4">
              <w:rPr>
                <w:color w:val="231F20"/>
                <w:spacing w:val="-3"/>
                <w:sz w:val="16"/>
                <w:szCs w:val="16"/>
              </w:rPr>
              <w:t xml:space="preserve">flows </w:t>
            </w:r>
            <w:r w:rsidRPr="00B408A4">
              <w:rPr>
                <w:color w:val="231F20"/>
                <w:sz w:val="16"/>
                <w:szCs w:val="16"/>
              </w:rPr>
              <w:t>lower Werribee</w:t>
            </w:r>
            <w:r w:rsidRPr="00B408A4">
              <w:rPr>
                <w:color w:val="231F20"/>
                <w:spacing w:val="-6"/>
                <w:sz w:val="16"/>
                <w:szCs w:val="16"/>
              </w:rPr>
              <w:t xml:space="preserve"> </w:t>
            </w:r>
            <w:r w:rsidRPr="00B408A4">
              <w:rPr>
                <w:color w:val="231F20"/>
                <w:sz w:val="16"/>
                <w:szCs w:val="16"/>
              </w:rPr>
              <w:t>River</w:t>
            </w:r>
          </w:p>
          <w:p w:rsidR="00CD0057" w:rsidRPr="00B408A4" w:rsidRDefault="00CD0057" w:rsidP="002840E5">
            <w:pPr>
              <w:pStyle w:val="TableParagraph"/>
              <w:numPr>
                <w:ilvl w:val="0"/>
                <w:numId w:val="1112"/>
              </w:numPr>
              <w:tabs>
                <w:tab w:val="left" w:pos="306"/>
              </w:tabs>
              <w:spacing w:before="86" w:line="254" w:lineRule="auto"/>
              <w:ind w:right="92"/>
              <w:rPr>
                <w:sz w:val="16"/>
                <w:szCs w:val="16"/>
              </w:rPr>
            </w:pPr>
            <w:r w:rsidRPr="00B408A4">
              <w:rPr>
                <w:color w:val="231F20"/>
                <w:sz w:val="16"/>
                <w:szCs w:val="16"/>
              </w:rPr>
              <w:t>Additional winter/spring fresh lower Werribee</w:t>
            </w:r>
            <w:r w:rsidRPr="00B408A4">
              <w:rPr>
                <w:color w:val="231F20"/>
                <w:spacing w:val="-5"/>
                <w:sz w:val="16"/>
                <w:szCs w:val="16"/>
              </w:rPr>
              <w:t xml:space="preserve"> </w:t>
            </w:r>
            <w:r w:rsidRPr="00B408A4">
              <w:rPr>
                <w:color w:val="231F20"/>
                <w:sz w:val="16"/>
                <w:szCs w:val="16"/>
              </w:rPr>
              <w:t>River</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1"/>
              </w:numPr>
              <w:tabs>
                <w:tab w:val="left" w:pos="306"/>
              </w:tabs>
              <w:spacing w:before="63" w:line="254" w:lineRule="auto"/>
              <w:ind w:right="162"/>
              <w:rPr>
                <w:sz w:val="16"/>
                <w:szCs w:val="16"/>
              </w:rPr>
            </w:pPr>
            <w:r w:rsidRPr="00B408A4">
              <w:rPr>
                <w:color w:val="231F20"/>
                <w:sz w:val="16"/>
                <w:szCs w:val="16"/>
              </w:rPr>
              <w:t>Increased duration summer/ autumn low flows lower Werribee</w:t>
            </w:r>
            <w:r w:rsidRPr="00B408A4">
              <w:rPr>
                <w:color w:val="231F20"/>
                <w:spacing w:val="-2"/>
                <w:sz w:val="16"/>
                <w:szCs w:val="16"/>
              </w:rPr>
              <w:t xml:space="preserve"> </w:t>
            </w:r>
            <w:r w:rsidRPr="00B408A4">
              <w:rPr>
                <w:color w:val="231F20"/>
                <w:sz w:val="16"/>
                <w:szCs w:val="16"/>
              </w:rPr>
              <w:t>River</w:t>
            </w:r>
          </w:p>
        </w:tc>
      </w:tr>
      <w:tr w:rsidR="00CD0057" w:rsidTr="00B408A4">
        <w:trPr>
          <w:trHeight w:val="834"/>
        </w:trPr>
        <w:tc>
          <w:tcPr>
            <w:tcW w:w="2041" w:type="dxa"/>
            <w:tcBorders>
              <w:top w:val="single" w:sz="4" w:space="0" w:color="231F20"/>
              <w:left w:val="single" w:sz="4" w:space="0" w:color="231F20"/>
              <w:bottom w:val="single" w:sz="4" w:space="0" w:color="231F20"/>
              <w:right w:val="single" w:sz="4" w:space="0" w:color="231F20"/>
            </w:tcBorders>
          </w:tcPr>
          <w:p w:rsidR="00CD0057" w:rsidRDefault="00CD0057" w:rsidP="002840E5">
            <w:pPr>
              <w:pStyle w:val="TableParagraph"/>
              <w:spacing w:before="67" w:line="261" w:lineRule="auto"/>
              <w:ind w:left="85" w:right="253"/>
              <w:rPr>
                <w:sz w:val="16"/>
              </w:rPr>
            </w:pPr>
            <w:r>
              <w:rPr>
                <w:color w:val="231F20"/>
                <w:sz w:val="16"/>
              </w:rPr>
              <w:t>Potential environmental watering – tier 2 (additional priorities)</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10"/>
              </w:numPr>
              <w:tabs>
                <w:tab w:val="left" w:pos="305"/>
              </w:tabs>
              <w:spacing w:before="63" w:line="254" w:lineRule="auto"/>
              <w:ind w:right="223"/>
              <w:rPr>
                <w:sz w:val="16"/>
                <w:szCs w:val="16"/>
              </w:rPr>
            </w:pPr>
            <w:r w:rsidRPr="00B408A4">
              <w:rPr>
                <w:color w:val="231F20"/>
                <w:sz w:val="16"/>
                <w:szCs w:val="16"/>
              </w:rPr>
              <w:t>Increased winter/spring low flows lower Werribee</w:t>
            </w:r>
            <w:r w:rsidRPr="00B408A4">
              <w:rPr>
                <w:color w:val="231F20"/>
                <w:spacing w:val="-16"/>
                <w:sz w:val="16"/>
                <w:szCs w:val="16"/>
              </w:rPr>
              <w:t xml:space="preserve"> </w:t>
            </w:r>
            <w:r w:rsidRPr="00B408A4">
              <w:rPr>
                <w:color w:val="231F20"/>
                <w:sz w:val="16"/>
                <w:szCs w:val="16"/>
              </w:rPr>
              <w:t>River</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09"/>
              </w:numPr>
              <w:tabs>
                <w:tab w:val="left" w:pos="306"/>
              </w:tabs>
              <w:spacing w:before="63" w:line="254" w:lineRule="auto"/>
              <w:ind w:right="223"/>
              <w:rPr>
                <w:sz w:val="16"/>
                <w:szCs w:val="16"/>
              </w:rPr>
            </w:pPr>
            <w:r w:rsidRPr="00B408A4">
              <w:rPr>
                <w:color w:val="231F20"/>
                <w:sz w:val="16"/>
                <w:szCs w:val="16"/>
              </w:rPr>
              <w:t>Increased winter/spring</w:t>
            </w:r>
            <w:r w:rsidRPr="00B408A4">
              <w:rPr>
                <w:color w:val="231F20"/>
                <w:spacing w:val="-14"/>
                <w:sz w:val="16"/>
                <w:szCs w:val="16"/>
              </w:rPr>
              <w:t xml:space="preserve"> </w:t>
            </w:r>
            <w:r w:rsidRPr="00B408A4">
              <w:rPr>
                <w:color w:val="231F20"/>
                <w:sz w:val="16"/>
                <w:szCs w:val="16"/>
              </w:rPr>
              <w:t>low flows lower Werribee</w:t>
            </w:r>
            <w:r w:rsidRPr="00B408A4">
              <w:rPr>
                <w:color w:val="231F20"/>
                <w:spacing w:val="-16"/>
                <w:sz w:val="16"/>
                <w:szCs w:val="16"/>
              </w:rPr>
              <w:t xml:space="preserve"> </w:t>
            </w:r>
            <w:r w:rsidRPr="00B408A4">
              <w:rPr>
                <w:color w:val="231F20"/>
                <w:sz w:val="16"/>
                <w:szCs w:val="16"/>
              </w:rPr>
              <w:t>River</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08"/>
              </w:numPr>
              <w:tabs>
                <w:tab w:val="left" w:pos="306"/>
              </w:tabs>
              <w:spacing w:before="63" w:line="254" w:lineRule="auto"/>
              <w:ind w:right="222"/>
              <w:rPr>
                <w:sz w:val="16"/>
                <w:szCs w:val="16"/>
              </w:rPr>
            </w:pPr>
            <w:r w:rsidRPr="00B408A4">
              <w:rPr>
                <w:color w:val="231F20"/>
                <w:sz w:val="16"/>
                <w:szCs w:val="16"/>
              </w:rPr>
              <w:t>Increased winter/spring low flows lower Werribee</w:t>
            </w:r>
            <w:r w:rsidRPr="00B408A4">
              <w:rPr>
                <w:color w:val="231F20"/>
                <w:spacing w:val="-16"/>
                <w:sz w:val="16"/>
                <w:szCs w:val="16"/>
              </w:rPr>
              <w:t xml:space="preserve"> </w:t>
            </w:r>
            <w:r w:rsidRPr="00B408A4">
              <w:rPr>
                <w:color w:val="231F20"/>
                <w:sz w:val="16"/>
                <w:szCs w:val="16"/>
              </w:rPr>
              <w:t>River</w:t>
            </w:r>
          </w:p>
        </w:tc>
      </w:tr>
      <w:tr w:rsidR="00CD0057" w:rsidTr="002840E5">
        <w:trPr>
          <w:trHeight w:val="978"/>
        </w:trPr>
        <w:tc>
          <w:tcPr>
            <w:tcW w:w="2041" w:type="dxa"/>
            <w:tcBorders>
              <w:top w:val="single" w:sz="4" w:space="0" w:color="231F20"/>
              <w:left w:val="single" w:sz="4" w:space="0" w:color="231F20"/>
              <w:bottom w:val="single" w:sz="4" w:space="0" w:color="231F20"/>
              <w:right w:val="single" w:sz="4" w:space="0" w:color="231F20"/>
            </w:tcBorders>
          </w:tcPr>
          <w:p w:rsidR="00CD0057" w:rsidRDefault="00CD0057" w:rsidP="002840E5">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2</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07"/>
              </w:numPr>
              <w:tabs>
                <w:tab w:val="left" w:pos="305"/>
              </w:tabs>
              <w:spacing w:before="63"/>
              <w:rPr>
                <w:sz w:val="16"/>
                <w:szCs w:val="16"/>
              </w:rPr>
            </w:pPr>
            <w:r w:rsidRPr="00B408A4">
              <w:rPr>
                <w:color w:val="231F20"/>
                <w:sz w:val="16"/>
                <w:szCs w:val="16"/>
              </w:rPr>
              <w:t>930 ML (tier</w:t>
            </w:r>
            <w:r w:rsidRPr="00B408A4">
              <w:rPr>
                <w:color w:val="231F20"/>
                <w:spacing w:val="-9"/>
                <w:sz w:val="16"/>
                <w:szCs w:val="16"/>
              </w:rPr>
              <w:t xml:space="preserve"> </w:t>
            </w:r>
            <w:r w:rsidRPr="00B408A4">
              <w:rPr>
                <w:color w:val="231F20"/>
                <w:sz w:val="16"/>
                <w:szCs w:val="16"/>
              </w:rPr>
              <w:t>1a)</w:t>
            </w:r>
          </w:p>
          <w:p w:rsidR="00CD0057" w:rsidRPr="00B408A4" w:rsidRDefault="00CD0057" w:rsidP="002840E5">
            <w:pPr>
              <w:pStyle w:val="TableParagraph"/>
              <w:numPr>
                <w:ilvl w:val="0"/>
                <w:numId w:val="1107"/>
              </w:numPr>
              <w:tabs>
                <w:tab w:val="left" w:pos="305"/>
              </w:tabs>
              <w:spacing w:before="98"/>
              <w:rPr>
                <w:sz w:val="16"/>
                <w:szCs w:val="16"/>
              </w:rPr>
            </w:pPr>
            <w:r w:rsidRPr="00B408A4">
              <w:rPr>
                <w:color w:val="231F20"/>
                <w:sz w:val="16"/>
                <w:szCs w:val="16"/>
              </w:rPr>
              <w:t>1,580 ML (tier</w:t>
            </w:r>
            <w:r w:rsidRPr="00B408A4">
              <w:rPr>
                <w:color w:val="231F20"/>
                <w:spacing w:val="-15"/>
                <w:sz w:val="16"/>
                <w:szCs w:val="16"/>
              </w:rPr>
              <w:t xml:space="preserve"> </w:t>
            </w:r>
            <w:r w:rsidRPr="00B408A4">
              <w:rPr>
                <w:color w:val="231F20"/>
                <w:sz w:val="16"/>
                <w:szCs w:val="16"/>
              </w:rPr>
              <w:t>1b)</w:t>
            </w:r>
          </w:p>
          <w:p w:rsidR="00CD0057" w:rsidRPr="00B408A4" w:rsidRDefault="00CD0057" w:rsidP="002840E5">
            <w:pPr>
              <w:pStyle w:val="TableParagraph"/>
              <w:numPr>
                <w:ilvl w:val="0"/>
                <w:numId w:val="1107"/>
              </w:numPr>
              <w:tabs>
                <w:tab w:val="left" w:pos="305"/>
              </w:tabs>
              <w:spacing w:before="98"/>
              <w:rPr>
                <w:sz w:val="16"/>
                <w:szCs w:val="16"/>
              </w:rPr>
            </w:pPr>
            <w:r w:rsidRPr="00B408A4">
              <w:rPr>
                <w:color w:val="231F20"/>
                <w:sz w:val="16"/>
                <w:szCs w:val="16"/>
              </w:rPr>
              <w:t>10,000 ML (tier</w:t>
            </w:r>
            <w:r w:rsidRPr="00B408A4">
              <w:rPr>
                <w:color w:val="231F20"/>
                <w:spacing w:val="-15"/>
                <w:sz w:val="16"/>
                <w:szCs w:val="16"/>
              </w:rPr>
              <w:t xml:space="preserve"> </w:t>
            </w:r>
            <w:r w:rsidRPr="00B408A4">
              <w:rPr>
                <w:color w:val="231F20"/>
                <w:sz w:val="16"/>
                <w:szCs w:val="16"/>
              </w:rPr>
              <w:t>2)</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06"/>
              </w:numPr>
              <w:tabs>
                <w:tab w:val="left" w:pos="306"/>
              </w:tabs>
              <w:spacing w:before="63"/>
              <w:ind w:hanging="218"/>
              <w:rPr>
                <w:sz w:val="16"/>
                <w:szCs w:val="16"/>
              </w:rPr>
            </w:pPr>
            <w:r w:rsidRPr="00B408A4">
              <w:rPr>
                <w:color w:val="231F20"/>
                <w:sz w:val="16"/>
                <w:szCs w:val="16"/>
              </w:rPr>
              <w:t>1,250 ML (tier</w:t>
            </w:r>
            <w:r w:rsidRPr="00B408A4">
              <w:rPr>
                <w:color w:val="231F20"/>
                <w:spacing w:val="-15"/>
                <w:sz w:val="16"/>
                <w:szCs w:val="16"/>
              </w:rPr>
              <w:t xml:space="preserve"> </w:t>
            </w:r>
            <w:r w:rsidRPr="00B408A4">
              <w:rPr>
                <w:color w:val="231F20"/>
                <w:sz w:val="16"/>
                <w:szCs w:val="16"/>
              </w:rPr>
              <w:t>1a)</w:t>
            </w:r>
          </w:p>
          <w:p w:rsidR="00CD0057" w:rsidRPr="00B408A4" w:rsidRDefault="00CD0057" w:rsidP="002840E5">
            <w:pPr>
              <w:pStyle w:val="TableParagraph"/>
              <w:numPr>
                <w:ilvl w:val="0"/>
                <w:numId w:val="1106"/>
              </w:numPr>
              <w:tabs>
                <w:tab w:val="left" w:pos="306"/>
              </w:tabs>
              <w:spacing w:before="98"/>
              <w:ind w:hanging="218"/>
              <w:rPr>
                <w:sz w:val="16"/>
                <w:szCs w:val="16"/>
              </w:rPr>
            </w:pPr>
            <w:r w:rsidRPr="00B408A4">
              <w:rPr>
                <w:color w:val="231F20"/>
                <w:sz w:val="16"/>
                <w:szCs w:val="16"/>
              </w:rPr>
              <w:t>1,580 ML (tier</w:t>
            </w:r>
            <w:r w:rsidRPr="00B408A4">
              <w:rPr>
                <w:color w:val="231F20"/>
                <w:spacing w:val="-15"/>
                <w:sz w:val="16"/>
                <w:szCs w:val="16"/>
              </w:rPr>
              <w:t xml:space="preserve"> </w:t>
            </w:r>
            <w:r w:rsidRPr="00B408A4">
              <w:rPr>
                <w:color w:val="231F20"/>
                <w:sz w:val="16"/>
                <w:szCs w:val="16"/>
              </w:rPr>
              <w:t>1b)</w:t>
            </w:r>
          </w:p>
          <w:p w:rsidR="00CD0057" w:rsidRPr="00B408A4" w:rsidRDefault="00CD0057" w:rsidP="002840E5">
            <w:pPr>
              <w:pStyle w:val="TableParagraph"/>
              <w:numPr>
                <w:ilvl w:val="0"/>
                <w:numId w:val="1106"/>
              </w:numPr>
              <w:tabs>
                <w:tab w:val="left" w:pos="306"/>
              </w:tabs>
              <w:spacing w:before="98"/>
              <w:ind w:hanging="218"/>
              <w:rPr>
                <w:sz w:val="16"/>
                <w:szCs w:val="16"/>
              </w:rPr>
            </w:pPr>
            <w:r w:rsidRPr="00B408A4">
              <w:rPr>
                <w:color w:val="231F20"/>
                <w:sz w:val="16"/>
                <w:szCs w:val="16"/>
              </w:rPr>
              <w:t>10,000 ML (tier</w:t>
            </w:r>
            <w:r w:rsidRPr="00B408A4">
              <w:rPr>
                <w:color w:val="231F20"/>
                <w:spacing w:val="-15"/>
                <w:sz w:val="16"/>
                <w:szCs w:val="16"/>
              </w:rPr>
              <w:t xml:space="preserve"> </w:t>
            </w:r>
            <w:r w:rsidRPr="00B408A4">
              <w:rPr>
                <w:color w:val="231F20"/>
                <w:sz w:val="16"/>
                <w:szCs w:val="16"/>
              </w:rPr>
              <w:t>2)</w:t>
            </w:r>
          </w:p>
        </w:tc>
        <w:tc>
          <w:tcPr>
            <w:tcW w:w="2721" w:type="dxa"/>
            <w:tcBorders>
              <w:top w:val="single" w:sz="4" w:space="0" w:color="231F20"/>
              <w:left w:val="single" w:sz="4" w:space="0" w:color="231F20"/>
              <w:bottom w:val="single" w:sz="4" w:space="0" w:color="231F20"/>
              <w:right w:val="single" w:sz="4" w:space="0" w:color="231F20"/>
            </w:tcBorders>
          </w:tcPr>
          <w:p w:rsidR="00CD0057" w:rsidRPr="00B408A4" w:rsidRDefault="00CD0057" w:rsidP="002840E5">
            <w:pPr>
              <w:pStyle w:val="TableParagraph"/>
              <w:numPr>
                <w:ilvl w:val="0"/>
                <w:numId w:val="1105"/>
              </w:numPr>
              <w:tabs>
                <w:tab w:val="left" w:pos="306"/>
              </w:tabs>
              <w:spacing w:before="63"/>
              <w:ind w:hanging="218"/>
              <w:rPr>
                <w:sz w:val="16"/>
                <w:szCs w:val="16"/>
              </w:rPr>
            </w:pPr>
            <w:r w:rsidRPr="00B408A4">
              <w:rPr>
                <w:color w:val="231F20"/>
                <w:sz w:val="16"/>
                <w:szCs w:val="16"/>
              </w:rPr>
              <w:t>1,880 ML (tier</w:t>
            </w:r>
            <w:r w:rsidRPr="00B408A4">
              <w:rPr>
                <w:color w:val="231F20"/>
                <w:spacing w:val="-9"/>
                <w:sz w:val="16"/>
                <w:szCs w:val="16"/>
              </w:rPr>
              <w:t xml:space="preserve"> </w:t>
            </w:r>
            <w:r w:rsidRPr="00B408A4">
              <w:rPr>
                <w:color w:val="231F20"/>
                <w:sz w:val="16"/>
                <w:szCs w:val="16"/>
              </w:rPr>
              <w:t>1a)</w:t>
            </w:r>
          </w:p>
          <w:p w:rsidR="00CD0057" w:rsidRPr="00B408A4" w:rsidRDefault="00CD0057" w:rsidP="002840E5">
            <w:pPr>
              <w:pStyle w:val="TableParagraph"/>
              <w:numPr>
                <w:ilvl w:val="0"/>
                <w:numId w:val="1105"/>
              </w:numPr>
              <w:tabs>
                <w:tab w:val="left" w:pos="306"/>
              </w:tabs>
              <w:spacing w:before="98"/>
              <w:ind w:hanging="218"/>
              <w:rPr>
                <w:sz w:val="16"/>
                <w:szCs w:val="16"/>
              </w:rPr>
            </w:pPr>
            <w:r w:rsidRPr="00B408A4">
              <w:rPr>
                <w:color w:val="231F20"/>
                <w:sz w:val="16"/>
                <w:szCs w:val="16"/>
              </w:rPr>
              <w:t>900 ML (tier</w:t>
            </w:r>
            <w:r w:rsidRPr="00B408A4">
              <w:rPr>
                <w:color w:val="231F20"/>
                <w:spacing w:val="-9"/>
                <w:sz w:val="16"/>
                <w:szCs w:val="16"/>
              </w:rPr>
              <w:t xml:space="preserve"> </w:t>
            </w:r>
            <w:r w:rsidRPr="00B408A4">
              <w:rPr>
                <w:color w:val="231F20"/>
                <w:sz w:val="16"/>
                <w:szCs w:val="16"/>
              </w:rPr>
              <w:t>1b)</w:t>
            </w:r>
          </w:p>
          <w:p w:rsidR="00CD0057" w:rsidRPr="00B408A4" w:rsidRDefault="00CD0057" w:rsidP="002840E5">
            <w:pPr>
              <w:pStyle w:val="TableParagraph"/>
              <w:numPr>
                <w:ilvl w:val="0"/>
                <w:numId w:val="1105"/>
              </w:numPr>
              <w:tabs>
                <w:tab w:val="left" w:pos="306"/>
              </w:tabs>
              <w:spacing w:before="98"/>
              <w:ind w:hanging="218"/>
              <w:rPr>
                <w:sz w:val="16"/>
                <w:szCs w:val="16"/>
              </w:rPr>
            </w:pPr>
            <w:r w:rsidRPr="00B408A4">
              <w:rPr>
                <w:color w:val="231F20"/>
                <w:sz w:val="16"/>
                <w:szCs w:val="16"/>
              </w:rPr>
              <w:t>10,000 ML (tier</w:t>
            </w:r>
            <w:r w:rsidRPr="00B408A4">
              <w:rPr>
                <w:color w:val="231F20"/>
                <w:spacing w:val="-9"/>
                <w:sz w:val="16"/>
                <w:szCs w:val="16"/>
              </w:rPr>
              <w:t xml:space="preserve"> </w:t>
            </w:r>
            <w:r w:rsidRPr="00B408A4">
              <w:rPr>
                <w:color w:val="231F20"/>
                <w:sz w:val="16"/>
                <w:szCs w:val="16"/>
              </w:rPr>
              <w:t>2)</w:t>
            </w:r>
          </w:p>
        </w:tc>
      </w:tr>
      <w:tr w:rsidR="00CD0057" w:rsidTr="002840E5">
        <w:trPr>
          <w:trHeight w:val="978"/>
        </w:trPr>
        <w:tc>
          <w:tcPr>
            <w:tcW w:w="2041" w:type="dxa"/>
            <w:tcBorders>
              <w:top w:val="single" w:sz="4" w:space="0" w:color="231F20"/>
              <w:left w:val="single" w:sz="4" w:space="0" w:color="231F20"/>
              <w:bottom w:val="single" w:sz="4" w:space="0" w:color="231F20"/>
              <w:right w:val="single" w:sz="4" w:space="0" w:color="231F20"/>
            </w:tcBorders>
          </w:tcPr>
          <w:p w:rsidR="00CD0057" w:rsidRDefault="00CD0057" w:rsidP="002840E5">
            <w:pPr>
              <w:pStyle w:val="TableParagraph"/>
              <w:spacing w:before="67" w:line="261" w:lineRule="auto"/>
              <w:ind w:left="85" w:right="716"/>
              <w:rPr>
                <w:sz w:val="16"/>
              </w:rPr>
            </w:pPr>
            <w:r>
              <w:rPr>
                <w:color w:val="231F20"/>
                <w:sz w:val="16"/>
              </w:rPr>
              <w:t>Priority carryover requirements</w:t>
            </w:r>
          </w:p>
        </w:tc>
        <w:tc>
          <w:tcPr>
            <w:tcW w:w="8163" w:type="dxa"/>
            <w:gridSpan w:val="3"/>
            <w:tcBorders>
              <w:top w:val="single" w:sz="4" w:space="0" w:color="231F20"/>
              <w:left w:val="single" w:sz="4" w:space="0" w:color="231F20"/>
              <w:bottom w:val="single" w:sz="4" w:space="0" w:color="231F20"/>
              <w:right w:val="single" w:sz="4" w:space="0" w:color="231F20"/>
            </w:tcBorders>
          </w:tcPr>
          <w:p w:rsidR="00CD0057" w:rsidRDefault="00CD0057" w:rsidP="002840E5">
            <w:pPr>
              <w:pStyle w:val="TableParagraph"/>
              <w:numPr>
                <w:ilvl w:val="0"/>
                <w:numId w:val="1104"/>
              </w:numPr>
              <w:tabs>
                <w:tab w:val="left" w:pos="3515"/>
              </w:tabs>
              <w:spacing w:before="63"/>
              <w:ind w:hanging="3496"/>
              <w:rPr>
                <w:sz w:val="10"/>
              </w:rPr>
            </w:pPr>
            <w:r w:rsidRPr="00B408A4">
              <w:rPr>
                <w:color w:val="231F20"/>
                <w:sz w:val="16"/>
                <w:szCs w:val="16"/>
              </w:rPr>
              <w:t>980 to 1,060</w:t>
            </w:r>
            <w:r w:rsidRPr="00B408A4">
              <w:rPr>
                <w:color w:val="231F20"/>
                <w:spacing w:val="-3"/>
                <w:sz w:val="16"/>
                <w:szCs w:val="16"/>
              </w:rPr>
              <w:t xml:space="preserve"> </w:t>
            </w:r>
            <w:r w:rsidRPr="00B408A4">
              <w:rPr>
                <w:color w:val="231F20"/>
                <w:sz w:val="16"/>
                <w:szCs w:val="16"/>
              </w:rPr>
              <w:t>ML</w:t>
            </w:r>
            <w:r>
              <w:rPr>
                <w:color w:val="231F20"/>
                <w:position w:val="6"/>
                <w:sz w:val="10"/>
              </w:rPr>
              <w:t>3</w:t>
            </w:r>
          </w:p>
        </w:tc>
      </w:tr>
    </w:tbl>
    <w:p w:rsidR="006A7A3F" w:rsidRDefault="006A7A3F">
      <w:pPr>
        <w:pStyle w:val="BodyText"/>
        <w:spacing w:before="0"/>
        <w:ind w:left="0"/>
        <w:rPr>
          <w:b/>
          <w:sz w:val="9"/>
        </w:rPr>
      </w:pPr>
    </w:p>
    <w:p w:rsidR="005E214D" w:rsidRDefault="00BC7372" w:rsidP="005E214D">
      <w:pPr>
        <w:spacing w:line="350" w:lineRule="auto"/>
        <w:ind w:left="210" w:right="2920"/>
        <w:rPr>
          <w:color w:val="231F20"/>
          <w:sz w:val="14"/>
        </w:rPr>
      </w:pPr>
      <w:r>
        <w:rPr>
          <w:color w:val="231F20"/>
          <w:sz w:val="14"/>
        </w:rPr>
        <w:t xml:space="preserve">1 Includes water shares held by Melbourne Water that may be transferred to the </w:t>
      </w:r>
      <w:r>
        <w:rPr>
          <w:color w:val="231F20"/>
          <w:spacing w:val="2"/>
          <w:sz w:val="14"/>
        </w:rPr>
        <w:t xml:space="preserve">VEWH </w:t>
      </w:r>
      <w:r>
        <w:rPr>
          <w:color w:val="231F20"/>
          <w:sz w:val="14"/>
        </w:rPr>
        <w:t>for use in the Werribee system.</w:t>
      </w:r>
    </w:p>
    <w:p w:rsidR="006A7A3F" w:rsidRDefault="00BC7372" w:rsidP="005E214D">
      <w:pPr>
        <w:spacing w:line="350" w:lineRule="auto"/>
        <w:ind w:left="210" w:right="2920"/>
        <w:rPr>
          <w:sz w:val="14"/>
        </w:rPr>
      </w:pPr>
      <w:r>
        <w:rPr>
          <w:color w:val="231F20"/>
          <w:sz w:val="14"/>
        </w:rPr>
        <w:t>2 Environmental water requirements for tier 2 actions are additional to tier 1</w:t>
      </w:r>
      <w:r>
        <w:rPr>
          <w:color w:val="231F20"/>
          <w:spacing w:val="12"/>
          <w:sz w:val="14"/>
        </w:rPr>
        <w:t xml:space="preserve"> </w:t>
      </w:r>
      <w:r>
        <w:rPr>
          <w:color w:val="231F20"/>
          <w:sz w:val="14"/>
        </w:rPr>
        <w:t>requirements.</w:t>
      </w:r>
    </w:p>
    <w:p w:rsidR="006A7A3F" w:rsidRDefault="00BC7372">
      <w:pPr>
        <w:spacing w:line="160" w:lineRule="exact"/>
        <w:ind w:left="210"/>
        <w:rPr>
          <w:sz w:val="14"/>
        </w:rPr>
      </w:pPr>
      <w:r>
        <w:rPr>
          <w:color w:val="231F20"/>
          <w:sz w:val="14"/>
        </w:rPr>
        <w:t>3 A minimum volume of 200 ML is required to be carried over in Lake Merrimu to meet demands in Pyrites Creek.</w:t>
      </w:r>
    </w:p>
    <w:p w:rsidR="00CD0057" w:rsidRDefault="00CD0057">
      <w:pPr>
        <w:rPr>
          <w:sz w:val="13"/>
          <w:szCs w:val="20"/>
        </w:rPr>
      </w:pPr>
      <w:r>
        <w:rPr>
          <w:sz w:val="13"/>
        </w:rPr>
        <w:br w:type="page"/>
      </w:r>
    </w:p>
    <w:p w:rsidR="006A7A3F" w:rsidRDefault="00BC7372">
      <w:pPr>
        <w:pStyle w:val="Heading1"/>
        <w:numPr>
          <w:ilvl w:val="1"/>
          <w:numId w:val="1262"/>
        </w:numPr>
        <w:tabs>
          <w:tab w:val="left" w:pos="911"/>
        </w:tabs>
        <w:spacing w:before="1"/>
      </w:pPr>
      <w:r>
        <w:rPr>
          <w:color w:val="231F20"/>
        </w:rPr>
        <w:t>Moorabool system</w:t>
      </w:r>
    </w:p>
    <w:p w:rsidR="006A7A3F" w:rsidRDefault="00BC7372">
      <w:pPr>
        <w:pStyle w:val="Heading4"/>
        <w:spacing w:before="306"/>
      </w:pPr>
      <w:r>
        <w:rPr>
          <w:color w:val="231F20"/>
        </w:rPr>
        <w:t>Did you know...?</w:t>
      </w:r>
    </w:p>
    <w:p w:rsidR="006A7A3F" w:rsidRDefault="00BC7372" w:rsidP="00093C34">
      <w:pPr>
        <w:pStyle w:val="BodyText"/>
        <w:spacing w:before="120" w:after="240" w:line="250" w:lineRule="auto"/>
        <w:ind w:right="102"/>
      </w:pPr>
      <w:r>
        <w:rPr>
          <w:color w:val="231F20"/>
        </w:rPr>
        <w:t>The Moorabool River is on the traditional lands of the Wadawurrung people who have had an ongoing connection with the river for thousands of years. Moorabool means ‘monster’ in the language of the Wadawurrung. It’s the local name of the stone curlew, a bird that used to be common by the river. Of a nighttime, the stone curlew is renowned for its eerie, high-pitched wailing. The parents in the Wadawurrung communities would use the stone curlew’s frightening call to warn their children away from the river, “Moorabool, Moorabool (Monster Monster)” they would tell the children to make sure they didn’t stray close to the dangers of the river in the dark.</w:t>
      </w:r>
    </w:p>
    <w:p w:rsidR="006A7A3F" w:rsidRDefault="00BC7372">
      <w:pPr>
        <w:pStyle w:val="BodyText"/>
        <w:spacing w:before="2"/>
        <w:ind w:left="0"/>
        <w:rPr>
          <w:sz w:val="13"/>
        </w:rPr>
      </w:pPr>
      <w:r>
        <w:rPr>
          <w:noProof/>
        </w:rPr>
        <w:drawing>
          <wp:inline distT="0" distB="0" distL="0" distR="0">
            <wp:extent cx="2957230" cy="1419225"/>
            <wp:effectExtent l="0" t="0" r="1905" b="3175"/>
            <wp:docPr id="561" name="image34.png" descr="Pie chart shows the proportion of water entitlements in the Moorabool basin held by private users (16%), water corporations (72%) and environmental water holders (12%)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7230" cy="1419225"/>
                    </a:xfrm>
                    <a:prstGeom prst="rect">
                      <a:avLst/>
                    </a:prstGeom>
                  </pic:spPr>
                </pic:pic>
              </a:graphicData>
            </a:graphic>
          </wp:inline>
        </w:drawing>
      </w:r>
    </w:p>
    <w:p w:rsidR="006A7A3F" w:rsidRDefault="006A7A3F">
      <w:pPr>
        <w:pStyle w:val="BodyText"/>
        <w:spacing w:before="10"/>
        <w:ind w:left="0"/>
        <w:rPr>
          <w:sz w:val="31"/>
        </w:rPr>
      </w:pPr>
    </w:p>
    <w:p w:rsidR="006A7A3F" w:rsidRDefault="00BC7372">
      <w:pPr>
        <w:pStyle w:val="Heading7"/>
        <w:spacing w:line="249" w:lineRule="auto"/>
        <w:ind w:right="834"/>
      </w:pPr>
      <w:r>
        <w:rPr>
          <w:color w:val="231F20"/>
        </w:rPr>
        <w:t>Proportion of water entitlements in the Moorabool basin held by private users, water corporations or environmental water holders at 30 June 2019.</w:t>
      </w:r>
    </w:p>
    <w:p w:rsidR="006A7A3F" w:rsidRDefault="006A7A3F">
      <w:pPr>
        <w:pStyle w:val="BodyText"/>
        <w:spacing w:before="1"/>
        <w:ind w:left="0"/>
        <w:rPr>
          <w:b/>
        </w:rPr>
      </w:pPr>
    </w:p>
    <w:p w:rsidR="006A7A3F" w:rsidRDefault="00BC7372">
      <w:pPr>
        <w:ind w:left="210"/>
        <w:rPr>
          <w:b/>
          <w:sz w:val="24"/>
        </w:rPr>
      </w:pPr>
      <w:r>
        <w:rPr>
          <w:b/>
          <w:color w:val="231F20"/>
          <w:sz w:val="24"/>
        </w:rPr>
        <w:t>System overview</w:t>
      </w:r>
    </w:p>
    <w:p w:rsidR="006A7A3F" w:rsidRDefault="00BC7372">
      <w:pPr>
        <w:spacing w:before="90" w:line="276" w:lineRule="auto"/>
        <w:ind w:left="210" w:right="254"/>
      </w:pPr>
      <w:r>
        <w:rPr>
          <w:color w:val="231F20"/>
        </w:rPr>
        <w:t>The Moorabool River is a tributary of the Barwon River. It flows south from the Central Highlands between Ballarat and Ballan to join the Barwon River at Fyansford just north of Geelong. The Moorabool River is a highly regulated catchment with major storages that include Lal Lal, Moorabool and Bostock reservoirs.</w:t>
      </w:r>
    </w:p>
    <w:p w:rsidR="006A7A3F" w:rsidRDefault="006A7A3F">
      <w:pPr>
        <w:pStyle w:val="BodyText"/>
        <w:spacing w:before="6"/>
        <w:ind w:left="0"/>
        <w:rPr>
          <w:sz w:val="21"/>
        </w:rPr>
      </w:pPr>
    </w:p>
    <w:p w:rsidR="006A7A3F" w:rsidRDefault="00BC7372">
      <w:pPr>
        <w:pStyle w:val="BodyText"/>
        <w:spacing w:before="1" w:line="249" w:lineRule="auto"/>
        <w:ind w:right="230"/>
      </w:pPr>
      <w:r>
        <w:rPr>
          <w:color w:val="231F20"/>
        </w:rPr>
        <w:t>The lower section of the Moorabool River between She Oaks and Batesford has nine private diversion weirs that are significant barriers to fish. These barriers have increased the extent of slow-flowing habitat and reduced habitat diversity.</w:t>
      </w:r>
    </w:p>
    <w:p w:rsidR="006A7A3F" w:rsidRDefault="00BC7372">
      <w:pPr>
        <w:pStyle w:val="BodyText"/>
        <w:spacing w:line="249" w:lineRule="auto"/>
        <w:ind w:right="204"/>
      </w:pPr>
      <w:r>
        <w:rPr>
          <w:color w:val="231F20"/>
        </w:rPr>
        <w:t>The Moorabool is a water supply catchment for Barwon Water and Central Highlands Water. Releases from Lal Lal Reservoir for urban water supply contribute to environmental outcomes in reach 3a and 3b (above Barwon Water’s diversion point at She Oaks) and allow more efficient delivery of water for the environment to reach 4. Barwon Water and Corangamite CMA coordinate to make releases in tandem, where possible, to optimise these benefits.</w:t>
      </w:r>
    </w:p>
    <w:p w:rsidR="006A7A3F" w:rsidRDefault="00BC7372" w:rsidP="00CD0057">
      <w:pPr>
        <w:pStyle w:val="BodyText"/>
        <w:spacing w:before="173" w:line="249" w:lineRule="auto"/>
        <w:ind w:right="100"/>
      </w:pPr>
      <w:r>
        <w:rPr>
          <w:color w:val="231F20"/>
        </w:rPr>
        <w:t>Water allocated to the Moorabool River environmental entitlement is stored in Lal Lal Reservoir. The entitlement includes passing flows that are a significant component of annual streamflows and help maintain low flows through winter. The priority reaches for deliveries of water for the environment are between Lal Lal Reservoir and She Oaks Weir (reaches 3a and 3b, as shown in Figure 3.6.1), as that is where the small amount of available water can have</w:t>
      </w:r>
      <w:r w:rsidR="00CD0057">
        <w:t xml:space="preserve"> </w:t>
      </w:r>
      <w:r>
        <w:rPr>
          <w:color w:val="231F20"/>
        </w:rPr>
        <w:t>the most benefit: water use is limited by both inflow to the reservoir and by a use cap specified in the entitlement. Environmental flows may also provide some benefits to flow-dependent values in the reach between She Oaks Weir and the confluence with the Barwon River.</w:t>
      </w:r>
    </w:p>
    <w:p w:rsidR="00CD0057" w:rsidRDefault="00CD0057">
      <w:pPr>
        <w:rPr>
          <w:sz w:val="20"/>
          <w:szCs w:val="20"/>
        </w:rPr>
      </w:pPr>
      <w:r>
        <w:rPr>
          <w:b/>
          <w:bCs/>
          <w:sz w:val="20"/>
          <w:szCs w:val="20"/>
        </w:rPr>
        <w:br w:type="page"/>
      </w:r>
    </w:p>
    <w:p w:rsidR="006A7A3F" w:rsidRDefault="00BC7372">
      <w:pPr>
        <w:pStyle w:val="Heading4"/>
      </w:pPr>
      <w:r>
        <w:rPr>
          <w:color w:val="231F20"/>
        </w:rPr>
        <w:t>Environmental values</w:t>
      </w:r>
    </w:p>
    <w:p w:rsidR="006A7A3F" w:rsidRDefault="00BC7372">
      <w:pPr>
        <w:pStyle w:val="BodyText"/>
        <w:spacing w:before="58" w:line="249" w:lineRule="auto"/>
        <w:ind w:right="451"/>
      </w:pPr>
      <w:r>
        <w:rPr>
          <w:color w:val="231F20"/>
        </w:rPr>
        <w:t>The Moorabool river is a highly flow-stressed system, but it does retain significant environmental values. The river is home to native fish species including the Australian grayling, river blackfish, Australian smelt, flat-headed gudgeon, southern pygmy perch, short-finned eel, spotted galaxias, and tupong. The system also contains extensive areas of endangered remnant vegetation including streambank shrubland and streamside woodland ecological vegetation communities. Platypus, rakali (water rats) and a range of waterbugs are also present. The Moorabool River flows into the Barwon River, connecting it to the Ramsar-listed lower Barwon wetlands.</w:t>
      </w:r>
    </w:p>
    <w:p w:rsidR="006A7A3F" w:rsidRDefault="006A7A3F">
      <w:pPr>
        <w:pStyle w:val="BodyText"/>
        <w:spacing w:before="4"/>
        <w:ind w:left="0"/>
      </w:pPr>
    </w:p>
    <w:p w:rsidR="006A7A3F" w:rsidRDefault="00BC7372">
      <w:pPr>
        <w:pStyle w:val="Heading4"/>
      </w:pPr>
      <w:r>
        <w:rPr>
          <w:color w:val="231F20"/>
        </w:rPr>
        <w:t>Environmental watering objectives in the Moorabool River</w:t>
      </w:r>
    </w:p>
    <w:p w:rsidR="006A7A3F" w:rsidRDefault="006A7A3F">
      <w:pPr>
        <w:pStyle w:val="BodyText"/>
        <w:spacing w:before="6"/>
        <w:ind w:left="0"/>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960"/>
        </w:trPr>
        <w:tc>
          <w:tcPr>
            <w:tcW w:w="789" w:type="dxa"/>
            <w:tcBorders>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4"/>
              <w:ind w:left="0"/>
              <w:rPr>
                <w:b/>
                <w:sz w:val="24"/>
              </w:rPr>
            </w:pPr>
          </w:p>
          <w:p w:rsidR="006A7A3F" w:rsidRDefault="00BC7372">
            <w:pPr>
              <w:pStyle w:val="TableParagraph"/>
              <w:ind w:left="178"/>
              <w:rPr>
                <w:sz w:val="20"/>
              </w:rPr>
            </w:pPr>
            <w:r>
              <w:rPr>
                <w:noProof/>
                <w:sz w:val="20"/>
              </w:rPr>
              <w:drawing>
                <wp:inline distT="0" distB="0" distL="0" distR="0">
                  <wp:extent cx="314171" cy="310896"/>
                  <wp:effectExtent l="0" t="0" r="0" b="0"/>
                  <wp:docPr id="563"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9.jpeg"/>
                          <pic:cNvPicPr/>
                        </pic:nvPicPr>
                        <pic:blipFill>
                          <a:blip r:embed="rId31" cstate="print"/>
                          <a:stretch>
                            <a:fillRect/>
                          </a:stretch>
                        </pic:blipFill>
                        <pic:spPr>
                          <a:xfrm>
                            <a:off x="0" y="0"/>
                            <a:ext cx="314171"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36" w:line="261" w:lineRule="auto"/>
              <w:ind w:left="118" w:right="235"/>
              <w:rPr>
                <w:sz w:val="16"/>
              </w:rPr>
            </w:pPr>
            <w:r>
              <w:rPr>
                <w:color w:val="231F20"/>
                <w:sz w:val="16"/>
              </w:rPr>
              <w:t>Improve and increase the distribution, abundance and diversity of migratory species (tupong, short- finned eel, common galaxias, spotted galaxias, short-headed lamprey and Australian grayling)</w:t>
            </w:r>
          </w:p>
          <w:p w:rsidR="006A7A3F" w:rsidRDefault="00BC7372">
            <w:pPr>
              <w:pStyle w:val="TableParagraph"/>
              <w:spacing w:before="111" w:line="261" w:lineRule="auto"/>
              <w:ind w:left="118" w:right="128"/>
              <w:rPr>
                <w:sz w:val="16"/>
              </w:rPr>
            </w:pPr>
            <w:r>
              <w:rPr>
                <w:color w:val="231F20"/>
                <w:sz w:val="16"/>
              </w:rPr>
              <w:t>Maintain and increase the distribution, abundance and diversity of non-migratory species (flat-headed gudgeon, Australian smelt, southern pygmy perch and river blackfish)</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565"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336" w:lineRule="auto"/>
              <w:ind w:left="118" w:right="1061"/>
              <w:rPr>
                <w:sz w:val="16"/>
              </w:rPr>
            </w:pPr>
            <w:r>
              <w:rPr>
                <w:color w:val="231F20"/>
                <w:sz w:val="16"/>
              </w:rPr>
              <w:t>Maintain channel form and processes Maintain physical habitat diversity</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after="1"/>
              <w:ind w:left="0"/>
              <w:rPr>
                <w:b/>
                <w:sz w:val="15"/>
              </w:rPr>
            </w:pPr>
          </w:p>
          <w:p w:rsidR="006A7A3F" w:rsidRDefault="00BC7372">
            <w:pPr>
              <w:pStyle w:val="TableParagraph"/>
              <w:ind w:left="178"/>
              <w:rPr>
                <w:sz w:val="20"/>
              </w:rPr>
            </w:pPr>
            <w:r>
              <w:rPr>
                <w:noProof/>
                <w:sz w:val="20"/>
              </w:rPr>
              <w:drawing>
                <wp:inline distT="0" distB="0" distL="0" distR="0">
                  <wp:extent cx="314168" cy="310896"/>
                  <wp:effectExtent l="0" t="0" r="0" b="0"/>
                  <wp:docPr id="567"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45"/>
              <w:rPr>
                <w:sz w:val="16"/>
              </w:rPr>
            </w:pPr>
            <w:r>
              <w:rPr>
                <w:color w:val="231F20"/>
                <w:sz w:val="16"/>
              </w:rPr>
              <w:t>Maintain and improve a self-sustaining breeding population of platypus and support the dispersal of juveniles and the movement of adults</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after="1"/>
              <w:ind w:left="0"/>
              <w:rPr>
                <w:b/>
                <w:sz w:val="15"/>
              </w:rPr>
            </w:pPr>
          </w:p>
          <w:p w:rsidR="006A7A3F" w:rsidRDefault="00BC7372">
            <w:pPr>
              <w:pStyle w:val="TableParagraph"/>
              <w:ind w:left="178"/>
              <w:rPr>
                <w:sz w:val="20"/>
              </w:rPr>
            </w:pPr>
            <w:r>
              <w:rPr>
                <w:noProof/>
                <w:sz w:val="20"/>
              </w:rPr>
              <w:drawing>
                <wp:inline distT="0" distB="0" distL="0" distR="0">
                  <wp:extent cx="314169" cy="310896"/>
                  <wp:effectExtent l="0" t="0" r="0" b="0"/>
                  <wp:docPr id="56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1.jpeg"/>
                          <pic:cNvPicPr/>
                        </pic:nvPicPr>
                        <pic:blipFill>
                          <a:blip r:embed="rId33" cstate="print"/>
                          <a:stretch>
                            <a:fillRect/>
                          </a:stretch>
                        </pic:blipFill>
                        <pic:spPr>
                          <a:xfrm>
                            <a:off x="0" y="0"/>
                            <a:ext cx="314169"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252"/>
              <w:rPr>
                <w:sz w:val="16"/>
              </w:rPr>
            </w:pPr>
            <w:r>
              <w:rPr>
                <w:color w:val="231F20"/>
                <w:sz w:val="16"/>
              </w:rPr>
              <w:t>Maintain in-stream macrophyte communities Maintain streamside vegetation communities and promote recruitment</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571"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Pr>
                <w:sz w:val="16"/>
              </w:rPr>
            </w:pPr>
            <w:r>
              <w:rPr>
                <w:color w:val="231F20"/>
                <w:sz w:val="16"/>
              </w:rPr>
              <w:t>Maintain the abundance and diversity of waterbug communities</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57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26"/>
              <w:ind w:left="118"/>
              <w:rPr>
                <w:sz w:val="16"/>
              </w:rPr>
            </w:pPr>
            <w:r>
              <w:rPr>
                <w:color w:val="231F20"/>
                <w:sz w:val="16"/>
              </w:rPr>
              <w:t>Maintain water quality</w:t>
            </w:r>
          </w:p>
          <w:p w:rsidR="006A7A3F" w:rsidRDefault="00BC7372">
            <w:pPr>
              <w:pStyle w:val="TableParagraph"/>
              <w:spacing w:before="73"/>
              <w:ind w:left="118"/>
              <w:rPr>
                <w:sz w:val="16"/>
              </w:rPr>
            </w:pPr>
            <w:r>
              <w:rPr>
                <w:color w:val="231F20"/>
                <w:sz w:val="16"/>
              </w:rPr>
              <w:t>Prevent hypoxic blackwater events</w:t>
            </w:r>
          </w:p>
        </w:tc>
      </w:tr>
    </w:tbl>
    <w:p w:rsidR="006A7A3F" w:rsidRDefault="00BC7372">
      <w:pPr>
        <w:spacing w:before="201"/>
        <w:ind w:left="210"/>
        <w:rPr>
          <w:b/>
          <w:sz w:val="24"/>
        </w:rPr>
      </w:pPr>
      <w:r>
        <w:rPr>
          <w:b/>
          <w:color w:val="231F20"/>
          <w:sz w:val="24"/>
        </w:rPr>
        <w:t>Traditional Owner cultural values and uses</w:t>
      </w:r>
    </w:p>
    <w:p w:rsidR="006A7A3F" w:rsidRDefault="00BC7372">
      <w:pPr>
        <w:pStyle w:val="BodyText"/>
        <w:spacing w:before="59" w:line="249" w:lineRule="auto"/>
        <w:ind w:right="100"/>
      </w:pPr>
      <w:r>
        <w:rPr>
          <w:color w:val="231F20"/>
        </w:rPr>
        <w:t>The Wadawurrung are Traditional Owners of the land of the Moorabool River and parts of the Barwon, Leigh and Yarrowee rivers. Eastern Marr Aboriginal Corporation also have Country within areas of the Barwon River.</w:t>
      </w:r>
    </w:p>
    <w:p w:rsidR="006A7A3F" w:rsidRDefault="00BC7372">
      <w:pPr>
        <w:pStyle w:val="BodyText"/>
        <w:spacing w:before="171" w:line="249" w:lineRule="auto"/>
        <w:ind w:right="100"/>
      </w:pPr>
      <w:r>
        <w:rPr>
          <w:color w:val="231F20"/>
        </w:rPr>
        <w:t>During 2019, the Wadawurrung partnered with Corangamite CMA to complete an environmental flows study for the upper Barwon, Yarrowee and Leigh rivers. Environmental flows studies are essential technical references for river managers which identify the types of flows needed to support environmental and cultural values in a river system.</w:t>
      </w:r>
    </w:p>
    <w:p w:rsidR="006A7A3F" w:rsidRDefault="00BC7372">
      <w:pPr>
        <w:pStyle w:val="BodyText"/>
        <w:spacing w:before="173" w:line="249" w:lineRule="auto"/>
        <w:ind w:right="100"/>
      </w:pPr>
      <w:r>
        <w:rPr>
          <w:color w:val="231F20"/>
        </w:rPr>
        <w:t>The cultural values identified in the flows study are applicable to all waterways within Wadawurrung Country, including the Moorabool River. The values include:</w:t>
      </w:r>
    </w:p>
    <w:p w:rsidR="006A7A3F" w:rsidRDefault="00BC7372" w:rsidP="009B6917">
      <w:pPr>
        <w:pStyle w:val="ListParagraph"/>
        <w:numPr>
          <w:ilvl w:val="0"/>
          <w:numId w:val="1419"/>
        </w:numPr>
        <w:tabs>
          <w:tab w:val="left" w:pos="493"/>
          <w:tab w:val="left" w:pos="494"/>
        </w:tabs>
        <w:spacing w:before="115" w:line="249" w:lineRule="auto"/>
        <w:ind w:right="640"/>
        <w:rPr>
          <w:sz w:val="20"/>
        </w:rPr>
      </w:pPr>
      <w:r>
        <w:rPr>
          <w:color w:val="231F20"/>
          <w:sz w:val="20"/>
        </w:rPr>
        <w:t>significant aquatic species such as buniya (eels), ware-up (river blackfish), tark (common reed) and bal-yun (cumbungi) which are traditional food, materials or medicinal</w:t>
      </w:r>
      <w:r>
        <w:rPr>
          <w:color w:val="231F20"/>
          <w:spacing w:val="-4"/>
          <w:sz w:val="20"/>
        </w:rPr>
        <w:t xml:space="preserve"> </w:t>
      </w:r>
      <w:r>
        <w:rPr>
          <w:color w:val="231F20"/>
          <w:sz w:val="20"/>
        </w:rPr>
        <w:t>sources</w:t>
      </w:r>
    </w:p>
    <w:p w:rsidR="006A7A3F" w:rsidRDefault="00BC7372" w:rsidP="009B6917">
      <w:pPr>
        <w:pStyle w:val="ListParagraph"/>
        <w:numPr>
          <w:ilvl w:val="0"/>
          <w:numId w:val="1419"/>
        </w:numPr>
        <w:tabs>
          <w:tab w:val="left" w:pos="493"/>
          <w:tab w:val="left" w:pos="494"/>
        </w:tabs>
        <w:spacing w:before="87" w:line="249" w:lineRule="auto"/>
        <w:ind w:right="761"/>
        <w:rPr>
          <w:sz w:val="20"/>
        </w:rPr>
      </w:pPr>
      <w:r>
        <w:rPr>
          <w:color w:val="231F20"/>
          <w:sz w:val="20"/>
        </w:rPr>
        <w:t>waterway confluences and deep pools which are places for meeting, ceremonies and trade and mark clan boundaries.</w:t>
      </w:r>
    </w:p>
    <w:p w:rsidR="00CD0057" w:rsidRDefault="00CD0057">
      <w:pPr>
        <w:rPr>
          <w:color w:val="231F20"/>
          <w:sz w:val="20"/>
          <w:szCs w:val="20"/>
        </w:rPr>
      </w:pPr>
      <w:r>
        <w:rPr>
          <w:color w:val="231F20"/>
        </w:rPr>
        <w:br w:type="page"/>
      </w:r>
    </w:p>
    <w:p w:rsidR="006A7A3F" w:rsidRDefault="00BC7372" w:rsidP="00CD0057">
      <w:pPr>
        <w:pStyle w:val="BodyText"/>
        <w:spacing w:before="171" w:after="120" w:line="250" w:lineRule="auto"/>
        <w:ind w:right="102"/>
      </w:pPr>
      <w:r>
        <w:rPr>
          <w:color w:val="231F20"/>
        </w:rPr>
        <w:t>Potential watering actions for the Moorabool River that support these values are identified in Table 3.6.1 using the icon below.</w:t>
      </w:r>
    </w:p>
    <w:tbl>
      <w:tblPr>
        <w:tblW w:w="0" w:type="auto"/>
        <w:tblInd w:w="217" w:type="dxa"/>
        <w:tblLayout w:type="fixed"/>
        <w:tblCellMar>
          <w:left w:w="0" w:type="dxa"/>
          <w:right w:w="0" w:type="dxa"/>
        </w:tblCellMar>
        <w:tblLook w:val="01E0" w:firstRow="1" w:lastRow="1" w:firstColumn="1" w:lastColumn="1" w:noHBand="0" w:noVBand="0"/>
      </w:tblPr>
      <w:tblGrid>
        <w:gridCol w:w="789"/>
        <w:gridCol w:w="3861"/>
      </w:tblGrid>
      <w:tr w:rsidR="006A7A3F">
        <w:trPr>
          <w:trHeight w:val="1205"/>
        </w:trPr>
        <w:tc>
          <w:tcPr>
            <w:tcW w:w="789" w:type="dxa"/>
            <w:shd w:val="clear" w:color="auto" w:fill="E6E7E8"/>
          </w:tcPr>
          <w:p w:rsidR="006A7A3F" w:rsidRDefault="006A7A3F">
            <w:pPr>
              <w:pStyle w:val="TableParagraph"/>
              <w:ind w:left="0"/>
              <w:rPr>
                <w:sz w:val="20"/>
              </w:rPr>
            </w:pPr>
          </w:p>
          <w:p w:rsidR="006A7A3F" w:rsidRDefault="006A7A3F">
            <w:pPr>
              <w:pStyle w:val="TableParagraph"/>
              <w:spacing w:before="5"/>
              <w:ind w:left="0"/>
              <w:rPr>
                <w:sz w:val="10"/>
              </w:rPr>
            </w:pPr>
          </w:p>
          <w:p w:rsidR="006A7A3F" w:rsidRDefault="00BC7372">
            <w:pPr>
              <w:pStyle w:val="TableParagraph"/>
              <w:ind w:left="180"/>
              <w:rPr>
                <w:sz w:val="20"/>
              </w:rPr>
            </w:pPr>
            <w:r>
              <w:rPr>
                <w:noProof/>
                <w:sz w:val="20"/>
              </w:rPr>
              <w:drawing>
                <wp:inline distT="0" distB="0" distL="0" distR="0">
                  <wp:extent cx="313944" cy="313944"/>
                  <wp:effectExtent l="0" t="0" r="0" b="0"/>
                  <wp:docPr id="575"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jpeg"/>
                          <pic:cNvPicPr/>
                        </pic:nvPicPr>
                        <pic:blipFill>
                          <a:blip r:embed="rId18" cstate="print"/>
                          <a:stretch>
                            <a:fillRect/>
                          </a:stretch>
                        </pic:blipFill>
                        <pic:spPr>
                          <a:xfrm>
                            <a:off x="0" y="0"/>
                            <a:ext cx="313944" cy="313944"/>
                          </a:xfrm>
                          <a:prstGeom prst="rect">
                            <a:avLst/>
                          </a:prstGeom>
                        </pic:spPr>
                      </pic:pic>
                    </a:graphicData>
                  </a:graphic>
                </wp:inline>
              </w:drawing>
            </w:r>
          </w:p>
        </w:tc>
        <w:tc>
          <w:tcPr>
            <w:tcW w:w="3861" w:type="dxa"/>
            <w:shd w:val="clear" w:color="auto" w:fill="E6E7E8"/>
          </w:tcPr>
          <w:p w:rsidR="006A7A3F" w:rsidRDefault="00BC7372">
            <w:pPr>
              <w:pStyle w:val="TableParagraph"/>
              <w:spacing w:before="120" w:line="249" w:lineRule="auto"/>
              <w:ind w:left="118" w:right="63"/>
              <w:rPr>
                <w:sz w:val="20"/>
              </w:rPr>
            </w:pPr>
            <w:r>
              <w:rPr>
                <w:color w:val="231F20"/>
                <w:sz w:val="20"/>
              </w:rPr>
              <w:t>Watering planned and/or delivered in partnership with Traditional Owners to support Aboriginal cultural values and uses</w:t>
            </w:r>
          </w:p>
        </w:tc>
      </w:tr>
    </w:tbl>
    <w:p w:rsidR="006A7A3F" w:rsidRDefault="006A7A3F">
      <w:pPr>
        <w:pStyle w:val="BodyText"/>
        <w:spacing w:before="10"/>
        <w:ind w:left="0"/>
        <w:rPr>
          <w:sz w:val="8"/>
        </w:rPr>
      </w:pPr>
    </w:p>
    <w:p w:rsidR="006A7A3F" w:rsidRDefault="00BC7372">
      <w:pPr>
        <w:pStyle w:val="Heading4"/>
        <w:spacing w:before="92"/>
      </w:pPr>
      <w:r>
        <w:rPr>
          <w:color w:val="231F20"/>
        </w:rPr>
        <w:t>Social, recreational and economic values and uses</w:t>
      </w:r>
    </w:p>
    <w:p w:rsidR="006A7A3F" w:rsidRDefault="00BC7372">
      <w:pPr>
        <w:pStyle w:val="BodyText"/>
        <w:spacing w:before="58" w:line="249" w:lineRule="auto"/>
        <w:ind w:right="100"/>
      </w:pPr>
      <w:r>
        <w:rPr>
          <w:color w:val="231F20"/>
        </w:rPr>
        <w:t>In planning the potential watering actions in Table 3.6.1, Corangamite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kayaking, canoeing, fishing and</w:t>
      </w:r>
      <w:r>
        <w:rPr>
          <w:color w:val="231F20"/>
          <w:spacing w:val="-5"/>
          <w:sz w:val="20"/>
        </w:rPr>
        <w:t xml:space="preserve"> </w:t>
      </w:r>
      <w:r>
        <w:rPr>
          <w:color w:val="231F20"/>
          <w:sz w:val="20"/>
        </w:rPr>
        <w:t>swimming)</w:t>
      </w:r>
    </w:p>
    <w:p w:rsidR="006A7A3F" w:rsidRDefault="00BC7372" w:rsidP="009B6917">
      <w:pPr>
        <w:pStyle w:val="ListParagraph"/>
        <w:numPr>
          <w:ilvl w:val="0"/>
          <w:numId w:val="1419"/>
        </w:numPr>
        <w:tabs>
          <w:tab w:val="left" w:pos="493"/>
          <w:tab w:val="left" w:pos="494"/>
        </w:tabs>
        <w:spacing w:line="249" w:lineRule="auto"/>
        <w:ind w:right="785"/>
        <w:rPr>
          <w:sz w:val="20"/>
        </w:rPr>
      </w:pPr>
      <w:r>
        <w:rPr>
          <w:color w:val="231F20"/>
          <w:sz w:val="20"/>
        </w:rPr>
        <w:t>riverside recreation and amenity (such as birdwatching, walking, camping, picnicking and using parks and lookouts)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socio-economic</w:t>
      </w:r>
      <w:r>
        <w:rPr>
          <w:color w:val="231F20"/>
          <w:spacing w:val="-3"/>
          <w:sz w:val="20"/>
        </w:rPr>
        <w:t xml:space="preserve"> </w:t>
      </w:r>
      <w:r>
        <w:rPr>
          <w:color w:val="231F20"/>
          <w:sz w:val="20"/>
        </w:rPr>
        <w:t>benefits</w:t>
      </w:r>
      <w:r>
        <w:rPr>
          <w:color w:val="231F20"/>
          <w:spacing w:val="-3"/>
          <w:sz w:val="20"/>
        </w:rPr>
        <w:t xml:space="preserve"> </w:t>
      </w:r>
      <w:r>
        <w:rPr>
          <w:color w:val="231F20"/>
          <w:sz w:val="20"/>
        </w:rPr>
        <w:t>(such</w:t>
      </w:r>
      <w:r>
        <w:rPr>
          <w:color w:val="231F20"/>
          <w:spacing w:val="-3"/>
          <w:sz w:val="20"/>
        </w:rPr>
        <w:t xml:space="preserve"> </w:t>
      </w:r>
      <w:r>
        <w:rPr>
          <w:color w:val="231F20"/>
          <w:sz w:val="20"/>
        </w:rPr>
        <w:t>as</w:t>
      </w:r>
      <w:r>
        <w:rPr>
          <w:color w:val="231F20"/>
          <w:spacing w:val="-3"/>
          <w:sz w:val="20"/>
        </w:rPr>
        <w:t xml:space="preserve"> </w:t>
      </w:r>
      <w:r>
        <w:rPr>
          <w:color w:val="231F20"/>
          <w:sz w:val="20"/>
        </w:rPr>
        <w:t>diverters</w:t>
      </w:r>
      <w:r>
        <w:rPr>
          <w:color w:val="231F20"/>
          <w:spacing w:val="-4"/>
          <w:sz w:val="20"/>
        </w:rPr>
        <w:t xml:space="preserve"> </w:t>
      </w:r>
      <w:r>
        <w:rPr>
          <w:color w:val="231F20"/>
          <w:sz w:val="20"/>
        </w:rPr>
        <w:t>for</w:t>
      </w:r>
      <w:r>
        <w:rPr>
          <w:color w:val="231F20"/>
          <w:spacing w:val="-2"/>
          <w:sz w:val="20"/>
        </w:rPr>
        <w:t xml:space="preserve"> </w:t>
      </w:r>
      <w:r>
        <w:rPr>
          <w:color w:val="231F20"/>
          <w:sz w:val="20"/>
        </w:rPr>
        <w:t>irrigation,</w:t>
      </w:r>
      <w:r>
        <w:rPr>
          <w:color w:val="231F20"/>
          <w:spacing w:val="-4"/>
          <w:sz w:val="20"/>
        </w:rPr>
        <w:t xml:space="preserve"> </w:t>
      </w:r>
      <w:r>
        <w:rPr>
          <w:color w:val="231F20"/>
          <w:sz w:val="20"/>
        </w:rPr>
        <w:t>domestic</w:t>
      </w:r>
      <w:r>
        <w:rPr>
          <w:color w:val="231F20"/>
          <w:spacing w:val="-3"/>
          <w:sz w:val="20"/>
        </w:rPr>
        <w:t xml:space="preserve"> </w:t>
      </w:r>
      <w:r>
        <w:rPr>
          <w:color w:val="231F20"/>
          <w:sz w:val="20"/>
        </w:rPr>
        <w:t>and</w:t>
      </w:r>
      <w:r>
        <w:rPr>
          <w:color w:val="231F20"/>
          <w:spacing w:val="-4"/>
          <w:sz w:val="20"/>
        </w:rPr>
        <w:t xml:space="preserve"> </w:t>
      </w:r>
      <w:r>
        <w:rPr>
          <w:color w:val="231F20"/>
          <w:sz w:val="20"/>
        </w:rPr>
        <w:t>stock</w:t>
      </w:r>
      <w:r>
        <w:rPr>
          <w:color w:val="231F20"/>
          <w:spacing w:val="-2"/>
          <w:sz w:val="20"/>
        </w:rPr>
        <w:t xml:space="preserve"> </w:t>
      </w:r>
      <w:r>
        <w:rPr>
          <w:color w:val="231F20"/>
          <w:sz w:val="20"/>
        </w:rPr>
        <w:t>uses,</w:t>
      </w:r>
      <w:r>
        <w:rPr>
          <w:color w:val="231F20"/>
          <w:spacing w:val="-4"/>
          <w:sz w:val="20"/>
        </w:rPr>
        <w:t xml:space="preserve"> </w:t>
      </w:r>
      <w:r>
        <w:rPr>
          <w:color w:val="231F20"/>
          <w:sz w:val="20"/>
        </w:rPr>
        <w:t>and</w:t>
      </w:r>
      <w:r>
        <w:rPr>
          <w:color w:val="231F20"/>
          <w:spacing w:val="-3"/>
          <w:sz w:val="20"/>
        </w:rPr>
        <w:t xml:space="preserve"> </w:t>
      </w:r>
      <w:r>
        <w:rPr>
          <w:color w:val="231F20"/>
          <w:sz w:val="20"/>
        </w:rPr>
        <w:t>Geelong’s</w:t>
      </w:r>
      <w:r>
        <w:rPr>
          <w:color w:val="231F20"/>
          <w:spacing w:val="-3"/>
          <w:sz w:val="20"/>
        </w:rPr>
        <w:t xml:space="preserve"> </w:t>
      </w:r>
      <w:r>
        <w:rPr>
          <w:color w:val="231F20"/>
          <w:sz w:val="20"/>
        </w:rPr>
        <w:t>water</w:t>
      </w:r>
      <w:r>
        <w:rPr>
          <w:color w:val="231F20"/>
          <w:spacing w:val="-3"/>
          <w:sz w:val="20"/>
        </w:rPr>
        <w:t xml:space="preserve"> </w:t>
      </w:r>
      <w:r>
        <w:rPr>
          <w:color w:val="231F20"/>
          <w:sz w:val="20"/>
        </w:rPr>
        <w:t>supply).</w:t>
      </w:r>
    </w:p>
    <w:p w:rsidR="006A7A3F" w:rsidRDefault="006A7A3F">
      <w:pPr>
        <w:pStyle w:val="BodyText"/>
        <w:spacing w:before="9"/>
        <w:ind w:left="0"/>
      </w:pPr>
    </w:p>
    <w:p w:rsidR="006A7A3F" w:rsidRDefault="00BC7372">
      <w:pPr>
        <w:pStyle w:val="Heading4"/>
      </w:pPr>
      <w:r>
        <w:rPr>
          <w:color w:val="231F20"/>
        </w:rPr>
        <w:t>Recent conditions</w:t>
      </w:r>
    </w:p>
    <w:p w:rsidR="006A7A3F" w:rsidRDefault="00BC7372">
      <w:pPr>
        <w:pStyle w:val="BodyText"/>
        <w:spacing w:before="58" w:line="249" w:lineRule="auto"/>
        <w:ind w:right="218"/>
      </w:pPr>
      <w:r>
        <w:rPr>
          <w:color w:val="231F20"/>
        </w:rPr>
        <w:t>Total rainfall in the Moorabool catchment in 2019–20 was slightly below the long-term average, but there was significant variation between and within seasons. Winter 2019 was wetter than average, and Lal Lal Reservoir filled to 99 percent capacity in November 2019. The second half of spring and the first half of summer were drier than average, but February through to April 2020 saw a return to wetter-than-average conditions.</w:t>
      </w:r>
    </w:p>
    <w:p w:rsidR="006A7A3F" w:rsidRDefault="00BC7372">
      <w:pPr>
        <w:pStyle w:val="BodyText"/>
        <w:spacing w:before="174" w:line="249" w:lineRule="auto"/>
        <w:ind w:right="430"/>
      </w:pPr>
      <w:r>
        <w:rPr>
          <w:color w:val="231F20"/>
        </w:rPr>
        <w:t>The wet winter provided some minor and moderate peaks in discharge in July and August 2019 as inflows continued to run off the catchment. As such, the recommended minimum low flows for winter and spring were met by natural inflows in 2019–20. Water for the environment was used to deliver freshes in August and October 2019, maintain low flows in reaches 3a and 3b throughout summer and autumn and to deliver targeted freshes throughout the system in summer and autumn.</w:t>
      </w:r>
    </w:p>
    <w:p w:rsidR="006A7A3F" w:rsidRDefault="00BC7372">
      <w:pPr>
        <w:pStyle w:val="BodyText"/>
        <w:spacing w:before="174" w:line="249" w:lineRule="auto"/>
        <w:ind w:right="297"/>
      </w:pPr>
      <w:r>
        <w:rPr>
          <w:color w:val="231F20"/>
        </w:rPr>
        <w:t>The Moorabool River near Batesford (reach 4) stopped flowing in January 2020. This part of the river is directly connected to the underlying groundwater table and often ceases to flow in summer. As a result, low flow releases from Lal Lal Reservoir in January were increased from five ML per day to 10 ML per day over a week to extend flow into reach 4. Water for the environment was also used to deliver freshes in late summer and autumn 2020 to cue the downstream migration of native fish, support platypus dispersal, flush the system and water the fringing vegetation.</w:t>
      </w:r>
    </w:p>
    <w:p w:rsidR="00CD0057" w:rsidRDefault="00CD0057">
      <w:pPr>
        <w:rPr>
          <w:sz w:val="20"/>
          <w:szCs w:val="20"/>
        </w:rPr>
      </w:pPr>
      <w:r>
        <w:rPr>
          <w:b/>
          <w:bCs/>
          <w:sz w:val="20"/>
          <w:szCs w:val="20"/>
        </w:rPr>
        <w:br w:type="page"/>
      </w:r>
    </w:p>
    <w:p w:rsidR="006A7A3F" w:rsidRDefault="00BC7372">
      <w:pPr>
        <w:pStyle w:val="Heading4"/>
      </w:pPr>
      <w:r>
        <w:rPr>
          <w:color w:val="231F20"/>
        </w:rPr>
        <w:t>Scope of environmental watering</w:t>
      </w:r>
    </w:p>
    <w:p w:rsidR="006A7A3F" w:rsidRDefault="00BC7372">
      <w:pPr>
        <w:pStyle w:val="BodyText"/>
        <w:spacing w:before="58" w:line="249" w:lineRule="auto"/>
        <w:ind w:right="100"/>
      </w:pPr>
      <w:r>
        <w:rPr>
          <w:color w:val="231F20"/>
        </w:rPr>
        <w:t>Table 3.6.1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9"/>
        <w:ind w:left="210"/>
        <w:rPr>
          <w:b/>
          <w:sz w:val="18"/>
        </w:rPr>
      </w:pPr>
      <w:r>
        <w:rPr>
          <w:b/>
          <w:color w:val="231F20"/>
          <w:sz w:val="18"/>
        </w:rPr>
        <w:t>Table 3.6.1 Potential environmental watering actions and objectives for the Moorabool River</w:t>
      </w:r>
    </w:p>
    <w:p w:rsidR="006A7A3F" w:rsidRDefault="006A7A3F">
      <w:pPr>
        <w:pStyle w:val="BodyText"/>
        <w:spacing w:before="11"/>
        <w:ind w:left="0"/>
        <w:rPr>
          <w:b/>
          <w:sz w:val="8"/>
        </w:rPr>
      </w:pPr>
    </w:p>
    <w:tbl>
      <w:tblPr>
        <w:tblW w:w="0" w:type="auto"/>
        <w:tblInd w:w="2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2"/>
        </w:trPr>
        <w:tc>
          <w:tcPr>
            <w:tcW w:w="2381" w:type="dxa"/>
            <w:tcBorders>
              <w:top w:val="nil"/>
              <w:left w:val="nil"/>
              <w:bottom w:val="nil"/>
              <w:right w:val="nil"/>
            </w:tcBorders>
            <w:shd w:val="clear" w:color="auto" w:fill="231F20"/>
          </w:tcPr>
          <w:p w:rsidR="006A7A3F" w:rsidRDefault="00BC7372">
            <w:pPr>
              <w:pStyle w:val="TableParagraph"/>
              <w:spacing w:before="75" w:line="254" w:lineRule="auto"/>
              <w:ind w:left="90" w:right="230"/>
              <w:rPr>
                <w:b/>
                <w:sz w:val="18"/>
              </w:rPr>
            </w:pPr>
            <w:r>
              <w:rPr>
                <w:b/>
                <w:color w:val="FFFFFF"/>
                <w:sz w:val="18"/>
              </w:rPr>
              <w:t>Potential environmental watering action</w:t>
            </w:r>
          </w:p>
        </w:tc>
        <w:tc>
          <w:tcPr>
            <w:tcW w:w="6236" w:type="dxa"/>
            <w:tcBorders>
              <w:top w:val="nil"/>
              <w:left w:val="nil"/>
              <w:bottom w:val="nil"/>
              <w:right w:val="nil"/>
            </w:tcBorders>
            <w:shd w:val="clear" w:color="auto" w:fill="231F20"/>
          </w:tcPr>
          <w:p w:rsidR="006A7A3F" w:rsidRDefault="00BC7372">
            <w:pPr>
              <w:pStyle w:val="TableParagraph"/>
              <w:spacing w:before="75"/>
              <w:ind w:left="90"/>
              <w:rPr>
                <w:b/>
                <w:sz w:val="18"/>
              </w:rPr>
            </w:pPr>
            <w:r>
              <w:rPr>
                <w:b/>
                <w:color w:val="FFFFFF"/>
                <w:sz w:val="18"/>
              </w:rPr>
              <w:t>Functional watering objectives</w:t>
            </w:r>
          </w:p>
        </w:tc>
        <w:tc>
          <w:tcPr>
            <w:tcW w:w="1558" w:type="dxa"/>
            <w:gridSpan w:val="2"/>
            <w:tcBorders>
              <w:top w:val="nil"/>
              <w:left w:val="nil"/>
              <w:bottom w:val="nil"/>
              <w:right w:val="nil"/>
            </w:tcBorders>
            <w:shd w:val="clear" w:color="auto" w:fill="231F20"/>
          </w:tcPr>
          <w:p w:rsidR="006A7A3F" w:rsidRDefault="00BC7372">
            <w:pPr>
              <w:pStyle w:val="TableParagraph"/>
              <w:spacing w:before="75" w:line="254" w:lineRule="auto"/>
              <w:ind w:left="90" w:right="197"/>
              <w:rPr>
                <w:b/>
                <w:sz w:val="18"/>
              </w:rPr>
            </w:pPr>
            <w:r>
              <w:rPr>
                <w:b/>
                <w:color w:val="FFFFFF"/>
                <w:sz w:val="18"/>
              </w:rPr>
              <w:t>Environmental objectives</w:t>
            </w:r>
          </w:p>
        </w:tc>
      </w:tr>
      <w:tr w:rsidR="006A7A3F">
        <w:trPr>
          <w:trHeight w:val="625"/>
        </w:trPr>
        <w:tc>
          <w:tcPr>
            <w:tcW w:w="2381" w:type="dxa"/>
            <w:vMerge w:val="restart"/>
            <w:tcBorders>
              <w:top w:val="nil"/>
            </w:tcBorders>
          </w:tcPr>
          <w:p w:rsidR="006A7A3F" w:rsidRDefault="00BC7372">
            <w:pPr>
              <w:pStyle w:val="TableParagraph"/>
              <w:spacing w:before="74" w:line="261" w:lineRule="auto"/>
              <w:ind w:left="85" w:right="123"/>
              <w:rPr>
                <w:sz w:val="16"/>
              </w:rPr>
            </w:pPr>
            <w:r>
              <w:rPr>
                <w:color w:val="231F20"/>
                <w:sz w:val="16"/>
              </w:rPr>
              <w:t>Summer/autumn low flow (five ML/day continuous during December to May)</w:t>
            </w:r>
          </w:p>
        </w:tc>
        <w:tc>
          <w:tcPr>
            <w:tcW w:w="6236" w:type="dxa"/>
            <w:vMerge w:val="restart"/>
            <w:tcBorders>
              <w:top w:val="nil"/>
            </w:tcBorders>
          </w:tcPr>
          <w:p w:rsidR="006A7A3F" w:rsidRPr="00B408A4" w:rsidRDefault="00BC7372">
            <w:pPr>
              <w:pStyle w:val="TableParagraph"/>
              <w:numPr>
                <w:ilvl w:val="0"/>
                <w:numId w:val="1103"/>
              </w:numPr>
              <w:tabs>
                <w:tab w:val="left" w:pos="306"/>
              </w:tabs>
              <w:spacing w:before="70" w:line="254" w:lineRule="auto"/>
              <w:ind w:right="787"/>
              <w:rPr>
                <w:sz w:val="16"/>
                <w:szCs w:val="16"/>
              </w:rPr>
            </w:pPr>
            <w:r w:rsidRPr="00B408A4">
              <w:rPr>
                <w:color w:val="231F20"/>
                <w:sz w:val="16"/>
                <w:szCs w:val="16"/>
              </w:rPr>
              <w:t>Maintain pool and riffle habitats for fish, waterbugs, platypus</w:t>
            </w:r>
            <w:r w:rsidRPr="00B408A4">
              <w:rPr>
                <w:color w:val="231F20"/>
                <w:spacing w:val="-34"/>
                <w:sz w:val="16"/>
                <w:szCs w:val="16"/>
              </w:rPr>
              <w:t xml:space="preserve"> </w:t>
            </w:r>
            <w:r w:rsidRPr="00B408A4">
              <w:rPr>
                <w:color w:val="231F20"/>
                <w:sz w:val="16"/>
                <w:szCs w:val="16"/>
              </w:rPr>
              <w:t>and submerged aquatic</w:t>
            </w:r>
            <w:r w:rsidRPr="00B408A4">
              <w:rPr>
                <w:color w:val="231F20"/>
                <w:spacing w:val="-2"/>
                <w:sz w:val="16"/>
                <w:szCs w:val="16"/>
              </w:rPr>
              <w:t xml:space="preserve"> </w:t>
            </w:r>
            <w:r w:rsidRPr="00B408A4">
              <w:rPr>
                <w:color w:val="231F20"/>
                <w:sz w:val="16"/>
                <w:szCs w:val="16"/>
              </w:rPr>
              <w:t>vegetation</w:t>
            </w:r>
          </w:p>
          <w:p w:rsidR="006A7A3F" w:rsidRPr="00B408A4" w:rsidRDefault="00BC7372">
            <w:pPr>
              <w:pStyle w:val="TableParagraph"/>
              <w:numPr>
                <w:ilvl w:val="0"/>
                <w:numId w:val="1103"/>
              </w:numPr>
              <w:tabs>
                <w:tab w:val="left" w:pos="306"/>
              </w:tabs>
              <w:spacing w:before="87" w:line="254" w:lineRule="auto"/>
              <w:ind w:right="226"/>
              <w:rPr>
                <w:sz w:val="16"/>
                <w:szCs w:val="16"/>
              </w:rPr>
            </w:pPr>
            <w:r w:rsidRPr="00B408A4">
              <w:rPr>
                <w:color w:val="231F20"/>
                <w:sz w:val="16"/>
                <w:szCs w:val="16"/>
              </w:rPr>
              <w:t>Maintain water quality for biota during summer/autumn by reducing periods</w:t>
            </w:r>
            <w:r w:rsidRPr="00B408A4">
              <w:rPr>
                <w:color w:val="231F20"/>
                <w:spacing w:val="-5"/>
                <w:sz w:val="16"/>
                <w:szCs w:val="16"/>
              </w:rPr>
              <w:t xml:space="preserve"> </w:t>
            </w:r>
            <w:r w:rsidRPr="00B408A4">
              <w:rPr>
                <w:color w:val="231F20"/>
                <w:sz w:val="16"/>
                <w:szCs w:val="16"/>
              </w:rPr>
              <w:t>of</w:t>
            </w:r>
            <w:r w:rsidRPr="00B408A4">
              <w:rPr>
                <w:color w:val="231F20"/>
                <w:spacing w:val="-4"/>
                <w:sz w:val="16"/>
                <w:szCs w:val="16"/>
              </w:rPr>
              <w:t xml:space="preserve"> </w:t>
            </w:r>
            <w:r w:rsidRPr="00B408A4">
              <w:rPr>
                <w:color w:val="231F20"/>
                <w:sz w:val="16"/>
                <w:szCs w:val="16"/>
              </w:rPr>
              <w:t>low</w:t>
            </w:r>
            <w:r w:rsidRPr="00B408A4">
              <w:rPr>
                <w:color w:val="231F20"/>
                <w:spacing w:val="-4"/>
                <w:sz w:val="16"/>
                <w:szCs w:val="16"/>
              </w:rPr>
              <w:t xml:space="preserve"> </w:t>
            </w:r>
            <w:r w:rsidRPr="00B408A4">
              <w:rPr>
                <w:color w:val="231F20"/>
                <w:sz w:val="16"/>
                <w:szCs w:val="16"/>
              </w:rPr>
              <w:t>oxygen,</w:t>
            </w:r>
            <w:r w:rsidRPr="00B408A4">
              <w:rPr>
                <w:color w:val="231F20"/>
                <w:spacing w:val="-4"/>
                <w:sz w:val="16"/>
                <w:szCs w:val="16"/>
              </w:rPr>
              <w:t xml:space="preserve"> </w:t>
            </w:r>
            <w:r w:rsidRPr="00B408A4">
              <w:rPr>
                <w:color w:val="231F20"/>
                <w:sz w:val="16"/>
                <w:szCs w:val="16"/>
              </w:rPr>
              <w:t>high</w:t>
            </w:r>
            <w:r w:rsidRPr="00B408A4">
              <w:rPr>
                <w:color w:val="231F20"/>
                <w:spacing w:val="-5"/>
                <w:sz w:val="16"/>
                <w:szCs w:val="16"/>
              </w:rPr>
              <w:t xml:space="preserve"> </w:t>
            </w:r>
            <w:r w:rsidRPr="00B408A4">
              <w:rPr>
                <w:color w:val="231F20"/>
                <w:sz w:val="16"/>
                <w:szCs w:val="16"/>
              </w:rPr>
              <w:t>temperature</w:t>
            </w:r>
            <w:r w:rsidRPr="00B408A4">
              <w:rPr>
                <w:color w:val="231F20"/>
                <w:spacing w:val="-3"/>
                <w:sz w:val="16"/>
                <w:szCs w:val="16"/>
              </w:rPr>
              <w:t xml:space="preserve"> </w:t>
            </w:r>
            <w:r w:rsidRPr="00B408A4">
              <w:rPr>
                <w:color w:val="231F20"/>
                <w:sz w:val="16"/>
                <w:szCs w:val="16"/>
              </w:rPr>
              <w:t>and</w:t>
            </w:r>
            <w:r w:rsidRPr="00B408A4">
              <w:rPr>
                <w:color w:val="231F20"/>
                <w:spacing w:val="-4"/>
                <w:sz w:val="16"/>
                <w:szCs w:val="16"/>
              </w:rPr>
              <w:t xml:space="preserve"> </w:t>
            </w:r>
            <w:r w:rsidRPr="00B408A4">
              <w:rPr>
                <w:color w:val="231F20"/>
                <w:sz w:val="16"/>
                <w:szCs w:val="16"/>
              </w:rPr>
              <w:t>high</w:t>
            </w:r>
            <w:r w:rsidRPr="00B408A4">
              <w:rPr>
                <w:color w:val="231F20"/>
                <w:spacing w:val="-4"/>
                <w:sz w:val="16"/>
                <w:szCs w:val="16"/>
              </w:rPr>
              <w:t xml:space="preserve"> </w:t>
            </w:r>
            <w:r w:rsidRPr="00B408A4">
              <w:rPr>
                <w:color w:val="231F20"/>
                <w:sz w:val="16"/>
                <w:szCs w:val="16"/>
              </w:rPr>
              <w:t>electrical</w:t>
            </w:r>
            <w:r w:rsidRPr="00B408A4">
              <w:rPr>
                <w:color w:val="231F20"/>
                <w:spacing w:val="-5"/>
                <w:sz w:val="16"/>
                <w:szCs w:val="16"/>
              </w:rPr>
              <w:t xml:space="preserve"> </w:t>
            </w:r>
            <w:r w:rsidRPr="00B408A4">
              <w:rPr>
                <w:color w:val="231F20"/>
                <w:sz w:val="16"/>
                <w:szCs w:val="16"/>
              </w:rPr>
              <w:t>conductivity</w:t>
            </w:r>
          </w:p>
        </w:tc>
        <w:tc>
          <w:tcPr>
            <w:tcW w:w="850" w:type="dxa"/>
            <w:tcBorders>
              <w:top w:val="nil"/>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4" cy="310895"/>
                  <wp:effectExtent l="0" t="0" r="0" b="0"/>
                  <wp:docPr id="57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9.jpeg"/>
                          <pic:cNvPicPr/>
                        </pic:nvPicPr>
                        <pic:blipFill>
                          <a:blip r:embed="rId31" cstate="print"/>
                          <a:stretch>
                            <a:fillRect/>
                          </a:stretch>
                        </pic:blipFill>
                        <pic:spPr>
                          <a:xfrm>
                            <a:off x="0" y="0"/>
                            <a:ext cx="314174" cy="310895"/>
                          </a:xfrm>
                          <a:prstGeom prst="rect">
                            <a:avLst/>
                          </a:prstGeom>
                        </pic:spPr>
                      </pic:pic>
                    </a:graphicData>
                  </a:graphic>
                </wp:inline>
              </w:drawing>
            </w:r>
          </w:p>
        </w:tc>
        <w:tc>
          <w:tcPr>
            <w:tcW w:w="708" w:type="dxa"/>
            <w:tcBorders>
              <w:top w:val="nil"/>
              <w:left w:val="nil"/>
              <w:bottom w:val="nil"/>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3" cy="310895"/>
                  <wp:effectExtent l="0" t="0" r="0" b="0"/>
                  <wp:docPr id="57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1.jpeg"/>
                          <pic:cNvPicPr/>
                        </pic:nvPicPr>
                        <pic:blipFill>
                          <a:blip r:embed="rId33" cstate="print"/>
                          <a:stretch>
                            <a:fillRect/>
                          </a:stretch>
                        </pic:blipFill>
                        <pic:spPr>
                          <a:xfrm>
                            <a:off x="0" y="0"/>
                            <a:ext cx="314173" cy="310895"/>
                          </a:xfrm>
                          <a:prstGeom prst="rect">
                            <a:avLst/>
                          </a:prstGeom>
                        </pic:spPr>
                      </pic:pic>
                    </a:graphicData>
                  </a:graphic>
                </wp:inline>
              </w:drawing>
            </w:r>
          </w:p>
        </w:tc>
      </w:tr>
      <w:tr w:rsidR="006A7A3F">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408A4" w:rsidRDefault="006A7A3F">
            <w:pPr>
              <w:rPr>
                <w:sz w:val="16"/>
                <w:szCs w:val="16"/>
              </w:rPr>
            </w:pPr>
          </w:p>
        </w:tc>
        <w:tc>
          <w:tcPr>
            <w:tcW w:w="850" w:type="dxa"/>
            <w:tcBorders>
              <w:top w:val="nil"/>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58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1.jpeg"/>
                          <pic:cNvPicPr/>
                        </pic:nvPicPr>
                        <pic:blipFill>
                          <a:blip r:embed="rId43"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nil"/>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1" cy="310895"/>
                  <wp:effectExtent l="0" t="0" r="0" b="0"/>
                  <wp:docPr id="58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3.png"/>
                          <pic:cNvPicPr/>
                        </pic:nvPicPr>
                        <pic:blipFill>
                          <a:blip r:embed="rId35" cstate="print"/>
                          <a:stretch>
                            <a:fillRect/>
                          </a:stretch>
                        </pic:blipFill>
                        <pic:spPr>
                          <a:xfrm>
                            <a:off x="0" y="0"/>
                            <a:ext cx="314161" cy="310895"/>
                          </a:xfrm>
                          <a:prstGeom prst="rect">
                            <a:avLst/>
                          </a:prstGeom>
                        </pic:spPr>
                      </pic:pic>
                    </a:graphicData>
                  </a:graphic>
                </wp:inline>
              </w:drawing>
            </w:r>
          </w:p>
        </w:tc>
      </w:tr>
      <w:tr w:rsidR="006A7A3F">
        <w:trPr>
          <w:trHeight w:val="627"/>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408A4" w:rsidRDefault="006A7A3F">
            <w:pPr>
              <w:rPr>
                <w:sz w:val="16"/>
                <w:szCs w:val="16"/>
              </w:rPr>
            </w:pPr>
          </w:p>
        </w:tc>
        <w:tc>
          <w:tcPr>
            <w:tcW w:w="850" w:type="dxa"/>
            <w:tcBorders>
              <w:top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58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2.jpeg"/>
                          <pic:cNvPicPr/>
                        </pic:nvPicPr>
                        <pic:blipFill>
                          <a:blip r:embed="rId34" cstate="print"/>
                          <a:stretch>
                            <a:fillRect/>
                          </a:stretch>
                        </pic:blipFill>
                        <pic:spPr>
                          <a:xfrm>
                            <a:off x="0" y="0"/>
                            <a:ext cx="314168" cy="310895"/>
                          </a:xfrm>
                          <a:prstGeom prst="rect">
                            <a:avLst/>
                          </a:prstGeom>
                        </pic:spPr>
                      </pic:pic>
                    </a:graphicData>
                  </a:graphic>
                </wp:inline>
              </w:drawing>
            </w:r>
          </w:p>
        </w:tc>
        <w:tc>
          <w:tcPr>
            <w:tcW w:w="708" w:type="dxa"/>
            <w:tcBorders>
              <w:top w:val="nil"/>
              <w:left w:val="nil"/>
            </w:tcBorders>
          </w:tcPr>
          <w:p w:rsidR="006A7A3F" w:rsidRDefault="006A7A3F">
            <w:pPr>
              <w:pStyle w:val="TableParagraph"/>
              <w:ind w:left="0"/>
              <w:rPr>
                <w:rFonts w:ascii="Times New Roman"/>
                <w:sz w:val="18"/>
              </w:rPr>
            </w:pPr>
          </w:p>
        </w:tc>
      </w:tr>
      <w:tr w:rsidR="006A7A3F">
        <w:trPr>
          <w:trHeight w:val="733"/>
        </w:trPr>
        <w:tc>
          <w:tcPr>
            <w:tcW w:w="2381" w:type="dxa"/>
          </w:tcPr>
          <w:p w:rsidR="006A7A3F" w:rsidRDefault="00BC7372">
            <w:pPr>
              <w:pStyle w:val="TableParagraph"/>
              <w:spacing w:before="74" w:line="261" w:lineRule="auto"/>
              <w:ind w:left="85" w:right="167"/>
              <w:rPr>
                <w:sz w:val="16"/>
              </w:rPr>
            </w:pPr>
            <w:r>
              <w:rPr>
                <w:color w:val="231F20"/>
                <w:sz w:val="16"/>
              </w:rPr>
              <w:t>Winter/spring low flow (10–60 ML/day continuous during June to November)</w:t>
            </w:r>
          </w:p>
        </w:tc>
        <w:tc>
          <w:tcPr>
            <w:tcW w:w="6236" w:type="dxa"/>
          </w:tcPr>
          <w:p w:rsidR="006A7A3F" w:rsidRPr="00B408A4" w:rsidRDefault="00BC7372">
            <w:pPr>
              <w:pStyle w:val="TableParagraph"/>
              <w:numPr>
                <w:ilvl w:val="0"/>
                <w:numId w:val="1102"/>
              </w:numPr>
              <w:tabs>
                <w:tab w:val="left" w:pos="306"/>
              </w:tabs>
              <w:spacing w:before="70"/>
              <w:ind w:hanging="218"/>
              <w:rPr>
                <w:sz w:val="16"/>
                <w:szCs w:val="16"/>
              </w:rPr>
            </w:pPr>
            <w:r w:rsidRPr="00B408A4">
              <w:rPr>
                <w:color w:val="231F20"/>
                <w:sz w:val="16"/>
                <w:szCs w:val="16"/>
              </w:rPr>
              <w:t>Maintain connectivity and allow fish movement through the</w:t>
            </w:r>
            <w:r w:rsidRPr="00B408A4">
              <w:rPr>
                <w:color w:val="231F20"/>
                <w:spacing w:val="-5"/>
                <w:sz w:val="16"/>
                <w:szCs w:val="16"/>
              </w:rPr>
              <w:t xml:space="preserve"> </w:t>
            </w:r>
            <w:r w:rsidRPr="00B408A4">
              <w:rPr>
                <w:color w:val="231F20"/>
                <w:sz w:val="16"/>
                <w:szCs w:val="16"/>
              </w:rPr>
              <w:t>reach</w:t>
            </w:r>
          </w:p>
          <w:p w:rsidR="006A7A3F" w:rsidRPr="00B408A4" w:rsidRDefault="00BC7372">
            <w:pPr>
              <w:pStyle w:val="TableParagraph"/>
              <w:numPr>
                <w:ilvl w:val="0"/>
                <w:numId w:val="1102"/>
              </w:numPr>
              <w:tabs>
                <w:tab w:val="left" w:pos="306"/>
              </w:tabs>
              <w:spacing w:before="98"/>
              <w:ind w:hanging="218"/>
              <w:rPr>
                <w:sz w:val="16"/>
                <w:szCs w:val="16"/>
              </w:rPr>
            </w:pPr>
            <w:r w:rsidRPr="00B408A4">
              <w:rPr>
                <w:color w:val="231F20"/>
                <w:sz w:val="16"/>
                <w:szCs w:val="16"/>
              </w:rPr>
              <w:t>Reduce intrusion by terrestrial vegetation into the stream</w:t>
            </w:r>
            <w:r w:rsidRPr="00B408A4">
              <w:rPr>
                <w:color w:val="231F20"/>
                <w:spacing w:val="-10"/>
                <w:sz w:val="16"/>
                <w:szCs w:val="16"/>
              </w:rPr>
              <w:t xml:space="preserve"> </w:t>
            </w:r>
            <w:r w:rsidRPr="00B408A4">
              <w:rPr>
                <w:color w:val="231F20"/>
                <w:sz w:val="16"/>
                <w:szCs w:val="16"/>
              </w:rPr>
              <w:t>bed</w:t>
            </w:r>
          </w:p>
        </w:tc>
        <w:tc>
          <w:tcPr>
            <w:tcW w:w="850" w:type="dxa"/>
            <w:tcBorders>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58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left w:val="nil"/>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58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r w:rsidR="006A7A3F">
        <w:trPr>
          <w:trHeight w:val="625"/>
        </w:trPr>
        <w:tc>
          <w:tcPr>
            <w:tcW w:w="2381" w:type="dxa"/>
            <w:vMerge w:val="restart"/>
          </w:tcPr>
          <w:p w:rsidR="006A7A3F" w:rsidRDefault="00BC7372">
            <w:pPr>
              <w:pStyle w:val="TableParagraph"/>
              <w:spacing w:before="74" w:line="261" w:lineRule="auto"/>
              <w:ind w:left="85" w:right="149"/>
              <w:rPr>
                <w:sz w:val="16"/>
              </w:rPr>
            </w:pPr>
            <w:r>
              <w:rPr>
                <w:color w:val="231F20"/>
                <w:sz w:val="16"/>
              </w:rPr>
              <w:t>Autumn fresh (one fresh of 60 ML/day for five days during April to May)</w:t>
            </w:r>
          </w:p>
        </w:tc>
        <w:tc>
          <w:tcPr>
            <w:tcW w:w="6236" w:type="dxa"/>
            <w:vMerge w:val="restart"/>
          </w:tcPr>
          <w:p w:rsidR="006A7A3F" w:rsidRPr="00B408A4" w:rsidRDefault="00BC7372">
            <w:pPr>
              <w:pStyle w:val="TableParagraph"/>
              <w:numPr>
                <w:ilvl w:val="0"/>
                <w:numId w:val="1101"/>
              </w:numPr>
              <w:tabs>
                <w:tab w:val="left" w:pos="306"/>
              </w:tabs>
              <w:spacing w:before="70" w:line="254" w:lineRule="auto"/>
              <w:ind w:right="235"/>
              <w:rPr>
                <w:sz w:val="16"/>
                <w:szCs w:val="16"/>
              </w:rPr>
            </w:pPr>
            <w:r w:rsidRPr="00B408A4">
              <w:rPr>
                <w:color w:val="231F20"/>
                <w:sz w:val="16"/>
                <w:szCs w:val="16"/>
              </w:rPr>
              <w:t>Provide a cue for the downstream migration and spawning of</w:t>
            </w:r>
            <w:r w:rsidRPr="00B408A4">
              <w:rPr>
                <w:color w:val="231F20"/>
                <w:spacing w:val="-25"/>
                <w:sz w:val="16"/>
                <w:szCs w:val="16"/>
              </w:rPr>
              <w:t xml:space="preserve"> </w:t>
            </w:r>
            <w:r w:rsidRPr="00B408A4">
              <w:rPr>
                <w:color w:val="231F20"/>
                <w:sz w:val="16"/>
                <w:szCs w:val="16"/>
              </w:rPr>
              <w:t>Australian grayling</w:t>
            </w:r>
          </w:p>
          <w:p w:rsidR="006A7A3F" w:rsidRPr="00B408A4" w:rsidRDefault="00BC7372">
            <w:pPr>
              <w:pStyle w:val="TableParagraph"/>
              <w:numPr>
                <w:ilvl w:val="0"/>
                <w:numId w:val="1101"/>
              </w:numPr>
              <w:tabs>
                <w:tab w:val="left" w:pos="306"/>
              </w:tabs>
              <w:spacing w:before="87"/>
              <w:ind w:hanging="218"/>
              <w:rPr>
                <w:sz w:val="16"/>
                <w:szCs w:val="16"/>
              </w:rPr>
            </w:pPr>
            <w:r w:rsidRPr="00B408A4">
              <w:rPr>
                <w:color w:val="231F20"/>
                <w:sz w:val="16"/>
                <w:szCs w:val="16"/>
              </w:rPr>
              <w:t>Allow fish and platypus to move through the reach to access</w:t>
            </w:r>
            <w:r w:rsidRPr="00B408A4">
              <w:rPr>
                <w:color w:val="231F20"/>
                <w:spacing w:val="-14"/>
                <w:sz w:val="16"/>
                <w:szCs w:val="16"/>
              </w:rPr>
              <w:t xml:space="preserve"> </w:t>
            </w:r>
            <w:r w:rsidRPr="00B408A4">
              <w:rPr>
                <w:color w:val="231F20"/>
                <w:sz w:val="16"/>
                <w:szCs w:val="16"/>
              </w:rPr>
              <w:t>habitat</w:t>
            </w:r>
          </w:p>
          <w:p w:rsidR="006A7A3F" w:rsidRPr="00B408A4" w:rsidRDefault="00BC7372">
            <w:pPr>
              <w:pStyle w:val="TableParagraph"/>
              <w:numPr>
                <w:ilvl w:val="0"/>
                <w:numId w:val="1101"/>
              </w:numPr>
              <w:tabs>
                <w:tab w:val="left" w:pos="306"/>
              </w:tabs>
              <w:spacing w:before="98"/>
              <w:ind w:hanging="218"/>
              <w:rPr>
                <w:sz w:val="16"/>
                <w:szCs w:val="16"/>
              </w:rPr>
            </w:pPr>
            <w:r w:rsidRPr="00B408A4">
              <w:rPr>
                <w:color w:val="231F20"/>
                <w:sz w:val="16"/>
                <w:szCs w:val="16"/>
              </w:rPr>
              <w:t>Maintain the condition of streamside</w:t>
            </w:r>
            <w:r w:rsidRPr="00B408A4">
              <w:rPr>
                <w:color w:val="231F20"/>
                <w:spacing w:val="-2"/>
                <w:sz w:val="16"/>
                <w:szCs w:val="16"/>
              </w:rPr>
              <w:t xml:space="preserve"> </w:t>
            </w:r>
            <w:r w:rsidRPr="00B408A4">
              <w:rPr>
                <w:color w:val="231F20"/>
                <w:sz w:val="16"/>
                <w:szCs w:val="16"/>
              </w:rPr>
              <w:t>vegetation</w:t>
            </w:r>
          </w:p>
          <w:p w:rsidR="006A7A3F" w:rsidRPr="00B408A4" w:rsidRDefault="00BC7372">
            <w:pPr>
              <w:pStyle w:val="TableParagraph"/>
              <w:numPr>
                <w:ilvl w:val="0"/>
                <w:numId w:val="1101"/>
              </w:numPr>
              <w:tabs>
                <w:tab w:val="left" w:pos="306"/>
              </w:tabs>
              <w:spacing w:before="98" w:line="254" w:lineRule="auto"/>
              <w:ind w:right="126"/>
              <w:rPr>
                <w:sz w:val="16"/>
                <w:szCs w:val="16"/>
              </w:rPr>
            </w:pPr>
            <w:r w:rsidRPr="00B408A4">
              <w:rPr>
                <w:color w:val="231F20"/>
                <w:sz w:val="16"/>
                <w:szCs w:val="16"/>
              </w:rPr>
              <w:t>Flush silt and scour biofilms and algae from streambed and substrates to improve habitat quality for</w:t>
            </w:r>
            <w:r w:rsidRPr="00B408A4">
              <w:rPr>
                <w:color w:val="231F20"/>
                <w:spacing w:val="-5"/>
                <w:sz w:val="16"/>
                <w:szCs w:val="16"/>
              </w:rPr>
              <w:t xml:space="preserve"> </w:t>
            </w:r>
            <w:r w:rsidRPr="00B408A4">
              <w:rPr>
                <w:color w:val="231F20"/>
                <w:sz w:val="16"/>
                <w:szCs w:val="16"/>
              </w:rPr>
              <w:t>waterbugs</w:t>
            </w:r>
          </w:p>
        </w:tc>
        <w:tc>
          <w:tcPr>
            <w:tcW w:w="850" w:type="dxa"/>
            <w:tcBorders>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59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59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Default="006A7A3F">
            <w:pPr>
              <w:rPr>
                <w:sz w:val="2"/>
                <w:szCs w:val="2"/>
              </w:rPr>
            </w:pPr>
          </w:p>
        </w:tc>
        <w:tc>
          <w:tcPr>
            <w:tcW w:w="850" w:type="dxa"/>
            <w:tcBorders>
              <w:top w:val="nil"/>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59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59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Default="006A7A3F">
            <w:pPr>
              <w:rPr>
                <w:sz w:val="2"/>
                <w:szCs w:val="2"/>
              </w:rPr>
            </w:pPr>
          </w:p>
        </w:tc>
        <w:tc>
          <w:tcPr>
            <w:tcW w:w="850" w:type="dxa"/>
            <w:tcBorders>
              <w:top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77" cy="310896"/>
                  <wp:effectExtent l="0" t="0" r="0" b="0"/>
                  <wp:docPr id="59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708" w:type="dxa"/>
            <w:tcBorders>
              <w:top w:val="nil"/>
              <w:left w:val="nil"/>
            </w:tcBorders>
          </w:tcPr>
          <w:p w:rsidR="006A7A3F" w:rsidRDefault="006A7A3F">
            <w:pPr>
              <w:pStyle w:val="TableParagraph"/>
              <w:ind w:left="0"/>
              <w:rPr>
                <w:rFonts w:ascii="Times New Roman"/>
                <w:sz w:val="18"/>
              </w:rPr>
            </w:pPr>
          </w:p>
        </w:tc>
      </w:tr>
    </w:tbl>
    <w:p w:rsidR="006A7A3F" w:rsidRDefault="006A7A3F">
      <w:pPr>
        <w:rPr>
          <w:rFonts w:ascii="Times New Roman"/>
          <w:sz w:val="18"/>
        </w:rPr>
        <w:sectPr w:rsidR="006A7A3F" w:rsidSect="00C92D74">
          <w:pgSz w:w="11910" w:h="16840"/>
          <w:pgMar w:top="1701" w:right="851" w:bottom="1134" w:left="851" w:header="720" w:footer="720" w:gutter="0"/>
          <w:cols w:space="720"/>
        </w:sectPr>
      </w:pP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625"/>
        </w:trPr>
        <w:tc>
          <w:tcPr>
            <w:tcW w:w="2381" w:type="dxa"/>
            <w:vMerge w:val="restart"/>
          </w:tcPr>
          <w:p w:rsidR="006A7A3F" w:rsidRDefault="00BC7372">
            <w:pPr>
              <w:pStyle w:val="TableParagraph"/>
              <w:spacing w:before="67" w:line="261" w:lineRule="auto"/>
              <w:ind w:left="85" w:right="140"/>
              <w:rPr>
                <w:sz w:val="16"/>
              </w:rPr>
            </w:pPr>
            <w:r>
              <w:rPr>
                <w:color w:val="231F20"/>
                <w:sz w:val="16"/>
              </w:rPr>
              <w:t>Summer fresh (one fresh of 60 ML/day for five days during January to February)</w:t>
            </w:r>
          </w:p>
          <w:p w:rsidR="006A7A3F" w:rsidRDefault="006A7A3F">
            <w:pPr>
              <w:pStyle w:val="TableParagraph"/>
              <w:spacing w:before="10"/>
              <w:ind w:left="0"/>
              <w:rPr>
                <w:b/>
                <w:sz w:val="5"/>
              </w:rPr>
            </w:pPr>
          </w:p>
          <w:p w:rsidR="006A7A3F" w:rsidRDefault="00BC7372">
            <w:pPr>
              <w:pStyle w:val="TableParagraph"/>
              <w:ind w:left="85"/>
              <w:rPr>
                <w:sz w:val="20"/>
              </w:rPr>
            </w:pPr>
            <w:r>
              <w:rPr>
                <w:noProof/>
                <w:sz w:val="20"/>
              </w:rPr>
              <w:drawing>
                <wp:inline distT="0" distB="0" distL="0" distR="0">
                  <wp:extent cx="313946" cy="313944"/>
                  <wp:effectExtent l="0" t="0" r="0" b="0"/>
                  <wp:docPr id="601" name="image8.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8.jpeg"/>
                          <pic:cNvPicPr/>
                        </pic:nvPicPr>
                        <pic:blipFill>
                          <a:blip r:embed="rId18" cstate="print"/>
                          <a:stretch>
                            <a:fillRect/>
                          </a:stretch>
                        </pic:blipFill>
                        <pic:spPr>
                          <a:xfrm>
                            <a:off x="0" y="0"/>
                            <a:ext cx="313946" cy="313944"/>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ind w:left="0"/>
              <w:rPr>
                <w:b/>
                <w:sz w:val="20"/>
              </w:rPr>
            </w:pPr>
          </w:p>
        </w:tc>
        <w:tc>
          <w:tcPr>
            <w:tcW w:w="6236" w:type="dxa"/>
            <w:vMerge w:val="restart"/>
          </w:tcPr>
          <w:p w:rsidR="006A7A3F" w:rsidRPr="00B408A4" w:rsidRDefault="00BC7372">
            <w:pPr>
              <w:pStyle w:val="TableParagraph"/>
              <w:numPr>
                <w:ilvl w:val="0"/>
                <w:numId w:val="1100"/>
              </w:numPr>
              <w:tabs>
                <w:tab w:val="left" w:pos="306"/>
              </w:tabs>
              <w:spacing w:before="63"/>
              <w:ind w:hanging="218"/>
              <w:rPr>
                <w:sz w:val="16"/>
                <w:szCs w:val="16"/>
              </w:rPr>
            </w:pPr>
            <w:r w:rsidRPr="00B408A4">
              <w:rPr>
                <w:color w:val="231F20"/>
                <w:sz w:val="16"/>
                <w:szCs w:val="16"/>
              </w:rPr>
              <w:t>Provide a cue for downstream spawning and migration of short-finned</w:t>
            </w:r>
            <w:r w:rsidRPr="00B408A4">
              <w:rPr>
                <w:color w:val="231F20"/>
                <w:spacing w:val="-17"/>
                <w:sz w:val="16"/>
                <w:szCs w:val="16"/>
              </w:rPr>
              <w:t xml:space="preserve"> </w:t>
            </w:r>
            <w:r w:rsidRPr="00B408A4">
              <w:rPr>
                <w:color w:val="231F20"/>
                <w:sz w:val="16"/>
                <w:szCs w:val="16"/>
              </w:rPr>
              <w:t>eel</w:t>
            </w:r>
          </w:p>
          <w:p w:rsidR="006A7A3F" w:rsidRPr="00B408A4" w:rsidRDefault="00BC7372">
            <w:pPr>
              <w:pStyle w:val="TableParagraph"/>
              <w:numPr>
                <w:ilvl w:val="0"/>
                <w:numId w:val="1100"/>
              </w:numPr>
              <w:tabs>
                <w:tab w:val="left" w:pos="306"/>
              </w:tabs>
              <w:spacing w:before="98"/>
              <w:ind w:hanging="218"/>
              <w:rPr>
                <w:sz w:val="16"/>
                <w:szCs w:val="16"/>
              </w:rPr>
            </w:pPr>
            <w:r w:rsidRPr="00B408A4">
              <w:rPr>
                <w:color w:val="231F20"/>
                <w:sz w:val="16"/>
                <w:szCs w:val="16"/>
              </w:rPr>
              <w:t>Allow fish and platypus to move through the reach to access</w:t>
            </w:r>
            <w:r w:rsidRPr="00B408A4">
              <w:rPr>
                <w:color w:val="231F20"/>
                <w:spacing w:val="-14"/>
                <w:sz w:val="16"/>
                <w:szCs w:val="16"/>
              </w:rPr>
              <w:t xml:space="preserve"> </w:t>
            </w:r>
            <w:r w:rsidRPr="00B408A4">
              <w:rPr>
                <w:color w:val="231F20"/>
                <w:sz w:val="16"/>
                <w:szCs w:val="16"/>
              </w:rPr>
              <w:t>habitat</w:t>
            </w:r>
          </w:p>
          <w:p w:rsidR="006A7A3F" w:rsidRPr="00B408A4" w:rsidRDefault="00BC7372">
            <w:pPr>
              <w:pStyle w:val="TableParagraph"/>
              <w:numPr>
                <w:ilvl w:val="0"/>
                <w:numId w:val="1100"/>
              </w:numPr>
              <w:tabs>
                <w:tab w:val="left" w:pos="306"/>
              </w:tabs>
              <w:spacing w:before="98"/>
              <w:ind w:hanging="218"/>
              <w:rPr>
                <w:sz w:val="16"/>
                <w:szCs w:val="16"/>
              </w:rPr>
            </w:pPr>
            <w:r w:rsidRPr="00B408A4">
              <w:rPr>
                <w:color w:val="231F20"/>
                <w:sz w:val="16"/>
                <w:szCs w:val="16"/>
              </w:rPr>
              <w:t>Maintain the condition of streamside</w:t>
            </w:r>
            <w:r w:rsidRPr="00B408A4">
              <w:rPr>
                <w:color w:val="231F20"/>
                <w:spacing w:val="-2"/>
                <w:sz w:val="16"/>
                <w:szCs w:val="16"/>
              </w:rPr>
              <w:t xml:space="preserve"> </w:t>
            </w:r>
            <w:r w:rsidRPr="00B408A4">
              <w:rPr>
                <w:color w:val="231F20"/>
                <w:sz w:val="16"/>
                <w:szCs w:val="16"/>
              </w:rPr>
              <w:t>vegetation</w:t>
            </w:r>
          </w:p>
          <w:p w:rsidR="006A7A3F" w:rsidRPr="00B408A4" w:rsidRDefault="00BC7372">
            <w:pPr>
              <w:pStyle w:val="TableParagraph"/>
              <w:numPr>
                <w:ilvl w:val="0"/>
                <w:numId w:val="1100"/>
              </w:numPr>
              <w:tabs>
                <w:tab w:val="left" w:pos="306"/>
              </w:tabs>
              <w:spacing w:before="98"/>
              <w:ind w:hanging="218"/>
              <w:rPr>
                <w:sz w:val="16"/>
                <w:szCs w:val="16"/>
              </w:rPr>
            </w:pPr>
            <w:r w:rsidRPr="00B408A4">
              <w:rPr>
                <w:color w:val="231F20"/>
                <w:sz w:val="16"/>
                <w:szCs w:val="16"/>
              </w:rPr>
              <w:t>Flush silt, scour pools and remove biofilms from hard</w:t>
            </w:r>
            <w:r w:rsidRPr="00B408A4">
              <w:rPr>
                <w:color w:val="231F20"/>
                <w:spacing w:val="-10"/>
                <w:sz w:val="16"/>
                <w:szCs w:val="16"/>
              </w:rPr>
              <w:t xml:space="preserve"> </w:t>
            </w:r>
            <w:r w:rsidRPr="00B408A4">
              <w:rPr>
                <w:color w:val="231F20"/>
                <w:sz w:val="16"/>
                <w:szCs w:val="16"/>
              </w:rPr>
              <w:t>substrates</w:t>
            </w:r>
          </w:p>
          <w:p w:rsidR="006A7A3F" w:rsidRPr="00B408A4" w:rsidRDefault="00BC7372">
            <w:pPr>
              <w:pStyle w:val="TableParagraph"/>
              <w:numPr>
                <w:ilvl w:val="0"/>
                <w:numId w:val="1100"/>
              </w:numPr>
              <w:tabs>
                <w:tab w:val="left" w:pos="306"/>
              </w:tabs>
              <w:spacing w:before="98" w:line="254" w:lineRule="auto"/>
              <w:ind w:right="267"/>
              <w:rPr>
                <w:sz w:val="16"/>
                <w:szCs w:val="16"/>
              </w:rPr>
            </w:pPr>
            <w:r w:rsidRPr="00B408A4">
              <w:rPr>
                <w:color w:val="231F20"/>
                <w:sz w:val="16"/>
                <w:szCs w:val="16"/>
              </w:rPr>
              <w:t>Maintain</w:t>
            </w:r>
            <w:r w:rsidRPr="00B408A4">
              <w:rPr>
                <w:color w:val="231F20"/>
                <w:spacing w:val="-3"/>
                <w:sz w:val="16"/>
                <w:szCs w:val="16"/>
              </w:rPr>
              <w:t xml:space="preserve"> </w:t>
            </w:r>
            <w:r w:rsidRPr="00B408A4">
              <w:rPr>
                <w:color w:val="231F20"/>
                <w:sz w:val="16"/>
                <w:szCs w:val="16"/>
              </w:rPr>
              <w:t>water</w:t>
            </w:r>
            <w:r w:rsidRPr="00B408A4">
              <w:rPr>
                <w:color w:val="231F20"/>
                <w:spacing w:val="-4"/>
                <w:sz w:val="16"/>
                <w:szCs w:val="16"/>
              </w:rPr>
              <w:t xml:space="preserve"> </w:t>
            </w:r>
            <w:r w:rsidRPr="00B408A4">
              <w:rPr>
                <w:color w:val="231F20"/>
                <w:sz w:val="16"/>
                <w:szCs w:val="16"/>
              </w:rPr>
              <w:t>quality</w:t>
            </w:r>
            <w:r w:rsidRPr="00B408A4">
              <w:rPr>
                <w:color w:val="231F20"/>
                <w:spacing w:val="-4"/>
                <w:sz w:val="16"/>
                <w:szCs w:val="16"/>
              </w:rPr>
              <w:t xml:space="preserve"> </w:t>
            </w:r>
            <w:r w:rsidRPr="00B408A4">
              <w:rPr>
                <w:color w:val="231F20"/>
                <w:sz w:val="16"/>
                <w:szCs w:val="16"/>
              </w:rPr>
              <w:t>for</w:t>
            </w:r>
            <w:r w:rsidRPr="00B408A4">
              <w:rPr>
                <w:color w:val="231F20"/>
                <w:spacing w:val="-3"/>
                <w:sz w:val="16"/>
                <w:szCs w:val="16"/>
              </w:rPr>
              <w:t xml:space="preserve"> </w:t>
            </w:r>
            <w:r w:rsidRPr="00B408A4">
              <w:rPr>
                <w:color w:val="231F20"/>
                <w:sz w:val="16"/>
                <w:szCs w:val="16"/>
              </w:rPr>
              <w:t>biota</w:t>
            </w:r>
            <w:r w:rsidRPr="00B408A4">
              <w:rPr>
                <w:color w:val="231F20"/>
                <w:spacing w:val="-4"/>
                <w:sz w:val="16"/>
                <w:szCs w:val="16"/>
              </w:rPr>
              <w:t xml:space="preserve"> </w:t>
            </w:r>
            <w:r w:rsidRPr="00B408A4">
              <w:rPr>
                <w:color w:val="231F20"/>
                <w:sz w:val="16"/>
                <w:szCs w:val="16"/>
              </w:rPr>
              <w:t>by</w:t>
            </w:r>
            <w:r w:rsidRPr="00B408A4">
              <w:rPr>
                <w:color w:val="231F20"/>
                <w:spacing w:val="-4"/>
                <w:sz w:val="16"/>
                <w:szCs w:val="16"/>
              </w:rPr>
              <w:t xml:space="preserve"> </w:t>
            </w:r>
            <w:r w:rsidRPr="00B408A4">
              <w:rPr>
                <w:color w:val="231F20"/>
                <w:sz w:val="16"/>
                <w:szCs w:val="16"/>
              </w:rPr>
              <w:t>reducing</w:t>
            </w:r>
            <w:r w:rsidRPr="00B408A4">
              <w:rPr>
                <w:color w:val="231F20"/>
                <w:spacing w:val="-3"/>
                <w:sz w:val="16"/>
                <w:szCs w:val="16"/>
              </w:rPr>
              <w:t xml:space="preserve"> </w:t>
            </w:r>
            <w:r w:rsidRPr="00B408A4">
              <w:rPr>
                <w:color w:val="231F20"/>
                <w:sz w:val="16"/>
                <w:szCs w:val="16"/>
              </w:rPr>
              <w:t>periods</w:t>
            </w:r>
            <w:r w:rsidRPr="00B408A4">
              <w:rPr>
                <w:color w:val="231F20"/>
                <w:spacing w:val="-3"/>
                <w:sz w:val="16"/>
                <w:szCs w:val="16"/>
              </w:rPr>
              <w:t xml:space="preserve"> </w:t>
            </w:r>
            <w:r w:rsidRPr="00B408A4">
              <w:rPr>
                <w:color w:val="231F20"/>
                <w:sz w:val="16"/>
                <w:szCs w:val="16"/>
              </w:rPr>
              <w:t>of</w:t>
            </w:r>
            <w:r w:rsidRPr="00B408A4">
              <w:rPr>
                <w:color w:val="231F20"/>
                <w:spacing w:val="-4"/>
                <w:sz w:val="16"/>
                <w:szCs w:val="16"/>
              </w:rPr>
              <w:t xml:space="preserve"> </w:t>
            </w:r>
            <w:r w:rsidRPr="00B408A4">
              <w:rPr>
                <w:color w:val="231F20"/>
                <w:sz w:val="16"/>
                <w:szCs w:val="16"/>
              </w:rPr>
              <w:t>low</w:t>
            </w:r>
            <w:r w:rsidRPr="00B408A4">
              <w:rPr>
                <w:color w:val="231F20"/>
                <w:spacing w:val="-4"/>
                <w:sz w:val="16"/>
                <w:szCs w:val="16"/>
              </w:rPr>
              <w:t xml:space="preserve"> </w:t>
            </w:r>
            <w:r w:rsidRPr="00B408A4">
              <w:rPr>
                <w:color w:val="231F20"/>
                <w:sz w:val="16"/>
                <w:szCs w:val="16"/>
              </w:rPr>
              <w:t>oxygen,</w:t>
            </w:r>
            <w:r w:rsidRPr="00B408A4">
              <w:rPr>
                <w:color w:val="231F20"/>
                <w:spacing w:val="-4"/>
                <w:sz w:val="16"/>
                <w:szCs w:val="16"/>
              </w:rPr>
              <w:t xml:space="preserve"> </w:t>
            </w:r>
            <w:r w:rsidRPr="00B408A4">
              <w:rPr>
                <w:color w:val="231F20"/>
                <w:sz w:val="16"/>
                <w:szCs w:val="16"/>
              </w:rPr>
              <w:t>high water temperature and</w:t>
            </w:r>
            <w:r w:rsidRPr="00B408A4">
              <w:rPr>
                <w:color w:val="231F20"/>
                <w:spacing w:val="-3"/>
                <w:sz w:val="16"/>
                <w:szCs w:val="16"/>
              </w:rPr>
              <w:t xml:space="preserve"> </w:t>
            </w:r>
            <w:r w:rsidRPr="00B408A4">
              <w:rPr>
                <w:color w:val="231F20"/>
                <w:sz w:val="16"/>
                <w:szCs w:val="16"/>
              </w:rPr>
              <w:t>salinity</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60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60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408A4" w:rsidRDefault="006A7A3F">
            <w:pPr>
              <w:rPr>
                <w:sz w:val="16"/>
                <w:szCs w:val="16"/>
              </w:rPr>
            </w:pPr>
          </w:p>
        </w:tc>
        <w:tc>
          <w:tcPr>
            <w:tcW w:w="850" w:type="dxa"/>
            <w:tcBorders>
              <w:top w:val="nil"/>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60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tcBorders>
          </w:tcPr>
          <w:p w:rsidR="006A7A3F" w:rsidRDefault="00BC7372">
            <w:pPr>
              <w:pStyle w:val="TableParagraph"/>
              <w:ind w:left="48"/>
              <w:rPr>
                <w:sz w:val="20"/>
              </w:rPr>
            </w:pPr>
            <w:r>
              <w:rPr>
                <w:noProof/>
                <w:sz w:val="20"/>
              </w:rPr>
              <w:drawing>
                <wp:inline distT="0" distB="0" distL="0" distR="0">
                  <wp:extent cx="314168" cy="310896"/>
                  <wp:effectExtent l="0" t="0" r="0" b="0"/>
                  <wp:docPr id="60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408A4" w:rsidRDefault="006A7A3F">
            <w:pPr>
              <w:rPr>
                <w:sz w:val="16"/>
                <w:szCs w:val="16"/>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61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tcBorders>
          </w:tcPr>
          <w:p w:rsidR="006A7A3F" w:rsidRDefault="00BC7372">
            <w:pPr>
              <w:pStyle w:val="TableParagraph"/>
              <w:ind w:left="48"/>
              <w:rPr>
                <w:sz w:val="20"/>
              </w:rPr>
            </w:pPr>
            <w:r>
              <w:rPr>
                <w:noProof/>
                <w:sz w:val="20"/>
              </w:rPr>
              <w:drawing>
                <wp:inline distT="0" distB="0" distL="0" distR="0">
                  <wp:extent cx="314168" cy="310896"/>
                  <wp:effectExtent l="0" t="0" r="0" b="0"/>
                  <wp:docPr id="61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6A7A3F">
        <w:trPr>
          <w:trHeight w:val="625"/>
        </w:trPr>
        <w:tc>
          <w:tcPr>
            <w:tcW w:w="2381" w:type="dxa"/>
            <w:vMerge w:val="restart"/>
          </w:tcPr>
          <w:p w:rsidR="006A7A3F" w:rsidRDefault="00BC7372">
            <w:pPr>
              <w:pStyle w:val="TableParagraph"/>
              <w:spacing w:before="67" w:line="261" w:lineRule="auto"/>
              <w:ind w:left="85" w:right="140"/>
              <w:rPr>
                <w:sz w:val="16"/>
              </w:rPr>
            </w:pPr>
            <w:r>
              <w:rPr>
                <w:color w:val="231F20"/>
                <w:sz w:val="16"/>
              </w:rPr>
              <w:t>Spring fresh (one or two freshes of 80–162 ML/day for five days during September to November)</w:t>
            </w:r>
          </w:p>
          <w:p w:rsidR="006A7A3F" w:rsidRDefault="006A7A3F">
            <w:pPr>
              <w:pStyle w:val="TableParagraph"/>
              <w:spacing w:before="10"/>
              <w:ind w:left="0"/>
              <w:rPr>
                <w:b/>
                <w:sz w:val="5"/>
              </w:rPr>
            </w:pPr>
          </w:p>
          <w:p w:rsidR="006A7A3F" w:rsidRDefault="00BC7372">
            <w:pPr>
              <w:pStyle w:val="TableParagraph"/>
              <w:ind w:left="85"/>
              <w:rPr>
                <w:sz w:val="20"/>
              </w:rPr>
            </w:pPr>
            <w:r>
              <w:rPr>
                <w:noProof/>
                <w:sz w:val="20"/>
              </w:rPr>
              <w:drawing>
                <wp:inline distT="0" distB="0" distL="0" distR="0">
                  <wp:extent cx="313951" cy="313944"/>
                  <wp:effectExtent l="0" t="0" r="0" b="0"/>
                  <wp:docPr id="615" name="image8.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8.jpeg"/>
                          <pic:cNvPicPr/>
                        </pic:nvPicPr>
                        <pic:blipFill>
                          <a:blip r:embed="rId18" cstate="print"/>
                          <a:stretch>
                            <a:fillRect/>
                          </a:stretch>
                        </pic:blipFill>
                        <pic:spPr>
                          <a:xfrm>
                            <a:off x="0" y="0"/>
                            <a:ext cx="313951" cy="313944"/>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spacing w:before="8"/>
              <w:ind w:left="0"/>
              <w:rPr>
                <w:b/>
              </w:rPr>
            </w:pPr>
          </w:p>
        </w:tc>
        <w:tc>
          <w:tcPr>
            <w:tcW w:w="6236" w:type="dxa"/>
            <w:vMerge w:val="restart"/>
          </w:tcPr>
          <w:p w:rsidR="006A7A3F" w:rsidRPr="00B408A4" w:rsidRDefault="00BC7372">
            <w:pPr>
              <w:pStyle w:val="TableParagraph"/>
              <w:numPr>
                <w:ilvl w:val="0"/>
                <w:numId w:val="1099"/>
              </w:numPr>
              <w:tabs>
                <w:tab w:val="left" w:pos="306"/>
              </w:tabs>
              <w:spacing w:before="63" w:line="254" w:lineRule="auto"/>
              <w:ind w:right="193"/>
              <w:rPr>
                <w:sz w:val="16"/>
                <w:szCs w:val="16"/>
              </w:rPr>
            </w:pPr>
            <w:r w:rsidRPr="00B408A4">
              <w:rPr>
                <w:color w:val="231F20"/>
                <w:sz w:val="16"/>
                <w:szCs w:val="16"/>
              </w:rPr>
              <w:t>Trigger the upstream migration of juvenile galaxias, tupong,</w:t>
            </w:r>
            <w:r w:rsidRPr="00B408A4">
              <w:rPr>
                <w:color w:val="231F20"/>
                <w:spacing w:val="-32"/>
                <w:sz w:val="16"/>
                <w:szCs w:val="16"/>
              </w:rPr>
              <w:t xml:space="preserve"> </w:t>
            </w:r>
            <w:r w:rsidRPr="00B408A4">
              <w:rPr>
                <w:color w:val="231F20"/>
                <w:sz w:val="16"/>
                <w:szCs w:val="16"/>
              </w:rPr>
              <w:t>short-finned eel and Australian</w:t>
            </w:r>
            <w:r w:rsidRPr="00B408A4">
              <w:rPr>
                <w:color w:val="231F20"/>
                <w:spacing w:val="-12"/>
                <w:sz w:val="16"/>
                <w:szCs w:val="16"/>
              </w:rPr>
              <w:t xml:space="preserve"> </w:t>
            </w:r>
            <w:r w:rsidRPr="00B408A4">
              <w:rPr>
                <w:color w:val="231F20"/>
                <w:sz w:val="16"/>
                <w:szCs w:val="16"/>
              </w:rPr>
              <w:t>grayling</w:t>
            </w:r>
          </w:p>
          <w:p w:rsidR="006A7A3F" w:rsidRPr="00B408A4" w:rsidRDefault="00BC7372">
            <w:pPr>
              <w:pStyle w:val="TableParagraph"/>
              <w:numPr>
                <w:ilvl w:val="0"/>
                <w:numId w:val="1099"/>
              </w:numPr>
              <w:tabs>
                <w:tab w:val="left" w:pos="306"/>
              </w:tabs>
              <w:spacing w:before="86" w:line="254" w:lineRule="auto"/>
              <w:ind w:right="96"/>
              <w:rPr>
                <w:sz w:val="16"/>
                <w:szCs w:val="16"/>
              </w:rPr>
            </w:pPr>
            <w:r w:rsidRPr="00B408A4">
              <w:rPr>
                <w:color w:val="231F20"/>
                <w:sz w:val="16"/>
                <w:szCs w:val="16"/>
              </w:rPr>
              <w:t>Provide connectivity to support fish and platypus movement and</w:t>
            </w:r>
            <w:r w:rsidRPr="00B408A4">
              <w:rPr>
                <w:color w:val="231F20"/>
                <w:spacing w:val="-14"/>
                <w:sz w:val="16"/>
                <w:szCs w:val="16"/>
              </w:rPr>
              <w:t xml:space="preserve"> </w:t>
            </w:r>
            <w:r w:rsidRPr="00B408A4">
              <w:rPr>
                <w:color w:val="231F20"/>
                <w:sz w:val="16"/>
                <w:szCs w:val="16"/>
              </w:rPr>
              <w:t>maintain access to</w:t>
            </w:r>
            <w:r w:rsidRPr="00B408A4">
              <w:rPr>
                <w:color w:val="231F20"/>
                <w:spacing w:val="-2"/>
                <w:sz w:val="16"/>
                <w:szCs w:val="16"/>
              </w:rPr>
              <w:t xml:space="preserve"> </w:t>
            </w:r>
            <w:r w:rsidRPr="00B408A4">
              <w:rPr>
                <w:color w:val="231F20"/>
                <w:sz w:val="16"/>
                <w:szCs w:val="16"/>
              </w:rPr>
              <w:t>habitat</w:t>
            </w:r>
          </w:p>
          <w:p w:rsidR="006A7A3F" w:rsidRPr="00B408A4" w:rsidRDefault="00BC7372">
            <w:pPr>
              <w:pStyle w:val="TableParagraph"/>
              <w:numPr>
                <w:ilvl w:val="0"/>
                <w:numId w:val="1099"/>
              </w:numPr>
              <w:tabs>
                <w:tab w:val="left" w:pos="306"/>
              </w:tabs>
              <w:spacing w:before="86" w:line="254" w:lineRule="auto"/>
              <w:ind w:right="586"/>
              <w:rPr>
                <w:sz w:val="16"/>
                <w:szCs w:val="16"/>
              </w:rPr>
            </w:pPr>
            <w:r w:rsidRPr="00B408A4">
              <w:rPr>
                <w:color w:val="231F20"/>
                <w:sz w:val="16"/>
                <w:szCs w:val="16"/>
              </w:rPr>
              <w:t>Scour biofilms and algae from the streambed and transport organic matter</w:t>
            </w:r>
          </w:p>
          <w:p w:rsidR="006A7A3F" w:rsidRPr="00B408A4" w:rsidRDefault="00BC7372">
            <w:pPr>
              <w:pStyle w:val="TableParagraph"/>
              <w:numPr>
                <w:ilvl w:val="0"/>
                <w:numId w:val="1099"/>
              </w:numPr>
              <w:tabs>
                <w:tab w:val="left" w:pos="306"/>
              </w:tabs>
              <w:spacing w:before="87"/>
              <w:ind w:hanging="218"/>
              <w:rPr>
                <w:sz w:val="16"/>
                <w:szCs w:val="16"/>
              </w:rPr>
            </w:pPr>
            <w:r w:rsidRPr="00B408A4">
              <w:rPr>
                <w:color w:val="231F20"/>
                <w:sz w:val="16"/>
                <w:szCs w:val="16"/>
              </w:rPr>
              <w:t>Promote the growth and recruitment of streamside</w:t>
            </w:r>
            <w:r w:rsidRPr="00B408A4">
              <w:rPr>
                <w:color w:val="231F20"/>
                <w:spacing w:val="-5"/>
                <w:sz w:val="16"/>
                <w:szCs w:val="16"/>
              </w:rPr>
              <w:t xml:space="preserve"> </w:t>
            </w:r>
            <w:r w:rsidRPr="00B408A4">
              <w:rPr>
                <w:color w:val="231F20"/>
                <w:sz w:val="16"/>
                <w:szCs w:val="16"/>
              </w:rPr>
              <w:t>vegetation</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61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619"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408A4" w:rsidRDefault="006A7A3F">
            <w:pPr>
              <w:rPr>
                <w:sz w:val="16"/>
                <w:szCs w:val="16"/>
              </w:rPr>
            </w:pPr>
          </w:p>
        </w:tc>
        <w:tc>
          <w:tcPr>
            <w:tcW w:w="850" w:type="dxa"/>
            <w:tcBorders>
              <w:top w:val="nil"/>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62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tcBorders>
          </w:tcPr>
          <w:p w:rsidR="006A7A3F" w:rsidRDefault="00BC7372">
            <w:pPr>
              <w:pStyle w:val="TableParagraph"/>
              <w:ind w:left="48"/>
              <w:rPr>
                <w:sz w:val="20"/>
              </w:rPr>
            </w:pPr>
            <w:r>
              <w:rPr>
                <w:noProof/>
                <w:sz w:val="20"/>
              </w:rPr>
              <w:drawing>
                <wp:inline distT="0" distB="0" distL="0" distR="0">
                  <wp:extent cx="314168" cy="310896"/>
                  <wp:effectExtent l="0" t="0" r="0" b="0"/>
                  <wp:docPr id="62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730"/>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408A4" w:rsidRDefault="006A7A3F">
            <w:pPr>
              <w:rPr>
                <w:sz w:val="16"/>
                <w:szCs w:val="16"/>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79" cy="310896"/>
                  <wp:effectExtent l="0" t="0" r="0" b="0"/>
                  <wp:docPr id="62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2.jpeg"/>
                          <pic:cNvPicPr/>
                        </pic:nvPicPr>
                        <pic:blipFill>
                          <a:blip r:embed="rId34" cstate="print"/>
                          <a:stretch>
                            <a:fillRect/>
                          </a:stretch>
                        </pic:blipFill>
                        <pic:spPr>
                          <a:xfrm>
                            <a:off x="0" y="0"/>
                            <a:ext cx="314179" cy="310896"/>
                          </a:xfrm>
                          <a:prstGeom prst="rect">
                            <a:avLst/>
                          </a:prstGeom>
                        </pic:spPr>
                      </pic:pic>
                    </a:graphicData>
                  </a:graphic>
                </wp:inline>
              </w:drawing>
            </w:r>
          </w:p>
        </w:tc>
        <w:tc>
          <w:tcPr>
            <w:tcW w:w="708" w:type="dxa"/>
            <w:tcBorders>
              <w:top w:val="nil"/>
              <w:left w:val="nil"/>
            </w:tcBorders>
          </w:tcPr>
          <w:p w:rsidR="006A7A3F" w:rsidRDefault="00BC7372">
            <w:pPr>
              <w:pStyle w:val="TableParagraph"/>
              <w:ind w:left="48"/>
              <w:rPr>
                <w:sz w:val="20"/>
              </w:rPr>
            </w:pPr>
            <w:r>
              <w:rPr>
                <w:noProof/>
                <w:sz w:val="20"/>
              </w:rPr>
              <w:drawing>
                <wp:inline distT="0" distB="0" distL="0" distR="0">
                  <wp:extent cx="314165" cy="310896"/>
                  <wp:effectExtent l="0" t="0" r="0" b="0"/>
                  <wp:docPr id="62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3.png"/>
                          <pic:cNvPicPr/>
                        </pic:nvPicPr>
                        <pic:blipFill>
                          <a:blip r:embed="rId35" cstate="print"/>
                          <a:stretch>
                            <a:fillRect/>
                          </a:stretch>
                        </pic:blipFill>
                        <pic:spPr>
                          <a:xfrm>
                            <a:off x="0" y="0"/>
                            <a:ext cx="314165" cy="310896"/>
                          </a:xfrm>
                          <a:prstGeom prst="rect">
                            <a:avLst/>
                          </a:prstGeom>
                        </pic:spPr>
                      </pic:pic>
                    </a:graphicData>
                  </a:graphic>
                </wp:inline>
              </w:drawing>
            </w:r>
          </w:p>
        </w:tc>
      </w:tr>
      <w:tr w:rsidR="006A7A3F">
        <w:trPr>
          <w:trHeight w:val="625"/>
        </w:trPr>
        <w:tc>
          <w:tcPr>
            <w:tcW w:w="2381" w:type="dxa"/>
            <w:vMerge w:val="restart"/>
          </w:tcPr>
          <w:p w:rsidR="006A7A3F" w:rsidRDefault="00BC7372">
            <w:pPr>
              <w:pStyle w:val="TableParagraph"/>
              <w:spacing w:before="67" w:line="261" w:lineRule="auto"/>
              <w:ind w:left="85" w:right="255"/>
              <w:rPr>
                <w:sz w:val="16"/>
              </w:rPr>
            </w:pPr>
            <w:r>
              <w:rPr>
                <w:color w:val="231F20"/>
                <w:sz w:val="16"/>
              </w:rPr>
              <w:t>Winter fresh (one fresh of 80–162 ML/day for five days during May to August)</w:t>
            </w:r>
          </w:p>
        </w:tc>
        <w:tc>
          <w:tcPr>
            <w:tcW w:w="6236" w:type="dxa"/>
            <w:vMerge w:val="restart"/>
          </w:tcPr>
          <w:p w:rsidR="006A7A3F" w:rsidRPr="00B408A4" w:rsidRDefault="00BC7372">
            <w:pPr>
              <w:pStyle w:val="TableParagraph"/>
              <w:numPr>
                <w:ilvl w:val="0"/>
                <w:numId w:val="1098"/>
              </w:numPr>
              <w:tabs>
                <w:tab w:val="left" w:pos="306"/>
              </w:tabs>
              <w:spacing w:before="63"/>
              <w:ind w:hanging="218"/>
              <w:rPr>
                <w:sz w:val="16"/>
                <w:szCs w:val="16"/>
              </w:rPr>
            </w:pPr>
            <w:r w:rsidRPr="00B408A4">
              <w:rPr>
                <w:color w:val="231F20"/>
                <w:sz w:val="16"/>
                <w:szCs w:val="16"/>
              </w:rPr>
              <w:t>Trigger the downstream spawning migration of</w:t>
            </w:r>
            <w:r w:rsidRPr="00B408A4">
              <w:rPr>
                <w:color w:val="231F20"/>
                <w:spacing w:val="-5"/>
                <w:sz w:val="16"/>
                <w:szCs w:val="16"/>
              </w:rPr>
              <w:t xml:space="preserve"> </w:t>
            </w:r>
            <w:r w:rsidRPr="00B408A4">
              <w:rPr>
                <w:color w:val="231F20"/>
                <w:sz w:val="16"/>
                <w:szCs w:val="16"/>
              </w:rPr>
              <w:t>tupong</w:t>
            </w:r>
          </w:p>
          <w:p w:rsidR="006A7A3F" w:rsidRPr="00B408A4" w:rsidRDefault="00BC7372">
            <w:pPr>
              <w:pStyle w:val="TableParagraph"/>
              <w:numPr>
                <w:ilvl w:val="0"/>
                <w:numId w:val="1098"/>
              </w:numPr>
              <w:tabs>
                <w:tab w:val="left" w:pos="306"/>
              </w:tabs>
              <w:spacing w:before="98" w:line="254" w:lineRule="auto"/>
              <w:ind w:right="245"/>
              <w:rPr>
                <w:sz w:val="16"/>
                <w:szCs w:val="16"/>
              </w:rPr>
            </w:pPr>
            <w:r w:rsidRPr="00B408A4">
              <w:rPr>
                <w:color w:val="231F20"/>
                <w:sz w:val="16"/>
                <w:szCs w:val="16"/>
              </w:rPr>
              <w:t>Allow fish and platypus to move through the reach and maintain access to</w:t>
            </w:r>
            <w:r w:rsidRPr="00B408A4">
              <w:rPr>
                <w:color w:val="231F20"/>
                <w:spacing w:val="-1"/>
                <w:sz w:val="16"/>
                <w:szCs w:val="16"/>
              </w:rPr>
              <w:t xml:space="preserve"> </w:t>
            </w:r>
            <w:r w:rsidRPr="00B408A4">
              <w:rPr>
                <w:color w:val="231F20"/>
                <w:sz w:val="16"/>
                <w:szCs w:val="16"/>
              </w:rPr>
              <w:t>habitat</w:t>
            </w:r>
          </w:p>
          <w:p w:rsidR="006A7A3F" w:rsidRPr="00B408A4" w:rsidRDefault="00BC7372">
            <w:pPr>
              <w:pStyle w:val="TableParagraph"/>
              <w:numPr>
                <w:ilvl w:val="0"/>
                <w:numId w:val="1098"/>
              </w:numPr>
              <w:tabs>
                <w:tab w:val="left" w:pos="306"/>
              </w:tabs>
              <w:spacing w:before="86" w:line="254" w:lineRule="auto"/>
              <w:ind w:right="257"/>
              <w:rPr>
                <w:sz w:val="16"/>
                <w:szCs w:val="16"/>
              </w:rPr>
            </w:pPr>
            <w:r w:rsidRPr="00B408A4">
              <w:rPr>
                <w:color w:val="231F20"/>
                <w:sz w:val="16"/>
                <w:szCs w:val="16"/>
              </w:rPr>
              <w:t>Scour biofilms and algae from the streambed to maintain waterbug communities and transport organic matter to prevent blackwater</w:t>
            </w:r>
            <w:r w:rsidRPr="00B408A4">
              <w:rPr>
                <w:color w:val="231F20"/>
                <w:spacing w:val="-31"/>
                <w:sz w:val="16"/>
                <w:szCs w:val="16"/>
              </w:rPr>
              <w:t xml:space="preserve"> </w:t>
            </w:r>
            <w:r w:rsidRPr="00B408A4">
              <w:rPr>
                <w:color w:val="231F20"/>
                <w:sz w:val="16"/>
                <w:szCs w:val="16"/>
              </w:rPr>
              <w:t>events</w:t>
            </w:r>
          </w:p>
          <w:p w:rsidR="006A7A3F" w:rsidRPr="00B408A4" w:rsidRDefault="00BC7372">
            <w:pPr>
              <w:pStyle w:val="TableParagraph"/>
              <w:numPr>
                <w:ilvl w:val="0"/>
                <w:numId w:val="1098"/>
              </w:numPr>
              <w:tabs>
                <w:tab w:val="left" w:pos="306"/>
              </w:tabs>
              <w:spacing w:before="86"/>
              <w:ind w:hanging="218"/>
              <w:rPr>
                <w:sz w:val="16"/>
                <w:szCs w:val="16"/>
              </w:rPr>
            </w:pPr>
            <w:r w:rsidRPr="00B408A4">
              <w:rPr>
                <w:color w:val="231F20"/>
                <w:sz w:val="16"/>
                <w:szCs w:val="16"/>
              </w:rPr>
              <w:t>Promote the growth and recruitment of streamside</w:t>
            </w:r>
            <w:r w:rsidRPr="00B408A4">
              <w:rPr>
                <w:color w:val="231F20"/>
                <w:spacing w:val="-5"/>
                <w:sz w:val="16"/>
                <w:szCs w:val="16"/>
              </w:rPr>
              <w:t xml:space="preserve"> </w:t>
            </w:r>
            <w:r w:rsidRPr="00B408A4">
              <w:rPr>
                <w:color w:val="231F20"/>
                <w:sz w:val="16"/>
                <w:szCs w:val="16"/>
              </w:rPr>
              <w:t>vegetation</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6"/>
                  <wp:effectExtent l="0" t="0" r="0" b="0"/>
                  <wp:docPr id="62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6"/>
                  <wp:effectExtent l="0" t="0" r="0" b="0"/>
                  <wp:docPr id="63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0.jpeg"/>
                          <pic:cNvPicPr/>
                        </pic:nvPicPr>
                        <pic:blipFill>
                          <a:blip r:embed="rId32" cstate="print"/>
                          <a:stretch>
                            <a:fillRect/>
                          </a:stretch>
                        </pic:blipFill>
                        <pic:spPr>
                          <a:xfrm>
                            <a:off x="0" y="0"/>
                            <a:ext cx="314177" cy="310896"/>
                          </a:xfrm>
                          <a:prstGeom prst="rect">
                            <a:avLst/>
                          </a:prstGeom>
                        </pic:spPr>
                      </pic:pic>
                    </a:graphicData>
                  </a:graphic>
                </wp:inline>
              </w:drawing>
            </w:r>
          </w:p>
        </w:tc>
      </w:tr>
      <w:tr w:rsidR="006A7A3F">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408A4" w:rsidRDefault="006A7A3F">
            <w:pPr>
              <w:rPr>
                <w:sz w:val="16"/>
                <w:szCs w:val="16"/>
              </w:rPr>
            </w:pPr>
          </w:p>
        </w:tc>
        <w:tc>
          <w:tcPr>
            <w:tcW w:w="850" w:type="dxa"/>
            <w:tcBorders>
              <w:top w:val="nil"/>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63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tcBorders>
          </w:tcPr>
          <w:p w:rsidR="006A7A3F" w:rsidRDefault="00BC7372">
            <w:pPr>
              <w:pStyle w:val="TableParagraph"/>
              <w:ind w:left="48"/>
              <w:rPr>
                <w:sz w:val="20"/>
              </w:rPr>
            </w:pPr>
            <w:r>
              <w:rPr>
                <w:noProof/>
                <w:sz w:val="20"/>
              </w:rPr>
              <w:drawing>
                <wp:inline distT="0" distB="0" distL="0" distR="0">
                  <wp:extent cx="314177" cy="310896"/>
                  <wp:effectExtent l="0" t="0" r="0" b="0"/>
                  <wp:docPr id="63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6A7A3F">
        <w:trPr>
          <w:trHeight w:val="627"/>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408A4" w:rsidRDefault="006A7A3F">
            <w:pPr>
              <w:rPr>
                <w:sz w:val="16"/>
                <w:szCs w:val="16"/>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63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tcBorders>
          </w:tcPr>
          <w:p w:rsidR="006A7A3F" w:rsidRDefault="00BC7372">
            <w:pPr>
              <w:pStyle w:val="TableParagraph"/>
              <w:ind w:left="48"/>
              <w:rPr>
                <w:sz w:val="20"/>
              </w:rPr>
            </w:pPr>
            <w:r>
              <w:rPr>
                <w:noProof/>
                <w:sz w:val="20"/>
              </w:rPr>
              <w:drawing>
                <wp:inline distT="0" distB="0" distL="0" distR="0">
                  <wp:extent cx="314159" cy="310896"/>
                  <wp:effectExtent l="0" t="0" r="0" b="0"/>
                  <wp:docPr id="63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3.png"/>
                          <pic:cNvPicPr/>
                        </pic:nvPicPr>
                        <pic:blipFill>
                          <a:blip r:embed="rId35" cstate="print"/>
                          <a:stretch>
                            <a:fillRect/>
                          </a:stretch>
                        </pic:blipFill>
                        <pic:spPr>
                          <a:xfrm>
                            <a:off x="0" y="0"/>
                            <a:ext cx="314159" cy="310896"/>
                          </a:xfrm>
                          <a:prstGeom prst="rect">
                            <a:avLst/>
                          </a:prstGeom>
                        </pic:spPr>
                      </pic:pic>
                    </a:graphicData>
                  </a:graphic>
                </wp:inline>
              </w:drawing>
            </w:r>
          </w:p>
        </w:tc>
      </w:tr>
      <w:tr w:rsidR="006A7A3F">
        <w:trPr>
          <w:trHeight w:val="933"/>
        </w:trPr>
        <w:tc>
          <w:tcPr>
            <w:tcW w:w="2381" w:type="dxa"/>
          </w:tcPr>
          <w:p w:rsidR="006A7A3F" w:rsidRDefault="00BC7372">
            <w:pPr>
              <w:pStyle w:val="TableParagraph"/>
              <w:spacing w:before="67" w:line="261" w:lineRule="auto"/>
              <w:ind w:left="85" w:right="318"/>
              <w:rPr>
                <w:sz w:val="9"/>
              </w:rPr>
            </w:pPr>
            <w:r>
              <w:rPr>
                <w:color w:val="231F20"/>
                <w:sz w:val="16"/>
              </w:rPr>
              <w:t>Summer/autumn fresh (one fresh of 30 ML/day for five days during February to March)</w:t>
            </w:r>
            <w:r>
              <w:rPr>
                <w:color w:val="231F20"/>
                <w:position w:val="5"/>
                <w:sz w:val="9"/>
              </w:rPr>
              <w:t>1</w:t>
            </w:r>
          </w:p>
        </w:tc>
        <w:tc>
          <w:tcPr>
            <w:tcW w:w="6236" w:type="dxa"/>
          </w:tcPr>
          <w:p w:rsidR="006A7A3F" w:rsidRPr="00B408A4" w:rsidRDefault="00BC7372">
            <w:pPr>
              <w:pStyle w:val="TableParagraph"/>
              <w:numPr>
                <w:ilvl w:val="0"/>
                <w:numId w:val="1097"/>
              </w:numPr>
              <w:tabs>
                <w:tab w:val="left" w:pos="306"/>
              </w:tabs>
              <w:spacing w:before="63" w:line="254" w:lineRule="auto"/>
              <w:ind w:right="267"/>
              <w:rPr>
                <w:sz w:val="16"/>
                <w:szCs w:val="16"/>
              </w:rPr>
            </w:pPr>
            <w:r w:rsidRPr="00B408A4">
              <w:rPr>
                <w:color w:val="231F20"/>
                <w:sz w:val="16"/>
                <w:szCs w:val="16"/>
              </w:rPr>
              <w:t>Maintain</w:t>
            </w:r>
            <w:r w:rsidRPr="00B408A4">
              <w:rPr>
                <w:color w:val="231F20"/>
                <w:spacing w:val="-3"/>
                <w:sz w:val="16"/>
                <w:szCs w:val="16"/>
              </w:rPr>
              <w:t xml:space="preserve"> </w:t>
            </w:r>
            <w:r w:rsidRPr="00B408A4">
              <w:rPr>
                <w:color w:val="231F20"/>
                <w:sz w:val="16"/>
                <w:szCs w:val="16"/>
              </w:rPr>
              <w:t>water</w:t>
            </w:r>
            <w:r w:rsidRPr="00B408A4">
              <w:rPr>
                <w:color w:val="231F20"/>
                <w:spacing w:val="-4"/>
                <w:sz w:val="16"/>
                <w:szCs w:val="16"/>
              </w:rPr>
              <w:t xml:space="preserve"> </w:t>
            </w:r>
            <w:r w:rsidRPr="00B408A4">
              <w:rPr>
                <w:color w:val="231F20"/>
                <w:sz w:val="16"/>
                <w:szCs w:val="16"/>
              </w:rPr>
              <w:t>quality</w:t>
            </w:r>
            <w:r w:rsidRPr="00B408A4">
              <w:rPr>
                <w:color w:val="231F20"/>
                <w:spacing w:val="-4"/>
                <w:sz w:val="16"/>
                <w:szCs w:val="16"/>
              </w:rPr>
              <w:t xml:space="preserve"> </w:t>
            </w:r>
            <w:r w:rsidRPr="00B408A4">
              <w:rPr>
                <w:color w:val="231F20"/>
                <w:sz w:val="16"/>
                <w:szCs w:val="16"/>
              </w:rPr>
              <w:t>for</w:t>
            </w:r>
            <w:r w:rsidRPr="00B408A4">
              <w:rPr>
                <w:color w:val="231F20"/>
                <w:spacing w:val="-3"/>
                <w:sz w:val="16"/>
                <w:szCs w:val="16"/>
              </w:rPr>
              <w:t xml:space="preserve"> </w:t>
            </w:r>
            <w:r w:rsidRPr="00B408A4">
              <w:rPr>
                <w:color w:val="231F20"/>
                <w:sz w:val="16"/>
                <w:szCs w:val="16"/>
              </w:rPr>
              <w:t>biota</w:t>
            </w:r>
            <w:r w:rsidRPr="00B408A4">
              <w:rPr>
                <w:color w:val="231F20"/>
                <w:spacing w:val="-4"/>
                <w:sz w:val="16"/>
                <w:szCs w:val="16"/>
              </w:rPr>
              <w:t xml:space="preserve"> </w:t>
            </w:r>
            <w:r w:rsidRPr="00B408A4">
              <w:rPr>
                <w:color w:val="231F20"/>
                <w:sz w:val="16"/>
                <w:szCs w:val="16"/>
              </w:rPr>
              <w:t>by</w:t>
            </w:r>
            <w:r w:rsidRPr="00B408A4">
              <w:rPr>
                <w:color w:val="231F20"/>
                <w:spacing w:val="-4"/>
                <w:sz w:val="16"/>
                <w:szCs w:val="16"/>
              </w:rPr>
              <w:t xml:space="preserve"> </w:t>
            </w:r>
            <w:r w:rsidRPr="00B408A4">
              <w:rPr>
                <w:color w:val="231F20"/>
                <w:sz w:val="16"/>
                <w:szCs w:val="16"/>
              </w:rPr>
              <w:t>reducing</w:t>
            </w:r>
            <w:r w:rsidRPr="00B408A4">
              <w:rPr>
                <w:color w:val="231F20"/>
                <w:spacing w:val="-3"/>
                <w:sz w:val="16"/>
                <w:szCs w:val="16"/>
              </w:rPr>
              <w:t xml:space="preserve"> </w:t>
            </w:r>
            <w:r w:rsidRPr="00B408A4">
              <w:rPr>
                <w:color w:val="231F20"/>
                <w:sz w:val="16"/>
                <w:szCs w:val="16"/>
              </w:rPr>
              <w:t>periods</w:t>
            </w:r>
            <w:r w:rsidRPr="00B408A4">
              <w:rPr>
                <w:color w:val="231F20"/>
                <w:spacing w:val="-3"/>
                <w:sz w:val="16"/>
                <w:szCs w:val="16"/>
              </w:rPr>
              <w:t xml:space="preserve"> </w:t>
            </w:r>
            <w:r w:rsidRPr="00B408A4">
              <w:rPr>
                <w:color w:val="231F20"/>
                <w:sz w:val="16"/>
                <w:szCs w:val="16"/>
              </w:rPr>
              <w:t>of</w:t>
            </w:r>
            <w:r w:rsidRPr="00B408A4">
              <w:rPr>
                <w:color w:val="231F20"/>
                <w:spacing w:val="-4"/>
                <w:sz w:val="16"/>
                <w:szCs w:val="16"/>
              </w:rPr>
              <w:t xml:space="preserve"> </w:t>
            </w:r>
            <w:r w:rsidRPr="00B408A4">
              <w:rPr>
                <w:color w:val="231F20"/>
                <w:sz w:val="16"/>
                <w:szCs w:val="16"/>
              </w:rPr>
              <w:t>low</w:t>
            </w:r>
            <w:r w:rsidRPr="00B408A4">
              <w:rPr>
                <w:color w:val="231F20"/>
                <w:spacing w:val="-4"/>
                <w:sz w:val="16"/>
                <w:szCs w:val="16"/>
              </w:rPr>
              <w:t xml:space="preserve"> </w:t>
            </w:r>
            <w:r w:rsidRPr="00B408A4">
              <w:rPr>
                <w:color w:val="231F20"/>
                <w:sz w:val="16"/>
                <w:szCs w:val="16"/>
              </w:rPr>
              <w:t>oxygen,</w:t>
            </w:r>
            <w:r w:rsidRPr="00B408A4">
              <w:rPr>
                <w:color w:val="231F20"/>
                <w:spacing w:val="-4"/>
                <w:sz w:val="16"/>
                <w:szCs w:val="16"/>
              </w:rPr>
              <w:t xml:space="preserve"> </w:t>
            </w:r>
            <w:r w:rsidRPr="00B408A4">
              <w:rPr>
                <w:color w:val="231F20"/>
                <w:sz w:val="16"/>
                <w:szCs w:val="16"/>
              </w:rPr>
              <w:t>high water temperature and</w:t>
            </w:r>
            <w:r w:rsidRPr="00B408A4">
              <w:rPr>
                <w:color w:val="231F20"/>
                <w:spacing w:val="-3"/>
                <w:sz w:val="16"/>
                <w:szCs w:val="16"/>
              </w:rPr>
              <w:t xml:space="preserve"> </w:t>
            </w:r>
            <w:r w:rsidRPr="00B408A4">
              <w:rPr>
                <w:color w:val="231F20"/>
                <w:sz w:val="16"/>
                <w:szCs w:val="16"/>
              </w:rPr>
              <w:t>salinity</w:t>
            </w:r>
          </w:p>
        </w:tc>
        <w:tc>
          <w:tcPr>
            <w:tcW w:w="1558" w:type="dxa"/>
            <w:gridSpan w:val="2"/>
          </w:tcPr>
          <w:p w:rsidR="006A7A3F" w:rsidRDefault="006A7A3F">
            <w:pPr>
              <w:pStyle w:val="TableParagraph"/>
              <w:spacing w:before="9"/>
              <w:ind w:left="0"/>
              <w:rPr>
                <w:b/>
                <w:sz w:val="8"/>
              </w:rPr>
            </w:pPr>
          </w:p>
          <w:p w:rsidR="006A7A3F" w:rsidRDefault="00BC7372">
            <w:pPr>
              <w:pStyle w:val="TableParagraph"/>
              <w:ind w:left="315"/>
              <w:rPr>
                <w:sz w:val="20"/>
              </w:rPr>
            </w:pPr>
            <w:r>
              <w:rPr>
                <w:noProof/>
                <w:sz w:val="20"/>
              </w:rPr>
              <w:drawing>
                <wp:inline distT="0" distB="0" distL="0" distR="0">
                  <wp:extent cx="314164" cy="310896"/>
                  <wp:effectExtent l="0" t="0" r="0" b="0"/>
                  <wp:docPr id="64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3.png"/>
                          <pic:cNvPicPr/>
                        </pic:nvPicPr>
                        <pic:blipFill>
                          <a:blip r:embed="rId35" cstate="print"/>
                          <a:stretch>
                            <a:fillRect/>
                          </a:stretch>
                        </pic:blipFill>
                        <pic:spPr>
                          <a:xfrm>
                            <a:off x="0" y="0"/>
                            <a:ext cx="314164" cy="310896"/>
                          </a:xfrm>
                          <a:prstGeom prst="rect">
                            <a:avLst/>
                          </a:prstGeom>
                        </pic:spPr>
                      </pic:pic>
                    </a:graphicData>
                  </a:graphic>
                </wp:inline>
              </w:drawing>
            </w:r>
          </w:p>
        </w:tc>
      </w:tr>
    </w:tbl>
    <w:p w:rsidR="006A7A3F" w:rsidRDefault="00BC7372">
      <w:pPr>
        <w:spacing w:before="129"/>
        <w:ind w:left="210"/>
        <w:rPr>
          <w:sz w:val="14"/>
        </w:rPr>
      </w:pPr>
      <w:r>
        <w:rPr>
          <w:color w:val="231F20"/>
          <w:sz w:val="14"/>
        </w:rPr>
        <w:t>1 This event is trigger-based, to be delivered if water quality deteriorates to an extent that is harmful to aquatic life.</w:t>
      </w:r>
    </w:p>
    <w:p w:rsidR="006A7A3F" w:rsidRDefault="00BC7372">
      <w:pPr>
        <w:pStyle w:val="Heading4"/>
        <w:spacing w:before="139"/>
      </w:pPr>
      <w:r>
        <w:rPr>
          <w:color w:val="231F20"/>
        </w:rPr>
        <w:t>Scenario planning</w:t>
      </w:r>
    </w:p>
    <w:p w:rsidR="006A7A3F" w:rsidRDefault="00BC7372">
      <w:pPr>
        <w:pStyle w:val="BodyText"/>
        <w:spacing w:before="58" w:line="249" w:lineRule="auto"/>
        <w:ind w:right="100"/>
      </w:pPr>
      <w:r>
        <w:rPr>
          <w:color w:val="231F20"/>
        </w:rPr>
        <w:t>Table 3.6.2 outlines the potential environmental watering and expected water use under a range of planning scenarios.</w:t>
      </w:r>
    </w:p>
    <w:p w:rsidR="006A7A3F" w:rsidRDefault="00BC7372">
      <w:pPr>
        <w:pStyle w:val="BodyText"/>
        <w:spacing w:line="249" w:lineRule="auto"/>
        <w:ind w:right="100"/>
      </w:pPr>
      <w:r>
        <w:rPr>
          <w:color w:val="231F20"/>
        </w:rPr>
        <w:t>The highest environmental flow priority under all scenarios in the Moorabool River in 2020–21 will be to provide continuous low flows during summer and autumn to maintain habitat for fish, waterbugs, platypus and aquatic vegetation, to allow fish and platypus to disperse and to protect water quality. Maintaining continuous low flows in winter and spring is also a high priority when these flows are not met naturally. Spring freshes are a high priority under dry, average and wet scenarios to cue the upstream migration of juvenile galaxias, tupong, short-finned eel and Australian grayling.</w:t>
      </w:r>
    </w:p>
    <w:p w:rsidR="006A7A3F" w:rsidRDefault="00BC7372">
      <w:pPr>
        <w:pStyle w:val="BodyText"/>
        <w:spacing w:before="175" w:line="249" w:lineRule="auto"/>
        <w:ind w:right="297"/>
      </w:pPr>
      <w:r>
        <w:rPr>
          <w:color w:val="231F20"/>
        </w:rPr>
        <w:t>Summer and autumn freshes are important under drought and dry scenarios, to help mitigate against extreme water quality conditions that may threaten fish and other aquatic animals in refuge pools. Autumn and winter freshes may be delivered under average and wet conditions to cue tupong and Australian grayling to migrate and spawn. Freshes at any time of year will help transport nutrients through the system and scour biofilms and algae from the streambed and other hard surfaces.</w:t>
      </w:r>
    </w:p>
    <w:p w:rsidR="006A7A3F" w:rsidRDefault="00BC7372">
      <w:pPr>
        <w:pStyle w:val="BodyText"/>
        <w:spacing w:before="174" w:line="249" w:lineRule="auto"/>
        <w:ind w:right="1019"/>
      </w:pPr>
      <w:r>
        <w:rPr>
          <w:color w:val="231F20"/>
        </w:rPr>
        <w:t>Although environmental watering in the Moorabool River primarily targets outcomes in reaches 3a and 3b, deliveries will be planned where possible to also provide benefits in reach 4.</w:t>
      </w:r>
    </w:p>
    <w:p w:rsidR="006A7A3F" w:rsidRDefault="00BC7372">
      <w:pPr>
        <w:pStyle w:val="BodyText"/>
        <w:spacing w:line="249" w:lineRule="auto"/>
        <w:ind w:right="297"/>
      </w:pPr>
      <w:r>
        <w:rPr>
          <w:color w:val="231F20"/>
        </w:rPr>
        <w:t>Critical carryover of 1,000 ML has been identified to allow delivery of trigger-based freshes in 2021–22, if there is low allocation.</w:t>
      </w:r>
    </w:p>
    <w:p w:rsidR="00AF59F3" w:rsidRDefault="00AF59F3">
      <w:pPr>
        <w:rPr>
          <w:b/>
          <w:color w:val="231F20"/>
          <w:sz w:val="18"/>
        </w:rPr>
      </w:pPr>
      <w:r>
        <w:rPr>
          <w:b/>
          <w:color w:val="231F20"/>
          <w:sz w:val="18"/>
        </w:rPr>
        <w:br w:type="page"/>
      </w:r>
    </w:p>
    <w:p w:rsidR="006A7A3F" w:rsidRDefault="00BC7372" w:rsidP="006B6909">
      <w:pPr>
        <w:spacing w:before="166"/>
        <w:ind w:left="210"/>
        <w:rPr>
          <w:b/>
          <w:color w:val="231F20"/>
          <w:sz w:val="18"/>
        </w:rPr>
      </w:pPr>
      <w:r>
        <w:rPr>
          <w:b/>
          <w:color w:val="231F20"/>
          <w:sz w:val="18"/>
        </w:rPr>
        <w:t>Table 3.6.2 Potential environmental watering for the Moorabool River under a range of planning scenarios</w:t>
      </w:r>
    </w:p>
    <w:p w:rsidR="006B6909" w:rsidRDefault="006B6909" w:rsidP="006B6909">
      <w:pPr>
        <w:spacing w:before="166"/>
        <w:ind w:left="210"/>
        <w:rPr>
          <w:b/>
          <w:sz w:val="8"/>
        </w:rPr>
      </w:pPr>
    </w:p>
    <w:tbl>
      <w:tblPr>
        <w:tblW w:w="10205" w:type="dxa"/>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AF59F3" w:rsidTr="00AF59F3">
        <w:trPr>
          <w:trHeight w:val="533"/>
        </w:trPr>
        <w:tc>
          <w:tcPr>
            <w:tcW w:w="2041" w:type="dxa"/>
            <w:shd w:val="clear" w:color="auto" w:fill="000000" w:themeFill="text1"/>
          </w:tcPr>
          <w:p w:rsidR="00AF59F3" w:rsidRDefault="00AF59F3" w:rsidP="00AF59F3">
            <w:pPr>
              <w:pStyle w:val="TableParagraph"/>
              <w:spacing w:before="80"/>
              <w:ind w:left="90"/>
              <w:rPr>
                <w:b/>
                <w:sz w:val="18"/>
              </w:rPr>
            </w:pPr>
            <w:r>
              <w:rPr>
                <w:b/>
                <w:color w:val="FFFFFF"/>
                <w:sz w:val="18"/>
              </w:rPr>
              <w:t>Planning scenario</w:t>
            </w:r>
          </w:p>
        </w:tc>
        <w:tc>
          <w:tcPr>
            <w:tcW w:w="2041" w:type="dxa"/>
            <w:shd w:val="clear" w:color="auto" w:fill="000000" w:themeFill="text1"/>
          </w:tcPr>
          <w:p w:rsidR="00AF59F3" w:rsidRDefault="00AF59F3" w:rsidP="00AF59F3">
            <w:pPr>
              <w:pStyle w:val="TableParagraph"/>
              <w:spacing w:before="80"/>
              <w:ind w:left="89"/>
              <w:rPr>
                <w:b/>
                <w:sz w:val="18"/>
              </w:rPr>
            </w:pPr>
            <w:r>
              <w:rPr>
                <w:b/>
                <w:color w:val="FFFFFF"/>
                <w:sz w:val="18"/>
              </w:rPr>
              <w:t>Drought</w:t>
            </w:r>
          </w:p>
        </w:tc>
        <w:tc>
          <w:tcPr>
            <w:tcW w:w="2041" w:type="dxa"/>
            <w:shd w:val="clear" w:color="auto" w:fill="000000" w:themeFill="text1"/>
          </w:tcPr>
          <w:p w:rsidR="00AF59F3" w:rsidRDefault="00AF59F3" w:rsidP="00AF59F3">
            <w:pPr>
              <w:pStyle w:val="TableParagraph"/>
              <w:spacing w:before="80"/>
              <w:ind w:left="89"/>
              <w:rPr>
                <w:b/>
                <w:sz w:val="18"/>
              </w:rPr>
            </w:pPr>
            <w:r>
              <w:rPr>
                <w:b/>
                <w:color w:val="FFFFFF"/>
                <w:sz w:val="18"/>
              </w:rPr>
              <w:t>Dry</w:t>
            </w:r>
          </w:p>
        </w:tc>
        <w:tc>
          <w:tcPr>
            <w:tcW w:w="2041" w:type="dxa"/>
            <w:shd w:val="clear" w:color="auto" w:fill="000000" w:themeFill="text1"/>
          </w:tcPr>
          <w:p w:rsidR="00AF59F3" w:rsidRDefault="00AF59F3" w:rsidP="00AF59F3">
            <w:pPr>
              <w:pStyle w:val="TableParagraph"/>
              <w:spacing w:before="80"/>
              <w:ind w:left="89"/>
              <w:rPr>
                <w:b/>
                <w:sz w:val="18"/>
              </w:rPr>
            </w:pPr>
            <w:r>
              <w:rPr>
                <w:b/>
                <w:color w:val="FFFFFF"/>
                <w:sz w:val="18"/>
              </w:rPr>
              <w:t>Average</w:t>
            </w:r>
          </w:p>
        </w:tc>
        <w:tc>
          <w:tcPr>
            <w:tcW w:w="2041" w:type="dxa"/>
            <w:shd w:val="clear" w:color="auto" w:fill="000000" w:themeFill="text1"/>
          </w:tcPr>
          <w:p w:rsidR="00AF59F3" w:rsidRDefault="00AF59F3" w:rsidP="00AF59F3">
            <w:pPr>
              <w:pStyle w:val="TableParagraph"/>
              <w:spacing w:before="80"/>
              <w:ind w:left="89"/>
              <w:rPr>
                <w:b/>
                <w:sz w:val="18"/>
              </w:rPr>
            </w:pPr>
            <w:r>
              <w:rPr>
                <w:b/>
                <w:color w:val="FFFFFF"/>
                <w:sz w:val="18"/>
              </w:rPr>
              <w:t>Wet</w:t>
            </w:r>
          </w:p>
        </w:tc>
      </w:tr>
      <w:tr w:rsidR="00AF59F3" w:rsidTr="00AF59F3">
        <w:trPr>
          <w:trHeight w:val="533"/>
        </w:trPr>
        <w:tc>
          <w:tcPr>
            <w:tcW w:w="2041" w:type="dxa"/>
          </w:tcPr>
          <w:p w:rsidR="00AF59F3" w:rsidRDefault="00AF59F3" w:rsidP="00AF59F3">
            <w:pPr>
              <w:pStyle w:val="TableParagraph"/>
              <w:spacing w:before="74"/>
              <w:ind w:left="85"/>
              <w:rPr>
                <w:sz w:val="16"/>
              </w:rPr>
            </w:pPr>
            <w:r>
              <w:rPr>
                <w:color w:val="231F20"/>
                <w:sz w:val="16"/>
              </w:rPr>
              <w:t>Expected river conditions</w:t>
            </w:r>
          </w:p>
        </w:tc>
        <w:tc>
          <w:tcPr>
            <w:tcW w:w="2041" w:type="dxa"/>
          </w:tcPr>
          <w:p w:rsidR="00AF59F3" w:rsidRPr="00B408A4" w:rsidRDefault="00AF59F3" w:rsidP="00AF59F3">
            <w:pPr>
              <w:pStyle w:val="TableParagraph"/>
              <w:numPr>
                <w:ilvl w:val="0"/>
                <w:numId w:val="1096"/>
              </w:numPr>
              <w:tabs>
                <w:tab w:val="left" w:pos="305"/>
              </w:tabs>
              <w:spacing w:before="70" w:line="254" w:lineRule="auto"/>
              <w:ind w:right="273"/>
              <w:rPr>
                <w:sz w:val="16"/>
                <w:szCs w:val="16"/>
              </w:rPr>
            </w:pPr>
            <w:r w:rsidRPr="00B408A4">
              <w:rPr>
                <w:color w:val="231F20"/>
                <w:sz w:val="16"/>
                <w:szCs w:val="16"/>
              </w:rPr>
              <w:t xml:space="preserve">Regular periods of no flow in </w:t>
            </w:r>
            <w:r w:rsidRPr="00B408A4">
              <w:rPr>
                <w:color w:val="231F20"/>
                <w:spacing w:val="-3"/>
                <w:sz w:val="16"/>
                <w:szCs w:val="16"/>
              </w:rPr>
              <w:t xml:space="preserve">some </w:t>
            </w:r>
            <w:r w:rsidRPr="00B408A4">
              <w:rPr>
                <w:color w:val="231F20"/>
                <w:sz w:val="16"/>
                <w:szCs w:val="16"/>
              </w:rPr>
              <w:t>reaches</w:t>
            </w:r>
          </w:p>
        </w:tc>
        <w:tc>
          <w:tcPr>
            <w:tcW w:w="2041" w:type="dxa"/>
          </w:tcPr>
          <w:p w:rsidR="00AF59F3" w:rsidRPr="00B408A4" w:rsidRDefault="00AF59F3" w:rsidP="00AF59F3">
            <w:pPr>
              <w:pStyle w:val="TableParagraph"/>
              <w:numPr>
                <w:ilvl w:val="0"/>
                <w:numId w:val="1095"/>
              </w:numPr>
              <w:tabs>
                <w:tab w:val="left" w:pos="305"/>
              </w:tabs>
              <w:spacing w:before="70" w:line="254" w:lineRule="auto"/>
              <w:ind w:right="293"/>
              <w:jc w:val="both"/>
              <w:rPr>
                <w:sz w:val="16"/>
                <w:szCs w:val="16"/>
              </w:rPr>
            </w:pPr>
            <w:r w:rsidRPr="00B408A4">
              <w:rPr>
                <w:color w:val="231F20"/>
                <w:sz w:val="16"/>
                <w:szCs w:val="16"/>
              </w:rPr>
              <w:t xml:space="preserve">Periods of no </w:t>
            </w:r>
            <w:r w:rsidRPr="00B408A4">
              <w:rPr>
                <w:color w:val="231F20"/>
                <w:spacing w:val="-3"/>
                <w:sz w:val="16"/>
                <w:szCs w:val="16"/>
              </w:rPr>
              <w:t xml:space="preserve">flow </w:t>
            </w:r>
            <w:r w:rsidRPr="00B408A4">
              <w:rPr>
                <w:color w:val="231F20"/>
                <w:sz w:val="16"/>
                <w:szCs w:val="16"/>
              </w:rPr>
              <w:t>or very low flow in some reaches</w:t>
            </w:r>
          </w:p>
        </w:tc>
        <w:tc>
          <w:tcPr>
            <w:tcW w:w="2041" w:type="dxa"/>
          </w:tcPr>
          <w:p w:rsidR="00AF59F3" w:rsidRPr="00B408A4" w:rsidRDefault="00AF59F3" w:rsidP="00AF59F3">
            <w:pPr>
              <w:pStyle w:val="TableParagraph"/>
              <w:numPr>
                <w:ilvl w:val="0"/>
                <w:numId w:val="1094"/>
              </w:numPr>
              <w:tabs>
                <w:tab w:val="left" w:pos="305"/>
              </w:tabs>
              <w:spacing w:before="70" w:line="254" w:lineRule="auto"/>
              <w:ind w:right="314"/>
              <w:rPr>
                <w:sz w:val="16"/>
                <w:szCs w:val="16"/>
              </w:rPr>
            </w:pPr>
            <w:r w:rsidRPr="00B408A4">
              <w:rPr>
                <w:color w:val="231F20"/>
                <w:sz w:val="16"/>
                <w:szCs w:val="16"/>
              </w:rPr>
              <w:t>Continuous flow with low flow over summer and high peaks in winter months</w:t>
            </w:r>
          </w:p>
        </w:tc>
        <w:tc>
          <w:tcPr>
            <w:tcW w:w="2041" w:type="dxa"/>
          </w:tcPr>
          <w:p w:rsidR="00AF59F3" w:rsidRPr="00B408A4" w:rsidRDefault="00AF59F3" w:rsidP="00AF59F3">
            <w:pPr>
              <w:pStyle w:val="TableParagraph"/>
              <w:numPr>
                <w:ilvl w:val="0"/>
                <w:numId w:val="1093"/>
              </w:numPr>
              <w:tabs>
                <w:tab w:val="left" w:pos="305"/>
              </w:tabs>
              <w:spacing w:before="70" w:line="254" w:lineRule="auto"/>
              <w:ind w:right="444"/>
              <w:rPr>
                <w:sz w:val="16"/>
                <w:szCs w:val="16"/>
              </w:rPr>
            </w:pPr>
            <w:r w:rsidRPr="00B408A4">
              <w:rPr>
                <w:color w:val="231F20"/>
                <w:sz w:val="16"/>
                <w:szCs w:val="16"/>
              </w:rPr>
              <w:t>Continuous flow year-round</w:t>
            </w:r>
          </w:p>
          <w:p w:rsidR="00AF59F3" w:rsidRPr="00B408A4" w:rsidRDefault="00AF59F3" w:rsidP="00AF59F3">
            <w:pPr>
              <w:pStyle w:val="TableParagraph"/>
              <w:numPr>
                <w:ilvl w:val="0"/>
                <w:numId w:val="1093"/>
              </w:numPr>
              <w:tabs>
                <w:tab w:val="left" w:pos="305"/>
              </w:tabs>
              <w:spacing w:before="87" w:line="254" w:lineRule="auto"/>
              <w:ind w:right="333"/>
              <w:rPr>
                <w:sz w:val="16"/>
                <w:szCs w:val="16"/>
              </w:rPr>
            </w:pPr>
            <w:r w:rsidRPr="00B408A4">
              <w:rPr>
                <w:color w:val="231F20"/>
                <w:sz w:val="16"/>
                <w:szCs w:val="16"/>
              </w:rPr>
              <w:t xml:space="preserve">Bankfull flows persistent throughout </w:t>
            </w:r>
            <w:r w:rsidRPr="00B408A4">
              <w:rPr>
                <w:color w:val="231F20"/>
                <w:spacing w:val="-3"/>
                <w:sz w:val="16"/>
                <w:szCs w:val="16"/>
              </w:rPr>
              <w:t>winter</w:t>
            </w:r>
          </w:p>
          <w:p w:rsidR="00AF59F3" w:rsidRPr="00B408A4" w:rsidRDefault="00AF59F3" w:rsidP="00AF59F3">
            <w:pPr>
              <w:pStyle w:val="TableParagraph"/>
              <w:numPr>
                <w:ilvl w:val="0"/>
                <w:numId w:val="1093"/>
              </w:numPr>
              <w:tabs>
                <w:tab w:val="left" w:pos="305"/>
              </w:tabs>
              <w:spacing w:before="86" w:line="254" w:lineRule="auto"/>
              <w:ind w:right="82"/>
              <w:jc w:val="both"/>
              <w:rPr>
                <w:sz w:val="16"/>
                <w:szCs w:val="16"/>
              </w:rPr>
            </w:pPr>
            <w:r w:rsidRPr="00B408A4">
              <w:rPr>
                <w:color w:val="231F20"/>
                <w:sz w:val="16"/>
                <w:szCs w:val="16"/>
              </w:rPr>
              <w:t>Overbank conditions in some parts during spring/autumn</w:t>
            </w:r>
          </w:p>
        </w:tc>
      </w:tr>
      <w:tr w:rsidR="006A7A3F" w:rsidTr="00AF59F3">
        <w:trPr>
          <w:trHeight w:val="533"/>
        </w:trPr>
        <w:tc>
          <w:tcPr>
            <w:tcW w:w="2041" w:type="dxa"/>
          </w:tcPr>
          <w:p w:rsidR="006A7A3F" w:rsidRDefault="00BC7372">
            <w:pPr>
              <w:pStyle w:val="TableParagraph"/>
              <w:spacing w:before="67" w:line="261" w:lineRule="auto"/>
              <w:ind w:left="85" w:right="61"/>
              <w:rPr>
                <w:sz w:val="9"/>
              </w:rPr>
            </w:pPr>
            <w:r>
              <w:rPr>
                <w:color w:val="231F20"/>
                <w:sz w:val="16"/>
              </w:rPr>
              <w:t>Expected availability of water for the environment</w:t>
            </w:r>
            <w:r>
              <w:rPr>
                <w:color w:val="231F20"/>
                <w:position w:val="5"/>
                <w:sz w:val="9"/>
              </w:rPr>
              <w:t>1</w:t>
            </w:r>
          </w:p>
        </w:tc>
        <w:tc>
          <w:tcPr>
            <w:tcW w:w="2041" w:type="dxa"/>
          </w:tcPr>
          <w:p w:rsidR="006A7A3F" w:rsidRPr="00B408A4" w:rsidRDefault="00BC7372">
            <w:pPr>
              <w:pStyle w:val="TableParagraph"/>
              <w:numPr>
                <w:ilvl w:val="0"/>
                <w:numId w:val="1092"/>
              </w:numPr>
              <w:tabs>
                <w:tab w:val="left" w:pos="305"/>
              </w:tabs>
              <w:spacing w:before="63"/>
              <w:rPr>
                <w:sz w:val="16"/>
                <w:szCs w:val="16"/>
              </w:rPr>
            </w:pPr>
            <w:r w:rsidRPr="00B408A4">
              <w:rPr>
                <w:color w:val="231F20"/>
                <w:sz w:val="16"/>
                <w:szCs w:val="16"/>
              </w:rPr>
              <w:t>3,900</w:t>
            </w:r>
            <w:r w:rsidRPr="00B408A4">
              <w:rPr>
                <w:color w:val="231F20"/>
                <w:spacing w:val="-2"/>
                <w:sz w:val="16"/>
                <w:szCs w:val="16"/>
              </w:rPr>
              <w:t xml:space="preserve"> </w:t>
            </w:r>
            <w:r w:rsidRPr="00B408A4">
              <w:rPr>
                <w:color w:val="231F20"/>
                <w:sz w:val="16"/>
                <w:szCs w:val="16"/>
              </w:rPr>
              <w:t>ML</w:t>
            </w:r>
          </w:p>
        </w:tc>
        <w:tc>
          <w:tcPr>
            <w:tcW w:w="2041" w:type="dxa"/>
          </w:tcPr>
          <w:p w:rsidR="006A7A3F" w:rsidRPr="00B408A4" w:rsidRDefault="00BC7372">
            <w:pPr>
              <w:pStyle w:val="TableParagraph"/>
              <w:numPr>
                <w:ilvl w:val="0"/>
                <w:numId w:val="1091"/>
              </w:numPr>
              <w:tabs>
                <w:tab w:val="left" w:pos="305"/>
              </w:tabs>
              <w:spacing w:before="63"/>
              <w:rPr>
                <w:sz w:val="16"/>
                <w:szCs w:val="16"/>
              </w:rPr>
            </w:pPr>
            <w:r w:rsidRPr="00B408A4">
              <w:rPr>
                <w:color w:val="231F20"/>
                <w:sz w:val="16"/>
                <w:szCs w:val="16"/>
              </w:rPr>
              <w:t>4,700</w:t>
            </w:r>
            <w:r w:rsidRPr="00B408A4">
              <w:rPr>
                <w:color w:val="231F20"/>
                <w:spacing w:val="-2"/>
                <w:sz w:val="16"/>
                <w:szCs w:val="16"/>
              </w:rPr>
              <w:t xml:space="preserve"> </w:t>
            </w:r>
            <w:r w:rsidRPr="00B408A4">
              <w:rPr>
                <w:color w:val="231F20"/>
                <w:sz w:val="16"/>
                <w:szCs w:val="16"/>
              </w:rPr>
              <w:t>ML</w:t>
            </w:r>
          </w:p>
        </w:tc>
        <w:tc>
          <w:tcPr>
            <w:tcW w:w="2041" w:type="dxa"/>
          </w:tcPr>
          <w:p w:rsidR="006A7A3F" w:rsidRPr="00B408A4" w:rsidRDefault="00BC7372">
            <w:pPr>
              <w:pStyle w:val="TableParagraph"/>
              <w:numPr>
                <w:ilvl w:val="0"/>
                <w:numId w:val="1090"/>
              </w:numPr>
              <w:tabs>
                <w:tab w:val="left" w:pos="305"/>
              </w:tabs>
              <w:spacing w:before="63"/>
              <w:rPr>
                <w:sz w:val="16"/>
                <w:szCs w:val="16"/>
              </w:rPr>
            </w:pPr>
            <w:r w:rsidRPr="00B408A4">
              <w:rPr>
                <w:color w:val="231F20"/>
                <w:sz w:val="16"/>
                <w:szCs w:val="16"/>
              </w:rPr>
              <w:t>5,700</w:t>
            </w:r>
            <w:r w:rsidRPr="00B408A4">
              <w:rPr>
                <w:color w:val="231F20"/>
                <w:spacing w:val="-2"/>
                <w:sz w:val="16"/>
                <w:szCs w:val="16"/>
              </w:rPr>
              <w:t xml:space="preserve"> </w:t>
            </w:r>
            <w:r w:rsidRPr="00B408A4">
              <w:rPr>
                <w:color w:val="231F20"/>
                <w:sz w:val="16"/>
                <w:szCs w:val="16"/>
              </w:rPr>
              <w:t>ML</w:t>
            </w:r>
          </w:p>
        </w:tc>
        <w:tc>
          <w:tcPr>
            <w:tcW w:w="2041" w:type="dxa"/>
          </w:tcPr>
          <w:p w:rsidR="006A7A3F" w:rsidRPr="00B408A4" w:rsidRDefault="00BC7372">
            <w:pPr>
              <w:pStyle w:val="TableParagraph"/>
              <w:numPr>
                <w:ilvl w:val="0"/>
                <w:numId w:val="1089"/>
              </w:numPr>
              <w:tabs>
                <w:tab w:val="left" w:pos="305"/>
              </w:tabs>
              <w:spacing w:before="63"/>
              <w:rPr>
                <w:sz w:val="16"/>
                <w:szCs w:val="16"/>
              </w:rPr>
            </w:pPr>
            <w:r w:rsidRPr="00B408A4">
              <w:rPr>
                <w:color w:val="231F20"/>
                <w:sz w:val="16"/>
                <w:szCs w:val="16"/>
              </w:rPr>
              <w:t>7,700</w:t>
            </w:r>
            <w:r w:rsidRPr="00B408A4">
              <w:rPr>
                <w:color w:val="231F20"/>
                <w:spacing w:val="-2"/>
                <w:sz w:val="16"/>
                <w:szCs w:val="16"/>
              </w:rPr>
              <w:t xml:space="preserve"> </w:t>
            </w:r>
            <w:r w:rsidRPr="00B408A4">
              <w:rPr>
                <w:color w:val="231F20"/>
                <w:sz w:val="16"/>
                <w:szCs w:val="16"/>
              </w:rPr>
              <w:t>ML</w:t>
            </w:r>
          </w:p>
        </w:tc>
      </w:tr>
      <w:tr w:rsidR="006A7A3F" w:rsidTr="00AF59F3">
        <w:trPr>
          <w:trHeight w:val="2923"/>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1a (high priorities)</w:t>
            </w:r>
          </w:p>
        </w:tc>
        <w:tc>
          <w:tcPr>
            <w:tcW w:w="2041" w:type="dxa"/>
          </w:tcPr>
          <w:p w:rsidR="006A7A3F" w:rsidRPr="00B408A4" w:rsidRDefault="00BC7372">
            <w:pPr>
              <w:pStyle w:val="TableParagraph"/>
              <w:numPr>
                <w:ilvl w:val="0"/>
                <w:numId w:val="1088"/>
              </w:numPr>
              <w:tabs>
                <w:tab w:val="left" w:pos="305"/>
              </w:tabs>
              <w:spacing w:before="63" w:line="254" w:lineRule="auto"/>
              <w:ind w:right="103"/>
              <w:rPr>
                <w:sz w:val="16"/>
                <w:szCs w:val="16"/>
              </w:rPr>
            </w:pPr>
            <w:r w:rsidRPr="00B408A4">
              <w:rPr>
                <w:color w:val="231F20"/>
                <w:sz w:val="16"/>
                <w:szCs w:val="16"/>
              </w:rPr>
              <w:t>Summer/autumn fresh (trigger</w:t>
            </w:r>
            <w:r w:rsidRPr="00B408A4">
              <w:rPr>
                <w:color w:val="231F20"/>
                <w:spacing w:val="1"/>
                <w:sz w:val="16"/>
                <w:szCs w:val="16"/>
              </w:rPr>
              <w:t xml:space="preserve"> </w:t>
            </w:r>
            <w:r w:rsidRPr="00B408A4">
              <w:rPr>
                <w:color w:val="231F20"/>
                <w:spacing w:val="-3"/>
                <w:sz w:val="16"/>
                <w:szCs w:val="16"/>
              </w:rPr>
              <w:t>based)</w:t>
            </w:r>
          </w:p>
          <w:p w:rsidR="006A7A3F" w:rsidRPr="00B408A4" w:rsidRDefault="00BC7372">
            <w:pPr>
              <w:pStyle w:val="TableParagraph"/>
              <w:numPr>
                <w:ilvl w:val="0"/>
                <w:numId w:val="1088"/>
              </w:numPr>
              <w:tabs>
                <w:tab w:val="left" w:pos="305"/>
              </w:tabs>
              <w:spacing w:before="86" w:line="254" w:lineRule="auto"/>
              <w:ind w:right="73"/>
              <w:rPr>
                <w:sz w:val="16"/>
                <w:szCs w:val="16"/>
              </w:rPr>
            </w:pPr>
            <w:r w:rsidRPr="00B408A4">
              <w:rPr>
                <w:color w:val="231F20"/>
                <w:sz w:val="16"/>
                <w:szCs w:val="16"/>
              </w:rPr>
              <w:t xml:space="preserve">Summer/autumn </w:t>
            </w:r>
            <w:r w:rsidRPr="00B408A4">
              <w:rPr>
                <w:color w:val="231F20"/>
                <w:spacing w:val="-6"/>
                <w:sz w:val="16"/>
                <w:szCs w:val="16"/>
              </w:rPr>
              <w:t xml:space="preserve">low </w:t>
            </w:r>
            <w:r w:rsidRPr="00B408A4">
              <w:rPr>
                <w:color w:val="231F20"/>
                <w:sz w:val="16"/>
                <w:szCs w:val="16"/>
              </w:rPr>
              <w:t>flows</w:t>
            </w:r>
          </w:p>
          <w:p w:rsidR="006A7A3F" w:rsidRPr="00B408A4" w:rsidRDefault="00BC7372">
            <w:pPr>
              <w:pStyle w:val="TableParagraph"/>
              <w:numPr>
                <w:ilvl w:val="0"/>
                <w:numId w:val="1088"/>
              </w:numPr>
              <w:tabs>
                <w:tab w:val="left" w:pos="305"/>
              </w:tabs>
              <w:spacing w:before="86" w:line="254" w:lineRule="auto"/>
              <w:ind w:right="343"/>
              <w:rPr>
                <w:sz w:val="16"/>
                <w:szCs w:val="16"/>
              </w:rPr>
            </w:pPr>
            <w:r w:rsidRPr="00B408A4">
              <w:rPr>
                <w:color w:val="231F20"/>
                <w:sz w:val="16"/>
                <w:szCs w:val="16"/>
              </w:rPr>
              <w:t xml:space="preserve">Winter/spring </w:t>
            </w:r>
            <w:r w:rsidRPr="00B408A4">
              <w:rPr>
                <w:color w:val="231F20"/>
                <w:spacing w:val="-6"/>
                <w:sz w:val="16"/>
                <w:szCs w:val="16"/>
              </w:rPr>
              <w:t xml:space="preserve">low </w:t>
            </w:r>
            <w:r w:rsidRPr="00B408A4">
              <w:rPr>
                <w:color w:val="231F20"/>
                <w:sz w:val="16"/>
                <w:szCs w:val="16"/>
              </w:rPr>
              <w:t>flows</w:t>
            </w:r>
          </w:p>
          <w:p w:rsidR="006A7A3F" w:rsidRPr="00B408A4" w:rsidRDefault="00BC7372">
            <w:pPr>
              <w:pStyle w:val="TableParagraph"/>
              <w:numPr>
                <w:ilvl w:val="0"/>
                <w:numId w:val="1088"/>
              </w:numPr>
              <w:tabs>
                <w:tab w:val="left" w:pos="305"/>
              </w:tabs>
              <w:spacing w:before="87"/>
              <w:rPr>
                <w:sz w:val="16"/>
                <w:szCs w:val="16"/>
              </w:rPr>
            </w:pPr>
            <w:r w:rsidRPr="00B408A4">
              <w:rPr>
                <w:color w:val="231F20"/>
                <w:sz w:val="16"/>
                <w:szCs w:val="16"/>
              </w:rPr>
              <w:t>Autumn fresh</w:t>
            </w:r>
          </w:p>
        </w:tc>
        <w:tc>
          <w:tcPr>
            <w:tcW w:w="2041" w:type="dxa"/>
          </w:tcPr>
          <w:p w:rsidR="006A7A3F" w:rsidRPr="00B408A4" w:rsidRDefault="00BC7372">
            <w:pPr>
              <w:pStyle w:val="TableParagraph"/>
              <w:numPr>
                <w:ilvl w:val="0"/>
                <w:numId w:val="1087"/>
              </w:numPr>
              <w:tabs>
                <w:tab w:val="left" w:pos="305"/>
              </w:tabs>
              <w:spacing w:before="63" w:line="254" w:lineRule="auto"/>
              <w:ind w:right="103"/>
              <w:rPr>
                <w:sz w:val="16"/>
                <w:szCs w:val="16"/>
              </w:rPr>
            </w:pPr>
            <w:r w:rsidRPr="00B408A4">
              <w:rPr>
                <w:color w:val="231F20"/>
                <w:sz w:val="16"/>
                <w:szCs w:val="16"/>
              </w:rPr>
              <w:t>Summer/autumn fresh (trigger</w:t>
            </w:r>
            <w:r w:rsidRPr="00B408A4">
              <w:rPr>
                <w:color w:val="231F20"/>
                <w:spacing w:val="1"/>
                <w:sz w:val="16"/>
                <w:szCs w:val="16"/>
              </w:rPr>
              <w:t xml:space="preserve"> </w:t>
            </w:r>
            <w:r w:rsidRPr="00B408A4">
              <w:rPr>
                <w:color w:val="231F20"/>
                <w:spacing w:val="-3"/>
                <w:sz w:val="16"/>
                <w:szCs w:val="16"/>
              </w:rPr>
              <w:t>based)</w:t>
            </w:r>
          </w:p>
          <w:p w:rsidR="006A7A3F" w:rsidRPr="00B408A4" w:rsidRDefault="00BC7372">
            <w:pPr>
              <w:pStyle w:val="TableParagraph"/>
              <w:numPr>
                <w:ilvl w:val="0"/>
                <w:numId w:val="1087"/>
              </w:numPr>
              <w:tabs>
                <w:tab w:val="left" w:pos="305"/>
              </w:tabs>
              <w:spacing w:before="86" w:line="254" w:lineRule="auto"/>
              <w:ind w:right="73"/>
              <w:rPr>
                <w:sz w:val="16"/>
                <w:szCs w:val="16"/>
              </w:rPr>
            </w:pPr>
            <w:r w:rsidRPr="00B408A4">
              <w:rPr>
                <w:color w:val="231F20"/>
                <w:sz w:val="16"/>
                <w:szCs w:val="16"/>
              </w:rPr>
              <w:t xml:space="preserve">Summer/autumn </w:t>
            </w:r>
            <w:r w:rsidRPr="00B408A4">
              <w:rPr>
                <w:color w:val="231F20"/>
                <w:spacing w:val="-6"/>
                <w:sz w:val="16"/>
                <w:szCs w:val="16"/>
              </w:rPr>
              <w:t xml:space="preserve">low </w:t>
            </w:r>
            <w:r w:rsidRPr="00B408A4">
              <w:rPr>
                <w:color w:val="231F20"/>
                <w:sz w:val="16"/>
                <w:szCs w:val="16"/>
              </w:rPr>
              <w:t>flows</w:t>
            </w:r>
          </w:p>
          <w:p w:rsidR="006A7A3F" w:rsidRPr="00B408A4" w:rsidRDefault="00BC7372">
            <w:pPr>
              <w:pStyle w:val="TableParagraph"/>
              <w:numPr>
                <w:ilvl w:val="0"/>
                <w:numId w:val="1087"/>
              </w:numPr>
              <w:tabs>
                <w:tab w:val="left" w:pos="305"/>
              </w:tabs>
              <w:spacing w:before="86" w:line="254" w:lineRule="auto"/>
              <w:ind w:right="343"/>
              <w:rPr>
                <w:sz w:val="16"/>
                <w:szCs w:val="16"/>
              </w:rPr>
            </w:pPr>
            <w:r w:rsidRPr="00B408A4">
              <w:rPr>
                <w:color w:val="231F20"/>
                <w:sz w:val="16"/>
                <w:szCs w:val="16"/>
              </w:rPr>
              <w:t xml:space="preserve">Winter/spring </w:t>
            </w:r>
            <w:r w:rsidRPr="00B408A4">
              <w:rPr>
                <w:color w:val="231F20"/>
                <w:spacing w:val="-6"/>
                <w:sz w:val="16"/>
                <w:szCs w:val="16"/>
              </w:rPr>
              <w:t xml:space="preserve">low </w:t>
            </w:r>
            <w:r w:rsidRPr="00B408A4">
              <w:rPr>
                <w:color w:val="231F20"/>
                <w:sz w:val="16"/>
                <w:szCs w:val="16"/>
              </w:rPr>
              <w:t>flows</w:t>
            </w:r>
          </w:p>
          <w:p w:rsidR="006A7A3F" w:rsidRPr="00B408A4" w:rsidRDefault="00BC7372">
            <w:pPr>
              <w:pStyle w:val="TableParagraph"/>
              <w:numPr>
                <w:ilvl w:val="0"/>
                <w:numId w:val="1087"/>
              </w:numPr>
              <w:tabs>
                <w:tab w:val="left" w:pos="305"/>
              </w:tabs>
              <w:spacing w:before="87"/>
              <w:rPr>
                <w:sz w:val="16"/>
                <w:szCs w:val="16"/>
              </w:rPr>
            </w:pPr>
            <w:r w:rsidRPr="00B408A4">
              <w:rPr>
                <w:color w:val="231F20"/>
                <w:sz w:val="16"/>
                <w:szCs w:val="16"/>
              </w:rPr>
              <w:t>Autumn fresh</w:t>
            </w:r>
          </w:p>
          <w:p w:rsidR="006A7A3F" w:rsidRPr="00B408A4" w:rsidRDefault="00BC7372">
            <w:pPr>
              <w:pStyle w:val="TableParagraph"/>
              <w:numPr>
                <w:ilvl w:val="0"/>
                <w:numId w:val="1087"/>
              </w:numPr>
              <w:tabs>
                <w:tab w:val="left" w:pos="305"/>
              </w:tabs>
              <w:spacing w:before="98"/>
              <w:rPr>
                <w:sz w:val="16"/>
                <w:szCs w:val="16"/>
              </w:rPr>
            </w:pPr>
            <w:r w:rsidRPr="00B408A4">
              <w:rPr>
                <w:color w:val="231F20"/>
                <w:sz w:val="16"/>
                <w:szCs w:val="16"/>
              </w:rPr>
              <w:t>Summer fresh</w:t>
            </w:r>
          </w:p>
        </w:tc>
        <w:tc>
          <w:tcPr>
            <w:tcW w:w="2041" w:type="dxa"/>
          </w:tcPr>
          <w:p w:rsidR="006A7A3F" w:rsidRPr="00B408A4" w:rsidRDefault="00BC7372">
            <w:pPr>
              <w:pStyle w:val="TableParagraph"/>
              <w:numPr>
                <w:ilvl w:val="0"/>
                <w:numId w:val="1086"/>
              </w:numPr>
              <w:tabs>
                <w:tab w:val="left" w:pos="305"/>
              </w:tabs>
              <w:spacing w:before="63" w:line="254" w:lineRule="auto"/>
              <w:ind w:right="73"/>
              <w:rPr>
                <w:sz w:val="16"/>
                <w:szCs w:val="16"/>
              </w:rPr>
            </w:pPr>
            <w:r w:rsidRPr="00B408A4">
              <w:rPr>
                <w:color w:val="231F20"/>
                <w:sz w:val="16"/>
                <w:szCs w:val="16"/>
              </w:rPr>
              <w:t xml:space="preserve">Summer/autumn </w:t>
            </w:r>
            <w:r w:rsidRPr="00B408A4">
              <w:rPr>
                <w:color w:val="231F20"/>
                <w:spacing w:val="-6"/>
                <w:sz w:val="16"/>
                <w:szCs w:val="16"/>
              </w:rPr>
              <w:t xml:space="preserve">low </w:t>
            </w:r>
            <w:r w:rsidRPr="00B408A4">
              <w:rPr>
                <w:color w:val="231F20"/>
                <w:sz w:val="16"/>
                <w:szCs w:val="16"/>
              </w:rPr>
              <w:t>flows</w:t>
            </w:r>
          </w:p>
          <w:p w:rsidR="006A7A3F" w:rsidRPr="00B408A4" w:rsidRDefault="00BC7372">
            <w:pPr>
              <w:pStyle w:val="TableParagraph"/>
              <w:numPr>
                <w:ilvl w:val="0"/>
                <w:numId w:val="1086"/>
              </w:numPr>
              <w:tabs>
                <w:tab w:val="left" w:pos="305"/>
              </w:tabs>
              <w:spacing w:before="86" w:line="254" w:lineRule="auto"/>
              <w:ind w:right="343"/>
              <w:rPr>
                <w:sz w:val="16"/>
                <w:szCs w:val="16"/>
              </w:rPr>
            </w:pPr>
            <w:r w:rsidRPr="00B408A4">
              <w:rPr>
                <w:color w:val="231F20"/>
                <w:sz w:val="16"/>
                <w:szCs w:val="16"/>
              </w:rPr>
              <w:t xml:space="preserve">Winter/spring </w:t>
            </w:r>
            <w:r w:rsidRPr="00B408A4">
              <w:rPr>
                <w:color w:val="231F20"/>
                <w:spacing w:val="-6"/>
                <w:sz w:val="16"/>
                <w:szCs w:val="16"/>
              </w:rPr>
              <w:t xml:space="preserve">low </w:t>
            </w:r>
            <w:r w:rsidRPr="00B408A4">
              <w:rPr>
                <w:color w:val="231F20"/>
                <w:sz w:val="16"/>
                <w:szCs w:val="16"/>
              </w:rPr>
              <w:t>flows</w:t>
            </w:r>
          </w:p>
          <w:p w:rsidR="006A7A3F" w:rsidRPr="00B408A4" w:rsidRDefault="00BC7372">
            <w:pPr>
              <w:pStyle w:val="TableParagraph"/>
              <w:numPr>
                <w:ilvl w:val="0"/>
                <w:numId w:val="1086"/>
              </w:numPr>
              <w:tabs>
                <w:tab w:val="left" w:pos="305"/>
              </w:tabs>
              <w:spacing w:before="86"/>
              <w:rPr>
                <w:sz w:val="16"/>
                <w:szCs w:val="16"/>
              </w:rPr>
            </w:pPr>
            <w:r w:rsidRPr="00B408A4">
              <w:rPr>
                <w:color w:val="231F20"/>
                <w:sz w:val="16"/>
                <w:szCs w:val="16"/>
              </w:rPr>
              <w:t>Autumn fresh</w:t>
            </w:r>
          </w:p>
          <w:p w:rsidR="006A7A3F" w:rsidRPr="00B408A4" w:rsidRDefault="00BC7372">
            <w:pPr>
              <w:pStyle w:val="TableParagraph"/>
              <w:numPr>
                <w:ilvl w:val="0"/>
                <w:numId w:val="1086"/>
              </w:numPr>
              <w:tabs>
                <w:tab w:val="left" w:pos="305"/>
              </w:tabs>
              <w:spacing w:before="98"/>
              <w:rPr>
                <w:sz w:val="16"/>
                <w:szCs w:val="16"/>
              </w:rPr>
            </w:pPr>
            <w:r w:rsidRPr="00B408A4">
              <w:rPr>
                <w:color w:val="231F20"/>
                <w:sz w:val="16"/>
                <w:szCs w:val="16"/>
              </w:rPr>
              <w:t>Summer fresh</w:t>
            </w:r>
          </w:p>
          <w:p w:rsidR="006A7A3F" w:rsidRPr="00B408A4" w:rsidRDefault="00BC7372">
            <w:pPr>
              <w:pStyle w:val="TableParagraph"/>
              <w:numPr>
                <w:ilvl w:val="0"/>
                <w:numId w:val="1086"/>
              </w:numPr>
              <w:tabs>
                <w:tab w:val="left" w:pos="305"/>
              </w:tabs>
              <w:spacing w:before="98"/>
              <w:rPr>
                <w:sz w:val="16"/>
                <w:szCs w:val="16"/>
              </w:rPr>
            </w:pPr>
            <w:r w:rsidRPr="00B408A4">
              <w:rPr>
                <w:color w:val="231F20"/>
                <w:sz w:val="16"/>
                <w:szCs w:val="16"/>
              </w:rPr>
              <w:t>Spring fresh</w:t>
            </w:r>
          </w:p>
        </w:tc>
        <w:tc>
          <w:tcPr>
            <w:tcW w:w="2041" w:type="dxa"/>
          </w:tcPr>
          <w:p w:rsidR="006A7A3F" w:rsidRPr="00B408A4" w:rsidRDefault="00BC7372">
            <w:pPr>
              <w:pStyle w:val="TableParagraph"/>
              <w:numPr>
                <w:ilvl w:val="0"/>
                <w:numId w:val="1085"/>
              </w:numPr>
              <w:tabs>
                <w:tab w:val="left" w:pos="305"/>
              </w:tabs>
              <w:spacing w:before="63" w:line="254" w:lineRule="auto"/>
              <w:ind w:right="73"/>
              <w:rPr>
                <w:sz w:val="16"/>
                <w:szCs w:val="16"/>
              </w:rPr>
            </w:pPr>
            <w:r w:rsidRPr="00B408A4">
              <w:rPr>
                <w:color w:val="231F20"/>
                <w:sz w:val="16"/>
                <w:szCs w:val="16"/>
              </w:rPr>
              <w:t xml:space="preserve">Summer/autumn </w:t>
            </w:r>
            <w:r w:rsidRPr="00B408A4">
              <w:rPr>
                <w:color w:val="231F20"/>
                <w:spacing w:val="-6"/>
                <w:sz w:val="16"/>
                <w:szCs w:val="16"/>
              </w:rPr>
              <w:t xml:space="preserve">low </w:t>
            </w:r>
            <w:r w:rsidRPr="00B408A4">
              <w:rPr>
                <w:color w:val="231F20"/>
                <w:sz w:val="16"/>
                <w:szCs w:val="16"/>
              </w:rPr>
              <w:t>flows</w:t>
            </w:r>
          </w:p>
          <w:p w:rsidR="006A7A3F" w:rsidRPr="00B408A4" w:rsidRDefault="00BC7372">
            <w:pPr>
              <w:pStyle w:val="TableParagraph"/>
              <w:numPr>
                <w:ilvl w:val="0"/>
                <w:numId w:val="1085"/>
              </w:numPr>
              <w:tabs>
                <w:tab w:val="left" w:pos="305"/>
              </w:tabs>
              <w:spacing w:before="86" w:line="254" w:lineRule="auto"/>
              <w:ind w:right="343"/>
              <w:rPr>
                <w:sz w:val="16"/>
                <w:szCs w:val="16"/>
              </w:rPr>
            </w:pPr>
            <w:r w:rsidRPr="00B408A4">
              <w:rPr>
                <w:color w:val="231F20"/>
                <w:sz w:val="16"/>
                <w:szCs w:val="16"/>
              </w:rPr>
              <w:t xml:space="preserve">Winter/spring </w:t>
            </w:r>
            <w:r w:rsidRPr="00B408A4">
              <w:rPr>
                <w:color w:val="231F20"/>
                <w:spacing w:val="-6"/>
                <w:sz w:val="16"/>
                <w:szCs w:val="16"/>
              </w:rPr>
              <w:t xml:space="preserve">low </w:t>
            </w:r>
            <w:r w:rsidRPr="00B408A4">
              <w:rPr>
                <w:color w:val="231F20"/>
                <w:sz w:val="16"/>
                <w:szCs w:val="16"/>
              </w:rPr>
              <w:t>flows</w:t>
            </w:r>
          </w:p>
          <w:p w:rsidR="006A7A3F" w:rsidRPr="00B408A4" w:rsidRDefault="00BC7372">
            <w:pPr>
              <w:pStyle w:val="TableParagraph"/>
              <w:numPr>
                <w:ilvl w:val="0"/>
                <w:numId w:val="1085"/>
              </w:numPr>
              <w:tabs>
                <w:tab w:val="left" w:pos="305"/>
              </w:tabs>
              <w:spacing w:before="86"/>
              <w:rPr>
                <w:sz w:val="16"/>
                <w:szCs w:val="16"/>
              </w:rPr>
            </w:pPr>
            <w:r w:rsidRPr="00B408A4">
              <w:rPr>
                <w:color w:val="231F20"/>
                <w:sz w:val="16"/>
                <w:szCs w:val="16"/>
              </w:rPr>
              <w:t>Autumn fresh</w:t>
            </w:r>
          </w:p>
          <w:p w:rsidR="006A7A3F" w:rsidRPr="00B408A4" w:rsidRDefault="00BC7372">
            <w:pPr>
              <w:pStyle w:val="TableParagraph"/>
              <w:numPr>
                <w:ilvl w:val="0"/>
                <w:numId w:val="1085"/>
              </w:numPr>
              <w:tabs>
                <w:tab w:val="left" w:pos="305"/>
              </w:tabs>
              <w:spacing w:before="98"/>
              <w:rPr>
                <w:sz w:val="16"/>
                <w:szCs w:val="16"/>
              </w:rPr>
            </w:pPr>
            <w:r w:rsidRPr="00B408A4">
              <w:rPr>
                <w:color w:val="231F20"/>
                <w:sz w:val="16"/>
                <w:szCs w:val="16"/>
              </w:rPr>
              <w:t>Summer fresh</w:t>
            </w:r>
          </w:p>
          <w:p w:rsidR="006A7A3F" w:rsidRPr="00B408A4" w:rsidRDefault="00BC7372">
            <w:pPr>
              <w:pStyle w:val="TableParagraph"/>
              <w:numPr>
                <w:ilvl w:val="0"/>
                <w:numId w:val="1085"/>
              </w:numPr>
              <w:tabs>
                <w:tab w:val="left" w:pos="305"/>
              </w:tabs>
              <w:spacing w:before="98"/>
              <w:rPr>
                <w:sz w:val="16"/>
                <w:szCs w:val="16"/>
              </w:rPr>
            </w:pPr>
            <w:r w:rsidRPr="00B408A4">
              <w:rPr>
                <w:color w:val="231F20"/>
                <w:sz w:val="16"/>
                <w:szCs w:val="16"/>
              </w:rPr>
              <w:t>Spring fresh</w:t>
            </w:r>
          </w:p>
          <w:p w:rsidR="006A7A3F" w:rsidRPr="00B408A4" w:rsidRDefault="00BC7372">
            <w:pPr>
              <w:pStyle w:val="TableParagraph"/>
              <w:numPr>
                <w:ilvl w:val="0"/>
                <w:numId w:val="1085"/>
              </w:numPr>
              <w:tabs>
                <w:tab w:val="left" w:pos="305"/>
              </w:tabs>
              <w:spacing w:before="99"/>
              <w:rPr>
                <w:sz w:val="16"/>
                <w:szCs w:val="16"/>
              </w:rPr>
            </w:pPr>
            <w:r w:rsidRPr="00B408A4">
              <w:rPr>
                <w:color w:val="231F20"/>
                <w:sz w:val="16"/>
                <w:szCs w:val="16"/>
              </w:rPr>
              <w:t>Winter fresh</w:t>
            </w:r>
          </w:p>
          <w:p w:rsidR="006A7A3F" w:rsidRPr="00B408A4" w:rsidRDefault="00BC7372">
            <w:pPr>
              <w:pStyle w:val="TableParagraph"/>
              <w:numPr>
                <w:ilvl w:val="0"/>
                <w:numId w:val="1085"/>
              </w:numPr>
              <w:tabs>
                <w:tab w:val="left" w:pos="305"/>
              </w:tabs>
              <w:spacing w:before="98"/>
              <w:rPr>
                <w:sz w:val="16"/>
                <w:szCs w:val="16"/>
              </w:rPr>
            </w:pPr>
            <w:r w:rsidRPr="00B408A4">
              <w:rPr>
                <w:color w:val="231F20"/>
                <w:sz w:val="16"/>
                <w:szCs w:val="16"/>
              </w:rPr>
              <w:t>Spring fresh</w:t>
            </w:r>
          </w:p>
          <w:p w:rsidR="006A7A3F" w:rsidRPr="00B408A4" w:rsidRDefault="00BC7372">
            <w:pPr>
              <w:pStyle w:val="TableParagraph"/>
              <w:numPr>
                <w:ilvl w:val="0"/>
                <w:numId w:val="1085"/>
              </w:numPr>
              <w:tabs>
                <w:tab w:val="left" w:pos="305"/>
              </w:tabs>
              <w:spacing w:before="98"/>
              <w:rPr>
                <w:sz w:val="16"/>
                <w:szCs w:val="16"/>
              </w:rPr>
            </w:pPr>
            <w:r w:rsidRPr="00B408A4">
              <w:rPr>
                <w:color w:val="231F20"/>
                <w:sz w:val="16"/>
                <w:szCs w:val="16"/>
              </w:rPr>
              <w:t>Summer fresh</w:t>
            </w:r>
          </w:p>
        </w:tc>
      </w:tr>
      <w:tr w:rsidR="006A7A3F" w:rsidTr="00AF59F3">
        <w:trPr>
          <w:trHeight w:val="1567"/>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1b (high priorities with shortfall)</w:t>
            </w:r>
          </w:p>
        </w:tc>
        <w:tc>
          <w:tcPr>
            <w:tcW w:w="2041" w:type="dxa"/>
          </w:tcPr>
          <w:p w:rsidR="006A7A3F" w:rsidRPr="00B408A4" w:rsidRDefault="00BC7372">
            <w:pPr>
              <w:pStyle w:val="TableParagraph"/>
              <w:numPr>
                <w:ilvl w:val="0"/>
                <w:numId w:val="1084"/>
              </w:numPr>
              <w:tabs>
                <w:tab w:val="left" w:pos="305"/>
              </w:tabs>
              <w:spacing w:before="63"/>
              <w:rPr>
                <w:sz w:val="16"/>
                <w:szCs w:val="16"/>
              </w:rPr>
            </w:pPr>
            <w:r w:rsidRPr="00B408A4">
              <w:rPr>
                <w:color w:val="231F20"/>
                <w:sz w:val="16"/>
                <w:szCs w:val="16"/>
              </w:rPr>
              <w:t>Summer fresh</w:t>
            </w:r>
          </w:p>
          <w:p w:rsidR="006A7A3F" w:rsidRPr="00B408A4" w:rsidRDefault="00BC7372">
            <w:pPr>
              <w:pStyle w:val="TableParagraph"/>
              <w:numPr>
                <w:ilvl w:val="0"/>
                <w:numId w:val="1084"/>
              </w:numPr>
              <w:tabs>
                <w:tab w:val="left" w:pos="305"/>
              </w:tabs>
              <w:spacing w:before="98"/>
              <w:rPr>
                <w:sz w:val="16"/>
                <w:szCs w:val="16"/>
              </w:rPr>
            </w:pPr>
            <w:r w:rsidRPr="00B408A4">
              <w:rPr>
                <w:color w:val="231F20"/>
                <w:sz w:val="16"/>
                <w:szCs w:val="16"/>
              </w:rPr>
              <w:t>Spring fresh</w:t>
            </w:r>
          </w:p>
          <w:p w:rsidR="006A7A3F" w:rsidRPr="00B408A4" w:rsidRDefault="00BC7372">
            <w:pPr>
              <w:pStyle w:val="TableParagraph"/>
              <w:numPr>
                <w:ilvl w:val="0"/>
                <w:numId w:val="1084"/>
              </w:numPr>
              <w:tabs>
                <w:tab w:val="left" w:pos="305"/>
              </w:tabs>
              <w:spacing w:before="98"/>
              <w:rPr>
                <w:sz w:val="16"/>
                <w:szCs w:val="16"/>
              </w:rPr>
            </w:pPr>
            <w:r w:rsidRPr="00B408A4">
              <w:rPr>
                <w:color w:val="231F20"/>
                <w:sz w:val="16"/>
                <w:szCs w:val="16"/>
              </w:rPr>
              <w:t>Winter fresh</w:t>
            </w:r>
          </w:p>
          <w:p w:rsidR="006A7A3F" w:rsidRPr="00B408A4" w:rsidRDefault="00BC7372">
            <w:pPr>
              <w:pStyle w:val="TableParagraph"/>
              <w:numPr>
                <w:ilvl w:val="0"/>
                <w:numId w:val="1084"/>
              </w:numPr>
              <w:tabs>
                <w:tab w:val="left" w:pos="305"/>
              </w:tabs>
              <w:spacing w:before="98"/>
              <w:rPr>
                <w:sz w:val="16"/>
                <w:szCs w:val="16"/>
              </w:rPr>
            </w:pPr>
            <w:r w:rsidRPr="00B408A4">
              <w:rPr>
                <w:color w:val="231F20"/>
                <w:sz w:val="16"/>
                <w:szCs w:val="16"/>
              </w:rPr>
              <w:t>Spring fresh</w:t>
            </w:r>
          </w:p>
          <w:p w:rsidR="006A7A3F" w:rsidRPr="00B408A4" w:rsidRDefault="00BC7372">
            <w:pPr>
              <w:pStyle w:val="TableParagraph"/>
              <w:numPr>
                <w:ilvl w:val="0"/>
                <w:numId w:val="1084"/>
              </w:numPr>
              <w:tabs>
                <w:tab w:val="left" w:pos="305"/>
              </w:tabs>
              <w:spacing w:before="98"/>
              <w:rPr>
                <w:sz w:val="16"/>
                <w:szCs w:val="16"/>
              </w:rPr>
            </w:pPr>
            <w:r w:rsidRPr="00B408A4">
              <w:rPr>
                <w:color w:val="231F20"/>
                <w:sz w:val="16"/>
                <w:szCs w:val="16"/>
              </w:rPr>
              <w:t>Summer fresh</w:t>
            </w:r>
          </w:p>
        </w:tc>
        <w:tc>
          <w:tcPr>
            <w:tcW w:w="2041" w:type="dxa"/>
          </w:tcPr>
          <w:p w:rsidR="006A7A3F" w:rsidRPr="00B408A4" w:rsidRDefault="00BC7372">
            <w:pPr>
              <w:pStyle w:val="TableParagraph"/>
              <w:numPr>
                <w:ilvl w:val="0"/>
                <w:numId w:val="1083"/>
              </w:numPr>
              <w:tabs>
                <w:tab w:val="left" w:pos="305"/>
              </w:tabs>
              <w:spacing w:before="63"/>
              <w:rPr>
                <w:sz w:val="16"/>
                <w:szCs w:val="16"/>
              </w:rPr>
            </w:pPr>
            <w:r w:rsidRPr="00B408A4">
              <w:rPr>
                <w:color w:val="231F20"/>
                <w:sz w:val="16"/>
                <w:szCs w:val="16"/>
              </w:rPr>
              <w:t>Spring fresh</w:t>
            </w:r>
          </w:p>
          <w:p w:rsidR="006A7A3F" w:rsidRPr="00B408A4" w:rsidRDefault="00BC7372">
            <w:pPr>
              <w:pStyle w:val="TableParagraph"/>
              <w:numPr>
                <w:ilvl w:val="0"/>
                <w:numId w:val="1083"/>
              </w:numPr>
              <w:tabs>
                <w:tab w:val="left" w:pos="305"/>
              </w:tabs>
              <w:spacing w:before="98"/>
              <w:rPr>
                <w:sz w:val="16"/>
                <w:szCs w:val="16"/>
              </w:rPr>
            </w:pPr>
            <w:r w:rsidRPr="00B408A4">
              <w:rPr>
                <w:color w:val="231F20"/>
                <w:sz w:val="16"/>
                <w:szCs w:val="16"/>
              </w:rPr>
              <w:t>Winter fresh</w:t>
            </w:r>
          </w:p>
          <w:p w:rsidR="006A7A3F" w:rsidRPr="00B408A4" w:rsidRDefault="00BC7372">
            <w:pPr>
              <w:pStyle w:val="TableParagraph"/>
              <w:numPr>
                <w:ilvl w:val="0"/>
                <w:numId w:val="1083"/>
              </w:numPr>
              <w:tabs>
                <w:tab w:val="left" w:pos="305"/>
              </w:tabs>
              <w:spacing w:before="98"/>
              <w:rPr>
                <w:sz w:val="16"/>
                <w:szCs w:val="16"/>
              </w:rPr>
            </w:pPr>
            <w:r w:rsidRPr="00B408A4">
              <w:rPr>
                <w:color w:val="231F20"/>
                <w:sz w:val="16"/>
                <w:szCs w:val="16"/>
              </w:rPr>
              <w:t>Spring fresh</w:t>
            </w:r>
          </w:p>
          <w:p w:rsidR="006A7A3F" w:rsidRPr="00B408A4" w:rsidRDefault="00BC7372">
            <w:pPr>
              <w:pStyle w:val="TableParagraph"/>
              <w:numPr>
                <w:ilvl w:val="0"/>
                <w:numId w:val="1083"/>
              </w:numPr>
              <w:tabs>
                <w:tab w:val="left" w:pos="305"/>
              </w:tabs>
              <w:spacing w:before="98"/>
              <w:rPr>
                <w:sz w:val="16"/>
                <w:szCs w:val="16"/>
              </w:rPr>
            </w:pPr>
            <w:r w:rsidRPr="00B408A4">
              <w:rPr>
                <w:color w:val="231F20"/>
                <w:sz w:val="16"/>
                <w:szCs w:val="16"/>
              </w:rPr>
              <w:t>Summer fresh</w:t>
            </w:r>
          </w:p>
        </w:tc>
        <w:tc>
          <w:tcPr>
            <w:tcW w:w="2041" w:type="dxa"/>
          </w:tcPr>
          <w:p w:rsidR="006A7A3F" w:rsidRPr="00B408A4" w:rsidRDefault="00BC7372">
            <w:pPr>
              <w:pStyle w:val="TableParagraph"/>
              <w:numPr>
                <w:ilvl w:val="0"/>
                <w:numId w:val="1082"/>
              </w:numPr>
              <w:tabs>
                <w:tab w:val="left" w:pos="305"/>
              </w:tabs>
              <w:spacing w:before="63"/>
              <w:rPr>
                <w:sz w:val="16"/>
                <w:szCs w:val="16"/>
              </w:rPr>
            </w:pPr>
            <w:r w:rsidRPr="00B408A4">
              <w:rPr>
                <w:color w:val="231F20"/>
                <w:sz w:val="16"/>
                <w:szCs w:val="16"/>
              </w:rPr>
              <w:t>Winter fresh</w:t>
            </w:r>
          </w:p>
          <w:p w:rsidR="006A7A3F" w:rsidRPr="00B408A4" w:rsidRDefault="00BC7372">
            <w:pPr>
              <w:pStyle w:val="TableParagraph"/>
              <w:numPr>
                <w:ilvl w:val="0"/>
                <w:numId w:val="1082"/>
              </w:numPr>
              <w:tabs>
                <w:tab w:val="left" w:pos="305"/>
              </w:tabs>
              <w:spacing w:before="98"/>
              <w:rPr>
                <w:sz w:val="16"/>
                <w:szCs w:val="16"/>
              </w:rPr>
            </w:pPr>
            <w:r w:rsidRPr="00B408A4">
              <w:rPr>
                <w:color w:val="231F20"/>
                <w:sz w:val="16"/>
                <w:szCs w:val="16"/>
              </w:rPr>
              <w:t>Spring fresh</w:t>
            </w:r>
          </w:p>
          <w:p w:rsidR="006A7A3F" w:rsidRPr="00B408A4" w:rsidRDefault="00BC7372">
            <w:pPr>
              <w:pStyle w:val="TableParagraph"/>
              <w:numPr>
                <w:ilvl w:val="0"/>
                <w:numId w:val="1082"/>
              </w:numPr>
              <w:tabs>
                <w:tab w:val="left" w:pos="305"/>
              </w:tabs>
              <w:spacing w:before="98"/>
              <w:rPr>
                <w:sz w:val="16"/>
                <w:szCs w:val="16"/>
              </w:rPr>
            </w:pPr>
            <w:r w:rsidRPr="00B408A4">
              <w:rPr>
                <w:color w:val="231F20"/>
                <w:sz w:val="16"/>
                <w:szCs w:val="16"/>
              </w:rPr>
              <w:t>Summer fresh</w:t>
            </w:r>
          </w:p>
        </w:tc>
        <w:tc>
          <w:tcPr>
            <w:tcW w:w="2041" w:type="dxa"/>
          </w:tcPr>
          <w:p w:rsidR="006A7A3F" w:rsidRDefault="006A7A3F">
            <w:pPr>
              <w:pStyle w:val="TableParagraph"/>
              <w:ind w:left="0"/>
              <w:rPr>
                <w:rFonts w:ascii="Times New Roman"/>
                <w:sz w:val="16"/>
              </w:rPr>
            </w:pPr>
          </w:p>
        </w:tc>
      </w:tr>
      <w:tr w:rsidR="006A7A3F" w:rsidTr="00AF59F3">
        <w:trPr>
          <w:trHeight w:val="733"/>
        </w:trPr>
        <w:tc>
          <w:tcPr>
            <w:tcW w:w="2041" w:type="dxa"/>
          </w:tcPr>
          <w:p w:rsidR="006A7A3F" w:rsidRDefault="00BC7372">
            <w:pPr>
              <w:pStyle w:val="TableParagraph"/>
              <w:spacing w:before="67" w:line="261" w:lineRule="auto"/>
              <w:ind w:left="85" w:right="253"/>
              <w:rPr>
                <w:sz w:val="16"/>
              </w:rPr>
            </w:pPr>
            <w:r>
              <w:rPr>
                <w:color w:val="231F20"/>
                <w:sz w:val="16"/>
              </w:rPr>
              <w:t>Potential environmental watering – tier 2 (additional priorities)</w:t>
            </w:r>
          </w:p>
        </w:tc>
        <w:tc>
          <w:tcPr>
            <w:tcW w:w="2041" w:type="dxa"/>
          </w:tcPr>
          <w:p w:rsidR="006A7A3F" w:rsidRPr="00B408A4" w:rsidRDefault="00BC7372">
            <w:pPr>
              <w:pStyle w:val="TableParagraph"/>
              <w:numPr>
                <w:ilvl w:val="0"/>
                <w:numId w:val="1081"/>
              </w:numPr>
              <w:tabs>
                <w:tab w:val="left" w:pos="305"/>
              </w:tabs>
              <w:spacing w:before="63" w:line="254" w:lineRule="auto"/>
              <w:ind w:right="203"/>
              <w:rPr>
                <w:sz w:val="16"/>
                <w:szCs w:val="16"/>
              </w:rPr>
            </w:pPr>
            <w:r w:rsidRPr="00B408A4">
              <w:rPr>
                <w:color w:val="231F20"/>
                <w:sz w:val="16"/>
                <w:szCs w:val="16"/>
              </w:rPr>
              <w:t>As per tier 1, but at higher peak</w:t>
            </w:r>
            <w:r w:rsidRPr="00B408A4">
              <w:rPr>
                <w:color w:val="231F20"/>
                <w:spacing w:val="-6"/>
                <w:sz w:val="16"/>
                <w:szCs w:val="16"/>
              </w:rPr>
              <w:t xml:space="preserve"> </w:t>
            </w:r>
            <w:r w:rsidRPr="00B408A4">
              <w:rPr>
                <w:color w:val="231F20"/>
                <w:sz w:val="16"/>
                <w:szCs w:val="16"/>
              </w:rPr>
              <w:t>flows</w:t>
            </w:r>
          </w:p>
        </w:tc>
        <w:tc>
          <w:tcPr>
            <w:tcW w:w="2041" w:type="dxa"/>
          </w:tcPr>
          <w:p w:rsidR="006A7A3F" w:rsidRPr="00B408A4" w:rsidRDefault="00BC7372">
            <w:pPr>
              <w:pStyle w:val="TableParagraph"/>
              <w:numPr>
                <w:ilvl w:val="0"/>
                <w:numId w:val="1080"/>
              </w:numPr>
              <w:tabs>
                <w:tab w:val="left" w:pos="305"/>
              </w:tabs>
              <w:spacing w:before="63" w:line="254" w:lineRule="auto"/>
              <w:ind w:right="203"/>
              <w:rPr>
                <w:sz w:val="16"/>
                <w:szCs w:val="16"/>
              </w:rPr>
            </w:pPr>
            <w:r w:rsidRPr="00B408A4">
              <w:rPr>
                <w:color w:val="231F20"/>
                <w:sz w:val="16"/>
                <w:szCs w:val="16"/>
              </w:rPr>
              <w:t>As per tier 1, but at higher peak</w:t>
            </w:r>
            <w:r w:rsidRPr="00B408A4">
              <w:rPr>
                <w:color w:val="231F20"/>
                <w:spacing w:val="-6"/>
                <w:sz w:val="16"/>
                <w:szCs w:val="16"/>
              </w:rPr>
              <w:t xml:space="preserve"> </w:t>
            </w:r>
            <w:r w:rsidRPr="00B408A4">
              <w:rPr>
                <w:color w:val="231F20"/>
                <w:sz w:val="16"/>
                <w:szCs w:val="16"/>
              </w:rPr>
              <w:t>flows</w:t>
            </w:r>
          </w:p>
        </w:tc>
        <w:tc>
          <w:tcPr>
            <w:tcW w:w="2041" w:type="dxa"/>
          </w:tcPr>
          <w:p w:rsidR="006A7A3F" w:rsidRPr="00B408A4" w:rsidRDefault="00BC7372">
            <w:pPr>
              <w:pStyle w:val="TableParagraph"/>
              <w:numPr>
                <w:ilvl w:val="0"/>
                <w:numId w:val="1079"/>
              </w:numPr>
              <w:tabs>
                <w:tab w:val="left" w:pos="305"/>
              </w:tabs>
              <w:spacing w:before="63" w:line="254" w:lineRule="auto"/>
              <w:ind w:right="203"/>
              <w:rPr>
                <w:sz w:val="16"/>
                <w:szCs w:val="16"/>
              </w:rPr>
            </w:pPr>
            <w:r w:rsidRPr="00B408A4">
              <w:rPr>
                <w:color w:val="231F20"/>
                <w:sz w:val="16"/>
                <w:szCs w:val="16"/>
              </w:rPr>
              <w:t>As per tier 1, but at higher peak</w:t>
            </w:r>
            <w:r w:rsidRPr="00B408A4">
              <w:rPr>
                <w:color w:val="231F20"/>
                <w:spacing w:val="-6"/>
                <w:sz w:val="16"/>
                <w:szCs w:val="16"/>
              </w:rPr>
              <w:t xml:space="preserve"> </w:t>
            </w:r>
            <w:r w:rsidRPr="00B408A4">
              <w:rPr>
                <w:color w:val="231F20"/>
                <w:sz w:val="16"/>
                <w:szCs w:val="16"/>
              </w:rPr>
              <w:t>flows</w:t>
            </w:r>
          </w:p>
        </w:tc>
        <w:tc>
          <w:tcPr>
            <w:tcW w:w="2041" w:type="dxa"/>
          </w:tcPr>
          <w:p w:rsidR="006A7A3F" w:rsidRPr="00B408A4" w:rsidRDefault="00BC7372">
            <w:pPr>
              <w:pStyle w:val="TableParagraph"/>
              <w:numPr>
                <w:ilvl w:val="0"/>
                <w:numId w:val="1078"/>
              </w:numPr>
              <w:tabs>
                <w:tab w:val="left" w:pos="305"/>
              </w:tabs>
              <w:spacing w:before="63" w:line="254" w:lineRule="auto"/>
              <w:ind w:right="203"/>
              <w:rPr>
                <w:sz w:val="16"/>
                <w:szCs w:val="16"/>
              </w:rPr>
            </w:pPr>
            <w:r w:rsidRPr="00B408A4">
              <w:rPr>
                <w:color w:val="231F20"/>
                <w:sz w:val="16"/>
                <w:szCs w:val="16"/>
              </w:rPr>
              <w:t>As per tier 1, but at higher peak</w:t>
            </w:r>
            <w:r w:rsidRPr="00B408A4">
              <w:rPr>
                <w:color w:val="231F20"/>
                <w:spacing w:val="-6"/>
                <w:sz w:val="16"/>
                <w:szCs w:val="16"/>
              </w:rPr>
              <w:t xml:space="preserve"> </w:t>
            </w:r>
            <w:r w:rsidRPr="00B408A4">
              <w:rPr>
                <w:color w:val="231F20"/>
                <w:sz w:val="16"/>
                <w:szCs w:val="16"/>
              </w:rPr>
              <w:t>flows</w:t>
            </w:r>
          </w:p>
        </w:tc>
      </w:tr>
      <w:tr w:rsidR="006A7A3F" w:rsidTr="00AF59F3">
        <w:trPr>
          <w:trHeight w:val="957"/>
        </w:trPr>
        <w:tc>
          <w:tcPr>
            <w:tcW w:w="2041" w:type="dxa"/>
          </w:tcPr>
          <w:p w:rsidR="006A7A3F" w:rsidRDefault="00BC7372">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2</w:t>
            </w:r>
          </w:p>
        </w:tc>
        <w:tc>
          <w:tcPr>
            <w:tcW w:w="2041" w:type="dxa"/>
          </w:tcPr>
          <w:p w:rsidR="006A7A3F" w:rsidRPr="00B408A4" w:rsidRDefault="00BC7372">
            <w:pPr>
              <w:pStyle w:val="TableParagraph"/>
              <w:numPr>
                <w:ilvl w:val="0"/>
                <w:numId w:val="1077"/>
              </w:numPr>
              <w:tabs>
                <w:tab w:val="left" w:pos="305"/>
              </w:tabs>
              <w:spacing w:before="63"/>
              <w:rPr>
                <w:sz w:val="16"/>
                <w:szCs w:val="16"/>
              </w:rPr>
            </w:pPr>
            <w:r w:rsidRPr="00B408A4">
              <w:rPr>
                <w:color w:val="231F20"/>
                <w:sz w:val="16"/>
                <w:szCs w:val="16"/>
              </w:rPr>
              <w:t>2,318 ML (tier</w:t>
            </w:r>
            <w:r w:rsidRPr="00B408A4">
              <w:rPr>
                <w:color w:val="231F20"/>
                <w:spacing w:val="-15"/>
                <w:sz w:val="16"/>
                <w:szCs w:val="16"/>
              </w:rPr>
              <w:t xml:space="preserve"> </w:t>
            </w:r>
            <w:r w:rsidRPr="00B408A4">
              <w:rPr>
                <w:color w:val="231F20"/>
                <w:sz w:val="16"/>
                <w:szCs w:val="16"/>
              </w:rPr>
              <w:t>1a)</w:t>
            </w:r>
          </w:p>
          <w:p w:rsidR="006A7A3F" w:rsidRPr="00B408A4" w:rsidRDefault="00BC7372">
            <w:pPr>
              <w:pStyle w:val="TableParagraph"/>
              <w:numPr>
                <w:ilvl w:val="0"/>
                <w:numId w:val="1077"/>
              </w:numPr>
              <w:tabs>
                <w:tab w:val="left" w:pos="305"/>
              </w:tabs>
              <w:spacing w:before="98"/>
              <w:rPr>
                <w:sz w:val="16"/>
                <w:szCs w:val="16"/>
              </w:rPr>
            </w:pPr>
            <w:r w:rsidRPr="00B408A4">
              <w:rPr>
                <w:color w:val="231F20"/>
                <w:sz w:val="16"/>
                <w:szCs w:val="16"/>
              </w:rPr>
              <w:t>4,860 ML (tier</w:t>
            </w:r>
            <w:r w:rsidRPr="00B408A4">
              <w:rPr>
                <w:color w:val="231F20"/>
                <w:spacing w:val="-15"/>
                <w:sz w:val="16"/>
                <w:szCs w:val="16"/>
              </w:rPr>
              <w:t xml:space="preserve"> </w:t>
            </w:r>
            <w:r w:rsidRPr="00B408A4">
              <w:rPr>
                <w:color w:val="231F20"/>
                <w:sz w:val="16"/>
                <w:szCs w:val="16"/>
              </w:rPr>
              <w:t>1b)</w:t>
            </w:r>
          </w:p>
          <w:p w:rsidR="006A7A3F" w:rsidRPr="00B408A4" w:rsidRDefault="00BC7372">
            <w:pPr>
              <w:pStyle w:val="TableParagraph"/>
              <w:numPr>
                <w:ilvl w:val="0"/>
                <w:numId w:val="1077"/>
              </w:numPr>
              <w:tabs>
                <w:tab w:val="left" w:pos="305"/>
              </w:tabs>
              <w:spacing w:before="98"/>
              <w:rPr>
                <w:sz w:val="16"/>
                <w:szCs w:val="16"/>
              </w:rPr>
            </w:pPr>
            <w:r w:rsidRPr="00B408A4">
              <w:rPr>
                <w:color w:val="231F20"/>
                <w:sz w:val="16"/>
                <w:szCs w:val="16"/>
              </w:rPr>
              <w:t>6,600 (tier</w:t>
            </w:r>
            <w:r w:rsidRPr="00B408A4">
              <w:rPr>
                <w:color w:val="231F20"/>
                <w:spacing w:val="-2"/>
                <w:sz w:val="16"/>
                <w:szCs w:val="16"/>
              </w:rPr>
              <w:t xml:space="preserve"> </w:t>
            </w:r>
            <w:r w:rsidRPr="00B408A4">
              <w:rPr>
                <w:color w:val="231F20"/>
                <w:sz w:val="16"/>
                <w:szCs w:val="16"/>
              </w:rPr>
              <w:t>2)</w:t>
            </w:r>
          </w:p>
        </w:tc>
        <w:tc>
          <w:tcPr>
            <w:tcW w:w="2041" w:type="dxa"/>
          </w:tcPr>
          <w:p w:rsidR="006A7A3F" w:rsidRPr="00B408A4" w:rsidRDefault="00BC7372">
            <w:pPr>
              <w:pStyle w:val="TableParagraph"/>
              <w:numPr>
                <w:ilvl w:val="0"/>
                <w:numId w:val="1076"/>
              </w:numPr>
              <w:tabs>
                <w:tab w:val="left" w:pos="305"/>
              </w:tabs>
              <w:spacing w:before="63"/>
              <w:rPr>
                <w:sz w:val="16"/>
                <w:szCs w:val="16"/>
              </w:rPr>
            </w:pPr>
            <w:r w:rsidRPr="00B408A4">
              <w:rPr>
                <w:color w:val="231F20"/>
                <w:sz w:val="16"/>
                <w:szCs w:val="16"/>
              </w:rPr>
              <w:t>2,508 ML (tier</w:t>
            </w:r>
            <w:r w:rsidRPr="00B408A4">
              <w:rPr>
                <w:color w:val="231F20"/>
                <w:spacing w:val="-15"/>
                <w:sz w:val="16"/>
                <w:szCs w:val="16"/>
              </w:rPr>
              <w:t xml:space="preserve"> </w:t>
            </w:r>
            <w:r w:rsidRPr="00B408A4">
              <w:rPr>
                <w:color w:val="231F20"/>
                <w:sz w:val="16"/>
                <w:szCs w:val="16"/>
              </w:rPr>
              <w:t>1a)</w:t>
            </w:r>
          </w:p>
          <w:p w:rsidR="006A7A3F" w:rsidRPr="00B408A4" w:rsidRDefault="00BC7372">
            <w:pPr>
              <w:pStyle w:val="TableParagraph"/>
              <w:numPr>
                <w:ilvl w:val="0"/>
                <w:numId w:val="1076"/>
              </w:numPr>
              <w:tabs>
                <w:tab w:val="left" w:pos="305"/>
              </w:tabs>
              <w:spacing w:before="98"/>
              <w:rPr>
                <w:sz w:val="16"/>
                <w:szCs w:val="16"/>
              </w:rPr>
            </w:pPr>
            <w:r w:rsidRPr="00B408A4">
              <w:rPr>
                <w:color w:val="231F20"/>
                <w:sz w:val="16"/>
                <w:szCs w:val="16"/>
              </w:rPr>
              <w:t>4,433 ML (tier</w:t>
            </w:r>
            <w:r w:rsidRPr="00B408A4">
              <w:rPr>
                <w:color w:val="231F20"/>
                <w:spacing w:val="-15"/>
                <w:sz w:val="16"/>
                <w:szCs w:val="16"/>
              </w:rPr>
              <w:t xml:space="preserve"> </w:t>
            </w:r>
            <w:r w:rsidRPr="00B408A4">
              <w:rPr>
                <w:color w:val="231F20"/>
                <w:sz w:val="16"/>
                <w:szCs w:val="16"/>
              </w:rPr>
              <w:t>1b)</w:t>
            </w:r>
          </w:p>
          <w:p w:rsidR="006A7A3F" w:rsidRPr="00B408A4" w:rsidRDefault="00BC7372">
            <w:pPr>
              <w:pStyle w:val="TableParagraph"/>
              <w:numPr>
                <w:ilvl w:val="0"/>
                <w:numId w:val="1076"/>
              </w:numPr>
              <w:tabs>
                <w:tab w:val="left" w:pos="305"/>
              </w:tabs>
              <w:spacing w:before="98"/>
              <w:rPr>
                <w:sz w:val="16"/>
                <w:szCs w:val="16"/>
              </w:rPr>
            </w:pPr>
            <w:r w:rsidRPr="00B408A4">
              <w:rPr>
                <w:color w:val="231F20"/>
                <w:sz w:val="16"/>
                <w:szCs w:val="16"/>
              </w:rPr>
              <w:t>6,600 (tier</w:t>
            </w:r>
            <w:r w:rsidRPr="00B408A4">
              <w:rPr>
                <w:color w:val="231F20"/>
                <w:spacing w:val="-2"/>
                <w:sz w:val="16"/>
                <w:szCs w:val="16"/>
              </w:rPr>
              <w:t xml:space="preserve"> </w:t>
            </w:r>
            <w:r w:rsidRPr="00B408A4">
              <w:rPr>
                <w:color w:val="231F20"/>
                <w:sz w:val="16"/>
                <w:szCs w:val="16"/>
              </w:rPr>
              <w:t>2)</w:t>
            </w:r>
          </w:p>
        </w:tc>
        <w:tc>
          <w:tcPr>
            <w:tcW w:w="2041" w:type="dxa"/>
          </w:tcPr>
          <w:p w:rsidR="006A7A3F" w:rsidRPr="00B408A4" w:rsidRDefault="00BC7372">
            <w:pPr>
              <w:pStyle w:val="TableParagraph"/>
              <w:numPr>
                <w:ilvl w:val="0"/>
                <w:numId w:val="1075"/>
              </w:numPr>
              <w:tabs>
                <w:tab w:val="left" w:pos="305"/>
              </w:tabs>
              <w:spacing w:before="63"/>
              <w:rPr>
                <w:sz w:val="16"/>
                <w:szCs w:val="16"/>
              </w:rPr>
            </w:pPr>
            <w:r w:rsidRPr="00B408A4">
              <w:rPr>
                <w:color w:val="231F20"/>
                <w:sz w:val="16"/>
                <w:szCs w:val="16"/>
              </w:rPr>
              <w:t>2,461 ML (tier</w:t>
            </w:r>
            <w:r w:rsidRPr="00B408A4">
              <w:rPr>
                <w:color w:val="231F20"/>
                <w:spacing w:val="-15"/>
                <w:sz w:val="16"/>
                <w:szCs w:val="16"/>
              </w:rPr>
              <w:t xml:space="preserve"> </w:t>
            </w:r>
            <w:r w:rsidRPr="00B408A4">
              <w:rPr>
                <w:color w:val="231F20"/>
                <w:sz w:val="16"/>
                <w:szCs w:val="16"/>
              </w:rPr>
              <w:t>1a)</w:t>
            </w:r>
          </w:p>
          <w:p w:rsidR="006A7A3F" w:rsidRPr="00B408A4" w:rsidRDefault="00BC7372">
            <w:pPr>
              <w:pStyle w:val="TableParagraph"/>
              <w:numPr>
                <w:ilvl w:val="0"/>
                <w:numId w:val="1075"/>
              </w:numPr>
              <w:tabs>
                <w:tab w:val="left" w:pos="305"/>
              </w:tabs>
              <w:spacing w:before="98"/>
              <w:rPr>
                <w:sz w:val="16"/>
                <w:szCs w:val="16"/>
              </w:rPr>
            </w:pPr>
            <w:r w:rsidRPr="00B408A4">
              <w:rPr>
                <w:color w:val="231F20"/>
                <w:sz w:val="16"/>
                <w:szCs w:val="16"/>
              </w:rPr>
              <w:t>3,735 ML (tier</w:t>
            </w:r>
            <w:r w:rsidRPr="00B408A4">
              <w:rPr>
                <w:color w:val="231F20"/>
                <w:spacing w:val="-15"/>
                <w:sz w:val="16"/>
                <w:szCs w:val="16"/>
              </w:rPr>
              <w:t xml:space="preserve"> </w:t>
            </w:r>
            <w:r w:rsidRPr="00B408A4">
              <w:rPr>
                <w:color w:val="231F20"/>
                <w:sz w:val="16"/>
                <w:szCs w:val="16"/>
              </w:rPr>
              <w:t>1b)</w:t>
            </w:r>
          </w:p>
          <w:p w:rsidR="006A7A3F" w:rsidRPr="00B408A4" w:rsidRDefault="00BC7372">
            <w:pPr>
              <w:pStyle w:val="TableParagraph"/>
              <w:numPr>
                <w:ilvl w:val="0"/>
                <w:numId w:val="1075"/>
              </w:numPr>
              <w:tabs>
                <w:tab w:val="left" w:pos="305"/>
              </w:tabs>
              <w:spacing w:before="98"/>
              <w:rPr>
                <w:sz w:val="16"/>
                <w:szCs w:val="16"/>
              </w:rPr>
            </w:pPr>
            <w:r w:rsidRPr="00B408A4">
              <w:rPr>
                <w:color w:val="231F20"/>
                <w:sz w:val="16"/>
                <w:szCs w:val="16"/>
              </w:rPr>
              <w:t>6,600 (tier</w:t>
            </w:r>
            <w:r w:rsidRPr="00B408A4">
              <w:rPr>
                <w:color w:val="231F20"/>
                <w:spacing w:val="-2"/>
                <w:sz w:val="16"/>
                <w:szCs w:val="16"/>
              </w:rPr>
              <w:t xml:space="preserve"> </w:t>
            </w:r>
            <w:r w:rsidRPr="00B408A4">
              <w:rPr>
                <w:color w:val="231F20"/>
                <w:sz w:val="16"/>
                <w:szCs w:val="16"/>
              </w:rPr>
              <w:t>2)</w:t>
            </w:r>
          </w:p>
        </w:tc>
        <w:tc>
          <w:tcPr>
            <w:tcW w:w="2041" w:type="dxa"/>
          </w:tcPr>
          <w:p w:rsidR="006A7A3F" w:rsidRPr="00B408A4" w:rsidRDefault="00BC7372">
            <w:pPr>
              <w:pStyle w:val="TableParagraph"/>
              <w:numPr>
                <w:ilvl w:val="0"/>
                <w:numId w:val="1074"/>
              </w:numPr>
              <w:tabs>
                <w:tab w:val="left" w:pos="305"/>
              </w:tabs>
              <w:spacing w:before="63"/>
              <w:rPr>
                <w:sz w:val="16"/>
                <w:szCs w:val="16"/>
              </w:rPr>
            </w:pPr>
            <w:r w:rsidRPr="00B408A4">
              <w:rPr>
                <w:color w:val="231F20"/>
                <w:sz w:val="16"/>
                <w:szCs w:val="16"/>
              </w:rPr>
              <w:t>1,682 ML (tier</w:t>
            </w:r>
            <w:r w:rsidRPr="00B408A4">
              <w:rPr>
                <w:color w:val="231F20"/>
                <w:spacing w:val="-11"/>
                <w:sz w:val="16"/>
                <w:szCs w:val="16"/>
              </w:rPr>
              <w:t xml:space="preserve"> </w:t>
            </w:r>
            <w:r w:rsidRPr="00B408A4">
              <w:rPr>
                <w:color w:val="231F20"/>
                <w:sz w:val="16"/>
                <w:szCs w:val="16"/>
              </w:rPr>
              <w:t>1a)</w:t>
            </w:r>
          </w:p>
          <w:p w:rsidR="006A7A3F" w:rsidRPr="00B408A4" w:rsidRDefault="00BC7372">
            <w:pPr>
              <w:pStyle w:val="TableParagraph"/>
              <w:numPr>
                <w:ilvl w:val="0"/>
                <w:numId w:val="1074"/>
              </w:numPr>
              <w:tabs>
                <w:tab w:val="left" w:pos="305"/>
              </w:tabs>
              <w:spacing w:before="98"/>
              <w:rPr>
                <w:sz w:val="16"/>
                <w:szCs w:val="16"/>
              </w:rPr>
            </w:pPr>
            <w:r w:rsidRPr="00B408A4">
              <w:rPr>
                <w:color w:val="231F20"/>
                <w:sz w:val="16"/>
                <w:szCs w:val="16"/>
              </w:rPr>
              <w:t>6,600 (tier</w:t>
            </w:r>
            <w:r w:rsidRPr="00B408A4">
              <w:rPr>
                <w:color w:val="231F20"/>
                <w:spacing w:val="-2"/>
                <w:sz w:val="16"/>
                <w:szCs w:val="16"/>
              </w:rPr>
              <w:t xml:space="preserve"> </w:t>
            </w:r>
            <w:r w:rsidRPr="00B408A4">
              <w:rPr>
                <w:color w:val="231F20"/>
                <w:sz w:val="16"/>
                <w:szCs w:val="16"/>
              </w:rPr>
              <w:t>2)</w:t>
            </w:r>
          </w:p>
        </w:tc>
      </w:tr>
      <w:tr w:rsidR="006A7A3F" w:rsidTr="00AF59F3">
        <w:trPr>
          <w:trHeight w:val="533"/>
        </w:trPr>
        <w:tc>
          <w:tcPr>
            <w:tcW w:w="2041" w:type="dxa"/>
          </w:tcPr>
          <w:p w:rsidR="006A7A3F" w:rsidRDefault="00BC7372">
            <w:pPr>
              <w:pStyle w:val="TableParagraph"/>
              <w:spacing w:before="67" w:line="261" w:lineRule="auto"/>
              <w:ind w:left="85" w:right="716"/>
              <w:rPr>
                <w:sz w:val="16"/>
              </w:rPr>
            </w:pPr>
            <w:r>
              <w:rPr>
                <w:color w:val="231F20"/>
                <w:sz w:val="16"/>
              </w:rPr>
              <w:t>Priority carryover requirements</w:t>
            </w:r>
          </w:p>
        </w:tc>
        <w:tc>
          <w:tcPr>
            <w:tcW w:w="8164" w:type="dxa"/>
            <w:gridSpan w:val="4"/>
          </w:tcPr>
          <w:p w:rsidR="006A7A3F" w:rsidRPr="00B408A4" w:rsidRDefault="00BC7372">
            <w:pPr>
              <w:pStyle w:val="TableParagraph"/>
              <w:numPr>
                <w:ilvl w:val="0"/>
                <w:numId w:val="1073"/>
              </w:numPr>
              <w:tabs>
                <w:tab w:val="left" w:pos="3580"/>
              </w:tabs>
              <w:spacing w:before="63"/>
              <w:rPr>
                <w:sz w:val="16"/>
                <w:szCs w:val="16"/>
              </w:rPr>
            </w:pPr>
            <w:r w:rsidRPr="00B408A4">
              <w:rPr>
                <w:color w:val="231F20"/>
                <w:sz w:val="16"/>
                <w:szCs w:val="16"/>
              </w:rPr>
              <w:t>Up to 1,000</w:t>
            </w:r>
            <w:r w:rsidRPr="00B408A4">
              <w:rPr>
                <w:color w:val="231F20"/>
                <w:spacing w:val="-3"/>
                <w:sz w:val="16"/>
                <w:szCs w:val="16"/>
              </w:rPr>
              <w:t xml:space="preserve"> </w:t>
            </w:r>
            <w:r w:rsidRPr="00B408A4">
              <w:rPr>
                <w:color w:val="231F20"/>
                <w:sz w:val="16"/>
                <w:szCs w:val="16"/>
              </w:rPr>
              <w:t>ML</w:t>
            </w:r>
          </w:p>
        </w:tc>
      </w:tr>
    </w:tbl>
    <w:p w:rsidR="006A7A3F" w:rsidRDefault="00BC7372">
      <w:pPr>
        <w:pStyle w:val="ListParagraph"/>
        <w:numPr>
          <w:ilvl w:val="0"/>
          <w:numId w:val="1072"/>
        </w:numPr>
        <w:tabs>
          <w:tab w:val="left" w:pos="324"/>
        </w:tabs>
        <w:spacing w:before="129" w:line="266" w:lineRule="auto"/>
        <w:ind w:right="243"/>
        <w:rPr>
          <w:sz w:val="14"/>
        </w:rPr>
      </w:pPr>
      <w:r>
        <w:rPr>
          <w:color w:val="231F20"/>
          <w:sz w:val="14"/>
        </w:rPr>
        <w:t xml:space="preserve">The expected availability of water for the environment is the estimated volume of water that may be held in the VEWH’s share of storage capacity in Lal Lal Reservoir during </w:t>
      </w:r>
      <w:r>
        <w:rPr>
          <w:color w:val="231F20"/>
          <w:spacing w:val="2"/>
          <w:sz w:val="14"/>
        </w:rPr>
        <w:t xml:space="preserve">2020–21 </w:t>
      </w:r>
      <w:r>
        <w:rPr>
          <w:color w:val="231F20"/>
          <w:sz w:val="14"/>
        </w:rPr>
        <w:t xml:space="preserve">under drought, dry, average and wet scenarios. The Moorabool River Environmental Entitlement 2010 entitles the </w:t>
      </w:r>
      <w:r>
        <w:rPr>
          <w:color w:val="231F20"/>
          <w:spacing w:val="2"/>
          <w:sz w:val="14"/>
        </w:rPr>
        <w:t xml:space="preserve">VEWH </w:t>
      </w:r>
      <w:r>
        <w:rPr>
          <w:color w:val="231F20"/>
          <w:sz w:val="14"/>
        </w:rPr>
        <w:t xml:space="preserve">to up to 7,500 ML of water from the VEWH’s share of storage </w:t>
      </w:r>
      <w:r>
        <w:rPr>
          <w:color w:val="231F20"/>
          <w:spacing w:val="2"/>
          <w:sz w:val="14"/>
        </w:rPr>
        <w:t xml:space="preserve">capacity </w:t>
      </w:r>
      <w:r>
        <w:rPr>
          <w:color w:val="231F20"/>
          <w:sz w:val="14"/>
        </w:rPr>
        <w:t>in any consecutive three-year period including the current year, so the volume of water available   to be delivered may be less than the total expected water</w:t>
      </w:r>
      <w:r>
        <w:rPr>
          <w:color w:val="231F20"/>
          <w:spacing w:val="-4"/>
          <w:sz w:val="14"/>
        </w:rPr>
        <w:t xml:space="preserve"> </w:t>
      </w:r>
      <w:r>
        <w:rPr>
          <w:color w:val="231F20"/>
          <w:sz w:val="14"/>
        </w:rPr>
        <w:t>availability.</w:t>
      </w:r>
    </w:p>
    <w:p w:rsidR="006A7A3F" w:rsidRDefault="00BC7372">
      <w:pPr>
        <w:pStyle w:val="ListParagraph"/>
        <w:numPr>
          <w:ilvl w:val="0"/>
          <w:numId w:val="1072"/>
        </w:numPr>
        <w:tabs>
          <w:tab w:val="left" w:pos="324"/>
        </w:tabs>
        <w:spacing w:before="54"/>
        <w:rPr>
          <w:sz w:val="14"/>
        </w:rPr>
      </w:pPr>
      <w:r>
        <w:rPr>
          <w:color w:val="231F20"/>
          <w:sz w:val="14"/>
        </w:rPr>
        <w:t>Environmental water requirements for tier 2 actions are additional to tier 1</w:t>
      </w:r>
      <w:r>
        <w:rPr>
          <w:color w:val="231F20"/>
          <w:spacing w:val="3"/>
          <w:sz w:val="14"/>
        </w:rPr>
        <w:t xml:space="preserve"> </w:t>
      </w:r>
      <w:r>
        <w:rPr>
          <w:color w:val="231F20"/>
          <w:sz w:val="14"/>
        </w:rPr>
        <w:t>requirements.</w:t>
      </w:r>
    </w:p>
    <w:p w:rsidR="00AF59F3" w:rsidRDefault="00AF59F3">
      <w:pPr>
        <w:rPr>
          <w:sz w:val="13"/>
          <w:szCs w:val="20"/>
        </w:rPr>
      </w:pPr>
      <w:r>
        <w:rPr>
          <w:sz w:val="13"/>
          <w:szCs w:val="20"/>
        </w:rPr>
        <w:br w:type="page"/>
      </w:r>
    </w:p>
    <w:p w:rsidR="006A7A3F" w:rsidRDefault="00BC7372">
      <w:pPr>
        <w:pStyle w:val="Heading1"/>
        <w:numPr>
          <w:ilvl w:val="1"/>
          <w:numId w:val="1262"/>
        </w:numPr>
        <w:tabs>
          <w:tab w:val="left" w:pos="911"/>
        </w:tabs>
        <w:spacing w:before="1"/>
      </w:pPr>
      <w:r>
        <w:rPr>
          <w:color w:val="231F20"/>
        </w:rPr>
        <w:t>Barwon system</w:t>
      </w:r>
    </w:p>
    <w:p w:rsidR="006A7A3F" w:rsidRDefault="00BC7372">
      <w:pPr>
        <w:pStyle w:val="Heading4"/>
        <w:spacing w:before="306"/>
      </w:pPr>
      <w:r>
        <w:rPr>
          <w:color w:val="231F20"/>
        </w:rPr>
        <w:t>Did you know...?</w:t>
      </w:r>
    </w:p>
    <w:p w:rsidR="006A7A3F" w:rsidRDefault="00BC7372">
      <w:pPr>
        <w:pStyle w:val="BodyText"/>
        <w:spacing w:before="58" w:line="249" w:lineRule="auto"/>
        <w:ind w:right="100"/>
      </w:pPr>
      <w:r>
        <w:rPr>
          <w:color w:val="231F20"/>
        </w:rPr>
        <w:t>The Barwon River is known to the Wadawurrung people as Barra Warre yulluk which means ‘from the mountains to the sea.’</w:t>
      </w:r>
    </w:p>
    <w:p w:rsidR="006A7A3F" w:rsidRDefault="00BC7372" w:rsidP="00093C34">
      <w:pPr>
        <w:pStyle w:val="BodyText"/>
        <w:spacing w:after="240" w:line="250" w:lineRule="auto"/>
        <w:ind w:right="187"/>
      </w:pPr>
      <w:r>
        <w:rPr>
          <w:color w:val="231F20"/>
        </w:rPr>
        <w:t>The volume attributed to the environment in the Barwon system does not include water that is available to the lower Barwon wetlands because there is no limitation on the volume of water that can be supplied to the wetlands from</w:t>
      </w:r>
      <w:r w:rsidR="00093C34">
        <w:t xml:space="preserve"> </w:t>
      </w:r>
      <w:r>
        <w:rPr>
          <w:color w:val="231F20"/>
        </w:rPr>
        <w:t>the Barwon River.</w:t>
      </w:r>
    </w:p>
    <w:p w:rsidR="006A7A3F" w:rsidRDefault="00BC7372">
      <w:pPr>
        <w:pStyle w:val="BodyText"/>
        <w:spacing w:before="6"/>
        <w:ind w:left="0"/>
        <w:rPr>
          <w:sz w:val="16"/>
        </w:rPr>
      </w:pPr>
      <w:r>
        <w:rPr>
          <w:noProof/>
        </w:rPr>
        <w:drawing>
          <wp:inline distT="0" distB="0" distL="0" distR="0">
            <wp:extent cx="2957226" cy="1419225"/>
            <wp:effectExtent l="0" t="0" r="1905" b="3175"/>
            <wp:docPr id="643" name="image35.png" descr="Pie chart shows the proportion of water entitlements in the Barwon basin held by private users (20%), water corporations (77%) and environmental water holders (3%)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7226" cy="1419225"/>
                    </a:xfrm>
                    <a:prstGeom prst="rect">
                      <a:avLst/>
                    </a:prstGeom>
                  </pic:spPr>
                </pic:pic>
              </a:graphicData>
            </a:graphic>
          </wp:inline>
        </w:drawing>
      </w:r>
    </w:p>
    <w:p w:rsidR="006A7A3F" w:rsidRDefault="006A7A3F">
      <w:pPr>
        <w:pStyle w:val="BodyText"/>
        <w:spacing w:before="0"/>
        <w:ind w:left="0"/>
        <w:rPr>
          <w:sz w:val="22"/>
        </w:rPr>
      </w:pPr>
    </w:p>
    <w:p w:rsidR="006A7A3F" w:rsidRDefault="00BC7372">
      <w:pPr>
        <w:pStyle w:val="Heading7"/>
        <w:spacing w:before="131" w:line="249" w:lineRule="auto"/>
        <w:ind w:right="1122"/>
      </w:pPr>
      <w:r>
        <w:rPr>
          <w:color w:val="231F20"/>
        </w:rPr>
        <w:t>Proportion of water entitlements in the Barwon basin held by private users, water corporations or environmental water holders at 30 June 2019.</w:t>
      </w:r>
    </w:p>
    <w:p w:rsidR="006A7A3F" w:rsidRDefault="006A7A3F">
      <w:pPr>
        <w:pStyle w:val="BodyText"/>
        <w:spacing w:before="7"/>
        <w:ind w:left="0"/>
        <w:rPr>
          <w:b/>
          <w:sz w:val="17"/>
        </w:rPr>
      </w:pPr>
    </w:p>
    <w:p w:rsidR="006A7A3F" w:rsidRDefault="00BC7372" w:rsidP="006B6909">
      <w:pPr>
        <w:ind w:left="210"/>
      </w:pPr>
      <w:r>
        <w:rPr>
          <w:color w:val="231F20"/>
        </w:rPr>
        <w:t>The Barwon system includes the upper Barwon River and lower Barwon wetlands.</w:t>
      </w:r>
      <w:r w:rsidR="006B6909">
        <w:t xml:space="preserve"> </w:t>
      </w:r>
      <w:r>
        <w:rPr>
          <w:color w:val="231F20"/>
        </w:rPr>
        <w:t>The Barwon River flows east from the Otway Ranges passing the towns of Forrest, Birregurra, Winchelsea and Inverleigh and the City of Geelong before discharging into Bass Strait at Barwon Heads. The Leigh and Moorabool rivers are major tributaries, joining the Barwon River at Inverleigh and Fyansford respectively. Other tributaries including Birregurra, Boundary, Callahan, Dewing, Matthews, Pennyroyal, Deans Marsh and Gosling creeks flow into the Barwon River above Winchelsea. The main storages in the Barwon River catchments are the West Barwon and Wurdee Boluc reservoirs.</w:t>
      </w:r>
    </w:p>
    <w:p w:rsidR="006A7A3F" w:rsidRDefault="006A7A3F">
      <w:pPr>
        <w:pStyle w:val="BodyText"/>
        <w:spacing w:before="2"/>
        <w:ind w:left="0"/>
        <w:rPr>
          <w:sz w:val="24"/>
        </w:rPr>
      </w:pPr>
    </w:p>
    <w:p w:rsidR="006A7A3F" w:rsidRDefault="00BC7372">
      <w:pPr>
        <w:spacing w:line="276" w:lineRule="auto"/>
        <w:ind w:left="210" w:right="279"/>
      </w:pPr>
      <w:r>
        <w:rPr>
          <w:color w:val="231F20"/>
        </w:rPr>
        <w:t>The Barwon estuary contains a Ramsar-listed system of wetlands and lakes collectively called the lower Barwon wetlands. Water for the environment can be used to manage flows in the upper Barwon River and manage water levels in Reedy Lake and Hospital Swamps, which connect to the lower Barwon River.</w:t>
      </w:r>
    </w:p>
    <w:p w:rsidR="006A7A3F" w:rsidRDefault="006A7A3F">
      <w:pPr>
        <w:pStyle w:val="BodyText"/>
        <w:spacing w:before="8"/>
        <w:ind w:left="0"/>
        <w:rPr>
          <w:sz w:val="27"/>
        </w:rPr>
      </w:pPr>
    </w:p>
    <w:p w:rsidR="006A7A3F" w:rsidRDefault="00BC7372">
      <w:pPr>
        <w:pStyle w:val="ListParagraph"/>
        <w:numPr>
          <w:ilvl w:val="2"/>
          <w:numId w:val="1262"/>
        </w:numPr>
        <w:tabs>
          <w:tab w:val="left" w:pos="811"/>
        </w:tabs>
        <w:spacing w:before="1"/>
        <w:rPr>
          <w:rFonts w:ascii="HelveticaNeueLTStd-Md"/>
          <w:sz w:val="24"/>
        </w:rPr>
      </w:pPr>
      <w:r>
        <w:rPr>
          <w:rFonts w:ascii="HelveticaNeueLTStd-Md"/>
          <w:color w:val="231F20"/>
          <w:sz w:val="24"/>
        </w:rPr>
        <w:t>Upper Barwon River</w:t>
      </w:r>
    </w:p>
    <w:p w:rsidR="006A7A3F" w:rsidRDefault="00BC7372">
      <w:pPr>
        <w:spacing w:before="228"/>
        <w:ind w:left="210"/>
        <w:rPr>
          <w:b/>
          <w:sz w:val="24"/>
        </w:rPr>
      </w:pPr>
      <w:r>
        <w:rPr>
          <w:b/>
          <w:color w:val="231F20"/>
          <w:sz w:val="24"/>
        </w:rPr>
        <w:t>System overview</w:t>
      </w:r>
    </w:p>
    <w:p w:rsidR="006A7A3F" w:rsidRDefault="00BC7372">
      <w:pPr>
        <w:spacing w:before="90" w:line="276" w:lineRule="auto"/>
        <w:ind w:left="210" w:right="260"/>
      </w:pPr>
      <w:r>
        <w:rPr>
          <w:color w:val="231F20"/>
        </w:rPr>
        <w:t xml:space="preserve">Flows in the upper Barwon River are regulated by the operation of the West Barwon Reservoir upstream of Forrest. </w:t>
      </w:r>
      <w:r>
        <w:rPr>
          <w:color w:val="231F20"/>
          <w:spacing w:val="-3"/>
        </w:rPr>
        <w:t xml:space="preserve">Water </w:t>
      </w:r>
      <w:r>
        <w:rPr>
          <w:color w:val="231F20"/>
        </w:rPr>
        <w:t>can be released directly from the reservoir into the west branch, or into the east branch via a diversion channel. The junction of the two branches is near Boundary Creek. Upstream of Birregurra, water can be diverted into the Wurdee Boluc inlet channel, a 57 km, concrete-lined channel that transfers water to Wurdee Boluc</w:t>
      </w:r>
      <w:r>
        <w:rPr>
          <w:color w:val="231F20"/>
          <w:spacing w:val="-5"/>
        </w:rPr>
        <w:t xml:space="preserve"> </w:t>
      </w:r>
      <w:r>
        <w:rPr>
          <w:color w:val="231F20"/>
        </w:rPr>
        <w:t>Reservoir.</w:t>
      </w:r>
    </w:p>
    <w:p w:rsidR="00B33139" w:rsidRDefault="00B33139">
      <w:pPr>
        <w:rPr>
          <w:sz w:val="21"/>
          <w:szCs w:val="20"/>
        </w:rPr>
      </w:pPr>
      <w:r>
        <w:rPr>
          <w:sz w:val="21"/>
        </w:rPr>
        <w:br w:type="page"/>
      </w:r>
    </w:p>
    <w:p w:rsidR="006A7A3F" w:rsidRDefault="00BC7372">
      <w:pPr>
        <w:pStyle w:val="BodyText"/>
        <w:spacing w:before="0" w:line="249" w:lineRule="auto"/>
        <w:ind w:right="432"/>
      </w:pPr>
      <w:r>
        <w:rPr>
          <w:color w:val="231F20"/>
        </w:rPr>
        <w:t xml:space="preserve">Barwon </w:t>
      </w:r>
      <w:r>
        <w:rPr>
          <w:color w:val="231F20"/>
          <w:spacing w:val="-3"/>
        </w:rPr>
        <w:t xml:space="preserve">Water </w:t>
      </w:r>
      <w:r>
        <w:rPr>
          <w:color w:val="231F20"/>
        </w:rPr>
        <w:t>releases passing flows in the order of 1–5 ML per day in both the upper east and west branch (and</w:t>
      </w:r>
      <w:r>
        <w:rPr>
          <w:color w:val="231F20"/>
          <w:spacing w:val="-2"/>
        </w:rPr>
        <w:t xml:space="preserve"> </w:t>
      </w:r>
      <w:r>
        <w:rPr>
          <w:color w:val="231F20"/>
        </w:rPr>
        <w:t>up</w:t>
      </w:r>
      <w:r>
        <w:rPr>
          <w:color w:val="231F20"/>
          <w:spacing w:val="-3"/>
        </w:rPr>
        <w:t xml:space="preserve"> </w:t>
      </w:r>
      <w:r>
        <w:rPr>
          <w:color w:val="231F20"/>
        </w:rPr>
        <w:t>to</w:t>
      </w:r>
      <w:r>
        <w:rPr>
          <w:color w:val="231F20"/>
          <w:spacing w:val="-2"/>
        </w:rPr>
        <w:t xml:space="preserve"> </w:t>
      </w:r>
      <w:r>
        <w:rPr>
          <w:color w:val="231F20"/>
        </w:rPr>
        <w:t>15</w:t>
      </w:r>
      <w:r>
        <w:rPr>
          <w:color w:val="231F20"/>
          <w:spacing w:val="-3"/>
        </w:rPr>
        <w:t xml:space="preserve"> </w:t>
      </w:r>
      <w:r>
        <w:rPr>
          <w:color w:val="231F20"/>
        </w:rPr>
        <w:t>ML</w:t>
      </w:r>
      <w:r>
        <w:rPr>
          <w:color w:val="231F20"/>
          <w:spacing w:val="-9"/>
        </w:rPr>
        <w:t xml:space="preserve"> </w:t>
      </w:r>
      <w:r>
        <w:rPr>
          <w:color w:val="231F20"/>
        </w:rPr>
        <w:t>per</w:t>
      </w:r>
      <w:r>
        <w:rPr>
          <w:color w:val="231F20"/>
          <w:spacing w:val="-3"/>
        </w:rPr>
        <w:t xml:space="preserve"> </w:t>
      </w:r>
      <w:r>
        <w:rPr>
          <w:color w:val="231F20"/>
        </w:rPr>
        <w:t>day</w:t>
      </w:r>
      <w:r>
        <w:rPr>
          <w:color w:val="231F20"/>
          <w:spacing w:val="-3"/>
        </w:rPr>
        <w:t xml:space="preserve"> </w:t>
      </w:r>
      <w:r>
        <w:rPr>
          <w:color w:val="231F20"/>
        </w:rPr>
        <w:t>in</w:t>
      </w:r>
      <w:r>
        <w:rPr>
          <w:color w:val="231F20"/>
          <w:spacing w:val="-3"/>
        </w:rPr>
        <w:t xml:space="preserve"> </w:t>
      </w:r>
      <w:r>
        <w:rPr>
          <w:color w:val="231F20"/>
        </w:rPr>
        <w:t>September</w:t>
      </w:r>
      <w:r>
        <w:rPr>
          <w:color w:val="231F20"/>
          <w:spacing w:val="-1"/>
        </w:rPr>
        <w:t xml:space="preserve"> </w:t>
      </w:r>
      <w:r>
        <w:rPr>
          <w:color w:val="231F20"/>
        </w:rPr>
        <w:t>during</w:t>
      </w:r>
      <w:r>
        <w:rPr>
          <w:color w:val="231F20"/>
          <w:spacing w:val="-3"/>
        </w:rPr>
        <w:t xml:space="preserve"> </w:t>
      </w:r>
      <w:r>
        <w:rPr>
          <w:color w:val="231F20"/>
        </w:rPr>
        <w:t>a</w:t>
      </w:r>
      <w:r>
        <w:rPr>
          <w:color w:val="231F20"/>
          <w:spacing w:val="-3"/>
        </w:rPr>
        <w:t xml:space="preserve"> </w:t>
      </w:r>
      <w:r>
        <w:rPr>
          <w:color w:val="231F20"/>
        </w:rPr>
        <w:t>wet</w:t>
      </w:r>
      <w:r>
        <w:rPr>
          <w:color w:val="231F20"/>
          <w:spacing w:val="-3"/>
        </w:rPr>
        <w:t xml:space="preserve"> </w:t>
      </w:r>
      <w:r>
        <w:rPr>
          <w:color w:val="231F20"/>
        </w:rPr>
        <w:t>year)</w:t>
      </w:r>
      <w:r>
        <w:rPr>
          <w:color w:val="231F20"/>
          <w:spacing w:val="-2"/>
        </w:rPr>
        <w:t xml:space="preserve"> </w:t>
      </w:r>
      <w:r>
        <w:rPr>
          <w:color w:val="231F20"/>
        </w:rPr>
        <w:t>from</w:t>
      </w:r>
      <w:r>
        <w:rPr>
          <w:color w:val="231F20"/>
          <w:spacing w:val="-1"/>
        </w:rPr>
        <w:t xml:space="preserve"> </w:t>
      </w:r>
      <w:r>
        <w:rPr>
          <w:color w:val="231F20"/>
        </w:rPr>
        <w:t>the</w:t>
      </w:r>
      <w:r>
        <w:rPr>
          <w:color w:val="231F20"/>
          <w:spacing w:val="-2"/>
        </w:rPr>
        <w:t xml:space="preserve"> </w:t>
      </w:r>
      <w:r>
        <w:rPr>
          <w:color w:val="231F20"/>
        </w:rPr>
        <w:t>West</w:t>
      </w:r>
      <w:r>
        <w:rPr>
          <w:color w:val="231F20"/>
          <w:spacing w:val="-3"/>
        </w:rPr>
        <w:t xml:space="preserve"> </w:t>
      </w:r>
      <w:r>
        <w:rPr>
          <w:color w:val="231F20"/>
        </w:rPr>
        <w:t>Barwon</w:t>
      </w:r>
      <w:r>
        <w:rPr>
          <w:color w:val="231F20"/>
          <w:spacing w:val="-2"/>
        </w:rPr>
        <w:t xml:space="preserve"> </w:t>
      </w:r>
      <w:r>
        <w:rPr>
          <w:color w:val="231F20"/>
        </w:rPr>
        <w:t>Reservoir.</w:t>
      </w:r>
      <w:r>
        <w:rPr>
          <w:color w:val="231F20"/>
          <w:spacing w:val="-2"/>
        </w:rPr>
        <w:t xml:space="preserve"> </w:t>
      </w:r>
      <w:r>
        <w:rPr>
          <w:color w:val="231F20"/>
        </w:rPr>
        <w:t>Flood</w:t>
      </w:r>
      <w:r>
        <w:rPr>
          <w:color w:val="231F20"/>
          <w:spacing w:val="-1"/>
        </w:rPr>
        <w:t xml:space="preserve"> </w:t>
      </w:r>
      <w:r>
        <w:rPr>
          <w:color w:val="231F20"/>
        </w:rPr>
        <w:t>spills</w:t>
      </w:r>
      <w:r>
        <w:rPr>
          <w:color w:val="231F20"/>
          <w:spacing w:val="-2"/>
        </w:rPr>
        <w:t xml:space="preserve"> </w:t>
      </w:r>
      <w:r>
        <w:rPr>
          <w:color w:val="231F20"/>
        </w:rPr>
        <w:t>from</w:t>
      </w:r>
      <w:r>
        <w:rPr>
          <w:color w:val="231F20"/>
          <w:spacing w:val="-2"/>
        </w:rPr>
        <w:t xml:space="preserve"> </w:t>
      </w:r>
      <w:r>
        <w:rPr>
          <w:color w:val="231F20"/>
        </w:rPr>
        <w:t>the reservoir and natural inflows from unregulated and partly regulated tributaries add to the passing</w:t>
      </w:r>
      <w:r>
        <w:rPr>
          <w:color w:val="231F20"/>
          <w:spacing w:val="-26"/>
        </w:rPr>
        <w:t xml:space="preserve"> </w:t>
      </w:r>
      <w:r>
        <w:rPr>
          <w:color w:val="231F20"/>
        </w:rPr>
        <w:t>flows.</w:t>
      </w:r>
    </w:p>
    <w:p w:rsidR="006A7A3F" w:rsidRDefault="00BC7372" w:rsidP="005E214D">
      <w:pPr>
        <w:pStyle w:val="BodyText"/>
        <w:spacing w:line="249" w:lineRule="auto"/>
        <w:ind w:right="307"/>
      </w:pPr>
      <w:r>
        <w:rPr>
          <w:color w:val="231F20"/>
        </w:rPr>
        <w:t>The Upper Barwon River Environmental Entitlement 2018 enables water to be made available for the environment from the West Barwon Reservoir. The entitlement provides an average of 1,000 ML per year and up to 2,000 ML of the total storage capacity at full supply. Water for the environment was first delivered to the upper Barwon in</w:t>
      </w:r>
      <w:r w:rsidR="005E214D">
        <w:rPr>
          <w:color w:val="231F20"/>
        </w:rPr>
        <w:t xml:space="preserve"> </w:t>
      </w:r>
      <w:r>
        <w:rPr>
          <w:color w:val="231F20"/>
        </w:rPr>
        <w:t>2018–19. The current entitlement provides only enough water to meet the highest ecological objectives in the upper Barwon east branch (reach 4) and the upper Barwon west branch (reach 3).</w:t>
      </w:r>
    </w:p>
    <w:p w:rsidR="006A7A3F" w:rsidRDefault="006A7A3F">
      <w:pPr>
        <w:pStyle w:val="BodyText"/>
        <w:spacing w:before="1"/>
        <w:ind w:left="0"/>
      </w:pPr>
    </w:p>
    <w:p w:rsidR="006A7A3F" w:rsidRDefault="00BC7372">
      <w:pPr>
        <w:pStyle w:val="Heading4"/>
      </w:pPr>
      <w:r>
        <w:rPr>
          <w:color w:val="231F20"/>
        </w:rPr>
        <w:t>Environmental values</w:t>
      </w:r>
    </w:p>
    <w:p w:rsidR="006A7A3F" w:rsidRDefault="00BC7372">
      <w:pPr>
        <w:pStyle w:val="BodyText"/>
        <w:spacing w:before="58" w:line="249" w:lineRule="auto"/>
        <w:ind w:right="100"/>
      </w:pPr>
      <w:r>
        <w:rPr>
          <w:color w:val="231F20"/>
        </w:rPr>
        <w:t>The upper Barwon River is home to native fish species including the Australian grayling, river blackfish, short-finned eel, southern pygmy perch, Australian smelt and various galaxias. The system retains some submerged aquatic vegetation, undercut banks, overhanging vegetation and riffle-pool sequences: these provide important habitat for fish and other aquatic animals.</w:t>
      </w:r>
    </w:p>
    <w:p w:rsidR="006A7A3F" w:rsidRDefault="006A7A3F">
      <w:pPr>
        <w:pStyle w:val="BodyText"/>
        <w:spacing w:before="2"/>
        <w:ind w:left="0"/>
      </w:pPr>
    </w:p>
    <w:p w:rsidR="006A7A3F" w:rsidRDefault="00BC7372">
      <w:pPr>
        <w:pStyle w:val="Heading4"/>
        <w:spacing w:before="1"/>
      </w:pPr>
      <w:r>
        <w:rPr>
          <w:color w:val="231F20"/>
        </w:rPr>
        <w:t>Environmental watering objectives in the upper Barwon River</w:t>
      </w:r>
    </w:p>
    <w:p w:rsidR="006A7A3F" w:rsidRDefault="006A7A3F">
      <w:pPr>
        <w:pStyle w:val="BodyText"/>
        <w:spacing w:before="5"/>
        <w:ind w:left="0"/>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804"/>
        <w:gridCol w:w="3846"/>
      </w:tblGrid>
      <w:tr w:rsidR="006A7A3F">
        <w:trPr>
          <w:trHeight w:val="2160"/>
        </w:trPr>
        <w:tc>
          <w:tcPr>
            <w:tcW w:w="804" w:type="dxa"/>
            <w:tcBorders>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ind w:left="0"/>
              <w:rPr>
                <w:b/>
                <w:sz w:val="13"/>
              </w:rPr>
            </w:pPr>
          </w:p>
          <w:p w:rsidR="006A7A3F" w:rsidRDefault="00BC7372">
            <w:pPr>
              <w:pStyle w:val="TableParagraph"/>
              <w:ind w:left="178"/>
              <w:rPr>
                <w:sz w:val="20"/>
              </w:rPr>
            </w:pPr>
            <w:r>
              <w:rPr>
                <w:noProof/>
                <w:sz w:val="20"/>
              </w:rPr>
              <w:drawing>
                <wp:inline distT="0" distB="0" distL="0" distR="0">
                  <wp:extent cx="314168" cy="310895"/>
                  <wp:effectExtent l="0" t="0" r="0" b="0"/>
                  <wp:docPr id="645"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3846" w:type="dxa"/>
            <w:tcBorders>
              <w:bottom w:val="single" w:sz="8" w:space="0" w:color="FFFFFF"/>
            </w:tcBorders>
            <w:shd w:val="clear" w:color="auto" w:fill="E6E7E8"/>
          </w:tcPr>
          <w:p w:rsidR="006A7A3F" w:rsidRDefault="00BC7372">
            <w:pPr>
              <w:pStyle w:val="TableParagraph"/>
              <w:spacing w:before="136" w:line="261" w:lineRule="auto"/>
              <w:ind w:left="131" w:right="102"/>
              <w:rPr>
                <w:sz w:val="16"/>
              </w:rPr>
            </w:pPr>
            <w:r>
              <w:rPr>
                <w:color w:val="231F20"/>
                <w:sz w:val="16"/>
              </w:rPr>
              <w:t>Maintain the abundance, and improve the breeding and recruitment of migratory fish species including short-finned eels, Australian grayling and tupong, broad-finned galaxias and common galaxias</w:t>
            </w:r>
          </w:p>
          <w:p w:rsidR="006A7A3F" w:rsidRDefault="00BC7372">
            <w:pPr>
              <w:pStyle w:val="TableParagraph"/>
              <w:spacing w:before="111" w:line="261" w:lineRule="auto"/>
              <w:ind w:left="131" w:right="95"/>
              <w:rPr>
                <w:sz w:val="16"/>
              </w:rPr>
            </w:pPr>
            <w:r>
              <w:rPr>
                <w:color w:val="231F20"/>
                <w:sz w:val="16"/>
              </w:rPr>
              <w:t>Maintain the abundance, and improve the breeding and recruitment of resident freshwater fish including several species of galaxias, Australian smelt, big-headed gudgeon, Yarra and southern pygmy perch and river blackfish</w:t>
            </w:r>
          </w:p>
        </w:tc>
      </w:tr>
      <w:tr w:rsidR="006A7A3F">
        <w:trPr>
          <w:trHeight w:val="809"/>
        </w:trPr>
        <w:tc>
          <w:tcPr>
            <w:tcW w:w="804"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5"/>
                  <wp:effectExtent l="0" t="0" r="0" b="0"/>
                  <wp:docPr id="647"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1.jpeg"/>
                          <pic:cNvPicPr/>
                        </pic:nvPicPr>
                        <pic:blipFill>
                          <a:blip r:embed="rId43" cstate="print"/>
                          <a:stretch>
                            <a:fillRect/>
                          </a:stretch>
                        </pic:blipFill>
                        <pic:spPr>
                          <a:xfrm>
                            <a:off x="0" y="0"/>
                            <a:ext cx="314168" cy="310895"/>
                          </a:xfrm>
                          <a:prstGeom prst="rect">
                            <a:avLst/>
                          </a:prstGeom>
                        </pic:spPr>
                      </pic:pic>
                    </a:graphicData>
                  </a:graphic>
                </wp:inline>
              </w:drawing>
            </w:r>
          </w:p>
        </w:tc>
        <w:tc>
          <w:tcPr>
            <w:tcW w:w="3846" w:type="dxa"/>
            <w:tcBorders>
              <w:top w:val="single" w:sz="8" w:space="0" w:color="FFFFFF"/>
              <w:bottom w:val="single" w:sz="8" w:space="0" w:color="FFFFFF"/>
            </w:tcBorders>
            <w:shd w:val="clear" w:color="auto" w:fill="E6E7E8"/>
          </w:tcPr>
          <w:p w:rsidR="006A7A3F" w:rsidRDefault="006A7A3F">
            <w:pPr>
              <w:pStyle w:val="TableParagraph"/>
              <w:spacing w:before="6"/>
              <w:ind w:left="0"/>
              <w:rPr>
                <w:b/>
                <w:sz w:val="18"/>
              </w:rPr>
            </w:pPr>
          </w:p>
          <w:p w:rsidR="006A7A3F" w:rsidRDefault="00BC7372">
            <w:pPr>
              <w:pStyle w:val="TableParagraph"/>
              <w:spacing w:line="261" w:lineRule="auto"/>
              <w:ind w:left="131" w:right="110"/>
              <w:rPr>
                <w:sz w:val="16"/>
              </w:rPr>
            </w:pPr>
            <w:r>
              <w:rPr>
                <w:color w:val="231F20"/>
                <w:sz w:val="16"/>
              </w:rPr>
              <w:t>Maintain the abundance and improve the condition and extent of platypus populations</w:t>
            </w:r>
          </w:p>
        </w:tc>
      </w:tr>
      <w:tr w:rsidR="006A7A3F">
        <w:trPr>
          <w:trHeight w:val="1693"/>
        </w:trPr>
        <w:tc>
          <w:tcPr>
            <w:tcW w:w="804"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3" w:after="1"/>
              <w:ind w:left="0"/>
              <w:rPr>
                <w:b/>
                <w:sz w:val="12"/>
              </w:rPr>
            </w:pPr>
          </w:p>
          <w:p w:rsidR="006A7A3F" w:rsidRDefault="00BC7372">
            <w:pPr>
              <w:pStyle w:val="TableParagraph"/>
              <w:ind w:left="178"/>
              <w:rPr>
                <w:sz w:val="20"/>
              </w:rPr>
            </w:pPr>
            <w:r>
              <w:rPr>
                <w:noProof/>
                <w:sz w:val="20"/>
              </w:rPr>
              <w:drawing>
                <wp:inline distT="0" distB="0" distL="0" distR="0">
                  <wp:extent cx="314177" cy="310896"/>
                  <wp:effectExtent l="0" t="0" r="0" b="0"/>
                  <wp:docPr id="64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3846"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31" w:right="537"/>
              <w:rPr>
                <w:sz w:val="16"/>
              </w:rPr>
            </w:pPr>
            <w:r>
              <w:rPr>
                <w:color w:val="231F20"/>
                <w:sz w:val="16"/>
              </w:rPr>
              <w:t>Improve the condition and extent of instream vegetation, to provide structural habitat for waterbugs and various fish species</w:t>
            </w:r>
          </w:p>
          <w:p w:rsidR="006A7A3F" w:rsidRDefault="00BC7372">
            <w:pPr>
              <w:pStyle w:val="TableParagraph"/>
              <w:spacing w:before="55" w:line="261" w:lineRule="auto"/>
              <w:ind w:left="131" w:right="217"/>
              <w:rPr>
                <w:sz w:val="16"/>
              </w:rPr>
            </w:pPr>
            <w:r>
              <w:rPr>
                <w:color w:val="231F20"/>
                <w:sz w:val="16"/>
              </w:rPr>
              <w:t>Improve the condition, extent and diversity of emergent macrophyte vegetation and streamside vegetation to provide structural habitat and stabilise the channel and lower banks</w:t>
            </w:r>
          </w:p>
        </w:tc>
      </w:tr>
      <w:tr w:rsidR="006B6909" w:rsidTr="006B6909">
        <w:trPr>
          <w:trHeight w:val="907"/>
        </w:trPr>
        <w:tc>
          <w:tcPr>
            <w:tcW w:w="804" w:type="dxa"/>
            <w:tcBorders>
              <w:top w:val="single" w:sz="8" w:space="0" w:color="FFFFFF"/>
              <w:bottom w:val="single" w:sz="8" w:space="0" w:color="FFFFFF"/>
            </w:tcBorders>
            <w:shd w:val="clear" w:color="auto" w:fill="E6E7E8"/>
          </w:tcPr>
          <w:p w:rsidR="006B6909" w:rsidRDefault="006B6909" w:rsidP="006B6909">
            <w:pPr>
              <w:pStyle w:val="TableParagraph"/>
              <w:spacing w:before="5"/>
              <w:ind w:left="0"/>
              <w:rPr>
                <w:b/>
                <w:sz w:val="14"/>
              </w:rPr>
            </w:pPr>
          </w:p>
          <w:p w:rsidR="006B6909" w:rsidRDefault="006B6909" w:rsidP="006B6909">
            <w:pPr>
              <w:pStyle w:val="TableParagraph"/>
              <w:ind w:left="178"/>
              <w:rPr>
                <w:sz w:val="20"/>
              </w:rPr>
            </w:pPr>
            <w:r>
              <w:rPr>
                <w:noProof/>
                <w:sz w:val="20"/>
              </w:rPr>
              <w:drawing>
                <wp:inline distT="0" distB="0" distL="0" distR="0" wp14:anchorId="6613B3DD" wp14:editId="1CE80891">
                  <wp:extent cx="314177" cy="310896"/>
                  <wp:effectExtent l="0" t="0" r="0" b="0"/>
                  <wp:docPr id="651"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3846" w:type="dxa"/>
            <w:tcBorders>
              <w:top w:val="single" w:sz="8" w:space="0" w:color="FFFFFF"/>
              <w:bottom w:val="single" w:sz="8" w:space="0" w:color="FFFFFF"/>
            </w:tcBorders>
            <w:shd w:val="clear" w:color="auto" w:fill="E6E7E8"/>
          </w:tcPr>
          <w:p w:rsidR="006B6909" w:rsidRDefault="006B6909" w:rsidP="006B6909">
            <w:pPr>
              <w:pStyle w:val="TableParagraph"/>
              <w:spacing w:before="119" w:line="261" w:lineRule="auto"/>
              <w:ind w:left="131" w:right="137"/>
              <w:jc w:val="both"/>
              <w:rPr>
                <w:sz w:val="16"/>
              </w:rPr>
            </w:pPr>
            <w:r>
              <w:rPr>
                <w:color w:val="231F20"/>
                <w:sz w:val="16"/>
              </w:rPr>
              <w:t>Increase the abundance and improve the breeding and recruitment of waterbugs as a food source for fish, frog and platypus populations</w:t>
            </w:r>
          </w:p>
        </w:tc>
      </w:tr>
      <w:tr w:rsidR="006B6909" w:rsidTr="006B6909">
        <w:trPr>
          <w:trHeight w:val="820"/>
        </w:trPr>
        <w:tc>
          <w:tcPr>
            <w:tcW w:w="804" w:type="dxa"/>
            <w:tcBorders>
              <w:top w:val="single" w:sz="8" w:space="0" w:color="FFFFFF"/>
              <w:bottom w:val="single" w:sz="8" w:space="0" w:color="FFFFFF"/>
            </w:tcBorders>
            <w:shd w:val="clear" w:color="auto" w:fill="E6E7E8"/>
          </w:tcPr>
          <w:p w:rsidR="006B6909" w:rsidRDefault="006B6909" w:rsidP="006B6909">
            <w:pPr>
              <w:pStyle w:val="TableParagraph"/>
              <w:spacing w:before="5"/>
              <w:ind w:left="0"/>
              <w:rPr>
                <w:b/>
                <w:sz w:val="14"/>
              </w:rPr>
            </w:pPr>
          </w:p>
          <w:p w:rsidR="006B6909" w:rsidRDefault="006B6909" w:rsidP="006B6909">
            <w:pPr>
              <w:pStyle w:val="TableParagraph"/>
              <w:ind w:left="178"/>
              <w:rPr>
                <w:sz w:val="20"/>
              </w:rPr>
            </w:pPr>
            <w:r>
              <w:rPr>
                <w:noProof/>
                <w:sz w:val="20"/>
              </w:rPr>
              <w:drawing>
                <wp:inline distT="0" distB="0" distL="0" distR="0" wp14:anchorId="3791946B" wp14:editId="66F798FF">
                  <wp:extent cx="314168" cy="310896"/>
                  <wp:effectExtent l="0" t="0" r="0" b="0"/>
                  <wp:docPr id="65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46" w:type="dxa"/>
            <w:tcBorders>
              <w:top w:val="single" w:sz="8" w:space="0" w:color="FFFFFF"/>
              <w:bottom w:val="single" w:sz="8" w:space="0" w:color="FFFFFF"/>
            </w:tcBorders>
            <w:shd w:val="clear" w:color="auto" w:fill="E6E7E8"/>
          </w:tcPr>
          <w:p w:rsidR="006B6909" w:rsidRDefault="006B6909" w:rsidP="006B6909">
            <w:pPr>
              <w:pStyle w:val="TableParagraph"/>
              <w:spacing w:before="119" w:line="261" w:lineRule="auto"/>
              <w:ind w:left="131" w:right="280"/>
              <w:rPr>
                <w:sz w:val="16"/>
              </w:rPr>
            </w:pPr>
            <w:r>
              <w:rPr>
                <w:color w:val="231F20"/>
                <w:sz w:val="16"/>
              </w:rPr>
              <w:t>Maintain water quality for native fish, waterbugs, aquatic vegetation and other water-dependent animals</w:t>
            </w:r>
          </w:p>
        </w:tc>
      </w:tr>
    </w:tbl>
    <w:p w:rsidR="00817C2F" w:rsidRDefault="00817C2F">
      <w:pPr>
        <w:spacing w:line="261" w:lineRule="auto"/>
        <w:rPr>
          <w:sz w:val="16"/>
        </w:rPr>
      </w:pPr>
    </w:p>
    <w:p w:rsidR="00817C2F" w:rsidRDefault="00817C2F">
      <w:pPr>
        <w:rPr>
          <w:sz w:val="16"/>
        </w:rPr>
      </w:pPr>
      <w:r>
        <w:rPr>
          <w:sz w:val="16"/>
        </w:rPr>
        <w:br w:type="page"/>
      </w:r>
    </w:p>
    <w:p w:rsidR="006A7A3F" w:rsidRDefault="00BC7372">
      <w:pPr>
        <w:spacing w:before="92"/>
        <w:ind w:left="210"/>
        <w:rPr>
          <w:b/>
          <w:sz w:val="24"/>
        </w:rPr>
      </w:pPr>
      <w:r>
        <w:rPr>
          <w:b/>
          <w:color w:val="231F20"/>
          <w:sz w:val="24"/>
        </w:rPr>
        <w:t>Traditional Owner cultural values and uses</w:t>
      </w:r>
    </w:p>
    <w:p w:rsidR="006A7A3F" w:rsidRDefault="00BC7372">
      <w:pPr>
        <w:pStyle w:val="BodyText"/>
        <w:spacing w:before="58" w:line="249" w:lineRule="auto"/>
        <w:ind w:right="100"/>
      </w:pPr>
      <w:r>
        <w:rPr>
          <w:color w:val="231F20"/>
        </w:rPr>
        <w:t>The Corangamite CMA is working with Eastern Maar and Wadawurrung Traditional Owners to understand opportunities to provide for both groups’ respective cultural values and uses and other aspirations for environmental water management throughout the Barwon system.</w:t>
      </w:r>
    </w:p>
    <w:p w:rsidR="006A7A3F" w:rsidRDefault="00BC7372">
      <w:pPr>
        <w:pStyle w:val="BodyText"/>
        <w:spacing w:before="173" w:line="249" w:lineRule="auto"/>
        <w:ind w:right="304"/>
        <w:jc w:val="both"/>
      </w:pPr>
      <w:r>
        <w:rPr>
          <w:color w:val="231F20"/>
        </w:rPr>
        <w:t xml:space="preserve">The reaches of the Barwon River that can be most influenced by water delivered from the West Barwon Reservoir sit in Eastern Maar </w:t>
      </w:r>
      <w:r>
        <w:rPr>
          <w:color w:val="231F20"/>
          <w:spacing w:val="-3"/>
        </w:rPr>
        <w:t xml:space="preserve">Country. </w:t>
      </w:r>
      <w:r>
        <w:rPr>
          <w:color w:val="231F20"/>
        </w:rPr>
        <w:t>Good opportunities exist within these reaches for actively managed shared benefits in the future.</w:t>
      </w:r>
    </w:p>
    <w:p w:rsidR="006A7A3F" w:rsidRDefault="006A7A3F">
      <w:pPr>
        <w:pStyle w:val="BodyText"/>
        <w:spacing w:before="1"/>
        <w:ind w:left="0"/>
      </w:pPr>
    </w:p>
    <w:p w:rsidR="006A7A3F" w:rsidRDefault="00BC7372">
      <w:pPr>
        <w:pStyle w:val="Heading4"/>
      </w:pPr>
      <w:r>
        <w:rPr>
          <w:color w:val="231F20"/>
        </w:rPr>
        <w:t>Social, recreational and economic values and uses</w:t>
      </w:r>
    </w:p>
    <w:p w:rsidR="006A7A3F" w:rsidRDefault="00BC7372">
      <w:pPr>
        <w:pStyle w:val="BodyText"/>
        <w:spacing w:before="59" w:line="249" w:lineRule="auto"/>
        <w:ind w:right="100"/>
      </w:pPr>
      <w:r>
        <w:rPr>
          <w:color w:val="231F20"/>
        </w:rPr>
        <w:t>In planning the potential watering actions in Table 3.7.1, Corangamite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fishing, kayaking and</w:t>
      </w:r>
      <w:r>
        <w:rPr>
          <w:color w:val="231F20"/>
          <w:spacing w:val="-5"/>
          <w:sz w:val="20"/>
        </w:rPr>
        <w:t xml:space="preserve"> </w:t>
      </w:r>
      <w:r>
        <w:rPr>
          <w:color w:val="231F20"/>
          <w:sz w:val="20"/>
        </w:rPr>
        <w:t>swimming)</w:t>
      </w:r>
    </w:p>
    <w:p w:rsidR="006A7A3F" w:rsidRDefault="00BC7372" w:rsidP="009B6917">
      <w:pPr>
        <w:pStyle w:val="ListParagraph"/>
        <w:numPr>
          <w:ilvl w:val="0"/>
          <w:numId w:val="1419"/>
        </w:numPr>
        <w:tabs>
          <w:tab w:val="left" w:pos="493"/>
          <w:tab w:val="left" w:pos="494"/>
        </w:tabs>
        <w:spacing w:line="249" w:lineRule="auto"/>
        <w:ind w:right="730"/>
        <w:rPr>
          <w:sz w:val="20"/>
        </w:rPr>
      </w:pPr>
      <w:r>
        <w:rPr>
          <w:color w:val="231F20"/>
          <w:sz w:val="20"/>
        </w:rPr>
        <w:t>riverside recreation and amenity (such as bird watching, walking, camping, picnicking and using parks and lookouts)</w:t>
      </w:r>
    </w:p>
    <w:p w:rsidR="006A7A3F" w:rsidRDefault="00BC7372" w:rsidP="009B6917">
      <w:pPr>
        <w:pStyle w:val="ListParagraph"/>
        <w:numPr>
          <w:ilvl w:val="0"/>
          <w:numId w:val="1419"/>
        </w:numPr>
        <w:tabs>
          <w:tab w:val="left" w:pos="493"/>
          <w:tab w:val="left" w:pos="494"/>
        </w:tabs>
        <w:spacing w:before="86"/>
        <w:ind w:hanging="281"/>
        <w:rPr>
          <w:sz w:val="20"/>
        </w:rPr>
      </w:pPr>
      <w:r>
        <w:rPr>
          <w:color w:val="231F20"/>
          <w:sz w:val="20"/>
        </w:rPr>
        <w:t>socio-economic benefits (such as diverters for irrigation, domestic and stock</w:t>
      </w:r>
      <w:r>
        <w:rPr>
          <w:color w:val="231F20"/>
          <w:spacing w:val="-13"/>
          <w:sz w:val="20"/>
        </w:rPr>
        <w:t xml:space="preserve"> </w:t>
      </w:r>
      <w:r>
        <w:rPr>
          <w:color w:val="231F20"/>
          <w:sz w:val="20"/>
        </w:rPr>
        <w:t>uses).</w:t>
      </w:r>
    </w:p>
    <w:p w:rsidR="006A7A3F" w:rsidRDefault="006A7A3F">
      <w:pPr>
        <w:pStyle w:val="BodyText"/>
        <w:spacing w:before="10"/>
        <w:ind w:left="0"/>
      </w:pPr>
    </w:p>
    <w:p w:rsidR="006A7A3F" w:rsidRDefault="00BC7372">
      <w:pPr>
        <w:pStyle w:val="Heading4"/>
      </w:pPr>
      <w:r>
        <w:rPr>
          <w:color w:val="231F20"/>
        </w:rPr>
        <w:t>Recent conditions</w:t>
      </w:r>
    </w:p>
    <w:p w:rsidR="006A7A3F" w:rsidRDefault="00BC7372">
      <w:pPr>
        <w:pStyle w:val="BodyText"/>
        <w:spacing w:before="58" w:line="249" w:lineRule="auto"/>
        <w:ind w:right="457"/>
      </w:pPr>
      <w:r>
        <w:rPr>
          <w:color w:val="231F20"/>
        </w:rPr>
        <w:t>Total rainfall in the Barwon River catchment was slightly below average during 2019–20 but varied within and between seasons. Significant rain in July and August 2019 filled the West Barwon Reservoir from 26 percent capacity to 60 percent capacity, and rainfall between January and May 2020 was above the long-term average.</w:t>
      </w:r>
    </w:p>
    <w:p w:rsidR="006A7A3F" w:rsidRDefault="00BC7372" w:rsidP="005E214D">
      <w:pPr>
        <w:pStyle w:val="BodyText"/>
        <w:spacing w:before="173" w:line="249" w:lineRule="auto"/>
        <w:ind w:right="100"/>
      </w:pPr>
      <w:r>
        <w:rPr>
          <w:color w:val="231F20"/>
        </w:rPr>
        <w:t>Natural inflows maintained an average flow of 50 to70 ML per day at Winchelsea throughout winter and spring 2019 and delivered several high-flow events and freshes including a peak flow of 3,560 ML per day at Winchelsea in</w:t>
      </w:r>
      <w:r w:rsidR="005E214D">
        <w:t xml:space="preserve"> </w:t>
      </w:r>
      <w:r>
        <w:rPr>
          <w:color w:val="231F20"/>
        </w:rPr>
        <w:t>mid-July 2019. Water for the environment was used to maintain minimum low-flow targets (up to five ML per day) in the east branch of the upper Barwon River during summer, to maintain water quality and instream habitat for native fish and platypus and to maintain aquatic vegetation. Small freshes up to 15 ML per day were delivered in January and March 2020 to allow fish and other aquatic animals to disperse and maintain vegetation higher up the banks. The recommended fresh of 35 ML per day cannot currently be delivered due to channel constraints.</w:t>
      </w:r>
    </w:p>
    <w:p w:rsidR="006A7A3F" w:rsidRDefault="006A7A3F">
      <w:pPr>
        <w:pStyle w:val="BodyText"/>
        <w:spacing w:before="3"/>
        <w:ind w:left="0"/>
      </w:pPr>
    </w:p>
    <w:p w:rsidR="006A7A3F" w:rsidRDefault="00BC7372">
      <w:pPr>
        <w:pStyle w:val="Heading4"/>
        <w:spacing w:before="1"/>
      </w:pPr>
      <w:r>
        <w:rPr>
          <w:color w:val="231F20"/>
        </w:rPr>
        <w:t>Scope of environmental watering</w:t>
      </w:r>
    </w:p>
    <w:p w:rsidR="006A7A3F" w:rsidRDefault="00BC7372">
      <w:pPr>
        <w:pStyle w:val="BodyText"/>
        <w:spacing w:before="58" w:line="249" w:lineRule="auto"/>
        <w:ind w:right="100"/>
      </w:pPr>
      <w:r>
        <w:rPr>
          <w:color w:val="231F20"/>
        </w:rPr>
        <w:t>Table 3.7.1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jc w:val="both"/>
        <w:rPr>
          <w:b/>
          <w:sz w:val="18"/>
        </w:rPr>
      </w:pPr>
      <w:r>
        <w:rPr>
          <w:b/>
          <w:color w:val="231F20"/>
          <w:sz w:val="18"/>
        </w:rPr>
        <w:t>Table 3.7.1 Potential environmental watering actions and objectives for the upper Barwon River</w:t>
      </w:r>
    </w:p>
    <w:p w:rsidR="006A7A3F" w:rsidRDefault="006A7A3F">
      <w:pPr>
        <w:pStyle w:val="BodyText"/>
        <w:spacing w:before="0"/>
        <w:ind w:left="0"/>
        <w:rPr>
          <w:b/>
          <w:sz w:val="9"/>
        </w:rPr>
      </w:pPr>
    </w:p>
    <w:tbl>
      <w:tblPr>
        <w:tblW w:w="0" w:type="auto"/>
        <w:tblInd w:w="222" w:type="dxa"/>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E455BB">
        <w:trPr>
          <w:trHeight w:val="582"/>
          <w:tblHeader/>
        </w:trPr>
        <w:tc>
          <w:tcPr>
            <w:tcW w:w="2381" w:type="dxa"/>
            <w:tcBorders>
              <w:right w:val="single" w:sz="4" w:space="0" w:color="6D6E71"/>
            </w:tcBorders>
            <w:shd w:val="clear" w:color="auto" w:fill="231F20"/>
          </w:tcPr>
          <w:p w:rsidR="006A7A3F" w:rsidRDefault="00BC7372">
            <w:pPr>
              <w:pStyle w:val="TableParagraph"/>
              <w:spacing w:before="75" w:line="254" w:lineRule="auto"/>
              <w:ind w:left="90" w:right="225"/>
              <w:rPr>
                <w:b/>
                <w:sz w:val="18"/>
              </w:rPr>
            </w:pPr>
            <w:r>
              <w:rPr>
                <w:b/>
                <w:color w:val="FFFFFF"/>
                <w:sz w:val="18"/>
              </w:rPr>
              <w:t>Potential environmental watering action</w:t>
            </w:r>
          </w:p>
        </w:tc>
        <w:tc>
          <w:tcPr>
            <w:tcW w:w="6236" w:type="dxa"/>
            <w:tcBorders>
              <w:left w:val="single" w:sz="4" w:space="0" w:color="6D6E71"/>
              <w:right w:val="single" w:sz="4" w:space="0" w:color="6D6E71"/>
            </w:tcBorders>
            <w:shd w:val="clear" w:color="auto" w:fill="231F20"/>
          </w:tcPr>
          <w:p w:rsidR="006A7A3F" w:rsidRDefault="00BC7372">
            <w:pPr>
              <w:pStyle w:val="TableParagraph"/>
              <w:spacing w:before="75"/>
              <w:ind w:left="85"/>
              <w:rPr>
                <w:b/>
                <w:sz w:val="18"/>
              </w:rPr>
            </w:pPr>
            <w:r>
              <w:rPr>
                <w:b/>
                <w:color w:val="FFFFFF"/>
                <w:sz w:val="18"/>
              </w:rPr>
              <w:t>Functional watering objectives</w:t>
            </w:r>
          </w:p>
        </w:tc>
        <w:tc>
          <w:tcPr>
            <w:tcW w:w="1558" w:type="dxa"/>
            <w:gridSpan w:val="2"/>
            <w:tcBorders>
              <w:left w:val="single" w:sz="4" w:space="0" w:color="6D6E71"/>
            </w:tcBorders>
            <w:shd w:val="clear" w:color="auto" w:fill="231F20"/>
          </w:tcPr>
          <w:p w:rsidR="006A7A3F" w:rsidRDefault="00BC7372">
            <w:pPr>
              <w:pStyle w:val="TableParagraph"/>
              <w:spacing w:before="75" w:line="254" w:lineRule="auto"/>
              <w:ind w:left="85" w:right="197"/>
              <w:rPr>
                <w:b/>
                <w:sz w:val="18"/>
              </w:rPr>
            </w:pPr>
            <w:r>
              <w:rPr>
                <w:b/>
                <w:color w:val="FFFFFF"/>
                <w:sz w:val="18"/>
              </w:rPr>
              <w:t>Environmental objectives</w:t>
            </w:r>
          </w:p>
        </w:tc>
      </w:tr>
      <w:tr w:rsidR="006A7A3F">
        <w:trPr>
          <w:trHeight w:val="625"/>
        </w:trPr>
        <w:tc>
          <w:tcPr>
            <w:tcW w:w="2381" w:type="dxa"/>
            <w:vMerge w:val="restart"/>
            <w:tcBorders>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335"/>
              <w:rPr>
                <w:sz w:val="16"/>
              </w:rPr>
            </w:pPr>
            <w:r>
              <w:rPr>
                <w:color w:val="231F20"/>
                <w:sz w:val="16"/>
              </w:rPr>
              <w:t>Summer/autumn low flow (continuous 0.5–30 ML/day during December to May)</w:t>
            </w:r>
          </w:p>
        </w:tc>
        <w:tc>
          <w:tcPr>
            <w:tcW w:w="6236" w:type="dxa"/>
            <w:vMerge w:val="restart"/>
            <w:tcBorders>
              <w:left w:val="single" w:sz="4" w:space="0" w:color="231F20"/>
              <w:bottom w:val="single" w:sz="4" w:space="0" w:color="231F20"/>
              <w:right w:val="single" w:sz="4" w:space="0" w:color="231F20"/>
            </w:tcBorders>
          </w:tcPr>
          <w:p w:rsidR="006A7A3F" w:rsidRPr="00B33139" w:rsidRDefault="00BC7372">
            <w:pPr>
              <w:pStyle w:val="TableParagraph"/>
              <w:numPr>
                <w:ilvl w:val="0"/>
                <w:numId w:val="1071"/>
              </w:numPr>
              <w:tabs>
                <w:tab w:val="left" w:pos="306"/>
              </w:tabs>
              <w:spacing w:before="70" w:line="254" w:lineRule="auto"/>
              <w:ind w:right="236"/>
              <w:rPr>
                <w:sz w:val="16"/>
                <w:szCs w:val="16"/>
              </w:rPr>
            </w:pPr>
            <w:r w:rsidRPr="00B33139">
              <w:rPr>
                <w:color w:val="231F20"/>
                <w:sz w:val="16"/>
                <w:szCs w:val="16"/>
              </w:rPr>
              <w:t>Maintain an adequate depth of permanent water in the channel/pools</w:t>
            </w:r>
            <w:r w:rsidRPr="00B33139">
              <w:rPr>
                <w:color w:val="231F20"/>
                <w:spacing w:val="-32"/>
                <w:sz w:val="16"/>
                <w:szCs w:val="16"/>
              </w:rPr>
              <w:t xml:space="preserve"> </w:t>
            </w:r>
            <w:r w:rsidRPr="00B33139">
              <w:rPr>
                <w:color w:val="231F20"/>
                <w:sz w:val="16"/>
                <w:szCs w:val="16"/>
              </w:rPr>
              <w:t>to support resident fish, platypus and</w:t>
            </w:r>
            <w:r w:rsidRPr="00B33139">
              <w:rPr>
                <w:color w:val="231F20"/>
                <w:spacing w:val="-4"/>
                <w:sz w:val="16"/>
                <w:szCs w:val="16"/>
              </w:rPr>
              <w:t xml:space="preserve"> </w:t>
            </w:r>
            <w:r w:rsidRPr="00B33139">
              <w:rPr>
                <w:color w:val="231F20"/>
                <w:sz w:val="16"/>
                <w:szCs w:val="16"/>
              </w:rPr>
              <w:t>waterbugs</w:t>
            </w:r>
          </w:p>
          <w:p w:rsidR="006A7A3F" w:rsidRPr="00B33139" w:rsidRDefault="00BC7372">
            <w:pPr>
              <w:pStyle w:val="TableParagraph"/>
              <w:numPr>
                <w:ilvl w:val="0"/>
                <w:numId w:val="1071"/>
              </w:numPr>
              <w:tabs>
                <w:tab w:val="left" w:pos="306"/>
              </w:tabs>
              <w:spacing w:before="87"/>
              <w:ind w:hanging="218"/>
              <w:rPr>
                <w:sz w:val="16"/>
                <w:szCs w:val="16"/>
              </w:rPr>
            </w:pPr>
            <w:r w:rsidRPr="00B33139">
              <w:rPr>
                <w:color w:val="231F20"/>
                <w:sz w:val="16"/>
                <w:szCs w:val="16"/>
              </w:rPr>
              <w:t>Promote the recruitment of native aquatic</w:t>
            </w:r>
            <w:r w:rsidRPr="00B33139">
              <w:rPr>
                <w:color w:val="231F20"/>
                <w:spacing w:val="-5"/>
                <w:sz w:val="16"/>
                <w:szCs w:val="16"/>
              </w:rPr>
              <w:t xml:space="preserve"> </w:t>
            </w:r>
            <w:r w:rsidRPr="00B33139">
              <w:rPr>
                <w:color w:val="231F20"/>
                <w:sz w:val="16"/>
                <w:szCs w:val="16"/>
              </w:rPr>
              <w:t>vegetation</w:t>
            </w:r>
          </w:p>
          <w:p w:rsidR="006A7A3F" w:rsidRPr="00B33139" w:rsidRDefault="00BC7372">
            <w:pPr>
              <w:pStyle w:val="TableParagraph"/>
              <w:numPr>
                <w:ilvl w:val="0"/>
                <w:numId w:val="1071"/>
              </w:numPr>
              <w:tabs>
                <w:tab w:val="left" w:pos="306"/>
              </w:tabs>
              <w:spacing w:before="98"/>
              <w:ind w:hanging="218"/>
              <w:rPr>
                <w:sz w:val="16"/>
                <w:szCs w:val="16"/>
              </w:rPr>
            </w:pPr>
            <w:r w:rsidRPr="00B33139">
              <w:rPr>
                <w:color w:val="231F20"/>
                <w:sz w:val="16"/>
                <w:szCs w:val="16"/>
              </w:rPr>
              <w:t>Reduce encroachment by terrestrial plants into aquatic</w:t>
            </w:r>
            <w:r w:rsidRPr="00B33139">
              <w:rPr>
                <w:color w:val="231F20"/>
                <w:spacing w:val="-14"/>
                <w:sz w:val="16"/>
                <w:szCs w:val="16"/>
              </w:rPr>
              <w:t xml:space="preserve"> </w:t>
            </w:r>
            <w:r w:rsidRPr="00B33139">
              <w:rPr>
                <w:color w:val="231F20"/>
                <w:sz w:val="16"/>
                <w:szCs w:val="16"/>
              </w:rPr>
              <w:t>zone</w:t>
            </w:r>
          </w:p>
          <w:p w:rsidR="006A7A3F" w:rsidRDefault="00BC7372">
            <w:pPr>
              <w:pStyle w:val="TableParagraph"/>
              <w:numPr>
                <w:ilvl w:val="0"/>
                <w:numId w:val="1071"/>
              </w:numPr>
              <w:tabs>
                <w:tab w:val="left" w:pos="306"/>
              </w:tabs>
              <w:spacing w:before="98"/>
              <w:ind w:hanging="218"/>
              <w:rPr>
                <w:sz w:val="18"/>
              </w:rPr>
            </w:pPr>
            <w:r w:rsidRPr="00B33139">
              <w:rPr>
                <w:color w:val="231F20"/>
                <w:sz w:val="16"/>
                <w:szCs w:val="16"/>
              </w:rPr>
              <w:t>Provide minimum velocity to maintain mixing in</w:t>
            </w:r>
            <w:r w:rsidRPr="00B33139">
              <w:rPr>
                <w:color w:val="231F20"/>
                <w:spacing w:val="-3"/>
                <w:sz w:val="16"/>
                <w:szCs w:val="16"/>
              </w:rPr>
              <w:t xml:space="preserve"> </w:t>
            </w:r>
            <w:r w:rsidRPr="00B33139">
              <w:rPr>
                <w:color w:val="231F20"/>
                <w:sz w:val="16"/>
                <w:szCs w:val="16"/>
              </w:rPr>
              <w:t>pools</w:t>
            </w:r>
          </w:p>
        </w:tc>
        <w:tc>
          <w:tcPr>
            <w:tcW w:w="850" w:type="dxa"/>
            <w:tcBorders>
              <w:left w:val="single" w:sz="4" w:space="0" w:color="231F20"/>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65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65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1.jpeg"/>
                          <pic:cNvPicPr/>
                        </pic:nvPicPr>
                        <pic:blipFill>
                          <a:blip r:embed="rId43" cstate="print"/>
                          <a:stretch>
                            <a:fillRect/>
                          </a:stretch>
                        </pic:blipFill>
                        <pic:spPr>
                          <a:xfrm>
                            <a:off x="0" y="0"/>
                            <a:ext cx="314168" cy="310895"/>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left w:val="single" w:sz="4" w:space="0" w:color="231F20"/>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65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708" w:type="dxa"/>
            <w:tcBorders>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5"/>
                  <wp:effectExtent l="0" t="0" r="0" b="0"/>
                  <wp:docPr id="66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22.jpeg"/>
                          <pic:cNvPicPr/>
                        </pic:nvPicPr>
                        <pic:blipFill>
                          <a:blip r:embed="rId34" cstate="print"/>
                          <a:stretch>
                            <a:fillRect/>
                          </a:stretch>
                        </pic:blipFill>
                        <pic:spPr>
                          <a:xfrm>
                            <a:off x="0" y="0"/>
                            <a:ext cx="314168" cy="310895"/>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left w:val="single" w:sz="4" w:space="0" w:color="231F20"/>
              <w:bottom w:val="single" w:sz="4" w:space="0" w:color="231F20"/>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66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6A7A3F">
      <w:pPr>
        <w:rPr>
          <w:rFonts w:ascii="Times New Roman"/>
          <w:sz w:val="18"/>
        </w:rPr>
        <w:sectPr w:rsidR="006A7A3F" w:rsidSect="00C92D74">
          <w:pgSz w:w="11910" w:h="16840"/>
          <w:pgMar w:top="1701" w:right="851" w:bottom="1134" w:left="851" w:header="720" w:footer="720" w:gutter="0"/>
          <w:cols w:space="720"/>
        </w:sectPr>
      </w:pP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625"/>
        </w:trPr>
        <w:tc>
          <w:tcPr>
            <w:tcW w:w="2381" w:type="dxa"/>
            <w:vMerge w:val="restart"/>
          </w:tcPr>
          <w:p w:rsidR="006A7A3F" w:rsidRDefault="00BC7372">
            <w:pPr>
              <w:pStyle w:val="TableParagraph"/>
              <w:spacing w:before="67" w:line="261" w:lineRule="auto"/>
              <w:ind w:left="85" w:right="131"/>
              <w:rPr>
                <w:sz w:val="16"/>
              </w:rPr>
            </w:pPr>
            <w:r>
              <w:rPr>
                <w:color w:val="231F20"/>
                <w:sz w:val="16"/>
              </w:rPr>
              <w:t>Summer/autumn freshes (two freshes of nine to 35 ML/day for two days during December to May: east branch only)</w:t>
            </w:r>
          </w:p>
        </w:tc>
        <w:tc>
          <w:tcPr>
            <w:tcW w:w="6236" w:type="dxa"/>
            <w:vMerge w:val="restart"/>
          </w:tcPr>
          <w:p w:rsidR="006A7A3F" w:rsidRPr="00B33139" w:rsidRDefault="00BC7372">
            <w:pPr>
              <w:pStyle w:val="TableParagraph"/>
              <w:numPr>
                <w:ilvl w:val="0"/>
                <w:numId w:val="1070"/>
              </w:numPr>
              <w:tabs>
                <w:tab w:val="left" w:pos="306"/>
              </w:tabs>
              <w:spacing w:before="63" w:line="254" w:lineRule="auto"/>
              <w:ind w:right="427"/>
              <w:rPr>
                <w:sz w:val="16"/>
                <w:szCs w:val="16"/>
              </w:rPr>
            </w:pPr>
            <w:r w:rsidRPr="00B33139">
              <w:rPr>
                <w:color w:val="231F20"/>
                <w:sz w:val="16"/>
                <w:szCs w:val="16"/>
              </w:rPr>
              <w:t>Provide longitudinal connectivity with water over riffles to allow fish</w:t>
            </w:r>
            <w:r w:rsidRPr="00B33139">
              <w:rPr>
                <w:color w:val="231F20"/>
                <w:spacing w:val="-29"/>
                <w:sz w:val="16"/>
                <w:szCs w:val="16"/>
              </w:rPr>
              <w:t xml:space="preserve"> </w:t>
            </w:r>
            <w:r w:rsidRPr="00B33139">
              <w:rPr>
                <w:color w:val="231F20"/>
                <w:sz w:val="16"/>
                <w:szCs w:val="16"/>
              </w:rPr>
              <w:t>to move between pools to breed, feed and find new</w:t>
            </w:r>
            <w:r w:rsidRPr="00B33139">
              <w:rPr>
                <w:color w:val="231F20"/>
                <w:spacing w:val="-14"/>
                <w:sz w:val="16"/>
                <w:szCs w:val="16"/>
              </w:rPr>
              <w:t xml:space="preserve"> </w:t>
            </w:r>
            <w:r w:rsidRPr="00B33139">
              <w:rPr>
                <w:color w:val="231F20"/>
                <w:sz w:val="16"/>
                <w:szCs w:val="16"/>
              </w:rPr>
              <w:t>habitats</w:t>
            </w:r>
          </w:p>
          <w:p w:rsidR="006A7A3F" w:rsidRPr="00B33139" w:rsidRDefault="00BC7372">
            <w:pPr>
              <w:pStyle w:val="TableParagraph"/>
              <w:numPr>
                <w:ilvl w:val="0"/>
                <w:numId w:val="1070"/>
              </w:numPr>
              <w:tabs>
                <w:tab w:val="left" w:pos="306"/>
              </w:tabs>
              <w:spacing w:before="86" w:line="254" w:lineRule="auto"/>
              <w:ind w:right="416"/>
              <w:rPr>
                <w:sz w:val="16"/>
                <w:szCs w:val="16"/>
              </w:rPr>
            </w:pPr>
            <w:r w:rsidRPr="00B33139">
              <w:rPr>
                <w:color w:val="231F20"/>
                <w:sz w:val="16"/>
                <w:szCs w:val="16"/>
              </w:rPr>
              <w:t>Submerge woody debris and clean hard surfaces to provide</w:t>
            </w:r>
            <w:r w:rsidRPr="00B33139">
              <w:rPr>
                <w:color w:val="231F20"/>
                <w:spacing w:val="-31"/>
                <w:sz w:val="16"/>
                <w:szCs w:val="16"/>
              </w:rPr>
              <w:t xml:space="preserve"> </w:t>
            </w:r>
            <w:r w:rsidRPr="00B33139">
              <w:rPr>
                <w:color w:val="231F20"/>
                <w:sz w:val="16"/>
                <w:szCs w:val="16"/>
              </w:rPr>
              <w:t>breeding substrate</w:t>
            </w:r>
          </w:p>
          <w:p w:rsidR="006A7A3F" w:rsidRPr="00B33139" w:rsidRDefault="00BC7372">
            <w:pPr>
              <w:pStyle w:val="TableParagraph"/>
              <w:numPr>
                <w:ilvl w:val="0"/>
                <w:numId w:val="1070"/>
              </w:numPr>
              <w:tabs>
                <w:tab w:val="left" w:pos="306"/>
              </w:tabs>
              <w:spacing w:before="86" w:line="254" w:lineRule="auto"/>
              <w:ind w:right="497"/>
              <w:rPr>
                <w:sz w:val="16"/>
                <w:szCs w:val="16"/>
              </w:rPr>
            </w:pPr>
            <w:r w:rsidRPr="00B33139">
              <w:rPr>
                <w:color w:val="231F20"/>
                <w:sz w:val="16"/>
                <w:szCs w:val="16"/>
              </w:rPr>
              <w:t>Maintain waterbug communities in the dry period by flushing</w:t>
            </w:r>
            <w:r w:rsidRPr="00B33139">
              <w:rPr>
                <w:color w:val="231F20"/>
                <w:spacing w:val="-27"/>
                <w:sz w:val="16"/>
                <w:szCs w:val="16"/>
              </w:rPr>
              <w:t xml:space="preserve"> </w:t>
            </w:r>
            <w:r w:rsidRPr="00B33139">
              <w:rPr>
                <w:color w:val="231F20"/>
                <w:sz w:val="16"/>
                <w:szCs w:val="16"/>
              </w:rPr>
              <w:t>organic matter into the channel to provide food after inundating</w:t>
            </w:r>
            <w:r w:rsidRPr="00B33139">
              <w:rPr>
                <w:color w:val="231F20"/>
                <w:spacing w:val="-20"/>
                <w:sz w:val="16"/>
                <w:szCs w:val="16"/>
              </w:rPr>
              <w:t xml:space="preserve"> </w:t>
            </w:r>
            <w:r w:rsidRPr="00B33139">
              <w:rPr>
                <w:color w:val="231F20"/>
                <w:sz w:val="16"/>
                <w:szCs w:val="16"/>
              </w:rPr>
              <w:t>benches</w:t>
            </w:r>
          </w:p>
          <w:p w:rsidR="006A7A3F" w:rsidRPr="00B33139" w:rsidRDefault="00BC7372">
            <w:pPr>
              <w:pStyle w:val="TableParagraph"/>
              <w:numPr>
                <w:ilvl w:val="0"/>
                <w:numId w:val="1070"/>
              </w:numPr>
              <w:tabs>
                <w:tab w:val="left" w:pos="306"/>
              </w:tabs>
              <w:spacing w:before="87" w:line="254" w:lineRule="auto"/>
              <w:ind w:right="285"/>
              <w:rPr>
                <w:sz w:val="16"/>
                <w:szCs w:val="16"/>
              </w:rPr>
            </w:pPr>
            <w:r w:rsidRPr="00B33139">
              <w:rPr>
                <w:color w:val="231F20"/>
                <w:sz w:val="16"/>
                <w:szCs w:val="16"/>
              </w:rPr>
              <w:t>Maintain emergent and streamside vegetation on terraces, the channel edge and lower</w:t>
            </w:r>
            <w:r w:rsidRPr="00B33139">
              <w:rPr>
                <w:color w:val="231F20"/>
                <w:spacing w:val="-4"/>
                <w:sz w:val="16"/>
                <w:szCs w:val="16"/>
              </w:rPr>
              <w:t xml:space="preserve"> </w:t>
            </w:r>
            <w:r w:rsidRPr="00B33139">
              <w:rPr>
                <w:color w:val="231F20"/>
                <w:sz w:val="16"/>
                <w:szCs w:val="16"/>
              </w:rPr>
              <w:t>bank</w:t>
            </w:r>
          </w:p>
          <w:p w:rsidR="006A7A3F" w:rsidRPr="00B33139" w:rsidRDefault="00BC7372">
            <w:pPr>
              <w:pStyle w:val="TableParagraph"/>
              <w:numPr>
                <w:ilvl w:val="0"/>
                <w:numId w:val="1070"/>
              </w:numPr>
              <w:tabs>
                <w:tab w:val="left" w:pos="306"/>
              </w:tabs>
              <w:spacing w:before="86"/>
              <w:ind w:hanging="218"/>
              <w:rPr>
                <w:sz w:val="16"/>
                <w:szCs w:val="16"/>
              </w:rPr>
            </w:pPr>
            <w:r w:rsidRPr="00B33139">
              <w:rPr>
                <w:color w:val="231F20"/>
                <w:sz w:val="16"/>
                <w:szCs w:val="16"/>
              </w:rPr>
              <w:t>Provide minimum velocity to mix and flush</w:t>
            </w:r>
            <w:r w:rsidRPr="00B33139">
              <w:rPr>
                <w:color w:val="231F20"/>
                <w:spacing w:val="-2"/>
                <w:sz w:val="16"/>
                <w:szCs w:val="16"/>
              </w:rPr>
              <w:t xml:space="preserve"> </w:t>
            </w:r>
            <w:r w:rsidRPr="00B33139">
              <w:rPr>
                <w:color w:val="231F20"/>
                <w:sz w:val="16"/>
                <w:szCs w:val="16"/>
              </w:rPr>
              <w:t>pools</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66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66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33139" w:rsidRDefault="006A7A3F">
            <w:pPr>
              <w:rPr>
                <w:sz w:val="16"/>
                <w:szCs w:val="16"/>
              </w:rPr>
            </w:pPr>
          </w:p>
        </w:tc>
        <w:tc>
          <w:tcPr>
            <w:tcW w:w="850" w:type="dxa"/>
            <w:tcBorders>
              <w:top w:val="nil"/>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66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tcBorders>
          </w:tcPr>
          <w:p w:rsidR="006A7A3F" w:rsidRDefault="00BC7372">
            <w:pPr>
              <w:pStyle w:val="TableParagraph"/>
              <w:ind w:left="48"/>
              <w:rPr>
                <w:sz w:val="20"/>
              </w:rPr>
            </w:pPr>
            <w:r>
              <w:rPr>
                <w:noProof/>
                <w:sz w:val="20"/>
              </w:rPr>
              <w:drawing>
                <wp:inline distT="0" distB="0" distL="0" distR="0">
                  <wp:extent cx="314168" cy="310896"/>
                  <wp:effectExtent l="0" t="0" r="0" b="0"/>
                  <wp:docPr id="67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B33139">
        <w:trPr>
          <w:trHeight w:val="1217"/>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B33139" w:rsidRDefault="006A7A3F">
            <w:pPr>
              <w:rPr>
                <w:sz w:val="16"/>
                <w:szCs w:val="16"/>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67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tcBorders>
          </w:tcPr>
          <w:p w:rsidR="006A7A3F" w:rsidRDefault="006A7A3F">
            <w:pPr>
              <w:pStyle w:val="TableParagraph"/>
              <w:ind w:left="0"/>
              <w:rPr>
                <w:rFonts w:ascii="Times New Roman"/>
                <w:sz w:val="18"/>
              </w:rPr>
            </w:pPr>
          </w:p>
        </w:tc>
      </w:tr>
      <w:tr w:rsidR="006A7A3F">
        <w:trPr>
          <w:trHeight w:val="620"/>
        </w:trPr>
        <w:tc>
          <w:tcPr>
            <w:tcW w:w="2381" w:type="dxa"/>
            <w:vMerge w:val="restart"/>
          </w:tcPr>
          <w:p w:rsidR="006A7A3F" w:rsidRDefault="00BC7372">
            <w:pPr>
              <w:pStyle w:val="TableParagraph"/>
              <w:spacing w:before="67" w:line="261" w:lineRule="auto"/>
              <w:ind w:left="85" w:right="380"/>
              <w:rPr>
                <w:sz w:val="16"/>
              </w:rPr>
            </w:pPr>
            <w:r>
              <w:rPr>
                <w:color w:val="231F20"/>
                <w:sz w:val="16"/>
              </w:rPr>
              <w:t>Winter/spring low flow (continuous 10–50 ML/day or natural during April to November)</w:t>
            </w:r>
          </w:p>
        </w:tc>
        <w:tc>
          <w:tcPr>
            <w:tcW w:w="6236" w:type="dxa"/>
            <w:vMerge w:val="restart"/>
          </w:tcPr>
          <w:p w:rsidR="006A7A3F" w:rsidRPr="00B33139" w:rsidRDefault="00BC7372">
            <w:pPr>
              <w:pStyle w:val="TableParagraph"/>
              <w:numPr>
                <w:ilvl w:val="0"/>
                <w:numId w:val="1069"/>
              </w:numPr>
              <w:tabs>
                <w:tab w:val="left" w:pos="306"/>
              </w:tabs>
              <w:spacing w:before="63" w:line="254" w:lineRule="auto"/>
              <w:ind w:right="365"/>
              <w:rPr>
                <w:sz w:val="16"/>
                <w:szCs w:val="16"/>
              </w:rPr>
            </w:pPr>
            <w:r w:rsidRPr="00B33139">
              <w:rPr>
                <w:color w:val="231F20"/>
                <w:sz w:val="16"/>
                <w:szCs w:val="16"/>
              </w:rPr>
              <w:t>Maintain an adequate water depth in the channel/pools to support fish and platypus foraging and breeding</w:t>
            </w:r>
            <w:r w:rsidRPr="00B33139">
              <w:rPr>
                <w:color w:val="231F20"/>
                <w:spacing w:val="-7"/>
                <w:sz w:val="16"/>
                <w:szCs w:val="16"/>
              </w:rPr>
              <w:t xml:space="preserve"> </w:t>
            </w:r>
            <w:r w:rsidRPr="00B33139">
              <w:rPr>
                <w:color w:val="231F20"/>
                <w:sz w:val="16"/>
                <w:szCs w:val="16"/>
              </w:rPr>
              <w:t>habitat</w:t>
            </w:r>
          </w:p>
          <w:p w:rsidR="006A7A3F" w:rsidRPr="00B33139" w:rsidRDefault="00BC7372">
            <w:pPr>
              <w:pStyle w:val="TableParagraph"/>
              <w:numPr>
                <w:ilvl w:val="0"/>
                <w:numId w:val="1069"/>
              </w:numPr>
              <w:tabs>
                <w:tab w:val="left" w:pos="306"/>
              </w:tabs>
              <w:spacing w:before="86" w:line="254" w:lineRule="auto"/>
              <w:ind w:right="146"/>
              <w:rPr>
                <w:sz w:val="16"/>
                <w:szCs w:val="16"/>
              </w:rPr>
            </w:pPr>
            <w:r w:rsidRPr="00B33139">
              <w:rPr>
                <w:color w:val="231F20"/>
                <w:sz w:val="16"/>
                <w:szCs w:val="16"/>
              </w:rPr>
              <w:t>Maintain an adequate depth of permanent water in the channel to promote the recruitment of aquatic and streamside plants and to limit</w:t>
            </w:r>
            <w:r w:rsidRPr="00B33139">
              <w:rPr>
                <w:color w:val="231F20"/>
                <w:spacing w:val="-32"/>
                <w:sz w:val="16"/>
                <w:szCs w:val="16"/>
              </w:rPr>
              <w:t xml:space="preserve"> </w:t>
            </w:r>
            <w:r w:rsidRPr="00B33139">
              <w:rPr>
                <w:color w:val="231F20"/>
                <w:sz w:val="16"/>
                <w:szCs w:val="16"/>
              </w:rPr>
              <w:t>the encroachment of terrestrial</w:t>
            </w:r>
            <w:r w:rsidRPr="00B33139">
              <w:rPr>
                <w:color w:val="231F20"/>
                <w:spacing w:val="-3"/>
                <w:sz w:val="16"/>
                <w:szCs w:val="16"/>
              </w:rPr>
              <w:t xml:space="preserve"> </w:t>
            </w:r>
            <w:r w:rsidRPr="00B33139">
              <w:rPr>
                <w:color w:val="231F20"/>
                <w:sz w:val="16"/>
                <w:szCs w:val="16"/>
              </w:rPr>
              <w:t>species</w:t>
            </w:r>
          </w:p>
          <w:p w:rsidR="006A7A3F" w:rsidRPr="00B33139" w:rsidRDefault="00BC7372">
            <w:pPr>
              <w:pStyle w:val="TableParagraph"/>
              <w:numPr>
                <w:ilvl w:val="0"/>
                <w:numId w:val="1069"/>
              </w:numPr>
              <w:tabs>
                <w:tab w:val="left" w:pos="306"/>
              </w:tabs>
              <w:spacing w:before="87"/>
              <w:ind w:hanging="218"/>
              <w:rPr>
                <w:sz w:val="16"/>
                <w:szCs w:val="16"/>
              </w:rPr>
            </w:pPr>
            <w:r w:rsidRPr="00B33139">
              <w:rPr>
                <w:color w:val="231F20"/>
                <w:sz w:val="16"/>
                <w:szCs w:val="16"/>
              </w:rPr>
              <w:t>Provide minimum velocity, to mix</w:t>
            </w:r>
            <w:r w:rsidRPr="00B33139">
              <w:rPr>
                <w:color w:val="231F20"/>
                <w:spacing w:val="-2"/>
                <w:sz w:val="16"/>
                <w:szCs w:val="16"/>
              </w:rPr>
              <w:t xml:space="preserve"> </w:t>
            </w:r>
            <w:r w:rsidRPr="00B33139">
              <w:rPr>
                <w:color w:val="231F20"/>
                <w:sz w:val="16"/>
                <w:szCs w:val="16"/>
              </w:rPr>
              <w:t>pools</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67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67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987"/>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Default="006A7A3F">
            <w:pPr>
              <w:rPr>
                <w:sz w:val="2"/>
                <w:szCs w:val="2"/>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67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tcBorders>
          </w:tcPr>
          <w:p w:rsidR="006A7A3F" w:rsidRDefault="00BC7372">
            <w:pPr>
              <w:pStyle w:val="TableParagraph"/>
              <w:ind w:left="48"/>
              <w:rPr>
                <w:sz w:val="20"/>
              </w:rPr>
            </w:pPr>
            <w:r>
              <w:rPr>
                <w:noProof/>
                <w:sz w:val="20"/>
              </w:rPr>
              <w:drawing>
                <wp:inline distT="0" distB="0" distL="0" distR="0">
                  <wp:extent cx="314158" cy="310896"/>
                  <wp:effectExtent l="0" t="0" r="0" b="0"/>
                  <wp:docPr id="68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23.png"/>
                          <pic:cNvPicPr/>
                        </pic:nvPicPr>
                        <pic:blipFill>
                          <a:blip r:embed="rId35" cstate="print"/>
                          <a:stretch>
                            <a:fillRect/>
                          </a:stretch>
                        </pic:blipFill>
                        <pic:spPr>
                          <a:xfrm>
                            <a:off x="0" y="0"/>
                            <a:ext cx="314158" cy="310896"/>
                          </a:xfrm>
                          <a:prstGeom prst="rect">
                            <a:avLst/>
                          </a:prstGeom>
                        </pic:spPr>
                      </pic:pic>
                    </a:graphicData>
                  </a:graphic>
                </wp:inline>
              </w:drawing>
            </w:r>
          </w:p>
        </w:tc>
      </w:tr>
    </w:tbl>
    <w:p w:rsidR="006A7A3F" w:rsidRDefault="006A7A3F">
      <w:pPr>
        <w:pStyle w:val="BodyText"/>
        <w:spacing w:before="10"/>
        <w:ind w:left="0"/>
        <w:rPr>
          <w:b/>
          <w:sz w:val="8"/>
        </w:rPr>
      </w:pPr>
    </w:p>
    <w:p w:rsidR="006A7A3F" w:rsidRDefault="00BC7372">
      <w:pPr>
        <w:pStyle w:val="Heading4"/>
        <w:spacing w:before="92"/>
      </w:pPr>
      <w:r>
        <w:rPr>
          <w:color w:val="231F20"/>
        </w:rPr>
        <w:t>Scenario planning</w:t>
      </w:r>
    </w:p>
    <w:p w:rsidR="006A7A3F" w:rsidRDefault="00BC7372">
      <w:pPr>
        <w:pStyle w:val="BodyText"/>
        <w:spacing w:before="58" w:line="249" w:lineRule="auto"/>
        <w:ind w:right="100"/>
      </w:pPr>
      <w:r>
        <w:rPr>
          <w:color w:val="231F20"/>
        </w:rPr>
        <w:t>Table 3.7.2 outlines the potential environmental watering and expected water use under a range of planning scenarios.</w:t>
      </w:r>
    </w:p>
    <w:p w:rsidR="006A7A3F" w:rsidRDefault="00BC7372">
      <w:pPr>
        <w:pStyle w:val="BodyText"/>
        <w:spacing w:line="249" w:lineRule="auto"/>
        <w:ind w:right="408"/>
      </w:pPr>
      <w:r>
        <w:rPr>
          <w:color w:val="231F20"/>
        </w:rPr>
        <w:t>The upper Barwon environmental entitlement can only support a small proportion of the environmental flow recommendations for the upper Barwon River. The highest-priority potential watering actions under all scenarios are summer/autumn low flows and freshes. The size of these events is likely to be less than recommended in the latest environmental flows study, due to system constraints and expected water availability.</w:t>
      </w:r>
    </w:p>
    <w:p w:rsidR="006A7A3F" w:rsidRDefault="00BC7372">
      <w:pPr>
        <w:pStyle w:val="BodyText"/>
        <w:spacing w:before="173" w:line="249" w:lineRule="auto"/>
        <w:ind w:right="100"/>
      </w:pPr>
      <w:r>
        <w:rPr>
          <w:color w:val="231F20"/>
        </w:rPr>
        <w:t>Watering actions in the east branch of the Barwon River will be prioritised, because it has higher environmental values than the west branch and because relatively small flows in the east branch have the potential to deliver significant environmental outcomes. Some low flows may be delivered down the west branch under dry, average or wet scenarios to help meet target flow objectives further downstream.</w:t>
      </w:r>
    </w:p>
    <w:p w:rsidR="006A7A3F" w:rsidRDefault="00BC7372">
      <w:pPr>
        <w:pStyle w:val="BodyText"/>
        <w:spacing w:before="174" w:line="249" w:lineRule="auto"/>
        <w:ind w:right="486"/>
      </w:pPr>
      <w:r>
        <w:rPr>
          <w:color w:val="231F20"/>
        </w:rPr>
        <w:t>An additional 18,000 ML of water for the environment is required to achieve the remaining potential watering actions (tier 1b) in the upper Barwon River. The tier 1a watering actions described here should help to maintain current environmental values and conditions in the upper Barwon River, but larger environmental entitlements and complementary works that address non-flow-related impacts in the catchment will be needed to significantly improve environmental conditions.</w:t>
      </w:r>
    </w:p>
    <w:p w:rsidR="006A7A3F" w:rsidRDefault="00BC7372">
      <w:pPr>
        <w:pStyle w:val="BodyText"/>
        <w:spacing w:before="174" w:line="249" w:lineRule="auto"/>
        <w:ind w:right="100"/>
      </w:pPr>
      <w:r>
        <w:rPr>
          <w:color w:val="231F20"/>
        </w:rPr>
        <w:t>It is intended to carry over up to 500 ML at the end of 2020–21 to ensure the highest-priority flows can be achieved under any scenario in the following year.</w:t>
      </w:r>
    </w:p>
    <w:p w:rsidR="00817C2F" w:rsidRDefault="00817C2F">
      <w:pPr>
        <w:rPr>
          <w:b/>
          <w:color w:val="231F20"/>
          <w:sz w:val="18"/>
        </w:rPr>
      </w:pPr>
      <w:r>
        <w:rPr>
          <w:b/>
          <w:color w:val="231F20"/>
          <w:sz w:val="18"/>
        </w:rPr>
        <w:br w:type="page"/>
      </w:r>
    </w:p>
    <w:p w:rsidR="006A7A3F" w:rsidRDefault="00BC7372">
      <w:pPr>
        <w:spacing w:before="166"/>
        <w:ind w:left="210"/>
        <w:rPr>
          <w:b/>
          <w:sz w:val="18"/>
        </w:rPr>
      </w:pPr>
      <w:r>
        <w:rPr>
          <w:b/>
          <w:color w:val="231F20"/>
          <w:sz w:val="18"/>
        </w:rPr>
        <w:t>Table 3.7.2 Potential environmental watering for the upper Barwon River under a range of planning scenarios</w:t>
      </w:r>
    </w:p>
    <w:p w:rsidR="006A7A3F" w:rsidRDefault="006A7A3F">
      <w:pPr>
        <w:pStyle w:val="BodyText"/>
        <w:spacing w:before="7"/>
        <w:ind w:left="0"/>
        <w:rPr>
          <w:b/>
          <w:sz w:val="8"/>
        </w:rPr>
      </w:pPr>
    </w:p>
    <w:tbl>
      <w:tblPr>
        <w:tblW w:w="10205" w:type="dxa"/>
        <w:tblInd w:w="2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817C2F">
        <w:trPr>
          <w:trHeight w:val="367"/>
        </w:trPr>
        <w:tc>
          <w:tcPr>
            <w:tcW w:w="2041" w:type="dxa"/>
            <w:tcBorders>
              <w:top w:val="nil"/>
              <w:left w:val="nil"/>
              <w:bottom w:val="nil"/>
              <w:right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left w:val="nil"/>
              <w:bottom w:val="nil"/>
              <w:right w:val="nil"/>
            </w:tcBorders>
            <w:shd w:val="clear" w:color="auto" w:fill="231F20"/>
          </w:tcPr>
          <w:p w:rsidR="006A7A3F" w:rsidRDefault="00BC7372">
            <w:pPr>
              <w:pStyle w:val="TableParagraph"/>
              <w:spacing w:before="80"/>
              <w:ind w:left="89"/>
              <w:rPr>
                <w:b/>
                <w:sz w:val="18"/>
              </w:rPr>
            </w:pPr>
            <w:r>
              <w:rPr>
                <w:b/>
                <w:color w:val="FFFFFF"/>
                <w:sz w:val="18"/>
              </w:rPr>
              <w:t>Drought</w:t>
            </w:r>
          </w:p>
        </w:tc>
        <w:tc>
          <w:tcPr>
            <w:tcW w:w="2041" w:type="dxa"/>
            <w:tcBorders>
              <w:top w:val="nil"/>
              <w:left w:val="nil"/>
              <w:bottom w:val="nil"/>
              <w:right w:val="nil"/>
            </w:tcBorders>
            <w:shd w:val="clear" w:color="auto" w:fill="231F20"/>
          </w:tcPr>
          <w:p w:rsidR="006A7A3F" w:rsidRDefault="00BC7372">
            <w:pPr>
              <w:pStyle w:val="TableParagraph"/>
              <w:spacing w:before="80"/>
              <w:ind w:left="89"/>
              <w:rPr>
                <w:b/>
                <w:sz w:val="18"/>
              </w:rPr>
            </w:pPr>
            <w:r>
              <w:rPr>
                <w:b/>
                <w:color w:val="FFFFFF"/>
                <w:sz w:val="18"/>
              </w:rPr>
              <w:t>Dry</w:t>
            </w:r>
          </w:p>
        </w:tc>
        <w:tc>
          <w:tcPr>
            <w:tcW w:w="2041" w:type="dxa"/>
            <w:tcBorders>
              <w:top w:val="nil"/>
              <w:left w:val="nil"/>
              <w:bottom w:val="nil"/>
              <w:right w:val="nil"/>
            </w:tcBorders>
            <w:shd w:val="clear" w:color="auto" w:fill="231F20"/>
          </w:tcPr>
          <w:p w:rsidR="006A7A3F" w:rsidRDefault="00BC7372">
            <w:pPr>
              <w:pStyle w:val="TableParagraph"/>
              <w:spacing w:before="80"/>
              <w:ind w:left="89"/>
              <w:rPr>
                <w:b/>
                <w:sz w:val="18"/>
              </w:rPr>
            </w:pPr>
            <w:r>
              <w:rPr>
                <w:b/>
                <w:color w:val="FFFFFF"/>
                <w:sz w:val="18"/>
              </w:rPr>
              <w:t>Average</w:t>
            </w:r>
          </w:p>
        </w:tc>
        <w:tc>
          <w:tcPr>
            <w:tcW w:w="2041" w:type="dxa"/>
            <w:tcBorders>
              <w:top w:val="nil"/>
              <w:left w:val="nil"/>
              <w:bottom w:val="nil"/>
              <w:right w:val="nil"/>
            </w:tcBorders>
            <w:shd w:val="clear" w:color="auto" w:fill="231F20"/>
          </w:tcPr>
          <w:p w:rsidR="006A7A3F" w:rsidRDefault="00BC7372">
            <w:pPr>
              <w:pStyle w:val="TableParagraph"/>
              <w:spacing w:before="80"/>
              <w:ind w:left="89"/>
              <w:rPr>
                <w:b/>
                <w:sz w:val="18"/>
              </w:rPr>
            </w:pPr>
            <w:r>
              <w:rPr>
                <w:b/>
                <w:color w:val="FFFFFF"/>
                <w:sz w:val="18"/>
              </w:rPr>
              <w:t>Wet</w:t>
            </w:r>
          </w:p>
        </w:tc>
      </w:tr>
      <w:tr w:rsidR="006A7A3F" w:rsidTr="00817C2F">
        <w:trPr>
          <w:trHeight w:val="1312"/>
        </w:trPr>
        <w:tc>
          <w:tcPr>
            <w:tcW w:w="2041" w:type="dxa"/>
            <w:tcBorders>
              <w:top w:val="nil"/>
            </w:tcBorders>
          </w:tcPr>
          <w:p w:rsidR="006A7A3F" w:rsidRPr="00817C2F" w:rsidRDefault="00BC7372">
            <w:pPr>
              <w:pStyle w:val="TableParagraph"/>
              <w:spacing w:before="74"/>
              <w:ind w:left="85"/>
              <w:rPr>
                <w:sz w:val="16"/>
                <w:szCs w:val="16"/>
              </w:rPr>
            </w:pPr>
            <w:r w:rsidRPr="00817C2F">
              <w:rPr>
                <w:color w:val="231F20"/>
                <w:sz w:val="16"/>
                <w:szCs w:val="16"/>
              </w:rPr>
              <w:t>Expected river conditions</w:t>
            </w:r>
          </w:p>
        </w:tc>
        <w:tc>
          <w:tcPr>
            <w:tcW w:w="2041" w:type="dxa"/>
            <w:tcBorders>
              <w:top w:val="nil"/>
            </w:tcBorders>
          </w:tcPr>
          <w:p w:rsidR="006A7A3F" w:rsidRPr="00817C2F" w:rsidRDefault="00BC7372">
            <w:pPr>
              <w:pStyle w:val="TableParagraph"/>
              <w:numPr>
                <w:ilvl w:val="0"/>
                <w:numId w:val="1068"/>
              </w:numPr>
              <w:tabs>
                <w:tab w:val="left" w:pos="305"/>
              </w:tabs>
              <w:spacing w:before="70" w:line="254" w:lineRule="auto"/>
              <w:ind w:right="234"/>
              <w:rPr>
                <w:sz w:val="16"/>
                <w:szCs w:val="16"/>
              </w:rPr>
            </w:pPr>
            <w:r w:rsidRPr="00817C2F">
              <w:rPr>
                <w:color w:val="231F20"/>
                <w:sz w:val="16"/>
                <w:szCs w:val="16"/>
              </w:rPr>
              <w:t>No flow at Ricketts Marsh for six months</w:t>
            </w:r>
          </w:p>
          <w:p w:rsidR="006A7A3F" w:rsidRPr="00817C2F" w:rsidRDefault="00BC7372">
            <w:pPr>
              <w:pStyle w:val="TableParagraph"/>
              <w:numPr>
                <w:ilvl w:val="0"/>
                <w:numId w:val="1068"/>
              </w:numPr>
              <w:tabs>
                <w:tab w:val="left" w:pos="305"/>
              </w:tabs>
              <w:spacing w:before="87"/>
              <w:rPr>
                <w:sz w:val="16"/>
                <w:szCs w:val="16"/>
              </w:rPr>
            </w:pPr>
            <w:r w:rsidRPr="00817C2F">
              <w:rPr>
                <w:color w:val="231F20"/>
                <w:sz w:val="16"/>
                <w:szCs w:val="16"/>
              </w:rPr>
              <w:t>Disconnected</w:t>
            </w:r>
            <w:r w:rsidRPr="00817C2F">
              <w:rPr>
                <w:color w:val="231F20"/>
                <w:spacing w:val="-5"/>
                <w:sz w:val="16"/>
                <w:szCs w:val="16"/>
              </w:rPr>
              <w:t xml:space="preserve"> </w:t>
            </w:r>
            <w:r w:rsidRPr="00817C2F">
              <w:rPr>
                <w:color w:val="231F20"/>
                <w:sz w:val="16"/>
                <w:szCs w:val="16"/>
              </w:rPr>
              <w:t>pools</w:t>
            </w:r>
          </w:p>
        </w:tc>
        <w:tc>
          <w:tcPr>
            <w:tcW w:w="2041" w:type="dxa"/>
            <w:tcBorders>
              <w:top w:val="nil"/>
            </w:tcBorders>
          </w:tcPr>
          <w:p w:rsidR="006A7A3F" w:rsidRPr="00817C2F" w:rsidRDefault="00BC7372">
            <w:pPr>
              <w:pStyle w:val="TableParagraph"/>
              <w:numPr>
                <w:ilvl w:val="0"/>
                <w:numId w:val="1067"/>
              </w:numPr>
              <w:tabs>
                <w:tab w:val="left" w:pos="305"/>
              </w:tabs>
              <w:spacing w:before="70" w:line="254" w:lineRule="auto"/>
              <w:ind w:right="234"/>
              <w:rPr>
                <w:sz w:val="16"/>
                <w:szCs w:val="16"/>
              </w:rPr>
            </w:pPr>
            <w:r w:rsidRPr="00817C2F">
              <w:rPr>
                <w:color w:val="231F20"/>
                <w:sz w:val="16"/>
                <w:szCs w:val="16"/>
              </w:rPr>
              <w:t>No flow at Ricketts Marsh for four months</w:t>
            </w:r>
          </w:p>
          <w:p w:rsidR="006A7A3F" w:rsidRPr="00817C2F" w:rsidRDefault="00BC7372">
            <w:pPr>
              <w:pStyle w:val="TableParagraph"/>
              <w:numPr>
                <w:ilvl w:val="0"/>
                <w:numId w:val="1067"/>
              </w:numPr>
              <w:tabs>
                <w:tab w:val="left" w:pos="305"/>
              </w:tabs>
              <w:spacing w:before="87" w:line="254" w:lineRule="auto"/>
              <w:ind w:right="614"/>
              <w:rPr>
                <w:sz w:val="16"/>
                <w:szCs w:val="16"/>
              </w:rPr>
            </w:pPr>
            <w:r w:rsidRPr="00817C2F">
              <w:rPr>
                <w:color w:val="231F20"/>
                <w:spacing w:val="-1"/>
                <w:sz w:val="16"/>
                <w:szCs w:val="16"/>
              </w:rPr>
              <w:t xml:space="preserve">Cease-to-flow </w:t>
            </w:r>
            <w:r w:rsidRPr="00817C2F">
              <w:rPr>
                <w:color w:val="231F20"/>
                <w:sz w:val="16"/>
                <w:szCs w:val="16"/>
              </w:rPr>
              <w:t>events</w:t>
            </w:r>
          </w:p>
        </w:tc>
        <w:tc>
          <w:tcPr>
            <w:tcW w:w="2041" w:type="dxa"/>
            <w:tcBorders>
              <w:top w:val="nil"/>
            </w:tcBorders>
          </w:tcPr>
          <w:p w:rsidR="006A7A3F" w:rsidRPr="00817C2F" w:rsidRDefault="00BC7372">
            <w:pPr>
              <w:pStyle w:val="TableParagraph"/>
              <w:numPr>
                <w:ilvl w:val="0"/>
                <w:numId w:val="1066"/>
              </w:numPr>
              <w:tabs>
                <w:tab w:val="left" w:pos="305"/>
              </w:tabs>
              <w:spacing w:before="70" w:line="254" w:lineRule="auto"/>
              <w:ind w:right="134"/>
              <w:rPr>
                <w:sz w:val="16"/>
                <w:szCs w:val="16"/>
              </w:rPr>
            </w:pPr>
            <w:r w:rsidRPr="00817C2F">
              <w:rPr>
                <w:color w:val="231F20"/>
                <w:sz w:val="16"/>
                <w:szCs w:val="16"/>
              </w:rPr>
              <w:t>Low flow at Ricketts Marsh for two months</w:t>
            </w:r>
          </w:p>
          <w:p w:rsidR="006A7A3F" w:rsidRPr="00817C2F" w:rsidRDefault="00BC7372">
            <w:pPr>
              <w:pStyle w:val="TableParagraph"/>
              <w:numPr>
                <w:ilvl w:val="0"/>
                <w:numId w:val="1066"/>
              </w:numPr>
              <w:tabs>
                <w:tab w:val="left" w:pos="305"/>
              </w:tabs>
              <w:spacing w:before="87" w:line="254" w:lineRule="auto"/>
              <w:ind w:right="133"/>
              <w:rPr>
                <w:sz w:val="16"/>
                <w:szCs w:val="16"/>
              </w:rPr>
            </w:pPr>
            <w:r w:rsidRPr="00817C2F">
              <w:rPr>
                <w:color w:val="231F20"/>
                <w:sz w:val="16"/>
                <w:szCs w:val="16"/>
              </w:rPr>
              <w:t>Low summer flow, high peaks in</w:t>
            </w:r>
            <w:r w:rsidRPr="00817C2F">
              <w:rPr>
                <w:color w:val="231F20"/>
                <w:spacing w:val="-16"/>
                <w:sz w:val="16"/>
                <w:szCs w:val="16"/>
              </w:rPr>
              <w:t xml:space="preserve"> </w:t>
            </w:r>
            <w:r w:rsidRPr="00817C2F">
              <w:rPr>
                <w:color w:val="231F20"/>
                <w:sz w:val="16"/>
                <w:szCs w:val="16"/>
              </w:rPr>
              <w:t>winter</w:t>
            </w:r>
          </w:p>
        </w:tc>
        <w:tc>
          <w:tcPr>
            <w:tcW w:w="2041" w:type="dxa"/>
            <w:tcBorders>
              <w:top w:val="nil"/>
            </w:tcBorders>
          </w:tcPr>
          <w:p w:rsidR="006A7A3F" w:rsidRPr="00817C2F" w:rsidRDefault="00BC7372">
            <w:pPr>
              <w:pStyle w:val="TableParagraph"/>
              <w:numPr>
                <w:ilvl w:val="0"/>
                <w:numId w:val="1065"/>
              </w:numPr>
              <w:tabs>
                <w:tab w:val="left" w:pos="305"/>
              </w:tabs>
              <w:spacing w:before="70" w:line="254" w:lineRule="auto"/>
              <w:ind w:right="72"/>
              <w:rPr>
                <w:sz w:val="16"/>
                <w:szCs w:val="16"/>
              </w:rPr>
            </w:pPr>
            <w:r w:rsidRPr="00817C2F">
              <w:rPr>
                <w:color w:val="231F20"/>
                <w:sz w:val="16"/>
                <w:szCs w:val="16"/>
              </w:rPr>
              <w:t>High flow throughout winter with very high peaks; constant steady summer flow</w:t>
            </w:r>
          </w:p>
        </w:tc>
      </w:tr>
      <w:tr w:rsidR="006A7A3F" w:rsidTr="00817C2F">
        <w:trPr>
          <w:trHeight w:val="533"/>
        </w:trPr>
        <w:tc>
          <w:tcPr>
            <w:tcW w:w="2041" w:type="dxa"/>
          </w:tcPr>
          <w:p w:rsidR="006A7A3F" w:rsidRPr="00817C2F" w:rsidRDefault="00BC7372">
            <w:pPr>
              <w:pStyle w:val="TableParagraph"/>
              <w:spacing w:before="74" w:line="261" w:lineRule="auto"/>
              <w:ind w:left="85" w:right="111"/>
              <w:rPr>
                <w:sz w:val="16"/>
                <w:szCs w:val="16"/>
              </w:rPr>
            </w:pPr>
            <w:r w:rsidRPr="00817C2F">
              <w:rPr>
                <w:color w:val="231F20"/>
                <w:sz w:val="16"/>
                <w:szCs w:val="16"/>
              </w:rPr>
              <w:t>Expected availability of water for the environment</w:t>
            </w:r>
          </w:p>
        </w:tc>
        <w:tc>
          <w:tcPr>
            <w:tcW w:w="2041" w:type="dxa"/>
          </w:tcPr>
          <w:p w:rsidR="006A7A3F" w:rsidRPr="00817C2F" w:rsidRDefault="00BC7372">
            <w:pPr>
              <w:pStyle w:val="TableParagraph"/>
              <w:numPr>
                <w:ilvl w:val="0"/>
                <w:numId w:val="1064"/>
              </w:numPr>
              <w:tabs>
                <w:tab w:val="left" w:pos="305"/>
              </w:tabs>
              <w:spacing w:before="70"/>
              <w:rPr>
                <w:sz w:val="16"/>
                <w:szCs w:val="16"/>
              </w:rPr>
            </w:pPr>
            <w:r w:rsidRPr="00817C2F">
              <w:rPr>
                <w:color w:val="231F20"/>
                <w:sz w:val="16"/>
                <w:szCs w:val="16"/>
              </w:rPr>
              <w:t>1,000</w:t>
            </w:r>
            <w:r w:rsidRPr="00817C2F">
              <w:rPr>
                <w:color w:val="231F20"/>
                <w:spacing w:val="-2"/>
                <w:sz w:val="16"/>
                <w:szCs w:val="16"/>
              </w:rPr>
              <w:t xml:space="preserve"> </w:t>
            </w:r>
            <w:r w:rsidRPr="00817C2F">
              <w:rPr>
                <w:color w:val="231F20"/>
                <w:sz w:val="16"/>
                <w:szCs w:val="16"/>
              </w:rPr>
              <w:t>ML</w:t>
            </w:r>
          </w:p>
        </w:tc>
        <w:tc>
          <w:tcPr>
            <w:tcW w:w="2041" w:type="dxa"/>
          </w:tcPr>
          <w:p w:rsidR="006A7A3F" w:rsidRPr="00817C2F" w:rsidRDefault="00BC7372">
            <w:pPr>
              <w:pStyle w:val="TableParagraph"/>
              <w:numPr>
                <w:ilvl w:val="0"/>
                <w:numId w:val="1063"/>
              </w:numPr>
              <w:tabs>
                <w:tab w:val="left" w:pos="305"/>
              </w:tabs>
              <w:spacing w:before="70"/>
              <w:rPr>
                <w:sz w:val="16"/>
                <w:szCs w:val="16"/>
              </w:rPr>
            </w:pPr>
            <w:r w:rsidRPr="00817C2F">
              <w:rPr>
                <w:color w:val="231F20"/>
                <w:sz w:val="16"/>
                <w:szCs w:val="16"/>
              </w:rPr>
              <w:t>1,300</w:t>
            </w:r>
            <w:r w:rsidRPr="00817C2F">
              <w:rPr>
                <w:color w:val="231F20"/>
                <w:spacing w:val="-2"/>
                <w:sz w:val="16"/>
                <w:szCs w:val="16"/>
              </w:rPr>
              <w:t xml:space="preserve"> </w:t>
            </w:r>
            <w:r w:rsidRPr="00817C2F">
              <w:rPr>
                <w:color w:val="231F20"/>
                <w:sz w:val="16"/>
                <w:szCs w:val="16"/>
              </w:rPr>
              <w:t>ML</w:t>
            </w:r>
          </w:p>
        </w:tc>
        <w:tc>
          <w:tcPr>
            <w:tcW w:w="2041" w:type="dxa"/>
          </w:tcPr>
          <w:p w:rsidR="006A7A3F" w:rsidRPr="00817C2F" w:rsidRDefault="00BC7372">
            <w:pPr>
              <w:pStyle w:val="TableParagraph"/>
              <w:numPr>
                <w:ilvl w:val="0"/>
                <w:numId w:val="1062"/>
              </w:numPr>
              <w:tabs>
                <w:tab w:val="left" w:pos="305"/>
              </w:tabs>
              <w:spacing w:before="70"/>
              <w:rPr>
                <w:sz w:val="16"/>
                <w:szCs w:val="16"/>
              </w:rPr>
            </w:pPr>
            <w:r w:rsidRPr="00817C2F">
              <w:rPr>
                <w:color w:val="231F20"/>
                <w:sz w:val="16"/>
                <w:szCs w:val="16"/>
              </w:rPr>
              <w:t>1,500</w:t>
            </w:r>
            <w:r w:rsidRPr="00817C2F">
              <w:rPr>
                <w:color w:val="231F20"/>
                <w:spacing w:val="-2"/>
                <w:sz w:val="16"/>
                <w:szCs w:val="16"/>
              </w:rPr>
              <w:t xml:space="preserve"> </w:t>
            </w:r>
            <w:r w:rsidRPr="00817C2F">
              <w:rPr>
                <w:color w:val="231F20"/>
                <w:sz w:val="16"/>
                <w:szCs w:val="16"/>
              </w:rPr>
              <w:t>ML</w:t>
            </w:r>
          </w:p>
        </w:tc>
        <w:tc>
          <w:tcPr>
            <w:tcW w:w="2041" w:type="dxa"/>
          </w:tcPr>
          <w:p w:rsidR="006A7A3F" w:rsidRPr="00817C2F" w:rsidRDefault="00BC7372">
            <w:pPr>
              <w:pStyle w:val="TableParagraph"/>
              <w:numPr>
                <w:ilvl w:val="0"/>
                <w:numId w:val="1061"/>
              </w:numPr>
              <w:tabs>
                <w:tab w:val="left" w:pos="305"/>
              </w:tabs>
              <w:spacing w:before="70"/>
              <w:rPr>
                <w:sz w:val="16"/>
                <w:szCs w:val="16"/>
              </w:rPr>
            </w:pPr>
            <w:r w:rsidRPr="00817C2F">
              <w:rPr>
                <w:color w:val="231F20"/>
                <w:sz w:val="16"/>
                <w:szCs w:val="16"/>
              </w:rPr>
              <w:t>2,500</w:t>
            </w:r>
            <w:r w:rsidRPr="00817C2F">
              <w:rPr>
                <w:color w:val="231F20"/>
                <w:spacing w:val="-2"/>
                <w:sz w:val="16"/>
                <w:szCs w:val="16"/>
              </w:rPr>
              <w:t xml:space="preserve"> </w:t>
            </w:r>
            <w:r w:rsidRPr="00817C2F">
              <w:rPr>
                <w:color w:val="231F20"/>
                <w:sz w:val="16"/>
                <w:szCs w:val="16"/>
              </w:rPr>
              <w:t>ML</w:t>
            </w:r>
          </w:p>
        </w:tc>
      </w:tr>
      <w:tr w:rsidR="006A7A3F" w:rsidTr="00817C2F">
        <w:trPr>
          <w:trHeight w:val="2277"/>
        </w:trPr>
        <w:tc>
          <w:tcPr>
            <w:tcW w:w="2041" w:type="dxa"/>
          </w:tcPr>
          <w:p w:rsidR="006A7A3F" w:rsidRPr="00817C2F" w:rsidRDefault="00BC7372">
            <w:pPr>
              <w:pStyle w:val="TableParagraph"/>
              <w:spacing w:before="74" w:line="261" w:lineRule="auto"/>
              <w:ind w:left="85" w:right="272"/>
              <w:jc w:val="both"/>
              <w:rPr>
                <w:sz w:val="16"/>
                <w:szCs w:val="16"/>
              </w:rPr>
            </w:pPr>
            <w:r w:rsidRPr="00817C2F">
              <w:rPr>
                <w:color w:val="231F20"/>
                <w:sz w:val="16"/>
                <w:szCs w:val="16"/>
              </w:rPr>
              <w:t>Potential environmental watering – tier 1a (high priorities)</w:t>
            </w:r>
          </w:p>
        </w:tc>
        <w:tc>
          <w:tcPr>
            <w:tcW w:w="2041" w:type="dxa"/>
          </w:tcPr>
          <w:p w:rsidR="006A7A3F" w:rsidRPr="00817C2F" w:rsidRDefault="00BC7372">
            <w:pPr>
              <w:pStyle w:val="TableParagraph"/>
              <w:numPr>
                <w:ilvl w:val="0"/>
                <w:numId w:val="1060"/>
              </w:numPr>
              <w:tabs>
                <w:tab w:val="left" w:pos="305"/>
              </w:tabs>
              <w:spacing w:before="70"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(east</w:t>
            </w:r>
            <w:r w:rsidRPr="00817C2F">
              <w:rPr>
                <w:color w:val="231F20"/>
                <w:spacing w:val="-3"/>
                <w:sz w:val="16"/>
                <w:szCs w:val="16"/>
              </w:rPr>
              <w:t xml:space="preserve"> </w:t>
            </w:r>
            <w:r w:rsidRPr="00817C2F">
              <w:rPr>
                <w:color w:val="231F20"/>
                <w:sz w:val="16"/>
                <w:szCs w:val="16"/>
              </w:rPr>
              <w:t>branch)</w:t>
            </w:r>
          </w:p>
          <w:p w:rsidR="006A7A3F" w:rsidRPr="00817C2F" w:rsidRDefault="00BC7372">
            <w:pPr>
              <w:pStyle w:val="TableParagraph"/>
              <w:numPr>
                <w:ilvl w:val="0"/>
                <w:numId w:val="1060"/>
              </w:numPr>
              <w:tabs>
                <w:tab w:val="left" w:pos="305"/>
              </w:tabs>
              <w:spacing w:before="87" w:line="254" w:lineRule="auto"/>
              <w:ind w:right="293"/>
              <w:rPr>
                <w:sz w:val="16"/>
                <w:szCs w:val="16"/>
              </w:rPr>
            </w:pPr>
            <w:r w:rsidRPr="00817C2F">
              <w:rPr>
                <w:color w:val="231F20"/>
                <w:spacing w:val="-4"/>
                <w:sz w:val="16"/>
                <w:szCs w:val="16"/>
              </w:rPr>
              <w:t xml:space="preserve">Two </w:t>
            </w:r>
            <w:r w:rsidRPr="00817C2F">
              <w:rPr>
                <w:color w:val="231F20"/>
                <w:sz w:val="16"/>
                <w:szCs w:val="16"/>
              </w:rPr>
              <w:t>summer / autumn freshes (east branch, reduced</w:t>
            </w:r>
            <w:r w:rsidRPr="00817C2F">
              <w:rPr>
                <w:color w:val="231F20"/>
                <w:spacing w:val="5"/>
                <w:sz w:val="16"/>
                <w:szCs w:val="16"/>
              </w:rPr>
              <w:t xml:space="preserve"> </w:t>
            </w:r>
            <w:r w:rsidRPr="00817C2F">
              <w:rPr>
                <w:color w:val="231F20"/>
                <w:spacing w:val="-3"/>
                <w:sz w:val="16"/>
                <w:szCs w:val="16"/>
              </w:rPr>
              <w:t>volumes)</w:t>
            </w:r>
          </w:p>
        </w:tc>
        <w:tc>
          <w:tcPr>
            <w:tcW w:w="2041" w:type="dxa"/>
          </w:tcPr>
          <w:p w:rsidR="006A7A3F" w:rsidRPr="00817C2F" w:rsidRDefault="00BC7372">
            <w:pPr>
              <w:pStyle w:val="TableParagraph"/>
              <w:numPr>
                <w:ilvl w:val="0"/>
                <w:numId w:val="1059"/>
              </w:numPr>
              <w:tabs>
                <w:tab w:val="left" w:pos="305"/>
              </w:tabs>
              <w:spacing w:before="70"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(east</w:t>
            </w:r>
            <w:r w:rsidRPr="00817C2F">
              <w:rPr>
                <w:color w:val="231F20"/>
                <w:spacing w:val="-3"/>
                <w:sz w:val="16"/>
                <w:szCs w:val="16"/>
              </w:rPr>
              <w:t xml:space="preserve"> </w:t>
            </w:r>
            <w:r w:rsidRPr="00817C2F">
              <w:rPr>
                <w:color w:val="231F20"/>
                <w:sz w:val="16"/>
                <w:szCs w:val="16"/>
              </w:rPr>
              <w:t>branch)</w:t>
            </w:r>
          </w:p>
          <w:p w:rsidR="006A7A3F" w:rsidRPr="00817C2F" w:rsidRDefault="00BC7372">
            <w:pPr>
              <w:pStyle w:val="TableParagraph"/>
              <w:numPr>
                <w:ilvl w:val="0"/>
                <w:numId w:val="1059"/>
              </w:numPr>
              <w:tabs>
                <w:tab w:val="left" w:pos="305"/>
              </w:tabs>
              <w:spacing w:before="87" w:line="254" w:lineRule="auto"/>
              <w:ind w:right="293"/>
              <w:rPr>
                <w:sz w:val="16"/>
                <w:szCs w:val="16"/>
              </w:rPr>
            </w:pPr>
            <w:r w:rsidRPr="00817C2F">
              <w:rPr>
                <w:color w:val="231F20"/>
                <w:spacing w:val="-4"/>
                <w:sz w:val="16"/>
                <w:szCs w:val="16"/>
              </w:rPr>
              <w:t xml:space="preserve">Two </w:t>
            </w:r>
            <w:r w:rsidRPr="00817C2F">
              <w:rPr>
                <w:color w:val="231F20"/>
                <w:sz w:val="16"/>
                <w:szCs w:val="16"/>
              </w:rPr>
              <w:t>summer / autumn freshes (east branch, reduced</w:t>
            </w:r>
            <w:r w:rsidRPr="00817C2F">
              <w:rPr>
                <w:color w:val="231F20"/>
                <w:spacing w:val="5"/>
                <w:sz w:val="16"/>
                <w:szCs w:val="16"/>
              </w:rPr>
              <w:t xml:space="preserve"> </w:t>
            </w:r>
            <w:r w:rsidRPr="00817C2F">
              <w:rPr>
                <w:color w:val="231F20"/>
                <w:spacing w:val="-3"/>
                <w:sz w:val="16"/>
                <w:szCs w:val="16"/>
              </w:rPr>
              <w:t>volumes)</w:t>
            </w:r>
          </w:p>
          <w:p w:rsidR="006A7A3F" w:rsidRPr="00817C2F" w:rsidRDefault="00BC7372">
            <w:pPr>
              <w:pStyle w:val="TableParagraph"/>
              <w:numPr>
                <w:ilvl w:val="0"/>
                <w:numId w:val="1059"/>
              </w:numPr>
              <w:tabs>
                <w:tab w:val="left" w:pos="305"/>
              </w:tabs>
              <w:spacing w:before="87"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(west branch, reduced volume)</w:t>
            </w:r>
          </w:p>
        </w:tc>
        <w:tc>
          <w:tcPr>
            <w:tcW w:w="2041" w:type="dxa"/>
          </w:tcPr>
          <w:p w:rsidR="006A7A3F" w:rsidRPr="00817C2F" w:rsidRDefault="00BC7372">
            <w:pPr>
              <w:pStyle w:val="TableParagraph"/>
              <w:numPr>
                <w:ilvl w:val="0"/>
                <w:numId w:val="1058"/>
              </w:numPr>
              <w:tabs>
                <w:tab w:val="left" w:pos="305"/>
              </w:tabs>
              <w:spacing w:before="70"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(east</w:t>
            </w:r>
            <w:r w:rsidRPr="00817C2F">
              <w:rPr>
                <w:color w:val="231F20"/>
                <w:spacing w:val="-3"/>
                <w:sz w:val="16"/>
                <w:szCs w:val="16"/>
              </w:rPr>
              <w:t xml:space="preserve"> </w:t>
            </w:r>
            <w:r w:rsidRPr="00817C2F">
              <w:rPr>
                <w:color w:val="231F20"/>
                <w:sz w:val="16"/>
                <w:szCs w:val="16"/>
              </w:rPr>
              <w:t>branch)</w:t>
            </w:r>
          </w:p>
          <w:p w:rsidR="006A7A3F" w:rsidRPr="00817C2F" w:rsidRDefault="00BC7372">
            <w:pPr>
              <w:pStyle w:val="TableParagraph"/>
              <w:numPr>
                <w:ilvl w:val="0"/>
                <w:numId w:val="1058"/>
              </w:numPr>
              <w:tabs>
                <w:tab w:val="left" w:pos="305"/>
              </w:tabs>
              <w:spacing w:before="87" w:line="254" w:lineRule="auto"/>
              <w:ind w:right="293"/>
              <w:rPr>
                <w:sz w:val="16"/>
                <w:szCs w:val="16"/>
              </w:rPr>
            </w:pPr>
            <w:r w:rsidRPr="00817C2F">
              <w:rPr>
                <w:color w:val="231F20"/>
                <w:spacing w:val="-4"/>
                <w:sz w:val="16"/>
                <w:szCs w:val="16"/>
              </w:rPr>
              <w:t xml:space="preserve">Two </w:t>
            </w:r>
            <w:r w:rsidRPr="00817C2F">
              <w:rPr>
                <w:color w:val="231F20"/>
                <w:sz w:val="16"/>
                <w:szCs w:val="16"/>
              </w:rPr>
              <w:t>summer / autumn freshes (east branch, reduced</w:t>
            </w:r>
            <w:r w:rsidRPr="00817C2F">
              <w:rPr>
                <w:color w:val="231F20"/>
                <w:spacing w:val="5"/>
                <w:sz w:val="16"/>
                <w:szCs w:val="16"/>
              </w:rPr>
              <w:t xml:space="preserve"> </w:t>
            </w:r>
            <w:r w:rsidRPr="00817C2F">
              <w:rPr>
                <w:color w:val="231F20"/>
                <w:spacing w:val="-3"/>
                <w:sz w:val="16"/>
                <w:szCs w:val="16"/>
              </w:rPr>
              <w:t>volumes)</w:t>
            </w:r>
          </w:p>
          <w:p w:rsidR="006A7A3F" w:rsidRPr="00817C2F" w:rsidRDefault="00BC7372">
            <w:pPr>
              <w:pStyle w:val="TableParagraph"/>
              <w:numPr>
                <w:ilvl w:val="0"/>
                <w:numId w:val="1058"/>
              </w:numPr>
              <w:tabs>
                <w:tab w:val="left" w:pos="305"/>
              </w:tabs>
              <w:spacing w:before="87"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(west branch, reduced volume)</w:t>
            </w:r>
          </w:p>
        </w:tc>
        <w:tc>
          <w:tcPr>
            <w:tcW w:w="2041" w:type="dxa"/>
          </w:tcPr>
          <w:p w:rsidR="006A7A3F" w:rsidRPr="00817C2F" w:rsidRDefault="00BC7372">
            <w:pPr>
              <w:pStyle w:val="TableParagraph"/>
              <w:numPr>
                <w:ilvl w:val="0"/>
                <w:numId w:val="1057"/>
              </w:numPr>
              <w:tabs>
                <w:tab w:val="left" w:pos="305"/>
              </w:tabs>
              <w:spacing w:before="70"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(east</w:t>
            </w:r>
            <w:r w:rsidRPr="00817C2F">
              <w:rPr>
                <w:color w:val="231F20"/>
                <w:spacing w:val="-3"/>
                <w:sz w:val="16"/>
                <w:szCs w:val="16"/>
              </w:rPr>
              <w:t xml:space="preserve"> </w:t>
            </w:r>
            <w:r w:rsidRPr="00817C2F">
              <w:rPr>
                <w:color w:val="231F20"/>
                <w:sz w:val="16"/>
                <w:szCs w:val="16"/>
              </w:rPr>
              <w:t>branch)</w:t>
            </w:r>
          </w:p>
          <w:p w:rsidR="006A7A3F" w:rsidRPr="00817C2F" w:rsidRDefault="00BC7372">
            <w:pPr>
              <w:pStyle w:val="TableParagraph"/>
              <w:numPr>
                <w:ilvl w:val="0"/>
                <w:numId w:val="1057"/>
              </w:numPr>
              <w:tabs>
                <w:tab w:val="left" w:pos="305"/>
              </w:tabs>
              <w:spacing w:before="87" w:line="254" w:lineRule="auto"/>
              <w:ind w:right="293"/>
              <w:rPr>
                <w:sz w:val="16"/>
                <w:szCs w:val="16"/>
              </w:rPr>
            </w:pPr>
            <w:r w:rsidRPr="00817C2F">
              <w:rPr>
                <w:color w:val="231F20"/>
                <w:spacing w:val="-4"/>
                <w:sz w:val="16"/>
                <w:szCs w:val="16"/>
              </w:rPr>
              <w:t xml:space="preserve">Two </w:t>
            </w:r>
            <w:r w:rsidRPr="00817C2F">
              <w:rPr>
                <w:color w:val="231F20"/>
                <w:sz w:val="16"/>
                <w:szCs w:val="16"/>
              </w:rPr>
              <w:t>summer / autumn freshes (east branch, reduced</w:t>
            </w:r>
            <w:r w:rsidRPr="00817C2F">
              <w:rPr>
                <w:color w:val="231F20"/>
                <w:spacing w:val="5"/>
                <w:sz w:val="16"/>
                <w:szCs w:val="16"/>
              </w:rPr>
              <w:t xml:space="preserve"> </w:t>
            </w:r>
            <w:r w:rsidRPr="00817C2F">
              <w:rPr>
                <w:color w:val="231F20"/>
                <w:spacing w:val="-3"/>
                <w:sz w:val="16"/>
                <w:szCs w:val="16"/>
              </w:rPr>
              <w:t>volumes)</w:t>
            </w:r>
          </w:p>
          <w:p w:rsidR="006A7A3F" w:rsidRPr="00817C2F" w:rsidRDefault="00BC7372">
            <w:pPr>
              <w:pStyle w:val="TableParagraph"/>
              <w:numPr>
                <w:ilvl w:val="0"/>
                <w:numId w:val="1057"/>
              </w:numPr>
              <w:tabs>
                <w:tab w:val="left" w:pos="305"/>
              </w:tabs>
              <w:spacing w:before="87"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(west branch, reduced volume)</w:t>
            </w:r>
          </w:p>
        </w:tc>
      </w:tr>
      <w:tr w:rsidR="00817C2F" w:rsidTr="00817C2F">
        <w:trPr>
          <w:trHeight w:val="2685"/>
        </w:trPr>
        <w:tc>
          <w:tcPr>
            <w:tcW w:w="2041" w:type="dxa"/>
          </w:tcPr>
          <w:p w:rsidR="00817C2F" w:rsidRPr="00817C2F" w:rsidRDefault="00817C2F" w:rsidP="00817C2F">
            <w:pPr>
              <w:pStyle w:val="TableParagraph"/>
              <w:spacing w:before="67" w:line="261" w:lineRule="auto"/>
              <w:ind w:left="85" w:right="272"/>
              <w:jc w:val="both"/>
              <w:rPr>
                <w:sz w:val="16"/>
                <w:szCs w:val="16"/>
              </w:rPr>
            </w:pPr>
            <w:r w:rsidRPr="00817C2F">
              <w:rPr>
                <w:color w:val="231F20"/>
                <w:sz w:val="16"/>
                <w:szCs w:val="16"/>
              </w:rPr>
              <w:t>Potential environmental watering – tier 1b (high priorities with shortfall)</w:t>
            </w:r>
          </w:p>
        </w:tc>
        <w:tc>
          <w:tcPr>
            <w:tcW w:w="2041" w:type="dxa"/>
          </w:tcPr>
          <w:p w:rsidR="00817C2F" w:rsidRPr="00817C2F" w:rsidRDefault="00817C2F" w:rsidP="00817C2F">
            <w:pPr>
              <w:pStyle w:val="TableParagraph"/>
              <w:numPr>
                <w:ilvl w:val="0"/>
                <w:numId w:val="1056"/>
              </w:numPr>
              <w:tabs>
                <w:tab w:val="left" w:pos="305"/>
              </w:tabs>
              <w:spacing w:before="63"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(west</w:t>
            </w:r>
            <w:r w:rsidRPr="00817C2F">
              <w:rPr>
                <w:color w:val="231F20"/>
                <w:spacing w:val="-3"/>
                <w:sz w:val="16"/>
                <w:szCs w:val="16"/>
              </w:rPr>
              <w:t xml:space="preserve"> </w:t>
            </w:r>
            <w:r w:rsidRPr="00817C2F">
              <w:rPr>
                <w:color w:val="231F20"/>
                <w:sz w:val="16"/>
                <w:szCs w:val="16"/>
              </w:rPr>
              <w:t>branch)</w:t>
            </w:r>
          </w:p>
          <w:p w:rsidR="00817C2F" w:rsidRPr="00817C2F" w:rsidRDefault="00817C2F" w:rsidP="00817C2F">
            <w:pPr>
              <w:pStyle w:val="TableParagraph"/>
              <w:numPr>
                <w:ilvl w:val="0"/>
                <w:numId w:val="1056"/>
              </w:numPr>
              <w:tabs>
                <w:tab w:val="left" w:pos="305"/>
              </w:tabs>
              <w:spacing w:before="86" w:line="254" w:lineRule="auto"/>
              <w:ind w:right="293"/>
              <w:rPr>
                <w:sz w:val="16"/>
                <w:szCs w:val="16"/>
              </w:rPr>
            </w:pPr>
            <w:r w:rsidRPr="00817C2F">
              <w:rPr>
                <w:color w:val="231F20"/>
                <w:sz w:val="16"/>
                <w:szCs w:val="16"/>
              </w:rPr>
              <w:t>Winter/spring low flow (east</w:t>
            </w:r>
            <w:r w:rsidRPr="00817C2F">
              <w:rPr>
                <w:color w:val="231F20"/>
                <w:spacing w:val="-7"/>
                <w:sz w:val="16"/>
                <w:szCs w:val="16"/>
              </w:rPr>
              <w:t xml:space="preserve"> </w:t>
            </w:r>
            <w:r w:rsidRPr="00817C2F">
              <w:rPr>
                <w:color w:val="231F20"/>
                <w:sz w:val="16"/>
                <w:szCs w:val="16"/>
              </w:rPr>
              <w:t>branch)</w:t>
            </w:r>
          </w:p>
          <w:p w:rsidR="00817C2F" w:rsidRPr="00817C2F" w:rsidRDefault="00817C2F" w:rsidP="00817C2F">
            <w:pPr>
              <w:pStyle w:val="TableParagraph"/>
              <w:numPr>
                <w:ilvl w:val="0"/>
                <w:numId w:val="1056"/>
              </w:numPr>
              <w:tabs>
                <w:tab w:val="left" w:pos="305"/>
              </w:tabs>
              <w:spacing w:before="86" w:line="254" w:lineRule="auto"/>
              <w:ind w:right="193"/>
              <w:rPr>
                <w:sz w:val="16"/>
                <w:szCs w:val="16"/>
              </w:rPr>
            </w:pPr>
            <w:r w:rsidRPr="00817C2F">
              <w:rPr>
                <w:color w:val="231F20"/>
                <w:sz w:val="16"/>
                <w:szCs w:val="16"/>
              </w:rPr>
              <w:t>Summer/autumn fresh (west branch, reduced volume)</w:t>
            </w:r>
          </w:p>
          <w:p w:rsidR="00817C2F" w:rsidRPr="00817C2F" w:rsidRDefault="00817C2F" w:rsidP="00817C2F">
            <w:pPr>
              <w:pStyle w:val="TableParagraph"/>
              <w:numPr>
                <w:ilvl w:val="0"/>
                <w:numId w:val="1056"/>
              </w:numPr>
              <w:tabs>
                <w:tab w:val="left" w:pos="305"/>
              </w:tabs>
              <w:spacing w:before="87" w:line="254" w:lineRule="auto"/>
              <w:ind w:right="263"/>
              <w:rPr>
                <w:sz w:val="16"/>
                <w:szCs w:val="16"/>
              </w:rPr>
            </w:pPr>
            <w:r w:rsidRPr="00817C2F">
              <w:rPr>
                <w:color w:val="231F20"/>
                <w:sz w:val="16"/>
                <w:szCs w:val="16"/>
              </w:rPr>
              <w:t>Winter/spring low flow (west</w:t>
            </w:r>
            <w:r w:rsidRPr="00817C2F">
              <w:rPr>
                <w:color w:val="231F20"/>
                <w:spacing w:val="-7"/>
                <w:sz w:val="16"/>
                <w:szCs w:val="16"/>
              </w:rPr>
              <w:t xml:space="preserve"> </w:t>
            </w:r>
            <w:r w:rsidRPr="00817C2F">
              <w:rPr>
                <w:color w:val="231F20"/>
                <w:sz w:val="16"/>
                <w:szCs w:val="16"/>
              </w:rPr>
              <w:t>branch)</w:t>
            </w:r>
          </w:p>
        </w:tc>
        <w:tc>
          <w:tcPr>
            <w:tcW w:w="2041" w:type="dxa"/>
          </w:tcPr>
          <w:p w:rsidR="00817C2F" w:rsidRPr="00817C2F" w:rsidRDefault="00817C2F" w:rsidP="00817C2F">
            <w:pPr>
              <w:pStyle w:val="TableParagraph"/>
              <w:numPr>
                <w:ilvl w:val="0"/>
                <w:numId w:val="1055"/>
              </w:numPr>
              <w:tabs>
                <w:tab w:val="left" w:pos="305"/>
              </w:tabs>
              <w:spacing w:before="63"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(west</w:t>
            </w:r>
            <w:r w:rsidRPr="00817C2F">
              <w:rPr>
                <w:color w:val="231F20"/>
                <w:spacing w:val="-3"/>
                <w:sz w:val="16"/>
                <w:szCs w:val="16"/>
              </w:rPr>
              <w:t xml:space="preserve"> </w:t>
            </w:r>
            <w:r w:rsidRPr="00817C2F">
              <w:rPr>
                <w:color w:val="231F20"/>
                <w:sz w:val="16"/>
                <w:szCs w:val="16"/>
              </w:rPr>
              <w:t>branch)</w:t>
            </w:r>
          </w:p>
          <w:p w:rsidR="00817C2F" w:rsidRPr="00817C2F" w:rsidRDefault="00817C2F" w:rsidP="00817C2F">
            <w:pPr>
              <w:pStyle w:val="TableParagraph"/>
              <w:numPr>
                <w:ilvl w:val="0"/>
                <w:numId w:val="1055"/>
              </w:numPr>
              <w:tabs>
                <w:tab w:val="left" w:pos="305"/>
              </w:tabs>
              <w:spacing w:before="86" w:line="254" w:lineRule="auto"/>
              <w:ind w:right="293"/>
              <w:rPr>
                <w:sz w:val="16"/>
                <w:szCs w:val="16"/>
              </w:rPr>
            </w:pPr>
            <w:r w:rsidRPr="00817C2F">
              <w:rPr>
                <w:color w:val="231F20"/>
                <w:sz w:val="16"/>
                <w:szCs w:val="16"/>
              </w:rPr>
              <w:t>Winter/spring low flow (east</w:t>
            </w:r>
            <w:r w:rsidRPr="00817C2F">
              <w:rPr>
                <w:color w:val="231F20"/>
                <w:spacing w:val="-7"/>
                <w:sz w:val="16"/>
                <w:szCs w:val="16"/>
              </w:rPr>
              <w:t xml:space="preserve"> </w:t>
            </w:r>
            <w:r w:rsidRPr="00817C2F">
              <w:rPr>
                <w:color w:val="231F20"/>
                <w:sz w:val="16"/>
                <w:szCs w:val="16"/>
              </w:rPr>
              <w:t>branch)</w:t>
            </w:r>
          </w:p>
          <w:p w:rsidR="00817C2F" w:rsidRPr="00817C2F" w:rsidRDefault="00817C2F" w:rsidP="00817C2F">
            <w:pPr>
              <w:pStyle w:val="TableParagraph"/>
              <w:numPr>
                <w:ilvl w:val="0"/>
                <w:numId w:val="1055"/>
              </w:numPr>
              <w:tabs>
                <w:tab w:val="left" w:pos="305"/>
              </w:tabs>
              <w:spacing w:before="86" w:line="254" w:lineRule="auto"/>
              <w:ind w:right="193"/>
              <w:rPr>
                <w:sz w:val="16"/>
                <w:szCs w:val="16"/>
              </w:rPr>
            </w:pPr>
            <w:r w:rsidRPr="00817C2F">
              <w:rPr>
                <w:color w:val="231F20"/>
                <w:sz w:val="16"/>
                <w:szCs w:val="16"/>
              </w:rPr>
              <w:t>Summer/autumn fresh (west branch, reduced volume)</w:t>
            </w:r>
          </w:p>
          <w:p w:rsidR="00817C2F" w:rsidRPr="00817C2F" w:rsidRDefault="00817C2F" w:rsidP="00817C2F">
            <w:pPr>
              <w:pStyle w:val="TableParagraph"/>
              <w:numPr>
                <w:ilvl w:val="0"/>
                <w:numId w:val="1055"/>
              </w:numPr>
              <w:tabs>
                <w:tab w:val="left" w:pos="305"/>
              </w:tabs>
              <w:spacing w:before="87" w:line="254" w:lineRule="auto"/>
              <w:ind w:right="273"/>
              <w:rPr>
                <w:sz w:val="16"/>
                <w:szCs w:val="16"/>
              </w:rPr>
            </w:pPr>
            <w:r w:rsidRPr="00817C2F">
              <w:rPr>
                <w:color w:val="231F20"/>
                <w:sz w:val="16"/>
                <w:szCs w:val="16"/>
              </w:rPr>
              <w:t>Winter/spring low flow (west branch, reduced volume)</w:t>
            </w:r>
          </w:p>
        </w:tc>
        <w:tc>
          <w:tcPr>
            <w:tcW w:w="2041" w:type="dxa"/>
          </w:tcPr>
          <w:p w:rsidR="00817C2F" w:rsidRPr="00817C2F" w:rsidRDefault="00817C2F" w:rsidP="00817C2F">
            <w:pPr>
              <w:pStyle w:val="TableParagraph"/>
              <w:numPr>
                <w:ilvl w:val="0"/>
                <w:numId w:val="1054"/>
              </w:numPr>
              <w:tabs>
                <w:tab w:val="left" w:pos="305"/>
              </w:tabs>
              <w:spacing w:before="63"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(west</w:t>
            </w:r>
            <w:r w:rsidRPr="00817C2F">
              <w:rPr>
                <w:color w:val="231F20"/>
                <w:spacing w:val="-3"/>
                <w:sz w:val="16"/>
                <w:szCs w:val="16"/>
              </w:rPr>
              <w:t xml:space="preserve"> </w:t>
            </w:r>
            <w:r w:rsidRPr="00817C2F">
              <w:rPr>
                <w:color w:val="231F20"/>
                <w:sz w:val="16"/>
                <w:szCs w:val="16"/>
              </w:rPr>
              <w:t>branch)</w:t>
            </w:r>
          </w:p>
          <w:p w:rsidR="00817C2F" w:rsidRPr="00817C2F" w:rsidRDefault="00817C2F" w:rsidP="00817C2F">
            <w:pPr>
              <w:pStyle w:val="TableParagraph"/>
              <w:numPr>
                <w:ilvl w:val="0"/>
                <w:numId w:val="1054"/>
              </w:numPr>
              <w:tabs>
                <w:tab w:val="left" w:pos="305"/>
              </w:tabs>
              <w:spacing w:before="86" w:line="254" w:lineRule="auto"/>
              <w:ind w:right="293"/>
              <w:rPr>
                <w:sz w:val="16"/>
                <w:szCs w:val="16"/>
              </w:rPr>
            </w:pPr>
            <w:r w:rsidRPr="00817C2F">
              <w:rPr>
                <w:color w:val="231F20"/>
                <w:sz w:val="16"/>
                <w:szCs w:val="16"/>
              </w:rPr>
              <w:t>Winter/spring low flow (east</w:t>
            </w:r>
            <w:r w:rsidRPr="00817C2F">
              <w:rPr>
                <w:color w:val="231F20"/>
                <w:spacing w:val="-7"/>
                <w:sz w:val="16"/>
                <w:szCs w:val="16"/>
              </w:rPr>
              <w:t xml:space="preserve"> </w:t>
            </w:r>
            <w:r w:rsidRPr="00817C2F">
              <w:rPr>
                <w:color w:val="231F20"/>
                <w:sz w:val="16"/>
                <w:szCs w:val="16"/>
              </w:rPr>
              <w:t>branch)</w:t>
            </w:r>
          </w:p>
          <w:p w:rsidR="00817C2F" w:rsidRPr="00817C2F" w:rsidRDefault="00817C2F" w:rsidP="00817C2F">
            <w:pPr>
              <w:pStyle w:val="TableParagraph"/>
              <w:numPr>
                <w:ilvl w:val="0"/>
                <w:numId w:val="1054"/>
              </w:numPr>
              <w:tabs>
                <w:tab w:val="left" w:pos="305"/>
              </w:tabs>
              <w:spacing w:before="86" w:line="254" w:lineRule="auto"/>
              <w:ind w:right="193"/>
              <w:rPr>
                <w:sz w:val="16"/>
                <w:szCs w:val="16"/>
              </w:rPr>
            </w:pPr>
            <w:r w:rsidRPr="00817C2F">
              <w:rPr>
                <w:color w:val="231F20"/>
                <w:sz w:val="16"/>
                <w:szCs w:val="16"/>
              </w:rPr>
              <w:t>Summer/autumn fresh (west branch, reduced volume)</w:t>
            </w:r>
          </w:p>
          <w:p w:rsidR="00817C2F" w:rsidRPr="00817C2F" w:rsidRDefault="00817C2F" w:rsidP="00817C2F">
            <w:pPr>
              <w:pStyle w:val="TableParagraph"/>
              <w:numPr>
                <w:ilvl w:val="0"/>
                <w:numId w:val="1054"/>
              </w:numPr>
              <w:tabs>
                <w:tab w:val="left" w:pos="305"/>
              </w:tabs>
              <w:spacing w:before="87" w:line="254" w:lineRule="auto"/>
              <w:ind w:right="273"/>
              <w:rPr>
                <w:sz w:val="16"/>
                <w:szCs w:val="16"/>
              </w:rPr>
            </w:pPr>
            <w:r w:rsidRPr="00817C2F">
              <w:rPr>
                <w:color w:val="231F20"/>
                <w:sz w:val="16"/>
                <w:szCs w:val="16"/>
              </w:rPr>
              <w:t>Winter/spring low flow (west branch, reduced volume)</w:t>
            </w:r>
          </w:p>
        </w:tc>
        <w:tc>
          <w:tcPr>
            <w:tcW w:w="2041" w:type="dxa"/>
          </w:tcPr>
          <w:p w:rsidR="00817C2F" w:rsidRPr="00817C2F" w:rsidRDefault="00817C2F" w:rsidP="00817C2F">
            <w:pPr>
              <w:pStyle w:val="TableParagraph"/>
              <w:numPr>
                <w:ilvl w:val="0"/>
                <w:numId w:val="1053"/>
              </w:numPr>
              <w:tabs>
                <w:tab w:val="left" w:pos="305"/>
              </w:tabs>
              <w:spacing w:before="63" w:line="254" w:lineRule="auto"/>
              <w:ind w:right="73"/>
              <w:rPr>
                <w:sz w:val="16"/>
                <w:szCs w:val="16"/>
              </w:rPr>
            </w:pPr>
            <w:r w:rsidRPr="00817C2F">
              <w:rPr>
                <w:color w:val="231F20"/>
                <w:sz w:val="16"/>
                <w:szCs w:val="16"/>
              </w:rPr>
              <w:t xml:space="preserve">Summer/autumn </w:t>
            </w:r>
            <w:r w:rsidRPr="00817C2F">
              <w:rPr>
                <w:color w:val="231F20"/>
                <w:spacing w:val="-6"/>
                <w:sz w:val="16"/>
                <w:szCs w:val="16"/>
              </w:rPr>
              <w:t xml:space="preserve">low </w:t>
            </w:r>
            <w:r w:rsidRPr="00817C2F">
              <w:rPr>
                <w:color w:val="231F20"/>
                <w:sz w:val="16"/>
                <w:szCs w:val="16"/>
              </w:rPr>
              <w:t>flow (west</w:t>
            </w:r>
            <w:r w:rsidRPr="00817C2F">
              <w:rPr>
                <w:color w:val="231F20"/>
                <w:spacing w:val="-3"/>
                <w:sz w:val="16"/>
                <w:szCs w:val="16"/>
              </w:rPr>
              <w:t xml:space="preserve"> </w:t>
            </w:r>
            <w:r w:rsidRPr="00817C2F">
              <w:rPr>
                <w:color w:val="231F20"/>
                <w:sz w:val="16"/>
                <w:szCs w:val="16"/>
              </w:rPr>
              <w:t>branch)</w:t>
            </w:r>
          </w:p>
          <w:p w:rsidR="00817C2F" w:rsidRPr="00817C2F" w:rsidRDefault="00817C2F" w:rsidP="00817C2F">
            <w:pPr>
              <w:pStyle w:val="TableParagraph"/>
              <w:numPr>
                <w:ilvl w:val="0"/>
                <w:numId w:val="1053"/>
              </w:numPr>
              <w:tabs>
                <w:tab w:val="left" w:pos="305"/>
              </w:tabs>
              <w:spacing w:before="86" w:line="254" w:lineRule="auto"/>
              <w:ind w:right="293"/>
              <w:rPr>
                <w:sz w:val="16"/>
                <w:szCs w:val="16"/>
              </w:rPr>
            </w:pPr>
            <w:r w:rsidRPr="00817C2F">
              <w:rPr>
                <w:color w:val="231F20"/>
                <w:sz w:val="16"/>
                <w:szCs w:val="16"/>
              </w:rPr>
              <w:t>Winter/spring low flow (east</w:t>
            </w:r>
            <w:r w:rsidRPr="00817C2F">
              <w:rPr>
                <w:color w:val="231F20"/>
                <w:spacing w:val="-7"/>
                <w:sz w:val="16"/>
                <w:szCs w:val="16"/>
              </w:rPr>
              <w:t xml:space="preserve"> </w:t>
            </w:r>
            <w:r w:rsidRPr="00817C2F">
              <w:rPr>
                <w:color w:val="231F20"/>
                <w:sz w:val="16"/>
                <w:szCs w:val="16"/>
              </w:rPr>
              <w:t>branch)</w:t>
            </w:r>
          </w:p>
          <w:p w:rsidR="00817C2F" w:rsidRPr="00817C2F" w:rsidRDefault="00817C2F" w:rsidP="00817C2F">
            <w:pPr>
              <w:pStyle w:val="TableParagraph"/>
              <w:numPr>
                <w:ilvl w:val="0"/>
                <w:numId w:val="1053"/>
              </w:numPr>
              <w:tabs>
                <w:tab w:val="left" w:pos="305"/>
              </w:tabs>
              <w:spacing w:before="86" w:line="254" w:lineRule="auto"/>
              <w:ind w:right="193"/>
              <w:rPr>
                <w:sz w:val="16"/>
                <w:szCs w:val="16"/>
              </w:rPr>
            </w:pPr>
            <w:r w:rsidRPr="00817C2F">
              <w:rPr>
                <w:color w:val="231F20"/>
                <w:sz w:val="16"/>
                <w:szCs w:val="16"/>
              </w:rPr>
              <w:t>Summer/autumn fresh (west branch, reduced volume)</w:t>
            </w:r>
          </w:p>
          <w:p w:rsidR="00817C2F" w:rsidRPr="00817C2F" w:rsidRDefault="00817C2F" w:rsidP="00817C2F">
            <w:pPr>
              <w:pStyle w:val="TableParagraph"/>
              <w:numPr>
                <w:ilvl w:val="0"/>
                <w:numId w:val="1053"/>
              </w:numPr>
              <w:tabs>
                <w:tab w:val="left" w:pos="305"/>
              </w:tabs>
              <w:spacing w:before="87" w:line="254" w:lineRule="auto"/>
              <w:ind w:right="263"/>
              <w:rPr>
                <w:sz w:val="16"/>
                <w:szCs w:val="16"/>
              </w:rPr>
            </w:pPr>
            <w:r w:rsidRPr="00817C2F">
              <w:rPr>
                <w:color w:val="231F20"/>
                <w:sz w:val="16"/>
                <w:szCs w:val="16"/>
              </w:rPr>
              <w:t>Winter/spring low flow (west</w:t>
            </w:r>
            <w:r w:rsidRPr="00817C2F">
              <w:rPr>
                <w:color w:val="231F20"/>
                <w:spacing w:val="-7"/>
                <w:sz w:val="16"/>
                <w:szCs w:val="16"/>
              </w:rPr>
              <w:t xml:space="preserve"> </w:t>
            </w:r>
            <w:r w:rsidRPr="00817C2F">
              <w:rPr>
                <w:color w:val="231F20"/>
                <w:sz w:val="16"/>
                <w:szCs w:val="16"/>
              </w:rPr>
              <w:t>branch)</w:t>
            </w:r>
          </w:p>
        </w:tc>
      </w:tr>
      <w:tr w:rsidR="00817C2F" w:rsidTr="00817C2F">
        <w:trPr>
          <w:trHeight w:val="853"/>
        </w:trPr>
        <w:tc>
          <w:tcPr>
            <w:tcW w:w="2041" w:type="dxa"/>
          </w:tcPr>
          <w:p w:rsidR="00817C2F" w:rsidRPr="00817C2F" w:rsidRDefault="00817C2F" w:rsidP="00817C2F">
            <w:pPr>
              <w:pStyle w:val="TableParagraph"/>
              <w:spacing w:before="67" w:line="261" w:lineRule="auto"/>
              <w:ind w:left="85" w:right="253"/>
              <w:rPr>
                <w:sz w:val="16"/>
                <w:szCs w:val="16"/>
              </w:rPr>
            </w:pPr>
            <w:r w:rsidRPr="00817C2F">
              <w:rPr>
                <w:color w:val="231F20"/>
                <w:sz w:val="16"/>
                <w:szCs w:val="16"/>
              </w:rPr>
              <w:t>Potential environmental watering – tier 2 (additional priorities)</w:t>
            </w:r>
          </w:p>
        </w:tc>
        <w:tc>
          <w:tcPr>
            <w:tcW w:w="8164" w:type="dxa"/>
            <w:gridSpan w:val="4"/>
          </w:tcPr>
          <w:p w:rsidR="00817C2F" w:rsidRPr="00817C2F" w:rsidRDefault="00817C2F" w:rsidP="00817C2F">
            <w:pPr>
              <w:pStyle w:val="TableParagraph"/>
              <w:numPr>
                <w:ilvl w:val="0"/>
                <w:numId w:val="1052"/>
              </w:numPr>
              <w:tabs>
                <w:tab w:val="left" w:pos="305"/>
              </w:tabs>
              <w:spacing w:before="63" w:line="254" w:lineRule="auto"/>
              <w:ind w:right="325"/>
              <w:rPr>
                <w:sz w:val="16"/>
                <w:szCs w:val="16"/>
              </w:rPr>
            </w:pPr>
            <w:r w:rsidRPr="00817C2F">
              <w:rPr>
                <w:color w:val="231F20"/>
                <w:sz w:val="16"/>
                <w:szCs w:val="16"/>
              </w:rPr>
              <w:t>There</w:t>
            </w:r>
            <w:r w:rsidRPr="00817C2F">
              <w:rPr>
                <w:color w:val="231F20"/>
                <w:spacing w:val="-4"/>
                <w:sz w:val="16"/>
                <w:szCs w:val="16"/>
              </w:rPr>
              <w:t xml:space="preserve"> </w:t>
            </w:r>
            <w:r w:rsidRPr="00817C2F">
              <w:rPr>
                <w:color w:val="231F20"/>
                <w:sz w:val="16"/>
                <w:szCs w:val="16"/>
              </w:rPr>
              <w:t>are</w:t>
            </w:r>
            <w:r w:rsidRPr="00817C2F">
              <w:rPr>
                <w:color w:val="231F20"/>
                <w:spacing w:val="-5"/>
                <w:sz w:val="16"/>
                <w:szCs w:val="16"/>
              </w:rPr>
              <w:t xml:space="preserve"> </w:t>
            </w:r>
            <w:r w:rsidRPr="00817C2F">
              <w:rPr>
                <w:color w:val="231F20"/>
                <w:sz w:val="16"/>
                <w:szCs w:val="16"/>
              </w:rPr>
              <w:t>no</w:t>
            </w:r>
            <w:r w:rsidRPr="00817C2F">
              <w:rPr>
                <w:color w:val="231F20"/>
                <w:spacing w:val="-5"/>
                <w:sz w:val="16"/>
                <w:szCs w:val="16"/>
              </w:rPr>
              <w:t xml:space="preserve"> </w:t>
            </w:r>
            <w:r w:rsidRPr="00817C2F">
              <w:rPr>
                <w:color w:val="231F20"/>
                <w:sz w:val="16"/>
                <w:szCs w:val="16"/>
              </w:rPr>
              <w:t>tier</w:t>
            </w:r>
            <w:r w:rsidRPr="00817C2F">
              <w:rPr>
                <w:color w:val="231F20"/>
                <w:spacing w:val="-4"/>
                <w:sz w:val="16"/>
                <w:szCs w:val="16"/>
              </w:rPr>
              <w:t xml:space="preserve"> </w:t>
            </w:r>
            <w:r w:rsidRPr="00817C2F">
              <w:rPr>
                <w:color w:val="231F20"/>
                <w:sz w:val="16"/>
                <w:szCs w:val="16"/>
              </w:rPr>
              <w:t>2</w:t>
            </w:r>
            <w:r w:rsidRPr="00817C2F">
              <w:rPr>
                <w:color w:val="231F20"/>
                <w:spacing w:val="-4"/>
                <w:sz w:val="16"/>
                <w:szCs w:val="16"/>
              </w:rPr>
              <w:t xml:space="preserve"> </w:t>
            </w:r>
            <w:r w:rsidRPr="00817C2F">
              <w:rPr>
                <w:color w:val="231F20"/>
                <w:sz w:val="16"/>
                <w:szCs w:val="16"/>
              </w:rPr>
              <w:t>watering</w:t>
            </w:r>
            <w:r w:rsidRPr="00817C2F">
              <w:rPr>
                <w:color w:val="231F20"/>
                <w:spacing w:val="-5"/>
                <w:sz w:val="16"/>
                <w:szCs w:val="16"/>
              </w:rPr>
              <w:t xml:space="preserve"> </w:t>
            </w:r>
            <w:r w:rsidRPr="00817C2F">
              <w:rPr>
                <w:color w:val="231F20"/>
                <w:sz w:val="16"/>
                <w:szCs w:val="16"/>
              </w:rPr>
              <w:t>demands</w:t>
            </w:r>
            <w:r w:rsidRPr="00817C2F">
              <w:rPr>
                <w:color w:val="231F20"/>
                <w:spacing w:val="-5"/>
                <w:sz w:val="16"/>
                <w:szCs w:val="16"/>
              </w:rPr>
              <w:t xml:space="preserve"> </w:t>
            </w:r>
            <w:r w:rsidRPr="00817C2F">
              <w:rPr>
                <w:color w:val="231F20"/>
                <w:sz w:val="16"/>
                <w:szCs w:val="16"/>
              </w:rPr>
              <w:t>because</w:t>
            </w:r>
            <w:r w:rsidRPr="00817C2F">
              <w:rPr>
                <w:color w:val="231F20"/>
                <w:spacing w:val="-5"/>
                <w:sz w:val="16"/>
                <w:szCs w:val="16"/>
              </w:rPr>
              <w:t xml:space="preserve"> </w:t>
            </w:r>
            <w:r w:rsidRPr="00817C2F">
              <w:rPr>
                <w:color w:val="231F20"/>
                <w:sz w:val="16"/>
                <w:szCs w:val="16"/>
              </w:rPr>
              <w:t>additional</w:t>
            </w:r>
            <w:r w:rsidRPr="00817C2F">
              <w:rPr>
                <w:color w:val="231F20"/>
                <w:spacing w:val="-4"/>
                <w:sz w:val="16"/>
                <w:szCs w:val="16"/>
              </w:rPr>
              <w:t xml:space="preserve"> </w:t>
            </w:r>
            <w:r w:rsidRPr="00817C2F">
              <w:rPr>
                <w:color w:val="231F20"/>
                <w:sz w:val="16"/>
                <w:szCs w:val="16"/>
              </w:rPr>
              <w:t>watering</w:t>
            </w:r>
            <w:r w:rsidRPr="00817C2F">
              <w:rPr>
                <w:color w:val="231F20"/>
                <w:spacing w:val="-5"/>
                <w:sz w:val="16"/>
                <w:szCs w:val="16"/>
              </w:rPr>
              <w:t xml:space="preserve"> </w:t>
            </w:r>
            <w:r w:rsidRPr="00817C2F">
              <w:rPr>
                <w:color w:val="231F20"/>
                <w:sz w:val="16"/>
                <w:szCs w:val="16"/>
              </w:rPr>
              <w:t>actions</w:t>
            </w:r>
            <w:r w:rsidRPr="00817C2F">
              <w:rPr>
                <w:color w:val="231F20"/>
                <w:spacing w:val="-5"/>
                <w:sz w:val="16"/>
                <w:szCs w:val="16"/>
              </w:rPr>
              <w:t xml:space="preserve"> </w:t>
            </w:r>
            <w:r w:rsidRPr="00817C2F">
              <w:rPr>
                <w:color w:val="231F20"/>
                <w:sz w:val="16"/>
                <w:szCs w:val="16"/>
              </w:rPr>
              <w:t>cannot</w:t>
            </w:r>
            <w:r w:rsidRPr="00817C2F">
              <w:rPr>
                <w:color w:val="231F20"/>
                <w:spacing w:val="-4"/>
                <w:sz w:val="16"/>
                <w:szCs w:val="16"/>
              </w:rPr>
              <w:t xml:space="preserve"> </w:t>
            </w:r>
            <w:r w:rsidRPr="00817C2F">
              <w:rPr>
                <w:color w:val="231F20"/>
                <w:sz w:val="16"/>
                <w:szCs w:val="16"/>
              </w:rPr>
              <w:t>be</w:t>
            </w:r>
            <w:r w:rsidRPr="00817C2F">
              <w:rPr>
                <w:color w:val="231F20"/>
                <w:spacing w:val="-5"/>
                <w:sz w:val="16"/>
                <w:szCs w:val="16"/>
              </w:rPr>
              <w:t xml:space="preserve"> </w:t>
            </w:r>
            <w:r w:rsidRPr="00817C2F">
              <w:rPr>
                <w:color w:val="231F20"/>
                <w:sz w:val="16"/>
                <w:szCs w:val="16"/>
              </w:rPr>
              <w:t>delivered within the existing infrastructure and flow</w:t>
            </w:r>
            <w:r w:rsidRPr="00817C2F">
              <w:rPr>
                <w:color w:val="231F20"/>
                <w:spacing w:val="-7"/>
                <w:sz w:val="16"/>
                <w:szCs w:val="16"/>
              </w:rPr>
              <w:t xml:space="preserve"> </w:t>
            </w:r>
            <w:r w:rsidRPr="00817C2F">
              <w:rPr>
                <w:color w:val="231F20"/>
                <w:sz w:val="16"/>
                <w:szCs w:val="16"/>
              </w:rPr>
              <w:t>constrictions</w:t>
            </w:r>
          </w:p>
        </w:tc>
      </w:tr>
      <w:tr w:rsidR="00817C2F" w:rsidTr="00817C2F">
        <w:trPr>
          <w:trHeight w:val="964"/>
        </w:trPr>
        <w:tc>
          <w:tcPr>
            <w:tcW w:w="2041" w:type="dxa"/>
          </w:tcPr>
          <w:p w:rsidR="00817C2F" w:rsidRPr="00817C2F" w:rsidRDefault="00817C2F" w:rsidP="00817C2F">
            <w:pPr>
              <w:pStyle w:val="TableParagraph"/>
              <w:spacing w:before="67" w:line="261" w:lineRule="auto"/>
              <w:ind w:left="85" w:right="485"/>
              <w:rPr>
                <w:sz w:val="16"/>
                <w:szCs w:val="16"/>
              </w:rPr>
            </w:pPr>
            <w:r w:rsidRPr="00817C2F">
              <w:rPr>
                <w:color w:val="231F20"/>
                <w:sz w:val="16"/>
                <w:szCs w:val="16"/>
              </w:rPr>
              <w:t>Possible volume of environmental water required to achieve objectives</w:t>
            </w:r>
          </w:p>
        </w:tc>
        <w:tc>
          <w:tcPr>
            <w:tcW w:w="2041" w:type="dxa"/>
          </w:tcPr>
          <w:p w:rsidR="00817C2F" w:rsidRPr="00817C2F" w:rsidRDefault="00817C2F" w:rsidP="00817C2F">
            <w:pPr>
              <w:pStyle w:val="TableParagraph"/>
              <w:numPr>
                <w:ilvl w:val="0"/>
                <w:numId w:val="1051"/>
              </w:numPr>
              <w:tabs>
                <w:tab w:val="left" w:pos="305"/>
              </w:tabs>
              <w:spacing w:before="63"/>
              <w:rPr>
                <w:sz w:val="16"/>
                <w:szCs w:val="16"/>
              </w:rPr>
            </w:pPr>
            <w:r w:rsidRPr="00817C2F">
              <w:rPr>
                <w:color w:val="231F20"/>
                <w:sz w:val="16"/>
                <w:szCs w:val="16"/>
              </w:rPr>
              <w:t>250 ML (tier</w:t>
            </w:r>
            <w:r w:rsidRPr="00817C2F">
              <w:rPr>
                <w:color w:val="231F20"/>
                <w:spacing w:val="-10"/>
                <w:sz w:val="16"/>
                <w:szCs w:val="16"/>
              </w:rPr>
              <w:t xml:space="preserve"> </w:t>
            </w:r>
            <w:r w:rsidRPr="00817C2F">
              <w:rPr>
                <w:color w:val="231F20"/>
                <w:sz w:val="16"/>
                <w:szCs w:val="16"/>
              </w:rPr>
              <w:t>1a)</w:t>
            </w:r>
          </w:p>
          <w:p w:rsidR="00817C2F" w:rsidRPr="00817C2F" w:rsidRDefault="00817C2F" w:rsidP="00817C2F">
            <w:pPr>
              <w:pStyle w:val="TableParagraph"/>
              <w:numPr>
                <w:ilvl w:val="0"/>
                <w:numId w:val="1051"/>
              </w:numPr>
              <w:tabs>
                <w:tab w:val="left" w:pos="305"/>
              </w:tabs>
              <w:spacing w:before="98"/>
              <w:rPr>
                <w:sz w:val="16"/>
                <w:szCs w:val="16"/>
              </w:rPr>
            </w:pPr>
            <w:r w:rsidRPr="00817C2F">
              <w:rPr>
                <w:color w:val="231F20"/>
                <w:sz w:val="16"/>
                <w:szCs w:val="16"/>
              </w:rPr>
              <w:t>18,200 ML (tier</w:t>
            </w:r>
            <w:r w:rsidRPr="00817C2F">
              <w:rPr>
                <w:color w:val="231F20"/>
                <w:spacing w:val="-12"/>
                <w:sz w:val="16"/>
                <w:szCs w:val="16"/>
              </w:rPr>
              <w:t xml:space="preserve"> </w:t>
            </w:r>
            <w:r w:rsidRPr="00817C2F">
              <w:rPr>
                <w:color w:val="231F20"/>
                <w:sz w:val="16"/>
                <w:szCs w:val="16"/>
              </w:rPr>
              <w:t>1b)</w:t>
            </w:r>
          </w:p>
        </w:tc>
        <w:tc>
          <w:tcPr>
            <w:tcW w:w="2041" w:type="dxa"/>
          </w:tcPr>
          <w:p w:rsidR="00817C2F" w:rsidRPr="00817C2F" w:rsidRDefault="00817C2F" w:rsidP="00817C2F">
            <w:pPr>
              <w:pStyle w:val="TableParagraph"/>
              <w:numPr>
                <w:ilvl w:val="0"/>
                <w:numId w:val="1050"/>
              </w:numPr>
              <w:tabs>
                <w:tab w:val="left" w:pos="305"/>
              </w:tabs>
              <w:spacing w:before="63"/>
              <w:rPr>
                <w:sz w:val="16"/>
                <w:szCs w:val="16"/>
              </w:rPr>
            </w:pPr>
            <w:r w:rsidRPr="00817C2F">
              <w:rPr>
                <w:color w:val="231F20"/>
                <w:sz w:val="16"/>
                <w:szCs w:val="16"/>
              </w:rPr>
              <w:t>800 ML (tier</w:t>
            </w:r>
            <w:r w:rsidRPr="00817C2F">
              <w:rPr>
                <w:color w:val="231F20"/>
                <w:spacing w:val="-10"/>
                <w:sz w:val="16"/>
                <w:szCs w:val="16"/>
              </w:rPr>
              <w:t xml:space="preserve"> </w:t>
            </w:r>
            <w:r w:rsidRPr="00817C2F">
              <w:rPr>
                <w:color w:val="231F20"/>
                <w:sz w:val="16"/>
                <w:szCs w:val="16"/>
              </w:rPr>
              <w:t>1a)</w:t>
            </w:r>
          </w:p>
          <w:p w:rsidR="00817C2F" w:rsidRPr="00817C2F" w:rsidRDefault="00817C2F" w:rsidP="00817C2F">
            <w:pPr>
              <w:pStyle w:val="TableParagraph"/>
              <w:numPr>
                <w:ilvl w:val="0"/>
                <w:numId w:val="1050"/>
              </w:numPr>
              <w:tabs>
                <w:tab w:val="left" w:pos="305"/>
              </w:tabs>
              <w:spacing w:before="98"/>
              <w:rPr>
                <w:sz w:val="16"/>
                <w:szCs w:val="16"/>
              </w:rPr>
            </w:pPr>
            <w:r w:rsidRPr="00817C2F">
              <w:rPr>
                <w:color w:val="231F20"/>
                <w:sz w:val="16"/>
                <w:szCs w:val="16"/>
              </w:rPr>
              <w:t>17,900 ML (tier</w:t>
            </w:r>
            <w:r w:rsidRPr="00817C2F">
              <w:rPr>
                <w:color w:val="231F20"/>
                <w:spacing w:val="-12"/>
                <w:sz w:val="16"/>
                <w:szCs w:val="16"/>
              </w:rPr>
              <w:t xml:space="preserve"> </w:t>
            </w:r>
            <w:r w:rsidRPr="00817C2F">
              <w:rPr>
                <w:color w:val="231F20"/>
                <w:sz w:val="16"/>
                <w:szCs w:val="16"/>
              </w:rPr>
              <w:t>1b)</w:t>
            </w:r>
          </w:p>
        </w:tc>
        <w:tc>
          <w:tcPr>
            <w:tcW w:w="2041" w:type="dxa"/>
          </w:tcPr>
          <w:p w:rsidR="00817C2F" w:rsidRPr="00817C2F" w:rsidRDefault="00817C2F" w:rsidP="00817C2F">
            <w:pPr>
              <w:pStyle w:val="TableParagraph"/>
              <w:numPr>
                <w:ilvl w:val="0"/>
                <w:numId w:val="1049"/>
              </w:numPr>
              <w:tabs>
                <w:tab w:val="left" w:pos="305"/>
              </w:tabs>
              <w:spacing w:before="63"/>
              <w:rPr>
                <w:sz w:val="16"/>
                <w:szCs w:val="16"/>
              </w:rPr>
            </w:pPr>
            <w:r w:rsidRPr="00817C2F">
              <w:rPr>
                <w:color w:val="231F20"/>
                <w:sz w:val="16"/>
                <w:szCs w:val="16"/>
              </w:rPr>
              <w:t>1,000 ML (tier</w:t>
            </w:r>
            <w:r w:rsidRPr="00817C2F">
              <w:rPr>
                <w:color w:val="231F20"/>
                <w:spacing w:val="-11"/>
                <w:sz w:val="16"/>
                <w:szCs w:val="16"/>
              </w:rPr>
              <w:t xml:space="preserve"> </w:t>
            </w:r>
            <w:r w:rsidRPr="00817C2F">
              <w:rPr>
                <w:color w:val="231F20"/>
                <w:sz w:val="16"/>
                <w:szCs w:val="16"/>
              </w:rPr>
              <w:t>1a)</w:t>
            </w:r>
          </w:p>
          <w:p w:rsidR="00817C2F" w:rsidRPr="00817C2F" w:rsidRDefault="00817C2F" w:rsidP="00817C2F">
            <w:pPr>
              <w:pStyle w:val="TableParagraph"/>
              <w:numPr>
                <w:ilvl w:val="0"/>
                <w:numId w:val="1049"/>
              </w:numPr>
              <w:tabs>
                <w:tab w:val="left" w:pos="305"/>
              </w:tabs>
              <w:spacing w:before="98"/>
              <w:rPr>
                <w:sz w:val="16"/>
                <w:szCs w:val="16"/>
              </w:rPr>
            </w:pPr>
            <w:r w:rsidRPr="00817C2F">
              <w:rPr>
                <w:color w:val="231F20"/>
                <w:sz w:val="16"/>
                <w:szCs w:val="16"/>
              </w:rPr>
              <w:t>17,700 ML (tier</w:t>
            </w:r>
            <w:r w:rsidRPr="00817C2F">
              <w:rPr>
                <w:color w:val="231F20"/>
                <w:spacing w:val="-12"/>
                <w:sz w:val="16"/>
                <w:szCs w:val="16"/>
              </w:rPr>
              <w:t xml:space="preserve"> </w:t>
            </w:r>
            <w:r w:rsidRPr="00817C2F">
              <w:rPr>
                <w:color w:val="231F20"/>
                <w:sz w:val="16"/>
                <w:szCs w:val="16"/>
              </w:rPr>
              <w:t>1b)</w:t>
            </w:r>
          </w:p>
        </w:tc>
        <w:tc>
          <w:tcPr>
            <w:tcW w:w="2041" w:type="dxa"/>
          </w:tcPr>
          <w:p w:rsidR="00817C2F" w:rsidRPr="00817C2F" w:rsidRDefault="00817C2F" w:rsidP="00817C2F">
            <w:pPr>
              <w:pStyle w:val="TableParagraph"/>
              <w:numPr>
                <w:ilvl w:val="0"/>
                <w:numId w:val="1048"/>
              </w:numPr>
              <w:tabs>
                <w:tab w:val="left" w:pos="305"/>
              </w:tabs>
              <w:spacing w:before="63"/>
              <w:rPr>
                <w:sz w:val="16"/>
                <w:szCs w:val="16"/>
              </w:rPr>
            </w:pPr>
            <w:r w:rsidRPr="00817C2F">
              <w:rPr>
                <w:color w:val="231F20"/>
                <w:sz w:val="16"/>
                <w:szCs w:val="16"/>
              </w:rPr>
              <w:t>2,000 ML (tier</w:t>
            </w:r>
            <w:r w:rsidRPr="00817C2F">
              <w:rPr>
                <w:color w:val="231F20"/>
                <w:spacing w:val="-11"/>
                <w:sz w:val="16"/>
                <w:szCs w:val="16"/>
              </w:rPr>
              <w:t xml:space="preserve"> </w:t>
            </w:r>
            <w:r w:rsidRPr="00817C2F">
              <w:rPr>
                <w:color w:val="231F20"/>
                <w:sz w:val="16"/>
                <w:szCs w:val="16"/>
              </w:rPr>
              <w:t>1a)</w:t>
            </w:r>
          </w:p>
          <w:p w:rsidR="00817C2F" w:rsidRPr="00817C2F" w:rsidRDefault="00817C2F" w:rsidP="00817C2F">
            <w:pPr>
              <w:pStyle w:val="TableParagraph"/>
              <w:numPr>
                <w:ilvl w:val="0"/>
                <w:numId w:val="1048"/>
              </w:numPr>
              <w:tabs>
                <w:tab w:val="left" w:pos="305"/>
              </w:tabs>
              <w:spacing w:before="98"/>
              <w:rPr>
                <w:sz w:val="16"/>
                <w:szCs w:val="16"/>
              </w:rPr>
            </w:pPr>
            <w:r w:rsidRPr="00817C2F">
              <w:rPr>
                <w:color w:val="231F20"/>
                <w:sz w:val="16"/>
                <w:szCs w:val="16"/>
              </w:rPr>
              <w:t>16,700 ML (tier</w:t>
            </w:r>
            <w:r w:rsidRPr="00817C2F">
              <w:rPr>
                <w:color w:val="231F20"/>
                <w:spacing w:val="-12"/>
                <w:sz w:val="16"/>
                <w:szCs w:val="16"/>
              </w:rPr>
              <w:t xml:space="preserve"> </w:t>
            </w:r>
            <w:r w:rsidRPr="00817C2F">
              <w:rPr>
                <w:color w:val="231F20"/>
                <w:sz w:val="16"/>
                <w:szCs w:val="16"/>
              </w:rPr>
              <w:t>1b)</w:t>
            </w:r>
          </w:p>
        </w:tc>
      </w:tr>
      <w:tr w:rsidR="00817C2F" w:rsidTr="002840E5">
        <w:trPr>
          <w:trHeight w:val="1120"/>
        </w:trPr>
        <w:tc>
          <w:tcPr>
            <w:tcW w:w="2041" w:type="dxa"/>
          </w:tcPr>
          <w:p w:rsidR="00817C2F" w:rsidRPr="00817C2F" w:rsidRDefault="00817C2F" w:rsidP="00817C2F">
            <w:pPr>
              <w:pStyle w:val="TableParagraph"/>
              <w:spacing w:before="67" w:line="261" w:lineRule="auto"/>
              <w:ind w:left="85" w:right="716"/>
              <w:rPr>
                <w:sz w:val="16"/>
                <w:szCs w:val="16"/>
              </w:rPr>
            </w:pPr>
            <w:r w:rsidRPr="00817C2F">
              <w:rPr>
                <w:color w:val="231F20"/>
                <w:sz w:val="16"/>
                <w:szCs w:val="16"/>
              </w:rPr>
              <w:t>Priority carryover requirements</w:t>
            </w:r>
          </w:p>
        </w:tc>
        <w:tc>
          <w:tcPr>
            <w:tcW w:w="2041" w:type="dxa"/>
          </w:tcPr>
          <w:p w:rsidR="00817C2F" w:rsidRPr="00817C2F" w:rsidRDefault="00817C2F" w:rsidP="00817C2F">
            <w:pPr>
              <w:pStyle w:val="TableParagraph"/>
              <w:numPr>
                <w:ilvl w:val="0"/>
                <w:numId w:val="1047"/>
              </w:numPr>
              <w:tabs>
                <w:tab w:val="left" w:pos="305"/>
              </w:tabs>
              <w:spacing w:before="63"/>
              <w:rPr>
                <w:sz w:val="16"/>
                <w:szCs w:val="16"/>
              </w:rPr>
            </w:pPr>
            <w:r w:rsidRPr="00817C2F">
              <w:rPr>
                <w:color w:val="231F20"/>
                <w:sz w:val="16"/>
                <w:szCs w:val="16"/>
              </w:rPr>
              <w:t>Up to 250</w:t>
            </w:r>
            <w:r w:rsidRPr="00817C2F">
              <w:rPr>
                <w:color w:val="231F20"/>
                <w:spacing w:val="-3"/>
                <w:sz w:val="16"/>
                <w:szCs w:val="16"/>
              </w:rPr>
              <w:t xml:space="preserve"> </w:t>
            </w:r>
            <w:r w:rsidRPr="00817C2F">
              <w:rPr>
                <w:color w:val="231F20"/>
                <w:sz w:val="16"/>
                <w:szCs w:val="16"/>
              </w:rPr>
              <w:t>ML</w:t>
            </w:r>
          </w:p>
        </w:tc>
        <w:tc>
          <w:tcPr>
            <w:tcW w:w="6123" w:type="dxa"/>
            <w:gridSpan w:val="3"/>
          </w:tcPr>
          <w:p w:rsidR="00817C2F" w:rsidRPr="00817C2F" w:rsidRDefault="00817C2F" w:rsidP="00817C2F">
            <w:pPr>
              <w:pStyle w:val="TableParagraph"/>
              <w:numPr>
                <w:ilvl w:val="0"/>
                <w:numId w:val="1046"/>
              </w:numPr>
              <w:tabs>
                <w:tab w:val="left" w:pos="2635"/>
              </w:tabs>
              <w:spacing w:before="63"/>
              <w:ind w:hanging="218"/>
              <w:rPr>
                <w:sz w:val="16"/>
                <w:szCs w:val="16"/>
              </w:rPr>
            </w:pPr>
            <w:r w:rsidRPr="00817C2F">
              <w:rPr>
                <w:color w:val="231F20"/>
                <w:sz w:val="16"/>
                <w:szCs w:val="16"/>
              </w:rPr>
              <w:t>Up to 500</w:t>
            </w:r>
            <w:r w:rsidRPr="00817C2F">
              <w:rPr>
                <w:color w:val="231F20"/>
                <w:spacing w:val="-3"/>
                <w:sz w:val="16"/>
                <w:szCs w:val="16"/>
              </w:rPr>
              <w:t xml:space="preserve"> </w:t>
            </w:r>
            <w:r w:rsidRPr="00817C2F">
              <w:rPr>
                <w:color w:val="231F20"/>
                <w:sz w:val="16"/>
                <w:szCs w:val="16"/>
              </w:rPr>
              <w:t>ML</w:t>
            </w:r>
          </w:p>
        </w:tc>
      </w:tr>
    </w:tbl>
    <w:p w:rsidR="006A7A3F" w:rsidRDefault="006A7A3F">
      <w:pPr>
        <w:spacing w:line="254" w:lineRule="auto"/>
        <w:rPr>
          <w:sz w:val="18"/>
        </w:rPr>
        <w:sectPr w:rsidR="006A7A3F" w:rsidSect="00C92D74">
          <w:pgSz w:w="11910" w:h="16840"/>
          <w:pgMar w:top="1701" w:right="851" w:bottom="1134" w:left="851" w:header="720" w:footer="720" w:gutter="0"/>
          <w:cols w:space="720"/>
        </w:sectPr>
      </w:pPr>
    </w:p>
    <w:p w:rsidR="006A7A3F" w:rsidRDefault="006A7A3F">
      <w:pPr>
        <w:pStyle w:val="BodyText"/>
        <w:spacing w:before="4"/>
        <w:ind w:left="0"/>
        <w:rPr>
          <w:b/>
          <w:sz w:val="13"/>
        </w:rPr>
      </w:pPr>
    </w:p>
    <w:p w:rsidR="006A7A3F" w:rsidRDefault="00BC7372">
      <w:pPr>
        <w:pStyle w:val="Heading5"/>
        <w:numPr>
          <w:ilvl w:val="2"/>
          <w:numId w:val="1262"/>
        </w:numPr>
        <w:tabs>
          <w:tab w:val="left" w:pos="811"/>
        </w:tabs>
        <w:spacing w:before="52"/>
      </w:pPr>
      <w:r>
        <w:rPr>
          <w:color w:val="231F20"/>
        </w:rPr>
        <w:t>Lower Barwon wetlands</w:t>
      </w:r>
    </w:p>
    <w:p w:rsidR="006A7A3F" w:rsidRDefault="00BC7372">
      <w:pPr>
        <w:spacing w:before="228"/>
        <w:ind w:left="210"/>
        <w:rPr>
          <w:b/>
          <w:sz w:val="24"/>
        </w:rPr>
      </w:pPr>
      <w:r>
        <w:rPr>
          <w:b/>
          <w:color w:val="231F20"/>
          <w:sz w:val="24"/>
        </w:rPr>
        <w:t>System overview</w:t>
      </w:r>
    </w:p>
    <w:p w:rsidR="006A7A3F" w:rsidRDefault="00BC7372">
      <w:pPr>
        <w:pStyle w:val="Heading6"/>
        <w:spacing w:before="90" w:line="276" w:lineRule="auto"/>
        <w:ind w:right="413"/>
      </w:pPr>
      <w:r>
        <w:rPr>
          <w:color w:val="231F20"/>
        </w:rPr>
        <w:t xml:space="preserve">The estuarine reach of the Barwon River contains a system of wetlands and lakes including Lake Connewarre, Reedy Lake, Hospital Swamps, Salt Swamp and Murtnaghurt Lagoon. Water for the environment can be used to manage water levels in Reedy Lake and Hospital Swamps, which connect to the Barwon </w:t>
      </w:r>
      <w:r>
        <w:rPr>
          <w:color w:val="231F20"/>
          <w:spacing w:val="-3"/>
        </w:rPr>
        <w:t>River.</w:t>
      </w:r>
    </w:p>
    <w:p w:rsidR="006A7A3F" w:rsidRDefault="006A7A3F">
      <w:pPr>
        <w:pStyle w:val="BodyText"/>
        <w:spacing w:before="7"/>
        <w:ind w:left="0"/>
        <w:rPr>
          <w:sz w:val="21"/>
        </w:rPr>
      </w:pPr>
    </w:p>
    <w:p w:rsidR="006A7A3F" w:rsidRDefault="00BC7372">
      <w:pPr>
        <w:pStyle w:val="BodyText"/>
        <w:spacing w:before="0" w:line="249" w:lineRule="auto"/>
        <w:ind w:right="568"/>
        <w:jc w:val="both"/>
      </w:pPr>
      <w:r>
        <w:rPr>
          <w:color w:val="231F20"/>
        </w:rPr>
        <w:t>The environmental entitlement for the lower Barwon wetlands does not provide access to water held in storage. Instead, it allows water to be diverted from the Barwon River into Reedy Lake and Hospital Swamps when river levels</w:t>
      </w:r>
      <w:r>
        <w:rPr>
          <w:color w:val="231F20"/>
          <w:spacing w:val="-4"/>
        </w:rPr>
        <w:t xml:space="preserve"> </w:t>
      </w:r>
      <w:r>
        <w:rPr>
          <w:color w:val="231F20"/>
        </w:rPr>
        <w:t>are</w:t>
      </w:r>
      <w:r>
        <w:rPr>
          <w:color w:val="231F20"/>
          <w:spacing w:val="-3"/>
        </w:rPr>
        <w:t xml:space="preserve"> </w:t>
      </w:r>
      <w:r>
        <w:rPr>
          <w:color w:val="231F20"/>
        </w:rPr>
        <w:t>above</w:t>
      </w:r>
      <w:r>
        <w:rPr>
          <w:color w:val="231F20"/>
          <w:spacing w:val="-3"/>
        </w:rPr>
        <w:t xml:space="preserve"> </w:t>
      </w:r>
      <w:r>
        <w:rPr>
          <w:color w:val="231F20"/>
        </w:rPr>
        <w:t>0.7</w:t>
      </w:r>
      <w:r>
        <w:rPr>
          <w:color w:val="231F20"/>
          <w:spacing w:val="-4"/>
        </w:rPr>
        <w:t xml:space="preserve"> </w:t>
      </w:r>
      <w:r>
        <w:rPr>
          <w:color w:val="231F20"/>
        </w:rPr>
        <w:t>m</w:t>
      </w:r>
      <w:r>
        <w:rPr>
          <w:color w:val="231F20"/>
          <w:spacing w:val="-13"/>
        </w:rPr>
        <w:t xml:space="preserve"> </w:t>
      </w:r>
      <w:r>
        <w:rPr>
          <w:color w:val="231F20"/>
        </w:rPr>
        <w:t>AHD</w:t>
      </w:r>
      <w:r>
        <w:rPr>
          <w:color w:val="231F20"/>
          <w:spacing w:val="-2"/>
        </w:rPr>
        <w:t xml:space="preserve"> </w:t>
      </w:r>
      <w:r>
        <w:rPr>
          <w:color w:val="231F20"/>
        </w:rPr>
        <w:t>(Australian</w:t>
      </w:r>
      <w:r>
        <w:rPr>
          <w:color w:val="231F20"/>
          <w:spacing w:val="-2"/>
        </w:rPr>
        <w:t xml:space="preserve"> </w:t>
      </w:r>
      <w:r>
        <w:rPr>
          <w:color w:val="231F20"/>
        </w:rPr>
        <w:t>Height</w:t>
      </w:r>
      <w:r>
        <w:rPr>
          <w:color w:val="231F20"/>
          <w:spacing w:val="-3"/>
        </w:rPr>
        <w:t xml:space="preserve"> </w:t>
      </w:r>
      <w:r>
        <w:rPr>
          <w:color w:val="231F20"/>
        </w:rPr>
        <w:t>Datum).</w:t>
      </w:r>
      <w:r>
        <w:rPr>
          <w:color w:val="231F20"/>
          <w:spacing w:val="-4"/>
        </w:rPr>
        <w:t xml:space="preserve"> </w:t>
      </w:r>
      <w:r>
        <w:rPr>
          <w:color w:val="231F20"/>
        </w:rPr>
        <w:t>High</w:t>
      </w:r>
      <w:r>
        <w:rPr>
          <w:color w:val="231F20"/>
          <w:spacing w:val="-3"/>
        </w:rPr>
        <w:t xml:space="preserve"> </w:t>
      </w:r>
      <w:r>
        <w:rPr>
          <w:color w:val="231F20"/>
        </w:rPr>
        <w:t>water</w:t>
      </w:r>
      <w:r>
        <w:rPr>
          <w:color w:val="231F20"/>
          <w:spacing w:val="-3"/>
        </w:rPr>
        <w:t xml:space="preserve"> </w:t>
      </w:r>
      <w:r>
        <w:rPr>
          <w:color w:val="231F20"/>
        </w:rPr>
        <w:t>levels</w:t>
      </w:r>
      <w:r>
        <w:rPr>
          <w:color w:val="231F20"/>
          <w:spacing w:val="-4"/>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Barwon</w:t>
      </w:r>
      <w:r>
        <w:rPr>
          <w:color w:val="231F20"/>
          <w:spacing w:val="-3"/>
        </w:rPr>
        <w:t xml:space="preserve"> </w:t>
      </w:r>
      <w:r>
        <w:rPr>
          <w:color w:val="231F20"/>
        </w:rPr>
        <w:t>River</w:t>
      </w:r>
      <w:r>
        <w:rPr>
          <w:color w:val="231F20"/>
          <w:spacing w:val="-3"/>
        </w:rPr>
        <w:t xml:space="preserve"> </w:t>
      </w:r>
      <w:r>
        <w:rPr>
          <w:color w:val="231F20"/>
        </w:rPr>
        <w:t>can</w:t>
      </w:r>
      <w:r>
        <w:rPr>
          <w:color w:val="231F20"/>
          <w:spacing w:val="-2"/>
        </w:rPr>
        <w:t xml:space="preserve"> </w:t>
      </w:r>
      <w:r>
        <w:rPr>
          <w:color w:val="231F20"/>
        </w:rPr>
        <w:t>also</w:t>
      </w:r>
      <w:r>
        <w:rPr>
          <w:color w:val="231F20"/>
          <w:spacing w:val="-3"/>
        </w:rPr>
        <w:t xml:space="preserve"> </w:t>
      </w:r>
      <w:r>
        <w:rPr>
          <w:color w:val="231F20"/>
        </w:rPr>
        <w:t>result</w:t>
      </w:r>
      <w:r>
        <w:rPr>
          <w:color w:val="231F20"/>
          <w:spacing w:val="-3"/>
        </w:rPr>
        <w:t xml:space="preserve"> </w:t>
      </w:r>
      <w:r>
        <w:rPr>
          <w:color w:val="231F20"/>
        </w:rPr>
        <w:t>in natural wetting of the</w:t>
      </w:r>
      <w:r>
        <w:rPr>
          <w:color w:val="231F20"/>
          <w:spacing w:val="-4"/>
        </w:rPr>
        <w:t xml:space="preserve"> </w:t>
      </w:r>
      <w:r>
        <w:rPr>
          <w:color w:val="231F20"/>
        </w:rPr>
        <w:t>wetlands.</w:t>
      </w:r>
    </w:p>
    <w:p w:rsidR="006A7A3F" w:rsidRDefault="006A7A3F">
      <w:pPr>
        <w:pStyle w:val="BodyText"/>
        <w:spacing w:before="2"/>
        <w:ind w:left="0"/>
      </w:pPr>
    </w:p>
    <w:p w:rsidR="006A7A3F" w:rsidRDefault="00BC7372">
      <w:pPr>
        <w:pStyle w:val="Heading4"/>
      </w:pPr>
      <w:r>
        <w:rPr>
          <w:color w:val="231F20"/>
        </w:rPr>
        <w:t>Environmental values</w:t>
      </w:r>
    </w:p>
    <w:p w:rsidR="006A7A3F" w:rsidRDefault="00BC7372" w:rsidP="005E214D">
      <w:pPr>
        <w:pStyle w:val="BodyText"/>
        <w:spacing w:before="59" w:line="249" w:lineRule="auto"/>
        <w:ind w:right="330"/>
      </w:pPr>
      <w:r>
        <w:rPr>
          <w:color w:val="231F20"/>
        </w:rPr>
        <w:t>Reedy Lake and Hospital Swamps form part of the internationally-recognised Port Phillip Bay (Western Shoreline) and Bellarine Peninsula Ramsar site, which is used by many thousands of migratory birds from around the world.</w:t>
      </w:r>
      <w:r w:rsidR="005E214D">
        <w:t xml:space="preserve"> </w:t>
      </w:r>
      <w:r>
        <w:rPr>
          <w:color w:val="231F20"/>
        </w:rPr>
        <w:t>The wetlands support 47 known threatened plant and animal species and communities. These include some of Victoria’s rarest species (such as the brolga, orange bellied parrot, Australasian bittern, growling grass frog, Australian grayling and dwarf galaxias) and subtropical and temperate coastal saltmarsh communities.</w:t>
      </w:r>
    </w:p>
    <w:p w:rsidR="006A7A3F" w:rsidRDefault="00BC7372">
      <w:pPr>
        <w:pStyle w:val="BodyText"/>
        <w:spacing w:before="173" w:line="249" w:lineRule="auto"/>
        <w:ind w:right="457"/>
      </w:pPr>
      <w:r>
        <w:rPr>
          <w:color w:val="231F20"/>
        </w:rPr>
        <w:t>Reedy Lake supports a range of vegetation communities including coastal saltmarsh, herbfields and reed beds. Reedy Lake was a partly ephemeral system, but river regulation meant the lake was permanently wetted from the</w:t>
      </w:r>
      <w:r>
        <w:rPr>
          <w:color w:val="231F20"/>
          <w:spacing w:val="-4"/>
        </w:rPr>
        <w:t xml:space="preserve"> </w:t>
      </w:r>
      <w:r>
        <w:rPr>
          <w:color w:val="231F20"/>
        </w:rPr>
        <w:t>1970s</w:t>
      </w:r>
      <w:r>
        <w:rPr>
          <w:color w:val="231F20"/>
          <w:spacing w:val="-5"/>
        </w:rPr>
        <w:t xml:space="preserve"> </w:t>
      </w:r>
      <w:r>
        <w:rPr>
          <w:color w:val="231F20"/>
        </w:rPr>
        <w:t>until</w:t>
      </w:r>
      <w:r>
        <w:rPr>
          <w:color w:val="231F20"/>
          <w:spacing w:val="-4"/>
        </w:rPr>
        <w:t xml:space="preserve"> </w:t>
      </w:r>
      <w:r>
        <w:rPr>
          <w:color w:val="231F20"/>
        </w:rPr>
        <w:t>2016.</w:t>
      </w:r>
      <w:r>
        <w:rPr>
          <w:color w:val="231F20"/>
          <w:spacing w:val="-8"/>
        </w:rPr>
        <w:t xml:space="preserve"> </w:t>
      </w:r>
      <w:r>
        <w:rPr>
          <w:color w:val="231F20"/>
        </w:rPr>
        <w:t>This</w:t>
      </w:r>
      <w:r>
        <w:rPr>
          <w:color w:val="231F20"/>
          <w:spacing w:val="-3"/>
        </w:rPr>
        <w:t xml:space="preserve"> </w:t>
      </w:r>
      <w:r>
        <w:rPr>
          <w:color w:val="231F20"/>
        </w:rPr>
        <w:t>long-term</w:t>
      </w:r>
      <w:r>
        <w:rPr>
          <w:color w:val="231F20"/>
          <w:spacing w:val="-5"/>
        </w:rPr>
        <w:t xml:space="preserve"> </w:t>
      </w:r>
      <w:r>
        <w:rPr>
          <w:color w:val="231F20"/>
        </w:rPr>
        <w:t>wetting</w:t>
      </w:r>
      <w:r>
        <w:rPr>
          <w:color w:val="231F20"/>
          <w:spacing w:val="-4"/>
        </w:rPr>
        <w:t xml:space="preserve"> </w:t>
      </w:r>
      <w:r>
        <w:rPr>
          <w:color w:val="231F20"/>
        </w:rPr>
        <w:t>resulted</w:t>
      </w:r>
      <w:r>
        <w:rPr>
          <w:color w:val="231F20"/>
          <w:spacing w:val="-4"/>
        </w:rPr>
        <w:t xml:space="preserve"> </w:t>
      </w:r>
      <w:r>
        <w:rPr>
          <w:color w:val="231F20"/>
        </w:rPr>
        <w:t>in</w:t>
      </w:r>
      <w:r>
        <w:rPr>
          <w:color w:val="231F20"/>
          <w:spacing w:val="-5"/>
        </w:rPr>
        <w:t xml:space="preserve"> </w:t>
      </w:r>
      <w:r>
        <w:rPr>
          <w:color w:val="231F20"/>
        </w:rPr>
        <w:t>a</w:t>
      </w:r>
      <w:r>
        <w:rPr>
          <w:color w:val="231F20"/>
          <w:spacing w:val="-4"/>
        </w:rPr>
        <w:t xml:space="preserve"> </w:t>
      </w:r>
      <w:r>
        <w:rPr>
          <w:color w:val="231F20"/>
        </w:rPr>
        <w:t>decline</w:t>
      </w:r>
      <w:r>
        <w:rPr>
          <w:color w:val="231F20"/>
          <w:spacing w:val="-5"/>
        </w:rPr>
        <w:t xml:space="preserve"> </w:t>
      </w:r>
      <w:r>
        <w:rPr>
          <w:color w:val="231F20"/>
        </w:rPr>
        <w:t>in</w:t>
      </w:r>
      <w:r>
        <w:rPr>
          <w:color w:val="231F20"/>
          <w:spacing w:val="-4"/>
        </w:rPr>
        <w:t xml:space="preserve"> </w:t>
      </w:r>
      <w:r>
        <w:rPr>
          <w:color w:val="231F20"/>
        </w:rPr>
        <w:t>biodiversity.</w:t>
      </w:r>
      <w:r>
        <w:rPr>
          <w:color w:val="231F20"/>
          <w:spacing w:val="-8"/>
        </w:rPr>
        <w:t xml:space="preserve"> </w:t>
      </w:r>
      <w:r>
        <w:rPr>
          <w:color w:val="231F20"/>
        </w:rPr>
        <w:t>The</w:t>
      </w:r>
      <w:r>
        <w:rPr>
          <w:color w:val="231F20"/>
          <w:spacing w:val="-3"/>
        </w:rPr>
        <w:t xml:space="preserve"> </w:t>
      </w:r>
      <w:r>
        <w:rPr>
          <w:color w:val="231F20"/>
        </w:rPr>
        <w:t>full</w:t>
      </w:r>
      <w:r>
        <w:rPr>
          <w:color w:val="231F20"/>
          <w:spacing w:val="-4"/>
        </w:rPr>
        <w:t xml:space="preserve"> </w:t>
      </w:r>
      <w:r>
        <w:rPr>
          <w:color w:val="231F20"/>
        </w:rPr>
        <w:t>water</w:t>
      </w:r>
      <w:r>
        <w:rPr>
          <w:color w:val="231F20"/>
          <w:spacing w:val="-5"/>
        </w:rPr>
        <w:t xml:space="preserve"> </w:t>
      </w:r>
      <w:r>
        <w:rPr>
          <w:color w:val="231F20"/>
        </w:rPr>
        <w:t>levels</w:t>
      </w:r>
      <w:r>
        <w:rPr>
          <w:color w:val="231F20"/>
          <w:spacing w:val="-4"/>
        </w:rPr>
        <w:t xml:space="preserve"> </w:t>
      </w:r>
      <w:r>
        <w:rPr>
          <w:color w:val="231F20"/>
        </w:rPr>
        <w:t>reduced</w:t>
      </w:r>
      <w:r>
        <w:rPr>
          <w:color w:val="231F20"/>
          <w:spacing w:val="-4"/>
        </w:rPr>
        <w:t xml:space="preserve"> </w:t>
      </w:r>
      <w:r>
        <w:rPr>
          <w:color w:val="231F20"/>
        </w:rPr>
        <w:t>the extent and diversity of vegetation communities including coastal saltmarsh, and they reduced the availability of shallow wading habitat which in turn has resulted in lower waterbird</w:t>
      </w:r>
      <w:r>
        <w:rPr>
          <w:color w:val="231F20"/>
          <w:spacing w:val="-12"/>
        </w:rPr>
        <w:t xml:space="preserve"> </w:t>
      </w:r>
      <w:r>
        <w:rPr>
          <w:color w:val="231F20"/>
          <w:spacing w:val="-3"/>
        </w:rPr>
        <w:t>diversity.</w:t>
      </w:r>
    </w:p>
    <w:p w:rsidR="006A7A3F" w:rsidRDefault="00BC7372">
      <w:pPr>
        <w:pStyle w:val="BodyText"/>
        <w:spacing w:before="174" w:line="249" w:lineRule="auto"/>
        <w:ind w:right="196"/>
      </w:pPr>
      <w:r>
        <w:rPr>
          <w:color w:val="231F20"/>
        </w:rPr>
        <w:t>In 2016–17, Corangamite CMA and the VEWH implemented a four-year watering regime trial at Reedy Lake to reinstate a more natural wetting and drying cycle. The 2019–20 water year was the final year of the trial — three years of partial drying and one year completely full — and a review of the recommended regime is currently underway. The recommendations from the review will inform the 2020–21 watering actions and determine future directions. The lower Barwon wetlands section of the seasonal watering plan will be updated by September 2020 to reflect the review’s recommendations.</w:t>
      </w:r>
    </w:p>
    <w:p w:rsidR="006A7A3F" w:rsidRDefault="00BC7372" w:rsidP="005E214D">
      <w:pPr>
        <w:pStyle w:val="BodyText"/>
        <w:spacing w:before="175" w:line="249" w:lineRule="auto"/>
        <w:ind w:right="585"/>
      </w:pPr>
      <w:r>
        <w:rPr>
          <w:color w:val="231F20"/>
        </w:rPr>
        <w:t>Hospital Swamps is made up of five wetland basins that support important ecological processes and significant ecological values including large areas of threatened coastal saltmarsh and diverse waterbird communities.</w:t>
      </w:r>
      <w:r w:rsidR="005E214D">
        <w:t xml:space="preserve"> </w:t>
      </w:r>
      <w:r>
        <w:rPr>
          <w:color w:val="231F20"/>
        </w:rPr>
        <w:t>Vegetation communities in Hospital Swamps have remained largely unchanged over time due to the maintenance of natural wetting and drying cycles.</w:t>
      </w:r>
    </w:p>
    <w:p w:rsidR="00622D11" w:rsidRDefault="00622D11">
      <w:pPr>
        <w:rPr>
          <w:sz w:val="20"/>
          <w:szCs w:val="20"/>
        </w:rPr>
      </w:pPr>
      <w:r>
        <w:rPr>
          <w:b/>
          <w:bCs/>
          <w:sz w:val="20"/>
          <w:szCs w:val="20"/>
        </w:rPr>
        <w:br w:type="page"/>
      </w:r>
    </w:p>
    <w:p w:rsidR="006A7A3F" w:rsidRDefault="00BC7372" w:rsidP="00622D11">
      <w:pPr>
        <w:pStyle w:val="Heading4"/>
        <w:spacing w:before="1" w:after="120"/>
      </w:pPr>
      <w:r>
        <w:rPr>
          <w:color w:val="231F20"/>
        </w:rPr>
        <w:t>Environmental watering objectives in the lower Barwon wetlands</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160"/>
        </w:trPr>
        <w:tc>
          <w:tcPr>
            <w:tcW w:w="789" w:type="dxa"/>
            <w:tcBorders>
              <w:bottom w:val="single" w:sz="8" w:space="0" w:color="FFFFFF"/>
            </w:tcBorders>
            <w:shd w:val="clear" w:color="auto" w:fill="E6E7E8"/>
          </w:tcPr>
          <w:p w:rsidR="006A7A3F" w:rsidRDefault="006A7A3F">
            <w:pPr>
              <w:pStyle w:val="TableParagraph"/>
              <w:spacing w:before="10"/>
              <w:ind w:left="0"/>
              <w:rPr>
                <w:b/>
                <w:sz w:val="28"/>
              </w:rPr>
            </w:pPr>
          </w:p>
          <w:p w:rsidR="006A7A3F" w:rsidRDefault="00BC7372">
            <w:pPr>
              <w:pStyle w:val="TableParagraph"/>
              <w:ind w:left="178"/>
              <w:rPr>
                <w:sz w:val="20"/>
              </w:rPr>
            </w:pPr>
            <w:r>
              <w:rPr>
                <w:noProof/>
                <w:sz w:val="20"/>
              </w:rPr>
              <w:drawing>
                <wp:inline distT="0" distB="0" distL="0" distR="0">
                  <wp:extent cx="314168" cy="310896"/>
                  <wp:effectExtent l="0" t="0" r="0" b="0"/>
                  <wp:docPr id="683"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29" w:line="261" w:lineRule="auto"/>
              <w:ind w:left="118" w:right="154"/>
              <w:rPr>
                <w:sz w:val="16"/>
              </w:rPr>
            </w:pPr>
            <w:r>
              <w:rPr>
                <w:color w:val="231F20"/>
                <w:sz w:val="16"/>
              </w:rPr>
              <w:t>Provide habitat for fish breeding and growth and improved conditions for migration and dispersal, when wetlands are connected to the Barwon River</w:t>
            </w:r>
          </w:p>
          <w:p w:rsidR="006A7A3F" w:rsidRDefault="00BC7372">
            <w:pPr>
              <w:pStyle w:val="TableParagraph"/>
              <w:spacing w:before="112"/>
              <w:ind w:left="118"/>
              <w:rPr>
                <w:sz w:val="16"/>
              </w:rPr>
            </w:pPr>
            <w:r>
              <w:rPr>
                <w:color w:val="231F20"/>
                <w:sz w:val="16"/>
              </w:rPr>
              <w:t>Reduce carp populations</w:t>
            </w:r>
          </w:p>
        </w:tc>
      </w:tr>
      <w:tr w:rsidR="006A7A3F">
        <w:trPr>
          <w:trHeight w:val="155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spacing w:before="5"/>
              <w:ind w:left="0"/>
              <w:rPr>
                <w:b/>
                <w:sz w:val="25"/>
              </w:rPr>
            </w:pPr>
          </w:p>
          <w:p w:rsidR="006A7A3F" w:rsidRDefault="00BC7372">
            <w:pPr>
              <w:pStyle w:val="TableParagraph"/>
              <w:ind w:left="179"/>
              <w:rPr>
                <w:sz w:val="20"/>
              </w:rPr>
            </w:pPr>
            <w:r>
              <w:rPr>
                <w:noProof/>
                <w:sz w:val="20"/>
              </w:rPr>
              <w:drawing>
                <wp:inline distT="0" distB="0" distL="0" distR="0">
                  <wp:extent cx="315596" cy="313944"/>
                  <wp:effectExtent l="0" t="0" r="0" b="0"/>
                  <wp:docPr id="685"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6.jpeg"/>
                          <pic:cNvPicPr/>
                        </pic:nvPicPr>
                        <pic:blipFill>
                          <a:blip r:embed="rId48" cstate="print"/>
                          <a:stretch>
                            <a:fillRect/>
                          </a:stretch>
                        </pic:blipFill>
                        <pic:spPr>
                          <a:xfrm>
                            <a:off x="0" y="0"/>
                            <a:ext cx="315596" cy="313944"/>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82"/>
              <w:rPr>
                <w:sz w:val="16"/>
              </w:rPr>
            </w:pPr>
            <w:r>
              <w:rPr>
                <w:color w:val="231F20"/>
                <w:sz w:val="16"/>
              </w:rPr>
              <w:t>Provide varying water levels and conditions to promote soil salinisation, to support the persistence and growth of threatened salt-dependent ecological vegetation communities</w:t>
            </w:r>
          </w:p>
          <w:p w:rsidR="006A7A3F" w:rsidRDefault="00BC7372">
            <w:pPr>
              <w:pStyle w:val="TableParagraph"/>
              <w:spacing w:before="111" w:line="261" w:lineRule="auto"/>
              <w:ind w:left="118" w:right="269"/>
              <w:rPr>
                <w:sz w:val="16"/>
              </w:rPr>
            </w:pPr>
            <w:r>
              <w:rPr>
                <w:color w:val="231F20"/>
                <w:sz w:val="16"/>
              </w:rPr>
              <w:t>Improve soil health and enable the weathering of heavy metals in vegetation fringe soils</w:t>
            </w:r>
          </w:p>
        </w:tc>
      </w:tr>
      <w:tr w:rsidR="006A7A3F">
        <w:trPr>
          <w:trHeight w:val="2063"/>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8" w:after="1"/>
              <w:ind w:left="0"/>
              <w:rPr>
                <w:b/>
                <w:sz w:val="27"/>
              </w:rPr>
            </w:pPr>
          </w:p>
          <w:p w:rsidR="006A7A3F" w:rsidRDefault="00BC7372">
            <w:pPr>
              <w:pStyle w:val="TableParagraph"/>
              <w:ind w:left="178"/>
              <w:rPr>
                <w:sz w:val="20"/>
              </w:rPr>
            </w:pPr>
            <w:r>
              <w:rPr>
                <w:noProof/>
                <w:sz w:val="20"/>
              </w:rPr>
              <w:drawing>
                <wp:inline distT="0" distB="0" distL="0" distR="0">
                  <wp:extent cx="314175" cy="310896"/>
                  <wp:effectExtent l="0" t="0" r="0" b="0"/>
                  <wp:docPr id="687"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21.jpeg"/>
                          <pic:cNvPicPr/>
                        </pic:nvPicPr>
                        <pic:blipFill>
                          <a:blip r:embed="rId33"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510"/>
              <w:jc w:val="both"/>
              <w:rPr>
                <w:sz w:val="16"/>
              </w:rPr>
            </w:pPr>
            <w:r>
              <w:rPr>
                <w:color w:val="231F20"/>
                <w:sz w:val="16"/>
              </w:rPr>
              <w:t>Increase the diversity of ecological vegetation communities in the wetlands and improve the recruitment of aquatic vegetation</w:t>
            </w:r>
          </w:p>
          <w:p w:rsidR="006A7A3F" w:rsidRDefault="00BC7372">
            <w:pPr>
              <w:pStyle w:val="TableParagraph"/>
              <w:spacing w:before="112" w:line="261" w:lineRule="auto"/>
              <w:ind w:left="118" w:right="670"/>
              <w:rPr>
                <w:sz w:val="16"/>
              </w:rPr>
            </w:pPr>
            <w:r>
              <w:rPr>
                <w:color w:val="231F20"/>
                <w:sz w:val="16"/>
              </w:rPr>
              <w:t>Increase the growth and extent of coastal saltmarsh, herbfields and lignum shrubland ecological vegetation communities</w:t>
            </w:r>
          </w:p>
          <w:p w:rsidR="006A7A3F" w:rsidRDefault="00BC7372">
            <w:pPr>
              <w:pStyle w:val="TableParagraph"/>
              <w:spacing w:before="111" w:line="261" w:lineRule="auto"/>
              <w:ind w:left="118"/>
              <w:rPr>
                <w:sz w:val="16"/>
              </w:rPr>
            </w:pPr>
            <w:r>
              <w:rPr>
                <w:color w:val="231F20"/>
                <w:sz w:val="16"/>
              </w:rPr>
              <w:t>Reduce tall reed extent and increase open water habitat</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3"/>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68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7"/>
              </w:rPr>
            </w:pPr>
          </w:p>
          <w:p w:rsidR="006A7A3F" w:rsidRDefault="00BC7372">
            <w:pPr>
              <w:pStyle w:val="TableParagraph"/>
              <w:spacing w:line="261" w:lineRule="auto"/>
              <w:ind w:left="118" w:right="127"/>
              <w:rPr>
                <w:sz w:val="16"/>
              </w:rPr>
            </w:pPr>
            <w:r>
              <w:rPr>
                <w:color w:val="231F20"/>
                <w:sz w:val="16"/>
              </w:rPr>
              <w:t>Maintain and improve the waterbug population and its biomass</w:t>
            </w:r>
          </w:p>
        </w:tc>
      </w:tr>
      <w:tr w:rsidR="006A7A3F">
        <w:trPr>
          <w:trHeight w:val="1663"/>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4"/>
              <w:ind w:left="0"/>
              <w:rPr>
                <w:b/>
                <w:sz w:val="10"/>
              </w:rPr>
            </w:pPr>
          </w:p>
          <w:p w:rsidR="006A7A3F" w:rsidRDefault="00BC7372">
            <w:pPr>
              <w:pStyle w:val="TableParagraph"/>
              <w:ind w:left="178"/>
              <w:rPr>
                <w:sz w:val="20"/>
              </w:rPr>
            </w:pPr>
            <w:r>
              <w:rPr>
                <w:noProof/>
                <w:sz w:val="20"/>
              </w:rPr>
              <w:drawing>
                <wp:inline distT="0" distB="0" distL="0" distR="0">
                  <wp:extent cx="314168" cy="310896"/>
                  <wp:effectExtent l="0" t="0" r="0" b="0"/>
                  <wp:docPr id="69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741"/>
              <w:rPr>
                <w:sz w:val="16"/>
              </w:rPr>
            </w:pPr>
            <w:r>
              <w:rPr>
                <w:color w:val="231F20"/>
                <w:sz w:val="16"/>
              </w:rPr>
              <w:t>Maintain nutrient cycling and improve lake productivity</w:t>
            </w:r>
          </w:p>
          <w:p w:rsidR="006A7A3F" w:rsidRDefault="00BC7372">
            <w:pPr>
              <w:pStyle w:val="TableParagraph"/>
              <w:spacing w:before="112" w:line="261" w:lineRule="auto"/>
              <w:ind w:left="118" w:right="341"/>
              <w:rPr>
                <w:sz w:val="16"/>
              </w:rPr>
            </w:pPr>
            <w:r>
              <w:rPr>
                <w:color w:val="231F20"/>
                <w:sz w:val="16"/>
              </w:rPr>
              <w:t>Provide flushing inflows to remove accumulated salts</w:t>
            </w:r>
          </w:p>
          <w:p w:rsidR="006A7A3F" w:rsidRDefault="00BC7372">
            <w:pPr>
              <w:pStyle w:val="TableParagraph"/>
              <w:spacing w:before="112" w:line="261" w:lineRule="auto"/>
              <w:ind w:left="118" w:right="866"/>
              <w:rPr>
                <w:sz w:val="16"/>
              </w:rPr>
            </w:pPr>
            <w:r>
              <w:rPr>
                <w:color w:val="231F20"/>
                <w:sz w:val="16"/>
              </w:rPr>
              <w:t>Maintain surface water and groundwater interactions</w:t>
            </w:r>
          </w:p>
        </w:tc>
      </w:tr>
      <w:tr w:rsidR="006A7A3F">
        <w:trPr>
          <w:trHeight w:val="135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spacing w:before="8"/>
              <w:ind w:left="0"/>
              <w:rPr>
                <w:b/>
                <w:sz w:val="16"/>
              </w:rPr>
            </w:pPr>
          </w:p>
          <w:p w:rsidR="006A7A3F" w:rsidRDefault="00BC7372">
            <w:pPr>
              <w:pStyle w:val="TableParagraph"/>
              <w:ind w:left="178"/>
              <w:rPr>
                <w:sz w:val="20"/>
              </w:rPr>
            </w:pPr>
            <w:r>
              <w:rPr>
                <w:noProof/>
                <w:sz w:val="20"/>
              </w:rPr>
              <w:drawing>
                <wp:inline distT="0" distB="0" distL="0" distR="0">
                  <wp:extent cx="314168" cy="310896"/>
                  <wp:effectExtent l="0" t="0" r="0" b="0"/>
                  <wp:docPr id="693"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264"/>
              <w:jc w:val="both"/>
              <w:rPr>
                <w:sz w:val="16"/>
              </w:rPr>
            </w:pPr>
            <w:r>
              <w:rPr>
                <w:color w:val="231F20"/>
                <w:sz w:val="16"/>
              </w:rPr>
              <w:t>Provide suitable feeding and breeding habitat for waterbirds, including mud flats and shallow</w:t>
            </w:r>
            <w:r>
              <w:rPr>
                <w:color w:val="231F20"/>
                <w:spacing w:val="-26"/>
                <w:sz w:val="16"/>
              </w:rPr>
              <w:t xml:space="preserve"> </w:t>
            </w:r>
            <w:r>
              <w:rPr>
                <w:color w:val="231F20"/>
                <w:sz w:val="16"/>
              </w:rPr>
              <w:t>water for wading birds, flooded vegetation and wetland fringes</w:t>
            </w:r>
          </w:p>
          <w:p w:rsidR="006A7A3F" w:rsidRDefault="00BC7372">
            <w:pPr>
              <w:pStyle w:val="TableParagraph"/>
              <w:spacing w:before="111"/>
              <w:ind w:left="118"/>
              <w:jc w:val="both"/>
              <w:rPr>
                <w:sz w:val="16"/>
              </w:rPr>
            </w:pPr>
            <w:r>
              <w:rPr>
                <w:color w:val="231F20"/>
                <w:sz w:val="16"/>
              </w:rPr>
              <w:t>Maintain and increase waterbird breeding events</w:t>
            </w:r>
          </w:p>
        </w:tc>
      </w:tr>
    </w:tbl>
    <w:p w:rsidR="006A7A3F" w:rsidRDefault="006A7A3F">
      <w:pPr>
        <w:pStyle w:val="BodyText"/>
        <w:spacing w:before="10"/>
        <w:ind w:left="0"/>
        <w:rPr>
          <w:b/>
          <w:sz w:val="8"/>
        </w:rPr>
      </w:pPr>
    </w:p>
    <w:p w:rsidR="006A7A3F" w:rsidRDefault="00BC7372">
      <w:pPr>
        <w:spacing w:before="92"/>
        <w:ind w:left="210"/>
        <w:rPr>
          <w:b/>
          <w:sz w:val="24"/>
        </w:rPr>
      </w:pPr>
      <w:r>
        <w:rPr>
          <w:b/>
          <w:color w:val="231F20"/>
          <w:sz w:val="24"/>
        </w:rPr>
        <w:t>Traditional Owner cultural values and uses</w:t>
      </w:r>
    </w:p>
    <w:p w:rsidR="006A7A3F" w:rsidRDefault="00BC7372">
      <w:pPr>
        <w:pStyle w:val="BodyText"/>
        <w:spacing w:before="58" w:line="249" w:lineRule="auto"/>
        <w:ind w:right="174"/>
      </w:pPr>
      <w:r>
        <w:rPr>
          <w:color w:val="231F20"/>
        </w:rPr>
        <w:t>Corangamite CMA worked with Wadawurrung Traditional Owners during the development of environmental watering plans for the lower Barwon wetlands, as part of an ongoing conversation to ensure Wadawurrung knowledge and culture is incorporated into decision-making, and that watering requirements for culturally-significant species are maintained.</w:t>
      </w:r>
    </w:p>
    <w:p w:rsidR="006A7A3F" w:rsidRDefault="00BC7372">
      <w:pPr>
        <w:pStyle w:val="BodyText"/>
        <w:spacing w:before="174" w:line="249" w:lineRule="auto"/>
        <w:ind w:right="100"/>
      </w:pPr>
      <w:r>
        <w:rPr>
          <w:color w:val="231F20"/>
        </w:rPr>
        <w:t>As part of this partnership, the Wadawurrung have identified cultural values which are applicable to all waterways within Wadawurrung Country. Values that have been identified in the lower Barwon wetlands include:</w:t>
      </w:r>
    </w:p>
    <w:p w:rsidR="006A7A3F" w:rsidRDefault="00BC7372" w:rsidP="009B6917">
      <w:pPr>
        <w:pStyle w:val="ListParagraph"/>
        <w:numPr>
          <w:ilvl w:val="0"/>
          <w:numId w:val="1419"/>
        </w:numPr>
        <w:tabs>
          <w:tab w:val="left" w:pos="493"/>
          <w:tab w:val="left" w:pos="494"/>
        </w:tabs>
        <w:spacing w:before="115" w:line="249" w:lineRule="auto"/>
        <w:ind w:right="198"/>
        <w:rPr>
          <w:sz w:val="20"/>
        </w:rPr>
      </w:pPr>
      <w:r>
        <w:rPr>
          <w:color w:val="231F20"/>
          <w:sz w:val="20"/>
        </w:rPr>
        <w:t xml:space="preserve">culturally significant wetland species, such as Porronggitj (brolga), </w:t>
      </w:r>
      <w:r>
        <w:rPr>
          <w:color w:val="231F20"/>
          <w:spacing w:val="-5"/>
          <w:sz w:val="20"/>
        </w:rPr>
        <w:t xml:space="preserve">Toolim </w:t>
      </w:r>
      <w:r>
        <w:rPr>
          <w:color w:val="231F20"/>
          <w:sz w:val="20"/>
        </w:rPr>
        <w:t xml:space="preserve">(black duck), Kunuwarra (black swan), Buniya (eel), </w:t>
      </w:r>
      <w:r>
        <w:rPr>
          <w:color w:val="231F20"/>
          <w:spacing w:val="-7"/>
          <w:sz w:val="20"/>
        </w:rPr>
        <w:t xml:space="preserve">Tark </w:t>
      </w:r>
      <w:r>
        <w:rPr>
          <w:color w:val="231F20"/>
          <w:sz w:val="20"/>
        </w:rPr>
        <w:t>(common reed) and Bal-yan (bull</w:t>
      </w:r>
      <w:r>
        <w:rPr>
          <w:color w:val="231F20"/>
          <w:spacing w:val="1"/>
          <w:sz w:val="20"/>
        </w:rPr>
        <w:t xml:space="preserve"> </w:t>
      </w:r>
      <w:r>
        <w:rPr>
          <w:color w:val="231F20"/>
          <w:sz w:val="20"/>
        </w:rPr>
        <w:t>rush)</w:t>
      </w:r>
    </w:p>
    <w:p w:rsidR="006A7A3F" w:rsidRDefault="00BC7372" w:rsidP="009B6917">
      <w:pPr>
        <w:pStyle w:val="ListParagraph"/>
        <w:numPr>
          <w:ilvl w:val="0"/>
          <w:numId w:val="1419"/>
        </w:numPr>
        <w:tabs>
          <w:tab w:val="left" w:pos="493"/>
          <w:tab w:val="left" w:pos="494"/>
        </w:tabs>
        <w:spacing w:before="86"/>
        <w:ind w:hanging="281"/>
        <w:rPr>
          <w:sz w:val="20"/>
        </w:rPr>
      </w:pPr>
      <w:r>
        <w:rPr>
          <w:color w:val="231F20"/>
          <w:sz w:val="20"/>
        </w:rPr>
        <w:t>recognition of wetlands as meeting, ceremony and trade</w:t>
      </w:r>
      <w:r>
        <w:rPr>
          <w:color w:val="231F20"/>
          <w:spacing w:val="-6"/>
          <w:sz w:val="20"/>
        </w:rPr>
        <w:t xml:space="preserve"> </w:t>
      </w:r>
      <w:r>
        <w:rPr>
          <w:color w:val="231F20"/>
          <w:sz w:val="20"/>
        </w:rPr>
        <w:t>places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maintaining access to culturally important story places and ceremonial</w:t>
      </w:r>
      <w:r>
        <w:rPr>
          <w:color w:val="231F20"/>
          <w:spacing w:val="-8"/>
          <w:sz w:val="20"/>
        </w:rPr>
        <w:t xml:space="preserve"> </w:t>
      </w:r>
      <w:r>
        <w:rPr>
          <w:color w:val="231F20"/>
          <w:sz w:val="20"/>
        </w:rPr>
        <w:t>places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protection of artefact</w:t>
      </w:r>
      <w:r>
        <w:rPr>
          <w:color w:val="231F20"/>
          <w:spacing w:val="-4"/>
          <w:sz w:val="20"/>
        </w:rPr>
        <w:t xml:space="preserve"> </w:t>
      </w:r>
      <w:r>
        <w:rPr>
          <w:color w:val="231F20"/>
          <w:sz w:val="20"/>
        </w:rPr>
        <w:t>sites.</w:t>
      </w:r>
    </w:p>
    <w:p w:rsidR="00622D11" w:rsidRDefault="00622D11">
      <w:pPr>
        <w:rPr>
          <w:sz w:val="20"/>
          <w:szCs w:val="20"/>
        </w:rPr>
      </w:pPr>
      <w:r>
        <w:rPr>
          <w:b/>
          <w:bCs/>
          <w:sz w:val="20"/>
          <w:szCs w:val="20"/>
        </w:rPr>
        <w:br w:type="page"/>
      </w:r>
    </w:p>
    <w:p w:rsidR="006A7A3F" w:rsidRDefault="00BC7372">
      <w:pPr>
        <w:pStyle w:val="Heading4"/>
        <w:spacing w:before="1"/>
      </w:pPr>
      <w:r>
        <w:rPr>
          <w:color w:val="231F20"/>
        </w:rPr>
        <w:t>Social, recreational and economic values and uses</w:t>
      </w:r>
    </w:p>
    <w:p w:rsidR="006A7A3F" w:rsidRDefault="00BC7372">
      <w:pPr>
        <w:pStyle w:val="BodyText"/>
        <w:spacing w:before="58" w:line="249" w:lineRule="auto"/>
        <w:ind w:right="100"/>
      </w:pPr>
      <w:r>
        <w:rPr>
          <w:color w:val="231F20"/>
        </w:rPr>
        <w:t>In planning the potential watering actions in Table 3.7.3, Corangamite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fishing and duck</w:t>
      </w:r>
      <w:r>
        <w:rPr>
          <w:color w:val="231F20"/>
          <w:spacing w:val="-6"/>
          <w:sz w:val="20"/>
        </w:rPr>
        <w:t xml:space="preserve"> </w:t>
      </w:r>
      <w:r>
        <w:rPr>
          <w:color w:val="231F20"/>
          <w:sz w:val="20"/>
        </w:rPr>
        <w:t>hunting)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birdwatching and spending time</w:t>
      </w:r>
      <w:r>
        <w:rPr>
          <w:color w:val="231F20"/>
          <w:spacing w:val="-11"/>
          <w:sz w:val="20"/>
        </w:rPr>
        <w:t xml:space="preserve"> </w:t>
      </w:r>
      <w:r>
        <w:rPr>
          <w:color w:val="231F20"/>
          <w:sz w:val="20"/>
        </w:rPr>
        <w:t>outdoors)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commercial</w:t>
      </w:r>
      <w:r>
        <w:rPr>
          <w:color w:val="231F20"/>
          <w:spacing w:val="-3"/>
          <w:sz w:val="20"/>
        </w:rPr>
        <w:t xml:space="preserve"> </w:t>
      </w:r>
      <w:r>
        <w:rPr>
          <w:color w:val="231F20"/>
          <w:sz w:val="20"/>
        </w:rPr>
        <w:t>fishing).</w:t>
      </w:r>
    </w:p>
    <w:p w:rsidR="006A7A3F" w:rsidRDefault="006A7A3F">
      <w:pPr>
        <w:pStyle w:val="BodyText"/>
        <w:spacing w:before="9"/>
        <w:ind w:left="0"/>
      </w:pPr>
    </w:p>
    <w:p w:rsidR="006A7A3F" w:rsidRDefault="00BC7372">
      <w:pPr>
        <w:pStyle w:val="Heading4"/>
      </w:pPr>
      <w:r>
        <w:rPr>
          <w:color w:val="231F20"/>
        </w:rPr>
        <w:t>Recent conditions</w:t>
      </w:r>
    </w:p>
    <w:p w:rsidR="006A7A3F" w:rsidRDefault="00BC7372">
      <w:pPr>
        <w:pStyle w:val="BodyText"/>
        <w:spacing w:before="70" w:line="249" w:lineRule="auto"/>
        <w:ind w:right="375"/>
      </w:pPr>
      <w:r>
        <w:rPr>
          <w:color w:val="231F20"/>
        </w:rPr>
        <w:t>Rainfall across the lower Barwon River catchment in 2019–20 was close to the long-term average. High rainfall in winter 2019 and in late summer to autumn 2020 contributed high flows in the river and delivered water to Reedy Lake and Hospital Swamps.</w:t>
      </w:r>
    </w:p>
    <w:p w:rsidR="006A7A3F" w:rsidRDefault="00BC7372">
      <w:pPr>
        <w:pStyle w:val="BodyText"/>
        <w:spacing w:before="173" w:line="249" w:lineRule="auto"/>
        <w:ind w:right="263"/>
      </w:pPr>
      <w:r>
        <w:rPr>
          <w:color w:val="231F20"/>
        </w:rPr>
        <w:t>Water levels in Reedy Lake varied between 0.6 m and 1.0 m AHD throughout 2019–20. This followed three successive years of managed partial drying, where the lake was filled in winter and then allowed to draw down during summer and autumn. Monitoring at Reedy Lake over the last four years indicates the drying regime has improved the diversity of vegetation, increased species richness of brackish aquatic herbland plants and increased the abundance of waterbirds including Australasian bitterns and magpie geese.</w:t>
      </w:r>
    </w:p>
    <w:p w:rsidR="006A7A3F" w:rsidRDefault="00BC7372">
      <w:pPr>
        <w:pStyle w:val="BodyText"/>
        <w:spacing w:before="174"/>
      </w:pPr>
      <w:r>
        <w:rPr>
          <w:color w:val="231F20"/>
        </w:rPr>
        <w:t>In 2019–20, Hospital Swamps was filled in winter and then drawn down to 0.3 m AHD over summer.</w:t>
      </w:r>
    </w:p>
    <w:p w:rsidR="006A7A3F" w:rsidRDefault="006A7A3F">
      <w:pPr>
        <w:pStyle w:val="BodyText"/>
        <w:spacing w:before="9"/>
        <w:ind w:left="0"/>
      </w:pPr>
    </w:p>
    <w:p w:rsidR="006A7A3F" w:rsidRDefault="00BC7372">
      <w:pPr>
        <w:pStyle w:val="Heading4"/>
      </w:pPr>
      <w:r>
        <w:rPr>
          <w:color w:val="231F20"/>
        </w:rPr>
        <w:t>Scope of environmental watering</w:t>
      </w:r>
    </w:p>
    <w:p w:rsidR="006A7A3F" w:rsidRDefault="00BC7372">
      <w:pPr>
        <w:pStyle w:val="BodyText"/>
        <w:spacing w:before="59" w:line="249" w:lineRule="auto"/>
        <w:ind w:right="251"/>
      </w:pPr>
      <w:r>
        <w:rPr>
          <w:color w:val="231F20"/>
        </w:rPr>
        <w:t>Table 3.7.3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0"/>
        </w:rPr>
      </w:pPr>
      <w:r>
        <w:rPr>
          <w:b/>
          <w:color w:val="231F20"/>
          <w:sz w:val="18"/>
        </w:rPr>
        <w:t>Table 3.7.3 Potential environmental watering actions and objectives for the lower Barwon wetlands</w:t>
      </w:r>
      <w:r>
        <w:rPr>
          <w:b/>
          <w:color w:val="231F20"/>
          <w:position w:val="6"/>
          <w:sz w:val="10"/>
        </w:rPr>
        <w:t>1</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trPr>
          <w:trHeight w:val="333"/>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b/>
                <w:sz w:val="16"/>
              </w:rPr>
            </w:pPr>
            <w:r>
              <w:rPr>
                <w:b/>
                <w:color w:val="231F20"/>
                <w:sz w:val="16"/>
              </w:rPr>
              <w:t>Reedy Lake</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69"/>
              <w:rPr>
                <w:sz w:val="16"/>
              </w:rPr>
            </w:pPr>
            <w:r>
              <w:rPr>
                <w:color w:val="231F20"/>
                <w:sz w:val="16"/>
              </w:rPr>
              <w:t xml:space="preserve">Winter/spring fill (July </w:t>
            </w:r>
            <w:r>
              <w:rPr>
                <w:color w:val="231F20"/>
                <w:spacing w:val="-9"/>
                <w:sz w:val="16"/>
              </w:rPr>
              <w:t xml:space="preserve">to </w:t>
            </w:r>
            <w:r>
              <w:rPr>
                <w:color w:val="231F20"/>
                <w:sz w:val="16"/>
              </w:rPr>
              <w:t>September)</w:t>
            </w:r>
          </w:p>
          <w:p w:rsidR="006A7A3F" w:rsidRDefault="00BC7372">
            <w:pPr>
              <w:pStyle w:val="TableParagraph"/>
              <w:spacing w:before="56" w:line="261" w:lineRule="auto"/>
              <w:ind w:left="85" w:right="87"/>
              <w:rPr>
                <w:sz w:val="16"/>
              </w:rPr>
            </w:pPr>
            <w:r>
              <w:rPr>
                <w:color w:val="231F20"/>
                <w:sz w:val="16"/>
              </w:rPr>
              <w:t>The inlet to Reedy Lake will be opened to allow high flows in the Barwon River to flow into the</w:t>
            </w:r>
            <w:r>
              <w:rPr>
                <w:color w:val="231F20"/>
                <w:spacing w:val="-1"/>
                <w:sz w:val="16"/>
              </w:rPr>
              <w:t xml:space="preserve"> </w:t>
            </w:r>
            <w:r>
              <w:rPr>
                <w:color w:val="231F20"/>
                <w:sz w:val="16"/>
              </w:rPr>
              <w:t>wetland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622D11" w:rsidRDefault="00BC7372">
            <w:pPr>
              <w:pStyle w:val="TableParagraph"/>
              <w:numPr>
                <w:ilvl w:val="0"/>
                <w:numId w:val="1045"/>
              </w:numPr>
              <w:tabs>
                <w:tab w:val="left" w:pos="306"/>
              </w:tabs>
              <w:spacing w:before="70"/>
              <w:ind w:hanging="218"/>
              <w:rPr>
                <w:sz w:val="16"/>
                <w:szCs w:val="16"/>
              </w:rPr>
            </w:pPr>
            <w:r w:rsidRPr="00622D11">
              <w:rPr>
                <w:color w:val="231F20"/>
                <w:sz w:val="16"/>
                <w:szCs w:val="16"/>
              </w:rPr>
              <w:t>Maintain the water level to 0.8 m AHD (allowing for natural</w:t>
            </w:r>
            <w:r w:rsidRPr="00622D11">
              <w:rPr>
                <w:color w:val="231F20"/>
                <w:spacing w:val="-25"/>
                <w:sz w:val="16"/>
                <w:szCs w:val="16"/>
              </w:rPr>
              <w:t xml:space="preserve"> </w:t>
            </w:r>
            <w:r w:rsidRPr="00622D11">
              <w:rPr>
                <w:color w:val="231F20"/>
                <w:sz w:val="16"/>
                <w:szCs w:val="16"/>
              </w:rPr>
              <w:t>fluctuations)</w:t>
            </w:r>
          </w:p>
          <w:p w:rsidR="006A7A3F" w:rsidRPr="00622D11" w:rsidRDefault="00BC7372">
            <w:pPr>
              <w:pStyle w:val="TableParagraph"/>
              <w:numPr>
                <w:ilvl w:val="0"/>
                <w:numId w:val="1045"/>
              </w:numPr>
              <w:tabs>
                <w:tab w:val="left" w:pos="306"/>
              </w:tabs>
              <w:spacing w:before="98"/>
              <w:ind w:hanging="218"/>
              <w:rPr>
                <w:sz w:val="16"/>
                <w:szCs w:val="16"/>
              </w:rPr>
            </w:pPr>
            <w:r w:rsidRPr="00622D11">
              <w:rPr>
                <w:color w:val="231F20"/>
                <w:sz w:val="16"/>
                <w:szCs w:val="16"/>
              </w:rPr>
              <w:t>Maintain waterbird breeding</w:t>
            </w:r>
            <w:r w:rsidRPr="00622D11">
              <w:rPr>
                <w:color w:val="231F20"/>
                <w:spacing w:val="-3"/>
                <w:sz w:val="16"/>
                <w:szCs w:val="16"/>
              </w:rPr>
              <w:t xml:space="preserve"> </w:t>
            </w:r>
            <w:r w:rsidRPr="00622D11">
              <w:rPr>
                <w:color w:val="231F20"/>
                <w:sz w:val="16"/>
                <w:szCs w:val="16"/>
              </w:rPr>
              <w:t>events</w:t>
            </w:r>
          </w:p>
          <w:p w:rsidR="006A7A3F" w:rsidRPr="00622D11" w:rsidRDefault="00BC7372">
            <w:pPr>
              <w:pStyle w:val="TableParagraph"/>
              <w:numPr>
                <w:ilvl w:val="0"/>
                <w:numId w:val="1045"/>
              </w:numPr>
              <w:tabs>
                <w:tab w:val="left" w:pos="306"/>
              </w:tabs>
              <w:spacing w:before="98" w:line="254" w:lineRule="auto"/>
              <w:ind w:right="228"/>
              <w:rPr>
                <w:sz w:val="16"/>
                <w:szCs w:val="16"/>
              </w:rPr>
            </w:pPr>
            <w:r w:rsidRPr="00622D11">
              <w:rPr>
                <w:color w:val="231F20"/>
                <w:sz w:val="16"/>
                <w:szCs w:val="16"/>
              </w:rPr>
              <w:t>Wet the vegetation at the wetland margins to provide feeding habitat</w:t>
            </w:r>
            <w:r w:rsidRPr="00622D11">
              <w:rPr>
                <w:color w:val="231F20"/>
                <w:spacing w:val="-28"/>
                <w:sz w:val="16"/>
                <w:szCs w:val="16"/>
              </w:rPr>
              <w:t xml:space="preserve"> </w:t>
            </w:r>
            <w:r w:rsidRPr="00622D11">
              <w:rPr>
                <w:color w:val="231F20"/>
                <w:sz w:val="16"/>
                <w:szCs w:val="16"/>
              </w:rPr>
              <w:t>for waterbirds</w:t>
            </w:r>
          </w:p>
          <w:p w:rsidR="006A7A3F" w:rsidRPr="00622D11" w:rsidRDefault="00BC7372">
            <w:pPr>
              <w:pStyle w:val="TableParagraph"/>
              <w:numPr>
                <w:ilvl w:val="0"/>
                <w:numId w:val="1045"/>
              </w:numPr>
              <w:tabs>
                <w:tab w:val="left" w:pos="306"/>
              </w:tabs>
              <w:spacing w:before="87"/>
              <w:ind w:hanging="218"/>
              <w:rPr>
                <w:sz w:val="16"/>
                <w:szCs w:val="16"/>
              </w:rPr>
            </w:pPr>
            <w:r w:rsidRPr="00622D11">
              <w:rPr>
                <w:color w:val="231F20"/>
                <w:sz w:val="16"/>
                <w:szCs w:val="16"/>
              </w:rPr>
              <w:t>Maintain fish breeding and recruitment</w:t>
            </w:r>
            <w:r w:rsidRPr="00622D11">
              <w:rPr>
                <w:color w:val="231F20"/>
                <w:spacing w:val="-5"/>
                <w:sz w:val="16"/>
                <w:szCs w:val="16"/>
              </w:rPr>
              <w:t xml:space="preserve"> </w:t>
            </w:r>
            <w:r w:rsidRPr="00622D11">
              <w:rPr>
                <w:color w:val="231F20"/>
                <w:sz w:val="16"/>
                <w:szCs w:val="16"/>
              </w:rPr>
              <w:t>opportunities</w:t>
            </w:r>
          </w:p>
          <w:p w:rsidR="006A7A3F" w:rsidRPr="00622D11" w:rsidRDefault="00BC7372">
            <w:pPr>
              <w:pStyle w:val="TableParagraph"/>
              <w:numPr>
                <w:ilvl w:val="0"/>
                <w:numId w:val="1045"/>
              </w:numPr>
              <w:tabs>
                <w:tab w:val="left" w:pos="306"/>
              </w:tabs>
              <w:spacing w:before="98"/>
              <w:ind w:hanging="218"/>
              <w:rPr>
                <w:sz w:val="16"/>
                <w:szCs w:val="16"/>
              </w:rPr>
            </w:pPr>
            <w:r w:rsidRPr="00622D11">
              <w:rPr>
                <w:color w:val="231F20"/>
                <w:sz w:val="16"/>
                <w:szCs w:val="16"/>
              </w:rPr>
              <w:t>Allow fish to move between the river, lake and</w:t>
            </w:r>
            <w:r w:rsidRPr="00622D11">
              <w:rPr>
                <w:color w:val="231F20"/>
                <w:spacing w:val="-9"/>
                <w:sz w:val="16"/>
                <w:szCs w:val="16"/>
              </w:rPr>
              <w:t xml:space="preserve"> </w:t>
            </w:r>
            <w:r w:rsidRPr="00622D11">
              <w:rPr>
                <w:color w:val="231F20"/>
                <w:sz w:val="16"/>
                <w:szCs w:val="16"/>
              </w:rPr>
              <w:t>estuary</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69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69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115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622D11"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69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333"/>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Pr="00622D11" w:rsidRDefault="00BC7372">
            <w:pPr>
              <w:pStyle w:val="TableParagraph"/>
              <w:spacing w:before="74"/>
              <w:ind w:left="85"/>
              <w:rPr>
                <w:b/>
                <w:sz w:val="16"/>
                <w:szCs w:val="16"/>
              </w:rPr>
            </w:pPr>
            <w:r w:rsidRPr="00622D11">
              <w:rPr>
                <w:b/>
                <w:color w:val="231F20"/>
                <w:sz w:val="16"/>
                <w:szCs w:val="16"/>
              </w:rPr>
              <w:t>Hospital Swamps</w:t>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567"/>
              <w:rPr>
                <w:sz w:val="16"/>
              </w:rPr>
            </w:pPr>
            <w:r>
              <w:rPr>
                <w:color w:val="231F20"/>
                <w:sz w:val="16"/>
              </w:rPr>
              <w:t>Winter/spring fill (July to September)</w:t>
            </w:r>
          </w:p>
          <w:p w:rsidR="006A7A3F" w:rsidRDefault="00BC7372">
            <w:pPr>
              <w:pStyle w:val="TableParagraph"/>
              <w:spacing w:before="56" w:line="261" w:lineRule="auto"/>
              <w:ind w:left="85" w:right="149"/>
              <w:rPr>
                <w:sz w:val="16"/>
              </w:rPr>
            </w:pPr>
            <w:r>
              <w:rPr>
                <w:color w:val="231F20"/>
                <w:sz w:val="16"/>
              </w:rPr>
              <w:t>Hospital Swamps will be connected to the Barwon River for at least six weeks by keeping the inlet and outlet open</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622D11" w:rsidRDefault="00BC7372">
            <w:pPr>
              <w:pStyle w:val="TableParagraph"/>
              <w:numPr>
                <w:ilvl w:val="0"/>
                <w:numId w:val="1044"/>
              </w:numPr>
              <w:tabs>
                <w:tab w:val="left" w:pos="306"/>
              </w:tabs>
              <w:spacing w:before="70"/>
              <w:ind w:hanging="218"/>
              <w:rPr>
                <w:sz w:val="16"/>
                <w:szCs w:val="16"/>
              </w:rPr>
            </w:pPr>
            <w:r w:rsidRPr="00622D11">
              <w:rPr>
                <w:color w:val="231F20"/>
                <w:sz w:val="16"/>
                <w:szCs w:val="16"/>
              </w:rPr>
              <w:t>Maintain the water level at 0.5 m AHD (allowing for natural</w:t>
            </w:r>
            <w:r w:rsidRPr="00622D11">
              <w:rPr>
                <w:color w:val="231F20"/>
                <w:spacing w:val="-27"/>
                <w:sz w:val="16"/>
                <w:szCs w:val="16"/>
              </w:rPr>
              <w:t xml:space="preserve"> </w:t>
            </w:r>
            <w:r w:rsidRPr="00622D11">
              <w:rPr>
                <w:color w:val="231F20"/>
                <w:sz w:val="16"/>
                <w:szCs w:val="16"/>
              </w:rPr>
              <w:t>fluctuations)</w:t>
            </w:r>
          </w:p>
          <w:p w:rsidR="006A7A3F" w:rsidRPr="00622D11" w:rsidRDefault="00BC7372">
            <w:pPr>
              <w:pStyle w:val="TableParagraph"/>
              <w:numPr>
                <w:ilvl w:val="0"/>
                <w:numId w:val="1044"/>
              </w:numPr>
              <w:tabs>
                <w:tab w:val="left" w:pos="306"/>
              </w:tabs>
              <w:spacing w:before="98"/>
              <w:ind w:hanging="218"/>
              <w:rPr>
                <w:sz w:val="16"/>
                <w:szCs w:val="16"/>
              </w:rPr>
            </w:pPr>
            <w:r w:rsidRPr="00622D11">
              <w:rPr>
                <w:color w:val="231F20"/>
                <w:sz w:val="16"/>
                <w:szCs w:val="16"/>
              </w:rPr>
              <w:t>Create habitat to support waterbug and fish</w:t>
            </w:r>
            <w:r w:rsidRPr="00622D11">
              <w:rPr>
                <w:color w:val="231F20"/>
                <w:spacing w:val="-10"/>
                <w:sz w:val="16"/>
                <w:szCs w:val="16"/>
              </w:rPr>
              <w:t xml:space="preserve"> </w:t>
            </w:r>
            <w:r w:rsidRPr="00622D11">
              <w:rPr>
                <w:color w:val="231F20"/>
                <w:sz w:val="16"/>
                <w:szCs w:val="16"/>
              </w:rPr>
              <w:t>populations</w:t>
            </w:r>
          </w:p>
          <w:p w:rsidR="006A7A3F" w:rsidRPr="00622D11" w:rsidRDefault="00BC7372">
            <w:pPr>
              <w:pStyle w:val="TableParagraph"/>
              <w:numPr>
                <w:ilvl w:val="0"/>
                <w:numId w:val="1044"/>
              </w:numPr>
              <w:tabs>
                <w:tab w:val="left" w:pos="306"/>
              </w:tabs>
              <w:spacing w:before="98"/>
              <w:ind w:hanging="218"/>
              <w:rPr>
                <w:sz w:val="16"/>
                <w:szCs w:val="16"/>
              </w:rPr>
            </w:pPr>
            <w:r w:rsidRPr="00622D11">
              <w:rPr>
                <w:color w:val="231F20"/>
                <w:sz w:val="16"/>
                <w:szCs w:val="16"/>
              </w:rPr>
              <w:t>Improve fish and waterbird</w:t>
            </w:r>
            <w:r w:rsidRPr="00622D11">
              <w:rPr>
                <w:color w:val="231F20"/>
                <w:spacing w:val="-4"/>
                <w:sz w:val="16"/>
                <w:szCs w:val="16"/>
              </w:rPr>
              <w:t xml:space="preserve"> </w:t>
            </w:r>
            <w:r w:rsidRPr="00622D11">
              <w:rPr>
                <w:color w:val="231F20"/>
                <w:sz w:val="16"/>
                <w:szCs w:val="16"/>
              </w:rPr>
              <w:t>breeding</w:t>
            </w:r>
          </w:p>
          <w:p w:rsidR="006A7A3F" w:rsidRPr="00622D11" w:rsidRDefault="00BC7372">
            <w:pPr>
              <w:pStyle w:val="TableParagraph"/>
              <w:numPr>
                <w:ilvl w:val="0"/>
                <w:numId w:val="1044"/>
              </w:numPr>
              <w:tabs>
                <w:tab w:val="left" w:pos="306"/>
              </w:tabs>
              <w:spacing w:before="98"/>
              <w:ind w:hanging="218"/>
              <w:rPr>
                <w:sz w:val="16"/>
                <w:szCs w:val="16"/>
              </w:rPr>
            </w:pPr>
            <w:r w:rsidRPr="00622D11">
              <w:rPr>
                <w:color w:val="231F20"/>
                <w:sz w:val="16"/>
                <w:szCs w:val="16"/>
              </w:rPr>
              <w:t>Allow fish to access the wetland from the</w:t>
            </w:r>
            <w:r w:rsidRPr="00622D11">
              <w:rPr>
                <w:color w:val="231F20"/>
                <w:spacing w:val="-4"/>
                <w:sz w:val="16"/>
                <w:szCs w:val="16"/>
              </w:rPr>
              <w:t xml:space="preserve"> </w:t>
            </w:r>
            <w:r w:rsidRPr="00622D11">
              <w:rPr>
                <w:color w:val="231F20"/>
                <w:sz w:val="16"/>
                <w:szCs w:val="16"/>
              </w:rPr>
              <w:t>river</w:t>
            </w:r>
          </w:p>
          <w:p w:rsidR="006A7A3F" w:rsidRPr="00622D11" w:rsidRDefault="00BC7372">
            <w:pPr>
              <w:pStyle w:val="TableParagraph"/>
              <w:numPr>
                <w:ilvl w:val="0"/>
                <w:numId w:val="1044"/>
              </w:numPr>
              <w:tabs>
                <w:tab w:val="left" w:pos="306"/>
              </w:tabs>
              <w:spacing w:before="99"/>
              <w:ind w:hanging="218"/>
              <w:rPr>
                <w:sz w:val="16"/>
                <w:szCs w:val="16"/>
              </w:rPr>
            </w:pPr>
            <w:r w:rsidRPr="00622D11">
              <w:rPr>
                <w:color w:val="231F20"/>
                <w:sz w:val="16"/>
                <w:szCs w:val="16"/>
              </w:rPr>
              <w:t>Dilute salt in the soil and surface water over</w:t>
            </w:r>
            <w:r w:rsidRPr="00622D11">
              <w:rPr>
                <w:color w:val="231F20"/>
                <w:spacing w:val="-9"/>
                <w:sz w:val="16"/>
                <w:szCs w:val="16"/>
              </w:rPr>
              <w:t xml:space="preserve"> </w:t>
            </w:r>
            <w:r w:rsidRPr="00622D11">
              <w:rPr>
                <w:color w:val="231F20"/>
                <w:sz w:val="16"/>
                <w:szCs w:val="16"/>
              </w:rPr>
              <w:t>winter</w:t>
            </w:r>
          </w:p>
          <w:p w:rsidR="006A7A3F" w:rsidRPr="00622D11" w:rsidRDefault="00BC7372">
            <w:pPr>
              <w:pStyle w:val="TableParagraph"/>
              <w:numPr>
                <w:ilvl w:val="0"/>
                <w:numId w:val="1044"/>
              </w:numPr>
              <w:tabs>
                <w:tab w:val="left" w:pos="306"/>
              </w:tabs>
              <w:spacing w:before="98" w:line="254" w:lineRule="auto"/>
              <w:ind w:right="826"/>
              <w:rPr>
                <w:sz w:val="16"/>
                <w:szCs w:val="16"/>
              </w:rPr>
            </w:pPr>
            <w:r w:rsidRPr="00622D11">
              <w:rPr>
                <w:color w:val="231F20"/>
                <w:sz w:val="16"/>
                <w:szCs w:val="16"/>
              </w:rPr>
              <w:t>Promote and sustain the growth of important wetland vegetation communities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70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70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70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70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900"/>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70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BC7372">
      <w:pPr>
        <w:spacing w:before="137" w:line="266" w:lineRule="auto"/>
        <w:ind w:left="323" w:right="100" w:hanging="114"/>
        <w:rPr>
          <w:sz w:val="14"/>
        </w:rPr>
      </w:pPr>
      <w:r>
        <w:rPr>
          <w:color w:val="231F20"/>
          <w:sz w:val="14"/>
        </w:rPr>
        <w:t>1 The table only includes potential watering actions for July–September 2020. Potential watering actions for the rest of the year will be based on the independent review of the lower Barwon wetlands watering trial 2016–17 to 2019–20.</w:t>
      </w:r>
    </w:p>
    <w:p w:rsidR="00622D11" w:rsidRDefault="00622D11">
      <w:pPr>
        <w:rPr>
          <w:b/>
          <w:bCs/>
          <w:color w:val="231F20"/>
          <w:sz w:val="24"/>
          <w:szCs w:val="24"/>
        </w:rPr>
      </w:pPr>
      <w:r>
        <w:rPr>
          <w:color w:val="231F20"/>
        </w:rPr>
        <w:br w:type="page"/>
      </w:r>
    </w:p>
    <w:p w:rsidR="006A7A3F" w:rsidRDefault="00BC7372">
      <w:pPr>
        <w:pStyle w:val="Heading4"/>
        <w:spacing w:before="120"/>
      </w:pPr>
      <w:r>
        <w:rPr>
          <w:color w:val="231F20"/>
        </w:rPr>
        <w:t>Scenario planning</w:t>
      </w:r>
    </w:p>
    <w:p w:rsidR="006A7A3F" w:rsidRDefault="00BC7372">
      <w:pPr>
        <w:pStyle w:val="BodyText"/>
        <w:spacing w:before="58" w:line="249" w:lineRule="auto"/>
        <w:ind w:right="100"/>
      </w:pPr>
      <w:r>
        <w:rPr>
          <w:color w:val="231F20"/>
        </w:rPr>
        <w:t>Table 3.7.4 outlines the potential environmental watering and expected water use under a range of planning scenarios.</w:t>
      </w:r>
    </w:p>
    <w:p w:rsidR="006A7A3F" w:rsidRDefault="00BC7372">
      <w:pPr>
        <w:pStyle w:val="BodyText"/>
        <w:spacing w:line="249" w:lineRule="auto"/>
        <w:ind w:right="206"/>
      </w:pPr>
      <w:r>
        <w:rPr>
          <w:color w:val="231F20"/>
        </w:rPr>
        <w:t>The environmental watering regime for Reedy Lake and Hospital Swamps will be informed by the outcomes of an independent review of the lower Barwon wetlands watering trial 2016–17 to 2019–20, which is due to be completed early in 2020–21.</w:t>
      </w:r>
    </w:p>
    <w:p w:rsidR="006A7A3F" w:rsidRDefault="00BC7372">
      <w:pPr>
        <w:pStyle w:val="BodyText"/>
        <w:spacing w:before="173" w:line="249" w:lineRule="auto"/>
        <w:ind w:right="297"/>
      </w:pPr>
      <w:r>
        <w:rPr>
          <w:color w:val="231F20"/>
        </w:rPr>
        <w:t>After the independent review of the lower Barwon wetlands watering trial is complete, Corangamite CMA will consult with the Lower Barwon Community Advisory Committee to determine the recommended watering regime for both wetlands from October 2020 to June 2021. Any future management of Reedy Lake and Hospital Swamps is expected to include a winter filling phase under all scenarios and so that watering action has been included in the table. This section of the seasonal watering plan will be formally varied before October 2020 to describe the potential watering actions that may be delivered for the rest of the 2020–21 water year. Variations to the seasonal watering plan will be published on the VEWH website (www.vewh.vic.gov.au) before the planned watering actions are delivered.</w:t>
      </w:r>
    </w:p>
    <w:p w:rsidR="006A7A3F" w:rsidRDefault="00BC7372" w:rsidP="00622D11">
      <w:pPr>
        <w:spacing w:before="171" w:after="120"/>
        <w:ind w:left="210"/>
        <w:rPr>
          <w:b/>
          <w:sz w:val="10"/>
        </w:rPr>
      </w:pPr>
      <w:r>
        <w:rPr>
          <w:b/>
          <w:color w:val="231F20"/>
          <w:sz w:val="18"/>
        </w:rPr>
        <w:t>Table 3.7.4 Potential environmental watering for the lower Barwon wetlands under a range of planning scenarios</w:t>
      </w:r>
      <w:r>
        <w:rPr>
          <w:b/>
          <w:color w:val="231F20"/>
          <w:position w:val="6"/>
          <w:sz w:val="10"/>
        </w:rPr>
        <w:t>1</w:t>
      </w:r>
    </w:p>
    <w:tbl>
      <w:tblPr>
        <w:tblW w:w="10204" w:type="dxa"/>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1"/>
        <w:gridCol w:w="2551"/>
        <w:gridCol w:w="2551"/>
        <w:gridCol w:w="2551"/>
      </w:tblGrid>
      <w:tr w:rsidR="00622D11" w:rsidTr="00622D11">
        <w:trPr>
          <w:trHeight w:val="420"/>
        </w:trPr>
        <w:tc>
          <w:tcPr>
            <w:tcW w:w="2551" w:type="dxa"/>
            <w:shd w:val="clear" w:color="auto" w:fill="000000" w:themeFill="text1"/>
          </w:tcPr>
          <w:p w:rsidR="00622D11" w:rsidRDefault="00622D11">
            <w:pPr>
              <w:pStyle w:val="TableParagraph"/>
              <w:spacing w:before="67"/>
              <w:ind w:left="85"/>
              <w:rPr>
                <w:color w:val="231F20"/>
                <w:sz w:val="16"/>
              </w:rPr>
            </w:pPr>
            <w:r>
              <w:rPr>
                <w:b/>
                <w:color w:val="FFFFFF"/>
                <w:sz w:val="18"/>
              </w:rPr>
              <w:t>Planning scenario</w:t>
            </w:r>
          </w:p>
        </w:tc>
        <w:tc>
          <w:tcPr>
            <w:tcW w:w="2551" w:type="dxa"/>
            <w:shd w:val="clear" w:color="auto" w:fill="000000" w:themeFill="text1"/>
          </w:tcPr>
          <w:p w:rsidR="00622D11" w:rsidRPr="00622D11" w:rsidRDefault="00622D11" w:rsidP="00622D11">
            <w:pPr>
              <w:pStyle w:val="TableParagraph"/>
              <w:tabs>
                <w:tab w:val="left" w:pos="306"/>
              </w:tabs>
              <w:spacing w:before="63" w:line="254" w:lineRule="auto"/>
              <w:ind w:left="305" w:right="83"/>
              <w:rPr>
                <w:color w:val="231F20"/>
                <w:sz w:val="16"/>
                <w:szCs w:val="16"/>
              </w:rPr>
            </w:pPr>
            <w:r>
              <w:rPr>
                <w:b/>
                <w:color w:val="FFFFFF"/>
                <w:sz w:val="18"/>
              </w:rPr>
              <w:t>Dry</w:t>
            </w:r>
          </w:p>
        </w:tc>
        <w:tc>
          <w:tcPr>
            <w:tcW w:w="2551" w:type="dxa"/>
            <w:shd w:val="clear" w:color="auto" w:fill="000000" w:themeFill="text1"/>
          </w:tcPr>
          <w:p w:rsidR="00622D11" w:rsidRPr="00622D11" w:rsidRDefault="00622D11" w:rsidP="00622D11">
            <w:pPr>
              <w:pStyle w:val="TableParagraph"/>
              <w:tabs>
                <w:tab w:val="left" w:pos="306"/>
              </w:tabs>
              <w:spacing w:before="63" w:line="254" w:lineRule="auto"/>
              <w:ind w:left="305" w:right="83"/>
              <w:rPr>
                <w:color w:val="231F20"/>
                <w:sz w:val="16"/>
                <w:szCs w:val="16"/>
              </w:rPr>
            </w:pPr>
            <w:r>
              <w:rPr>
                <w:b/>
                <w:color w:val="FFFFFF"/>
                <w:sz w:val="18"/>
              </w:rPr>
              <w:t>Average</w:t>
            </w:r>
          </w:p>
        </w:tc>
        <w:tc>
          <w:tcPr>
            <w:tcW w:w="2551" w:type="dxa"/>
            <w:shd w:val="clear" w:color="auto" w:fill="000000" w:themeFill="text1"/>
          </w:tcPr>
          <w:p w:rsidR="00622D11" w:rsidRPr="00622D11" w:rsidRDefault="00622D11" w:rsidP="00622D11">
            <w:pPr>
              <w:pStyle w:val="TableParagraph"/>
              <w:tabs>
                <w:tab w:val="left" w:pos="306"/>
              </w:tabs>
              <w:spacing w:before="63" w:line="254" w:lineRule="auto"/>
              <w:ind w:right="133"/>
              <w:rPr>
                <w:color w:val="231F20"/>
                <w:sz w:val="16"/>
                <w:szCs w:val="16"/>
              </w:rPr>
            </w:pPr>
            <w:r>
              <w:rPr>
                <w:b/>
                <w:color w:val="FFFFFF"/>
                <w:sz w:val="18"/>
              </w:rPr>
              <w:t>Wet</w:t>
            </w:r>
          </w:p>
        </w:tc>
      </w:tr>
      <w:tr w:rsidR="006A7A3F" w:rsidTr="00622D11">
        <w:trPr>
          <w:trHeight w:val="1752"/>
        </w:trPr>
        <w:tc>
          <w:tcPr>
            <w:tcW w:w="2551" w:type="dxa"/>
          </w:tcPr>
          <w:p w:rsidR="006A7A3F" w:rsidRDefault="00BC7372">
            <w:pPr>
              <w:pStyle w:val="TableParagraph"/>
              <w:spacing w:before="67"/>
              <w:ind w:left="85"/>
              <w:rPr>
                <w:sz w:val="16"/>
              </w:rPr>
            </w:pPr>
            <w:r>
              <w:rPr>
                <w:color w:val="231F20"/>
                <w:sz w:val="16"/>
              </w:rPr>
              <w:t>Expected river conditions</w:t>
            </w:r>
          </w:p>
        </w:tc>
        <w:tc>
          <w:tcPr>
            <w:tcW w:w="2551" w:type="dxa"/>
          </w:tcPr>
          <w:p w:rsidR="006A7A3F" w:rsidRPr="00622D11" w:rsidRDefault="00BC7372">
            <w:pPr>
              <w:pStyle w:val="TableParagraph"/>
              <w:numPr>
                <w:ilvl w:val="0"/>
                <w:numId w:val="1043"/>
              </w:numPr>
              <w:tabs>
                <w:tab w:val="left" w:pos="306"/>
              </w:tabs>
              <w:spacing w:before="63" w:line="254" w:lineRule="auto"/>
              <w:ind w:right="83"/>
              <w:rPr>
                <w:sz w:val="16"/>
                <w:szCs w:val="16"/>
              </w:rPr>
            </w:pPr>
            <w:r w:rsidRPr="00622D11">
              <w:rPr>
                <w:color w:val="231F20"/>
                <w:sz w:val="16"/>
                <w:szCs w:val="16"/>
              </w:rPr>
              <w:t>Some natural inflows from the Barwon River in winter/ spring</w:t>
            </w:r>
          </w:p>
          <w:p w:rsidR="006A7A3F" w:rsidRPr="00622D11" w:rsidRDefault="00BC7372">
            <w:pPr>
              <w:pStyle w:val="TableParagraph"/>
              <w:numPr>
                <w:ilvl w:val="0"/>
                <w:numId w:val="1043"/>
              </w:numPr>
              <w:tabs>
                <w:tab w:val="left" w:pos="306"/>
              </w:tabs>
              <w:spacing w:before="87" w:line="254" w:lineRule="auto"/>
              <w:ind w:right="283"/>
              <w:rPr>
                <w:sz w:val="16"/>
                <w:szCs w:val="16"/>
              </w:rPr>
            </w:pPr>
            <w:r w:rsidRPr="00622D11">
              <w:rPr>
                <w:color w:val="231F20"/>
                <w:sz w:val="16"/>
                <w:szCs w:val="16"/>
              </w:rPr>
              <w:t>Dry conditions over summer will assist in the drying of the</w:t>
            </w:r>
            <w:r w:rsidRPr="00622D11">
              <w:rPr>
                <w:color w:val="231F20"/>
                <w:spacing w:val="-8"/>
                <w:sz w:val="16"/>
                <w:szCs w:val="16"/>
              </w:rPr>
              <w:t xml:space="preserve"> </w:t>
            </w:r>
            <w:r w:rsidRPr="00622D11">
              <w:rPr>
                <w:color w:val="231F20"/>
                <w:sz w:val="16"/>
                <w:szCs w:val="16"/>
              </w:rPr>
              <w:t>wetlands</w:t>
            </w:r>
          </w:p>
        </w:tc>
        <w:tc>
          <w:tcPr>
            <w:tcW w:w="2551" w:type="dxa"/>
          </w:tcPr>
          <w:p w:rsidR="006A7A3F" w:rsidRPr="00622D11" w:rsidRDefault="00BC7372">
            <w:pPr>
              <w:pStyle w:val="TableParagraph"/>
              <w:numPr>
                <w:ilvl w:val="0"/>
                <w:numId w:val="1042"/>
              </w:numPr>
              <w:tabs>
                <w:tab w:val="left" w:pos="306"/>
              </w:tabs>
              <w:spacing w:before="63" w:line="254" w:lineRule="auto"/>
              <w:ind w:right="83"/>
              <w:rPr>
                <w:sz w:val="16"/>
                <w:szCs w:val="16"/>
              </w:rPr>
            </w:pPr>
            <w:r w:rsidRPr="00622D11">
              <w:rPr>
                <w:color w:val="231F20"/>
                <w:sz w:val="16"/>
                <w:szCs w:val="16"/>
              </w:rPr>
              <w:t>Some natural inflows from the Barwon River in winter/ spring</w:t>
            </w:r>
          </w:p>
          <w:p w:rsidR="006A7A3F" w:rsidRPr="00622D11" w:rsidRDefault="00BC7372">
            <w:pPr>
              <w:pStyle w:val="TableParagraph"/>
              <w:numPr>
                <w:ilvl w:val="0"/>
                <w:numId w:val="1042"/>
              </w:numPr>
              <w:tabs>
                <w:tab w:val="left" w:pos="306"/>
              </w:tabs>
              <w:spacing w:before="87" w:line="254" w:lineRule="auto"/>
              <w:ind w:right="283"/>
              <w:rPr>
                <w:sz w:val="16"/>
                <w:szCs w:val="16"/>
              </w:rPr>
            </w:pPr>
            <w:r w:rsidRPr="00622D11">
              <w:rPr>
                <w:color w:val="231F20"/>
                <w:sz w:val="16"/>
                <w:szCs w:val="16"/>
              </w:rPr>
              <w:t>Conditions over summer may assist drying of the wetland water</w:t>
            </w:r>
            <w:r w:rsidRPr="00622D11">
              <w:rPr>
                <w:color w:val="231F20"/>
                <w:spacing w:val="-6"/>
                <w:sz w:val="16"/>
                <w:szCs w:val="16"/>
              </w:rPr>
              <w:t xml:space="preserve"> </w:t>
            </w:r>
            <w:r w:rsidRPr="00622D11">
              <w:rPr>
                <w:color w:val="231F20"/>
                <w:sz w:val="16"/>
                <w:szCs w:val="16"/>
              </w:rPr>
              <w:t>levels</w:t>
            </w:r>
          </w:p>
        </w:tc>
        <w:tc>
          <w:tcPr>
            <w:tcW w:w="2551" w:type="dxa"/>
          </w:tcPr>
          <w:p w:rsidR="006A7A3F" w:rsidRPr="00622D11" w:rsidRDefault="00BC7372">
            <w:pPr>
              <w:pStyle w:val="TableParagraph"/>
              <w:numPr>
                <w:ilvl w:val="0"/>
                <w:numId w:val="1041"/>
              </w:numPr>
              <w:tabs>
                <w:tab w:val="left" w:pos="306"/>
              </w:tabs>
              <w:spacing w:before="63" w:line="254" w:lineRule="auto"/>
              <w:ind w:right="133"/>
              <w:rPr>
                <w:sz w:val="16"/>
                <w:szCs w:val="16"/>
              </w:rPr>
            </w:pPr>
            <w:r w:rsidRPr="00622D11">
              <w:rPr>
                <w:color w:val="231F20"/>
                <w:sz w:val="16"/>
                <w:szCs w:val="16"/>
              </w:rPr>
              <w:t>Overbank flows are likely to wet the wetlands as a result of higher river flows, stormwater inflows and local</w:t>
            </w:r>
            <w:r w:rsidRPr="00622D11">
              <w:rPr>
                <w:color w:val="231F20"/>
                <w:spacing w:val="-2"/>
                <w:sz w:val="16"/>
                <w:szCs w:val="16"/>
              </w:rPr>
              <w:t xml:space="preserve"> </w:t>
            </w:r>
            <w:r w:rsidRPr="00622D11">
              <w:rPr>
                <w:color w:val="231F20"/>
                <w:sz w:val="16"/>
                <w:szCs w:val="16"/>
              </w:rPr>
              <w:t>rain/run-off</w:t>
            </w:r>
          </w:p>
          <w:p w:rsidR="006A7A3F" w:rsidRPr="00622D11" w:rsidRDefault="00BC7372">
            <w:pPr>
              <w:pStyle w:val="TableParagraph"/>
              <w:numPr>
                <w:ilvl w:val="0"/>
                <w:numId w:val="1041"/>
              </w:numPr>
              <w:tabs>
                <w:tab w:val="left" w:pos="306"/>
              </w:tabs>
              <w:spacing w:before="88" w:line="254" w:lineRule="auto"/>
              <w:ind w:right="412"/>
              <w:rPr>
                <w:sz w:val="16"/>
                <w:szCs w:val="16"/>
              </w:rPr>
            </w:pPr>
            <w:r w:rsidRPr="00622D11">
              <w:rPr>
                <w:color w:val="231F20"/>
                <w:sz w:val="16"/>
                <w:szCs w:val="16"/>
              </w:rPr>
              <w:t>Extensive drying of the wetlands is</w:t>
            </w:r>
            <w:r w:rsidRPr="00622D11">
              <w:rPr>
                <w:color w:val="231F20"/>
                <w:spacing w:val="-6"/>
                <w:sz w:val="16"/>
                <w:szCs w:val="16"/>
              </w:rPr>
              <w:t xml:space="preserve"> </w:t>
            </w:r>
            <w:r w:rsidRPr="00622D11">
              <w:rPr>
                <w:color w:val="231F20"/>
                <w:sz w:val="16"/>
                <w:szCs w:val="16"/>
              </w:rPr>
              <w:t>unlikely</w:t>
            </w:r>
          </w:p>
        </w:tc>
      </w:tr>
      <w:tr w:rsidR="006A7A3F" w:rsidTr="00622D11">
        <w:trPr>
          <w:trHeight w:val="347"/>
        </w:trPr>
        <w:tc>
          <w:tcPr>
            <w:tcW w:w="2551" w:type="dxa"/>
          </w:tcPr>
          <w:p w:rsidR="006A7A3F" w:rsidRDefault="00BC7372">
            <w:pPr>
              <w:pStyle w:val="TableParagraph"/>
              <w:spacing w:before="67"/>
              <w:ind w:left="85"/>
              <w:rPr>
                <w:sz w:val="16"/>
              </w:rPr>
            </w:pPr>
            <w:r>
              <w:rPr>
                <w:color w:val="231F20"/>
                <w:sz w:val="16"/>
              </w:rPr>
              <w:t>Reedy Lake</w:t>
            </w:r>
          </w:p>
        </w:tc>
        <w:tc>
          <w:tcPr>
            <w:tcW w:w="2551" w:type="dxa"/>
          </w:tcPr>
          <w:p w:rsidR="006A7A3F" w:rsidRPr="00622D11" w:rsidRDefault="00BC7372">
            <w:pPr>
              <w:pStyle w:val="TableParagraph"/>
              <w:numPr>
                <w:ilvl w:val="0"/>
                <w:numId w:val="1040"/>
              </w:numPr>
              <w:tabs>
                <w:tab w:val="left" w:pos="306"/>
              </w:tabs>
              <w:spacing w:before="63"/>
              <w:ind w:hanging="218"/>
              <w:rPr>
                <w:sz w:val="16"/>
                <w:szCs w:val="16"/>
              </w:rPr>
            </w:pPr>
            <w:r w:rsidRPr="00622D11">
              <w:rPr>
                <w:color w:val="231F20"/>
                <w:sz w:val="16"/>
                <w:szCs w:val="16"/>
              </w:rPr>
              <w:t>Winter/spring fill</w:t>
            </w:r>
          </w:p>
        </w:tc>
        <w:tc>
          <w:tcPr>
            <w:tcW w:w="2551" w:type="dxa"/>
          </w:tcPr>
          <w:p w:rsidR="006A7A3F" w:rsidRPr="00622D11" w:rsidRDefault="00BC7372">
            <w:pPr>
              <w:pStyle w:val="TableParagraph"/>
              <w:numPr>
                <w:ilvl w:val="0"/>
                <w:numId w:val="1039"/>
              </w:numPr>
              <w:tabs>
                <w:tab w:val="left" w:pos="306"/>
              </w:tabs>
              <w:spacing w:before="63"/>
              <w:ind w:hanging="218"/>
              <w:rPr>
                <w:sz w:val="16"/>
                <w:szCs w:val="16"/>
              </w:rPr>
            </w:pPr>
            <w:r w:rsidRPr="00622D11">
              <w:rPr>
                <w:color w:val="231F20"/>
                <w:sz w:val="16"/>
                <w:szCs w:val="16"/>
              </w:rPr>
              <w:t>Winter/spring fill</w:t>
            </w:r>
          </w:p>
        </w:tc>
        <w:tc>
          <w:tcPr>
            <w:tcW w:w="2551" w:type="dxa"/>
          </w:tcPr>
          <w:p w:rsidR="006A7A3F" w:rsidRPr="00622D11" w:rsidRDefault="00BC7372">
            <w:pPr>
              <w:pStyle w:val="TableParagraph"/>
              <w:numPr>
                <w:ilvl w:val="0"/>
                <w:numId w:val="1038"/>
              </w:numPr>
              <w:tabs>
                <w:tab w:val="left" w:pos="306"/>
              </w:tabs>
              <w:spacing w:before="63"/>
              <w:rPr>
                <w:sz w:val="16"/>
                <w:szCs w:val="16"/>
              </w:rPr>
            </w:pPr>
            <w:r w:rsidRPr="00622D11">
              <w:rPr>
                <w:color w:val="231F20"/>
                <w:sz w:val="16"/>
                <w:szCs w:val="16"/>
              </w:rPr>
              <w:t>Winter/spring fill</w:t>
            </w:r>
          </w:p>
        </w:tc>
      </w:tr>
      <w:tr w:rsidR="006A7A3F" w:rsidTr="00622D11">
        <w:trPr>
          <w:trHeight w:val="347"/>
        </w:trPr>
        <w:tc>
          <w:tcPr>
            <w:tcW w:w="2551" w:type="dxa"/>
          </w:tcPr>
          <w:p w:rsidR="006A7A3F" w:rsidRDefault="00BC7372">
            <w:pPr>
              <w:pStyle w:val="TableParagraph"/>
              <w:spacing w:before="67"/>
              <w:ind w:left="85"/>
              <w:rPr>
                <w:sz w:val="16"/>
              </w:rPr>
            </w:pPr>
            <w:r>
              <w:rPr>
                <w:color w:val="231F20"/>
                <w:sz w:val="16"/>
              </w:rPr>
              <w:t>Hospital Swamps</w:t>
            </w:r>
          </w:p>
        </w:tc>
        <w:tc>
          <w:tcPr>
            <w:tcW w:w="2551" w:type="dxa"/>
          </w:tcPr>
          <w:p w:rsidR="006A7A3F" w:rsidRPr="00622D11" w:rsidRDefault="00BC7372">
            <w:pPr>
              <w:pStyle w:val="TableParagraph"/>
              <w:numPr>
                <w:ilvl w:val="0"/>
                <w:numId w:val="1037"/>
              </w:numPr>
              <w:tabs>
                <w:tab w:val="left" w:pos="306"/>
              </w:tabs>
              <w:spacing w:before="63"/>
              <w:ind w:hanging="218"/>
              <w:rPr>
                <w:sz w:val="16"/>
                <w:szCs w:val="16"/>
              </w:rPr>
            </w:pPr>
            <w:r w:rsidRPr="00622D11">
              <w:rPr>
                <w:color w:val="231F20"/>
                <w:sz w:val="16"/>
                <w:szCs w:val="16"/>
              </w:rPr>
              <w:t>Winter/spring fill</w:t>
            </w:r>
          </w:p>
        </w:tc>
        <w:tc>
          <w:tcPr>
            <w:tcW w:w="2551" w:type="dxa"/>
          </w:tcPr>
          <w:p w:rsidR="006A7A3F" w:rsidRPr="00622D11" w:rsidRDefault="00BC7372">
            <w:pPr>
              <w:pStyle w:val="TableParagraph"/>
              <w:numPr>
                <w:ilvl w:val="0"/>
                <w:numId w:val="1036"/>
              </w:numPr>
              <w:tabs>
                <w:tab w:val="left" w:pos="306"/>
              </w:tabs>
              <w:spacing w:before="63"/>
              <w:ind w:hanging="218"/>
              <w:rPr>
                <w:sz w:val="16"/>
                <w:szCs w:val="16"/>
              </w:rPr>
            </w:pPr>
            <w:r w:rsidRPr="00622D11">
              <w:rPr>
                <w:color w:val="231F20"/>
                <w:sz w:val="16"/>
                <w:szCs w:val="16"/>
              </w:rPr>
              <w:t>Winter/spring fill</w:t>
            </w:r>
          </w:p>
        </w:tc>
        <w:tc>
          <w:tcPr>
            <w:tcW w:w="2551" w:type="dxa"/>
          </w:tcPr>
          <w:p w:rsidR="006A7A3F" w:rsidRPr="00622D11" w:rsidRDefault="00BC7372">
            <w:pPr>
              <w:pStyle w:val="TableParagraph"/>
              <w:numPr>
                <w:ilvl w:val="0"/>
                <w:numId w:val="1035"/>
              </w:numPr>
              <w:tabs>
                <w:tab w:val="left" w:pos="306"/>
              </w:tabs>
              <w:spacing w:before="63"/>
              <w:rPr>
                <w:sz w:val="16"/>
                <w:szCs w:val="16"/>
              </w:rPr>
            </w:pPr>
            <w:r w:rsidRPr="00622D11">
              <w:rPr>
                <w:color w:val="231F20"/>
                <w:sz w:val="16"/>
                <w:szCs w:val="16"/>
              </w:rPr>
              <w:t>Winter/spring fill</w:t>
            </w:r>
          </w:p>
        </w:tc>
      </w:tr>
    </w:tbl>
    <w:p w:rsidR="00622D11" w:rsidRDefault="00BC7372">
      <w:pPr>
        <w:spacing w:before="129" w:line="266" w:lineRule="auto"/>
        <w:ind w:left="323" w:right="100" w:hanging="114"/>
        <w:rPr>
          <w:color w:val="231F20"/>
          <w:sz w:val="14"/>
        </w:rPr>
      </w:pPr>
      <w:r>
        <w:rPr>
          <w:color w:val="231F20"/>
          <w:sz w:val="14"/>
        </w:rPr>
        <w:t>1 The table only includes potential watering actions for July–September 2020. Potential watering actions for the rest of the year will be based on the independent review of the lower Barwon wetlands watering trial 2016–17 to 2019–20.</w:t>
      </w:r>
    </w:p>
    <w:p w:rsidR="00622D11" w:rsidRDefault="00622D11">
      <w:pPr>
        <w:rPr>
          <w:color w:val="231F20"/>
          <w:sz w:val="14"/>
        </w:rPr>
      </w:pPr>
      <w:r>
        <w:rPr>
          <w:color w:val="231F20"/>
          <w:sz w:val="14"/>
        </w:rPr>
        <w:br w:type="page"/>
      </w:r>
    </w:p>
    <w:p w:rsidR="00655786" w:rsidRDefault="00655786" w:rsidP="00655786">
      <w:pPr>
        <w:pStyle w:val="H3-IntroIntroduction"/>
        <w:rPr>
          <w:sz w:val="42"/>
          <w:szCs w:val="42"/>
        </w:rPr>
      </w:pPr>
      <w:r w:rsidRPr="00CC340C">
        <w:rPr>
          <w:sz w:val="42"/>
          <w:szCs w:val="42"/>
        </w:rPr>
        <w:t xml:space="preserve">Section </w:t>
      </w:r>
      <w:r>
        <w:rPr>
          <w:sz w:val="42"/>
          <w:szCs w:val="42"/>
        </w:rPr>
        <w:t>4</w:t>
      </w:r>
      <w:r w:rsidRPr="00CC340C">
        <w:rPr>
          <w:sz w:val="42"/>
          <w:szCs w:val="42"/>
        </w:rPr>
        <w:t xml:space="preserve"> – </w:t>
      </w:r>
      <w:r>
        <w:rPr>
          <w:sz w:val="42"/>
          <w:szCs w:val="42"/>
        </w:rPr>
        <w:t>Western region</w:t>
      </w:r>
    </w:p>
    <w:p w:rsidR="00655786" w:rsidRDefault="00655786" w:rsidP="00655786">
      <w:pPr>
        <w:pStyle w:val="BodyText"/>
        <w:ind w:left="0"/>
      </w:pPr>
    </w:p>
    <w:p w:rsidR="00655786" w:rsidRPr="002A7565" w:rsidRDefault="00655786" w:rsidP="00655786">
      <w:pPr>
        <w:pStyle w:val="BodyText"/>
        <w:tabs>
          <w:tab w:val="left" w:pos="567"/>
          <w:tab w:val="left" w:pos="1276"/>
          <w:tab w:val="right" w:leader="dot" w:pos="10065"/>
        </w:tabs>
        <w:ind w:left="0"/>
      </w:pPr>
      <w:r>
        <w:t>4</w:t>
      </w:r>
      <w:r w:rsidRPr="002A7565">
        <w:t>.1</w:t>
      </w:r>
      <w:r>
        <w:tab/>
        <w:t xml:space="preserve">Western </w:t>
      </w:r>
      <w:r w:rsidRPr="005675D9">
        <w:t>region overview</w:t>
      </w:r>
      <w:r>
        <w:tab/>
        <w:t>12</w:t>
      </w:r>
      <w:r w:rsidR="00631C22">
        <w:t>9</w:t>
      </w:r>
    </w:p>
    <w:p w:rsidR="00655786" w:rsidRPr="002A7565" w:rsidRDefault="00655786" w:rsidP="00655786">
      <w:pPr>
        <w:pStyle w:val="BodyText"/>
        <w:tabs>
          <w:tab w:val="left" w:pos="567"/>
          <w:tab w:val="left" w:pos="1276"/>
          <w:tab w:val="right" w:leader="dot" w:pos="10065"/>
        </w:tabs>
        <w:ind w:left="0"/>
      </w:pPr>
      <w:r>
        <w:t>4</w:t>
      </w:r>
      <w:r w:rsidRPr="002A7565">
        <w:t>.2.</w:t>
      </w:r>
      <w:r>
        <w:tab/>
        <w:t>Glenelg</w:t>
      </w:r>
      <w:r w:rsidRPr="005675D9">
        <w:t xml:space="preserve"> system</w:t>
      </w:r>
      <w:r>
        <w:tab/>
      </w:r>
      <w:r w:rsidR="00F71DF3">
        <w:t>13</w:t>
      </w:r>
      <w:r w:rsidR="00631C22">
        <w:t>8</w:t>
      </w:r>
    </w:p>
    <w:p w:rsidR="00655786" w:rsidRPr="002A7565" w:rsidRDefault="00655786" w:rsidP="00655786">
      <w:pPr>
        <w:pStyle w:val="BodyText"/>
        <w:tabs>
          <w:tab w:val="left" w:pos="567"/>
          <w:tab w:val="left" w:pos="1276"/>
          <w:tab w:val="right" w:leader="dot" w:pos="10065"/>
        </w:tabs>
        <w:ind w:left="0"/>
      </w:pPr>
      <w:r>
        <w:t>4</w:t>
      </w:r>
      <w:r w:rsidRPr="002A7565">
        <w:t xml:space="preserve">.3 </w:t>
      </w:r>
      <w:r>
        <w:tab/>
        <w:t>Wimmera</w:t>
      </w:r>
      <w:r w:rsidRPr="005675D9">
        <w:t xml:space="preserve"> system</w:t>
      </w:r>
      <w:r>
        <w:tab/>
      </w:r>
      <w:r w:rsidR="00F71DF3">
        <w:t>14</w:t>
      </w:r>
      <w:r w:rsidR="00631C22">
        <w:t>6</w:t>
      </w:r>
    </w:p>
    <w:p w:rsidR="00655786" w:rsidRPr="002A7565" w:rsidRDefault="00655786" w:rsidP="00655786">
      <w:pPr>
        <w:pStyle w:val="BodyText"/>
        <w:tabs>
          <w:tab w:val="left" w:pos="567"/>
          <w:tab w:val="left" w:pos="1276"/>
          <w:tab w:val="right" w:leader="dot" w:pos="10065"/>
        </w:tabs>
        <w:ind w:left="0"/>
      </w:pPr>
      <w:r>
        <w:t>4</w:t>
      </w:r>
      <w:r w:rsidRPr="002A7565">
        <w:t>.4</w:t>
      </w:r>
      <w:r>
        <w:tab/>
        <w:t>Wimmera-Mallee</w:t>
      </w:r>
      <w:r w:rsidRPr="005675D9">
        <w:t xml:space="preserve"> </w:t>
      </w:r>
      <w:r>
        <w:t>wetlands</w:t>
      </w:r>
      <w:r>
        <w:tab/>
      </w:r>
      <w:r w:rsidR="00F71DF3">
        <w:t>1</w:t>
      </w:r>
      <w:r w:rsidR="00631C22">
        <w:t>60</w:t>
      </w:r>
    </w:p>
    <w:p w:rsidR="00655786" w:rsidRDefault="00655786" w:rsidP="00655786">
      <w:pPr>
        <w:pStyle w:val="BodyText"/>
        <w:tabs>
          <w:tab w:val="left" w:pos="567"/>
          <w:tab w:val="left" w:pos="1276"/>
          <w:tab w:val="right" w:leader="dot" w:pos="10065"/>
        </w:tabs>
        <w:ind w:left="0"/>
      </w:pPr>
    </w:p>
    <w:p w:rsidR="00655786" w:rsidRDefault="00655786">
      <w:pPr>
        <w:rPr>
          <w:sz w:val="14"/>
        </w:rPr>
      </w:pPr>
      <w:r>
        <w:rPr>
          <w:sz w:val="14"/>
        </w:rPr>
        <w:br w:type="page"/>
      </w:r>
    </w:p>
    <w:p w:rsidR="006A7A3F" w:rsidRDefault="006A7A3F">
      <w:pPr>
        <w:spacing w:before="129" w:line="266" w:lineRule="auto"/>
        <w:ind w:left="323" w:right="100" w:hanging="114"/>
        <w:rPr>
          <w:sz w:val="14"/>
        </w:rPr>
      </w:pPr>
    </w:p>
    <w:p w:rsidR="006A7A3F" w:rsidRDefault="00BC7372">
      <w:pPr>
        <w:pStyle w:val="Heading1"/>
        <w:numPr>
          <w:ilvl w:val="1"/>
          <w:numId w:val="1034"/>
        </w:numPr>
        <w:tabs>
          <w:tab w:val="left" w:pos="911"/>
        </w:tabs>
        <w:spacing w:before="64"/>
      </w:pPr>
      <w:r>
        <w:rPr>
          <w:color w:val="231F20"/>
        </w:rPr>
        <w:t>Western region</w:t>
      </w:r>
      <w:r>
        <w:rPr>
          <w:color w:val="231F20"/>
          <w:spacing w:val="-2"/>
        </w:rPr>
        <w:t xml:space="preserve"> </w:t>
      </w:r>
      <w:r>
        <w:rPr>
          <w:color w:val="231F20"/>
        </w:rPr>
        <w:t>overview</w:t>
      </w:r>
    </w:p>
    <w:p w:rsidR="006A7A3F" w:rsidRDefault="00BC7372">
      <w:pPr>
        <w:pStyle w:val="Heading2"/>
        <w:spacing w:line="249" w:lineRule="auto"/>
      </w:pPr>
      <w:r>
        <w:rPr>
          <w:color w:val="231F20"/>
        </w:rPr>
        <w:t>The systems in the western region that can receive water from the VEWH’s environmental entitlements are the Glenelg River, the Wimmera River system and the Wimmera-Mallee wetlands. The Wimmera River system and Wimmera-Mallee wetlands are part of the Murray-Darling Basin, although the Wimmera River ends in terminal lakes without directly flowing into the Murray River.</w:t>
      </w:r>
    </w:p>
    <w:p w:rsidR="006A7A3F" w:rsidRDefault="00BC7372">
      <w:pPr>
        <w:pStyle w:val="BodyText"/>
        <w:spacing w:before="151" w:line="249" w:lineRule="auto"/>
        <w:ind w:right="238"/>
      </w:pPr>
      <w:r>
        <w:rPr>
          <w:color w:val="231F20"/>
        </w:rPr>
        <w:t>Water for the environment in the western region is supplied from the Wimmera-Mallee headworks system. The Wimmera and Glenelg systems share water available under the environmental entitlement and the VEWH works with the Wimmera and Glenelg Hopkins CMAs to determine how the available allocation will be used in each river in a given year. There is an additional volume of water available to the Glenelg River, as a compensation flow account. The Commonwealth Environmental Water Holder (CEWH) also holds entitlement in the Wimmera system that can be used to supply the Wimmera River and lower Mount William Creek systems. Water for the environment available to the Wimmera-Mallee wetlands is provided under the same entitlement but not shared with the Glenelg system. Instead, the water is available for use in small wetlands supplied by the Wimmera-Mallee pipeline across the Wimmera, Mallee and North Central CMA regions.</w:t>
      </w:r>
    </w:p>
    <w:p w:rsidR="006A7A3F" w:rsidRDefault="00BC7372">
      <w:pPr>
        <w:pStyle w:val="BodyText"/>
        <w:spacing w:before="178" w:line="249" w:lineRule="auto"/>
        <w:ind w:right="196"/>
      </w:pPr>
      <w:r>
        <w:rPr>
          <w:color w:val="231F20"/>
        </w:rPr>
        <w:t>Environmental values, recent conditions, environmental watering objectives and planned actions for each system in the western region are presented in the system sections that follow this regional overview.</w:t>
      </w:r>
    </w:p>
    <w:p w:rsidR="006A7A3F" w:rsidRDefault="006A7A3F">
      <w:pPr>
        <w:pStyle w:val="BodyText"/>
        <w:spacing w:before="1"/>
        <w:ind w:left="0"/>
      </w:pPr>
    </w:p>
    <w:p w:rsidR="006A7A3F" w:rsidRDefault="00BC7372">
      <w:pPr>
        <w:pStyle w:val="Heading4"/>
      </w:pPr>
      <w:r>
        <w:rPr>
          <w:color w:val="231F20"/>
        </w:rPr>
        <w:t>Traditional Owners in the western region</w:t>
      </w:r>
    </w:p>
    <w:p w:rsidR="006A7A3F" w:rsidRDefault="00BC7372">
      <w:pPr>
        <w:pStyle w:val="BodyText"/>
        <w:spacing w:before="58"/>
      </w:pPr>
      <w:r>
        <w:rPr>
          <w:color w:val="231F20"/>
        </w:rPr>
        <w:t>Traditional Owners in the western region have a deep connection to the region’s rivers, wetlands and floodplains.</w:t>
      </w:r>
    </w:p>
    <w:p w:rsidR="006A7A3F" w:rsidRDefault="00BC7372">
      <w:pPr>
        <w:pStyle w:val="BodyText"/>
        <w:spacing w:before="180" w:line="249" w:lineRule="auto"/>
        <w:ind w:right="837"/>
        <w:jc w:val="both"/>
      </w:pPr>
      <w:r>
        <w:rPr>
          <w:color w:val="231F20"/>
        </w:rPr>
        <w:t>The</w:t>
      </w:r>
      <w:r>
        <w:rPr>
          <w:color w:val="231F20"/>
          <w:spacing w:val="-4"/>
        </w:rPr>
        <w:t xml:space="preserve"> </w:t>
      </w:r>
      <w:r>
        <w:rPr>
          <w:color w:val="231F20"/>
        </w:rPr>
        <w:t>Barengi</w:t>
      </w:r>
      <w:r>
        <w:rPr>
          <w:color w:val="231F20"/>
          <w:spacing w:val="-4"/>
        </w:rPr>
        <w:t xml:space="preserve"> </w:t>
      </w:r>
      <w:r>
        <w:rPr>
          <w:color w:val="231F20"/>
        </w:rPr>
        <w:t>Gadjin</w:t>
      </w:r>
      <w:r>
        <w:rPr>
          <w:color w:val="231F20"/>
          <w:spacing w:val="-4"/>
        </w:rPr>
        <w:t xml:space="preserve"> </w:t>
      </w:r>
      <w:r>
        <w:rPr>
          <w:color w:val="231F20"/>
        </w:rPr>
        <w:t>Land</w:t>
      </w:r>
      <w:r>
        <w:rPr>
          <w:color w:val="231F20"/>
          <w:spacing w:val="-4"/>
        </w:rPr>
        <w:t xml:space="preserve"> </w:t>
      </w:r>
      <w:r>
        <w:rPr>
          <w:color w:val="231F20"/>
        </w:rPr>
        <w:t>Council</w:t>
      </w:r>
      <w:r>
        <w:rPr>
          <w:color w:val="231F20"/>
          <w:spacing w:val="-14"/>
        </w:rPr>
        <w:t xml:space="preserve"> </w:t>
      </w:r>
      <w:r>
        <w:rPr>
          <w:color w:val="231F20"/>
        </w:rPr>
        <w:t>Aboriginal</w:t>
      </w:r>
      <w:r>
        <w:rPr>
          <w:color w:val="231F20"/>
          <w:spacing w:val="-4"/>
        </w:rPr>
        <w:t xml:space="preserve"> </w:t>
      </w:r>
      <w:r>
        <w:rPr>
          <w:color w:val="231F20"/>
        </w:rPr>
        <w:t>Corporation,</w:t>
      </w:r>
      <w:r>
        <w:rPr>
          <w:color w:val="231F20"/>
          <w:spacing w:val="-4"/>
        </w:rPr>
        <w:t xml:space="preserve"> </w:t>
      </w:r>
      <w:r>
        <w:rPr>
          <w:color w:val="231F20"/>
        </w:rPr>
        <w:t>Dja</w:t>
      </w:r>
      <w:r>
        <w:rPr>
          <w:color w:val="231F20"/>
          <w:spacing w:val="-5"/>
        </w:rPr>
        <w:t xml:space="preserve"> </w:t>
      </w:r>
      <w:r>
        <w:rPr>
          <w:color w:val="231F20"/>
        </w:rPr>
        <w:t>Dja</w:t>
      </w:r>
      <w:r>
        <w:rPr>
          <w:color w:val="231F20"/>
          <w:spacing w:val="-5"/>
        </w:rPr>
        <w:t xml:space="preserve"> </w:t>
      </w:r>
      <w:r>
        <w:rPr>
          <w:color w:val="231F20"/>
        </w:rPr>
        <w:t>Wurrung</w:t>
      </w:r>
      <w:r>
        <w:rPr>
          <w:color w:val="231F20"/>
          <w:spacing w:val="-4"/>
        </w:rPr>
        <w:t xml:space="preserve"> </w:t>
      </w:r>
      <w:r>
        <w:rPr>
          <w:color w:val="231F20"/>
        </w:rPr>
        <w:t>Clans</w:t>
      </w:r>
      <w:r>
        <w:rPr>
          <w:color w:val="231F20"/>
          <w:spacing w:val="-14"/>
        </w:rPr>
        <w:t xml:space="preserve"> </w:t>
      </w:r>
      <w:r>
        <w:rPr>
          <w:color w:val="231F20"/>
        </w:rPr>
        <w:t>Aboriginal</w:t>
      </w:r>
      <w:r>
        <w:rPr>
          <w:color w:val="231F20"/>
          <w:spacing w:val="-4"/>
        </w:rPr>
        <w:t xml:space="preserve"> </w:t>
      </w:r>
      <w:r>
        <w:rPr>
          <w:color w:val="231F20"/>
        </w:rPr>
        <w:t>Corporation</w:t>
      </w:r>
      <w:r>
        <w:rPr>
          <w:color w:val="231F20"/>
          <w:spacing w:val="-5"/>
        </w:rPr>
        <w:t xml:space="preserve"> </w:t>
      </w:r>
      <w:r>
        <w:rPr>
          <w:color w:val="231F20"/>
        </w:rPr>
        <w:t>and Gunditj</w:t>
      </w:r>
      <w:r>
        <w:rPr>
          <w:color w:val="231F20"/>
          <w:spacing w:val="-3"/>
        </w:rPr>
        <w:t xml:space="preserve"> </w:t>
      </w:r>
      <w:r>
        <w:rPr>
          <w:color w:val="231F20"/>
        </w:rPr>
        <w:t>Mirring</w:t>
      </w:r>
      <w:r>
        <w:rPr>
          <w:color w:val="231F20"/>
          <w:spacing w:val="-6"/>
        </w:rPr>
        <w:t xml:space="preserve"> </w:t>
      </w:r>
      <w:r>
        <w:rPr>
          <w:color w:val="231F20"/>
        </w:rPr>
        <w:t>Traditional</w:t>
      </w:r>
      <w:r>
        <w:rPr>
          <w:color w:val="231F20"/>
          <w:spacing w:val="-3"/>
        </w:rPr>
        <w:t xml:space="preserve"> </w:t>
      </w:r>
      <w:r>
        <w:rPr>
          <w:color w:val="231F20"/>
        </w:rPr>
        <w:t>Owners</w:t>
      </w:r>
      <w:r>
        <w:rPr>
          <w:color w:val="231F20"/>
          <w:spacing w:val="-13"/>
        </w:rPr>
        <w:t xml:space="preserve"> </w:t>
      </w:r>
      <w:r>
        <w:rPr>
          <w:color w:val="231F20"/>
        </w:rPr>
        <w:t>Aboriginal</w:t>
      </w:r>
      <w:r>
        <w:rPr>
          <w:color w:val="231F20"/>
          <w:spacing w:val="-3"/>
        </w:rPr>
        <w:t xml:space="preserve"> </w:t>
      </w:r>
      <w:r>
        <w:rPr>
          <w:color w:val="231F20"/>
        </w:rPr>
        <w:t>Corporation</w:t>
      </w:r>
      <w:r>
        <w:rPr>
          <w:color w:val="231F20"/>
          <w:spacing w:val="-3"/>
        </w:rPr>
        <w:t xml:space="preserve"> </w:t>
      </w:r>
      <w:r>
        <w:rPr>
          <w:color w:val="231F20"/>
        </w:rPr>
        <w:t>are</w:t>
      </w:r>
      <w:r>
        <w:rPr>
          <w:color w:val="231F20"/>
          <w:spacing w:val="-4"/>
        </w:rPr>
        <w:t xml:space="preserve"> </w:t>
      </w:r>
      <w:r>
        <w:rPr>
          <w:color w:val="231F20"/>
        </w:rPr>
        <w:t>the</w:t>
      </w:r>
      <w:r>
        <w:rPr>
          <w:color w:val="231F20"/>
          <w:spacing w:val="-2"/>
        </w:rPr>
        <w:t xml:space="preserve"> </w:t>
      </w:r>
      <w:r>
        <w:rPr>
          <w:color w:val="231F20"/>
        </w:rPr>
        <w:t>Registered</w:t>
      </w:r>
      <w:r>
        <w:rPr>
          <w:color w:val="231F20"/>
          <w:spacing w:val="-13"/>
        </w:rPr>
        <w:t xml:space="preserve"> </w:t>
      </w:r>
      <w:r>
        <w:rPr>
          <w:color w:val="231F20"/>
        </w:rPr>
        <w:t>Aboriginal</w:t>
      </w:r>
      <w:r>
        <w:rPr>
          <w:color w:val="231F20"/>
          <w:spacing w:val="-3"/>
        </w:rPr>
        <w:t xml:space="preserve"> </w:t>
      </w:r>
      <w:r>
        <w:rPr>
          <w:color w:val="231F20"/>
        </w:rPr>
        <w:t>Parties</w:t>
      </w:r>
      <w:r>
        <w:rPr>
          <w:color w:val="231F20"/>
          <w:spacing w:val="-2"/>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areas incorporating waterways covered by this section of the seasonal watering</w:t>
      </w:r>
      <w:r>
        <w:rPr>
          <w:color w:val="231F20"/>
          <w:spacing w:val="-11"/>
        </w:rPr>
        <w:t xml:space="preserve"> </w:t>
      </w:r>
      <w:r>
        <w:rPr>
          <w:color w:val="231F20"/>
        </w:rPr>
        <w:t>plan.</w:t>
      </w:r>
    </w:p>
    <w:p w:rsidR="006A7A3F" w:rsidRDefault="00BC7372">
      <w:pPr>
        <w:pStyle w:val="BodyText"/>
        <w:spacing w:before="173" w:line="249" w:lineRule="auto"/>
        <w:ind w:right="199"/>
      </w:pPr>
      <w:r>
        <w:rPr>
          <w:color w:val="231F20"/>
        </w:rPr>
        <w:t>Burrandies Aboriginal Corporation (based in South Australia [SA]) represent the Boandik Traditional Owners for the south-west corner of the Glenelg River catchment.</w:t>
      </w:r>
    </w:p>
    <w:p w:rsidR="006A7A3F" w:rsidRDefault="00BC7372">
      <w:pPr>
        <w:pStyle w:val="BodyText"/>
        <w:spacing w:before="171" w:line="249" w:lineRule="auto"/>
        <w:ind w:right="263"/>
      </w:pPr>
      <w:r>
        <w:rPr>
          <w:color w:val="231F20"/>
        </w:rPr>
        <w:t>In 2005, the Wotjobaluk, Jaadwa, Jadawadjali, Wergaia and Jupagalk peoples, who are often referred to collectively as the Wotjobaluk Peoples and who are represented by Barengi Gadjin Land Council, were recognised in a Native Title Consent Determination. Barengi Gadjin Land Council also entered into an Indigenous Land Use Agreement with the Victorian and Australian governments in 2005.</w:t>
      </w:r>
    </w:p>
    <w:p w:rsidR="006A7A3F" w:rsidRDefault="00BC7372">
      <w:pPr>
        <w:pStyle w:val="BodyText"/>
        <w:spacing w:before="174" w:line="249" w:lineRule="auto"/>
        <w:ind w:right="256"/>
      </w:pPr>
      <w:r>
        <w:rPr>
          <w:color w:val="231F20"/>
        </w:rPr>
        <w:t>In 2007, the Gunditjmara people were granted nonexclusive native title rights and interests over almost 140,000 ha of vacant Crown land, national parks, reserves, rivers, creeks and sea in Victoria’s western district, and the State of Victoria reached an Indigenous Land Use Agreement with the Gunditjmara People that establishes how they will exercise their rights and interests in the determination</w:t>
      </w:r>
      <w:r>
        <w:rPr>
          <w:color w:val="231F20"/>
          <w:spacing w:val="-8"/>
        </w:rPr>
        <w:t xml:space="preserve"> </w:t>
      </w:r>
      <w:r>
        <w:rPr>
          <w:color w:val="231F20"/>
        </w:rPr>
        <w:t>area.</w:t>
      </w:r>
    </w:p>
    <w:p w:rsidR="006A7A3F" w:rsidRDefault="00BC7372">
      <w:pPr>
        <w:pStyle w:val="BodyText"/>
        <w:spacing w:before="173" w:line="249" w:lineRule="auto"/>
        <w:ind w:right="100"/>
      </w:pPr>
      <w:r>
        <w:rPr>
          <w:color w:val="231F20"/>
        </w:rPr>
        <w:t>In 2013, the Dja Dja Wurrung Clans Aboriginal Corporation entered into a recognition and settlement agreement under the Traditional Owner Settlement Act 2010 in Victoria. Under the agreement, Dja Dja Wurrung people have rights to access and use water for traditional purposes, providing the take of water does not affect other parties.</w:t>
      </w:r>
    </w:p>
    <w:p w:rsidR="006A7A3F" w:rsidRDefault="00BC7372">
      <w:pPr>
        <w:pStyle w:val="BodyText"/>
        <w:spacing w:before="173" w:line="249" w:lineRule="auto"/>
        <w:ind w:right="434"/>
        <w:jc w:val="both"/>
      </w:pPr>
      <w:r>
        <w:rPr>
          <w:color w:val="231F20"/>
        </w:rPr>
        <w:t>The</w:t>
      </w:r>
      <w:r>
        <w:rPr>
          <w:color w:val="231F20"/>
          <w:spacing w:val="-3"/>
        </w:rPr>
        <w:t xml:space="preserve"> </w:t>
      </w:r>
      <w:r>
        <w:rPr>
          <w:color w:val="231F20"/>
        </w:rPr>
        <w:t>Eastern</w:t>
      </w:r>
      <w:r>
        <w:rPr>
          <w:color w:val="231F20"/>
          <w:spacing w:val="-3"/>
        </w:rPr>
        <w:t xml:space="preserve"> </w:t>
      </w:r>
      <w:r>
        <w:rPr>
          <w:color w:val="231F20"/>
        </w:rPr>
        <w:t>Maar</w:t>
      </w:r>
      <w:r>
        <w:rPr>
          <w:color w:val="231F20"/>
          <w:spacing w:val="-13"/>
        </w:rPr>
        <w:t xml:space="preserve"> </w:t>
      </w:r>
      <w:r>
        <w:rPr>
          <w:color w:val="231F20"/>
        </w:rPr>
        <w:t>Aboriginal</w:t>
      </w:r>
      <w:r>
        <w:rPr>
          <w:color w:val="231F20"/>
          <w:spacing w:val="-3"/>
        </w:rPr>
        <w:t xml:space="preserve"> </w:t>
      </w:r>
      <w:r>
        <w:rPr>
          <w:color w:val="231F20"/>
        </w:rPr>
        <w:t>Corporation</w:t>
      </w:r>
      <w:r>
        <w:rPr>
          <w:color w:val="231F20"/>
          <w:spacing w:val="-4"/>
        </w:rPr>
        <w:t xml:space="preserve"> </w:t>
      </w:r>
      <w:r>
        <w:rPr>
          <w:color w:val="231F20"/>
        </w:rPr>
        <w:t>is</w:t>
      </w:r>
      <w:r>
        <w:rPr>
          <w:color w:val="231F20"/>
          <w:spacing w:val="-3"/>
        </w:rPr>
        <w:t xml:space="preserve"> </w:t>
      </w:r>
      <w:r>
        <w:rPr>
          <w:color w:val="231F20"/>
        </w:rPr>
        <w:t>also</w:t>
      </w:r>
      <w:r>
        <w:rPr>
          <w:color w:val="231F20"/>
          <w:spacing w:val="-4"/>
        </w:rPr>
        <w:t xml:space="preserve"> </w:t>
      </w:r>
      <w:r>
        <w:rPr>
          <w:color w:val="231F20"/>
        </w:rPr>
        <w:t>a</w:t>
      </w:r>
      <w:r>
        <w:rPr>
          <w:color w:val="231F20"/>
          <w:spacing w:val="-4"/>
        </w:rPr>
        <w:t xml:space="preserve"> </w:t>
      </w:r>
      <w:r>
        <w:rPr>
          <w:color w:val="231F20"/>
        </w:rPr>
        <w:t>Registered</w:t>
      </w:r>
      <w:r>
        <w:rPr>
          <w:color w:val="231F20"/>
          <w:spacing w:val="-13"/>
        </w:rPr>
        <w:t xml:space="preserve"> </w:t>
      </w:r>
      <w:r>
        <w:rPr>
          <w:color w:val="231F20"/>
        </w:rPr>
        <w:t>Aboriginal</w:t>
      </w:r>
      <w:r>
        <w:rPr>
          <w:color w:val="231F20"/>
          <w:spacing w:val="-3"/>
        </w:rPr>
        <w:t xml:space="preserve"> </w:t>
      </w:r>
      <w:r>
        <w:rPr>
          <w:color w:val="231F20"/>
        </w:rPr>
        <w:t>Party</w:t>
      </w:r>
      <w:r>
        <w:rPr>
          <w:color w:val="231F20"/>
          <w:spacing w:val="-2"/>
        </w:rPr>
        <w:t xml:space="preserve"> </w:t>
      </w:r>
      <w:r>
        <w:rPr>
          <w:color w:val="231F20"/>
        </w:rPr>
        <w:t>within</w:t>
      </w:r>
      <w:r>
        <w:rPr>
          <w:color w:val="231F20"/>
          <w:spacing w:val="-4"/>
        </w:rPr>
        <w:t xml:space="preserve"> </w:t>
      </w:r>
      <w:r>
        <w:rPr>
          <w:color w:val="231F20"/>
        </w:rPr>
        <w:t>the</w:t>
      </w:r>
      <w:r>
        <w:rPr>
          <w:color w:val="231F20"/>
          <w:spacing w:val="-3"/>
        </w:rPr>
        <w:t xml:space="preserve"> </w:t>
      </w:r>
      <w:r>
        <w:rPr>
          <w:color w:val="231F20"/>
        </w:rPr>
        <w:t>geographic</w:t>
      </w:r>
      <w:r>
        <w:rPr>
          <w:color w:val="231F20"/>
          <w:spacing w:val="-4"/>
        </w:rPr>
        <w:t xml:space="preserve"> </w:t>
      </w:r>
      <w:r>
        <w:rPr>
          <w:color w:val="231F20"/>
        </w:rPr>
        <w:t>area,</w:t>
      </w:r>
      <w:r>
        <w:rPr>
          <w:color w:val="231F20"/>
          <w:spacing w:val="-3"/>
        </w:rPr>
        <w:t xml:space="preserve"> </w:t>
      </w:r>
      <w:r>
        <w:rPr>
          <w:color w:val="231F20"/>
        </w:rPr>
        <w:t>but</w:t>
      </w:r>
      <w:r>
        <w:rPr>
          <w:color w:val="231F20"/>
          <w:spacing w:val="-4"/>
        </w:rPr>
        <w:t xml:space="preserve"> </w:t>
      </w:r>
      <w:r>
        <w:rPr>
          <w:color w:val="231F20"/>
        </w:rPr>
        <w:t>its boundaries do not incorporate waterways managed with water for the environment in this section of the seasonal watering</w:t>
      </w:r>
      <w:r>
        <w:rPr>
          <w:color w:val="231F20"/>
          <w:spacing w:val="-2"/>
        </w:rPr>
        <w:t xml:space="preserve"> </w:t>
      </w:r>
      <w:r>
        <w:rPr>
          <w:color w:val="231F20"/>
        </w:rPr>
        <w:t>plan.</w:t>
      </w:r>
    </w:p>
    <w:p w:rsidR="00AF39EE" w:rsidRDefault="00AF39EE">
      <w:pPr>
        <w:rPr>
          <w:sz w:val="20"/>
          <w:szCs w:val="20"/>
        </w:rPr>
      </w:pPr>
      <w:r>
        <w:rPr>
          <w:b/>
          <w:bCs/>
          <w:sz w:val="20"/>
          <w:szCs w:val="20"/>
        </w:rPr>
        <w:br w:type="page"/>
      </w:r>
    </w:p>
    <w:p w:rsidR="006A7A3F" w:rsidRDefault="00BC7372">
      <w:pPr>
        <w:pStyle w:val="Heading4"/>
      </w:pPr>
      <w:r>
        <w:rPr>
          <w:color w:val="231F20"/>
        </w:rPr>
        <w:t>Engagement</w:t>
      </w:r>
    </w:p>
    <w:p w:rsidR="006A7A3F" w:rsidRDefault="00BC7372" w:rsidP="00250109">
      <w:pPr>
        <w:pStyle w:val="BodyText"/>
        <w:spacing w:before="59" w:line="249" w:lineRule="auto"/>
        <w:ind w:right="574"/>
      </w:pPr>
      <w:r>
        <w:rPr>
          <w:color w:val="231F20"/>
        </w:rPr>
        <w:t>Seasonal watering proposals are informed by community, stakeholder and program partner engagement, as well as longer-term regional catchment strategies, regional waterway strategies, relevant technical studies (such as environmental flow studies and environmental water management plans). Program partners and other</w:t>
      </w:r>
      <w:r w:rsidR="00250109">
        <w:rPr>
          <w:color w:val="231F20"/>
        </w:rPr>
        <w:t xml:space="preserve"> </w:t>
      </w:r>
      <w:r>
        <w:rPr>
          <w:color w:val="231F20"/>
        </w:rPr>
        <w:t>stakeholders help to identify environmental watering priorities and opportunities for the coming year. The strategies and technical reports collectively describe a range of environmental, cultural, economic, social and Traditional Owner perspectives and longer-term integrated catchment and waterway management objectives that influence environmental watering actions and priorities.</w:t>
      </w:r>
    </w:p>
    <w:p w:rsidR="006A7A3F" w:rsidRDefault="00BC7372" w:rsidP="00AF39EE">
      <w:pPr>
        <w:pStyle w:val="BodyText"/>
        <w:spacing w:before="173" w:line="249" w:lineRule="auto"/>
        <w:ind w:right="457"/>
      </w:pPr>
      <w:r>
        <w:rPr>
          <w:color w:val="231F20"/>
        </w:rPr>
        <w:t>The International Association for Public Participation’s Public Participation Spectrum (IAP2 Spectrum) has been used to categorise the levels of participation of stakeholders involved in the environmental watering planning</w:t>
      </w:r>
      <w:r w:rsidR="00AF39EE">
        <w:t xml:space="preserve"> </w:t>
      </w:r>
      <w:r>
        <w:rPr>
          <w:color w:val="231F20"/>
        </w:rPr>
        <w:t>process. Table 4.1.1 shows the IAP2 Spectrum categories and participation goals.</w:t>
      </w:r>
    </w:p>
    <w:p w:rsidR="006A7A3F" w:rsidRDefault="00BC7372">
      <w:pPr>
        <w:spacing w:before="175" w:line="249" w:lineRule="auto"/>
        <w:ind w:left="210" w:right="457"/>
        <w:rPr>
          <w:b/>
          <w:sz w:val="10"/>
        </w:rPr>
      </w:pPr>
      <w:r>
        <w:rPr>
          <w:b/>
          <w:color w:val="231F20"/>
          <w:sz w:val="18"/>
        </w:rPr>
        <w:t>Table 4.1.1 International Association for Public Participation’s Public Participation Spectrum categories and participation goals</w:t>
      </w:r>
      <w:r>
        <w:rPr>
          <w:b/>
          <w:color w:val="231F20"/>
          <w:position w:val="6"/>
          <w:sz w:val="10"/>
        </w:rPr>
        <w:t>1</w:t>
      </w:r>
    </w:p>
    <w:p w:rsidR="006A7A3F" w:rsidRDefault="006A7A3F">
      <w:pPr>
        <w:pStyle w:val="BodyText"/>
        <w:spacing w:before="10"/>
        <w:ind w:left="0"/>
        <w:rPr>
          <w:b/>
          <w:sz w:val="7"/>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268"/>
        <w:gridCol w:w="7927"/>
      </w:tblGrid>
      <w:tr w:rsidR="006A7A3F">
        <w:trPr>
          <w:trHeight w:val="367"/>
        </w:trPr>
        <w:tc>
          <w:tcPr>
            <w:tcW w:w="2268"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IAP2 level</w:t>
            </w:r>
          </w:p>
        </w:tc>
        <w:tc>
          <w:tcPr>
            <w:tcW w:w="7927"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Engagement goal</w:t>
            </w:r>
          </w:p>
        </w:tc>
      </w:tr>
      <w:tr w:rsidR="006A7A3F">
        <w:trPr>
          <w:trHeight w:val="567"/>
        </w:trPr>
        <w:tc>
          <w:tcPr>
            <w:tcW w:w="2268" w:type="dxa"/>
            <w:tcBorders>
              <w:top w:val="nil"/>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Inform</w:t>
            </w:r>
          </w:p>
        </w:tc>
        <w:tc>
          <w:tcPr>
            <w:tcW w:w="7927" w:type="dxa"/>
            <w:tcBorders>
              <w:top w:val="nil"/>
              <w:left w:val="single" w:sz="4" w:space="0" w:color="231F20"/>
              <w:bottom w:val="single" w:sz="4" w:space="0" w:color="231F20"/>
              <w:right w:val="single" w:sz="4" w:space="0" w:color="231F20"/>
            </w:tcBorders>
          </w:tcPr>
          <w:p w:rsidR="006A7A3F" w:rsidRPr="00AF39EE" w:rsidRDefault="00BC7372">
            <w:pPr>
              <w:pStyle w:val="TableParagraph"/>
              <w:spacing w:before="70" w:line="254" w:lineRule="auto"/>
              <w:ind w:left="84"/>
              <w:rPr>
                <w:sz w:val="16"/>
                <w:szCs w:val="16"/>
              </w:rPr>
            </w:pPr>
            <w:r w:rsidRPr="00AF39EE">
              <w:rPr>
                <w:color w:val="231F20"/>
                <w:sz w:val="16"/>
                <w:szCs w:val="16"/>
              </w:rPr>
              <w:t>Provide balanced and objective information to assist understanding, alternatives, opportunities and/or solutions</w:t>
            </w:r>
          </w:p>
        </w:tc>
      </w:tr>
      <w:tr w:rsidR="006A7A3F">
        <w:trPr>
          <w:trHeight w:val="347"/>
        </w:trPr>
        <w:tc>
          <w:tcPr>
            <w:tcW w:w="2268"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Consult</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sz w:val="16"/>
                <w:szCs w:val="16"/>
              </w:rPr>
            </w:pPr>
            <w:r w:rsidRPr="00AF39EE">
              <w:rPr>
                <w:color w:val="231F20"/>
                <w:sz w:val="16"/>
                <w:szCs w:val="16"/>
              </w:rPr>
              <w:t>Obtain feedback on analysis, alternatives and/or decisions</w:t>
            </w:r>
          </w:p>
        </w:tc>
      </w:tr>
      <w:tr w:rsidR="006A7A3F">
        <w:trPr>
          <w:trHeight w:val="567"/>
        </w:trPr>
        <w:tc>
          <w:tcPr>
            <w:tcW w:w="2268"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Involve</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line="254" w:lineRule="auto"/>
              <w:ind w:left="84"/>
              <w:rPr>
                <w:sz w:val="16"/>
                <w:szCs w:val="16"/>
              </w:rPr>
            </w:pPr>
            <w:r w:rsidRPr="00AF39EE">
              <w:rPr>
                <w:color w:val="231F20"/>
                <w:sz w:val="16"/>
                <w:szCs w:val="16"/>
              </w:rPr>
              <w:t>Work directly throughout a process to ensure that concerns and aspirations are consistently understood and considered</w:t>
            </w:r>
          </w:p>
        </w:tc>
      </w:tr>
      <w:tr w:rsidR="006A7A3F">
        <w:trPr>
          <w:trHeight w:val="567"/>
        </w:trPr>
        <w:tc>
          <w:tcPr>
            <w:tcW w:w="2268"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Collaborate</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line="254" w:lineRule="auto"/>
              <w:ind w:left="84" w:right="838"/>
              <w:rPr>
                <w:sz w:val="16"/>
                <w:szCs w:val="16"/>
              </w:rPr>
            </w:pPr>
            <w:r w:rsidRPr="00AF39EE">
              <w:rPr>
                <w:color w:val="231F20"/>
                <w:sz w:val="16"/>
                <w:szCs w:val="16"/>
              </w:rPr>
              <w:t>Partner in each aspect of the decision including the development of alternatives and the identification of the preferred solution</w:t>
            </w:r>
          </w:p>
        </w:tc>
      </w:tr>
      <w:tr w:rsidR="006A7A3F">
        <w:trPr>
          <w:trHeight w:val="347"/>
        </w:trPr>
        <w:tc>
          <w:tcPr>
            <w:tcW w:w="2268"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Empower</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sz w:val="16"/>
                <w:szCs w:val="16"/>
              </w:rPr>
            </w:pPr>
            <w:r w:rsidRPr="00AF39EE">
              <w:rPr>
                <w:color w:val="231F20"/>
                <w:sz w:val="16"/>
                <w:szCs w:val="16"/>
              </w:rPr>
              <w:t>Place final decision making in the hands of the stakeholder</w:t>
            </w:r>
          </w:p>
        </w:tc>
      </w:tr>
    </w:tbl>
    <w:p w:rsidR="006A7A3F" w:rsidRDefault="00BC7372">
      <w:pPr>
        <w:pStyle w:val="BodyText"/>
        <w:spacing w:before="143" w:line="249" w:lineRule="auto"/>
        <w:ind w:right="329"/>
      </w:pPr>
      <w:r>
        <w:rPr>
          <w:color w:val="231F20"/>
        </w:rPr>
        <w:t>Tables 4.1.2, 4.1.3 and 4.1.4 show the partners, stakeholder organisations and individuals with which Glenelg Hopkins CMA, Mallee CMA, North Central CMA and Wimmera CMA engaged when preparing their seasonal watering proposals. This includes engagement conducted as part of developing the seasonal watering proposals as well as engagement during the preparation of key foundational documents that directly informed the proposals. VEWH staff were also consulted for operational information as part of the development of all annual seasonal watering proposals by CMAs.</w:t>
      </w:r>
    </w:p>
    <w:p w:rsidR="006A7A3F" w:rsidRDefault="00BC7372">
      <w:pPr>
        <w:pStyle w:val="BodyText"/>
        <w:spacing w:before="175" w:line="249" w:lineRule="auto"/>
        <w:ind w:right="307"/>
      </w:pPr>
      <w:r>
        <w:rPr>
          <w:color w:val="231F20"/>
        </w:rPr>
        <w:t>The tables also show the level of engagement between the CMAs and stakeholders of the environmental watering program in the western region based on the CMAs’ interpretations of the IAP2 Spectrum.</w:t>
      </w:r>
    </w:p>
    <w:p w:rsidR="006A7A3F" w:rsidRDefault="00BC7372" w:rsidP="00250109">
      <w:pPr>
        <w:pStyle w:val="BodyText"/>
        <w:spacing w:line="249" w:lineRule="auto"/>
        <w:ind w:right="322"/>
      </w:pPr>
      <w:r>
        <w:rPr>
          <w:color w:val="231F20"/>
        </w:rPr>
        <w:t xml:space="preserve">The level of engagement differs between organisations and between systems depending on the availability, capacity or interest of stakeholders to participate; the roles and responsibilities of organisations in managing a site or system; and the potential interaction of proposed watering with other activities on the </w:t>
      </w:r>
      <w:r>
        <w:rPr>
          <w:color w:val="231F20"/>
          <w:spacing w:val="-3"/>
        </w:rPr>
        <w:t xml:space="preserve">waterway. </w:t>
      </w:r>
      <w:r>
        <w:rPr>
          <w:color w:val="231F20"/>
        </w:rPr>
        <w:t xml:space="preserve">For example,  in the Wimmera region, councils have a strong involvement in environmental flows planning and </w:t>
      </w:r>
      <w:r>
        <w:rPr>
          <w:color w:val="231F20"/>
          <w:spacing w:val="-3"/>
        </w:rPr>
        <w:t xml:space="preserve">delivery, </w:t>
      </w:r>
      <w:r>
        <w:rPr>
          <w:color w:val="231F20"/>
        </w:rPr>
        <w:t>because they</w:t>
      </w:r>
      <w:r>
        <w:rPr>
          <w:color w:val="231F20"/>
          <w:spacing w:val="-3"/>
        </w:rPr>
        <w:t xml:space="preserve"> </w:t>
      </w:r>
      <w:r>
        <w:rPr>
          <w:color w:val="231F20"/>
        </w:rPr>
        <w:t>manage</w:t>
      </w:r>
      <w:r>
        <w:rPr>
          <w:color w:val="231F20"/>
          <w:spacing w:val="-2"/>
        </w:rPr>
        <w:t xml:space="preserve"> </w:t>
      </w:r>
      <w:r>
        <w:rPr>
          <w:color w:val="231F20"/>
        </w:rPr>
        <w:t>town</w:t>
      </w:r>
      <w:r>
        <w:rPr>
          <w:color w:val="231F20"/>
          <w:spacing w:val="-2"/>
        </w:rPr>
        <w:t xml:space="preserve"> </w:t>
      </w:r>
      <w:r>
        <w:rPr>
          <w:color w:val="231F20"/>
        </w:rPr>
        <w:t>weir</w:t>
      </w:r>
      <w:r>
        <w:rPr>
          <w:color w:val="231F20"/>
          <w:spacing w:val="-3"/>
        </w:rPr>
        <w:t xml:space="preserve"> </w:t>
      </w:r>
      <w:r>
        <w:rPr>
          <w:color w:val="231F20"/>
        </w:rPr>
        <w:t>pools</w:t>
      </w:r>
      <w:r>
        <w:rPr>
          <w:color w:val="231F20"/>
          <w:spacing w:val="-3"/>
        </w:rPr>
        <w:t xml:space="preserve"> </w:t>
      </w:r>
      <w:r>
        <w:rPr>
          <w:color w:val="231F20"/>
        </w:rPr>
        <w:t>in</w:t>
      </w:r>
      <w:r>
        <w:rPr>
          <w:color w:val="231F20"/>
          <w:spacing w:val="-4"/>
        </w:rPr>
        <w:t xml:space="preserve"> </w:t>
      </w:r>
      <w:r>
        <w:rPr>
          <w:color w:val="231F20"/>
        </w:rPr>
        <w:t>Horsham,</w:t>
      </w:r>
      <w:r>
        <w:rPr>
          <w:color w:val="231F20"/>
          <w:spacing w:val="-3"/>
        </w:rPr>
        <w:t xml:space="preserve"> </w:t>
      </w:r>
      <w:r>
        <w:rPr>
          <w:color w:val="231F20"/>
        </w:rPr>
        <w:t>Dimboola</w:t>
      </w:r>
      <w:r>
        <w:rPr>
          <w:color w:val="231F20"/>
          <w:spacing w:val="-3"/>
        </w:rPr>
        <w:t xml:space="preserve"> </w:t>
      </w:r>
      <w:r>
        <w:rPr>
          <w:color w:val="231F20"/>
        </w:rPr>
        <w:t>and</w:t>
      </w:r>
      <w:r>
        <w:rPr>
          <w:color w:val="231F20"/>
          <w:spacing w:val="-3"/>
        </w:rPr>
        <w:t xml:space="preserve"> </w:t>
      </w:r>
      <w:r>
        <w:rPr>
          <w:color w:val="231F20"/>
        </w:rPr>
        <w:t>Jeparit</w:t>
      </w:r>
      <w:r>
        <w:rPr>
          <w:color w:val="231F20"/>
          <w:spacing w:val="-2"/>
        </w:rPr>
        <w:t xml:space="preserve"> </w:t>
      </w:r>
      <w:r>
        <w:rPr>
          <w:color w:val="231F20"/>
        </w:rPr>
        <w:t>through</w:t>
      </w:r>
      <w:r>
        <w:rPr>
          <w:color w:val="231F20"/>
          <w:spacing w:val="-2"/>
        </w:rPr>
        <w:t xml:space="preserve"> </w:t>
      </w:r>
      <w:r>
        <w:rPr>
          <w:color w:val="231F20"/>
        </w:rPr>
        <w:t>which</w:t>
      </w:r>
      <w:r>
        <w:rPr>
          <w:color w:val="231F20"/>
          <w:spacing w:val="-4"/>
        </w:rPr>
        <w:t xml:space="preserve"> </w:t>
      </w:r>
      <w:r>
        <w:rPr>
          <w:color w:val="231F20"/>
        </w:rPr>
        <w:t>environmental</w:t>
      </w:r>
      <w:r>
        <w:rPr>
          <w:color w:val="231F20"/>
          <w:spacing w:val="-3"/>
        </w:rPr>
        <w:t xml:space="preserve"> </w:t>
      </w:r>
      <w:r>
        <w:rPr>
          <w:color w:val="231F20"/>
        </w:rPr>
        <w:t>flows</w:t>
      </w:r>
      <w:r>
        <w:rPr>
          <w:color w:val="231F20"/>
          <w:spacing w:val="-2"/>
        </w:rPr>
        <w:t xml:space="preserve"> </w:t>
      </w:r>
      <w:r>
        <w:rPr>
          <w:color w:val="231F20"/>
        </w:rPr>
        <w:t>must</w:t>
      </w:r>
      <w:r>
        <w:rPr>
          <w:color w:val="231F20"/>
          <w:spacing w:val="-2"/>
        </w:rPr>
        <w:t xml:space="preserve"> </w:t>
      </w:r>
      <w:r>
        <w:rPr>
          <w:color w:val="231F20"/>
        </w:rPr>
        <w:t>pass.</w:t>
      </w:r>
      <w:r w:rsidR="00250109">
        <w:rPr>
          <w:color w:val="231F20"/>
        </w:rPr>
        <w:t xml:space="preserve"> </w:t>
      </w:r>
      <w:r>
        <w:rPr>
          <w:color w:val="231F20"/>
        </w:rPr>
        <w:t>Councils in the Wimmera region have also expressed a strong interest in water for the environment, because of the benefits watering provides the region’s economy, tourism and environment. The Wimmera CMA works with these councils in the planning process and during the year to incorporate any aspirations or concerns. In other parts of the western region, local governments are less involved in management and may only need to be informed of the seasonal watering proposals.</w:t>
      </w:r>
    </w:p>
    <w:p w:rsidR="00AF39EE" w:rsidRDefault="00AF39EE">
      <w:pPr>
        <w:rPr>
          <w:b/>
          <w:color w:val="231F20"/>
          <w:sz w:val="18"/>
        </w:rPr>
      </w:pPr>
      <w:r>
        <w:rPr>
          <w:b/>
          <w:color w:val="231F20"/>
          <w:sz w:val="18"/>
        </w:rPr>
        <w:br w:type="page"/>
      </w:r>
    </w:p>
    <w:p w:rsidR="006A7A3F" w:rsidRDefault="00BC7372">
      <w:pPr>
        <w:spacing w:before="169" w:line="249" w:lineRule="auto"/>
        <w:ind w:left="210" w:right="297"/>
        <w:rPr>
          <w:b/>
          <w:sz w:val="18"/>
        </w:rPr>
      </w:pPr>
      <w:r>
        <w:rPr>
          <w:b/>
          <w:color w:val="231F20"/>
          <w:sz w:val="18"/>
        </w:rPr>
        <w:t>Table 4.1.2 Partners and stakeholders engaged by Glenelg Hopkins CMA in developing seasonal watering proposals for the Glenelg system and other key foundation documents that have directly informed the proposal</w:t>
      </w:r>
    </w:p>
    <w:p w:rsidR="006A7A3F" w:rsidRDefault="006A7A3F">
      <w:pPr>
        <w:pStyle w:val="BodyText"/>
        <w:spacing w:before="4"/>
        <w:ind w:left="0"/>
        <w:rPr>
          <w:b/>
          <w:sz w:val="8"/>
        </w:rPr>
      </w:pPr>
    </w:p>
    <w:tbl>
      <w:tblPr>
        <w:tblW w:w="1019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268"/>
        <w:gridCol w:w="7927"/>
      </w:tblGrid>
      <w:tr w:rsidR="006A7A3F" w:rsidTr="00AF39EE">
        <w:trPr>
          <w:trHeight w:val="352"/>
        </w:trPr>
        <w:tc>
          <w:tcPr>
            <w:tcW w:w="2268" w:type="dxa"/>
            <w:tcBorders>
              <w:top w:val="nil"/>
              <w:left w:val="nil"/>
              <w:bottom w:val="nil"/>
              <w:right w:val="nil"/>
            </w:tcBorders>
            <w:shd w:val="clear" w:color="auto" w:fill="231F20"/>
          </w:tcPr>
          <w:p w:rsidR="006A7A3F" w:rsidRDefault="00BC7372">
            <w:pPr>
              <w:pStyle w:val="TableParagraph"/>
              <w:spacing w:before="75"/>
              <w:ind w:left="90"/>
              <w:rPr>
                <w:b/>
                <w:sz w:val="18"/>
              </w:rPr>
            </w:pPr>
            <w:r>
              <w:rPr>
                <w:b/>
                <w:color w:val="FFFFFF"/>
                <w:sz w:val="18"/>
              </w:rPr>
              <w:t>Partner/stakeholder</w:t>
            </w:r>
          </w:p>
        </w:tc>
        <w:tc>
          <w:tcPr>
            <w:tcW w:w="7927" w:type="dxa"/>
            <w:tcBorders>
              <w:top w:val="nil"/>
              <w:left w:val="nil"/>
              <w:right w:val="nil"/>
            </w:tcBorders>
            <w:shd w:val="clear" w:color="auto" w:fill="231F20"/>
          </w:tcPr>
          <w:p w:rsidR="006A7A3F" w:rsidRDefault="00BC7372">
            <w:pPr>
              <w:pStyle w:val="TableParagraph"/>
              <w:spacing w:before="75"/>
              <w:ind w:left="89"/>
              <w:rPr>
                <w:b/>
                <w:sz w:val="18"/>
              </w:rPr>
            </w:pPr>
            <w:r>
              <w:rPr>
                <w:b/>
                <w:color w:val="FFFFFF"/>
                <w:sz w:val="18"/>
              </w:rPr>
              <w:t>Glenelg system</w:t>
            </w:r>
          </w:p>
        </w:tc>
      </w:tr>
      <w:tr w:rsidR="006A7A3F" w:rsidTr="00AF39EE">
        <w:trPr>
          <w:trHeight w:val="889"/>
        </w:trPr>
        <w:tc>
          <w:tcPr>
            <w:tcW w:w="2268" w:type="dxa"/>
            <w:tcBorders>
              <w:top w:val="nil"/>
              <w:left w:val="single" w:sz="4" w:space="0" w:color="231F20"/>
              <w:bottom w:val="single" w:sz="4" w:space="0" w:color="231F20"/>
            </w:tcBorders>
          </w:tcPr>
          <w:p w:rsidR="006A7A3F" w:rsidRPr="00AF39EE" w:rsidRDefault="00BC7372">
            <w:pPr>
              <w:pStyle w:val="TableParagraph"/>
              <w:spacing w:before="70" w:line="254" w:lineRule="auto"/>
              <w:ind w:left="85" w:right="292"/>
              <w:rPr>
                <w:sz w:val="16"/>
                <w:szCs w:val="16"/>
              </w:rPr>
            </w:pPr>
            <w:r w:rsidRPr="00AF39EE">
              <w:rPr>
                <w:color w:val="231F20"/>
                <w:sz w:val="16"/>
                <w:szCs w:val="16"/>
              </w:rPr>
              <w:t>Community groups and environment groups</w:t>
            </w:r>
          </w:p>
        </w:tc>
        <w:tc>
          <w:tcPr>
            <w:tcW w:w="7927" w:type="dxa"/>
          </w:tcPr>
          <w:p w:rsidR="006A7A3F" w:rsidRPr="00AF39EE" w:rsidRDefault="00BC7372">
            <w:pPr>
              <w:pStyle w:val="TableParagraph"/>
              <w:spacing w:before="70"/>
              <w:ind w:left="84"/>
              <w:rPr>
                <w:b/>
                <w:sz w:val="16"/>
                <w:szCs w:val="16"/>
              </w:rPr>
            </w:pPr>
            <w:r w:rsidRPr="00AF39EE">
              <w:rPr>
                <w:b/>
                <w:color w:val="231F20"/>
                <w:sz w:val="16"/>
                <w:szCs w:val="16"/>
              </w:rPr>
              <w:t>IAP2 level: Collaborate</w:t>
            </w:r>
          </w:p>
          <w:p w:rsidR="006A7A3F" w:rsidRPr="00AF39EE" w:rsidRDefault="00BC7372">
            <w:pPr>
              <w:pStyle w:val="TableParagraph"/>
              <w:numPr>
                <w:ilvl w:val="0"/>
                <w:numId w:val="1033"/>
              </w:numPr>
              <w:tabs>
                <w:tab w:val="left" w:pos="305"/>
              </w:tabs>
              <w:spacing w:before="59"/>
              <w:rPr>
                <w:sz w:val="16"/>
                <w:szCs w:val="16"/>
              </w:rPr>
            </w:pPr>
            <w:r w:rsidRPr="00AF39EE">
              <w:rPr>
                <w:color w:val="231F20"/>
                <w:sz w:val="16"/>
                <w:szCs w:val="16"/>
              </w:rPr>
              <w:t>Friends of the Glenelg</w:t>
            </w:r>
            <w:r w:rsidRPr="00AF39EE">
              <w:rPr>
                <w:color w:val="231F20"/>
                <w:spacing w:val="5"/>
                <w:sz w:val="16"/>
                <w:szCs w:val="16"/>
              </w:rPr>
              <w:t xml:space="preserve"> </w:t>
            </w:r>
            <w:r w:rsidRPr="00AF39EE">
              <w:rPr>
                <w:color w:val="231F20"/>
                <w:sz w:val="16"/>
                <w:szCs w:val="16"/>
              </w:rPr>
              <w:t>River</w:t>
            </w:r>
          </w:p>
          <w:p w:rsidR="006A7A3F" w:rsidRPr="00AF39EE" w:rsidRDefault="00BC7372">
            <w:pPr>
              <w:pStyle w:val="TableParagraph"/>
              <w:numPr>
                <w:ilvl w:val="0"/>
                <w:numId w:val="1033"/>
              </w:numPr>
              <w:tabs>
                <w:tab w:val="left" w:pos="305"/>
              </w:tabs>
              <w:spacing w:before="90"/>
              <w:rPr>
                <w:sz w:val="16"/>
                <w:szCs w:val="16"/>
              </w:rPr>
            </w:pPr>
            <w:r w:rsidRPr="00AF39EE">
              <w:rPr>
                <w:color w:val="231F20"/>
                <w:sz w:val="16"/>
                <w:szCs w:val="16"/>
              </w:rPr>
              <w:t>Glenelg River User</w:t>
            </w:r>
            <w:r w:rsidRPr="00AF39EE">
              <w:rPr>
                <w:color w:val="231F20"/>
                <w:spacing w:val="3"/>
                <w:sz w:val="16"/>
                <w:szCs w:val="16"/>
              </w:rPr>
              <w:t xml:space="preserve"> </w:t>
            </w:r>
            <w:r w:rsidRPr="00AF39EE">
              <w:rPr>
                <w:color w:val="231F20"/>
                <w:sz w:val="16"/>
                <w:szCs w:val="16"/>
              </w:rPr>
              <w:t>Group</w:t>
            </w:r>
          </w:p>
        </w:tc>
      </w:tr>
      <w:tr w:rsidR="006A7A3F" w:rsidTr="00AF39EE">
        <w:trPr>
          <w:trHeight w:val="1744"/>
        </w:trPr>
        <w:tc>
          <w:tcPr>
            <w:tcW w:w="2268"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Government agencies</w:t>
            </w:r>
          </w:p>
        </w:tc>
        <w:tc>
          <w:tcPr>
            <w:tcW w:w="7927" w:type="dxa"/>
            <w:tcBorders>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Collaborate</w:t>
            </w:r>
          </w:p>
          <w:p w:rsidR="006A7A3F" w:rsidRPr="00AF39EE" w:rsidRDefault="00BC7372">
            <w:pPr>
              <w:pStyle w:val="TableParagraph"/>
              <w:numPr>
                <w:ilvl w:val="0"/>
                <w:numId w:val="1032"/>
              </w:numPr>
              <w:tabs>
                <w:tab w:val="left" w:pos="305"/>
              </w:tabs>
              <w:spacing w:before="59"/>
              <w:rPr>
                <w:sz w:val="16"/>
                <w:szCs w:val="16"/>
              </w:rPr>
            </w:pPr>
            <w:r w:rsidRPr="00AF39EE">
              <w:rPr>
                <w:color w:val="231F20"/>
                <w:sz w:val="16"/>
                <w:szCs w:val="16"/>
              </w:rPr>
              <w:t>Department of Environment, Land, Water and</w:t>
            </w:r>
            <w:r w:rsidRPr="00AF39EE">
              <w:rPr>
                <w:color w:val="231F20"/>
                <w:spacing w:val="11"/>
                <w:sz w:val="16"/>
                <w:szCs w:val="16"/>
              </w:rPr>
              <w:t xml:space="preserve"> </w:t>
            </w:r>
            <w:r w:rsidRPr="00AF39EE">
              <w:rPr>
                <w:color w:val="231F20"/>
                <w:sz w:val="16"/>
                <w:szCs w:val="16"/>
              </w:rPr>
              <w:t>Planning</w:t>
            </w:r>
          </w:p>
          <w:p w:rsidR="006A7A3F" w:rsidRPr="00AF39EE" w:rsidRDefault="00BC7372">
            <w:pPr>
              <w:pStyle w:val="TableParagraph"/>
              <w:numPr>
                <w:ilvl w:val="0"/>
                <w:numId w:val="1032"/>
              </w:numPr>
              <w:tabs>
                <w:tab w:val="left" w:pos="305"/>
              </w:tabs>
              <w:spacing w:before="90"/>
              <w:rPr>
                <w:sz w:val="16"/>
                <w:szCs w:val="16"/>
              </w:rPr>
            </w:pPr>
            <w:r w:rsidRPr="00AF39EE">
              <w:rPr>
                <w:color w:val="231F20"/>
                <w:sz w:val="16"/>
                <w:szCs w:val="16"/>
              </w:rPr>
              <w:t>Grampians Wimmera Mallee</w:t>
            </w:r>
            <w:r w:rsidRPr="00AF39EE">
              <w:rPr>
                <w:color w:val="231F20"/>
                <w:spacing w:val="4"/>
                <w:sz w:val="16"/>
                <w:szCs w:val="16"/>
              </w:rPr>
              <w:t xml:space="preserve"> </w:t>
            </w:r>
            <w:r w:rsidRPr="00AF39EE">
              <w:rPr>
                <w:color w:val="231F20"/>
                <w:spacing w:val="-3"/>
                <w:sz w:val="16"/>
                <w:szCs w:val="16"/>
              </w:rPr>
              <w:t>Water</w:t>
            </w:r>
          </w:p>
          <w:p w:rsidR="006A7A3F" w:rsidRPr="00AF39EE" w:rsidRDefault="00BC7372">
            <w:pPr>
              <w:pStyle w:val="TableParagraph"/>
              <w:numPr>
                <w:ilvl w:val="0"/>
                <w:numId w:val="1032"/>
              </w:numPr>
              <w:tabs>
                <w:tab w:val="left" w:pos="305"/>
              </w:tabs>
              <w:spacing w:before="89"/>
              <w:rPr>
                <w:sz w:val="16"/>
                <w:szCs w:val="16"/>
              </w:rPr>
            </w:pPr>
            <w:r w:rsidRPr="00AF39EE">
              <w:rPr>
                <w:color w:val="231F20"/>
                <w:sz w:val="16"/>
                <w:szCs w:val="16"/>
              </w:rPr>
              <w:t>Parks</w:t>
            </w:r>
            <w:r w:rsidRPr="00AF39EE">
              <w:rPr>
                <w:color w:val="231F20"/>
                <w:spacing w:val="1"/>
                <w:sz w:val="16"/>
                <w:szCs w:val="16"/>
              </w:rPr>
              <w:t xml:space="preserve"> </w:t>
            </w:r>
            <w:r w:rsidRPr="00AF39EE">
              <w:rPr>
                <w:color w:val="231F20"/>
                <w:sz w:val="16"/>
                <w:szCs w:val="16"/>
              </w:rPr>
              <w:t>Victoria</w:t>
            </w:r>
          </w:p>
          <w:p w:rsidR="006A7A3F" w:rsidRPr="00AF39EE" w:rsidRDefault="00BC7372">
            <w:pPr>
              <w:pStyle w:val="TableParagraph"/>
              <w:numPr>
                <w:ilvl w:val="0"/>
                <w:numId w:val="1032"/>
              </w:numPr>
              <w:tabs>
                <w:tab w:val="left" w:pos="305"/>
              </w:tabs>
              <w:spacing w:before="90"/>
              <w:rPr>
                <w:sz w:val="16"/>
                <w:szCs w:val="16"/>
              </w:rPr>
            </w:pPr>
            <w:r w:rsidRPr="00AF39EE">
              <w:rPr>
                <w:color w:val="231F20"/>
                <w:sz w:val="16"/>
                <w:szCs w:val="16"/>
              </w:rPr>
              <w:t>Victorian Fisheries</w:t>
            </w:r>
            <w:r w:rsidRPr="00AF39EE">
              <w:rPr>
                <w:color w:val="231F20"/>
                <w:spacing w:val="-8"/>
                <w:sz w:val="16"/>
                <w:szCs w:val="16"/>
              </w:rPr>
              <w:t xml:space="preserve"> </w:t>
            </w:r>
            <w:r w:rsidRPr="00AF39EE">
              <w:rPr>
                <w:color w:val="231F20"/>
                <w:sz w:val="16"/>
                <w:szCs w:val="16"/>
              </w:rPr>
              <w:t>Authority</w:t>
            </w:r>
          </w:p>
          <w:p w:rsidR="006A7A3F" w:rsidRPr="00AF39EE" w:rsidRDefault="00BC7372">
            <w:pPr>
              <w:pStyle w:val="TableParagraph"/>
              <w:numPr>
                <w:ilvl w:val="0"/>
                <w:numId w:val="1032"/>
              </w:numPr>
              <w:tabs>
                <w:tab w:val="left" w:pos="305"/>
              </w:tabs>
              <w:spacing w:before="90"/>
              <w:rPr>
                <w:sz w:val="16"/>
                <w:szCs w:val="16"/>
              </w:rPr>
            </w:pPr>
            <w:r w:rsidRPr="00AF39EE">
              <w:rPr>
                <w:color w:val="231F20"/>
                <w:sz w:val="16"/>
                <w:szCs w:val="16"/>
              </w:rPr>
              <w:t>Wimmera Catchment Management</w:t>
            </w:r>
            <w:r w:rsidRPr="00AF39EE">
              <w:rPr>
                <w:color w:val="231F20"/>
                <w:spacing w:val="-5"/>
                <w:sz w:val="16"/>
                <w:szCs w:val="16"/>
              </w:rPr>
              <w:t xml:space="preserve"> </w:t>
            </w:r>
            <w:r w:rsidRPr="00AF39EE">
              <w:rPr>
                <w:color w:val="231F20"/>
                <w:sz w:val="16"/>
                <w:szCs w:val="16"/>
              </w:rPr>
              <w:t>Authority</w:t>
            </w:r>
          </w:p>
        </w:tc>
      </w:tr>
      <w:tr w:rsidR="006A7A3F" w:rsidTr="00AF39EE">
        <w:trPr>
          <w:trHeight w:val="604"/>
        </w:trPr>
        <w:tc>
          <w:tcPr>
            <w:tcW w:w="2268"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Landholders/farmers</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Collaborate</w:t>
            </w:r>
          </w:p>
          <w:p w:rsidR="006A7A3F" w:rsidRPr="00AF39EE" w:rsidRDefault="00BC7372">
            <w:pPr>
              <w:pStyle w:val="TableParagraph"/>
              <w:numPr>
                <w:ilvl w:val="0"/>
                <w:numId w:val="1031"/>
              </w:numPr>
              <w:tabs>
                <w:tab w:val="left" w:pos="305"/>
              </w:tabs>
              <w:spacing w:before="59"/>
              <w:rPr>
                <w:sz w:val="16"/>
                <w:szCs w:val="16"/>
              </w:rPr>
            </w:pPr>
            <w:r w:rsidRPr="00AF39EE">
              <w:rPr>
                <w:color w:val="231F20"/>
                <w:sz w:val="16"/>
                <w:szCs w:val="16"/>
              </w:rPr>
              <w:t>Individual</w:t>
            </w:r>
            <w:r w:rsidRPr="00AF39EE">
              <w:rPr>
                <w:color w:val="231F20"/>
                <w:spacing w:val="1"/>
                <w:sz w:val="16"/>
                <w:szCs w:val="16"/>
              </w:rPr>
              <w:t xml:space="preserve"> </w:t>
            </w:r>
            <w:r w:rsidRPr="00AF39EE">
              <w:rPr>
                <w:color w:val="231F20"/>
                <w:sz w:val="16"/>
                <w:szCs w:val="16"/>
              </w:rPr>
              <w:t>landholders</w:t>
            </w:r>
          </w:p>
        </w:tc>
      </w:tr>
      <w:tr w:rsidR="00AF39EE" w:rsidTr="00AF39EE">
        <w:trPr>
          <w:trHeight w:val="2364"/>
        </w:trPr>
        <w:tc>
          <w:tcPr>
            <w:tcW w:w="2268"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5"/>
              <w:rPr>
                <w:sz w:val="16"/>
                <w:szCs w:val="16"/>
              </w:rPr>
            </w:pPr>
            <w:r w:rsidRPr="00AF39EE">
              <w:rPr>
                <w:color w:val="231F20"/>
                <w:sz w:val="16"/>
                <w:szCs w:val="16"/>
              </w:rPr>
              <w:t>Local businesses</w:t>
            </w:r>
          </w:p>
        </w:tc>
        <w:tc>
          <w:tcPr>
            <w:tcW w:w="7927"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4"/>
              <w:rPr>
                <w:b/>
                <w:sz w:val="16"/>
                <w:szCs w:val="16"/>
              </w:rPr>
            </w:pPr>
            <w:r w:rsidRPr="00AF39EE">
              <w:rPr>
                <w:b/>
                <w:color w:val="231F20"/>
                <w:sz w:val="16"/>
                <w:szCs w:val="16"/>
              </w:rPr>
              <w:t>IAP2 level: Inform</w:t>
            </w:r>
          </w:p>
          <w:p w:rsidR="00AF39EE" w:rsidRPr="00AF39EE" w:rsidRDefault="00AF39EE" w:rsidP="00AF39EE">
            <w:pPr>
              <w:pStyle w:val="TableParagraph"/>
              <w:numPr>
                <w:ilvl w:val="0"/>
                <w:numId w:val="1030"/>
              </w:numPr>
              <w:tabs>
                <w:tab w:val="left" w:pos="305"/>
              </w:tabs>
              <w:spacing w:before="59"/>
              <w:rPr>
                <w:sz w:val="16"/>
                <w:szCs w:val="16"/>
              </w:rPr>
            </w:pPr>
            <w:r w:rsidRPr="00AF39EE">
              <w:rPr>
                <w:color w:val="231F20"/>
                <w:sz w:val="16"/>
                <w:szCs w:val="16"/>
              </w:rPr>
              <w:t>Balmoral Bush Nursing</w:t>
            </w:r>
            <w:r w:rsidRPr="00AF39EE">
              <w:rPr>
                <w:color w:val="231F20"/>
                <w:spacing w:val="4"/>
                <w:sz w:val="16"/>
                <w:szCs w:val="16"/>
              </w:rPr>
              <w:t xml:space="preserve"> </w:t>
            </w:r>
            <w:r w:rsidRPr="00AF39EE">
              <w:rPr>
                <w:color w:val="231F20"/>
                <w:sz w:val="16"/>
                <w:szCs w:val="16"/>
              </w:rPr>
              <w:t>Centre</w:t>
            </w:r>
          </w:p>
          <w:p w:rsidR="00AF39EE" w:rsidRPr="00AF39EE" w:rsidRDefault="00AF39EE" w:rsidP="00AF39EE">
            <w:pPr>
              <w:pStyle w:val="TableParagraph"/>
              <w:numPr>
                <w:ilvl w:val="0"/>
                <w:numId w:val="1030"/>
              </w:numPr>
              <w:tabs>
                <w:tab w:val="left" w:pos="305"/>
              </w:tabs>
              <w:spacing w:before="90"/>
              <w:rPr>
                <w:sz w:val="16"/>
                <w:szCs w:val="16"/>
              </w:rPr>
            </w:pPr>
            <w:r w:rsidRPr="00AF39EE">
              <w:rPr>
                <w:color w:val="231F20"/>
                <w:sz w:val="16"/>
                <w:szCs w:val="16"/>
              </w:rPr>
              <w:t>Balmoral Post</w:t>
            </w:r>
            <w:r w:rsidRPr="00AF39EE">
              <w:rPr>
                <w:color w:val="231F20"/>
                <w:spacing w:val="2"/>
                <w:sz w:val="16"/>
                <w:szCs w:val="16"/>
              </w:rPr>
              <w:t xml:space="preserve"> </w:t>
            </w:r>
            <w:r w:rsidRPr="00AF39EE">
              <w:rPr>
                <w:color w:val="231F20"/>
                <w:sz w:val="16"/>
                <w:szCs w:val="16"/>
              </w:rPr>
              <w:t>Office</w:t>
            </w:r>
          </w:p>
          <w:p w:rsidR="00AF39EE" w:rsidRPr="00AF39EE" w:rsidRDefault="00AF39EE" w:rsidP="00AF39EE">
            <w:pPr>
              <w:pStyle w:val="TableParagraph"/>
              <w:numPr>
                <w:ilvl w:val="0"/>
                <w:numId w:val="1030"/>
              </w:numPr>
              <w:tabs>
                <w:tab w:val="left" w:pos="305"/>
              </w:tabs>
              <w:spacing w:before="89"/>
              <w:rPr>
                <w:sz w:val="16"/>
                <w:szCs w:val="16"/>
              </w:rPr>
            </w:pPr>
            <w:r w:rsidRPr="00AF39EE">
              <w:rPr>
                <w:color w:val="231F20"/>
                <w:sz w:val="16"/>
                <w:szCs w:val="16"/>
              </w:rPr>
              <w:t>Glenelg River Boat</w:t>
            </w:r>
            <w:r w:rsidRPr="00AF39EE">
              <w:rPr>
                <w:color w:val="231F20"/>
                <w:spacing w:val="3"/>
                <w:sz w:val="16"/>
                <w:szCs w:val="16"/>
              </w:rPr>
              <w:t xml:space="preserve"> </w:t>
            </w:r>
            <w:r w:rsidRPr="00AF39EE">
              <w:rPr>
                <w:color w:val="231F20"/>
                <w:sz w:val="16"/>
                <w:szCs w:val="16"/>
              </w:rPr>
              <w:t>Cruises</w:t>
            </w:r>
          </w:p>
          <w:p w:rsidR="00AF39EE" w:rsidRPr="00AF39EE" w:rsidRDefault="00AF39EE" w:rsidP="00AF39EE">
            <w:pPr>
              <w:pStyle w:val="TableParagraph"/>
              <w:numPr>
                <w:ilvl w:val="0"/>
                <w:numId w:val="1030"/>
              </w:numPr>
              <w:tabs>
                <w:tab w:val="left" w:pos="305"/>
              </w:tabs>
              <w:spacing w:before="90"/>
              <w:rPr>
                <w:sz w:val="16"/>
                <w:szCs w:val="16"/>
              </w:rPr>
            </w:pPr>
            <w:r w:rsidRPr="00AF39EE">
              <w:rPr>
                <w:color w:val="231F20"/>
                <w:sz w:val="16"/>
                <w:szCs w:val="16"/>
              </w:rPr>
              <w:t>Grampians</w:t>
            </w:r>
            <w:r w:rsidRPr="00AF39EE">
              <w:rPr>
                <w:color w:val="231F20"/>
                <w:spacing w:val="1"/>
                <w:sz w:val="16"/>
                <w:szCs w:val="16"/>
              </w:rPr>
              <w:t xml:space="preserve"> </w:t>
            </w:r>
            <w:r w:rsidRPr="00AF39EE">
              <w:rPr>
                <w:color w:val="231F20"/>
                <w:sz w:val="16"/>
                <w:szCs w:val="16"/>
              </w:rPr>
              <w:t>Resort</w:t>
            </w:r>
          </w:p>
          <w:p w:rsidR="00AF39EE" w:rsidRPr="00AF39EE" w:rsidRDefault="00AF39EE" w:rsidP="00AF39EE">
            <w:pPr>
              <w:pStyle w:val="TableParagraph"/>
              <w:numPr>
                <w:ilvl w:val="0"/>
                <w:numId w:val="1030"/>
              </w:numPr>
              <w:tabs>
                <w:tab w:val="left" w:pos="305"/>
              </w:tabs>
              <w:spacing w:before="89"/>
              <w:rPr>
                <w:sz w:val="16"/>
                <w:szCs w:val="16"/>
              </w:rPr>
            </w:pPr>
            <w:r w:rsidRPr="00AF39EE">
              <w:rPr>
                <w:color w:val="231F20"/>
                <w:sz w:val="16"/>
                <w:szCs w:val="16"/>
              </w:rPr>
              <w:t>Nelson Boat and Canoe</w:t>
            </w:r>
            <w:r w:rsidRPr="00AF39EE">
              <w:rPr>
                <w:color w:val="231F20"/>
                <w:spacing w:val="5"/>
                <w:sz w:val="16"/>
                <w:szCs w:val="16"/>
              </w:rPr>
              <w:t xml:space="preserve"> </w:t>
            </w:r>
            <w:r w:rsidRPr="00AF39EE">
              <w:rPr>
                <w:color w:val="231F20"/>
                <w:sz w:val="16"/>
                <w:szCs w:val="16"/>
              </w:rPr>
              <w:t>Hire</w:t>
            </w:r>
          </w:p>
          <w:p w:rsidR="00AF39EE" w:rsidRPr="00AF39EE" w:rsidRDefault="00AF39EE" w:rsidP="00AF39EE">
            <w:pPr>
              <w:pStyle w:val="TableParagraph"/>
              <w:numPr>
                <w:ilvl w:val="0"/>
                <w:numId w:val="1030"/>
              </w:numPr>
              <w:tabs>
                <w:tab w:val="left" w:pos="305"/>
              </w:tabs>
              <w:spacing w:before="90"/>
              <w:rPr>
                <w:sz w:val="16"/>
                <w:szCs w:val="16"/>
              </w:rPr>
            </w:pPr>
            <w:r w:rsidRPr="00AF39EE">
              <w:rPr>
                <w:color w:val="231F20"/>
                <w:sz w:val="16"/>
                <w:szCs w:val="16"/>
              </w:rPr>
              <w:t>Paestan Canoe</w:t>
            </w:r>
            <w:r w:rsidRPr="00AF39EE">
              <w:rPr>
                <w:color w:val="231F20"/>
                <w:spacing w:val="2"/>
                <w:sz w:val="16"/>
                <w:szCs w:val="16"/>
              </w:rPr>
              <w:t xml:space="preserve"> </w:t>
            </w:r>
            <w:r w:rsidRPr="00AF39EE">
              <w:rPr>
                <w:color w:val="231F20"/>
                <w:sz w:val="16"/>
                <w:szCs w:val="16"/>
              </w:rPr>
              <w:t>Hire</w:t>
            </w:r>
          </w:p>
          <w:p w:rsidR="00AF39EE" w:rsidRPr="00AF39EE" w:rsidRDefault="00AF39EE" w:rsidP="00AF39EE">
            <w:pPr>
              <w:pStyle w:val="TableParagraph"/>
              <w:numPr>
                <w:ilvl w:val="0"/>
                <w:numId w:val="1030"/>
              </w:numPr>
              <w:tabs>
                <w:tab w:val="left" w:pos="305"/>
              </w:tabs>
              <w:spacing w:before="89"/>
              <w:rPr>
                <w:sz w:val="16"/>
                <w:szCs w:val="16"/>
              </w:rPr>
            </w:pPr>
            <w:r w:rsidRPr="00AF39EE">
              <w:rPr>
                <w:color w:val="231F20"/>
                <w:sz w:val="16"/>
                <w:szCs w:val="16"/>
              </w:rPr>
              <w:t>Vickery Brothers (sand</w:t>
            </w:r>
            <w:r w:rsidRPr="00AF39EE">
              <w:rPr>
                <w:color w:val="231F20"/>
                <w:spacing w:val="4"/>
                <w:sz w:val="16"/>
                <w:szCs w:val="16"/>
              </w:rPr>
              <w:t xml:space="preserve"> </w:t>
            </w:r>
            <w:r w:rsidRPr="00AF39EE">
              <w:rPr>
                <w:color w:val="231F20"/>
                <w:sz w:val="16"/>
                <w:szCs w:val="16"/>
              </w:rPr>
              <w:t>extraction)</w:t>
            </w:r>
          </w:p>
        </w:tc>
      </w:tr>
      <w:tr w:rsidR="00AF39EE" w:rsidTr="00AF39EE">
        <w:trPr>
          <w:trHeight w:val="1999"/>
        </w:trPr>
        <w:tc>
          <w:tcPr>
            <w:tcW w:w="2268"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5"/>
              <w:rPr>
                <w:sz w:val="16"/>
                <w:szCs w:val="16"/>
              </w:rPr>
            </w:pPr>
            <w:r w:rsidRPr="00AF39EE">
              <w:rPr>
                <w:color w:val="231F20"/>
                <w:sz w:val="16"/>
                <w:szCs w:val="16"/>
              </w:rPr>
              <w:t>Recreational users</w:t>
            </w:r>
          </w:p>
        </w:tc>
        <w:tc>
          <w:tcPr>
            <w:tcW w:w="7927"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4"/>
              <w:rPr>
                <w:b/>
                <w:sz w:val="16"/>
                <w:szCs w:val="16"/>
              </w:rPr>
            </w:pPr>
            <w:r w:rsidRPr="00AF39EE">
              <w:rPr>
                <w:b/>
                <w:color w:val="231F20"/>
                <w:sz w:val="16"/>
                <w:szCs w:val="16"/>
              </w:rPr>
              <w:t>IAP2 level: Collaborate</w:t>
            </w:r>
          </w:p>
          <w:p w:rsidR="00AF39EE" w:rsidRPr="00AF39EE" w:rsidRDefault="00AF39EE" w:rsidP="00AF39EE">
            <w:pPr>
              <w:pStyle w:val="TableParagraph"/>
              <w:numPr>
                <w:ilvl w:val="0"/>
                <w:numId w:val="1029"/>
              </w:numPr>
              <w:tabs>
                <w:tab w:val="left" w:pos="305"/>
              </w:tabs>
              <w:spacing w:before="59"/>
              <w:rPr>
                <w:sz w:val="16"/>
                <w:szCs w:val="16"/>
              </w:rPr>
            </w:pPr>
            <w:r w:rsidRPr="00AF39EE">
              <w:rPr>
                <w:color w:val="231F20"/>
                <w:sz w:val="16"/>
                <w:szCs w:val="16"/>
              </w:rPr>
              <w:t>Balmoral Angling</w:t>
            </w:r>
            <w:r w:rsidRPr="00AF39EE">
              <w:rPr>
                <w:color w:val="231F20"/>
                <w:spacing w:val="-8"/>
                <w:sz w:val="16"/>
                <w:szCs w:val="16"/>
              </w:rPr>
              <w:t xml:space="preserve"> </w:t>
            </w:r>
            <w:r w:rsidRPr="00AF39EE">
              <w:rPr>
                <w:color w:val="231F20"/>
                <w:sz w:val="16"/>
                <w:szCs w:val="16"/>
              </w:rPr>
              <w:t>Club</w:t>
            </w:r>
          </w:p>
          <w:p w:rsidR="00AF39EE" w:rsidRPr="00AF39EE" w:rsidRDefault="00AF39EE" w:rsidP="00AF39EE">
            <w:pPr>
              <w:pStyle w:val="TableParagraph"/>
              <w:numPr>
                <w:ilvl w:val="0"/>
                <w:numId w:val="1029"/>
              </w:numPr>
              <w:tabs>
                <w:tab w:val="left" w:pos="305"/>
              </w:tabs>
              <w:spacing w:before="90"/>
              <w:rPr>
                <w:sz w:val="16"/>
                <w:szCs w:val="16"/>
              </w:rPr>
            </w:pPr>
            <w:r w:rsidRPr="00AF39EE">
              <w:rPr>
                <w:color w:val="231F20"/>
                <w:sz w:val="16"/>
                <w:szCs w:val="16"/>
              </w:rPr>
              <w:t>Casterton Angling</w:t>
            </w:r>
            <w:r w:rsidRPr="00AF39EE">
              <w:rPr>
                <w:color w:val="231F20"/>
                <w:spacing w:val="-8"/>
                <w:sz w:val="16"/>
                <w:szCs w:val="16"/>
              </w:rPr>
              <w:t xml:space="preserve"> </w:t>
            </w:r>
            <w:r w:rsidRPr="00AF39EE">
              <w:rPr>
                <w:color w:val="231F20"/>
                <w:sz w:val="16"/>
                <w:szCs w:val="16"/>
              </w:rPr>
              <w:t>Society</w:t>
            </w:r>
          </w:p>
          <w:p w:rsidR="00AF39EE" w:rsidRPr="00AF39EE" w:rsidRDefault="00AF39EE" w:rsidP="00AF39EE">
            <w:pPr>
              <w:pStyle w:val="TableParagraph"/>
              <w:numPr>
                <w:ilvl w:val="0"/>
                <w:numId w:val="1029"/>
              </w:numPr>
              <w:tabs>
                <w:tab w:val="left" w:pos="305"/>
              </w:tabs>
              <w:spacing w:before="89"/>
              <w:rPr>
                <w:sz w:val="16"/>
                <w:szCs w:val="16"/>
              </w:rPr>
            </w:pPr>
            <w:r w:rsidRPr="00AF39EE">
              <w:rPr>
                <w:color w:val="231F20"/>
                <w:sz w:val="16"/>
                <w:szCs w:val="16"/>
              </w:rPr>
              <w:t>Dartmoor Angling</w:t>
            </w:r>
            <w:r w:rsidRPr="00AF39EE">
              <w:rPr>
                <w:color w:val="231F20"/>
                <w:spacing w:val="-8"/>
                <w:sz w:val="16"/>
                <w:szCs w:val="16"/>
              </w:rPr>
              <w:t xml:space="preserve"> </w:t>
            </w:r>
            <w:r w:rsidRPr="00AF39EE">
              <w:rPr>
                <w:color w:val="231F20"/>
                <w:sz w:val="16"/>
                <w:szCs w:val="16"/>
              </w:rPr>
              <w:t>Club</w:t>
            </w:r>
          </w:p>
          <w:p w:rsidR="00AF39EE" w:rsidRPr="00AF39EE" w:rsidRDefault="00AF39EE" w:rsidP="00AF39EE">
            <w:pPr>
              <w:pStyle w:val="TableParagraph"/>
              <w:numPr>
                <w:ilvl w:val="0"/>
                <w:numId w:val="1029"/>
              </w:numPr>
              <w:tabs>
                <w:tab w:val="left" w:pos="305"/>
              </w:tabs>
              <w:spacing w:before="90"/>
              <w:rPr>
                <w:sz w:val="16"/>
                <w:szCs w:val="16"/>
              </w:rPr>
            </w:pPr>
            <w:r w:rsidRPr="00AF39EE">
              <w:rPr>
                <w:color w:val="231F20"/>
                <w:sz w:val="16"/>
                <w:szCs w:val="16"/>
              </w:rPr>
              <w:t>Individual</w:t>
            </w:r>
            <w:r w:rsidRPr="00AF39EE">
              <w:rPr>
                <w:color w:val="231F20"/>
                <w:spacing w:val="1"/>
                <w:sz w:val="16"/>
                <w:szCs w:val="16"/>
              </w:rPr>
              <w:t xml:space="preserve"> </w:t>
            </w:r>
            <w:r w:rsidRPr="00AF39EE">
              <w:rPr>
                <w:color w:val="231F20"/>
                <w:sz w:val="16"/>
                <w:szCs w:val="16"/>
              </w:rPr>
              <w:t>anglers</w:t>
            </w:r>
          </w:p>
          <w:p w:rsidR="00AF39EE" w:rsidRPr="00AF39EE" w:rsidRDefault="00AF39EE" w:rsidP="00AF39EE">
            <w:pPr>
              <w:pStyle w:val="TableParagraph"/>
              <w:numPr>
                <w:ilvl w:val="0"/>
                <w:numId w:val="1029"/>
              </w:numPr>
              <w:tabs>
                <w:tab w:val="left" w:pos="305"/>
              </w:tabs>
              <w:spacing w:before="89"/>
              <w:rPr>
                <w:sz w:val="16"/>
                <w:szCs w:val="16"/>
              </w:rPr>
            </w:pPr>
            <w:r w:rsidRPr="00AF39EE">
              <w:rPr>
                <w:color w:val="231F20"/>
                <w:sz w:val="16"/>
                <w:szCs w:val="16"/>
              </w:rPr>
              <w:t>South-west Fishing</w:t>
            </w:r>
            <w:r w:rsidRPr="00AF39EE">
              <w:rPr>
                <w:color w:val="231F20"/>
                <w:spacing w:val="2"/>
                <w:sz w:val="16"/>
                <w:szCs w:val="16"/>
              </w:rPr>
              <w:t xml:space="preserve"> </w:t>
            </w:r>
            <w:r w:rsidRPr="00AF39EE">
              <w:rPr>
                <w:color w:val="231F20"/>
                <w:sz w:val="16"/>
                <w:szCs w:val="16"/>
              </w:rPr>
              <w:t>Reports</w:t>
            </w:r>
          </w:p>
          <w:p w:rsidR="00AF39EE" w:rsidRPr="00AF39EE" w:rsidRDefault="00AF39EE" w:rsidP="00AF39EE">
            <w:pPr>
              <w:pStyle w:val="TableParagraph"/>
              <w:numPr>
                <w:ilvl w:val="0"/>
                <w:numId w:val="1029"/>
              </w:numPr>
              <w:tabs>
                <w:tab w:val="left" w:pos="305"/>
              </w:tabs>
              <w:spacing w:before="90"/>
              <w:rPr>
                <w:sz w:val="16"/>
                <w:szCs w:val="16"/>
              </w:rPr>
            </w:pPr>
            <w:r w:rsidRPr="00AF39EE">
              <w:rPr>
                <w:color w:val="231F20"/>
                <w:sz w:val="16"/>
                <w:szCs w:val="16"/>
              </w:rPr>
              <w:t>VRFish</w:t>
            </w:r>
          </w:p>
        </w:tc>
      </w:tr>
      <w:tr w:rsidR="00AF39EE" w:rsidTr="00AF39EE">
        <w:trPr>
          <w:trHeight w:val="1204"/>
        </w:trPr>
        <w:tc>
          <w:tcPr>
            <w:tcW w:w="2268"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5"/>
              <w:rPr>
                <w:sz w:val="16"/>
                <w:szCs w:val="16"/>
              </w:rPr>
            </w:pPr>
            <w:r w:rsidRPr="00AF39EE">
              <w:rPr>
                <w:color w:val="231F20"/>
                <w:sz w:val="16"/>
                <w:szCs w:val="16"/>
              </w:rPr>
              <w:t>Traditional Owners</w:t>
            </w:r>
          </w:p>
        </w:tc>
        <w:tc>
          <w:tcPr>
            <w:tcW w:w="7927"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4"/>
              <w:rPr>
                <w:b/>
                <w:sz w:val="16"/>
                <w:szCs w:val="16"/>
              </w:rPr>
            </w:pPr>
            <w:r w:rsidRPr="00AF39EE">
              <w:rPr>
                <w:b/>
                <w:color w:val="231F20"/>
                <w:sz w:val="16"/>
                <w:szCs w:val="16"/>
              </w:rPr>
              <w:t>IAP2 level: Collaborate</w:t>
            </w:r>
          </w:p>
          <w:p w:rsidR="00AF39EE" w:rsidRPr="00AF39EE" w:rsidRDefault="00AF39EE" w:rsidP="00AF39EE">
            <w:pPr>
              <w:pStyle w:val="TableParagraph"/>
              <w:numPr>
                <w:ilvl w:val="0"/>
                <w:numId w:val="1028"/>
              </w:numPr>
              <w:tabs>
                <w:tab w:val="left" w:pos="305"/>
              </w:tabs>
              <w:spacing w:before="59"/>
              <w:rPr>
                <w:sz w:val="16"/>
                <w:szCs w:val="16"/>
              </w:rPr>
            </w:pPr>
            <w:r w:rsidRPr="00AF39EE">
              <w:rPr>
                <w:color w:val="231F20"/>
                <w:sz w:val="16"/>
                <w:szCs w:val="16"/>
              </w:rPr>
              <w:t>Gunditj Mirring Traditional Owner</w:t>
            </w:r>
            <w:r w:rsidRPr="00AF39EE">
              <w:rPr>
                <w:color w:val="231F20"/>
                <w:spacing w:val="2"/>
                <w:sz w:val="16"/>
                <w:szCs w:val="16"/>
              </w:rPr>
              <w:t xml:space="preserve"> </w:t>
            </w:r>
            <w:r w:rsidRPr="00AF39EE">
              <w:rPr>
                <w:color w:val="231F20"/>
                <w:sz w:val="16"/>
                <w:szCs w:val="16"/>
              </w:rPr>
              <w:t>Corporation</w:t>
            </w:r>
          </w:p>
          <w:p w:rsidR="00AF39EE" w:rsidRPr="00AF39EE" w:rsidRDefault="00AF39EE" w:rsidP="00AF39EE">
            <w:pPr>
              <w:pStyle w:val="TableParagraph"/>
              <w:numPr>
                <w:ilvl w:val="0"/>
                <w:numId w:val="1028"/>
              </w:numPr>
              <w:tabs>
                <w:tab w:val="left" w:pos="305"/>
              </w:tabs>
              <w:spacing w:before="90"/>
              <w:rPr>
                <w:sz w:val="16"/>
                <w:szCs w:val="16"/>
              </w:rPr>
            </w:pPr>
            <w:r w:rsidRPr="00AF39EE">
              <w:rPr>
                <w:color w:val="231F20"/>
                <w:sz w:val="16"/>
                <w:szCs w:val="16"/>
              </w:rPr>
              <w:t>Barengi Gadjin Land</w:t>
            </w:r>
            <w:r w:rsidRPr="00AF39EE">
              <w:rPr>
                <w:color w:val="231F20"/>
                <w:spacing w:val="3"/>
                <w:sz w:val="16"/>
                <w:szCs w:val="16"/>
              </w:rPr>
              <w:t xml:space="preserve"> </w:t>
            </w:r>
            <w:r w:rsidRPr="00AF39EE">
              <w:rPr>
                <w:color w:val="231F20"/>
                <w:sz w:val="16"/>
                <w:szCs w:val="16"/>
              </w:rPr>
              <w:t>Council</w:t>
            </w:r>
          </w:p>
          <w:p w:rsidR="00AF39EE" w:rsidRPr="00AF39EE" w:rsidRDefault="00AF39EE" w:rsidP="00AF39EE">
            <w:pPr>
              <w:pStyle w:val="TableParagraph"/>
              <w:numPr>
                <w:ilvl w:val="0"/>
                <w:numId w:val="1028"/>
              </w:numPr>
              <w:tabs>
                <w:tab w:val="left" w:pos="305"/>
              </w:tabs>
              <w:spacing w:before="89"/>
              <w:rPr>
                <w:sz w:val="16"/>
                <w:szCs w:val="16"/>
              </w:rPr>
            </w:pPr>
            <w:r w:rsidRPr="00AF39EE">
              <w:rPr>
                <w:color w:val="231F20"/>
                <w:sz w:val="16"/>
                <w:szCs w:val="16"/>
              </w:rPr>
              <w:t>Burrandies Aboriginal</w:t>
            </w:r>
            <w:r w:rsidRPr="00AF39EE">
              <w:rPr>
                <w:color w:val="231F20"/>
                <w:spacing w:val="-8"/>
                <w:sz w:val="16"/>
                <w:szCs w:val="16"/>
              </w:rPr>
              <w:t xml:space="preserve"> </w:t>
            </w:r>
            <w:r w:rsidRPr="00AF39EE">
              <w:rPr>
                <w:color w:val="231F20"/>
                <w:sz w:val="16"/>
                <w:szCs w:val="16"/>
              </w:rPr>
              <w:t>Corporation</w:t>
            </w:r>
          </w:p>
        </w:tc>
      </w:tr>
    </w:tbl>
    <w:p w:rsidR="006A7A3F" w:rsidRDefault="006A7A3F">
      <w:pPr>
        <w:rPr>
          <w:sz w:val="17"/>
        </w:rPr>
        <w:sectPr w:rsidR="006A7A3F" w:rsidSect="00C92D74">
          <w:pgSz w:w="11910" w:h="16840"/>
          <w:pgMar w:top="1701" w:right="851" w:bottom="1134" w:left="851" w:header="720" w:footer="720" w:gutter="0"/>
          <w:cols w:space="720"/>
        </w:sectPr>
      </w:pPr>
    </w:p>
    <w:p w:rsidR="006A7A3F" w:rsidRDefault="00BC7372">
      <w:pPr>
        <w:spacing w:before="130" w:line="249" w:lineRule="auto"/>
        <w:ind w:left="210" w:right="100"/>
        <w:rPr>
          <w:b/>
          <w:sz w:val="18"/>
        </w:rPr>
      </w:pPr>
      <w:r>
        <w:rPr>
          <w:b/>
          <w:color w:val="231F20"/>
          <w:sz w:val="18"/>
        </w:rPr>
        <w:t>Table 4.1.3 Partners and stakeholders engaged by Wimmera CMA in developing the seasonal watering proposal for the Wimmera system and other key foundation documents that have directly informed the proposal</w:t>
      </w:r>
    </w:p>
    <w:p w:rsidR="006A7A3F" w:rsidRDefault="006A7A3F">
      <w:pPr>
        <w:pStyle w:val="BodyText"/>
        <w:spacing w:before="10"/>
        <w:ind w:left="0"/>
        <w:rPr>
          <w:b/>
          <w:sz w:val="7"/>
        </w:rPr>
      </w:pPr>
    </w:p>
    <w:tbl>
      <w:tblPr>
        <w:tblW w:w="1019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268"/>
        <w:gridCol w:w="7927"/>
      </w:tblGrid>
      <w:tr w:rsidR="006A7A3F" w:rsidTr="00AF39EE">
        <w:trPr>
          <w:trHeight w:val="367"/>
        </w:trPr>
        <w:tc>
          <w:tcPr>
            <w:tcW w:w="2268"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Partner/stakeholder</w:t>
            </w:r>
          </w:p>
        </w:tc>
        <w:tc>
          <w:tcPr>
            <w:tcW w:w="7927"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Wimmera system</w:t>
            </w:r>
          </w:p>
        </w:tc>
      </w:tr>
      <w:tr w:rsidR="006A7A3F" w:rsidTr="00AF39EE">
        <w:trPr>
          <w:trHeight w:val="1174"/>
        </w:trPr>
        <w:tc>
          <w:tcPr>
            <w:tcW w:w="2268" w:type="dxa"/>
            <w:tcBorders>
              <w:top w:val="nil"/>
              <w:left w:val="single" w:sz="4" w:space="0" w:color="231F20"/>
              <w:bottom w:val="single" w:sz="4" w:space="0" w:color="231F20"/>
              <w:right w:val="single" w:sz="4" w:space="0" w:color="231F20"/>
            </w:tcBorders>
          </w:tcPr>
          <w:p w:rsidR="006A7A3F" w:rsidRPr="00AF39EE" w:rsidRDefault="00BC7372">
            <w:pPr>
              <w:pStyle w:val="TableParagraph"/>
              <w:spacing w:before="70" w:line="254" w:lineRule="auto"/>
              <w:ind w:left="85" w:right="292"/>
              <w:rPr>
                <w:sz w:val="16"/>
                <w:szCs w:val="16"/>
              </w:rPr>
            </w:pPr>
            <w:r w:rsidRPr="00AF39EE">
              <w:rPr>
                <w:color w:val="231F20"/>
                <w:sz w:val="16"/>
                <w:szCs w:val="16"/>
              </w:rPr>
              <w:t>Community groups and environment groups</w:t>
            </w:r>
          </w:p>
        </w:tc>
        <w:tc>
          <w:tcPr>
            <w:tcW w:w="7927" w:type="dxa"/>
            <w:tcBorders>
              <w:top w:val="nil"/>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Consult</w:t>
            </w:r>
          </w:p>
          <w:p w:rsidR="006A7A3F" w:rsidRPr="00AF39EE" w:rsidRDefault="00BC7372">
            <w:pPr>
              <w:pStyle w:val="TableParagraph"/>
              <w:numPr>
                <w:ilvl w:val="0"/>
                <w:numId w:val="1027"/>
              </w:numPr>
              <w:tabs>
                <w:tab w:val="left" w:pos="305"/>
              </w:tabs>
              <w:spacing w:before="59"/>
              <w:rPr>
                <w:sz w:val="16"/>
                <w:szCs w:val="16"/>
              </w:rPr>
            </w:pPr>
            <w:r w:rsidRPr="00AF39EE">
              <w:rPr>
                <w:color w:val="231F20"/>
                <w:sz w:val="16"/>
                <w:szCs w:val="16"/>
              </w:rPr>
              <w:t>Lake Lonsdale Action</w:t>
            </w:r>
            <w:r w:rsidRPr="00AF39EE">
              <w:rPr>
                <w:color w:val="231F20"/>
                <w:spacing w:val="-7"/>
                <w:sz w:val="16"/>
                <w:szCs w:val="16"/>
              </w:rPr>
              <w:t xml:space="preserve"> </w:t>
            </w:r>
            <w:r w:rsidRPr="00AF39EE">
              <w:rPr>
                <w:color w:val="231F20"/>
                <w:sz w:val="16"/>
                <w:szCs w:val="16"/>
              </w:rPr>
              <w:t>Group</w:t>
            </w:r>
          </w:p>
          <w:p w:rsidR="006A7A3F" w:rsidRPr="00AF39EE" w:rsidRDefault="00BC7372">
            <w:pPr>
              <w:pStyle w:val="TableParagraph"/>
              <w:numPr>
                <w:ilvl w:val="0"/>
                <w:numId w:val="1027"/>
              </w:numPr>
              <w:tabs>
                <w:tab w:val="left" w:pos="305"/>
              </w:tabs>
              <w:spacing w:before="90"/>
              <w:rPr>
                <w:sz w:val="16"/>
                <w:szCs w:val="16"/>
              </w:rPr>
            </w:pPr>
            <w:r w:rsidRPr="00AF39EE">
              <w:rPr>
                <w:color w:val="231F20"/>
                <w:sz w:val="16"/>
                <w:szCs w:val="16"/>
              </w:rPr>
              <w:t>Yarriambiack Creek Advisory</w:t>
            </w:r>
            <w:r w:rsidRPr="00AF39EE">
              <w:rPr>
                <w:color w:val="231F20"/>
                <w:spacing w:val="-7"/>
                <w:sz w:val="16"/>
                <w:szCs w:val="16"/>
              </w:rPr>
              <w:t xml:space="preserve"> </w:t>
            </w:r>
            <w:r w:rsidRPr="00AF39EE">
              <w:rPr>
                <w:color w:val="231F20"/>
                <w:sz w:val="16"/>
                <w:szCs w:val="16"/>
              </w:rPr>
              <w:t>Committee</w:t>
            </w:r>
          </w:p>
          <w:p w:rsidR="006A7A3F" w:rsidRPr="00AF39EE" w:rsidRDefault="00BC7372">
            <w:pPr>
              <w:pStyle w:val="TableParagraph"/>
              <w:numPr>
                <w:ilvl w:val="0"/>
                <w:numId w:val="1027"/>
              </w:numPr>
              <w:tabs>
                <w:tab w:val="left" w:pos="305"/>
              </w:tabs>
              <w:spacing w:before="89"/>
              <w:rPr>
                <w:sz w:val="16"/>
                <w:szCs w:val="16"/>
              </w:rPr>
            </w:pPr>
            <w:r w:rsidRPr="00AF39EE">
              <w:rPr>
                <w:color w:val="231F20"/>
                <w:sz w:val="16"/>
                <w:szCs w:val="16"/>
              </w:rPr>
              <w:t>Friends of Bungalally and Burnt</w:t>
            </w:r>
            <w:r w:rsidRPr="00AF39EE">
              <w:rPr>
                <w:color w:val="231F20"/>
                <w:spacing w:val="7"/>
                <w:sz w:val="16"/>
                <w:szCs w:val="16"/>
              </w:rPr>
              <w:t xml:space="preserve"> </w:t>
            </w:r>
            <w:r w:rsidRPr="00AF39EE">
              <w:rPr>
                <w:color w:val="231F20"/>
                <w:sz w:val="16"/>
                <w:szCs w:val="16"/>
              </w:rPr>
              <w:t>Creek</w:t>
            </w:r>
          </w:p>
        </w:tc>
      </w:tr>
      <w:tr w:rsidR="006A7A3F" w:rsidTr="00AF39EE">
        <w:trPr>
          <w:trHeight w:val="1459"/>
        </w:trPr>
        <w:tc>
          <w:tcPr>
            <w:tcW w:w="2268" w:type="dxa"/>
            <w:vMerge w:val="restart"/>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Government agencies</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Collaborate</w:t>
            </w:r>
          </w:p>
          <w:p w:rsidR="006A7A3F" w:rsidRPr="00AF39EE" w:rsidRDefault="00BC7372">
            <w:pPr>
              <w:pStyle w:val="TableParagraph"/>
              <w:numPr>
                <w:ilvl w:val="0"/>
                <w:numId w:val="1026"/>
              </w:numPr>
              <w:tabs>
                <w:tab w:val="left" w:pos="305"/>
              </w:tabs>
              <w:spacing w:before="59"/>
              <w:rPr>
                <w:sz w:val="16"/>
                <w:szCs w:val="16"/>
              </w:rPr>
            </w:pPr>
            <w:r w:rsidRPr="00AF39EE">
              <w:rPr>
                <w:color w:val="231F20"/>
                <w:sz w:val="16"/>
                <w:szCs w:val="16"/>
              </w:rPr>
              <w:t>Commonwealth Environmental Water</w:t>
            </w:r>
            <w:r w:rsidRPr="00AF39EE">
              <w:rPr>
                <w:color w:val="231F20"/>
                <w:spacing w:val="4"/>
                <w:sz w:val="16"/>
                <w:szCs w:val="16"/>
              </w:rPr>
              <w:t xml:space="preserve"> </w:t>
            </w:r>
            <w:r w:rsidRPr="00AF39EE">
              <w:rPr>
                <w:color w:val="231F20"/>
                <w:sz w:val="16"/>
                <w:szCs w:val="16"/>
              </w:rPr>
              <w:t>Office</w:t>
            </w:r>
          </w:p>
          <w:p w:rsidR="006A7A3F" w:rsidRPr="00AF39EE" w:rsidRDefault="00BC7372">
            <w:pPr>
              <w:pStyle w:val="TableParagraph"/>
              <w:numPr>
                <w:ilvl w:val="0"/>
                <w:numId w:val="1026"/>
              </w:numPr>
              <w:tabs>
                <w:tab w:val="left" w:pos="305"/>
              </w:tabs>
              <w:spacing w:before="90"/>
              <w:rPr>
                <w:sz w:val="16"/>
                <w:szCs w:val="16"/>
              </w:rPr>
            </w:pPr>
            <w:r w:rsidRPr="00AF39EE">
              <w:rPr>
                <w:color w:val="231F20"/>
                <w:sz w:val="16"/>
                <w:szCs w:val="16"/>
              </w:rPr>
              <w:t>Department of Environment, Land, Water and Planning – Grampians</w:t>
            </w:r>
            <w:r w:rsidRPr="00AF39EE">
              <w:rPr>
                <w:color w:val="231F20"/>
                <w:spacing w:val="27"/>
                <w:sz w:val="16"/>
                <w:szCs w:val="16"/>
              </w:rPr>
              <w:t xml:space="preserve"> </w:t>
            </w:r>
            <w:r w:rsidRPr="00AF39EE">
              <w:rPr>
                <w:color w:val="231F20"/>
                <w:sz w:val="16"/>
                <w:szCs w:val="16"/>
              </w:rPr>
              <w:t>Region</w:t>
            </w:r>
          </w:p>
          <w:p w:rsidR="006A7A3F" w:rsidRPr="00AF39EE" w:rsidRDefault="00BC7372">
            <w:pPr>
              <w:pStyle w:val="TableParagraph"/>
              <w:numPr>
                <w:ilvl w:val="0"/>
                <w:numId w:val="1026"/>
              </w:numPr>
              <w:tabs>
                <w:tab w:val="left" w:pos="305"/>
              </w:tabs>
              <w:spacing w:before="89"/>
              <w:rPr>
                <w:sz w:val="16"/>
                <w:szCs w:val="16"/>
              </w:rPr>
            </w:pPr>
            <w:r w:rsidRPr="00AF39EE">
              <w:rPr>
                <w:color w:val="231F20"/>
                <w:sz w:val="16"/>
                <w:szCs w:val="16"/>
              </w:rPr>
              <w:t>Glenelg Hopkins</w:t>
            </w:r>
            <w:r w:rsidRPr="00AF39EE">
              <w:rPr>
                <w:color w:val="231F20"/>
                <w:spacing w:val="2"/>
                <w:sz w:val="16"/>
                <w:szCs w:val="16"/>
              </w:rPr>
              <w:t xml:space="preserve"> </w:t>
            </w:r>
            <w:r w:rsidRPr="00AF39EE">
              <w:rPr>
                <w:color w:val="231F20"/>
                <w:sz w:val="16"/>
                <w:szCs w:val="16"/>
              </w:rPr>
              <w:t>CMA</w:t>
            </w:r>
          </w:p>
          <w:p w:rsidR="006A7A3F" w:rsidRPr="00AF39EE" w:rsidRDefault="00BC7372">
            <w:pPr>
              <w:pStyle w:val="TableParagraph"/>
              <w:numPr>
                <w:ilvl w:val="0"/>
                <w:numId w:val="1026"/>
              </w:numPr>
              <w:tabs>
                <w:tab w:val="left" w:pos="305"/>
              </w:tabs>
              <w:spacing w:before="90"/>
              <w:rPr>
                <w:sz w:val="16"/>
                <w:szCs w:val="16"/>
              </w:rPr>
            </w:pPr>
            <w:r w:rsidRPr="00AF39EE">
              <w:rPr>
                <w:color w:val="231F20"/>
                <w:sz w:val="16"/>
                <w:szCs w:val="16"/>
              </w:rPr>
              <w:t>Grampians Wimmera Mallee</w:t>
            </w:r>
            <w:r w:rsidRPr="00AF39EE">
              <w:rPr>
                <w:color w:val="231F20"/>
                <w:spacing w:val="4"/>
                <w:sz w:val="16"/>
                <w:szCs w:val="16"/>
              </w:rPr>
              <w:t xml:space="preserve"> </w:t>
            </w:r>
            <w:r w:rsidRPr="00AF39EE">
              <w:rPr>
                <w:color w:val="231F20"/>
                <w:spacing w:val="-3"/>
                <w:sz w:val="16"/>
                <w:szCs w:val="16"/>
              </w:rPr>
              <w:t>Water</w:t>
            </w:r>
          </w:p>
        </w:tc>
      </w:tr>
      <w:tr w:rsidR="006A7A3F" w:rsidTr="00AF39EE">
        <w:trPr>
          <w:trHeight w:val="889"/>
        </w:trPr>
        <w:tc>
          <w:tcPr>
            <w:tcW w:w="2268" w:type="dxa"/>
            <w:vMerge/>
            <w:tcBorders>
              <w:top w:val="nil"/>
              <w:left w:val="single" w:sz="4" w:space="0" w:color="231F20"/>
              <w:bottom w:val="single" w:sz="4" w:space="0" w:color="231F20"/>
              <w:right w:val="single" w:sz="4" w:space="0" w:color="231F20"/>
            </w:tcBorders>
          </w:tcPr>
          <w:p w:rsidR="006A7A3F" w:rsidRPr="00AF39EE" w:rsidRDefault="006A7A3F">
            <w:pPr>
              <w:rPr>
                <w:sz w:val="16"/>
                <w:szCs w:val="16"/>
              </w:rPr>
            </w:pP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Involve</w:t>
            </w:r>
          </w:p>
          <w:p w:rsidR="006A7A3F" w:rsidRPr="00AF39EE" w:rsidRDefault="00BC7372">
            <w:pPr>
              <w:pStyle w:val="TableParagraph"/>
              <w:numPr>
                <w:ilvl w:val="0"/>
                <w:numId w:val="1025"/>
              </w:numPr>
              <w:tabs>
                <w:tab w:val="left" w:pos="305"/>
              </w:tabs>
              <w:spacing w:before="59"/>
              <w:rPr>
                <w:sz w:val="16"/>
                <w:szCs w:val="16"/>
              </w:rPr>
            </w:pPr>
            <w:r w:rsidRPr="00AF39EE">
              <w:rPr>
                <w:color w:val="231F20"/>
                <w:sz w:val="16"/>
                <w:szCs w:val="16"/>
              </w:rPr>
              <w:t>Hindmarsh Shire</w:t>
            </w:r>
            <w:r w:rsidRPr="00AF39EE">
              <w:rPr>
                <w:color w:val="231F20"/>
                <w:spacing w:val="2"/>
                <w:sz w:val="16"/>
                <w:szCs w:val="16"/>
              </w:rPr>
              <w:t xml:space="preserve"> </w:t>
            </w:r>
            <w:r w:rsidRPr="00AF39EE">
              <w:rPr>
                <w:color w:val="231F20"/>
                <w:sz w:val="16"/>
                <w:szCs w:val="16"/>
              </w:rPr>
              <w:t>Council</w:t>
            </w:r>
          </w:p>
          <w:p w:rsidR="006A7A3F" w:rsidRPr="00AF39EE" w:rsidRDefault="00BC7372">
            <w:pPr>
              <w:pStyle w:val="TableParagraph"/>
              <w:numPr>
                <w:ilvl w:val="0"/>
                <w:numId w:val="1025"/>
              </w:numPr>
              <w:tabs>
                <w:tab w:val="left" w:pos="305"/>
              </w:tabs>
              <w:spacing w:before="90"/>
              <w:rPr>
                <w:sz w:val="16"/>
                <w:szCs w:val="16"/>
              </w:rPr>
            </w:pPr>
            <w:r w:rsidRPr="00AF39EE">
              <w:rPr>
                <w:color w:val="231F20"/>
                <w:sz w:val="16"/>
                <w:szCs w:val="16"/>
              </w:rPr>
              <w:t>Horsham Rural City</w:t>
            </w:r>
            <w:r w:rsidRPr="00AF39EE">
              <w:rPr>
                <w:color w:val="231F20"/>
                <w:spacing w:val="3"/>
                <w:sz w:val="16"/>
                <w:szCs w:val="16"/>
              </w:rPr>
              <w:t xml:space="preserve"> </w:t>
            </w:r>
            <w:r w:rsidRPr="00AF39EE">
              <w:rPr>
                <w:color w:val="231F20"/>
                <w:sz w:val="16"/>
                <w:szCs w:val="16"/>
              </w:rPr>
              <w:t>Council</w:t>
            </w:r>
          </w:p>
        </w:tc>
      </w:tr>
      <w:tr w:rsidR="006A7A3F" w:rsidTr="00AF39EE">
        <w:trPr>
          <w:trHeight w:val="1459"/>
        </w:trPr>
        <w:tc>
          <w:tcPr>
            <w:tcW w:w="2268" w:type="dxa"/>
            <w:vMerge/>
            <w:tcBorders>
              <w:top w:val="nil"/>
              <w:left w:val="single" w:sz="4" w:space="0" w:color="231F20"/>
              <w:bottom w:val="single" w:sz="4" w:space="0" w:color="231F20"/>
              <w:right w:val="single" w:sz="4" w:space="0" w:color="231F20"/>
            </w:tcBorders>
          </w:tcPr>
          <w:p w:rsidR="006A7A3F" w:rsidRPr="00AF39EE" w:rsidRDefault="006A7A3F">
            <w:pPr>
              <w:rPr>
                <w:sz w:val="16"/>
                <w:szCs w:val="16"/>
              </w:rPr>
            </w:pP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Consult</w:t>
            </w:r>
          </w:p>
          <w:p w:rsidR="006A7A3F" w:rsidRPr="00AF39EE" w:rsidRDefault="00BC7372">
            <w:pPr>
              <w:pStyle w:val="TableParagraph"/>
              <w:numPr>
                <w:ilvl w:val="0"/>
                <w:numId w:val="1024"/>
              </w:numPr>
              <w:tabs>
                <w:tab w:val="left" w:pos="305"/>
              </w:tabs>
              <w:spacing w:before="59"/>
              <w:rPr>
                <w:sz w:val="16"/>
                <w:szCs w:val="16"/>
              </w:rPr>
            </w:pPr>
            <w:r w:rsidRPr="00AF39EE">
              <w:rPr>
                <w:color w:val="231F20"/>
                <w:sz w:val="16"/>
                <w:szCs w:val="16"/>
              </w:rPr>
              <w:t>Northern Grampians Shire</w:t>
            </w:r>
            <w:r w:rsidRPr="00AF39EE">
              <w:rPr>
                <w:color w:val="231F20"/>
                <w:spacing w:val="4"/>
                <w:sz w:val="16"/>
                <w:szCs w:val="16"/>
              </w:rPr>
              <w:t xml:space="preserve"> </w:t>
            </w:r>
            <w:r w:rsidRPr="00AF39EE">
              <w:rPr>
                <w:color w:val="231F20"/>
                <w:sz w:val="16"/>
                <w:szCs w:val="16"/>
              </w:rPr>
              <w:t>Council</w:t>
            </w:r>
          </w:p>
          <w:p w:rsidR="006A7A3F" w:rsidRPr="00AF39EE" w:rsidRDefault="00BC7372">
            <w:pPr>
              <w:pStyle w:val="TableParagraph"/>
              <w:numPr>
                <w:ilvl w:val="0"/>
                <w:numId w:val="1024"/>
              </w:numPr>
              <w:tabs>
                <w:tab w:val="left" w:pos="305"/>
              </w:tabs>
              <w:spacing w:before="90"/>
              <w:rPr>
                <w:sz w:val="16"/>
                <w:szCs w:val="16"/>
              </w:rPr>
            </w:pPr>
            <w:r w:rsidRPr="00AF39EE">
              <w:rPr>
                <w:color w:val="231F20"/>
                <w:sz w:val="16"/>
                <w:szCs w:val="16"/>
              </w:rPr>
              <w:t>Parks</w:t>
            </w:r>
            <w:r w:rsidRPr="00AF39EE">
              <w:rPr>
                <w:color w:val="231F20"/>
                <w:spacing w:val="1"/>
                <w:sz w:val="16"/>
                <w:szCs w:val="16"/>
              </w:rPr>
              <w:t xml:space="preserve"> </w:t>
            </w:r>
            <w:r w:rsidRPr="00AF39EE">
              <w:rPr>
                <w:color w:val="231F20"/>
                <w:sz w:val="16"/>
                <w:szCs w:val="16"/>
              </w:rPr>
              <w:t>Victoria</w:t>
            </w:r>
          </w:p>
          <w:p w:rsidR="006A7A3F" w:rsidRPr="00AF39EE" w:rsidRDefault="00BC7372">
            <w:pPr>
              <w:pStyle w:val="TableParagraph"/>
              <w:numPr>
                <w:ilvl w:val="0"/>
                <w:numId w:val="1024"/>
              </w:numPr>
              <w:tabs>
                <w:tab w:val="left" w:pos="305"/>
              </w:tabs>
              <w:spacing w:before="89"/>
              <w:rPr>
                <w:sz w:val="16"/>
                <w:szCs w:val="16"/>
              </w:rPr>
            </w:pPr>
            <w:r w:rsidRPr="00AF39EE">
              <w:rPr>
                <w:color w:val="231F20"/>
                <w:sz w:val="16"/>
                <w:szCs w:val="16"/>
              </w:rPr>
              <w:t>Victorian Fisheries</w:t>
            </w:r>
            <w:r w:rsidRPr="00AF39EE">
              <w:rPr>
                <w:color w:val="231F20"/>
                <w:spacing w:val="-8"/>
                <w:sz w:val="16"/>
                <w:szCs w:val="16"/>
              </w:rPr>
              <w:t xml:space="preserve"> </w:t>
            </w:r>
            <w:r w:rsidRPr="00AF39EE">
              <w:rPr>
                <w:color w:val="231F20"/>
                <w:sz w:val="16"/>
                <w:szCs w:val="16"/>
              </w:rPr>
              <w:t>Authority</w:t>
            </w:r>
          </w:p>
          <w:p w:rsidR="006A7A3F" w:rsidRPr="00AF39EE" w:rsidRDefault="00BC7372">
            <w:pPr>
              <w:pStyle w:val="TableParagraph"/>
              <w:numPr>
                <w:ilvl w:val="0"/>
                <w:numId w:val="1024"/>
              </w:numPr>
              <w:tabs>
                <w:tab w:val="left" w:pos="305"/>
              </w:tabs>
              <w:spacing w:before="90"/>
              <w:rPr>
                <w:sz w:val="16"/>
                <w:szCs w:val="16"/>
              </w:rPr>
            </w:pPr>
            <w:r w:rsidRPr="00AF39EE">
              <w:rPr>
                <w:color w:val="231F20"/>
                <w:sz w:val="16"/>
                <w:szCs w:val="16"/>
              </w:rPr>
              <w:t>Yarriambiack Shire</w:t>
            </w:r>
            <w:r w:rsidRPr="00AF39EE">
              <w:rPr>
                <w:color w:val="231F20"/>
                <w:spacing w:val="2"/>
                <w:sz w:val="16"/>
                <w:szCs w:val="16"/>
              </w:rPr>
              <w:t xml:space="preserve"> </w:t>
            </w:r>
            <w:r w:rsidRPr="00AF39EE">
              <w:rPr>
                <w:color w:val="231F20"/>
                <w:sz w:val="16"/>
                <w:szCs w:val="16"/>
              </w:rPr>
              <w:t>Council</w:t>
            </w:r>
          </w:p>
        </w:tc>
      </w:tr>
      <w:tr w:rsidR="006A7A3F" w:rsidTr="00AF39EE">
        <w:trPr>
          <w:trHeight w:val="604"/>
        </w:trPr>
        <w:tc>
          <w:tcPr>
            <w:tcW w:w="2268"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Landholders/farmers</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Inform</w:t>
            </w:r>
          </w:p>
          <w:p w:rsidR="006A7A3F" w:rsidRPr="00AF39EE" w:rsidRDefault="00BC7372">
            <w:pPr>
              <w:pStyle w:val="TableParagraph"/>
              <w:numPr>
                <w:ilvl w:val="0"/>
                <w:numId w:val="1023"/>
              </w:numPr>
              <w:tabs>
                <w:tab w:val="left" w:pos="305"/>
              </w:tabs>
              <w:spacing w:before="59"/>
              <w:rPr>
                <w:sz w:val="16"/>
                <w:szCs w:val="16"/>
              </w:rPr>
            </w:pPr>
            <w:r w:rsidRPr="00AF39EE">
              <w:rPr>
                <w:color w:val="231F20"/>
                <w:sz w:val="16"/>
                <w:szCs w:val="16"/>
              </w:rPr>
              <w:t>Wimmera community members, especially</w:t>
            </w:r>
            <w:r w:rsidRPr="00AF39EE">
              <w:rPr>
                <w:color w:val="231F20"/>
                <w:spacing w:val="7"/>
                <w:sz w:val="16"/>
                <w:szCs w:val="16"/>
              </w:rPr>
              <w:t xml:space="preserve"> </w:t>
            </w:r>
            <w:r w:rsidRPr="00AF39EE">
              <w:rPr>
                <w:color w:val="231F20"/>
                <w:sz w:val="16"/>
                <w:szCs w:val="16"/>
              </w:rPr>
              <w:t>landholders</w:t>
            </w:r>
          </w:p>
        </w:tc>
      </w:tr>
      <w:tr w:rsidR="00AF39EE" w:rsidTr="00AF39EE">
        <w:trPr>
          <w:trHeight w:val="604"/>
        </w:trPr>
        <w:tc>
          <w:tcPr>
            <w:tcW w:w="2268"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5"/>
              <w:rPr>
                <w:sz w:val="16"/>
                <w:szCs w:val="16"/>
              </w:rPr>
            </w:pPr>
            <w:r w:rsidRPr="00AF39EE">
              <w:rPr>
                <w:color w:val="231F20"/>
                <w:sz w:val="16"/>
                <w:szCs w:val="16"/>
              </w:rPr>
              <w:t>Recreational users</w:t>
            </w:r>
          </w:p>
        </w:tc>
        <w:tc>
          <w:tcPr>
            <w:tcW w:w="7927"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4"/>
              <w:rPr>
                <w:b/>
                <w:sz w:val="16"/>
                <w:szCs w:val="16"/>
              </w:rPr>
            </w:pPr>
            <w:r w:rsidRPr="00AF39EE">
              <w:rPr>
                <w:b/>
                <w:color w:val="231F20"/>
                <w:sz w:val="16"/>
                <w:szCs w:val="16"/>
              </w:rPr>
              <w:t>IAP2 level: Consult</w:t>
            </w:r>
          </w:p>
          <w:p w:rsidR="00AF39EE" w:rsidRPr="00AF39EE" w:rsidRDefault="00AF39EE" w:rsidP="00AF39EE">
            <w:pPr>
              <w:pStyle w:val="TableParagraph"/>
              <w:numPr>
                <w:ilvl w:val="0"/>
                <w:numId w:val="1022"/>
              </w:numPr>
              <w:tabs>
                <w:tab w:val="left" w:pos="305"/>
              </w:tabs>
              <w:spacing w:before="59"/>
              <w:rPr>
                <w:sz w:val="16"/>
                <w:szCs w:val="16"/>
              </w:rPr>
            </w:pPr>
            <w:r w:rsidRPr="00AF39EE">
              <w:rPr>
                <w:color w:val="231F20"/>
                <w:sz w:val="16"/>
                <w:szCs w:val="16"/>
              </w:rPr>
              <w:t>Natimuk and District Field and</w:t>
            </w:r>
            <w:r w:rsidRPr="00AF39EE">
              <w:rPr>
                <w:color w:val="231F20"/>
                <w:spacing w:val="7"/>
                <w:sz w:val="16"/>
                <w:szCs w:val="16"/>
              </w:rPr>
              <w:t xml:space="preserve"> </w:t>
            </w:r>
            <w:r w:rsidRPr="00AF39EE">
              <w:rPr>
                <w:color w:val="231F20"/>
                <w:sz w:val="16"/>
                <w:szCs w:val="16"/>
              </w:rPr>
              <w:t>Game</w:t>
            </w:r>
          </w:p>
          <w:p w:rsidR="00AF39EE" w:rsidRPr="00AF39EE" w:rsidRDefault="00AF39EE" w:rsidP="00AF39EE">
            <w:pPr>
              <w:pStyle w:val="TableParagraph"/>
              <w:numPr>
                <w:ilvl w:val="0"/>
                <w:numId w:val="1022"/>
              </w:numPr>
              <w:tabs>
                <w:tab w:val="left" w:pos="305"/>
              </w:tabs>
              <w:spacing w:before="90"/>
              <w:rPr>
                <w:sz w:val="16"/>
                <w:szCs w:val="16"/>
              </w:rPr>
            </w:pPr>
            <w:r w:rsidRPr="00AF39EE">
              <w:rPr>
                <w:color w:val="231F20"/>
                <w:sz w:val="16"/>
                <w:szCs w:val="16"/>
              </w:rPr>
              <w:t>VRFish</w:t>
            </w:r>
          </w:p>
          <w:p w:rsidR="00AF39EE" w:rsidRPr="00AF39EE" w:rsidRDefault="00AF39EE" w:rsidP="00AF39EE">
            <w:pPr>
              <w:pStyle w:val="TableParagraph"/>
              <w:numPr>
                <w:ilvl w:val="0"/>
                <w:numId w:val="1022"/>
              </w:numPr>
              <w:tabs>
                <w:tab w:val="left" w:pos="305"/>
              </w:tabs>
              <w:spacing w:before="89"/>
              <w:rPr>
                <w:sz w:val="16"/>
                <w:szCs w:val="16"/>
              </w:rPr>
            </w:pPr>
            <w:r w:rsidRPr="00AF39EE">
              <w:rPr>
                <w:color w:val="231F20"/>
                <w:sz w:val="16"/>
                <w:szCs w:val="16"/>
              </w:rPr>
              <w:t>Natimuk Lake Water Ski</w:t>
            </w:r>
            <w:r w:rsidRPr="00AF39EE">
              <w:rPr>
                <w:color w:val="231F20"/>
                <w:spacing w:val="4"/>
                <w:sz w:val="16"/>
                <w:szCs w:val="16"/>
              </w:rPr>
              <w:t xml:space="preserve"> </w:t>
            </w:r>
            <w:r w:rsidRPr="00AF39EE">
              <w:rPr>
                <w:color w:val="231F20"/>
                <w:sz w:val="16"/>
                <w:szCs w:val="16"/>
              </w:rPr>
              <w:t>Club</w:t>
            </w:r>
          </w:p>
          <w:p w:rsidR="00AF39EE" w:rsidRPr="00AF39EE" w:rsidRDefault="00AF39EE" w:rsidP="00AF39EE">
            <w:pPr>
              <w:pStyle w:val="TableParagraph"/>
              <w:numPr>
                <w:ilvl w:val="0"/>
                <w:numId w:val="1022"/>
              </w:numPr>
              <w:tabs>
                <w:tab w:val="left" w:pos="305"/>
              </w:tabs>
              <w:spacing w:before="90"/>
              <w:rPr>
                <w:sz w:val="16"/>
                <w:szCs w:val="16"/>
              </w:rPr>
            </w:pPr>
            <w:r w:rsidRPr="00AF39EE">
              <w:rPr>
                <w:color w:val="231F20"/>
                <w:sz w:val="16"/>
                <w:szCs w:val="16"/>
              </w:rPr>
              <w:t>Dimboola Water Ski</w:t>
            </w:r>
            <w:r w:rsidRPr="00AF39EE">
              <w:rPr>
                <w:color w:val="231F20"/>
                <w:spacing w:val="23"/>
                <w:sz w:val="16"/>
                <w:szCs w:val="16"/>
              </w:rPr>
              <w:t xml:space="preserve"> </w:t>
            </w:r>
            <w:r w:rsidRPr="00AF39EE">
              <w:rPr>
                <w:color w:val="231F20"/>
                <w:sz w:val="16"/>
                <w:szCs w:val="16"/>
              </w:rPr>
              <w:t>Club</w:t>
            </w:r>
          </w:p>
          <w:p w:rsidR="00AF39EE" w:rsidRPr="00AF39EE" w:rsidRDefault="00AF39EE" w:rsidP="00AF39EE">
            <w:pPr>
              <w:pStyle w:val="TableParagraph"/>
              <w:numPr>
                <w:ilvl w:val="0"/>
                <w:numId w:val="1022"/>
              </w:numPr>
              <w:tabs>
                <w:tab w:val="left" w:pos="305"/>
              </w:tabs>
              <w:spacing w:before="89"/>
              <w:rPr>
                <w:sz w:val="16"/>
                <w:szCs w:val="16"/>
              </w:rPr>
            </w:pPr>
            <w:r w:rsidRPr="00AF39EE">
              <w:rPr>
                <w:color w:val="231F20"/>
                <w:sz w:val="16"/>
                <w:szCs w:val="16"/>
              </w:rPr>
              <w:t>Dimboola  Fishing</w:t>
            </w:r>
            <w:r w:rsidRPr="00AF39EE">
              <w:rPr>
                <w:color w:val="231F20"/>
                <w:spacing w:val="-17"/>
                <w:sz w:val="16"/>
                <w:szCs w:val="16"/>
              </w:rPr>
              <w:t xml:space="preserve"> </w:t>
            </w:r>
            <w:r w:rsidRPr="00AF39EE">
              <w:rPr>
                <w:color w:val="231F20"/>
                <w:sz w:val="16"/>
                <w:szCs w:val="16"/>
              </w:rPr>
              <w:t>Classic</w:t>
            </w:r>
          </w:p>
          <w:p w:rsidR="00AF39EE" w:rsidRPr="00AF39EE" w:rsidRDefault="00AF39EE" w:rsidP="00AF39EE">
            <w:pPr>
              <w:pStyle w:val="TableParagraph"/>
              <w:numPr>
                <w:ilvl w:val="0"/>
                <w:numId w:val="1022"/>
              </w:numPr>
              <w:tabs>
                <w:tab w:val="left" w:pos="305"/>
              </w:tabs>
              <w:spacing w:before="90"/>
              <w:rPr>
                <w:sz w:val="16"/>
                <w:szCs w:val="16"/>
              </w:rPr>
            </w:pPr>
            <w:r w:rsidRPr="00AF39EE">
              <w:rPr>
                <w:color w:val="231F20"/>
                <w:sz w:val="16"/>
                <w:szCs w:val="16"/>
              </w:rPr>
              <w:t>Horsham Triathlon</w:t>
            </w:r>
            <w:r w:rsidRPr="00AF39EE">
              <w:rPr>
                <w:color w:val="231F20"/>
                <w:spacing w:val="27"/>
                <w:sz w:val="16"/>
                <w:szCs w:val="16"/>
              </w:rPr>
              <w:t xml:space="preserve"> </w:t>
            </w:r>
            <w:r w:rsidRPr="00AF39EE">
              <w:rPr>
                <w:color w:val="231F20"/>
                <w:sz w:val="16"/>
                <w:szCs w:val="16"/>
              </w:rPr>
              <w:t>Committee</w:t>
            </w:r>
          </w:p>
          <w:p w:rsidR="00AF39EE" w:rsidRPr="00AF39EE" w:rsidRDefault="00AF39EE" w:rsidP="00AF39EE">
            <w:pPr>
              <w:pStyle w:val="TableParagraph"/>
              <w:numPr>
                <w:ilvl w:val="0"/>
                <w:numId w:val="1022"/>
              </w:numPr>
              <w:tabs>
                <w:tab w:val="left" w:pos="305"/>
              </w:tabs>
              <w:spacing w:before="89"/>
              <w:rPr>
                <w:sz w:val="16"/>
                <w:szCs w:val="16"/>
              </w:rPr>
            </w:pPr>
            <w:r w:rsidRPr="00AF39EE">
              <w:rPr>
                <w:color w:val="231F20"/>
                <w:sz w:val="16"/>
                <w:szCs w:val="16"/>
              </w:rPr>
              <w:t>Wimmera  Anglers’</w:t>
            </w:r>
            <w:r w:rsidRPr="00AF39EE">
              <w:rPr>
                <w:color w:val="231F20"/>
                <w:spacing w:val="-20"/>
                <w:sz w:val="16"/>
                <w:szCs w:val="16"/>
              </w:rPr>
              <w:t xml:space="preserve"> </w:t>
            </w:r>
            <w:r w:rsidRPr="00AF39EE">
              <w:rPr>
                <w:color w:val="231F20"/>
                <w:sz w:val="16"/>
                <w:szCs w:val="16"/>
              </w:rPr>
              <w:t>Association</w:t>
            </w:r>
          </w:p>
          <w:p w:rsidR="00AF39EE" w:rsidRPr="00AF39EE" w:rsidRDefault="00AF39EE" w:rsidP="00AF39EE">
            <w:pPr>
              <w:pStyle w:val="TableParagraph"/>
              <w:numPr>
                <w:ilvl w:val="0"/>
                <w:numId w:val="1022"/>
              </w:numPr>
              <w:tabs>
                <w:tab w:val="left" w:pos="305"/>
              </w:tabs>
              <w:spacing w:before="90"/>
              <w:rPr>
                <w:sz w:val="16"/>
                <w:szCs w:val="16"/>
              </w:rPr>
            </w:pPr>
            <w:r w:rsidRPr="00AF39EE">
              <w:rPr>
                <w:color w:val="231F20"/>
                <w:sz w:val="16"/>
                <w:szCs w:val="16"/>
              </w:rPr>
              <w:t>Dimboola Rowing</w:t>
            </w:r>
            <w:r w:rsidRPr="00AF39EE">
              <w:rPr>
                <w:color w:val="231F20"/>
                <w:spacing w:val="2"/>
                <w:sz w:val="16"/>
                <w:szCs w:val="16"/>
              </w:rPr>
              <w:t xml:space="preserve"> </w:t>
            </w:r>
            <w:r w:rsidRPr="00AF39EE">
              <w:rPr>
                <w:color w:val="231F20"/>
                <w:sz w:val="16"/>
                <w:szCs w:val="16"/>
              </w:rPr>
              <w:t>Club</w:t>
            </w:r>
          </w:p>
          <w:p w:rsidR="00AF39EE" w:rsidRPr="00AF39EE" w:rsidRDefault="00AF39EE" w:rsidP="00AF39EE">
            <w:pPr>
              <w:pStyle w:val="TableParagraph"/>
              <w:numPr>
                <w:ilvl w:val="0"/>
                <w:numId w:val="1022"/>
              </w:numPr>
              <w:tabs>
                <w:tab w:val="left" w:pos="305"/>
              </w:tabs>
              <w:spacing w:before="89"/>
              <w:rPr>
                <w:sz w:val="16"/>
                <w:szCs w:val="16"/>
              </w:rPr>
            </w:pPr>
            <w:r w:rsidRPr="00AF39EE">
              <w:rPr>
                <w:color w:val="231F20"/>
                <w:sz w:val="16"/>
                <w:szCs w:val="16"/>
              </w:rPr>
              <w:t>Jeparit Anglers’</w:t>
            </w:r>
            <w:r w:rsidRPr="00AF39EE">
              <w:rPr>
                <w:color w:val="231F20"/>
                <w:spacing w:val="-15"/>
                <w:sz w:val="16"/>
                <w:szCs w:val="16"/>
              </w:rPr>
              <w:t xml:space="preserve"> </w:t>
            </w:r>
            <w:r w:rsidRPr="00AF39EE">
              <w:rPr>
                <w:color w:val="231F20"/>
                <w:sz w:val="16"/>
                <w:szCs w:val="16"/>
              </w:rPr>
              <w:t>Club</w:t>
            </w:r>
          </w:p>
          <w:p w:rsidR="00AF39EE" w:rsidRPr="00AF39EE" w:rsidRDefault="00AF39EE" w:rsidP="00AF39EE">
            <w:pPr>
              <w:pStyle w:val="TableParagraph"/>
              <w:numPr>
                <w:ilvl w:val="0"/>
                <w:numId w:val="1022"/>
              </w:numPr>
              <w:tabs>
                <w:tab w:val="left" w:pos="305"/>
              </w:tabs>
              <w:spacing w:before="90"/>
              <w:rPr>
                <w:sz w:val="16"/>
                <w:szCs w:val="16"/>
              </w:rPr>
            </w:pPr>
            <w:r w:rsidRPr="00AF39EE">
              <w:rPr>
                <w:color w:val="231F20"/>
                <w:sz w:val="16"/>
                <w:szCs w:val="16"/>
              </w:rPr>
              <w:t>Hindmarsh Ski</w:t>
            </w:r>
            <w:r w:rsidRPr="00AF39EE">
              <w:rPr>
                <w:color w:val="231F20"/>
                <w:spacing w:val="2"/>
                <w:sz w:val="16"/>
                <w:szCs w:val="16"/>
              </w:rPr>
              <w:t xml:space="preserve"> </w:t>
            </w:r>
            <w:r w:rsidRPr="00AF39EE">
              <w:rPr>
                <w:color w:val="231F20"/>
                <w:sz w:val="16"/>
                <w:szCs w:val="16"/>
              </w:rPr>
              <w:t>Club</w:t>
            </w:r>
          </w:p>
          <w:p w:rsidR="00AF39EE" w:rsidRPr="00AF39EE" w:rsidRDefault="00AF39EE" w:rsidP="00AF39EE">
            <w:pPr>
              <w:pStyle w:val="TableParagraph"/>
              <w:numPr>
                <w:ilvl w:val="0"/>
                <w:numId w:val="1022"/>
              </w:numPr>
              <w:tabs>
                <w:tab w:val="left" w:pos="305"/>
              </w:tabs>
              <w:spacing w:before="90"/>
              <w:rPr>
                <w:sz w:val="16"/>
                <w:szCs w:val="16"/>
              </w:rPr>
            </w:pPr>
            <w:r w:rsidRPr="00AF39EE">
              <w:rPr>
                <w:color w:val="231F20"/>
                <w:sz w:val="16"/>
                <w:szCs w:val="16"/>
              </w:rPr>
              <w:t>Horsham Fishing Competition</w:t>
            </w:r>
            <w:r w:rsidRPr="00AF39EE">
              <w:rPr>
                <w:color w:val="231F20"/>
                <w:spacing w:val="4"/>
                <w:sz w:val="16"/>
                <w:szCs w:val="16"/>
              </w:rPr>
              <w:t xml:space="preserve"> </w:t>
            </w:r>
            <w:r w:rsidRPr="00AF39EE">
              <w:rPr>
                <w:color w:val="231F20"/>
                <w:sz w:val="16"/>
                <w:szCs w:val="16"/>
              </w:rPr>
              <w:t>Committee</w:t>
            </w:r>
          </w:p>
          <w:p w:rsidR="00AF39EE" w:rsidRPr="00AF39EE" w:rsidRDefault="00AF39EE" w:rsidP="00AF39EE">
            <w:pPr>
              <w:pStyle w:val="TableParagraph"/>
              <w:numPr>
                <w:ilvl w:val="0"/>
                <w:numId w:val="1022"/>
              </w:numPr>
              <w:tabs>
                <w:tab w:val="left" w:pos="305"/>
              </w:tabs>
              <w:spacing w:before="89"/>
              <w:rPr>
                <w:sz w:val="16"/>
                <w:szCs w:val="16"/>
              </w:rPr>
            </w:pPr>
            <w:r w:rsidRPr="00AF39EE">
              <w:rPr>
                <w:color w:val="231F20"/>
                <w:sz w:val="16"/>
                <w:szCs w:val="16"/>
              </w:rPr>
              <w:t>Canoeing</w:t>
            </w:r>
            <w:r w:rsidRPr="00AF39EE">
              <w:rPr>
                <w:color w:val="231F20"/>
                <w:spacing w:val="1"/>
                <w:sz w:val="16"/>
                <w:szCs w:val="16"/>
              </w:rPr>
              <w:t xml:space="preserve"> </w:t>
            </w:r>
            <w:r w:rsidRPr="00AF39EE">
              <w:rPr>
                <w:color w:val="231F20"/>
                <w:sz w:val="16"/>
                <w:szCs w:val="16"/>
              </w:rPr>
              <w:t>Victoria</w:t>
            </w:r>
          </w:p>
        </w:tc>
      </w:tr>
      <w:tr w:rsidR="00AF39EE" w:rsidTr="00AF39EE">
        <w:trPr>
          <w:trHeight w:val="604"/>
        </w:trPr>
        <w:tc>
          <w:tcPr>
            <w:tcW w:w="2268"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5"/>
              <w:rPr>
                <w:sz w:val="16"/>
                <w:szCs w:val="16"/>
              </w:rPr>
            </w:pPr>
            <w:r w:rsidRPr="00AF39EE">
              <w:rPr>
                <w:color w:val="231F20"/>
                <w:sz w:val="16"/>
                <w:szCs w:val="16"/>
              </w:rPr>
              <w:t>Technical experts</w:t>
            </w:r>
          </w:p>
        </w:tc>
        <w:tc>
          <w:tcPr>
            <w:tcW w:w="7927"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4"/>
              <w:rPr>
                <w:b/>
                <w:sz w:val="16"/>
                <w:szCs w:val="16"/>
              </w:rPr>
            </w:pPr>
            <w:r w:rsidRPr="00AF39EE">
              <w:rPr>
                <w:b/>
                <w:color w:val="231F20"/>
                <w:sz w:val="16"/>
                <w:szCs w:val="16"/>
              </w:rPr>
              <w:t>IAP2 level: Collaborate</w:t>
            </w:r>
          </w:p>
          <w:p w:rsidR="00AF39EE" w:rsidRPr="00AF39EE" w:rsidRDefault="00AF39EE" w:rsidP="00AF39EE">
            <w:pPr>
              <w:pStyle w:val="TableParagraph"/>
              <w:numPr>
                <w:ilvl w:val="0"/>
                <w:numId w:val="1021"/>
              </w:numPr>
              <w:tabs>
                <w:tab w:val="left" w:pos="305"/>
              </w:tabs>
              <w:spacing w:before="59"/>
              <w:rPr>
                <w:sz w:val="16"/>
                <w:szCs w:val="16"/>
              </w:rPr>
            </w:pPr>
            <w:r w:rsidRPr="00AF39EE">
              <w:rPr>
                <w:color w:val="231F20"/>
                <w:sz w:val="16"/>
                <w:szCs w:val="16"/>
              </w:rPr>
              <w:t>Arthur Rylah Institute (Department of Environment, Land, Water and</w:t>
            </w:r>
            <w:r w:rsidRPr="00AF39EE">
              <w:rPr>
                <w:color w:val="231F20"/>
                <w:spacing w:val="31"/>
                <w:sz w:val="16"/>
                <w:szCs w:val="16"/>
              </w:rPr>
              <w:t xml:space="preserve"> </w:t>
            </w:r>
            <w:r w:rsidRPr="00AF39EE">
              <w:rPr>
                <w:color w:val="231F20"/>
                <w:sz w:val="16"/>
                <w:szCs w:val="16"/>
              </w:rPr>
              <w:t>Planning)</w:t>
            </w:r>
          </w:p>
        </w:tc>
      </w:tr>
      <w:tr w:rsidR="00AF39EE" w:rsidTr="00AF39EE">
        <w:trPr>
          <w:trHeight w:val="604"/>
        </w:trPr>
        <w:tc>
          <w:tcPr>
            <w:tcW w:w="2268"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5"/>
              <w:rPr>
                <w:sz w:val="16"/>
                <w:szCs w:val="16"/>
              </w:rPr>
            </w:pPr>
            <w:r w:rsidRPr="00AF39EE">
              <w:rPr>
                <w:color w:val="231F20"/>
                <w:sz w:val="16"/>
                <w:szCs w:val="16"/>
              </w:rPr>
              <w:t>Traditional Owners</w:t>
            </w:r>
          </w:p>
        </w:tc>
        <w:tc>
          <w:tcPr>
            <w:tcW w:w="7927"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4"/>
              <w:rPr>
                <w:b/>
                <w:sz w:val="16"/>
                <w:szCs w:val="16"/>
              </w:rPr>
            </w:pPr>
            <w:r w:rsidRPr="00AF39EE">
              <w:rPr>
                <w:b/>
                <w:color w:val="231F20"/>
                <w:sz w:val="16"/>
                <w:szCs w:val="16"/>
              </w:rPr>
              <w:t>IAP2 level: Collaborate</w:t>
            </w:r>
          </w:p>
          <w:p w:rsidR="00AF39EE" w:rsidRPr="00AF39EE" w:rsidRDefault="00AF39EE" w:rsidP="00AF39EE">
            <w:pPr>
              <w:pStyle w:val="TableParagraph"/>
              <w:numPr>
                <w:ilvl w:val="0"/>
                <w:numId w:val="1020"/>
              </w:numPr>
              <w:tabs>
                <w:tab w:val="left" w:pos="305"/>
              </w:tabs>
              <w:spacing w:before="59"/>
              <w:rPr>
                <w:sz w:val="16"/>
                <w:szCs w:val="16"/>
              </w:rPr>
            </w:pPr>
            <w:r w:rsidRPr="00AF39EE">
              <w:rPr>
                <w:color w:val="231F20"/>
                <w:sz w:val="16"/>
                <w:szCs w:val="16"/>
              </w:rPr>
              <w:t>Barengi Gadjin Land</w:t>
            </w:r>
            <w:r w:rsidRPr="00AF39EE">
              <w:rPr>
                <w:color w:val="231F20"/>
                <w:spacing w:val="3"/>
                <w:sz w:val="16"/>
                <w:szCs w:val="16"/>
              </w:rPr>
              <w:t xml:space="preserve"> </w:t>
            </w:r>
            <w:r w:rsidRPr="00AF39EE">
              <w:rPr>
                <w:color w:val="231F20"/>
                <w:sz w:val="16"/>
                <w:szCs w:val="16"/>
              </w:rPr>
              <w:t>Council</w:t>
            </w:r>
          </w:p>
        </w:tc>
      </w:tr>
    </w:tbl>
    <w:p w:rsidR="006A7A3F" w:rsidRDefault="006A7A3F">
      <w:pPr>
        <w:rPr>
          <w:sz w:val="17"/>
        </w:rPr>
        <w:sectPr w:rsidR="006A7A3F" w:rsidSect="00C92D74">
          <w:pgSz w:w="11910" w:h="16840"/>
          <w:pgMar w:top="1701" w:right="851" w:bottom="1134" w:left="851" w:header="720" w:footer="720" w:gutter="0"/>
          <w:cols w:space="720"/>
        </w:sectPr>
      </w:pPr>
    </w:p>
    <w:p w:rsidR="006A7A3F" w:rsidRDefault="00BC7372">
      <w:pPr>
        <w:spacing w:before="130" w:line="249" w:lineRule="auto"/>
        <w:ind w:left="210" w:right="268"/>
        <w:rPr>
          <w:b/>
          <w:sz w:val="18"/>
        </w:rPr>
      </w:pPr>
      <w:r>
        <w:rPr>
          <w:b/>
          <w:color w:val="231F20"/>
          <w:sz w:val="18"/>
        </w:rPr>
        <w:t>Table 4.1.4 Partners and stakeholders engaged by Mallee CMA, North Central CMA and Wimmera CMA seasonal watering proposals for the Wimmera-Mallee wetlands and other key foundation documents that have directly informed the proposals</w:t>
      </w:r>
    </w:p>
    <w:p w:rsidR="006A7A3F" w:rsidRDefault="006A7A3F">
      <w:pPr>
        <w:pStyle w:val="BodyText"/>
        <w:spacing w:before="11"/>
        <w:ind w:left="0"/>
        <w:rPr>
          <w:b/>
          <w:sz w:val="7"/>
        </w:rPr>
      </w:pPr>
    </w:p>
    <w:tbl>
      <w:tblPr>
        <w:tblW w:w="1019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268"/>
        <w:gridCol w:w="7927"/>
      </w:tblGrid>
      <w:tr w:rsidR="006A7A3F" w:rsidTr="00AF39EE">
        <w:trPr>
          <w:trHeight w:val="367"/>
        </w:trPr>
        <w:tc>
          <w:tcPr>
            <w:tcW w:w="2268"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Partner/stakeholder</w:t>
            </w:r>
          </w:p>
        </w:tc>
        <w:tc>
          <w:tcPr>
            <w:tcW w:w="7927"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Wimmera Mallee wetlands</w:t>
            </w:r>
          </w:p>
        </w:tc>
      </w:tr>
      <w:tr w:rsidR="006A7A3F" w:rsidTr="00AF39EE">
        <w:trPr>
          <w:trHeight w:val="604"/>
        </w:trPr>
        <w:tc>
          <w:tcPr>
            <w:tcW w:w="2268" w:type="dxa"/>
            <w:tcBorders>
              <w:top w:val="nil"/>
              <w:left w:val="single" w:sz="4" w:space="0" w:color="231F20"/>
              <w:bottom w:val="single" w:sz="4" w:space="0" w:color="231F20"/>
              <w:right w:val="single" w:sz="4" w:space="0" w:color="231F20"/>
            </w:tcBorders>
          </w:tcPr>
          <w:p w:rsidR="006A7A3F" w:rsidRPr="00AF39EE" w:rsidRDefault="00BC7372">
            <w:pPr>
              <w:pStyle w:val="TableParagraph"/>
              <w:spacing w:before="70" w:line="254" w:lineRule="auto"/>
              <w:ind w:left="85" w:right="292"/>
              <w:rPr>
                <w:sz w:val="16"/>
                <w:szCs w:val="16"/>
              </w:rPr>
            </w:pPr>
            <w:r w:rsidRPr="00AF39EE">
              <w:rPr>
                <w:color w:val="231F20"/>
                <w:sz w:val="16"/>
                <w:szCs w:val="16"/>
              </w:rPr>
              <w:t>Community groups and environment groups</w:t>
            </w:r>
          </w:p>
        </w:tc>
        <w:tc>
          <w:tcPr>
            <w:tcW w:w="7927" w:type="dxa"/>
            <w:tcBorders>
              <w:top w:val="nil"/>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Inform</w:t>
            </w:r>
          </w:p>
          <w:p w:rsidR="006A7A3F" w:rsidRPr="00AF39EE" w:rsidRDefault="00BC7372">
            <w:pPr>
              <w:pStyle w:val="TableParagraph"/>
              <w:numPr>
                <w:ilvl w:val="0"/>
                <w:numId w:val="1019"/>
              </w:numPr>
              <w:tabs>
                <w:tab w:val="left" w:pos="305"/>
              </w:tabs>
              <w:spacing w:before="59"/>
              <w:rPr>
                <w:sz w:val="16"/>
                <w:szCs w:val="16"/>
              </w:rPr>
            </w:pPr>
            <w:r w:rsidRPr="00AF39EE">
              <w:rPr>
                <w:color w:val="231F20"/>
                <w:sz w:val="16"/>
                <w:szCs w:val="16"/>
              </w:rPr>
              <w:t>Local Landcare</w:t>
            </w:r>
            <w:r w:rsidRPr="00AF39EE">
              <w:rPr>
                <w:color w:val="231F20"/>
                <w:spacing w:val="2"/>
                <w:sz w:val="16"/>
                <w:szCs w:val="16"/>
              </w:rPr>
              <w:t xml:space="preserve"> </w:t>
            </w:r>
            <w:r w:rsidRPr="00AF39EE">
              <w:rPr>
                <w:color w:val="231F20"/>
                <w:sz w:val="16"/>
                <w:szCs w:val="16"/>
              </w:rPr>
              <w:t>groups</w:t>
            </w:r>
          </w:p>
        </w:tc>
      </w:tr>
      <w:tr w:rsidR="006A7A3F" w:rsidTr="00AF39EE">
        <w:trPr>
          <w:trHeight w:val="1459"/>
        </w:trPr>
        <w:tc>
          <w:tcPr>
            <w:tcW w:w="2268" w:type="dxa"/>
            <w:vMerge w:val="restart"/>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Government agencies</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Collaborate</w:t>
            </w:r>
          </w:p>
          <w:p w:rsidR="006A7A3F" w:rsidRPr="00AF39EE" w:rsidRDefault="00BC7372">
            <w:pPr>
              <w:pStyle w:val="TableParagraph"/>
              <w:numPr>
                <w:ilvl w:val="0"/>
                <w:numId w:val="1018"/>
              </w:numPr>
              <w:tabs>
                <w:tab w:val="left" w:pos="305"/>
              </w:tabs>
              <w:spacing w:before="59"/>
              <w:rPr>
                <w:sz w:val="16"/>
                <w:szCs w:val="16"/>
              </w:rPr>
            </w:pPr>
            <w:r w:rsidRPr="00AF39EE">
              <w:rPr>
                <w:color w:val="231F20"/>
                <w:sz w:val="16"/>
                <w:szCs w:val="16"/>
              </w:rPr>
              <w:t>Commonwealth Environmental Water</w:t>
            </w:r>
            <w:r w:rsidRPr="00AF39EE">
              <w:rPr>
                <w:color w:val="231F20"/>
                <w:spacing w:val="4"/>
                <w:sz w:val="16"/>
                <w:szCs w:val="16"/>
              </w:rPr>
              <w:t xml:space="preserve"> </w:t>
            </w:r>
            <w:r w:rsidRPr="00AF39EE">
              <w:rPr>
                <w:color w:val="231F20"/>
                <w:sz w:val="16"/>
                <w:szCs w:val="16"/>
              </w:rPr>
              <w:t>Holder</w:t>
            </w:r>
          </w:p>
          <w:p w:rsidR="006A7A3F" w:rsidRPr="00AF39EE" w:rsidRDefault="00BC7372">
            <w:pPr>
              <w:pStyle w:val="TableParagraph"/>
              <w:numPr>
                <w:ilvl w:val="0"/>
                <w:numId w:val="1018"/>
              </w:numPr>
              <w:tabs>
                <w:tab w:val="left" w:pos="305"/>
              </w:tabs>
              <w:spacing w:before="90"/>
              <w:rPr>
                <w:sz w:val="16"/>
                <w:szCs w:val="16"/>
              </w:rPr>
            </w:pPr>
            <w:r w:rsidRPr="00AF39EE">
              <w:rPr>
                <w:color w:val="231F20"/>
                <w:sz w:val="16"/>
                <w:szCs w:val="16"/>
              </w:rPr>
              <w:t>Department of Environment Land, Water and Planning (Crown Land</w:t>
            </w:r>
            <w:r w:rsidRPr="00AF39EE">
              <w:rPr>
                <w:color w:val="231F20"/>
                <w:spacing w:val="35"/>
                <w:sz w:val="16"/>
                <w:szCs w:val="16"/>
              </w:rPr>
              <w:t xml:space="preserve"> </w:t>
            </w:r>
            <w:r w:rsidRPr="00AF39EE">
              <w:rPr>
                <w:color w:val="231F20"/>
                <w:sz w:val="16"/>
                <w:szCs w:val="16"/>
              </w:rPr>
              <w:t>Management)</w:t>
            </w:r>
          </w:p>
          <w:p w:rsidR="006A7A3F" w:rsidRPr="00AF39EE" w:rsidRDefault="00BC7372">
            <w:pPr>
              <w:pStyle w:val="TableParagraph"/>
              <w:numPr>
                <w:ilvl w:val="0"/>
                <w:numId w:val="1018"/>
              </w:numPr>
              <w:tabs>
                <w:tab w:val="left" w:pos="305"/>
              </w:tabs>
              <w:spacing w:before="89"/>
              <w:rPr>
                <w:sz w:val="16"/>
                <w:szCs w:val="16"/>
              </w:rPr>
            </w:pPr>
            <w:r w:rsidRPr="00AF39EE">
              <w:rPr>
                <w:color w:val="231F20"/>
                <w:sz w:val="16"/>
                <w:szCs w:val="16"/>
              </w:rPr>
              <w:t>Grampians Wimmera Mallee</w:t>
            </w:r>
            <w:r w:rsidRPr="00AF39EE">
              <w:rPr>
                <w:color w:val="231F20"/>
                <w:spacing w:val="4"/>
                <w:sz w:val="16"/>
                <w:szCs w:val="16"/>
              </w:rPr>
              <w:t xml:space="preserve"> </w:t>
            </w:r>
            <w:r w:rsidRPr="00AF39EE">
              <w:rPr>
                <w:color w:val="231F20"/>
                <w:spacing w:val="-3"/>
                <w:sz w:val="16"/>
                <w:szCs w:val="16"/>
              </w:rPr>
              <w:t>Water</w:t>
            </w:r>
          </w:p>
          <w:p w:rsidR="006A7A3F" w:rsidRPr="00AF39EE" w:rsidRDefault="00BC7372">
            <w:pPr>
              <w:pStyle w:val="TableParagraph"/>
              <w:numPr>
                <w:ilvl w:val="0"/>
                <w:numId w:val="1018"/>
              </w:numPr>
              <w:tabs>
                <w:tab w:val="left" w:pos="305"/>
              </w:tabs>
              <w:spacing w:before="90"/>
              <w:rPr>
                <w:sz w:val="16"/>
                <w:szCs w:val="16"/>
              </w:rPr>
            </w:pPr>
            <w:r w:rsidRPr="00AF39EE">
              <w:rPr>
                <w:color w:val="231F20"/>
                <w:sz w:val="16"/>
                <w:szCs w:val="16"/>
              </w:rPr>
              <w:t>Parks</w:t>
            </w:r>
            <w:r w:rsidRPr="00AF39EE">
              <w:rPr>
                <w:color w:val="231F20"/>
                <w:spacing w:val="1"/>
                <w:sz w:val="16"/>
                <w:szCs w:val="16"/>
              </w:rPr>
              <w:t xml:space="preserve"> </w:t>
            </w:r>
            <w:r w:rsidRPr="00AF39EE">
              <w:rPr>
                <w:color w:val="231F20"/>
                <w:sz w:val="16"/>
                <w:szCs w:val="16"/>
              </w:rPr>
              <w:t>Victoria</w:t>
            </w:r>
          </w:p>
        </w:tc>
      </w:tr>
      <w:tr w:rsidR="006A7A3F" w:rsidTr="00AF39EE">
        <w:trPr>
          <w:trHeight w:val="889"/>
        </w:trPr>
        <w:tc>
          <w:tcPr>
            <w:tcW w:w="2268" w:type="dxa"/>
            <w:vMerge/>
            <w:tcBorders>
              <w:top w:val="nil"/>
              <w:left w:val="single" w:sz="4" w:space="0" w:color="231F20"/>
              <w:bottom w:val="single" w:sz="4" w:space="0" w:color="231F20"/>
              <w:right w:val="single" w:sz="4" w:space="0" w:color="231F20"/>
            </w:tcBorders>
          </w:tcPr>
          <w:p w:rsidR="006A7A3F" w:rsidRPr="00AF39EE" w:rsidRDefault="006A7A3F">
            <w:pPr>
              <w:rPr>
                <w:sz w:val="16"/>
                <w:szCs w:val="16"/>
              </w:rPr>
            </w:pP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Inform</w:t>
            </w:r>
          </w:p>
          <w:p w:rsidR="006A7A3F" w:rsidRPr="00AF39EE" w:rsidRDefault="00BC7372">
            <w:pPr>
              <w:pStyle w:val="TableParagraph"/>
              <w:numPr>
                <w:ilvl w:val="0"/>
                <w:numId w:val="1017"/>
              </w:numPr>
              <w:tabs>
                <w:tab w:val="left" w:pos="305"/>
              </w:tabs>
              <w:spacing w:before="59"/>
              <w:rPr>
                <w:sz w:val="16"/>
                <w:szCs w:val="16"/>
              </w:rPr>
            </w:pPr>
            <w:r w:rsidRPr="00AF39EE">
              <w:rPr>
                <w:color w:val="231F20"/>
                <w:sz w:val="16"/>
                <w:szCs w:val="16"/>
              </w:rPr>
              <w:t>Buloke Shire</w:t>
            </w:r>
            <w:r w:rsidRPr="00AF39EE">
              <w:rPr>
                <w:color w:val="231F20"/>
                <w:spacing w:val="2"/>
                <w:sz w:val="16"/>
                <w:szCs w:val="16"/>
              </w:rPr>
              <w:t xml:space="preserve"> </w:t>
            </w:r>
            <w:r w:rsidRPr="00AF39EE">
              <w:rPr>
                <w:color w:val="231F20"/>
                <w:sz w:val="16"/>
                <w:szCs w:val="16"/>
              </w:rPr>
              <w:t>Council</w:t>
            </w:r>
          </w:p>
          <w:p w:rsidR="006A7A3F" w:rsidRPr="00AF39EE" w:rsidRDefault="00BC7372">
            <w:pPr>
              <w:pStyle w:val="TableParagraph"/>
              <w:numPr>
                <w:ilvl w:val="0"/>
                <w:numId w:val="1017"/>
              </w:numPr>
              <w:tabs>
                <w:tab w:val="left" w:pos="305"/>
              </w:tabs>
              <w:spacing w:before="90"/>
              <w:rPr>
                <w:sz w:val="16"/>
                <w:szCs w:val="16"/>
              </w:rPr>
            </w:pPr>
            <w:r w:rsidRPr="00AF39EE">
              <w:rPr>
                <w:color w:val="231F20"/>
                <w:sz w:val="16"/>
                <w:szCs w:val="16"/>
              </w:rPr>
              <w:t>Yarriambiack Shire</w:t>
            </w:r>
            <w:r w:rsidRPr="00AF39EE">
              <w:rPr>
                <w:color w:val="231F20"/>
                <w:spacing w:val="2"/>
                <w:sz w:val="16"/>
                <w:szCs w:val="16"/>
              </w:rPr>
              <w:t xml:space="preserve"> </w:t>
            </w:r>
            <w:r w:rsidRPr="00AF39EE">
              <w:rPr>
                <w:color w:val="231F20"/>
                <w:sz w:val="16"/>
                <w:szCs w:val="16"/>
              </w:rPr>
              <w:t>Council</w:t>
            </w:r>
          </w:p>
        </w:tc>
      </w:tr>
      <w:tr w:rsidR="006A7A3F" w:rsidTr="00AF39EE">
        <w:trPr>
          <w:trHeight w:val="604"/>
        </w:trPr>
        <w:tc>
          <w:tcPr>
            <w:tcW w:w="2268" w:type="dxa"/>
            <w:vMerge w:val="restart"/>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Landholders/ farmers</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Collaborate</w:t>
            </w:r>
          </w:p>
          <w:p w:rsidR="006A7A3F" w:rsidRPr="00AF39EE" w:rsidRDefault="00BC7372">
            <w:pPr>
              <w:pStyle w:val="TableParagraph"/>
              <w:numPr>
                <w:ilvl w:val="0"/>
                <w:numId w:val="1016"/>
              </w:numPr>
              <w:tabs>
                <w:tab w:val="left" w:pos="305"/>
              </w:tabs>
              <w:spacing w:before="59"/>
              <w:rPr>
                <w:sz w:val="16"/>
                <w:szCs w:val="16"/>
              </w:rPr>
            </w:pPr>
            <w:r w:rsidRPr="00AF39EE">
              <w:rPr>
                <w:color w:val="231F20"/>
                <w:sz w:val="16"/>
                <w:szCs w:val="16"/>
              </w:rPr>
              <w:t>Landholders</w:t>
            </w:r>
          </w:p>
        </w:tc>
      </w:tr>
      <w:tr w:rsidR="006A7A3F" w:rsidTr="00AF39EE">
        <w:trPr>
          <w:trHeight w:val="889"/>
        </w:trPr>
        <w:tc>
          <w:tcPr>
            <w:tcW w:w="2268" w:type="dxa"/>
            <w:vMerge/>
            <w:tcBorders>
              <w:top w:val="nil"/>
              <w:left w:val="single" w:sz="4" w:space="0" w:color="231F20"/>
              <w:bottom w:val="single" w:sz="4" w:space="0" w:color="231F20"/>
              <w:right w:val="single" w:sz="4" w:space="0" w:color="231F20"/>
            </w:tcBorders>
          </w:tcPr>
          <w:p w:rsidR="006A7A3F" w:rsidRPr="00AF39EE" w:rsidRDefault="006A7A3F">
            <w:pPr>
              <w:rPr>
                <w:sz w:val="16"/>
                <w:szCs w:val="16"/>
              </w:rPr>
            </w:pP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Inform</w:t>
            </w:r>
          </w:p>
          <w:p w:rsidR="006A7A3F" w:rsidRPr="00AF39EE" w:rsidRDefault="00BC7372">
            <w:pPr>
              <w:pStyle w:val="TableParagraph"/>
              <w:numPr>
                <w:ilvl w:val="0"/>
                <w:numId w:val="1015"/>
              </w:numPr>
              <w:tabs>
                <w:tab w:val="left" w:pos="305"/>
              </w:tabs>
              <w:spacing w:before="59"/>
              <w:rPr>
                <w:sz w:val="16"/>
                <w:szCs w:val="16"/>
              </w:rPr>
            </w:pPr>
            <w:r w:rsidRPr="00AF39EE">
              <w:rPr>
                <w:color w:val="231F20"/>
                <w:sz w:val="16"/>
                <w:szCs w:val="16"/>
              </w:rPr>
              <w:t>Birchip Cropping</w:t>
            </w:r>
            <w:r w:rsidRPr="00AF39EE">
              <w:rPr>
                <w:color w:val="231F20"/>
                <w:spacing w:val="2"/>
                <w:sz w:val="16"/>
                <w:szCs w:val="16"/>
              </w:rPr>
              <w:t xml:space="preserve"> </w:t>
            </w:r>
            <w:r w:rsidRPr="00AF39EE">
              <w:rPr>
                <w:color w:val="231F20"/>
                <w:sz w:val="16"/>
                <w:szCs w:val="16"/>
              </w:rPr>
              <w:t>Group</w:t>
            </w:r>
          </w:p>
          <w:p w:rsidR="006A7A3F" w:rsidRPr="00AF39EE" w:rsidRDefault="00BC7372">
            <w:pPr>
              <w:pStyle w:val="TableParagraph"/>
              <w:numPr>
                <w:ilvl w:val="0"/>
                <w:numId w:val="1015"/>
              </w:numPr>
              <w:tabs>
                <w:tab w:val="left" w:pos="305"/>
              </w:tabs>
              <w:spacing w:before="90"/>
              <w:rPr>
                <w:sz w:val="16"/>
                <w:szCs w:val="16"/>
              </w:rPr>
            </w:pPr>
            <w:r w:rsidRPr="00AF39EE">
              <w:rPr>
                <w:color w:val="231F20"/>
                <w:sz w:val="16"/>
                <w:szCs w:val="16"/>
              </w:rPr>
              <w:t>Community</w:t>
            </w:r>
            <w:r w:rsidRPr="00AF39EE">
              <w:rPr>
                <w:color w:val="231F20"/>
                <w:spacing w:val="1"/>
                <w:sz w:val="16"/>
                <w:szCs w:val="16"/>
              </w:rPr>
              <w:t xml:space="preserve"> </w:t>
            </w:r>
            <w:r w:rsidRPr="00AF39EE">
              <w:rPr>
                <w:color w:val="231F20"/>
                <w:sz w:val="16"/>
                <w:szCs w:val="16"/>
              </w:rPr>
              <w:t>members</w:t>
            </w:r>
          </w:p>
        </w:tc>
      </w:tr>
      <w:tr w:rsidR="006A7A3F" w:rsidTr="00AF39EE">
        <w:trPr>
          <w:trHeight w:val="604"/>
        </w:trPr>
        <w:tc>
          <w:tcPr>
            <w:tcW w:w="2268"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Local businesses</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Inform</w:t>
            </w:r>
          </w:p>
          <w:p w:rsidR="006A7A3F" w:rsidRPr="00AF39EE" w:rsidRDefault="00BC7372">
            <w:pPr>
              <w:pStyle w:val="TableParagraph"/>
              <w:numPr>
                <w:ilvl w:val="0"/>
                <w:numId w:val="1014"/>
              </w:numPr>
              <w:tabs>
                <w:tab w:val="left" w:pos="305"/>
              </w:tabs>
              <w:spacing w:before="59"/>
              <w:rPr>
                <w:sz w:val="16"/>
                <w:szCs w:val="16"/>
              </w:rPr>
            </w:pPr>
            <w:r w:rsidRPr="00AF39EE">
              <w:rPr>
                <w:color w:val="231F20"/>
                <w:sz w:val="16"/>
                <w:szCs w:val="16"/>
              </w:rPr>
              <w:t>Wimmera Mallee</w:t>
            </w:r>
            <w:r w:rsidRPr="00AF39EE">
              <w:rPr>
                <w:color w:val="231F20"/>
                <w:spacing w:val="-1"/>
                <w:sz w:val="16"/>
                <w:szCs w:val="16"/>
              </w:rPr>
              <w:t xml:space="preserve"> </w:t>
            </w:r>
            <w:r w:rsidRPr="00AF39EE">
              <w:rPr>
                <w:color w:val="231F20"/>
                <w:spacing w:val="-4"/>
                <w:sz w:val="16"/>
                <w:szCs w:val="16"/>
              </w:rPr>
              <w:t>Tourism</w:t>
            </w:r>
          </w:p>
        </w:tc>
      </w:tr>
      <w:tr w:rsidR="006A7A3F" w:rsidTr="00AF39EE">
        <w:trPr>
          <w:trHeight w:val="604"/>
        </w:trPr>
        <w:tc>
          <w:tcPr>
            <w:tcW w:w="2268" w:type="dxa"/>
            <w:vMerge w:val="restart"/>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Recreational users</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AP2 level: consult</w:t>
            </w:r>
          </w:p>
          <w:p w:rsidR="006A7A3F" w:rsidRPr="00AF39EE" w:rsidRDefault="00BC7372">
            <w:pPr>
              <w:pStyle w:val="TableParagraph"/>
              <w:numPr>
                <w:ilvl w:val="0"/>
                <w:numId w:val="1013"/>
              </w:numPr>
              <w:tabs>
                <w:tab w:val="left" w:pos="305"/>
              </w:tabs>
              <w:spacing w:before="59"/>
              <w:rPr>
                <w:sz w:val="16"/>
                <w:szCs w:val="16"/>
              </w:rPr>
            </w:pPr>
            <w:r w:rsidRPr="00AF39EE">
              <w:rPr>
                <w:color w:val="231F20"/>
                <w:sz w:val="16"/>
                <w:szCs w:val="16"/>
              </w:rPr>
              <w:t>Natimuk and District Field and</w:t>
            </w:r>
            <w:r w:rsidRPr="00AF39EE">
              <w:rPr>
                <w:color w:val="231F20"/>
                <w:spacing w:val="7"/>
                <w:sz w:val="16"/>
                <w:szCs w:val="16"/>
              </w:rPr>
              <w:t xml:space="preserve"> </w:t>
            </w:r>
            <w:r w:rsidRPr="00AF39EE">
              <w:rPr>
                <w:color w:val="231F20"/>
                <w:sz w:val="16"/>
                <w:szCs w:val="16"/>
              </w:rPr>
              <w:t>Game</w:t>
            </w:r>
          </w:p>
        </w:tc>
      </w:tr>
      <w:tr w:rsidR="006A7A3F" w:rsidTr="00AF39EE">
        <w:trPr>
          <w:trHeight w:val="1744"/>
        </w:trPr>
        <w:tc>
          <w:tcPr>
            <w:tcW w:w="2268" w:type="dxa"/>
            <w:vMerge/>
            <w:tcBorders>
              <w:top w:val="nil"/>
              <w:left w:val="single" w:sz="4" w:space="0" w:color="231F20"/>
              <w:bottom w:val="single" w:sz="4" w:space="0" w:color="231F20"/>
              <w:right w:val="single" w:sz="4" w:space="0" w:color="231F20"/>
            </w:tcBorders>
          </w:tcPr>
          <w:p w:rsidR="006A7A3F" w:rsidRPr="00AF39EE" w:rsidRDefault="006A7A3F">
            <w:pPr>
              <w:rPr>
                <w:sz w:val="16"/>
                <w:szCs w:val="16"/>
              </w:rPr>
            </w:pP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Inform</w:t>
            </w:r>
          </w:p>
          <w:p w:rsidR="006A7A3F" w:rsidRPr="00AF39EE" w:rsidRDefault="00BC7372">
            <w:pPr>
              <w:pStyle w:val="TableParagraph"/>
              <w:numPr>
                <w:ilvl w:val="0"/>
                <w:numId w:val="1012"/>
              </w:numPr>
              <w:tabs>
                <w:tab w:val="left" w:pos="305"/>
              </w:tabs>
              <w:spacing w:before="59"/>
              <w:rPr>
                <w:sz w:val="16"/>
                <w:szCs w:val="16"/>
              </w:rPr>
            </w:pPr>
            <w:r w:rsidRPr="00AF39EE">
              <w:rPr>
                <w:color w:val="231F20"/>
                <w:sz w:val="16"/>
                <w:szCs w:val="16"/>
              </w:rPr>
              <w:t>Cokum community</w:t>
            </w:r>
            <w:r w:rsidRPr="00AF39EE">
              <w:rPr>
                <w:color w:val="231F20"/>
                <w:spacing w:val="2"/>
                <w:sz w:val="16"/>
                <w:szCs w:val="16"/>
              </w:rPr>
              <w:t xml:space="preserve"> </w:t>
            </w:r>
            <w:r w:rsidRPr="00AF39EE">
              <w:rPr>
                <w:color w:val="231F20"/>
                <w:sz w:val="16"/>
                <w:szCs w:val="16"/>
              </w:rPr>
              <w:t>group</w:t>
            </w:r>
          </w:p>
          <w:p w:rsidR="006A7A3F" w:rsidRPr="00AF39EE" w:rsidRDefault="00BC7372">
            <w:pPr>
              <w:pStyle w:val="TableParagraph"/>
              <w:numPr>
                <w:ilvl w:val="0"/>
                <w:numId w:val="1012"/>
              </w:numPr>
              <w:tabs>
                <w:tab w:val="left" w:pos="305"/>
              </w:tabs>
              <w:spacing w:before="90"/>
              <w:rPr>
                <w:sz w:val="16"/>
                <w:szCs w:val="16"/>
              </w:rPr>
            </w:pPr>
            <w:r w:rsidRPr="00AF39EE">
              <w:rPr>
                <w:color w:val="231F20"/>
                <w:sz w:val="16"/>
                <w:szCs w:val="16"/>
              </w:rPr>
              <w:t>Green Lake Regional</w:t>
            </w:r>
            <w:r w:rsidRPr="00AF39EE">
              <w:rPr>
                <w:color w:val="231F20"/>
                <w:spacing w:val="3"/>
                <w:sz w:val="16"/>
                <w:szCs w:val="16"/>
              </w:rPr>
              <w:t xml:space="preserve"> </w:t>
            </w:r>
            <w:r w:rsidRPr="00AF39EE">
              <w:rPr>
                <w:color w:val="231F20"/>
                <w:sz w:val="16"/>
                <w:szCs w:val="16"/>
              </w:rPr>
              <w:t>Park</w:t>
            </w:r>
          </w:p>
          <w:p w:rsidR="006A7A3F" w:rsidRPr="00AF39EE" w:rsidRDefault="00BC7372">
            <w:pPr>
              <w:pStyle w:val="TableParagraph"/>
              <w:numPr>
                <w:ilvl w:val="0"/>
                <w:numId w:val="1012"/>
              </w:numPr>
              <w:tabs>
                <w:tab w:val="left" w:pos="305"/>
              </w:tabs>
              <w:spacing w:before="89"/>
              <w:rPr>
                <w:sz w:val="16"/>
                <w:szCs w:val="16"/>
              </w:rPr>
            </w:pPr>
            <w:r w:rsidRPr="00AF39EE">
              <w:rPr>
                <w:color w:val="231F20"/>
                <w:sz w:val="16"/>
                <w:szCs w:val="16"/>
              </w:rPr>
              <w:t>Ouyen Lake</w:t>
            </w:r>
            <w:r w:rsidRPr="00AF39EE">
              <w:rPr>
                <w:color w:val="231F20"/>
                <w:spacing w:val="2"/>
                <w:sz w:val="16"/>
                <w:szCs w:val="16"/>
              </w:rPr>
              <w:t xml:space="preserve"> </w:t>
            </w:r>
            <w:r w:rsidRPr="00AF39EE">
              <w:rPr>
                <w:color w:val="231F20"/>
                <w:sz w:val="16"/>
                <w:szCs w:val="16"/>
              </w:rPr>
              <w:t>Project</w:t>
            </w:r>
          </w:p>
          <w:p w:rsidR="006A7A3F" w:rsidRPr="00AF39EE" w:rsidRDefault="00BC7372">
            <w:pPr>
              <w:pStyle w:val="TableParagraph"/>
              <w:numPr>
                <w:ilvl w:val="0"/>
                <w:numId w:val="1012"/>
              </w:numPr>
              <w:tabs>
                <w:tab w:val="left" w:pos="305"/>
              </w:tabs>
              <w:spacing w:before="90"/>
              <w:rPr>
                <w:sz w:val="16"/>
                <w:szCs w:val="16"/>
              </w:rPr>
            </w:pPr>
            <w:r w:rsidRPr="00AF39EE">
              <w:rPr>
                <w:color w:val="231F20"/>
                <w:sz w:val="16"/>
                <w:szCs w:val="16"/>
              </w:rPr>
              <w:t xml:space="preserve">Lake </w:t>
            </w:r>
            <w:r w:rsidRPr="00AF39EE">
              <w:rPr>
                <w:color w:val="231F20"/>
                <w:spacing w:val="-4"/>
                <w:sz w:val="16"/>
                <w:szCs w:val="16"/>
              </w:rPr>
              <w:t>Tchum</w:t>
            </w:r>
            <w:r w:rsidRPr="00AF39EE">
              <w:rPr>
                <w:color w:val="231F20"/>
                <w:spacing w:val="-2"/>
                <w:sz w:val="16"/>
                <w:szCs w:val="16"/>
              </w:rPr>
              <w:t xml:space="preserve"> </w:t>
            </w:r>
            <w:r w:rsidRPr="00AF39EE">
              <w:rPr>
                <w:color w:val="231F20"/>
                <w:sz w:val="16"/>
                <w:szCs w:val="16"/>
              </w:rPr>
              <w:t>Committee</w:t>
            </w:r>
          </w:p>
          <w:p w:rsidR="006A7A3F" w:rsidRPr="00AF39EE" w:rsidRDefault="00BC7372">
            <w:pPr>
              <w:pStyle w:val="TableParagraph"/>
              <w:numPr>
                <w:ilvl w:val="0"/>
                <w:numId w:val="1012"/>
              </w:numPr>
              <w:tabs>
                <w:tab w:val="left" w:pos="305"/>
              </w:tabs>
              <w:spacing w:before="90"/>
              <w:rPr>
                <w:sz w:val="16"/>
                <w:szCs w:val="16"/>
              </w:rPr>
            </w:pPr>
            <w:r w:rsidRPr="00AF39EE">
              <w:rPr>
                <w:color w:val="231F20"/>
                <w:sz w:val="16"/>
                <w:szCs w:val="16"/>
              </w:rPr>
              <w:t>Wimmera Bushwalking</w:t>
            </w:r>
            <w:r w:rsidRPr="00AF39EE">
              <w:rPr>
                <w:color w:val="231F20"/>
                <w:spacing w:val="2"/>
                <w:sz w:val="16"/>
                <w:szCs w:val="16"/>
              </w:rPr>
              <w:t xml:space="preserve"> </w:t>
            </w:r>
            <w:r w:rsidRPr="00AF39EE">
              <w:rPr>
                <w:color w:val="231F20"/>
                <w:sz w:val="16"/>
                <w:szCs w:val="16"/>
              </w:rPr>
              <w:t>Club</w:t>
            </w:r>
          </w:p>
        </w:tc>
      </w:tr>
      <w:tr w:rsidR="006A7A3F" w:rsidTr="00AF39EE">
        <w:trPr>
          <w:trHeight w:val="604"/>
        </w:trPr>
        <w:tc>
          <w:tcPr>
            <w:tcW w:w="2268" w:type="dxa"/>
            <w:vMerge w:val="restart"/>
            <w:tcBorders>
              <w:top w:val="single" w:sz="4" w:space="0" w:color="231F20"/>
              <w:left w:val="single" w:sz="4" w:space="0" w:color="231F20"/>
              <w:bottom w:val="single" w:sz="4" w:space="0" w:color="auto"/>
              <w:right w:val="single" w:sz="4" w:space="0" w:color="231F20"/>
            </w:tcBorders>
          </w:tcPr>
          <w:p w:rsidR="006A7A3F" w:rsidRPr="00AF39EE" w:rsidRDefault="00BC7372">
            <w:pPr>
              <w:pStyle w:val="TableParagraph"/>
              <w:spacing w:before="70"/>
              <w:ind w:left="85"/>
              <w:rPr>
                <w:sz w:val="16"/>
                <w:szCs w:val="16"/>
              </w:rPr>
            </w:pPr>
            <w:r w:rsidRPr="00AF39EE">
              <w:rPr>
                <w:color w:val="231F20"/>
                <w:sz w:val="16"/>
                <w:szCs w:val="16"/>
              </w:rPr>
              <w:t>Technical experts</w:t>
            </w: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Collaborate</w:t>
            </w:r>
          </w:p>
          <w:p w:rsidR="006A7A3F" w:rsidRPr="00AF39EE" w:rsidRDefault="00BC7372">
            <w:pPr>
              <w:pStyle w:val="TableParagraph"/>
              <w:numPr>
                <w:ilvl w:val="0"/>
                <w:numId w:val="1011"/>
              </w:numPr>
              <w:tabs>
                <w:tab w:val="left" w:pos="305"/>
              </w:tabs>
              <w:spacing w:before="59"/>
              <w:rPr>
                <w:sz w:val="16"/>
                <w:szCs w:val="16"/>
              </w:rPr>
            </w:pPr>
            <w:r w:rsidRPr="00AF39EE">
              <w:rPr>
                <w:color w:val="231F20"/>
                <w:sz w:val="16"/>
                <w:szCs w:val="16"/>
              </w:rPr>
              <w:t>Mallee CMA Land and Water Advisory</w:t>
            </w:r>
            <w:r w:rsidRPr="00AF39EE">
              <w:rPr>
                <w:color w:val="231F20"/>
                <w:spacing w:val="-11"/>
                <w:sz w:val="16"/>
                <w:szCs w:val="16"/>
              </w:rPr>
              <w:t xml:space="preserve"> </w:t>
            </w:r>
            <w:r w:rsidRPr="00AF39EE">
              <w:rPr>
                <w:color w:val="231F20"/>
                <w:sz w:val="16"/>
                <w:szCs w:val="16"/>
              </w:rPr>
              <w:t>Committee</w:t>
            </w:r>
          </w:p>
        </w:tc>
      </w:tr>
      <w:tr w:rsidR="006A7A3F" w:rsidTr="00AF39EE">
        <w:trPr>
          <w:trHeight w:val="604"/>
        </w:trPr>
        <w:tc>
          <w:tcPr>
            <w:tcW w:w="2268" w:type="dxa"/>
            <w:vMerge/>
            <w:tcBorders>
              <w:top w:val="single" w:sz="4" w:space="0" w:color="231F20"/>
              <w:left w:val="single" w:sz="4" w:space="0" w:color="231F20"/>
              <w:bottom w:val="single" w:sz="4" w:space="0" w:color="auto"/>
              <w:right w:val="single" w:sz="4" w:space="0" w:color="231F20"/>
            </w:tcBorders>
          </w:tcPr>
          <w:p w:rsidR="006A7A3F" w:rsidRPr="00AF39EE" w:rsidRDefault="006A7A3F">
            <w:pPr>
              <w:rPr>
                <w:sz w:val="16"/>
                <w:szCs w:val="16"/>
              </w:rPr>
            </w:pPr>
          </w:p>
        </w:tc>
        <w:tc>
          <w:tcPr>
            <w:tcW w:w="7927" w:type="dxa"/>
            <w:tcBorders>
              <w:top w:val="single" w:sz="4" w:space="0" w:color="231F20"/>
              <w:left w:val="single" w:sz="4" w:space="0" w:color="231F20"/>
              <w:bottom w:val="single" w:sz="4" w:space="0" w:color="231F20"/>
              <w:right w:val="single" w:sz="4" w:space="0" w:color="231F20"/>
            </w:tcBorders>
          </w:tcPr>
          <w:p w:rsidR="006A7A3F" w:rsidRPr="00AF39EE" w:rsidRDefault="00BC7372">
            <w:pPr>
              <w:pStyle w:val="TableParagraph"/>
              <w:spacing w:before="70"/>
              <w:ind w:left="84"/>
              <w:rPr>
                <w:b/>
                <w:sz w:val="16"/>
                <w:szCs w:val="16"/>
              </w:rPr>
            </w:pPr>
            <w:r w:rsidRPr="00AF39EE">
              <w:rPr>
                <w:b/>
                <w:color w:val="231F20"/>
                <w:sz w:val="16"/>
                <w:szCs w:val="16"/>
              </w:rPr>
              <w:t>IAP2 level: Involve</w:t>
            </w:r>
          </w:p>
          <w:p w:rsidR="006A7A3F" w:rsidRPr="00AF39EE" w:rsidRDefault="00BC7372">
            <w:pPr>
              <w:pStyle w:val="TableParagraph"/>
              <w:numPr>
                <w:ilvl w:val="0"/>
                <w:numId w:val="1010"/>
              </w:numPr>
              <w:tabs>
                <w:tab w:val="left" w:pos="305"/>
              </w:tabs>
              <w:spacing w:before="59"/>
              <w:rPr>
                <w:sz w:val="16"/>
                <w:szCs w:val="16"/>
              </w:rPr>
            </w:pPr>
            <w:r w:rsidRPr="00AF39EE">
              <w:rPr>
                <w:color w:val="231F20"/>
                <w:sz w:val="16"/>
                <w:szCs w:val="16"/>
              </w:rPr>
              <w:t>Arthur Rylah Institute (Department of Environment, Land, Water and</w:t>
            </w:r>
            <w:r w:rsidRPr="00AF39EE">
              <w:rPr>
                <w:color w:val="231F20"/>
                <w:spacing w:val="31"/>
                <w:sz w:val="16"/>
                <w:szCs w:val="16"/>
              </w:rPr>
              <w:t xml:space="preserve"> </w:t>
            </w:r>
            <w:r w:rsidRPr="00AF39EE">
              <w:rPr>
                <w:color w:val="231F20"/>
                <w:sz w:val="16"/>
                <w:szCs w:val="16"/>
              </w:rPr>
              <w:t>Planning)</w:t>
            </w:r>
          </w:p>
        </w:tc>
      </w:tr>
      <w:tr w:rsidR="00AF39EE" w:rsidTr="00AF39EE">
        <w:trPr>
          <w:trHeight w:val="972"/>
        </w:trPr>
        <w:tc>
          <w:tcPr>
            <w:tcW w:w="2268" w:type="dxa"/>
            <w:tcBorders>
              <w:top w:val="single" w:sz="4" w:space="0" w:color="auto"/>
              <w:left w:val="single" w:sz="4" w:space="0" w:color="231F20"/>
              <w:bottom w:val="single" w:sz="4" w:space="0" w:color="auto"/>
              <w:right w:val="single" w:sz="4" w:space="0" w:color="231F20"/>
            </w:tcBorders>
          </w:tcPr>
          <w:p w:rsidR="00AF39EE" w:rsidRPr="00AF39EE" w:rsidRDefault="00AF39EE" w:rsidP="00AF39EE">
            <w:pPr>
              <w:pStyle w:val="TableParagraph"/>
              <w:spacing w:before="63"/>
              <w:ind w:left="85"/>
              <w:rPr>
                <w:sz w:val="16"/>
                <w:szCs w:val="16"/>
              </w:rPr>
            </w:pPr>
            <w:r w:rsidRPr="00AF39EE">
              <w:rPr>
                <w:color w:val="231F20"/>
                <w:sz w:val="16"/>
                <w:szCs w:val="16"/>
              </w:rPr>
              <w:t>Traditional Owners</w:t>
            </w:r>
          </w:p>
        </w:tc>
        <w:tc>
          <w:tcPr>
            <w:tcW w:w="7927" w:type="dxa"/>
            <w:tcBorders>
              <w:top w:val="single" w:sz="4" w:space="0" w:color="231F20"/>
              <w:left w:val="single" w:sz="4" w:space="0" w:color="231F20"/>
              <w:bottom w:val="single" w:sz="4" w:space="0" w:color="231F20"/>
              <w:right w:val="single" w:sz="4" w:space="0" w:color="231F20"/>
            </w:tcBorders>
          </w:tcPr>
          <w:p w:rsidR="00AF39EE" w:rsidRPr="00AF39EE" w:rsidRDefault="00AF39EE" w:rsidP="00AF39EE">
            <w:pPr>
              <w:pStyle w:val="TableParagraph"/>
              <w:spacing w:before="63"/>
              <w:ind w:left="84"/>
              <w:rPr>
                <w:b/>
                <w:sz w:val="16"/>
                <w:szCs w:val="16"/>
              </w:rPr>
            </w:pPr>
            <w:r w:rsidRPr="00AF39EE">
              <w:rPr>
                <w:b/>
                <w:color w:val="231F20"/>
                <w:sz w:val="16"/>
                <w:szCs w:val="16"/>
              </w:rPr>
              <w:t>IAP2 level: Collaborate</w:t>
            </w:r>
          </w:p>
          <w:p w:rsidR="00AF39EE" w:rsidRPr="00AF39EE" w:rsidRDefault="00AF39EE" w:rsidP="00AF39EE">
            <w:pPr>
              <w:pStyle w:val="TableParagraph"/>
              <w:numPr>
                <w:ilvl w:val="0"/>
                <w:numId w:val="1009"/>
              </w:numPr>
              <w:tabs>
                <w:tab w:val="left" w:pos="305"/>
              </w:tabs>
              <w:spacing w:before="59"/>
              <w:rPr>
                <w:sz w:val="16"/>
                <w:szCs w:val="16"/>
              </w:rPr>
            </w:pPr>
            <w:r w:rsidRPr="00AF39EE">
              <w:rPr>
                <w:color w:val="231F20"/>
                <w:sz w:val="16"/>
                <w:szCs w:val="16"/>
              </w:rPr>
              <w:t>Barenji Gadjin Land</w:t>
            </w:r>
            <w:r w:rsidRPr="00AF39EE">
              <w:rPr>
                <w:color w:val="231F20"/>
                <w:spacing w:val="3"/>
                <w:sz w:val="16"/>
                <w:szCs w:val="16"/>
              </w:rPr>
              <w:t xml:space="preserve"> </w:t>
            </w:r>
            <w:r w:rsidRPr="00AF39EE">
              <w:rPr>
                <w:color w:val="231F20"/>
                <w:sz w:val="16"/>
                <w:szCs w:val="16"/>
              </w:rPr>
              <w:t>Council</w:t>
            </w:r>
          </w:p>
          <w:p w:rsidR="00AF39EE" w:rsidRPr="00AF39EE" w:rsidRDefault="00AF39EE" w:rsidP="00AF39EE">
            <w:pPr>
              <w:pStyle w:val="TableParagraph"/>
              <w:numPr>
                <w:ilvl w:val="0"/>
                <w:numId w:val="1009"/>
              </w:numPr>
              <w:tabs>
                <w:tab w:val="left" w:pos="305"/>
              </w:tabs>
              <w:spacing w:before="90"/>
              <w:rPr>
                <w:sz w:val="16"/>
                <w:szCs w:val="16"/>
              </w:rPr>
            </w:pPr>
            <w:r w:rsidRPr="00AF39EE">
              <w:rPr>
                <w:color w:val="231F20"/>
                <w:sz w:val="16"/>
                <w:szCs w:val="16"/>
              </w:rPr>
              <w:t>Dja Dja Wurrung Clans Aboriginal</w:t>
            </w:r>
            <w:r w:rsidRPr="00AF39EE">
              <w:rPr>
                <w:color w:val="231F20"/>
                <w:spacing w:val="-3"/>
                <w:sz w:val="16"/>
                <w:szCs w:val="16"/>
              </w:rPr>
              <w:t xml:space="preserve"> </w:t>
            </w:r>
            <w:r w:rsidRPr="00AF39EE">
              <w:rPr>
                <w:color w:val="231F20"/>
                <w:sz w:val="16"/>
                <w:szCs w:val="16"/>
              </w:rPr>
              <w:t>Corporation</w:t>
            </w:r>
          </w:p>
        </w:tc>
      </w:tr>
    </w:tbl>
    <w:p w:rsidR="006A7A3F" w:rsidRDefault="006A7A3F">
      <w:pPr>
        <w:rPr>
          <w:sz w:val="17"/>
        </w:rPr>
        <w:sectPr w:rsidR="006A7A3F" w:rsidSect="00C92D74">
          <w:pgSz w:w="11910" w:h="16840"/>
          <w:pgMar w:top="1701" w:right="851" w:bottom="1134" w:left="851" w:header="720" w:footer="720" w:gutter="0"/>
          <w:cols w:space="720"/>
        </w:sectPr>
      </w:pPr>
    </w:p>
    <w:p w:rsidR="006A7A3F" w:rsidRDefault="00BC7372">
      <w:pPr>
        <w:spacing w:before="91"/>
        <w:ind w:left="210"/>
        <w:rPr>
          <w:b/>
          <w:sz w:val="28"/>
        </w:rPr>
      </w:pPr>
      <w:r>
        <w:rPr>
          <w:b/>
          <w:color w:val="231F20"/>
          <w:sz w:val="28"/>
        </w:rPr>
        <w:t>Community benefits from environmental watering</w:t>
      </w:r>
    </w:p>
    <w:p w:rsidR="006A7A3F" w:rsidRDefault="00BC7372">
      <w:pPr>
        <w:pStyle w:val="BodyText"/>
        <w:spacing w:before="107" w:line="249" w:lineRule="auto"/>
        <w:ind w:right="408"/>
      </w:pPr>
      <w:r>
        <w:rPr>
          <w:color w:val="231F20"/>
        </w:rPr>
        <w:t>Healthy rivers and wetlands support vibrant and healthy communities. By improving the health of rivers, wetlands and floodplains, environmental flows also provide benefits to communities.</w:t>
      </w:r>
    </w:p>
    <w:p w:rsidR="006A7A3F" w:rsidRDefault="00BC7372" w:rsidP="00250109">
      <w:pPr>
        <w:pStyle w:val="BodyText"/>
        <w:spacing w:line="249" w:lineRule="auto"/>
        <w:ind w:right="1041"/>
      </w:pPr>
      <w:r>
        <w:rPr>
          <w:color w:val="231F20"/>
        </w:rPr>
        <w:t>The VEWH and its program partners consider Aboriginal cultural, social and recreational values and uses of waterways when planning for environmental watering activities. Through engagement with community</w:t>
      </w:r>
      <w:r w:rsidR="00250109">
        <w:t xml:space="preserve"> </w:t>
      </w:r>
      <w:r>
        <w:rPr>
          <w:color w:val="231F20"/>
        </w:rPr>
        <w:t>representatives, waterway managers aim to determine where community benefits from environmental flows can be optimised, while achieving environmental priorities for the year ahead.</w:t>
      </w:r>
    </w:p>
    <w:p w:rsidR="006A7A3F" w:rsidRDefault="00BC7372">
      <w:pPr>
        <w:pStyle w:val="BodyText"/>
        <w:spacing w:line="249" w:lineRule="auto"/>
        <w:ind w:right="331"/>
      </w:pPr>
      <w:r>
        <w:rPr>
          <w:color w:val="231F20"/>
        </w:rPr>
        <w:t>Healthy waterways provide community benefits (such as providing nice places to walk, picnic or fish recreationally and sustaining healthy Country for Aboriginal communities).</w:t>
      </w:r>
    </w:p>
    <w:p w:rsidR="006A7A3F" w:rsidRDefault="00BC7372">
      <w:pPr>
        <w:pStyle w:val="BodyText"/>
        <w:spacing w:line="249" w:lineRule="auto"/>
        <w:ind w:right="797"/>
      </w:pPr>
      <w:r>
        <w:rPr>
          <w:color w:val="231F20"/>
        </w:rPr>
        <w:t>Community benefits can sometimes be enhanced by modifying environmental flows (such as timing a flow to support a community rowing or fishing event), provided the environmental objective is not compromised.</w:t>
      </w:r>
    </w:p>
    <w:p w:rsidR="006A7A3F" w:rsidRDefault="00BC7372">
      <w:pPr>
        <w:pStyle w:val="BodyText"/>
        <w:spacing w:before="171" w:line="249" w:lineRule="auto"/>
        <w:ind w:right="100"/>
      </w:pPr>
      <w:r>
        <w:rPr>
          <w:color w:val="231F20"/>
        </w:rPr>
        <w:t>The VEWH and its partners seek to deliver these benefits throughout the water year, though the opportunities can depend on the weather, climate or environmental conditions, water availability and the way the system is being operated to deliver water for other purposes.</w:t>
      </w:r>
    </w:p>
    <w:p w:rsidR="006A7A3F" w:rsidRDefault="006A7A3F">
      <w:pPr>
        <w:pStyle w:val="BodyText"/>
        <w:spacing w:before="2"/>
        <w:ind w:left="0"/>
      </w:pPr>
    </w:p>
    <w:p w:rsidR="006A7A3F" w:rsidRDefault="00BC7372">
      <w:pPr>
        <w:pStyle w:val="Heading4"/>
      </w:pPr>
      <w:r>
        <w:rPr>
          <w:color w:val="231F20"/>
        </w:rPr>
        <w:t>How have Traditional Owners’ values and uses of waterways been considered?</w:t>
      </w:r>
    </w:p>
    <w:p w:rsidR="006A7A3F" w:rsidRDefault="00BC7372">
      <w:pPr>
        <w:pStyle w:val="BodyText"/>
        <w:spacing w:before="58" w:line="249" w:lineRule="auto"/>
        <w:ind w:right="100"/>
      </w:pPr>
      <w:r>
        <w:rPr>
          <w:color w:val="231F20"/>
        </w:rPr>
        <w:t>In recognition of the cultural importance of water, caring for Country and their long-standing traditional ecological knowledge, Traditional Owners are increasingly working with waterway managers to plan for and deliver environmental flows. The following are examples in the western region:</w:t>
      </w:r>
    </w:p>
    <w:p w:rsidR="006A7A3F" w:rsidRDefault="00BC7372" w:rsidP="009B6917">
      <w:pPr>
        <w:pStyle w:val="ListParagraph"/>
        <w:numPr>
          <w:ilvl w:val="0"/>
          <w:numId w:val="1419"/>
        </w:numPr>
        <w:tabs>
          <w:tab w:val="left" w:pos="493"/>
          <w:tab w:val="left" w:pos="494"/>
        </w:tabs>
        <w:spacing w:before="116" w:line="249" w:lineRule="auto"/>
        <w:ind w:right="207"/>
        <w:rPr>
          <w:sz w:val="20"/>
        </w:rPr>
      </w:pPr>
      <w:r>
        <w:rPr>
          <w:color w:val="231F20"/>
          <w:sz w:val="20"/>
        </w:rPr>
        <w:t xml:space="preserve">repeating the successful watering of Ranch Billabong at Dimboola. The Barengi Gadjin Land Council highlighted Ranch Billabong as a significant site during an Aboriginal Waterways Assessment in 2017. </w:t>
      </w:r>
      <w:r>
        <w:rPr>
          <w:color w:val="231F20"/>
          <w:spacing w:val="-3"/>
          <w:sz w:val="20"/>
        </w:rPr>
        <w:t xml:space="preserve">Water </w:t>
      </w:r>
      <w:r>
        <w:rPr>
          <w:color w:val="231F20"/>
          <w:sz w:val="20"/>
        </w:rPr>
        <w:t>for the environment was delivered to the site in 2018–19 and 2019–20 to reduce salinity, improve the condition of vegetation and native wildlife and improve its suitability for Traditional Owner gatherings and events (such as earth oven and bark canoe</w:t>
      </w:r>
      <w:r>
        <w:rPr>
          <w:color w:val="231F20"/>
          <w:spacing w:val="-5"/>
          <w:sz w:val="20"/>
        </w:rPr>
        <w:t xml:space="preserve"> </w:t>
      </w:r>
      <w:r>
        <w:rPr>
          <w:color w:val="231F20"/>
          <w:sz w:val="20"/>
        </w:rPr>
        <w:t>re-creations)</w:t>
      </w:r>
    </w:p>
    <w:p w:rsidR="006A7A3F" w:rsidRDefault="00BC7372" w:rsidP="009B6917">
      <w:pPr>
        <w:pStyle w:val="ListParagraph"/>
        <w:numPr>
          <w:ilvl w:val="0"/>
          <w:numId w:val="1419"/>
        </w:numPr>
        <w:tabs>
          <w:tab w:val="left" w:pos="493"/>
          <w:tab w:val="left" w:pos="494"/>
        </w:tabs>
        <w:spacing w:before="89" w:line="249" w:lineRule="auto"/>
        <w:ind w:right="465"/>
        <w:rPr>
          <w:sz w:val="20"/>
        </w:rPr>
      </w:pPr>
      <w:r>
        <w:rPr>
          <w:color w:val="231F20"/>
          <w:sz w:val="20"/>
        </w:rPr>
        <w:t xml:space="preserve">building on the achievements of the </w:t>
      </w:r>
      <w:r>
        <w:rPr>
          <w:color w:val="231F20"/>
          <w:spacing w:val="-4"/>
          <w:sz w:val="20"/>
        </w:rPr>
        <w:t xml:space="preserve">Towards </w:t>
      </w:r>
      <w:r>
        <w:rPr>
          <w:color w:val="231F20"/>
          <w:sz w:val="20"/>
        </w:rPr>
        <w:t>Cultural Flows project (an ongoing partnership between Glenelg Hopkins CMA, Gunditj Mirring Traditional Owners Aboriginal Corporation, Barengi Gadjin Land Council and Burrandies Aboriginal Corporation in south-eastern SA), Traditional Owners and Glenelg Hopkins CMA will continue to identify opportunities for environmental flows to support cultural values and uses in the Glenelg River</w:t>
      </w:r>
    </w:p>
    <w:p w:rsidR="006A7A3F" w:rsidRDefault="00BC7372" w:rsidP="009B6917">
      <w:pPr>
        <w:pStyle w:val="ListParagraph"/>
        <w:numPr>
          <w:ilvl w:val="0"/>
          <w:numId w:val="1419"/>
        </w:numPr>
        <w:tabs>
          <w:tab w:val="left" w:pos="494"/>
        </w:tabs>
        <w:spacing w:before="90" w:line="249" w:lineRule="auto"/>
        <w:ind w:right="704"/>
        <w:jc w:val="both"/>
        <w:rPr>
          <w:sz w:val="20"/>
        </w:rPr>
      </w:pPr>
      <w:r>
        <w:rPr>
          <w:color w:val="231F20"/>
          <w:sz w:val="20"/>
        </w:rPr>
        <w:t>Glenelg Hopkins CMA will liaise with Traditional Owners about the timing of a summer fresh in the Glenelg River</w:t>
      </w:r>
      <w:r>
        <w:rPr>
          <w:color w:val="231F20"/>
          <w:spacing w:val="-3"/>
          <w:sz w:val="20"/>
        </w:rPr>
        <w:t xml:space="preserve"> </w:t>
      </w:r>
      <w:r>
        <w:rPr>
          <w:color w:val="231F20"/>
          <w:sz w:val="20"/>
        </w:rPr>
        <w:t>to</w:t>
      </w:r>
      <w:r>
        <w:rPr>
          <w:color w:val="231F20"/>
          <w:spacing w:val="-2"/>
          <w:sz w:val="20"/>
        </w:rPr>
        <w:t xml:space="preserve"> </w:t>
      </w:r>
      <w:r>
        <w:rPr>
          <w:color w:val="231F20"/>
          <w:sz w:val="20"/>
        </w:rPr>
        <w:t>align</w:t>
      </w:r>
      <w:r>
        <w:rPr>
          <w:color w:val="231F20"/>
          <w:spacing w:val="-2"/>
          <w:sz w:val="20"/>
        </w:rPr>
        <w:t xml:space="preserve"> </w:t>
      </w:r>
      <w:r>
        <w:rPr>
          <w:color w:val="231F20"/>
          <w:sz w:val="20"/>
        </w:rPr>
        <w:t>with</w:t>
      </w:r>
      <w:r>
        <w:rPr>
          <w:color w:val="231F20"/>
          <w:spacing w:val="-3"/>
          <w:sz w:val="20"/>
        </w:rPr>
        <w:t xml:space="preserve"> </w:t>
      </w:r>
      <w:r>
        <w:rPr>
          <w:color w:val="231F20"/>
          <w:sz w:val="20"/>
        </w:rPr>
        <w:t>the</w:t>
      </w:r>
      <w:r>
        <w:rPr>
          <w:color w:val="231F20"/>
          <w:spacing w:val="-2"/>
          <w:sz w:val="20"/>
        </w:rPr>
        <w:t xml:space="preserve"> </w:t>
      </w:r>
      <w:r>
        <w:rPr>
          <w:color w:val="231F20"/>
          <w:sz w:val="20"/>
        </w:rPr>
        <w:t>Johnny</w:t>
      </w:r>
      <w:r>
        <w:rPr>
          <w:color w:val="231F20"/>
          <w:spacing w:val="-1"/>
          <w:sz w:val="20"/>
        </w:rPr>
        <w:t xml:space="preserve"> </w:t>
      </w:r>
      <w:r>
        <w:rPr>
          <w:color w:val="231F20"/>
          <w:sz w:val="20"/>
        </w:rPr>
        <w:t>Mullagh</w:t>
      </w:r>
      <w:r>
        <w:rPr>
          <w:color w:val="231F20"/>
          <w:spacing w:val="-2"/>
          <w:sz w:val="20"/>
        </w:rPr>
        <w:t xml:space="preserve"> </w:t>
      </w:r>
      <w:r>
        <w:rPr>
          <w:color w:val="231F20"/>
          <w:sz w:val="20"/>
        </w:rPr>
        <w:t>Cup</w:t>
      </w:r>
      <w:r>
        <w:rPr>
          <w:color w:val="231F20"/>
          <w:spacing w:val="-2"/>
          <w:sz w:val="20"/>
        </w:rPr>
        <w:t xml:space="preserve"> </w:t>
      </w:r>
      <w:r>
        <w:rPr>
          <w:color w:val="231F20"/>
          <w:sz w:val="20"/>
        </w:rPr>
        <w:t>cricket</w:t>
      </w:r>
      <w:r>
        <w:rPr>
          <w:color w:val="231F20"/>
          <w:spacing w:val="-2"/>
          <w:sz w:val="20"/>
        </w:rPr>
        <w:t xml:space="preserve"> </w:t>
      </w:r>
      <w:r>
        <w:rPr>
          <w:color w:val="231F20"/>
          <w:sz w:val="20"/>
        </w:rPr>
        <w:t>match</w:t>
      </w:r>
      <w:r>
        <w:rPr>
          <w:color w:val="231F20"/>
          <w:spacing w:val="-2"/>
          <w:sz w:val="20"/>
        </w:rPr>
        <w:t xml:space="preserve"> </w:t>
      </w:r>
      <w:r>
        <w:rPr>
          <w:color w:val="231F20"/>
          <w:sz w:val="20"/>
        </w:rPr>
        <w:t>held</w:t>
      </w:r>
      <w:r>
        <w:rPr>
          <w:color w:val="231F20"/>
          <w:spacing w:val="-2"/>
          <w:sz w:val="20"/>
        </w:rPr>
        <w:t xml:space="preserve"> </w:t>
      </w:r>
      <w:r>
        <w:rPr>
          <w:color w:val="231F20"/>
          <w:sz w:val="20"/>
        </w:rPr>
        <w:t>in</w:t>
      </w:r>
      <w:r>
        <w:rPr>
          <w:color w:val="231F20"/>
          <w:spacing w:val="-3"/>
          <w:sz w:val="20"/>
        </w:rPr>
        <w:t xml:space="preserve"> </w:t>
      </w:r>
      <w:r>
        <w:rPr>
          <w:color w:val="231F20"/>
          <w:sz w:val="20"/>
        </w:rPr>
        <w:t>Harrow;</w:t>
      </w:r>
      <w:r>
        <w:rPr>
          <w:color w:val="231F20"/>
          <w:spacing w:val="-2"/>
          <w:sz w:val="20"/>
        </w:rPr>
        <w:t xml:space="preserve"> </w:t>
      </w:r>
      <w:r>
        <w:rPr>
          <w:color w:val="231F20"/>
          <w:sz w:val="20"/>
        </w:rPr>
        <w:t>the</w:t>
      </w:r>
      <w:r>
        <w:rPr>
          <w:color w:val="231F20"/>
          <w:spacing w:val="-2"/>
          <w:sz w:val="20"/>
        </w:rPr>
        <w:t xml:space="preserve"> </w:t>
      </w:r>
      <w:r>
        <w:rPr>
          <w:color w:val="231F20"/>
          <w:sz w:val="20"/>
        </w:rPr>
        <w:t>match</w:t>
      </w:r>
      <w:r>
        <w:rPr>
          <w:color w:val="231F20"/>
          <w:spacing w:val="-2"/>
          <w:sz w:val="20"/>
        </w:rPr>
        <w:t xml:space="preserve"> </w:t>
      </w:r>
      <w:r>
        <w:rPr>
          <w:color w:val="231F20"/>
          <w:sz w:val="20"/>
        </w:rPr>
        <w:t>is</w:t>
      </w:r>
      <w:r>
        <w:rPr>
          <w:color w:val="231F20"/>
          <w:spacing w:val="-2"/>
          <w:sz w:val="20"/>
        </w:rPr>
        <w:t xml:space="preserve"> </w:t>
      </w:r>
      <w:r>
        <w:rPr>
          <w:color w:val="231F20"/>
          <w:sz w:val="20"/>
        </w:rPr>
        <w:t>played</w:t>
      </w:r>
      <w:r>
        <w:rPr>
          <w:color w:val="231F20"/>
          <w:spacing w:val="-3"/>
          <w:sz w:val="20"/>
        </w:rPr>
        <w:t xml:space="preserve"> </w:t>
      </w:r>
      <w:r>
        <w:rPr>
          <w:color w:val="231F20"/>
          <w:sz w:val="20"/>
        </w:rPr>
        <w:t>by</w:t>
      </w:r>
      <w:r>
        <w:rPr>
          <w:color w:val="231F20"/>
          <w:spacing w:val="-11"/>
          <w:sz w:val="20"/>
        </w:rPr>
        <w:t xml:space="preserve"> </w:t>
      </w:r>
      <w:r>
        <w:rPr>
          <w:color w:val="231F20"/>
          <w:sz w:val="20"/>
        </w:rPr>
        <w:t>Aboriginal descendants of the first Australian international team that toured England in</w:t>
      </w:r>
      <w:r>
        <w:rPr>
          <w:color w:val="231F20"/>
          <w:spacing w:val="-22"/>
          <w:sz w:val="20"/>
        </w:rPr>
        <w:t xml:space="preserve"> </w:t>
      </w:r>
      <w:r>
        <w:rPr>
          <w:color w:val="231F20"/>
          <w:sz w:val="20"/>
        </w:rPr>
        <w:t>1868.</w:t>
      </w:r>
    </w:p>
    <w:p w:rsidR="006A7A3F" w:rsidRDefault="00BC7372">
      <w:pPr>
        <w:pStyle w:val="BodyText"/>
        <w:spacing w:before="87" w:line="249" w:lineRule="auto"/>
        <w:ind w:right="501"/>
        <w:jc w:val="both"/>
      </w:pPr>
      <w:r>
        <w:rPr>
          <w:color w:val="231F20"/>
        </w:rPr>
        <w:t>Where</w:t>
      </w:r>
      <w:r>
        <w:rPr>
          <w:color w:val="231F20"/>
          <w:spacing w:val="-4"/>
        </w:rPr>
        <w:t xml:space="preserve"> </w:t>
      </w:r>
      <w:r>
        <w:rPr>
          <w:color w:val="231F20"/>
        </w:rPr>
        <w:t>participation</w:t>
      </w:r>
      <w:r>
        <w:rPr>
          <w:color w:val="231F20"/>
          <w:spacing w:val="-5"/>
        </w:rPr>
        <w:t xml:space="preserve"> </w:t>
      </w:r>
      <w:r>
        <w:rPr>
          <w:color w:val="231F20"/>
        </w:rPr>
        <w:t>of</w:t>
      </w:r>
      <w:r>
        <w:rPr>
          <w:color w:val="231F20"/>
          <w:spacing w:val="-8"/>
        </w:rPr>
        <w:t xml:space="preserve"> </w:t>
      </w:r>
      <w:r>
        <w:rPr>
          <w:color w:val="231F20"/>
        </w:rPr>
        <w:t>Traditional</w:t>
      </w:r>
      <w:r>
        <w:rPr>
          <w:color w:val="231F20"/>
          <w:spacing w:val="-3"/>
        </w:rPr>
        <w:t xml:space="preserve"> </w:t>
      </w:r>
      <w:r>
        <w:rPr>
          <w:color w:val="231F20"/>
        </w:rPr>
        <w:t>Owners</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planning</w:t>
      </w:r>
      <w:r>
        <w:rPr>
          <w:color w:val="231F20"/>
          <w:spacing w:val="-4"/>
        </w:rPr>
        <w:t xml:space="preserve"> </w:t>
      </w:r>
      <w:r>
        <w:rPr>
          <w:color w:val="231F20"/>
        </w:rPr>
        <w:t>and</w:t>
      </w:r>
      <w:r>
        <w:rPr>
          <w:color w:val="231F20"/>
          <w:spacing w:val="-5"/>
        </w:rPr>
        <w:t xml:space="preserve"> </w:t>
      </w:r>
      <w:r>
        <w:rPr>
          <w:color w:val="231F20"/>
        </w:rPr>
        <w:t>delivery</w:t>
      </w:r>
      <w:r>
        <w:rPr>
          <w:color w:val="231F20"/>
          <w:spacing w:val="-5"/>
        </w:rPr>
        <w:t xml:space="preserve"> </w:t>
      </w:r>
      <w:r>
        <w:rPr>
          <w:color w:val="231F20"/>
        </w:rPr>
        <w:t>of</w:t>
      </w:r>
      <w:r>
        <w:rPr>
          <w:color w:val="231F20"/>
          <w:spacing w:val="-5"/>
        </w:rPr>
        <w:t xml:space="preserve"> </w:t>
      </w:r>
      <w:r>
        <w:rPr>
          <w:color w:val="231F20"/>
        </w:rPr>
        <w:t>water</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environment</w:t>
      </w:r>
      <w:r>
        <w:rPr>
          <w:color w:val="231F20"/>
          <w:spacing w:val="-5"/>
        </w:rPr>
        <w:t xml:space="preserve"> </w:t>
      </w:r>
      <w:r>
        <w:rPr>
          <w:color w:val="231F20"/>
        </w:rPr>
        <w:t>has</w:t>
      </w:r>
      <w:r>
        <w:rPr>
          <w:color w:val="231F20"/>
          <w:spacing w:val="-5"/>
        </w:rPr>
        <w:t xml:space="preserve"> </w:t>
      </w:r>
      <w:r>
        <w:rPr>
          <w:color w:val="231F20"/>
        </w:rPr>
        <w:t>explicitly identified particular flows supporting cultural outcomes, these are identified in the system</w:t>
      </w:r>
      <w:r>
        <w:rPr>
          <w:color w:val="231F20"/>
          <w:spacing w:val="-20"/>
        </w:rPr>
        <w:t xml:space="preserve"> </w:t>
      </w:r>
      <w:r>
        <w:rPr>
          <w:color w:val="231F20"/>
        </w:rPr>
        <w:t>sections.</w:t>
      </w:r>
    </w:p>
    <w:p w:rsidR="006A7A3F" w:rsidRDefault="006A7A3F">
      <w:pPr>
        <w:pStyle w:val="BodyText"/>
        <w:spacing w:before="1"/>
        <w:ind w:left="0"/>
      </w:pPr>
    </w:p>
    <w:p w:rsidR="00AF39EE" w:rsidRDefault="00AF39EE">
      <w:pPr>
        <w:rPr>
          <w:b/>
          <w:bCs/>
          <w:color w:val="231F20"/>
          <w:sz w:val="24"/>
          <w:szCs w:val="24"/>
        </w:rPr>
      </w:pPr>
      <w:r>
        <w:rPr>
          <w:color w:val="231F20"/>
        </w:rPr>
        <w:br w:type="page"/>
      </w:r>
    </w:p>
    <w:p w:rsidR="006A7A3F" w:rsidRDefault="00BC7372">
      <w:pPr>
        <w:pStyle w:val="Heading4"/>
        <w:spacing w:line="242" w:lineRule="auto"/>
        <w:ind w:right="1216"/>
      </w:pPr>
      <w:r>
        <w:rPr>
          <w:color w:val="231F20"/>
        </w:rPr>
        <w:t>How have economic, recreational and social values and uses of waterways been considered?</w:t>
      </w:r>
    </w:p>
    <w:p w:rsidR="006A7A3F" w:rsidRDefault="00BC7372">
      <w:pPr>
        <w:pStyle w:val="BodyText"/>
        <w:spacing w:before="57" w:line="249" w:lineRule="auto"/>
        <w:ind w:right="363"/>
      </w:pPr>
      <w:r>
        <w:rPr>
          <w:color w:val="231F20"/>
        </w:rPr>
        <w:t>Environmental outcomes provide some direct economic, recreational, social benefits to communities. Waterway managers, in consultation with communities, have identified numerous opportunities to support these community benefits, including activities such as tourism, fishing, birdwatching, boating, and hunting. Examples in the western region include:</w:t>
      </w:r>
    </w:p>
    <w:p w:rsidR="006A7A3F" w:rsidRDefault="00BC7372" w:rsidP="009B6917">
      <w:pPr>
        <w:pStyle w:val="ListParagraph"/>
        <w:numPr>
          <w:ilvl w:val="0"/>
          <w:numId w:val="1419"/>
        </w:numPr>
        <w:tabs>
          <w:tab w:val="left" w:pos="493"/>
          <w:tab w:val="left" w:pos="494"/>
        </w:tabs>
        <w:spacing w:before="116" w:line="249" w:lineRule="auto"/>
        <w:ind w:right="340"/>
        <w:rPr>
          <w:sz w:val="20"/>
        </w:rPr>
      </w:pPr>
      <w:r>
        <w:rPr>
          <w:color w:val="231F20"/>
          <w:sz w:val="20"/>
        </w:rPr>
        <w:t>improving fishing opportunities throughout the upper and middle reaches of the Glenelg catchment, where environmental flows support numerous fishing competitions and the Balmoral, Casterton and Dartmoor angling clubs</w:t>
      </w:r>
    </w:p>
    <w:p w:rsidR="006A7A3F" w:rsidRDefault="00BC7372" w:rsidP="009B6917">
      <w:pPr>
        <w:pStyle w:val="ListParagraph"/>
        <w:numPr>
          <w:ilvl w:val="0"/>
          <w:numId w:val="1419"/>
        </w:numPr>
        <w:tabs>
          <w:tab w:val="left" w:pos="493"/>
          <w:tab w:val="left" w:pos="494"/>
        </w:tabs>
        <w:spacing w:before="88" w:line="249" w:lineRule="auto"/>
        <w:ind w:right="384"/>
        <w:rPr>
          <w:sz w:val="20"/>
        </w:rPr>
      </w:pPr>
      <w:r>
        <w:rPr>
          <w:color w:val="231F20"/>
          <w:sz w:val="20"/>
        </w:rPr>
        <w:t>keeping the Wimmera River flowing through late spring and summer/autumn, supporting many community activities including water-skiing at the Horsham and Dimboola Weir pools, the Dimboola (rowing) Regatta, the Wimmera River Duck Race (to raise money for the Wimmera Health Care Group) and the Horsham, Dimboola and Jeparit fishing</w:t>
      </w:r>
      <w:r>
        <w:rPr>
          <w:color w:val="231F20"/>
          <w:spacing w:val="-2"/>
          <w:sz w:val="20"/>
        </w:rPr>
        <w:t xml:space="preserve"> </w:t>
      </w:r>
      <w:r>
        <w:rPr>
          <w:color w:val="231F20"/>
          <w:sz w:val="20"/>
        </w:rPr>
        <w:t>competitions.</w:t>
      </w:r>
    </w:p>
    <w:p w:rsidR="006A7A3F" w:rsidRDefault="00BC7372" w:rsidP="00AF39EE">
      <w:pPr>
        <w:pStyle w:val="BodyText"/>
        <w:spacing w:before="173" w:line="249" w:lineRule="auto"/>
        <w:ind w:right="253"/>
      </w:pPr>
      <w:r>
        <w:rPr>
          <w:color w:val="231F20"/>
        </w:rPr>
        <w:t>Investigations into the socio-economic benefits of water for the environment in waterways in the Wimmera over the last three years have indicated that Horsham and Dimboola continue to be hot-spots for recreational enjoyment along the Wimmera River. Results have also shown an increase in expenditure for locations along the Wimmera</w:t>
      </w:r>
      <w:r w:rsidR="00AF39EE">
        <w:t xml:space="preserve"> </w:t>
      </w:r>
      <w:r>
        <w:rPr>
          <w:color w:val="231F20"/>
        </w:rPr>
        <w:t>River over the three-year period. Physical and mental health benefits were also quantified and results demonstrate that the Wimmera River at Jeparit, Horsham and Dimboola is a key contributor.</w:t>
      </w:r>
    </w:p>
    <w:p w:rsidR="006A7A3F" w:rsidRDefault="00BC7372">
      <w:pPr>
        <w:pStyle w:val="BodyText"/>
        <w:spacing w:line="249" w:lineRule="auto"/>
        <w:ind w:right="230"/>
      </w:pPr>
      <w:r>
        <w:rPr>
          <w:color w:val="231F20"/>
        </w:rPr>
        <w:t>Feedback from local landholders and the community is that they enjoy and support the delivery of environmental water to the Wimmera-Mallee wetlands. In a landscape characterised by a very dry climate and defined by hot, hard, farming work, these wetlands provide refuge for wildlife as well as local people by providing opportunities for swimming, boating, picnicking and walking, and venues for functions, meals, meetings and other community-based activities.</w:t>
      </w:r>
    </w:p>
    <w:p w:rsidR="006A7A3F" w:rsidRDefault="00BC7372">
      <w:pPr>
        <w:pStyle w:val="BodyText"/>
        <w:spacing w:before="174" w:line="249" w:lineRule="auto"/>
        <w:ind w:right="466"/>
        <w:jc w:val="both"/>
      </w:pPr>
      <w:r>
        <w:rPr>
          <w:color w:val="231F20"/>
        </w:rPr>
        <w:t>Summaries of the social, recreational and economic values considered are provided for each system. Where the timing or management of planned environmental flows may be modified to align with a community benefit, these are identified alongside the potential watering actions.</w:t>
      </w:r>
    </w:p>
    <w:p w:rsidR="006A7A3F" w:rsidRDefault="006A7A3F">
      <w:pPr>
        <w:pStyle w:val="BodyText"/>
        <w:spacing w:before="2"/>
        <w:ind w:left="0"/>
      </w:pPr>
    </w:p>
    <w:p w:rsidR="006A7A3F" w:rsidRDefault="00BC7372">
      <w:pPr>
        <w:pStyle w:val="Heading4"/>
      </w:pPr>
      <w:r>
        <w:rPr>
          <w:color w:val="231F20"/>
        </w:rPr>
        <w:t>Integrated catchment management</w:t>
      </w:r>
    </w:p>
    <w:p w:rsidR="006A7A3F" w:rsidRDefault="00BC7372">
      <w:pPr>
        <w:pStyle w:val="BodyText"/>
        <w:spacing w:before="58" w:line="249" w:lineRule="auto"/>
        <w:ind w:right="204"/>
      </w:pPr>
      <w:r>
        <w:rPr>
          <w:color w:val="231F20"/>
        </w:rPr>
        <w:t>Altered water regimes are one of many threats to the health of Victoria’s waterways. To be effective, environmental flows need to be part of an integrated approach to catchment management. Many of the environmental objectives for water for the environment in the western region will not be fully met without simultaneously addressing issues such as barriers to fish movement, high nutrient loads, loss of stream bank vegetation and invasive species.</w:t>
      </w:r>
    </w:p>
    <w:p w:rsidR="006A7A3F" w:rsidRDefault="00BC7372">
      <w:pPr>
        <w:pStyle w:val="BodyText"/>
        <w:spacing w:before="174" w:line="249" w:lineRule="auto"/>
        <w:ind w:right="408"/>
      </w:pPr>
      <w:r>
        <w:rPr>
          <w:color w:val="231F20"/>
        </w:rPr>
        <w:t>Victorian and Australian government agencies, Traditional Owners, community groups and private landowners collectively implement a wide range of programs that aim to protect and improve the environmental condition and function of land, soils and waterways throughout Victoria’s catchments.</w:t>
      </w:r>
    </w:p>
    <w:p w:rsidR="00AF39EE" w:rsidRDefault="00AF39EE">
      <w:pPr>
        <w:rPr>
          <w:color w:val="231F20"/>
          <w:sz w:val="20"/>
          <w:szCs w:val="20"/>
        </w:rPr>
      </w:pPr>
      <w:r>
        <w:rPr>
          <w:color w:val="231F20"/>
        </w:rPr>
        <w:br w:type="page"/>
      </w:r>
    </w:p>
    <w:p w:rsidR="006A7A3F" w:rsidRDefault="00BC7372">
      <w:pPr>
        <w:pStyle w:val="BodyText"/>
        <w:spacing w:line="249" w:lineRule="auto"/>
        <w:ind w:right="430"/>
      </w:pPr>
      <w:r>
        <w:rPr>
          <w:color w:val="231F20"/>
        </w:rPr>
        <w:t>Examples of complementary programs that are likely to support environmental watering outcomes in the western region include:</w:t>
      </w:r>
    </w:p>
    <w:p w:rsidR="006A7A3F" w:rsidRDefault="00BC7372" w:rsidP="009B6917">
      <w:pPr>
        <w:pStyle w:val="ListParagraph"/>
        <w:numPr>
          <w:ilvl w:val="0"/>
          <w:numId w:val="1419"/>
        </w:numPr>
        <w:tabs>
          <w:tab w:val="left" w:pos="493"/>
          <w:tab w:val="left" w:pos="494"/>
        </w:tabs>
        <w:spacing w:before="115" w:line="249" w:lineRule="auto"/>
        <w:ind w:right="331"/>
        <w:rPr>
          <w:sz w:val="20"/>
        </w:rPr>
      </w:pPr>
      <w:r>
        <w:rPr>
          <w:color w:val="231F20"/>
          <w:sz w:val="20"/>
        </w:rPr>
        <w:t xml:space="preserve">major works recently completed by Glenelg Hopkins CMA to improve fish passage at Sandford </w:t>
      </w:r>
      <w:r>
        <w:rPr>
          <w:color w:val="231F20"/>
          <w:spacing w:val="-4"/>
          <w:sz w:val="20"/>
        </w:rPr>
        <w:t xml:space="preserve">Weir, </w:t>
      </w:r>
      <w:r>
        <w:rPr>
          <w:color w:val="231F20"/>
          <w:sz w:val="20"/>
        </w:rPr>
        <w:t xml:space="preserve">Dergholm Gauge and Warrock will be used in combination with delivery of water for the environment to facilitate the movement of migratory fish from the estuary to the upstream reaches of the Glenelg and </w:t>
      </w:r>
      <w:r>
        <w:rPr>
          <w:color w:val="231F20"/>
          <w:spacing w:val="-3"/>
          <w:sz w:val="20"/>
        </w:rPr>
        <w:t>Wannon</w:t>
      </w:r>
      <w:r>
        <w:rPr>
          <w:color w:val="231F20"/>
          <w:spacing w:val="-13"/>
          <w:sz w:val="20"/>
        </w:rPr>
        <w:t xml:space="preserve"> </w:t>
      </w:r>
      <w:r>
        <w:rPr>
          <w:color w:val="231F20"/>
          <w:sz w:val="20"/>
        </w:rPr>
        <w:t>rivers</w:t>
      </w:r>
    </w:p>
    <w:p w:rsidR="006A7A3F" w:rsidRDefault="00BC7372" w:rsidP="009B6917">
      <w:pPr>
        <w:pStyle w:val="ListParagraph"/>
        <w:numPr>
          <w:ilvl w:val="0"/>
          <w:numId w:val="1419"/>
        </w:numPr>
        <w:tabs>
          <w:tab w:val="left" w:pos="493"/>
          <w:tab w:val="left" w:pos="494"/>
        </w:tabs>
        <w:spacing w:before="88" w:line="249" w:lineRule="auto"/>
        <w:ind w:right="485"/>
        <w:rPr>
          <w:sz w:val="20"/>
        </w:rPr>
      </w:pPr>
      <w:r>
        <w:rPr>
          <w:color w:val="231F20"/>
          <w:sz w:val="20"/>
        </w:rPr>
        <w:t>installation of artificial wetland pontoons in the Dimboola weir pool and walking tracks to manage recreational access along the Wimmera River to reduce bank</w:t>
      </w:r>
      <w:r>
        <w:rPr>
          <w:color w:val="231F20"/>
          <w:spacing w:val="-6"/>
          <w:sz w:val="20"/>
        </w:rPr>
        <w:t xml:space="preserve"> </w:t>
      </w:r>
      <w:r>
        <w:rPr>
          <w:color w:val="231F20"/>
          <w:sz w:val="20"/>
        </w:rPr>
        <w:t>erosion</w:t>
      </w:r>
    </w:p>
    <w:p w:rsidR="006A7A3F" w:rsidRDefault="00BC7372" w:rsidP="009B6917">
      <w:pPr>
        <w:pStyle w:val="ListParagraph"/>
        <w:numPr>
          <w:ilvl w:val="0"/>
          <w:numId w:val="1419"/>
        </w:numPr>
        <w:tabs>
          <w:tab w:val="left" w:pos="493"/>
          <w:tab w:val="left" w:pos="494"/>
        </w:tabs>
        <w:spacing w:before="86" w:line="249" w:lineRule="auto"/>
        <w:ind w:right="228"/>
        <w:rPr>
          <w:sz w:val="20"/>
        </w:rPr>
      </w:pPr>
      <w:r>
        <w:rPr>
          <w:color w:val="231F20"/>
          <w:sz w:val="20"/>
        </w:rPr>
        <w:t>weed</w:t>
      </w:r>
      <w:r>
        <w:rPr>
          <w:color w:val="231F20"/>
          <w:spacing w:val="-3"/>
          <w:sz w:val="20"/>
        </w:rPr>
        <w:t xml:space="preserve"> </w:t>
      </w:r>
      <w:r>
        <w:rPr>
          <w:color w:val="231F20"/>
          <w:sz w:val="20"/>
        </w:rPr>
        <w:t>and</w:t>
      </w:r>
      <w:r>
        <w:rPr>
          <w:color w:val="231F20"/>
          <w:spacing w:val="-3"/>
          <w:sz w:val="20"/>
        </w:rPr>
        <w:t xml:space="preserve"> </w:t>
      </w:r>
      <w:r>
        <w:rPr>
          <w:color w:val="231F20"/>
          <w:sz w:val="20"/>
        </w:rPr>
        <w:t>rabbit</w:t>
      </w:r>
      <w:r>
        <w:rPr>
          <w:color w:val="231F20"/>
          <w:spacing w:val="-2"/>
          <w:sz w:val="20"/>
        </w:rPr>
        <w:t xml:space="preserve"> </w:t>
      </w:r>
      <w:r>
        <w:rPr>
          <w:color w:val="231F20"/>
          <w:sz w:val="20"/>
        </w:rPr>
        <w:t>control</w:t>
      </w:r>
      <w:r>
        <w:rPr>
          <w:color w:val="231F20"/>
          <w:spacing w:val="-2"/>
          <w:sz w:val="20"/>
        </w:rPr>
        <w:t xml:space="preserve"> </w:t>
      </w:r>
      <w:r>
        <w:rPr>
          <w:color w:val="231F20"/>
          <w:sz w:val="20"/>
        </w:rPr>
        <w:t>by</w:t>
      </w:r>
      <w:r>
        <w:rPr>
          <w:color w:val="231F20"/>
          <w:spacing w:val="-3"/>
          <w:sz w:val="20"/>
        </w:rPr>
        <w:t xml:space="preserve"> </w:t>
      </w:r>
      <w:r>
        <w:rPr>
          <w:color w:val="231F20"/>
          <w:sz w:val="20"/>
        </w:rPr>
        <w:t>Wimmera</w:t>
      </w:r>
      <w:r>
        <w:rPr>
          <w:color w:val="231F20"/>
          <w:spacing w:val="-2"/>
          <w:sz w:val="20"/>
        </w:rPr>
        <w:t xml:space="preserve"> </w:t>
      </w:r>
      <w:r>
        <w:rPr>
          <w:color w:val="231F20"/>
          <w:sz w:val="20"/>
        </w:rPr>
        <w:t>CMA</w:t>
      </w:r>
      <w:r>
        <w:rPr>
          <w:color w:val="231F20"/>
          <w:spacing w:val="-13"/>
          <w:sz w:val="20"/>
        </w:rPr>
        <w:t xml:space="preserve"> </w:t>
      </w:r>
      <w:r>
        <w:rPr>
          <w:color w:val="231F20"/>
          <w:sz w:val="20"/>
        </w:rPr>
        <w:t>to</w:t>
      </w:r>
      <w:r>
        <w:rPr>
          <w:color w:val="231F20"/>
          <w:spacing w:val="-2"/>
          <w:sz w:val="20"/>
        </w:rPr>
        <w:t xml:space="preserve"> </w:t>
      </w:r>
      <w:r>
        <w:rPr>
          <w:color w:val="231F20"/>
          <w:sz w:val="20"/>
        </w:rPr>
        <w:t>prevent</w:t>
      </w:r>
      <w:r>
        <w:rPr>
          <w:color w:val="231F20"/>
          <w:spacing w:val="-3"/>
          <w:sz w:val="20"/>
        </w:rPr>
        <w:t xml:space="preserve"> </w:t>
      </w:r>
      <w:r>
        <w:rPr>
          <w:color w:val="231F20"/>
          <w:sz w:val="20"/>
        </w:rPr>
        <w:t>bank</w:t>
      </w:r>
      <w:r>
        <w:rPr>
          <w:color w:val="231F20"/>
          <w:spacing w:val="-3"/>
          <w:sz w:val="20"/>
        </w:rPr>
        <w:t xml:space="preserve"> </w:t>
      </w:r>
      <w:r>
        <w:rPr>
          <w:color w:val="231F20"/>
          <w:sz w:val="20"/>
        </w:rPr>
        <w:t>erosion</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2"/>
          <w:sz w:val="20"/>
        </w:rPr>
        <w:t xml:space="preserve"> </w:t>
      </w:r>
      <w:r>
        <w:rPr>
          <w:color w:val="231F20"/>
          <w:sz w:val="20"/>
        </w:rPr>
        <w:t>upper</w:t>
      </w:r>
      <w:r>
        <w:rPr>
          <w:color w:val="231F20"/>
          <w:spacing w:val="-3"/>
          <w:sz w:val="20"/>
        </w:rPr>
        <w:t xml:space="preserve"> </w:t>
      </w:r>
      <w:r>
        <w:rPr>
          <w:color w:val="231F20"/>
          <w:sz w:val="20"/>
        </w:rPr>
        <w:t>Wimmera</w:t>
      </w:r>
      <w:r>
        <w:rPr>
          <w:color w:val="231F20"/>
          <w:spacing w:val="-2"/>
          <w:sz w:val="20"/>
        </w:rPr>
        <w:t xml:space="preserve"> </w:t>
      </w:r>
      <w:r>
        <w:rPr>
          <w:color w:val="231F20"/>
          <w:sz w:val="20"/>
        </w:rPr>
        <w:t>catchment</w:t>
      </w:r>
      <w:r>
        <w:rPr>
          <w:color w:val="231F20"/>
          <w:spacing w:val="-2"/>
          <w:sz w:val="20"/>
        </w:rPr>
        <w:t xml:space="preserve"> </w:t>
      </w:r>
      <w:r>
        <w:rPr>
          <w:color w:val="231F20"/>
          <w:sz w:val="20"/>
        </w:rPr>
        <w:t>to</w:t>
      </w:r>
      <w:r>
        <w:rPr>
          <w:color w:val="231F20"/>
          <w:spacing w:val="-2"/>
          <w:sz w:val="20"/>
        </w:rPr>
        <w:t xml:space="preserve"> </w:t>
      </w:r>
      <w:r>
        <w:rPr>
          <w:color w:val="231F20"/>
          <w:sz w:val="20"/>
        </w:rPr>
        <w:t xml:space="preserve">improve water </w:t>
      </w:r>
      <w:r>
        <w:rPr>
          <w:color w:val="231F20"/>
          <w:spacing w:val="-3"/>
          <w:sz w:val="20"/>
        </w:rPr>
        <w:t xml:space="preserve">quality, </w:t>
      </w:r>
      <w:r>
        <w:rPr>
          <w:color w:val="231F20"/>
          <w:sz w:val="20"/>
        </w:rPr>
        <w:t>stream form and increase native</w:t>
      </w:r>
      <w:r>
        <w:rPr>
          <w:color w:val="231F20"/>
          <w:spacing w:val="-3"/>
          <w:sz w:val="20"/>
        </w:rPr>
        <w:t xml:space="preserve"> </w:t>
      </w:r>
      <w:r>
        <w:rPr>
          <w:color w:val="231F20"/>
          <w:sz w:val="20"/>
        </w:rPr>
        <w:t>biodiversity</w:t>
      </w:r>
    </w:p>
    <w:p w:rsidR="006A7A3F" w:rsidRDefault="00BC7372" w:rsidP="009B6917">
      <w:pPr>
        <w:pStyle w:val="ListParagraph"/>
        <w:numPr>
          <w:ilvl w:val="0"/>
          <w:numId w:val="1419"/>
        </w:numPr>
        <w:tabs>
          <w:tab w:val="left" w:pos="493"/>
          <w:tab w:val="left" w:pos="494"/>
        </w:tabs>
        <w:spacing w:before="87" w:line="249" w:lineRule="auto"/>
        <w:ind w:right="193"/>
        <w:rPr>
          <w:sz w:val="20"/>
        </w:rPr>
      </w:pPr>
      <w:r>
        <w:rPr>
          <w:color w:val="231F20"/>
          <w:sz w:val="20"/>
        </w:rPr>
        <w:t>stock-exclusion fencing along priority waterways by Wimmera and Glenelg Hopkins CMAs throughout the Wimmera and Glenelg catchments, to support the re-establishment of streamside and in-stream vegetation, with over 2,000 km of fencing along the Glenelg River</w:t>
      </w:r>
      <w:r>
        <w:rPr>
          <w:color w:val="231F20"/>
          <w:spacing w:val="-7"/>
          <w:sz w:val="20"/>
        </w:rPr>
        <w:t xml:space="preserve"> </w:t>
      </w:r>
      <w:r>
        <w:rPr>
          <w:color w:val="231F20"/>
          <w:sz w:val="20"/>
        </w:rPr>
        <w:t>alone</w:t>
      </w:r>
    </w:p>
    <w:p w:rsidR="006A7A3F" w:rsidRDefault="00BC7372" w:rsidP="009B6917">
      <w:pPr>
        <w:pStyle w:val="ListParagraph"/>
        <w:numPr>
          <w:ilvl w:val="0"/>
          <w:numId w:val="1419"/>
        </w:numPr>
        <w:tabs>
          <w:tab w:val="left" w:pos="493"/>
          <w:tab w:val="left" w:pos="494"/>
        </w:tabs>
        <w:spacing w:before="87" w:line="249" w:lineRule="auto"/>
        <w:ind w:right="606"/>
        <w:rPr>
          <w:sz w:val="20"/>
        </w:rPr>
      </w:pPr>
      <w:r>
        <w:rPr>
          <w:color w:val="231F20"/>
          <w:sz w:val="20"/>
        </w:rPr>
        <w:t>carp management activities in both the Wimmera and Glenelg systems to reduce the number of carp and to build</w:t>
      </w:r>
      <w:r>
        <w:rPr>
          <w:color w:val="231F20"/>
          <w:spacing w:val="-6"/>
          <w:sz w:val="20"/>
        </w:rPr>
        <w:t xml:space="preserve"> </w:t>
      </w:r>
      <w:r>
        <w:rPr>
          <w:color w:val="231F20"/>
          <w:sz w:val="20"/>
        </w:rPr>
        <w:t>understanding</w:t>
      </w:r>
      <w:r>
        <w:rPr>
          <w:color w:val="231F20"/>
          <w:spacing w:val="-5"/>
          <w:sz w:val="20"/>
        </w:rPr>
        <w:t xml:space="preserve"> </w:t>
      </w:r>
      <w:r>
        <w:rPr>
          <w:color w:val="231F20"/>
          <w:sz w:val="20"/>
        </w:rPr>
        <w:t>about</w:t>
      </w:r>
      <w:r>
        <w:rPr>
          <w:color w:val="231F20"/>
          <w:spacing w:val="-6"/>
          <w:sz w:val="20"/>
        </w:rPr>
        <w:t xml:space="preserve"> </w:t>
      </w:r>
      <w:r>
        <w:rPr>
          <w:color w:val="231F20"/>
          <w:sz w:val="20"/>
        </w:rPr>
        <w:t>their</w:t>
      </w:r>
      <w:r>
        <w:rPr>
          <w:color w:val="231F20"/>
          <w:spacing w:val="-4"/>
          <w:sz w:val="20"/>
        </w:rPr>
        <w:t xml:space="preserve"> </w:t>
      </w:r>
      <w:r>
        <w:rPr>
          <w:color w:val="231F20"/>
          <w:sz w:val="20"/>
        </w:rPr>
        <w:t>behaviour</w:t>
      </w:r>
      <w:r>
        <w:rPr>
          <w:color w:val="231F20"/>
          <w:spacing w:val="-6"/>
          <w:sz w:val="20"/>
        </w:rPr>
        <w:t xml:space="preserve"> </w:t>
      </w:r>
      <w:r>
        <w:rPr>
          <w:color w:val="231F20"/>
          <w:sz w:val="20"/>
        </w:rPr>
        <w:t>in</w:t>
      </w:r>
      <w:r>
        <w:rPr>
          <w:color w:val="231F20"/>
          <w:spacing w:val="-5"/>
          <w:sz w:val="20"/>
        </w:rPr>
        <w:t xml:space="preserve"> </w:t>
      </w:r>
      <w:r>
        <w:rPr>
          <w:color w:val="231F20"/>
          <w:sz w:val="20"/>
        </w:rPr>
        <w:t>both</w:t>
      </w:r>
      <w:r>
        <w:rPr>
          <w:color w:val="231F20"/>
          <w:spacing w:val="-5"/>
          <w:sz w:val="20"/>
        </w:rPr>
        <w:t xml:space="preserve"> </w:t>
      </w:r>
      <w:r>
        <w:rPr>
          <w:color w:val="231F20"/>
          <w:sz w:val="20"/>
        </w:rPr>
        <w:t>rivers</w:t>
      </w:r>
      <w:r>
        <w:rPr>
          <w:color w:val="231F20"/>
          <w:spacing w:val="-5"/>
          <w:sz w:val="20"/>
        </w:rPr>
        <w:t xml:space="preserve"> </w:t>
      </w:r>
      <w:r>
        <w:rPr>
          <w:color w:val="231F20"/>
          <w:sz w:val="20"/>
        </w:rPr>
        <w:t>to</w:t>
      </w:r>
      <w:r>
        <w:rPr>
          <w:color w:val="231F20"/>
          <w:spacing w:val="-4"/>
          <w:sz w:val="20"/>
        </w:rPr>
        <w:t xml:space="preserve"> </w:t>
      </w:r>
      <w:r>
        <w:rPr>
          <w:color w:val="231F20"/>
          <w:sz w:val="20"/>
        </w:rPr>
        <w:t>facilitate</w:t>
      </w:r>
      <w:r>
        <w:rPr>
          <w:color w:val="231F20"/>
          <w:spacing w:val="-5"/>
          <w:sz w:val="20"/>
        </w:rPr>
        <w:t xml:space="preserve"> </w:t>
      </w:r>
      <w:r>
        <w:rPr>
          <w:color w:val="231F20"/>
          <w:sz w:val="20"/>
        </w:rPr>
        <w:t>better</w:t>
      </w:r>
      <w:r>
        <w:rPr>
          <w:color w:val="231F20"/>
          <w:spacing w:val="-5"/>
          <w:sz w:val="20"/>
        </w:rPr>
        <w:t xml:space="preserve"> </w:t>
      </w:r>
      <w:r>
        <w:rPr>
          <w:color w:val="231F20"/>
          <w:sz w:val="20"/>
        </w:rPr>
        <w:t>environmental</w:t>
      </w:r>
      <w:r>
        <w:rPr>
          <w:color w:val="231F20"/>
          <w:spacing w:val="-6"/>
          <w:sz w:val="20"/>
        </w:rPr>
        <w:t xml:space="preserve"> </w:t>
      </w:r>
      <w:r>
        <w:rPr>
          <w:color w:val="231F20"/>
          <w:sz w:val="20"/>
        </w:rPr>
        <w:t>watering</w:t>
      </w:r>
      <w:r>
        <w:rPr>
          <w:color w:val="231F20"/>
          <w:spacing w:val="-5"/>
          <w:sz w:val="20"/>
        </w:rPr>
        <w:t xml:space="preserve"> </w:t>
      </w:r>
      <w:r>
        <w:rPr>
          <w:color w:val="231F20"/>
          <w:sz w:val="20"/>
        </w:rPr>
        <w:t>outcomes</w:t>
      </w:r>
    </w:p>
    <w:p w:rsidR="006A7A3F" w:rsidRDefault="00BC7372" w:rsidP="009B6917">
      <w:pPr>
        <w:pStyle w:val="ListParagraph"/>
        <w:numPr>
          <w:ilvl w:val="0"/>
          <w:numId w:val="1419"/>
        </w:numPr>
        <w:tabs>
          <w:tab w:val="left" w:pos="493"/>
          <w:tab w:val="left" w:pos="494"/>
        </w:tabs>
        <w:spacing w:before="87" w:line="249" w:lineRule="auto"/>
        <w:ind w:right="284"/>
        <w:rPr>
          <w:sz w:val="20"/>
        </w:rPr>
      </w:pPr>
      <w:r>
        <w:rPr>
          <w:color w:val="231F20"/>
          <w:sz w:val="20"/>
        </w:rPr>
        <w:t>extensive installation of large woody fish habitat in Glenelg River reach 2 using red gum trunks and root balls to restore complex</w:t>
      </w:r>
      <w:r>
        <w:rPr>
          <w:color w:val="231F20"/>
          <w:spacing w:val="-1"/>
          <w:sz w:val="20"/>
        </w:rPr>
        <w:t xml:space="preserve"> </w:t>
      </w:r>
      <w:r>
        <w:rPr>
          <w:color w:val="231F20"/>
          <w:sz w:val="20"/>
        </w:rPr>
        <w:t>habitat</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control of invasive species and stock exclusion fencing in the Wimmera-Mallee</w:t>
      </w:r>
      <w:r>
        <w:rPr>
          <w:color w:val="231F20"/>
          <w:spacing w:val="-11"/>
          <w:sz w:val="20"/>
        </w:rPr>
        <w:t xml:space="preserve"> </w:t>
      </w:r>
      <w:r>
        <w:rPr>
          <w:color w:val="231F20"/>
          <w:sz w:val="20"/>
        </w:rPr>
        <w:t>wetlands.</w:t>
      </w:r>
    </w:p>
    <w:p w:rsidR="006A7A3F" w:rsidRDefault="00BC7372">
      <w:pPr>
        <w:pStyle w:val="BodyText"/>
        <w:spacing w:before="180" w:line="249" w:lineRule="auto"/>
        <w:ind w:right="261"/>
      </w:pPr>
      <w:r>
        <w:rPr>
          <w:color w:val="231F20"/>
        </w:rPr>
        <w:t>For more information about integrated catchment management programs in the western region, refer to the Glenelg Hopkins, Wimmera, North Central and Mallee CMA’s regional catchment strategies and regional waterway strategies.</w:t>
      </w:r>
    </w:p>
    <w:p w:rsidR="006A7A3F" w:rsidRDefault="006A7A3F">
      <w:pPr>
        <w:pStyle w:val="BodyText"/>
        <w:spacing w:before="1"/>
        <w:ind w:left="0"/>
      </w:pPr>
    </w:p>
    <w:p w:rsidR="006A7A3F" w:rsidRDefault="00BC7372">
      <w:pPr>
        <w:pStyle w:val="Heading4"/>
        <w:spacing w:before="1"/>
      </w:pPr>
      <w:r>
        <w:rPr>
          <w:color w:val="231F20"/>
        </w:rPr>
        <w:t>Risk management</w:t>
      </w:r>
    </w:p>
    <w:p w:rsidR="006A7A3F" w:rsidRDefault="00BC7372">
      <w:pPr>
        <w:pStyle w:val="BodyText"/>
        <w:spacing w:before="58" w:line="249" w:lineRule="auto"/>
        <w:ind w:right="219"/>
      </w:pPr>
      <w:r>
        <w:rPr>
          <w:color w:val="231F20"/>
        </w:rPr>
        <w:t>During the development of the seasonal watering proposals for the Glenelg, Wimmera and Wimmera-Mallee wetland systems, environmental watering program partners assessed risks associated with potential environmental watering actions for 2020–21 and identified appropriate mitigating strategies. Risks and mitigating actions are continually assessed by program partners throughout the year (see subsection 1.3.6).</w:t>
      </w:r>
    </w:p>
    <w:p w:rsidR="006A7A3F" w:rsidRDefault="006A7A3F">
      <w:pPr>
        <w:pStyle w:val="BodyText"/>
        <w:spacing w:before="9"/>
        <w:ind w:left="0"/>
        <w:rPr>
          <w:sz w:val="21"/>
        </w:rPr>
      </w:pPr>
    </w:p>
    <w:p w:rsidR="006A7A3F" w:rsidRDefault="00BC7372">
      <w:pPr>
        <w:pStyle w:val="Heading3"/>
      </w:pPr>
      <w:r>
        <w:rPr>
          <w:color w:val="231F20"/>
        </w:rPr>
        <w:t>Seasonal outlook 2020–21</w:t>
      </w:r>
    </w:p>
    <w:p w:rsidR="006A7A3F" w:rsidRDefault="00BC7372" w:rsidP="00AF39EE">
      <w:pPr>
        <w:pStyle w:val="BodyText"/>
        <w:spacing w:before="107" w:line="249" w:lineRule="auto"/>
        <w:ind w:right="190"/>
      </w:pPr>
      <w:r>
        <w:rPr>
          <w:color w:val="231F20"/>
        </w:rPr>
        <w:t xml:space="preserve">Rainfall across the western region in 2019–20 was below the long-term average for the third consecutive year. Despite the overall dry conditions, there were some periods of higher rainfall that contributed flow to the Wimmera and Glenelg rivers. Winter rain caused the Wimmera River above Huddlestons Weir to flow for the first time in more than a </w:t>
      </w:r>
      <w:r>
        <w:rPr>
          <w:color w:val="231F20"/>
          <w:spacing w:val="-3"/>
        </w:rPr>
        <w:t xml:space="preserve">year, </w:t>
      </w:r>
      <w:r>
        <w:rPr>
          <w:color w:val="231F20"/>
        </w:rPr>
        <w:t xml:space="preserve">which met the planned watering actions in the Wimmera and Glenelg systems for the first few months of 2019–20. </w:t>
      </w:r>
      <w:r>
        <w:rPr>
          <w:color w:val="231F20"/>
          <w:spacing w:val="-3"/>
        </w:rPr>
        <w:t xml:space="preserve">Water </w:t>
      </w:r>
      <w:r>
        <w:rPr>
          <w:color w:val="231F20"/>
        </w:rPr>
        <w:t xml:space="preserve">for the environment was needed to supplement flows in the Wimmera and Glenelg systems  from October 2019 onwards. Continuous flow was maintained in the Glenelg River between Rocklands Reservoir and to the top of the estuary at Dartmoor throughout 2019–20 and periodic flow in the Wimmera River to Dimboola. </w:t>
      </w:r>
      <w:r>
        <w:rPr>
          <w:color w:val="231F20"/>
          <w:spacing w:val="-3"/>
        </w:rPr>
        <w:t xml:space="preserve">However, </w:t>
      </w:r>
      <w:r>
        <w:rPr>
          <w:color w:val="231F20"/>
        </w:rPr>
        <w:t xml:space="preserve">environmental watering in some parts of the MacKenzie </w:t>
      </w:r>
      <w:r>
        <w:rPr>
          <w:color w:val="231F20"/>
          <w:spacing w:val="-3"/>
        </w:rPr>
        <w:t xml:space="preserve">River, </w:t>
      </w:r>
      <w:r>
        <w:rPr>
          <w:color w:val="231F20"/>
        </w:rPr>
        <w:t>Burnt Creek and Mount William Creek</w:t>
      </w:r>
      <w:r>
        <w:rPr>
          <w:color w:val="231F20"/>
          <w:spacing w:val="-29"/>
        </w:rPr>
        <w:t xml:space="preserve"> </w:t>
      </w:r>
      <w:r>
        <w:rPr>
          <w:color w:val="231F20"/>
        </w:rPr>
        <w:t>was</w:t>
      </w:r>
      <w:r w:rsidR="00AF39EE">
        <w:t xml:space="preserve"> </w:t>
      </w:r>
      <w:r>
        <w:rPr>
          <w:color w:val="231F20"/>
        </w:rPr>
        <w:t>lower than planned, due to release limits at selected storages.</w:t>
      </w:r>
    </w:p>
    <w:p w:rsidR="006A7A3F" w:rsidRDefault="00BC7372">
      <w:pPr>
        <w:pStyle w:val="BodyText"/>
        <w:spacing w:before="180" w:line="249" w:lineRule="auto"/>
        <w:ind w:right="100"/>
      </w:pPr>
      <w:r>
        <w:rPr>
          <w:color w:val="231F20"/>
        </w:rPr>
        <w:t>Water storages across the Wimmera-Mallee headworks were collectively below 30 percent of capacity at the end of April 2020. The VEWH received 42 percent allocation against its environmental entitlement in 2019–20. The CEWH did not receive any allocation in 2019–20, but all remaining carryover held from previous years’ allocations was delivered in the Wimmera River and Mount William Creek during summer 2019–20.</w:t>
      </w:r>
    </w:p>
    <w:p w:rsidR="006A7A3F" w:rsidRDefault="00BC7372" w:rsidP="00250109">
      <w:pPr>
        <w:pStyle w:val="BodyText"/>
        <w:spacing w:before="174" w:line="249" w:lineRule="auto"/>
        <w:ind w:right="552"/>
      </w:pPr>
      <w:r>
        <w:rPr>
          <w:color w:val="231F20"/>
        </w:rPr>
        <w:t>Above-average rainfall and above-average temperatures are predicted for the western region in winter 2020, but the Wimmera-Mallee headworks storages will need significant inflows before any allocations are made to the environmental entitlement. The storage manager has indicated that entitlement holders will only receive low</w:t>
      </w:r>
      <w:r w:rsidR="00250109">
        <w:rPr>
          <w:color w:val="231F20"/>
        </w:rPr>
        <w:t xml:space="preserve"> </w:t>
      </w:r>
      <w:r>
        <w:rPr>
          <w:color w:val="231F20"/>
        </w:rPr>
        <w:t>volumes of allocations in 2020–21 under drought, dry and average scenarios, and they are unlikely to receive full allocations even under a wet scenario.</w:t>
      </w:r>
    </w:p>
    <w:p w:rsidR="00AF39EE" w:rsidRDefault="00AF39EE">
      <w:pPr>
        <w:rPr>
          <w:color w:val="231F20"/>
          <w:sz w:val="20"/>
          <w:szCs w:val="20"/>
        </w:rPr>
      </w:pPr>
      <w:r>
        <w:rPr>
          <w:color w:val="231F20"/>
        </w:rPr>
        <w:br w:type="page"/>
      </w:r>
    </w:p>
    <w:p w:rsidR="006A7A3F" w:rsidRDefault="00BC7372" w:rsidP="00250109">
      <w:pPr>
        <w:pStyle w:val="BodyText"/>
        <w:spacing w:line="249" w:lineRule="auto"/>
        <w:ind w:right="472"/>
      </w:pPr>
      <w:r>
        <w:rPr>
          <w:color w:val="231F20"/>
        </w:rPr>
        <w:t>If environmental allocations do not significantly increase in winter/spring 2020, environmental water for the rest of 2020–21 will be managed in line with drought or dry scenarios in both the Wimmera and Glenelg systems. The focus will be on delivering minimum low flow and small freshes as needed to maintain continuous river flow where possible, to maintain refuge pools where continuous flow cannot be achieved and to protect water quality. Carryover from 2019–20 will be critical in supporting these watering actions. If system inflows deliver higher environmental allocations, environmental water may be used to deliver winter/spring freshes and low flow in the Glenelg River through to reach 2, deliver additional winter/spring freshes in the Wimmera River and extend the summer/autumn low flow and freshes through to reach 3 of the MacKenzie River. Winter/spring inflows to the</w:t>
      </w:r>
      <w:r w:rsidR="00250109">
        <w:rPr>
          <w:color w:val="231F20"/>
        </w:rPr>
        <w:t xml:space="preserve"> </w:t>
      </w:r>
      <w:r>
        <w:rPr>
          <w:color w:val="231F20"/>
        </w:rPr>
        <w:t>Wimmera-Mallee headworks storages will need to be well above average, to allow wet-scenario watering actions to be delivered in 2020–21.</w:t>
      </w:r>
    </w:p>
    <w:p w:rsidR="006A7A3F" w:rsidRDefault="00BC7372">
      <w:pPr>
        <w:pStyle w:val="BodyText"/>
        <w:spacing w:before="171" w:line="249" w:lineRule="auto"/>
        <w:ind w:right="263"/>
      </w:pPr>
      <w:r>
        <w:rPr>
          <w:color w:val="231F20"/>
        </w:rPr>
        <w:t>The Wimmera-Mallee wetlands entitlement is not likely to receive any allocation in 2020–21 under drought, dry or average scenarios, so managed environmental deliveries to those sites will rely on carryover from 2019–20. The continuing focus of environmental watering in the Wimmera-Mallee wetlands will be to provide refuge and maintain habitat in the dry landscape, to support local plants and animals.</w:t>
      </w:r>
    </w:p>
    <w:p w:rsidR="00AF39EE" w:rsidRDefault="00AF39EE">
      <w:pPr>
        <w:rPr>
          <w:sz w:val="21"/>
          <w:szCs w:val="20"/>
        </w:rPr>
      </w:pPr>
      <w:r>
        <w:rPr>
          <w:sz w:val="21"/>
          <w:szCs w:val="20"/>
        </w:rPr>
        <w:br w:type="page"/>
      </w:r>
    </w:p>
    <w:p w:rsidR="006A7A3F" w:rsidRDefault="00BC7372">
      <w:pPr>
        <w:pStyle w:val="Heading1"/>
        <w:numPr>
          <w:ilvl w:val="1"/>
          <w:numId w:val="1034"/>
        </w:numPr>
        <w:tabs>
          <w:tab w:val="left" w:pos="911"/>
        </w:tabs>
      </w:pPr>
      <w:r>
        <w:rPr>
          <w:color w:val="231F20"/>
        </w:rPr>
        <w:t>Glenelg system</w:t>
      </w:r>
    </w:p>
    <w:p w:rsidR="006A7A3F" w:rsidRDefault="00BC7372">
      <w:pPr>
        <w:pStyle w:val="Heading4"/>
        <w:spacing w:before="306"/>
      </w:pPr>
      <w:r>
        <w:rPr>
          <w:color w:val="231F20"/>
        </w:rPr>
        <w:t>Did you know...?</w:t>
      </w:r>
    </w:p>
    <w:p w:rsidR="006A7A3F" w:rsidRDefault="00BC7372">
      <w:pPr>
        <w:pStyle w:val="BodyText"/>
        <w:spacing w:before="58" w:line="249" w:lineRule="auto"/>
        <w:ind w:right="674"/>
      </w:pPr>
      <w:r>
        <w:rPr>
          <w:color w:val="231F20"/>
        </w:rPr>
        <w:t>The Glenelg River, known as Bochara in Dhawurd Wurrung, Pawur in Bunganditj and Bogara in Wergaia- Jadawadjali, features in creation stories from south-western Victoria and is a traditional boundary between the Gunditjmara, Boandik and Jadawadjali people.</w:t>
      </w:r>
    </w:p>
    <w:p w:rsidR="006A7A3F" w:rsidRDefault="00BC7372" w:rsidP="00093C34">
      <w:pPr>
        <w:pStyle w:val="BodyText"/>
        <w:spacing w:before="173" w:after="240" w:line="250" w:lineRule="auto"/>
        <w:ind w:right="363"/>
      </w:pPr>
      <w:r>
        <w:rPr>
          <w:color w:val="231F20"/>
        </w:rPr>
        <w:t>The Wimmera-Mallee headworks system captures run-off from both the Wimmera and Glenelg catchments. Entitlements to water held in this system cannot be accounted for separately in the two river basins, therefore this figure shows the proportion of entitlements across both systems.</w:t>
      </w:r>
    </w:p>
    <w:p w:rsidR="006A7A3F" w:rsidRDefault="00BC7372">
      <w:pPr>
        <w:pStyle w:val="BodyText"/>
        <w:spacing w:before="11"/>
        <w:ind w:left="0"/>
        <w:rPr>
          <w:sz w:val="12"/>
        </w:rPr>
      </w:pPr>
      <w:r>
        <w:rPr>
          <w:noProof/>
        </w:rPr>
        <w:drawing>
          <wp:inline distT="0" distB="0" distL="0" distR="0">
            <wp:extent cx="2959630" cy="1420368"/>
            <wp:effectExtent l="0" t="0" r="0" b="2540"/>
            <wp:docPr id="711" name="image37.jpeg" descr="The pie chart shows the proportions of water entitlements in the Glenelg system that were held by private users (22%), water authorities (30%) and environmental water holders (48%)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7.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9630" cy="1420368"/>
                    </a:xfrm>
                    <a:prstGeom prst="rect">
                      <a:avLst/>
                    </a:prstGeom>
                  </pic:spPr>
                </pic:pic>
              </a:graphicData>
            </a:graphic>
          </wp:inline>
        </w:drawing>
      </w:r>
    </w:p>
    <w:p w:rsidR="006A7A3F" w:rsidRDefault="006A7A3F">
      <w:pPr>
        <w:pStyle w:val="BodyText"/>
        <w:spacing w:before="8"/>
        <w:ind w:left="0"/>
        <w:rPr>
          <w:sz w:val="31"/>
        </w:rPr>
      </w:pPr>
    </w:p>
    <w:p w:rsidR="006A7A3F" w:rsidRDefault="00BC7372">
      <w:pPr>
        <w:pStyle w:val="Heading7"/>
        <w:spacing w:line="249" w:lineRule="auto"/>
        <w:ind w:right="244"/>
      </w:pPr>
      <w:r>
        <w:rPr>
          <w:color w:val="231F20"/>
        </w:rPr>
        <w:t>Proportion of water entitlements held across the Wimmera and Glenelg basins held by private users, water corporations or environmental water holders at 30 June 2019.</w:t>
      </w:r>
    </w:p>
    <w:p w:rsidR="006A7A3F" w:rsidRDefault="006A7A3F">
      <w:pPr>
        <w:pStyle w:val="BodyText"/>
        <w:spacing w:before="1"/>
        <w:ind w:left="0"/>
        <w:rPr>
          <w:b/>
        </w:rPr>
      </w:pPr>
    </w:p>
    <w:p w:rsidR="006A7A3F" w:rsidRDefault="00BC7372">
      <w:pPr>
        <w:ind w:left="210"/>
        <w:rPr>
          <w:b/>
          <w:sz w:val="24"/>
        </w:rPr>
      </w:pPr>
      <w:r>
        <w:rPr>
          <w:b/>
          <w:color w:val="231F20"/>
          <w:sz w:val="24"/>
        </w:rPr>
        <w:t>System overview</w:t>
      </w:r>
    </w:p>
    <w:p w:rsidR="006A7A3F" w:rsidRDefault="00BC7372">
      <w:pPr>
        <w:spacing w:before="90" w:line="276" w:lineRule="auto"/>
        <w:ind w:left="210" w:right="230"/>
      </w:pPr>
      <w:r>
        <w:rPr>
          <w:color w:val="231F20"/>
        </w:rPr>
        <w:t>The Glenelg River rises in the Grampians and flows west through Harrow and then south to Casterton and Dartmoor. The Glenelg River estuary flows west from Dartmoor and passes through South Australia for a short distance before returning to Victoria and flowing into the sea at Nelson. At over 500 km, the Glenelg River is one of the longest rivers in Victoria.</w:t>
      </w:r>
    </w:p>
    <w:p w:rsidR="006A7A3F" w:rsidRDefault="006A7A3F">
      <w:pPr>
        <w:pStyle w:val="BodyText"/>
        <w:spacing w:before="7"/>
        <w:ind w:left="0"/>
        <w:rPr>
          <w:sz w:val="21"/>
        </w:rPr>
      </w:pPr>
    </w:p>
    <w:p w:rsidR="006A7A3F" w:rsidRDefault="00BC7372" w:rsidP="00E455BB">
      <w:pPr>
        <w:pStyle w:val="BodyText"/>
        <w:spacing w:before="0" w:line="249" w:lineRule="auto"/>
        <w:ind w:right="457"/>
      </w:pPr>
      <w:r>
        <w:rPr>
          <w:color w:val="231F20"/>
        </w:rPr>
        <w:t>The Glenelg River is an integral part of the Wimmera-Mallee headworks system, which supplies towns and properties across the western region. Moora Moora Reservoir and Rocklands Reservoir, in the upper Glenelg</w:t>
      </w:r>
      <w:r w:rsidR="00E455BB">
        <w:t xml:space="preserve"> </w:t>
      </w:r>
      <w:r>
        <w:rPr>
          <w:color w:val="231F20"/>
        </w:rPr>
        <w:t xml:space="preserve">catchment and three weirs on the upper </w:t>
      </w:r>
      <w:r>
        <w:rPr>
          <w:color w:val="231F20"/>
          <w:spacing w:val="-2"/>
        </w:rPr>
        <w:t xml:space="preserve">Wannon </w:t>
      </w:r>
      <w:r>
        <w:rPr>
          <w:color w:val="231F20"/>
          <w:spacing w:val="-3"/>
        </w:rPr>
        <w:t xml:space="preserve">River, </w:t>
      </w:r>
      <w:r>
        <w:rPr>
          <w:color w:val="231F20"/>
        </w:rPr>
        <w:t xml:space="preserve">are all used to divert water from the Glenelg system to the Wimmera catchment. </w:t>
      </w:r>
      <w:r>
        <w:rPr>
          <w:color w:val="231F20"/>
          <w:spacing w:val="-3"/>
        </w:rPr>
        <w:t xml:space="preserve">Water </w:t>
      </w:r>
      <w:r>
        <w:rPr>
          <w:color w:val="231F20"/>
        </w:rPr>
        <w:t xml:space="preserve">for the environment is actively managed in the Glenelg River below Rocklands Reservoir. Passing flow rules are in place for the Glenelg River and upper Wannon </w:t>
      </w:r>
      <w:r>
        <w:rPr>
          <w:color w:val="231F20"/>
          <w:spacing w:val="-3"/>
        </w:rPr>
        <w:t>River.</w:t>
      </w:r>
    </w:p>
    <w:p w:rsidR="006A7A3F" w:rsidRDefault="00BC7372">
      <w:pPr>
        <w:pStyle w:val="BodyText"/>
        <w:spacing w:before="173" w:line="249" w:lineRule="auto"/>
        <w:ind w:right="230"/>
      </w:pPr>
      <w:r>
        <w:rPr>
          <w:color w:val="231F20"/>
        </w:rPr>
        <w:t>The priority reaches of the Glenelg River that can be targeted by environmental flow releases are Rocklands Reservoir to 5-Mile Outlet (reach 1a), 5-Mile Outlet to the confluence with the Chetwynd River (reach 1b), Chetwynd River to the Wannon River (reach 2) and Wannon River to the tidal extent just below the confluence with Crawford River (reach 3). Water for the environment in the Glenelg system is released from Rocklands Reservoir for reach 1a via the reservoir wall outlet and for reaches 1b, 2 and 3 via the 5-Mile and 12-Mile outlets.</w:t>
      </w:r>
    </w:p>
    <w:p w:rsidR="006A7A3F" w:rsidRDefault="00BC7372">
      <w:pPr>
        <w:pStyle w:val="BodyText"/>
        <w:spacing w:before="174" w:line="249" w:lineRule="auto"/>
        <w:ind w:right="474"/>
      </w:pPr>
      <w:r>
        <w:rPr>
          <w:color w:val="231F20"/>
        </w:rPr>
        <w:t xml:space="preserve">The Glenelg River estuary benefits from releases of water for the environment to upstream reaches, but releases do not currently target the </w:t>
      </w:r>
      <w:r>
        <w:rPr>
          <w:color w:val="231F20"/>
          <w:spacing w:val="-3"/>
        </w:rPr>
        <w:t xml:space="preserve">estuary. </w:t>
      </w:r>
      <w:r>
        <w:rPr>
          <w:color w:val="231F20"/>
        </w:rPr>
        <w:t xml:space="preserve">The Glenelg Hopkins CMA is investigating the influence of managed environmental water on the Glenelg River </w:t>
      </w:r>
      <w:r>
        <w:rPr>
          <w:color w:val="231F20"/>
          <w:spacing w:val="-3"/>
        </w:rPr>
        <w:t xml:space="preserve">estuary, </w:t>
      </w:r>
      <w:r>
        <w:rPr>
          <w:color w:val="231F20"/>
        </w:rPr>
        <w:t>which is listed as a heritage river reach and a site of international significance under the Ramsar</w:t>
      </w:r>
      <w:r>
        <w:rPr>
          <w:color w:val="231F20"/>
          <w:spacing w:val="-5"/>
        </w:rPr>
        <w:t xml:space="preserve"> </w:t>
      </w:r>
      <w:r>
        <w:rPr>
          <w:color w:val="231F20"/>
        </w:rPr>
        <w:t>Convention.</w:t>
      </w:r>
    </w:p>
    <w:p w:rsidR="006A7A3F" w:rsidRDefault="00BC7372">
      <w:pPr>
        <w:pStyle w:val="BodyText"/>
        <w:spacing w:before="173" w:line="249" w:lineRule="auto"/>
        <w:ind w:right="100"/>
      </w:pPr>
      <w:r>
        <w:rPr>
          <w:color w:val="231F20"/>
        </w:rPr>
        <w:t>Trial releases were delivered from Moora Moora Reservoir above Rocklands Reservoir (reach 0) in 2017–18, 2018–19 and 2019–20. The results of that trial will be analysed to inform future decisions about potential environmental water use in reach 0.</w:t>
      </w:r>
    </w:p>
    <w:p w:rsidR="006A7A3F" w:rsidRDefault="006A7A3F">
      <w:pPr>
        <w:pStyle w:val="BodyText"/>
        <w:spacing w:before="2"/>
        <w:ind w:left="0"/>
      </w:pPr>
    </w:p>
    <w:p w:rsidR="00E455BB" w:rsidRDefault="00E455BB">
      <w:pPr>
        <w:rPr>
          <w:b/>
          <w:bCs/>
          <w:color w:val="231F20"/>
          <w:sz w:val="24"/>
          <w:szCs w:val="24"/>
        </w:rPr>
      </w:pPr>
      <w:r>
        <w:rPr>
          <w:color w:val="231F20"/>
        </w:rPr>
        <w:br w:type="page"/>
      </w:r>
    </w:p>
    <w:p w:rsidR="006A7A3F" w:rsidRDefault="00BC7372">
      <w:pPr>
        <w:pStyle w:val="Heading4"/>
      </w:pPr>
      <w:r>
        <w:rPr>
          <w:color w:val="231F20"/>
        </w:rPr>
        <w:t>Environmental values</w:t>
      </w:r>
    </w:p>
    <w:p w:rsidR="006A7A3F" w:rsidRDefault="00BC7372">
      <w:pPr>
        <w:pStyle w:val="BodyText"/>
        <w:spacing w:before="58" w:line="249" w:lineRule="auto"/>
        <w:ind w:right="457"/>
      </w:pPr>
      <w:r>
        <w:rPr>
          <w:color w:val="231F20"/>
        </w:rPr>
        <w:t>The Glenelg River starts in the Grampians (Gariwerd) National Park and flows to the sea through the Lower Glenelg National Park. The lower reaches of the Glenelg River are part of a landscape recognised as one of Australia’s 15 national biodiversity hotspots, and the Glenelg Estuary and Discovery Bay site is Australia’s most recent listing under the Ramsar Convention.</w:t>
      </w:r>
    </w:p>
    <w:p w:rsidR="006A7A3F" w:rsidRDefault="00BC7372">
      <w:pPr>
        <w:pStyle w:val="BodyText"/>
        <w:spacing w:before="174" w:line="249" w:lineRule="auto"/>
        <w:ind w:right="297"/>
      </w:pPr>
      <w:r>
        <w:rPr>
          <w:color w:val="231F20"/>
        </w:rPr>
        <w:t>The Glenelg River supports a range of rare and unique aquatic life including the endangered Glenelg freshwater mussel and Glenelg spiny crayfish. It is also home to platypus and populations of native fish including river blackfish, estuary perch, kooyang (short-finned eel), tupong and three species of pygmy perch including the threatened variegated and Yarra pygmy perches. Some of these fish species migrate long distances to and from the Glenelg River estuary to complete their life cycles.</w:t>
      </w:r>
    </w:p>
    <w:p w:rsidR="006A7A3F" w:rsidRDefault="00BC7372">
      <w:pPr>
        <w:pStyle w:val="BodyText"/>
        <w:spacing w:before="174" w:line="249" w:lineRule="auto"/>
        <w:ind w:right="286"/>
      </w:pPr>
      <w:r>
        <w:rPr>
          <w:color w:val="231F20"/>
        </w:rPr>
        <w:t>Frasers Swamp is another important feature of the upper Glenelg system, and is home to a healthy growling grass frog population.</w:t>
      </w:r>
    </w:p>
    <w:p w:rsidR="006A7A3F" w:rsidRDefault="00BC7372">
      <w:pPr>
        <w:pStyle w:val="BodyText"/>
        <w:spacing w:line="249" w:lineRule="auto"/>
        <w:ind w:right="296"/>
      </w:pPr>
      <w:r>
        <w:rPr>
          <w:color w:val="231F20"/>
        </w:rPr>
        <w:t>The Glenelg River supports a variety of streamside vegetation communities and species including the endangered Wimmera bottlebrush. Streamside and floodplain vegetation is comprised of river red gum woodlands with paperbark, bottlebrush and tea tree understorey.</w:t>
      </w:r>
    </w:p>
    <w:p w:rsidR="006A7A3F" w:rsidRDefault="006A7A3F">
      <w:pPr>
        <w:pStyle w:val="BodyText"/>
        <w:spacing w:before="1"/>
        <w:ind w:left="0"/>
      </w:pPr>
    </w:p>
    <w:p w:rsidR="006A7A3F" w:rsidRDefault="00BC7372">
      <w:pPr>
        <w:pStyle w:val="Heading4"/>
      </w:pPr>
      <w:r>
        <w:rPr>
          <w:color w:val="231F20"/>
        </w:rPr>
        <w:t>Environmental watering objectives in the Glenelg River</w:t>
      </w:r>
    </w:p>
    <w:p w:rsidR="006A7A3F" w:rsidRDefault="006A7A3F">
      <w:pPr>
        <w:pStyle w:val="BodyText"/>
        <w:spacing w:before="5"/>
        <w:ind w:left="0"/>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9"/>
              <w:ind w:left="0"/>
              <w:rPr>
                <w:b/>
                <w:sz w:val="14"/>
              </w:rPr>
            </w:pPr>
          </w:p>
          <w:p w:rsidR="006A7A3F" w:rsidRDefault="00BC7372">
            <w:pPr>
              <w:pStyle w:val="TableParagraph"/>
              <w:ind w:left="178"/>
              <w:rPr>
                <w:sz w:val="20"/>
              </w:rPr>
            </w:pPr>
            <w:r>
              <w:rPr>
                <w:noProof/>
                <w:sz w:val="20"/>
              </w:rPr>
              <w:drawing>
                <wp:inline distT="0" distB="0" distL="0" distR="0">
                  <wp:extent cx="314168" cy="310896"/>
                  <wp:effectExtent l="0" t="0" r="0" b="0"/>
                  <wp:docPr id="713"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spacing w:before="1"/>
              <w:ind w:left="0"/>
              <w:rPr>
                <w:b/>
                <w:sz w:val="27"/>
              </w:rPr>
            </w:pPr>
          </w:p>
          <w:p w:rsidR="006A7A3F" w:rsidRDefault="00BC7372">
            <w:pPr>
              <w:pStyle w:val="TableParagraph"/>
              <w:ind w:left="118"/>
              <w:rPr>
                <w:sz w:val="18"/>
              </w:rPr>
            </w:pPr>
            <w:r>
              <w:rPr>
                <w:color w:val="231F20"/>
                <w:sz w:val="18"/>
              </w:rPr>
              <w:t>Protect and increase populations of native fish</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715"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7"/>
              <w:ind w:left="0"/>
              <w:rPr>
                <w:b/>
                <w:sz w:val="16"/>
              </w:rPr>
            </w:pPr>
          </w:p>
          <w:p w:rsidR="006A7A3F" w:rsidRDefault="00BC7372">
            <w:pPr>
              <w:pStyle w:val="TableParagraph"/>
              <w:spacing w:line="254" w:lineRule="auto"/>
              <w:ind w:left="118" w:right="178"/>
              <w:rPr>
                <w:sz w:val="18"/>
              </w:rPr>
            </w:pPr>
            <w:r>
              <w:rPr>
                <w:color w:val="231F20"/>
                <w:sz w:val="18"/>
              </w:rPr>
              <w:t>Maintain deep pool habitats and connectivity along the river</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5"/>
                  <wp:effectExtent l="0" t="0" r="0" b="0"/>
                  <wp:docPr id="717"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1.jpeg"/>
                          <pic:cNvPicPr/>
                        </pic:nvPicPr>
                        <pic:blipFill>
                          <a:blip r:embed="rId43"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2"/>
              <w:ind w:left="0"/>
              <w:rPr>
                <w:b/>
                <w:sz w:val="26"/>
              </w:rPr>
            </w:pPr>
          </w:p>
          <w:p w:rsidR="006A7A3F" w:rsidRDefault="00BC7372">
            <w:pPr>
              <w:pStyle w:val="TableParagraph"/>
              <w:ind w:left="118"/>
              <w:rPr>
                <w:sz w:val="18"/>
              </w:rPr>
            </w:pPr>
            <w:r>
              <w:rPr>
                <w:color w:val="231F20"/>
                <w:sz w:val="18"/>
              </w:rPr>
              <w:t>Maintain the platypus population</w:t>
            </w:r>
          </w:p>
        </w:tc>
      </w:tr>
      <w:tr w:rsidR="006A7A3F">
        <w:trPr>
          <w:trHeight w:val="1111"/>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7"/>
              </w:rPr>
            </w:pPr>
          </w:p>
          <w:p w:rsidR="006A7A3F" w:rsidRDefault="00BC7372">
            <w:pPr>
              <w:pStyle w:val="TableParagraph"/>
              <w:ind w:left="178"/>
              <w:rPr>
                <w:sz w:val="20"/>
              </w:rPr>
            </w:pPr>
            <w:r>
              <w:rPr>
                <w:noProof/>
                <w:sz w:val="20"/>
              </w:rPr>
              <w:drawing>
                <wp:inline distT="0" distB="0" distL="0" distR="0">
                  <wp:extent cx="314168" cy="310895"/>
                  <wp:effectExtent l="0" t="0" r="0" b="0"/>
                  <wp:docPr id="71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2" w:line="254" w:lineRule="auto"/>
              <w:ind w:left="118" w:right="549"/>
              <w:rPr>
                <w:sz w:val="18"/>
              </w:rPr>
            </w:pPr>
            <w:r>
              <w:rPr>
                <w:color w:val="231F20"/>
                <w:sz w:val="18"/>
              </w:rPr>
              <w:t>Maintain the health and increase the abundance of in-stream and streamside vegetation (such as river red gums and Wimmera River bottlebrush)</w:t>
            </w:r>
          </w:p>
        </w:tc>
      </w:tr>
      <w:tr w:rsidR="006A7A3F">
        <w:trPr>
          <w:trHeight w:val="1111"/>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7"/>
              </w:rPr>
            </w:pPr>
          </w:p>
          <w:p w:rsidR="006A7A3F" w:rsidRDefault="00BC7372">
            <w:pPr>
              <w:pStyle w:val="TableParagraph"/>
              <w:ind w:left="178"/>
              <w:rPr>
                <w:sz w:val="20"/>
              </w:rPr>
            </w:pPr>
            <w:r>
              <w:rPr>
                <w:noProof/>
                <w:sz w:val="20"/>
              </w:rPr>
              <w:drawing>
                <wp:inline distT="0" distB="0" distL="0" distR="0">
                  <wp:extent cx="314168" cy="310896"/>
                  <wp:effectExtent l="0" t="0" r="0" b="0"/>
                  <wp:docPr id="721"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2" w:line="254" w:lineRule="auto"/>
              <w:ind w:left="118" w:right="298"/>
              <w:rPr>
                <w:sz w:val="18"/>
              </w:rPr>
            </w:pPr>
            <w:r>
              <w:rPr>
                <w:color w:val="231F20"/>
                <w:sz w:val="18"/>
              </w:rPr>
              <w:t>Maintain a wide range and large number of waterbugs to provide energy, break down organic matter and support the river’s food chain</w:t>
            </w:r>
          </w:p>
        </w:tc>
      </w:tr>
      <w:tr w:rsidR="006A7A3F">
        <w:trPr>
          <w:trHeight w:val="901"/>
        </w:trPr>
        <w:tc>
          <w:tcPr>
            <w:tcW w:w="789" w:type="dxa"/>
            <w:tcBorders>
              <w:top w:val="single" w:sz="8" w:space="0" w:color="FFFFFF"/>
            </w:tcBorders>
            <w:shd w:val="clear" w:color="auto" w:fill="E6E7E8"/>
          </w:tcPr>
          <w:p w:rsidR="006A7A3F" w:rsidRDefault="006A7A3F">
            <w:pPr>
              <w:pStyle w:val="TableParagraph"/>
              <w:spacing w:before="5"/>
              <w:ind w:left="0"/>
              <w:rPr>
                <w:b/>
                <w:sz w:val="17"/>
              </w:rPr>
            </w:pPr>
          </w:p>
          <w:p w:rsidR="006A7A3F" w:rsidRDefault="00BC7372">
            <w:pPr>
              <w:pStyle w:val="TableParagraph"/>
              <w:ind w:left="178"/>
              <w:rPr>
                <w:sz w:val="20"/>
              </w:rPr>
            </w:pPr>
            <w:r>
              <w:rPr>
                <w:noProof/>
                <w:sz w:val="20"/>
              </w:rPr>
              <w:drawing>
                <wp:inline distT="0" distB="0" distL="0" distR="0">
                  <wp:extent cx="314164" cy="310896"/>
                  <wp:effectExtent l="0" t="0" r="0" b="0"/>
                  <wp:docPr id="72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23.png"/>
                          <pic:cNvPicPr/>
                        </pic:nvPicPr>
                        <pic:blipFill>
                          <a:blip r:embed="rId35" cstate="print"/>
                          <a:stretch>
                            <a:fillRect/>
                          </a:stretch>
                        </pic:blipFill>
                        <pic:spPr>
                          <a:xfrm>
                            <a:off x="0" y="0"/>
                            <a:ext cx="314164"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22" w:line="254" w:lineRule="auto"/>
              <w:ind w:left="118" w:right="538"/>
              <w:rPr>
                <w:sz w:val="18"/>
              </w:rPr>
            </w:pPr>
            <w:r>
              <w:rPr>
                <w:color w:val="231F20"/>
                <w:sz w:val="18"/>
              </w:rPr>
              <w:t>Maintain water quality for native fish, waterbugs, aquatic vegetation and other water-dependent animals</w:t>
            </w:r>
          </w:p>
        </w:tc>
      </w:tr>
    </w:tbl>
    <w:p w:rsidR="006A7A3F" w:rsidRDefault="006A7A3F">
      <w:pPr>
        <w:spacing w:line="254" w:lineRule="auto"/>
        <w:rPr>
          <w:sz w:val="18"/>
        </w:rPr>
        <w:sectPr w:rsidR="006A7A3F" w:rsidSect="00C92D74">
          <w:pgSz w:w="11910" w:h="16840"/>
          <w:pgMar w:top="1701" w:right="851" w:bottom="1134" w:left="851" w:header="720" w:footer="720" w:gutter="0"/>
          <w:cols w:space="720"/>
        </w:sectPr>
      </w:pPr>
    </w:p>
    <w:p w:rsidR="006A7A3F" w:rsidRDefault="00BC7372">
      <w:pPr>
        <w:spacing w:before="62"/>
        <w:ind w:left="210"/>
        <w:rPr>
          <w:b/>
          <w:sz w:val="24"/>
        </w:rPr>
      </w:pPr>
      <w:r>
        <w:rPr>
          <w:b/>
          <w:color w:val="231F20"/>
          <w:sz w:val="24"/>
        </w:rPr>
        <w:t>Traditional Owner cultural values and uses</w:t>
      </w:r>
    </w:p>
    <w:p w:rsidR="006A7A3F" w:rsidRDefault="00BC7372">
      <w:pPr>
        <w:pStyle w:val="BodyText"/>
        <w:spacing w:before="58" w:line="249" w:lineRule="auto"/>
        <w:ind w:right="141"/>
      </w:pPr>
      <w:r>
        <w:rPr>
          <w:color w:val="231F20"/>
        </w:rPr>
        <w:t>The Glenelg River, known as Bochara in Dhawuard Wurrung, Pawur in Bunganditj and Bogara in Wergaia- Jadawadjali languages, is a significant feature in the cultural landscape of south-western Victoria. The river features in creation stories from the region. Bochara-Bugara-Pawur continues to be an important place for Traditional Owners, who have inhabited the area for thousands of years, using the rich resources available along the river and associated habitats.</w:t>
      </w:r>
    </w:p>
    <w:p w:rsidR="006A7A3F" w:rsidRDefault="00BC7372">
      <w:pPr>
        <w:pStyle w:val="BodyText"/>
        <w:spacing w:before="174" w:line="249" w:lineRule="auto"/>
        <w:ind w:right="100"/>
      </w:pPr>
      <w:r>
        <w:rPr>
          <w:color w:val="231F20"/>
        </w:rPr>
        <w:t>In planning for environmental flows in the Glenelg River, Gunditj Mirring Traditional Owners Aboriginal Corporation, Barengi Gadjin Land Council, Burrandies Aboriginal Corporation and Glenelg Hopkins CMA have considered:</w:t>
      </w:r>
    </w:p>
    <w:p w:rsidR="006A7A3F" w:rsidRDefault="00BC7372" w:rsidP="009B6917">
      <w:pPr>
        <w:pStyle w:val="ListParagraph"/>
        <w:numPr>
          <w:ilvl w:val="0"/>
          <w:numId w:val="1419"/>
        </w:numPr>
        <w:tabs>
          <w:tab w:val="left" w:pos="493"/>
          <w:tab w:val="left" w:pos="494"/>
        </w:tabs>
        <w:spacing w:before="115" w:line="249" w:lineRule="auto"/>
        <w:ind w:right="705"/>
        <w:rPr>
          <w:sz w:val="20"/>
        </w:rPr>
      </w:pPr>
      <w:r>
        <w:rPr>
          <w:color w:val="231F20"/>
          <w:sz w:val="20"/>
        </w:rPr>
        <w:t>supporting the health of cultural heritage sites, such as scar trees and the health of native plants which are sources of traditional foods and</w:t>
      </w:r>
      <w:r>
        <w:rPr>
          <w:color w:val="231F20"/>
          <w:spacing w:val="-3"/>
          <w:sz w:val="20"/>
        </w:rPr>
        <w:t xml:space="preserve"> </w:t>
      </w:r>
      <w:r>
        <w:rPr>
          <w:color w:val="231F20"/>
          <w:sz w:val="20"/>
        </w:rPr>
        <w:t>medicines</w:t>
      </w:r>
    </w:p>
    <w:p w:rsidR="006A7A3F" w:rsidRDefault="00BC7372" w:rsidP="009B6917">
      <w:pPr>
        <w:pStyle w:val="ListParagraph"/>
        <w:numPr>
          <w:ilvl w:val="0"/>
          <w:numId w:val="1419"/>
        </w:numPr>
        <w:tabs>
          <w:tab w:val="left" w:pos="493"/>
          <w:tab w:val="left" w:pos="494"/>
        </w:tabs>
        <w:spacing w:before="87" w:line="249" w:lineRule="auto"/>
        <w:ind w:right="439"/>
        <w:rPr>
          <w:sz w:val="20"/>
        </w:rPr>
      </w:pPr>
      <w:r>
        <w:rPr>
          <w:color w:val="231F20"/>
          <w:sz w:val="20"/>
        </w:rPr>
        <w:t>improved health and abundance of totem species and their habitat resulting from environmental watering also has benefits for Traditional Owner spiritual</w:t>
      </w:r>
      <w:r>
        <w:rPr>
          <w:color w:val="231F20"/>
          <w:spacing w:val="-8"/>
          <w:sz w:val="20"/>
        </w:rPr>
        <w:t xml:space="preserve"> </w:t>
      </w:r>
      <w:r>
        <w:rPr>
          <w:color w:val="231F20"/>
          <w:sz w:val="20"/>
        </w:rPr>
        <w:t>wellbeing</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supporting contemporary cultural events (such as the Johnny Mullagh</w:t>
      </w:r>
      <w:r>
        <w:rPr>
          <w:color w:val="231F20"/>
          <w:spacing w:val="-4"/>
          <w:sz w:val="20"/>
        </w:rPr>
        <w:t xml:space="preserve"> </w:t>
      </w:r>
      <w:r>
        <w:rPr>
          <w:color w:val="231F20"/>
          <w:sz w:val="20"/>
        </w:rPr>
        <w:t>Cup).</w:t>
      </w:r>
    </w:p>
    <w:p w:rsidR="006A7A3F" w:rsidRDefault="00BC7372">
      <w:pPr>
        <w:pStyle w:val="BodyText"/>
        <w:spacing w:before="180" w:line="249" w:lineRule="auto"/>
        <w:ind w:right="407"/>
      </w:pPr>
      <w:r>
        <w:rPr>
          <w:color w:val="231F20"/>
        </w:rPr>
        <w:t>Aboriginal peoples across the Glenelg catchment have retained a strong identity and connection to the traditional lands for which they have custodial rights and responsibilities. Traditional Owner values in the Bochara-Bugara- Pawur system align strongly with environmental values. Traditional Owner values are holistic and interrelated.</w:t>
      </w:r>
    </w:p>
    <w:p w:rsidR="006A7A3F" w:rsidRDefault="00BC7372">
      <w:pPr>
        <w:pStyle w:val="BodyText"/>
        <w:spacing w:line="249" w:lineRule="auto"/>
        <w:ind w:right="897"/>
      </w:pPr>
      <w:r>
        <w:rPr>
          <w:color w:val="231F20"/>
        </w:rPr>
        <w:t>These values are bound up in the health of the river system overall, and the Country that the river is part of. Traditional Owner wellbeing is connected to the health of the river and the Country.</w:t>
      </w:r>
    </w:p>
    <w:p w:rsidR="006A7A3F" w:rsidRDefault="00BC7372">
      <w:pPr>
        <w:pStyle w:val="BodyText"/>
        <w:spacing w:line="249" w:lineRule="auto"/>
        <w:ind w:right="222"/>
      </w:pPr>
      <w:r>
        <w:rPr>
          <w:color w:val="231F20"/>
        </w:rPr>
        <w:t>The Season Flows Calendar (Figure 4.2.2) illuminates flow regimes along one reach of the Glenelg River (reach 1b 5-Mile Outlet to Chetwynd River) and aligns them with corresponding environmental events and observations.</w:t>
      </w:r>
    </w:p>
    <w:p w:rsidR="006A7A3F" w:rsidRDefault="00BC7372">
      <w:pPr>
        <w:pStyle w:val="BodyText"/>
        <w:spacing w:line="249" w:lineRule="auto"/>
        <w:ind w:right="162"/>
      </w:pPr>
      <w:r>
        <w:rPr>
          <w:color w:val="231F20"/>
        </w:rPr>
        <w:t>The value of the calendar is in its clear visual depiction of Traditional Owner knowledge, developed over many generations, of how varying flows correspond to seasonal conditions and broader environmental patterns. It is planned to embed the six seasons in the flow recommendations and scenario planning in the Glenelg Hopkins CMA watering proposal in future years.</w:t>
      </w:r>
    </w:p>
    <w:p w:rsidR="006A7A3F" w:rsidRDefault="00BC7372">
      <w:pPr>
        <w:pStyle w:val="BodyText"/>
        <w:spacing w:before="173" w:line="249" w:lineRule="auto"/>
        <w:ind w:right="100"/>
      </w:pPr>
      <w:r>
        <w:rPr>
          <w:color w:val="231F20"/>
        </w:rPr>
        <w:t>The seasonal calendar arises from the six seasons of Gunditjmara country and was produced by Gunditj Mirring Traditional Owners Aboriginal Corporation. The northern part of the river upstream of Harrow area is in Jadawadjali Country and the south west part of the system is in Boandik Country. The calendar reflects seasonal flow conditions recognised by all the Traditional Owner groups.</w:t>
      </w:r>
    </w:p>
    <w:p w:rsidR="006A7A3F" w:rsidRDefault="00BC7372">
      <w:pPr>
        <w:pStyle w:val="BodyText"/>
        <w:spacing w:before="174" w:line="249" w:lineRule="auto"/>
        <w:ind w:right="251"/>
      </w:pPr>
      <w:r>
        <w:rPr>
          <w:color w:val="231F20"/>
        </w:rPr>
        <w:t>Waterway managers are seeking opportunities to increase the involvement of Traditional Owners in environmental water planning and management. Where Traditional Owners are more deeply involved in the planning and/or delivery of environmental flows for a particular site, their contribution is acknowledged in Table 4.2.1 with an icon.</w:t>
      </w:r>
    </w:p>
    <w:p w:rsidR="006A7A3F" w:rsidRDefault="006A7A3F">
      <w:pPr>
        <w:pStyle w:val="BodyText"/>
        <w:spacing w:before="4"/>
        <w:ind w:left="0"/>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803"/>
        <w:gridCol w:w="3846"/>
      </w:tblGrid>
      <w:tr w:rsidR="006A7A3F">
        <w:trPr>
          <w:trHeight w:val="797"/>
        </w:trPr>
        <w:tc>
          <w:tcPr>
            <w:tcW w:w="803" w:type="dxa"/>
            <w:shd w:val="clear" w:color="auto" w:fill="E6E7E8"/>
          </w:tcPr>
          <w:p w:rsidR="006A7A3F" w:rsidRDefault="006A7A3F">
            <w:pPr>
              <w:pStyle w:val="TableParagraph"/>
              <w:spacing w:before="4"/>
              <w:ind w:left="0"/>
              <w:rPr>
                <w:sz w:val="13"/>
              </w:rPr>
            </w:pPr>
          </w:p>
          <w:p w:rsidR="006A7A3F" w:rsidRDefault="00BC7372">
            <w:pPr>
              <w:pStyle w:val="TableParagraph"/>
              <w:ind w:left="180"/>
              <w:rPr>
                <w:sz w:val="20"/>
              </w:rPr>
            </w:pPr>
            <w:r>
              <w:rPr>
                <w:noProof/>
                <w:sz w:val="20"/>
              </w:rPr>
              <w:drawing>
                <wp:inline distT="0" distB="0" distL="0" distR="0">
                  <wp:extent cx="313944" cy="313943"/>
                  <wp:effectExtent l="0" t="0" r="0" b="0"/>
                  <wp:docPr id="725"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8.jpeg"/>
                          <pic:cNvPicPr/>
                        </pic:nvPicPr>
                        <pic:blipFill>
                          <a:blip r:embed="rId18" cstate="print"/>
                          <a:stretch>
                            <a:fillRect/>
                          </a:stretch>
                        </pic:blipFill>
                        <pic:spPr>
                          <a:xfrm>
                            <a:off x="0" y="0"/>
                            <a:ext cx="313944" cy="313943"/>
                          </a:xfrm>
                          <a:prstGeom prst="rect">
                            <a:avLst/>
                          </a:prstGeom>
                        </pic:spPr>
                      </pic:pic>
                    </a:graphicData>
                  </a:graphic>
                </wp:inline>
              </w:drawing>
            </w:r>
          </w:p>
        </w:tc>
        <w:tc>
          <w:tcPr>
            <w:tcW w:w="3846" w:type="dxa"/>
            <w:shd w:val="clear" w:color="auto" w:fill="E6E7E8"/>
          </w:tcPr>
          <w:p w:rsidR="006A7A3F" w:rsidRDefault="00BC7372">
            <w:pPr>
              <w:pStyle w:val="TableParagraph"/>
              <w:spacing w:before="75" w:line="254" w:lineRule="auto"/>
              <w:ind w:left="132" w:right="110"/>
              <w:rPr>
                <w:sz w:val="18"/>
              </w:rPr>
            </w:pPr>
            <w:r>
              <w:rPr>
                <w:color w:val="231F20"/>
                <w:sz w:val="18"/>
              </w:rPr>
              <w:t>Watering planned and/or delivered in partnership with Traditional Owners to support Aboriginal cultural values and uses</w:t>
            </w:r>
          </w:p>
        </w:tc>
      </w:tr>
    </w:tbl>
    <w:p w:rsidR="006A7A3F" w:rsidRDefault="00BC7372">
      <w:pPr>
        <w:pStyle w:val="BodyText"/>
        <w:spacing w:before="142" w:line="249" w:lineRule="auto"/>
        <w:ind w:right="100"/>
      </w:pPr>
      <w:r>
        <w:rPr>
          <w:color w:val="231F20"/>
        </w:rPr>
        <w:t>The timing of the summer fresh is planned to support the annual Jonny Mullagh Cup cricket match between the Gunditj Mirring and Barengi Gadjin Traditional Owners. The fresh will improve water quality in swimming holes and improve amenity for the Traditional Owners attending the cricket event, which is an important cultural event held on the river.</w:t>
      </w:r>
    </w:p>
    <w:p w:rsidR="006A7A3F" w:rsidRDefault="006A7A3F">
      <w:pPr>
        <w:pStyle w:val="BodyText"/>
        <w:spacing w:before="3"/>
        <w:ind w:left="0"/>
      </w:pPr>
    </w:p>
    <w:p w:rsidR="00E455BB" w:rsidRDefault="00E455BB">
      <w:pPr>
        <w:rPr>
          <w:b/>
          <w:bCs/>
          <w:color w:val="231F20"/>
          <w:sz w:val="24"/>
          <w:szCs w:val="24"/>
        </w:rPr>
      </w:pPr>
      <w:r>
        <w:rPr>
          <w:color w:val="231F20"/>
        </w:rPr>
        <w:br w:type="page"/>
      </w:r>
    </w:p>
    <w:p w:rsidR="006A7A3F" w:rsidRDefault="00BC7372">
      <w:pPr>
        <w:pStyle w:val="Heading4"/>
      </w:pPr>
      <w:r>
        <w:rPr>
          <w:color w:val="231F20"/>
        </w:rPr>
        <w:t>Social, recreational and economic values and uses</w:t>
      </w:r>
    </w:p>
    <w:p w:rsidR="006A7A3F" w:rsidRDefault="00BC7372">
      <w:pPr>
        <w:pStyle w:val="BodyText"/>
        <w:spacing w:before="58" w:line="249" w:lineRule="auto"/>
        <w:ind w:right="457"/>
      </w:pPr>
      <w:r>
        <w:rPr>
          <w:color w:val="231F20"/>
        </w:rPr>
        <w:t>In planning the potential watering actions in Table 4.2.1, Glenelg Hopkins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and</w:t>
      </w:r>
      <w:r>
        <w:rPr>
          <w:color w:val="231F20"/>
          <w:spacing w:val="-4"/>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w:t>
      </w:r>
      <w:r>
        <w:rPr>
          <w:color w:val="231F20"/>
          <w:spacing w:val="-4"/>
          <w:sz w:val="20"/>
        </w:rPr>
        <w:t xml:space="preserve"> </w:t>
      </w:r>
      <w:r>
        <w:rPr>
          <w:color w:val="231F20"/>
          <w:sz w:val="20"/>
        </w:rPr>
        <w:t>camping)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 the Johnny Mullagh Cup and</w:t>
      </w:r>
      <w:r>
        <w:rPr>
          <w:color w:val="231F20"/>
          <w:spacing w:val="-7"/>
          <w:sz w:val="20"/>
        </w:rPr>
        <w:t xml:space="preserve"> </w:t>
      </w:r>
      <w:r>
        <w:rPr>
          <w:color w:val="231F20"/>
          <w:sz w:val="20"/>
        </w:rPr>
        <w:t>visitation)</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diverters for irrigation, domestic and stock</w:t>
      </w:r>
      <w:r>
        <w:rPr>
          <w:color w:val="231F20"/>
          <w:spacing w:val="-13"/>
          <w:sz w:val="20"/>
        </w:rPr>
        <w:t xml:space="preserve"> </w:t>
      </w:r>
      <w:r>
        <w:rPr>
          <w:color w:val="231F20"/>
          <w:sz w:val="20"/>
        </w:rPr>
        <w:t>uses).</w:t>
      </w:r>
    </w:p>
    <w:p w:rsidR="00E455BB" w:rsidRPr="00E455BB" w:rsidRDefault="00BC7372" w:rsidP="00E455BB">
      <w:pPr>
        <w:pStyle w:val="BodyText"/>
        <w:spacing w:before="180" w:after="120" w:line="250" w:lineRule="auto"/>
        <w:ind w:right="176"/>
        <w:rPr>
          <w:color w:val="231F20"/>
        </w:rPr>
      </w:pPr>
      <w:r>
        <w:rPr>
          <w:color w:val="231F20"/>
        </w:rPr>
        <w:t>If the timing or management of planned environmental flows may be modified to align with a community benefit, this is acknowledged in Table 4.2.1 with an icon.</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E455BB" w:rsidTr="00E455BB">
        <w:trPr>
          <w:trHeight w:val="809"/>
        </w:trPr>
        <w:tc>
          <w:tcPr>
            <w:tcW w:w="789" w:type="dxa"/>
            <w:tcBorders>
              <w:top w:val="single" w:sz="8" w:space="0" w:color="FFFFFF"/>
              <w:bottom w:val="single" w:sz="8" w:space="0" w:color="FFFFFF"/>
            </w:tcBorders>
            <w:shd w:val="clear" w:color="auto" w:fill="E6E7E8"/>
            <w:vAlign w:val="center"/>
          </w:tcPr>
          <w:p w:rsidR="00E455BB" w:rsidRDefault="00E455BB" w:rsidP="00E455BB">
            <w:pPr>
              <w:pStyle w:val="TableParagraph"/>
              <w:spacing w:before="3"/>
              <w:ind w:left="0"/>
              <w:jc w:val="center"/>
              <w:rPr>
                <w:sz w:val="13"/>
              </w:rPr>
            </w:pPr>
            <w:r>
              <w:rPr>
                <w:noProof/>
                <w:spacing w:val="78"/>
                <w:sz w:val="20"/>
              </w:rPr>
              <w:drawing>
                <wp:inline distT="0" distB="0" distL="0" distR="0" wp14:anchorId="1A33A649" wp14:editId="4A7EEF73">
                  <wp:extent cx="314168" cy="310896"/>
                  <wp:effectExtent l="0" t="0" r="0" b="0"/>
                  <wp:docPr id="177"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8.jpeg"/>
                          <pic:cNvPicPr/>
                        </pic:nvPicPr>
                        <pic:blipFill>
                          <a:blip r:embed="rId50"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vAlign w:val="center"/>
          </w:tcPr>
          <w:p w:rsidR="00E455BB" w:rsidRPr="00E455BB" w:rsidRDefault="00E455BB" w:rsidP="00E455BB">
            <w:pPr>
              <w:ind w:left="127"/>
              <w:rPr>
                <w:sz w:val="18"/>
              </w:rPr>
            </w:pPr>
            <w:r>
              <w:rPr>
                <w:color w:val="231F20"/>
                <w:sz w:val="18"/>
              </w:rPr>
              <w:t>Watering planned to support angling activities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3"/>
              <w:ind w:left="0"/>
              <w:rPr>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72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24.jpeg"/>
                          <pic:cNvPicPr/>
                        </pic:nvPicPr>
                        <pic:blipFill>
                          <a:blip r:embed="rId36"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ind w:left="0"/>
              <w:rPr>
                <w:sz w:val="16"/>
              </w:rPr>
            </w:pPr>
          </w:p>
          <w:p w:rsidR="006A7A3F" w:rsidRDefault="00BC7372">
            <w:pPr>
              <w:pStyle w:val="TableParagraph"/>
              <w:spacing w:line="254" w:lineRule="auto"/>
              <w:ind w:left="118"/>
              <w:rPr>
                <w:sz w:val="18"/>
              </w:rPr>
            </w:pPr>
            <w:r>
              <w:rPr>
                <w:color w:val="231F20"/>
                <w:sz w:val="18"/>
              </w:rPr>
              <w:t>Watering planned to support water sports activities (e.g. canoeing)</w:t>
            </w:r>
          </w:p>
        </w:tc>
      </w:tr>
      <w:tr w:rsidR="006A7A3F">
        <w:trPr>
          <w:trHeight w:val="1121"/>
        </w:trPr>
        <w:tc>
          <w:tcPr>
            <w:tcW w:w="789" w:type="dxa"/>
            <w:tcBorders>
              <w:top w:val="single" w:sz="8" w:space="0" w:color="FFFFFF"/>
            </w:tcBorders>
            <w:shd w:val="clear" w:color="auto" w:fill="E6E7E8"/>
          </w:tcPr>
          <w:p w:rsidR="006A7A3F" w:rsidRDefault="006A7A3F">
            <w:pPr>
              <w:pStyle w:val="TableParagraph"/>
              <w:spacing w:before="4"/>
              <w:ind w:left="0"/>
              <w:rPr>
                <w:sz w:val="26"/>
              </w:rPr>
            </w:pPr>
          </w:p>
          <w:p w:rsidR="006A7A3F" w:rsidRDefault="00BC7372">
            <w:pPr>
              <w:pStyle w:val="TableParagraph"/>
              <w:ind w:left="178"/>
              <w:rPr>
                <w:sz w:val="20"/>
              </w:rPr>
            </w:pPr>
            <w:r>
              <w:rPr>
                <w:noProof/>
                <w:sz w:val="20"/>
              </w:rPr>
              <w:drawing>
                <wp:inline distT="0" distB="0" distL="0" distR="0">
                  <wp:extent cx="316053" cy="313944"/>
                  <wp:effectExtent l="0" t="0" r="0" b="0"/>
                  <wp:docPr id="729"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0.jpeg"/>
                          <pic:cNvPicPr/>
                        </pic:nvPicPr>
                        <pic:blipFill>
                          <a:blip r:embed="rId42" cstate="print"/>
                          <a:stretch>
                            <a:fillRect/>
                          </a:stretch>
                        </pic:blipFill>
                        <pic:spPr>
                          <a:xfrm>
                            <a:off x="0" y="0"/>
                            <a:ext cx="316053" cy="313944"/>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15" w:line="254" w:lineRule="auto"/>
              <w:ind w:left="118" w:right="689"/>
              <w:rPr>
                <w:sz w:val="18"/>
              </w:rPr>
            </w:pPr>
            <w:r>
              <w:rPr>
                <w:color w:val="231F20"/>
                <w:sz w:val="18"/>
              </w:rPr>
              <w:t>Watering planned to support peaks in visitation (e.g. camping or other public activities on long weekends or school holidays)</w:t>
            </w:r>
          </w:p>
        </w:tc>
      </w:tr>
    </w:tbl>
    <w:p w:rsidR="00E455BB" w:rsidRDefault="00E455BB">
      <w:pPr>
        <w:pStyle w:val="BodyText"/>
        <w:spacing w:before="135" w:line="249" w:lineRule="auto"/>
        <w:ind w:right="550"/>
        <w:rPr>
          <w:color w:val="231F20"/>
        </w:rPr>
      </w:pPr>
    </w:p>
    <w:p w:rsidR="006A7A3F" w:rsidRDefault="00BC7372" w:rsidP="00F31241">
      <w:pPr>
        <w:pStyle w:val="BodyText"/>
        <w:spacing w:before="135" w:line="249" w:lineRule="auto"/>
        <w:ind w:right="550"/>
      </w:pPr>
      <w:r>
        <w:rPr>
          <w:color w:val="231F20"/>
        </w:rPr>
        <w:t>Environmental flow releases support the spawning and recruitment of popular angling species like estuary perch</w:t>
      </w:r>
      <w:r>
        <w:rPr>
          <w:color w:val="231F20"/>
          <w:spacing w:val="-5"/>
        </w:rPr>
        <w:t xml:space="preserve"> </w:t>
      </w:r>
      <w:r>
        <w:rPr>
          <w:color w:val="231F20"/>
        </w:rPr>
        <w:t>and</w:t>
      </w:r>
      <w:r>
        <w:rPr>
          <w:color w:val="231F20"/>
          <w:spacing w:val="-4"/>
        </w:rPr>
        <w:t xml:space="preserve"> </w:t>
      </w:r>
      <w:r>
        <w:rPr>
          <w:color w:val="231F20"/>
        </w:rPr>
        <w:t>bream.</w:t>
      </w:r>
      <w:r>
        <w:rPr>
          <w:color w:val="231F20"/>
          <w:spacing w:val="-4"/>
        </w:rPr>
        <w:t xml:space="preserve"> </w:t>
      </w:r>
      <w:r>
        <w:rPr>
          <w:color w:val="231F20"/>
        </w:rPr>
        <w:t>Local</w:t>
      </w:r>
      <w:r>
        <w:rPr>
          <w:color w:val="231F20"/>
          <w:spacing w:val="-4"/>
        </w:rPr>
        <w:t xml:space="preserve"> </w:t>
      </w:r>
      <w:r>
        <w:rPr>
          <w:color w:val="231F20"/>
        </w:rPr>
        <w:t>anglers</w:t>
      </w:r>
      <w:r>
        <w:rPr>
          <w:color w:val="231F20"/>
          <w:spacing w:val="-5"/>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report</w:t>
      </w:r>
      <w:r>
        <w:rPr>
          <w:color w:val="231F20"/>
          <w:spacing w:val="-3"/>
        </w:rPr>
        <w:t xml:space="preserve"> </w:t>
      </w:r>
      <w:r>
        <w:rPr>
          <w:color w:val="231F20"/>
        </w:rPr>
        <w:t>increased</w:t>
      </w:r>
      <w:r>
        <w:rPr>
          <w:color w:val="231F20"/>
          <w:spacing w:val="-5"/>
        </w:rPr>
        <w:t xml:space="preserve"> </w:t>
      </w:r>
      <w:r>
        <w:rPr>
          <w:color w:val="231F20"/>
        </w:rPr>
        <w:t>fish</w:t>
      </w:r>
      <w:r>
        <w:rPr>
          <w:color w:val="231F20"/>
          <w:spacing w:val="-3"/>
        </w:rPr>
        <w:t xml:space="preserve"> </w:t>
      </w:r>
      <w:r>
        <w:rPr>
          <w:color w:val="231F20"/>
        </w:rPr>
        <w:t>activity</w:t>
      </w:r>
      <w:r>
        <w:rPr>
          <w:color w:val="231F20"/>
          <w:spacing w:val="-4"/>
        </w:rPr>
        <w:t xml:space="preserve"> </w:t>
      </w:r>
      <w:r>
        <w:rPr>
          <w:color w:val="231F20"/>
        </w:rPr>
        <w:t>associated</w:t>
      </w:r>
      <w:r>
        <w:rPr>
          <w:color w:val="231F20"/>
          <w:spacing w:val="-4"/>
        </w:rPr>
        <w:t xml:space="preserve"> </w:t>
      </w:r>
      <w:r>
        <w:rPr>
          <w:color w:val="231F20"/>
        </w:rPr>
        <w:t>with</w:t>
      </w:r>
      <w:r>
        <w:rPr>
          <w:color w:val="231F20"/>
          <w:spacing w:val="-5"/>
        </w:rPr>
        <w:t xml:space="preserve"> </w:t>
      </w:r>
      <w:r>
        <w:rPr>
          <w:color w:val="231F20"/>
        </w:rPr>
        <w:t>the</w:t>
      </w:r>
      <w:r>
        <w:rPr>
          <w:color w:val="231F20"/>
          <w:spacing w:val="-3"/>
        </w:rPr>
        <w:t xml:space="preserve"> </w:t>
      </w:r>
      <w:r>
        <w:rPr>
          <w:color w:val="231F20"/>
        </w:rPr>
        <w:t>delivery</w:t>
      </w:r>
      <w:r>
        <w:rPr>
          <w:color w:val="231F20"/>
          <w:spacing w:val="-4"/>
        </w:rPr>
        <w:t xml:space="preserve"> </w:t>
      </w:r>
      <w:r>
        <w:rPr>
          <w:color w:val="231F20"/>
        </w:rPr>
        <w:t>of</w:t>
      </w:r>
      <w:r>
        <w:rPr>
          <w:color w:val="231F20"/>
          <w:spacing w:val="-4"/>
        </w:rPr>
        <w:t xml:space="preserve"> </w:t>
      </w:r>
      <w:r>
        <w:rPr>
          <w:color w:val="231F20"/>
        </w:rPr>
        <w:t>freshes,</w:t>
      </w:r>
      <w:r w:rsidR="00F31241">
        <w:rPr>
          <w:color w:val="231F20"/>
        </w:rPr>
        <w:t xml:space="preserve"> </w:t>
      </w:r>
      <w:r>
        <w:rPr>
          <w:color w:val="231F20"/>
        </w:rPr>
        <w:t>improving fishing opportunities in the river. Releases support numerous fishing competitions including those of the Balmoral, Casterton and Dartmoor angling clubs.</w:t>
      </w:r>
    </w:p>
    <w:p w:rsidR="006A7A3F" w:rsidRDefault="00BC7372">
      <w:pPr>
        <w:pStyle w:val="BodyText"/>
        <w:spacing w:line="249" w:lineRule="auto"/>
        <w:ind w:right="100"/>
      </w:pPr>
      <w:r>
        <w:rPr>
          <w:color w:val="231F20"/>
        </w:rPr>
        <w:t>The planning of the summer fresh improves accessibility, water quality and amenity for canoeists planning trips on the Glenelg River over the summer holiday period.</w:t>
      </w:r>
    </w:p>
    <w:p w:rsidR="006A7A3F" w:rsidRDefault="00BC7372">
      <w:pPr>
        <w:pStyle w:val="BodyText"/>
        <w:spacing w:line="249" w:lineRule="auto"/>
        <w:ind w:right="230"/>
      </w:pPr>
      <w:r>
        <w:rPr>
          <w:color w:val="231F20"/>
        </w:rPr>
        <w:t>Summer and spring freshes provide a freshening flow which improves conditions at popular riverside campgrounds in the upper reaches of the Glenelg River including Fulham Reserve near Balmoral and the Johnny Mullagh Reserve at Harrow.</w:t>
      </w:r>
    </w:p>
    <w:p w:rsidR="006A7A3F" w:rsidRDefault="006A7A3F">
      <w:pPr>
        <w:pStyle w:val="BodyText"/>
        <w:spacing w:before="1"/>
        <w:ind w:left="0"/>
      </w:pPr>
    </w:p>
    <w:p w:rsidR="006A7A3F" w:rsidRDefault="00BC7372">
      <w:pPr>
        <w:pStyle w:val="Heading4"/>
        <w:spacing w:before="1"/>
      </w:pPr>
      <w:r>
        <w:rPr>
          <w:color w:val="231F20"/>
        </w:rPr>
        <w:t>Recent conditions</w:t>
      </w:r>
    </w:p>
    <w:p w:rsidR="006A7A3F" w:rsidRDefault="00BC7372">
      <w:pPr>
        <w:pStyle w:val="BodyText"/>
        <w:spacing w:before="58" w:line="249" w:lineRule="auto"/>
        <w:ind w:right="176"/>
      </w:pPr>
      <w:r>
        <w:rPr>
          <w:color w:val="231F20"/>
        </w:rPr>
        <w:t>The Glenelg region had near-average rainfall and above-average temperatures during 2019–20, with large rain events during winter/spring and throughout autumn contributing flows via tributaries below Rocklands Reservoir. Inflows into the Wimmera-Mallee headworks tracked well below average, although milder conditions meant that evaporation losses were lower than normal over summer/autumn. On 1 April 2020, allocations reached 42 percent for the year for the Wimmera-Glenelg environmental entitlement. These allocations supplemented the 28,515 ML of environmental water carried over from 2018–19.</w:t>
      </w:r>
    </w:p>
    <w:p w:rsidR="006A7A3F" w:rsidRDefault="00BC7372">
      <w:pPr>
        <w:pStyle w:val="BodyText"/>
        <w:spacing w:before="175" w:line="249" w:lineRule="auto"/>
        <w:ind w:right="297"/>
      </w:pPr>
      <w:r>
        <w:rPr>
          <w:color w:val="231F20"/>
        </w:rPr>
        <w:t>Natural flow in the Glenelg River provided required low flow and freshes during winter/spring 2019. These natural flows meant a proportion of prescribed passing flows could be withheld in winter and released in spring to meet Glenelg River flow objectives. Water for the environment was released from Rocklands Reservoir between November 2019 and May 2020 to maintain low flow and deliver summer/autumn freshes to provide habitat for native fish, platypus and waterbugs, allow fish and platypus to disperse and support instream and streamside vegetation. A trial watering event from Moora Moora Reservoir to the upper Glenelg River (reach 0) was delivered in November and December 2019, to better understand how managed flows could be used to support plant, waterbug and animal populations above Rocklands Reservoir.</w:t>
      </w:r>
    </w:p>
    <w:p w:rsidR="006A7A3F" w:rsidRDefault="00BC7372">
      <w:pPr>
        <w:pStyle w:val="BodyText"/>
        <w:spacing w:before="176" w:line="249" w:lineRule="auto"/>
        <w:ind w:right="199"/>
      </w:pPr>
      <w:r>
        <w:rPr>
          <w:color w:val="231F20"/>
        </w:rPr>
        <w:t>All of the high-priority potential watering actions for the Glenelg River below Rocklands Reservoir were met in 2019–20 through natural flows, passing flows, managed environmental flows or a combination of these. Continuous flows were maintained through the whole system, and several freshes were delivered during summer and autumn to flush pools and improve the quality of habitat for native fish and platypus. Different release patterns were trialled from Rocklands Reservoir, 5-Mile Outlet and 12-Mile Outlet during summer/autumn 2019–20 to understand the most efficient way of meeting environmental flow</w:t>
      </w:r>
      <w:r>
        <w:rPr>
          <w:color w:val="231F20"/>
          <w:spacing w:val="-6"/>
        </w:rPr>
        <w:t xml:space="preserve"> </w:t>
      </w:r>
      <w:r>
        <w:rPr>
          <w:color w:val="231F20"/>
        </w:rPr>
        <w:t>targets.</w:t>
      </w:r>
    </w:p>
    <w:p w:rsidR="006A7A3F" w:rsidRDefault="00BC7372">
      <w:pPr>
        <w:pStyle w:val="BodyText"/>
        <w:spacing w:before="175" w:line="249" w:lineRule="auto"/>
        <w:ind w:right="596"/>
      </w:pPr>
      <w:r>
        <w:rPr>
          <w:color w:val="231F20"/>
        </w:rPr>
        <w:t>Low storage levels across the Wimmera-Mallee headworks mean that if dry conditions persist, environmental watering actions in the Glenelg River during 2020–21 will primarily focus on protecting water quality and refuge habitat in reaches 1 and 2, to prevent significant declines in native fish and platypus populations.</w:t>
      </w:r>
    </w:p>
    <w:p w:rsidR="006A7A3F" w:rsidRDefault="006A7A3F">
      <w:pPr>
        <w:pStyle w:val="BodyText"/>
        <w:spacing w:before="2"/>
        <w:ind w:left="0"/>
      </w:pPr>
    </w:p>
    <w:p w:rsidR="006A7A3F" w:rsidRDefault="00BC7372">
      <w:pPr>
        <w:pStyle w:val="Heading4"/>
      </w:pPr>
      <w:r>
        <w:rPr>
          <w:color w:val="231F20"/>
        </w:rPr>
        <w:t>Scope of environmental watering</w:t>
      </w:r>
    </w:p>
    <w:p w:rsidR="006A7A3F" w:rsidRDefault="00BC7372">
      <w:pPr>
        <w:pStyle w:val="BodyText"/>
        <w:spacing w:before="58" w:line="249" w:lineRule="auto"/>
        <w:ind w:right="251"/>
      </w:pPr>
      <w:r>
        <w:rPr>
          <w:color w:val="231F20"/>
        </w:rPr>
        <w:t>Table 4.2.1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4D5DB8" w:rsidRDefault="00BC7372" w:rsidP="00E455BB">
      <w:pPr>
        <w:spacing w:before="169" w:after="120"/>
        <w:ind w:left="210"/>
        <w:rPr>
          <w:b/>
          <w:color w:val="231F20"/>
          <w:sz w:val="18"/>
        </w:rPr>
      </w:pPr>
      <w:r>
        <w:rPr>
          <w:b/>
          <w:color w:val="231F20"/>
          <w:sz w:val="18"/>
        </w:rPr>
        <w:t>Table 4.2.1 Potential environmental watering actions and objectives for the Glenelg River</w:t>
      </w:r>
    </w:p>
    <w:tbl>
      <w:tblPr>
        <w:tblW w:w="10178"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3407"/>
        <w:gridCol w:w="5211"/>
        <w:gridCol w:w="851"/>
        <w:gridCol w:w="709"/>
      </w:tblGrid>
      <w:tr w:rsidR="004D5DB8" w:rsidTr="002840E5">
        <w:trPr>
          <w:trHeight w:val="587"/>
          <w:tblHeader/>
        </w:trPr>
        <w:tc>
          <w:tcPr>
            <w:tcW w:w="3407" w:type="dxa"/>
            <w:tcBorders>
              <w:top w:val="nil"/>
              <w:left w:val="nil"/>
              <w:bottom w:val="nil"/>
            </w:tcBorders>
            <w:shd w:val="clear" w:color="auto" w:fill="231F20"/>
          </w:tcPr>
          <w:p w:rsidR="004D5DB8" w:rsidRDefault="004D5DB8" w:rsidP="002840E5">
            <w:pPr>
              <w:pStyle w:val="TableParagraph"/>
              <w:spacing w:before="73" w:line="254" w:lineRule="auto"/>
              <w:ind w:left="90" w:right="461"/>
              <w:rPr>
                <w:b/>
                <w:sz w:val="18"/>
              </w:rPr>
            </w:pPr>
            <w:r>
              <w:rPr>
                <w:b/>
                <w:color w:val="FFFFFF"/>
                <w:sz w:val="18"/>
              </w:rPr>
              <w:t>Potential environmental watering action</w:t>
            </w:r>
          </w:p>
        </w:tc>
        <w:tc>
          <w:tcPr>
            <w:tcW w:w="5211" w:type="dxa"/>
            <w:tcBorders>
              <w:top w:val="nil"/>
              <w:bottom w:val="nil"/>
            </w:tcBorders>
            <w:shd w:val="clear" w:color="auto" w:fill="231F20"/>
          </w:tcPr>
          <w:p w:rsidR="004D5DB8" w:rsidRDefault="004D5DB8" w:rsidP="002840E5">
            <w:pPr>
              <w:pStyle w:val="TableParagraph"/>
              <w:spacing w:before="73"/>
              <w:ind w:left="79"/>
              <w:rPr>
                <w:b/>
                <w:sz w:val="18"/>
              </w:rPr>
            </w:pPr>
            <w:r>
              <w:rPr>
                <w:b/>
                <w:color w:val="FFFFFF"/>
                <w:sz w:val="18"/>
              </w:rPr>
              <w:t>Functional watering objectives</w:t>
            </w:r>
          </w:p>
        </w:tc>
        <w:tc>
          <w:tcPr>
            <w:tcW w:w="1560" w:type="dxa"/>
            <w:gridSpan w:val="2"/>
            <w:tcBorders>
              <w:top w:val="nil"/>
              <w:bottom w:val="nil"/>
              <w:right w:val="nil"/>
            </w:tcBorders>
            <w:shd w:val="clear" w:color="auto" w:fill="231F20"/>
          </w:tcPr>
          <w:p w:rsidR="004D5DB8" w:rsidRDefault="004D5DB8" w:rsidP="002840E5">
            <w:pPr>
              <w:pStyle w:val="TableParagraph"/>
              <w:spacing w:before="73" w:line="254" w:lineRule="auto"/>
              <w:ind w:left="84" w:right="200"/>
              <w:rPr>
                <w:b/>
                <w:sz w:val="18"/>
              </w:rPr>
            </w:pPr>
            <w:r>
              <w:rPr>
                <w:b/>
                <w:color w:val="FFFFFF"/>
                <w:sz w:val="18"/>
              </w:rPr>
              <w:t>Environmental objectives</w:t>
            </w:r>
          </w:p>
        </w:tc>
      </w:tr>
      <w:tr w:rsidR="004D5DB8" w:rsidTr="002840E5">
        <w:trPr>
          <w:trHeight w:val="787"/>
        </w:trPr>
        <w:tc>
          <w:tcPr>
            <w:tcW w:w="3407" w:type="dxa"/>
            <w:tcBorders>
              <w:top w:val="nil"/>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150"/>
              <w:rPr>
                <w:sz w:val="18"/>
              </w:rPr>
            </w:pPr>
            <w:r>
              <w:rPr>
                <w:color w:val="231F20"/>
                <w:sz w:val="18"/>
              </w:rPr>
              <w:t>Summer/autumn low flow in reach 1a (10 ML/day or natural during December to May)</w:t>
            </w:r>
          </w:p>
        </w:tc>
        <w:tc>
          <w:tcPr>
            <w:tcW w:w="5211" w:type="dxa"/>
            <w:vMerge w:val="restart"/>
            <w:tcBorders>
              <w:top w:val="nil"/>
              <w:left w:val="single" w:sz="4" w:space="0" w:color="231F20"/>
              <w:bottom w:val="single" w:sz="4" w:space="0" w:color="231F20"/>
              <w:right w:val="single" w:sz="4" w:space="0" w:color="231F20"/>
            </w:tcBorders>
          </w:tcPr>
          <w:p w:rsidR="004D5DB8" w:rsidRDefault="004D5DB8" w:rsidP="002840E5">
            <w:pPr>
              <w:pStyle w:val="TableParagraph"/>
              <w:numPr>
                <w:ilvl w:val="0"/>
                <w:numId w:val="1008"/>
              </w:numPr>
              <w:tabs>
                <w:tab w:val="left" w:pos="300"/>
              </w:tabs>
              <w:spacing w:before="68" w:line="244" w:lineRule="auto"/>
              <w:ind w:right="326"/>
              <w:jc w:val="both"/>
              <w:rPr>
                <w:sz w:val="17"/>
              </w:rPr>
            </w:pPr>
            <w:r>
              <w:rPr>
                <w:color w:val="231F20"/>
                <w:sz w:val="17"/>
              </w:rPr>
              <w:t>Protect against rapid water quality decline over the low-flow period</w:t>
            </w:r>
          </w:p>
          <w:p w:rsidR="004D5DB8" w:rsidRDefault="004D5DB8" w:rsidP="002840E5">
            <w:pPr>
              <w:pStyle w:val="TableParagraph"/>
              <w:numPr>
                <w:ilvl w:val="0"/>
                <w:numId w:val="1008"/>
              </w:numPr>
              <w:tabs>
                <w:tab w:val="left" w:pos="300"/>
              </w:tabs>
              <w:spacing w:before="86" w:line="244" w:lineRule="auto"/>
              <w:ind w:right="364"/>
              <w:jc w:val="both"/>
              <w:rPr>
                <w:sz w:val="17"/>
              </w:rPr>
            </w:pPr>
            <w:r>
              <w:rPr>
                <w:color w:val="231F20"/>
                <w:sz w:val="17"/>
              </w:rPr>
              <w:t>Maintain edge habitats, pools and shallow-water habitat for fish, waterbugs and</w:t>
            </w:r>
            <w:r>
              <w:rPr>
                <w:color w:val="231F20"/>
                <w:spacing w:val="4"/>
                <w:sz w:val="17"/>
              </w:rPr>
              <w:t xml:space="preserve"> </w:t>
            </w:r>
            <w:r>
              <w:rPr>
                <w:color w:val="231F20"/>
                <w:sz w:val="17"/>
              </w:rPr>
              <w:t>platypus</w:t>
            </w:r>
          </w:p>
          <w:p w:rsidR="004D5DB8" w:rsidRDefault="004D5DB8" w:rsidP="002840E5">
            <w:pPr>
              <w:pStyle w:val="TableParagraph"/>
              <w:numPr>
                <w:ilvl w:val="0"/>
                <w:numId w:val="1008"/>
              </w:numPr>
              <w:tabs>
                <w:tab w:val="left" w:pos="300"/>
              </w:tabs>
              <w:spacing w:before="86" w:line="244" w:lineRule="auto"/>
              <w:ind w:right="132"/>
              <w:jc w:val="both"/>
              <w:rPr>
                <w:sz w:val="17"/>
              </w:rPr>
            </w:pPr>
            <w:r>
              <w:rPr>
                <w:color w:val="231F20"/>
                <w:sz w:val="17"/>
              </w:rPr>
              <w:t>Maintain a near-permanent wetted stream channel to promote the growth of in-stream vegetation and prevent encroachment by terrestrial</w:t>
            </w:r>
            <w:r>
              <w:rPr>
                <w:color w:val="231F20"/>
                <w:spacing w:val="2"/>
                <w:sz w:val="17"/>
              </w:rPr>
              <w:t xml:space="preserve"> </w:t>
            </w:r>
            <w:r>
              <w:rPr>
                <w:color w:val="231F20"/>
                <w:sz w:val="17"/>
              </w:rPr>
              <w:t>plants</w:t>
            </w:r>
          </w:p>
        </w:tc>
        <w:tc>
          <w:tcPr>
            <w:tcW w:w="851" w:type="dxa"/>
            <w:vMerge w:val="restart"/>
            <w:tcBorders>
              <w:top w:val="nil"/>
              <w:left w:val="single" w:sz="4" w:space="0" w:color="231F20"/>
              <w:bottom w:val="nil"/>
              <w:right w:val="nil"/>
            </w:tcBorders>
          </w:tcPr>
          <w:p w:rsidR="004D5DB8" w:rsidRDefault="004D5DB8" w:rsidP="002840E5">
            <w:pPr>
              <w:pStyle w:val="TableParagraph"/>
              <w:spacing w:before="9"/>
              <w:ind w:left="0"/>
              <w:rPr>
                <w:b/>
                <w:sz w:val="8"/>
              </w:rPr>
            </w:pPr>
          </w:p>
          <w:p w:rsidR="004D5DB8" w:rsidRDefault="004D5DB8" w:rsidP="002840E5">
            <w:pPr>
              <w:pStyle w:val="TableParagraph"/>
              <w:ind w:left="314" w:right="-15"/>
              <w:rPr>
                <w:sz w:val="20"/>
              </w:rPr>
            </w:pPr>
            <w:r>
              <w:rPr>
                <w:noProof/>
                <w:sz w:val="20"/>
              </w:rPr>
              <w:drawing>
                <wp:inline distT="0" distB="0" distL="0" distR="0" wp14:anchorId="42812258" wp14:editId="6F0F6946">
                  <wp:extent cx="314168" cy="310896"/>
                  <wp:effectExtent l="0" t="0" r="0" b="0"/>
                  <wp:docPr id="73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9.jpeg"/>
                          <pic:cNvPicPr/>
                        </pic:nvPicPr>
                        <pic:blipFill>
                          <a:blip r:embed="rId31" cstate="print"/>
                          <a:stretch>
                            <a:fillRect/>
                          </a:stretch>
                        </pic:blipFill>
                        <pic:spPr>
                          <a:xfrm>
                            <a:off x="0" y="0"/>
                            <a:ext cx="314168" cy="310896"/>
                          </a:xfrm>
                          <a:prstGeom prst="rect">
                            <a:avLst/>
                          </a:prstGeom>
                        </pic:spPr>
                      </pic:pic>
                    </a:graphicData>
                  </a:graphic>
                </wp:inline>
              </w:drawing>
            </w:r>
          </w:p>
          <w:p w:rsidR="004D5DB8" w:rsidRDefault="004D5DB8" w:rsidP="002840E5">
            <w:pPr>
              <w:pStyle w:val="TableParagraph"/>
              <w:spacing w:before="9"/>
              <w:ind w:left="0"/>
              <w:rPr>
                <w:b/>
                <w:sz w:val="5"/>
              </w:rPr>
            </w:pPr>
          </w:p>
          <w:p w:rsidR="004D5DB8" w:rsidRDefault="004D5DB8" w:rsidP="002840E5">
            <w:pPr>
              <w:pStyle w:val="TableParagraph"/>
              <w:ind w:left="314" w:right="-15"/>
              <w:rPr>
                <w:sz w:val="20"/>
              </w:rPr>
            </w:pPr>
            <w:r>
              <w:rPr>
                <w:noProof/>
                <w:sz w:val="20"/>
              </w:rPr>
              <w:drawing>
                <wp:inline distT="0" distB="0" distL="0" distR="0" wp14:anchorId="3D46A46E" wp14:editId="5A1EEF7E">
                  <wp:extent cx="314168" cy="310896"/>
                  <wp:effectExtent l="0" t="0" r="0" b="0"/>
                  <wp:docPr id="73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21.jpeg"/>
                          <pic:cNvPicPr/>
                        </pic:nvPicPr>
                        <pic:blipFill>
                          <a:blip r:embed="rId33" cstate="print"/>
                          <a:stretch>
                            <a:fillRect/>
                          </a:stretch>
                        </pic:blipFill>
                        <pic:spPr>
                          <a:xfrm>
                            <a:off x="0" y="0"/>
                            <a:ext cx="314168" cy="310896"/>
                          </a:xfrm>
                          <a:prstGeom prst="rect">
                            <a:avLst/>
                          </a:prstGeom>
                        </pic:spPr>
                      </pic:pic>
                    </a:graphicData>
                  </a:graphic>
                </wp:inline>
              </w:drawing>
            </w:r>
          </w:p>
          <w:p w:rsidR="004D5DB8" w:rsidRDefault="004D5DB8" w:rsidP="002840E5">
            <w:pPr>
              <w:pStyle w:val="TableParagraph"/>
              <w:spacing w:before="9"/>
              <w:ind w:left="0"/>
              <w:rPr>
                <w:b/>
                <w:sz w:val="5"/>
              </w:rPr>
            </w:pPr>
          </w:p>
          <w:p w:rsidR="004D5DB8" w:rsidRDefault="004D5DB8" w:rsidP="002840E5">
            <w:pPr>
              <w:pStyle w:val="TableParagraph"/>
              <w:ind w:left="314" w:right="-15"/>
              <w:rPr>
                <w:sz w:val="20"/>
              </w:rPr>
            </w:pPr>
            <w:r>
              <w:rPr>
                <w:noProof/>
                <w:sz w:val="20"/>
              </w:rPr>
              <w:drawing>
                <wp:inline distT="0" distB="0" distL="0" distR="0" wp14:anchorId="6FD6A550" wp14:editId="1890E786">
                  <wp:extent cx="314168" cy="310896"/>
                  <wp:effectExtent l="0" t="0" r="0" b="0"/>
                  <wp:docPr id="735"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9" w:type="dxa"/>
            <w:vMerge w:val="restart"/>
            <w:tcBorders>
              <w:top w:val="nil"/>
              <w:left w:val="nil"/>
              <w:bottom w:val="nil"/>
              <w:right w:val="single" w:sz="4" w:space="0" w:color="231F20"/>
            </w:tcBorders>
          </w:tcPr>
          <w:p w:rsidR="004D5DB8" w:rsidRDefault="004D5DB8" w:rsidP="002840E5">
            <w:pPr>
              <w:pStyle w:val="TableParagraph"/>
              <w:spacing w:before="9"/>
              <w:ind w:left="0"/>
              <w:rPr>
                <w:b/>
                <w:sz w:val="8"/>
              </w:rPr>
            </w:pPr>
          </w:p>
          <w:p w:rsidR="004D5DB8" w:rsidRDefault="004D5DB8" w:rsidP="002840E5">
            <w:pPr>
              <w:pStyle w:val="TableParagraph"/>
              <w:ind w:left="46"/>
              <w:rPr>
                <w:sz w:val="20"/>
              </w:rPr>
            </w:pPr>
            <w:r>
              <w:rPr>
                <w:noProof/>
                <w:sz w:val="20"/>
              </w:rPr>
              <w:drawing>
                <wp:inline distT="0" distB="0" distL="0" distR="0" wp14:anchorId="0A0EC418" wp14:editId="738579F9">
                  <wp:extent cx="314168" cy="310896"/>
                  <wp:effectExtent l="0" t="0" r="0" b="0"/>
                  <wp:docPr id="73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1.jpeg"/>
                          <pic:cNvPicPr/>
                        </pic:nvPicPr>
                        <pic:blipFill>
                          <a:blip r:embed="rId43" cstate="print"/>
                          <a:stretch>
                            <a:fillRect/>
                          </a:stretch>
                        </pic:blipFill>
                        <pic:spPr>
                          <a:xfrm>
                            <a:off x="0" y="0"/>
                            <a:ext cx="314168" cy="310896"/>
                          </a:xfrm>
                          <a:prstGeom prst="rect">
                            <a:avLst/>
                          </a:prstGeom>
                        </pic:spPr>
                      </pic:pic>
                    </a:graphicData>
                  </a:graphic>
                </wp:inline>
              </w:drawing>
            </w:r>
          </w:p>
          <w:p w:rsidR="004D5DB8" w:rsidRDefault="004D5DB8" w:rsidP="002840E5">
            <w:pPr>
              <w:pStyle w:val="TableParagraph"/>
              <w:spacing w:before="9"/>
              <w:ind w:left="0"/>
              <w:rPr>
                <w:b/>
                <w:sz w:val="5"/>
              </w:rPr>
            </w:pPr>
          </w:p>
          <w:p w:rsidR="004D5DB8" w:rsidRDefault="004D5DB8" w:rsidP="002840E5">
            <w:pPr>
              <w:pStyle w:val="TableParagraph"/>
              <w:ind w:left="46"/>
              <w:rPr>
                <w:sz w:val="20"/>
              </w:rPr>
            </w:pPr>
            <w:r>
              <w:rPr>
                <w:noProof/>
                <w:sz w:val="20"/>
              </w:rPr>
              <w:drawing>
                <wp:inline distT="0" distB="0" distL="0" distR="0" wp14:anchorId="62A53A91" wp14:editId="77C4C947">
                  <wp:extent cx="314168" cy="310896"/>
                  <wp:effectExtent l="0" t="0" r="0" b="0"/>
                  <wp:docPr id="73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4D5DB8" w:rsidTr="002840E5">
        <w:trPr>
          <w:trHeight w:val="787"/>
        </w:trPr>
        <w:tc>
          <w:tcPr>
            <w:tcW w:w="3407" w:type="dxa"/>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150"/>
              <w:rPr>
                <w:sz w:val="18"/>
              </w:rPr>
            </w:pPr>
            <w:r>
              <w:rPr>
                <w:color w:val="231F20"/>
                <w:sz w:val="18"/>
              </w:rPr>
              <w:t>Summer/autumn low flow in reach 1b (15 ML/day or natural during December to May/Big Dry to Early Wet*)</w:t>
            </w:r>
          </w:p>
        </w:tc>
        <w:tc>
          <w:tcPr>
            <w:tcW w:w="5211" w:type="dxa"/>
            <w:vMerge/>
            <w:tcBorders>
              <w:top w:val="nil"/>
              <w:left w:val="single" w:sz="4" w:space="0" w:color="231F20"/>
              <w:bottom w:val="single" w:sz="4" w:space="0" w:color="231F20"/>
              <w:right w:val="single" w:sz="4" w:space="0" w:color="231F20"/>
            </w:tcBorders>
          </w:tcPr>
          <w:p w:rsidR="004D5DB8" w:rsidRDefault="004D5DB8" w:rsidP="002840E5">
            <w:pPr>
              <w:rPr>
                <w:sz w:val="2"/>
                <w:szCs w:val="2"/>
              </w:rPr>
            </w:pPr>
          </w:p>
        </w:tc>
        <w:tc>
          <w:tcPr>
            <w:tcW w:w="851" w:type="dxa"/>
            <w:vMerge/>
            <w:tcBorders>
              <w:top w:val="nil"/>
              <w:left w:val="single" w:sz="4" w:space="0" w:color="231F20"/>
              <w:bottom w:val="nil"/>
              <w:right w:val="nil"/>
            </w:tcBorders>
          </w:tcPr>
          <w:p w:rsidR="004D5DB8" w:rsidRDefault="004D5DB8" w:rsidP="002840E5">
            <w:pPr>
              <w:rPr>
                <w:sz w:val="2"/>
                <w:szCs w:val="2"/>
              </w:rPr>
            </w:pPr>
          </w:p>
        </w:tc>
        <w:tc>
          <w:tcPr>
            <w:tcW w:w="709" w:type="dxa"/>
            <w:vMerge/>
            <w:tcBorders>
              <w:top w:val="nil"/>
              <w:left w:val="nil"/>
              <w:bottom w:val="nil"/>
              <w:right w:val="single" w:sz="4" w:space="0" w:color="231F20"/>
            </w:tcBorders>
          </w:tcPr>
          <w:p w:rsidR="004D5DB8" w:rsidRDefault="004D5DB8" w:rsidP="002840E5">
            <w:pPr>
              <w:rPr>
                <w:sz w:val="2"/>
                <w:szCs w:val="2"/>
              </w:rPr>
            </w:pPr>
          </w:p>
        </w:tc>
      </w:tr>
      <w:tr w:rsidR="004D5DB8" w:rsidTr="002840E5">
        <w:trPr>
          <w:trHeight w:val="787"/>
        </w:trPr>
        <w:tc>
          <w:tcPr>
            <w:tcW w:w="3407" w:type="dxa"/>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170"/>
              <w:rPr>
                <w:sz w:val="18"/>
              </w:rPr>
            </w:pPr>
            <w:r>
              <w:rPr>
                <w:color w:val="231F20"/>
                <w:sz w:val="18"/>
              </w:rPr>
              <w:t>Summer/autumn low flow in reach 2 (25 ML/day or natural during</w:t>
            </w:r>
            <w:r>
              <w:rPr>
                <w:color w:val="231F20"/>
                <w:spacing w:val="-22"/>
                <w:sz w:val="18"/>
              </w:rPr>
              <w:t xml:space="preserve"> </w:t>
            </w:r>
            <w:r>
              <w:rPr>
                <w:color w:val="231F20"/>
                <w:sz w:val="18"/>
              </w:rPr>
              <w:t>December to May)</w:t>
            </w:r>
          </w:p>
        </w:tc>
        <w:tc>
          <w:tcPr>
            <w:tcW w:w="5211" w:type="dxa"/>
            <w:vMerge/>
            <w:tcBorders>
              <w:top w:val="nil"/>
              <w:left w:val="single" w:sz="4" w:space="0" w:color="231F20"/>
              <w:bottom w:val="single" w:sz="4" w:space="0" w:color="231F20"/>
              <w:right w:val="single" w:sz="4" w:space="0" w:color="231F20"/>
            </w:tcBorders>
          </w:tcPr>
          <w:p w:rsidR="004D5DB8" w:rsidRDefault="004D5DB8" w:rsidP="002840E5">
            <w:pPr>
              <w:rPr>
                <w:sz w:val="2"/>
                <w:szCs w:val="2"/>
              </w:rPr>
            </w:pPr>
          </w:p>
        </w:tc>
        <w:tc>
          <w:tcPr>
            <w:tcW w:w="851" w:type="dxa"/>
            <w:vMerge/>
            <w:tcBorders>
              <w:top w:val="nil"/>
              <w:left w:val="single" w:sz="4" w:space="0" w:color="231F20"/>
              <w:bottom w:val="nil"/>
              <w:right w:val="nil"/>
            </w:tcBorders>
          </w:tcPr>
          <w:p w:rsidR="004D5DB8" w:rsidRDefault="004D5DB8" w:rsidP="002840E5">
            <w:pPr>
              <w:rPr>
                <w:sz w:val="2"/>
                <w:szCs w:val="2"/>
              </w:rPr>
            </w:pPr>
          </w:p>
        </w:tc>
        <w:tc>
          <w:tcPr>
            <w:tcW w:w="709" w:type="dxa"/>
            <w:tcBorders>
              <w:top w:val="nil"/>
              <w:left w:val="nil"/>
              <w:bottom w:val="nil"/>
              <w:right w:val="single" w:sz="4" w:space="0" w:color="231F20"/>
            </w:tcBorders>
          </w:tcPr>
          <w:p w:rsidR="004D5DB8" w:rsidRDefault="004D5DB8" w:rsidP="002840E5">
            <w:pPr>
              <w:pStyle w:val="TableParagraph"/>
              <w:ind w:left="0"/>
              <w:rPr>
                <w:rFonts w:ascii="Times New Roman"/>
                <w:sz w:val="16"/>
              </w:rPr>
            </w:pPr>
          </w:p>
        </w:tc>
      </w:tr>
      <w:tr w:rsidR="004D5DB8" w:rsidTr="002840E5">
        <w:trPr>
          <w:trHeight w:val="787"/>
        </w:trPr>
        <w:tc>
          <w:tcPr>
            <w:tcW w:w="3407" w:type="dxa"/>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340"/>
              <w:rPr>
                <w:sz w:val="18"/>
              </w:rPr>
            </w:pPr>
            <w:r>
              <w:rPr>
                <w:color w:val="231F20"/>
                <w:sz w:val="18"/>
              </w:rPr>
              <w:t>Summer/autumn low flow in reach 3 (80 ML/day or natural during January to April)</w:t>
            </w:r>
          </w:p>
        </w:tc>
        <w:tc>
          <w:tcPr>
            <w:tcW w:w="5211" w:type="dxa"/>
            <w:vMerge/>
            <w:tcBorders>
              <w:top w:val="nil"/>
              <w:left w:val="single" w:sz="4" w:space="0" w:color="231F20"/>
              <w:bottom w:val="single" w:sz="4" w:space="0" w:color="231F20"/>
              <w:right w:val="single" w:sz="4" w:space="0" w:color="231F20"/>
            </w:tcBorders>
          </w:tcPr>
          <w:p w:rsidR="004D5DB8" w:rsidRDefault="004D5DB8" w:rsidP="002840E5">
            <w:pPr>
              <w:rPr>
                <w:sz w:val="2"/>
                <w:szCs w:val="2"/>
              </w:rPr>
            </w:pPr>
          </w:p>
        </w:tc>
        <w:tc>
          <w:tcPr>
            <w:tcW w:w="851" w:type="dxa"/>
            <w:tcBorders>
              <w:top w:val="nil"/>
              <w:left w:val="single" w:sz="4" w:space="0" w:color="231F20"/>
              <w:bottom w:val="single" w:sz="4" w:space="0" w:color="231F20"/>
              <w:right w:val="nil"/>
            </w:tcBorders>
          </w:tcPr>
          <w:p w:rsidR="004D5DB8" w:rsidRDefault="004D5DB8" w:rsidP="002840E5">
            <w:pPr>
              <w:pStyle w:val="TableParagraph"/>
              <w:ind w:left="0"/>
              <w:rPr>
                <w:rFonts w:ascii="Times New Roman"/>
                <w:sz w:val="16"/>
              </w:rPr>
            </w:pPr>
          </w:p>
        </w:tc>
        <w:tc>
          <w:tcPr>
            <w:tcW w:w="709" w:type="dxa"/>
            <w:tcBorders>
              <w:top w:val="nil"/>
              <w:left w:val="nil"/>
              <w:bottom w:val="single" w:sz="4" w:space="0" w:color="231F20"/>
              <w:right w:val="single" w:sz="4" w:space="0" w:color="231F20"/>
            </w:tcBorders>
          </w:tcPr>
          <w:p w:rsidR="004D5DB8" w:rsidRDefault="004D5DB8" w:rsidP="002840E5">
            <w:pPr>
              <w:pStyle w:val="TableParagraph"/>
              <w:ind w:left="0"/>
              <w:rPr>
                <w:rFonts w:ascii="Times New Roman"/>
                <w:sz w:val="16"/>
              </w:rPr>
            </w:pPr>
          </w:p>
        </w:tc>
      </w:tr>
      <w:tr w:rsidR="004D5DB8" w:rsidTr="002840E5">
        <w:trPr>
          <w:trHeight w:val="1378"/>
        </w:trPr>
        <w:tc>
          <w:tcPr>
            <w:tcW w:w="3407" w:type="dxa"/>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389"/>
              <w:jc w:val="both"/>
              <w:rPr>
                <w:sz w:val="18"/>
              </w:rPr>
            </w:pPr>
            <w:r>
              <w:rPr>
                <w:color w:val="231F20"/>
                <w:sz w:val="18"/>
              </w:rPr>
              <w:t>Summer/autumn freshes in reach 1a (two freshes of 60 ML/day for two to three days during December to May)</w:t>
            </w:r>
          </w:p>
          <w:p w:rsidR="004D5DB8" w:rsidRDefault="004D5DB8" w:rsidP="002840E5">
            <w:pPr>
              <w:pStyle w:val="TableParagraph"/>
              <w:spacing w:before="6"/>
              <w:ind w:left="0"/>
              <w:rPr>
                <w:b/>
                <w:sz w:val="3"/>
              </w:rPr>
            </w:pPr>
          </w:p>
          <w:p w:rsidR="004D5DB8" w:rsidRDefault="004D5DB8" w:rsidP="002840E5">
            <w:pPr>
              <w:pStyle w:val="TableParagraph"/>
              <w:ind w:left="85"/>
              <w:rPr>
                <w:sz w:val="20"/>
              </w:rPr>
            </w:pPr>
            <w:r>
              <w:rPr>
                <w:noProof/>
                <w:sz w:val="20"/>
              </w:rPr>
              <w:drawing>
                <wp:inline distT="0" distB="0" distL="0" distR="0" wp14:anchorId="536AAB9E" wp14:editId="3E46ABEF">
                  <wp:extent cx="313943" cy="313944"/>
                  <wp:effectExtent l="0" t="0" r="0" b="0"/>
                  <wp:docPr id="741" name="image8.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8.jpeg"/>
                          <pic:cNvPicPr/>
                        </pic:nvPicPr>
                        <pic:blipFill>
                          <a:blip r:embed="rId18" cstate="print"/>
                          <a:stretch>
                            <a:fillRect/>
                          </a:stretch>
                        </pic:blipFill>
                        <pic:spPr>
                          <a:xfrm>
                            <a:off x="0" y="0"/>
                            <a:ext cx="313943" cy="313944"/>
                          </a:xfrm>
                          <a:prstGeom prst="rect">
                            <a:avLst/>
                          </a:prstGeom>
                        </pic:spPr>
                      </pic:pic>
                    </a:graphicData>
                  </a:graphic>
                </wp:inline>
              </w:drawing>
            </w:r>
            <w:r>
              <w:rPr>
                <w:rFonts w:ascii="Times New Roman"/>
                <w:spacing w:val="79"/>
                <w:sz w:val="20"/>
              </w:rPr>
              <w:t xml:space="preserve"> </w:t>
            </w:r>
            <w:r>
              <w:rPr>
                <w:noProof/>
                <w:spacing w:val="79"/>
                <w:sz w:val="20"/>
              </w:rPr>
              <w:drawing>
                <wp:inline distT="0" distB="0" distL="0" distR="0" wp14:anchorId="383EBA01" wp14:editId="59728B75">
                  <wp:extent cx="316053" cy="313944"/>
                  <wp:effectExtent l="0" t="0" r="0" b="0"/>
                  <wp:docPr id="743" name="image30.jpeg" descr="icon: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30.jpeg"/>
                          <pic:cNvPicPr/>
                        </pic:nvPicPr>
                        <pic:blipFill>
                          <a:blip r:embed="rId42" cstate="print"/>
                          <a:stretch>
                            <a:fillRect/>
                          </a:stretch>
                        </pic:blipFill>
                        <pic:spPr>
                          <a:xfrm>
                            <a:off x="0" y="0"/>
                            <a:ext cx="316053" cy="313944"/>
                          </a:xfrm>
                          <a:prstGeom prst="rect">
                            <a:avLst/>
                          </a:prstGeom>
                        </pic:spPr>
                      </pic:pic>
                    </a:graphicData>
                  </a:graphic>
                </wp:inline>
              </w:drawing>
            </w:r>
            <w:r>
              <w:rPr>
                <w:rFonts w:ascii="Times New Roman"/>
                <w:spacing w:val="75"/>
                <w:sz w:val="20"/>
              </w:rPr>
              <w:t xml:space="preserve"> </w:t>
            </w:r>
            <w:r>
              <w:rPr>
                <w:noProof/>
                <w:spacing w:val="75"/>
                <w:sz w:val="20"/>
              </w:rPr>
              <w:drawing>
                <wp:inline distT="0" distB="0" distL="0" distR="0" wp14:anchorId="1A5CF234" wp14:editId="7AC4818A">
                  <wp:extent cx="314154" cy="310896"/>
                  <wp:effectExtent l="0" t="0" r="0" b="0"/>
                  <wp:docPr id="745"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24.jpeg"/>
                          <pic:cNvPicPr/>
                        </pic:nvPicPr>
                        <pic:blipFill>
                          <a:blip r:embed="rId36" cstate="print"/>
                          <a:stretch>
                            <a:fillRect/>
                          </a:stretch>
                        </pic:blipFill>
                        <pic:spPr>
                          <a:xfrm>
                            <a:off x="0" y="0"/>
                            <a:ext cx="314154" cy="310896"/>
                          </a:xfrm>
                          <a:prstGeom prst="rect">
                            <a:avLst/>
                          </a:prstGeom>
                        </pic:spPr>
                      </pic:pic>
                    </a:graphicData>
                  </a:graphic>
                </wp:inline>
              </w:drawing>
            </w:r>
            <w:r>
              <w:rPr>
                <w:rFonts w:ascii="Times New Roman"/>
                <w:spacing w:val="78"/>
                <w:sz w:val="20"/>
              </w:rPr>
              <w:t xml:space="preserve"> </w:t>
            </w:r>
            <w:r>
              <w:rPr>
                <w:noProof/>
                <w:spacing w:val="78"/>
                <w:sz w:val="20"/>
              </w:rPr>
              <w:drawing>
                <wp:inline distT="0" distB="0" distL="0" distR="0" wp14:anchorId="5FAA845D" wp14:editId="2BA4E018">
                  <wp:extent cx="314168" cy="310896"/>
                  <wp:effectExtent l="0" t="0" r="0" b="0"/>
                  <wp:docPr id="747"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8.jpeg"/>
                          <pic:cNvPicPr/>
                        </pic:nvPicPr>
                        <pic:blipFill>
                          <a:blip r:embed="rId50" cstate="print"/>
                          <a:stretch>
                            <a:fillRect/>
                          </a:stretch>
                        </pic:blipFill>
                        <pic:spPr>
                          <a:xfrm>
                            <a:off x="0" y="0"/>
                            <a:ext cx="314168" cy="310896"/>
                          </a:xfrm>
                          <a:prstGeom prst="rect">
                            <a:avLst/>
                          </a:prstGeom>
                        </pic:spPr>
                      </pic:pic>
                    </a:graphicData>
                  </a:graphic>
                </wp:inline>
              </w:drawing>
            </w:r>
          </w:p>
        </w:tc>
        <w:tc>
          <w:tcPr>
            <w:tcW w:w="5211" w:type="dxa"/>
            <w:vMerge w:val="restart"/>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numPr>
                <w:ilvl w:val="0"/>
                <w:numId w:val="1007"/>
              </w:numPr>
              <w:tabs>
                <w:tab w:val="left" w:pos="300"/>
              </w:tabs>
              <w:spacing w:before="68" w:line="244" w:lineRule="auto"/>
              <w:ind w:right="228"/>
              <w:rPr>
                <w:sz w:val="17"/>
              </w:rPr>
            </w:pPr>
            <w:r>
              <w:rPr>
                <w:color w:val="231F20"/>
                <w:sz w:val="17"/>
              </w:rPr>
              <w:t>Scour sand from pools to increase the quality and quantity of fish and waterbug</w:t>
            </w:r>
            <w:r>
              <w:rPr>
                <w:color w:val="231F20"/>
                <w:spacing w:val="4"/>
                <w:sz w:val="17"/>
              </w:rPr>
              <w:t xml:space="preserve"> </w:t>
            </w:r>
            <w:r>
              <w:rPr>
                <w:color w:val="231F20"/>
                <w:sz w:val="17"/>
              </w:rPr>
              <w:t>habitat</w:t>
            </w:r>
          </w:p>
          <w:p w:rsidR="004D5DB8" w:rsidRDefault="004D5DB8" w:rsidP="002840E5">
            <w:pPr>
              <w:pStyle w:val="TableParagraph"/>
              <w:numPr>
                <w:ilvl w:val="0"/>
                <w:numId w:val="1007"/>
              </w:numPr>
              <w:tabs>
                <w:tab w:val="left" w:pos="300"/>
              </w:tabs>
              <w:spacing w:before="86" w:line="244" w:lineRule="auto"/>
              <w:ind w:right="189"/>
              <w:rPr>
                <w:sz w:val="17"/>
              </w:rPr>
            </w:pPr>
            <w:r>
              <w:rPr>
                <w:color w:val="231F20"/>
                <w:sz w:val="17"/>
              </w:rPr>
              <w:t>Wet emergent vegetation on the lower banks to improve its condition</w:t>
            </w:r>
            <w:r>
              <w:rPr>
                <w:color w:val="231F20"/>
                <w:spacing w:val="11"/>
                <w:sz w:val="17"/>
              </w:rPr>
              <w:t xml:space="preserve"> </w:t>
            </w:r>
            <w:r>
              <w:rPr>
                <w:color w:val="231F20"/>
                <w:sz w:val="17"/>
              </w:rPr>
              <w:t>and</w:t>
            </w:r>
            <w:r>
              <w:rPr>
                <w:color w:val="231F20"/>
                <w:spacing w:val="12"/>
                <w:sz w:val="17"/>
              </w:rPr>
              <w:t xml:space="preserve"> </w:t>
            </w:r>
            <w:r>
              <w:rPr>
                <w:color w:val="231F20"/>
                <w:sz w:val="17"/>
              </w:rPr>
              <w:t>prevent</w:t>
            </w:r>
            <w:r>
              <w:rPr>
                <w:color w:val="231F20"/>
                <w:spacing w:val="12"/>
                <w:sz w:val="17"/>
              </w:rPr>
              <w:t xml:space="preserve"> </w:t>
            </w:r>
            <w:r>
              <w:rPr>
                <w:color w:val="231F20"/>
                <w:sz w:val="17"/>
              </w:rPr>
              <w:t>the</w:t>
            </w:r>
            <w:r>
              <w:rPr>
                <w:color w:val="231F20"/>
                <w:spacing w:val="12"/>
                <w:sz w:val="17"/>
              </w:rPr>
              <w:t xml:space="preserve"> </w:t>
            </w:r>
            <w:r>
              <w:rPr>
                <w:color w:val="231F20"/>
                <w:sz w:val="17"/>
              </w:rPr>
              <w:t>encroachment</w:t>
            </w:r>
            <w:r>
              <w:rPr>
                <w:color w:val="231F20"/>
                <w:spacing w:val="11"/>
                <w:sz w:val="17"/>
              </w:rPr>
              <w:t xml:space="preserve"> </w:t>
            </w:r>
            <w:r>
              <w:rPr>
                <w:color w:val="231F20"/>
                <w:sz w:val="17"/>
              </w:rPr>
              <w:t>of</w:t>
            </w:r>
            <w:r>
              <w:rPr>
                <w:color w:val="231F20"/>
                <w:spacing w:val="12"/>
                <w:sz w:val="17"/>
              </w:rPr>
              <w:t xml:space="preserve"> </w:t>
            </w:r>
            <w:r>
              <w:rPr>
                <w:color w:val="231F20"/>
                <w:sz w:val="17"/>
              </w:rPr>
              <w:t>terrestrial</w:t>
            </w:r>
            <w:r>
              <w:rPr>
                <w:color w:val="231F20"/>
                <w:spacing w:val="12"/>
                <w:sz w:val="17"/>
              </w:rPr>
              <w:t xml:space="preserve"> </w:t>
            </w:r>
            <w:r>
              <w:rPr>
                <w:color w:val="231F20"/>
                <w:sz w:val="17"/>
              </w:rPr>
              <w:t>species</w:t>
            </w:r>
          </w:p>
          <w:p w:rsidR="004D5DB8" w:rsidRDefault="004D5DB8" w:rsidP="002840E5">
            <w:pPr>
              <w:pStyle w:val="TableParagraph"/>
              <w:numPr>
                <w:ilvl w:val="0"/>
                <w:numId w:val="1007"/>
              </w:numPr>
              <w:tabs>
                <w:tab w:val="left" w:pos="300"/>
              </w:tabs>
              <w:spacing w:before="86"/>
              <w:rPr>
                <w:sz w:val="17"/>
              </w:rPr>
            </w:pPr>
            <w:r>
              <w:rPr>
                <w:color w:val="231F20"/>
                <w:sz w:val="17"/>
              </w:rPr>
              <w:t>Flush pools to improve water quality and lower</w:t>
            </w:r>
            <w:r>
              <w:rPr>
                <w:color w:val="231F20"/>
                <w:spacing w:val="2"/>
                <w:sz w:val="17"/>
              </w:rPr>
              <w:t xml:space="preserve"> </w:t>
            </w:r>
            <w:r>
              <w:rPr>
                <w:color w:val="231F20"/>
                <w:sz w:val="17"/>
              </w:rPr>
              <w:t>temperatures</w:t>
            </w:r>
          </w:p>
          <w:p w:rsidR="004D5DB8" w:rsidRDefault="004D5DB8" w:rsidP="002840E5">
            <w:pPr>
              <w:pStyle w:val="TableParagraph"/>
              <w:numPr>
                <w:ilvl w:val="0"/>
                <w:numId w:val="1007"/>
              </w:numPr>
              <w:tabs>
                <w:tab w:val="left" w:pos="300"/>
              </w:tabs>
              <w:spacing w:before="90" w:line="244" w:lineRule="auto"/>
              <w:ind w:right="518"/>
              <w:rPr>
                <w:sz w:val="17"/>
              </w:rPr>
            </w:pPr>
            <w:r>
              <w:rPr>
                <w:color w:val="231F20"/>
                <w:sz w:val="17"/>
              </w:rPr>
              <w:t>Provide sufficient flow to allow native fish and platypus to access</w:t>
            </w:r>
            <w:r>
              <w:rPr>
                <w:color w:val="231F20"/>
                <w:spacing w:val="1"/>
                <w:sz w:val="17"/>
              </w:rPr>
              <w:t xml:space="preserve"> </w:t>
            </w:r>
            <w:r>
              <w:rPr>
                <w:color w:val="231F20"/>
                <w:sz w:val="17"/>
              </w:rPr>
              <w:t>habitat</w:t>
            </w:r>
          </w:p>
        </w:tc>
        <w:tc>
          <w:tcPr>
            <w:tcW w:w="851" w:type="dxa"/>
            <w:vMerge w:val="restart"/>
            <w:tcBorders>
              <w:top w:val="single" w:sz="4" w:space="0" w:color="231F20"/>
              <w:left w:val="single" w:sz="4" w:space="0" w:color="231F20"/>
              <w:bottom w:val="nil"/>
              <w:right w:val="nil"/>
            </w:tcBorders>
          </w:tcPr>
          <w:p w:rsidR="004D5DB8" w:rsidRDefault="004D5DB8" w:rsidP="002840E5">
            <w:pPr>
              <w:pStyle w:val="TableParagraph"/>
              <w:spacing w:before="8" w:after="1"/>
              <w:ind w:left="0"/>
              <w:rPr>
                <w:b/>
                <w:sz w:val="8"/>
              </w:rPr>
            </w:pPr>
          </w:p>
          <w:p w:rsidR="004D5DB8" w:rsidRDefault="004D5DB8" w:rsidP="002840E5">
            <w:pPr>
              <w:pStyle w:val="TableParagraph"/>
              <w:ind w:left="314" w:right="-15"/>
              <w:rPr>
                <w:sz w:val="20"/>
              </w:rPr>
            </w:pPr>
            <w:r>
              <w:rPr>
                <w:noProof/>
                <w:sz w:val="20"/>
              </w:rPr>
              <w:drawing>
                <wp:inline distT="0" distB="0" distL="0" distR="0" wp14:anchorId="6F35B94E" wp14:editId="7B12D533">
                  <wp:extent cx="314168" cy="310896"/>
                  <wp:effectExtent l="0" t="0" r="0" b="0"/>
                  <wp:docPr id="74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19.jpeg"/>
                          <pic:cNvPicPr/>
                        </pic:nvPicPr>
                        <pic:blipFill>
                          <a:blip r:embed="rId31" cstate="print"/>
                          <a:stretch>
                            <a:fillRect/>
                          </a:stretch>
                        </pic:blipFill>
                        <pic:spPr>
                          <a:xfrm>
                            <a:off x="0" y="0"/>
                            <a:ext cx="314168" cy="310896"/>
                          </a:xfrm>
                          <a:prstGeom prst="rect">
                            <a:avLst/>
                          </a:prstGeom>
                        </pic:spPr>
                      </pic:pic>
                    </a:graphicData>
                  </a:graphic>
                </wp:inline>
              </w:drawing>
            </w:r>
          </w:p>
          <w:p w:rsidR="004D5DB8" w:rsidRDefault="004D5DB8" w:rsidP="002840E5">
            <w:pPr>
              <w:pStyle w:val="TableParagraph"/>
              <w:spacing w:before="9"/>
              <w:ind w:left="0"/>
              <w:rPr>
                <w:b/>
                <w:sz w:val="5"/>
              </w:rPr>
            </w:pPr>
          </w:p>
          <w:p w:rsidR="004D5DB8" w:rsidRDefault="004D5DB8" w:rsidP="002840E5">
            <w:pPr>
              <w:pStyle w:val="TableParagraph"/>
              <w:ind w:left="314" w:right="-15"/>
              <w:rPr>
                <w:sz w:val="20"/>
              </w:rPr>
            </w:pPr>
            <w:r>
              <w:rPr>
                <w:noProof/>
                <w:sz w:val="20"/>
              </w:rPr>
              <w:drawing>
                <wp:inline distT="0" distB="0" distL="0" distR="0" wp14:anchorId="1C8A0D13" wp14:editId="77245C01">
                  <wp:extent cx="314179" cy="310896"/>
                  <wp:effectExtent l="0" t="0" r="0" b="0"/>
                  <wp:docPr id="75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31.jpeg"/>
                          <pic:cNvPicPr/>
                        </pic:nvPicPr>
                        <pic:blipFill>
                          <a:blip r:embed="rId43" cstate="print"/>
                          <a:stretch>
                            <a:fillRect/>
                          </a:stretch>
                        </pic:blipFill>
                        <pic:spPr>
                          <a:xfrm>
                            <a:off x="0" y="0"/>
                            <a:ext cx="314179" cy="310896"/>
                          </a:xfrm>
                          <a:prstGeom prst="rect">
                            <a:avLst/>
                          </a:prstGeom>
                        </pic:spPr>
                      </pic:pic>
                    </a:graphicData>
                  </a:graphic>
                </wp:inline>
              </w:drawing>
            </w:r>
          </w:p>
          <w:p w:rsidR="004D5DB8" w:rsidRDefault="004D5DB8" w:rsidP="002840E5">
            <w:pPr>
              <w:pStyle w:val="TableParagraph"/>
              <w:spacing w:before="9"/>
              <w:ind w:left="0"/>
              <w:rPr>
                <w:b/>
                <w:sz w:val="5"/>
              </w:rPr>
            </w:pPr>
          </w:p>
          <w:p w:rsidR="004D5DB8" w:rsidRDefault="004D5DB8" w:rsidP="002840E5">
            <w:pPr>
              <w:pStyle w:val="TableParagraph"/>
              <w:ind w:left="314" w:right="-15"/>
              <w:rPr>
                <w:sz w:val="20"/>
              </w:rPr>
            </w:pPr>
            <w:r>
              <w:rPr>
                <w:noProof/>
                <w:sz w:val="20"/>
              </w:rPr>
              <w:drawing>
                <wp:inline distT="0" distB="0" distL="0" distR="0" wp14:anchorId="48EA84DA" wp14:editId="67F78E03">
                  <wp:extent cx="314168" cy="310896"/>
                  <wp:effectExtent l="0" t="0" r="0" b="0"/>
                  <wp:docPr id="75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9" w:type="dxa"/>
            <w:vMerge w:val="restart"/>
            <w:tcBorders>
              <w:top w:val="single" w:sz="4" w:space="0" w:color="231F20"/>
              <w:left w:val="nil"/>
              <w:bottom w:val="nil"/>
              <w:right w:val="single" w:sz="4" w:space="0" w:color="231F20"/>
            </w:tcBorders>
          </w:tcPr>
          <w:p w:rsidR="004D5DB8" w:rsidRDefault="004D5DB8" w:rsidP="002840E5">
            <w:pPr>
              <w:pStyle w:val="TableParagraph"/>
              <w:spacing w:before="8" w:after="1"/>
              <w:ind w:left="0"/>
              <w:rPr>
                <w:b/>
                <w:sz w:val="8"/>
              </w:rPr>
            </w:pPr>
          </w:p>
          <w:p w:rsidR="004D5DB8" w:rsidRDefault="004D5DB8" w:rsidP="002840E5">
            <w:pPr>
              <w:pStyle w:val="TableParagraph"/>
              <w:ind w:left="46"/>
              <w:rPr>
                <w:sz w:val="20"/>
              </w:rPr>
            </w:pPr>
            <w:r>
              <w:rPr>
                <w:noProof/>
                <w:sz w:val="20"/>
              </w:rPr>
              <w:drawing>
                <wp:inline distT="0" distB="0" distL="0" distR="0" wp14:anchorId="1F0FFBBC" wp14:editId="43390B53">
                  <wp:extent cx="314168" cy="310896"/>
                  <wp:effectExtent l="0" t="0" r="0" b="0"/>
                  <wp:docPr id="75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20.jpeg"/>
                          <pic:cNvPicPr/>
                        </pic:nvPicPr>
                        <pic:blipFill>
                          <a:blip r:embed="rId32" cstate="print"/>
                          <a:stretch>
                            <a:fillRect/>
                          </a:stretch>
                        </pic:blipFill>
                        <pic:spPr>
                          <a:xfrm>
                            <a:off x="0" y="0"/>
                            <a:ext cx="314168" cy="310896"/>
                          </a:xfrm>
                          <a:prstGeom prst="rect">
                            <a:avLst/>
                          </a:prstGeom>
                        </pic:spPr>
                      </pic:pic>
                    </a:graphicData>
                  </a:graphic>
                </wp:inline>
              </w:drawing>
            </w:r>
          </w:p>
          <w:p w:rsidR="004D5DB8" w:rsidRDefault="004D5DB8" w:rsidP="002840E5">
            <w:pPr>
              <w:pStyle w:val="TableParagraph"/>
              <w:spacing w:before="9"/>
              <w:ind w:left="0"/>
              <w:rPr>
                <w:b/>
                <w:sz w:val="5"/>
              </w:rPr>
            </w:pPr>
          </w:p>
          <w:p w:rsidR="004D5DB8" w:rsidRDefault="004D5DB8" w:rsidP="002840E5">
            <w:pPr>
              <w:pStyle w:val="TableParagraph"/>
              <w:ind w:left="46"/>
              <w:rPr>
                <w:sz w:val="20"/>
              </w:rPr>
            </w:pPr>
            <w:r>
              <w:rPr>
                <w:noProof/>
                <w:sz w:val="20"/>
              </w:rPr>
              <w:drawing>
                <wp:inline distT="0" distB="0" distL="0" distR="0" wp14:anchorId="7E74598C" wp14:editId="509C4D5D">
                  <wp:extent cx="314178" cy="310896"/>
                  <wp:effectExtent l="0" t="0" r="0" b="0"/>
                  <wp:docPr id="75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1.jpeg"/>
                          <pic:cNvPicPr/>
                        </pic:nvPicPr>
                        <pic:blipFill>
                          <a:blip r:embed="rId33" cstate="print"/>
                          <a:stretch>
                            <a:fillRect/>
                          </a:stretch>
                        </pic:blipFill>
                        <pic:spPr>
                          <a:xfrm>
                            <a:off x="0" y="0"/>
                            <a:ext cx="314178" cy="310896"/>
                          </a:xfrm>
                          <a:prstGeom prst="rect">
                            <a:avLst/>
                          </a:prstGeom>
                        </pic:spPr>
                      </pic:pic>
                    </a:graphicData>
                  </a:graphic>
                </wp:inline>
              </w:drawing>
            </w:r>
          </w:p>
          <w:p w:rsidR="004D5DB8" w:rsidRDefault="004D5DB8" w:rsidP="002840E5">
            <w:pPr>
              <w:pStyle w:val="TableParagraph"/>
              <w:spacing w:before="9"/>
              <w:ind w:left="0"/>
              <w:rPr>
                <w:b/>
                <w:sz w:val="5"/>
              </w:rPr>
            </w:pPr>
          </w:p>
          <w:p w:rsidR="004D5DB8" w:rsidRDefault="004D5DB8" w:rsidP="002840E5">
            <w:pPr>
              <w:pStyle w:val="TableParagraph"/>
              <w:ind w:left="46"/>
              <w:rPr>
                <w:sz w:val="20"/>
              </w:rPr>
            </w:pPr>
            <w:r>
              <w:rPr>
                <w:noProof/>
                <w:sz w:val="20"/>
              </w:rPr>
              <w:drawing>
                <wp:inline distT="0" distB="0" distL="0" distR="0" wp14:anchorId="1750CC38" wp14:editId="11B7353F">
                  <wp:extent cx="314168" cy="310896"/>
                  <wp:effectExtent l="0" t="0" r="0" b="0"/>
                  <wp:docPr id="75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4D5DB8" w:rsidTr="002840E5">
        <w:trPr>
          <w:trHeight w:val="1654"/>
        </w:trPr>
        <w:tc>
          <w:tcPr>
            <w:tcW w:w="3407" w:type="dxa"/>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570"/>
              <w:rPr>
                <w:sz w:val="18"/>
              </w:rPr>
            </w:pPr>
            <w:r>
              <w:rPr>
                <w:color w:val="231F20"/>
                <w:sz w:val="18"/>
              </w:rPr>
              <w:t>Summer/autumn fresh in reach 1b (two freshes of 100 ML/day for</w:t>
            </w:r>
          </w:p>
          <w:p w:rsidR="004D5DB8" w:rsidRDefault="004D5DB8" w:rsidP="002840E5">
            <w:pPr>
              <w:pStyle w:val="TableParagraph"/>
              <w:spacing w:before="1" w:line="254" w:lineRule="auto"/>
              <w:ind w:left="85" w:right="490"/>
              <w:rPr>
                <w:sz w:val="18"/>
              </w:rPr>
            </w:pPr>
            <w:r>
              <w:rPr>
                <w:color w:val="231F20"/>
                <w:sz w:val="18"/>
              </w:rPr>
              <w:t>two to three days during December to May/Big Dry to Early</w:t>
            </w:r>
            <w:r>
              <w:rPr>
                <w:color w:val="231F20"/>
                <w:spacing w:val="-5"/>
                <w:sz w:val="18"/>
              </w:rPr>
              <w:t xml:space="preserve"> </w:t>
            </w:r>
            <w:r>
              <w:rPr>
                <w:color w:val="231F20"/>
                <w:sz w:val="18"/>
              </w:rPr>
              <w:t>Wet*)</w:t>
            </w:r>
          </w:p>
          <w:p w:rsidR="004D5DB8" w:rsidRDefault="004D5DB8" w:rsidP="002840E5">
            <w:pPr>
              <w:pStyle w:val="TableParagraph"/>
              <w:spacing w:before="5"/>
              <w:ind w:left="0"/>
              <w:rPr>
                <w:b/>
                <w:sz w:val="8"/>
              </w:rPr>
            </w:pPr>
          </w:p>
          <w:p w:rsidR="004D5DB8" w:rsidRDefault="004D5DB8" w:rsidP="002840E5">
            <w:pPr>
              <w:pStyle w:val="TableParagraph"/>
              <w:ind w:left="85"/>
              <w:rPr>
                <w:sz w:val="20"/>
              </w:rPr>
            </w:pPr>
            <w:r>
              <w:rPr>
                <w:noProof/>
                <w:sz w:val="20"/>
              </w:rPr>
              <w:drawing>
                <wp:inline distT="0" distB="0" distL="0" distR="0" wp14:anchorId="3C826E81" wp14:editId="72D622AD">
                  <wp:extent cx="313947" cy="313944"/>
                  <wp:effectExtent l="0" t="0" r="0" b="0"/>
                  <wp:docPr id="761" name="image8.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8.jpeg"/>
                          <pic:cNvPicPr/>
                        </pic:nvPicPr>
                        <pic:blipFill>
                          <a:blip r:embed="rId18" cstate="print"/>
                          <a:stretch>
                            <a:fillRect/>
                          </a:stretch>
                        </pic:blipFill>
                        <pic:spPr>
                          <a:xfrm>
                            <a:off x="0" y="0"/>
                            <a:ext cx="313947" cy="313944"/>
                          </a:xfrm>
                          <a:prstGeom prst="rect">
                            <a:avLst/>
                          </a:prstGeom>
                        </pic:spPr>
                      </pic:pic>
                    </a:graphicData>
                  </a:graphic>
                </wp:inline>
              </w:drawing>
            </w:r>
            <w:r>
              <w:rPr>
                <w:rFonts w:ascii="Times New Roman"/>
                <w:spacing w:val="79"/>
                <w:sz w:val="20"/>
              </w:rPr>
              <w:t xml:space="preserve"> </w:t>
            </w:r>
            <w:r>
              <w:rPr>
                <w:noProof/>
                <w:spacing w:val="79"/>
                <w:sz w:val="20"/>
              </w:rPr>
              <w:drawing>
                <wp:inline distT="0" distB="0" distL="0" distR="0" wp14:anchorId="1BFD428F" wp14:editId="5DEF173A">
                  <wp:extent cx="316056" cy="313944"/>
                  <wp:effectExtent l="0" t="0" r="0" b="0"/>
                  <wp:docPr id="763" name="image30.jpeg" descr="icon: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30.jpeg"/>
                          <pic:cNvPicPr/>
                        </pic:nvPicPr>
                        <pic:blipFill>
                          <a:blip r:embed="rId42" cstate="print"/>
                          <a:stretch>
                            <a:fillRect/>
                          </a:stretch>
                        </pic:blipFill>
                        <pic:spPr>
                          <a:xfrm>
                            <a:off x="0" y="0"/>
                            <a:ext cx="316056" cy="313944"/>
                          </a:xfrm>
                          <a:prstGeom prst="rect">
                            <a:avLst/>
                          </a:prstGeom>
                        </pic:spPr>
                      </pic:pic>
                    </a:graphicData>
                  </a:graphic>
                </wp:inline>
              </w:drawing>
            </w:r>
            <w:r>
              <w:rPr>
                <w:rFonts w:ascii="Times New Roman"/>
                <w:spacing w:val="75"/>
                <w:sz w:val="20"/>
              </w:rPr>
              <w:t xml:space="preserve"> </w:t>
            </w:r>
            <w:r>
              <w:rPr>
                <w:noProof/>
                <w:spacing w:val="75"/>
                <w:sz w:val="20"/>
              </w:rPr>
              <w:drawing>
                <wp:inline distT="0" distB="0" distL="0" distR="0" wp14:anchorId="385AFD83" wp14:editId="15BC6495">
                  <wp:extent cx="314155" cy="310896"/>
                  <wp:effectExtent l="0" t="0" r="0" b="0"/>
                  <wp:docPr id="765"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24.jpeg"/>
                          <pic:cNvPicPr/>
                        </pic:nvPicPr>
                        <pic:blipFill>
                          <a:blip r:embed="rId36" cstate="print"/>
                          <a:stretch>
                            <a:fillRect/>
                          </a:stretch>
                        </pic:blipFill>
                        <pic:spPr>
                          <a:xfrm>
                            <a:off x="0" y="0"/>
                            <a:ext cx="314155" cy="310896"/>
                          </a:xfrm>
                          <a:prstGeom prst="rect">
                            <a:avLst/>
                          </a:prstGeom>
                        </pic:spPr>
                      </pic:pic>
                    </a:graphicData>
                  </a:graphic>
                </wp:inline>
              </w:drawing>
            </w:r>
            <w:r>
              <w:rPr>
                <w:rFonts w:ascii="Times New Roman"/>
                <w:spacing w:val="78"/>
                <w:sz w:val="20"/>
              </w:rPr>
              <w:t xml:space="preserve"> </w:t>
            </w:r>
            <w:r>
              <w:rPr>
                <w:noProof/>
                <w:spacing w:val="78"/>
                <w:sz w:val="20"/>
              </w:rPr>
              <w:drawing>
                <wp:inline distT="0" distB="0" distL="0" distR="0" wp14:anchorId="776B615F" wp14:editId="6D837105">
                  <wp:extent cx="314168" cy="310896"/>
                  <wp:effectExtent l="0" t="0" r="0" b="0"/>
                  <wp:docPr id="767"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38.jpeg"/>
                          <pic:cNvPicPr/>
                        </pic:nvPicPr>
                        <pic:blipFill>
                          <a:blip r:embed="rId50" cstate="print"/>
                          <a:stretch>
                            <a:fillRect/>
                          </a:stretch>
                        </pic:blipFill>
                        <pic:spPr>
                          <a:xfrm>
                            <a:off x="0" y="0"/>
                            <a:ext cx="314168" cy="310896"/>
                          </a:xfrm>
                          <a:prstGeom prst="rect">
                            <a:avLst/>
                          </a:prstGeom>
                        </pic:spPr>
                      </pic:pic>
                    </a:graphicData>
                  </a:graphic>
                </wp:inline>
              </w:drawing>
            </w:r>
          </w:p>
        </w:tc>
        <w:tc>
          <w:tcPr>
            <w:tcW w:w="5211" w:type="dxa"/>
            <w:vMerge/>
            <w:tcBorders>
              <w:top w:val="nil"/>
              <w:left w:val="single" w:sz="4" w:space="0" w:color="231F20"/>
              <w:bottom w:val="single" w:sz="4" w:space="0" w:color="231F20"/>
              <w:right w:val="single" w:sz="4" w:space="0" w:color="231F20"/>
            </w:tcBorders>
          </w:tcPr>
          <w:p w:rsidR="004D5DB8" w:rsidRDefault="004D5DB8" w:rsidP="002840E5">
            <w:pPr>
              <w:rPr>
                <w:sz w:val="2"/>
                <w:szCs w:val="2"/>
              </w:rPr>
            </w:pPr>
          </w:p>
        </w:tc>
        <w:tc>
          <w:tcPr>
            <w:tcW w:w="851" w:type="dxa"/>
            <w:vMerge/>
            <w:tcBorders>
              <w:top w:val="nil"/>
              <w:left w:val="single" w:sz="4" w:space="0" w:color="231F20"/>
              <w:bottom w:val="nil"/>
              <w:right w:val="nil"/>
            </w:tcBorders>
          </w:tcPr>
          <w:p w:rsidR="004D5DB8" w:rsidRDefault="004D5DB8" w:rsidP="002840E5">
            <w:pPr>
              <w:rPr>
                <w:sz w:val="2"/>
                <w:szCs w:val="2"/>
              </w:rPr>
            </w:pPr>
          </w:p>
        </w:tc>
        <w:tc>
          <w:tcPr>
            <w:tcW w:w="709" w:type="dxa"/>
            <w:vMerge/>
            <w:tcBorders>
              <w:top w:val="nil"/>
              <w:left w:val="nil"/>
              <w:bottom w:val="nil"/>
              <w:right w:val="single" w:sz="4" w:space="0" w:color="231F20"/>
            </w:tcBorders>
          </w:tcPr>
          <w:p w:rsidR="004D5DB8" w:rsidRDefault="004D5DB8" w:rsidP="002840E5">
            <w:pPr>
              <w:rPr>
                <w:sz w:val="2"/>
                <w:szCs w:val="2"/>
              </w:rPr>
            </w:pPr>
          </w:p>
        </w:tc>
      </w:tr>
      <w:tr w:rsidR="004D5DB8" w:rsidTr="002840E5">
        <w:trPr>
          <w:trHeight w:val="1434"/>
        </w:trPr>
        <w:tc>
          <w:tcPr>
            <w:tcW w:w="3407" w:type="dxa"/>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347"/>
              <w:rPr>
                <w:sz w:val="18"/>
              </w:rPr>
            </w:pPr>
            <w:r>
              <w:rPr>
                <w:color w:val="231F20"/>
                <w:sz w:val="18"/>
              </w:rPr>
              <w:t xml:space="preserve">Summer/autumn fresh in reach 2 (two freshes of 150 ML/day for two </w:t>
            </w:r>
            <w:r>
              <w:rPr>
                <w:color w:val="231F20"/>
                <w:spacing w:val="-6"/>
                <w:sz w:val="18"/>
              </w:rPr>
              <w:t xml:space="preserve">to </w:t>
            </w:r>
            <w:r>
              <w:rPr>
                <w:color w:val="231F20"/>
                <w:sz w:val="18"/>
              </w:rPr>
              <w:t>three days during December to</w:t>
            </w:r>
            <w:r>
              <w:rPr>
                <w:color w:val="231F20"/>
                <w:spacing w:val="-15"/>
                <w:sz w:val="18"/>
              </w:rPr>
              <w:t xml:space="preserve"> </w:t>
            </w:r>
            <w:r>
              <w:rPr>
                <w:color w:val="231F20"/>
                <w:sz w:val="18"/>
              </w:rPr>
              <w:t>May)</w:t>
            </w:r>
          </w:p>
          <w:p w:rsidR="004D5DB8" w:rsidRDefault="004D5DB8" w:rsidP="002840E5">
            <w:pPr>
              <w:pStyle w:val="TableParagraph"/>
              <w:spacing w:before="5"/>
              <w:ind w:left="0"/>
              <w:rPr>
                <w:b/>
                <w:sz w:val="8"/>
              </w:rPr>
            </w:pPr>
          </w:p>
          <w:p w:rsidR="004D5DB8" w:rsidRDefault="004D5DB8" w:rsidP="002840E5">
            <w:pPr>
              <w:pStyle w:val="TableParagraph"/>
              <w:ind w:left="85"/>
              <w:rPr>
                <w:sz w:val="20"/>
              </w:rPr>
            </w:pPr>
            <w:r>
              <w:rPr>
                <w:noProof/>
                <w:sz w:val="20"/>
              </w:rPr>
              <w:drawing>
                <wp:inline distT="0" distB="0" distL="0" distR="0" wp14:anchorId="6693C23A" wp14:editId="4D8F1D30">
                  <wp:extent cx="313943" cy="313944"/>
                  <wp:effectExtent l="0" t="0" r="0" b="0"/>
                  <wp:docPr id="769" name="image8.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8.jpeg"/>
                          <pic:cNvPicPr/>
                        </pic:nvPicPr>
                        <pic:blipFill>
                          <a:blip r:embed="rId18" cstate="print"/>
                          <a:stretch>
                            <a:fillRect/>
                          </a:stretch>
                        </pic:blipFill>
                        <pic:spPr>
                          <a:xfrm>
                            <a:off x="0" y="0"/>
                            <a:ext cx="313943" cy="313944"/>
                          </a:xfrm>
                          <a:prstGeom prst="rect">
                            <a:avLst/>
                          </a:prstGeom>
                        </pic:spPr>
                      </pic:pic>
                    </a:graphicData>
                  </a:graphic>
                </wp:inline>
              </w:drawing>
            </w:r>
            <w:r>
              <w:rPr>
                <w:rFonts w:ascii="Times New Roman"/>
                <w:spacing w:val="79"/>
                <w:sz w:val="20"/>
              </w:rPr>
              <w:t xml:space="preserve"> </w:t>
            </w:r>
            <w:r>
              <w:rPr>
                <w:noProof/>
                <w:spacing w:val="79"/>
                <w:sz w:val="20"/>
              </w:rPr>
              <w:drawing>
                <wp:inline distT="0" distB="0" distL="0" distR="0" wp14:anchorId="065F866B" wp14:editId="19B47165">
                  <wp:extent cx="316047" cy="313944"/>
                  <wp:effectExtent l="0" t="0" r="0" b="0"/>
                  <wp:docPr id="771" name="image30.jpeg" descr="icon: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30.jpeg"/>
                          <pic:cNvPicPr/>
                        </pic:nvPicPr>
                        <pic:blipFill>
                          <a:blip r:embed="rId42" cstate="print"/>
                          <a:stretch>
                            <a:fillRect/>
                          </a:stretch>
                        </pic:blipFill>
                        <pic:spPr>
                          <a:xfrm>
                            <a:off x="0" y="0"/>
                            <a:ext cx="316047" cy="313944"/>
                          </a:xfrm>
                          <a:prstGeom prst="rect">
                            <a:avLst/>
                          </a:prstGeom>
                        </pic:spPr>
                      </pic:pic>
                    </a:graphicData>
                  </a:graphic>
                </wp:inline>
              </w:drawing>
            </w:r>
            <w:r>
              <w:rPr>
                <w:rFonts w:ascii="Times New Roman"/>
                <w:spacing w:val="75"/>
                <w:sz w:val="20"/>
              </w:rPr>
              <w:t xml:space="preserve"> </w:t>
            </w:r>
            <w:r>
              <w:rPr>
                <w:noProof/>
                <w:spacing w:val="75"/>
                <w:sz w:val="20"/>
              </w:rPr>
              <w:drawing>
                <wp:inline distT="0" distB="0" distL="0" distR="0" wp14:anchorId="3A6EDDD9" wp14:editId="4A41A37A">
                  <wp:extent cx="314160" cy="310896"/>
                  <wp:effectExtent l="0" t="0" r="0" b="0"/>
                  <wp:docPr id="773"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24.jpeg"/>
                          <pic:cNvPicPr/>
                        </pic:nvPicPr>
                        <pic:blipFill>
                          <a:blip r:embed="rId36" cstate="print"/>
                          <a:stretch>
                            <a:fillRect/>
                          </a:stretch>
                        </pic:blipFill>
                        <pic:spPr>
                          <a:xfrm>
                            <a:off x="0" y="0"/>
                            <a:ext cx="314160" cy="310896"/>
                          </a:xfrm>
                          <a:prstGeom prst="rect">
                            <a:avLst/>
                          </a:prstGeom>
                        </pic:spPr>
                      </pic:pic>
                    </a:graphicData>
                  </a:graphic>
                </wp:inline>
              </w:drawing>
            </w:r>
            <w:r>
              <w:rPr>
                <w:rFonts w:ascii="Times New Roman"/>
                <w:spacing w:val="78"/>
                <w:sz w:val="20"/>
              </w:rPr>
              <w:t xml:space="preserve"> </w:t>
            </w:r>
            <w:r>
              <w:rPr>
                <w:noProof/>
                <w:spacing w:val="78"/>
                <w:sz w:val="20"/>
              </w:rPr>
              <w:drawing>
                <wp:inline distT="0" distB="0" distL="0" distR="0" wp14:anchorId="53294A66" wp14:editId="7218050A">
                  <wp:extent cx="314168" cy="310896"/>
                  <wp:effectExtent l="0" t="0" r="0" b="0"/>
                  <wp:docPr id="775"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38.jpeg"/>
                          <pic:cNvPicPr/>
                        </pic:nvPicPr>
                        <pic:blipFill>
                          <a:blip r:embed="rId50" cstate="print"/>
                          <a:stretch>
                            <a:fillRect/>
                          </a:stretch>
                        </pic:blipFill>
                        <pic:spPr>
                          <a:xfrm>
                            <a:off x="0" y="0"/>
                            <a:ext cx="314168" cy="310896"/>
                          </a:xfrm>
                          <a:prstGeom prst="rect">
                            <a:avLst/>
                          </a:prstGeom>
                        </pic:spPr>
                      </pic:pic>
                    </a:graphicData>
                  </a:graphic>
                </wp:inline>
              </w:drawing>
            </w:r>
          </w:p>
        </w:tc>
        <w:tc>
          <w:tcPr>
            <w:tcW w:w="5211" w:type="dxa"/>
            <w:vMerge/>
            <w:tcBorders>
              <w:top w:val="nil"/>
              <w:left w:val="single" w:sz="4" w:space="0" w:color="231F20"/>
              <w:bottom w:val="single" w:sz="4" w:space="0" w:color="231F20"/>
              <w:right w:val="single" w:sz="4" w:space="0" w:color="231F20"/>
            </w:tcBorders>
          </w:tcPr>
          <w:p w:rsidR="004D5DB8" w:rsidRDefault="004D5DB8" w:rsidP="002840E5">
            <w:pPr>
              <w:rPr>
                <w:sz w:val="2"/>
                <w:szCs w:val="2"/>
              </w:rPr>
            </w:pPr>
          </w:p>
        </w:tc>
        <w:tc>
          <w:tcPr>
            <w:tcW w:w="851" w:type="dxa"/>
            <w:tcBorders>
              <w:top w:val="nil"/>
              <w:left w:val="single" w:sz="4" w:space="0" w:color="231F20"/>
              <w:bottom w:val="nil"/>
              <w:right w:val="nil"/>
            </w:tcBorders>
          </w:tcPr>
          <w:p w:rsidR="004D5DB8" w:rsidRDefault="004D5DB8" w:rsidP="002840E5">
            <w:pPr>
              <w:pStyle w:val="TableParagraph"/>
              <w:ind w:left="0"/>
              <w:rPr>
                <w:rFonts w:ascii="Times New Roman"/>
                <w:sz w:val="16"/>
              </w:rPr>
            </w:pPr>
          </w:p>
        </w:tc>
        <w:tc>
          <w:tcPr>
            <w:tcW w:w="709" w:type="dxa"/>
            <w:tcBorders>
              <w:top w:val="nil"/>
              <w:left w:val="nil"/>
              <w:bottom w:val="nil"/>
              <w:right w:val="single" w:sz="4" w:space="0" w:color="231F20"/>
            </w:tcBorders>
          </w:tcPr>
          <w:p w:rsidR="004D5DB8" w:rsidRDefault="004D5DB8" w:rsidP="002840E5">
            <w:pPr>
              <w:pStyle w:val="TableParagraph"/>
              <w:ind w:left="0"/>
              <w:rPr>
                <w:rFonts w:ascii="Times New Roman"/>
                <w:sz w:val="16"/>
              </w:rPr>
            </w:pPr>
          </w:p>
        </w:tc>
      </w:tr>
      <w:tr w:rsidR="004D5DB8" w:rsidTr="002840E5">
        <w:trPr>
          <w:trHeight w:val="1654"/>
        </w:trPr>
        <w:tc>
          <w:tcPr>
            <w:tcW w:w="3407" w:type="dxa"/>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400"/>
              <w:rPr>
                <w:sz w:val="18"/>
              </w:rPr>
            </w:pPr>
            <w:r>
              <w:rPr>
                <w:color w:val="231F20"/>
                <w:sz w:val="18"/>
              </w:rPr>
              <w:t>Summer/autumn fresh in reach 3 (two freshes of 150 ML/day for three</w:t>
            </w:r>
          </w:p>
          <w:p w:rsidR="004D5DB8" w:rsidRDefault="004D5DB8" w:rsidP="002840E5">
            <w:pPr>
              <w:pStyle w:val="TableParagraph"/>
              <w:spacing w:before="1" w:line="254" w:lineRule="auto"/>
              <w:ind w:left="85" w:right="220"/>
              <w:rPr>
                <w:sz w:val="18"/>
              </w:rPr>
            </w:pPr>
            <w:r>
              <w:rPr>
                <w:color w:val="231F20"/>
                <w:sz w:val="18"/>
              </w:rPr>
              <w:t>days each or natural during January to April)</w:t>
            </w:r>
          </w:p>
          <w:p w:rsidR="004D5DB8" w:rsidRDefault="004D5DB8" w:rsidP="002840E5">
            <w:pPr>
              <w:pStyle w:val="TableParagraph"/>
              <w:spacing w:before="5"/>
              <w:ind w:left="0"/>
              <w:rPr>
                <w:b/>
                <w:sz w:val="8"/>
              </w:rPr>
            </w:pPr>
          </w:p>
          <w:p w:rsidR="004D5DB8" w:rsidRDefault="004D5DB8" w:rsidP="002840E5">
            <w:pPr>
              <w:pStyle w:val="TableParagraph"/>
              <w:ind w:left="85"/>
              <w:rPr>
                <w:sz w:val="20"/>
              </w:rPr>
            </w:pPr>
            <w:r>
              <w:rPr>
                <w:noProof/>
                <w:sz w:val="20"/>
              </w:rPr>
              <w:drawing>
                <wp:inline distT="0" distB="0" distL="0" distR="0" wp14:anchorId="1E86569B" wp14:editId="22B54975">
                  <wp:extent cx="313955" cy="313944"/>
                  <wp:effectExtent l="0" t="0" r="0" b="0"/>
                  <wp:docPr id="777" name="image8.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8.jpeg"/>
                          <pic:cNvPicPr/>
                        </pic:nvPicPr>
                        <pic:blipFill>
                          <a:blip r:embed="rId18" cstate="print"/>
                          <a:stretch>
                            <a:fillRect/>
                          </a:stretch>
                        </pic:blipFill>
                        <pic:spPr>
                          <a:xfrm>
                            <a:off x="0" y="0"/>
                            <a:ext cx="313955" cy="313944"/>
                          </a:xfrm>
                          <a:prstGeom prst="rect">
                            <a:avLst/>
                          </a:prstGeom>
                        </pic:spPr>
                      </pic:pic>
                    </a:graphicData>
                  </a:graphic>
                </wp:inline>
              </w:drawing>
            </w:r>
            <w:r>
              <w:rPr>
                <w:rFonts w:ascii="Times New Roman"/>
                <w:spacing w:val="79"/>
                <w:sz w:val="20"/>
              </w:rPr>
              <w:t xml:space="preserve"> </w:t>
            </w:r>
            <w:r>
              <w:rPr>
                <w:noProof/>
                <w:spacing w:val="79"/>
                <w:sz w:val="20"/>
              </w:rPr>
              <w:drawing>
                <wp:inline distT="0" distB="0" distL="0" distR="0" wp14:anchorId="1FCFDC7B" wp14:editId="044A1F66">
                  <wp:extent cx="316064" cy="313944"/>
                  <wp:effectExtent l="0" t="0" r="0" b="0"/>
                  <wp:docPr id="779" name="image30.jpeg" descr="icon: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30.jpeg"/>
                          <pic:cNvPicPr/>
                        </pic:nvPicPr>
                        <pic:blipFill>
                          <a:blip r:embed="rId42" cstate="print"/>
                          <a:stretch>
                            <a:fillRect/>
                          </a:stretch>
                        </pic:blipFill>
                        <pic:spPr>
                          <a:xfrm>
                            <a:off x="0" y="0"/>
                            <a:ext cx="316064" cy="313944"/>
                          </a:xfrm>
                          <a:prstGeom prst="rect">
                            <a:avLst/>
                          </a:prstGeom>
                        </pic:spPr>
                      </pic:pic>
                    </a:graphicData>
                  </a:graphic>
                </wp:inline>
              </w:drawing>
            </w:r>
            <w:r>
              <w:rPr>
                <w:rFonts w:ascii="Times New Roman"/>
                <w:spacing w:val="75"/>
                <w:sz w:val="20"/>
              </w:rPr>
              <w:t xml:space="preserve"> </w:t>
            </w:r>
            <w:r>
              <w:rPr>
                <w:noProof/>
                <w:spacing w:val="75"/>
                <w:sz w:val="20"/>
              </w:rPr>
              <w:drawing>
                <wp:inline distT="0" distB="0" distL="0" distR="0" wp14:anchorId="2AA32ED3" wp14:editId="514812EB">
                  <wp:extent cx="314160" cy="310896"/>
                  <wp:effectExtent l="0" t="0" r="0" b="0"/>
                  <wp:docPr id="781"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24.jpeg"/>
                          <pic:cNvPicPr/>
                        </pic:nvPicPr>
                        <pic:blipFill>
                          <a:blip r:embed="rId36" cstate="print"/>
                          <a:stretch>
                            <a:fillRect/>
                          </a:stretch>
                        </pic:blipFill>
                        <pic:spPr>
                          <a:xfrm>
                            <a:off x="0" y="0"/>
                            <a:ext cx="314160" cy="310896"/>
                          </a:xfrm>
                          <a:prstGeom prst="rect">
                            <a:avLst/>
                          </a:prstGeom>
                        </pic:spPr>
                      </pic:pic>
                    </a:graphicData>
                  </a:graphic>
                </wp:inline>
              </w:drawing>
            </w:r>
            <w:r>
              <w:rPr>
                <w:rFonts w:ascii="Times New Roman"/>
                <w:spacing w:val="78"/>
                <w:sz w:val="20"/>
              </w:rPr>
              <w:t xml:space="preserve"> </w:t>
            </w:r>
            <w:r>
              <w:rPr>
                <w:noProof/>
                <w:spacing w:val="78"/>
                <w:sz w:val="20"/>
              </w:rPr>
              <w:drawing>
                <wp:inline distT="0" distB="0" distL="0" distR="0" wp14:anchorId="550A9909" wp14:editId="129DDC0B">
                  <wp:extent cx="314168" cy="310896"/>
                  <wp:effectExtent l="0" t="0" r="0" b="0"/>
                  <wp:docPr id="783"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38.jpeg"/>
                          <pic:cNvPicPr/>
                        </pic:nvPicPr>
                        <pic:blipFill>
                          <a:blip r:embed="rId50" cstate="print"/>
                          <a:stretch>
                            <a:fillRect/>
                          </a:stretch>
                        </pic:blipFill>
                        <pic:spPr>
                          <a:xfrm>
                            <a:off x="0" y="0"/>
                            <a:ext cx="314168" cy="310896"/>
                          </a:xfrm>
                          <a:prstGeom prst="rect">
                            <a:avLst/>
                          </a:prstGeom>
                        </pic:spPr>
                      </pic:pic>
                    </a:graphicData>
                  </a:graphic>
                </wp:inline>
              </w:drawing>
            </w:r>
          </w:p>
        </w:tc>
        <w:tc>
          <w:tcPr>
            <w:tcW w:w="5211" w:type="dxa"/>
            <w:vMerge/>
            <w:tcBorders>
              <w:top w:val="nil"/>
              <w:left w:val="single" w:sz="4" w:space="0" w:color="231F20"/>
              <w:bottom w:val="single" w:sz="4" w:space="0" w:color="231F20"/>
              <w:right w:val="single" w:sz="4" w:space="0" w:color="231F20"/>
            </w:tcBorders>
          </w:tcPr>
          <w:p w:rsidR="004D5DB8" w:rsidRDefault="004D5DB8" w:rsidP="002840E5">
            <w:pPr>
              <w:rPr>
                <w:sz w:val="2"/>
                <w:szCs w:val="2"/>
              </w:rPr>
            </w:pPr>
          </w:p>
        </w:tc>
        <w:tc>
          <w:tcPr>
            <w:tcW w:w="851" w:type="dxa"/>
            <w:tcBorders>
              <w:top w:val="nil"/>
              <w:left w:val="single" w:sz="4" w:space="0" w:color="231F20"/>
              <w:bottom w:val="single" w:sz="4" w:space="0" w:color="231F20"/>
              <w:right w:val="nil"/>
            </w:tcBorders>
          </w:tcPr>
          <w:p w:rsidR="004D5DB8" w:rsidRDefault="004D5DB8" w:rsidP="002840E5">
            <w:pPr>
              <w:pStyle w:val="TableParagraph"/>
              <w:ind w:left="0"/>
              <w:rPr>
                <w:rFonts w:ascii="Times New Roman"/>
                <w:sz w:val="16"/>
              </w:rPr>
            </w:pPr>
          </w:p>
        </w:tc>
        <w:tc>
          <w:tcPr>
            <w:tcW w:w="709" w:type="dxa"/>
            <w:tcBorders>
              <w:top w:val="nil"/>
              <w:left w:val="nil"/>
              <w:bottom w:val="single" w:sz="4" w:space="0" w:color="231F20"/>
              <w:right w:val="single" w:sz="4" w:space="0" w:color="231F20"/>
            </w:tcBorders>
          </w:tcPr>
          <w:p w:rsidR="004D5DB8" w:rsidRDefault="004D5DB8" w:rsidP="002840E5">
            <w:pPr>
              <w:pStyle w:val="TableParagraph"/>
              <w:ind w:left="0"/>
              <w:rPr>
                <w:rFonts w:ascii="Times New Roman"/>
                <w:sz w:val="16"/>
              </w:rPr>
            </w:pPr>
          </w:p>
        </w:tc>
      </w:tr>
      <w:tr w:rsidR="004D5DB8" w:rsidTr="002840E5">
        <w:trPr>
          <w:trHeight w:val="620"/>
        </w:trPr>
        <w:tc>
          <w:tcPr>
            <w:tcW w:w="3407" w:type="dxa"/>
            <w:vMerge w:val="restart"/>
            <w:tcBorders>
              <w:top w:val="single" w:sz="4" w:space="0" w:color="231F20"/>
              <w:left w:val="single" w:sz="4" w:space="0" w:color="231F20"/>
              <w:bottom w:val="single" w:sz="4" w:space="0" w:color="231F20"/>
              <w:right w:val="single" w:sz="4" w:space="0" w:color="231F20"/>
            </w:tcBorders>
          </w:tcPr>
          <w:p w:rsidR="004D5DB8" w:rsidRPr="00AC33B3" w:rsidRDefault="004D5DB8" w:rsidP="002840E5">
            <w:pPr>
              <w:pStyle w:val="TableParagraph"/>
              <w:spacing w:before="63" w:line="254" w:lineRule="auto"/>
              <w:ind w:left="85" w:right="200"/>
              <w:rPr>
                <w:sz w:val="17"/>
                <w:szCs w:val="17"/>
              </w:rPr>
            </w:pPr>
            <w:r w:rsidRPr="00AC33B3">
              <w:rPr>
                <w:color w:val="231F20"/>
                <w:sz w:val="17"/>
                <w:szCs w:val="17"/>
              </w:rPr>
              <w:t>Winter/spring fresh in reach 1b (one to five freshes of 250 ML/day for one to five days during June to November/Big Wet to Fattening Up*)</w:t>
            </w:r>
          </w:p>
          <w:p w:rsidR="004D5DB8" w:rsidRDefault="004D5DB8" w:rsidP="002840E5">
            <w:pPr>
              <w:pStyle w:val="TableParagraph"/>
              <w:spacing w:before="6"/>
              <w:ind w:left="0"/>
              <w:rPr>
                <w:b/>
                <w:sz w:val="8"/>
              </w:rPr>
            </w:pPr>
          </w:p>
          <w:p w:rsidR="004D5DB8" w:rsidRDefault="004D5DB8" w:rsidP="002840E5">
            <w:pPr>
              <w:pStyle w:val="TableParagraph"/>
              <w:ind w:left="85"/>
              <w:rPr>
                <w:sz w:val="20"/>
              </w:rPr>
            </w:pPr>
            <w:r>
              <w:rPr>
                <w:noProof/>
                <w:sz w:val="20"/>
              </w:rPr>
              <w:drawing>
                <wp:inline distT="0" distB="0" distL="0" distR="0" wp14:anchorId="4D0F4971" wp14:editId="5E815DC6">
                  <wp:extent cx="314162" cy="310895"/>
                  <wp:effectExtent l="0" t="0" r="0" b="0"/>
                  <wp:docPr id="785"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24.jpeg"/>
                          <pic:cNvPicPr/>
                        </pic:nvPicPr>
                        <pic:blipFill>
                          <a:blip r:embed="rId36" cstate="print"/>
                          <a:stretch>
                            <a:fillRect/>
                          </a:stretch>
                        </pic:blipFill>
                        <pic:spPr>
                          <a:xfrm>
                            <a:off x="0" y="0"/>
                            <a:ext cx="314162" cy="310895"/>
                          </a:xfrm>
                          <a:prstGeom prst="rect">
                            <a:avLst/>
                          </a:prstGeom>
                        </pic:spPr>
                      </pic:pic>
                    </a:graphicData>
                  </a:graphic>
                </wp:inline>
              </w:drawing>
            </w:r>
            <w:r>
              <w:rPr>
                <w:rFonts w:ascii="Times New Roman"/>
                <w:spacing w:val="78"/>
                <w:sz w:val="20"/>
              </w:rPr>
              <w:t xml:space="preserve"> </w:t>
            </w:r>
            <w:r>
              <w:rPr>
                <w:noProof/>
                <w:spacing w:val="78"/>
                <w:sz w:val="20"/>
              </w:rPr>
              <w:drawing>
                <wp:inline distT="0" distB="0" distL="0" distR="0" wp14:anchorId="23F75A16" wp14:editId="6347B9B5">
                  <wp:extent cx="314168" cy="310895"/>
                  <wp:effectExtent l="0" t="0" r="0" b="0"/>
                  <wp:docPr id="787"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38.jpeg"/>
                          <pic:cNvPicPr/>
                        </pic:nvPicPr>
                        <pic:blipFill>
                          <a:blip r:embed="rId50" cstate="print"/>
                          <a:stretch>
                            <a:fillRect/>
                          </a:stretch>
                        </pic:blipFill>
                        <pic:spPr>
                          <a:xfrm>
                            <a:off x="0" y="0"/>
                            <a:ext cx="314168" cy="310895"/>
                          </a:xfrm>
                          <a:prstGeom prst="rect">
                            <a:avLst/>
                          </a:prstGeom>
                        </pic:spPr>
                      </pic:pic>
                    </a:graphicData>
                  </a:graphic>
                </wp:inline>
              </w:drawing>
            </w:r>
          </w:p>
        </w:tc>
        <w:tc>
          <w:tcPr>
            <w:tcW w:w="5211" w:type="dxa"/>
            <w:vMerge w:val="restart"/>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numPr>
                <w:ilvl w:val="0"/>
                <w:numId w:val="1006"/>
              </w:numPr>
              <w:tabs>
                <w:tab w:val="left" w:pos="300"/>
              </w:tabs>
              <w:spacing w:before="68" w:line="244" w:lineRule="auto"/>
              <w:ind w:right="163"/>
              <w:rPr>
                <w:sz w:val="17"/>
              </w:rPr>
            </w:pPr>
            <w:r>
              <w:rPr>
                <w:color w:val="231F20"/>
                <w:sz w:val="17"/>
              </w:rPr>
              <w:t>Wet benches to improve the condition of emergent vegetation and maintain habitat</w:t>
            </w:r>
            <w:r>
              <w:rPr>
                <w:color w:val="231F20"/>
                <w:spacing w:val="4"/>
                <w:sz w:val="17"/>
              </w:rPr>
              <w:t xml:space="preserve"> </w:t>
            </w:r>
            <w:r>
              <w:rPr>
                <w:color w:val="231F20"/>
                <w:sz w:val="17"/>
              </w:rPr>
              <w:t>diversity</w:t>
            </w:r>
          </w:p>
          <w:p w:rsidR="004D5DB8" w:rsidRDefault="004D5DB8" w:rsidP="002840E5">
            <w:pPr>
              <w:pStyle w:val="TableParagraph"/>
              <w:numPr>
                <w:ilvl w:val="0"/>
                <w:numId w:val="1006"/>
              </w:numPr>
              <w:tabs>
                <w:tab w:val="left" w:pos="300"/>
              </w:tabs>
              <w:spacing w:before="86" w:line="244" w:lineRule="auto"/>
              <w:ind w:right="789"/>
              <w:rPr>
                <w:sz w:val="17"/>
              </w:rPr>
            </w:pPr>
            <w:r>
              <w:rPr>
                <w:color w:val="231F20"/>
                <w:sz w:val="17"/>
              </w:rPr>
              <w:t>Provide adequate depth for fish passage and cue fish movement</w:t>
            </w:r>
          </w:p>
          <w:p w:rsidR="004D5DB8" w:rsidRDefault="004D5DB8" w:rsidP="002840E5">
            <w:pPr>
              <w:pStyle w:val="TableParagraph"/>
              <w:numPr>
                <w:ilvl w:val="0"/>
                <w:numId w:val="1006"/>
              </w:numPr>
              <w:tabs>
                <w:tab w:val="left" w:pos="300"/>
              </w:tabs>
              <w:spacing w:before="86"/>
              <w:rPr>
                <w:sz w:val="17"/>
              </w:rPr>
            </w:pPr>
            <w:r>
              <w:rPr>
                <w:color w:val="231F20"/>
                <w:sz w:val="17"/>
              </w:rPr>
              <w:t>Provide triggers for platypus burrow</w:t>
            </w:r>
            <w:r>
              <w:rPr>
                <w:color w:val="231F20"/>
                <w:spacing w:val="14"/>
                <w:sz w:val="17"/>
              </w:rPr>
              <w:t xml:space="preserve"> </w:t>
            </w:r>
            <w:r>
              <w:rPr>
                <w:color w:val="231F20"/>
                <w:sz w:val="17"/>
              </w:rPr>
              <w:t>selection</w:t>
            </w:r>
          </w:p>
          <w:p w:rsidR="004D5DB8" w:rsidRDefault="004D5DB8" w:rsidP="002840E5">
            <w:pPr>
              <w:pStyle w:val="TableParagraph"/>
              <w:numPr>
                <w:ilvl w:val="0"/>
                <w:numId w:val="1006"/>
              </w:numPr>
              <w:tabs>
                <w:tab w:val="left" w:pos="300"/>
              </w:tabs>
              <w:spacing w:before="90"/>
              <w:rPr>
                <w:sz w:val="17"/>
              </w:rPr>
            </w:pPr>
            <w:r>
              <w:rPr>
                <w:color w:val="231F20"/>
                <w:sz w:val="17"/>
              </w:rPr>
              <w:t>Scour sand from pools to improve the quality of fish habitat</w:t>
            </w:r>
          </w:p>
          <w:p w:rsidR="004D5DB8" w:rsidRDefault="004D5DB8" w:rsidP="002840E5">
            <w:pPr>
              <w:pStyle w:val="TableParagraph"/>
              <w:numPr>
                <w:ilvl w:val="0"/>
                <w:numId w:val="1006"/>
              </w:numPr>
              <w:tabs>
                <w:tab w:val="left" w:pos="300"/>
              </w:tabs>
              <w:spacing w:before="90" w:line="244" w:lineRule="auto"/>
              <w:ind w:right="694"/>
              <w:rPr>
                <w:sz w:val="17"/>
              </w:rPr>
            </w:pPr>
            <w:r>
              <w:rPr>
                <w:color w:val="231F20"/>
                <w:sz w:val="17"/>
              </w:rPr>
              <w:t>Wet vegetation in the river channel and on the channel benches to support recruitment and</w:t>
            </w:r>
            <w:r>
              <w:rPr>
                <w:color w:val="231F20"/>
                <w:spacing w:val="16"/>
                <w:sz w:val="17"/>
              </w:rPr>
              <w:t xml:space="preserve"> </w:t>
            </w:r>
            <w:r>
              <w:rPr>
                <w:color w:val="231F20"/>
                <w:sz w:val="17"/>
              </w:rPr>
              <w:t>growth</w:t>
            </w:r>
          </w:p>
        </w:tc>
        <w:tc>
          <w:tcPr>
            <w:tcW w:w="851" w:type="dxa"/>
            <w:tcBorders>
              <w:top w:val="single" w:sz="4" w:space="0" w:color="231F20"/>
              <w:left w:val="single" w:sz="4" w:space="0" w:color="231F20"/>
              <w:bottom w:val="nil"/>
              <w:right w:val="nil"/>
            </w:tcBorders>
          </w:tcPr>
          <w:p w:rsidR="004D5DB8" w:rsidRDefault="004D5DB8" w:rsidP="002840E5">
            <w:pPr>
              <w:pStyle w:val="TableParagraph"/>
              <w:spacing w:before="9"/>
              <w:ind w:left="0"/>
              <w:rPr>
                <w:b/>
                <w:sz w:val="8"/>
              </w:rPr>
            </w:pPr>
          </w:p>
          <w:p w:rsidR="004D5DB8" w:rsidRDefault="004D5DB8" w:rsidP="002840E5">
            <w:pPr>
              <w:pStyle w:val="TableParagraph"/>
              <w:ind w:left="314" w:right="-15"/>
              <w:rPr>
                <w:sz w:val="20"/>
              </w:rPr>
            </w:pPr>
            <w:r>
              <w:rPr>
                <w:noProof/>
                <w:sz w:val="20"/>
              </w:rPr>
              <w:drawing>
                <wp:inline distT="0" distB="0" distL="0" distR="0" wp14:anchorId="51AC4C0A" wp14:editId="59EDFC10">
                  <wp:extent cx="314171" cy="310896"/>
                  <wp:effectExtent l="0" t="0" r="0" b="0"/>
                  <wp:docPr id="78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9.jpeg"/>
                          <pic:cNvPicPr/>
                        </pic:nvPicPr>
                        <pic:blipFill>
                          <a:blip r:embed="rId31" cstate="print"/>
                          <a:stretch>
                            <a:fillRect/>
                          </a:stretch>
                        </pic:blipFill>
                        <pic:spPr>
                          <a:xfrm>
                            <a:off x="0" y="0"/>
                            <a:ext cx="314171" cy="310896"/>
                          </a:xfrm>
                          <a:prstGeom prst="rect">
                            <a:avLst/>
                          </a:prstGeom>
                        </pic:spPr>
                      </pic:pic>
                    </a:graphicData>
                  </a:graphic>
                </wp:inline>
              </w:drawing>
            </w:r>
          </w:p>
        </w:tc>
        <w:tc>
          <w:tcPr>
            <w:tcW w:w="709" w:type="dxa"/>
            <w:tcBorders>
              <w:top w:val="single" w:sz="4" w:space="0" w:color="231F20"/>
              <w:left w:val="nil"/>
              <w:bottom w:val="nil"/>
              <w:right w:val="single" w:sz="4" w:space="0" w:color="231F20"/>
            </w:tcBorders>
          </w:tcPr>
          <w:p w:rsidR="004D5DB8" w:rsidRDefault="004D5DB8" w:rsidP="002840E5">
            <w:pPr>
              <w:pStyle w:val="TableParagraph"/>
              <w:spacing w:before="9"/>
              <w:ind w:left="0"/>
              <w:rPr>
                <w:b/>
                <w:sz w:val="8"/>
              </w:rPr>
            </w:pPr>
          </w:p>
          <w:p w:rsidR="004D5DB8" w:rsidRDefault="004D5DB8" w:rsidP="002840E5">
            <w:pPr>
              <w:pStyle w:val="TableParagraph"/>
              <w:ind w:left="46"/>
              <w:rPr>
                <w:sz w:val="20"/>
              </w:rPr>
            </w:pPr>
            <w:r>
              <w:rPr>
                <w:noProof/>
                <w:sz w:val="20"/>
              </w:rPr>
              <w:drawing>
                <wp:inline distT="0" distB="0" distL="0" distR="0" wp14:anchorId="19EBE940" wp14:editId="0A600442">
                  <wp:extent cx="314171" cy="310896"/>
                  <wp:effectExtent l="0" t="0" r="0" b="0"/>
                  <wp:docPr id="79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20.jpeg"/>
                          <pic:cNvPicPr/>
                        </pic:nvPicPr>
                        <pic:blipFill>
                          <a:blip r:embed="rId32" cstate="print"/>
                          <a:stretch>
                            <a:fillRect/>
                          </a:stretch>
                        </pic:blipFill>
                        <pic:spPr>
                          <a:xfrm>
                            <a:off x="0" y="0"/>
                            <a:ext cx="314171" cy="310896"/>
                          </a:xfrm>
                          <a:prstGeom prst="rect">
                            <a:avLst/>
                          </a:prstGeom>
                        </pic:spPr>
                      </pic:pic>
                    </a:graphicData>
                  </a:graphic>
                </wp:inline>
              </w:drawing>
            </w:r>
          </w:p>
        </w:tc>
      </w:tr>
      <w:tr w:rsidR="004D5DB8" w:rsidTr="002840E5">
        <w:trPr>
          <w:trHeight w:val="1024"/>
        </w:trPr>
        <w:tc>
          <w:tcPr>
            <w:tcW w:w="3407" w:type="dxa"/>
            <w:vMerge/>
            <w:tcBorders>
              <w:top w:val="nil"/>
              <w:left w:val="single" w:sz="4" w:space="0" w:color="231F20"/>
              <w:bottom w:val="single" w:sz="4" w:space="0" w:color="231F20"/>
              <w:right w:val="single" w:sz="4" w:space="0" w:color="231F20"/>
            </w:tcBorders>
          </w:tcPr>
          <w:p w:rsidR="004D5DB8" w:rsidRDefault="004D5DB8" w:rsidP="002840E5">
            <w:pPr>
              <w:rPr>
                <w:sz w:val="2"/>
                <w:szCs w:val="2"/>
              </w:rPr>
            </w:pPr>
          </w:p>
        </w:tc>
        <w:tc>
          <w:tcPr>
            <w:tcW w:w="5211" w:type="dxa"/>
            <w:vMerge/>
            <w:tcBorders>
              <w:top w:val="nil"/>
              <w:left w:val="single" w:sz="4" w:space="0" w:color="231F20"/>
              <w:bottom w:val="single" w:sz="4" w:space="0" w:color="231F20"/>
              <w:right w:val="single" w:sz="4" w:space="0" w:color="231F20"/>
            </w:tcBorders>
          </w:tcPr>
          <w:p w:rsidR="004D5DB8" w:rsidRDefault="004D5DB8" w:rsidP="002840E5">
            <w:pPr>
              <w:rPr>
                <w:sz w:val="2"/>
                <w:szCs w:val="2"/>
              </w:rPr>
            </w:pPr>
          </w:p>
        </w:tc>
        <w:tc>
          <w:tcPr>
            <w:tcW w:w="851" w:type="dxa"/>
            <w:tcBorders>
              <w:top w:val="nil"/>
              <w:left w:val="single" w:sz="4" w:space="0" w:color="231F20"/>
              <w:bottom w:val="nil"/>
              <w:right w:val="nil"/>
            </w:tcBorders>
          </w:tcPr>
          <w:p w:rsidR="004D5DB8" w:rsidRDefault="004D5DB8" w:rsidP="002840E5">
            <w:pPr>
              <w:pStyle w:val="TableParagraph"/>
              <w:ind w:left="314" w:right="-15"/>
              <w:rPr>
                <w:sz w:val="20"/>
              </w:rPr>
            </w:pPr>
            <w:r>
              <w:rPr>
                <w:noProof/>
                <w:sz w:val="20"/>
              </w:rPr>
              <w:drawing>
                <wp:inline distT="0" distB="0" distL="0" distR="0" wp14:anchorId="209020CF" wp14:editId="54476DF4">
                  <wp:extent cx="314168" cy="310895"/>
                  <wp:effectExtent l="0" t="0" r="0" b="0"/>
                  <wp:docPr id="79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31.jpeg"/>
                          <pic:cNvPicPr/>
                        </pic:nvPicPr>
                        <pic:blipFill>
                          <a:blip r:embed="rId43" cstate="print"/>
                          <a:stretch>
                            <a:fillRect/>
                          </a:stretch>
                        </pic:blipFill>
                        <pic:spPr>
                          <a:xfrm>
                            <a:off x="0" y="0"/>
                            <a:ext cx="314168" cy="310895"/>
                          </a:xfrm>
                          <a:prstGeom prst="rect">
                            <a:avLst/>
                          </a:prstGeom>
                        </pic:spPr>
                      </pic:pic>
                    </a:graphicData>
                  </a:graphic>
                </wp:inline>
              </w:drawing>
            </w:r>
          </w:p>
        </w:tc>
        <w:tc>
          <w:tcPr>
            <w:tcW w:w="709" w:type="dxa"/>
            <w:tcBorders>
              <w:top w:val="nil"/>
              <w:left w:val="nil"/>
              <w:bottom w:val="nil"/>
              <w:right w:val="single" w:sz="4" w:space="0" w:color="231F20"/>
            </w:tcBorders>
          </w:tcPr>
          <w:p w:rsidR="004D5DB8" w:rsidRDefault="004D5DB8" w:rsidP="002840E5">
            <w:pPr>
              <w:pStyle w:val="TableParagraph"/>
              <w:ind w:left="46"/>
              <w:rPr>
                <w:sz w:val="20"/>
              </w:rPr>
            </w:pPr>
            <w:r>
              <w:rPr>
                <w:noProof/>
                <w:sz w:val="20"/>
              </w:rPr>
              <w:drawing>
                <wp:inline distT="0" distB="0" distL="0" distR="0" wp14:anchorId="535211CA" wp14:editId="0E815EA8">
                  <wp:extent cx="314171" cy="310895"/>
                  <wp:effectExtent l="0" t="0" r="0" b="0"/>
                  <wp:docPr id="79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21.jpeg"/>
                          <pic:cNvPicPr/>
                        </pic:nvPicPr>
                        <pic:blipFill>
                          <a:blip r:embed="rId33" cstate="print"/>
                          <a:stretch>
                            <a:fillRect/>
                          </a:stretch>
                        </pic:blipFill>
                        <pic:spPr>
                          <a:xfrm>
                            <a:off x="0" y="0"/>
                            <a:ext cx="314171" cy="310895"/>
                          </a:xfrm>
                          <a:prstGeom prst="rect">
                            <a:avLst/>
                          </a:prstGeom>
                        </pic:spPr>
                      </pic:pic>
                    </a:graphicData>
                  </a:graphic>
                </wp:inline>
              </w:drawing>
            </w:r>
          </w:p>
        </w:tc>
      </w:tr>
      <w:tr w:rsidR="004D5DB8" w:rsidTr="002840E5">
        <w:trPr>
          <w:trHeight w:val="1434"/>
        </w:trPr>
        <w:tc>
          <w:tcPr>
            <w:tcW w:w="3407" w:type="dxa"/>
            <w:tcBorders>
              <w:top w:val="single" w:sz="4" w:space="0" w:color="231F20"/>
              <w:left w:val="single" w:sz="4" w:space="0" w:color="231F20"/>
              <w:bottom w:val="single" w:sz="4" w:space="0" w:color="231F20"/>
              <w:right w:val="single" w:sz="4" w:space="0" w:color="231F20"/>
            </w:tcBorders>
          </w:tcPr>
          <w:p w:rsidR="004D5DB8" w:rsidRDefault="004D5DB8" w:rsidP="002840E5">
            <w:pPr>
              <w:pStyle w:val="TableParagraph"/>
              <w:spacing w:before="63" w:line="254" w:lineRule="auto"/>
              <w:ind w:left="85" w:right="347"/>
              <w:jc w:val="both"/>
              <w:rPr>
                <w:sz w:val="18"/>
              </w:rPr>
            </w:pPr>
            <w:r>
              <w:rPr>
                <w:color w:val="231F20"/>
                <w:sz w:val="18"/>
              </w:rPr>
              <w:t>Winter/spring fresh in reach 2 (one to five freshes of 300 ML/day for one to five days during June to November)</w:t>
            </w:r>
          </w:p>
          <w:p w:rsidR="004D5DB8" w:rsidRDefault="004D5DB8" w:rsidP="002840E5">
            <w:pPr>
              <w:pStyle w:val="TableParagraph"/>
              <w:spacing w:before="5"/>
              <w:ind w:left="0"/>
              <w:rPr>
                <w:b/>
                <w:sz w:val="8"/>
              </w:rPr>
            </w:pPr>
          </w:p>
          <w:p w:rsidR="004D5DB8" w:rsidRDefault="004D5DB8" w:rsidP="002840E5">
            <w:pPr>
              <w:pStyle w:val="TableParagraph"/>
              <w:ind w:left="85"/>
              <w:rPr>
                <w:sz w:val="20"/>
              </w:rPr>
            </w:pPr>
            <w:r>
              <w:rPr>
                <w:noProof/>
                <w:sz w:val="20"/>
              </w:rPr>
              <w:drawing>
                <wp:inline distT="0" distB="0" distL="0" distR="0" wp14:anchorId="14191891" wp14:editId="21D03BBC">
                  <wp:extent cx="314158" cy="310895"/>
                  <wp:effectExtent l="0" t="0" r="0" b="0"/>
                  <wp:docPr id="797"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24.jpeg"/>
                          <pic:cNvPicPr/>
                        </pic:nvPicPr>
                        <pic:blipFill>
                          <a:blip r:embed="rId36" cstate="print"/>
                          <a:stretch>
                            <a:fillRect/>
                          </a:stretch>
                        </pic:blipFill>
                        <pic:spPr>
                          <a:xfrm>
                            <a:off x="0" y="0"/>
                            <a:ext cx="314158" cy="310895"/>
                          </a:xfrm>
                          <a:prstGeom prst="rect">
                            <a:avLst/>
                          </a:prstGeom>
                        </pic:spPr>
                      </pic:pic>
                    </a:graphicData>
                  </a:graphic>
                </wp:inline>
              </w:drawing>
            </w:r>
            <w:r>
              <w:rPr>
                <w:rFonts w:ascii="Times New Roman"/>
                <w:spacing w:val="78"/>
                <w:sz w:val="20"/>
              </w:rPr>
              <w:t xml:space="preserve"> </w:t>
            </w:r>
            <w:r>
              <w:rPr>
                <w:noProof/>
                <w:spacing w:val="78"/>
                <w:sz w:val="20"/>
              </w:rPr>
              <w:drawing>
                <wp:inline distT="0" distB="0" distL="0" distR="0" wp14:anchorId="4C905298" wp14:editId="57BD6D01">
                  <wp:extent cx="314165" cy="310895"/>
                  <wp:effectExtent l="0" t="0" r="0" b="0"/>
                  <wp:docPr id="799"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38.jpeg"/>
                          <pic:cNvPicPr/>
                        </pic:nvPicPr>
                        <pic:blipFill>
                          <a:blip r:embed="rId50" cstate="print"/>
                          <a:stretch>
                            <a:fillRect/>
                          </a:stretch>
                        </pic:blipFill>
                        <pic:spPr>
                          <a:xfrm>
                            <a:off x="0" y="0"/>
                            <a:ext cx="314165" cy="310895"/>
                          </a:xfrm>
                          <a:prstGeom prst="rect">
                            <a:avLst/>
                          </a:prstGeom>
                        </pic:spPr>
                      </pic:pic>
                    </a:graphicData>
                  </a:graphic>
                </wp:inline>
              </w:drawing>
            </w:r>
          </w:p>
        </w:tc>
        <w:tc>
          <w:tcPr>
            <w:tcW w:w="5211" w:type="dxa"/>
            <w:vMerge/>
            <w:tcBorders>
              <w:top w:val="nil"/>
              <w:left w:val="single" w:sz="4" w:space="0" w:color="231F20"/>
              <w:bottom w:val="single" w:sz="4" w:space="0" w:color="auto"/>
              <w:right w:val="single" w:sz="4" w:space="0" w:color="231F20"/>
            </w:tcBorders>
          </w:tcPr>
          <w:p w:rsidR="004D5DB8" w:rsidRDefault="004D5DB8" w:rsidP="002840E5">
            <w:pPr>
              <w:rPr>
                <w:sz w:val="2"/>
                <w:szCs w:val="2"/>
              </w:rPr>
            </w:pPr>
          </w:p>
        </w:tc>
        <w:tc>
          <w:tcPr>
            <w:tcW w:w="851" w:type="dxa"/>
            <w:tcBorders>
              <w:top w:val="nil"/>
              <w:left w:val="single" w:sz="4" w:space="0" w:color="231F20"/>
              <w:bottom w:val="single" w:sz="4" w:space="0" w:color="auto"/>
              <w:right w:val="nil"/>
            </w:tcBorders>
          </w:tcPr>
          <w:p w:rsidR="004D5DB8" w:rsidRDefault="004D5DB8" w:rsidP="002840E5">
            <w:pPr>
              <w:pStyle w:val="TableParagraph"/>
              <w:ind w:left="0"/>
              <w:rPr>
                <w:rFonts w:ascii="Times New Roman"/>
                <w:sz w:val="16"/>
              </w:rPr>
            </w:pPr>
          </w:p>
        </w:tc>
        <w:tc>
          <w:tcPr>
            <w:tcW w:w="709" w:type="dxa"/>
            <w:tcBorders>
              <w:top w:val="nil"/>
              <w:left w:val="nil"/>
              <w:bottom w:val="single" w:sz="4" w:space="0" w:color="auto"/>
              <w:right w:val="single" w:sz="4" w:space="0" w:color="231F20"/>
            </w:tcBorders>
          </w:tcPr>
          <w:p w:rsidR="004D5DB8" w:rsidRDefault="004D5DB8" w:rsidP="002840E5">
            <w:pPr>
              <w:pStyle w:val="TableParagraph"/>
              <w:ind w:left="0"/>
              <w:rPr>
                <w:rFonts w:ascii="Times New Roman"/>
                <w:sz w:val="16"/>
              </w:rPr>
            </w:pPr>
          </w:p>
        </w:tc>
      </w:tr>
      <w:tr w:rsidR="004D5DB8" w:rsidTr="002840E5">
        <w:trPr>
          <w:trHeight w:val="260"/>
        </w:trPr>
        <w:tc>
          <w:tcPr>
            <w:tcW w:w="3407" w:type="dxa"/>
            <w:tcBorders>
              <w:top w:val="single" w:sz="4" w:space="0" w:color="231F20"/>
              <w:left w:val="single" w:sz="4" w:space="0" w:color="231F20"/>
              <w:bottom w:val="single" w:sz="4" w:space="0" w:color="231F20"/>
              <w:right w:val="single" w:sz="4" w:space="0" w:color="231F20"/>
            </w:tcBorders>
          </w:tcPr>
          <w:p w:rsidR="004D5DB8" w:rsidRPr="00AC33B3" w:rsidRDefault="004D5DB8" w:rsidP="002840E5">
            <w:pPr>
              <w:pStyle w:val="TableParagraph"/>
              <w:spacing w:before="63" w:line="254" w:lineRule="auto"/>
              <w:ind w:left="85" w:right="347"/>
              <w:jc w:val="both"/>
              <w:rPr>
                <w:color w:val="231F20"/>
                <w:sz w:val="17"/>
                <w:szCs w:val="17"/>
              </w:rPr>
            </w:pPr>
            <w:r w:rsidRPr="00AC33B3">
              <w:rPr>
                <w:color w:val="231F20"/>
                <w:sz w:val="17"/>
                <w:szCs w:val="17"/>
              </w:rPr>
              <w:t>Winter/spring low flow in reach 1a (60 ML/day or natural during June to November)</w:t>
            </w:r>
          </w:p>
        </w:tc>
        <w:tc>
          <w:tcPr>
            <w:tcW w:w="5211" w:type="dxa"/>
            <w:vMerge w:val="restart"/>
            <w:tcBorders>
              <w:top w:val="single" w:sz="4" w:space="0" w:color="auto"/>
              <w:left w:val="single" w:sz="4" w:space="0" w:color="231F20"/>
              <w:right w:val="single" w:sz="4" w:space="0" w:color="231F20"/>
            </w:tcBorders>
          </w:tcPr>
          <w:p w:rsidR="004D5DB8" w:rsidRDefault="004D5DB8" w:rsidP="002840E5">
            <w:pPr>
              <w:pStyle w:val="TableParagraph"/>
              <w:numPr>
                <w:ilvl w:val="0"/>
                <w:numId w:val="1005"/>
              </w:numPr>
              <w:tabs>
                <w:tab w:val="left" w:pos="302"/>
              </w:tabs>
              <w:spacing w:before="68"/>
              <w:rPr>
                <w:sz w:val="17"/>
              </w:rPr>
            </w:pPr>
            <w:r>
              <w:rPr>
                <w:color w:val="231F20"/>
                <w:sz w:val="17"/>
              </w:rPr>
              <w:t>Maintain water quality for fish and</w:t>
            </w:r>
            <w:r>
              <w:rPr>
                <w:color w:val="231F20"/>
                <w:spacing w:val="14"/>
                <w:sz w:val="17"/>
              </w:rPr>
              <w:t xml:space="preserve"> </w:t>
            </w:r>
            <w:r>
              <w:rPr>
                <w:color w:val="231F20"/>
                <w:sz w:val="17"/>
              </w:rPr>
              <w:t>waterbugs</w:t>
            </w:r>
          </w:p>
          <w:p w:rsidR="004D5DB8" w:rsidRDefault="004D5DB8" w:rsidP="002840E5">
            <w:pPr>
              <w:pStyle w:val="TableParagraph"/>
              <w:numPr>
                <w:ilvl w:val="0"/>
                <w:numId w:val="1005"/>
              </w:numPr>
              <w:tabs>
                <w:tab w:val="left" w:pos="302"/>
              </w:tabs>
              <w:spacing w:before="89" w:line="244" w:lineRule="auto"/>
              <w:ind w:right="298"/>
              <w:rPr>
                <w:sz w:val="17"/>
              </w:rPr>
            </w:pPr>
            <w:r>
              <w:rPr>
                <w:color w:val="231F20"/>
                <w:sz w:val="17"/>
              </w:rPr>
              <w:t>Wet aquatic vegetation to maintain its condition and prevent encroachment by terrestrial</w:t>
            </w:r>
            <w:r>
              <w:rPr>
                <w:color w:val="231F20"/>
                <w:spacing w:val="6"/>
                <w:sz w:val="17"/>
              </w:rPr>
              <w:t xml:space="preserve"> </w:t>
            </w:r>
            <w:r>
              <w:rPr>
                <w:color w:val="231F20"/>
                <w:sz w:val="17"/>
              </w:rPr>
              <w:t>species</w:t>
            </w:r>
          </w:p>
          <w:p w:rsidR="004D5DB8" w:rsidRDefault="004D5DB8" w:rsidP="002840E5">
            <w:pPr>
              <w:pStyle w:val="TableParagraph"/>
              <w:numPr>
                <w:ilvl w:val="0"/>
                <w:numId w:val="1005"/>
              </w:numPr>
              <w:tabs>
                <w:tab w:val="left" w:pos="302"/>
              </w:tabs>
              <w:spacing w:before="87" w:line="244" w:lineRule="auto"/>
              <w:ind w:right="749"/>
              <w:rPr>
                <w:sz w:val="17"/>
              </w:rPr>
            </w:pPr>
            <w:r>
              <w:rPr>
                <w:color w:val="231F20"/>
                <w:sz w:val="17"/>
              </w:rPr>
              <w:t>Maintain shallow-water habitat for fish, waterbugs and platypus</w:t>
            </w:r>
          </w:p>
        </w:tc>
        <w:tc>
          <w:tcPr>
            <w:tcW w:w="851" w:type="dxa"/>
            <w:vMerge w:val="restart"/>
            <w:tcBorders>
              <w:top w:val="single" w:sz="4" w:space="0" w:color="auto"/>
              <w:left w:val="single" w:sz="4" w:space="0" w:color="231F20"/>
              <w:right w:val="nil"/>
            </w:tcBorders>
          </w:tcPr>
          <w:p w:rsidR="004D5DB8" w:rsidRDefault="004D5DB8" w:rsidP="002840E5">
            <w:pPr>
              <w:pStyle w:val="TableParagraph"/>
              <w:spacing w:before="9"/>
              <w:ind w:left="0"/>
              <w:rPr>
                <w:b/>
                <w:sz w:val="8"/>
              </w:rPr>
            </w:pPr>
          </w:p>
          <w:p w:rsidR="004D5DB8" w:rsidRDefault="004D5DB8" w:rsidP="002840E5">
            <w:pPr>
              <w:pStyle w:val="TableParagraph"/>
              <w:ind w:left="315" w:right="-15"/>
              <w:rPr>
                <w:sz w:val="20"/>
              </w:rPr>
            </w:pPr>
            <w:r>
              <w:rPr>
                <w:noProof/>
                <w:sz w:val="20"/>
              </w:rPr>
              <w:drawing>
                <wp:inline distT="0" distB="0" distL="0" distR="0" wp14:anchorId="190BACC3" wp14:editId="6FEF6FCE">
                  <wp:extent cx="314168" cy="310896"/>
                  <wp:effectExtent l="0" t="0" r="0" b="0"/>
                  <wp:docPr id="178"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9.jpeg"/>
                          <pic:cNvPicPr/>
                        </pic:nvPicPr>
                        <pic:blipFill>
                          <a:blip r:embed="rId31" cstate="print"/>
                          <a:stretch>
                            <a:fillRect/>
                          </a:stretch>
                        </pic:blipFill>
                        <pic:spPr>
                          <a:xfrm>
                            <a:off x="0" y="0"/>
                            <a:ext cx="314168" cy="310896"/>
                          </a:xfrm>
                          <a:prstGeom prst="rect">
                            <a:avLst/>
                          </a:prstGeom>
                        </pic:spPr>
                      </pic:pic>
                    </a:graphicData>
                  </a:graphic>
                </wp:inline>
              </w:drawing>
            </w:r>
          </w:p>
          <w:p w:rsidR="004D5DB8" w:rsidRDefault="004D5DB8" w:rsidP="002840E5">
            <w:pPr>
              <w:pStyle w:val="TableParagraph"/>
              <w:spacing w:before="8"/>
              <w:ind w:left="0"/>
              <w:rPr>
                <w:b/>
                <w:sz w:val="10"/>
              </w:rPr>
            </w:pPr>
          </w:p>
          <w:p w:rsidR="004D5DB8" w:rsidRDefault="004D5DB8" w:rsidP="002840E5">
            <w:pPr>
              <w:pStyle w:val="TableParagraph"/>
              <w:ind w:left="315" w:right="-15"/>
              <w:rPr>
                <w:sz w:val="20"/>
              </w:rPr>
            </w:pPr>
            <w:r>
              <w:rPr>
                <w:noProof/>
                <w:sz w:val="20"/>
              </w:rPr>
              <w:drawing>
                <wp:inline distT="0" distB="0" distL="0" distR="0" wp14:anchorId="4FA1302A" wp14:editId="75C19EAF">
                  <wp:extent cx="314168" cy="310896"/>
                  <wp:effectExtent l="0" t="0" r="0" b="0"/>
                  <wp:docPr id="179"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9" w:type="dxa"/>
            <w:vMerge w:val="restart"/>
            <w:tcBorders>
              <w:top w:val="single" w:sz="4" w:space="0" w:color="auto"/>
              <w:left w:val="nil"/>
              <w:right w:val="single" w:sz="4" w:space="0" w:color="231F20"/>
            </w:tcBorders>
          </w:tcPr>
          <w:p w:rsidR="004D5DB8" w:rsidRDefault="004D5DB8" w:rsidP="002840E5">
            <w:pPr>
              <w:pStyle w:val="TableParagraph"/>
              <w:spacing w:before="9"/>
              <w:ind w:left="0"/>
              <w:rPr>
                <w:b/>
                <w:sz w:val="8"/>
              </w:rPr>
            </w:pPr>
          </w:p>
          <w:p w:rsidR="004D5DB8" w:rsidRDefault="004D5DB8" w:rsidP="002840E5">
            <w:pPr>
              <w:pStyle w:val="TableParagraph"/>
              <w:ind w:left="48"/>
              <w:rPr>
                <w:sz w:val="20"/>
              </w:rPr>
            </w:pPr>
            <w:r>
              <w:rPr>
                <w:noProof/>
                <w:sz w:val="20"/>
              </w:rPr>
              <w:drawing>
                <wp:inline distT="0" distB="0" distL="0" distR="0" wp14:anchorId="1FF1A134" wp14:editId="13C204A9">
                  <wp:extent cx="314168" cy="310896"/>
                  <wp:effectExtent l="0" t="0" r="0" b="0"/>
                  <wp:docPr id="180"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20.jpeg"/>
                          <pic:cNvPicPr/>
                        </pic:nvPicPr>
                        <pic:blipFill>
                          <a:blip r:embed="rId32" cstate="print"/>
                          <a:stretch>
                            <a:fillRect/>
                          </a:stretch>
                        </pic:blipFill>
                        <pic:spPr>
                          <a:xfrm>
                            <a:off x="0" y="0"/>
                            <a:ext cx="314168" cy="310896"/>
                          </a:xfrm>
                          <a:prstGeom prst="rect">
                            <a:avLst/>
                          </a:prstGeom>
                        </pic:spPr>
                      </pic:pic>
                    </a:graphicData>
                  </a:graphic>
                </wp:inline>
              </w:drawing>
            </w:r>
          </w:p>
          <w:p w:rsidR="004D5DB8" w:rsidRDefault="004D5DB8" w:rsidP="002840E5">
            <w:pPr>
              <w:pStyle w:val="TableParagraph"/>
              <w:spacing w:before="8"/>
              <w:ind w:left="0"/>
              <w:rPr>
                <w:b/>
                <w:sz w:val="10"/>
              </w:rPr>
            </w:pPr>
          </w:p>
          <w:p w:rsidR="004D5DB8" w:rsidRDefault="004D5DB8" w:rsidP="002840E5">
            <w:pPr>
              <w:pStyle w:val="TableParagraph"/>
              <w:ind w:left="48"/>
              <w:rPr>
                <w:sz w:val="20"/>
              </w:rPr>
            </w:pPr>
            <w:r>
              <w:rPr>
                <w:noProof/>
                <w:sz w:val="20"/>
              </w:rPr>
              <w:drawing>
                <wp:inline distT="0" distB="0" distL="0" distR="0" wp14:anchorId="153986C9" wp14:editId="5AF49A1F">
                  <wp:extent cx="314172" cy="310896"/>
                  <wp:effectExtent l="0" t="0" r="0" b="0"/>
                  <wp:docPr id="18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21.jpeg"/>
                          <pic:cNvPicPr/>
                        </pic:nvPicPr>
                        <pic:blipFill>
                          <a:blip r:embed="rId33" cstate="print"/>
                          <a:stretch>
                            <a:fillRect/>
                          </a:stretch>
                        </pic:blipFill>
                        <pic:spPr>
                          <a:xfrm>
                            <a:off x="0" y="0"/>
                            <a:ext cx="314172" cy="310896"/>
                          </a:xfrm>
                          <a:prstGeom prst="rect">
                            <a:avLst/>
                          </a:prstGeom>
                        </pic:spPr>
                      </pic:pic>
                    </a:graphicData>
                  </a:graphic>
                </wp:inline>
              </w:drawing>
            </w:r>
          </w:p>
        </w:tc>
      </w:tr>
      <w:tr w:rsidR="004D5DB8" w:rsidTr="002840E5">
        <w:trPr>
          <w:trHeight w:val="260"/>
        </w:trPr>
        <w:tc>
          <w:tcPr>
            <w:tcW w:w="3407" w:type="dxa"/>
            <w:tcBorders>
              <w:top w:val="single" w:sz="4" w:space="0" w:color="231F20"/>
              <w:left w:val="single" w:sz="4" w:space="0" w:color="231F20"/>
              <w:bottom w:val="single" w:sz="4" w:space="0" w:color="231F20"/>
              <w:right w:val="single" w:sz="4" w:space="0" w:color="231F20"/>
            </w:tcBorders>
          </w:tcPr>
          <w:p w:rsidR="004D5DB8" w:rsidRPr="00AC33B3" w:rsidRDefault="004D5DB8" w:rsidP="002840E5">
            <w:pPr>
              <w:pStyle w:val="TableParagraph"/>
              <w:spacing w:before="63" w:line="254" w:lineRule="auto"/>
              <w:ind w:left="85" w:right="347"/>
              <w:jc w:val="both"/>
              <w:rPr>
                <w:color w:val="231F20"/>
                <w:sz w:val="17"/>
                <w:szCs w:val="17"/>
              </w:rPr>
            </w:pPr>
            <w:r w:rsidRPr="00AC33B3">
              <w:rPr>
                <w:color w:val="231F20"/>
                <w:sz w:val="17"/>
                <w:szCs w:val="17"/>
              </w:rPr>
              <w:t>Winter/spring low flow in reach 1b (100 ML/day or natural during June to November/Big Wet to Fattening Up*)</w:t>
            </w:r>
          </w:p>
        </w:tc>
        <w:tc>
          <w:tcPr>
            <w:tcW w:w="5211" w:type="dxa"/>
            <w:vMerge/>
            <w:tcBorders>
              <w:left w:val="single" w:sz="4" w:space="0" w:color="231F20"/>
              <w:right w:val="single" w:sz="4" w:space="0" w:color="231F20"/>
            </w:tcBorders>
          </w:tcPr>
          <w:p w:rsidR="004D5DB8" w:rsidRDefault="004D5DB8" w:rsidP="002840E5">
            <w:pPr>
              <w:pStyle w:val="TableParagraph"/>
              <w:numPr>
                <w:ilvl w:val="0"/>
                <w:numId w:val="1005"/>
              </w:numPr>
              <w:tabs>
                <w:tab w:val="left" w:pos="302"/>
              </w:tabs>
              <w:spacing w:before="68"/>
              <w:rPr>
                <w:color w:val="231F20"/>
                <w:sz w:val="17"/>
              </w:rPr>
            </w:pPr>
          </w:p>
        </w:tc>
        <w:tc>
          <w:tcPr>
            <w:tcW w:w="851" w:type="dxa"/>
            <w:vMerge/>
            <w:tcBorders>
              <w:left w:val="single" w:sz="4" w:space="0" w:color="231F20"/>
              <w:right w:val="nil"/>
            </w:tcBorders>
          </w:tcPr>
          <w:p w:rsidR="004D5DB8" w:rsidRDefault="004D5DB8" w:rsidP="002840E5">
            <w:pPr>
              <w:pStyle w:val="TableParagraph"/>
              <w:spacing w:before="9"/>
              <w:ind w:left="0"/>
              <w:rPr>
                <w:b/>
                <w:sz w:val="8"/>
              </w:rPr>
            </w:pPr>
          </w:p>
        </w:tc>
        <w:tc>
          <w:tcPr>
            <w:tcW w:w="709" w:type="dxa"/>
            <w:vMerge/>
            <w:tcBorders>
              <w:left w:val="nil"/>
              <w:right w:val="single" w:sz="4" w:space="0" w:color="231F20"/>
            </w:tcBorders>
          </w:tcPr>
          <w:p w:rsidR="004D5DB8" w:rsidRDefault="004D5DB8" w:rsidP="002840E5">
            <w:pPr>
              <w:pStyle w:val="TableParagraph"/>
              <w:spacing w:before="9"/>
              <w:ind w:left="0"/>
              <w:rPr>
                <w:b/>
                <w:sz w:val="8"/>
              </w:rPr>
            </w:pPr>
          </w:p>
        </w:tc>
      </w:tr>
      <w:tr w:rsidR="004D5DB8" w:rsidTr="002840E5">
        <w:trPr>
          <w:trHeight w:val="260"/>
        </w:trPr>
        <w:tc>
          <w:tcPr>
            <w:tcW w:w="3407" w:type="dxa"/>
            <w:tcBorders>
              <w:top w:val="single" w:sz="4" w:space="0" w:color="231F20"/>
              <w:left w:val="single" w:sz="4" w:space="0" w:color="231F20"/>
              <w:bottom w:val="single" w:sz="4" w:space="0" w:color="231F20"/>
              <w:right w:val="single" w:sz="4" w:space="0" w:color="231F20"/>
            </w:tcBorders>
          </w:tcPr>
          <w:p w:rsidR="004D5DB8" w:rsidRPr="00AC33B3" w:rsidRDefault="004D5DB8" w:rsidP="002840E5">
            <w:pPr>
              <w:pStyle w:val="TableParagraph"/>
              <w:spacing w:before="63" w:line="254" w:lineRule="auto"/>
              <w:ind w:left="85" w:right="347"/>
              <w:jc w:val="both"/>
              <w:rPr>
                <w:color w:val="231F20"/>
                <w:sz w:val="17"/>
                <w:szCs w:val="17"/>
              </w:rPr>
            </w:pPr>
            <w:r w:rsidRPr="00AC33B3">
              <w:rPr>
                <w:color w:val="231F20"/>
                <w:sz w:val="17"/>
                <w:szCs w:val="17"/>
              </w:rPr>
              <w:t>Winter/spring low flow in reach 2 (160 ML/day or natural during June to November)</w:t>
            </w:r>
          </w:p>
        </w:tc>
        <w:tc>
          <w:tcPr>
            <w:tcW w:w="5211" w:type="dxa"/>
            <w:vMerge/>
            <w:tcBorders>
              <w:left w:val="single" w:sz="4" w:space="0" w:color="231F20"/>
              <w:bottom w:val="single" w:sz="4" w:space="0" w:color="auto"/>
              <w:right w:val="single" w:sz="4" w:space="0" w:color="231F20"/>
            </w:tcBorders>
          </w:tcPr>
          <w:p w:rsidR="004D5DB8" w:rsidRDefault="004D5DB8" w:rsidP="002840E5">
            <w:pPr>
              <w:pStyle w:val="TableParagraph"/>
              <w:numPr>
                <w:ilvl w:val="0"/>
                <w:numId w:val="1005"/>
              </w:numPr>
              <w:tabs>
                <w:tab w:val="left" w:pos="302"/>
              </w:tabs>
              <w:spacing w:before="68"/>
              <w:rPr>
                <w:color w:val="231F20"/>
                <w:sz w:val="17"/>
              </w:rPr>
            </w:pPr>
          </w:p>
        </w:tc>
        <w:tc>
          <w:tcPr>
            <w:tcW w:w="851" w:type="dxa"/>
            <w:vMerge/>
            <w:tcBorders>
              <w:left w:val="single" w:sz="4" w:space="0" w:color="231F20"/>
              <w:bottom w:val="single" w:sz="4" w:space="0" w:color="auto"/>
              <w:right w:val="nil"/>
            </w:tcBorders>
          </w:tcPr>
          <w:p w:rsidR="004D5DB8" w:rsidRDefault="004D5DB8" w:rsidP="002840E5">
            <w:pPr>
              <w:pStyle w:val="TableParagraph"/>
              <w:spacing w:before="9"/>
              <w:ind w:left="0"/>
              <w:rPr>
                <w:b/>
                <w:sz w:val="8"/>
              </w:rPr>
            </w:pPr>
          </w:p>
        </w:tc>
        <w:tc>
          <w:tcPr>
            <w:tcW w:w="709" w:type="dxa"/>
            <w:vMerge/>
            <w:tcBorders>
              <w:left w:val="nil"/>
              <w:bottom w:val="single" w:sz="4" w:space="0" w:color="auto"/>
              <w:right w:val="single" w:sz="4" w:space="0" w:color="231F20"/>
            </w:tcBorders>
          </w:tcPr>
          <w:p w:rsidR="004D5DB8" w:rsidRDefault="004D5DB8" w:rsidP="002840E5">
            <w:pPr>
              <w:pStyle w:val="TableParagraph"/>
              <w:spacing w:before="9"/>
              <w:ind w:left="0"/>
              <w:rPr>
                <w:b/>
                <w:sz w:val="8"/>
              </w:rPr>
            </w:pPr>
          </w:p>
        </w:tc>
      </w:tr>
      <w:tr w:rsidR="004D5DB8" w:rsidTr="002840E5">
        <w:trPr>
          <w:trHeight w:val="885"/>
        </w:trPr>
        <w:tc>
          <w:tcPr>
            <w:tcW w:w="3407" w:type="dxa"/>
            <w:tcBorders>
              <w:top w:val="single" w:sz="4" w:space="0" w:color="231F20"/>
              <w:left w:val="single" w:sz="4" w:space="0" w:color="231F20"/>
              <w:bottom w:val="single" w:sz="4" w:space="0" w:color="231F20"/>
              <w:right w:val="single" w:sz="4" w:space="0" w:color="231F20"/>
            </w:tcBorders>
          </w:tcPr>
          <w:p w:rsidR="004D5DB8" w:rsidRPr="00AC33B3" w:rsidRDefault="004D5DB8" w:rsidP="002840E5">
            <w:pPr>
              <w:pStyle w:val="TableParagraph"/>
              <w:spacing w:before="63" w:line="254" w:lineRule="auto"/>
              <w:ind w:left="85" w:right="358"/>
              <w:rPr>
                <w:sz w:val="17"/>
                <w:szCs w:val="17"/>
              </w:rPr>
            </w:pPr>
            <w:r w:rsidRPr="00AC33B3">
              <w:rPr>
                <w:color w:val="231F20"/>
                <w:sz w:val="17"/>
                <w:szCs w:val="17"/>
              </w:rPr>
              <w:t>Winter/spring low flow in reach 3 (400 ML/day or natural during July to December)</w:t>
            </w:r>
          </w:p>
        </w:tc>
        <w:tc>
          <w:tcPr>
            <w:tcW w:w="5211" w:type="dxa"/>
            <w:tcBorders>
              <w:top w:val="single" w:sz="4" w:space="0" w:color="auto"/>
              <w:left w:val="single" w:sz="4" w:space="0" w:color="231F20"/>
              <w:bottom w:val="single" w:sz="4" w:space="0" w:color="auto"/>
              <w:right w:val="single" w:sz="4" w:space="0" w:color="231F20"/>
            </w:tcBorders>
          </w:tcPr>
          <w:p w:rsidR="004D5DB8" w:rsidRDefault="004D5DB8" w:rsidP="002840E5">
            <w:pPr>
              <w:pStyle w:val="TableParagraph"/>
              <w:numPr>
                <w:ilvl w:val="0"/>
                <w:numId w:val="1004"/>
              </w:numPr>
              <w:tabs>
                <w:tab w:val="left" w:pos="302"/>
              </w:tabs>
              <w:spacing w:before="68" w:line="244" w:lineRule="auto"/>
              <w:ind w:right="159"/>
              <w:rPr>
                <w:sz w:val="17"/>
              </w:rPr>
            </w:pPr>
            <w:r>
              <w:rPr>
                <w:color w:val="231F20"/>
                <w:sz w:val="17"/>
              </w:rPr>
              <w:t>Wet benches to increase habitat and allow widespread fish passage and keep the estuary mouth open (based on estuary mouth</w:t>
            </w:r>
            <w:r>
              <w:rPr>
                <w:color w:val="231F20"/>
                <w:spacing w:val="1"/>
                <w:sz w:val="17"/>
              </w:rPr>
              <w:t xml:space="preserve"> </w:t>
            </w:r>
            <w:r>
              <w:rPr>
                <w:color w:val="231F20"/>
                <w:sz w:val="17"/>
              </w:rPr>
              <w:t>flows)</w:t>
            </w:r>
          </w:p>
        </w:tc>
        <w:tc>
          <w:tcPr>
            <w:tcW w:w="851" w:type="dxa"/>
            <w:tcBorders>
              <w:top w:val="single" w:sz="4" w:space="0" w:color="auto"/>
              <w:left w:val="single" w:sz="4" w:space="0" w:color="231F20"/>
              <w:bottom w:val="single" w:sz="4" w:space="0" w:color="231F20"/>
              <w:right w:val="nil"/>
            </w:tcBorders>
          </w:tcPr>
          <w:p w:rsidR="004D5DB8" w:rsidRDefault="004D5DB8" w:rsidP="002840E5">
            <w:pPr>
              <w:pStyle w:val="TableParagraph"/>
              <w:spacing w:before="9"/>
              <w:ind w:left="0"/>
              <w:rPr>
                <w:b/>
                <w:sz w:val="8"/>
              </w:rPr>
            </w:pPr>
          </w:p>
          <w:p w:rsidR="004D5DB8" w:rsidRDefault="004D5DB8" w:rsidP="002840E5">
            <w:pPr>
              <w:pStyle w:val="TableParagraph"/>
              <w:ind w:left="315" w:right="-15"/>
              <w:rPr>
                <w:sz w:val="20"/>
              </w:rPr>
            </w:pPr>
            <w:r>
              <w:rPr>
                <w:noProof/>
                <w:sz w:val="20"/>
              </w:rPr>
              <w:drawing>
                <wp:inline distT="0" distB="0" distL="0" distR="0" wp14:anchorId="74C96D94" wp14:editId="6E7DAA31">
                  <wp:extent cx="314168" cy="310896"/>
                  <wp:effectExtent l="0" t="0" r="0" b="0"/>
                  <wp:docPr id="184"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9" w:type="dxa"/>
            <w:tcBorders>
              <w:top w:val="single" w:sz="4" w:space="0" w:color="auto"/>
              <w:left w:val="nil"/>
              <w:bottom w:val="single" w:sz="4" w:space="0" w:color="231F20"/>
              <w:right w:val="single" w:sz="4" w:space="0" w:color="231F20"/>
            </w:tcBorders>
          </w:tcPr>
          <w:p w:rsidR="004D5DB8" w:rsidRDefault="004D5DB8" w:rsidP="002840E5">
            <w:pPr>
              <w:pStyle w:val="TableParagraph"/>
              <w:spacing w:before="9"/>
              <w:ind w:left="0"/>
              <w:rPr>
                <w:b/>
                <w:sz w:val="8"/>
              </w:rPr>
            </w:pPr>
          </w:p>
          <w:p w:rsidR="004D5DB8" w:rsidRDefault="004D5DB8" w:rsidP="002840E5">
            <w:pPr>
              <w:pStyle w:val="TableParagraph"/>
              <w:ind w:left="48"/>
              <w:rPr>
                <w:sz w:val="20"/>
              </w:rPr>
            </w:pPr>
            <w:r>
              <w:rPr>
                <w:noProof/>
                <w:sz w:val="20"/>
              </w:rPr>
              <w:drawing>
                <wp:inline distT="0" distB="0" distL="0" distR="0" wp14:anchorId="65F71B80" wp14:editId="53E6E786">
                  <wp:extent cx="314168" cy="310896"/>
                  <wp:effectExtent l="0" t="0" r="0" b="0"/>
                  <wp:docPr id="186"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bl>
    <w:p w:rsidR="004D5DB8" w:rsidRDefault="004D5DB8" w:rsidP="004D5DB8">
      <w:pPr>
        <w:pStyle w:val="ListParagraph"/>
        <w:numPr>
          <w:ilvl w:val="0"/>
          <w:numId w:val="1003"/>
        </w:numPr>
        <w:tabs>
          <w:tab w:val="left" w:pos="304"/>
        </w:tabs>
        <w:spacing w:before="129"/>
        <w:rPr>
          <w:sz w:val="14"/>
        </w:rPr>
      </w:pPr>
      <w:r>
        <w:rPr>
          <w:color w:val="231F20"/>
          <w:sz w:val="14"/>
        </w:rPr>
        <w:t xml:space="preserve">The six seasons of Gunditjmara </w:t>
      </w:r>
      <w:r>
        <w:rPr>
          <w:color w:val="231F20"/>
          <w:spacing w:val="2"/>
          <w:sz w:val="14"/>
        </w:rPr>
        <w:t xml:space="preserve">country </w:t>
      </w:r>
      <w:r>
        <w:rPr>
          <w:color w:val="231F20"/>
          <w:sz w:val="14"/>
        </w:rPr>
        <w:t xml:space="preserve">match to reach 1b watering, as Figure </w:t>
      </w:r>
      <w:r>
        <w:rPr>
          <w:color w:val="231F20"/>
          <w:spacing w:val="2"/>
          <w:sz w:val="14"/>
        </w:rPr>
        <w:t>4.2.2</w:t>
      </w:r>
      <w:r>
        <w:rPr>
          <w:color w:val="231F20"/>
          <w:spacing w:val="-2"/>
          <w:sz w:val="14"/>
        </w:rPr>
        <w:t xml:space="preserve"> </w:t>
      </w:r>
      <w:r>
        <w:rPr>
          <w:color w:val="231F20"/>
          <w:sz w:val="14"/>
        </w:rPr>
        <w:t>shows.</w:t>
      </w:r>
    </w:p>
    <w:p w:rsidR="004D5DB8" w:rsidRDefault="004D5DB8" w:rsidP="00E455BB">
      <w:pPr>
        <w:spacing w:before="169" w:after="120"/>
        <w:ind w:left="210"/>
        <w:rPr>
          <w:b/>
          <w:sz w:val="18"/>
        </w:rPr>
      </w:pPr>
    </w:p>
    <w:p w:rsidR="004D5DB8" w:rsidRDefault="004D5DB8">
      <w:pPr>
        <w:rPr>
          <w:b/>
          <w:bCs/>
          <w:color w:val="231F20"/>
          <w:sz w:val="24"/>
          <w:szCs w:val="24"/>
        </w:rPr>
      </w:pPr>
      <w:r>
        <w:rPr>
          <w:color w:val="231F20"/>
        </w:rPr>
        <w:br w:type="page"/>
      </w:r>
    </w:p>
    <w:p w:rsidR="006A7A3F" w:rsidRDefault="00BC7372">
      <w:pPr>
        <w:pStyle w:val="Heading4"/>
        <w:spacing w:before="139"/>
      </w:pPr>
      <w:r>
        <w:rPr>
          <w:color w:val="231F20"/>
        </w:rPr>
        <w:t>Scenario planning</w:t>
      </w:r>
    </w:p>
    <w:p w:rsidR="006A7A3F" w:rsidRDefault="00BC7372">
      <w:pPr>
        <w:pStyle w:val="BodyText"/>
        <w:spacing w:before="58" w:line="249" w:lineRule="auto"/>
        <w:ind w:right="100"/>
      </w:pPr>
      <w:r>
        <w:rPr>
          <w:color w:val="231F20"/>
        </w:rPr>
        <w:t>Table 4.2.2 outlines the potential environmental watering and expected water use under a range of planning scenarios.</w:t>
      </w:r>
    </w:p>
    <w:p w:rsidR="006A7A3F" w:rsidRDefault="00BC7372">
      <w:pPr>
        <w:pStyle w:val="BodyText"/>
        <w:spacing w:line="249" w:lineRule="auto"/>
        <w:ind w:right="308"/>
      </w:pPr>
      <w:r>
        <w:rPr>
          <w:color w:val="231F20"/>
        </w:rPr>
        <w:t>The highest priority under all conditions is to provide summer/autumn low flow in reach 1b and reach 2 to maintain connectivity and water quality between pool habitats above Casterton. This is the only flow that is expected to be delivered under the drought scenario.</w:t>
      </w:r>
    </w:p>
    <w:p w:rsidR="006A7A3F" w:rsidRDefault="00BC7372">
      <w:pPr>
        <w:pStyle w:val="BodyText"/>
        <w:spacing w:line="249" w:lineRule="auto"/>
        <w:ind w:right="252"/>
      </w:pPr>
      <w:r>
        <w:rPr>
          <w:color w:val="231F20"/>
        </w:rPr>
        <w:t>Increased water availability under dry, average and wet scenarios will allow summer/autumn low flow to be delivered to reach 1a to provide additional swamp habitat and connection for native fish and frogs, and summer/ autumn freshes may also be delivered in reaches 1b and 2. These freshes are a high priority as they provide a cue for fish movement, allow native fish and platypus to disperse and wet streamside vegetation.</w:t>
      </w:r>
    </w:p>
    <w:p w:rsidR="006A7A3F" w:rsidRDefault="00BC7372">
      <w:pPr>
        <w:pStyle w:val="BodyText"/>
        <w:spacing w:before="174" w:line="249" w:lineRule="auto"/>
        <w:ind w:right="419"/>
      </w:pPr>
      <w:r>
        <w:rPr>
          <w:color w:val="231F20"/>
        </w:rPr>
        <w:t>Under dry and wet conditions, delivering summer/autumn freshes in reaches 1a and reach 3 are a high priority to increase the habitat availability for native fish and platypus to move throughout the river system. Under average and wet conditions, delivering winter/spring low flow in reach 1a is a high priority, to support swamp habitat for native fish and frogs because it receives little natural flow even during wet years.</w:t>
      </w:r>
    </w:p>
    <w:p w:rsidR="006A7A3F" w:rsidRDefault="00BC7372">
      <w:pPr>
        <w:pStyle w:val="BodyText"/>
        <w:spacing w:before="173" w:line="249" w:lineRule="auto"/>
        <w:ind w:right="216"/>
      </w:pPr>
      <w:r>
        <w:rPr>
          <w:color w:val="231F20"/>
        </w:rPr>
        <w:t>Delivering winter/spring freshes in reaches 1b and reach 2 is a high priority in the average scenario, to trigger native fish movement and platypus burrow selection in years when breeding is likely. Providing winter/spring low flow in reach 1b under wet conditions will increase habitat for native fish and platypus, which will also help breeding success. The magnitude and/or duration of some freshes may be increased in the average and wet scenarios to extend the benefit of specific events further downstream.</w:t>
      </w:r>
    </w:p>
    <w:p w:rsidR="006A7A3F" w:rsidRDefault="00BC7372">
      <w:pPr>
        <w:pStyle w:val="BodyText"/>
        <w:spacing w:before="174" w:line="249" w:lineRule="auto"/>
        <w:ind w:right="334"/>
      </w:pPr>
      <w:r>
        <w:rPr>
          <w:color w:val="231F20"/>
        </w:rPr>
        <w:t xml:space="preserve">If more water is available, the next priorities under all scenarios will be to deliver summer/autumn low flow through to the end of reach 3. Under the dry and average scenarios, additional priorities will be to provide winter/spring low flow in reach 1b, with summer/autumn freshes through to reach 3 in average conditions </w:t>
      </w:r>
      <w:r>
        <w:rPr>
          <w:color w:val="231F20"/>
          <w:spacing w:val="-4"/>
        </w:rPr>
        <w:t xml:space="preserve">only. </w:t>
      </w:r>
      <w:r>
        <w:rPr>
          <w:color w:val="231F20"/>
        </w:rPr>
        <w:t xml:space="preserve">Delivering winter/spring freshes through to reach 2 under the dry and wet scenarios is a high </w:t>
      </w:r>
      <w:r>
        <w:rPr>
          <w:color w:val="231F20"/>
          <w:spacing w:val="-3"/>
        </w:rPr>
        <w:t xml:space="preserve">priority, </w:t>
      </w:r>
      <w:r>
        <w:rPr>
          <w:color w:val="231F20"/>
        </w:rPr>
        <w:t>to support streamside vegetation and provide additional flows to increase access for native fish and platypus to feeding and breeding habitat.</w:t>
      </w:r>
    </w:p>
    <w:p w:rsidR="006A7A3F" w:rsidRDefault="00BC7372" w:rsidP="00F31241">
      <w:pPr>
        <w:pStyle w:val="BodyText"/>
        <w:spacing w:before="175" w:line="249" w:lineRule="auto"/>
        <w:ind w:right="263"/>
      </w:pPr>
      <w:r>
        <w:rPr>
          <w:color w:val="231F20"/>
        </w:rPr>
        <w:t>Reserving water for carryover into the 2021–22 water year will be a priority under all scenarios, to ensure sufficient water is available to deliver the highest-priority flows during summer and autumn 2022. The volume carried over against the Wimmera-Glenelg environmental entitlement will be decided in consultation with the Wimmera and</w:t>
      </w:r>
      <w:r w:rsidR="00F31241">
        <w:rPr>
          <w:color w:val="231F20"/>
        </w:rPr>
        <w:t xml:space="preserve"> </w:t>
      </w:r>
      <w:r>
        <w:rPr>
          <w:color w:val="231F20"/>
        </w:rPr>
        <w:t>the Glenelg Hopkins CMAs during the year, and it will be based on use during 2020–21, seasonal conditions and seasonal outlooks for 2021–22.</w:t>
      </w:r>
    </w:p>
    <w:p w:rsidR="006A7A3F" w:rsidRDefault="00BC7372">
      <w:pPr>
        <w:spacing w:before="166"/>
        <w:ind w:left="210"/>
        <w:rPr>
          <w:b/>
          <w:sz w:val="18"/>
        </w:rPr>
      </w:pPr>
      <w:r>
        <w:rPr>
          <w:b/>
          <w:color w:val="231F20"/>
          <w:sz w:val="18"/>
        </w:rPr>
        <w:t>Table 4.2.2 Potential environmental watering for the Glenelg River under a range of planning scenarios</w:t>
      </w:r>
    </w:p>
    <w:p w:rsidR="006A7A3F" w:rsidRDefault="006A7A3F">
      <w:pPr>
        <w:pStyle w:val="BodyText"/>
        <w:spacing w:before="0"/>
        <w:ind w:left="0"/>
        <w:rPr>
          <w:b/>
          <w:sz w:val="9"/>
        </w:rPr>
      </w:pP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4D5DB8">
        <w:trPr>
          <w:trHeight w:val="367"/>
          <w:tblHeader/>
        </w:trPr>
        <w:tc>
          <w:tcPr>
            <w:tcW w:w="2041" w:type="dxa"/>
            <w:tcBorders>
              <w:top w:val="nil"/>
              <w:left w:val="nil"/>
              <w:bottom w:val="nil"/>
            </w:tcBorders>
            <w:shd w:val="clear" w:color="auto" w:fill="231F20"/>
          </w:tcPr>
          <w:p w:rsidR="006A7A3F" w:rsidRDefault="00BC7372">
            <w:pPr>
              <w:pStyle w:val="TableParagraph"/>
              <w:spacing w:before="73"/>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Average</w:t>
            </w:r>
          </w:p>
        </w:tc>
        <w:tc>
          <w:tcPr>
            <w:tcW w:w="2041" w:type="dxa"/>
            <w:tcBorders>
              <w:top w:val="nil"/>
              <w:bottom w:val="nil"/>
              <w:right w:val="nil"/>
            </w:tcBorders>
            <w:shd w:val="clear" w:color="auto" w:fill="231F20"/>
          </w:tcPr>
          <w:p w:rsidR="006A7A3F" w:rsidRDefault="00BC7372">
            <w:pPr>
              <w:pStyle w:val="TableParagraph"/>
              <w:spacing w:before="73"/>
              <w:ind w:left="84"/>
              <w:rPr>
                <w:b/>
                <w:sz w:val="18"/>
              </w:rPr>
            </w:pPr>
            <w:r>
              <w:rPr>
                <w:b/>
                <w:color w:val="FFFFFF"/>
                <w:sz w:val="18"/>
              </w:rPr>
              <w:t>Wet</w:t>
            </w:r>
          </w:p>
        </w:tc>
      </w:tr>
      <w:tr w:rsidR="004D5DB8" w:rsidTr="004D5DB8">
        <w:trPr>
          <w:trHeight w:val="787"/>
        </w:trPr>
        <w:tc>
          <w:tcPr>
            <w:tcW w:w="2041" w:type="dxa"/>
            <w:tcBorders>
              <w:top w:val="nil"/>
              <w:left w:val="single" w:sz="4" w:space="0" w:color="231F20"/>
              <w:bottom w:val="single" w:sz="4" w:space="0" w:color="231F20"/>
              <w:right w:val="single" w:sz="4" w:space="0" w:color="231F20"/>
            </w:tcBorders>
          </w:tcPr>
          <w:p w:rsidR="004D5DB8" w:rsidRDefault="004D5DB8" w:rsidP="004D5DB8">
            <w:pPr>
              <w:pStyle w:val="TableParagraph"/>
              <w:spacing w:before="70" w:line="254" w:lineRule="auto"/>
              <w:ind w:left="85" w:right="775"/>
              <w:rPr>
                <w:sz w:val="18"/>
              </w:rPr>
            </w:pPr>
            <w:r>
              <w:rPr>
                <w:color w:val="231F20"/>
                <w:sz w:val="18"/>
              </w:rPr>
              <w:t>Expected river conditions</w:t>
            </w:r>
          </w:p>
        </w:tc>
        <w:tc>
          <w:tcPr>
            <w:tcW w:w="2041" w:type="dxa"/>
            <w:tcBorders>
              <w:top w:val="nil"/>
              <w:left w:val="single" w:sz="4" w:space="0" w:color="231F20"/>
              <w:bottom w:val="single" w:sz="4" w:space="0" w:color="231F20"/>
              <w:right w:val="single" w:sz="4" w:space="0" w:color="231F20"/>
            </w:tcBorders>
          </w:tcPr>
          <w:p w:rsidR="004D5DB8" w:rsidRDefault="004D5DB8" w:rsidP="004D5DB8">
            <w:pPr>
              <w:pStyle w:val="TableParagraph"/>
              <w:numPr>
                <w:ilvl w:val="0"/>
                <w:numId w:val="1002"/>
              </w:numPr>
              <w:tabs>
                <w:tab w:val="left" w:pos="305"/>
              </w:tabs>
              <w:spacing w:before="75" w:line="244" w:lineRule="auto"/>
              <w:ind w:right="708"/>
              <w:rPr>
                <w:sz w:val="17"/>
              </w:rPr>
            </w:pPr>
            <w:r>
              <w:rPr>
                <w:color w:val="231F20"/>
                <w:sz w:val="17"/>
              </w:rPr>
              <w:t>Low volumes of</w:t>
            </w:r>
            <w:r>
              <w:rPr>
                <w:color w:val="231F20"/>
                <w:spacing w:val="2"/>
                <w:sz w:val="17"/>
              </w:rPr>
              <w:t xml:space="preserve"> </w:t>
            </w:r>
            <w:r>
              <w:rPr>
                <w:color w:val="231F20"/>
                <w:sz w:val="17"/>
              </w:rPr>
              <w:t>passing,</w:t>
            </w:r>
          </w:p>
          <w:p w:rsidR="004D5DB8" w:rsidRDefault="004D5DB8" w:rsidP="004D5DB8">
            <w:pPr>
              <w:pStyle w:val="TableParagraph"/>
              <w:spacing w:before="2" w:line="244" w:lineRule="auto"/>
              <w:rPr>
                <w:sz w:val="17"/>
              </w:rPr>
            </w:pPr>
            <w:r>
              <w:rPr>
                <w:color w:val="231F20"/>
                <w:sz w:val="17"/>
              </w:rPr>
              <w:t>compensation and natural flow</w:t>
            </w:r>
          </w:p>
        </w:tc>
        <w:tc>
          <w:tcPr>
            <w:tcW w:w="2041" w:type="dxa"/>
            <w:tcBorders>
              <w:top w:val="nil"/>
              <w:left w:val="single" w:sz="4" w:space="0" w:color="231F20"/>
              <w:bottom w:val="single" w:sz="4" w:space="0" w:color="231F20"/>
              <w:right w:val="single" w:sz="4" w:space="0" w:color="231F20"/>
            </w:tcBorders>
          </w:tcPr>
          <w:p w:rsidR="004D5DB8" w:rsidRDefault="004D5DB8" w:rsidP="004D5DB8">
            <w:pPr>
              <w:pStyle w:val="TableParagraph"/>
              <w:numPr>
                <w:ilvl w:val="0"/>
                <w:numId w:val="1001"/>
              </w:numPr>
              <w:tabs>
                <w:tab w:val="left" w:pos="305"/>
              </w:tabs>
              <w:spacing w:before="75" w:line="244" w:lineRule="auto"/>
              <w:ind w:right="302"/>
              <w:rPr>
                <w:sz w:val="17"/>
              </w:rPr>
            </w:pPr>
            <w:r>
              <w:rPr>
                <w:color w:val="231F20"/>
                <w:sz w:val="17"/>
              </w:rPr>
              <w:t xml:space="preserve">Some passing, compensation </w:t>
            </w:r>
            <w:r>
              <w:rPr>
                <w:color w:val="231F20"/>
                <w:spacing w:val="-6"/>
                <w:sz w:val="17"/>
              </w:rPr>
              <w:t xml:space="preserve">and </w:t>
            </w:r>
            <w:r>
              <w:rPr>
                <w:color w:val="231F20"/>
                <w:sz w:val="17"/>
              </w:rPr>
              <w:t>natural</w:t>
            </w:r>
            <w:r>
              <w:rPr>
                <w:color w:val="231F20"/>
                <w:spacing w:val="2"/>
                <w:sz w:val="17"/>
              </w:rPr>
              <w:t xml:space="preserve"> </w:t>
            </w:r>
            <w:r>
              <w:rPr>
                <w:color w:val="231F20"/>
                <w:sz w:val="17"/>
              </w:rPr>
              <w:t>flow</w:t>
            </w:r>
          </w:p>
        </w:tc>
        <w:tc>
          <w:tcPr>
            <w:tcW w:w="2041" w:type="dxa"/>
            <w:tcBorders>
              <w:top w:val="nil"/>
              <w:left w:val="single" w:sz="4" w:space="0" w:color="231F20"/>
              <w:bottom w:val="single" w:sz="4" w:space="0" w:color="231F20"/>
              <w:right w:val="single" w:sz="4" w:space="0" w:color="231F20"/>
            </w:tcBorders>
          </w:tcPr>
          <w:p w:rsidR="004D5DB8" w:rsidRDefault="004D5DB8" w:rsidP="004D5DB8">
            <w:pPr>
              <w:pStyle w:val="TableParagraph"/>
              <w:numPr>
                <w:ilvl w:val="0"/>
                <w:numId w:val="1000"/>
              </w:numPr>
              <w:tabs>
                <w:tab w:val="left" w:pos="305"/>
              </w:tabs>
              <w:spacing w:before="75" w:line="244" w:lineRule="auto"/>
              <w:ind w:right="302"/>
              <w:rPr>
                <w:sz w:val="17"/>
              </w:rPr>
            </w:pPr>
            <w:r>
              <w:rPr>
                <w:color w:val="231F20"/>
                <w:sz w:val="17"/>
              </w:rPr>
              <w:t xml:space="preserve">Some passing, compensation </w:t>
            </w:r>
            <w:r>
              <w:rPr>
                <w:color w:val="231F20"/>
                <w:spacing w:val="-6"/>
                <w:sz w:val="17"/>
              </w:rPr>
              <w:t xml:space="preserve">and </w:t>
            </w:r>
            <w:r>
              <w:rPr>
                <w:color w:val="231F20"/>
                <w:sz w:val="17"/>
              </w:rPr>
              <w:t>significant natural flow, particularly in winter/spring</w:t>
            </w:r>
          </w:p>
        </w:tc>
        <w:tc>
          <w:tcPr>
            <w:tcW w:w="2041" w:type="dxa"/>
            <w:tcBorders>
              <w:top w:val="nil"/>
              <w:left w:val="single" w:sz="4" w:space="0" w:color="231F20"/>
              <w:bottom w:val="single" w:sz="4" w:space="0" w:color="231F20"/>
              <w:right w:val="single" w:sz="4" w:space="0" w:color="231F20"/>
            </w:tcBorders>
          </w:tcPr>
          <w:p w:rsidR="004D5DB8" w:rsidRDefault="004D5DB8" w:rsidP="004D5DB8">
            <w:pPr>
              <w:pStyle w:val="TableParagraph"/>
              <w:numPr>
                <w:ilvl w:val="0"/>
                <w:numId w:val="999"/>
              </w:numPr>
              <w:tabs>
                <w:tab w:val="left" w:pos="305"/>
              </w:tabs>
              <w:spacing w:before="75" w:line="244" w:lineRule="auto"/>
              <w:ind w:right="302"/>
              <w:rPr>
                <w:sz w:val="17"/>
              </w:rPr>
            </w:pPr>
            <w:r>
              <w:rPr>
                <w:color w:val="231F20"/>
                <w:sz w:val="17"/>
              </w:rPr>
              <w:t xml:space="preserve">Passing, compensation </w:t>
            </w:r>
            <w:r>
              <w:rPr>
                <w:color w:val="231F20"/>
                <w:spacing w:val="-6"/>
                <w:sz w:val="17"/>
              </w:rPr>
              <w:t xml:space="preserve">and </w:t>
            </w:r>
            <w:r>
              <w:rPr>
                <w:color w:val="231F20"/>
                <w:sz w:val="17"/>
              </w:rPr>
              <w:t>natural flow meet some watering requirements in winter/spring</w:t>
            </w:r>
          </w:p>
        </w:tc>
      </w:tr>
      <w:tr w:rsidR="006A7A3F" w:rsidTr="004D5DB8">
        <w:trPr>
          <w:trHeight w:val="787"/>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95"/>
              <w:rPr>
                <w:sz w:val="10"/>
              </w:rPr>
            </w:pPr>
            <w:r>
              <w:rPr>
                <w:color w:val="231F20"/>
                <w:sz w:val="18"/>
              </w:rPr>
              <w:t>Expected availability of water for the environment</w:t>
            </w:r>
            <w:r>
              <w:rPr>
                <w:color w:val="231F20"/>
                <w:position w:val="6"/>
                <w:sz w:val="10"/>
              </w:rPr>
              <w:t>1</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98"/>
              </w:numPr>
              <w:tabs>
                <w:tab w:val="left" w:pos="305"/>
              </w:tabs>
              <w:spacing w:before="68"/>
              <w:rPr>
                <w:sz w:val="17"/>
              </w:rPr>
            </w:pPr>
            <w:r>
              <w:rPr>
                <w:color w:val="231F20"/>
                <w:sz w:val="17"/>
              </w:rPr>
              <w:t>19,600</w:t>
            </w:r>
            <w:r>
              <w:rPr>
                <w:color w:val="231F20"/>
                <w:spacing w:val="1"/>
                <w:sz w:val="17"/>
              </w:rPr>
              <w:t xml:space="preserve"> </w:t>
            </w:r>
            <w:r>
              <w:rPr>
                <w:color w:val="231F20"/>
                <w:sz w:val="17"/>
              </w:rPr>
              <w:t>ML</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97"/>
              </w:numPr>
              <w:tabs>
                <w:tab w:val="left" w:pos="305"/>
              </w:tabs>
              <w:spacing w:before="68"/>
              <w:rPr>
                <w:sz w:val="17"/>
              </w:rPr>
            </w:pPr>
            <w:r>
              <w:rPr>
                <w:color w:val="231F20"/>
                <w:sz w:val="17"/>
              </w:rPr>
              <w:t>36,635</w:t>
            </w:r>
            <w:r>
              <w:rPr>
                <w:color w:val="231F20"/>
                <w:spacing w:val="1"/>
                <w:sz w:val="17"/>
              </w:rPr>
              <w:t xml:space="preserve"> </w:t>
            </w:r>
            <w:r>
              <w:rPr>
                <w:color w:val="231F20"/>
                <w:sz w:val="17"/>
              </w:rPr>
              <w:t>ML</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96"/>
              </w:numPr>
              <w:tabs>
                <w:tab w:val="left" w:pos="305"/>
              </w:tabs>
              <w:spacing w:before="68"/>
              <w:rPr>
                <w:sz w:val="17"/>
              </w:rPr>
            </w:pPr>
            <w:r>
              <w:rPr>
                <w:color w:val="231F20"/>
                <w:sz w:val="17"/>
              </w:rPr>
              <w:t>50,426</w:t>
            </w:r>
            <w:r>
              <w:rPr>
                <w:color w:val="231F20"/>
                <w:spacing w:val="1"/>
                <w:sz w:val="17"/>
              </w:rPr>
              <w:t xml:space="preserve"> </w:t>
            </w:r>
            <w:r>
              <w:rPr>
                <w:color w:val="231F20"/>
                <w:sz w:val="17"/>
              </w:rPr>
              <w:t>ML</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95"/>
              </w:numPr>
              <w:tabs>
                <w:tab w:val="left" w:pos="305"/>
              </w:tabs>
              <w:spacing w:before="68"/>
              <w:rPr>
                <w:sz w:val="17"/>
              </w:rPr>
            </w:pPr>
            <w:r>
              <w:rPr>
                <w:color w:val="231F20"/>
                <w:sz w:val="17"/>
              </w:rPr>
              <w:t>60,160</w:t>
            </w:r>
            <w:r>
              <w:rPr>
                <w:color w:val="231F20"/>
                <w:spacing w:val="1"/>
                <w:sz w:val="17"/>
              </w:rPr>
              <w:t xml:space="preserve"> </w:t>
            </w:r>
            <w:r>
              <w:rPr>
                <w:color w:val="231F20"/>
                <w:sz w:val="17"/>
              </w:rPr>
              <w:t>ML</w:t>
            </w:r>
          </w:p>
        </w:tc>
      </w:tr>
      <w:tr w:rsidR="006A7A3F" w:rsidTr="004D5DB8">
        <w:trPr>
          <w:trHeight w:val="442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73"/>
              <w:jc w:val="both"/>
              <w:rPr>
                <w:sz w:val="10"/>
              </w:rPr>
            </w:pPr>
            <w:r>
              <w:rPr>
                <w:color w:val="231F20"/>
                <w:sz w:val="18"/>
              </w:rPr>
              <w:t>Potential</w:t>
            </w:r>
            <w:r>
              <w:rPr>
                <w:color w:val="231F20"/>
                <w:spacing w:val="-23"/>
                <w:sz w:val="18"/>
              </w:rPr>
              <w:t xml:space="preserve"> </w:t>
            </w:r>
            <w:r>
              <w:rPr>
                <w:color w:val="231F20"/>
                <w:sz w:val="18"/>
              </w:rPr>
              <w:t>environmental watering – tier 1a (high priorities)</w:t>
            </w:r>
            <w:r>
              <w:rPr>
                <w:color w:val="231F20"/>
                <w:position w:val="6"/>
                <w:sz w:val="10"/>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94"/>
              </w:numPr>
              <w:tabs>
                <w:tab w:val="left" w:pos="305"/>
              </w:tabs>
              <w:spacing w:before="68"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1b</w:t>
            </w:r>
          </w:p>
          <w:p w:rsidR="006A7A3F" w:rsidRDefault="00BC7372">
            <w:pPr>
              <w:pStyle w:val="TableParagraph"/>
              <w:numPr>
                <w:ilvl w:val="0"/>
                <w:numId w:val="994"/>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93"/>
              </w:numPr>
              <w:tabs>
                <w:tab w:val="left" w:pos="305"/>
              </w:tabs>
              <w:spacing w:before="68"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1a</w:t>
            </w:r>
          </w:p>
          <w:p w:rsidR="006A7A3F" w:rsidRDefault="00BC7372">
            <w:pPr>
              <w:pStyle w:val="TableParagraph"/>
              <w:numPr>
                <w:ilvl w:val="0"/>
                <w:numId w:val="993"/>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1b</w:t>
            </w:r>
          </w:p>
          <w:p w:rsidR="006A7A3F" w:rsidRDefault="00BC7372">
            <w:pPr>
              <w:pStyle w:val="TableParagraph"/>
              <w:numPr>
                <w:ilvl w:val="0"/>
                <w:numId w:val="993"/>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2</w:t>
            </w:r>
          </w:p>
          <w:p w:rsidR="006A7A3F" w:rsidRDefault="00BC7372">
            <w:pPr>
              <w:pStyle w:val="TableParagraph"/>
              <w:numPr>
                <w:ilvl w:val="0"/>
                <w:numId w:val="993"/>
              </w:numPr>
              <w:tabs>
                <w:tab w:val="left" w:pos="305"/>
              </w:tabs>
              <w:spacing w:before="87"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7"/>
                <w:sz w:val="17"/>
              </w:rPr>
              <w:t xml:space="preserve"> </w:t>
            </w:r>
            <w:r>
              <w:rPr>
                <w:color w:val="231F20"/>
                <w:sz w:val="17"/>
              </w:rPr>
              <w:t>1a</w:t>
            </w:r>
          </w:p>
          <w:p w:rsidR="006A7A3F" w:rsidRDefault="00BC7372">
            <w:pPr>
              <w:pStyle w:val="TableParagraph"/>
              <w:numPr>
                <w:ilvl w:val="0"/>
                <w:numId w:val="993"/>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7"/>
                <w:sz w:val="17"/>
              </w:rPr>
              <w:t xml:space="preserve"> </w:t>
            </w:r>
            <w:r>
              <w:rPr>
                <w:color w:val="231F20"/>
                <w:sz w:val="17"/>
              </w:rPr>
              <w:t>1b</w:t>
            </w:r>
          </w:p>
          <w:p w:rsidR="006A7A3F" w:rsidRDefault="00BC7372">
            <w:pPr>
              <w:pStyle w:val="TableParagraph"/>
              <w:numPr>
                <w:ilvl w:val="0"/>
                <w:numId w:val="993"/>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6"/>
                <w:sz w:val="17"/>
              </w:rPr>
              <w:t xml:space="preserve"> </w:t>
            </w:r>
            <w:r>
              <w:rPr>
                <w:color w:val="231F20"/>
                <w:sz w:val="17"/>
              </w:rPr>
              <w:t>2</w:t>
            </w:r>
          </w:p>
          <w:p w:rsidR="006A7A3F" w:rsidRDefault="00BC7372">
            <w:pPr>
              <w:pStyle w:val="TableParagraph"/>
              <w:numPr>
                <w:ilvl w:val="0"/>
                <w:numId w:val="993"/>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6"/>
                <w:sz w:val="17"/>
              </w:rPr>
              <w:t xml:space="preserve"> </w:t>
            </w:r>
            <w:r>
              <w:rPr>
                <w:color w:val="231F20"/>
                <w:sz w:val="17"/>
              </w:rPr>
              <w:t>3</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92"/>
              </w:numPr>
              <w:tabs>
                <w:tab w:val="left" w:pos="305"/>
              </w:tabs>
              <w:spacing w:before="68"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1a</w:t>
            </w:r>
          </w:p>
          <w:p w:rsidR="006A7A3F" w:rsidRDefault="00BC7372">
            <w:pPr>
              <w:pStyle w:val="TableParagraph"/>
              <w:numPr>
                <w:ilvl w:val="0"/>
                <w:numId w:val="992"/>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1b</w:t>
            </w:r>
          </w:p>
          <w:p w:rsidR="006A7A3F" w:rsidRDefault="00BC7372">
            <w:pPr>
              <w:pStyle w:val="TableParagraph"/>
              <w:numPr>
                <w:ilvl w:val="0"/>
                <w:numId w:val="992"/>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2</w:t>
            </w:r>
          </w:p>
          <w:p w:rsidR="006A7A3F" w:rsidRDefault="00BC7372">
            <w:pPr>
              <w:pStyle w:val="TableParagraph"/>
              <w:numPr>
                <w:ilvl w:val="0"/>
                <w:numId w:val="992"/>
              </w:numPr>
              <w:tabs>
                <w:tab w:val="left" w:pos="305"/>
              </w:tabs>
              <w:spacing w:before="87" w:line="244" w:lineRule="auto"/>
              <w:ind w:right="235"/>
              <w:rPr>
                <w:sz w:val="17"/>
              </w:rPr>
            </w:pPr>
            <w:r>
              <w:rPr>
                <w:color w:val="231F20"/>
                <w:sz w:val="17"/>
              </w:rPr>
              <w:t>Three winter/spring freshes reach</w:t>
            </w:r>
            <w:r>
              <w:rPr>
                <w:color w:val="231F20"/>
                <w:spacing w:val="10"/>
                <w:sz w:val="17"/>
              </w:rPr>
              <w:t xml:space="preserve"> </w:t>
            </w:r>
            <w:r>
              <w:rPr>
                <w:color w:val="231F20"/>
                <w:sz w:val="17"/>
              </w:rPr>
              <w:t>1b</w:t>
            </w:r>
          </w:p>
          <w:p w:rsidR="006A7A3F" w:rsidRDefault="00BC7372">
            <w:pPr>
              <w:pStyle w:val="TableParagraph"/>
              <w:numPr>
                <w:ilvl w:val="0"/>
                <w:numId w:val="992"/>
              </w:numPr>
              <w:tabs>
                <w:tab w:val="left" w:pos="305"/>
              </w:tabs>
              <w:spacing w:before="86" w:line="244" w:lineRule="auto"/>
              <w:ind w:right="235"/>
              <w:rPr>
                <w:sz w:val="17"/>
              </w:rPr>
            </w:pPr>
            <w:r>
              <w:rPr>
                <w:color w:val="231F20"/>
                <w:sz w:val="17"/>
              </w:rPr>
              <w:t>Three winter/spring freshes reach</w:t>
            </w:r>
            <w:r>
              <w:rPr>
                <w:color w:val="231F20"/>
                <w:spacing w:val="8"/>
                <w:sz w:val="17"/>
              </w:rPr>
              <w:t xml:space="preserve"> </w:t>
            </w:r>
            <w:r>
              <w:rPr>
                <w:color w:val="231F20"/>
                <w:sz w:val="17"/>
              </w:rPr>
              <w:t>2</w:t>
            </w:r>
          </w:p>
          <w:p w:rsidR="006A7A3F" w:rsidRDefault="00BC7372">
            <w:pPr>
              <w:pStyle w:val="TableParagraph"/>
              <w:numPr>
                <w:ilvl w:val="0"/>
                <w:numId w:val="992"/>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7"/>
                <w:sz w:val="17"/>
              </w:rPr>
              <w:t xml:space="preserve"> </w:t>
            </w:r>
            <w:r>
              <w:rPr>
                <w:color w:val="231F20"/>
                <w:sz w:val="17"/>
              </w:rPr>
              <w:t>1b</w:t>
            </w:r>
          </w:p>
          <w:p w:rsidR="006A7A3F" w:rsidRDefault="00BC7372">
            <w:pPr>
              <w:pStyle w:val="TableParagraph"/>
              <w:numPr>
                <w:ilvl w:val="0"/>
                <w:numId w:val="992"/>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6"/>
                <w:sz w:val="17"/>
              </w:rPr>
              <w:t xml:space="preserve"> </w:t>
            </w:r>
            <w:r>
              <w:rPr>
                <w:color w:val="231F20"/>
                <w:sz w:val="17"/>
              </w:rPr>
              <w:t>2</w:t>
            </w:r>
          </w:p>
          <w:p w:rsidR="006A7A3F" w:rsidRDefault="00BC7372">
            <w:pPr>
              <w:pStyle w:val="TableParagraph"/>
              <w:numPr>
                <w:ilvl w:val="0"/>
                <w:numId w:val="992"/>
              </w:numPr>
              <w:tabs>
                <w:tab w:val="left" w:pos="305"/>
              </w:tabs>
              <w:spacing w:before="87"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6"/>
                <w:sz w:val="17"/>
              </w:rPr>
              <w:t xml:space="preserve"> </w:t>
            </w:r>
            <w:r>
              <w:rPr>
                <w:color w:val="231F20"/>
                <w:sz w:val="17"/>
              </w:rPr>
              <w:t>1a</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91"/>
              </w:numPr>
              <w:tabs>
                <w:tab w:val="left" w:pos="305"/>
              </w:tabs>
              <w:spacing w:before="68"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1a</w:t>
            </w:r>
          </w:p>
          <w:p w:rsidR="006A7A3F" w:rsidRDefault="00BC7372">
            <w:pPr>
              <w:pStyle w:val="TableParagraph"/>
              <w:numPr>
                <w:ilvl w:val="0"/>
                <w:numId w:val="991"/>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1b</w:t>
            </w:r>
          </w:p>
          <w:p w:rsidR="006A7A3F" w:rsidRDefault="00BC7372">
            <w:pPr>
              <w:pStyle w:val="TableParagraph"/>
              <w:numPr>
                <w:ilvl w:val="0"/>
                <w:numId w:val="991"/>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2</w:t>
            </w:r>
          </w:p>
          <w:p w:rsidR="006A7A3F" w:rsidRDefault="00BC7372">
            <w:pPr>
              <w:pStyle w:val="TableParagraph"/>
              <w:numPr>
                <w:ilvl w:val="0"/>
                <w:numId w:val="991"/>
              </w:numPr>
              <w:tabs>
                <w:tab w:val="left" w:pos="305"/>
              </w:tabs>
              <w:spacing w:before="87"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7"/>
                <w:sz w:val="17"/>
              </w:rPr>
              <w:t xml:space="preserve"> </w:t>
            </w:r>
            <w:r>
              <w:rPr>
                <w:color w:val="231F20"/>
                <w:sz w:val="17"/>
              </w:rPr>
              <w:t>1a</w:t>
            </w:r>
          </w:p>
          <w:p w:rsidR="006A7A3F" w:rsidRDefault="00BC7372">
            <w:pPr>
              <w:pStyle w:val="TableParagraph"/>
              <w:numPr>
                <w:ilvl w:val="0"/>
                <w:numId w:val="991"/>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7"/>
                <w:sz w:val="17"/>
              </w:rPr>
              <w:t xml:space="preserve"> </w:t>
            </w:r>
            <w:r>
              <w:rPr>
                <w:color w:val="231F20"/>
                <w:sz w:val="17"/>
              </w:rPr>
              <w:t>1b</w:t>
            </w:r>
          </w:p>
          <w:p w:rsidR="006A7A3F" w:rsidRDefault="00BC7372">
            <w:pPr>
              <w:pStyle w:val="TableParagraph"/>
              <w:numPr>
                <w:ilvl w:val="0"/>
                <w:numId w:val="991"/>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6"/>
                <w:sz w:val="17"/>
              </w:rPr>
              <w:t xml:space="preserve"> </w:t>
            </w:r>
            <w:r>
              <w:rPr>
                <w:color w:val="231F20"/>
                <w:sz w:val="17"/>
              </w:rPr>
              <w:t>2</w:t>
            </w:r>
          </w:p>
          <w:p w:rsidR="006A7A3F" w:rsidRDefault="00BC7372">
            <w:pPr>
              <w:pStyle w:val="TableParagraph"/>
              <w:numPr>
                <w:ilvl w:val="0"/>
                <w:numId w:val="991"/>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6"/>
                <w:sz w:val="17"/>
              </w:rPr>
              <w:t xml:space="preserve"> </w:t>
            </w:r>
            <w:r>
              <w:rPr>
                <w:color w:val="231F20"/>
                <w:sz w:val="17"/>
              </w:rPr>
              <w:t>3</w:t>
            </w:r>
          </w:p>
          <w:p w:rsidR="006A7A3F" w:rsidRDefault="00BC7372">
            <w:pPr>
              <w:pStyle w:val="TableParagraph"/>
              <w:numPr>
                <w:ilvl w:val="0"/>
                <w:numId w:val="991"/>
              </w:numPr>
              <w:tabs>
                <w:tab w:val="left" w:pos="305"/>
              </w:tabs>
              <w:spacing w:before="87"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6"/>
                <w:sz w:val="17"/>
              </w:rPr>
              <w:t xml:space="preserve"> </w:t>
            </w:r>
            <w:r>
              <w:rPr>
                <w:color w:val="231F20"/>
                <w:sz w:val="17"/>
              </w:rPr>
              <w:t>1a</w:t>
            </w:r>
          </w:p>
          <w:p w:rsidR="006A7A3F" w:rsidRDefault="00BC7372">
            <w:pPr>
              <w:pStyle w:val="TableParagraph"/>
              <w:numPr>
                <w:ilvl w:val="0"/>
                <w:numId w:val="991"/>
              </w:numPr>
              <w:tabs>
                <w:tab w:val="left" w:pos="305"/>
              </w:tabs>
              <w:spacing w:before="86"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6"/>
                <w:sz w:val="17"/>
              </w:rPr>
              <w:t xml:space="preserve"> </w:t>
            </w:r>
            <w:r>
              <w:rPr>
                <w:color w:val="231F20"/>
                <w:sz w:val="17"/>
              </w:rPr>
              <w:t>1b</w:t>
            </w:r>
          </w:p>
        </w:tc>
      </w:tr>
      <w:tr w:rsidR="006A7A3F" w:rsidTr="004D5DB8">
        <w:trPr>
          <w:trHeight w:val="2968"/>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73"/>
              <w:jc w:val="both"/>
              <w:rPr>
                <w:sz w:val="10"/>
              </w:rPr>
            </w:pPr>
            <w:r>
              <w:rPr>
                <w:color w:val="231F20"/>
                <w:sz w:val="18"/>
              </w:rPr>
              <w:t>Potential</w:t>
            </w:r>
            <w:r>
              <w:rPr>
                <w:color w:val="231F20"/>
                <w:spacing w:val="-23"/>
                <w:sz w:val="18"/>
              </w:rPr>
              <w:t xml:space="preserve"> </w:t>
            </w:r>
            <w:r>
              <w:rPr>
                <w:color w:val="231F20"/>
                <w:sz w:val="18"/>
              </w:rPr>
              <w:t>environmental watering – tier 1b (high priorities with</w:t>
            </w:r>
            <w:r>
              <w:rPr>
                <w:color w:val="231F20"/>
                <w:spacing w:val="-9"/>
                <w:sz w:val="18"/>
              </w:rPr>
              <w:t xml:space="preserve"> </w:t>
            </w:r>
            <w:r>
              <w:rPr>
                <w:color w:val="231F20"/>
                <w:sz w:val="18"/>
              </w:rPr>
              <w:t>shortfall)</w:t>
            </w:r>
            <w:r>
              <w:rPr>
                <w:color w:val="231F20"/>
                <w:position w:val="6"/>
                <w:sz w:val="10"/>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90"/>
              </w:numPr>
              <w:tabs>
                <w:tab w:val="left" w:pos="305"/>
              </w:tabs>
              <w:spacing w:before="68"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1a</w:t>
            </w:r>
          </w:p>
          <w:p w:rsidR="006A7A3F" w:rsidRDefault="00BC7372">
            <w:pPr>
              <w:pStyle w:val="TableParagraph"/>
              <w:numPr>
                <w:ilvl w:val="0"/>
                <w:numId w:val="990"/>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3</w:t>
            </w:r>
          </w:p>
          <w:p w:rsidR="006A7A3F" w:rsidRDefault="00BC7372">
            <w:pPr>
              <w:pStyle w:val="TableParagraph"/>
              <w:numPr>
                <w:ilvl w:val="0"/>
                <w:numId w:val="990"/>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7"/>
                <w:sz w:val="17"/>
              </w:rPr>
              <w:t xml:space="preserve"> </w:t>
            </w:r>
            <w:r>
              <w:rPr>
                <w:color w:val="231F20"/>
                <w:sz w:val="17"/>
              </w:rPr>
              <w:t>1a</w:t>
            </w:r>
          </w:p>
          <w:p w:rsidR="006A7A3F" w:rsidRDefault="00BC7372">
            <w:pPr>
              <w:pStyle w:val="TableParagraph"/>
              <w:numPr>
                <w:ilvl w:val="0"/>
                <w:numId w:val="990"/>
              </w:numPr>
              <w:tabs>
                <w:tab w:val="left" w:pos="305"/>
              </w:tabs>
              <w:spacing w:before="87"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7"/>
                <w:sz w:val="17"/>
              </w:rPr>
              <w:t xml:space="preserve"> </w:t>
            </w:r>
            <w:r>
              <w:rPr>
                <w:color w:val="231F20"/>
                <w:sz w:val="17"/>
              </w:rPr>
              <w:t>1b</w:t>
            </w:r>
          </w:p>
          <w:p w:rsidR="006A7A3F" w:rsidRDefault="00BC7372">
            <w:pPr>
              <w:pStyle w:val="TableParagraph"/>
              <w:numPr>
                <w:ilvl w:val="0"/>
                <w:numId w:val="990"/>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6"/>
                <w:sz w:val="17"/>
              </w:rPr>
              <w:t xml:space="preserve"> </w:t>
            </w:r>
            <w:r>
              <w:rPr>
                <w:color w:val="231F20"/>
                <w:sz w:val="17"/>
              </w:rPr>
              <w:t>2</w:t>
            </w:r>
          </w:p>
          <w:p w:rsidR="006A7A3F" w:rsidRDefault="00BC7372">
            <w:pPr>
              <w:pStyle w:val="TableParagraph"/>
              <w:numPr>
                <w:ilvl w:val="0"/>
                <w:numId w:val="990"/>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6"/>
                <w:sz w:val="17"/>
              </w:rPr>
              <w:t xml:space="preserve"> </w:t>
            </w:r>
            <w:r>
              <w:rPr>
                <w:color w:val="231F20"/>
                <w:sz w:val="17"/>
              </w:rPr>
              <w:t>3</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9"/>
              </w:numPr>
              <w:tabs>
                <w:tab w:val="left" w:pos="305"/>
              </w:tabs>
              <w:spacing w:before="68"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3</w:t>
            </w:r>
          </w:p>
          <w:p w:rsidR="006A7A3F" w:rsidRDefault="00BC7372">
            <w:pPr>
              <w:pStyle w:val="TableParagraph"/>
              <w:numPr>
                <w:ilvl w:val="0"/>
                <w:numId w:val="989"/>
              </w:numPr>
              <w:tabs>
                <w:tab w:val="left" w:pos="305"/>
              </w:tabs>
              <w:spacing w:before="86" w:line="244" w:lineRule="auto"/>
              <w:ind w:right="371"/>
              <w:rPr>
                <w:sz w:val="17"/>
              </w:rPr>
            </w:pPr>
            <w:r>
              <w:rPr>
                <w:color w:val="231F20"/>
                <w:spacing w:val="-4"/>
                <w:sz w:val="17"/>
              </w:rPr>
              <w:t xml:space="preserve">Two </w:t>
            </w:r>
            <w:r>
              <w:rPr>
                <w:color w:val="231F20"/>
                <w:sz w:val="17"/>
              </w:rPr>
              <w:t>winter/spring freshes reach</w:t>
            </w:r>
            <w:r>
              <w:rPr>
                <w:color w:val="231F20"/>
                <w:spacing w:val="17"/>
                <w:sz w:val="17"/>
              </w:rPr>
              <w:t xml:space="preserve"> </w:t>
            </w:r>
            <w:r>
              <w:rPr>
                <w:color w:val="231F20"/>
                <w:sz w:val="17"/>
              </w:rPr>
              <w:t>1b</w:t>
            </w:r>
          </w:p>
          <w:p w:rsidR="006A7A3F" w:rsidRDefault="00BC7372">
            <w:pPr>
              <w:pStyle w:val="TableParagraph"/>
              <w:numPr>
                <w:ilvl w:val="0"/>
                <w:numId w:val="989"/>
              </w:numPr>
              <w:tabs>
                <w:tab w:val="left" w:pos="305"/>
              </w:tabs>
              <w:spacing w:before="86" w:line="244" w:lineRule="auto"/>
              <w:ind w:right="371"/>
              <w:rPr>
                <w:sz w:val="17"/>
              </w:rPr>
            </w:pPr>
            <w:r>
              <w:rPr>
                <w:color w:val="231F20"/>
                <w:spacing w:val="-4"/>
                <w:sz w:val="17"/>
              </w:rPr>
              <w:t xml:space="preserve">Two </w:t>
            </w:r>
            <w:r>
              <w:rPr>
                <w:color w:val="231F20"/>
                <w:sz w:val="17"/>
              </w:rPr>
              <w:t>winter/spring freshes reach</w:t>
            </w:r>
            <w:r>
              <w:rPr>
                <w:color w:val="231F20"/>
                <w:spacing w:val="11"/>
                <w:sz w:val="17"/>
              </w:rPr>
              <w:t xml:space="preserve"> </w:t>
            </w:r>
            <w:r>
              <w:rPr>
                <w:color w:val="231F20"/>
                <w:sz w:val="17"/>
              </w:rPr>
              <w:t>2</w:t>
            </w:r>
          </w:p>
          <w:p w:rsidR="006A7A3F" w:rsidRDefault="00BC7372">
            <w:pPr>
              <w:pStyle w:val="TableParagraph"/>
              <w:numPr>
                <w:ilvl w:val="0"/>
                <w:numId w:val="989"/>
              </w:numPr>
              <w:tabs>
                <w:tab w:val="left" w:pos="305"/>
              </w:tabs>
              <w:spacing w:before="87"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6"/>
                <w:sz w:val="17"/>
              </w:rPr>
              <w:t xml:space="preserve"> </w:t>
            </w:r>
            <w:r>
              <w:rPr>
                <w:color w:val="231F20"/>
                <w:sz w:val="17"/>
              </w:rPr>
              <w:t>1a</w:t>
            </w:r>
          </w:p>
          <w:p w:rsidR="006A7A3F" w:rsidRDefault="00BC7372">
            <w:pPr>
              <w:pStyle w:val="TableParagraph"/>
              <w:numPr>
                <w:ilvl w:val="0"/>
                <w:numId w:val="989"/>
              </w:numPr>
              <w:tabs>
                <w:tab w:val="left" w:pos="305"/>
              </w:tabs>
              <w:spacing w:before="86"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6"/>
                <w:sz w:val="17"/>
              </w:rPr>
              <w:t xml:space="preserve"> </w:t>
            </w:r>
            <w:r>
              <w:rPr>
                <w:color w:val="231F20"/>
                <w:sz w:val="17"/>
              </w:rPr>
              <w:t>1b</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8"/>
              </w:numPr>
              <w:tabs>
                <w:tab w:val="left" w:pos="305"/>
              </w:tabs>
              <w:spacing w:before="68"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3</w:t>
            </w:r>
          </w:p>
          <w:p w:rsidR="006A7A3F" w:rsidRDefault="00BC7372">
            <w:pPr>
              <w:pStyle w:val="TableParagraph"/>
              <w:numPr>
                <w:ilvl w:val="0"/>
                <w:numId w:val="988"/>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7"/>
                <w:sz w:val="17"/>
              </w:rPr>
              <w:t xml:space="preserve"> </w:t>
            </w:r>
            <w:r>
              <w:rPr>
                <w:color w:val="231F20"/>
                <w:sz w:val="17"/>
              </w:rPr>
              <w:t>1a</w:t>
            </w:r>
          </w:p>
          <w:p w:rsidR="006A7A3F" w:rsidRDefault="00BC7372">
            <w:pPr>
              <w:pStyle w:val="TableParagraph"/>
              <w:numPr>
                <w:ilvl w:val="0"/>
                <w:numId w:val="988"/>
              </w:numPr>
              <w:tabs>
                <w:tab w:val="left" w:pos="305"/>
              </w:tabs>
              <w:spacing w:before="86" w:line="244" w:lineRule="auto"/>
              <w:ind w:right="99"/>
              <w:rPr>
                <w:sz w:val="17"/>
              </w:rPr>
            </w:pPr>
            <w:r>
              <w:rPr>
                <w:color w:val="231F20"/>
                <w:spacing w:val="-4"/>
                <w:sz w:val="17"/>
              </w:rPr>
              <w:t xml:space="preserve">Two </w:t>
            </w:r>
            <w:r>
              <w:rPr>
                <w:color w:val="231F20"/>
                <w:spacing w:val="-2"/>
                <w:sz w:val="17"/>
              </w:rPr>
              <w:t xml:space="preserve">summer/autumn </w:t>
            </w:r>
            <w:r>
              <w:rPr>
                <w:color w:val="231F20"/>
                <w:sz w:val="17"/>
              </w:rPr>
              <w:t>freshes reach</w:t>
            </w:r>
            <w:r>
              <w:rPr>
                <w:color w:val="231F20"/>
                <w:spacing w:val="6"/>
                <w:sz w:val="17"/>
              </w:rPr>
              <w:t xml:space="preserve"> </w:t>
            </w:r>
            <w:r>
              <w:rPr>
                <w:color w:val="231F20"/>
                <w:sz w:val="17"/>
              </w:rPr>
              <w:t>3</w:t>
            </w:r>
          </w:p>
          <w:p w:rsidR="006A7A3F" w:rsidRDefault="00BC7372">
            <w:pPr>
              <w:pStyle w:val="TableParagraph"/>
              <w:numPr>
                <w:ilvl w:val="0"/>
                <w:numId w:val="988"/>
              </w:numPr>
              <w:tabs>
                <w:tab w:val="left" w:pos="305"/>
              </w:tabs>
              <w:spacing w:before="87"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6"/>
                <w:sz w:val="17"/>
              </w:rPr>
              <w:t xml:space="preserve"> </w:t>
            </w:r>
            <w:r>
              <w:rPr>
                <w:color w:val="231F20"/>
                <w:sz w:val="17"/>
              </w:rPr>
              <w:t>1b</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7"/>
              </w:numPr>
              <w:tabs>
                <w:tab w:val="left" w:pos="305"/>
              </w:tabs>
              <w:spacing w:before="68" w:line="244" w:lineRule="auto"/>
              <w:ind w:right="361"/>
              <w:rPr>
                <w:sz w:val="17"/>
              </w:rPr>
            </w:pPr>
            <w:r>
              <w:rPr>
                <w:color w:val="231F20"/>
                <w:sz w:val="17"/>
              </w:rPr>
              <w:t>Five winter/spring freshes</w:t>
            </w:r>
            <w:r>
              <w:rPr>
                <w:color w:val="231F20"/>
                <w:spacing w:val="2"/>
                <w:sz w:val="17"/>
              </w:rPr>
              <w:t xml:space="preserve"> </w:t>
            </w:r>
            <w:r>
              <w:rPr>
                <w:color w:val="231F20"/>
                <w:sz w:val="17"/>
              </w:rPr>
              <w:t>1b</w:t>
            </w:r>
          </w:p>
          <w:p w:rsidR="006A7A3F" w:rsidRDefault="00BC7372">
            <w:pPr>
              <w:pStyle w:val="TableParagraph"/>
              <w:numPr>
                <w:ilvl w:val="0"/>
                <w:numId w:val="987"/>
              </w:numPr>
              <w:tabs>
                <w:tab w:val="left" w:pos="305"/>
              </w:tabs>
              <w:spacing w:before="86" w:line="244" w:lineRule="auto"/>
              <w:ind w:right="361"/>
              <w:rPr>
                <w:sz w:val="17"/>
              </w:rPr>
            </w:pPr>
            <w:r>
              <w:rPr>
                <w:color w:val="231F20"/>
                <w:sz w:val="17"/>
              </w:rPr>
              <w:t>Five winter/spring freshes reach</w:t>
            </w:r>
            <w:r>
              <w:rPr>
                <w:color w:val="231F20"/>
                <w:spacing w:val="11"/>
                <w:sz w:val="17"/>
              </w:rPr>
              <w:t xml:space="preserve"> </w:t>
            </w:r>
            <w:r>
              <w:rPr>
                <w:color w:val="231F20"/>
                <w:sz w:val="17"/>
              </w:rPr>
              <w:t>2</w:t>
            </w:r>
          </w:p>
          <w:p w:rsidR="006A7A3F" w:rsidRDefault="00BC7372">
            <w:pPr>
              <w:pStyle w:val="TableParagraph"/>
              <w:numPr>
                <w:ilvl w:val="0"/>
                <w:numId w:val="987"/>
              </w:numPr>
              <w:tabs>
                <w:tab w:val="left" w:pos="305"/>
              </w:tabs>
              <w:spacing w:before="86" w:line="244" w:lineRule="auto"/>
              <w:ind w:right="128"/>
              <w:rPr>
                <w:sz w:val="17"/>
              </w:rPr>
            </w:pPr>
            <w:r>
              <w:rPr>
                <w:color w:val="231F20"/>
                <w:sz w:val="17"/>
              </w:rPr>
              <w:t xml:space="preserve">Summer/autumn </w:t>
            </w:r>
            <w:r>
              <w:rPr>
                <w:color w:val="231F20"/>
                <w:spacing w:val="-6"/>
                <w:sz w:val="17"/>
              </w:rPr>
              <w:t xml:space="preserve">low </w:t>
            </w:r>
            <w:r>
              <w:rPr>
                <w:color w:val="231F20"/>
                <w:sz w:val="17"/>
              </w:rPr>
              <w:t>flow reach</w:t>
            </w:r>
            <w:r>
              <w:rPr>
                <w:color w:val="231F20"/>
                <w:spacing w:val="4"/>
                <w:sz w:val="17"/>
              </w:rPr>
              <w:t xml:space="preserve"> </w:t>
            </w:r>
            <w:r>
              <w:rPr>
                <w:color w:val="231F20"/>
                <w:sz w:val="17"/>
              </w:rPr>
              <w:t>3</w:t>
            </w:r>
          </w:p>
        </w:tc>
      </w:tr>
      <w:tr w:rsidR="006A7A3F" w:rsidTr="004D5DB8">
        <w:trPr>
          <w:trHeight w:val="248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Pr>
                <w:sz w:val="10"/>
              </w:rPr>
            </w:pPr>
            <w:r>
              <w:rPr>
                <w:color w:val="231F20"/>
                <w:sz w:val="18"/>
              </w:rPr>
              <w:t>Potential environmental watering – tier 2 (additional priorities)</w:t>
            </w:r>
            <w:r>
              <w:rPr>
                <w:color w:val="231F20"/>
                <w:position w:val="6"/>
                <w:sz w:val="10"/>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6"/>
              </w:numPr>
              <w:tabs>
                <w:tab w:val="left" w:pos="305"/>
              </w:tabs>
              <w:spacing w:before="68" w:line="244" w:lineRule="auto"/>
              <w:ind w:right="371"/>
              <w:rPr>
                <w:sz w:val="17"/>
              </w:rPr>
            </w:pPr>
            <w:r>
              <w:rPr>
                <w:color w:val="231F20"/>
                <w:spacing w:val="-4"/>
                <w:sz w:val="17"/>
              </w:rPr>
              <w:t xml:space="preserve">Two </w:t>
            </w:r>
            <w:r>
              <w:rPr>
                <w:color w:val="231F20"/>
                <w:sz w:val="17"/>
              </w:rPr>
              <w:t>winter/spring freshes reach</w:t>
            </w:r>
            <w:r>
              <w:rPr>
                <w:color w:val="231F20"/>
                <w:spacing w:val="17"/>
                <w:sz w:val="17"/>
              </w:rPr>
              <w:t xml:space="preserve"> </w:t>
            </w:r>
            <w:r>
              <w:rPr>
                <w:color w:val="231F20"/>
                <w:sz w:val="17"/>
              </w:rPr>
              <w:t>1b</w:t>
            </w:r>
          </w:p>
          <w:p w:rsidR="006A7A3F" w:rsidRDefault="00BC7372">
            <w:pPr>
              <w:pStyle w:val="TableParagraph"/>
              <w:numPr>
                <w:ilvl w:val="0"/>
                <w:numId w:val="986"/>
              </w:numPr>
              <w:tabs>
                <w:tab w:val="left" w:pos="305"/>
              </w:tabs>
              <w:spacing w:before="86" w:line="244" w:lineRule="auto"/>
              <w:ind w:right="371"/>
              <w:rPr>
                <w:sz w:val="17"/>
              </w:rPr>
            </w:pPr>
            <w:r>
              <w:rPr>
                <w:color w:val="231F20"/>
                <w:spacing w:val="-4"/>
                <w:sz w:val="17"/>
              </w:rPr>
              <w:t xml:space="preserve">Two </w:t>
            </w:r>
            <w:r>
              <w:rPr>
                <w:color w:val="231F20"/>
                <w:sz w:val="17"/>
              </w:rPr>
              <w:t>winter/spring freshes reach</w:t>
            </w:r>
            <w:r>
              <w:rPr>
                <w:color w:val="231F20"/>
                <w:spacing w:val="11"/>
                <w:sz w:val="17"/>
              </w:rPr>
              <w:t xml:space="preserve"> </w:t>
            </w:r>
            <w:r>
              <w:rPr>
                <w:color w:val="231F20"/>
                <w:sz w:val="17"/>
              </w:rPr>
              <w:t>2</w:t>
            </w:r>
          </w:p>
          <w:p w:rsidR="006A7A3F" w:rsidRDefault="00BC7372">
            <w:pPr>
              <w:pStyle w:val="TableParagraph"/>
              <w:numPr>
                <w:ilvl w:val="0"/>
                <w:numId w:val="986"/>
              </w:numPr>
              <w:tabs>
                <w:tab w:val="left" w:pos="305"/>
              </w:tabs>
              <w:spacing w:before="86"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reaches</w:t>
            </w:r>
            <w:r>
              <w:rPr>
                <w:color w:val="231F20"/>
                <w:spacing w:val="12"/>
                <w:sz w:val="17"/>
              </w:rPr>
              <w:t xml:space="preserve"> </w:t>
            </w:r>
            <w:r>
              <w:rPr>
                <w:color w:val="231F20"/>
                <w:sz w:val="17"/>
              </w:rPr>
              <w:t>1a</w:t>
            </w:r>
          </w:p>
          <w:p w:rsidR="006A7A3F" w:rsidRDefault="00BC7372">
            <w:pPr>
              <w:pStyle w:val="TableParagraph"/>
              <w:numPr>
                <w:ilvl w:val="0"/>
                <w:numId w:val="986"/>
              </w:numPr>
              <w:tabs>
                <w:tab w:val="left" w:pos="305"/>
              </w:tabs>
              <w:spacing w:before="87"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reaches</w:t>
            </w:r>
            <w:r>
              <w:rPr>
                <w:color w:val="231F20"/>
                <w:spacing w:val="12"/>
                <w:sz w:val="17"/>
              </w:rPr>
              <w:t xml:space="preserve"> </w:t>
            </w:r>
            <w:r>
              <w:rPr>
                <w:color w:val="231F20"/>
                <w:sz w:val="17"/>
              </w:rPr>
              <w:t>1b</w:t>
            </w:r>
          </w:p>
          <w:p w:rsidR="006A7A3F" w:rsidRDefault="00BC7372">
            <w:pPr>
              <w:pStyle w:val="TableParagraph"/>
              <w:numPr>
                <w:ilvl w:val="0"/>
                <w:numId w:val="986"/>
              </w:numPr>
              <w:tabs>
                <w:tab w:val="left" w:pos="305"/>
              </w:tabs>
              <w:spacing w:before="86"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reaches</w:t>
            </w:r>
            <w:r>
              <w:rPr>
                <w:color w:val="231F20"/>
                <w:spacing w:val="9"/>
                <w:sz w:val="17"/>
              </w:rPr>
              <w:t xml:space="preserve"> </w:t>
            </w:r>
            <w:r>
              <w:rPr>
                <w:color w:val="231F20"/>
                <w:sz w:val="17"/>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5"/>
              </w:numPr>
              <w:tabs>
                <w:tab w:val="left" w:pos="305"/>
              </w:tabs>
              <w:spacing w:before="68"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5"/>
                <w:sz w:val="17"/>
              </w:rPr>
              <w:t xml:space="preserve"> </w:t>
            </w:r>
            <w:r>
              <w:rPr>
                <w:color w:val="231F20"/>
                <w:sz w:val="17"/>
              </w:rPr>
              <w:t>2</w:t>
            </w:r>
          </w:p>
          <w:p w:rsidR="006A7A3F" w:rsidRDefault="00BC7372">
            <w:pPr>
              <w:pStyle w:val="TableParagraph"/>
              <w:numPr>
                <w:ilvl w:val="0"/>
                <w:numId w:val="985"/>
              </w:numPr>
              <w:tabs>
                <w:tab w:val="left" w:pos="305"/>
              </w:tabs>
              <w:spacing w:before="86"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5"/>
                <w:sz w:val="17"/>
              </w:rPr>
              <w:t xml:space="preserve"> </w:t>
            </w:r>
            <w:r>
              <w:rPr>
                <w:color w:val="231F20"/>
                <w:sz w:val="17"/>
              </w:rPr>
              <w:t>3</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4"/>
              </w:numPr>
              <w:tabs>
                <w:tab w:val="left" w:pos="305"/>
              </w:tabs>
              <w:spacing w:before="68"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5"/>
                <w:sz w:val="17"/>
              </w:rPr>
              <w:t xml:space="preserve"> </w:t>
            </w:r>
            <w:r>
              <w:rPr>
                <w:color w:val="231F20"/>
                <w:sz w:val="17"/>
              </w:rPr>
              <w:t>2</w:t>
            </w:r>
          </w:p>
          <w:p w:rsidR="006A7A3F" w:rsidRDefault="00BC7372">
            <w:pPr>
              <w:pStyle w:val="TableParagraph"/>
              <w:numPr>
                <w:ilvl w:val="0"/>
                <w:numId w:val="984"/>
              </w:numPr>
              <w:tabs>
                <w:tab w:val="left" w:pos="305"/>
              </w:tabs>
              <w:spacing w:before="86"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5"/>
                <w:sz w:val="17"/>
              </w:rPr>
              <w:t xml:space="preserve"> </w:t>
            </w:r>
            <w:r>
              <w:rPr>
                <w:color w:val="231F20"/>
                <w:sz w:val="17"/>
              </w:rPr>
              <w:t>3</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3"/>
              </w:numPr>
              <w:tabs>
                <w:tab w:val="left" w:pos="305"/>
              </w:tabs>
              <w:spacing w:before="68"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5"/>
                <w:sz w:val="17"/>
              </w:rPr>
              <w:t xml:space="preserve"> </w:t>
            </w:r>
            <w:r>
              <w:rPr>
                <w:color w:val="231F20"/>
                <w:sz w:val="17"/>
              </w:rPr>
              <w:t>2</w:t>
            </w:r>
          </w:p>
          <w:p w:rsidR="006A7A3F" w:rsidRDefault="00BC7372">
            <w:pPr>
              <w:pStyle w:val="TableParagraph"/>
              <w:numPr>
                <w:ilvl w:val="0"/>
                <w:numId w:val="983"/>
              </w:numPr>
              <w:tabs>
                <w:tab w:val="left" w:pos="305"/>
              </w:tabs>
              <w:spacing w:before="86" w:line="244" w:lineRule="auto"/>
              <w:ind w:right="389"/>
              <w:rPr>
                <w:sz w:val="17"/>
              </w:rPr>
            </w:pPr>
            <w:r>
              <w:rPr>
                <w:color w:val="231F20"/>
                <w:sz w:val="17"/>
              </w:rPr>
              <w:t xml:space="preserve">Winter/spring </w:t>
            </w:r>
            <w:r>
              <w:rPr>
                <w:color w:val="231F20"/>
                <w:spacing w:val="-5"/>
                <w:sz w:val="17"/>
              </w:rPr>
              <w:t xml:space="preserve">low </w:t>
            </w:r>
            <w:r>
              <w:rPr>
                <w:color w:val="231F20"/>
                <w:sz w:val="17"/>
              </w:rPr>
              <w:t>flow reach</w:t>
            </w:r>
            <w:r>
              <w:rPr>
                <w:color w:val="231F20"/>
                <w:spacing w:val="5"/>
                <w:sz w:val="17"/>
              </w:rPr>
              <w:t xml:space="preserve"> </w:t>
            </w:r>
            <w:r>
              <w:rPr>
                <w:color w:val="231F20"/>
                <w:sz w:val="17"/>
              </w:rPr>
              <w:t>3</w:t>
            </w:r>
          </w:p>
        </w:tc>
      </w:tr>
      <w:tr w:rsidR="006A7A3F" w:rsidTr="004D5DB8">
        <w:trPr>
          <w:trHeight w:val="100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305"/>
              <w:rPr>
                <w:sz w:val="10"/>
              </w:rPr>
            </w:pPr>
            <w:r>
              <w:rPr>
                <w:color w:val="231F20"/>
                <w:sz w:val="18"/>
              </w:rPr>
              <w:t>Possible volume of environmental water required to achieve objectives</w:t>
            </w:r>
            <w:r>
              <w:rPr>
                <w:color w:val="231F20"/>
                <w:position w:val="6"/>
                <w:sz w:val="10"/>
              </w:rPr>
              <w:t>3</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2"/>
              </w:numPr>
              <w:tabs>
                <w:tab w:val="left" w:pos="305"/>
              </w:tabs>
              <w:spacing w:before="68"/>
              <w:rPr>
                <w:sz w:val="17"/>
              </w:rPr>
            </w:pPr>
            <w:r>
              <w:rPr>
                <w:color w:val="231F20"/>
                <w:sz w:val="17"/>
              </w:rPr>
              <w:t>8,977 ML (tier</w:t>
            </w:r>
            <w:r>
              <w:rPr>
                <w:color w:val="231F20"/>
                <w:spacing w:val="17"/>
                <w:sz w:val="17"/>
              </w:rPr>
              <w:t xml:space="preserve"> </w:t>
            </w:r>
            <w:r>
              <w:rPr>
                <w:color w:val="231F20"/>
                <w:sz w:val="17"/>
              </w:rPr>
              <w:t>1a)</w:t>
            </w:r>
          </w:p>
          <w:p w:rsidR="006A7A3F" w:rsidRDefault="00BC7372">
            <w:pPr>
              <w:pStyle w:val="TableParagraph"/>
              <w:numPr>
                <w:ilvl w:val="0"/>
                <w:numId w:val="982"/>
              </w:numPr>
              <w:tabs>
                <w:tab w:val="left" w:pos="305"/>
              </w:tabs>
              <w:spacing w:before="89"/>
              <w:rPr>
                <w:sz w:val="17"/>
              </w:rPr>
            </w:pPr>
            <w:r>
              <w:rPr>
                <w:color w:val="231F20"/>
                <w:sz w:val="17"/>
              </w:rPr>
              <w:t>9,918 ML (tier</w:t>
            </w:r>
            <w:r>
              <w:rPr>
                <w:color w:val="231F20"/>
                <w:spacing w:val="17"/>
                <w:sz w:val="17"/>
              </w:rPr>
              <w:t xml:space="preserve"> </w:t>
            </w:r>
            <w:r>
              <w:rPr>
                <w:color w:val="231F20"/>
                <w:sz w:val="17"/>
              </w:rPr>
              <w:t>1b)</w:t>
            </w:r>
          </w:p>
          <w:p w:rsidR="006A7A3F" w:rsidRDefault="00BC7372">
            <w:pPr>
              <w:pStyle w:val="TableParagraph"/>
              <w:numPr>
                <w:ilvl w:val="0"/>
                <w:numId w:val="982"/>
              </w:numPr>
              <w:tabs>
                <w:tab w:val="left" w:pos="305"/>
              </w:tabs>
              <w:spacing w:before="90"/>
              <w:rPr>
                <w:sz w:val="17"/>
              </w:rPr>
            </w:pPr>
            <w:r>
              <w:rPr>
                <w:color w:val="231F20"/>
                <w:sz w:val="17"/>
              </w:rPr>
              <w:t>35,063 ML (tier</w:t>
            </w:r>
            <w:r>
              <w:rPr>
                <w:color w:val="231F20"/>
                <w:spacing w:val="17"/>
                <w:sz w:val="17"/>
              </w:rPr>
              <w:t xml:space="preserve"> </w:t>
            </w:r>
            <w:r>
              <w:rPr>
                <w:color w:val="231F20"/>
                <w:sz w:val="17"/>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1"/>
              </w:numPr>
              <w:tabs>
                <w:tab w:val="left" w:pos="305"/>
              </w:tabs>
              <w:spacing w:before="68"/>
              <w:rPr>
                <w:sz w:val="17"/>
              </w:rPr>
            </w:pPr>
            <w:r>
              <w:rPr>
                <w:color w:val="231F20"/>
                <w:sz w:val="17"/>
              </w:rPr>
              <w:t>13,635 ML (tier</w:t>
            </w:r>
            <w:r>
              <w:rPr>
                <w:color w:val="231F20"/>
                <w:spacing w:val="18"/>
                <w:sz w:val="17"/>
              </w:rPr>
              <w:t xml:space="preserve"> </w:t>
            </w:r>
            <w:r>
              <w:rPr>
                <w:color w:val="231F20"/>
                <w:sz w:val="17"/>
              </w:rPr>
              <w:t>1a)</w:t>
            </w:r>
          </w:p>
          <w:p w:rsidR="006A7A3F" w:rsidRDefault="00BC7372">
            <w:pPr>
              <w:pStyle w:val="TableParagraph"/>
              <w:numPr>
                <w:ilvl w:val="0"/>
                <w:numId w:val="981"/>
              </w:numPr>
              <w:tabs>
                <w:tab w:val="left" w:pos="305"/>
              </w:tabs>
              <w:spacing w:before="89"/>
              <w:rPr>
                <w:sz w:val="17"/>
              </w:rPr>
            </w:pPr>
            <w:r>
              <w:rPr>
                <w:color w:val="231F20"/>
                <w:sz w:val="17"/>
              </w:rPr>
              <w:t>26,313 ML (tier</w:t>
            </w:r>
            <w:r>
              <w:rPr>
                <w:color w:val="231F20"/>
                <w:spacing w:val="18"/>
                <w:sz w:val="17"/>
              </w:rPr>
              <w:t xml:space="preserve"> </w:t>
            </w:r>
            <w:r>
              <w:rPr>
                <w:color w:val="231F20"/>
                <w:sz w:val="17"/>
              </w:rPr>
              <w:t>1b)</w:t>
            </w:r>
          </w:p>
          <w:p w:rsidR="006A7A3F" w:rsidRDefault="00BC7372">
            <w:pPr>
              <w:pStyle w:val="TableParagraph"/>
              <w:numPr>
                <w:ilvl w:val="0"/>
                <w:numId w:val="981"/>
              </w:numPr>
              <w:tabs>
                <w:tab w:val="left" w:pos="305"/>
              </w:tabs>
              <w:spacing w:before="90"/>
              <w:rPr>
                <w:sz w:val="17"/>
              </w:rPr>
            </w:pPr>
            <w:r>
              <w:rPr>
                <w:color w:val="231F20"/>
                <w:sz w:val="17"/>
              </w:rPr>
              <w:t>12,190 ML (tier</w:t>
            </w:r>
            <w:r>
              <w:rPr>
                <w:color w:val="231F20"/>
                <w:spacing w:val="1"/>
                <w:sz w:val="17"/>
              </w:rPr>
              <w:t xml:space="preserve"> </w:t>
            </w:r>
            <w:r>
              <w:rPr>
                <w:color w:val="231F20"/>
                <w:sz w:val="17"/>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80"/>
              </w:numPr>
              <w:tabs>
                <w:tab w:val="left" w:pos="305"/>
              </w:tabs>
              <w:spacing w:before="68"/>
              <w:rPr>
                <w:sz w:val="17"/>
              </w:rPr>
            </w:pPr>
            <w:r>
              <w:rPr>
                <w:color w:val="231F20"/>
                <w:sz w:val="17"/>
              </w:rPr>
              <w:t>23,651 ML (tier</w:t>
            </w:r>
            <w:r>
              <w:rPr>
                <w:color w:val="231F20"/>
                <w:spacing w:val="18"/>
                <w:sz w:val="17"/>
              </w:rPr>
              <w:t xml:space="preserve"> </w:t>
            </w:r>
            <w:r>
              <w:rPr>
                <w:color w:val="231F20"/>
                <w:sz w:val="17"/>
              </w:rPr>
              <w:t>1a)</w:t>
            </w:r>
          </w:p>
          <w:p w:rsidR="006A7A3F" w:rsidRDefault="00BC7372">
            <w:pPr>
              <w:pStyle w:val="TableParagraph"/>
              <w:numPr>
                <w:ilvl w:val="0"/>
                <w:numId w:val="980"/>
              </w:numPr>
              <w:tabs>
                <w:tab w:val="left" w:pos="305"/>
              </w:tabs>
              <w:spacing w:before="89"/>
              <w:rPr>
                <w:sz w:val="17"/>
              </w:rPr>
            </w:pPr>
            <w:r>
              <w:rPr>
                <w:color w:val="231F20"/>
                <w:sz w:val="17"/>
              </w:rPr>
              <w:t>14,644 ML (tier</w:t>
            </w:r>
            <w:r>
              <w:rPr>
                <w:color w:val="231F20"/>
                <w:spacing w:val="18"/>
                <w:sz w:val="17"/>
              </w:rPr>
              <w:t xml:space="preserve"> </w:t>
            </w:r>
            <w:r>
              <w:rPr>
                <w:color w:val="231F20"/>
                <w:sz w:val="17"/>
              </w:rPr>
              <w:t>1b)</w:t>
            </w:r>
          </w:p>
          <w:p w:rsidR="006A7A3F" w:rsidRDefault="00BC7372">
            <w:pPr>
              <w:pStyle w:val="TableParagraph"/>
              <w:numPr>
                <w:ilvl w:val="0"/>
                <w:numId w:val="980"/>
              </w:numPr>
              <w:tabs>
                <w:tab w:val="left" w:pos="305"/>
              </w:tabs>
              <w:spacing w:before="90"/>
              <w:rPr>
                <w:sz w:val="17"/>
              </w:rPr>
            </w:pPr>
            <w:r>
              <w:rPr>
                <w:color w:val="231F20"/>
                <w:sz w:val="17"/>
              </w:rPr>
              <w:t>19,813 ML (tier</w:t>
            </w:r>
            <w:r>
              <w:rPr>
                <w:color w:val="231F20"/>
                <w:spacing w:val="1"/>
                <w:sz w:val="17"/>
              </w:rPr>
              <w:t xml:space="preserve"> </w:t>
            </w:r>
            <w:r>
              <w:rPr>
                <w:color w:val="231F20"/>
                <w:sz w:val="17"/>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79"/>
              </w:numPr>
              <w:tabs>
                <w:tab w:val="left" w:pos="305"/>
              </w:tabs>
              <w:spacing w:before="68"/>
              <w:rPr>
                <w:sz w:val="17"/>
              </w:rPr>
            </w:pPr>
            <w:r>
              <w:rPr>
                <w:color w:val="231F20"/>
                <w:sz w:val="17"/>
              </w:rPr>
              <w:t>26,523 ML (tier</w:t>
            </w:r>
            <w:r>
              <w:rPr>
                <w:color w:val="231F20"/>
                <w:spacing w:val="18"/>
                <w:sz w:val="17"/>
              </w:rPr>
              <w:t xml:space="preserve"> </w:t>
            </w:r>
            <w:r>
              <w:rPr>
                <w:color w:val="231F20"/>
                <w:sz w:val="17"/>
              </w:rPr>
              <w:t>1a)</w:t>
            </w:r>
          </w:p>
          <w:p w:rsidR="006A7A3F" w:rsidRDefault="00BC7372">
            <w:pPr>
              <w:pStyle w:val="TableParagraph"/>
              <w:numPr>
                <w:ilvl w:val="0"/>
                <w:numId w:val="979"/>
              </w:numPr>
              <w:tabs>
                <w:tab w:val="left" w:pos="305"/>
              </w:tabs>
              <w:spacing w:before="89"/>
              <w:rPr>
                <w:sz w:val="17"/>
              </w:rPr>
            </w:pPr>
            <w:r>
              <w:rPr>
                <w:color w:val="231F20"/>
                <w:sz w:val="17"/>
              </w:rPr>
              <w:t>17,420 ML (tier</w:t>
            </w:r>
            <w:r>
              <w:rPr>
                <w:color w:val="231F20"/>
                <w:spacing w:val="18"/>
                <w:sz w:val="17"/>
              </w:rPr>
              <w:t xml:space="preserve"> </w:t>
            </w:r>
            <w:r>
              <w:rPr>
                <w:color w:val="231F20"/>
                <w:sz w:val="17"/>
              </w:rPr>
              <w:t>1b)</w:t>
            </w:r>
          </w:p>
          <w:p w:rsidR="006A7A3F" w:rsidRDefault="00BC7372">
            <w:pPr>
              <w:pStyle w:val="TableParagraph"/>
              <w:numPr>
                <w:ilvl w:val="0"/>
                <w:numId w:val="979"/>
              </w:numPr>
              <w:tabs>
                <w:tab w:val="left" w:pos="305"/>
              </w:tabs>
              <w:spacing w:before="90"/>
              <w:rPr>
                <w:sz w:val="17"/>
              </w:rPr>
            </w:pPr>
            <w:r>
              <w:rPr>
                <w:color w:val="231F20"/>
                <w:sz w:val="17"/>
              </w:rPr>
              <w:t>12,349 ML (tier</w:t>
            </w:r>
            <w:r>
              <w:rPr>
                <w:color w:val="231F20"/>
                <w:spacing w:val="1"/>
                <w:sz w:val="17"/>
              </w:rPr>
              <w:t xml:space="preserve"> </w:t>
            </w:r>
            <w:r>
              <w:rPr>
                <w:color w:val="231F20"/>
                <w:sz w:val="17"/>
              </w:rPr>
              <w:t>2)</w:t>
            </w:r>
          </w:p>
        </w:tc>
      </w:tr>
    </w:tbl>
    <w:p w:rsidR="004D5DB8" w:rsidRDefault="004D5DB8">
      <w:pPr>
        <w:spacing w:before="16" w:line="266" w:lineRule="auto"/>
        <w:ind w:left="323" w:right="297" w:hanging="114"/>
        <w:rPr>
          <w:color w:val="231F20"/>
          <w:position w:val="5"/>
          <w:sz w:val="8"/>
        </w:rPr>
      </w:pPr>
    </w:p>
    <w:p w:rsidR="006A7A3F" w:rsidRDefault="00BC7372">
      <w:pPr>
        <w:spacing w:before="16" w:line="266" w:lineRule="auto"/>
        <w:ind w:left="323" w:right="297" w:hanging="114"/>
        <w:rPr>
          <w:sz w:val="14"/>
        </w:rPr>
      </w:pPr>
      <w:r>
        <w:rPr>
          <w:color w:val="231F20"/>
          <w:position w:val="5"/>
          <w:sz w:val="8"/>
        </w:rPr>
        <w:t xml:space="preserve">1 </w:t>
      </w:r>
      <w:r>
        <w:rPr>
          <w:color w:val="231F20"/>
          <w:sz w:val="14"/>
        </w:rPr>
        <w:t xml:space="preserve">Environmental water in the Glenelg and Wimmera systems held by the </w:t>
      </w:r>
      <w:r>
        <w:rPr>
          <w:color w:val="231F20"/>
          <w:spacing w:val="2"/>
          <w:sz w:val="14"/>
        </w:rPr>
        <w:t xml:space="preserve">VEWH </w:t>
      </w:r>
      <w:r>
        <w:rPr>
          <w:color w:val="231F20"/>
          <w:sz w:val="14"/>
        </w:rPr>
        <w:t xml:space="preserve">is shared between the Wimmera and Glenelg river systems. Additionally,  entitlement held by the Commonwealth Environmental Water Holder may </w:t>
      </w:r>
      <w:r>
        <w:rPr>
          <w:color w:val="231F20"/>
          <w:spacing w:val="2"/>
          <w:sz w:val="14"/>
        </w:rPr>
        <w:t xml:space="preserve">become </w:t>
      </w:r>
      <w:r>
        <w:rPr>
          <w:color w:val="231F20"/>
          <w:sz w:val="14"/>
        </w:rPr>
        <w:t xml:space="preserve">available in the Wimmera system. A </w:t>
      </w:r>
      <w:r>
        <w:rPr>
          <w:color w:val="231F20"/>
          <w:spacing w:val="2"/>
          <w:sz w:val="14"/>
        </w:rPr>
        <w:t xml:space="preserve">prioritisation process </w:t>
      </w:r>
      <w:r>
        <w:rPr>
          <w:color w:val="231F20"/>
          <w:sz w:val="14"/>
        </w:rPr>
        <w:t>will be undertaken with the Wimmera and Glenelg Hopkins catchment management authorities to share available resources during</w:t>
      </w:r>
      <w:r>
        <w:rPr>
          <w:color w:val="231F20"/>
          <w:spacing w:val="19"/>
          <w:sz w:val="14"/>
        </w:rPr>
        <w:t xml:space="preserve"> </w:t>
      </w:r>
      <w:r>
        <w:rPr>
          <w:color w:val="231F20"/>
          <w:sz w:val="14"/>
        </w:rPr>
        <w:t>2020–21.</w:t>
      </w:r>
    </w:p>
    <w:p w:rsidR="006A7A3F" w:rsidRDefault="00BC7372">
      <w:pPr>
        <w:spacing w:before="54"/>
        <w:ind w:left="210"/>
        <w:rPr>
          <w:sz w:val="14"/>
        </w:rPr>
      </w:pPr>
      <w:r>
        <w:rPr>
          <w:color w:val="231F20"/>
          <w:position w:val="5"/>
          <w:sz w:val="8"/>
        </w:rPr>
        <w:t xml:space="preserve">2 </w:t>
      </w:r>
      <w:r>
        <w:rPr>
          <w:color w:val="231F20"/>
          <w:sz w:val="14"/>
        </w:rPr>
        <w:t>Potential watering actions are not listed in priority order.</w:t>
      </w:r>
    </w:p>
    <w:p w:rsidR="004D5DB8" w:rsidRDefault="00BC7372">
      <w:pPr>
        <w:spacing w:before="74"/>
        <w:ind w:left="210"/>
        <w:rPr>
          <w:color w:val="231F20"/>
          <w:sz w:val="14"/>
        </w:rPr>
      </w:pPr>
      <w:r>
        <w:rPr>
          <w:color w:val="231F20"/>
          <w:position w:val="5"/>
          <w:sz w:val="8"/>
        </w:rPr>
        <w:t xml:space="preserve">3 </w:t>
      </w:r>
      <w:r>
        <w:rPr>
          <w:color w:val="231F20"/>
          <w:sz w:val="14"/>
        </w:rPr>
        <w:t>Environmental water requirements for tier 2 actions are additional to tier 1 requirements.</w:t>
      </w:r>
    </w:p>
    <w:p w:rsidR="004D5DB8" w:rsidRDefault="004D5DB8">
      <w:pPr>
        <w:rPr>
          <w:color w:val="231F20"/>
          <w:sz w:val="14"/>
        </w:rPr>
      </w:pPr>
      <w:r>
        <w:rPr>
          <w:color w:val="231F20"/>
          <w:sz w:val="14"/>
        </w:rPr>
        <w:br w:type="page"/>
      </w:r>
    </w:p>
    <w:p w:rsidR="006A7A3F" w:rsidRDefault="00BC7372">
      <w:pPr>
        <w:pStyle w:val="Heading1"/>
        <w:numPr>
          <w:ilvl w:val="1"/>
          <w:numId w:val="1034"/>
        </w:numPr>
        <w:tabs>
          <w:tab w:val="left" w:pos="911"/>
        </w:tabs>
        <w:spacing w:before="64"/>
      </w:pPr>
      <w:r>
        <w:rPr>
          <w:color w:val="231F20"/>
        </w:rPr>
        <w:t>Wimmera system</w:t>
      </w:r>
    </w:p>
    <w:p w:rsidR="006A7A3F" w:rsidRDefault="00BC7372">
      <w:pPr>
        <w:pStyle w:val="Heading4"/>
        <w:spacing w:before="79"/>
      </w:pPr>
      <w:r>
        <w:rPr>
          <w:color w:val="231F20"/>
        </w:rPr>
        <w:t>Did you</w:t>
      </w:r>
      <w:r>
        <w:rPr>
          <w:color w:val="231F20"/>
          <w:spacing w:val="-19"/>
        </w:rPr>
        <w:t xml:space="preserve"> </w:t>
      </w:r>
      <w:r>
        <w:rPr>
          <w:color w:val="231F20"/>
        </w:rPr>
        <w:t>know...?</w:t>
      </w:r>
    </w:p>
    <w:p w:rsidR="006A7A3F" w:rsidRDefault="00BC7372">
      <w:pPr>
        <w:pStyle w:val="BodyText"/>
        <w:spacing w:before="59" w:line="249" w:lineRule="auto"/>
        <w:ind w:right="100"/>
      </w:pPr>
      <w:r>
        <w:rPr>
          <w:color w:val="231F20"/>
        </w:rPr>
        <w:t>The Wimmera River is known as Barringgi Gadyin to the Wotjobaluk</w:t>
      </w:r>
      <w:r>
        <w:rPr>
          <w:color w:val="231F20"/>
          <w:spacing w:val="-41"/>
        </w:rPr>
        <w:t xml:space="preserve"> </w:t>
      </w:r>
      <w:r>
        <w:rPr>
          <w:color w:val="231F20"/>
        </w:rPr>
        <w:t>Traditional Owners and is a key feature of the local creation</w:t>
      </w:r>
      <w:r>
        <w:rPr>
          <w:color w:val="231F20"/>
          <w:spacing w:val="-2"/>
        </w:rPr>
        <w:t xml:space="preserve"> </w:t>
      </w:r>
      <w:r>
        <w:rPr>
          <w:color w:val="231F20"/>
        </w:rPr>
        <w:t>stories.</w:t>
      </w:r>
    </w:p>
    <w:p w:rsidR="006A7A3F" w:rsidRDefault="00BC7372" w:rsidP="00093C34">
      <w:pPr>
        <w:pStyle w:val="BodyText"/>
        <w:spacing w:before="171" w:after="240" w:line="250" w:lineRule="auto"/>
        <w:ind w:right="363"/>
      </w:pPr>
      <w:r>
        <w:rPr>
          <w:color w:val="231F20"/>
        </w:rPr>
        <w:t>The Wimmera-Mallee headworks system captures run-off from both the Wimmera and Glenelg catchments. Entitlements to water held in this system cannot be accounted for separately in the two river basins, therefore this figure shows the proportion of entitlements across both systems.</w:t>
      </w:r>
    </w:p>
    <w:p w:rsidR="006A7A3F" w:rsidRDefault="00BC7372">
      <w:pPr>
        <w:pStyle w:val="BodyText"/>
        <w:spacing w:before="0"/>
        <w:ind w:left="0"/>
        <w:rPr>
          <w:sz w:val="13"/>
        </w:rPr>
      </w:pPr>
      <w:r>
        <w:rPr>
          <w:noProof/>
        </w:rPr>
        <w:drawing>
          <wp:inline distT="0" distB="0" distL="0" distR="0">
            <wp:extent cx="2959608" cy="1420368"/>
            <wp:effectExtent l="0" t="0" r="0" b="2540"/>
            <wp:docPr id="813" name="image39.jpeg" descr="Pie chart shows the proportion of water entitlements in the Wimmera basin held by private users (22%), water corporations (30%) and environmental water holders (48%)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39.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59608" cy="1420368"/>
                    </a:xfrm>
                    <a:prstGeom prst="rect">
                      <a:avLst/>
                    </a:prstGeom>
                  </pic:spPr>
                </pic:pic>
              </a:graphicData>
            </a:graphic>
          </wp:inline>
        </w:drawing>
      </w:r>
    </w:p>
    <w:p w:rsidR="006A7A3F" w:rsidRDefault="006A7A3F">
      <w:pPr>
        <w:pStyle w:val="BodyText"/>
        <w:spacing w:before="8"/>
        <w:ind w:left="0"/>
        <w:rPr>
          <w:sz w:val="31"/>
        </w:rPr>
      </w:pPr>
    </w:p>
    <w:p w:rsidR="006A7A3F" w:rsidRDefault="00BC7372">
      <w:pPr>
        <w:pStyle w:val="Heading7"/>
        <w:spacing w:line="249" w:lineRule="auto"/>
        <w:ind w:right="244"/>
      </w:pPr>
      <w:r>
        <w:rPr>
          <w:color w:val="231F20"/>
        </w:rPr>
        <w:t>Proportion of water entitlements held across the Wimmera and Glenelg basins held by private users, water corporations or environmental water holders</w:t>
      </w:r>
    </w:p>
    <w:p w:rsidR="006A7A3F" w:rsidRDefault="00BC7372">
      <w:pPr>
        <w:spacing w:before="2"/>
        <w:ind w:left="210"/>
        <w:rPr>
          <w:b/>
          <w:sz w:val="20"/>
        </w:rPr>
      </w:pPr>
      <w:r>
        <w:rPr>
          <w:b/>
          <w:color w:val="231F20"/>
          <w:sz w:val="20"/>
        </w:rPr>
        <w:t>at 30 June 2019.</w:t>
      </w:r>
    </w:p>
    <w:p w:rsidR="006A7A3F" w:rsidRDefault="006A7A3F">
      <w:pPr>
        <w:pStyle w:val="BodyText"/>
        <w:spacing w:before="9"/>
        <w:ind w:left="0"/>
        <w:rPr>
          <w:b/>
        </w:rPr>
      </w:pPr>
    </w:p>
    <w:p w:rsidR="006A7A3F" w:rsidRDefault="00BC7372">
      <w:pPr>
        <w:ind w:left="210"/>
        <w:rPr>
          <w:b/>
          <w:sz w:val="24"/>
        </w:rPr>
      </w:pPr>
      <w:r>
        <w:rPr>
          <w:b/>
          <w:color w:val="231F20"/>
          <w:sz w:val="24"/>
        </w:rPr>
        <w:t>System overview</w:t>
      </w:r>
    </w:p>
    <w:p w:rsidR="006A7A3F" w:rsidRDefault="00BC7372">
      <w:pPr>
        <w:spacing w:before="90" w:line="276" w:lineRule="auto"/>
        <w:ind w:left="210" w:right="365"/>
      </w:pPr>
      <w:r>
        <w:rPr>
          <w:color w:val="231F20"/>
        </w:rPr>
        <w:t>The Wimmera River rises in the Pyrenees Range near Elmhurst and flows through Horsham, Dimboola and Jeparit before terminating at Lake Hindmarsh, which is Victoria’s largest freshwater lake and the first of a series of terminal lakes. The Wimmera River receives flows from several regulated tributaries including the MacKenzie River and the Mount William and Burnt creeks. These tributaries, Bungalally Creek and the Wimmera River below Mount William Creek can receive environmental flows. In exceptionally wet periods, Lake Hindmarsh may overflow into Outlet Creek and on to Lake Albacutya, which is an internationally recognised Ramsar-listed wetland. There are numerous wetlands beyond Lake Albacutya as well, which have not filled with water for decades.</w:t>
      </w:r>
    </w:p>
    <w:p w:rsidR="006A7A3F" w:rsidRDefault="006A7A3F">
      <w:pPr>
        <w:pStyle w:val="BodyText"/>
        <w:spacing w:before="3"/>
        <w:ind w:left="0"/>
        <w:rPr>
          <w:sz w:val="21"/>
        </w:rPr>
      </w:pPr>
    </w:p>
    <w:p w:rsidR="006A7A3F" w:rsidRDefault="00BC7372">
      <w:pPr>
        <w:pStyle w:val="BodyText"/>
        <w:spacing w:before="0"/>
      </w:pPr>
      <w:r>
        <w:rPr>
          <w:color w:val="231F20"/>
        </w:rPr>
        <w:t>Water in the Wimmera system is stored in three on-stream reservoirs (Lake Wartook on the MacKenzie River,</w:t>
      </w:r>
    </w:p>
    <w:p w:rsidR="006A7A3F" w:rsidRDefault="00BC7372">
      <w:pPr>
        <w:pStyle w:val="BodyText"/>
        <w:spacing w:before="10" w:line="249" w:lineRule="auto"/>
        <w:ind w:right="180"/>
      </w:pPr>
      <w:r>
        <w:rPr>
          <w:color w:val="231F20"/>
        </w:rPr>
        <w:t xml:space="preserve">Lake Lonsdale on Mount William Creek and Lake Bellfield on Fyans Creek), and in several off-stream storages </w:t>
      </w:r>
      <w:r>
        <w:rPr>
          <w:color w:val="231F20"/>
          <w:spacing w:val="-4"/>
        </w:rPr>
        <w:t xml:space="preserve">(Taylors </w:t>
      </w:r>
      <w:r>
        <w:rPr>
          <w:color w:val="231F20"/>
        </w:rPr>
        <w:t xml:space="preserve">Lake, Lake Fyans and </w:t>
      </w:r>
      <w:r>
        <w:rPr>
          <w:color w:val="231F20"/>
          <w:spacing w:val="-4"/>
        </w:rPr>
        <w:t xml:space="preserve">Toolondo </w:t>
      </w:r>
      <w:r>
        <w:rPr>
          <w:color w:val="231F20"/>
        </w:rPr>
        <w:t xml:space="preserve">Reservoir). A channel system enables water to be moved between several storages. </w:t>
      </w:r>
      <w:r>
        <w:rPr>
          <w:color w:val="231F20"/>
          <w:spacing w:val="-3"/>
        </w:rPr>
        <w:t xml:space="preserve">Water </w:t>
      </w:r>
      <w:r>
        <w:rPr>
          <w:color w:val="231F20"/>
        </w:rPr>
        <w:t xml:space="preserve">can also be transferred from Rocklands Reservoir in the Glenelg system to the Wimmera system via the </w:t>
      </w:r>
      <w:r>
        <w:rPr>
          <w:color w:val="231F20"/>
          <w:spacing w:val="-3"/>
        </w:rPr>
        <w:t xml:space="preserve">Rocklands-Toolondo </w:t>
      </w:r>
      <w:r>
        <w:rPr>
          <w:color w:val="231F20"/>
        </w:rPr>
        <w:t>Channel and from Moora Moora Reservoir via the Moora Channel. The connected storages and channels are collectively called the Wimmera-Mallee system headworks, and harvested water is used for towns and stock and domestic supply throughout the Wimmera catchment and parts of the Avoca, Hopkins, Loddon, Glenelg and Mallee catchments. Passing flows are provided to the Wimmera River and to lower Mount William and Fyans creeks.</w:t>
      </w:r>
    </w:p>
    <w:p w:rsidR="006A7A3F" w:rsidRDefault="00BC7372">
      <w:pPr>
        <w:pStyle w:val="BodyText"/>
        <w:spacing w:before="177" w:line="249" w:lineRule="auto"/>
        <w:ind w:right="263"/>
      </w:pPr>
      <w:r>
        <w:rPr>
          <w:color w:val="231F20"/>
        </w:rPr>
        <w:t>Priority reaches in the Wimmera system that can receive water for the environment are Wimmera River reaches 3 and 4, MacKenzie River reaches 2 and 3, upper and lower Mount William Creek, upper and lower Burnt Creek and Bungalally Creek.</w:t>
      </w:r>
    </w:p>
    <w:p w:rsidR="006A7A3F" w:rsidRDefault="00BC7372">
      <w:pPr>
        <w:pStyle w:val="BodyText"/>
        <w:spacing w:line="249" w:lineRule="auto"/>
        <w:ind w:right="333"/>
      </w:pPr>
      <w:r>
        <w:rPr>
          <w:color w:val="231F20"/>
          <w:spacing w:val="-3"/>
        </w:rPr>
        <w:t xml:space="preserve">Yarriambiack </w:t>
      </w:r>
      <w:r>
        <w:rPr>
          <w:color w:val="231F20"/>
        </w:rPr>
        <w:t xml:space="preserve">Creek is a distributary of the upper Wimmera River that would have naturally received some flows during high-flow events. Modifications to the </w:t>
      </w:r>
      <w:r>
        <w:rPr>
          <w:color w:val="231F20"/>
          <w:spacing w:val="-3"/>
        </w:rPr>
        <w:t xml:space="preserve">Yarriambiack </w:t>
      </w:r>
      <w:r>
        <w:rPr>
          <w:color w:val="231F20"/>
        </w:rPr>
        <w:t xml:space="preserve">Creek offtake increase flow rates in </w:t>
      </w:r>
      <w:r>
        <w:rPr>
          <w:color w:val="231F20"/>
          <w:spacing w:val="-3"/>
        </w:rPr>
        <w:t xml:space="preserve">Yarriambiack </w:t>
      </w:r>
      <w:r>
        <w:rPr>
          <w:color w:val="231F20"/>
        </w:rPr>
        <w:t xml:space="preserve">Creek compared to what would have naturally happened, but they reduce the flow rates to the high-priority reaches of the Wimmera </w:t>
      </w:r>
      <w:r>
        <w:rPr>
          <w:color w:val="231F20"/>
          <w:spacing w:val="-3"/>
        </w:rPr>
        <w:t xml:space="preserve">River. </w:t>
      </w:r>
      <w:r>
        <w:rPr>
          <w:color w:val="231F20"/>
        </w:rPr>
        <w:t xml:space="preserve">During very dry years, flows entering </w:t>
      </w:r>
      <w:r>
        <w:rPr>
          <w:color w:val="231F20"/>
          <w:spacing w:val="-3"/>
        </w:rPr>
        <w:t xml:space="preserve">Yarriambiack </w:t>
      </w:r>
      <w:r>
        <w:rPr>
          <w:color w:val="231F20"/>
        </w:rPr>
        <w:t>Creek may be blocked to ensure watering objectives in the Wimmera River are not compromised.</w:t>
      </w:r>
    </w:p>
    <w:p w:rsidR="006A7A3F" w:rsidRDefault="00BC7372">
      <w:pPr>
        <w:pStyle w:val="BodyText"/>
        <w:spacing w:before="174"/>
      </w:pPr>
      <w:r>
        <w:rPr>
          <w:color w:val="231F20"/>
        </w:rPr>
        <w:t>Two wetlands in the Wimmera system have been included in the environmental watering program in recent years.</w:t>
      </w:r>
    </w:p>
    <w:p w:rsidR="006A7A3F" w:rsidRDefault="00BC7372" w:rsidP="00F31241">
      <w:pPr>
        <w:pStyle w:val="BodyText"/>
        <w:spacing w:before="181" w:line="249" w:lineRule="auto"/>
        <w:ind w:right="466"/>
      </w:pPr>
      <w:r>
        <w:rPr>
          <w:color w:val="231F20"/>
        </w:rPr>
        <w:t>Dock Lake, one of the Wimmera’s large terminal lakes near Horsham, would have naturally filled when the nearby Green Lake filled and overflowed, due to high flow in small creeks that flow from the northern edge of the Grampians. In the 1930s, Dock Lake was modified to allow it to be used as a water storage for irrigation supply in the Wimmera-Mallee system. Dock Lake was removed from the supply system after the completion of the Wimmera-Mallee pipeline in 2010. In late 2016, flooding in the catchment partially filled Dock Lake when Green</w:t>
      </w:r>
      <w:r w:rsidR="004D5DB8">
        <w:rPr>
          <w:color w:val="231F20"/>
        </w:rPr>
        <w:t xml:space="preserve"> </w:t>
      </w:r>
      <w:r>
        <w:rPr>
          <w:color w:val="231F20"/>
        </w:rPr>
        <w:t>Lake filled and overflowed. Managed water deliveries can now only be delivered through a small channel from Green Lake, when there is enough water in Green Lake to gravity-feed Dock Lake.</w:t>
      </w:r>
    </w:p>
    <w:p w:rsidR="006A7A3F" w:rsidRDefault="00BC7372">
      <w:pPr>
        <w:pStyle w:val="BodyText"/>
        <w:spacing w:line="249" w:lineRule="auto"/>
        <w:ind w:right="397"/>
      </w:pPr>
      <w:r>
        <w:rPr>
          <w:color w:val="231F20"/>
        </w:rPr>
        <w:t>Ranch Billabong, near Dimboola, is located on land managed by Barengi Gadjin Land Council Aboriginal Corporation. The billabong system was disconnected from the Wimmera River by changes to a road that traverses land between the river and the billabong. The roadworks and river regulation in the Wimmera River have significantly altered the natural water regime of Ranch Billabong. Restoring habitat for native animal and plant communities at Ranch Billabong is an important outcome for the environment, Traditional Owners and their Nations.</w:t>
      </w:r>
    </w:p>
    <w:p w:rsidR="006A7A3F" w:rsidRDefault="006A7A3F">
      <w:pPr>
        <w:pStyle w:val="BodyText"/>
        <w:spacing w:before="4"/>
        <w:ind w:left="0"/>
      </w:pPr>
    </w:p>
    <w:p w:rsidR="006A7A3F" w:rsidRDefault="00BC7372">
      <w:pPr>
        <w:pStyle w:val="Heading4"/>
      </w:pPr>
      <w:r>
        <w:rPr>
          <w:color w:val="231F20"/>
        </w:rPr>
        <w:t>Environmental values</w:t>
      </w:r>
    </w:p>
    <w:p w:rsidR="006A7A3F" w:rsidRDefault="00BC7372">
      <w:pPr>
        <w:pStyle w:val="BodyText"/>
        <w:spacing w:before="58" w:line="249" w:lineRule="auto"/>
        <w:ind w:right="219"/>
      </w:pPr>
      <w:r>
        <w:rPr>
          <w:color w:val="231F20"/>
        </w:rPr>
        <w:t>The Wimmera system is home to many plant and animal species. It supports populations of native fish such as flat- headed gudgeon, obscure galaxias, river blackfish, southern pygmy perch and Australian smelt. Populations of the critically endangered Wimmera bottlebrush occur along the MacKenzie River and several other locations near the Grampians.</w:t>
      </w:r>
    </w:p>
    <w:p w:rsidR="006A7A3F" w:rsidRDefault="00BC7372">
      <w:pPr>
        <w:pStyle w:val="BodyText"/>
        <w:spacing w:before="174" w:line="249" w:lineRule="auto"/>
        <w:ind w:right="241"/>
      </w:pPr>
      <w:r>
        <w:rPr>
          <w:color w:val="231F20"/>
        </w:rPr>
        <w:t>The Wimmera River supports abundant native fish, waterbird, turtle, frog and rakali (water rat) populations and one of Victoria’s few self-sustaining populations of freshwater catfish.</w:t>
      </w:r>
    </w:p>
    <w:p w:rsidR="006A7A3F" w:rsidRDefault="00BC7372">
      <w:pPr>
        <w:pStyle w:val="BodyText"/>
        <w:spacing w:line="249" w:lineRule="auto"/>
        <w:ind w:right="230"/>
      </w:pPr>
      <w:r>
        <w:rPr>
          <w:color w:val="231F20"/>
        </w:rPr>
        <w:t>The MacKenzie River contains the only population of platypus in the Wimmera system and supports locally- important populations of native fish including river blackfish and southern pygmy perch. It also supports threatened Glenelg spiny crayfish and western swamp crayfish and turtles. During dry periods, the middle and upper reaches of the MacKenzie River maintain regular flow (due to managed releases from Lake Wartook for urban supplies and environmental watering) and provide refuge for these populations.</w:t>
      </w:r>
    </w:p>
    <w:p w:rsidR="006A7A3F" w:rsidRDefault="00BC7372">
      <w:pPr>
        <w:pStyle w:val="BodyText"/>
        <w:spacing w:before="174" w:line="249" w:lineRule="auto"/>
        <w:ind w:right="274"/>
      </w:pPr>
      <w:r>
        <w:rPr>
          <w:color w:val="231F20"/>
        </w:rPr>
        <w:t>Vegetation along Burnt and Bungalally creeks provide habitat corridors for terrestrial wildlife, and upper Burnt Creek contains an important native fish community and a population of threatened western swamp crayfish. Mount William Creek supports regionally-important populations of river blackfish and southern pygmy perch and rakali (water rats).</w:t>
      </w:r>
    </w:p>
    <w:p w:rsidR="006A7A3F" w:rsidRDefault="00BC7372">
      <w:pPr>
        <w:pStyle w:val="BodyText"/>
        <w:spacing w:before="173" w:line="249" w:lineRule="auto"/>
        <w:ind w:right="256"/>
        <w:jc w:val="both"/>
      </w:pPr>
      <w:r>
        <w:rPr>
          <w:color w:val="231F20"/>
        </w:rPr>
        <w:t>Dock Lake is a natural wetland that was modified and used as part of the Wimmera-Mallee headworks system until 2010. When it is wetted, Dock Lake supports large populations of feeding and breeding waterbirds. It also supports frogs and small-bodied native fish.</w:t>
      </w:r>
    </w:p>
    <w:p w:rsidR="004D5DB8" w:rsidRDefault="00BC7372">
      <w:pPr>
        <w:pStyle w:val="BodyText"/>
        <w:spacing w:before="173" w:line="249" w:lineRule="auto"/>
        <w:ind w:right="334"/>
        <w:jc w:val="both"/>
        <w:rPr>
          <w:color w:val="231F20"/>
        </w:rPr>
      </w:pPr>
      <w:r>
        <w:rPr>
          <w:color w:val="231F20"/>
        </w:rPr>
        <w:t>Ranch Billabong is a small wetland near Dimboola that supports river red gums, a variety of aquatic plant species, waterbirds and frogs.</w:t>
      </w:r>
    </w:p>
    <w:p w:rsidR="004D5DB8" w:rsidRDefault="004D5DB8">
      <w:pPr>
        <w:rPr>
          <w:color w:val="231F20"/>
          <w:sz w:val="20"/>
          <w:szCs w:val="20"/>
        </w:rPr>
      </w:pPr>
      <w:r>
        <w:rPr>
          <w:color w:val="231F20"/>
        </w:rPr>
        <w:br w:type="page"/>
      </w:r>
    </w:p>
    <w:p w:rsidR="006A7A3F" w:rsidRDefault="00BC7372">
      <w:pPr>
        <w:pStyle w:val="Heading4"/>
        <w:spacing w:before="1"/>
      </w:pPr>
      <w:r>
        <w:rPr>
          <w:color w:val="231F20"/>
        </w:rPr>
        <w:t>Environmental watering objectives in the Wimmera system</w:t>
      </w:r>
    </w:p>
    <w:p w:rsidR="006A7A3F" w:rsidRDefault="006A7A3F">
      <w:pPr>
        <w:pStyle w:val="BodyText"/>
        <w:spacing w:before="5"/>
        <w:ind w:left="0"/>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901"/>
        </w:trPr>
        <w:tc>
          <w:tcPr>
            <w:tcW w:w="789" w:type="dxa"/>
            <w:tcBorders>
              <w:bottom w:val="single" w:sz="8" w:space="0" w:color="FFFFFF"/>
            </w:tcBorders>
            <w:shd w:val="clear" w:color="auto" w:fill="E6E7E8"/>
          </w:tcPr>
          <w:p w:rsidR="006A7A3F" w:rsidRDefault="006A7A3F">
            <w:pPr>
              <w:pStyle w:val="TableParagraph"/>
              <w:spacing w:before="3"/>
              <w:ind w:left="0"/>
              <w:rPr>
                <w:b/>
                <w:sz w:val="18"/>
              </w:rPr>
            </w:pPr>
          </w:p>
          <w:p w:rsidR="006A7A3F" w:rsidRDefault="00BC7372">
            <w:pPr>
              <w:pStyle w:val="TableParagraph"/>
              <w:ind w:left="178"/>
              <w:rPr>
                <w:sz w:val="20"/>
              </w:rPr>
            </w:pPr>
            <w:r>
              <w:rPr>
                <w:noProof/>
                <w:sz w:val="20"/>
              </w:rPr>
              <w:drawing>
                <wp:inline distT="0" distB="0" distL="0" distR="0">
                  <wp:extent cx="314174" cy="310896"/>
                  <wp:effectExtent l="0" t="0" r="0" b="0"/>
                  <wp:docPr id="815"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9.jpeg"/>
                          <pic:cNvPicPr/>
                        </pic:nvPicPr>
                        <pic:blipFill>
                          <a:blip r:embed="rId31" cstate="print"/>
                          <a:stretch>
                            <a:fillRect/>
                          </a:stretch>
                        </pic:blipFill>
                        <pic:spPr>
                          <a:xfrm>
                            <a:off x="0" y="0"/>
                            <a:ext cx="314174"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32" w:line="254" w:lineRule="auto"/>
              <w:ind w:left="118" w:right="38"/>
              <w:rPr>
                <w:sz w:val="18"/>
              </w:rPr>
            </w:pPr>
            <w:r>
              <w:rPr>
                <w:color w:val="231F20"/>
                <w:sz w:val="18"/>
              </w:rPr>
              <w:t>Protect and increase populations of native fish including one of Victoria’s few self-sustaining populations of freshwater catfish</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81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7"/>
              <w:ind w:left="0"/>
              <w:rPr>
                <w:b/>
                <w:sz w:val="16"/>
              </w:rPr>
            </w:pPr>
          </w:p>
          <w:p w:rsidR="006A7A3F" w:rsidRDefault="00BC7372">
            <w:pPr>
              <w:pStyle w:val="TableParagraph"/>
              <w:spacing w:line="254" w:lineRule="auto"/>
              <w:ind w:left="118" w:right="478"/>
              <w:rPr>
                <w:sz w:val="18"/>
              </w:rPr>
            </w:pPr>
            <w:r>
              <w:rPr>
                <w:color w:val="231F20"/>
                <w:sz w:val="18"/>
              </w:rPr>
              <w:t>Maintain the frog population by providing feeding and breeding habitat</w:t>
            </w:r>
          </w:p>
        </w:tc>
      </w:tr>
      <w:tr w:rsidR="006A7A3F">
        <w:trPr>
          <w:trHeight w:val="891"/>
        </w:trPr>
        <w:tc>
          <w:tcPr>
            <w:tcW w:w="789" w:type="dxa"/>
            <w:tcBorders>
              <w:top w:val="single" w:sz="8" w:space="0" w:color="FFFFFF"/>
              <w:bottom w:val="single" w:sz="8" w:space="0" w:color="FFFFFF"/>
            </w:tcBorders>
            <w:shd w:val="clear" w:color="auto" w:fill="E6E7E8"/>
          </w:tcPr>
          <w:p w:rsidR="006A7A3F" w:rsidRDefault="006A7A3F">
            <w:pPr>
              <w:pStyle w:val="TableParagraph"/>
              <w:spacing w:before="5"/>
              <w:ind w:left="0"/>
              <w:rPr>
                <w:b/>
                <w:sz w:val="17"/>
              </w:rPr>
            </w:pPr>
          </w:p>
          <w:p w:rsidR="006A7A3F" w:rsidRDefault="00BC7372">
            <w:pPr>
              <w:pStyle w:val="TableParagraph"/>
              <w:ind w:left="178"/>
              <w:rPr>
                <w:sz w:val="20"/>
              </w:rPr>
            </w:pPr>
            <w:r>
              <w:rPr>
                <w:noProof/>
                <w:sz w:val="20"/>
              </w:rPr>
              <w:drawing>
                <wp:inline distT="0" distB="0" distL="0" distR="0">
                  <wp:extent cx="314168" cy="310895"/>
                  <wp:effectExtent l="0" t="0" r="0" b="0"/>
                  <wp:docPr id="819"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20.jpeg"/>
                          <pic:cNvPicPr/>
                        </pic:nvPicPr>
                        <pic:blipFill>
                          <a:blip r:embed="rId32"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2" w:line="254" w:lineRule="auto"/>
              <w:ind w:left="118" w:right="179"/>
              <w:rPr>
                <w:sz w:val="18"/>
              </w:rPr>
            </w:pPr>
            <w:r>
              <w:rPr>
                <w:color w:val="231F20"/>
                <w:sz w:val="18"/>
              </w:rPr>
              <w:t>Maintain channel capacity and diversity as well as prevent colonisation of waterways by terrestrial plant species</w:t>
            </w:r>
          </w:p>
        </w:tc>
      </w:tr>
      <w:tr w:rsidR="006A7A3F">
        <w:trPr>
          <w:trHeight w:val="1111"/>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7"/>
              </w:rPr>
            </w:pPr>
          </w:p>
          <w:p w:rsidR="006A7A3F" w:rsidRDefault="00BC7372">
            <w:pPr>
              <w:pStyle w:val="TableParagraph"/>
              <w:ind w:left="178"/>
              <w:rPr>
                <w:sz w:val="20"/>
              </w:rPr>
            </w:pPr>
            <w:r>
              <w:rPr>
                <w:noProof/>
                <w:sz w:val="20"/>
              </w:rPr>
              <w:drawing>
                <wp:inline distT="0" distB="0" distL="0" distR="0">
                  <wp:extent cx="314168" cy="310895"/>
                  <wp:effectExtent l="0" t="0" r="0" b="0"/>
                  <wp:docPr id="821"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31.jpeg"/>
                          <pic:cNvPicPr/>
                        </pic:nvPicPr>
                        <pic:blipFill>
                          <a:blip r:embed="rId43"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2" w:line="254" w:lineRule="auto"/>
              <w:ind w:left="118" w:right="207"/>
              <w:jc w:val="both"/>
              <w:rPr>
                <w:sz w:val="18"/>
              </w:rPr>
            </w:pPr>
            <w:r>
              <w:rPr>
                <w:color w:val="231F20"/>
                <w:sz w:val="18"/>
              </w:rPr>
              <w:t>Maintain and increase the resident platypus population by providing places to breed and feed, as well as opportunities for juveniles to disperse</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8" cy="310895"/>
                  <wp:effectExtent l="0" t="0" r="0" b="0"/>
                  <wp:docPr id="823"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26.jpeg"/>
                          <pic:cNvPicPr/>
                        </pic:nvPicPr>
                        <pic:blipFill>
                          <a:blip r:embed="rId38"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7"/>
              <w:ind w:left="0"/>
              <w:rPr>
                <w:b/>
                <w:sz w:val="16"/>
              </w:rPr>
            </w:pPr>
          </w:p>
          <w:p w:rsidR="006A7A3F" w:rsidRDefault="00BC7372">
            <w:pPr>
              <w:pStyle w:val="TableParagraph"/>
              <w:spacing w:line="254" w:lineRule="auto"/>
              <w:ind w:left="118" w:right="388"/>
              <w:rPr>
                <w:sz w:val="18"/>
              </w:rPr>
            </w:pPr>
            <w:r>
              <w:rPr>
                <w:color w:val="231F20"/>
                <w:sz w:val="18"/>
              </w:rPr>
              <w:t>Maintain the turtle population by providing feeding and breeding habitat</w:t>
            </w:r>
          </w:p>
        </w:tc>
      </w:tr>
      <w:tr w:rsidR="006A7A3F">
        <w:trPr>
          <w:trHeight w:val="891"/>
        </w:trPr>
        <w:tc>
          <w:tcPr>
            <w:tcW w:w="789" w:type="dxa"/>
            <w:tcBorders>
              <w:top w:val="single" w:sz="8" w:space="0" w:color="FFFFFF"/>
              <w:bottom w:val="single" w:sz="8" w:space="0" w:color="FFFFFF"/>
            </w:tcBorders>
            <w:shd w:val="clear" w:color="auto" w:fill="E6E7E8"/>
          </w:tcPr>
          <w:p w:rsidR="006A7A3F" w:rsidRDefault="006A7A3F">
            <w:pPr>
              <w:pStyle w:val="TableParagraph"/>
              <w:spacing w:before="5"/>
              <w:ind w:left="0"/>
              <w:rPr>
                <w:b/>
                <w:sz w:val="17"/>
              </w:rPr>
            </w:pPr>
          </w:p>
          <w:p w:rsidR="006A7A3F" w:rsidRDefault="00BC7372">
            <w:pPr>
              <w:pStyle w:val="TableParagraph"/>
              <w:ind w:left="178"/>
              <w:rPr>
                <w:sz w:val="20"/>
              </w:rPr>
            </w:pPr>
            <w:r>
              <w:rPr>
                <w:noProof/>
                <w:sz w:val="20"/>
              </w:rPr>
              <w:drawing>
                <wp:inline distT="0" distB="0" distL="0" distR="0">
                  <wp:extent cx="314168" cy="310896"/>
                  <wp:effectExtent l="0" t="0" r="0" b="0"/>
                  <wp:docPr id="82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2" w:line="254" w:lineRule="auto"/>
              <w:ind w:left="118" w:right="89"/>
              <w:rPr>
                <w:sz w:val="18"/>
              </w:rPr>
            </w:pPr>
            <w:r>
              <w:rPr>
                <w:color w:val="231F20"/>
                <w:sz w:val="18"/>
              </w:rPr>
              <w:t>Improve the condition, abundance and diversity of aquatic, emergent and streamside vegetation</w:t>
            </w:r>
          </w:p>
        </w:tc>
      </w:tr>
      <w:tr w:rsidR="004D5DB8">
        <w:trPr>
          <w:trHeight w:val="891"/>
        </w:trPr>
        <w:tc>
          <w:tcPr>
            <w:tcW w:w="789" w:type="dxa"/>
            <w:tcBorders>
              <w:top w:val="single" w:sz="8" w:space="0" w:color="FFFFFF"/>
              <w:bottom w:val="single" w:sz="8" w:space="0" w:color="FFFFFF"/>
            </w:tcBorders>
            <w:shd w:val="clear" w:color="auto" w:fill="E6E7E8"/>
          </w:tcPr>
          <w:p w:rsidR="004D5DB8" w:rsidRDefault="004D5DB8" w:rsidP="004D5DB8">
            <w:pPr>
              <w:pStyle w:val="TableParagraph"/>
              <w:spacing w:before="9"/>
              <w:ind w:left="0"/>
              <w:rPr>
                <w:b/>
                <w:sz w:val="16"/>
              </w:rPr>
            </w:pPr>
          </w:p>
          <w:p w:rsidR="004D5DB8" w:rsidRDefault="004D5DB8" w:rsidP="004D5DB8">
            <w:pPr>
              <w:pStyle w:val="TableParagraph"/>
              <w:ind w:left="178"/>
              <w:rPr>
                <w:sz w:val="20"/>
              </w:rPr>
            </w:pPr>
            <w:r>
              <w:rPr>
                <w:noProof/>
                <w:sz w:val="20"/>
              </w:rPr>
              <w:drawing>
                <wp:inline distT="0" distB="0" distL="0" distR="0" wp14:anchorId="2012348A" wp14:editId="75765F02">
                  <wp:extent cx="314168" cy="310896"/>
                  <wp:effectExtent l="0" t="0" r="0" b="0"/>
                  <wp:docPr id="188"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4D5DB8" w:rsidRDefault="004D5DB8" w:rsidP="004D5DB8">
            <w:pPr>
              <w:pStyle w:val="TableParagraph"/>
              <w:spacing w:before="115" w:line="254" w:lineRule="auto"/>
              <w:ind w:left="118" w:right="38"/>
              <w:rPr>
                <w:sz w:val="18"/>
              </w:rPr>
            </w:pPr>
            <w:r>
              <w:rPr>
                <w:color w:val="231F20"/>
                <w:sz w:val="18"/>
              </w:rPr>
              <w:t>Increase the waterbird population by providing roosting, feeding and breeding habitat in floodplain wetlands</w:t>
            </w:r>
          </w:p>
        </w:tc>
      </w:tr>
      <w:tr w:rsidR="004D5DB8" w:rsidTr="004D5DB8">
        <w:trPr>
          <w:trHeight w:val="1427"/>
        </w:trPr>
        <w:tc>
          <w:tcPr>
            <w:tcW w:w="789" w:type="dxa"/>
            <w:tcBorders>
              <w:top w:val="single" w:sz="8" w:space="0" w:color="FFFFFF"/>
              <w:bottom w:val="single" w:sz="8" w:space="0" w:color="FFFFFF"/>
            </w:tcBorders>
            <w:shd w:val="clear" w:color="auto" w:fill="E6E7E8"/>
          </w:tcPr>
          <w:p w:rsidR="004D5DB8" w:rsidRDefault="004D5DB8" w:rsidP="004D5DB8">
            <w:pPr>
              <w:pStyle w:val="TableParagraph"/>
              <w:ind w:left="0"/>
              <w:rPr>
                <w:b/>
                <w:sz w:val="20"/>
              </w:rPr>
            </w:pPr>
          </w:p>
          <w:p w:rsidR="004D5DB8" w:rsidRDefault="004D5DB8" w:rsidP="004D5DB8">
            <w:pPr>
              <w:pStyle w:val="TableParagraph"/>
              <w:spacing w:before="4"/>
              <w:ind w:left="0"/>
              <w:rPr>
                <w:b/>
                <w:sz w:val="18"/>
              </w:rPr>
            </w:pPr>
          </w:p>
          <w:p w:rsidR="004D5DB8" w:rsidRDefault="004D5DB8" w:rsidP="004D5DB8">
            <w:pPr>
              <w:pStyle w:val="TableParagraph"/>
              <w:ind w:left="178"/>
              <w:rPr>
                <w:sz w:val="20"/>
              </w:rPr>
            </w:pPr>
            <w:r>
              <w:rPr>
                <w:noProof/>
                <w:sz w:val="20"/>
              </w:rPr>
              <w:drawing>
                <wp:inline distT="0" distB="0" distL="0" distR="0" wp14:anchorId="076D4B2B" wp14:editId="06E95710">
                  <wp:extent cx="314168" cy="310896"/>
                  <wp:effectExtent l="0" t="0" r="0" b="0"/>
                  <wp:docPr id="190"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4D5DB8" w:rsidRDefault="004D5DB8" w:rsidP="004D5DB8">
            <w:pPr>
              <w:pStyle w:val="TableParagraph"/>
              <w:spacing w:before="115" w:line="254" w:lineRule="auto"/>
              <w:ind w:left="118" w:right="89"/>
              <w:rPr>
                <w:sz w:val="18"/>
              </w:rPr>
            </w:pPr>
            <w:r>
              <w:rPr>
                <w:color w:val="231F20"/>
                <w:sz w:val="18"/>
              </w:rPr>
              <w:t>Increase the abundance and diversity of waterbugs, which break down dead organic matter and support the waterway’s food chain</w:t>
            </w:r>
          </w:p>
          <w:p w:rsidR="004D5DB8" w:rsidRDefault="004D5DB8" w:rsidP="004D5DB8">
            <w:pPr>
              <w:pStyle w:val="TableParagraph"/>
              <w:spacing w:before="58" w:line="254" w:lineRule="auto"/>
              <w:ind w:left="118" w:right="168"/>
              <w:rPr>
                <w:sz w:val="18"/>
              </w:rPr>
            </w:pPr>
            <w:r>
              <w:rPr>
                <w:color w:val="231F20"/>
                <w:sz w:val="18"/>
              </w:rPr>
              <w:t>Maintain the crayfish population by providing feeding and breeding habitat</w:t>
            </w:r>
          </w:p>
        </w:tc>
      </w:tr>
      <w:tr w:rsidR="004D5DB8" w:rsidTr="004D5DB8">
        <w:trPr>
          <w:trHeight w:val="1108"/>
        </w:trPr>
        <w:tc>
          <w:tcPr>
            <w:tcW w:w="789" w:type="dxa"/>
            <w:tcBorders>
              <w:top w:val="single" w:sz="8" w:space="0" w:color="FFFFFF"/>
              <w:bottom w:val="single" w:sz="8" w:space="0" w:color="FFFFFF"/>
            </w:tcBorders>
            <w:shd w:val="clear" w:color="auto" w:fill="E6E7E8"/>
          </w:tcPr>
          <w:p w:rsidR="004D5DB8" w:rsidRDefault="004D5DB8" w:rsidP="004D5DB8">
            <w:pPr>
              <w:pStyle w:val="TableParagraph"/>
              <w:spacing w:before="4"/>
              <w:ind w:left="0"/>
              <w:rPr>
                <w:b/>
                <w:sz w:val="26"/>
              </w:rPr>
            </w:pPr>
          </w:p>
          <w:p w:rsidR="004D5DB8" w:rsidRDefault="004D5DB8" w:rsidP="004D5DB8">
            <w:pPr>
              <w:pStyle w:val="TableParagraph"/>
              <w:ind w:left="178"/>
              <w:rPr>
                <w:sz w:val="20"/>
              </w:rPr>
            </w:pPr>
            <w:r>
              <w:rPr>
                <w:noProof/>
                <w:sz w:val="20"/>
              </w:rPr>
              <w:drawing>
                <wp:inline distT="0" distB="0" distL="0" distR="0" wp14:anchorId="142F5067" wp14:editId="762C44F3">
                  <wp:extent cx="314168" cy="310896"/>
                  <wp:effectExtent l="0" t="0" r="0" b="0"/>
                  <wp:docPr id="192"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4D5DB8" w:rsidRDefault="004D5DB8" w:rsidP="004D5DB8">
            <w:pPr>
              <w:pStyle w:val="TableParagraph"/>
              <w:spacing w:before="115" w:line="254" w:lineRule="auto"/>
              <w:ind w:left="118" w:right="99"/>
              <w:rPr>
                <w:sz w:val="18"/>
              </w:rPr>
            </w:pPr>
            <w:r>
              <w:rPr>
                <w:color w:val="231F20"/>
                <w:sz w:val="18"/>
              </w:rPr>
              <w:t>Maintain and improve water quality to provide suitable conditions for waterbugs, native</w:t>
            </w:r>
          </w:p>
          <w:p w:rsidR="004D5DB8" w:rsidRDefault="004D5DB8" w:rsidP="004D5DB8">
            <w:pPr>
              <w:pStyle w:val="TableParagraph"/>
              <w:spacing w:before="1" w:line="254" w:lineRule="auto"/>
              <w:ind w:left="118" w:right="348"/>
              <w:rPr>
                <w:sz w:val="18"/>
              </w:rPr>
            </w:pPr>
            <w:r>
              <w:rPr>
                <w:color w:val="231F20"/>
                <w:sz w:val="18"/>
              </w:rPr>
              <w:t>fish and other water-dependent plants and animals</w:t>
            </w:r>
          </w:p>
        </w:tc>
      </w:tr>
    </w:tbl>
    <w:p w:rsidR="006A7A3F" w:rsidRDefault="006A7A3F">
      <w:pPr>
        <w:spacing w:line="254" w:lineRule="auto"/>
        <w:rPr>
          <w:sz w:val="18"/>
        </w:rPr>
        <w:sectPr w:rsidR="006A7A3F" w:rsidSect="00C92D74">
          <w:pgSz w:w="11910" w:h="16840"/>
          <w:pgMar w:top="1701" w:right="851" w:bottom="1134" w:left="851" w:header="720" w:footer="720" w:gutter="0"/>
          <w:cols w:space="720"/>
        </w:sectPr>
      </w:pPr>
    </w:p>
    <w:p w:rsidR="006A7A3F" w:rsidRDefault="006A7A3F">
      <w:pPr>
        <w:pStyle w:val="BodyText"/>
        <w:spacing w:before="7"/>
        <w:ind w:left="0"/>
        <w:rPr>
          <w:b/>
          <w:sz w:val="23"/>
        </w:rPr>
      </w:pPr>
    </w:p>
    <w:p w:rsidR="006A7A3F" w:rsidRDefault="00BC7372">
      <w:pPr>
        <w:spacing w:before="93"/>
        <w:ind w:left="210"/>
        <w:rPr>
          <w:b/>
          <w:sz w:val="24"/>
        </w:rPr>
      </w:pPr>
      <w:r>
        <w:rPr>
          <w:b/>
          <w:color w:val="231F20"/>
          <w:sz w:val="24"/>
        </w:rPr>
        <w:t>Traditional Owner cultural values and uses</w:t>
      </w:r>
    </w:p>
    <w:p w:rsidR="006A7A3F" w:rsidRDefault="00BC7372">
      <w:pPr>
        <w:pStyle w:val="BodyText"/>
        <w:spacing w:before="58" w:line="249" w:lineRule="auto"/>
        <w:ind w:right="470"/>
      </w:pPr>
      <w:r>
        <w:rPr>
          <w:color w:val="231F20"/>
        </w:rPr>
        <w:t xml:space="preserve">The waterways within the Wimmera are important to the Wotjobaluk people and heritage values exist throughout the landscape. Native </w:t>
      </w:r>
      <w:r>
        <w:rPr>
          <w:color w:val="231F20"/>
          <w:spacing w:val="-3"/>
        </w:rPr>
        <w:t xml:space="preserve">Title </w:t>
      </w:r>
      <w:r>
        <w:rPr>
          <w:color w:val="231F20"/>
        </w:rPr>
        <w:t xml:space="preserve">is held along much of the lower Wimmera </w:t>
      </w:r>
      <w:r>
        <w:rPr>
          <w:color w:val="231F20"/>
          <w:spacing w:val="-3"/>
        </w:rPr>
        <w:t xml:space="preserve">River, </w:t>
      </w:r>
      <w:r>
        <w:rPr>
          <w:color w:val="231F20"/>
        </w:rPr>
        <w:t xml:space="preserve">reinforcing the cultural significance of these values. In planning for environmental flows in the Wimmera </w:t>
      </w:r>
      <w:r>
        <w:rPr>
          <w:color w:val="231F20"/>
          <w:spacing w:val="-3"/>
        </w:rPr>
        <w:t xml:space="preserve">River, </w:t>
      </w:r>
      <w:r>
        <w:rPr>
          <w:color w:val="231F20"/>
        </w:rPr>
        <w:t>Barengi Gadjin Land Council and Wimmera CMA have considered these values as well as contemporary cultural events such as the Wotjobaluk festival.</w:t>
      </w:r>
    </w:p>
    <w:p w:rsidR="006A7A3F" w:rsidRDefault="00BC7372">
      <w:pPr>
        <w:pStyle w:val="BodyText"/>
        <w:spacing w:before="117" w:line="249" w:lineRule="auto"/>
        <w:ind w:right="251"/>
      </w:pPr>
      <w:r>
        <w:rPr>
          <w:color w:val="231F20"/>
        </w:rPr>
        <w:t>Waterway managers are seeking opportunities to increase the involvement of Traditional Owners in environmental water planning and management. Where Traditional Owners are more deeply involved in the planning and/or delivery of environmental flows for a particular site, their contribution is acknowledged in Table 4.3.1 with an icon.</w:t>
      </w:r>
    </w:p>
    <w:p w:rsidR="006A7A3F" w:rsidRDefault="006A7A3F">
      <w:pPr>
        <w:pStyle w:val="BodyText"/>
        <w:spacing w:before="6"/>
        <w:ind w:left="0"/>
        <w:rPr>
          <w:sz w:val="12"/>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41"/>
      </w:tblGrid>
      <w:tr w:rsidR="006A7A3F">
        <w:trPr>
          <w:trHeight w:val="797"/>
        </w:trPr>
        <w:tc>
          <w:tcPr>
            <w:tcW w:w="789" w:type="dxa"/>
            <w:shd w:val="clear" w:color="auto" w:fill="E6E7E8"/>
          </w:tcPr>
          <w:p w:rsidR="006A7A3F" w:rsidRDefault="006A7A3F">
            <w:pPr>
              <w:pStyle w:val="TableParagraph"/>
              <w:spacing w:before="9" w:after="1"/>
              <w:ind w:left="0"/>
              <w:rPr>
                <w:sz w:val="9"/>
              </w:rPr>
            </w:pPr>
          </w:p>
          <w:p w:rsidR="006A7A3F" w:rsidRDefault="00BC7372">
            <w:pPr>
              <w:pStyle w:val="TableParagraph"/>
              <w:ind w:left="180"/>
              <w:rPr>
                <w:sz w:val="20"/>
              </w:rPr>
            </w:pPr>
            <w:r>
              <w:rPr>
                <w:noProof/>
                <w:sz w:val="20"/>
              </w:rPr>
              <w:drawing>
                <wp:inline distT="0" distB="0" distL="0" distR="0">
                  <wp:extent cx="313944" cy="313943"/>
                  <wp:effectExtent l="0" t="0" r="0" b="0"/>
                  <wp:docPr id="833"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8.jpeg"/>
                          <pic:cNvPicPr/>
                        </pic:nvPicPr>
                        <pic:blipFill>
                          <a:blip r:embed="rId18" cstate="print"/>
                          <a:stretch>
                            <a:fillRect/>
                          </a:stretch>
                        </pic:blipFill>
                        <pic:spPr>
                          <a:xfrm>
                            <a:off x="0" y="0"/>
                            <a:ext cx="313944" cy="313943"/>
                          </a:xfrm>
                          <a:prstGeom prst="rect">
                            <a:avLst/>
                          </a:prstGeom>
                        </pic:spPr>
                      </pic:pic>
                    </a:graphicData>
                  </a:graphic>
                </wp:inline>
              </w:drawing>
            </w:r>
          </w:p>
        </w:tc>
        <w:tc>
          <w:tcPr>
            <w:tcW w:w="3841" w:type="dxa"/>
            <w:shd w:val="clear" w:color="auto" w:fill="E6E7E8"/>
          </w:tcPr>
          <w:p w:rsidR="006A7A3F" w:rsidRDefault="00BC7372">
            <w:pPr>
              <w:pStyle w:val="TableParagraph"/>
              <w:spacing w:before="75" w:line="254" w:lineRule="auto"/>
              <w:ind w:left="118"/>
              <w:rPr>
                <w:sz w:val="18"/>
              </w:rPr>
            </w:pPr>
            <w:r>
              <w:rPr>
                <w:color w:val="231F20"/>
                <w:sz w:val="18"/>
              </w:rPr>
              <w:t>Watering planned and/or delivered in partnership with Traditional Owners to support Aboriginal cultural values and uses</w:t>
            </w:r>
          </w:p>
        </w:tc>
      </w:tr>
    </w:tbl>
    <w:p w:rsidR="006A7A3F" w:rsidRDefault="00BC7372">
      <w:pPr>
        <w:pStyle w:val="BodyText"/>
        <w:spacing w:before="114" w:line="249" w:lineRule="auto"/>
        <w:ind w:right="183"/>
      </w:pPr>
      <w:r>
        <w:rPr>
          <w:color w:val="231F20"/>
        </w:rPr>
        <w:t>In the Wimmera system, Wimmera CMA and Barengi Gadjin Land Council, on behalf of the Wotjobaluk people, work in partnership to provide a variety of Aboriginal environmental outcomes at Ranch Billabong. The delivery of environmental water at Ranch Billabong, aims to return a more natural flooding regime, restore indigenous plant and animal habitats, control selected weed species and improve the site’s amenity and suitability for gatherings and events, such as earth oven and bark canoe recreations.</w:t>
      </w:r>
    </w:p>
    <w:p w:rsidR="006A7A3F" w:rsidRDefault="00BC7372">
      <w:pPr>
        <w:pStyle w:val="Heading4"/>
        <w:spacing w:before="176"/>
      </w:pPr>
      <w:r>
        <w:rPr>
          <w:color w:val="231F20"/>
        </w:rPr>
        <w:t>Social, recreational and economic values and uses</w:t>
      </w:r>
    </w:p>
    <w:p w:rsidR="006A7A3F" w:rsidRDefault="00BC7372">
      <w:pPr>
        <w:pStyle w:val="BodyText"/>
        <w:spacing w:before="59" w:line="249" w:lineRule="auto"/>
        <w:ind w:right="100"/>
      </w:pPr>
      <w:r>
        <w:rPr>
          <w:color w:val="231F20"/>
        </w:rPr>
        <w:t>In planning the potential watering actions in Table 4.3.1, Wimmera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fishing, rowing, water skiing and paddle</w:t>
      </w:r>
      <w:r>
        <w:rPr>
          <w:color w:val="231F20"/>
          <w:spacing w:val="-10"/>
          <w:sz w:val="20"/>
        </w:rPr>
        <w:t xml:space="preserve"> </w:t>
      </w:r>
      <w:r>
        <w:rPr>
          <w:color w:val="231F20"/>
          <w:sz w:val="20"/>
        </w:rPr>
        <w:t>boating)</w:t>
      </w:r>
    </w:p>
    <w:p w:rsidR="006A7A3F" w:rsidRDefault="00BC7372" w:rsidP="009B6917">
      <w:pPr>
        <w:pStyle w:val="ListParagraph"/>
        <w:numPr>
          <w:ilvl w:val="0"/>
          <w:numId w:val="1419"/>
        </w:numPr>
        <w:tabs>
          <w:tab w:val="left" w:pos="493"/>
          <w:tab w:val="left" w:pos="494"/>
        </w:tabs>
        <w:spacing w:before="66"/>
        <w:ind w:hanging="281"/>
        <w:rPr>
          <w:sz w:val="20"/>
        </w:rPr>
      </w:pPr>
      <w:r>
        <w:rPr>
          <w:color w:val="231F20"/>
          <w:sz w:val="20"/>
        </w:rPr>
        <w:t>riverside recreation and amenity (such as running and</w:t>
      </w:r>
      <w:r>
        <w:rPr>
          <w:color w:val="231F20"/>
          <w:spacing w:val="-6"/>
          <w:sz w:val="20"/>
        </w:rPr>
        <w:t xml:space="preserve"> </w:t>
      </w:r>
      <w:r>
        <w:rPr>
          <w:color w:val="231F20"/>
          <w:sz w:val="20"/>
        </w:rPr>
        <w:t>walking)</w:t>
      </w:r>
    </w:p>
    <w:p w:rsidR="006A7A3F" w:rsidRDefault="00BC7372" w:rsidP="009B6917">
      <w:pPr>
        <w:pStyle w:val="ListParagraph"/>
        <w:numPr>
          <w:ilvl w:val="0"/>
          <w:numId w:val="1419"/>
        </w:numPr>
        <w:tabs>
          <w:tab w:val="left" w:pos="493"/>
          <w:tab w:val="left" w:pos="494"/>
        </w:tabs>
        <w:spacing w:before="67" w:line="249" w:lineRule="auto"/>
        <w:ind w:right="729"/>
        <w:rPr>
          <w:sz w:val="20"/>
        </w:rPr>
      </w:pPr>
      <w:r>
        <w:rPr>
          <w:color w:val="231F20"/>
          <w:sz w:val="20"/>
        </w:rPr>
        <w:t xml:space="preserve">community events and tourism (such as fishing competitions at Dimboola, Jeparit and Horsham; Dimboola [rowing] Regatta; Kannamaroo Festival at Horsham, Wimmera River Duck Race; Peter </w:t>
      </w:r>
      <w:r>
        <w:rPr>
          <w:color w:val="231F20"/>
          <w:spacing w:val="-5"/>
          <w:sz w:val="20"/>
        </w:rPr>
        <w:t xml:space="preserve">Taylor </w:t>
      </w:r>
      <w:r>
        <w:rPr>
          <w:color w:val="231F20"/>
          <w:sz w:val="20"/>
        </w:rPr>
        <w:t xml:space="preserve">Memorial Barefoot </w:t>
      </w:r>
      <w:r>
        <w:rPr>
          <w:color w:val="231F20"/>
          <w:spacing w:val="-3"/>
          <w:sz w:val="20"/>
        </w:rPr>
        <w:t xml:space="preserve">Water </w:t>
      </w:r>
      <w:r>
        <w:rPr>
          <w:color w:val="231F20"/>
          <w:sz w:val="20"/>
        </w:rPr>
        <w:t xml:space="preserve">Ski </w:t>
      </w:r>
      <w:r>
        <w:rPr>
          <w:color w:val="231F20"/>
          <w:spacing w:val="-4"/>
          <w:sz w:val="20"/>
        </w:rPr>
        <w:t xml:space="preserve">Tournament </w:t>
      </w:r>
      <w:r>
        <w:rPr>
          <w:color w:val="231F20"/>
          <w:sz w:val="20"/>
        </w:rPr>
        <w:t>and Night Jump at Dimboola; and general</w:t>
      </w:r>
      <w:r>
        <w:rPr>
          <w:color w:val="231F20"/>
          <w:spacing w:val="-8"/>
          <w:sz w:val="20"/>
        </w:rPr>
        <w:t xml:space="preserve"> </w:t>
      </w:r>
      <w:r>
        <w:rPr>
          <w:color w:val="231F20"/>
          <w:sz w:val="20"/>
        </w:rPr>
        <w:t>visitation).</w:t>
      </w:r>
    </w:p>
    <w:p w:rsidR="006A7A3F" w:rsidRDefault="00BC7372">
      <w:pPr>
        <w:pStyle w:val="BodyText"/>
        <w:spacing w:before="116" w:line="249" w:lineRule="auto"/>
        <w:ind w:right="174"/>
      </w:pPr>
      <w:r>
        <w:rPr>
          <w:color w:val="231F20"/>
        </w:rPr>
        <w:t>If the timing or management of planned environmental flows may be modified to align with a community benefit, this is acknowledged in Table 4.3.1 with an icon.</w:t>
      </w:r>
    </w:p>
    <w:p w:rsidR="006A7A3F" w:rsidRDefault="006A7A3F">
      <w:pPr>
        <w:pStyle w:val="BodyText"/>
        <w:spacing w:before="4" w:after="1"/>
        <w:ind w:left="0"/>
        <w:rPr>
          <w:sz w:val="12"/>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706"/>
        </w:trPr>
        <w:tc>
          <w:tcPr>
            <w:tcW w:w="789" w:type="dxa"/>
            <w:tcBorders>
              <w:bottom w:val="single" w:sz="8" w:space="0" w:color="FFFFFF"/>
            </w:tcBorders>
            <w:shd w:val="clear" w:color="auto" w:fill="E6E7E8"/>
          </w:tcPr>
          <w:p w:rsidR="006A7A3F" w:rsidRDefault="006A7A3F">
            <w:pPr>
              <w:pStyle w:val="TableParagraph"/>
              <w:spacing w:before="9" w:after="1"/>
              <w:ind w:left="0"/>
              <w:rPr>
                <w:sz w:val="9"/>
              </w:rPr>
            </w:pPr>
          </w:p>
          <w:p w:rsidR="006A7A3F" w:rsidRDefault="00BC7372">
            <w:pPr>
              <w:pStyle w:val="TableParagraph"/>
              <w:ind w:left="178"/>
              <w:rPr>
                <w:sz w:val="20"/>
              </w:rPr>
            </w:pPr>
            <w:r>
              <w:rPr>
                <w:noProof/>
                <w:sz w:val="20"/>
              </w:rPr>
              <w:drawing>
                <wp:inline distT="0" distB="0" distL="0" distR="0">
                  <wp:extent cx="314161" cy="310895"/>
                  <wp:effectExtent l="0" t="0" r="0" b="0"/>
                  <wp:docPr id="835"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38.jpeg"/>
                          <pic:cNvPicPr/>
                        </pic:nvPicPr>
                        <pic:blipFill>
                          <a:blip r:embed="rId50" cstate="print"/>
                          <a:stretch>
                            <a:fillRect/>
                          </a:stretch>
                        </pic:blipFill>
                        <pic:spPr>
                          <a:xfrm>
                            <a:off x="0" y="0"/>
                            <a:ext cx="314161" cy="310895"/>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spacing w:before="2"/>
              <w:ind w:left="0"/>
            </w:pPr>
          </w:p>
          <w:p w:rsidR="006A7A3F" w:rsidRDefault="00BC7372">
            <w:pPr>
              <w:pStyle w:val="TableParagraph"/>
              <w:ind w:left="118"/>
              <w:rPr>
                <w:sz w:val="18"/>
              </w:rPr>
            </w:pPr>
            <w:r>
              <w:rPr>
                <w:color w:val="231F20"/>
                <w:sz w:val="18"/>
              </w:rPr>
              <w:t>Watering planned to support angling activities</w:t>
            </w:r>
          </w:p>
        </w:tc>
      </w:tr>
      <w:tr w:rsidR="006A7A3F">
        <w:trPr>
          <w:trHeight w:val="706"/>
        </w:trPr>
        <w:tc>
          <w:tcPr>
            <w:tcW w:w="789" w:type="dxa"/>
            <w:tcBorders>
              <w:top w:val="single" w:sz="8" w:space="0" w:color="FFFFFF"/>
            </w:tcBorders>
            <w:shd w:val="clear" w:color="auto" w:fill="E6E7E8"/>
          </w:tcPr>
          <w:p w:rsidR="006A7A3F" w:rsidRDefault="006A7A3F">
            <w:pPr>
              <w:pStyle w:val="TableParagraph"/>
              <w:spacing w:before="11"/>
              <w:ind w:left="0"/>
              <w:rPr>
                <w:sz w:val="8"/>
              </w:rPr>
            </w:pPr>
          </w:p>
          <w:p w:rsidR="006A7A3F" w:rsidRDefault="00BC7372">
            <w:pPr>
              <w:pStyle w:val="TableParagraph"/>
              <w:ind w:left="178"/>
              <w:rPr>
                <w:sz w:val="20"/>
              </w:rPr>
            </w:pPr>
            <w:r>
              <w:rPr>
                <w:noProof/>
                <w:sz w:val="20"/>
              </w:rPr>
              <w:drawing>
                <wp:inline distT="0" distB="0" distL="0" distR="0">
                  <wp:extent cx="314161" cy="310895"/>
                  <wp:effectExtent l="0" t="0" r="0" b="0"/>
                  <wp:docPr id="83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24.jpeg"/>
                          <pic:cNvPicPr/>
                        </pic:nvPicPr>
                        <pic:blipFill>
                          <a:blip r:embed="rId36" cstate="print"/>
                          <a:stretch>
                            <a:fillRect/>
                          </a:stretch>
                        </pic:blipFill>
                        <pic:spPr>
                          <a:xfrm>
                            <a:off x="0" y="0"/>
                            <a:ext cx="314161" cy="310895"/>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35" w:line="254" w:lineRule="auto"/>
              <w:ind w:left="118"/>
              <w:rPr>
                <w:sz w:val="18"/>
              </w:rPr>
            </w:pPr>
            <w:r>
              <w:rPr>
                <w:color w:val="231F20"/>
                <w:sz w:val="18"/>
              </w:rPr>
              <w:t>Watering planned to support water sports activities (e.g. rowing, water skiing)</w:t>
            </w:r>
          </w:p>
        </w:tc>
      </w:tr>
    </w:tbl>
    <w:p w:rsidR="006A7A3F" w:rsidRDefault="00BC7372">
      <w:pPr>
        <w:pStyle w:val="BodyText"/>
        <w:spacing w:before="142" w:line="249" w:lineRule="auto"/>
        <w:ind w:right="619"/>
      </w:pPr>
      <w:r>
        <w:rPr>
          <w:color w:val="231F20"/>
        </w:rPr>
        <w:t>Water for the environment can be used to temporarily raise water levels in the Horsham and Dimboola weir pools to improve conditions for community events including fishing competitions and water-skiing and rowing events. Following the events, the environmental water is released, to continue to improve ecological objectives downstream.</w:t>
      </w:r>
    </w:p>
    <w:p w:rsidR="004D5DB8" w:rsidRDefault="004D5DB8">
      <w:pPr>
        <w:rPr>
          <w:b/>
          <w:bCs/>
          <w:color w:val="231F20"/>
          <w:sz w:val="24"/>
          <w:szCs w:val="24"/>
        </w:rPr>
      </w:pPr>
      <w:r>
        <w:rPr>
          <w:color w:val="231F20"/>
        </w:rPr>
        <w:br w:type="page"/>
      </w:r>
    </w:p>
    <w:p w:rsidR="006A7A3F" w:rsidRDefault="00BC7372">
      <w:pPr>
        <w:pStyle w:val="Heading4"/>
        <w:spacing w:before="176"/>
      </w:pPr>
      <w:r>
        <w:rPr>
          <w:color w:val="231F20"/>
        </w:rPr>
        <w:t>Recent conditions</w:t>
      </w:r>
    </w:p>
    <w:p w:rsidR="006A7A3F" w:rsidRDefault="00BC7372" w:rsidP="00F31241">
      <w:pPr>
        <w:pStyle w:val="BodyText"/>
        <w:spacing w:before="58" w:line="249" w:lineRule="auto"/>
        <w:ind w:right="508"/>
      </w:pPr>
      <w:r>
        <w:rPr>
          <w:color w:val="231F20"/>
        </w:rPr>
        <w:t>The Wimmera region has had below-average rainfall and above-average temperatures for most of the last three years. Near-average rainfall in winter 2019 caused the upper Wimmera River (measured at Glenorchy) to flow</w:t>
      </w:r>
      <w:r w:rsidR="00F31241">
        <w:rPr>
          <w:color w:val="231F20"/>
        </w:rPr>
        <w:t xml:space="preserve"> </w:t>
      </w:r>
      <w:r>
        <w:rPr>
          <w:color w:val="231F20"/>
        </w:rPr>
        <w:t>for the first time in more than a year, and it contributed notable inflows into the Mount William Creek catchment including Lake Lonsdale. Much of spring and the first months of summer were drier than average, which meant inflows to storages across the Wimmera-Mallee headworks system were well below average for the 2019–20 water year, but the second half of summer and autumn were slightly wetter than average and mild temperatures limited evaporation losses. The Wimmera-Glenelg environmental entitlement received 42 percent allocation in 2019–20.</w:t>
      </w:r>
      <w:r w:rsidR="00F31241">
        <w:rPr>
          <w:color w:val="231F20"/>
        </w:rPr>
        <w:t xml:space="preserve"> </w:t>
      </w:r>
      <w:r>
        <w:rPr>
          <w:color w:val="231F20"/>
        </w:rPr>
        <w:t>The Commonwealth Environmental Water Holder (CEWH) did not receive any allocation in the Wimmera system for the third year in a row. CEWH water that was allocated in 2016–17 was carried over and used to support environmental outcomes in the Wimmera River and in Mount William Creek in 2018–19 and 2019–20.</w:t>
      </w:r>
    </w:p>
    <w:p w:rsidR="006A7A3F" w:rsidRDefault="00BC7372">
      <w:pPr>
        <w:pStyle w:val="BodyText"/>
        <w:spacing w:before="116" w:line="249" w:lineRule="auto"/>
        <w:ind w:right="296"/>
      </w:pPr>
      <w:r>
        <w:rPr>
          <w:color w:val="231F20"/>
        </w:rPr>
        <w:t>Natural flow during winter and early spring 2019 provided low flow and some freshes which met some of the minimum environmental flow requirements in the Wimmera River, MacKenzie River and Burnt Creek. Passing flows from Lake Lonsdale were suspended in winter to conserve water for drier conditions predicted for spring and summer. The accumulated water was used to meet environmental flow requirements in the Wimmera River and in Mount William Creek in spring 2019.</w:t>
      </w:r>
    </w:p>
    <w:p w:rsidR="006A7A3F" w:rsidRDefault="00BC7372">
      <w:pPr>
        <w:pStyle w:val="BodyText"/>
        <w:spacing w:before="118" w:line="249" w:lineRule="auto"/>
        <w:ind w:right="223"/>
      </w:pPr>
      <w:r>
        <w:rPr>
          <w:color w:val="231F20"/>
        </w:rPr>
        <w:t>Water for the environment was delivered from mid-October 2019 to June 2020, in line with very dry climate conditions to maintain low flow and small freshes in Wimmera River below Dimboola and to top up Ranch Billabong. Small volumes were also delivered to Mount William Creek, the MacKenzie River and upper Burnt Creek in line with drought conditions due to limited water availability in Lake Lonsdale and Lake Wartook. Environmental watering in summer and autumn 2020 primarily aimed to maintain habitat for native fish, platypus and waterbugs and to protect water quality. Without significant rain in winter and spring 2020, water quality and habitat quality in the Wimmera system will decline and there will be a greater reliance on water for the environment to protect critical refuges. There is less environmental water carried over from 2019–20 compared to the previous three years and under drought, very dry and dry seasonal conditions water availability in 2020–21 will be limited to only meeting the highest-priority demands (tier 1a) in the Wimmera system.</w:t>
      </w:r>
    </w:p>
    <w:p w:rsidR="004D5DB8" w:rsidRDefault="004D5DB8">
      <w:pPr>
        <w:rPr>
          <w:b/>
          <w:bCs/>
          <w:color w:val="231F20"/>
          <w:sz w:val="24"/>
          <w:szCs w:val="24"/>
        </w:rPr>
      </w:pPr>
      <w:r>
        <w:rPr>
          <w:color w:val="231F20"/>
        </w:rPr>
        <w:br w:type="page"/>
      </w:r>
    </w:p>
    <w:p w:rsidR="006A7A3F" w:rsidRDefault="00BC7372">
      <w:pPr>
        <w:pStyle w:val="Heading4"/>
        <w:spacing w:before="181"/>
      </w:pPr>
      <w:r>
        <w:rPr>
          <w:color w:val="231F20"/>
        </w:rPr>
        <w:t>Scope of environmental watering</w:t>
      </w:r>
    </w:p>
    <w:p w:rsidR="006A7A3F" w:rsidRDefault="00BC7372">
      <w:pPr>
        <w:pStyle w:val="BodyText"/>
        <w:spacing w:before="58" w:line="249" w:lineRule="auto"/>
        <w:ind w:right="100"/>
      </w:pPr>
      <w:r>
        <w:rPr>
          <w:color w:val="231F20"/>
        </w:rPr>
        <w:t>Table 4.3.1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4.3.1 Potential environmental watering actions and objectives for the Wimmera system</w:t>
      </w:r>
    </w:p>
    <w:p w:rsidR="006A7A3F" w:rsidRDefault="006A7A3F">
      <w:pPr>
        <w:pStyle w:val="BodyText"/>
        <w:spacing w:before="6"/>
        <w:ind w:left="0"/>
        <w:rPr>
          <w:b/>
          <w:sz w:val="8"/>
        </w:r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2A56D0">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rsidTr="002A56D0">
        <w:trPr>
          <w:trHeight w:val="347"/>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Default="00BC7372">
            <w:pPr>
              <w:pStyle w:val="TableParagraph"/>
              <w:spacing w:before="70"/>
              <w:ind w:left="85"/>
              <w:rPr>
                <w:b/>
                <w:sz w:val="18"/>
              </w:rPr>
            </w:pPr>
            <w:r>
              <w:rPr>
                <w:b/>
                <w:color w:val="231F20"/>
                <w:sz w:val="18"/>
              </w:rPr>
              <w:t>Wimmera River (reaches 2 &amp; 3)</w:t>
            </w:r>
          </w:p>
        </w:tc>
      </w:tr>
      <w:tr w:rsidR="006A7A3F" w:rsidTr="002A56D0">
        <w:trPr>
          <w:trHeight w:val="111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274"/>
              <w:rPr>
                <w:sz w:val="18"/>
              </w:rPr>
            </w:pPr>
            <w:r>
              <w:rPr>
                <w:color w:val="231F20"/>
                <w:sz w:val="18"/>
              </w:rPr>
              <w:t>Winter/spring low flow (100 ML/day during June to November)</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78"/>
              </w:numPr>
              <w:tabs>
                <w:tab w:val="left" w:pos="306"/>
              </w:tabs>
              <w:spacing w:before="75"/>
              <w:ind w:hanging="218"/>
              <w:rPr>
                <w:sz w:val="17"/>
              </w:rPr>
            </w:pPr>
            <w:r>
              <w:rPr>
                <w:color w:val="231F20"/>
                <w:sz w:val="17"/>
              </w:rPr>
              <w:t>Provide fish passage to allow fish to move through the</w:t>
            </w:r>
            <w:r>
              <w:rPr>
                <w:color w:val="231F20"/>
                <w:spacing w:val="33"/>
                <w:sz w:val="17"/>
              </w:rPr>
              <w:t xml:space="preserve"> </w:t>
            </w:r>
            <w:r>
              <w:rPr>
                <w:color w:val="231F20"/>
                <w:sz w:val="17"/>
              </w:rPr>
              <w:t>reach</w:t>
            </w:r>
          </w:p>
          <w:p w:rsidR="006A7A3F" w:rsidRDefault="00BC7372">
            <w:pPr>
              <w:pStyle w:val="TableParagraph"/>
              <w:numPr>
                <w:ilvl w:val="0"/>
                <w:numId w:val="978"/>
              </w:numPr>
              <w:tabs>
                <w:tab w:val="left" w:pos="306"/>
              </w:tabs>
              <w:spacing w:before="90" w:line="244" w:lineRule="auto"/>
              <w:ind w:right="464"/>
              <w:rPr>
                <w:sz w:val="17"/>
              </w:rPr>
            </w:pPr>
            <w:r>
              <w:rPr>
                <w:color w:val="231F20"/>
                <w:sz w:val="17"/>
              </w:rPr>
              <w:t>Maintain soil moisture for streamside vegetation and a near-permanent wetted stream channel for aquatic</w:t>
            </w:r>
            <w:r>
              <w:rPr>
                <w:color w:val="231F20"/>
                <w:spacing w:val="11"/>
                <w:sz w:val="17"/>
              </w:rPr>
              <w:t xml:space="preserve"> </w:t>
            </w:r>
            <w:r>
              <w:rPr>
                <w:color w:val="231F20"/>
                <w:sz w:val="17"/>
              </w:rPr>
              <w:t>vegetation</w:t>
            </w:r>
          </w:p>
          <w:p w:rsidR="006A7A3F" w:rsidRDefault="00BC7372">
            <w:pPr>
              <w:pStyle w:val="TableParagraph"/>
              <w:numPr>
                <w:ilvl w:val="0"/>
                <w:numId w:val="978"/>
              </w:numPr>
              <w:tabs>
                <w:tab w:val="left" w:pos="306"/>
              </w:tabs>
              <w:spacing w:before="86"/>
              <w:ind w:hanging="218"/>
              <w:rPr>
                <w:sz w:val="17"/>
              </w:rPr>
            </w:pPr>
            <w:r>
              <w:rPr>
                <w:color w:val="231F20"/>
                <w:sz w:val="17"/>
              </w:rPr>
              <w:t>Prevent the growth of terrestrial plants in the stream</w:t>
            </w:r>
            <w:r>
              <w:rPr>
                <w:color w:val="231F20"/>
                <w:spacing w:val="24"/>
                <w:sz w:val="17"/>
              </w:rPr>
              <w:t xml:space="preserve"> </w:t>
            </w:r>
            <w:r>
              <w:rPr>
                <w:color w:val="231F20"/>
                <w:sz w:val="17"/>
              </w:rPr>
              <w:t>bed</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83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84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6A7A3F" w:rsidTr="002A56D0">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70"/>
              <w:ind w:left="85"/>
              <w:rPr>
                <w:b/>
                <w:sz w:val="18"/>
              </w:rPr>
            </w:pPr>
            <w:r>
              <w:rPr>
                <w:b/>
                <w:color w:val="231F20"/>
                <w:sz w:val="18"/>
              </w:rPr>
              <w:t>Wimmera River (reach 4)</w:t>
            </w: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235"/>
              <w:rPr>
                <w:sz w:val="18"/>
              </w:rPr>
            </w:pPr>
            <w:r>
              <w:rPr>
                <w:color w:val="231F20"/>
                <w:sz w:val="18"/>
              </w:rPr>
              <w:t>Summer/autumn low flow (15 ML/day or natural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77"/>
              </w:numPr>
              <w:tabs>
                <w:tab w:val="left" w:pos="306"/>
              </w:tabs>
              <w:spacing w:before="75" w:line="244" w:lineRule="auto"/>
              <w:ind w:right="426"/>
              <w:rPr>
                <w:sz w:val="17"/>
              </w:rPr>
            </w:pPr>
            <w:r>
              <w:rPr>
                <w:color w:val="231F20"/>
                <w:sz w:val="17"/>
              </w:rPr>
              <w:t>Maintain edge habitats in deeper pools and in-stream habitat to support native fish populations and</w:t>
            </w:r>
            <w:r>
              <w:rPr>
                <w:color w:val="231F20"/>
                <w:spacing w:val="6"/>
                <w:sz w:val="17"/>
              </w:rPr>
              <w:t xml:space="preserve"> </w:t>
            </w:r>
            <w:r>
              <w:rPr>
                <w:color w:val="231F20"/>
                <w:sz w:val="17"/>
              </w:rPr>
              <w:t>waterbugs</w:t>
            </w:r>
          </w:p>
          <w:p w:rsidR="006A7A3F" w:rsidRDefault="00BC7372">
            <w:pPr>
              <w:pStyle w:val="TableParagraph"/>
              <w:numPr>
                <w:ilvl w:val="0"/>
                <w:numId w:val="977"/>
              </w:numPr>
              <w:tabs>
                <w:tab w:val="left" w:pos="306"/>
              </w:tabs>
              <w:spacing w:before="87" w:line="244" w:lineRule="auto"/>
              <w:ind w:right="241"/>
              <w:rPr>
                <w:sz w:val="17"/>
              </w:rPr>
            </w:pPr>
            <w:r>
              <w:rPr>
                <w:color w:val="231F20"/>
                <w:sz w:val="17"/>
              </w:rPr>
              <w:t>Maintain soil moisture for streamside vegetation and near-permanent wetted stream channel for aquatic vegetation and to prevent the growth of terrestrial plants in the stream</w:t>
            </w:r>
            <w:r>
              <w:rPr>
                <w:color w:val="231F20"/>
                <w:spacing w:val="8"/>
                <w:sz w:val="17"/>
              </w:rPr>
              <w:t xml:space="preserve"> </w:t>
            </w:r>
            <w:r>
              <w:rPr>
                <w:color w:val="231F20"/>
                <w:sz w:val="17"/>
              </w:rPr>
              <w:t>bed</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80" cy="310896"/>
                  <wp:effectExtent l="0" t="0" r="0" b="0"/>
                  <wp:docPr id="84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9.jpeg"/>
                          <pic:cNvPicPr/>
                        </pic:nvPicPr>
                        <pic:blipFill>
                          <a:blip r:embed="rId31" cstate="print"/>
                          <a:stretch>
                            <a:fillRect/>
                          </a:stretch>
                        </pic:blipFill>
                        <pic:spPr>
                          <a:xfrm>
                            <a:off x="0" y="0"/>
                            <a:ext cx="314180"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80" cy="310896"/>
                  <wp:effectExtent l="0" t="0" r="0" b="0"/>
                  <wp:docPr id="84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21.jpeg"/>
                          <pic:cNvPicPr/>
                        </pic:nvPicPr>
                        <pic:blipFill>
                          <a:blip r:embed="rId33" cstate="print"/>
                          <a:stretch>
                            <a:fillRect/>
                          </a:stretch>
                        </pic:blipFill>
                        <pic:spPr>
                          <a:xfrm>
                            <a:off x="0" y="0"/>
                            <a:ext cx="314180" cy="310896"/>
                          </a:xfrm>
                          <a:prstGeom prst="rect">
                            <a:avLst/>
                          </a:prstGeom>
                        </pic:spPr>
                      </pic:pic>
                    </a:graphicData>
                  </a:graphic>
                </wp:inline>
              </w:drawing>
            </w:r>
          </w:p>
        </w:tc>
      </w:tr>
      <w:tr w:rsidR="006A7A3F" w:rsidTr="002A56D0">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84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22.jpeg"/>
                          <pic:cNvPicPr/>
                        </pic:nvPicPr>
                        <pic:blipFill>
                          <a:blip r:embed="rId34"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374"/>
              <w:rPr>
                <w:sz w:val="18"/>
              </w:rPr>
            </w:pPr>
            <w:r>
              <w:rPr>
                <w:color w:val="231F20"/>
                <w:sz w:val="18"/>
              </w:rPr>
              <w:t>Winter/spring low flow (30 ML/day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76"/>
              </w:numPr>
              <w:tabs>
                <w:tab w:val="left" w:pos="306"/>
              </w:tabs>
              <w:spacing w:before="75" w:line="244" w:lineRule="auto"/>
              <w:ind w:right="813"/>
              <w:rPr>
                <w:sz w:val="17"/>
              </w:rPr>
            </w:pPr>
            <w:r>
              <w:rPr>
                <w:color w:val="231F20"/>
                <w:sz w:val="17"/>
              </w:rPr>
              <w:t>Maintain access to habitat for native fish, waterbugs and in-stream vegetation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84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85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r w:rsidR="006A7A3F" w:rsidTr="002A56D0">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85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22.jpeg"/>
                          <pic:cNvPicPr/>
                        </pic:nvPicPr>
                        <pic:blipFill>
                          <a:blip r:embed="rId34"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54"/>
              <w:rPr>
                <w:sz w:val="18"/>
              </w:rPr>
            </w:pPr>
            <w:r>
              <w:rPr>
                <w:color w:val="231F20"/>
                <w:sz w:val="18"/>
              </w:rPr>
              <w:t>Summer/autumn fresh (one to five freshes of 70 ML/day for one to four days during December to May)</w:t>
            </w:r>
          </w:p>
          <w:p w:rsidR="006A7A3F" w:rsidRDefault="006A7A3F">
            <w:pPr>
              <w:pStyle w:val="TableParagraph"/>
              <w:spacing w:before="6"/>
              <w:ind w:left="0"/>
              <w:rPr>
                <w:b/>
                <w:sz w:val="8"/>
              </w:rPr>
            </w:pPr>
          </w:p>
          <w:p w:rsidR="006A7A3F" w:rsidRDefault="00BC7372">
            <w:pPr>
              <w:pStyle w:val="TableParagraph"/>
              <w:ind w:left="85"/>
              <w:rPr>
                <w:sz w:val="20"/>
              </w:rPr>
            </w:pPr>
            <w:r>
              <w:rPr>
                <w:noProof/>
                <w:sz w:val="20"/>
              </w:rPr>
              <w:drawing>
                <wp:inline distT="0" distB="0" distL="0" distR="0">
                  <wp:extent cx="314163" cy="310896"/>
                  <wp:effectExtent l="0" t="0" r="0" b="0"/>
                  <wp:docPr id="855"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24.jpeg"/>
                          <pic:cNvPicPr/>
                        </pic:nvPicPr>
                        <pic:blipFill>
                          <a:blip r:embed="rId36" cstate="print"/>
                          <a:stretch>
                            <a:fillRect/>
                          </a:stretch>
                        </pic:blipFill>
                        <pic:spPr>
                          <a:xfrm>
                            <a:off x="0" y="0"/>
                            <a:ext cx="314163" cy="310896"/>
                          </a:xfrm>
                          <a:prstGeom prst="rect">
                            <a:avLst/>
                          </a:prstGeom>
                        </pic:spPr>
                      </pic:pic>
                    </a:graphicData>
                  </a:graphic>
                </wp:inline>
              </w:drawing>
            </w:r>
            <w:r>
              <w:rPr>
                <w:rFonts w:ascii="Times New Roman"/>
                <w:spacing w:val="78"/>
                <w:sz w:val="20"/>
              </w:rPr>
              <w:t xml:space="preserve"> </w:t>
            </w:r>
            <w:r>
              <w:rPr>
                <w:noProof/>
                <w:spacing w:val="78"/>
                <w:sz w:val="20"/>
              </w:rPr>
              <w:drawing>
                <wp:inline distT="0" distB="0" distL="0" distR="0">
                  <wp:extent cx="314168" cy="310896"/>
                  <wp:effectExtent l="0" t="0" r="0" b="0"/>
                  <wp:docPr id="857"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38.jpeg"/>
                          <pic:cNvPicPr/>
                        </pic:nvPicPr>
                        <pic:blipFill>
                          <a:blip r:embed="rId50" cstate="print"/>
                          <a:stretch>
                            <a:fillRect/>
                          </a:stretch>
                        </pic:blipFill>
                        <pic:spPr>
                          <a:xfrm>
                            <a:off x="0" y="0"/>
                            <a:ext cx="314168" cy="310896"/>
                          </a:xfrm>
                          <a:prstGeom prst="rect">
                            <a:avLst/>
                          </a:prstGeom>
                        </pic:spPr>
                      </pic:pic>
                    </a:graphicData>
                  </a:graphic>
                </wp:inline>
              </w:drawing>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75"/>
              </w:numPr>
              <w:tabs>
                <w:tab w:val="left" w:pos="306"/>
              </w:tabs>
              <w:spacing w:before="75" w:line="244" w:lineRule="auto"/>
              <w:ind w:right="203"/>
              <w:rPr>
                <w:sz w:val="17"/>
              </w:rPr>
            </w:pPr>
            <w:r>
              <w:rPr>
                <w:color w:val="231F20"/>
                <w:sz w:val="17"/>
              </w:rPr>
              <w:t>Flush pools to prevent decline of water quality and maintain habitat for fish and</w:t>
            </w:r>
            <w:r>
              <w:rPr>
                <w:color w:val="231F20"/>
                <w:spacing w:val="1"/>
                <w:sz w:val="17"/>
              </w:rPr>
              <w:t xml:space="preserve"> </w:t>
            </w:r>
            <w:r>
              <w:rPr>
                <w:color w:val="231F20"/>
                <w:sz w:val="17"/>
              </w:rPr>
              <w:t>waterbugs</w:t>
            </w:r>
          </w:p>
          <w:p w:rsidR="006A7A3F" w:rsidRDefault="00BC7372">
            <w:pPr>
              <w:pStyle w:val="TableParagraph"/>
              <w:numPr>
                <w:ilvl w:val="0"/>
                <w:numId w:val="975"/>
              </w:numPr>
              <w:tabs>
                <w:tab w:val="left" w:pos="306"/>
              </w:tabs>
              <w:spacing w:before="87"/>
              <w:ind w:hanging="218"/>
              <w:rPr>
                <w:sz w:val="17"/>
              </w:rPr>
            </w:pPr>
            <w:r>
              <w:rPr>
                <w:color w:val="231F20"/>
                <w:sz w:val="17"/>
              </w:rPr>
              <w:t>Provide fish passage to allow fish to move through the</w:t>
            </w:r>
            <w:r>
              <w:rPr>
                <w:color w:val="231F20"/>
                <w:spacing w:val="33"/>
                <w:sz w:val="17"/>
              </w:rPr>
              <w:t xml:space="preserve"> </w:t>
            </w:r>
            <w:r>
              <w:rPr>
                <w:color w:val="231F20"/>
                <w:sz w:val="17"/>
              </w:rPr>
              <w:t>reach</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85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86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22.jpeg"/>
                          <pic:cNvPicPr/>
                        </pic:nvPicPr>
                        <pic:blipFill>
                          <a:blip r:embed="rId34" cstate="print"/>
                          <a:stretch>
                            <a:fillRect/>
                          </a:stretch>
                        </pic:blipFill>
                        <pic:spPr>
                          <a:xfrm>
                            <a:off x="0" y="0"/>
                            <a:ext cx="314168" cy="310895"/>
                          </a:xfrm>
                          <a:prstGeom prst="rect">
                            <a:avLst/>
                          </a:prstGeom>
                        </pic:spPr>
                      </pic:pic>
                    </a:graphicData>
                  </a:graphic>
                </wp:inline>
              </w:drawing>
            </w:r>
          </w:p>
        </w:tc>
      </w:tr>
      <w:tr w:rsidR="006A7A3F" w:rsidTr="002A56D0">
        <w:trPr>
          <w:trHeight w:val="1024"/>
        </w:trPr>
        <w:tc>
          <w:tcPr>
            <w:tcW w:w="2381"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auto"/>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86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auto"/>
              <w:right w:val="single" w:sz="4" w:space="0" w:color="231F20"/>
            </w:tcBorders>
          </w:tcPr>
          <w:p w:rsidR="006A7A3F" w:rsidRDefault="006A7A3F">
            <w:pPr>
              <w:pStyle w:val="TableParagraph"/>
              <w:ind w:left="0"/>
              <w:rPr>
                <w:rFonts w:ascii="Times New Roman"/>
                <w:sz w:val="18"/>
              </w:rPr>
            </w:pPr>
          </w:p>
        </w:tc>
      </w:tr>
      <w:tr w:rsidR="002A56D0" w:rsidTr="002A56D0">
        <w:trPr>
          <w:trHeight w:val="1687"/>
        </w:trPr>
        <w:tc>
          <w:tcPr>
            <w:tcW w:w="2381" w:type="dxa"/>
            <w:tcBorders>
              <w:top w:val="single" w:sz="4" w:space="0" w:color="auto"/>
              <w:left w:val="single" w:sz="4" w:space="0" w:color="231F20"/>
              <w:bottom w:val="single" w:sz="4" w:space="0" w:color="auto"/>
              <w:right w:val="single" w:sz="4" w:space="0" w:color="231F20"/>
            </w:tcBorders>
          </w:tcPr>
          <w:p w:rsidR="002A56D0" w:rsidRDefault="002A56D0" w:rsidP="002A56D0">
            <w:pPr>
              <w:pStyle w:val="TableParagraph"/>
              <w:spacing w:before="63" w:line="254" w:lineRule="auto"/>
              <w:ind w:left="85" w:right="104"/>
              <w:rPr>
                <w:sz w:val="18"/>
              </w:rPr>
            </w:pPr>
            <w:r>
              <w:rPr>
                <w:color w:val="231F20"/>
                <w:sz w:val="18"/>
              </w:rPr>
              <w:t>Small winter/spring fresh (one to three freshes of 70 ML/day for one to five days during June to November)</w:t>
            </w:r>
          </w:p>
          <w:p w:rsidR="002A56D0" w:rsidRDefault="002A56D0" w:rsidP="002A56D0">
            <w:pPr>
              <w:pStyle w:val="TableParagraph"/>
              <w:spacing w:before="6"/>
              <w:ind w:left="0"/>
              <w:rPr>
                <w:b/>
                <w:sz w:val="8"/>
              </w:rPr>
            </w:pPr>
          </w:p>
          <w:p w:rsidR="002A56D0" w:rsidRDefault="002A56D0" w:rsidP="002A56D0">
            <w:pPr>
              <w:pStyle w:val="TableParagraph"/>
              <w:ind w:left="85"/>
              <w:rPr>
                <w:sz w:val="20"/>
              </w:rPr>
            </w:pPr>
            <w:r>
              <w:rPr>
                <w:noProof/>
                <w:sz w:val="20"/>
              </w:rPr>
              <w:drawing>
                <wp:inline distT="0" distB="0" distL="0" distR="0" wp14:anchorId="4F55D734" wp14:editId="2B2DCF51">
                  <wp:extent cx="314164" cy="310896"/>
                  <wp:effectExtent l="0" t="0" r="0" b="0"/>
                  <wp:docPr id="865"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24.jpeg"/>
                          <pic:cNvPicPr/>
                        </pic:nvPicPr>
                        <pic:blipFill>
                          <a:blip r:embed="rId36" cstate="print"/>
                          <a:stretch>
                            <a:fillRect/>
                          </a:stretch>
                        </pic:blipFill>
                        <pic:spPr>
                          <a:xfrm>
                            <a:off x="0" y="0"/>
                            <a:ext cx="314164" cy="310896"/>
                          </a:xfrm>
                          <a:prstGeom prst="rect">
                            <a:avLst/>
                          </a:prstGeom>
                        </pic:spPr>
                      </pic:pic>
                    </a:graphicData>
                  </a:graphic>
                </wp:inline>
              </w:drawing>
            </w:r>
            <w:r>
              <w:rPr>
                <w:rFonts w:ascii="Times New Roman"/>
                <w:spacing w:val="78"/>
                <w:sz w:val="20"/>
              </w:rPr>
              <w:t xml:space="preserve"> </w:t>
            </w:r>
            <w:r>
              <w:rPr>
                <w:noProof/>
                <w:spacing w:val="78"/>
                <w:sz w:val="20"/>
              </w:rPr>
              <w:drawing>
                <wp:inline distT="0" distB="0" distL="0" distR="0" wp14:anchorId="17771FB5" wp14:editId="50082EF5">
                  <wp:extent cx="314168" cy="310896"/>
                  <wp:effectExtent l="0" t="0" r="0" b="0"/>
                  <wp:docPr id="867"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38.jpeg"/>
                          <pic:cNvPicPr/>
                        </pic:nvPicPr>
                        <pic:blipFill>
                          <a:blip r:embed="rId50" cstate="print"/>
                          <a:stretch>
                            <a:fillRect/>
                          </a:stretch>
                        </pic:blipFill>
                        <pic:spPr>
                          <a:xfrm>
                            <a:off x="0" y="0"/>
                            <a:ext cx="314168" cy="310896"/>
                          </a:xfrm>
                          <a:prstGeom prst="rect">
                            <a:avLst/>
                          </a:prstGeom>
                        </pic:spPr>
                      </pic:pic>
                    </a:graphicData>
                  </a:graphic>
                </wp:inline>
              </w:drawing>
            </w:r>
          </w:p>
        </w:tc>
        <w:tc>
          <w:tcPr>
            <w:tcW w:w="6236" w:type="dxa"/>
            <w:tcBorders>
              <w:top w:val="single" w:sz="4" w:space="0" w:color="auto"/>
              <w:left w:val="single" w:sz="4" w:space="0" w:color="231F20"/>
              <w:bottom w:val="single" w:sz="4" w:space="0" w:color="auto"/>
              <w:right w:val="single" w:sz="4" w:space="0" w:color="231F20"/>
            </w:tcBorders>
          </w:tcPr>
          <w:p w:rsidR="002A56D0" w:rsidRDefault="002A56D0" w:rsidP="002A56D0">
            <w:pPr>
              <w:pStyle w:val="TableParagraph"/>
              <w:numPr>
                <w:ilvl w:val="0"/>
                <w:numId w:val="974"/>
              </w:numPr>
              <w:tabs>
                <w:tab w:val="left" w:pos="306"/>
              </w:tabs>
              <w:spacing w:before="68"/>
              <w:ind w:hanging="218"/>
              <w:rPr>
                <w:sz w:val="17"/>
              </w:rPr>
            </w:pPr>
            <w:r>
              <w:rPr>
                <w:color w:val="231F20"/>
                <w:sz w:val="17"/>
              </w:rPr>
              <w:t>Increase water depth to provide stimulus for fish</w:t>
            </w:r>
            <w:r>
              <w:rPr>
                <w:color w:val="231F20"/>
                <w:spacing w:val="25"/>
                <w:sz w:val="17"/>
              </w:rPr>
              <w:t xml:space="preserve"> </w:t>
            </w:r>
            <w:r>
              <w:rPr>
                <w:color w:val="231F20"/>
                <w:sz w:val="17"/>
              </w:rPr>
              <w:t>movement</w:t>
            </w:r>
          </w:p>
          <w:p w:rsidR="002A56D0" w:rsidRDefault="002A56D0" w:rsidP="002A56D0">
            <w:pPr>
              <w:pStyle w:val="TableParagraph"/>
              <w:numPr>
                <w:ilvl w:val="0"/>
                <w:numId w:val="974"/>
              </w:numPr>
              <w:tabs>
                <w:tab w:val="left" w:pos="306"/>
              </w:tabs>
              <w:spacing w:before="89"/>
              <w:ind w:hanging="218"/>
              <w:rPr>
                <w:sz w:val="17"/>
              </w:rPr>
            </w:pPr>
            <w:r>
              <w:rPr>
                <w:color w:val="231F20"/>
                <w:sz w:val="17"/>
              </w:rPr>
              <w:t>Provide</w:t>
            </w:r>
            <w:r>
              <w:rPr>
                <w:color w:val="231F20"/>
                <w:spacing w:val="8"/>
                <w:sz w:val="17"/>
              </w:rPr>
              <w:t xml:space="preserve"> </w:t>
            </w:r>
            <w:r>
              <w:rPr>
                <w:color w:val="231F20"/>
                <w:sz w:val="17"/>
              </w:rPr>
              <w:t>flow</w:t>
            </w:r>
            <w:r>
              <w:rPr>
                <w:color w:val="231F20"/>
                <w:spacing w:val="8"/>
                <w:sz w:val="17"/>
              </w:rPr>
              <w:t xml:space="preserve"> </w:t>
            </w:r>
            <w:r>
              <w:rPr>
                <w:color w:val="231F20"/>
                <w:sz w:val="17"/>
              </w:rPr>
              <w:t>variability</w:t>
            </w:r>
            <w:r>
              <w:rPr>
                <w:color w:val="231F20"/>
                <w:spacing w:val="8"/>
                <w:sz w:val="17"/>
              </w:rPr>
              <w:t xml:space="preserve"> </w:t>
            </w:r>
            <w:r>
              <w:rPr>
                <w:color w:val="231F20"/>
                <w:sz w:val="17"/>
              </w:rPr>
              <w:t>to</w:t>
            </w:r>
            <w:r>
              <w:rPr>
                <w:color w:val="231F20"/>
                <w:spacing w:val="8"/>
                <w:sz w:val="17"/>
              </w:rPr>
              <w:t xml:space="preserve"> </w:t>
            </w:r>
            <w:r>
              <w:rPr>
                <w:color w:val="231F20"/>
                <w:sz w:val="17"/>
              </w:rPr>
              <w:t>maintain</w:t>
            </w:r>
            <w:r>
              <w:rPr>
                <w:color w:val="231F20"/>
                <w:spacing w:val="8"/>
                <w:sz w:val="17"/>
              </w:rPr>
              <w:t xml:space="preserve"> </w:t>
            </w:r>
            <w:r>
              <w:rPr>
                <w:color w:val="231F20"/>
                <w:sz w:val="17"/>
              </w:rPr>
              <w:t>water</w:t>
            </w:r>
            <w:r>
              <w:rPr>
                <w:color w:val="231F20"/>
                <w:spacing w:val="8"/>
                <w:sz w:val="17"/>
              </w:rPr>
              <w:t xml:space="preserve"> </w:t>
            </w:r>
            <w:r>
              <w:rPr>
                <w:color w:val="231F20"/>
                <w:sz w:val="17"/>
              </w:rPr>
              <w:t>quality</w:t>
            </w:r>
            <w:r>
              <w:rPr>
                <w:color w:val="231F20"/>
                <w:spacing w:val="8"/>
                <w:sz w:val="17"/>
              </w:rPr>
              <w:t xml:space="preserve"> </w:t>
            </w:r>
            <w:r>
              <w:rPr>
                <w:color w:val="231F20"/>
                <w:sz w:val="17"/>
              </w:rPr>
              <w:t>and</w:t>
            </w:r>
            <w:r>
              <w:rPr>
                <w:color w:val="231F20"/>
                <w:spacing w:val="8"/>
                <w:sz w:val="17"/>
              </w:rPr>
              <w:t xml:space="preserve"> </w:t>
            </w:r>
            <w:r>
              <w:rPr>
                <w:color w:val="231F20"/>
                <w:sz w:val="17"/>
              </w:rPr>
              <w:t>diversity</w:t>
            </w:r>
            <w:r>
              <w:rPr>
                <w:color w:val="231F20"/>
                <w:spacing w:val="8"/>
                <w:sz w:val="17"/>
              </w:rPr>
              <w:t xml:space="preserve"> </w:t>
            </w:r>
            <w:r>
              <w:rPr>
                <w:color w:val="231F20"/>
                <w:sz w:val="17"/>
              </w:rPr>
              <w:t>of</w:t>
            </w:r>
            <w:r>
              <w:rPr>
                <w:color w:val="231F20"/>
                <w:spacing w:val="8"/>
                <w:sz w:val="17"/>
              </w:rPr>
              <w:t xml:space="preserve"> </w:t>
            </w:r>
            <w:r>
              <w:rPr>
                <w:color w:val="231F20"/>
                <w:sz w:val="17"/>
              </w:rPr>
              <w:t>fish</w:t>
            </w:r>
            <w:r>
              <w:rPr>
                <w:color w:val="231F20"/>
                <w:spacing w:val="8"/>
                <w:sz w:val="17"/>
              </w:rPr>
              <w:t xml:space="preserve"> </w:t>
            </w:r>
            <w:r>
              <w:rPr>
                <w:color w:val="231F20"/>
                <w:sz w:val="17"/>
              </w:rPr>
              <w:t>habitats</w:t>
            </w:r>
          </w:p>
        </w:tc>
        <w:tc>
          <w:tcPr>
            <w:tcW w:w="850" w:type="dxa"/>
            <w:tcBorders>
              <w:top w:val="single" w:sz="4" w:space="0" w:color="auto"/>
              <w:left w:val="single" w:sz="4" w:space="0" w:color="231F20"/>
              <w:bottom w:val="single" w:sz="4" w:space="0" w:color="auto"/>
              <w:right w:val="nil"/>
            </w:tcBorders>
          </w:tcPr>
          <w:p w:rsidR="002A56D0" w:rsidRDefault="002A56D0" w:rsidP="002A56D0">
            <w:pPr>
              <w:pStyle w:val="TableParagraph"/>
              <w:spacing w:before="9"/>
              <w:ind w:left="0"/>
              <w:rPr>
                <w:b/>
                <w:sz w:val="8"/>
              </w:rPr>
            </w:pPr>
          </w:p>
          <w:p w:rsidR="002A56D0" w:rsidRDefault="002A56D0" w:rsidP="002A56D0">
            <w:pPr>
              <w:pStyle w:val="TableParagraph"/>
              <w:ind w:left="315" w:right="-15"/>
              <w:rPr>
                <w:sz w:val="20"/>
              </w:rPr>
            </w:pPr>
            <w:r>
              <w:rPr>
                <w:noProof/>
                <w:sz w:val="20"/>
              </w:rPr>
              <w:drawing>
                <wp:inline distT="0" distB="0" distL="0" distR="0" wp14:anchorId="64FE3C6D" wp14:editId="0861101F">
                  <wp:extent cx="314168" cy="310896"/>
                  <wp:effectExtent l="0" t="0" r="0" b="0"/>
                  <wp:docPr id="86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auto"/>
              <w:left w:val="nil"/>
              <w:bottom w:val="single" w:sz="4" w:space="0" w:color="auto"/>
              <w:right w:val="single" w:sz="4" w:space="0" w:color="231F20"/>
            </w:tcBorders>
          </w:tcPr>
          <w:p w:rsidR="002A56D0" w:rsidRDefault="002A56D0" w:rsidP="002A56D0">
            <w:pPr>
              <w:pStyle w:val="TableParagraph"/>
              <w:spacing w:before="9"/>
              <w:ind w:left="0"/>
              <w:rPr>
                <w:b/>
                <w:sz w:val="8"/>
              </w:rPr>
            </w:pPr>
          </w:p>
          <w:p w:rsidR="002A56D0" w:rsidRDefault="002A56D0" w:rsidP="002A56D0">
            <w:pPr>
              <w:pStyle w:val="TableParagraph"/>
              <w:ind w:left="48"/>
              <w:rPr>
                <w:sz w:val="20"/>
              </w:rPr>
            </w:pPr>
            <w:r>
              <w:rPr>
                <w:noProof/>
                <w:sz w:val="20"/>
              </w:rPr>
              <w:drawing>
                <wp:inline distT="0" distB="0" distL="0" distR="0" wp14:anchorId="0EB425AB" wp14:editId="3015D1A3">
                  <wp:extent cx="314168" cy="310896"/>
                  <wp:effectExtent l="0" t="0" r="0" b="0"/>
                  <wp:docPr id="87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2A56D0" w:rsidTr="002A56D0">
        <w:trPr>
          <w:trHeight w:val="1258"/>
        </w:trPr>
        <w:tc>
          <w:tcPr>
            <w:tcW w:w="2381" w:type="dxa"/>
            <w:tcBorders>
              <w:top w:val="single" w:sz="4" w:space="0" w:color="auto"/>
              <w:left w:val="single" w:sz="4" w:space="0" w:color="231F20"/>
              <w:bottom w:val="single" w:sz="4" w:space="0" w:color="231F20"/>
              <w:right w:val="single" w:sz="4" w:space="0" w:color="231F20"/>
            </w:tcBorders>
          </w:tcPr>
          <w:p w:rsidR="002A56D0" w:rsidRDefault="002A56D0" w:rsidP="002A56D0">
            <w:pPr>
              <w:pStyle w:val="TableParagraph"/>
              <w:spacing w:before="63" w:line="254" w:lineRule="auto"/>
              <w:ind w:left="85" w:right="303"/>
              <w:rPr>
                <w:sz w:val="18"/>
              </w:rPr>
            </w:pPr>
            <w:r>
              <w:rPr>
                <w:color w:val="231F20"/>
                <w:sz w:val="18"/>
              </w:rPr>
              <w:t>Large winter/spring fresh (one to three freshes of 200 ML/day for one to three days during June to</w:t>
            </w:r>
            <w:r>
              <w:rPr>
                <w:color w:val="231F20"/>
                <w:spacing w:val="-1"/>
                <w:sz w:val="18"/>
              </w:rPr>
              <w:t xml:space="preserve"> </w:t>
            </w:r>
            <w:r>
              <w:rPr>
                <w:color w:val="231F20"/>
                <w:sz w:val="18"/>
              </w:rPr>
              <w:t>November)</w:t>
            </w:r>
          </w:p>
        </w:tc>
        <w:tc>
          <w:tcPr>
            <w:tcW w:w="6236" w:type="dxa"/>
            <w:tcBorders>
              <w:top w:val="single" w:sz="4" w:space="0" w:color="auto"/>
              <w:left w:val="single" w:sz="4" w:space="0" w:color="231F20"/>
              <w:bottom w:val="single" w:sz="4" w:space="0" w:color="231F20"/>
              <w:right w:val="single" w:sz="4" w:space="0" w:color="231F20"/>
            </w:tcBorders>
          </w:tcPr>
          <w:p w:rsidR="002A56D0" w:rsidRDefault="002A56D0" w:rsidP="002A56D0">
            <w:pPr>
              <w:pStyle w:val="TableParagraph"/>
              <w:numPr>
                <w:ilvl w:val="0"/>
                <w:numId w:val="973"/>
              </w:numPr>
              <w:tabs>
                <w:tab w:val="left" w:pos="306"/>
              </w:tabs>
              <w:spacing w:before="68" w:line="244" w:lineRule="auto"/>
              <w:ind w:right="209"/>
              <w:rPr>
                <w:sz w:val="17"/>
              </w:rPr>
            </w:pPr>
            <w:r>
              <w:rPr>
                <w:color w:val="231F20"/>
                <w:sz w:val="17"/>
              </w:rPr>
              <w:t>Wet lower benches, entrain organic debris and increase habitat availability for waterbugs and</w:t>
            </w:r>
            <w:r>
              <w:rPr>
                <w:color w:val="231F20"/>
                <w:spacing w:val="3"/>
                <w:sz w:val="17"/>
              </w:rPr>
              <w:t xml:space="preserve"> </w:t>
            </w:r>
            <w:r>
              <w:rPr>
                <w:color w:val="231F20"/>
                <w:sz w:val="17"/>
              </w:rPr>
              <w:t>fish</w:t>
            </w:r>
          </w:p>
        </w:tc>
        <w:tc>
          <w:tcPr>
            <w:tcW w:w="850" w:type="dxa"/>
            <w:tcBorders>
              <w:top w:val="single" w:sz="4" w:space="0" w:color="auto"/>
              <w:left w:val="single" w:sz="4" w:space="0" w:color="231F20"/>
              <w:bottom w:val="single" w:sz="4" w:space="0" w:color="231F20"/>
              <w:right w:val="nil"/>
            </w:tcBorders>
          </w:tcPr>
          <w:p w:rsidR="002A56D0" w:rsidRDefault="002A56D0" w:rsidP="002A56D0">
            <w:pPr>
              <w:pStyle w:val="TableParagraph"/>
              <w:spacing w:before="9"/>
              <w:ind w:left="0"/>
              <w:rPr>
                <w:b/>
                <w:sz w:val="8"/>
              </w:rPr>
            </w:pPr>
          </w:p>
          <w:p w:rsidR="002A56D0" w:rsidRDefault="002A56D0" w:rsidP="002A56D0">
            <w:pPr>
              <w:pStyle w:val="TableParagraph"/>
              <w:ind w:left="315" w:right="-15"/>
              <w:rPr>
                <w:sz w:val="20"/>
              </w:rPr>
            </w:pPr>
            <w:r>
              <w:rPr>
                <w:noProof/>
                <w:sz w:val="20"/>
              </w:rPr>
              <w:drawing>
                <wp:inline distT="0" distB="0" distL="0" distR="0" wp14:anchorId="45ED1CAA" wp14:editId="3471782E">
                  <wp:extent cx="314176" cy="310896"/>
                  <wp:effectExtent l="0" t="0" r="0" b="0"/>
                  <wp:docPr id="87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9.jpeg"/>
                          <pic:cNvPicPr/>
                        </pic:nvPicPr>
                        <pic:blipFill>
                          <a:blip r:embed="rId31" cstate="print"/>
                          <a:stretch>
                            <a:fillRect/>
                          </a:stretch>
                        </pic:blipFill>
                        <pic:spPr>
                          <a:xfrm>
                            <a:off x="0" y="0"/>
                            <a:ext cx="314176" cy="310896"/>
                          </a:xfrm>
                          <a:prstGeom prst="rect">
                            <a:avLst/>
                          </a:prstGeom>
                        </pic:spPr>
                      </pic:pic>
                    </a:graphicData>
                  </a:graphic>
                </wp:inline>
              </w:drawing>
            </w:r>
          </w:p>
        </w:tc>
        <w:tc>
          <w:tcPr>
            <w:tcW w:w="708" w:type="dxa"/>
            <w:tcBorders>
              <w:top w:val="single" w:sz="4" w:space="0" w:color="auto"/>
              <w:left w:val="nil"/>
              <w:bottom w:val="single" w:sz="4" w:space="0" w:color="231F20"/>
              <w:right w:val="single" w:sz="4" w:space="0" w:color="231F20"/>
            </w:tcBorders>
          </w:tcPr>
          <w:p w:rsidR="002A56D0" w:rsidRDefault="002A56D0" w:rsidP="002A56D0">
            <w:pPr>
              <w:pStyle w:val="TableParagraph"/>
              <w:spacing w:before="9"/>
              <w:ind w:left="0"/>
              <w:rPr>
                <w:b/>
                <w:sz w:val="8"/>
              </w:rPr>
            </w:pPr>
          </w:p>
          <w:p w:rsidR="002A56D0" w:rsidRDefault="002A56D0" w:rsidP="002A56D0">
            <w:pPr>
              <w:pStyle w:val="TableParagraph"/>
              <w:ind w:left="48"/>
              <w:rPr>
                <w:sz w:val="20"/>
              </w:rPr>
            </w:pPr>
            <w:r>
              <w:rPr>
                <w:noProof/>
                <w:sz w:val="20"/>
              </w:rPr>
              <w:drawing>
                <wp:inline distT="0" distB="0" distL="0" distR="0" wp14:anchorId="001C4F10" wp14:editId="5911BDD3">
                  <wp:extent cx="314176" cy="310896"/>
                  <wp:effectExtent l="0" t="0" r="0" b="0"/>
                  <wp:docPr id="87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22.jpeg"/>
                          <pic:cNvPicPr/>
                        </pic:nvPicPr>
                        <pic:blipFill>
                          <a:blip r:embed="rId34" cstate="print"/>
                          <a:stretch>
                            <a:fillRect/>
                          </a:stretch>
                        </pic:blipFill>
                        <pic:spPr>
                          <a:xfrm>
                            <a:off x="0" y="0"/>
                            <a:ext cx="314176" cy="310896"/>
                          </a:xfrm>
                          <a:prstGeom prst="rect">
                            <a:avLst/>
                          </a:prstGeom>
                        </pic:spPr>
                      </pic:pic>
                    </a:graphicData>
                  </a:graphic>
                </wp:inline>
              </w:drawing>
            </w:r>
          </w:p>
        </w:tc>
      </w:tr>
    </w:tbl>
    <w:p w:rsidR="006A7A3F" w:rsidRDefault="006A7A3F">
      <w:pPr>
        <w:rPr>
          <w:rFonts w:ascii="Times New Roman"/>
          <w:sz w:val="18"/>
        </w:rPr>
        <w:sectPr w:rsidR="006A7A3F" w:rsidSect="00C92D74">
          <w:pgSz w:w="11910" w:h="16840"/>
          <w:pgMar w:top="1701" w:right="851" w:bottom="1134" w:left="851" w:header="720" w:footer="720" w:gutter="0"/>
          <w:cols w:space="720"/>
        </w:sect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2A56D0">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rsidTr="002A56D0">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MacKenzie River (reach 2)</w:t>
            </w: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35"/>
              <w:rPr>
                <w:sz w:val="18"/>
              </w:rPr>
            </w:pPr>
            <w:r>
              <w:rPr>
                <w:color w:val="231F20"/>
                <w:sz w:val="18"/>
              </w:rPr>
              <w:t>Summer/autumn low flow (two ML/day or natural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72"/>
              </w:numPr>
              <w:tabs>
                <w:tab w:val="left" w:pos="306"/>
              </w:tabs>
              <w:spacing w:before="68" w:line="244" w:lineRule="auto"/>
              <w:ind w:right="204"/>
              <w:rPr>
                <w:sz w:val="17"/>
              </w:rPr>
            </w:pPr>
            <w:r>
              <w:rPr>
                <w:color w:val="231F20"/>
                <w:sz w:val="17"/>
              </w:rPr>
              <w:t>Maintain edge habitats and deeper pools and runs for waterbugs, platypus and</w:t>
            </w:r>
            <w:r>
              <w:rPr>
                <w:color w:val="231F20"/>
                <w:spacing w:val="1"/>
                <w:sz w:val="17"/>
              </w:rPr>
              <w:t xml:space="preserve"> </w:t>
            </w:r>
            <w:r>
              <w:rPr>
                <w:color w:val="231F20"/>
                <w:sz w:val="17"/>
              </w:rPr>
              <w:t>fish</w:t>
            </w:r>
          </w:p>
          <w:p w:rsidR="006A7A3F" w:rsidRDefault="00BC7372">
            <w:pPr>
              <w:pStyle w:val="TableParagraph"/>
              <w:numPr>
                <w:ilvl w:val="0"/>
                <w:numId w:val="972"/>
              </w:numPr>
              <w:tabs>
                <w:tab w:val="left" w:pos="306"/>
              </w:tabs>
              <w:spacing w:before="86" w:line="244" w:lineRule="auto"/>
              <w:ind w:right="464"/>
              <w:rPr>
                <w:sz w:val="17"/>
              </w:rPr>
            </w:pPr>
            <w:r>
              <w:rPr>
                <w:color w:val="231F20"/>
                <w:sz w:val="17"/>
              </w:rPr>
              <w:t>Maintain soil moisture for streamside vegetation and a near-permanent wetted stream channel for aquatic</w:t>
            </w:r>
            <w:r>
              <w:rPr>
                <w:color w:val="231F20"/>
                <w:spacing w:val="11"/>
                <w:sz w:val="17"/>
              </w:rPr>
              <w:t xml:space="preserve"> </w:t>
            </w:r>
            <w:r>
              <w:rPr>
                <w:color w:val="231F20"/>
                <w:sz w:val="17"/>
              </w:rPr>
              <w:t>vegetation</w:t>
            </w:r>
          </w:p>
          <w:p w:rsidR="006A7A3F" w:rsidRDefault="00BC7372">
            <w:pPr>
              <w:pStyle w:val="TableParagraph"/>
              <w:numPr>
                <w:ilvl w:val="0"/>
                <w:numId w:val="972"/>
              </w:numPr>
              <w:tabs>
                <w:tab w:val="left" w:pos="306"/>
              </w:tabs>
              <w:spacing w:before="86"/>
              <w:ind w:hanging="218"/>
              <w:rPr>
                <w:sz w:val="17"/>
              </w:rPr>
            </w:pPr>
            <w:r>
              <w:rPr>
                <w:color w:val="231F20"/>
                <w:sz w:val="17"/>
              </w:rPr>
              <w:t>Prevent the growth of terrestrial plants in the stream</w:t>
            </w:r>
            <w:r>
              <w:rPr>
                <w:color w:val="231F20"/>
                <w:spacing w:val="24"/>
                <w:sz w:val="17"/>
              </w:rPr>
              <w:t xml:space="preserve"> </w:t>
            </w:r>
            <w:r>
              <w:rPr>
                <w:color w:val="231F20"/>
                <w:sz w:val="17"/>
              </w:rPr>
              <w:t>bed</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87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879"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rsidTr="002A56D0">
        <w:trPr>
          <w:trHeight w:val="68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88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88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2A56D0">
        <w:trPr>
          <w:trHeight w:val="787"/>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515"/>
              <w:rPr>
                <w:sz w:val="18"/>
              </w:rPr>
            </w:pPr>
            <w:r>
              <w:rPr>
                <w:color w:val="231F20"/>
                <w:sz w:val="18"/>
              </w:rPr>
              <w:t>Winter/spring low flow (27 ML/day or natural</w:t>
            </w:r>
          </w:p>
          <w:p w:rsidR="006A7A3F" w:rsidRDefault="00BC7372">
            <w:pPr>
              <w:pStyle w:val="TableParagraph"/>
              <w:spacing w:before="1"/>
              <w:ind w:left="85"/>
              <w:rPr>
                <w:sz w:val="18"/>
              </w:rPr>
            </w:pPr>
            <w:r>
              <w:rPr>
                <w:color w:val="231F20"/>
                <w:sz w:val="18"/>
              </w:rPr>
              <w:t>during June to November)</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71"/>
              </w:numPr>
              <w:tabs>
                <w:tab w:val="left" w:pos="306"/>
              </w:tabs>
              <w:spacing w:before="68"/>
              <w:ind w:hanging="218"/>
              <w:rPr>
                <w:sz w:val="17"/>
              </w:rPr>
            </w:pPr>
            <w:r>
              <w:rPr>
                <w:color w:val="231F20"/>
                <w:sz w:val="17"/>
              </w:rPr>
              <w:t>Facilitate</w:t>
            </w:r>
            <w:r>
              <w:rPr>
                <w:color w:val="231F20"/>
                <w:spacing w:val="6"/>
                <w:sz w:val="17"/>
              </w:rPr>
              <w:t xml:space="preserve"> </w:t>
            </w:r>
            <w:r>
              <w:rPr>
                <w:color w:val="231F20"/>
                <w:sz w:val="17"/>
              </w:rPr>
              <w:t>the</w:t>
            </w:r>
            <w:r>
              <w:rPr>
                <w:color w:val="231F20"/>
                <w:spacing w:val="6"/>
                <w:sz w:val="17"/>
              </w:rPr>
              <w:t xml:space="preserve"> </w:t>
            </w:r>
            <w:r>
              <w:rPr>
                <w:color w:val="231F20"/>
                <w:sz w:val="17"/>
              </w:rPr>
              <w:t>annual</w:t>
            </w:r>
            <w:r>
              <w:rPr>
                <w:color w:val="231F20"/>
                <w:spacing w:val="6"/>
                <w:sz w:val="17"/>
              </w:rPr>
              <w:t xml:space="preserve"> </w:t>
            </w:r>
            <w:r>
              <w:rPr>
                <w:color w:val="231F20"/>
                <w:sz w:val="17"/>
              </w:rPr>
              <w:t>dispersal</w:t>
            </w:r>
            <w:r>
              <w:rPr>
                <w:color w:val="231F20"/>
                <w:spacing w:val="6"/>
                <w:sz w:val="17"/>
              </w:rPr>
              <w:t xml:space="preserve"> </w:t>
            </w:r>
            <w:r>
              <w:rPr>
                <w:color w:val="231F20"/>
                <w:sz w:val="17"/>
              </w:rPr>
              <w:t>of</w:t>
            </w:r>
            <w:r>
              <w:rPr>
                <w:color w:val="231F20"/>
                <w:spacing w:val="6"/>
                <w:sz w:val="17"/>
              </w:rPr>
              <w:t xml:space="preserve"> </w:t>
            </w:r>
            <w:r>
              <w:rPr>
                <w:color w:val="231F20"/>
                <w:sz w:val="17"/>
              </w:rPr>
              <w:t>juvenile</w:t>
            </w:r>
            <w:r>
              <w:rPr>
                <w:color w:val="231F20"/>
                <w:spacing w:val="6"/>
                <w:sz w:val="17"/>
              </w:rPr>
              <w:t xml:space="preserve"> </w:t>
            </w:r>
            <w:r>
              <w:rPr>
                <w:color w:val="231F20"/>
                <w:sz w:val="17"/>
              </w:rPr>
              <w:t>platypus</w:t>
            </w:r>
            <w:r>
              <w:rPr>
                <w:color w:val="231F20"/>
                <w:spacing w:val="6"/>
                <w:sz w:val="17"/>
              </w:rPr>
              <w:t xml:space="preserve"> </w:t>
            </w:r>
            <w:r>
              <w:rPr>
                <w:color w:val="231F20"/>
                <w:sz w:val="17"/>
              </w:rPr>
              <w:t>into</w:t>
            </w:r>
            <w:r>
              <w:rPr>
                <w:color w:val="231F20"/>
                <w:spacing w:val="6"/>
                <w:sz w:val="17"/>
              </w:rPr>
              <w:t xml:space="preserve"> </w:t>
            </w:r>
            <w:r>
              <w:rPr>
                <w:color w:val="231F20"/>
                <w:sz w:val="17"/>
              </w:rPr>
              <w:t>the</w:t>
            </w:r>
            <w:r>
              <w:rPr>
                <w:color w:val="231F20"/>
                <w:spacing w:val="6"/>
                <w:sz w:val="17"/>
              </w:rPr>
              <w:t xml:space="preserve"> </w:t>
            </w:r>
            <w:r>
              <w:rPr>
                <w:color w:val="231F20"/>
                <w:sz w:val="17"/>
              </w:rPr>
              <w:t>Wimmera</w:t>
            </w:r>
            <w:r>
              <w:rPr>
                <w:color w:val="231F20"/>
                <w:spacing w:val="6"/>
                <w:sz w:val="17"/>
              </w:rPr>
              <w:t xml:space="preserve"> </w:t>
            </w:r>
            <w:r>
              <w:rPr>
                <w:color w:val="231F20"/>
                <w:sz w:val="17"/>
              </w:rPr>
              <w:t>River</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315"/>
              <w:rPr>
                <w:sz w:val="20"/>
              </w:rPr>
            </w:pPr>
            <w:r>
              <w:rPr>
                <w:noProof/>
                <w:sz w:val="20"/>
              </w:rPr>
              <w:drawing>
                <wp:inline distT="0" distB="0" distL="0" distR="0">
                  <wp:extent cx="314168" cy="310896"/>
                  <wp:effectExtent l="0" t="0" r="0" b="0"/>
                  <wp:docPr id="88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95"/>
              <w:rPr>
                <w:sz w:val="18"/>
              </w:rPr>
            </w:pPr>
            <w:r>
              <w:rPr>
                <w:color w:val="231F20"/>
                <w:sz w:val="18"/>
              </w:rPr>
              <w:t>Summer/autumn fresh (two to four freshes of five to</w:t>
            </w:r>
          </w:p>
          <w:p w:rsidR="006A7A3F" w:rsidRDefault="00BC7372">
            <w:pPr>
              <w:pStyle w:val="TableParagraph"/>
              <w:spacing w:before="1" w:line="254" w:lineRule="auto"/>
              <w:ind w:left="85" w:right="104"/>
              <w:rPr>
                <w:sz w:val="18"/>
              </w:rPr>
            </w:pPr>
            <w:r>
              <w:rPr>
                <w:color w:val="231F20"/>
                <w:sz w:val="18"/>
              </w:rPr>
              <w:t>50 ML/day for two to seven days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70"/>
              </w:numPr>
              <w:tabs>
                <w:tab w:val="left" w:pos="306"/>
              </w:tabs>
              <w:spacing w:before="68"/>
              <w:ind w:hanging="218"/>
              <w:rPr>
                <w:sz w:val="17"/>
              </w:rPr>
            </w:pPr>
            <w:r>
              <w:rPr>
                <w:color w:val="231F20"/>
                <w:sz w:val="17"/>
              </w:rPr>
              <w:t>Provide variable flows in the low-flow season for fish</w:t>
            </w:r>
            <w:r>
              <w:rPr>
                <w:color w:val="231F20"/>
                <w:spacing w:val="36"/>
                <w:sz w:val="17"/>
              </w:rPr>
              <w:t xml:space="preserve"> </w:t>
            </w:r>
            <w:r>
              <w:rPr>
                <w:color w:val="231F20"/>
                <w:sz w:val="17"/>
              </w:rPr>
              <w:t>movement</w:t>
            </w:r>
          </w:p>
          <w:p w:rsidR="006A7A3F" w:rsidRDefault="00BC7372">
            <w:pPr>
              <w:pStyle w:val="TableParagraph"/>
              <w:numPr>
                <w:ilvl w:val="0"/>
                <w:numId w:val="970"/>
              </w:numPr>
              <w:tabs>
                <w:tab w:val="left" w:pos="306"/>
              </w:tabs>
              <w:spacing w:before="89" w:line="244" w:lineRule="auto"/>
              <w:ind w:right="330"/>
              <w:rPr>
                <w:sz w:val="17"/>
              </w:rPr>
            </w:pPr>
            <w:r>
              <w:rPr>
                <w:color w:val="231F20"/>
                <w:sz w:val="17"/>
              </w:rPr>
              <w:t>Maintain water quality and increase habitat availability for waterbugs and platypus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88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889"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rsidTr="002A56D0">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8" cy="310896"/>
                  <wp:effectExtent l="0" t="0" r="0" b="0"/>
                  <wp:docPr id="89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22.jpeg"/>
                          <pic:cNvPicPr/>
                        </pic:nvPicPr>
                        <pic:blipFill>
                          <a:blip r:embed="rId34" cstate="print"/>
                          <a:stretch>
                            <a:fillRect/>
                          </a:stretch>
                        </pic:blipFill>
                        <pic:spPr>
                          <a:xfrm>
                            <a:off x="0" y="0"/>
                            <a:ext cx="31417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6" cy="310896"/>
                  <wp:effectExtent l="0" t="0" r="0" b="0"/>
                  <wp:docPr id="89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23.png"/>
                          <pic:cNvPicPr/>
                        </pic:nvPicPr>
                        <pic:blipFill>
                          <a:blip r:embed="rId35" cstate="print"/>
                          <a:stretch>
                            <a:fillRect/>
                          </a:stretch>
                        </pic:blipFill>
                        <pic:spPr>
                          <a:xfrm>
                            <a:off x="0" y="0"/>
                            <a:ext cx="314166" cy="310896"/>
                          </a:xfrm>
                          <a:prstGeom prst="rect">
                            <a:avLst/>
                          </a:prstGeom>
                        </pic:spPr>
                      </pic:pic>
                    </a:graphicData>
                  </a:graphic>
                </wp:inline>
              </w:drawing>
            </w:r>
          </w:p>
        </w:tc>
      </w:tr>
      <w:tr w:rsidR="006A7A3F" w:rsidTr="002A56D0">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92"/>
              <w:jc w:val="both"/>
              <w:rPr>
                <w:sz w:val="18"/>
              </w:rPr>
            </w:pPr>
            <w:r>
              <w:rPr>
                <w:color w:val="231F20"/>
                <w:sz w:val="18"/>
              </w:rPr>
              <w:t>Winter/spring fresh (five freshes of 55 ML/day for two to seven days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9"/>
              </w:numPr>
              <w:tabs>
                <w:tab w:val="left" w:pos="306"/>
              </w:tabs>
              <w:spacing w:before="68" w:line="244" w:lineRule="auto"/>
              <w:ind w:right="87"/>
              <w:rPr>
                <w:sz w:val="17"/>
              </w:rPr>
            </w:pPr>
            <w:r>
              <w:rPr>
                <w:color w:val="231F20"/>
                <w:sz w:val="17"/>
              </w:rPr>
              <w:t>Stimulate and facilitate fish and platypus movement by increasing flow rates and water</w:t>
            </w:r>
            <w:r>
              <w:rPr>
                <w:color w:val="231F20"/>
                <w:spacing w:val="2"/>
                <w:sz w:val="17"/>
              </w:rPr>
              <w:t xml:space="preserve"> </w:t>
            </w:r>
            <w:r>
              <w:rPr>
                <w:color w:val="231F20"/>
                <w:sz w:val="17"/>
              </w:rPr>
              <w:t>depth</w:t>
            </w:r>
          </w:p>
          <w:p w:rsidR="006A7A3F" w:rsidRDefault="00BC7372">
            <w:pPr>
              <w:pStyle w:val="TableParagraph"/>
              <w:numPr>
                <w:ilvl w:val="0"/>
                <w:numId w:val="969"/>
              </w:numPr>
              <w:tabs>
                <w:tab w:val="left" w:pos="306"/>
              </w:tabs>
              <w:spacing w:before="86"/>
              <w:ind w:hanging="218"/>
              <w:rPr>
                <w:sz w:val="17"/>
              </w:rPr>
            </w:pPr>
            <w:r>
              <w:rPr>
                <w:color w:val="231F20"/>
                <w:sz w:val="17"/>
              </w:rPr>
              <w:t>Maintain water quality and improve habitat quality for</w:t>
            </w:r>
            <w:r>
              <w:rPr>
                <w:color w:val="231F20"/>
                <w:spacing w:val="25"/>
                <w:sz w:val="17"/>
              </w:rPr>
              <w:t xml:space="preserve"> </w:t>
            </w:r>
            <w:r>
              <w:rPr>
                <w:color w:val="231F20"/>
                <w:sz w:val="17"/>
              </w:rPr>
              <w:t>waterbugs</w:t>
            </w:r>
          </w:p>
          <w:p w:rsidR="006A7A3F" w:rsidRDefault="00BC7372">
            <w:pPr>
              <w:pStyle w:val="TableParagraph"/>
              <w:numPr>
                <w:ilvl w:val="0"/>
                <w:numId w:val="969"/>
              </w:numPr>
              <w:tabs>
                <w:tab w:val="left" w:pos="306"/>
              </w:tabs>
              <w:spacing w:before="90" w:line="244" w:lineRule="auto"/>
              <w:ind w:right="464"/>
              <w:rPr>
                <w:sz w:val="17"/>
              </w:rPr>
            </w:pPr>
            <w:r>
              <w:rPr>
                <w:color w:val="231F20"/>
                <w:sz w:val="17"/>
              </w:rPr>
              <w:t>Maintain soil moisture for streamside vegetation and a near-permanent wetted stream channel for aquatic</w:t>
            </w:r>
            <w:r>
              <w:rPr>
                <w:color w:val="231F20"/>
                <w:spacing w:val="11"/>
                <w:sz w:val="17"/>
              </w:rPr>
              <w:t xml:space="preserve"> </w:t>
            </w:r>
            <w:r>
              <w:rPr>
                <w:color w:val="231F20"/>
                <w:sz w:val="17"/>
              </w:rPr>
              <w:t>vegetation</w:t>
            </w:r>
          </w:p>
          <w:p w:rsidR="006A7A3F" w:rsidRDefault="00BC7372">
            <w:pPr>
              <w:pStyle w:val="TableParagraph"/>
              <w:numPr>
                <w:ilvl w:val="0"/>
                <w:numId w:val="969"/>
              </w:numPr>
              <w:tabs>
                <w:tab w:val="left" w:pos="306"/>
              </w:tabs>
              <w:spacing w:before="86"/>
              <w:ind w:hanging="218"/>
              <w:rPr>
                <w:sz w:val="17"/>
              </w:rPr>
            </w:pPr>
            <w:r>
              <w:rPr>
                <w:color w:val="231F20"/>
                <w:sz w:val="17"/>
              </w:rPr>
              <w:t>Prevent the growth of terrestrial plants in the stream</w:t>
            </w:r>
            <w:r>
              <w:rPr>
                <w:color w:val="231F20"/>
                <w:spacing w:val="24"/>
                <w:sz w:val="17"/>
              </w:rPr>
              <w:t xml:space="preserve"> </w:t>
            </w:r>
            <w:r>
              <w:rPr>
                <w:color w:val="231F20"/>
                <w:sz w:val="17"/>
              </w:rPr>
              <w:t>bed</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89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89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rsidTr="002A56D0">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89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90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2A56D0">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0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2A56D0">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MacKenzie River (reach 3)</w:t>
            </w: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373"/>
              <w:jc w:val="both"/>
              <w:rPr>
                <w:sz w:val="18"/>
              </w:rPr>
            </w:pPr>
            <w:r>
              <w:rPr>
                <w:color w:val="231F20"/>
                <w:sz w:val="18"/>
              </w:rPr>
              <w:t>Year-round low flow (10 ML/day or natural, year- round)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8"/>
              </w:numPr>
              <w:tabs>
                <w:tab w:val="left" w:pos="306"/>
              </w:tabs>
              <w:spacing w:before="68"/>
              <w:ind w:hanging="218"/>
              <w:rPr>
                <w:sz w:val="17"/>
              </w:rPr>
            </w:pPr>
            <w:r>
              <w:rPr>
                <w:color w:val="231F20"/>
                <w:sz w:val="17"/>
              </w:rPr>
              <w:t>Maintain edge habitats and deeper pools and runs for</w:t>
            </w:r>
            <w:r>
              <w:rPr>
                <w:color w:val="231F20"/>
                <w:spacing w:val="31"/>
                <w:sz w:val="17"/>
              </w:rPr>
              <w:t xml:space="preserve"> </w:t>
            </w:r>
            <w:r>
              <w:rPr>
                <w:color w:val="231F20"/>
                <w:sz w:val="17"/>
              </w:rPr>
              <w:t>waterbugs</w:t>
            </w:r>
          </w:p>
          <w:p w:rsidR="006A7A3F" w:rsidRDefault="00BC7372">
            <w:pPr>
              <w:pStyle w:val="TableParagraph"/>
              <w:numPr>
                <w:ilvl w:val="0"/>
                <w:numId w:val="968"/>
              </w:numPr>
              <w:tabs>
                <w:tab w:val="left" w:pos="306"/>
              </w:tabs>
              <w:spacing w:before="89" w:line="244" w:lineRule="auto"/>
              <w:ind w:right="464"/>
              <w:rPr>
                <w:sz w:val="17"/>
              </w:rPr>
            </w:pPr>
            <w:r>
              <w:rPr>
                <w:color w:val="231F20"/>
                <w:sz w:val="17"/>
              </w:rPr>
              <w:t>Maintain soil moisture for streamside vegetation and a near-permanent wetted stream channel for aquatic</w:t>
            </w:r>
            <w:r>
              <w:rPr>
                <w:color w:val="231F20"/>
                <w:spacing w:val="11"/>
                <w:sz w:val="17"/>
              </w:rPr>
              <w:t xml:space="preserve"> </w:t>
            </w:r>
            <w:r>
              <w:rPr>
                <w:color w:val="231F20"/>
                <w:sz w:val="17"/>
              </w:rPr>
              <w:t>vegetation</w:t>
            </w:r>
          </w:p>
          <w:p w:rsidR="006A7A3F" w:rsidRDefault="00BC7372">
            <w:pPr>
              <w:pStyle w:val="TableParagraph"/>
              <w:numPr>
                <w:ilvl w:val="0"/>
                <w:numId w:val="968"/>
              </w:numPr>
              <w:tabs>
                <w:tab w:val="left" w:pos="306"/>
              </w:tabs>
              <w:spacing w:before="87"/>
              <w:ind w:hanging="218"/>
              <w:rPr>
                <w:sz w:val="17"/>
              </w:rPr>
            </w:pPr>
            <w:r>
              <w:rPr>
                <w:color w:val="231F20"/>
                <w:sz w:val="17"/>
              </w:rPr>
              <w:t>Prevent the growth of terrestrial plants in the stream</w:t>
            </w:r>
            <w:r>
              <w:rPr>
                <w:color w:val="231F20"/>
                <w:spacing w:val="24"/>
                <w:sz w:val="17"/>
              </w:rPr>
              <w:t xml:space="preserve"> </w:t>
            </w:r>
            <w:r>
              <w:rPr>
                <w:color w:val="231F20"/>
                <w:sz w:val="17"/>
              </w:rPr>
              <w:t>bed</w:t>
            </w:r>
          </w:p>
          <w:p w:rsidR="006A7A3F" w:rsidRDefault="00BC7372">
            <w:pPr>
              <w:pStyle w:val="TableParagraph"/>
              <w:numPr>
                <w:ilvl w:val="0"/>
                <w:numId w:val="968"/>
              </w:numPr>
              <w:tabs>
                <w:tab w:val="left" w:pos="306"/>
              </w:tabs>
              <w:spacing w:before="89"/>
              <w:ind w:hanging="218"/>
              <w:rPr>
                <w:sz w:val="17"/>
              </w:rPr>
            </w:pPr>
            <w:r>
              <w:rPr>
                <w:color w:val="231F20"/>
                <w:sz w:val="17"/>
              </w:rPr>
              <w:t>Maintain pool habitat for native fish and crayfish</w:t>
            </w:r>
            <w:r>
              <w:rPr>
                <w:color w:val="231F20"/>
                <w:spacing w:val="23"/>
                <w:sz w:val="17"/>
              </w:rPr>
              <w:t xml:space="preserve"> </w:t>
            </w:r>
            <w:r>
              <w:rPr>
                <w:color w:val="231F20"/>
                <w:sz w:val="17"/>
              </w:rPr>
              <w:t>populations</w:t>
            </w:r>
          </w:p>
          <w:p w:rsidR="006A7A3F" w:rsidRDefault="00BC7372">
            <w:pPr>
              <w:pStyle w:val="TableParagraph"/>
              <w:numPr>
                <w:ilvl w:val="0"/>
                <w:numId w:val="968"/>
              </w:numPr>
              <w:tabs>
                <w:tab w:val="left" w:pos="306"/>
              </w:tabs>
              <w:spacing w:before="90" w:line="244" w:lineRule="auto"/>
              <w:ind w:right="262"/>
              <w:rPr>
                <w:sz w:val="17"/>
              </w:rPr>
            </w:pPr>
            <w:r>
              <w:rPr>
                <w:color w:val="231F20"/>
                <w:sz w:val="17"/>
              </w:rPr>
              <w:t>Facilitate the dispersal of juvenile platypus into the Wimmera River during autumn/winter</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5" cy="310896"/>
                  <wp:effectExtent l="0" t="0" r="0" b="0"/>
                  <wp:docPr id="90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19.jpeg"/>
                          <pic:cNvPicPr/>
                        </pic:nvPicPr>
                        <pic:blipFill>
                          <a:blip r:embed="rId31" cstate="print"/>
                          <a:stretch>
                            <a:fillRect/>
                          </a:stretch>
                        </pic:blipFill>
                        <pic:spPr>
                          <a:xfrm>
                            <a:off x="0" y="0"/>
                            <a:ext cx="314175"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90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rsidTr="002A56D0">
        <w:trPr>
          <w:trHeight w:val="125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0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91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2A56D0">
        <w:trPr>
          <w:trHeight w:val="663"/>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95"/>
              <w:rPr>
                <w:sz w:val="18"/>
              </w:rPr>
            </w:pPr>
            <w:r>
              <w:rPr>
                <w:color w:val="231F20"/>
                <w:sz w:val="18"/>
              </w:rPr>
              <w:t>Summer/autumn freshes (three to four freshes</w:t>
            </w:r>
          </w:p>
          <w:p w:rsidR="006A7A3F" w:rsidRDefault="00BC7372">
            <w:pPr>
              <w:pStyle w:val="TableParagraph"/>
              <w:spacing w:before="1" w:line="254" w:lineRule="auto"/>
              <w:ind w:left="85" w:right="364"/>
              <w:rPr>
                <w:sz w:val="18"/>
              </w:rPr>
            </w:pPr>
            <w:r>
              <w:rPr>
                <w:color w:val="231F20"/>
                <w:sz w:val="18"/>
              </w:rPr>
              <w:t>of 35 ML/day for two to seven days each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7"/>
              </w:numPr>
              <w:tabs>
                <w:tab w:val="left" w:pos="306"/>
              </w:tabs>
              <w:spacing w:before="68"/>
              <w:ind w:hanging="218"/>
              <w:rPr>
                <w:sz w:val="17"/>
              </w:rPr>
            </w:pPr>
            <w:r>
              <w:rPr>
                <w:color w:val="231F20"/>
                <w:sz w:val="17"/>
              </w:rPr>
              <w:t>Provide variable flows in the low-flow season for fish</w:t>
            </w:r>
            <w:r>
              <w:rPr>
                <w:color w:val="231F20"/>
                <w:spacing w:val="36"/>
                <w:sz w:val="17"/>
              </w:rPr>
              <w:t xml:space="preserve"> </w:t>
            </w:r>
            <w:r>
              <w:rPr>
                <w:color w:val="231F20"/>
                <w:sz w:val="17"/>
              </w:rPr>
              <w:t>movement</w:t>
            </w:r>
          </w:p>
          <w:p w:rsidR="006A7A3F" w:rsidRDefault="00BC7372">
            <w:pPr>
              <w:pStyle w:val="TableParagraph"/>
              <w:numPr>
                <w:ilvl w:val="0"/>
                <w:numId w:val="967"/>
              </w:numPr>
              <w:tabs>
                <w:tab w:val="left" w:pos="306"/>
              </w:tabs>
              <w:spacing w:before="89"/>
              <w:ind w:hanging="218"/>
              <w:rPr>
                <w:sz w:val="17"/>
              </w:rPr>
            </w:pPr>
            <w:r>
              <w:rPr>
                <w:color w:val="231F20"/>
                <w:sz w:val="17"/>
              </w:rPr>
              <w:t>Maintain water quality and increase habitat availability for</w:t>
            </w:r>
            <w:r>
              <w:rPr>
                <w:color w:val="231F20"/>
                <w:spacing w:val="34"/>
                <w:sz w:val="17"/>
              </w:rPr>
              <w:t xml:space="preserve"> </w:t>
            </w:r>
            <w:r>
              <w:rPr>
                <w:color w:val="231F20"/>
                <w:sz w:val="17"/>
              </w:rPr>
              <w:t>waterbugs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5"/>
                  <wp:effectExtent l="0" t="0" r="0" b="0"/>
                  <wp:docPr id="91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5"/>
                  <wp:effectExtent l="0" t="0" r="0" b="0"/>
                  <wp:docPr id="91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22.jpeg"/>
                          <pic:cNvPicPr/>
                        </pic:nvPicPr>
                        <pic:blipFill>
                          <a:blip r:embed="rId34" cstate="print"/>
                          <a:stretch>
                            <a:fillRect/>
                          </a:stretch>
                        </pic:blipFill>
                        <pic:spPr>
                          <a:xfrm>
                            <a:off x="0" y="0"/>
                            <a:ext cx="314168" cy="310895"/>
                          </a:xfrm>
                          <a:prstGeom prst="rect">
                            <a:avLst/>
                          </a:prstGeom>
                        </pic:spPr>
                      </pic:pic>
                    </a:graphicData>
                  </a:graphic>
                </wp:inline>
              </w:drawing>
            </w:r>
          </w:p>
        </w:tc>
      </w:tr>
      <w:tr w:rsidR="006A7A3F" w:rsidTr="002A56D0">
        <w:trPr>
          <w:trHeight w:val="665"/>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5"/>
              </w:rPr>
            </w:pPr>
          </w:p>
          <w:p w:rsidR="006A7A3F" w:rsidRDefault="00BC7372">
            <w:pPr>
              <w:pStyle w:val="TableParagraph"/>
              <w:ind w:left="315" w:right="-15"/>
              <w:rPr>
                <w:sz w:val="20"/>
              </w:rPr>
            </w:pPr>
            <w:r>
              <w:rPr>
                <w:noProof/>
                <w:sz w:val="20"/>
              </w:rPr>
              <w:drawing>
                <wp:inline distT="0" distB="0" distL="0" distR="0">
                  <wp:extent cx="314168" cy="310895"/>
                  <wp:effectExtent l="0" t="0" r="0" b="0"/>
                  <wp:docPr id="91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23.png"/>
                          <pic:cNvPicPr/>
                        </pic:nvPicPr>
                        <pic:blipFill>
                          <a:blip r:embed="rId35"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2A56D0">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84"/>
              <w:rPr>
                <w:sz w:val="18"/>
              </w:rPr>
            </w:pPr>
            <w:r>
              <w:rPr>
                <w:color w:val="231F20"/>
                <w:sz w:val="18"/>
              </w:rPr>
              <w:t>Small winter/spring fresh (one to five freshes of 35 ML/day for two to seven days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6"/>
              </w:numPr>
              <w:tabs>
                <w:tab w:val="left" w:pos="306"/>
              </w:tabs>
              <w:spacing w:before="68" w:line="244" w:lineRule="auto"/>
              <w:ind w:right="513"/>
              <w:rPr>
                <w:sz w:val="17"/>
              </w:rPr>
            </w:pPr>
            <w:r>
              <w:rPr>
                <w:color w:val="231F20"/>
                <w:sz w:val="17"/>
              </w:rPr>
              <w:t>Stimulate fish movement by increasing flow rates and water depth and increase habitat availability for platypus and</w:t>
            </w:r>
            <w:r>
              <w:rPr>
                <w:color w:val="231F20"/>
                <w:spacing w:val="15"/>
                <w:sz w:val="17"/>
              </w:rPr>
              <w:t xml:space="preserve"> </w:t>
            </w:r>
            <w:r>
              <w:rPr>
                <w:color w:val="231F20"/>
                <w:sz w:val="17"/>
              </w:rPr>
              <w:t>waterbugs</w:t>
            </w:r>
          </w:p>
          <w:p w:rsidR="006A7A3F" w:rsidRDefault="00BC7372">
            <w:pPr>
              <w:pStyle w:val="TableParagraph"/>
              <w:numPr>
                <w:ilvl w:val="0"/>
                <w:numId w:val="966"/>
              </w:numPr>
              <w:tabs>
                <w:tab w:val="left" w:pos="306"/>
              </w:tabs>
              <w:spacing w:before="86"/>
              <w:ind w:hanging="218"/>
              <w:rPr>
                <w:sz w:val="17"/>
              </w:rPr>
            </w:pPr>
            <w:r>
              <w:rPr>
                <w:color w:val="231F20"/>
                <w:sz w:val="17"/>
              </w:rPr>
              <w:t>Maintain water</w:t>
            </w:r>
            <w:r>
              <w:rPr>
                <w:color w:val="231F20"/>
                <w:spacing w:val="2"/>
                <w:sz w:val="17"/>
              </w:rPr>
              <w:t xml:space="preserve"> </w:t>
            </w:r>
            <w:r>
              <w:rPr>
                <w:color w:val="231F20"/>
                <w:sz w:val="17"/>
              </w:rPr>
              <w:t>quality</w:t>
            </w:r>
          </w:p>
          <w:p w:rsidR="006A7A3F" w:rsidRDefault="00BC7372">
            <w:pPr>
              <w:pStyle w:val="TableParagraph"/>
              <w:numPr>
                <w:ilvl w:val="0"/>
                <w:numId w:val="966"/>
              </w:numPr>
              <w:tabs>
                <w:tab w:val="left" w:pos="306"/>
              </w:tabs>
              <w:spacing w:before="90" w:line="244" w:lineRule="auto"/>
              <w:ind w:right="464"/>
              <w:rPr>
                <w:sz w:val="17"/>
              </w:rPr>
            </w:pPr>
            <w:r>
              <w:rPr>
                <w:color w:val="231F20"/>
                <w:sz w:val="17"/>
              </w:rPr>
              <w:t>Maintain soil moisture for streamside vegetation and a near-permanent wetted stream channel for aquatic</w:t>
            </w:r>
            <w:r>
              <w:rPr>
                <w:color w:val="231F20"/>
                <w:spacing w:val="11"/>
                <w:sz w:val="17"/>
              </w:rPr>
              <w:t xml:space="preserve"> </w:t>
            </w:r>
            <w:r>
              <w:rPr>
                <w:color w:val="231F20"/>
                <w:sz w:val="17"/>
              </w:rPr>
              <w:t>vegetation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2" cy="310895"/>
                  <wp:effectExtent l="0" t="0" r="0" b="0"/>
                  <wp:docPr id="91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19.jpeg"/>
                          <pic:cNvPicPr/>
                        </pic:nvPicPr>
                        <pic:blipFill>
                          <a:blip r:embed="rId31" cstate="print"/>
                          <a:stretch>
                            <a:fillRect/>
                          </a:stretch>
                        </pic:blipFill>
                        <pic:spPr>
                          <a:xfrm>
                            <a:off x="0" y="0"/>
                            <a:ext cx="314172"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5"/>
                  <wp:effectExtent l="0" t="0" r="0" b="0"/>
                  <wp:docPr id="92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31.jpeg"/>
                          <pic:cNvPicPr/>
                        </pic:nvPicPr>
                        <pic:blipFill>
                          <a:blip r:embed="rId43" cstate="print"/>
                          <a:stretch>
                            <a:fillRect/>
                          </a:stretch>
                        </pic:blipFill>
                        <pic:spPr>
                          <a:xfrm>
                            <a:off x="0" y="0"/>
                            <a:ext cx="314168" cy="310895"/>
                          </a:xfrm>
                          <a:prstGeom prst="rect">
                            <a:avLst/>
                          </a:prstGeom>
                        </pic:spPr>
                      </pic:pic>
                    </a:graphicData>
                  </a:graphic>
                </wp:inline>
              </w:drawing>
            </w:r>
          </w:p>
        </w:tc>
      </w:tr>
      <w:tr w:rsidR="006A7A3F" w:rsidTr="002A56D0">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2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92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2A56D0">
        <w:trPr>
          <w:trHeight w:val="627"/>
        </w:trPr>
        <w:tc>
          <w:tcPr>
            <w:tcW w:w="2381"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auto"/>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2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auto"/>
              <w:right w:val="single" w:sz="4" w:space="0" w:color="231F20"/>
            </w:tcBorders>
          </w:tcPr>
          <w:p w:rsidR="006A7A3F" w:rsidRDefault="006A7A3F">
            <w:pPr>
              <w:pStyle w:val="TableParagraph"/>
              <w:ind w:left="0"/>
              <w:rPr>
                <w:rFonts w:ascii="Times New Roman"/>
                <w:sz w:val="16"/>
              </w:rPr>
            </w:pPr>
          </w:p>
        </w:tc>
      </w:tr>
      <w:tr w:rsidR="002A56D0" w:rsidTr="002840E5">
        <w:trPr>
          <w:trHeight w:val="627"/>
        </w:trPr>
        <w:tc>
          <w:tcPr>
            <w:tcW w:w="2381" w:type="dxa"/>
            <w:vMerge w:val="restart"/>
            <w:tcBorders>
              <w:top w:val="single" w:sz="4" w:space="0" w:color="auto"/>
              <w:left w:val="single" w:sz="4" w:space="0" w:color="231F20"/>
              <w:right w:val="single" w:sz="4" w:space="0" w:color="231F20"/>
            </w:tcBorders>
          </w:tcPr>
          <w:p w:rsidR="002A56D0" w:rsidRDefault="002A56D0" w:rsidP="002A56D0">
            <w:pPr>
              <w:ind w:left="60"/>
              <w:rPr>
                <w:sz w:val="2"/>
                <w:szCs w:val="2"/>
              </w:rPr>
            </w:pPr>
            <w:r>
              <w:rPr>
                <w:color w:val="231F20"/>
                <w:sz w:val="18"/>
              </w:rPr>
              <w:t>Large winter/spring fresh (one fresh of 190 ML/day for one to two days during June to November)</w:t>
            </w:r>
          </w:p>
        </w:tc>
        <w:tc>
          <w:tcPr>
            <w:tcW w:w="6236" w:type="dxa"/>
            <w:vMerge w:val="restart"/>
            <w:tcBorders>
              <w:top w:val="single" w:sz="4" w:space="0" w:color="auto"/>
              <w:left w:val="single" w:sz="4" w:space="0" w:color="231F20"/>
              <w:right w:val="single" w:sz="4" w:space="0" w:color="231F20"/>
            </w:tcBorders>
          </w:tcPr>
          <w:p w:rsidR="002A56D0" w:rsidRDefault="002A56D0" w:rsidP="002A56D0">
            <w:pPr>
              <w:pStyle w:val="TableParagraph"/>
              <w:numPr>
                <w:ilvl w:val="0"/>
                <w:numId w:val="965"/>
              </w:numPr>
              <w:tabs>
                <w:tab w:val="left" w:pos="306"/>
              </w:tabs>
              <w:spacing w:before="68" w:line="244" w:lineRule="auto"/>
              <w:ind w:right="195"/>
              <w:rPr>
                <w:sz w:val="17"/>
              </w:rPr>
            </w:pPr>
            <w:r>
              <w:rPr>
                <w:color w:val="231F20"/>
                <w:sz w:val="17"/>
              </w:rPr>
              <w:t>Disturb biofilms present on rocks or woody debris, to stimulate new growth and provide food for</w:t>
            </w:r>
            <w:r>
              <w:rPr>
                <w:color w:val="231F20"/>
                <w:spacing w:val="5"/>
                <w:sz w:val="17"/>
              </w:rPr>
              <w:t xml:space="preserve"> </w:t>
            </w:r>
            <w:r>
              <w:rPr>
                <w:color w:val="231F20"/>
                <w:sz w:val="17"/>
              </w:rPr>
              <w:t>waterbugs</w:t>
            </w:r>
          </w:p>
          <w:p w:rsidR="002A56D0" w:rsidRDefault="002A56D0" w:rsidP="002A56D0">
            <w:pPr>
              <w:pStyle w:val="TableParagraph"/>
              <w:numPr>
                <w:ilvl w:val="0"/>
                <w:numId w:val="965"/>
              </w:numPr>
              <w:tabs>
                <w:tab w:val="left" w:pos="306"/>
              </w:tabs>
              <w:spacing w:before="86"/>
              <w:ind w:hanging="218"/>
              <w:rPr>
                <w:sz w:val="17"/>
              </w:rPr>
            </w:pPr>
            <w:r>
              <w:rPr>
                <w:color w:val="231F20"/>
                <w:sz w:val="17"/>
              </w:rPr>
              <w:t>Maintain water</w:t>
            </w:r>
            <w:r>
              <w:rPr>
                <w:color w:val="231F20"/>
                <w:spacing w:val="2"/>
                <w:sz w:val="17"/>
              </w:rPr>
              <w:t xml:space="preserve"> </w:t>
            </w:r>
            <w:r>
              <w:rPr>
                <w:color w:val="231F20"/>
                <w:sz w:val="17"/>
              </w:rPr>
              <w:t>quality</w:t>
            </w:r>
          </w:p>
          <w:p w:rsidR="002A56D0" w:rsidRPr="002A56D0" w:rsidRDefault="002A56D0" w:rsidP="002A56D0">
            <w:pPr>
              <w:pStyle w:val="TableParagraph"/>
              <w:numPr>
                <w:ilvl w:val="0"/>
                <w:numId w:val="965"/>
              </w:numPr>
              <w:tabs>
                <w:tab w:val="left" w:pos="306"/>
              </w:tabs>
              <w:spacing w:before="90" w:line="244" w:lineRule="auto"/>
              <w:ind w:right="464"/>
              <w:rPr>
                <w:sz w:val="17"/>
              </w:rPr>
            </w:pPr>
            <w:r>
              <w:rPr>
                <w:color w:val="231F20"/>
                <w:sz w:val="17"/>
              </w:rPr>
              <w:t>Maintain soil moisture for streamside vegetation and a near-permanent wetted stream channel for aquatic</w:t>
            </w:r>
            <w:r>
              <w:rPr>
                <w:color w:val="231F20"/>
                <w:spacing w:val="11"/>
                <w:sz w:val="17"/>
              </w:rPr>
              <w:t xml:space="preserve"> </w:t>
            </w:r>
            <w:r>
              <w:rPr>
                <w:color w:val="231F20"/>
                <w:sz w:val="17"/>
              </w:rPr>
              <w:t>vegetation</w:t>
            </w:r>
          </w:p>
          <w:p w:rsidR="002A56D0" w:rsidRPr="002A56D0" w:rsidRDefault="002A56D0" w:rsidP="002A56D0">
            <w:pPr>
              <w:pStyle w:val="TableParagraph"/>
              <w:numPr>
                <w:ilvl w:val="0"/>
                <w:numId w:val="965"/>
              </w:numPr>
              <w:tabs>
                <w:tab w:val="left" w:pos="306"/>
              </w:tabs>
              <w:spacing w:before="90" w:line="244" w:lineRule="auto"/>
              <w:ind w:right="464"/>
              <w:rPr>
                <w:sz w:val="17"/>
              </w:rPr>
            </w:pPr>
            <w:r w:rsidRPr="002A56D0">
              <w:rPr>
                <w:color w:val="231F20"/>
                <w:sz w:val="17"/>
              </w:rPr>
              <w:t>Stimulate fish movement by increasing flow rates and water depth and increase habitat availability for</w:t>
            </w:r>
            <w:r w:rsidRPr="002A56D0">
              <w:rPr>
                <w:color w:val="231F20"/>
                <w:spacing w:val="6"/>
                <w:sz w:val="17"/>
              </w:rPr>
              <w:t xml:space="preserve"> </w:t>
            </w:r>
            <w:r w:rsidRPr="002A56D0">
              <w:rPr>
                <w:color w:val="231F20"/>
                <w:sz w:val="17"/>
              </w:rPr>
              <w:t>platypus</w:t>
            </w:r>
          </w:p>
        </w:tc>
        <w:tc>
          <w:tcPr>
            <w:tcW w:w="850" w:type="dxa"/>
            <w:tcBorders>
              <w:top w:val="single" w:sz="4" w:space="0" w:color="auto"/>
              <w:left w:val="single" w:sz="4" w:space="0" w:color="231F20"/>
              <w:bottom w:val="nil"/>
              <w:right w:val="nil"/>
            </w:tcBorders>
          </w:tcPr>
          <w:p w:rsidR="002A56D0" w:rsidRDefault="002A56D0" w:rsidP="002A56D0">
            <w:pPr>
              <w:pStyle w:val="TableParagraph"/>
              <w:spacing w:before="9"/>
              <w:ind w:left="0"/>
              <w:rPr>
                <w:b/>
                <w:sz w:val="8"/>
              </w:rPr>
            </w:pPr>
          </w:p>
          <w:p w:rsidR="002A56D0" w:rsidRDefault="002A56D0" w:rsidP="002A56D0">
            <w:pPr>
              <w:pStyle w:val="TableParagraph"/>
              <w:ind w:left="315" w:right="-15"/>
              <w:rPr>
                <w:sz w:val="20"/>
              </w:rPr>
            </w:pPr>
            <w:r>
              <w:rPr>
                <w:noProof/>
                <w:sz w:val="20"/>
              </w:rPr>
              <w:drawing>
                <wp:inline distT="0" distB="0" distL="0" distR="0" wp14:anchorId="59469277" wp14:editId="036DCE34">
                  <wp:extent cx="314168" cy="310896"/>
                  <wp:effectExtent l="0" t="0" r="0" b="0"/>
                  <wp:docPr id="286"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auto"/>
              <w:left w:val="nil"/>
              <w:bottom w:val="nil"/>
              <w:right w:val="single" w:sz="4" w:space="0" w:color="231F20"/>
            </w:tcBorders>
          </w:tcPr>
          <w:p w:rsidR="002A56D0" w:rsidRDefault="002A56D0" w:rsidP="002A56D0">
            <w:pPr>
              <w:pStyle w:val="TableParagraph"/>
              <w:spacing w:before="9"/>
              <w:ind w:left="0"/>
              <w:rPr>
                <w:b/>
                <w:sz w:val="8"/>
              </w:rPr>
            </w:pPr>
          </w:p>
          <w:p w:rsidR="002A56D0" w:rsidRDefault="002A56D0" w:rsidP="002A56D0">
            <w:pPr>
              <w:pStyle w:val="TableParagraph"/>
              <w:ind w:left="48"/>
              <w:rPr>
                <w:sz w:val="20"/>
              </w:rPr>
            </w:pPr>
            <w:r>
              <w:rPr>
                <w:noProof/>
                <w:sz w:val="20"/>
              </w:rPr>
              <w:drawing>
                <wp:inline distT="0" distB="0" distL="0" distR="0" wp14:anchorId="268C54BE" wp14:editId="709BCB2C">
                  <wp:extent cx="314168" cy="310896"/>
                  <wp:effectExtent l="0" t="0" r="0" b="0"/>
                  <wp:docPr id="28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2A56D0" w:rsidTr="002840E5">
        <w:trPr>
          <w:trHeight w:val="627"/>
        </w:trPr>
        <w:tc>
          <w:tcPr>
            <w:tcW w:w="2381" w:type="dxa"/>
            <w:vMerge/>
            <w:tcBorders>
              <w:left w:val="single" w:sz="4" w:space="0" w:color="231F20"/>
              <w:right w:val="single" w:sz="4" w:space="0" w:color="231F20"/>
            </w:tcBorders>
          </w:tcPr>
          <w:p w:rsidR="002A56D0" w:rsidRDefault="002A56D0" w:rsidP="002A56D0">
            <w:pPr>
              <w:rPr>
                <w:sz w:val="2"/>
                <w:szCs w:val="2"/>
              </w:rPr>
            </w:pPr>
          </w:p>
        </w:tc>
        <w:tc>
          <w:tcPr>
            <w:tcW w:w="6236" w:type="dxa"/>
            <w:vMerge/>
            <w:tcBorders>
              <w:left w:val="single" w:sz="4" w:space="0" w:color="231F20"/>
              <w:right w:val="single" w:sz="4" w:space="0" w:color="231F20"/>
            </w:tcBorders>
          </w:tcPr>
          <w:p w:rsidR="002A56D0" w:rsidRDefault="002A56D0" w:rsidP="002A56D0">
            <w:pPr>
              <w:rPr>
                <w:sz w:val="2"/>
                <w:szCs w:val="2"/>
              </w:rPr>
            </w:pPr>
          </w:p>
        </w:tc>
        <w:tc>
          <w:tcPr>
            <w:tcW w:w="850" w:type="dxa"/>
            <w:tcBorders>
              <w:top w:val="nil"/>
              <w:left w:val="single" w:sz="4" w:space="0" w:color="231F20"/>
              <w:bottom w:val="nil"/>
              <w:right w:val="nil"/>
            </w:tcBorders>
          </w:tcPr>
          <w:p w:rsidR="002A56D0" w:rsidRDefault="002A56D0" w:rsidP="002A56D0">
            <w:pPr>
              <w:pStyle w:val="TableParagraph"/>
              <w:ind w:left="315" w:right="-15"/>
              <w:rPr>
                <w:sz w:val="20"/>
              </w:rPr>
            </w:pPr>
            <w:r>
              <w:rPr>
                <w:noProof/>
                <w:sz w:val="20"/>
              </w:rPr>
              <w:drawing>
                <wp:inline distT="0" distB="0" distL="0" distR="0" wp14:anchorId="23CE4222" wp14:editId="3ACBE29A">
                  <wp:extent cx="314168" cy="310896"/>
                  <wp:effectExtent l="0" t="0" r="0" b="0"/>
                  <wp:docPr id="288"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2A56D0" w:rsidRDefault="002A56D0" w:rsidP="002A56D0">
            <w:pPr>
              <w:pStyle w:val="TableParagraph"/>
              <w:ind w:left="48"/>
              <w:rPr>
                <w:sz w:val="20"/>
              </w:rPr>
            </w:pPr>
            <w:r>
              <w:rPr>
                <w:noProof/>
                <w:sz w:val="20"/>
              </w:rPr>
              <w:drawing>
                <wp:inline distT="0" distB="0" distL="0" distR="0" wp14:anchorId="3AC0F607" wp14:editId="17AB3A58">
                  <wp:extent cx="314168" cy="310896"/>
                  <wp:effectExtent l="0" t="0" r="0" b="0"/>
                  <wp:docPr id="28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2A56D0" w:rsidTr="002840E5">
        <w:trPr>
          <w:trHeight w:val="627"/>
        </w:trPr>
        <w:tc>
          <w:tcPr>
            <w:tcW w:w="2381" w:type="dxa"/>
            <w:vMerge/>
            <w:tcBorders>
              <w:left w:val="single" w:sz="4" w:space="0" w:color="231F20"/>
              <w:bottom w:val="single" w:sz="4" w:space="0" w:color="231F20"/>
              <w:right w:val="single" w:sz="4" w:space="0" w:color="231F20"/>
            </w:tcBorders>
          </w:tcPr>
          <w:p w:rsidR="002A56D0" w:rsidRDefault="002A56D0" w:rsidP="002A56D0">
            <w:pPr>
              <w:rPr>
                <w:sz w:val="2"/>
                <w:szCs w:val="2"/>
              </w:rPr>
            </w:pPr>
          </w:p>
        </w:tc>
        <w:tc>
          <w:tcPr>
            <w:tcW w:w="6236" w:type="dxa"/>
            <w:vMerge/>
            <w:tcBorders>
              <w:left w:val="single" w:sz="4" w:space="0" w:color="231F20"/>
              <w:bottom w:val="single" w:sz="4" w:space="0" w:color="231F20"/>
              <w:right w:val="single" w:sz="4" w:space="0" w:color="231F20"/>
            </w:tcBorders>
          </w:tcPr>
          <w:p w:rsidR="002A56D0" w:rsidRDefault="002A56D0" w:rsidP="002A56D0">
            <w:pPr>
              <w:rPr>
                <w:sz w:val="2"/>
                <w:szCs w:val="2"/>
              </w:rPr>
            </w:pPr>
          </w:p>
        </w:tc>
        <w:tc>
          <w:tcPr>
            <w:tcW w:w="850" w:type="dxa"/>
            <w:tcBorders>
              <w:top w:val="nil"/>
              <w:left w:val="single" w:sz="4" w:space="0" w:color="231F20"/>
              <w:bottom w:val="single" w:sz="4" w:space="0" w:color="231F20"/>
              <w:right w:val="nil"/>
            </w:tcBorders>
          </w:tcPr>
          <w:p w:rsidR="002A56D0" w:rsidRDefault="002A56D0" w:rsidP="002A56D0">
            <w:pPr>
              <w:pStyle w:val="TableParagraph"/>
              <w:ind w:left="315" w:right="-15"/>
              <w:rPr>
                <w:sz w:val="20"/>
              </w:rPr>
            </w:pPr>
            <w:r>
              <w:rPr>
                <w:noProof/>
                <w:sz w:val="20"/>
              </w:rPr>
              <w:drawing>
                <wp:inline distT="0" distB="0" distL="0" distR="0" wp14:anchorId="1EEA069B" wp14:editId="130C2A79">
                  <wp:extent cx="314168" cy="310896"/>
                  <wp:effectExtent l="0" t="0" r="0" b="0"/>
                  <wp:docPr id="318"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2A56D0" w:rsidRDefault="002A56D0" w:rsidP="002A56D0">
            <w:pPr>
              <w:pStyle w:val="TableParagraph"/>
              <w:ind w:left="0"/>
              <w:rPr>
                <w:rFonts w:ascii="Times New Roman"/>
                <w:sz w:val="16"/>
              </w:rPr>
            </w:pPr>
          </w:p>
        </w:tc>
      </w:tr>
    </w:tbl>
    <w:p w:rsidR="006A7A3F" w:rsidRDefault="006A7A3F">
      <w:pPr>
        <w:rPr>
          <w:rFonts w:ascii="Times New Roman"/>
          <w:sz w:val="16"/>
        </w:rPr>
        <w:sectPr w:rsidR="006A7A3F" w:rsidSect="00C92D74">
          <w:pgSz w:w="11910" w:h="16840"/>
          <w:pgMar w:top="1701" w:right="851" w:bottom="1134" w:left="851" w:header="720" w:footer="720" w:gutter="0"/>
          <w:cols w:space="720"/>
        </w:sect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2A56D0">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rsidTr="002A56D0">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Upper Burnt Creek</w:t>
            </w: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169"/>
              <w:rPr>
                <w:sz w:val="18"/>
              </w:rPr>
            </w:pPr>
            <w:r>
              <w:rPr>
                <w:color w:val="231F20"/>
                <w:sz w:val="18"/>
              </w:rPr>
              <w:t>Year-round low flow (one ML/day or natural, year- round)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4"/>
              </w:numPr>
              <w:tabs>
                <w:tab w:val="left" w:pos="306"/>
              </w:tabs>
              <w:spacing w:before="68"/>
              <w:ind w:hanging="218"/>
              <w:rPr>
                <w:sz w:val="17"/>
              </w:rPr>
            </w:pPr>
            <w:r>
              <w:rPr>
                <w:color w:val="231F20"/>
                <w:sz w:val="17"/>
              </w:rPr>
              <w:t>Maintain edge habitats and shallow-water habitat for</w:t>
            </w:r>
            <w:r>
              <w:rPr>
                <w:color w:val="231F20"/>
                <w:spacing w:val="25"/>
                <w:sz w:val="17"/>
              </w:rPr>
              <w:t xml:space="preserve"> </w:t>
            </w:r>
            <w:r>
              <w:rPr>
                <w:color w:val="231F20"/>
                <w:sz w:val="17"/>
              </w:rPr>
              <w:t>waterbugs</w:t>
            </w:r>
          </w:p>
          <w:p w:rsidR="006A7A3F" w:rsidRDefault="00BC7372">
            <w:pPr>
              <w:pStyle w:val="TableParagraph"/>
              <w:numPr>
                <w:ilvl w:val="0"/>
                <w:numId w:val="964"/>
              </w:numPr>
              <w:tabs>
                <w:tab w:val="left" w:pos="306"/>
              </w:tabs>
              <w:spacing w:before="89" w:line="244" w:lineRule="auto"/>
              <w:ind w:right="241"/>
              <w:rPr>
                <w:sz w:val="17"/>
              </w:rPr>
            </w:pPr>
            <w:r>
              <w:rPr>
                <w:color w:val="231F20"/>
                <w:sz w:val="17"/>
              </w:rPr>
              <w:t>Maintain soil moisture for streamside vegetation and near-permanent wetted stream channel for aquatic vegetation and to prevent the growth of terrestrial plants in the stream</w:t>
            </w:r>
            <w:r>
              <w:rPr>
                <w:color w:val="231F20"/>
                <w:spacing w:val="8"/>
                <w:sz w:val="17"/>
              </w:rPr>
              <w:t xml:space="preserve"> </w:t>
            </w:r>
            <w:r>
              <w:rPr>
                <w:color w:val="231F20"/>
                <w:sz w:val="17"/>
              </w:rPr>
              <w:t>bed</w:t>
            </w:r>
          </w:p>
          <w:p w:rsidR="006A7A3F" w:rsidRDefault="00BC7372">
            <w:pPr>
              <w:pStyle w:val="TableParagraph"/>
              <w:numPr>
                <w:ilvl w:val="0"/>
                <w:numId w:val="964"/>
              </w:numPr>
              <w:tabs>
                <w:tab w:val="left" w:pos="306"/>
              </w:tabs>
              <w:spacing w:before="87" w:line="244" w:lineRule="auto"/>
              <w:ind w:right="774"/>
              <w:rPr>
                <w:sz w:val="17"/>
              </w:rPr>
            </w:pPr>
            <w:r>
              <w:rPr>
                <w:color w:val="231F20"/>
                <w:sz w:val="17"/>
              </w:rPr>
              <w:t>Maintain a sufficient area of pool habitat for native fish and crayfish populations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93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94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rsidTr="002A56D0">
        <w:trPr>
          <w:trHeight w:val="88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4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24"/>
              <w:rPr>
                <w:sz w:val="18"/>
              </w:rPr>
            </w:pPr>
            <w:r>
              <w:rPr>
                <w:color w:val="231F20"/>
                <w:sz w:val="18"/>
              </w:rPr>
              <w:t>Summer/autumn freshes (three freshes of 30 ML/ day for two to seven days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3"/>
              </w:numPr>
              <w:tabs>
                <w:tab w:val="left" w:pos="306"/>
              </w:tabs>
              <w:spacing w:before="68"/>
              <w:ind w:hanging="218"/>
              <w:rPr>
                <w:sz w:val="17"/>
              </w:rPr>
            </w:pPr>
            <w:r>
              <w:rPr>
                <w:color w:val="231F20"/>
                <w:sz w:val="17"/>
              </w:rPr>
              <w:t>Prevent</w:t>
            </w:r>
            <w:r>
              <w:rPr>
                <w:color w:val="231F20"/>
                <w:spacing w:val="5"/>
                <w:sz w:val="17"/>
              </w:rPr>
              <w:t xml:space="preserve"> </w:t>
            </w:r>
            <w:r>
              <w:rPr>
                <w:color w:val="231F20"/>
                <w:sz w:val="17"/>
              </w:rPr>
              <w:t>a</w:t>
            </w:r>
            <w:r>
              <w:rPr>
                <w:color w:val="231F20"/>
                <w:spacing w:val="6"/>
                <w:sz w:val="17"/>
              </w:rPr>
              <w:t xml:space="preserve"> </w:t>
            </w:r>
            <w:r>
              <w:rPr>
                <w:color w:val="231F20"/>
                <w:sz w:val="17"/>
              </w:rPr>
              <w:t>decline</w:t>
            </w:r>
            <w:r>
              <w:rPr>
                <w:color w:val="231F20"/>
                <w:spacing w:val="6"/>
                <w:sz w:val="17"/>
              </w:rPr>
              <w:t xml:space="preserve"> </w:t>
            </w:r>
            <w:r>
              <w:rPr>
                <w:color w:val="231F20"/>
                <w:sz w:val="17"/>
              </w:rPr>
              <w:t>in</w:t>
            </w:r>
            <w:r>
              <w:rPr>
                <w:color w:val="231F20"/>
                <w:spacing w:val="5"/>
                <w:sz w:val="17"/>
              </w:rPr>
              <w:t xml:space="preserve"> </w:t>
            </w:r>
            <w:r>
              <w:rPr>
                <w:color w:val="231F20"/>
                <w:sz w:val="17"/>
              </w:rPr>
              <w:t>water</w:t>
            </w:r>
            <w:r>
              <w:rPr>
                <w:color w:val="231F20"/>
                <w:spacing w:val="6"/>
                <w:sz w:val="17"/>
              </w:rPr>
              <w:t xml:space="preserve"> </w:t>
            </w:r>
            <w:r>
              <w:rPr>
                <w:color w:val="231F20"/>
                <w:sz w:val="17"/>
              </w:rPr>
              <w:t>quality</w:t>
            </w:r>
            <w:r>
              <w:rPr>
                <w:color w:val="231F20"/>
                <w:spacing w:val="6"/>
                <w:sz w:val="17"/>
              </w:rPr>
              <w:t xml:space="preserve"> </w:t>
            </w:r>
            <w:r>
              <w:rPr>
                <w:color w:val="231F20"/>
                <w:sz w:val="17"/>
              </w:rPr>
              <w:t>by</w:t>
            </w:r>
            <w:r>
              <w:rPr>
                <w:color w:val="231F20"/>
                <w:spacing w:val="5"/>
                <w:sz w:val="17"/>
              </w:rPr>
              <w:t xml:space="preserve"> </w:t>
            </w:r>
            <w:r>
              <w:rPr>
                <w:color w:val="231F20"/>
                <w:sz w:val="17"/>
              </w:rPr>
              <w:t>flushing</w:t>
            </w:r>
            <w:r>
              <w:rPr>
                <w:color w:val="231F20"/>
                <w:spacing w:val="6"/>
                <w:sz w:val="17"/>
              </w:rPr>
              <w:t xml:space="preserve"> </w:t>
            </w:r>
            <w:r>
              <w:rPr>
                <w:color w:val="231F20"/>
                <w:sz w:val="17"/>
              </w:rPr>
              <w:t>pools</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5"/>
                <w:sz w:val="17"/>
              </w:rPr>
              <w:t xml:space="preserve"> </w:t>
            </w:r>
            <w:r>
              <w:rPr>
                <w:color w:val="231F20"/>
                <w:sz w:val="17"/>
              </w:rPr>
              <w:t>low</w:t>
            </w:r>
            <w:r>
              <w:rPr>
                <w:color w:val="231F20"/>
                <w:spacing w:val="6"/>
                <w:sz w:val="17"/>
              </w:rPr>
              <w:t xml:space="preserve"> </w:t>
            </w:r>
            <w:r>
              <w:rPr>
                <w:color w:val="231F20"/>
                <w:sz w:val="17"/>
              </w:rPr>
              <w:t>flow</w:t>
            </w:r>
            <w:r>
              <w:rPr>
                <w:color w:val="231F20"/>
                <w:spacing w:val="6"/>
                <w:sz w:val="17"/>
              </w:rPr>
              <w:t xml:space="preserve"> </w:t>
            </w:r>
            <w:r>
              <w:rPr>
                <w:color w:val="231F20"/>
                <w:sz w:val="17"/>
              </w:rPr>
              <w:t>season</w:t>
            </w:r>
          </w:p>
          <w:p w:rsidR="006A7A3F" w:rsidRDefault="00BC7372">
            <w:pPr>
              <w:pStyle w:val="TableParagraph"/>
              <w:numPr>
                <w:ilvl w:val="0"/>
                <w:numId w:val="963"/>
              </w:numPr>
              <w:tabs>
                <w:tab w:val="left" w:pos="306"/>
              </w:tabs>
              <w:spacing w:before="89"/>
              <w:ind w:hanging="218"/>
              <w:rPr>
                <w:sz w:val="17"/>
              </w:rPr>
            </w:pPr>
            <w:r>
              <w:rPr>
                <w:color w:val="231F20"/>
                <w:sz w:val="17"/>
              </w:rPr>
              <w:t>Allow fish to move throughout the</w:t>
            </w:r>
            <w:r>
              <w:rPr>
                <w:color w:val="231F20"/>
                <w:spacing w:val="11"/>
                <w:sz w:val="17"/>
              </w:rPr>
              <w:t xml:space="preserve"> </w:t>
            </w:r>
            <w:r>
              <w:rPr>
                <w:color w:val="231F20"/>
                <w:sz w:val="17"/>
              </w:rPr>
              <w:t>reach</w:t>
            </w:r>
          </w:p>
          <w:p w:rsidR="006A7A3F" w:rsidRDefault="00BC7372">
            <w:pPr>
              <w:pStyle w:val="TableParagraph"/>
              <w:numPr>
                <w:ilvl w:val="0"/>
                <w:numId w:val="963"/>
              </w:numPr>
              <w:tabs>
                <w:tab w:val="left" w:pos="306"/>
              </w:tabs>
              <w:spacing w:before="90" w:line="244" w:lineRule="auto"/>
              <w:ind w:right="358"/>
              <w:rPr>
                <w:sz w:val="17"/>
              </w:rPr>
            </w:pPr>
            <w:r>
              <w:rPr>
                <w:color w:val="231F20"/>
                <w:sz w:val="17"/>
              </w:rPr>
              <w:t>Flush sediments from hard substrates to increase biofilm production and food for</w:t>
            </w:r>
            <w:r>
              <w:rPr>
                <w:color w:val="231F20"/>
                <w:spacing w:val="2"/>
                <w:sz w:val="17"/>
              </w:rPr>
              <w:t xml:space="preserve"> </w:t>
            </w:r>
            <w:r>
              <w:rPr>
                <w:color w:val="231F20"/>
                <w:sz w:val="17"/>
              </w:rPr>
              <w:t>waterbugs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94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94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2A56D0">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4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2A56D0">
        <w:trPr>
          <w:trHeight w:val="1227"/>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313"/>
              <w:rPr>
                <w:sz w:val="18"/>
              </w:rPr>
            </w:pPr>
            <w:r>
              <w:rPr>
                <w:color w:val="231F20"/>
                <w:sz w:val="18"/>
              </w:rPr>
              <w:t>Small winter/spring fresh (one to five freshes of 55 ML/day for three</w:t>
            </w:r>
            <w:r>
              <w:rPr>
                <w:color w:val="231F20"/>
                <w:spacing w:val="-2"/>
                <w:sz w:val="18"/>
              </w:rPr>
              <w:t xml:space="preserve"> </w:t>
            </w:r>
            <w:r>
              <w:rPr>
                <w:color w:val="231F20"/>
                <w:sz w:val="18"/>
              </w:rPr>
              <w:t>to</w:t>
            </w:r>
          </w:p>
          <w:p w:rsidR="006A7A3F" w:rsidRDefault="00BC7372">
            <w:pPr>
              <w:pStyle w:val="TableParagraph"/>
              <w:spacing w:before="2" w:line="254" w:lineRule="auto"/>
              <w:ind w:left="85" w:right="164"/>
              <w:rPr>
                <w:sz w:val="18"/>
              </w:rPr>
            </w:pPr>
            <w:r>
              <w:rPr>
                <w:color w:val="231F20"/>
                <w:sz w:val="18"/>
              </w:rPr>
              <w:t>seven days during June to November)</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2"/>
              </w:numPr>
              <w:tabs>
                <w:tab w:val="left" w:pos="306"/>
              </w:tabs>
              <w:spacing w:before="68"/>
              <w:ind w:hanging="218"/>
              <w:rPr>
                <w:sz w:val="17"/>
              </w:rPr>
            </w:pPr>
            <w:r>
              <w:rPr>
                <w:color w:val="231F20"/>
                <w:sz w:val="17"/>
              </w:rPr>
              <w:t>Allow fish to move throughout the</w:t>
            </w:r>
            <w:r>
              <w:rPr>
                <w:color w:val="231F20"/>
                <w:spacing w:val="11"/>
                <w:sz w:val="17"/>
              </w:rPr>
              <w:t xml:space="preserve"> </w:t>
            </w:r>
            <w:r>
              <w:rPr>
                <w:color w:val="231F20"/>
                <w:sz w:val="17"/>
              </w:rPr>
              <w:t>reach</w:t>
            </w:r>
          </w:p>
          <w:p w:rsidR="006A7A3F" w:rsidRDefault="00BC7372">
            <w:pPr>
              <w:pStyle w:val="TableParagraph"/>
              <w:numPr>
                <w:ilvl w:val="0"/>
                <w:numId w:val="962"/>
              </w:numPr>
              <w:tabs>
                <w:tab w:val="left" w:pos="306"/>
              </w:tabs>
              <w:spacing w:before="89" w:line="244" w:lineRule="auto"/>
              <w:ind w:right="358"/>
              <w:rPr>
                <w:sz w:val="17"/>
              </w:rPr>
            </w:pPr>
            <w:r>
              <w:rPr>
                <w:color w:val="231F20"/>
                <w:sz w:val="17"/>
              </w:rPr>
              <w:t>Flush sediments from hard substrates to increase biofilm production and food for</w:t>
            </w:r>
            <w:r>
              <w:rPr>
                <w:color w:val="231F20"/>
                <w:spacing w:val="2"/>
                <w:sz w:val="17"/>
              </w:rPr>
              <w:t xml:space="preserve"> </w:t>
            </w:r>
            <w:r>
              <w:rPr>
                <w:color w:val="231F20"/>
                <w:sz w:val="17"/>
              </w:rPr>
              <w:t>waterbugs</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6"/>
                  <wp:effectExtent l="0" t="0" r="0" b="0"/>
                  <wp:docPr id="95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6"/>
                  <wp:effectExtent l="0" t="0" r="0" b="0"/>
                  <wp:docPr id="95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34"/>
              <w:rPr>
                <w:sz w:val="18"/>
              </w:rPr>
            </w:pPr>
            <w:r>
              <w:rPr>
                <w:color w:val="231F20"/>
                <w:sz w:val="18"/>
              </w:rPr>
              <w:t>Large winter/spring fresh (one to three freshes of 160 ML/day for one to three days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1"/>
              </w:numPr>
              <w:tabs>
                <w:tab w:val="left" w:pos="306"/>
              </w:tabs>
              <w:spacing w:before="68" w:line="244" w:lineRule="auto"/>
              <w:ind w:right="195"/>
              <w:rPr>
                <w:sz w:val="17"/>
              </w:rPr>
            </w:pPr>
            <w:r>
              <w:rPr>
                <w:color w:val="231F20"/>
                <w:sz w:val="17"/>
              </w:rPr>
              <w:t>Disturb biofilms present on rocks or woody debris, to stimulate new growth and provide food for</w:t>
            </w:r>
            <w:r>
              <w:rPr>
                <w:color w:val="231F20"/>
                <w:spacing w:val="5"/>
                <w:sz w:val="17"/>
              </w:rPr>
              <w:t xml:space="preserve"> </w:t>
            </w:r>
            <w:r>
              <w:rPr>
                <w:color w:val="231F20"/>
                <w:sz w:val="17"/>
              </w:rPr>
              <w:t>waterbugs</w:t>
            </w:r>
          </w:p>
          <w:p w:rsidR="006A7A3F" w:rsidRDefault="00BC7372">
            <w:pPr>
              <w:pStyle w:val="TableParagraph"/>
              <w:numPr>
                <w:ilvl w:val="0"/>
                <w:numId w:val="961"/>
              </w:numPr>
              <w:tabs>
                <w:tab w:val="left" w:pos="306"/>
              </w:tabs>
              <w:spacing w:before="86"/>
              <w:ind w:hanging="218"/>
              <w:rPr>
                <w:sz w:val="17"/>
              </w:rPr>
            </w:pPr>
            <w:r>
              <w:rPr>
                <w:color w:val="231F20"/>
                <w:sz w:val="17"/>
              </w:rPr>
              <w:t>Allow fish to move throughout the</w:t>
            </w:r>
            <w:r>
              <w:rPr>
                <w:color w:val="231F20"/>
                <w:spacing w:val="11"/>
                <w:sz w:val="17"/>
              </w:rPr>
              <w:t xml:space="preserve"> </w:t>
            </w:r>
            <w:r>
              <w:rPr>
                <w:color w:val="231F20"/>
                <w:sz w:val="17"/>
              </w:rPr>
              <w:t>reach</w:t>
            </w:r>
          </w:p>
          <w:p w:rsidR="006A7A3F" w:rsidRDefault="00BC7372">
            <w:pPr>
              <w:pStyle w:val="TableParagraph"/>
              <w:numPr>
                <w:ilvl w:val="0"/>
                <w:numId w:val="961"/>
              </w:numPr>
              <w:tabs>
                <w:tab w:val="left" w:pos="306"/>
              </w:tabs>
              <w:spacing w:before="90" w:line="244" w:lineRule="auto"/>
              <w:ind w:right="766"/>
              <w:rPr>
                <w:sz w:val="17"/>
              </w:rPr>
            </w:pPr>
            <w:r>
              <w:rPr>
                <w:color w:val="231F20"/>
                <w:sz w:val="17"/>
              </w:rPr>
              <w:t>Wet streamside vegetation to maintain plant condition and facilitate recruitment</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95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95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rsidTr="002A56D0">
        <w:trPr>
          <w:trHeight w:val="68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7" cy="310896"/>
                  <wp:effectExtent l="0" t="0" r="0" b="0"/>
                  <wp:docPr id="95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2A56D0">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Lower Burnt Creek</w:t>
            </w: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114"/>
              <w:rPr>
                <w:sz w:val="18"/>
              </w:rPr>
            </w:pPr>
            <w:r>
              <w:rPr>
                <w:color w:val="231F20"/>
                <w:sz w:val="18"/>
              </w:rPr>
              <w:t>Bankfull fresh (one fresh of 45 ML/day for two days at any time)</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60"/>
              </w:numPr>
              <w:tabs>
                <w:tab w:val="left" w:pos="306"/>
              </w:tabs>
              <w:spacing w:before="68" w:line="244" w:lineRule="auto"/>
              <w:ind w:right="766"/>
              <w:rPr>
                <w:sz w:val="17"/>
              </w:rPr>
            </w:pPr>
            <w:r>
              <w:rPr>
                <w:color w:val="231F20"/>
                <w:sz w:val="17"/>
              </w:rPr>
              <w:t>Wet streamside vegetation to maintain plant condition and facilitate recruitment</w:t>
            </w:r>
          </w:p>
          <w:p w:rsidR="006A7A3F" w:rsidRDefault="00BC7372">
            <w:pPr>
              <w:pStyle w:val="TableParagraph"/>
              <w:numPr>
                <w:ilvl w:val="0"/>
                <w:numId w:val="960"/>
              </w:numPr>
              <w:tabs>
                <w:tab w:val="left" w:pos="306"/>
              </w:tabs>
              <w:spacing w:before="86"/>
              <w:ind w:hanging="218"/>
              <w:rPr>
                <w:sz w:val="17"/>
              </w:rPr>
            </w:pPr>
            <w:r>
              <w:rPr>
                <w:color w:val="231F20"/>
                <w:sz w:val="17"/>
              </w:rPr>
              <w:t>Move organic debris in the channel to support</w:t>
            </w:r>
            <w:r>
              <w:rPr>
                <w:color w:val="231F20"/>
                <w:spacing w:val="21"/>
                <w:sz w:val="17"/>
              </w:rPr>
              <w:t xml:space="preserve"> </w:t>
            </w:r>
            <w:r>
              <w:rPr>
                <w:color w:val="231F20"/>
                <w:sz w:val="17"/>
              </w:rPr>
              <w:t>waterbugs</w:t>
            </w:r>
          </w:p>
          <w:p w:rsidR="006A7A3F" w:rsidRDefault="00BC7372">
            <w:pPr>
              <w:pStyle w:val="TableParagraph"/>
              <w:numPr>
                <w:ilvl w:val="0"/>
                <w:numId w:val="960"/>
              </w:numPr>
              <w:tabs>
                <w:tab w:val="left" w:pos="306"/>
              </w:tabs>
              <w:spacing w:before="90"/>
              <w:ind w:hanging="218"/>
              <w:rPr>
                <w:sz w:val="17"/>
              </w:rPr>
            </w:pPr>
            <w:r>
              <w:rPr>
                <w:color w:val="231F20"/>
                <w:sz w:val="17"/>
              </w:rPr>
              <w:t>Maintain the structural integrity of the</w:t>
            </w:r>
            <w:r>
              <w:rPr>
                <w:color w:val="231F20"/>
                <w:spacing w:val="12"/>
                <w:sz w:val="17"/>
              </w:rPr>
              <w:t xml:space="preserve"> </w:t>
            </w:r>
            <w:r>
              <w:rPr>
                <w:color w:val="231F20"/>
                <w:sz w:val="17"/>
              </w:rPr>
              <w:t>channel</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96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96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rsidTr="002A56D0">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7" cy="310896"/>
                  <wp:effectExtent l="0" t="0" r="0" b="0"/>
                  <wp:docPr id="96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64"/>
              <w:rPr>
                <w:sz w:val="18"/>
              </w:rPr>
            </w:pPr>
            <w:r>
              <w:rPr>
                <w:color w:val="231F20"/>
                <w:sz w:val="18"/>
              </w:rPr>
              <w:t>Overbank fresh (one fresh of 90 ML/day for one day during August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59"/>
              </w:numPr>
              <w:tabs>
                <w:tab w:val="left" w:pos="306"/>
              </w:tabs>
              <w:spacing w:before="68" w:line="244" w:lineRule="auto"/>
              <w:ind w:right="872"/>
              <w:rPr>
                <w:sz w:val="17"/>
              </w:rPr>
            </w:pPr>
            <w:r>
              <w:rPr>
                <w:color w:val="231F20"/>
                <w:sz w:val="17"/>
              </w:rPr>
              <w:t>Wet floodplain vegetation to maintain plant condition and facilitate recruitment</w:t>
            </w:r>
          </w:p>
          <w:p w:rsidR="006A7A3F" w:rsidRDefault="00BC7372">
            <w:pPr>
              <w:pStyle w:val="TableParagraph"/>
              <w:numPr>
                <w:ilvl w:val="0"/>
                <w:numId w:val="959"/>
              </w:numPr>
              <w:tabs>
                <w:tab w:val="left" w:pos="306"/>
              </w:tabs>
              <w:spacing w:before="86"/>
              <w:ind w:hanging="218"/>
              <w:rPr>
                <w:sz w:val="17"/>
              </w:rPr>
            </w:pPr>
            <w:r>
              <w:rPr>
                <w:color w:val="231F20"/>
                <w:sz w:val="17"/>
              </w:rPr>
              <w:t>Move</w:t>
            </w:r>
            <w:r>
              <w:rPr>
                <w:color w:val="231F20"/>
                <w:spacing w:val="6"/>
                <w:sz w:val="17"/>
              </w:rPr>
              <w:t xml:space="preserve"> </w:t>
            </w:r>
            <w:r>
              <w:rPr>
                <w:color w:val="231F20"/>
                <w:sz w:val="17"/>
              </w:rPr>
              <w:t>organic</w:t>
            </w:r>
            <w:r>
              <w:rPr>
                <w:color w:val="231F20"/>
                <w:spacing w:val="6"/>
                <w:sz w:val="17"/>
              </w:rPr>
              <w:t xml:space="preserve"> </w:t>
            </w:r>
            <w:r>
              <w:rPr>
                <w:color w:val="231F20"/>
                <w:sz w:val="17"/>
              </w:rPr>
              <w:t>debris</w:t>
            </w:r>
            <w:r>
              <w:rPr>
                <w:color w:val="231F20"/>
                <w:spacing w:val="7"/>
                <w:sz w:val="17"/>
              </w:rPr>
              <w:t xml:space="preserve"> </w:t>
            </w:r>
            <w:r>
              <w:rPr>
                <w:color w:val="231F20"/>
                <w:sz w:val="17"/>
              </w:rPr>
              <w:t>from</w:t>
            </w:r>
            <w:r>
              <w:rPr>
                <w:color w:val="231F20"/>
                <w:spacing w:val="6"/>
                <w:sz w:val="17"/>
              </w:rPr>
              <w:t xml:space="preserve"> </w:t>
            </w:r>
            <w:r>
              <w:rPr>
                <w:color w:val="231F20"/>
                <w:sz w:val="17"/>
              </w:rPr>
              <w:t>the</w:t>
            </w:r>
            <w:r>
              <w:rPr>
                <w:color w:val="231F20"/>
                <w:spacing w:val="7"/>
                <w:sz w:val="17"/>
              </w:rPr>
              <w:t xml:space="preserve"> </w:t>
            </w:r>
            <w:r>
              <w:rPr>
                <w:color w:val="231F20"/>
                <w:sz w:val="17"/>
              </w:rPr>
              <w:t>floodplain</w:t>
            </w:r>
            <w:r>
              <w:rPr>
                <w:color w:val="231F20"/>
                <w:spacing w:val="6"/>
                <w:sz w:val="17"/>
              </w:rPr>
              <w:t xml:space="preserve"> </w:t>
            </w:r>
            <w:r>
              <w:rPr>
                <w:color w:val="231F20"/>
                <w:sz w:val="17"/>
              </w:rPr>
              <w:t>to</w:t>
            </w:r>
            <w:r>
              <w:rPr>
                <w:color w:val="231F20"/>
                <w:spacing w:val="6"/>
                <w:sz w:val="17"/>
              </w:rPr>
              <w:t xml:space="preserve"> </w:t>
            </w:r>
            <w:r>
              <w:rPr>
                <w:color w:val="231F20"/>
                <w:sz w:val="17"/>
              </w:rPr>
              <w:t>support</w:t>
            </w:r>
            <w:r>
              <w:rPr>
                <w:color w:val="231F20"/>
                <w:spacing w:val="7"/>
                <w:sz w:val="17"/>
              </w:rPr>
              <w:t xml:space="preserve"> </w:t>
            </w:r>
            <w:r>
              <w:rPr>
                <w:color w:val="231F20"/>
                <w:sz w:val="17"/>
              </w:rPr>
              <w:t>waterbugs</w:t>
            </w:r>
            <w:r>
              <w:rPr>
                <w:color w:val="231F20"/>
                <w:spacing w:val="6"/>
                <w:sz w:val="17"/>
              </w:rPr>
              <w:t xml:space="preserve"> </w:t>
            </w:r>
            <w:r>
              <w:rPr>
                <w:color w:val="231F20"/>
                <w:sz w:val="17"/>
              </w:rPr>
              <w:t>in</w:t>
            </w:r>
            <w:r>
              <w:rPr>
                <w:color w:val="231F20"/>
                <w:spacing w:val="7"/>
                <w:sz w:val="17"/>
              </w:rPr>
              <w:t xml:space="preserve"> </w:t>
            </w:r>
            <w:r>
              <w:rPr>
                <w:color w:val="231F20"/>
                <w:sz w:val="17"/>
              </w:rPr>
              <w:t>channel</w:t>
            </w:r>
          </w:p>
          <w:p w:rsidR="006A7A3F" w:rsidRDefault="00BC7372">
            <w:pPr>
              <w:pStyle w:val="TableParagraph"/>
              <w:numPr>
                <w:ilvl w:val="0"/>
                <w:numId w:val="959"/>
              </w:numPr>
              <w:tabs>
                <w:tab w:val="left" w:pos="306"/>
              </w:tabs>
              <w:spacing w:before="90"/>
              <w:ind w:hanging="218"/>
              <w:rPr>
                <w:sz w:val="17"/>
              </w:rPr>
            </w:pPr>
            <w:r>
              <w:rPr>
                <w:color w:val="231F20"/>
                <w:sz w:val="17"/>
              </w:rPr>
              <w:t>Maintain the structural integrity of the</w:t>
            </w:r>
            <w:r>
              <w:rPr>
                <w:color w:val="231F20"/>
                <w:spacing w:val="13"/>
                <w:sz w:val="17"/>
              </w:rPr>
              <w:t xml:space="preserve"> </w:t>
            </w:r>
            <w:r>
              <w:rPr>
                <w:color w:val="231F20"/>
                <w:sz w:val="17"/>
              </w:rPr>
              <w:t>floodplain</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6"/>
                  <wp:effectExtent l="0" t="0" r="0" b="0"/>
                  <wp:docPr id="967"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20.jpeg"/>
                          <pic:cNvPicPr/>
                        </pic:nvPicPr>
                        <pic:blipFill>
                          <a:blip r:embed="rId32"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6"/>
                  <wp:effectExtent l="0" t="0" r="0" b="0"/>
                  <wp:docPr id="96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6A7A3F" w:rsidTr="002A56D0">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2" cy="310895"/>
                  <wp:effectExtent l="0" t="0" r="0" b="0"/>
                  <wp:docPr id="97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22.jpeg"/>
                          <pic:cNvPicPr/>
                        </pic:nvPicPr>
                        <pic:blipFill>
                          <a:blip r:embed="rId34" cstate="print"/>
                          <a:stretch>
                            <a:fillRect/>
                          </a:stretch>
                        </pic:blipFill>
                        <pic:spPr>
                          <a:xfrm>
                            <a:off x="0" y="0"/>
                            <a:ext cx="314172"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2A56D0">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Bungalally Creek</w:t>
            </w:r>
          </w:p>
        </w:tc>
      </w:tr>
      <w:tr w:rsidR="006A7A3F" w:rsidTr="002A56D0">
        <w:trPr>
          <w:trHeight w:val="1028"/>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114"/>
              <w:rPr>
                <w:sz w:val="18"/>
              </w:rPr>
            </w:pPr>
            <w:r>
              <w:rPr>
                <w:color w:val="231F20"/>
                <w:sz w:val="18"/>
              </w:rPr>
              <w:t>Bankfull (one fresh of 60 ML/day for two days at any time)</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58"/>
              </w:numPr>
              <w:tabs>
                <w:tab w:val="left" w:pos="306"/>
              </w:tabs>
              <w:spacing w:before="68" w:line="244" w:lineRule="auto"/>
              <w:ind w:right="814"/>
              <w:rPr>
                <w:sz w:val="17"/>
              </w:rPr>
            </w:pPr>
            <w:r>
              <w:rPr>
                <w:color w:val="231F20"/>
                <w:sz w:val="17"/>
              </w:rPr>
              <w:t>Wet the streamside zone to maintain its condition and facilitate the recruitment of streamside vegetation</w:t>
            </w:r>
            <w:r>
              <w:rPr>
                <w:color w:val="231F20"/>
                <w:spacing w:val="14"/>
                <w:sz w:val="17"/>
              </w:rPr>
              <w:t xml:space="preserve"> </w:t>
            </w:r>
            <w:r>
              <w:rPr>
                <w:color w:val="231F20"/>
                <w:sz w:val="17"/>
              </w:rPr>
              <w:t>communities</w:t>
            </w:r>
          </w:p>
          <w:p w:rsidR="006A7A3F" w:rsidRDefault="00BC7372">
            <w:pPr>
              <w:pStyle w:val="TableParagraph"/>
              <w:numPr>
                <w:ilvl w:val="0"/>
                <w:numId w:val="958"/>
              </w:numPr>
              <w:tabs>
                <w:tab w:val="left" w:pos="306"/>
              </w:tabs>
              <w:spacing w:before="86" w:line="244" w:lineRule="auto"/>
              <w:ind w:right="599"/>
              <w:rPr>
                <w:sz w:val="17"/>
              </w:rPr>
            </w:pPr>
            <w:r>
              <w:rPr>
                <w:color w:val="231F20"/>
                <w:sz w:val="17"/>
              </w:rPr>
              <w:t>Maintain the structural integrity of the channel and prevent the loss of channel</w:t>
            </w:r>
            <w:r>
              <w:rPr>
                <w:color w:val="231F20"/>
                <w:spacing w:val="1"/>
                <w:sz w:val="17"/>
              </w:rPr>
              <w:t xml:space="preserve"> </w:t>
            </w:r>
            <w:r>
              <w:rPr>
                <w:color w:val="231F20"/>
                <w:sz w:val="17"/>
              </w:rPr>
              <w:t>capacity</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5"/>
                  <wp:effectExtent l="0" t="0" r="0" b="0"/>
                  <wp:docPr id="97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20.jpeg"/>
                          <pic:cNvPicPr/>
                        </pic:nvPicPr>
                        <pic:blipFill>
                          <a:blip r:embed="rId32" cstate="print"/>
                          <a:stretch>
                            <a:fillRect/>
                          </a:stretch>
                        </pic:blipFill>
                        <pic:spPr>
                          <a:xfrm>
                            <a:off x="0" y="0"/>
                            <a:ext cx="314177" cy="310895"/>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5"/>
                  <wp:effectExtent l="0" t="0" r="0" b="0"/>
                  <wp:docPr id="97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21.jpeg"/>
                          <pic:cNvPicPr/>
                        </pic:nvPicPr>
                        <pic:blipFill>
                          <a:blip r:embed="rId33" cstate="print"/>
                          <a:stretch>
                            <a:fillRect/>
                          </a:stretch>
                        </pic:blipFill>
                        <pic:spPr>
                          <a:xfrm>
                            <a:off x="0" y="0"/>
                            <a:ext cx="314177" cy="310895"/>
                          </a:xfrm>
                          <a:prstGeom prst="rect">
                            <a:avLst/>
                          </a:prstGeom>
                        </pic:spPr>
                      </pic:pic>
                    </a:graphicData>
                  </a:graphic>
                </wp:inline>
              </w:drawing>
            </w:r>
          </w:p>
        </w:tc>
      </w:tr>
      <w:tr w:rsidR="006A7A3F" w:rsidTr="002A56D0">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Upper Mount William Creek</w:t>
            </w:r>
          </w:p>
        </w:tc>
      </w:tr>
      <w:tr w:rsidR="006A7A3F" w:rsidTr="002A56D0">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Pr>
                <w:sz w:val="18"/>
              </w:rPr>
            </w:pPr>
            <w:r>
              <w:rPr>
                <w:color w:val="231F20"/>
                <w:sz w:val="18"/>
              </w:rPr>
              <w:t>Top-up pools (winter/spring and summer/autumn)</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57"/>
              </w:numPr>
              <w:tabs>
                <w:tab w:val="left" w:pos="306"/>
              </w:tabs>
              <w:spacing w:before="68"/>
              <w:ind w:hanging="218"/>
              <w:rPr>
                <w:sz w:val="17"/>
              </w:rPr>
            </w:pPr>
            <w:r>
              <w:rPr>
                <w:color w:val="231F20"/>
                <w:sz w:val="17"/>
              </w:rPr>
              <w:t>Maintain habitat for native fish and</w:t>
            </w:r>
            <w:r>
              <w:rPr>
                <w:color w:val="231F20"/>
                <w:spacing w:val="11"/>
                <w:sz w:val="17"/>
              </w:rPr>
              <w:t xml:space="preserve"> </w:t>
            </w:r>
            <w:r>
              <w:rPr>
                <w:color w:val="231F20"/>
                <w:sz w:val="17"/>
              </w:rPr>
              <w:t>waterbugs</w:t>
            </w:r>
          </w:p>
          <w:p w:rsidR="006A7A3F" w:rsidRDefault="00BC7372">
            <w:pPr>
              <w:pStyle w:val="TableParagraph"/>
              <w:numPr>
                <w:ilvl w:val="0"/>
                <w:numId w:val="957"/>
              </w:numPr>
              <w:tabs>
                <w:tab w:val="left" w:pos="306"/>
              </w:tabs>
              <w:spacing w:before="89"/>
              <w:ind w:hanging="218"/>
              <w:rPr>
                <w:sz w:val="17"/>
              </w:rPr>
            </w:pPr>
            <w:r>
              <w:rPr>
                <w:color w:val="231F20"/>
                <w:sz w:val="17"/>
              </w:rPr>
              <w:t>Maintain water</w:t>
            </w:r>
            <w:r>
              <w:rPr>
                <w:color w:val="231F20"/>
                <w:spacing w:val="2"/>
                <w:sz w:val="17"/>
              </w:rPr>
              <w:t xml:space="preserve"> </w:t>
            </w:r>
            <w:r>
              <w:rPr>
                <w:color w:val="231F20"/>
                <w:sz w:val="17"/>
              </w:rPr>
              <w:t>quality</w:t>
            </w:r>
          </w:p>
          <w:p w:rsidR="006A7A3F" w:rsidRDefault="00BC7372">
            <w:pPr>
              <w:pStyle w:val="TableParagraph"/>
              <w:numPr>
                <w:ilvl w:val="0"/>
                <w:numId w:val="957"/>
              </w:numPr>
              <w:tabs>
                <w:tab w:val="left" w:pos="306"/>
              </w:tabs>
              <w:spacing w:before="90"/>
              <w:ind w:hanging="218"/>
              <w:rPr>
                <w:sz w:val="17"/>
              </w:rPr>
            </w:pPr>
            <w:r>
              <w:rPr>
                <w:color w:val="231F20"/>
                <w:sz w:val="17"/>
              </w:rPr>
              <w:t>Trigger native fish</w:t>
            </w:r>
            <w:r>
              <w:rPr>
                <w:color w:val="231F20"/>
                <w:spacing w:val="4"/>
                <w:sz w:val="17"/>
              </w:rPr>
              <w:t xml:space="preserve"> </w:t>
            </w:r>
            <w:r>
              <w:rPr>
                <w:color w:val="231F20"/>
                <w:sz w:val="17"/>
              </w:rPr>
              <w:t>spawning</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2" cy="310895"/>
                  <wp:effectExtent l="0" t="0" r="0" b="0"/>
                  <wp:docPr id="97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9.jpeg"/>
                          <pic:cNvPicPr/>
                        </pic:nvPicPr>
                        <pic:blipFill>
                          <a:blip r:embed="rId31" cstate="print"/>
                          <a:stretch>
                            <a:fillRect/>
                          </a:stretch>
                        </pic:blipFill>
                        <pic:spPr>
                          <a:xfrm>
                            <a:off x="0" y="0"/>
                            <a:ext cx="314172"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2" cy="310895"/>
                  <wp:effectExtent l="0" t="0" r="0" b="0"/>
                  <wp:docPr id="97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22.jpeg"/>
                          <pic:cNvPicPr/>
                        </pic:nvPicPr>
                        <pic:blipFill>
                          <a:blip r:embed="rId34" cstate="print"/>
                          <a:stretch>
                            <a:fillRect/>
                          </a:stretch>
                        </pic:blipFill>
                        <pic:spPr>
                          <a:xfrm>
                            <a:off x="0" y="0"/>
                            <a:ext cx="314172" cy="310895"/>
                          </a:xfrm>
                          <a:prstGeom prst="rect">
                            <a:avLst/>
                          </a:prstGeom>
                        </pic:spPr>
                      </pic:pic>
                    </a:graphicData>
                  </a:graphic>
                </wp:inline>
              </w:drawing>
            </w:r>
          </w:p>
        </w:tc>
      </w:tr>
      <w:tr w:rsidR="006A7A3F" w:rsidTr="002A56D0">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8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2A56D0">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Lower Mount William Creek</w:t>
            </w:r>
          </w:p>
        </w:tc>
      </w:tr>
    </w:tbl>
    <w:p w:rsidR="006A7A3F" w:rsidRDefault="006A7A3F">
      <w:pPr>
        <w:rPr>
          <w:sz w:val="18"/>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169"/>
              <w:rPr>
                <w:sz w:val="18"/>
              </w:rPr>
            </w:pPr>
            <w:r>
              <w:rPr>
                <w:color w:val="231F20"/>
                <w:sz w:val="18"/>
              </w:rPr>
              <w:t>Year-round low flow (five ML/day or natural)</w:t>
            </w:r>
          </w:p>
        </w:tc>
        <w:tc>
          <w:tcPr>
            <w:tcW w:w="6236" w:type="dxa"/>
            <w:vMerge w:val="restart"/>
            <w:tcBorders>
              <w:top w:val="nil"/>
              <w:left w:val="single" w:sz="4" w:space="0" w:color="231F20"/>
              <w:bottom w:val="single" w:sz="4" w:space="0" w:color="231F20"/>
              <w:right w:val="single" w:sz="4" w:space="0" w:color="231F20"/>
            </w:tcBorders>
          </w:tcPr>
          <w:p w:rsidR="006A7A3F" w:rsidRDefault="00BC7372">
            <w:pPr>
              <w:pStyle w:val="TableParagraph"/>
              <w:numPr>
                <w:ilvl w:val="0"/>
                <w:numId w:val="956"/>
              </w:numPr>
              <w:tabs>
                <w:tab w:val="left" w:pos="306"/>
              </w:tabs>
              <w:spacing w:before="68" w:line="244" w:lineRule="auto"/>
              <w:ind w:right="706"/>
              <w:rPr>
                <w:sz w:val="17"/>
              </w:rPr>
            </w:pPr>
            <w:r>
              <w:rPr>
                <w:color w:val="231F20"/>
                <w:sz w:val="17"/>
              </w:rPr>
              <w:t>Maintain edge habitats and shallow-water habitat for waterbugs and endemic</w:t>
            </w:r>
            <w:r>
              <w:rPr>
                <w:color w:val="231F20"/>
                <w:spacing w:val="1"/>
                <w:sz w:val="17"/>
              </w:rPr>
              <w:t xml:space="preserve"> </w:t>
            </w:r>
            <w:r>
              <w:rPr>
                <w:color w:val="231F20"/>
                <w:sz w:val="17"/>
              </w:rPr>
              <w:t>fish</w:t>
            </w:r>
          </w:p>
          <w:p w:rsidR="006A7A3F" w:rsidRDefault="00BC7372">
            <w:pPr>
              <w:pStyle w:val="TableParagraph"/>
              <w:numPr>
                <w:ilvl w:val="0"/>
                <w:numId w:val="956"/>
              </w:numPr>
              <w:tabs>
                <w:tab w:val="left" w:pos="306"/>
              </w:tabs>
              <w:spacing w:before="86" w:line="244" w:lineRule="auto"/>
              <w:ind w:right="241"/>
              <w:rPr>
                <w:sz w:val="17"/>
              </w:rPr>
            </w:pPr>
            <w:r>
              <w:rPr>
                <w:color w:val="231F20"/>
                <w:sz w:val="17"/>
              </w:rPr>
              <w:t>Maintain soil moisture for streamside vegetation and near-permanent wetted stream channel for aquatic vegetation and to prevent the growth of terrestrial plants in the stream</w:t>
            </w:r>
            <w:r>
              <w:rPr>
                <w:color w:val="231F20"/>
                <w:spacing w:val="8"/>
                <w:sz w:val="17"/>
              </w:rPr>
              <w:t xml:space="preserve"> </w:t>
            </w:r>
            <w:r>
              <w:rPr>
                <w:color w:val="231F20"/>
                <w:sz w:val="17"/>
              </w:rPr>
              <w:t>bed</w:t>
            </w:r>
          </w:p>
        </w:tc>
        <w:tc>
          <w:tcPr>
            <w:tcW w:w="850"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98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98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8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94"/>
              <w:rPr>
                <w:sz w:val="18"/>
              </w:rPr>
            </w:pPr>
            <w:r>
              <w:rPr>
                <w:color w:val="231F20"/>
                <w:sz w:val="18"/>
              </w:rPr>
              <w:t>Summer/autumn freshes (three freshes of 20-30 ML/ day for two to seven days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55"/>
              </w:numPr>
              <w:tabs>
                <w:tab w:val="left" w:pos="306"/>
              </w:tabs>
              <w:spacing w:before="68"/>
              <w:ind w:hanging="218"/>
              <w:rPr>
                <w:sz w:val="17"/>
              </w:rPr>
            </w:pPr>
            <w:r>
              <w:rPr>
                <w:color w:val="231F20"/>
                <w:sz w:val="17"/>
              </w:rPr>
              <w:t>Prevent a decline in water quality by flushing pools during low</w:t>
            </w:r>
            <w:r>
              <w:rPr>
                <w:color w:val="231F20"/>
                <w:spacing w:val="40"/>
                <w:sz w:val="17"/>
              </w:rPr>
              <w:t xml:space="preserve"> </w:t>
            </w:r>
            <w:r>
              <w:rPr>
                <w:color w:val="231F20"/>
                <w:sz w:val="17"/>
              </w:rPr>
              <w:t>flow</w:t>
            </w:r>
          </w:p>
          <w:p w:rsidR="006A7A3F" w:rsidRDefault="00BC7372">
            <w:pPr>
              <w:pStyle w:val="TableParagraph"/>
              <w:numPr>
                <w:ilvl w:val="0"/>
                <w:numId w:val="955"/>
              </w:numPr>
              <w:tabs>
                <w:tab w:val="left" w:pos="306"/>
              </w:tabs>
              <w:spacing w:before="89" w:line="244" w:lineRule="auto"/>
              <w:ind w:right="262"/>
              <w:rPr>
                <w:sz w:val="17"/>
              </w:rPr>
            </w:pPr>
            <w:r>
              <w:rPr>
                <w:color w:val="231F20"/>
                <w:sz w:val="17"/>
              </w:rPr>
              <w:t>Provide variable flows and increase habitat availability during the low-flow season for waterbugs and</w:t>
            </w:r>
            <w:r>
              <w:rPr>
                <w:color w:val="231F20"/>
                <w:spacing w:val="6"/>
                <w:sz w:val="17"/>
              </w:rPr>
              <w:t xml:space="preserve"> </w:t>
            </w:r>
            <w:r>
              <w:rPr>
                <w:color w:val="231F20"/>
                <w:sz w:val="17"/>
              </w:rPr>
              <w:t>fish</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98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99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9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03"/>
              <w:rPr>
                <w:sz w:val="18"/>
              </w:rPr>
            </w:pPr>
            <w:r>
              <w:rPr>
                <w:color w:val="231F20"/>
                <w:sz w:val="18"/>
              </w:rPr>
              <w:t>Winter/spring fresh (one to five freshes of 100 ML/ day for one to seven days during June to</w:t>
            </w:r>
            <w:r>
              <w:rPr>
                <w:color w:val="231F20"/>
                <w:spacing w:val="-14"/>
                <w:sz w:val="18"/>
              </w:rPr>
              <w:t xml:space="preserve"> </w:t>
            </w:r>
            <w:r>
              <w:rPr>
                <w:color w:val="231F20"/>
                <w:sz w:val="18"/>
              </w:rPr>
              <w:t>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54"/>
              </w:numPr>
              <w:tabs>
                <w:tab w:val="left" w:pos="306"/>
              </w:tabs>
              <w:spacing w:before="68" w:line="244" w:lineRule="auto"/>
              <w:ind w:right="276"/>
              <w:rPr>
                <w:sz w:val="17"/>
              </w:rPr>
            </w:pPr>
            <w:r>
              <w:rPr>
                <w:color w:val="231F20"/>
                <w:sz w:val="17"/>
              </w:rPr>
              <w:t>Wet benches to entrain organic debris and increase habitat availability for native</w:t>
            </w:r>
            <w:r>
              <w:rPr>
                <w:color w:val="231F20"/>
                <w:spacing w:val="1"/>
                <w:sz w:val="17"/>
              </w:rPr>
              <w:t xml:space="preserve"> </w:t>
            </w:r>
            <w:r>
              <w:rPr>
                <w:color w:val="231F20"/>
                <w:sz w:val="17"/>
              </w:rPr>
              <w:t>fish</w:t>
            </w:r>
          </w:p>
          <w:p w:rsidR="006A7A3F" w:rsidRDefault="00BC7372">
            <w:pPr>
              <w:pStyle w:val="TableParagraph"/>
              <w:numPr>
                <w:ilvl w:val="0"/>
                <w:numId w:val="954"/>
              </w:numPr>
              <w:tabs>
                <w:tab w:val="left" w:pos="306"/>
              </w:tabs>
              <w:spacing w:before="86"/>
              <w:ind w:hanging="218"/>
              <w:rPr>
                <w:sz w:val="17"/>
              </w:rPr>
            </w:pPr>
            <w:r>
              <w:rPr>
                <w:color w:val="231F20"/>
                <w:sz w:val="17"/>
              </w:rPr>
              <w:t>Flush surface sediments from hard substrates to support</w:t>
            </w:r>
            <w:r>
              <w:rPr>
                <w:color w:val="231F20"/>
                <w:spacing w:val="42"/>
                <w:sz w:val="17"/>
              </w:rPr>
              <w:t xml:space="preserve"> </w:t>
            </w:r>
            <w:r>
              <w:rPr>
                <w:color w:val="231F20"/>
                <w:sz w:val="17"/>
              </w:rPr>
              <w:t>waterbugs</w:t>
            </w:r>
          </w:p>
          <w:p w:rsidR="006A7A3F" w:rsidRDefault="00BC7372">
            <w:pPr>
              <w:pStyle w:val="TableParagraph"/>
              <w:numPr>
                <w:ilvl w:val="0"/>
                <w:numId w:val="954"/>
              </w:numPr>
              <w:tabs>
                <w:tab w:val="left" w:pos="306"/>
              </w:tabs>
              <w:spacing w:before="90" w:line="244" w:lineRule="auto"/>
              <w:ind w:right="814"/>
              <w:rPr>
                <w:sz w:val="17"/>
              </w:rPr>
            </w:pPr>
            <w:r>
              <w:rPr>
                <w:color w:val="231F20"/>
                <w:sz w:val="17"/>
              </w:rPr>
              <w:t>Wet the streamside zone to maintain its condition and facilitate the recruitment of streamside vegetation</w:t>
            </w:r>
            <w:r>
              <w:rPr>
                <w:color w:val="231F20"/>
                <w:spacing w:val="14"/>
                <w:sz w:val="17"/>
              </w:rPr>
              <w:t xml:space="preserve"> </w:t>
            </w:r>
            <w:r>
              <w:rPr>
                <w:color w:val="231F20"/>
                <w:sz w:val="17"/>
              </w:rPr>
              <w:t>communities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81" cy="310896"/>
                  <wp:effectExtent l="0" t="0" r="0" b="0"/>
                  <wp:docPr id="99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9.jpeg"/>
                          <pic:cNvPicPr/>
                        </pic:nvPicPr>
                        <pic:blipFill>
                          <a:blip r:embed="rId31" cstate="print"/>
                          <a:stretch>
                            <a:fillRect/>
                          </a:stretch>
                        </pic:blipFill>
                        <pic:spPr>
                          <a:xfrm>
                            <a:off x="0" y="0"/>
                            <a:ext cx="314181"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80" cy="310896"/>
                  <wp:effectExtent l="0" t="0" r="0" b="0"/>
                  <wp:docPr id="99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21.jpeg"/>
                          <pic:cNvPicPr/>
                        </pic:nvPicPr>
                        <pic:blipFill>
                          <a:blip r:embed="rId33" cstate="print"/>
                          <a:stretch>
                            <a:fillRect/>
                          </a:stretch>
                        </pic:blipFill>
                        <pic:spPr>
                          <a:xfrm>
                            <a:off x="0" y="0"/>
                            <a:ext cx="314180" cy="310896"/>
                          </a:xfrm>
                          <a:prstGeom prst="rect">
                            <a:avLst/>
                          </a:prstGeom>
                        </pic:spPr>
                      </pic:pic>
                    </a:graphicData>
                  </a:graphic>
                </wp:inline>
              </w:drawing>
            </w:r>
          </w:p>
        </w:tc>
      </w:tr>
      <w:tr w:rsidR="006A7A3F">
        <w:trPr>
          <w:trHeight w:val="68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99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Dock Lake</w:t>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ind w:left="85"/>
              <w:rPr>
                <w:sz w:val="18"/>
              </w:rPr>
            </w:pPr>
            <w:r>
              <w:rPr>
                <w:color w:val="231F20"/>
                <w:sz w:val="18"/>
              </w:rPr>
              <w:t>Winter/spring partial fill</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53"/>
              </w:numPr>
              <w:tabs>
                <w:tab w:val="left" w:pos="306"/>
              </w:tabs>
              <w:spacing w:before="68"/>
              <w:ind w:hanging="218"/>
              <w:rPr>
                <w:sz w:val="17"/>
              </w:rPr>
            </w:pPr>
            <w:r>
              <w:rPr>
                <w:color w:val="231F20"/>
                <w:sz w:val="17"/>
              </w:rPr>
              <w:t>Maintain and improve the diversity and abundance of wetland</w:t>
            </w:r>
            <w:r>
              <w:rPr>
                <w:color w:val="231F20"/>
                <w:spacing w:val="7"/>
                <w:sz w:val="17"/>
              </w:rPr>
              <w:t xml:space="preserve"> </w:t>
            </w:r>
            <w:r>
              <w:rPr>
                <w:color w:val="231F20"/>
                <w:sz w:val="17"/>
              </w:rPr>
              <w:t>vegetation</w:t>
            </w:r>
          </w:p>
          <w:p w:rsidR="006A7A3F" w:rsidRDefault="00BC7372">
            <w:pPr>
              <w:pStyle w:val="TableParagraph"/>
              <w:numPr>
                <w:ilvl w:val="0"/>
                <w:numId w:val="953"/>
              </w:numPr>
              <w:tabs>
                <w:tab w:val="left" w:pos="306"/>
              </w:tabs>
              <w:spacing w:before="89" w:line="244" w:lineRule="auto"/>
              <w:ind w:right="232"/>
              <w:rPr>
                <w:sz w:val="17"/>
              </w:rPr>
            </w:pPr>
            <w:r>
              <w:rPr>
                <w:color w:val="231F20"/>
                <w:sz w:val="17"/>
              </w:rPr>
              <w:t>Support feeding and breeding habitat for waterbirds, frogs, waterbugs and turtles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5" cy="310896"/>
                  <wp:effectExtent l="0" t="0" r="0" b="0"/>
                  <wp:docPr id="100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25.jpeg"/>
                          <pic:cNvPicPr/>
                        </pic:nvPicPr>
                        <pic:blipFill>
                          <a:blip r:embed="rId37" cstate="print"/>
                          <a:stretch>
                            <a:fillRect/>
                          </a:stretch>
                        </pic:blipFill>
                        <pic:spPr>
                          <a:xfrm>
                            <a:off x="0" y="0"/>
                            <a:ext cx="314175"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5" cy="310896"/>
                  <wp:effectExtent l="0" t="0" r="0" b="0"/>
                  <wp:docPr id="100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26.jpeg"/>
                          <pic:cNvPicPr/>
                        </pic:nvPicPr>
                        <pic:blipFill>
                          <a:blip r:embed="rId38" cstate="print"/>
                          <a:stretch>
                            <a:fillRect/>
                          </a:stretch>
                        </pic:blipFill>
                        <pic:spPr>
                          <a:xfrm>
                            <a:off x="0" y="0"/>
                            <a:ext cx="314175"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77" cy="310896"/>
                  <wp:effectExtent l="0" t="0" r="0" b="0"/>
                  <wp:docPr id="100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5" cy="310896"/>
                  <wp:effectExtent l="0" t="0" r="0" b="0"/>
                  <wp:docPr id="100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27.jpeg"/>
                          <pic:cNvPicPr/>
                        </pic:nvPicPr>
                        <pic:blipFill>
                          <a:blip r:embed="rId39" cstate="print"/>
                          <a:stretch>
                            <a:fillRect/>
                          </a:stretch>
                        </pic:blipFill>
                        <pic:spPr>
                          <a:xfrm>
                            <a:off x="0" y="0"/>
                            <a:ext cx="314165"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2" cy="310896"/>
                  <wp:effectExtent l="0" t="0" r="0" b="0"/>
                  <wp:docPr id="100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22.jpeg"/>
                          <pic:cNvPicPr/>
                        </pic:nvPicPr>
                        <pic:blipFill>
                          <a:blip r:embed="rId34" cstate="print"/>
                          <a:stretch>
                            <a:fillRect/>
                          </a:stretch>
                        </pic:blipFill>
                        <pic:spPr>
                          <a:xfrm>
                            <a:off x="0" y="0"/>
                            <a:ext cx="314172"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3"/>
              <w:ind w:left="85"/>
              <w:rPr>
                <w:b/>
                <w:sz w:val="18"/>
              </w:rPr>
            </w:pPr>
            <w:r>
              <w:rPr>
                <w:b/>
                <w:color w:val="231F20"/>
                <w:sz w:val="18"/>
              </w:rPr>
              <w:t>Ranch Billabong</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Pr>
                <w:sz w:val="18"/>
              </w:rPr>
            </w:pPr>
            <w:r>
              <w:rPr>
                <w:color w:val="231F20"/>
                <w:sz w:val="18"/>
              </w:rPr>
              <w:t>Top-ups (winter/spring and summer/autumn)</w:t>
            </w:r>
          </w:p>
          <w:p w:rsidR="006A7A3F" w:rsidRDefault="006A7A3F">
            <w:pPr>
              <w:pStyle w:val="TableParagraph"/>
              <w:spacing w:before="5"/>
              <w:ind w:left="0"/>
              <w:rPr>
                <w:b/>
                <w:sz w:val="8"/>
              </w:rPr>
            </w:pPr>
          </w:p>
          <w:p w:rsidR="006A7A3F" w:rsidRDefault="00BC7372">
            <w:pPr>
              <w:pStyle w:val="TableParagraph"/>
              <w:ind w:left="85"/>
              <w:rPr>
                <w:sz w:val="20"/>
              </w:rPr>
            </w:pPr>
            <w:r>
              <w:rPr>
                <w:noProof/>
                <w:sz w:val="20"/>
              </w:rPr>
              <w:drawing>
                <wp:inline distT="0" distB="0" distL="0" distR="0">
                  <wp:extent cx="313943" cy="313943"/>
                  <wp:effectExtent l="0" t="0" r="0" b="0"/>
                  <wp:docPr id="1011" name="image8.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8.jpeg"/>
                          <pic:cNvPicPr/>
                        </pic:nvPicPr>
                        <pic:blipFill>
                          <a:blip r:embed="rId18" cstate="print"/>
                          <a:stretch>
                            <a:fillRect/>
                          </a:stretch>
                        </pic:blipFill>
                        <pic:spPr>
                          <a:xfrm>
                            <a:off x="0" y="0"/>
                            <a:ext cx="313943" cy="313943"/>
                          </a:xfrm>
                          <a:prstGeom prst="rect">
                            <a:avLst/>
                          </a:prstGeom>
                        </pic:spPr>
                      </pic:pic>
                    </a:graphicData>
                  </a:graphic>
                </wp:inline>
              </w:drawing>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52"/>
              </w:numPr>
              <w:tabs>
                <w:tab w:val="left" w:pos="306"/>
              </w:tabs>
              <w:spacing w:before="68"/>
              <w:ind w:hanging="218"/>
              <w:rPr>
                <w:sz w:val="17"/>
              </w:rPr>
            </w:pPr>
            <w:r>
              <w:rPr>
                <w:color w:val="231F20"/>
                <w:sz w:val="17"/>
              </w:rPr>
              <w:t>Maintain and improve wetland vegetation diversity and</w:t>
            </w:r>
            <w:r>
              <w:rPr>
                <w:color w:val="231F20"/>
                <w:spacing w:val="28"/>
                <w:sz w:val="17"/>
              </w:rPr>
              <w:t xml:space="preserve"> </w:t>
            </w:r>
            <w:r>
              <w:rPr>
                <w:color w:val="231F20"/>
                <w:sz w:val="17"/>
              </w:rPr>
              <w:t>abundance</w:t>
            </w:r>
          </w:p>
          <w:p w:rsidR="006A7A3F" w:rsidRDefault="00BC7372">
            <w:pPr>
              <w:pStyle w:val="TableParagraph"/>
              <w:numPr>
                <w:ilvl w:val="0"/>
                <w:numId w:val="952"/>
              </w:numPr>
              <w:tabs>
                <w:tab w:val="left" w:pos="306"/>
              </w:tabs>
              <w:spacing w:before="89"/>
              <w:ind w:hanging="218"/>
              <w:rPr>
                <w:sz w:val="17"/>
              </w:rPr>
            </w:pPr>
            <w:r>
              <w:rPr>
                <w:color w:val="231F20"/>
                <w:sz w:val="17"/>
              </w:rPr>
              <w:t>Improve water quality for frogs and</w:t>
            </w:r>
            <w:r>
              <w:rPr>
                <w:color w:val="231F20"/>
                <w:spacing w:val="11"/>
                <w:sz w:val="17"/>
              </w:rPr>
              <w:t xml:space="preserve"> </w:t>
            </w:r>
            <w:r>
              <w:rPr>
                <w:color w:val="231F20"/>
                <w:sz w:val="17"/>
              </w:rPr>
              <w:t>waterbirds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6"/>
                  <wp:effectExtent l="0" t="0" r="0" b="0"/>
                  <wp:docPr id="101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25.jpeg"/>
                          <pic:cNvPicPr/>
                        </pic:nvPicPr>
                        <pic:blipFill>
                          <a:blip r:embed="rId37"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6"/>
                  <wp:effectExtent l="0" t="0" r="0" b="0"/>
                  <wp:docPr id="101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01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6A7A3F">
      <w:pPr>
        <w:pStyle w:val="BodyText"/>
        <w:spacing w:before="10"/>
        <w:ind w:left="0"/>
        <w:rPr>
          <w:b/>
          <w:sz w:val="8"/>
        </w:rPr>
      </w:pPr>
    </w:p>
    <w:p w:rsidR="00F71DF3" w:rsidRDefault="00F71DF3">
      <w:pPr>
        <w:rPr>
          <w:b/>
          <w:bCs/>
          <w:color w:val="231F20"/>
          <w:sz w:val="24"/>
          <w:szCs w:val="24"/>
        </w:rPr>
      </w:pPr>
      <w:r>
        <w:rPr>
          <w:color w:val="231F20"/>
        </w:rPr>
        <w:br w:type="page"/>
      </w:r>
    </w:p>
    <w:p w:rsidR="006A7A3F" w:rsidRDefault="00BC7372">
      <w:pPr>
        <w:pStyle w:val="Heading4"/>
        <w:spacing w:before="92"/>
      </w:pPr>
      <w:r>
        <w:rPr>
          <w:color w:val="231F20"/>
        </w:rPr>
        <w:t>Scenario planning</w:t>
      </w:r>
    </w:p>
    <w:p w:rsidR="006A7A3F" w:rsidRDefault="00BC7372">
      <w:pPr>
        <w:pStyle w:val="BodyText"/>
        <w:spacing w:before="58" w:line="249" w:lineRule="auto"/>
        <w:ind w:right="100"/>
      </w:pPr>
      <w:r>
        <w:rPr>
          <w:color w:val="231F20"/>
        </w:rPr>
        <w:t>Table 4.3.2 outlines the potential environmental watering and expected water use under a range of planning scenarios.</w:t>
      </w:r>
    </w:p>
    <w:p w:rsidR="006A7A3F" w:rsidRDefault="00BC7372">
      <w:pPr>
        <w:pStyle w:val="BodyText"/>
        <w:spacing w:line="249" w:lineRule="auto"/>
        <w:ind w:right="252"/>
      </w:pPr>
      <w:r>
        <w:rPr>
          <w:color w:val="231F20"/>
        </w:rPr>
        <w:t>If dry conditions continue in the Wimmera system, the type of environmental watering actions that can be delivered to individual reaches will likely be influenced by water availability in the storages directly above each target reach. This is especially true for the MacKenzie River, Burnt Creek and Mount William Creek, which rely on water from Lake Wartook and Lake Lonsdale. Management in the Wimmera system necessitates for periods of cease-to-flow in the rivers and creeks, with additional or longer periods without flow in drier conditions, and planned continuous flows during wetter conditions when there is additional water available through rainfall runoff and allocations made to the environment.</w:t>
      </w:r>
    </w:p>
    <w:p w:rsidR="006A7A3F" w:rsidRDefault="00BC7372">
      <w:pPr>
        <w:pStyle w:val="BodyText"/>
        <w:spacing w:before="176" w:line="249" w:lineRule="auto"/>
        <w:ind w:right="485"/>
      </w:pPr>
      <w:r>
        <w:rPr>
          <w:color w:val="231F20"/>
        </w:rPr>
        <w:t>The highest-priority (tier 1a) watering actions are to deliver summer/autumn low flow, summer/autumn freshes, winter/spring low flow in MacKenzie River reaches 2 and 3, upper Burnt Creek, Wimmera River reach 4 and to provide top-ups to Ranch Billabong. These flows aim to improve water quality and provide habitat for native fish, platypus, crayfish and waterbugs.</w:t>
      </w:r>
    </w:p>
    <w:p w:rsidR="006A7A3F" w:rsidRDefault="00BC7372" w:rsidP="00F31241">
      <w:pPr>
        <w:pStyle w:val="BodyText"/>
        <w:spacing w:before="173" w:line="249" w:lineRule="auto"/>
        <w:ind w:right="345"/>
      </w:pPr>
      <w:r>
        <w:rPr>
          <w:color w:val="231F20"/>
        </w:rPr>
        <w:t xml:space="preserve">Under extreme </w:t>
      </w:r>
      <w:r>
        <w:rPr>
          <w:color w:val="231F20"/>
          <w:spacing w:val="-5"/>
        </w:rPr>
        <w:t xml:space="preserve">dry, </w:t>
      </w:r>
      <w:r>
        <w:rPr>
          <w:color w:val="231F20"/>
        </w:rPr>
        <w:t xml:space="preserve">very dry and dry scenarios, flows in tributaries will mostly target reach 2 of the MacKenzie River and upper Burnt Creek to protect habitat for native fish, platypus and instream vegetation. While these flows will not target reach 3 of the MacKenzie </w:t>
      </w:r>
      <w:r>
        <w:rPr>
          <w:color w:val="231F20"/>
          <w:spacing w:val="-3"/>
        </w:rPr>
        <w:t xml:space="preserve">River, </w:t>
      </w:r>
      <w:r>
        <w:rPr>
          <w:color w:val="231F20"/>
        </w:rPr>
        <w:t xml:space="preserve">flows delivered in reach 2 may pass into the upper sections of reach 3 of the MacKenzie River and top up small refuge pools for native fish and waterbugs throughout 2020–21. During winter and spring, flows may be delivered through to reach 3 to support native vegetation and allow some fish and platypus to move between the MacKenzie River and Wimmera </w:t>
      </w:r>
      <w:r>
        <w:rPr>
          <w:color w:val="231F20"/>
          <w:spacing w:val="-3"/>
        </w:rPr>
        <w:t xml:space="preserve">River. </w:t>
      </w:r>
      <w:r>
        <w:rPr>
          <w:color w:val="231F20"/>
        </w:rPr>
        <w:t>Small flows are also planned to be delivered to maintain refuge habitats in upper Mount William Creek under dry conditions. Environmental flows will not directly target lower Burnt Creek under dry conditions but flows from upper Burnt Creek will likely pass into the reach. Under drought and very dry conditions, water quality and a lack of water availability in Lake Lonsdale is likely to prevent the targeted delivery of water for the environment to lower Mount William Creek, although it may receive</w:t>
      </w:r>
      <w:r>
        <w:rPr>
          <w:color w:val="231F20"/>
          <w:spacing w:val="-2"/>
        </w:rPr>
        <w:t xml:space="preserve"> </w:t>
      </w:r>
      <w:r>
        <w:rPr>
          <w:color w:val="231F20"/>
        </w:rPr>
        <w:t>some</w:t>
      </w:r>
      <w:r>
        <w:rPr>
          <w:color w:val="231F20"/>
          <w:spacing w:val="-2"/>
        </w:rPr>
        <w:t xml:space="preserve"> </w:t>
      </w:r>
      <w:r>
        <w:rPr>
          <w:color w:val="231F20"/>
        </w:rPr>
        <w:t>water</w:t>
      </w:r>
      <w:r>
        <w:rPr>
          <w:color w:val="231F20"/>
          <w:spacing w:val="-3"/>
        </w:rPr>
        <w:t xml:space="preserve"> </w:t>
      </w:r>
      <w:r>
        <w:rPr>
          <w:color w:val="231F20"/>
        </w:rPr>
        <w:t>en</w:t>
      </w:r>
      <w:r>
        <w:rPr>
          <w:color w:val="231F20"/>
          <w:spacing w:val="-3"/>
        </w:rPr>
        <w:t xml:space="preserve"> </w:t>
      </w:r>
      <w:r>
        <w:rPr>
          <w:color w:val="231F20"/>
        </w:rPr>
        <w:t>route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Wimmera</w:t>
      </w:r>
      <w:r>
        <w:rPr>
          <w:color w:val="231F20"/>
          <w:spacing w:val="-2"/>
        </w:rPr>
        <w:t xml:space="preserve"> </w:t>
      </w:r>
      <w:r>
        <w:rPr>
          <w:color w:val="231F20"/>
        </w:rPr>
        <w:t>River</w:t>
      </w:r>
      <w:r>
        <w:rPr>
          <w:color w:val="231F20"/>
          <w:spacing w:val="-2"/>
        </w:rPr>
        <w:t xml:space="preserve"> </w:t>
      </w:r>
      <w:r>
        <w:rPr>
          <w:color w:val="231F20"/>
        </w:rPr>
        <w:t>or</w:t>
      </w:r>
      <w:r>
        <w:rPr>
          <w:color w:val="231F20"/>
          <w:spacing w:val="-3"/>
        </w:rPr>
        <w:t xml:space="preserve"> </w:t>
      </w:r>
      <w:r>
        <w:rPr>
          <w:color w:val="231F20"/>
        </w:rPr>
        <w:t>passing</w:t>
      </w:r>
      <w:r>
        <w:rPr>
          <w:color w:val="231F20"/>
          <w:spacing w:val="-3"/>
        </w:rPr>
        <w:t xml:space="preserve"> </w:t>
      </w:r>
      <w:r>
        <w:rPr>
          <w:color w:val="231F20"/>
        </w:rPr>
        <w:t>flows</w:t>
      </w:r>
      <w:r>
        <w:rPr>
          <w:color w:val="231F20"/>
          <w:spacing w:val="-2"/>
        </w:rPr>
        <w:t xml:space="preserve"> </w:t>
      </w:r>
      <w:r>
        <w:rPr>
          <w:color w:val="231F20"/>
        </w:rPr>
        <w:t>if</w:t>
      </w:r>
      <w:r>
        <w:rPr>
          <w:color w:val="231F20"/>
          <w:spacing w:val="-3"/>
        </w:rPr>
        <w:t xml:space="preserve"> </w:t>
      </w:r>
      <w:r>
        <w:rPr>
          <w:color w:val="231F20"/>
        </w:rPr>
        <w:t>available.</w:t>
      </w:r>
      <w:r>
        <w:rPr>
          <w:color w:val="231F20"/>
          <w:spacing w:val="-3"/>
        </w:rPr>
        <w:t xml:space="preserve"> </w:t>
      </w:r>
      <w:r>
        <w:rPr>
          <w:color w:val="231F20"/>
        </w:rPr>
        <w:t>Under</w:t>
      </w:r>
      <w:r>
        <w:rPr>
          <w:color w:val="231F20"/>
          <w:spacing w:val="-3"/>
        </w:rPr>
        <w:t xml:space="preserve"> </w:t>
      </w:r>
      <w:r>
        <w:rPr>
          <w:color w:val="231F20"/>
        </w:rPr>
        <w:t>average</w:t>
      </w:r>
      <w:r>
        <w:rPr>
          <w:color w:val="231F20"/>
          <w:spacing w:val="-2"/>
        </w:rPr>
        <w:t xml:space="preserve"> </w:t>
      </w:r>
      <w:r>
        <w:rPr>
          <w:color w:val="231F20"/>
        </w:rPr>
        <w:t>or</w:t>
      </w:r>
      <w:r>
        <w:rPr>
          <w:color w:val="231F20"/>
          <w:spacing w:val="-3"/>
        </w:rPr>
        <w:t xml:space="preserve"> </w:t>
      </w:r>
      <w:r>
        <w:rPr>
          <w:color w:val="231F20"/>
        </w:rPr>
        <w:t>wet</w:t>
      </w:r>
      <w:r>
        <w:rPr>
          <w:color w:val="231F20"/>
          <w:spacing w:val="-3"/>
        </w:rPr>
        <w:t xml:space="preserve"> </w:t>
      </w:r>
      <w:r>
        <w:rPr>
          <w:color w:val="231F20"/>
        </w:rPr>
        <w:t>scenarios</w:t>
      </w:r>
      <w:r w:rsidR="002A56D0">
        <w:rPr>
          <w:color w:val="231F20"/>
        </w:rPr>
        <w:t xml:space="preserve"> </w:t>
      </w:r>
      <w:r>
        <w:rPr>
          <w:color w:val="231F20"/>
        </w:rPr>
        <w:t>environmental water may be used to deliver bankfull flows to Bungalally Creek and lower Burnt Creek and to partially fill Dock Lake.</w:t>
      </w:r>
    </w:p>
    <w:p w:rsidR="006A7A3F" w:rsidRDefault="00BC7372">
      <w:pPr>
        <w:pStyle w:val="BodyText"/>
        <w:spacing w:line="249" w:lineRule="auto"/>
        <w:ind w:right="196"/>
      </w:pPr>
      <w:r>
        <w:rPr>
          <w:color w:val="231F20"/>
        </w:rPr>
        <w:t>If more water is available, the next highest priority — tier 1b watering actions — will be to increase the duration of low flow to reduce the number of cease-to-flows and increase the magnitude and/or frequency of freshes in reach 4 of the Wimmera River, reach 3 of MacKenzie River, upper Burnt Creek and lower Mount William Creek.</w:t>
      </w:r>
    </w:p>
    <w:p w:rsidR="006A7A3F" w:rsidRDefault="00BC7372" w:rsidP="00F31241">
      <w:pPr>
        <w:pStyle w:val="BodyText"/>
        <w:spacing w:before="173" w:line="249" w:lineRule="auto"/>
        <w:ind w:right="263"/>
      </w:pPr>
      <w:r>
        <w:rPr>
          <w:color w:val="231F20"/>
        </w:rPr>
        <w:t>Reserving water for carryover into the 2021–22 water year will be a priority under all scenarios, to ensure sufficient water to deliver the highest-priority flows during summer and autumn 2022. The volume carried over against</w:t>
      </w:r>
      <w:r w:rsidR="00F31241">
        <w:rPr>
          <w:color w:val="231F20"/>
        </w:rPr>
        <w:t xml:space="preserve"> </w:t>
      </w:r>
      <w:r>
        <w:rPr>
          <w:color w:val="231F20"/>
        </w:rPr>
        <w:t>the Wimmera-Glenelg environmental entitlement will be decided in consultation with the Wimmera and Glenelg Hopkins CMAs during the year, and it will be based on use during 2020–21, environmental conditions and seasonal outlooks for 2021–22.</w:t>
      </w:r>
    </w:p>
    <w:p w:rsidR="006A7A3F" w:rsidRDefault="00BC7372">
      <w:pPr>
        <w:pStyle w:val="BodyText"/>
        <w:spacing w:before="173" w:line="249" w:lineRule="auto"/>
        <w:ind w:right="231"/>
      </w:pPr>
      <w:r>
        <w:rPr>
          <w:color w:val="231F20"/>
        </w:rPr>
        <w:t>With drier conditions expected in the western region, waterway managers are exploring contingency measures (such as using the Wimmera-Mallee pipeline network) to pipe water for the environment directly into critical refuges sites in some river systems.</w:t>
      </w:r>
    </w:p>
    <w:p w:rsidR="00F71DF3" w:rsidRDefault="00F71DF3">
      <w:pPr>
        <w:rPr>
          <w:b/>
          <w:color w:val="231F20"/>
          <w:sz w:val="18"/>
        </w:rPr>
      </w:pPr>
      <w:r>
        <w:rPr>
          <w:b/>
          <w:color w:val="231F20"/>
          <w:sz w:val="18"/>
        </w:rPr>
        <w:br w:type="page"/>
      </w:r>
    </w:p>
    <w:p w:rsidR="006A7A3F" w:rsidRDefault="00BC7372">
      <w:pPr>
        <w:spacing w:before="167"/>
        <w:ind w:left="210"/>
        <w:rPr>
          <w:b/>
          <w:sz w:val="18"/>
        </w:rPr>
      </w:pPr>
      <w:r>
        <w:rPr>
          <w:b/>
          <w:color w:val="231F20"/>
          <w:sz w:val="18"/>
        </w:rPr>
        <w:t>Table 4.3.2 Potential environmental watering for the Wimmera system under a range of planning scenarios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1701"/>
        <w:gridCol w:w="1701"/>
        <w:gridCol w:w="1701"/>
        <w:gridCol w:w="1701"/>
        <w:gridCol w:w="1701"/>
      </w:tblGrid>
      <w:tr w:rsidR="006A7A3F">
        <w:trPr>
          <w:trHeight w:val="587"/>
        </w:trPr>
        <w:tc>
          <w:tcPr>
            <w:tcW w:w="1701" w:type="dxa"/>
            <w:tcBorders>
              <w:top w:val="nil"/>
              <w:left w:val="nil"/>
              <w:bottom w:val="nil"/>
            </w:tcBorders>
            <w:shd w:val="clear" w:color="auto" w:fill="231F20"/>
          </w:tcPr>
          <w:p w:rsidR="006A7A3F" w:rsidRDefault="00BC7372">
            <w:pPr>
              <w:pStyle w:val="TableParagraph"/>
              <w:spacing w:before="80" w:line="254" w:lineRule="auto"/>
              <w:ind w:left="90" w:right="826"/>
              <w:rPr>
                <w:b/>
                <w:sz w:val="18"/>
              </w:rPr>
            </w:pPr>
            <w:r>
              <w:rPr>
                <w:b/>
                <w:color w:val="FFFFFF"/>
                <w:sz w:val="18"/>
              </w:rPr>
              <w:t>Planning scenario</w:t>
            </w:r>
          </w:p>
        </w:tc>
        <w:tc>
          <w:tcPr>
            <w:tcW w:w="170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Extreme drought</w:t>
            </w:r>
          </w:p>
        </w:tc>
        <w:tc>
          <w:tcPr>
            <w:tcW w:w="170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170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170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Average</w:t>
            </w:r>
          </w:p>
        </w:tc>
        <w:tc>
          <w:tcPr>
            <w:tcW w:w="1701" w:type="dxa"/>
            <w:tcBorders>
              <w:top w:val="nil"/>
              <w:bottom w:val="nil"/>
            </w:tcBorders>
            <w:shd w:val="clear" w:color="auto" w:fill="231F20"/>
          </w:tcPr>
          <w:p w:rsidR="006A7A3F" w:rsidRDefault="00BC7372">
            <w:pPr>
              <w:pStyle w:val="TableParagraph"/>
              <w:spacing w:before="80"/>
              <w:ind w:left="83"/>
              <w:rPr>
                <w:b/>
                <w:sz w:val="18"/>
              </w:rPr>
            </w:pPr>
            <w:r>
              <w:rPr>
                <w:b/>
                <w:color w:val="FFFFFF"/>
                <w:sz w:val="18"/>
              </w:rPr>
              <w:t>Wet</w:t>
            </w:r>
          </w:p>
        </w:tc>
      </w:tr>
      <w:tr w:rsidR="006A7A3F">
        <w:trPr>
          <w:trHeight w:val="1143"/>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435"/>
              <w:rPr>
                <w:sz w:val="18"/>
              </w:rPr>
            </w:pPr>
            <w:r>
              <w:rPr>
                <w:color w:val="231F20"/>
                <w:sz w:val="18"/>
              </w:rPr>
              <w:t>Expected river conditions</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51"/>
              </w:numPr>
              <w:tabs>
                <w:tab w:val="left" w:pos="305"/>
              </w:tabs>
              <w:spacing w:before="75" w:line="244" w:lineRule="auto"/>
              <w:ind w:right="73"/>
              <w:rPr>
                <w:sz w:val="17"/>
              </w:rPr>
            </w:pPr>
            <w:r>
              <w:rPr>
                <w:color w:val="231F20"/>
                <w:sz w:val="17"/>
              </w:rPr>
              <w:t>No passing flows or unregulated flows</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50"/>
              </w:numPr>
              <w:tabs>
                <w:tab w:val="left" w:pos="305"/>
              </w:tabs>
              <w:spacing w:before="75" w:line="244" w:lineRule="auto"/>
              <w:ind w:right="73"/>
              <w:rPr>
                <w:sz w:val="17"/>
              </w:rPr>
            </w:pPr>
            <w:r>
              <w:rPr>
                <w:color w:val="231F20"/>
                <w:sz w:val="17"/>
              </w:rPr>
              <w:t>Some passing flows and minor contributions from unregulated flows</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49"/>
              </w:numPr>
              <w:tabs>
                <w:tab w:val="left" w:pos="305"/>
              </w:tabs>
              <w:spacing w:before="75" w:line="244" w:lineRule="auto"/>
              <w:ind w:right="74"/>
              <w:rPr>
                <w:sz w:val="17"/>
              </w:rPr>
            </w:pPr>
            <w:r>
              <w:rPr>
                <w:color w:val="231F20"/>
                <w:sz w:val="17"/>
              </w:rPr>
              <w:t>Some passing flows and minor contributions from unregulated flows</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48"/>
              </w:numPr>
              <w:tabs>
                <w:tab w:val="left" w:pos="305"/>
              </w:tabs>
              <w:spacing w:before="75" w:line="244" w:lineRule="auto"/>
              <w:ind w:right="99"/>
              <w:rPr>
                <w:sz w:val="17"/>
              </w:rPr>
            </w:pPr>
            <w:r>
              <w:rPr>
                <w:color w:val="231F20"/>
                <w:sz w:val="17"/>
              </w:rPr>
              <w:t>Passing and unregulated flows particularly in</w:t>
            </w:r>
            <w:r>
              <w:rPr>
                <w:color w:val="231F20"/>
                <w:spacing w:val="4"/>
                <w:sz w:val="17"/>
              </w:rPr>
              <w:t xml:space="preserve"> </w:t>
            </w:r>
            <w:r>
              <w:rPr>
                <w:color w:val="231F20"/>
                <w:sz w:val="17"/>
              </w:rPr>
              <w:t>winter/spring</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47"/>
              </w:numPr>
              <w:tabs>
                <w:tab w:val="left" w:pos="304"/>
              </w:tabs>
              <w:spacing w:before="75" w:line="244" w:lineRule="auto"/>
              <w:ind w:right="98"/>
              <w:rPr>
                <w:sz w:val="17"/>
              </w:rPr>
            </w:pPr>
            <w:r>
              <w:rPr>
                <w:color w:val="231F20"/>
                <w:sz w:val="17"/>
              </w:rPr>
              <w:t>Passing flows and unregulated flows</w:t>
            </w:r>
            <w:r>
              <w:rPr>
                <w:color w:val="231F20"/>
                <w:spacing w:val="9"/>
                <w:sz w:val="17"/>
              </w:rPr>
              <w:t xml:space="preserve"> </w:t>
            </w:r>
            <w:r>
              <w:rPr>
                <w:color w:val="231F20"/>
                <w:sz w:val="17"/>
              </w:rPr>
              <w:t>year-round</w:t>
            </w:r>
          </w:p>
        </w:tc>
      </w:tr>
      <w:tr w:rsidR="006A7A3F">
        <w:trPr>
          <w:trHeight w:val="1007"/>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539"/>
              <w:rPr>
                <w:sz w:val="10"/>
              </w:rPr>
            </w:pPr>
            <w:r>
              <w:rPr>
                <w:color w:val="231F20"/>
                <w:sz w:val="18"/>
              </w:rPr>
              <w:t>Expected availability of water for the environment</w:t>
            </w:r>
            <w:r>
              <w:rPr>
                <w:color w:val="231F20"/>
                <w:position w:val="6"/>
                <w:sz w:val="10"/>
              </w:rPr>
              <w:t>1</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46"/>
              </w:numPr>
              <w:tabs>
                <w:tab w:val="left" w:pos="305"/>
              </w:tabs>
              <w:spacing w:before="75"/>
              <w:rPr>
                <w:sz w:val="17"/>
              </w:rPr>
            </w:pPr>
            <w:r>
              <w:rPr>
                <w:color w:val="231F20"/>
                <w:sz w:val="17"/>
              </w:rPr>
              <w:t>19,600</w:t>
            </w:r>
            <w:r>
              <w:rPr>
                <w:color w:val="231F20"/>
                <w:spacing w:val="2"/>
                <w:sz w:val="17"/>
              </w:rPr>
              <w:t xml:space="preserve"> </w:t>
            </w:r>
            <w:r>
              <w:rPr>
                <w:color w:val="231F20"/>
                <w:sz w:val="17"/>
              </w:rPr>
              <w:t>ML</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45"/>
              </w:numPr>
              <w:tabs>
                <w:tab w:val="left" w:pos="305"/>
              </w:tabs>
              <w:spacing w:before="75"/>
              <w:rPr>
                <w:sz w:val="17"/>
              </w:rPr>
            </w:pPr>
            <w:r>
              <w:rPr>
                <w:color w:val="231F20"/>
                <w:sz w:val="17"/>
              </w:rPr>
              <w:t>23,656</w:t>
            </w:r>
            <w:r>
              <w:rPr>
                <w:color w:val="231F20"/>
                <w:spacing w:val="2"/>
                <w:sz w:val="17"/>
              </w:rPr>
              <w:t xml:space="preserve"> </w:t>
            </w:r>
            <w:r>
              <w:rPr>
                <w:color w:val="231F20"/>
                <w:sz w:val="17"/>
              </w:rPr>
              <w:t>ML</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44"/>
              </w:numPr>
              <w:tabs>
                <w:tab w:val="left" w:pos="305"/>
              </w:tabs>
              <w:spacing w:before="75"/>
              <w:ind w:hanging="218"/>
              <w:rPr>
                <w:sz w:val="17"/>
              </w:rPr>
            </w:pPr>
            <w:r>
              <w:rPr>
                <w:color w:val="231F20"/>
                <w:sz w:val="17"/>
              </w:rPr>
              <w:t>36,635</w:t>
            </w:r>
            <w:r>
              <w:rPr>
                <w:color w:val="231F20"/>
                <w:spacing w:val="2"/>
                <w:sz w:val="17"/>
              </w:rPr>
              <w:t xml:space="preserve"> </w:t>
            </w:r>
            <w:r>
              <w:rPr>
                <w:color w:val="231F20"/>
                <w:sz w:val="17"/>
              </w:rPr>
              <w:t>ML</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43"/>
              </w:numPr>
              <w:tabs>
                <w:tab w:val="left" w:pos="305"/>
              </w:tabs>
              <w:spacing w:before="75"/>
              <w:ind w:hanging="218"/>
              <w:rPr>
                <w:sz w:val="17"/>
              </w:rPr>
            </w:pPr>
            <w:r>
              <w:rPr>
                <w:color w:val="231F20"/>
                <w:sz w:val="17"/>
              </w:rPr>
              <w:t>50,426</w:t>
            </w:r>
            <w:r>
              <w:rPr>
                <w:color w:val="231F20"/>
                <w:spacing w:val="2"/>
                <w:sz w:val="17"/>
              </w:rPr>
              <w:t xml:space="preserve"> </w:t>
            </w:r>
            <w:r>
              <w:rPr>
                <w:color w:val="231F20"/>
                <w:sz w:val="17"/>
              </w:rPr>
              <w:t>ML</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42"/>
              </w:numPr>
              <w:tabs>
                <w:tab w:val="left" w:pos="304"/>
              </w:tabs>
              <w:spacing w:before="75"/>
              <w:rPr>
                <w:sz w:val="17"/>
              </w:rPr>
            </w:pPr>
            <w:r>
              <w:rPr>
                <w:color w:val="231F20"/>
                <w:sz w:val="17"/>
              </w:rPr>
              <w:t>60,160</w:t>
            </w:r>
            <w:r>
              <w:rPr>
                <w:color w:val="231F20"/>
                <w:spacing w:val="2"/>
                <w:sz w:val="17"/>
              </w:rPr>
              <w:t xml:space="preserve"> </w:t>
            </w:r>
            <w:r>
              <w:rPr>
                <w:color w:val="231F20"/>
                <w:sz w:val="17"/>
              </w:rPr>
              <w:t>ML</w:t>
            </w:r>
          </w:p>
        </w:tc>
      </w:tr>
      <w:tr w:rsidR="006A7A3F">
        <w:trPr>
          <w:trHeight w:val="362"/>
        </w:trPr>
        <w:tc>
          <w:tcPr>
            <w:tcW w:w="10206" w:type="dxa"/>
            <w:gridSpan w:val="6"/>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6"/>
              <w:ind w:left="85"/>
              <w:rPr>
                <w:b/>
                <w:sz w:val="20"/>
              </w:rPr>
            </w:pPr>
            <w:r>
              <w:rPr>
                <w:b/>
                <w:color w:val="231F20"/>
                <w:sz w:val="20"/>
              </w:rPr>
              <w:t>Potential environmental watering – tier 1a (high priorities)</w:t>
            </w:r>
          </w:p>
        </w:tc>
      </w:tr>
      <w:tr w:rsidR="006A7A3F">
        <w:trPr>
          <w:trHeight w:val="219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346"/>
              <w:rPr>
                <w:sz w:val="18"/>
              </w:rPr>
            </w:pPr>
            <w:r>
              <w:rPr>
                <w:color w:val="231F20"/>
                <w:sz w:val="18"/>
              </w:rPr>
              <w:t>Wimmera River reach 4</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41"/>
              </w:numPr>
              <w:tabs>
                <w:tab w:val="left" w:pos="305"/>
              </w:tabs>
              <w:spacing w:before="75" w:line="244" w:lineRule="auto"/>
              <w:ind w:right="99"/>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41"/>
              </w:numPr>
              <w:tabs>
                <w:tab w:val="left" w:pos="305"/>
              </w:tabs>
              <w:spacing w:before="87" w:line="244" w:lineRule="auto"/>
              <w:ind w:right="330"/>
              <w:rPr>
                <w:sz w:val="17"/>
              </w:rPr>
            </w:pPr>
            <w:r>
              <w:rPr>
                <w:color w:val="231F20"/>
                <w:sz w:val="17"/>
              </w:rPr>
              <w:t xml:space="preserve">One </w:t>
            </w:r>
            <w:r>
              <w:rPr>
                <w:color w:val="231F20"/>
                <w:spacing w:val="-3"/>
                <w:sz w:val="17"/>
              </w:rPr>
              <w:t xml:space="preserve">summer/ </w:t>
            </w:r>
            <w:r>
              <w:rPr>
                <w:color w:val="231F20"/>
                <w:sz w:val="17"/>
              </w:rPr>
              <w:t>autumn</w:t>
            </w:r>
            <w:r>
              <w:rPr>
                <w:color w:val="231F20"/>
                <w:spacing w:val="9"/>
                <w:sz w:val="17"/>
              </w:rPr>
              <w:t xml:space="preserve"> </w:t>
            </w:r>
            <w:r>
              <w:rPr>
                <w:color w:val="231F20"/>
                <w:sz w:val="17"/>
              </w:rPr>
              <w:t>fresh</w:t>
            </w:r>
          </w:p>
          <w:p w:rsidR="006A7A3F" w:rsidRDefault="00BC7372">
            <w:pPr>
              <w:pStyle w:val="TableParagraph"/>
              <w:numPr>
                <w:ilvl w:val="0"/>
                <w:numId w:val="941"/>
              </w:numPr>
              <w:tabs>
                <w:tab w:val="left" w:pos="305"/>
              </w:tabs>
              <w:spacing w:before="86" w:line="244" w:lineRule="auto"/>
              <w:ind w:right="358"/>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41"/>
              </w:numPr>
              <w:tabs>
                <w:tab w:val="left" w:pos="305"/>
              </w:tabs>
              <w:spacing w:before="86" w:line="244" w:lineRule="auto"/>
              <w:ind w:right="398"/>
              <w:rPr>
                <w:sz w:val="17"/>
              </w:rPr>
            </w:pPr>
            <w:r>
              <w:rPr>
                <w:color w:val="231F20"/>
                <w:sz w:val="17"/>
              </w:rPr>
              <w:t xml:space="preserve">One small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40"/>
              </w:numPr>
              <w:tabs>
                <w:tab w:val="left" w:pos="305"/>
              </w:tabs>
              <w:spacing w:before="75"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40"/>
              </w:numPr>
              <w:tabs>
                <w:tab w:val="left" w:pos="305"/>
              </w:tabs>
              <w:spacing w:before="87" w:line="244" w:lineRule="auto"/>
              <w:ind w:right="184"/>
              <w:rPr>
                <w:sz w:val="17"/>
              </w:rPr>
            </w:pPr>
            <w:r>
              <w:rPr>
                <w:color w:val="231F20"/>
                <w:spacing w:val="-4"/>
                <w:sz w:val="17"/>
              </w:rPr>
              <w:t xml:space="preserve">Two </w:t>
            </w:r>
            <w:r>
              <w:rPr>
                <w:color w:val="231F20"/>
                <w:sz w:val="17"/>
              </w:rPr>
              <w:t>summer/ autumn</w:t>
            </w:r>
            <w:r>
              <w:rPr>
                <w:color w:val="231F20"/>
                <w:spacing w:val="8"/>
                <w:sz w:val="17"/>
              </w:rPr>
              <w:t xml:space="preserve"> </w:t>
            </w:r>
            <w:r>
              <w:rPr>
                <w:color w:val="231F20"/>
                <w:sz w:val="17"/>
              </w:rPr>
              <w:t>freshes</w:t>
            </w:r>
          </w:p>
          <w:p w:rsidR="006A7A3F" w:rsidRDefault="00BC7372">
            <w:pPr>
              <w:pStyle w:val="TableParagraph"/>
              <w:numPr>
                <w:ilvl w:val="0"/>
                <w:numId w:val="940"/>
              </w:numPr>
              <w:tabs>
                <w:tab w:val="left" w:pos="305"/>
              </w:tabs>
              <w:spacing w:before="86" w:line="244" w:lineRule="auto"/>
              <w:ind w:right="358"/>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40"/>
              </w:numPr>
              <w:tabs>
                <w:tab w:val="left" w:pos="305"/>
              </w:tabs>
              <w:spacing w:before="86" w:line="244" w:lineRule="auto"/>
              <w:ind w:right="398"/>
              <w:rPr>
                <w:sz w:val="17"/>
              </w:rPr>
            </w:pPr>
            <w:r>
              <w:rPr>
                <w:color w:val="231F20"/>
                <w:spacing w:val="-4"/>
                <w:sz w:val="17"/>
              </w:rPr>
              <w:t xml:space="preserve">Two </w:t>
            </w:r>
            <w:r>
              <w:rPr>
                <w:color w:val="231F20"/>
                <w:sz w:val="17"/>
              </w:rPr>
              <w:t xml:space="preserve">small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9"/>
              </w:numPr>
              <w:tabs>
                <w:tab w:val="left" w:pos="305"/>
              </w:tabs>
              <w:spacing w:before="75"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39"/>
              </w:numPr>
              <w:tabs>
                <w:tab w:val="left" w:pos="305"/>
              </w:tabs>
              <w:spacing w:before="87" w:line="244" w:lineRule="auto"/>
              <w:ind w:right="185"/>
              <w:rPr>
                <w:sz w:val="17"/>
              </w:rPr>
            </w:pPr>
            <w:r>
              <w:rPr>
                <w:color w:val="231F20"/>
                <w:sz w:val="17"/>
              </w:rPr>
              <w:t>Three summer/ autumn</w:t>
            </w:r>
            <w:r>
              <w:rPr>
                <w:color w:val="231F20"/>
                <w:spacing w:val="7"/>
                <w:sz w:val="17"/>
              </w:rPr>
              <w:t xml:space="preserve"> </w:t>
            </w:r>
            <w:r>
              <w:rPr>
                <w:color w:val="231F20"/>
                <w:sz w:val="17"/>
              </w:rPr>
              <w:t>freshes</w:t>
            </w:r>
          </w:p>
          <w:p w:rsidR="006A7A3F" w:rsidRDefault="00BC7372">
            <w:pPr>
              <w:pStyle w:val="TableParagraph"/>
              <w:numPr>
                <w:ilvl w:val="0"/>
                <w:numId w:val="939"/>
              </w:numPr>
              <w:tabs>
                <w:tab w:val="left" w:pos="305"/>
              </w:tabs>
              <w:spacing w:before="86" w:line="244" w:lineRule="auto"/>
              <w:ind w:right="358"/>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39"/>
              </w:numPr>
              <w:tabs>
                <w:tab w:val="left" w:pos="305"/>
              </w:tabs>
              <w:spacing w:before="86" w:line="244" w:lineRule="auto"/>
              <w:ind w:right="398"/>
              <w:rPr>
                <w:sz w:val="17"/>
              </w:rPr>
            </w:pPr>
            <w:r>
              <w:rPr>
                <w:color w:val="231F20"/>
                <w:spacing w:val="-4"/>
                <w:sz w:val="17"/>
              </w:rPr>
              <w:t xml:space="preserve">Two </w:t>
            </w:r>
            <w:r>
              <w:rPr>
                <w:color w:val="231F20"/>
                <w:sz w:val="17"/>
              </w:rPr>
              <w:t xml:space="preserve">small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8"/>
              </w:numPr>
              <w:tabs>
                <w:tab w:val="left" w:pos="305"/>
              </w:tabs>
              <w:spacing w:before="75"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38"/>
              </w:numPr>
              <w:tabs>
                <w:tab w:val="left" w:pos="305"/>
              </w:tabs>
              <w:spacing w:before="87" w:line="244" w:lineRule="auto"/>
              <w:ind w:right="185"/>
              <w:rPr>
                <w:sz w:val="17"/>
              </w:rPr>
            </w:pPr>
            <w:r>
              <w:rPr>
                <w:color w:val="231F20"/>
                <w:sz w:val="17"/>
              </w:rPr>
              <w:t>Three summer/ autumn</w:t>
            </w:r>
            <w:r>
              <w:rPr>
                <w:color w:val="231F20"/>
                <w:spacing w:val="7"/>
                <w:sz w:val="17"/>
              </w:rPr>
              <w:t xml:space="preserve"> </w:t>
            </w:r>
            <w:r>
              <w:rPr>
                <w:color w:val="231F20"/>
                <w:sz w:val="17"/>
              </w:rPr>
              <w:t>freshes</w:t>
            </w:r>
          </w:p>
          <w:p w:rsidR="006A7A3F" w:rsidRDefault="00BC7372">
            <w:pPr>
              <w:pStyle w:val="TableParagraph"/>
              <w:numPr>
                <w:ilvl w:val="0"/>
                <w:numId w:val="938"/>
              </w:numPr>
              <w:tabs>
                <w:tab w:val="left" w:pos="305"/>
              </w:tabs>
              <w:spacing w:before="86" w:line="244" w:lineRule="auto"/>
              <w:ind w:right="359"/>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38"/>
              </w:numPr>
              <w:tabs>
                <w:tab w:val="left" w:pos="305"/>
              </w:tabs>
              <w:spacing w:before="86" w:line="244" w:lineRule="auto"/>
              <w:ind w:right="399"/>
              <w:rPr>
                <w:sz w:val="17"/>
              </w:rPr>
            </w:pPr>
            <w:r>
              <w:rPr>
                <w:color w:val="231F20"/>
                <w:sz w:val="17"/>
              </w:rPr>
              <w:t xml:space="preserve">Three small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7"/>
              </w:numPr>
              <w:tabs>
                <w:tab w:val="left" w:pos="304"/>
              </w:tabs>
              <w:spacing w:before="75"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37"/>
              </w:numPr>
              <w:tabs>
                <w:tab w:val="left" w:pos="304"/>
              </w:tabs>
              <w:spacing w:before="87" w:line="244" w:lineRule="auto"/>
              <w:ind w:right="185"/>
              <w:rPr>
                <w:sz w:val="17"/>
              </w:rPr>
            </w:pPr>
            <w:r>
              <w:rPr>
                <w:color w:val="231F20"/>
                <w:sz w:val="17"/>
              </w:rPr>
              <w:t>Five summer/ autumn</w:t>
            </w:r>
            <w:r>
              <w:rPr>
                <w:color w:val="231F20"/>
                <w:spacing w:val="8"/>
                <w:sz w:val="17"/>
              </w:rPr>
              <w:t xml:space="preserve"> </w:t>
            </w:r>
            <w:r>
              <w:rPr>
                <w:color w:val="231F20"/>
                <w:sz w:val="17"/>
              </w:rPr>
              <w:t>freshes</w:t>
            </w:r>
          </w:p>
          <w:p w:rsidR="006A7A3F" w:rsidRDefault="00BC7372">
            <w:pPr>
              <w:pStyle w:val="TableParagraph"/>
              <w:numPr>
                <w:ilvl w:val="0"/>
                <w:numId w:val="937"/>
              </w:numPr>
              <w:tabs>
                <w:tab w:val="left" w:pos="304"/>
              </w:tabs>
              <w:spacing w:before="86" w:line="244" w:lineRule="auto"/>
              <w:ind w:right="359"/>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37"/>
              </w:numPr>
              <w:tabs>
                <w:tab w:val="left" w:pos="304"/>
              </w:tabs>
              <w:spacing w:before="86" w:line="244" w:lineRule="auto"/>
              <w:ind w:right="399"/>
              <w:rPr>
                <w:sz w:val="17"/>
              </w:rPr>
            </w:pPr>
            <w:r>
              <w:rPr>
                <w:color w:val="231F20"/>
                <w:sz w:val="17"/>
              </w:rPr>
              <w:t xml:space="preserve">Three small </w:t>
            </w:r>
            <w:r>
              <w:rPr>
                <w:color w:val="231F20"/>
                <w:spacing w:val="-1"/>
                <w:sz w:val="17"/>
              </w:rPr>
              <w:t xml:space="preserve">winter/spring </w:t>
            </w:r>
            <w:r>
              <w:rPr>
                <w:color w:val="231F20"/>
                <w:sz w:val="17"/>
              </w:rPr>
              <w:t>freshes</w:t>
            </w:r>
          </w:p>
        </w:tc>
      </w:tr>
      <w:tr w:rsidR="006A7A3F">
        <w:trPr>
          <w:trHeight w:val="199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225"/>
              <w:rPr>
                <w:sz w:val="18"/>
              </w:rPr>
            </w:pPr>
            <w:r>
              <w:rPr>
                <w:color w:val="231F20"/>
                <w:sz w:val="18"/>
              </w:rPr>
              <w:t>MacKenzie River reach 2</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6"/>
              </w:numPr>
              <w:tabs>
                <w:tab w:val="left" w:pos="305"/>
              </w:tabs>
              <w:spacing w:before="75" w:line="244" w:lineRule="auto"/>
              <w:ind w:right="99"/>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36"/>
              </w:numPr>
              <w:tabs>
                <w:tab w:val="left" w:pos="305"/>
              </w:tabs>
              <w:spacing w:before="87" w:line="244" w:lineRule="auto"/>
              <w:ind w:right="184"/>
              <w:rPr>
                <w:sz w:val="17"/>
              </w:rPr>
            </w:pPr>
            <w:r>
              <w:rPr>
                <w:color w:val="231F20"/>
                <w:sz w:val="17"/>
              </w:rPr>
              <w:t>Three summer/ autumn</w:t>
            </w:r>
            <w:r>
              <w:rPr>
                <w:color w:val="231F20"/>
                <w:spacing w:val="8"/>
                <w:sz w:val="17"/>
              </w:rPr>
              <w:t xml:space="preserve"> </w:t>
            </w:r>
            <w:r>
              <w:rPr>
                <w:color w:val="231F20"/>
                <w:sz w:val="17"/>
              </w:rPr>
              <w:t>freshes</w:t>
            </w:r>
          </w:p>
          <w:p w:rsidR="006A7A3F" w:rsidRDefault="00BC7372">
            <w:pPr>
              <w:pStyle w:val="TableParagraph"/>
              <w:numPr>
                <w:ilvl w:val="0"/>
                <w:numId w:val="936"/>
              </w:numPr>
              <w:tabs>
                <w:tab w:val="left" w:pos="305"/>
              </w:tabs>
              <w:spacing w:before="86" w:line="244" w:lineRule="auto"/>
              <w:ind w:right="358"/>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36"/>
              </w:numPr>
              <w:tabs>
                <w:tab w:val="left" w:pos="305"/>
              </w:tabs>
              <w:spacing w:before="86" w:line="244" w:lineRule="auto"/>
              <w:ind w:right="474"/>
              <w:rPr>
                <w:sz w:val="17"/>
              </w:rPr>
            </w:pPr>
            <w:r>
              <w:rPr>
                <w:color w:val="231F20"/>
                <w:sz w:val="17"/>
              </w:rPr>
              <w:t>One winter/ spring</w:t>
            </w:r>
            <w:r>
              <w:rPr>
                <w:color w:val="231F20"/>
                <w:spacing w:val="17"/>
                <w:sz w:val="17"/>
              </w:rPr>
              <w:t xml:space="preserve"> </w:t>
            </w:r>
            <w:r>
              <w:rPr>
                <w:color w:val="231F20"/>
                <w:spacing w:val="-4"/>
                <w:sz w:val="17"/>
              </w:rPr>
              <w:t>fresh</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5"/>
              </w:numPr>
              <w:tabs>
                <w:tab w:val="left" w:pos="305"/>
              </w:tabs>
              <w:spacing w:before="75"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35"/>
              </w:numPr>
              <w:tabs>
                <w:tab w:val="left" w:pos="305"/>
              </w:tabs>
              <w:spacing w:before="87" w:line="244" w:lineRule="auto"/>
              <w:ind w:right="185"/>
              <w:rPr>
                <w:sz w:val="17"/>
              </w:rPr>
            </w:pPr>
            <w:r>
              <w:rPr>
                <w:color w:val="231F20"/>
                <w:sz w:val="17"/>
              </w:rPr>
              <w:t>Three summer/ autumn</w:t>
            </w:r>
            <w:r>
              <w:rPr>
                <w:color w:val="231F20"/>
                <w:spacing w:val="7"/>
                <w:sz w:val="17"/>
              </w:rPr>
              <w:t xml:space="preserve">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4"/>
              </w:numPr>
              <w:tabs>
                <w:tab w:val="left" w:pos="305"/>
              </w:tabs>
              <w:spacing w:before="75"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34"/>
              </w:numPr>
              <w:tabs>
                <w:tab w:val="left" w:pos="305"/>
              </w:tabs>
              <w:spacing w:before="87" w:line="244" w:lineRule="auto"/>
              <w:ind w:right="185"/>
              <w:rPr>
                <w:sz w:val="17"/>
              </w:rPr>
            </w:pPr>
            <w:r>
              <w:rPr>
                <w:color w:val="231F20"/>
                <w:sz w:val="17"/>
              </w:rPr>
              <w:t>Four summer/ autumn</w:t>
            </w:r>
            <w:r>
              <w:rPr>
                <w:color w:val="231F20"/>
                <w:spacing w:val="7"/>
                <w:sz w:val="17"/>
              </w:rPr>
              <w:t xml:space="preserve">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3"/>
              </w:numPr>
              <w:tabs>
                <w:tab w:val="left" w:pos="305"/>
              </w:tabs>
              <w:spacing w:before="75"/>
              <w:ind w:hanging="21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2"/>
              </w:numPr>
              <w:tabs>
                <w:tab w:val="left" w:pos="304"/>
              </w:tabs>
              <w:spacing w:before="75"/>
              <w:rPr>
                <w:sz w:val="17"/>
              </w:rPr>
            </w:pPr>
            <w:r>
              <w:rPr>
                <w:color w:val="231F20"/>
                <w:sz w:val="17"/>
              </w:rPr>
              <w:t>N/A</w:t>
            </w:r>
          </w:p>
        </w:tc>
      </w:tr>
      <w:tr w:rsidR="006A7A3F">
        <w:trPr>
          <w:trHeight w:val="219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0" w:line="254" w:lineRule="auto"/>
              <w:ind w:left="85" w:right="225"/>
              <w:rPr>
                <w:sz w:val="18"/>
              </w:rPr>
            </w:pPr>
            <w:r>
              <w:rPr>
                <w:color w:val="231F20"/>
                <w:sz w:val="18"/>
              </w:rPr>
              <w:t>MacKenzie River reach 3</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1"/>
              </w:numPr>
              <w:tabs>
                <w:tab w:val="left" w:pos="305"/>
              </w:tabs>
              <w:spacing w:before="75"/>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30"/>
              </w:numPr>
              <w:tabs>
                <w:tab w:val="left" w:pos="305"/>
              </w:tabs>
              <w:spacing w:before="75" w:line="244" w:lineRule="auto"/>
              <w:ind w:right="358"/>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30"/>
              </w:numPr>
              <w:tabs>
                <w:tab w:val="left" w:pos="305"/>
              </w:tabs>
              <w:spacing w:before="87" w:line="244" w:lineRule="auto"/>
              <w:ind w:right="398"/>
              <w:rPr>
                <w:sz w:val="17"/>
              </w:rPr>
            </w:pPr>
            <w:r>
              <w:rPr>
                <w:color w:val="231F20"/>
                <w:sz w:val="17"/>
              </w:rPr>
              <w:t xml:space="preserve">Five small </w:t>
            </w:r>
            <w:r>
              <w:rPr>
                <w:color w:val="231F20"/>
                <w:spacing w:val="-1"/>
                <w:sz w:val="17"/>
              </w:rPr>
              <w:t xml:space="preserve">winter/spring </w:t>
            </w:r>
            <w:r>
              <w:rPr>
                <w:color w:val="231F20"/>
                <w:sz w:val="17"/>
              </w:rPr>
              <w:t>fresh</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29"/>
              </w:numPr>
              <w:tabs>
                <w:tab w:val="left" w:pos="305"/>
              </w:tabs>
              <w:spacing w:before="75" w:line="244" w:lineRule="auto"/>
              <w:ind w:right="358"/>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29"/>
              </w:numPr>
              <w:tabs>
                <w:tab w:val="left" w:pos="305"/>
              </w:tabs>
              <w:spacing w:before="87" w:line="244" w:lineRule="auto"/>
              <w:ind w:right="398"/>
              <w:rPr>
                <w:sz w:val="17"/>
              </w:rPr>
            </w:pPr>
            <w:r>
              <w:rPr>
                <w:color w:val="231F20"/>
                <w:sz w:val="17"/>
              </w:rPr>
              <w:t xml:space="preserve">Five small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28"/>
              </w:numPr>
              <w:tabs>
                <w:tab w:val="left" w:pos="305"/>
              </w:tabs>
              <w:spacing w:before="75"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28"/>
              </w:numPr>
              <w:tabs>
                <w:tab w:val="left" w:pos="305"/>
              </w:tabs>
              <w:spacing w:before="87" w:line="244" w:lineRule="auto"/>
              <w:ind w:right="185"/>
              <w:rPr>
                <w:sz w:val="17"/>
              </w:rPr>
            </w:pPr>
            <w:r>
              <w:rPr>
                <w:color w:val="231F20"/>
                <w:sz w:val="17"/>
              </w:rPr>
              <w:t>Four summer/ autumn</w:t>
            </w:r>
            <w:r>
              <w:rPr>
                <w:color w:val="231F20"/>
                <w:spacing w:val="7"/>
                <w:sz w:val="17"/>
              </w:rPr>
              <w:t xml:space="preserve"> </w:t>
            </w:r>
            <w:r>
              <w:rPr>
                <w:color w:val="231F20"/>
                <w:sz w:val="17"/>
              </w:rPr>
              <w:t>freshes</w:t>
            </w:r>
          </w:p>
          <w:p w:rsidR="006A7A3F" w:rsidRDefault="00BC7372">
            <w:pPr>
              <w:pStyle w:val="TableParagraph"/>
              <w:numPr>
                <w:ilvl w:val="0"/>
                <w:numId w:val="928"/>
              </w:numPr>
              <w:tabs>
                <w:tab w:val="left" w:pos="305"/>
              </w:tabs>
              <w:spacing w:before="86" w:line="244" w:lineRule="auto"/>
              <w:ind w:right="359"/>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28"/>
              </w:numPr>
              <w:tabs>
                <w:tab w:val="left" w:pos="305"/>
              </w:tabs>
              <w:spacing w:before="86" w:line="244" w:lineRule="auto"/>
              <w:ind w:right="399"/>
              <w:rPr>
                <w:sz w:val="17"/>
              </w:rPr>
            </w:pPr>
            <w:r>
              <w:rPr>
                <w:color w:val="231F20"/>
                <w:sz w:val="17"/>
              </w:rPr>
              <w:t xml:space="preserve">Five small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27"/>
              </w:numPr>
              <w:tabs>
                <w:tab w:val="left" w:pos="304"/>
              </w:tabs>
              <w:spacing w:before="75"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27"/>
              </w:numPr>
              <w:tabs>
                <w:tab w:val="left" w:pos="304"/>
              </w:tabs>
              <w:spacing w:before="87" w:line="244" w:lineRule="auto"/>
              <w:ind w:right="185"/>
              <w:rPr>
                <w:sz w:val="17"/>
              </w:rPr>
            </w:pPr>
            <w:r>
              <w:rPr>
                <w:color w:val="231F20"/>
                <w:sz w:val="17"/>
              </w:rPr>
              <w:t>Four summer/ autumn</w:t>
            </w:r>
            <w:r>
              <w:rPr>
                <w:color w:val="231F20"/>
                <w:spacing w:val="8"/>
                <w:sz w:val="17"/>
              </w:rPr>
              <w:t xml:space="preserve"> </w:t>
            </w:r>
            <w:r>
              <w:rPr>
                <w:color w:val="231F20"/>
                <w:sz w:val="17"/>
              </w:rPr>
              <w:t>freshes</w:t>
            </w:r>
          </w:p>
          <w:p w:rsidR="006A7A3F" w:rsidRDefault="00BC7372">
            <w:pPr>
              <w:pStyle w:val="TableParagraph"/>
              <w:numPr>
                <w:ilvl w:val="0"/>
                <w:numId w:val="927"/>
              </w:numPr>
              <w:tabs>
                <w:tab w:val="left" w:pos="304"/>
              </w:tabs>
              <w:spacing w:before="86" w:line="244" w:lineRule="auto"/>
              <w:ind w:right="359"/>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27"/>
              </w:numPr>
              <w:tabs>
                <w:tab w:val="left" w:pos="304"/>
              </w:tabs>
              <w:spacing w:before="86" w:line="244" w:lineRule="auto"/>
              <w:ind w:right="399"/>
              <w:rPr>
                <w:sz w:val="17"/>
              </w:rPr>
            </w:pPr>
            <w:r>
              <w:rPr>
                <w:color w:val="231F20"/>
                <w:sz w:val="17"/>
              </w:rPr>
              <w:t xml:space="preserve">Five small </w:t>
            </w:r>
            <w:r>
              <w:rPr>
                <w:color w:val="231F20"/>
                <w:spacing w:val="-1"/>
                <w:sz w:val="17"/>
              </w:rPr>
              <w:t xml:space="preserve">winter/spring </w:t>
            </w:r>
            <w:r>
              <w:rPr>
                <w:color w:val="231F20"/>
                <w:sz w:val="17"/>
              </w:rPr>
              <w:t>freshes</w:t>
            </w:r>
          </w:p>
        </w:tc>
      </w:tr>
    </w:tbl>
    <w:p w:rsidR="006A7A3F" w:rsidRDefault="006A7A3F">
      <w:pPr>
        <w:spacing w:line="244" w:lineRule="auto"/>
        <w:rPr>
          <w:sz w:val="17"/>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1701"/>
        <w:gridCol w:w="1701"/>
        <w:gridCol w:w="1701"/>
        <w:gridCol w:w="1701"/>
        <w:gridCol w:w="1701"/>
      </w:tblGrid>
      <w:tr w:rsidR="006A7A3F">
        <w:trPr>
          <w:trHeight w:val="587"/>
        </w:trPr>
        <w:tc>
          <w:tcPr>
            <w:tcW w:w="1701" w:type="dxa"/>
            <w:tcBorders>
              <w:top w:val="nil"/>
              <w:left w:val="nil"/>
              <w:bottom w:val="nil"/>
            </w:tcBorders>
            <w:shd w:val="clear" w:color="auto" w:fill="231F20"/>
          </w:tcPr>
          <w:p w:rsidR="006A7A3F" w:rsidRDefault="00BC7372">
            <w:pPr>
              <w:pStyle w:val="TableParagraph"/>
              <w:spacing w:before="73" w:line="254" w:lineRule="auto"/>
              <w:ind w:left="90" w:right="826"/>
              <w:rPr>
                <w:b/>
                <w:sz w:val="18"/>
              </w:rPr>
            </w:pPr>
            <w:r>
              <w:rPr>
                <w:b/>
                <w:color w:val="FFFFFF"/>
                <w:sz w:val="18"/>
              </w:rPr>
              <w:t>Planning scenario</w:t>
            </w:r>
          </w:p>
        </w:tc>
        <w:tc>
          <w:tcPr>
            <w:tcW w:w="170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Extreme drought</w:t>
            </w:r>
          </w:p>
        </w:tc>
        <w:tc>
          <w:tcPr>
            <w:tcW w:w="170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Drought</w:t>
            </w:r>
          </w:p>
        </w:tc>
        <w:tc>
          <w:tcPr>
            <w:tcW w:w="170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Dry</w:t>
            </w:r>
          </w:p>
        </w:tc>
        <w:tc>
          <w:tcPr>
            <w:tcW w:w="170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Average</w:t>
            </w:r>
          </w:p>
        </w:tc>
        <w:tc>
          <w:tcPr>
            <w:tcW w:w="1701" w:type="dxa"/>
            <w:tcBorders>
              <w:top w:val="nil"/>
              <w:bottom w:val="nil"/>
            </w:tcBorders>
            <w:shd w:val="clear" w:color="auto" w:fill="231F20"/>
          </w:tcPr>
          <w:p w:rsidR="006A7A3F" w:rsidRDefault="00BC7372">
            <w:pPr>
              <w:pStyle w:val="TableParagraph"/>
              <w:spacing w:before="73"/>
              <w:ind w:left="83"/>
              <w:rPr>
                <w:b/>
                <w:sz w:val="18"/>
              </w:rPr>
            </w:pPr>
            <w:r>
              <w:rPr>
                <w:b/>
                <w:color w:val="FFFFFF"/>
                <w:sz w:val="18"/>
              </w:rPr>
              <w:t>Wet</w:t>
            </w:r>
          </w:p>
        </w:tc>
      </w:tr>
      <w:tr w:rsidR="006A7A3F">
        <w:trPr>
          <w:trHeight w:val="2198"/>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63"/>
              <w:ind w:left="85"/>
              <w:rPr>
                <w:sz w:val="18"/>
              </w:rPr>
            </w:pPr>
            <w:r>
              <w:rPr>
                <w:color w:val="231F20"/>
                <w:sz w:val="18"/>
              </w:rPr>
              <w:t>Upper Burnt Creek</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26"/>
              </w:numPr>
              <w:tabs>
                <w:tab w:val="left" w:pos="305"/>
              </w:tabs>
              <w:spacing w:before="68" w:line="244" w:lineRule="auto"/>
              <w:ind w:right="99"/>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26"/>
              </w:numPr>
              <w:tabs>
                <w:tab w:val="left" w:pos="305"/>
              </w:tabs>
              <w:spacing w:before="86" w:line="244" w:lineRule="auto"/>
              <w:ind w:right="358"/>
              <w:rPr>
                <w:sz w:val="17"/>
              </w:rPr>
            </w:pPr>
            <w:r>
              <w:rPr>
                <w:color w:val="231F20"/>
                <w:sz w:val="17"/>
              </w:rPr>
              <w:t>Winter/spring low</w:t>
            </w:r>
            <w:r>
              <w:rPr>
                <w:color w:val="231F20"/>
                <w:spacing w:val="2"/>
                <w:sz w:val="17"/>
              </w:rPr>
              <w:t xml:space="preserve"> </w:t>
            </w:r>
            <w:r>
              <w:rPr>
                <w:color w:val="231F20"/>
                <w:sz w:val="17"/>
              </w:rPr>
              <w:t>flow</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25"/>
              </w:numPr>
              <w:tabs>
                <w:tab w:val="left" w:pos="305"/>
              </w:tabs>
              <w:spacing w:before="68"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25"/>
              </w:numPr>
              <w:tabs>
                <w:tab w:val="left" w:pos="305"/>
              </w:tabs>
              <w:spacing w:before="86" w:line="244" w:lineRule="auto"/>
              <w:ind w:right="358"/>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25"/>
              </w:numPr>
              <w:tabs>
                <w:tab w:val="left" w:pos="305"/>
              </w:tabs>
              <w:spacing w:before="86" w:line="244" w:lineRule="auto"/>
              <w:ind w:right="184"/>
              <w:rPr>
                <w:sz w:val="17"/>
              </w:rPr>
            </w:pPr>
            <w:r>
              <w:rPr>
                <w:color w:val="231F20"/>
                <w:sz w:val="17"/>
              </w:rPr>
              <w:t>Three summer/ autumn</w:t>
            </w:r>
            <w:r>
              <w:rPr>
                <w:color w:val="231F20"/>
                <w:spacing w:val="8"/>
                <w:sz w:val="17"/>
              </w:rPr>
              <w:t xml:space="preserve"> </w:t>
            </w:r>
            <w:r>
              <w:rPr>
                <w:color w:val="231F20"/>
                <w:sz w:val="17"/>
              </w:rPr>
              <w:t>freshes</w:t>
            </w:r>
          </w:p>
          <w:p w:rsidR="006A7A3F" w:rsidRDefault="00BC7372">
            <w:pPr>
              <w:pStyle w:val="TableParagraph"/>
              <w:numPr>
                <w:ilvl w:val="0"/>
                <w:numId w:val="925"/>
              </w:numPr>
              <w:tabs>
                <w:tab w:val="left" w:pos="305"/>
              </w:tabs>
              <w:spacing w:before="87" w:line="244" w:lineRule="auto"/>
              <w:ind w:right="398"/>
              <w:rPr>
                <w:sz w:val="17"/>
              </w:rPr>
            </w:pPr>
            <w:r>
              <w:rPr>
                <w:color w:val="231F20"/>
                <w:sz w:val="17"/>
              </w:rPr>
              <w:t xml:space="preserve">One small </w:t>
            </w:r>
            <w:r>
              <w:rPr>
                <w:color w:val="231F20"/>
                <w:spacing w:val="-1"/>
                <w:sz w:val="17"/>
              </w:rPr>
              <w:t xml:space="preserve">winter/spring </w:t>
            </w:r>
            <w:r>
              <w:rPr>
                <w:color w:val="231F20"/>
                <w:sz w:val="17"/>
              </w:rPr>
              <w:t>fresh</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24"/>
              </w:numPr>
              <w:tabs>
                <w:tab w:val="left" w:pos="305"/>
              </w:tabs>
              <w:spacing w:before="68"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24"/>
              </w:numPr>
              <w:tabs>
                <w:tab w:val="left" w:pos="305"/>
              </w:tabs>
              <w:spacing w:before="86" w:line="244" w:lineRule="auto"/>
              <w:ind w:right="185"/>
              <w:rPr>
                <w:sz w:val="17"/>
              </w:rPr>
            </w:pPr>
            <w:r>
              <w:rPr>
                <w:color w:val="231F20"/>
                <w:sz w:val="17"/>
              </w:rPr>
              <w:t>Three summer/ autumn</w:t>
            </w:r>
            <w:r>
              <w:rPr>
                <w:color w:val="231F20"/>
                <w:spacing w:val="7"/>
                <w:sz w:val="17"/>
              </w:rPr>
              <w:t xml:space="preserve"> </w:t>
            </w:r>
            <w:r>
              <w:rPr>
                <w:color w:val="231F20"/>
                <w:sz w:val="17"/>
              </w:rPr>
              <w:t>freshes</w:t>
            </w:r>
          </w:p>
          <w:p w:rsidR="006A7A3F" w:rsidRDefault="00BC7372">
            <w:pPr>
              <w:pStyle w:val="TableParagraph"/>
              <w:numPr>
                <w:ilvl w:val="0"/>
                <w:numId w:val="924"/>
              </w:numPr>
              <w:tabs>
                <w:tab w:val="left" w:pos="305"/>
              </w:tabs>
              <w:spacing w:before="86" w:line="244" w:lineRule="auto"/>
              <w:ind w:right="358"/>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24"/>
              </w:numPr>
              <w:tabs>
                <w:tab w:val="left" w:pos="305"/>
              </w:tabs>
              <w:spacing w:before="87" w:line="244" w:lineRule="auto"/>
              <w:ind w:right="398"/>
              <w:rPr>
                <w:sz w:val="17"/>
              </w:rPr>
            </w:pPr>
            <w:r>
              <w:rPr>
                <w:color w:val="231F20"/>
                <w:spacing w:val="-4"/>
                <w:sz w:val="17"/>
              </w:rPr>
              <w:t xml:space="preserve">Two </w:t>
            </w:r>
            <w:r>
              <w:rPr>
                <w:color w:val="231F20"/>
                <w:sz w:val="17"/>
              </w:rPr>
              <w:t xml:space="preserve">small </w:t>
            </w:r>
            <w:r>
              <w:rPr>
                <w:color w:val="231F20"/>
                <w:spacing w:val="-1"/>
                <w:sz w:val="17"/>
              </w:rPr>
              <w:t xml:space="preserve">winter/spring </w:t>
            </w:r>
            <w:r>
              <w:rPr>
                <w:color w:val="231F20"/>
                <w:sz w:val="17"/>
              </w:rPr>
              <w:t>freshes</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23"/>
              </w:numPr>
              <w:tabs>
                <w:tab w:val="left" w:pos="305"/>
              </w:tabs>
              <w:spacing w:before="68"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23"/>
              </w:numPr>
              <w:tabs>
                <w:tab w:val="left" w:pos="305"/>
              </w:tabs>
              <w:spacing w:before="86" w:line="244" w:lineRule="auto"/>
              <w:ind w:right="185"/>
              <w:rPr>
                <w:sz w:val="17"/>
              </w:rPr>
            </w:pPr>
            <w:r>
              <w:rPr>
                <w:color w:val="231F20"/>
                <w:sz w:val="17"/>
              </w:rPr>
              <w:t>Three summer/ autumn</w:t>
            </w:r>
            <w:r>
              <w:rPr>
                <w:color w:val="231F20"/>
                <w:spacing w:val="7"/>
                <w:sz w:val="17"/>
              </w:rPr>
              <w:t xml:space="preserve"> </w:t>
            </w:r>
            <w:r>
              <w:rPr>
                <w:color w:val="231F20"/>
                <w:sz w:val="17"/>
              </w:rPr>
              <w:t>freshes</w:t>
            </w:r>
          </w:p>
          <w:p w:rsidR="006A7A3F" w:rsidRDefault="00BC7372">
            <w:pPr>
              <w:pStyle w:val="TableParagraph"/>
              <w:numPr>
                <w:ilvl w:val="0"/>
                <w:numId w:val="923"/>
              </w:numPr>
              <w:tabs>
                <w:tab w:val="left" w:pos="305"/>
              </w:tabs>
              <w:spacing w:before="86" w:line="244" w:lineRule="auto"/>
              <w:ind w:right="359"/>
              <w:rPr>
                <w:sz w:val="17"/>
              </w:rPr>
            </w:pPr>
            <w:r>
              <w:rPr>
                <w:color w:val="231F20"/>
                <w:sz w:val="17"/>
              </w:rPr>
              <w:t>Winter/spring low</w:t>
            </w:r>
            <w:r>
              <w:rPr>
                <w:color w:val="231F20"/>
                <w:spacing w:val="2"/>
                <w:sz w:val="17"/>
              </w:rPr>
              <w:t xml:space="preserve"> </w:t>
            </w:r>
            <w:r>
              <w:rPr>
                <w:color w:val="231F20"/>
                <w:sz w:val="17"/>
              </w:rPr>
              <w:t>flow</w:t>
            </w:r>
          </w:p>
          <w:p w:rsidR="006A7A3F" w:rsidRDefault="00BC7372">
            <w:pPr>
              <w:pStyle w:val="TableParagraph"/>
              <w:numPr>
                <w:ilvl w:val="0"/>
                <w:numId w:val="923"/>
              </w:numPr>
              <w:tabs>
                <w:tab w:val="left" w:pos="305"/>
              </w:tabs>
              <w:spacing w:before="87" w:line="244" w:lineRule="auto"/>
              <w:ind w:right="399"/>
              <w:rPr>
                <w:sz w:val="17"/>
              </w:rPr>
            </w:pPr>
            <w:r>
              <w:rPr>
                <w:color w:val="231F20"/>
                <w:spacing w:val="-4"/>
                <w:sz w:val="17"/>
              </w:rPr>
              <w:t xml:space="preserve">Two </w:t>
            </w:r>
            <w:r>
              <w:rPr>
                <w:color w:val="231F20"/>
                <w:sz w:val="17"/>
              </w:rPr>
              <w:t xml:space="preserve">small </w:t>
            </w:r>
            <w:r>
              <w:rPr>
                <w:color w:val="231F20"/>
                <w:spacing w:val="-1"/>
                <w:sz w:val="17"/>
              </w:rPr>
              <w:t xml:space="preserve">winter/spring </w:t>
            </w:r>
            <w:r>
              <w:rPr>
                <w:color w:val="231F20"/>
                <w:sz w:val="17"/>
              </w:rPr>
              <w:t>freshes</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922"/>
              </w:numPr>
              <w:tabs>
                <w:tab w:val="left" w:pos="304"/>
              </w:tabs>
              <w:spacing w:before="68"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22"/>
              </w:numPr>
              <w:tabs>
                <w:tab w:val="left" w:pos="304"/>
              </w:tabs>
              <w:spacing w:before="86" w:line="244" w:lineRule="auto"/>
              <w:ind w:right="185"/>
              <w:rPr>
                <w:sz w:val="17"/>
              </w:rPr>
            </w:pPr>
            <w:r>
              <w:rPr>
                <w:color w:val="231F20"/>
                <w:sz w:val="17"/>
              </w:rPr>
              <w:t>Three summer/ autumn freshes Winter/spring low</w:t>
            </w:r>
            <w:r>
              <w:rPr>
                <w:color w:val="231F20"/>
                <w:spacing w:val="1"/>
                <w:sz w:val="17"/>
              </w:rPr>
              <w:t xml:space="preserve"> </w:t>
            </w:r>
            <w:r>
              <w:rPr>
                <w:color w:val="231F20"/>
                <w:sz w:val="17"/>
              </w:rPr>
              <w:t>flow</w:t>
            </w:r>
          </w:p>
          <w:p w:rsidR="006A7A3F" w:rsidRDefault="00BC7372">
            <w:pPr>
              <w:pStyle w:val="TableParagraph"/>
              <w:numPr>
                <w:ilvl w:val="0"/>
                <w:numId w:val="922"/>
              </w:numPr>
              <w:tabs>
                <w:tab w:val="left" w:pos="304"/>
              </w:tabs>
              <w:spacing w:before="88" w:line="244" w:lineRule="auto"/>
              <w:ind w:right="399"/>
              <w:rPr>
                <w:sz w:val="17"/>
              </w:rPr>
            </w:pPr>
            <w:r>
              <w:rPr>
                <w:color w:val="231F20"/>
                <w:sz w:val="17"/>
              </w:rPr>
              <w:t xml:space="preserve">Three small </w:t>
            </w:r>
            <w:r>
              <w:rPr>
                <w:color w:val="231F20"/>
                <w:spacing w:val="-1"/>
                <w:sz w:val="17"/>
              </w:rPr>
              <w:t xml:space="preserve">winter/spring </w:t>
            </w:r>
            <w:r>
              <w:rPr>
                <w:color w:val="231F20"/>
                <w:sz w:val="17"/>
              </w:rPr>
              <w:t>freshes</w:t>
            </w:r>
          </w:p>
        </w:tc>
      </w:tr>
      <w:tr w:rsidR="006A7A3F">
        <w:trPr>
          <w:trHeight w:val="347"/>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ind w:left="85"/>
              <w:rPr>
                <w:sz w:val="18"/>
              </w:rPr>
            </w:pPr>
            <w:r>
              <w:rPr>
                <w:color w:val="231F20"/>
                <w:sz w:val="18"/>
              </w:rPr>
              <w:t>Lower Burnt Creek</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21"/>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20"/>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9"/>
              </w:numPr>
              <w:tabs>
                <w:tab w:val="left" w:pos="305"/>
              </w:tabs>
              <w:spacing w:before="68"/>
              <w:ind w:hanging="21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8"/>
              </w:numPr>
              <w:tabs>
                <w:tab w:val="left" w:pos="305"/>
              </w:tabs>
              <w:spacing w:before="68"/>
              <w:ind w:hanging="218"/>
              <w:rPr>
                <w:sz w:val="17"/>
              </w:rPr>
            </w:pPr>
            <w:r>
              <w:rPr>
                <w:color w:val="231F20"/>
                <w:sz w:val="17"/>
              </w:rPr>
              <w:t>Bankfull</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7"/>
              </w:numPr>
              <w:tabs>
                <w:tab w:val="left" w:pos="304"/>
              </w:tabs>
              <w:spacing w:before="68"/>
              <w:rPr>
                <w:sz w:val="17"/>
              </w:rPr>
            </w:pPr>
            <w:r>
              <w:rPr>
                <w:color w:val="231F20"/>
                <w:sz w:val="17"/>
              </w:rPr>
              <w:t>Bankfull</w:t>
            </w:r>
          </w:p>
        </w:tc>
      </w:tr>
      <w:tr w:rsidR="006A7A3F">
        <w:trPr>
          <w:trHeight w:val="567"/>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475"/>
              <w:rPr>
                <w:sz w:val="18"/>
              </w:rPr>
            </w:pPr>
            <w:r>
              <w:rPr>
                <w:color w:val="231F20"/>
                <w:sz w:val="18"/>
              </w:rPr>
              <w:t>Upper Mount William Creek</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6"/>
              </w:numPr>
              <w:tabs>
                <w:tab w:val="left" w:pos="305"/>
              </w:tabs>
              <w:spacing w:before="68"/>
              <w:rPr>
                <w:sz w:val="17"/>
              </w:rPr>
            </w:pPr>
            <w:r>
              <w:rPr>
                <w:color w:val="231F20"/>
                <w:spacing w:val="-4"/>
                <w:sz w:val="17"/>
              </w:rPr>
              <w:t>Top-ups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5"/>
              </w:numPr>
              <w:tabs>
                <w:tab w:val="left" w:pos="305"/>
              </w:tabs>
              <w:spacing w:before="68"/>
              <w:rPr>
                <w:sz w:val="17"/>
              </w:rPr>
            </w:pPr>
            <w:r>
              <w:rPr>
                <w:color w:val="231F20"/>
                <w:spacing w:val="-4"/>
                <w:sz w:val="17"/>
              </w:rPr>
              <w:t>Top-ups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4"/>
              </w:numPr>
              <w:tabs>
                <w:tab w:val="left" w:pos="305"/>
              </w:tabs>
              <w:spacing w:before="68"/>
              <w:ind w:hanging="218"/>
              <w:rPr>
                <w:sz w:val="17"/>
              </w:rPr>
            </w:pPr>
            <w:r>
              <w:rPr>
                <w:color w:val="231F20"/>
                <w:spacing w:val="-4"/>
                <w:sz w:val="17"/>
              </w:rPr>
              <w:t>Top-ups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3"/>
              </w:numPr>
              <w:tabs>
                <w:tab w:val="left" w:pos="305"/>
              </w:tabs>
              <w:spacing w:before="68"/>
              <w:ind w:hanging="21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2"/>
              </w:numPr>
              <w:tabs>
                <w:tab w:val="left" w:pos="304"/>
              </w:tabs>
              <w:spacing w:before="68"/>
              <w:rPr>
                <w:sz w:val="17"/>
              </w:rPr>
            </w:pPr>
            <w:r>
              <w:rPr>
                <w:color w:val="231F20"/>
                <w:sz w:val="17"/>
              </w:rPr>
              <w:t>N/A</w:t>
            </w:r>
          </w:p>
        </w:tc>
      </w:tr>
      <w:tr w:rsidR="006A7A3F">
        <w:trPr>
          <w:trHeight w:val="199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475"/>
              <w:rPr>
                <w:sz w:val="18"/>
              </w:rPr>
            </w:pPr>
            <w:r>
              <w:rPr>
                <w:color w:val="231F20"/>
                <w:sz w:val="18"/>
              </w:rPr>
              <w:t>Lower Mount William Creek</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1"/>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10"/>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9"/>
              </w:numPr>
              <w:tabs>
                <w:tab w:val="left" w:pos="305"/>
              </w:tabs>
              <w:spacing w:before="68" w:line="244" w:lineRule="auto"/>
              <w:ind w:right="185"/>
              <w:rPr>
                <w:sz w:val="17"/>
              </w:rPr>
            </w:pPr>
            <w:r>
              <w:rPr>
                <w:color w:val="231F20"/>
                <w:sz w:val="17"/>
              </w:rPr>
              <w:t>Three summer/ autumn</w:t>
            </w:r>
            <w:r>
              <w:rPr>
                <w:color w:val="231F20"/>
                <w:spacing w:val="7"/>
                <w:sz w:val="17"/>
              </w:rPr>
              <w:t xml:space="preserve"> </w:t>
            </w:r>
            <w:r>
              <w:rPr>
                <w:color w:val="231F20"/>
                <w:sz w:val="17"/>
              </w:rPr>
              <w:t>freshes</w:t>
            </w:r>
          </w:p>
          <w:p w:rsidR="006A7A3F" w:rsidRDefault="00BC7372">
            <w:pPr>
              <w:pStyle w:val="TableParagraph"/>
              <w:numPr>
                <w:ilvl w:val="0"/>
                <w:numId w:val="909"/>
              </w:numPr>
              <w:tabs>
                <w:tab w:val="left" w:pos="305"/>
              </w:tabs>
              <w:spacing w:before="86"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09"/>
              </w:numPr>
              <w:tabs>
                <w:tab w:val="left" w:pos="305"/>
              </w:tabs>
              <w:spacing w:before="86" w:line="244" w:lineRule="auto"/>
              <w:ind w:right="291"/>
              <w:rPr>
                <w:sz w:val="17"/>
              </w:rPr>
            </w:pPr>
            <w:r>
              <w:rPr>
                <w:color w:val="231F20"/>
                <w:sz w:val="17"/>
              </w:rPr>
              <w:t>Three winter/ spring</w:t>
            </w:r>
            <w:r>
              <w:rPr>
                <w:color w:val="231F20"/>
                <w:spacing w:val="20"/>
                <w:sz w:val="17"/>
              </w:rPr>
              <w:t xml:space="preserve"> </w:t>
            </w:r>
            <w:r>
              <w:rPr>
                <w:color w:val="231F20"/>
                <w:spacing w:val="-3"/>
                <w:sz w:val="17"/>
              </w:rPr>
              <w:t>freshes</w:t>
            </w:r>
          </w:p>
          <w:p w:rsidR="006A7A3F" w:rsidRDefault="00BC7372">
            <w:pPr>
              <w:pStyle w:val="TableParagraph"/>
              <w:numPr>
                <w:ilvl w:val="0"/>
                <w:numId w:val="909"/>
              </w:numPr>
              <w:tabs>
                <w:tab w:val="left" w:pos="305"/>
              </w:tabs>
              <w:spacing w:before="87" w:line="244" w:lineRule="auto"/>
              <w:ind w:right="358"/>
              <w:rPr>
                <w:sz w:val="17"/>
              </w:rPr>
            </w:pPr>
            <w:r>
              <w:rPr>
                <w:color w:val="231F20"/>
                <w:sz w:val="17"/>
              </w:rPr>
              <w:t>Winter/spring low</w:t>
            </w:r>
            <w:r>
              <w:rPr>
                <w:color w:val="231F20"/>
                <w:spacing w:val="2"/>
                <w:sz w:val="17"/>
              </w:rPr>
              <w:t xml:space="preserve"> </w:t>
            </w:r>
            <w:r>
              <w:rPr>
                <w:color w:val="231F20"/>
                <w:sz w:val="17"/>
              </w:rPr>
              <w:t>flow</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8"/>
              </w:numPr>
              <w:tabs>
                <w:tab w:val="left" w:pos="305"/>
              </w:tabs>
              <w:spacing w:before="68" w:line="244" w:lineRule="auto"/>
              <w:ind w:right="185"/>
              <w:rPr>
                <w:sz w:val="17"/>
              </w:rPr>
            </w:pPr>
            <w:r>
              <w:rPr>
                <w:color w:val="231F20"/>
                <w:sz w:val="17"/>
              </w:rPr>
              <w:t>Three summer/ autumn</w:t>
            </w:r>
            <w:r>
              <w:rPr>
                <w:color w:val="231F20"/>
                <w:spacing w:val="7"/>
                <w:sz w:val="17"/>
              </w:rPr>
              <w:t xml:space="preserve"> </w:t>
            </w:r>
            <w:r>
              <w:rPr>
                <w:color w:val="231F20"/>
                <w:sz w:val="17"/>
              </w:rPr>
              <w:t>freshes</w:t>
            </w:r>
          </w:p>
          <w:p w:rsidR="006A7A3F" w:rsidRDefault="00BC7372">
            <w:pPr>
              <w:pStyle w:val="TableParagraph"/>
              <w:numPr>
                <w:ilvl w:val="0"/>
                <w:numId w:val="908"/>
              </w:numPr>
              <w:tabs>
                <w:tab w:val="left" w:pos="305"/>
              </w:tabs>
              <w:spacing w:before="86"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08"/>
              </w:numPr>
              <w:tabs>
                <w:tab w:val="left" w:pos="305"/>
              </w:tabs>
              <w:spacing w:before="86" w:line="244" w:lineRule="auto"/>
              <w:ind w:right="291"/>
              <w:rPr>
                <w:sz w:val="17"/>
              </w:rPr>
            </w:pPr>
            <w:r>
              <w:rPr>
                <w:color w:val="231F20"/>
                <w:sz w:val="17"/>
              </w:rPr>
              <w:t>Five winter/ spring</w:t>
            </w:r>
            <w:r>
              <w:rPr>
                <w:color w:val="231F20"/>
                <w:spacing w:val="20"/>
                <w:sz w:val="17"/>
              </w:rPr>
              <w:t xml:space="preserve"> </w:t>
            </w:r>
            <w:r>
              <w:rPr>
                <w:color w:val="231F20"/>
                <w:spacing w:val="-3"/>
                <w:sz w:val="17"/>
              </w:rPr>
              <w:t>freshes</w:t>
            </w:r>
          </w:p>
          <w:p w:rsidR="006A7A3F" w:rsidRDefault="00BC7372">
            <w:pPr>
              <w:pStyle w:val="TableParagraph"/>
              <w:numPr>
                <w:ilvl w:val="0"/>
                <w:numId w:val="908"/>
              </w:numPr>
              <w:tabs>
                <w:tab w:val="left" w:pos="305"/>
              </w:tabs>
              <w:spacing w:before="87" w:line="244" w:lineRule="auto"/>
              <w:ind w:right="359"/>
              <w:rPr>
                <w:sz w:val="17"/>
              </w:rPr>
            </w:pPr>
            <w:r>
              <w:rPr>
                <w:color w:val="231F20"/>
                <w:sz w:val="17"/>
              </w:rPr>
              <w:t>Winter/spring low</w:t>
            </w:r>
            <w:r>
              <w:rPr>
                <w:color w:val="231F20"/>
                <w:spacing w:val="2"/>
                <w:sz w:val="17"/>
              </w:rPr>
              <w:t xml:space="preserve"> </w:t>
            </w:r>
            <w:r>
              <w:rPr>
                <w:color w:val="231F20"/>
                <w:sz w:val="17"/>
              </w:rPr>
              <w:t>flow</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7"/>
              </w:numPr>
              <w:tabs>
                <w:tab w:val="left" w:pos="304"/>
              </w:tabs>
              <w:spacing w:before="68" w:line="244" w:lineRule="auto"/>
              <w:ind w:right="185"/>
              <w:rPr>
                <w:sz w:val="17"/>
              </w:rPr>
            </w:pPr>
            <w:r>
              <w:rPr>
                <w:color w:val="231F20"/>
                <w:sz w:val="17"/>
              </w:rPr>
              <w:t>Three summer/ autumn</w:t>
            </w:r>
            <w:r>
              <w:rPr>
                <w:color w:val="231F20"/>
                <w:spacing w:val="8"/>
                <w:sz w:val="17"/>
              </w:rPr>
              <w:t xml:space="preserve"> </w:t>
            </w:r>
            <w:r>
              <w:rPr>
                <w:color w:val="231F20"/>
                <w:sz w:val="17"/>
              </w:rPr>
              <w:t>freshes</w:t>
            </w:r>
          </w:p>
          <w:p w:rsidR="006A7A3F" w:rsidRDefault="00BC7372">
            <w:pPr>
              <w:pStyle w:val="TableParagraph"/>
              <w:numPr>
                <w:ilvl w:val="0"/>
                <w:numId w:val="907"/>
              </w:numPr>
              <w:tabs>
                <w:tab w:val="left" w:pos="304"/>
              </w:tabs>
              <w:spacing w:before="86"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907"/>
              </w:numPr>
              <w:tabs>
                <w:tab w:val="left" w:pos="304"/>
              </w:tabs>
              <w:spacing w:before="86" w:line="244" w:lineRule="auto"/>
              <w:ind w:right="291"/>
              <w:rPr>
                <w:sz w:val="17"/>
              </w:rPr>
            </w:pPr>
            <w:r>
              <w:rPr>
                <w:color w:val="231F20"/>
                <w:sz w:val="17"/>
              </w:rPr>
              <w:t>Five winter/ spring</w:t>
            </w:r>
            <w:r>
              <w:rPr>
                <w:color w:val="231F20"/>
                <w:spacing w:val="21"/>
                <w:sz w:val="17"/>
              </w:rPr>
              <w:t xml:space="preserve"> </w:t>
            </w:r>
            <w:r>
              <w:rPr>
                <w:color w:val="231F20"/>
                <w:spacing w:val="-3"/>
                <w:sz w:val="17"/>
              </w:rPr>
              <w:t>freshes</w:t>
            </w:r>
          </w:p>
          <w:p w:rsidR="006A7A3F" w:rsidRDefault="00BC7372">
            <w:pPr>
              <w:pStyle w:val="TableParagraph"/>
              <w:numPr>
                <w:ilvl w:val="0"/>
                <w:numId w:val="907"/>
              </w:numPr>
              <w:tabs>
                <w:tab w:val="left" w:pos="304"/>
              </w:tabs>
              <w:spacing w:before="87" w:line="244" w:lineRule="auto"/>
              <w:ind w:right="359"/>
              <w:rPr>
                <w:sz w:val="17"/>
              </w:rPr>
            </w:pPr>
            <w:r>
              <w:rPr>
                <w:color w:val="231F20"/>
                <w:sz w:val="17"/>
              </w:rPr>
              <w:t>Winter/spring low</w:t>
            </w:r>
            <w:r>
              <w:rPr>
                <w:color w:val="231F20"/>
                <w:spacing w:val="2"/>
                <w:sz w:val="17"/>
              </w:rPr>
              <w:t xml:space="preserve"> </w:t>
            </w:r>
            <w:r>
              <w:rPr>
                <w:color w:val="231F20"/>
                <w:sz w:val="17"/>
              </w:rPr>
              <w:t>flow</w:t>
            </w:r>
          </w:p>
        </w:tc>
      </w:tr>
      <w:tr w:rsidR="006A7A3F">
        <w:trPr>
          <w:trHeight w:val="347"/>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ind w:left="85"/>
              <w:rPr>
                <w:sz w:val="18"/>
              </w:rPr>
            </w:pPr>
            <w:r>
              <w:rPr>
                <w:color w:val="231F20"/>
                <w:sz w:val="18"/>
              </w:rPr>
              <w:t>Bungalally Creek</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6"/>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5"/>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4"/>
              </w:numPr>
              <w:tabs>
                <w:tab w:val="left" w:pos="305"/>
              </w:tabs>
              <w:spacing w:before="68"/>
              <w:ind w:hanging="21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3"/>
              </w:numPr>
              <w:tabs>
                <w:tab w:val="left" w:pos="305"/>
              </w:tabs>
              <w:spacing w:before="68"/>
              <w:ind w:hanging="218"/>
              <w:rPr>
                <w:sz w:val="17"/>
              </w:rPr>
            </w:pPr>
            <w:r>
              <w:rPr>
                <w:color w:val="231F20"/>
                <w:sz w:val="17"/>
              </w:rPr>
              <w:t>Bankfull</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2"/>
              </w:numPr>
              <w:tabs>
                <w:tab w:val="left" w:pos="304"/>
              </w:tabs>
              <w:spacing w:before="68"/>
              <w:rPr>
                <w:sz w:val="17"/>
              </w:rPr>
            </w:pPr>
            <w:r>
              <w:rPr>
                <w:color w:val="231F20"/>
                <w:sz w:val="17"/>
              </w:rPr>
              <w:t>Bankfull</w:t>
            </w:r>
          </w:p>
        </w:tc>
      </w:tr>
      <w:tr w:rsidR="006A7A3F">
        <w:trPr>
          <w:trHeight w:val="347"/>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ind w:left="85"/>
              <w:rPr>
                <w:sz w:val="18"/>
              </w:rPr>
            </w:pPr>
            <w:r>
              <w:rPr>
                <w:color w:val="231F20"/>
                <w:sz w:val="18"/>
              </w:rPr>
              <w:t>Dock Lake</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1"/>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00"/>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9"/>
              </w:numPr>
              <w:tabs>
                <w:tab w:val="left" w:pos="305"/>
              </w:tabs>
              <w:spacing w:before="68"/>
              <w:ind w:hanging="21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8"/>
              </w:numPr>
              <w:tabs>
                <w:tab w:val="left" w:pos="305"/>
              </w:tabs>
              <w:spacing w:before="68"/>
              <w:ind w:hanging="218"/>
              <w:rPr>
                <w:sz w:val="17"/>
              </w:rPr>
            </w:pPr>
            <w:r>
              <w:rPr>
                <w:color w:val="231F20"/>
                <w:sz w:val="17"/>
              </w:rPr>
              <w:t>Partial</w:t>
            </w:r>
            <w:r>
              <w:rPr>
                <w:color w:val="231F20"/>
                <w:spacing w:val="2"/>
                <w:sz w:val="17"/>
              </w:rPr>
              <w:t xml:space="preserve"> </w:t>
            </w:r>
            <w:r>
              <w:rPr>
                <w:color w:val="231F20"/>
                <w:sz w:val="17"/>
              </w:rPr>
              <w:t>fill</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7"/>
              </w:numPr>
              <w:tabs>
                <w:tab w:val="left" w:pos="304"/>
              </w:tabs>
              <w:spacing w:before="68"/>
              <w:rPr>
                <w:sz w:val="17"/>
              </w:rPr>
            </w:pPr>
            <w:r>
              <w:rPr>
                <w:color w:val="231F20"/>
                <w:sz w:val="17"/>
              </w:rPr>
              <w:t>Partial</w:t>
            </w:r>
            <w:r>
              <w:rPr>
                <w:color w:val="231F20"/>
                <w:spacing w:val="2"/>
                <w:sz w:val="17"/>
              </w:rPr>
              <w:t xml:space="preserve"> </w:t>
            </w:r>
            <w:r>
              <w:rPr>
                <w:color w:val="231F20"/>
                <w:sz w:val="17"/>
              </w:rPr>
              <w:t>fill</w:t>
            </w:r>
          </w:p>
        </w:tc>
      </w:tr>
      <w:tr w:rsidR="006A7A3F">
        <w:trPr>
          <w:trHeight w:val="347"/>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ind w:left="85"/>
              <w:rPr>
                <w:sz w:val="18"/>
              </w:rPr>
            </w:pPr>
            <w:r>
              <w:rPr>
                <w:color w:val="231F20"/>
                <w:sz w:val="18"/>
              </w:rPr>
              <w:t>Ranch Billabong</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6"/>
              </w:numPr>
              <w:tabs>
                <w:tab w:val="left" w:pos="305"/>
              </w:tabs>
              <w:spacing w:before="68"/>
              <w:rPr>
                <w:sz w:val="17"/>
              </w:rPr>
            </w:pPr>
            <w:r>
              <w:rPr>
                <w:color w:val="231F20"/>
                <w:spacing w:val="-4"/>
                <w:sz w:val="17"/>
              </w:rPr>
              <w:t>Top-ups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5"/>
              </w:numPr>
              <w:tabs>
                <w:tab w:val="left" w:pos="305"/>
              </w:tabs>
              <w:spacing w:before="68"/>
              <w:rPr>
                <w:sz w:val="17"/>
              </w:rPr>
            </w:pPr>
            <w:r>
              <w:rPr>
                <w:color w:val="231F20"/>
                <w:spacing w:val="-4"/>
                <w:sz w:val="17"/>
              </w:rPr>
              <w:t>Top-ups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4"/>
              </w:numPr>
              <w:tabs>
                <w:tab w:val="left" w:pos="305"/>
              </w:tabs>
              <w:spacing w:before="68"/>
              <w:ind w:hanging="218"/>
              <w:rPr>
                <w:sz w:val="17"/>
              </w:rPr>
            </w:pPr>
            <w:r>
              <w:rPr>
                <w:color w:val="231F20"/>
                <w:spacing w:val="-4"/>
                <w:sz w:val="17"/>
              </w:rPr>
              <w:t>Top-ups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3"/>
              </w:numPr>
              <w:tabs>
                <w:tab w:val="left" w:pos="305"/>
              </w:tabs>
              <w:spacing w:before="68"/>
              <w:ind w:hanging="218"/>
              <w:rPr>
                <w:sz w:val="17"/>
              </w:rPr>
            </w:pPr>
            <w:r>
              <w:rPr>
                <w:color w:val="231F20"/>
                <w:spacing w:val="-4"/>
                <w:sz w:val="17"/>
              </w:rPr>
              <w:t>Top-ups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2"/>
              </w:numPr>
              <w:tabs>
                <w:tab w:val="left" w:pos="304"/>
              </w:tabs>
              <w:spacing w:before="68"/>
              <w:rPr>
                <w:sz w:val="17"/>
              </w:rPr>
            </w:pPr>
            <w:r>
              <w:rPr>
                <w:color w:val="231F20"/>
                <w:spacing w:val="-4"/>
                <w:sz w:val="17"/>
              </w:rPr>
              <w:t>Top-ups</w:t>
            </w:r>
          </w:p>
        </w:tc>
      </w:tr>
      <w:tr w:rsidR="006A7A3F">
        <w:trPr>
          <w:trHeight w:val="362"/>
        </w:trPr>
        <w:tc>
          <w:tcPr>
            <w:tcW w:w="10206" w:type="dxa"/>
            <w:gridSpan w:val="6"/>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59"/>
              <w:ind w:left="85"/>
              <w:rPr>
                <w:b/>
                <w:sz w:val="20"/>
              </w:rPr>
            </w:pPr>
            <w:r>
              <w:rPr>
                <w:b/>
                <w:color w:val="231F20"/>
                <w:sz w:val="20"/>
              </w:rPr>
              <w:t>Potential environmental watering – tier 1b (high priorities with shortfall)</w:t>
            </w:r>
          </w:p>
        </w:tc>
      </w:tr>
      <w:tr w:rsidR="006A7A3F">
        <w:trPr>
          <w:trHeight w:val="279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346"/>
              <w:rPr>
                <w:sz w:val="18"/>
              </w:rPr>
            </w:pPr>
            <w:r>
              <w:rPr>
                <w:color w:val="231F20"/>
                <w:sz w:val="18"/>
              </w:rPr>
              <w:t>Wimmera River reach 4</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1"/>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90"/>
              </w:numPr>
              <w:tabs>
                <w:tab w:val="left" w:pos="305"/>
              </w:tabs>
              <w:spacing w:before="68" w:line="244" w:lineRule="auto"/>
              <w:ind w:right="330"/>
              <w:rPr>
                <w:sz w:val="17"/>
              </w:rPr>
            </w:pPr>
            <w:r>
              <w:rPr>
                <w:color w:val="231F20"/>
                <w:sz w:val="17"/>
              </w:rPr>
              <w:t xml:space="preserve">One </w:t>
            </w:r>
            <w:r>
              <w:rPr>
                <w:color w:val="231F20"/>
                <w:spacing w:val="-3"/>
                <w:sz w:val="17"/>
              </w:rPr>
              <w:t xml:space="preserve">summer/ </w:t>
            </w:r>
            <w:r>
              <w:rPr>
                <w:color w:val="231F20"/>
                <w:sz w:val="17"/>
              </w:rPr>
              <w:t>autumn</w:t>
            </w:r>
            <w:r>
              <w:rPr>
                <w:color w:val="231F20"/>
                <w:spacing w:val="9"/>
                <w:sz w:val="17"/>
              </w:rPr>
              <w:t xml:space="preserve"> </w:t>
            </w:r>
            <w:r>
              <w:rPr>
                <w:color w:val="231F20"/>
                <w:sz w:val="17"/>
              </w:rPr>
              <w:t>fresh</w:t>
            </w:r>
          </w:p>
          <w:p w:rsidR="006A7A3F" w:rsidRDefault="00BC7372">
            <w:pPr>
              <w:pStyle w:val="TableParagraph"/>
              <w:numPr>
                <w:ilvl w:val="0"/>
                <w:numId w:val="890"/>
              </w:numPr>
              <w:tabs>
                <w:tab w:val="left" w:pos="305"/>
              </w:tabs>
              <w:spacing w:before="86" w:line="244" w:lineRule="auto"/>
              <w:ind w:right="195"/>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90"/>
              </w:numPr>
              <w:tabs>
                <w:tab w:val="left" w:pos="305"/>
              </w:tabs>
              <w:spacing w:before="87" w:line="244" w:lineRule="auto"/>
              <w:ind w:right="398"/>
              <w:rPr>
                <w:sz w:val="17"/>
              </w:rPr>
            </w:pPr>
            <w:r>
              <w:rPr>
                <w:color w:val="231F20"/>
                <w:sz w:val="17"/>
              </w:rPr>
              <w:t xml:space="preserve">One large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89"/>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89"/>
              </w:numPr>
              <w:tabs>
                <w:tab w:val="left" w:pos="305"/>
              </w:tabs>
              <w:spacing w:before="87" w:line="244" w:lineRule="auto"/>
              <w:ind w:right="185"/>
              <w:rPr>
                <w:sz w:val="17"/>
              </w:rPr>
            </w:pPr>
            <w:r>
              <w:rPr>
                <w:color w:val="231F20"/>
                <w:spacing w:val="-4"/>
                <w:sz w:val="17"/>
              </w:rPr>
              <w:t xml:space="preserve">Two </w:t>
            </w:r>
            <w:r>
              <w:rPr>
                <w:color w:val="231F20"/>
                <w:sz w:val="17"/>
              </w:rPr>
              <w:t>summer/ autumn</w:t>
            </w:r>
            <w:r>
              <w:rPr>
                <w:color w:val="231F20"/>
                <w:spacing w:val="7"/>
                <w:sz w:val="17"/>
              </w:rPr>
              <w:t xml:space="preserve"> </w:t>
            </w:r>
            <w:r>
              <w:rPr>
                <w:color w:val="231F20"/>
                <w:sz w:val="17"/>
              </w:rPr>
              <w:t>freshes</w:t>
            </w:r>
          </w:p>
          <w:p w:rsidR="006A7A3F" w:rsidRDefault="00BC7372">
            <w:pPr>
              <w:pStyle w:val="TableParagraph"/>
              <w:numPr>
                <w:ilvl w:val="0"/>
                <w:numId w:val="889"/>
              </w:numPr>
              <w:tabs>
                <w:tab w:val="left" w:pos="305"/>
              </w:tabs>
              <w:spacing w:before="87" w:line="244" w:lineRule="auto"/>
              <w:ind w:right="195"/>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89"/>
              </w:numPr>
              <w:tabs>
                <w:tab w:val="left" w:pos="305"/>
              </w:tabs>
              <w:spacing w:before="86" w:line="244" w:lineRule="auto"/>
              <w:ind w:right="398"/>
              <w:rPr>
                <w:sz w:val="17"/>
              </w:rPr>
            </w:pPr>
            <w:r>
              <w:rPr>
                <w:color w:val="231F20"/>
                <w:sz w:val="17"/>
              </w:rPr>
              <w:t xml:space="preserve">One large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88"/>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88"/>
              </w:numPr>
              <w:tabs>
                <w:tab w:val="left" w:pos="305"/>
              </w:tabs>
              <w:spacing w:before="87" w:line="244" w:lineRule="auto"/>
              <w:ind w:right="185"/>
              <w:rPr>
                <w:sz w:val="17"/>
              </w:rPr>
            </w:pPr>
            <w:r>
              <w:rPr>
                <w:color w:val="231F20"/>
                <w:spacing w:val="-4"/>
                <w:sz w:val="17"/>
              </w:rPr>
              <w:t xml:space="preserve">Two </w:t>
            </w:r>
            <w:r>
              <w:rPr>
                <w:color w:val="231F20"/>
                <w:sz w:val="17"/>
              </w:rPr>
              <w:t>summer/ autumn</w:t>
            </w:r>
            <w:r>
              <w:rPr>
                <w:color w:val="231F20"/>
                <w:spacing w:val="7"/>
                <w:sz w:val="17"/>
              </w:rPr>
              <w:t xml:space="preserve"> </w:t>
            </w:r>
            <w:r>
              <w:rPr>
                <w:color w:val="231F20"/>
                <w:sz w:val="17"/>
              </w:rPr>
              <w:t>freshes</w:t>
            </w:r>
          </w:p>
          <w:p w:rsidR="006A7A3F" w:rsidRDefault="00BC7372">
            <w:pPr>
              <w:pStyle w:val="TableParagraph"/>
              <w:numPr>
                <w:ilvl w:val="0"/>
                <w:numId w:val="888"/>
              </w:numPr>
              <w:tabs>
                <w:tab w:val="left" w:pos="305"/>
              </w:tabs>
              <w:spacing w:before="87" w:line="244" w:lineRule="auto"/>
              <w:ind w:right="195"/>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88"/>
              </w:numPr>
              <w:tabs>
                <w:tab w:val="left" w:pos="305"/>
              </w:tabs>
              <w:spacing w:before="86" w:line="244" w:lineRule="auto"/>
              <w:ind w:right="74"/>
              <w:rPr>
                <w:sz w:val="17"/>
              </w:rPr>
            </w:pPr>
            <w:r>
              <w:rPr>
                <w:color w:val="231F20"/>
                <w:spacing w:val="-4"/>
                <w:sz w:val="17"/>
              </w:rPr>
              <w:t xml:space="preserve">Two </w:t>
            </w:r>
            <w:r>
              <w:rPr>
                <w:color w:val="231F20"/>
                <w:sz w:val="17"/>
              </w:rPr>
              <w:t>large winter/ spring</w:t>
            </w:r>
            <w:r>
              <w:rPr>
                <w:color w:val="231F20"/>
                <w:spacing w:val="5"/>
                <w:sz w:val="17"/>
              </w:rPr>
              <w:t xml:space="preserve">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87"/>
              </w:numPr>
              <w:tabs>
                <w:tab w:val="left" w:pos="304"/>
              </w:tabs>
              <w:spacing w:before="68" w:line="244" w:lineRule="auto"/>
              <w:ind w:right="196"/>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87"/>
              </w:numPr>
              <w:tabs>
                <w:tab w:val="left" w:pos="304"/>
              </w:tabs>
              <w:spacing w:before="87" w:line="244" w:lineRule="auto"/>
              <w:ind w:right="399"/>
              <w:rPr>
                <w:sz w:val="17"/>
              </w:rPr>
            </w:pPr>
            <w:r>
              <w:rPr>
                <w:color w:val="231F20"/>
                <w:sz w:val="17"/>
              </w:rPr>
              <w:t xml:space="preserve">Three large </w:t>
            </w:r>
            <w:r>
              <w:rPr>
                <w:color w:val="231F20"/>
                <w:spacing w:val="-1"/>
                <w:sz w:val="17"/>
              </w:rPr>
              <w:t xml:space="preserve">winter/spring </w:t>
            </w:r>
            <w:r>
              <w:rPr>
                <w:color w:val="231F20"/>
                <w:sz w:val="17"/>
              </w:rPr>
              <w:t>freshes</w:t>
            </w:r>
          </w:p>
        </w:tc>
      </w:tr>
      <w:tr w:rsidR="006A7A3F">
        <w:trPr>
          <w:trHeight w:val="231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25"/>
              <w:rPr>
                <w:sz w:val="18"/>
              </w:rPr>
            </w:pPr>
            <w:r>
              <w:rPr>
                <w:color w:val="231F20"/>
                <w:sz w:val="18"/>
              </w:rPr>
              <w:t>MacKenzie River reach 3</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86"/>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85"/>
              </w:numPr>
              <w:tabs>
                <w:tab w:val="left" w:pos="305"/>
              </w:tabs>
              <w:spacing w:before="68" w:line="244" w:lineRule="auto"/>
              <w:ind w:right="195"/>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85"/>
              </w:numPr>
              <w:tabs>
                <w:tab w:val="left" w:pos="305"/>
              </w:tabs>
              <w:spacing w:before="87" w:line="244" w:lineRule="auto"/>
              <w:ind w:right="398"/>
              <w:rPr>
                <w:sz w:val="17"/>
              </w:rPr>
            </w:pPr>
            <w:r>
              <w:rPr>
                <w:color w:val="231F20"/>
                <w:sz w:val="17"/>
              </w:rPr>
              <w:t xml:space="preserve">One large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84"/>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84"/>
              </w:numPr>
              <w:tabs>
                <w:tab w:val="left" w:pos="305"/>
              </w:tabs>
              <w:spacing w:before="87" w:line="244" w:lineRule="auto"/>
              <w:ind w:right="127"/>
              <w:rPr>
                <w:sz w:val="17"/>
              </w:rPr>
            </w:pPr>
            <w:r>
              <w:rPr>
                <w:color w:val="231F20"/>
                <w:sz w:val="17"/>
              </w:rPr>
              <w:t>Three large summer/autumn 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83"/>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83"/>
              </w:numPr>
              <w:tabs>
                <w:tab w:val="left" w:pos="305"/>
              </w:tabs>
              <w:spacing w:before="87" w:line="244" w:lineRule="auto"/>
              <w:ind w:right="195"/>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83"/>
              </w:numPr>
              <w:tabs>
                <w:tab w:val="left" w:pos="305"/>
              </w:tabs>
              <w:spacing w:before="87" w:line="244" w:lineRule="auto"/>
              <w:ind w:right="399"/>
              <w:rPr>
                <w:sz w:val="17"/>
              </w:rPr>
            </w:pPr>
            <w:r>
              <w:rPr>
                <w:color w:val="231F20"/>
                <w:sz w:val="17"/>
              </w:rPr>
              <w:t xml:space="preserve">One large </w:t>
            </w:r>
            <w:r>
              <w:rPr>
                <w:color w:val="231F20"/>
                <w:spacing w:val="-1"/>
                <w:sz w:val="17"/>
              </w:rPr>
              <w:t xml:space="preserve">winter/spring </w:t>
            </w:r>
            <w:r>
              <w:rPr>
                <w:color w:val="231F20"/>
                <w:sz w:val="17"/>
              </w:rPr>
              <w:t>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82"/>
              </w:numPr>
              <w:tabs>
                <w:tab w:val="left" w:pos="304"/>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82"/>
              </w:numPr>
              <w:tabs>
                <w:tab w:val="left" w:pos="304"/>
              </w:tabs>
              <w:spacing w:before="87" w:line="244" w:lineRule="auto"/>
              <w:ind w:right="196"/>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82"/>
              </w:numPr>
              <w:tabs>
                <w:tab w:val="left" w:pos="304"/>
              </w:tabs>
              <w:spacing w:before="87" w:line="244" w:lineRule="auto"/>
              <w:ind w:right="399"/>
              <w:rPr>
                <w:sz w:val="17"/>
              </w:rPr>
            </w:pPr>
            <w:r>
              <w:rPr>
                <w:color w:val="231F20"/>
                <w:sz w:val="17"/>
              </w:rPr>
              <w:t xml:space="preserve">One large </w:t>
            </w:r>
            <w:r>
              <w:rPr>
                <w:color w:val="231F20"/>
                <w:spacing w:val="-1"/>
                <w:sz w:val="17"/>
              </w:rPr>
              <w:t xml:space="preserve">winter/spring </w:t>
            </w:r>
            <w:r>
              <w:rPr>
                <w:color w:val="231F20"/>
                <w:sz w:val="17"/>
              </w:rPr>
              <w:t>freshes</w:t>
            </w:r>
          </w:p>
        </w:tc>
      </w:tr>
    </w:tbl>
    <w:p w:rsidR="006A7A3F" w:rsidRDefault="006A7A3F">
      <w:pPr>
        <w:spacing w:line="244" w:lineRule="auto"/>
        <w:rPr>
          <w:sz w:val="17"/>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1701"/>
        <w:gridCol w:w="1701"/>
        <w:gridCol w:w="1701"/>
        <w:gridCol w:w="1701"/>
        <w:gridCol w:w="1701"/>
      </w:tblGrid>
      <w:tr w:rsidR="006A7A3F" w:rsidTr="00F71DF3">
        <w:trPr>
          <w:trHeight w:val="587"/>
          <w:tblHeader/>
        </w:trPr>
        <w:tc>
          <w:tcPr>
            <w:tcW w:w="1701" w:type="dxa"/>
            <w:tcBorders>
              <w:top w:val="nil"/>
              <w:left w:val="nil"/>
              <w:bottom w:val="nil"/>
            </w:tcBorders>
            <w:shd w:val="clear" w:color="auto" w:fill="231F20"/>
          </w:tcPr>
          <w:p w:rsidR="006A7A3F" w:rsidRDefault="00BC7372">
            <w:pPr>
              <w:pStyle w:val="TableParagraph"/>
              <w:spacing w:before="73" w:line="254" w:lineRule="auto"/>
              <w:ind w:left="90" w:right="826"/>
              <w:rPr>
                <w:b/>
                <w:sz w:val="18"/>
              </w:rPr>
            </w:pPr>
            <w:r>
              <w:rPr>
                <w:b/>
                <w:color w:val="FFFFFF"/>
                <w:sz w:val="18"/>
              </w:rPr>
              <w:t>Planning scenario</w:t>
            </w:r>
          </w:p>
        </w:tc>
        <w:tc>
          <w:tcPr>
            <w:tcW w:w="170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Extreme drought</w:t>
            </w:r>
          </w:p>
        </w:tc>
        <w:tc>
          <w:tcPr>
            <w:tcW w:w="170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Drought</w:t>
            </w:r>
          </w:p>
        </w:tc>
        <w:tc>
          <w:tcPr>
            <w:tcW w:w="170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Dry</w:t>
            </w:r>
          </w:p>
        </w:tc>
        <w:tc>
          <w:tcPr>
            <w:tcW w:w="170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Average</w:t>
            </w:r>
          </w:p>
        </w:tc>
        <w:tc>
          <w:tcPr>
            <w:tcW w:w="1701" w:type="dxa"/>
            <w:tcBorders>
              <w:top w:val="nil"/>
              <w:bottom w:val="nil"/>
            </w:tcBorders>
            <w:shd w:val="clear" w:color="auto" w:fill="231F20"/>
          </w:tcPr>
          <w:p w:rsidR="006A7A3F" w:rsidRDefault="00BC7372">
            <w:pPr>
              <w:pStyle w:val="TableParagraph"/>
              <w:spacing w:before="73"/>
              <w:ind w:left="83"/>
              <w:rPr>
                <w:b/>
                <w:sz w:val="18"/>
              </w:rPr>
            </w:pPr>
            <w:r>
              <w:rPr>
                <w:b/>
                <w:color w:val="FFFFFF"/>
                <w:sz w:val="18"/>
              </w:rPr>
              <w:t>Wet</w:t>
            </w:r>
          </w:p>
        </w:tc>
      </w:tr>
      <w:tr w:rsidR="006A7A3F">
        <w:trPr>
          <w:trHeight w:val="3198"/>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63"/>
              <w:ind w:left="85"/>
              <w:rPr>
                <w:sz w:val="18"/>
              </w:rPr>
            </w:pPr>
            <w:r>
              <w:rPr>
                <w:color w:val="231F20"/>
                <w:sz w:val="18"/>
              </w:rPr>
              <w:t>Upper Burnt Creek</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81"/>
              </w:numPr>
              <w:tabs>
                <w:tab w:val="left" w:pos="305"/>
              </w:tabs>
              <w:spacing w:before="68"/>
              <w:rPr>
                <w:sz w:val="17"/>
              </w:rPr>
            </w:pPr>
            <w:r>
              <w:rPr>
                <w:color w:val="231F20"/>
                <w:sz w:val="17"/>
              </w:rPr>
              <w:t>N/A</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80"/>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80"/>
              </w:numPr>
              <w:tabs>
                <w:tab w:val="left" w:pos="305"/>
              </w:tabs>
              <w:spacing w:before="87" w:line="244" w:lineRule="auto"/>
              <w:ind w:right="195"/>
              <w:rPr>
                <w:sz w:val="17"/>
              </w:rPr>
            </w:pPr>
            <w:r>
              <w:rPr>
                <w:color w:val="231F20"/>
                <w:sz w:val="17"/>
              </w:rPr>
              <w:t>Increased duration winter/ spring low</w:t>
            </w:r>
            <w:r>
              <w:rPr>
                <w:color w:val="231F20"/>
                <w:spacing w:val="16"/>
                <w:sz w:val="17"/>
              </w:rPr>
              <w:t xml:space="preserve"> </w:t>
            </w:r>
            <w:r>
              <w:rPr>
                <w:color w:val="231F20"/>
                <w:sz w:val="17"/>
              </w:rPr>
              <w:t>flow</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79"/>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78"/>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78"/>
              </w:numPr>
              <w:tabs>
                <w:tab w:val="left" w:pos="305"/>
              </w:tabs>
              <w:spacing w:before="87" w:line="244" w:lineRule="auto"/>
              <w:ind w:right="127"/>
              <w:rPr>
                <w:sz w:val="17"/>
              </w:rPr>
            </w:pPr>
            <w:r>
              <w:rPr>
                <w:color w:val="231F20"/>
                <w:sz w:val="17"/>
              </w:rPr>
              <w:t>Increased duration and magnitude summer/autumn freshes</w:t>
            </w:r>
          </w:p>
          <w:p w:rsidR="006A7A3F" w:rsidRDefault="00BC7372">
            <w:pPr>
              <w:pStyle w:val="TableParagraph"/>
              <w:numPr>
                <w:ilvl w:val="0"/>
                <w:numId w:val="878"/>
              </w:numPr>
              <w:tabs>
                <w:tab w:val="left" w:pos="305"/>
              </w:tabs>
              <w:spacing w:before="88" w:line="244" w:lineRule="auto"/>
              <w:ind w:right="195"/>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78"/>
              </w:numPr>
              <w:tabs>
                <w:tab w:val="left" w:pos="305"/>
              </w:tabs>
              <w:spacing w:before="87" w:line="244" w:lineRule="auto"/>
              <w:ind w:right="291"/>
              <w:rPr>
                <w:sz w:val="17"/>
              </w:rPr>
            </w:pPr>
            <w:r>
              <w:rPr>
                <w:color w:val="231F20"/>
                <w:sz w:val="17"/>
              </w:rPr>
              <w:t>Large winter/ spring</w:t>
            </w:r>
            <w:r>
              <w:rPr>
                <w:color w:val="231F20"/>
                <w:spacing w:val="20"/>
                <w:sz w:val="17"/>
              </w:rPr>
              <w:t xml:space="preserve"> </w:t>
            </w:r>
            <w:r>
              <w:rPr>
                <w:color w:val="231F20"/>
                <w:spacing w:val="-3"/>
                <w:sz w:val="17"/>
              </w:rPr>
              <w:t>freshes</w:t>
            </w:r>
          </w:p>
        </w:tc>
        <w:tc>
          <w:tcPr>
            <w:tcW w:w="170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77"/>
              </w:numPr>
              <w:tabs>
                <w:tab w:val="left" w:pos="304"/>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77"/>
              </w:numPr>
              <w:tabs>
                <w:tab w:val="left" w:pos="304"/>
              </w:tabs>
              <w:spacing w:before="87" w:line="244" w:lineRule="auto"/>
              <w:ind w:right="127"/>
              <w:rPr>
                <w:sz w:val="17"/>
              </w:rPr>
            </w:pPr>
            <w:r>
              <w:rPr>
                <w:color w:val="231F20"/>
                <w:sz w:val="17"/>
              </w:rPr>
              <w:t>Increased duration and magnitude summer/autumn freshes</w:t>
            </w:r>
          </w:p>
          <w:p w:rsidR="006A7A3F" w:rsidRDefault="00BC7372">
            <w:pPr>
              <w:pStyle w:val="TableParagraph"/>
              <w:numPr>
                <w:ilvl w:val="0"/>
                <w:numId w:val="877"/>
              </w:numPr>
              <w:tabs>
                <w:tab w:val="left" w:pos="304"/>
              </w:tabs>
              <w:spacing w:before="88" w:line="244" w:lineRule="auto"/>
              <w:ind w:right="196"/>
              <w:rPr>
                <w:sz w:val="17"/>
              </w:rPr>
            </w:pPr>
            <w:r>
              <w:rPr>
                <w:color w:val="231F20"/>
                <w:sz w:val="17"/>
              </w:rPr>
              <w:t>Increased duration winter/ spring low</w:t>
            </w:r>
            <w:r>
              <w:rPr>
                <w:color w:val="231F20"/>
                <w:spacing w:val="16"/>
                <w:sz w:val="17"/>
              </w:rPr>
              <w:t xml:space="preserve"> </w:t>
            </w:r>
            <w:r>
              <w:rPr>
                <w:color w:val="231F20"/>
                <w:sz w:val="17"/>
              </w:rPr>
              <w:t>flow</w:t>
            </w:r>
          </w:p>
          <w:p w:rsidR="006A7A3F" w:rsidRDefault="00BC7372">
            <w:pPr>
              <w:pStyle w:val="TableParagraph"/>
              <w:numPr>
                <w:ilvl w:val="0"/>
                <w:numId w:val="877"/>
              </w:numPr>
              <w:tabs>
                <w:tab w:val="left" w:pos="304"/>
              </w:tabs>
              <w:spacing w:before="87" w:line="244" w:lineRule="auto"/>
              <w:ind w:right="291"/>
              <w:rPr>
                <w:sz w:val="17"/>
              </w:rPr>
            </w:pPr>
            <w:r>
              <w:rPr>
                <w:color w:val="231F20"/>
                <w:sz w:val="17"/>
              </w:rPr>
              <w:t>Large winter/ spring</w:t>
            </w:r>
            <w:r>
              <w:rPr>
                <w:color w:val="231F20"/>
                <w:spacing w:val="21"/>
                <w:sz w:val="17"/>
              </w:rPr>
              <w:t xml:space="preserve"> </w:t>
            </w:r>
            <w:r>
              <w:rPr>
                <w:color w:val="231F20"/>
                <w:spacing w:val="-3"/>
                <w:sz w:val="17"/>
              </w:rPr>
              <w:t>freshes</w:t>
            </w:r>
          </w:p>
        </w:tc>
      </w:tr>
      <w:tr w:rsidR="006A7A3F">
        <w:trPr>
          <w:trHeight w:val="567"/>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475"/>
              <w:rPr>
                <w:sz w:val="18"/>
              </w:rPr>
            </w:pPr>
            <w:r>
              <w:rPr>
                <w:color w:val="231F20"/>
                <w:sz w:val="18"/>
              </w:rPr>
              <w:t>Upper Mount William Creek</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76"/>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75"/>
              </w:numPr>
              <w:tabs>
                <w:tab w:val="left" w:pos="305"/>
              </w:tabs>
              <w:spacing w:before="68"/>
              <w:rPr>
                <w:sz w:val="17"/>
              </w:rPr>
            </w:pPr>
            <w:r>
              <w:rPr>
                <w:color w:val="231F20"/>
                <w:spacing w:val="-4"/>
                <w:sz w:val="17"/>
              </w:rPr>
              <w:t>Top-ups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74"/>
              </w:numPr>
              <w:tabs>
                <w:tab w:val="left" w:pos="305"/>
              </w:tabs>
              <w:spacing w:before="68"/>
              <w:ind w:hanging="21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73"/>
              </w:numPr>
              <w:tabs>
                <w:tab w:val="left" w:pos="305"/>
              </w:tabs>
              <w:spacing w:before="68"/>
              <w:ind w:hanging="21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72"/>
              </w:numPr>
              <w:tabs>
                <w:tab w:val="left" w:pos="304"/>
              </w:tabs>
              <w:spacing w:before="68"/>
              <w:rPr>
                <w:sz w:val="17"/>
              </w:rPr>
            </w:pPr>
            <w:r>
              <w:rPr>
                <w:color w:val="231F20"/>
                <w:sz w:val="17"/>
              </w:rPr>
              <w:t>N/A</w:t>
            </w:r>
          </w:p>
        </w:tc>
      </w:tr>
      <w:tr w:rsidR="006A7A3F">
        <w:trPr>
          <w:trHeight w:val="319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475"/>
              <w:rPr>
                <w:sz w:val="18"/>
              </w:rPr>
            </w:pPr>
            <w:r>
              <w:rPr>
                <w:color w:val="231F20"/>
                <w:sz w:val="18"/>
              </w:rPr>
              <w:t>Lower Mount William Creek</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71"/>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70"/>
              </w:numPr>
              <w:tabs>
                <w:tab w:val="left" w:pos="305"/>
              </w:tabs>
              <w:spacing w:before="68" w:line="244" w:lineRule="auto"/>
              <w:ind w:right="330"/>
              <w:rPr>
                <w:sz w:val="17"/>
              </w:rPr>
            </w:pPr>
            <w:r>
              <w:rPr>
                <w:color w:val="231F20"/>
                <w:sz w:val="17"/>
              </w:rPr>
              <w:t xml:space="preserve">One </w:t>
            </w:r>
            <w:r>
              <w:rPr>
                <w:color w:val="231F20"/>
                <w:spacing w:val="-3"/>
                <w:sz w:val="17"/>
              </w:rPr>
              <w:t xml:space="preserve">summer/ </w:t>
            </w:r>
            <w:r>
              <w:rPr>
                <w:color w:val="231F20"/>
                <w:sz w:val="17"/>
              </w:rPr>
              <w:t>autumn</w:t>
            </w:r>
            <w:r>
              <w:rPr>
                <w:color w:val="231F20"/>
                <w:spacing w:val="9"/>
                <w:sz w:val="17"/>
              </w:rPr>
              <w:t xml:space="preserve"> </w:t>
            </w:r>
            <w:r>
              <w:rPr>
                <w:color w:val="231F20"/>
                <w:sz w:val="17"/>
              </w:rPr>
              <w:t>fresh</w:t>
            </w:r>
          </w:p>
          <w:p w:rsidR="006A7A3F" w:rsidRDefault="00BC7372">
            <w:pPr>
              <w:pStyle w:val="TableParagraph"/>
              <w:numPr>
                <w:ilvl w:val="0"/>
                <w:numId w:val="870"/>
              </w:numPr>
              <w:tabs>
                <w:tab w:val="left" w:pos="305"/>
              </w:tabs>
              <w:spacing w:before="86" w:line="244" w:lineRule="auto"/>
              <w:ind w:right="98"/>
              <w:rPr>
                <w:sz w:val="17"/>
              </w:rPr>
            </w:pPr>
            <w:r>
              <w:rPr>
                <w:color w:val="231F20"/>
                <w:sz w:val="17"/>
              </w:rPr>
              <w:t>Summer/autumn low</w:t>
            </w:r>
            <w:r>
              <w:rPr>
                <w:color w:val="231F20"/>
                <w:spacing w:val="1"/>
                <w:sz w:val="17"/>
              </w:rPr>
              <w:t xml:space="preserve"> </w:t>
            </w:r>
            <w:r>
              <w:rPr>
                <w:color w:val="231F20"/>
                <w:sz w:val="17"/>
              </w:rPr>
              <w:t>flow</w:t>
            </w:r>
          </w:p>
          <w:p w:rsidR="006A7A3F" w:rsidRDefault="00BC7372">
            <w:pPr>
              <w:pStyle w:val="TableParagraph"/>
              <w:numPr>
                <w:ilvl w:val="0"/>
                <w:numId w:val="870"/>
              </w:numPr>
              <w:tabs>
                <w:tab w:val="left" w:pos="305"/>
              </w:tabs>
              <w:spacing w:before="86" w:line="244" w:lineRule="auto"/>
              <w:ind w:right="475"/>
              <w:rPr>
                <w:sz w:val="17"/>
              </w:rPr>
            </w:pPr>
            <w:r>
              <w:rPr>
                <w:color w:val="231F20"/>
                <w:sz w:val="17"/>
              </w:rPr>
              <w:t>One winter/ spring</w:t>
            </w:r>
            <w:r>
              <w:rPr>
                <w:color w:val="231F20"/>
                <w:spacing w:val="17"/>
                <w:sz w:val="17"/>
              </w:rPr>
              <w:t xml:space="preserve"> </w:t>
            </w:r>
            <w:r>
              <w:rPr>
                <w:color w:val="231F20"/>
                <w:spacing w:val="-4"/>
                <w:sz w:val="17"/>
              </w:rPr>
              <w:t>fresh</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9"/>
              </w:numPr>
              <w:tabs>
                <w:tab w:val="left" w:pos="305"/>
              </w:tabs>
              <w:spacing w:before="68" w:line="244" w:lineRule="auto"/>
              <w:ind w:right="127"/>
              <w:rPr>
                <w:sz w:val="17"/>
              </w:rPr>
            </w:pPr>
            <w:r>
              <w:rPr>
                <w:color w:val="231F20"/>
                <w:sz w:val="17"/>
              </w:rPr>
              <w:t>Increased duration and magnitude summer/autumn freshes</w:t>
            </w:r>
          </w:p>
          <w:p w:rsidR="006A7A3F" w:rsidRDefault="00BC7372">
            <w:pPr>
              <w:pStyle w:val="TableParagraph"/>
              <w:numPr>
                <w:ilvl w:val="0"/>
                <w:numId w:val="869"/>
              </w:numPr>
              <w:tabs>
                <w:tab w:val="left" w:pos="305"/>
              </w:tabs>
              <w:spacing w:before="8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69"/>
              </w:numPr>
              <w:tabs>
                <w:tab w:val="left" w:pos="305"/>
              </w:tabs>
              <w:spacing w:before="87" w:line="244" w:lineRule="auto"/>
              <w:ind w:right="291"/>
              <w:rPr>
                <w:sz w:val="17"/>
              </w:rPr>
            </w:pPr>
            <w:r>
              <w:rPr>
                <w:color w:val="231F20"/>
                <w:spacing w:val="-4"/>
                <w:sz w:val="17"/>
              </w:rPr>
              <w:t xml:space="preserve">Two </w:t>
            </w:r>
            <w:r>
              <w:rPr>
                <w:color w:val="231F20"/>
                <w:sz w:val="17"/>
              </w:rPr>
              <w:t>winter/ spring</w:t>
            </w:r>
            <w:r>
              <w:rPr>
                <w:color w:val="231F20"/>
                <w:spacing w:val="20"/>
                <w:sz w:val="17"/>
              </w:rPr>
              <w:t xml:space="preserve"> </w:t>
            </w:r>
            <w:r>
              <w:rPr>
                <w:color w:val="231F20"/>
                <w:spacing w:val="-3"/>
                <w:sz w:val="17"/>
              </w:rPr>
              <w:t>freshes</w:t>
            </w:r>
          </w:p>
          <w:p w:rsidR="006A7A3F" w:rsidRDefault="00BC7372">
            <w:pPr>
              <w:pStyle w:val="TableParagraph"/>
              <w:numPr>
                <w:ilvl w:val="0"/>
                <w:numId w:val="869"/>
              </w:numPr>
              <w:tabs>
                <w:tab w:val="left" w:pos="305"/>
              </w:tabs>
              <w:spacing w:before="87" w:line="244" w:lineRule="auto"/>
              <w:ind w:right="195"/>
              <w:rPr>
                <w:sz w:val="17"/>
              </w:rPr>
            </w:pPr>
            <w:r>
              <w:rPr>
                <w:color w:val="231F20"/>
                <w:sz w:val="17"/>
              </w:rPr>
              <w:t>Increased duration winter/ spring low</w:t>
            </w:r>
            <w:r>
              <w:rPr>
                <w:color w:val="231F20"/>
                <w:spacing w:val="16"/>
                <w:sz w:val="17"/>
              </w:rPr>
              <w:t xml:space="preserve"> </w:t>
            </w:r>
            <w:r>
              <w:rPr>
                <w:color w:val="231F20"/>
                <w:sz w:val="17"/>
              </w:rPr>
              <w:t>flow</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8"/>
              </w:numPr>
              <w:tabs>
                <w:tab w:val="left" w:pos="305"/>
              </w:tabs>
              <w:spacing w:before="68" w:line="244" w:lineRule="auto"/>
              <w:ind w:right="195"/>
              <w:rPr>
                <w:sz w:val="17"/>
              </w:rPr>
            </w:pPr>
            <w:r>
              <w:rPr>
                <w:color w:val="231F20"/>
                <w:sz w:val="17"/>
              </w:rPr>
              <w:t>Increased duration and magnitude winter/spring freshes Increased duration winter/ spring low</w:t>
            </w:r>
            <w:r>
              <w:rPr>
                <w:color w:val="231F20"/>
                <w:spacing w:val="16"/>
                <w:sz w:val="17"/>
              </w:rPr>
              <w:t xml:space="preserve"> </w:t>
            </w:r>
            <w:r>
              <w:rPr>
                <w:color w:val="231F20"/>
                <w:sz w:val="17"/>
              </w:rPr>
              <w:t>flow</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7"/>
              </w:numPr>
              <w:tabs>
                <w:tab w:val="left" w:pos="304"/>
              </w:tabs>
              <w:spacing w:before="68" w:line="244" w:lineRule="auto"/>
              <w:ind w:right="399"/>
              <w:rPr>
                <w:sz w:val="17"/>
              </w:rPr>
            </w:pPr>
            <w:r>
              <w:rPr>
                <w:color w:val="231F20"/>
                <w:sz w:val="17"/>
              </w:rPr>
              <w:t xml:space="preserve">Increased duration and magnitude </w:t>
            </w:r>
            <w:r>
              <w:rPr>
                <w:color w:val="231F20"/>
                <w:spacing w:val="-1"/>
                <w:sz w:val="17"/>
              </w:rPr>
              <w:t xml:space="preserve">winter/spring </w:t>
            </w:r>
            <w:r>
              <w:rPr>
                <w:color w:val="231F20"/>
                <w:sz w:val="17"/>
              </w:rPr>
              <w:t>freshes</w:t>
            </w:r>
          </w:p>
          <w:p w:rsidR="006A7A3F" w:rsidRDefault="00BC7372">
            <w:pPr>
              <w:pStyle w:val="TableParagraph"/>
              <w:numPr>
                <w:ilvl w:val="0"/>
                <w:numId w:val="867"/>
              </w:numPr>
              <w:tabs>
                <w:tab w:val="left" w:pos="304"/>
              </w:tabs>
              <w:spacing w:before="88" w:line="244" w:lineRule="auto"/>
              <w:ind w:right="196"/>
              <w:rPr>
                <w:sz w:val="17"/>
              </w:rPr>
            </w:pPr>
            <w:r>
              <w:rPr>
                <w:color w:val="231F20"/>
                <w:sz w:val="17"/>
              </w:rPr>
              <w:t>Increased duration winter/ spring low</w:t>
            </w:r>
            <w:r>
              <w:rPr>
                <w:color w:val="231F20"/>
                <w:spacing w:val="16"/>
                <w:sz w:val="17"/>
              </w:rPr>
              <w:t xml:space="preserve"> </w:t>
            </w:r>
            <w:r>
              <w:rPr>
                <w:color w:val="231F20"/>
                <w:sz w:val="17"/>
              </w:rPr>
              <w:t>flow</w:t>
            </w:r>
          </w:p>
        </w:tc>
      </w:tr>
      <w:tr w:rsidR="006A7A3F">
        <w:trPr>
          <w:trHeight w:val="362"/>
        </w:trPr>
        <w:tc>
          <w:tcPr>
            <w:tcW w:w="10206" w:type="dxa"/>
            <w:gridSpan w:val="6"/>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59"/>
              <w:ind w:left="85"/>
              <w:rPr>
                <w:b/>
                <w:sz w:val="20"/>
              </w:rPr>
            </w:pPr>
            <w:r>
              <w:rPr>
                <w:b/>
                <w:color w:val="231F20"/>
                <w:sz w:val="20"/>
              </w:rPr>
              <w:t>Potential environmental watering – tier 2 (additional priorities)</w:t>
            </w:r>
          </w:p>
        </w:tc>
      </w:tr>
      <w:tr w:rsidR="006A7A3F">
        <w:trPr>
          <w:trHeight w:val="567"/>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346"/>
              <w:rPr>
                <w:sz w:val="18"/>
              </w:rPr>
            </w:pPr>
            <w:r>
              <w:rPr>
                <w:color w:val="231F20"/>
                <w:sz w:val="18"/>
              </w:rPr>
              <w:t>Wimmera River reaches 2 &amp; 3</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6"/>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5"/>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4"/>
              </w:numPr>
              <w:tabs>
                <w:tab w:val="left" w:pos="305"/>
              </w:tabs>
              <w:spacing w:before="68"/>
              <w:ind w:hanging="21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3"/>
              </w:numPr>
              <w:tabs>
                <w:tab w:val="left" w:pos="305"/>
              </w:tabs>
              <w:spacing w:before="68" w:line="244" w:lineRule="auto"/>
              <w:ind w:right="359"/>
              <w:rPr>
                <w:sz w:val="17"/>
              </w:rPr>
            </w:pPr>
            <w:r>
              <w:rPr>
                <w:color w:val="231F20"/>
                <w:sz w:val="17"/>
              </w:rPr>
              <w:t>Winter/spring low</w:t>
            </w:r>
            <w:r>
              <w:rPr>
                <w:color w:val="231F20"/>
                <w:spacing w:val="2"/>
                <w:sz w:val="17"/>
              </w:rPr>
              <w:t xml:space="preserve"> </w:t>
            </w:r>
            <w:r>
              <w:rPr>
                <w:color w:val="231F20"/>
                <w:sz w:val="17"/>
              </w:rPr>
              <w:t>flow</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2"/>
              </w:numPr>
              <w:tabs>
                <w:tab w:val="left" w:pos="304"/>
              </w:tabs>
              <w:spacing w:before="68" w:line="244" w:lineRule="auto"/>
              <w:ind w:right="359"/>
              <w:rPr>
                <w:sz w:val="17"/>
              </w:rPr>
            </w:pPr>
            <w:r>
              <w:rPr>
                <w:color w:val="231F20"/>
                <w:sz w:val="17"/>
              </w:rPr>
              <w:t>Winter/spring low</w:t>
            </w:r>
            <w:r>
              <w:rPr>
                <w:color w:val="231F20"/>
                <w:spacing w:val="2"/>
                <w:sz w:val="17"/>
              </w:rPr>
              <w:t xml:space="preserve"> </w:t>
            </w:r>
            <w:r>
              <w:rPr>
                <w:color w:val="231F20"/>
                <w:sz w:val="17"/>
              </w:rPr>
              <w:t>flow</w:t>
            </w:r>
          </w:p>
        </w:tc>
      </w:tr>
      <w:tr w:rsidR="006A7A3F">
        <w:trPr>
          <w:trHeight w:val="162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346"/>
              <w:rPr>
                <w:sz w:val="18"/>
              </w:rPr>
            </w:pPr>
            <w:r>
              <w:rPr>
                <w:color w:val="231F20"/>
                <w:sz w:val="18"/>
              </w:rPr>
              <w:t>Wimmera River reach 4</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1"/>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60"/>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9"/>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8"/>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58"/>
              </w:numPr>
              <w:tabs>
                <w:tab w:val="left" w:pos="305"/>
              </w:tabs>
              <w:spacing w:before="87" w:line="244" w:lineRule="auto"/>
              <w:ind w:right="399"/>
              <w:rPr>
                <w:sz w:val="17"/>
              </w:rPr>
            </w:pPr>
            <w:r>
              <w:rPr>
                <w:color w:val="231F20"/>
                <w:sz w:val="17"/>
              </w:rPr>
              <w:t xml:space="preserve">One large </w:t>
            </w:r>
            <w:r>
              <w:rPr>
                <w:color w:val="231F20"/>
                <w:spacing w:val="-1"/>
                <w:sz w:val="17"/>
              </w:rPr>
              <w:t xml:space="preserve">winter/spring </w:t>
            </w:r>
            <w:r>
              <w:rPr>
                <w:color w:val="231F20"/>
                <w:sz w:val="17"/>
              </w:rPr>
              <w:t>fresh</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7"/>
              </w:numPr>
              <w:tabs>
                <w:tab w:val="left" w:pos="304"/>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57"/>
              </w:numPr>
              <w:tabs>
                <w:tab w:val="left" w:pos="304"/>
              </w:tabs>
              <w:spacing w:before="87" w:line="244" w:lineRule="auto"/>
              <w:ind w:right="399"/>
              <w:rPr>
                <w:sz w:val="17"/>
              </w:rPr>
            </w:pPr>
            <w:r>
              <w:rPr>
                <w:color w:val="231F20"/>
                <w:sz w:val="17"/>
              </w:rPr>
              <w:t xml:space="preserve">One large </w:t>
            </w:r>
            <w:r>
              <w:rPr>
                <w:color w:val="231F20"/>
                <w:spacing w:val="-1"/>
                <w:sz w:val="17"/>
              </w:rPr>
              <w:t xml:space="preserve">winter/spring </w:t>
            </w:r>
            <w:r>
              <w:rPr>
                <w:color w:val="231F20"/>
                <w:sz w:val="17"/>
              </w:rPr>
              <w:t>fresh</w:t>
            </w:r>
          </w:p>
        </w:tc>
      </w:tr>
      <w:tr w:rsidR="006A7A3F">
        <w:trPr>
          <w:trHeight w:val="202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25"/>
              <w:rPr>
                <w:sz w:val="18"/>
              </w:rPr>
            </w:pPr>
            <w:r>
              <w:rPr>
                <w:color w:val="231F20"/>
                <w:sz w:val="18"/>
              </w:rPr>
              <w:t>MacKenzie River reach 3</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6"/>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5"/>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4"/>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54"/>
              </w:numPr>
              <w:tabs>
                <w:tab w:val="left" w:pos="305"/>
              </w:tabs>
              <w:spacing w:before="87" w:line="244" w:lineRule="auto"/>
              <w:ind w:right="330"/>
              <w:rPr>
                <w:sz w:val="17"/>
              </w:rPr>
            </w:pPr>
            <w:r>
              <w:rPr>
                <w:color w:val="231F20"/>
                <w:sz w:val="17"/>
              </w:rPr>
              <w:t xml:space="preserve">One </w:t>
            </w:r>
            <w:r>
              <w:rPr>
                <w:color w:val="231F20"/>
                <w:spacing w:val="-3"/>
                <w:sz w:val="17"/>
              </w:rPr>
              <w:t xml:space="preserve">summer/ </w:t>
            </w:r>
            <w:r>
              <w:rPr>
                <w:color w:val="231F20"/>
                <w:sz w:val="17"/>
              </w:rPr>
              <w:t>autumn</w:t>
            </w:r>
            <w:r>
              <w:rPr>
                <w:color w:val="231F20"/>
                <w:spacing w:val="9"/>
                <w:sz w:val="17"/>
              </w:rPr>
              <w:t xml:space="preserve"> </w:t>
            </w:r>
            <w:r>
              <w:rPr>
                <w:color w:val="231F20"/>
                <w:sz w:val="17"/>
              </w:rPr>
              <w:t>fresh</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3"/>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53"/>
              </w:numPr>
              <w:tabs>
                <w:tab w:val="left" w:pos="305"/>
              </w:tabs>
              <w:spacing w:before="87" w:line="244" w:lineRule="auto"/>
              <w:ind w:right="127"/>
              <w:rPr>
                <w:sz w:val="17"/>
              </w:rPr>
            </w:pPr>
            <w:r>
              <w:rPr>
                <w:color w:val="231F20"/>
                <w:sz w:val="17"/>
              </w:rPr>
              <w:t>Increased duration and magnitude summer/autumn freshes</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2"/>
              </w:numPr>
              <w:tabs>
                <w:tab w:val="left" w:pos="304"/>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p w:rsidR="006A7A3F" w:rsidRDefault="00BC7372">
            <w:pPr>
              <w:pStyle w:val="TableParagraph"/>
              <w:numPr>
                <w:ilvl w:val="0"/>
                <w:numId w:val="852"/>
              </w:numPr>
              <w:tabs>
                <w:tab w:val="left" w:pos="304"/>
              </w:tabs>
              <w:spacing w:before="87" w:line="244" w:lineRule="auto"/>
              <w:ind w:right="127"/>
              <w:rPr>
                <w:sz w:val="17"/>
              </w:rPr>
            </w:pPr>
            <w:r>
              <w:rPr>
                <w:color w:val="231F20"/>
                <w:sz w:val="17"/>
              </w:rPr>
              <w:t>Increased duration and magnitude summer/autumn freshes</w:t>
            </w:r>
          </w:p>
        </w:tc>
      </w:tr>
      <w:tr w:rsidR="006A7A3F">
        <w:trPr>
          <w:trHeight w:val="94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475"/>
              <w:rPr>
                <w:sz w:val="18"/>
              </w:rPr>
            </w:pPr>
            <w:r>
              <w:rPr>
                <w:color w:val="231F20"/>
                <w:sz w:val="18"/>
              </w:rPr>
              <w:t>Lower Mount William Creek</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1"/>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50"/>
              </w:numPr>
              <w:tabs>
                <w:tab w:val="left" w:pos="305"/>
              </w:tabs>
              <w:spacing w:before="68"/>
              <w:rPr>
                <w:sz w:val="17"/>
              </w:rPr>
            </w:pPr>
            <w:r>
              <w:rPr>
                <w:color w:val="231F20"/>
                <w:sz w:val="17"/>
              </w:rPr>
              <w:t>N/A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49"/>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48"/>
              </w:numPr>
              <w:tabs>
                <w:tab w:val="left" w:pos="305"/>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47"/>
              </w:numPr>
              <w:tabs>
                <w:tab w:val="left" w:pos="304"/>
              </w:tabs>
              <w:spacing w:before="68" w:line="244" w:lineRule="auto"/>
              <w:ind w:right="127"/>
              <w:rPr>
                <w:sz w:val="17"/>
              </w:rPr>
            </w:pPr>
            <w:r>
              <w:rPr>
                <w:color w:val="231F20"/>
                <w:sz w:val="17"/>
              </w:rPr>
              <w:t>Increased duration summer/autumn low</w:t>
            </w:r>
            <w:r>
              <w:rPr>
                <w:color w:val="231F20"/>
                <w:spacing w:val="1"/>
                <w:sz w:val="17"/>
              </w:rPr>
              <w:t xml:space="preserve"> </w:t>
            </w:r>
            <w:r>
              <w:rPr>
                <w:color w:val="231F20"/>
                <w:sz w:val="17"/>
              </w:rPr>
              <w:t>flow</w:t>
            </w:r>
          </w:p>
        </w:tc>
      </w:tr>
      <w:tr w:rsidR="006A7A3F">
        <w:trPr>
          <w:trHeight w:val="151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ight="253"/>
              <w:jc w:val="both"/>
              <w:rPr>
                <w:sz w:val="18"/>
              </w:rPr>
            </w:pPr>
            <w:r>
              <w:rPr>
                <w:color w:val="231F20"/>
                <w:sz w:val="18"/>
              </w:rPr>
              <w:t>Possible volume of environmental water required to</w:t>
            </w:r>
          </w:p>
          <w:p w:rsidR="006A7A3F" w:rsidRDefault="00BC7372">
            <w:pPr>
              <w:pStyle w:val="TableParagraph"/>
              <w:spacing w:before="2"/>
              <w:ind w:left="85"/>
              <w:jc w:val="both"/>
              <w:rPr>
                <w:sz w:val="10"/>
              </w:rPr>
            </w:pPr>
            <w:r>
              <w:rPr>
                <w:color w:val="231F20"/>
                <w:sz w:val="18"/>
              </w:rPr>
              <w:t>achieve objectives</w:t>
            </w:r>
            <w:r>
              <w:rPr>
                <w:color w:val="231F20"/>
                <w:position w:val="6"/>
                <w:sz w:val="10"/>
              </w:rPr>
              <w:t>2</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46"/>
              </w:numPr>
              <w:tabs>
                <w:tab w:val="left" w:pos="305"/>
              </w:tabs>
              <w:spacing w:before="68"/>
              <w:ind w:right="473" w:hanging="305"/>
              <w:rPr>
                <w:sz w:val="17"/>
              </w:rPr>
            </w:pPr>
            <w:r>
              <w:rPr>
                <w:color w:val="231F20"/>
                <w:sz w:val="17"/>
              </w:rPr>
              <w:t>10,000</w:t>
            </w:r>
            <w:r>
              <w:rPr>
                <w:color w:val="231F20"/>
                <w:spacing w:val="5"/>
                <w:sz w:val="17"/>
              </w:rPr>
              <w:t xml:space="preserve"> </w:t>
            </w:r>
            <w:r>
              <w:rPr>
                <w:color w:val="231F20"/>
                <w:sz w:val="17"/>
              </w:rPr>
              <w:t>ML</w:t>
            </w:r>
          </w:p>
          <w:p w:rsidR="006A7A3F" w:rsidRDefault="00BC7372">
            <w:pPr>
              <w:pStyle w:val="TableParagraph"/>
              <w:spacing w:before="4"/>
              <w:ind w:left="290" w:right="769"/>
              <w:jc w:val="center"/>
              <w:rPr>
                <w:sz w:val="17"/>
              </w:rPr>
            </w:pPr>
            <w:r>
              <w:rPr>
                <w:color w:val="231F20"/>
                <w:sz w:val="17"/>
              </w:rPr>
              <w:t>(tier 1a)</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45"/>
              </w:numPr>
              <w:tabs>
                <w:tab w:val="left" w:pos="305"/>
              </w:tabs>
              <w:spacing w:before="68"/>
              <w:ind w:right="487" w:hanging="305"/>
              <w:rPr>
                <w:sz w:val="17"/>
              </w:rPr>
            </w:pPr>
            <w:r>
              <w:rPr>
                <w:color w:val="231F20"/>
                <w:spacing w:val="-3"/>
                <w:sz w:val="17"/>
              </w:rPr>
              <w:t>11,900</w:t>
            </w:r>
            <w:r>
              <w:rPr>
                <w:color w:val="231F20"/>
                <w:spacing w:val="7"/>
                <w:sz w:val="17"/>
              </w:rPr>
              <w:t xml:space="preserve"> </w:t>
            </w:r>
            <w:r>
              <w:rPr>
                <w:color w:val="231F20"/>
                <w:sz w:val="17"/>
              </w:rPr>
              <w:t>ML</w:t>
            </w:r>
          </w:p>
          <w:p w:rsidR="006A7A3F" w:rsidRDefault="00BC7372">
            <w:pPr>
              <w:pStyle w:val="TableParagraph"/>
              <w:spacing w:before="4"/>
              <w:ind w:left="290" w:right="770"/>
              <w:jc w:val="center"/>
              <w:rPr>
                <w:sz w:val="17"/>
              </w:rPr>
            </w:pPr>
            <w:r>
              <w:rPr>
                <w:color w:val="231F20"/>
                <w:sz w:val="17"/>
              </w:rPr>
              <w:t>(tier 1a)</w:t>
            </w:r>
          </w:p>
          <w:p w:rsidR="006A7A3F" w:rsidRDefault="00BC7372">
            <w:pPr>
              <w:pStyle w:val="TableParagraph"/>
              <w:numPr>
                <w:ilvl w:val="0"/>
                <w:numId w:val="845"/>
              </w:numPr>
              <w:tabs>
                <w:tab w:val="left" w:pos="305"/>
              </w:tabs>
              <w:spacing w:before="90"/>
              <w:ind w:right="571" w:hanging="305"/>
              <w:rPr>
                <w:sz w:val="17"/>
              </w:rPr>
            </w:pPr>
            <w:r>
              <w:rPr>
                <w:color w:val="231F20"/>
                <w:sz w:val="17"/>
              </w:rPr>
              <w:t>6,680</w:t>
            </w:r>
            <w:r>
              <w:rPr>
                <w:color w:val="231F20"/>
                <w:spacing w:val="4"/>
                <w:sz w:val="17"/>
              </w:rPr>
              <w:t xml:space="preserve"> </w:t>
            </w:r>
            <w:r>
              <w:rPr>
                <w:color w:val="231F20"/>
                <w:sz w:val="17"/>
              </w:rPr>
              <w:t>ML</w:t>
            </w:r>
          </w:p>
          <w:p w:rsidR="006A7A3F" w:rsidRDefault="00BC7372">
            <w:pPr>
              <w:pStyle w:val="TableParagraph"/>
              <w:spacing w:before="4"/>
              <w:ind w:left="290" w:right="770"/>
              <w:jc w:val="center"/>
              <w:rPr>
                <w:sz w:val="17"/>
              </w:rPr>
            </w:pPr>
            <w:r>
              <w:rPr>
                <w:color w:val="231F20"/>
                <w:sz w:val="17"/>
              </w:rPr>
              <w:t>(tier 1b)</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44"/>
              </w:numPr>
              <w:tabs>
                <w:tab w:val="left" w:pos="305"/>
              </w:tabs>
              <w:spacing w:before="68"/>
              <w:ind w:right="474" w:hanging="305"/>
              <w:rPr>
                <w:sz w:val="17"/>
              </w:rPr>
            </w:pPr>
            <w:r>
              <w:rPr>
                <w:color w:val="231F20"/>
                <w:sz w:val="17"/>
              </w:rPr>
              <w:t>18,300</w:t>
            </w:r>
            <w:r>
              <w:rPr>
                <w:color w:val="231F20"/>
                <w:spacing w:val="5"/>
                <w:sz w:val="17"/>
              </w:rPr>
              <w:t xml:space="preserve"> </w:t>
            </w:r>
            <w:r>
              <w:rPr>
                <w:color w:val="231F20"/>
                <w:sz w:val="17"/>
              </w:rPr>
              <w:t>ML</w:t>
            </w:r>
          </w:p>
          <w:p w:rsidR="006A7A3F" w:rsidRDefault="00BC7372">
            <w:pPr>
              <w:pStyle w:val="TableParagraph"/>
              <w:spacing w:before="4"/>
              <w:ind w:left="290" w:right="770"/>
              <w:jc w:val="center"/>
              <w:rPr>
                <w:sz w:val="17"/>
              </w:rPr>
            </w:pPr>
            <w:r>
              <w:rPr>
                <w:color w:val="231F20"/>
                <w:sz w:val="17"/>
              </w:rPr>
              <w:t>(tier 1a)</w:t>
            </w:r>
          </w:p>
          <w:p w:rsidR="006A7A3F" w:rsidRDefault="00BC7372">
            <w:pPr>
              <w:pStyle w:val="TableParagraph"/>
              <w:numPr>
                <w:ilvl w:val="0"/>
                <w:numId w:val="844"/>
              </w:numPr>
              <w:tabs>
                <w:tab w:val="left" w:pos="305"/>
              </w:tabs>
              <w:spacing w:before="90"/>
              <w:ind w:right="487" w:hanging="305"/>
              <w:rPr>
                <w:sz w:val="17"/>
              </w:rPr>
            </w:pPr>
            <w:r>
              <w:rPr>
                <w:color w:val="231F20"/>
                <w:spacing w:val="-3"/>
                <w:sz w:val="17"/>
              </w:rPr>
              <w:t>11,810</w:t>
            </w:r>
            <w:r>
              <w:rPr>
                <w:color w:val="231F20"/>
                <w:spacing w:val="7"/>
                <w:sz w:val="17"/>
              </w:rPr>
              <w:t xml:space="preserve"> </w:t>
            </w:r>
            <w:r>
              <w:rPr>
                <w:color w:val="231F20"/>
                <w:sz w:val="17"/>
              </w:rPr>
              <w:t>ML</w:t>
            </w:r>
          </w:p>
          <w:p w:rsidR="006A7A3F" w:rsidRDefault="00BC7372">
            <w:pPr>
              <w:pStyle w:val="TableParagraph"/>
              <w:spacing w:before="4"/>
              <w:ind w:left="290" w:right="770"/>
              <w:jc w:val="center"/>
              <w:rPr>
                <w:sz w:val="17"/>
              </w:rPr>
            </w:pPr>
            <w:r>
              <w:rPr>
                <w:color w:val="231F20"/>
                <w:sz w:val="17"/>
              </w:rPr>
              <w:t>(tier 1b)</w:t>
            </w:r>
          </w:p>
          <w:p w:rsidR="006A7A3F" w:rsidRDefault="00BC7372">
            <w:pPr>
              <w:pStyle w:val="TableParagraph"/>
              <w:numPr>
                <w:ilvl w:val="0"/>
                <w:numId w:val="844"/>
              </w:numPr>
              <w:tabs>
                <w:tab w:val="left" w:pos="305"/>
              </w:tabs>
              <w:spacing w:before="90"/>
              <w:ind w:right="571" w:hanging="305"/>
              <w:rPr>
                <w:sz w:val="17"/>
              </w:rPr>
            </w:pPr>
            <w:r>
              <w:rPr>
                <w:color w:val="231F20"/>
                <w:sz w:val="17"/>
              </w:rPr>
              <w:t>3,135</w:t>
            </w:r>
            <w:r>
              <w:rPr>
                <w:color w:val="231F20"/>
                <w:spacing w:val="4"/>
                <w:sz w:val="17"/>
              </w:rPr>
              <w:t xml:space="preserve"> </w:t>
            </w:r>
            <w:r>
              <w:rPr>
                <w:color w:val="231F20"/>
                <w:sz w:val="17"/>
              </w:rPr>
              <w:t>ML</w:t>
            </w:r>
          </w:p>
          <w:p w:rsidR="006A7A3F" w:rsidRDefault="00BC7372">
            <w:pPr>
              <w:pStyle w:val="TableParagraph"/>
              <w:spacing w:before="5"/>
              <w:ind w:left="195" w:right="772"/>
              <w:jc w:val="center"/>
              <w:rPr>
                <w:sz w:val="17"/>
              </w:rPr>
            </w:pPr>
            <w:r>
              <w:rPr>
                <w:color w:val="231F20"/>
                <w:sz w:val="17"/>
              </w:rPr>
              <w:t>(tier 2)</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43"/>
              </w:numPr>
              <w:tabs>
                <w:tab w:val="left" w:pos="305"/>
              </w:tabs>
              <w:spacing w:before="68"/>
              <w:ind w:right="475" w:hanging="305"/>
              <w:rPr>
                <w:sz w:val="17"/>
              </w:rPr>
            </w:pPr>
            <w:r>
              <w:rPr>
                <w:color w:val="231F20"/>
                <w:sz w:val="17"/>
              </w:rPr>
              <w:t>25,215</w:t>
            </w:r>
            <w:r>
              <w:rPr>
                <w:color w:val="231F20"/>
                <w:spacing w:val="5"/>
                <w:sz w:val="17"/>
              </w:rPr>
              <w:t xml:space="preserve"> </w:t>
            </w:r>
            <w:r>
              <w:rPr>
                <w:color w:val="231F20"/>
                <w:sz w:val="17"/>
              </w:rPr>
              <w:t>ML</w:t>
            </w:r>
          </w:p>
          <w:p w:rsidR="006A7A3F" w:rsidRDefault="00BC7372">
            <w:pPr>
              <w:pStyle w:val="TableParagraph"/>
              <w:spacing w:before="4"/>
              <w:ind w:left="290" w:right="771"/>
              <w:jc w:val="center"/>
              <w:rPr>
                <w:sz w:val="17"/>
              </w:rPr>
            </w:pPr>
            <w:r>
              <w:rPr>
                <w:color w:val="231F20"/>
                <w:sz w:val="17"/>
              </w:rPr>
              <w:t>(tier 1a)</w:t>
            </w:r>
          </w:p>
          <w:p w:rsidR="006A7A3F" w:rsidRDefault="00BC7372">
            <w:pPr>
              <w:pStyle w:val="TableParagraph"/>
              <w:numPr>
                <w:ilvl w:val="0"/>
                <w:numId w:val="843"/>
              </w:numPr>
              <w:tabs>
                <w:tab w:val="left" w:pos="305"/>
              </w:tabs>
              <w:spacing w:before="90"/>
              <w:ind w:right="475" w:hanging="305"/>
              <w:rPr>
                <w:sz w:val="17"/>
              </w:rPr>
            </w:pPr>
            <w:r>
              <w:rPr>
                <w:color w:val="231F20"/>
                <w:sz w:val="17"/>
              </w:rPr>
              <w:t>14,890</w:t>
            </w:r>
            <w:r>
              <w:rPr>
                <w:color w:val="231F20"/>
                <w:spacing w:val="5"/>
                <w:sz w:val="17"/>
              </w:rPr>
              <w:t xml:space="preserve"> </w:t>
            </w:r>
            <w:r>
              <w:rPr>
                <w:color w:val="231F20"/>
                <w:sz w:val="17"/>
              </w:rPr>
              <w:t>ML</w:t>
            </w:r>
          </w:p>
          <w:p w:rsidR="006A7A3F" w:rsidRDefault="00BC7372">
            <w:pPr>
              <w:pStyle w:val="TableParagraph"/>
              <w:spacing w:before="4"/>
              <w:ind w:left="290" w:right="771"/>
              <w:jc w:val="center"/>
              <w:rPr>
                <w:sz w:val="17"/>
              </w:rPr>
            </w:pPr>
            <w:r>
              <w:rPr>
                <w:color w:val="231F20"/>
                <w:sz w:val="17"/>
              </w:rPr>
              <w:t>(tier 1b)</w:t>
            </w:r>
          </w:p>
          <w:p w:rsidR="006A7A3F" w:rsidRDefault="00BC7372">
            <w:pPr>
              <w:pStyle w:val="TableParagraph"/>
              <w:numPr>
                <w:ilvl w:val="0"/>
                <w:numId w:val="843"/>
              </w:numPr>
              <w:tabs>
                <w:tab w:val="left" w:pos="305"/>
              </w:tabs>
              <w:spacing w:before="90" w:line="244" w:lineRule="auto"/>
              <w:ind w:right="221"/>
              <w:rPr>
                <w:sz w:val="17"/>
              </w:rPr>
            </w:pPr>
            <w:r>
              <w:rPr>
                <w:color w:val="231F20"/>
                <w:sz w:val="17"/>
              </w:rPr>
              <w:t xml:space="preserve">15,670 ML </w:t>
            </w:r>
            <w:r>
              <w:rPr>
                <w:color w:val="231F20"/>
                <w:spacing w:val="-3"/>
                <w:sz w:val="17"/>
              </w:rPr>
              <w:t xml:space="preserve">(tier </w:t>
            </w:r>
            <w:r>
              <w:rPr>
                <w:color w:val="231F20"/>
                <w:sz w:val="17"/>
              </w:rPr>
              <w:t>2)</w:t>
            </w:r>
          </w:p>
        </w:tc>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42"/>
              </w:numPr>
              <w:tabs>
                <w:tab w:val="left" w:pos="304"/>
              </w:tabs>
              <w:spacing w:before="68"/>
              <w:ind w:right="475" w:hanging="304"/>
              <w:rPr>
                <w:sz w:val="17"/>
              </w:rPr>
            </w:pPr>
            <w:r>
              <w:rPr>
                <w:color w:val="231F20"/>
                <w:sz w:val="17"/>
              </w:rPr>
              <w:t>29,445</w:t>
            </w:r>
            <w:r>
              <w:rPr>
                <w:color w:val="231F20"/>
                <w:spacing w:val="5"/>
                <w:sz w:val="17"/>
              </w:rPr>
              <w:t xml:space="preserve"> </w:t>
            </w:r>
            <w:r>
              <w:rPr>
                <w:color w:val="231F20"/>
                <w:sz w:val="17"/>
              </w:rPr>
              <w:t>ML</w:t>
            </w:r>
          </w:p>
          <w:p w:rsidR="006A7A3F" w:rsidRDefault="00BC7372">
            <w:pPr>
              <w:pStyle w:val="TableParagraph"/>
              <w:spacing w:before="4"/>
              <w:ind w:left="290" w:right="771"/>
              <w:jc w:val="center"/>
              <w:rPr>
                <w:sz w:val="17"/>
              </w:rPr>
            </w:pPr>
            <w:r>
              <w:rPr>
                <w:color w:val="231F20"/>
                <w:sz w:val="17"/>
              </w:rPr>
              <w:t>(tier 1a)</w:t>
            </w:r>
          </w:p>
          <w:p w:rsidR="006A7A3F" w:rsidRDefault="00BC7372">
            <w:pPr>
              <w:pStyle w:val="TableParagraph"/>
              <w:numPr>
                <w:ilvl w:val="0"/>
                <w:numId w:val="842"/>
              </w:numPr>
              <w:tabs>
                <w:tab w:val="left" w:pos="304"/>
              </w:tabs>
              <w:spacing w:before="90"/>
              <w:ind w:right="475" w:hanging="304"/>
              <w:rPr>
                <w:sz w:val="17"/>
              </w:rPr>
            </w:pPr>
            <w:r>
              <w:rPr>
                <w:color w:val="231F20"/>
                <w:sz w:val="17"/>
              </w:rPr>
              <w:t>14,265</w:t>
            </w:r>
            <w:r>
              <w:rPr>
                <w:color w:val="231F20"/>
                <w:spacing w:val="5"/>
                <w:sz w:val="17"/>
              </w:rPr>
              <w:t xml:space="preserve"> </w:t>
            </w:r>
            <w:r>
              <w:rPr>
                <w:color w:val="231F20"/>
                <w:sz w:val="17"/>
              </w:rPr>
              <w:t>ML</w:t>
            </w:r>
          </w:p>
          <w:p w:rsidR="006A7A3F" w:rsidRDefault="00BC7372">
            <w:pPr>
              <w:pStyle w:val="TableParagraph"/>
              <w:spacing w:before="4"/>
              <w:ind w:left="290" w:right="771"/>
              <w:jc w:val="center"/>
              <w:rPr>
                <w:sz w:val="17"/>
              </w:rPr>
            </w:pPr>
            <w:r>
              <w:rPr>
                <w:color w:val="231F20"/>
                <w:sz w:val="17"/>
              </w:rPr>
              <w:t>(tier 1b)</w:t>
            </w:r>
          </w:p>
          <w:p w:rsidR="006A7A3F" w:rsidRDefault="00BC7372">
            <w:pPr>
              <w:pStyle w:val="TableParagraph"/>
              <w:numPr>
                <w:ilvl w:val="0"/>
                <w:numId w:val="842"/>
              </w:numPr>
              <w:tabs>
                <w:tab w:val="left" w:pos="304"/>
              </w:tabs>
              <w:spacing w:before="90"/>
              <w:ind w:right="475" w:hanging="304"/>
              <w:rPr>
                <w:sz w:val="17"/>
              </w:rPr>
            </w:pPr>
            <w:r>
              <w:rPr>
                <w:color w:val="231F20"/>
                <w:sz w:val="17"/>
              </w:rPr>
              <w:t>15,635</w:t>
            </w:r>
            <w:r>
              <w:rPr>
                <w:color w:val="231F20"/>
                <w:spacing w:val="5"/>
                <w:sz w:val="17"/>
              </w:rPr>
              <w:t xml:space="preserve"> </w:t>
            </w:r>
            <w:r>
              <w:rPr>
                <w:color w:val="231F20"/>
                <w:sz w:val="17"/>
              </w:rPr>
              <w:t>ML</w:t>
            </w:r>
          </w:p>
          <w:p w:rsidR="006A7A3F" w:rsidRDefault="00BC7372">
            <w:pPr>
              <w:pStyle w:val="TableParagraph"/>
              <w:spacing w:before="5"/>
              <w:ind w:left="194" w:right="772"/>
              <w:jc w:val="center"/>
              <w:rPr>
                <w:sz w:val="17"/>
              </w:rPr>
            </w:pPr>
            <w:r>
              <w:rPr>
                <w:color w:val="231F20"/>
                <w:sz w:val="17"/>
              </w:rPr>
              <w:t>(tier 2)</w:t>
            </w:r>
          </w:p>
        </w:tc>
      </w:tr>
    </w:tbl>
    <w:p w:rsidR="006A7A3F" w:rsidRDefault="00BC7372" w:rsidP="00F71DF3">
      <w:pPr>
        <w:spacing w:before="129" w:line="266" w:lineRule="auto"/>
        <w:ind w:left="323" w:right="457" w:hanging="114"/>
        <w:rPr>
          <w:sz w:val="14"/>
        </w:rPr>
      </w:pPr>
      <w:r>
        <w:rPr>
          <w:color w:val="231F20"/>
          <w:position w:val="5"/>
          <w:sz w:val="8"/>
        </w:rPr>
        <w:t xml:space="preserve">1 </w:t>
      </w:r>
      <w:r>
        <w:rPr>
          <w:color w:val="231F20"/>
          <w:sz w:val="14"/>
        </w:rPr>
        <w:t>Environmental water in the Wimmera and Glenelg systems held by the VEWH is shared between the Wimmera and Glenelg river systems. Additionally, entitlement held by CEWH may become available in the Wimmera system. A prioritisation process will be undertaken with the Wimmera and Glenelg Hopkins</w:t>
      </w:r>
      <w:r w:rsidR="00F71DF3">
        <w:rPr>
          <w:sz w:val="14"/>
        </w:rPr>
        <w:t xml:space="preserve"> </w:t>
      </w:r>
      <w:r>
        <w:rPr>
          <w:color w:val="231F20"/>
          <w:sz w:val="14"/>
        </w:rPr>
        <w:t>CMAs to share available resources during 2020–21.</w:t>
      </w:r>
    </w:p>
    <w:p w:rsidR="006A7A3F" w:rsidRDefault="00BC7372">
      <w:pPr>
        <w:spacing w:before="74"/>
        <w:ind w:left="210"/>
        <w:rPr>
          <w:sz w:val="14"/>
        </w:rPr>
      </w:pPr>
      <w:r>
        <w:rPr>
          <w:color w:val="231F20"/>
          <w:position w:val="5"/>
          <w:sz w:val="8"/>
        </w:rPr>
        <w:t xml:space="preserve">2 </w:t>
      </w:r>
      <w:r>
        <w:rPr>
          <w:color w:val="231F20"/>
          <w:sz w:val="14"/>
        </w:rPr>
        <w:t>Water for the environment requirements for tier 2 actions are additional to tier 1 requirements.</w:t>
      </w:r>
    </w:p>
    <w:p w:rsidR="00F71DF3" w:rsidRDefault="00F71DF3">
      <w:pPr>
        <w:rPr>
          <w:sz w:val="13"/>
          <w:szCs w:val="20"/>
        </w:rPr>
      </w:pPr>
      <w:r>
        <w:rPr>
          <w:sz w:val="13"/>
          <w:szCs w:val="20"/>
        </w:rPr>
        <w:br w:type="page"/>
      </w:r>
    </w:p>
    <w:p w:rsidR="006A7A3F" w:rsidRDefault="00BC7372">
      <w:pPr>
        <w:pStyle w:val="Heading1"/>
        <w:numPr>
          <w:ilvl w:val="1"/>
          <w:numId w:val="1034"/>
        </w:numPr>
        <w:tabs>
          <w:tab w:val="left" w:pos="911"/>
        </w:tabs>
      </w:pPr>
      <w:r>
        <w:rPr>
          <w:color w:val="231F20"/>
        </w:rPr>
        <w:t>Wimmera-Mallee</w:t>
      </w:r>
      <w:r>
        <w:rPr>
          <w:color w:val="231F20"/>
          <w:spacing w:val="-1"/>
        </w:rPr>
        <w:t xml:space="preserve"> </w:t>
      </w:r>
      <w:r>
        <w:rPr>
          <w:color w:val="231F20"/>
        </w:rPr>
        <w:t>wetlands</w:t>
      </w:r>
    </w:p>
    <w:p w:rsidR="006A7A3F" w:rsidRDefault="00BC7372">
      <w:pPr>
        <w:pStyle w:val="Heading4"/>
        <w:spacing w:before="306"/>
        <w:jc w:val="both"/>
      </w:pPr>
      <w:r>
        <w:rPr>
          <w:color w:val="231F20"/>
        </w:rPr>
        <w:t>Did you know...?</w:t>
      </w:r>
    </w:p>
    <w:p w:rsidR="006A7A3F" w:rsidRDefault="00BC7372">
      <w:pPr>
        <w:pStyle w:val="BodyText"/>
        <w:spacing w:before="58" w:line="249" w:lineRule="auto"/>
        <w:ind w:right="379"/>
        <w:jc w:val="both"/>
      </w:pPr>
      <w:r>
        <w:rPr>
          <w:color w:val="231F20"/>
        </w:rPr>
        <w:t>In</w:t>
      </w:r>
      <w:r>
        <w:rPr>
          <w:color w:val="231F20"/>
          <w:spacing w:val="-3"/>
        </w:rPr>
        <w:t xml:space="preserve"> </w:t>
      </w:r>
      <w:r>
        <w:rPr>
          <w:color w:val="231F20"/>
        </w:rPr>
        <w:t>2019,</w:t>
      </w:r>
      <w:r>
        <w:rPr>
          <w:color w:val="231F20"/>
          <w:spacing w:val="-3"/>
        </w:rPr>
        <w:t xml:space="preserve"> </w:t>
      </w:r>
      <w:r>
        <w:rPr>
          <w:color w:val="231F20"/>
        </w:rPr>
        <w:t>Mallee</w:t>
      </w:r>
      <w:r>
        <w:rPr>
          <w:color w:val="231F20"/>
          <w:spacing w:val="-2"/>
        </w:rPr>
        <w:t xml:space="preserve"> </w:t>
      </w:r>
      <w:r>
        <w:rPr>
          <w:color w:val="231F20"/>
        </w:rPr>
        <w:t>CMA</w:t>
      </w:r>
      <w:r>
        <w:rPr>
          <w:color w:val="231F20"/>
          <w:spacing w:val="-13"/>
        </w:rPr>
        <w:t xml:space="preserve"> </w:t>
      </w:r>
      <w:r>
        <w:rPr>
          <w:color w:val="231F20"/>
        </w:rPr>
        <w:t>worked</w:t>
      </w:r>
      <w:r>
        <w:rPr>
          <w:color w:val="231F20"/>
          <w:spacing w:val="-4"/>
        </w:rPr>
        <w:t xml:space="preserve"> </w:t>
      </w:r>
      <w:r>
        <w:rPr>
          <w:color w:val="231F20"/>
        </w:rPr>
        <w:t>with</w:t>
      </w:r>
      <w:r>
        <w:rPr>
          <w:color w:val="231F20"/>
          <w:spacing w:val="-3"/>
        </w:rPr>
        <w:t xml:space="preserve"> </w:t>
      </w:r>
      <w:r>
        <w:rPr>
          <w:color w:val="231F20"/>
        </w:rPr>
        <w:t>eager</w:t>
      </w:r>
      <w:r>
        <w:rPr>
          <w:color w:val="231F20"/>
          <w:spacing w:val="-3"/>
        </w:rPr>
        <w:t xml:space="preserve"> </w:t>
      </w:r>
      <w:r>
        <w:rPr>
          <w:color w:val="231F20"/>
        </w:rPr>
        <w:t>citizen</w:t>
      </w:r>
      <w:r>
        <w:rPr>
          <w:color w:val="231F20"/>
          <w:spacing w:val="-2"/>
        </w:rPr>
        <w:t xml:space="preserve"> </w:t>
      </w:r>
      <w:r>
        <w:rPr>
          <w:color w:val="231F20"/>
        </w:rPr>
        <w:t>scientists</w:t>
      </w:r>
      <w:r>
        <w:rPr>
          <w:color w:val="231F20"/>
          <w:spacing w:val="-3"/>
        </w:rPr>
        <w:t xml:space="preserve"> </w:t>
      </w:r>
      <w:r>
        <w:rPr>
          <w:color w:val="231F20"/>
        </w:rPr>
        <w:t>to</w:t>
      </w:r>
      <w:r>
        <w:rPr>
          <w:color w:val="231F20"/>
          <w:spacing w:val="-2"/>
        </w:rPr>
        <w:t xml:space="preserve"> </w:t>
      </w:r>
      <w:r>
        <w:rPr>
          <w:color w:val="231F20"/>
        </w:rPr>
        <w:t>roll</w:t>
      </w:r>
      <w:r>
        <w:rPr>
          <w:color w:val="231F20"/>
          <w:spacing w:val="-2"/>
        </w:rPr>
        <w:t xml:space="preserve"> </w:t>
      </w:r>
      <w:r>
        <w:rPr>
          <w:color w:val="231F20"/>
        </w:rPr>
        <w:t>out</w:t>
      </w:r>
      <w:r>
        <w:rPr>
          <w:color w:val="231F20"/>
          <w:spacing w:val="-4"/>
        </w:rPr>
        <w:t xml:space="preserve"> </w:t>
      </w:r>
      <w:r>
        <w:rPr>
          <w:color w:val="231F20"/>
        </w:rPr>
        <w:t>a</w:t>
      </w:r>
      <w:r>
        <w:rPr>
          <w:color w:val="231F20"/>
          <w:spacing w:val="-3"/>
        </w:rPr>
        <w:t xml:space="preserve"> </w:t>
      </w:r>
      <w:r>
        <w:rPr>
          <w:color w:val="231F20"/>
        </w:rPr>
        <w:t>bird-monitoring</w:t>
      </w:r>
      <w:r>
        <w:rPr>
          <w:color w:val="231F20"/>
          <w:spacing w:val="-3"/>
        </w:rPr>
        <w:t xml:space="preserve"> </w:t>
      </w:r>
      <w:r>
        <w:rPr>
          <w:color w:val="231F20"/>
        </w:rPr>
        <w:t>program</w:t>
      </w:r>
      <w:r>
        <w:rPr>
          <w:color w:val="231F20"/>
          <w:spacing w:val="-4"/>
        </w:rPr>
        <w:t xml:space="preserve"> </w:t>
      </w:r>
      <w:r>
        <w:rPr>
          <w:color w:val="231F20"/>
        </w:rPr>
        <w:t>at</w:t>
      </w:r>
      <w:r>
        <w:rPr>
          <w:color w:val="231F20"/>
          <w:spacing w:val="-3"/>
        </w:rPr>
        <w:t xml:space="preserve"> </w:t>
      </w:r>
      <w:r>
        <w:rPr>
          <w:color w:val="231F20"/>
        </w:rPr>
        <w:t>some</w:t>
      </w:r>
      <w:r>
        <w:rPr>
          <w:color w:val="231F20"/>
          <w:spacing w:val="-2"/>
        </w:rPr>
        <w:t xml:space="preserve"> </w:t>
      </w:r>
      <w:r>
        <w:rPr>
          <w:color w:val="231F20"/>
        </w:rPr>
        <w:t>Wimmera- Mallee Pipeline wetlands. The data collected was loaded onto the BirdLife Australia national database, to make it available to a global</w:t>
      </w:r>
      <w:r>
        <w:rPr>
          <w:color w:val="231F20"/>
          <w:spacing w:val="-4"/>
        </w:rPr>
        <w:t xml:space="preserve"> </w:t>
      </w:r>
      <w:r>
        <w:rPr>
          <w:color w:val="231F20"/>
        </w:rPr>
        <w:t>audience.</w:t>
      </w:r>
    </w:p>
    <w:p w:rsidR="006A7A3F" w:rsidRDefault="006A7A3F">
      <w:pPr>
        <w:pStyle w:val="BodyText"/>
        <w:spacing w:before="2"/>
        <w:ind w:left="0"/>
      </w:pPr>
    </w:p>
    <w:p w:rsidR="006A7A3F" w:rsidRDefault="00BC7372">
      <w:pPr>
        <w:pStyle w:val="Heading4"/>
      </w:pPr>
      <w:r>
        <w:rPr>
          <w:color w:val="231F20"/>
        </w:rPr>
        <w:t>System overview</w:t>
      </w:r>
    </w:p>
    <w:p w:rsidR="006A7A3F" w:rsidRDefault="00BC7372">
      <w:pPr>
        <w:pStyle w:val="Heading6"/>
        <w:spacing w:before="90" w:line="276" w:lineRule="auto"/>
        <w:ind w:right="297"/>
      </w:pPr>
      <w:r>
        <w:rPr>
          <w:color w:val="231F20"/>
        </w:rPr>
        <w:t>The Wimmera-Mallee wetlands include 52 wetlands on public and private land spread across north- west Victoria. Historically, the deeper areas of these wetlands received water most years from the open channels associated with the Wimmera-Mallee Domestic and Stock Channel System.</w:t>
      </w:r>
    </w:p>
    <w:p w:rsidR="006A7A3F" w:rsidRDefault="006A7A3F">
      <w:pPr>
        <w:pStyle w:val="BodyText"/>
        <w:spacing w:before="7"/>
        <w:ind w:left="0"/>
        <w:rPr>
          <w:sz w:val="21"/>
        </w:rPr>
      </w:pPr>
    </w:p>
    <w:p w:rsidR="006A7A3F" w:rsidRDefault="00BC7372" w:rsidP="00966898">
      <w:pPr>
        <w:pStyle w:val="BodyText"/>
        <w:spacing w:before="1" w:line="249" w:lineRule="auto"/>
        <w:ind w:right="181"/>
      </w:pPr>
      <w:r>
        <w:rPr>
          <w:color w:val="231F20"/>
        </w:rPr>
        <w:t>The Wimmera-Mallee Pipeline Project (WMPP) replaced stock and domestic supply dams with tanks, and the open-channel distribution system with pipelines, to improve water efficiency. A portion of the water savings from the WMPP was converted to an environmental entitlement to improve the condition of the area’s flow-stressed rivers, creeks and wetlands; the rest was used to create regional development opportunities and boost the reliability of supply for other users. The WMPP reduced the amount of open-water habitat in areas that were formerly supplied</w:t>
      </w:r>
      <w:r w:rsidR="00966898">
        <w:rPr>
          <w:color w:val="231F20"/>
        </w:rPr>
        <w:t xml:space="preserve"> </w:t>
      </w:r>
      <w:r>
        <w:rPr>
          <w:color w:val="231F20"/>
        </w:rPr>
        <w:t>by the open-channel system, so a separate 1,000 ML environmental entitlement was created to water wetlands that were previously supplied through the channel system. There are 52 priority wetlands that can receive water from this environmental entitlement.</w:t>
      </w:r>
    </w:p>
    <w:p w:rsidR="006A7A3F" w:rsidRDefault="00BC7372" w:rsidP="00966898">
      <w:pPr>
        <w:pStyle w:val="BodyText"/>
        <w:spacing w:line="249" w:lineRule="auto"/>
        <w:ind w:right="100"/>
      </w:pPr>
      <w:r>
        <w:rPr>
          <w:color w:val="231F20"/>
        </w:rPr>
        <w:t>Water for the environment can only be delivered to the wetlands when there is sufficient capacity in the Wimmera- Mallee pipeline system, which can be affected by demand from other pipeline customers. The North Central, Mallee and Wimmera CMAs work closely with GWMWater and land managers (including Parks Victoria, the Department</w:t>
      </w:r>
      <w:r w:rsidR="00966898">
        <w:rPr>
          <w:color w:val="231F20"/>
        </w:rPr>
        <w:t xml:space="preserve"> </w:t>
      </w:r>
      <w:r>
        <w:rPr>
          <w:color w:val="231F20"/>
        </w:rPr>
        <w:t>of Environment, Land, Water and Planning and private landowners) to take account of pipeline capacity constraints when ordering environmental deliveries to wetlands.</w:t>
      </w:r>
    </w:p>
    <w:p w:rsidR="006A7A3F" w:rsidRDefault="006A7A3F">
      <w:pPr>
        <w:pStyle w:val="BodyText"/>
        <w:spacing w:before="0"/>
        <w:ind w:left="0"/>
      </w:pPr>
    </w:p>
    <w:p w:rsidR="006A7A3F" w:rsidRDefault="00BC7372">
      <w:pPr>
        <w:pStyle w:val="Heading4"/>
        <w:spacing w:before="1"/>
      </w:pPr>
      <w:r>
        <w:rPr>
          <w:color w:val="231F20"/>
        </w:rPr>
        <w:t>Environmental values</w:t>
      </w:r>
    </w:p>
    <w:p w:rsidR="006A7A3F" w:rsidRDefault="00BC7372">
      <w:pPr>
        <w:pStyle w:val="BodyText"/>
        <w:spacing w:before="58" w:line="249" w:lineRule="auto"/>
        <w:ind w:right="152"/>
      </w:pPr>
      <w:r>
        <w:rPr>
          <w:color w:val="231F20"/>
        </w:rPr>
        <w:t>There are a wide range of wetland types in the Wimmera-Mallee wetlands system including freshwater meadows, open freshwater lakes and freshwater marshes. This diversity provides a range of different wetland habitats for plants and animals across the Wimmera-Mallee region. The wetlands also vary in size and consist of many different vegetation communities, and some are home to native waterbird populations including brolgas, egrets, blue-billed ducks, freckled ducks, Australian painted snipes and glossy ibis. The wetlands are used by the vulnerable growling grass frog, turtles and many other native animals that may use them as drought refuges and drinking holes. Rare and vulnerable vegetation species (such as spiny lignum, ridged water milfoil, chariot wheel and cane grass) are also present in some wetlands.</w:t>
      </w:r>
    </w:p>
    <w:p w:rsidR="001636CA" w:rsidRDefault="001636CA">
      <w:pPr>
        <w:rPr>
          <w:sz w:val="20"/>
          <w:szCs w:val="20"/>
        </w:rPr>
      </w:pPr>
      <w:r>
        <w:rPr>
          <w:b/>
          <w:bCs/>
          <w:sz w:val="20"/>
          <w:szCs w:val="20"/>
        </w:rPr>
        <w:br w:type="page"/>
      </w:r>
    </w:p>
    <w:p w:rsidR="006A7A3F" w:rsidRDefault="00BC7372">
      <w:pPr>
        <w:pStyle w:val="Heading4"/>
      </w:pPr>
      <w:r>
        <w:rPr>
          <w:color w:val="231F20"/>
        </w:rPr>
        <w:t>Environmental watering objectives in the Wimmera-Mallee wetlands</w:t>
      </w:r>
    </w:p>
    <w:p w:rsidR="006A7A3F" w:rsidRDefault="006A7A3F">
      <w:pPr>
        <w:pStyle w:val="BodyText"/>
        <w:spacing w:before="5"/>
        <w:ind w:left="0"/>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9"/>
              <w:ind w:left="0"/>
              <w:rPr>
                <w:b/>
                <w:sz w:val="14"/>
              </w:rPr>
            </w:pPr>
          </w:p>
          <w:p w:rsidR="006A7A3F" w:rsidRDefault="00BC7372">
            <w:pPr>
              <w:pStyle w:val="TableParagraph"/>
              <w:ind w:left="178"/>
              <w:rPr>
                <w:sz w:val="20"/>
              </w:rPr>
            </w:pPr>
            <w:r>
              <w:rPr>
                <w:noProof/>
                <w:sz w:val="20"/>
              </w:rPr>
              <w:drawing>
                <wp:inline distT="0" distB="0" distL="0" distR="0">
                  <wp:extent cx="314168" cy="310895"/>
                  <wp:effectExtent l="0" t="0" r="0" b="0"/>
                  <wp:docPr id="1019"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25.jpeg"/>
                          <pic:cNvPicPr/>
                        </pic:nvPicPr>
                        <pic:blipFill>
                          <a:blip r:embed="rId37" cstate="print"/>
                          <a:stretch>
                            <a:fillRect/>
                          </a:stretch>
                        </pic:blipFill>
                        <pic:spPr>
                          <a:xfrm>
                            <a:off x="0" y="0"/>
                            <a:ext cx="314168" cy="310895"/>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spacing w:before="1"/>
              <w:ind w:left="0"/>
              <w:rPr>
                <w:b/>
                <w:sz w:val="27"/>
              </w:rPr>
            </w:pPr>
          </w:p>
          <w:p w:rsidR="006A7A3F" w:rsidRDefault="00BC7372">
            <w:pPr>
              <w:pStyle w:val="TableParagraph"/>
              <w:ind w:left="118"/>
              <w:rPr>
                <w:sz w:val="18"/>
              </w:rPr>
            </w:pPr>
            <w:r>
              <w:rPr>
                <w:color w:val="231F20"/>
                <w:sz w:val="18"/>
              </w:rPr>
              <w:t>Maintain and increase the population of frogs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4" cy="310895"/>
                  <wp:effectExtent l="0" t="0" r="0" b="0"/>
                  <wp:docPr id="1021"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26.jpeg"/>
                          <pic:cNvPicPr/>
                        </pic:nvPicPr>
                        <pic:blipFill>
                          <a:blip r:embed="rId38" cstate="print"/>
                          <a:stretch>
                            <a:fillRect/>
                          </a:stretch>
                        </pic:blipFill>
                        <pic:spPr>
                          <a:xfrm>
                            <a:off x="0" y="0"/>
                            <a:ext cx="314164"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2"/>
              <w:ind w:left="0"/>
              <w:rPr>
                <w:b/>
                <w:sz w:val="26"/>
              </w:rPr>
            </w:pPr>
          </w:p>
          <w:p w:rsidR="006A7A3F" w:rsidRDefault="00BC7372">
            <w:pPr>
              <w:pStyle w:val="TableParagraph"/>
              <w:ind w:left="118"/>
              <w:rPr>
                <w:sz w:val="18"/>
              </w:rPr>
            </w:pPr>
            <w:r>
              <w:rPr>
                <w:color w:val="231F20"/>
                <w:sz w:val="18"/>
              </w:rPr>
              <w:t>Maintain and increase the population of turtles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b/>
                <w:sz w:val="13"/>
              </w:rPr>
            </w:pPr>
          </w:p>
          <w:p w:rsidR="006A7A3F" w:rsidRDefault="00BC7372">
            <w:pPr>
              <w:pStyle w:val="TableParagraph"/>
              <w:ind w:left="178"/>
              <w:rPr>
                <w:sz w:val="20"/>
              </w:rPr>
            </w:pPr>
            <w:r>
              <w:rPr>
                <w:noProof/>
                <w:sz w:val="20"/>
              </w:rPr>
              <w:drawing>
                <wp:inline distT="0" distB="0" distL="0" distR="0">
                  <wp:extent cx="314164" cy="310895"/>
                  <wp:effectExtent l="0" t="0" r="0" b="0"/>
                  <wp:docPr id="102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40.jpeg"/>
                          <pic:cNvPicPr/>
                        </pic:nvPicPr>
                        <pic:blipFill>
                          <a:blip r:embed="rId52" cstate="print"/>
                          <a:stretch>
                            <a:fillRect/>
                          </a:stretch>
                        </pic:blipFill>
                        <pic:spPr>
                          <a:xfrm>
                            <a:off x="0" y="0"/>
                            <a:ext cx="314164"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7"/>
              <w:ind w:left="0"/>
              <w:rPr>
                <w:b/>
                <w:sz w:val="16"/>
              </w:rPr>
            </w:pPr>
          </w:p>
          <w:p w:rsidR="006A7A3F" w:rsidRDefault="00BC7372">
            <w:pPr>
              <w:pStyle w:val="TableParagraph"/>
              <w:spacing w:line="254" w:lineRule="auto"/>
              <w:ind w:left="118" w:right="89"/>
              <w:rPr>
                <w:sz w:val="18"/>
              </w:rPr>
            </w:pPr>
            <w:r>
              <w:rPr>
                <w:color w:val="231F20"/>
                <w:sz w:val="18"/>
              </w:rPr>
              <w:t>Provide watering holes for native animals and terrestrial birds across the landscape</w:t>
            </w:r>
          </w:p>
        </w:tc>
      </w:tr>
      <w:tr w:rsidR="006A7A3F">
        <w:trPr>
          <w:trHeight w:val="1827"/>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2"/>
              <w:ind w:left="0"/>
              <w:rPr>
                <w:b/>
                <w:sz w:val="18"/>
              </w:rPr>
            </w:pPr>
          </w:p>
          <w:p w:rsidR="006A7A3F" w:rsidRDefault="00BC7372">
            <w:pPr>
              <w:pStyle w:val="TableParagraph"/>
              <w:ind w:left="178"/>
              <w:rPr>
                <w:sz w:val="20"/>
              </w:rPr>
            </w:pPr>
            <w:r>
              <w:rPr>
                <w:noProof/>
                <w:sz w:val="20"/>
              </w:rPr>
              <w:drawing>
                <wp:inline distT="0" distB="0" distL="0" distR="0">
                  <wp:extent cx="314175" cy="310896"/>
                  <wp:effectExtent l="0" t="0" r="0" b="0"/>
                  <wp:docPr id="102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21.jpeg"/>
                          <pic:cNvPicPr/>
                        </pic:nvPicPr>
                        <pic:blipFill>
                          <a:blip r:embed="rId33"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2" w:line="254" w:lineRule="auto"/>
              <w:ind w:left="118" w:right="117"/>
              <w:jc w:val="both"/>
              <w:rPr>
                <w:sz w:val="18"/>
              </w:rPr>
            </w:pPr>
            <w:r>
              <w:rPr>
                <w:color w:val="231F20"/>
                <w:sz w:val="18"/>
              </w:rPr>
              <w:t>Maintain and improve the condition of aquatic and fringing plants including lignum, river red gum and black box communities</w:t>
            </w:r>
          </w:p>
          <w:p w:rsidR="006A7A3F" w:rsidRDefault="00BC7372">
            <w:pPr>
              <w:pStyle w:val="TableParagraph"/>
              <w:spacing w:before="58" w:line="254" w:lineRule="auto"/>
              <w:ind w:left="118" w:right="198"/>
              <w:rPr>
                <w:sz w:val="18"/>
              </w:rPr>
            </w:pPr>
            <w:r>
              <w:rPr>
                <w:color w:val="231F20"/>
                <w:sz w:val="18"/>
              </w:rPr>
              <w:t>Improve the diversity of vegetation communities by providing watering regimes to support plant life cycles in and around the wetlands</w:t>
            </w:r>
          </w:p>
        </w:tc>
      </w:tr>
      <w:tr w:rsidR="001636CA" w:rsidTr="001636CA">
        <w:trPr>
          <w:trHeight w:val="958"/>
        </w:trPr>
        <w:tc>
          <w:tcPr>
            <w:tcW w:w="789" w:type="dxa"/>
            <w:tcBorders>
              <w:top w:val="single" w:sz="8" w:space="0" w:color="FFFFFF"/>
              <w:bottom w:val="single" w:sz="8" w:space="0" w:color="FFFFFF"/>
            </w:tcBorders>
            <w:shd w:val="clear" w:color="auto" w:fill="E6E7E8"/>
          </w:tcPr>
          <w:p w:rsidR="001636CA" w:rsidRDefault="001636CA" w:rsidP="001636CA">
            <w:pPr>
              <w:pStyle w:val="TableParagraph"/>
              <w:spacing w:before="9"/>
              <w:ind w:left="0"/>
              <w:rPr>
                <w:b/>
                <w:sz w:val="16"/>
              </w:rPr>
            </w:pPr>
          </w:p>
          <w:p w:rsidR="001636CA" w:rsidRDefault="001636CA" w:rsidP="001636CA">
            <w:pPr>
              <w:pStyle w:val="TableParagraph"/>
              <w:ind w:left="178"/>
              <w:rPr>
                <w:sz w:val="20"/>
              </w:rPr>
            </w:pPr>
            <w:r>
              <w:rPr>
                <w:noProof/>
                <w:sz w:val="20"/>
              </w:rPr>
              <w:drawing>
                <wp:inline distT="0" distB="0" distL="0" distR="0" wp14:anchorId="1E77FF77" wp14:editId="7C903538">
                  <wp:extent cx="314168" cy="310896"/>
                  <wp:effectExtent l="0" t="0" r="0" b="0"/>
                  <wp:docPr id="364"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1636CA" w:rsidRDefault="001636CA" w:rsidP="001636CA">
            <w:pPr>
              <w:pStyle w:val="TableParagraph"/>
              <w:spacing w:before="115" w:line="254" w:lineRule="auto"/>
              <w:ind w:left="118"/>
              <w:rPr>
                <w:sz w:val="18"/>
              </w:rPr>
            </w:pPr>
            <w:r>
              <w:rPr>
                <w:color w:val="231F20"/>
                <w:sz w:val="18"/>
              </w:rPr>
              <w:t>Maintain and increase populations of waterbirds and other native birds by providing resting, feeding and breeding habitat</w:t>
            </w:r>
          </w:p>
        </w:tc>
      </w:tr>
      <w:tr w:rsidR="001636CA" w:rsidTr="001636CA">
        <w:trPr>
          <w:trHeight w:val="830"/>
        </w:trPr>
        <w:tc>
          <w:tcPr>
            <w:tcW w:w="789" w:type="dxa"/>
            <w:tcBorders>
              <w:top w:val="single" w:sz="8" w:space="0" w:color="FFFFFF"/>
              <w:bottom w:val="single" w:sz="8" w:space="0" w:color="FFFFFF"/>
            </w:tcBorders>
            <w:shd w:val="clear" w:color="auto" w:fill="E6E7E8"/>
          </w:tcPr>
          <w:p w:rsidR="001636CA" w:rsidRDefault="001636CA" w:rsidP="001636CA">
            <w:pPr>
              <w:pStyle w:val="TableParagraph"/>
              <w:spacing w:before="3"/>
              <w:ind w:left="0"/>
              <w:rPr>
                <w:b/>
                <w:sz w:val="13"/>
              </w:rPr>
            </w:pPr>
          </w:p>
          <w:p w:rsidR="001636CA" w:rsidRDefault="001636CA" w:rsidP="001636CA">
            <w:pPr>
              <w:pStyle w:val="TableParagraph"/>
              <w:ind w:left="178"/>
              <w:rPr>
                <w:sz w:val="20"/>
              </w:rPr>
            </w:pPr>
            <w:r>
              <w:rPr>
                <w:noProof/>
                <w:sz w:val="20"/>
              </w:rPr>
              <w:drawing>
                <wp:inline distT="0" distB="0" distL="0" distR="0" wp14:anchorId="08AAEA6D" wp14:editId="1FF002E9">
                  <wp:extent cx="314174" cy="310896"/>
                  <wp:effectExtent l="0" t="0" r="0" b="0"/>
                  <wp:docPr id="366"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22.jpeg"/>
                          <pic:cNvPicPr/>
                        </pic:nvPicPr>
                        <pic:blipFill>
                          <a:blip r:embed="rId34" cstate="print"/>
                          <a:stretch>
                            <a:fillRect/>
                          </a:stretch>
                        </pic:blipFill>
                        <pic:spPr>
                          <a:xfrm>
                            <a:off x="0" y="0"/>
                            <a:ext cx="314174"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1636CA" w:rsidRDefault="001636CA" w:rsidP="001636CA">
            <w:pPr>
              <w:pStyle w:val="TableParagraph"/>
              <w:spacing w:before="6"/>
              <w:ind w:left="0"/>
              <w:rPr>
                <w:b/>
                <w:sz w:val="25"/>
              </w:rPr>
            </w:pPr>
          </w:p>
          <w:p w:rsidR="001636CA" w:rsidRDefault="001636CA" w:rsidP="001636CA">
            <w:pPr>
              <w:pStyle w:val="TableParagraph"/>
              <w:spacing w:before="1"/>
              <w:ind w:left="118"/>
              <w:rPr>
                <w:sz w:val="18"/>
              </w:rPr>
            </w:pPr>
            <w:r>
              <w:rPr>
                <w:color w:val="231F20"/>
                <w:sz w:val="18"/>
              </w:rPr>
              <w:t>Maintain the population of waterbugs</w:t>
            </w:r>
          </w:p>
        </w:tc>
      </w:tr>
    </w:tbl>
    <w:p w:rsidR="006A7A3F" w:rsidRDefault="006A7A3F">
      <w:pPr>
        <w:pStyle w:val="BodyText"/>
        <w:spacing w:before="10"/>
        <w:ind w:left="0"/>
        <w:rPr>
          <w:b/>
          <w:sz w:val="8"/>
        </w:rPr>
      </w:pPr>
    </w:p>
    <w:p w:rsidR="006A7A3F" w:rsidRDefault="00BC7372">
      <w:pPr>
        <w:spacing w:before="92"/>
        <w:ind w:left="210"/>
        <w:rPr>
          <w:b/>
          <w:sz w:val="24"/>
        </w:rPr>
      </w:pPr>
      <w:r>
        <w:rPr>
          <w:b/>
          <w:color w:val="231F20"/>
          <w:sz w:val="24"/>
        </w:rPr>
        <w:t>Traditional Owner cultural values and uses</w:t>
      </w:r>
    </w:p>
    <w:p w:rsidR="006A7A3F" w:rsidRDefault="00BC7372" w:rsidP="00966898">
      <w:pPr>
        <w:pStyle w:val="BodyText"/>
        <w:spacing w:before="58" w:line="249" w:lineRule="auto"/>
        <w:ind w:right="640"/>
      </w:pPr>
      <w:r>
        <w:rPr>
          <w:color w:val="231F20"/>
        </w:rPr>
        <w:t>Spanning a broad geographic area, several Wimmera-Mallee wetlands show indications of the long-standing cultural heritage and importance of these sites to the various Traditional Owners of the region, including but not</w:t>
      </w:r>
      <w:r>
        <w:rPr>
          <w:color w:val="231F20"/>
          <w:spacing w:val="-4"/>
        </w:rPr>
        <w:t xml:space="preserve"> </w:t>
      </w:r>
      <w:r>
        <w:rPr>
          <w:color w:val="231F20"/>
        </w:rPr>
        <w:t>limited</w:t>
      </w:r>
      <w:r>
        <w:rPr>
          <w:color w:val="231F20"/>
          <w:spacing w:val="-3"/>
        </w:rPr>
        <w:t xml:space="preserve"> </w:t>
      </w:r>
      <w:r>
        <w:rPr>
          <w:color w:val="231F20"/>
        </w:rPr>
        <w:t>to</w:t>
      </w:r>
      <w:r>
        <w:rPr>
          <w:color w:val="231F20"/>
          <w:spacing w:val="-2"/>
        </w:rPr>
        <w:t xml:space="preserve"> </w:t>
      </w:r>
      <w:r>
        <w:rPr>
          <w:color w:val="231F20"/>
        </w:rPr>
        <w:t>those</w:t>
      </w:r>
      <w:r>
        <w:rPr>
          <w:color w:val="231F20"/>
          <w:spacing w:val="-2"/>
        </w:rPr>
        <w:t xml:space="preserve"> </w:t>
      </w:r>
      <w:r>
        <w:rPr>
          <w:color w:val="231F20"/>
        </w:rPr>
        <w:t>represented</w:t>
      </w:r>
      <w:r>
        <w:rPr>
          <w:color w:val="231F20"/>
          <w:spacing w:val="-2"/>
        </w:rPr>
        <w:t xml:space="preserve"> </w:t>
      </w:r>
      <w:r>
        <w:rPr>
          <w:color w:val="231F20"/>
        </w:rPr>
        <w:t>by</w:t>
      </w:r>
      <w:r>
        <w:rPr>
          <w:color w:val="231F20"/>
          <w:spacing w:val="-3"/>
        </w:rPr>
        <w:t xml:space="preserve"> </w:t>
      </w:r>
      <w:r>
        <w:rPr>
          <w:color w:val="231F20"/>
        </w:rPr>
        <w:t>the</w:t>
      </w:r>
      <w:r>
        <w:rPr>
          <w:color w:val="231F20"/>
          <w:spacing w:val="-2"/>
        </w:rPr>
        <w:t xml:space="preserve"> </w:t>
      </w:r>
      <w:r>
        <w:rPr>
          <w:color w:val="231F20"/>
        </w:rPr>
        <w:t>Barengi</w:t>
      </w:r>
      <w:r>
        <w:rPr>
          <w:color w:val="231F20"/>
          <w:spacing w:val="-2"/>
        </w:rPr>
        <w:t xml:space="preserve"> </w:t>
      </w:r>
      <w:r>
        <w:rPr>
          <w:color w:val="231F20"/>
        </w:rPr>
        <w:t>Gadjin</w:t>
      </w:r>
      <w:r>
        <w:rPr>
          <w:color w:val="231F20"/>
          <w:spacing w:val="-2"/>
        </w:rPr>
        <w:t xml:space="preserve"> </w:t>
      </w:r>
      <w:r>
        <w:rPr>
          <w:color w:val="231F20"/>
        </w:rPr>
        <w:t>Land</w:t>
      </w:r>
      <w:r>
        <w:rPr>
          <w:color w:val="231F20"/>
          <w:spacing w:val="-3"/>
        </w:rPr>
        <w:t xml:space="preserve"> </w:t>
      </w:r>
      <w:r>
        <w:rPr>
          <w:color w:val="231F20"/>
        </w:rPr>
        <w:t>Council</w:t>
      </w:r>
      <w:r>
        <w:rPr>
          <w:color w:val="231F20"/>
          <w:spacing w:val="-4"/>
        </w:rPr>
        <w:t xml:space="preserve"> </w:t>
      </w:r>
      <w:r>
        <w:rPr>
          <w:color w:val="231F20"/>
        </w:rPr>
        <w:t>and</w:t>
      </w:r>
      <w:r>
        <w:rPr>
          <w:color w:val="231F20"/>
          <w:spacing w:val="-3"/>
        </w:rPr>
        <w:t xml:space="preserve"> </w:t>
      </w:r>
      <w:r>
        <w:rPr>
          <w:color w:val="231F20"/>
        </w:rPr>
        <w:t>the</w:t>
      </w:r>
      <w:r>
        <w:rPr>
          <w:color w:val="231F20"/>
          <w:spacing w:val="-2"/>
        </w:rPr>
        <w:t xml:space="preserve"> </w:t>
      </w:r>
      <w:r>
        <w:rPr>
          <w:color w:val="231F20"/>
        </w:rPr>
        <w:t>Dja</w:t>
      </w:r>
      <w:r>
        <w:rPr>
          <w:color w:val="231F20"/>
          <w:spacing w:val="-3"/>
        </w:rPr>
        <w:t xml:space="preserve"> </w:t>
      </w:r>
      <w:r>
        <w:rPr>
          <w:color w:val="231F20"/>
        </w:rPr>
        <w:t>Dja</w:t>
      </w:r>
      <w:r>
        <w:rPr>
          <w:color w:val="231F20"/>
          <w:spacing w:val="-3"/>
        </w:rPr>
        <w:t xml:space="preserve"> </w:t>
      </w:r>
      <w:r>
        <w:rPr>
          <w:color w:val="231F20"/>
        </w:rPr>
        <w:t>Wurrung</w:t>
      </w:r>
      <w:r>
        <w:rPr>
          <w:color w:val="231F20"/>
          <w:spacing w:val="-3"/>
        </w:rPr>
        <w:t xml:space="preserve"> </w:t>
      </w:r>
      <w:r>
        <w:rPr>
          <w:color w:val="231F20"/>
        </w:rPr>
        <w:t>Clans</w:t>
      </w:r>
      <w:r>
        <w:rPr>
          <w:color w:val="231F20"/>
          <w:spacing w:val="-13"/>
        </w:rPr>
        <w:t xml:space="preserve"> </w:t>
      </w:r>
      <w:r>
        <w:rPr>
          <w:color w:val="231F20"/>
        </w:rPr>
        <w:t>Aboriginal</w:t>
      </w:r>
      <w:r w:rsidR="00966898">
        <w:rPr>
          <w:color w:val="231F20"/>
        </w:rPr>
        <w:t xml:space="preserve"> </w:t>
      </w:r>
      <w:r>
        <w:rPr>
          <w:color w:val="231F20"/>
        </w:rPr>
        <w:t>Corporation. Some of the sites have artefacts and scar trees recorded in or adjacent to them and could benefit from further cultural surveys to better inform environmental water management at those sites.</w:t>
      </w:r>
    </w:p>
    <w:p w:rsidR="006A7A3F" w:rsidRDefault="006A7A3F">
      <w:pPr>
        <w:pStyle w:val="BodyText"/>
        <w:spacing w:before="0"/>
        <w:ind w:left="0"/>
      </w:pPr>
    </w:p>
    <w:p w:rsidR="006A7A3F" w:rsidRDefault="00BC7372">
      <w:pPr>
        <w:pStyle w:val="Heading4"/>
        <w:spacing w:before="1"/>
      </w:pPr>
      <w:r>
        <w:rPr>
          <w:color w:val="231F20"/>
        </w:rPr>
        <w:t>Social, recreational and economic values and uses</w:t>
      </w:r>
    </w:p>
    <w:p w:rsidR="006A7A3F" w:rsidRDefault="00BC7372">
      <w:pPr>
        <w:pStyle w:val="BodyText"/>
        <w:spacing w:before="58" w:line="249" w:lineRule="auto"/>
        <w:ind w:right="100"/>
      </w:pPr>
      <w:r>
        <w:rPr>
          <w:color w:val="231F20"/>
        </w:rPr>
        <w:t>In planning the potential watering actions in Table 4.4.1, the Mallee, North Central and Wimmera CMAs have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fishing, kayaking, swimming and</w:t>
      </w:r>
      <w:r>
        <w:rPr>
          <w:color w:val="231F20"/>
          <w:spacing w:val="-5"/>
          <w:sz w:val="20"/>
        </w:rPr>
        <w:t xml:space="preserve"> </w:t>
      </w:r>
      <w:r>
        <w:rPr>
          <w:color w:val="231F20"/>
          <w:sz w:val="20"/>
        </w:rPr>
        <w:t>yabbying)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birdwatching, duck and quail hunting, picnicking and</w:t>
      </w:r>
      <w:r>
        <w:rPr>
          <w:color w:val="231F20"/>
          <w:spacing w:val="-33"/>
          <w:sz w:val="20"/>
        </w:rPr>
        <w:t xml:space="preserve"> </w:t>
      </w:r>
      <w:r>
        <w:rPr>
          <w:color w:val="231F20"/>
          <w:sz w:val="20"/>
        </w:rPr>
        <w:t>walking)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 citizen science including the monitoring of birds and</w:t>
      </w:r>
      <w:r>
        <w:rPr>
          <w:color w:val="231F20"/>
          <w:spacing w:val="-18"/>
          <w:sz w:val="20"/>
        </w:rPr>
        <w:t xml:space="preserve"> </w:t>
      </w:r>
      <w:r>
        <w:rPr>
          <w:color w:val="231F20"/>
          <w:sz w:val="20"/>
        </w:rPr>
        <w:t>bats).</w:t>
      </w:r>
    </w:p>
    <w:p w:rsidR="001636CA" w:rsidRDefault="001636CA">
      <w:pPr>
        <w:rPr>
          <w:sz w:val="20"/>
          <w:szCs w:val="20"/>
        </w:rPr>
      </w:pPr>
      <w:r>
        <w:rPr>
          <w:b/>
          <w:bCs/>
          <w:sz w:val="20"/>
          <w:szCs w:val="20"/>
        </w:rPr>
        <w:br w:type="page"/>
      </w:r>
    </w:p>
    <w:p w:rsidR="006A7A3F" w:rsidRDefault="00BC7372">
      <w:pPr>
        <w:pStyle w:val="Heading4"/>
      </w:pPr>
      <w:r>
        <w:rPr>
          <w:color w:val="231F20"/>
        </w:rPr>
        <w:t>Recent conditions</w:t>
      </w:r>
    </w:p>
    <w:p w:rsidR="006A7A3F" w:rsidRDefault="00BC7372">
      <w:pPr>
        <w:pStyle w:val="BodyText"/>
        <w:spacing w:before="58" w:line="249" w:lineRule="auto"/>
        <w:ind w:right="619"/>
      </w:pPr>
      <w:r>
        <w:rPr>
          <w:color w:val="231F20"/>
        </w:rPr>
        <w:t>The Wimmera-Mallee region received below-average rainfall and had above-average temperatures throughout 2017–18, 2018–19 and 2019–20. The dry conditions experienced over the last three years have delivered low inflows to storages in the Wimmera-Mallee headworks system, and as a result the Wimmera-Mallee Pipeline wetland environmental entitlement received no allocation in 2019–20. All environmental water deliveries to the wetlands in 2019–20 were supported by water that was carried over from previous years.</w:t>
      </w:r>
    </w:p>
    <w:p w:rsidR="006A7A3F" w:rsidRDefault="00BC7372">
      <w:pPr>
        <w:pStyle w:val="BodyText"/>
        <w:spacing w:before="175" w:line="249" w:lineRule="auto"/>
        <w:ind w:right="818"/>
      </w:pPr>
      <w:r>
        <w:rPr>
          <w:color w:val="231F20"/>
        </w:rPr>
        <w:t>Rainfall during winter 2019 provided local run-off that topped up some wetlands, but most wetlands relied on deliveries of environmental water via the Wimmera-Mallee pipeline to provide their required water regime.</w:t>
      </w:r>
    </w:p>
    <w:p w:rsidR="006A7A3F" w:rsidRDefault="00BC7372">
      <w:pPr>
        <w:pStyle w:val="BodyText"/>
        <w:spacing w:before="171" w:line="249" w:lineRule="auto"/>
        <w:ind w:right="275"/>
      </w:pPr>
      <w:r>
        <w:rPr>
          <w:color w:val="231F20"/>
        </w:rPr>
        <w:t>Water for the environment was delivered to 30 of the 41 wetlands planned under a dry scenario in 2019–20: 13 wetlands in the Mallee CMA area, 11 in the Wimmera CMA area and six in the North Central CMA area. Deliveries were made in winter/spring 2019 and autumn/winter 2020. Some wetlands received water once during 2019–20, while others received multiple deliveries to maintain their water-dependent values.</w:t>
      </w:r>
    </w:p>
    <w:p w:rsidR="006A7A3F" w:rsidRDefault="00BC7372">
      <w:pPr>
        <w:pStyle w:val="BodyText"/>
        <w:spacing w:before="174" w:line="249" w:lineRule="auto"/>
        <w:ind w:right="213"/>
      </w:pPr>
      <w:r>
        <w:rPr>
          <w:color w:val="231F20"/>
        </w:rPr>
        <w:t>Remote, motion-sensor cameras and visual surveys at some wetlands have found that water for the environment delivered to Wimmera-Mallee wetlands provided feeding and breeding habitat for many animals (such as eastern long-necked turtles, frogs, yabbies, brolga, egrets, herons, ducks, grebes, stilts and other water and woodland birds). Many wetlands had vigorous growth of aquatic and semi-aquatic plants including nardoo, water milfoil, water ribbons, lignum and cane grass. The condition of black box trees, chariot wheels (a nationally threatened forb species) and lignum plants near watered wetlands also improved.</w:t>
      </w:r>
    </w:p>
    <w:p w:rsidR="006A7A3F" w:rsidRDefault="006A7A3F">
      <w:pPr>
        <w:pStyle w:val="BodyText"/>
        <w:spacing w:before="4"/>
        <w:ind w:left="0"/>
      </w:pPr>
    </w:p>
    <w:p w:rsidR="006A7A3F" w:rsidRDefault="00BC7372">
      <w:pPr>
        <w:pStyle w:val="Heading4"/>
      </w:pPr>
      <w:r>
        <w:rPr>
          <w:color w:val="231F20"/>
        </w:rPr>
        <w:t>Scope of environmental watering</w:t>
      </w:r>
    </w:p>
    <w:p w:rsidR="006A7A3F" w:rsidRDefault="00BC7372">
      <w:pPr>
        <w:pStyle w:val="BodyText"/>
        <w:spacing w:before="58" w:line="249" w:lineRule="auto"/>
        <w:ind w:right="100"/>
      </w:pPr>
      <w:r>
        <w:rPr>
          <w:color w:val="231F20"/>
        </w:rPr>
        <w:t>Table 4.4.1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4.4.1 Potential environmental watering actions and objectives for the Wimmera-Mallee wetlands</w:t>
      </w:r>
    </w:p>
    <w:p w:rsidR="006A7A3F" w:rsidRDefault="006A7A3F">
      <w:pPr>
        <w:pStyle w:val="BodyText"/>
        <w:spacing w:before="0"/>
        <w:ind w:left="0"/>
        <w:rPr>
          <w:b/>
          <w:sz w:val="9"/>
        </w:r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6"/>
        <w:gridCol w:w="6231"/>
        <w:gridCol w:w="850"/>
        <w:gridCol w:w="708"/>
      </w:tblGrid>
      <w:tr w:rsidR="006A7A3F" w:rsidTr="001636CA">
        <w:trPr>
          <w:trHeight w:val="587"/>
          <w:tblHeader/>
        </w:trPr>
        <w:tc>
          <w:tcPr>
            <w:tcW w:w="2386" w:type="dxa"/>
            <w:tcBorders>
              <w:top w:val="nil"/>
              <w:left w:val="nil"/>
              <w:bottom w:val="nil"/>
            </w:tcBorders>
            <w:shd w:val="clear" w:color="auto" w:fill="231F20"/>
          </w:tcPr>
          <w:p w:rsidR="006A7A3F" w:rsidRDefault="00BC7372">
            <w:pPr>
              <w:pStyle w:val="TableParagraph"/>
              <w:spacing w:before="73" w:line="254" w:lineRule="auto"/>
              <w:ind w:left="90" w:right="230"/>
              <w:rPr>
                <w:b/>
                <w:sz w:val="18"/>
              </w:rPr>
            </w:pPr>
            <w:r>
              <w:rPr>
                <w:b/>
                <w:color w:val="FFFFFF"/>
                <w:sz w:val="18"/>
              </w:rPr>
              <w:t>Potential environmental watering action</w:t>
            </w:r>
          </w:p>
        </w:tc>
        <w:tc>
          <w:tcPr>
            <w:tcW w:w="6231" w:type="dxa"/>
            <w:tcBorders>
              <w:top w:val="nil"/>
              <w:bottom w:val="nil"/>
            </w:tcBorders>
            <w:shd w:val="clear" w:color="auto" w:fill="231F20"/>
          </w:tcPr>
          <w:p w:rsidR="006A7A3F" w:rsidRDefault="00BC7372">
            <w:pPr>
              <w:pStyle w:val="TableParagraph"/>
              <w:spacing w:before="73"/>
              <w:ind w:left="80"/>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1636CA" w:rsidTr="009C1CCE">
        <w:trPr>
          <w:trHeight w:val="340"/>
        </w:trPr>
        <w:tc>
          <w:tcPr>
            <w:tcW w:w="10175" w:type="dxa"/>
            <w:gridSpan w:val="4"/>
            <w:tcBorders>
              <w:top w:val="nil"/>
              <w:left w:val="single" w:sz="4" w:space="0" w:color="231F20"/>
              <w:bottom w:val="single" w:sz="4" w:space="0" w:color="auto"/>
              <w:right w:val="single" w:sz="4" w:space="0" w:color="231F20"/>
            </w:tcBorders>
            <w:shd w:val="clear" w:color="auto" w:fill="D9D9D9" w:themeFill="background1" w:themeFillShade="D9"/>
          </w:tcPr>
          <w:p w:rsidR="001636CA" w:rsidRDefault="001636CA" w:rsidP="001636CA">
            <w:pPr>
              <w:pStyle w:val="TableParagraph"/>
              <w:spacing w:before="70"/>
              <w:ind w:left="85"/>
              <w:rPr>
                <w:b/>
                <w:sz w:val="18"/>
              </w:rPr>
            </w:pPr>
            <w:r>
              <w:rPr>
                <w:b/>
                <w:color w:val="231F20"/>
                <w:sz w:val="18"/>
              </w:rPr>
              <w:t>North Central wetlands</w:t>
            </w:r>
          </w:p>
        </w:tc>
      </w:tr>
      <w:tr w:rsidR="001636CA" w:rsidTr="009C1CCE">
        <w:trPr>
          <w:trHeight w:val="755"/>
        </w:trPr>
        <w:tc>
          <w:tcPr>
            <w:tcW w:w="2386" w:type="dxa"/>
            <w:tcBorders>
              <w:top w:val="nil"/>
              <w:left w:val="single" w:sz="4" w:space="0" w:color="231F20"/>
              <w:bottom w:val="single" w:sz="4" w:space="0" w:color="auto"/>
              <w:right w:val="single" w:sz="4" w:space="0" w:color="231F20"/>
            </w:tcBorders>
          </w:tcPr>
          <w:p w:rsidR="001636CA" w:rsidRDefault="001636CA" w:rsidP="001636CA">
            <w:pPr>
              <w:pStyle w:val="TableParagraph"/>
              <w:spacing w:before="70"/>
              <w:ind w:left="85"/>
              <w:rPr>
                <w:sz w:val="18"/>
              </w:rPr>
            </w:pPr>
            <w:r>
              <w:rPr>
                <w:color w:val="231F20"/>
                <w:sz w:val="18"/>
              </w:rPr>
              <w:t>Chirrup Swamp</w:t>
            </w:r>
          </w:p>
        </w:tc>
        <w:tc>
          <w:tcPr>
            <w:tcW w:w="6231" w:type="dxa"/>
            <w:tcBorders>
              <w:top w:val="nil"/>
              <w:left w:val="single" w:sz="4" w:space="0" w:color="231F20"/>
              <w:bottom w:val="single" w:sz="4" w:space="0" w:color="auto"/>
              <w:right w:val="single" w:sz="4" w:space="0" w:color="231F20"/>
            </w:tcBorders>
          </w:tcPr>
          <w:p w:rsidR="001636CA" w:rsidRDefault="001636CA" w:rsidP="001636CA">
            <w:pPr>
              <w:pStyle w:val="TableParagraph"/>
              <w:numPr>
                <w:ilvl w:val="0"/>
                <w:numId w:val="841"/>
              </w:numPr>
              <w:tabs>
                <w:tab w:val="left" w:pos="306"/>
              </w:tabs>
              <w:spacing w:before="75" w:line="244" w:lineRule="auto"/>
              <w:ind w:right="347"/>
              <w:rPr>
                <w:sz w:val="17"/>
              </w:rPr>
            </w:pPr>
            <w:r>
              <w:rPr>
                <w:color w:val="231F20"/>
                <w:sz w:val="17"/>
              </w:rPr>
              <w:t>Provide a permanent water source for refuge and to support feeding and breeding opportunities for frogs, waterbirds and</w:t>
            </w:r>
            <w:r>
              <w:rPr>
                <w:color w:val="231F20"/>
                <w:spacing w:val="15"/>
                <w:sz w:val="17"/>
              </w:rPr>
              <w:t xml:space="preserve"> </w:t>
            </w:r>
            <w:r>
              <w:rPr>
                <w:color w:val="231F20"/>
                <w:sz w:val="17"/>
              </w:rPr>
              <w:t>turtles</w:t>
            </w:r>
          </w:p>
        </w:tc>
        <w:tc>
          <w:tcPr>
            <w:tcW w:w="850" w:type="dxa"/>
            <w:tcBorders>
              <w:top w:val="nil"/>
              <w:left w:val="single" w:sz="4" w:space="0" w:color="231F20"/>
              <w:bottom w:val="single" w:sz="4" w:space="0" w:color="auto"/>
              <w:right w:val="nil"/>
            </w:tcBorders>
          </w:tcPr>
          <w:p w:rsidR="001636CA" w:rsidRDefault="001636CA" w:rsidP="001636CA">
            <w:pPr>
              <w:pStyle w:val="TableParagraph"/>
              <w:spacing w:before="4" w:after="1"/>
              <w:ind w:left="0"/>
              <w:rPr>
                <w:b/>
                <w:sz w:val="9"/>
              </w:rPr>
            </w:pPr>
          </w:p>
          <w:p w:rsidR="001636CA" w:rsidRDefault="001636CA" w:rsidP="001636CA">
            <w:pPr>
              <w:pStyle w:val="TableParagraph"/>
              <w:ind w:left="315" w:right="-15"/>
              <w:rPr>
                <w:sz w:val="20"/>
              </w:rPr>
            </w:pPr>
            <w:r>
              <w:rPr>
                <w:noProof/>
                <w:sz w:val="20"/>
              </w:rPr>
              <w:drawing>
                <wp:inline distT="0" distB="0" distL="0" distR="0" wp14:anchorId="14886548" wp14:editId="4FA2470F">
                  <wp:extent cx="314168" cy="310896"/>
                  <wp:effectExtent l="0" t="0" r="0" b="0"/>
                  <wp:docPr id="103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auto"/>
              <w:right w:val="single" w:sz="4" w:space="0" w:color="231F20"/>
            </w:tcBorders>
          </w:tcPr>
          <w:p w:rsidR="001636CA" w:rsidRDefault="001636CA" w:rsidP="001636CA">
            <w:pPr>
              <w:pStyle w:val="TableParagraph"/>
              <w:spacing w:before="4" w:after="1"/>
              <w:ind w:left="0"/>
              <w:rPr>
                <w:b/>
                <w:sz w:val="9"/>
              </w:rPr>
            </w:pPr>
          </w:p>
          <w:p w:rsidR="001636CA" w:rsidRDefault="001636CA" w:rsidP="001636CA">
            <w:pPr>
              <w:pStyle w:val="TableParagraph"/>
              <w:ind w:left="48"/>
              <w:rPr>
                <w:sz w:val="20"/>
              </w:rPr>
            </w:pPr>
            <w:r>
              <w:rPr>
                <w:noProof/>
                <w:sz w:val="20"/>
              </w:rPr>
              <w:drawing>
                <wp:inline distT="0" distB="0" distL="0" distR="0" wp14:anchorId="1F8CE45E" wp14:editId="7B219C6C">
                  <wp:extent cx="314168" cy="310896"/>
                  <wp:effectExtent l="0" t="0" r="0" b="0"/>
                  <wp:docPr id="1033"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40.jpeg"/>
                          <pic:cNvPicPr/>
                        </pic:nvPicPr>
                        <pic:blipFill>
                          <a:blip r:embed="rId52" cstate="print"/>
                          <a:stretch>
                            <a:fillRect/>
                          </a:stretch>
                        </pic:blipFill>
                        <pic:spPr>
                          <a:xfrm>
                            <a:off x="0" y="0"/>
                            <a:ext cx="314168" cy="310896"/>
                          </a:xfrm>
                          <a:prstGeom prst="rect">
                            <a:avLst/>
                          </a:prstGeom>
                        </pic:spPr>
                      </pic:pic>
                    </a:graphicData>
                  </a:graphic>
                </wp:inline>
              </w:drawing>
            </w:r>
          </w:p>
        </w:tc>
      </w:tr>
      <w:tr w:rsidR="001636CA" w:rsidTr="001636CA">
        <w:trPr>
          <w:trHeight w:val="620"/>
        </w:trPr>
        <w:tc>
          <w:tcPr>
            <w:tcW w:w="2386" w:type="dxa"/>
            <w:vMerge w:val="restart"/>
            <w:tcBorders>
              <w:top w:val="single" w:sz="4" w:space="0" w:color="auto"/>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Corack Lake</w:t>
            </w:r>
          </w:p>
        </w:tc>
        <w:tc>
          <w:tcPr>
            <w:tcW w:w="6231" w:type="dxa"/>
            <w:vMerge w:val="restart"/>
            <w:tcBorders>
              <w:top w:val="single" w:sz="4" w:space="0" w:color="auto"/>
              <w:left w:val="single" w:sz="4" w:space="0" w:color="231F20"/>
              <w:bottom w:val="single" w:sz="4" w:space="0" w:color="231F20"/>
              <w:right w:val="single" w:sz="4" w:space="0" w:color="231F20"/>
            </w:tcBorders>
          </w:tcPr>
          <w:p w:rsidR="001636CA" w:rsidRDefault="001636CA" w:rsidP="001636CA">
            <w:pPr>
              <w:pStyle w:val="TableParagraph"/>
              <w:numPr>
                <w:ilvl w:val="0"/>
                <w:numId w:val="840"/>
              </w:numPr>
              <w:tabs>
                <w:tab w:val="left" w:pos="301"/>
              </w:tabs>
              <w:spacing w:before="68" w:line="244" w:lineRule="auto"/>
              <w:ind w:right="155"/>
              <w:rPr>
                <w:sz w:val="17"/>
              </w:rPr>
            </w:pPr>
            <w:r>
              <w:rPr>
                <w:color w:val="231F20"/>
                <w:sz w:val="17"/>
              </w:rPr>
              <w:t>Provide a permanent water source for refuge and nursery habitat for turtles and</w:t>
            </w:r>
            <w:r>
              <w:rPr>
                <w:color w:val="231F20"/>
                <w:spacing w:val="1"/>
                <w:sz w:val="17"/>
              </w:rPr>
              <w:t xml:space="preserve"> </w:t>
            </w:r>
            <w:r>
              <w:rPr>
                <w:color w:val="231F20"/>
                <w:sz w:val="17"/>
              </w:rPr>
              <w:t>frogs</w:t>
            </w:r>
          </w:p>
          <w:p w:rsidR="001636CA" w:rsidRDefault="001636CA" w:rsidP="001636CA">
            <w:pPr>
              <w:pStyle w:val="TableParagraph"/>
              <w:numPr>
                <w:ilvl w:val="0"/>
                <w:numId w:val="840"/>
              </w:numPr>
              <w:tabs>
                <w:tab w:val="left" w:pos="301"/>
              </w:tabs>
              <w:spacing w:before="86" w:line="244" w:lineRule="auto"/>
              <w:ind w:right="210"/>
              <w:rPr>
                <w:sz w:val="17"/>
              </w:rPr>
            </w:pPr>
            <w:r>
              <w:rPr>
                <w:color w:val="231F20"/>
                <w:sz w:val="17"/>
              </w:rPr>
              <w:t>Maintain varying depths of water to support aquatic and fringing plants’ life cycles</w:t>
            </w:r>
          </w:p>
          <w:p w:rsidR="001636CA" w:rsidRDefault="001636CA" w:rsidP="001636CA">
            <w:pPr>
              <w:pStyle w:val="TableParagraph"/>
              <w:numPr>
                <w:ilvl w:val="0"/>
                <w:numId w:val="840"/>
              </w:numPr>
              <w:tabs>
                <w:tab w:val="left" w:pos="301"/>
              </w:tabs>
              <w:spacing w:before="86" w:line="244" w:lineRule="auto"/>
              <w:ind w:right="164"/>
              <w:rPr>
                <w:sz w:val="17"/>
              </w:rPr>
            </w:pPr>
            <w:r>
              <w:rPr>
                <w:color w:val="231F20"/>
                <w:sz w:val="17"/>
              </w:rPr>
              <w:t>Maintain varying depths of water to support a variety of feeding habitats for waterbirds</w:t>
            </w:r>
          </w:p>
        </w:tc>
        <w:tc>
          <w:tcPr>
            <w:tcW w:w="850" w:type="dxa"/>
            <w:tcBorders>
              <w:top w:val="single" w:sz="4" w:space="0" w:color="auto"/>
              <w:left w:val="single" w:sz="4" w:space="0" w:color="231F20"/>
              <w:bottom w:val="nil"/>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5B714781" wp14:editId="23D11295">
                  <wp:extent cx="314168" cy="310896"/>
                  <wp:effectExtent l="0" t="0" r="0" b="0"/>
                  <wp:docPr id="103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auto"/>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26C29521" wp14:editId="11DFD2E8">
                  <wp:extent cx="314168" cy="310896"/>
                  <wp:effectExtent l="0" t="0" r="0" b="0"/>
                  <wp:docPr id="103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1636CA" w:rsidTr="001636CA">
        <w:trPr>
          <w:trHeight w:val="882"/>
        </w:trPr>
        <w:tc>
          <w:tcPr>
            <w:tcW w:w="2386"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231F20"/>
              <w:right w:val="nil"/>
            </w:tcBorders>
          </w:tcPr>
          <w:p w:rsidR="001636CA" w:rsidRDefault="001636CA" w:rsidP="001636CA">
            <w:pPr>
              <w:pStyle w:val="TableParagraph"/>
              <w:ind w:left="315" w:right="-15"/>
              <w:rPr>
                <w:sz w:val="20"/>
              </w:rPr>
            </w:pPr>
            <w:r>
              <w:rPr>
                <w:noProof/>
                <w:sz w:val="20"/>
              </w:rPr>
              <w:drawing>
                <wp:inline distT="0" distB="0" distL="0" distR="0" wp14:anchorId="52AABF6F" wp14:editId="7B7EE527">
                  <wp:extent cx="314168" cy="310896"/>
                  <wp:effectExtent l="0" t="0" r="0" b="0"/>
                  <wp:docPr id="103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620"/>
        </w:trPr>
        <w:tc>
          <w:tcPr>
            <w:tcW w:w="2386"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Creswick Swamp</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9"/>
              </w:numPr>
              <w:tabs>
                <w:tab w:val="left" w:pos="301"/>
              </w:tabs>
              <w:spacing w:before="68" w:line="244" w:lineRule="auto"/>
              <w:ind w:right="271"/>
              <w:rPr>
                <w:sz w:val="17"/>
              </w:rPr>
            </w:pPr>
            <w:r>
              <w:rPr>
                <w:color w:val="231F20"/>
                <w:sz w:val="17"/>
              </w:rPr>
              <w:t>Maintain varying depths of water to support the life cycle of aquatic plants including threatened marbled</w:t>
            </w:r>
            <w:r>
              <w:rPr>
                <w:color w:val="231F20"/>
                <w:spacing w:val="6"/>
                <w:sz w:val="17"/>
              </w:rPr>
              <w:t xml:space="preserve"> </w:t>
            </w:r>
            <w:r>
              <w:rPr>
                <w:color w:val="231F20"/>
                <w:sz w:val="17"/>
              </w:rPr>
              <w:t>marshwort</w:t>
            </w:r>
          </w:p>
          <w:p w:rsidR="001636CA" w:rsidRDefault="001636CA" w:rsidP="001636CA">
            <w:pPr>
              <w:pStyle w:val="TableParagraph"/>
              <w:numPr>
                <w:ilvl w:val="0"/>
                <w:numId w:val="839"/>
              </w:numPr>
              <w:tabs>
                <w:tab w:val="left" w:pos="301"/>
              </w:tabs>
              <w:spacing w:before="86" w:line="244" w:lineRule="auto"/>
              <w:ind w:right="347"/>
              <w:rPr>
                <w:sz w:val="17"/>
              </w:rPr>
            </w:pPr>
            <w:r>
              <w:rPr>
                <w:color w:val="231F20"/>
                <w:sz w:val="17"/>
              </w:rPr>
              <w:t>Provide a permanent water source for refuge and to support feeding and breeding opportunities for frogs and</w:t>
            </w:r>
            <w:r>
              <w:rPr>
                <w:color w:val="231F20"/>
                <w:spacing w:val="9"/>
                <w:sz w:val="17"/>
              </w:rPr>
              <w:t xml:space="preserve"> </w:t>
            </w:r>
            <w:r>
              <w:rPr>
                <w:color w:val="231F20"/>
                <w:sz w:val="17"/>
              </w:rPr>
              <w:t>turtles</w:t>
            </w:r>
          </w:p>
          <w:p w:rsidR="001636CA" w:rsidRDefault="001636CA" w:rsidP="001636CA">
            <w:pPr>
              <w:pStyle w:val="TableParagraph"/>
              <w:numPr>
                <w:ilvl w:val="0"/>
                <w:numId w:val="839"/>
              </w:numPr>
              <w:tabs>
                <w:tab w:val="left" w:pos="301"/>
              </w:tabs>
              <w:spacing w:before="86" w:line="244" w:lineRule="auto"/>
              <w:ind w:right="330"/>
              <w:rPr>
                <w:sz w:val="17"/>
              </w:rPr>
            </w:pPr>
            <w:r>
              <w:rPr>
                <w:color w:val="231F20"/>
                <w:sz w:val="17"/>
              </w:rPr>
              <w:t>Maintain water levels to prolong wetting and ensure successful waterbird breeding events, if they</w:t>
            </w:r>
            <w:r>
              <w:rPr>
                <w:color w:val="231F20"/>
                <w:spacing w:val="5"/>
                <w:sz w:val="17"/>
              </w:rPr>
              <w:t xml:space="preserve"> </w:t>
            </w:r>
            <w:r>
              <w:rPr>
                <w:color w:val="231F20"/>
                <w:sz w:val="17"/>
              </w:rPr>
              <w:t>start</w:t>
            </w:r>
          </w:p>
        </w:tc>
        <w:tc>
          <w:tcPr>
            <w:tcW w:w="850" w:type="dxa"/>
            <w:tcBorders>
              <w:top w:val="single" w:sz="4" w:space="0" w:color="231F20"/>
              <w:left w:val="single" w:sz="4" w:space="0" w:color="231F20"/>
              <w:bottom w:val="nil"/>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4E2A1595" wp14:editId="3F8ADE41">
                  <wp:extent cx="314168" cy="310896"/>
                  <wp:effectExtent l="0" t="0" r="0" b="0"/>
                  <wp:docPr id="104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4D7D3762" wp14:editId="57C28749">
                  <wp:extent cx="314168" cy="310896"/>
                  <wp:effectExtent l="0" t="0" r="0" b="0"/>
                  <wp:docPr id="104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1636CA" w:rsidTr="001636CA">
        <w:trPr>
          <w:trHeight w:val="882"/>
        </w:trPr>
        <w:tc>
          <w:tcPr>
            <w:tcW w:w="2386"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231F20"/>
              <w:right w:val="nil"/>
            </w:tcBorders>
          </w:tcPr>
          <w:p w:rsidR="001636CA" w:rsidRDefault="001636CA" w:rsidP="001636CA">
            <w:pPr>
              <w:pStyle w:val="TableParagraph"/>
              <w:ind w:left="315" w:right="-15"/>
              <w:rPr>
                <w:sz w:val="20"/>
              </w:rPr>
            </w:pPr>
            <w:r>
              <w:rPr>
                <w:noProof/>
                <w:sz w:val="20"/>
              </w:rPr>
              <w:drawing>
                <wp:inline distT="0" distB="0" distL="0" distR="0" wp14:anchorId="5CCCEFCF" wp14:editId="3D18AE71">
                  <wp:extent cx="314177" cy="310896"/>
                  <wp:effectExtent l="0" t="0" r="0" b="0"/>
                  <wp:docPr id="104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48"/>
              <w:rPr>
                <w:sz w:val="20"/>
              </w:rPr>
            </w:pPr>
            <w:r>
              <w:rPr>
                <w:noProof/>
                <w:sz w:val="20"/>
              </w:rPr>
              <w:drawing>
                <wp:inline distT="0" distB="0" distL="0" distR="0" wp14:anchorId="76E90182" wp14:editId="63EBDDF9">
                  <wp:extent cx="314164" cy="310896"/>
                  <wp:effectExtent l="0" t="0" r="0" b="0"/>
                  <wp:docPr id="104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27.jpeg"/>
                          <pic:cNvPicPr/>
                        </pic:nvPicPr>
                        <pic:blipFill>
                          <a:blip r:embed="rId39" cstate="print"/>
                          <a:stretch>
                            <a:fillRect/>
                          </a:stretch>
                        </pic:blipFill>
                        <pic:spPr>
                          <a:xfrm>
                            <a:off x="0" y="0"/>
                            <a:ext cx="314164" cy="310896"/>
                          </a:xfrm>
                          <a:prstGeom prst="rect">
                            <a:avLst/>
                          </a:prstGeom>
                        </pic:spPr>
                      </pic:pic>
                    </a:graphicData>
                  </a:graphic>
                </wp:inline>
              </w:drawing>
            </w:r>
          </w:p>
        </w:tc>
      </w:tr>
      <w:tr w:rsidR="001636CA" w:rsidTr="001636CA">
        <w:trPr>
          <w:trHeight w:val="620"/>
        </w:trPr>
        <w:tc>
          <w:tcPr>
            <w:tcW w:w="2386"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Davis Dam</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8"/>
              </w:numPr>
              <w:tabs>
                <w:tab w:val="left" w:pos="301"/>
              </w:tabs>
              <w:spacing w:before="68" w:line="244" w:lineRule="auto"/>
              <w:ind w:right="478"/>
              <w:rPr>
                <w:sz w:val="17"/>
              </w:rPr>
            </w:pPr>
            <w:r>
              <w:rPr>
                <w:color w:val="231F20"/>
                <w:sz w:val="17"/>
              </w:rPr>
              <w:t>Wet black box and rare cane grass to allow plants to complete their life cycles and to support juvenile</w:t>
            </w:r>
            <w:r>
              <w:rPr>
                <w:color w:val="231F20"/>
                <w:spacing w:val="8"/>
                <w:sz w:val="17"/>
              </w:rPr>
              <w:t xml:space="preserve"> </w:t>
            </w:r>
            <w:r>
              <w:rPr>
                <w:color w:val="231F20"/>
                <w:sz w:val="17"/>
              </w:rPr>
              <w:t>plants</w:t>
            </w:r>
          </w:p>
          <w:p w:rsidR="001636CA" w:rsidRDefault="001636CA" w:rsidP="001636CA">
            <w:pPr>
              <w:pStyle w:val="TableParagraph"/>
              <w:numPr>
                <w:ilvl w:val="0"/>
                <w:numId w:val="838"/>
              </w:numPr>
              <w:tabs>
                <w:tab w:val="left" w:pos="301"/>
              </w:tabs>
              <w:spacing w:before="86" w:line="244" w:lineRule="auto"/>
              <w:ind w:right="173"/>
              <w:rPr>
                <w:sz w:val="17"/>
              </w:rPr>
            </w:pPr>
            <w:r>
              <w:rPr>
                <w:color w:val="231F20"/>
                <w:sz w:val="17"/>
              </w:rPr>
              <w:t>Provide a semi-permanent water source to support refuge and feeding and breeding opportunities for</w:t>
            </w:r>
            <w:r>
              <w:rPr>
                <w:color w:val="231F20"/>
                <w:spacing w:val="4"/>
                <w:sz w:val="17"/>
              </w:rPr>
              <w:t xml:space="preserve"> </w:t>
            </w:r>
            <w:r>
              <w:rPr>
                <w:color w:val="231F20"/>
                <w:sz w:val="17"/>
              </w:rPr>
              <w:t>frogs</w:t>
            </w:r>
          </w:p>
          <w:p w:rsidR="001636CA" w:rsidRDefault="001636CA" w:rsidP="001636CA">
            <w:pPr>
              <w:pStyle w:val="TableParagraph"/>
              <w:numPr>
                <w:ilvl w:val="0"/>
                <w:numId w:val="838"/>
              </w:numPr>
              <w:tabs>
                <w:tab w:val="left" w:pos="301"/>
              </w:tabs>
              <w:spacing w:before="86" w:line="244" w:lineRule="auto"/>
              <w:ind w:right="347"/>
              <w:rPr>
                <w:sz w:val="17"/>
              </w:rPr>
            </w:pPr>
            <w:r>
              <w:rPr>
                <w:color w:val="231F20"/>
                <w:sz w:val="17"/>
              </w:rPr>
              <w:t>Provide a permanent water source for refuge and to support feeding and breeding opportunities for waterbirds and terrestrial</w:t>
            </w:r>
            <w:r>
              <w:rPr>
                <w:color w:val="231F20"/>
                <w:spacing w:val="21"/>
                <w:sz w:val="17"/>
              </w:rPr>
              <w:t xml:space="preserve"> </w:t>
            </w:r>
            <w:r>
              <w:rPr>
                <w:color w:val="231F20"/>
                <w:sz w:val="17"/>
              </w:rPr>
              <w:t>species</w:t>
            </w:r>
          </w:p>
        </w:tc>
        <w:tc>
          <w:tcPr>
            <w:tcW w:w="850" w:type="dxa"/>
            <w:tcBorders>
              <w:top w:val="single" w:sz="4" w:space="0" w:color="231F20"/>
              <w:left w:val="single" w:sz="4" w:space="0" w:color="231F20"/>
              <w:bottom w:val="nil"/>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6AAF7C23" wp14:editId="693A2D05">
                  <wp:extent cx="314168" cy="310896"/>
                  <wp:effectExtent l="0" t="0" r="0" b="0"/>
                  <wp:docPr id="1049"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77DDFEA4" wp14:editId="1A7ED403">
                  <wp:extent cx="314168" cy="310896"/>
                  <wp:effectExtent l="0" t="0" r="0" b="0"/>
                  <wp:docPr id="1051"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40.jpeg"/>
                          <pic:cNvPicPr/>
                        </pic:nvPicPr>
                        <pic:blipFill>
                          <a:blip r:embed="rId52" cstate="print"/>
                          <a:stretch>
                            <a:fillRect/>
                          </a:stretch>
                        </pic:blipFill>
                        <pic:spPr>
                          <a:xfrm>
                            <a:off x="0" y="0"/>
                            <a:ext cx="314168" cy="310896"/>
                          </a:xfrm>
                          <a:prstGeom prst="rect">
                            <a:avLst/>
                          </a:prstGeom>
                        </pic:spPr>
                      </pic:pic>
                    </a:graphicData>
                  </a:graphic>
                </wp:inline>
              </w:drawing>
            </w:r>
          </w:p>
        </w:tc>
      </w:tr>
      <w:tr w:rsidR="001636CA" w:rsidTr="001636CA">
        <w:trPr>
          <w:trHeight w:val="882"/>
        </w:trPr>
        <w:tc>
          <w:tcPr>
            <w:tcW w:w="2386"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231F20"/>
              <w:right w:val="nil"/>
            </w:tcBorders>
          </w:tcPr>
          <w:p w:rsidR="001636CA" w:rsidRDefault="001636CA" w:rsidP="001636CA">
            <w:pPr>
              <w:pStyle w:val="TableParagraph"/>
              <w:ind w:left="315" w:right="-15"/>
              <w:rPr>
                <w:sz w:val="20"/>
              </w:rPr>
            </w:pPr>
            <w:r>
              <w:rPr>
                <w:noProof/>
                <w:sz w:val="20"/>
              </w:rPr>
              <w:drawing>
                <wp:inline distT="0" distB="0" distL="0" distR="0" wp14:anchorId="0E984970" wp14:editId="03461912">
                  <wp:extent cx="314168" cy="310896"/>
                  <wp:effectExtent l="0" t="0" r="0" b="0"/>
                  <wp:docPr id="105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620"/>
        </w:trPr>
        <w:tc>
          <w:tcPr>
            <w:tcW w:w="2386"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Falla Dam</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7"/>
              </w:numPr>
              <w:tabs>
                <w:tab w:val="left" w:pos="301"/>
              </w:tabs>
              <w:spacing w:before="68" w:line="244" w:lineRule="auto"/>
              <w:ind w:right="347"/>
              <w:rPr>
                <w:sz w:val="17"/>
              </w:rPr>
            </w:pPr>
            <w:r>
              <w:rPr>
                <w:color w:val="231F20"/>
                <w:sz w:val="17"/>
              </w:rPr>
              <w:t>Provide a permanent water source for refuge and to support feeding and breeding opportunities for frogs, waterbirds and terrestrial</w:t>
            </w:r>
            <w:r>
              <w:rPr>
                <w:color w:val="231F20"/>
                <w:spacing w:val="36"/>
                <w:sz w:val="17"/>
              </w:rPr>
              <w:t xml:space="preserve"> </w:t>
            </w:r>
            <w:r>
              <w:rPr>
                <w:color w:val="231F20"/>
                <w:sz w:val="17"/>
              </w:rPr>
              <w:t>species</w:t>
            </w:r>
          </w:p>
          <w:p w:rsidR="001636CA" w:rsidRDefault="001636CA" w:rsidP="001636CA">
            <w:pPr>
              <w:pStyle w:val="TableParagraph"/>
              <w:numPr>
                <w:ilvl w:val="0"/>
                <w:numId w:val="837"/>
              </w:numPr>
              <w:tabs>
                <w:tab w:val="left" w:pos="301"/>
              </w:tabs>
              <w:spacing w:before="86" w:line="244" w:lineRule="auto"/>
              <w:ind w:right="377"/>
              <w:rPr>
                <w:sz w:val="17"/>
              </w:rPr>
            </w:pPr>
            <w:r>
              <w:rPr>
                <w:color w:val="231F20"/>
                <w:sz w:val="17"/>
              </w:rPr>
              <w:t>Stimulate frog and turtle breeding by providing a deep, permanent water source in</w:t>
            </w:r>
            <w:r>
              <w:rPr>
                <w:color w:val="231F20"/>
                <w:spacing w:val="2"/>
                <w:sz w:val="17"/>
              </w:rPr>
              <w:t xml:space="preserve"> </w:t>
            </w:r>
            <w:r>
              <w:rPr>
                <w:color w:val="231F20"/>
                <w:sz w:val="17"/>
              </w:rPr>
              <w:t>spring</w:t>
            </w:r>
          </w:p>
          <w:p w:rsidR="001636CA" w:rsidRDefault="001636CA" w:rsidP="001636CA">
            <w:pPr>
              <w:pStyle w:val="TableParagraph"/>
              <w:numPr>
                <w:ilvl w:val="0"/>
                <w:numId w:val="837"/>
              </w:numPr>
              <w:tabs>
                <w:tab w:val="left" w:pos="301"/>
              </w:tabs>
              <w:spacing w:before="86"/>
              <w:ind w:hanging="218"/>
              <w:rPr>
                <w:sz w:val="17"/>
              </w:rPr>
            </w:pPr>
            <w:r>
              <w:rPr>
                <w:color w:val="231F20"/>
                <w:sz w:val="17"/>
              </w:rPr>
              <w:t>Stimulate aquatic and fringing vegetation growth in</w:t>
            </w:r>
            <w:r>
              <w:rPr>
                <w:color w:val="231F20"/>
                <w:spacing w:val="26"/>
                <w:sz w:val="17"/>
              </w:rPr>
              <w:t xml:space="preserve"> </w:t>
            </w:r>
            <w:r>
              <w:rPr>
                <w:color w:val="231F20"/>
                <w:sz w:val="17"/>
              </w:rPr>
              <w:t>winter/spring</w:t>
            </w:r>
          </w:p>
        </w:tc>
        <w:tc>
          <w:tcPr>
            <w:tcW w:w="850" w:type="dxa"/>
            <w:tcBorders>
              <w:top w:val="single" w:sz="4" w:space="0" w:color="231F20"/>
              <w:left w:val="single" w:sz="4" w:space="0" w:color="231F20"/>
              <w:bottom w:val="nil"/>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333C70AD" wp14:editId="30BB6BFA">
                  <wp:extent cx="314168" cy="310896"/>
                  <wp:effectExtent l="0" t="0" r="0" b="0"/>
                  <wp:docPr id="105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212A191C" wp14:editId="6711FEFE">
                  <wp:extent cx="314168" cy="310896"/>
                  <wp:effectExtent l="0" t="0" r="0" b="0"/>
                  <wp:docPr id="1057"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1636CA" w:rsidTr="001636CA">
        <w:trPr>
          <w:trHeight w:val="546"/>
        </w:trPr>
        <w:tc>
          <w:tcPr>
            <w:tcW w:w="2386"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315" w:right="-15"/>
              <w:rPr>
                <w:sz w:val="20"/>
              </w:rPr>
            </w:pPr>
            <w:r>
              <w:rPr>
                <w:noProof/>
                <w:sz w:val="20"/>
              </w:rPr>
              <w:drawing>
                <wp:inline distT="0" distB="0" distL="0" distR="0" wp14:anchorId="38703C7A" wp14:editId="44CCE4DE">
                  <wp:extent cx="314168" cy="310896"/>
                  <wp:effectExtent l="0" t="0" r="0" b="0"/>
                  <wp:docPr id="1059"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40.jpeg"/>
                          <pic:cNvPicPr/>
                        </pic:nvPicPr>
                        <pic:blipFill>
                          <a:blip r:embed="rId52"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1636CA" w:rsidRDefault="001636CA" w:rsidP="001636CA">
            <w:pPr>
              <w:pStyle w:val="TableParagraph"/>
              <w:ind w:left="48"/>
              <w:rPr>
                <w:sz w:val="20"/>
              </w:rPr>
            </w:pPr>
            <w:r>
              <w:rPr>
                <w:noProof/>
                <w:sz w:val="20"/>
              </w:rPr>
              <w:drawing>
                <wp:inline distT="0" distB="0" distL="0" distR="0" wp14:anchorId="0374FC9B" wp14:editId="3A0B85A0">
                  <wp:extent cx="314168" cy="310896"/>
                  <wp:effectExtent l="0" t="0" r="0" b="0"/>
                  <wp:docPr id="106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1636CA" w:rsidTr="001636CA">
        <w:trPr>
          <w:trHeight w:val="632"/>
        </w:trPr>
        <w:tc>
          <w:tcPr>
            <w:tcW w:w="2386"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231F20"/>
              <w:right w:val="nil"/>
            </w:tcBorders>
          </w:tcPr>
          <w:p w:rsidR="001636CA" w:rsidRDefault="001636CA" w:rsidP="001636CA">
            <w:pPr>
              <w:pStyle w:val="TableParagraph"/>
              <w:spacing w:before="4"/>
              <w:ind w:left="0"/>
              <w:rPr>
                <w:b/>
                <w:sz w:val="2"/>
              </w:rPr>
            </w:pPr>
          </w:p>
          <w:p w:rsidR="001636CA" w:rsidRDefault="001636CA" w:rsidP="001636CA">
            <w:pPr>
              <w:pStyle w:val="TableParagraph"/>
              <w:ind w:left="315" w:right="-15"/>
              <w:rPr>
                <w:sz w:val="20"/>
              </w:rPr>
            </w:pPr>
            <w:r>
              <w:rPr>
                <w:noProof/>
                <w:sz w:val="20"/>
              </w:rPr>
              <w:drawing>
                <wp:inline distT="0" distB="0" distL="0" distR="0" wp14:anchorId="67121141" wp14:editId="3B2CEB6A">
                  <wp:extent cx="314168" cy="310896"/>
                  <wp:effectExtent l="0" t="0" r="0" b="0"/>
                  <wp:docPr id="106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620"/>
        </w:trPr>
        <w:tc>
          <w:tcPr>
            <w:tcW w:w="2386"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Jeffcott Wildlife Reserve</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6"/>
              </w:numPr>
              <w:tabs>
                <w:tab w:val="left" w:pos="301"/>
              </w:tabs>
              <w:spacing w:before="68" w:line="244" w:lineRule="auto"/>
              <w:ind w:right="493"/>
              <w:rPr>
                <w:sz w:val="17"/>
              </w:rPr>
            </w:pPr>
            <w:r>
              <w:rPr>
                <w:color w:val="231F20"/>
                <w:sz w:val="17"/>
              </w:rPr>
              <w:t>Maintain a minimum depth of water to support the life cycles of aquatic plants</w:t>
            </w:r>
          </w:p>
          <w:p w:rsidR="001636CA" w:rsidRDefault="001636CA" w:rsidP="001636CA">
            <w:pPr>
              <w:pStyle w:val="TableParagraph"/>
              <w:numPr>
                <w:ilvl w:val="0"/>
                <w:numId w:val="836"/>
              </w:numPr>
              <w:tabs>
                <w:tab w:val="left" w:pos="301"/>
              </w:tabs>
              <w:spacing w:before="86" w:line="244" w:lineRule="auto"/>
              <w:ind w:right="347"/>
              <w:rPr>
                <w:sz w:val="17"/>
              </w:rPr>
            </w:pPr>
            <w:r>
              <w:rPr>
                <w:color w:val="231F20"/>
                <w:sz w:val="17"/>
              </w:rPr>
              <w:t>Provide a permanent water source for refuge and to support feeding and breeding opportunities for frogs, waterbugs, waterbirds and</w:t>
            </w:r>
            <w:r>
              <w:rPr>
                <w:color w:val="231F20"/>
                <w:spacing w:val="33"/>
                <w:sz w:val="17"/>
              </w:rPr>
              <w:t xml:space="preserve"> </w:t>
            </w:r>
            <w:r>
              <w:rPr>
                <w:color w:val="231F20"/>
                <w:sz w:val="17"/>
              </w:rPr>
              <w:t>turtles</w:t>
            </w:r>
          </w:p>
        </w:tc>
        <w:tc>
          <w:tcPr>
            <w:tcW w:w="850" w:type="dxa"/>
            <w:tcBorders>
              <w:top w:val="single" w:sz="4" w:space="0" w:color="231F20"/>
              <w:left w:val="single" w:sz="4" w:space="0" w:color="231F20"/>
              <w:bottom w:val="nil"/>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45502490" wp14:editId="2E978719">
                  <wp:extent cx="314168" cy="310896"/>
                  <wp:effectExtent l="0" t="0" r="0" b="0"/>
                  <wp:docPr id="106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06269B4F" wp14:editId="1220D548">
                  <wp:extent cx="314168" cy="310896"/>
                  <wp:effectExtent l="0" t="0" r="0" b="0"/>
                  <wp:docPr id="1067"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1636CA" w:rsidTr="001636CA">
        <w:trPr>
          <w:trHeight w:val="546"/>
        </w:trPr>
        <w:tc>
          <w:tcPr>
            <w:tcW w:w="2386"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315" w:right="-15"/>
              <w:rPr>
                <w:sz w:val="20"/>
              </w:rPr>
            </w:pPr>
            <w:r>
              <w:rPr>
                <w:noProof/>
                <w:sz w:val="20"/>
              </w:rPr>
              <w:drawing>
                <wp:inline distT="0" distB="0" distL="0" distR="0" wp14:anchorId="10A2EBBF" wp14:editId="553AC7E4">
                  <wp:extent cx="314177" cy="310896"/>
                  <wp:effectExtent l="0" t="0" r="0" b="0"/>
                  <wp:docPr id="106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1636CA" w:rsidRDefault="001636CA" w:rsidP="001636CA">
            <w:pPr>
              <w:pStyle w:val="TableParagraph"/>
              <w:ind w:left="48"/>
              <w:rPr>
                <w:sz w:val="20"/>
              </w:rPr>
            </w:pPr>
            <w:r>
              <w:rPr>
                <w:noProof/>
                <w:sz w:val="20"/>
              </w:rPr>
              <w:drawing>
                <wp:inline distT="0" distB="0" distL="0" distR="0" wp14:anchorId="4B1356EF" wp14:editId="3FFAF840">
                  <wp:extent cx="314164" cy="310896"/>
                  <wp:effectExtent l="0" t="0" r="0" b="0"/>
                  <wp:docPr id="107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27.jpeg"/>
                          <pic:cNvPicPr/>
                        </pic:nvPicPr>
                        <pic:blipFill>
                          <a:blip r:embed="rId39" cstate="print"/>
                          <a:stretch>
                            <a:fillRect/>
                          </a:stretch>
                        </pic:blipFill>
                        <pic:spPr>
                          <a:xfrm>
                            <a:off x="0" y="0"/>
                            <a:ext cx="314164" cy="310896"/>
                          </a:xfrm>
                          <a:prstGeom prst="rect">
                            <a:avLst/>
                          </a:prstGeom>
                        </pic:spPr>
                      </pic:pic>
                    </a:graphicData>
                  </a:graphic>
                </wp:inline>
              </w:drawing>
            </w:r>
          </w:p>
        </w:tc>
      </w:tr>
      <w:tr w:rsidR="001636CA" w:rsidTr="001636CA">
        <w:trPr>
          <w:trHeight w:val="632"/>
        </w:trPr>
        <w:tc>
          <w:tcPr>
            <w:tcW w:w="2386"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231F20"/>
              <w:right w:val="nil"/>
            </w:tcBorders>
          </w:tcPr>
          <w:p w:rsidR="001636CA" w:rsidRDefault="001636CA" w:rsidP="001636CA">
            <w:pPr>
              <w:pStyle w:val="TableParagraph"/>
              <w:spacing w:before="4"/>
              <w:ind w:left="0"/>
              <w:rPr>
                <w:b/>
                <w:sz w:val="2"/>
              </w:rPr>
            </w:pPr>
          </w:p>
          <w:p w:rsidR="001636CA" w:rsidRDefault="001636CA" w:rsidP="001636CA">
            <w:pPr>
              <w:pStyle w:val="TableParagraph"/>
              <w:ind w:left="315" w:right="-15"/>
              <w:rPr>
                <w:sz w:val="20"/>
              </w:rPr>
            </w:pPr>
            <w:r>
              <w:rPr>
                <w:noProof/>
                <w:sz w:val="20"/>
              </w:rPr>
              <w:drawing>
                <wp:inline distT="0" distB="0" distL="0" distR="0" wp14:anchorId="1A127888" wp14:editId="51A6C59C">
                  <wp:extent cx="314168" cy="310896"/>
                  <wp:effectExtent l="0" t="0" r="0" b="0"/>
                  <wp:docPr id="107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620"/>
        </w:trPr>
        <w:tc>
          <w:tcPr>
            <w:tcW w:w="2386"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Jesse Swamp</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5"/>
              </w:numPr>
              <w:tabs>
                <w:tab w:val="left" w:pos="301"/>
              </w:tabs>
              <w:spacing w:before="68" w:line="244" w:lineRule="auto"/>
              <w:ind w:right="329"/>
              <w:rPr>
                <w:sz w:val="17"/>
              </w:rPr>
            </w:pPr>
            <w:r>
              <w:rPr>
                <w:color w:val="231F20"/>
                <w:sz w:val="17"/>
              </w:rPr>
              <w:t>Maintain varying depths of water to support aquatic and fringing plant life cycles</w:t>
            </w:r>
          </w:p>
          <w:p w:rsidR="001636CA" w:rsidRDefault="001636CA" w:rsidP="001636CA">
            <w:pPr>
              <w:pStyle w:val="TableParagraph"/>
              <w:numPr>
                <w:ilvl w:val="0"/>
                <w:numId w:val="835"/>
              </w:numPr>
              <w:tabs>
                <w:tab w:val="left" w:pos="301"/>
              </w:tabs>
              <w:spacing w:before="86" w:line="244" w:lineRule="auto"/>
              <w:ind w:right="347"/>
              <w:rPr>
                <w:sz w:val="17"/>
              </w:rPr>
            </w:pPr>
            <w:r>
              <w:rPr>
                <w:color w:val="231F20"/>
                <w:sz w:val="17"/>
              </w:rPr>
              <w:t>Provide a permanent water source for refuge and to support feeding and breeding opportunities for frogs, waterbirds and terrestrial</w:t>
            </w:r>
            <w:r>
              <w:rPr>
                <w:color w:val="231F20"/>
                <w:spacing w:val="36"/>
                <w:sz w:val="17"/>
              </w:rPr>
              <w:t xml:space="preserve"> </w:t>
            </w:r>
            <w:r>
              <w:rPr>
                <w:color w:val="231F20"/>
                <w:sz w:val="17"/>
              </w:rPr>
              <w:t>species</w:t>
            </w:r>
          </w:p>
        </w:tc>
        <w:tc>
          <w:tcPr>
            <w:tcW w:w="850" w:type="dxa"/>
            <w:tcBorders>
              <w:top w:val="single" w:sz="4" w:space="0" w:color="231F20"/>
              <w:left w:val="single" w:sz="4" w:space="0" w:color="231F20"/>
              <w:bottom w:val="nil"/>
              <w:right w:val="nil"/>
            </w:tcBorders>
          </w:tcPr>
          <w:p w:rsidR="001636CA" w:rsidRDefault="001636CA" w:rsidP="001636CA">
            <w:pPr>
              <w:pStyle w:val="TableParagraph"/>
              <w:spacing w:before="8" w:after="1"/>
              <w:ind w:left="0"/>
              <w:rPr>
                <w:b/>
                <w:sz w:val="8"/>
              </w:rPr>
            </w:pPr>
          </w:p>
          <w:p w:rsidR="001636CA" w:rsidRDefault="001636CA" w:rsidP="001636CA">
            <w:pPr>
              <w:pStyle w:val="TableParagraph"/>
              <w:ind w:left="315" w:right="-15"/>
              <w:rPr>
                <w:sz w:val="20"/>
              </w:rPr>
            </w:pPr>
            <w:r>
              <w:rPr>
                <w:noProof/>
                <w:sz w:val="20"/>
              </w:rPr>
              <w:drawing>
                <wp:inline distT="0" distB="0" distL="0" distR="0" wp14:anchorId="05F7C11A" wp14:editId="0CB7A43E">
                  <wp:extent cx="314168" cy="310896"/>
                  <wp:effectExtent l="0" t="0" r="0" b="0"/>
                  <wp:docPr id="107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1636CA" w:rsidRDefault="001636CA" w:rsidP="001636CA">
            <w:pPr>
              <w:pStyle w:val="TableParagraph"/>
              <w:spacing w:before="8" w:after="1"/>
              <w:ind w:left="0"/>
              <w:rPr>
                <w:b/>
                <w:sz w:val="8"/>
              </w:rPr>
            </w:pPr>
          </w:p>
          <w:p w:rsidR="001636CA" w:rsidRDefault="001636CA" w:rsidP="001636CA">
            <w:pPr>
              <w:pStyle w:val="TableParagraph"/>
              <w:ind w:left="48"/>
              <w:rPr>
                <w:sz w:val="20"/>
              </w:rPr>
            </w:pPr>
            <w:r>
              <w:rPr>
                <w:noProof/>
                <w:sz w:val="20"/>
              </w:rPr>
              <w:drawing>
                <wp:inline distT="0" distB="0" distL="0" distR="0" wp14:anchorId="7C248EEC" wp14:editId="218C00FA">
                  <wp:extent cx="314168" cy="310896"/>
                  <wp:effectExtent l="0" t="0" r="0" b="0"/>
                  <wp:docPr id="1077"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40.jpeg"/>
                          <pic:cNvPicPr/>
                        </pic:nvPicPr>
                        <pic:blipFill>
                          <a:blip r:embed="rId52" cstate="print"/>
                          <a:stretch>
                            <a:fillRect/>
                          </a:stretch>
                        </pic:blipFill>
                        <pic:spPr>
                          <a:xfrm>
                            <a:off x="0" y="0"/>
                            <a:ext cx="314168" cy="310896"/>
                          </a:xfrm>
                          <a:prstGeom prst="rect">
                            <a:avLst/>
                          </a:prstGeom>
                        </pic:spPr>
                      </pic:pic>
                    </a:graphicData>
                  </a:graphic>
                </wp:inline>
              </w:drawing>
            </w:r>
          </w:p>
        </w:tc>
      </w:tr>
      <w:tr w:rsidR="001636CA" w:rsidTr="001636CA">
        <w:trPr>
          <w:trHeight w:val="622"/>
        </w:trPr>
        <w:tc>
          <w:tcPr>
            <w:tcW w:w="2386"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231F20"/>
              <w:right w:val="nil"/>
            </w:tcBorders>
          </w:tcPr>
          <w:p w:rsidR="001636CA" w:rsidRDefault="001636CA" w:rsidP="001636CA">
            <w:pPr>
              <w:pStyle w:val="TableParagraph"/>
              <w:ind w:left="315" w:right="-15"/>
              <w:rPr>
                <w:sz w:val="20"/>
              </w:rPr>
            </w:pPr>
            <w:r>
              <w:rPr>
                <w:noProof/>
                <w:sz w:val="20"/>
              </w:rPr>
              <w:drawing>
                <wp:inline distT="0" distB="0" distL="0" distR="0" wp14:anchorId="130E396F" wp14:editId="23BE1D29">
                  <wp:extent cx="314168" cy="310896"/>
                  <wp:effectExtent l="0" t="0" r="0" b="0"/>
                  <wp:docPr id="107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48"/>
              <w:rPr>
                <w:sz w:val="20"/>
              </w:rPr>
            </w:pPr>
            <w:r>
              <w:rPr>
                <w:noProof/>
                <w:sz w:val="20"/>
              </w:rPr>
              <w:drawing>
                <wp:inline distT="0" distB="0" distL="0" distR="0" wp14:anchorId="4F716C76" wp14:editId="4D5AB80B">
                  <wp:extent cx="314168" cy="310896"/>
                  <wp:effectExtent l="0" t="0" r="0" b="0"/>
                  <wp:docPr id="108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1636CA" w:rsidTr="001636CA">
        <w:trPr>
          <w:trHeight w:val="347"/>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1636CA" w:rsidRDefault="001636CA" w:rsidP="001636CA">
            <w:pPr>
              <w:pStyle w:val="TableParagraph"/>
              <w:spacing w:before="63"/>
              <w:ind w:left="85"/>
              <w:rPr>
                <w:b/>
                <w:sz w:val="18"/>
              </w:rPr>
            </w:pPr>
            <w:r>
              <w:rPr>
                <w:b/>
                <w:color w:val="231F20"/>
                <w:sz w:val="18"/>
              </w:rPr>
              <w:t>Wimmera wetlands</w:t>
            </w: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Carapugna</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4"/>
              </w:numPr>
              <w:tabs>
                <w:tab w:val="left" w:pos="301"/>
              </w:tabs>
              <w:spacing w:before="68" w:line="244" w:lineRule="auto"/>
              <w:ind w:right="347"/>
              <w:jc w:val="both"/>
              <w:rPr>
                <w:sz w:val="17"/>
              </w:rPr>
            </w:pPr>
            <w:r>
              <w:rPr>
                <w:color w:val="231F20"/>
                <w:sz w:val="17"/>
              </w:rPr>
              <w:t>Provide a permanent water source for refuge and to support feeding and breeding opportunities for frogs, waterbirds and terrestrial</w:t>
            </w:r>
            <w:r>
              <w:rPr>
                <w:color w:val="231F20"/>
                <w:spacing w:val="36"/>
                <w:sz w:val="17"/>
              </w:rPr>
              <w:t xml:space="preserve"> </w:t>
            </w:r>
            <w:r>
              <w:rPr>
                <w:color w:val="231F20"/>
                <w:sz w:val="17"/>
              </w:rPr>
              <w:t>species</w:t>
            </w:r>
          </w:p>
          <w:p w:rsidR="001636CA" w:rsidRDefault="001636CA" w:rsidP="001636CA">
            <w:pPr>
              <w:pStyle w:val="TableParagraph"/>
              <w:numPr>
                <w:ilvl w:val="0"/>
                <w:numId w:val="834"/>
              </w:numPr>
              <w:tabs>
                <w:tab w:val="left" w:pos="301"/>
              </w:tabs>
              <w:spacing w:before="86" w:line="244" w:lineRule="auto"/>
              <w:ind w:right="126"/>
              <w:jc w:val="both"/>
              <w:rPr>
                <w:sz w:val="17"/>
              </w:rPr>
            </w:pPr>
            <w:r>
              <w:rPr>
                <w:color w:val="231F20"/>
                <w:sz w:val="17"/>
              </w:rPr>
              <w:t>Stimulate aquatic and fringing vegetation growth and allow plants including chariot wheels, ridged water milfoil, black box and spiny lignum to complete their life</w:t>
            </w:r>
            <w:r>
              <w:rPr>
                <w:color w:val="231F20"/>
                <w:spacing w:val="2"/>
                <w:sz w:val="17"/>
              </w:rPr>
              <w:t xml:space="preserve"> </w:t>
            </w:r>
            <w:r>
              <w:rPr>
                <w:color w:val="231F20"/>
                <w:sz w:val="17"/>
              </w:rPr>
              <w:t>cycles</w:t>
            </w:r>
          </w:p>
        </w:tc>
        <w:tc>
          <w:tcPr>
            <w:tcW w:w="850" w:type="dxa"/>
            <w:vMerge w:val="restart"/>
            <w:tcBorders>
              <w:top w:val="single" w:sz="4" w:space="0" w:color="231F20"/>
              <w:left w:val="single" w:sz="4" w:space="0" w:color="231F20"/>
              <w:bottom w:val="nil"/>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2C535B49" wp14:editId="14E1B878">
                  <wp:extent cx="314168" cy="310895"/>
                  <wp:effectExtent l="0" t="0" r="0" b="0"/>
                  <wp:docPr id="108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25.jpeg"/>
                          <pic:cNvPicPr/>
                        </pic:nvPicPr>
                        <pic:blipFill>
                          <a:blip r:embed="rId37" cstate="print"/>
                          <a:stretch>
                            <a:fillRect/>
                          </a:stretch>
                        </pic:blipFill>
                        <pic:spPr>
                          <a:xfrm>
                            <a:off x="0" y="0"/>
                            <a:ext cx="314168" cy="310895"/>
                          </a:xfrm>
                          <a:prstGeom prst="rect">
                            <a:avLst/>
                          </a:prstGeom>
                        </pic:spPr>
                      </pic:pic>
                    </a:graphicData>
                  </a:graphic>
                </wp:inline>
              </w:drawing>
            </w:r>
          </w:p>
          <w:p w:rsidR="001636CA" w:rsidRDefault="001636CA" w:rsidP="001636CA">
            <w:pPr>
              <w:pStyle w:val="TableParagraph"/>
              <w:spacing w:before="9"/>
              <w:ind w:left="0"/>
              <w:rPr>
                <w:b/>
                <w:sz w:val="7"/>
              </w:rPr>
            </w:pPr>
          </w:p>
          <w:p w:rsidR="001636CA" w:rsidRDefault="001636CA" w:rsidP="001636CA">
            <w:pPr>
              <w:pStyle w:val="TableParagraph"/>
              <w:ind w:left="315" w:right="-15"/>
              <w:rPr>
                <w:sz w:val="20"/>
              </w:rPr>
            </w:pPr>
            <w:r>
              <w:rPr>
                <w:noProof/>
                <w:sz w:val="20"/>
              </w:rPr>
              <w:drawing>
                <wp:inline distT="0" distB="0" distL="0" distR="0" wp14:anchorId="326E88DE" wp14:editId="55858C1B">
                  <wp:extent cx="314168" cy="310895"/>
                  <wp:effectExtent l="0" t="0" r="0" b="0"/>
                  <wp:docPr id="108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27.jpeg"/>
                          <pic:cNvPicPr/>
                        </pic:nvPicPr>
                        <pic:blipFill>
                          <a:blip r:embed="rId39" cstate="print"/>
                          <a:stretch>
                            <a:fillRect/>
                          </a:stretch>
                        </pic:blipFill>
                        <pic:spPr>
                          <a:xfrm>
                            <a:off x="0" y="0"/>
                            <a:ext cx="314168" cy="310895"/>
                          </a:xfrm>
                          <a:prstGeom prst="rect">
                            <a:avLst/>
                          </a:prstGeom>
                        </pic:spPr>
                      </pic:pic>
                    </a:graphicData>
                  </a:graphic>
                </wp:inline>
              </w:drawing>
            </w:r>
          </w:p>
        </w:tc>
        <w:tc>
          <w:tcPr>
            <w:tcW w:w="708" w:type="dxa"/>
            <w:vMerge w:val="restart"/>
            <w:tcBorders>
              <w:top w:val="single" w:sz="4" w:space="0" w:color="231F20"/>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7F5CD161" wp14:editId="26D973D2">
                  <wp:extent cx="314168" cy="310895"/>
                  <wp:effectExtent l="0" t="0" r="0" b="0"/>
                  <wp:docPr id="1087"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40.jpeg"/>
                          <pic:cNvPicPr/>
                        </pic:nvPicPr>
                        <pic:blipFill>
                          <a:blip r:embed="rId52" cstate="print"/>
                          <a:stretch>
                            <a:fillRect/>
                          </a:stretch>
                        </pic:blipFill>
                        <pic:spPr>
                          <a:xfrm>
                            <a:off x="0" y="0"/>
                            <a:ext cx="314168" cy="310895"/>
                          </a:xfrm>
                          <a:prstGeom prst="rect">
                            <a:avLst/>
                          </a:prstGeom>
                        </pic:spPr>
                      </pic:pic>
                    </a:graphicData>
                  </a:graphic>
                </wp:inline>
              </w:drawing>
            </w:r>
          </w:p>
          <w:p w:rsidR="001636CA" w:rsidRDefault="001636CA" w:rsidP="001636CA">
            <w:pPr>
              <w:pStyle w:val="TableParagraph"/>
              <w:spacing w:before="9"/>
              <w:ind w:left="0"/>
              <w:rPr>
                <w:b/>
                <w:sz w:val="7"/>
              </w:rPr>
            </w:pPr>
          </w:p>
          <w:p w:rsidR="001636CA" w:rsidRDefault="001636CA" w:rsidP="001636CA">
            <w:pPr>
              <w:pStyle w:val="TableParagraph"/>
              <w:ind w:left="48"/>
              <w:rPr>
                <w:sz w:val="20"/>
              </w:rPr>
            </w:pPr>
            <w:r>
              <w:rPr>
                <w:noProof/>
                <w:sz w:val="20"/>
              </w:rPr>
              <w:drawing>
                <wp:inline distT="0" distB="0" distL="0" distR="0" wp14:anchorId="7F3D033F" wp14:editId="62B27E6C">
                  <wp:extent cx="314172" cy="310895"/>
                  <wp:effectExtent l="0" t="0" r="0" b="0"/>
                  <wp:docPr id="108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1.jpeg"/>
                          <pic:cNvPicPr/>
                        </pic:nvPicPr>
                        <pic:blipFill>
                          <a:blip r:embed="rId33" cstate="print"/>
                          <a:stretch>
                            <a:fillRect/>
                          </a:stretch>
                        </pic:blipFill>
                        <pic:spPr>
                          <a:xfrm>
                            <a:off x="0" y="0"/>
                            <a:ext cx="314172" cy="310895"/>
                          </a:xfrm>
                          <a:prstGeom prst="rect">
                            <a:avLst/>
                          </a:prstGeom>
                        </pic:spPr>
                      </pic:pic>
                    </a:graphicData>
                  </a:graphic>
                </wp:inline>
              </w:drawing>
            </w: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Challambra Swamp</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nil"/>
              <w:right w:val="nil"/>
            </w:tcBorders>
          </w:tcPr>
          <w:p w:rsidR="001636CA" w:rsidRDefault="001636CA" w:rsidP="001636CA">
            <w:pPr>
              <w:rPr>
                <w:sz w:val="2"/>
                <w:szCs w:val="2"/>
              </w:rPr>
            </w:pPr>
          </w:p>
        </w:tc>
        <w:tc>
          <w:tcPr>
            <w:tcW w:w="708" w:type="dxa"/>
            <w:vMerge/>
            <w:tcBorders>
              <w:top w:val="nil"/>
              <w:left w:val="nil"/>
              <w:bottom w:val="nil"/>
              <w:right w:val="single" w:sz="4" w:space="0" w:color="231F20"/>
            </w:tcBorders>
          </w:tcPr>
          <w:p w:rsidR="001636CA" w:rsidRDefault="001636CA" w:rsidP="001636CA">
            <w:pPr>
              <w:rPr>
                <w:sz w:val="2"/>
                <w:szCs w:val="2"/>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Crow Swamp</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nil"/>
              <w:right w:val="nil"/>
            </w:tcBorders>
          </w:tcPr>
          <w:p w:rsidR="001636CA" w:rsidRDefault="001636CA" w:rsidP="001636CA">
            <w:pPr>
              <w:rPr>
                <w:sz w:val="2"/>
                <w:szCs w:val="2"/>
              </w:rPr>
            </w:pPr>
          </w:p>
        </w:tc>
        <w:tc>
          <w:tcPr>
            <w:tcW w:w="708" w:type="dxa"/>
            <w:vMerge/>
            <w:tcBorders>
              <w:top w:val="nil"/>
              <w:left w:val="nil"/>
              <w:bottom w:val="nil"/>
              <w:right w:val="single" w:sz="4" w:space="0" w:color="231F20"/>
            </w:tcBorders>
          </w:tcPr>
          <w:p w:rsidR="001636CA" w:rsidRDefault="001636CA" w:rsidP="001636CA">
            <w:pPr>
              <w:rPr>
                <w:sz w:val="2"/>
                <w:szCs w:val="2"/>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Fieldings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nil"/>
              <w:right w:val="nil"/>
            </w:tcBorders>
          </w:tcPr>
          <w:p w:rsidR="001636CA" w:rsidRDefault="001636CA" w:rsidP="001636CA">
            <w:pPr>
              <w:rPr>
                <w:sz w:val="2"/>
                <w:szCs w:val="2"/>
              </w:rPr>
            </w:pPr>
          </w:p>
        </w:tc>
        <w:tc>
          <w:tcPr>
            <w:tcW w:w="708" w:type="dxa"/>
            <w:vMerge/>
            <w:tcBorders>
              <w:top w:val="nil"/>
              <w:left w:val="nil"/>
              <w:bottom w:val="nil"/>
              <w:right w:val="single" w:sz="4" w:space="0" w:color="231F20"/>
            </w:tcBorders>
          </w:tcPr>
          <w:p w:rsidR="001636CA" w:rsidRDefault="001636CA" w:rsidP="001636CA">
            <w:pPr>
              <w:rPr>
                <w:sz w:val="2"/>
                <w:szCs w:val="2"/>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Harcoans Swamp</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Mutton Swamp</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Opies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Pinedale</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Sawpit Swamp</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Schultz/Koschitzke</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Tarkedia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auto"/>
              <w:right w:val="single" w:sz="4" w:space="0" w:color="231F20"/>
            </w:tcBorders>
          </w:tcPr>
          <w:p w:rsidR="001636CA" w:rsidRDefault="001636CA" w:rsidP="001636CA">
            <w:pPr>
              <w:pStyle w:val="TableParagraph"/>
              <w:spacing w:before="63"/>
              <w:ind w:left="85"/>
              <w:rPr>
                <w:sz w:val="18"/>
              </w:rPr>
            </w:pPr>
            <w:r>
              <w:rPr>
                <w:color w:val="231F20"/>
                <w:sz w:val="18"/>
              </w:rPr>
              <w:t>Wal Wal Swamp</w:t>
            </w:r>
          </w:p>
        </w:tc>
        <w:tc>
          <w:tcPr>
            <w:tcW w:w="6231" w:type="dxa"/>
            <w:vMerge/>
            <w:tcBorders>
              <w:top w:val="nil"/>
              <w:left w:val="single" w:sz="4" w:space="0" w:color="231F20"/>
              <w:bottom w:val="single" w:sz="4" w:space="0" w:color="auto"/>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auto"/>
              <w:right w:val="nil"/>
            </w:tcBorders>
          </w:tcPr>
          <w:p w:rsidR="001636CA" w:rsidRDefault="001636CA" w:rsidP="001636CA">
            <w:pPr>
              <w:pStyle w:val="TableParagraph"/>
              <w:ind w:left="0"/>
              <w:rPr>
                <w:rFonts w:ascii="Times New Roman"/>
                <w:sz w:val="16"/>
              </w:rPr>
            </w:pPr>
          </w:p>
        </w:tc>
        <w:tc>
          <w:tcPr>
            <w:tcW w:w="708" w:type="dxa"/>
            <w:tcBorders>
              <w:top w:val="nil"/>
              <w:left w:val="nil"/>
              <w:bottom w:val="single" w:sz="4" w:space="0" w:color="auto"/>
              <w:right w:val="single" w:sz="4" w:space="0" w:color="231F20"/>
            </w:tcBorders>
          </w:tcPr>
          <w:p w:rsidR="001636CA" w:rsidRDefault="001636CA" w:rsidP="001636CA">
            <w:pPr>
              <w:pStyle w:val="TableParagraph"/>
              <w:ind w:left="0"/>
              <w:rPr>
                <w:rFonts w:ascii="Times New Roman"/>
                <w:sz w:val="16"/>
              </w:rPr>
            </w:pPr>
          </w:p>
        </w:tc>
      </w:tr>
    </w:tbl>
    <w:p w:rsidR="006A7A3F" w:rsidRDefault="006A7A3F">
      <w:pPr>
        <w:rPr>
          <w:sz w:val="18"/>
        </w:rPr>
        <w:sectPr w:rsidR="006A7A3F" w:rsidSect="00C92D74">
          <w:pgSz w:w="11910" w:h="16840"/>
          <w:pgMar w:top="1701" w:right="851" w:bottom="1134" w:left="851" w:header="720" w:footer="720" w:gutter="0"/>
          <w:cols w:space="720"/>
        </w:sect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6"/>
        <w:gridCol w:w="6231"/>
        <w:gridCol w:w="850"/>
        <w:gridCol w:w="708"/>
      </w:tblGrid>
      <w:tr w:rsidR="006A7A3F" w:rsidTr="001636CA">
        <w:trPr>
          <w:trHeight w:val="587"/>
          <w:tblHeader/>
        </w:trPr>
        <w:tc>
          <w:tcPr>
            <w:tcW w:w="2386" w:type="dxa"/>
            <w:tcBorders>
              <w:top w:val="nil"/>
              <w:left w:val="nil"/>
              <w:bottom w:val="nil"/>
            </w:tcBorders>
            <w:shd w:val="clear" w:color="auto" w:fill="231F20"/>
          </w:tcPr>
          <w:p w:rsidR="006A7A3F" w:rsidRDefault="00BC7372">
            <w:pPr>
              <w:pStyle w:val="TableParagraph"/>
              <w:spacing w:before="73" w:line="254" w:lineRule="auto"/>
              <w:ind w:left="90" w:right="230"/>
              <w:rPr>
                <w:b/>
                <w:sz w:val="18"/>
              </w:rPr>
            </w:pPr>
            <w:r>
              <w:rPr>
                <w:b/>
                <w:color w:val="FFFFFF"/>
                <w:sz w:val="18"/>
              </w:rPr>
              <w:t>Potential environmental watering action</w:t>
            </w:r>
          </w:p>
        </w:tc>
        <w:tc>
          <w:tcPr>
            <w:tcW w:w="6231" w:type="dxa"/>
            <w:tcBorders>
              <w:top w:val="nil"/>
              <w:bottom w:val="nil"/>
            </w:tcBorders>
            <w:shd w:val="clear" w:color="auto" w:fill="231F20"/>
          </w:tcPr>
          <w:p w:rsidR="006A7A3F" w:rsidRDefault="00BC7372">
            <w:pPr>
              <w:pStyle w:val="TableParagraph"/>
              <w:spacing w:before="73"/>
              <w:ind w:left="80"/>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1636CA" w:rsidTr="001636CA">
        <w:trPr>
          <w:trHeight w:val="347"/>
        </w:trPr>
        <w:tc>
          <w:tcPr>
            <w:tcW w:w="10175" w:type="dxa"/>
            <w:gridSpan w:val="4"/>
            <w:tcBorders>
              <w:top w:val="nil"/>
              <w:left w:val="single" w:sz="4" w:space="0" w:color="231F20"/>
              <w:bottom w:val="single" w:sz="4" w:space="0" w:color="231F20"/>
              <w:right w:val="single" w:sz="4" w:space="0" w:color="231F20"/>
            </w:tcBorders>
            <w:shd w:val="clear" w:color="auto" w:fill="D9D9D9" w:themeFill="background1" w:themeFillShade="D9"/>
          </w:tcPr>
          <w:p w:rsidR="001636CA" w:rsidRDefault="001636CA" w:rsidP="001636CA">
            <w:pPr>
              <w:pStyle w:val="TableParagraph"/>
              <w:spacing w:before="63"/>
              <w:ind w:left="85"/>
              <w:rPr>
                <w:b/>
                <w:sz w:val="18"/>
              </w:rPr>
            </w:pPr>
            <w:r>
              <w:rPr>
                <w:b/>
                <w:color w:val="231F20"/>
                <w:sz w:val="18"/>
              </w:rPr>
              <w:t>Mallee wetlands</w:t>
            </w:r>
          </w:p>
        </w:tc>
      </w:tr>
      <w:tr w:rsidR="001636CA" w:rsidTr="001636CA">
        <w:trPr>
          <w:trHeight w:val="347"/>
        </w:trPr>
        <w:tc>
          <w:tcPr>
            <w:tcW w:w="2386" w:type="dxa"/>
            <w:tcBorders>
              <w:top w:val="nil"/>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Barbers Swamp</w:t>
            </w:r>
          </w:p>
        </w:tc>
        <w:tc>
          <w:tcPr>
            <w:tcW w:w="6231" w:type="dxa"/>
            <w:vMerge w:val="restart"/>
            <w:tcBorders>
              <w:top w:val="nil"/>
              <w:left w:val="single" w:sz="4" w:space="0" w:color="231F20"/>
              <w:bottom w:val="single" w:sz="4" w:space="0" w:color="231F20"/>
              <w:right w:val="single" w:sz="4" w:space="0" w:color="231F20"/>
            </w:tcBorders>
          </w:tcPr>
          <w:p w:rsidR="001636CA" w:rsidRDefault="001636CA" w:rsidP="001636CA">
            <w:pPr>
              <w:pStyle w:val="TableParagraph"/>
              <w:numPr>
                <w:ilvl w:val="0"/>
                <w:numId w:val="833"/>
              </w:numPr>
              <w:tabs>
                <w:tab w:val="left" w:pos="301"/>
              </w:tabs>
              <w:spacing w:before="68" w:line="244" w:lineRule="auto"/>
              <w:ind w:right="347"/>
              <w:rPr>
                <w:sz w:val="17"/>
              </w:rPr>
            </w:pPr>
            <w:r>
              <w:rPr>
                <w:color w:val="231F20"/>
                <w:sz w:val="17"/>
              </w:rPr>
              <w:t>Provide a permanent water source for refuge and to support feeding and breeding opportunities for waterbirds and terrestrial</w:t>
            </w:r>
            <w:r>
              <w:rPr>
                <w:color w:val="231F20"/>
                <w:spacing w:val="21"/>
                <w:sz w:val="17"/>
              </w:rPr>
              <w:t xml:space="preserve"> </w:t>
            </w:r>
            <w:r>
              <w:rPr>
                <w:color w:val="231F20"/>
                <w:sz w:val="17"/>
              </w:rPr>
              <w:t>species</w:t>
            </w:r>
          </w:p>
          <w:p w:rsidR="001636CA" w:rsidRDefault="001636CA" w:rsidP="001636CA">
            <w:pPr>
              <w:pStyle w:val="TableParagraph"/>
              <w:numPr>
                <w:ilvl w:val="0"/>
                <w:numId w:val="833"/>
              </w:numPr>
              <w:tabs>
                <w:tab w:val="left" w:pos="301"/>
              </w:tabs>
              <w:spacing w:before="86" w:line="244" w:lineRule="auto"/>
              <w:ind w:right="214"/>
              <w:rPr>
                <w:sz w:val="17"/>
              </w:rPr>
            </w:pPr>
            <w:r>
              <w:rPr>
                <w:color w:val="231F20"/>
                <w:sz w:val="17"/>
              </w:rPr>
              <w:t>Stimulate aquatic and fringing vegetation growth and allow the plants including ridged water milfoil, black box and spiny lignum to complete their life</w:t>
            </w:r>
            <w:r>
              <w:rPr>
                <w:color w:val="231F20"/>
                <w:spacing w:val="1"/>
                <w:sz w:val="17"/>
              </w:rPr>
              <w:t xml:space="preserve"> </w:t>
            </w:r>
            <w:r>
              <w:rPr>
                <w:color w:val="231F20"/>
                <w:sz w:val="17"/>
              </w:rPr>
              <w:t>cycles</w:t>
            </w:r>
          </w:p>
        </w:tc>
        <w:tc>
          <w:tcPr>
            <w:tcW w:w="850" w:type="dxa"/>
            <w:vMerge w:val="restart"/>
            <w:tcBorders>
              <w:top w:val="nil"/>
              <w:left w:val="single" w:sz="4" w:space="0" w:color="231F20"/>
              <w:bottom w:val="nil"/>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0B369285" wp14:editId="479FBE39">
                  <wp:extent cx="314168" cy="310896"/>
                  <wp:effectExtent l="0" t="0" r="0" b="0"/>
                  <wp:docPr id="1091"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40.jpeg"/>
                          <pic:cNvPicPr/>
                        </pic:nvPicPr>
                        <pic:blipFill>
                          <a:blip r:embed="rId52" cstate="print"/>
                          <a:stretch>
                            <a:fillRect/>
                          </a:stretch>
                        </pic:blipFill>
                        <pic:spPr>
                          <a:xfrm>
                            <a:off x="0" y="0"/>
                            <a:ext cx="314168" cy="310896"/>
                          </a:xfrm>
                          <a:prstGeom prst="rect">
                            <a:avLst/>
                          </a:prstGeom>
                        </pic:spPr>
                      </pic:pic>
                    </a:graphicData>
                  </a:graphic>
                </wp:inline>
              </w:drawing>
            </w:r>
          </w:p>
          <w:p w:rsidR="001636CA" w:rsidRDefault="001636CA" w:rsidP="001636CA">
            <w:pPr>
              <w:pStyle w:val="TableParagraph"/>
              <w:spacing w:before="9"/>
              <w:ind w:left="0"/>
              <w:rPr>
                <w:b/>
                <w:sz w:val="5"/>
              </w:rPr>
            </w:pPr>
          </w:p>
          <w:p w:rsidR="001636CA" w:rsidRDefault="001636CA" w:rsidP="001636CA">
            <w:pPr>
              <w:pStyle w:val="TableParagraph"/>
              <w:ind w:left="315" w:right="-15"/>
              <w:rPr>
                <w:sz w:val="20"/>
              </w:rPr>
            </w:pPr>
            <w:r>
              <w:rPr>
                <w:noProof/>
                <w:sz w:val="20"/>
              </w:rPr>
              <w:drawing>
                <wp:inline distT="0" distB="0" distL="0" distR="0" wp14:anchorId="56517C9A" wp14:editId="0F260F5E">
                  <wp:extent cx="314168" cy="310896"/>
                  <wp:effectExtent l="0" t="0" r="0" b="0"/>
                  <wp:docPr id="109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vMerge w:val="restart"/>
            <w:tcBorders>
              <w:top w:val="nil"/>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42284072" wp14:editId="1D3D3134">
                  <wp:extent cx="314168" cy="310896"/>
                  <wp:effectExtent l="0" t="0" r="0" b="0"/>
                  <wp:docPr id="109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Morton Plains Reserve</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nil"/>
              <w:right w:val="nil"/>
            </w:tcBorders>
          </w:tcPr>
          <w:p w:rsidR="001636CA" w:rsidRDefault="001636CA" w:rsidP="001636CA">
            <w:pPr>
              <w:rPr>
                <w:sz w:val="2"/>
                <w:szCs w:val="2"/>
              </w:rPr>
            </w:pPr>
          </w:p>
        </w:tc>
        <w:tc>
          <w:tcPr>
            <w:tcW w:w="708" w:type="dxa"/>
            <w:vMerge/>
            <w:tcBorders>
              <w:top w:val="nil"/>
              <w:left w:val="nil"/>
              <w:bottom w:val="nil"/>
              <w:right w:val="single" w:sz="4" w:space="0" w:color="231F20"/>
            </w:tcBorders>
          </w:tcPr>
          <w:p w:rsidR="001636CA" w:rsidRDefault="001636CA" w:rsidP="001636CA">
            <w:pPr>
              <w:rPr>
                <w:sz w:val="2"/>
                <w:szCs w:val="2"/>
              </w:rPr>
            </w:pPr>
          </w:p>
        </w:tc>
      </w:tr>
      <w:tr w:rsidR="001636CA" w:rsidTr="001636CA">
        <w:trPr>
          <w:trHeight w:val="78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line="254" w:lineRule="auto"/>
              <w:ind w:left="85" w:right="460"/>
              <w:rPr>
                <w:sz w:val="18"/>
              </w:rPr>
            </w:pPr>
            <w:r>
              <w:rPr>
                <w:color w:val="231F20"/>
                <w:sz w:val="18"/>
              </w:rPr>
              <w:t>Tchum Lakes Lake Reserve (North Lake – wetland)</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nil"/>
              <w:right w:val="nil"/>
            </w:tcBorders>
          </w:tcPr>
          <w:p w:rsidR="001636CA" w:rsidRDefault="001636CA" w:rsidP="001636CA">
            <w:pPr>
              <w:rPr>
                <w:sz w:val="2"/>
                <w:szCs w:val="2"/>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56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line="254" w:lineRule="auto"/>
              <w:ind w:left="85" w:right="310"/>
              <w:rPr>
                <w:sz w:val="18"/>
              </w:rPr>
            </w:pPr>
            <w:r>
              <w:rPr>
                <w:color w:val="231F20"/>
                <w:sz w:val="18"/>
              </w:rPr>
              <w:t>Tchum Lakes Swimming Pool (North Lake –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Goulds Reserve</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56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line="254" w:lineRule="auto"/>
              <w:ind w:left="85" w:right="339"/>
              <w:rPr>
                <w:sz w:val="18"/>
              </w:rPr>
            </w:pPr>
            <w:r>
              <w:rPr>
                <w:color w:val="231F20"/>
                <w:sz w:val="18"/>
              </w:rPr>
              <w:t>Lake Danaher Bushland Reserve</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231F20"/>
              <w:right w:val="nil"/>
            </w:tcBorders>
          </w:tcPr>
          <w:p w:rsidR="001636CA" w:rsidRDefault="001636CA" w:rsidP="001636CA">
            <w:pPr>
              <w:pStyle w:val="TableParagraph"/>
              <w:ind w:left="0"/>
              <w:rPr>
                <w:rFonts w:ascii="Times New Roman"/>
                <w:sz w:val="16"/>
              </w:rPr>
            </w:pP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Cokum Bushland Reserve</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2"/>
              </w:numPr>
              <w:tabs>
                <w:tab w:val="left" w:pos="301"/>
              </w:tabs>
              <w:spacing w:before="68" w:line="244" w:lineRule="auto"/>
              <w:ind w:right="214"/>
              <w:rPr>
                <w:sz w:val="17"/>
              </w:rPr>
            </w:pPr>
            <w:r>
              <w:rPr>
                <w:color w:val="231F20"/>
                <w:sz w:val="17"/>
              </w:rPr>
              <w:t>Stimulate aquatic and fringing vegetation growth and allow the plants including ridged water milfoil, black box and spiny lignum to complete their life</w:t>
            </w:r>
            <w:r>
              <w:rPr>
                <w:color w:val="231F20"/>
                <w:spacing w:val="1"/>
                <w:sz w:val="17"/>
              </w:rPr>
              <w:t xml:space="preserve"> </w:t>
            </w:r>
            <w:r>
              <w:rPr>
                <w:color w:val="231F20"/>
                <w:sz w:val="17"/>
              </w:rPr>
              <w:t>cycles</w:t>
            </w:r>
          </w:p>
          <w:p w:rsidR="001636CA" w:rsidRDefault="001636CA" w:rsidP="001636CA">
            <w:pPr>
              <w:pStyle w:val="TableParagraph"/>
              <w:numPr>
                <w:ilvl w:val="0"/>
                <w:numId w:val="832"/>
              </w:numPr>
              <w:tabs>
                <w:tab w:val="left" w:pos="301"/>
              </w:tabs>
              <w:spacing w:before="87" w:line="244" w:lineRule="auto"/>
              <w:ind w:right="290"/>
              <w:rPr>
                <w:sz w:val="17"/>
              </w:rPr>
            </w:pPr>
            <w:r>
              <w:rPr>
                <w:color w:val="231F20"/>
                <w:sz w:val="17"/>
              </w:rPr>
              <w:t>Provide a permanent water source for refuge and to support feeding and breeding</w:t>
            </w:r>
            <w:r>
              <w:rPr>
                <w:color w:val="231F20"/>
                <w:spacing w:val="11"/>
                <w:sz w:val="17"/>
              </w:rPr>
              <w:t xml:space="preserve"> </w:t>
            </w:r>
            <w:r>
              <w:rPr>
                <w:color w:val="231F20"/>
                <w:sz w:val="17"/>
              </w:rPr>
              <w:t>opportunities</w:t>
            </w:r>
            <w:r>
              <w:rPr>
                <w:color w:val="231F20"/>
                <w:spacing w:val="11"/>
                <w:sz w:val="17"/>
              </w:rPr>
              <w:t xml:space="preserve"> </w:t>
            </w:r>
            <w:r>
              <w:rPr>
                <w:color w:val="231F20"/>
                <w:sz w:val="17"/>
              </w:rPr>
              <w:t>for</w:t>
            </w:r>
            <w:r>
              <w:rPr>
                <w:color w:val="231F20"/>
                <w:spacing w:val="12"/>
                <w:sz w:val="17"/>
              </w:rPr>
              <w:t xml:space="preserve"> </w:t>
            </w:r>
            <w:r>
              <w:rPr>
                <w:color w:val="231F20"/>
                <w:sz w:val="17"/>
              </w:rPr>
              <w:t>frogs,</w:t>
            </w:r>
            <w:r>
              <w:rPr>
                <w:color w:val="231F20"/>
                <w:spacing w:val="11"/>
                <w:sz w:val="17"/>
              </w:rPr>
              <w:t xml:space="preserve"> </w:t>
            </w:r>
            <w:r>
              <w:rPr>
                <w:color w:val="231F20"/>
                <w:sz w:val="17"/>
              </w:rPr>
              <w:t>turtles,</w:t>
            </w:r>
            <w:r>
              <w:rPr>
                <w:color w:val="231F20"/>
                <w:spacing w:val="12"/>
                <w:sz w:val="17"/>
              </w:rPr>
              <w:t xml:space="preserve"> </w:t>
            </w:r>
            <w:r>
              <w:rPr>
                <w:color w:val="231F20"/>
                <w:sz w:val="17"/>
              </w:rPr>
              <w:t>waterbirds</w:t>
            </w:r>
            <w:r>
              <w:rPr>
                <w:color w:val="231F20"/>
                <w:spacing w:val="11"/>
                <w:sz w:val="17"/>
              </w:rPr>
              <w:t xml:space="preserve"> </w:t>
            </w:r>
            <w:r>
              <w:rPr>
                <w:color w:val="231F20"/>
                <w:sz w:val="17"/>
              </w:rPr>
              <w:t>and</w:t>
            </w:r>
            <w:r>
              <w:rPr>
                <w:color w:val="231F20"/>
                <w:spacing w:val="11"/>
                <w:sz w:val="17"/>
              </w:rPr>
              <w:t xml:space="preserve"> </w:t>
            </w:r>
            <w:r>
              <w:rPr>
                <w:color w:val="231F20"/>
                <w:sz w:val="17"/>
              </w:rPr>
              <w:t>terrestrial</w:t>
            </w:r>
            <w:r>
              <w:rPr>
                <w:color w:val="231F20"/>
                <w:spacing w:val="12"/>
                <w:sz w:val="17"/>
              </w:rPr>
              <w:t xml:space="preserve"> </w:t>
            </w:r>
            <w:r>
              <w:rPr>
                <w:color w:val="231F20"/>
                <w:sz w:val="17"/>
              </w:rPr>
              <w:t>species</w:t>
            </w:r>
          </w:p>
        </w:tc>
        <w:tc>
          <w:tcPr>
            <w:tcW w:w="850" w:type="dxa"/>
            <w:vMerge w:val="restart"/>
            <w:tcBorders>
              <w:top w:val="single" w:sz="4" w:space="0" w:color="231F20"/>
              <w:left w:val="single" w:sz="4" w:space="0" w:color="231F20"/>
              <w:bottom w:val="single" w:sz="4" w:space="0" w:color="231F20"/>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4F955EEC" wp14:editId="30676511">
                  <wp:extent cx="314168" cy="310896"/>
                  <wp:effectExtent l="0" t="0" r="0" b="0"/>
                  <wp:docPr id="1097"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25.jpeg"/>
                          <pic:cNvPicPr/>
                        </pic:nvPicPr>
                        <pic:blipFill>
                          <a:blip r:embed="rId37" cstate="print"/>
                          <a:stretch>
                            <a:fillRect/>
                          </a:stretch>
                        </pic:blipFill>
                        <pic:spPr>
                          <a:xfrm>
                            <a:off x="0" y="0"/>
                            <a:ext cx="314168" cy="310896"/>
                          </a:xfrm>
                          <a:prstGeom prst="rect">
                            <a:avLst/>
                          </a:prstGeom>
                        </pic:spPr>
                      </pic:pic>
                    </a:graphicData>
                  </a:graphic>
                </wp:inline>
              </w:drawing>
            </w:r>
          </w:p>
          <w:p w:rsidR="001636CA" w:rsidRDefault="001636CA" w:rsidP="001636CA">
            <w:pPr>
              <w:pStyle w:val="TableParagraph"/>
              <w:spacing w:before="9"/>
              <w:ind w:left="0"/>
              <w:rPr>
                <w:b/>
                <w:sz w:val="7"/>
              </w:rPr>
            </w:pPr>
          </w:p>
          <w:p w:rsidR="001636CA" w:rsidRDefault="001636CA" w:rsidP="001636CA">
            <w:pPr>
              <w:pStyle w:val="TableParagraph"/>
              <w:ind w:left="315" w:right="-15"/>
              <w:rPr>
                <w:sz w:val="20"/>
              </w:rPr>
            </w:pPr>
            <w:r>
              <w:rPr>
                <w:noProof/>
                <w:sz w:val="20"/>
              </w:rPr>
              <w:drawing>
                <wp:inline distT="0" distB="0" distL="0" distR="0" wp14:anchorId="099D1525" wp14:editId="6A40E95B">
                  <wp:extent cx="314168" cy="310896"/>
                  <wp:effectExtent l="0" t="0" r="0" b="0"/>
                  <wp:docPr id="1099"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40.jpeg"/>
                          <pic:cNvPicPr/>
                        </pic:nvPicPr>
                        <pic:blipFill>
                          <a:blip r:embed="rId52" cstate="print"/>
                          <a:stretch>
                            <a:fillRect/>
                          </a:stretch>
                        </pic:blipFill>
                        <pic:spPr>
                          <a:xfrm>
                            <a:off x="0" y="0"/>
                            <a:ext cx="314168" cy="310896"/>
                          </a:xfrm>
                          <a:prstGeom prst="rect">
                            <a:avLst/>
                          </a:prstGeom>
                        </pic:spPr>
                      </pic:pic>
                    </a:graphicData>
                  </a:graphic>
                </wp:inline>
              </w:drawing>
            </w:r>
          </w:p>
          <w:p w:rsidR="001636CA" w:rsidRDefault="001636CA" w:rsidP="001636CA">
            <w:pPr>
              <w:pStyle w:val="TableParagraph"/>
              <w:spacing w:before="9"/>
              <w:ind w:left="0"/>
              <w:rPr>
                <w:b/>
                <w:sz w:val="7"/>
              </w:rPr>
            </w:pPr>
          </w:p>
          <w:p w:rsidR="001636CA" w:rsidRDefault="001636CA" w:rsidP="001636CA">
            <w:pPr>
              <w:pStyle w:val="TableParagraph"/>
              <w:ind w:left="315" w:right="-15"/>
              <w:rPr>
                <w:sz w:val="20"/>
              </w:rPr>
            </w:pPr>
            <w:r>
              <w:rPr>
                <w:noProof/>
                <w:sz w:val="20"/>
              </w:rPr>
              <w:drawing>
                <wp:inline distT="0" distB="0" distL="0" distR="0" wp14:anchorId="57453BBF" wp14:editId="1611F99D">
                  <wp:extent cx="314163" cy="310896"/>
                  <wp:effectExtent l="0" t="0" r="0" b="0"/>
                  <wp:docPr id="110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27.jpeg"/>
                          <pic:cNvPicPr/>
                        </pic:nvPicPr>
                        <pic:blipFill>
                          <a:blip r:embed="rId39" cstate="print"/>
                          <a:stretch>
                            <a:fillRect/>
                          </a:stretch>
                        </pic:blipFill>
                        <pic:spPr>
                          <a:xfrm>
                            <a:off x="0" y="0"/>
                            <a:ext cx="314163" cy="310896"/>
                          </a:xfrm>
                          <a:prstGeom prst="rect">
                            <a:avLst/>
                          </a:prstGeom>
                        </pic:spPr>
                      </pic:pic>
                    </a:graphicData>
                  </a:graphic>
                </wp:inline>
              </w:drawing>
            </w:r>
          </w:p>
        </w:tc>
        <w:tc>
          <w:tcPr>
            <w:tcW w:w="708" w:type="dxa"/>
            <w:vMerge w:val="restart"/>
            <w:tcBorders>
              <w:top w:val="single" w:sz="4" w:space="0" w:color="231F20"/>
              <w:left w:val="nil"/>
              <w:bottom w:val="single" w:sz="4" w:space="0" w:color="231F20"/>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4AA1ACBD" wp14:editId="376CAB0C">
                  <wp:extent cx="314168" cy="310896"/>
                  <wp:effectExtent l="0" t="0" r="0" b="0"/>
                  <wp:docPr id="110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26.jpeg"/>
                          <pic:cNvPicPr/>
                        </pic:nvPicPr>
                        <pic:blipFill>
                          <a:blip r:embed="rId38" cstate="print"/>
                          <a:stretch>
                            <a:fillRect/>
                          </a:stretch>
                        </pic:blipFill>
                        <pic:spPr>
                          <a:xfrm>
                            <a:off x="0" y="0"/>
                            <a:ext cx="314168" cy="310896"/>
                          </a:xfrm>
                          <a:prstGeom prst="rect">
                            <a:avLst/>
                          </a:prstGeom>
                        </pic:spPr>
                      </pic:pic>
                    </a:graphicData>
                  </a:graphic>
                </wp:inline>
              </w:drawing>
            </w:r>
          </w:p>
          <w:p w:rsidR="001636CA" w:rsidRDefault="001636CA" w:rsidP="001636CA">
            <w:pPr>
              <w:pStyle w:val="TableParagraph"/>
              <w:spacing w:before="9"/>
              <w:ind w:left="0"/>
              <w:rPr>
                <w:b/>
                <w:sz w:val="7"/>
              </w:rPr>
            </w:pPr>
          </w:p>
          <w:p w:rsidR="001636CA" w:rsidRDefault="001636CA" w:rsidP="001636CA">
            <w:pPr>
              <w:pStyle w:val="TableParagraph"/>
              <w:ind w:left="48"/>
              <w:rPr>
                <w:sz w:val="20"/>
              </w:rPr>
            </w:pPr>
            <w:r>
              <w:rPr>
                <w:noProof/>
                <w:sz w:val="20"/>
              </w:rPr>
              <w:drawing>
                <wp:inline distT="0" distB="0" distL="0" distR="0" wp14:anchorId="5EEAC3C6" wp14:editId="6F6569A7">
                  <wp:extent cx="314168" cy="310896"/>
                  <wp:effectExtent l="0" t="0" r="0" b="0"/>
                  <wp:docPr id="110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Part of Gap Reserve</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single" w:sz="4" w:space="0" w:color="231F20"/>
              <w:right w:val="nil"/>
            </w:tcBorders>
          </w:tcPr>
          <w:p w:rsidR="001636CA" w:rsidRDefault="001636CA" w:rsidP="001636CA">
            <w:pPr>
              <w:rPr>
                <w:sz w:val="2"/>
                <w:szCs w:val="2"/>
              </w:rPr>
            </w:pPr>
          </w:p>
        </w:tc>
        <w:tc>
          <w:tcPr>
            <w:tcW w:w="708" w:type="dxa"/>
            <w:vMerge/>
            <w:tcBorders>
              <w:top w:val="nil"/>
              <w:left w:val="nil"/>
              <w:bottom w:val="single" w:sz="4" w:space="0" w:color="231F20"/>
              <w:right w:val="single" w:sz="4" w:space="0" w:color="231F20"/>
            </w:tcBorders>
          </w:tcPr>
          <w:p w:rsidR="001636CA" w:rsidRDefault="001636CA" w:rsidP="001636CA">
            <w:pPr>
              <w:rPr>
                <w:sz w:val="2"/>
                <w:szCs w:val="2"/>
              </w:rPr>
            </w:pPr>
          </w:p>
        </w:tc>
      </w:tr>
      <w:tr w:rsidR="001636CA" w:rsidTr="001636CA">
        <w:trPr>
          <w:trHeight w:val="1151"/>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Rickard Glenys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single" w:sz="4" w:space="0" w:color="231F20"/>
              <w:right w:val="nil"/>
            </w:tcBorders>
          </w:tcPr>
          <w:p w:rsidR="001636CA" w:rsidRDefault="001636CA" w:rsidP="001636CA">
            <w:pPr>
              <w:rPr>
                <w:sz w:val="2"/>
                <w:szCs w:val="2"/>
              </w:rPr>
            </w:pPr>
          </w:p>
        </w:tc>
        <w:tc>
          <w:tcPr>
            <w:tcW w:w="708" w:type="dxa"/>
            <w:vMerge/>
            <w:tcBorders>
              <w:top w:val="nil"/>
              <w:left w:val="nil"/>
              <w:bottom w:val="single" w:sz="4" w:space="0" w:color="231F20"/>
              <w:right w:val="single" w:sz="4" w:space="0" w:color="231F20"/>
            </w:tcBorders>
          </w:tcPr>
          <w:p w:rsidR="001636CA" w:rsidRDefault="001636CA" w:rsidP="001636CA">
            <w:pPr>
              <w:rPr>
                <w:sz w:val="2"/>
                <w:szCs w:val="2"/>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Broom Tank</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1"/>
              </w:numPr>
              <w:tabs>
                <w:tab w:val="left" w:pos="301"/>
              </w:tabs>
              <w:spacing w:before="68" w:line="244" w:lineRule="auto"/>
              <w:ind w:right="618"/>
              <w:rPr>
                <w:sz w:val="17"/>
              </w:rPr>
            </w:pPr>
            <w:r>
              <w:rPr>
                <w:color w:val="231F20"/>
                <w:sz w:val="17"/>
              </w:rPr>
              <w:t>Stimulate aquatic and fringing vegetation growth and allow the plants including black box and lignum to complete their life</w:t>
            </w:r>
            <w:r>
              <w:rPr>
                <w:color w:val="231F20"/>
                <w:spacing w:val="33"/>
                <w:sz w:val="17"/>
              </w:rPr>
              <w:t xml:space="preserve"> </w:t>
            </w:r>
            <w:r>
              <w:rPr>
                <w:color w:val="231F20"/>
                <w:sz w:val="17"/>
              </w:rPr>
              <w:t>cycles</w:t>
            </w:r>
          </w:p>
          <w:p w:rsidR="001636CA" w:rsidRDefault="001636CA" w:rsidP="001636CA">
            <w:pPr>
              <w:pStyle w:val="TableParagraph"/>
              <w:numPr>
                <w:ilvl w:val="0"/>
                <w:numId w:val="831"/>
              </w:numPr>
              <w:tabs>
                <w:tab w:val="left" w:pos="301"/>
              </w:tabs>
              <w:spacing w:before="86" w:line="244" w:lineRule="auto"/>
              <w:ind w:right="347"/>
              <w:rPr>
                <w:sz w:val="17"/>
              </w:rPr>
            </w:pPr>
            <w:r>
              <w:rPr>
                <w:color w:val="231F20"/>
                <w:sz w:val="17"/>
              </w:rPr>
              <w:t>Provide a permanent water source for refuge and to support feeding and breeding opportunities for waterbirds and terrestrial</w:t>
            </w:r>
            <w:r>
              <w:rPr>
                <w:color w:val="231F20"/>
                <w:spacing w:val="21"/>
                <w:sz w:val="17"/>
              </w:rPr>
              <w:t xml:space="preserve"> </w:t>
            </w:r>
            <w:r>
              <w:rPr>
                <w:color w:val="231F20"/>
                <w:sz w:val="17"/>
              </w:rPr>
              <w:t>species</w:t>
            </w:r>
          </w:p>
        </w:tc>
        <w:tc>
          <w:tcPr>
            <w:tcW w:w="850" w:type="dxa"/>
            <w:vMerge w:val="restart"/>
            <w:tcBorders>
              <w:top w:val="single" w:sz="4" w:space="0" w:color="231F20"/>
              <w:left w:val="single" w:sz="4" w:space="0" w:color="231F20"/>
              <w:bottom w:val="single" w:sz="4" w:space="0" w:color="231F20"/>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20932CFF" wp14:editId="4931F9E5">
                  <wp:extent cx="314168" cy="310896"/>
                  <wp:effectExtent l="0" t="0" r="0" b="0"/>
                  <wp:docPr id="1107"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40.jpeg"/>
                          <pic:cNvPicPr/>
                        </pic:nvPicPr>
                        <pic:blipFill>
                          <a:blip r:embed="rId52" cstate="print"/>
                          <a:stretch>
                            <a:fillRect/>
                          </a:stretch>
                        </pic:blipFill>
                        <pic:spPr>
                          <a:xfrm>
                            <a:off x="0" y="0"/>
                            <a:ext cx="314168" cy="310896"/>
                          </a:xfrm>
                          <a:prstGeom prst="rect">
                            <a:avLst/>
                          </a:prstGeom>
                        </pic:spPr>
                      </pic:pic>
                    </a:graphicData>
                  </a:graphic>
                </wp:inline>
              </w:drawing>
            </w:r>
          </w:p>
          <w:p w:rsidR="001636CA" w:rsidRDefault="001636CA" w:rsidP="001636CA">
            <w:pPr>
              <w:pStyle w:val="TableParagraph"/>
              <w:spacing w:before="9"/>
              <w:ind w:left="0"/>
              <w:rPr>
                <w:b/>
                <w:sz w:val="5"/>
              </w:rPr>
            </w:pPr>
          </w:p>
          <w:p w:rsidR="001636CA" w:rsidRDefault="001636CA" w:rsidP="001636CA">
            <w:pPr>
              <w:pStyle w:val="TableParagraph"/>
              <w:ind w:left="315" w:right="-15"/>
              <w:rPr>
                <w:sz w:val="20"/>
              </w:rPr>
            </w:pPr>
            <w:r>
              <w:rPr>
                <w:noProof/>
                <w:sz w:val="20"/>
              </w:rPr>
              <w:drawing>
                <wp:inline distT="0" distB="0" distL="0" distR="0" wp14:anchorId="1D4C9611" wp14:editId="1E25D5C8">
                  <wp:extent cx="314168" cy="310896"/>
                  <wp:effectExtent l="0" t="0" r="0" b="0"/>
                  <wp:docPr id="110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vMerge w:val="restart"/>
            <w:tcBorders>
              <w:top w:val="single" w:sz="4" w:space="0" w:color="231F20"/>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2C8717B3" wp14:editId="55A4F0CA">
                  <wp:extent cx="314171" cy="310896"/>
                  <wp:effectExtent l="0" t="0" r="0" b="0"/>
                  <wp:docPr id="111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21.jpeg"/>
                          <pic:cNvPicPr/>
                        </pic:nvPicPr>
                        <pic:blipFill>
                          <a:blip r:embed="rId33" cstate="print"/>
                          <a:stretch>
                            <a:fillRect/>
                          </a:stretch>
                        </pic:blipFill>
                        <pic:spPr>
                          <a:xfrm>
                            <a:off x="0" y="0"/>
                            <a:ext cx="314171" cy="310896"/>
                          </a:xfrm>
                          <a:prstGeom prst="rect">
                            <a:avLst/>
                          </a:prstGeom>
                        </pic:spPr>
                      </pic:pic>
                    </a:graphicData>
                  </a:graphic>
                </wp:inline>
              </w:drawing>
            </w: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Clinton Shire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single" w:sz="4" w:space="0" w:color="231F20"/>
              <w:right w:val="nil"/>
            </w:tcBorders>
          </w:tcPr>
          <w:p w:rsidR="001636CA" w:rsidRDefault="001636CA" w:rsidP="001636CA">
            <w:pPr>
              <w:rPr>
                <w:sz w:val="2"/>
                <w:szCs w:val="2"/>
              </w:rPr>
            </w:pPr>
          </w:p>
        </w:tc>
        <w:tc>
          <w:tcPr>
            <w:tcW w:w="708" w:type="dxa"/>
            <w:vMerge/>
            <w:tcBorders>
              <w:top w:val="nil"/>
              <w:left w:val="nil"/>
              <w:bottom w:val="nil"/>
              <w:right w:val="single" w:sz="4" w:space="0" w:color="231F20"/>
            </w:tcBorders>
          </w:tcPr>
          <w:p w:rsidR="001636CA" w:rsidRDefault="001636CA" w:rsidP="001636CA">
            <w:pPr>
              <w:rPr>
                <w:sz w:val="2"/>
                <w:szCs w:val="2"/>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Greens Wetland</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single" w:sz="4" w:space="0" w:color="231F20"/>
              <w:right w:val="nil"/>
            </w:tcBorders>
          </w:tcPr>
          <w:p w:rsidR="001636CA" w:rsidRDefault="001636CA" w:rsidP="001636CA">
            <w:pPr>
              <w:rPr>
                <w:sz w:val="2"/>
                <w:szCs w:val="2"/>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J Ferrier Wetland</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single" w:sz="4" w:space="0" w:color="231F20"/>
              <w:right w:val="nil"/>
            </w:tcBorders>
          </w:tcPr>
          <w:p w:rsidR="001636CA" w:rsidRDefault="001636CA" w:rsidP="001636CA">
            <w:pPr>
              <w:rPr>
                <w:sz w:val="2"/>
                <w:szCs w:val="2"/>
              </w:rPr>
            </w:pP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Considines</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30"/>
              </w:numPr>
              <w:tabs>
                <w:tab w:val="left" w:pos="301"/>
              </w:tabs>
              <w:spacing w:before="68" w:line="244" w:lineRule="auto"/>
              <w:ind w:right="347"/>
              <w:rPr>
                <w:sz w:val="17"/>
              </w:rPr>
            </w:pPr>
            <w:r>
              <w:rPr>
                <w:color w:val="231F20"/>
                <w:sz w:val="17"/>
              </w:rPr>
              <w:t>Provide a permanent water source for refuge and to support feeding and breeding opportunities for frogs and</w:t>
            </w:r>
            <w:r>
              <w:rPr>
                <w:color w:val="231F20"/>
                <w:spacing w:val="9"/>
                <w:sz w:val="17"/>
              </w:rPr>
              <w:t xml:space="preserve"> </w:t>
            </w:r>
            <w:r>
              <w:rPr>
                <w:color w:val="231F20"/>
                <w:sz w:val="17"/>
              </w:rPr>
              <w:t>turtles</w:t>
            </w:r>
          </w:p>
        </w:tc>
        <w:tc>
          <w:tcPr>
            <w:tcW w:w="850" w:type="dxa"/>
            <w:vMerge w:val="restart"/>
            <w:tcBorders>
              <w:top w:val="single" w:sz="4" w:space="0" w:color="231F20"/>
              <w:left w:val="single" w:sz="4" w:space="0" w:color="231F20"/>
              <w:bottom w:val="single" w:sz="4" w:space="0" w:color="231F20"/>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33B64927" wp14:editId="732139DA">
                  <wp:extent cx="314168" cy="310896"/>
                  <wp:effectExtent l="0" t="0" r="0" b="0"/>
                  <wp:docPr id="111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vMerge w:val="restart"/>
            <w:tcBorders>
              <w:top w:val="single" w:sz="4" w:space="0" w:color="231F20"/>
              <w:left w:val="nil"/>
              <w:bottom w:val="single" w:sz="4" w:space="0" w:color="231F20"/>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5CB5547C" wp14:editId="3376EF4A">
                  <wp:extent cx="314168" cy="310896"/>
                  <wp:effectExtent l="0" t="0" r="0" b="0"/>
                  <wp:docPr id="1115"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Cronomby Tanks</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single" w:sz="4" w:space="0" w:color="231F20"/>
              <w:right w:val="nil"/>
            </w:tcBorders>
          </w:tcPr>
          <w:p w:rsidR="001636CA" w:rsidRDefault="001636CA" w:rsidP="001636CA">
            <w:pPr>
              <w:rPr>
                <w:sz w:val="2"/>
                <w:szCs w:val="2"/>
              </w:rPr>
            </w:pPr>
          </w:p>
        </w:tc>
        <w:tc>
          <w:tcPr>
            <w:tcW w:w="708" w:type="dxa"/>
            <w:vMerge/>
            <w:tcBorders>
              <w:top w:val="nil"/>
              <w:left w:val="nil"/>
              <w:bottom w:val="single" w:sz="4" w:space="0" w:color="231F20"/>
              <w:right w:val="single" w:sz="4" w:space="0" w:color="231F20"/>
            </w:tcBorders>
          </w:tcPr>
          <w:p w:rsidR="001636CA" w:rsidRDefault="001636CA" w:rsidP="001636CA">
            <w:pPr>
              <w:rPr>
                <w:sz w:val="2"/>
                <w:szCs w:val="2"/>
              </w:rPr>
            </w:pPr>
          </w:p>
        </w:tc>
      </w:tr>
      <w:tr w:rsidR="001636CA" w:rsidTr="001636CA">
        <w:trPr>
          <w:trHeight w:val="706"/>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Newer Swamp</w:t>
            </w:r>
          </w:p>
        </w:tc>
        <w:tc>
          <w:tcPr>
            <w:tcW w:w="6231"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29"/>
              </w:numPr>
              <w:tabs>
                <w:tab w:val="left" w:pos="301"/>
              </w:tabs>
              <w:spacing w:before="68" w:line="244" w:lineRule="auto"/>
              <w:ind w:right="618"/>
              <w:rPr>
                <w:sz w:val="17"/>
              </w:rPr>
            </w:pPr>
            <w:r>
              <w:rPr>
                <w:color w:val="231F20"/>
                <w:sz w:val="17"/>
              </w:rPr>
              <w:t>Stimulate aquatic and fringing vegetation growth and allow the plants including black box and lignum to complete their life</w:t>
            </w:r>
            <w:r>
              <w:rPr>
                <w:color w:val="231F20"/>
                <w:spacing w:val="33"/>
                <w:sz w:val="17"/>
              </w:rPr>
              <w:t xml:space="preserve"> </w:t>
            </w:r>
            <w:r>
              <w:rPr>
                <w:color w:val="231F20"/>
                <w:sz w:val="17"/>
              </w:rPr>
              <w:t>cycles</w:t>
            </w:r>
          </w:p>
        </w:tc>
        <w:tc>
          <w:tcPr>
            <w:tcW w:w="1558" w:type="dxa"/>
            <w:gridSpan w:val="2"/>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9"/>
              <w:ind w:left="0"/>
              <w:rPr>
                <w:b/>
                <w:sz w:val="8"/>
              </w:rPr>
            </w:pPr>
          </w:p>
          <w:p w:rsidR="001636CA" w:rsidRDefault="009C1CCE" w:rsidP="001636CA">
            <w:pPr>
              <w:pStyle w:val="TableParagraph"/>
              <w:ind w:left="170"/>
              <w:rPr>
                <w:sz w:val="20"/>
              </w:rPr>
            </w:pPr>
            <w:r>
              <w:rPr>
                <w:sz w:val="20"/>
              </w:rPr>
              <w:t xml:space="preserve">   </w:t>
            </w:r>
            <w:r w:rsidR="001636CA">
              <w:rPr>
                <w:noProof/>
                <w:sz w:val="20"/>
              </w:rPr>
              <w:drawing>
                <wp:inline distT="0" distB="0" distL="0" distR="0" wp14:anchorId="74C6C657" wp14:editId="08B3FD5B">
                  <wp:extent cx="314170" cy="310896"/>
                  <wp:effectExtent l="0" t="0" r="0" b="0"/>
                  <wp:docPr id="111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21.jpeg"/>
                          <pic:cNvPicPr/>
                        </pic:nvPicPr>
                        <pic:blipFill>
                          <a:blip r:embed="rId33" cstate="print"/>
                          <a:stretch>
                            <a:fillRect/>
                          </a:stretch>
                        </pic:blipFill>
                        <pic:spPr>
                          <a:xfrm>
                            <a:off x="0" y="0"/>
                            <a:ext cx="314170" cy="310896"/>
                          </a:xfrm>
                          <a:prstGeom prst="rect">
                            <a:avLst/>
                          </a:prstGeom>
                        </pic:spPr>
                      </pic:pic>
                    </a:graphicData>
                  </a:graphic>
                </wp:inline>
              </w:drawing>
            </w: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Mahoods Corner</w:t>
            </w:r>
          </w:p>
        </w:tc>
        <w:tc>
          <w:tcPr>
            <w:tcW w:w="6231" w:type="dxa"/>
            <w:vMerge w:val="restart"/>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numPr>
                <w:ilvl w:val="0"/>
                <w:numId w:val="828"/>
              </w:numPr>
              <w:tabs>
                <w:tab w:val="left" w:pos="301"/>
              </w:tabs>
              <w:spacing w:before="68" w:line="244" w:lineRule="auto"/>
              <w:ind w:right="347"/>
              <w:rPr>
                <w:sz w:val="17"/>
              </w:rPr>
            </w:pPr>
            <w:r>
              <w:rPr>
                <w:color w:val="231F20"/>
                <w:sz w:val="17"/>
              </w:rPr>
              <w:t>Provide a permanent water source for refuge and to support feeding and breeding opportunities for waterbirds and terrestrial</w:t>
            </w:r>
            <w:r>
              <w:rPr>
                <w:color w:val="231F20"/>
                <w:spacing w:val="21"/>
                <w:sz w:val="17"/>
              </w:rPr>
              <w:t xml:space="preserve"> </w:t>
            </w:r>
            <w:r>
              <w:rPr>
                <w:color w:val="231F20"/>
                <w:sz w:val="17"/>
              </w:rPr>
              <w:t>species</w:t>
            </w:r>
          </w:p>
        </w:tc>
        <w:tc>
          <w:tcPr>
            <w:tcW w:w="850" w:type="dxa"/>
            <w:vMerge w:val="restart"/>
            <w:tcBorders>
              <w:top w:val="single" w:sz="4" w:space="0" w:color="231F20"/>
              <w:left w:val="single" w:sz="4" w:space="0" w:color="231F20"/>
              <w:bottom w:val="nil"/>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7C0B485F" wp14:editId="57E46D2E">
                  <wp:extent cx="314168" cy="310896"/>
                  <wp:effectExtent l="0" t="0" r="0" b="0"/>
                  <wp:docPr id="1119"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40.jpeg"/>
                          <pic:cNvPicPr/>
                        </pic:nvPicPr>
                        <pic:blipFill>
                          <a:blip r:embed="rId52" cstate="print"/>
                          <a:stretch>
                            <a:fillRect/>
                          </a:stretch>
                        </pic:blipFill>
                        <pic:spPr>
                          <a:xfrm>
                            <a:off x="0" y="0"/>
                            <a:ext cx="314168" cy="310896"/>
                          </a:xfrm>
                          <a:prstGeom prst="rect">
                            <a:avLst/>
                          </a:prstGeom>
                        </pic:spPr>
                      </pic:pic>
                    </a:graphicData>
                  </a:graphic>
                </wp:inline>
              </w:drawing>
            </w:r>
          </w:p>
        </w:tc>
        <w:tc>
          <w:tcPr>
            <w:tcW w:w="708" w:type="dxa"/>
            <w:vMerge w:val="restart"/>
            <w:tcBorders>
              <w:top w:val="single" w:sz="4" w:space="0" w:color="231F20"/>
              <w:left w:val="nil"/>
              <w:bottom w:val="nil"/>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713D6389" wp14:editId="5B207933">
                  <wp:extent cx="314168" cy="310896"/>
                  <wp:effectExtent l="0" t="0" r="0" b="0"/>
                  <wp:docPr id="112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R Ferriers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nil"/>
              <w:right w:val="nil"/>
            </w:tcBorders>
          </w:tcPr>
          <w:p w:rsidR="001636CA" w:rsidRDefault="001636CA" w:rsidP="001636CA">
            <w:pPr>
              <w:rPr>
                <w:sz w:val="2"/>
                <w:szCs w:val="2"/>
              </w:rPr>
            </w:pPr>
          </w:p>
        </w:tc>
        <w:tc>
          <w:tcPr>
            <w:tcW w:w="708" w:type="dxa"/>
            <w:vMerge/>
            <w:tcBorders>
              <w:top w:val="nil"/>
              <w:left w:val="nil"/>
              <w:bottom w:val="nil"/>
              <w:right w:val="single" w:sz="4" w:space="0" w:color="231F20"/>
            </w:tcBorders>
          </w:tcPr>
          <w:p w:rsidR="001636CA" w:rsidRDefault="001636CA" w:rsidP="001636CA">
            <w:pPr>
              <w:rPr>
                <w:sz w:val="2"/>
                <w:szCs w:val="2"/>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Shannons Wayside</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Chiprick</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Coundons Wetland</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D Smith Wetland</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Homelea Wetland</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John Ampt</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Kath Smith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Pam Juergens Dam</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Paul Barclay</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nil"/>
              <w:right w:val="nil"/>
            </w:tcBorders>
          </w:tcPr>
          <w:p w:rsidR="001636CA" w:rsidRDefault="001636CA" w:rsidP="001636CA">
            <w:pPr>
              <w:pStyle w:val="TableParagraph"/>
              <w:ind w:left="0"/>
              <w:rPr>
                <w:rFonts w:ascii="Times New Roman"/>
                <w:sz w:val="16"/>
              </w:rPr>
            </w:pPr>
          </w:p>
        </w:tc>
        <w:tc>
          <w:tcPr>
            <w:tcW w:w="708" w:type="dxa"/>
            <w:tcBorders>
              <w:top w:val="nil"/>
              <w:left w:val="nil"/>
              <w:bottom w:val="nil"/>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231F20"/>
              <w:right w:val="single" w:sz="4" w:space="0" w:color="231F20"/>
            </w:tcBorders>
          </w:tcPr>
          <w:p w:rsidR="001636CA" w:rsidRDefault="001636CA" w:rsidP="001636CA">
            <w:pPr>
              <w:pStyle w:val="TableParagraph"/>
              <w:spacing w:before="63"/>
              <w:ind w:left="85"/>
              <w:rPr>
                <w:sz w:val="18"/>
              </w:rPr>
            </w:pPr>
            <w:r>
              <w:rPr>
                <w:color w:val="231F20"/>
                <w:sz w:val="18"/>
              </w:rPr>
              <w:t>Poyner</w:t>
            </w:r>
          </w:p>
        </w:tc>
        <w:tc>
          <w:tcPr>
            <w:tcW w:w="6231" w:type="dxa"/>
            <w:vMerge/>
            <w:tcBorders>
              <w:top w:val="nil"/>
              <w:left w:val="single" w:sz="4" w:space="0" w:color="231F20"/>
              <w:bottom w:val="single" w:sz="4" w:space="0" w:color="231F20"/>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231F20"/>
              <w:right w:val="nil"/>
            </w:tcBorders>
          </w:tcPr>
          <w:p w:rsidR="001636CA" w:rsidRDefault="001636CA" w:rsidP="001636CA">
            <w:pPr>
              <w:pStyle w:val="TableParagraph"/>
              <w:ind w:left="0"/>
              <w:rPr>
                <w:rFonts w:ascii="Times New Roman"/>
                <w:sz w:val="16"/>
              </w:rPr>
            </w:pPr>
          </w:p>
        </w:tc>
        <w:tc>
          <w:tcPr>
            <w:tcW w:w="708" w:type="dxa"/>
            <w:tcBorders>
              <w:top w:val="nil"/>
              <w:left w:val="nil"/>
              <w:bottom w:val="single" w:sz="4" w:space="0" w:color="231F20"/>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347"/>
        </w:trPr>
        <w:tc>
          <w:tcPr>
            <w:tcW w:w="2386" w:type="dxa"/>
            <w:tcBorders>
              <w:top w:val="single" w:sz="4" w:space="0" w:color="231F20"/>
              <w:left w:val="single" w:sz="4" w:space="0" w:color="231F20"/>
              <w:bottom w:val="single" w:sz="4" w:space="0" w:color="auto"/>
              <w:right w:val="single" w:sz="4" w:space="0" w:color="231F20"/>
            </w:tcBorders>
          </w:tcPr>
          <w:p w:rsidR="001636CA" w:rsidRDefault="001636CA" w:rsidP="001636CA">
            <w:pPr>
              <w:pStyle w:val="TableParagraph"/>
              <w:spacing w:before="63"/>
              <w:ind w:left="85"/>
              <w:rPr>
                <w:sz w:val="18"/>
              </w:rPr>
            </w:pPr>
            <w:r>
              <w:rPr>
                <w:color w:val="231F20"/>
                <w:sz w:val="18"/>
              </w:rPr>
              <w:t>Roselyn Wetland</w:t>
            </w:r>
          </w:p>
        </w:tc>
        <w:tc>
          <w:tcPr>
            <w:tcW w:w="6231" w:type="dxa"/>
            <w:vMerge w:val="restart"/>
            <w:tcBorders>
              <w:top w:val="single" w:sz="4" w:space="0" w:color="231F20"/>
              <w:left w:val="single" w:sz="4" w:space="0" w:color="231F20"/>
              <w:bottom w:val="single" w:sz="4" w:space="0" w:color="auto"/>
              <w:right w:val="single" w:sz="4" w:space="0" w:color="231F20"/>
            </w:tcBorders>
          </w:tcPr>
          <w:p w:rsidR="001636CA" w:rsidRDefault="001636CA" w:rsidP="001636CA">
            <w:pPr>
              <w:pStyle w:val="TableParagraph"/>
              <w:numPr>
                <w:ilvl w:val="0"/>
                <w:numId w:val="827"/>
              </w:numPr>
              <w:tabs>
                <w:tab w:val="left" w:pos="301"/>
              </w:tabs>
              <w:spacing w:before="68" w:line="244" w:lineRule="auto"/>
              <w:ind w:right="618"/>
              <w:rPr>
                <w:sz w:val="17"/>
              </w:rPr>
            </w:pPr>
            <w:r>
              <w:rPr>
                <w:color w:val="231F20"/>
                <w:sz w:val="17"/>
              </w:rPr>
              <w:t>Stimulate aquatic and fringing vegetation growth and allow the plants including black box and lignum to complete their life</w:t>
            </w:r>
            <w:r>
              <w:rPr>
                <w:color w:val="231F20"/>
                <w:spacing w:val="33"/>
                <w:sz w:val="17"/>
              </w:rPr>
              <w:t xml:space="preserve"> </w:t>
            </w:r>
            <w:r>
              <w:rPr>
                <w:color w:val="231F20"/>
                <w:sz w:val="17"/>
              </w:rPr>
              <w:t>cycles</w:t>
            </w:r>
          </w:p>
          <w:p w:rsidR="001636CA" w:rsidRDefault="001636CA" w:rsidP="001636CA">
            <w:pPr>
              <w:pStyle w:val="TableParagraph"/>
              <w:numPr>
                <w:ilvl w:val="0"/>
                <w:numId w:val="827"/>
              </w:numPr>
              <w:tabs>
                <w:tab w:val="left" w:pos="301"/>
              </w:tabs>
              <w:spacing w:before="86" w:line="244" w:lineRule="auto"/>
              <w:ind w:right="290"/>
              <w:rPr>
                <w:sz w:val="17"/>
              </w:rPr>
            </w:pPr>
            <w:r>
              <w:rPr>
                <w:color w:val="231F20"/>
                <w:sz w:val="17"/>
              </w:rPr>
              <w:t>Provide a permanent water source for refuge and to support feeding and breeding</w:t>
            </w:r>
            <w:r>
              <w:rPr>
                <w:color w:val="231F20"/>
                <w:spacing w:val="11"/>
                <w:sz w:val="17"/>
              </w:rPr>
              <w:t xml:space="preserve"> </w:t>
            </w:r>
            <w:r>
              <w:rPr>
                <w:color w:val="231F20"/>
                <w:sz w:val="17"/>
              </w:rPr>
              <w:t>opportunities</w:t>
            </w:r>
            <w:r>
              <w:rPr>
                <w:color w:val="231F20"/>
                <w:spacing w:val="11"/>
                <w:sz w:val="17"/>
              </w:rPr>
              <w:t xml:space="preserve"> </w:t>
            </w:r>
            <w:r>
              <w:rPr>
                <w:color w:val="231F20"/>
                <w:sz w:val="17"/>
              </w:rPr>
              <w:t>for</w:t>
            </w:r>
            <w:r>
              <w:rPr>
                <w:color w:val="231F20"/>
                <w:spacing w:val="11"/>
                <w:sz w:val="17"/>
              </w:rPr>
              <w:t xml:space="preserve"> </w:t>
            </w:r>
            <w:r>
              <w:rPr>
                <w:color w:val="231F20"/>
                <w:sz w:val="17"/>
              </w:rPr>
              <w:t>waterbirds,</w:t>
            </w:r>
            <w:r>
              <w:rPr>
                <w:color w:val="231F20"/>
                <w:spacing w:val="12"/>
                <w:sz w:val="17"/>
              </w:rPr>
              <w:t xml:space="preserve"> </w:t>
            </w:r>
            <w:r>
              <w:rPr>
                <w:color w:val="231F20"/>
                <w:sz w:val="17"/>
              </w:rPr>
              <w:t>frogs,</w:t>
            </w:r>
            <w:r>
              <w:rPr>
                <w:color w:val="231F20"/>
                <w:spacing w:val="11"/>
                <w:sz w:val="17"/>
              </w:rPr>
              <w:t xml:space="preserve"> </w:t>
            </w:r>
            <w:r>
              <w:rPr>
                <w:color w:val="231F20"/>
                <w:sz w:val="17"/>
              </w:rPr>
              <w:t>turtles</w:t>
            </w:r>
            <w:r>
              <w:rPr>
                <w:color w:val="231F20"/>
                <w:spacing w:val="11"/>
                <w:sz w:val="17"/>
              </w:rPr>
              <w:t xml:space="preserve"> </w:t>
            </w:r>
            <w:r>
              <w:rPr>
                <w:color w:val="231F20"/>
                <w:sz w:val="17"/>
              </w:rPr>
              <w:t>and</w:t>
            </w:r>
            <w:r>
              <w:rPr>
                <w:color w:val="231F20"/>
                <w:spacing w:val="11"/>
                <w:sz w:val="17"/>
              </w:rPr>
              <w:t xml:space="preserve"> </w:t>
            </w:r>
            <w:r>
              <w:rPr>
                <w:color w:val="231F20"/>
                <w:sz w:val="17"/>
              </w:rPr>
              <w:t>terrestrial</w:t>
            </w:r>
            <w:r>
              <w:rPr>
                <w:color w:val="231F20"/>
                <w:spacing w:val="12"/>
                <w:sz w:val="17"/>
              </w:rPr>
              <w:t xml:space="preserve"> </w:t>
            </w:r>
            <w:r>
              <w:rPr>
                <w:color w:val="231F20"/>
                <w:sz w:val="17"/>
              </w:rPr>
              <w:t>species</w:t>
            </w:r>
          </w:p>
        </w:tc>
        <w:tc>
          <w:tcPr>
            <w:tcW w:w="850" w:type="dxa"/>
            <w:vMerge w:val="restart"/>
            <w:tcBorders>
              <w:top w:val="single" w:sz="4" w:space="0" w:color="231F20"/>
              <w:left w:val="single" w:sz="4" w:space="0" w:color="231F20"/>
              <w:bottom w:val="single" w:sz="4" w:space="0" w:color="auto"/>
              <w:right w:val="nil"/>
            </w:tcBorders>
          </w:tcPr>
          <w:p w:rsidR="001636CA" w:rsidRDefault="001636CA" w:rsidP="001636CA">
            <w:pPr>
              <w:pStyle w:val="TableParagraph"/>
              <w:spacing w:before="9"/>
              <w:ind w:left="0"/>
              <w:rPr>
                <w:b/>
                <w:sz w:val="8"/>
              </w:rPr>
            </w:pPr>
          </w:p>
          <w:p w:rsidR="001636CA" w:rsidRDefault="001636CA" w:rsidP="001636CA">
            <w:pPr>
              <w:pStyle w:val="TableParagraph"/>
              <w:ind w:left="315" w:right="-15"/>
              <w:rPr>
                <w:sz w:val="20"/>
              </w:rPr>
            </w:pPr>
            <w:r>
              <w:rPr>
                <w:noProof/>
                <w:sz w:val="20"/>
              </w:rPr>
              <w:drawing>
                <wp:inline distT="0" distB="0" distL="0" distR="0" wp14:anchorId="07D6923E" wp14:editId="4DB4F98A">
                  <wp:extent cx="314171" cy="310895"/>
                  <wp:effectExtent l="0" t="0" r="0" b="0"/>
                  <wp:docPr id="112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25.jpeg"/>
                          <pic:cNvPicPr/>
                        </pic:nvPicPr>
                        <pic:blipFill>
                          <a:blip r:embed="rId37" cstate="print"/>
                          <a:stretch>
                            <a:fillRect/>
                          </a:stretch>
                        </pic:blipFill>
                        <pic:spPr>
                          <a:xfrm>
                            <a:off x="0" y="0"/>
                            <a:ext cx="314171" cy="310895"/>
                          </a:xfrm>
                          <a:prstGeom prst="rect">
                            <a:avLst/>
                          </a:prstGeom>
                        </pic:spPr>
                      </pic:pic>
                    </a:graphicData>
                  </a:graphic>
                </wp:inline>
              </w:drawing>
            </w:r>
          </w:p>
        </w:tc>
        <w:tc>
          <w:tcPr>
            <w:tcW w:w="708" w:type="dxa"/>
            <w:vMerge w:val="restart"/>
            <w:tcBorders>
              <w:top w:val="single" w:sz="4" w:space="0" w:color="231F20"/>
              <w:left w:val="nil"/>
              <w:bottom w:val="single" w:sz="4" w:space="0" w:color="auto"/>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ind w:left="48"/>
              <w:rPr>
                <w:sz w:val="20"/>
              </w:rPr>
            </w:pPr>
            <w:r>
              <w:rPr>
                <w:noProof/>
                <w:sz w:val="20"/>
              </w:rPr>
              <w:drawing>
                <wp:inline distT="0" distB="0" distL="0" distR="0" wp14:anchorId="32D5F2A2" wp14:editId="54C9FFFA">
                  <wp:extent cx="314171" cy="310895"/>
                  <wp:effectExtent l="0" t="0" r="0" b="0"/>
                  <wp:docPr id="1125"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26.jpeg"/>
                          <pic:cNvPicPr/>
                        </pic:nvPicPr>
                        <pic:blipFill>
                          <a:blip r:embed="rId38" cstate="print"/>
                          <a:stretch>
                            <a:fillRect/>
                          </a:stretch>
                        </pic:blipFill>
                        <pic:spPr>
                          <a:xfrm>
                            <a:off x="0" y="0"/>
                            <a:ext cx="314171" cy="310895"/>
                          </a:xfrm>
                          <a:prstGeom prst="rect">
                            <a:avLst/>
                          </a:prstGeom>
                        </pic:spPr>
                      </pic:pic>
                    </a:graphicData>
                  </a:graphic>
                </wp:inline>
              </w:drawing>
            </w:r>
          </w:p>
        </w:tc>
      </w:tr>
      <w:tr w:rsidR="001636CA" w:rsidTr="001636CA">
        <w:trPr>
          <w:trHeight w:val="275"/>
        </w:trPr>
        <w:tc>
          <w:tcPr>
            <w:tcW w:w="2386" w:type="dxa"/>
            <w:vMerge w:val="restart"/>
            <w:tcBorders>
              <w:top w:val="single" w:sz="4" w:space="0" w:color="231F20"/>
              <w:left w:val="single" w:sz="4" w:space="0" w:color="231F20"/>
              <w:bottom w:val="single" w:sz="4" w:space="0" w:color="auto"/>
              <w:right w:val="single" w:sz="4" w:space="0" w:color="231F20"/>
            </w:tcBorders>
          </w:tcPr>
          <w:p w:rsidR="001636CA" w:rsidRDefault="001636CA" w:rsidP="001636CA">
            <w:pPr>
              <w:pStyle w:val="TableParagraph"/>
              <w:spacing w:before="63"/>
              <w:ind w:left="85"/>
              <w:rPr>
                <w:sz w:val="18"/>
              </w:rPr>
            </w:pPr>
            <w:r>
              <w:rPr>
                <w:color w:val="231F20"/>
                <w:sz w:val="18"/>
              </w:rPr>
              <w:t>Uttiwillock Wetland</w:t>
            </w:r>
          </w:p>
        </w:tc>
        <w:tc>
          <w:tcPr>
            <w:tcW w:w="6231" w:type="dxa"/>
            <w:vMerge/>
            <w:tcBorders>
              <w:top w:val="single" w:sz="4" w:space="0" w:color="231F20"/>
              <w:left w:val="single" w:sz="4" w:space="0" w:color="231F20"/>
              <w:bottom w:val="single" w:sz="4" w:space="0" w:color="auto"/>
              <w:right w:val="single" w:sz="4" w:space="0" w:color="231F20"/>
            </w:tcBorders>
          </w:tcPr>
          <w:p w:rsidR="001636CA" w:rsidRDefault="001636CA" w:rsidP="001636CA">
            <w:pPr>
              <w:rPr>
                <w:sz w:val="2"/>
                <w:szCs w:val="2"/>
              </w:rPr>
            </w:pPr>
          </w:p>
        </w:tc>
        <w:tc>
          <w:tcPr>
            <w:tcW w:w="850" w:type="dxa"/>
            <w:vMerge/>
            <w:tcBorders>
              <w:top w:val="nil"/>
              <w:left w:val="single" w:sz="4" w:space="0" w:color="231F20"/>
              <w:bottom w:val="single" w:sz="4" w:space="0" w:color="auto"/>
              <w:right w:val="nil"/>
            </w:tcBorders>
          </w:tcPr>
          <w:p w:rsidR="001636CA" w:rsidRDefault="001636CA" w:rsidP="001636CA">
            <w:pPr>
              <w:rPr>
                <w:sz w:val="2"/>
                <w:szCs w:val="2"/>
              </w:rPr>
            </w:pPr>
          </w:p>
        </w:tc>
        <w:tc>
          <w:tcPr>
            <w:tcW w:w="708" w:type="dxa"/>
            <w:vMerge/>
            <w:tcBorders>
              <w:top w:val="nil"/>
              <w:left w:val="nil"/>
              <w:bottom w:val="single" w:sz="4" w:space="0" w:color="auto"/>
              <w:right w:val="single" w:sz="4" w:space="0" w:color="231F20"/>
            </w:tcBorders>
          </w:tcPr>
          <w:p w:rsidR="001636CA" w:rsidRDefault="001636CA" w:rsidP="001636CA">
            <w:pPr>
              <w:rPr>
                <w:sz w:val="2"/>
                <w:szCs w:val="2"/>
              </w:rPr>
            </w:pPr>
          </w:p>
        </w:tc>
      </w:tr>
      <w:tr w:rsidR="001636CA" w:rsidTr="001636CA">
        <w:trPr>
          <w:trHeight w:val="554"/>
        </w:trPr>
        <w:tc>
          <w:tcPr>
            <w:tcW w:w="2386" w:type="dxa"/>
            <w:vMerge/>
            <w:tcBorders>
              <w:top w:val="single" w:sz="4" w:space="0" w:color="231F20"/>
              <w:left w:val="single" w:sz="4" w:space="0" w:color="231F20"/>
              <w:bottom w:val="single" w:sz="4" w:space="0" w:color="auto"/>
              <w:right w:val="single" w:sz="4" w:space="0" w:color="231F20"/>
            </w:tcBorders>
          </w:tcPr>
          <w:p w:rsidR="001636CA" w:rsidRDefault="001636CA" w:rsidP="001636CA">
            <w:pPr>
              <w:rPr>
                <w:sz w:val="2"/>
                <w:szCs w:val="2"/>
              </w:rPr>
            </w:pPr>
          </w:p>
        </w:tc>
        <w:tc>
          <w:tcPr>
            <w:tcW w:w="6231" w:type="dxa"/>
            <w:vMerge/>
            <w:tcBorders>
              <w:top w:val="single" w:sz="4" w:space="0" w:color="231F20"/>
              <w:left w:val="single" w:sz="4" w:space="0" w:color="231F20"/>
              <w:bottom w:val="single" w:sz="4" w:space="0" w:color="auto"/>
              <w:right w:val="single" w:sz="4" w:space="0" w:color="231F20"/>
            </w:tcBorders>
          </w:tcPr>
          <w:p w:rsidR="001636CA" w:rsidRDefault="001636CA" w:rsidP="001636CA">
            <w:pPr>
              <w:rPr>
                <w:sz w:val="2"/>
                <w:szCs w:val="2"/>
              </w:rPr>
            </w:pPr>
          </w:p>
        </w:tc>
        <w:tc>
          <w:tcPr>
            <w:tcW w:w="850" w:type="dxa"/>
            <w:tcBorders>
              <w:top w:val="single" w:sz="4" w:space="0" w:color="auto"/>
              <w:left w:val="single" w:sz="4" w:space="0" w:color="231F20"/>
              <w:bottom w:val="nil"/>
              <w:right w:val="nil"/>
            </w:tcBorders>
          </w:tcPr>
          <w:p w:rsidR="001636CA" w:rsidRDefault="001636CA" w:rsidP="001636CA">
            <w:pPr>
              <w:pStyle w:val="TableParagraph"/>
              <w:spacing w:before="6"/>
              <w:ind w:left="0"/>
              <w:rPr>
                <w:b/>
                <w:sz w:val="2"/>
              </w:rPr>
            </w:pPr>
          </w:p>
          <w:p w:rsidR="001636CA" w:rsidRDefault="001636CA" w:rsidP="001636CA">
            <w:pPr>
              <w:pStyle w:val="TableParagraph"/>
              <w:ind w:left="315" w:right="-15"/>
              <w:rPr>
                <w:sz w:val="20"/>
              </w:rPr>
            </w:pPr>
            <w:r>
              <w:rPr>
                <w:noProof/>
                <w:sz w:val="20"/>
              </w:rPr>
              <w:drawing>
                <wp:inline distT="0" distB="0" distL="0" distR="0" wp14:anchorId="646DEC77" wp14:editId="6815787B">
                  <wp:extent cx="314168" cy="310896"/>
                  <wp:effectExtent l="0" t="0" r="0" b="0"/>
                  <wp:docPr id="1127"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40.jpeg"/>
                          <pic:cNvPicPr/>
                        </pic:nvPicPr>
                        <pic:blipFill>
                          <a:blip r:embed="rId52"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auto"/>
              <w:left w:val="nil"/>
              <w:bottom w:val="nil"/>
              <w:right w:val="single" w:sz="4" w:space="0" w:color="231F20"/>
            </w:tcBorders>
          </w:tcPr>
          <w:p w:rsidR="001636CA" w:rsidRDefault="001636CA" w:rsidP="001636CA">
            <w:pPr>
              <w:pStyle w:val="TableParagraph"/>
              <w:spacing w:before="6"/>
              <w:ind w:left="0"/>
              <w:rPr>
                <w:b/>
                <w:sz w:val="2"/>
              </w:rPr>
            </w:pPr>
          </w:p>
          <w:p w:rsidR="001636CA" w:rsidRDefault="001636CA" w:rsidP="001636CA">
            <w:pPr>
              <w:pStyle w:val="TableParagraph"/>
              <w:ind w:left="48"/>
              <w:rPr>
                <w:sz w:val="20"/>
              </w:rPr>
            </w:pPr>
            <w:r>
              <w:rPr>
                <w:noProof/>
                <w:sz w:val="20"/>
              </w:rPr>
              <w:drawing>
                <wp:inline distT="0" distB="0" distL="0" distR="0" wp14:anchorId="1ABBEC10" wp14:editId="365BF270">
                  <wp:extent cx="314168" cy="310896"/>
                  <wp:effectExtent l="0" t="0" r="0" b="0"/>
                  <wp:docPr id="112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1636CA" w:rsidTr="001636CA">
        <w:trPr>
          <w:trHeight w:val="627"/>
        </w:trPr>
        <w:tc>
          <w:tcPr>
            <w:tcW w:w="2386" w:type="dxa"/>
            <w:vMerge/>
            <w:tcBorders>
              <w:top w:val="single" w:sz="4" w:space="0" w:color="231F20"/>
              <w:left w:val="single" w:sz="4" w:space="0" w:color="231F20"/>
              <w:bottom w:val="single" w:sz="4" w:space="0" w:color="auto"/>
              <w:right w:val="single" w:sz="4" w:space="0" w:color="231F20"/>
            </w:tcBorders>
          </w:tcPr>
          <w:p w:rsidR="001636CA" w:rsidRDefault="001636CA" w:rsidP="001636CA">
            <w:pPr>
              <w:rPr>
                <w:sz w:val="2"/>
                <w:szCs w:val="2"/>
              </w:rPr>
            </w:pPr>
          </w:p>
        </w:tc>
        <w:tc>
          <w:tcPr>
            <w:tcW w:w="6231" w:type="dxa"/>
            <w:vMerge/>
            <w:tcBorders>
              <w:top w:val="single" w:sz="4" w:space="0" w:color="231F20"/>
              <w:left w:val="single" w:sz="4" w:space="0" w:color="231F20"/>
              <w:bottom w:val="single" w:sz="4" w:space="0" w:color="auto"/>
              <w:right w:val="single" w:sz="4" w:space="0" w:color="231F20"/>
            </w:tcBorders>
          </w:tcPr>
          <w:p w:rsidR="001636CA" w:rsidRDefault="001636CA" w:rsidP="001636CA">
            <w:pPr>
              <w:rPr>
                <w:sz w:val="2"/>
                <w:szCs w:val="2"/>
              </w:rPr>
            </w:pPr>
          </w:p>
        </w:tc>
        <w:tc>
          <w:tcPr>
            <w:tcW w:w="850" w:type="dxa"/>
            <w:tcBorders>
              <w:top w:val="nil"/>
              <w:left w:val="single" w:sz="4" w:space="0" w:color="231F20"/>
              <w:bottom w:val="single" w:sz="4" w:space="0" w:color="auto"/>
              <w:right w:val="nil"/>
            </w:tcBorders>
          </w:tcPr>
          <w:p w:rsidR="001636CA" w:rsidRDefault="001636CA" w:rsidP="001636CA">
            <w:pPr>
              <w:pStyle w:val="TableParagraph"/>
              <w:ind w:left="315" w:right="-15"/>
              <w:rPr>
                <w:sz w:val="20"/>
              </w:rPr>
            </w:pPr>
            <w:r>
              <w:rPr>
                <w:noProof/>
                <w:sz w:val="20"/>
              </w:rPr>
              <w:drawing>
                <wp:inline distT="0" distB="0" distL="0" distR="0" wp14:anchorId="00707740" wp14:editId="759B8D71">
                  <wp:extent cx="314169" cy="310896"/>
                  <wp:effectExtent l="0" t="0" r="0" b="0"/>
                  <wp:docPr id="113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27.jpeg"/>
                          <pic:cNvPicPr/>
                        </pic:nvPicPr>
                        <pic:blipFill>
                          <a:blip r:embed="rId39" cstate="print"/>
                          <a:stretch>
                            <a:fillRect/>
                          </a:stretch>
                        </pic:blipFill>
                        <pic:spPr>
                          <a:xfrm>
                            <a:off x="0" y="0"/>
                            <a:ext cx="314169" cy="310896"/>
                          </a:xfrm>
                          <a:prstGeom prst="rect">
                            <a:avLst/>
                          </a:prstGeom>
                        </pic:spPr>
                      </pic:pic>
                    </a:graphicData>
                  </a:graphic>
                </wp:inline>
              </w:drawing>
            </w:r>
          </w:p>
        </w:tc>
        <w:tc>
          <w:tcPr>
            <w:tcW w:w="708" w:type="dxa"/>
            <w:tcBorders>
              <w:top w:val="nil"/>
              <w:left w:val="nil"/>
              <w:bottom w:val="single" w:sz="4" w:space="0" w:color="auto"/>
              <w:right w:val="single" w:sz="4" w:space="0" w:color="231F20"/>
            </w:tcBorders>
          </w:tcPr>
          <w:p w:rsidR="001636CA" w:rsidRDefault="001636CA" w:rsidP="001636CA">
            <w:pPr>
              <w:pStyle w:val="TableParagraph"/>
              <w:ind w:left="0"/>
              <w:rPr>
                <w:rFonts w:ascii="Times New Roman"/>
                <w:sz w:val="16"/>
              </w:rPr>
            </w:pPr>
          </w:p>
        </w:tc>
      </w:tr>
      <w:tr w:rsidR="001636CA" w:rsidTr="001636CA">
        <w:trPr>
          <w:trHeight w:val="1310"/>
        </w:trPr>
        <w:tc>
          <w:tcPr>
            <w:tcW w:w="2386" w:type="dxa"/>
            <w:tcBorders>
              <w:top w:val="single" w:sz="4" w:space="0" w:color="auto"/>
              <w:left w:val="single" w:sz="4" w:space="0" w:color="231F20"/>
              <w:bottom w:val="single" w:sz="4" w:space="0" w:color="auto"/>
              <w:right w:val="single" w:sz="4" w:space="0" w:color="231F20"/>
            </w:tcBorders>
          </w:tcPr>
          <w:p w:rsidR="001636CA" w:rsidRDefault="001636CA" w:rsidP="001636CA">
            <w:pPr>
              <w:pStyle w:val="TableParagraph"/>
              <w:spacing w:before="63"/>
              <w:ind w:left="85"/>
              <w:rPr>
                <w:sz w:val="18"/>
              </w:rPr>
            </w:pPr>
            <w:r>
              <w:rPr>
                <w:color w:val="231F20"/>
                <w:sz w:val="18"/>
              </w:rPr>
              <w:t>Towma (Lake Marlbed)</w:t>
            </w:r>
          </w:p>
        </w:tc>
        <w:tc>
          <w:tcPr>
            <w:tcW w:w="6231" w:type="dxa"/>
            <w:tcBorders>
              <w:top w:val="single" w:sz="4" w:space="0" w:color="auto"/>
              <w:left w:val="single" w:sz="4" w:space="0" w:color="231F20"/>
              <w:bottom w:val="single" w:sz="4" w:space="0" w:color="auto"/>
              <w:right w:val="single" w:sz="4" w:space="0" w:color="231F20"/>
            </w:tcBorders>
          </w:tcPr>
          <w:p w:rsidR="001636CA" w:rsidRDefault="001636CA" w:rsidP="001636CA">
            <w:pPr>
              <w:pStyle w:val="TableParagraph"/>
              <w:numPr>
                <w:ilvl w:val="0"/>
                <w:numId w:val="826"/>
              </w:numPr>
              <w:tabs>
                <w:tab w:val="left" w:pos="306"/>
              </w:tabs>
              <w:spacing w:before="68" w:line="244" w:lineRule="auto"/>
              <w:ind w:right="618"/>
              <w:rPr>
                <w:sz w:val="17"/>
              </w:rPr>
            </w:pPr>
            <w:r>
              <w:rPr>
                <w:color w:val="231F20"/>
                <w:sz w:val="17"/>
              </w:rPr>
              <w:t>Stimulate aquatic and fringing vegetation growth and allow the plants including black box and lignum to complete their life</w:t>
            </w:r>
            <w:r>
              <w:rPr>
                <w:color w:val="231F20"/>
                <w:spacing w:val="33"/>
                <w:sz w:val="17"/>
              </w:rPr>
              <w:t xml:space="preserve"> </w:t>
            </w:r>
            <w:r>
              <w:rPr>
                <w:color w:val="231F20"/>
                <w:sz w:val="17"/>
              </w:rPr>
              <w:t>cycles</w:t>
            </w:r>
          </w:p>
          <w:p w:rsidR="001636CA" w:rsidRDefault="001636CA" w:rsidP="001636CA">
            <w:pPr>
              <w:pStyle w:val="TableParagraph"/>
              <w:numPr>
                <w:ilvl w:val="0"/>
                <w:numId w:val="826"/>
              </w:numPr>
              <w:tabs>
                <w:tab w:val="left" w:pos="306"/>
              </w:tabs>
              <w:spacing w:before="86" w:line="244" w:lineRule="auto"/>
              <w:ind w:right="347"/>
              <w:rPr>
                <w:sz w:val="17"/>
              </w:rPr>
            </w:pPr>
            <w:r>
              <w:rPr>
                <w:color w:val="231F20"/>
                <w:sz w:val="17"/>
              </w:rPr>
              <w:t>Provide a permanent water source for refuge and to support feeding and breeding opportunities for frogs, turtles and terrestrial</w:t>
            </w:r>
            <w:r>
              <w:rPr>
                <w:color w:val="231F20"/>
                <w:spacing w:val="29"/>
                <w:sz w:val="17"/>
              </w:rPr>
              <w:t xml:space="preserve"> </w:t>
            </w:r>
            <w:r>
              <w:rPr>
                <w:color w:val="231F20"/>
                <w:sz w:val="17"/>
              </w:rPr>
              <w:t>species</w:t>
            </w:r>
          </w:p>
        </w:tc>
        <w:tc>
          <w:tcPr>
            <w:tcW w:w="1558" w:type="dxa"/>
            <w:gridSpan w:val="2"/>
            <w:tcBorders>
              <w:top w:val="single" w:sz="4" w:space="0" w:color="auto"/>
              <w:left w:val="single" w:sz="4" w:space="0" w:color="231F20"/>
              <w:bottom w:val="single" w:sz="4" w:space="0" w:color="auto"/>
              <w:right w:val="single" w:sz="4" w:space="0" w:color="231F20"/>
            </w:tcBorders>
          </w:tcPr>
          <w:p w:rsidR="001636CA" w:rsidRDefault="001636CA" w:rsidP="001636CA">
            <w:pPr>
              <w:pStyle w:val="TableParagraph"/>
              <w:spacing w:before="9"/>
              <w:ind w:left="0"/>
              <w:rPr>
                <w:b/>
                <w:sz w:val="8"/>
              </w:rPr>
            </w:pPr>
          </w:p>
          <w:p w:rsidR="001636CA" w:rsidRDefault="001636CA" w:rsidP="001636CA">
            <w:pPr>
              <w:pStyle w:val="TableParagraph"/>
              <w:spacing w:after="60"/>
              <w:ind w:left="318" w:right="-17"/>
              <w:rPr>
                <w:sz w:val="20"/>
              </w:rPr>
            </w:pPr>
            <w:r>
              <w:rPr>
                <w:noProof/>
                <w:sz w:val="20"/>
              </w:rPr>
              <w:drawing>
                <wp:inline distT="0" distB="0" distL="0" distR="0" wp14:anchorId="107A3D6A" wp14:editId="3C92D4DD">
                  <wp:extent cx="314168" cy="310896"/>
                  <wp:effectExtent l="0" t="0" r="0" b="0"/>
                  <wp:docPr id="368"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25.jpeg"/>
                          <pic:cNvPicPr/>
                        </pic:nvPicPr>
                        <pic:blipFill>
                          <a:blip r:embed="rId37"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67FCF574" wp14:editId="6E6154CE">
                  <wp:extent cx="314168" cy="310896"/>
                  <wp:effectExtent l="0" t="0" r="0" b="0"/>
                  <wp:docPr id="370"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26.jpeg"/>
                          <pic:cNvPicPr/>
                        </pic:nvPicPr>
                        <pic:blipFill>
                          <a:blip r:embed="rId38" cstate="print"/>
                          <a:stretch>
                            <a:fillRect/>
                          </a:stretch>
                        </pic:blipFill>
                        <pic:spPr>
                          <a:xfrm>
                            <a:off x="0" y="0"/>
                            <a:ext cx="314168" cy="310896"/>
                          </a:xfrm>
                          <a:prstGeom prst="rect">
                            <a:avLst/>
                          </a:prstGeom>
                        </pic:spPr>
                      </pic:pic>
                    </a:graphicData>
                  </a:graphic>
                </wp:inline>
              </w:drawing>
            </w:r>
          </w:p>
          <w:p w:rsidR="001636CA" w:rsidRDefault="001636CA" w:rsidP="001636CA">
            <w:pPr>
              <w:pStyle w:val="TableParagraph"/>
              <w:spacing w:after="60"/>
              <w:ind w:left="318" w:right="-17"/>
              <w:rPr>
                <w:sz w:val="20"/>
              </w:rPr>
            </w:pPr>
            <w:r>
              <w:rPr>
                <w:noProof/>
                <w:sz w:val="20"/>
              </w:rPr>
              <w:drawing>
                <wp:inline distT="0" distB="0" distL="0" distR="0" wp14:anchorId="6118EE20" wp14:editId="1474238F">
                  <wp:extent cx="314168" cy="310896"/>
                  <wp:effectExtent l="0" t="0" r="0" b="0"/>
                  <wp:docPr id="372" name="image40.jpeg" descr="icon: waterin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40.jpeg"/>
                          <pic:cNvPicPr/>
                        </pic:nvPicPr>
                        <pic:blipFill>
                          <a:blip r:embed="rId52" cstate="print"/>
                          <a:stretch>
                            <a:fillRect/>
                          </a:stretch>
                        </pic:blipFill>
                        <pic:spPr>
                          <a:xfrm>
                            <a:off x="0" y="0"/>
                            <a:ext cx="314168" cy="310896"/>
                          </a:xfrm>
                          <a:prstGeom prst="rect">
                            <a:avLst/>
                          </a:prstGeom>
                        </pic:spPr>
                      </pic:pic>
                    </a:graphicData>
                  </a:graphic>
                </wp:inline>
              </w:drawing>
            </w:r>
            <w:r>
              <w:rPr>
                <w:sz w:val="20"/>
              </w:rPr>
              <w:t xml:space="preserve"> </w:t>
            </w:r>
            <w:r>
              <w:rPr>
                <w:noProof/>
                <w:sz w:val="20"/>
              </w:rPr>
              <w:drawing>
                <wp:inline distT="0" distB="0" distL="0" distR="0" wp14:anchorId="4684E7EF" wp14:editId="73C2A47F">
                  <wp:extent cx="314168" cy="310896"/>
                  <wp:effectExtent l="0" t="0" r="0" b="0"/>
                  <wp:docPr id="374"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bl>
    <w:p w:rsidR="001636CA" w:rsidRDefault="001636CA">
      <w:pPr>
        <w:pStyle w:val="Heading4"/>
        <w:spacing w:before="92"/>
        <w:rPr>
          <w:color w:val="231F20"/>
        </w:rPr>
      </w:pPr>
    </w:p>
    <w:p w:rsidR="006A7A3F" w:rsidRDefault="00BC7372">
      <w:pPr>
        <w:pStyle w:val="Heading4"/>
        <w:spacing w:before="92"/>
      </w:pPr>
      <w:r>
        <w:rPr>
          <w:color w:val="231F20"/>
        </w:rPr>
        <w:t>Scenario planning</w:t>
      </w:r>
    </w:p>
    <w:p w:rsidR="006A7A3F" w:rsidRDefault="00BC7372">
      <w:pPr>
        <w:pStyle w:val="BodyText"/>
        <w:spacing w:before="58" w:line="249" w:lineRule="auto"/>
        <w:ind w:right="100"/>
      </w:pPr>
      <w:r>
        <w:rPr>
          <w:color w:val="231F20"/>
        </w:rPr>
        <w:t>Table 4.4.2 outlines the potential environmental watering and expected water use under a range of planning scenarios.</w:t>
      </w:r>
    </w:p>
    <w:p w:rsidR="006A7A3F" w:rsidRDefault="00BC7372">
      <w:pPr>
        <w:pStyle w:val="BodyText"/>
        <w:spacing w:line="249" w:lineRule="auto"/>
        <w:ind w:right="442"/>
      </w:pPr>
      <w:r>
        <w:rPr>
          <w:color w:val="231F20"/>
        </w:rPr>
        <w:t>The potential watering actions in 2020–21 have been determined by considering the environmental values, watering requirements and recent watering histories of the Wimmera-Mallee wetlands, as well as available water supply and ability to deliver water to individual sites. The list of wetlands to be watered under each scenario was determined according to the following principles.</w:t>
      </w:r>
    </w:p>
    <w:p w:rsidR="006A7A3F" w:rsidRDefault="00BC7372">
      <w:pPr>
        <w:pStyle w:val="BodyText"/>
        <w:spacing w:before="173" w:line="249" w:lineRule="auto"/>
        <w:ind w:right="257"/>
      </w:pPr>
      <w:r>
        <w:rPr>
          <w:color w:val="231F20"/>
        </w:rPr>
        <w:t>Under drought conditions, the highest priority is to provide permanent water in the deeper sections of the wetlands, to provide drought refuge for waterbirds, frogs, turtles and terrestrial animals across the landscape and to support the growth and lifecycles of wetland plants. Under wetter scenarios, water for the environment may be delivered, depending on capacity in the pipeline system, to water larger areas of the wetland. Large rainfall events and catchment inflows may partially or fully fill some wetlands, and water for the environment may be used to top up, fill or over-top wetlands to improve fringing wetland plant growth and provide additional habitat for waterbirds, frogs and</w:t>
      </w:r>
      <w:r>
        <w:rPr>
          <w:color w:val="231F20"/>
          <w:spacing w:val="-2"/>
        </w:rPr>
        <w:t xml:space="preserve"> </w:t>
      </w:r>
      <w:r>
        <w:rPr>
          <w:color w:val="231F20"/>
        </w:rPr>
        <w:t>turtles.</w:t>
      </w:r>
    </w:p>
    <w:p w:rsidR="006A7A3F" w:rsidRDefault="00BC7372">
      <w:pPr>
        <w:pStyle w:val="BodyText"/>
        <w:spacing w:before="176" w:line="249" w:lineRule="auto"/>
        <w:ind w:right="431"/>
      </w:pPr>
      <w:r>
        <w:rPr>
          <w:color w:val="231F20"/>
        </w:rPr>
        <w:t>Allocations to the environmental entitlement to supply the wetlands in the Wimmera-Mallee wetland system is highly variable, and the ability to carry over unused water from one year to another allows waterway managers and the VEWH to effectively manage the systems in dry periods. The North Central, Mallee and Wimmera CMAs and the VEWH have determined that between 122 and 130 ML should be carried over at the end of 2020–21, to support critical environmental demands in 2021–22.</w:t>
      </w:r>
    </w:p>
    <w:p w:rsidR="00066112" w:rsidRDefault="00066112">
      <w:pPr>
        <w:rPr>
          <w:b/>
          <w:color w:val="231F20"/>
          <w:sz w:val="18"/>
        </w:rPr>
      </w:pPr>
      <w:r>
        <w:rPr>
          <w:b/>
          <w:color w:val="231F20"/>
          <w:sz w:val="18"/>
        </w:rPr>
        <w:br w:type="page"/>
      </w:r>
    </w:p>
    <w:p w:rsidR="006A7A3F" w:rsidRDefault="00BC7372">
      <w:pPr>
        <w:spacing w:before="169"/>
        <w:ind w:left="210"/>
        <w:rPr>
          <w:b/>
          <w:sz w:val="18"/>
        </w:rPr>
      </w:pPr>
      <w:r>
        <w:rPr>
          <w:b/>
          <w:color w:val="231F20"/>
          <w:sz w:val="18"/>
        </w:rPr>
        <w:t>Table 4.4.2 Potential environmental watering for the Wimmera-Mallee wetlands under a range of planning scenarios</w:t>
      </w:r>
    </w:p>
    <w:p w:rsidR="006A7A3F" w:rsidRDefault="006A7A3F">
      <w:pPr>
        <w:pStyle w:val="BodyText"/>
        <w:spacing w:before="0"/>
        <w:ind w:left="0"/>
        <w:rPr>
          <w:b/>
          <w:sz w:val="9"/>
        </w:rPr>
      </w:pP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066112">
        <w:trPr>
          <w:trHeight w:val="367"/>
          <w:tblHeader/>
        </w:trPr>
        <w:tc>
          <w:tcPr>
            <w:tcW w:w="2041" w:type="dxa"/>
            <w:tcBorders>
              <w:top w:val="nil"/>
              <w:left w:val="nil"/>
              <w:bottom w:val="nil"/>
            </w:tcBorders>
            <w:shd w:val="clear" w:color="auto" w:fill="231F20"/>
          </w:tcPr>
          <w:p w:rsidR="006A7A3F" w:rsidRDefault="00BC7372">
            <w:pPr>
              <w:pStyle w:val="TableParagraph"/>
              <w:spacing w:before="73"/>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Average</w:t>
            </w:r>
          </w:p>
        </w:tc>
        <w:tc>
          <w:tcPr>
            <w:tcW w:w="2041" w:type="dxa"/>
            <w:tcBorders>
              <w:top w:val="nil"/>
              <w:bottom w:val="nil"/>
              <w:right w:val="nil"/>
            </w:tcBorders>
            <w:shd w:val="clear" w:color="auto" w:fill="231F20"/>
          </w:tcPr>
          <w:p w:rsidR="006A7A3F" w:rsidRDefault="00BC7372">
            <w:pPr>
              <w:pStyle w:val="TableParagraph"/>
              <w:spacing w:before="73"/>
              <w:ind w:left="84"/>
              <w:rPr>
                <w:b/>
                <w:sz w:val="18"/>
              </w:rPr>
            </w:pPr>
            <w:r>
              <w:rPr>
                <w:b/>
                <w:color w:val="FFFFFF"/>
                <w:sz w:val="18"/>
              </w:rPr>
              <w:t>Wet</w:t>
            </w:r>
          </w:p>
        </w:tc>
      </w:tr>
      <w:tr w:rsidR="00066112" w:rsidTr="00066112">
        <w:trPr>
          <w:trHeight w:val="567"/>
        </w:trPr>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spacing w:before="70" w:line="254" w:lineRule="auto"/>
              <w:ind w:left="85" w:right="775"/>
              <w:rPr>
                <w:sz w:val="18"/>
              </w:rPr>
            </w:pPr>
            <w:r>
              <w:rPr>
                <w:color w:val="231F20"/>
                <w:sz w:val="18"/>
              </w:rPr>
              <w:t>Expected river conditions</w:t>
            </w:r>
          </w:p>
        </w:tc>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numPr>
                <w:ilvl w:val="0"/>
                <w:numId w:val="825"/>
              </w:numPr>
              <w:tabs>
                <w:tab w:val="left" w:pos="305"/>
              </w:tabs>
              <w:spacing w:before="75" w:line="244" w:lineRule="auto"/>
              <w:ind w:right="73"/>
              <w:rPr>
                <w:sz w:val="17"/>
              </w:rPr>
            </w:pPr>
            <w:r>
              <w:rPr>
                <w:color w:val="231F20"/>
                <w:sz w:val="17"/>
              </w:rPr>
              <w:t>No catchment inflows to the wetlands are expected</w:t>
            </w:r>
          </w:p>
        </w:tc>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numPr>
                <w:ilvl w:val="0"/>
                <w:numId w:val="824"/>
              </w:numPr>
              <w:tabs>
                <w:tab w:val="left" w:pos="305"/>
              </w:tabs>
              <w:spacing w:before="75" w:line="244" w:lineRule="auto"/>
              <w:ind w:right="73"/>
              <w:rPr>
                <w:sz w:val="17"/>
              </w:rPr>
            </w:pPr>
            <w:r>
              <w:rPr>
                <w:color w:val="231F20"/>
                <w:sz w:val="17"/>
              </w:rPr>
              <w:t>No catchment inflows to the wetlands are expected</w:t>
            </w:r>
          </w:p>
        </w:tc>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numPr>
                <w:ilvl w:val="0"/>
                <w:numId w:val="823"/>
              </w:numPr>
              <w:tabs>
                <w:tab w:val="left" w:pos="305"/>
              </w:tabs>
              <w:spacing w:before="75" w:line="244" w:lineRule="auto"/>
              <w:ind w:right="216"/>
              <w:rPr>
                <w:sz w:val="17"/>
              </w:rPr>
            </w:pPr>
            <w:r>
              <w:rPr>
                <w:color w:val="231F20"/>
                <w:sz w:val="17"/>
              </w:rPr>
              <w:t>Some localised catchment inflows may increase water levels in some wetlands</w:t>
            </w:r>
          </w:p>
        </w:tc>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numPr>
                <w:ilvl w:val="0"/>
                <w:numId w:val="822"/>
              </w:numPr>
              <w:tabs>
                <w:tab w:val="left" w:pos="305"/>
              </w:tabs>
              <w:spacing w:before="75" w:line="244" w:lineRule="auto"/>
              <w:ind w:right="138"/>
              <w:rPr>
                <w:sz w:val="17"/>
              </w:rPr>
            </w:pPr>
            <w:r>
              <w:rPr>
                <w:color w:val="231F20"/>
                <w:sz w:val="17"/>
              </w:rPr>
              <w:t>Catchment inflows are likely to increase water levels in most wetlands</w:t>
            </w:r>
          </w:p>
        </w:tc>
      </w:tr>
      <w:tr w:rsidR="00066112" w:rsidTr="00066112">
        <w:trPr>
          <w:trHeight w:val="567"/>
        </w:trPr>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spacing w:before="70" w:line="254" w:lineRule="auto"/>
              <w:ind w:left="85" w:right="295"/>
              <w:rPr>
                <w:sz w:val="18"/>
              </w:rPr>
            </w:pPr>
            <w:r>
              <w:rPr>
                <w:color w:val="231F20"/>
                <w:sz w:val="18"/>
              </w:rPr>
              <w:t>Expected availability of water for the environment</w:t>
            </w:r>
          </w:p>
        </w:tc>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numPr>
                <w:ilvl w:val="0"/>
                <w:numId w:val="821"/>
              </w:numPr>
              <w:tabs>
                <w:tab w:val="left" w:pos="305"/>
              </w:tabs>
              <w:spacing w:before="75"/>
              <w:rPr>
                <w:sz w:val="17"/>
              </w:rPr>
            </w:pPr>
            <w:r>
              <w:rPr>
                <w:color w:val="231F20"/>
                <w:sz w:val="17"/>
              </w:rPr>
              <w:t>700</w:t>
            </w:r>
            <w:r>
              <w:rPr>
                <w:color w:val="231F20"/>
                <w:spacing w:val="1"/>
                <w:sz w:val="17"/>
              </w:rPr>
              <w:t xml:space="preserve"> </w:t>
            </w:r>
            <w:r>
              <w:rPr>
                <w:color w:val="231F20"/>
                <w:sz w:val="17"/>
              </w:rPr>
              <w:t>ML</w:t>
            </w:r>
          </w:p>
        </w:tc>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numPr>
                <w:ilvl w:val="0"/>
                <w:numId w:val="820"/>
              </w:numPr>
              <w:tabs>
                <w:tab w:val="left" w:pos="305"/>
              </w:tabs>
              <w:spacing w:before="75"/>
              <w:rPr>
                <w:sz w:val="17"/>
              </w:rPr>
            </w:pPr>
            <w:r>
              <w:rPr>
                <w:color w:val="231F20"/>
                <w:sz w:val="17"/>
              </w:rPr>
              <w:t>700</w:t>
            </w:r>
            <w:r>
              <w:rPr>
                <w:color w:val="231F20"/>
                <w:spacing w:val="1"/>
                <w:sz w:val="17"/>
              </w:rPr>
              <w:t xml:space="preserve"> </w:t>
            </w:r>
            <w:r>
              <w:rPr>
                <w:color w:val="231F20"/>
                <w:sz w:val="17"/>
              </w:rPr>
              <w:t>ML</w:t>
            </w:r>
          </w:p>
        </w:tc>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numPr>
                <w:ilvl w:val="0"/>
                <w:numId w:val="819"/>
              </w:numPr>
              <w:tabs>
                <w:tab w:val="left" w:pos="305"/>
              </w:tabs>
              <w:spacing w:before="75"/>
              <w:rPr>
                <w:sz w:val="17"/>
              </w:rPr>
            </w:pPr>
            <w:r>
              <w:rPr>
                <w:color w:val="231F20"/>
                <w:sz w:val="17"/>
              </w:rPr>
              <w:t>900</w:t>
            </w:r>
            <w:r>
              <w:rPr>
                <w:color w:val="231F20"/>
                <w:spacing w:val="1"/>
                <w:sz w:val="17"/>
              </w:rPr>
              <w:t xml:space="preserve"> </w:t>
            </w:r>
            <w:r>
              <w:rPr>
                <w:color w:val="231F20"/>
                <w:sz w:val="17"/>
              </w:rPr>
              <w:t>ML</w:t>
            </w:r>
          </w:p>
        </w:tc>
        <w:tc>
          <w:tcPr>
            <w:tcW w:w="2041" w:type="dxa"/>
            <w:tcBorders>
              <w:top w:val="nil"/>
              <w:left w:val="single" w:sz="4" w:space="0" w:color="231F20"/>
              <w:bottom w:val="single" w:sz="4" w:space="0" w:color="231F20"/>
              <w:right w:val="single" w:sz="4" w:space="0" w:color="231F20"/>
            </w:tcBorders>
          </w:tcPr>
          <w:p w:rsidR="00066112" w:rsidRDefault="00066112" w:rsidP="00066112">
            <w:pPr>
              <w:pStyle w:val="TableParagraph"/>
              <w:numPr>
                <w:ilvl w:val="0"/>
                <w:numId w:val="818"/>
              </w:numPr>
              <w:tabs>
                <w:tab w:val="left" w:pos="305"/>
              </w:tabs>
              <w:spacing w:before="75"/>
              <w:rPr>
                <w:sz w:val="17"/>
              </w:rPr>
            </w:pPr>
            <w:r>
              <w:rPr>
                <w:color w:val="231F20"/>
                <w:sz w:val="17"/>
              </w:rPr>
              <w:t>1,700</w:t>
            </w:r>
            <w:r>
              <w:rPr>
                <w:color w:val="231F20"/>
                <w:spacing w:val="1"/>
                <w:sz w:val="17"/>
              </w:rPr>
              <w:t xml:space="preserve"> </w:t>
            </w:r>
            <w:r>
              <w:rPr>
                <w:color w:val="231F20"/>
                <w:sz w:val="17"/>
              </w:rPr>
              <w:t>ML</w:t>
            </w:r>
          </w:p>
        </w:tc>
      </w:tr>
      <w:tr w:rsidR="006A7A3F" w:rsidTr="00066112">
        <w:trPr>
          <w:trHeight w:val="10349"/>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63" w:line="254" w:lineRule="auto"/>
              <w:ind w:left="85"/>
              <w:rPr>
                <w:sz w:val="10"/>
              </w:rPr>
            </w:pPr>
            <w:r>
              <w:rPr>
                <w:color w:val="231F20"/>
                <w:sz w:val="18"/>
              </w:rPr>
              <w:t>Potential environmental watering</w:t>
            </w:r>
            <w:r>
              <w:rPr>
                <w:color w:val="231F20"/>
                <w:position w:val="6"/>
                <w:sz w:val="10"/>
              </w:rPr>
              <w:t>1</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17"/>
              </w:numPr>
              <w:tabs>
                <w:tab w:val="left" w:pos="305"/>
              </w:tabs>
              <w:spacing w:before="68"/>
              <w:rPr>
                <w:sz w:val="17"/>
              </w:rPr>
            </w:pPr>
            <w:r>
              <w:rPr>
                <w:color w:val="231F20"/>
                <w:sz w:val="17"/>
              </w:rPr>
              <w:t>Barbers</w:t>
            </w:r>
            <w:r>
              <w:rPr>
                <w:color w:val="231F20"/>
                <w:spacing w:val="3"/>
                <w:sz w:val="17"/>
              </w:rPr>
              <w:t xml:space="preserve"> </w:t>
            </w:r>
            <w:r>
              <w:rPr>
                <w:color w:val="231F20"/>
                <w:sz w:val="17"/>
              </w:rPr>
              <w:t>Swamp</w:t>
            </w:r>
          </w:p>
          <w:p w:rsidR="006A7A3F" w:rsidRDefault="00BC7372">
            <w:pPr>
              <w:pStyle w:val="TableParagraph"/>
              <w:numPr>
                <w:ilvl w:val="0"/>
                <w:numId w:val="817"/>
              </w:numPr>
              <w:tabs>
                <w:tab w:val="left" w:pos="305"/>
              </w:tabs>
              <w:spacing w:before="89"/>
              <w:rPr>
                <w:sz w:val="17"/>
              </w:rPr>
            </w:pPr>
            <w:r>
              <w:rPr>
                <w:color w:val="231F20"/>
                <w:sz w:val="17"/>
              </w:rPr>
              <w:t>Bull</w:t>
            </w:r>
            <w:r>
              <w:rPr>
                <w:color w:val="231F20"/>
                <w:spacing w:val="2"/>
                <w:sz w:val="17"/>
              </w:rPr>
              <w:t xml:space="preserve"> </w:t>
            </w:r>
            <w:r>
              <w:rPr>
                <w:color w:val="231F20"/>
                <w:sz w:val="17"/>
              </w:rPr>
              <w:t>Swamp</w:t>
            </w:r>
          </w:p>
          <w:p w:rsidR="006A7A3F" w:rsidRDefault="00BC7372">
            <w:pPr>
              <w:pStyle w:val="TableParagraph"/>
              <w:numPr>
                <w:ilvl w:val="0"/>
                <w:numId w:val="817"/>
              </w:numPr>
              <w:tabs>
                <w:tab w:val="left" w:pos="305"/>
              </w:tabs>
              <w:spacing w:before="90"/>
              <w:rPr>
                <w:sz w:val="17"/>
              </w:rPr>
            </w:pPr>
            <w:r>
              <w:rPr>
                <w:color w:val="231F20"/>
                <w:sz w:val="17"/>
              </w:rPr>
              <w:t>Carapugna</w:t>
            </w:r>
          </w:p>
          <w:p w:rsidR="006A7A3F" w:rsidRDefault="00BC7372">
            <w:pPr>
              <w:pStyle w:val="TableParagraph"/>
              <w:numPr>
                <w:ilvl w:val="0"/>
                <w:numId w:val="817"/>
              </w:numPr>
              <w:tabs>
                <w:tab w:val="left" w:pos="305"/>
              </w:tabs>
              <w:spacing w:before="90"/>
              <w:rPr>
                <w:sz w:val="17"/>
              </w:rPr>
            </w:pPr>
            <w:r>
              <w:rPr>
                <w:color w:val="231F20"/>
                <w:sz w:val="17"/>
              </w:rPr>
              <w:t>Challambra</w:t>
            </w:r>
            <w:r>
              <w:rPr>
                <w:color w:val="231F20"/>
                <w:spacing w:val="5"/>
                <w:sz w:val="17"/>
              </w:rPr>
              <w:t xml:space="preserve"> </w:t>
            </w:r>
            <w:r>
              <w:rPr>
                <w:color w:val="231F20"/>
                <w:sz w:val="17"/>
              </w:rPr>
              <w:t>Swamp</w:t>
            </w:r>
          </w:p>
          <w:p w:rsidR="006A7A3F" w:rsidRDefault="00BC7372">
            <w:pPr>
              <w:pStyle w:val="TableParagraph"/>
              <w:numPr>
                <w:ilvl w:val="0"/>
                <w:numId w:val="817"/>
              </w:numPr>
              <w:tabs>
                <w:tab w:val="left" w:pos="305"/>
              </w:tabs>
              <w:spacing w:before="89"/>
              <w:rPr>
                <w:sz w:val="17"/>
              </w:rPr>
            </w:pPr>
            <w:r>
              <w:rPr>
                <w:color w:val="231F20"/>
                <w:sz w:val="17"/>
              </w:rPr>
              <w:t>Chirrup</w:t>
            </w:r>
            <w:r>
              <w:rPr>
                <w:color w:val="231F20"/>
                <w:spacing w:val="2"/>
                <w:sz w:val="17"/>
              </w:rPr>
              <w:t xml:space="preserve"> </w:t>
            </w:r>
            <w:r>
              <w:rPr>
                <w:color w:val="231F20"/>
                <w:sz w:val="17"/>
              </w:rPr>
              <w:t>Swamp</w:t>
            </w:r>
          </w:p>
          <w:p w:rsidR="006A7A3F" w:rsidRDefault="00BC7372">
            <w:pPr>
              <w:pStyle w:val="TableParagraph"/>
              <w:numPr>
                <w:ilvl w:val="0"/>
                <w:numId w:val="817"/>
              </w:numPr>
              <w:tabs>
                <w:tab w:val="left" w:pos="305"/>
              </w:tabs>
              <w:spacing w:before="90" w:line="244" w:lineRule="auto"/>
              <w:ind w:right="399"/>
              <w:rPr>
                <w:sz w:val="17"/>
              </w:rPr>
            </w:pPr>
            <w:r>
              <w:rPr>
                <w:color w:val="231F20"/>
                <w:sz w:val="17"/>
              </w:rPr>
              <w:t>Cokum Bushland Reserve</w:t>
            </w:r>
          </w:p>
          <w:p w:rsidR="006A7A3F" w:rsidRDefault="00BC7372">
            <w:pPr>
              <w:pStyle w:val="TableParagraph"/>
              <w:numPr>
                <w:ilvl w:val="0"/>
                <w:numId w:val="817"/>
              </w:numPr>
              <w:tabs>
                <w:tab w:val="left" w:pos="305"/>
              </w:tabs>
              <w:spacing w:before="86"/>
              <w:rPr>
                <w:sz w:val="17"/>
              </w:rPr>
            </w:pPr>
            <w:r>
              <w:rPr>
                <w:color w:val="231F20"/>
                <w:sz w:val="17"/>
              </w:rPr>
              <w:t>Considines</w:t>
            </w:r>
          </w:p>
          <w:p w:rsidR="006A7A3F" w:rsidRDefault="00BC7372">
            <w:pPr>
              <w:pStyle w:val="TableParagraph"/>
              <w:numPr>
                <w:ilvl w:val="0"/>
                <w:numId w:val="817"/>
              </w:numPr>
              <w:tabs>
                <w:tab w:val="left" w:pos="305"/>
              </w:tabs>
              <w:spacing w:before="89"/>
              <w:rPr>
                <w:sz w:val="17"/>
              </w:rPr>
            </w:pPr>
            <w:r>
              <w:rPr>
                <w:color w:val="231F20"/>
                <w:sz w:val="17"/>
              </w:rPr>
              <w:t>Corack</w:t>
            </w:r>
            <w:r>
              <w:rPr>
                <w:color w:val="231F20"/>
                <w:spacing w:val="1"/>
                <w:sz w:val="17"/>
              </w:rPr>
              <w:t xml:space="preserve"> </w:t>
            </w:r>
            <w:r>
              <w:rPr>
                <w:color w:val="231F20"/>
                <w:sz w:val="17"/>
              </w:rPr>
              <w:t>Lake</w:t>
            </w:r>
          </w:p>
          <w:p w:rsidR="006A7A3F" w:rsidRDefault="00BC7372">
            <w:pPr>
              <w:pStyle w:val="TableParagraph"/>
              <w:numPr>
                <w:ilvl w:val="0"/>
                <w:numId w:val="817"/>
              </w:numPr>
              <w:tabs>
                <w:tab w:val="left" w:pos="305"/>
              </w:tabs>
              <w:spacing w:before="90"/>
              <w:rPr>
                <w:sz w:val="17"/>
              </w:rPr>
            </w:pPr>
            <w:r>
              <w:rPr>
                <w:color w:val="231F20"/>
                <w:sz w:val="17"/>
              </w:rPr>
              <w:t>Creswick</w:t>
            </w:r>
            <w:r>
              <w:rPr>
                <w:color w:val="231F20"/>
                <w:spacing w:val="23"/>
                <w:sz w:val="17"/>
              </w:rPr>
              <w:t xml:space="preserve"> </w:t>
            </w:r>
            <w:r>
              <w:rPr>
                <w:color w:val="231F20"/>
                <w:sz w:val="17"/>
              </w:rPr>
              <w:t>Swamp</w:t>
            </w:r>
          </w:p>
          <w:p w:rsidR="006A7A3F" w:rsidRDefault="00BC7372">
            <w:pPr>
              <w:pStyle w:val="TableParagraph"/>
              <w:numPr>
                <w:ilvl w:val="0"/>
                <w:numId w:val="817"/>
              </w:numPr>
              <w:tabs>
                <w:tab w:val="left" w:pos="305"/>
              </w:tabs>
              <w:spacing w:before="90"/>
              <w:rPr>
                <w:sz w:val="17"/>
              </w:rPr>
            </w:pPr>
            <w:r>
              <w:rPr>
                <w:color w:val="231F20"/>
                <w:sz w:val="17"/>
              </w:rPr>
              <w:t>Cronomby</w:t>
            </w:r>
            <w:r>
              <w:rPr>
                <w:color w:val="231F20"/>
                <w:spacing w:val="20"/>
                <w:sz w:val="17"/>
              </w:rPr>
              <w:t xml:space="preserve"> </w:t>
            </w:r>
            <w:r>
              <w:rPr>
                <w:color w:val="231F20"/>
                <w:spacing w:val="-5"/>
                <w:sz w:val="17"/>
              </w:rPr>
              <w:t>Tanks</w:t>
            </w:r>
          </w:p>
          <w:p w:rsidR="006A7A3F" w:rsidRDefault="00BC7372">
            <w:pPr>
              <w:pStyle w:val="TableParagraph"/>
              <w:numPr>
                <w:ilvl w:val="0"/>
                <w:numId w:val="817"/>
              </w:numPr>
              <w:tabs>
                <w:tab w:val="left" w:pos="305"/>
              </w:tabs>
              <w:spacing w:before="89"/>
              <w:rPr>
                <w:sz w:val="17"/>
              </w:rPr>
            </w:pPr>
            <w:r>
              <w:rPr>
                <w:color w:val="231F20"/>
                <w:sz w:val="17"/>
              </w:rPr>
              <w:t>Crow</w:t>
            </w:r>
            <w:r>
              <w:rPr>
                <w:color w:val="231F20"/>
                <w:spacing w:val="2"/>
                <w:sz w:val="17"/>
              </w:rPr>
              <w:t xml:space="preserve"> </w:t>
            </w:r>
            <w:r>
              <w:rPr>
                <w:color w:val="231F20"/>
                <w:sz w:val="17"/>
              </w:rPr>
              <w:t>Swamp</w:t>
            </w:r>
          </w:p>
          <w:p w:rsidR="006A7A3F" w:rsidRDefault="00BC7372">
            <w:pPr>
              <w:pStyle w:val="TableParagraph"/>
              <w:numPr>
                <w:ilvl w:val="0"/>
                <w:numId w:val="817"/>
              </w:numPr>
              <w:tabs>
                <w:tab w:val="left" w:pos="305"/>
              </w:tabs>
              <w:spacing w:before="90"/>
              <w:rPr>
                <w:sz w:val="17"/>
              </w:rPr>
            </w:pPr>
            <w:r>
              <w:rPr>
                <w:color w:val="231F20"/>
                <w:sz w:val="17"/>
              </w:rPr>
              <w:t>D Smith</w:t>
            </w:r>
            <w:r>
              <w:rPr>
                <w:color w:val="231F20"/>
                <w:spacing w:val="5"/>
                <w:sz w:val="17"/>
              </w:rPr>
              <w:t xml:space="preserve"> </w:t>
            </w:r>
            <w:r>
              <w:rPr>
                <w:color w:val="231F20"/>
                <w:sz w:val="17"/>
              </w:rPr>
              <w:t>Wetland</w:t>
            </w:r>
          </w:p>
          <w:p w:rsidR="006A7A3F" w:rsidRDefault="00BC7372">
            <w:pPr>
              <w:pStyle w:val="TableParagraph"/>
              <w:numPr>
                <w:ilvl w:val="0"/>
                <w:numId w:val="817"/>
              </w:numPr>
              <w:tabs>
                <w:tab w:val="left" w:pos="305"/>
              </w:tabs>
              <w:spacing w:before="89"/>
              <w:rPr>
                <w:sz w:val="17"/>
              </w:rPr>
            </w:pPr>
            <w:r>
              <w:rPr>
                <w:color w:val="231F20"/>
                <w:sz w:val="17"/>
              </w:rPr>
              <w:t>Fieldings</w:t>
            </w:r>
            <w:r>
              <w:rPr>
                <w:color w:val="231F20"/>
                <w:spacing w:val="2"/>
                <w:sz w:val="17"/>
              </w:rPr>
              <w:t xml:space="preserve"> </w:t>
            </w:r>
            <w:r>
              <w:rPr>
                <w:color w:val="231F20"/>
                <w:sz w:val="17"/>
              </w:rPr>
              <w:t>Dam</w:t>
            </w:r>
          </w:p>
          <w:p w:rsidR="006A7A3F" w:rsidRDefault="00BC7372">
            <w:pPr>
              <w:pStyle w:val="TableParagraph"/>
              <w:numPr>
                <w:ilvl w:val="0"/>
                <w:numId w:val="817"/>
              </w:numPr>
              <w:tabs>
                <w:tab w:val="left" w:pos="305"/>
              </w:tabs>
              <w:spacing w:before="90"/>
              <w:rPr>
                <w:sz w:val="17"/>
              </w:rPr>
            </w:pPr>
            <w:r>
              <w:rPr>
                <w:color w:val="231F20"/>
                <w:sz w:val="17"/>
              </w:rPr>
              <w:t>Goulds</w:t>
            </w:r>
            <w:r>
              <w:rPr>
                <w:color w:val="231F20"/>
                <w:spacing w:val="21"/>
                <w:sz w:val="17"/>
              </w:rPr>
              <w:t xml:space="preserve"> </w:t>
            </w:r>
            <w:r>
              <w:rPr>
                <w:color w:val="231F20"/>
                <w:sz w:val="17"/>
              </w:rPr>
              <w:t>Reserve</w:t>
            </w:r>
          </w:p>
          <w:p w:rsidR="006A7A3F" w:rsidRDefault="00BC7372">
            <w:pPr>
              <w:pStyle w:val="TableParagraph"/>
              <w:numPr>
                <w:ilvl w:val="0"/>
                <w:numId w:val="817"/>
              </w:numPr>
              <w:tabs>
                <w:tab w:val="left" w:pos="305"/>
              </w:tabs>
              <w:spacing w:before="89"/>
              <w:rPr>
                <w:sz w:val="17"/>
              </w:rPr>
            </w:pPr>
            <w:r>
              <w:rPr>
                <w:color w:val="231F20"/>
                <w:sz w:val="17"/>
              </w:rPr>
              <w:t>Greens</w:t>
            </w:r>
            <w:r>
              <w:rPr>
                <w:color w:val="231F20"/>
                <w:spacing w:val="18"/>
                <w:sz w:val="17"/>
              </w:rPr>
              <w:t xml:space="preserve"> </w:t>
            </w:r>
            <w:r>
              <w:rPr>
                <w:color w:val="231F20"/>
                <w:sz w:val="17"/>
              </w:rPr>
              <w:t>Wetland</w:t>
            </w:r>
          </w:p>
          <w:p w:rsidR="006A7A3F" w:rsidRDefault="00BC7372">
            <w:pPr>
              <w:pStyle w:val="TableParagraph"/>
              <w:numPr>
                <w:ilvl w:val="0"/>
                <w:numId w:val="817"/>
              </w:numPr>
              <w:tabs>
                <w:tab w:val="left" w:pos="305"/>
              </w:tabs>
              <w:spacing w:before="90"/>
              <w:rPr>
                <w:sz w:val="17"/>
              </w:rPr>
            </w:pPr>
            <w:r>
              <w:rPr>
                <w:color w:val="231F20"/>
                <w:sz w:val="17"/>
              </w:rPr>
              <w:t>Harcoans</w:t>
            </w:r>
            <w:r>
              <w:rPr>
                <w:color w:val="231F20"/>
                <w:spacing w:val="3"/>
                <w:sz w:val="17"/>
              </w:rPr>
              <w:t xml:space="preserve"> </w:t>
            </w:r>
            <w:r>
              <w:rPr>
                <w:color w:val="231F20"/>
                <w:sz w:val="17"/>
              </w:rPr>
              <w:t>Swamp</w:t>
            </w:r>
          </w:p>
          <w:p w:rsidR="006A7A3F" w:rsidRDefault="00BC7372">
            <w:pPr>
              <w:pStyle w:val="TableParagraph"/>
              <w:numPr>
                <w:ilvl w:val="0"/>
                <w:numId w:val="817"/>
              </w:numPr>
              <w:tabs>
                <w:tab w:val="left" w:pos="305"/>
              </w:tabs>
              <w:spacing w:before="89"/>
              <w:rPr>
                <w:sz w:val="17"/>
              </w:rPr>
            </w:pPr>
            <w:r>
              <w:rPr>
                <w:color w:val="231F20"/>
                <w:sz w:val="17"/>
              </w:rPr>
              <w:t>J Ferrier</w:t>
            </w:r>
            <w:r>
              <w:rPr>
                <w:color w:val="231F20"/>
                <w:spacing w:val="5"/>
                <w:sz w:val="17"/>
              </w:rPr>
              <w:t xml:space="preserve"> </w:t>
            </w:r>
            <w:r>
              <w:rPr>
                <w:color w:val="231F20"/>
                <w:sz w:val="17"/>
              </w:rPr>
              <w:t>Wetland</w:t>
            </w:r>
          </w:p>
          <w:p w:rsidR="006A7A3F" w:rsidRDefault="00BC7372">
            <w:pPr>
              <w:pStyle w:val="TableParagraph"/>
              <w:numPr>
                <w:ilvl w:val="0"/>
                <w:numId w:val="817"/>
              </w:numPr>
              <w:tabs>
                <w:tab w:val="left" w:pos="305"/>
              </w:tabs>
              <w:spacing w:before="90" w:line="244" w:lineRule="auto"/>
              <w:ind w:right="556"/>
              <w:rPr>
                <w:sz w:val="17"/>
              </w:rPr>
            </w:pPr>
            <w:r>
              <w:rPr>
                <w:color w:val="231F20"/>
                <w:sz w:val="17"/>
              </w:rPr>
              <w:t>Jeffcott Wildlife Reserve</w:t>
            </w:r>
          </w:p>
          <w:p w:rsidR="006A7A3F" w:rsidRDefault="00BC7372">
            <w:pPr>
              <w:pStyle w:val="TableParagraph"/>
              <w:numPr>
                <w:ilvl w:val="0"/>
                <w:numId w:val="817"/>
              </w:numPr>
              <w:tabs>
                <w:tab w:val="left" w:pos="305"/>
              </w:tabs>
              <w:spacing w:before="86"/>
              <w:rPr>
                <w:sz w:val="17"/>
              </w:rPr>
            </w:pPr>
            <w:r>
              <w:rPr>
                <w:color w:val="231F20"/>
                <w:sz w:val="17"/>
              </w:rPr>
              <w:t>Jesse</w:t>
            </w:r>
            <w:r>
              <w:rPr>
                <w:color w:val="231F20"/>
                <w:spacing w:val="2"/>
                <w:sz w:val="17"/>
              </w:rPr>
              <w:t xml:space="preserve"> </w:t>
            </w:r>
            <w:r>
              <w:rPr>
                <w:color w:val="231F20"/>
                <w:sz w:val="17"/>
              </w:rPr>
              <w:t>Swamp</w:t>
            </w:r>
          </w:p>
          <w:p w:rsidR="006A7A3F" w:rsidRDefault="00BC7372">
            <w:pPr>
              <w:pStyle w:val="TableParagraph"/>
              <w:numPr>
                <w:ilvl w:val="0"/>
                <w:numId w:val="817"/>
              </w:numPr>
              <w:tabs>
                <w:tab w:val="left" w:pos="305"/>
              </w:tabs>
              <w:spacing w:before="90"/>
              <w:rPr>
                <w:sz w:val="17"/>
              </w:rPr>
            </w:pPr>
            <w:r>
              <w:rPr>
                <w:color w:val="231F20"/>
                <w:sz w:val="17"/>
              </w:rPr>
              <w:t>Mahoods</w:t>
            </w:r>
            <w:r>
              <w:rPr>
                <w:color w:val="231F20"/>
                <w:spacing w:val="3"/>
                <w:sz w:val="17"/>
              </w:rPr>
              <w:t xml:space="preserve"> </w:t>
            </w:r>
            <w:r>
              <w:rPr>
                <w:color w:val="231F20"/>
                <w:sz w:val="17"/>
              </w:rPr>
              <w:t>Corner</w:t>
            </w:r>
          </w:p>
          <w:p w:rsidR="006A7A3F" w:rsidRDefault="00BC7372">
            <w:pPr>
              <w:pStyle w:val="TableParagraph"/>
              <w:numPr>
                <w:ilvl w:val="0"/>
                <w:numId w:val="817"/>
              </w:numPr>
              <w:tabs>
                <w:tab w:val="left" w:pos="305"/>
              </w:tabs>
              <w:spacing w:before="89" w:line="244" w:lineRule="auto"/>
              <w:ind w:right="660"/>
              <w:rPr>
                <w:sz w:val="17"/>
              </w:rPr>
            </w:pPr>
            <w:r>
              <w:rPr>
                <w:color w:val="231F20"/>
                <w:sz w:val="17"/>
              </w:rPr>
              <w:t xml:space="preserve">Morton </w:t>
            </w:r>
            <w:r>
              <w:rPr>
                <w:color w:val="231F20"/>
                <w:spacing w:val="-3"/>
                <w:sz w:val="17"/>
              </w:rPr>
              <w:t xml:space="preserve">Plains </w:t>
            </w:r>
            <w:r>
              <w:rPr>
                <w:color w:val="231F20"/>
                <w:sz w:val="17"/>
              </w:rPr>
              <w:t>Reserve</w:t>
            </w:r>
          </w:p>
          <w:p w:rsidR="006A7A3F" w:rsidRDefault="00BC7372">
            <w:pPr>
              <w:pStyle w:val="TableParagraph"/>
              <w:numPr>
                <w:ilvl w:val="0"/>
                <w:numId w:val="817"/>
              </w:numPr>
              <w:tabs>
                <w:tab w:val="left" w:pos="305"/>
              </w:tabs>
              <w:spacing w:before="87"/>
              <w:rPr>
                <w:sz w:val="17"/>
              </w:rPr>
            </w:pPr>
            <w:r>
              <w:rPr>
                <w:color w:val="231F20"/>
                <w:sz w:val="17"/>
              </w:rPr>
              <w:t>Mutton</w:t>
            </w:r>
            <w:r>
              <w:rPr>
                <w:color w:val="231F20"/>
                <w:spacing w:val="3"/>
                <w:sz w:val="17"/>
              </w:rPr>
              <w:t xml:space="preserve"> </w:t>
            </w:r>
            <w:r>
              <w:rPr>
                <w:color w:val="231F20"/>
                <w:sz w:val="17"/>
              </w:rPr>
              <w:t>Swamp</w:t>
            </w:r>
          </w:p>
          <w:p w:rsidR="006A7A3F" w:rsidRDefault="00BC7372">
            <w:pPr>
              <w:pStyle w:val="TableParagraph"/>
              <w:numPr>
                <w:ilvl w:val="0"/>
                <w:numId w:val="817"/>
              </w:numPr>
              <w:tabs>
                <w:tab w:val="left" w:pos="305"/>
              </w:tabs>
              <w:spacing w:before="89"/>
              <w:rPr>
                <w:sz w:val="17"/>
              </w:rPr>
            </w:pPr>
            <w:r>
              <w:rPr>
                <w:color w:val="231F20"/>
                <w:sz w:val="17"/>
              </w:rPr>
              <w:t>Opies</w:t>
            </w:r>
            <w:r>
              <w:rPr>
                <w:color w:val="231F20"/>
                <w:spacing w:val="1"/>
                <w:sz w:val="17"/>
              </w:rPr>
              <w:t xml:space="preserve"> </w:t>
            </w:r>
            <w:r>
              <w:rPr>
                <w:color w:val="231F20"/>
                <w:sz w:val="17"/>
              </w:rPr>
              <w:t>Dam</w:t>
            </w:r>
          </w:p>
          <w:p w:rsidR="006A7A3F" w:rsidRDefault="00BC7372">
            <w:pPr>
              <w:pStyle w:val="TableParagraph"/>
              <w:numPr>
                <w:ilvl w:val="0"/>
                <w:numId w:val="817"/>
              </w:numPr>
              <w:tabs>
                <w:tab w:val="left" w:pos="305"/>
              </w:tabs>
              <w:spacing w:before="90"/>
              <w:rPr>
                <w:sz w:val="17"/>
              </w:rPr>
            </w:pPr>
            <w:r>
              <w:rPr>
                <w:color w:val="231F20"/>
                <w:sz w:val="17"/>
              </w:rPr>
              <w:t>Paul</w:t>
            </w:r>
            <w:r>
              <w:rPr>
                <w:color w:val="231F20"/>
                <w:spacing w:val="2"/>
                <w:sz w:val="17"/>
              </w:rPr>
              <w:t xml:space="preserve"> </w:t>
            </w:r>
            <w:r>
              <w:rPr>
                <w:color w:val="231F20"/>
                <w:sz w:val="17"/>
              </w:rPr>
              <w:t>Barclay</w:t>
            </w:r>
          </w:p>
          <w:p w:rsidR="006A7A3F" w:rsidRDefault="00BC7372">
            <w:pPr>
              <w:pStyle w:val="TableParagraph"/>
              <w:numPr>
                <w:ilvl w:val="0"/>
                <w:numId w:val="817"/>
              </w:numPr>
              <w:tabs>
                <w:tab w:val="left" w:pos="305"/>
              </w:tabs>
              <w:spacing w:before="89"/>
              <w:rPr>
                <w:sz w:val="17"/>
              </w:rPr>
            </w:pPr>
            <w:r>
              <w:rPr>
                <w:color w:val="231F20"/>
                <w:sz w:val="17"/>
              </w:rPr>
              <w:t>Pinedale</w:t>
            </w:r>
          </w:p>
          <w:p w:rsidR="006A7A3F" w:rsidRDefault="00BC7372">
            <w:pPr>
              <w:pStyle w:val="TableParagraph"/>
              <w:numPr>
                <w:ilvl w:val="0"/>
                <w:numId w:val="817"/>
              </w:numPr>
              <w:tabs>
                <w:tab w:val="left" w:pos="305"/>
              </w:tabs>
              <w:spacing w:before="90"/>
              <w:rPr>
                <w:sz w:val="17"/>
              </w:rPr>
            </w:pPr>
            <w:r>
              <w:rPr>
                <w:color w:val="231F20"/>
                <w:sz w:val="17"/>
              </w:rPr>
              <w:t>Poyner</w:t>
            </w:r>
          </w:p>
          <w:p w:rsidR="006A7A3F" w:rsidRDefault="00BC7372">
            <w:pPr>
              <w:pStyle w:val="TableParagraph"/>
              <w:numPr>
                <w:ilvl w:val="0"/>
                <w:numId w:val="817"/>
              </w:numPr>
              <w:tabs>
                <w:tab w:val="left" w:pos="305"/>
              </w:tabs>
              <w:spacing w:before="89"/>
              <w:rPr>
                <w:sz w:val="17"/>
              </w:rPr>
            </w:pPr>
            <w:r>
              <w:rPr>
                <w:color w:val="231F20"/>
                <w:sz w:val="17"/>
              </w:rPr>
              <w:t>R Ferriers</w:t>
            </w:r>
            <w:r>
              <w:rPr>
                <w:color w:val="231F20"/>
                <w:spacing w:val="5"/>
                <w:sz w:val="17"/>
              </w:rPr>
              <w:t xml:space="preserve"> </w:t>
            </w:r>
            <w:r>
              <w:rPr>
                <w:color w:val="231F20"/>
                <w:sz w:val="17"/>
              </w:rPr>
              <w:t>Dam</w:t>
            </w:r>
          </w:p>
          <w:p w:rsidR="006A7A3F" w:rsidRDefault="00BC7372">
            <w:pPr>
              <w:pStyle w:val="TableParagraph"/>
              <w:numPr>
                <w:ilvl w:val="0"/>
                <w:numId w:val="817"/>
              </w:numPr>
              <w:tabs>
                <w:tab w:val="left" w:pos="305"/>
              </w:tabs>
              <w:spacing w:before="90"/>
              <w:rPr>
                <w:sz w:val="17"/>
              </w:rPr>
            </w:pPr>
            <w:r>
              <w:rPr>
                <w:color w:val="231F20"/>
                <w:sz w:val="17"/>
              </w:rPr>
              <w:t>Rickard Glenys</w:t>
            </w:r>
            <w:r>
              <w:rPr>
                <w:color w:val="231F20"/>
                <w:spacing w:val="12"/>
                <w:sz w:val="17"/>
              </w:rPr>
              <w:t xml:space="preserve"> </w:t>
            </w:r>
            <w:r>
              <w:rPr>
                <w:color w:val="231F20"/>
                <w:sz w:val="17"/>
              </w:rPr>
              <w:t>Dam</w:t>
            </w:r>
          </w:p>
          <w:p w:rsidR="006A7A3F" w:rsidRDefault="00BC7372">
            <w:pPr>
              <w:pStyle w:val="TableParagraph"/>
              <w:numPr>
                <w:ilvl w:val="0"/>
                <w:numId w:val="817"/>
              </w:numPr>
              <w:tabs>
                <w:tab w:val="left" w:pos="305"/>
              </w:tabs>
              <w:spacing w:before="90"/>
              <w:rPr>
                <w:sz w:val="17"/>
              </w:rPr>
            </w:pPr>
            <w:r>
              <w:rPr>
                <w:color w:val="231F20"/>
                <w:sz w:val="17"/>
              </w:rPr>
              <w:t>Roselyn</w:t>
            </w:r>
            <w:r>
              <w:rPr>
                <w:color w:val="231F20"/>
                <w:spacing w:val="2"/>
                <w:sz w:val="17"/>
              </w:rPr>
              <w:t xml:space="preserve"> </w:t>
            </w:r>
            <w:r>
              <w:rPr>
                <w:color w:val="231F20"/>
                <w:sz w:val="17"/>
              </w:rPr>
              <w:t>Wetland</w:t>
            </w:r>
          </w:p>
          <w:p w:rsidR="006A7A3F" w:rsidRDefault="00BC7372">
            <w:pPr>
              <w:pStyle w:val="TableParagraph"/>
              <w:numPr>
                <w:ilvl w:val="0"/>
                <w:numId w:val="817"/>
              </w:numPr>
              <w:tabs>
                <w:tab w:val="left" w:pos="305"/>
              </w:tabs>
              <w:spacing w:before="89"/>
              <w:rPr>
                <w:sz w:val="17"/>
              </w:rPr>
            </w:pPr>
            <w:r>
              <w:rPr>
                <w:color w:val="231F20"/>
                <w:sz w:val="17"/>
              </w:rPr>
              <w:t>Sawpit</w:t>
            </w:r>
            <w:r>
              <w:rPr>
                <w:color w:val="231F20"/>
                <w:spacing w:val="26"/>
                <w:sz w:val="17"/>
              </w:rPr>
              <w:t xml:space="preserve"> </w:t>
            </w:r>
            <w:r>
              <w:rPr>
                <w:color w:val="231F20"/>
                <w:sz w:val="17"/>
              </w:rPr>
              <w:t>Swamp</w:t>
            </w:r>
          </w:p>
          <w:p w:rsidR="006A7A3F" w:rsidRDefault="00BC7372">
            <w:pPr>
              <w:pStyle w:val="TableParagraph"/>
              <w:numPr>
                <w:ilvl w:val="0"/>
                <w:numId w:val="817"/>
              </w:numPr>
              <w:tabs>
                <w:tab w:val="left" w:pos="305"/>
              </w:tabs>
              <w:spacing w:before="90"/>
              <w:rPr>
                <w:sz w:val="17"/>
              </w:rPr>
            </w:pPr>
            <w:r>
              <w:rPr>
                <w:color w:val="231F20"/>
                <w:sz w:val="17"/>
              </w:rPr>
              <w:t>Schultz/Koschitzke</w:t>
            </w:r>
          </w:p>
          <w:p w:rsidR="006A7A3F" w:rsidRDefault="00BC7372">
            <w:pPr>
              <w:pStyle w:val="TableParagraph"/>
              <w:numPr>
                <w:ilvl w:val="0"/>
                <w:numId w:val="817"/>
              </w:numPr>
              <w:tabs>
                <w:tab w:val="left" w:pos="305"/>
              </w:tabs>
              <w:spacing w:before="89"/>
              <w:rPr>
                <w:sz w:val="17"/>
              </w:rPr>
            </w:pPr>
            <w:r>
              <w:rPr>
                <w:color w:val="231F20"/>
                <w:spacing w:val="-4"/>
                <w:sz w:val="17"/>
              </w:rPr>
              <w:t>Tarkedia</w:t>
            </w:r>
            <w:r>
              <w:rPr>
                <w:color w:val="231F20"/>
                <w:spacing w:val="2"/>
                <w:sz w:val="17"/>
              </w:rPr>
              <w:t xml:space="preserve"> </w:t>
            </w:r>
            <w:r>
              <w:rPr>
                <w:color w:val="231F20"/>
                <w:sz w:val="17"/>
              </w:rPr>
              <w:t>Dam</w:t>
            </w:r>
          </w:p>
          <w:p w:rsidR="006A7A3F" w:rsidRDefault="00BC7372">
            <w:pPr>
              <w:pStyle w:val="TableParagraph"/>
              <w:numPr>
                <w:ilvl w:val="0"/>
                <w:numId w:val="817"/>
              </w:numPr>
              <w:tabs>
                <w:tab w:val="left" w:pos="305"/>
              </w:tabs>
              <w:spacing w:before="90"/>
              <w:rPr>
                <w:sz w:val="17"/>
              </w:rPr>
            </w:pPr>
            <w:r>
              <w:rPr>
                <w:color w:val="231F20"/>
                <w:sz w:val="17"/>
              </w:rPr>
              <w:t>Uttiwillock</w:t>
            </w:r>
            <w:r>
              <w:rPr>
                <w:color w:val="231F20"/>
                <w:spacing w:val="2"/>
                <w:sz w:val="17"/>
              </w:rPr>
              <w:t xml:space="preserve"> </w:t>
            </w:r>
            <w:r>
              <w:rPr>
                <w:color w:val="231F20"/>
                <w:sz w:val="17"/>
              </w:rPr>
              <w:t>Wetland</w:t>
            </w:r>
          </w:p>
          <w:p w:rsidR="006A7A3F" w:rsidRDefault="00BC7372">
            <w:pPr>
              <w:pStyle w:val="TableParagraph"/>
              <w:numPr>
                <w:ilvl w:val="0"/>
                <w:numId w:val="817"/>
              </w:numPr>
              <w:tabs>
                <w:tab w:val="left" w:pos="305"/>
              </w:tabs>
              <w:spacing w:before="89"/>
              <w:rPr>
                <w:sz w:val="17"/>
              </w:rPr>
            </w:pPr>
            <w:r>
              <w:rPr>
                <w:color w:val="231F20"/>
                <w:spacing w:val="-3"/>
                <w:sz w:val="17"/>
              </w:rPr>
              <w:t>Wal Wal</w:t>
            </w:r>
            <w:r>
              <w:rPr>
                <w:color w:val="231F20"/>
                <w:spacing w:val="9"/>
                <w:sz w:val="17"/>
              </w:rPr>
              <w:t xml:space="preserve"> </w:t>
            </w:r>
            <w:r>
              <w:rPr>
                <w:color w:val="231F20"/>
                <w:sz w:val="17"/>
              </w:rPr>
              <w:t>Swamp</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16"/>
              </w:numPr>
              <w:tabs>
                <w:tab w:val="left" w:pos="305"/>
              </w:tabs>
              <w:spacing w:before="68"/>
              <w:rPr>
                <w:sz w:val="17"/>
              </w:rPr>
            </w:pPr>
            <w:r>
              <w:rPr>
                <w:color w:val="231F20"/>
                <w:sz w:val="17"/>
              </w:rPr>
              <w:t>Barbers</w:t>
            </w:r>
            <w:r>
              <w:rPr>
                <w:color w:val="231F20"/>
                <w:spacing w:val="3"/>
                <w:sz w:val="17"/>
              </w:rPr>
              <w:t xml:space="preserve"> </w:t>
            </w:r>
            <w:r>
              <w:rPr>
                <w:color w:val="231F20"/>
                <w:sz w:val="17"/>
              </w:rPr>
              <w:t>Swamp</w:t>
            </w:r>
          </w:p>
          <w:p w:rsidR="006A7A3F" w:rsidRDefault="00BC7372">
            <w:pPr>
              <w:pStyle w:val="TableParagraph"/>
              <w:numPr>
                <w:ilvl w:val="0"/>
                <w:numId w:val="816"/>
              </w:numPr>
              <w:tabs>
                <w:tab w:val="left" w:pos="305"/>
              </w:tabs>
              <w:spacing w:before="89"/>
              <w:rPr>
                <w:sz w:val="17"/>
              </w:rPr>
            </w:pPr>
            <w:r>
              <w:rPr>
                <w:color w:val="231F20"/>
                <w:sz w:val="17"/>
              </w:rPr>
              <w:t>Broom</w:t>
            </w:r>
            <w:r>
              <w:rPr>
                <w:color w:val="231F20"/>
                <w:spacing w:val="19"/>
                <w:sz w:val="17"/>
              </w:rPr>
              <w:t xml:space="preserve"> </w:t>
            </w:r>
            <w:r>
              <w:rPr>
                <w:color w:val="231F20"/>
                <w:spacing w:val="-6"/>
                <w:sz w:val="17"/>
              </w:rPr>
              <w:t>Tank</w:t>
            </w:r>
          </w:p>
          <w:p w:rsidR="006A7A3F" w:rsidRDefault="00BC7372">
            <w:pPr>
              <w:pStyle w:val="TableParagraph"/>
              <w:numPr>
                <w:ilvl w:val="0"/>
                <w:numId w:val="816"/>
              </w:numPr>
              <w:tabs>
                <w:tab w:val="left" w:pos="305"/>
              </w:tabs>
              <w:spacing w:before="90"/>
              <w:rPr>
                <w:sz w:val="17"/>
              </w:rPr>
            </w:pPr>
            <w:r>
              <w:rPr>
                <w:color w:val="231F20"/>
                <w:sz w:val="17"/>
              </w:rPr>
              <w:t>Bull</w:t>
            </w:r>
            <w:r>
              <w:rPr>
                <w:color w:val="231F20"/>
                <w:spacing w:val="21"/>
                <w:sz w:val="17"/>
              </w:rPr>
              <w:t xml:space="preserve"> </w:t>
            </w:r>
            <w:r>
              <w:rPr>
                <w:color w:val="231F20"/>
                <w:sz w:val="17"/>
              </w:rPr>
              <w:t>Swamp</w:t>
            </w:r>
          </w:p>
          <w:p w:rsidR="006A7A3F" w:rsidRDefault="00BC7372">
            <w:pPr>
              <w:pStyle w:val="TableParagraph"/>
              <w:numPr>
                <w:ilvl w:val="0"/>
                <w:numId w:val="816"/>
              </w:numPr>
              <w:tabs>
                <w:tab w:val="left" w:pos="305"/>
              </w:tabs>
              <w:spacing w:before="90"/>
              <w:rPr>
                <w:sz w:val="17"/>
              </w:rPr>
            </w:pPr>
            <w:r>
              <w:rPr>
                <w:color w:val="231F20"/>
                <w:sz w:val="17"/>
              </w:rPr>
              <w:t>Carapugna</w:t>
            </w:r>
          </w:p>
          <w:p w:rsidR="006A7A3F" w:rsidRDefault="00BC7372">
            <w:pPr>
              <w:pStyle w:val="TableParagraph"/>
              <w:numPr>
                <w:ilvl w:val="0"/>
                <w:numId w:val="816"/>
              </w:numPr>
              <w:tabs>
                <w:tab w:val="left" w:pos="305"/>
              </w:tabs>
              <w:spacing w:before="89"/>
              <w:rPr>
                <w:sz w:val="17"/>
              </w:rPr>
            </w:pPr>
            <w:r>
              <w:rPr>
                <w:color w:val="231F20"/>
                <w:sz w:val="17"/>
              </w:rPr>
              <w:t>Challambra</w:t>
            </w:r>
            <w:r>
              <w:rPr>
                <w:color w:val="231F20"/>
                <w:spacing w:val="5"/>
                <w:sz w:val="17"/>
              </w:rPr>
              <w:t xml:space="preserve"> </w:t>
            </w:r>
            <w:r>
              <w:rPr>
                <w:color w:val="231F20"/>
                <w:sz w:val="17"/>
              </w:rPr>
              <w:t>Swamp</w:t>
            </w:r>
          </w:p>
          <w:p w:rsidR="006A7A3F" w:rsidRDefault="00BC7372">
            <w:pPr>
              <w:pStyle w:val="TableParagraph"/>
              <w:numPr>
                <w:ilvl w:val="0"/>
                <w:numId w:val="816"/>
              </w:numPr>
              <w:tabs>
                <w:tab w:val="left" w:pos="305"/>
              </w:tabs>
              <w:spacing w:before="90"/>
              <w:rPr>
                <w:sz w:val="17"/>
              </w:rPr>
            </w:pPr>
            <w:r>
              <w:rPr>
                <w:color w:val="231F20"/>
                <w:sz w:val="17"/>
              </w:rPr>
              <w:t>Chirrup</w:t>
            </w:r>
            <w:r>
              <w:rPr>
                <w:color w:val="231F20"/>
                <w:spacing w:val="2"/>
                <w:sz w:val="17"/>
              </w:rPr>
              <w:t xml:space="preserve"> </w:t>
            </w:r>
            <w:r>
              <w:rPr>
                <w:color w:val="231F20"/>
                <w:sz w:val="17"/>
              </w:rPr>
              <w:t>Swamp</w:t>
            </w:r>
          </w:p>
          <w:p w:rsidR="006A7A3F" w:rsidRDefault="00BC7372">
            <w:pPr>
              <w:pStyle w:val="TableParagraph"/>
              <w:numPr>
                <w:ilvl w:val="0"/>
                <w:numId w:val="816"/>
              </w:numPr>
              <w:tabs>
                <w:tab w:val="left" w:pos="305"/>
              </w:tabs>
              <w:spacing w:before="89" w:line="244" w:lineRule="auto"/>
              <w:ind w:right="399"/>
              <w:rPr>
                <w:sz w:val="17"/>
              </w:rPr>
            </w:pPr>
            <w:r>
              <w:rPr>
                <w:color w:val="231F20"/>
                <w:sz w:val="17"/>
              </w:rPr>
              <w:t>Cokum Bushland Reserve</w:t>
            </w:r>
          </w:p>
          <w:p w:rsidR="006A7A3F" w:rsidRDefault="00BC7372">
            <w:pPr>
              <w:pStyle w:val="TableParagraph"/>
              <w:numPr>
                <w:ilvl w:val="0"/>
                <w:numId w:val="816"/>
              </w:numPr>
              <w:tabs>
                <w:tab w:val="left" w:pos="305"/>
              </w:tabs>
              <w:spacing w:before="86"/>
              <w:rPr>
                <w:sz w:val="17"/>
              </w:rPr>
            </w:pPr>
            <w:r>
              <w:rPr>
                <w:color w:val="231F20"/>
                <w:sz w:val="17"/>
              </w:rPr>
              <w:t>Considines</w:t>
            </w:r>
          </w:p>
          <w:p w:rsidR="006A7A3F" w:rsidRDefault="00BC7372">
            <w:pPr>
              <w:pStyle w:val="TableParagraph"/>
              <w:numPr>
                <w:ilvl w:val="0"/>
                <w:numId w:val="816"/>
              </w:numPr>
              <w:tabs>
                <w:tab w:val="left" w:pos="305"/>
              </w:tabs>
              <w:spacing w:before="90"/>
              <w:rPr>
                <w:sz w:val="17"/>
              </w:rPr>
            </w:pPr>
            <w:r>
              <w:rPr>
                <w:color w:val="231F20"/>
                <w:sz w:val="17"/>
              </w:rPr>
              <w:t>Corack</w:t>
            </w:r>
            <w:r>
              <w:rPr>
                <w:color w:val="231F20"/>
                <w:spacing w:val="1"/>
                <w:sz w:val="17"/>
              </w:rPr>
              <w:t xml:space="preserve"> </w:t>
            </w:r>
            <w:r>
              <w:rPr>
                <w:color w:val="231F20"/>
                <w:sz w:val="17"/>
              </w:rPr>
              <w:t>Lake</w:t>
            </w:r>
          </w:p>
          <w:p w:rsidR="006A7A3F" w:rsidRDefault="00BC7372">
            <w:pPr>
              <w:pStyle w:val="TableParagraph"/>
              <w:numPr>
                <w:ilvl w:val="0"/>
                <w:numId w:val="816"/>
              </w:numPr>
              <w:tabs>
                <w:tab w:val="left" w:pos="305"/>
              </w:tabs>
              <w:spacing w:before="90"/>
              <w:rPr>
                <w:sz w:val="17"/>
              </w:rPr>
            </w:pPr>
            <w:r>
              <w:rPr>
                <w:color w:val="231F20"/>
                <w:sz w:val="17"/>
              </w:rPr>
              <w:t>Coundons</w:t>
            </w:r>
            <w:r>
              <w:rPr>
                <w:color w:val="231F20"/>
                <w:spacing w:val="3"/>
                <w:sz w:val="17"/>
              </w:rPr>
              <w:t xml:space="preserve"> </w:t>
            </w:r>
            <w:r>
              <w:rPr>
                <w:color w:val="231F20"/>
                <w:sz w:val="17"/>
              </w:rPr>
              <w:t>Wetland</w:t>
            </w:r>
          </w:p>
          <w:p w:rsidR="006A7A3F" w:rsidRDefault="00BC7372">
            <w:pPr>
              <w:pStyle w:val="TableParagraph"/>
              <w:numPr>
                <w:ilvl w:val="0"/>
                <w:numId w:val="816"/>
              </w:numPr>
              <w:tabs>
                <w:tab w:val="left" w:pos="305"/>
              </w:tabs>
              <w:spacing w:before="89"/>
              <w:rPr>
                <w:sz w:val="17"/>
              </w:rPr>
            </w:pPr>
            <w:r>
              <w:rPr>
                <w:color w:val="231F20"/>
                <w:sz w:val="17"/>
              </w:rPr>
              <w:t>Creswick</w:t>
            </w:r>
            <w:r>
              <w:rPr>
                <w:color w:val="231F20"/>
                <w:spacing w:val="23"/>
                <w:sz w:val="17"/>
              </w:rPr>
              <w:t xml:space="preserve"> </w:t>
            </w:r>
            <w:r>
              <w:rPr>
                <w:color w:val="231F20"/>
                <w:sz w:val="17"/>
              </w:rPr>
              <w:t>Swamp</w:t>
            </w:r>
          </w:p>
          <w:p w:rsidR="006A7A3F" w:rsidRDefault="00BC7372">
            <w:pPr>
              <w:pStyle w:val="TableParagraph"/>
              <w:numPr>
                <w:ilvl w:val="0"/>
                <w:numId w:val="816"/>
              </w:numPr>
              <w:tabs>
                <w:tab w:val="left" w:pos="305"/>
              </w:tabs>
              <w:spacing w:before="90"/>
              <w:rPr>
                <w:sz w:val="17"/>
              </w:rPr>
            </w:pPr>
            <w:r>
              <w:rPr>
                <w:color w:val="231F20"/>
                <w:sz w:val="17"/>
              </w:rPr>
              <w:t>Cronomby</w:t>
            </w:r>
            <w:r>
              <w:rPr>
                <w:color w:val="231F20"/>
                <w:spacing w:val="20"/>
                <w:sz w:val="17"/>
              </w:rPr>
              <w:t xml:space="preserve"> </w:t>
            </w:r>
            <w:r>
              <w:rPr>
                <w:color w:val="231F20"/>
                <w:spacing w:val="-5"/>
                <w:sz w:val="17"/>
              </w:rPr>
              <w:t>Tanks</w:t>
            </w:r>
          </w:p>
          <w:p w:rsidR="006A7A3F" w:rsidRDefault="00BC7372">
            <w:pPr>
              <w:pStyle w:val="TableParagraph"/>
              <w:numPr>
                <w:ilvl w:val="0"/>
                <w:numId w:val="816"/>
              </w:numPr>
              <w:tabs>
                <w:tab w:val="left" w:pos="305"/>
              </w:tabs>
              <w:spacing w:before="89"/>
              <w:rPr>
                <w:sz w:val="17"/>
              </w:rPr>
            </w:pPr>
            <w:r>
              <w:rPr>
                <w:color w:val="231F20"/>
                <w:sz w:val="17"/>
              </w:rPr>
              <w:t>Crow</w:t>
            </w:r>
            <w:r>
              <w:rPr>
                <w:color w:val="231F20"/>
                <w:spacing w:val="2"/>
                <w:sz w:val="17"/>
              </w:rPr>
              <w:t xml:space="preserve"> </w:t>
            </w:r>
            <w:r>
              <w:rPr>
                <w:color w:val="231F20"/>
                <w:sz w:val="17"/>
              </w:rPr>
              <w:t>Swamp</w:t>
            </w:r>
          </w:p>
          <w:p w:rsidR="006A7A3F" w:rsidRDefault="00BC7372">
            <w:pPr>
              <w:pStyle w:val="TableParagraph"/>
              <w:numPr>
                <w:ilvl w:val="0"/>
                <w:numId w:val="816"/>
              </w:numPr>
              <w:tabs>
                <w:tab w:val="left" w:pos="305"/>
              </w:tabs>
              <w:spacing w:before="90"/>
              <w:rPr>
                <w:sz w:val="17"/>
              </w:rPr>
            </w:pPr>
            <w:r>
              <w:rPr>
                <w:color w:val="231F20"/>
                <w:sz w:val="17"/>
              </w:rPr>
              <w:t>D Smith</w:t>
            </w:r>
            <w:r>
              <w:rPr>
                <w:color w:val="231F20"/>
                <w:spacing w:val="5"/>
                <w:sz w:val="17"/>
              </w:rPr>
              <w:t xml:space="preserve"> </w:t>
            </w:r>
            <w:r>
              <w:rPr>
                <w:color w:val="231F20"/>
                <w:sz w:val="17"/>
              </w:rPr>
              <w:t>Wetland</w:t>
            </w:r>
          </w:p>
          <w:p w:rsidR="006A7A3F" w:rsidRDefault="00BC7372">
            <w:pPr>
              <w:pStyle w:val="TableParagraph"/>
              <w:numPr>
                <w:ilvl w:val="0"/>
                <w:numId w:val="816"/>
              </w:numPr>
              <w:tabs>
                <w:tab w:val="left" w:pos="305"/>
              </w:tabs>
              <w:spacing w:before="89"/>
              <w:rPr>
                <w:sz w:val="17"/>
              </w:rPr>
            </w:pPr>
            <w:r>
              <w:rPr>
                <w:color w:val="231F20"/>
                <w:sz w:val="17"/>
              </w:rPr>
              <w:t>Falla</w:t>
            </w:r>
            <w:r>
              <w:rPr>
                <w:color w:val="231F20"/>
                <w:spacing w:val="1"/>
                <w:sz w:val="17"/>
              </w:rPr>
              <w:t xml:space="preserve"> </w:t>
            </w:r>
            <w:r>
              <w:rPr>
                <w:color w:val="231F20"/>
                <w:sz w:val="17"/>
              </w:rPr>
              <w:t>Dam</w:t>
            </w:r>
          </w:p>
          <w:p w:rsidR="006A7A3F" w:rsidRDefault="00BC7372">
            <w:pPr>
              <w:pStyle w:val="TableParagraph"/>
              <w:numPr>
                <w:ilvl w:val="0"/>
                <w:numId w:val="816"/>
              </w:numPr>
              <w:tabs>
                <w:tab w:val="left" w:pos="305"/>
              </w:tabs>
              <w:spacing w:before="90"/>
              <w:rPr>
                <w:sz w:val="17"/>
              </w:rPr>
            </w:pPr>
            <w:r>
              <w:rPr>
                <w:color w:val="231F20"/>
                <w:sz w:val="17"/>
              </w:rPr>
              <w:t>Fieldings</w:t>
            </w:r>
            <w:r>
              <w:rPr>
                <w:color w:val="231F20"/>
                <w:spacing w:val="2"/>
                <w:sz w:val="17"/>
              </w:rPr>
              <w:t xml:space="preserve"> </w:t>
            </w:r>
            <w:r>
              <w:rPr>
                <w:color w:val="231F20"/>
                <w:sz w:val="17"/>
              </w:rPr>
              <w:t>Dam</w:t>
            </w:r>
          </w:p>
          <w:p w:rsidR="006A7A3F" w:rsidRDefault="00BC7372">
            <w:pPr>
              <w:pStyle w:val="TableParagraph"/>
              <w:numPr>
                <w:ilvl w:val="0"/>
                <w:numId w:val="816"/>
              </w:numPr>
              <w:tabs>
                <w:tab w:val="left" w:pos="305"/>
              </w:tabs>
              <w:spacing w:before="89"/>
              <w:rPr>
                <w:sz w:val="17"/>
              </w:rPr>
            </w:pPr>
            <w:r>
              <w:rPr>
                <w:color w:val="231F20"/>
                <w:sz w:val="17"/>
              </w:rPr>
              <w:t>Goulds</w:t>
            </w:r>
            <w:r>
              <w:rPr>
                <w:color w:val="231F20"/>
                <w:spacing w:val="21"/>
                <w:sz w:val="17"/>
              </w:rPr>
              <w:t xml:space="preserve"> </w:t>
            </w:r>
            <w:r>
              <w:rPr>
                <w:color w:val="231F20"/>
                <w:sz w:val="17"/>
              </w:rPr>
              <w:t>Reserve</w:t>
            </w:r>
          </w:p>
          <w:p w:rsidR="006A7A3F" w:rsidRDefault="00BC7372">
            <w:pPr>
              <w:pStyle w:val="TableParagraph"/>
              <w:numPr>
                <w:ilvl w:val="0"/>
                <w:numId w:val="816"/>
              </w:numPr>
              <w:tabs>
                <w:tab w:val="left" w:pos="305"/>
              </w:tabs>
              <w:spacing w:before="90"/>
              <w:rPr>
                <w:sz w:val="17"/>
              </w:rPr>
            </w:pPr>
            <w:r>
              <w:rPr>
                <w:color w:val="231F20"/>
                <w:sz w:val="17"/>
              </w:rPr>
              <w:t>Greens</w:t>
            </w:r>
            <w:r>
              <w:rPr>
                <w:color w:val="231F20"/>
                <w:spacing w:val="18"/>
                <w:sz w:val="17"/>
              </w:rPr>
              <w:t xml:space="preserve"> </w:t>
            </w:r>
            <w:r>
              <w:rPr>
                <w:color w:val="231F20"/>
                <w:sz w:val="17"/>
              </w:rPr>
              <w:t>Wetland</w:t>
            </w:r>
          </w:p>
          <w:p w:rsidR="006A7A3F" w:rsidRDefault="00BC7372">
            <w:pPr>
              <w:pStyle w:val="TableParagraph"/>
              <w:numPr>
                <w:ilvl w:val="0"/>
                <w:numId w:val="816"/>
              </w:numPr>
              <w:tabs>
                <w:tab w:val="left" w:pos="305"/>
              </w:tabs>
              <w:spacing w:before="90"/>
              <w:rPr>
                <w:sz w:val="17"/>
              </w:rPr>
            </w:pPr>
            <w:r>
              <w:rPr>
                <w:color w:val="231F20"/>
                <w:sz w:val="17"/>
              </w:rPr>
              <w:t>Harcoans</w:t>
            </w:r>
            <w:r>
              <w:rPr>
                <w:color w:val="231F20"/>
                <w:spacing w:val="24"/>
                <w:sz w:val="17"/>
              </w:rPr>
              <w:t xml:space="preserve"> </w:t>
            </w:r>
            <w:r>
              <w:rPr>
                <w:color w:val="231F20"/>
                <w:sz w:val="17"/>
              </w:rPr>
              <w:t>Swamp</w:t>
            </w:r>
          </w:p>
          <w:p w:rsidR="006A7A3F" w:rsidRDefault="00BC7372">
            <w:pPr>
              <w:pStyle w:val="TableParagraph"/>
              <w:numPr>
                <w:ilvl w:val="0"/>
                <w:numId w:val="816"/>
              </w:numPr>
              <w:tabs>
                <w:tab w:val="left" w:pos="305"/>
              </w:tabs>
              <w:spacing w:before="89"/>
              <w:rPr>
                <w:sz w:val="17"/>
              </w:rPr>
            </w:pPr>
            <w:r>
              <w:rPr>
                <w:color w:val="231F20"/>
                <w:sz w:val="17"/>
              </w:rPr>
              <w:t>Homelea</w:t>
            </w:r>
            <w:r>
              <w:rPr>
                <w:color w:val="231F20"/>
                <w:spacing w:val="15"/>
                <w:sz w:val="17"/>
              </w:rPr>
              <w:t xml:space="preserve"> </w:t>
            </w:r>
            <w:r>
              <w:rPr>
                <w:color w:val="231F20"/>
                <w:sz w:val="17"/>
              </w:rPr>
              <w:t>Wetland</w:t>
            </w:r>
          </w:p>
          <w:p w:rsidR="006A7A3F" w:rsidRDefault="00BC7372">
            <w:pPr>
              <w:pStyle w:val="TableParagraph"/>
              <w:numPr>
                <w:ilvl w:val="0"/>
                <w:numId w:val="816"/>
              </w:numPr>
              <w:tabs>
                <w:tab w:val="left" w:pos="305"/>
              </w:tabs>
              <w:spacing w:before="90"/>
              <w:rPr>
                <w:sz w:val="17"/>
              </w:rPr>
            </w:pPr>
            <w:r>
              <w:rPr>
                <w:color w:val="231F20"/>
                <w:sz w:val="17"/>
              </w:rPr>
              <w:t>J Ferrier</w:t>
            </w:r>
            <w:r>
              <w:rPr>
                <w:color w:val="231F20"/>
                <w:spacing w:val="5"/>
                <w:sz w:val="17"/>
              </w:rPr>
              <w:t xml:space="preserve"> </w:t>
            </w:r>
            <w:r>
              <w:rPr>
                <w:color w:val="231F20"/>
                <w:sz w:val="17"/>
              </w:rPr>
              <w:t>Wetland</w:t>
            </w:r>
          </w:p>
          <w:p w:rsidR="006A7A3F" w:rsidRDefault="00BC7372">
            <w:pPr>
              <w:pStyle w:val="TableParagraph"/>
              <w:numPr>
                <w:ilvl w:val="0"/>
                <w:numId w:val="816"/>
              </w:numPr>
              <w:tabs>
                <w:tab w:val="left" w:pos="305"/>
              </w:tabs>
              <w:spacing w:before="89" w:line="244" w:lineRule="auto"/>
              <w:ind w:right="556"/>
              <w:rPr>
                <w:sz w:val="17"/>
              </w:rPr>
            </w:pPr>
            <w:r>
              <w:rPr>
                <w:color w:val="231F20"/>
                <w:sz w:val="17"/>
              </w:rPr>
              <w:t>Jeffcott Wildlife Reserve</w:t>
            </w:r>
          </w:p>
          <w:p w:rsidR="006A7A3F" w:rsidRDefault="00BC7372">
            <w:pPr>
              <w:pStyle w:val="TableParagraph"/>
              <w:numPr>
                <w:ilvl w:val="0"/>
                <w:numId w:val="816"/>
              </w:numPr>
              <w:tabs>
                <w:tab w:val="left" w:pos="305"/>
              </w:tabs>
              <w:spacing w:before="87"/>
              <w:rPr>
                <w:sz w:val="17"/>
              </w:rPr>
            </w:pPr>
            <w:r>
              <w:rPr>
                <w:color w:val="231F20"/>
                <w:sz w:val="17"/>
              </w:rPr>
              <w:t>Jesse</w:t>
            </w:r>
            <w:r>
              <w:rPr>
                <w:color w:val="231F20"/>
                <w:spacing w:val="2"/>
                <w:sz w:val="17"/>
              </w:rPr>
              <w:t xml:space="preserve"> </w:t>
            </w:r>
            <w:r>
              <w:rPr>
                <w:color w:val="231F20"/>
                <w:sz w:val="17"/>
              </w:rPr>
              <w:t>Swamp</w:t>
            </w:r>
          </w:p>
          <w:p w:rsidR="006A7A3F" w:rsidRDefault="00BC7372">
            <w:pPr>
              <w:pStyle w:val="TableParagraph"/>
              <w:numPr>
                <w:ilvl w:val="0"/>
                <w:numId w:val="816"/>
              </w:numPr>
              <w:tabs>
                <w:tab w:val="left" w:pos="305"/>
              </w:tabs>
              <w:spacing w:before="89"/>
              <w:rPr>
                <w:sz w:val="17"/>
              </w:rPr>
            </w:pPr>
            <w:r>
              <w:rPr>
                <w:color w:val="231F20"/>
                <w:sz w:val="17"/>
              </w:rPr>
              <w:t>Kath Smith</w:t>
            </w:r>
            <w:r>
              <w:rPr>
                <w:color w:val="231F20"/>
                <w:spacing w:val="25"/>
                <w:sz w:val="17"/>
              </w:rPr>
              <w:t xml:space="preserve"> </w:t>
            </w:r>
            <w:r>
              <w:rPr>
                <w:color w:val="231F20"/>
                <w:sz w:val="17"/>
              </w:rPr>
              <w:t>Dam</w:t>
            </w:r>
          </w:p>
          <w:p w:rsidR="006A7A3F" w:rsidRDefault="00BC7372">
            <w:pPr>
              <w:pStyle w:val="TableParagraph"/>
              <w:numPr>
                <w:ilvl w:val="0"/>
                <w:numId w:val="816"/>
              </w:numPr>
              <w:tabs>
                <w:tab w:val="left" w:pos="305"/>
              </w:tabs>
              <w:spacing w:before="90"/>
              <w:rPr>
                <w:sz w:val="17"/>
              </w:rPr>
            </w:pPr>
            <w:r>
              <w:rPr>
                <w:color w:val="231F20"/>
                <w:sz w:val="17"/>
              </w:rPr>
              <w:t>Mahoods</w:t>
            </w:r>
            <w:r>
              <w:rPr>
                <w:color w:val="231F20"/>
                <w:spacing w:val="23"/>
                <w:sz w:val="17"/>
              </w:rPr>
              <w:t xml:space="preserve"> </w:t>
            </w:r>
            <w:r>
              <w:rPr>
                <w:color w:val="231F20"/>
                <w:sz w:val="17"/>
              </w:rPr>
              <w:t>Corner</w:t>
            </w:r>
          </w:p>
          <w:p w:rsidR="006A7A3F" w:rsidRDefault="00BC7372">
            <w:pPr>
              <w:pStyle w:val="TableParagraph"/>
              <w:numPr>
                <w:ilvl w:val="0"/>
                <w:numId w:val="816"/>
              </w:numPr>
              <w:tabs>
                <w:tab w:val="left" w:pos="305"/>
              </w:tabs>
              <w:spacing w:before="89" w:line="244" w:lineRule="auto"/>
              <w:ind w:right="660"/>
              <w:rPr>
                <w:sz w:val="17"/>
              </w:rPr>
            </w:pPr>
            <w:r>
              <w:rPr>
                <w:color w:val="231F20"/>
                <w:sz w:val="17"/>
              </w:rPr>
              <w:t xml:space="preserve">Morton </w:t>
            </w:r>
            <w:r>
              <w:rPr>
                <w:color w:val="231F20"/>
                <w:spacing w:val="-3"/>
                <w:sz w:val="17"/>
              </w:rPr>
              <w:t xml:space="preserve">Plains </w:t>
            </w:r>
            <w:r>
              <w:rPr>
                <w:color w:val="231F20"/>
                <w:sz w:val="17"/>
              </w:rPr>
              <w:t>Reserve</w:t>
            </w:r>
          </w:p>
          <w:p w:rsidR="006A7A3F" w:rsidRDefault="00BC7372">
            <w:pPr>
              <w:pStyle w:val="TableParagraph"/>
              <w:numPr>
                <w:ilvl w:val="0"/>
                <w:numId w:val="816"/>
              </w:numPr>
              <w:tabs>
                <w:tab w:val="left" w:pos="305"/>
              </w:tabs>
              <w:spacing w:before="86"/>
              <w:rPr>
                <w:sz w:val="17"/>
              </w:rPr>
            </w:pPr>
            <w:r>
              <w:rPr>
                <w:color w:val="231F20"/>
                <w:sz w:val="17"/>
              </w:rPr>
              <w:t>Mutton</w:t>
            </w:r>
            <w:r>
              <w:rPr>
                <w:color w:val="231F20"/>
                <w:spacing w:val="3"/>
                <w:sz w:val="17"/>
              </w:rPr>
              <w:t xml:space="preserve"> </w:t>
            </w:r>
            <w:r>
              <w:rPr>
                <w:color w:val="231F20"/>
                <w:sz w:val="17"/>
              </w:rPr>
              <w:t>Swamp</w:t>
            </w:r>
          </w:p>
          <w:p w:rsidR="006A7A3F" w:rsidRDefault="00BC7372">
            <w:pPr>
              <w:pStyle w:val="TableParagraph"/>
              <w:numPr>
                <w:ilvl w:val="0"/>
                <w:numId w:val="816"/>
              </w:numPr>
              <w:tabs>
                <w:tab w:val="left" w:pos="305"/>
              </w:tabs>
              <w:spacing w:before="90"/>
              <w:rPr>
                <w:sz w:val="17"/>
              </w:rPr>
            </w:pPr>
            <w:r>
              <w:rPr>
                <w:color w:val="231F20"/>
                <w:sz w:val="17"/>
              </w:rPr>
              <w:t>Opies</w:t>
            </w:r>
            <w:r>
              <w:rPr>
                <w:color w:val="231F20"/>
                <w:spacing w:val="1"/>
                <w:sz w:val="17"/>
              </w:rPr>
              <w:t xml:space="preserve"> </w:t>
            </w:r>
            <w:r>
              <w:rPr>
                <w:color w:val="231F20"/>
                <w:sz w:val="17"/>
              </w:rPr>
              <w:t>Dam</w:t>
            </w:r>
          </w:p>
          <w:p w:rsidR="006A7A3F" w:rsidRDefault="00BC7372">
            <w:pPr>
              <w:pStyle w:val="TableParagraph"/>
              <w:numPr>
                <w:ilvl w:val="0"/>
                <w:numId w:val="816"/>
              </w:numPr>
              <w:tabs>
                <w:tab w:val="left" w:pos="305"/>
              </w:tabs>
              <w:spacing w:before="90"/>
              <w:rPr>
                <w:sz w:val="17"/>
              </w:rPr>
            </w:pPr>
            <w:r>
              <w:rPr>
                <w:color w:val="231F20"/>
                <w:sz w:val="17"/>
              </w:rPr>
              <w:t>Pam Juergens</w:t>
            </w:r>
            <w:r>
              <w:rPr>
                <w:color w:val="231F20"/>
                <w:spacing w:val="12"/>
                <w:sz w:val="17"/>
              </w:rPr>
              <w:t xml:space="preserve"> </w:t>
            </w:r>
            <w:r>
              <w:rPr>
                <w:color w:val="231F20"/>
                <w:sz w:val="17"/>
              </w:rPr>
              <w:t>Dam</w:t>
            </w:r>
          </w:p>
          <w:p w:rsidR="006A7A3F" w:rsidRDefault="00BC7372">
            <w:pPr>
              <w:pStyle w:val="TableParagraph"/>
              <w:numPr>
                <w:ilvl w:val="0"/>
                <w:numId w:val="816"/>
              </w:numPr>
              <w:tabs>
                <w:tab w:val="left" w:pos="305"/>
              </w:tabs>
              <w:spacing w:before="89"/>
              <w:rPr>
                <w:sz w:val="17"/>
              </w:rPr>
            </w:pPr>
            <w:r>
              <w:rPr>
                <w:color w:val="231F20"/>
                <w:sz w:val="17"/>
              </w:rPr>
              <w:t>Part of Gap</w:t>
            </w:r>
            <w:r>
              <w:rPr>
                <w:color w:val="231F20"/>
                <w:spacing w:val="15"/>
                <w:sz w:val="17"/>
              </w:rPr>
              <w:t xml:space="preserve"> </w:t>
            </w:r>
            <w:r>
              <w:rPr>
                <w:color w:val="231F20"/>
                <w:sz w:val="17"/>
              </w:rPr>
              <w:t>Reserve</w:t>
            </w:r>
          </w:p>
          <w:p w:rsidR="006A7A3F" w:rsidRDefault="00BC7372">
            <w:pPr>
              <w:pStyle w:val="TableParagraph"/>
              <w:numPr>
                <w:ilvl w:val="0"/>
                <w:numId w:val="816"/>
              </w:numPr>
              <w:tabs>
                <w:tab w:val="left" w:pos="305"/>
              </w:tabs>
              <w:spacing w:before="90"/>
              <w:rPr>
                <w:sz w:val="17"/>
              </w:rPr>
            </w:pPr>
            <w:r>
              <w:rPr>
                <w:color w:val="231F20"/>
                <w:sz w:val="17"/>
              </w:rPr>
              <w:t>Paul</w:t>
            </w:r>
            <w:r>
              <w:rPr>
                <w:color w:val="231F20"/>
                <w:spacing w:val="2"/>
                <w:sz w:val="17"/>
              </w:rPr>
              <w:t xml:space="preserve"> </w:t>
            </w:r>
            <w:r>
              <w:rPr>
                <w:color w:val="231F20"/>
                <w:sz w:val="17"/>
              </w:rPr>
              <w:t>Barclay</w:t>
            </w:r>
          </w:p>
          <w:p w:rsidR="006A7A3F" w:rsidRDefault="00BC7372">
            <w:pPr>
              <w:pStyle w:val="TableParagraph"/>
              <w:numPr>
                <w:ilvl w:val="0"/>
                <w:numId w:val="816"/>
              </w:numPr>
              <w:tabs>
                <w:tab w:val="left" w:pos="305"/>
              </w:tabs>
              <w:spacing w:before="89"/>
              <w:rPr>
                <w:sz w:val="17"/>
              </w:rPr>
            </w:pPr>
            <w:r>
              <w:rPr>
                <w:color w:val="231F20"/>
                <w:sz w:val="17"/>
              </w:rPr>
              <w:t>Pinedale</w:t>
            </w:r>
          </w:p>
          <w:p w:rsidR="006A7A3F" w:rsidRDefault="00BC7372">
            <w:pPr>
              <w:pStyle w:val="TableParagraph"/>
              <w:numPr>
                <w:ilvl w:val="0"/>
                <w:numId w:val="816"/>
              </w:numPr>
              <w:tabs>
                <w:tab w:val="left" w:pos="305"/>
              </w:tabs>
              <w:spacing w:before="90"/>
              <w:rPr>
                <w:sz w:val="17"/>
              </w:rPr>
            </w:pPr>
            <w:r>
              <w:rPr>
                <w:color w:val="231F20"/>
                <w:sz w:val="17"/>
              </w:rPr>
              <w:t>Poyner</w:t>
            </w:r>
          </w:p>
          <w:p w:rsidR="006A7A3F" w:rsidRDefault="00BC7372">
            <w:pPr>
              <w:pStyle w:val="TableParagraph"/>
              <w:numPr>
                <w:ilvl w:val="0"/>
                <w:numId w:val="816"/>
              </w:numPr>
              <w:tabs>
                <w:tab w:val="left" w:pos="305"/>
              </w:tabs>
              <w:spacing w:before="89"/>
              <w:rPr>
                <w:sz w:val="17"/>
              </w:rPr>
            </w:pPr>
            <w:r>
              <w:rPr>
                <w:color w:val="231F20"/>
                <w:sz w:val="17"/>
              </w:rPr>
              <w:t>R Ferriers</w:t>
            </w:r>
            <w:r>
              <w:rPr>
                <w:color w:val="231F20"/>
                <w:spacing w:val="5"/>
                <w:sz w:val="17"/>
              </w:rPr>
              <w:t xml:space="preserve"> </w:t>
            </w:r>
            <w:r>
              <w:rPr>
                <w:color w:val="231F20"/>
                <w:sz w:val="17"/>
              </w:rPr>
              <w:t>Dam</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15"/>
              </w:numPr>
              <w:tabs>
                <w:tab w:val="left" w:pos="305"/>
              </w:tabs>
              <w:spacing w:before="68"/>
              <w:rPr>
                <w:sz w:val="17"/>
              </w:rPr>
            </w:pPr>
            <w:r>
              <w:rPr>
                <w:color w:val="231F20"/>
                <w:sz w:val="17"/>
              </w:rPr>
              <w:t>Barbers</w:t>
            </w:r>
            <w:r>
              <w:rPr>
                <w:color w:val="231F20"/>
                <w:spacing w:val="3"/>
                <w:sz w:val="17"/>
              </w:rPr>
              <w:t xml:space="preserve"> </w:t>
            </w:r>
            <w:r>
              <w:rPr>
                <w:color w:val="231F20"/>
                <w:sz w:val="17"/>
              </w:rPr>
              <w:t>Swamp</w:t>
            </w:r>
          </w:p>
          <w:p w:rsidR="006A7A3F" w:rsidRDefault="00BC7372">
            <w:pPr>
              <w:pStyle w:val="TableParagraph"/>
              <w:numPr>
                <w:ilvl w:val="0"/>
                <w:numId w:val="815"/>
              </w:numPr>
              <w:tabs>
                <w:tab w:val="left" w:pos="305"/>
              </w:tabs>
              <w:spacing w:before="89"/>
              <w:rPr>
                <w:sz w:val="17"/>
              </w:rPr>
            </w:pPr>
            <w:r>
              <w:rPr>
                <w:color w:val="231F20"/>
                <w:sz w:val="17"/>
              </w:rPr>
              <w:t>Broom</w:t>
            </w:r>
            <w:r>
              <w:rPr>
                <w:color w:val="231F20"/>
                <w:spacing w:val="19"/>
                <w:sz w:val="17"/>
              </w:rPr>
              <w:t xml:space="preserve"> </w:t>
            </w:r>
            <w:r>
              <w:rPr>
                <w:color w:val="231F20"/>
                <w:spacing w:val="-6"/>
                <w:sz w:val="17"/>
              </w:rPr>
              <w:t>Tank</w:t>
            </w:r>
          </w:p>
          <w:p w:rsidR="006A7A3F" w:rsidRDefault="00BC7372">
            <w:pPr>
              <w:pStyle w:val="TableParagraph"/>
              <w:numPr>
                <w:ilvl w:val="0"/>
                <w:numId w:val="815"/>
              </w:numPr>
              <w:tabs>
                <w:tab w:val="left" w:pos="305"/>
              </w:tabs>
              <w:spacing w:before="90"/>
              <w:rPr>
                <w:sz w:val="17"/>
              </w:rPr>
            </w:pPr>
            <w:r>
              <w:rPr>
                <w:color w:val="231F20"/>
                <w:sz w:val="17"/>
              </w:rPr>
              <w:t>Bull</w:t>
            </w:r>
            <w:r>
              <w:rPr>
                <w:color w:val="231F20"/>
                <w:spacing w:val="21"/>
                <w:sz w:val="17"/>
              </w:rPr>
              <w:t xml:space="preserve"> </w:t>
            </w:r>
            <w:r>
              <w:rPr>
                <w:color w:val="231F20"/>
                <w:sz w:val="17"/>
              </w:rPr>
              <w:t>Swamp</w:t>
            </w:r>
          </w:p>
          <w:p w:rsidR="006A7A3F" w:rsidRDefault="00BC7372">
            <w:pPr>
              <w:pStyle w:val="TableParagraph"/>
              <w:numPr>
                <w:ilvl w:val="0"/>
                <w:numId w:val="815"/>
              </w:numPr>
              <w:tabs>
                <w:tab w:val="left" w:pos="305"/>
              </w:tabs>
              <w:spacing w:before="90"/>
              <w:rPr>
                <w:sz w:val="17"/>
              </w:rPr>
            </w:pPr>
            <w:r>
              <w:rPr>
                <w:color w:val="231F20"/>
                <w:sz w:val="17"/>
              </w:rPr>
              <w:t>Carapugna</w:t>
            </w:r>
          </w:p>
          <w:p w:rsidR="006A7A3F" w:rsidRDefault="00BC7372">
            <w:pPr>
              <w:pStyle w:val="TableParagraph"/>
              <w:numPr>
                <w:ilvl w:val="0"/>
                <w:numId w:val="815"/>
              </w:numPr>
              <w:tabs>
                <w:tab w:val="left" w:pos="305"/>
              </w:tabs>
              <w:spacing w:before="89"/>
              <w:rPr>
                <w:sz w:val="17"/>
              </w:rPr>
            </w:pPr>
            <w:r>
              <w:rPr>
                <w:color w:val="231F20"/>
                <w:sz w:val="17"/>
              </w:rPr>
              <w:t>Challambra</w:t>
            </w:r>
            <w:r>
              <w:rPr>
                <w:color w:val="231F20"/>
                <w:spacing w:val="5"/>
                <w:sz w:val="17"/>
              </w:rPr>
              <w:t xml:space="preserve"> </w:t>
            </w:r>
            <w:r>
              <w:rPr>
                <w:color w:val="231F20"/>
                <w:sz w:val="17"/>
              </w:rPr>
              <w:t>Swamp</w:t>
            </w:r>
          </w:p>
          <w:p w:rsidR="006A7A3F" w:rsidRDefault="00BC7372">
            <w:pPr>
              <w:pStyle w:val="TableParagraph"/>
              <w:numPr>
                <w:ilvl w:val="0"/>
                <w:numId w:val="815"/>
              </w:numPr>
              <w:tabs>
                <w:tab w:val="left" w:pos="305"/>
              </w:tabs>
              <w:spacing w:before="90"/>
              <w:rPr>
                <w:sz w:val="17"/>
              </w:rPr>
            </w:pPr>
            <w:r>
              <w:rPr>
                <w:color w:val="231F20"/>
                <w:sz w:val="17"/>
              </w:rPr>
              <w:t>Chirrup</w:t>
            </w:r>
            <w:r>
              <w:rPr>
                <w:color w:val="231F20"/>
                <w:spacing w:val="2"/>
                <w:sz w:val="17"/>
              </w:rPr>
              <w:t xml:space="preserve"> </w:t>
            </w:r>
            <w:r>
              <w:rPr>
                <w:color w:val="231F20"/>
                <w:sz w:val="17"/>
              </w:rPr>
              <w:t>Swamp</w:t>
            </w:r>
          </w:p>
          <w:p w:rsidR="006A7A3F" w:rsidRDefault="00BC7372">
            <w:pPr>
              <w:pStyle w:val="TableParagraph"/>
              <w:numPr>
                <w:ilvl w:val="0"/>
                <w:numId w:val="815"/>
              </w:numPr>
              <w:tabs>
                <w:tab w:val="left" w:pos="305"/>
              </w:tabs>
              <w:spacing w:before="89" w:line="244" w:lineRule="auto"/>
              <w:ind w:right="399"/>
              <w:rPr>
                <w:sz w:val="17"/>
              </w:rPr>
            </w:pPr>
            <w:r>
              <w:rPr>
                <w:color w:val="231F20"/>
                <w:sz w:val="17"/>
              </w:rPr>
              <w:t>Cokum Bushland Reserve</w:t>
            </w:r>
          </w:p>
          <w:p w:rsidR="006A7A3F" w:rsidRDefault="00BC7372">
            <w:pPr>
              <w:pStyle w:val="TableParagraph"/>
              <w:numPr>
                <w:ilvl w:val="0"/>
                <w:numId w:val="815"/>
              </w:numPr>
              <w:tabs>
                <w:tab w:val="left" w:pos="305"/>
              </w:tabs>
              <w:spacing w:before="86"/>
              <w:rPr>
                <w:sz w:val="17"/>
              </w:rPr>
            </w:pPr>
            <w:r>
              <w:rPr>
                <w:color w:val="231F20"/>
                <w:sz w:val="17"/>
              </w:rPr>
              <w:t>Considines</w:t>
            </w:r>
          </w:p>
          <w:p w:rsidR="006A7A3F" w:rsidRDefault="00BC7372">
            <w:pPr>
              <w:pStyle w:val="TableParagraph"/>
              <w:numPr>
                <w:ilvl w:val="0"/>
                <w:numId w:val="815"/>
              </w:numPr>
              <w:tabs>
                <w:tab w:val="left" w:pos="305"/>
              </w:tabs>
              <w:spacing w:before="90"/>
              <w:rPr>
                <w:sz w:val="17"/>
              </w:rPr>
            </w:pPr>
            <w:r>
              <w:rPr>
                <w:color w:val="231F20"/>
                <w:sz w:val="17"/>
              </w:rPr>
              <w:t>Corack</w:t>
            </w:r>
            <w:r>
              <w:rPr>
                <w:color w:val="231F20"/>
                <w:spacing w:val="1"/>
                <w:sz w:val="17"/>
              </w:rPr>
              <w:t xml:space="preserve"> </w:t>
            </w:r>
            <w:r>
              <w:rPr>
                <w:color w:val="231F20"/>
                <w:sz w:val="17"/>
              </w:rPr>
              <w:t>Lake</w:t>
            </w:r>
          </w:p>
          <w:p w:rsidR="006A7A3F" w:rsidRDefault="00BC7372">
            <w:pPr>
              <w:pStyle w:val="TableParagraph"/>
              <w:numPr>
                <w:ilvl w:val="0"/>
                <w:numId w:val="815"/>
              </w:numPr>
              <w:tabs>
                <w:tab w:val="left" w:pos="305"/>
              </w:tabs>
              <w:spacing w:before="90"/>
              <w:rPr>
                <w:sz w:val="17"/>
              </w:rPr>
            </w:pPr>
            <w:r>
              <w:rPr>
                <w:color w:val="231F20"/>
                <w:sz w:val="17"/>
              </w:rPr>
              <w:t>Coundons</w:t>
            </w:r>
            <w:r>
              <w:rPr>
                <w:color w:val="231F20"/>
                <w:spacing w:val="3"/>
                <w:sz w:val="17"/>
              </w:rPr>
              <w:t xml:space="preserve"> </w:t>
            </w:r>
            <w:r>
              <w:rPr>
                <w:color w:val="231F20"/>
                <w:sz w:val="17"/>
              </w:rPr>
              <w:t>Wetland</w:t>
            </w:r>
          </w:p>
          <w:p w:rsidR="006A7A3F" w:rsidRDefault="00BC7372">
            <w:pPr>
              <w:pStyle w:val="TableParagraph"/>
              <w:numPr>
                <w:ilvl w:val="0"/>
                <w:numId w:val="815"/>
              </w:numPr>
              <w:tabs>
                <w:tab w:val="left" w:pos="305"/>
              </w:tabs>
              <w:spacing w:before="89"/>
              <w:rPr>
                <w:sz w:val="17"/>
              </w:rPr>
            </w:pPr>
            <w:r>
              <w:rPr>
                <w:color w:val="231F20"/>
                <w:sz w:val="17"/>
              </w:rPr>
              <w:t>Creswick</w:t>
            </w:r>
            <w:r>
              <w:rPr>
                <w:color w:val="231F20"/>
                <w:spacing w:val="23"/>
                <w:sz w:val="17"/>
              </w:rPr>
              <w:t xml:space="preserve"> </w:t>
            </w:r>
            <w:r>
              <w:rPr>
                <w:color w:val="231F20"/>
                <w:sz w:val="17"/>
              </w:rPr>
              <w:t>Swamp</w:t>
            </w:r>
          </w:p>
          <w:p w:rsidR="006A7A3F" w:rsidRDefault="00BC7372">
            <w:pPr>
              <w:pStyle w:val="TableParagraph"/>
              <w:numPr>
                <w:ilvl w:val="0"/>
                <w:numId w:val="815"/>
              </w:numPr>
              <w:tabs>
                <w:tab w:val="left" w:pos="305"/>
              </w:tabs>
              <w:spacing w:before="90"/>
              <w:rPr>
                <w:sz w:val="17"/>
              </w:rPr>
            </w:pPr>
            <w:r>
              <w:rPr>
                <w:color w:val="231F20"/>
                <w:sz w:val="17"/>
              </w:rPr>
              <w:t>Cronomby</w:t>
            </w:r>
            <w:r>
              <w:rPr>
                <w:color w:val="231F20"/>
                <w:spacing w:val="20"/>
                <w:sz w:val="17"/>
              </w:rPr>
              <w:t xml:space="preserve"> </w:t>
            </w:r>
            <w:r>
              <w:rPr>
                <w:color w:val="231F20"/>
                <w:spacing w:val="-5"/>
                <w:sz w:val="17"/>
              </w:rPr>
              <w:t>Tanks</w:t>
            </w:r>
          </w:p>
          <w:p w:rsidR="006A7A3F" w:rsidRDefault="00BC7372">
            <w:pPr>
              <w:pStyle w:val="TableParagraph"/>
              <w:numPr>
                <w:ilvl w:val="0"/>
                <w:numId w:val="815"/>
              </w:numPr>
              <w:tabs>
                <w:tab w:val="left" w:pos="305"/>
              </w:tabs>
              <w:spacing w:before="89"/>
              <w:rPr>
                <w:sz w:val="17"/>
              </w:rPr>
            </w:pPr>
            <w:r>
              <w:rPr>
                <w:color w:val="231F20"/>
                <w:sz w:val="17"/>
              </w:rPr>
              <w:t>Crow</w:t>
            </w:r>
            <w:r>
              <w:rPr>
                <w:color w:val="231F20"/>
                <w:spacing w:val="2"/>
                <w:sz w:val="17"/>
              </w:rPr>
              <w:t xml:space="preserve"> </w:t>
            </w:r>
            <w:r>
              <w:rPr>
                <w:color w:val="231F20"/>
                <w:sz w:val="17"/>
              </w:rPr>
              <w:t>Swamp</w:t>
            </w:r>
          </w:p>
          <w:p w:rsidR="006A7A3F" w:rsidRDefault="00BC7372">
            <w:pPr>
              <w:pStyle w:val="TableParagraph"/>
              <w:numPr>
                <w:ilvl w:val="0"/>
                <w:numId w:val="815"/>
              </w:numPr>
              <w:tabs>
                <w:tab w:val="left" w:pos="305"/>
              </w:tabs>
              <w:spacing w:before="90"/>
              <w:rPr>
                <w:sz w:val="17"/>
              </w:rPr>
            </w:pPr>
            <w:r>
              <w:rPr>
                <w:color w:val="231F20"/>
                <w:sz w:val="17"/>
              </w:rPr>
              <w:t>D Smith</w:t>
            </w:r>
            <w:r>
              <w:rPr>
                <w:color w:val="231F20"/>
                <w:spacing w:val="5"/>
                <w:sz w:val="17"/>
              </w:rPr>
              <w:t xml:space="preserve"> </w:t>
            </w:r>
            <w:r>
              <w:rPr>
                <w:color w:val="231F20"/>
                <w:sz w:val="17"/>
              </w:rPr>
              <w:t>Wetland</w:t>
            </w:r>
          </w:p>
          <w:p w:rsidR="006A7A3F" w:rsidRDefault="00BC7372">
            <w:pPr>
              <w:pStyle w:val="TableParagraph"/>
              <w:numPr>
                <w:ilvl w:val="0"/>
                <w:numId w:val="815"/>
              </w:numPr>
              <w:tabs>
                <w:tab w:val="left" w:pos="305"/>
              </w:tabs>
              <w:spacing w:before="89"/>
              <w:rPr>
                <w:sz w:val="17"/>
              </w:rPr>
            </w:pPr>
            <w:r>
              <w:rPr>
                <w:color w:val="231F20"/>
                <w:sz w:val="17"/>
              </w:rPr>
              <w:t>Falla</w:t>
            </w:r>
            <w:r>
              <w:rPr>
                <w:color w:val="231F20"/>
                <w:spacing w:val="1"/>
                <w:sz w:val="17"/>
              </w:rPr>
              <w:t xml:space="preserve"> </w:t>
            </w:r>
            <w:r>
              <w:rPr>
                <w:color w:val="231F20"/>
                <w:sz w:val="17"/>
              </w:rPr>
              <w:t>Dam</w:t>
            </w:r>
          </w:p>
          <w:p w:rsidR="006A7A3F" w:rsidRDefault="00BC7372">
            <w:pPr>
              <w:pStyle w:val="TableParagraph"/>
              <w:numPr>
                <w:ilvl w:val="0"/>
                <w:numId w:val="815"/>
              </w:numPr>
              <w:tabs>
                <w:tab w:val="left" w:pos="305"/>
              </w:tabs>
              <w:spacing w:before="90"/>
              <w:rPr>
                <w:sz w:val="17"/>
              </w:rPr>
            </w:pPr>
            <w:r>
              <w:rPr>
                <w:color w:val="231F20"/>
                <w:sz w:val="17"/>
              </w:rPr>
              <w:t>Fieldings</w:t>
            </w:r>
            <w:r>
              <w:rPr>
                <w:color w:val="231F20"/>
                <w:spacing w:val="2"/>
                <w:sz w:val="17"/>
              </w:rPr>
              <w:t xml:space="preserve"> </w:t>
            </w:r>
            <w:r>
              <w:rPr>
                <w:color w:val="231F20"/>
                <w:sz w:val="17"/>
              </w:rPr>
              <w:t>Dam</w:t>
            </w:r>
          </w:p>
          <w:p w:rsidR="006A7A3F" w:rsidRDefault="00BC7372">
            <w:pPr>
              <w:pStyle w:val="TableParagraph"/>
              <w:numPr>
                <w:ilvl w:val="0"/>
                <w:numId w:val="815"/>
              </w:numPr>
              <w:tabs>
                <w:tab w:val="left" w:pos="305"/>
              </w:tabs>
              <w:spacing w:before="89"/>
              <w:rPr>
                <w:sz w:val="17"/>
              </w:rPr>
            </w:pPr>
            <w:r>
              <w:rPr>
                <w:color w:val="231F20"/>
                <w:sz w:val="17"/>
              </w:rPr>
              <w:t>Goulds</w:t>
            </w:r>
            <w:r>
              <w:rPr>
                <w:color w:val="231F20"/>
                <w:spacing w:val="21"/>
                <w:sz w:val="17"/>
              </w:rPr>
              <w:t xml:space="preserve"> </w:t>
            </w:r>
            <w:r>
              <w:rPr>
                <w:color w:val="231F20"/>
                <w:sz w:val="17"/>
              </w:rPr>
              <w:t>Reserve</w:t>
            </w:r>
          </w:p>
          <w:p w:rsidR="006A7A3F" w:rsidRDefault="00BC7372">
            <w:pPr>
              <w:pStyle w:val="TableParagraph"/>
              <w:numPr>
                <w:ilvl w:val="0"/>
                <w:numId w:val="815"/>
              </w:numPr>
              <w:tabs>
                <w:tab w:val="left" w:pos="305"/>
              </w:tabs>
              <w:spacing w:before="90"/>
              <w:rPr>
                <w:sz w:val="17"/>
              </w:rPr>
            </w:pPr>
            <w:r>
              <w:rPr>
                <w:color w:val="231F20"/>
                <w:sz w:val="17"/>
              </w:rPr>
              <w:t>Greens</w:t>
            </w:r>
            <w:r>
              <w:rPr>
                <w:color w:val="231F20"/>
                <w:spacing w:val="18"/>
                <w:sz w:val="17"/>
              </w:rPr>
              <w:t xml:space="preserve"> </w:t>
            </w:r>
            <w:r>
              <w:rPr>
                <w:color w:val="231F20"/>
                <w:sz w:val="17"/>
              </w:rPr>
              <w:t>Wetland</w:t>
            </w:r>
          </w:p>
          <w:p w:rsidR="006A7A3F" w:rsidRDefault="00BC7372">
            <w:pPr>
              <w:pStyle w:val="TableParagraph"/>
              <w:numPr>
                <w:ilvl w:val="0"/>
                <w:numId w:val="815"/>
              </w:numPr>
              <w:tabs>
                <w:tab w:val="left" w:pos="305"/>
              </w:tabs>
              <w:spacing w:before="90"/>
              <w:rPr>
                <w:sz w:val="17"/>
              </w:rPr>
            </w:pPr>
            <w:r>
              <w:rPr>
                <w:color w:val="231F20"/>
                <w:sz w:val="17"/>
              </w:rPr>
              <w:t>Harcoans</w:t>
            </w:r>
            <w:r>
              <w:rPr>
                <w:color w:val="231F20"/>
                <w:spacing w:val="24"/>
                <w:sz w:val="17"/>
              </w:rPr>
              <w:t xml:space="preserve"> </w:t>
            </w:r>
            <w:r>
              <w:rPr>
                <w:color w:val="231F20"/>
                <w:sz w:val="17"/>
              </w:rPr>
              <w:t>Swamp</w:t>
            </w:r>
          </w:p>
          <w:p w:rsidR="006A7A3F" w:rsidRDefault="00BC7372">
            <w:pPr>
              <w:pStyle w:val="TableParagraph"/>
              <w:numPr>
                <w:ilvl w:val="0"/>
                <w:numId w:val="815"/>
              </w:numPr>
              <w:tabs>
                <w:tab w:val="left" w:pos="305"/>
              </w:tabs>
              <w:spacing w:before="89"/>
              <w:rPr>
                <w:sz w:val="17"/>
              </w:rPr>
            </w:pPr>
            <w:r>
              <w:rPr>
                <w:color w:val="231F20"/>
                <w:sz w:val="17"/>
              </w:rPr>
              <w:t>Homelea</w:t>
            </w:r>
            <w:r>
              <w:rPr>
                <w:color w:val="231F20"/>
                <w:spacing w:val="15"/>
                <w:sz w:val="17"/>
              </w:rPr>
              <w:t xml:space="preserve"> </w:t>
            </w:r>
            <w:r>
              <w:rPr>
                <w:color w:val="231F20"/>
                <w:sz w:val="17"/>
              </w:rPr>
              <w:t>Wetland</w:t>
            </w:r>
          </w:p>
          <w:p w:rsidR="006A7A3F" w:rsidRDefault="00BC7372">
            <w:pPr>
              <w:pStyle w:val="TableParagraph"/>
              <w:numPr>
                <w:ilvl w:val="0"/>
                <w:numId w:val="815"/>
              </w:numPr>
              <w:tabs>
                <w:tab w:val="left" w:pos="305"/>
              </w:tabs>
              <w:spacing w:before="90"/>
              <w:rPr>
                <w:sz w:val="17"/>
              </w:rPr>
            </w:pPr>
            <w:r>
              <w:rPr>
                <w:color w:val="231F20"/>
                <w:sz w:val="17"/>
              </w:rPr>
              <w:t>J Ferrier</w:t>
            </w:r>
            <w:r>
              <w:rPr>
                <w:color w:val="231F20"/>
                <w:spacing w:val="5"/>
                <w:sz w:val="17"/>
              </w:rPr>
              <w:t xml:space="preserve"> </w:t>
            </w:r>
            <w:r>
              <w:rPr>
                <w:color w:val="231F20"/>
                <w:sz w:val="17"/>
              </w:rPr>
              <w:t>Wetland</w:t>
            </w:r>
          </w:p>
          <w:p w:rsidR="006A7A3F" w:rsidRDefault="00BC7372">
            <w:pPr>
              <w:pStyle w:val="TableParagraph"/>
              <w:numPr>
                <w:ilvl w:val="0"/>
                <w:numId w:val="815"/>
              </w:numPr>
              <w:tabs>
                <w:tab w:val="left" w:pos="305"/>
              </w:tabs>
              <w:spacing w:before="89" w:line="244" w:lineRule="auto"/>
              <w:ind w:right="556"/>
              <w:rPr>
                <w:sz w:val="17"/>
              </w:rPr>
            </w:pPr>
            <w:r>
              <w:rPr>
                <w:color w:val="231F20"/>
                <w:sz w:val="17"/>
              </w:rPr>
              <w:t>Jeffcott Wildlife Reserve</w:t>
            </w:r>
          </w:p>
          <w:p w:rsidR="006A7A3F" w:rsidRDefault="00BC7372">
            <w:pPr>
              <w:pStyle w:val="TableParagraph"/>
              <w:numPr>
                <w:ilvl w:val="0"/>
                <w:numId w:val="815"/>
              </w:numPr>
              <w:tabs>
                <w:tab w:val="left" w:pos="305"/>
              </w:tabs>
              <w:spacing w:before="87"/>
              <w:rPr>
                <w:sz w:val="17"/>
              </w:rPr>
            </w:pPr>
            <w:r>
              <w:rPr>
                <w:color w:val="231F20"/>
                <w:sz w:val="17"/>
              </w:rPr>
              <w:t>Jesse</w:t>
            </w:r>
            <w:r>
              <w:rPr>
                <w:color w:val="231F20"/>
                <w:spacing w:val="2"/>
                <w:sz w:val="17"/>
              </w:rPr>
              <w:t xml:space="preserve"> </w:t>
            </w:r>
            <w:r>
              <w:rPr>
                <w:color w:val="231F20"/>
                <w:sz w:val="17"/>
              </w:rPr>
              <w:t>Swamp</w:t>
            </w:r>
          </w:p>
          <w:p w:rsidR="006A7A3F" w:rsidRDefault="00BC7372">
            <w:pPr>
              <w:pStyle w:val="TableParagraph"/>
              <w:numPr>
                <w:ilvl w:val="0"/>
                <w:numId w:val="815"/>
              </w:numPr>
              <w:tabs>
                <w:tab w:val="left" w:pos="305"/>
              </w:tabs>
              <w:spacing w:before="89"/>
              <w:rPr>
                <w:sz w:val="17"/>
              </w:rPr>
            </w:pPr>
            <w:r>
              <w:rPr>
                <w:color w:val="231F20"/>
                <w:sz w:val="17"/>
              </w:rPr>
              <w:t>Kath Smith</w:t>
            </w:r>
            <w:r>
              <w:rPr>
                <w:color w:val="231F20"/>
                <w:spacing w:val="25"/>
                <w:sz w:val="17"/>
              </w:rPr>
              <w:t xml:space="preserve"> </w:t>
            </w:r>
            <w:r>
              <w:rPr>
                <w:color w:val="231F20"/>
                <w:sz w:val="17"/>
              </w:rPr>
              <w:t>Dam</w:t>
            </w:r>
          </w:p>
          <w:p w:rsidR="006A7A3F" w:rsidRDefault="00BC7372">
            <w:pPr>
              <w:pStyle w:val="TableParagraph"/>
              <w:numPr>
                <w:ilvl w:val="0"/>
                <w:numId w:val="815"/>
              </w:numPr>
              <w:tabs>
                <w:tab w:val="left" w:pos="305"/>
              </w:tabs>
              <w:spacing w:before="90"/>
              <w:rPr>
                <w:sz w:val="17"/>
              </w:rPr>
            </w:pPr>
            <w:r>
              <w:rPr>
                <w:color w:val="231F20"/>
                <w:sz w:val="17"/>
              </w:rPr>
              <w:t>Mahoods</w:t>
            </w:r>
            <w:r>
              <w:rPr>
                <w:color w:val="231F20"/>
                <w:spacing w:val="23"/>
                <w:sz w:val="17"/>
              </w:rPr>
              <w:t xml:space="preserve"> </w:t>
            </w:r>
            <w:r>
              <w:rPr>
                <w:color w:val="231F20"/>
                <w:sz w:val="17"/>
              </w:rPr>
              <w:t>Corner</w:t>
            </w:r>
          </w:p>
          <w:p w:rsidR="006A7A3F" w:rsidRDefault="00BC7372">
            <w:pPr>
              <w:pStyle w:val="TableParagraph"/>
              <w:numPr>
                <w:ilvl w:val="0"/>
                <w:numId w:val="815"/>
              </w:numPr>
              <w:tabs>
                <w:tab w:val="left" w:pos="305"/>
              </w:tabs>
              <w:spacing w:before="89" w:line="244" w:lineRule="auto"/>
              <w:ind w:right="660"/>
              <w:rPr>
                <w:sz w:val="17"/>
              </w:rPr>
            </w:pPr>
            <w:r>
              <w:rPr>
                <w:color w:val="231F20"/>
                <w:sz w:val="17"/>
              </w:rPr>
              <w:t xml:space="preserve">Morton </w:t>
            </w:r>
            <w:r>
              <w:rPr>
                <w:color w:val="231F20"/>
                <w:spacing w:val="-3"/>
                <w:sz w:val="17"/>
              </w:rPr>
              <w:t xml:space="preserve">Plains </w:t>
            </w:r>
            <w:r>
              <w:rPr>
                <w:color w:val="231F20"/>
                <w:sz w:val="17"/>
              </w:rPr>
              <w:t>Reserve</w:t>
            </w:r>
          </w:p>
          <w:p w:rsidR="006A7A3F" w:rsidRDefault="00BC7372">
            <w:pPr>
              <w:pStyle w:val="TableParagraph"/>
              <w:numPr>
                <w:ilvl w:val="0"/>
                <w:numId w:val="815"/>
              </w:numPr>
              <w:tabs>
                <w:tab w:val="left" w:pos="305"/>
              </w:tabs>
              <w:spacing w:before="86"/>
              <w:rPr>
                <w:sz w:val="17"/>
              </w:rPr>
            </w:pPr>
            <w:r>
              <w:rPr>
                <w:color w:val="231F20"/>
                <w:sz w:val="17"/>
              </w:rPr>
              <w:t>Mutton</w:t>
            </w:r>
            <w:r>
              <w:rPr>
                <w:color w:val="231F20"/>
                <w:spacing w:val="26"/>
                <w:sz w:val="17"/>
              </w:rPr>
              <w:t xml:space="preserve"> </w:t>
            </w:r>
            <w:r>
              <w:rPr>
                <w:color w:val="231F20"/>
                <w:sz w:val="17"/>
              </w:rPr>
              <w:t>Swamp</w:t>
            </w:r>
          </w:p>
          <w:p w:rsidR="006A7A3F" w:rsidRDefault="00BC7372">
            <w:pPr>
              <w:pStyle w:val="TableParagraph"/>
              <w:numPr>
                <w:ilvl w:val="0"/>
                <w:numId w:val="815"/>
              </w:numPr>
              <w:tabs>
                <w:tab w:val="left" w:pos="305"/>
              </w:tabs>
              <w:spacing w:before="90"/>
              <w:rPr>
                <w:sz w:val="17"/>
              </w:rPr>
            </w:pPr>
            <w:r>
              <w:rPr>
                <w:color w:val="231F20"/>
                <w:sz w:val="17"/>
              </w:rPr>
              <w:t>Newer</w:t>
            </w:r>
            <w:r>
              <w:rPr>
                <w:color w:val="231F20"/>
                <w:spacing w:val="21"/>
                <w:sz w:val="17"/>
              </w:rPr>
              <w:t xml:space="preserve"> </w:t>
            </w:r>
            <w:r>
              <w:rPr>
                <w:color w:val="231F20"/>
                <w:sz w:val="17"/>
              </w:rPr>
              <w:t>Swamp</w:t>
            </w:r>
          </w:p>
          <w:p w:rsidR="006A7A3F" w:rsidRDefault="00BC7372">
            <w:pPr>
              <w:pStyle w:val="TableParagraph"/>
              <w:numPr>
                <w:ilvl w:val="0"/>
                <w:numId w:val="815"/>
              </w:numPr>
              <w:tabs>
                <w:tab w:val="left" w:pos="305"/>
              </w:tabs>
              <w:spacing w:before="90"/>
              <w:rPr>
                <w:sz w:val="17"/>
              </w:rPr>
            </w:pPr>
            <w:r>
              <w:rPr>
                <w:color w:val="231F20"/>
                <w:sz w:val="17"/>
              </w:rPr>
              <w:t>Opies</w:t>
            </w:r>
            <w:r>
              <w:rPr>
                <w:color w:val="231F20"/>
                <w:spacing w:val="1"/>
                <w:sz w:val="17"/>
              </w:rPr>
              <w:t xml:space="preserve"> </w:t>
            </w:r>
            <w:r>
              <w:rPr>
                <w:color w:val="231F20"/>
                <w:sz w:val="17"/>
              </w:rPr>
              <w:t>Dam</w:t>
            </w:r>
          </w:p>
          <w:p w:rsidR="006A7A3F" w:rsidRDefault="00BC7372">
            <w:pPr>
              <w:pStyle w:val="TableParagraph"/>
              <w:numPr>
                <w:ilvl w:val="0"/>
                <w:numId w:val="815"/>
              </w:numPr>
              <w:tabs>
                <w:tab w:val="left" w:pos="305"/>
              </w:tabs>
              <w:spacing w:before="89"/>
              <w:rPr>
                <w:sz w:val="17"/>
              </w:rPr>
            </w:pPr>
            <w:r>
              <w:rPr>
                <w:color w:val="231F20"/>
                <w:sz w:val="17"/>
              </w:rPr>
              <w:t>Pam Juergens</w:t>
            </w:r>
            <w:r>
              <w:rPr>
                <w:color w:val="231F20"/>
                <w:spacing w:val="12"/>
                <w:sz w:val="17"/>
              </w:rPr>
              <w:t xml:space="preserve"> </w:t>
            </w:r>
            <w:r>
              <w:rPr>
                <w:color w:val="231F20"/>
                <w:sz w:val="17"/>
              </w:rPr>
              <w:t>Dam</w:t>
            </w:r>
          </w:p>
          <w:p w:rsidR="006A7A3F" w:rsidRDefault="00BC7372">
            <w:pPr>
              <w:pStyle w:val="TableParagraph"/>
              <w:numPr>
                <w:ilvl w:val="0"/>
                <w:numId w:val="815"/>
              </w:numPr>
              <w:tabs>
                <w:tab w:val="left" w:pos="305"/>
              </w:tabs>
              <w:spacing w:before="90"/>
              <w:rPr>
                <w:sz w:val="17"/>
              </w:rPr>
            </w:pPr>
            <w:r>
              <w:rPr>
                <w:color w:val="231F20"/>
                <w:sz w:val="17"/>
              </w:rPr>
              <w:t>Paul</w:t>
            </w:r>
            <w:r>
              <w:rPr>
                <w:color w:val="231F20"/>
                <w:spacing w:val="2"/>
                <w:sz w:val="17"/>
              </w:rPr>
              <w:t xml:space="preserve"> </w:t>
            </w:r>
            <w:r>
              <w:rPr>
                <w:color w:val="231F20"/>
                <w:sz w:val="17"/>
              </w:rPr>
              <w:t>Barclay</w:t>
            </w:r>
          </w:p>
          <w:p w:rsidR="006A7A3F" w:rsidRDefault="00BC7372">
            <w:pPr>
              <w:pStyle w:val="TableParagraph"/>
              <w:numPr>
                <w:ilvl w:val="0"/>
                <w:numId w:val="815"/>
              </w:numPr>
              <w:tabs>
                <w:tab w:val="left" w:pos="305"/>
              </w:tabs>
              <w:spacing w:before="89"/>
              <w:rPr>
                <w:sz w:val="17"/>
              </w:rPr>
            </w:pPr>
            <w:r>
              <w:rPr>
                <w:color w:val="231F20"/>
                <w:sz w:val="17"/>
              </w:rPr>
              <w:t>Part of Gap</w:t>
            </w:r>
            <w:r>
              <w:rPr>
                <w:color w:val="231F20"/>
                <w:spacing w:val="15"/>
                <w:sz w:val="17"/>
              </w:rPr>
              <w:t xml:space="preserve"> </w:t>
            </w:r>
            <w:r>
              <w:rPr>
                <w:color w:val="231F20"/>
                <w:sz w:val="17"/>
              </w:rPr>
              <w:t>Reserve</w:t>
            </w:r>
          </w:p>
          <w:p w:rsidR="006A7A3F" w:rsidRDefault="00BC7372">
            <w:pPr>
              <w:pStyle w:val="TableParagraph"/>
              <w:numPr>
                <w:ilvl w:val="0"/>
                <w:numId w:val="815"/>
              </w:numPr>
              <w:tabs>
                <w:tab w:val="left" w:pos="305"/>
              </w:tabs>
              <w:spacing w:before="90"/>
              <w:rPr>
                <w:sz w:val="17"/>
              </w:rPr>
            </w:pPr>
            <w:r>
              <w:rPr>
                <w:color w:val="231F20"/>
                <w:sz w:val="17"/>
              </w:rPr>
              <w:t>Pinedale</w:t>
            </w:r>
          </w:p>
          <w:p w:rsidR="006A7A3F" w:rsidRDefault="00BC7372">
            <w:pPr>
              <w:pStyle w:val="TableParagraph"/>
              <w:numPr>
                <w:ilvl w:val="0"/>
                <w:numId w:val="815"/>
              </w:numPr>
              <w:tabs>
                <w:tab w:val="left" w:pos="305"/>
              </w:tabs>
              <w:spacing w:before="89"/>
              <w:rPr>
                <w:sz w:val="17"/>
              </w:rPr>
            </w:pPr>
            <w:r>
              <w:rPr>
                <w:color w:val="231F20"/>
                <w:sz w:val="17"/>
              </w:rPr>
              <w:t>Poyner</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814"/>
              </w:numPr>
              <w:tabs>
                <w:tab w:val="left" w:pos="305"/>
              </w:tabs>
              <w:spacing w:before="68"/>
              <w:rPr>
                <w:sz w:val="17"/>
              </w:rPr>
            </w:pPr>
            <w:r>
              <w:rPr>
                <w:color w:val="231F20"/>
                <w:sz w:val="17"/>
              </w:rPr>
              <w:t>Barbers</w:t>
            </w:r>
            <w:r>
              <w:rPr>
                <w:color w:val="231F20"/>
                <w:spacing w:val="3"/>
                <w:sz w:val="17"/>
              </w:rPr>
              <w:t xml:space="preserve"> </w:t>
            </w:r>
            <w:r>
              <w:rPr>
                <w:color w:val="231F20"/>
                <w:sz w:val="17"/>
              </w:rPr>
              <w:t>Swamp</w:t>
            </w:r>
          </w:p>
          <w:p w:rsidR="006A7A3F" w:rsidRDefault="00BC7372">
            <w:pPr>
              <w:pStyle w:val="TableParagraph"/>
              <w:numPr>
                <w:ilvl w:val="0"/>
                <w:numId w:val="814"/>
              </w:numPr>
              <w:tabs>
                <w:tab w:val="left" w:pos="305"/>
              </w:tabs>
              <w:spacing w:before="89"/>
              <w:rPr>
                <w:sz w:val="17"/>
              </w:rPr>
            </w:pPr>
            <w:r>
              <w:rPr>
                <w:color w:val="231F20"/>
                <w:sz w:val="17"/>
              </w:rPr>
              <w:t>Broom</w:t>
            </w:r>
            <w:r>
              <w:rPr>
                <w:color w:val="231F20"/>
                <w:spacing w:val="19"/>
                <w:sz w:val="17"/>
              </w:rPr>
              <w:t xml:space="preserve"> </w:t>
            </w:r>
            <w:r>
              <w:rPr>
                <w:color w:val="231F20"/>
                <w:spacing w:val="-6"/>
                <w:sz w:val="17"/>
              </w:rPr>
              <w:t>Tank</w:t>
            </w:r>
          </w:p>
          <w:p w:rsidR="006A7A3F" w:rsidRDefault="00BC7372">
            <w:pPr>
              <w:pStyle w:val="TableParagraph"/>
              <w:numPr>
                <w:ilvl w:val="0"/>
                <w:numId w:val="814"/>
              </w:numPr>
              <w:tabs>
                <w:tab w:val="left" w:pos="305"/>
              </w:tabs>
              <w:spacing w:before="90"/>
              <w:rPr>
                <w:sz w:val="17"/>
              </w:rPr>
            </w:pPr>
            <w:r>
              <w:rPr>
                <w:color w:val="231F20"/>
                <w:sz w:val="17"/>
              </w:rPr>
              <w:t>Bull</w:t>
            </w:r>
            <w:r>
              <w:rPr>
                <w:color w:val="231F20"/>
                <w:spacing w:val="21"/>
                <w:sz w:val="17"/>
              </w:rPr>
              <w:t xml:space="preserve"> </w:t>
            </w:r>
            <w:r>
              <w:rPr>
                <w:color w:val="231F20"/>
                <w:sz w:val="17"/>
              </w:rPr>
              <w:t>Swamp</w:t>
            </w:r>
          </w:p>
          <w:p w:rsidR="006A7A3F" w:rsidRDefault="00BC7372">
            <w:pPr>
              <w:pStyle w:val="TableParagraph"/>
              <w:numPr>
                <w:ilvl w:val="0"/>
                <w:numId w:val="814"/>
              </w:numPr>
              <w:tabs>
                <w:tab w:val="left" w:pos="305"/>
              </w:tabs>
              <w:spacing w:before="90"/>
              <w:rPr>
                <w:sz w:val="17"/>
              </w:rPr>
            </w:pPr>
            <w:r>
              <w:rPr>
                <w:color w:val="231F20"/>
                <w:sz w:val="17"/>
              </w:rPr>
              <w:t>Carapugna</w:t>
            </w:r>
          </w:p>
          <w:p w:rsidR="006A7A3F" w:rsidRDefault="00BC7372">
            <w:pPr>
              <w:pStyle w:val="TableParagraph"/>
              <w:numPr>
                <w:ilvl w:val="0"/>
                <w:numId w:val="814"/>
              </w:numPr>
              <w:tabs>
                <w:tab w:val="left" w:pos="305"/>
              </w:tabs>
              <w:spacing w:before="89"/>
              <w:rPr>
                <w:sz w:val="17"/>
              </w:rPr>
            </w:pPr>
            <w:r>
              <w:rPr>
                <w:color w:val="231F20"/>
                <w:sz w:val="17"/>
              </w:rPr>
              <w:t>Challambra</w:t>
            </w:r>
            <w:r>
              <w:rPr>
                <w:color w:val="231F20"/>
                <w:spacing w:val="5"/>
                <w:sz w:val="17"/>
              </w:rPr>
              <w:t xml:space="preserve"> </w:t>
            </w:r>
            <w:r>
              <w:rPr>
                <w:color w:val="231F20"/>
                <w:sz w:val="17"/>
              </w:rPr>
              <w:t>Swamp</w:t>
            </w:r>
          </w:p>
          <w:p w:rsidR="006A7A3F" w:rsidRDefault="00BC7372">
            <w:pPr>
              <w:pStyle w:val="TableParagraph"/>
              <w:numPr>
                <w:ilvl w:val="0"/>
                <w:numId w:val="814"/>
              </w:numPr>
              <w:tabs>
                <w:tab w:val="left" w:pos="305"/>
              </w:tabs>
              <w:spacing w:before="90"/>
              <w:rPr>
                <w:sz w:val="17"/>
              </w:rPr>
            </w:pPr>
            <w:r>
              <w:rPr>
                <w:color w:val="231F20"/>
                <w:sz w:val="17"/>
              </w:rPr>
              <w:t>Chirrup</w:t>
            </w:r>
            <w:r>
              <w:rPr>
                <w:color w:val="231F20"/>
                <w:spacing w:val="2"/>
                <w:sz w:val="17"/>
              </w:rPr>
              <w:t xml:space="preserve"> </w:t>
            </w:r>
            <w:r>
              <w:rPr>
                <w:color w:val="231F20"/>
                <w:sz w:val="17"/>
              </w:rPr>
              <w:t>Swamp</w:t>
            </w:r>
          </w:p>
          <w:p w:rsidR="006A7A3F" w:rsidRDefault="00BC7372">
            <w:pPr>
              <w:pStyle w:val="TableParagraph"/>
              <w:numPr>
                <w:ilvl w:val="0"/>
                <w:numId w:val="814"/>
              </w:numPr>
              <w:tabs>
                <w:tab w:val="left" w:pos="305"/>
              </w:tabs>
              <w:spacing w:before="89"/>
              <w:rPr>
                <w:sz w:val="17"/>
              </w:rPr>
            </w:pPr>
            <w:r>
              <w:rPr>
                <w:color w:val="231F20"/>
                <w:sz w:val="17"/>
              </w:rPr>
              <w:t>Clinton Shire</w:t>
            </w:r>
            <w:r>
              <w:rPr>
                <w:color w:val="231F20"/>
                <w:spacing w:val="6"/>
                <w:sz w:val="17"/>
              </w:rPr>
              <w:t xml:space="preserve"> </w:t>
            </w:r>
            <w:r>
              <w:rPr>
                <w:color w:val="231F20"/>
                <w:sz w:val="17"/>
              </w:rPr>
              <w:t>Dam</w:t>
            </w:r>
          </w:p>
          <w:p w:rsidR="006A7A3F" w:rsidRDefault="00BC7372">
            <w:pPr>
              <w:pStyle w:val="TableParagraph"/>
              <w:numPr>
                <w:ilvl w:val="0"/>
                <w:numId w:val="814"/>
              </w:numPr>
              <w:tabs>
                <w:tab w:val="left" w:pos="305"/>
              </w:tabs>
              <w:spacing w:before="90" w:line="244" w:lineRule="auto"/>
              <w:ind w:right="399"/>
              <w:rPr>
                <w:sz w:val="17"/>
              </w:rPr>
            </w:pPr>
            <w:r>
              <w:rPr>
                <w:color w:val="231F20"/>
                <w:sz w:val="17"/>
              </w:rPr>
              <w:t>Cokum Bushland Reserve</w:t>
            </w:r>
          </w:p>
          <w:p w:rsidR="006A7A3F" w:rsidRDefault="00BC7372">
            <w:pPr>
              <w:pStyle w:val="TableParagraph"/>
              <w:numPr>
                <w:ilvl w:val="0"/>
                <w:numId w:val="814"/>
              </w:numPr>
              <w:tabs>
                <w:tab w:val="left" w:pos="305"/>
              </w:tabs>
              <w:spacing w:before="86"/>
              <w:rPr>
                <w:sz w:val="17"/>
              </w:rPr>
            </w:pPr>
            <w:r>
              <w:rPr>
                <w:color w:val="231F20"/>
                <w:sz w:val="17"/>
              </w:rPr>
              <w:t>Considines</w:t>
            </w:r>
          </w:p>
          <w:p w:rsidR="006A7A3F" w:rsidRDefault="00BC7372">
            <w:pPr>
              <w:pStyle w:val="TableParagraph"/>
              <w:numPr>
                <w:ilvl w:val="0"/>
                <w:numId w:val="814"/>
              </w:numPr>
              <w:tabs>
                <w:tab w:val="left" w:pos="305"/>
              </w:tabs>
              <w:spacing w:before="90"/>
              <w:rPr>
                <w:sz w:val="17"/>
              </w:rPr>
            </w:pPr>
            <w:r>
              <w:rPr>
                <w:color w:val="231F20"/>
                <w:sz w:val="17"/>
              </w:rPr>
              <w:t>Corack</w:t>
            </w:r>
            <w:r>
              <w:rPr>
                <w:color w:val="231F20"/>
                <w:spacing w:val="1"/>
                <w:sz w:val="17"/>
              </w:rPr>
              <w:t xml:space="preserve"> </w:t>
            </w:r>
            <w:r>
              <w:rPr>
                <w:color w:val="231F20"/>
                <w:sz w:val="17"/>
              </w:rPr>
              <w:t>Lake</w:t>
            </w:r>
          </w:p>
          <w:p w:rsidR="006A7A3F" w:rsidRDefault="00BC7372">
            <w:pPr>
              <w:pStyle w:val="TableParagraph"/>
              <w:numPr>
                <w:ilvl w:val="0"/>
                <w:numId w:val="814"/>
              </w:numPr>
              <w:tabs>
                <w:tab w:val="left" w:pos="305"/>
              </w:tabs>
              <w:spacing w:before="89"/>
              <w:rPr>
                <w:sz w:val="17"/>
              </w:rPr>
            </w:pPr>
            <w:r>
              <w:rPr>
                <w:color w:val="231F20"/>
                <w:sz w:val="17"/>
              </w:rPr>
              <w:t>Coundons</w:t>
            </w:r>
            <w:r>
              <w:rPr>
                <w:color w:val="231F20"/>
                <w:spacing w:val="3"/>
                <w:sz w:val="17"/>
              </w:rPr>
              <w:t xml:space="preserve"> </w:t>
            </w:r>
            <w:r>
              <w:rPr>
                <w:color w:val="231F20"/>
                <w:sz w:val="17"/>
              </w:rPr>
              <w:t>Wetland</w:t>
            </w:r>
          </w:p>
          <w:p w:rsidR="006A7A3F" w:rsidRDefault="00BC7372">
            <w:pPr>
              <w:pStyle w:val="TableParagraph"/>
              <w:numPr>
                <w:ilvl w:val="0"/>
                <w:numId w:val="814"/>
              </w:numPr>
              <w:tabs>
                <w:tab w:val="left" w:pos="305"/>
              </w:tabs>
              <w:spacing w:before="90"/>
              <w:rPr>
                <w:sz w:val="17"/>
              </w:rPr>
            </w:pPr>
            <w:r>
              <w:rPr>
                <w:color w:val="231F20"/>
                <w:sz w:val="17"/>
              </w:rPr>
              <w:t>Creswick</w:t>
            </w:r>
            <w:r>
              <w:rPr>
                <w:color w:val="231F20"/>
                <w:spacing w:val="23"/>
                <w:sz w:val="17"/>
              </w:rPr>
              <w:t xml:space="preserve"> </w:t>
            </w:r>
            <w:r>
              <w:rPr>
                <w:color w:val="231F20"/>
                <w:sz w:val="17"/>
              </w:rPr>
              <w:t>Swamp</w:t>
            </w:r>
          </w:p>
          <w:p w:rsidR="006A7A3F" w:rsidRDefault="00BC7372">
            <w:pPr>
              <w:pStyle w:val="TableParagraph"/>
              <w:numPr>
                <w:ilvl w:val="0"/>
                <w:numId w:val="814"/>
              </w:numPr>
              <w:tabs>
                <w:tab w:val="left" w:pos="305"/>
              </w:tabs>
              <w:spacing w:before="89"/>
              <w:rPr>
                <w:sz w:val="17"/>
              </w:rPr>
            </w:pPr>
            <w:r>
              <w:rPr>
                <w:color w:val="231F20"/>
                <w:sz w:val="17"/>
              </w:rPr>
              <w:t>Cronomby</w:t>
            </w:r>
            <w:r>
              <w:rPr>
                <w:color w:val="231F20"/>
                <w:spacing w:val="20"/>
                <w:sz w:val="17"/>
              </w:rPr>
              <w:t xml:space="preserve"> </w:t>
            </w:r>
            <w:r>
              <w:rPr>
                <w:color w:val="231F20"/>
                <w:spacing w:val="-5"/>
                <w:sz w:val="17"/>
              </w:rPr>
              <w:t>Tanks</w:t>
            </w:r>
          </w:p>
          <w:p w:rsidR="006A7A3F" w:rsidRDefault="00BC7372">
            <w:pPr>
              <w:pStyle w:val="TableParagraph"/>
              <w:numPr>
                <w:ilvl w:val="0"/>
                <w:numId w:val="814"/>
              </w:numPr>
              <w:tabs>
                <w:tab w:val="left" w:pos="305"/>
              </w:tabs>
              <w:spacing w:before="90"/>
              <w:rPr>
                <w:sz w:val="17"/>
              </w:rPr>
            </w:pPr>
            <w:r>
              <w:rPr>
                <w:color w:val="231F20"/>
                <w:sz w:val="17"/>
              </w:rPr>
              <w:t>Crow</w:t>
            </w:r>
            <w:r>
              <w:rPr>
                <w:color w:val="231F20"/>
                <w:spacing w:val="2"/>
                <w:sz w:val="17"/>
              </w:rPr>
              <w:t xml:space="preserve"> </w:t>
            </w:r>
            <w:r>
              <w:rPr>
                <w:color w:val="231F20"/>
                <w:sz w:val="17"/>
              </w:rPr>
              <w:t>Swamp</w:t>
            </w:r>
          </w:p>
          <w:p w:rsidR="006A7A3F" w:rsidRDefault="00BC7372">
            <w:pPr>
              <w:pStyle w:val="TableParagraph"/>
              <w:numPr>
                <w:ilvl w:val="0"/>
                <w:numId w:val="814"/>
              </w:numPr>
              <w:tabs>
                <w:tab w:val="left" w:pos="305"/>
              </w:tabs>
              <w:spacing w:before="89"/>
              <w:rPr>
                <w:sz w:val="17"/>
              </w:rPr>
            </w:pPr>
            <w:r>
              <w:rPr>
                <w:color w:val="231F20"/>
                <w:sz w:val="17"/>
              </w:rPr>
              <w:t>D Smith</w:t>
            </w:r>
            <w:r>
              <w:rPr>
                <w:color w:val="231F20"/>
                <w:spacing w:val="5"/>
                <w:sz w:val="17"/>
              </w:rPr>
              <w:t xml:space="preserve"> </w:t>
            </w:r>
            <w:r>
              <w:rPr>
                <w:color w:val="231F20"/>
                <w:sz w:val="17"/>
              </w:rPr>
              <w:t>Wetland</w:t>
            </w:r>
          </w:p>
          <w:p w:rsidR="006A7A3F" w:rsidRDefault="00BC7372">
            <w:pPr>
              <w:pStyle w:val="TableParagraph"/>
              <w:numPr>
                <w:ilvl w:val="0"/>
                <w:numId w:val="814"/>
              </w:numPr>
              <w:tabs>
                <w:tab w:val="left" w:pos="305"/>
              </w:tabs>
              <w:spacing w:before="90"/>
              <w:rPr>
                <w:sz w:val="17"/>
              </w:rPr>
            </w:pPr>
            <w:r>
              <w:rPr>
                <w:color w:val="231F20"/>
                <w:sz w:val="17"/>
              </w:rPr>
              <w:t>Falla</w:t>
            </w:r>
            <w:r>
              <w:rPr>
                <w:color w:val="231F20"/>
                <w:spacing w:val="1"/>
                <w:sz w:val="17"/>
              </w:rPr>
              <w:t xml:space="preserve"> </w:t>
            </w:r>
            <w:r>
              <w:rPr>
                <w:color w:val="231F20"/>
                <w:sz w:val="17"/>
              </w:rPr>
              <w:t>Dam</w:t>
            </w:r>
          </w:p>
          <w:p w:rsidR="006A7A3F" w:rsidRDefault="00BC7372">
            <w:pPr>
              <w:pStyle w:val="TableParagraph"/>
              <w:numPr>
                <w:ilvl w:val="0"/>
                <w:numId w:val="814"/>
              </w:numPr>
              <w:tabs>
                <w:tab w:val="left" w:pos="305"/>
              </w:tabs>
              <w:spacing w:before="89"/>
              <w:rPr>
                <w:sz w:val="17"/>
              </w:rPr>
            </w:pPr>
            <w:r>
              <w:rPr>
                <w:color w:val="231F20"/>
                <w:sz w:val="17"/>
              </w:rPr>
              <w:t>Fieldings</w:t>
            </w:r>
            <w:r>
              <w:rPr>
                <w:color w:val="231F20"/>
                <w:spacing w:val="2"/>
                <w:sz w:val="17"/>
              </w:rPr>
              <w:t xml:space="preserve"> </w:t>
            </w:r>
            <w:r>
              <w:rPr>
                <w:color w:val="231F20"/>
                <w:sz w:val="17"/>
              </w:rPr>
              <w:t>Dam</w:t>
            </w:r>
          </w:p>
          <w:p w:rsidR="006A7A3F" w:rsidRDefault="00BC7372">
            <w:pPr>
              <w:pStyle w:val="TableParagraph"/>
              <w:numPr>
                <w:ilvl w:val="0"/>
                <w:numId w:val="814"/>
              </w:numPr>
              <w:tabs>
                <w:tab w:val="left" w:pos="305"/>
              </w:tabs>
              <w:spacing w:before="90"/>
              <w:rPr>
                <w:sz w:val="17"/>
              </w:rPr>
            </w:pPr>
            <w:r>
              <w:rPr>
                <w:color w:val="231F20"/>
                <w:sz w:val="17"/>
              </w:rPr>
              <w:t>Goulds</w:t>
            </w:r>
            <w:r>
              <w:rPr>
                <w:color w:val="231F20"/>
                <w:spacing w:val="21"/>
                <w:sz w:val="17"/>
              </w:rPr>
              <w:t xml:space="preserve"> </w:t>
            </w:r>
            <w:r>
              <w:rPr>
                <w:color w:val="231F20"/>
                <w:sz w:val="17"/>
              </w:rPr>
              <w:t>Reserve</w:t>
            </w:r>
          </w:p>
          <w:p w:rsidR="006A7A3F" w:rsidRDefault="00BC7372">
            <w:pPr>
              <w:pStyle w:val="TableParagraph"/>
              <w:numPr>
                <w:ilvl w:val="0"/>
                <w:numId w:val="814"/>
              </w:numPr>
              <w:tabs>
                <w:tab w:val="left" w:pos="305"/>
              </w:tabs>
              <w:spacing w:before="90"/>
              <w:rPr>
                <w:sz w:val="17"/>
              </w:rPr>
            </w:pPr>
            <w:r>
              <w:rPr>
                <w:color w:val="231F20"/>
                <w:sz w:val="17"/>
              </w:rPr>
              <w:t>Greens</w:t>
            </w:r>
            <w:r>
              <w:rPr>
                <w:color w:val="231F20"/>
                <w:spacing w:val="18"/>
                <w:sz w:val="17"/>
              </w:rPr>
              <w:t xml:space="preserve"> </w:t>
            </w:r>
            <w:r>
              <w:rPr>
                <w:color w:val="231F20"/>
                <w:sz w:val="17"/>
              </w:rPr>
              <w:t>Wetland</w:t>
            </w:r>
          </w:p>
          <w:p w:rsidR="006A7A3F" w:rsidRDefault="00BC7372">
            <w:pPr>
              <w:pStyle w:val="TableParagraph"/>
              <w:numPr>
                <w:ilvl w:val="0"/>
                <w:numId w:val="814"/>
              </w:numPr>
              <w:tabs>
                <w:tab w:val="left" w:pos="305"/>
              </w:tabs>
              <w:spacing w:before="89"/>
              <w:rPr>
                <w:sz w:val="17"/>
              </w:rPr>
            </w:pPr>
            <w:r>
              <w:rPr>
                <w:color w:val="231F20"/>
                <w:sz w:val="17"/>
              </w:rPr>
              <w:t>Harcoans</w:t>
            </w:r>
            <w:r>
              <w:rPr>
                <w:color w:val="231F20"/>
                <w:spacing w:val="24"/>
                <w:sz w:val="17"/>
              </w:rPr>
              <w:t xml:space="preserve"> </w:t>
            </w:r>
            <w:r>
              <w:rPr>
                <w:color w:val="231F20"/>
                <w:sz w:val="17"/>
              </w:rPr>
              <w:t>Swamp</w:t>
            </w:r>
          </w:p>
          <w:p w:rsidR="006A7A3F" w:rsidRDefault="00BC7372">
            <w:pPr>
              <w:pStyle w:val="TableParagraph"/>
              <w:numPr>
                <w:ilvl w:val="0"/>
                <w:numId w:val="814"/>
              </w:numPr>
              <w:tabs>
                <w:tab w:val="left" w:pos="305"/>
              </w:tabs>
              <w:spacing w:before="90"/>
              <w:rPr>
                <w:sz w:val="17"/>
              </w:rPr>
            </w:pPr>
            <w:r>
              <w:rPr>
                <w:color w:val="231F20"/>
                <w:sz w:val="17"/>
              </w:rPr>
              <w:t>Homelea</w:t>
            </w:r>
            <w:r>
              <w:rPr>
                <w:color w:val="231F20"/>
                <w:spacing w:val="15"/>
                <w:sz w:val="17"/>
              </w:rPr>
              <w:t xml:space="preserve"> </w:t>
            </w:r>
            <w:r>
              <w:rPr>
                <w:color w:val="231F20"/>
                <w:sz w:val="17"/>
              </w:rPr>
              <w:t>Wetland</w:t>
            </w:r>
          </w:p>
          <w:p w:rsidR="006A7A3F" w:rsidRDefault="00BC7372">
            <w:pPr>
              <w:pStyle w:val="TableParagraph"/>
              <w:numPr>
                <w:ilvl w:val="0"/>
                <w:numId w:val="814"/>
              </w:numPr>
              <w:tabs>
                <w:tab w:val="left" w:pos="305"/>
              </w:tabs>
              <w:spacing w:before="89"/>
              <w:rPr>
                <w:sz w:val="17"/>
              </w:rPr>
            </w:pPr>
            <w:r>
              <w:rPr>
                <w:color w:val="231F20"/>
                <w:sz w:val="17"/>
              </w:rPr>
              <w:t>J Ferrier</w:t>
            </w:r>
            <w:r>
              <w:rPr>
                <w:color w:val="231F20"/>
                <w:spacing w:val="5"/>
                <w:sz w:val="17"/>
              </w:rPr>
              <w:t xml:space="preserve"> </w:t>
            </w:r>
            <w:r>
              <w:rPr>
                <w:color w:val="231F20"/>
                <w:sz w:val="17"/>
              </w:rPr>
              <w:t>Wetland</w:t>
            </w:r>
          </w:p>
          <w:p w:rsidR="006A7A3F" w:rsidRDefault="00BC7372">
            <w:pPr>
              <w:pStyle w:val="TableParagraph"/>
              <w:numPr>
                <w:ilvl w:val="0"/>
                <w:numId w:val="814"/>
              </w:numPr>
              <w:tabs>
                <w:tab w:val="left" w:pos="305"/>
              </w:tabs>
              <w:spacing w:before="90" w:line="244" w:lineRule="auto"/>
              <w:ind w:right="556"/>
              <w:rPr>
                <w:sz w:val="17"/>
              </w:rPr>
            </w:pPr>
            <w:r>
              <w:rPr>
                <w:color w:val="231F20"/>
                <w:sz w:val="17"/>
              </w:rPr>
              <w:t>Jeffcott Wildlife Reserve</w:t>
            </w:r>
          </w:p>
          <w:p w:rsidR="006A7A3F" w:rsidRDefault="00BC7372">
            <w:pPr>
              <w:pStyle w:val="TableParagraph"/>
              <w:numPr>
                <w:ilvl w:val="0"/>
                <w:numId w:val="814"/>
              </w:numPr>
              <w:tabs>
                <w:tab w:val="left" w:pos="305"/>
              </w:tabs>
              <w:spacing w:before="86"/>
              <w:rPr>
                <w:sz w:val="17"/>
              </w:rPr>
            </w:pPr>
            <w:r>
              <w:rPr>
                <w:color w:val="231F20"/>
                <w:sz w:val="17"/>
              </w:rPr>
              <w:t>Jesse</w:t>
            </w:r>
            <w:r>
              <w:rPr>
                <w:color w:val="231F20"/>
                <w:spacing w:val="2"/>
                <w:sz w:val="17"/>
              </w:rPr>
              <w:t xml:space="preserve"> </w:t>
            </w:r>
            <w:r>
              <w:rPr>
                <w:color w:val="231F20"/>
                <w:sz w:val="17"/>
              </w:rPr>
              <w:t>Swamp</w:t>
            </w:r>
          </w:p>
          <w:p w:rsidR="006A7A3F" w:rsidRDefault="00BC7372">
            <w:pPr>
              <w:pStyle w:val="TableParagraph"/>
              <w:numPr>
                <w:ilvl w:val="0"/>
                <w:numId w:val="814"/>
              </w:numPr>
              <w:tabs>
                <w:tab w:val="left" w:pos="305"/>
              </w:tabs>
              <w:spacing w:before="90"/>
              <w:rPr>
                <w:sz w:val="17"/>
              </w:rPr>
            </w:pPr>
            <w:r>
              <w:rPr>
                <w:color w:val="231F20"/>
                <w:sz w:val="17"/>
              </w:rPr>
              <w:t>Kath Smith</w:t>
            </w:r>
            <w:r>
              <w:rPr>
                <w:color w:val="231F20"/>
                <w:spacing w:val="25"/>
                <w:sz w:val="17"/>
              </w:rPr>
              <w:t xml:space="preserve"> </w:t>
            </w:r>
            <w:r>
              <w:rPr>
                <w:color w:val="231F20"/>
                <w:sz w:val="17"/>
              </w:rPr>
              <w:t>Dam</w:t>
            </w:r>
          </w:p>
          <w:p w:rsidR="006A7A3F" w:rsidRDefault="00BC7372">
            <w:pPr>
              <w:pStyle w:val="TableParagraph"/>
              <w:numPr>
                <w:ilvl w:val="0"/>
                <w:numId w:val="814"/>
              </w:numPr>
              <w:tabs>
                <w:tab w:val="left" w:pos="305"/>
              </w:tabs>
              <w:spacing w:before="89"/>
              <w:rPr>
                <w:sz w:val="17"/>
              </w:rPr>
            </w:pPr>
            <w:r>
              <w:rPr>
                <w:color w:val="231F20"/>
                <w:sz w:val="17"/>
              </w:rPr>
              <w:t>Mahoods</w:t>
            </w:r>
            <w:r>
              <w:rPr>
                <w:color w:val="231F20"/>
                <w:spacing w:val="23"/>
                <w:sz w:val="17"/>
              </w:rPr>
              <w:t xml:space="preserve"> </w:t>
            </w:r>
            <w:r>
              <w:rPr>
                <w:color w:val="231F20"/>
                <w:sz w:val="17"/>
              </w:rPr>
              <w:t>Corner</w:t>
            </w:r>
          </w:p>
          <w:p w:rsidR="006A7A3F" w:rsidRDefault="00BC7372">
            <w:pPr>
              <w:pStyle w:val="TableParagraph"/>
              <w:numPr>
                <w:ilvl w:val="0"/>
                <w:numId w:val="814"/>
              </w:numPr>
              <w:tabs>
                <w:tab w:val="left" w:pos="305"/>
              </w:tabs>
              <w:spacing w:before="90" w:line="244" w:lineRule="auto"/>
              <w:ind w:right="660"/>
              <w:rPr>
                <w:sz w:val="17"/>
              </w:rPr>
            </w:pPr>
            <w:r>
              <w:rPr>
                <w:color w:val="231F20"/>
                <w:sz w:val="17"/>
              </w:rPr>
              <w:t xml:space="preserve">Morton </w:t>
            </w:r>
            <w:r>
              <w:rPr>
                <w:color w:val="231F20"/>
                <w:spacing w:val="-3"/>
                <w:sz w:val="17"/>
              </w:rPr>
              <w:t xml:space="preserve">Plains </w:t>
            </w:r>
            <w:r>
              <w:rPr>
                <w:color w:val="231F20"/>
                <w:sz w:val="17"/>
              </w:rPr>
              <w:t>Reserve</w:t>
            </w:r>
          </w:p>
          <w:p w:rsidR="006A7A3F" w:rsidRDefault="00BC7372">
            <w:pPr>
              <w:pStyle w:val="TableParagraph"/>
              <w:numPr>
                <w:ilvl w:val="0"/>
                <w:numId w:val="814"/>
              </w:numPr>
              <w:tabs>
                <w:tab w:val="left" w:pos="305"/>
              </w:tabs>
              <w:spacing w:before="86"/>
              <w:rPr>
                <w:sz w:val="17"/>
              </w:rPr>
            </w:pPr>
            <w:r>
              <w:rPr>
                <w:color w:val="231F20"/>
                <w:sz w:val="17"/>
              </w:rPr>
              <w:t>Mutton</w:t>
            </w:r>
            <w:r>
              <w:rPr>
                <w:color w:val="231F20"/>
                <w:spacing w:val="26"/>
                <w:sz w:val="17"/>
              </w:rPr>
              <w:t xml:space="preserve"> </w:t>
            </w:r>
            <w:r>
              <w:rPr>
                <w:color w:val="231F20"/>
                <w:sz w:val="17"/>
              </w:rPr>
              <w:t>Swamp</w:t>
            </w:r>
          </w:p>
          <w:p w:rsidR="006A7A3F" w:rsidRDefault="00BC7372">
            <w:pPr>
              <w:pStyle w:val="TableParagraph"/>
              <w:numPr>
                <w:ilvl w:val="0"/>
                <w:numId w:val="814"/>
              </w:numPr>
              <w:tabs>
                <w:tab w:val="left" w:pos="305"/>
              </w:tabs>
              <w:spacing w:before="90"/>
              <w:rPr>
                <w:sz w:val="17"/>
              </w:rPr>
            </w:pPr>
            <w:r>
              <w:rPr>
                <w:color w:val="231F20"/>
                <w:sz w:val="17"/>
              </w:rPr>
              <w:t>Newer</w:t>
            </w:r>
            <w:r>
              <w:rPr>
                <w:color w:val="231F20"/>
                <w:spacing w:val="21"/>
                <w:sz w:val="17"/>
              </w:rPr>
              <w:t xml:space="preserve"> </w:t>
            </w:r>
            <w:r>
              <w:rPr>
                <w:color w:val="231F20"/>
                <w:sz w:val="17"/>
              </w:rPr>
              <w:t>Swamp</w:t>
            </w:r>
          </w:p>
          <w:p w:rsidR="006A7A3F" w:rsidRDefault="00BC7372">
            <w:pPr>
              <w:pStyle w:val="TableParagraph"/>
              <w:numPr>
                <w:ilvl w:val="0"/>
                <w:numId w:val="814"/>
              </w:numPr>
              <w:tabs>
                <w:tab w:val="left" w:pos="305"/>
              </w:tabs>
              <w:spacing w:before="89"/>
              <w:rPr>
                <w:sz w:val="17"/>
              </w:rPr>
            </w:pPr>
            <w:r>
              <w:rPr>
                <w:color w:val="231F20"/>
                <w:sz w:val="17"/>
              </w:rPr>
              <w:t>Opies</w:t>
            </w:r>
            <w:r>
              <w:rPr>
                <w:color w:val="231F20"/>
                <w:spacing w:val="1"/>
                <w:sz w:val="17"/>
              </w:rPr>
              <w:t xml:space="preserve"> </w:t>
            </w:r>
            <w:r>
              <w:rPr>
                <w:color w:val="231F20"/>
                <w:sz w:val="17"/>
              </w:rPr>
              <w:t>Dam</w:t>
            </w:r>
          </w:p>
          <w:p w:rsidR="006A7A3F" w:rsidRDefault="00BC7372">
            <w:pPr>
              <w:pStyle w:val="TableParagraph"/>
              <w:numPr>
                <w:ilvl w:val="0"/>
                <w:numId w:val="814"/>
              </w:numPr>
              <w:tabs>
                <w:tab w:val="left" w:pos="305"/>
              </w:tabs>
              <w:spacing w:before="90"/>
              <w:rPr>
                <w:sz w:val="17"/>
              </w:rPr>
            </w:pPr>
            <w:r>
              <w:rPr>
                <w:color w:val="231F20"/>
                <w:sz w:val="17"/>
              </w:rPr>
              <w:t>Pam Juergens</w:t>
            </w:r>
            <w:r>
              <w:rPr>
                <w:color w:val="231F20"/>
                <w:spacing w:val="12"/>
                <w:sz w:val="17"/>
              </w:rPr>
              <w:t xml:space="preserve"> </w:t>
            </w:r>
            <w:r>
              <w:rPr>
                <w:color w:val="231F20"/>
                <w:sz w:val="17"/>
              </w:rPr>
              <w:t>Dam</w:t>
            </w:r>
          </w:p>
          <w:p w:rsidR="006A7A3F" w:rsidRDefault="00BC7372">
            <w:pPr>
              <w:pStyle w:val="TableParagraph"/>
              <w:numPr>
                <w:ilvl w:val="0"/>
                <w:numId w:val="814"/>
              </w:numPr>
              <w:tabs>
                <w:tab w:val="left" w:pos="305"/>
              </w:tabs>
              <w:spacing w:before="89"/>
              <w:rPr>
                <w:sz w:val="17"/>
              </w:rPr>
            </w:pPr>
            <w:r>
              <w:rPr>
                <w:color w:val="231F20"/>
                <w:sz w:val="17"/>
              </w:rPr>
              <w:t>Paul</w:t>
            </w:r>
            <w:r>
              <w:rPr>
                <w:color w:val="231F20"/>
                <w:spacing w:val="2"/>
                <w:sz w:val="17"/>
              </w:rPr>
              <w:t xml:space="preserve"> </w:t>
            </w:r>
            <w:r>
              <w:rPr>
                <w:color w:val="231F20"/>
                <w:sz w:val="17"/>
              </w:rPr>
              <w:t>Barclay</w:t>
            </w:r>
          </w:p>
          <w:p w:rsidR="006A7A3F" w:rsidRDefault="00BC7372">
            <w:pPr>
              <w:pStyle w:val="TableParagraph"/>
              <w:numPr>
                <w:ilvl w:val="0"/>
                <w:numId w:val="814"/>
              </w:numPr>
              <w:tabs>
                <w:tab w:val="left" w:pos="305"/>
              </w:tabs>
              <w:spacing w:before="90"/>
              <w:rPr>
                <w:sz w:val="17"/>
              </w:rPr>
            </w:pPr>
            <w:r>
              <w:rPr>
                <w:color w:val="231F20"/>
                <w:sz w:val="17"/>
              </w:rPr>
              <w:t>Part of Gap</w:t>
            </w:r>
            <w:r>
              <w:rPr>
                <w:color w:val="231F20"/>
                <w:spacing w:val="15"/>
                <w:sz w:val="17"/>
              </w:rPr>
              <w:t xml:space="preserve"> </w:t>
            </w:r>
            <w:r>
              <w:rPr>
                <w:color w:val="231F20"/>
                <w:sz w:val="17"/>
              </w:rPr>
              <w:t>Reserve</w:t>
            </w:r>
          </w:p>
          <w:p w:rsidR="006A7A3F" w:rsidRDefault="00BC7372">
            <w:pPr>
              <w:pStyle w:val="TableParagraph"/>
              <w:numPr>
                <w:ilvl w:val="0"/>
                <w:numId w:val="814"/>
              </w:numPr>
              <w:tabs>
                <w:tab w:val="left" w:pos="305"/>
              </w:tabs>
              <w:spacing w:before="89"/>
              <w:rPr>
                <w:sz w:val="17"/>
              </w:rPr>
            </w:pPr>
            <w:r>
              <w:rPr>
                <w:color w:val="231F20"/>
                <w:sz w:val="17"/>
              </w:rPr>
              <w:t>Pinedale</w:t>
            </w:r>
          </w:p>
        </w:tc>
      </w:tr>
      <w:tr w:rsidR="006A7A3F" w:rsidTr="00066112">
        <w:trPr>
          <w:trHeight w:val="339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3" w:line="254" w:lineRule="auto"/>
              <w:ind w:left="85"/>
              <w:rPr>
                <w:sz w:val="18"/>
              </w:rPr>
            </w:pPr>
            <w:r>
              <w:rPr>
                <w:color w:val="231F20"/>
                <w:sz w:val="18"/>
              </w:rPr>
              <w:t>Potential environmental watering (continued)</w:t>
            </w:r>
          </w:p>
        </w:tc>
        <w:tc>
          <w:tcPr>
            <w:tcW w:w="2041"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13"/>
              </w:numPr>
              <w:tabs>
                <w:tab w:val="left" w:pos="305"/>
              </w:tabs>
              <w:spacing w:before="68"/>
              <w:rPr>
                <w:sz w:val="17"/>
              </w:rPr>
            </w:pPr>
            <w:r>
              <w:rPr>
                <w:color w:val="231F20"/>
                <w:sz w:val="17"/>
              </w:rPr>
              <w:t>Rickard Glenys</w:t>
            </w:r>
            <w:r>
              <w:rPr>
                <w:color w:val="231F20"/>
                <w:spacing w:val="12"/>
                <w:sz w:val="17"/>
              </w:rPr>
              <w:t xml:space="preserve"> </w:t>
            </w:r>
            <w:r>
              <w:rPr>
                <w:color w:val="231F20"/>
                <w:sz w:val="17"/>
              </w:rPr>
              <w:t>Dam</w:t>
            </w:r>
          </w:p>
          <w:p w:rsidR="006A7A3F" w:rsidRDefault="00BC7372">
            <w:pPr>
              <w:pStyle w:val="TableParagraph"/>
              <w:numPr>
                <w:ilvl w:val="0"/>
                <w:numId w:val="813"/>
              </w:numPr>
              <w:tabs>
                <w:tab w:val="left" w:pos="305"/>
              </w:tabs>
              <w:spacing w:before="89"/>
              <w:rPr>
                <w:sz w:val="17"/>
              </w:rPr>
            </w:pPr>
            <w:r>
              <w:rPr>
                <w:color w:val="231F20"/>
                <w:sz w:val="17"/>
              </w:rPr>
              <w:t>Roselyn</w:t>
            </w:r>
            <w:r>
              <w:rPr>
                <w:color w:val="231F20"/>
                <w:spacing w:val="2"/>
                <w:sz w:val="17"/>
              </w:rPr>
              <w:t xml:space="preserve"> </w:t>
            </w:r>
            <w:r>
              <w:rPr>
                <w:color w:val="231F20"/>
                <w:sz w:val="17"/>
              </w:rPr>
              <w:t>Wetland</w:t>
            </w:r>
          </w:p>
          <w:p w:rsidR="006A7A3F" w:rsidRDefault="00BC7372">
            <w:pPr>
              <w:pStyle w:val="TableParagraph"/>
              <w:numPr>
                <w:ilvl w:val="0"/>
                <w:numId w:val="813"/>
              </w:numPr>
              <w:tabs>
                <w:tab w:val="left" w:pos="305"/>
              </w:tabs>
              <w:spacing w:before="90"/>
              <w:rPr>
                <w:sz w:val="17"/>
              </w:rPr>
            </w:pPr>
            <w:r>
              <w:rPr>
                <w:color w:val="231F20"/>
                <w:sz w:val="17"/>
              </w:rPr>
              <w:t>Sawpit</w:t>
            </w:r>
            <w:r>
              <w:rPr>
                <w:color w:val="231F20"/>
                <w:spacing w:val="26"/>
                <w:sz w:val="17"/>
              </w:rPr>
              <w:t xml:space="preserve"> </w:t>
            </w:r>
            <w:r>
              <w:rPr>
                <w:color w:val="231F20"/>
                <w:sz w:val="17"/>
              </w:rPr>
              <w:t>Swamp</w:t>
            </w:r>
          </w:p>
          <w:p w:rsidR="006A7A3F" w:rsidRDefault="00BC7372">
            <w:pPr>
              <w:pStyle w:val="TableParagraph"/>
              <w:numPr>
                <w:ilvl w:val="0"/>
                <w:numId w:val="813"/>
              </w:numPr>
              <w:tabs>
                <w:tab w:val="left" w:pos="305"/>
              </w:tabs>
              <w:spacing w:before="90"/>
              <w:rPr>
                <w:sz w:val="17"/>
              </w:rPr>
            </w:pPr>
            <w:r>
              <w:rPr>
                <w:color w:val="231F20"/>
                <w:sz w:val="17"/>
              </w:rPr>
              <w:t>Schultz/Koschitzke</w:t>
            </w:r>
          </w:p>
          <w:p w:rsidR="006A7A3F" w:rsidRDefault="00BC7372">
            <w:pPr>
              <w:pStyle w:val="TableParagraph"/>
              <w:numPr>
                <w:ilvl w:val="0"/>
                <w:numId w:val="813"/>
              </w:numPr>
              <w:tabs>
                <w:tab w:val="left" w:pos="305"/>
              </w:tabs>
              <w:spacing w:before="89"/>
              <w:rPr>
                <w:sz w:val="17"/>
              </w:rPr>
            </w:pPr>
            <w:r>
              <w:rPr>
                <w:color w:val="231F20"/>
                <w:spacing w:val="-4"/>
                <w:sz w:val="17"/>
              </w:rPr>
              <w:t>Tarkedia</w:t>
            </w:r>
            <w:r>
              <w:rPr>
                <w:color w:val="231F20"/>
                <w:spacing w:val="2"/>
                <w:sz w:val="17"/>
              </w:rPr>
              <w:t xml:space="preserve"> </w:t>
            </w:r>
            <w:r>
              <w:rPr>
                <w:color w:val="231F20"/>
                <w:sz w:val="17"/>
              </w:rPr>
              <w:t>Dam</w:t>
            </w:r>
          </w:p>
          <w:p w:rsidR="006A7A3F" w:rsidRDefault="00BC7372">
            <w:pPr>
              <w:pStyle w:val="TableParagraph"/>
              <w:numPr>
                <w:ilvl w:val="0"/>
                <w:numId w:val="813"/>
              </w:numPr>
              <w:tabs>
                <w:tab w:val="left" w:pos="305"/>
              </w:tabs>
              <w:spacing w:before="90"/>
              <w:rPr>
                <w:sz w:val="17"/>
              </w:rPr>
            </w:pPr>
            <w:r>
              <w:rPr>
                <w:color w:val="231F20"/>
                <w:sz w:val="17"/>
              </w:rPr>
              <w:t>Uttiwillock</w:t>
            </w:r>
            <w:r>
              <w:rPr>
                <w:color w:val="231F20"/>
                <w:spacing w:val="2"/>
                <w:sz w:val="17"/>
              </w:rPr>
              <w:t xml:space="preserve"> </w:t>
            </w:r>
            <w:r>
              <w:rPr>
                <w:color w:val="231F20"/>
                <w:sz w:val="17"/>
              </w:rPr>
              <w:t>Wetland</w:t>
            </w:r>
          </w:p>
          <w:p w:rsidR="006A7A3F" w:rsidRDefault="00BC7372">
            <w:pPr>
              <w:pStyle w:val="TableParagraph"/>
              <w:numPr>
                <w:ilvl w:val="0"/>
                <w:numId w:val="813"/>
              </w:numPr>
              <w:tabs>
                <w:tab w:val="left" w:pos="305"/>
              </w:tabs>
              <w:spacing w:before="89"/>
              <w:rPr>
                <w:sz w:val="17"/>
              </w:rPr>
            </w:pPr>
            <w:r>
              <w:rPr>
                <w:color w:val="231F20"/>
                <w:spacing w:val="-3"/>
                <w:sz w:val="17"/>
              </w:rPr>
              <w:t>Wal Wal</w:t>
            </w:r>
            <w:r>
              <w:rPr>
                <w:color w:val="231F20"/>
                <w:spacing w:val="9"/>
                <w:sz w:val="17"/>
              </w:rPr>
              <w:t xml:space="preserve"> </w:t>
            </w:r>
            <w:r>
              <w:rPr>
                <w:color w:val="231F20"/>
                <w:sz w:val="17"/>
              </w:rPr>
              <w:t>Swamp</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12"/>
              </w:numPr>
              <w:tabs>
                <w:tab w:val="left" w:pos="305"/>
              </w:tabs>
              <w:spacing w:before="68"/>
              <w:rPr>
                <w:sz w:val="17"/>
              </w:rPr>
            </w:pPr>
            <w:r>
              <w:rPr>
                <w:color w:val="231F20"/>
                <w:sz w:val="17"/>
              </w:rPr>
              <w:t>R Ferriers</w:t>
            </w:r>
            <w:r>
              <w:rPr>
                <w:color w:val="231F20"/>
                <w:spacing w:val="5"/>
                <w:sz w:val="17"/>
              </w:rPr>
              <w:t xml:space="preserve"> </w:t>
            </w:r>
            <w:r>
              <w:rPr>
                <w:color w:val="231F20"/>
                <w:sz w:val="17"/>
              </w:rPr>
              <w:t>Dam</w:t>
            </w:r>
          </w:p>
          <w:p w:rsidR="006A7A3F" w:rsidRDefault="00BC7372">
            <w:pPr>
              <w:pStyle w:val="TableParagraph"/>
              <w:numPr>
                <w:ilvl w:val="0"/>
                <w:numId w:val="812"/>
              </w:numPr>
              <w:tabs>
                <w:tab w:val="left" w:pos="305"/>
              </w:tabs>
              <w:spacing w:before="89"/>
              <w:rPr>
                <w:sz w:val="17"/>
              </w:rPr>
            </w:pPr>
            <w:r>
              <w:rPr>
                <w:color w:val="231F20"/>
                <w:sz w:val="17"/>
              </w:rPr>
              <w:t>Rickard Glenys</w:t>
            </w:r>
            <w:r>
              <w:rPr>
                <w:color w:val="231F20"/>
                <w:spacing w:val="12"/>
                <w:sz w:val="17"/>
              </w:rPr>
              <w:t xml:space="preserve"> </w:t>
            </w:r>
            <w:r>
              <w:rPr>
                <w:color w:val="231F20"/>
                <w:sz w:val="17"/>
              </w:rPr>
              <w:t>Dam</w:t>
            </w:r>
          </w:p>
          <w:p w:rsidR="006A7A3F" w:rsidRDefault="00BC7372">
            <w:pPr>
              <w:pStyle w:val="TableParagraph"/>
              <w:numPr>
                <w:ilvl w:val="0"/>
                <w:numId w:val="812"/>
              </w:numPr>
              <w:tabs>
                <w:tab w:val="left" w:pos="305"/>
              </w:tabs>
              <w:spacing w:before="90"/>
              <w:rPr>
                <w:sz w:val="17"/>
              </w:rPr>
            </w:pPr>
            <w:r>
              <w:rPr>
                <w:color w:val="231F20"/>
                <w:sz w:val="17"/>
              </w:rPr>
              <w:t>Roselyn</w:t>
            </w:r>
            <w:r>
              <w:rPr>
                <w:color w:val="231F20"/>
                <w:spacing w:val="2"/>
                <w:sz w:val="17"/>
              </w:rPr>
              <w:t xml:space="preserve"> </w:t>
            </w:r>
            <w:r>
              <w:rPr>
                <w:color w:val="231F20"/>
                <w:sz w:val="17"/>
              </w:rPr>
              <w:t>Wetland</w:t>
            </w:r>
          </w:p>
          <w:p w:rsidR="006A7A3F" w:rsidRDefault="00BC7372">
            <w:pPr>
              <w:pStyle w:val="TableParagraph"/>
              <w:numPr>
                <w:ilvl w:val="0"/>
                <w:numId w:val="812"/>
              </w:numPr>
              <w:tabs>
                <w:tab w:val="left" w:pos="305"/>
              </w:tabs>
              <w:spacing w:before="90"/>
              <w:rPr>
                <w:sz w:val="17"/>
              </w:rPr>
            </w:pPr>
            <w:r>
              <w:rPr>
                <w:color w:val="231F20"/>
                <w:sz w:val="17"/>
              </w:rPr>
              <w:t>Sawpit</w:t>
            </w:r>
            <w:r>
              <w:rPr>
                <w:color w:val="231F20"/>
                <w:spacing w:val="26"/>
                <w:sz w:val="17"/>
              </w:rPr>
              <w:t xml:space="preserve"> </w:t>
            </w:r>
            <w:r>
              <w:rPr>
                <w:color w:val="231F20"/>
                <w:sz w:val="17"/>
              </w:rPr>
              <w:t>Swamp</w:t>
            </w:r>
          </w:p>
          <w:p w:rsidR="006A7A3F" w:rsidRDefault="00BC7372">
            <w:pPr>
              <w:pStyle w:val="TableParagraph"/>
              <w:numPr>
                <w:ilvl w:val="0"/>
                <w:numId w:val="812"/>
              </w:numPr>
              <w:tabs>
                <w:tab w:val="left" w:pos="305"/>
              </w:tabs>
              <w:spacing w:before="89"/>
              <w:rPr>
                <w:sz w:val="17"/>
              </w:rPr>
            </w:pPr>
            <w:r>
              <w:rPr>
                <w:color w:val="231F20"/>
                <w:sz w:val="17"/>
              </w:rPr>
              <w:t>Schultz/Koschitzke</w:t>
            </w:r>
          </w:p>
          <w:p w:rsidR="006A7A3F" w:rsidRDefault="00BC7372">
            <w:pPr>
              <w:pStyle w:val="TableParagraph"/>
              <w:numPr>
                <w:ilvl w:val="0"/>
                <w:numId w:val="812"/>
              </w:numPr>
              <w:tabs>
                <w:tab w:val="left" w:pos="305"/>
              </w:tabs>
              <w:spacing w:before="90"/>
              <w:rPr>
                <w:sz w:val="17"/>
              </w:rPr>
            </w:pPr>
            <w:r>
              <w:rPr>
                <w:color w:val="231F20"/>
                <w:sz w:val="17"/>
              </w:rPr>
              <w:t>Shannons</w:t>
            </w:r>
            <w:r>
              <w:rPr>
                <w:color w:val="231F20"/>
                <w:spacing w:val="4"/>
                <w:sz w:val="17"/>
              </w:rPr>
              <w:t xml:space="preserve"> </w:t>
            </w:r>
            <w:r>
              <w:rPr>
                <w:color w:val="231F20"/>
                <w:sz w:val="17"/>
              </w:rPr>
              <w:t>Wayside</w:t>
            </w:r>
          </w:p>
          <w:p w:rsidR="006A7A3F" w:rsidRDefault="00BC7372">
            <w:pPr>
              <w:pStyle w:val="TableParagraph"/>
              <w:numPr>
                <w:ilvl w:val="0"/>
                <w:numId w:val="812"/>
              </w:numPr>
              <w:tabs>
                <w:tab w:val="left" w:pos="305"/>
              </w:tabs>
              <w:spacing w:before="89"/>
              <w:rPr>
                <w:sz w:val="17"/>
              </w:rPr>
            </w:pPr>
            <w:r>
              <w:rPr>
                <w:color w:val="231F20"/>
                <w:spacing w:val="-4"/>
                <w:sz w:val="17"/>
              </w:rPr>
              <w:t>Tarkedia</w:t>
            </w:r>
            <w:r>
              <w:rPr>
                <w:color w:val="231F20"/>
                <w:spacing w:val="2"/>
                <w:sz w:val="17"/>
              </w:rPr>
              <w:t xml:space="preserve"> </w:t>
            </w:r>
            <w:r>
              <w:rPr>
                <w:color w:val="231F20"/>
                <w:sz w:val="17"/>
              </w:rPr>
              <w:t>Dam</w:t>
            </w:r>
          </w:p>
          <w:p w:rsidR="006A7A3F" w:rsidRDefault="00BC7372">
            <w:pPr>
              <w:pStyle w:val="TableParagraph"/>
              <w:numPr>
                <w:ilvl w:val="0"/>
                <w:numId w:val="812"/>
              </w:numPr>
              <w:tabs>
                <w:tab w:val="left" w:pos="305"/>
              </w:tabs>
              <w:spacing w:before="90" w:line="244" w:lineRule="auto"/>
              <w:ind w:right="699"/>
              <w:rPr>
                <w:sz w:val="17"/>
              </w:rPr>
            </w:pPr>
            <w:r>
              <w:rPr>
                <w:color w:val="231F20"/>
                <w:spacing w:val="-4"/>
                <w:sz w:val="17"/>
              </w:rPr>
              <w:t xml:space="preserve">Tchum </w:t>
            </w:r>
            <w:r>
              <w:rPr>
                <w:color w:val="231F20"/>
                <w:sz w:val="17"/>
              </w:rPr>
              <w:t>Lakes (wetland)</w:t>
            </w:r>
          </w:p>
          <w:p w:rsidR="006A7A3F" w:rsidRDefault="00BC7372">
            <w:pPr>
              <w:pStyle w:val="TableParagraph"/>
              <w:numPr>
                <w:ilvl w:val="0"/>
                <w:numId w:val="812"/>
              </w:numPr>
              <w:tabs>
                <w:tab w:val="left" w:pos="305"/>
              </w:tabs>
              <w:spacing w:before="86"/>
              <w:rPr>
                <w:sz w:val="17"/>
              </w:rPr>
            </w:pPr>
            <w:r>
              <w:rPr>
                <w:color w:val="231F20"/>
                <w:sz w:val="17"/>
              </w:rPr>
              <w:t>Uttiwillock</w:t>
            </w:r>
            <w:r>
              <w:rPr>
                <w:color w:val="231F20"/>
                <w:spacing w:val="2"/>
                <w:sz w:val="17"/>
              </w:rPr>
              <w:t xml:space="preserve"> </w:t>
            </w:r>
            <w:r>
              <w:rPr>
                <w:color w:val="231F20"/>
                <w:sz w:val="17"/>
              </w:rPr>
              <w:t>Wetland</w:t>
            </w:r>
          </w:p>
          <w:p w:rsidR="006A7A3F" w:rsidRDefault="00BC7372">
            <w:pPr>
              <w:pStyle w:val="TableParagraph"/>
              <w:numPr>
                <w:ilvl w:val="0"/>
                <w:numId w:val="812"/>
              </w:numPr>
              <w:tabs>
                <w:tab w:val="left" w:pos="305"/>
              </w:tabs>
              <w:spacing w:before="90"/>
              <w:rPr>
                <w:sz w:val="17"/>
              </w:rPr>
            </w:pPr>
            <w:r>
              <w:rPr>
                <w:color w:val="231F20"/>
                <w:spacing w:val="-3"/>
                <w:sz w:val="17"/>
              </w:rPr>
              <w:t>Wal Wal</w:t>
            </w:r>
            <w:r>
              <w:rPr>
                <w:color w:val="231F20"/>
                <w:spacing w:val="9"/>
                <w:sz w:val="17"/>
              </w:rPr>
              <w:t xml:space="preserve"> </w:t>
            </w:r>
            <w:r>
              <w:rPr>
                <w:color w:val="231F20"/>
                <w:sz w:val="17"/>
              </w:rPr>
              <w:t>Swamp</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11"/>
              </w:numPr>
              <w:tabs>
                <w:tab w:val="left" w:pos="305"/>
              </w:tabs>
              <w:spacing w:before="68"/>
              <w:rPr>
                <w:sz w:val="17"/>
              </w:rPr>
            </w:pPr>
            <w:r>
              <w:rPr>
                <w:color w:val="231F20"/>
                <w:sz w:val="17"/>
              </w:rPr>
              <w:t>Poyner</w:t>
            </w:r>
          </w:p>
          <w:p w:rsidR="006A7A3F" w:rsidRDefault="00BC7372">
            <w:pPr>
              <w:pStyle w:val="TableParagraph"/>
              <w:numPr>
                <w:ilvl w:val="0"/>
                <w:numId w:val="811"/>
              </w:numPr>
              <w:tabs>
                <w:tab w:val="left" w:pos="305"/>
              </w:tabs>
              <w:spacing w:before="89"/>
              <w:rPr>
                <w:sz w:val="17"/>
              </w:rPr>
            </w:pPr>
            <w:r>
              <w:rPr>
                <w:color w:val="231F20"/>
                <w:sz w:val="17"/>
              </w:rPr>
              <w:t>R Ferriers</w:t>
            </w:r>
            <w:r>
              <w:rPr>
                <w:color w:val="231F20"/>
                <w:spacing w:val="5"/>
                <w:sz w:val="17"/>
              </w:rPr>
              <w:t xml:space="preserve"> </w:t>
            </w:r>
            <w:r>
              <w:rPr>
                <w:color w:val="231F20"/>
                <w:sz w:val="17"/>
              </w:rPr>
              <w:t>Dam</w:t>
            </w:r>
          </w:p>
          <w:p w:rsidR="006A7A3F" w:rsidRDefault="00BC7372">
            <w:pPr>
              <w:pStyle w:val="TableParagraph"/>
              <w:numPr>
                <w:ilvl w:val="0"/>
                <w:numId w:val="811"/>
              </w:numPr>
              <w:tabs>
                <w:tab w:val="left" w:pos="305"/>
              </w:tabs>
              <w:spacing w:before="90"/>
              <w:rPr>
                <w:sz w:val="17"/>
              </w:rPr>
            </w:pPr>
            <w:r>
              <w:rPr>
                <w:color w:val="231F20"/>
                <w:sz w:val="17"/>
              </w:rPr>
              <w:t>Rickard Glenys</w:t>
            </w:r>
            <w:r>
              <w:rPr>
                <w:color w:val="231F20"/>
                <w:spacing w:val="12"/>
                <w:sz w:val="17"/>
              </w:rPr>
              <w:t xml:space="preserve"> </w:t>
            </w:r>
            <w:r>
              <w:rPr>
                <w:color w:val="231F20"/>
                <w:sz w:val="17"/>
              </w:rPr>
              <w:t>Dam</w:t>
            </w:r>
          </w:p>
          <w:p w:rsidR="006A7A3F" w:rsidRDefault="00BC7372">
            <w:pPr>
              <w:pStyle w:val="TableParagraph"/>
              <w:numPr>
                <w:ilvl w:val="0"/>
                <w:numId w:val="811"/>
              </w:numPr>
              <w:tabs>
                <w:tab w:val="left" w:pos="305"/>
              </w:tabs>
              <w:spacing w:before="90"/>
              <w:rPr>
                <w:sz w:val="17"/>
              </w:rPr>
            </w:pPr>
            <w:r>
              <w:rPr>
                <w:color w:val="231F20"/>
                <w:sz w:val="17"/>
              </w:rPr>
              <w:t>Roselyn</w:t>
            </w:r>
            <w:r>
              <w:rPr>
                <w:color w:val="231F20"/>
                <w:spacing w:val="2"/>
                <w:sz w:val="17"/>
              </w:rPr>
              <w:t xml:space="preserve"> </w:t>
            </w:r>
            <w:r>
              <w:rPr>
                <w:color w:val="231F20"/>
                <w:sz w:val="17"/>
              </w:rPr>
              <w:t>Wetland</w:t>
            </w:r>
          </w:p>
          <w:p w:rsidR="006A7A3F" w:rsidRDefault="00BC7372">
            <w:pPr>
              <w:pStyle w:val="TableParagraph"/>
              <w:numPr>
                <w:ilvl w:val="0"/>
                <w:numId w:val="811"/>
              </w:numPr>
              <w:tabs>
                <w:tab w:val="left" w:pos="305"/>
              </w:tabs>
              <w:spacing w:before="89"/>
              <w:rPr>
                <w:sz w:val="17"/>
              </w:rPr>
            </w:pPr>
            <w:r>
              <w:rPr>
                <w:color w:val="231F20"/>
                <w:sz w:val="17"/>
              </w:rPr>
              <w:t>Sawpit</w:t>
            </w:r>
            <w:r>
              <w:rPr>
                <w:color w:val="231F20"/>
                <w:spacing w:val="26"/>
                <w:sz w:val="17"/>
              </w:rPr>
              <w:t xml:space="preserve"> </w:t>
            </w:r>
            <w:r>
              <w:rPr>
                <w:color w:val="231F20"/>
                <w:sz w:val="17"/>
              </w:rPr>
              <w:t>Swamp</w:t>
            </w:r>
          </w:p>
          <w:p w:rsidR="006A7A3F" w:rsidRDefault="00BC7372">
            <w:pPr>
              <w:pStyle w:val="TableParagraph"/>
              <w:numPr>
                <w:ilvl w:val="0"/>
                <w:numId w:val="811"/>
              </w:numPr>
              <w:tabs>
                <w:tab w:val="left" w:pos="305"/>
              </w:tabs>
              <w:spacing w:before="90"/>
              <w:rPr>
                <w:sz w:val="17"/>
              </w:rPr>
            </w:pPr>
            <w:r>
              <w:rPr>
                <w:color w:val="231F20"/>
                <w:sz w:val="17"/>
              </w:rPr>
              <w:t>Schultz/Koschitzke</w:t>
            </w:r>
          </w:p>
          <w:p w:rsidR="006A7A3F" w:rsidRDefault="00BC7372">
            <w:pPr>
              <w:pStyle w:val="TableParagraph"/>
              <w:numPr>
                <w:ilvl w:val="0"/>
                <w:numId w:val="811"/>
              </w:numPr>
              <w:tabs>
                <w:tab w:val="left" w:pos="305"/>
              </w:tabs>
              <w:spacing w:before="89"/>
              <w:rPr>
                <w:sz w:val="17"/>
              </w:rPr>
            </w:pPr>
            <w:r>
              <w:rPr>
                <w:color w:val="231F20"/>
                <w:sz w:val="17"/>
              </w:rPr>
              <w:t>Shannons</w:t>
            </w:r>
            <w:r>
              <w:rPr>
                <w:color w:val="231F20"/>
                <w:spacing w:val="4"/>
                <w:sz w:val="17"/>
              </w:rPr>
              <w:t xml:space="preserve"> </w:t>
            </w:r>
            <w:r>
              <w:rPr>
                <w:color w:val="231F20"/>
                <w:sz w:val="17"/>
              </w:rPr>
              <w:t>Wayside</w:t>
            </w:r>
          </w:p>
          <w:p w:rsidR="006A7A3F" w:rsidRDefault="00BC7372">
            <w:pPr>
              <w:pStyle w:val="TableParagraph"/>
              <w:numPr>
                <w:ilvl w:val="0"/>
                <w:numId w:val="811"/>
              </w:numPr>
              <w:tabs>
                <w:tab w:val="left" w:pos="305"/>
              </w:tabs>
              <w:spacing w:before="90"/>
              <w:rPr>
                <w:sz w:val="17"/>
              </w:rPr>
            </w:pPr>
            <w:r>
              <w:rPr>
                <w:color w:val="231F20"/>
                <w:spacing w:val="-4"/>
                <w:sz w:val="17"/>
              </w:rPr>
              <w:t>Tarkedia</w:t>
            </w:r>
            <w:r>
              <w:rPr>
                <w:color w:val="231F20"/>
                <w:spacing w:val="2"/>
                <w:sz w:val="17"/>
              </w:rPr>
              <w:t xml:space="preserve"> </w:t>
            </w:r>
            <w:r>
              <w:rPr>
                <w:color w:val="231F20"/>
                <w:sz w:val="17"/>
              </w:rPr>
              <w:t>Dam</w:t>
            </w:r>
          </w:p>
          <w:p w:rsidR="006A7A3F" w:rsidRDefault="00BC7372">
            <w:pPr>
              <w:pStyle w:val="TableParagraph"/>
              <w:numPr>
                <w:ilvl w:val="0"/>
                <w:numId w:val="811"/>
              </w:numPr>
              <w:tabs>
                <w:tab w:val="left" w:pos="305"/>
              </w:tabs>
              <w:spacing w:before="89" w:line="244" w:lineRule="auto"/>
              <w:ind w:right="699"/>
              <w:rPr>
                <w:sz w:val="17"/>
              </w:rPr>
            </w:pPr>
            <w:r>
              <w:rPr>
                <w:color w:val="231F20"/>
                <w:spacing w:val="-4"/>
                <w:sz w:val="17"/>
              </w:rPr>
              <w:t xml:space="preserve">Tchum </w:t>
            </w:r>
            <w:r>
              <w:rPr>
                <w:color w:val="231F20"/>
                <w:sz w:val="17"/>
              </w:rPr>
              <w:t>Lakes (wetland)</w:t>
            </w:r>
          </w:p>
          <w:p w:rsidR="006A7A3F" w:rsidRDefault="00BC7372">
            <w:pPr>
              <w:pStyle w:val="TableParagraph"/>
              <w:numPr>
                <w:ilvl w:val="0"/>
                <w:numId w:val="811"/>
              </w:numPr>
              <w:tabs>
                <w:tab w:val="left" w:pos="305"/>
              </w:tabs>
              <w:spacing w:before="87"/>
              <w:rPr>
                <w:sz w:val="17"/>
              </w:rPr>
            </w:pPr>
            <w:r>
              <w:rPr>
                <w:color w:val="231F20"/>
                <w:sz w:val="17"/>
              </w:rPr>
              <w:t>Uttiwillock</w:t>
            </w:r>
            <w:r>
              <w:rPr>
                <w:color w:val="231F20"/>
                <w:spacing w:val="2"/>
                <w:sz w:val="17"/>
              </w:rPr>
              <w:t xml:space="preserve"> </w:t>
            </w:r>
            <w:r>
              <w:rPr>
                <w:color w:val="231F20"/>
                <w:sz w:val="17"/>
              </w:rPr>
              <w:t>Wetland</w:t>
            </w:r>
          </w:p>
          <w:p w:rsidR="006A7A3F" w:rsidRDefault="00BC7372">
            <w:pPr>
              <w:pStyle w:val="TableParagraph"/>
              <w:numPr>
                <w:ilvl w:val="0"/>
                <w:numId w:val="811"/>
              </w:numPr>
              <w:tabs>
                <w:tab w:val="left" w:pos="305"/>
              </w:tabs>
              <w:spacing w:before="89"/>
              <w:rPr>
                <w:sz w:val="17"/>
              </w:rPr>
            </w:pPr>
            <w:r>
              <w:rPr>
                <w:color w:val="231F20"/>
                <w:spacing w:val="-3"/>
                <w:sz w:val="17"/>
              </w:rPr>
              <w:t>Wal Wal</w:t>
            </w:r>
            <w:r>
              <w:rPr>
                <w:color w:val="231F20"/>
                <w:spacing w:val="9"/>
                <w:sz w:val="17"/>
              </w:rPr>
              <w:t xml:space="preserve"> </w:t>
            </w:r>
            <w:r>
              <w:rPr>
                <w:color w:val="231F20"/>
                <w:sz w:val="17"/>
              </w:rPr>
              <w:t>Swamp</w:t>
            </w:r>
          </w:p>
        </w:tc>
      </w:tr>
      <w:tr w:rsidR="00066112" w:rsidTr="00066112">
        <w:trPr>
          <w:trHeight w:val="1182"/>
        </w:trPr>
        <w:tc>
          <w:tcPr>
            <w:tcW w:w="2041" w:type="dxa"/>
            <w:tcBorders>
              <w:top w:val="single" w:sz="4" w:space="0" w:color="231F20"/>
              <w:left w:val="single" w:sz="4" w:space="0" w:color="231F20"/>
              <w:bottom w:val="single" w:sz="4" w:space="0" w:color="231F20"/>
              <w:right w:val="single" w:sz="4" w:space="0" w:color="231F20"/>
            </w:tcBorders>
          </w:tcPr>
          <w:p w:rsidR="00066112" w:rsidRDefault="00066112" w:rsidP="00066112">
            <w:pPr>
              <w:pStyle w:val="TableParagraph"/>
              <w:spacing w:before="63" w:line="254" w:lineRule="auto"/>
              <w:ind w:left="85" w:right="305"/>
              <w:rPr>
                <w:sz w:val="18"/>
              </w:rPr>
            </w:pPr>
            <w:r>
              <w:rPr>
                <w:color w:val="231F20"/>
                <w:sz w:val="18"/>
              </w:rPr>
              <w:t>Possible volume of environmental water required to achieve objectives</w:t>
            </w:r>
          </w:p>
        </w:tc>
        <w:tc>
          <w:tcPr>
            <w:tcW w:w="2041" w:type="dxa"/>
            <w:tcBorders>
              <w:top w:val="single" w:sz="4" w:space="0" w:color="231F20"/>
              <w:left w:val="single" w:sz="4" w:space="0" w:color="231F20"/>
              <w:bottom w:val="single" w:sz="4" w:space="0" w:color="231F20"/>
              <w:right w:val="single" w:sz="4" w:space="0" w:color="231F20"/>
            </w:tcBorders>
          </w:tcPr>
          <w:p w:rsidR="00066112" w:rsidRDefault="00066112" w:rsidP="00066112">
            <w:pPr>
              <w:pStyle w:val="TableParagraph"/>
              <w:numPr>
                <w:ilvl w:val="0"/>
                <w:numId w:val="810"/>
              </w:numPr>
              <w:tabs>
                <w:tab w:val="left" w:pos="305"/>
              </w:tabs>
              <w:spacing w:before="68"/>
              <w:rPr>
                <w:sz w:val="17"/>
              </w:rPr>
            </w:pPr>
            <w:r>
              <w:rPr>
                <w:color w:val="231F20"/>
                <w:sz w:val="17"/>
              </w:rPr>
              <w:t>162</w:t>
            </w:r>
            <w:r>
              <w:rPr>
                <w:color w:val="231F20"/>
                <w:spacing w:val="1"/>
                <w:sz w:val="17"/>
              </w:rPr>
              <w:t xml:space="preserve"> </w:t>
            </w:r>
            <w:r>
              <w:rPr>
                <w:color w:val="231F20"/>
                <w:sz w:val="17"/>
              </w:rPr>
              <w:t>ML</w:t>
            </w:r>
          </w:p>
        </w:tc>
        <w:tc>
          <w:tcPr>
            <w:tcW w:w="2041" w:type="dxa"/>
            <w:tcBorders>
              <w:top w:val="single" w:sz="4" w:space="0" w:color="231F20"/>
              <w:left w:val="single" w:sz="4" w:space="0" w:color="231F20"/>
              <w:bottom w:val="single" w:sz="4" w:space="0" w:color="231F20"/>
              <w:right w:val="single" w:sz="4" w:space="0" w:color="231F20"/>
            </w:tcBorders>
          </w:tcPr>
          <w:p w:rsidR="00066112" w:rsidRDefault="00066112" w:rsidP="00066112">
            <w:pPr>
              <w:pStyle w:val="TableParagraph"/>
              <w:numPr>
                <w:ilvl w:val="0"/>
                <w:numId w:val="809"/>
              </w:numPr>
              <w:tabs>
                <w:tab w:val="left" w:pos="305"/>
              </w:tabs>
              <w:spacing w:before="68"/>
              <w:rPr>
                <w:sz w:val="17"/>
              </w:rPr>
            </w:pPr>
            <w:r>
              <w:rPr>
                <w:color w:val="231F20"/>
                <w:sz w:val="17"/>
              </w:rPr>
              <w:t>201</w:t>
            </w:r>
            <w:r>
              <w:rPr>
                <w:color w:val="231F20"/>
                <w:spacing w:val="1"/>
                <w:sz w:val="17"/>
              </w:rPr>
              <w:t xml:space="preserve"> </w:t>
            </w:r>
            <w:r>
              <w:rPr>
                <w:color w:val="231F20"/>
                <w:sz w:val="17"/>
              </w:rPr>
              <w:t>ML</w:t>
            </w:r>
          </w:p>
        </w:tc>
        <w:tc>
          <w:tcPr>
            <w:tcW w:w="2041" w:type="dxa"/>
            <w:tcBorders>
              <w:top w:val="single" w:sz="4" w:space="0" w:color="231F20"/>
              <w:left w:val="single" w:sz="4" w:space="0" w:color="231F20"/>
              <w:bottom w:val="single" w:sz="4" w:space="0" w:color="231F20"/>
              <w:right w:val="single" w:sz="4" w:space="0" w:color="231F20"/>
            </w:tcBorders>
          </w:tcPr>
          <w:p w:rsidR="00066112" w:rsidRDefault="00066112" w:rsidP="00066112">
            <w:pPr>
              <w:pStyle w:val="TableParagraph"/>
              <w:numPr>
                <w:ilvl w:val="0"/>
                <w:numId w:val="808"/>
              </w:numPr>
              <w:tabs>
                <w:tab w:val="left" w:pos="305"/>
              </w:tabs>
              <w:spacing w:before="68"/>
              <w:rPr>
                <w:sz w:val="17"/>
              </w:rPr>
            </w:pPr>
            <w:r>
              <w:rPr>
                <w:color w:val="231F20"/>
                <w:sz w:val="17"/>
              </w:rPr>
              <w:t>392</w:t>
            </w:r>
            <w:r>
              <w:rPr>
                <w:color w:val="231F20"/>
                <w:spacing w:val="1"/>
                <w:sz w:val="17"/>
              </w:rPr>
              <w:t xml:space="preserve"> </w:t>
            </w:r>
            <w:r>
              <w:rPr>
                <w:color w:val="231F20"/>
                <w:sz w:val="17"/>
              </w:rPr>
              <w:t>ML</w:t>
            </w:r>
          </w:p>
        </w:tc>
        <w:tc>
          <w:tcPr>
            <w:tcW w:w="2041" w:type="dxa"/>
            <w:tcBorders>
              <w:top w:val="single" w:sz="4" w:space="0" w:color="231F20"/>
              <w:left w:val="single" w:sz="4" w:space="0" w:color="231F20"/>
              <w:bottom w:val="single" w:sz="4" w:space="0" w:color="231F20"/>
              <w:right w:val="single" w:sz="4" w:space="0" w:color="231F20"/>
            </w:tcBorders>
          </w:tcPr>
          <w:p w:rsidR="00066112" w:rsidRDefault="00066112" w:rsidP="00066112">
            <w:pPr>
              <w:pStyle w:val="TableParagraph"/>
              <w:numPr>
                <w:ilvl w:val="0"/>
                <w:numId w:val="807"/>
              </w:numPr>
              <w:tabs>
                <w:tab w:val="left" w:pos="305"/>
              </w:tabs>
              <w:spacing w:before="68"/>
              <w:rPr>
                <w:sz w:val="17"/>
              </w:rPr>
            </w:pPr>
            <w:r>
              <w:rPr>
                <w:color w:val="231F20"/>
                <w:sz w:val="17"/>
              </w:rPr>
              <w:t>543</w:t>
            </w:r>
            <w:r>
              <w:rPr>
                <w:color w:val="231F20"/>
                <w:spacing w:val="1"/>
                <w:sz w:val="17"/>
              </w:rPr>
              <w:t xml:space="preserve"> </w:t>
            </w:r>
            <w:r>
              <w:rPr>
                <w:color w:val="231F20"/>
                <w:sz w:val="17"/>
              </w:rPr>
              <w:t>ML</w:t>
            </w:r>
          </w:p>
        </w:tc>
      </w:tr>
      <w:tr w:rsidR="00066112" w:rsidTr="00066112">
        <w:trPr>
          <w:trHeight w:val="748"/>
        </w:trPr>
        <w:tc>
          <w:tcPr>
            <w:tcW w:w="2041" w:type="dxa"/>
            <w:tcBorders>
              <w:top w:val="single" w:sz="4" w:space="0" w:color="231F20"/>
              <w:left w:val="single" w:sz="4" w:space="0" w:color="231F20"/>
              <w:bottom w:val="single" w:sz="4" w:space="0" w:color="231F20"/>
              <w:right w:val="single" w:sz="4" w:space="0" w:color="231F20"/>
            </w:tcBorders>
          </w:tcPr>
          <w:p w:rsidR="00066112" w:rsidRDefault="00066112" w:rsidP="00066112">
            <w:pPr>
              <w:pStyle w:val="TableParagraph"/>
              <w:spacing w:before="63" w:line="254" w:lineRule="auto"/>
              <w:ind w:left="85" w:right="565"/>
              <w:rPr>
                <w:sz w:val="18"/>
              </w:rPr>
            </w:pPr>
            <w:r>
              <w:rPr>
                <w:color w:val="231F20"/>
                <w:sz w:val="18"/>
              </w:rPr>
              <w:t>Priority carryover requirements</w:t>
            </w:r>
          </w:p>
        </w:tc>
        <w:tc>
          <w:tcPr>
            <w:tcW w:w="8164" w:type="dxa"/>
            <w:gridSpan w:val="4"/>
            <w:tcBorders>
              <w:top w:val="single" w:sz="4" w:space="0" w:color="231F20"/>
              <w:left w:val="single" w:sz="4" w:space="0" w:color="231F20"/>
              <w:bottom w:val="single" w:sz="4" w:space="0" w:color="231F20"/>
              <w:right w:val="single" w:sz="4" w:space="0" w:color="231F20"/>
            </w:tcBorders>
          </w:tcPr>
          <w:p w:rsidR="00066112" w:rsidRDefault="00066112" w:rsidP="00966898">
            <w:pPr>
              <w:pStyle w:val="TableParagraph"/>
              <w:numPr>
                <w:ilvl w:val="0"/>
                <w:numId w:val="806"/>
              </w:numPr>
              <w:tabs>
                <w:tab w:val="left" w:pos="284"/>
              </w:tabs>
              <w:spacing w:before="68"/>
              <w:ind w:hanging="3620"/>
              <w:jc w:val="center"/>
              <w:rPr>
                <w:sz w:val="17"/>
              </w:rPr>
            </w:pPr>
            <w:r>
              <w:rPr>
                <w:color w:val="231F20"/>
                <w:sz w:val="17"/>
              </w:rPr>
              <w:t>122 to 130</w:t>
            </w:r>
            <w:r>
              <w:rPr>
                <w:color w:val="231F20"/>
                <w:spacing w:val="3"/>
                <w:sz w:val="17"/>
              </w:rPr>
              <w:t xml:space="preserve"> </w:t>
            </w:r>
            <w:r>
              <w:rPr>
                <w:color w:val="231F20"/>
                <w:sz w:val="17"/>
              </w:rPr>
              <w:t>ML</w:t>
            </w:r>
          </w:p>
        </w:tc>
      </w:tr>
    </w:tbl>
    <w:p w:rsidR="00066112" w:rsidRDefault="00066112">
      <w:pPr>
        <w:pStyle w:val="BodyText"/>
        <w:spacing w:before="7"/>
        <w:ind w:left="0"/>
        <w:rPr>
          <w:b/>
          <w:sz w:val="10"/>
        </w:rPr>
      </w:pPr>
    </w:p>
    <w:p w:rsidR="00066112" w:rsidRDefault="00066112" w:rsidP="00066112">
      <w:pPr>
        <w:pStyle w:val="H3-IntroIntroduction"/>
        <w:rPr>
          <w:sz w:val="42"/>
          <w:szCs w:val="42"/>
        </w:rPr>
      </w:pPr>
      <w:r>
        <w:rPr>
          <w:b w:val="0"/>
          <w:sz w:val="10"/>
        </w:rPr>
        <w:br w:type="page"/>
      </w:r>
      <w:r w:rsidRPr="00CC340C">
        <w:rPr>
          <w:sz w:val="42"/>
          <w:szCs w:val="42"/>
        </w:rPr>
        <w:t xml:space="preserve">Section </w:t>
      </w:r>
      <w:r>
        <w:rPr>
          <w:sz w:val="42"/>
          <w:szCs w:val="42"/>
        </w:rPr>
        <w:t>5</w:t>
      </w:r>
      <w:r w:rsidRPr="00CC340C">
        <w:rPr>
          <w:sz w:val="42"/>
          <w:szCs w:val="42"/>
        </w:rPr>
        <w:t xml:space="preserve"> – </w:t>
      </w:r>
      <w:r>
        <w:rPr>
          <w:sz w:val="42"/>
          <w:szCs w:val="42"/>
        </w:rPr>
        <w:t>Northern region</w:t>
      </w:r>
    </w:p>
    <w:p w:rsidR="00066112" w:rsidRDefault="00066112" w:rsidP="00066112">
      <w:pPr>
        <w:pStyle w:val="BodyText"/>
        <w:ind w:left="0"/>
      </w:pPr>
    </w:p>
    <w:p w:rsidR="00066112" w:rsidRPr="002A7565" w:rsidRDefault="00066112" w:rsidP="00066112">
      <w:pPr>
        <w:pStyle w:val="BodyText"/>
        <w:tabs>
          <w:tab w:val="left" w:pos="567"/>
          <w:tab w:val="left" w:pos="1276"/>
          <w:tab w:val="right" w:leader="dot" w:pos="10065"/>
        </w:tabs>
        <w:ind w:left="0"/>
      </w:pPr>
      <w:r>
        <w:t>5</w:t>
      </w:r>
      <w:r w:rsidRPr="002A7565">
        <w:t>.1</w:t>
      </w:r>
      <w:r>
        <w:tab/>
        <w:t xml:space="preserve">Northern </w:t>
      </w:r>
      <w:r w:rsidRPr="005675D9">
        <w:t>region overview</w:t>
      </w:r>
      <w:r>
        <w:tab/>
      </w:r>
      <w:r w:rsidR="005D7AC7">
        <w:t>16</w:t>
      </w:r>
      <w:r w:rsidR="00444640">
        <w:t>9</w:t>
      </w:r>
    </w:p>
    <w:p w:rsidR="00066112" w:rsidRDefault="00066112" w:rsidP="00066112">
      <w:pPr>
        <w:pStyle w:val="BodyText"/>
        <w:tabs>
          <w:tab w:val="left" w:pos="567"/>
          <w:tab w:val="left" w:pos="1276"/>
          <w:tab w:val="right" w:leader="dot" w:pos="10065"/>
        </w:tabs>
        <w:ind w:left="0"/>
      </w:pPr>
      <w:r>
        <w:t>5</w:t>
      </w:r>
      <w:r w:rsidRPr="002A7565">
        <w:t>.2.</w:t>
      </w:r>
      <w:r>
        <w:tab/>
      </w:r>
      <w:r w:rsidRPr="00066112">
        <w:rPr>
          <w:color w:val="000000" w:themeColor="text1"/>
        </w:rPr>
        <w:t>Victorian Murray system</w:t>
      </w:r>
      <w:r>
        <w:tab/>
      </w:r>
      <w:r w:rsidR="005D7AC7">
        <w:t>18</w:t>
      </w:r>
      <w:r w:rsidR="00444640">
        <w:t>6</w:t>
      </w:r>
    </w:p>
    <w:p w:rsidR="00066112" w:rsidRDefault="00066112" w:rsidP="00066112">
      <w:pPr>
        <w:pStyle w:val="BodyText"/>
        <w:tabs>
          <w:tab w:val="left" w:pos="567"/>
          <w:tab w:val="left" w:pos="1276"/>
          <w:tab w:val="right" w:leader="dot" w:pos="10065"/>
        </w:tabs>
        <w:ind w:left="0"/>
      </w:pPr>
      <w:r>
        <w:tab/>
        <w:t>5.2.1</w:t>
      </w:r>
      <w:r>
        <w:tab/>
        <w:t>Barmah Forest</w:t>
      </w:r>
      <w:r>
        <w:tab/>
      </w:r>
      <w:r w:rsidR="005D7AC7">
        <w:t>18</w:t>
      </w:r>
      <w:r w:rsidR="00444640">
        <w:t>6</w:t>
      </w:r>
    </w:p>
    <w:p w:rsidR="00066112" w:rsidRDefault="00066112" w:rsidP="00066112">
      <w:pPr>
        <w:pStyle w:val="BodyText"/>
        <w:tabs>
          <w:tab w:val="left" w:pos="567"/>
          <w:tab w:val="left" w:pos="1276"/>
          <w:tab w:val="right" w:leader="dot" w:pos="10065"/>
        </w:tabs>
        <w:ind w:left="0"/>
        <w:rPr>
          <w:color w:val="000000" w:themeColor="text1"/>
        </w:rPr>
      </w:pPr>
      <w:r>
        <w:tab/>
        <w:t>5.2.2</w:t>
      </w:r>
      <w:r>
        <w:tab/>
      </w:r>
      <w:r w:rsidRPr="00066112">
        <w:rPr>
          <w:color w:val="000000" w:themeColor="text1"/>
        </w:rPr>
        <w:t>Gunbower Creek and Forest</w:t>
      </w:r>
      <w:r>
        <w:rPr>
          <w:color w:val="000000" w:themeColor="text1"/>
        </w:rPr>
        <w:tab/>
      </w:r>
      <w:r w:rsidR="005D7AC7">
        <w:rPr>
          <w:color w:val="000000" w:themeColor="text1"/>
        </w:rPr>
        <w:t>19</w:t>
      </w:r>
      <w:r w:rsidR="00444640">
        <w:rPr>
          <w:color w:val="000000" w:themeColor="text1"/>
        </w:rPr>
        <w:t>3</w:t>
      </w:r>
    </w:p>
    <w:p w:rsidR="00066112" w:rsidRDefault="00066112" w:rsidP="00066112">
      <w:pPr>
        <w:pStyle w:val="BodyText"/>
        <w:tabs>
          <w:tab w:val="left" w:pos="567"/>
          <w:tab w:val="left" w:pos="1276"/>
          <w:tab w:val="right" w:leader="dot" w:pos="10065"/>
        </w:tabs>
        <w:ind w:left="0"/>
        <w:rPr>
          <w:color w:val="000000" w:themeColor="text1"/>
        </w:rPr>
      </w:pPr>
      <w:r>
        <w:rPr>
          <w:color w:val="000000" w:themeColor="text1"/>
        </w:rPr>
        <w:tab/>
        <w:t>5.2.3</w:t>
      </w:r>
      <w:r>
        <w:rPr>
          <w:color w:val="000000" w:themeColor="text1"/>
        </w:rPr>
        <w:tab/>
      </w:r>
      <w:r w:rsidRPr="00066112">
        <w:rPr>
          <w:color w:val="000000" w:themeColor="text1"/>
        </w:rPr>
        <w:t>Central Murray wetlands</w:t>
      </w:r>
      <w:r>
        <w:rPr>
          <w:color w:val="000000" w:themeColor="text1"/>
        </w:rPr>
        <w:tab/>
      </w:r>
      <w:r w:rsidR="00444640">
        <w:rPr>
          <w:color w:val="000000" w:themeColor="text1"/>
        </w:rPr>
        <w:t>202</w:t>
      </w:r>
    </w:p>
    <w:p w:rsidR="00066112" w:rsidRDefault="00066112" w:rsidP="00066112">
      <w:pPr>
        <w:pStyle w:val="BodyText"/>
        <w:tabs>
          <w:tab w:val="left" w:pos="567"/>
          <w:tab w:val="left" w:pos="1276"/>
          <w:tab w:val="right" w:leader="dot" w:pos="10065"/>
        </w:tabs>
        <w:ind w:left="0"/>
        <w:rPr>
          <w:color w:val="000000" w:themeColor="text1"/>
        </w:rPr>
      </w:pPr>
      <w:r>
        <w:rPr>
          <w:color w:val="000000" w:themeColor="text1"/>
        </w:rPr>
        <w:tab/>
        <w:t>5.2.4</w:t>
      </w:r>
      <w:r>
        <w:rPr>
          <w:color w:val="000000" w:themeColor="text1"/>
        </w:rPr>
        <w:tab/>
      </w:r>
      <w:r w:rsidRPr="00066112">
        <w:rPr>
          <w:color w:val="000000" w:themeColor="text1"/>
        </w:rPr>
        <w:t>Hattah Lakes</w:t>
      </w:r>
      <w:r>
        <w:rPr>
          <w:color w:val="000000" w:themeColor="text1"/>
        </w:rPr>
        <w:tab/>
      </w:r>
      <w:r w:rsidR="005D7AC7">
        <w:rPr>
          <w:color w:val="000000" w:themeColor="text1"/>
        </w:rPr>
        <w:t>2</w:t>
      </w:r>
      <w:r w:rsidR="00444640">
        <w:rPr>
          <w:color w:val="000000" w:themeColor="text1"/>
        </w:rPr>
        <w:t>10</w:t>
      </w:r>
    </w:p>
    <w:p w:rsidR="00066112" w:rsidRDefault="00066112" w:rsidP="00066112">
      <w:pPr>
        <w:pStyle w:val="BodyText"/>
        <w:tabs>
          <w:tab w:val="left" w:pos="567"/>
          <w:tab w:val="left" w:pos="1276"/>
          <w:tab w:val="right" w:leader="dot" w:pos="10065"/>
        </w:tabs>
        <w:ind w:left="0"/>
        <w:rPr>
          <w:color w:val="000000" w:themeColor="text1"/>
        </w:rPr>
      </w:pPr>
      <w:r>
        <w:rPr>
          <w:color w:val="000000" w:themeColor="text1"/>
        </w:rPr>
        <w:tab/>
        <w:t>5.2.5</w:t>
      </w:r>
      <w:r>
        <w:rPr>
          <w:color w:val="000000" w:themeColor="text1"/>
        </w:rPr>
        <w:tab/>
      </w:r>
      <w:r w:rsidRPr="00066112">
        <w:rPr>
          <w:color w:val="000000" w:themeColor="text1"/>
        </w:rPr>
        <w:t>Lower Murray wetlands</w:t>
      </w:r>
      <w:r>
        <w:rPr>
          <w:color w:val="000000" w:themeColor="text1"/>
        </w:rPr>
        <w:tab/>
      </w:r>
      <w:r w:rsidR="005D7AC7">
        <w:rPr>
          <w:color w:val="000000" w:themeColor="text1"/>
        </w:rPr>
        <w:t>21</w:t>
      </w:r>
      <w:r w:rsidR="00444640">
        <w:rPr>
          <w:color w:val="000000" w:themeColor="text1"/>
        </w:rPr>
        <w:t>5</w:t>
      </w:r>
    </w:p>
    <w:p w:rsidR="00066112" w:rsidRPr="002A7565" w:rsidRDefault="00066112" w:rsidP="00066112">
      <w:pPr>
        <w:pStyle w:val="BodyText"/>
        <w:tabs>
          <w:tab w:val="left" w:pos="567"/>
          <w:tab w:val="left" w:pos="1276"/>
          <w:tab w:val="right" w:leader="dot" w:pos="10065"/>
        </w:tabs>
        <w:ind w:left="0"/>
      </w:pPr>
      <w:r>
        <w:rPr>
          <w:color w:val="000000" w:themeColor="text1"/>
        </w:rPr>
        <w:tab/>
        <w:t>5.2.6</w:t>
      </w:r>
      <w:r>
        <w:rPr>
          <w:color w:val="000000" w:themeColor="text1"/>
        </w:rPr>
        <w:tab/>
      </w:r>
      <w:r w:rsidRPr="00066112">
        <w:rPr>
          <w:color w:val="000000" w:themeColor="text1"/>
        </w:rPr>
        <w:t>Lindsay, Mulcra and Wallpolla islands</w:t>
      </w:r>
      <w:r>
        <w:rPr>
          <w:color w:val="000000" w:themeColor="text1"/>
        </w:rPr>
        <w:tab/>
      </w:r>
      <w:r w:rsidR="005D7AC7">
        <w:rPr>
          <w:color w:val="000000" w:themeColor="text1"/>
        </w:rPr>
        <w:t>2</w:t>
      </w:r>
      <w:r w:rsidR="00444640">
        <w:rPr>
          <w:color w:val="000000" w:themeColor="text1"/>
        </w:rPr>
        <w:t>20</w:t>
      </w:r>
    </w:p>
    <w:p w:rsidR="00066112" w:rsidRPr="002A7565" w:rsidRDefault="00066112" w:rsidP="00066112">
      <w:pPr>
        <w:pStyle w:val="BodyText"/>
        <w:tabs>
          <w:tab w:val="left" w:pos="567"/>
          <w:tab w:val="left" w:pos="1276"/>
          <w:tab w:val="right" w:leader="dot" w:pos="10065"/>
        </w:tabs>
        <w:ind w:left="0"/>
      </w:pPr>
      <w:r>
        <w:t>5</w:t>
      </w:r>
      <w:r w:rsidRPr="002A7565">
        <w:t xml:space="preserve">.3 </w:t>
      </w:r>
      <w:r>
        <w:tab/>
        <w:t>Ovens</w:t>
      </w:r>
      <w:r w:rsidRPr="005675D9">
        <w:t xml:space="preserve"> system</w:t>
      </w:r>
      <w:r>
        <w:tab/>
      </w:r>
      <w:r w:rsidR="005D7AC7">
        <w:t>22</w:t>
      </w:r>
      <w:r w:rsidR="00444640">
        <w:t>9</w:t>
      </w:r>
    </w:p>
    <w:p w:rsidR="00066112" w:rsidRDefault="00066112" w:rsidP="00066112">
      <w:pPr>
        <w:pStyle w:val="BodyText"/>
        <w:tabs>
          <w:tab w:val="left" w:pos="567"/>
          <w:tab w:val="left" w:pos="1276"/>
          <w:tab w:val="right" w:leader="dot" w:pos="10065"/>
        </w:tabs>
        <w:ind w:left="0"/>
      </w:pPr>
      <w:r>
        <w:t>5</w:t>
      </w:r>
      <w:r w:rsidRPr="002A7565">
        <w:t>.4</w:t>
      </w:r>
      <w:r>
        <w:tab/>
      </w:r>
      <w:r w:rsidRPr="00066112">
        <w:rPr>
          <w:color w:val="000000" w:themeColor="text1"/>
        </w:rPr>
        <w:t>Goulburn system</w:t>
      </w:r>
      <w:r>
        <w:tab/>
      </w:r>
      <w:r w:rsidR="005D7AC7">
        <w:t>23</w:t>
      </w:r>
      <w:r w:rsidR="00444640">
        <w:t>4</w:t>
      </w:r>
    </w:p>
    <w:p w:rsidR="00066112" w:rsidRDefault="00066112" w:rsidP="00066112">
      <w:pPr>
        <w:pStyle w:val="BodyText"/>
        <w:tabs>
          <w:tab w:val="left" w:pos="567"/>
          <w:tab w:val="left" w:pos="1276"/>
          <w:tab w:val="right" w:leader="dot" w:pos="10065"/>
        </w:tabs>
        <w:ind w:left="0"/>
      </w:pPr>
      <w:r>
        <w:tab/>
        <w:t>5.4.1</w:t>
      </w:r>
      <w:r>
        <w:tab/>
      </w:r>
      <w:r w:rsidRPr="00066112">
        <w:rPr>
          <w:color w:val="000000" w:themeColor="text1"/>
        </w:rPr>
        <w:t>Goulburn River</w:t>
      </w:r>
      <w:r>
        <w:tab/>
      </w:r>
      <w:r w:rsidR="005D7AC7">
        <w:t>23</w:t>
      </w:r>
      <w:r w:rsidR="00444640">
        <w:t>4</w:t>
      </w:r>
    </w:p>
    <w:p w:rsidR="00066112" w:rsidRDefault="00066112" w:rsidP="00066112">
      <w:pPr>
        <w:pStyle w:val="BodyText"/>
        <w:tabs>
          <w:tab w:val="left" w:pos="567"/>
          <w:tab w:val="left" w:pos="1276"/>
          <w:tab w:val="right" w:leader="dot" w:pos="10065"/>
        </w:tabs>
        <w:ind w:left="0"/>
        <w:rPr>
          <w:color w:val="000000" w:themeColor="text1"/>
        </w:rPr>
      </w:pPr>
      <w:r>
        <w:tab/>
        <w:t>5.4.2</w:t>
      </w:r>
      <w:r>
        <w:tab/>
      </w:r>
      <w:r w:rsidRPr="00066112">
        <w:rPr>
          <w:color w:val="000000" w:themeColor="text1"/>
        </w:rPr>
        <w:t>Goulburn wetlands</w:t>
      </w:r>
      <w:r>
        <w:rPr>
          <w:color w:val="000000" w:themeColor="text1"/>
        </w:rPr>
        <w:tab/>
      </w:r>
      <w:r w:rsidR="005D7AC7">
        <w:rPr>
          <w:color w:val="000000" w:themeColor="text1"/>
        </w:rPr>
        <w:t>2</w:t>
      </w:r>
      <w:r w:rsidR="00444640">
        <w:rPr>
          <w:color w:val="000000" w:themeColor="text1"/>
        </w:rPr>
        <w:t>42</w:t>
      </w:r>
    </w:p>
    <w:p w:rsidR="00066112" w:rsidRDefault="00066112" w:rsidP="00066112">
      <w:pPr>
        <w:pStyle w:val="BodyText"/>
        <w:tabs>
          <w:tab w:val="left" w:pos="567"/>
          <w:tab w:val="left" w:pos="1276"/>
          <w:tab w:val="right" w:leader="dot" w:pos="10065"/>
        </w:tabs>
        <w:ind w:left="0"/>
      </w:pPr>
      <w:r>
        <w:t>5</w:t>
      </w:r>
      <w:r w:rsidRPr="002A7565">
        <w:t>.</w:t>
      </w:r>
      <w:r>
        <w:t>5</w:t>
      </w:r>
      <w:r w:rsidRPr="002A7565">
        <w:t>.</w:t>
      </w:r>
      <w:r>
        <w:tab/>
      </w:r>
      <w:r w:rsidRPr="00066112">
        <w:rPr>
          <w:color w:val="000000" w:themeColor="text1"/>
        </w:rPr>
        <w:t>Broken system</w:t>
      </w:r>
      <w:r>
        <w:tab/>
      </w:r>
      <w:r w:rsidR="00423E31">
        <w:t>24</w:t>
      </w:r>
      <w:r w:rsidR="00444640">
        <w:t>7</w:t>
      </w:r>
    </w:p>
    <w:p w:rsidR="00066112" w:rsidRDefault="00066112" w:rsidP="00066112">
      <w:pPr>
        <w:pStyle w:val="BodyText"/>
        <w:tabs>
          <w:tab w:val="left" w:pos="567"/>
          <w:tab w:val="left" w:pos="1276"/>
          <w:tab w:val="right" w:leader="dot" w:pos="10065"/>
        </w:tabs>
        <w:ind w:left="0"/>
      </w:pPr>
      <w:r>
        <w:tab/>
        <w:t>5.5.1</w:t>
      </w:r>
      <w:r>
        <w:tab/>
      </w:r>
      <w:r w:rsidRPr="00066112">
        <w:rPr>
          <w:color w:val="000000" w:themeColor="text1"/>
        </w:rPr>
        <w:t>Broken River and upper Broken Creek</w:t>
      </w:r>
      <w:r>
        <w:tab/>
      </w:r>
      <w:r w:rsidR="00423E31">
        <w:t>24</w:t>
      </w:r>
      <w:r w:rsidR="00444640">
        <w:t>7</w:t>
      </w:r>
    </w:p>
    <w:p w:rsidR="00066112" w:rsidRDefault="00066112" w:rsidP="00066112">
      <w:pPr>
        <w:pStyle w:val="BodyText"/>
        <w:tabs>
          <w:tab w:val="left" w:pos="567"/>
          <w:tab w:val="left" w:pos="1276"/>
          <w:tab w:val="right" w:leader="dot" w:pos="10065"/>
        </w:tabs>
        <w:ind w:left="0"/>
        <w:rPr>
          <w:color w:val="000000" w:themeColor="text1"/>
        </w:rPr>
      </w:pPr>
      <w:r>
        <w:tab/>
        <w:t>5.5.2</w:t>
      </w:r>
      <w:r>
        <w:tab/>
      </w:r>
      <w:r w:rsidRPr="00066112">
        <w:rPr>
          <w:color w:val="000000" w:themeColor="text1"/>
        </w:rPr>
        <w:t>Lower Broken Creek</w:t>
      </w:r>
      <w:r>
        <w:rPr>
          <w:color w:val="000000" w:themeColor="text1"/>
        </w:rPr>
        <w:tab/>
      </w:r>
      <w:r w:rsidR="00423E31">
        <w:rPr>
          <w:color w:val="000000" w:themeColor="text1"/>
        </w:rPr>
        <w:t>2</w:t>
      </w:r>
      <w:r w:rsidR="00444640">
        <w:rPr>
          <w:color w:val="000000" w:themeColor="text1"/>
        </w:rPr>
        <w:t>52</w:t>
      </w:r>
    </w:p>
    <w:p w:rsidR="00066112" w:rsidRDefault="00066112" w:rsidP="00066112">
      <w:pPr>
        <w:pStyle w:val="BodyText"/>
        <w:tabs>
          <w:tab w:val="left" w:pos="567"/>
          <w:tab w:val="left" w:pos="1276"/>
          <w:tab w:val="right" w:leader="dot" w:pos="10065"/>
        </w:tabs>
        <w:ind w:left="0"/>
        <w:rPr>
          <w:color w:val="000000" w:themeColor="text1"/>
        </w:rPr>
      </w:pPr>
      <w:r>
        <w:rPr>
          <w:color w:val="000000" w:themeColor="text1"/>
        </w:rPr>
        <w:tab/>
        <w:t>5.5.3</w:t>
      </w:r>
      <w:r>
        <w:rPr>
          <w:color w:val="000000" w:themeColor="text1"/>
        </w:rPr>
        <w:tab/>
      </w:r>
      <w:r w:rsidRPr="00066112">
        <w:rPr>
          <w:color w:val="000000" w:themeColor="text1"/>
        </w:rPr>
        <w:t>Broken wetlands</w:t>
      </w:r>
      <w:r>
        <w:rPr>
          <w:color w:val="000000" w:themeColor="text1"/>
        </w:rPr>
        <w:tab/>
      </w:r>
      <w:r w:rsidR="00423E31">
        <w:rPr>
          <w:color w:val="000000" w:themeColor="text1"/>
        </w:rPr>
        <w:t>25</w:t>
      </w:r>
      <w:r w:rsidR="00444640">
        <w:rPr>
          <w:color w:val="000000" w:themeColor="text1"/>
        </w:rPr>
        <w:t>6</w:t>
      </w:r>
    </w:p>
    <w:p w:rsidR="00066112" w:rsidRDefault="00066112" w:rsidP="00066112">
      <w:pPr>
        <w:pStyle w:val="BodyText"/>
        <w:tabs>
          <w:tab w:val="left" w:pos="567"/>
          <w:tab w:val="left" w:pos="1276"/>
          <w:tab w:val="right" w:leader="dot" w:pos="10065"/>
        </w:tabs>
        <w:ind w:left="0"/>
      </w:pPr>
      <w:r>
        <w:t>5</w:t>
      </w:r>
      <w:r w:rsidRPr="002A7565">
        <w:t>.</w:t>
      </w:r>
      <w:r>
        <w:t>6</w:t>
      </w:r>
      <w:r>
        <w:tab/>
      </w:r>
      <w:r w:rsidRPr="00066112">
        <w:rPr>
          <w:color w:val="000000" w:themeColor="text1"/>
        </w:rPr>
        <w:t>Campaspe system</w:t>
      </w:r>
      <w:r>
        <w:tab/>
      </w:r>
      <w:r w:rsidR="00423E31">
        <w:t>25</w:t>
      </w:r>
      <w:r w:rsidR="00444640">
        <w:t>9</w:t>
      </w:r>
    </w:p>
    <w:p w:rsidR="00066112" w:rsidRDefault="00066112" w:rsidP="00066112">
      <w:pPr>
        <w:pStyle w:val="BodyText"/>
        <w:tabs>
          <w:tab w:val="left" w:pos="567"/>
          <w:tab w:val="left" w:pos="1276"/>
          <w:tab w:val="right" w:leader="dot" w:pos="10065"/>
        </w:tabs>
        <w:ind w:left="0"/>
      </w:pPr>
      <w:r>
        <w:tab/>
        <w:t>5.6.1</w:t>
      </w:r>
      <w:r>
        <w:tab/>
      </w:r>
      <w:r w:rsidRPr="00066112">
        <w:rPr>
          <w:color w:val="000000" w:themeColor="text1"/>
        </w:rPr>
        <w:t>Campaspe River</w:t>
      </w:r>
      <w:r>
        <w:tab/>
      </w:r>
      <w:r w:rsidR="00423E31">
        <w:t>25</w:t>
      </w:r>
      <w:r w:rsidR="00444640">
        <w:t>9</w:t>
      </w:r>
    </w:p>
    <w:p w:rsidR="00066112" w:rsidRDefault="00066112" w:rsidP="00066112">
      <w:pPr>
        <w:pStyle w:val="BodyText"/>
        <w:tabs>
          <w:tab w:val="left" w:pos="567"/>
          <w:tab w:val="left" w:pos="1276"/>
          <w:tab w:val="right" w:leader="dot" w:pos="10065"/>
        </w:tabs>
        <w:ind w:left="0"/>
        <w:rPr>
          <w:color w:val="000000" w:themeColor="text1"/>
        </w:rPr>
      </w:pPr>
      <w:r>
        <w:tab/>
        <w:t>5.6.2</w:t>
      </w:r>
      <w:r>
        <w:tab/>
      </w:r>
      <w:r w:rsidRPr="00066112">
        <w:rPr>
          <w:color w:val="000000" w:themeColor="text1"/>
        </w:rPr>
        <w:t>Coliban River</w:t>
      </w:r>
      <w:r>
        <w:rPr>
          <w:color w:val="000000" w:themeColor="text1"/>
        </w:rPr>
        <w:tab/>
      </w:r>
      <w:r w:rsidR="004D037F">
        <w:rPr>
          <w:color w:val="000000" w:themeColor="text1"/>
        </w:rPr>
        <w:t>26</w:t>
      </w:r>
      <w:r w:rsidR="00444640">
        <w:rPr>
          <w:color w:val="000000" w:themeColor="text1"/>
        </w:rPr>
        <w:t>6</w:t>
      </w:r>
    </w:p>
    <w:p w:rsidR="00066112" w:rsidRDefault="00066112" w:rsidP="00066112">
      <w:pPr>
        <w:pStyle w:val="BodyText"/>
        <w:tabs>
          <w:tab w:val="left" w:pos="567"/>
          <w:tab w:val="left" w:pos="1276"/>
          <w:tab w:val="right" w:leader="dot" w:pos="10065"/>
        </w:tabs>
        <w:ind w:left="0"/>
      </w:pPr>
      <w:r>
        <w:t>5</w:t>
      </w:r>
      <w:r w:rsidRPr="002A7565">
        <w:t>.</w:t>
      </w:r>
      <w:r>
        <w:t>7</w:t>
      </w:r>
      <w:r w:rsidRPr="002A7565">
        <w:t>.</w:t>
      </w:r>
      <w:r>
        <w:tab/>
      </w:r>
      <w:r w:rsidRPr="00066112">
        <w:rPr>
          <w:color w:val="000000" w:themeColor="text1"/>
        </w:rPr>
        <w:t>Loddon system</w:t>
      </w:r>
      <w:r>
        <w:tab/>
      </w:r>
      <w:r w:rsidR="004D037F">
        <w:t>2</w:t>
      </w:r>
      <w:r w:rsidR="00444640">
        <w:t>70</w:t>
      </w:r>
    </w:p>
    <w:p w:rsidR="00066112" w:rsidRDefault="00066112" w:rsidP="00066112">
      <w:pPr>
        <w:pStyle w:val="BodyText"/>
        <w:tabs>
          <w:tab w:val="left" w:pos="567"/>
          <w:tab w:val="left" w:pos="1276"/>
          <w:tab w:val="right" w:leader="dot" w:pos="10065"/>
        </w:tabs>
        <w:ind w:left="0"/>
      </w:pPr>
      <w:r>
        <w:tab/>
        <w:t>5.7.1</w:t>
      </w:r>
      <w:r>
        <w:tab/>
      </w:r>
      <w:r w:rsidRPr="00066112">
        <w:rPr>
          <w:color w:val="000000" w:themeColor="text1"/>
        </w:rPr>
        <w:t>Loddon River system (including Tullaroop, Serpentine and Pyramid creeks)</w:t>
      </w:r>
      <w:r>
        <w:tab/>
      </w:r>
      <w:r w:rsidR="004D037F">
        <w:t>2</w:t>
      </w:r>
      <w:r w:rsidR="00444640">
        <w:t>70</w:t>
      </w:r>
    </w:p>
    <w:p w:rsidR="00066112" w:rsidRDefault="00066112" w:rsidP="00066112">
      <w:pPr>
        <w:pStyle w:val="BodyText"/>
        <w:tabs>
          <w:tab w:val="left" w:pos="567"/>
          <w:tab w:val="left" w:pos="1276"/>
          <w:tab w:val="right" w:leader="dot" w:pos="10065"/>
        </w:tabs>
        <w:ind w:left="0"/>
        <w:rPr>
          <w:color w:val="000000" w:themeColor="text1"/>
        </w:rPr>
      </w:pPr>
      <w:r>
        <w:tab/>
        <w:t>5.7.2</w:t>
      </w:r>
      <w:r>
        <w:tab/>
      </w:r>
      <w:r w:rsidRPr="00066112">
        <w:rPr>
          <w:color w:val="000000" w:themeColor="text1"/>
        </w:rPr>
        <w:t>Boort wetlands</w:t>
      </w:r>
      <w:r>
        <w:rPr>
          <w:color w:val="000000" w:themeColor="text1"/>
        </w:rPr>
        <w:tab/>
      </w:r>
      <w:r w:rsidR="004D037F">
        <w:rPr>
          <w:color w:val="000000" w:themeColor="text1"/>
        </w:rPr>
        <w:t>27</w:t>
      </w:r>
      <w:r w:rsidR="00444640">
        <w:rPr>
          <w:color w:val="000000" w:themeColor="text1"/>
        </w:rPr>
        <w:t>9</w:t>
      </w:r>
    </w:p>
    <w:p w:rsidR="00066112" w:rsidRDefault="00066112" w:rsidP="00066112">
      <w:pPr>
        <w:pStyle w:val="BodyText"/>
        <w:tabs>
          <w:tab w:val="left" w:pos="567"/>
          <w:tab w:val="left" w:pos="1276"/>
          <w:tab w:val="right" w:leader="dot" w:pos="10065"/>
        </w:tabs>
        <w:ind w:left="0"/>
        <w:rPr>
          <w:color w:val="000000" w:themeColor="text1"/>
        </w:rPr>
      </w:pPr>
      <w:r>
        <w:rPr>
          <w:color w:val="000000" w:themeColor="text1"/>
        </w:rPr>
        <w:tab/>
        <w:t>5.7.3</w:t>
      </w:r>
      <w:r>
        <w:rPr>
          <w:color w:val="000000" w:themeColor="text1"/>
        </w:rPr>
        <w:tab/>
      </w:r>
      <w:r w:rsidRPr="00066112">
        <w:rPr>
          <w:color w:val="000000" w:themeColor="text1"/>
        </w:rPr>
        <w:t>Birchs Creek</w:t>
      </w:r>
      <w:r>
        <w:rPr>
          <w:color w:val="000000" w:themeColor="text1"/>
        </w:rPr>
        <w:tab/>
      </w:r>
      <w:r w:rsidR="004D037F">
        <w:rPr>
          <w:color w:val="000000" w:themeColor="text1"/>
        </w:rPr>
        <w:t>28</w:t>
      </w:r>
      <w:r w:rsidR="00444640">
        <w:rPr>
          <w:color w:val="000000" w:themeColor="text1"/>
        </w:rPr>
        <w:t>4</w:t>
      </w:r>
    </w:p>
    <w:p w:rsidR="00066112" w:rsidRPr="00066112" w:rsidRDefault="00066112" w:rsidP="00066112">
      <w:pPr>
        <w:pStyle w:val="BodyText"/>
        <w:tabs>
          <w:tab w:val="left" w:pos="567"/>
          <w:tab w:val="left" w:pos="1276"/>
          <w:tab w:val="right" w:leader="dot" w:pos="10065"/>
        </w:tabs>
        <w:ind w:left="0"/>
        <w:rPr>
          <w:color w:val="000000" w:themeColor="text1"/>
        </w:rPr>
      </w:pPr>
    </w:p>
    <w:p w:rsidR="00066112" w:rsidRDefault="00066112">
      <w:pPr>
        <w:rPr>
          <w:b/>
          <w:sz w:val="10"/>
        </w:rPr>
      </w:pPr>
      <w:r>
        <w:rPr>
          <w:b/>
          <w:sz w:val="10"/>
        </w:rPr>
        <w:br w:type="page"/>
      </w:r>
    </w:p>
    <w:p w:rsidR="00066112" w:rsidRDefault="00066112">
      <w:pPr>
        <w:rPr>
          <w:b/>
          <w:sz w:val="10"/>
          <w:szCs w:val="20"/>
        </w:rPr>
      </w:pPr>
    </w:p>
    <w:p w:rsidR="006A7A3F" w:rsidRDefault="00BC7372">
      <w:pPr>
        <w:pStyle w:val="Heading1"/>
        <w:numPr>
          <w:ilvl w:val="1"/>
          <w:numId w:val="577"/>
        </w:numPr>
        <w:tabs>
          <w:tab w:val="left" w:pos="911"/>
        </w:tabs>
        <w:spacing w:before="64"/>
      </w:pPr>
      <w:r>
        <w:rPr>
          <w:color w:val="231F20"/>
        </w:rPr>
        <w:t>Northern region</w:t>
      </w:r>
      <w:r>
        <w:rPr>
          <w:color w:val="231F20"/>
          <w:spacing w:val="-2"/>
        </w:rPr>
        <w:t xml:space="preserve"> </w:t>
      </w:r>
      <w:r>
        <w:rPr>
          <w:color w:val="231F20"/>
        </w:rPr>
        <w:t>overview</w:t>
      </w:r>
    </w:p>
    <w:p w:rsidR="006A7A3F" w:rsidRDefault="00BC7372">
      <w:pPr>
        <w:pStyle w:val="Heading2"/>
        <w:spacing w:line="249" w:lineRule="auto"/>
        <w:ind w:right="236"/>
      </w:pPr>
      <w:r>
        <w:rPr>
          <w:color w:val="231F20"/>
        </w:rPr>
        <w:t xml:space="preserve">The northern region has six river systems, four major floodplain sites and many wetlands that can receive water for the environment. The Broken, Campaspe, Goulburn, Loddon and Ovens river systems are tributaries of the Murray </w:t>
      </w:r>
      <w:r>
        <w:rPr>
          <w:color w:val="231F20"/>
          <w:spacing w:val="-4"/>
        </w:rPr>
        <w:t xml:space="preserve">River. </w:t>
      </w:r>
      <w:r>
        <w:rPr>
          <w:color w:val="231F20"/>
        </w:rPr>
        <w:t xml:space="preserve">The four major floodplain sites along the Murray River corridor are Barmah Forest, Gunbower Forest, Hattah Lakes and </w:t>
      </w:r>
      <w:r>
        <w:rPr>
          <w:color w:val="231F20"/>
          <w:spacing w:val="-4"/>
        </w:rPr>
        <w:t xml:space="preserve">Lindsay, </w:t>
      </w:r>
      <w:r>
        <w:rPr>
          <w:color w:val="231F20"/>
        </w:rPr>
        <w:t xml:space="preserve">Mulcra and </w:t>
      </w:r>
      <w:r>
        <w:rPr>
          <w:color w:val="231F20"/>
          <w:spacing w:val="-3"/>
        </w:rPr>
        <w:t xml:space="preserve">Wallpolla </w:t>
      </w:r>
      <w:r>
        <w:rPr>
          <w:color w:val="231F20"/>
        </w:rPr>
        <w:t>islands. The other wetlands are distributed across the Broken, Goulburn, Loddon and Murray floodplains. The rivers and wetlands in the northern region are managed by the North East, Goulburn Broken, North Central and Mallee</w:t>
      </w:r>
      <w:r>
        <w:rPr>
          <w:color w:val="231F20"/>
          <w:spacing w:val="-3"/>
        </w:rPr>
        <w:t xml:space="preserve"> </w:t>
      </w:r>
      <w:r>
        <w:rPr>
          <w:color w:val="231F20"/>
        </w:rPr>
        <w:t>CMAs.</w:t>
      </w:r>
    </w:p>
    <w:p w:rsidR="006A7A3F" w:rsidRDefault="00BC7372" w:rsidP="004107F7">
      <w:pPr>
        <w:pStyle w:val="BodyText"/>
        <w:spacing w:before="155" w:line="249" w:lineRule="auto"/>
        <w:ind w:right="459"/>
      </w:pPr>
      <w:r>
        <w:rPr>
          <w:color w:val="231F20"/>
        </w:rPr>
        <w:t>Many of the water systems in the northern region are connected through infrastructure (such as Goulburn Weir and the Waranga Western Channel), which allows water to be physically delivered from the Goulburn River to the Loddon and Campaspe systems. Water trading also enables transfers of allocation between systems. Within the limitations of each mechanism, water for the environment can be moved between systems for delivery to</w:t>
      </w:r>
      <w:r w:rsidR="004107F7">
        <w:rPr>
          <w:color w:val="231F20"/>
        </w:rPr>
        <w:t xml:space="preserve"> </w:t>
      </w:r>
      <w:r>
        <w:rPr>
          <w:color w:val="231F20"/>
        </w:rPr>
        <w:t>environmental sites across northern Victoria, although most water for the environment is used to provide benefits in the systems in which the water is held.</w:t>
      </w:r>
    </w:p>
    <w:p w:rsidR="006A7A3F" w:rsidRDefault="00BC7372">
      <w:pPr>
        <w:pStyle w:val="BodyText"/>
        <w:spacing w:line="249" w:lineRule="auto"/>
        <w:ind w:right="196"/>
      </w:pPr>
      <w:r>
        <w:rPr>
          <w:color w:val="231F20"/>
        </w:rPr>
        <w:t>Environmental values, recent conditions, environmental watering objectives and planned actions for each system in the northern region are presented in the system sections that follow.</w:t>
      </w:r>
    </w:p>
    <w:p w:rsidR="006A7A3F" w:rsidRDefault="00BC7372">
      <w:pPr>
        <w:spacing w:before="181"/>
        <w:ind w:left="210"/>
        <w:rPr>
          <w:rFonts w:ascii="Helvetica Neue LT Std 75"/>
          <w:b/>
          <w:sz w:val="19"/>
        </w:rPr>
      </w:pPr>
      <w:r>
        <w:rPr>
          <w:rFonts w:ascii="Helvetica Neue LT Std 75"/>
          <w:b/>
          <w:color w:val="231F20"/>
          <w:sz w:val="19"/>
        </w:rPr>
        <w:t>Traditional Owners in the northern region</w:t>
      </w:r>
    </w:p>
    <w:p w:rsidR="006A7A3F" w:rsidRDefault="00BC7372">
      <w:pPr>
        <w:pStyle w:val="BodyText"/>
        <w:spacing w:before="68"/>
      </w:pPr>
      <w:r>
        <w:rPr>
          <w:color w:val="231F20"/>
        </w:rPr>
        <w:t>Traditional Owners in the northern region have a deep connection to the region’s rivers, wetlands and floodplains.</w:t>
      </w:r>
    </w:p>
    <w:p w:rsidR="006A7A3F" w:rsidRDefault="00BC7372">
      <w:pPr>
        <w:pStyle w:val="BodyText"/>
        <w:spacing w:before="180" w:line="249" w:lineRule="auto"/>
        <w:ind w:right="363"/>
      </w:pPr>
      <w:r>
        <w:rPr>
          <w:color w:val="231F20"/>
        </w:rPr>
        <w:t>The Traditional Owner groups in and around northern Victoria include Barapa Barapa, Dhudhuroa, Latji Latji, Ngintait, Nyeri Nyeri, Taungurung, Tati Tati, Wadi Wadi, Wamba Wemba, Waywurru, Weki Weki, Yorta Yorta and Yaithmathang. The Dja Dja Wurrung Clans Aboriginal Corporation, First People of the Millewa-Mallee Aboriginal Corporation (representing Latji Latji, Nyeri Nyeri, Ngintait and Wergaia), Taungurung Land and Waters Council Aboriginal Corporation and Yorta Yorta Nation Aboriginal Corporation are Registered Aboriginal Parties under the Aboriginal Heritage Act 2006.</w:t>
      </w:r>
    </w:p>
    <w:p w:rsidR="006A7A3F" w:rsidRDefault="00BC7372">
      <w:pPr>
        <w:pStyle w:val="BodyText"/>
        <w:spacing w:before="175"/>
      </w:pPr>
      <w:r>
        <w:rPr>
          <w:color w:val="231F20"/>
        </w:rPr>
        <w:t>There are several formal agreements in place with Traditional Owners in the northern region.</w:t>
      </w:r>
    </w:p>
    <w:p w:rsidR="006A7A3F" w:rsidRDefault="00BC7372">
      <w:pPr>
        <w:pStyle w:val="BodyText"/>
        <w:spacing w:before="180" w:line="249" w:lineRule="auto"/>
        <w:ind w:right="100"/>
      </w:pPr>
      <w:r>
        <w:rPr>
          <w:color w:val="231F20"/>
        </w:rPr>
        <w:t>In 2013, the Dja Dja Wurrung Clans Aboriginal Corporation entered into a recognition and settlement agreement under the Traditional Owner Settlement Act 2010 in Victoria. Under the agreement, Dja Dja Wurrung has rights to access and use water for traditional purposes, providing the take of water does not affect other parties.</w:t>
      </w:r>
    </w:p>
    <w:p w:rsidR="006A7A3F" w:rsidRDefault="00BC7372">
      <w:pPr>
        <w:pStyle w:val="BodyText"/>
        <w:spacing w:line="249" w:lineRule="auto"/>
        <w:ind w:right="452"/>
      </w:pPr>
      <w:r>
        <w:rPr>
          <w:color w:val="231F20"/>
        </w:rPr>
        <w:t>In 2004, the Victorian Government entered into a cooperative management agreement with the Yorta Yorta to improve collaboration in the management of their Country including Barmah State Forest and reserves along the Goulburn River.</w:t>
      </w:r>
    </w:p>
    <w:p w:rsidR="006A7A3F" w:rsidRDefault="00BC7372">
      <w:pPr>
        <w:pStyle w:val="BodyText"/>
        <w:spacing w:before="173" w:line="249" w:lineRule="auto"/>
        <w:ind w:right="297"/>
      </w:pPr>
      <w:r>
        <w:rPr>
          <w:color w:val="231F20"/>
        </w:rPr>
        <w:t>In 2010 the Yorta Yorta Nation Aboriginal Corporation and the State of Victoria entered into a Traditional Owner Land Management Agreement under the Conservation, Forests and Lands Act 1987 over Barmah National Park. This established the Yorta Yorta Traditional Owner Land Management Board to jointly manage Barmah National Park.</w:t>
      </w:r>
    </w:p>
    <w:p w:rsidR="006A7A3F" w:rsidRDefault="00BC7372">
      <w:pPr>
        <w:pStyle w:val="BodyText"/>
        <w:spacing w:before="173" w:line="249" w:lineRule="auto"/>
        <w:ind w:right="351"/>
      </w:pPr>
      <w:r>
        <w:rPr>
          <w:color w:val="231F20"/>
        </w:rPr>
        <w:t>In 2018, the Victorian Government, the Taungurung Clans Aboriginal Corporation and the Taungurung Traditional Owner group signed agreements under the Traditional Owner Settlement Act 2010 and related legislation.</w:t>
      </w:r>
    </w:p>
    <w:p w:rsidR="002840E5" w:rsidRDefault="002840E5">
      <w:pPr>
        <w:rPr>
          <w:rFonts w:ascii="Helvetica Neue LT Std 75"/>
          <w:b/>
          <w:color w:val="231F20"/>
          <w:sz w:val="19"/>
        </w:rPr>
      </w:pPr>
      <w:r>
        <w:rPr>
          <w:rFonts w:ascii="Helvetica Neue LT Std 75"/>
          <w:b/>
          <w:color w:val="231F20"/>
          <w:sz w:val="19"/>
        </w:rPr>
        <w:br w:type="page"/>
      </w:r>
    </w:p>
    <w:p w:rsidR="006A7A3F" w:rsidRDefault="00BC7372">
      <w:pPr>
        <w:spacing w:before="181"/>
        <w:ind w:left="210"/>
        <w:rPr>
          <w:rFonts w:ascii="Helvetica Neue LT Std 75"/>
          <w:b/>
          <w:sz w:val="19"/>
        </w:rPr>
      </w:pPr>
      <w:r>
        <w:rPr>
          <w:rFonts w:ascii="Helvetica Neue LT Std 75"/>
          <w:b/>
          <w:color w:val="231F20"/>
          <w:sz w:val="19"/>
        </w:rPr>
        <w:t>Engagement</w:t>
      </w:r>
    </w:p>
    <w:p w:rsidR="006A7A3F" w:rsidRDefault="00BC7372" w:rsidP="004107F7">
      <w:pPr>
        <w:pStyle w:val="BodyText"/>
        <w:spacing w:before="68" w:line="249" w:lineRule="auto"/>
        <w:ind w:right="574"/>
      </w:pPr>
      <w:r>
        <w:rPr>
          <w:color w:val="231F20"/>
        </w:rPr>
        <w:t>Seasonal watering proposals are informed by community, stakeholder and program partner engagement, as well as longer-term regional catchment strategies, regional waterway strategies, relevant technical studies (such as environmental flow studies and environmental water management plans). Program partners and other</w:t>
      </w:r>
      <w:r w:rsidR="004107F7">
        <w:rPr>
          <w:color w:val="231F20"/>
        </w:rPr>
        <w:t xml:space="preserve"> </w:t>
      </w:r>
      <w:r>
        <w:rPr>
          <w:color w:val="231F20"/>
        </w:rPr>
        <w:t>stakeholders help to identify environmental watering priorities and opportunities for the coming year. The strategies and technical reports collectively describe a range of environmental, cultural, economic, social and Traditional Owner perspectives and longer-term integrated catchment and waterway management objectives that influence environmental watering actions and priorities.</w:t>
      </w:r>
    </w:p>
    <w:p w:rsidR="006A7A3F" w:rsidRDefault="00BC7372" w:rsidP="004107F7">
      <w:pPr>
        <w:pStyle w:val="BodyText"/>
        <w:spacing w:before="173"/>
      </w:pPr>
      <w:r>
        <w:rPr>
          <w:color w:val="231F20"/>
        </w:rPr>
        <w:t>The International Association for Public Participation’s Public Participation Spectrum (IAP2 Spectrum) has been</w:t>
      </w:r>
      <w:r w:rsidR="004107F7">
        <w:t xml:space="preserve"> </w:t>
      </w:r>
      <w:r>
        <w:rPr>
          <w:color w:val="231F20"/>
        </w:rPr>
        <w:t>used to categorise the levels of participation of stakeholders involved in the environmental watering planning process. Table 5.1.1 shows the IAP2 Spectrum categories and participation goals.</w:t>
      </w:r>
    </w:p>
    <w:p w:rsidR="006A7A3F" w:rsidRDefault="00BC7372">
      <w:pPr>
        <w:spacing w:before="167" w:line="249" w:lineRule="auto"/>
        <w:ind w:left="210" w:right="457"/>
        <w:rPr>
          <w:b/>
          <w:sz w:val="10"/>
        </w:rPr>
      </w:pPr>
      <w:r>
        <w:rPr>
          <w:b/>
          <w:color w:val="231F20"/>
          <w:sz w:val="18"/>
        </w:rPr>
        <w:t>Table 5.1.1 International Association for Public Participation’s Public Participation Spectrum categories and participation goals</w:t>
      </w:r>
      <w:r>
        <w:rPr>
          <w:b/>
          <w:color w:val="231F20"/>
          <w:position w:val="6"/>
          <w:sz w:val="10"/>
        </w:rPr>
        <w:t>1</w:t>
      </w:r>
    </w:p>
    <w:p w:rsidR="006A7A3F" w:rsidRDefault="006A7A3F">
      <w:pPr>
        <w:pStyle w:val="BodyText"/>
        <w:spacing w:before="10"/>
        <w:ind w:left="0"/>
        <w:rPr>
          <w:b/>
          <w:sz w:val="7"/>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8494"/>
      </w:tblGrid>
      <w:tr w:rsidR="006A7A3F">
        <w:trPr>
          <w:trHeight w:val="367"/>
        </w:trPr>
        <w:tc>
          <w:tcPr>
            <w:tcW w:w="170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IAP2 level</w:t>
            </w:r>
          </w:p>
        </w:tc>
        <w:tc>
          <w:tcPr>
            <w:tcW w:w="8494"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Engagement goal</w:t>
            </w:r>
          </w:p>
        </w:tc>
      </w:tr>
      <w:tr w:rsidR="006A7A3F">
        <w:trPr>
          <w:trHeight w:val="333"/>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Inform</w:t>
            </w:r>
          </w:p>
        </w:tc>
        <w:tc>
          <w:tcPr>
            <w:tcW w:w="8494"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4"/>
              <w:rPr>
                <w:sz w:val="16"/>
              </w:rPr>
            </w:pPr>
            <w:r>
              <w:rPr>
                <w:color w:val="231F20"/>
                <w:sz w:val="16"/>
              </w:rPr>
              <w:t>Provide balanced and objective information to assist understanding, alternatives, opportunities and/or solutions</w:t>
            </w:r>
          </w:p>
        </w:tc>
      </w:tr>
      <w:tr w:rsidR="006A7A3F">
        <w:trPr>
          <w:trHeight w:val="3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Consult</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4"/>
              <w:rPr>
                <w:sz w:val="16"/>
              </w:rPr>
            </w:pPr>
            <w:r>
              <w:rPr>
                <w:color w:val="231F20"/>
                <w:sz w:val="16"/>
              </w:rPr>
              <w:t>Obtain feedback on analysis, alternatives and/or decisions</w:t>
            </w:r>
          </w:p>
        </w:tc>
      </w:tr>
      <w:tr w:rsidR="006A7A3F">
        <w:trPr>
          <w:trHeight w:val="5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Involve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108"/>
              <w:rPr>
                <w:sz w:val="16"/>
              </w:rPr>
            </w:pPr>
            <w:r>
              <w:rPr>
                <w:color w:val="231F20"/>
                <w:sz w:val="16"/>
              </w:rPr>
              <w:t>Work directly throughout a process to ensure that concerns and aspirations are consistently understood and considered</w:t>
            </w:r>
          </w:p>
        </w:tc>
      </w:tr>
      <w:tr w:rsidR="006A7A3F">
        <w:trPr>
          <w:trHeight w:val="5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Collaborate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108"/>
              <w:rPr>
                <w:sz w:val="16"/>
              </w:rPr>
            </w:pPr>
            <w:r>
              <w:rPr>
                <w:color w:val="231F20"/>
                <w:sz w:val="16"/>
              </w:rPr>
              <w:t>Partner in each aspect of the decision including the development of alternatives and the identification of the preferred solution</w:t>
            </w:r>
          </w:p>
        </w:tc>
      </w:tr>
      <w:tr w:rsidR="006A7A3F">
        <w:trPr>
          <w:trHeight w:val="3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Empower</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4"/>
              <w:rPr>
                <w:sz w:val="16"/>
              </w:rPr>
            </w:pPr>
            <w:r>
              <w:rPr>
                <w:color w:val="231F20"/>
                <w:sz w:val="16"/>
              </w:rPr>
              <w:t>Place final decision making in the hands of the stakeholder</w:t>
            </w:r>
          </w:p>
        </w:tc>
      </w:tr>
    </w:tbl>
    <w:p w:rsidR="006A7A3F" w:rsidRDefault="00BC7372">
      <w:pPr>
        <w:pStyle w:val="BodyText"/>
        <w:spacing w:before="143" w:line="249" w:lineRule="auto"/>
        <w:ind w:right="174"/>
      </w:pPr>
      <w:r>
        <w:rPr>
          <w:color w:val="231F20"/>
        </w:rPr>
        <w:t>Table 5.1.2 shows the partners, stakeholder organisations and individuals with which Goulburn Broken, North Central, North East and Mallee CMAs engaged when preparing seasonal watering proposals. This includes engagement conducted as part of developing the seasonal watering proposals as well as engagement during the preparation of key foundational documents that directly informed the proposals. VEWH staff were also consulted for operational information as part of the development of all annual seasonal watering proposals by CMAs.</w:t>
      </w:r>
    </w:p>
    <w:p w:rsidR="006A7A3F" w:rsidRDefault="00BC7372">
      <w:pPr>
        <w:pStyle w:val="BodyText"/>
        <w:spacing w:before="174" w:line="249" w:lineRule="auto"/>
        <w:ind w:right="263"/>
      </w:pPr>
      <w:r>
        <w:rPr>
          <w:color w:val="231F20"/>
        </w:rPr>
        <w:t>The table also shows the level of engagement between Goulburn Broken, North Central, North East and Mallee CMAs and stakeholders of the environmental watering program in the northern region based on the CMAs’ interpretation of the IAP2 Spectrum. The NSW Department of Planning, Industry and Environment also undertakes engagement in the development of the seasonal watering proposal for Barmah-Millewa in NSW, which is not included in Table 5.1.2.</w:t>
      </w:r>
    </w:p>
    <w:p w:rsidR="006A7A3F" w:rsidRDefault="00BC7372">
      <w:pPr>
        <w:pStyle w:val="BodyText"/>
        <w:spacing w:before="174" w:line="249" w:lineRule="auto"/>
        <w:ind w:right="152"/>
      </w:pPr>
      <w:r>
        <w:rPr>
          <w:color w:val="231F20"/>
        </w:rPr>
        <w:t>The level of engagement differs between organisations and between systems, depending on the availability, capacity or interest of stakeholders to participate, roles and responsibilities of organisations in managing a site or system, and potential interaction of proposed watering with other activities on the waterway. For example, Moira Shire Council is one of two land managers for Kinnairds Wetland in the Goulburn and Broken wetlands systems, so Goulburn Broken CMA engages with them at a higher level than it does for other local councils in areas that receive environmental flows but do not have direct responsibilities.</w:t>
      </w:r>
    </w:p>
    <w:p w:rsidR="002840E5" w:rsidRDefault="002840E5">
      <w:pPr>
        <w:rPr>
          <w:b/>
          <w:color w:val="231F20"/>
          <w:spacing w:val="-4"/>
          <w:sz w:val="18"/>
        </w:rPr>
      </w:pPr>
      <w:r>
        <w:rPr>
          <w:b/>
          <w:color w:val="231F20"/>
          <w:spacing w:val="-4"/>
          <w:sz w:val="18"/>
        </w:rPr>
        <w:br w:type="page"/>
      </w:r>
    </w:p>
    <w:p w:rsidR="006A7A3F" w:rsidRDefault="00BC7372">
      <w:pPr>
        <w:spacing w:before="170" w:line="249" w:lineRule="auto"/>
        <w:ind w:left="210" w:right="219"/>
        <w:rPr>
          <w:b/>
          <w:sz w:val="18"/>
        </w:rPr>
      </w:pPr>
      <w:r>
        <w:rPr>
          <w:b/>
          <w:color w:val="231F20"/>
          <w:spacing w:val="-4"/>
          <w:sz w:val="18"/>
        </w:rPr>
        <w:t xml:space="preserve">Table </w:t>
      </w:r>
      <w:r>
        <w:rPr>
          <w:b/>
          <w:color w:val="231F20"/>
          <w:sz w:val="18"/>
        </w:rPr>
        <w:t xml:space="preserve">5.1.2 Partners and stakeholders engaged by Goulburn Broken CMA in developing seasonal watering proposals for the Barmah Forest, Goulburn </w:t>
      </w:r>
      <w:r>
        <w:rPr>
          <w:b/>
          <w:color w:val="231F20"/>
          <w:spacing w:val="-3"/>
          <w:sz w:val="18"/>
        </w:rPr>
        <w:t xml:space="preserve">River, </w:t>
      </w:r>
      <w:r>
        <w:rPr>
          <w:b/>
          <w:color w:val="231F20"/>
          <w:sz w:val="18"/>
        </w:rPr>
        <w:t>Goulburn wetlands and Broken wetlands, Broken River and upper Broken Creek and lower Broken Creek systems and other key foundation documents that have directly informed the</w:t>
      </w:r>
      <w:r>
        <w:rPr>
          <w:b/>
          <w:color w:val="231F20"/>
          <w:spacing w:val="-31"/>
          <w:sz w:val="18"/>
        </w:rPr>
        <w:t xml:space="preserve"> </w:t>
      </w:r>
      <w:r>
        <w:rPr>
          <w:b/>
          <w:color w:val="231F20"/>
          <w:sz w:val="18"/>
        </w:rPr>
        <w:t>proposals</w:t>
      </w:r>
    </w:p>
    <w:p w:rsidR="006A7A3F" w:rsidRDefault="006A7A3F">
      <w:pPr>
        <w:pStyle w:val="BodyText"/>
        <w:spacing w:before="4"/>
        <w:ind w:left="0"/>
        <w:rPr>
          <w:b/>
          <w:sz w:val="8"/>
        </w:rPr>
      </w:pPr>
    </w:p>
    <w:tbl>
      <w:tblPr>
        <w:tblW w:w="10199"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554"/>
        <w:gridCol w:w="1729"/>
        <w:gridCol w:w="1729"/>
        <w:gridCol w:w="1729"/>
        <w:gridCol w:w="1729"/>
        <w:gridCol w:w="1729"/>
      </w:tblGrid>
      <w:tr w:rsidR="006A7A3F" w:rsidTr="002840E5">
        <w:trPr>
          <w:trHeight w:val="807"/>
          <w:tblHeader/>
        </w:trPr>
        <w:tc>
          <w:tcPr>
            <w:tcW w:w="1554" w:type="dxa"/>
            <w:tcBorders>
              <w:top w:val="nil"/>
              <w:left w:val="nil"/>
              <w:bottom w:val="nil"/>
            </w:tcBorders>
            <w:shd w:val="clear" w:color="auto" w:fill="231F20"/>
          </w:tcPr>
          <w:p w:rsidR="006A7A3F" w:rsidRDefault="006A7A3F">
            <w:pPr>
              <w:pStyle w:val="TableParagraph"/>
              <w:ind w:left="0"/>
              <w:rPr>
                <w:rFonts w:ascii="Times New Roman"/>
                <w:sz w:val="16"/>
              </w:rPr>
            </w:pPr>
          </w:p>
        </w:tc>
        <w:tc>
          <w:tcPr>
            <w:tcW w:w="1729"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Barmah Forest</w:t>
            </w:r>
          </w:p>
        </w:tc>
        <w:tc>
          <w:tcPr>
            <w:tcW w:w="1729"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Goulburn River</w:t>
            </w:r>
          </w:p>
        </w:tc>
        <w:tc>
          <w:tcPr>
            <w:tcW w:w="1729" w:type="dxa"/>
            <w:tcBorders>
              <w:top w:val="nil"/>
              <w:bottom w:val="nil"/>
            </w:tcBorders>
            <w:shd w:val="clear" w:color="auto" w:fill="231F20"/>
          </w:tcPr>
          <w:p w:rsidR="006A7A3F" w:rsidRDefault="00BC7372">
            <w:pPr>
              <w:pStyle w:val="TableParagraph"/>
              <w:spacing w:before="73" w:line="254" w:lineRule="auto"/>
              <w:ind w:left="85" w:right="173"/>
              <w:rPr>
                <w:b/>
                <w:sz w:val="18"/>
              </w:rPr>
            </w:pPr>
            <w:r>
              <w:rPr>
                <w:b/>
                <w:color w:val="FFFFFF"/>
                <w:sz w:val="18"/>
              </w:rPr>
              <w:t>Goulburn wetlands and Broken wetlands</w:t>
            </w:r>
          </w:p>
        </w:tc>
        <w:tc>
          <w:tcPr>
            <w:tcW w:w="1729" w:type="dxa"/>
            <w:tcBorders>
              <w:top w:val="nil"/>
              <w:bottom w:val="nil"/>
            </w:tcBorders>
            <w:shd w:val="clear" w:color="auto" w:fill="231F20"/>
          </w:tcPr>
          <w:p w:rsidR="006A7A3F" w:rsidRDefault="00BC7372">
            <w:pPr>
              <w:pStyle w:val="TableParagraph"/>
              <w:spacing w:before="73" w:line="254" w:lineRule="auto"/>
              <w:ind w:left="85" w:right="123"/>
              <w:rPr>
                <w:b/>
                <w:sz w:val="18"/>
              </w:rPr>
            </w:pPr>
            <w:r>
              <w:rPr>
                <w:b/>
                <w:color w:val="FFFFFF"/>
                <w:sz w:val="18"/>
              </w:rPr>
              <w:t>Broken River and upper Broken Creek</w:t>
            </w:r>
          </w:p>
        </w:tc>
        <w:tc>
          <w:tcPr>
            <w:tcW w:w="1729" w:type="dxa"/>
            <w:tcBorders>
              <w:top w:val="nil"/>
              <w:bottom w:val="nil"/>
            </w:tcBorders>
            <w:shd w:val="clear" w:color="auto" w:fill="231F20"/>
          </w:tcPr>
          <w:p w:rsidR="006A7A3F" w:rsidRDefault="00BC7372">
            <w:pPr>
              <w:pStyle w:val="TableParagraph"/>
              <w:spacing w:before="73" w:line="254" w:lineRule="auto"/>
              <w:ind w:left="85" w:right="413"/>
              <w:rPr>
                <w:b/>
                <w:sz w:val="18"/>
              </w:rPr>
            </w:pPr>
            <w:r>
              <w:rPr>
                <w:b/>
                <w:color w:val="FFFFFF"/>
                <w:sz w:val="18"/>
              </w:rPr>
              <w:t>Lower Broken Creek</w:t>
            </w:r>
          </w:p>
        </w:tc>
      </w:tr>
      <w:tr w:rsidR="002840E5" w:rsidTr="002840E5">
        <w:trPr>
          <w:trHeight w:val="2980"/>
        </w:trPr>
        <w:tc>
          <w:tcPr>
            <w:tcW w:w="1554" w:type="dxa"/>
            <w:vMerge w:val="restart"/>
            <w:tcBorders>
              <w:top w:val="nil"/>
              <w:left w:val="single" w:sz="4" w:space="0" w:color="231F20"/>
              <w:right w:val="single" w:sz="4" w:space="0" w:color="231F20"/>
            </w:tcBorders>
          </w:tcPr>
          <w:p w:rsidR="002840E5" w:rsidRPr="002840E5" w:rsidRDefault="002840E5" w:rsidP="002840E5">
            <w:pPr>
              <w:pStyle w:val="TableParagraph"/>
              <w:spacing w:before="74" w:line="261" w:lineRule="auto"/>
              <w:ind w:left="85" w:right="96"/>
              <w:rPr>
                <w:sz w:val="16"/>
                <w:szCs w:val="16"/>
              </w:rPr>
            </w:pPr>
            <w:r w:rsidRPr="002840E5">
              <w:rPr>
                <w:color w:val="231F20"/>
                <w:sz w:val="16"/>
                <w:szCs w:val="16"/>
              </w:rPr>
              <w:t>Community groups and environment groups</w:t>
            </w:r>
          </w:p>
        </w:tc>
        <w:tc>
          <w:tcPr>
            <w:tcW w:w="1729" w:type="dxa"/>
            <w:tcBorders>
              <w:top w:val="nil"/>
              <w:left w:val="single" w:sz="4" w:space="0" w:color="231F20"/>
              <w:bottom w:val="single" w:sz="4" w:space="0" w:color="231F20"/>
              <w:right w:val="single" w:sz="4" w:space="0" w:color="231F20"/>
            </w:tcBorders>
          </w:tcPr>
          <w:p w:rsidR="002840E5" w:rsidRPr="002840E5" w:rsidRDefault="002840E5" w:rsidP="002840E5">
            <w:pPr>
              <w:pStyle w:val="TableParagraph"/>
              <w:spacing w:before="74"/>
              <w:ind w:left="85"/>
              <w:rPr>
                <w:b/>
                <w:bCs/>
                <w:sz w:val="16"/>
                <w:szCs w:val="16"/>
              </w:rPr>
            </w:pPr>
            <w:r w:rsidRPr="002840E5">
              <w:rPr>
                <w:b/>
                <w:bCs/>
                <w:color w:val="231F20"/>
                <w:sz w:val="16"/>
                <w:szCs w:val="16"/>
              </w:rPr>
              <w:t>IAP2 level: Inform</w:t>
            </w:r>
          </w:p>
          <w:p w:rsidR="002840E5" w:rsidRPr="002840E5" w:rsidRDefault="002840E5" w:rsidP="002840E5">
            <w:pPr>
              <w:pStyle w:val="TableParagraph"/>
              <w:numPr>
                <w:ilvl w:val="0"/>
                <w:numId w:val="576"/>
              </w:numPr>
              <w:tabs>
                <w:tab w:val="left" w:pos="306"/>
              </w:tabs>
              <w:spacing w:before="74" w:line="254" w:lineRule="auto"/>
              <w:ind w:right="661"/>
              <w:rPr>
                <w:sz w:val="16"/>
                <w:szCs w:val="16"/>
              </w:rPr>
            </w:pPr>
            <w:r w:rsidRPr="002840E5">
              <w:rPr>
                <w:color w:val="231F20"/>
                <w:sz w:val="16"/>
                <w:szCs w:val="16"/>
              </w:rPr>
              <w:t xml:space="preserve">Goulburn Murray </w:t>
            </w:r>
            <w:r w:rsidRPr="002840E5">
              <w:rPr>
                <w:color w:val="231F20"/>
                <w:spacing w:val="-1"/>
                <w:sz w:val="16"/>
                <w:szCs w:val="16"/>
              </w:rPr>
              <w:t xml:space="preserve">Landcare </w:t>
            </w:r>
            <w:r w:rsidRPr="002840E5">
              <w:rPr>
                <w:color w:val="231F20"/>
                <w:sz w:val="16"/>
                <w:szCs w:val="16"/>
              </w:rPr>
              <w:t>Network</w:t>
            </w:r>
          </w:p>
          <w:p w:rsidR="002840E5" w:rsidRPr="002840E5" w:rsidRDefault="002840E5" w:rsidP="002840E5">
            <w:pPr>
              <w:pStyle w:val="TableParagraph"/>
              <w:numPr>
                <w:ilvl w:val="0"/>
                <w:numId w:val="576"/>
              </w:numPr>
              <w:tabs>
                <w:tab w:val="left" w:pos="306"/>
              </w:tabs>
              <w:spacing w:before="88"/>
              <w:ind w:hanging="218"/>
              <w:rPr>
                <w:sz w:val="16"/>
                <w:szCs w:val="16"/>
              </w:rPr>
            </w:pPr>
            <w:r w:rsidRPr="002840E5">
              <w:rPr>
                <w:color w:val="231F20"/>
                <w:sz w:val="16"/>
                <w:szCs w:val="16"/>
              </w:rPr>
              <w:t>Turtles</w:t>
            </w:r>
            <w:r w:rsidRPr="002840E5">
              <w:rPr>
                <w:color w:val="231F20"/>
                <w:spacing w:val="-13"/>
                <w:sz w:val="16"/>
                <w:szCs w:val="16"/>
              </w:rPr>
              <w:t xml:space="preserve"> </w:t>
            </w:r>
            <w:r w:rsidRPr="002840E5">
              <w:rPr>
                <w:color w:val="231F20"/>
                <w:sz w:val="16"/>
                <w:szCs w:val="16"/>
              </w:rPr>
              <w:t>Australia</w:t>
            </w:r>
          </w:p>
        </w:tc>
        <w:tc>
          <w:tcPr>
            <w:tcW w:w="1729" w:type="dxa"/>
            <w:tcBorders>
              <w:top w:val="nil"/>
              <w:left w:val="single" w:sz="4" w:space="0" w:color="231F20"/>
              <w:bottom w:val="single" w:sz="4" w:space="0" w:color="231F20"/>
              <w:right w:val="single" w:sz="4" w:space="0" w:color="231F20"/>
            </w:tcBorders>
          </w:tcPr>
          <w:p w:rsidR="002840E5" w:rsidRPr="002840E5" w:rsidRDefault="002840E5" w:rsidP="002840E5">
            <w:pPr>
              <w:pStyle w:val="TableParagraph"/>
              <w:spacing w:before="74"/>
              <w:ind w:left="85"/>
              <w:rPr>
                <w:b/>
                <w:bCs/>
                <w:sz w:val="16"/>
                <w:szCs w:val="16"/>
              </w:rPr>
            </w:pPr>
            <w:r w:rsidRPr="002840E5">
              <w:rPr>
                <w:b/>
                <w:bCs/>
                <w:color w:val="231F20"/>
                <w:sz w:val="16"/>
                <w:szCs w:val="16"/>
              </w:rPr>
              <w:t>IAP2 level: Consult</w:t>
            </w:r>
          </w:p>
          <w:p w:rsidR="002840E5" w:rsidRPr="002840E5" w:rsidRDefault="002840E5" w:rsidP="002840E5">
            <w:pPr>
              <w:pStyle w:val="TableParagraph"/>
              <w:numPr>
                <w:ilvl w:val="0"/>
                <w:numId w:val="575"/>
              </w:numPr>
              <w:tabs>
                <w:tab w:val="left" w:pos="306"/>
              </w:tabs>
              <w:spacing w:before="74" w:line="254" w:lineRule="auto"/>
              <w:ind w:right="144"/>
              <w:rPr>
                <w:sz w:val="16"/>
                <w:szCs w:val="16"/>
              </w:rPr>
            </w:pPr>
            <w:r w:rsidRPr="002840E5">
              <w:rPr>
                <w:color w:val="231F20"/>
                <w:sz w:val="16"/>
                <w:szCs w:val="16"/>
              </w:rPr>
              <w:t xml:space="preserve">Goulburn </w:t>
            </w:r>
            <w:r w:rsidRPr="002840E5">
              <w:rPr>
                <w:color w:val="231F20"/>
                <w:spacing w:val="-6"/>
                <w:sz w:val="16"/>
                <w:szCs w:val="16"/>
              </w:rPr>
              <w:t xml:space="preserve">Valley </w:t>
            </w:r>
            <w:r w:rsidRPr="002840E5">
              <w:rPr>
                <w:color w:val="231F20"/>
                <w:sz w:val="16"/>
                <w:szCs w:val="16"/>
              </w:rPr>
              <w:t>Environment Group</w:t>
            </w:r>
          </w:p>
        </w:tc>
        <w:tc>
          <w:tcPr>
            <w:tcW w:w="1729" w:type="dxa"/>
            <w:tcBorders>
              <w:top w:val="nil"/>
              <w:left w:val="single" w:sz="4" w:space="0" w:color="231F20"/>
              <w:bottom w:val="single" w:sz="4" w:space="0" w:color="231F20"/>
              <w:right w:val="single" w:sz="4" w:space="0" w:color="231F20"/>
            </w:tcBorders>
          </w:tcPr>
          <w:p w:rsidR="002840E5" w:rsidRPr="002840E5" w:rsidRDefault="002840E5" w:rsidP="002840E5">
            <w:pPr>
              <w:pStyle w:val="TableParagraph"/>
              <w:spacing w:before="74"/>
              <w:ind w:left="85"/>
              <w:rPr>
                <w:b/>
                <w:bCs/>
                <w:sz w:val="16"/>
                <w:szCs w:val="16"/>
              </w:rPr>
            </w:pPr>
            <w:r w:rsidRPr="002840E5">
              <w:rPr>
                <w:b/>
                <w:bCs/>
                <w:color w:val="231F20"/>
                <w:sz w:val="16"/>
                <w:szCs w:val="16"/>
              </w:rPr>
              <w:t>IAP2 level: Consult</w:t>
            </w:r>
          </w:p>
          <w:p w:rsidR="002840E5" w:rsidRPr="002840E5" w:rsidRDefault="002840E5" w:rsidP="002840E5">
            <w:pPr>
              <w:pStyle w:val="TableParagraph"/>
              <w:numPr>
                <w:ilvl w:val="0"/>
                <w:numId w:val="574"/>
              </w:numPr>
              <w:tabs>
                <w:tab w:val="left" w:pos="306"/>
              </w:tabs>
              <w:spacing w:before="74" w:line="254" w:lineRule="auto"/>
              <w:ind w:right="711"/>
              <w:rPr>
                <w:sz w:val="16"/>
                <w:szCs w:val="16"/>
              </w:rPr>
            </w:pPr>
            <w:r w:rsidRPr="002840E5">
              <w:rPr>
                <w:color w:val="231F20"/>
                <w:sz w:val="16"/>
                <w:szCs w:val="16"/>
              </w:rPr>
              <w:t>BirdLife Australia</w:t>
            </w:r>
          </w:p>
          <w:p w:rsidR="002840E5" w:rsidRPr="002840E5" w:rsidRDefault="002840E5" w:rsidP="002840E5">
            <w:pPr>
              <w:pStyle w:val="TableParagraph"/>
              <w:spacing w:before="2" w:line="254" w:lineRule="auto"/>
              <w:ind w:left="305" w:right="653"/>
              <w:rPr>
                <w:sz w:val="16"/>
                <w:szCs w:val="16"/>
              </w:rPr>
            </w:pPr>
            <w:r w:rsidRPr="002840E5">
              <w:rPr>
                <w:color w:val="231F20"/>
                <w:sz w:val="16"/>
                <w:szCs w:val="16"/>
              </w:rPr>
              <w:t>– Murray Goulburn</w:t>
            </w:r>
          </w:p>
          <w:p w:rsidR="002840E5" w:rsidRPr="002840E5" w:rsidRDefault="002840E5" w:rsidP="002840E5">
            <w:pPr>
              <w:pStyle w:val="TableParagraph"/>
              <w:numPr>
                <w:ilvl w:val="0"/>
                <w:numId w:val="574"/>
              </w:numPr>
              <w:tabs>
                <w:tab w:val="left" w:pos="306"/>
              </w:tabs>
              <w:spacing w:before="86" w:line="254" w:lineRule="auto"/>
              <w:ind w:right="661"/>
              <w:rPr>
                <w:sz w:val="16"/>
                <w:szCs w:val="16"/>
              </w:rPr>
            </w:pPr>
            <w:r w:rsidRPr="002840E5">
              <w:rPr>
                <w:color w:val="231F20"/>
                <w:sz w:val="16"/>
                <w:szCs w:val="16"/>
              </w:rPr>
              <w:t xml:space="preserve">Goulburn Murray </w:t>
            </w:r>
            <w:r w:rsidRPr="002840E5">
              <w:rPr>
                <w:color w:val="231F20"/>
                <w:spacing w:val="-1"/>
                <w:sz w:val="16"/>
                <w:szCs w:val="16"/>
              </w:rPr>
              <w:t xml:space="preserve">Landcare </w:t>
            </w:r>
            <w:r w:rsidRPr="002840E5">
              <w:rPr>
                <w:color w:val="231F20"/>
                <w:sz w:val="16"/>
                <w:szCs w:val="16"/>
              </w:rPr>
              <w:t>Network</w:t>
            </w:r>
          </w:p>
          <w:p w:rsidR="002840E5" w:rsidRPr="002840E5" w:rsidRDefault="002840E5" w:rsidP="002840E5">
            <w:pPr>
              <w:pStyle w:val="TableParagraph"/>
              <w:numPr>
                <w:ilvl w:val="0"/>
                <w:numId w:val="574"/>
              </w:numPr>
              <w:tabs>
                <w:tab w:val="left" w:pos="306"/>
              </w:tabs>
              <w:spacing w:before="87" w:line="254" w:lineRule="auto"/>
              <w:ind w:right="541"/>
              <w:rPr>
                <w:sz w:val="16"/>
                <w:szCs w:val="16"/>
              </w:rPr>
            </w:pPr>
            <w:r w:rsidRPr="002840E5">
              <w:rPr>
                <w:color w:val="231F20"/>
                <w:sz w:val="16"/>
                <w:szCs w:val="16"/>
              </w:rPr>
              <w:t xml:space="preserve">Kinnairds Wetland Advisory </w:t>
            </w:r>
            <w:r w:rsidRPr="002840E5">
              <w:rPr>
                <w:color w:val="231F20"/>
                <w:spacing w:val="-1"/>
                <w:sz w:val="16"/>
                <w:szCs w:val="16"/>
              </w:rPr>
              <w:t>Committee</w:t>
            </w:r>
          </w:p>
          <w:p w:rsidR="002840E5" w:rsidRPr="002840E5" w:rsidRDefault="002840E5" w:rsidP="002840E5">
            <w:pPr>
              <w:pStyle w:val="TableParagraph"/>
              <w:numPr>
                <w:ilvl w:val="0"/>
                <w:numId w:val="574"/>
              </w:numPr>
              <w:tabs>
                <w:tab w:val="left" w:pos="306"/>
              </w:tabs>
              <w:spacing w:before="88"/>
              <w:ind w:hanging="218"/>
              <w:rPr>
                <w:sz w:val="16"/>
                <w:szCs w:val="16"/>
              </w:rPr>
            </w:pPr>
            <w:r w:rsidRPr="002840E5">
              <w:rPr>
                <w:color w:val="231F20"/>
                <w:sz w:val="16"/>
                <w:szCs w:val="16"/>
              </w:rPr>
              <w:t>Turtles</w:t>
            </w:r>
            <w:r w:rsidRPr="002840E5">
              <w:rPr>
                <w:color w:val="231F20"/>
                <w:spacing w:val="-13"/>
                <w:sz w:val="16"/>
                <w:szCs w:val="16"/>
              </w:rPr>
              <w:t xml:space="preserve"> </w:t>
            </w:r>
            <w:r w:rsidRPr="002840E5">
              <w:rPr>
                <w:color w:val="231F20"/>
                <w:sz w:val="16"/>
                <w:szCs w:val="16"/>
              </w:rPr>
              <w:t>Australia</w:t>
            </w:r>
          </w:p>
        </w:tc>
        <w:tc>
          <w:tcPr>
            <w:tcW w:w="1729" w:type="dxa"/>
            <w:tcBorders>
              <w:top w:val="nil"/>
              <w:left w:val="single" w:sz="4" w:space="0" w:color="231F20"/>
              <w:bottom w:val="single" w:sz="4" w:space="0" w:color="231F20"/>
              <w:right w:val="single" w:sz="4" w:space="0" w:color="231F20"/>
            </w:tcBorders>
          </w:tcPr>
          <w:p w:rsidR="002840E5" w:rsidRPr="002840E5" w:rsidRDefault="002840E5" w:rsidP="002840E5">
            <w:pPr>
              <w:pStyle w:val="TableParagraph"/>
              <w:spacing w:before="74"/>
              <w:ind w:left="85"/>
              <w:rPr>
                <w:b/>
                <w:bCs/>
                <w:sz w:val="16"/>
                <w:szCs w:val="16"/>
              </w:rPr>
            </w:pPr>
            <w:r w:rsidRPr="002840E5">
              <w:rPr>
                <w:b/>
                <w:bCs/>
                <w:color w:val="231F20"/>
                <w:sz w:val="16"/>
                <w:szCs w:val="16"/>
              </w:rPr>
              <w:t>IAP2 level: Consult</w:t>
            </w:r>
          </w:p>
          <w:p w:rsidR="002840E5" w:rsidRPr="002840E5" w:rsidRDefault="002840E5" w:rsidP="002840E5">
            <w:pPr>
              <w:pStyle w:val="TableParagraph"/>
              <w:numPr>
                <w:ilvl w:val="0"/>
                <w:numId w:val="573"/>
              </w:numPr>
              <w:tabs>
                <w:tab w:val="left" w:pos="306"/>
              </w:tabs>
              <w:spacing w:before="74" w:line="254" w:lineRule="auto"/>
              <w:ind w:right="143"/>
              <w:rPr>
                <w:sz w:val="16"/>
                <w:szCs w:val="16"/>
              </w:rPr>
            </w:pPr>
            <w:r w:rsidRPr="002840E5">
              <w:rPr>
                <w:color w:val="231F20"/>
                <w:sz w:val="16"/>
                <w:szCs w:val="16"/>
              </w:rPr>
              <w:t xml:space="preserve">Goulburn </w:t>
            </w:r>
            <w:r w:rsidRPr="002840E5">
              <w:rPr>
                <w:color w:val="231F20"/>
                <w:spacing w:val="-4"/>
                <w:sz w:val="16"/>
                <w:szCs w:val="16"/>
              </w:rPr>
              <w:t xml:space="preserve">Valley </w:t>
            </w:r>
            <w:r w:rsidRPr="002840E5">
              <w:rPr>
                <w:color w:val="231F20"/>
                <w:sz w:val="16"/>
                <w:szCs w:val="16"/>
              </w:rPr>
              <w:t>Environment Group</w:t>
            </w:r>
          </w:p>
        </w:tc>
        <w:tc>
          <w:tcPr>
            <w:tcW w:w="1729" w:type="dxa"/>
            <w:tcBorders>
              <w:top w:val="nil"/>
              <w:left w:val="single" w:sz="4" w:space="0" w:color="231F20"/>
              <w:bottom w:val="single" w:sz="4" w:space="0" w:color="231F20"/>
              <w:right w:val="single" w:sz="4" w:space="0" w:color="231F20"/>
            </w:tcBorders>
          </w:tcPr>
          <w:p w:rsidR="002840E5" w:rsidRPr="002840E5" w:rsidRDefault="002840E5" w:rsidP="002840E5">
            <w:pPr>
              <w:pStyle w:val="TableParagraph"/>
              <w:spacing w:before="74"/>
              <w:ind w:left="85"/>
              <w:rPr>
                <w:b/>
                <w:bCs/>
                <w:sz w:val="16"/>
                <w:szCs w:val="16"/>
              </w:rPr>
            </w:pPr>
            <w:r w:rsidRPr="002840E5">
              <w:rPr>
                <w:b/>
                <w:bCs/>
                <w:color w:val="231F20"/>
                <w:sz w:val="16"/>
                <w:szCs w:val="16"/>
              </w:rPr>
              <w:t>IAP2 level: Consult</w:t>
            </w:r>
          </w:p>
          <w:p w:rsidR="002840E5" w:rsidRPr="002840E5" w:rsidRDefault="002840E5" w:rsidP="002840E5">
            <w:pPr>
              <w:pStyle w:val="TableParagraph"/>
              <w:numPr>
                <w:ilvl w:val="0"/>
                <w:numId w:val="572"/>
              </w:numPr>
              <w:tabs>
                <w:tab w:val="left" w:pos="306"/>
              </w:tabs>
              <w:spacing w:before="74" w:line="254" w:lineRule="auto"/>
              <w:ind w:right="143"/>
              <w:rPr>
                <w:sz w:val="16"/>
                <w:szCs w:val="16"/>
              </w:rPr>
            </w:pPr>
            <w:r w:rsidRPr="002840E5">
              <w:rPr>
                <w:color w:val="231F20"/>
                <w:sz w:val="16"/>
                <w:szCs w:val="16"/>
              </w:rPr>
              <w:t xml:space="preserve">Goulburn </w:t>
            </w:r>
            <w:r w:rsidRPr="002840E5">
              <w:rPr>
                <w:color w:val="231F20"/>
                <w:spacing w:val="-4"/>
                <w:sz w:val="16"/>
                <w:szCs w:val="16"/>
              </w:rPr>
              <w:t xml:space="preserve">Valley </w:t>
            </w:r>
            <w:r w:rsidRPr="002840E5">
              <w:rPr>
                <w:color w:val="231F20"/>
                <w:sz w:val="16"/>
                <w:szCs w:val="16"/>
              </w:rPr>
              <w:t>Environment Group</w:t>
            </w:r>
          </w:p>
        </w:tc>
      </w:tr>
      <w:tr w:rsidR="002840E5" w:rsidTr="002840E5">
        <w:trPr>
          <w:trHeight w:val="2980"/>
        </w:trPr>
        <w:tc>
          <w:tcPr>
            <w:tcW w:w="1554" w:type="dxa"/>
            <w:vMerge/>
            <w:tcBorders>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nil"/>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nil"/>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nil"/>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nil"/>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nil"/>
              <w:left w:val="single" w:sz="4" w:space="0" w:color="231F20"/>
              <w:bottom w:val="single" w:sz="4" w:space="0" w:color="231F20"/>
              <w:right w:val="single" w:sz="4" w:space="0" w:color="231F20"/>
            </w:tcBorders>
          </w:tcPr>
          <w:p w:rsidR="002840E5" w:rsidRPr="002840E5" w:rsidRDefault="002840E5">
            <w:pPr>
              <w:pStyle w:val="TableParagraph"/>
              <w:spacing w:before="67"/>
              <w:ind w:left="85"/>
              <w:rPr>
                <w:b/>
                <w:bCs/>
                <w:sz w:val="16"/>
                <w:szCs w:val="16"/>
              </w:rPr>
            </w:pPr>
            <w:r w:rsidRPr="002840E5">
              <w:rPr>
                <w:b/>
                <w:bCs/>
                <w:color w:val="231F20"/>
                <w:sz w:val="16"/>
                <w:szCs w:val="16"/>
              </w:rPr>
              <w:t>IAP2 level: Inform</w:t>
            </w:r>
          </w:p>
          <w:p w:rsidR="002840E5" w:rsidRPr="002840E5" w:rsidRDefault="002840E5">
            <w:pPr>
              <w:pStyle w:val="TableParagraph"/>
              <w:numPr>
                <w:ilvl w:val="0"/>
                <w:numId w:val="571"/>
              </w:numPr>
              <w:tabs>
                <w:tab w:val="left" w:pos="306"/>
              </w:tabs>
              <w:spacing w:before="74" w:line="254" w:lineRule="auto"/>
              <w:ind w:right="190"/>
              <w:rPr>
                <w:sz w:val="16"/>
                <w:szCs w:val="16"/>
              </w:rPr>
            </w:pPr>
            <w:r w:rsidRPr="002840E5">
              <w:rPr>
                <w:color w:val="231F20"/>
                <w:sz w:val="16"/>
                <w:szCs w:val="16"/>
              </w:rPr>
              <w:t xml:space="preserve">Broken </w:t>
            </w:r>
            <w:r w:rsidRPr="002840E5">
              <w:rPr>
                <w:color w:val="231F20"/>
                <w:spacing w:val="-3"/>
                <w:sz w:val="16"/>
                <w:szCs w:val="16"/>
              </w:rPr>
              <w:t xml:space="preserve">Boosey </w:t>
            </w:r>
            <w:r w:rsidRPr="002840E5">
              <w:rPr>
                <w:color w:val="231F20"/>
                <w:sz w:val="16"/>
                <w:szCs w:val="16"/>
              </w:rPr>
              <w:t>Conservation Management Network</w:t>
            </w:r>
          </w:p>
          <w:p w:rsidR="002840E5" w:rsidRPr="002840E5" w:rsidRDefault="002840E5">
            <w:pPr>
              <w:pStyle w:val="TableParagraph"/>
              <w:numPr>
                <w:ilvl w:val="0"/>
                <w:numId w:val="571"/>
              </w:numPr>
              <w:tabs>
                <w:tab w:val="left" w:pos="306"/>
              </w:tabs>
              <w:spacing w:before="87" w:line="254" w:lineRule="auto"/>
              <w:ind w:right="121"/>
              <w:rPr>
                <w:sz w:val="16"/>
                <w:szCs w:val="16"/>
              </w:rPr>
            </w:pPr>
            <w:r w:rsidRPr="002840E5">
              <w:rPr>
                <w:color w:val="231F20"/>
                <w:sz w:val="16"/>
                <w:szCs w:val="16"/>
              </w:rPr>
              <w:t>Broken Creek Field Naturalists Club</w:t>
            </w:r>
          </w:p>
          <w:p w:rsidR="002840E5" w:rsidRPr="002840E5" w:rsidRDefault="002840E5">
            <w:pPr>
              <w:pStyle w:val="TableParagraph"/>
              <w:numPr>
                <w:ilvl w:val="0"/>
                <w:numId w:val="571"/>
              </w:numPr>
              <w:tabs>
                <w:tab w:val="left" w:pos="306"/>
              </w:tabs>
              <w:spacing w:before="87" w:line="254" w:lineRule="auto"/>
              <w:ind w:right="661"/>
              <w:rPr>
                <w:sz w:val="16"/>
                <w:szCs w:val="16"/>
              </w:rPr>
            </w:pPr>
            <w:r w:rsidRPr="002840E5">
              <w:rPr>
                <w:color w:val="231F20"/>
                <w:sz w:val="16"/>
                <w:szCs w:val="16"/>
              </w:rPr>
              <w:t xml:space="preserve">Goulburn Murray </w:t>
            </w:r>
            <w:r w:rsidRPr="002840E5">
              <w:rPr>
                <w:color w:val="231F20"/>
                <w:spacing w:val="-1"/>
                <w:sz w:val="16"/>
                <w:szCs w:val="16"/>
              </w:rPr>
              <w:t xml:space="preserve">Landcare </w:t>
            </w:r>
            <w:r w:rsidRPr="002840E5">
              <w:rPr>
                <w:color w:val="231F20"/>
                <w:sz w:val="16"/>
                <w:szCs w:val="16"/>
              </w:rPr>
              <w:t>Network</w:t>
            </w:r>
          </w:p>
        </w:tc>
      </w:tr>
      <w:tr w:rsidR="002840E5" w:rsidTr="003B65C2">
        <w:trPr>
          <w:trHeight w:val="5110"/>
        </w:trPr>
        <w:tc>
          <w:tcPr>
            <w:tcW w:w="1554" w:type="dxa"/>
            <w:vMerge w:val="restart"/>
            <w:tcBorders>
              <w:top w:val="single" w:sz="4" w:space="0" w:color="231F20"/>
              <w:left w:val="single" w:sz="4" w:space="0" w:color="231F20"/>
              <w:right w:val="single" w:sz="4" w:space="0" w:color="231F20"/>
            </w:tcBorders>
          </w:tcPr>
          <w:p w:rsidR="002840E5" w:rsidRPr="002840E5" w:rsidRDefault="002840E5">
            <w:pPr>
              <w:pStyle w:val="TableParagraph"/>
              <w:spacing w:before="67" w:line="261" w:lineRule="auto"/>
              <w:ind w:left="85" w:right="558"/>
              <w:rPr>
                <w:sz w:val="16"/>
                <w:szCs w:val="16"/>
              </w:rPr>
            </w:pPr>
            <w:r w:rsidRPr="002840E5">
              <w:rPr>
                <w:color w:val="231F20"/>
                <w:sz w:val="16"/>
                <w:szCs w:val="16"/>
              </w:rPr>
              <w:t>Government agencies</w:t>
            </w: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spacing w:before="67" w:line="261" w:lineRule="auto"/>
              <w:ind w:left="85" w:right="795"/>
              <w:rPr>
                <w:b/>
                <w:bCs/>
                <w:sz w:val="16"/>
                <w:szCs w:val="16"/>
              </w:rPr>
            </w:pPr>
            <w:r w:rsidRPr="002840E5">
              <w:rPr>
                <w:b/>
                <w:bCs/>
                <w:color w:val="231F20"/>
                <w:sz w:val="16"/>
                <w:szCs w:val="16"/>
              </w:rPr>
              <w:t>IAP2 level: Collaborate</w:t>
            </w:r>
          </w:p>
          <w:p w:rsidR="002840E5" w:rsidRPr="002840E5" w:rsidRDefault="002840E5">
            <w:pPr>
              <w:pStyle w:val="TableParagraph"/>
              <w:numPr>
                <w:ilvl w:val="0"/>
                <w:numId w:val="570"/>
              </w:numPr>
              <w:tabs>
                <w:tab w:val="left" w:pos="306"/>
              </w:tabs>
              <w:spacing w:before="57" w:line="254" w:lineRule="auto"/>
              <w:ind w:right="162"/>
              <w:rPr>
                <w:sz w:val="16"/>
                <w:szCs w:val="16"/>
              </w:rPr>
            </w:pPr>
            <w:r w:rsidRPr="002840E5">
              <w:rPr>
                <w:color w:val="231F20"/>
                <w:spacing w:val="-1"/>
                <w:sz w:val="16"/>
                <w:szCs w:val="16"/>
              </w:rPr>
              <w:t xml:space="preserve">Commonwealth </w:t>
            </w:r>
            <w:r w:rsidRPr="002840E5">
              <w:rPr>
                <w:color w:val="231F20"/>
                <w:sz w:val="16"/>
                <w:szCs w:val="16"/>
              </w:rPr>
              <w:t>Environmental Water</w:t>
            </w:r>
            <w:r w:rsidRPr="002840E5">
              <w:rPr>
                <w:color w:val="231F20"/>
                <w:spacing w:val="-3"/>
                <w:sz w:val="16"/>
                <w:szCs w:val="16"/>
              </w:rPr>
              <w:t xml:space="preserve"> </w:t>
            </w:r>
            <w:r w:rsidRPr="002840E5">
              <w:rPr>
                <w:color w:val="231F20"/>
                <w:sz w:val="16"/>
                <w:szCs w:val="16"/>
              </w:rPr>
              <w:t>Office</w:t>
            </w:r>
          </w:p>
          <w:p w:rsidR="002840E5" w:rsidRPr="002840E5" w:rsidRDefault="002840E5">
            <w:pPr>
              <w:pStyle w:val="TableParagraph"/>
              <w:numPr>
                <w:ilvl w:val="0"/>
                <w:numId w:val="570"/>
              </w:numPr>
              <w:tabs>
                <w:tab w:val="left" w:pos="306"/>
              </w:tabs>
              <w:spacing w:before="87" w:line="254" w:lineRule="auto"/>
              <w:ind w:right="328"/>
              <w:rPr>
                <w:sz w:val="16"/>
                <w:szCs w:val="16"/>
              </w:rPr>
            </w:pPr>
            <w:r w:rsidRPr="002840E5">
              <w:rPr>
                <w:color w:val="231F20"/>
                <w:sz w:val="16"/>
                <w:szCs w:val="16"/>
              </w:rPr>
              <w:t>Goulburn- Murray</w:t>
            </w:r>
            <w:r w:rsidRPr="002840E5">
              <w:rPr>
                <w:color w:val="231F20"/>
                <w:spacing w:val="4"/>
                <w:sz w:val="16"/>
                <w:szCs w:val="16"/>
              </w:rPr>
              <w:t xml:space="preserve"> </w:t>
            </w:r>
            <w:r w:rsidRPr="002840E5">
              <w:rPr>
                <w:color w:val="231F20"/>
                <w:spacing w:val="-6"/>
                <w:sz w:val="16"/>
                <w:szCs w:val="16"/>
              </w:rPr>
              <w:t>Water</w:t>
            </w:r>
          </w:p>
          <w:p w:rsidR="002840E5" w:rsidRPr="002840E5" w:rsidRDefault="002840E5">
            <w:pPr>
              <w:pStyle w:val="TableParagraph"/>
              <w:numPr>
                <w:ilvl w:val="0"/>
                <w:numId w:val="570"/>
              </w:numPr>
              <w:tabs>
                <w:tab w:val="left" w:pos="306"/>
              </w:tabs>
              <w:spacing w:before="86"/>
              <w:ind w:hanging="218"/>
              <w:rPr>
                <w:sz w:val="16"/>
                <w:szCs w:val="16"/>
              </w:rPr>
            </w:pPr>
            <w:r w:rsidRPr="002840E5">
              <w:rPr>
                <w:color w:val="231F20"/>
                <w:sz w:val="16"/>
                <w:szCs w:val="16"/>
              </w:rPr>
              <w:t>Parks</w:t>
            </w:r>
            <w:r w:rsidRPr="002840E5">
              <w:rPr>
                <w:color w:val="231F20"/>
                <w:spacing w:val="-2"/>
                <w:sz w:val="16"/>
                <w:szCs w:val="16"/>
              </w:rPr>
              <w:t xml:space="preserve"> </w:t>
            </w:r>
            <w:r w:rsidRPr="002840E5">
              <w:rPr>
                <w:color w:val="231F20"/>
                <w:sz w:val="16"/>
                <w:szCs w:val="16"/>
              </w:rPr>
              <w:t>Victoria</w:t>
            </w:r>
          </w:p>
          <w:p w:rsidR="002840E5" w:rsidRPr="002840E5" w:rsidRDefault="002840E5">
            <w:pPr>
              <w:pStyle w:val="TableParagraph"/>
              <w:numPr>
                <w:ilvl w:val="0"/>
                <w:numId w:val="570"/>
              </w:numPr>
              <w:tabs>
                <w:tab w:val="left" w:pos="306"/>
              </w:tabs>
              <w:spacing w:before="98" w:line="254" w:lineRule="auto"/>
              <w:ind w:right="73"/>
              <w:rPr>
                <w:sz w:val="16"/>
                <w:szCs w:val="16"/>
              </w:rPr>
            </w:pPr>
            <w:r w:rsidRPr="002840E5">
              <w:rPr>
                <w:color w:val="231F20"/>
                <w:sz w:val="16"/>
                <w:szCs w:val="16"/>
              </w:rPr>
              <w:t>Murray-Darling Basin Authority (the Living Murray</w:t>
            </w:r>
            <w:r w:rsidRPr="002840E5">
              <w:rPr>
                <w:color w:val="231F20"/>
                <w:spacing w:val="-9"/>
                <w:sz w:val="16"/>
                <w:szCs w:val="16"/>
              </w:rPr>
              <w:t xml:space="preserve"> </w:t>
            </w:r>
            <w:r w:rsidRPr="002840E5">
              <w:rPr>
                <w:color w:val="231F20"/>
                <w:sz w:val="16"/>
                <w:szCs w:val="16"/>
              </w:rPr>
              <w:t>program)</w:t>
            </w: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spacing w:before="67" w:line="261" w:lineRule="auto"/>
              <w:ind w:left="85" w:right="795"/>
              <w:rPr>
                <w:b/>
                <w:bCs/>
                <w:sz w:val="16"/>
                <w:szCs w:val="16"/>
              </w:rPr>
            </w:pPr>
            <w:r w:rsidRPr="002840E5">
              <w:rPr>
                <w:b/>
                <w:bCs/>
                <w:color w:val="231F20"/>
                <w:sz w:val="16"/>
                <w:szCs w:val="16"/>
              </w:rPr>
              <w:t>IAP2 level: Collaborate</w:t>
            </w:r>
          </w:p>
          <w:p w:rsidR="002840E5" w:rsidRPr="002840E5" w:rsidRDefault="002840E5">
            <w:pPr>
              <w:pStyle w:val="TableParagraph"/>
              <w:numPr>
                <w:ilvl w:val="0"/>
                <w:numId w:val="569"/>
              </w:numPr>
              <w:tabs>
                <w:tab w:val="left" w:pos="306"/>
              </w:tabs>
              <w:spacing w:before="57" w:line="254" w:lineRule="auto"/>
              <w:ind w:right="161"/>
              <w:rPr>
                <w:sz w:val="16"/>
                <w:szCs w:val="16"/>
              </w:rPr>
            </w:pPr>
            <w:r w:rsidRPr="002840E5">
              <w:rPr>
                <w:color w:val="231F20"/>
                <w:spacing w:val="-1"/>
                <w:sz w:val="16"/>
                <w:szCs w:val="16"/>
              </w:rPr>
              <w:t xml:space="preserve">Commonwealth </w:t>
            </w:r>
            <w:r w:rsidRPr="002840E5">
              <w:rPr>
                <w:color w:val="231F20"/>
                <w:sz w:val="16"/>
                <w:szCs w:val="16"/>
              </w:rPr>
              <w:t>Environmental Water</w:t>
            </w:r>
            <w:r w:rsidRPr="002840E5">
              <w:rPr>
                <w:color w:val="231F20"/>
                <w:spacing w:val="-3"/>
                <w:sz w:val="16"/>
                <w:szCs w:val="16"/>
              </w:rPr>
              <w:t xml:space="preserve"> </w:t>
            </w:r>
            <w:r w:rsidRPr="002840E5">
              <w:rPr>
                <w:color w:val="231F20"/>
                <w:sz w:val="16"/>
                <w:szCs w:val="16"/>
              </w:rPr>
              <w:t>Office</w:t>
            </w:r>
          </w:p>
          <w:p w:rsidR="002840E5" w:rsidRPr="002840E5" w:rsidRDefault="002840E5">
            <w:pPr>
              <w:pStyle w:val="TableParagraph"/>
              <w:numPr>
                <w:ilvl w:val="0"/>
                <w:numId w:val="569"/>
              </w:numPr>
              <w:tabs>
                <w:tab w:val="left" w:pos="306"/>
              </w:tabs>
              <w:spacing w:before="87" w:line="254" w:lineRule="auto"/>
              <w:ind w:right="328"/>
              <w:rPr>
                <w:sz w:val="16"/>
                <w:szCs w:val="16"/>
              </w:rPr>
            </w:pPr>
            <w:r w:rsidRPr="002840E5">
              <w:rPr>
                <w:color w:val="231F20"/>
                <w:sz w:val="16"/>
                <w:szCs w:val="16"/>
              </w:rPr>
              <w:t>Goulburn- Murray</w:t>
            </w:r>
            <w:r w:rsidRPr="002840E5">
              <w:rPr>
                <w:color w:val="231F20"/>
                <w:spacing w:val="4"/>
                <w:sz w:val="16"/>
                <w:szCs w:val="16"/>
              </w:rPr>
              <w:t xml:space="preserve"> </w:t>
            </w:r>
            <w:r w:rsidRPr="002840E5">
              <w:rPr>
                <w:color w:val="231F20"/>
                <w:spacing w:val="-6"/>
                <w:sz w:val="16"/>
                <w:szCs w:val="16"/>
              </w:rPr>
              <w:t>Water</w:t>
            </w:r>
          </w:p>
          <w:p w:rsidR="002840E5" w:rsidRPr="002840E5" w:rsidRDefault="002840E5">
            <w:pPr>
              <w:pStyle w:val="TableParagraph"/>
              <w:numPr>
                <w:ilvl w:val="0"/>
                <w:numId w:val="569"/>
              </w:numPr>
              <w:tabs>
                <w:tab w:val="left" w:pos="306"/>
              </w:tabs>
              <w:spacing w:before="86" w:line="254" w:lineRule="auto"/>
              <w:ind w:right="72"/>
              <w:rPr>
                <w:sz w:val="16"/>
                <w:szCs w:val="16"/>
              </w:rPr>
            </w:pPr>
            <w:r w:rsidRPr="002840E5">
              <w:rPr>
                <w:color w:val="231F20"/>
                <w:sz w:val="16"/>
                <w:szCs w:val="16"/>
              </w:rPr>
              <w:t>Murray-Darling Basin Authority (the Living Murray</w:t>
            </w:r>
            <w:r w:rsidRPr="002840E5">
              <w:rPr>
                <w:color w:val="231F20"/>
                <w:spacing w:val="-9"/>
                <w:sz w:val="16"/>
                <w:szCs w:val="16"/>
              </w:rPr>
              <w:t xml:space="preserve"> </w:t>
            </w:r>
            <w:r w:rsidRPr="002840E5">
              <w:rPr>
                <w:color w:val="231F20"/>
                <w:sz w:val="16"/>
                <w:szCs w:val="16"/>
              </w:rPr>
              <w:t>program)</w:t>
            </w:r>
          </w:p>
          <w:p w:rsidR="002840E5" w:rsidRPr="002840E5" w:rsidRDefault="002840E5">
            <w:pPr>
              <w:pStyle w:val="TableParagraph"/>
              <w:numPr>
                <w:ilvl w:val="0"/>
                <w:numId w:val="569"/>
              </w:numPr>
              <w:tabs>
                <w:tab w:val="left" w:pos="306"/>
              </w:tabs>
              <w:spacing w:before="87"/>
              <w:ind w:hanging="218"/>
              <w:rPr>
                <w:sz w:val="16"/>
                <w:szCs w:val="16"/>
              </w:rPr>
            </w:pPr>
            <w:r w:rsidRPr="002840E5">
              <w:rPr>
                <w:color w:val="231F20"/>
                <w:sz w:val="16"/>
                <w:szCs w:val="16"/>
              </w:rPr>
              <w:t>Parks</w:t>
            </w:r>
            <w:r w:rsidRPr="002840E5">
              <w:rPr>
                <w:color w:val="231F20"/>
                <w:spacing w:val="-2"/>
                <w:sz w:val="16"/>
                <w:szCs w:val="16"/>
              </w:rPr>
              <w:t xml:space="preserve"> </w:t>
            </w:r>
            <w:r w:rsidRPr="002840E5">
              <w:rPr>
                <w:color w:val="231F20"/>
                <w:sz w:val="16"/>
                <w:szCs w:val="16"/>
              </w:rPr>
              <w:t>Victoria</w:t>
            </w:r>
          </w:p>
        </w:tc>
        <w:tc>
          <w:tcPr>
            <w:tcW w:w="1729" w:type="dxa"/>
            <w:tcBorders>
              <w:top w:val="single" w:sz="4" w:space="0" w:color="231F20"/>
              <w:left w:val="single" w:sz="4" w:space="0" w:color="231F20"/>
              <w:bottom w:val="single" w:sz="4" w:space="0" w:color="231F20"/>
              <w:right w:val="single" w:sz="4" w:space="0" w:color="231F20"/>
            </w:tcBorders>
            <w:noWrap/>
          </w:tcPr>
          <w:p w:rsidR="002840E5" w:rsidRPr="002840E5" w:rsidRDefault="002840E5">
            <w:pPr>
              <w:pStyle w:val="TableParagraph"/>
              <w:spacing w:before="67" w:line="261" w:lineRule="auto"/>
              <w:ind w:left="85" w:right="795"/>
              <w:rPr>
                <w:b/>
                <w:bCs/>
                <w:sz w:val="16"/>
                <w:szCs w:val="16"/>
              </w:rPr>
            </w:pPr>
            <w:r w:rsidRPr="002840E5">
              <w:rPr>
                <w:b/>
                <w:bCs/>
                <w:color w:val="231F20"/>
                <w:sz w:val="16"/>
                <w:szCs w:val="16"/>
              </w:rPr>
              <w:t>IAP2 level:</w:t>
            </w:r>
            <w:r w:rsidR="003B65C2">
              <w:rPr>
                <w:b/>
                <w:bCs/>
                <w:color w:val="231F20"/>
                <w:sz w:val="16"/>
                <w:szCs w:val="16"/>
              </w:rPr>
              <w:t xml:space="preserve"> </w:t>
            </w:r>
            <w:r w:rsidRPr="002840E5">
              <w:rPr>
                <w:b/>
                <w:bCs/>
                <w:color w:val="231F20"/>
                <w:sz w:val="16"/>
                <w:szCs w:val="16"/>
              </w:rPr>
              <w:t>Collabora</w:t>
            </w:r>
            <w:r w:rsidR="003B65C2">
              <w:rPr>
                <w:b/>
                <w:bCs/>
                <w:color w:val="231F20"/>
                <w:sz w:val="16"/>
                <w:szCs w:val="16"/>
              </w:rPr>
              <w:t>t</w:t>
            </w:r>
            <w:r w:rsidRPr="002840E5">
              <w:rPr>
                <w:b/>
                <w:bCs/>
                <w:color w:val="231F20"/>
                <w:sz w:val="16"/>
                <w:szCs w:val="16"/>
              </w:rPr>
              <w:t>e</w:t>
            </w:r>
          </w:p>
          <w:p w:rsidR="002840E5" w:rsidRPr="002840E5" w:rsidRDefault="002840E5">
            <w:pPr>
              <w:pStyle w:val="TableParagraph"/>
              <w:numPr>
                <w:ilvl w:val="0"/>
                <w:numId w:val="568"/>
              </w:numPr>
              <w:tabs>
                <w:tab w:val="left" w:pos="306"/>
              </w:tabs>
              <w:spacing w:before="57" w:line="254" w:lineRule="auto"/>
              <w:ind w:right="250"/>
              <w:rPr>
                <w:sz w:val="16"/>
                <w:szCs w:val="16"/>
              </w:rPr>
            </w:pPr>
            <w:r w:rsidRPr="002840E5">
              <w:rPr>
                <w:color w:val="231F20"/>
                <w:sz w:val="16"/>
                <w:szCs w:val="16"/>
              </w:rPr>
              <w:t xml:space="preserve">Department of Environment, Land, </w:t>
            </w:r>
            <w:r w:rsidRPr="002840E5">
              <w:rPr>
                <w:color w:val="231F20"/>
                <w:spacing w:val="-3"/>
                <w:sz w:val="16"/>
                <w:szCs w:val="16"/>
              </w:rPr>
              <w:t xml:space="preserve">Water </w:t>
            </w:r>
            <w:r w:rsidRPr="002840E5">
              <w:rPr>
                <w:color w:val="231F20"/>
                <w:sz w:val="16"/>
                <w:szCs w:val="16"/>
              </w:rPr>
              <w:t xml:space="preserve">and Planning (Land </w:t>
            </w:r>
            <w:r w:rsidRPr="002840E5">
              <w:rPr>
                <w:color w:val="231F20"/>
                <w:spacing w:val="-5"/>
                <w:sz w:val="16"/>
                <w:szCs w:val="16"/>
              </w:rPr>
              <w:t xml:space="preserve">Manger, </w:t>
            </w:r>
            <w:r w:rsidRPr="002840E5">
              <w:rPr>
                <w:color w:val="231F20"/>
                <w:sz w:val="16"/>
                <w:szCs w:val="16"/>
              </w:rPr>
              <w:t>Environmental Water)</w:t>
            </w:r>
          </w:p>
          <w:p w:rsidR="002840E5" w:rsidRPr="002840E5" w:rsidRDefault="002840E5">
            <w:pPr>
              <w:pStyle w:val="TableParagraph"/>
              <w:numPr>
                <w:ilvl w:val="0"/>
                <w:numId w:val="568"/>
              </w:numPr>
              <w:tabs>
                <w:tab w:val="left" w:pos="306"/>
              </w:tabs>
              <w:spacing w:before="89" w:line="254" w:lineRule="auto"/>
              <w:ind w:right="408"/>
              <w:rPr>
                <w:sz w:val="16"/>
                <w:szCs w:val="16"/>
              </w:rPr>
            </w:pPr>
            <w:r w:rsidRPr="002840E5">
              <w:rPr>
                <w:color w:val="231F20"/>
                <w:sz w:val="16"/>
                <w:szCs w:val="16"/>
              </w:rPr>
              <w:t xml:space="preserve">Goulburn- Murray Water </w:t>
            </w:r>
            <w:r w:rsidRPr="002840E5">
              <w:rPr>
                <w:color w:val="231F20"/>
                <w:spacing w:val="-3"/>
                <w:sz w:val="16"/>
                <w:szCs w:val="16"/>
              </w:rPr>
              <w:t xml:space="preserve">(River </w:t>
            </w:r>
            <w:r w:rsidRPr="002840E5">
              <w:rPr>
                <w:color w:val="231F20"/>
                <w:sz w:val="16"/>
                <w:szCs w:val="16"/>
              </w:rPr>
              <w:t>Operations Planning, Diversions)</w:t>
            </w:r>
          </w:p>
          <w:p w:rsidR="002840E5" w:rsidRPr="002840E5" w:rsidRDefault="002840E5">
            <w:pPr>
              <w:pStyle w:val="TableParagraph"/>
              <w:numPr>
                <w:ilvl w:val="0"/>
                <w:numId w:val="568"/>
              </w:numPr>
              <w:tabs>
                <w:tab w:val="left" w:pos="306"/>
              </w:tabs>
              <w:spacing w:before="89" w:line="254" w:lineRule="auto"/>
              <w:ind w:right="121"/>
              <w:rPr>
                <w:sz w:val="16"/>
                <w:szCs w:val="16"/>
              </w:rPr>
            </w:pPr>
            <w:r w:rsidRPr="002840E5">
              <w:rPr>
                <w:color w:val="231F20"/>
                <w:sz w:val="16"/>
                <w:szCs w:val="16"/>
              </w:rPr>
              <w:t xml:space="preserve">Greater Shepparton </w:t>
            </w:r>
            <w:r w:rsidRPr="002840E5">
              <w:rPr>
                <w:color w:val="231F20"/>
                <w:spacing w:val="-5"/>
                <w:sz w:val="16"/>
                <w:szCs w:val="16"/>
              </w:rPr>
              <w:t xml:space="preserve">City </w:t>
            </w:r>
            <w:r w:rsidRPr="002840E5">
              <w:rPr>
                <w:color w:val="231F20"/>
                <w:sz w:val="16"/>
                <w:szCs w:val="16"/>
              </w:rPr>
              <w:t>Council</w:t>
            </w:r>
          </w:p>
          <w:p w:rsidR="002840E5" w:rsidRPr="002840E5" w:rsidRDefault="002840E5">
            <w:pPr>
              <w:pStyle w:val="TableParagraph"/>
              <w:numPr>
                <w:ilvl w:val="0"/>
                <w:numId w:val="568"/>
              </w:numPr>
              <w:tabs>
                <w:tab w:val="left" w:pos="306"/>
              </w:tabs>
              <w:spacing w:before="87" w:line="254" w:lineRule="auto"/>
              <w:ind w:right="491"/>
              <w:rPr>
                <w:sz w:val="16"/>
                <w:szCs w:val="16"/>
              </w:rPr>
            </w:pPr>
            <w:r w:rsidRPr="002840E5">
              <w:rPr>
                <w:color w:val="231F20"/>
                <w:sz w:val="16"/>
                <w:szCs w:val="16"/>
              </w:rPr>
              <w:t xml:space="preserve">Moira </w:t>
            </w:r>
            <w:r w:rsidRPr="002840E5">
              <w:rPr>
                <w:color w:val="231F20"/>
                <w:spacing w:val="-4"/>
                <w:sz w:val="16"/>
                <w:szCs w:val="16"/>
              </w:rPr>
              <w:t xml:space="preserve">Shire </w:t>
            </w:r>
            <w:r w:rsidRPr="002840E5">
              <w:rPr>
                <w:color w:val="231F20"/>
                <w:sz w:val="16"/>
                <w:szCs w:val="16"/>
              </w:rPr>
              <w:t>Council</w:t>
            </w:r>
          </w:p>
          <w:p w:rsidR="002840E5" w:rsidRPr="002840E5" w:rsidRDefault="002840E5">
            <w:pPr>
              <w:pStyle w:val="TableParagraph"/>
              <w:numPr>
                <w:ilvl w:val="0"/>
                <w:numId w:val="568"/>
              </w:numPr>
              <w:tabs>
                <w:tab w:val="left" w:pos="306"/>
              </w:tabs>
              <w:spacing w:before="86"/>
              <w:ind w:hanging="218"/>
              <w:rPr>
                <w:sz w:val="16"/>
                <w:szCs w:val="16"/>
              </w:rPr>
            </w:pPr>
            <w:r w:rsidRPr="002840E5">
              <w:rPr>
                <w:color w:val="231F20"/>
                <w:sz w:val="16"/>
                <w:szCs w:val="16"/>
              </w:rPr>
              <w:t>Parks</w:t>
            </w:r>
            <w:r w:rsidRPr="002840E5">
              <w:rPr>
                <w:color w:val="231F20"/>
                <w:spacing w:val="-2"/>
                <w:sz w:val="16"/>
                <w:szCs w:val="16"/>
              </w:rPr>
              <w:t xml:space="preserve"> </w:t>
            </w:r>
            <w:r w:rsidRPr="002840E5">
              <w:rPr>
                <w:color w:val="231F20"/>
                <w:sz w:val="16"/>
                <w:szCs w:val="16"/>
              </w:rPr>
              <w:t>Victoria</w:t>
            </w: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spacing w:before="67" w:line="261" w:lineRule="auto"/>
              <w:ind w:left="85" w:right="795"/>
              <w:rPr>
                <w:b/>
                <w:bCs/>
                <w:sz w:val="16"/>
                <w:szCs w:val="16"/>
              </w:rPr>
            </w:pPr>
            <w:r w:rsidRPr="002840E5">
              <w:rPr>
                <w:b/>
                <w:bCs/>
                <w:color w:val="231F20"/>
                <w:sz w:val="16"/>
                <w:szCs w:val="16"/>
              </w:rPr>
              <w:t>IAP2 level: Collaborate</w:t>
            </w:r>
          </w:p>
          <w:p w:rsidR="002840E5" w:rsidRPr="002840E5" w:rsidRDefault="002840E5">
            <w:pPr>
              <w:pStyle w:val="TableParagraph"/>
              <w:numPr>
                <w:ilvl w:val="0"/>
                <w:numId w:val="567"/>
              </w:numPr>
              <w:tabs>
                <w:tab w:val="left" w:pos="306"/>
              </w:tabs>
              <w:spacing w:before="57" w:line="254" w:lineRule="auto"/>
              <w:ind w:right="161"/>
              <w:rPr>
                <w:sz w:val="16"/>
                <w:szCs w:val="16"/>
              </w:rPr>
            </w:pPr>
            <w:r w:rsidRPr="002840E5">
              <w:rPr>
                <w:color w:val="231F20"/>
                <w:spacing w:val="-1"/>
                <w:sz w:val="16"/>
                <w:szCs w:val="16"/>
              </w:rPr>
              <w:t xml:space="preserve">Commonwealth </w:t>
            </w:r>
            <w:r w:rsidRPr="002840E5">
              <w:rPr>
                <w:color w:val="231F20"/>
                <w:sz w:val="16"/>
                <w:szCs w:val="16"/>
              </w:rPr>
              <w:t>Environmental Water</w:t>
            </w:r>
            <w:r w:rsidRPr="002840E5">
              <w:rPr>
                <w:color w:val="231F20"/>
                <w:spacing w:val="-3"/>
                <w:sz w:val="16"/>
                <w:szCs w:val="16"/>
              </w:rPr>
              <w:t xml:space="preserve"> </w:t>
            </w:r>
            <w:r w:rsidRPr="002840E5">
              <w:rPr>
                <w:color w:val="231F20"/>
                <w:sz w:val="16"/>
                <w:szCs w:val="16"/>
              </w:rPr>
              <w:t>Office</w:t>
            </w:r>
          </w:p>
          <w:p w:rsidR="002840E5" w:rsidRPr="002840E5" w:rsidRDefault="002840E5">
            <w:pPr>
              <w:pStyle w:val="TableParagraph"/>
              <w:numPr>
                <w:ilvl w:val="0"/>
                <w:numId w:val="567"/>
              </w:numPr>
              <w:tabs>
                <w:tab w:val="left" w:pos="306"/>
              </w:tabs>
              <w:spacing w:before="87" w:line="254" w:lineRule="auto"/>
              <w:ind w:right="328"/>
              <w:rPr>
                <w:sz w:val="16"/>
                <w:szCs w:val="16"/>
              </w:rPr>
            </w:pPr>
            <w:r w:rsidRPr="002840E5">
              <w:rPr>
                <w:color w:val="231F20"/>
                <w:sz w:val="16"/>
                <w:szCs w:val="16"/>
              </w:rPr>
              <w:t>Goulburn- Murray</w:t>
            </w:r>
            <w:r w:rsidRPr="002840E5">
              <w:rPr>
                <w:color w:val="231F20"/>
                <w:spacing w:val="4"/>
                <w:sz w:val="16"/>
                <w:szCs w:val="16"/>
              </w:rPr>
              <w:t xml:space="preserve"> </w:t>
            </w:r>
            <w:r w:rsidRPr="002840E5">
              <w:rPr>
                <w:color w:val="231F20"/>
                <w:spacing w:val="-6"/>
                <w:sz w:val="16"/>
                <w:szCs w:val="16"/>
              </w:rPr>
              <w:t>Water</w:t>
            </w:r>
          </w:p>
          <w:p w:rsidR="002840E5" w:rsidRPr="002840E5" w:rsidRDefault="002840E5">
            <w:pPr>
              <w:pStyle w:val="TableParagraph"/>
              <w:numPr>
                <w:ilvl w:val="0"/>
                <w:numId w:val="567"/>
              </w:numPr>
              <w:tabs>
                <w:tab w:val="left" w:pos="306"/>
              </w:tabs>
              <w:spacing w:before="86"/>
              <w:ind w:hanging="218"/>
              <w:rPr>
                <w:sz w:val="16"/>
                <w:szCs w:val="16"/>
              </w:rPr>
            </w:pPr>
            <w:r w:rsidRPr="002840E5">
              <w:rPr>
                <w:color w:val="231F20"/>
                <w:sz w:val="16"/>
                <w:szCs w:val="16"/>
              </w:rPr>
              <w:t>Parks</w:t>
            </w:r>
            <w:r w:rsidRPr="002840E5">
              <w:rPr>
                <w:color w:val="231F20"/>
                <w:spacing w:val="-2"/>
                <w:sz w:val="16"/>
                <w:szCs w:val="16"/>
              </w:rPr>
              <w:t xml:space="preserve"> </w:t>
            </w:r>
            <w:r w:rsidRPr="002840E5">
              <w:rPr>
                <w:color w:val="231F20"/>
                <w:sz w:val="16"/>
                <w:szCs w:val="16"/>
              </w:rPr>
              <w:t>Victoria</w:t>
            </w: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spacing w:before="67" w:line="261" w:lineRule="auto"/>
              <w:ind w:left="85" w:right="795"/>
              <w:rPr>
                <w:b/>
                <w:bCs/>
                <w:sz w:val="16"/>
                <w:szCs w:val="16"/>
              </w:rPr>
            </w:pPr>
            <w:r w:rsidRPr="002840E5">
              <w:rPr>
                <w:b/>
                <w:bCs/>
                <w:color w:val="231F20"/>
                <w:sz w:val="16"/>
                <w:szCs w:val="16"/>
              </w:rPr>
              <w:t>IAP2 level: Collaborate</w:t>
            </w:r>
          </w:p>
          <w:p w:rsidR="002840E5" w:rsidRPr="002840E5" w:rsidRDefault="002840E5">
            <w:pPr>
              <w:pStyle w:val="TableParagraph"/>
              <w:numPr>
                <w:ilvl w:val="0"/>
                <w:numId w:val="566"/>
              </w:numPr>
              <w:tabs>
                <w:tab w:val="left" w:pos="306"/>
              </w:tabs>
              <w:spacing w:before="57" w:line="254" w:lineRule="auto"/>
              <w:ind w:right="161"/>
              <w:rPr>
                <w:sz w:val="16"/>
                <w:szCs w:val="16"/>
              </w:rPr>
            </w:pPr>
            <w:r w:rsidRPr="002840E5">
              <w:rPr>
                <w:color w:val="231F20"/>
                <w:spacing w:val="-1"/>
                <w:sz w:val="16"/>
                <w:szCs w:val="16"/>
              </w:rPr>
              <w:t xml:space="preserve">Commonwealth </w:t>
            </w:r>
            <w:r w:rsidRPr="002840E5">
              <w:rPr>
                <w:color w:val="231F20"/>
                <w:sz w:val="16"/>
                <w:szCs w:val="16"/>
              </w:rPr>
              <w:t>Environmental Water</w:t>
            </w:r>
            <w:r w:rsidRPr="002840E5">
              <w:rPr>
                <w:color w:val="231F20"/>
                <w:spacing w:val="-3"/>
                <w:sz w:val="16"/>
                <w:szCs w:val="16"/>
              </w:rPr>
              <w:t xml:space="preserve"> </w:t>
            </w:r>
            <w:r w:rsidRPr="002840E5">
              <w:rPr>
                <w:color w:val="231F20"/>
                <w:sz w:val="16"/>
                <w:szCs w:val="16"/>
              </w:rPr>
              <w:t>Office</w:t>
            </w:r>
          </w:p>
          <w:p w:rsidR="002840E5" w:rsidRPr="002840E5" w:rsidRDefault="002840E5">
            <w:pPr>
              <w:pStyle w:val="TableParagraph"/>
              <w:numPr>
                <w:ilvl w:val="0"/>
                <w:numId w:val="566"/>
              </w:numPr>
              <w:tabs>
                <w:tab w:val="left" w:pos="306"/>
              </w:tabs>
              <w:spacing w:before="87" w:line="254" w:lineRule="auto"/>
              <w:ind w:right="328"/>
              <w:rPr>
                <w:sz w:val="16"/>
                <w:szCs w:val="16"/>
              </w:rPr>
            </w:pPr>
            <w:r w:rsidRPr="002840E5">
              <w:rPr>
                <w:color w:val="231F20"/>
                <w:sz w:val="16"/>
                <w:szCs w:val="16"/>
              </w:rPr>
              <w:t>Goulburn- Murray</w:t>
            </w:r>
            <w:r w:rsidRPr="002840E5">
              <w:rPr>
                <w:color w:val="231F20"/>
                <w:spacing w:val="4"/>
                <w:sz w:val="16"/>
                <w:szCs w:val="16"/>
              </w:rPr>
              <w:t xml:space="preserve"> </w:t>
            </w:r>
            <w:r w:rsidRPr="002840E5">
              <w:rPr>
                <w:color w:val="231F20"/>
                <w:spacing w:val="-6"/>
                <w:sz w:val="16"/>
                <w:szCs w:val="16"/>
              </w:rPr>
              <w:t>Water</w:t>
            </w:r>
          </w:p>
          <w:p w:rsidR="002840E5" w:rsidRPr="002840E5" w:rsidRDefault="002840E5">
            <w:pPr>
              <w:pStyle w:val="TableParagraph"/>
              <w:numPr>
                <w:ilvl w:val="0"/>
                <w:numId w:val="566"/>
              </w:numPr>
              <w:tabs>
                <w:tab w:val="left" w:pos="306"/>
              </w:tabs>
              <w:spacing w:before="86"/>
              <w:rPr>
                <w:sz w:val="16"/>
                <w:szCs w:val="16"/>
              </w:rPr>
            </w:pPr>
            <w:r w:rsidRPr="002840E5">
              <w:rPr>
                <w:color w:val="231F20"/>
                <w:sz w:val="16"/>
                <w:szCs w:val="16"/>
              </w:rPr>
              <w:t>Parks</w:t>
            </w:r>
            <w:r w:rsidRPr="002840E5">
              <w:rPr>
                <w:color w:val="231F20"/>
                <w:spacing w:val="-2"/>
                <w:sz w:val="16"/>
                <w:szCs w:val="16"/>
              </w:rPr>
              <w:t xml:space="preserve"> </w:t>
            </w:r>
            <w:r w:rsidRPr="002840E5">
              <w:rPr>
                <w:color w:val="231F20"/>
                <w:sz w:val="16"/>
                <w:szCs w:val="16"/>
              </w:rPr>
              <w:t>Victoria</w:t>
            </w:r>
          </w:p>
        </w:tc>
      </w:tr>
      <w:tr w:rsidR="002840E5" w:rsidTr="002840E5">
        <w:trPr>
          <w:trHeight w:val="829"/>
        </w:trPr>
        <w:tc>
          <w:tcPr>
            <w:tcW w:w="1554" w:type="dxa"/>
            <w:vMerge/>
            <w:tcBorders>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pPr>
              <w:pStyle w:val="TableParagraph"/>
              <w:spacing w:before="67"/>
              <w:ind w:left="85"/>
              <w:rPr>
                <w:b/>
                <w:bCs/>
                <w:sz w:val="16"/>
                <w:szCs w:val="16"/>
              </w:rPr>
            </w:pPr>
            <w:r w:rsidRPr="002840E5">
              <w:rPr>
                <w:b/>
                <w:bCs/>
                <w:color w:val="231F20"/>
                <w:sz w:val="16"/>
                <w:szCs w:val="16"/>
              </w:rPr>
              <w:t>IAP2 level: Inform</w:t>
            </w:r>
          </w:p>
          <w:p w:rsidR="002840E5" w:rsidRPr="002840E5" w:rsidRDefault="002840E5">
            <w:pPr>
              <w:pStyle w:val="TableParagraph"/>
              <w:numPr>
                <w:ilvl w:val="0"/>
                <w:numId w:val="565"/>
              </w:numPr>
              <w:tabs>
                <w:tab w:val="left" w:pos="306"/>
              </w:tabs>
              <w:spacing w:before="74" w:line="254" w:lineRule="auto"/>
              <w:ind w:right="491"/>
              <w:rPr>
                <w:sz w:val="16"/>
                <w:szCs w:val="16"/>
              </w:rPr>
            </w:pPr>
            <w:r w:rsidRPr="002840E5">
              <w:rPr>
                <w:color w:val="231F20"/>
                <w:sz w:val="16"/>
                <w:szCs w:val="16"/>
              </w:rPr>
              <w:t xml:space="preserve">Moira </w:t>
            </w:r>
            <w:r w:rsidRPr="002840E5">
              <w:rPr>
                <w:color w:val="231F20"/>
                <w:spacing w:val="-4"/>
                <w:sz w:val="16"/>
                <w:szCs w:val="16"/>
              </w:rPr>
              <w:t xml:space="preserve">Shire </w:t>
            </w:r>
            <w:r w:rsidRPr="002840E5">
              <w:rPr>
                <w:color w:val="231F20"/>
                <w:sz w:val="16"/>
                <w:szCs w:val="16"/>
              </w:rPr>
              <w:t>Council</w:t>
            </w:r>
          </w:p>
        </w:tc>
      </w:tr>
      <w:tr w:rsidR="006A7A3F" w:rsidTr="002840E5">
        <w:trPr>
          <w:trHeight w:val="1929"/>
        </w:trPr>
        <w:tc>
          <w:tcPr>
            <w:tcW w:w="1554" w:type="dxa"/>
            <w:tcBorders>
              <w:top w:val="single" w:sz="4" w:space="0" w:color="231F20"/>
              <w:left w:val="single" w:sz="4" w:space="0" w:color="231F20"/>
              <w:bottom w:val="single" w:sz="4" w:space="0" w:color="231F20"/>
              <w:right w:val="single" w:sz="4" w:space="0" w:color="231F20"/>
            </w:tcBorders>
          </w:tcPr>
          <w:p w:rsidR="006A7A3F" w:rsidRPr="002840E5" w:rsidRDefault="00BC7372">
            <w:pPr>
              <w:pStyle w:val="TableParagraph"/>
              <w:spacing w:before="67" w:line="261" w:lineRule="auto"/>
              <w:ind w:left="85" w:right="513"/>
              <w:rPr>
                <w:sz w:val="16"/>
                <w:szCs w:val="16"/>
              </w:rPr>
            </w:pPr>
            <w:r w:rsidRPr="002840E5">
              <w:rPr>
                <w:color w:val="231F20"/>
                <w:sz w:val="16"/>
                <w:szCs w:val="16"/>
              </w:rPr>
              <w:t>Landholders/ farmers</w:t>
            </w:r>
          </w:p>
        </w:tc>
        <w:tc>
          <w:tcPr>
            <w:tcW w:w="1729" w:type="dxa"/>
            <w:tcBorders>
              <w:top w:val="single" w:sz="4" w:space="0" w:color="231F20"/>
              <w:left w:val="single" w:sz="4" w:space="0" w:color="231F20"/>
              <w:bottom w:val="single" w:sz="4" w:space="0" w:color="231F20"/>
              <w:right w:val="single" w:sz="4" w:space="0" w:color="231F20"/>
            </w:tcBorders>
          </w:tcPr>
          <w:p w:rsidR="006A7A3F" w:rsidRPr="002840E5" w:rsidRDefault="006A7A3F">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w:t>
            </w:r>
            <w:r w:rsidRPr="003B65C2">
              <w:rPr>
                <w:b/>
                <w:bCs/>
                <w:color w:val="231F20"/>
                <w:spacing w:val="-13"/>
                <w:sz w:val="16"/>
                <w:szCs w:val="16"/>
              </w:rPr>
              <w:t xml:space="preserve"> </w:t>
            </w:r>
            <w:r w:rsidRPr="003B65C2">
              <w:rPr>
                <w:b/>
                <w:bCs/>
                <w:color w:val="231F20"/>
                <w:sz w:val="16"/>
                <w:szCs w:val="16"/>
              </w:rPr>
              <w:t>Consult</w:t>
            </w:r>
          </w:p>
          <w:p w:rsidR="006A7A3F" w:rsidRPr="002840E5" w:rsidRDefault="00BC7372">
            <w:pPr>
              <w:pStyle w:val="TableParagraph"/>
              <w:numPr>
                <w:ilvl w:val="0"/>
                <w:numId w:val="564"/>
              </w:numPr>
              <w:tabs>
                <w:tab w:val="left" w:pos="306"/>
              </w:tabs>
              <w:spacing w:before="74" w:line="254" w:lineRule="auto"/>
              <w:ind w:right="261"/>
              <w:rPr>
                <w:sz w:val="16"/>
                <w:szCs w:val="16"/>
              </w:rPr>
            </w:pPr>
            <w:r w:rsidRPr="002840E5">
              <w:rPr>
                <w:color w:val="231F20"/>
                <w:sz w:val="16"/>
                <w:szCs w:val="16"/>
              </w:rPr>
              <w:t>Individual landholders who are on the Goulburn Environmental</w:t>
            </w:r>
          </w:p>
          <w:p w:rsidR="006A7A3F" w:rsidRPr="002840E5" w:rsidRDefault="00BC7372">
            <w:pPr>
              <w:pStyle w:val="TableParagraph"/>
              <w:spacing w:before="3" w:line="254" w:lineRule="auto"/>
              <w:ind w:left="305"/>
              <w:rPr>
                <w:sz w:val="16"/>
                <w:szCs w:val="16"/>
              </w:rPr>
            </w:pPr>
            <w:r w:rsidRPr="002840E5">
              <w:rPr>
                <w:color w:val="231F20"/>
                <w:sz w:val="16"/>
                <w:szCs w:val="16"/>
              </w:rPr>
              <w:t>Water Advisory Group</w:t>
            </w: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 Consult</w:t>
            </w:r>
          </w:p>
          <w:p w:rsidR="006A7A3F" w:rsidRPr="002840E5" w:rsidRDefault="00BC7372">
            <w:pPr>
              <w:pStyle w:val="TableParagraph"/>
              <w:numPr>
                <w:ilvl w:val="0"/>
                <w:numId w:val="563"/>
              </w:numPr>
              <w:tabs>
                <w:tab w:val="left" w:pos="306"/>
              </w:tabs>
              <w:spacing w:before="74"/>
              <w:ind w:hanging="218"/>
              <w:rPr>
                <w:sz w:val="16"/>
                <w:szCs w:val="16"/>
              </w:rPr>
            </w:pPr>
            <w:r w:rsidRPr="002840E5">
              <w:rPr>
                <w:color w:val="231F20"/>
                <w:sz w:val="16"/>
                <w:szCs w:val="16"/>
              </w:rPr>
              <w:t>Landholders</w:t>
            </w: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w:t>
            </w:r>
            <w:r w:rsidRPr="003B65C2">
              <w:rPr>
                <w:b/>
                <w:bCs/>
                <w:color w:val="231F20"/>
                <w:spacing w:val="-13"/>
                <w:sz w:val="16"/>
                <w:szCs w:val="16"/>
              </w:rPr>
              <w:t xml:space="preserve"> </w:t>
            </w:r>
            <w:r w:rsidRPr="003B65C2">
              <w:rPr>
                <w:b/>
                <w:bCs/>
                <w:color w:val="231F20"/>
                <w:sz w:val="16"/>
                <w:szCs w:val="16"/>
              </w:rPr>
              <w:t>Consult</w:t>
            </w:r>
          </w:p>
          <w:p w:rsidR="006A7A3F" w:rsidRPr="002840E5" w:rsidRDefault="00BC7372">
            <w:pPr>
              <w:pStyle w:val="TableParagraph"/>
              <w:numPr>
                <w:ilvl w:val="0"/>
                <w:numId w:val="562"/>
              </w:numPr>
              <w:tabs>
                <w:tab w:val="left" w:pos="306"/>
              </w:tabs>
              <w:spacing w:before="74" w:line="254" w:lineRule="auto"/>
              <w:ind w:right="260"/>
              <w:rPr>
                <w:sz w:val="16"/>
                <w:szCs w:val="16"/>
              </w:rPr>
            </w:pPr>
            <w:r w:rsidRPr="002840E5">
              <w:rPr>
                <w:color w:val="231F20"/>
                <w:sz w:val="16"/>
                <w:szCs w:val="16"/>
              </w:rPr>
              <w:t>Individual landholders who are on the Broken Environmental</w:t>
            </w:r>
          </w:p>
          <w:p w:rsidR="006A7A3F" w:rsidRPr="002840E5" w:rsidRDefault="00BC7372">
            <w:pPr>
              <w:pStyle w:val="TableParagraph"/>
              <w:spacing w:before="3" w:line="254" w:lineRule="auto"/>
              <w:ind w:left="305"/>
              <w:rPr>
                <w:sz w:val="16"/>
                <w:szCs w:val="16"/>
              </w:rPr>
            </w:pPr>
            <w:r w:rsidRPr="002840E5">
              <w:rPr>
                <w:color w:val="231F20"/>
                <w:sz w:val="16"/>
                <w:szCs w:val="16"/>
              </w:rPr>
              <w:t>Water Advisory Group</w:t>
            </w: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w:t>
            </w:r>
            <w:r w:rsidRPr="003B65C2">
              <w:rPr>
                <w:b/>
                <w:bCs/>
                <w:color w:val="231F20"/>
                <w:spacing w:val="-13"/>
                <w:sz w:val="16"/>
                <w:szCs w:val="16"/>
              </w:rPr>
              <w:t xml:space="preserve"> </w:t>
            </w:r>
            <w:r w:rsidRPr="003B65C2">
              <w:rPr>
                <w:b/>
                <w:bCs/>
                <w:color w:val="231F20"/>
                <w:sz w:val="16"/>
                <w:szCs w:val="16"/>
              </w:rPr>
              <w:t>Consult</w:t>
            </w:r>
          </w:p>
          <w:p w:rsidR="006A7A3F" w:rsidRPr="002840E5" w:rsidRDefault="00BC7372">
            <w:pPr>
              <w:pStyle w:val="TableParagraph"/>
              <w:numPr>
                <w:ilvl w:val="0"/>
                <w:numId w:val="561"/>
              </w:numPr>
              <w:tabs>
                <w:tab w:val="left" w:pos="306"/>
              </w:tabs>
              <w:spacing w:before="74" w:line="254" w:lineRule="auto"/>
              <w:ind w:right="260"/>
              <w:rPr>
                <w:sz w:val="16"/>
                <w:szCs w:val="16"/>
              </w:rPr>
            </w:pPr>
            <w:r w:rsidRPr="002840E5">
              <w:rPr>
                <w:color w:val="231F20"/>
                <w:sz w:val="16"/>
                <w:szCs w:val="16"/>
              </w:rPr>
              <w:t>Individual landholders who are on the Broken Environmental</w:t>
            </w:r>
          </w:p>
          <w:p w:rsidR="006A7A3F" w:rsidRPr="002840E5" w:rsidRDefault="00BC7372">
            <w:pPr>
              <w:pStyle w:val="TableParagraph"/>
              <w:spacing w:before="3" w:line="254" w:lineRule="auto"/>
              <w:ind w:left="305"/>
              <w:rPr>
                <w:sz w:val="16"/>
                <w:szCs w:val="16"/>
              </w:rPr>
            </w:pPr>
            <w:r w:rsidRPr="002840E5">
              <w:rPr>
                <w:color w:val="231F20"/>
                <w:sz w:val="16"/>
                <w:szCs w:val="16"/>
              </w:rPr>
              <w:t>Water Advisory Group</w:t>
            </w:r>
          </w:p>
        </w:tc>
      </w:tr>
      <w:tr w:rsidR="006A7A3F" w:rsidTr="002840E5">
        <w:trPr>
          <w:trHeight w:val="1354"/>
        </w:trPr>
        <w:tc>
          <w:tcPr>
            <w:tcW w:w="1554" w:type="dxa"/>
            <w:tcBorders>
              <w:top w:val="single" w:sz="4" w:space="0" w:color="231F20"/>
              <w:left w:val="single" w:sz="4" w:space="0" w:color="231F20"/>
              <w:bottom w:val="single" w:sz="4" w:space="0" w:color="auto"/>
              <w:right w:val="single" w:sz="4" w:space="0" w:color="231F20"/>
            </w:tcBorders>
          </w:tcPr>
          <w:p w:rsidR="006A7A3F" w:rsidRPr="002840E5" w:rsidRDefault="00BC7372">
            <w:pPr>
              <w:pStyle w:val="TableParagraph"/>
              <w:spacing w:before="67"/>
              <w:ind w:left="85"/>
              <w:rPr>
                <w:sz w:val="16"/>
                <w:szCs w:val="16"/>
              </w:rPr>
            </w:pPr>
            <w:r w:rsidRPr="002840E5">
              <w:rPr>
                <w:color w:val="231F20"/>
                <w:sz w:val="16"/>
                <w:szCs w:val="16"/>
              </w:rPr>
              <w:t>Local businesses</w:t>
            </w: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 Consult</w:t>
            </w:r>
          </w:p>
          <w:p w:rsidR="006A7A3F" w:rsidRPr="002840E5" w:rsidRDefault="00BC7372">
            <w:pPr>
              <w:pStyle w:val="TableParagraph"/>
              <w:numPr>
                <w:ilvl w:val="0"/>
                <w:numId w:val="560"/>
              </w:numPr>
              <w:tabs>
                <w:tab w:val="left" w:pos="306"/>
              </w:tabs>
              <w:spacing w:before="74" w:line="254" w:lineRule="auto"/>
              <w:ind w:right="257"/>
              <w:rPr>
                <w:sz w:val="16"/>
                <w:szCs w:val="16"/>
              </w:rPr>
            </w:pPr>
            <w:r w:rsidRPr="002840E5">
              <w:rPr>
                <w:color w:val="231F20"/>
                <w:sz w:val="16"/>
                <w:szCs w:val="16"/>
              </w:rPr>
              <w:t xml:space="preserve">Trellys </w:t>
            </w:r>
            <w:r w:rsidRPr="002840E5">
              <w:rPr>
                <w:color w:val="231F20"/>
                <w:spacing w:val="-3"/>
                <w:sz w:val="16"/>
                <w:szCs w:val="16"/>
              </w:rPr>
              <w:t xml:space="preserve">Fishing </w:t>
            </w:r>
            <w:r w:rsidRPr="002840E5">
              <w:rPr>
                <w:color w:val="231F20"/>
                <w:sz w:val="16"/>
                <w:szCs w:val="16"/>
              </w:rPr>
              <w:t>and</w:t>
            </w:r>
            <w:r w:rsidRPr="002840E5">
              <w:rPr>
                <w:color w:val="231F20"/>
                <w:spacing w:val="-3"/>
                <w:sz w:val="16"/>
                <w:szCs w:val="16"/>
              </w:rPr>
              <w:t xml:space="preserve"> </w:t>
            </w:r>
            <w:r w:rsidRPr="002840E5">
              <w:rPr>
                <w:color w:val="231F20"/>
                <w:sz w:val="16"/>
                <w:szCs w:val="16"/>
              </w:rPr>
              <w:t>Hunting</w:t>
            </w: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 Consult</w:t>
            </w:r>
          </w:p>
          <w:p w:rsidR="006A7A3F" w:rsidRPr="002840E5" w:rsidRDefault="00BC7372">
            <w:pPr>
              <w:pStyle w:val="TableParagraph"/>
              <w:numPr>
                <w:ilvl w:val="0"/>
                <w:numId w:val="559"/>
              </w:numPr>
              <w:tabs>
                <w:tab w:val="left" w:pos="306"/>
              </w:tabs>
              <w:spacing w:before="74" w:line="254" w:lineRule="auto"/>
              <w:ind w:right="341"/>
              <w:rPr>
                <w:sz w:val="16"/>
                <w:szCs w:val="16"/>
              </w:rPr>
            </w:pPr>
            <w:r w:rsidRPr="002840E5">
              <w:rPr>
                <w:color w:val="231F20"/>
                <w:sz w:val="16"/>
                <w:szCs w:val="16"/>
              </w:rPr>
              <w:t>Local tourism operator</w:t>
            </w:r>
          </w:p>
          <w:p w:rsidR="006A7A3F" w:rsidRPr="002840E5" w:rsidRDefault="00BC7372">
            <w:pPr>
              <w:pStyle w:val="TableParagraph"/>
              <w:numPr>
                <w:ilvl w:val="0"/>
                <w:numId w:val="559"/>
              </w:numPr>
              <w:tabs>
                <w:tab w:val="left" w:pos="306"/>
              </w:tabs>
              <w:spacing w:before="86" w:line="254" w:lineRule="auto"/>
              <w:ind w:right="257"/>
              <w:rPr>
                <w:sz w:val="16"/>
                <w:szCs w:val="16"/>
              </w:rPr>
            </w:pPr>
            <w:r w:rsidRPr="002840E5">
              <w:rPr>
                <w:color w:val="231F20"/>
                <w:sz w:val="16"/>
                <w:szCs w:val="16"/>
              </w:rPr>
              <w:t xml:space="preserve">Trellys </w:t>
            </w:r>
            <w:r w:rsidRPr="002840E5">
              <w:rPr>
                <w:color w:val="231F20"/>
                <w:spacing w:val="-3"/>
                <w:sz w:val="16"/>
                <w:szCs w:val="16"/>
              </w:rPr>
              <w:t xml:space="preserve">Fishing </w:t>
            </w:r>
            <w:r w:rsidRPr="002840E5">
              <w:rPr>
                <w:color w:val="231F20"/>
                <w:sz w:val="16"/>
                <w:szCs w:val="16"/>
              </w:rPr>
              <w:t>and</w:t>
            </w:r>
            <w:r w:rsidRPr="002840E5">
              <w:rPr>
                <w:color w:val="231F20"/>
                <w:spacing w:val="-3"/>
                <w:sz w:val="16"/>
                <w:szCs w:val="16"/>
              </w:rPr>
              <w:t xml:space="preserve"> </w:t>
            </w:r>
            <w:r w:rsidRPr="002840E5">
              <w:rPr>
                <w:color w:val="231F20"/>
                <w:sz w:val="16"/>
                <w:szCs w:val="16"/>
              </w:rPr>
              <w:t>Hunting</w:t>
            </w: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 Consult</w:t>
            </w:r>
          </w:p>
          <w:p w:rsidR="006A7A3F" w:rsidRPr="002840E5" w:rsidRDefault="00BC7372">
            <w:pPr>
              <w:pStyle w:val="TableParagraph"/>
              <w:numPr>
                <w:ilvl w:val="0"/>
                <w:numId w:val="558"/>
              </w:numPr>
              <w:tabs>
                <w:tab w:val="left" w:pos="306"/>
              </w:tabs>
              <w:spacing w:before="74" w:line="254" w:lineRule="auto"/>
              <w:ind w:right="257"/>
              <w:rPr>
                <w:sz w:val="16"/>
                <w:szCs w:val="16"/>
              </w:rPr>
            </w:pPr>
            <w:r w:rsidRPr="002840E5">
              <w:rPr>
                <w:color w:val="231F20"/>
                <w:sz w:val="16"/>
                <w:szCs w:val="16"/>
              </w:rPr>
              <w:t xml:space="preserve">Trellys </w:t>
            </w:r>
            <w:r w:rsidRPr="002840E5">
              <w:rPr>
                <w:color w:val="231F20"/>
                <w:spacing w:val="-3"/>
                <w:sz w:val="16"/>
                <w:szCs w:val="16"/>
              </w:rPr>
              <w:t xml:space="preserve">Fishing </w:t>
            </w:r>
            <w:r w:rsidRPr="002840E5">
              <w:rPr>
                <w:color w:val="231F20"/>
                <w:sz w:val="16"/>
                <w:szCs w:val="16"/>
              </w:rPr>
              <w:t>and</w:t>
            </w:r>
            <w:r w:rsidRPr="002840E5">
              <w:rPr>
                <w:color w:val="231F20"/>
                <w:spacing w:val="-3"/>
                <w:sz w:val="16"/>
                <w:szCs w:val="16"/>
              </w:rPr>
              <w:t xml:space="preserve"> </w:t>
            </w:r>
            <w:r w:rsidRPr="002840E5">
              <w:rPr>
                <w:color w:val="231F20"/>
                <w:sz w:val="16"/>
                <w:szCs w:val="16"/>
              </w:rPr>
              <w:t>Hunting</w:t>
            </w:r>
          </w:p>
        </w:tc>
        <w:tc>
          <w:tcPr>
            <w:tcW w:w="1729" w:type="dxa"/>
            <w:tcBorders>
              <w:top w:val="single" w:sz="4" w:space="0" w:color="231F20"/>
              <w:left w:val="single" w:sz="4" w:space="0" w:color="231F20"/>
              <w:bottom w:val="single" w:sz="4" w:space="0" w:color="231F20"/>
              <w:right w:val="single" w:sz="4" w:space="0" w:color="231F20"/>
            </w:tcBorders>
          </w:tcPr>
          <w:p w:rsidR="006A7A3F" w:rsidRPr="002840E5" w:rsidRDefault="006A7A3F">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2840E5" w:rsidRDefault="006A7A3F">
            <w:pPr>
              <w:pStyle w:val="TableParagraph"/>
              <w:ind w:left="0"/>
              <w:rPr>
                <w:sz w:val="16"/>
                <w:szCs w:val="16"/>
              </w:rPr>
            </w:pPr>
          </w:p>
        </w:tc>
      </w:tr>
      <w:tr w:rsidR="006A7A3F" w:rsidTr="002840E5">
        <w:trPr>
          <w:trHeight w:val="609"/>
        </w:trPr>
        <w:tc>
          <w:tcPr>
            <w:tcW w:w="1554" w:type="dxa"/>
            <w:vMerge w:val="restart"/>
            <w:tcBorders>
              <w:top w:val="single" w:sz="4" w:space="0" w:color="auto"/>
              <w:left w:val="single" w:sz="4" w:space="0" w:color="231F20"/>
              <w:bottom w:val="single" w:sz="4" w:space="0" w:color="231F20"/>
              <w:right w:val="single" w:sz="4" w:space="0" w:color="231F20"/>
            </w:tcBorders>
          </w:tcPr>
          <w:p w:rsidR="006A7A3F" w:rsidRPr="002840E5" w:rsidRDefault="00BC7372">
            <w:pPr>
              <w:pStyle w:val="TableParagraph"/>
              <w:spacing w:before="67"/>
              <w:ind w:left="85"/>
              <w:rPr>
                <w:sz w:val="16"/>
                <w:szCs w:val="16"/>
              </w:rPr>
            </w:pPr>
            <w:r w:rsidRPr="002840E5">
              <w:rPr>
                <w:color w:val="231F20"/>
                <w:sz w:val="16"/>
                <w:szCs w:val="16"/>
              </w:rPr>
              <w:t>Recreational users</w:t>
            </w: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 Consult</w:t>
            </w:r>
          </w:p>
          <w:p w:rsidR="006A7A3F" w:rsidRPr="002840E5" w:rsidRDefault="00BC7372">
            <w:pPr>
              <w:pStyle w:val="TableParagraph"/>
              <w:numPr>
                <w:ilvl w:val="0"/>
                <w:numId w:val="557"/>
              </w:numPr>
              <w:tabs>
                <w:tab w:val="left" w:pos="306"/>
              </w:tabs>
              <w:spacing w:before="74"/>
              <w:ind w:hanging="218"/>
              <w:rPr>
                <w:sz w:val="16"/>
                <w:szCs w:val="16"/>
              </w:rPr>
            </w:pPr>
            <w:r w:rsidRPr="002840E5">
              <w:rPr>
                <w:color w:val="231F20"/>
                <w:sz w:val="16"/>
                <w:szCs w:val="16"/>
              </w:rPr>
              <w:t>Field and</w:t>
            </w:r>
            <w:r w:rsidRPr="002840E5">
              <w:rPr>
                <w:color w:val="231F20"/>
                <w:spacing w:val="-2"/>
                <w:sz w:val="16"/>
                <w:szCs w:val="16"/>
              </w:rPr>
              <w:t xml:space="preserve"> </w:t>
            </w:r>
            <w:r w:rsidRPr="002840E5">
              <w:rPr>
                <w:color w:val="231F20"/>
                <w:sz w:val="16"/>
                <w:szCs w:val="16"/>
              </w:rPr>
              <w:t>Game</w:t>
            </w:r>
          </w:p>
        </w:tc>
        <w:tc>
          <w:tcPr>
            <w:tcW w:w="1729" w:type="dxa"/>
            <w:tcBorders>
              <w:top w:val="single" w:sz="4" w:space="0" w:color="231F20"/>
              <w:left w:val="single" w:sz="4" w:space="0" w:color="231F20"/>
              <w:bottom w:val="single" w:sz="4" w:space="0" w:color="231F20"/>
              <w:right w:val="single" w:sz="4" w:space="0" w:color="231F20"/>
            </w:tcBorders>
          </w:tcPr>
          <w:p w:rsidR="006A7A3F" w:rsidRPr="002840E5" w:rsidRDefault="006A7A3F">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 Consult</w:t>
            </w:r>
          </w:p>
          <w:p w:rsidR="006A7A3F" w:rsidRPr="002840E5" w:rsidRDefault="00BC7372">
            <w:pPr>
              <w:pStyle w:val="TableParagraph"/>
              <w:numPr>
                <w:ilvl w:val="0"/>
                <w:numId w:val="556"/>
              </w:numPr>
              <w:tabs>
                <w:tab w:val="left" w:pos="306"/>
              </w:tabs>
              <w:spacing w:before="74"/>
              <w:ind w:hanging="218"/>
              <w:rPr>
                <w:sz w:val="16"/>
                <w:szCs w:val="16"/>
              </w:rPr>
            </w:pPr>
            <w:r w:rsidRPr="002840E5">
              <w:rPr>
                <w:color w:val="231F20"/>
                <w:sz w:val="16"/>
                <w:szCs w:val="16"/>
              </w:rPr>
              <w:t>Field and</w:t>
            </w:r>
            <w:r w:rsidRPr="002840E5">
              <w:rPr>
                <w:color w:val="231F20"/>
                <w:spacing w:val="-2"/>
                <w:sz w:val="16"/>
                <w:szCs w:val="16"/>
              </w:rPr>
              <w:t xml:space="preserve"> </w:t>
            </w:r>
            <w:r w:rsidRPr="002840E5">
              <w:rPr>
                <w:color w:val="231F20"/>
                <w:sz w:val="16"/>
                <w:szCs w:val="16"/>
              </w:rPr>
              <w:t>Game</w:t>
            </w:r>
          </w:p>
        </w:tc>
        <w:tc>
          <w:tcPr>
            <w:tcW w:w="1729" w:type="dxa"/>
            <w:tcBorders>
              <w:top w:val="single" w:sz="4" w:space="0" w:color="231F20"/>
              <w:left w:val="single" w:sz="4" w:space="0" w:color="231F20"/>
              <w:bottom w:val="single" w:sz="4" w:space="0" w:color="231F20"/>
              <w:right w:val="single" w:sz="4" w:space="0" w:color="231F20"/>
            </w:tcBorders>
          </w:tcPr>
          <w:p w:rsidR="006A7A3F" w:rsidRPr="002840E5" w:rsidRDefault="006A7A3F">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 Consult</w:t>
            </w:r>
          </w:p>
          <w:p w:rsidR="006A7A3F" w:rsidRPr="002840E5" w:rsidRDefault="00BC7372">
            <w:pPr>
              <w:pStyle w:val="TableParagraph"/>
              <w:numPr>
                <w:ilvl w:val="0"/>
                <w:numId w:val="555"/>
              </w:numPr>
              <w:tabs>
                <w:tab w:val="left" w:pos="306"/>
              </w:tabs>
              <w:spacing w:before="74"/>
              <w:rPr>
                <w:sz w:val="16"/>
                <w:szCs w:val="16"/>
              </w:rPr>
            </w:pPr>
            <w:r w:rsidRPr="002840E5">
              <w:rPr>
                <w:color w:val="231F20"/>
                <w:sz w:val="16"/>
                <w:szCs w:val="16"/>
              </w:rPr>
              <w:t>EWAG</w:t>
            </w:r>
            <w:r w:rsidRPr="002840E5">
              <w:rPr>
                <w:color w:val="231F20"/>
                <w:spacing w:val="-8"/>
                <w:sz w:val="16"/>
                <w:szCs w:val="16"/>
              </w:rPr>
              <w:t xml:space="preserve"> </w:t>
            </w:r>
            <w:r w:rsidRPr="002840E5">
              <w:rPr>
                <w:color w:val="231F20"/>
                <w:sz w:val="16"/>
                <w:szCs w:val="16"/>
              </w:rPr>
              <w:t>members</w:t>
            </w:r>
          </w:p>
        </w:tc>
      </w:tr>
      <w:tr w:rsidR="006A7A3F" w:rsidTr="003B65C2">
        <w:trPr>
          <w:trHeight w:val="1049"/>
        </w:trPr>
        <w:tc>
          <w:tcPr>
            <w:tcW w:w="1554" w:type="dxa"/>
            <w:vMerge/>
            <w:tcBorders>
              <w:top w:val="nil"/>
              <w:left w:val="single" w:sz="4" w:space="0" w:color="231F20"/>
              <w:bottom w:val="single" w:sz="4" w:space="0" w:color="auto"/>
              <w:right w:val="single" w:sz="4" w:space="0" w:color="231F20"/>
            </w:tcBorders>
          </w:tcPr>
          <w:p w:rsidR="006A7A3F" w:rsidRPr="002840E5" w:rsidRDefault="006A7A3F">
            <w:pPr>
              <w:rPr>
                <w:sz w:val="16"/>
                <w:szCs w:val="16"/>
              </w:rPr>
            </w:pPr>
          </w:p>
        </w:tc>
        <w:tc>
          <w:tcPr>
            <w:tcW w:w="1729" w:type="dxa"/>
            <w:tcBorders>
              <w:top w:val="single" w:sz="4" w:space="0" w:color="231F20"/>
              <w:left w:val="single" w:sz="4" w:space="0" w:color="231F20"/>
              <w:bottom w:val="single" w:sz="4" w:space="0" w:color="auto"/>
              <w:right w:val="single" w:sz="4" w:space="0" w:color="231F20"/>
            </w:tcBorders>
          </w:tcPr>
          <w:p w:rsidR="006A7A3F" w:rsidRPr="002840E5" w:rsidRDefault="006A7A3F">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2840E5" w:rsidRDefault="006A7A3F">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2840E5" w:rsidRDefault="006A7A3F">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2840E5" w:rsidRDefault="006A7A3F">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5"/>
              <w:rPr>
                <w:b/>
                <w:bCs/>
                <w:sz w:val="16"/>
                <w:szCs w:val="16"/>
              </w:rPr>
            </w:pPr>
            <w:r w:rsidRPr="003B65C2">
              <w:rPr>
                <w:b/>
                <w:bCs/>
                <w:color w:val="231F20"/>
                <w:sz w:val="16"/>
                <w:szCs w:val="16"/>
              </w:rPr>
              <w:t>IAP2 level:</w:t>
            </w:r>
            <w:r w:rsidRPr="003B65C2">
              <w:rPr>
                <w:b/>
                <w:bCs/>
                <w:color w:val="231F20"/>
                <w:spacing w:val="-6"/>
                <w:sz w:val="16"/>
                <w:szCs w:val="16"/>
              </w:rPr>
              <w:t xml:space="preserve"> </w:t>
            </w:r>
            <w:r w:rsidRPr="003B65C2">
              <w:rPr>
                <w:b/>
                <w:bCs/>
                <w:color w:val="231F20"/>
                <w:sz w:val="16"/>
                <w:szCs w:val="16"/>
              </w:rPr>
              <w:t>Inform</w:t>
            </w:r>
          </w:p>
          <w:p w:rsidR="006A7A3F" w:rsidRPr="002840E5" w:rsidRDefault="00BC7372">
            <w:pPr>
              <w:pStyle w:val="TableParagraph"/>
              <w:numPr>
                <w:ilvl w:val="0"/>
                <w:numId w:val="554"/>
              </w:numPr>
              <w:tabs>
                <w:tab w:val="left" w:pos="306"/>
              </w:tabs>
              <w:spacing w:before="74" w:line="254" w:lineRule="auto"/>
              <w:ind w:right="362"/>
              <w:rPr>
                <w:sz w:val="16"/>
                <w:szCs w:val="16"/>
              </w:rPr>
            </w:pPr>
            <w:r w:rsidRPr="002840E5">
              <w:rPr>
                <w:color w:val="231F20"/>
                <w:sz w:val="16"/>
                <w:szCs w:val="16"/>
              </w:rPr>
              <w:t>Nathalia and Numurkah angling</w:t>
            </w:r>
            <w:r w:rsidRPr="002840E5">
              <w:rPr>
                <w:color w:val="231F20"/>
                <w:spacing w:val="-4"/>
                <w:sz w:val="16"/>
                <w:szCs w:val="16"/>
              </w:rPr>
              <w:t xml:space="preserve"> </w:t>
            </w:r>
            <w:r w:rsidRPr="002840E5">
              <w:rPr>
                <w:color w:val="231F20"/>
                <w:spacing w:val="-3"/>
                <w:sz w:val="16"/>
                <w:szCs w:val="16"/>
              </w:rPr>
              <w:t>clubs</w:t>
            </w:r>
          </w:p>
        </w:tc>
      </w:tr>
      <w:tr w:rsidR="002840E5" w:rsidTr="003B65C2">
        <w:trPr>
          <w:trHeight w:val="1049"/>
        </w:trPr>
        <w:tc>
          <w:tcPr>
            <w:tcW w:w="1554" w:type="dxa"/>
            <w:tcBorders>
              <w:top w:val="single" w:sz="4" w:space="0" w:color="auto"/>
              <w:left w:val="single" w:sz="4" w:space="0" w:color="231F20"/>
              <w:bottom w:val="single" w:sz="4" w:space="0" w:color="auto"/>
              <w:right w:val="single" w:sz="4" w:space="0" w:color="231F20"/>
            </w:tcBorders>
          </w:tcPr>
          <w:p w:rsidR="002840E5" w:rsidRDefault="002840E5" w:rsidP="002840E5">
            <w:pPr>
              <w:pStyle w:val="TableParagraph"/>
              <w:spacing w:before="67" w:line="177" w:lineRule="exact"/>
              <w:ind w:left="85"/>
              <w:rPr>
                <w:sz w:val="16"/>
              </w:rPr>
            </w:pPr>
            <w:r>
              <w:rPr>
                <w:color w:val="231F20"/>
                <w:sz w:val="16"/>
              </w:rPr>
              <w:t>Technical experts</w:t>
            </w:r>
          </w:p>
        </w:tc>
        <w:tc>
          <w:tcPr>
            <w:tcW w:w="1729" w:type="dxa"/>
            <w:tcBorders>
              <w:top w:val="single" w:sz="4" w:space="0" w:color="auto"/>
              <w:left w:val="single" w:sz="4" w:space="0" w:color="231F20"/>
              <w:bottom w:val="single" w:sz="4" w:space="0" w:color="auto"/>
              <w:right w:val="single" w:sz="4" w:space="0" w:color="231F20"/>
            </w:tcBorders>
          </w:tcPr>
          <w:p w:rsidR="002840E5" w:rsidRPr="002840E5" w:rsidRDefault="002840E5" w:rsidP="002840E5">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2840E5" w:rsidRPr="003B65C2" w:rsidRDefault="002840E5" w:rsidP="002840E5">
            <w:pPr>
              <w:pStyle w:val="TableParagraph"/>
              <w:spacing w:before="67" w:line="177" w:lineRule="exact"/>
              <w:ind w:left="85"/>
              <w:rPr>
                <w:b/>
                <w:bCs/>
                <w:color w:val="231F20"/>
                <w:sz w:val="16"/>
              </w:rPr>
            </w:pPr>
            <w:r w:rsidRPr="003B65C2">
              <w:rPr>
                <w:b/>
                <w:bCs/>
                <w:color w:val="231F20"/>
                <w:sz w:val="16"/>
              </w:rPr>
              <w:t>IAP2 level: Consult</w:t>
            </w:r>
          </w:p>
          <w:p w:rsidR="002840E5" w:rsidRPr="002840E5" w:rsidRDefault="002840E5" w:rsidP="002840E5">
            <w:pPr>
              <w:pStyle w:val="TableParagraph"/>
              <w:numPr>
                <w:ilvl w:val="0"/>
                <w:numId w:val="553"/>
              </w:numPr>
              <w:tabs>
                <w:tab w:val="left" w:pos="306"/>
              </w:tabs>
              <w:spacing w:before="51" w:line="254" w:lineRule="auto"/>
              <w:ind w:right="141"/>
              <w:rPr>
                <w:sz w:val="16"/>
                <w:szCs w:val="16"/>
              </w:rPr>
            </w:pPr>
            <w:r w:rsidRPr="002840E5">
              <w:rPr>
                <w:color w:val="231F20"/>
                <w:sz w:val="16"/>
                <w:szCs w:val="16"/>
              </w:rPr>
              <w:t xml:space="preserve">Scientific leads from the </w:t>
            </w:r>
            <w:r w:rsidRPr="002840E5">
              <w:rPr>
                <w:color w:val="231F20"/>
                <w:spacing w:val="-5"/>
                <w:sz w:val="16"/>
                <w:szCs w:val="16"/>
              </w:rPr>
              <w:t xml:space="preserve">CEWO </w:t>
            </w:r>
            <w:r w:rsidRPr="002840E5">
              <w:rPr>
                <w:color w:val="231F20"/>
                <w:sz w:val="16"/>
                <w:szCs w:val="16"/>
              </w:rPr>
              <w:t>Monitoring,</w:t>
            </w:r>
          </w:p>
          <w:p w:rsidR="002840E5" w:rsidRPr="002840E5" w:rsidRDefault="002840E5" w:rsidP="002840E5">
            <w:pPr>
              <w:pStyle w:val="TableParagraph"/>
              <w:spacing w:before="1" w:line="254" w:lineRule="auto"/>
              <w:ind w:left="305" w:right="273"/>
              <w:rPr>
                <w:sz w:val="18"/>
              </w:rPr>
            </w:pPr>
            <w:r w:rsidRPr="002840E5">
              <w:rPr>
                <w:color w:val="231F20"/>
                <w:sz w:val="16"/>
                <w:szCs w:val="16"/>
              </w:rPr>
              <w:t>Evaluation and Research Program –</w:t>
            </w:r>
            <w:r w:rsidRPr="002840E5">
              <w:rPr>
                <w:sz w:val="16"/>
                <w:szCs w:val="16"/>
              </w:rPr>
              <w:t xml:space="preserve"> </w:t>
            </w:r>
            <w:r w:rsidRPr="002840E5">
              <w:rPr>
                <w:color w:val="231F20"/>
                <w:sz w:val="16"/>
                <w:szCs w:val="16"/>
              </w:rPr>
              <w:t>Goulburn River</w:t>
            </w:r>
          </w:p>
        </w:tc>
        <w:tc>
          <w:tcPr>
            <w:tcW w:w="1729" w:type="dxa"/>
            <w:tcBorders>
              <w:top w:val="single" w:sz="4" w:space="0" w:color="231F20"/>
              <w:left w:val="single" w:sz="4" w:space="0" w:color="231F20"/>
              <w:bottom w:val="single" w:sz="4" w:space="0" w:color="231F20"/>
              <w:right w:val="single" w:sz="4" w:space="0" w:color="231F20"/>
            </w:tcBorders>
          </w:tcPr>
          <w:p w:rsidR="002840E5" w:rsidRPr="003B65C2" w:rsidRDefault="002840E5" w:rsidP="002840E5">
            <w:pPr>
              <w:pStyle w:val="TableParagraph"/>
              <w:spacing w:line="177" w:lineRule="exact"/>
              <w:ind w:left="85"/>
              <w:rPr>
                <w:b/>
                <w:bCs/>
                <w:sz w:val="16"/>
              </w:rPr>
            </w:pPr>
            <w:r w:rsidRPr="003B65C2">
              <w:rPr>
                <w:b/>
                <w:bCs/>
                <w:color w:val="231F20"/>
                <w:sz w:val="16"/>
              </w:rPr>
              <w:t xml:space="preserve">IAP2 level: </w:t>
            </w:r>
            <w:r w:rsidRPr="003B65C2">
              <w:rPr>
                <w:b/>
                <w:bCs/>
                <w:color w:val="231F20"/>
                <w:sz w:val="16"/>
              </w:rPr>
              <w:br/>
              <w:t>Collaborate</w:t>
            </w:r>
          </w:p>
          <w:p w:rsidR="002840E5" w:rsidRPr="002840E5" w:rsidRDefault="002840E5" w:rsidP="002840E5">
            <w:pPr>
              <w:pStyle w:val="TableParagraph"/>
              <w:numPr>
                <w:ilvl w:val="0"/>
                <w:numId w:val="552"/>
              </w:numPr>
              <w:tabs>
                <w:tab w:val="left" w:pos="306"/>
              </w:tabs>
              <w:spacing w:before="74" w:line="254" w:lineRule="auto"/>
              <w:ind w:right="318"/>
              <w:rPr>
                <w:sz w:val="16"/>
                <w:szCs w:val="16"/>
              </w:rPr>
            </w:pPr>
            <w:r w:rsidRPr="002840E5">
              <w:rPr>
                <w:color w:val="231F20"/>
                <w:sz w:val="16"/>
                <w:szCs w:val="16"/>
              </w:rPr>
              <w:t xml:space="preserve">Goulburn Broken Wetlands </w:t>
            </w:r>
            <w:r w:rsidRPr="002840E5">
              <w:rPr>
                <w:color w:val="231F20"/>
                <w:spacing w:val="-4"/>
                <w:sz w:val="16"/>
                <w:szCs w:val="16"/>
              </w:rPr>
              <w:t xml:space="preserve">Technical </w:t>
            </w:r>
            <w:r w:rsidRPr="002840E5">
              <w:rPr>
                <w:color w:val="231F20"/>
                <w:sz w:val="16"/>
                <w:szCs w:val="16"/>
              </w:rPr>
              <w:t xml:space="preserve">Reference Group (Waters </w:t>
            </w:r>
            <w:r w:rsidRPr="002840E5">
              <w:rPr>
                <w:color w:val="231F20"/>
                <w:spacing w:val="-4"/>
                <w:sz w:val="16"/>
                <w:szCs w:val="16"/>
              </w:rPr>
              <w:t xml:space="preserve">Edge </w:t>
            </w:r>
            <w:r w:rsidRPr="002840E5">
              <w:rPr>
                <w:color w:val="231F20"/>
                <w:sz w:val="16"/>
                <w:szCs w:val="16"/>
              </w:rPr>
              <w:t>Consulting, Rakali</w:t>
            </w:r>
            <w:r w:rsidRPr="002840E5">
              <w:rPr>
                <w:sz w:val="16"/>
                <w:szCs w:val="16"/>
              </w:rPr>
              <w:t xml:space="preserve"> </w:t>
            </w:r>
            <w:r w:rsidRPr="002840E5">
              <w:rPr>
                <w:color w:val="231F20"/>
                <w:sz w:val="16"/>
                <w:szCs w:val="16"/>
              </w:rPr>
              <w:t>Consulting, staff of Arthur Rylah Institute, from the Department of Environment, Land, Water and Planning)</w:t>
            </w: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rsidP="002840E5">
            <w:pPr>
              <w:pStyle w:val="TableParagraph"/>
              <w:ind w:left="0"/>
              <w:rPr>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2840E5" w:rsidRPr="002840E5" w:rsidRDefault="002840E5" w:rsidP="002840E5">
            <w:pPr>
              <w:pStyle w:val="TableParagraph"/>
              <w:spacing w:before="67"/>
              <w:ind w:left="85"/>
              <w:rPr>
                <w:color w:val="231F20"/>
                <w:sz w:val="16"/>
                <w:szCs w:val="16"/>
              </w:rPr>
            </w:pPr>
          </w:p>
        </w:tc>
      </w:tr>
    </w:tbl>
    <w:p w:rsidR="006A7A3F" w:rsidRDefault="006A7A3F">
      <w:pPr>
        <w:spacing w:line="254" w:lineRule="auto"/>
        <w:rPr>
          <w:sz w:val="18"/>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554"/>
        <w:gridCol w:w="1729"/>
        <w:gridCol w:w="1729"/>
        <w:gridCol w:w="1729"/>
        <w:gridCol w:w="1729"/>
        <w:gridCol w:w="1729"/>
      </w:tblGrid>
      <w:tr w:rsidR="006A7A3F">
        <w:trPr>
          <w:trHeight w:val="807"/>
        </w:trPr>
        <w:tc>
          <w:tcPr>
            <w:tcW w:w="1554" w:type="dxa"/>
            <w:tcBorders>
              <w:top w:val="nil"/>
              <w:left w:val="nil"/>
              <w:bottom w:val="nil"/>
            </w:tcBorders>
            <w:shd w:val="clear" w:color="auto" w:fill="231F20"/>
          </w:tcPr>
          <w:p w:rsidR="006A7A3F" w:rsidRDefault="006A7A3F">
            <w:pPr>
              <w:pStyle w:val="TableParagraph"/>
              <w:ind w:left="0"/>
              <w:rPr>
                <w:rFonts w:ascii="Times New Roman"/>
                <w:sz w:val="16"/>
              </w:rPr>
            </w:pPr>
          </w:p>
        </w:tc>
        <w:tc>
          <w:tcPr>
            <w:tcW w:w="1729"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Barmah Forest</w:t>
            </w:r>
          </w:p>
        </w:tc>
        <w:tc>
          <w:tcPr>
            <w:tcW w:w="1729"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Goulburn River</w:t>
            </w:r>
          </w:p>
        </w:tc>
        <w:tc>
          <w:tcPr>
            <w:tcW w:w="1729" w:type="dxa"/>
            <w:tcBorders>
              <w:top w:val="nil"/>
              <w:bottom w:val="nil"/>
            </w:tcBorders>
            <w:shd w:val="clear" w:color="auto" w:fill="231F20"/>
          </w:tcPr>
          <w:p w:rsidR="006A7A3F" w:rsidRDefault="00BC7372">
            <w:pPr>
              <w:pStyle w:val="TableParagraph"/>
              <w:spacing w:before="73" w:line="254" w:lineRule="auto"/>
              <w:ind w:left="85" w:right="173"/>
              <w:rPr>
                <w:b/>
                <w:sz w:val="18"/>
              </w:rPr>
            </w:pPr>
            <w:r>
              <w:rPr>
                <w:b/>
                <w:color w:val="FFFFFF"/>
                <w:sz w:val="18"/>
              </w:rPr>
              <w:t>Goulburn wetlands and Broken wetlands</w:t>
            </w:r>
          </w:p>
        </w:tc>
        <w:tc>
          <w:tcPr>
            <w:tcW w:w="1729" w:type="dxa"/>
            <w:tcBorders>
              <w:top w:val="nil"/>
              <w:bottom w:val="nil"/>
            </w:tcBorders>
            <w:shd w:val="clear" w:color="auto" w:fill="231F20"/>
          </w:tcPr>
          <w:p w:rsidR="006A7A3F" w:rsidRDefault="00BC7372">
            <w:pPr>
              <w:pStyle w:val="TableParagraph"/>
              <w:spacing w:before="73" w:line="254" w:lineRule="auto"/>
              <w:ind w:left="85" w:right="123"/>
              <w:rPr>
                <w:b/>
                <w:sz w:val="18"/>
              </w:rPr>
            </w:pPr>
            <w:r>
              <w:rPr>
                <w:b/>
                <w:color w:val="FFFFFF"/>
                <w:sz w:val="18"/>
              </w:rPr>
              <w:t>Broken River and upper Broken Creek</w:t>
            </w:r>
          </w:p>
        </w:tc>
        <w:tc>
          <w:tcPr>
            <w:tcW w:w="1729" w:type="dxa"/>
            <w:tcBorders>
              <w:top w:val="nil"/>
              <w:bottom w:val="nil"/>
            </w:tcBorders>
            <w:shd w:val="clear" w:color="auto" w:fill="231F20"/>
          </w:tcPr>
          <w:p w:rsidR="006A7A3F" w:rsidRDefault="00BC7372">
            <w:pPr>
              <w:pStyle w:val="TableParagraph"/>
              <w:spacing w:before="73" w:line="254" w:lineRule="auto"/>
              <w:ind w:left="85" w:right="413"/>
              <w:rPr>
                <w:b/>
                <w:sz w:val="18"/>
              </w:rPr>
            </w:pPr>
            <w:r>
              <w:rPr>
                <w:b/>
                <w:color w:val="FFFFFF"/>
                <w:sz w:val="18"/>
              </w:rPr>
              <w:t>Lower Broken Creek</w:t>
            </w:r>
          </w:p>
        </w:tc>
      </w:tr>
      <w:tr w:rsidR="006A7A3F">
        <w:trPr>
          <w:trHeight w:val="264"/>
        </w:trPr>
        <w:tc>
          <w:tcPr>
            <w:tcW w:w="1554" w:type="dxa"/>
            <w:tcBorders>
              <w:top w:val="nil"/>
              <w:left w:val="single" w:sz="4" w:space="0" w:color="231F20"/>
              <w:bottom w:val="nil"/>
              <w:right w:val="single" w:sz="4" w:space="0" w:color="231F20"/>
            </w:tcBorders>
          </w:tcPr>
          <w:p w:rsidR="006A7A3F" w:rsidRDefault="00BC7372">
            <w:pPr>
              <w:pStyle w:val="TableParagraph"/>
              <w:spacing w:before="67" w:line="177" w:lineRule="exact"/>
              <w:ind w:left="85"/>
              <w:rPr>
                <w:sz w:val="16"/>
              </w:rPr>
            </w:pPr>
            <w:r>
              <w:rPr>
                <w:color w:val="231F20"/>
                <w:sz w:val="16"/>
              </w:rPr>
              <w:t>Technical experts</w:t>
            </w:r>
          </w:p>
        </w:tc>
        <w:tc>
          <w:tcPr>
            <w:tcW w:w="1729" w:type="dxa"/>
            <w:vMerge w:val="restart"/>
            <w:tcBorders>
              <w:top w:val="nil"/>
              <w:left w:val="single" w:sz="4" w:space="0" w:color="231F20"/>
              <w:bottom w:val="single" w:sz="4" w:space="0" w:color="231F20"/>
              <w:right w:val="single" w:sz="4" w:space="0" w:color="231F20"/>
            </w:tcBorders>
          </w:tcPr>
          <w:p w:rsidR="006A7A3F" w:rsidRPr="003B65C2" w:rsidRDefault="006A7A3F">
            <w:pPr>
              <w:pStyle w:val="TableParagraph"/>
              <w:ind w:left="0"/>
              <w:rPr>
                <w:rFonts w:ascii="Times New Roman"/>
                <w:sz w:val="16"/>
                <w:szCs w:val="16"/>
              </w:rPr>
            </w:pPr>
          </w:p>
        </w:tc>
        <w:tc>
          <w:tcPr>
            <w:tcW w:w="1729" w:type="dxa"/>
            <w:tcBorders>
              <w:top w:val="nil"/>
              <w:left w:val="single" w:sz="4" w:space="0" w:color="231F20"/>
              <w:bottom w:val="nil"/>
              <w:right w:val="single" w:sz="4" w:space="0" w:color="231F20"/>
            </w:tcBorders>
          </w:tcPr>
          <w:p w:rsidR="006A7A3F" w:rsidRPr="003B65C2" w:rsidRDefault="00BC7372">
            <w:pPr>
              <w:pStyle w:val="TableParagraph"/>
              <w:spacing w:before="67" w:line="177" w:lineRule="exact"/>
              <w:ind w:left="85"/>
              <w:rPr>
                <w:b/>
                <w:bCs/>
                <w:sz w:val="16"/>
                <w:szCs w:val="16"/>
              </w:rPr>
            </w:pPr>
            <w:r w:rsidRPr="003B65C2">
              <w:rPr>
                <w:b/>
                <w:bCs/>
                <w:color w:val="231F20"/>
                <w:sz w:val="16"/>
                <w:szCs w:val="16"/>
              </w:rPr>
              <w:t>IAP2 level: Consult</w:t>
            </w:r>
          </w:p>
        </w:tc>
        <w:tc>
          <w:tcPr>
            <w:tcW w:w="1729" w:type="dxa"/>
            <w:tcBorders>
              <w:top w:val="nil"/>
              <w:left w:val="single" w:sz="4" w:space="0" w:color="231F20"/>
              <w:bottom w:val="nil"/>
              <w:right w:val="single" w:sz="4" w:space="0" w:color="231F20"/>
            </w:tcBorders>
          </w:tcPr>
          <w:p w:rsidR="006A7A3F" w:rsidRPr="003B65C2" w:rsidRDefault="00BC7372">
            <w:pPr>
              <w:pStyle w:val="TableParagraph"/>
              <w:spacing w:before="67" w:line="177" w:lineRule="exact"/>
              <w:ind w:left="85"/>
              <w:rPr>
                <w:b/>
                <w:bCs/>
                <w:sz w:val="16"/>
                <w:szCs w:val="16"/>
              </w:rPr>
            </w:pPr>
            <w:r w:rsidRPr="003B65C2">
              <w:rPr>
                <w:b/>
                <w:bCs/>
                <w:color w:val="231F20"/>
                <w:sz w:val="16"/>
                <w:szCs w:val="16"/>
              </w:rPr>
              <w:t>IAP2 level:</w:t>
            </w:r>
          </w:p>
        </w:tc>
        <w:tc>
          <w:tcPr>
            <w:tcW w:w="1729" w:type="dxa"/>
            <w:vMerge w:val="restart"/>
            <w:tcBorders>
              <w:top w:val="nil"/>
              <w:left w:val="single" w:sz="4" w:space="0" w:color="231F20"/>
              <w:bottom w:val="single" w:sz="4" w:space="0" w:color="231F20"/>
              <w:right w:val="single" w:sz="4" w:space="0" w:color="231F20"/>
            </w:tcBorders>
          </w:tcPr>
          <w:p w:rsidR="006A7A3F" w:rsidRPr="003B65C2" w:rsidRDefault="006A7A3F">
            <w:pPr>
              <w:pStyle w:val="TableParagraph"/>
              <w:ind w:left="0"/>
              <w:rPr>
                <w:rFonts w:ascii="Times New Roman"/>
                <w:sz w:val="16"/>
                <w:szCs w:val="16"/>
              </w:rPr>
            </w:pPr>
          </w:p>
        </w:tc>
        <w:tc>
          <w:tcPr>
            <w:tcW w:w="1729" w:type="dxa"/>
            <w:vMerge w:val="restart"/>
            <w:tcBorders>
              <w:top w:val="nil"/>
              <w:left w:val="single" w:sz="4" w:space="0" w:color="231F20"/>
              <w:bottom w:val="single" w:sz="4" w:space="0" w:color="231F20"/>
              <w:right w:val="single" w:sz="4" w:space="0" w:color="231F20"/>
            </w:tcBorders>
          </w:tcPr>
          <w:p w:rsidR="006A7A3F" w:rsidRPr="003B65C2" w:rsidRDefault="006A7A3F">
            <w:pPr>
              <w:pStyle w:val="TableParagraph"/>
              <w:ind w:left="0"/>
              <w:rPr>
                <w:rFonts w:ascii="Times New Roman"/>
                <w:sz w:val="16"/>
                <w:szCs w:val="16"/>
              </w:rPr>
            </w:pPr>
          </w:p>
        </w:tc>
      </w:tr>
      <w:tr w:rsidR="006A7A3F">
        <w:trPr>
          <w:trHeight w:val="3835"/>
        </w:trPr>
        <w:tc>
          <w:tcPr>
            <w:tcW w:w="1554" w:type="dxa"/>
            <w:tcBorders>
              <w:top w:val="nil"/>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729"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c>
          <w:tcPr>
            <w:tcW w:w="1729" w:type="dxa"/>
            <w:tcBorders>
              <w:top w:val="nil"/>
              <w:left w:val="single" w:sz="4" w:space="0" w:color="231F20"/>
              <w:bottom w:val="single" w:sz="4" w:space="0" w:color="231F20"/>
              <w:right w:val="single" w:sz="4" w:space="0" w:color="231F20"/>
            </w:tcBorders>
          </w:tcPr>
          <w:p w:rsidR="006A7A3F" w:rsidRPr="003B65C2" w:rsidRDefault="00BC7372">
            <w:pPr>
              <w:pStyle w:val="TableParagraph"/>
              <w:numPr>
                <w:ilvl w:val="0"/>
                <w:numId w:val="553"/>
              </w:numPr>
              <w:tabs>
                <w:tab w:val="left" w:pos="306"/>
              </w:tabs>
              <w:spacing w:before="51" w:line="254" w:lineRule="auto"/>
              <w:ind w:right="141"/>
              <w:rPr>
                <w:sz w:val="16"/>
                <w:szCs w:val="16"/>
              </w:rPr>
            </w:pPr>
            <w:r w:rsidRPr="003B65C2">
              <w:rPr>
                <w:color w:val="231F20"/>
                <w:sz w:val="16"/>
                <w:szCs w:val="16"/>
              </w:rPr>
              <w:t xml:space="preserve">Scientific leads from the </w:t>
            </w:r>
            <w:r w:rsidRPr="003B65C2">
              <w:rPr>
                <w:color w:val="231F20"/>
                <w:spacing w:val="-5"/>
                <w:sz w:val="16"/>
                <w:szCs w:val="16"/>
              </w:rPr>
              <w:t xml:space="preserve">CEWO </w:t>
            </w:r>
            <w:r w:rsidRPr="003B65C2">
              <w:rPr>
                <w:color w:val="231F20"/>
                <w:sz w:val="16"/>
                <w:szCs w:val="16"/>
              </w:rPr>
              <w:t>Monitoring,</w:t>
            </w:r>
          </w:p>
          <w:p w:rsidR="006A7A3F" w:rsidRPr="003B65C2" w:rsidRDefault="00BC7372">
            <w:pPr>
              <w:pStyle w:val="TableParagraph"/>
              <w:spacing w:before="1" w:line="254" w:lineRule="auto"/>
              <w:ind w:left="305" w:right="273"/>
              <w:rPr>
                <w:sz w:val="16"/>
                <w:szCs w:val="16"/>
              </w:rPr>
            </w:pPr>
            <w:r w:rsidRPr="003B65C2">
              <w:rPr>
                <w:color w:val="231F20"/>
                <w:sz w:val="16"/>
                <w:szCs w:val="16"/>
              </w:rPr>
              <w:t>Evaluation and Research Program –</w:t>
            </w:r>
          </w:p>
          <w:p w:rsidR="006A7A3F" w:rsidRPr="003B65C2" w:rsidRDefault="00BC7372">
            <w:pPr>
              <w:pStyle w:val="TableParagraph"/>
              <w:spacing w:before="2"/>
              <w:ind w:left="305"/>
              <w:rPr>
                <w:sz w:val="16"/>
                <w:szCs w:val="16"/>
              </w:rPr>
            </w:pPr>
            <w:r w:rsidRPr="003B65C2">
              <w:rPr>
                <w:color w:val="231F20"/>
                <w:sz w:val="16"/>
                <w:szCs w:val="16"/>
              </w:rPr>
              <w:t>Goulburn River</w:t>
            </w:r>
          </w:p>
        </w:tc>
        <w:tc>
          <w:tcPr>
            <w:tcW w:w="1729" w:type="dxa"/>
            <w:tcBorders>
              <w:top w:val="nil"/>
              <w:left w:val="single" w:sz="4" w:space="0" w:color="231F20"/>
              <w:bottom w:val="single" w:sz="4" w:space="0" w:color="231F20"/>
              <w:right w:val="single" w:sz="4" w:space="0" w:color="231F20"/>
            </w:tcBorders>
          </w:tcPr>
          <w:p w:rsidR="006A7A3F" w:rsidRPr="003B65C2" w:rsidRDefault="003B65C2" w:rsidP="003B65C2">
            <w:pPr>
              <w:pStyle w:val="TableParagraph"/>
              <w:spacing w:line="177" w:lineRule="exact"/>
              <w:ind w:left="0"/>
              <w:rPr>
                <w:b/>
                <w:bCs/>
                <w:sz w:val="16"/>
                <w:szCs w:val="16"/>
              </w:rPr>
            </w:pPr>
            <w:r>
              <w:rPr>
                <w:b/>
                <w:bCs/>
                <w:color w:val="231F20"/>
                <w:sz w:val="16"/>
                <w:szCs w:val="16"/>
              </w:rPr>
              <w:t xml:space="preserve">  </w:t>
            </w:r>
            <w:r w:rsidR="00BC7372" w:rsidRPr="003B65C2">
              <w:rPr>
                <w:b/>
                <w:bCs/>
                <w:color w:val="231F20"/>
                <w:sz w:val="16"/>
                <w:szCs w:val="16"/>
              </w:rPr>
              <w:t>Collaborate</w:t>
            </w:r>
          </w:p>
          <w:p w:rsidR="006A7A3F" w:rsidRPr="003B65C2" w:rsidRDefault="00BC7372">
            <w:pPr>
              <w:pStyle w:val="TableParagraph"/>
              <w:numPr>
                <w:ilvl w:val="0"/>
                <w:numId w:val="552"/>
              </w:numPr>
              <w:tabs>
                <w:tab w:val="left" w:pos="306"/>
              </w:tabs>
              <w:spacing w:before="74" w:line="254" w:lineRule="auto"/>
              <w:ind w:right="318"/>
              <w:rPr>
                <w:sz w:val="16"/>
                <w:szCs w:val="16"/>
              </w:rPr>
            </w:pPr>
            <w:r w:rsidRPr="003B65C2">
              <w:rPr>
                <w:color w:val="231F20"/>
                <w:sz w:val="16"/>
                <w:szCs w:val="16"/>
              </w:rPr>
              <w:t xml:space="preserve">Goulburn Broken Wetlands </w:t>
            </w:r>
            <w:r w:rsidRPr="003B65C2">
              <w:rPr>
                <w:color w:val="231F20"/>
                <w:spacing w:val="-4"/>
                <w:sz w:val="16"/>
                <w:szCs w:val="16"/>
              </w:rPr>
              <w:t xml:space="preserve">Technical </w:t>
            </w:r>
            <w:r w:rsidRPr="003B65C2">
              <w:rPr>
                <w:color w:val="231F20"/>
                <w:sz w:val="16"/>
                <w:szCs w:val="16"/>
              </w:rPr>
              <w:t xml:space="preserve">Reference Group (Waters </w:t>
            </w:r>
            <w:r w:rsidRPr="003B65C2">
              <w:rPr>
                <w:color w:val="231F20"/>
                <w:spacing w:val="-4"/>
                <w:sz w:val="16"/>
                <w:szCs w:val="16"/>
              </w:rPr>
              <w:t xml:space="preserve">Edge </w:t>
            </w:r>
            <w:r w:rsidRPr="003B65C2">
              <w:rPr>
                <w:color w:val="231F20"/>
                <w:sz w:val="16"/>
                <w:szCs w:val="16"/>
              </w:rPr>
              <w:t>Consulting, Rakali</w:t>
            </w:r>
          </w:p>
          <w:p w:rsidR="006A7A3F" w:rsidRPr="003B65C2" w:rsidRDefault="00BC7372">
            <w:pPr>
              <w:pStyle w:val="TableParagraph"/>
              <w:spacing w:before="5" w:line="254" w:lineRule="auto"/>
              <w:ind w:left="305" w:right="73"/>
              <w:rPr>
                <w:sz w:val="16"/>
                <w:szCs w:val="16"/>
              </w:rPr>
            </w:pPr>
            <w:r w:rsidRPr="003B65C2">
              <w:rPr>
                <w:color w:val="231F20"/>
                <w:sz w:val="16"/>
                <w:szCs w:val="16"/>
              </w:rPr>
              <w:t>Consulting, staff of Arthur Rylah Institute, from the Department of Environment, Land, Water and Planning)</w:t>
            </w:r>
          </w:p>
        </w:tc>
        <w:tc>
          <w:tcPr>
            <w:tcW w:w="1729"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c>
          <w:tcPr>
            <w:tcW w:w="1729"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r>
      <w:tr w:rsidR="006A7A3F">
        <w:trPr>
          <w:trHeight w:val="293"/>
        </w:trPr>
        <w:tc>
          <w:tcPr>
            <w:tcW w:w="1554" w:type="dxa"/>
            <w:tcBorders>
              <w:top w:val="single" w:sz="4" w:space="0" w:color="231F20"/>
              <w:left w:val="single" w:sz="4" w:space="0" w:color="231F20"/>
              <w:bottom w:val="nil"/>
              <w:right w:val="single" w:sz="4" w:space="0" w:color="231F20"/>
            </w:tcBorders>
          </w:tcPr>
          <w:p w:rsidR="006A7A3F" w:rsidRDefault="00BC7372">
            <w:pPr>
              <w:pStyle w:val="TableParagraph"/>
              <w:spacing w:before="67"/>
              <w:ind w:left="85"/>
              <w:rPr>
                <w:sz w:val="16"/>
              </w:rPr>
            </w:pPr>
            <w:r>
              <w:rPr>
                <w:color w:val="231F20"/>
                <w:sz w:val="16"/>
              </w:rPr>
              <w:t>Traditional Owners</w:t>
            </w:r>
          </w:p>
        </w:tc>
        <w:tc>
          <w:tcPr>
            <w:tcW w:w="1729" w:type="dxa"/>
            <w:vMerge w:val="restart"/>
            <w:tcBorders>
              <w:top w:val="single" w:sz="4" w:space="0" w:color="231F20"/>
              <w:left w:val="single" w:sz="4" w:space="0" w:color="231F20"/>
              <w:bottom w:val="single" w:sz="4" w:space="0" w:color="231F20"/>
              <w:right w:val="single" w:sz="4" w:space="0" w:color="231F20"/>
            </w:tcBorders>
          </w:tcPr>
          <w:p w:rsidR="006A7A3F" w:rsidRPr="003B65C2" w:rsidRDefault="00BC7372" w:rsidP="003B65C2">
            <w:pPr>
              <w:pStyle w:val="TableParagraph"/>
              <w:spacing w:before="67" w:line="261" w:lineRule="auto"/>
              <w:ind w:left="85" w:right="795"/>
              <w:rPr>
                <w:b/>
                <w:bCs/>
                <w:sz w:val="16"/>
                <w:szCs w:val="16"/>
              </w:rPr>
            </w:pPr>
            <w:r w:rsidRPr="003B65C2">
              <w:rPr>
                <w:b/>
                <w:bCs/>
                <w:color w:val="231F20"/>
                <w:sz w:val="16"/>
                <w:szCs w:val="16"/>
              </w:rPr>
              <w:t>IAP2 level: Collaborate</w:t>
            </w:r>
          </w:p>
          <w:p w:rsidR="006A7A3F" w:rsidRPr="003B65C2" w:rsidRDefault="00BC7372" w:rsidP="003B65C2">
            <w:pPr>
              <w:pStyle w:val="TableParagraph"/>
              <w:numPr>
                <w:ilvl w:val="0"/>
                <w:numId w:val="551"/>
              </w:numPr>
              <w:tabs>
                <w:tab w:val="left" w:pos="306"/>
              </w:tabs>
              <w:spacing w:before="57" w:line="254" w:lineRule="auto"/>
              <w:ind w:right="472"/>
              <w:rPr>
                <w:sz w:val="16"/>
                <w:szCs w:val="16"/>
              </w:rPr>
            </w:pPr>
            <w:r w:rsidRPr="003B65C2">
              <w:rPr>
                <w:color w:val="231F20"/>
                <w:spacing w:val="-4"/>
                <w:sz w:val="16"/>
                <w:szCs w:val="16"/>
              </w:rPr>
              <w:t xml:space="preserve">Yorta </w:t>
            </w:r>
            <w:r w:rsidRPr="003B65C2">
              <w:rPr>
                <w:color w:val="231F20"/>
                <w:spacing w:val="-5"/>
                <w:sz w:val="16"/>
                <w:szCs w:val="16"/>
              </w:rPr>
              <w:t xml:space="preserve">Yorta </w:t>
            </w:r>
            <w:r w:rsidRPr="003B65C2">
              <w:rPr>
                <w:color w:val="231F20"/>
                <w:sz w:val="16"/>
                <w:szCs w:val="16"/>
              </w:rPr>
              <w:t xml:space="preserve">Nations Aboriginal </w:t>
            </w:r>
            <w:r w:rsidRPr="003B65C2">
              <w:rPr>
                <w:color w:val="231F20"/>
                <w:spacing w:val="-1"/>
                <w:sz w:val="16"/>
                <w:szCs w:val="16"/>
              </w:rPr>
              <w:t>Corporation</w:t>
            </w:r>
          </w:p>
        </w:tc>
        <w:tc>
          <w:tcPr>
            <w:tcW w:w="1729" w:type="dxa"/>
            <w:tcBorders>
              <w:top w:val="single" w:sz="4" w:space="0" w:color="231F20"/>
              <w:left w:val="single" w:sz="4" w:space="0" w:color="231F20"/>
              <w:bottom w:val="nil"/>
              <w:right w:val="single" w:sz="4" w:space="0" w:color="231F20"/>
            </w:tcBorders>
          </w:tcPr>
          <w:p w:rsidR="006A7A3F" w:rsidRPr="003B65C2" w:rsidRDefault="00BC7372" w:rsidP="003B65C2">
            <w:pPr>
              <w:pStyle w:val="TableParagraph"/>
              <w:spacing w:before="67"/>
              <w:ind w:left="85"/>
              <w:rPr>
                <w:b/>
                <w:bCs/>
                <w:sz w:val="16"/>
                <w:szCs w:val="16"/>
              </w:rPr>
            </w:pPr>
            <w:r w:rsidRPr="003B65C2">
              <w:rPr>
                <w:b/>
                <w:bCs/>
                <w:color w:val="231F20"/>
                <w:sz w:val="16"/>
                <w:szCs w:val="16"/>
              </w:rPr>
              <w:t>IAP2 level: Consult</w:t>
            </w:r>
          </w:p>
        </w:tc>
        <w:tc>
          <w:tcPr>
            <w:tcW w:w="1729" w:type="dxa"/>
            <w:tcBorders>
              <w:top w:val="single" w:sz="4" w:space="0" w:color="231F20"/>
              <w:left w:val="single" w:sz="4" w:space="0" w:color="231F20"/>
              <w:bottom w:val="nil"/>
              <w:right w:val="single" w:sz="4" w:space="0" w:color="231F20"/>
            </w:tcBorders>
          </w:tcPr>
          <w:p w:rsidR="006A7A3F" w:rsidRPr="003B65C2" w:rsidRDefault="00BC7372" w:rsidP="003B65C2">
            <w:pPr>
              <w:pStyle w:val="TableParagraph"/>
              <w:spacing w:before="67"/>
              <w:ind w:left="85"/>
              <w:rPr>
                <w:b/>
                <w:bCs/>
                <w:sz w:val="16"/>
                <w:szCs w:val="16"/>
              </w:rPr>
            </w:pPr>
            <w:r w:rsidRPr="003B65C2">
              <w:rPr>
                <w:b/>
                <w:bCs/>
                <w:color w:val="231F20"/>
                <w:sz w:val="16"/>
                <w:szCs w:val="16"/>
              </w:rPr>
              <w:t>IAP2 level: Consult</w:t>
            </w:r>
          </w:p>
        </w:tc>
        <w:tc>
          <w:tcPr>
            <w:tcW w:w="1729" w:type="dxa"/>
            <w:tcBorders>
              <w:top w:val="single" w:sz="4" w:space="0" w:color="231F20"/>
              <w:left w:val="single" w:sz="4" w:space="0" w:color="231F20"/>
              <w:bottom w:val="nil"/>
              <w:right w:val="single" w:sz="4" w:space="0" w:color="231F20"/>
            </w:tcBorders>
          </w:tcPr>
          <w:p w:rsidR="006A7A3F" w:rsidRPr="003B65C2" w:rsidRDefault="00BC7372" w:rsidP="003B65C2">
            <w:pPr>
              <w:pStyle w:val="TableParagraph"/>
              <w:spacing w:before="67"/>
              <w:ind w:left="85"/>
              <w:rPr>
                <w:b/>
                <w:bCs/>
                <w:sz w:val="16"/>
                <w:szCs w:val="16"/>
              </w:rPr>
            </w:pPr>
            <w:r w:rsidRPr="003B65C2">
              <w:rPr>
                <w:b/>
                <w:bCs/>
                <w:color w:val="231F20"/>
                <w:sz w:val="16"/>
                <w:szCs w:val="16"/>
              </w:rPr>
              <w:t>IAP2 level: Consult</w:t>
            </w:r>
          </w:p>
        </w:tc>
        <w:tc>
          <w:tcPr>
            <w:tcW w:w="1729" w:type="dxa"/>
            <w:tcBorders>
              <w:top w:val="single" w:sz="4" w:space="0" w:color="231F20"/>
              <w:left w:val="single" w:sz="4" w:space="0" w:color="231F20"/>
              <w:bottom w:val="nil"/>
              <w:right w:val="single" w:sz="4" w:space="0" w:color="231F20"/>
            </w:tcBorders>
          </w:tcPr>
          <w:p w:rsidR="006A7A3F" w:rsidRPr="003B65C2" w:rsidRDefault="00BC7372" w:rsidP="003B65C2">
            <w:pPr>
              <w:pStyle w:val="TableParagraph"/>
              <w:spacing w:before="67"/>
              <w:ind w:left="85"/>
              <w:rPr>
                <w:b/>
                <w:bCs/>
                <w:sz w:val="16"/>
                <w:szCs w:val="16"/>
              </w:rPr>
            </w:pPr>
            <w:r w:rsidRPr="003B65C2">
              <w:rPr>
                <w:b/>
                <w:bCs/>
                <w:color w:val="231F20"/>
                <w:sz w:val="16"/>
                <w:szCs w:val="16"/>
              </w:rPr>
              <w:t>IAP2 level: Consult</w:t>
            </w:r>
          </w:p>
        </w:tc>
      </w:tr>
      <w:tr w:rsidR="006A7A3F">
        <w:trPr>
          <w:trHeight w:val="942"/>
        </w:trPr>
        <w:tc>
          <w:tcPr>
            <w:tcW w:w="1554" w:type="dxa"/>
            <w:tcBorders>
              <w:top w:val="nil"/>
              <w:left w:val="single" w:sz="4" w:space="0" w:color="231F20"/>
              <w:bottom w:val="nil"/>
              <w:right w:val="single" w:sz="4" w:space="0" w:color="231F20"/>
            </w:tcBorders>
          </w:tcPr>
          <w:p w:rsidR="006A7A3F" w:rsidRDefault="006A7A3F">
            <w:pPr>
              <w:pStyle w:val="TableParagraph"/>
              <w:ind w:left="0"/>
              <w:rPr>
                <w:rFonts w:ascii="Times New Roman"/>
                <w:sz w:val="16"/>
              </w:rPr>
            </w:pPr>
          </w:p>
        </w:tc>
        <w:tc>
          <w:tcPr>
            <w:tcW w:w="1729" w:type="dxa"/>
            <w:vMerge/>
            <w:tcBorders>
              <w:top w:val="nil"/>
              <w:left w:val="single" w:sz="4" w:space="0" w:color="231F20"/>
              <w:bottom w:val="single" w:sz="4" w:space="0" w:color="231F20"/>
              <w:right w:val="single" w:sz="4" w:space="0" w:color="231F20"/>
            </w:tcBorders>
          </w:tcPr>
          <w:p w:rsidR="006A7A3F" w:rsidRPr="003B65C2" w:rsidRDefault="006A7A3F" w:rsidP="003B65C2">
            <w:pPr>
              <w:rPr>
                <w:sz w:val="16"/>
                <w:szCs w:val="16"/>
              </w:rPr>
            </w:pPr>
          </w:p>
        </w:tc>
        <w:tc>
          <w:tcPr>
            <w:tcW w:w="1729" w:type="dxa"/>
            <w:tcBorders>
              <w:top w:val="nil"/>
              <w:left w:val="single" w:sz="4" w:space="0" w:color="231F20"/>
              <w:bottom w:val="nil"/>
              <w:right w:val="single" w:sz="4" w:space="0" w:color="231F20"/>
            </w:tcBorders>
          </w:tcPr>
          <w:p w:rsidR="006A7A3F" w:rsidRPr="003B65C2" w:rsidRDefault="00BC7372" w:rsidP="003B65C2">
            <w:pPr>
              <w:pStyle w:val="TableParagraph"/>
              <w:numPr>
                <w:ilvl w:val="0"/>
                <w:numId w:val="550"/>
              </w:numPr>
              <w:tabs>
                <w:tab w:val="left" w:pos="306"/>
              </w:tabs>
              <w:spacing w:before="21" w:line="254" w:lineRule="auto"/>
              <w:ind w:right="471"/>
              <w:rPr>
                <w:sz w:val="16"/>
                <w:szCs w:val="16"/>
              </w:rPr>
            </w:pPr>
            <w:r w:rsidRPr="003B65C2">
              <w:rPr>
                <w:color w:val="231F20"/>
                <w:spacing w:val="-4"/>
                <w:sz w:val="16"/>
                <w:szCs w:val="16"/>
              </w:rPr>
              <w:t xml:space="preserve">Yorta </w:t>
            </w:r>
            <w:r w:rsidRPr="003B65C2">
              <w:rPr>
                <w:color w:val="231F20"/>
                <w:spacing w:val="-5"/>
                <w:sz w:val="16"/>
                <w:szCs w:val="16"/>
              </w:rPr>
              <w:t xml:space="preserve">Yorta </w:t>
            </w:r>
            <w:r w:rsidRPr="003B65C2">
              <w:rPr>
                <w:color w:val="231F20"/>
                <w:sz w:val="16"/>
                <w:szCs w:val="16"/>
              </w:rPr>
              <w:t xml:space="preserve">Nation Aboriginal </w:t>
            </w:r>
            <w:r w:rsidRPr="003B65C2">
              <w:rPr>
                <w:color w:val="231F20"/>
                <w:spacing w:val="-1"/>
                <w:sz w:val="16"/>
                <w:szCs w:val="16"/>
              </w:rPr>
              <w:t>Corporation</w:t>
            </w:r>
          </w:p>
        </w:tc>
        <w:tc>
          <w:tcPr>
            <w:tcW w:w="1729" w:type="dxa"/>
            <w:tcBorders>
              <w:top w:val="nil"/>
              <w:left w:val="single" w:sz="4" w:space="0" w:color="231F20"/>
              <w:bottom w:val="nil"/>
              <w:right w:val="single" w:sz="4" w:space="0" w:color="231F20"/>
            </w:tcBorders>
          </w:tcPr>
          <w:p w:rsidR="006A7A3F" w:rsidRPr="003B65C2" w:rsidRDefault="00BC7372" w:rsidP="003B65C2">
            <w:pPr>
              <w:pStyle w:val="TableParagraph"/>
              <w:numPr>
                <w:ilvl w:val="0"/>
                <w:numId w:val="549"/>
              </w:numPr>
              <w:tabs>
                <w:tab w:val="left" w:pos="306"/>
              </w:tabs>
              <w:spacing w:before="21" w:line="254" w:lineRule="auto"/>
              <w:ind w:right="471"/>
              <w:rPr>
                <w:sz w:val="16"/>
                <w:szCs w:val="16"/>
              </w:rPr>
            </w:pPr>
            <w:r w:rsidRPr="003B65C2">
              <w:rPr>
                <w:color w:val="231F20"/>
                <w:spacing w:val="-4"/>
                <w:sz w:val="16"/>
                <w:szCs w:val="16"/>
              </w:rPr>
              <w:t xml:space="preserve">Yorta </w:t>
            </w:r>
            <w:r w:rsidRPr="003B65C2">
              <w:rPr>
                <w:color w:val="231F20"/>
                <w:spacing w:val="-5"/>
                <w:sz w:val="16"/>
                <w:szCs w:val="16"/>
              </w:rPr>
              <w:t xml:space="preserve">Yorta </w:t>
            </w:r>
            <w:r w:rsidRPr="003B65C2">
              <w:rPr>
                <w:color w:val="231F20"/>
                <w:sz w:val="16"/>
                <w:szCs w:val="16"/>
              </w:rPr>
              <w:t xml:space="preserve">Nation Aboriginal </w:t>
            </w:r>
            <w:r w:rsidRPr="003B65C2">
              <w:rPr>
                <w:color w:val="231F20"/>
                <w:spacing w:val="-1"/>
                <w:sz w:val="16"/>
                <w:szCs w:val="16"/>
              </w:rPr>
              <w:t>Corporation</w:t>
            </w:r>
          </w:p>
        </w:tc>
        <w:tc>
          <w:tcPr>
            <w:tcW w:w="1729" w:type="dxa"/>
            <w:tcBorders>
              <w:top w:val="nil"/>
              <w:left w:val="single" w:sz="4" w:space="0" w:color="231F20"/>
              <w:bottom w:val="nil"/>
              <w:right w:val="single" w:sz="4" w:space="0" w:color="231F20"/>
            </w:tcBorders>
          </w:tcPr>
          <w:p w:rsidR="006A7A3F" w:rsidRPr="003B65C2" w:rsidRDefault="00BC7372" w:rsidP="003B65C2">
            <w:pPr>
              <w:pStyle w:val="TableParagraph"/>
              <w:numPr>
                <w:ilvl w:val="0"/>
                <w:numId w:val="548"/>
              </w:numPr>
              <w:tabs>
                <w:tab w:val="left" w:pos="306"/>
              </w:tabs>
              <w:spacing w:before="21" w:line="254" w:lineRule="auto"/>
              <w:ind w:right="471"/>
              <w:rPr>
                <w:sz w:val="16"/>
                <w:szCs w:val="16"/>
              </w:rPr>
            </w:pPr>
            <w:r w:rsidRPr="003B65C2">
              <w:rPr>
                <w:color w:val="231F20"/>
                <w:spacing w:val="-4"/>
                <w:sz w:val="16"/>
                <w:szCs w:val="16"/>
              </w:rPr>
              <w:t xml:space="preserve">Yorta </w:t>
            </w:r>
            <w:r w:rsidRPr="003B65C2">
              <w:rPr>
                <w:color w:val="231F20"/>
                <w:spacing w:val="-5"/>
                <w:sz w:val="16"/>
                <w:szCs w:val="16"/>
              </w:rPr>
              <w:t xml:space="preserve">Yorta </w:t>
            </w:r>
            <w:r w:rsidRPr="003B65C2">
              <w:rPr>
                <w:color w:val="231F20"/>
                <w:sz w:val="16"/>
                <w:szCs w:val="16"/>
              </w:rPr>
              <w:t xml:space="preserve">Nation Aboriginal </w:t>
            </w:r>
            <w:r w:rsidRPr="003B65C2">
              <w:rPr>
                <w:color w:val="231F20"/>
                <w:spacing w:val="-1"/>
                <w:sz w:val="16"/>
                <w:szCs w:val="16"/>
              </w:rPr>
              <w:t>Corporation</w:t>
            </w:r>
          </w:p>
        </w:tc>
        <w:tc>
          <w:tcPr>
            <w:tcW w:w="1729" w:type="dxa"/>
            <w:tcBorders>
              <w:top w:val="nil"/>
              <w:left w:val="single" w:sz="4" w:space="0" w:color="231F20"/>
              <w:bottom w:val="nil"/>
              <w:right w:val="single" w:sz="4" w:space="0" w:color="231F20"/>
            </w:tcBorders>
          </w:tcPr>
          <w:p w:rsidR="006A7A3F" w:rsidRPr="003B65C2" w:rsidRDefault="00BC7372" w:rsidP="003B65C2">
            <w:pPr>
              <w:pStyle w:val="TableParagraph"/>
              <w:numPr>
                <w:ilvl w:val="0"/>
                <w:numId w:val="547"/>
              </w:numPr>
              <w:tabs>
                <w:tab w:val="left" w:pos="306"/>
              </w:tabs>
              <w:spacing w:before="21" w:line="254" w:lineRule="auto"/>
              <w:ind w:right="471"/>
              <w:rPr>
                <w:sz w:val="16"/>
                <w:szCs w:val="16"/>
              </w:rPr>
            </w:pPr>
            <w:r w:rsidRPr="003B65C2">
              <w:rPr>
                <w:color w:val="231F20"/>
                <w:spacing w:val="-4"/>
                <w:sz w:val="16"/>
                <w:szCs w:val="16"/>
              </w:rPr>
              <w:t xml:space="preserve">Yorta </w:t>
            </w:r>
            <w:r w:rsidRPr="003B65C2">
              <w:rPr>
                <w:color w:val="231F20"/>
                <w:spacing w:val="-5"/>
                <w:sz w:val="16"/>
                <w:szCs w:val="16"/>
              </w:rPr>
              <w:t xml:space="preserve">Yorta </w:t>
            </w:r>
            <w:r w:rsidRPr="003B65C2">
              <w:rPr>
                <w:color w:val="231F20"/>
                <w:sz w:val="16"/>
                <w:szCs w:val="16"/>
              </w:rPr>
              <w:t xml:space="preserve">Nation Aboriginal </w:t>
            </w:r>
            <w:r w:rsidRPr="003B65C2">
              <w:rPr>
                <w:color w:val="231F20"/>
                <w:spacing w:val="-1"/>
                <w:sz w:val="16"/>
                <w:szCs w:val="16"/>
              </w:rPr>
              <w:t>Corporation</w:t>
            </w:r>
          </w:p>
        </w:tc>
      </w:tr>
      <w:tr w:rsidR="006A7A3F">
        <w:trPr>
          <w:trHeight w:val="758"/>
        </w:trPr>
        <w:tc>
          <w:tcPr>
            <w:tcW w:w="1554" w:type="dxa"/>
            <w:tcBorders>
              <w:top w:val="nil"/>
              <w:left w:val="single" w:sz="4" w:space="0" w:color="231F20"/>
              <w:bottom w:val="nil"/>
              <w:right w:val="single" w:sz="4" w:space="0" w:color="231F20"/>
            </w:tcBorders>
          </w:tcPr>
          <w:p w:rsidR="006A7A3F" w:rsidRDefault="006A7A3F">
            <w:pPr>
              <w:pStyle w:val="TableParagraph"/>
              <w:ind w:left="0"/>
              <w:rPr>
                <w:rFonts w:ascii="Times New Roman"/>
                <w:sz w:val="16"/>
              </w:rPr>
            </w:pPr>
          </w:p>
        </w:tc>
        <w:tc>
          <w:tcPr>
            <w:tcW w:w="1729" w:type="dxa"/>
            <w:vMerge/>
            <w:tcBorders>
              <w:top w:val="nil"/>
              <w:left w:val="single" w:sz="4" w:space="0" w:color="231F20"/>
              <w:bottom w:val="single" w:sz="4" w:space="0" w:color="231F20"/>
              <w:right w:val="single" w:sz="4" w:space="0" w:color="231F20"/>
            </w:tcBorders>
          </w:tcPr>
          <w:p w:rsidR="006A7A3F" w:rsidRPr="003B65C2" w:rsidRDefault="006A7A3F" w:rsidP="003B65C2">
            <w:pPr>
              <w:rPr>
                <w:sz w:val="16"/>
                <w:szCs w:val="16"/>
              </w:rPr>
            </w:pPr>
          </w:p>
        </w:tc>
        <w:tc>
          <w:tcPr>
            <w:tcW w:w="1729" w:type="dxa"/>
            <w:tcBorders>
              <w:top w:val="nil"/>
              <w:left w:val="single" w:sz="4" w:space="0" w:color="231F20"/>
              <w:bottom w:val="single" w:sz="4" w:space="0" w:color="231F20"/>
              <w:right w:val="single" w:sz="4" w:space="0" w:color="231F20"/>
            </w:tcBorders>
          </w:tcPr>
          <w:p w:rsidR="006A7A3F" w:rsidRPr="003B65C2" w:rsidRDefault="00BC7372" w:rsidP="003B65C2">
            <w:pPr>
              <w:pStyle w:val="TableParagraph"/>
              <w:numPr>
                <w:ilvl w:val="0"/>
                <w:numId w:val="546"/>
              </w:numPr>
              <w:tabs>
                <w:tab w:val="left" w:pos="306"/>
              </w:tabs>
              <w:spacing w:before="33" w:line="254" w:lineRule="auto"/>
              <w:ind w:right="228"/>
              <w:rPr>
                <w:sz w:val="16"/>
                <w:szCs w:val="16"/>
              </w:rPr>
            </w:pPr>
            <w:r w:rsidRPr="003B65C2">
              <w:rPr>
                <w:color w:val="231F20"/>
                <w:spacing w:val="-3"/>
                <w:sz w:val="16"/>
                <w:szCs w:val="16"/>
              </w:rPr>
              <w:t xml:space="preserve">Taungurung </w:t>
            </w:r>
            <w:r w:rsidRPr="003B65C2">
              <w:rPr>
                <w:color w:val="231F20"/>
                <w:sz w:val="16"/>
                <w:szCs w:val="16"/>
              </w:rPr>
              <w:t>Land &amp;</w:t>
            </w:r>
            <w:r w:rsidRPr="003B65C2">
              <w:rPr>
                <w:color w:val="231F20"/>
                <w:spacing w:val="-15"/>
                <w:sz w:val="16"/>
                <w:szCs w:val="16"/>
              </w:rPr>
              <w:t xml:space="preserve"> </w:t>
            </w:r>
            <w:r w:rsidRPr="003B65C2">
              <w:rPr>
                <w:color w:val="231F20"/>
                <w:sz w:val="16"/>
                <w:szCs w:val="16"/>
              </w:rPr>
              <w:t>Waters Council</w:t>
            </w:r>
          </w:p>
        </w:tc>
        <w:tc>
          <w:tcPr>
            <w:tcW w:w="1729" w:type="dxa"/>
            <w:tcBorders>
              <w:top w:val="nil"/>
              <w:left w:val="single" w:sz="4" w:space="0" w:color="231F20"/>
              <w:bottom w:val="single" w:sz="4" w:space="0" w:color="231F20"/>
              <w:right w:val="single" w:sz="4" w:space="0" w:color="231F20"/>
            </w:tcBorders>
          </w:tcPr>
          <w:p w:rsidR="006A7A3F" w:rsidRPr="003B65C2" w:rsidRDefault="00BC7372" w:rsidP="003B65C2">
            <w:pPr>
              <w:pStyle w:val="TableParagraph"/>
              <w:numPr>
                <w:ilvl w:val="0"/>
                <w:numId w:val="545"/>
              </w:numPr>
              <w:tabs>
                <w:tab w:val="left" w:pos="306"/>
              </w:tabs>
              <w:spacing w:before="33" w:line="254" w:lineRule="auto"/>
              <w:ind w:right="228"/>
              <w:rPr>
                <w:sz w:val="16"/>
                <w:szCs w:val="16"/>
              </w:rPr>
            </w:pPr>
            <w:r w:rsidRPr="003B65C2">
              <w:rPr>
                <w:color w:val="231F20"/>
                <w:spacing w:val="-3"/>
                <w:sz w:val="16"/>
                <w:szCs w:val="16"/>
              </w:rPr>
              <w:t xml:space="preserve">Taungurung </w:t>
            </w:r>
            <w:r w:rsidRPr="003B65C2">
              <w:rPr>
                <w:color w:val="231F20"/>
                <w:sz w:val="16"/>
                <w:szCs w:val="16"/>
              </w:rPr>
              <w:t>Land &amp;</w:t>
            </w:r>
            <w:r w:rsidRPr="003B65C2">
              <w:rPr>
                <w:color w:val="231F20"/>
                <w:spacing w:val="-15"/>
                <w:sz w:val="16"/>
                <w:szCs w:val="16"/>
              </w:rPr>
              <w:t xml:space="preserve"> </w:t>
            </w:r>
            <w:r w:rsidRPr="003B65C2">
              <w:rPr>
                <w:color w:val="231F20"/>
                <w:sz w:val="16"/>
                <w:szCs w:val="16"/>
              </w:rPr>
              <w:t>Waters Council</w:t>
            </w:r>
          </w:p>
        </w:tc>
        <w:tc>
          <w:tcPr>
            <w:tcW w:w="1729" w:type="dxa"/>
            <w:tcBorders>
              <w:top w:val="nil"/>
              <w:left w:val="single" w:sz="4" w:space="0" w:color="231F20"/>
              <w:bottom w:val="single" w:sz="4" w:space="0" w:color="231F20"/>
              <w:right w:val="single" w:sz="4" w:space="0" w:color="231F20"/>
            </w:tcBorders>
          </w:tcPr>
          <w:p w:rsidR="006A7A3F" w:rsidRPr="003B65C2" w:rsidRDefault="00BC7372" w:rsidP="003B65C2">
            <w:pPr>
              <w:pStyle w:val="TableParagraph"/>
              <w:numPr>
                <w:ilvl w:val="0"/>
                <w:numId w:val="544"/>
              </w:numPr>
              <w:tabs>
                <w:tab w:val="left" w:pos="306"/>
              </w:tabs>
              <w:spacing w:before="33" w:line="254" w:lineRule="auto"/>
              <w:ind w:right="198"/>
              <w:rPr>
                <w:sz w:val="16"/>
                <w:szCs w:val="16"/>
              </w:rPr>
            </w:pPr>
            <w:r w:rsidRPr="003B65C2">
              <w:rPr>
                <w:color w:val="231F20"/>
                <w:spacing w:val="-3"/>
                <w:sz w:val="16"/>
                <w:szCs w:val="16"/>
              </w:rPr>
              <w:t xml:space="preserve">Taungurung </w:t>
            </w:r>
            <w:r w:rsidRPr="003B65C2">
              <w:rPr>
                <w:color w:val="231F20"/>
                <w:sz w:val="16"/>
                <w:szCs w:val="16"/>
              </w:rPr>
              <w:t>Land and Waters</w:t>
            </w:r>
            <w:r w:rsidRPr="003B65C2">
              <w:rPr>
                <w:color w:val="231F20"/>
                <w:spacing w:val="-15"/>
                <w:sz w:val="16"/>
                <w:szCs w:val="16"/>
              </w:rPr>
              <w:t xml:space="preserve"> </w:t>
            </w:r>
            <w:r w:rsidRPr="003B65C2">
              <w:rPr>
                <w:color w:val="231F20"/>
                <w:sz w:val="16"/>
                <w:szCs w:val="16"/>
              </w:rPr>
              <w:t>Council</w:t>
            </w:r>
          </w:p>
        </w:tc>
        <w:tc>
          <w:tcPr>
            <w:tcW w:w="1729" w:type="dxa"/>
            <w:tcBorders>
              <w:top w:val="nil"/>
              <w:left w:val="single" w:sz="4" w:space="0" w:color="231F20"/>
              <w:bottom w:val="single" w:sz="4" w:space="0" w:color="231F20"/>
              <w:right w:val="single" w:sz="4" w:space="0" w:color="231F20"/>
            </w:tcBorders>
          </w:tcPr>
          <w:p w:rsidR="006A7A3F" w:rsidRPr="003B65C2" w:rsidRDefault="00BC7372" w:rsidP="003B65C2">
            <w:pPr>
              <w:pStyle w:val="TableParagraph"/>
              <w:numPr>
                <w:ilvl w:val="0"/>
                <w:numId w:val="543"/>
              </w:numPr>
              <w:tabs>
                <w:tab w:val="left" w:pos="306"/>
              </w:tabs>
              <w:spacing w:before="33" w:line="254" w:lineRule="auto"/>
              <w:ind w:right="227"/>
              <w:rPr>
                <w:sz w:val="16"/>
                <w:szCs w:val="16"/>
              </w:rPr>
            </w:pPr>
            <w:r w:rsidRPr="003B65C2">
              <w:rPr>
                <w:color w:val="231F20"/>
                <w:spacing w:val="-3"/>
                <w:sz w:val="16"/>
                <w:szCs w:val="16"/>
              </w:rPr>
              <w:t xml:space="preserve">Taungurung </w:t>
            </w:r>
            <w:r w:rsidRPr="003B65C2">
              <w:rPr>
                <w:color w:val="231F20"/>
                <w:sz w:val="16"/>
                <w:szCs w:val="16"/>
              </w:rPr>
              <w:t>Land &amp;</w:t>
            </w:r>
            <w:r w:rsidRPr="003B65C2">
              <w:rPr>
                <w:color w:val="231F20"/>
                <w:spacing w:val="-15"/>
                <w:sz w:val="16"/>
                <w:szCs w:val="16"/>
              </w:rPr>
              <w:t xml:space="preserve"> </w:t>
            </w:r>
            <w:r w:rsidRPr="003B65C2">
              <w:rPr>
                <w:color w:val="231F20"/>
                <w:sz w:val="16"/>
                <w:szCs w:val="16"/>
              </w:rPr>
              <w:t>Waters Council</w:t>
            </w:r>
          </w:p>
        </w:tc>
      </w:tr>
      <w:tr w:rsidR="006A7A3F">
        <w:trPr>
          <w:trHeight w:val="1049"/>
        </w:trPr>
        <w:tc>
          <w:tcPr>
            <w:tcW w:w="1554" w:type="dxa"/>
            <w:tcBorders>
              <w:top w:val="nil"/>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BC7372" w:rsidP="003B65C2">
            <w:pPr>
              <w:pStyle w:val="TableParagraph"/>
              <w:spacing w:before="67"/>
              <w:ind w:left="85"/>
              <w:rPr>
                <w:sz w:val="16"/>
                <w:szCs w:val="16"/>
              </w:rPr>
            </w:pPr>
            <w:r w:rsidRPr="003B65C2">
              <w:rPr>
                <w:color w:val="231F20"/>
                <w:sz w:val="16"/>
                <w:szCs w:val="16"/>
              </w:rPr>
              <w:t>IAP2 level: Consult</w:t>
            </w:r>
          </w:p>
          <w:p w:rsidR="006A7A3F" w:rsidRPr="003B65C2" w:rsidRDefault="00BC7372" w:rsidP="003B65C2">
            <w:pPr>
              <w:pStyle w:val="TableParagraph"/>
              <w:numPr>
                <w:ilvl w:val="0"/>
                <w:numId w:val="542"/>
              </w:numPr>
              <w:tabs>
                <w:tab w:val="left" w:pos="306"/>
              </w:tabs>
              <w:spacing w:before="74" w:line="254" w:lineRule="auto"/>
              <w:ind w:right="228"/>
              <w:rPr>
                <w:sz w:val="16"/>
                <w:szCs w:val="16"/>
              </w:rPr>
            </w:pPr>
            <w:r w:rsidRPr="003B65C2">
              <w:rPr>
                <w:color w:val="231F20"/>
                <w:spacing w:val="-3"/>
                <w:sz w:val="16"/>
                <w:szCs w:val="16"/>
              </w:rPr>
              <w:t xml:space="preserve">Taungurung </w:t>
            </w:r>
            <w:r w:rsidRPr="003B65C2">
              <w:rPr>
                <w:color w:val="231F20"/>
                <w:sz w:val="16"/>
                <w:szCs w:val="16"/>
              </w:rPr>
              <w:t>Land &amp;</w:t>
            </w:r>
            <w:r w:rsidRPr="003B65C2">
              <w:rPr>
                <w:color w:val="231F20"/>
                <w:spacing w:val="-15"/>
                <w:sz w:val="16"/>
                <w:szCs w:val="16"/>
              </w:rPr>
              <w:t xml:space="preserve"> </w:t>
            </w:r>
            <w:r w:rsidRPr="003B65C2">
              <w:rPr>
                <w:color w:val="231F20"/>
                <w:sz w:val="16"/>
                <w:szCs w:val="16"/>
              </w:rPr>
              <w:t>Waters Council</w:t>
            </w: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6A7A3F" w:rsidP="003B65C2">
            <w:pPr>
              <w:pStyle w:val="TableParagraph"/>
              <w:ind w:left="0"/>
              <w:rPr>
                <w:rFonts w:ascii="Times New Roman"/>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6A7A3F" w:rsidP="003B65C2">
            <w:pPr>
              <w:pStyle w:val="TableParagraph"/>
              <w:ind w:left="0"/>
              <w:rPr>
                <w:rFonts w:ascii="Times New Roman"/>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6A7A3F" w:rsidP="003B65C2">
            <w:pPr>
              <w:pStyle w:val="TableParagraph"/>
              <w:ind w:left="0"/>
              <w:rPr>
                <w:rFonts w:ascii="Times New Roman"/>
                <w:sz w:val="16"/>
                <w:szCs w:val="16"/>
              </w:rPr>
            </w:pPr>
          </w:p>
        </w:tc>
        <w:tc>
          <w:tcPr>
            <w:tcW w:w="1729" w:type="dxa"/>
            <w:tcBorders>
              <w:top w:val="single" w:sz="4" w:space="0" w:color="231F20"/>
              <w:left w:val="single" w:sz="4" w:space="0" w:color="231F20"/>
              <w:bottom w:val="single" w:sz="4" w:space="0" w:color="231F20"/>
              <w:right w:val="single" w:sz="4" w:space="0" w:color="231F20"/>
            </w:tcBorders>
          </w:tcPr>
          <w:p w:rsidR="006A7A3F" w:rsidRPr="003B65C2" w:rsidRDefault="006A7A3F" w:rsidP="003B65C2">
            <w:pPr>
              <w:pStyle w:val="TableParagraph"/>
              <w:ind w:left="0"/>
              <w:rPr>
                <w:rFonts w:ascii="Times New Roman"/>
                <w:sz w:val="16"/>
                <w:szCs w:val="16"/>
              </w:rPr>
            </w:pPr>
          </w:p>
        </w:tc>
      </w:tr>
    </w:tbl>
    <w:p w:rsidR="003B65C2" w:rsidRDefault="003B65C2">
      <w:pPr>
        <w:spacing w:before="130" w:line="249" w:lineRule="auto"/>
        <w:ind w:left="210" w:right="457"/>
        <w:rPr>
          <w:b/>
          <w:color w:val="231F20"/>
          <w:sz w:val="18"/>
        </w:rPr>
      </w:pPr>
    </w:p>
    <w:p w:rsidR="003B65C2" w:rsidRDefault="003B65C2">
      <w:pPr>
        <w:rPr>
          <w:b/>
          <w:color w:val="231F20"/>
          <w:sz w:val="18"/>
        </w:rPr>
      </w:pPr>
      <w:r>
        <w:rPr>
          <w:b/>
          <w:color w:val="231F20"/>
          <w:sz w:val="18"/>
        </w:rPr>
        <w:br w:type="page"/>
      </w:r>
    </w:p>
    <w:p w:rsidR="006A7A3F" w:rsidRDefault="00BC7372">
      <w:pPr>
        <w:spacing w:before="130" w:line="249" w:lineRule="auto"/>
        <w:ind w:left="210" w:right="457"/>
        <w:rPr>
          <w:b/>
          <w:sz w:val="18"/>
        </w:rPr>
      </w:pPr>
      <w:r>
        <w:rPr>
          <w:b/>
          <w:color w:val="231F20"/>
          <w:sz w:val="18"/>
        </w:rPr>
        <w:t>Table 5.1.3 Partners and stakeholders engaged by Mallee CMA in developing seasonal watering proposals for the Hattah Lakes, Lower Murray wetlands, Lindsay, Mulcra and Wallpolla islands systems and other key foundation documents that have directly informed the proposals</w:t>
      </w:r>
    </w:p>
    <w:p w:rsidR="006A7A3F" w:rsidRDefault="006A7A3F">
      <w:pPr>
        <w:pStyle w:val="BodyText"/>
        <w:spacing w:before="4"/>
        <w:ind w:left="0"/>
        <w:rPr>
          <w:b/>
          <w:sz w:val="8"/>
        </w:rPr>
      </w:pPr>
    </w:p>
    <w:tbl>
      <w:tblPr>
        <w:tblW w:w="10201"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951"/>
        <w:gridCol w:w="2750"/>
        <w:gridCol w:w="2750"/>
        <w:gridCol w:w="2750"/>
      </w:tblGrid>
      <w:tr w:rsidR="006A7A3F" w:rsidTr="003B65C2">
        <w:trPr>
          <w:trHeight w:val="587"/>
          <w:tblHeader/>
        </w:trPr>
        <w:tc>
          <w:tcPr>
            <w:tcW w:w="1951" w:type="dxa"/>
            <w:tcBorders>
              <w:top w:val="nil"/>
              <w:left w:val="nil"/>
              <w:bottom w:val="nil"/>
            </w:tcBorders>
            <w:shd w:val="clear" w:color="auto" w:fill="231F20"/>
          </w:tcPr>
          <w:p w:rsidR="006A7A3F" w:rsidRDefault="006A7A3F">
            <w:pPr>
              <w:pStyle w:val="TableParagraph"/>
              <w:ind w:left="0"/>
              <w:rPr>
                <w:rFonts w:ascii="Times New Roman"/>
                <w:sz w:val="16"/>
              </w:rPr>
            </w:pPr>
          </w:p>
        </w:tc>
        <w:tc>
          <w:tcPr>
            <w:tcW w:w="2750"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Hattah Lakes</w:t>
            </w:r>
          </w:p>
        </w:tc>
        <w:tc>
          <w:tcPr>
            <w:tcW w:w="2750"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Lower Murray wetlands</w:t>
            </w:r>
          </w:p>
        </w:tc>
        <w:tc>
          <w:tcPr>
            <w:tcW w:w="2750" w:type="dxa"/>
            <w:tcBorders>
              <w:top w:val="nil"/>
              <w:bottom w:val="nil"/>
              <w:right w:val="nil"/>
            </w:tcBorders>
            <w:shd w:val="clear" w:color="auto" w:fill="231F20"/>
          </w:tcPr>
          <w:p w:rsidR="006A7A3F" w:rsidRDefault="00BC7372">
            <w:pPr>
              <w:pStyle w:val="TableParagraph"/>
              <w:spacing w:before="73" w:line="254" w:lineRule="auto"/>
              <w:ind w:left="84"/>
              <w:rPr>
                <w:b/>
                <w:sz w:val="18"/>
              </w:rPr>
            </w:pPr>
            <w:r>
              <w:rPr>
                <w:b/>
                <w:color w:val="FFFFFF"/>
                <w:sz w:val="18"/>
              </w:rPr>
              <w:t>Lindsay, Mulcra and Wallpolla islands</w:t>
            </w:r>
          </w:p>
        </w:tc>
      </w:tr>
      <w:tr w:rsidR="003B65C2" w:rsidTr="003B65C2">
        <w:trPr>
          <w:trHeight w:val="1880"/>
        </w:trPr>
        <w:tc>
          <w:tcPr>
            <w:tcW w:w="1951" w:type="dxa"/>
            <w:tcBorders>
              <w:top w:val="nil"/>
              <w:left w:val="single" w:sz="4" w:space="0" w:color="231F20"/>
              <w:bottom w:val="single" w:sz="4" w:space="0" w:color="231F20"/>
              <w:right w:val="single" w:sz="4" w:space="0" w:color="231F20"/>
            </w:tcBorders>
          </w:tcPr>
          <w:p w:rsidR="003B65C2" w:rsidRPr="003B65C2" w:rsidRDefault="003B65C2" w:rsidP="003B65C2">
            <w:pPr>
              <w:pStyle w:val="TableParagraph"/>
              <w:spacing w:before="74" w:line="261" w:lineRule="auto"/>
              <w:ind w:left="85" w:right="181"/>
              <w:rPr>
                <w:sz w:val="16"/>
                <w:szCs w:val="16"/>
              </w:rPr>
            </w:pPr>
            <w:r w:rsidRPr="003B65C2">
              <w:rPr>
                <w:color w:val="231F20"/>
                <w:sz w:val="16"/>
                <w:szCs w:val="16"/>
              </w:rPr>
              <w:t>Community groups and environment groups</w:t>
            </w:r>
          </w:p>
        </w:tc>
        <w:tc>
          <w:tcPr>
            <w:tcW w:w="2750" w:type="dxa"/>
            <w:tcBorders>
              <w:top w:val="nil"/>
              <w:left w:val="single" w:sz="4" w:space="0" w:color="231F20"/>
              <w:bottom w:val="single" w:sz="4" w:space="0" w:color="231F20"/>
              <w:right w:val="single" w:sz="4" w:space="0" w:color="231F20"/>
            </w:tcBorders>
          </w:tcPr>
          <w:p w:rsidR="003B65C2" w:rsidRPr="003B65C2" w:rsidRDefault="003B65C2" w:rsidP="003B65C2">
            <w:pPr>
              <w:pStyle w:val="TableParagraph"/>
              <w:spacing w:before="74"/>
              <w:ind w:left="84"/>
              <w:rPr>
                <w:b/>
                <w:bCs/>
                <w:sz w:val="16"/>
                <w:szCs w:val="16"/>
              </w:rPr>
            </w:pPr>
            <w:r w:rsidRPr="003B65C2">
              <w:rPr>
                <w:b/>
                <w:bCs/>
                <w:color w:val="231F20"/>
                <w:sz w:val="16"/>
                <w:szCs w:val="16"/>
              </w:rPr>
              <w:t>IAP2 level: Inform</w:t>
            </w:r>
          </w:p>
          <w:p w:rsidR="003B65C2" w:rsidRPr="003B65C2" w:rsidRDefault="003B65C2" w:rsidP="003B65C2">
            <w:pPr>
              <w:pStyle w:val="TableParagraph"/>
              <w:numPr>
                <w:ilvl w:val="0"/>
                <w:numId w:val="541"/>
              </w:numPr>
              <w:tabs>
                <w:tab w:val="left" w:pos="305"/>
              </w:tabs>
              <w:spacing w:before="74"/>
              <w:rPr>
                <w:sz w:val="16"/>
                <w:szCs w:val="16"/>
              </w:rPr>
            </w:pPr>
            <w:r w:rsidRPr="003B65C2">
              <w:rPr>
                <w:color w:val="231F20"/>
                <w:sz w:val="16"/>
                <w:szCs w:val="16"/>
              </w:rPr>
              <w:t>Local Landcare</w:t>
            </w:r>
            <w:r w:rsidRPr="003B65C2">
              <w:rPr>
                <w:color w:val="231F20"/>
                <w:spacing w:val="-5"/>
                <w:sz w:val="16"/>
                <w:szCs w:val="16"/>
              </w:rPr>
              <w:t xml:space="preserve"> </w:t>
            </w:r>
            <w:r w:rsidRPr="003B65C2">
              <w:rPr>
                <w:color w:val="231F20"/>
                <w:sz w:val="16"/>
                <w:szCs w:val="16"/>
              </w:rPr>
              <w:t>groups</w:t>
            </w:r>
          </w:p>
          <w:p w:rsidR="003B65C2" w:rsidRPr="003B65C2" w:rsidRDefault="003B65C2" w:rsidP="003B65C2">
            <w:pPr>
              <w:pStyle w:val="TableParagraph"/>
              <w:numPr>
                <w:ilvl w:val="0"/>
                <w:numId w:val="541"/>
              </w:numPr>
              <w:tabs>
                <w:tab w:val="left" w:pos="305"/>
              </w:tabs>
              <w:spacing w:before="98"/>
              <w:rPr>
                <w:sz w:val="16"/>
                <w:szCs w:val="16"/>
              </w:rPr>
            </w:pPr>
            <w:r w:rsidRPr="003B65C2">
              <w:rPr>
                <w:color w:val="231F20"/>
                <w:sz w:val="16"/>
                <w:szCs w:val="16"/>
              </w:rPr>
              <w:t>Mid-Murray Field</w:t>
            </w:r>
            <w:r w:rsidRPr="003B65C2">
              <w:rPr>
                <w:color w:val="231F20"/>
                <w:spacing w:val="-4"/>
                <w:sz w:val="16"/>
                <w:szCs w:val="16"/>
              </w:rPr>
              <w:t xml:space="preserve"> </w:t>
            </w:r>
            <w:r w:rsidRPr="003B65C2">
              <w:rPr>
                <w:color w:val="231F20"/>
                <w:sz w:val="16"/>
                <w:szCs w:val="16"/>
              </w:rPr>
              <w:t>Naturalists</w:t>
            </w:r>
          </w:p>
        </w:tc>
        <w:tc>
          <w:tcPr>
            <w:tcW w:w="2750" w:type="dxa"/>
            <w:tcBorders>
              <w:top w:val="nil"/>
              <w:left w:val="single" w:sz="4" w:space="0" w:color="231F20"/>
              <w:bottom w:val="single" w:sz="4" w:space="0" w:color="231F20"/>
              <w:right w:val="single" w:sz="4" w:space="0" w:color="231F20"/>
            </w:tcBorders>
          </w:tcPr>
          <w:p w:rsidR="003B65C2" w:rsidRPr="003B65C2" w:rsidRDefault="003B65C2" w:rsidP="003B65C2">
            <w:pPr>
              <w:pStyle w:val="TableParagraph"/>
              <w:spacing w:before="74"/>
              <w:ind w:left="84"/>
              <w:jc w:val="both"/>
              <w:rPr>
                <w:b/>
                <w:bCs/>
                <w:sz w:val="16"/>
                <w:szCs w:val="16"/>
              </w:rPr>
            </w:pPr>
            <w:r w:rsidRPr="003B65C2">
              <w:rPr>
                <w:b/>
                <w:bCs/>
                <w:color w:val="231F20"/>
                <w:sz w:val="16"/>
                <w:szCs w:val="16"/>
              </w:rPr>
              <w:t>IAP2 level: Inform</w:t>
            </w:r>
          </w:p>
          <w:p w:rsidR="003B65C2" w:rsidRPr="003B65C2" w:rsidRDefault="003B65C2" w:rsidP="003B65C2">
            <w:pPr>
              <w:pStyle w:val="TableParagraph"/>
              <w:numPr>
                <w:ilvl w:val="0"/>
                <w:numId w:val="540"/>
              </w:numPr>
              <w:tabs>
                <w:tab w:val="left" w:pos="305"/>
              </w:tabs>
              <w:spacing w:before="74"/>
              <w:jc w:val="both"/>
              <w:rPr>
                <w:sz w:val="16"/>
                <w:szCs w:val="16"/>
              </w:rPr>
            </w:pPr>
            <w:r w:rsidRPr="003B65C2">
              <w:rPr>
                <w:color w:val="231F20"/>
                <w:sz w:val="16"/>
                <w:szCs w:val="16"/>
              </w:rPr>
              <w:t>Cabarita</w:t>
            </w:r>
            <w:r w:rsidRPr="003B65C2">
              <w:rPr>
                <w:color w:val="231F20"/>
                <w:spacing w:val="-2"/>
                <w:sz w:val="16"/>
                <w:szCs w:val="16"/>
              </w:rPr>
              <w:t xml:space="preserve"> </w:t>
            </w:r>
            <w:r w:rsidRPr="003B65C2">
              <w:rPr>
                <w:color w:val="231F20"/>
                <w:sz w:val="16"/>
                <w:szCs w:val="16"/>
              </w:rPr>
              <w:t>Inc.</w:t>
            </w:r>
          </w:p>
          <w:p w:rsidR="003B65C2" w:rsidRPr="003B65C2" w:rsidRDefault="003B65C2" w:rsidP="003B65C2">
            <w:pPr>
              <w:pStyle w:val="TableParagraph"/>
              <w:numPr>
                <w:ilvl w:val="0"/>
                <w:numId w:val="540"/>
              </w:numPr>
              <w:tabs>
                <w:tab w:val="left" w:pos="305"/>
              </w:tabs>
              <w:spacing w:before="98" w:line="254" w:lineRule="auto"/>
              <w:ind w:right="139"/>
              <w:jc w:val="both"/>
              <w:rPr>
                <w:sz w:val="16"/>
                <w:szCs w:val="16"/>
              </w:rPr>
            </w:pPr>
            <w:r w:rsidRPr="003B65C2">
              <w:rPr>
                <w:color w:val="231F20"/>
                <w:sz w:val="16"/>
                <w:szCs w:val="16"/>
              </w:rPr>
              <w:t>Community members on the Mallee CMA Land and</w:t>
            </w:r>
            <w:r w:rsidRPr="003B65C2">
              <w:rPr>
                <w:color w:val="231F20"/>
                <w:spacing w:val="-15"/>
                <w:sz w:val="16"/>
                <w:szCs w:val="16"/>
              </w:rPr>
              <w:t xml:space="preserve"> </w:t>
            </w:r>
            <w:r w:rsidRPr="003B65C2">
              <w:rPr>
                <w:color w:val="231F20"/>
                <w:spacing w:val="-3"/>
                <w:sz w:val="16"/>
                <w:szCs w:val="16"/>
              </w:rPr>
              <w:t xml:space="preserve">Water </w:t>
            </w:r>
            <w:r w:rsidRPr="003B65C2">
              <w:rPr>
                <w:color w:val="231F20"/>
                <w:sz w:val="16"/>
                <w:szCs w:val="16"/>
              </w:rPr>
              <w:t>Advisory</w:t>
            </w:r>
            <w:r w:rsidRPr="003B65C2">
              <w:rPr>
                <w:color w:val="231F20"/>
                <w:spacing w:val="-1"/>
                <w:sz w:val="16"/>
                <w:szCs w:val="16"/>
              </w:rPr>
              <w:t xml:space="preserve"> </w:t>
            </w:r>
            <w:r w:rsidRPr="003B65C2">
              <w:rPr>
                <w:color w:val="231F20"/>
                <w:sz w:val="16"/>
                <w:szCs w:val="16"/>
              </w:rPr>
              <w:t>Committee</w:t>
            </w:r>
          </w:p>
          <w:p w:rsidR="003B65C2" w:rsidRPr="003B65C2" w:rsidRDefault="003B65C2" w:rsidP="003B65C2">
            <w:pPr>
              <w:pStyle w:val="TableParagraph"/>
              <w:numPr>
                <w:ilvl w:val="0"/>
                <w:numId w:val="540"/>
              </w:numPr>
              <w:tabs>
                <w:tab w:val="left" w:pos="305"/>
              </w:tabs>
              <w:spacing w:before="87"/>
              <w:jc w:val="both"/>
              <w:rPr>
                <w:sz w:val="16"/>
                <w:szCs w:val="16"/>
              </w:rPr>
            </w:pPr>
            <w:r w:rsidRPr="003B65C2">
              <w:rPr>
                <w:color w:val="231F20"/>
                <w:sz w:val="16"/>
                <w:szCs w:val="16"/>
              </w:rPr>
              <w:t>Local Landcare</w:t>
            </w:r>
            <w:r w:rsidRPr="003B65C2">
              <w:rPr>
                <w:color w:val="231F20"/>
                <w:spacing w:val="-19"/>
                <w:sz w:val="16"/>
                <w:szCs w:val="16"/>
              </w:rPr>
              <w:t xml:space="preserve"> </w:t>
            </w:r>
            <w:r w:rsidRPr="003B65C2">
              <w:rPr>
                <w:color w:val="231F20"/>
                <w:sz w:val="16"/>
                <w:szCs w:val="16"/>
              </w:rPr>
              <w:t>groups</w:t>
            </w:r>
          </w:p>
          <w:p w:rsidR="003B65C2" w:rsidRPr="003B65C2" w:rsidRDefault="003B65C2" w:rsidP="003B65C2">
            <w:pPr>
              <w:pStyle w:val="TableParagraph"/>
              <w:numPr>
                <w:ilvl w:val="0"/>
                <w:numId w:val="540"/>
              </w:numPr>
              <w:tabs>
                <w:tab w:val="left" w:pos="305"/>
              </w:tabs>
              <w:spacing w:before="98"/>
              <w:jc w:val="both"/>
              <w:rPr>
                <w:sz w:val="16"/>
                <w:szCs w:val="16"/>
              </w:rPr>
            </w:pPr>
            <w:r w:rsidRPr="003B65C2">
              <w:rPr>
                <w:color w:val="231F20"/>
                <w:sz w:val="16"/>
                <w:szCs w:val="16"/>
              </w:rPr>
              <w:t>Mid-Murray Field</w:t>
            </w:r>
            <w:r w:rsidRPr="003B65C2">
              <w:rPr>
                <w:color w:val="231F20"/>
                <w:spacing w:val="-4"/>
                <w:sz w:val="16"/>
                <w:szCs w:val="16"/>
              </w:rPr>
              <w:t xml:space="preserve"> </w:t>
            </w:r>
            <w:r w:rsidRPr="003B65C2">
              <w:rPr>
                <w:color w:val="231F20"/>
                <w:sz w:val="16"/>
                <w:szCs w:val="16"/>
              </w:rPr>
              <w:t>Naturalists</w:t>
            </w:r>
          </w:p>
        </w:tc>
        <w:tc>
          <w:tcPr>
            <w:tcW w:w="2750" w:type="dxa"/>
            <w:tcBorders>
              <w:top w:val="nil"/>
              <w:left w:val="single" w:sz="4" w:space="0" w:color="231F20"/>
              <w:bottom w:val="single" w:sz="4" w:space="0" w:color="231F20"/>
              <w:right w:val="single" w:sz="4" w:space="0" w:color="231F20"/>
            </w:tcBorders>
          </w:tcPr>
          <w:p w:rsidR="003B65C2" w:rsidRPr="003B65C2" w:rsidRDefault="003B65C2" w:rsidP="003B65C2">
            <w:pPr>
              <w:pStyle w:val="TableParagraph"/>
              <w:spacing w:before="74"/>
              <w:ind w:left="84"/>
              <w:jc w:val="both"/>
              <w:rPr>
                <w:b/>
                <w:bCs/>
                <w:sz w:val="16"/>
                <w:szCs w:val="16"/>
              </w:rPr>
            </w:pPr>
            <w:r w:rsidRPr="003B65C2">
              <w:rPr>
                <w:b/>
                <w:bCs/>
                <w:color w:val="231F20"/>
                <w:sz w:val="16"/>
                <w:szCs w:val="16"/>
              </w:rPr>
              <w:t>IAP2 level: Inform</w:t>
            </w:r>
          </w:p>
          <w:p w:rsidR="003B65C2" w:rsidRPr="003B65C2" w:rsidRDefault="003B65C2" w:rsidP="003B65C2">
            <w:pPr>
              <w:pStyle w:val="TableParagraph"/>
              <w:numPr>
                <w:ilvl w:val="0"/>
                <w:numId w:val="539"/>
              </w:numPr>
              <w:tabs>
                <w:tab w:val="left" w:pos="305"/>
              </w:tabs>
              <w:spacing w:before="74"/>
              <w:ind w:hanging="218"/>
              <w:jc w:val="both"/>
              <w:rPr>
                <w:sz w:val="16"/>
                <w:szCs w:val="16"/>
              </w:rPr>
            </w:pPr>
            <w:r w:rsidRPr="003B65C2">
              <w:rPr>
                <w:color w:val="231F20"/>
                <w:sz w:val="16"/>
                <w:szCs w:val="16"/>
              </w:rPr>
              <w:t>OzFish</w:t>
            </w:r>
            <w:r w:rsidRPr="003B65C2">
              <w:rPr>
                <w:color w:val="231F20"/>
                <w:spacing w:val="-1"/>
                <w:sz w:val="16"/>
                <w:szCs w:val="16"/>
              </w:rPr>
              <w:t xml:space="preserve"> </w:t>
            </w:r>
            <w:r w:rsidRPr="003B65C2">
              <w:rPr>
                <w:color w:val="231F20"/>
                <w:sz w:val="16"/>
                <w:szCs w:val="16"/>
              </w:rPr>
              <w:t>Unlimited</w:t>
            </w:r>
          </w:p>
          <w:p w:rsidR="003B65C2" w:rsidRPr="003B65C2" w:rsidRDefault="003B65C2" w:rsidP="003B65C2">
            <w:pPr>
              <w:pStyle w:val="TableParagraph"/>
              <w:numPr>
                <w:ilvl w:val="0"/>
                <w:numId w:val="539"/>
              </w:numPr>
              <w:tabs>
                <w:tab w:val="left" w:pos="305"/>
              </w:tabs>
              <w:spacing w:before="98" w:line="254" w:lineRule="auto"/>
              <w:ind w:right="139"/>
              <w:jc w:val="both"/>
              <w:rPr>
                <w:sz w:val="16"/>
                <w:szCs w:val="16"/>
              </w:rPr>
            </w:pPr>
            <w:r w:rsidRPr="003B65C2">
              <w:rPr>
                <w:color w:val="231F20"/>
                <w:sz w:val="16"/>
                <w:szCs w:val="16"/>
              </w:rPr>
              <w:t>Community members on the Mallee CMA Land and</w:t>
            </w:r>
            <w:r w:rsidRPr="003B65C2">
              <w:rPr>
                <w:color w:val="231F20"/>
                <w:spacing w:val="-15"/>
                <w:sz w:val="16"/>
                <w:szCs w:val="16"/>
              </w:rPr>
              <w:t xml:space="preserve"> </w:t>
            </w:r>
            <w:r w:rsidRPr="003B65C2">
              <w:rPr>
                <w:color w:val="231F20"/>
                <w:spacing w:val="-3"/>
                <w:sz w:val="16"/>
                <w:szCs w:val="16"/>
              </w:rPr>
              <w:t xml:space="preserve">Water </w:t>
            </w:r>
            <w:r w:rsidRPr="003B65C2">
              <w:rPr>
                <w:color w:val="231F20"/>
                <w:sz w:val="16"/>
                <w:szCs w:val="16"/>
              </w:rPr>
              <w:t>Advisory</w:t>
            </w:r>
            <w:r w:rsidRPr="003B65C2">
              <w:rPr>
                <w:color w:val="231F20"/>
                <w:spacing w:val="-1"/>
                <w:sz w:val="16"/>
                <w:szCs w:val="16"/>
              </w:rPr>
              <w:t xml:space="preserve"> </w:t>
            </w:r>
            <w:r w:rsidRPr="003B65C2">
              <w:rPr>
                <w:color w:val="231F20"/>
                <w:sz w:val="16"/>
                <w:szCs w:val="16"/>
              </w:rPr>
              <w:t>Committee</w:t>
            </w:r>
          </w:p>
          <w:p w:rsidR="003B65C2" w:rsidRPr="003B65C2" w:rsidRDefault="003B65C2" w:rsidP="003B65C2">
            <w:pPr>
              <w:pStyle w:val="TableParagraph"/>
              <w:numPr>
                <w:ilvl w:val="0"/>
                <w:numId w:val="539"/>
              </w:numPr>
              <w:tabs>
                <w:tab w:val="left" w:pos="305"/>
              </w:tabs>
              <w:spacing w:before="87"/>
              <w:ind w:hanging="218"/>
              <w:jc w:val="both"/>
              <w:rPr>
                <w:sz w:val="16"/>
                <w:szCs w:val="16"/>
              </w:rPr>
            </w:pPr>
            <w:r w:rsidRPr="003B65C2">
              <w:rPr>
                <w:color w:val="231F20"/>
                <w:sz w:val="16"/>
                <w:szCs w:val="16"/>
              </w:rPr>
              <w:t>Local Landcare</w:t>
            </w:r>
            <w:r w:rsidRPr="003B65C2">
              <w:rPr>
                <w:color w:val="231F20"/>
                <w:spacing w:val="-19"/>
                <w:sz w:val="16"/>
                <w:szCs w:val="16"/>
              </w:rPr>
              <w:t xml:space="preserve"> </w:t>
            </w:r>
            <w:r w:rsidRPr="003B65C2">
              <w:rPr>
                <w:color w:val="231F20"/>
                <w:sz w:val="16"/>
                <w:szCs w:val="16"/>
              </w:rPr>
              <w:t>groups</w:t>
            </w:r>
          </w:p>
        </w:tc>
      </w:tr>
      <w:tr w:rsidR="006A7A3F" w:rsidTr="003B65C2">
        <w:trPr>
          <w:trHeight w:val="1880"/>
        </w:trPr>
        <w:tc>
          <w:tcPr>
            <w:tcW w:w="195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Government agencies</w:t>
            </w:r>
          </w:p>
        </w:tc>
        <w:tc>
          <w:tcPr>
            <w:tcW w:w="2750" w:type="dxa"/>
            <w:tcBorders>
              <w:top w:val="nil"/>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Collaborate</w:t>
            </w:r>
          </w:p>
          <w:p w:rsidR="006A7A3F" w:rsidRPr="003B65C2" w:rsidRDefault="00BC7372">
            <w:pPr>
              <w:pStyle w:val="TableParagraph"/>
              <w:numPr>
                <w:ilvl w:val="0"/>
                <w:numId w:val="538"/>
              </w:numPr>
              <w:tabs>
                <w:tab w:val="left" w:pos="305"/>
              </w:tabs>
              <w:spacing w:before="74" w:line="254" w:lineRule="auto"/>
              <w:ind w:right="238"/>
              <w:rPr>
                <w:sz w:val="16"/>
                <w:szCs w:val="16"/>
              </w:rPr>
            </w:pPr>
            <w:r w:rsidRPr="003B65C2">
              <w:rPr>
                <w:color w:val="231F20"/>
                <w:sz w:val="16"/>
                <w:szCs w:val="16"/>
              </w:rPr>
              <w:t>Commonwealth Environmental Water</w:t>
            </w:r>
            <w:r w:rsidRPr="003B65C2">
              <w:rPr>
                <w:color w:val="231F20"/>
                <w:spacing w:val="-20"/>
                <w:sz w:val="16"/>
                <w:szCs w:val="16"/>
              </w:rPr>
              <w:t xml:space="preserve"> </w:t>
            </w:r>
            <w:r w:rsidRPr="003B65C2">
              <w:rPr>
                <w:color w:val="231F20"/>
                <w:sz w:val="16"/>
                <w:szCs w:val="16"/>
              </w:rPr>
              <w:t>Office</w:t>
            </w:r>
          </w:p>
          <w:p w:rsidR="006A7A3F" w:rsidRPr="003B65C2" w:rsidRDefault="00BC7372">
            <w:pPr>
              <w:pStyle w:val="TableParagraph"/>
              <w:numPr>
                <w:ilvl w:val="0"/>
                <w:numId w:val="538"/>
              </w:numPr>
              <w:tabs>
                <w:tab w:val="left" w:pos="305"/>
              </w:tabs>
              <w:spacing w:before="86" w:line="254" w:lineRule="auto"/>
              <w:ind w:right="232"/>
              <w:rPr>
                <w:sz w:val="16"/>
                <w:szCs w:val="16"/>
              </w:rPr>
            </w:pPr>
            <w:r w:rsidRPr="003B65C2">
              <w:rPr>
                <w:color w:val="231F20"/>
                <w:sz w:val="16"/>
                <w:szCs w:val="16"/>
              </w:rPr>
              <w:t>Murray-Darling Basin Authority (the Living Murray program)</w:t>
            </w:r>
          </w:p>
          <w:p w:rsidR="006A7A3F" w:rsidRPr="003B65C2" w:rsidRDefault="00BC7372">
            <w:pPr>
              <w:pStyle w:val="TableParagraph"/>
              <w:numPr>
                <w:ilvl w:val="0"/>
                <w:numId w:val="538"/>
              </w:numPr>
              <w:tabs>
                <w:tab w:val="left" w:pos="305"/>
              </w:tabs>
              <w:spacing w:before="87"/>
              <w:rPr>
                <w:sz w:val="16"/>
                <w:szCs w:val="16"/>
              </w:rPr>
            </w:pPr>
            <w:r w:rsidRPr="003B65C2">
              <w:rPr>
                <w:color w:val="231F20"/>
                <w:sz w:val="16"/>
                <w:szCs w:val="16"/>
              </w:rPr>
              <w:t>Parks</w:t>
            </w:r>
            <w:r w:rsidRPr="003B65C2">
              <w:rPr>
                <w:color w:val="231F20"/>
                <w:spacing w:val="-1"/>
                <w:sz w:val="16"/>
                <w:szCs w:val="16"/>
              </w:rPr>
              <w:t xml:space="preserve"> </w:t>
            </w:r>
            <w:r w:rsidRPr="003B65C2">
              <w:rPr>
                <w:color w:val="231F20"/>
                <w:sz w:val="16"/>
                <w:szCs w:val="16"/>
              </w:rPr>
              <w:t>Victoria</w:t>
            </w:r>
          </w:p>
        </w:tc>
        <w:tc>
          <w:tcPr>
            <w:tcW w:w="2750" w:type="dxa"/>
            <w:vMerge w:val="restart"/>
            <w:tcBorders>
              <w:top w:val="nil"/>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Collaborate</w:t>
            </w:r>
          </w:p>
          <w:p w:rsidR="006A7A3F" w:rsidRPr="003B65C2" w:rsidRDefault="00BC7372">
            <w:pPr>
              <w:pStyle w:val="TableParagraph"/>
              <w:numPr>
                <w:ilvl w:val="0"/>
                <w:numId w:val="537"/>
              </w:numPr>
              <w:tabs>
                <w:tab w:val="left" w:pos="305"/>
              </w:tabs>
              <w:spacing w:before="74"/>
              <w:rPr>
                <w:sz w:val="16"/>
                <w:szCs w:val="16"/>
              </w:rPr>
            </w:pPr>
            <w:r w:rsidRPr="003B65C2">
              <w:rPr>
                <w:color w:val="231F20"/>
                <w:sz w:val="16"/>
                <w:szCs w:val="16"/>
              </w:rPr>
              <w:t xml:space="preserve">Goulburn-Murray </w:t>
            </w:r>
            <w:r w:rsidRPr="003B65C2">
              <w:rPr>
                <w:color w:val="231F20"/>
                <w:spacing w:val="-3"/>
                <w:sz w:val="16"/>
                <w:szCs w:val="16"/>
              </w:rPr>
              <w:t>Water</w:t>
            </w:r>
          </w:p>
          <w:p w:rsidR="006A7A3F" w:rsidRPr="003B65C2" w:rsidRDefault="00BC7372">
            <w:pPr>
              <w:pStyle w:val="TableParagraph"/>
              <w:numPr>
                <w:ilvl w:val="0"/>
                <w:numId w:val="537"/>
              </w:numPr>
              <w:tabs>
                <w:tab w:val="left" w:pos="305"/>
              </w:tabs>
              <w:spacing w:before="98"/>
              <w:rPr>
                <w:sz w:val="16"/>
                <w:szCs w:val="16"/>
              </w:rPr>
            </w:pPr>
            <w:r w:rsidRPr="003B65C2">
              <w:rPr>
                <w:color w:val="231F20"/>
                <w:sz w:val="16"/>
                <w:szCs w:val="16"/>
              </w:rPr>
              <w:t>Parks</w:t>
            </w:r>
            <w:r w:rsidRPr="003B65C2">
              <w:rPr>
                <w:color w:val="231F20"/>
                <w:spacing w:val="-1"/>
                <w:sz w:val="16"/>
                <w:szCs w:val="16"/>
              </w:rPr>
              <w:t xml:space="preserve"> </w:t>
            </w:r>
            <w:r w:rsidRPr="003B65C2">
              <w:rPr>
                <w:color w:val="231F20"/>
                <w:sz w:val="16"/>
                <w:szCs w:val="16"/>
              </w:rPr>
              <w:t>Victoria</w:t>
            </w:r>
          </w:p>
        </w:tc>
        <w:tc>
          <w:tcPr>
            <w:tcW w:w="2750" w:type="dxa"/>
            <w:vMerge w:val="restart"/>
            <w:tcBorders>
              <w:top w:val="nil"/>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Collaborate</w:t>
            </w:r>
          </w:p>
          <w:p w:rsidR="006A7A3F" w:rsidRPr="003B65C2" w:rsidRDefault="00BC7372">
            <w:pPr>
              <w:pStyle w:val="TableParagraph"/>
              <w:numPr>
                <w:ilvl w:val="0"/>
                <w:numId w:val="536"/>
              </w:numPr>
              <w:tabs>
                <w:tab w:val="left" w:pos="305"/>
              </w:tabs>
              <w:spacing w:before="74" w:line="254" w:lineRule="auto"/>
              <w:ind w:right="239"/>
              <w:rPr>
                <w:sz w:val="16"/>
                <w:szCs w:val="16"/>
              </w:rPr>
            </w:pPr>
            <w:r w:rsidRPr="003B65C2">
              <w:rPr>
                <w:color w:val="231F20"/>
                <w:sz w:val="16"/>
                <w:szCs w:val="16"/>
              </w:rPr>
              <w:t>Commonwealth Environmental Water</w:t>
            </w:r>
            <w:r w:rsidRPr="003B65C2">
              <w:rPr>
                <w:color w:val="231F20"/>
                <w:spacing w:val="-6"/>
                <w:sz w:val="16"/>
                <w:szCs w:val="16"/>
              </w:rPr>
              <w:t xml:space="preserve"> </w:t>
            </w:r>
            <w:r w:rsidRPr="003B65C2">
              <w:rPr>
                <w:color w:val="231F20"/>
                <w:spacing w:val="-3"/>
                <w:sz w:val="16"/>
                <w:szCs w:val="16"/>
              </w:rPr>
              <w:t>Office</w:t>
            </w:r>
          </w:p>
          <w:p w:rsidR="006A7A3F" w:rsidRPr="003B65C2" w:rsidRDefault="00BC7372">
            <w:pPr>
              <w:pStyle w:val="TableParagraph"/>
              <w:numPr>
                <w:ilvl w:val="0"/>
                <w:numId w:val="536"/>
              </w:numPr>
              <w:tabs>
                <w:tab w:val="left" w:pos="305"/>
              </w:tabs>
              <w:spacing w:before="86" w:line="254" w:lineRule="auto"/>
              <w:ind w:right="233"/>
              <w:rPr>
                <w:sz w:val="16"/>
                <w:szCs w:val="16"/>
              </w:rPr>
            </w:pPr>
            <w:r w:rsidRPr="003B65C2">
              <w:rPr>
                <w:color w:val="231F20"/>
                <w:sz w:val="16"/>
                <w:szCs w:val="16"/>
              </w:rPr>
              <w:t>Murray-Darling Basin Authority (the Living Murray program)</w:t>
            </w:r>
          </w:p>
          <w:p w:rsidR="006A7A3F" w:rsidRPr="003B65C2" w:rsidRDefault="00BC7372">
            <w:pPr>
              <w:pStyle w:val="TableParagraph"/>
              <w:numPr>
                <w:ilvl w:val="0"/>
                <w:numId w:val="536"/>
              </w:numPr>
              <w:tabs>
                <w:tab w:val="left" w:pos="305"/>
              </w:tabs>
              <w:spacing w:before="87" w:line="254" w:lineRule="auto"/>
              <w:ind w:right="74"/>
              <w:rPr>
                <w:sz w:val="16"/>
                <w:szCs w:val="16"/>
              </w:rPr>
            </w:pPr>
            <w:r w:rsidRPr="003B65C2">
              <w:rPr>
                <w:color w:val="231F20"/>
                <w:sz w:val="16"/>
                <w:szCs w:val="16"/>
              </w:rPr>
              <w:t>NSW Department of</w:t>
            </w:r>
            <w:r w:rsidRPr="003B65C2">
              <w:rPr>
                <w:color w:val="231F20"/>
                <w:spacing w:val="-13"/>
                <w:sz w:val="16"/>
                <w:szCs w:val="16"/>
              </w:rPr>
              <w:t xml:space="preserve"> </w:t>
            </w:r>
            <w:r w:rsidRPr="003B65C2">
              <w:rPr>
                <w:color w:val="231F20"/>
                <w:sz w:val="16"/>
                <w:szCs w:val="16"/>
              </w:rPr>
              <w:t>Planning Industry and</w:t>
            </w:r>
            <w:r w:rsidRPr="003B65C2">
              <w:rPr>
                <w:color w:val="231F20"/>
                <w:spacing w:val="-2"/>
                <w:sz w:val="16"/>
                <w:szCs w:val="16"/>
              </w:rPr>
              <w:t xml:space="preserve"> </w:t>
            </w:r>
            <w:r w:rsidRPr="003B65C2">
              <w:rPr>
                <w:color w:val="231F20"/>
                <w:sz w:val="16"/>
                <w:szCs w:val="16"/>
              </w:rPr>
              <w:t>Environment</w:t>
            </w:r>
          </w:p>
          <w:p w:rsidR="006A7A3F" w:rsidRPr="003B65C2" w:rsidRDefault="00BC7372">
            <w:pPr>
              <w:pStyle w:val="TableParagraph"/>
              <w:numPr>
                <w:ilvl w:val="0"/>
                <w:numId w:val="536"/>
              </w:numPr>
              <w:tabs>
                <w:tab w:val="left" w:pos="305"/>
              </w:tabs>
              <w:spacing w:before="86"/>
              <w:ind w:hanging="218"/>
              <w:rPr>
                <w:sz w:val="16"/>
                <w:szCs w:val="16"/>
              </w:rPr>
            </w:pPr>
            <w:r w:rsidRPr="003B65C2">
              <w:rPr>
                <w:color w:val="231F20"/>
                <w:sz w:val="16"/>
                <w:szCs w:val="16"/>
              </w:rPr>
              <w:t>Parks</w:t>
            </w:r>
            <w:r w:rsidRPr="003B65C2">
              <w:rPr>
                <w:color w:val="231F20"/>
                <w:spacing w:val="-1"/>
                <w:sz w:val="16"/>
                <w:szCs w:val="16"/>
              </w:rPr>
              <w:t xml:space="preserve"> </w:t>
            </w:r>
            <w:r w:rsidRPr="003B65C2">
              <w:rPr>
                <w:color w:val="231F20"/>
                <w:sz w:val="16"/>
                <w:szCs w:val="16"/>
              </w:rPr>
              <w:t>Victoria</w:t>
            </w:r>
          </w:p>
          <w:p w:rsidR="006A7A3F" w:rsidRPr="003B65C2" w:rsidRDefault="00BC7372">
            <w:pPr>
              <w:pStyle w:val="TableParagraph"/>
              <w:numPr>
                <w:ilvl w:val="0"/>
                <w:numId w:val="536"/>
              </w:numPr>
              <w:tabs>
                <w:tab w:val="left" w:pos="305"/>
              </w:tabs>
              <w:spacing w:before="98"/>
              <w:ind w:hanging="218"/>
              <w:rPr>
                <w:sz w:val="16"/>
                <w:szCs w:val="16"/>
              </w:rPr>
            </w:pPr>
            <w:r w:rsidRPr="003B65C2">
              <w:rPr>
                <w:color w:val="231F20"/>
                <w:sz w:val="16"/>
                <w:szCs w:val="16"/>
              </w:rPr>
              <w:t>SA</w:t>
            </w:r>
            <w:r w:rsidRPr="003B65C2">
              <w:rPr>
                <w:color w:val="231F20"/>
                <w:spacing w:val="-10"/>
                <w:sz w:val="16"/>
                <w:szCs w:val="16"/>
              </w:rPr>
              <w:t xml:space="preserve"> </w:t>
            </w:r>
            <w:r w:rsidRPr="003B65C2">
              <w:rPr>
                <w:color w:val="231F20"/>
                <w:spacing w:val="-3"/>
                <w:sz w:val="16"/>
                <w:szCs w:val="16"/>
              </w:rPr>
              <w:t>Water</w:t>
            </w:r>
          </w:p>
        </w:tc>
      </w:tr>
      <w:tr w:rsidR="006A7A3F" w:rsidTr="003B65C2">
        <w:trPr>
          <w:trHeight w:val="820"/>
        </w:trPr>
        <w:tc>
          <w:tcPr>
            <w:tcW w:w="195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Consult</w:t>
            </w:r>
          </w:p>
          <w:p w:rsidR="006A7A3F" w:rsidRPr="003B65C2" w:rsidRDefault="00BC7372">
            <w:pPr>
              <w:pStyle w:val="TableParagraph"/>
              <w:numPr>
                <w:ilvl w:val="0"/>
                <w:numId w:val="535"/>
              </w:numPr>
              <w:tabs>
                <w:tab w:val="left" w:pos="305"/>
              </w:tabs>
              <w:spacing w:before="74"/>
              <w:rPr>
                <w:sz w:val="16"/>
                <w:szCs w:val="16"/>
              </w:rPr>
            </w:pPr>
            <w:r w:rsidRPr="003B65C2">
              <w:rPr>
                <w:color w:val="231F20"/>
                <w:sz w:val="16"/>
                <w:szCs w:val="16"/>
              </w:rPr>
              <w:t xml:space="preserve">Goulburn-Murray </w:t>
            </w:r>
            <w:r w:rsidRPr="003B65C2">
              <w:rPr>
                <w:color w:val="231F20"/>
                <w:spacing w:val="-3"/>
                <w:sz w:val="16"/>
                <w:szCs w:val="16"/>
              </w:rPr>
              <w:t>Water</w:t>
            </w:r>
          </w:p>
        </w:tc>
        <w:tc>
          <w:tcPr>
            <w:tcW w:w="2750"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c>
          <w:tcPr>
            <w:tcW w:w="2750"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r>
      <w:tr w:rsidR="006A7A3F" w:rsidTr="003B65C2">
        <w:trPr>
          <w:trHeight w:val="3235"/>
        </w:trPr>
        <w:tc>
          <w:tcPr>
            <w:tcW w:w="195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w:t>
            </w:r>
            <w:r w:rsidRPr="003B65C2">
              <w:rPr>
                <w:b/>
                <w:bCs/>
                <w:color w:val="231F20"/>
                <w:spacing w:val="-6"/>
                <w:sz w:val="16"/>
                <w:szCs w:val="16"/>
              </w:rPr>
              <w:t xml:space="preserve"> </w:t>
            </w:r>
            <w:r w:rsidRPr="003B65C2">
              <w:rPr>
                <w:b/>
                <w:bCs/>
                <w:color w:val="231F20"/>
                <w:sz w:val="16"/>
                <w:szCs w:val="16"/>
              </w:rPr>
              <w:t>Inform</w:t>
            </w:r>
          </w:p>
          <w:p w:rsidR="006A7A3F" w:rsidRPr="003B65C2" w:rsidRDefault="00BC7372">
            <w:pPr>
              <w:pStyle w:val="TableParagraph"/>
              <w:numPr>
                <w:ilvl w:val="0"/>
                <w:numId w:val="534"/>
              </w:numPr>
              <w:tabs>
                <w:tab w:val="left" w:pos="305"/>
              </w:tabs>
              <w:spacing w:before="74" w:line="254" w:lineRule="auto"/>
              <w:ind w:right="232"/>
              <w:rPr>
                <w:sz w:val="16"/>
                <w:szCs w:val="16"/>
              </w:rPr>
            </w:pPr>
            <w:r w:rsidRPr="003B65C2">
              <w:rPr>
                <w:color w:val="231F20"/>
                <w:sz w:val="16"/>
                <w:szCs w:val="16"/>
              </w:rPr>
              <w:t>Department of Environment Land, Water and Planning (Fire Forest and</w:t>
            </w:r>
            <w:r w:rsidRPr="003B65C2">
              <w:rPr>
                <w:color w:val="231F20"/>
                <w:spacing w:val="-6"/>
                <w:sz w:val="16"/>
                <w:szCs w:val="16"/>
              </w:rPr>
              <w:t xml:space="preserve"> </w:t>
            </w:r>
            <w:r w:rsidRPr="003B65C2">
              <w:rPr>
                <w:color w:val="231F20"/>
                <w:sz w:val="16"/>
                <w:szCs w:val="16"/>
              </w:rPr>
              <w:t>Regions)</w:t>
            </w:r>
          </w:p>
          <w:p w:rsidR="006A7A3F" w:rsidRPr="003B65C2" w:rsidRDefault="00BC7372">
            <w:pPr>
              <w:pStyle w:val="TableParagraph"/>
              <w:numPr>
                <w:ilvl w:val="0"/>
                <w:numId w:val="534"/>
              </w:numPr>
              <w:tabs>
                <w:tab w:val="left" w:pos="305"/>
              </w:tabs>
              <w:spacing w:before="87" w:line="254" w:lineRule="auto"/>
              <w:ind w:right="232"/>
              <w:rPr>
                <w:sz w:val="16"/>
                <w:szCs w:val="16"/>
              </w:rPr>
            </w:pPr>
            <w:r w:rsidRPr="003B65C2">
              <w:rPr>
                <w:color w:val="231F20"/>
                <w:sz w:val="16"/>
                <w:szCs w:val="16"/>
              </w:rPr>
              <w:t>Department of Environment Land, Water and Planning (Water and</w:t>
            </w:r>
            <w:r w:rsidRPr="003B65C2">
              <w:rPr>
                <w:color w:val="231F20"/>
                <w:spacing w:val="-9"/>
                <w:sz w:val="16"/>
                <w:szCs w:val="16"/>
              </w:rPr>
              <w:t xml:space="preserve"> </w:t>
            </w:r>
            <w:r w:rsidRPr="003B65C2">
              <w:rPr>
                <w:color w:val="231F20"/>
                <w:sz w:val="16"/>
                <w:szCs w:val="16"/>
              </w:rPr>
              <w:t>Catchments)</w:t>
            </w:r>
          </w:p>
          <w:p w:rsidR="006A7A3F" w:rsidRPr="003B65C2" w:rsidRDefault="00BC7372">
            <w:pPr>
              <w:pStyle w:val="TableParagraph"/>
              <w:numPr>
                <w:ilvl w:val="0"/>
                <w:numId w:val="534"/>
              </w:numPr>
              <w:tabs>
                <w:tab w:val="left" w:pos="305"/>
              </w:tabs>
              <w:spacing w:before="87"/>
              <w:rPr>
                <w:sz w:val="16"/>
                <w:szCs w:val="16"/>
              </w:rPr>
            </w:pPr>
            <w:r w:rsidRPr="003B65C2">
              <w:rPr>
                <w:color w:val="231F20"/>
                <w:sz w:val="16"/>
                <w:szCs w:val="16"/>
              </w:rPr>
              <w:t>Mildura Rural City</w:t>
            </w:r>
            <w:r w:rsidRPr="003B65C2">
              <w:rPr>
                <w:color w:val="231F20"/>
                <w:spacing w:val="-6"/>
                <w:sz w:val="16"/>
                <w:szCs w:val="16"/>
              </w:rPr>
              <w:t xml:space="preserve"> </w:t>
            </w:r>
            <w:r w:rsidRPr="003B65C2">
              <w:rPr>
                <w:color w:val="231F20"/>
                <w:sz w:val="16"/>
                <w:szCs w:val="16"/>
              </w:rPr>
              <w:t>Council</w:t>
            </w: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w:t>
            </w:r>
            <w:r w:rsidRPr="003B65C2">
              <w:rPr>
                <w:b/>
                <w:bCs/>
                <w:color w:val="231F20"/>
                <w:spacing w:val="-6"/>
                <w:sz w:val="16"/>
                <w:szCs w:val="16"/>
              </w:rPr>
              <w:t xml:space="preserve"> </w:t>
            </w:r>
            <w:r w:rsidRPr="003B65C2">
              <w:rPr>
                <w:b/>
                <w:bCs/>
                <w:color w:val="231F20"/>
                <w:sz w:val="16"/>
                <w:szCs w:val="16"/>
              </w:rPr>
              <w:t>Inform</w:t>
            </w:r>
          </w:p>
          <w:p w:rsidR="006A7A3F" w:rsidRPr="003B65C2" w:rsidRDefault="00BC7372">
            <w:pPr>
              <w:pStyle w:val="TableParagraph"/>
              <w:numPr>
                <w:ilvl w:val="0"/>
                <w:numId w:val="533"/>
              </w:numPr>
              <w:tabs>
                <w:tab w:val="left" w:pos="305"/>
              </w:tabs>
              <w:spacing w:before="74" w:line="254" w:lineRule="auto"/>
              <w:ind w:right="233"/>
              <w:rPr>
                <w:sz w:val="16"/>
                <w:szCs w:val="16"/>
              </w:rPr>
            </w:pPr>
            <w:r w:rsidRPr="003B65C2">
              <w:rPr>
                <w:color w:val="231F20"/>
                <w:sz w:val="16"/>
                <w:szCs w:val="16"/>
              </w:rPr>
              <w:t>Department of</w:t>
            </w:r>
            <w:r w:rsidRPr="003B65C2">
              <w:rPr>
                <w:color w:val="231F20"/>
                <w:spacing w:val="-11"/>
                <w:sz w:val="16"/>
                <w:szCs w:val="16"/>
              </w:rPr>
              <w:t xml:space="preserve"> </w:t>
            </w:r>
            <w:r w:rsidRPr="003B65C2">
              <w:rPr>
                <w:color w:val="231F20"/>
                <w:sz w:val="16"/>
                <w:szCs w:val="16"/>
              </w:rPr>
              <w:t>Environment Land, Water and Planning (Fire Forest and</w:t>
            </w:r>
            <w:r w:rsidRPr="003B65C2">
              <w:rPr>
                <w:color w:val="231F20"/>
                <w:spacing w:val="-6"/>
                <w:sz w:val="16"/>
                <w:szCs w:val="16"/>
              </w:rPr>
              <w:t xml:space="preserve"> </w:t>
            </w:r>
            <w:r w:rsidRPr="003B65C2">
              <w:rPr>
                <w:color w:val="231F20"/>
                <w:sz w:val="16"/>
                <w:szCs w:val="16"/>
              </w:rPr>
              <w:t>Regions)</w:t>
            </w:r>
          </w:p>
          <w:p w:rsidR="006A7A3F" w:rsidRPr="003B65C2" w:rsidRDefault="00BC7372">
            <w:pPr>
              <w:pStyle w:val="TableParagraph"/>
              <w:numPr>
                <w:ilvl w:val="0"/>
                <w:numId w:val="533"/>
              </w:numPr>
              <w:tabs>
                <w:tab w:val="left" w:pos="305"/>
              </w:tabs>
              <w:spacing w:before="87" w:line="254" w:lineRule="auto"/>
              <w:ind w:right="233"/>
              <w:rPr>
                <w:sz w:val="16"/>
                <w:szCs w:val="16"/>
              </w:rPr>
            </w:pPr>
            <w:r w:rsidRPr="003B65C2">
              <w:rPr>
                <w:color w:val="231F20"/>
                <w:sz w:val="16"/>
                <w:szCs w:val="16"/>
              </w:rPr>
              <w:t>Department of</w:t>
            </w:r>
            <w:r w:rsidRPr="003B65C2">
              <w:rPr>
                <w:color w:val="231F20"/>
                <w:spacing w:val="-11"/>
                <w:sz w:val="16"/>
                <w:szCs w:val="16"/>
              </w:rPr>
              <w:t xml:space="preserve"> </w:t>
            </w:r>
            <w:r w:rsidRPr="003B65C2">
              <w:rPr>
                <w:color w:val="231F20"/>
                <w:sz w:val="16"/>
                <w:szCs w:val="16"/>
              </w:rPr>
              <w:t>Environment Land, Water and Planning (Water and</w:t>
            </w:r>
            <w:r w:rsidRPr="003B65C2">
              <w:rPr>
                <w:color w:val="231F20"/>
                <w:spacing w:val="-9"/>
                <w:sz w:val="16"/>
                <w:szCs w:val="16"/>
              </w:rPr>
              <w:t xml:space="preserve"> </w:t>
            </w:r>
            <w:r w:rsidRPr="003B65C2">
              <w:rPr>
                <w:color w:val="231F20"/>
                <w:sz w:val="16"/>
                <w:szCs w:val="16"/>
              </w:rPr>
              <w:t>Catchments)</w:t>
            </w:r>
          </w:p>
          <w:p w:rsidR="006A7A3F" w:rsidRPr="003B65C2" w:rsidRDefault="00BC7372">
            <w:pPr>
              <w:pStyle w:val="TableParagraph"/>
              <w:numPr>
                <w:ilvl w:val="0"/>
                <w:numId w:val="533"/>
              </w:numPr>
              <w:tabs>
                <w:tab w:val="left" w:pos="305"/>
              </w:tabs>
              <w:spacing w:before="87"/>
              <w:rPr>
                <w:sz w:val="16"/>
                <w:szCs w:val="16"/>
              </w:rPr>
            </w:pPr>
            <w:r w:rsidRPr="003B65C2">
              <w:rPr>
                <w:color w:val="231F20"/>
                <w:sz w:val="16"/>
                <w:szCs w:val="16"/>
              </w:rPr>
              <w:t>Lower Murray</w:t>
            </w:r>
            <w:r w:rsidRPr="003B65C2">
              <w:rPr>
                <w:color w:val="231F20"/>
                <w:spacing w:val="-1"/>
                <w:sz w:val="16"/>
                <w:szCs w:val="16"/>
              </w:rPr>
              <w:t xml:space="preserve"> </w:t>
            </w:r>
            <w:r w:rsidRPr="003B65C2">
              <w:rPr>
                <w:color w:val="231F20"/>
                <w:spacing w:val="-3"/>
                <w:sz w:val="16"/>
                <w:szCs w:val="16"/>
              </w:rPr>
              <w:t>Water</w:t>
            </w:r>
          </w:p>
          <w:p w:rsidR="006A7A3F" w:rsidRPr="003B65C2" w:rsidRDefault="00BC7372">
            <w:pPr>
              <w:pStyle w:val="TableParagraph"/>
              <w:numPr>
                <w:ilvl w:val="0"/>
                <w:numId w:val="533"/>
              </w:numPr>
              <w:tabs>
                <w:tab w:val="left" w:pos="305"/>
              </w:tabs>
              <w:spacing w:before="98" w:line="254" w:lineRule="auto"/>
              <w:ind w:right="303"/>
              <w:rPr>
                <w:sz w:val="16"/>
                <w:szCs w:val="16"/>
              </w:rPr>
            </w:pPr>
            <w:r w:rsidRPr="003B65C2">
              <w:rPr>
                <w:color w:val="231F20"/>
                <w:sz w:val="16"/>
                <w:szCs w:val="16"/>
              </w:rPr>
              <w:t>Loddon Mallee Waste and Resource Recovery</w:t>
            </w:r>
            <w:r w:rsidRPr="003B65C2">
              <w:rPr>
                <w:color w:val="231F20"/>
                <w:spacing w:val="-14"/>
                <w:sz w:val="16"/>
                <w:szCs w:val="16"/>
              </w:rPr>
              <w:t xml:space="preserve"> </w:t>
            </w:r>
            <w:r w:rsidRPr="003B65C2">
              <w:rPr>
                <w:color w:val="231F20"/>
                <w:sz w:val="16"/>
                <w:szCs w:val="16"/>
              </w:rPr>
              <w:t>Group</w:t>
            </w:r>
          </w:p>
          <w:p w:rsidR="006A7A3F" w:rsidRPr="003B65C2" w:rsidRDefault="00BC7372">
            <w:pPr>
              <w:pStyle w:val="TableParagraph"/>
              <w:numPr>
                <w:ilvl w:val="0"/>
                <w:numId w:val="533"/>
              </w:numPr>
              <w:tabs>
                <w:tab w:val="left" w:pos="305"/>
              </w:tabs>
              <w:spacing w:before="86"/>
              <w:rPr>
                <w:sz w:val="16"/>
                <w:szCs w:val="16"/>
              </w:rPr>
            </w:pPr>
            <w:r w:rsidRPr="003B65C2">
              <w:rPr>
                <w:color w:val="231F20"/>
                <w:sz w:val="16"/>
                <w:szCs w:val="16"/>
              </w:rPr>
              <w:t>Mildura Rural City</w:t>
            </w:r>
            <w:r w:rsidRPr="003B65C2">
              <w:rPr>
                <w:color w:val="231F20"/>
                <w:spacing w:val="-6"/>
                <w:sz w:val="16"/>
                <w:szCs w:val="16"/>
              </w:rPr>
              <w:t xml:space="preserve"> </w:t>
            </w:r>
            <w:r w:rsidRPr="003B65C2">
              <w:rPr>
                <w:color w:val="231F20"/>
                <w:sz w:val="16"/>
                <w:szCs w:val="16"/>
              </w:rPr>
              <w:t>Council</w:t>
            </w:r>
          </w:p>
          <w:p w:rsidR="006A7A3F" w:rsidRPr="003B65C2" w:rsidRDefault="00BC7372">
            <w:pPr>
              <w:pStyle w:val="TableParagraph"/>
              <w:numPr>
                <w:ilvl w:val="0"/>
                <w:numId w:val="533"/>
              </w:numPr>
              <w:tabs>
                <w:tab w:val="left" w:pos="305"/>
              </w:tabs>
              <w:spacing w:before="98"/>
              <w:rPr>
                <w:sz w:val="16"/>
                <w:szCs w:val="16"/>
              </w:rPr>
            </w:pPr>
            <w:r w:rsidRPr="003B65C2">
              <w:rPr>
                <w:color w:val="231F20"/>
                <w:sz w:val="16"/>
                <w:szCs w:val="16"/>
              </w:rPr>
              <w:t>Swan Hill Rural City</w:t>
            </w:r>
            <w:r w:rsidRPr="003B65C2">
              <w:rPr>
                <w:color w:val="231F20"/>
                <w:spacing w:val="-12"/>
                <w:sz w:val="16"/>
                <w:szCs w:val="16"/>
              </w:rPr>
              <w:t xml:space="preserve"> </w:t>
            </w:r>
            <w:r w:rsidRPr="003B65C2">
              <w:rPr>
                <w:color w:val="231F20"/>
                <w:sz w:val="16"/>
                <w:szCs w:val="16"/>
              </w:rPr>
              <w:t>Council</w:t>
            </w: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w:t>
            </w:r>
            <w:r w:rsidRPr="003B65C2">
              <w:rPr>
                <w:b/>
                <w:bCs/>
                <w:color w:val="231F20"/>
                <w:spacing w:val="-6"/>
                <w:sz w:val="16"/>
                <w:szCs w:val="16"/>
              </w:rPr>
              <w:t xml:space="preserve"> </w:t>
            </w:r>
            <w:r w:rsidRPr="003B65C2">
              <w:rPr>
                <w:b/>
                <w:bCs/>
                <w:color w:val="231F20"/>
                <w:sz w:val="16"/>
                <w:szCs w:val="16"/>
              </w:rPr>
              <w:t>Inform</w:t>
            </w:r>
          </w:p>
          <w:p w:rsidR="006A7A3F" w:rsidRPr="003B65C2" w:rsidRDefault="00BC7372">
            <w:pPr>
              <w:pStyle w:val="TableParagraph"/>
              <w:numPr>
                <w:ilvl w:val="0"/>
                <w:numId w:val="532"/>
              </w:numPr>
              <w:tabs>
                <w:tab w:val="left" w:pos="305"/>
              </w:tabs>
              <w:spacing w:before="74" w:line="254" w:lineRule="auto"/>
              <w:ind w:right="233"/>
              <w:rPr>
                <w:sz w:val="16"/>
                <w:szCs w:val="16"/>
              </w:rPr>
            </w:pPr>
            <w:r w:rsidRPr="003B65C2">
              <w:rPr>
                <w:color w:val="231F20"/>
                <w:sz w:val="16"/>
                <w:szCs w:val="16"/>
              </w:rPr>
              <w:t>Department of</w:t>
            </w:r>
            <w:r w:rsidRPr="003B65C2">
              <w:rPr>
                <w:color w:val="231F20"/>
                <w:spacing w:val="-11"/>
                <w:sz w:val="16"/>
                <w:szCs w:val="16"/>
              </w:rPr>
              <w:t xml:space="preserve"> </w:t>
            </w:r>
            <w:r w:rsidRPr="003B65C2">
              <w:rPr>
                <w:color w:val="231F20"/>
                <w:sz w:val="16"/>
                <w:szCs w:val="16"/>
              </w:rPr>
              <w:t>Environment Land, Water and Planning (Fire Forest and</w:t>
            </w:r>
            <w:r w:rsidRPr="003B65C2">
              <w:rPr>
                <w:color w:val="231F20"/>
                <w:spacing w:val="-6"/>
                <w:sz w:val="16"/>
                <w:szCs w:val="16"/>
              </w:rPr>
              <w:t xml:space="preserve"> </w:t>
            </w:r>
            <w:r w:rsidRPr="003B65C2">
              <w:rPr>
                <w:color w:val="231F20"/>
                <w:sz w:val="16"/>
                <w:szCs w:val="16"/>
              </w:rPr>
              <w:t>Regions)</w:t>
            </w:r>
          </w:p>
          <w:p w:rsidR="006A7A3F" w:rsidRPr="003B65C2" w:rsidRDefault="00BC7372">
            <w:pPr>
              <w:pStyle w:val="TableParagraph"/>
              <w:numPr>
                <w:ilvl w:val="0"/>
                <w:numId w:val="532"/>
              </w:numPr>
              <w:tabs>
                <w:tab w:val="left" w:pos="305"/>
              </w:tabs>
              <w:spacing w:before="87" w:line="254" w:lineRule="auto"/>
              <w:ind w:right="233"/>
              <w:rPr>
                <w:sz w:val="16"/>
                <w:szCs w:val="16"/>
              </w:rPr>
            </w:pPr>
            <w:r w:rsidRPr="003B65C2">
              <w:rPr>
                <w:color w:val="231F20"/>
                <w:sz w:val="16"/>
                <w:szCs w:val="16"/>
              </w:rPr>
              <w:t>Department of</w:t>
            </w:r>
            <w:r w:rsidRPr="003B65C2">
              <w:rPr>
                <w:color w:val="231F20"/>
                <w:spacing w:val="-11"/>
                <w:sz w:val="16"/>
                <w:szCs w:val="16"/>
              </w:rPr>
              <w:t xml:space="preserve"> </w:t>
            </w:r>
            <w:r w:rsidRPr="003B65C2">
              <w:rPr>
                <w:color w:val="231F20"/>
                <w:sz w:val="16"/>
                <w:szCs w:val="16"/>
              </w:rPr>
              <w:t>Environment Land, Water and Planning (Water and</w:t>
            </w:r>
            <w:r w:rsidRPr="003B65C2">
              <w:rPr>
                <w:color w:val="231F20"/>
                <w:spacing w:val="-9"/>
                <w:sz w:val="16"/>
                <w:szCs w:val="16"/>
              </w:rPr>
              <w:t xml:space="preserve"> </w:t>
            </w:r>
            <w:r w:rsidRPr="003B65C2">
              <w:rPr>
                <w:color w:val="231F20"/>
                <w:sz w:val="16"/>
                <w:szCs w:val="16"/>
              </w:rPr>
              <w:t>Catchments)</w:t>
            </w:r>
          </w:p>
          <w:p w:rsidR="006A7A3F" w:rsidRPr="003B65C2" w:rsidRDefault="00BC7372">
            <w:pPr>
              <w:pStyle w:val="TableParagraph"/>
              <w:numPr>
                <w:ilvl w:val="0"/>
                <w:numId w:val="532"/>
              </w:numPr>
              <w:tabs>
                <w:tab w:val="left" w:pos="305"/>
              </w:tabs>
              <w:spacing w:before="87"/>
              <w:ind w:hanging="218"/>
              <w:rPr>
                <w:sz w:val="16"/>
                <w:szCs w:val="16"/>
              </w:rPr>
            </w:pPr>
            <w:r w:rsidRPr="003B65C2">
              <w:rPr>
                <w:color w:val="231F20"/>
                <w:sz w:val="16"/>
                <w:szCs w:val="16"/>
              </w:rPr>
              <w:t>Lower Murray</w:t>
            </w:r>
            <w:r w:rsidRPr="003B65C2">
              <w:rPr>
                <w:color w:val="231F20"/>
                <w:spacing w:val="-1"/>
                <w:sz w:val="16"/>
                <w:szCs w:val="16"/>
              </w:rPr>
              <w:t xml:space="preserve"> </w:t>
            </w:r>
            <w:r w:rsidRPr="003B65C2">
              <w:rPr>
                <w:color w:val="231F20"/>
                <w:spacing w:val="-3"/>
                <w:sz w:val="16"/>
                <w:szCs w:val="16"/>
              </w:rPr>
              <w:t>Water</w:t>
            </w:r>
          </w:p>
          <w:p w:rsidR="006A7A3F" w:rsidRPr="003B65C2" w:rsidRDefault="00BC7372">
            <w:pPr>
              <w:pStyle w:val="TableParagraph"/>
              <w:numPr>
                <w:ilvl w:val="0"/>
                <w:numId w:val="532"/>
              </w:numPr>
              <w:tabs>
                <w:tab w:val="left" w:pos="305"/>
              </w:tabs>
              <w:spacing w:before="98"/>
              <w:ind w:hanging="218"/>
              <w:rPr>
                <w:sz w:val="16"/>
                <w:szCs w:val="16"/>
              </w:rPr>
            </w:pPr>
            <w:r w:rsidRPr="003B65C2">
              <w:rPr>
                <w:color w:val="231F20"/>
                <w:sz w:val="16"/>
                <w:szCs w:val="16"/>
              </w:rPr>
              <w:t>Mildura Rural City</w:t>
            </w:r>
            <w:r w:rsidRPr="003B65C2">
              <w:rPr>
                <w:color w:val="231F20"/>
                <w:spacing w:val="-6"/>
                <w:sz w:val="16"/>
                <w:szCs w:val="16"/>
              </w:rPr>
              <w:t xml:space="preserve"> </w:t>
            </w:r>
            <w:r w:rsidRPr="003B65C2">
              <w:rPr>
                <w:color w:val="231F20"/>
                <w:sz w:val="16"/>
                <w:szCs w:val="16"/>
              </w:rPr>
              <w:t>Council</w:t>
            </w:r>
          </w:p>
          <w:p w:rsidR="006A7A3F" w:rsidRPr="003B65C2" w:rsidRDefault="00BC7372">
            <w:pPr>
              <w:pStyle w:val="TableParagraph"/>
              <w:numPr>
                <w:ilvl w:val="0"/>
                <w:numId w:val="532"/>
              </w:numPr>
              <w:tabs>
                <w:tab w:val="left" w:pos="305"/>
              </w:tabs>
              <w:spacing w:before="98"/>
              <w:ind w:hanging="218"/>
              <w:rPr>
                <w:sz w:val="16"/>
                <w:szCs w:val="16"/>
              </w:rPr>
            </w:pPr>
            <w:r w:rsidRPr="003B65C2">
              <w:rPr>
                <w:color w:val="231F20"/>
                <w:sz w:val="16"/>
                <w:szCs w:val="16"/>
              </w:rPr>
              <w:t>Victorian Fisheries</w:t>
            </w:r>
            <w:r w:rsidRPr="003B65C2">
              <w:rPr>
                <w:color w:val="231F20"/>
                <w:spacing w:val="-14"/>
                <w:sz w:val="16"/>
                <w:szCs w:val="16"/>
              </w:rPr>
              <w:t xml:space="preserve"> </w:t>
            </w:r>
            <w:r w:rsidRPr="003B65C2">
              <w:rPr>
                <w:color w:val="231F20"/>
                <w:sz w:val="16"/>
                <w:szCs w:val="16"/>
              </w:rPr>
              <w:t>Authority</w:t>
            </w:r>
          </w:p>
        </w:tc>
      </w:tr>
      <w:tr w:rsidR="006A7A3F" w:rsidTr="003B65C2">
        <w:trPr>
          <w:trHeight w:val="609"/>
        </w:trPr>
        <w:tc>
          <w:tcPr>
            <w:tcW w:w="195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Landholders/ farmers</w:t>
            </w:r>
          </w:p>
        </w:tc>
        <w:tc>
          <w:tcPr>
            <w:tcW w:w="2750" w:type="dxa"/>
            <w:vMerge w:val="restart"/>
            <w:tcBorders>
              <w:top w:val="single" w:sz="4" w:space="0" w:color="231F20"/>
              <w:left w:val="single" w:sz="4" w:space="0" w:color="231F20"/>
              <w:bottom w:val="single" w:sz="4" w:space="0" w:color="231F20"/>
              <w:right w:val="single" w:sz="4" w:space="0" w:color="231F20"/>
            </w:tcBorders>
          </w:tcPr>
          <w:p w:rsidR="006A7A3F" w:rsidRPr="00205B3F" w:rsidRDefault="00BC7372">
            <w:pPr>
              <w:pStyle w:val="TableParagraph"/>
              <w:spacing w:before="67"/>
              <w:ind w:left="84"/>
              <w:rPr>
                <w:b/>
                <w:bCs/>
                <w:sz w:val="16"/>
                <w:szCs w:val="16"/>
              </w:rPr>
            </w:pPr>
            <w:r w:rsidRPr="00205B3F">
              <w:rPr>
                <w:b/>
                <w:bCs/>
                <w:color w:val="231F20"/>
                <w:sz w:val="16"/>
                <w:szCs w:val="16"/>
              </w:rPr>
              <w:t>IAP2 level: Inform</w:t>
            </w:r>
          </w:p>
          <w:p w:rsidR="006A7A3F" w:rsidRPr="003B65C2" w:rsidRDefault="00BC7372">
            <w:pPr>
              <w:pStyle w:val="TableParagraph"/>
              <w:numPr>
                <w:ilvl w:val="0"/>
                <w:numId w:val="531"/>
              </w:numPr>
              <w:tabs>
                <w:tab w:val="left" w:pos="305"/>
              </w:tabs>
              <w:spacing w:before="74" w:line="254" w:lineRule="auto"/>
              <w:ind w:right="292"/>
              <w:rPr>
                <w:sz w:val="16"/>
                <w:szCs w:val="16"/>
              </w:rPr>
            </w:pPr>
            <w:r w:rsidRPr="003B65C2">
              <w:rPr>
                <w:color w:val="231F20"/>
                <w:sz w:val="16"/>
                <w:szCs w:val="16"/>
              </w:rPr>
              <w:t>Landholders and farmers who live around the Hattah Lakes</w:t>
            </w:r>
          </w:p>
        </w:tc>
        <w:tc>
          <w:tcPr>
            <w:tcW w:w="2750" w:type="dxa"/>
            <w:vMerge w:val="restart"/>
            <w:tcBorders>
              <w:top w:val="single" w:sz="4" w:space="0" w:color="231F20"/>
              <w:left w:val="single" w:sz="4" w:space="0" w:color="231F20"/>
              <w:bottom w:val="single" w:sz="4" w:space="0" w:color="231F20"/>
              <w:right w:val="single" w:sz="4" w:space="0" w:color="231F20"/>
            </w:tcBorders>
          </w:tcPr>
          <w:p w:rsidR="006A7A3F" w:rsidRPr="00205B3F" w:rsidRDefault="00BC7372">
            <w:pPr>
              <w:pStyle w:val="TableParagraph"/>
              <w:spacing w:before="67"/>
              <w:ind w:left="84"/>
              <w:rPr>
                <w:b/>
                <w:bCs/>
                <w:sz w:val="16"/>
                <w:szCs w:val="16"/>
              </w:rPr>
            </w:pPr>
            <w:r w:rsidRPr="00205B3F">
              <w:rPr>
                <w:b/>
                <w:bCs/>
                <w:color w:val="231F20"/>
                <w:sz w:val="16"/>
                <w:szCs w:val="16"/>
              </w:rPr>
              <w:t>IAP2 level: Collaborate</w:t>
            </w:r>
          </w:p>
          <w:p w:rsidR="006A7A3F" w:rsidRPr="003B65C2" w:rsidRDefault="00BC7372">
            <w:pPr>
              <w:pStyle w:val="TableParagraph"/>
              <w:numPr>
                <w:ilvl w:val="0"/>
                <w:numId w:val="530"/>
              </w:numPr>
              <w:tabs>
                <w:tab w:val="left" w:pos="305"/>
              </w:tabs>
              <w:spacing w:before="74"/>
              <w:rPr>
                <w:sz w:val="16"/>
                <w:szCs w:val="16"/>
              </w:rPr>
            </w:pPr>
            <w:r w:rsidRPr="003B65C2">
              <w:rPr>
                <w:color w:val="231F20"/>
                <w:sz w:val="16"/>
                <w:szCs w:val="16"/>
              </w:rPr>
              <w:t>Trust for</w:t>
            </w:r>
            <w:r w:rsidRPr="003B65C2">
              <w:rPr>
                <w:color w:val="231F20"/>
                <w:spacing w:val="-1"/>
                <w:sz w:val="16"/>
                <w:szCs w:val="16"/>
              </w:rPr>
              <w:t xml:space="preserve"> </w:t>
            </w:r>
            <w:r w:rsidRPr="003B65C2">
              <w:rPr>
                <w:color w:val="231F20"/>
                <w:sz w:val="16"/>
                <w:szCs w:val="16"/>
              </w:rPr>
              <w:t>Nature</w:t>
            </w:r>
          </w:p>
          <w:p w:rsidR="006A7A3F" w:rsidRPr="003B65C2" w:rsidRDefault="00BC7372">
            <w:pPr>
              <w:pStyle w:val="TableParagraph"/>
              <w:numPr>
                <w:ilvl w:val="0"/>
                <w:numId w:val="530"/>
              </w:numPr>
              <w:tabs>
                <w:tab w:val="left" w:pos="305"/>
              </w:tabs>
              <w:spacing w:before="98"/>
              <w:rPr>
                <w:sz w:val="16"/>
                <w:szCs w:val="16"/>
              </w:rPr>
            </w:pPr>
            <w:r w:rsidRPr="003B65C2">
              <w:rPr>
                <w:color w:val="231F20"/>
                <w:sz w:val="16"/>
                <w:szCs w:val="16"/>
              </w:rPr>
              <w:t>Local</w:t>
            </w:r>
            <w:r w:rsidRPr="003B65C2">
              <w:rPr>
                <w:color w:val="231F20"/>
                <w:spacing w:val="-2"/>
                <w:sz w:val="16"/>
                <w:szCs w:val="16"/>
              </w:rPr>
              <w:t xml:space="preserve"> </w:t>
            </w:r>
            <w:r w:rsidRPr="003B65C2">
              <w:rPr>
                <w:color w:val="231F20"/>
                <w:sz w:val="16"/>
                <w:szCs w:val="16"/>
              </w:rPr>
              <w:t>landowner</w:t>
            </w:r>
          </w:p>
        </w:tc>
        <w:tc>
          <w:tcPr>
            <w:tcW w:w="2750" w:type="dxa"/>
            <w:tcBorders>
              <w:top w:val="single" w:sz="4" w:space="0" w:color="231F20"/>
              <w:left w:val="single" w:sz="4" w:space="0" w:color="231F20"/>
              <w:bottom w:val="single" w:sz="4" w:space="0" w:color="231F20"/>
              <w:right w:val="single" w:sz="4" w:space="0" w:color="231F20"/>
            </w:tcBorders>
          </w:tcPr>
          <w:p w:rsidR="006A7A3F" w:rsidRPr="00205B3F" w:rsidRDefault="00BC7372">
            <w:pPr>
              <w:pStyle w:val="TableParagraph"/>
              <w:spacing w:before="67"/>
              <w:ind w:left="84"/>
              <w:rPr>
                <w:b/>
                <w:bCs/>
                <w:sz w:val="16"/>
                <w:szCs w:val="16"/>
              </w:rPr>
            </w:pPr>
            <w:r w:rsidRPr="00205B3F">
              <w:rPr>
                <w:b/>
                <w:bCs/>
                <w:color w:val="231F20"/>
                <w:sz w:val="16"/>
                <w:szCs w:val="16"/>
              </w:rPr>
              <w:t>IAP2 level: Consult</w:t>
            </w:r>
          </w:p>
          <w:p w:rsidR="006A7A3F" w:rsidRPr="003B65C2" w:rsidRDefault="00BC7372">
            <w:pPr>
              <w:pStyle w:val="TableParagraph"/>
              <w:numPr>
                <w:ilvl w:val="0"/>
                <w:numId w:val="529"/>
              </w:numPr>
              <w:tabs>
                <w:tab w:val="left" w:pos="305"/>
              </w:tabs>
              <w:spacing w:before="74"/>
              <w:ind w:hanging="218"/>
              <w:rPr>
                <w:sz w:val="16"/>
                <w:szCs w:val="16"/>
              </w:rPr>
            </w:pPr>
            <w:r w:rsidRPr="003B65C2">
              <w:rPr>
                <w:color w:val="231F20"/>
                <w:sz w:val="16"/>
                <w:szCs w:val="16"/>
              </w:rPr>
              <w:t>Neighbouring</w:t>
            </w:r>
            <w:r w:rsidRPr="003B65C2">
              <w:rPr>
                <w:color w:val="231F20"/>
                <w:spacing w:val="-3"/>
                <w:sz w:val="16"/>
                <w:szCs w:val="16"/>
              </w:rPr>
              <w:t xml:space="preserve"> </w:t>
            </w:r>
            <w:r w:rsidRPr="003B65C2">
              <w:rPr>
                <w:color w:val="231F20"/>
                <w:sz w:val="16"/>
                <w:szCs w:val="16"/>
              </w:rPr>
              <w:t>landholder</w:t>
            </w:r>
          </w:p>
        </w:tc>
      </w:tr>
      <w:tr w:rsidR="006A7A3F" w:rsidTr="003B65C2">
        <w:trPr>
          <w:trHeight w:val="609"/>
        </w:trPr>
        <w:tc>
          <w:tcPr>
            <w:tcW w:w="195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750"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c>
          <w:tcPr>
            <w:tcW w:w="2750"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c>
          <w:tcPr>
            <w:tcW w:w="2750" w:type="dxa"/>
            <w:tcBorders>
              <w:top w:val="single" w:sz="4" w:space="0" w:color="231F20"/>
              <w:left w:val="single" w:sz="4" w:space="0" w:color="231F20"/>
              <w:bottom w:val="single" w:sz="4" w:space="0" w:color="231F20"/>
              <w:right w:val="single" w:sz="4" w:space="0" w:color="231F20"/>
            </w:tcBorders>
          </w:tcPr>
          <w:p w:rsidR="006A7A3F" w:rsidRPr="00205B3F" w:rsidRDefault="00BC7372">
            <w:pPr>
              <w:pStyle w:val="TableParagraph"/>
              <w:spacing w:before="67"/>
              <w:ind w:left="84"/>
              <w:rPr>
                <w:b/>
                <w:bCs/>
                <w:sz w:val="16"/>
                <w:szCs w:val="16"/>
              </w:rPr>
            </w:pPr>
            <w:r w:rsidRPr="00205B3F">
              <w:rPr>
                <w:b/>
                <w:bCs/>
                <w:color w:val="231F20"/>
                <w:sz w:val="16"/>
                <w:szCs w:val="16"/>
              </w:rPr>
              <w:t>IAP2 level: Inform</w:t>
            </w:r>
          </w:p>
          <w:p w:rsidR="006A7A3F" w:rsidRPr="003B65C2" w:rsidRDefault="00BC7372">
            <w:pPr>
              <w:pStyle w:val="TableParagraph"/>
              <w:numPr>
                <w:ilvl w:val="0"/>
                <w:numId w:val="528"/>
              </w:numPr>
              <w:tabs>
                <w:tab w:val="left" w:pos="305"/>
              </w:tabs>
              <w:spacing w:before="74"/>
              <w:ind w:hanging="218"/>
              <w:rPr>
                <w:sz w:val="16"/>
                <w:szCs w:val="16"/>
              </w:rPr>
            </w:pPr>
            <w:r w:rsidRPr="003B65C2">
              <w:rPr>
                <w:color w:val="231F20"/>
                <w:sz w:val="16"/>
                <w:szCs w:val="16"/>
              </w:rPr>
              <w:t>Lindsay Point</w:t>
            </w:r>
            <w:r w:rsidRPr="003B65C2">
              <w:rPr>
                <w:color w:val="231F20"/>
                <w:spacing w:val="-4"/>
                <w:sz w:val="16"/>
                <w:szCs w:val="16"/>
              </w:rPr>
              <w:t xml:space="preserve"> </w:t>
            </w:r>
            <w:r w:rsidRPr="003B65C2">
              <w:rPr>
                <w:color w:val="231F20"/>
                <w:sz w:val="16"/>
                <w:szCs w:val="16"/>
              </w:rPr>
              <w:t>irrigators</w:t>
            </w:r>
          </w:p>
        </w:tc>
      </w:tr>
      <w:tr w:rsidR="006A7A3F" w:rsidTr="003B65C2">
        <w:trPr>
          <w:trHeight w:val="609"/>
        </w:trPr>
        <w:tc>
          <w:tcPr>
            <w:tcW w:w="195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Local businesses</w:t>
            </w:r>
          </w:p>
        </w:tc>
        <w:tc>
          <w:tcPr>
            <w:tcW w:w="2750" w:type="dxa"/>
            <w:tcBorders>
              <w:top w:val="single" w:sz="4" w:space="0" w:color="231F20"/>
              <w:left w:val="single" w:sz="4" w:space="0" w:color="231F20"/>
              <w:bottom w:val="single" w:sz="4" w:space="0" w:color="231F20"/>
              <w:right w:val="single" w:sz="4" w:space="0" w:color="231F20"/>
            </w:tcBorders>
          </w:tcPr>
          <w:p w:rsidR="006A7A3F" w:rsidRPr="00205B3F" w:rsidRDefault="00BC7372">
            <w:pPr>
              <w:pStyle w:val="TableParagraph"/>
              <w:spacing w:before="67"/>
              <w:ind w:left="84"/>
              <w:rPr>
                <w:b/>
                <w:bCs/>
                <w:sz w:val="16"/>
                <w:szCs w:val="16"/>
              </w:rPr>
            </w:pPr>
            <w:r w:rsidRPr="00205B3F">
              <w:rPr>
                <w:b/>
                <w:bCs/>
                <w:color w:val="231F20"/>
                <w:sz w:val="16"/>
                <w:szCs w:val="16"/>
              </w:rPr>
              <w:t>IAP2 level: Inform</w:t>
            </w:r>
          </w:p>
          <w:p w:rsidR="006A7A3F" w:rsidRPr="003B65C2" w:rsidRDefault="00BC7372">
            <w:pPr>
              <w:pStyle w:val="TableParagraph"/>
              <w:numPr>
                <w:ilvl w:val="0"/>
                <w:numId w:val="527"/>
              </w:numPr>
              <w:tabs>
                <w:tab w:val="left" w:pos="305"/>
              </w:tabs>
              <w:spacing w:before="74"/>
              <w:rPr>
                <w:sz w:val="16"/>
                <w:szCs w:val="16"/>
              </w:rPr>
            </w:pPr>
            <w:r w:rsidRPr="003B65C2">
              <w:rPr>
                <w:color w:val="231F20"/>
                <w:sz w:val="16"/>
                <w:szCs w:val="16"/>
              </w:rPr>
              <w:t>Hattah Store</w:t>
            </w:r>
            <w:r w:rsidRPr="003B65C2">
              <w:rPr>
                <w:color w:val="231F20"/>
                <w:spacing w:val="-3"/>
                <w:sz w:val="16"/>
                <w:szCs w:val="16"/>
              </w:rPr>
              <w:t xml:space="preserve"> </w:t>
            </w:r>
            <w:r w:rsidRPr="003B65C2">
              <w:rPr>
                <w:color w:val="231F20"/>
                <w:sz w:val="16"/>
                <w:szCs w:val="16"/>
              </w:rPr>
              <w:t>owners</w:t>
            </w:r>
          </w:p>
        </w:tc>
        <w:tc>
          <w:tcPr>
            <w:tcW w:w="2750" w:type="dxa"/>
            <w:vMerge w:val="restart"/>
            <w:tcBorders>
              <w:top w:val="single" w:sz="4" w:space="0" w:color="231F20"/>
              <w:left w:val="single" w:sz="4" w:space="0" w:color="231F20"/>
              <w:bottom w:val="single" w:sz="4" w:space="0" w:color="231F20"/>
              <w:right w:val="single" w:sz="4" w:space="0" w:color="231F20"/>
            </w:tcBorders>
          </w:tcPr>
          <w:p w:rsidR="006A7A3F" w:rsidRPr="00205B3F" w:rsidRDefault="00BC7372">
            <w:pPr>
              <w:pStyle w:val="TableParagraph"/>
              <w:spacing w:before="67"/>
              <w:ind w:left="84"/>
              <w:rPr>
                <w:b/>
                <w:bCs/>
                <w:sz w:val="16"/>
                <w:szCs w:val="16"/>
              </w:rPr>
            </w:pPr>
            <w:r w:rsidRPr="00205B3F">
              <w:rPr>
                <w:b/>
                <w:bCs/>
                <w:color w:val="231F20"/>
                <w:sz w:val="16"/>
                <w:szCs w:val="16"/>
              </w:rPr>
              <w:t>IAP2 level: Inform</w:t>
            </w:r>
          </w:p>
          <w:p w:rsidR="006A7A3F" w:rsidRPr="003B65C2" w:rsidRDefault="00BC7372">
            <w:pPr>
              <w:pStyle w:val="TableParagraph"/>
              <w:numPr>
                <w:ilvl w:val="0"/>
                <w:numId w:val="526"/>
              </w:numPr>
              <w:tabs>
                <w:tab w:val="left" w:pos="305"/>
              </w:tabs>
              <w:spacing w:before="74" w:line="254" w:lineRule="auto"/>
              <w:ind w:right="992"/>
              <w:rPr>
                <w:sz w:val="16"/>
                <w:szCs w:val="16"/>
              </w:rPr>
            </w:pPr>
            <w:r w:rsidRPr="003B65C2">
              <w:rPr>
                <w:color w:val="231F20"/>
                <w:sz w:val="16"/>
                <w:szCs w:val="16"/>
              </w:rPr>
              <w:t>Sunraysia</w:t>
            </w:r>
            <w:r w:rsidRPr="003B65C2">
              <w:rPr>
                <w:color w:val="231F20"/>
                <w:spacing w:val="-21"/>
                <w:sz w:val="16"/>
                <w:szCs w:val="16"/>
              </w:rPr>
              <w:t xml:space="preserve"> </w:t>
            </w:r>
            <w:r w:rsidRPr="003B65C2">
              <w:rPr>
                <w:color w:val="231F20"/>
                <w:sz w:val="16"/>
                <w:szCs w:val="16"/>
              </w:rPr>
              <w:t>Apiarist Association</w:t>
            </w:r>
          </w:p>
          <w:p w:rsidR="006A7A3F" w:rsidRPr="003B65C2" w:rsidRDefault="00BC7372">
            <w:pPr>
              <w:pStyle w:val="TableParagraph"/>
              <w:numPr>
                <w:ilvl w:val="0"/>
                <w:numId w:val="526"/>
              </w:numPr>
              <w:tabs>
                <w:tab w:val="left" w:pos="305"/>
              </w:tabs>
              <w:spacing w:before="86"/>
              <w:rPr>
                <w:sz w:val="16"/>
                <w:szCs w:val="16"/>
              </w:rPr>
            </w:pPr>
            <w:r w:rsidRPr="003B65C2">
              <w:rPr>
                <w:color w:val="231F20"/>
                <w:sz w:val="16"/>
                <w:szCs w:val="16"/>
              </w:rPr>
              <w:t>Mallee</w:t>
            </w:r>
            <w:r w:rsidRPr="003B65C2">
              <w:rPr>
                <w:color w:val="231F20"/>
                <w:spacing w:val="-4"/>
                <w:sz w:val="16"/>
                <w:szCs w:val="16"/>
              </w:rPr>
              <w:t xml:space="preserve"> </w:t>
            </w:r>
            <w:r w:rsidRPr="003B65C2">
              <w:rPr>
                <w:color w:val="231F20"/>
                <w:spacing w:val="-5"/>
                <w:sz w:val="16"/>
                <w:szCs w:val="16"/>
              </w:rPr>
              <w:t>Tours</w:t>
            </w:r>
          </w:p>
          <w:p w:rsidR="006A7A3F" w:rsidRPr="003B65C2" w:rsidRDefault="00BC7372">
            <w:pPr>
              <w:pStyle w:val="TableParagraph"/>
              <w:numPr>
                <w:ilvl w:val="0"/>
                <w:numId w:val="526"/>
              </w:numPr>
              <w:tabs>
                <w:tab w:val="left" w:pos="305"/>
              </w:tabs>
              <w:spacing w:before="98"/>
              <w:rPr>
                <w:sz w:val="16"/>
                <w:szCs w:val="16"/>
              </w:rPr>
            </w:pPr>
            <w:r w:rsidRPr="003B65C2">
              <w:rPr>
                <w:color w:val="231F20"/>
                <w:sz w:val="16"/>
                <w:szCs w:val="16"/>
              </w:rPr>
              <w:t>Murray Offroad</w:t>
            </w:r>
            <w:r w:rsidRPr="003B65C2">
              <w:rPr>
                <w:color w:val="231F20"/>
                <w:spacing w:val="-11"/>
                <w:sz w:val="16"/>
                <w:szCs w:val="16"/>
              </w:rPr>
              <w:t xml:space="preserve"> </w:t>
            </w:r>
            <w:r w:rsidRPr="003B65C2">
              <w:rPr>
                <w:color w:val="231F20"/>
                <w:sz w:val="16"/>
                <w:szCs w:val="16"/>
              </w:rPr>
              <w:t>Adventures</w:t>
            </w:r>
          </w:p>
          <w:p w:rsidR="006A7A3F" w:rsidRPr="003B65C2" w:rsidRDefault="00BC7372">
            <w:pPr>
              <w:pStyle w:val="TableParagraph"/>
              <w:numPr>
                <w:ilvl w:val="0"/>
                <w:numId w:val="526"/>
              </w:numPr>
              <w:tabs>
                <w:tab w:val="left" w:pos="305"/>
              </w:tabs>
              <w:spacing w:before="98"/>
              <w:rPr>
                <w:sz w:val="16"/>
                <w:szCs w:val="16"/>
              </w:rPr>
            </w:pPr>
            <w:r w:rsidRPr="003B65C2">
              <w:rPr>
                <w:color w:val="231F20"/>
                <w:sz w:val="16"/>
                <w:szCs w:val="16"/>
              </w:rPr>
              <w:t>Visit</w:t>
            </w:r>
            <w:r w:rsidRPr="003B65C2">
              <w:rPr>
                <w:color w:val="231F20"/>
                <w:spacing w:val="-2"/>
                <w:sz w:val="16"/>
                <w:szCs w:val="16"/>
              </w:rPr>
              <w:t xml:space="preserve"> </w:t>
            </w:r>
            <w:r w:rsidRPr="003B65C2">
              <w:rPr>
                <w:color w:val="231F20"/>
                <w:sz w:val="16"/>
                <w:szCs w:val="16"/>
              </w:rPr>
              <w:t>Mildura</w:t>
            </w:r>
          </w:p>
          <w:p w:rsidR="006A7A3F" w:rsidRPr="003B65C2" w:rsidRDefault="00BC7372">
            <w:pPr>
              <w:pStyle w:val="TableParagraph"/>
              <w:numPr>
                <w:ilvl w:val="0"/>
                <w:numId w:val="526"/>
              </w:numPr>
              <w:tabs>
                <w:tab w:val="left" w:pos="305"/>
              </w:tabs>
              <w:spacing w:before="98"/>
              <w:rPr>
                <w:sz w:val="16"/>
                <w:szCs w:val="16"/>
              </w:rPr>
            </w:pPr>
            <w:r w:rsidRPr="003B65C2">
              <w:rPr>
                <w:color w:val="231F20"/>
                <w:sz w:val="16"/>
                <w:szCs w:val="16"/>
              </w:rPr>
              <w:t>Wildside Outdoors</w:t>
            </w:r>
          </w:p>
        </w:tc>
        <w:tc>
          <w:tcPr>
            <w:tcW w:w="2750" w:type="dxa"/>
            <w:vMerge w:val="restart"/>
            <w:tcBorders>
              <w:top w:val="single" w:sz="4" w:space="0" w:color="231F20"/>
              <w:left w:val="single" w:sz="4" w:space="0" w:color="231F20"/>
              <w:bottom w:val="single" w:sz="4" w:space="0" w:color="231F20"/>
              <w:right w:val="single" w:sz="4" w:space="0" w:color="231F20"/>
            </w:tcBorders>
          </w:tcPr>
          <w:p w:rsidR="006A7A3F" w:rsidRPr="00205B3F" w:rsidRDefault="00BC7372">
            <w:pPr>
              <w:pStyle w:val="TableParagraph"/>
              <w:spacing w:before="67"/>
              <w:ind w:left="84"/>
              <w:rPr>
                <w:b/>
                <w:bCs/>
                <w:sz w:val="16"/>
                <w:szCs w:val="16"/>
              </w:rPr>
            </w:pPr>
            <w:r w:rsidRPr="00205B3F">
              <w:rPr>
                <w:b/>
                <w:bCs/>
                <w:color w:val="231F20"/>
                <w:sz w:val="16"/>
                <w:szCs w:val="16"/>
              </w:rPr>
              <w:t>IAP2 level: Inform</w:t>
            </w:r>
          </w:p>
          <w:p w:rsidR="006A7A3F" w:rsidRPr="003B65C2" w:rsidRDefault="00BC7372">
            <w:pPr>
              <w:pStyle w:val="TableParagraph"/>
              <w:numPr>
                <w:ilvl w:val="0"/>
                <w:numId w:val="525"/>
              </w:numPr>
              <w:tabs>
                <w:tab w:val="left" w:pos="305"/>
              </w:tabs>
              <w:spacing w:before="74"/>
              <w:ind w:hanging="218"/>
              <w:rPr>
                <w:sz w:val="16"/>
                <w:szCs w:val="16"/>
              </w:rPr>
            </w:pPr>
            <w:r w:rsidRPr="003B65C2">
              <w:rPr>
                <w:color w:val="231F20"/>
                <w:sz w:val="16"/>
                <w:szCs w:val="16"/>
              </w:rPr>
              <w:t>Mallee</w:t>
            </w:r>
            <w:r w:rsidRPr="003B65C2">
              <w:rPr>
                <w:color w:val="231F20"/>
                <w:spacing w:val="-4"/>
                <w:sz w:val="16"/>
                <w:szCs w:val="16"/>
              </w:rPr>
              <w:t xml:space="preserve"> </w:t>
            </w:r>
            <w:r w:rsidRPr="003B65C2">
              <w:rPr>
                <w:color w:val="231F20"/>
                <w:spacing w:val="-5"/>
                <w:sz w:val="16"/>
                <w:szCs w:val="16"/>
              </w:rPr>
              <w:t>Tours</w:t>
            </w:r>
          </w:p>
          <w:p w:rsidR="006A7A3F" w:rsidRPr="003B65C2" w:rsidRDefault="00BC7372">
            <w:pPr>
              <w:pStyle w:val="TableParagraph"/>
              <w:numPr>
                <w:ilvl w:val="0"/>
                <w:numId w:val="525"/>
              </w:numPr>
              <w:tabs>
                <w:tab w:val="left" w:pos="305"/>
              </w:tabs>
              <w:spacing w:before="98"/>
              <w:ind w:hanging="218"/>
              <w:rPr>
                <w:sz w:val="16"/>
                <w:szCs w:val="16"/>
              </w:rPr>
            </w:pPr>
            <w:r w:rsidRPr="003B65C2">
              <w:rPr>
                <w:color w:val="231F20"/>
                <w:sz w:val="16"/>
                <w:szCs w:val="16"/>
              </w:rPr>
              <w:t>Murray Offroad</w:t>
            </w:r>
            <w:r w:rsidRPr="003B65C2">
              <w:rPr>
                <w:color w:val="231F20"/>
                <w:spacing w:val="-11"/>
                <w:sz w:val="16"/>
                <w:szCs w:val="16"/>
              </w:rPr>
              <w:t xml:space="preserve"> </w:t>
            </w:r>
            <w:r w:rsidRPr="003B65C2">
              <w:rPr>
                <w:color w:val="231F20"/>
                <w:sz w:val="16"/>
                <w:szCs w:val="16"/>
              </w:rPr>
              <w:t>Adventures</w:t>
            </w:r>
          </w:p>
          <w:p w:rsidR="006A7A3F" w:rsidRPr="003B65C2" w:rsidRDefault="00BC7372">
            <w:pPr>
              <w:pStyle w:val="TableParagraph"/>
              <w:numPr>
                <w:ilvl w:val="0"/>
                <w:numId w:val="525"/>
              </w:numPr>
              <w:tabs>
                <w:tab w:val="left" w:pos="305"/>
              </w:tabs>
              <w:spacing w:before="98"/>
              <w:ind w:hanging="218"/>
              <w:rPr>
                <w:sz w:val="16"/>
                <w:szCs w:val="16"/>
              </w:rPr>
            </w:pPr>
            <w:r w:rsidRPr="003B65C2">
              <w:rPr>
                <w:color w:val="231F20"/>
                <w:sz w:val="16"/>
                <w:szCs w:val="16"/>
              </w:rPr>
              <w:t>Wild Side Outdoors</w:t>
            </w:r>
          </w:p>
          <w:p w:rsidR="006A7A3F" w:rsidRPr="003B65C2" w:rsidRDefault="00BC7372">
            <w:pPr>
              <w:pStyle w:val="TableParagraph"/>
              <w:numPr>
                <w:ilvl w:val="0"/>
                <w:numId w:val="525"/>
              </w:numPr>
              <w:tabs>
                <w:tab w:val="left" w:pos="305"/>
              </w:tabs>
              <w:spacing w:before="98" w:line="254" w:lineRule="auto"/>
              <w:ind w:right="993"/>
              <w:rPr>
                <w:sz w:val="16"/>
                <w:szCs w:val="16"/>
              </w:rPr>
            </w:pPr>
            <w:r w:rsidRPr="003B65C2">
              <w:rPr>
                <w:color w:val="231F20"/>
                <w:sz w:val="16"/>
                <w:szCs w:val="16"/>
              </w:rPr>
              <w:t xml:space="preserve">Sunraysia </w:t>
            </w:r>
            <w:r w:rsidRPr="003B65C2">
              <w:rPr>
                <w:color w:val="231F20"/>
                <w:spacing w:val="-3"/>
                <w:sz w:val="16"/>
                <w:szCs w:val="16"/>
              </w:rPr>
              <w:t xml:space="preserve">Apiarist </w:t>
            </w:r>
            <w:r w:rsidRPr="003B65C2">
              <w:rPr>
                <w:color w:val="231F20"/>
                <w:sz w:val="16"/>
                <w:szCs w:val="16"/>
              </w:rPr>
              <w:t>Association</w:t>
            </w:r>
          </w:p>
        </w:tc>
      </w:tr>
      <w:tr w:rsidR="006A7A3F" w:rsidTr="003B65C2">
        <w:trPr>
          <w:trHeight w:val="2135"/>
        </w:trPr>
        <w:tc>
          <w:tcPr>
            <w:tcW w:w="195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750" w:type="dxa"/>
            <w:tcBorders>
              <w:top w:val="single" w:sz="4" w:space="0" w:color="231F20"/>
              <w:left w:val="single" w:sz="4" w:space="0" w:color="231F20"/>
              <w:bottom w:val="single" w:sz="4" w:space="0" w:color="231F20"/>
              <w:right w:val="single" w:sz="4" w:space="0" w:color="231F20"/>
            </w:tcBorders>
          </w:tcPr>
          <w:p w:rsidR="006A7A3F" w:rsidRPr="00205B3F" w:rsidRDefault="00BC7372">
            <w:pPr>
              <w:pStyle w:val="TableParagraph"/>
              <w:spacing w:before="67"/>
              <w:ind w:left="84"/>
              <w:rPr>
                <w:b/>
                <w:bCs/>
                <w:sz w:val="16"/>
                <w:szCs w:val="16"/>
              </w:rPr>
            </w:pPr>
            <w:r w:rsidRPr="00205B3F">
              <w:rPr>
                <w:b/>
                <w:bCs/>
                <w:color w:val="231F20"/>
                <w:sz w:val="16"/>
                <w:szCs w:val="16"/>
              </w:rPr>
              <w:t>IAP2 level: Inform</w:t>
            </w:r>
          </w:p>
          <w:p w:rsidR="006A7A3F" w:rsidRPr="00205B3F" w:rsidRDefault="00BC7372">
            <w:pPr>
              <w:pStyle w:val="TableParagraph"/>
              <w:numPr>
                <w:ilvl w:val="0"/>
                <w:numId w:val="524"/>
              </w:numPr>
              <w:tabs>
                <w:tab w:val="left" w:pos="305"/>
              </w:tabs>
              <w:spacing w:before="74"/>
              <w:rPr>
                <w:sz w:val="16"/>
                <w:szCs w:val="16"/>
              </w:rPr>
            </w:pPr>
            <w:r w:rsidRPr="00205B3F">
              <w:rPr>
                <w:color w:val="231F20"/>
                <w:sz w:val="16"/>
                <w:szCs w:val="16"/>
              </w:rPr>
              <w:t>Mallee</w:t>
            </w:r>
            <w:r w:rsidRPr="00205B3F">
              <w:rPr>
                <w:color w:val="231F20"/>
                <w:spacing w:val="-4"/>
                <w:sz w:val="16"/>
                <w:szCs w:val="16"/>
              </w:rPr>
              <w:t xml:space="preserve"> </w:t>
            </w:r>
            <w:r w:rsidRPr="00205B3F">
              <w:rPr>
                <w:color w:val="231F20"/>
                <w:spacing w:val="-5"/>
                <w:sz w:val="16"/>
                <w:szCs w:val="16"/>
              </w:rPr>
              <w:t>Tours</w:t>
            </w:r>
          </w:p>
          <w:p w:rsidR="006A7A3F" w:rsidRPr="00205B3F" w:rsidRDefault="00BC7372">
            <w:pPr>
              <w:pStyle w:val="TableParagraph"/>
              <w:numPr>
                <w:ilvl w:val="0"/>
                <w:numId w:val="524"/>
              </w:numPr>
              <w:tabs>
                <w:tab w:val="left" w:pos="305"/>
              </w:tabs>
              <w:spacing w:before="98"/>
              <w:rPr>
                <w:sz w:val="16"/>
                <w:szCs w:val="16"/>
              </w:rPr>
            </w:pPr>
            <w:r w:rsidRPr="00205B3F">
              <w:rPr>
                <w:color w:val="231F20"/>
                <w:sz w:val="16"/>
                <w:szCs w:val="16"/>
              </w:rPr>
              <w:t>Murray Offroad</w:t>
            </w:r>
            <w:r w:rsidRPr="00205B3F">
              <w:rPr>
                <w:color w:val="231F20"/>
                <w:spacing w:val="-11"/>
                <w:sz w:val="16"/>
                <w:szCs w:val="16"/>
              </w:rPr>
              <w:t xml:space="preserve"> </w:t>
            </w:r>
            <w:r w:rsidRPr="00205B3F">
              <w:rPr>
                <w:color w:val="231F20"/>
                <w:sz w:val="16"/>
                <w:szCs w:val="16"/>
              </w:rPr>
              <w:t>Adventures</w:t>
            </w:r>
          </w:p>
          <w:p w:rsidR="006A7A3F" w:rsidRPr="00205B3F" w:rsidRDefault="00BC7372">
            <w:pPr>
              <w:pStyle w:val="TableParagraph"/>
              <w:numPr>
                <w:ilvl w:val="0"/>
                <w:numId w:val="524"/>
              </w:numPr>
              <w:tabs>
                <w:tab w:val="left" w:pos="305"/>
              </w:tabs>
              <w:spacing w:before="98"/>
              <w:rPr>
                <w:sz w:val="16"/>
                <w:szCs w:val="16"/>
              </w:rPr>
            </w:pPr>
            <w:r w:rsidRPr="00205B3F">
              <w:rPr>
                <w:color w:val="231F20"/>
                <w:sz w:val="16"/>
                <w:szCs w:val="16"/>
              </w:rPr>
              <w:t>Mildura Information</w:t>
            </w:r>
            <w:r w:rsidRPr="00205B3F">
              <w:rPr>
                <w:color w:val="231F20"/>
                <w:spacing w:val="-2"/>
                <w:sz w:val="16"/>
                <w:szCs w:val="16"/>
              </w:rPr>
              <w:t xml:space="preserve"> </w:t>
            </w:r>
            <w:r w:rsidRPr="00205B3F">
              <w:rPr>
                <w:color w:val="231F20"/>
                <w:sz w:val="16"/>
                <w:szCs w:val="16"/>
              </w:rPr>
              <w:t>Centre</w:t>
            </w:r>
          </w:p>
          <w:p w:rsidR="006A7A3F" w:rsidRPr="00205B3F" w:rsidRDefault="00BC7372">
            <w:pPr>
              <w:pStyle w:val="TableParagraph"/>
              <w:numPr>
                <w:ilvl w:val="0"/>
                <w:numId w:val="524"/>
              </w:numPr>
              <w:tabs>
                <w:tab w:val="left" w:pos="305"/>
              </w:tabs>
              <w:spacing w:before="98"/>
              <w:rPr>
                <w:sz w:val="16"/>
                <w:szCs w:val="16"/>
              </w:rPr>
            </w:pPr>
            <w:r w:rsidRPr="00205B3F">
              <w:rPr>
                <w:color w:val="231F20"/>
                <w:sz w:val="16"/>
                <w:szCs w:val="16"/>
              </w:rPr>
              <w:t>Visit</w:t>
            </w:r>
            <w:r w:rsidRPr="00205B3F">
              <w:rPr>
                <w:color w:val="231F20"/>
                <w:spacing w:val="-2"/>
                <w:sz w:val="16"/>
                <w:szCs w:val="16"/>
              </w:rPr>
              <w:t xml:space="preserve"> </w:t>
            </w:r>
            <w:r w:rsidRPr="00205B3F">
              <w:rPr>
                <w:color w:val="231F20"/>
                <w:sz w:val="16"/>
                <w:szCs w:val="16"/>
              </w:rPr>
              <w:t>Mildura</w:t>
            </w:r>
          </w:p>
          <w:p w:rsidR="006A7A3F" w:rsidRPr="00205B3F" w:rsidRDefault="00BC7372">
            <w:pPr>
              <w:pStyle w:val="TableParagraph"/>
              <w:numPr>
                <w:ilvl w:val="0"/>
                <w:numId w:val="524"/>
              </w:numPr>
              <w:tabs>
                <w:tab w:val="left" w:pos="305"/>
              </w:tabs>
              <w:spacing w:before="98"/>
              <w:rPr>
                <w:sz w:val="16"/>
                <w:szCs w:val="16"/>
              </w:rPr>
            </w:pPr>
            <w:r w:rsidRPr="00205B3F">
              <w:rPr>
                <w:color w:val="231F20"/>
                <w:sz w:val="16"/>
                <w:szCs w:val="16"/>
              </w:rPr>
              <w:t>Wild Side Outdoors</w:t>
            </w:r>
          </w:p>
          <w:p w:rsidR="006A7A3F" w:rsidRPr="00205B3F" w:rsidRDefault="00BC7372">
            <w:pPr>
              <w:pStyle w:val="TableParagraph"/>
              <w:numPr>
                <w:ilvl w:val="0"/>
                <w:numId w:val="524"/>
              </w:numPr>
              <w:tabs>
                <w:tab w:val="left" w:pos="305"/>
              </w:tabs>
              <w:spacing w:before="98"/>
              <w:rPr>
                <w:sz w:val="16"/>
                <w:szCs w:val="16"/>
              </w:rPr>
            </w:pPr>
            <w:r w:rsidRPr="00205B3F">
              <w:rPr>
                <w:color w:val="231F20"/>
                <w:sz w:val="16"/>
                <w:szCs w:val="16"/>
              </w:rPr>
              <w:t>Sunrasia Apiarist</w:t>
            </w:r>
            <w:r w:rsidRPr="00205B3F">
              <w:rPr>
                <w:color w:val="231F20"/>
                <w:spacing w:val="-20"/>
                <w:sz w:val="16"/>
                <w:szCs w:val="16"/>
              </w:rPr>
              <w:t xml:space="preserve"> </w:t>
            </w:r>
            <w:r w:rsidRPr="00205B3F">
              <w:rPr>
                <w:color w:val="231F20"/>
                <w:sz w:val="16"/>
                <w:szCs w:val="16"/>
              </w:rPr>
              <w:t>Association</w:t>
            </w:r>
          </w:p>
        </w:tc>
        <w:tc>
          <w:tcPr>
            <w:tcW w:w="2750"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750"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r>
      <w:tr w:rsidR="006A7A3F" w:rsidTr="003B65C2">
        <w:trPr>
          <w:trHeight w:val="1220"/>
        </w:trPr>
        <w:tc>
          <w:tcPr>
            <w:tcW w:w="195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Recreational users</w:t>
            </w:r>
          </w:p>
        </w:tc>
        <w:tc>
          <w:tcPr>
            <w:tcW w:w="2750" w:type="dxa"/>
            <w:vMerge w:val="restart"/>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Inform</w:t>
            </w:r>
          </w:p>
          <w:p w:rsidR="006A7A3F" w:rsidRPr="003B65C2" w:rsidRDefault="00BC7372">
            <w:pPr>
              <w:pStyle w:val="TableParagraph"/>
              <w:numPr>
                <w:ilvl w:val="0"/>
                <w:numId w:val="523"/>
              </w:numPr>
              <w:tabs>
                <w:tab w:val="left" w:pos="305"/>
              </w:tabs>
              <w:spacing w:before="74"/>
              <w:rPr>
                <w:sz w:val="16"/>
                <w:szCs w:val="16"/>
              </w:rPr>
            </w:pPr>
            <w:r w:rsidRPr="003B65C2">
              <w:rPr>
                <w:color w:val="231F20"/>
                <w:sz w:val="16"/>
                <w:szCs w:val="16"/>
              </w:rPr>
              <w:t>Birdlife Mildura</w:t>
            </w:r>
          </w:p>
          <w:p w:rsidR="006A7A3F" w:rsidRPr="003B65C2" w:rsidRDefault="00BC7372">
            <w:pPr>
              <w:pStyle w:val="TableParagraph"/>
              <w:numPr>
                <w:ilvl w:val="0"/>
                <w:numId w:val="523"/>
              </w:numPr>
              <w:tabs>
                <w:tab w:val="left" w:pos="305"/>
              </w:tabs>
              <w:spacing w:before="98"/>
              <w:rPr>
                <w:sz w:val="16"/>
                <w:szCs w:val="16"/>
              </w:rPr>
            </w:pPr>
            <w:r w:rsidRPr="003B65C2">
              <w:rPr>
                <w:color w:val="231F20"/>
                <w:sz w:val="16"/>
                <w:szCs w:val="16"/>
              </w:rPr>
              <w:t>Sunraysia Bushwalkers</w:t>
            </w:r>
          </w:p>
          <w:p w:rsidR="006A7A3F" w:rsidRPr="003B65C2" w:rsidRDefault="00BC7372">
            <w:pPr>
              <w:pStyle w:val="TableParagraph"/>
              <w:numPr>
                <w:ilvl w:val="0"/>
                <w:numId w:val="523"/>
              </w:numPr>
              <w:tabs>
                <w:tab w:val="left" w:pos="305"/>
              </w:tabs>
              <w:spacing w:before="98"/>
              <w:rPr>
                <w:sz w:val="16"/>
                <w:szCs w:val="16"/>
              </w:rPr>
            </w:pPr>
            <w:r w:rsidRPr="003B65C2">
              <w:rPr>
                <w:color w:val="231F20"/>
                <w:sz w:val="16"/>
                <w:szCs w:val="16"/>
              </w:rPr>
              <w:t>Four-wheel drive</w:t>
            </w:r>
            <w:r w:rsidRPr="003B65C2">
              <w:rPr>
                <w:color w:val="231F20"/>
                <w:spacing w:val="-2"/>
                <w:sz w:val="16"/>
                <w:szCs w:val="16"/>
              </w:rPr>
              <w:t xml:space="preserve"> </w:t>
            </w:r>
            <w:r w:rsidRPr="003B65C2">
              <w:rPr>
                <w:color w:val="231F20"/>
                <w:sz w:val="16"/>
                <w:szCs w:val="16"/>
              </w:rPr>
              <w:t>club</w:t>
            </w:r>
          </w:p>
        </w:tc>
        <w:tc>
          <w:tcPr>
            <w:tcW w:w="2750" w:type="dxa"/>
            <w:vMerge w:val="restart"/>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Inform</w:t>
            </w:r>
          </w:p>
          <w:p w:rsidR="006A7A3F" w:rsidRPr="003B65C2" w:rsidRDefault="00BC7372">
            <w:pPr>
              <w:pStyle w:val="TableParagraph"/>
              <w:numPr>
                <w:ilvl w:val="0"/>
                <w:numId w:val="522"/>
              </w:numPr>
              <w:tabs>
                <w:tab w:val="left" w:pos="305"/>
              </w:tabs>
              <w:spacing w:before="74"/>
              <w:rPr>
                <w:sz w:val="16"/>
                <w:szCs w:val="16"/>
              </w:rPr>
            </w:pPr>
            <w:r w:rsidRPr="003B65C2">
              <w:rPr>
                <w:color w:val="231F20"/>
                <w:sz w:val="16"/>
                <w:szCs w:val="16"/>
              </w:rPr>
              <w:t>Birdlife Mildura</w:t>
            </w:r>
          </w:p>
          <w:p w:rsidR="006A7A3F" w:rsidRPr="003B65C2" w:rsidRDefault="00BC7372">
            <w:pPr>
              <w:pStyle w:val="TableParagraph"/>
              <w:numPr>
                <w:ilvl w:val="0"/>
                <w:numId w:val="522"/>
              </w:numPr>
              <w:tabs>
                <w:tab w:val="left" w:pos="305"/>
              </w:tabs>
              <w:spacing w:before="98"/>
              <w:rPr>
                <w:sz w:val="16"/>
                <w:szCs w:val="16"/>
              </w:rPr>
            </w:pPr>
            <w:r w:rsidRPr="003B65C2">
              <w:rPr>
                <w:color w:val="231F20"/>
                <w:sz w:val="16"/>
                <w:szCs w:val="16"/>
              </w:rPr>
              <w:t>Four-wheel drive</w:t>
            </w:r>
            <w:r w:rsidRPr="003B65C2">
              <w:rPr>
                <w:color w:val="231F20"/>
                <w:spacing w:val="-2"/>
                <w:sz w:val="16"/>
                <w:szCs w:val="16"/>
              </w:rPr>
              <w:t xml:space="preserve"> </w:t>
            </w:r>
            <w:r w:rsidRPr="003B65C2">
              <w:rPr>
                <w:color w:val="231F20"/>
                <w:sz w:val="16"/>
                <w:szCs w:val="16"/>
              </w:rPr>
              <w:t>club</w:t>
            </w:r>
          </w:p>
          <w:p w:rsidR="006A7A3F" w:rsidRPr="003B65C2" w:rsidRDefault="00BC7372">
            <w:pPr>
              <w:pStyle w:val="TableParagraph"/>
              <w:numPr>
                <w:ilvl w:val="0"/>
                <w:numId w:val="522"/>
              </w:numPr>
              <w:tabs>
                <w:tab w:val="left" w:pos="305"/>
              </w:tabs>
              <w:spacing w:before="98"/>
              <w:rPr>
                <w:sz w:val="16"/>
                <w:szCs w:val="16"/>
              </w:rPr>
            </w:pPr>
            <w:r w:rsidRPr="003B65C2">
              <w:rPr>
                <w:color w:val="231F20"/>
                <w:sz w:val="16"/>
                <w:szCs w:val="16"/>
              </w:rPr>
              <w:t>Mildura Information</w:t>
            </w:r>
            <w:r w:rsidRPr="003B65C2">
              <w:rPr>
                <w:color w:val="231F20"/>
                <w:spacing w:val="-2"/>
                <w:sz w:val="16"/>
                <w:szCs w:val="16"/>
              </w:rPr>
              <w:t xml:space="preserve"> </w:t>
            </w:r>
            <w:r w:rsidRPr="003B65C2">
              <w:rPr>
                <w:color w:val="231F20"/>
                <w:sz w:val="16"/>
                <w:szCs w:val="16"/>
              </w:rPr>
              <w:t>Centre</w:t>
            </w:r>
          </w:p>
          <w:p w:rsidR="006A7A3F" w:rsidRPr="003B65C2" w:rsidRDefault="00BC7372">
            <w:pPr>
              <w:pStyle w:val="TableParagraph"/>
              <w:numPr>
                <w:ilvl w:val="0"/>
                <w:numId w:val="522"/>
              </w:numPr>
              <w:tabs>
                <w:tab w:val="left" w:pos="305"/>
              </w:tabs>
              <w:spacing w:before="98"/>
              <w:rPr>
                <w:sz w:val="16"/>
                <w:szCs w:val="16"/>
              </w:rPr>
            </w:pPr>
            <w:r w:rsidRPr="003B65C2">
              <w:rPr>
                <w:color w:val="231F20"/>
                <w:sz w:val="16"/>
                <w:szCs w:val="16"/>
              </w:rPr>
              <w:t>Sunraysia Bushwalkers</w:t>
            </w: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Inform</w:t>
            </w:r>
          </w:p>
          <w:p w:rsidR="006A7A3F" w:rsidRPr="003B65C2" w:rsidRDefault="00BC7372">
            <w:pPr>
              <w:pStyle w:val="TableParagraph"/>
              <w:numPr>
                <w:ilvl w:val="0"/>
                <w:numId w:val="521"/>
              </w:numPr>
              <w:tabs>
                <w:tab w:val="left" w:pos="305"/>
              </w:tabs>
              <w:spacing w:before="74"/>
              <w:ind w:hanging="218"/>
              <w:rPr>
                <w:sz w:val="16"/>
                <w:szCs w:val="16"/>
              </w:rPr>
            </w:pPr>
            <w:r w:rsidRPr="003B65C2">
              <w:rPr>
                <w:color w:val="231F20"/>
                <w:sz w:val="16"/>
                <w:szCs w:val="16"/>
              </w:rPr>
              <w:t>Birdlife Mildura</w:t>
            </w:r>
          </w:p>
          <w:p w:rsidR="006A7A3F" w:rsidRPr="003B65C2" w:rsidRDefault="00BC7372">
            <w:pPr>
              <w:pStyle w:val="TableParagraph"/>
              <w:numPr>
                <w:ilvl w:val="0"/>
                <w:numId w:val="521"/>
              </w:numPr>
              <w:tabs>
                <w:tab w:val="left" w:pos="305"/>
              </w:tabs>
              <w:spacing w:before="98"/>
              <w:ind w:hanging="218"/>
              <w:rPr>
                <w:sz w:val="16"/>
                <w:szCs w:val="16"/>
              </w:rPr>
            </w:pPr>
            <w:r w:rsidRPr="003B65C2">
              <w:rPr>
                <w:color w:val="231F20"/>
                <w:sz w:val="16"/>
                <w:szCs w:val="16"/>
              </w:rPr>
              <w:t>Sunraysia Bushwalkers</w:t>
            </w:r>
          </w:p>
          <w:p w:rsidR="006A7A3F" w:rsidRPr="003B65C2" w:rsidRDefault="00BC7372">
            <w:pPr>
              <w:pStyle w:val="TableParagraph"/>
              <w:numPr>
                <w:ilvl w:val="0"/>
                <w:numId w:val="521"/>
              </w:numPr>
              <w:tabs>
                <w:tab w:val="left" w:pos="305"/>
              </w:tabs>
              <w:spacing w:before="98"/>
              <w:ind w:hanging="218"/>
              <w:rPr>
                <w:sz w:val="16"/>
                <w:szCs w:val="16"/>
              </w:rPr>
            </w:pPr>
            <w:r w:rsidRPr="003B65C2">
              <w:rPr>
                <w:color w:val="231F20"/>
                <w:sz w:val="16"/>
                <w:szCs w:val="16"/>
              </w:rPr>
              <w:t>Sunraysia 4WD</w:t>
            </w:r>
            <w:r w:rsidRPr="003B65C2">
              <w:rPr>
                <w:color w:val="231F20"/>
                <w:spacing w:val="-2"/>
                <w:sz w:val="16"/>
                <w:szCs w:val="16"/>
              </w:rPr>
              <w:t xml:space="preserve"> </w:t>
            </w:r>
            <w:r w:rsidRPr="003B65C2">
              <w:rPr>
                <w:color w:val="231F20"/>
                <w:sz w:val="16"/>
                <w:szCs w:val="16"/>
              </w:rPr>
              <w:t>Club</w:t>
            </w:r>
          </w:p>
        </w:tc>
      </w:tr>
      <w:tr w:rsidR="006A7A3F" w:rsidTr="003B65C2">
        <w:trPr>
          <w:trHeight w:val="914"/>
        </w:trPr>
        <w:tc>
          <w:tcPr>
            <w:tcW w:w="195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750"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c>
          <w:tcPr>
            <w:tcW w:w="2750" w:type="dxa"/>
            <w:vMerge/>
            <w:tcBorders>
              <w:top w:val="nil"/>
              <w:left w:val="single" w:sz="4" w:space="0" w:color="231F20"/>
              <w:bottom w:val="single" w:sz="4" w:space="0" w:color="231F20"/>
              <w:right w:val="single" w:sz="4" w:space="0" w:color="231F20"/>
            </w:tcBorders>
          </w:tcPr>
          <w:p w:rsidR="006A7A3F" w:rsidRPr="003B65C2" w:rsidRDefault="006A7A3F">
            <w:pPr>
              <w:rPr>
                <w:sz w:val="16"/>
                <w:szCs w:val="16"/>
              </w:rPr>
            </w:pP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Inform</w:t>
            </w:r>
          </w:p>
          <w:p w:rsidR="006A7A3F" w:rsidRPr="003B65C2" w:rsidRDefault="00BC7372">
            <w:pPr>
              <w:pStyle w:val="TableParagraph"/>
              <w:numPr>
                <w:ilvl w:val="0"/>
                <w:numId w:val="520"/>
              </w:numPr>
              <w:tabs>
                <w:tab w:val="left" w:pos="305"/>
              </w:tabs>
              <w:spacing w:before="74"/>
              <w:ind w:hanging="218"/>
              <w:rPr>
                <w:sz w:val="16"/>
                <w:szCs w:val="16"/>
              </w:rPr>
            </w:pPr>
            <w:r w:rsidRPr="003B65C2">
              <w:rPr>
                <w:color w:val="231F20"/>
                <w:sz w:val="16"/>
                <w:szCs w:val="16"/>
              </w:rPr>
              <w:t>Mildura Information</w:t>
            </w:r>
            <w:r w:rsidRPr="003B65C2">
              <w:rPr>
                <w:color w:val="231F20"/>
                <w:spacing w:val="-2"/>
                <w:sz w:val="16"/>
                <w:szCs w:val="16"/>
              </w:rPr>
              <w:t xml:space="preserve"> </w:t>
            </w:r>
            <w:r w:rsidRPr="003B65C2">
              <w:rPr>
                <w:color w:val="231F20"/>
                <w:sz w:val="16"/>
                <w:szCs w:val="16"/>
              </w:rPr>
              <w:t>Centre</w:t>
            </w:r>
          </w:p>
          <w:p w:rsidR="006A7A3F" w:rsidRPr="003B65C2" w:rsidRDefault="00BC7372">
            <w:pPr>
              <w:pStyle w:val="TableParagraph"/>
              <w:numPr>
                <w:ilvl w:val="0"/>
                <w:numId w:val="520"/>
              </w:numPr>
              <w:tabs>
                <w:tab w:val="left" w:pos="305"/>
              </w:tabs>
              <w:spacing w:before="98"/>
              <w:ind w:hanging="218"/>
              <w:rPr>
                <w:sz w:val="16"/>
                <w:szCs w:val="16"/>
              </w:rPr>
            </w:pPr>
            <w:r w:rsidRPr="003B65C2">
              <w:rPr>
                <w:color w:val="231F20"/>
                <w:sz w:val="16"/>
                <w:szCs w:val="16"/>
              </w:rPr>
              <w:t>Visit</w:t>
            </w:r>
            <w:r w:rsidRPr="003B65C2">
              <w:rPr>
                <w:color w:val="231F20"/>
                <w:spacing w:val="-2"/>
                <w:sz w:val="16"/>
                <w:szCs w:val="16"/>
              </w:rPr>
              <w:t xml:space="preserve"> </w:t>
            </w:r>
            <w:r w:rsidRPr="003B65C2">
              <w:rPr>
                <w:color w:val="231F20"/>
                <w:sz w:val="16"/>
                <w:szCs w:val="16"/>
              </w:rPr>
              <w:t>Mildura</w:t>
            </w:r>
          </w:p>
        </w:tc>
      </w:tr>
      <w:tr w:rsidR="006A7A3F" w:rsidTr="003B65C2">
        <w:trPr>
          <w:trHeight w:val="1574"/>
        </w:trPr>
        <w:tc>
          <w:tcPr>
            <w:tcW w:w="195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Technical experts</w:t>
            </w: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Collaborate</w:t>
            </w:r>
          </w:p>
          <w:p w:rsidR="006A7A3F" w:rsidRPr="003B65C2" w:rsidRDefault="00BC7372">
            <w:pPr>
              <w:pStyle w:val="TableParagraph"/>
              <w:numPr>
                <w:ilvl w:val="0"/>
                <w:numId w:val="519"/>
              </w:numPr>
              <w:tabs>
                <w:tab w:val="left" w:pos="305"/>
              </w:tabs>
              <w:spacing w:before="74" w:line="254" w:lineRule="auto"/>
              <w:ind w:right="138"/>
              <w:rPr>
                <w:sz w:val="16"/>
                <w:szCs w:val="16"/>
              </w:rPr>
            </w:pPr>
            <w:r w:rsidRPr="003B65C2">
              <w:rPr>
                <w:color w:val="231F20"/>
                <w:sz w:val="16"/>
                <w:szCs w:val="16"/>
              </w:rPr>
              <w:t>Mallee CMA Land and</w:t>
            </w:r>
            <w:r w:rsidRPr="003B65C2">
              <w:rPr>
                <w:color w:val="231F20"/>
                <w:spacing w:val="-15"/>
                <w:sz w:val="16"/>
                <w:szCs w:val="16"/>
              </w:rPr>
              <w:t xml:space="preserve"> </w:t>
            </w:r>
            <w:r w:rsidRPr="003B65C2">
              <w:rPr>
                <w:color w:val="231F20"/>
                <w:spacing w:val="-3"/>
                <w:sz w:val="16"/>
                <w:szCs w:val="16"/>
              </w:rPr>
              <w:t xml:space="preserve">Water </w:t>
            </w:r>
            <w:r w:rsidRPr="003B65C2">
              <w:rPr>
                <w:color w:val="231F20"/>
                <w:sz w:val="16"/>
                <w:szCs w:val="16"/>
              </w:rPr>
              <w:t>Advisory</w:t>
            </w:r>
            <w:r w:rsidRPr="003B65C2">
              <w:rPr>
                <w:color w:val="231F20"/>
                <w:spacing w:val="-1"/>
                <w:sz w:val="16"/>
                <w:szCs w:val="16"/>
              </w:rPr>
              <w:t xml:space="preserve"> </w:t>
            </w:r>
            <w:r w:rsidRPr="003B65C2">
              <w:rPr>
                <w:color w:val="231F20"/>
                <w:sz w:val="16"/>
                <w:szCs w:val="16"/>
              </w:rPr>
              <w:t>Committee</w:t>
            </w: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Collaborate</w:t>
            </w:r>
          </w:p>
          <w:p w:rsidR="006A7A3F" w:rsidRPr="003B65C2" w:rsidRDefault="00BC7372">
            <w:pPr>
              <w:pStyle w:val="TableParagraph"/>
              <w:numPr>
                <w:ilvl w:val="0"/>
                <w:numId w:val="518"/>
              </w:numPr>
              <w:tabs>
                <w:tab w:val="left" w:pos="305"/>
              </w:tabs>
              <w:spacing w:before="74" w:line="254" w:lineRule="auto"/>
              <w:ind w:right="139"/>
              <w:rPr>
                <w:sz w:val="16"/>
                <w:szCs w:val="16"/>
              </w:rPr>
            </w:pPr>
            <w:r w:rsidRPr="003B65C2">
              <w:rPr>
                <w:color w:val="231F20"/>
                <w:sz w:val="16"/>
                <w:szCs w:val="16"/>
              </w:rPr>
              <w:t>Mallee CMA Land and</w:t>
            </w:r>
            <w:r w:rsidRPr="003B65C2">
              <w:rPr>
                <w:color w:val="231F20"/>
                <w:spacing w:val="-15"/>
                <w:sz w:val="16"/>
                <w:szCs w:val="16"/>
              </w:rPr>
              <w:t xml:space="preserve"> </w:t>
            </w:r>
            <w:r w:rsidRPr="003B65C2">
              <w:rPr>
                <w:color w:val="231F20"/>
                <w:spacing w:val="-3"/>
                <w:sz w:val="16"/>
                <w:szCs w:val="16"/>
              </w:rPr>
              <w:t xml:space="preserve">Water </w:t>
            </w:r>
            <w:r w:rsidRPr="003B65C2">
              <w:rPr>
                <w:color w:val="231F20"/>
                <w:sz w:val="16"/>
                <w:szCs w:val="16"/>
              </w:rPr>
              <w:t>Advisory</w:t>
            </w:r>
            <w:r w:rsidRPr="003B65C2">
              <w:rPr>
                <w:color w:val="231F20"/>
                <w:spacing w:val="-1"/>
                <w:sz w:val="16"/>
                <w:szCs w:val="16"/>
              </w:rPr>
              <w:t xml:space="preserve"> </w:t>
            </w:r>
            <w:r w:rsidRPr="003B65C2">
              <w:rPr>
                <w:color w:val="231F20"/>
                <w:sz w:val="16"/>
                <w:szCs w:val="16"/>
              </w:rPr>
              <w:t>Committee</w:t>
            </w:r>
          </w:p>
          <w:p w:rsidR="006A7A3F" w:rsidRPr="003B65C2" w:rsidRDefault="00BC7372">
            <w:pPr>
              <w:pStyle w:val="TableParagraph"/>
              <w:numPr>
                <w:ilvl w:val="0"/>
                <w:numId w:val="518"/>
              </w:numPr>
              <w:tabs>
                <w:tab w:val="left" w:pos="305"/>
              </w:tabs>
              <w:spacing w:before="86" w:line="254" w:lineRule="auto"/>
              <w:ind w:right="122"/>
              <w:rPr>
                <w:sz w:val="16"/>
                <w:szCs w:val="16"/>
              </w:rPr>
            </w:pPr>
            <w:r w:rsidRPr="003B65C2">
              <w:rPr>
                <w:color w:val="231F20"/>
                <w:sz w:val="16"/>
                <w:szCs w:val="16"/>
              </w:rPr>
              <w:t xml:space="preserve">Arthur Rylah Institute (Department of </w:t>
            </w:r>
            <w:r w:rsidRPr="003B65C2">
              <w:rPr>
                <w:color w:val="231F20"/>
                <w:spacing w:val="-2"/>
                <w:sz w:val="16"/>
                <w:szCs w:val="16"/>
              </w:rPr>
              <w:t xml:space="preserve">Environment, </w:t>
            </w:r>
            <w:r w:rsidRPr="003B65C2">
              <w:rPr>
                <w:color w:val="231F20"/>
                <w:sz w:val="16"/>
                <w:szCs w:val="16"/>
              </w:rPr>
              <w:t>Land, Water and</w:t>
            </w:r>
            <w:r w:rsidRPr="003B65C2">
              <w:rPr>
                <w:color w:val="231F20"/>
                <w:spacing w:val="-10"/>
                <w:sz w:val="16"/>
                <w:szCs w:val="16"/>
              </w:rPr>
              <w:t xml:space="preserve"> </w:t>
            </w:r>
            <w:r w:rsidRPr="003B65C2">
              <w:rPr>
                <w:color w:val="231F20"/>
                <w:sz w:val="16"/>
                <w:szCs w:val="16"/>
              </w:rPr>
              <w:t>Planning)</w:t>
            </w:r>
          </w:p>
        </w:tc>
        <w:tc>
          <w:tcPr>
            <w:tcW w:w="2750" w:type="dxa"/>
            <w:tcBorders>
              <w:top w:val="single" w:sz="4" w:space="0" w:color="231F20"/>
              <w:left w:val="single" w:sz="4" w:space="0" w:color="231F20"/>
              <w:bottom w:val="single" w:sz="4" w:space="0" w:color="231F20"/>
              <w:right w:val="single" w:sz="4" w:space="0" w:color="231F20"/>
            </w:tcBorders>
          </w:tcPr>
          <w:p w:rsidR="006A7A3F" w:rsidRPr="003B65C2" w:rsidRDefault="00BC7372">
            <w:pPr>
              <w:pStyle w:val="TableParagraph"/>
              <w:spacing w:before="67"/>
              <w:ind w:left="84"/>
              <w:rPr>
                <w:b/>
                <w:bCs/>
                <w:sz w:val="16"/>
                <w:szCs w:val="16"/>
              </w:rPr>
            </w:pPr>
            <w:r w:rsidRPr="003B65C2">
              <w:rPr>
                <w:b/>
                <w:bCs/>
                <w:color w:val="231F20"/>
                <w:sz w:val="16"/>
                <w:szCs w:val="16"/>
              </w:rPr>
              <w:t>IAP2 level: Collaborate</w:t>
            </w:r>
          </w:p>
          <w:p w:rsidR="006A7A3F" w:rsidRPr="003B65C2" w:rsidRDefault="00BC7372">
            <w:pPr>
              <w:pStyle w:val="TableParagraph"/>
              <w:numPr>
                <w:ilvl w:val="0"/>
                <w:numId w:val="517"/>
              </w:numPr>
              <w:tabs>
                <w:tab w:val="left" w:pos="305"/>
              </w:tabs>
              <w:spacing w:before="74" w:line="254" w:lineRule="auto"/>
              <w:ind w:right="139"/>
              <w:rPr>
                <w:sz w:val="16"/>
                <w:szCs w:val="16"/>
              </w:rPr>
            </w:pPr>
            <w:r w:rsidRPr="003B65C2">
              <w:rPr>
                <w:color w:val="231F20"/>
                <w:sz w:val="16"/>
                <w:szCs w:val="16"/>
              </w:rPr>
              <w:t>Mallee CMA Land and</w:t>
            </w:r>
            <w:r w:rsidRPr="003B65C2">
              <w:rPr>
                <w:color w:val="231F20"/>
                <w:spacing w:val="-15"/>
                <w:sz w:val="16"/>
                <w:szCs w:val="16"/>
              </w:rPr>
              <w:t xml:space="preserve"> </w:t>
            </w:r>
            <w:r w:rsidRPr="003B65C2">
              <w:rPr>
                <w:color w:val="231F20"/>
                <w:spacing w:val="-3"/>
                <w:sz w:val="16"/>
                <w:szCs w:val="16"/>
              </w:rPr>
              <w:t xml:space="preserve">Water </w:t>
            </w:r>
            <w:r w:rsidRPr="003B65C2">
              <w:rPr>
                <w:color w:val="231F20"/>
                <w:sz w:val="16"/>
                <w:szCs w:val="16"/>
              </w:rPr>
              <w:t>Advisory</w:t>
            </w:r>
            <w:r w:rsidRPr="003B65C2">
              <w:rPr>
                <w:color w:val="231F20"/>
                <w:spacing w:val="-1"/>
                <w:sz w:val="16"/>
                <w:szCs w:val="16"/>
              </w:rPr>
              <w:t xml:space="preserve"> </w:t>
            </w:r>
            <w:r w:rsidRPr="003B65C2">
              <w:rPr>
                <w:color w:val="231F20"/>
                <w:sz w:val="16"/>
                <w:szCs w:val="16"/>
              </w:rPr>
              <w:t>Committee</w:t>
            </w:r>
          </w:p>
        </w:tc>
      </w:tr>
      <w:tr w:rsidR="003B65C2" w:rsidTr="003B65C2">
        <w:trPr>
          <w:trHeight w:val="1574"/>
        </w:trPr>
        <w:tc>
          <w:tcPr>
            <w:tcW w:w="1951" w:type="dxa"/>
            <w:tcBorders>
              <w:top w:val="single" w:sz="4" w:space="0" w:color="231F20"/>
              <w:left w:val="single" w:sz="4" w:space="0" w:color="231F20"/>
              <w:bottom w:val="single" w:sz="4" w:space="0" w:color="231F20"/>
              <w:right w:val="single" w:sz="4" w:space="0" w:color="231F20"/>
            </w:tcBorders>
          </w:tcPr>
          <w:p w:rsidR="003B65C2" w:rsidRPr="003B65C2" w:rsidRDefault="003B65C2" w:rsidP="003B65C2">
            <w:pPr>
              <w:pStyle w:val="TableParagraph"/>
              <w:spacing w:before="67"/>
              <w:ind w:left="85"/>
              <w:rPr>
                <w:sz w:val="16"/>
                <w:szCs w:val="16"/>
              </w:rPr>
            </w:pPr>
            <w:r w:rsidRPr="003B65C2">
              <w:rPr>
                <w:color w:val="231F20"/>
                <w:sz w:val="16"/>
                <w:szCs w:val="16"/>
              </w:rPr>
              <w:t>Traditional Owners</w:t>
            </w:r>
          </w:p>
        </w:tc>
        <w:tc>
          <w:tcPr>
            <w:tcW w:w="2750" w:type="dxa"/>
            <w:tcBorders>
              <w:top w:val="single" w:sz="4" w:space="0" w:color="231F20"/>
              <w:left w:val="single" w:sz="4" w:space="0" w:color="231F20"/>
              <w:bottom w:val="single" w:sz="4" w:space="0" w:color="231F20"/>
              <w:right w:val="single" w:sz="4" w:space="0" w:color="231F20"/>
            </w:tcBorders>
          </w:tcPr>
          <w:p w:rsidR="003B65C2" w:rsidRPr="003B65C2" w:rsidRDefault="003B65C2" w:rsidP="003B65C2">
            <w:pPr>
              <w:pStyle w:val="TableParagraph"/>
              <w:spacing w:before="67"/>
              <w:ind w:left="84"/>
              <w:rPr>
                <w:b/>
                <w:bCs/>
                <w:sz w:val="16"/>
                <w:szCs w:val="16"/>
              </w:rPr>
            </w:pPr>
            <w:r w:rsidRPr="003B65C2">
              <w:rPr>
                <w:b/>
                <w:bCs/>
                <w:color w:val="231F20"/>
                <w:sz w:val="16"/>
                <w:szCs w:val="16"/>
              </w:rPr>
              <w:t>IAP2 level:</w:t>
            </w:r>
            <w:r w:rsidRPr="003B65C2">
              <w:rPr>
                <w:b/>
                <w:bCs/>
                <w:sz w:val="16"/>
                <w:szCs w:val="16"/>
              </w:rPr>
              <w:t xml:space="preserve"> </w:t>
            </w:r>
            <w:r w:rsidRPr="003B65C2">
              <w:rPr>
                <w:b/>
                <w:bCs/>
                <w:color w:val="231F20"/>
                <w:sz w:val="16"/>
                <w:szCs w:val="16"/>
              </w:rPr>
              <w:t>Collaborate</w:t>
            </w:r>
          </w:p>
          <w:p w:rsidR="003B65C2" w:rsidRPr="003B65C2" w:rsidRDefault="003B65C2" w:rsidP="003B65C2">
            <w:pPr>
              <w:pStyle w:val="TableParagraph"/>
              <w:numPr>
                <w:ilvl w:val="0"/>
                <w:numId w:val="516"/>
              </w:numPr>
              <w:tabs>
                <w:tab w:val="left" w:pos="305"/>
              </w:tabs>
              <w:spacing w:before="74" w:line="254" w:lineRule="auto"/>
              <w:ind w:right="325"/>
              <w:rPr>
                <w:sz w:val="16"/>
                <w:szCs w:val="16"/>
              </w:rPr>
            </w:pPr>
            <w:r w:rsidRPr="003B65C2">
              <w:rPr>
                <w:color w:val="231F20"/>
                <w:sz w:val="16"/>
                <w:szCs w:val="16"/>
              </w:rPr>
              <w:t>Traditional Owners of Hattah Lake (Aboriginal Victorians</w:t>
            </w:r>
            <w:r w:rsidRPr="003B65C2">
              <w:rPr>
                <w:color w:val="231F20"/>
                <w:spacing w:val="-12"/>
                <w:sz w:val="16"/>
                <w:szCs w:val="16"/>
              </w:rPr>
              <w:t xml:space="preserve"> </w:t>
            </w:r>
            <w:r w:rsidRPr="003B65C2">
              <w:rPr>
                <w:color w:val="231F20"/>
                <w:sz w:val="16"/>
                <w:szCs w:val="16"/>
              </w:rPr>
              <w:t xml:space="preserve">from </w:t>
            </w:r>
            <w:r w:rsidRPr="003B65C2">
              <w:rPr>
                <w:color w:val="231F20"/>
                <w:spacing w:val="-3"/>
                <w:sz w:val="16"/>
                <w:szCs w:val="16"/>
              </w:rPr>
              <w:t xml:space="preserve">Wadi </w:t>
            </w:r>
            <w:r w:rsidRPr="003B65C2">
              <w:rPr>
                <w:color w:val="231F20"/>
                <w:sz w:val="16"/>
                <w:szCs w:val="16"/>
              </w:rPr>
              <w:t xml:space="preserve">Wadi, </w:t>
            </w:r>
            <w:r w:rsidRPr="003B65C2">
              <w:rPr>
                <w:color w:val="231F20"/>
                <w:spacing w:val="-6"/>
                <w:sz w:val="16"/>
                <w:szCs w:val="16"/>
              </w:rPr>
              <w:t xml:space="preserve">Tati </w:t>
            </w:r>
            <w:r w:rsidRPr="003B65C2">
              <w:rPr>
                <w:color w:val="231F20"/>
                <w:spacing w:val="-5"/>
                <w:sz w:val="16"/>
                <w:szCs w:val="16"/>
              </w:rPr>
              <w:t xml:space="preserve">Tati, </w:t>
            </w:r>
            <w:r w:rsidRPr="003B65C2">
              <w:rPr>
                <w:color w:val="231F20"/>
                <w:sz w:val="16"/>
                <w:szCs w:val="16"/>
              </w:rPr>
              <w:t>Latje Latje and</w:t>
            </w:r>
            <w:r w:rsidRPr="003B65C2">
              <w:rPr>
                <w:color w:val="231F20"/>
                <w:spacing w:val="-4"/>
                <w:sz w:val="16"/>
                <w:szCs w:val="16"/>
              </w:rPr>
              <w:t xml:space="preserve"> </w:t>
            </w:r>
            <w:r w:rsidRPr="003B65C2">
              <w:rPr>
                <w:color w:val="231F20"/>
                <w:sz w:val="16"/>
                <w:szCs w:val="16"/>
              </w:rPr>
              <w:t>Munutunga)</w:t>
            </w:r>
          </w:p>
        </w:tc>
        <w:tc>
          <w:tcPr>
            <w:tcW w:w="2750" w:type="dxa"/>
            <w:tcBorders>
              <w:top w:val="single" w:sz="4" w:space="0" w:color="231F20"/>
              <w:left w:val="single" w:sz="4" w:space="0" w:color="231F20"/>
              <w:bottom w:val="single" w:sz="4" w:space="0" w:color="231F20"/>
              <w:right w:val="single" w:sz="4" w:space="0" w:color="231F20"/>
            </w:tcBorders>
          </w:tcPr>
          <w:p w:rsidR="003B65C2" w:rsidRPr="003B65C2" w:rsidRDefault="003B65C2" w:rsidP="003B65C2">
            <w:pPr>
              <w:pStyle w:val="TableParagraph"/>
              <w:spacing w:before="67"/>
              <w:ind w:left="84"/>
              <w:rPr>
                <w:b/>
                <w:bCs/>
                <w:sz w:val="16"/>
                <w:szCs w:val="16"/>
              </w:rPr>
            </w:pPr>
            <w:r w:rsidRPr="003B65C2">
              <w:rPr>
                <w:b/>
                <w:bCs/>
                <w:color w:val="231F20"/>
                <w:sz w:val="16"/>
                <w:szCs w:val="16"/>
              </w:rPr>
              <w:t>IAP2 level: Collaborate</w:t>
            </w:r>
          </w:p>
          <w:p w:rsidR="003B65C2" w:rsidRPr="003B65C2" w:rsidRDefault="003B65C2" w:rsidP="003B65C2">
            <w:pPr>
              <w:pStyle w:val="TableParagraph"/>
              <w:numPr>
                <w:ilvl w:val="0"/>
                <w:numId w:val="515"/>
              </w:numPr>
              <w:tabs>
                <w:tab w:val="left" w:pos="305"/>
              </w:tabs>
              <w:spacing w:before="74" w:line="254" w:lineRule="auto"/>
              <w:ind w:right="723"/>
              <w:rPr>
                <w:sz w:val="16"/>
                <w:szCs w:val="16"/>
              </w:rPr>
            </w:pPr>
            <w:r w:rsidRPr="003B65C2">
              <w:rPr>
                <w:color w:val="231F20"/>
                <w:sz w:val="16"/>
                <w:szCs w:val="16"/>
              </w:rPr>
              <w:t>Robinvale Elders</w:t>
            </w:r>
            <w:r w:rsidRPr="003B65C2">
              <w:rPr>
                <w:color w:val="231F20"/>
                <w:spacing w:val="-11"/>
                <w:sz w:val="16"/>
                <w:szCs w:val="16"/>
              </w:rPr>
              <w:t xml:space="preserve"> </w:t>
            </w:r>
            <w:r w:rsidRPr="003B65C2">
              <w:rPr>
                <w:color w:val="231F20"/>
                <w:sz w:val="16"/>
                <w:szCs w:val="16"/>
              </w:rPr>
              <w:t>and communties</w:t>
            </w:r>
          </w:p>
          <w:p w:rsidR="003B65C2" w:rsidRPr="003B65C2" w:rsidRDefault="003B65C2" w:rsidP="003B65C2">
            <w:pPr>
              <w:pStyle w:val="TableParagraph"/>
              <w:numPr>
                <w:ilvl w:val="0"/>
                <w:numId w:val="515"/>
              </w:numPr>
              <w:tabs>
                <w:tab w:val="left" w:pos="305"/>
              </w:tabs>
              <w:spacing w:before="86" w:line="254" w:lineRule="auto"/>
              <w:ind w:right="73"/>
              <w:rPr>
                <w:sz w:val="16"/>
                <w:szCs w:val="16"/>
              </w:rPr>
            </w:pPr>
            <w:r w:rsidRPr="003B65C2">
              <w:rPr>
                <w:color w:val="231F20"/>
                <w:sz w:val="16"/>
                <w:szCs w:val="16"/>
              </w:rPr>
              <w:t>First People of the Millewa- Mallee Aboriginal</w:t>
            </w:r>
            <w:r w:rsidRPr="003B65C2">
              <w:rPr>
                <w:color w:val="231F20"/>
                <w:spacing w:val="-22"/>
                <w:sz w:val="16"/>
                <w:szCs w:val="16"/>
              </w:rPr>
              <w:t xml:space="preserve"> </w:t>
            </w:r>
            <w:r w:rsidRPr="003B65C2">
              <w:rPr>
                <w:color w:val="231F20"/>
                <w:sz w:val="16"/>
                <w:szCs w:val="16"/>
              </w:rPr>
              <w:t>Corporation</w:t>
            </w:r>
          </w:p>
        </w:tc>
        <w:tc>
          <w:tcPr>
            <w:tcW w:w="2750" w:type="dxa"/>
            <w:tcBorders>
              <w:top w:val="single" w:sz="4" w:space="0" w:color="231F20"/>
              <w:left w:val="single" w:sz="4" w:space="0" w:color="231F20"/>
              <w:bottom w:val="single" w:sz="4" w:space="0" w:color="231F20"/>
              <w:right w:val="single" w:sz="4" w:space="0" w:color="231F20"/>
            </w:tcBorders>
          </w:tcPr>
          <w:p w:rsidR="003B65C2" w:rsidRPr="003B65C2" w:rsidRDefault="003B65C2" w:rsidP="003B65C2">
            <w:pPr>
              <w:pStyle w:val="TableParagraph"/>
              <w:spacing w:before="67"/>
              <w:ind w:left="84"/>
              <w:rPr>
                <w:b/>
                <w:bCs/>
                <w:sz w:val="16"/>
                <w:szCs w:val="16"/>
              </w:rPr>
            </w:pPr>
            <w:r w:rsidRPr="003B65C2">
              <w:rPr>
                <w:b/>
                <w:bCs/>
                <w:color w:val="231F20"/>
                <w:sz w:val="16"/>
                <w:szCs w:val="16"/>
              </w:rPr>
              <w:t>IAP2 level: Collaborate</w:t>
            </w:r>
          </w:p>
          <w:p w:rsidR="003B65C2" w:rsidRPr="003B65C2" w:rsidRDefault="003B65C2" w:rsidP="003B65C2">
            <w:pPr>
              <w:pStyle w:val="TableParagraph"/>
              <w:numPr>
                <w:ilvl w:val="0"/>
                <w:numId w:val="514"/>
              </w:numPr>
              <w:tabs>
                <w:tab w:val="left" w:pos="305"/>
              </w:tabs>
              <w:spacing w:before="74" w:line="254" w:lineRule="auto"/>
              <w:ind w:right="430"/>
              <w:rPr>
                <w:sz w:val="16"/>
                <w:szCs w:val="16"/>
              </w:rPr>
            </w:pPr>
            <w:r w:rsidRPr="003B65C2">
              <w:rPr>
                <w:color w:val="231F20"/>
                <w:sz w:val="16"/>
                <w:szCs w:val="16"/>
              </w:rPr>
              <w:t xml:space="preserve">Traditional owners of </w:t>
            </w:r>
            <w:r w:rsidRPr="003B65C2">
              <w:rPr>
                <w:color w:val="231F20"/>
                <w:spacing w:val="-1"/>
                <w:sz w:val="16"/>
                <w:szCs w:val="16"/>
              </w:rPr>
              <w:t>Lindsay-Mulcra-Wallpolla</w:t>
            </w:r>
          </w:p>
          <w:p w:rsidR="003B65C2" w:rsidRPr="003B65C2" w:rsidRDefault="003B65C2" w:rsidP="003B65C2">
            <w:pPr>
              <w:pStyle w:val="TableParagraph"/>
              <w:numPr>
                <w:ilvl w:val="0"/>
                <w:numId w:val="514"/>
              </w:numPr>
              <w:tabs>
                <w:tab w:val="left" w:pos="305"/>
              </w:tabs>
              <w:spacing w:before="86" w:line="254" w:lineRule="auto"/>
              <w:ind w:right="74"/>
              <w:rPr>
                <w:sz w:val="16"/>
                <w:szCs w:val="16"/>
              </w:rPr>
            </w:pPr>
            <w:r w:rsidRPr="003B65C2">
              <w:rPr>
                <w:color w:val="231F20"/>
                <w:sz w:val="16"/>
                <w:szCs w:val="16"/>
              </w:rPr>
              <w:t>First People of the Millewa- Mallee Aboriginal</w:t>
            </w:r>
            <w:r w:rsidRPr="003B65C2">
              <w:rPr>
                <w:color w:val="231F20"/>
                <w:spacing w:val="-22"/>
                <w:sz w:val="16"/>
                <w:szCs w:val="16"/>
              </w:rPr>
              <w:t xml:space="preserve"> </w:t>
            </w:r>
            <w:r w:rsidRPr="003B65C2">
              <w:rPr>
                <w:color w:val="231F20"/>
                <w:sz w:val="16"/>
                <w:szCs w:val="16"/>
              </w:rPr>
              <w:t>Corporation</w:t>
            </w:r>
          </w:p>
        </w:tc>
      </w:tr>
    </w:tbl>
    <w:p w:rsidR="00205B3F" w:rsidRDefault="00205B3F">
      <w:pPr>
        <w:spacing w:before="130" w:line="249" w:lineRule="auto"/>
        <w:ind w:left="210" w:right="208"/>
        <w:rPr>
          <w:b/>
          <w:color w:val="231F20"/>
          <w:sz w:val="18"/>
        </w:rPr>
      </w:pPr>
    </w:p>
    <w:p w:rsidR="00205B3F" w:rsidRDefault="00205B3F">
      <w:pPr>
        <w:rPr>
          <w:b/>
          <w:color w:val="231F20"/>
          <w:sz w:val="18"/>
        </w:rPr>
      </w:pPr>
      <w:r>
        <w:rPr>
          <w:b/>
          <w:color w:val="231F20"/>
          <w:sz w:val="18"/>
        </w:rPr>
        <w:br w:type="page"/>
      </w:r>
    </w:p>
    <w:p w:rsidR="006A7A3F" w:rsidRDefault="00BC7372">
      <w:pPr>
        <w:spacing w:before="130" w:line="249" w:lineRule="auto"/>
        <w:ind w:left="210" w:right="208"/>
        <w:rPr>
          <w:b/>
          <w:sz w:val="18"/>
        </w:rPr>
      </w:pPr>
      <w:r>
        <w:rPr>
          <w:b/>
          <w:color w:val="231F20"/>
          <w:sz w:val="18"/>
        </w:rPr>
        <w:t>Table 5.1.4 Partners and stakeholders engaged by North Central CMA in developing seasonal watering proposals for the Gunbower Creek and Forest, Central Murray wetlands and Boort wetlands, Campaspe River, Coliban River, Loddon River, Birchs Creek and Guttrum Forest systems and other key foundation documents that have directly informed the proposals</w:t>
      </w:r>
    </w:p>
    <w:p w:rsidR="006A7A3F" w:rsidRDefault="006A7A3F">
      <w:pPr>
        <w:pStyle w:val="BodyText"/>
        <w:spacing w:before="5"/>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134"/>
        <w:gridCol w:w="1304"/>
        <w:gridCol w:w="1304"/>
        <w:gridCol w:w="1304"/>
        <w:gridCol w:w="1304"/>
        <w:gridCol w:w="1304"/>
        <w:gridCol w:w="1304"/>
        <w:gridCol w:w="1304"/>
      </w:tblGrid>
      <w:tr w:rsidR="006A7A3F">
        <w:trPr>
          <w:trHeight w:val="802"/>
        </w:trPr>
        <w:tc>
          <w:tcPr>
            <w:tcW w:w="1134" w:type="dxa"/>
            <w:tcBorders>
              <w:top w:val="nil"/>
              <w:left w:val="nil"/>
              <w:bottom w:val="nil"/>
            </w:tcBorders>
            <w:shd w:val="clear" w:color="auto" w:fill="231F20"/>
          </w:tcPr>
          <w:p w:rsidR="006A7A3F" w:rsidRDefault="006A7A3F">
            <w:pPr>
              <w:pStyle w:val="TableParagraph"/>
              <w:ind w:left="0"/>
              <w:rPr>
                <w:rFonts w:ascii="Times New Roman"/>
                <w:sz w:val="16"/>
              </w:rPr>
            </w:pPr>
          </w:p>
        </w:tc>
        <w:tc>
          <w:tcPr>
            <w:tcW w:w="1304" w:type="dxa"/>
            <w:tcBorders>
              <w:top w:val="nil"/>
              <w:bottom w:val="nil"/>
            </w:tcBorders>
            <w:shd w:val="clear" w:color="auto" w:fill="231F20"/>
          </w:tcPr>
          <w:p w:rsidR="006A7A3F" w:rsidRDefault="00BC7372">
            <w:pPr>
              <w:pStyle w:val="TableParagraph"/>
              <w:spacing w:before="75" w:line="254" w:lineRule="auto"/>
              <w:ind w:left="56" w:right="381"/>
              <w:jc w:val="both"/>
              <w:rPr>
                <w:b/>
                <w:sz w:val="18"/>
              </w:rPr>
            </w:pPr>
            <w:r>
              <w:rPr>
                <w:b/>
                <w:color w:val="FFFFFF"/>
                <w:spacing w:val="-5"/>
                <w:sz w:val="18"/>
              </w:rPr>
              <w:t xml:space="preserve">Gunbower </w:t>
            </w:r>
            <w:r>
              <w:rPr>
                <w:b/>
                <w:color w:val="FFFFFF"/>
                <w:spacing w:val="-4"/>
                <w:sz w:val="18"/>
              </w:rPr>
              <w:t xml:space="preserve">Creek </w:t>
            </w:r>
            <w:r>
              <w:rPr>
                <w:b/>
                <w:color w:val="FFFFFF"/>
                <w:spacing w:val="-5"/>
                <w:sz w:val="18"/>
              </w:rPr>
              <w:t>and Forest</w:t>
            </w:r>
          </w:p>
        </w:tc>
        <w:tc>
          <w:tcPr>
            <w:tcW w:w="1304" w:type="dxa"/>
            <w:tcBorders>
              <w:top w:val="nil"/>
              <w:bottom w:val="nil"/>
            </w:tcBorders>
            <w:shd w:val="clear" w:color="auto" w:fill="231F20"/>
          </w:tcPr>
          <w:p w:rsidR="006A7A3F" w:rsidRDefault="00BC7372">
            <w:pPr>
              <w:pStyle w:val="TableParagraph"/>
              <w:spacing w:before="75" w:line="254" w:lineRule="auto"/>
              <w:ind w:left="56" w:right="-3"/>
              <w:rPr>
                <w:b/>
                <w:sz w:val="18"/>
              </w:rPr>
            </w:pPr>
            <w:r>
              <w:rPr>
                <w:b/>
                <w:color w:val="FFFFFF"/>
                <w:spacing w:val="-5"/>
                <w:sz w:val="18"/>
              </w:rPr>
              <w:t xml:space="preserve">Central Murray wetlands and </w:t>
            </w:r>
            <w:r>
              <w:rPr>
                <w:b/>
                <w:color w:val="FFFFFF"/>
                <w:spacing w:val="-4"/>
                <w:sz w:val="18"/>
              </w:rPr>
              <w:t xml:space="preserve">Boort </w:t>
            </w:r>
            <w:r>
              <w:rPr>
                <w:b/>
                <w:color w:val="FFFFFF"/>
                <w:spacing w:val="-7"/>
                <w:sz w:val="18"/>
              </w:rPr>
              <w:t>wetlands</w:t>
            </w:r>
          </w:p>
        </w:tc>
        <w:tc>
          <w:tcPr>
            <w:tcW w:w="1304" w:type="dxa"/>
            <w:tcBorders>
              <w:top w:val="nil"/>
              <w:bottom w:val="nil"/>
            </w:tcBorders>
            <w:shd w:val="clear" w:color="auto" w:fill="231F20"/>
          </w:tcPr>
          <w:p w:rsidR="006A7A3F" w:rsidRDefault="00BC7372">
            <w:pPr>
              <w:pStyle w:val="TableParagraph"/>
              <w:spacing w:before="75" w:line="254" w:lineRule="auto"/>
              <w:ind w:left="56"/>
              <w:rPr>
                <w:b/>
                <w:sz w:val="18"/>
              </w:rPr>
            </w:pPr>
            <w:r>
              <w:rPr>
                <w:b/>
                <w:color w:val="FFFFFF"/>
                <w:sz w:val="18"/>
              </w:rPr>
              <w:t>Campaspe River</w:t>
            </w:r>
          </w:p>
        </w:tc>
        <w:tc>
          <w:tcPr>
            <w:tcW w:w="1304" w:type="dxa"/>
            <w:tcBorders>
              <w:top w:val="nil"/>
              <w:bottom w:val="nil"/>
            </w:tcBorders>
            <w:shd w:val="clear" w:color="auto" w:fill="231F20"/>
          </w:tcPr>
          <w:p w:rsidR="006A7A3F" w:rsidRDefault="00BC7372">
            <w:pPr>
              <w:pStyle w:val="TableParagraph"/>
              <w:spacing w:before="75"/>
              <w:ind w:left="56"/>
              <w:rPr>
                <w:b/>
                <w:sz w:val="18"/>
              </w:rPr>
            </w:pPr>
            <w:r>
              <w:rPr>
                <w:b/>
                <w:color w:val="FFFFFF"/>
                <w:sz w:val="18"/>
              </w:rPr>
              <w:t>Coliban River</w:t>
            </w:r>
          </w:p>
        </w:tc>
        <w:tc>
          <w:tcPr>
            <w:tcW w:w="1304" w:type="dxa"/>
            <w:tcBorders>
              <w:top w:val="nil"/>
              <w:bottom w:val="nil"/>
            </w:tcBorders>
            <w:shd w:val="clear" w:color="auto" w:fill="231F20"/>
          </w:tcPr>
          <w:p w:rsidR="006A7A3F" w:rsidRDefault="00BC7372">
            <w:pPr>
              <w:pStyle w:val="TableParagraph"/>
              <w:spacing w:before="75"/>
              <w:ind w:left="56"/>
              <w:rPr>
                <w:b/>
                <w:sz w:val="18"/>
              </w:rPr>
            </w:pPr>
            <w:r>
              <w:rPr>
                <w:b/>
                <w:color w:val="FFFFFF"/>
                <w:sz w:val="18"/>
              </w:rPr>
              <w:t>Loddon River</w:t>
            </w:r>
          </w:p>
        </w:tc>
        <w:tc>
          <w:tcPr>
            <w:tcW w:w="1304" w:type="dxa"/>
            <w:tcBorders>
              <w:top w:val="nil"/>
              <w:bottom w:val="nil"/>
            </w:tcBorders>
            <w:shd w:val="clear" w:color="auto" w:fill="231F20"/>
          </w:tcPr>
          <w:p w:rsidR="006A7A3F" w:rsidRDefault="00BC7372">
            <w:pPr>
              <w:pStyle w:val="TableParagraph"/>
              <w:spacing w:before="75"/>
              <w:ind w:left="56"/>
              <w:rPr>
                <w:b/>
                <w:sz w:val="18"/>
              </w:rPr>
            </w:pPr>
            <w:r>
              <w:rPr>
                <w:b/>
                <w:color w:val="FFFFFF"/>
                <w:sz w:val="18"/>
              </w:rPr>
              <w:t>Birchs Creek</w:t>
            </w:r>
          </w:p>
        </w:tc>
        <w:tc>
          <w:tcPr>
            <w:tcW w:w="1304" w:type="dxa"/>
            <w:tcBorders>
              <w:top w:val="nil"/>
              <w:bottom w:val="nil"/>
              <w:right w:val="nil"/>
            </w:tcBorders>
            <w:shd w:val="clear" w:color="auto" w:fill="231F20"/>
          </w:tcPr>
          <w:p w:rsidR="006A7A3F" w:rsidRDefault="00BC7372">
            <w:pPr>
              <w:pStyle w:val="TableParagraph"/>
              <w:spacing w:before="75" w:line="254" w:lineRule="auto"/>
              <w:ind w:left="56" w:right="3"/>
              <w:rPr>
                <w:b/>
                <w:sz w:val="18"/>
              </w:rPr>
            </w:pPr>
            <w:r>
              <w:rPr>
                <w:b/>
                <w:color w:val="FFFFFF"/>
                <w:sz w:val="18"/>
              </w:rPr>
              <w:t>Guttrum Forest</w:t>
            </w:r>
          </w:p>
        </w:tc>
      </w:tr>
      <w:tr w:rsidR="006A7A3F">
        <w:trPr>
          <w:trHeight w:val="1962"/>
        </w:trPr>
        <w:tc>
          <w:tcPr>
            <w:tcW w:w="1134"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42" w:lineRule="auto"/>
              <w:ind w:left="85" w:right="138"/>
              <w:rPr>
                <w:sz w:val="16"/>
              </w:rPr>
            </w:pPr>
            <w:r>
              <w:rPr>
                <w:color w:val="231F20"/>
                <w:sz w:val="16"/>
              </w:rPr>
              <w:t>Community groups and environment groups</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42" w:lineRule="auto"/>
              <w:ind w:left="56" w:right="453"/>
              <w:rPr>
                <w:sz w:val="16"/>
              </w:rPr>
            </w:pPr>
            <w:r>
              <w:rPr>
                <w:color w:val="231F20"/>
                <w:sz w:val="16"/>
              </w:rPr>
              <w:t>IAP2 level: Consult</w:t>
            </w:r>
          </w:p>
          <w:p w:rsidR="006A7A3F" w:rsidRDefault="00BC7372">
            <w:pPr>
              <w:pStyle w:val="TableParagraph"/>
              <w:numPr>
                <w:ilvl w:val="0"/>
                <w:numId w:val="513"/>
              </w:numPr>
              <w:tabs>
                <w:tab w:val="left" w:pos="277"/>
              </w:tabs>
              <w:spacing w:before="58" w:line="242" w:lineRule="auto"/>
              <w:ind w:right="130"/>
              <w:rPr>
                <w:sz w:val="16"/>
              </w:rPr>
            </w:pPr>
            <w:r>
              <w:rPr>
                <w:color w:val="231F20"/>
                <w:spacing w:val="-4"/>
                <w:sz w:val="16"/>
              </w:rPr>
              <w:t>Gunbower Island Com- munity</w:t>
            </w:r>
            <w:r>
              <w:rPr>
                <w:color w:val="231F20"/>
                <w:spacing w:val="-21"/>
                <w:sz w:val="16"/>
              </w:rPr>
              <w:t xml:space="preserve"> </w:t>
            </w:r>
            <w:r>
              <w:rPr>
                <w:color w:val="231F20"/>
                <w:spacing w:val="-7"/>
                <w:sz w:val="16"/>
              </w:rPr>
              <w:t xml:space="preserve">Refer- </w:t>
            </w:r>
            <w:r>
              <w:rPr>
                <w:color w:val="231F20"/>
                <w:spacing w:val="-3"/>
                <w:sz w:val="16"/>
              </w:rPr>
              <w:t>ence</w:t>
            </w:r>
            <w:r>
              <w:rPr>
                <w:color w:val="231F20"/>
                <w:spacing w:val="-16"/>
                <w:sz w:val="16"/>
              </w:rPr>
              <w:t xml:space="preserve"> </w:t>
            </w:r>
            <w:r>
              <w:rPr>
                <w:color w:val="231F20"/>
                <w:spacing w:val="-4"/>
                <w:sz w:val="16"/>
              </w:rPr>
              <w:t>Group</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512"/>
              </w:numPr>
              <w:tabs>
                <w:tab w:val="left" w:pos="277"/>
              </w:tabs>
              <w:spacing w:before="59" w:line="242" w:lineRule="auto"/>
              <w:ind w:right="446"/>
              <w:rPr>
                <w:sz w:val="16"/>
              </w:rPr>
            </w:pPr>
            <w:r>
              <w:rPr>
                <w:color w:val="231F20"/>
                <w:spacing w:val="-4"/>
                <w:sz w:val="16"/>
              </w:rPr>
              <w:t xml:space="preserve">Birdlife </w:t>
            </w:r>
            <w:r>
              <w:rPr>
                <w:color w:val="231F20"/>
                <w:spacing w:val="-4"/>
                <w:w w:val="95"/>
                <w:sz w:val="16"/>
              </w:rPr>
              <w:t>Australia</w:t>
            </w:r>
          </w:p>
          <w:p w:rsidR="006A7A3F" w:rsidRDefault="00BC7372">
            <w:pPr>
              <w:pStyle w:val="TableParagraph"/>
              <w:numPr>
                <w:ilvl w:val="0"/>
                <w:numId w:val="512"/>
              </w:numPr>
              <w:tabs>
                <w:tab w:val="left" w:pos="277"/>
              </w:tabs>
              <w:spacing w:before="86" w:line="242" w:lineRule="auto"/>
              <w:ind w:right="182"/>
              <w:rPr>
                <w:sz w:val="16"/>
              </w:rPr>
            </w:pPr>
            <w:r>
              <w:rPr>
                <w:color w:val="231F20"/>
                <w:spacing w:val="-4"/>
                <w:sz w:val="16"/>
              </w:rPr>
              <w:t>BirdLife</w:t>
            </w:r>
            <w:r>
              <w:rPr>
                <w:color w:val="231F20"/>
                <w:spacing w:val="-31"/>
                <w:sz w:val="16"/>
              </w:rPr>
              <w:t xml:space="preserve"> </w:t>
            </w:r>
            <w:r>
              <w:rPr>
                <w:color w:val="231F20"/>
                <w:spacing w:val="-7"/>
                <w:sz w:val="16"/>
              </w:rPr>
              <w:t xml:space="preserve">Aus- </w:t>
            </w:r>
            <w:r>
              <w:rPr>
                <w:color w:val="231F20"/>
                <w:spacing w:val="-4"/>
                <w:sz w:val="16"/>
              </w:rPr>
              <w:t>tralia</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511"/>
              </w:numPr>
              <w:tabs>
                <w:tab w:val="left" w:pos="277"/>
              </w:tabs>
              <w:spacing w:before="59" w:line="242" w:lineRule="auto"/>
              <w:ind w:right="399"/>
              <w:rPr>
                <w:sz w:val="16"/>
              </w:rPr>
            </w:pPr>
            <w:r>
              <w:rPr>
                <w:color w:val="231F20"/>
                <w:spacing w:val="-4"/>
                <w:sz w:val="16"/>
              </w:rPr>
              <w:t xml:space="preserve">Echuca Moama </w:t>
            </w:r>
            <w:r>
              <w:rPr>
                <w:color w:val="231F20"/>
                <w:spacing w:val="-4"/>
                <w:w w:val="95"/>
                <w:sz w:val="16"/>
              </w:rPr>
              <w:t xml:space="preserve">Landcare </w:t>
            </w:r>
            <w:r>
              <w:rPr>
                <w:color w:val="231F20"/>
                <w:spacing w:val="-4"/>
                <w:sz w:val="16"/>
              </w:rPr>
              <w:t>Group</w:t>
            </w:r>
          </w:p>
          <w:p w:rsidR="006A7A3F" w:rsidRDefault="00BC7372">
            <w:pPr>
              <w:pStyle w:val="TableParagraph"/>
              <w:numPr>
                <w:ilvl w:val="0"/>
                <w:numId w:val="511"/>
              </w:numPr>
              <w:tabs>
                <w:tab w:val="left" w:pos="277"/>
              </w:tabs>
              <w:spacing w:before="86" w:line="242" w:lineRule="auto"/>
              <w:ind w:right="316"/>
              <w:rPr>
                <w:sz w:val="16"/>
              </w:rPr>
            </w:pPr>
            <w:r>
              <w:rPr>
                <w:color w:val="231F20"/>
                <w:spacing w:val="-4"/>
                <w:w w:val="95"/>
                <w:sz w:val="16"/>
              </w:rPr>
              <w:t xml:space="preserve">Strathallan </w:t>
            </w:r>
            <w:r>
              <w:rPr>
                <w:color w:val="231F20"/>
                <w:spacing w:val="-4"/>
                <w:sz w:val="16"/>
              </w:rPr>
              <w:t>Family Landcare Group</w:t>
            </w:r>
          </w:p>
        </w:tc>
        <w:tc>
          <w:tcPr>
            <w:tcW w:w="1304" w:type="dxa"/>
            <w:tcBorders>
              <w:top w:val="nil"/>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nil"/>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nil"/>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nil"/>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5178"/>
        </w:trPr>
        <w:tc>
          <w:tcPr>
            <w:tcW w:w="113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85" w:right="138"/>
              <w:rPr>
                <w:sz w:val="16"/>
              </w:rPr>
            </w:pPr>
            <w:r>
              <w:rPr>
                <w:color w:val="231F20"/>
                <w:sz w:val="16"/>
              </w:rPr>
              <w:t>Government agencies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510"/>
              </w:numPr>
              <w:tabs>
                <w:tab w:val="left" w:pos="277"/>
              </w:tabs>
              <w:spacing w:before="58" w:line="242" w:lineRule="auto"/>
              <w:ind w:right="73"/>
              <w:rPr>
                <w:sz w:val="16"/>
              </w:rPr>
            </w:pPr>
            <w:r>
              <w:rPr>
                <w:color w:val="231F20"/>
                <w:spacing w:val="-4"/>
                <w:sz w:val="16"/>
              </w:rPr>
              <w:t xml:space="preserve">Common- wealth </w:t>
            </w:r>
            <w:r>
              <w:rPr>
                <w:color w:val="231F20"/>
                <w:spacing w:val="-4"/>
                <w:w w:val="95"/>
                <w:sz w:val="16"/>
              </w:rPr>
              <w:t xml:space="preserve">Environmental </w:t>
            </w:r>
            <w:r>
              <w:rPr>
                <w:color w:val="231F20"/>
                <w:spacing w:val="-5"/>
                <w:sz w:val="16"/>
              </w:rPr>
              <w:t>Water</w:t>
            </w:r>
            <w:r>
              <w:rPr>
                <w:color w:val="231F20"/>
                <w:spacing w:val="-14"/>
                <w:sz w:val="16"/>
              </w:rPr>
              <w:t xml:space="preserve"> </w:t>
            </w:r>
            <w:r>
              <w:rPr>
                <w:color w:val="231F20"/>
                <w:spacing w:val="-4"/>
                <w:sz w:val="16"/>
              </w:rPr>
              <w:t>Office</w:t>
            </w:r>
          </w:p>
          <w:p w:rsidR="006A7A3F" w:rsidRDefault="00BC7372">
            <w:pPr>
              <w:pStyle w:val="TableParagraph"/>
              <w:numPr>
                <w:ilvl w:val="0"/>
                <w:numId w:val="510"/>
              </w:numPr>
              <w:tabs>
                <w:tab w:val="left" w:pos="277"/>
              </w:tabs>
              <w:spacing w:before="85" w:line="242" w:lineRule="auto"/>
              <w:ind w:right="83"/>
              <w:rPr>
                <w:sz w:val="16"/>
              </w:rPr>
            </w:pPr>
            <w:r>
              <w:rPr>
                <w:color w:val="231F20"/>
                <w:spacing w:val="-4"/>
                <w:sz w:val="16"/>
              </w:rPr>
              <w:t>Department</w:t>
            </w:r>
            <w:r>
              <w:rPr>
                <w:color w:val="231F20"/>
                <w:spacing w:val="-26"/>
                <w:sz w:val="16"/>
              </w:rPr>
              <w:t xml:space="preserve"> </w:t>
            </w:r>
            <w:r>
              <w:rPr>
                <w:color w:val="231F20"/>
                <w:spacing w:val="-12"/>
                <w:sz w:val="16"/>
              </w:rPr>
              <w:t xml:space="preserve">of </w:t>
            </w:r>
            <w:r>
              <w:rPr>
                <w:color w:val="231F20"/>
                <w:spacing w:val="-4"/>
                <w:sz w:val="16"/>
              </w:rPr>
              <w:t xml:space="preserve">Environment, Land, </w:t>
            </w:r>
            <w:r>
              <w:rPr>
                <w:color w:val="231F20"/>
                <w:spacing w:val="-6"/>
                <w:sz w:val="16"/>
              </w:rPr>
              <w:t xml:space="preserve">Water </w:t>
            </w:r>
            <w:r>
              <w:rPr>
                <w:color w:val="231F20"/>
                <w:spacing w:val="-3"/>
                <w:sz w:val="16"/>
              </w:rPr>
              <w:t>and</w:t>
            </w:r>
            <w:r>
              <w:rPr>
                <w:color w:val="231F20"/>
                <w:spacing w:val="-18"/>
                <w:sz w:val="16"/>
              </w:rPr>
              <w:t xml:space="preserve"> </w:t>
            </w:r>
            <w:r>
              <w:rPr>
                <w:color w:val="231F20"/>
                <w:spacing w:val="-4"/>
                <w:sz w:val="16"/>
              </w:rPr>
              <w:t>Planning</w:t>
            </w:r>
          </w:p>
          <w:p w:rsidR="006A7A3F" w:rsidRDefault="00BC7372">
            <w:pPr>
              <w:pStyle w:val="TableParagraph"/>
              <w:numPr>
                <w:ilvl w:val="0"/>
                <w:numId w:val="510"/>
              </w:numPr>
              <w:tabs>
                <w:tab w:val="left" w:pos="277"/>
              </w:tabs>
              <w:spacing w:before="86" w:line="242" w:lineRule="auto"/>
              <w:ind w:right="127"/>
              <w:rPr>
                <w:sz w:val="16"/>
              </w:rPr>
            </w:pPr>
            <w:r>
              <w:rPr>
                <w:color w:val="231F20"/>
                <w:spacing w:val="-4"/>
                <w:sz w:val="16"/>
              </w:rPr>
              <w:t>Goulburn- Murray</w:t>
            </w:r>
            <w:r>
              <w:rPr>
                <w:color w:val="231F20"/>
                <w:spacing w:val="-29"/>
                <w:sz w:val="16"/>
              </w:rPr>
              <w:t xml:space="preserve"> </w:t>
            </w:r>
            <w:r>
              <w:rPr>
                <w:color w:val="231F20"/>
                <w:spacing w:val="-9"/>
                <w:sz w:val="16"/>
              </w:rPr>
              <w:t>Water</w:t>
            </w:r>
          </w:p>
          <w:p w:rsidR="006A7A3F" w:rsidRDefault="00BC7372">
            <w:pPr>
              <w:pStyle w:val="TableParagraph"/>
              <w:numPr>
                <w:ilvl w:val="0"/>
                <w:numId w:val="510"/>
              </w:numPr>
              <w:tabs>
                <w:tab w:val="left" w:pos="277"/>
              </w:tabs>
              <w:spacing w:before="85" w:line="242" w:lineRule="auto"/>
              <w:ind w:right="134"/>
              <w:rPr>
                <w:sz w:val="16"/>
              </w:rPr>
            </w:pPr>
            <w:r>
              <w:rPr>
                <w:color w:val="231F20"/>
                <w:spacing w:val="-4"/>
                <w:sz w:val="16"/>
              </w:rPr>
              <w:t>Murray- Darling</w:t>
            </w:r>
            <w:r>
              <w:rPr>
                <w:color w:val="231F20"/>
                <w:spacing w:val="-27"/>
                <w:sz w:val="16"/>
              </w:rPr>
              <w:t xml:space="preserve"> </w:t>
            </w:r>
            <w:r>
              <w:rPr>
                <w:color w:val="231F20"/>
                <w:spacing w:val="-4"/>
                <w:sz w:val="16"/>
              </w:rPr>
              <w:t>Basin Authority</w:t>
            </w:r>
            <w:r>
              <w:rPr>
                <w:color w:val="231F20"/>
                <w:spacing w:val="-26"/>
                <w:sz w:val="16"/>
              </w:rPr>
              <w:t xml:space="preserve"> </w:t>
            </w:r>
            <w:r>
              <w:rPr>
                <w:color w:val="231F20"/>
                <w:spacing w:val="-4"/>
                <w:sz w:val="16"/>
              </w:rPr>
              <w:t>(the Living</w:t>
            </w:r>
            <w:r>
              <w:rPr>
                <w:color w:val="231F20"/>
                <w:spacing w:val="-23"/>
                <w:sz w:val="16"/>
              </w:rPr>
              <w:t xml:space="preserve"> </w:t>
            </w:r>
            <w:r>
              <w:rPr>
                <w:color w:val="231F20"/>
                <w:spacing w:val="-7"/>
                <w:sz w:val="16"/>
              </w:rPr>
              <w:t xml:space="preserve">Murray </w:t>
            </w:r>
            <w:r>
              <w:rPr>
                <w:color w:val="231F20"/>
                <w:spacing w:val="-4"/>
                <w:sz w:val="16"/>
              </w:rPr>
              <w:t>program</w:t>
            </w:r>
          </w:p>
          <w:p w:rsidR="006A7A3F" w:rsidRDefault="00BC7372">
            <w:pPr>
              <w:pStyle w:val="TableParagraph"/>
              <w:spacing w:before="1" w:line="242" w:lineRule="auto"/>
              <w:ind w:left="276"/>
              <w:rPr>
                <w:sz w:val="16"/>
              </w:rPr>
            </w:pPr>
            <w:r>
              <w:rPr>
                <w:color w:val="231F20"/>
                <w:sz w:val="16"/>
              </w:rPr>
              <w:t xml:space="preserve">and River </w:t>
            </w:r>
            <w:r>
              <w:rPr>
                <w:color w:val="231F20"/>
                <w:w w:val="95"/>
                <w:sz w:val="16"/>
              </w:rPr>
              <w:t>Operations)</w:t>
            </w:r>
          </w:p>
          <w:p w:rsidR="006A7A3F" w:rsidRDefault="00BC7372">
            <w:pPr>
              <w:pStyle w:val="TableParagraph"/>
              <w:numPr>
                <w:ilvl w:val="0"/>
                <w:numId w:val="510"/>
              </w:numPr>
              <w:tabs>
                <w:tab w:val="left" w:pos="277"/>
              </w:tabs>
              <w:spacing w:before="86" w:line="242" w:lineRule="auto"/>
              <w:ind w:right="86"/>
              <w:rPr>
                <w:sz w:val="16"/>
              </w:rPr>
            </w:pPr>
            <w:r>
              <w:rPr>
                <w:color w:val="231F20"/>
                <w:spacing w:val="-4"/>
                <w:sz w:val="16"/>
              </w:rPr>
              <w:t>Forestry Corporation</w:t>
            </w:r>
            <w:r>
              <w:rPr>
                <w:color w:val="231F20"/>
                <w:spacing w:val="-26"/>
                <w:sz w:val="16"/>
              </w:rPr>
              <w:t xml:space="preserve"> </w:t>
            </w:r>
            <w:r>
              <w:rPr>
                <w:color w:val="231F20"/>
                <w:spacing w:val="-12"/>
                <w:sz w:val="16"/>
              </w:rPr>
              <w:t xml:space="preserve">of </w:t>
            </w:r>
            <w:r>
              <w:rPr>
                <w:color w:val="231F20"/>
                <w:spacing w:val="-4"/>
                <w:sz w:val="16"/>
              </w:rPr>
              <w:t>NSW</w:t>
            </w:r>
          </w:p>
          <w:p w:rsidR="006A7A3F" w:rsidRDefault="00BC7372">
            <w:pPr>
              <w:pStyle w:val="TableParagraph"/>
              <w:numPr>
                <w:ilvl w:val="0"/>
                <w:numId w:val="510"/>
              </w:numPr>
              <w:tabs>
                <w:tab w:val="left" w:pos="277"/>
              </w:tabs>
              <w:spacing w:before="85"/>
              <w:rPr>
                <w:sz w:val="16"/>
              </w:rPr>
            </w:pPr>
            <w:r>
              <w:rPr>
                <w:color w:val="231F20"/>
                <w:spacing w:val="-4"/>
                <w:sz w:val="16"/>
              </w:rPr>
              <w:t>Parks</w:t>
            </w:r>
            <w:r>
              <w:rPr>
                <w:color w:val="231F20"/>
                <w:spacing w:val="-15"/>
                <w:sz w:val="16"/>
              </w:rPr>
              <w:t xml:space="preserve"> </w:t>
            </w:r>
            <w:r>
              <w:rPr>
                <w:color w:val="231F20"/>
                <w:spacing w:val="-5"/>
                <w:sz w:val="16"/>
              </w:rPr>
              <w:t>Victoria</w:t>
            </w:r>
          </w:p>
          <w:p w:rsidR="006A7A3F" w:rsidRDefault="00BC7372">
            <w:pPr>
              <w:pStyle w:val="TableParagraph"/>
              <w:numPr>
                <w:ilvl w:val="0"/>
                <w:numId w:val="510"/>
              </w:numPr>
              <w:tabs>
                <w:tab w:val="left" w:pos="277"/>
              </w:tabs>
              <w:spacing w:before="87"/>
              <w:rPr>
                <w:sz w:val="16"/>
              </w:rPr>
            </w:pPr>
            <w:r>
              <w:rPr>
                <w:color w:val="231F20"/>
                <w:spacing w:val="-4"/>
                <w:sz w:val="16"/>
              </w:rPr>
              <w:t>Vic</w:t>
            </w:r>
            <w:r>
              <w:rPr>
                <w:color w:val="231F20"/>
                <w:spacing w:val="-13"/>
                <w:sz w:val="16"/>
              </w:rPr>
              <w:t xml:space="preserve"> </w:t>
            </w:r>
            <w:r>
              <w:rPr>
                <w:color w:val="231F20"/>
                <w:spacing w:val="-4"/>
                <w:sz w:val="16"/>
              </w:rPr>
              <w:t>Forests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509"/>
              </w:numPr>
              <w:tabs>
                <w:tab w:val="left" w:pos="277"/>
              </w:tabs>
              <w:spacing w:before="58" w:line="242" w:lineRule="auto"/>
              <w:ind w:right="73"/>
              <w:rPr>
                <w:sz w:val="16"/>
              </w:rPr>
            </w:pPr>
            <w:r>
              <w:rPr>
                <w:color w:val="231F20"/>
                <w:spacing w:val="-4"/>
                <w:sz w:val="16"/>
              </w:rPr>
              <w:t xml:space="preserve">Common- wealth </w:t>
            </w:r>
            <w:r>
              <w:rPr>
                <w:color w:val="231F20"/>
                <w:spacing w:val="-4"/>
                <w:w w:val="95"/>
                <w:sz w:val="16"/>
              </w:rPr>
              <w:t xml:space="preserve">Environmental </w:t>
            </w:r>
            <w:r>
              <w:rPr>
                <w:color w:val="231F20"/>
                <w:spacing w:val="-5"/>
                <w:sz w:val="16"/>
              </w:rPr>
              <w:t>Water</w:t>
            </w:r>
            <w:r>
              <w:rPr>
                <w:color w:val="231F20"/>
                <w:spacing w:val="-14"/>
                <w:sz w:val="16"/>
              </w:rPr>
              <w:t xml:space="preserve"> </w:t>
            </w:r>
            <w:r>
              <w:rPr>
                <w:color w:val="231F20"/>
                <w:spacing w:val="-4"/>
                <w:sz w:val="16"/>
              </w:rPr>
              <w:t>Office</w:t>
            </w:r>
          </w:p>
          <w:p w:rsidR="006A7A3F" w:rsidRDefault="00BC7372">
            <w:pPr>
              <w:pStyle w:val="TableParagraph"/>
              <w:numPr>
                <w:ilvl w:val="0"/>
                <w:numId w:val="509"/>
              </w:numPr>
              <w:tabs>
                <w:tab w:val="left" w:pos="277"/>
              </w:tabs>
              <w:spacing w:before="85" w:line="242" w:lineRule="auto"/>
              <w:ind w:right="83"/>
              <w:rPr>
                <w:sz w:val="16"/>
              </w:rPr>
            </w:pPr>
            <w:r>
              <w:rPr>
                <w:color w:val="231F20"/>
                <w:spacing w:val="-4"/>
                <w:sz w:val="16"/>
              </w:rPr>
              <w:t>Department</w:t>
            </w:r>
            <w:r>
              <w:rPr>
                <w:color w:val="231F20"/>
                <w:spacing w:val="-26"/>
                <w:sz w:val="16"/>
              </w:rPr>
              <w:t xml:space="preserve"> </w:t>
            </w:r>
            <w:r>
              <w:rPr>
                <w:color w:val="231F20"/>
                <w:spacing w:val="-12"/>
                <w:sz w:val="16"/>
              </w:rPr>
              <w:t xml:space="preserve">of </w:t>
            </w:r>
            <w:r>
              <w:rPr>
                <w:color w:val="231F20"/>
                <w:spacing w:val="-4"/>
                <w:sz w:val="16"/>
              </w:rPr>
              <w:t xml:space="preserve">Environment, Land, </w:t>
            </w:r>
            <w:r>
              <w:rPr>
                <w:color w:val="231F20"/>
                <w:spacing w:val="-6"/>
                <w:sz w:val="16"/>
              </w:rPr>
              <w:t xml:space="preserve">Water </w:t>
            </w:r>
            <w:r>
              <w:rPr>
                <w:color w:val="231F20"/>
                <w:spacing w:val="-3"/>
                <w:sz w:val="16"/>
              </w:rPr>
              <w:t>and</w:t>
            </w:r>
            <w:r>
              <w:rPr>
                <w:color w:val="231F20"/>
                <w:spacing w:val="-18"/>
                <w:sz w:val="16"/>
              </w:rPr>
              <w:t xml:space="preserve"> </w:t>
            </w:r>
            <w:r>
              <w:rPr>
                <w:color w:val="231F20"/>
                <w:spacing w:val="-4"/>
                <w:sz w:val="16"/>
              </w:rPr>
              <w:t>Planning</w:t>
            </w:r>
          </w:p>
          <w:p w:rsidR="006A7A3F" w:rsidRDefault="00BC7372">
            <w:pPr>
              <w:pStyle w:val="TableParagraph"/>
              <w:numPr>
                <w:ilvl w:val="0"/>
                <w:numId w:val="509"/>
              </w:numPr>
              <w:tabs>
                <w:tab w:val="left" w:pos="277"/>
              </w:tabs>
              <w:spacing w:before="86" w:line="242" w:lineRule="auto"/>
              <w:ind w:right="128"/>
              <w:rPr>
                <w:sz w:val="16"/>
              </w:rPr>
            </w:pPr>
            <w:r>
              <w:rPr>
                <w:color w:val="231F20"/>
                <w:spacing w:val="-4"/>
                <w:sz w:val="16"/>
              </w:rPr>
              <w:t>Goulburn- Murray</w:t>
            </w:r>
            <w:r>
              <w:rPr>
                <w:color w:val="231F20"/>
                <w:spacing w:val="-25"/>
                <w:sz w:val="16"/>
              </w:rPr>
              <w:t xml:space="preserve"> </w:t>
            </w:r>
            <w:r>
              <w:rPr>
                <w:color w:val="231F20"/>
                <w:spacing w:val="-10"/>
                <w:sz w:val="16"/>
              </w:rPr>
              <w:t>Water</w:t>
            </w:r>
          </w:p>
          <w:p w:rsidR="006A7A3F" w:rsidRDefault="00BC7372">
            <w:pPr>
              <w:pStyle w:val="TableParagraph"/>
              <w:numPr>
                <w:ilvl w:val="0"/>
                <w:numId w:val="509"/>
              </w:numPr>
              <w:tabs>
                <w:tab w:val="left" w:pos="277"/>
              </w:tabs>
              <w:spacing w:before="85"/>
              <w:ind w:hanging="218"/>
              <w:rPr>
                <w:sz w:val="16"/>
              </w:rPr>
            </w:pPr>
            <w:r>
              <w:rPr>
                <w:color w:val="231F20"/>
                <w:spacing w:val="-4"/>
                <w:sz w:val="16"/>
              </w:rPr>
              <w:t>Parks</w:t>
            </w:r>
            <w:r>
              <w:rPr>
                <w:color w:val="231F20"/>
                <w:spacing w:val="-15"/>
                <w:sz w:val="16"/>
              </w:rPr>
              <w:t xml:space="preserve"> </w:t>
            </w:r>
            <w:r>
              <w:rPr>
                <w:color w:val="231F20"/>
                <w:spacing w:val="-5"/>
                <w:sz w:val="16"/>
              </w:rPr>
              <w:t>Victoria</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508"/>
              </w:numPr>
              <w:tabs>
                <w:tab w:val="left" w:pos="277"/>
              </w:tabs>
              <w:spacing w:before="58" w:line="242" w:lineRule="auto"/>
              <w:ind w:right="73"/>
              <w:rPr>
                <w:sz w:val="16"/>
              </w:rPr>
            </w:pPr>
            <w:r>
              <w:rPr>
                <w:color w:val="231F20"/>
                <w:spacing w:val="-4"/>
                <w:sz w:val="16"/>
              </w:rPr>
              <w:t xml:space="preserve">Common- wealth </w:t>
            </w:r>
            <w:r>
              <w:rPr>
                <w:color w:val="231F20"/>
                <w:spacing w:val="-4"/>
                <w:w w:val="95"/>
                <w:sz w:val="16"/>
              </w:rPr>
              <w:t xml:space="preserve">Environmental </w:t>
            </w:r>
            <w:r>
              <w:rPr>
                <w:color w:val="231F20"/>
                <w:spacing w:val="-5"/>
                <w:sz w:val="16"/>
              </w:rPr>
              <w:t>Water</w:t>
            </w:r>
            <w:r>
              <w:rPr>
                <w:color w:val="231F20"/>
                <w:spacing w:val="-14"/>
                <w:sz w:val="16"/>
              </w:rPr>
              <w:t xml:space="preserve"> </w:t>
            </w:r>
            <w:r>
              <w:rPr>
                <w:color w:val="231F20"/>
                <w:spacing w:val="-4"/>
                <w:sz w:val="16"/>
              </w:rPr>
              <w:t>Office</w:t>
            </w:r>
          </w:p>
          <w:p w:rsidR="006A7A3F" w:rsidRDefault="00BC7372">
            <w:pPr>
              <w:pStyle w:val="TableParagraph"/>
              <w:numPr>
                <w:ilvl w:val="0"/>
                <w:numId w:val="508"/>
              </w:numPr>
              <w:tabs>
                <w:tab w:val="left" w:pos="277"/>
              </w:tabs>
              <w:spacing w:before="85" w:line="242" w:lineRule="auto"/>
              <w:ind w:right="128"/>
              <w:rPr>
                <w:sz w:val="16"/>
              </w:rPr>
            </w:pPr>
            <w:r>
              <w:rPr>
                <w:color w:val="231F20"/>
                <w:spacing w:val="-4"/>
                <w:sz w:val="16"/>
              </w:rPr>
              <w:t>Goulburn- Murray</w:t>
            </w:r>
            <w:r>
              <w:rPr>
                <w:color w:val="231F20"/>
                <w:spacing w:val="-20"/>
                <w:sz w:val="16"/>
              </w:rPr>
              <w:t xml:space="preserve"> </w:t>
            </w:r>
            <w:r>
              <w:rPr>
                <w:color w:val="231F20"/>
                <w:spacing w:val="-10"/>
                <w:sz w:val="16"/>
              </w:rPr>
              <w:t>Water</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56" w:right="-14"/>
              <w:rPr>
                <w:sz w:val="16"/>
              </w:rPr>
            </w:pPr>
            <w:r>
              <w:rPr>
                <w:color w:val="231F20"/>
                <w:spacing w:val="-3"/>
                <w:sz w:val="16"/>
              </w:rPr>
              <w:t xml:space="preserve">IAP2 </w:t>
            </w:r>
            <w:r>
              <w:rPr>
                <w:color w:val="231F20"/>
                <w:spacing w:val="-4"/>
                <w:sz w:val="16"/>
              </w:rPr>
              <w:t xml:space="preserve">level: </w:t>
            </w:r>
            <w:r>
              <w:rPr>
                <w:color w:val="231F20"/>
                <w:spacing w:val="-6"/>
                <w:sz w:val="16"/>
              </w:rPr>
              <w:t xml:space="preserve">Collab- </w:t>
            </w:r>
            <w:r>
              <w:rPr>
                <w:color w:val="231F20"/>
                <w:spacing w:val="-4"/>
                <w:sz w:val="16"/>
              </w:rPr>
              <w:t>orate</w:t>
            </w:r>
          </w:p>
          <w:p w:rsidR="006A7A3F" w:rsidRDefault="00BC7372">
            <w:pPr>
              <w:pStyle w:val="TableParagraph"/>
              <w:numPr>
                <w:ilvl w:val="0"/>
                <w:numId w:val="507"/>
              </w:numPr>
              <w:tabs>
                <w:tab w:val="left" w:pos="277"/>
              </w:tabs>
              <w:spacing w:before="58"/>
              <w:ind w:hanging="218"/>
              <w:rPr>
                <w:sz w:val="16"/>
              </w:rPr>
            </w:pPr>
            <w:r>
              <w:rPr>
                <w:color w:val="231F20"/>
                <w:spacing w:val="-4"/>
                <w:sz w:val="16"/>
              </w:rPr>
              <w:t>Coliban</w:t>
            </w:r>
            <w:r>
              <w:rPr>
                <w:color w:val="231F20"/>
                <w:spacing w:val="-16"/>
                <w:sz w:val="16"/>
              </w:rPr>
              <w:t xml:space="preserve"> </w:t>
            </w:r>
            <w:r>
              <w:rPr>
                <w:color w:val="231F20"/>
                <w:spacing w:val="-6"/>
                <w:sz w:val="16"/>
              </w:rPr>
              <w:t>Water</w:t>
            </w:r>
          </w:p>
          <w:p w:rsidR="006A7A3F" w:rsidRDefault="00BC7372">
            <w:pPr>
              <w:pStyle w:val="TableParagraph"/>
              <w:numPr>
                <w:ilvl w:val="0"/>
                <w:numId w:val="507"/>
              </w:numPr>
              <w:tabs>
                <w:tab w:val="left" w:pos="277"/>
              </w:tabs>
              <w:spacing w:before="87" w:line="242" w:lineRule="auto"/>
              <w:ind w:right="74"/>
              <w:rPr>
                <w:sz w:val="16"/>
              </w:rPr>
            </w:pPr>
            <w:r>
              <w:rPr>
                <w:color w:val="231F20"/>
                <w:spacing w:val="-4"/>
                <w:sz w:val="16"/>
              </w:rPr>
              <w:t xml:space="preserve">Common- wealth </w:t>
            </w:r>
            <w:r>
              <w:rPr>
                <w:color w:val="231F20"/>
                <w:spacing w:val="-4"/>
                <w:w w:val="95"/>
                <w:sz w:val="16"/>
              </w:rPr>
              <w:t xml:space="preserve">Environmental </w:t>
            </w:r>
            <w:r>
              <w:rPr>
                <w:color w:val="231F20"/>
                <w:spacing w:val="-5"/>
                <w:sz w:val="16"/>
              </w:rPr>
              <w:t>Water</w:t>
            </w:r>
            <w:r>
              <w:rPr>
                <w:color w:val="231F20"/>
                <w:spacing w:val="-14"/>
                <w:sz w:val="16"/>
              </w:rPr>
              <w:t xml:space="preserve"> </w:t>
            </w:r>
            <w:r>
              <w:rPr>
                <w:color w:val="231F20"/>
                <w:spacing w:val="-4"/>
                <w:sz w:val="16"/>
              </w:rPr>
              <w:t>Office</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56" w:right="-14"/>
              <w:rPr>
                <w:sz w:val="16"/>
              </w:rPr>
            </w:pPr>
            <w:r>
              <w:rPr>
                <w:color w:val="231F20"/>
                <w:spacing w:val="-3"/>
                <w:sz w:val="16"/>
              </w:rPr>
              <w:t xml:space="preserve">IAP2 </w:t>
            </w:r>
            <w:r>
              <w:rPr>
                <w:color w:val="231F20"/>
                <w:spacing w:val="-4"/>
                <w:sz w:val="16"/>
              </w:rPr>
              <w:t xml:space="preserve">level: </w:t>
            </w:r>
            <w:r>
              <w:rPr>
                <w:color w:val="231F20"/>
                <w:spacing w:val="-6"/>
                <w:sz w:val="16"/>
              </w:rPr>
              <w:t xml:space="preserve">Collab- </w:t>
            </w:r>
            <w:r>
              <w:rPr>
                <w:color w:val="231F20"/>
                <w:spacing w:val="-4"/>
                <w:sz w:val="16"/>
              </w:rPr>
              <w:t>orate</w:t>
            </w:r>
          </w:p>
          <w:p w:rsidR="006A7A3F" w:rsidRDefault="00BC7372">
            <w:pPr>
              <w:pStyle w:val="TableParagraph"/>
              <w:numPr>
                <w:ilvl w:val="0"/>
                <w:numId w:val="506"/>
              </w:numPr>
              <w:tabs>
                <w:tab w:val="left" w:pos="277"/>
              </w:tabs>
              <w:spacing w:before="58" w:line="242" w:lineRule="auto"/>
              <w:ind w:right="74"/>
              <w:rPr>
                <w:sz w:val="16"/>
              </w:rPr>
            </w:pPr>
            <w:r>
              <w:rPr>
                <w:color w:val="231F20"/>
                <w:spacing w:val="-4"/>
                <w:sz w:val="16"/>
              </w:rPr>
              <w:t xml:space="preserve">Common- wealth </w:t>
            </w:r>
            <w:r>
              <w:rPr>
                <w:color w:val="231F20"/>
                <w:spacing w:val="-4"/>
                <w:w w:val="95"/>
                <w:sz w:val="16"/>
              </w:rPr>
              <w:t xml:space="preserve">Environmental </w:t>
            </w:r>
            <w:r>
              <w:rPr>
                <w:color w:val="231F20"/>
                <w:spacing w:val="-5"/>
                <w:sz w:val="16"/>
              </w:rPr>
              <w:t>Water</w:t>
            </w:r>
            <w:r>
              <w:rPr>
                <w:color w:val="231F20"/>
                <w:spacing w:val="-14"/>
                <w:sz w:val="16"/>
              </w:rPr>
              <w:t xml:space="preserve"> </w:t>
            </w:r>
            <w:r>
              <w:rPr>
                <w:color w:val="231F20"/>
                <w:spacing w:val="-4"/>
                <w:sz w:val="16"/>
              </w:rPr>
              <w:t>Office</w:t>
            </w:r>
          </w:p>
          <w:p w:rsidR="006A7A3F" w:rsidRDefault="00BC7372">
            <w:pPr>
              <w:pStyle w:val="TableParagraph"/>
              <w:numPr>
                <w:ilvl w:val="0"/>
                <w:numId w:val="506"/>
              </w:numPr>
              <w:tabs>
                <w:tab w:val="left" w:pos="277"/>
              </w:tabs>
              <w:spacing w:before="85" w:line="242" w:lineRule="auto"/>
              <w:ind w:right="128"/>
              <w:rPr>
                <w:sz w:val="16"/>
              </w:rPr>
            </w:pPr>
            <w:r>
              <w:rPr>
                <w:color w:val="231F20"/>
                <w:spacing w:val="-4"/>
                <w:sz w:val="16"/>
              </w:rPr>
              <w:t>Goulburn- Murray</w:t>
            </w:r>
            <w:r>
              <w:rPr>
                <w:color w:val="231F20"/>
                <w:spacing w:val="-20"/>
                <w:sz w:val="16"/>
              </w:rPr>
              <w:t xml:space="preserve"> </w:t>
            </w:r>
            <w:r>
              <w:rPr>
                <w:color w:val="231F20"/>
                <w:spacing w:val="-10"/>
                <w:sz w:val="16"/>
              </w:rPr>
              <w:t>Water</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505"/>
              </w:numPr>
              <w:tabs>
                <w:tab w:val="left" w:pos="277"/>
              </w:tabs>
              <w:spacing w:before="58" w:line="242" w:lineRule="auto"/>
              <w:ind w:right="128"/>
              <w:rPr>
                <w:sz w:val="16"/>
              </w:rPr>
            </w:pPr>
            <w:r>
              <w:rPr>
                <w:color w:val="231F20"/>
                <w:spacing w:val="-4"/>
                <w:sz w:val="16"/>
              </w:rPr>
              <w:t>Goulburn- Murray</w:t>
            </w:r>
            <w:r>
              <w:rPr>
                <w:color w:val="231F20"/>
                <w:spacing w:val="-20"/>
                <w:sz w:val="16"/>
              </w:rPr>
              <w:t xml:space="preserve"> </w:t>
            </w:r>
            <w:r>
              <w:rPr>
                <w:color w:val="231F20"/>
                <w:spacing w:val="-10"/>
                <w:sz w:val="16"/>
              </w:rPr>
              <w:t>Water</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56" w:right="-7"/>
              <w:rPr>
                <w:sz w:val="16"/>
              </w:rPr>
            </w:pPr>
            <w:r>
              <w:rPr>
                <w:color w:val="231F20"/>
                <w:spacing w:val="-3"/>
                <w:sz w:val="16"/>
              </w:rPr>
              <w:t xml:space="preserve">IAP2 </w:t>
            </w:r>
            <w:r>
              <w:rPr>
                <w:color w:val="231F20"/>
                <w:spacing w:val="-4"/>
                <w:sz w:val="16"/>
              </w:rPr>
              <w:t xml:space="preserve">level: </w:t>
            </w:r>
            <w:r>
              <w:rPr>
                <w:color w:val="231F20"/>
                <w:spacing w:val="-7"/>
                <w:sz w:val="16"/>
              </w:rPr>
              <w:t xml:space="preserve">Collab- </w:t>
            </w:r>
            <w:r>
              <w:rPr>
                <w:color w:val="231F20"/>
                <w:spacing w:val="-4"/>
                <w:sz w:val="16"/>
              </w:rPr>
              <w:t>orate</w:t>
            </w:r>
          </w:p>
          <w:p w:rsidR="006A7A3F" w:rsidRDefault="00BC7372">
            <w:pPr>
              <w:pStyle w:val="TableParagraph"/>
              <w:numPr>
                <w:ilvl w:val="0"/>
                <w:numId w:val="504"/>
              </w:numPr>
              <w:tabs>
                <w:tab w:val="left" w:pos="277"/>
              </w:tabs>
              <w:spacing w:before="58" w:line="242" w:lineRule="auto"/>
              <w:ind w:right="74"/>
              <w:rPr>
                <w:sz w:val="16"/>
              </w:rPr>
            </w:pPr>
            <w:r>
              <w:rPr>
                <w:color w:val="231F20"/>
                <w:spacing w:val="-4"/>
                <w:sz w:val="16"/>
              </w:rPr>
              <w:t xml:space="preserve">Common- wealth </w:t>
            </w:r>
            <w:r>
              <w:rPr>
                <w:color w:val="231F20"/>
                <w:spacing w:val="-4"/>
                <w:w w:val="95"/>
                <w:sz w:val="16"/>
              </w:rPr>
              <w:t xml:space="preserve">Environmental </w:t>
            </w:r>
            <w:r>
              <w:rPr>
                <w:color w:val="231F20"/>
                <w:spacing w:val="-5"/>
                <w:sz w:val="16"/>
              </w:rPr>
              <w:t>Water</w:t>
            </w:r>
            <w:r>
              <w:rPr>
                <w:color w:val="231F20"/>
                <w:spacing w:val="-14"/>
                <w:sz w:val="16"/>
              </w:rPr>
              <w:t xml:space="preserve"> </w:t>
            </w:r>
            <w:r>
              <w:rPr>
                <w:color w:val="231F20"/>
                <w:spacing w:val="-4"/>
                <w:sz w:val="16"/>
              </w:rPr>
              <w:t>Office</w:t>
            </w:r>
          </w:p>
          <w:p w:rsidR="006A7A3F" w:rsidRDefault="00BC7372">
            <w:pPr>
              <w:pStyle w:val="TableParagraph"/>
              <w:numPr>
                <w:ilvl w:val="0"/>
                <w:numId w:val="504"/>
              </w:numPr>
              <w:tabs>
                <w:tab w:val="left" w:pos="277"/>
              </w:tabs>
              <w:spacing w:before="85" w:line="242" w:lineRule="auto"/>
              <w:ind w:right="83"/>
              <w:rPr>
                <w:sz w:val="16"/>
              </w:rPr>
            </w:pPr>
            <w:r>
              <w:rPr>
                <w:color w:val="231F20"/>
                <w:spacing w:val="-4"/>
                <w:sz w:val="16"/>
              </w:rPr>
              <w:t>Department</w:t>
            </w:r>
            <w:r>
              <w:rPr>
                <w:color w:val="231F20"/>
                <w:spacing w:val="-26"/>
                <w:sz w:val="16"/>
              </w:rPr>
              <w:t xml:space="preserve"> </w:t>
            </w:r>
            <w:r>
              <w:rPr>
                <w:color w:val="231F20"/>
                <w:spacing w:val="-12"/>
                <w:sz w:val="16"/>
              </w:rPr>
              <w:t xml:space="preserve">of </w:t>
            </w:r>
            <w:r>
              <w:rPr>
                <w:color w:val="231F20"/>
                <w:spacing w:val="-4"/>
                <w:sz w:val="16"/>
              </w:rPr>
              <w:t xml:space="preserve">Environment, Land, </w:t>
            </w:r>
            <w:r>
              <w:rPr>
                <w:color w:val="231F20"/>
                <w:spacing w:val="-6"/>
                <w:sz w:val="16"/>
              </w:rPr>
              <w:t xml:space="preserve">Water </w:t>
            </w:r>
            <w:r>
              <w:rPr>
                <w:color w:val="231F20"/>
                <w:spacing w:val="-3"/>
                <w:sz w:val="16"/>
              </w:rPr>
              <w:t>and</w:t>
            </w:r>
            <w:r>
              <w:rPr>
                <w:color w:val="231F20"/>
                <w:spacing w:val="-18"/>
                <w:sz w:val="16"/>
              </w:rPr>
              <w:t xml:space="preserve"> </w:t>
            </w:r>
            <w:r>
              <w:rPr>
                <w:color w:val="231F20"/>
                <w:spacing w:val="-4"/>
                <w:sz w:val="16"/>
              </w:rPr>
              <w:t>Planning</w:t>
            </w:r>
          </w:p>
          <w:p w:rsidR="006A7A3F" w:rsidRDefault="00BC7372">
            <w:pPr>
              <w:pStyle w:val="TableParagraph"/>
              <w:numPr>
                <w:ilvl w:val="0"/>
                <w:numId w:val="504"/>
              </w:numPr>
              <w:tabs>
                <w:tab w:val="left" w:pos="277"/>
              </w:tabs>
              <w:spacing w:before="86" w:line="242" w:lineRule="auto"/>
              <w:ind w:right="128"/>
              <w:rPr>
                <w:sz w:val="16"/>
              </w:rPr>
            </w:pPr>
            <w:r>
              <w:rPr>
                <w:color w:val="231F20"/>
                <w:spacing w:val="-4"/>
                <w:sz w:val="16"/>
              </w:rPr>
              <w:t>Goulburn- Murray</w:t>
            </w:r>
            <w:r>
              <w:rPr>
                <w:color w:val="231F20"/>
                <w:spacing w:val="-25"/>
                <w:sz w:val="16"/>
              </w:rPr>
              <w:t xml:space="preserve"> </w:t>
            </w:r>
            <w:r>
              <w:rPr>
                <w:color w:val="231F20"/>
                <w:spacing w:val="-10"/>
                <w:sz w:val="16"/>
              </w:rPr>
              <w:t>Water</w:t>
            </w:r>
          </w:p>
          <w:p w:rsidR="006A7A3F" w:rsidRDefault="00BC7372">
            <w:pPr>
              <w:pStyle w:val="TableParagraph"/>
              <w:numPr>
                <w:ilvl w:val="0"/>
                <w:numId w:val="504"/>
              </w:numPr>
              <w:tabs>
                <w:tab w:val="left" w:pos="277"/>
              </w:tabs>
              <w:spacing w:before="85" w:line="242" w:lineRule="auto"/>
              <w:ind w:right="143"/>
              <w:rPr>
                <w:sz w:val="16"/>
              </w:rPr>
            </w:pPr>
            <w:r>
              <w:rPr>
                <w:color w:val="231F20"/>
                <w:spacing w:val="-4"/>
                <w:sz w:val="16"/>
              </w:rPr>
              <w:t>Murray- Darling</w:t>
            </w:r>
            <w:r>
              <w:rPr>
                <w:color w:val="231F20"/>
                <w:spacing w:val="-22"/>
                <w:sz w:val="16"/>
              </w:rPr>
              <w:t xml:space="preserve"> </w:t>
            </w:r>
            <w:r>
              <w:rPr>
                <w:color w:val="231F20"/>
                <w:spacing w:val="-8"/>
                <w:sz w:val="16"/>
              </w:rPr>
              <w:t xml:space="preserve">Basin </w:t>
            </w:r>
            <w:r>
              <w:rPr>
                <w:color w:val="231F20"/>
                <w:spacing w:val="-4"/>
                <w:sz w:val="16"/>
              </w:rPr>
              <w:t>Authority</w:t>
            </w:r>
          </w:p>
          <w:p w:rsidR="006A7A3F" w:rsidRDefault="00BC7372">
            <w:pPr>
              <w:pStyle w:val="TableParagraph"/>
              <w:numPr>
                <w:ilvl w:val="0"/>
                <w:numId w:val="504"/>
              </w:numPr>
              <w:tabs>
                <w:tab w:val="left" w:pos="277"/>
              </w:tabs>
              <w:spacing w:before="86" w:line="242" w:lineRule="auto"/>
              <w:ind w:right="87"/>
              <w:rPr>
                <w:sz w:val="16"/>
              </w:rPr>
            </w:pPr>
            <w:r>
              <w:rPr>
                <w:color w:val="231F20"/>
                <w:spacing w:val="-4"/>
                <w:sz w:val="16"/>
              </w:rPr>
              <w:t>Forestry Corporation</w:t>
            </w:r>
            <w:r>
              <w:rPr>
                <w:color w:val="231F20"/>
                <w:spacing w:val="-26"/>
                <w:sz w:val="16"/>
              </w:rPr>
              <w:t xml:space="preserve"> </w:t>
            </w:r>
            <w:r>
              <w:rPr>
                <w:color w:val="231F20"/>
                <w:spacing w:val="-12"/>
                <w:sz w:val="16"/>
              </w:rPr>
              <w:t xml:space="preserve">of </w:t>
            </w:r>
            <w:r>
              <w:rPr>
                <w:color w:val="231F20"/>
                <w:spacing w:val="-4"/>
                <w:sz w:val="16"/>
              </w:rPr>
              <w:t>NSW</w:t>
            </w:r>
          </w:p>
          <w:p w:rsidR="006A7A3F" w:rsidRDefault="00BC7372">
            <w:pPr>
              <w:pStyle w:val="TableParagraph"/>
              <w:numPr>
                <w:ilvl w:val="0"/>
                <w:numId w:val="504"/>
              </w:numPr>
              <w:tabs>
                <w:tab w:val="left" w:pos="277"/>
              </w:tabs>
              <w:spacing w:before="86"/>
              <w:ind w:hanging="218"/>
              <w:rPr>
                <w:sz w:val="16"/>
              </w:rPr>
            </w:pPr>
            <w:r>
              <w:rPr>
                <w:color w:val="231F20"/>
                <w:spacing w:val="-4"/>
                <w:sz w:val="16"/>
              </w:rPr>
              <w:t>Parks</w:t>
            </w:r>
            <w:r>
              <w:rPr>
                <w:color w:val="231F20"/>
                <w:spacing w:val="-15"/>
                <w:sz w:val="16"/>
              </w:rPr>
              <w:t xml:space="preserve"> </w:t>
            </w:r>
            <w:r>
              <w:rPr>
                <w:color w:val="231F20"/>
                <w:spacing w:val="-5"/>
                <w:sz w:val="16"/>
              </w:rPr>
              <w:t>Victoria</w:t>
            </w:r>
          </w:p>
          <w:p w:rsidR="006A7A3F" w:rsidRDefault="00BC7372">
            <w:pPr>
              <w:pStyle w:val="TableParagraph"/>
              <w:numPr>
                <w:ilvl w:val="0"/>
                <w:numId w:val="504"/>
              </w:numPr>
              <w:tabs>
                <w:tab w:val="left" w:pos="277"/>
              </w:tabs>
              <w:spacing w:before="87"/>
              <w:ind w:hanging="218"/>
              <w:rPr>
                <w:sz w:val="16"/>
              </w:rPr>
            </w:pPr>
            <w:r>
              <w:rPr>
                <w:color w:val="231F20"/>
                <w:spacing w:val="-4"/>
                <w:sz w:val="16"/>
              </w:rPr>
              <w:t>Vic</w:t>
            </w:r>
            <w:r>
              <w:rPr>
                <w:color w:val="231F20"/>
                <w:spacing w:val="-13"/>
                <w:sz w:val="16"/>
              </w:rPr>
              <w:t xml:space="preserve"> </w:t>
            </w:r>
            <w:r>
              <w:rPr>
                <w:color w:val="231F20"/>
                <w:spacing w:val="-4"/>
                <w:sz w:val="16"/>
              </w:rPr>
              <w:t>Forests</w:t>
            </w:r>
          </w:p>
        </w:tc>
      </w:tr>
      <w:tr w:rsidR="006A7A3F">
        <w:trPr>
          <w:trHeight w:val="3520"/>
        </w:trPr>
        <w:tc>
          <w:tcPr>
            <w:tcW w:w="113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42" w:lineRule="auto"/>
              <w:ind w:left="85" w:right="138"/>
              <w:rPr>
                <w:sz w:val="16"/>
              </w:rPr>
            </w:pPr>
            <w:r>
              <w:rPr>
                <w:color w:val="231F20"/>
                <w:sz w:val="16"/>
              </w:rPr>
              <w:t>Government agencies (continued)</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503"/>
              </w:numPr>
              <w:tabs>
                <w:tab w:val="left" w:pos="277"/>
              </w:tabs>
              <w:spacing w:before="59" w:line="242" w:lineRule="auto"/>
              <w:ind w:right="143"/>
              <w:rPr>
                <w:sz w:val="16"/>
              </w:rPr>
            </w:pPr>
            <w:r>
              <w:rPr>
                <w:color w:val="231F20"/>
                <w:spacing w:val="-4"/>
                <w:sz w:val="16"/>
              </w:rPr>
              <w:t>Gannawarra Shire</w:t>
            </w:r>
            <w:r>
              <w:rPr>
                <w:color w:val="231F20"/>
                <w:spacing w:val="-28"/>
                <w:sz w:val="16"/>
              </w:rPr>
              <w:t xml:space="preserve"> </w:t>
            </w:r>
            <w:r>
              <w:rPr>
                <w:color w:val="231F20"/>
                <w:spacing w:val="-7"/>
                <w:sz w:val="16"/>
              </w:rPr>
              <w:t>Council</w:t>
            </w:r>
          </w:p>
          <w:p w:rsidR="006A7A3F" w:rsidRDefault="00BC7372">
            <w:pPr>
              <w:pStyle w:val="TableParagraph"/>
              <w:numPr>
                <w:ilvl w:val="0"/>
                <w:numId w:val="503"/>
              </w:numPr>
              <w:tabs>
                <w:tab w:val="left" w:pos="277"/>
              </w:tabs>
              <w:spacing w:before="86" w:line="242" w:lineRule="auto"/>
              <w:ind w:right="143"/>
              <w:rPr>
                <w:sz w:val="16"/>
              </w:rPr>
            </w:pPr>
            <w:r>
              <w:rPr>
                <w:color w:val="231F20"/>
                <w:spacing w:val="-4"/>
                <w:sz w:val="16"/>
              </w:rPr>
              <w:t>Campaspe Shire</w:t>
            </w:r>
            <w:r>
              <w:rPr>
                <w:color w:val="231F20"/>
                <w:spacing w:val="-28"/>
                <w:sz w:val="16"/>
              </w:rPr>
              <w:t xml:space="preserve"> </w:t>
            </w:r>
            <w:r>
              <w:rPr>
                <w:color w:val="231F20"/>
                <w:spacing w:val="-7"/>
                <w:sz w:val="16"/>
              </w:rPr>
              <w:t>Council</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502"/>
              </w:numPr>
              <w:tabs>
                <w:tab w:val="left" w:pos="277"/>
              </w:tabs>
              <w:spacing w:before="59" w:line="242" w:lineRule="auto"/>
              <w:ind w:right="83"/>
              <w:rPr>
                <w:sz w:val="16"/>
              </w:rPr>
            </w:pPr>
            <w:r>
              <w:rPr>
                <w:color w:val="231F20"/>
                <w:spacing w:val="-4"/>
                <w:sz w:val="16"/>
              </w:rPr>
              <w:t>Department</w:t>
            </w:r>
            <w:r>
              <w:rPr>
                <w:color w:val="231F20"/>
                <w:spacing w:val="-26"/>
                <w:sz w:val="16"/>
              </w:rPr>
              <w:t xml:space="preserve"> </w:t>
            </w:r>
            <w:r>
              <w:rPr>
                <w:color w:val="231F20"/>
                <w:spacing w:val="-12"/>
                <w:sz w:val="16"/>
              </w:rPr>
              <w:t xml:space="preserve">of </w:t>
            </w:r>
            <w:r>
              <w:rPr>
                <w:color w:val="231F20"/>
                <w:spacing w:val="-4"/>
                <w:sz w:val="16"/>
              </w:rPr>
              <w:t>Environment, Land,</w:t>
            </w:r>
          </w:p>
          <w:p w:rsidR="006A7A3F" w:rsidRDefault="00BC7372">
            <w:pPr>
              <w:pStyle w:val="TableParagraph"/>
              <w:spacing w:before="1" w:line="242" w:lineRule="auto"/>
              <w:ind w:left="276"/>
              <w:rPr>
                <w:sz w:val="16"/>
              </w:rPr>
            </w:pPr>
            <w:r>
              <w:rPr>
                <w:color w:val="231F20"/>
                <w:spacing w:val="-5"/>
                <w:sz w:val="16"/>
              </w:rPr>
              <w:t xml:space="preserve">Water </w:t>
            </w:r>
            <w:r>
              <w:rPr>
                <w:color w:val="231F20"/>
                <w:spacing w:val="-4"/>
                <w:sz w:val="16"/>
              </w:rPr>
              <w:t xml:space="preserve">and Planning </w:t>
            </w:r>
            <w:r>
              <w:rPr>
                <w:color w:val="231F20"/>
                <w:spacing w:val="-7"/>
                <w:sz w:val="16"/>
              </w:rPr>
              <w:t xml:space="preserve">(land </w:t>
            </w:r>
            <w:r>
              <w:rPr>
                <w:color w:val="231F20"/>
                <w:spacing w:val="-4"/>
                <w:sz w:val="16"/>
              </w:rPr>
              <w:t>manager)</w:t>
            </w:r>
          </w:p>
          <w:p w:rsidR="006A7A3F" w:rsidRDefault="00BC7372">
            <w:pPr>
              <w:pStyle w:val="TableParagraph"/>
              <w:numPr>
                <w:ilvl w:val="0"/>
                <w:numId w:val="502"/>
              </w:numPr>
              <w:tabs>
                <w:tab w:val="left" w:pos="277"/>
              </w:tabs>
              <w:spacing w:before="85" w:line="242" w:lineRule="auto"/>
              <w:ind w:right="143"/>
              <w:rPr>
                <w:sz w:val="16"/>
              </w:rPr>
            </w:pPr>
            <w:r>
              <w:rPr>
                <w:color w:val="231F20"/>
                <w:spacing w:val="-4"/>
                <w:sz w:val="16"/>
              </w:rPr>
              <w:t>Gannawarra Shire</w:t>
            </w:r>
            <w:r>
              <w:rPr>
                <w:color w:val="231F20"/>
                <w:spacing w:val="-28"/>
                <w:sz w:val="16"/>
              </w:rPr>
              <w:t xml:space="preserve"> </w:t>
            </w:r>
            <w:r>
              <w:rPr>
                <w:color w:val="231F20"/>
                <w:spacing w:val="-7"/>
                <w:sz w:val="16"/>
              </w:rPr>
              <w:t>Council</w:t>
            </w:r>
          </w:p>
          <w:p w:rsidR="006A7A3F" w:rsidRDefault="00BC7372">
            <w:pPr>
              <w:pStyle w:val="TableParagraph"/>
              <w:numPr>
                <w:ilvl w:val="0"/>
                <w:numId w:val="502"/>
              </w:numPr>
              <w:tabs>
                <w:tab w:val="left" w:pos="277"/>
              </w:tabs>
              <w:spacing w:before="86" w:line="242" w:lineRule="auto"/>
              <w:ind w:right="143"/>
              <w:rPr>
                <w:sz w:val="16"/>
              </w:rPr>
            </w:pPr>
            <w:r>
              <w:rPr>
                <w:color w:val="231F20"/>
                <w:spacing w:val="-4"/>
                <w:sz w:val="16"/>
              </w:rPr>
              <w:t>Campaspe Shire</w:t>
            </w:r>
            <w:r>
              <w:rPr>
                <w:color w:val="231F20"/>
                <w:spacing w:val="-28"/>
                <w:sz w:val="16"/>
              </w:rPr>
              <w:t xml:space="preserve"> </w:t>
            </w:r>
            <w:r>
              <w:rPr>
                <w:color w:val="231F20"/>
                <w:spacing w:val="-7"/>
                <w:sz w:val="16"/>
              </w:rPr>
              <w:t>Council</w:t>
            </w:r>
          </w:p>
          <w:p w:rsidR="006A7A3F" w:rsidRDefault="00BC7372">
            <w:pPr>
              <w:pStyle w:val="TableParagraph"/>
              <w:numPr>
                <w:ilvl w:val="0"/>
                <w:numId w:val="502"/>
              </w:numPr>
              <w:tabs>
                <w:tab w:val="left" w:pos="277"/>
              </w:tabs>
              <w:spacing w:before="85" w:line="242" w:lineRule="auto"/>
              <w:ind w:right="373"/>
              <w:jc w:val="both"/>
              <w:rPr>
                <w:sz w:val="16"/>
              </w:rPr>
            </w:pPr>
            <w:r>
              <w:rPr>
                <w:color w:val="231F20"/>
                <w:spacing w:val="-3"/>
                <w:sz w:val="16"/>
              </w:rPr>
              <w:t xml:space="preserve">Swan </w:t>
            </w:r>
            <w:r>
              <w:rPr>
                <w:color w:val="231F20"/>
                <w:spacing w:val="-4"/>
                <w:sz w:val="16"/>
              </w:rPr>
              <w:t>Hill Rural</w:t>
            </w:r>
            <w:r>
              <w:rPr>
                <w:color w:val="231F20"/>
                <w:spacing w:val="-20"/>
                <w:sz w:val="16"/>
              </w:rPr>
              <w:t xml:space="preserve"> </w:t>
            </w:r>
            <w:r>
              <w:rPr>
                <w:color w:val="231F20"/>
                <w:spacing w:val="-8"/>
                <w:sz w:val="16"/>
              </w:rPr>
              <w:t xml:space="preserve">City </w:t>
            </w:r>
            <w:r>
              <w:rPr>
                <w:color w:val="231F20"/>
                <w:spacing w:val="-4"/>
                <w:sz w:val="16"/>
              </w:rPr>
              <w:t>Council</w:t>
            </w:r>
          </w:p>
          <w:p w:rsidR="006A7A3F" w:rsidRDefault="00BC7372">
            <w:pPr>
              <w:pStyle w:val="TableParagraph"/>
              <w:numPr>
                <w:ilvl w:val="0"/>
                <w:numId w:val="502"/>
              </w:numPr>
              <w:tabs>
                <w:tab w:val="left" w:pos="277"/>
              </w:tabs>
              <w:spacing w:before="86" w:line="242" w:lineRule="auto"/>
              <w:ind w:right="139"/>
              <w:jc w:val="both"/>
              <w:rPr>
                <w:sz w:val="16"/>
              </w:rPr>
            </w:pPr>
            <w:r>
              <w:rPr>
                <w:color w:val="231F20"/>
                <w:spacing w:val="-4"/>
                <w:sz w:val="16"/>
              </w:rPr>
              <w:t>Loddon</w:t>
            </w:r>
            <w:r>
              <w:rPr>
                <w:color w:val="231F20"/>
                <w:spacing w:val="-25"/>
                <w:sz w:val="16"/>
              </w:rPr>
              <w:t xml:space="preserve"> </w:t>
            </w:r>
            <w:r>
              <w:rPr>
                <w:color w:val="231F20"/>
                <w:spacing w:val="-7"/>
                <w:sz w:val="16"/>
              </w:rPr>
              <w:t xml:space="preserve">Shire </w:t>
            </w:r>
            <w:r>
              <w:rPr>
                <w:color w:val="231F20"/>
                <w:spacing w:val="-4"/>
                <w:sz w:val="16"/>
              </w:rPr>
              <w:t>Council</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501"/>
              </w:numPr>
              <w:tabs>
                <w:tab w:val="left" w:pos="277"/>
              </w:tabs>
              <w:spacing w:before="59" w:line="242" w:lineRule="auto"/>
              <w:ind w:right="83"/>
              <w:rPr>
                <w:sz w:val="16"/>
              </w:rPr>
            </w:pPr>
            <w:r>
              <w:rPr>
                <w:color w:val="231F20"/>
                <w:spacing w:val="-4"/>
                <w:sz w:val="16"/>
              </w:rPr>
              <w:t>Department</w:t>
            </w:r>
            <w:r>
              <w:rPr>
                <w:color w:val="231F20"/>
                <w:spacing w:val="-26"/>
                <w:sz w:val="16"/>
              </w:rPr>
              <w:t xml:space="preserve"> </w:t>
            </w:r>
            <w:r>
              <w:rPr>
                <w:color w:val="231F20"/>
                <w:spacing w:val="-12"/>
                <w:sz w:val="16"/>
              </w:rPr>
              <w:t xml:space="preserve">of </w:t>
            </w:r>
            <w:r>
              <w:rPr>
                <w:color w:val="231F20"/>
                <w:spacing w:val="-4"/>
                <w:sz w:val="16"/>
              </w:rPr>
              <w:t xml:space="preserve">Environment, Land, </w:t>
            </w:r>
            <w:r>
              <w:rPr>
                <w:color w:val="231F20"/>
                <w:spacing w:val="-6"/>
                <w:sz w:val="16"/>
              </w:rPr>
              <w:t xml:space="preserve">Water </w:t>
            </w:r>
            <w:r>
              <w:rPr>
                <w:color w:val="231F20"/>
                <w:spacing w:val="-3"/>
                <w:sz w:val="16"/>
              </w:rPr>
              <w:t xml:space="preserve">and </w:t>
            </w:r>
            <w:r>
              <w:rPr>
                <w:color w:val="231F20"/>
                <w:spacing w:val="-4"/>
                <w:sz w:val="16"/>
              </w:rPr>
              <w:t>Planning (land manager)</w:t>
            </w:r>
          </w:p>
          <w:p w:rsidR="006A7A3F" w:rsidRDefault="00BC7372">
            <w:pPr>
              <w:pStyle w:val="TableParagraph"/>
              <w:numPr>
                <w:ilvl w:val="0"/>
                <w:numId w:val="501"/>
              </w:numPr>
              <w:tabs>
                <w:tab w:val="left" w:pos="277"/>
              </w:tabs>
              <w:spacing w:before="86" w:line="242" w:lineRule="auto"/>
              <w:ind w:right="148"/>
              <w:rPr>
                <w:sz w:val="16"/>
              </w:rPr>
            </w:pPr>
            <w:r>
              <w:rPr>
                <w:color w:val="231F20"/>
                <w:spacing w:val="-4"/>
                <w:sz w:val="16"/>
              </w:rPr>
              <w:t xml:space="preserve">Game </w:t>
            </w:r>
            <w:r>
              <w:rPr>
                <w:color w:val="231F20"/>
                <w:spacing w:val="-4"/>
                <w:w w:val="95"/>
                <w:sz w:val="16"/>
              </w:rPr>
              <w:t xml:space="preserve">Management </w:t>
            </w:r>
            <w:r>
              <w:rPr>
                <w:color w:val="231F20"/>
                <w:spacing w:val="-4"/>
                <w:sz w:val="16"/>
              </w:rPr>
              <w:t>Authority</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500"/>
              </w:numPr>
              <w:tabs>
                <w:tab w:val="left" w:pos="277"/>
              </w:tabs>
              <w:spacing w:before="59" w:line="242" w:lineRule="auto"/>
              <w:ind w:right="83"/>
              <w:rPr>
                <w:sz w:val="16"/>
              </w:rPr>
            </w:pPr>
            <w:r>
              <w:rPr>
                <w:color w:val="231F20"/>
                <w:spacing w:val="-4"/>
                <w:sz w:val="16"/>
              </w:rPr>
              <w:t>Department</w:t>
            </w:r>
            <w:r>
              <w:rPr>
                <w:color w:val="231F20"/>
                <w:spacing w:val="-26"/>
                <w:sz w:val="16"/>
              </w:rPr>
              <w:t xml:space="preserve"> </w:t>
            </w:r>
            <w:r>
              <w:rPr>
                <w:color w:val="231F20"/>
                <w:spacing w:val="-12"/>
                <w:sz w:val="16"/>
              </w:rPr>
              <w:t xml:space="preserve">of </w:t>
            </w:r>
            <w:r>
              <w:rPr>
                <w:color w:val="231F20"/>
                <w:spacing w:val="-4"/>
                <w:sz w:val="16"/>
              </w:rPr>
              <w:t>Environment, Land,</w:t>
            </w:r>
          </w:p>
          <w:p w:rsidR="006A7A3F" w:rsidRDefault="00BC7372">
            <w:pPr>
              <w:pStyle w:val="TableParagraph"/>
              <w:spacing w:before="1" w:line="242" w:lineRule="auto"/>
              <w:ind w:left="276" w:right="334"/>
              <w:rPr>
                <w:sz w:val="16"/>
              </w:rPr>
            </w:pPr>
            <w:r>
              <w:rPr>
                <w:color w:val="231F20"/>
                <w:spacing w:val="-5"/>
                <w:sz w:val="16"/>
              </w:rPr>
              <w:t>Water</w:t>
            </w:r>
            <w:r>
              <w:rPr>
                <w:color w:val="231F20"/>
                <w:spacing w:val="-20"/>
                <w:sz w:val="16"/>
              </w:rPr>
              <w:t xml:space="preserve"> </w:t>
            </w:r>
            <w:r>
              <w:rPr>
                <w:color w:val="231F20"/>
                <w:spacing w:val="-10"/>
                <w:sz w:val="16"/>
              </w:rPr>
              <w:t xml:space="preserve">and </w:t>
            </w:r>
            <w:r>
              <w:rPr>
                <w:color w:val="231F20"/>
                <w:spacing w:val="-4"/>
                <w:sz w:val="16"/>
              </w:rPr>
              <w:t>Planning (land manager)</w:t>
            </w:r>
          </w:p>
          <w:p w:rsidR="006A7A3F" w:rsidRDefault="00BC7372">
            <w:pPr>
              <w:pStyle w:val="TableParagraph"/>
              <w:numPr>
                <w:ilvl w:val="0"/>
                <w:numId w:val="500"/>
              </w:numPr>
              <w:tabs>
                <w:tab w:val="left" w:pos="277"/>
              </w:tabs>
              <w:spacing w:before="85" w:line="242" w:lineRule="auto"/>
              <w:ind w:right="148"/>
              <w:rPr>
                <w:sz w:val="16"/>
              </w:rPr>
            </w:pPr>
            <w:r>
              <w:rPr>
                <w:color w:val="231F20"/>
                <w:spacing w:val="-4"/>
                <w:sz w:val="16"/>
              </w:rPr>
              <w:t xml:space="preserve">Game </w:t>
            </w:r>
            <w:r>
              <w:rPr>
                <w:color w:val="231F20"/>
                <w:spacing w:val="-4"/>
                <w:w w:val="95"/>
                <w:sz w:val="16"/>
              </w:rPr>
              <w:t xml:space="preserve">Management </w:t>
            </w:r>
            <w:r>
              <w:rPr>
                <w:color w:val="231F20"/>
                <w:spacing w:val="-4"/>
                <w:sz w:val="16"/>
              </w:rPr>
              <w:t>Authority</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99"/>
              </w:numPr>
              <w:tabs>
                <w:tab w:val="left" w:pos="277"/>
              </w:tabs>
              <w:spacing w:before="59" w:line="242" w:lineRule="auto"/>
              <w:ind w:right="83"/>
              <w:rPr>
                <w:sz w:val="16"/>
              </w:rPr>
            </w:pPr>
            <w:r>
              <w:rPr>
                <w:color w:val="231F20"/>
                <w:spacing w:val="-4"/>
                <w:sz w:val="16"/>
              </w:rPr>
              <w:t>Department</w:t>
            </w:r>
            <w:r>
              <w:rPr>
                <w:color w:val="231F20"/>
                <w:spacing w:val="-26"/>
                <w:sz w:val="16"/>
              </w:rPr>
              <w:t xml:space="preserve"> </w:t>
            </w:r>
            <w:r>
              <w:rPr>
                <w:color w:val="231F20"/>
                <w:spacing w:val="-12"/>
                <w:sz w:val="16"/>
              </w:rPr>
              <w:t xml:space="preserve">of </w:t>
            </w:r>
            <w:r>
              <w:rPr>
                <w:color w:val="231F20"/>
                <w:spacing w:val="-4"/>
                <w:sz w:val="16"/>
              </w:rPr>
              <w:t>Environment, Land,</w:t>
            </w:r>
          </w:p>
          <w:p w:rsidR="006A7A3F" w:rsidRDefault="00BC7372">
            <w:pPr>
              <w:pStyle w:val="TableParagraph"/>
              <w:spacing w:before="1" w:line="242" w:lineRule="auto"/>
              <w:ind w:left="276" w:right="259"/>
              <w:rPr>
                <w:sz w:val="16"/>
              </w:rPr>
            </w:pPr>
            <w:r>
              <w:rPr>
                <w:color w:val="231F20"/>
                <w:sz w:val="16"/>
              </w:rPr>
              <w:t>Water and Planning (land manager)</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98"/>
              </w:numPr>
              <w:tabs>
                <w:tab w:val="left" w:pos="277"/>
              </w:tabs>
              <w:spacing w:before="59" w:line="242" w:lineRule="auto"/>
              <w:ind w:right="83"/>
              <w:rPr>
                <w:sz w:val="16"/>
              </w:rPr>
            </w:pPr>
            <w:r>
              <w:rPr>
                <w:color w:val="231F20"/>
                <w:spacing w:val="-4"/>
                <w:sz w:val="16"/>
              </w:rPr>
              <w:t>Department</w:t>
            </w:r>
            <w:r>
              <w:rPr>
                <w:color w:val="231F20"/>
                <w:spacing w:val="-26"/>
                <w:sz w:val="16"/>
              </w:rPr>
              <w:t xml:space="preserve"> </w:t>
            </w:r>
            <w:r>
              <w:rPr>
                <w:color w:val="231F20"/>
                <w:spacing w:val="-12"/>
                <w:sz w:val="16"/>
              </w:rPr>
              <w:t xml:space="preserve">of </w:t>
            </w:r>
            <w:r>
              <w:rPr>
                <w:color w:val="231F20"/>
                <w:spacing w:val="-4"/>
                <w:sz w:val="16"/>
              </w:rPr>
              <w:t>Environment, Land,</w:t>
            </w:r>
          </w:p>
          <w:p w:rsidR="006A7A3F" w:rsidRDefault="00BC7372">
            <w:pPr>
              <w:pStyle w:val="TableParagraph"/>
              <w:spacing w:before="1" w:line="242" w:lineRule="auto"/>
              <w:ind w:left="276" w:right="259"/>
              <w:rPr>
                <w:sz w:val="16"/>
              </w:rPr>
            </w:pPr>
            <w:r>
              <w:rPr>
                <w:color w:val="231F20"/>
                <w:sz w:val="16"/>
              </w:rPr>
              <w:t>Water and Planning (land manager)</w:t>
            </w: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r>
    </w:tbl>
    <w:p w:rsidR="006A7A3F" w:rsidRDefault="006A7A3F">
      <w:pPr>
        <w:rPr>
          <w:rFonts w:ascii="Times New Roman"/>
          <w:sz w:val="16"/>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134"/>
        <w:gridCol w:w="1304"/>
        <w:gridCol w:w="1304"/>
        <w:gridCol w:w="1304"/>
        <w:gridCol w:w="1304"/>
        <w:gridCol w:w="1304"/>
        <w:gridCol w:w="1304"/>
        <w:gridCol w:w="1304"/>
      </w:tblGrid>
      <w:tr w:rsidR="006A7A3F">
        <w:trPr>
          <w:trHeight w:val="807"/>
        </w:trPr>
        <w:tc>
          <w:tcPr>
            <w:tcW w:w="1134" w:type="dxa"/>
            <w:tcBorders>
              <w:top w:val="nil"/>
              <w:left w:val="nil"/>
              <w:bottom w:val="nil"/>
            </w:tcBorders>
            <w:shd w:val="clear" w:color="auto" w:fill="231F20"/>
          </w:tcPr>
          <w:p w:rsidR="006A7A3F" w:rsidRDefault="006A7A3F">
            <w:pPr>
              <w:pStyle w:val="TableParagraph"/>
              <w:ind w:left="0"/>
              <w:rPr>
                <w:rFonts w:ascii="Times New Roman"/>
                <w:sz w:val="16"/>
              </w:rPr>
            </w:pPr>
          </w:p>
        </w:tc>
        <w:tc>
          <w:tcPr>
            <w:tcW w:w="1304" w:type="dxa"/>
            <w:tcBorders>
              <w:top w:val="nil"/>
              <w:bottom w:val="nil"/>
            </w:tcBorders>
            <w:shd w:val="clear" w:color="auto" w:fill="231F20"/>
          </w:tcPr>
          <w:p w:rsidR="006A7A3F" w:rsidRDefault="00BC7372">
            <w:pPr>
              <w:pStyle w:val="TableParagraph"/>
              <w:spacing w:before="73" w:line="254" w:lineRule="auto"/>
              <w:ind w:left="56" w:right="381"/>
              <w:jc w:val="both"/>
              <w:rPr>
                <w:b/>
                <w:sz w:val="18"/>
              </w:rPr>
            </w:pPr>
            <w:r>
              <w:rPr>
                <w:b/>
                <w:color w:val="FFFFFF"/>
                <w:spacing w:val="-5"/>
                <w:sz w:val="18"/>
              </w:rPr>
              <w:t xml:space="preserve">Gunbower </w:t>
            </w:r>
            <w:r>
              <w:rPr>
                <w:b/>
                <w:color w:val="FFFFFF"/>
                <w:spacing w:val="-4"/>
                <w:sz w:val="18"/>
              </w:rPr>
              <w:t xml:space="preserve">Creek </w:t>
            </w:r>
            <w:r>
              <w:rPr>
                <w:b/>
                <w:color w:val="FFFFFF"/>
                <w:spacing w:val="-5"/>
                <w:sz w:val="18"/>
              </w:rPr>
              <w:t>and Forest</w:t>
            </w:r>
          </w:p>
        </w:tc>
        <w:tc>
          <w:tcPr>
            <w:tcW w:w="1304" w:type="dxa"/>
            <w:tcBorders>
              <w:top w:val="nil"/>
              <w:bottom w:val="nil"/>
            </w:tcBorders>
            <w:shd w:val="clear" w:color="auto" w:fill="231F20"/>
          </w:tcPr>
          <w:p w:rsidR="006A7A3F" w:rsidRDefault="00BC7372">
            <w:pPr>
              <w:pStyle w:val="TableParagraph"/>
              <w:spacing w:before="73" w:line="254" w:lineRule="auto"/>
              <w:ind w:left="56" w:right="-3"/>
              <w:rPr>
                <w:b/>
                <w:sz w:val="18"/>
              </w:rPr>
            </w:pPr>
            <w:r>
              <w:rPr>
                <w:b/>
                <w:color w:val="FFFFFF"/>
                <w:spacing w:val="-5"/>
                <w:sz w:val="18"/>
              </w:rPr>
              <w:t xml:space="preserve">Central Murray wetlands and </w:t>
            </w:r>
            <w:r>
              <w:rPr>
                <w:b/>
                <w:color w:val="FFFFFF"/>
                <w:spacing w:val="-4"/>
                <w:sz w:val="18"/>
              </w:rPr>
              <w:t xml:space="preserve">Boort </w:t>
            </w:r>
            <w:r>
              <w:rPr>
                <w:b/>
                <w:color w:val="FFFFFF"/>
                <w:spacing w:val="-7"/>
                <w:sz w:val="18"/>
              </w:rPr>
              <w:t>wetlands</w:t>
            </w:r>
          </w:p>
        </w:tc>
        <w:tc>
          <w:tcPr>
            <w:tcW w:w="1304" w:type="dxa"/>
            <w:tcBorders>
              <w:top w:val="nil"/>
              <w:bottom w:val="nil"/>
            </w:tcBorders>
            <w:shd w:val="clear" w:color="auto" w:fill="231F20"/>
          </w:tcPr>
          <w:p w:rsidR="006A7A3F" w:rsidRDefault="00BC7372">
            <w:pPr>
              <w:pStyle w:val="TableParagraph"/>
              <w:spacing w:before="73" w:line="254" w:lineRule="auto"/>
              <w:ind w:left="56"/>
              <w:rPr>
                <w:b/>
                <w:sz w:val="18"/>
              </w:rPr>
            </w:pPr>
            <w:r>
              <w:rPr>
                <w:b/>
                <w:color w:val="FFFFFF"/>
                <w:sz w:val="18"/>
              </w:rPr>
              <w:t>Campaspe River</w:t>
            </w:r>
          </w:p>
        </w:tc>
        <w:tc>
          <w:tcPr>
            <w:tcW w:w="1304" w:type="dxa"/>
            <w:tcBorders>
              <w:top w:val="nil"/>
              <w:bottom w:val="nil"/>
            </w:tcBorders>
            <w:shd w:val="clear" w:color="auto" w:fill="231F20"/>
          </w:tcPr>
          <w:p w:rsidR="006A7A3F" w:rsidRDefault="00BC7372">
            <w:pPr>
              <w:pStyle w:val="TableParagraph"/>
              <w:spacing w:before="73"/>
              <w:ind w:left="56"/>
              <w:rPr>
                <w:b/>
                <w:sz w:val="18"/>
              </w:rPr>
            </w:pPr>
            <w:r>
              <w:rPr>
                <w:b/>
                <w:color w:val="FFFFFF"/>
                <w:sz w:val="18"/>
              </w:rPr>
              <w:t>Coliban River</w:t>
            </w:r>
          </w:p>
        </w:tc>
        <w:tc>
          <w:tcPr>
            <w:tcW w:w="1304" w:type="dxa"/>
            <w:tcBorders>
              <w:top w:val="nil"/>
              <w:bottom w:val="nil"/>
            </w:tcBorders>
            <w:shd w:val="clear" w:color="auto" w:fill="231F20"/>
          </w:tcPr>
          <w:p w:rsidR="006A7A3F" w:rsidRDefault="00BC7372">
            <w:pPr>
              <w:pStyle w:val="TableParagraph"/>
              <w:spacing w:before="73"/>
              <w:ind w:left="56"/>
              <w:rPr>
                <w:b/>
                <w:sz w:val="18"/>
              </w:rPr>
            </w:pPr>
            <w:r>
              <w:rPr>
                <w:b/>
                <w:color w:val="FFFFFF"/>
                <w:sz w:val="18"/>
              </w:rPr>
              <w:t>Loddon River</w:t>
            </w:r>
          </w:p>
        </w:tc>
        <w:tc>
          <w:tcPr>
            <w:tcW w:w="1304" w:type="dxa"/>
            <w:tcBorders>
              <w:top w:val="nil"/>
              <w:bottom w:val="nil"/>
            </w:tcBorders>
            <w:shd w:val="clear" w:color="auto" w:fill="231F20"/>
          </w:tcPr>
          <w:p w:rsidR="006A7A3F" w:rsidRDefault="00BC7372">
            <w:pPr>
              <w:pStyle w:val="TableParagraph"/>
              <w:spacing w:before="73"/>
              <w:ind w:left="56"/>
              <w:rPr>
                <w:b/>
                <w:sz w:val="18"/>
              </w:rPr>
            </w:pPr>
            <w:r>
              <w:rPr>
                <w:b/>
                <w:color w:val="FFFFFF"/>
                <w:sz w:val="18"/>
              </w:rPr>
              <w:t>Birchs Creek</w:t>
            </w:r>
          </w:p>
        </w:tc>
        <w:tc>
          <w:tcPr>
            <w:tcW w:w="1304" w:type="dxa"/>
            <w:tcBorders>
              <w:top w:val="nil"/>
              <w:bottom w:val="nil"/>
              <w:right w:val="nil"/>
            </w:tcBorders>
            <w:shd w:val="clear" w:color="auto" w:fill="231F20"/>
          </w:tcPr>
          <w:p w:rsidR="006A7A3F" w:rsidRDefault="00BC7372">
            <w:pPr>
              <w:pStyle w:val="TableParagraph"/>
              <w:spacing w:before="73" w:line="254" w:lineRule="auto"/>
              <w:ind w:left="56" w:right="3"/>
              <w:rPr>
                <w:b/>
                <w:sz w:val="18"/>
              </w:rPr>
            </w:pPr>
            <w:r>
              <w:rPr>
                <w:b/>
                <w:color w:val="FFFFFF"/>
                <w:sz w:val="18"/>
              </w:rPr>
              <w:t>Guttrum Forest</w:t>
            </w:r>
          </w:p>
        </w:tc>
      </w:tr>
      <w:tr w:rsidR="006A7A3F">
        <w:trPr>
          <w:trHeight w:val="1319"/>
        </w:trPr>
        <w:tc>
          <w:tcPr>
            <w:tcW w:w="1134" w:type="dxa"/>
            <w:tcBorders>
              <w:top w:val="nil"/>
              <w:left w:val="single" w:sz="4" w:space="0" w:color="231F20"/>
              <w:bottom w:val="single" w:sz="4" w:space="0" w:color="231F20"/>
              <w:right w:val="single" w:sz="4" w:space="0" w:color="231F20"/>
            </w:tcBorders>
          </w:tcPr>
          <w:p w:rsidR="006A7A3F" w:rsidRDefault="00BC7372">
            <w:pPr>
              <w:pStyle w:val="TableParagraph"/>
              <w:spacing w:before="67" w:line="242" w:lineRule="auto"/>
              <w:ind w:left="85" w:right="93"/>
              <w:rPr>
                <w:sz w:val="16"/>
              </w:rPr>
            </w:pPr>
            <w:r>
              <w:rPr>
                <w:color w:val="231F20"/>
                <w:sz w:val="16"/>
              </w:rPr>
              <w:t>Landholders/ farmers</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67" w:line="242" w:lineRule="auto"/>
              <w:ind w:left="56" w:right="453"/>
              <w:rPr>
                <w:sz w:val="16"/>
              </w:rPr>
            </w:pPr>
            <w:r>
              <w:rPr>
                <w:color w:val="231F20"/>
                <w:sz w:val="16"/>
              </w:rPr>
              <w:t>IAP2 level: Consult</w:t>
            </w:r>
          </w:p>
          <w:p w:rsidR="006A7A3F" w:rsidRDefault="00BC7372">
            <w:pPr>
              <w:pStyle w:val="TableParagraph"/>
              <w:numPr>
                <w:ilvl w:val="0"/>
                <w:numId w:val="497"/>
              </w:numPr>
              <w:tabs>
                <w:tab w:val="left" w:pos="277"/>
              </w:tabs>
              <w:spacing w:before="57" w:line="242" w:lineRule="auto"/>
              <w:ind w:right="30"/>
              <w:rPr>
                <w:sz w:val="16"/>
              </w:rPr>
            </w:pPr>
            <w:r>
              <w:rPr>
                <w:color w:val="231F20"/>
                <w:spacing w:val="-4"/>
                <w:sz w:val="16"/>
              </w:rPr>
              <w:t>Individual</w:t>
            </w:r>
            <w:r>
              <w:rPr>
                <w:color w:val="231F20"/>
                <w:spacing w:val="-25"/>
                <w:sz w:val="16"/>
              </w:rPr>
              <w:t xml:space="preserve"> </w:t>
            </w:r>
            <w:r>
              <w:rPr>
                <w:color w:val="231F20"/>
                <w:spacing w:val="-7"/>
                <w:sz w:val="16"/>
              </w:rPr>
              <w:t xml:space="preserve">land- </w:t>
            </w:r>
            <w:r>
              <w:rPr>
                <w:color w:val="231F20"/>
                <w:spacing w:val="-4"/>
                <w:sz w:val="16"/>
              </w:rPr>
              <w:t>holders</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96"/>
              </w:numPr>
              <w:tabs>
                <w:tab w:val="left" w:pos="277"/>
              </w:tabs>
              <w:spacing w:before="59" w:line="242" w:lineRule="auto"/>
              <w:ind w:right="256"/>
              <w:rPr>
                <w:sz w:val="16"/>
              </w:rPr>
            </w:pPr>
            <w:r>
              <w:rPr>
                <w:color w:val="231F20"/>
                <w:spacing w:val="-4"/>
                <w:sz w:val="16"/>
              </w:rPr>
              <w:t xml:space="preserve">Individual </w:t>
            </w:r>
            <w:r>
              <w:rPr>
                <w:color w:val="231F20"/>
                <w:spacing w:val="-4"/>
                <w:w w:val="95"/>
                <w:sz w:val="16"/>
              </w:rPr>
              <w:t xml:space="preserve">landholders </w:t>
            </w:r>
            <w:r>
              <w:rPr>
                <w:color w:val="231F20"/>
                <w:spacing w:val="-4"/>
                <w:sz w:val="16"/>
              </w:rPr>
              <w:t>and community members</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67" w:line="242" w:lineRule="auto"/>
              <w:ind w:left="56" w:right="453"/>
              <w:rPr>
                <w:sz w:val="16"/>
              </w:rPr>
            </w:pPr>
            <w:r>
              <w:rPr>
                <w:color w:val="231F20"/>
                <w:sz w:val="16"/>
              </w:rPr>
              <w:t>IAP2 level: Consult</w:t>
            </w:r>
          </w:p>
          <w:p w:rsidR="006A7A3F" w:rsidRDefault="00BC7372">
            <w:pPr>
              <w:pStyle w:val="TableParagraph"/>
              <w:numPr>
                <w:ilvl w:val="0"/>
                <w:numId w:val="495"/>
              </w:numPr>
              <w:tabs>
                <w:tab w:val="left" w:pos="277"/>
              </w:tabs>
              <w:spacing w:before="57" w:line="242" w:lineRule="auto"/>
              <w:ind w:right="256"/>
              <w:rPr>
                <w:sz w:val="16"/>
              </w:rPr>
            </w:pPr>
            <w:r>
              <w:rPr>
                <w:color w:val="231F20"/>
                <w:spacing w:val="-4"/>
                <w:sz w:val="16"/>
              </w:rPr>
              <w:t xml:space="preserve">Individual </w:t>
            </w:r>
            <w:r>
              <w:rPr>
                <w:color w:val="231F20"/>
                <w:spacing w:val="-4"/>
                <w:w w:val="95"/>
                <w:sz w:val="16"/>
              </w:rPr>
              <w:t>landholders</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94"/>
              </w:numPr>
              <w:tabs>
                <w:tab w:val="left" w:pos="277"/>
              </w:tabs>
              <w:spacing w:before="59" w:line="242" w:lineRule="auto"/>
              <w:ind w:right="204"/>
              <w:rPr>
                <w:sz w:val="16"/>
              </w:rPr>
            </w:pPr>
            <w:r>
              <w:rPr>
                <w:color w:val="231F20"/>
                <w:spacing w:val="-4"/>
                <w:sz w:val="16"/>
              </w:rPr>
              <w:t xml:space="preserve">Individual </w:t>
            </w:r>
            <w:r>
              <w:rPr>
                <w:color w:val="231F20"/>
                <w:spacing w:val="-4"/>
                <w:w w:val="95"/>
                <w:sz w:val="16"/>
              </w:rPr>
              <w:t xml:space="preserve">Landholders </w:t>
            </w:r>
            <w:r>
              <w:rPr>
                <w:color w:val="231F20"/>
                <w:spacing w:val="-4"/>
                <w:sz w:val="16"/>
              </w:rPr>
              <w:t>and community members</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67" w:line="242" w:lineRule="auto"/>
              <w:ind w:left="56" w:right="453"/>
              <w:rPr>
                <w:sz w:val="16"/>
              </w:rPr>
            </w:pPr>
            <w:r>
              <w:rPr>
                <w:color w:val="231F20"/>
                <w:sz w:val="16"/>
              </w:rPr>
              <w:t>IAP2 level: Consult</w:t>
            </w:r>
          </w:p>
          <w:p w:rsidR="006A7A3F" w:rsidRDefault="00BC7372">
            <w:pPr>
              <w:pStyle w:val="TableParagraph"/>
              <w:numPr>
                <w:ilvl w:val="0"/>
                <w:numId w:val="493"/>
              </w:numPr>
              <w:tabs>
                <w:tab w:val="left" w:pos="277"/>
              </w:tabs>
              <w:spacing w:before="57" w:line="242" w:lineRule="auto"/>
              <w:ind w:right="256"/>
              <w:rPr>
                <w:sz w:val="16"/>
              </w:rPr>
            </w:pPr>
            <w:r>
              <w:rPr>
                <w:color w:val="231F20"/>
                <w:spacing w:val="-4"/>
                <w:sz w:val="16"/>
              </w:rPr>
              <w:t xml:space="preserve">Individual </w:t>
            </w:r>
            <w:r>
              <w:rPr>
                <w:color w:val="231F20"/>
                <w:spacing w:val="-4"/>
                <w:w w:val="95"/>
                <w:sz w:val="16"/>
              </w:rPr>
              <w:t>landholders</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67" w:line="242" w:lineRule="auto"/>
              <w:ind w:left="56" w:right="453"/>
              <w:rPr>
                <w:sz w:val="16"/>
              </w:rPr>
            </w:pPr>
            <w:r>
              <w:rPr>
                <w:color w:val="231F20"/>
                <w:sz w:val="16"/>
              </w:rPr>
              <w:t>IAP2 level: Consult</w:t>
            </w:r>
          </w:p>
          <w:p w:rsidR="006A7A3F" w:rsidRDefault="00BC7372">
            <w:pPr>
              <w:pStyle w:val="TableParagraph"/>
              <w:numPr>
                <w:ilvl w:val="0"/>
                <w:numId w:val="492"/>
              </w:numPr>
              <w:tabs>
                <w:tab w:val="left" w:pos="277"/>
              </w:tabs>
              <w:spacing w:before="57" w:line="242" w:lineRule="auto"/>
              <w:ind w:right="256"/>
              <w:rPr>
                <w:sz w:val="16"/>
              </w:rPr>
            </w:pPr>
            <w:r>
              <w:rPr>
                <w:color w:val="231F20"/>
                <w:spacing w:val="-4"/>
                <w:sz w:val="16"/>
              </w:rPr>
              <w:t xml:space="preserve">Individual </w:t>
            </w:r>
            <w:r>
              <w:rPr>
                <w:color w:val="231F20"/>
                <w:spacing w:val="-4"/>
                <w:w w:val="95"/>
                <w:sz w:val="16"/>
              </w:rPr>
              <w:t>landholders</w:t>
            </w:r>
          </w:p>
        </w:tc>
        <w:tc>
          <w:tcPr>
            <w:tcW w:w="1304" w:type="dxa"/>
            <w:tcBorders>
              <w:top w:val="nil"/>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91"/>
              </w:numPr>
              <w:tabs>
                <w:tab w:val="left" w:pos="277"/>
              </w:tabs>
              <w:spacing w:before="59" w:line="242" w:lineRule="auto"/>
              <w:ind w:right="256"/>
              <w:rPr>
                <w:sz w:val="16"/>
              </w:rPr>
            </w:pPr>
            <w:r>
              <w:rPr>
                <w:color w:val="231F20"/>
                <w:spacing w:val="-4"/>
                <w:sz w:val="16"/>
              </w:rPr>
              <w:t xml:space="preserve">Individual </w:t>
            </w:r>
            <w:r>
              <w:rPr>
                <w:color w:val="231F20"/>
                <w:spacing w:val="-4"/>
                <w:w w:val="95"/>
                <w:sz w:val="16"/>
              </w:rPr>
              <w:t>landholders</w:t>
            </w:r>
          </w:p>
        </w:tc>
      </w:tr>
      <w:tr w:rsidR="006A7A3F">
        <w:trPr>
          <w:trHeight w:val="947"/>
        </w:trPr>
        <w:tc>
          <w:tcPr>
            <w:tcW w:w="113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85" w:right="218"/>
              <w:rPr>
                <w:sz w:val="16"/>
              </w:rPr>
            </w:pPr>
            <w:r>
              <w:rPr>
                <w:color w:val="231F20"/>
                <w:sz w:val="16"/>
              </w:rPr>
              <w:t>Local businesses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90"/>
              </w:numPr>
              <w:tabs>
                <w:tab w:val="left" w:pos="277"/>
              </w:tabs>
              <w:spacing w:before="59"/>
              <w:rPr>
                <w:sz w:val="16"/>
              </w:rPr>
            </w:pPr>
            <w:r>
              <w:rPr>
                <w:color w:val="231F20"/>
                <w:spacing w:val="-4"/>
                <w:sz w:val="16"/>
              </w:rPr>
              <w:t>Forestry</w:t>
            </w: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89"/>
              </w:numPr>
              <w:tabs>
                <w:tab w:val="left" w:pos="277"/>
              </w:tabs>
              <w:spacing w:before="59" w:line="242" w:lineRule="auto"/>
              <w:ind w:right="360"/>
              <w:rPr>
                <w:sz w:val="16"/>
              </w:rPr>
            </w:pPr>
            <w:r>
              <w:rPr>
                <w:color w:val="231F20"/>
                <w:spacing w:val="-4"/>
                <w:sz w:val="16"/>
              </w:rPr>
              <w:t xml:space="preserve">Central </w:t>
            </w:r>
            <w:r>
              <w:rPr>
                <w:color w:val="231F20"/>
                <w:spacing w:val="-4"/>
                <w:w w:val="95"/>
                <w:sz w:val="16"/>
              </w:rPr>
              <w:t xml:space="preserve">Highlands </w:t>
            </w:r>
            <w:r>
              <w:rPr>
                <w:color w:val="231F20"/>
                <w:spacing w:val="-6"/>
                <w:sz w:val="16"/>
              </w:rPr>
              <w:t>Water</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88"/>
              </w:numPr>
              <w:tabs>
                <w:tab w:val="left" w:pos="277"/>
              </w:tabs>
              <w:spacing w:before="59"/>
              <w:ind w:hanging="218"/>
              <w:rPr>
                <w:sz w:val="16"/>
              </w:rPr>
            </w:pPr>
            <w:r>
              <w:rPr>
                <w:color w:val="231F20"/>
                <w:spacing w:val="-4"/>
                <w:sz w:val="16"/>
              </w:rPr>
              <w:t>Forestry</w:t>
            </w:r>
          </w:p>
        </w:tc>
      </w:tr>
      <w:tr w:rsidR="006A7A3F">
        <w:trPr>
          <w:trHeight w:val="1590"/>
        </w:trPr>
        <w:tc>
          <w:tcPr>
            <w:tcW w:w="113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85" w:right="120"/>
              <w:rPr>
                <w:sz w:val="16"/>
              </w:rPr>
            </w:pPr>
            <w:r>
              <w:rPr>
                <w:color w:val="231F20"/>
                <w:sz w:val="16"/>
              </w:rPr>
              <w:t>Recreational users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87"/>
              </w:numPr>
              <w:tabs>
                <w:tab w:val="left" w:pos="277"/>
              </w:tabs>
              <w:spacing w:before="59" w:line="242" w:lineRule="auto"/>
              <w:ind w:right="411"/>
              <w:rPr>
                <w:sz w:val="16"/>
              </w:rPr>
            </w:pPr>
            <w:r>
              <w:rPr>
                <w:color w:val="231F20"/>
                <w:spacing w:val="-4"/>
                <w:sz w:val="16"/>
              </w:rPr>
              <w:t>Field</w:t>
            </w:r>
            <w:r>
              <w:rPr>
                <w:color w:val="231F20"/>
                <w:spacing w:val="-19"/>
                <w:sz w:val="16"/>
              </w:rPr>
              <w:t xml:space="preserve"> </w:t>
            </w:r>
            <w:r>
              <w:rPr>
                <w:color w:val="231F20"/>
                <w:spacing w:val="-9"/>
                <w:sz w:val="16"/>
              </w:rPr>
              <w:t xml:space="preserve">and </w:t>
            </w:r>
            <w:r>
              <w:rPr>
                <w:color w:val="231F20"/>
                <w:spacing w:val="-4"/>
                <w:sz w:val="16"/>
              </w:rPr>
              <w:t>Game Australia</w:t>
            </w:r>
          </w:p>
          <w:p w:rsidR="006A7A3F" w:rsidRDefault="00BC7372">
            <w:pPr>
              <w:pStyle w:val="TableParagraph"/>
              <w:numPr>
                <w:ilvl w:val="0"/>
                <w:numId w:val="487"/>
              </w:numPr>
              <w:tabs>
                <w:tab w:val="left" w:pos="277"/>
              </w:tabs>
              <w:spacing w:before="85" w:line="242" w:lineRule="auto"/>
              <w:ind w:right="167"/>
              <w:rPr>
                <w:sz w:val="16"/>
              </w:rPr>
            </w:pPr>
            <w:r>
              <w:rPr>
                <w:color w:val="231F20"/>
                <w:spacing w:val="-4"/>
                <w:sz w:val="16"/>
              </w:rPr>
              <w:t xml:space="preserve">Gateway to </w:t>
            </w:r>
            <w:r>
              <w:rPr>
                <w:color w:val="231F20"/>
                <w:spacing w:val="-4"/>
                <w:w w:val="95"/>
                <w:sz w:val="16"/>
              </w:rPr>
              <w:t xml:space="preserve">Gannawarra </w:t>
            </w:r>
            <w:r>
              <w:rPr>
                <w:color w:val="231F20"/>
                <w:spacing w:val="-4"/>
                <w:sz w:val="16"/>
              </w:rPr>
              <w:t>Visitor</w:t>
            </w:r>
            <w:r>
              <w:rPr>
                <w:color w:val="231F20"/>
                <w:spacing w:val="-25"/>
                <w:sz w:val="16"/>
              </w:rPr>
              <w:t xml:space="preserve"> </w:t>
            </w:r>
            <w:r>
              <w:rPr>
                <w:color w:val="231F20"/>
                <w:spacing w:val="-7"/>
                <w:sz w:val="16"/>
              </w:rPr>
              <w:t>centre</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86"/>
              </w:numPr>
              <w:tabs>
                <w:tab w:val="left" w:pos="277"/>
              </w:tabs>
              <w:spacing w:before="59" w:line="242" w:lineRule="auto"/>
              <w:ind w:right="411"/>
              <w:rPr>
                <w:sz w:val="16"/>
              </w:rPr>
            </w:pPr>
            <w:r>
              <w:rPr>
                <w:color w:val="231F20"/>
                <w:spacing w:val="-4"/>
                <w:sz w:val="16"/>
              </w:rPr>
              <w:t>Field</w:t>
            </w:r>
            <w:r>
              <w:rPr>
                <w:color w:val="231F20"/>
                <w:spacing w:val="-19"/>
                <w:sz w:val="16"/>
              </w:rPr>
              <w:t xml:space="preserve"> </w:t>
            </w:r>
            <w:r>
              <w:rPr>
                <w:color w:val="231F20"/>
                <w:spacing w:val="-9"/>
                <w:sz w:val="16"/>
              </w:rPr>
              <w:t xml:space="preserve">and </w:t>
            </w:r>
            <w:r>
              <w:rPr>
                <w:color w:val="231F20"/>
                <w:spacing w:val="-4"/>
                <w:sz w:val="16"/>
              </w:rPr>
              <w:t>Game Australia</w:t>
            </w:r>
          </w:p>
          <w:p w:rsidR="006A7A3F" w:rsidRDefault="00BC7372">
            <w:pPr>
              <w:pStyle w:val="TableParagraph"/>
              <w:numPr>
                <w:ilvl w:val="0"/>
                <w:numId w:val="486"/>
              </w:numPr>
              <w:tabs>
                <w:tab w:val="left" w:pos="277"/>
              </w:tabs>
              <w:spacing w:before="85" w:line="242" w:lineRule="auto"/>
              <w:ind w:right="167"/>
              <w:rPr>
                <w:sz w:val="16"/>
              </w:rPr>
            </w:pPr>
            <w:r>
              <w:rPr>
                <w:color w:val="231F20"/>
                <w:spacing w:val="-4"/>
                <w:sz w:val="16"/>
              </w:rPr>
              <w:t xml:space="preserve">Gateway to </w:t>
            </w:r>
            <w:r>
              <w:rPr>
                <w:color w:val="231F20"/>
                <w:spacing w:val="-4"/>
                <w:w w:val="95"/>
                <w:sz w:val="16"/>
              </w:rPr>
              <w:t xml:space="preserve">Gannawarra </w:t>
            </w:r>
            <w:r>
              <w:rPr>
                <w:color w:val="231F20"/>
                <w:spacing w:val="-4"/>
                <w:sz w:val="16"/>
              </w:rPr>
              <w:t>Visitor</w:t>
            </w:r>
            <w:r>
              <w:rPr>
                <w:color w:val="231F20"/>
                <w:spacing w:val="-25"/>
                <w:sz w:val="16"/>
              </w:rPr>
              <w:t xml:space="preserve"> </w:t>
            </w:r>
            <w:r>
              <w:rPr>
                <w:color w:val="231F20"/>
                <w:spacing w:val="-7"/>
                <w:sz w:val="16"/>
              </w:rPr>
              <w:t>centre</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85"/>
              </w:numPr>
              <w:tabs>
                <w:tab w:val="left" w:pos="277"/>
              </w:tabs>
              <w:spacing w:before="59"/>
              <w:ind w:hanging="218"/>
              <w:rPr>
                <w:sz w:val="16"/>
              </w:rPr>
            </w:pPr>
            <w:r>
              <w:rPr>
                <w:color w:val="231F20"/>
                <w:spacing w:val="-4"/>
                <w:sz w:val="16"/>
              </w:rPr>
              <w:t>VRFish</w:t>
            </w:r>
          </w:p>
          <w:p w:rsidR="006A7A3F" w:rsidRDefault="00BC7372">
            <w:pPr>
              <w:pStyle w:val="TableParagraph"/>
              <w:numPr>
                <w:ilvl w:val="0"/>
                <w:numId w:val="485"/>
              </w:numPr>
              <w:tabs>
                <w:tab w:val="left" w:pos="277"/>
              </w:tabs>
              <w:spacing w:before="87" w:line="242" w:lineRule="auto"/>
              <w:ind w:right="187"/>
              <w:rPr>
                <w:sz w:val="16"/>
              </w:rPr>
            </w:pPr>
            <w:r>
              <w:rPr>
                <w:color w:val="231F20"/>
                <w:spacing w:val="-4"/>
                <w:sz w:val="16"/>
              </w:rPr>
              <w:t>Local</w:t>
            </w:r>
            <w:r>
              <w:rPr>
                <w:color w:val="231F20"/>
                <w:spacing w:val="-24"/>
                <w:sz w:val="16"/>
              </w:rPr>
              <w:t xml:space="preserve"> </w:t>
            </w:r>
            <w:r>
              <w:rPr>
                <w:color w:val="231F20"/>
                <w:spacing w:val="-7"/>
                <w:sz w:val="16"/>
              </w:rPr>
              <w:t xml:space="preserve">Canoe </w:t>
            </w:r>
            <w:r>
              <w:rPr>
                <w:color w:val="231F20"/>
                <w:spacing w:val="-4"/>
                <w:sz w:val="16"/>
              </w:rPr>
              <w:t>Clubs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56"/>
              <w:rPr>
                <w:sz w:val="16"/>
              </w:rPr>
            </w:pPr>
            <w:r>
              <w:rPr>
                <w:color w:val="231F20"/>
                <w:spacing w:val="-3"/>
                <w:sz w:val="16"/>
              </w:rPr>
              <w:t xml:space="preserve">IAP2 </w:t>
            </w:r>
            <w:r>
              <w:rPr>
                <w:color w:val="231F20"/>
                <w:spacing w:val="-4"/>
                <w:sz w:val="16"/>
              </w:rPr>
              <w:t>level: Inform</w:t>
            </w:r>
          </w:p>
          <w:p w:rsidR="006A7A3F" w:rsidRDefault="00BC7372">
            <w:pPr>
              <w:pStyle w:val="TableParagraph"/>
              <w:numPr>
                <w:ilvl w:val="0"/>
                <w:numId w:val="484"/>
              </w:numPr>
              <w:tabs>
                <w:tab w:val="left" w:pos="277"/>
              </w:tabs>
              <w:spacing w:before="59"/>
              <w:ind w:hanging="218"/>
              <w:rPr>
                <w:sz w:val="16"/>
              </w:rPr>
            </w:pPr>
            <w:r>
              <w:rPr>
                <w:color w:val="231F20"/>
                <w:spacing w:val="-4"/>
                <w:sz w:val="16"/>
              </w:rPr>
              <w:t>VRFish</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ight="453"/>
              <w:rPr>
                <w:sz w:val="16"/>
              </w:rPr>
            </w:pPr>
            <w:r>
              <w:rPr>
                <w:color w:val="231F20"/>
                <w:sz w:val="16"/>
              </w:rPr>
              <w:t>IAP2 level: Consult</w:t>
            </w:r>
          </w:p>
          <w:p w:rsidR="006A7A3F" w:rsidRDefault="00BC7372">
            <w:pPr>
              <w:pStyle w:val="TableParagraph"/>
              <w:numPr>
                <w:ilvl w:val="0"/>
                <w:numId w:val="483"/>
              </w:numPr>
              <w:tabs>
                <w:tab w:val="left" w:pos="277"/>
              </w:tabs>
              <w:spacing w:before="57"/>
              <w:ind w:hanging="218"/>
              <w:rPr>
                <w:sz w:val="16"/>
              </w:rPr>
            </w:pPr>
            <w:r>
              <w:rPr>
                <w:color w:val="231F20"/>
                <w:spacing w:val="-4"/>
                <w:sz w:val="16"/>
              </w:rPr>
              <w:t>VRFish</w:t>
            </w:r>
          </w:p>
          <w:p w:rsidR="006A7A3F" w:rsidRDefault="00BC7372">
            <w:pPr>
              <w:pStyle w:val="TableParagraph"/>
              <w:numPr>
                <w:ilvl w:val="0"/>
                <w:numId w:val="483"/>
              </w:numPr>
              <w:tabs>
                <w:tab w:val="left" w:pos="277"/>
              </w:tabs>
              <w:spacing w:before="87" w:line="242" w:lineRule="auto"/>
              <w:ind w:right="411"/>
              <w:rPr>
                <w:sz w:val="16"/>
              </w:rPr>
            </w:pPr>
            <w:r>
              <w:rPr>
                <w:color w:val="231F20"/>
                <w:spacing w:val="-4"/>
                <w:sz w:val="16"/>
              </w:rPr>
              <w:t>Field</w:t>
            </w:r>
            <w:r>
              <w:rPr>
                <w:color w:val="231F20"/>
                <w:spacing w:val="-19"/>
                <w:sz w:val="16"/>
              </w:rPr>
              <w:t xml:space="preserve"> </w:t>
            </w:r>
            <w:r>
              <w:rPr>
                <w:color w:val="231F20"/>
                <w:spacing w:val="-9"/>
                <w:sz w:val="16"/>
              </w:rPr>
              <w:t xml:space="preserve">and </w:t>
            </w:r>
            <w:r>
              <w:rPr>
                <w:color w:val="231F20"/>
                <w:spacing w:val="-4"/>
                <w:sz w:val="16"/>
              </w:rPr>
              <w:t>Game Australia</w:t>
            </w: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2148"/>
        </w:trPr>
        <w:tc>
          <w:tcPr>
            <w:tcW w:w="113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85" w:right="138"/>
              <w:rPr>
                <w:sz w:val="16"/>
              </w:rPr>
            </w:pPr>
            <w:r>
              <w:rPr>
                <w:color w:val="231F20"/>
                <w:sz w:val="16"/>
              </w:rPr>
              <w:t>Technical experts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482"/>
              </w:numPr>
              <w:tabs>
                <w:tab w:val="left" w:pos="277"/>
              </w:tabs>
              <w:spacing w:before="57" w:line="242" w:lineRule="auto"/>
              <w:ind w:right="216"/>
              <w:rPr>
                <w:sz w:val="16"/>
              </w:rPr>
            </w:pPr>
            <w:r>
              <w:rPr>
                <w:color w:val="231F20"/>
                <w:spacing w:val="-5"/>
                <w:sz w:val="16"/>
              </w:rPr>
              <w:t xml:space="preserve">Vegetation, </w:t>
            </w:r>
            <w:r>
              <w:rPr>
                <w:color w:val="231F20"/>
                <w:sz w:val="16"/>
              </w:rPr>
              <w:t>fish</w:t>
            </w:r>
            <w:r>
              <w:rPr>
                <w:color w:val="231F20"/>
                <w:spacing w:val="-22"/>
                <w:sz w:val="16"/>
              </w:rPr>
              <w:t xml:space="preserve"> </w:t>
            </w:r>
            <w:r>
              <w:rPr>
                <w:color w:val="231F20"/>
                <w:spacing w:val="-3"/>
                <w:sz w:val="16"/>
              </w:rPr>
              <w:t>and</w:t>
            </w:r>
            <w:r>
              <w:rPr>
                <w:color w:val="231F20"/>
                <w:spacing w:val="-21"/>
                <w:sz w:val="16"/>
              </w:rPr>
              <w:t xml:space="preserve"> </w:t>
            </w:r>
            <w:r>
              <w:rPr>
                <w:color w:val="231F20"/>
                <w:spacing w:val="-8"/>
                <w:sz w:val="16"/>
              </w:rPr>
              <w:t xml:space="preserve">bird </w:t>
            </w:r>
            <w:r>
              <w:rPr>
                <w:color w:val="231F20"/>
                <w:spacing w:val="-4"/>
                <w:sz w:val="16"/>
              </w:rPr>
              <w:t>ecologists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ight="453"/>
              <w:rPr>
                <w:sz w:val="16"/>
              </w:rPr>
            </w:pPr>
            <w:r>
              <w:rPr>
                <w:color w:val="231F20"/>
                <w:sz w:val="16"/>
              </w:rPr>
              <w:t>IAP2 level: Consult</w:t>
            </w:r>
          </w:p>
          <w:p w:rsidR="006A7A3F" w:rsidRDefault="00BC7372">
            <w:pPr>
              <w:pStyle w:val="TableParagraph"/>
              <w:numPr>
                <w:ilvl w:val="0"/>
                <w:numId w:val="481"/>
              </w:numPr>
              <w:tabs>
                <w:tab w:val="left" w:pos="277"/>
              </w:tabs>
              <w:spacing w:before="57" w:line="242" w:lineRule="auto"/>
              <w:ind w:right="34"/>
              <w:rPr>
                <w:sz w:val="16"/>
              </w:rPr>
            </w:pPr>
            <w:r>
              <w:rPr>
                <w:color w:val="231F20"/>
                <w:spacing w:val="-4"/>
                <w:sz w:val="16"/>
              </w:rPr>
              <w:t>Arthur Rylah Institute (Department</w:t>
            </w:r>
            <w:r>
              <w:rPr>
                <w:color w:val="231F20"/>
                <w:spacing w:val="-26"/>
                <w:sz w:val="16"/>
              </w:rPr>
              <w:t xml:space="preserve"> </w:t>
            </w:r>
            <w:r>
              <w:rPr>
                <w:color w:val="231F20"/>
                <w:spacing w:val="-12"/>
                <w:sz w:val="16"/>
              </w:rPr>
              <w:t xml:space="preserve">of </w:t>
            </w:r>
            <w:r>
              <w:rPr>
                <w:color w:val="231F20"/>
                <w:spacing w:val="-4"/>
                <w:sz w:val="16"/>
              </w:rPr>
              <w:t xml:space="preserve">Environment, Land, </w:t>
            </w:r>
            <w:r>
              <w:rPr>
                <w:color w:val="231F20"/>
                <w:spacing w:val="-6"/>
                <w:sz w:val="16"/>
              </w:rPr>
              <w:t xml:space="preserve">Water </w:t>
            </w:r>
            <w:r>
              <w:rPr>
                <w:color w:val="231F20"/>
                <w:spacing w:val="-3"/>
                <w:sz w:val="16"/>
              </w:rPr>
              <w:t>and</w:t>
            </w:r>
            <w:r>
              <w:rPr>
                <w:color w:val="231F20"/>
                <w:spacing w:val="-19"/>
                <w:sz w:val="16"/>
              </w:rPr>
              <w:t xml:space="preserve"> </w:t>
            </w:r>
            <w:r>
              <w:rPr>
                <w:color w:val="231F20"/>
                <w:spacing w:val="-4"/>
                <w:sz w:val="16"/>
              </w:rPr>
              <w:t>Planning)</w:t>
            </w:r>
          </w:p>
          <w:p w:rsidR="006A7A3F" w:rsidRDefault="00BC7372">
            <w:pPr>
              <w:pStyle w:val="TableParagraph"/>
              <w:numPr>
                <w:ilvl w:val="0"/>
                <w:numId w:val="481"/>
              </w:numPr>
              <w:tabs>
                <w:tab w:val="left" w:pos="277"/>
              </w:tabs>
              <w:spacing w:before="86" w:line="242" w:lineRule="auto"/>
              <w:ind w:right="295"/>
              <w:rPr>
                <w:sz w:val="16"/>
              </w:rPr>
            </w:pPr>
            <w:r>
              <w:rPr>
                <w:color w:val="231F20"/>
                <w:spacing w:val="-4"/>
                <w:w w:val="95"/>
                <w:sz w:val="16"/>
              </w:rPr>
              <w:t xml:space="preserve">Contracted </w:t>
            </w:r>
            <w:r>
              <w:rPr>
                <w:color w:val="231F20"/>
                <w:spacing w:val="-4"/>
                <w:sz w:val="16"/>
              </w:rPr>
              <w:t>ecologists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480"/>
              </w:numPr>
              <w:tabs>
                <w:tab w:val="left" w:pos="277"/>
              </w:tabs>
              <w:spacing w:before="57" w:line="242" w:lineRule="auto"/>
              <w:ind w:right="34"/>
              <w:rPr>
                <w:sz w:val="16"/>
              </w:rPr>
            </w:pPr>
            <w:r>
              <w:rPr>
                <w:color w:val="231F20"/>
                <w:spacing w:val="-4"/>
                <w:sz w:val="16"/>
              </w:rPr>
              <w:t>Arthur Rylah Institute (Department</w:t>
            </w:r>
            <w:r>
              <w:rPr>
                <w:color w:val="231F20"/>
                <w:spacing w:val="-26"/>
                <w:sz w:val="16"/>
              </w:rPr>
              <w:t xml:space="preserve"> </w:t>
            </w:r>
            <w:r>
              <w:rPr>
                <w:color w:val="231F20"/>
                <w:spacing w:val="-12"/>
                <w:sz w:val="16"/>
              </w:rPr>
              <w:t xml:space="preserve">of </w:t>
            </w:r>
            <w:r>
              <w:rPr>
                <w:color w:val="231F20"/>
                <w:spacing w:val="-4"/>
                <w:sz w:val="16"/>
              </w:rPr>
              <w:t xml:space="preserve">Environment, Land, </w:t>
            </w:r>
            <w:r>
              <w:rPr>
                <w:color w:val="231F20"/>
                <w:spacing w:val="-6"/>
                <w:sz w:val="16"/>
              </w:rPr>
              <w:t xml:space="preserve">Water </w:t>
            </w:r>
            <w:r>
              <w:rPr>
                <w:color w:val="231F20"/>
                <w:spacing w:val="-3"/>
                <w:sz w:val="16"/>
              </w:rPr>
              <w:t>and</w:t>
            </w:r>
            <w:r>
              <w:rPr>
                <w:color w:val="231F20"/>
                <w:spacing w:val="-19"/>
                <w:sz w:val="16"/>
              </w:rPr>
              <w:t xml:space="preserve"> </w:t>
            </w:r>
            <w:r>
              <w:rPr>
                <w:color w:val="231F20"/>
                <w:spacing w:val="-4"/>
                <w:sz w:val="16"/>
              </w:rPr>
              <w:t>Planning)</w:t>
            </w: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479"/>
              </w:numPr>
              <w:tabs>
                <w:tab w:val="left" w:pos="277"/>
              </w:tabs>
              <w:spacing w:before="57" w:line="242" w:lineRule="auto"/>
              <w:ind w:right="217"/>
              <w:rPr>
                <w:sz w:val="16"/>
              </w:rPr>
            </w:pPr>
            <w:r>
              <w:rPr>
                <w:color w:val="231F20"/>
                <w:spacing w:val="-5"/>
                <w:sz w:val="16"/>
              </w:rPr>
              <w:t xml:space="preserve">Vegetation, </w:t>
            </w:r>
            <w:r>
              <w:rPr>
                <w:color w:val="231F20"/>
                <w:sz w:val="16"/>
              </w:rPr>
              <w:t>fish</w:t>
            </w:r>
            <w:r>
              <w:rPr>
                <w:color w:val="231F20"/>
                <w:spacing w:val="-22"/>
                <w:sz w:val="16"/>
              </w:rPr>
              <w:t xml:space="preserve"> </w:t>
            </w:r>
            <w:r>
              <w:rPr>
                <w:color w:val="231F20"/>
                <w:spacing w:val="-3"/>
                <w:sz w:val="16"/>
              </w:rPr>
              <w:t>and</w:t>
            </w:r>
            <w:r>
              <w:rPr>
                <w:color w:val="231F20"/>
                <w:spacing w:val="-21"/>
                <w:sz w:val="16"/>
              </w:rPr>
              <w:t xml:space="preserve"> </w:t>
            </w:r>
            <w:r>
              <w:rPr>
                <w:color w:val="231F20"/>
                <w:spacing w:val="-8"/>
                <w:sz w:val="16"/>
              </w:rPr>
              <w:t xml:space="preserve">bird </w:t>
            </w:r>
            <w:r>
              <w:rPr>
                <w:color w:val="231F20"/>
                <w:spacing w:val="-4"/>
                <w:sz w:val="16"/>
              </w:rPr>
              <w:t>ecologists</w:t>
            </w:r>
          </w:p>
        </w:tc>
      </w:tr>
      <w:tr w:rsidR="006A7A3F">
        <w:trPr>
          <w:trHeight w:val="3807"/>
        </w:trPr>
        <w:tc>
          <w:tcPr>
            <w:tcW w:w="113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85" w:right="138"/>
              <w:rPr>
                <w:sz w:val="16"/>
              </w:rPr>
            </w:pPr>
            <w:r>
              <w:rPr>
                <w:color w:val="231F20"/>
                <w:sz w:val="16"/>
              </w:rPr>
              <w:t>Traditional Owners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478"/>
              </w:numPr>
              <w:tabs>
                <w:tab w:val="left" w:pos="277"/>
              </w:tabs>
              <w:spacing w:before="57" w:line="242" w:lineRule="auto"/>
              <w:ind w:right="247"/>
              <w:rPr>
                <w:sz w:val="16"/>
              </w:rPr>
            </w:pPr>
            <w:r>
              <w:rPr>
                <w:color w:val="231F20"/>
                <w:spacing w:val="-7"/>
                <w:sz w:val="16"/>
              </w:rPr>
              <w:t xml:space="preserve">Yorta Yorta </w:t>
            </w:r>
            <w:r>
              <w:rPr>
                <w:color w:val="231F20"/>
                <w:spacing w:val="-4"/>
                <w:sz w:val="16"/>
              </w:rPr>
              <w:t xml:space="preserve">Nation Aboriginal </w:t>
            </w:r>
            <w:r>
              <w:rPr>
                <w:color w:val="231F20"/>
                <w:spacing w:val="-4"/>
                <w:w w:val="95"/>
                <w:sz w:val="16"/>
              </w:rPr>
              <w:t>Corporation</w:t>
            </w:r>
          </w:p>
          <w:p w:rsidR="006A7A3F" w:rsidRDefault="00BC7372">
            <w:pPr>
              <w:pStyle w:val="TableParagraph"/>
              <w:numPr>
                <w:ilvl w:val="0"/>
                <w:numId w:val="478"/>
              </w:numPr>
              <w:tabs>
                <w:tab w:val="left" w:pos="277"/>
              </w:tabs>
              <w:spacing w:before="86" w:line="242" w:lineRule="auto"/>
              <w:ind w:right="339"/>
              <w:rPr>
                <w:sz w:val="16"/>
              </w:rPr>
            </w:pPr>
            <w:r>
              <w:rPr>
                <w:color w:val="231F20"/>
                <w:spacing w:val="-4"/>
                <w:sz w:val="16"/>
              </w:rPr>
              <w:t xml:space="preserve">Barapa Barapa </w:t>
            </w:r>
            <w:r>
              <w:rPr>
                <w:color w:val="231F20"/>
                <w:spacing w:val="-5"/>
                <w:w w:val="95"/>
                <w:sz w:val="16"/>
              </w:rPr>
              <w:t xml:space="preserve">Traditional </w:t>
            </w:r>
            <w:r>
              <w:rPr>
                <w:color w:val="231F20"/>
                <w:spacing w:val="-4"/>
                <w:sz w:val="16"/>
              </w:rPr>
              <w:t>Owners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477"/>
              </w:numPr>
              <w:tabs>
                <w:tab w:val="left" w:pos="277"/>
              </w:tabs>
              <w:spacing w:before="57" w:line="242" w:lineRule="auto"/>
              <w:ind w:right="35"/>
              <w:rPr>
                <w:sz w:val="16"/>
              </w:rPr>
            </w:pPr>
            <w:r>
              <w:rPr>
                <w:color w:val="231F20"/>
                <w:spacing w:val="-3"/>
                <w:sz w:val="16"/>
              </w:rPr>
              <w:t xml:space="preserve">Dja </w:t>
            </w:r>
            <w:r>
              <w:rPr>
                <w:color w:val="231F20"/>
                <w:spacing w:val="-4"/>
                <w:sz w:val="16"/>
              </w:rPr>
              <w:t>Dja Wurrung</w:t>
            </w:r>
            <w:r>
              <w:rPr>
                <w:color w:val="231F20"/>
                <w:spacing w:val="-27"/>
                <w:sz w:val="16"/>
              </w:rPr>
              <w:t xml:space="preserve"> </w:t>
            </w:r>
            <w:r>
              <w:rPr>
                <w:color w:val="231F20"/>
                <w:spacing w:val="-8"/>
                <w:sz w:val="16"/>
              </w:rPr>
              <w:t xml:space="preserve">Clans </w:t>
            </w:r>
            <w:r>
              <w:rPr>
                <w:color w:val="231F20"/>
                <w:spacing w:val="-4"/>
                <w:sz w:val="16"/>
              </w:rPr>
              <w:t>Aboriginal Corporation</w:t>
            </w:r>
          </w:p>
          <w:p w:rsidR="006A7A3F" w:rsidRDefault="00BC7372">
            <w:pPr>
              <w:pStyle w:val="TableParagraph"/>
              <w:numPr>
                <w:ilvl w:val="0"/>
                <w:numId w:val="477"/>
              </w:numPr>
              <w:tabs>
                <w:tab w:val="left" w:pos="277"/>
              </w:tabs>
              <w:spacing w:before="86" w:line="242" w:lineRule="auto"/>
              <w:ind w:right="247"/>
              <w:rPr>
                <w:sz w:val="16"/>
              </w:rPr>
            </w:pPr>
            <w:r>
              <w:rPr>
                <w:color w:val="231F20"/>
                <w:spacing w:val="-7"/>
                <w:sz w:val="16"/>
              </w:rPr>
              <w:t xml:space="preserve">Yorta Yorta </w:t>
            </w:r>
            <w:r>
              <w:rPr>
                <w:color w:val="231F20"/>
                <w:spacing w:val="-4"/>
                <w:sz w:val="16"/>
              </w:rPr>
              <w:t xml:space="preserve">Nation Aboriginal </w:t>
            </w:r>
            <w:r>
              <w:rPr>
                <w:color w:val="231F20"/>
                <w:spacing w:val="-4"/>
                <w:w w:val="95"/>
                <w:sz w:val="16"/>
              </w:rPr>
              <w:t>Corporation</w:t>
            </w:r>
          </w:p>
          <w:p w:rsidR="006A7A3F" w:rsidRDefault="00BC7372">
            <w:pPr>
              <w:pStyle w:val="TableParagraph"/>
              <w:numPr>
                <w:ilvl w:val="0"/>
                <w:numId w:val="477"/>
              </w:numPr>
              <w:tabs>
                <w:tab w:val="left" w:pos="277"/>
              </w:tabs>
              <w:spacing w:before="86" w:line="242" w:lineRule="auto"/>
              <w:ind w:right="339"/>
              <w:rPr>
                <w:sz w:val="16"/>
              </w:rPr>
            </w:pPr>
            <w:r>
              <w:rPr>
                <w:color w:val="231F20"/>
                <w:spacing w:val="-4"/>
                <w:sz w:val="16"/>
              </w:rPr>
              <w:t xml:space="preserve">Barapa Barapa </w:t>
            </w:r>
            <w:r>
              <w:rPr>
                <w:color w:val="231F20"/>
                <w:spacing w:val="-5"/>
                <w:w w:val="95"/>
                <w:sz w:val="16"/>
              </w:rPr>
              <w:t xml:space="preserve">Traditional </w:t>
            </w:r>
            <w:r>
              <w:rPr>
                <w:color w:val="231F20"/>
                <w:spacing w:val="-4"/>
                <w:sz w:val="16"/>
              </w:rPr>
              <w:t>Owners</w:t>
            </w:r>
          </w:p>
          <w:p w:rsidR="006A7A3F" w:rsidRDefault="00BC7372">
            <w:pPr>
              <w:pStyle w:val="TableParagraph"/>
              <w:numPr>
                <w:ilvl w:val="0"/>
                <w:numId w:val="477"/>
              </w:numPr>
              <w:tabs>
                <w:tab w:val="left" w:pos="277"/>
              </w:tabs>
              <w:spacing w:before="85" w:line="242" w:lineRule="auto"/>
              <w:ind w:right="339"/>
              <w:rPr>
                <w:sz w:val="16"/>
              </w:rPr>
            </w:pPr>
            <w:r>
              <w:rPr>
                <w:color w:val="231F20"/>
                <w:spacing w:val="-5"/>
                <w:sz w:val="16"/>
              </w:rPr>
              <w:t xml:space="preserve">Wemba Wemba </w:t>
            </w:r>
            <w:r>
              <w:rPr>
                <w:color w:val="231F20"/>
                <w:spacing w:val="-5"/>
                <w:w w:val="95"/>
                <w:sz w:val="16"/>
              </w:rPr>
              <w:t xml:space="preserve">Traditional </w:t>
            </w:r>
            <w:r>
              <w:rPr>
                <w:color w:val="231F20"/>
                <w:spacing w:val="-4"/>
                <w:sz w:val="16"/>
              </w:rPr>
              <w:t>Owners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476"/>
              </w:numPr>
              <w:tabs>
                <w:tab w:val="left" w:pos="277"/>
              </w:tabs>
              <w:spacing w:before="57" w:line="242" w:lineRule="auto"/>
              <w:ind w:right="35"/>
              <w:rPr>
                <w:sz w:val="16"/>
              </w:rPr>
            </w:pPr>
            <w:r>
              <w:rPr>
                <w:color w:val="231F20"/>
                <w:spacing w:val="-3"/>
                <w:sz w:val="16"/>
              </w:rPr>
              <w:t xml:space="preserve">Dja </w:t>
            </w:r>
            <w:r>
              <w:rPr>
                <w:color w:val="231F20"/>
                <w:spacing w:val="-4"/>
                <w:sz w:val="16"/>
              </w:rPr>
              <w:t>Dja Wurrung</w:t>
            </w:r>
            <w:r>
              <w:rPr>
                <w:color w:val="231F20"/>
                <w:spacing w:val="-27"/>
                <w:sz w:val="16"/>
              </w:rPr>
              <w:t xml:space="preserve"> </w:t>
            </w:r>
            <w:r>
              <w:rPr>
                <w:color w:val="231F20"/>
                <w:spacing w:val="-8"/>
                <w:sz w:val="16"/>
              </w:rPr>
              <w:t xml:space="preserve">Clans </w:t>
            </w:r>
            <w:r>
              <w:rPr>
                <w:color w:val="231F20"/>
                <w:spacing w:val="-4"/>
                <w:sz w:val="16"/>
              </w:rPr>
              <w:t>Aboriginal Corporation</w:t>
            </w:r>
          </w:p>
          <w:p w:rsidR="006A7A3F" w:rsidRDefault="00BC7372">
            <w:pPr>
              <w:pStyle w:val="TableParagraph"/>
              <w:numPr>
                <w:ilvl w:val="0"/>
                <w:numId w:val="476"/>
              </w:numPr>
              <w:tabs>
                <w:tab w:val="left" w:pos="277"/>
              </w:tabs>
              <w:spacing w:before="86" w:line="242" w:lineRule="auto"/>
              <w:ind w:right="45"/>
              <w:rPr>
                <w:sz w:val="16"/>
              </w:rPr>
            </w:pPr>
            <w:r>
              <w:rPr>
                <w:color w:val="231F20"/>
                <w:spacing w:val="-6"/>
                <w:sz w:val="16"/>
              </w:rPr>
              <w:t xml:space="preserve">Taungurung </w:t>
            </w:r>
            <w:r>
              <w:rPr>
                <w:color w:val="231F20"/>
                <w:spacing w:val="-3"/>
                <w:sz w:val="16"/>
              </w:rPr>
              <w:t xml:space="preserve">Land </w:t>
            </w:r>
            <w:r>
              <w:rPr>
                <w:color w:val="231F20"/>
                <w:sz w:val="16"/>
              </w:rPr>
              <w:t>&amp;</w:t>
            </w:r>
            <w:r>
              <w:rPr>
                <w:color w:val="231F20"/>
                <w:spacing w:val="-37"/>
                <w:sz w:val="16"/>
              </w:rPr>
              <w:t xml:space="preserve"> </w:t>
            </w:r>
            <w:r>
              <w:rPr>
                <w:color w:val="231F20"/>
                <w:spacing w:val="-8"/>
                <w:sz w:val="16"/>
              </w:rPr>
              <w:t xml:space="preserve">Waters </w:t>
            </w:r>
            <w:r>
              <w:rPr>
                <w:color w:val="231F20"/>
                <w:spacing w:val="-4"/>
                <w:sz w:val="16"/>
              </w:rPr>
              <w:t>Council</w:t>
            </w:r>
          </w:p>
          <w:p w:rsidR="006A7A3F" w:rsidRDefault="00BC7372">
            <w:pPr>
              <w:pStyle w:val="TableParagraph"/>
              <w:numPr>
                <w:ilvl w:val="0"/>
                <w:numId w:val="476"/>
              </w:numPr>
              <w:tabs>
                <w:tab w:val="left" w:pos="277"/>
              </w:tabs>
              <w:spacing w:before="85" w:line="242" w:lineRule="auto"/>
              <w:ind w:right="247"/>
              <w:rPr>
                <w:sz w:val="16"/>
              </w:rPr>
            </w:pPr>
            <w:r>
              <w:rPr>
                <w:color w:val="231F20"/>
                <w:spacing w:val="-7"/>
                <w:sz w:val="16"/>
              </w:rPr>
              <w:t xml:space="preserve">Yorta Yorta </w:t>
            </w:r>
            <w:r>
              <w:rPr>
                <w:color w:val="231F20"/>
                <w:spacing w:val="-4"/>
                <w:sz w:val="16"/>
              </w:rPr>
              <w:t xml:space="preserve">Nation Aboriginal </w:t>
            </w:r>
            <w:r>
              <w:rPr>
                <w:color w:val="231F20"/>
                <w:spacing w:val="-4"/>
                <w:w w:val="95"/>
                <w:sz w:val="16"/>
              </w:rPr>
              <w:t>Corporation</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ight="453"/>
              <w:rPr>
                <w:sz w:val="16"/>
              </w:rPr>
            </w:pPr>
            <w:r>
              <w:rPr>
                <w:color w:val="231F20"/>
                <w:sz w:val="16"/>
              </w:rPr>
              <w:t>IAP2 level: Consult</w:t>
            </w:r>
          </w:p>
          <w:p w:rsidR="006A7A3F" w:rsidRDefault="00BC7372">
            <w:pPr>
              <w:pStyle w:val="TableParagraph"/>
              <w:numPr>
                <w:ilvl w:val="0"/>
                <w:numId w:val="475"/>
              </w:numPr>
              <w:tabs>
                <w:tab w:val="left" w:pos="277"/>
              </w:tabs>
              <w:spacing w:before="57" w:line="242" w:lineRule="auto"/>
              <w:ind w:right="35"/>
              <w:rPr>
                <w:sz w:val="16"/>
              </w:rPr>
            </w:pPr>
            <w:r>
              <w:rPr>
                <w:color w:val="231F20"/>
                <w:spacing w:val="-3"/>
                <w:sz w:val="16"/>
              </w:rPr>
              <w:t xml:space="preserve">Dja </w:t>
            </w:r>
            <w:r>
              <w:rPr>
                <w:color w:val="231F20"/>
                <w:spacing w:val="-4"/>
                <w:sz w:val="16"/>
              </w:rPr>
              <w:t>Dja Wurrung</w:t>
            </w:r>
            <w:r>
              <w:rPr>
                <w:color w:val="231F20"/>
                <w:spacing w:val="-27"/>
                <w:sz w:val="16"/>
              </w:rPr>
              <w:t xml:space="preserve"> </w:t>
            </w:r>
            <w:r>
              <w:rPr>
                <w:color w:val="231F20"/>
                <w:spacing w:val="-8"/>
                <w:sz w:val="16"/>
              </w:rPr>
              <w:t xml:space="preserve">Clans </w:t>
            </w:r>
            <w:r>
              <w:rPr>
                <w:color w:val="231F20"/>
                <w:spacing w:val="-4"/>
                <w:sz w:val="16"/>
              </w:rPr>
              <w:t>Aboriginal Corporation</w:t>
            </w: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Pr>
                <w:sz w:val="16"/>
              </w:rPr>
            </w:pPr>
            <w:r>
              <w:rPr>
                <w:color w:val="231F20"/>
                <w:sz w:val="16"/>
              </w:rPr>
              <w:t xml:space="preserve">IAP2 level: </w:t>
            </w:r>
            <w:r>
              <w:rPr>
                <w:color w:val="231F20"/>
                <w:w w:val="95"/>
                <w:sz w:val="16"/>
              </w:rPr>
              <w:t>Collaborate</w:t>
            </w:r>
          </w:p>
          <w:p w:rsidR="006A7A3F" w:rsidRDefault="00BC7372">
            <w:pPr>
              <w:pStyle w:val="TableParagraph"/>
              <w:numPr>
                <w:ilvl w:val="0"/>
                <w:numId w:val="474"/>
              </w:numPr>
              <w:tabs>
                <w:tab w:val="left" w:pos="277"/>
              </w:tabs>
              <w:spacing w:before="57" w:line="242" w:lineRule="auto"/>
              <w:ind w:right="35"/>
              <w:rPr>
                <w:sz w:val="16"/>
              </w:rPr>
            </w:pPr>
            <w:r>
              <w:rPr>
                <w:color w:val="231F20"/>
                <w:spacing w:val="-3"/>
                <w:sz w:val="16"/>
              </w:rPr>
              <w:t xml:space="preserve">Dja </w:t>
            </w:r>
            <w:r>
              <w:rPr>
                <w:color w:val="231F20"/>
                <w:spacing w:val="-4"/>
                <w:sz w:val="16"/>
              </w:rPr>
              <w:t>Dja Wurrung</w:t>
            </w:r>
            <w:r>
              <w:rPr>
                <w:color w:val="231F20"/>
                <w:spacing w:val="-27"/>
                <w:sz w:val="16"/>
              </w:rPr>
              <w:t xml:space="preserve"> </w:t>
            </w:r>
            <w:r>
              <w:rPr>
                <w:color w:val="231F20"/>
                <w:spacing w:val="-8"/>
                <w:sz w:val="16"/>
              </w:rPr>
              <w:t xml:space="preserve">Clans </w:t>
            </w:r>
            <w:r>
              <w:rPr>
                <w:color w:val="231F20"/>
                <w:spacing w:val="-4"/>
                <w:sz w:val="16"/>
              </w:rPr>
              <w:t>Aboriginal Corporation</w:t>
            </w:r>
          </w:p>
          <w:p w:rsidR="006A7A3F" w:rsidRDefault="00BC7372">
            <w:pPr>
              <w:pStyle w:val="TableParagraph"/>
              <w:numPr>
                <w:ilvl w:val="0"/>
                <w:numId w:val="474"/>
              </w:numPr>
              <w:tabs>
                <w:tab w:val="left" w:pos="277"/>
              </w:tabs>
              <w:spacing w:before="86" w:line="242" w:lineRule="auto"/>
              <w:ind w:right="339"/>
              <w:rPr>
                <w:sz w:val="16"/>
              </w:rPr>
            </w:pPr>
            <w:r>
              <w:rPr>
                <w:color w:val="231F20"/>
                <w:spacing w:val="-4"/>
                <w:sz w:val="16"/>
              </w:rPr>
              <w:t xml:space="preserve">Barapa Barapa </w:t>
            </w:r>
            <w:r>
              <w:rPr>
                <w:color w:val="231F20"/>
                <w:spacing w:val="-5"/>
                <w:w w:val="95"/>
                <w:sz w:val="16"/>
              </w:rPr>
              <w:t xml:space="preserve">Traditional </w:t>
            </w:r>
            <w:r>
              <w:rPr>
                <w:color w:val="231F20"/>
                <w:spacing w:val="-4"/>
                <w:sz w:val="16"/>
              </w:rPr>
              <w:t>Owners</w:t>
            </w:r>
          </w:p>
          <w:p w:rsidR="006A7A3F" w:rsidRDefault="00BC7372">
            <w:pPr>
              <w:pStyle w:val="TableParagraph"/>
              <w:numPr>
                <w:ilvl w:val="0"/>
                <w:numId w:val="474"/>
              </w:numPr>
              <w:tabs>
                <w:tab w:val="left" w:pos="277"/>
              </w:tabs>
              <w:spacing w:before="86" w:line="242" w:lineRule="auto"/>
              <w:ind w:right="339"/>
              <w:rPr>
                <w:sz w:val="16"/>
              </w:rPr>
            </w:pPr>
            <w:r>
              <w:rPr>
                <w:color w:val="231F20"/>
                <w:spacing w:val="-5"/>
                <w:sz w:val="16"/>
              </w:rPr>
              <w:t xml:space="preserve">Wemba Wemba </w:t>
            </w:r>
            <w:r>
              <w:rPr>
                <w:color w:val="231F20"/>
                <w:spacing w:val="-5"/>
                <w:w w:val="95"/>
                <w:sz w:val="16"/>
              </w:rPr>
              <w:t xml:space="preserve">Traditional </w:t>
            </w:r>
            <w:r>
              <w:rPr>
                <w:color w:val="231F20"/>
                <w:spacing w:val="-4"/>
                <w:sz w:val="16"/>
              </w:rPr>
              <w:t>Owners</w:t>
            </w:r>
          </w:p>
        </w:tc>
        <w:tc>
          <w:tcPr>
            <w:tcW w:w="1304" w:type="dxa"/>
            <w:tcBorders>
              <w:top w:val="single" w:sz="4" w:space="0" w:color="231F20"/>
              <w:left w:val="single" w:sz="4" w:space="0" w:color="231F20"/>
              <w:bottom w:val="single" w:sz="4" w:space="0" w:color="231F20"/>
              <w:right w:val="single" w:sz="4" w:space="0" w:color="231F20"/>
            </w:tcBorders>
          </w:tcPr>
          <w:p w:rsidR="006A7A3F" w:rsidRDefault="006A7A3F">
            <w:pPr>
              <w:pStyle w:val="TableParagraph"/>
              <w:ind w:left="0"/>
              <w:rPr>
                <w:rFonts w:ascii="Times New Roman"/>
                <w:sz w:val="16"/>
              </w:rPr>
            </w:pPr>
          </w:p>
        </w:tc>
        <w:tc>
          <w:tcPr>
            <w:tcW w:w="130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42" w:lineRule="auto"/>
              <w:ind w:left="56" w:right="484"/>
              <w:rPr>
                <w:sz w:val="16"/>
              </w:rPr>
            </w:pPr>
            <w:r>
              <w:rPr>
                <w:color w:val="231F20"/>
                <w:spacing w:val="-3"/>
                <w:sz w:val="16"/>
              </w:rPr>
              <w:t xml:space="preserve">IAP2 </w:t>
            </w:r>
            <w:r>
              <w:rPr>
                <w:color w:val="231F20"/>
                <w:spacing w:val="-4"/>
                <w:sz w:val="16"/>
              </w:rPr>
              <w:t xml:space="preserve">level: </w:t>
            </w:r>
            <w:r>
              <w:rPr>
                <w:color w:val="231F20"/>
                <w:spacing w:val="-4"/>
                <w:w w:val="95"/>
                <w:sz w:val="16"/>
              </w:rPr>
              <w:t>Collaborate</w:t>
            </w:r>
          </w:p>
          <w:p w:rsidR="006A7A3F" w:rsidRDefault="00BC7372">
            <w:pPr>
              <w:pStyle w:val="TableParagraph"/>
              <w:numPr>
                <w:ilvl w:val="0"/>
                <w:numId w:val="473"/>
              </w:numPr>
              <w:tabs>
                <w:tab w:val="left" w:pos="277"/>
              </w:tabs>
              <w:spacing w:before="57" w:line="242" w:lineRule="auto"/>
              <w:ind w:right="339"/>
              <w:rPr>
                <w:sz w:val="16"/>
              </w:rPr>
            </w:pPr>
            <w:r>
              <w:rPr>
                <w:color w:val="231F20"/>
                <w:spacing w:val="-4"/>
                <w:sz w:val="16"/>
              </w:rPr>
              <w:t xml:space="preserve">Barapa Barapa </w:t>
            </w:r>
            <w:r>
              <w:rPr>
                <w:color w:val="231F20"/>
                <w:spacing w:val="-5"/>
                <w:w w:val="95"/>
                <w:sz w:val="16"/>
              </w:rPr>
              <w:t xml:space="preserve">Traditional </w:t>
            </w:r>
            <w:r>
              <w:rPr>
                <w:color w:val="231F20"/>
                <w:spacing w:val="-4"/>
                <w:sz w:val="16"/>
              </w:rPr>
              <w:t>Owners</w:t>
            </w:r>
          </w:p>
          <w:p w:rsidR="006A7A3F" w:rsidRDefault="00BC7372">
            <w:pPr>
              <w:pStyle w:val="TableParagraph"/>
              <w:numPr>
                <w:ilvl w:val="0"/>
                <w:numId w:val="473"/>
              </w:numPr>
              <w:tabs>
                <w:tab w:val="left" w:pos="277"/>
              </w:tabs>
              <w:spacing w:before="86" w:line="242" w:lineRule="auto"/>
              <w:ind w:right="339"/>
              <w:rPr>
                <w:sz w:val="16"/>
              </w:rPr>
            </w:pPr>
            <w:r>
              <w:rPr>
                <w:color w:val="231F20"/>
                <w:spacing w:val="-6"/>
                <w:sz w:val="16"/>
              </w:rPr>
              <w:t xml:space="preserve">Wamba </w:t>
            </w:r>
            <w:r>
              <w:rPr>
                <w:color w:val="231F20"/>
                <w:spacing w:val="-5"/>
                <w:sz w:val="16"/>
              </w:rPr>
              <w:t xml:space="preserve">Wemba </w:t>
            </w:r>
            <w:r>
              <w:rPr>
                <w:color w:val="231F20"/>
                <w:spacing w:val="-5"/>
                <w:w w:val="95"/>
                <w:sz w:val="16"/>
              </w:rPr>
              <w:t xml:space="preserve">Traditional </w:t>
            </w:r>
            <w:r>
              <w:rPr>
                <w:color w:val="231F20"/>
                <w:spacing w:val="-4"/>
                <w:sz w:val="16"/>
              </w:rPr>
              <w:t>Owners</w:t>
            </w:r>
          </w:p>
        </w:tc>
      </w:tr>
    </w:tbl>
    <w:p w:rsidR="00205B3F" w:rsidRDefault="00205B3F">
      <w:pPr>
        <w:spacing w:before="95" w:line="249" w:lineRule="auto"/>
        <w:ind w:left="210" w:right="297"/>
        <w:rPr>
          <w:b/>
          <w:sz w:val="27"/>
          <w:szCs w:val="20"/>
        </w:rPr>
      </w:pPr>
    </w:p>
    <w:p w:rsidR="00205B3F" w:rsidRDefault="00205B3F">
      <w:pPr>
        <w:rPr>
          <w:b/>
          <w:sz w:val="27"/>
          <w:szCs w:val="20"/>
        </w:rPr>
      </w:pPr>
      <w:r>
        <w:rPr>
          <w:b/>
          <w:sz w:val="27"/>
          <w:szCs w:val="20"/>
        </w:rPr>
        <w:br w:type="page"/>
      </w:r>
    </w:p>
    <w:p w:rsidR="006A7A3F" w:rsidRDefault="00BC7372">
      <w:pPr>
        <w:spacing w:before="95" w:line="249" w:lineRule="auto"/>
        <w:ind w:left="210" w:right="297"/>
        <w:rPr>
          <w:b/>
          <w:sz w:val="18"/>
        </w:rPr>
      </w:pPr>
      <w:r>
        <w:rPr>
          <w:b/>
          <w:color w:val="231F20"/>
          <w:sz w:val="18"/>
        </w:rPr>
        <w:t>Table 5.1.5 Partners and stakeholders engaged by North East CMA in developing the seasonal watering proposal for the Ovens system and other key foundation documents that have directly informed the proposal</w:t>
      </w:r>
    </w:p>
    <w:p w:rsidR="006A7A3F" w:rsidRDefault="006A7A3F">
      <w:pPr>
        <w:pStyle w:val="BodyText"/>
        <w:spacing w:before="3"/>
        <w:ind w:left="0"/>
        <w:rPr>
          <w:b/>
          <w:sz w:val="8"/>
        </w:rPr>
      </w:pPr>
    </w:p>
    <w:tbl>
      <w:tblPr>
        <w:tblW w:w="10194"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24"/>
        <w:gridCol w:w="7870"/>
      </w:tblGrid>
      <w:tr w:rsidR="006A7A3F" w:rsidTr="00205B3F">
        <w:trPr>
          <w:trHeight w:val="362"/>
        </w:trPr>
        <w:tc>
          <w:tcPr>
            <w:tcW w:w="2324" w:type="dxa"/>
            <w:tcBorders>
              <w:top w:val="nil"/>
              <w:left w:val="nil"/>
              <w:bottom w:val="nil"/>
            </w:tcBorders>
            <w:shd w:val="clear" w:color="auto" w:fill="231F20"/>
          </w:tcPr>
          <w:p w:rsidR="006A7A3F" w:rsidRDefault="006A7A3F">
            <w:pPr>
              <w:pStyle w:val="TableParagraph"/>
              <w:ind w:left="0"/>
              <w:rPr>
                <w:rFonts w:ascii="Times New Roman"/>
                <w:sz w:val="16"/>
              </w:rPr>
            </w:pPr>
          </w:p>
        </w:tc>
        <w:tc>
          <w:tcPr>
            <w:tcW w:w="7870" w:type="dxa"/>
            <w:tcBorders>
              <w:top w:val="nil"/>
              <w:bottom w:val="nil"/>
              <w:right w:val="nil"/>
            </w:tcBorders>
            <w:shd w:val="clear" w:color="auto" w:fill="231F20"/>
          </w:tcPr>
          <w:p w:rsidR="006A7A3F" w:rsidRDefault="00BC7372">
            <w:pPr>
              <w:pStyle w:val="TableParagraph"/>
              <w:spacing w:before="75"/>
              <w:ind w:left="85"/>
              <w:rPr>
                <w:b/>
                <w:sz w:val="18"/>
              </w:rPr>
            </w:pPr>
            <w:r>
              <w:rPr>
                <w:b/>
                <w:color w:val="FFFFFF"/>
                <w:sz w:val="18"/>
              </w:rPr>
              <w:t>Ovens system</w:t>
            </w:r>
          </w:p>
        </w:tc>
      </w:tr>
      <w:tr w:rsidR="006A7A3F" w:rsidTr="00205B3F">
        <w:trPr>
          <w:trHeight w:val="609"/>
        </w:trPr>
        <w:tc>
          <w:tcPr>
            <w:tcW w:w="2324"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554"/>
              <w:rPr>
                <w:sz w:val="16"/>
              </w:rPr>
            </w:pPr>
            <w:r>
              <w:rPr>
                <w:color w:val="231F20"/>
                <w:sz w:val="16"/>
              </w:rPr>
              <w:t>Community groups and environment groups</w:t>
            </w:r>
          </w:p>
        </w:tc>
        <w:tc>
          <w:tcPr>
            <w:tcW w:w="7870"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IAP2 level: Collaborate</w:t>
            </w:r>
          </w:p>
          <w:p w:rsidR="006A7A3F" w:rsidRDefault="00BC7372">
            <w:pPr>
              <w:pStyle w:val="TableParagraph"/>
              <w:numPr>
                <w:ilvl w:val="0"/>
                <w:numId w:val="472"/>
              </w:numPr>
              <w:tabs>
                <w:tab w:val="left" w:pos="306"/>
              </w:tabs>
              <w:spacing w:before="74"/>
              <w:ind w:hanging="218"/>
              <w:rPr>
                <w:sz w:val="18"/>
              </w:rPr>
            </w:pPr>
            <w:r>
              <w:rPr>
                <w:color w:val="231F20"/>
                <w:sz w:val="18"/>
              </w:rPr>
              <w:t>Wangaratta Landcare and Sustainability</w:t>
            </w:r>
            <w:r>
              <w:rPr>
                <w:color w:val="231F20"/>
                <w:spacing w:val="-5"/>
                <w:sz w:val="18"/>
              </w:rPr>
              <w:t xml:space="preserve"> </w:t>
            </w:r>
            <w:r>
              <w:rPr>
                <w:color w:val="231F20"/>
                <w:sz w:val="18"/>
              </w:rPr>
              <w:t>Incorporated</w:t>
            </w:r>
          </w:p>
        </w:tc>
      </w:tr>
      <w:tr w:rsidR="006A7A3F" w:rsidTr="00205B3F">
        <w:trPr>
          <w:trHeight w:val="914"/>
        </w:trPr>
        <w:tc>
          <w:tcPr>
            <w:tcW w:w="2324"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Government agencies</w:t>
            </w:r>
          </w:p>
        </w:tc>
        <w:tc>
          <w:tcPr>
            <w:tcW w:w="7870"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IAP2 level: Collaborate</w:t>
            </w:r>
          </w:p>
          <w:p w:rsidR="006A7A3F" w:rsidRDefault="00BC7372">
            <w:pPr>
              <w:pStyle w:val="TableParagraph"/>
              <w:numPr>
                <w:ilvl w:val="0"/>
                <w:numId w:val="471"/>
              </w:numPr>
              <w:tabs>
                <w:tab w:val="left" w:pos="306"/>
              </w:tabs>
              <w:spacing w:before="74"/>
              <w:ind w:hanging="218"/>
              <w:rPr>
                <w:sz w:val="18"/>
              </w:rPr>
            </w:pPr>
            <w:r>
              <w:rPr>
                <w:color w:val="231F20"/>
                <w:sz w:val="18"/>
              </w:rPr>
              <w:t>Commonwealth Environmental Water</w:t>
            </w:r>
            <w:r>
              <w:rPr>
                <w:color w:val="231F20"/>
                <w:spacing w:val="-3"/>
                <w:sz w:val="18"/>
              </w:rPr>
              <w:t xml:space="preserve"> </w:t>
            </w:r>
            <w:r>
              <w:rPr>
                <w:color w:val="231F20"/>
                <w:sz w:val="18"/>
              </w:rPr>
              <w:t>Office</w:t>
            </w:r>
          </w:p>
          <w:p w:rsidR="006A7A3F" w:rsidRDefault="00BC7372">
            <w:pPr>
              <w:pStyle w:val="TableParagraph"/>
              <w:numPr>
                <w:ilvl w:val="0"/>
                <w:numId w:val="471"/>
              </w:numPr>
              <w:tabs>
                <w:tab w:val="left" w:pos="306"/>
              </w:tabs>
              <w:spacing w:before="98"/>
              <w:ind w:hanging="218"/>
              <w:rPr>
                <w:sz w:val="18"/>
              </w:rPr>
            </w:pPr>
            <w:r>
              <w:rPr>
                <w:color w:val="231F20"/>
                <w:sz w:val="18"/>
              </w:rPr>
              <w:t xml:space="preserve">Goulburn-Murray </w:t>
            </w:r>
            <w:r>
              <w:rPr>
                <w:color w:val="231F20"/>
                <w:spacing w:val="-3"/>
                <w:sz w:val="18"/>
              </w:rPr>
              <w:t>Water</w:t>
            </w:r>
          </w:p>
        </w:tc>
      </w:tr>
      <w:tr w:rsidR="006A7A3F" w:rsidTr="00205B3F">
        <w:trPr>
          <w:trHeight w:val="914"/>
        </w:trPr>
        <w:tc>
          <w:tcPr>
            <w:tcW w:w="2324"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7870"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IAP2 level: Involve</w:t>
            </w:r>
          </w:p>
          <w:p w:rsidR="006A7A3F" w:rsidRDefault="00BC7372">
            <w:pPr>
              <w:pStyle w:val="TableParagraph"/>
              <w:numPr>
                <w:ilvl w:val="0"/>
                <w:numId w:val="470"/>
              </w:numPr>
              <w:tabs>
                <w:tab w:val="left" w:pos="306"/>
              </w:tabs>
              <w:spacing w:before="74"/>
              <w:ind w:hanging="218"/>
              <w:rPr>
                <w:sz w:val="18"/>
              </w:rPr>
            </w:pPr>
            <w:r>
              <w:rPr>
                <w:color w:val="231F20"/>
                <w:sz w:val="18"/>
              </w:rPr>
              <w:t>City of</w:t>
            </w:r>
            <w:r>
              <w:rPr>
                <w:color w:val="231F20"/>
                <w:spacing w:val="-3"/>
                <w:sz w:val="18"/>
              </w:rPr>
              <w:t xml:space="preserve"> </w:t>
            </w:r>
            <w:r>
              <w:rPr>
                <w:color w:val="231F20"/>
                <w:sz w:val="18"/>
              </w:rPr>
              <w:t>Wangaratta</w:t>
            </w:r>
          </w:p>
          <w:p w:rsidR="006A7A3F" w:rsidRDefault="00BC7372">
            <w:pPr>
              <w:pStyle w:val="TableParagraph"/>
              <w:numPr>
                <w:ilvl w:val="0"/>
                <w:numId w:val="470"/>
              </w:numPr>
              <w:tabs>
                <w:tab w:val="left" w:pos="306"/>
              </w:tabs>
              <w:spacing w:before="98"/>
              <w:ind w:hanging="218"/>
              <w:rPr>
                <w:sz w:val="18"/>
              </w:rPr>
            </w:pPr>
            <w:r>
              <w:rPr>
                <w:color w:val="231F20"/>
                <w:sz w:val="18"/>
              </w:rPr>
              <w:t>Victorian Fisheries</w:t>
            </w:r>
            <w:r>
              <w:rPr>
                <w:color w:val="231F20"/>
                <w:spacing w:val="-11"/>
                <w:sz w:val="18"/>
              </w:rPr>
              <w:t xml:space="preserve"> </w:t>
            </w:r>
            <w:r>
              <w:rPr>
                <w:color w:val="231F20"/>
                <w:sz w:val="18"/>
              </w:rPr>
              <w:t>Authority</w:t>
            </w:r>
          </w:p>
        </w:tc>
      </w:tr>
      <w:tr w:rsidR="006A7A3F" w:rsidTr="00205B3F">
        <w:trPr>
          <w:trHeight w:val="609"/>
        </w:trPr>
        <w:tc>
          <w:tcPr>
            <w:tcW w:w="232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Landholders/farmers</w:t>
            </w:r>
          </w:p>
        </w:tc>
        <w:tc>
          <w:tcPr>
            <w:tcW w:w="7870"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IAP2 level: Collaborate</w:t>
            </w:r>
          </w:p>
          <w:p w:rsidR="006A7A3F" w:rsidRDefault="00BC7372">
            <w:pPr>
              <w:pStyle w:val="TableParagraph"/>
              <w:numPr>
                <w:ilvl w:val="0"/>
                <w:numId w:val="469"/>
              </w:numPr>
              <w:tabs>
                <w:tab w:val="left" w:pos="306"/>
              </w:tabs>
              <w:spacing w:before="74"/>
              <w:ind w:hanging="218"/>
              <w:rPr>
                <w:sz w:val="18"/>
              </w:rPr>
            </w:pPr>
            <w:r>
              <w:rPr>
                <w:color w:val="231F20"/>
                <w:sz w:val="18"/>
              </w:rPr>
              <w:t>Catholic Education Department – Sandhurst</w:t>
            </w:r>
            <w:r>
              <w:rPr>
                <w:color w:val="231F20"/>
                <w:spacing w:val="-5"/>
                <w:sz w:val="18"/>
              </w:rPr>
              <w:t xml:space="preserve"> </w:t>
            </w:r>
            <w:r>
              <w:rPr>
                <w:color w:val="231F20"/>
                <w:sz w:val="18"/>
              </w:rPr>
              <w:t>Diocese</w:t>
            </w:r>
          </w:p>
        </w:tc>
      </w:tr>
      <w:tr w:rsidR="00205B3F" w:rsidTr="00205B3F">
        <w:trPr>
          <w:trHeight w:val="609"/>
        </w:trPr>
        <w:tc>
          <w:tcPr>
            <w:tcW w:w="2324" w:type="dxa"/>
            <w:tcBorders>
              <w:top w:val="single" w:sz="4" w:space="0" w:color="231F20"/>
              <w:left w:val="single" w:sz="4" w:space="0" w:color="231F20"/>
              <w:bottom w:val="single" w:sz="4" w:space="0" w:color="231F20"/>
              <w:right w:val="single" w:sz="4" w:space="0" w:color="231F20"/>
            </w:tcBorders>
          </w:tcPr>
          <w:p w:rsidR="00205B3F" w:rsidRPr="00205B3F" w:rsidRDefault="00205B3F" w:rsidP="00205B3F">
            <w:pPr>
              <w:pStyle w:val="TableParagraph"/>
              <w:spacing w:before="67"/>
              <w:ind w:left="85"/>
              <w:rPr>
                <w:sz w:val="16"/>
                <w:szCs w:val="16"/>
              </w:rPr>
            </w:pPr>
            <w:r w:rsidRPr="00205B3F">
              <w:rPr>
                <w:color w:val="231F20"/>
                <w:sz w:val="16"/>
                <w:szCs w:val="16"/>
              </w:rPr>
              <w:t>Technical experts</w:t>
            </w:r>
          </w:p>
        </w:tc>
        <w:tc>
          <w:tcPr>
            <w:tcW w:w="7870" w:type="dxa"/>
            <w:tcBorders>
              <w:top w:val="single" w:sz="4" w:space="0" w:color="231F20"/>
              <w:left w:val="single" w:sz="4" w:space="0" w:color="231F20"/>
              <w:bottom w:val="single" w:sz="4" w:space="0" w:color="231F20"/>
              <w:right w:val="single" w:sz="4" w:space="0" w:color="231F20"/>
            </w:tcBorders>
          </w:tcPr>
          <w:p w:rsidR="00205B3F" w:rsidRPr="00205B3F" w:rsidRDefault="00205B3F" w:rsidP="00205B3F">
            <w:pPr>
              <w:pStyle w:val="TableParagraph"/>
              <w:spacing w:before="67"/>
              <w:ind w:left="85"/>
              <w:rPr>
                <w:sz w:val="16"/>
                <w:szCs w:val="16"/>
              </w:rPr>
            </w:pPr>
            <w:r w:rsidRPr="00205B3F">
              <w:rPr>
                <w:color w:val="231F20"/>
                <w:sz w:val="16"/>
                <w:szCs w:val="16"/>
              </w:rPr>
              <w:t>IAP2 level: Involve</w:t>
            </w:r>
          </w:p>
          <w:p w:rsidR="00205B3F" w:rsidRPr="00205B3F" w:rsidRDefault="00205B3F" w:rsidP="00205B3F">
            <w:pPr>
              <w:pStyle w:val="TableParagraph"/>
              <w:numPr>
                <w:ilvl w:val="0"/>
                <w:numId w:val="468"/>
              </w:numPr>
              <w:tabs>
                <w:tab w:val="left" w:pos="306"/>
              </w:tabs>
              <w:spacing w:before="74"/>
              <w:ind w:hanging="218"/>
              <w:rPr>
                <w:sz w:val="16"/>
                <w:szCs w:val="16"/>
              </w:rPr>
            </w:pPr>
            <w:r w:rsidRPr="00205B3F">
              <w:rPr>
                <w:color w:val="231F20"/>
                <w:sz w:val="16"/>
                <w:szCs w:val="16"/>
              </w:rPr>
              <w:t>Arthur Rylah Institute (Department of Environment, Land, Water and</w:t>
            </w:r>
            <w:r w:rsidRPr="00205B3F">
              <w:rPr>
                <w:color w:val="231F20"/>
                <w:spacing w:val="-11"/>
                <w:sz w:val="16"/>
                <w:szCs w:val="16"/>
              </w:rPr>
              <w:t xml:space="preserve"> </w:t>
            </w:r>
            <w:r w:rsidRPr="00205B3F">
              <w:rPr>
                <w:color w:val="231F20"/>
                <w:sz w:val="16"/>
                <w:szCs w:val="16"/>
              </w:rPr>
              <w:t>Planning)</w:t>
            </w:r>
          </w:p>
        </w:tc>
      </w:tr>
      <w:tr w:rsidR="00205B3F" w:rsidTr="00205B3F">
        <w:trPr>
          <w:trHeight w:val="609"/>
        </w:trPr>
        <w:tc>
          <w:tcPr>
            <w:tcW w:w="2324" w:type="dxa"/>
            <w:tcBorders>
              <w:top w:val="single" w:sz="4" w:space="0" w:color="231F20"/>
              <w:left w:val="single" w:sz="4" w:space="0" w:color="231F20"/>
              <w:bottom w:val="single" w:sz="4" w:space="0" w:color="231F20"/>
              <w:right w:val="single" w:sz="4" w:space="0" w:color="231F20"/>
            </w:tcBorders>
          </w:tcPr>
          <w:p w:rsidR="00205B3F" w:rsidRPr="00205B3F" w:rsidRDefault="00205B3F" w:rsidP="00205B3F">
            <w:pPr>
              <w:pStyle w:val="TableParagraph"/>
              <w:spacing w:before="67"/>
              <w:ind w:left="85"/>
              <w:rPr>
                <w:sz w:val="16"/>
                <w:szCs w:val="16"/>
              </w:rPr>
            </w:pPr>
            <w:r w:rsidRPr="00205B3F">
              <w:rPr>
                <w:color w:val="231F20"/>
                <w:sz w:val="16"/>
                <w:szCs w:val="16"/>
              </w:rPr>
              <w:t>Traditional Owners</w:t>
            </w:r>
          </w:p>
        </w:tc>
        <w:tc>
          <w:tcPr>
            <w:tcW w:w="7870" w:type="dxa"/>
            <w:tcBorders>
              <w:top w:val="single" w:sz="4" w:space="0" w:color="231F20"/>
              <w:left w:val="single" w:sz="4" w:space="0" w:color="231F20"/>
              <w:bottom w:val="single" w:sz="4" w:space="0" w:color="231F20"/>
              <w:right w:val="single" w:sz="4" w:space="0" w:color="231F20"/>
            </w:tcBorders>
          </w:tcPr>
          <w:p w:rsidR="00205B3F" w:rsidRPr="00205B3F" w:rsidRDefault="00205B3F" w:rsidP="00205B3F">
            <w:pPr>
              <w:pStyle w:val="TableParagraph"/>
              <w:spacing w:before="67"/>
              <w:ind w:left="85"/>
              <w:rPr>
                <w:sz w:val="16"/>
                <w:szCs w:val="16"/>
              </w:rPr>
            </w:pPr>
            <w:r w:rsidRPr="00205B3F">
              <w:rPr>
                <w:color w:val="231F20"/>
                <w:sz w:val="16"/>
                <w:szCs w:val="16"/>
              </w:rPr>
              <w:t>IAP2 level: Involve</w:t>
            </w:r>
          </w:p>
          <w:p w:rsidR="00205B3F" w:rsidRPr="00205B3F" w:rsidRDefault="00205B3F" w:rsidP="00205B3F">
            <w:pPr>
              <w:pStyle w:val="TableParagraph"/>
              <w:numPr>
                <w:ilvl w:val="0"/>
                <w:numId w:val="467"/>
              </w:numPr>
              <w:tabs>
                <w:tab w:val="left" w:pos="306"/>
              </w:tabs>
              <w:spacing w:before="74"/>
              <w:ind w:hanging="218"/>
              <w:rPr>
                <w:sz w:val="16"/>
                <w:szCs w:val="16"/>
              </w:rPr>
            </w:pPr>
            <w:r w:rsidRPr="00205B3F">
              <w:rPr>
                <w:color w:val="231F20"/>
                <w:spacing w:val="-4"/>
                <w:sz w:val="16"/>
                <w:szCs w:val="16"/>
              </w:rPr>
              <w:t xml:space="preserve">Yorta Yorta </w:t>
            </w:r>
            <w:r w:rsidRPr="00205B3F">
              <w:rPr>
                <w:color w:val="231F20"/>
                <w:sz w:val="16"/>
                <w:szCs w:val="16"/>
              </w:rPr>
              <w:t>Nation Aboriginal</w:t>
            </w:r>
            <w:r w:rsidRPr="00205B3F">
              <w:rPr>
                <w:color w:val="231F20"/>
                <w:spacing w:val="-8"/>
                <w:sz w:val="16"/>
                <w:szCs w:val="16"/>
              </w:rPr>
              <w:t xml:space="preserve"> </w:t>
            </w:r>
            <w:r w:rsidRPr="00205B3F">
              <w:rPr>
                <w:color w:val="231F20"/>
                <w:sz w:val="16"/>
                <w:szCs w:val="16"/>
              </w:rPr>
              <w:t>Corporation</w:t>
            </w:r>
          </w:p>
          <w:p w:rsidR="00205B3F" w:rsidRPr="00205B3F" w:rsidRDefault="00205B3F" w:rsidP="00205B3F">
            <w:pPr>
              <w:pStyle w:val="TableParagraph"/>
              <w:numPr>
                <w:ilvl w:val="0"/>
                <w:numId w:val="467"/>
              </w:numPr>
              <w:tabs>
                <w:tab w:val="left" w:pos="306"/>
              </w:tabs>
              <w:spacing w:before="98"/>
              <w:ind w:hanging="218"/>
              <w:rPr>
                <w:sz w:val="16"/>
                <w:szCs w:val="16"/>
              </w:rPr>
            </w:pPr>
            <w:r w:rsidRPr="00205B3F">
              <w:rPr>
                <w:color w:val="231F20"/>
                <w:spacing w:val="-3"/>
                <w:sz w:val="16"/>
                <w:szCs w:val="16"/>
              </w:rPr>
              <w:t xml:space="preserve">Taungurung </w:t>
            </w:r>
            <w:r w:rsidRPr="00205B3F">
              <w:rPr>
                <w:color w:val="231F20"/>
                <w:sz w:val="16"/>
                <w:szCs w:val="16"/>
              </w:rPr>
              <w:t>Land &amp; Waters</w:t>
            </w:r>
            <w:r w:rsidRPr="00205B3F">
              <w:rPr>
                <w:color w:val="231F20"/>
                <w:spacing w:val="-1"/>
                <w:sz w:val="16"/>
                <w:szCs w:val="16"/>
              </w:rPr>
              <w:t xml:space="preserve"> </w:t>
            </w:r>
            <w:r w:rsidRPr="00205B3F">
              <w:rPr>
                <w:color w:val="231F20"/>
                <w:sz w:val="16"/>
                <w:szCs w:val="16"/>
              </w:rPr>
              <w:t>Council</w:t>
            </w:r>
          </w:p>
        </w:tc>
      </w:tr>
    </w:tbl>
    <w:p w:rsidR="006A7A3F" w:rsidRDefault="006A7A3F">
      <w:pPr>
        <w:pStyle w:val="BodyText"/>
        <w:spacing w:before="5"/>
        <w:ind w:left="0"/>
        <w:rPr>
          <w:b/>
          <w:sz w:val="9"/>
        </w:rPr>
      </w:pPr>
    </w:p>
    <w:p w:rsidR="00205B3F" w:rsidRDefault="00205B3F" w:rsidP="00205B3F">
      <w:pPr>
        <w:pStyle w:val="Heading3"/>
      </w:pPr>
    </w:p>
    <w:p w:rsidR="006A7A3F" w:rsidRPr="00205B3F" w:rsidRDefault="00BC7372">
      <w:pPr>
        <w:pStyle w:val="Heading3"/>
        <w:spacing w:before="44"/>
        <w:rPr>
          <w:rFonts w:ascii="HelveticaNeueLTStd-Hv"/>
          <w:color w:val="000000" w:themeColor="text1"/>
        </w:rPr>
      </w:pPr>
      <w:r w:rsidRPr="00205B3F">
        <w:rPr>
          <w:rFonts w:ascii="HelveticaNeueLTStd-Hv"/>
          <w:color w:val="000000" w:themeColor="text1"/>
        </w:rPr>
        <w:t>Community benefits from environmental watering</w:t>
      </w:r>
    </w:p>
    <w:p w:rsidR="006A7A3F" w:rsidRDefault="00BC7372">
      <w:pPr>
        <w:pStyle w:val="BodyText"/>
        <w:spacing w:before="101" w:line="249" w:lineRule="auto"/>
        <w:ind w:right="408"/>
      </w:pPr>
      <w:r>
        <w:rPr>
          <w:color w:val="231F20"/>
        </w:rPr>
        <w:t>Healthy rivers and wetlands support vibrant and healthy communities. By improving the health of rivers, wetlands and floodplains, environmental flows also provide benefits to communities.</w:t>
      </w:r>
    </w:p>
    <w:p w:rsidR="006A7A3F" w:rsidRDefault="00BC7372">
      <w:pPr>
        <w:pStyle w:val="BodyText"/>
        <w:spacing w:before="171" w:line="249" w:lineRule="auto"/>
        <w:ind w:right="546"/>
      </w:pPr>
      <w:r>
        <w:rPr>
          <w:color w:val="231F20"/>
        </w:rPr>
        <w:t>The VEWH and its program partners consider Aboriginal cultural and social and recreational values and uses of waterways when planning for environmental watering activities. Through engagement with community representatives, waterway managers aim to determine where community benefits from environmental flows can align with environmental priorities for the year</w:t>
      </w:r>
      <w:r>
        <w:rPr>
          <w:color w:val="231F20"/>
          <w:spacing w:val="-7"/>
        </w:rPr>
        <w:t xml:space="preserve"> </w:t>
      </w:r>
      <w:r>
        <w:rPr>
          <w:color w:val="231F20"/>
        </w:rPr>
        <w:t>ahead.</w:t>
      </w:r>
    </w:p>
    <w:p w:rsidR="006A7A3F" w:rsidRDefault="00BC7372">
      <w:pPr>
        <w:pStyle w:val="BodyText"/>
        <w:spacing w:before="174" w:line="249" w:lineRule="auto"/>
        <w:ind w:right="253"/>
      </w:pPr>
      <w:r>
        <w:rPr>
          <w:color w:val="231F20"/>
        </w:rPr>
        <w:t>Healthy waterways provide community benefits (such as providing nice places to walk, picnic or fish recreationally, and sustaining healthy Country for Aboriginal communities). Community benefits can sometimes be enhanced by modifying environmental flows (such as timing a flow to support a community rowing or fishing event), provided the environmental objective is not</w:t>
      </w:r>
      <w:r>
        <w:rPr>
          <w:color w:val="231F20"/>
          <w:spacing w:val="-5"/>
        </w:rPr>
        <w:t xml:space="preserve"> </w:t>
      </w:r>
      <w:r>
        <w:rPr>
          <w:color w:val="231F20"/>
        </w:rPr>
        <w:t>compromised.</w:t>
      </w:r>
    </w:p>
    <w:p w:rsidR="006A7A3F" w:rsidRDefault="00BC7372">
      <w:pPr>
        <w:pStyle w:val="BodyText"/>
        <w:spacing w:before="173" w:line="249" w:lineRule="auto"/>
        <w:ind w:right="347"/>
      </w:pPr>
      <w:r>
        <w:rPr>
          <w:color w:val="231F20"/>
        </w:rPr>
        <w:t xml:space="preserve">The VEWH and its partners seek to deliver these benefits throughout the water </w:t>
      </w:r>
      <w:r>
        <w:rPr>
          <w:color w:val="231F20"/>
          <w:spacing w:val="-3"/>
        </w:rPr>
        <w:t xml:space="preserve">year, </w:t>
      </w:r>
      <w:r>
        <w:rPr>
          <w:color w:val="231F20"/>
        </w:rPr>
        <w:t xml:space="preserve">though the opportunities can depend on the </w:t>
      </w:r>
      <w:r>
        <w:rPr>
          <w:color w:val="231F20"/>
          <w:spacing w:val="-3"/>
        </w:rPr>
        <w:t xml:space="preserve">weather, </w:t>
      </w:r>
      <w:r>
        <w:rPr>
          <w:color w:val="231F20"/>
        </w:rPr>
        <w:t>climate or environmental conditions, water availability and the way the system is being operated to deliver water for other</w:t>
      </w:r>
      <w:r>
        <w:rPr>
          <w:color w:val="231F20"/>
          <w:spacing w:val="-6"/>
        </w:rPr>
        <w:t xml:space="preserve"> </w:t>
      </w:r>
      <w:r>
        <w:rPr>
          <w:color w:val="231F20"/>
        </w:rPr>
        <w:t>purposes.</w:t>
      </w:r>
    </w:p>
    <w:p w:rsidR="00205B3F" w:rsidRDefault="00205B3F">
      <w:pPr>
        <w:rPr>
          <w:rFonts w:ascii="Helvetica Neue LT Std 75" w:hAnsi="Helvetica Neue LT Std 75"/>
          <w:b/>
          <w:color w:val="231F20"/>
          <w:sz w:val="19"/>
        </w:rPr>
      </w:pPr>
      <w:r>
        <w:rPr>
          <w:rFonts w:ascii="Helvetica Neue LT Std 75" w:hAnsi="Helvetica Neue LT Std 75"/>
          <w:b/>
          <w:color w:val="231F20"/>
          <w:sz w:val="19"/>
        </w:rPr>
        <w:br w:type="page"/>
      </w:r>
    </w:p>
    <w:p w:rsidR="006A7A3F" w:rsidRDefault="00BC7372">
      <w:pPr>
        <w:spacing w:before="182"/>
        <w:ind w:left="210"/>
        <w:rPr>
          <w:rFonts w:ascii="Helvetica Neue LT Std 75" w:hAnsi="Helvetica Neue LT Std 75"/>
          <w:b/>
          <w:sz w:val="19"/>
        </w:rPr>
      </w:pPr>
      <w:r>
        <w:rPr>
          <w:rFonts w:ascii="Helvetica Neue LT Std 75" w:hAnsi="Helvetica Neue LT Std 75"/>
          <w:b/>
          <w:color w:val="231F20"/>
          <w:sz w:val="19"/>
        </w:rPr>
        <w:t>How have Traditional Owners’ values and uses of waterways been considered?</w:t>
      </w:r>
    </w:p>
    <w:p w:rsidR="006A7A3F" w:rsidRDefault="00BC7372">
      <w:pPr>
        <w:pStyle w:val="BodyText"/>
        <w:spacing w:before="67" w:line="249" w:lineRule="auto"/>
        <w:ind w:right="100"/>
      </w:pPr>
      <w:r>
        <w:rPr>
          <w:color w:val="231F20"/>
        </w:rPr>
        <w:t>In recognition of the cultural importance of water, caring for Country and their long standing traditional ecological knowledge, Traditional Owners are increasingly working with waterway managers to plan for and deliver environmental flows. Examples in the northern region include:</w:t>
      </w:r>
    </w:p>
    <w:p w:rsidR="006A7A3F" w:rsidRDefault="00BC7372" w:rsidP="009B6917">
      <w:pPr>
        <w:pStyle w:val="ListParagraph"/>
        <w:numPr>
          <w:ilvl w:val="0"/>
          <w:numId w:val="1419"/>
        </w:numPr>
        <w:tabs>
          <w:tab w:val="left" w:pos="493"/>
          <w:tab w:val="left" w:pos="494"/>
        </w:tabs>
        <w:spacing w:before="116" w:line="249" w:lineRule="auto"/>
        <w:ind w:right="605"/>
        <w:rPr>
          <w:sz w:val="20"/>
        </w:rPr>
      </w:pPr>
      <w:r>
        <w:rPr>
          <w:color w:val="231F20"/>
          <w:sz w:val="20"/>
        </w:rPr>
        <w:t xml:space="preserve">supporting the Barapa Barapa </w:t>
      </w:r>
      <w:r>
        <w:rPr>
          <w:color w:val="231F20"/>
          <w:spacing w:val="-3"/>
          <w:sz w:val="20"/>
        </w:rPr>
        <w:t xml:space="preserve">Wamba </w:t>
      </w:r>
      <w:r>
        <w:rPr>
          <w:color w:val="231F20"/>
          <w:sz w:val="20"/>
        </w:rPr>
        <w:t xml:space="preserve">Wemba </w:t>
      </w:r>
      <w:r>
        <w:rPr>
          <w:color w:val="231F20"/>
          <w:spacing w:val="-3"/>
          <w:sz w:val="20"/>
        </w:rPr>
        <w:t xml:space="preserve">Water </w:t>
      </w:r>
      <w:r>
        <w:rPr>
          <w:color w:val="231F20"/>
          <w:sz w:val="20"/>
        </w:rPr>
        <w:t xml:space="preserve">for Country project, where Barapa Barapa people, </w:t>
      </w:r>
      <w:r>
        <w:rPr>
          <w:color w:val="231F20"/>
          <w:spacing w:val="-3"/>
          <w:sz w:val="20"/>
        </w:rPr>
        <w:t>Wamba</w:t>
      </w:r>
      <w:r>
        <w:rPr>
          <w:color w:val="231F20"/>
          <w:spacing w:val="-5"/>
          <w:sz w:val="20"/>
        </w:rPr>
        <w:t xml:space="preserve"> </w:t>
      </w:r>
      <w:r>
        <w:rPr>
          <w:color w:val="231F20"/>
          <w:sz w:val="20"/>
        </w:rPr>
        <w:t>Wemba</w:t>
      </w:r>
      <w:r>
        <w:rPr>
          <w:color w:val="231F20"/>
          <w:spacing w:val="-4"/>
          <w:sz w:val="20"/>
        </w:rPr>
        <w:t xml:space="preserve"> </w:t>
      </w:r>
      <w:r>
        <w:rPr>
          <w:color w:val="231F20"/>
          <w:sz w:val="20"/>
        </w:rPr>
        <w:t>people</w:t>
      </w:r>
      <w:r>
        <w:rPr>
          <w:color w:val="231F20"/>
          <w:spacing w:val="-4"/>
          <w:sz w:val="20"/>
        </w:rPr>
        <w:t xml:space="preserve"> </w:t>
      </w:r>
      <w:r>
        <w:rPr>
          <w:color w:val="231F20"/>
          <w:sz w:val="20"/>
        </w:rPr>
        <w:t>and</w:t>
      </w:r>
      <w:r>
        <w:rPr>
          <w:color w:val="231F20"/>
          <w:spacing w:val="-4"/>
          <w:sz w:val="20"/>
        </w:rPr>
        <w:t xml:space="preserve"> </w:t>
      </w:r>
      <w:r>
        <w:rPr>
          <w:color w:val="231F20"/>
          <w:sz w:val="20"/>
        </w:rPr>
        <w:t>North</w:t>
      </w:r>
      <w:r>
        <w:rPr>
          <w:color w:val="231F20"/>
          <w:spacing w:val="-4"/>
          <w:sz w:val="20"/>
        </w:rPr>
        <w:t xml:space="preserve"> </w:t>
      </w:r>
      <w:r>
        <w:rPr>
          <w:color w:val="231F20"/>
          <w:sz w:val="20"/>
        </w:rPr>
        <w:t>Central</w:t>
      </w:r>
      <w:r>
        <w:rPr>
          <w:color w:val="231F20"/>
          <w:spacing w:val="-4"/>
          <w:sz w:val="20"/>
        </w:rPr>
        <w:t xml:space="preserve"> </w:t>
      </w:r>
      <w:r>
        <w:rPr>
          <w:color w:val="231F20"/>
          <w:sz w:val="20"/>
        </w:rPr>
        <w:t>CMA</w:t>
      </w:r>
      <w:r>
        <w:rPr>
          <w:color w:val="231F20"/>
          <w:spacing w:val="-13"/>
          <w:sz w:val="20"/>
        </w:rPr>
        <w:t xml:space="preserve"> </w:t>
      </w:r>
      <w:r>
        <w:rPr>
          <w:color w:val="231F20"/>
          <w:sz w:val="20"/>
        </w:rPr>
        <w:t>work</w:t>
      </w:r>
      <w:r>
        <w:rPr>
          <w:color w:val="231F20"/>
          <w:spacing w:val="-4"/>
          <w:sz w:val="20"/>
        </w:rPr>
        <w:t xml:space="preserve"> </w:t>
      </w:r>
      <w:r>
        <w:rPr>
          <w:color w:val="231F20"/>
          <w:sz w:val="20"/>
        </w:rPr>
        <w:t>together</w:t>
      </w:r>
      <w:r>
        <w:rPr>
          <w:color w:val="231F20"/>
          <w:spacing w:val="-4"/>
          <w:sz w:val="20"/>
        </w:rPr>
        <w:t xml:space="preserve"> </w:t>
      </w:r>
      <w:r>
        <w:rPr>
          <w:color w:val="231F20"/>
          <w:sz w:val="20"/>
        </w:rPr>
        <w:t>to</w:t>
      </w:r>
      <w:r>
        <w:rPr>
          <w:color w:val="231F20"/>
          <w:spacing w:val="-3"/>
          <w:sz w:val="20"/>
        </w:rPr>
        <w:t xml:space="preserve"> </w:t>
      </w:r>
      <w:r>
        <w:rPr>
          <w:color w:val="231F20"/>
          <w:sz w:val="20"/>
        </w:rPr>
        <w:t>involve</w:t>
      </w:r>
      <w:r>
        <w:rPr>
          <w:color w:val="231F20"/>
          <w:spacing w:val="-7"/>
          <w:sz w:val="20"/>
        </w:rPr>
        <w:t xml:space="preserve"> </w:t>
      </w:r>
      <w:r>
        <w:rPr>
          <w:color w:val="231F20"/>
          <w:sz w:val="20"/>
        </w:rPr>
        <w:t>Traditional</w:t>
      </w:r>
      <w:r>
        <w:rPr>
          <w:color w:val="231F20"/>
          <w:spacing w:val="-3"/>
          <w:sz w:val="20"/>
        </w:rPr>
        <w:t xml:space="preserve"> </w:t>
      </w:r>
      <w:r>
        <w:rPr>
          <w:color w:val="231F20"/>
          <w:sz w:val="20"/>
        </w:rPr>
        <w:t>Owners</w:t>
      </w:r>
      <w:r>
        <w:rPr>
          <w:color w:val="231F20"/>
          <w:spacing w:val="-3"/>
          <w:sz w:val="20"/>
        </w:rPr>
        <w:t xml:space="preserve"> </w:t>
      </w:r>
      <w:r>
        <w:rPr>
          <w:color w:val="231F20"/>
          <w:sz w:val="20"/>
        </w:rPr>
        <w:t>in</w:t>
      </w:r>
      <w:r>
        <w:rPr>
          <w:color w:val="231F20"/>
          <w:spacing w:val="-4"/>
          <w:sz w:val="20"/>
        </w:rPr>
        <w:t xml:space="preserve"> </w:t>
      </w:r>
      <w:r>
        <w:rPr>
          <w:color w:val="231F20"/>
          <w:sz w:val="20"/>
        </w:rPr>
        <w:t>the</w:t>
      </w:r>
      <w:r>
        <w:rPr>
          <w:color w:val="231F20"/>
          <w:spacing w:val="-3"/>
          <w:sz w:val="20"/>
        </w:rPr>
        <w:t xml:space="preserve"> </w:t>
      </w:r>
      <w:r>
        <w:rPr>
          <w:color w:val="231F20"/>
          <w:sz w:val="20"/>
        </w:rPr>
        <w:t>planning, monitoring and reporting of watering in Guttrum Forest, Gunbower Forest and Gunbower</w:t>
      </w:r>
      <w:r>
        <w:rPr>
          <w:color w:val="231F20"/>
          <w:spacing w:val="-12"/>
          <w:sz w:val="20"/>
        </w:rPr>
        <w:t xml:space="preserve"> </w:t>
      </w:r>
      <w:r>
        <w:rPr>
          <w:color w:val="231F20"/>
          <w:sz w:val="20"/>
        </w:rPr>
        <w:t>Creek</w:t>
      </w:r>
    </w:p>
    <w:p w:rsidR="006A7A3F" w:rsidRDefault="00BC7372" w:rsidP="009B6917">
      <w:pPr>
        <w:pStyle w:val="ListParagraph"/>
        <w:numPr>
          <w:ilvl w:val="0"/>
          <w:numId w:val="1419"/>
        </w:numPr>
        <w:tabs>
          <w:tab w:val="left" w:pos="493"/>
          <w:tab w:val="left" w:pos="494"/>
        </w:tabs>
        <w:spacing w:before="88" w:line="249" w:lineRule="auto"/>
        <w:ind w:right="926"/>
        <w:rPr>
          <w:sz w:val="20"/>
        </w:rPr>
      </w:pPr>
      <w:r>
        <w:rPr>
          <w:color w:val="231F20"/>
          <w:sz w:val="20"/>
        </w:rPr>
        <w:t>supporting restoration of significant floodplain sites with the First People of the Millewa-Mallee and other Traditional Owner groups across the lower Murray</w:t>
      </w:r>
      <w:r>
        <w:rPr>
          <w:color w:val="231F20"/>
          <w:spacing w:val="-5"/>
          <w:sz w:val="20"/>
        </w:rPr>
        <w:t xml:space="preserve"> </w:t>
      </w:r>
      <w:r>
        <w:rPr>
          <w:color w:val="231F20"/>
          <w:sz w:val="20"/>
        </w:rPr>
        <w:t>region</w:t>
      </w:r>
    </w:p>
    <w:p w:rsidR="006A7A3F" w:rsidRDefault="00BC7372" w:rsidP="009B6917">
      <w:pPr>
        <w:pStyle w:val="ListParagraph"/>
        <w:numPr>
          <w:ilvl w:val="0"/>
          <w:numId w:val="1419"/>
        </w:numPr>
        <w:tabs>
          <w:tab w:val="left" w:pos="493"/>
          <w:tab w:val="left" w:pos="494"/>
        </w:tabs>
        <w:spacing w:before="86" w:line="249" w:lineRule="auto"/>
        <w:ind w:right="668"/>
        <w:rPr>
          <w:sz w:val="20"/>
        </w:rPr>
      </w:pPr>
      <w:r>
        <w:rPr>
          <w:color w:val="231F20"/>
          <w:sz w:val="20"/>
        </w:rPr>
        <w:t xml:space="preserve">supporting </w:t>
      </w:r>
      <w:r>
        <w:rPr>
          <w:color w:val="231F20"/>
          <w:spacing w:val="-4"/>
          <w:sz w:val="20"/>
        </w:rPr>
        <w:t xml:space="preserve">Taungurung </w:t>
      </w:r>
      <w:r>
        <w:rPr>
          <w:color w:val="231F20"/>
          <w:sz w:val="20"/>
        </w:rPr>
        <w:t xml:space="preserve">Traditional Owners to achieve ecological goals as part of healing </w:t>
      </w:r>
      <w:r>
        <w:rPr>
          <w:color w:val="231F20"/>
          <w:spacing w:val="-3"/>
          <w:sz w:val="20"/>
        </w:rPr>
        <w:t xml:space="preserve">Country, </w:t>
      </w:r>
      <w:r>
        <w:rPr>
          <w:color w:val="231F20"/>
          <w:sz w:val="20"/>
        </w:rPr>
        <w:t xml:space="preserve">including potentially using </w:t>
      </w:r>
      <w:r>
        <w:rPr>
          <w:color w:val="231F20"/>
          <w:spacing w:val="-4"/>
          <w:sz w:val="20"/>
        </w:rPr>
        <w:t xml:space="preserve">Taungurung </w:t>
      </w:r>
      <w:r>
        <w:rPr>
          <w:color w:val="231F20"/>
          <w:sz w:val="20"/>
        </w:rPr>
        <w:t>water entitlements to deliver environmental flows in the King</w:t>
      </w:r>
      <w:r>
        <w:rPr>
          <w:color w:val="231F20"/>
          <w:spacing w:val="-24"/>
          <w:sz w:val="20"/>
        </w:rPr>
        <w:t xml:space="preserve"> </w:t>
      </w:r>
      <w:r>
        <w:rPr>
          <w:color w:val="231F20"/>
          <w:sz w:val="20"/>
        </w:rPr>
        <w:t>River</w:t>
      </w:r>
    </w:p>
    <w:p w:rsidR="006A7A3F" w:rsidRDefault="00BC7372" w:rsidP="009B6917">
      <w:pPr>
        <w:pStyle w:val="ListParagraph"/>
        <w:numPr>
          <w:ilvl w:val="0"/>
          <w:numId w:val="1419"/>
        </w:numPr>
        <w:tabs>
          <w:tab w:val="left" w:pos="493"/>
          <w:tab w:val="left" w:pos="494"/>
        </w:tabs>
        <w:spacing w:before="87" w:line="249" w:lineRule="auto"/>
        <w:ind w:right="526"/>
        <w:rPr>
          <w:sz w:val="20"/>
        </w:rPr>
      </w:pPr>
      <w:r>
        <w:rPr>
          <w:color w:val="231F20"/>
          <w:sz w:val="20"/>
        </w:rPr>
        <w:t xml:space="preserve">ongoing work by </w:t>
      </w:r>
      <w:r>
        <w:rPr>
          <w:color w:val="231F20"/>
          <w:spacing w:val="-5"/>
          <w:sz w:val="20"/>
        </w:rPr>
        <w:t xml:space="preserve">Yorta Yorta </w:t>
      </w:r>
      <w:r>
        <w:rPr>
          <w:color w:val="231F20"/>
          <w:sz w:val="20"/>
        </w:rPr>
        <w:t xml:space="preserve">Traditional Owners and Goulburn Broken CMA to incorporate </w:t>
      </w:r>
      <w:r>
        <w:rPr>
          <w:color w:val="231F20"/>
          <w:spacing w:val="-5"/>
          <w:sz w:val="20"/>
        </w:rPr>
        <w:t xml:space="preserve">Yorta Yorta </w:t>
      </w:r>
      <w:r>
        <w:rPr>
          <w:color w:val="231F20"/>
          <w:sz w:val="20"/>
        </w:rPr>
        <w:t xml:space="preserve">values into environmental water planning in Barmah Forest and other sites across </w:t>
      </w:r>
      <w:r>
        <w:rPr>
          <w:color w:val="231F20"/>
          <w:spacing w:val="-5"/>
          <w:sz w:val="20"/>
        </w:rPr>
        <w:t>Yorta Yorta</w:t>
      </w:r>
      <w:r>
        <w:rPr>
          <w:color w:val="231F20"/>
          <w:spacing w:val="-20"/>
          <w:sz w:val="20"/>
        </w:rPr>
        <w:t xml:space="preserve"> </w:t>
      </w:r>
      <w:r>
        <w:rPr>
          <w:color w:val="231F20"/>
          <w:spacing w:val="-3"/>
          <w:sz w:val="20"/>
        </w:rPr>
        <w:t>Country.</w:t>
      </w:r>
    </w:p>
    <w:p w:rsidR="006A7A3F" w:rsidRDefault="00BC7372">
      <w:pPr>
        <w:pStyle w:val="BodyText"/>
        <w:spacing w:line="249" w:lineRule="auto"/>
        <w:ind w:right="100"/>
      </w:pPr>
      <w:r>
        <w:rPr>
          <w:color w:val="231F20"/>
        </w:rPr>
        <w:t>Where participation of Traditional Owners in the planning and delivery of water for the environment has explicitly identified particular flows supporting cultural outcomes, these are identified in the system sections.</w:t>
      </w:r>
    </w:p>
    <w:p w:rsidR="006A7A3F" w:rsidRDefault="00BC7372">
      <w:pPr>
        <w:pStyle w:val="BodyText"/>
        <w:spacing w:before="171" w:line="249" w:lineRule="auto"/>
        <w:ind w:right="196"/>
      </w:pPr>
      <w:r>
        <w:rPr>
          <w:color w:val="231F20"/>
        </w:rPr>
        <w:t>Traditional Owners’ cultural values and uses are also increasingly considered as part of Murray-Darling Basin Plan annual environmental water planning and management. The Murray Lower Darling Rivers Indigenous Nations have been working on the First Nations Environmental Water Guidance Project to support Nations to identify objectives, priorities and issues related to environmental watering and support increased participation in environmental water planning and management. The project was undertaken with support from Murray Darling Basin Authority and the Commonwealth Environmental Water Office.</w:t>
      </w:r>
    </w:p>
    <w:p w:rsidR="006A7A3F" w:rsidRDefault="00BC7372" w:rsidP="004107F7">
      <w:pPr>
        <w:pStyle w:val="BodyText"/>
        <w:spacing w:before="175" w:line="249" w:lineRule="auto"/>
        <w:ind w:right="251"/>
      </w:pPr>
      <w:r>
        <w:rPr>
          <w:color w:val="231F20"/>
        </w:rPr>
        <w:t>A statement prepared by the Murray Lower Darling Rivers Indigenous Nations summarising the participating Nations’ priorities for environmental watering in the southern Murray Darling Basin in 2020–21 is provided on page</w:t>
      </w:r>
      <w:r w:rsidR="004107F7">
        <w:t xml:space="preserve"> </w:t>
      </w:r>
      <w:r>
        <w:rPr>
          <w:color w:val="231F20"/>
        </w:rPr>
        <w:t>190. This work has informed development of annual environmental water priorities at the Basin-scale and will support decision making as the year progresses.</w:t>
      </w:r>
    </w:p>
    <w:p w:rsidR="006A7A3F" w:rsidRDefault="00BC7372">
      <w:pPr>
        <w:pStyle w:val="BodyText"/>
        <w:spacing w:line="249" w:lineRule="auto"/>
        <w:ind w:right="308"/>
      </w:pPr>
      <w:r>
        <w:rPr>
          <w:color w:val="231F20"/>
        </w:rPr>
        <w:t>The VEWH and its program partners will look for opportunities to continue strengthening the partnerships with and participation of Traditional Owners in environmental water planning and management in Victoria in ways that can support their objectives, cultural values and connection to Country. Through its role in the Southern Connected Basin Environmental Watering Committee, the VEWH will also support the environmental watering priorities and aspirations of Nations in the broader southern Murray-Darling Basin.</w:t>
      </w:r>
    </w:p>
    <w:p w:rsidR="00205B3F" w:rsidRDefault="00205B3F">
      <w:pPr>
        <w:rPr>
          <w:rFonts w:ascii="Helvetica Neue LT Std 75"/>
          <w:b/>
          <w:color w:val="231F20"/>
          <w:sz w:val="19"/>
        </w:rPr>
      </w:pPr>
      <w:r>
        <w:rPr>
          <w:rFonts w:ascii="Helvetica Neue LT Std 75"/>
          <w:b/>
          <w:color w:val="231F20"/>
          <w:sz w:val="19"/>
        </w:rPr>
        <w:br w:type="page"/>
      </w:r>
    </w:p>
    <w:p w:rsidR="006A7A3F" w:rsidRDefault="00BC7372">
      <w:pPr>
        <w:spacing w:before="183"/>
        <w:ind w:left="210"/>
        <w:rPr>
          <w:rFonts w:ascii="Helvetica Neue LT Std 75"/>
          <w:b/>
          <w:sz w:val="19"/>
        </w:rPr>
      </w:pPr>
      <w:r>
        <w:rPr>
          <w:rFonts w:ascii="Helvetica Neue LT Std 75"/>
          <w:b/>
          <w:color w:val="231F20"/>
          <w:sz w:val="19"/>
        </w:rPr>
        <w:t>Southern Basin First Nations Environmental Watering Priorities Statement 2020-21</w:t>
      </w:r>
    </w:p>
    <w:p w:rsidR="006A7A3F" w:rsidRDefault="00BC7372" w:rsidP="004107F7">
      <w:pPr>
        <w:pStyle w:val="BodyText"/>
        <w:spacing w:before="68"/>
      </w:pPr>
      <w:r>
        <w:rPr>
          <w:color w:val="231F20"/>
        </w:rPr>
        <w:t>Representatives of sixteen First Nations across the Southern Murray Darling Basin have made information about</w:t>
      </w:r>
      <w:r w:rsidR="004107F7">
        <w:t xml:space="preserve"> </w:t>
      </w:r>
      <w:r>
        <w:rPr>
          <w:color w:val="231F20"/>
        </w:rPr>
        <w:t>their priorities for the use of environmental water in 2020–21 available, as part of the First Nations Environmental Water Guidance project.</w:t>
      </w:r>
    </w:p>
    <w:p w:rsidR="006A7A3F" w:rsidRDefault="00BC7372">
      <w:pPr>
        <w:pStyle w:val="BodyText"/>
        <w:spacing w:line="249" w:lineRule="auto"/>
        <w:ind w:right="409"/>
      </w:pPr>
      <w:r>
        <w:rPr>
          <w:color w:val="231F20"/>
        </w:rPr>
        <w:t>First Nations share common concern for all major rivers across the region. Notably, multiple Nations submitted priorities relating to the Murrumbidgee, Baaka (Darling River), Lachlan, Campaspe, Murray and Edwards-Wakool systems. First Nations understand that declining river health and low-flows in one part of the Basin can affect communities and cultural outcomes across the region.</w:t>
      </w:r>
    </w:p>
    <w:p w:rsidR="006A7A3F" w:rsidRDefault="00BC7372">
      <w:pPr>
        <w:pStyle w:val="BodyText"/>
        <w:spacing w:before="173" w:line="249" w:lineRule="auto"/>
        <w:ind w:right="334"/>
      </w:pPr>
      <w:r>
        <w:rPr>
          <w:color w:val="231F20"/>
        </w:rPr>
        <w:t>Nations want to see improvements in water quality and the volume and timing of flows in all major rivers, and particularly in degraded river systems. Improved seasonality of flows, informed by First Nations’ science and traditional knowledge, is a key to sustaining the cultural health of major waterways. Addressing barriers and constraints, such as barriers to fish movement, is essential to sustain the interconnectivity, which underpins our stories and cultural values. Improving the health of tributary waterways and ensuring adequate flows, is also a key to revitalising major rivers. Nations recognise that Basin Plan targets for environmental water recovery are inadequate to support revival of the ecological and cultural health of our waterways. More must be done to restore the</w:t>
      </w:r>
      <w:r>
        <w:rPr>
          <w:color w:val="231F20"/>
          <w:spacing w:val="-1"/>
        </w:rPr>
        <w:t xml:space="preserve"> </w:t>
      </w:r>
      <w:r>
        <w:rPr>
          <w:color w:val="231F20"/>
        </w:rPr>
        <w:t>balance.</w:t>
      </w:r>
    </w:p>
    <w:p w:rsidR="006A7A3F" w:rsidRDefault="00BC7372">
      <w:pPr>
        <w:pStyle w:val="BodyText"/>
        <w:spacing w:before="177" w:line="249" w:lineRule="auto"/>
        <w:ind w:right="285"/>
      </w:pPr>
      <w:r>
        <w:rPr>
          <w:color w:val="231F20"/>
        </w:rPr>
        <w:t>Participating Nations’ contributions stressed the significance of wetlands, billabongs and floodplains. Nations want to see life return to these culturally significant places through watering activities that create connectivity between rivers and floodplains and restore the hydrological cycles of degraded wetlands, thereby supporting cultural values and resources.</w:t>
      </w:r>
    </w:p>
    <w:p w:rsidR="006A7A3F" w:rsidRDefault="00BC7372">
      <w:pPr>
        <w:pStyle w:val="BodyText"/>
        <w:spacing w:before="173" w:line="249" w:lineRule="auto"/>
        <w:ind w:right="341"/>
      </w:pPr>
      <w:r>
        <w:rPr>
          <w:color w:val="231F20"/>
        </w:rPr>
        <w:t>Participating Nations identified key plant and animal species that are most in need of watering in the 2020–21 watering year. These species are all of totemic significance to diverse clans and Nations. Key culturally significant fish such as Murray cod, golden perch (yellowbelly) and catfish were identified as priorities by most Nations. More than half of all contributing Nations highlighted black swans, pelicans and duck species as culturally significant waterbirds that would benefit from environmental watering. Improved health and abundance of old man weed and other medicinal plants were noted as priorities for vegetation, alongside improved outcomes for river red gums, black box, cumbungi and lignum.</w:t>
      </w:r>
    </w:p>
    <w:p w:rsidR="006A7A3F" w:rsidRDefault="00BC7372">
      <w:pPr>
        <w:pStyle w:val="BodyText"/>
        <w:spacing w:before="176" w:line="249" w:lineRule="auto"/>
        <w:ind w:right="452"/>
      </w:pPr>
      <w:r>
        <w:rPr>
          <w:color w:val="231F20"/>
        </w:rPr>
        <w:t>Critically, Nations stressed the importance of considering outcomes beyond fish, waterbirds and vegetation. Nations also want to see improved outcomes for aquatic fauna such as turtles, yabbies, mussels, frogs, platypus and rakali (water rat). The contributions also stressed the importance of environmental watering in sustaining healthy populations of important terrestrial fauna such as kangaroo and emu.</w:t>
      </w:r>
    </w:p>
    <w:p w:rsidR="006A7A3F" w:rsidRDefault="00BC7372">
      <w:pPr>
        <w:pStyle w:val="BodyText"/>
        <w:spacing w:before="174" w:line="249" w:lineRule="auto"/>
        <w:ind w:right="185"/>
      </w:pPr>
      <w:r>
        <w:rPr>
          <w:color w:val="231F20"/>
        </w:rPr>
        <w:t>Participating Nations have identified a range of key threats to the cultural health of waterways as well as preferences for improved participation in environmental water planning for 2020–21. Water holders should consider these preferences alongside the detailed, locally specific watering objectives produced by Nations. It is essential that water Holders continue, and strengthen, direct engagement with First Nations to empower our participation in environmental water planning and delivery.</w:t>
      </w:r>
    </w:p>
    <w:p w:rsidR="006A7A3F" w:rsidRDefault="00BC7372">
      <w:pPr>
        <w:pStyle w:val="Heading7"/>
        <w:spacing w:before="174"/>
      </w:pPr>
      <w:r>
        <w:rPr>
          <w:color w:val="231F20"/>
        </w:rPr>
        <w:t>Murray Lower Darling Rivers Indigenous</w:t>
      </w:r>
      <w:r>
        <w:rPr>
          <w:color w:val="231F20"/>
          <w:spacing w:val="-20"/>
        </w:rPr>
        <w:t xml:space="preserve"> </w:t>
      </w:r>
      <w:r>
        <w:rPr>
          <w:color w:val="231F20"/>
        </w:rPr>
        <w:t>Nations</w:t>
      </w:r>
    </w:p>
    <w:p w:rsidR="006A7A3F" w:rsidRDefault="00BC7372">
      <w:pPr>
        <w:pStyle w:val="BodyText"/>
        <w:spacing w:before="10"/>
      </w:pPr>
      <w:r>
        <w:rPr>
          <w:color w:val="231F20"/>
        </w:rPr>
        <w:t xml:space="preserve">First Nations Environmental </w:t>
      </w:r>
      <w:r>
        <w:rPr>
          <w:color w:val="231F20"/>
          <w:spacing w:val="-3"/>
        </w:rPr>
        <w:t xml:space="preserve">Water </w:t>
      </w:r>
      <w:r>
        <w:rPr>
          <w:color w:val="231F20"/>
        </w:rPr>
        <w:t>Guidance</w:t>
      </w:r>
      <w:r>
        <w:rPr>
          <w:color w:val="231F20"/>
          <w:spacing w:val="-1"/>
        </w:rPr>
        <w:t xml:space="preserve"> </w:t>
      </w:r>
      <w:r>
        <w:rPr>
          <w:color w:val="231F20"/>
        </w:rPr>
        <w:t>Project</w:t>
      </w:r>
    </w:p>
    <w:p w:rsidR="004107F7" w:rsidRDefault="004107F7">
      <w:pPr>
        <w:rPr>
          <w:rFonts w:ascii="Helvetica Neue LT Std 75"/>
          <w:b/>
          <w:color w:val="231F20"/>
          <w:sz w:val="19"/>
        </w:rPr>
      </w:pPr>
      <w:r>
        <w:rPr>
          <w:rFonts w:ascii="Helvetica Neue LT Std 75"/>
          <w:b/>
          <w:color w:val="231F20"/>
          <w:sz w:val="19"/>
        </w:rPr>
        <w:br w:type="page"/>
      </w:r>
    </w:p>
    <w:p w:rsidR="006A7A3F" w:rsidRDefault="00BC7372">
      <w:pPr>
        <w:spacing w:before="189"/>
        <w:ind w:left="210"/>
        <w:rPr>
          <w:rFonts w:ascii="Helvetica Neue LT Std 75"/>
          <w:b/>
          <w:sz w:val="19"/>
        </w:rPr>
      </w:pPr>
      <w:r>
        <w:rPr>
          <w:rFonts w:ascii="Helvetica Neue LT Std 75"/>
          <w:b/>
          <w:color w:val="231F20"/>
          <w:sz w:val="19"/>
        </w:rPr>
        <w:t>How have economic, recreational and social values and uses of waterways been considered?</w:t>
      </w:r>
    </w:p>
    <w:p w:rsidR="006A7A3F" w:rsidRDefault="00BC7372">
      <w:pPr>
        <w:pStyle w:val="BodyText"/>
        <w:spacing w:before="68" w:line="249" w:lineRule="auto"/>
        <w:ind w:right="241"/>
      </w:pPr>
      <w:r>
        <w:rPr>
          <w:color w:val="231F20"/>
        </w:rPr>
        <w:t>Environmental outcomes provide direct economic, recreational, social benefits to communities. Waterway managers, in consultation with communities, have identified numerous opportunities to support community benefits including activities tourism, fishing, birdwatching, boating and hunting activities. Examples of these opportunities in the northern region include:</w:t>
      </w:r>
    </w:p>
    <w:p w:rsidR="006A7A3F" w:rsidRDefault="00BC7372" w:rsidP="009B6917">
      <w:pPr>
        <w:pStyle w:val="ListParagraph"/>
        <w:numPr>
          <w:ilvl w:val="0"/>
          <w:numId w:val="1419"/>
        </w:numPr>
        <w:tabs>
          <w:tab w:val="left" w:pos="493"/>
          <w:tab w:val="left" w:pos="494"/>
        </w:tabs>
        <w:spacing w:before="116" w:line="249" w:lineRule="auto"/>
        <w:ind w:right="206"/>
        <w:rPr>
          <w:sz w:val="20"/>
        </w:rPr>
      </w:pPr>
      <w:r>
        <w:rPr>
          <w:color w:val="231F20"/>
          <w:sz w:val="20"/>
        </w:rPr>
        <w:t>supporting populations of native fish species for recreational fishing including 120,000 juvenile golden perch and silver perch that were released into Walpolla Horseshoe Lagoon by the Victorian Fisheries Authority in March 2020. Watering planned for the lagoon will support the rapid growth and survival of juvenile</w:t>
      </w:r>
      <w:r>
        <w:rPr>
          <w:color w:val="231F20"/>
          <w:spacing w:val="-26"/>
          <w:sz w:val="20"/>
        </w:rPr>
        <w:t xml:space="preserve"> </w:t>
      </w:r>
      <w:r>
        <w:rPr>
          <w:color w:val="231F20"/>
          <w:sz w:val="20"/>
        </w:rPr>
        <w:t>fish</w:t>
      </w:r>
    </w:p>
    <w:p w:rsidR="006A7A3F" w:rsidRDefault="00BC7372" w:rsidP="009B6917">
      <w:pPr>
        <w:pStyle w:val="ListParagraph"/>
        <w:numPr>
          <w:ilvl w:val="0"/>
          <w:numId w:val="1419"/>
        </w:numPr>
        <w:tabs>
          <w:tab w:val="left" w:pos="493"/>
          <w:tab w:val="left" w:pos="494"/>
        </w:tabs>
        <w:spacing w:before="88" w:line="249" w:lineRule="auto"/>
        <w:ind w:right="477"/>
        <w:rPr>
          <w:sz w:val="20"/>
        </w:rPr>
      </w:pPr>
      <w:r>
        <w:rPr>
          <w:color w:val="231F20"/>
          <w:sz w:val="20"/>
        </w:rPr>
        <w:t>providing habitat for native fish including Murray cod, golden perch and freshwater catfish in the waterways around</w:t>
      </w:r>
      <w:r>
        <w:rPr>
          <w:color w:val="231F20"/>
          <w:spacing w:val="-5"/>
          <w:sz w:val="20"/>
        </w:rPr>
        <w:t xml:space="preserve"> </w:t>
      </w:r>
      <w:r>
        <w:rPr>
          <w:color w:val="231F20"/>
          <w:sz w:val="20"/>
        </w:rPr>
        <w:t>Lindsay</w:t>
      </w:r>
      <w:r>
        <w:rPr>
          <w:color w:val="231F20"/>
          <w:spacing w:val="-5"/>
          <w:sz w:val="20"/>
        </w:rPr>
        <w:t xml:space="preserve"> </w:t>
      </w:r>
      <w:r>
        <w:rPr>
          <w:color w:val="231F20"/>
          <w:sz w:val="20"/>
        </w:rPr>
        <w:t>Island.</w:t>
      </w:r>
      <w:r>
        <w:rPr>
          <w:color w:val="231F20"/>
          <w:spacing w:val="-7"/>
          <w:sz w:val="20"/>
        </w:rPr>
        <w:t xml:space="preserve"> </w:t>
      </w:r>
      <w:r>
        <w:rPr>
          <w:color w:val="231F20"/>
          <w:sz w:val="20"/>
        </w:rPr>
        <w:t>The</w:t>
      </w:r>
      <w:r>
        <w:rPr>
          <w:color w:val="231F20"/>
          <w:spacing w:val="-4"/>
          <w:sz w:val="20"/>
        </w:rPr>
        <w:t xml:space="preserve"> </w:t>
      </w:r>
      <w:r>
        <w:rPr>
          <w:color w:val="231F20"/>
          <w:sz w:val="20"/>
        </w:rPr>
        <w:t>island</w:t>
      </w:r>
      <w:r>
        <w:rPr>
          <w:color w:val="231F20"/>
          <w:spacing w:val="-4"/>
          <w:sz w:val="20"/>
        </w:rPr>
        <w:t xml:space="preserve"> </w:t>
      </w:r>
      <w:r>
        <w:rPr>
          <w:color w:val="231F20"/>
          <w:sz w:val="20"/>
        </w:rPr>
        <w:t>is</w:t>
      </w:r>
      <w:r>
        <w:rPr>
          <w:color w:val="231F20"/>
          <w:spacing w:val="-5"/>
          <w:sz w:val="20"/>
        </w:rPr>
        <w:t xml:space="preserve"> </w:t>
      </w:r>
      <w:r>
        <w:rPr>
          <w:color w:val="231F20"/>
          <w:sz w:val="20"/>
        </w:rPr>
        <w:t>popular</w:t>
      </w:r>
      <w:r>
        <w:rPr>
          <w:color w:val="231F20"/>
          <w:spacing w:val="-5"/>
          <w:sz w:val="20"/>
        </w:rPr>
        <w:t xml:space="preserve"> </w:t>
      </w:r>
      <w:r>
        <w:rPr>
          <w:color w:val="231F20"/>
          <w:sz w:val="20"/>
        </w:rPr>
        <w:t>with</w:t>
      </w:r>
      <w:r>
        <w:rPr>
          <w:color w:val="231F20"/>
          <w:spacing w:val="-4"/>
          <w:sz w:val="20"/>
        </w:rPr>
        <w:t xml:space="preserve"> </w:t>
      </w:r>
      <w:r>
        <w:rPr>
          <w:color w:val="231F20"/>
          <w:sz w:val="20"/>
        </w:rPr>
        <w:t>recreational</w:t>
      </w:r>
      <w:r>
        <w:rPr>
          <w:color w:val="231F20"/>
          <w:spacing w:val="-4"/>
          <w:sz w:val="20"/>
        </w:rPr>
        <w:t xml:space="preserve"> </w:t>
      </w:r>
      <w:r>
        <w:rPr>
          <w:color w:val="231F20"/>
          <w:sz w:val="20"/>
        </w:rPr>
        <w:t>anglers,</w:t>
      </w:r>
      <w:r>
        <w:rPr>
          <w:color w:val="231F20"/>
          <w:spacing w:val="-4"/>
          <w:sz w:val="20"/>
        </w:rPr>
        <w:t xml:space="preserve"> </w:t>
      </w:r>
      <w:r>
        <w:rPr>
          <w:color w:val="231F20"/>
          <w:sz w:val="20"/>
        </w:rPr>
        <w:t>with</w:t>
      </w:r>
      <w:r>
        <w:rPr>
          <w:color w:val="231F20"/>
          <w:spacing w:val="-5"/>
          <w:sz w:val="20"/>
        </w:rPr>
        <w:t xml:space="preserve"> </w:t>
      </w:r>
      <w:r>
        <w:rPr>
          <w:color w:val="231F20"/>
          <w:sz w:val="20"/>
        </w:rPr>
        <w:t>local</w:t>
      </w:r>
      <w:r>
        <w:rPr>
          <w:color w:val="231F20"/>
          <w:spacing w:val="-5"/>
          <w:sz w:val="20"/>
        </w:rPr>
        <w:t xml:space="preserve"> </w:t>
      </w:r>
      <w:r>
        <w:rPr>
          <w:color w:val="231F20"/>
          <w:sz w:val="20"/>
        </w:rPr>
        <w:t>anglers</w:t>
      </w:r>
      <w:r>
        <w:rPr>
          <w:color w:val="231F20"/>
          <w:spacing w:val="-4"/>
          <w:sz w:val="20"/>
        </w:rPr>
        <w:t xml:space="preserve"> </w:t>
      </w:r>
      <w:r>
        <w:rPr>
          <w:color w:val="231F20"/>
          <w:sz w:val="20"/>
        </w:rPr>
        <w:t>nominating</w:t>
      </w:r>
      <w:r>
        <w:rPr>
          <w:color w:val="231F20"/>
          <w:spacing w:val="-5"/>
          <w:sz w:val="20"/>
        </w:rPr>
        <w:t xml:space="preserve"> </w:t>
      </w:r>
      <w:r>
        <w:rPr>
          <w:color w:val="231F20"/>
          <w:sz w:val="20"/>
        </w:rPr>
        <w:t>Mullaroo Creek as the number-one location for fishing in their</w:t>
      </w:r>
      <w:r>
        <w:rPr>
          <w:color w:val="231F20"/>
          <w:spacing w:val="-8"/>
          <w:sz w:val="20"/>
        </w:rPr>
        <w:t xml:space="preserve"> </w:t>
      </w:r>
      <w:r>
        <w:rPr>
          <w:color w:val="231F20"/>
          <w:sz w:val="20"/>
        </w:rPr>
        <w:t>area</w:t>
      </w:r>
    </w:p>
    <w:p w:rsidR="006A7A3F" w:rsidRDefault="00BC7372" w:rsidP="009B6917">
      <w:pPr>
        <w:pStyle w:val="ListParagraph"/>
        <w:numPr>
          <w:ilvl w:val="0"/>
          <w:numId w:val="1419"/>
        </w:numPr>
        <w:tabs>
          <w:tab w:val="left" w:pos="493"/>
          <w:tab w:val="left" w:pos="494"/>
        </w:tabs>
        <w:spacing w:before="87" w:line="249" w:lineRule="auto"/>
        <w:ind w:right="594"/>
        <w:rPr>
          <w:sz w:val="20"/>
        </w:rPr>
      </w:pPr>
      <w:r>
        <w:rPr>
          <w:color w:val="231F20"/>
          <w:sz w:val="20"/>
        </w:rPr>
        <w:t>enhancing opportunities for recreational anglers along the Loddon, Campaspe and Goulburn rivers by using environmental flows to trigger the migration of recreational fishing species into these</w:t>
      </w:r>
      <w:r>
        <w:rPr>
          <w:color w:val="231F20"/>
          <w:spacing w:val="-13"/>
          <w:sz w:val="20"/>
        </w:rPr>
        <w:t xml:space="preserve"> </w:t>
      </w:r>
      <w:r>
        <w:rPr>
          <w:color w:val="231F20"/>
          <w:sz w:val="20"/>
        </w:rPr>
        <w:t>waterways</w:t>
      </w:r>
    </w:p>
    <w:p w:rsidR="006A7A3F" w:rsidRDefault="00BC7372" w:rsidP="009B6917">
      <w:pPr>
        <w:pStyle w:val="ListParagraph"/>
        <w:numPr>
          <w:ilvl w:val="0"/>
          <w:numId w:val="1419"/>
        </w:numPr>
        <w:tabs>
          <w:tab w:val="left" w:pos="493"/>
          <w:tab w:val="left" w:pos="494"/>
        </w:tabs>
        <w:spacing w:before="87" w:line="249" w:lineRule="auto"/>
        <w:ind w:right="517"/>
        <w:rPr>
          <w:sz w:val="20"/>
        </w:rPr>
      </w:pPr>
      <w:r>
        <w:rPr>
          <w:color w:val="231F20"/>
          <w:sz w:val="20"/>
        </w:rPr>
        <w:t>providing nesting material for vulnerable brolga in Gaynor Swamp by increasing the growth of aquatic plants. The presence of brolga attracts birdwatchers from around the region, the state and</w:t>
      </w:r>
      <w:r>
        <w:rPr>
          <w:color w:val="231F20"/>
          <w:spacing w:val="-30"/>
          <w:sz w:val="20"/>
        </w:rPr>
        <w:t xml:space="preserve"> </w:t>
      </w:r>
      <w:r>
        <w:rPr>
          <w:color w:val="231F20"/>
          <w:sz w:val="20"/>
        </w:rPr>
        <w:t>Australia</w:t>
      </w:r>
    </w:p>
    <w:p w:rsidR="006A7A3F" w:rsidRDefault="00BC7372" w:rsidP="009B6917">
      <w:pPr>
        <w:pStyle w:val="ListParagraph"/>
        <w:numPr>
          <w:ilvl w:val="0"/>
          <w:numId w:val="1419"/>
        </w:numPr>
        <w:tabs>
          <w:tab w:val="left" w:pos="493"/>
          <w:tab w:val="left" w:pos="494"/>
        </w:tabs>
        <w:spacing w:before="87" w:line="249" w:lineRule="auto"/>
        <w:ind w:right="648"/>
        <w:rPr>
          <w:sz w:val="20"/>
        </w:rPr>
      </w:pPr>
      <w:r>
        <w:rPr>
          <w:color w:val="231F20"/>
          <w:sz w:val="20"/>
        </w:rPr>
        <w:t xml:space="preserve">notifying canoers and kayakers of upcoming environmental flows on the Campaspe </w:t>
      </w:r>
      <w:r>
        <w:rPr>
          <w:color w:val="231F20"/>
          <w:spacing w:val="-3"/>
          <w:sz w:val="20"/>
        </w:rPr>
        <w:t xml:space="preserve">River, </w:t>
      </w:r>
      <w:r>
        <w:rPr>
          <w:color w:val="231F20"/>
          <w:sz w:val="20"/>
        </w:rPr>
        <w:t>enabling them to schedule trips to popular sites (such as Rocky</w:t>
      </w:r>
      <w:r>
        <w:rPr>
          <w:color w:val="231F20"/>
          <w:spacing w:val="-5"/>
          <w:sz w:val="20"/>
        </w:rPr>
        <w:t xml:space="preserve"> </w:t>
      </w:r>
      <w:r>
        <w:rPr>
          <w:color w:val="231F20"/>
          <w:sz w:val="20"/>
        </w:rPr>
        <w:t>Crossing).</w:t>
      </w:r>
    </w:p>
    <w:p w:rsidR="006A7A3F" w:rsidRDefault="00BC7372" w:rsidP="004107F7">
      <w:pPr>
        <w:pStyle w:val="BodyText"/>
        <w:spacing w:before="171"/>
      </w:pPr>
      <w:r>
        <w:rPr>
          <w:color w:val="231F20"/>
        </w:rPr>
        <w:t>Summaries of the social, recreational and economic values considered are provided for each system. Where the</w:t>
      </w:r>
      <w:r w:rsidR="004107F7">
        <w:t xml:space="preserve"> </w:t>
      </w:r>
      <w:r>
        <w:rPr>
          <w:color w:val="231F20"/>
        </w:rPr>
        <w:t>timing or management of planned environmental flows may be modified to align with a community benefit, this is identified alongside the potential watering actions.</w:t>
      </w:r>
    </w:p>
    <w:p w:rsidR="006A7A3F" w:rsidRDefault="00BC7372">
      <w:pPr>
        <w:spacing w:before="181"/>
        <w:ind w:left="210"/>
        <w:rPr>
          <w:rFonts w:ascii="Helvetica Neue LT Std 75"/>
          <w:b/>
          <w:sz w:val="19"/>
        </w:rPr>
      </w:pPr>
      <w:r>
        <w:rPr>
          <w:rFonts w:ascii="Helvetica Neue LT Std 75"/>
          <w:b/>
          <w:color w:val="231F20"/>
          <w:sz w:val="19"/>
        </w:rPr>
        <w:t>Integrated catchment management</w:t>
      </w:r>
    </w:p>
    <w:p w:rsidR="006A7A3F" w:rsidRDefault="00BC7372">
      <w:pPr>
        <w:pStyle w:val="BodyText"/>
        <w:spacing w:before="68" w:line="249" w:lineRule="auto"/>
        <w:ind w:right="204"/>
      </w:pPr>
      <w:r>
        <w:rPr>
          <w:color w:val="231F20"/>
        </w:rPr>
        <w:t>Altered water regimes are one of many threats to the health of Victoria’s waterways. To be effective, environmental flows need to be part of an integrated approach to catchment management. Many of the environmental objectives for water for the environment in the northern region will not be fully met without simultaneously addressing issues such as barriers to fish movement, high nutrient loads, loss of stream bank vegetation and invasive species.</w:t>
      </w:r>
    </w:p>
    <w:p w:rsidR="006A7A3F" w:rsidRDefault="00BC7372">
      <w:pPr>
        <w:pStyle w:val="BodyText"/>
        <w:spacing w:before="173" w:line="249" w:lineRule="auto"/>
        <w:ind w:right="408"/>
      </w:pPr>
      <w:r>
        <w:rPr>
          <w:color w:val="231F20"/>
        </w:rPr>
        <w:t>Victorian and Australian government agencies, Traditional Owners, community groups and private landowners collectively implement a wide range of programs that aim to protect and improve the environmental condition and function of land, soils and waterways throughout Victoria’s catchments.</w:t>
      </w:r>
    </w:p>
    <w:p w:rsidR="006A7A3F" w:rsidRDefault="00BC7372">
      <w:pPr>
        <w:pStyle w:val="BodyText"/>
        <w:spacing w:before="173" w:line="249" w:lineRule="auto"/>
        <w:ind w:right="386"/>
      </w:pPr>
      <w:r>
        <w:rPr>
          <w:color w:val="231F20"/>
        </w:rPr>
        <w:t>Examples of complementary programs that are likely to support environmental watering outcomes in the northern region include:</w:t>
      </w:r>
    </w:p>
    <w:p w:rsidR="006A7A3F" w:rsidRDefault="00BC7372" w:rsidP="009B6917">
      <w:pPr>
        <w:pStyle w:val="ListParagraph"/>
        <w:numPr>
          <w:ilvl w:val="0"/>
          <w:numId w:val="1419"/>
        </w:numPr>
        <w:tabs>
          <w:tab w:val="left" w:pos="493"/>
          <w:tab w:val="left" w:pos="494"/>
        </w:tabs>
        <w:spacing w:before="115" w:line="249" w:lineRule="auto"/>
        <w:ind w:right="327"/>
        <w:rPr>
          <w:sz w:val="20"/>
        </w:rPr>
      </w:pPr>
      <w:r>
        <w:rPr>
          <w:color w:val="231F20"/>
          <w:sz w:val="20"/>
        </w:rPr>
        <w:t xml:space="preserve">the release of a strategic action plan for the protection of floodplain marshes in Barmah Forest, which identifies management actions addressing key threats to the delicate floodplain vegetation including removal of feral horses and other invasive animals and control of invasive plants. Parks Victoria and the </w:t>
      </w:r>
      <w:r>
        <w:rPr>
          <w:color w:val="231F20"/>
          <w:spacing w:val="-5"/>
          <w:sz w:val="20"/>
        </w:rPr>
        <w:t xml:space="preserve">Yorta Yorta </w:t>
      </w:r>
      <w:r>
        <w:rPr>
          <w:color w:val="231F20"/>
          <w:sz w:val="20"/>
        </w:rPr>
        <w:t>Nations jointly manage Barmah National</w:t>
      </w:r>
      <w:r>
        <w:rPr>
          <w:color w:val="231F20"/>
          <w:spacing w:val="-3"/>
          <w:sz w:val="20"/>
        </w:rPr>
        <w:t xml:space="preserve"> </w:t>
      </w:r>
      <w:r>
        <w:rPr>
          <w:color w:val="231F20"/>
          <w:sz w:val="20"/>
        </w:rPr>
        <w:t>Park</w:t>
      </w:r>
    </w:p>
    <w:p w:rsidR="006A7A3F" w:rsidRDefault="00BC7372" w:rsidP="009B6917">
      <w:pPr>
        <w:pStyle w:val="ListParagraph"/>
        <w:numPr>
          <w:ilvl w:val="0"/>
          <w:numId w:val="1419"/>
        </w:numPr>
        <w:tabs>
          <w:tab w:val="left" w:pos="493"/>
          <w:tab w:val="left" w:pos="494"/>
        </w:tabs>
        <w:spacing w:before="88" w:line="249" w:lineRule="auto"/>
        <w:ind w:right="321"/>
        <w:rPr>
          <w:sz w:val="20"/>
        </w:rPr>
      </w:pPr>
      <w:r>
        <w:rPr>
          <w:color w:val="231F20"/>
          <w:sz w:val="20"/>
        </w:rPr>
        <w:t>construction of fishways enabling fish passage through the Koondrook and Cohuna weirs in Gunbower Creek is planned for winter 2021. The fishways will provide migration opportunities for fish species (such as the iconic Murray cod)</w:t>
      </w:r>
    </w:p>
    <w:p w:rsidR="006A7A3F" w:rsidRDefault="00BC7372" w:rsidP="009B6917">
      <w:pPr>
        <w:pStyle w:val="ListParagraph"/>
        <w:numPr>
          <w:ilvl w:val="0"/>
          <w:numId w:val="1419"/>
        </w:numPr>
        <w:tabs>
          <w:tab w:val="left" w:pos="494"/>
        </w:tabs>
        <w:spacing w:before="87" w:line="249" w:lineRule="auto"/>
        <w:ind w:right="194"/>
        <w:jc w:val="both"/>
        <w:rPr>
          <w:sz w:val="20"/>
        </w:rPr>
      </w:pPr>
      <w:r>
        <w:rPr>
          <w:color w:val="231F20"/>
          <w:sz w:val="20"/>
        </w:rPr>
        <w:t>private land managers undertake vegetation management and carp removal actions at Mullinmur wetland on the Ovens</w:t>
      </w:r>
      <w:r>
        <w:rPr>
          <w:color w:val="231F20"/>
          <w:spacing w:val="-3"/>
          <w:sz w:val="20"/>
        </w:rPr>
        <w:t xml:space="preserve"> </w:t>
      </w:r>
      <w:r>
        <w:rPr>
          <w:color w:val="231F20"/>
          <w:sz w:val="20"/>
        </w:rPr>
        <w:t>River</w:t>
      </w:r>
      <w:r>
        <w:rPr>
          <w:color w:val="231F20"/>
          <w:spacing w:val="-4"/>
          <w:sz w:val="20"/>
        </w:rPr>
        <w:t xml:space="preserve"> </w:t>
      </w:r>
      <w:r>
        <w:rPr>
          <w:color w:val="231F20"/>
          <w:sz w:val="20"/>
        </w:rPr>
        <w:t>at</w:t>
      </w:r>
      <w:r>
        <w:rPr>
          <w:color w:val="231F20"/>
          <w:spacing w:val="-4"/>
          <w:sz w:val="20"/>
        </w:rPr>
        <w:t xml:space="preserve"> </w:t>
      </w:r>
      <w:r>
        <w:rPr>
          <w:color w:val="231F20"/>
          <w:sz w:val="20"/>
        </w:rPr>
        <w:t>Wangaratta.</w:t>
      </w:r>
      <w:r>
        <w:rPr>
          <w:color w:val="231F20"/>
          <w:spacing w:val="-7"/>
          <w:sz w:val="20"/>
        </w:rPr>
        <w:t xml:space="preserve"> </w:t>
      </w:r>
      <w:r>
        <w:rPr>
          <w:color w:val="231F20"/>
          <w:sz w:val="20"/>
        </w:rPr>
        <w:t>The</w:t>
      </w:r>
      <w:r>
        <w:rPr>
          <w:color w:val="231F20"/>
          <w:spacing w:val="-2"/>
          <w:sz w:val="20"/>
        </w:rPr>
        <w:t xml:space="preserve"> </w:t>
      </w:r>
      <w:r>
        <w:rPr>
          <w:color w:val="231F20"/>
          <w:sz w:val="20"/>
        </w:rPr>
        <w:t>rehabilitation</w:t>
      </w:r>
      <w:r>
        <w:rPr>
          <w:color w:val="231F20"/>
          <w:spacing w:val="-3"/>
          <w:sz w:val="20"/>
        </w:rPr>
        <w:t xml:space="preserve"> </w:t>
      </w:r>
      <w:r>
        <w:rPr>
          <w:color w:val="231F20"/>
          <w:sz w:val="20"/>
        </w:rPr>
        <w:t>works</w:t>
      </w:r>
      <w:r>
        <w:rPr>
          <w:color w:val="231F20"/>
          <w:spacing w:val="-4"/>
          <w:sz w:val="20"/>
        </w:rPr>
        <w:t xml:space="preserve"> </w:t>
      </w:r>
      <w:r>
        <w:rPr>
          <w:color w:val="231F20"/>
          <w:sz w:val="20"/>
        </w:rPr>
        <w:t>have</w:t>
      </w:r>
      <w:r>
        <w:rPr>
          <w:color w:val="231F20"/>
          <w:spacing w:val="-4"/>
          <w:sz w:val="20"/>
        </w:rPr>
        <w:t xml:space="preserve"> </w:t>
      </w:r>
      <w:r>
        <w:rPr>
          <w:color w:val="231F20"/>
          <w:sz w:val="20"/>
        </w:rPr>
        <w:t>enabled</w:t>
      </w:r>
      <w:r>
        <w:rPr>
          <w:color w:val="231F20"/>
          <w:spacing w:val="-4"/>
          <w:sz w:val="20"/>
        </w:rPr>
        <w:t xml:space="preserve"> </w:t>
      </w:r>
      <w:r>
        <w:rPr>
          <w:color w:val="231F20"/>
          <w:sz w:val="20"/>
        </w:rPr>
        <w:t>stocking</w:t>
      </w:r>
      <w:r>
        <w:rPr>
          <w:color w:val="231F20"/>
          <w:spacing w:val="-3"/>
          <w:sz w:val="20"/>
        </w:rPr>
        <w:t xml:space="preserve"> </w:t>
      </w:r>
      <w:r>
        <w:rPr>
          <w:color w:val="231F20"/>
          <w:sz w:val="20"/>
        </w:rPr>
        <w:t>of</w:t>
      </w:r>
      <w:r>
        <w:rPr>
          <w:color w:val="231F20"/>
          <w:spacing w:val="-3"/>
          <w:sz w:val="20"/>
        </w:rPr>
        <w:t xml:space="preserve"> </w:t>
      </w:r>
      <w:r>
        <w:rPr>
          <w:color w:val="231F20"/>
          <w:sz w:val="20"/>
        </w:rPr>
        <w:t>native</w:t>
      </w:r>
      <w:r>
        <w:rPr>
          <w:color w:val="231F20"/>
          <w:spacing w:val="-4"/>
          <w:sz w:val="20"/>
        </w:rPr>
        <w:t xml:space="preserve"> </w:t>
      </w:r>
      <w:r>
        <w:rPr>
          <w:color w:val="231F20"/>
          <w:sz w:val="20"/>
        </w:rPr>
        <w:t>catfish</w:t>
      </w:r>
      <w:r>
        <w:rPr>
          <w:color w:val="231F20"/>
          <w:spacing w:val="-3"/>
          <w:sz w:val="20"/>
        </w:rPr>
        <w:t xml:space="preserve"> </w:t>
      </w:r>
      <w:r>
        <w:rPr>
          <w:color w:val="231F20"/>
          <w:sz w:val="20"/>
        </w:rPr>
        <w:t>brood</w:t>
      </w:r>
      <w:r>
        <w:rPr>
          <w:color w:val="231F20"/>
          <w:spacing w:val="-4"/>
          <w:sz w:val="20"/>
        </w:rPr>
        <w:t xml:space="preserve"> </w:t>
      </w:r>
      <w:r>
        <w:rPr>
          <w:color w:val="231F20"/>
          <w:sz w:val="20"/>
        </w:rPr>
        <w:t>stock</w:t>
      </w:r>
      <w:r>
        <w:rPr>
          <w:color w:val="231F20"/>
          <w:spacing w:val="-3"/>
          <w:sz w:val="20"/>
        </w:rPr>
        <w:t xml:space="preserve"> </w:t>
      </w:r>
      <w:r>
        <w:rPr>
          <w:color w:val="231F20"/>
          <w:sz w:val="20"/>
        </w:rPr>
        <w:t>into</w:t>
      </w:r>
      <w:r>
        <w:rPr>
          <w:color w:val="231F20"/>
          <w:spacing w:val="-4"/>
          <w:sz w:val="20"/>
        </w:rPr>
        <w:t xml:space="preserve"> </w:t>
      </w:r>
      <w:r>
        <w:rPr>
          <w:color w:val="231F20"/>
          <w:sz w:val="20"/>
        </w:rPr>
        <w:t>the wetland, which will support future re-stocking efforts in the</w:t>
      </w:r>
      <w:r>
        <w:rPr>
          <w:color w:val="231F20"/>
          <w:spacing w:val="-7"/>
          <w:sz w:val="20"/>
        </w:rPr>
        <w:t xml:space="preserve"> </w:t>
      </w:r>
      <w:r>
        <w:rPr>
          <w:color w:val="231F20"/>
          <w:sz w:val="20"/>
        </w:rPr>
        <w:t>region</w:t>
      </w:r>
    </w:p>
    <w:p w:rsidR="006A7A3F" w:rsidRDefault="00BC7372" w:rsidP="009B6917">
      <w:pPr>
        <w:pStyle w:val="ListParagraph"/>
        <w:numPr>
          <w:ilvl w:val="0"/>
          <w:numId w:val="1419"/>
        </w:numPr>
        <w:tabs>
          <w:tab w:val="left" w:pos="493"/>
          <w:tab w:val="left" w:pos="494"/>
        </w:tabs>
        <w:spacing w:before="88" w:line="249" w:lineRule="auto"/>
        <w:ind w:right="273"/>
        <w:rPr>
          <w:sz w:val="20"/>
        </w:rPr>
      </w:pPr>
      <w:r>
        <w:rPr>
          <w:color w:val="231F20"/>
          <w:sz w:val="20"/>
        </w:rPr>
        <w:t>manual removal of river red gum seedlings that are encroaching into open wetlands in Guttrum Forest to maintain areas of open-water habitat, which supports aquatic and mudflat plants and in turn provides habitat for a range of waterbird</w:t>
      </w:r>
      <w:r>
        <w:rPr>
          <w:color w:val="231F20"/>
          <w:spacing w:val="-4"/>
          <w:sz w:val="20"/>
        </w:rPr>
        <w:t xml:space="preserve"> </w:t>
      </w:r>
      <w:r>
        <w:rPr>
          <w:color w:val="231F20"/>
          <w:sz w:val="20"/>
        </w:rPr>
        <w:t>species.</w:t>
      </w:r>
    </w:p>
    <w:p w:rsidR="006A7A3F" w:rsidRDefault="00BC7372">
      <w:pPr>
        <w:pStyle w:val="BodyText"/>
        <w:spacing w:before="173" w:line="249" w:lineRule="auto"/>
        <w:ind w:right="886"/>
      </w:pPr>
      <w:r>
        <w:rPr>
          <w:color w:val="231F20"/>
        </w:rPr>
        <w:t>For more information about integrated catchment management programs in the northern region, refer to the Goulburn Broken, Mallee, North Central and North East CMAs’ regional catchment strategies and regional waterway strategies.</w:t>
      </w:r>
    </w:p>
    <w:p w:rsidR="006A7A3F" w:rsidRDefault="00BC7372">
      <w:pPr>
        <w:spacing w:before="181"/>
        <w:ind w:left="210"/>
        <w:rPr>
          <w:rFonts w:ascii="Helvetica Neue LT Std 75"/>
          <w:b/>
          <w:sz w:val="19"/>
        </w:rPr>
      </w:pPr>
      <w:r>
        <w:rPr>
          <w:rFonts w:ascii="Helvetica Neue LT Std 75"/>
          <w:b/>
          <w:color w:val="231F20"/>
          <w:sz w:val="19"/>
        </w:rPr>
        <w:t>Risk management</w:t>
      </w:r>
    </w:p>
    <w:p w:rsidR="006A7A3F" w:rsidRDefault="00BC7372">
      <w:pPr>
        <w:pStyle w:val="BodyText"/>
        <w:spacing w:before="68" w:line="249" w:lineRule="auto"/>
        <w:ind w:right="540"/>
      </w:pPr>
      <w:r>
        <w:rPr>
          <w:color w:val="231F20"/>
        </w:rPr>
        <w:t>During the development of the seasonal watering proposals for the northern region systems, environmental watering program partners held a workshop to assess risks associated with potential environmental watering actions for 2020–21 and identified appropriate mitigating strategies. Risks and mitigating actions are continually assessed by program partners throughout the year (see subsection 1.3.6).</w:t>
      </w:r>
    </w:p>
    <w:p w:rsidR="006A7A3F" w:rsidRDefault="00BC7372">
      <w:pPr>
        <w:pStyle w:val="Heading7"/>
        <w:spacing w:before="126"/>
        <w:rPr>
          <w:rFonts w:ascii="Helvetica Neue LT Std 75"/>
        </w:rPr>
      </w:pPr>
      <w:r>
        <w:rPr>
          <w:rFonts w:ascii="Helvetica Neue LT Std 75"/>
          <w:color w:val="231F20"/>
        </w:rPr>
        <w:t>What is the Basin Plan 2012?</w:t>
      </w:r>
    </w:p>
    <w:p w:rsidR="006A7A3F" w:rsidRDefault="00BC7372">
      <w:pPr>
        <w:pStyle w:val="BodyText"/>
        <w:spacing w:before="111" w:line="249" w:lineRule="auto"/>
        <w:ind w:right="185"/>
      </w:pPr>
      <w:r>
        <w:rPr>
          <w:color w:val="231F20"/>
        </w:rPr>
        <w:t>Northern Victoria is a part of the Murray-Darling Basin and deliveries of water for the environment in the northern region are subject to the requirements of the Basin Plan 2012, also known as the Murray-Darling Basin Plan or just the Basin Plan. The Murray-Darling Basin Authority (MDBA) developed the Basin Plan under the Commonwealth Water Act 2007 and it became law in November 2012. The Basin Plan sets legal limits on the amount of water that can be taken from the Murray-Darling Basin’s surface and groundwater resources. Chapter 8 of the Basin Plan sets out a high-level environmental watering plan, which defines environmental objectives to protect, restore and build the resilience of water-dependent ecosystems and their associated functions. The VEWH’s environmental planning and delivery is consistent with the requirements of the Basin Plan. The potential environmental watering outlined in sections 4 and 5 of this seasonal watering plan fulfil Victoria’s obligations to identify annual environmental watering priorities for Victoria’s water resource areas under section 8.26 of the Basin Plan 2012.</w:t>
      </w:r>
    </w:p>
    <w:p w:rsidR="006A7A3F" w:rsidRDefault="00BC7372">
      <w:pPr>
        <w:pStyle w:val="Heading7"/>
        <w:spacing w:before="130"/>
        <w:rPr>
          <w:rFonts w:ascii="Helvetica Neue LT Std 75"/>
        </w:rPr>
      </w:pPr>
      <w:r>
        <w:rPr>
          <w:rFonts w:ascii="Helvetica Neue LT Std 75"/>
          <w:color w:val="231F20"/>
        </w:rPr>
        <w:t>What is River Murray Increased Flows (RMIF)?</w:t>
      </w:r>
    </w:p>
    <w:p w:rsidR="006A7A3F" w:rsidRDefault="00BC7372">
      <w:pPr>
        <w:pStyle w:val="BodyText"/>
        <w:spacing w:before="111" w:line="249" w:lineRule="auto"/>
        <w:ind w:right="100"/>
      </w:pPr>
      <w:r>
        <w:rPr>
          <w:color w:val="231F20"/>
        </w:rPr>
        <w:t>River Murray Increased Flows (RMIF) is water for the environment that has been recovered as part of the Snowy Water Initiative, established in 2002 to address environmental impacts associated with the operation of the Snowy Mountains Scheme. RMIF is stored in Snowy Hydro Limited’s storages and released to maintain and improve environmental values in the Murray River. RMIF becomes available when:</w:t>
      </w:r>
    </w:p>
    <w:p w:rsidR="006A7A3F" w:rsidRDefault="00BC7372" w:rsidP="009B6917">
      <w:pPr>
        <w:pStyle w:val="ListParagraph"/>
        <w:numPr>
          <w:ilvl w:val="0"/>
          <w:numId w:val="1419"/>
        </w:numPr>
        <w:tabs>
          <w:tab w:val="left" w:pos="493"/>
          <w:tab w:val="left" w:pos="494"/>
        </w:tabs>
        <w:spacing w:before="117" w:line="249" w:lineRule="auto"/>
        <w:ind w:right="1061"/>
        <w:rPr>
          <w:sz w:val="20"/>
        </w:rPr>
      </w:pPr>
      <w:r>
        <w:rPr>
          <w:color w:val="231F20"/>
          <w:sz w:val="20"/>
        </w:rPr>
        <w:t>Snowy Hydro Limited release more than their nominated annual release volume, as part of their power generation operations</w:t>
      </w:r>
      <w:r>
        <w:rPr>
          <w:color w:val="231F20"/>
          <w:spacing w:val="-3"/>
          <w:sz w:val="20"/>
        </w:rPr>
        <w:t xml:space="preserve"> </w:t>
      </w:r>
      <w:r>
        <w:rPr>
          <w:color w:val="231F20"/>
          <w:sz w:val="20"/>
        </w:rPr>
        <w:t>and/or</w:t>
      </w:r>
    </w:p>
    <w:p w:rsidR="006A7A3F" w:rsidRDefault="00BC7372" w:rsidP="009B6917">
      <w:pPr>
        <w:pStyle w:val="ListParagraph"/>
        <w:numPr>
          <w:ilvl w:val="0"/>
          <w:numId w:val="1419"/>
        </w:numPr>
        <w:tabs>
          <w:tab w:val="left" w:pos="493"/>
          <w:tab w:val="left" w:pos="494"/>
        </w:tabs>
        <w:spacing w:before="87" w:line="249" w:lineRule="auto"/>
        <w:ind w:right="763"/>
        <w:rPr>
          <w:sz w:val="20"/>
        </w:rPr>
      </w:pPr>
      <w:r>
        <w:rPr>
          <w:color w:val="231F20"/>
          <w:sz w:val="20"/>
        </w:rPr>
        <w:t>environmental water managers request additional RMIF be made available when volumes in Murray River storages exceed specified</w:t>
      </w:r>
      <w:r>
        <w:rPr>
          <w:color w:val="231F20"/>
          <w:spacing w:val="-2"/>
          <w:sz w:val="20"/>
        </w:rPr>
        <w:t xml:space="preserve"> </w:t>
      </w:r>
      <w:r>
        <w:rPr>
          <w:color w:val="231F20"/>
          <w:sz w:val="20"/>
        </w:rPr>
        <w:t>limits.</w:t>
      </w:r>
    </w:p>
    <w:p w:rsidR="006A7A3F" w:rsidRDefault="00BC7372">
      <w:pPr>
        <w:pStyle w:val="BodyText"/>
        <w:spacing w:before="70" w:line="249" w:lineRule="auto"/>
        <w:ind w:right="457"/>
      </w:pPr>
      <w:r>
        <w:rPr>
          <w:color w:val="231F20"/>
        </w:rPr>
        <w:t>The call for and use of RMIF are coordinated by the Southern Connected Basin Environmental Watering Committee, and they must be authorised by the VEWH and NSW Department of Primary Industry and Environment.</w:t>
      </w:r>
    </w:p>
    <w:p w:rsidR="006A7A3F" w:rsidRDefault="00BC7372">
      <w:pPr>
        <w:spacing w:before="182"/>
        <w:ind w:left="210"/>
        <w:rPr>
          <w:rFonts w:ascii="Helvetica Neue LT Std 75"/>
          <w:b/>
          <w:sz w:val="19"/>
        </w:rPr>
      </w:pPr>
      <w:r>
        <w:rPr>
          <w:rFonts w:ascii="Helvetica Neue LT Std 75"/>
          <w:b/>
          <w:color w:val="231F20"/>
          <w:sz w:val="19"/>
        </w:rPr>
        <w:t>Northern Victoria and the southern Murray-Darling Basin</w:t>
      </w:r>
    </w:p>
    <w:p w:rsidR="006A7A3F" w:rsidRDefault="00BC7372">
      <w:pPr>
        <w:pStyle w:val="BodyText"/>
        <w:spacing w:before="68" w:line="249" w:lineRule="auto"/>
        <w:ind w:right="200"/>
      </w:pPr>
      <w:r>
        <w:rPr>
          <w:color w:val="231F20"/>
        </w:rPr>
        <w:t xml:space="preserve">Rivers, creeks and floodplains in northern Victoria form part of the southern-connected Murray-Darling Basin. </w:t>
      </w:r>
      <w:r>
        <w:rPr>
          <w:color w:val="231F20"/>
          <w:spacing w:val="-3"/>
        </w:rPr>
        <w:t xml:space="preserve">Water </w:t>
      </w:r>
      <w:r>
        <w:rPr>
          <w:color w:val="231F20"/>
        </w:rPr>
        <w:t xml:space="preserve">flows directly from the Victorian rivers and floodplains into the Murray </w:t>
      </w:r>
      <w:r>
        <w:rPr>
          <w:color w:val="231F20"/>
          <w:spacing w:val="-3"/>
        </w:rPr>
        <w:t xml:space="preserve">River, </w:t>
      </w:r>
      <w:r>
        <w:rPr>
          <w:color w:val="231F20"/>
        </w:rPr>
        <w:t>which means that environmental flows delivered in northern Victorian systems can achieve ecological objectives at multiple sites throughout the Murray-Darling Basin. For example, water for the environment delivered in the Goulburn River flows into the Murray River and can be managed to ensure it flows all the way to the Lower Lakes and Coorong in South Australia (SA), providing environmental outcomes at Gunbower Forest, Hattah Lakes, Lindsay Island and the Chowilla floodplain along the</w:t>
      </w:r>
      <w:r>
        <w:rPr>
          <w:color w:val="231F20"/>
          <w:spacing w:val="-2"/>
        </w:rPr>
        <w:t xml:space="preserve"> </w:t>
      </w:r>
      <w:r>
        <w:rPr>
          <w:color w:val="231F20"/>
          <w:spacing w:val="-5"/>
        </w:rPr>
        <w:t>way.</w:t>
      </w:r>
    </w:p>
    <w:p w:rsidR="006A7A3F" w:rsidRDefault="00BC7372">
      <w:pPr>
        <w:pStyle w:val="BodyText"/>
        <w:spacing w:before="175" w:line="249" w:lineRule="auto"/>
        <w:ind w:right="462"/>
      </w:pPr>
      <w:r>
        <w:rPr>
          <w:color w:val="231F20"/>
        </w:rPr>
        <w:t>The Basin Plan 2012 and the Basin-wide environmental watering strategy (second edition, 2019) guide the long- term planning of water for the environment in the Murray-Darling Basin. Under the Basin Plan, environmental objectives are met by achieving outcomes for connectivity, native vegetation, waterbirds and native fish.</w:t>
      </w:r>
    </w:p>
    <w:p w:rsidR="00205B3F" w:rsidRDefault="00205B3F">
      <w:pPr>
        <w:rPr>
          <w:color w:val="231F20"/>
          <w:sz w:val="20"/>
          <w:szCs w:val="20"/>
        </w:rPr>
      </w:pPr>
      <w:r>
        <w:rPr>
          <w:color w:val="231F20"/>
        </w:rPr>
        <w:br w:type="page"/>
      </w:r>
    </w:p>
    <w:p w:rsidR="006A7A3F" w:rsidRDefault="00BC7372">
      <w:pPr>
        <w:pStyle w:val="BodyText"/>
        <w:spacing w:before="173" w:line="249" w:lineRule="auto"/>
        <w:ind w:right="297"/>
      </w:pPr>
      <w:r>
        <w:rPr>
          <w:color w:val="231F20"/>
        </w:rPr>
        <w:t>Objectives and outcomes under the Basin Plan reflect local site- and state-based objectives, though site-based objectives are often broader in scope and cover additional values (such as frogs, turtle, waterbugs and physical processes like sediment movement). Watering actions that support Basin Plan outcomes have significant benefits for many other species that rely on the surrounding landscape (such as squirrel gliders living along the lower Campaspe River or flocks of regent parrots moving into the Hattah Lakes floodplain after watering).</w:t>
      </w:r>
    </w:p>
    <w:p w:rsidR="006A7A3F" w:rsidRDefault="00BC7372">
      <w:pPr>
        <w:pStyle w:val="BodyText"/>
        <w:spacing w:before="174" w:line="249" w:lineRule="auto"/>
        <w:ind w:right="100"/>
      </w:pPr>
      <w:r>
        <w:rPr>
          <w:color w:val="231F20"/>
        </w:rPr>
        <w:t>The VEWH coordinates its activities with other environmental water holders in northern Victoria, NSW and SA to achieve environmental outcomes at the southern-connected Murray-Darling Basin scale. Collaborative planning focuses on how upstream and downstream objectives align and how the broader operation of the Murray River system can help support environmental outcomes.</w:t>
      </w:r>
    </w:p>
    <w:p w:rsidR="006A7A3F" w:rsidRDefault="00BC7372" w:rsidP="004107F7">
      <w:pPr>
        <w:pStyle w:val="BodyText"/>
        <w:spacing w:before="173" w:line="249" w:lineRule="auto"/>
        <w:ind w:right="501"/>
      </w:pPr>
      <w:r>
        <w:rPr>
          <w:color w:val="231F20"/>
        </w:rPr>
        <w:t>Environmental water holders are also increasingly considering the objectives and cultural values of First Nations in the Murray-Darling Basin in alignment with environmental water objectives, outcomes and priorities (for further</w:t>
      </w:r>
      <w:r>
        <w:rPr>
          <w:color w:val="231F20"/>
          <w:spacing w:val="-2"/>
        </w:rPr>
        <w:t xml:space="preserve"> </w:t>
      </w:r>
      <w:r>
        <w:rPr>
          <w:color w:val="231F20"/>
        </w:rPr>
        <w:t>information</w:t>
      </w:r>
      <w:r>
        <w:rPr>
          <w:color w:val="231F20"/>
          <w:spacing w:val="-3"/>
        </w:rPr>
        <w:t xml:space="preserve"> </w:t>
      </w:r>
      <w:r>
        <w:rPr>
          <w:color w:val="231F20"/>
        </w:rPr>
        <w:t>see</w:t>
      </w:r>
      <w:r>
        <w:rPr>
          <w:color w:val="231F20"/>
          <w:spacing w:val="-2"/>
        </w:rPr>
        <w:t xml:space="preserve"> </w:t>
      </w:r>
      <w:r>
        <w:rPr>
          <w:color w:val="231F20"/>
        </w:rPr>
        <w:t>‘How</w:t>
      </w:r>
      <w:r>
        <w:rPr>
          <w:color w:val="231F20"/>
          <w:spacing w:val="-3"/>
        </w:rPr>
        <w:t xml:space="preserve"> </w:t>
      </w:r>
      <w:r>
        <w:rPr>
          <w:color w:val="231F20"/>
        </w:rPr>
        <w:t>are</w:t>
      </w:r>
      <w:r>
        <w:rPr>
          <w:color w:val="231F20"/>
          <w:spacing w:val="-6"/>
        </w:rPr>
        <w:t xml:space="preserve"> </w:t>
      </w:r>
      <w:r>
        <w:rPr>
          <w:color w:val="231F20"/>
        </w:rPr>
        <w:t>Traditional</w:t>
      </w:r>
      <w:r>
        <w:rPr>
          <w:color w:val="231F20"/>
          <w:spacing w:val="-2"/>
        </w:rPr>
        <w:t xml:space="preserve"> </w:t>
      </w:r>
      <w:r>
        <w:rPr>
          <w:color w:val="231F20"/>
        </w:rPr>
        <w:t>Owners’</w:t>
      </w:r>
      <w:r>
        <w:rPr>
          <w:color w:val="231F20"/>
          <w:spacing w:val="-10"/>
        </w:rPr>
        <w:t xml:space="preserve"> </w:t>
      </w:r>
      <w:r>
        <w:rPr>
          <w:color w:val="231F20"/>
        </w:rPr>
        <w:t>values</w:t>
      </w:r>
      <w:r>
        <w:rPr>
          <w:color w:val="231F20"/>
          <w:spacing w:val="-1"/>
        </w:rPr>
        <w:t xml:space="preserve"> </w:t>
      </w:r>
      <w:r>
        <w:rPr>
          <w:color w:val="231F20"/>
        </w:rPr>
        <w:t>and</w:t>
      </w:r>
      <w:r>
        <w:rPr>
          <w:color w:val="231F20"/>
          <w:spacing w:val="-3"/>
        </w:rPr>
        <w:t xml:space="preserve"> </w:t>
      </w:r>
      <w:r>
        <w:rPr>
          <w:color w:val="231F20"/>
        </w:rPr>
        <w:t>uses</w:t>
      </w:r>
      <w:r>
        <w:rPr>
          <w:color w:val="231F20"/>
          <w:spacing w:val="-3"/>
        </w:rPr>
        <w:t xml:space="preserve"> </w:t>
      </w:r>
      <w:r>
        <w:rPr>
          <w:color w:val="231F20"/>
        </w:rPr>
        <w:t>considered?’</w:t>
      </w:r>
      <w:r>
        <w:rPr>
          <w:color w:val="231F20"/>
          <w:spacing w:val="-9"/>
        </w:rPr>
        <w:t xml:space="preserve"> </w:t>
      </w:r>
      <w:r>
        <w:rPr>
          <w:color w:val="231F20"/>
        </w:rPr>
        <w:t>on</w:t>
      </w:r>
      <w:r>
        <w:rPr>
          <w:color w:val="231F20"/>
          <w:spacing w:val="-3"/>
        </w:rPr>
        <w:t xml:space="preserve"> </w:t>
      </w:r>
      <w:r>
        <w:rPr>
          <w:color w:val="231F20"/>
        </w:rPr>
        <w:t>pages</w:t>
      </w:r>
      <w:r>
        <w:rPr>
          <w:color w:val="231F20"/>
          <w:spacing w:val="-3"/>
        </w:rPr>
        <w:t xml:space="preserve"> </w:t>
      </w:r>
      <w:r>
        <w:rPr>
          <w:color w:val="231F20"/>
        </w:rPr>
        <w:t>189</w:t>
      </w:r>
      <w:r>
        <w:rPr>
          <w:color w:val="231F20"/>
          <w:spacing w:val="-3"/>
        </w:rPr>
        <w:t xml:space="preserve"> </w:t>
      </w:r>
      <w:r>
        <w:rPr>
          <w:color w:val="231F20"/>
        </w:rPr>
        <w:t>and</w:t>
      </w:r>
      <w:r>
        <w:rPr>
          <w:color w:val="231F20"/>
          <w:spacing w:val="-3"/>
        </w:rPr>
        <w:t xml:space="preserve"> </w:t>
      </w:r>
      <w:r>
        <w:rPr>
          <w:color w:val="231F20"/>
        </w:rPr>
        <w:t>190).</w:t>
      </w:r>
      <w:r>
        <w:rPr>
          <w:color w:val="231F20"/>
          <w:spacing w:val="-2"/>
        </w:rPr>
        <w:t xml:space="preserve"> </w:t>
      </w:r>
      <w:r>
        <w:rPr>
          <w:color w:val="231F20"/>
        </w:rPr>
        <w:t>It</w:t>
      </w:r>
      <w:r w:rsidR="004107F7">
        <w:t xml:space="preserve"> </w:t>
      </w:r>
      <w:r>
        <w:rPr>
          <w:color w:val="231F20"/>
        </w:rPr>
        <w:t>is</w:t>
      </w:r>
      <w:r>
        <w:rPr>
          <w:color w:val="231F20"/>
          <w:spacing w:val="-4"/>
        </w:rPr>
        <w:t xml:space="preserve"> </w:t>
      </w:r>
      <w:r>
        <w:rPr>
          <w:color w:val="231F20"/>
        </w:rPr>
        <w:t>recognised</w:t>
      </w:r>
      <w:r>
        <w:rPr>
          <w:color w:val="231F20"/>
          <w:spacing w:val="-2"/>
        </w:rPr>
        <w:t xml:space="preserve"> </w:t>
      </w:r>
      <w:r>
        <w:rPr>
          <w:color w:val="231F20"/>
        </w:rPr>
        <w:t>that</w:t>
      </w:r>
      <w:r>
        <w:rPr>
          <w:color w:val="231F20"/>
          <w:spacing w:val="-3"/>
        </w:rPr>
        <w:t xml:space="preserve"> </w:t>
      </w:r>
      <w:r>
        <w:rPr>
          <w:color w:val="231F20"/>
        </w:rPr>
        <w:t>the</w:t>
      </w:r>
      <w:r>
        <w:rPr>
          <w:color w:val="231F20"/>
          <w:spacing w:val="-2"/>
        </w:rPr>
        <w:t xml:space="preserve"> </w:t>
      </w:r>
      <w:r>
        <w:rPr>
          <w:color w:val="231F20"/>
        </w:rPr>
        <w:t>health</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Murray-Darling</w:t>
      </w:r>
      <w:r>
        <w:rPr>
          <w:color w:val="231F20"/>
          <w:spacing w:val="-2"/>
        </w:rPr>
        <w:t xml:space="preserve"> </w:t>
      </w:r>
      <w:r>
        <w:rPr>
          <w:color w:val="231F20"/>
        </w:rPr>
        <w:t>Basin</w:t>
      </w:r>
      <w:r>
        <w:rPr>
          <w:color w:val="231F20"/>
          <w:spacing w:val="-3"/>
        </w:rPr>
        <w:t xml:space="preserve"> </w:t>
      </w:r>
      <w:r>
        <w:rPr>
          <w:color w:val="231F20"/>
        </w:rPr>
        <w:t>benefits</w:t>
      </w:r>
      <w:r>
        <w:rPr>
          <w:color w:val="231F20"/>
          <w:spacing w:val="-3"/>
        </w:rPr>
        <w:t xml:space="preserve"> </w:t>
      </w:r>
      <w:r>
        <w:rPr>
          <w:color w:val="231F20"/>
        </w:rPr>
        <w:t>from</w:t>
      </w:r>
      <w:r>
        <w:rPr>
          <w:color w:val="231F20"/>
          <w:spacing w:val="-2"/>
        </w:rPr>
        <w:t xml:space="preserve"> </w:t>
      </w:r>
      <w:r>
        <w:rPr>
          <w:color w:val="231F20"/>
        </w:rPr>
        <w:t>meaningful</w:t>
      </w:r>
      <w:r>
        <w:rPr>
          <w:color w:val="231F20"/>
          <w:spacing w:val="-3"/>
        </w:rPr>
        <w:t xml:space="preserve"> </w:t>
      </w:r>
      <w:r>
        <w:rPr>
          <w:color w:val="231F20"/>
        </w:rPr>
        <w:t>partnerships</w:t>
      </w:r>
      <w:r>
        <w:rPr>
          <w:color w:val="231F20"/>
          <w:spacing w:val="-3"/>
        </w:rPr>
        <w:t xml:space="preserve"> </w:t>
      </w:r>
      <w:r>
        <w:rPr>
          <w:color w:val="231F20"/>
        </w:rPr>
        <w:t>with</w:t>
      </w:r>
      <w:r>
        <w:rPr>
          <w:color w:val="231F20"/>
          <w:spacing w:val="-6"/>
        </w:rPr>
        <w:t xml:space="preserve"> </w:t>
      </w:r>
      <w:r>
        <w:rPr>
          <w:color w:val="231F20"/>
        </w:rPr>
        <w:t>Traditional Owners and their involvement in water planning, coordination and delivery from the local to the basin scale is a priority for environmental water</w:t>
      </w:r>
      <w:r>
        <w:rPr>
          <w:color w:val="231F20"/>
          <w:spacing w:val="-5"/>
        </w:rPr>
        <w:t xml:space="preserve"> </w:t>
      </w:r>
      <w:r>
        <w:rPr>
          <w:color w:val="231F20"/>
        </w:rPr>
        <w:t>holders.</w:t>
      </w:r>
    </w:p>
    <w:p w:rsidR="006A7A3F" w:rsidRDefault="00BC7372">
      <w:pPr>
        <w:pStyle w:val="BodyText"/>
        <w:spacing w:line="249" w:lineRule="auto"/>
        <w:ind w:right="100"/>
      </w:pPr>
      <w:r>
        <w:rPr>
          <w:color w:val="231F20"/>
        </w:rPr>
        <w:t>Annual planning is documented in basin annual environmental watering priorities (by the MDBA under the Basin Plan), in annual portfolio management plans (by the Commonwealth Environmental Water Office), and in the VEWH’s annual seasonal watering plan (this document). In Victoria, all water for the environment must be delivered in line with the VEWH’s seasonal watering plan, meaning coordination during annual planning is fundamental to successful basin-scale outcomes.</w:t>
      </w:r>
    </w:p>
    <w:p w:rsidR="006A7A3F" w:rsidRDefault="00BC7372">
      <w:pPr>
        <w:pStyle w:val="BodyText"/>
        <w:spacing w:before="175" w:line="249" w:lineRule="auto"/>
        <w:ind w:right="252"/>
      </w:pPr>
      <w:r>
        <w:rPr>
          <w:color w:val="231F20"/>
        </w:rPr>
        <w:t>Environmental water holders in the Murray-Darling Basin are placing an increased emphasis on coordinating water deliveries to achieve landscape-scale environmental outcomes. Examples include:</w:t>
      </w:r>
    </w:p>
    <w:p w:rsidR="006A7A3F" w:rsidRDefault="00BC7372" w:rsidP="009B6917">
      <w:pPr>
        <w:pStyle w:val="ListParagraph"/>
        <w:numPr>
          <w:ilvl w:val="0"/>
          <w:numId w:val="1419"/>
        </w:numPr>
        <w:tabs>
          <w:tab w:val="left" w:pos="493"/>
          <w:tab w:val="left" w:pos="494"/>
        </w:tabs>
        <w:spacing w:before="115" w:line="249" w:lineRule="auto"/>
        <w:ind w:right="492"/>
        <w:rPr>
          <w:sz w:val="20"/>
        </w:rPr>
      </w:pPr>
      <w:r>
        <w:rPr>
          <w:color w:val="231F20"/>
          <w:sz w:val="20"/>
        </w:rPr>
        <w:t xml:space="preserve">delivering a winter fresh in the Goulburn </w:t>
      </w:r>
      <w:r>
        <w:rPr>
          <w:color w:val="231F20"/>
          <w:spacing w:val="-3"/>
          <w:sz w:val="20"/>
        </w:rPr>
        <w:t xml:space="preserve">River, </w:t>
      </w:r>
      <w:r>
        <w:rPr>
          <w:color w:val="231F20"/>
          <w:sz w:val="20"/>
        </w:rPr>
        <w:t>which subsequently passed through to the Lower Lakes in SA and through the barrages to the Coorong to trigger upstream migration of fish (such as</w:t>
      </w:r>
      <w:r>
        <w:rPr>
          <w:color w:val="231F20"/>
          <w:spacing w:val="-20"/>
          <w:sz w:val="20"/>
        </w:rPr>
        <w:t xml:space="preserve"> </w:t>
      </w:r>
      <w:r>
        <w:rPr>
          <w:color w:val="231F20"/>
          <w:sz w:val="20"/>
        </w:rPr>
        <w:t>lamprey)</w:t>
      </w:r>
    </w:p>
    <w:p w:rsidR="006A7A3F" w:rsidRDefault="00BC7372" w:rsidP="009B6917">
      <w:pPr>
        <w:pStyle w:val="ListParagraph"/>
        <w:numPr>
          <w:ilvl w:val="0"/>
          <w:numId w:val="1419"/>
        </w:numPr>
        <w:tabs>
          <w:tab w:val="left" w:pos="493"/>
          <w:tab w:val="left" w:pos="494"/>
        </w:tabs>
        <w:spacing w:before="86" w:line="249" w:lineRule="auto"/>
        <w:ind w:right="295"/>
        <w:rPr>
          <w:sz w:val="20"/>
        </w:rPr>
      </w:pPr>
      <w:r>
        <w:rPr>
          <w:color w:val="231F20"/>
          <w:sz w:val="20"/>
        </w:rPr>
        <w:t xml:space="preserve">efficient water use meant that all of the 12,700 ML delivered to Lake Kramen in the Hattah Lakes complex in 2019–20 were return flows from environmental watering actions in the Goulburn </w:t>
      </w:r>
      <w:r>
        <w:rPr>
          <w:color w:val="231F20"/>
          <w:spacing w:val="-3"/>
          <w:sz w:val="20"/>
        </w:rPr>
        <w:t xml:space="preserve">River. </w:t>
      </w:r>
      <w:r>
        <w:rPr>
          <w:color w:val="231F20"/>
          <w:sz w:val="20"/>
        </w:rPr>
        <w:t xml:space="preserve">The same parcel of environmental water helped to meet environmental watering actions in the Goulburn </w:t>
      </w:r>
      <w:r>
        <w:rPr>
          <w:color w:val="231F20"/>
          <w:spacing w:val="-3"/>
          <w:sz w:val="20"/>
        </w:rPr>
        <w:t xml:space="preserve">River, </w:t>
      </w:r>
      <w:r>
        <w:rPr>
          <w:color w:val="231F20"/>
          <w:sz w:val="20"/>
        </w:rPr>
        <w:t>Murray River and Lake Kramen. Moreover, the co-ordinated watering actions meant that carbon, nutrients, native plant seeds and native fish eggs and larvae were directly transported from upstream to downstream sites and from the river channel to the floodplain.</w:t>
      </w:r>
    </w:p>
    <w:p w:rsidR="006A7A3F" w:rsidRDefault="00BC7372">
      <w:pPr>
        <w:pStyle w:val="BodyText"/>
        <w:spacing w:before="175" w:line="249" w:lineRule="auto"/>
        <w:ind w:right="242"/>
      </w:pPr>
      <w:r>
        <w:rPr>
          <w:color w:val="231F20"/>
        </w:rPr>
        <w:t>The VEWH holds Victorian environmental entitlements for water recovered under interstate projects and agreements — Living Murray and RMIF entitlements — and these require coordinated decision-making about where they are used. The primary objective of Living Murray entitlements is to support Murray icon sites, which include the Barmah Forest, Gunbower Forest, Hattah Lakes and the Lindsay–Mulcra–Wallpolla islands in Victoria. RMIF also support environmental objectives along the Murray system in Victoria, NSW and SA. Recommendations for the coordinated use of Living Murray allocation and RMIF are made by the Southern Connected Basin Environmental Watering Committee.</w:t>
      </w:r>
    </w:p>
    <w:p w:rsidR="006A7A3F" w:rsidRDefault="00BC7372">
      <w:pPr>
        <w:pStyle w:val="BodyText"/>
        <w:spacing w:before="176" w:line="249" w:lineRule="auto"/>
        <w:ind w:right="100"/>
      </w:pPr>
      <w:r>
        <w:rPr>
          <w:color w:val="231F20"/>
        </w:rPr>
        <w:t>The VEWH partners with the Commonwealth Environmental Water Office to optimise the benefits of water for the environment held by the Commonwealth Environmental Water Holder (CEWH) and delivered in Victoria. Delivery of the Living Murray’s and Commonwealth’s environmental Water Holdings, to meet Victorian environmental watering objectives, is included in relevant system sections in the following pages of this document.</w:t>
      </w:r>
    </w:p>
    <w:p w:rsidR="00205B3F" w:rsidRDefault="00205B3F">
      <w:pPr>
        <w:rPr>
          <w:color w:val="231F20"/>
          <w:sz w:val="20"/>
          <w:szCs w:val="20"/>
        </w:rPr>
      </w:pPr>
      <w:r>
        <w:rPr>
          <w:color w:val="231F20"/>
        </w:rPr>
        <w:br w:type="page"/>
      </w:r>
    </w:p>
    <w:p w:rsidR="006A7A3F" w:rsidRDefault="00BC7372">
      <w:pPr>
        <w:pStyle w:val="BodyText"/>
        <w:spacing w:before="70" w:line="249" w:lineRule="auto"/>
        <w:ind w:right="386"/>
      </w:pPr>
      <w:r>
        <w:rPr>
          <w:color w:val="231F20"/>
        </w:rPr>
        <w:t>Water for the environment delivered through northern Victorian waterways can often be reused to achieve further environmental benefits downstream. If return flows are not reused at Victorian environmental sites, VEWH, Living Murray and CEWH return flows continue to flow across the border to SA where they will be used to provide environmental benefits along the Murray River and in the Coorong, Lower Lakes and Murray Mouth area.</w:t>
      </w:r>
    </w:p>
    <w:p w:rsidR="006A7A3F" w:rsidRDefault="00BC7372">
      <w:pPr>
        <w:pStyle w:val="BodyText"/>
        <w:spacing w:before="174" w:line="249" w:lineRule="auto"/>
        <w:ind w:right="195"/>
      </w:pPr>
      <w:r>
        <w:rPr>
          <w:color w:val="231F20"/>
        </w:rPr>
        <w:t>The VEWH may order, or authorise waterway managers to order, Living Murray and Commonwealth environmental water for environmental outcomes at downstream (non-Victorian) sites. The VEWH may also order water for delivery in the Murray system to non-Victorian sites under river operating rules that help improve environmental outcomes while maintaining the reliability of entitlements for all water users. In previous years, this has included deliveries to the Murray from the lower Darling, orders for delivery from Lake Victoria and orders for delivery to the Murray River.</w:t>
      </w:r>
    </w:p>
    <w:p w:rsidR="006A7A3F" w:rsidRDefault="00BC7372">
      <w:pPr>
        <w:pStyle w:val="Heading3"/>
        <w:spacing w:before="186"/>
        <w:rPr>
          <w:rFonts w:ascii="Helvetica Neue LT Std 75" w:hAnsi="Helvetica Neue LT Std 75"/>
        </w:rPr>
      </w:pPr>
      <w:r>
        <w:rPr>
          <w:rFonts w:ascii="Helvetica Neue LT Std 75" w:hAnsi="Helvetica Neue LT Std 75"/>
          <w:color w:val="231F20"/>
        </w:rPr>
        <w:t>Seasonal outlook 2020–21</w:t>
      </w:r>
    </w:p>
    <w:p w:rsidR="006A7A3F" w:rsidRDefault="00BC7372">
      <w:pPr>
        <w:pStyle w:val="BodyText"/>
        <w:spacing w:before="105" w:line="249" w:lineRule="auto"/>
        <w:ind w:right="100"/>
      </w:pPr>
      <w:r>
        <w:rPr>
          <w:color w:val="231F20"/>
        </w:rPr>
        <w:t>Rainfall across the northern region in 2019–20 was below the long-term average for the third consecutive year, and total annual rainfall in parts of the Mallee was among the lowest on record. Despite the overall dry conditions, there were some wetter months. Rain in July and August 2019 produced small natural flow events in the Ovens River, which flowed into the Murray above Barmah Forest, and in the Loddon River. Rainfall in April and May 2020 caused minor flooding in the Ovens, Kiewa and Broken catchments. Spring and early summer were dry and water for the environment was used to deliver the required water regime in the region’s regulated rivers during these months, particularly spring freshes in the Campaspe, Goulburn, Loddon and Murray rivers.</w:t>
      </w:r>
    </w:p>
    <w:p w:rsidR="006A7A3F" w:rsidRDefault="00BC7372">
      <w:pPr>
        <w:pStyle w:val="BodyText"/>
        <w:spacing w:before="176" w:line="249" w:lineRule="auto"/>
        <w:ind w:right="240"/>
      </w:pPr>
      <w:r>
        <w:rPr>
          <w:color w:val="231F20"/>
        </w:rPr>
        <w:t>Operational demands in the lower Murray through summer resulted in inter-valley transfers (IVTs) being delivered from the Goulburn River, Campaspe River and lower Broken Creek. High IVTs during summer continued to compromise some of the environmental outcomes, particularly in the lower Goulburn River, as they reduce bank vegetation and increase the risk of erosion and bank failure. An interim operating limit on IVTs of up to 50 GL per month was applied by the Minister for Water to minimise the environmental risk to the lower Goulburn River in 2019–20. The intention of the limit was to reduce the effect on bank vegetation and minimise erosion, while still meeting downstream demands. Initial monitoring data indicated that vegetation was again impacted, with the effect on erosion still being assessed. Small, disconnected waterways (such as upper Broken Creek) had little to no flow over summer, except for environmental flows which were used to avoid loss of critical habitat.</w:t>
      </w:r>
    </w:p>
    <w:p w:rsidR="006A7A3F" w:rsidRDefault="00BC7372">
      <w:pPr>
        <w:pStyle w:val="BodyText"/>
        <w:spacing w:before="177" w:line="249" w:lineRule="auto"/>
        <w:ind w:right="204"/>
      </w:pPr>
      <w:r>
        <w:rPr>
          <w:color w:val="231F20"/>
        </w:rPr>
        <w:t>The climate outlook from June to August 2020 indicates average to above-average temperatures and higher-than- median rainfall is likely for northern Victoria. The wetting-up of catchments and inflows into major storages during this time will be important to support early season allocations and water availability in 2020–21. Wetter conditions and higher streamflows may result in unregulated flows throughout winter. Longer-term outlooks have a lower level of confidence, but as at May 2020 climate models were predicting a negative Indian ocean dipole event in winter/ spring 2020, which increases the likelihood of above-average rainfall during this time.</w:t>
      </w:r>
    </w:p>
    <w:p w:rsidR="006A7A3F" w:rsidRDefault="00BC7372" w:rsidP="004107F7">
      <w:pPr>
        <w:pStyle w:val="BodyText"/>
        <w:spacing w:before="175" w:line="249" w:lineRule="auto"/>
        <w:ind w:right="196"/>
      </w:pPr>
      <w:r>
        <w:rPr>
          <w:color w:val="231F20"/>
        </w:rPr>
        <w:t>The allocation outlook for 2020–21 provided by the Northern Victorian Resource Manager (NVRM) on 15 May 2020 indicated low opening allocations are likely across all systems. Carryover of water into 2020–21 will be important to meet early season environmental demands, and possibly most 2020–21 demand if winter/spring is dry to extremely dry. Smaller systems (such as the Campaspe and Broken) are forecast to receive small (if any) increases in allocation during 2020–21 under the extreme dry</w:t>
      </w:r>
      <w:r w:rsidR="00E175D4">
        <w:rPr>
          <w:color w:val="231F20"/>
          <w:position w:val="7"/>
          <w:sz w:val="11"/>
        </w:rPr>
        <w:t xml:space="preserve"> </w:t>
      </w:r>
      <w:r>
        <w:rPr>
          <w:color w:val="231F20"/>
          <w:position w:val="7"/>
          <w:sz w:val="11"/>
        </w:rPr>
        <w:t xml:space="preserve"> </w:t>
      </w:r>
      <w:r>
        <w:rPr>
          <w:color w:val="231F20"/>
        </w:rPr>
        <w:t>and dry scenarios, whereas the Goulburn, Loddon and Murray systems are more likely to get closer to a moderate allocation of around 50 percent high-reliability water shares</w:t>
      </w:r>
      <w:r w:rsidR="004107F7">
        <w:rPr>
          <w:color w:val="231F20"/>
        </w:rPr>
        <w:t xml:space="preserve"> </w:t>
      </w:r>
      <w:r>
        <w:rPr>
          <w:color w:val="231F20"/>
        </w:rPr>
        <w:t>in all but an extreme dry scenario. Under average to wet scenarios, allocations may increase more quickly in the smaller systems in response to increased inflows — a boom-or-bust type of response — when compared to the Goulburn/Loddon and Murray systems, which tend to have more gradual increases as they are larger systems. It may be difficult to commit significant volumes of environmental water to enhance unregulated events in the Goulburn and Murray rivers if these events occur before environmental allocations increase. The NVRM has not provided an outlook for low-reliability entitlements, but for planning purposes the VEWH has assumed allocation against low-reliability entitlements during 2020–21, unless significant rain provides inflows that are more than expected under an average scenario or in line with a wet</w:t>
      </w:r>
      <w:r>
        <w:rPr>
          <w:color w:val="231F20"/>
          <w:spacing w:val="-14"/>
        </w:rPr>
        <w:t xml:space="preserve"> </w:t>
      </w:r>
      <w:r>
        <w:rPr>
          <w:color w:val="231F20"/>
        </w:rPr>
        <w:t>scenario.</w:t>
      </w:r>
    </w:p>
    <w:p w:rsidR="00205B3F" w:rsidRDefault="00205B3F">
      <w:pPr>
        <w:rPr>
          <w:color w:val="231F20"/>
          <w:sz w:val="20"/>
          <w:szCs w:val="20"/>
        </w:rPr>
      </w:pPr>
      <w:r>
        <w:rPr>
          <w:color w:val="231F20"/>
        </w:rPr>
        <w:br w:type="page"/>
      </w:r>
    </w:p>
    <w:p w:rsidR="006A7A3F" w:rsidRDefault="00BC7372" w:rsidP="004107F7">
      <w:pPr>
        <w:pStyle w:val="BodyText"/>
        <w:spacing w:before="177" w:line="249" w:lineRule="auto"/>
        <w:ind w:right="478"/>
      </w:pPr>
      <w:r>
        <w:rPr>
          <w:color w:val="231F20"/>
        </w:rPr>
        <w:t>Under a dry scenario, environmental flows are expected to focus on protecting and maintaining habitat for native plants and animals to avoid decline or loss. Examples include watering wetlands (such as Horseshoe Lagoon on the Goulburn River) to maintain vegetation and provide refuge for waterbirds and to maintain low flow</w:t>
      </w:r>
      <w:r>
        <w:rPr>
          <w:color w:val="231F20"/>
          <w:spacing w:val="-26"/>
        </w:rPr>
        <w:t xml:space="preserve"> </w:t>
      </w:r>
      <w:r>
        <w:rPr>
          <w:color w:val="231F20"/>
        </w:rPr>
        <w:t>in</w:t>
      </w:r>
      <w:r w:rsidR="004107F7">
        <w:t xml:space="preserve"> </w:t>
      </w:r>
      <w:r>
        <w:rPr>
          <w:color w:val="231F20"/>
        </w:rPr>
        <w:t>the Campaspe River and other rivers to protect water-dependent species including native fish and platypus. If conditions and allocations improve, water for the environment may be used to deliver larger events to improve the health of environmental values that have experienced hot, dry conditions over the last two years. Under average to wet scenarios, larger floodplain watering events at icon sites along the Murray are planned, as is the watering of additional wetlands across the region. These larger-scale watering events will increase the quality and quantity of</w:t>
      </w:r>
      <w:r>
        <w:rPr>
          <w:color w:val="231F20"/>
          <w:spacing w:val="-4"/>
        </w:rPr>
        <w:t xml:space="preserve"> </w:t>
      </w:r>
      <w:r>
        <w:rPr>
          <w:color w:val="231F20"/>
        </w:rPr>
        <w:t>wetland</w:t>
      </w:r>
      <w:r>
        <w:rPr>
          <w:color w:val="231F20"/>
          <w:spacing w:val="-4"/>
        </w:rPr>
        <w:t xml:space="preserve"> </w:t>
      </w:r>
      <w:r>
        <w:rPr>
          <w:color w:val="231F20"/>
        </w:rPr>
        <w:t>habitat</w:t>
      </w:r>
      <w:r>
        <w:rPr>
          <w:color w:val="231F20"/>
          <w:spacing w:val="-4"/>
        </w:rPr>
        <w:t xml:space="preserve"> </w:t>
      </w:r>
      <w:r>
        <w:rPr>
          <w:color w:val="231F20"/>
        </w:rPr>
        <w:t>for</w:t>
      </w:r>
      <w:r>
        <w:rPr>
          <w:color w:val="231F20"/>
          <w:spacing w:val="-2"/>
        </w:rPr>
        <w:t xml:space="preserve"> </w:t>
      </w:r>
      <w:r>
        <w:rPr>
          <w:color w:val="231F20"/>
        </w:rPr>
        <w:t>waterbirds,</w:t>
      </w:r>
      <w:r>
        <w:rPr>
          <w:color w:val="231F20"/>
          <w:spacing w:val="-4"/>
        </w:rPr>
        <w:t xml:space="preserve"> </w:t>
      </w:r>
      <w:r>
        <w:rPr>
          <w:color w:val="231F20"/>
        </w:rPr>
        <w:t>frogs</w:t>
      </w:r>
      <w:r>
        <w:rPr>
          <w:color w:val="231F20"/>
          <w:spacing w:val="-3"/>
        </w:rPr>
        <w:t xml:space="preserve"> </w:t>
      </w:r>
      <w:r>
        <w:rPr>
          <w:color w:val="231F20"/>
        </w:rPr>
        <w:t>and</w:t>
      </w:r>
      <w:r>
        <w:rPr>
          <w:color w:val="231F20"/>
          <w:spacing w:val="-4"/>
        </w:rPr>
        <w:t xml:space="preserve"> </w:t>
      </w:r>
      <w:r>
        <w:rPr>
          <w:color w:val="231F20"/>
        </w:rPr>
        <w:t>turtles,</w:t>
      </w:r>
      <w:r>
        <w:rPr>
          <w:color w:val="231F20"/>
          <w:spacing w:val="-2"/>
        </w:rPr>
        <w:t xml:space="preserve"> </w:t>
      </w:r>
      <w:r>
        <w:rPr>
          <w:color w:val="231F20"/>
        </w:rPr>
        <w:t>support</w:t>
      </w:r>
      <w:r>
        <w:rPr>
          <w:color w:val="231F20"/>
          <w:spacing w:val="-3"/>
        </w:rPr>
        <w:t xml:space="preserve"> </w:t>
      </w:r>
      <w:r>
        <w:rPr>
          <w:color w:val="231F20"/>
        </w:rPr>
        <w:t>waterbird</w:t>
      </w:r>
      <w:r>
        <w:rPr>
          <w:color w:val="231F20"/>
          <w:spacing w:val="-4"/>
        </w:rPr>
        <w:t xml:space="preserve"> </w:t>
      </w:r>
      <w:r>
        <w:rPr>
          <w:color w:val="231F20"/>
        </w:rPr>
        <w:t>breeding</w:t>
      </w:r>
      <w:r>
        <w:rPr>
          <w:color w:val="231F20"/>
          <w:spacing w:val="-4"/>
        </w:rPr>
        <w:t xml:space="preserve"> </w:t>
      </w:r>
      <w:r>
        <w:rPr>
          <w:color w:val="231F20"/>
        </w:rPr>
        <w:t>events</w:t>
      </w:r>
      <w:r>
        <w:rPr>
          <w:color w:val="231F20"/>
          <w:spacing w:val="-3"/>
        </w:rPr>
        <w:t xml:space="preserve"> </w:t>
      </w:r>
      <w:r>
        <w:rPr>
          <w:color w:val="231F20"/>
        </w:rPr>
        <w:t>and</w:t>
      </w:r>
      <w:r>
        <w:rPr>
          <w:color w:val="231F20"/>
          <w:spacing w:val="-4"/>
        </w:rPr>
        <w:t xml:space="preserve"> </w:t>
      </w:r>
      <w:r>
        <w:rPr>
          <w:color w:val="231F20"/>
        </w:rPr>
        <w:t>transfer</w:t>
      </w:r>
      <w:r>
        <w:rPr>
          <w:color w:val="231F20"/>
          <w:spacing w:val="-3"/>
        </w:rPr>
        <w:t xml:space="preserve"> </w:t>
      </w:r>
      <w:r>
        <w:rPr>
          <w:color w:val="231F20"/>
        </w:rPr>
        <w:t>carbon</w:t>
      </w:r>
      <w:r>
        <w:rPr>
          <w:color w:val="231F20"/>
          <w:spacing w:val="-3"/>
        </w:rPr>
        <w:t xml:space="preserve"> </w:t>
      </w:r>
      <w:r>
        <w:rPr>
          <w:color w:val="231F20"/>
        </w:rPr>
        <w:t>from</w:t>
      </w:r>
      <w:r>
        <w:rPr>
          <w:color w:val="231F20"/>
          <w:spacing w:val="-2"/>
        </w:rPr>
        <w:t xml:space="preserve"> </w:t>
      </w:r>
      <w:r>
        <w:rPr>
          <w:color w:val="231F20"/>
        </w:rPr>
        <w:t>the</w:t>
      </w:r>
      <w:r w:rsidR="004107F7">
        <w:t xml:space="preserve"> </w:t>
      </w:r>
      <w:r>
        <w:rPr>
          <w:color w:val="231F20"/>
        </w:rPr>
        <w:t>floodplain to the rivers to increase the productivity of food webs and provide food for fish and other aquatic animals. Increased flows in creeks and rivers will aim to increase the abundance of waterbugs, enhance the breeding and</w:t>
      </w:r>
      <w:r w:rsidR="00205B3F">
        <w:t xml:space="preserve"> </w:t>
      </w:r>
      <w:r>
        <w:rPr>
          <w:color w:val="231F20"/>
        </w:rPr>
        <w:t>recruitment of native fish and improve fringing bank vegetation.</w:t>
      </w:r>
    </w:p>
    <w:p w:rsidR="00205B3F" w:rsidRDefault="00205B3F">
      <w:pPr>
        <w:rPr>
          <w:szCs w:val="20"/>
        </w:rPr>
      </w:pPr>
      <w:r>
        <w:rPr>
          <w:szCs w:val="20"/>
        </w:rPr>
        <w:br w:type="page"/>
      </w:r>
    </w:p>
    <w:p w:rsidR="006A7A3F" w:rsidRDefault="00BC7372">
      <w:pPr>
        <w:pStyle w:val="Heading1"/>
        <w:numPr>
          <w:ilvl w:val="1"/>
          <w:numId w:val="577"/>
        </w:numPr>
        <w:tabs>
          <w:tab w:val="left" w:pos="911"/>
        </w:tabs>
      </w:pPr>
      <w:r>
        <w:rPr>
          <w:color w:val="231F20"/>
        </w:rPr>
        <w:t>Victorian Murray</w:t>
      </w:r>
      <w:r>
        <w:rPr>
          <w:color w:val="231F20"/>
          <w:spacing w:val="-2"/>
        </w:rPr>
        <w:t xml:space="preserve"> </w:t>
      </w:r>
      <w:r>
        <w:rPr>
          <w:color w:val="231F20"/>
        </w:rPr>
        <w:t>system</w:t>
      </w:r>
    </w:p>
    <w:p w:rsidR="006A7A3F" w:rsidRDefault="00BC7372">
      <w:pPr>
        <w:spacing w:before="256"/>
        <w:ind w:left="210"/>
        <w:rPr>
          <w:rFonts w:ascii="Helvetica Neue LT Std 75"/>
          <w:b/>
          <w:sz w:val="19"/>
        </w:rPr>
      </w:pPr>
      <w:r>
        <w:rPr>
          <w:rFonts w:ascii="Helvetica Neue LT Std 75"/>
          <w:b/>
          <w:color w:val="231F20"/>
          <w:sz w:val="19"/>
        </w:rPr>
        <w:t>Did you know...?</w:t>
      </w:r>
    </w:p>
    <w:p w:rsidR="006A7A3F" w:rsidRDefault="00BC7372">
      <w:pPr>
        <w:pStyle w:val="BodyText"/>
        <w:spacing w:before="68" w:line="249" w:lineRule="auto"/>
        <w:ind w:right="229"/>
      </w:pPr>
      <w:r>
        <w:rPr>
          <w:color w:val="231F20"/>
        </w:rPr>
        <w:t>Early results indicate huge numbers of native fish have been saved, thanks to Australia’s first irrigation diversion channel screens at Cohuna. No Murray cod larvae were detected drifting into the irrigation channel during the peak larval drift period, which means potentially thousands of Murray cod could remain in the creek system where they can better survive and thrive! Before the screens were installed, up to 160 cod larvae were lost to the channel a day.</w:t>
      </w:r>
    </w:p>
    <w:p w:rsidR="006A7A3F" w:rsidRDefault="00BC7372" w:rsidP="00093C34">
      <w:pPr>
        <w:pStyle w:val="BodyText"/>
        <w:spacing w:before="120" w:after="120"/>
        <w:ind w:left="0"/>
        <w:rPr>
          <w:sz w:val="13"/>
        </w:rPr>
      </w:pPr>
      <w:r>
        <w:rPr>
          <w:noProof/>
        </w:rPr>
        <w:drawing>
          <wp:inline distT="0" distB="0" distL="0" distR="0">
            <wp:extent cx="2959630" cy="1420368"/>
            <wp:effectExtent l="0" t="0" r="0" b="2540"/>
            <wp:docPr id="1569" name="image41.jpeg" descr="Pie chart shows the proportion of water entitlements in the Murray basin held by  private users (52%), water corporations (16%) and environmental water holders (32%)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4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59630" cy="1420368"/>
                    </a:xfrm>
                    <a:prstGeom prst="rect">
                      <a:avLst/>
                    </a:prstGeom>
                  </pic:spPr>
                </pic:pic>
              </a:graphicData>
            </a:graphic>
          </wp:inline>
        </w:drawing>
      </w:r>
    </w:p>
    <w:p w:rsidR="006A7A3F" w:rsidRDefault="006A7A3F">
      <w:pPr>
        <w:pStyle w:val="BodyText"/>
        <w:spacing w:before="8"/>
        <w:ind w:left="0"/>
        <w:rPr>
          <w:sz w:val="31"/>
        </w:rPr>
      </w:pPr>
    </w:p>
    <w:p w:rsidR="006A7A3F" w:rsidRDefault="00BC7372">
      <w:pPr>
        <w:pStyle w:val="Heading7"/>
        <w:spacing w:line="249" w:lineRule="auto"/>
        <w:ind w:right="1189"/>
      </w:pPr>
      <w:r>
        <w:rPr>
          <w:color w:val="231F20"/>
        </w:rPr>
        <w:t>Proportion of water entitlements in the Murray basin held by private users, water corporations or environmental water holders at 30 June 2019.</w:t>
      </w:r>
    </w:p>
    <w:p w:rsidR="006A7A3F" w:rsidRDefault="006A7A3F">
      <w:pPr>
        <w:pStyle w:val="BodyText"/>
        <w:spacing w:before="8"/>
        <w:ind w:left="0"/>
        <w:rPr>
          <w:b/>
          <w:sz w:val="17"/>
        </w:rPr>
      </w:pPr>
    </w:p>
    <w:p w:rsidR="006A7A3F" w:rsidRDefault="00BC7372">
      <w:pPr>
        <w:spacing w:line="276" w:lineRule="auto"/>
        <w:ind w:left="210" w:right="413"/>
      </w:pPr>
      <w:r>
        <w:rPr>
          <w:color w:val="231F20"/>
        </w:rPr>
        <w:t>The Victorian Murray system contains many significant floodplains and wetland systems covering the Goulburn Broken, North Central and Mallee CMA areas. The Barmah Forest, Kerang wetlands and Hattah Lakes are internationally recognised Ramsar-listed sites due to the significance of their wetland types and the abundance and range of waterbird species that use them. Many other wetlands in the system are either nationally or regionally significant.</w:t>
      </w:r>
    </w:p>
    <w:p w:rsidR="006A7A3F" w:rsidRDefault="006A7A3F">
      <w:pPr>
        <w:pStyle w:val="BodyText"/>
        <w:spacing w:before="2"/>
        <w:ind w:left="0"/>
        <w:rPr>
          <w:sz w:val="24"/>
        </w:rPr>
      </w:pPr>
    </w:p>
    <w:p w:rsidR="006A7A3F" w:rsidRDefault="00BC7372">
      <w:pPr>
        <w:spacing w:before="1" w:line="276" w:lineRule="auto"/>
        <w:ind w:left="210" w:right="241"/>
      </w:pPr>
      <w:r>
        <w:rPr>
          <w:color w:val="231F20"/>
          <w:spacing w:val="-3"/>
        </w:rPr>
        <w:t xml:space="preserve">Water </w:t>
      </w:r>
      <w:r>
        <w:rPr>
          <w:color w:val="231F20"/>
        </w:rPr>
        <w:t xml:space="preserve">for the environment can be supplied to the Victorian Murray system from a range of sources. These include entitlements held by the VEWH, which includes those held on behalf of the Living Murray program and the Commonwealth Environmental </w:t>
      </w:r>
      <w:r>
        <w:rPr>
          <w:color w:val="231F20"/>
          <w:spacing w:val="-3"/>
        </w:rPr>
        <w:t xml:space="preserve">Water </w:t>
      </w:r>
      <w:r>
        <w:rPr>
          <w:color w:val="231F20"/>
        </w:rPr>
        <w:t>Holder; reuse of return flows; and in some instances,</w:t>
      </w:r>
      <w:r>
        <w:rPr>
          <w:color w:val="231F20"/>
          <w:spacing w:val="-5"/>
        </w:rPr>
        <w:t xml:space="preserve"> </w:t>
      </w:r>
      <w:r>
        <w:rPr>
          <w:color w:val="231F20"/>
        </w:rPr>
        <w:t>use</w:t>
      </w:r>
      <w:r>
        <w:rPr>
          <w:color w:val="231F20"/>
          <w:spacing w:val="-4"/>
        </w:rPr>
        <w:t xml:space="preserve"> </w:t>
      </w:r>
      <w:r>
        <w:rPr>
          <w:color w:val="231F20"/>
        </w:rPr>
        <w:t>of</w:t>
      </w:r>
      <w:r>
        <w:rPr>
          <w:color w:val="231F20"/>
          <w:spacing w:val="-5"/>
        </w:rPr>
        <w:t xml:space="preserve"> </w:t>
      </w:r>
      <w:r>
        <w:rPr>
          <w:color w:val="231F20"/>
        </w:rPr>
        <w:t>operational</w:t>
      </w:r>
      <w:r>
        <w:rPr>
          <w:color w:val="231F20"/>
          <w:spacing w:val="-4"/>
        </w:rPr>
        <w:t xml:space="preserve"> </w:t>
      </w:r>
      <w:r>
        <w:rPr>
          <w:color w:val="231F20"/>
        </w:rPr>
        <w:t>water</w:t>
      </w:r>
      <w:r>
        <w:rPr>
          <w:color w:val="231F20"/>
          <w:spacing w:val="-4"/>
        </w:rPr>
        <w:t xml:space="preserve"> </w:t>
      </w:r>
      <w:r>
        <w:rPr>
          <w:color w:val="231F20"/>
        </w:rPr>
        <w:t>en</w:t>
      </w:r>
      <w:r>
        <w:rPr>
          <w:color w:val="231F20"/>
          <w:spacing w:val="-5"/>
        </w:rPr>
        <w:t xml:space="preserve"> </w:t>
      </w:r>
      <w:r>
        <w:rPr>
          <w:color w:val="231F20"/>
        </w:rPr>
        <w:t>route.</w:t>
      </w:r>
      <w:r>
        <w:rPr>
          <w:color w:val="231F20"/>
          <w:spacing w:val="-7"/>
        </w:rPr>
        <w:t xml:space="preserve"> </w:t>
      </w:r>
      <w:r>
        <w:rPr>
          <w:color w:val="231F20"/>
        </w:rPr>
        <w:t>The</w:t>
      </w:r>
      <w:r>
        <w:rPr>
          <w:color w:val="231F20"/>
          <w:spacing w:val="-3"/>
        </w:rPr>
        <w:t xml:space="preserve"> </w:t>
      </w:r>
      <w:r>
        <w:rPr>
          <w:color w:val="231F20"/>
        </w:rPr>
        <w:t>source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water</w:t>
      </w:r>
      <w:r>
        <w:rPr>
          <w:color w:val="231F20"/>
          <w:spacing w:val="-4"/>
        </w:rPr>
        <w:t xml:space="preserve"> </w:t>
      </w:r>
      <w:r>
        <w:rPr>
          <w:color w:val="231F20"/>
        </w:rPr>
        <w:t>used</w:t>
      </w:r>
      <w:r>
        <w:rPr>
          <w:color w:val="231F20"/>
          <w:spacing w:val="-4"/>
        </w:rPr>
        <w:t xml:space="preserve"> </w:t>
      </w:r>
      <w:r>
        <w:rPr>
          <w:color w:val="231F20"/>
        </w:rPr>
        <w:t>for</w:t>
      </w:r>
      <w:r>
        <w:rPr>
          <w:color w:val="231F20"/>
          <w:spacing w:val="-4"/>
        </w:rPr>
        <w:t xml:space="preserve"> </w:t>
      </w:r>
      <w:r>
        <w:rPr>
          <w:color w:val="231F20"/>
        </w:rPr>
        <w:t>individual</w:t>
      </w:r>
      <w:r>
        <w:rPr>
          <w:color w:val="231F20"/>
          <w:spacing w:val="-4"/>
        </w:rPr>
        <w:t xml:space="preserve"> </w:t>
      </w:r>
      <w:r>
        <w:rPr>
          <w:color w:val="231F20"/>
        </w:rPr>
        <w:t>watering</w:t>
      </w:r>
      <w:r>
        <w:rPr>
          <w:color w:val="231F20"/>
          <w:spacing w:val="-4"/>
        </w:rPr>
        <w:t xml:space="preserve"> </w:t>
      </w:r>
      <w:r>
        <w:rPr>
          <w:color w:val="231F20"/>
        </w:rPr>
        <w:t xml:space="preserve">actions and the ability to deliver all watering actions will depend on water </w:t>
      </w:r>
      <w:r>
        <w:rPr>
          <w:color w:val="231F20"/>
          <w:spacing w:val="-3"/>
        </w:rPr>
        <w:t xml:space="preserve">availability, </w:t>
      </w:r>
      <w:r>
        <w:rPr>
          <w:color w:val="231F20"/>
        </w:rPr>
        <w:t>water commitments by other environmental water holders and operational requirements. As a result, the following Victorian Murray system sections do not specify the expected availability of water for the</w:t>
      </w:r>
      <w:r>
        <w:rPr>
          <w:color w:val="231F20"/>
          <w:spacing w:val="-21"/>
        </w:rPr>
        <w:t xml:space="preserve"> </w:t>
      </w:r>
      <w:r>
        <w:rPr>
          <w:color w:val="231F20"/>
        </w:rPr>
        <w:t>environment.</w:t>
      </w:r>
    </w:p>
    <w:p w:rsidR="006A7A3F" w:rsidRDefault="006A7A3F">
      <w:pPr>
        <w:pStyle w:val="BodyText"/>
        <w:spacing w:before="8"/>
        <w:ind w:left="0"/>
        <w:rPr>
          <w:sz w:val="24"/>
        </w:rPr>
      </w:pPr>
    </w:p>
    <w:p w:rsidR="006A7A3F" w:rsidRDefault="00BC7372">
      <w:pPr>
        <w:pStyle w:val="ListParagraph"/>
        <w:numPr>
          <w:ilvl w:val="2"/>
          <w:numId w:val="577"/>
        </w:numPr>
        <w:tabs>
          <w:tab w:val="left" w:pos="911"/>
        </w:tabs>
        <w:spacing w:before="0"/>
        <w:ind w:left="910" w:hanging="701"/>
        <w:rPr>
          <w:rFonts w:ascii="HelveticaNeueLTStd-Md"/>
          <w:color w:val="231F20"/>
          <w:sz w:val="28"/>
        </w:rPr>
      </w:pPr>
      <w:r>
        <w:rPr>
          <w:rFonts w:ascii="HelveticaNeueLTStd-Md"/>
          <w:color w:val="231F20"/>
          <w:sz w:val="28"/>
        </w:rPr>
        <w:t>Barmah</w:t>
      </w:r>
      <w:r>
        <w:rPr>
          <w:rFonts w:ascii="HelveticaNeueLTStd-Md"/>
          <w:color w:val="231F20"/>
          <w:spacing w:val="-1"/>
          <w:sz w:val="28"/>
        </w:rPr>
        <w:t xml:space="preserve"> </w:t>
      </w:r>
      <w:r>
        <w:rPr>
          <w:rFonts w:ascii="HelveticaNeueLTStd-Md"/>
          <w:color w:val="231F20"/>
          <w:sz w:val="28"/>
        </w:rPr>
        <w:t>Forest</w:t>
      </w:r>
    </w:p>
    <w:p w:rsidR="006A7A3F" w:rsidRDefault="00BC7372">
      <w:pPr>
        <w:spacing w:before="169"/>
        <w:ind w:left="210"/>
        <w:rPr>
          <w:rFonts w:ascii="Helvetica Neue LT Std 75"/>
          <w:b/>
          <w:sz w:val="19"/>
        </w:rPr>
      </w:pPr>
      <w:r>
        <w:rPr>
          <w:rFonts w:ascii="Helvetica Neue LT Std 75"/>
          <w:b/>
          <w:color w:val="231F20"/>
          <w:sz w:val="19"/>
        </w:rPr>
        <w:t>System overview</w:t>
      </w:r>
    </w:p>
    <w:p w:rsidR="006A7A3F" w:rsidRDefault="00BC7372" w:rsidP="004107F7">
      <w:pPr>
        <w:spacing w:before="99" w:line="276" w:lineRule="auto"/>
        <w:ind w:left="210" w:right="100"/>
      </w:pPr>
      <w:r>
        <w:rPr>
          <w:color w:val="231F20"/>
        </w:rPr>
        <w:t>The Barmah-Millewa Forest covers 66,000 ha and spans the New South Wales (NSW)–Victoria border between Tocumwal, Deniliquin and Echuca (Figure 5.2.1). It is listed under the (Ramsar) Convention</w:t>
      </w:r>
      <w:r w:rsidR="004107F7">
        <w:rPr>
          <w:color w:val="231F20"/>
        </w:rPr>
        <w:t xml:space="preserve"> </w:t>
      </w:r>
      <w:r>
        <w:rPr>
          <w:color w:val="231F20"/>
        </w:rPr>
        <w:t>on Wetlands of International Importance (the Ramsar Convention), the Australian Directory of Important Wetlands and is one of six Living Murray icon sites. The forest’s Victorian components are the Barmah National Park and part of the River Murray Reserve, covering 28,500 ha of forest and wetlands that support a vast range of significant plant and animal species.</w:t>
      </w:r>
    </w:p>
    <w:p w:rsidR="006A7A3F" w:rsidRDefault="006A7A3F">
      <w:pPr>
        <w:pStyle w:val="BodyText"/>
        <w:spacing w:before="5"/>
        <w:ind w:left="0"/>
        <w:rPr>
          <w:sz w:val="21"/>
        </w:rPr>
      </w:pPr>
    </w:p>
    <w:p w:rsidR="006A7A3F" w:rsidRDefault="00BC7372">
      <w:pPr>
        <w:pStyle w:val="BodyText"/>
        <w:spacing w:before="1" w:line="249" w:lineRule="auto"/>
        <w:ind w:right="340"/>
      </w:pPr>
      <w:r>
        <w:rPr>
          <w:color w:val="231F20"/>
        </w:rPr>
        <w:t>The wetlands throughout the forest continue to provide a constant source of nutritional foods and significant fibres for the Yorta Yorta People. It is also evident that the resources in the landscape were utilized to manufacture canoes, shields and carrying devices.</w:t>
      </w:r>
    </w:p>
    <w:p w:rsidR="006A7A3F" w:rsidRDefault="00BC7372">
      <w:pPr>
        <w:pStyle w:val="BodyText"/>
        <w:spacing w:line="249" w:lineRule="auto"/>
        <w:ind w:right="152"/>
      </w:pPr>
      <w:r>
        <w:rPr>
          <w:color w:val="231F20"/>
        </w:rPr>
        <w:t>Flooding in the Barmah-Millewa Forest depends on flows in the Murray River. A natural narrowing of the river (known as the Barmah choke) restricts flow and causes overbank flooding when flows below Yarrawonga Weir exceed the channel’s capacity. This restriction influences both the operation of Yarrawonga Weir and the upper limit of environmental flows that can be delivered to the forests.</w:t>
      </w:r>
    </w:p>
    <w:p w:rsidR="006A7A3F" w:rsidRDefault="00BC7372">
      <w:pPr>
        <w:pStyle w:val="BodyText"/>
        <w:spacing w:before="70" w:line="249" w:lineRule="auto"/>
        <w:ind w:right="444"/>
      </w:pPr>
      <w:r>
        <w:rPr>
          <w:color w:val="231F20"/>
        </w:rPr>
        <w:t xml:space="preserve">Prior to river regulation for water </w:t>
      </w:r>
      <w:r>
        <w:rPr>
          <w:color w:val="231F20"/>
          <w:spacing w:val="-3"/>
        </w:rPr>
        <w:t xml:space="preserve">supply, </w:t>
      </w:r>
      <w:r>
        <w:rPr>
          <w:color w:val="231F20"/>
        </w:rPr>
        <w:t xml:space="preserve">flooding would have regularly occurred with high flows from rainfall in winter and spring – helping to shape a rich and productive forest environment. </w:t>
      </w:r>
      <w:r>
        <w:rPr>
          <w:color w:val="231F20"/>
          <w:spacing w:val="-7"/>
        </w:rPr>
        <w:t xml:space="preserve">Today, </w:t>
      </w:r>
      <w:r>
        <w:rPr>
          <w:color w:val="231F20"/>
        </w:rPr>
        <w:t xml:space="preserve">flooding in the forest is also influenced by system operation for water supply for users downstream in the Murray </w:t>
      </w:r>
      <w:r>
        <w:rPr>
          <w:color w:val="231F20"/>
          <w:spacing w:val="-3"/>
        </w:rPr>
        <w:t xml:space="preserve">River, </w:t>
      </w:r>
      <w:r>
        <w:rPr>
          <w:color w:val="231F20"/>
        </w:rPr>
        <w:t>which can cause damage to the forest and banks of the river depending on the timing and volume of the</w:t>
      </w:r>
      <w:r>
        <w:rPr>
          <w:color w:val="231F20"/>
          <w:spacing w:val="-17"/>
        </w:rPr>
        <w:t xml:space="preserve"> </w:t>
      </w:r>
      <w:r>
        <w:rPr>
          <w:color w:val="231F20"/>
        </w:rPr>
        <w:t>flows.</w:t>
      </w:r>
    </w:p>
    <w:p w:rsidR="006A7A3F" w:rsidRDefault="00BC7372">
      <w:pPr>
        <w:pStyle w:val="BodyText"/>
        <w:spacing w:before="174" w:line="249" w:lineRule="auto"/>
        <w:ind w:right="286"/>
      </w:pPr>
      <w:r>
        <w:rPr>
          <w:color w:val="231F20"/>
        </w:rPr>
        <w:t>The delivery of irrigation water during summer/autumn is managed to minimise unseasonal flooding of the forest. Regulators along the banks of the Murray River that control flow between the river and the forest remain closed during summer and autumn to restrict flow through low-lying flood runners. The delivery of water to Barmah Forest is also limited by a flow constraint below Yarrawonga Weir to minimise impacts to adjacent farming operations in NSW. The current constraint limits releases to a maximum of 18,000 ML per day between July and September (with potentially-affected landholder support) and to 15,000 ML per day for the rest of the year. To overcome this constraint, most environmental flows are shared between Barmah and Millewa forests to deliver water to low-lying wetlands in each forest at least every second year. It is currently not possible to achieve the desired flood depth and duration for floodplain marsh vegetation in both forests at the same time without larger natural flooding.</w:t>
      </w:r>
    </w:p>
    <w:p w:rsidR="006A7A3F" w:rsidRDefault="00BC7372">
      <w:pPr>
        <w:pStyle w:val="BodyText"/>
        <w:spacing w:before="177" w:line="249" w:lineRule="auto"/>
        <w:ind w:right="498"/>
      </w:pPr>
      <w:r>
        <w:rPr>
          <w:color w:val="231F20"/>
          <w:spacing w:val="-3"/>
        </w:rPr>
        <w:t xml:space="preserve">Water </w:t>
      </w:r>
      <w:r>
        <w:rPr>
          <w:color w:val="231F20"/>
        </w:rPr>
        <w:t xml:space="preserve">management at Barmah–Millewa Forest seeks to build on natural flow and the delivery of consumptive and operational water en route to optimise environmental outcomes when possible. As Barmah-Millewa Forest is located towards the upper reaches of the regulated portion of the Murray </w:t>
      </w:r>
      <w:r>
        <w:rPr>
          <w:color w:val="231F20"/>
          <w:spacing w:val="-3"/>
        </w:rPr>
        <w:t xml:space="preserve">River, </w:t>
      </w:r>
      <w:r>
        <w:rPr>
          <w:color w:val="231F20"/>
        </w:rPr>
        <w:t>water for the environment that passes</w:t>
      </w:r>
      <w:r>
        <w:rPr>
          <w:color w:val="231F20"/>
          <w:spacing w:val="-3"/>
        </w:rPr>
        <w:t xml:space="preserve"> </w:t>
      </w:r>
      <w:r>
        <w:rPr>
          <w:color w:val="231F20"/>
        </w:rPr>
        <w:t>through</w:t>
      </w:r>
      <w:r>
        <w:rPr>
          <w:color w:val="231F20"/>
          <w:spacing w:val="-2"/>
        </w:rPr>
        <w:t xml:space="preserve"> </w:t>
      </w:r>
      <w:r>
        <w:rPr>
          <w:color w:val="231F20"/>
        </w:rPr>
        <w:t>the</w:t>
      </w:r>
      <w:r>
        <w:rPr>
          <w:color w:val="231F20"/>
          <w:spacing w:val="-2"/>
        </w:rPr>
        <w:t xml:space="preserve"> </w:t>
      </w:r>
      <w:r>
        <w:rPr>
          <w:color w:val="231F20"/>
        </w:rPr>
        <w:t>forest</w:t>
      </w:r>
      <w:r>
        <w:rPr>
          <w:color w:val="231F20"/>
          <w:spacing w:val="-2"/>
        </w:rPr>
        <w:t xml:space="preserve"> </w:t>
      </w:r>
      <w:r>
        <w:rPr>
          <w:color w:val="231F20"/>
        </w:rPr>
        <w:t>can</w:t>
      </w:r>
      <w:r>
        <w:rPr>
          <w:color w:val="231F20"/>
          <w:spacing w:val="-2"/>
        </w:rPr>
        <w:t xml:space="preserve"> </w:t>
      </w:r>
      <w:r>
        <w:rPr>
          <w:color w:val="231F20"/>
        </w:rPr>
        <w:t>often</w:t>
      </w:r>
      <w:r>
        <w:rPr>
          <w:color w:val="231F20"/>
          <w:spacing w:val="-3"/>
        </w:rPr>
        <w:t xml:space="preserve"> </w:t>
      </w:r>
      <w:r>
        <w:rPr>
          <w:color w:val="231F20"/>
        </w:rPr>
        <w:t>be</w:t>
      </w:r>
      <w:r>
        <w:rPr>
          <w:color w:val="231F20"/>
          <w:spacing w:val="-2"/>
        </w:rPr>
        <w:t xml:space="preserve"> </w:t>
      </w:r>
      <w:r>
        <w:rPr>
          <w:color w:val="231F20"/>
        </w:rPr>
        <w:t>used</w:t>
      </w:r>
      <w:r>
        <w:rPr>
          <w:color w:val="231F20"/>
          <w:spacing w:val="-3"/>
        </w:rPr>
        <w:t xml:space="preserve"> </w:t>
      </w:r>
      <w:r>
        <w:rPr>
          <w:color w:val="231F20"/>
        </w:rPr>
        <w:t>at</w:t>
      </w:r>
      <w:r>
        <w:rPr>
          <w:color w:val="231F20"/>
          <w:spacing w:val="-3"/>
        </w:rPr>
        <w:t xml:space="preserve"> </w:t>
      </w:r>
      <w:r>
        <w:rPr>
          <w:color w:val="231F20"/>
        </w:rPr>
        <w:t>sites</w:t>
      </w:r>
      <w:r>
        <w:rPr>
          <w:color w:val="231F20"/>
          <w:spacing w:val="-2"/>
        </w:rPr>
        <w:t xml:space="preserve"> </w:t>
      </w:r>
      <w:r>
        <w:rPr>
          <w:color w:val="231F20"/>
        </w:rPr>
        <w:t>further</w:t>
      </w:r>
      <w:r>
        <w:rPr>
          <w:color w:val="231F20"/>
          <w:spacing w:val="-2"/>
        </w:rPr>
        <w:t xml:space="preserve"> </w:t>
      </w:r>
      <w:r>
        <w:rPr>
          <w:color w:val="231F20"/>
        </w:rPr>
        <w:t>downstream</w:t>
      </w:r>
      <w:r>
        <w:rPr>
          <w:color w:val="231F20"/>
          <w:spacing w:val="-2"/>
        </w:rPr>
        <w:t xml:space="preserve"> </w:t>
      </w:r>
      <w:r>
        <w:rPr>
          <w:color w:val="231F20"/>
        </w:rPr>
        <w:t>as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multi-site</w:t>
      </w:r>
      <w:r>
        <w:rPr>
          <w:color w:val="231F20"/>
          <w:spacing w:val="-2"/>
        </w:rPr>
        <w:t xml:space="preserve"> </w:t>
      </w:r>
      <w:r>
        <w:rPr>
          <w:color w:val="231F20"/>
        </w:rPr>
        <w:t>watering</w:t>
      </w:r>
      <w:r>
        <w:rPr>
          <w:color w:val="231F20"/>
          <w:spacing w:val="-3"/>
        </w:rPr>
        <w:t xml:space="preserve"> </w:t>
      </w:r>
      <w:r>
        <w:rPr>
          <w:color w:val="231F20"/>
        </w:rPr>
        <w:t>events.</w:t>
      </w:r>
    </w:p>
    <w:p w:rsidR="006A7A3F" w:rsidRDefault="00BC7372">
      <w:pPr>
        <w:spacing w:before="183"/>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7" w:line="249" w:lineRule="auto"/>
        <w:ind w:right="100"/>
      </w:pPr>
      <w:r>
        <w:rPr>
          <w:color w:val="231F20"/>
        </w:rPr>
        <w:t>The Barmah-Millewa Forest is the largest river red gum forest in Australia and the most intact freshwater floodplain system along the Murray River. The forest supports important floodplain vegetation communities including the threatened Moira grass plains and is a significant feeding and breeding site for waterbirds including bitterns, ibis, egrets, spoonbills and night herons. Significant populations of native fish, frogs and turtles also live in the forest’s waterways. Barmah Forest is known to support 74 plant and animal species protected under state and national legislation.</w:t>
      </w:r>
    </w:p>
    <w:p w:rsidR="00205B3F" w:rsidRDefault="00205B3F">
      <w:pPr>
        <w:rPr>
          <w:rFonts w:ascii="Helvetica Neue LT Std 75"/>
          <w:b/>
          <w:color w:val="231F20"/>
          <w:sz w:val="19"/>
        </w:rPr>
      </w:pPr>
      <w:r>
        <w:rPr>
          <w:rFonts w:ascii="Helvetica Neue LT Std 75"/>
          <w:b/>
          <w:color w:val="231F20"/>
          <w:sz w:val="19"/>
        </w:rPr>
        <w:br w:type="page"/>
      </w:r>
    </w:p>
    <w:p w:rsidR="006A7A3F" w:rsidRDefault="00BC7372">
      <w:pPr>
        <w:spacing w:before="184"/>
        <w:ind w:left="210"/>
        <w:rPr>
          <w:rFonts w:ascii="Helvetica Neue LT Std 75"/>
          <w:b/>
          <w:sz w:val="19"/>
        </w:rPr>
      </w:pPr>
      <w:r>
        <w:rPr>
          <w:rFonts w:ascii="Helvetica Neue LT Std 75"/>
          <w:b/>
          <w:color w:val="231F20"/>
          <w:sz w:val="19"/>
        </w:rPr>
        <w:t>Environmental watering objectives in the Barmah Forest</w:t>
      </w:r>
    </w:p>
    <w:p w:rsidR="006A7A3F" w:rsidRDefault="006A7A3F">
      <w:pPr>
        <w:pStyle w:val="BodyText"/>
        <w:spacing w:before="12"/>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571"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ind w:left="0"/>
              <w:rPr>
                <w:rFonts w:ascii="Helvetica Neue LT Std 75"/>
                <w:b/>
                <w:sz w:val="16"/>
              </w:rPr>
            </w:pPr>
          </w:p>
          <w:p w:rsidR="006A7A3F" w:rsidRDefault="00BC7372">
            <w:pPr>
              <w:pStyle w:val="TableParagraph"/>
              <w:spacing w:line="261" w:lineRule="auto"/>
              <w:ind w:left="118" w:right="349"/>
              <w:rPr>
                <w:sz w:val="16"/>
              </w:rPr>
            </w:pPr>
            <w:r>
              <w:rPr>
                <w:color w:val="231F20"/>
                <w:sz w:val="16"/>
              </w:rPr>
              <w:t>Enable carbon and nutrient cycling between the floodplain and river through connectivity</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9" cy="310896"/>
                  <wp:effectExtent l="0" t="0" r="0" b="0"/>
                  <wp:docPr id="1573"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19.jpeg"/>
                          <pic:cNvPicPr/>
                        </pic:nvPicPr>
                        <pic:blipFill>
                          <a:blip r:embed="rId31" cstate="print"/>
                          <a:stretch>
                            <a:fillRect/>
                          </a:stretch>
                        </pic:blipFill>
                        <pic:spPr>
                          <a:xfrm>
                            <a:off x="0" y="0"/>
                            <a:ext cx="314169"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448"/>
              <w:rPr>
                <w:sz w:val="16"/>
              </w:rPr>
            </w:pPr>
            <w:r>
              <w:rPr>
                <w:color w:val="231F20"/>
                <w:sz w:val="16"/>
              </w:rPr>
              <w:t>Maintain or increase habitat for native fish and increase their population</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575"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18"/>
              <w:rPr>
                <w:sz w:val="16"/>
              </w:rPr>
            </w:pPr>
            <w:r>
              <w:rPr>
                <w:color w:val="231F20"/>
                <w:sz w:val="16"/>
              </w:rPr>
              <w:t>Maintain or increase habitat available for frogs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4" cy="310896"/>
                  <wp:effectExtent l="0" t="0" r="0" b="0"/>
                  <wp:docPr id="1577"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26.jpeg"/>
                          <pic:cNvPicPr/>
                        </pic:nvPicPr>
                        <pic:blipFill>
                          <a:blip r:embed="rId38" cstate="print"/>
                          <a:stretch>
                            <a:fillRect/>
                          </a:stretch>
                        </pic:blipFill>
                        <pic:spPr>
                          <a:xfrm>
                            <a:off x="0" y="0"/>
                            <a:ext cx="314174"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368"/>
              <w:rPr>
                <w:sz w:val="16"/>
              </w:rPr>
            </w:pPr>
            <w:r>
              <w:rPr>
                <w:color w:val="231F20"/>
                <w:sz w:val="16"/>
              </w:rPr>
              <w:t>Maintain or increase habitat available for turtles including the broad-shelled turtle</w:t>
            </w:r>
          </w:p>
        </w:tc>
      </w:tr>
      <w:tr w:rsidR="006A7A3F">
        <w:trPr>
          <w:trHeight w:val="155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ind w:left="0"/>
              <w:rPr>
                <w:rFonts w:ascii="Helvetica Neue LT Std 75"/>
                <w:b/>
                <w:sz w:val="18"/>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5"/>
                  <wp:effectExtent l="0" t="0" r="0" b="0"/>
                  <wp:docPr id="157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21.jpeg"/>
                          <pic:cNvPicPr/>
                        </pic:nvPicPr>
                        <pic:blipFill>
                          <a:blip r:embed="rId33" cstate="print"/>
                          <a:stretch>
                            <a:fillRect/>
                          </a:stretch>
                        </pic:blipFill>
                        <pic:spPr>
                          <a:xfrm>
                            <a:off x="0" y="0"/>
                            <a:ext cx="314175"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234"/>
              <w:rPr>
                <w:sz w:val="16"/>
              </w:rPr>
            </w:pPr>
            <w:r>
              <w:rPr>
                <w:color w:val="231F20"/>
                <w:sz w:val="16"/>
              </w:rPr>
              <w:t>Enhance the health of river red gum communities and aquatic vegetation in the wetlands and watercourses and on the floodplain</w:t>
            </w:r>
          </w:p>
          <w:p w:rsidR="006A7A3F" w:rsidRDefault="00BC7372">
            <w:pPr>
              <w:pStyle w:val="TableParagraph"/>
              <w:spacing w:before="112" w:line="261" w:lineRule="auto"/>
              <w:ind w:left="118" w:right="163"/>
              <w:jc w:val="both"/>
              <w:rPr>
                <w:sz w:val="16"/>
              </w:rPr>
            </w:pPr>
            <w:r>
              <w:rPr>
                <w:color w:val="231F20"/>
                <w:sz w:val="16"/>
              </w:rPr>
              <w:t>Promote the growth of floodplain marsh vegetation communities, with a particular focus on increasing the extent of Moira grass</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5"/>
                  <wp:effectExtent l="0" t="0" r="0" b="0"/>
                  <wp:docPr id="1581"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27.jpeg"/>
                          <pic:cNvPicPr/>
                        </pic:nvPicPr>
                        <pic:blipFill>
                          <a:blip r:embed="rId39"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714"/>
              <w:rPr>
                <w:sz w:val="16"/>
              </w:rPr>
            </w:pPr>
            <w:r>
              <w:rPr>
                <w:color w:val="231F20"/>
                <w:sz w:val="16"/>
              </w:rPr>
              <w:t>Provide feeding and nesting habitat for the successful recruitment of colonial nesting waterbirds</w:t>
            </w:r>
          </w:p>
        </w:tc>
      </w:tr>
      <w:tr w:rsidR="006A7A3F">
        <w:trPr>
          <w:trHeight w:val="846"/>
        </w:trPr>
        <w:tc>
          <w:tcPr>
            <w:tcW w:w="789" w:type="dxa"/>
            <w:tcBorders>
              <w:top w:val="single" w:sz="8" w:space="0" w:color="FFFFFF"/>
            </w:tcBorders>
            <w:shd w:val="clear" w:color="auto" w:fill="E6E7E8"/>
          </w:tcPr>
          <w:p w:rsidR="006A7A3F" w:rsidRDefault="006A7A3F">
            <w:pPr>
              <w:pStyle w:val="TableParagraph"/>
              <w:spacing w:before="6"/>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5"/>
                  <wp:effectExtent l="0" t="0" r="0" b="0"/>
                  <wp:docPr id="158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23.png"/>
                          <pic:cNvPicPr/>
                        </pic:nvPicPr>
                        <pic:blipFill>
                          <a:blip r:embed="rId35" cstate="print"/>
                          <a:stretch>
                            <a:fillRect/>
                          </a:stretch>
                        </pic:blipFill>
                        <pic:spPr>
                          <a:xfrm>
                            <a:off x="0" y="0"/>
                            <a:ext cx="314168" cy="310895"/>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26" w:line="261" w:lineRule="auto"/>
              <w:ind w:left="118" w:right="216"/>
              <w:rPr>
                <w:sz w:val="16"/>
              </w:rPr>
            </w:pPr>
            <w:r>
              <w:rPr>
                <w:color w:val="231F20"/>
                <w:sz w:val="16"/>
              </w:rPr>
              <w:t>Provide early-season flushing of the lower floodplain to reduce the risk of low-oxygen events in summer</w:t>
            </w:r>
          </w:p>
        </w:tc>
      </w:tr>
    </w:tbl>
    <w:p w:rsidR="006A7A3F" w:rsidRDefault="00BC7372">
      <w:pPr>
        <w:spacing w:before="151"/>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457"/>
      </w:pPr>
      <w:r>
        <w:rPr>
          <w:color w:val="231F20"/>
        </w:rPr>
        <w:t>“We are the First People of this place. We were here even before the Murray River flowed through Barmah.” — Uncle Des Morgan, Yorta Yorta Elder (Joint Management Plan for Barmah National Park, 2020).</w:t>
      </w:r>
    </w:p>
    <w:p w:rsidR="006A7A3F" w:rsidRDefault="00BC7372" w:rsidP="00205B3F">
      <w:pPr>
        <w:pStyle w:val="BodyText"/>
        <w:spacing w:line="249" w:lineRule="auto"/>
        <w:ind w:right="296"/>
      </w:pPr>
      <w:r>
        <w:rPr>
          <w:color w:val="231F20"/>
        </w:rPr>
        <w:t>Yorta Yorta are joint managers of Barmah National Park under a Traditional Owner Land Management Agreement with the State of Victoria. Goulburn Broken CMA worked with Yorta Yorta Nation Aboriginal Corporation during</w:t>
      </w:r>
      <w:r w:rsidR="00205B3F">
        <w:t xml:space="preserve"> </w:t>
      </w:r>
      <w:r>
        <w:rPr>
          <w:color w:val="231F20"/>
        </w:rPr>
        <w:t>the environmental water planning process to source their feedback about planned watering actions. Yorta Yorta Traditional Owners have been involved in the development of longer-term management plans that have informed these watering actions.</w:t>
      </w:r>
    </w:p>
    <w:p w:rsidR="006A7A3F" w:rsidRDefault="00BC7372">
      <w:pPr>
        <w:pStyle w:val="BodyText"/>
        <w:spacing w:before="173" w:line="249" w:lineRule="auto"/>
        <w:ind w:right="100"/>
      </w:pPr>
      <w:r>
        <w:rPr>
          <w:color w:val="231F20"/>
        </w:rPr>
        <w:t>Examples of Yorta Yorta cultural values and uses in Barmah Forest that are supported through environmental flow delivery include:</w:t>
      </w:r>
    </w:p>
    <w:p w:rsidR="006A7A3F" w:rsidRDefault="00BC7372" w:rsidP="009B6917">
      <w:pPr>
        <w:pStyle w:val="ListParagraph"/>
        <w:numPr>
          <w:ilvl w:val="0"/>
          <w:numId w:val="1419"/>
        </w:numPr>
        <w:tabs>
          <w:tab w:val="left" w:pos="493"/>
          <w:tab w:val="left" w:pos="494"/>
        </w:tabs>
        <w:spacing w:before="115" w:line="249" w:lineRule="auto"/>
        <w:ind w:right="659"/>
        <w:rPr>
          <w:sz w:val="20"/>
        </w:rPr>
      </w:pPr>
      <w:r>
        <w:rPr>
          <w:color w:val="231F20"/>
          <w:sz w:val="20"/>
        </w:rPr>
        <w:t xml:space="preserve">maintaining drought refuges, which protects turtles that are an important totemic species for the </w:t>
      </w:r>
      <w:r>
        <w:rPr>
          <w:color w:val="231F20"/>
          <w:spacing w:val="-5"/>
          <w:sz w:val="20"/>
        </w:rPr>
        <w:t xml:space="preserve">Yorta Yorta </w:t>
      </w:r>
      <w:r>
        <w:rPr>
          <w:color w:val="231F20"/>
          <w:sz w:val="20"/>
        </w:rPr>
        <w:t>community</w:t>
      </w:r>
    </w:p>
    <w:p w:rsidR="006A7A3F" w:rsidRDefault="00BC7372" w:rsidP="009B6917">
      <w:pPr>
        <w:pStyle w:val="ListParagraph"/>
        <w:numPr>
          <w:ilvl w:val="0"/>
          <w:numId w:val="1419"/>
        </w:numPr>
        <w:tabs>
          <w:tab w:val="left" w:pos="493"/>
          <w:tab w:val="left" w:pos="494"/>
        </w:tabs>
        <w:spacing w:before="87" w:line="249" w:lineRule="auto"/>
        <w:ind w:right="539"/>
        <w:rPr>
          <w:sz w:val="20"/>
        </w:rPr>
      </w:pPr>
      <w:r>
        <w:rPr>
          <w:color w:val="231F20"/>
          <w:sz w:val="20"/>
        </w:rPr>
        <w:t>watering to support floodplain marsh vegetation, which includes important food and medicinal plants such as sneezeweed and basket</w:t>
      </w:r>
      <w:r>
        <w:rPr>
          <w:color w:val="231F20"/>
          <w:spacing w:val="-3"/>
          <w:sz w:val="20"/>
        </w:rPr>
        <w:t xml:space="preserve"> </w:t>
      </w:r>
      <w:r>
        <w:rPr>
          <w:color w:val="231F20"/>
          <w:sz w:val="20"/>
        </w:rPr>
        <w:t>sedge</w:t>
      </w:r>
    </w:p>
    <w:p w:rsidR="006A7A3F" w:rsidRDefault="00BC7372" w:rsidP="004107F7">
      <w:pPr>
        <w:pStyle w:val="BodyText"/>
        <w:spacing w:before="171" w:line="249" w:lineRule="auto"/>
        <w:ind w:right="174"/>
      </w:pPr>
      <w:r>
        <w:rPr>
          <w:color w:val="231F20"/>
        </w:rPr>
        <w:t>Yorta Yorta Nation Aboriginal Corporation contribute to Barmah Forest environmental watering planning, monitoring and management through employment as part of the Living Murray Program Indigenous Partnerships Program.</w:t>
      </w:r>
      <w:r w:rsidR="004107F7">
        <w:rPr>
          <w:color w:val="231F20"/>
        </w:rPr>
        <w:t xml:space="preserve"> </w:t>
      </w:r>
      <w:r>
        <w:rPr>
          <w:color w:val="231F20"/>
        </w:rPr>
        <w:t>This contribution is acknowledged in Table 5.2.1 with an icon.</w:t>
      </w:r>
    </w:p>
    <w:p w:rsidR="006A7A3F" w:rsidRDefault="006A7A3F">
      <w:pPr>
        <w:pStyle w:val="BodyText"/>
        <w:spacing w:before="0" w:after="1"/>
        <w:ind w:left="0"/>
        <w:rPr>
          <w:sz w:val="18"/>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61"/>
      </w:tblGrid>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after="1"/>
              <w:ind w:left="0"/>
              <w:rPr>
                <w:sz w:val="15"/>
              </w:rPr>
            </w:pPr>
          </w:p>
          <w:p w:rsidR="006A7A3F" w:rsidRDefault="00BC7372">
            <w:pPr>
              <w:pStyle w:val="TableParagraph"/>
              <w:ind w:left="180"/>
              <w:rPr>
                <w:sz w:val="20"/>
              </w:rPr>
            </w:pPr>
            <w:r>
              <w:rPr>
                <w:noProof/>
                <w:sz w:val="20"/>
              </w:rPr>
              <w:drawing>
                <wp:inline distT="0" distB="0" distL="0" distR="0">
                  <wp:extent cx="313944" cy="313944"/>
                  <wp:effectExtent l="0" t="0" r="0" b="0"/>
                  <wp:docPr id="1585"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43.jpeg"/>
                          <pic:cNvPicPr/>
                        </pic:nvPicPr>
                        <pic:blipFill>
                          <a:blip r:embed="rId55" cstate="print"/>
                          <a:stretch>
                            <a:fillRect/>
                          </a:stretch>
                        </pic:blipFill>
                        <pic:spPr>
                          <a:xfrm>
                            <a:off x="0" y="0"/>
                            <a:ext cx="313944" cy="313944"/>
                          </a:xfrm>
                          <a:prstGeom prst="rect">
                            <a:avLst/>
                          </a:prstGeom>
                        </pic:spPr>
                      </pic:pic>
                    </a:graphicData>
                  </a:graphic>
                </wp:inline>
              </w:drawing>
            </w:r>
          </w:p>
        </w:tc>
        <w:tc>
          <w:tcPr>
            <w:tcW w:w="3861"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63"/>
              <w:rPr>
                <w:sz w:val="16"/>
              </w:rPr>
            </w:pPr>
            <w:r>
              <w:rPr>
                <w:color w:val="231F20"/>
                <w:sz w:val="16"/>
              </w:rPr>
              <w:t>Watering planned and/or delivered in partnership with Traditional Owners to support Aboriginal cultural values and uses</w:t>
            </w:r>
          </w:p>
        </w:tc>
      </w:tr>
    </w:tbl>
    <w:p w:rsidR="00205B3F" w:rsidRDefault="00205B3F">
      <w:pPr>
        <w:spacing w:before="151"/>
        <w:ind w:left="210"/>
        <w:rPr>
          <w:rFonts w:ascii="Helvetica Neue LT Std 75"/>
          <w:b/>
          <w:color w:val="231F20"/>
          <w:sz w:val="19"/>
        </w:rPr>
      </w:pPr>
    </w:p>
    <w:p w:rsidR="00205B3F" w:rsidRDefault="00205B3F">
      <w:pPr>
        <w:rPr>
          <w:rFonts w:ascii="Helvetica Neue LT Std 75"/>
          <w:b/>
          <w:color w:val="231F20"/>
          <w:sz w:val="19"/>
        </w:rPr>
      </w:pPr>
      <w:r>
        <w:rPr>
          <w:rFonts w:ascii="Helvetica Neue LT Std 75"/>
          <w:b/>
          <w:color w:val="231F20"/>
          <w:sz w:val="19"/>
        </w:rPr>
        <w:br w:type="page"/>
      </w:r>
    </w:p>
    <w:p w:rsidR="006A7A3F" w:rsidRDefault="00BC7372">
      <w:pPr>
        <w:spacing w:before="151"/>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8" w:line="249" w:lineRule="auto"/>
        <w:ind w:right="457"/>
      </w:pPr>
      <w:r>
        <w:rPr>
          <w:color w:val="231F20"/>
        </w:rPr>
        <w:t>In planning the potential watering actions in Table 5.2.1, Goulburn Broken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w:t>
      </w:r>
      <w:r>
        <w:rPr>
          <w:color w:val="231F20"/>
          <w:spacing w:val="-3"/>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camping and</w:t>
      </w:r>
      <w:r>
        <w:rPr>
          <w:color w:val="231F20"/>
          <w:spacing w:val="-7"/>
          <w:sz w:val="20"/>
        </w:rPr>
        <w:t xml:space="preserve"> </w:t>
      </w:r>
      <w:r>
        <w:rPr>
          <w:color w:val="231F20"/>
          <w:sz w:val="20"/>
        </w:rPr>
        <w:t>birdwatching)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 providing access for boat</w:t>
      </w:r>
      <w:r>
        <w:rPr>
          <w:color w:val="231F20"/>
          <w:spacing w:val="-10"/>
          <w:sz w:val="20"/>
        </w:rPr>
        <w:t xml:space="preserve"> </w:t>
      </w:r>
      <w:r>
        <w:rPr>
          <w:color w:val="231F20"/>
          <w:sz w:val="20"/>
        </w:rPr>
        <w:t>tours)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apiarists and irrigation</w:t>
      </w:r>
      <w:r>
        <w:rPr>
          <w:color w:val="231F20"/>
          <w:spacing w:val="-9"/>
          <w:sz w:val="20"/>
        </w:rPr>
        <w:t xml:space="preserve"> </w:t>
      </w:r>
      <w:r>
        <w:rPr>
          <w:color w:val="231F20"/>
          <w:sz w:val="20"/>
        </w:rPr>
        <w:t>diverters).</w:t>
      </w:r>
    </w:p>
    <w:p w:rsidR="006A7A3F" w:rsidRDefault="00BC7372">
      <w:pPr>
        <w:spacing w:before="189"/>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297"/>
      </w:pPr>
      <w:r>
        <w:rPr>
          <w:color w:val="231F20"/>
        </w:rPr>
        <w:t>The 2019–20 year was characterised by extremely dry conditions throughout spring, although two small natural flow events originating from the Ovens and Kiewa rivers caused low-level flooding in the forest in mid- and late winter. Carryover in the Murray system from 2018–19 was essential to enable watering early in the year; Victorian Murray allocations increased slowly as a result of the dry conditions during 2019–20.</w:t>
      </w:r>
    </w:p>
    <w:p w:rsidR="006A7A3F" w:rsidRDefault="00BC7372" w:rsidP="004107F7">
      <w:pPr>
        <w:pStyle w:val="BodyText"/>
        <w:spacing w:before="173" w:line="249" w:lineRule="auto"/>
        <w:ind w:right="457"/>
      </w:pPr>
      <w:r>
        <w:rPr>
          <w:color w:val="231F20"/>
        </w:rPr>
        <w:t>Forest regulators were opened in July 2019 to allow a natural connection between the Murray River and the waterways in Barmah Forest. Flow increased above the channel’s capacity in August 2019 as a result of rainfall in upstream catchments. That event was followed by the delivery of the ‘southern spring flow’ — a planned</w:t>
      </w:r>
      <w:r w:rsidR="004107F7">
        <w:rPr>
          <w:color w:val="231F20"/>
        </w:rPr>
        <w:t xml:space="preserve"> </w:t>
      </w:r>
      <w:r>
        <w:rPr>
          <w:color w:val="231F20"/>
        </w:rPr>
        <w:t>environmental flow event for the Murray River between Lake Hume and the sea — which wetted low-lying parts of the Barmah Forest floodplain through September and October 2019. Environmental flows reduced in late October, and forest regulators were closed at the end of October 2019. Most floodplain habitats within the forest dried during summer and autumn. The main exception was a small section of the forest that re-flooded in January 2020 as a result of vandalism to a forest regulator.</w:t>
      </w:r>
    </w:p>
    <w:p w:rsidR="006A7A3F" w:rsidRDefault="00BC7372">
      <w:pPr>
        <w:pStyle w:val="BodyText"/>
        <w:spacing w:before="174" w:line="249" w:lineRule="auto"/>
        <w:ind w:right="194"/>
      </w:pPr>
      <w:r>
        <w:rPr>
          <w:color w:val="231F20"/>
        </w:rPr>
        <w:t>Watering actions for Barmah Forest were mostly delivered as planned in 2019–20. Maintaining winter/spring connection between the river and the forest enabled carbon and nutrient exchange and improved food resources and habitat for fish, frogs, turtles and waterbirds. The low-level flooding supported wetland plant growth, but it ended too soon to stimulate some species to flower, due to insufficient water availability. A potential watering action that aimed to support colonial nesting waterbird breeding was not delivered, because significant natural breeding was not observed. Drying throughout the forest in summer/autumn is important to maintain plant diversity and wetland productivity.</w:t>
      </w:r>
    </w:p>
    <w:p w:rsidR="006A7A3F" w:rsidRDefault="00BC7372" w:rsidP="004107F7">
      <w:pPr>
        <w:pStyle w:val="BodyText"/>
        <w:spacing w:before="176" w:line="249" w:lineRule="auto"/>
        <w:ind w:right="251"/>
      </w:pPr>
      <w:r>
        <w:rPr>
          <w:color w:val="231F20"/>
        </w:rPr>
        <w:t>A prolonged, low-level, spring watering event in 2020–21 is desirable to allow more floodplain vegetation to flower, set seed and recruit. Waterbird breeding in Barmah Forest was at the lowest level in a decade in 2019–20 as a result of dry conditions. Providing flows to support a successful waterbird breeding event will be a priority in 2020–21. If conditions remain very dry, water for the environment will be mainly used to maintain critical drought refuges (such as waterholes in creek beds).</w:t>
      </w:r>
    </w:p>
    <w:p w:rsidR="006A7A3F" w:rsidRDefault="00BC7372">
      <w:pPr>
        <w:spacing w:before="181"/>
        <w:ind w:left="210"/>
        <w:rPr>
          <w:rFonts w:ascii="Helvetica Neue LT Std 75"/>
          <w:b/>
          <w:sz w:val="19"/>
        </w:rPr>
      </w:pPr>
      <w:r>
        <w:rPr>
          <w:rFonts w:ascii="Helvetica Neue LT Std 75"/>
          <w:b/>
          <w:color w:val="231F20"/>
          <w:sz w:val="19"/>
        </w:rPr>
        <w:t>Scope of environmental watering</w:t>
      </w:r>
    </w:p>
    <w:p w:rsidR="00BC534D" w:rsidRDefault="00BC7372">
      <w:pPr>
        <w:pStyle w:val="BodyText"/>
        <w:spacing w:before="68" w:line="249" w:lineRule="auto"/>
        <w:ind w:right="100"/>
        <w:rPr>
          <w:color w:val="231F20"/>
        </w:rPr>
      </w:pPr>
      <w:r>
        <w:rPr>
          <w:color w:val="231F20"/>
        </w:rPr>
        <w:t>Table 5.2.1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BC534D" w:rsidRDefault="00BC534D">
      <w:pPr>
        <w:rPr>
          <w:color w:val="231F20"/>
          <w:sz w:val="20"/>
          <w:szCs w:val="20"/>
        </w:rPr>
      </w:pPr>
      <w:r>
        <w:rPr>
          <w:color w:val="231F20"/>
        </w:rPr>
        <w:br w:type="page"/>
      </w:r>
    </w:p>
    <w:p w:rsidR="006A7A3F" w:rsidRDefault="006A7A3F">
      <w:pPr>
        <w:pStyle w:val="BodyText"/>
        <w:spacing w:before="68" w:line="249" w:lineRule="auto"/>
        <w:ind w:right="100"/>
      </w:pPr>
    </w:p>
    <w:p w:rsidR="006A7A3F" w:rsidRDefault="00BC7372">
      <w:pPr>
        <w:spacing w:before="75"/>
        <w:ind w:left="210"/>
        <w:rPr>
          <w:b/>
          <w:sz w:val="18"/>
        </w:rPr>
      </w:pPr>
      <w:r>
        <w:rPr>
          <w:b/>
          <w:color w:val="231F20"/>
          <w:sz w:val="18"/>
        </w:rPr>
        <w:t>Table 5.2.1 Potential environmental watering actions and objectives for the Barmah Forest</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765"/>
        <w:gridCol w:w="822"/>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87" w:type="dxa"/>
            <w:gridSpan w:val="2"/>
            <w:tcBorders>
              <w:top w:val="nil"/>
              <w:bottom w:val="nil"/>
              <w:right w:val="nil"/>
            </w:tcBorders>
            <w:shd w:val="clear" w:color="auto" w:fill="231F20"/>
          </w:tcPr>
          <w:p w:rsidR="006A7A3F" w:rsidRDefault="00BC7372">
            <w:pPr>
              <w:pStyle w:val="TableParagraph"/>
              <w:spacing w:before="80" w:line="254" w:lineRule="auto"/>
              <w:ind w:left="85" w:right="226"/>
              <w:rPr>
                <w:b/>
                <w:sz w:val="18"/>
              </w:rPr>
            </w:pPr>
            <w:r>
              <w:rPr>
                <w:b/>
                <w:color w:val="FFFFFF"/>
                <w:sz w:val="18"/>
              </w:rPr>
              <w:t>Environmental objectives</w:t>
            </w:r>
          </w:p>
        </w:tc>
      </w:tr>
      <w:tr w:rsidR="006A7A3F">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78"/>
              <w:rPr>
                <w:sz w:val="16"/>
              </w:rPr>
            </w:pPr>
            <w:r>
              <w:rPr>
                <w:color w:val="231F20"/>
                <w:sz w:val="16"/>
              </w:rPr>
              <w:t>Winter/spring low flow to various waterways in Barmah Forest (variable flow rates and duration during July to December)</w:t>
            </w:r>
          </w:p>
          <w:p w:rsidR="006A7A3F" w:rsidRDefault="006A7A3F">
            <w:pPr>
              <w:pStyle w:val="TableParagraph"/>
              <w:spacing w:before="8"/>
              <w:ind w:left="0"/>
              <w:rPr>
                <w:b/>
                <w:sz w:val="9"/>
              </w:rPr>
            </w:pPr>
          </w:p>
          <w:p w:rsidR="006A7A3F" w:rsidRDefault="00BC7372">
            <w:pPr>
              <w:pStyle w:val="TableParagraph"/>
              <w:ind w:left="85"/>
              <w:rPr>
                <w:sz w:val="20"/>
              </w:rPr>
            </w:pPr>
            <w:r>
              <w:rPr>
                <w:noProof/>
                <w:sz w:val="20"/>
              </w:rPr>
              <w:drawing>
                <wp:inline distT="0" distB="0" distL="0" distR="0">
                  <wp:extent cx="313947" cy="313944"/>
                  <wp:effectExtent l="0" t="0" r="0" b="0"/>
                  <wp:docPr id="1587"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43.jpeg"/>
                          <pic:cNvPicPr/>
                        </pic:nvPicPr>
                        <pic:blipFill>
                          <a:blip r:embed="rId55" cstate="print"/>
                          <a:stretch>
                            <a:fillRect/>
                          </a:stretch>
                        </pic:blipFill>
                        <pic:spPr>
                          <a:xfrm>
                            <a:off x="0" y="0"/>
                            <a:ext cx="313947" cy="313944"/>
                          </a:xfrm>
                          <a:prstGeom prst="rect">
                            <a:avLst/>
                          </a:prstGeom>
                        </pic:spPr>
                      </pic:pic>
                    </a:graphicData>
                  </a:graphic>
                </wp:inline>
              </w:drawing>
            </w:r>
          </w:p>
          <w:p w:rsidR="006A7A3F" w:rsidRDefault="006A7A3F">
            <w:pPr>
              <w:pStyle w:val="TableParagraph"/>
              <w:spacing w:before="1"/>
              <w:ind w:left="0"/>
              <w:rPr>
                <w:b/>
                <w:sz w:val="16"/>
              </w:rPr>
            </w:pPr>
          </w:p>
        </w:tc>
        <w:tc>
          <w:tcPr>
            <w:tcW w:w="6236" w:type="dxa"/>
            <w:vMerge w:val="restart"/>
            <w:tcBorders>
              <w:top w:val="nil"/>
              <w:left w:val="single" w:sz="4" w:space="0" w:color="231F20"/>
              <w:bottom w:val="single" w:sz="4" w:space="0" w:color="231F20"/>
              <w:right w:val="single" w:sz="4" w:space="0" w:color="231F20"/>
            </w:tcBorders>
          </w:tcPr>
          <w:p w:rsidR="006A7A3F" w:rsidRDefault="00BC7372">
            <w:pPr>
              <w:pStyle w:val="TableParagraph"/>
              <w:numPr>
                <w:ilvl w:val="0"/>
                <w:numId w:val="466"/>
              </w:numPr>
              <w:tabs>
                <w:tab w:val="left" w:pos="306"/>
              </w:tabs>
              <w:spacing w:before="70" w:line="254" w:lineRule="auto"/>
              <w:ind w:right="356"/>
              <w:rPr>
                <w:sz w:val="18"/>
              </w:rPr>
            </w:pPr>
            <w:r>
              <w:rPr>
                <w:color w:val="231F20"/>
                <w:sz w:val="18"/>
              </w:rPr>
              <w:t>Provide flow in forest waterways to maintain habitat for native fish and turtles</w:t>
            </w:r>
          </w:p>
          <w:p w:rsidR="006A7A3F" w:rsidRDefault="00BC7372">
            <w:pPr>
              <w:pStyle w:val="TableParagraph"/>
              <w:numPr>
                <w:ilvl w:val="0"/>
                <w:numId w:val="466"/>
              </w:numPr>
              <w:tabs>
                <w:tab w:val="left" w:pos="306"/>
              </w:tabs>
              <w:spacing w:before="87" w:line="254" w:lineRule="auto"/>
              <w:ind w:right="146"/>
              <w:rPr>
                <w:sz w:val="18"/>
              </w:rPr>
            </w:pPr>
            <w:r>
              <w:rPr>
                <w:color w:val="231F20"/>
                <w:sz w:val="18"/>
              </w:rPr>
              <w:t>Facilitate the movement of native fish between floodplain waterways</w:t>
            </w:r>
            <w:r>
              <w:rPr>
                <w:color w:val="231F20"/>
                <w:spacing w:val="-26"/>
                <w:sz w:val="18"/>
              </w:rPr>
              <w:t xml:space="preserve"> </w:t>
            </w:r>
            <w:r>
              <w:rPr>
                <w:color w:val="231F20"/>
                <w:sz w:val="18"/>
              </w:rPr>
              <w:t>and the river</w:t>
            </w:r>
          </w:p>
          <w:p w:rsidR="006A7A3F" w:rsidRDefault="00BC7372">
            <w:pPr>
              <w:pStyle w:val="TableParagraph"/>
              <w:numPr>
                <w:ilvl w:val="0"/>
                <w:numId w:val="466"/>
              </w:numPr>
              <w:tabs>
                <w:tab w:val="left" w:pos="306"/>
              </w:tabs>
              <w:spacing w:before="86" w:line="254" w:lineRule="auto"/>
              <w:ind w:right="207"/>
              <w:rPr>
                <w:sz w:val="18"/>
              </w:rPr>
            </w:pPr>
            <w:r>
              <w:rPr>
                <w:color w:val="231F20"/>
                <w:sz w:val="18"/>
              </w:rPr>
              <w:t>Remove accumulated organic matter from waterways to cycle carbon</w:t>
            </w:r>
            <w:r>
              <w:rPr>
                <w:color w:val="231F20"/>
                <w:spacing w:val="-31"/>
                <w:sz w:val="18"/>
              </w:rPr>
              <w:t xml:space="preserve"> </w:t>
            </w:r>
            <w:r>
              <w:rPr>
                <w:color w:val="231F20"/>
                <w:sz w:val="18"/>
              </w:rPr>
              <w:t>to the river system and minimise the risk of hypoxic</w:t>
            </w:r>
            <w:r>
              <w:rPr>
                <w:color w:val="231F20"/>
                <w:spacing w:val="-10"/>
                <w:sz w:val="18"/>
              </w:rPr>
              <w:t xml:space="preserve"> </w:t>
            </w:r>
            <w:r>
              <w:rPr>
                <w:color w:val="231F20"/>
                <w:sz w:val="18"/>
              </w:rPr>
              <w:t>blackwater</w:t>
            </w:r>
          </w:p>
        </w:tc>
        <w:tc>
          <w:tcPr>
            <w:tcW w:w="765" w:type="dxa"/>
            <w:tcBorders>
              <w:top w:val="nil"/>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258" w:right="-44"/>
              <w:rPr>
                <w:sz w:val="20"/>
              </w:rPr>
            </w:pPr>
            <w:r>
              <w:rPr>
                <w:noProof/>
                <w:sz w:val="20"/>
              </w:rPr>
              <w:drawing>
                <wp:inline distT="0" distB="0" distL="0" distR="0">
                  <wp:extent cx="314164" cy="310896"/>
                  <wp:effectExtent l="0" t="0" r="0" b="0"/>
                  <wp:docPr id="1589"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42.jpeg"/>
                          <pic:cNvPicPr/>
                        </pic:nvPicPr>
                        <pic:blipFill>
                          <a:blip r:embed="rId54" cstate="print"/>
                          <a:stretch>
                            <a:fillRect/>
                          </a:stretch>
                        </pic:blipFill>
                        <pic:spPr>
                          <a:xfrm>
                            <a:off x="0" y="0"/>
                            <a:ext cx="314164" cy="310896"/>
                          </a:xfrm>
                          <a:prstGeom prst="rect">
                            <a:avLst/>
                          </a:prstGeom>
                        </pic:spPr>
                      </pic:pic>
                    </a:graphicData>
                  </a:graphic>
                </wp:inline>
              </w:drawing>
            </w:r>
          </w:p>
        </w:tc>
        <w:tc>
          <w:tcPr>
            <w:tcW w:w="822" w:type="dxa"/>
            <w:tcBorders>
              <w:top w:val="nil"/>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76"/>
              <w:rPr>
                <w:sz w:val="20"/>
              </w:rPr>
            </w:pPr>
            <w:r>
              <w:rPr>
                <w:noProof/>
                <w:sz w:val="20"/>
              </w:rPr>
              <w:drawing>
                <wp:inline distT="0" distB="0" distL="0" distR="0">
                  <wp:extent cx="314168" cy="310896"/>
                  <wp:effectExtent l="0" t="0" r="0" b="0"/>
                  <wp:docPr id="1591"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1238"/>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765"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258" w:right="-44"/>
              <w:rPr>
                <w:sz w:val="20"/>
              </w:rPr>
            </w:pPr>
            <w:r>
              <w:rPr>
                <w:noProof/>
                <w:sz w:val="20"/>
              </w:rPr>
              <w:drawing>
                <wp:inline distT="0" distB="0" distL="0" distR="0">
                  <wp:extent cx="314182" cy="310896"/>
                  <wp:effectExtent l="0" t="0" r="0" b="0"/>
                  <wp:docPr id="159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19.jpeg"/>
                          <pic:cNvPicPr/>
                        </pic:nvPicPr>
                        <pic:blipFill>
                          <a:blip r:embed="rId31" cstate="print"/>
                          <a:stretch>
                            <a:fillRect/>
                          </a:stretch>
                        </pic:blipFill>
                        <pic:spPr>
                          <a:xfrm>
                            <a:off x="0" y="0"/>
                            <a:ext cx="314182" cy="310896"/>
                          </a:xfrm>
                          <a:prstGeom prst="rect">
                            <a:avLst/>
                          </a:prstGeom>
                        </pic:spPr>
                      </pic:pic>
                    </a:graphicData>
                  </a:graphic>
                </wp:inline>
              </w:drawing>
            </w:r>
          </w:p>
        </w:tc>
        <w:tc>
          <w:tcPr>
            <w:tcW w:w="822"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76"/>
              <w:rPr>
                <w:sz w:val="20"/>
              </w:rPr>
            </w:pPr>
            <w:r>
              <w:rPr>
                <w:noProof/>
                <w:sz w:val="20"/>
              </w:rPr>
              <w:drawing>
                <wp:inline distT="0" distB="0" distL="0" distR="0">
                  <wp:extent cx="314170" cy="310896"/>
                  <wp:effectExtent l="0" t="0" r="0" b="0"/>
                  <wp:docPr id="1595"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23.png"/>
                          <pic:cNvPicPr/>
                        </pic:nvPicPr>
                        <pic:blipFill>
                          <a:blip r:embed="rId35" cstate="print"/>
                          <a:stretch>
                            <a:fillRect/>
                          </a:stretch>
                        </pic:blipFill>
                        <pic:spPr>
                          <a:xfrm>
                            <a:off x="0" y="0"/>
                            <a:ext cx="314170" cy="310896"/>
                          </a:xfrm>
                          <a:prstGeom prst="rect">
                            <a:avLst/>
                          </a:prstGeom>
                        </pic:spPr>
                      </pic:pic>
                    </a:graphicData>
                  </a:graphic>
                </wp:inline>
              </w:drawing>
            </w:r>
          </w:p>
        </w:tc>
      </w:tr>
      <w:tr w:rsidR="006A7A3F">
        <w:trPr>
          <w:trHeight w:val="2144"/>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76"/>
              <w:rPr>
                <w:sz w:val="16"/>
              </w:rPr>
            </w:pPr>
            <w:r>
              <w:rPr>
                <w:color w:val="231F20"/>
                <w:sz w:val="16"/>
              </w:rPr>
              <w:t>Spring/summer freshes in the Murray River channel (one to three freshes that increase flow by at least 500 ML/day and maintain it for eight days during October to December)</w:t>
            </w:r>
          </w:p>
          <w:p w:rsidR="006A7A3F" w:rsidRDefault="006A7A3F">
            <w:pPr>
              <w:pStyle w:val="TableParagraph"/>
              <w:spacing w:before="7" w:after="1"/>
              <w:ind w:left="0"/>
              <w:rPr>
                <w:b/>
                <w:sz w:val="9"/>
              </w:rPr>
            </w:pPr>
          </w:p>
          <w:p w:rsidR="006A7A3F" w:rsidRDefault="00BC7372">
            <w:pPr>
              <w:pStyle w:val="TableParagraph"/>
              <w:ind w:left="85"/>
              <w:rPr>
                <w:sz w:val="20"/>
              </w:rPr>
            </w:pPr>
            <w:r>
              <w:rPr>
                <w:noProof/>
                <w:sz w:val="20"/>
              </w:rPr>
              <w:drawing>
                <wp:inline distT="0" distB="0" distL="0" distR="0">
                  <wp:extent cx="313950" cy="313944"/>
                  <wp:effectExtent l="0" t="0" r="0" b="0"/>
                  <wp:docPr id="1597"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43.jpeg"/>
                          <pic:cNvPicPr/>
                        </pic:nvPicPr>
                        <pic:blipFill>
                          <a:blip r:embed="rId55" cstate="print"/>
                          <a:stretch>
                            <a:fillRect/>
                          </a:stretch>
                        </pic:blipFill>
                        <pic:spPr>
                          <a:xfrm>
                            <a:off x="0" y="0"/>
                            <a:ext cx="313950" cy="313944"/>
                          </a:xfrm>
                          <a:prstGeom prst="rect">
                            <a:avLst/>
                          </a:prstGeom>
                        </pic:spPr>
                      </pic:pic>
                    </a:graphicData>
                  </a:graphic>
                </wp:inline>
              </w:drawing>
            </w:r>
          </w:p>
          <w:p w:rsidR="006A7A3F" w:rsidRDefault="006A7A3F">
            <w:pPr>
              <w:pStyle w:val="TableParagraph"/>
              <w:spacing w:before="7"/>
              <w:ind w:left="0"/>
              <w:rPr>
                <w:b/>
              </w:rPr>
            </w:pP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65"/>
              </w:numPr>
              <w:tabs>
                <w:tab w:val="left" w:pos="306"/>
              </w:tabs>
              <w:spacing w:before="70"/>
              <w:ind w:hanging="218"/>
              <w:rPr>
                <w:sz w:val="18"/>
              </w:rPr>
            </w:pPr>
            <w:r>
              <w:rPr>
                <w:color w:val="231F20"/>
                <w:sz w:val="18"/>
              </w:rPr>
              <w:t>Trigger spawning of native fish species, primarily golden and silver</w:t>
            </w:r>
            <w:r>
              <w:rPr>
                <w:color w:val="231F20"/>
                <w:spacing w:val="-30"/>
                <w:sz w:val="18"/>
              </w:rPr>
              <w:t xml:space="preserve"> </w:t>
            </w:r>
            <w:r>
              <w:rPr>
                <w:color w:val="231F20"/>
                <w:sz w:val="18"/>
              </w:rPr>
              <w:t>perch</w:t>
            </w:r>
          </w:p>
        </w:tc>
        <w:tc>
          <w:tcPr>
            <w:tcW w:w="1587"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205B3F">
            <w:pPr>
              <w:pStyle w:val="TableParagraph"/>
              <w:ind w:left="42"/>
              <w:rPr>
                <w:sz w:val="20"/>
              </w:rPr>
            </w:pPr>
            <w:r>
              <w:rPr>
                <w:sz w:val="20"/>
              </w:rPr>
              <w:t xml:space="preserve">    </w:t>
            </w:r>
            <w:r w:rsidR="00BC7372">
              <w:rPr>
                <w:noProof/>
                <w:sz w:val="20"/>
              </w:rPr>
              <w:drawing>
                <wp:inline distT="0" distB="0" distL="0" distR="0">
                  <wp:extent cx="314161" cy="310896"/>
                  <wp:effectExtent l="0" t="0" r="0" b="0"/>
                  <wp:docPr id="159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19.jpeg"/>
                          <pic:cNvPicPr/>
                        </pic:nvPicPr>
                        <pic:blipFill>
                          <a:blip r:embed="rId31" cstate="print"/>
                          <a:stretch>
                            <a:fillRect/>
                          </a:stretch>
                        </pic:blipFill>
                        <pic:spPr>
                          <a:xfrm>
                            <a:off x="0" y="0"/>
                            <a:ext cx="314161" cy="310896"/>
                          </a:xfrm>
                          <a:prstGeom prst="rect">
                            <a:avLst/>
                          </a:prstGeom>
                        </pic:spPr>
                      </pic:pic>
                    </a:graphicData>
                  </a:graphic>
                </wp:inline>
              </w:drawing>
            </w:r>
          </w:p>
        </w:tc>
      </w:tr>
      <w:tr w:rsidR="006A7A3F">
        <w:trPr>
          <w:trHeight w:val="1974"/>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22"/>
              <w:rPr>
                <w:sz w:val="16"/>
              </w:rPr>
            </w:pPr>
            <w:r>
              <w:rPr>
                <w:color w:val="231F20"/>
                <w:sz w:val="16"/>
              </w:rPr>
              <w:t>Spring/summer/autumn freshes to Gulf and Boals creeks (100 ML/day for three to five days as required during November to April)</w:t>
            </w:r>
          </w:p>
          <w:p w:rsidR="006A7A3F" w:rsidRDefault="006A7A3F">
            <w:pPr>
              <w:pStyle w:val="TableParagraph"/>
              <w:spacing w:before="8"/>
              <w:ind w:left="0"/>
              <w:rPr>
                <w:b/>
                <w:sz w:val="9"/>
              </w:rPr>
            </w:pPr>
          </w:p>
          <w:p w:rsidR="006A7A3F" w:rsidRDefault="00BC7372">
            <w:pPr>
              <w:pStyle w:val="TableParagraph"/>
              <w:ind w:left="85"/>
              <w:rPr>
                <w:sz w:val="20"/>
              </w:rPr>
            </w:pPr>
            <w:r>
              <w:rPr>
                <w:noProof/>
                <w:sz w:val="20"/>
              </w:rPr>
              <w:drawing>
                <wp:inline distT="0" distB="0" distL="0" distR="0">
                  <wp:extent cx="313944" cy="313944"/>
                  <wp:effectExtent l="0" t="0" r="0" b="0"/>
                  <wp:docPr id="1601"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43.jpeg"/>
                          <pic:cNvPicPr/>
                        </pic:nvPicPr>
                        <pic:blipFill>
                          <a:blip r:embed="rId55" cstate="print"/>
                          <a:stretch>
                            <a:fillRect/>
                          </a:stretch>
                        </pic:blipFill>
                        <pic:spPr>
                          <a:xfrm>
                            <a:off x="0" y="0"/>
                            <a:ext cx="313944" cy="313944"/>
                          </a:xfrm>
                          <a:prstGeom prst="rect">
                            <a:avLst/>
                          </a:prstGeom>
                        </pic:spPr>
                      </pic:pic>
                    </a:graphicData>
                  </a:graphic>
                </wp:inline>
              </w:drawing>
            </w:r>
          </w:p>
          <w:p w:rsidR="006A7A3F" w:rsidRDefault="006A7A3F">
            <w:pPr>
              <w:pStyle w:val="TableParagraph"/>
              <w:spacing w:before="3"/>
              <w:ind w:left="0"/>
              <w:rPr>
                <w:b/>
                <w:sz w:val="25"/>
              </w:rPr>
            </w:pP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64"/>
              </w:numPr>
              <w:tabs>
                <w:tab w:val="left" w:pos="306"/>
              </w:tabs>
              <w:spacing w:before="70" w:line="254" w:lineRule="auto"/>
              <w:ind w:right="87"/>
              <w:rPr>
                <w:sz w:val="18"/>
              </w:rPr>
            </w:pPr>
            <w:r>
              <w:rPr>
                <w:color w:val="231F20"/>
                <w:sz w:val="18"/>
              </w:rPr>
              <w:t>Maintain critical drought-refuge areas in Barmah Forest to provide</w:t>
            </w:r>
            <w:r>
              <w:rPr>
                <w:color w:val="231F20"/>
                <w:spacing w:val="-33"/>
                <w:sz w:val="18"/>
              </w:rPr>
              <w:t xml:space="preserve"> </w:t>
            </w:r>
            <w:r>
              <w:rPr>
                <w:color w:val="231F20"/>
                <w:sz w:val="18"/>
              </w:rPr>
              <w:t>habitat for native fish and</w:t>
            </w:r>
            <w:r>
              <w:rPr>
                <w:color w:val="231F20"/>
                <w:spacing w:val="-3"/>
                <w:sz w:val="18"/>
              </w:rPr>
              <w:t xml:space="preserve"> </w:t>
            </w:r>
            <w:r>
              <w:rPr>
                <w:color w:val="231F20"/>
                <w:sz w:val="18"/>
              </w:rPr>
              <w:t>turtles</w:t>
            </w:r>
          </w:p>
          <w:p w:rsidR="006A7A3F" w:rsidRDefault="00BC7372">
            <w:pPr>
              <w:pStyle w:val="TableParagraph"/>
              <w:numPr>
                <w:ilvl w:val="0"/>
                <w:numId w:val="464"/>
              </w:numPr>
              <w:tabs>
                <w:tab w:val="left" w:pos="306"/>
              </w:tabs>
              <w:spacing w:before="87"/>
              <w:ind w:hanging="218"/>
              <w:rPr>
                <w:sz w:val="18"/>
              </w:rPr>
            </w:pPr>
            <w:r>
              <w:rPr>
                <w:color w:val="231F20"/>
                <w:sz w:val="18"/>
              </w:rPr>
              <w:t>Flush drought-refuge pools to maintain water</w:t>
            </w:r>
            <w:r>
              <w:rPr>
                <w:color w:val="231F20"/>
                <w:spacing w:val="-7"/>
                <w:sz w:val="18"/>
              </w:rPr>
              <w:t xml:space="preserve"> </w:t>
            </w:r>
            <w:r>
              <w:rPr>
                <w:color w:val="231F20"/>
                <w:sz w:val="18"/>
              </w:rPr>
              <w:t>quality</w:t>
            </w:r>
          </w:p>
        </w:tc>
        <w:tc>
          <w:tcPr>
            <w:tcW w:w="1587"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rsidP="00205B3F">
            <w:pPr>
              <w:pStyle w:val="TableParagraph"/>
              <w:ind w:left="42"/>
              <w:jc w:val="center"/>
              <w:rPr>
                <w:sz w:val="20"/>
              </w:rPr>
            </w:pPr>
            <w:r>
              <w:rPr>
                <w:noProof/>
                <w:sz w:val="20"/>
              </w:rPr>
              <w:drawing>
                <wp:inline distT="0" distB="0" distL="0" distR="0">
                  <wp:extent cx="314166" cy="310896"/>
                  <wp:effectExtent l="0" t="0" r="0" b="0"/>
                  <wp:docPr id="160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19.jpeg"/>
                          <pic:cNvPicPr/>
                        </pic:nvPicPr>
                        <pic:blipFill>
                          <a:blip r:embed="rId31" cstate="print"/>
                          <a:stretch>
                            <a:fillRect/>
                          </a:stretch>
                        </pic:blipFill>
                        <pic:spPr>
                          <a:xfrm>
                            <a:off x="0" y="0"/>
                            <a:ext cx="314166" cy="310896"/>
                          </a:xfrm>
                          <a:prstGeom prst="rect">
                            <a:avLst/>
                          </a:prstGeom>
                        </pic:spPr>
                      </pic:pic>
                    </a:graphicData>
                  </a:graphic>
                </wp:inline>
              </w:drawing>
            </w:r>
            <w:r w:rsidR="00BC534D">
              <w:rPr>
                <w:sz w:val="20"/>
              </w:rPr>
              <w:t xml:space="preserve"> </w:t>
            </w:r>
            <w:r>
              <w:rPr>
                <w:noProof/>
                <w:spacing w:val="-8"/>
                <w:sz w:val="20"/>
              </w:rPr>
              <w:drawing>
                <wp:inline distT="0" distB="0" distL="0" distR="0">
                  <wp:extent cx="314168" cy="310896"/>
                  <wp:effectExtent l="0" t="0" r="0" b="0"/>
                  <wp:docPr id="1605"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23.png"/>
                          <pic:cNvPicPr/>
                        </pic:nvPicPr>
                        <pic:blipFill>
                          <a:blip r:embed="rId35" cstate="print"/>
                          <a:stretch>
                            <a:fillRect/>
                          </a:stretch>
                        </pic:blipFill>
                        <pic:spPr>
                          <a:xfrm>
                            <a:off x="0" y="0"/>
                            <a:ext cx="314168" cy="310896"/>
                          </a:xfrm>
                          <a:prstGeom prst="rect">
                            <a:avLst/>
                          </a:prstGeom>
                        </pic:spPr>
                      </pic:pic>
                    </a:graphicData>
                  </a:graphic>
                </wp:inline>
              </w:drawing>
            </w:r>
          </w:p>
          <w:p w:rsidR="006A7A3F" w:rsidRDefault="006A7A3F">
            <w:pPr>
              <w:pStyle w:val="TableParagraph"/>
              <w:spacing w:before="8"/>
              <w:ind w:left="0"/>
              <w:rPr>
                <w:b/>
                <w:sz w:val="10"/>
              </w:rPr>
            </w:pPr>
          </w:p>
          <w:p w:rsidR="006A7A3F" w:rsidRDefault="00205B3F">
            <w:pPr>
              <w:pStyle w:val="TableParagraph"/>
              <w:ind w:left="42"/>
              <w:rPr>
                <w:sz w:val="20"/>
              </w:rPr>
            </w:pPr>
            <w:r>
              <w:rPr>
                <w:sz w:val="20"/>
              </w:rPr>
              <w:t xml:space="preserve">     </w:t>
            </w:r>
            <w:r w:rsidR="00BC7372">
              <w:rPr>
                <w:noProof/>
                <w:sz w:val="20"/>
              </w:rPr>
              <w:drawing>
                <wp:inline distT="0" distB="0" distL="0" distR="0">
                  <wp:extent cx="314161" cy="310896"/>
                  <wp:effectExtent l="0" t="0" r="0" b="0"/>
                  <wp:docPr id="1607"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26.jpeg"/>
                          <pic:cNvPicPr/>
                        </pic:nvPicPr>
                        <pic:blipFill>
                          <a:blip r:embed="rId38" cstate="print"/>
                          <a:stretch>
                            <a:fillRect/>
                          </a:stretch>
                        </pic:blipFill>
                        <pic:spPr>
                          <a:xfrm>
                            <a:off x="0" y="0"/>
                            <a:ext cx="314161" cy="310896"/>
                          </a:xfrm>
                          <a:prstGeom prst="rect">
                            <a:avLst/>
                          </a:prstGeom>
                        </pic:spPr>
                      </pic:pic>
                    </a:graphicData>
                  </a:graphic>
                </wp:inline>
              </w:drawing>
            </w:r>
          </w:p>
        </w:tc>
      </w:tr>
      <w:tr w:rsidR="006A7A3F">
        <w:trPr>
          <w:trHeight w:val="2541"/>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64"/>
              <w:rPr>
                <w:sz w:val="16"/>
              </w:rPr>
            </w:pPr>
            <w:r>
              <w:rPr>
                <w:color w:val="231F20"/>
                <w:sz w:val="16"/>
              </w:rPr>
              <w:t>Spring/summer/autumn low flow to floodplain waterways including Sandspit, Gulf, Big Woodcutter, Boals, Island and Punt Paddock Lagoon</w:t>
            </w:r>
          </w:p>
          <w:p w:rsidR="006A7A3F" w:rsidRDefault="00BC7372">
            <w:pPr>
              <w:pStyle w:val="TableParagraph"/>
              <w:spacing w:line="261" w:lineRule="auto"/>
              <w:ind w:left="85" w:right="140"/>
              <w:rPr>
                <w:sz w:val="16"/>
              </w:rPr>
            </w:pPr>
            <w:r>
              <w:rPr>
                <w:color w:val="231F20"/>
                <w:sz w:val="16"/>
              </w:rPr>
              <w:t>(200 ML/day for 30 to 60 days during November to April)</w:t>
            </w:r>
          </w:p>
          <w:p w:rsidR="006A7A3F" w:rsidRDefault="006A7A3F">
            <w:pPr>
              <w:pStyle w:val="TableParagraph"/>
              <w:spacing w:before="8"/>
              <w:ind w:left="0"/>
              <w:rPr>
                <w:b/>
                <w:sz w:val="4"/>
              </w:rPr>
            </w:pPr>
          </w:p>
          <w:p w:rsidR="006A7A3F" w:rsidRDefault="00BC7372">
            <w:pPr>
              <w:pStyle w:val="TableParagraph"/>
              <w:ind w:left="85"/>
              <w:rPr>
                <w:sz w:val="20"/>
              </w:rPr>
            </w:pPr>
            <w:r>
              <w:rPr>
                <w:noProof/>
                <w:sz w:val="20"/>
              </w:rPr>
              <w:drawing>
                <wp:inline distT="0" distB="0" distL="0" distR="0">
                  <wp:extent cx="313944" cy="313943"/>
                  <wp:effectExtent l="0" t="0" r="0" b="0"/>
                  <wp:docPr id="1609"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43.jpeg"/>
                          <pic:cNvPicPr/>
                        </pic:nvPicPr>
                        <pic:blipFill>
                          <a:blip r:embed="rId55" cstate="print"/>
                          <a:stretch>
                            <a:fillRect/>
                          </a:stretch>
                        </pic:blipFill>
                        <pic:spPr>
                          <a:xfrm>
                            <a:off x="0" y="0"/>
                            <a:ext cx="313944" cy="313943"/>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spacing w:before="8"/>
              <w:ind w:left="0"/>
              <w:rPr>
                <w:b/>
                <w:sz w:val="24"/>
              </w:rPr>
            </w:pP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63"/>
              </w:numPr>
              <w:tabs>
                <w:tab w:val="left" w:pos="306"/>
              </w:tabs>
              <w:spacing w:before="70"/>
              <w:ind w:hanging="218"/>
              <w:rPr>
                <w:sz w:val="18"/>
              </w:rPr>
            </w:pPr>
            <w:r>
              <w:rPr>
                <w:color w:val="231F20"/>
                <w:sz w:val="18"/>
              </w:rPr>
              <w:t>Provide flows to replenish refuge areas and maintain water</w:t>
            </w:r>
            <w:r>
              <w:rPr>
                <w:color w:val="231F20"/>
                <w:spacing w:val="-10"/>
                <w:sz w:val="18"/>
              </w:rPr>
              <w:t xml:space="preserve"> </w:t>
            </w:r>
            <w:r>
              <w:rPr>
                <w:color w:val="231F20"/>
                <w:sz w:val="18"/>
              </w:rPr>
              <w:t>quality</w:t>
            </w:r>
          </w:p>
          <w:p w:rsidR="006A7A3F" w:rsidRDefault="00BC7372">
            <w:pPr>
              <w:pStyle w:val="TableParagraph"/>
              <w:numPr>
                <w:ilvl w:val="0"/>
                <w:numId w:val="463"/>
              </w:numPr>
              <w:tabs>
                <w:tab w:val="left" w:pos="306"/>
              </w:tabs>
              <w:spacing w:before="98" w:line="254" w:lineRule="auto"/>
              <w:ind w:right="396"/>
              <w:rPr>
                <w:sz w:val="18"/>
              </w:rPr>
            </w:pPr>
            <w:r>
              <w:rPr>
                <w:color w:val="231F20"/>
                <w:sz w:val="18"/>
              </w:rPr>
              <w:t>Provide flows to replenish permanent waterways, to maintain fish and turtle</w:t>
            </w:r>
            <w:r>
              <w:rPr>
                <w:color w:val="231F20"/>
                <w:spacing w:val="-1"/>
                <w:sz w:val="18"/>
              </w:rPr>
              <w:t xml:space="preserve"> </w:t>
            </w:r>
            <w:r>
              <w:rPr>
                <w:color w:val="231F20"/>
                <w:sz w:val="18"/>
              </w:rPr>
              <w:t>populations</w:t>
            </w:r>
          </w:p>
          <w:p w:rsidR="006A7A3F" w:rsidRDefault="00BC7372">
            <w:pPr>
              <w:pStyle w:val="TableParagraph"/>
              <w:numPr>
                <w:ilvl w:val="0"/>
                <w:numId w:val="463"/>
              </w:numPr>
              <w:tabs>
                <w:tab w:val="left" w:pos="306"/>
              </w:tabs>
              <w:spacing w:before="87"/>
              <w:ind w:hanging="218"/>
              <w:rPr>
                <w:sz w:val="18"/>
              </w:rPr>
            </w:pPr>
            <w:r>
              <w:rPr>
                <w:color w:val="231F20"/>
                <w:sz w:val="18"/>
              </w:rPr>
              <w:t>Maintain connectivity to the river</w:t>
            </w:r>
          </w:p>
          <w:p w:rsidR="006A7A3F" w:rsidRDefault="00BC7372">
            <w:pPr>
              <w:pStyle w:val="TableParagraph"/>
              <w:numPr>
                <w:ilvl w:val="0"/>
                <w:numId w:val="463"/>
              </w:numPr>
              <w:tabs>
                <w:tab w:val="left" w:pos="306"/>
              </w:tabs>
              <w:spacing w:before="98" w:line="254" w:lineRule="auto"/>
              <w:ind w:right="356"/>
              <w:rPr>
                <w:sz w:val="18"/>
              </w:rPr>
            </w:pPr>
            <w:r>
              <w:rPr>
                <w:color w:val="231F20"/>
                <w:sz w:val="18"/>
              </w:rPr>
              <w:t>Remove accumulated organic matter, cycle carbon to the river</w:t>
            </w:r>
            <w:r>
              <w:rPr>
                <w:color w:val="231F20"/>
                <w:spacing w:val="-33"/>
                <w:sz w:val="18"/>
              </w:rPr>
              <w:t xml:space="preserve"> </w:t>
            </w:r>
            <w:r>
              <w:rPr>
                <w:color w:val="231F20"/>
                <w:sz w:val="18"/>
              </w:rPr>
              <w:t>system and minimise the risk of hypoxic</w:t>
            </w:r>
            <w:r>
              <w:rPr>
                <w:color w:val="231F20"/>
                <w:spacing w:val="-6"/>
                <w:sz w:val="18"/>
              </w:rPr>
              <w:t xml:space="preserve"> </w:t>
            </w:r>
            <w:r>
              <w:rPr>
                <w:color w:val="231F20"/>
                <w:sz w:val="18"/>
              </w:rPr>
              <w:t>blackwater</w:t>
            </w:r>
          </w:p>
        </w:tc>
        <w:tc>
          <w:tcPr>
            <w:tcW w:w="1587"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rsidP="00205B3F">
            <w:pPr>
              <w:pStyle w:val="TableParagraph"/>
              <w:ind w:left="42"/>
              <w:jc w:val="center"/>
              <w:rPr>
                <w:sz w:val="20"/>
              </w:rPr>
            </w:pPr>
            <w:r>
              <w:rPr>
                <w:noProof/>
                <w:sz w:val="20"/>
              </w:rPr>
              <w:drawing>
                <wp:inline distT="0" distB="0" distL="0" distR="0">
                  <wp:extent cx="314168" cy="310896"/>
                  <wp:effectExtent l="0" t="0" r="0" b="0"/>
                  <wp:docPr id="1611"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42.jpeg"/>
                          <pic:cNvPicPr/>
                        </pic:nvPicPr>
                        <pic:blipFill>
                          <a:blip r:embed="rId54" cstate="print"/>
                          <a:stretch>
                            <a:fillRect/>
                          </a:stretch>
                        </pic:blipFill>
                        <pic:spPr>
                          <a:xfrm>
                            <a:off x="0" y="0"/>
                            <a:ext cx="314168" cy="310896"/>
                          </a:xfrm>
                          <a:prstGeom prst="rect">
                            <a:avLst/>
                          </a:prstGeom>
                        </pic:spPr>
                      </pic:pic>
                    </a:graphicData>
                  </a:graphic>
                </wp:inline>
              </w:drawing>
            </w:r>
            <w:r w:rsidR="00BC534D">
              <w:rPr>
                <w:sz w:val="20"/>
              </w:rPr>
              <w:t xml:space="preserve"> </w:t>
            </w:r>
            <w:r>
              <w:rPr>
                <w:noProof/>
                <w:spacing w:val="-8"/>
                <w:sz w:val="20"/>
              </w:rPr>
              <w:drawing>
                <wp:inline distT="0" distB="0" distL="0" distR="0">
                  <wp:extent cx="314165" cy="310896"/>
                  <wp:effectExtent l="0" t="0" r="0" b="0"/>
                  <wp:docPr id="161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26.jpeg"/>
                          <pic:cNvPicPr/>
                        </pic:nvPicPr>
                        <pic:blipFill>
                          <a:blip r:embed="rId38" cstate="print"/>
                          <a:stretch>
                            <a:fillRect/>
                          </a:stretch>
                        </pic:blipFill>
                        <pic:spPr>
                          <a:xfrm>
                            <a:off x="0" y="0"/>
                            <a:ext cx="314165" cy="310896"/>
                          </a:xfrm>
                          <a:prstGeom prst="rect">
                            <a:avLst/>
                          </a:prstGeom>
                        </pic:spPr>
                      </pic:pic>
                    </a:graphicData>
                  </a:graphic>
                </wp:inline>
              </w:drawing>
            </w:r>
          </w:p>
          <w:p w:rsidR="006A7A3F" w:rsidRDefault="006A7A3F">
            <w:pPr>
              <w:pStyle w:val="TableParagraph"/>
              <w:spacing w:before="8"/>
              <w:ind w:left="0"/>
              <w:rPr>
                <w:b/>
                <w:sz w:val="10"/>
              </w:rPr>
            </w:pPr>
          </w:p>
          <w:p w:rsidR="006A7A3F" w:rsidRDefault="00BC7372" w:rsidP="00205B3F">
            <w:pPr>
              <w:pStyle w:val="TableParagraph"/>
              <w:ind w:left="42"/>
              <w:jc w:val="center"/>
              <w:rPr>
                <w:sz w:val="20"/>
              </w:rPr>
            </w:pPr>
            <w:r>
              <w:rPr>
                <w:noProof/>
                <w:sz w:val="20"/>
              </w:rPr>
              <w:drawing>
                <wp:inline distT="0" distB="0" distL="0" distR="0">
                  <wp:extent cx="314170" cy="310896"/>
                  <wp:effectExtent l="0" t="0" r="0" b="0"/>
                  <wp:docPr id="161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19.jpeg"/>
                          <pic:cNvPicPr/>
                        </pic:nvPicPr>
                        <pic:blipFill>
                          <a:blip r:embed="rId31" cstate="print"/>
                          <a:stretch>
                            <a:fillRect/>
                          </a:stretch>
                        </pic:blipFill>
                        <pic:spPr>
                          <a:xfrm>
                            <a:off x="0" y="0"/>
                            <a:ext cx="314170" cy="310896"/>
                          </a:xfrm>
                          <a:prstGeom prst="rect">
                            <a:avLst/>
                          </a:prstGeom>
                        </pic:spPr>
                      </pic:pic>
                    </a:graphicData>
                  </a:graphic>
                </wp:inline>
              </w:drawing>
            </w:r>
            <w:r w:rsidR="00BC534D">
              <w:rPr>
                <w:sz w:val="20"/>
              </w:rPr>
              <w:t xml:space="preserve"> </w:t>
            </w:r>
            <w:r>
              <w:rPr>
                <w:noProof/>
                <w:spacing w:val="-8"/>
                <w:sz w:val="20"/>
              </w:rPr>
              <w:drawing>
                <wp:inline distT="0" distB="0" distL="0" distR="0">
                  <wp:extent cx="314170" cy="310896"/>
                  <wp:effectExtent l="0" t="0" r="0" b="0"/>
                  <wp:docPr id="161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23.png"/>
                          <pic:cNvPicPr/>
                        </pic:nvPicPr>
                        <pic:blipFill>
                          <a:blip r:embed="rId35" cstate="print"/>
                          <a:stretch>
                            <a:fillRect/>
                          </a:stretch>
                        </pic:blipFill>
                        <pic:spPr>
                          <a:xfrm>
                            <a:off x="0" y="0"/>
                            <a:ext cx="314170" cy="310896"/>
                          </a:xfrm>
                          <a:prstGeom prst="rect">
                            <a:avLst/>
                          </a:prstGeom>
                        </pic:spPr>
                      </pic:pic>
                    </a:graphicData>
                  </a:graphic>
                </wp:inline>
              </w:drawing>
            </w:r>
          </w:p>
        </w:tc>
      </w:tr>
      <w:tr w:rsidR="006A7A3F">
        <w:trPr>
          <w:trHeight w:val="2144"/>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Pr>
                <w:sz w:val="16"/>
              </w:rPr>
            </w:pPr>
            <w:r>
              <w:rPr>
                <w:color w:val="231F20"/>
                <w:sz w:val="16"/>
              </w:rPr>
              <w:t>Fill or top up Boals Deadwood, Harbours Lake, Reedy Lagoon and Top Island wetlands (200– 400 ML/day for four and a half months during September to February)</w:t>
            </w:r>
          </w:p>
          <w:p w:rsidR="006A7A3F" w:rsidRDefault="006A7A3F">
            <w:pPr>
              <w:pStyle w:val="TableParagraph"/>
              <w:spacing w:before="8"/>
              <w:ind w:left="0"/>
              <w:rPr>
                <w:b/>
                <w:sz w:val="4"/>
              </w:rPr>
            </w:pPr>
          </w:p>
          <w:p w:rsidR="006A7A3F" w:rsidRDefault="00BC7372">
            <w:pPr>
              <w:pStyle w:val="TableParagraph"/>
              <w:ind w:left="85"/>
              <w:rPr>
                <w:sz w:val="20"/>
              </w:rPr>
            </w:pPr>
            <w:r>
              <w:rPr>
                <w:noProof/>
                <w:sz w:val="20"/>
              </w:rPr>
              <w:drawing>
                <wp:inline distT="0" distB="0" distL="0" distR="0">
                  <wp:extent cx="313944" cy="313944"/>
                  <wp:effectExtent l="0" t="0" r="0" b="0"/>
                  <wp:docPr id="1619"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43.jpeg"/>
                          <pic:cNvPicPr/>
                        </pic:nvPicPr>
                        <pic:blipFill>
                          <a:blip r:embed="rId55" cstate="print"/>
                          <a:stretch>
                            <a:fillRect/>
                          </a:stretch>
                        </pic:blipFill>
                        <pic:spPr>
                          <a:xfrm>
                            <a:off x="0" y="0"/>
                            <a:ext cx="313944" cy="313944"/>
                          </a:xfrm>
                          <a:prstGeom prst="rect">
                            <a:avLst/>
                          </a:prstGeom>
                        </pic:spPr>
                      </pic:pic>
                    </a:graphicData>
                  </a:graphic>
                </wp:inline>
              </w:drawing>
            </w:r>
          </w:p>
          <w:p w:rsidR="006A7A3F" w:rsidRDefault="006A7A3F">
            <w:pPr>
              <w:pStyle w:val="TableParagraph"/>
              <w:spacing w:before="7"/>
              <w:ind w:left="0"/>
              <w:rPr>
                <w:b/>
                <w:sz w:val="27"/>
              </w:rPr>
            </w:pP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62"/>
              </w:numPr>
              <w:tabs>
                <w:tab w:val="left" w:pos="306"/>
              </w:tabs>
              <w:spacing w:before="70"/>
              <w:ind w:hanging="218"/>
              <w:rPr>
                <w:sz w:val="18"/>
              </w:rPr>
            </w:pPr>
            <w:r>
              <w:rPr>
                <w:color w:val="231F20"/>
                <w:sz w:val="18"/>
              </w:rPr>
              <w:t>Provide a cue to initiate and/or maintain waterbird</w:t>
            </w:r>
            <w:r>
              <w:rPr>
                <w:color w:val="231F20"/>
                <w:spacing w:val="-11"/>
                <w:sz w:val="18"/>
              </w:rPr>
              <w:t xml:space="preserve"> </w:t>
            </w:r>
            <w:r>
              <w:rPr>
                <w:color w:val="231F20"/>
                <w:sz w:val="18"/>
              </w:rPr>
              <w:t>breeding</w:t>
            </w:r>
          </w:p>
          <w:p w:rsidR="006A7A3F" w:rsidRDefault="00BC7372">
            <w:pPr>
              <w:pStyle w:val="TableParagraph"/>
              <w:numPr>
                <w:ilvl w:val="0"/>
                <w:numId w:val="462"/>
              </w:numPr>
              <w:tabs>
                <w:tab w:val="left" w:pos="306"/>
              </w:tabs>
              <w:spacing w:before="98"/>
              <w:ind w:hanging="218"/>
              <w:rPr>
                <w:sz w:val="18"/>
              </w:rPr>
            </w:pPr>
            <w:r>
              <w:rPr>
                <w:color w:val="231F20"/>
                <w:sz w:val="18"/>
              </w:rPr>
              <w:t>Maintain wetting duration and depth for growth of wetland</w:t>
            </w:r>
            <w:r>
              <w:rPr>
                <w:color w:val="231F20"/>
                <w:spacing w:val="-22"/>
                <w:sz w:val="18"/>
              </w:rPr>
              <w:t xml:space="preserve"> </w:t>
            </w:r>
            <w:r>
              <w:rPr>
                <w:color w:val="231F20"/>
                <w:sz w:val="18"/>
              </w:rPr>
              <w:t>vegetation</w:t>
            </w:r>
          </w:p>
        </w:tc>
        <w:tc>
          <w:tcPr>
            <w:tcW w:w="1587" w:type="dxa"/>
            <w:gridSpan w:val="2"/>
            <w:tcBorders>
              <w:top w:val="single" w:sz="4" w:space="0" w:color="231F20"/>
              <w:left w:val="single" w:sz="4" w:space="0" w:color="231F20"/>
              <w:bottom w:val="single" w:sz="4" w:space="0" w:color="231F20"/>
              <w:right w:val="single" w:sz="4" w:space="0" w:color="231F20"/>
            </w:tcBorders>
          </w:tcPr>
          <w:p w:rsidR="006A7A3F" w:rsidRDefault="006A7A3F" w:rsidP="00205B3F">
            <w:pPr>
              <w:pStyle w:val="TableParagraph"/>
              <w:spacing w:before="4" w:after="1"/>
              <w:ind w:left="0"/>
              <w:jc w:val="center"/>
              <w:rPr>
                <w:b/>
                <w:sz w:val="9"/>
              </w:rPr>
            </w:pPr>
          </w:p>
          <w:p w:rsidR="006A7A3F" w:rsidRDefault="00BC7372" w:rsidP="00205B3F">
            <w:pPr>
              <w:pStyle w:val="TableParagraph"/>
              <w:ind w:left="42"/>
              <w:jc w:val="center"/>
              <w:rPr>
                <w:sz w:val="20"/>
              </w:rPr>
            </w:pPr>
            <w:r>
              <w:rPr>
                <w:noProof/>
                <w:sz w:val="20"/>
              </w:rPr>
              <w:drawing>
                <wp:inline distT="0" distB="0" distL="0" distR="0">
                  <wp:extent cx="314169" cy="310896"/>
                  <wp:effectExtent l="0" t="0" r="0" b="0"/>
                  <wp:docPr id="162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21.jpeg"/>
                          <pic:cNvPicPr/>
                        </pic:nvPicPr>
                        <pic:blipFill>
                          <a:blip r:embed="rId33" cstate="print"/>
                          <a:stretch>
                            <a:fillRect/>
                          </a:stretch>
                        </pic:blipFill>
                        <pic:spPr>
                          <a:xfrm>
                            <a:off x="0" y="0"/>
                            <a:ext cx="314169" cy="310896"/>
                          </a:xfrm>
                          <a:prstGeom prst="rect">
                            <a:avLst/>
                          </a:prstGeom>
                        </pic:spPr>
                      </pic:pic>
                    </a:graphicData>
                  </a:graphic>
                </wp:inline>
              </w:drawing>
            </w:r>
            <w:r w:rsidR="00BC534D">
              <w:rPr>
                <w:sz w:val="20"/>
              </w:rPr>
              <w:t xml:space="preserve"> </w:t>
            </w:r>
            <w:r>
              <w:rPr>
                <w:noProof/>
                <w:spacing w:val="-8"/>
                <w:sz w:val="20"/>
              </w:rPr>
              <w:drawing>
                <wp:inline distT="0" distB="0" distL="0" distR="0">
                  <wp:extent cx="314171" cy="310896"/>
                  <wp:effectExtent l="0" t="0" r="0" b="0"/>
                  <wp:docPr id="162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27.jpeg"/>
                          <pic:cNvPicPr/>
                        </pic:nvPicPr>
                        <pic:blipFill>
                          <a:blip r:embed="rId39" cstate="print"/>
                          <a:stretch>
                            <a:fillRect/>
                          </a:stretch>
                        </pic:blipFill>
                        <pic:spPr>
                          <a:xfrm>
                            <a:off x="0" y="0"/>
                            <a:ext cx="314171" cy="310896"/>
                          </a:xfrm>
                          <a:prstGeom prst="rect">
                            <a:avLst/>
                          </a:prstGeom>
                        </pic:spPr>
                      </pic:pic>
                    </a:graphicData>
                  </a:graphic>
                </wp:inline>
              </w:drawing>
            </w:r>
          </w:p>
        </w:tc>
      </w:tr>
      <w:tr w:rsidR="006A7A3F">
        <w:trPr>
          <w:trHeight w:val="1974"/>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87"/>
              <w:rPr>
                <w:sz w:val="16"/>
              </w:rPr>
            </w:pPr>
            <w:r>
              <w:rPr>
                <w:color w:val="231F20"/>
                <w:sz w:val="16"/>
              </w:rPr>
              <w:t>Spring wetting of floodplain marshes (variable flow rates of 9,500–18,000 ML/day below Yarrawonga Weir for three months during September to December)</w:t>
            </w:r>
          </w:p>
          <w:p w:rsidR="006A7A3F" w:rsidRDefault="006A7A3F">
            <w:pPr>
              <w:pStyle w:val="TableParagraph"/>
              <w:spacing w:before="8"/>
              <w:ind w:left="0"/>
              <w:rPr>
                <w:b/>
                <w:sz w:val="4"/>
              </w:rPr>
            </w:pPr>
          </w:p>
          <w:p w:rsidR="006A7A3F" w:rsidRDefault="00BC7372">
            <w:pPr>
              <w:pStyle w:val="TableParagraph"/>
              <w:ind w:left="85"/>
              <w:rPr>
                <w:sz w:val="20"/>
              </w:rPr>
            </w:pPr>
            <w:r>
              <w:rPr>
                <w:noProof/>
                <w:sz w:val="20"/>
              </w:rPr>
              <w:drawing>
                <wp:inline distT="0" distB="0" distL="0" distR="0">
                  <wp:extent cx="313951" cy="313944"/>
                  <wp:effectExtent l="0" t="0" r="0" b="0"/>
                  <wp:docPr id="1625"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43.jpeg"/>
                          <pic:cNvPicPr/>
                        </pic:nvPicPr>
                        <pic:blipFill>
                          <a:blip r:embed="rId55" cstate="print"/>
                          <a:stretch>
                            <a:fillRect/>
                          </a:stretch>
                        </pic:blipFill>
                        <pic:spPr>
                          <a:xfrm>
                            <a:off x="0" y="0"/>
                            <a:ext cx="313951" cy="313944"/>
                          </a:xfrm>
                          <a:prstGeom prst="rect">
                            <a:avLst/>
                          </a:prstGeom>
                        </pic:spPr>
                      </pic:pic>
                    </a:graphicData>
                  </a:graphic>
                </wp:inline>
              </w:drawing>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61"/>
              </w:numPr>
              <w:tabs>
                <w:tab w:val="left" w:pos="306"/>
              </w:tabs>
              <w:spacing w:before="70" w:line="254" w:lineRule="auto"/>
              <w:ind w:right="339"/>
              <w:rPr>
                <w:sz w:val="18"/>
              </w:rPr>
            </w:pPr>
            <w:r>
              <w:rPr>
                <w:color w:val="231F20"/>
                <w:sz w:val="18"/>
              </w:rPr>
              <w:t>Wet open plains for sufficient duration to allow the growth of</w:t>
            </w:r>
            <w:r>
              <w:rPr>
                <w:color w:val="231F20"/>
                <w:spacing w:val="-36"/>
                <w:sz w:val="18"/>
              </w:rPr>
              <w:t xml:space="preserve"> </w:t>
            </w:r>
            <w:r>
              <w:rPr>
                <w:color w:val="231F20"/>
                <w:sz w:val="18"/>
              </w:rPr>
              <w:t>floodplain marsh vegetation</w:t>
            </w:r>
          </w:p>
          <w:p w:rsidR="006A7A3F" w:rsidRDefault="00BC7372">
            <w:pPr>
              <w:pStyle w:val="TableParagraph"/>
              <w:numPr>
                <w:ilvl w:val="0"/>
                <w:numId w:val="461"/>
              </w:numPr>
              <w:tabs>
                <w:tab w:val="left" w:pos="306"/>
              </w:tabs>
              <w:spacing w:before="87" w:line="254" w:lineRule="auto"/>
              <w:ind w:right="186"/>
              <w:rPr>
                <w:sz w:val="18"/>
              </w:rPr>
            </w:pPr>
            <w:r>
              <w:rPr>
                <w:color w:val="231F20"/>
                <w:sz w:val="18"/>
              </w:rPr>
              <w:t>Provide water to forest wetlands and low-lying floodplain areas to</w:t>
            </w:r>
            <w:r>
              <w:rPr>
                <w:color w:val="231F20"/>
                <w:spacing w:val="-29"/>
                <w:sz w:val="18"/>
              </w:rPr>
              <w:t xml:space="preserve"> </w:t>
            </w:r>
            <w:r>
              <w:rPr>
                <w:color w:val="231F20"/>
                <w:sz w:val="18"/>
              </w:rPr>
              <w:t>create foraging opportunities for waterbirds and increase available habitat for turtles, frogs and small-bodied native</w:t>
            </w:r>
            <w:r>
              <w:rPr>
                <w:color w:val="231F20"/>
                <w:spacing w:val="-3"/>
                <w:sz w:val="18"/>
              </w:rPr>
              <w:t xml:space="preserve"> </w:t>
            </w:r>
            <w:r>
              <w:rPr>
                <w:color w:val="231F20"/>
                <w:sz w:val="18"/>
              </w:rPr>
              <w:t>fish</w:t>
            </w:r>
          </w:p>
        </w:tc>
        <w:tc>
          <w:tcPr>
            <w:tcW w:w="765"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201"/>
              <w:rPr>
                <w:sz w:val="20"/>
              </w:rPr>
            </w:pPr>
            <w:r>
              <w:rPr>
                <w:noProof/>
                <w:sz w:val="20"/>
              </w:rPr>
              <w:drawing>
                <wp:inline distT="0" distB="0" distL="0" distR="0">
                  <wp:extent cx="314168" cy="310895"/>
                  <wp:effectExtent l="0" t="0" r="0" b="0"/>
                  <wp:docPr id="162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9.jpeg"/>
                          <pic:cNvPicPr/>
                        </pic:nvPicPr>
                        <pic:blipFill>
                          <a:blip r:embed="rId31" cstate="print"/>
                          <a:stretch>
                            <a:fillRect/>
                          </a:stretch>
                        </pic:blipFill>
                        <pic:spPr>
                          <a:xfrm>
                            <a:off x="0" y="0"/>
                            <a:ext cx="314168" cy="310895"/>
                          </a:xfrm>
                          <a:prstGeom prst="rect">
                            <a:avLst/>
                          </a:prstGeom>
                        </pic:spPr>
                      </pic:pic>
                    </a:graphicData>
                  </a:graphic>
                </wp:inline>
              </w:drawing>
            </w:r>
          </w:p>
          <w:p w:rsidR="006A7A3F" w:rsidRDefault="006A7A3F">
            <w:pPr>
              <w:pStyle w:val="TableParagraph"/>
              <w:spacing w:before="9"/>
              <w:ind w:left="0"/>
              <w:rPr>
                <w:b/>
                <w:sz w:val="5"/>
              </w:rPr>
            </w:pPr>
          </w:p>
          <w:p w:rsidR="006A7A3F" w:rsidRDefault="00BC7372">
            <w:pPr>
              <w:pStyle w:val="TableParagraph"/>
              <w:ind w:left="201"/>
              <w:rPr>
                <w:sz w:val="20"/>
              </w:rPr>
            </w:pPr>
            <w:r>
              <w:rPr>
                <w:noProof/>
                <w:sz w:val="20"/>
              </w:rPr>
              <w:drawing>
                <wp:inline distT="0" distB="0" distL="0" distR="0">
                  <wp:extent cx="314168" cy="310895"/>
                  <wp:effectExtent l="0" t="0" r="0" b="0"/>
                  <wp:docPr id="1629"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26.jpeg"/>
                          <pic:cNvPicPr/>
                        </pic:nvPicPr>
                        <pic:blipFill>
                          <a:blip r:embed="rId38" cstate="print"/>
                          <a:stretch>
                            <a:fillRect/>
                          </a:stretch>
                        </pic:blipFill>
                        <pic:spPr>
                          <a:xfrm>
                            <a:off x="0" y="0"/>
                            <a:ext cx="314168" cy="310895"/>
                          </a:xfrm>
                          <a:prstGeom prst="rect">
                            <a:avLst/>
                          </a:prstGeom>
                        </pic:spPr>
                      </pic:pic>
                    </a:graphicData>
                  </a:graphic>
                </wp:inline>
              </w:drawing>
            </w:r>
          </w:p>
          <w:p w:rsidR="006A7A3F" w:rsidRDefault="006A7A3F">
            <w:pPr>
              <w:pStyle w:val="TableParagraph"/>
              <w:spacing w:before="9"/>
              <w:ind w:left="0"/>
              <w:rPr>
                <w:b/>
                <w:sz w:val="5"/>
              </w:rPr>
            </w:pPr>
          </w:p>
          <w:p w:rsidR="006A7A3F" w:rsidRDefault="00BC7372">
            <w:pPr>
              <w:pStyle w:val="TableParagraph"/>
              <w:ind w:left="201"/>
              <w:rPr>
                <w:sz w:val="20"/>
              </w:rPr>
            </w:pPr>
            <w:r>
              <w:rPr>
                <w:noProof/>
                <w:sz w:val="20"/>
              </w:rPr>
              <w:drawing>
                <wp:inline distT="0" distB="0" distL="0" distR="0">
                  <wp:extent cx="314170" cy="310895"/>
                  <wp:effectExtent l="0" t="0" r="0" b="0"/>
                  <wp:docPr id="163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27.jpeg"/>
                          <pic:cNvPicPr/>
                        </pic:nvPicPr>
                        <pic:blipFill>
                          <a:blip r:embed="rId39" cstate="print"/>
                          <a:stretch>
                            <a:fillRect/>
                          </a:stretch>
                        </pic:blipFill>
                        <pic:spPr>
                          <a:xfrm>
                            <a:off x="0" y="0"/>
                            <a:ext cx="314170" cy="310895"/>
                          </a:xfrm>
                          <a:prstGeom prst="rect">
                            <a:avLst/>
                          </a:prstGeom>
                        </pic:spPr>
                      </pic:pic>
                    </a:graphicData>
                  </a:graphic>
                </wp:inline>
              </w:drawing>
            </w:r>
          </w:p>
        </w:tc>
        <w:tc>
          <w:tcPr>
            <w:tcW w:w="822"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19"/>
              <w:rPr>
                <w:sz w:val="20"/>
              </w:rPr>
            </w:pPr>
            <w:r>
              <w:rPr>
                <w:noProof/>
                <w:sz w:val="20"/>
              </w:rPr>
              <w:drawing>
                <wp:inline distT="0" distB="0" distL="0" distR="0">
                  <wp:extent cx="314168" cy="310895"/>
                  <wp:effectExtent l="0" t="0" r="0" b="0"/>
                  <wp:docPr id="163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25.jpeg"/>
                          <pic:cNvPicPr/>
                        </pic:nvPicPr>
                        <pic:blipFill>
                          <a:blip r:embed="rId37" cstate="print"/>
                          <a:stretch>
                            <a:fillRect/>
                          </a:stretch>
                        </pic:blipFill>
                        <pic:spPr>
                          <a:xfrm>
                            <a:off x="0" y="0"/>
                            <a:ext cx="314168" cy="310895"/>
                          </a:xfrm>
                          <a:prstGeom prst="rect">
                            <a:avLst/>
                          </a:prstGeom>
                        </pic:spPr>
                      </pic:pic>
                    </a:graphicData>
                  </a:graphic>
                </wp:inline>
              </w:drawing>
            </w:r>
          </w:p>
          <w:p w:rsidR="006A7A3F" w:rsidRDefault="006A7A3F">
            <w:pPr>
              <w:pStyle w:val="TableParagraph"/>
              <w:spacing w:before="9"/>
              <w:ind w:left="0"/>
              <w:rPr>
                <w:b/>
                <w:sz w:val="5"/>
              </w:rPr>
            </w:pPr>
          </w:p>
          <w:p w:rsidR="006A7A3F" w:rsidRDefault="00BC7372">
            <w:pPr>
              <w:pStyle w:val="TableParagraph"/>
              <w:ind w:left="19"/>
              <w:rPr>
                <w:sz w:val="20"/>
              </w:rPr>
            </w:pPr>
            <w:r>
              <w:rPr>
                <w:noProof/>
                <w:sz w:val="20"/>
              </w:rPr>
              <w:drawing>
                <wp:inline distT="0" distB="0" distL="0" distR="0">
                  <wp:extent cx="314168" cy="310895"/>
                  <wp:effectExtent l="0" t="0" r="0" b="0"/>
                  <wp:docPr id="163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1587"/>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87" w:type="dxa"/>
            <w:tcBorders>
              <w:top w:val="nil"/>
              <w:bottom w:val="nil"/>
              <w:right w:val="nil"/>
            </w:tcBorders>
            <w:shd w:val="clear" w:color="auto" w:fill="231F20"/>
          </w:tcPr>
          <w:p w:rsidR="006A7A3F" w:rsidRDefault="00BC7372">
            <w:pPr>
              <w:pStyle w:val="TableParagraph"/>
              <w:spacing w:before="73" w:line="254" w:lineRule="auto"/>
              <w:ind w:left="85" w:right="226"/>
              <w:rPr>
                <w:b/>
                <w:sz w:val="18"/>
              </w:rPr>
            </w:pPr>
            <w:r>
              <w:rPr>
                <w:b/>
                <w:color w:val="FFFFFF"/>
                <w:sz w:val="18"/>
              </w:rPr>
              <w:t>Environmental objectives</w:t>
            </w:r>
          </w:p>
        </w:tc>
      </w:tr>
      <w:tr w:rsidR="006A7A3F">
        <w:trPr>
          <w:trHeight w:val="1747"/>
        </w:trPr>
        <w:tc>
          <w:tcPr>
            <w:tcW w:w="2381" w:type="dxa"/>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93"/>
              <w:rPr>
                <w:sz w:val="16"/>
              </w:rPr>
            </w:pPr>
            <w:r>
              <w:rPr>
                <w:color w:val="231F20"/>
                <w:sz w:val="16"/>
              </w:rPr>
              <w:t>Autumn/winter low flow in the Murray River (1,800–4,000 ML/day downstream of Yarrawonga during May to June)</w:t>
            </w:r>
          </w:p>
          <w:p w:rsidR="006A7A3F" w:rsidRDefault="006A7A3F">
            <w:pPr>
              <w:pStyle w:val="TableParagraph"/>
              <w:spacing w:before="8"/>
              <w:ind w:left="0"/>
              <w:rPr>
                <w:b/>
                <w:sz w:val="4"/>
              </w:rPr>
            </w:pPr>
          </w:p>
          <w:p w:rsidR="006A7A3F" w:rsidRDefault="00BC7372">
            <w:pPr>
              <w:pStyle w:val="TableParagraph"/>
              <w:ind w:left="85"/>
              <w:rPr>
                <w:sz w:val="20"/>
              </w:rPr>
            </w:pPr>
            <w:r>
              <w:rPr>
                <w:noProof/>
                <w:sz w:val="20"/>
              </w:rPr>
              <w:drawing>
                <wp:inline distT="0" distB="0" distL="0" distR="0">
                  <wp:extent cx="313944" cy="313944"/>
                  <wp:effectExtent l="0" t="0" r="0" b="0"/>
                  <wp:docPr id="1637"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43.jpeg"/>
                          <pic:cNvPicPr/>
                        </pic:nvPicPr>
                        <pic:blipFill>
                          <a:blip r:embed="rId55" cstate="print"/>
                          <a:stretch>
                            <a:fillRect/>
                          </a:stretch>
                        </pic:blipFill>
                        <pic:spPr>
                          <a:xfrm>
                            <a:off x="0" y="0"/>
                            <a:ext cx="313944" cy="313944"/>
                          </a:xfrm>
                          <a:prstGeom prst="rect">
                            <a:avLst/>
                          </a:prstGeom>
                        </pic:spPr>
                      </pic:pic>
                    </a:graphicData>
                  </a:graphic>
                </wp:inline>
              </w:drawing>
            </w:r>
          </w:p>
        </w:tc>
        <w:tc>
          <w:tcPr>
            <w:tcW w:w="6236"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460"/>
              </w:numPr>
              <w:tabs>
                <w:tab w:val="left" w:pos="306"/>
              </w:tabs>
              <w:spacing w:before="63" w:line="254" w:lineRule="auto"/>
              <w:ind w:right="556"/>
              <w:rPr>
                <w:sz w:val="18"/>
              </w:rPr>
            </w:pPr>
            <w:r>
              <w:rPr>
                <w:color w:val="231F20"/>
                <w:sz w:val="18"/>
              </w:rPr>
              <w:t>Increase water depth in the Murray River channel to provide habitat for large-bodied native fish in the Murray River and unregulated anabranches in Barmah–Millewa</w:t>
            </w:r>
            <w:r>
              <w:rPr>
                <w:color w:val="231F20"/>
                <w:spacing w:val="-3"/>
                <w:sz w:val="18"/>
              </w:rPr>
              <w:t xml:space="preserve"> </w:t>
            </w:r>
            <w:r>
              <w:rPr>
                <w:color w:val="231F20"/>
                <w:sz w:val="18"/>
              </w:rPr>
              <w:t>Forest</w:t>
            </w:r>
          </w:p>
        </w:tc>
        <w:tc>
          <w:tcPr>
            <w:tcW w:w="1587" w:type="dxa"/>
            <w:tcBorders>
              <w:top w:val="nil"/>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201"/>
              <w:rPr>
                <w:sz w:val="20"/>
              </w:rPr>
            </w:pPr>
            <w:r>
              <w:rPr>
                <w:noProof/>
                <w:sz w:val="20"/>
              </w:rPr>
              <w:drawing>
                <wp:inline distT="0" distB="0" distL="0" distR="0">
                  <wp:extent cx="314168" cy="310896"/>
                  <wp:effectExtent l="0" t="0" r="0" b="0"/>
                  <wp:docPr id="163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r>
    </w:tbl>
    <w:p w:rsidR="006A7A3F" w:rsidRDefault="006A7A3F">
      <w:pPr>
        <w:pStyle w:val="BodyText"/>
        <w:spacing w:before="1"/>
        <w:ind w:left="0"/>
        <w:rPr>
          <w:b/>
          <w:sz w:val="7"/>
        </w:rPr>
      </w:pPr>
    </w:p>
    <w:p w:rsidR="006A7A3F" w:rsidRDefault="00BC7372">
      <w:pPr>
        <w:spacing w:before="62"/>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5.2.2 outlines the potential environmental watering and expected water use under a range of planning scenarios.</w:t>
      </w:r>
    </w:p>
    <w:p w:rsidR="006A7A3F" w:rsidRDefault="00BC7372">
      <w:pPr>
        <w:pStyle w:val="BodyText"/>
        <w:spacing w:line="249" w:lineRule="auto"/>
        <w:ind w:right="233"/>
        <w:jc w:val="both"/>
      </w:pPr>
      <w:r>
        <w:rPr>
          <w:color w:val="231F20"/>
        </w:rPr>
        <w:t>The ecological objectives at Barmah-Millewa Forest require sustained flows in the Murray River that peak in spring. Flow control structures are used to direct water from the Murray River channel into the forest and facilitate the later return of most of that water back to the river for use further downstream.</w:t>
      </w:r>
    </w:p>
    <w:p w:rsidR="006A7A3F" w:rsidRDefault="00BC7372">
      <w:pPr>
        <w:pStyle w:val="BodyText"/>
        <w:spacing w:line="249" w:lineRule="auto"/>
        <w:ind w:right="317"/>
      </w:pPr>
      <w:r>
        <w:rPr>
          <w:color w:val="231F20"/>
        </w:rPr>
        <w:t>Demands for water for the environment in Barmah Forest vary significantly in response to natural conditions. Variable winter/spring low flow and spring/summer freshes are required under all scenarios. The variable winter/ spring low flow is required to maintain habitat and movement opportunities for aquatic animals (such as native fish) and is achieved by keeping the regulating structures open and allowing water to move in and out of the forest in response to normal flow changes in the Murray River. The spring/summer freshes are achieved by providing changes in the flow rate in the Murray River below Yarrawonga Weir.</w:t>
      </w:r>
    </w:p>
    <w:p w:rsidR="006A7A3F" w:rsidRDefault="00BC7372">
      <w:pPr>
        <w:pStyle w:val="BodyText"/>
        <w:spacing w:before="175" w:line="249" w:lineRule="auto"/>
        <w:ind w:right="204"/>
      </w:pPr>
      <w:r>
        <w:rPr>
          <w:color w:val="231F20"/>
        </w:rPr>
        <w:t>Under drought and dry conditions, potential environmental watering actions will primarily aim to maintain water levels and water quality in refuge habitats to sustain fish and turtle populations. Actions to achieve these objectives require relatively small volumes of water to be directed into the forest. These actions are unlikely to return much water to the Murray River for downstream use.</w:t>
      </w:r>
    </w:p>
    <w:p w:rsidR="006A7A3F" w:rsidRDefault="00BC7372">
      <w:pPr>
        <w:pStyle w:val="BodyText"/>
        <w:spacing w:before="174" w:line="249" w:lineRule="auto"/>
        <w:ind w:right="252"/>
      </w:pPr>
      <w:r>
        <w:rPr>
          <w:color w:val="231F20"/>
        </w:rPr>
        <w:t>Under the average or wet scenarios, the focus shifts to building resilience in the system by increasing the ecological response to natural flood events. Specific actions under the average or wet scenarios may include extending the duration of natural flooding to increase the germination of wetland plants (such as Moira grass) in floodplain marshes or extending watering in river red gum forests to maintain the health of the trees. These actions require large volumes of water to be directed into the forest, with environmental water provided as a directed release from Hume Reservoir and managed via forest regulators. Most of the water used for these actions is eventually returned to the Murray River through the natural shedding action of the floodplain. Targeted wetland watering may occur under various scenarios to support the breeding of colonial nesting waterbirds and other flood- dependent birds via the diversion of water through specific regulators.</w:t>
      </w:r>
    </w:p>
    <w:p w:rsidR="00BC534D" w:rsidRDefault="00BC7372" w:rsidP="004107F7">
      <w:pPr>
        <w:pStyle w:val="BodyText"/>
        <w:spacing w:before="177" w:line="249" w:lineRule="auto"/>
        <w:ind w:right="457"/>
        <w:rPr>
          <w:color w:val="231F20"/>
        </w:rPr>
      </w:pPr>
      <w:r>
        <w:rPr>
          <w:color w:val="231F20"/>
        </w:rPr>
        <w:t>Spring wetting of floodplain marshes is not considered a high priority in 2020–21 under the dry and drought scenarios, but it would provide environmental benefit and may be delivered under certain circumstances. For example, if above-channel-capacity operational transfers from Hume Reservoir are delivered through Barmah Forest, then the watering action could be achieved by delivering a relatively small volume of environmental flow on top of or following the operational delivery. A multi-site environmental watering objective supporting whole-of-River-Murray and/or downstream environmental objectives during winter and spring may also deliver flows through Barmah Forest, and these could be supplemented to optimise environmental outcomes in Barmah Forest. The volume of water for the environment required to achieve the floodplain marsh flow objectives under the dry or drought scenarios depends on demands for operational water or environmental multi-site events, and it is therefore not estimated in Table 5.2.2 below.</w:t>
      </w:r>
    </w:p>
    <w:p w:rsidR="00BC534D" w:rsidRDefault="00BC534D">
      <w:pPr>
        <w:rPr>
          <w:color w:val="231F20"/>
          <w:sz w:val="20"/>
          <w:szCs w:val="20"/>
        </w:rPr>
      </w:pPr>
      <w:r>
        <w:rPr>
          <w:color w:val="231F20"/>
        </w:rPr>
        <w:br w:type="page"/>
      </w:r>
    </w:p>
    <w:p w:rsidR="006A7A3F" w:rsidRDefault="00BC7372">
      <w:pPr>
        <w:spacing w:before="169"/>
        <w:ind w:left="210"/>
        <w:jc w:val="both"/>
        <w:rPr>
          <w:b/>
          <w:sz w:val="18"/>
        </w:rPr>
      </w:pPr>
      <w:r>
        <w:rPr>
          <w:b/>
          <w:color w:val="231F20"/>
          <w:sz w:val="18"/>
        </w:rPr>
        <w:t>Table 5.2.2 Potential environmental watering for the Barmah Forest under a range of planning scenarios</w:t>
      </w:r>
    </w:p>
    <w:p w:rsidR="006A7A3F" w:rsidRDefault="006A7A3F">
      <w:pPr>
        <w:pStyle w:val="BodyText"/>
        <w:spacing w:before="0"/>
        <w:ind w:left="0"/>
        <w:rPr>
          <w:b/>
          <w:sz w:val="9"/>
        </w:rPr>
      </w:pPr>
    </w:p>
    <w:tbl>
      <w:tblPr>
        <w:tblW w:w="10205" w:type="dxa"/>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BC534D" w:rsidTr="00BC534D">
        <w:trPr>
          <w:trHeight w:val="488"/>
        </w:trPr>
        <w:tc>
          <w:tcPr>
            <w:tcW w:w="2041" w:type="dxa"/>
            <w:tcBorders>
              <w:bottom w:val="nil"/>
            </w:tcBorders>
            <w:shd w:val="clear" w:color="auto" w:fill="000000" w:themeFill="text1"/>
          </w:tcPr>
          <w:p w:rsidR="00BC534D" w:rsidRDefault="00BC534D" w:rsidP="00BC534D">
            <w:pPr>
              <w:pStyle w:val="TableParagraph"/>
              <w:spacing w:before="75"/>
              <w:ind w:left="90"/>
              <w:rPr>
                <w:b/>
                <w:sz w:val="18"/>
              </w:rPr>
            </w:pPr>
            <w:r>
              <w:rPr>
                <w:b/>
                <w:color w:val="FFFFFF"/>
                <w:sz w:val="18"/>
              </w:rPr>
              <w:t>Planning scenario</w:t>
            </w:r>
          </w:p>
        </w:tc>
        <w:tc>
          <w:tcPr>
            <w:tcW w:w="2041" w:type="dxa"/>
            <w:tcBorders>
              <w:bottom w:val="nil"/>
            </w:tcBorders>
            <w:shd w:val="clear" w:color="auto" w:fill="000000" w:themeFill="text1"/>
          </w:tcPr>
          <w:p w:rsidR="00BC534D" w:rsidRDefault="00BC534D" w:rsidP="00BC534D">
            <w:pPr>
              <w:pStyle w:val="TableParagraph"/>
              <w:spacing w:before="75"/>
              <w:ind w:left="84"/>
              <w:rPr>
                <w:b/>
                <w:sz w:val="18"/>
              </w:rPr>
            </w:pPr>
            <w:r>
              <w:rPr>
                <w:b/>
                <w:color w:val="FFFFFF"/>
                <w:sz w:val="18"/>
              </w:rPr>
              <w:t>Drought</w:t>
            </w:r>
          </w:p>
        </w:tc>
        <w:tc>
          <w:tcPr>
            <w:tcW w:w="2041" w:type="dxa"/>
            <w:tcBorders>
              <w:bottom w:val="nil"/>
            </w:tcBorders>
            <w:shd w:val="clear" w:color="auto" w:fill="000000" w:themeFill="text1"/>
          </w:tcPr>
          <w:p w:rsidR="00BC534D" w:rsidRDefault="00BC534D" w:rsidP="00BC534D">
            <w:pPr>
              <w:pStyle w:val="TableParagraph"/>
              <w:spacing w:before="75"/>
              <w:ind w:left="84"/>
              <w:rPr>
                <w:b/>
                <w:sz w:val="18"/>
              </w:rPr>
            </w:pPr>
            <w:r>
              <w:rPr>
                <w:b/>
                <w:color w:val="FFFFFF"/>
                <w:sz w:val="18"/>
              </w:rPr>
              <w:t>Dry</w:t>
            </w:r>
          </w:p>
        </w:tc>
        <w:tc>
          <w:tcPr>
            <w:tcW w:w="2041" w:type="dxa"/>
            <w:tcBorders>
              <w:bottom w:val="nil"/>
            </w:tcBorders>
            <w:shd w:val="clear" w:color="auto" w:fill="000000" w:themeFill="text1"/>
          </w:tcPr>
          <w:p w:rsidR="00BC534D" w:rsidRDefault="00BC534D" w:rsidP="00BC534D">
            <w:pPr>
              <w:pStyle w:val="TableParagraph"/>
              <w:spacing w:before="75"/>
              <w:ind w:left="84"/>
              <w:rPr>
                <w:b/>
                <w:sz w:val="18"/>
              </w:rPr>
            </w:pPr>
            <w:r>
              <w:rPr>
                <w:b/>
                <w:color w:val="FFFFFF"/>
                <w:sz w:val="18"/>
              </w:rPr>
              <w:t>Average</w:t>
            </w:r>
          </w:p>
        </w:tc>
        <w:tc>
          <w:tcPr>
            <w:tcW w:w="2041" w:type="dxa"/>
            <w:tcBorders>
              <w:bottom w:val="nil"/>
            </w:tcBorders>
            <w:shd w:val="clear" w:color="auto" w:fill="000000" w:themeFill="text1"/>
          </w:tcPr>
          <w:p w:rsidR="00BC534D" w:rsidRDefault="00BC534D" w:rsidP="00BC534D">
            <w:pPr>
              <w:pStyle w:val="TableParagraph"/>
              <w:spacing w:before="75"/>
              <w:ind w:left="84"/>
              <w:rPr>
                <w:b/>
                <w:sz w:val="18"/>
              </w:rPr>
            </w:pPr>
            <w:r>
              <w:rPr>
                <w:b/>
                <w:color w:val="FFFFFF"/>
                <w:sz w:val="18"/>
              </w:rPr>
              <w:t>Wet</w:t>
            </w:r>
          </w:p>
        </w:tc>
      </w:tr>
      <w:tr w:rsidR="00BC534D" w:rsidTr="00BC534D">
        <w:trPr>
          <w:trHeight w:val="488"/>
        </w:trPr>
        <w:tc>
          <w:tcPr>
            <w:tcW w:w="2041" w:type="dxa"/>
            <w:tcBorders>
              <w:bottom w:val="nil"/>
            </w:tcBorders>
          </w:tcPr>
          <w:p w:rsidR="00BC534D" w:rsidRDefault="00BC534D" w:rsidP="00BC534D">
            <w:pPr>
              <w:pStyle w:val="TableParagraph"/>
              <w:spacing w:before="74"/>
              <w:ind w:left="85"/>
              <w:rPr>
                <w:sz w:val="16"/>
              </w:rPr>
            </w:pPr>
            <w:r>
              <w:rPr>
                <w:color w:val="231F20"/>
                <w:sz w:val="16"/>
              </w:rPr>
              <w:t>Expected river conditions</w:t>
            </w:r>
          </w:p>
        </w:tc>
        <w:tc>
          <w:tcPr>
            <w:tcW w:w="2041" w:type="dxa"/>
            <w:tcBorders>
              <w:bottom w:val="nil"/>
            </w:tcBorders>
          </w:tcPr>
          <w:p w:rsidR="00BC534D" w:rsidRPr="00BC534D" w:rsidRDefault="00BC534D" w:rsidP="00BC534D">
            <w:pPr>
              <w:pStyle w:val="TableParagraph"/>
              <w:numPr>
                <w:ilvl w:val="0"/>
                <w:numId w:val="459"/>
              </w:numPr>
              <w:tabs>
                <w:tab w:val="left" w:pos="305"/>
              </w:tabs>
              <w:spacing w:before="70" w:line="254" w:lineRule="auto"/>
              <w:ind w:right="373"/>
              <w:rPr>
                <w:sz w:val="16"/>
                <w:szCs w:val="16"/>
              </w:rPr>
            </w:pPr>
            <w:r w:rsidRPr="00BC534D">
              <w:rPr>
                <w:color w:val="231F20"/>
                <w:sz w:val="16"/>
                <w:szCs w:val="16"/>
              </w:rPr>
              <w:t>Unregulated flow periods</w:t>
            </w:r>
            <w:r w:rsidRPr="00BC534D">
              <w:rPr>
                <w:color w:val="231F20"/>
                <w:spacing w:val="-5"/>
                <w:sz w:val="16"/>
                <w:szCs w:val="16"/>
              </w:rPr>
              <w:t xml:space="preserve"> </w:t>
            </w:r>
            <w:r w:rsidRPr="00BC534D">
              <w:rPr>
                <w:color w:val="231F20"/>
                <w:sz w:val="16"/>
                <w:szCs w:val="16"/>
              </w:rPr>
              <w:t>unlikely</w:t>
            </w:r>
          </w:p>
          <w:p w:rsidR="00BC534D" w:rsidRPr="00BC534D" w:rsidRDefault="00BC534D" w:rsidP="00BC534D">
            <w:pPr>
              <w:pStyle w:val="TableParagraph"/>
              <w:numPr>
                <w:ilvl w:val="0"/>
                <w:numId w:val="459"/>
              </w:numPr>
              <w:tabs>
                <w:tab w:val="left" w:pos="305"/>
              </w:tabs>
              <w:spacing w:before="87" w:line="254" w:lineRule="auto"/>
              <w:ind w:right="153"/>
              <w:rPr>
                <w:sz w:val="16"/>
                <w:szCs w:val="16"/>
              </w:rPr>
            </w:pPr>
            <w:r w:rsidRPr="00BC534D">
              <w:rPr>
                <w:color w:val="231F20"/>
                <w:sz w:val="16"/>
                <w:szCs w:val="16"/>
              </w:rPr>
              <w:t xml:space="preserve">Flows in the </w:t>
            </w:r>
            <w:r w:rsidRPr="00BC534D">
              <w:rPr>
                <w:color w:val="231F20"/>
                <w:spacing w:val="-3"/>
                <w:sz w:val="16"/>
                <w:szCs w:val="16"/>
              </w:rPr>
              <w:t xml:space="preserve">Murray </w:t>
            </w:r>
            <w:r w:rsidRPr="00BC534D">
              <w:rPr>
                <w:color w:val="231F20"/>
                <w:sz w:val="16"/>
                <w:szCs w:val="16"/>
              </w:rPr>
              <w:t>River will remain within channel all year</w:t>
            </w:r>
          </w:p>
        </w:tc>
        <w:tc>
          <w:tcPr>
            <w:tcW w:w="2041" w:type="dxa"/>
            <w:tcBorders>
              <w:bottom w:val="nil"/>
            </w:tcBorders>
          </w:tcPr>
          <w:p w:rsidR="00BC534D" w:rsidRPr="00BC534D" w:rsidRDefault="00BC534D" w:rsidP="00BC534D">
            <w:pPr>
              <w:pStyle w:val="TableParagraph"/>
              <w:numPr>
                <w:ilvl w:val="0"/>
                <w:numId w:val="458"/>
              </w:numPr>
              <w:tabs>
                <w:tab w:val="left" w:pos="305"/>
              </w:tabs>
              <w:spacing w:before="70" w:line="254" w:lineRule="auto"/>
              <w:ind w:right="213"/>
              <w:rPr>
                <w:sz w:val="16"/>
                <w:szCs w:val="16"/>
              </w:rPr>
            </w:pPr>
            <w:r w:rsidRPr="00BC534D">
              <w:rPr>
                <w:color w:val="231F20"/>
                <w:sz w:val="16"/>
                <w:szCs w:val="16"/>
              </w:rPr>
              <w:t>Some small unregulated flow in late</w:t>
            </w:r>
            <w:r w:rsidRPr="00BC534D">
              <w:rPr>
                <w:color w:val="231F20"/>
                <w:spacing w:val="-5"/>
                <w:sz w:val="16"/>
                <w:szCs w:val="16"/>
              </w:rPr>
              <w:t xml:space="preserve"> </w:t>
            </w:r>
            <w:r w:rsidRPr="00BC534D">
              <w:rPr>
                <w:color w:val="231F20"/>
                <w:sz w:val="16"/>
                <w:szCs w:val="16"/>
              </w:rPr>
              <w:t>winter/spring</w:t>
            </w:r>
          </w:p>
          <w:p w:rsidR="00BC534D" w:rsidRPr="00BC534D" w:rsidRDefault="00BC534D" w:rsidP="00BC534D">
            <w:pPr>
              <w:pStyle w:val="TableParagraph"/>
              <w:numPr>
                <w:ilvl w:val="0"/>
                <w:numId w:val="458"/>
              </w:numPr>
              <w:tabs>
                <w:tab w:val="left" w:pos="305"/>
              </w:tabs>
              <w:spacing w:before="87" w:line="254" w:lineRule="auto"/>
              <w:ind w:right="333"/>
              <w:rPr>
                <w:sz w:val="16"/>
                <w:szCs w:val="16"/>
              </w:rPr>
            </w:pPr>
            <w:r w:rsidRPr="00BC534D">
              <w:rPr>
                <w:color w:val="231F20"/>
                <w:sz w:val="16"/>
                <w:szCs w:val="16"/>
              </w:rPr>
              <w:t>Low chance of overbank flows in late</w:t>
            </w:r>
            <w:r w:rsidRPr="00BC534D">
              <w:rPr>
                <w:color w:val="231F20"/>
                <w:spacing w:val="-9"/>
                <w:sz w:val="16"/>
                <w:szCs w:val="16"/>
              </w:rPr>
              <w:t xml:space="preserve"> </w:t>
            </w:r>
            <w:r w:rsidRPr="00BC534D">
              <w:rPr>
                <w:color w:val="231F20"/>
                <w:sz w:val="16"/>
                <w:szCs w:val="16"/>
              </w:rPr>
              <w:t>winter/spring</w:t>
            </w:r>
          </w:p>
        </w:tc>
        <w:tc>
          <w:tcPr>
            <w:tcW w:w="2041" w:type="dxa"/>
            <w:tcBorders>
              <w:bottom w:val="nil"/>
            </w:tcBorders>
          </w:tcPr>
          <w:p w:rsidR="00BC534D" w:rsidRPr="00BC534D" w:rsidRDefault="00BC534D" w:rsidP="00BC534D">
            <w:pPr>
              <w:pStyle w:val="TableParagraph"/>
              <w:numPr>
                <w:ilvl w:val="0"/>
                <w:numId w:val="457"/>
              </w:numPr>
              <w:tabs>
                <w:tab w:val="left" w:pos="305"/>
              </w:tabs>
              <w:spacing w:before="70" w:line="254" w:lineRule="auto"/>
              <w:ind w:right="213"/>
              <w:rPr>
                <w:sz w:val="16"/>
                <w:szCs w:val="16"/>
              </w:rPr>
            </w:pPr>
            <w:r w:rsidRPr="00BC534D">
              <w:rPr>
                <w:color w:val="231F20"/>
                <w:sz w:val="16"/>
                <w:szCs w:val="16"/>
              </w:rPr>
              <w:t>Likely chance of small-to-medium unregulated flow in winter/spring</w:t>
            </w:r>
          </w:p>
          <w:p w:rsidR="00BC534D" w:rsidRPr="00BC534D" w:rsidRDefault="00BC534D" w:rsidP="00BC534D">
            <w:pPr>
              <w:pStyle w:val="TableParagraph"/>
              <w:numPr>
                <w:ilvl w:val="0"/>
                <w:numId w:val="457"/>
              </w:numPr>
              <w:tabs>
                <w:tab w:val="left" w:pos="305"/>
              </w:tabs>
              <w:spacing w:before="88" w:line="254" w:lineRule="auto"/>
              <w:ind w:right="333"/>
              <w:rPr>
                <w:sz w:val="16"/>
                <w:szCs w:val="16"/>
              </w:rPr>
            </w:pPr>
            <w:r w:rsidRPr="00BC534D">
              <w:rPr>
                <w:color w:val="231F20"/>
                <w:sz w:val="16"/>
                <w:szCs w:val="16"/>
              </w:rPr>
              <w:t>Likely chance of overbank flows in winter/spring</w:t>
            </w:r>
          </w:p>
        </w:tc>
        <w:tc>
          <w:tcPr>
            <w:tcW w:w="2041" w:type="dxa"/>
            <w:tcBorders>
              <w:bottom w:val="nil"/>
            </w:tcBorders>
          </w:tcPr>
          <w:p w:rsidR="00BC534D" w:rsidRPr="00BC534D" w:rsidRDefault="00BC534D" w:rsidP="00BC534D">
            <w:pPr>
              <w:pStyle w:val="TableParagraph"/>
              <w:numPr>
                <w:ilvl w:val="0"/>
                <w:numId w:val="456"/>
              </w:numPr>
              <w:tabs>
                <w:tab w:val="left" w:pos="305"/>
              </w:tabs>
              <w:spacing w:before="70" w:line="254" w:lineRule="auto"/>
              <w:ind w:right="213"/>
              <w:rPr>
                <w:sz w:val="16"/>
                <w:szCs w:val="16"/>
              </w:rPr>
            </w:pPr>
            <w:r w:rsidRPr="00BC534D">
              <w:rPr>
                <w:color w:val="231F20"/>
                <w:sz w:val="16"/>
                <w:szCs w:val="16"/>
              </w:rPr>
              <w:t>High probability of moderate-to-large unregulated flow in winter/spring</w:t>
            </w:r>
          </w:p>
          <w:p w:rsidR="00BC534D" w:rsidRPr="00BC534D" w:rsidRDefault="00BC534D" w:rsidP="00BC534D">
            <w:pPr>
              <w:pStyle w:val="TableParagraph"/>
              <w:numPr>
                <w:ilvl w:val="0"/>
                <w:numId w:val="456"/>
              </w:numPr>
              <w:tabs>
                <w:tab w:val="left" w:pos="305"/>
              </w:tabs>
              <w:spacing w:before="88" w:line="254" w:lineRule="auto"/>
              <w:ind w:right="523"/>
              <w:rPr>
                <w:sz w:val="16"/>
                <w:szCs w:val="16"/>
              </w:rPr>
            </w:pPr>
            <w:r w:rsidRPr="00BC534D">
              <w:rPr>
                <w:color w:val="231F20"/>
                <w:sz w:val="16"/>
                <w:szCs w:val="16"/>
              </w:rPr>
              <w:t xml:space="preserve">Expected </w:t>
            </w:r>
            <w:r w:rsidRPr="00BC534D">
              <w:rPr>
                <w:color w:val="231F20"/>
                <w:spacing w:val="-4"/>
                <w:sz w:val="16"/>
                <w:szCs w:val="16"/>
              </w:rPr>
              <w:t xml:space="preserve">large </w:t>
            </w:r>
            <w:r w:rsidRPr="00BC534D">
              <w:rPr>
                <w:color w:val="231F20"/>
                <w:sz w:val="16"/>
                <w:szCs w:val="16"/>
              </w:rPr>
              <w:t>overbank</w:t>
            </w:r>
            <w:r w:rsidRPr="00BC534D">
              <w:rPr>
                <w:color w:val="231F20"/>
                <w:spacing w:val="-7"/>
                <w:sz w:val="16"/>
                <w:szCs w:val="16"/>
              </w:rPr>
              <w:t xml:space="preserve"> </w:t>
            </w:r>
            <w:r w:rsidRPr="00BC534D">
              <w:rPr>
                <w:color w:val="231F20"/>
                <w:sz w:val="16"/>
                <w:szCs w:val="16"/>
              </w:rPr>
              <w:t>flows</w:t>
            </w:r>
          </w:p>
        </w:tc>
      </w:tr>
      <w:tr w:rsidR="006A7A3F" w:rsidTr="00BC534D">
        <w:trPr>
          <w:trHeight w:val="488"/>
        </w:trPr>
        <w:tc>
          <w:tcPr>
            <w:tcW w:w="2041" w:type="dxa"/>
            <w:tcBorders>
              <w:bottom w:val="nil"/>
            </w:tcBorders>
          </w:tcPr>
          <w:p w:rsidR="006A7A3F" w:rsidRDefault="00BC7372">
            <w:pPr>
              <w:pStyle w:val="TableParagraph"/>
              <w:spacing w:before="67" w:line="261" w:lineRule="auto"/>
              <w:ind w:left="85" w:right="253"/>
              <w:rPr>
                <w:sz w:val="16"/>
              </w:rPr>
            </w:pPr>
            <w:r>
              <w:rPr>
                <w:color w:val="231F20"/>
                <w:sz w:val="16"/>
              </w:rPr>
              <w:t>Potential environmental watering – tier 1 (high</w:t>
            </w:r>
          </w:p>
        </w:tc>
        <w:tc>
          <w:tcPr>
            <w:tcW w:w="2041" w:type="dxa"/>
            <w:tcBorders>
              <w:bottom w:val="nil"/>
            </w:tcBorders>
          </w:tcPr>
          <w:p w:rsidR="006A7A3F" w:rsidRPr="00BC534D" w:rsidRDefault="00BC7372">
            <w:pPr>
              <w:pStyle w:val="TableParagraph"/>
              <w:numPr>
                <w:ilvl w:val="0"/>
                <w:numId w:val="455"/>
              </w:numPr>
              <w:tabs>
                <w:tab w:val="left" w:pos="305"/>
              </w:tabs>
              <w:spacing w:before="50" w:line="220" w:lineRule="atLeast"/>
              <w:ind w:right="343"/>
              <w:rPr>
                <w:sz w:val="16"/>
                <w:szCs w:val="16"/>
              </w:rPr>
            </w:pPr>
            <w:r w:rsidRPr="00BC534D">
              <w:rPr>
                <w:color w:val="231F20"/>
                <w:sz w:val="16"/>
                <w:szCs w:val="16"/>
              </w:rPr>
              <w:t xml:space="preserve">Winter/spring </w:t>
            </w:r>
            <w:r w:rsidRPr="00BC534D">
              <w:rPr>
                <w:color w:val="231F20"/>
                <w:spacing w:val="-6"/>
                <w:sz w:val="16"/>
                <w:szCs w:val="16"/>
              </w:rPr>
              <w:t xml:space="preserve">low </w:t>
            </w:r>
            <w:r w:rsidRPr="00BC534D">
              <w:rPr>
                <w:color w:val="231F20"/>
                <w:sz w:val="16"/>
                <w:szCs w:val="16"/>
              </w:rPr>
              <w:t>flow</w:t>
            </w:r>
          </w:p>
        </w:tc>
        <w:tc>
          <w:tcPr>
            <w:tcW w:w="2041" w:type="dxa"/>
            <w:tcBorders>
              <w:bottom w:val="nil"/>
            </w:tcBorders>
          </w:tcPr>
          <w:p w:rsidR="006A7A3F" w:rsidRPr="00BC534D" w:rsidRDefault="00BC7372">
            <w:pPr>
              <w:pStyle w:val="TableParagraph"/>
              <w:numPr>
                <w:ilvl w:val="0"/>
                <w:numId w:val="454"/>
              </w:numPr>
              <w:tabs>
                <w:tab w:val="left" w:pos="305"/>
              </w:tabs>
              <w:spacing w:before="50" w:line="220" w:lineRule="atLeast"/>
              <w:ind w:right="343"/>
              <w:rPr>
                <w:sz w:val="16"/>
                <w:szCs w:val="16"/>
              </w:rPr>
            </w:pPr>
            <w:r w:rsidRPr="00BC534D">
              <w:rPr>
                <w:color w:val="231F20"/>
                <w:sz w:val="16"/>
                <w:szCs w:val="16"/>
              </w:rPr>
              <w:t xml:space="preserve">Winter/spring </w:t>
            </w:r>
            <w:r w:rsidRPr="00BC534D">
              <w:rPr>
                <w:color w:val="231F20"/>
                <w:spacing w:val="-6"/>
                <w:sz w:val="16"/>
                <w:szCs w:val="16"/>
              </w:rPr>
              <w:t xml:space="preserve">low </w:t>
            </w:r>
            <w:r w:rsidRPr="00BC534D">
              <w:rPr>
                <w:color w:val="231F20"/>
                <w:sz w:val="16"/>
                <w:szCs w:val="16"/>
              </w:rPr>
              <w:t>flow</w:t>
            </w:r>
          </w:p>
        </w:tc>
        <w:tc>
          <w:tcPr>
            <w:tcW w:w="2041" w:type="dxa"/>
            <w:tcBorders>
              <w:bottom w:val="nil"/>
            </w:tcBorders>
          </w:tcPr>
          <w:p w:rsidR="006A7A3F" w:rsidRPr="00BC534D" w:rsidRDefault="00BC7372">
            <w:pPr>
              <w:pStyle w:val="TableParagraph"/>
              <w:numPr>
                <w:ilvl w:val="0"/>
                <w:numId w:val="453"/>
              </w:numPr>
              <w:tabs>
                <w:tab w:val="left" w:pos="305"/>
              </w:tabs>
              <w:spacing w:before="50" w:line="220" w:lineRule="atLeast"/>
              <w:ind w:right="343"/>
              <w:rPr>
                <w:sz w:val="16"/>
                <w:szCs w:val="16"/>
              </w:rPr>
            </w:pPr>
            <w:r w:rsidRPr="00BC534D">
              <w:rPr>
                <w:color w:val="231F20"/>
                <w:sz w:val="16"/>
                <w:szCs w:val="16"/>
              </w:rPr>
              <w:t xml:space="preserve">Winter/spring </w:t>
            </w:r>
            <w:r w:rsidRPr="00BC534D">
              <w:rPr>
                <w:color w:val="231F20"/>
                <w:spacing w:val="-6"/>
                <w:sz w:val="16"/>
                <w:szCs w:val="16"/>
              </w:rPr>
              <w:t xml:space="preserve">low </w:t>
            </w:r>
            <w:r w:rsidRPr="00BC534D">
              <w:rPr>
                <w:color w:val="231F20"/>
                <w:sz w:val="16"/>
                <w:szCs w:val="16"/>
              </w:rPr>
              <w:t>flow</w:t>
            </w:r>
          </w:p>
        </w:tc>
        <w:tc>
          <w:tcPr>
            <w:tcW w:w="2041" w:type="dxa"/>
            <w:tcBorders>
              <w:bottom w:val="nil"/>
            </w:tcBorders>
          </w:tcPr>
          <w:p w:rsidR="006A7A3F" w:rsidRPr="00BC534D" w:rsidRDefault="00BC7372">
            <w:pPr>
              <w:pStyle w:val="TableParagraph"/>
              <w:numPr>
                <w:ilvl w:val="0"/>
                <w:numId w:val="452"/>
              </w:numPr>
              <w:tabs>
                <w:tab w:val="left" w:pos="305"/>
              </w:tabs>
              <w:spacing w:before="50" w:line="220" w:lineRule="atLeast"/>
              <w:ind w:right="343"/>
              <w:rPr>
                <w:sz w:val="16"/>
                <w:szCs w:val="16"/>
              </w:rPr>
            </w:pPr>
            <w:r w:rsidRPr="00BC534D">
              <w:rPr>
                <w:color w:val="231F20"/>
                <w:sz w:val="16"/>
                <w:szCs w:val="16"/>
              </w:rPr>
              <w:t xml:space="preserve">Winter/spring </w:t>
            </w:r>
            <w:r w:rsidRPr="00BC534D">
              <w:rPr>
                <w:color w:val="231F20"/>
                <w:spacing w:val="-6"/>
                <w:sz w:val="16"/>
                <w:szCs w:val="16"/>
              </w:rPr>
              <w:t xml:space="preserve">low </w:t>
            </w:r>
            <w:r w:rsidRPr="00BC534D">
              <w:rPr>
                <w:color w:val="231F20"/>
                <w:sz w:val="16"/>
                <w:szCs w:val="16"/>
              </w:rPr>
              <w:t>flow</w:t>
            </w:r>
          </w:p>
        </w:tc>
      </w:tr>
      <w:tr w:rsidR="006A7A3F" w:rsidTr="00BC534D">
        <w:trPr>
          <w:trHeight w:val="584"/>
        </w:trPr>
        <w:tc>
          <w:tcPr>
            <w:tcW w:w="2041" w:type="dxa"/>
            <w:tcBorders>
              <w:top w:val="nil"/>
              <w:bottom w:val="nil"/>
            </w:tcBorders>
          </w:tcPr>
          <w:p w:rsidR="006A7A3F" w:rsidRDefault="00BC7372">
            <w:pPr>
              <w:pStyle w:val="TableParagraph"/>
              <w:spacing w:line="161" w:lineRule="exact"/>
              <w:ind w:left="85"/>
              <w:rPr>
                <w:sz w:val="9"/>
              </w:rPr>
            </w:pPr>
            <w:r>
              <w:rPr>
                <w:color w:val="231F20"/>
                <w:sz w:val="16"/>
              </w:rPr>
              <w:t>priorities)</w:t>
            </w:r>
            <w:r>
              <w:rPr>
                <w:color w:val="231F20"/>
                <w:position w:val="5"/>
                <w:sz w:val="9"/>
              </w:rPr>
              <w:t>1</w:t>
            </w:r>
          </w:p>
        </w:tc>
        <w:tc>
          <w:tcPr>
            <w:tcW w:w="2041" w:type="dxa"/>
            <w:tcBorders>
              <w:top w:val="nil"/>
              <w:bottom w:val="nil"/>
            </w:tcBorders>
          </w:tcPr>
          <w:p w:rsidR="006A7A3F" w:rsidRPr="00BC534D" w:rsidRDefault="00BC7372">
            <w:pPr>
              <w:pStyle w:val="TableParagraph"/>
              <w:numPr>
                <w:ilvl w:val="0"/>
                <w:numId w:val="451"/>
              </w:numPr>
              <w:tabs>
                <w:tab w:val="left" w:pos="305"/>
              </w:tabs>
              <w:spacing w:before="98" w:line="254" w:lineRule="auto"/>
              <w:ind w:right="503"/>
              <w:rPr>
                <w:sz w:val="16"/>
                <w:szCs w:val="16"/>
              </w:rPr>
            </w:pPr>
            <w:r w:rsidRPr="00BC534D">
              <w:rPr>
                <w:color w:val="231F20"/>
                <w:sz w:val="16"/>
                <w:szCs w:val="16"/>
              </w:rPr>
              <w:t>Spring/summer freshes</w:t>
            </w:r>
          </w:p>
        </w:tc>
        <w:tc>
          <w:tcPr>
            <w:tcW w:w="2041" w:type="dxa"/>
            <w:tcBorders>
              <w:top w:val="nil"/>
              <w:bottom w:val="nil"/>
            </w:tcBorders>
          </w:tcPr>
          <w:p w:rsidR="006A7A3F" w:rsidRPr="00BC534D" w:rsidRDefault="00BC7372">
            <w:pPr>
              <w:pStyle w:val="TableParagraph"/>
              <w:numPr>
                <w:ilvl w:val="0"/>
                <w:numId w:val="450"/>
              </w:numPr>
              <w:tabs>
                <w:tab w:val="left" w:pos="305"/>
              </w:tabs>
              <w:spacing w:before="98" w:line="254" w:lineRule="auto"/>
              <w:ind w:right="503"/>
              <w:rPr>
                <w:sz w:val="16"/>
                <w:szCs w:val="16"/>
              </w:rPr>
            </w:pPr>
            <w:r w:rsidRPr="00BC534D">
              <w:rPr>
                <w:color w:val="231F20"/>
                <w:sz w:val="16"/>
                <w:szCs w:val="16"/>
              </w:rPr>
              <w:t>Spring/summer freshes</w:t>
            </w:r>
          </w:p>
        </w:tc>
        <w:tc>
          <w:tcPr>
            <w:tcW w:w="2041" w:type="dxa"/>
            <w:tcBorders>
              <w:top w:val="nil"/>
              <w:bottom w:val="nil"/>
            </w:tcBorders>
          </w:tcPr>
          <w:p w:rsidR="006A7A3F" w:rsidRPr="00BC534D" w:rsidRDefault="00BC7372">
            <w:pPr>
              <w:pStyle w:val="TableParagraph"/>
              <w:numPr>
                <w:ilvl w:val="0"/>
                <w:numId w:val="449"/>
              </w:numPr>
              <w:tabs>
                <w:tab w:val="left" w:pos="305"/>
              </w:tabs>
              <w:spacing w:before="98" w:line="254" w:lineRule="auto"/>
              <w:ind w:right="503"/>
              <w:rPr>
                <w:sz w:val="16"/>
                <w:szCs w:val="16"/>
              </w:rPr>
            </w:pPr>
            <w:r w:rsidRPr="00BC534D">
              <w:rPr>
                <w:color w:val="231F20"/>
                <w:sz w:val="16"/>
                <w:szCs w:val="16"/>
              </w:rPr>
              <w:t>Spring/summer freshes</w:t>
            </w:r>
          </w:p>
        </w:tc>
        <w:tc>
          <w:tcPr>
            <w:tcW w:w="2041" w:type="dxa"/>
            <w:tcBorders>
              <w:top w:val="nil"/>
              <w:bottom w:val="nil"/>
            </w:tcBorders>
          </w:tcPr>
          <w:p w:rsidR="006A7A3F" w:rsidRPr="00BC534D" w:rsidRDefault="00BC7372">
            <w:pPr>
              <w:pStyle w:val="TableParagraph"/>
              <w:numPr>
                <w:ilvl w:val="0"/>
                <w:numId w:val="448"/>
              </w:numPr>
              <w:tabs>
                <w:tab w:val="left" w:pos="305"/>
              </w:tabs>
              <w:spacing w:before="98" w:line="254" w:lineRule="auto"/>
              <w:ind w:right="503"/>
              <w:rPr>
                <w:sz w:val="16"/>
                <w:szCs w:val="16"/>
              </w:rPr>
            </w:pPr>
            <w:r w:rsidRPr="00BC534D">
              <w:rPr>
                <w:color w:val="231F20"/>
                <w:sz w:val="16"/>
                <w:szCs w:val="16"/>
              </w:rPr>
              <w:t>Spring/summer freshes</w:t>
            </w:r>
          </w:p>
        </w:tc>
      </w:tr>
      <w:tr w:rsidR="006A7A3F" w:rsidTr="00BC534D">
        <w:trPr>
          <w:trHeight w:val="1710"/>
        </w:trPr>
        <w:tc>
          <w:tcPr>
            <w:tcW w:w="2041" w:type="dxa"/>
            <w:tcBorders>
              <w:top w:val="nil"/>
              <w:bottom w:val="nil"/>
            </w:tcBorders>
          </w:tcPr>
          <w:p w:rsidR="006A7A3F" w:rsidRDefault="006A7A3F">
            <w:pPr>
              <w:pStyle w:val="TableParagraph"/>
              <w:ind w:left="0"/>
              <w:rPr>
                <w:rFonts w:ascii="Times New Roman"/>
                <w:sz w:val="18"/>
              </w:rPr>
            </w:pPr>
          </w:p>
        </w:tc>
        <w:tc>
          <w:tcPr>
            <w:tcW w:w="2041" w:type="dxa"/>
            <w:tcBorders>
              <w:top w:val="nil"/>
              <w:bottom w:val="nil"/>
            </w:tcBorders>
          </w:tcPr>
          <w:p w:rsidR="006A7A3F" w:rsidRPr="00BC534D" w:rsidRDefault="00BC7372">
            <w:pPr>
              <w:pStyle w:val="TableParagraph"/>
              <w:numPr>
                <w:ilvl w:val="0"/>
                <w:numId w:val="447"/>
              </w:numPr>
              <w:tabs>
                <w:tab w:val="left" w:pos="305"/>
              </w:tabs>
              <w:spacing w:before="38" w:line="254" w:lineRule="auto"/>
              <w:ind w:right="342"/>
              <w:rPr>
                <w:sz w:val="16"/>
                <w:szCs w:val="16"/>
              </w:rPr>
            </w:pPr>
            <w:r w:rsidRPr="00BC534D">
              <w:rPr>
                <w:color w:val="231F20"/>
                <w:sz w:val="16"/>
                <w:szCs w:val="16"/>
              </w:rPr>
              <w:t xml:space="preserve">Spring/summer/ autumn freshes to Gulf and </w:t>
            </w:r>
            <w:r w:rsidRPr="00BC534D">
              <w:rPr>
                <w:color w:val="231F20"/>
                <w:spacing w:val="-3"/>
                <w:sz w:val="16"/>
                <w:szCs w:val="16"/>
              </w:rPr>
              <w:t xml:space="preserve">Boals </w:t>
            </w:r>
            <w:r w:rsidRPr="00BC534D">
              <w:rPr>
                <w:color w:val="231F20"/>
                <w:sz w:val="16"/>
                <w:szCs w:val="16"/>
              </w:rPr>
              <w:t>creeks</w:t>
            </w:r>
          </w:p>
        </w:tc>
        <w:tc>
          <w:tcPr>
            <w:tcW w:w="2041" w:type="dxa"/>
            <w:tcBorders>
              <w:top w:val="nil"/>
              <w:bottom w:val="nil"/>
            </w:tcBorders>
          </w:tcPr>
          <w:p w:rsidR="006A7A3F" w:rsidRPr="00BC534D" w:rsidRDefault="00BC7372">
            <w:pPr>
              <w:pStyle w:val="TableParagraph"/>
              <w:numPr>
                <w:ilvl w:val="0"/>
                <w:numId w:val="446"/>
              </w:numPr>
              <w:tabs>
                <w:tab w:val="left" w:pos="305"/>
              </w:tabs>
              <w:spacing w:before="38" w:line="254" w:lineRule="auto"/>
              <w:ind w:right="433"/>
              <w:rPr>
                <w:sz w:val="16"/>
                <w:szCs w:val="16"/>
              </w:rPr>
            </w:pPr>
            <w:r w:rsidRPr="00BC534D">
              <w:rPr>
                <w:color w:val="231F20"/>
                <w:sz w:val="16"/>
                <w:szCs w:val="16"/>
              </w:rPr>
              <w:t>Spring/summer/ autumn low</w:t>
            </w:r>
            <w:r w:rsidRPr="00BC534D">
              <w:rPr>
                <w:color w:val="231F20"/>
                <w:spacing w:val="-9"/>
                <w:sz w:val="16"/>
                <w:szCs w:val="16"/>
              </w:rPr>
              <w:t xml:space="preserve"> </w:t>
            </w:r>
            <w:r w:rsidRPr="00BC534D">
              <w:rPr>
                <w:color w:val="231F20"/>
                <w:sz w:val="16"/>
                <w:szCs w:val="16"/>
              </w:rPr>
              <w:t>flow</w:t>
            </w:r>
          </w:p>
          <w:p w:rsidR="006A7A3F" w:rsidRPr="00BC534D" w:rsidRDefault="00BC7372">
            <w:pPr>
              <w:pStyle w:val="TableParagraph"/>
              <w:numPr>
                <w:ilvl w:val="0"/>
                <w:numId w:val="446"/>
              </w:numPr>
              <w:tabs>
                <w:tab w:val="left" w:pos="305"/>
              </w:tabs>
              <w:spacing w:before="87" w:line="254" w:lineRule="auto"/>
              <w:ind w:right="313"/>
              <w:rPr>
                <w:sz w:val="16"/>
                <w:szCs w:val="16"/>
              </w:rPr>
            </w:pPr>
            <w:r w:rsidRPr="00BC534D">
              <w:rPr>
                <w:color w:val="231F20"/>
                <w:sz w:val="16"/>
                <w:szCs w:val="16"/>
              </w:rPr>
              <w:t>Fill or top up Boals Deadwood, Harbours</w:t>
            </w:r>
            <w:r w:rsidRPr="00BC534D">
              <w:rPr>
                <w:color w:val="231F20"/>
                <w:spacing w:val="-4"/>
                <w:sz w:val="16"/>
                <w:szCs w:val="16"/>
              </w:rPr>
              <w:t xml:space="preserve"> </w:t>
            </w:r>
            <w:r w:rsidRPr="00BC534D">
              <w:rPr>
                <w:color w:val="231F20"/>
                <w:sz w:val="16"/>
                <w:szCs w:val="16"/>
              </w:rPr>
              <w:t>Lake,</w:t>
            </w:r>
          </w:p>
          <w:p w:rsidR="006A7A3F" w:rsidRPr="00BC534D" w:rsidRDefault="00BC7372">
            <w:pPr>
              <w:pStyle w:val="TableParagraph"/>
              <w:spacing w:before="1" w:line="254" w:lineRule="auto"/>
              <w:rPr>
                <w:sz w:val="16"/>
                <w:szCs w:val="16"/>
              </w:rPr>
            </w:pPr>
            <w:r w:rsidRPr="00BC534D">
              <w:rPr>
                <w:color w:val="231F20"/>
                <w:sz w:val="16"/>
                <w:szCs w:val="16"/>
              </w:rPr>
              <w:t>Reedy Lagoon and Top Island wetlands</w:t>
            </w:r>
          </w:p>
        </w:tc>
        <w:tc>
          <w:tcPr>
            <w:tcW w:w="2041" w:type="dxa"/>
            <w:tcBorders>
              <w:top w:val="nil"/>
              <w:bottom w:val="nil"/>
            </w:tcBorders>
          </w:tcPr>
          <w:p w:rsidR="006A7A3F" w:rsidRPr="00BC534D" w:rsidRDefault="00BC7372">
            <w:pPr>
              <w:pStyle w:val="TableParagraph"/>
              <w:numPr>
                <w:ilvl w:val="0"/>
                <w:numId w:val="445"/>
              </w:numPr>
              <w:tabs>
                <w:tab w:val="left" w:pos="305"/>
              </w:tabs>
              <w:spacing w:before="38" w:line="254" w:lineRule="auto"/>
              <w:ind w:right="435"/>
              <w:rPr>
                <w:sz w:val="16"/>
                <w:szCs w:val="16"/>
              </w:rPr>
            </w:pPr>
            <w:r w:rsidRPr="00BC534D">
              <w:rPr>
                <w:color w:val="231F20"/>
                <w:sz w:val="16"/>
                <w:szCs w:val="16"/>
              </w:rPr>
              <w:t>Spring/summer/ autumn low</w:t>
            </w:r>
            <w:r w:rsidRPr="00BC534D">
              <w:rPr>
                <w:color w:val="231F20"/>
                <w:spacing w:val="-9"/>
                <w:sz w:val="16"/>
                <w:szCs w:val="16"/>
              </w:rPr>
              <w:t xml:space="preserve"> </w:t>
            </w:r>
            <w:r w:rsidRPr="00BC534D">
              <w:rPr>
                <w:color w:val="231F20"/>
                <w:sz w:val="16"/>
                <w:szCs w:val="16"/>
              </w:rPr>
              <w:t>flow</w:t>
            </w:r>
          </w:p>
          <w:p w:rsidR="006A7A3F" w:rsidRPr="00BC534D" w:rsidRDefault="00BC7372">
            <w:pPr>
              <w:pStyle w:val="TableParagraph"/>
              <w:numPr>
                <w:ilvl w:val="0"/>
                <w:numId w:val="445"/>
              </w:numPr>
              <w:tabs>
                <w:tab w:val="left" w:pos="305"/>
              </w:tabs>
              <w:spacing w:before="87" w:line="254" w:lineRule="auto"/>
              <w:ind w:right="313"/>
              <w:rPr>
                <w:sz w:val="16"/>
                <w:szCs w:val="16"/>
              </w:rPr>
            </w:pPr>
            <w:r w:rsidRPr="00BC534D">
              <w:rPr>
                <w:color w:val="231F20"/>
                <w:sz w:val="16"/>
                <w:szCs w:val="16"/>
              </w:rPr>
              <w:t>Fill or top up Boals Deadwood, Harbours</w:t>
            </w:r>
            <w:r w:rsidRPr="00BC534D">
              <w:rPr>
                <w:color w:val="231F20"/>
                <w:spacing w:val="-4"/>
                <w:sz w:val="16"/>
                <w:szCs w:val="16"/>
              </w:rPr>
              <w:t xml:space="preserve"> </w:t>
            </w:r>
            <w:r w:rsidRPr="00BC534D">
              <w:rPr>
                <w:color w:val="231F20"/>
                <w:sz w:val="16"/>
                <w:szCs w:val="16"/>
              </w:rPr>
              <w:t>Lake,</w:t>
            </w:r>
          </w:p>
          <w:p w:rsidR="006A7A3F" w:rsidRPr="00BC534D" w:rsidRDefault="00BC7372">
            <w:pPr>
              <w:pStyle w:val="TableParagraph"/>
              <w:spacing w:before="1" w:line="254" w:lineRule="auto"/>
              <w:rPr>
                <w:sz w:val="16"/>
                <w:szCs w:val="16"/>
              </w:rPr>
            </w:pPr>
            <w:r w:rsidRPr="00BC534D">
              <w:rPr>
                <w:color w:val="231F20"/>
                <w:sz w:val="16"/>
                <w:szCs w:val="16"/>
              </w:rPr>
              <w:t>Reedy Lagoon and Top Island wetlands</w:t>
            </w:r>
          </w:p>
        </w:tc>
        <w:tc>
          <w:tcPr>
            <w:tcW w:w="2041" w:type="dxa"/>
            <w:tcBorders>
              <w:top w:val="nil"/>
              <w:bottom w:val="nil"/>
            </w:tcBorders>
          </w:tcPr>
          <w:p w:rsidR="006A7A3F" w:rsidRPr="00BC534D" w:rsidRDefault="00BC7372">
            <w:pPr>
              <w:pStyle w:val="TableParagraph"/>
              <w:numPr>
                <w:ilvl w:val="0"/>
                <w:numId w:val="444"/>
              </w:numPr>
              <w:tabs>
                <w:tab w:val="left" w:pos="305"/>
              </w:tabs>
              <w:spacing w:before="38" w:line="254" w:lineRule="auto"/>
              <w:ind w:right="313"/>
              <w:rPr>
                <w:sz w:val="16"/>
                <w:szCs w:val="16"/>
              </w:rPr>
            </w:pPr>
            <w:r w:rsidRPr="00BC534D">
              <w:rPr>
                <w:color w:val="231F20"/>
                <w:sz w:val="16"/>
                <w:szCs w:val="16"/>
              </w:rPr>
              <w:t>Fill or top up Boals Deadwood, Harbours</w:t>
            </w:r>
            <w:r w:rsidRPr="00BC534D">
              <w:rPr>
                <w:color w:val="231F20"/>
                <w:spacing w:val="-4"/>
                <w:sz w:val="16"/>
                <w:szCs w:val="16"/>
              </w:rPr>
              <w:t xml:space="preserve"> </w:t>
            </w:r>
            <w:r w:rsidRPr="00BC534D">
              <w:rPr>
                <w:color w:val="231F20"/>
                <w:sz w:val="16"/>
                <w:szCs w:val="16"/>
              </w:rPr>
              <w:t>Lake,</w:t>
            </w:r>
          </w:p>
          <w:p w:rsidR="006A7A3F" w:rsidRPr="00BC534D" w:rsidRDefault="00BC7372">
            <w:pPr>
              <w:pStyle w:val="TableParagraph"/>
              <w:spacing w:before="2" w:line="254" w:lineRule="auto"/>
              <w:rPr>
                <w:sz w:val="16"/>
                <w:szCs w:val="16"/>
              </w:rPr>
            </w:pPr>
            <w:r w:rsidRPr="00BC534D">
              <w:rPr>
                <w:color w:val="231F20"/>
                <w:sz w:val="16"/>
                <w:szCs w:val="16"/>
              </w:rPr>
              <w:t>Reedy Lagoon and Top Island wetlands</w:t>
            </w:r>
          </w:p>
          <w:p w:rsidR="006A7A3F" w:rsidRPr="00BC534D" w:rsidRDefault="00BC7372">
            <w:pPr>
              <w:pStyle w:val="TableParagraph"/>
              <w:numPr>
                <w:ilvl w:val="0"/>
                <w:numId w:val="444"/>
              </w:numPr>
              <w:tabs>
                <w:tab w:val="left" w:pos="305"/>
              </w:tabs>
              <w:spacing w:before="86" w:line="254" w:lineRule="auto"/>
              <w:ind w:right="213"/>
              <w:rPr>
                <w:sz w:val="16"/>
                <w:szCs w:val="16"/>
              </w:rPr>
            </w:pPr>
            <w:r w:rsidRPr="00BC534D">
              <w:rPr>
                <w:color w:val="231F20"/>
                <w:sz w:val="16"/>
                <w:szCs w:val="16"/>
              </w:rPr>
              <w:t>Spring wetting of floodplain</w:t>
            </w:r>
            <w:r w:rsidRPr="00BC534D">
              <w:rPr>
                <w:color w:val="231F20"/>
                <w:spacing w:val="3"/>
                <w:sz w:val="16"/>
                <w:szCs w:val="16"/>
              </w:rPr>
              <w:t xml:space="preserve"> </w:t>
            </w:r>
            <w:r w:rsidRPr="00BC534D">
              <w:rPr>
                <w:color w:val="231F20"/>
                <w:spacing w:val="-3"/>
                <w:sz w:val="16"/>
                <w:szCs w:val="16"/>
              </w:rPr>
              <w:t>marshes</w:t>
            </w:r>
          </w:p>
        </w:tc>
      </w:tr>
      <w:tr w:rsidR="006A7A3F" w:rsidTr="00BC534D">
        <w:trPr>
          <w:trHeight w:val="525"/>
        </w:trPr>
        <w:tc>
          <w:tcPr>
            <w:tcW w:w="2041" w:type="dxa"/>
            <w:tcBorders>
              <w:top w:val="nil"/>
              <w:bottom w:val="nil"/>
            </w:tcBorders>
          </w:tcPr>
          <w:p w:rsidR="006A7A3F" w:rsidRDefault="006A7A3F">
            <w:pPr>
              <w:pStyle w:val="TableParagraph"/>
              <w:ind w:left="0"/>
              <w:rPr>
                <w:rFonts w:ascii="Times New Roman"/>
                <w:sz w:val="18"/>
              </w:rPr>
            </w:pPr>
          </w:p>
        </w:tc>
        <w:tc>
          <w:tcPr>
            <w:tcW w:w="2041" w:type="dxa"/>
            <w:tcBorders>
              <w:top w:val="nil"/>
              <w:bottom w:val="nil"/>
            </w:tcBorders>
          </w:tcPr>
          <w:p w:rsidR="006A7A3F" w:rsidRPr="00BC534D" w:rsidRDefault="006A7A3F">
            <w:pPr>
              <w:pStyle w:val="TableParagraph"/>
              <w:ind w:left="0"/>
              <w:rPr>
                <w:rFonts w:ascii="Times New Roman"/>
                <w:sz w:val="16"/>
                <w:szCs w:val="16"/>
              </w:rPr>
            </w:pPr>
          </w:p>
        </w:tc>
        <w:tc>
          <w:tcPr>
            <w:tcW w:w="2041" w:type="dxa"/>
            <w:tcBorders>
              <w:top w:val="nil"/>
              <w:bottom w:val="nil"/>
            </w:tcBorders>
          </w:tcPr>
          <w:p w:rsidR="006A7A3F" w:rsidRPr="00BC534D" w:rsidRDefault="006A7A3F">
            <w:pPr>
              <w:pStyle w:val="TableParagraph"/>
              <w:ind w:left="0"/>
              <w:rPr>
                <w:rFonts w:ascii="Times New Roman"/>
                <w:sz w:val="16"/>
                <w:szCs w:val="16"/>
              </w:rPr>
            </w:pPr>
          </w:p>
        </w:tc>
        <w:tc>
          <w:tcPr>
            <w:tcW w:w="2041" w:type="dxa"/>
            <w:tcBorders>
              <w:top w:val="nil"/>
              <w:bottom w:val="nil"/>
            </w:tcBorders>
          </w:tcPr>
          <w:p w:rsidR="006A7A3F" w:rsidRPr="00BC534D" w:rsidRDefault="00BC7372">
            <w:pPr>
              <w:pStyle w:val="TableParagraph"/>
              <w:numPr>
                <w:ilvl w:val="0"/>
                <w:numId w:val="443"/>
              </w:numPr>
              <w:tabs>
                <w:tab w:val="left" w:pos="305"/>
              </w:tabs>
              <w:spacing w:before="38" w:line="254" w:lineRule="auto"/>
              <w:ind w:right="213"/>
              <w:rPr>
                <w:sz w:val="16"/>
                <w:szCs w:val="16"/>
              </w:rPr>
            </w:pPr>
            <w:r w:rsidRPr="00BC534D">
              <w:rPr>
                <w:color w:val="231F20"/>
                <w:sz w:val="16"/>
                <w:szCs w:val="16"/>
              </w:rPr>
              <w:t>Spring wetting of floodplain</w:t>
            </w:r>
            <w:r w:rsidRPr="00BC534D">
              <w:rPr>
                <w:color w:val="231F20"/>
                <w:spacing w:val="3"/>
                <w:sz w:val="16"/>
                <w:szCs w:val="16"/>
              </w:rPr>
              <w:t xml:space="preserve"> </w:t>
            </w:r>
            <w:r w:rsidRPr="00BC534D">
              <w:rPr>
                <w:color w:val="231F20"/>
                <w:spacing w:val="-3"/>
                <w:sz w:val="16"/>
                <w:szCs w:val="16"/>
              </w:rPr>
              <w:t>marshes</w:t>
            </w:r>
          </w:p>
        </w:tc>
        <w:tc>
          <w:tcPr>
            <w:tcW w:w="2041" w:type="dxa"/>
            <w:tcBorders>
              <w:top w:val="nil"/>
              <w:bottom w:val="nil"/>
            </w:tcBorders>
          </w:tcPr>
          <w:p w:rsidR="006A7A3F" w:rsidRPr="00BC534D" w:rsidRDefault="00BC7372">
            <w:pPr>
              <w:pStyle w:val="TableParagraph"/>
              <w:numPr>
                <w:ilvl w:val="0"/>
                <w:numId w:val="442"/>
              </w:numPr>
              <w:tabs>
                <w:tab w:val="left" w:pos="305"/>
              </w:tabs>
              <w:spacing w:before="38" w:line="254" w:lineRule="auto"/>
              <w:ind w:right="253"/>
              <w:rPr>
                <w:sz w:val="16"/>
                <w:szCs w:val="16"/>
              </w:rPr>
            </w:pPr>
            <w:r w:rsidRPr="00BC534D">
              <w:rPr>
                <w:color w:val="231F20"/>
                <w:sz w:val="16"/>
                <w:szCs w:val="16"/>
              </w:rPr>
              <w:t xml:space="preserve">Autumn/winter </w:t>
            </w:r>
            <w:r w:rsidRPr="00BC534D">
              <w:rPr>
                <w:color w:val="231F20"/>
                <w:spacing w:val="-6"/>
                <w:sz w:val="16"/>
                <w:szCs w:val="16"/>
              </w:rPr>
              <w:t xml:space="preserve">low </w:t>
            </w:r>
            <w:r w:rsidRPr="00BC534D">
              <w:rPr>
                <w:color w:val="231F20"/>
                <w:sz w:val="16"/>
                <w:szCs w:val="16"/>
              </w:rPr>
              <w:t>flow</w:t>
            </w:r>
          </w:p>
        </w:tc>
      </w:tr>
      <w:tr w:rsidR="006A7A3F" w:rsidTr="00BC534D">
        <w:trPr>
          <w:trHeight w:val="543"/>
        </w:trPr>
        <w:tc>
          <w:tcPr>
            <w:tcW w:w="2041" w:type="dxa"/>
            <w:tcBorders>
              <w:top w:val="nil"/>
            </w:tcBorders>
          </w:tcPr>
          <w:p w:rsidR="006A7A3F" w:rsidRDefault="006A7A3F">
            <w:pPr>
              <w:pStyle w:val="TableParagraph"/>
              <w:ind w:left="0"/>
              <w:rPr>
                <w:rFonts w:ascii="Times New Roman"/>
                <w:sz w:val="18"/>
              </w:rPr>
            </w:pPr>
          </w:p>
        </w:tc>
        <w:tc>
          <w:tcPr>
            <w:tcW w:w="2041" w:type="dxa"/>
            <w:tcBorders>
              <w:top w:val="nil"/>
            </w:tcBorders>
          </w:tcPr>
          <w:p w:rsidR="006A7A3F" w:rsidRPr="00BC534D" w:rsidRDefault="006A7A3F">
            <w:pPr>
              <w:pStyle w:val="TableParagraph"/>
              <w:ind w:left="0"/>
              <w:rPr>
                <w:rFonts w:ascii="Times New Roman"/>
                <w:sz w:val="16"/>
                <w:szCs w:val="16"/>
              </w:rPr>
            </w:pPr>
          </w:p>
        </w:tc>
        <w:tc>
          <w:tcPr>
            <w:tcW w:w="2041" w:type="dxa"/>
            <w:tcBorders>
              <w:top w:val="nil"/>
            </w:tcBorders>
          </w:tcPr>
          <w:p w:rsidR="006A7A3F" w:rsidRPr="00BC534D" w:rsidRDefault="006A7A3F">
            <w:pPr>
              <w:pStyle w:val="TableParagraph"/>
              <w:ind w:left="0"/>
              <w:rPr>
                <w:rFonts w:ascii="Times New Roman"/>
                <w:sz w:val="16"/>
                <w:szCs w:val="16"/>
              </w:rPr>
            </w:pPr>
          </w:p>
        </w:tc>
        <w:tc>
          <w:tcPr>
            <w:tcW w:w="2041" w:type="dxa"/>
            <w:tcBorders>
              <w:top w:val="nil"/>
            </w:tcBorders>
          </w:tcPr>
          <w:p w:rsidR="006A7A3F" w:rsidRPr="00BC534D" w:rsidRDefault="00BC7372">
            <w:pPr>
              <w:pStyle w:val="TableParagraph"/>
              <w:numPr>
                <w:ilvl w:val="0"/>
                <w:numId w:val="441"/>
              </w:numPr>
              <w:tabs>
                <w:tab w:val="left" w:pos="305"/>
              </w:tabs>
              <w:spacing w:before="38" w:line="254" w:lineRule="auto"/>
              <w:ind w:right="253"/>
              <w:rPr>
                <w:sz w:val="16"/>
                <w:szCs w:val="16"/>
              </w:rPr>
            </w:pPr>
            <w:r w:rsidRPr="00BC534D">
              <w:rPr>
                <w:color w:val="231F20"/>
                <w:sz w:val="16"/>
                <w:szCs w:val="16"/>
              </w:rPr>
              <w:t xml:space="preserve">Autumn/winter </w:t>
            </w:r>
            <w:r w:rsidRPr="00BC534D">
              <w:rPr>
                <w:color w:val="231F20"/>
                <w:spacing w:val="-6"/>
                <w:sz w:val="16"/>
                <w:szCs w:val="16"/>
              </w:rPr>
              <w:t xml:space="preserve">low </w:t>
            </w:r>
            <w:r w:rsidRPr="00BC534D">
              <w:rPr>
                <w:color w:val="231F20"/>
                <w:sz w:val="16"/>
                <w:szCs w:val="16"/>
              </w:rPr>
              <w:t>flow</w:t>
            </w:r>
          </w:p>
        </w:tc>
        <w:tc>
          <w:tcPr>
            <w:tcW w:w="2041" w:type="dxa"/>
            <w:tcBorders>
              <w:top w:val="nil"/>
            </w:tcBorders>
          </w:tcPr>
          <w:p w:rsidR="006A7A3F" w:rsidRPr="00BC534D" w:rsidRDefault="006A7A3F">
            <w:pPr>
              <w:pStyle w:val="TableParagraph"/>
              <w:ind w:left="0"/>
              <w:rPr>
                <w:rFonts w:ascii="Times New Roman"/>
                <w:sz w:val="16"/>
                <w:szCs w:val="16"/>
              </w:rPr>
            </w:pPr>
          </w:p>
        </w:tc>
      </w:tr>
      <w:tr w:rsidR="006A7A3F" w:rsidTr="00BC534D">
        <w:trPr>
          <w:trHeight w:val="733"/>
        </w:trPr>
        <w:tc>
          <w:tcPr>
            <w:tcW w:w="2041" w:type="dxa"/>
          </w:tcPr>
          <w:p w:rsidR="006A7A3F" w:rsidRDefault="00BC7372">
            <w:pPr>
              <w:pStyle w:val="TableParagraph"/>
              <w:spacing w:before="67" w:line="261" w:lineRule="auto"/>
              <w:ind w:left="85" w:right="253"/>
              <w:rPr>
                <w:sz w:val="16"/>
              </w:rPr>
            </w:pPr>
            <w:r>
              <w:rPr>
                <w:color w:val="231F20"/>
                <w:sz w:val="16"/>
              </w:rPr>
              <w:t>Potential environmental watering – tier 2 (additional priorities)</w:t>
            </w:r>
          </w:p>
        </w:tc>
        <w:tc>
          <w:tcPr>
            <w:tcW w:w="2041" w:type="dxa"/>
          </w:tcPr>
          <w:p w:rsidR="006A7A3F" w:rsidRPr="00BC534D" w:rsidRDefault="00BC7372">
            <w:pPr>
              <w:pStyle w:val="TableParagraph"/>
              <w:numPr>
                <w:ilvl w:val="0"/>
                <w:numId w:val="440"/>
              </w:numPr>
              <w:tabs>
                <w:tab w:val="left" w:pos="305"/>
              </w:tabs>
              <w:spacing w:before="63" w:line="254" w:lineRule="auto"/>
              <w:ind w:right="213"/>
              <w:rPr>
                <w:sz w:val="16"/>
                <w:szCs w:val="16"/>
              </w:rPr>
            </w:pPr>
            <w:r w:rsidRPr="00BC534D">
              <w:rPr>
                <w:color w:val="231F20"/>
                <w:sz w:val="16"/>
                <w:szCs w:val="16"/>
              </w:rPr>
              <w:t>Spring wetting of floodplain</w:t>
            </w:r>
            <w:r w:rsidRPr="00BC534D">
              <w:rPr>
                <w:color w:val="231F20"/>
                <w:spacing w:val="3"/>
                <w:sz w:val="16"/>
                <w:szCs w:val="16"/>
              </w:rPr>
              <w:t xml:space="preserve"> </w:t>
            </w:r>
            <w:r w:rsidRPr="00BC534D">
              <w:rPr>
                <w:color w:val="231F20"/>
                <w:spacing w:val="-3"/>
                <w:sz w:val="16"/>
                <w:szCs w:val="16"/>
              </w:rPr>
              <w:t>marshes</w:t>
            </w:r>
          </w:p>
        </w:tc>
        <w:tc>
          <w:tcPr>
            <w:tcW w:w="2041" w:type="dxa"/>
          </w:tcPr>
          <w:p w:rsidR="006A7A3F" w:rsidRPr="00BC534D" w:rsidRDefault="00BC7372">
            <w:pPr>
              <w:pStyle w:val="TableParagraph"/>
              <w:numPr>
                <w:ilvl w:val="0"/>
                <w:numId w:val="439"/>
              </w:numPr>
              <w:tabs>
                <w:tab w:val="left" w:pos="305"/>
              </w:tabs>
              <w:spacing w:before="63" w:line="254" w:lineRule="auto"/>
              <w:ind w:right="213"/>
              <w:rPr>
                <w:sz w:val="16"/>
                <w:szCs w:val="16"/>
              </w:rPr>
            </w:pPr>
            <w:r w:rsidRPr="00BC534D">
              <w:rPr>
                <w:color w:val="231F20"/>
                <w:sz w:val="16"/>
                <w:szCs w:val="16"/>
              </w:rPr>
              <w:t>Spring wetting of floodplain</w:t>
            </w:r>
            <w:r w:rsidRPr="00BC534D">
              <w:rPr>
                <w:color w:val="231F20"/>
                <w:spacing w:val="3"/>
                <w:sz w:val="16"/>
                <w:szCs w:val="16"/>
              </w:rPr>
              <w:t xml:space="preserve"> </w:t>
            </w:r>
            <w:r w:rsidRPr="00BC534D">
              <w:rPr>
                <w:color w:val="231F20"/>
                <w:spacing w:val="-3"/>
                <w:sz w:val="16"/>
                <w:szCs w:val="16"/>
              </w:rPr>
              <w:t>marshes</w:t>
            </w:r>
          </w:p>
        </w:tc>
        <w:tc>
          <w:tcPr>
            <w:tcW w:w="2041" w:type="dxa"/>
          </w:tcPr>
          <w:p w:rsidR="006A7A3F" w:rsidRPr="00BC534D" w:rsidRDefault="006A7A3F">
            <w:pPr>
              <w:pStyle w:val="TableParagraph"/>
              <w:ind w:left="0"/>
              <w:rPr>
                <w:rFonts w:ascii="Times New Roman"/>
                <w:sz w:val="16"/>
                <w:szCs w:val="16"/>
              </w:rPr>
            </w:pPr>
          </w:p>
        </w:tc>
        <w:tc>
          <w:tcPr>
            <w:tcW w:w="2041" w:type="dxa"/>
          </w:tcPr>
          <w:p w:rsidR="006A7A3F" w:rsidRPr="00BC534D" w:rsidRDefault="006A7A3F">
            <w:pPr>
              <w:pStyle w:val="TableParagraph"/>
              <w:ind w:left="0"/>
              <w:rPr>
                <w:rFonts w:ascii="Times New Roman"/>
                <w:sz w:val="16"/>
                <w:szCs w:val="16"/>
              </w:rPr>
            </w:pPr>
          </w:p>
        </w:tc>
      </w:tr>
      <w:tr w:rsidR="006A7A3F" w:rsidTr="00BC534D">
        <w:trPr>
          <w:trHeight w:val="933"/>
        </w:trPr>
        <w:tc>
          <w:tcPr>
            <w:tcW w:w="2041" w:type="dxa"/>
          </w:tcPr>
          <w:p w:rsidR="006A7A3F" w:rsidRDefault="00BC7372">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2</w:t>
            </w:r>
          </w:p>
        </w:tc>
        <w:tc>
          <w:tcPr>
            <w:tcW w:w="2041" w:type="dxa"/>
          </w:tcPr>
          <w:p w:rsidR="006A7A3F" w:rsidRPr="00BC534D" w:rsidRDefault="00BC7372">
            <w:pPr>
              <w:pStyle w:val="TableParagraph"/>
              <w:numPr>
                <w:ilvl w:val="0"/>
                <w:numId w:val="438"/>
              </w:numPr>
              <w:tabs>
                <w:tab w:val="left" w:pos="305"/>
              </w:tabs>
              <w:spacing w:before="63"/>
              <w:rPr>
                <w:sz w:val="16"/>
                <w:szCs w:val="16"/>
              </w:rPr>
            </w:pPr>
            <w:r w:rsidRPr="00BC534D">
              <w:rPr>
                <w:color w:val="231F20"/>
                <w:sz w:val="16"/>
                <w:szCs w:val="16"/>
              </w:rPr>
              <w:t>8,500 ML (tier</w:t>
            </w:r>
            <w:r w:rsidRPr="00BC534D">
              <w:rPr>
                <w:color w:val="231F20"/>
                <w:spacing w:val="-10"/>
                <w:sz w:val="16"/>
                <w:szCs w:val="16"/>
              </w:rPr>
              <w:t xml:space="preserve"> </w:t>
            </w:r>
            <w:r w:rsidRPr="00BC534D">
              <w:rPr>
                <w:color w:val="231F20"/>
                <w:sz w:val="16"/>
                <w:szCs w:val="16"/>
              </w:rPr>
              <w:t>1)</w:t>
            </w:r>
          </w:p>
        </w:tc>
        <w:tc>
          <w:tcPr>
            <w:tcW w:w="2041" w:type="dxa"/>
          </w:tcPr>
          <w:p w:rsidR="006A7A3F" w:rsidRPr="00BC534D" w:rsidRDefault="00BC7372">
            <w:pPr>
              <w:pStyle w:val="TableParagraph"/>
              <w:numPr>
                <w:ilvl w:val="0"/>
                <w:numId w:val="437"/>
              </w:numPr>
              <w:tabs>
                <w:tab w:val="left" w:pos="305"/>
              </w:tabs>
              <w:spacing w:before="63"/>
              <w:rPr>
                <w:sz w:val="16"/>
                <w:szCs w:val="16"/>
              </w:rPr>
            </w:pPr>
            <w:r w:rsidRPr="00BC534D">
              <w:rPr>
                <w:color w:val="231F20"/>
                <w:sz w:val="16"/>
                <w:szCs w:val="16"/>
              </w:rPr>
              <w:t>51,500 ML (tier</w:t>
            </w:r>
            <w:r w:rsidRPr="00BC534D">
              <w:rPr>
                <w:color w:val="231F20"/>
                <w:spacing w:val="-11"/>
                <w:sz w:val="16"/>
                <w:szCs w:val="16"/>
              </w:rPr>
              <w:t xml:space="preserve"> </w:t>
            </w:r>
            <w:r w:rsidRPr="00BC534D">
              <w:rPr>
                <w:color w:val="231F20"/>
                <w:sz w:val="16"/>
                <w:szCs w:val="16"/>
              </w:rPr>
              <w:t>1)</w:t>
            </w:r>
          </w:p>
        </w:tc>
        <w:tc>
          <w:tcPr>
            <w:tcW w:w="2041" w:type="dxa"/>
          </w:tcPr>
          <w:p w:rsidR="006A7A3F" w:rsidRPr="00BC534D" w:rsidRDefault="00BC7372">
            <w:pPr>
              <w:pStyle w:val="TableParagraph"/>
              <w:numPr>
                <w:ilvl w:val="0"/>
                <w:numId w:val="436"/>
              </w:numPr>
              <w:tabs>
                <w:tab w:val="left" w:pos="305"/>
              </w:tabs>
              <w:spacing w:before="63"/>
              <w:rPr>
                <w:sz w:val="16"/>
                <w:szCs w:val="16"/>
              </w:rPr>
            </w:pPr>
            <w:r w:rsidRPr="00BC534D">
              <w:rPr>
                <w:color w:val="231F20"/>
                <w:sz w:val="16"/>
                <w:szCs w:val="16"/>
              </w:rPr>
              <w:t>566,000 ML (tier</w:t>
            </w:r>
            <w:r w:rsidRPr="00BC534D">
              <w:rPr>
                <w:color w:val="231F20"/>
                <w:spacing w:val="-12"/>
                <w:sz w:val="16"/>
                <w:szCs w:val="16"/>
              </w:rPr>
              <w:t xml:space="preserve"> </w:t>
            </w:r>
            <w:r w:rsidRPr="00BC534D">
              <w:rPr>
                <w:color w:val="231F20"/>
                <w:sz w:val="16"/>
                <w:szCs w:val="16"/>
              </w:rPr>
              <w:t>1)</w:t>
            </w:r>
          </w:p>
        </w:tc>
        <w:tc>
          <w:tcPr>
            <w:tcW w:w="2041" w:type="dxa"/>
          </w:tcPr>
          <w:p w:rsidR="006A7A3F" w:rsidRPr="00BC534D" w:rsidRDefault="00BC7372">
            <w:pPr>
              <w:pStyle w:val="TableParagraph"/>
              <w:numPr>
                <w:ilvl w:val="0"/>
                <w:numId w:val="435"/>
              </w:numPr>
              <w:tabs>
                <w:tab w:val="left" w:pos="305"/>
              </w:tabs>
              <w:spacing w:before="63"/>
              <w:rPr>
                <w:sz w:val="16"/>
                <w:szCs w:val="16"/>
              </w:rPr>
            </w:pPr>
            <w:r w:rsidRPr="00BC534D">
              <w:rPr>
                <w:color w:val="231F20"/>
                <w:sz w:val="16"/>
                <w:szCs w:val="16"/>
              </w:rPr>
              <w:t>570,000 ML (tier</w:t>
            </w:r>
            <w:r w:rsidRPr="00BC534D">
              <w:rPr>
                <w:color w:val="231F20"/>
                <w:spacing w:val="-12"/>
                <w:sz w:val="16"/>
                <w:szCs w:val="16"/>
              </w:rPr>
              <w:t xml:space="preserve"> </w:t>
            </w:r>
            <w:r w:rsidRPr="00BC534D">
              <w:rPr>
                <w:color w:val="231F20"/>
                <w:sz w:val="16"/>
                <w:szCs w:val="16"/>
              </w:rPr>
              <w:t>1)</w:t>
            </w:r>
          </w:p>
        </w:tc>
      </w:tr>
    </w:tbl>
    <w:p w:rsidR="006A7A3F" w:rsidRDefault="00BC7372">
      <w:pPr>
        <w:pStyle w:val="ListParagraph"/>
        <w:numPr>
          <w:ilvl w:val="0"/>
          <w:numId w:val="434"/>
        </w:numPr>
        <w:tabs>
          <w:tab w:val="left" w:pos="324"/>
        </w:tabs>
        <w:spacing w:before="129" w:line="266" w:lineRule="auto"/>
        <w:ind w:right="190"/>
        <w:rPr>
          <w:sz w:val="14"/>
        </w:rPr>
      </w:pPr>
      <w:r>
        <w:rPr>
          <w:color w:val="231F20"/>
          <w:sz w:val="14"/>
        </w:rPr>
        <w:t>Tier 1 potential environmental watering at Barmah Forest is not classified as tier 1a or 1b because the water available for use is shared across various systems, and it is not possible to reliably determine the supply specifically available for Barmah</w:t>
      </w:r>
      <w:r>
        <w:rPr>
          <w:color w:val="231F20"/>
          <w:spacing w:val="5"/>
          <w:sz w:val="14"/>
        </w:rPr>
        <w:t xml:space="preserve"> </w:t>
      </w:r>
      <w:r>
        <w:rPr>
          <w:color w:val="231F20"/>
          <w:sz w:val="14"/>
        </w:rPr>
        <w:t>Forest.</w:t>
      </w:r>
    </w:p>
    <w:p w:rsidR="006A7A3F" w:rsidRDefault="00BC7372">
      <w:pPr>
        <w:pStyle w:val="ListParagraph"/>
        <w:numPr>
          <w:ilvl w:val="0"/>
          <w:numId w:val="434"/>
        </w:numPr>
        <w:tabs>
          <w:tab w:val="left" w:pos="324"/>
        </w:tabs>
        <w:spacing w:before="55" w:line="266" w:lineRule="auto"/>
        <w:ind w:right="319"/>
        <w:rPr>
          <w:sz w:val="14"/>
        </w:rPr>
      </w:pPr>
      <w:r>
        <w:rPr>
          <w:color w:val="231F20"/>
          <w:sz w:val="14"/>
        </w:rPr>
        <w:t xml:space="preserve">The possible volumes of water for the environment required in Barmah Forest are estimates and highly variable, depending on factors such as seasonal conditions and the contributions of operational and/or unregulated flows. Much of the environmental water delivered to Barmah Forest is returned to the River Murray — around 80 percent in the </w:t>
      </w:r>
      <w:r>
        <w:rPr>
          <w:color w:val="231F20"/>
          <w:spacing w:val="2"/>
          <w:sz w:val="14"/>
        </w:rPr>
        <w:t xml:space="preserve">dry </w:t>
      </w:r>
      <w:r>
        <w:rPr>
          <w:color w:val="231F20"/>
          <w:sz w:val="14"/>
        </w:rPr>
        <w:t xml:space="preserve">to wet </w:t>
      </w:r>
      <w:r>
        <w:rPr>
          <w:color w:val="231F20"/>
          <w:spacing w:val="2"/>
          <w:sz w:val="14"/>
        </w:rPr>
        <w:t xml:space="preserve">scenarios </w:t>
      </w:r>
      <w:r>
        <w:rPr>
          <w:color w:val="231F20"/>
          <w:sz w:val="14"/>
        </w:rPr>
        <w:t xml:space="preserve">— and can be </w:t>
      </w:r>
      <w:r>
        <w:rPr>
          <w:color w:val="231F20"/>
          <w:spacing w:val="2"/>
          <w:sz w:val="14"/>
        </w:rPr>
        <w:t xml:space="preserve">re-used </w:t>
      </w:r>
      <w:r>
        <w:rPr>
          <w:color w:val="231F20"/>
          <w:sz w:val="14"/>
        </w:rPr>
        <w:t>at downstream environmental watering</w:t>
      </w:r>
      <w:r>
        <w:rPr>
          <w:color w:val="231F20"/>
          <w:spacing w:val="12"/>
          <w:sz w:val="14"/>
        </w:rPr>
        <w:t xml:space="preserve"> </w:t>
      </w:r>
      <w:r>
        <w:rPr>
          <w:color w:val="231F20"/>
          <w:sz w:val="14"/>
        </w:rPr>
        <w:t>sites.</w:t>
      </w:r>
    </w:p>
    <w:p w:rsidR="00BC534D" w:rsidRDefault="00BC534D">
      <w:pPr>
        <w:rPr>
          <w:rFonts w:ascii="HelveticaNeueLTStd-Md"/>
          <w:color w:val="231F20"/>
          <w:sz w:val="24"/>
        </w:rPr>
      </w:pPr>
      <w:r>
        <w:rPr>
          <w:rFonts w:ascii="HelveticaNeueLTStd-Md"/>
          <w:color w:val="231F20"/>
          <w:sz w:val="24"/>
        </w:rPr>
        <w:br w:type="page"/>
      </w:r>
    </w:p>
    <w:p w:rsidR="006A7A3F" w:rsidRDefault="00BC7372">
      <w:pPr>
        <w:pStyle w:val="ListParagraph"/>
        <w:numPr>
          <w:ilvl w:val="2"/>
          <w:numId w:val="577"/>
        </w:numPr>
        <w:tabs>
          <w:tab w:val="left" w:pos="811"/>
        </w:tabs>
        <w:spacing w:before="131"/>
        <w:rPr>
          <w:rFonts w:ascii="HelveticaNeueLTStd-Md"/>
          <w:color w:val="231F20"/>
          <w:sz w:val="24"/>
        </w:rPr>
      </w:pPr>
      <w:r>
        <w:rPr>
          <w:rFonts w:ascii="HelveticaNeueLTStd-Md"/>
          <w:color w:val="231F20"/>
          <w:sz w:val="24"/>
        </w:rPr>
        <w:t>Gunbower Creek and</w:t>
      </w:r>
      <w:r>
        <w:rPr>
          <w:rFonts w:ascii="HelveticaNeueLTStd-Md"/>
          <w:color w:val="231F20"/>
          <w:spacing w:val="-1"/>
          <w:sz w:val="24"/>
        </w:rPr>
        <w:t xml:space="preserve"> </w:t>
      </w:r>
      <w:r>
        <w:rPr>
          <w:rFonts w:ascii="HelveticaNeueLTStd-Md"/>
          <w:color w:val="231F20"/>
          <w:sz w:val="24"/>
        </w:rPr>
        <w:t>Forest</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462"/>
      </w:pPr>
      <w:r>
        <w:rPr>
          <w:color w:val="231F20"/>
        </w:rPr>
        <w:t>Gunbower Forest is a large, flood-dependent forest situated on the Murray River floodplain in northern Victoria between Torrumbarry and Koondrook (Figure 5.2.2).</w:t>
      </w:r>
    </w:p>
    <w:p w:rsidR="006A7A3F" w:rsidRDefault="006A7A3F">
      <w:pPr>
        <w:pStyle w:val="BodyText"/>
        <w:spacing w:before="8"/>
        <w:ind w:left="0"/>
        <w:rPr>
          <w:sz w:val="21"/>
        </w:rPr>
      </w:pPr>
    </w:p>
    <w:p w:rsidR="006A7A3F" w:rsidRDefault="00BC7372">
      <w:pPr>
        <w:pStyle w:val="BodyText"/>
        <w:spacing w:before="0" w:line="249" w:lineRule="auto"/>
        <w:ind w:right="277"/>
      </w:pPr>
      <w:r>
        <w:rPr>
          <w:color w:val="231F20"/>
        </w:rPr>
        <w:t>Covering 19,450 ha, it is bounded by the Murray River to the north and Gunbower Creek to the south. It is an internationally significant site under the Ramsar Convention and forms part of the Living Murray Gunbower- Koondrook-Perricoota forests icon site. River regulation and water extraction from the Murray River and Gunbower Creek has reduced the frequency, duration and magnitude of flood events in Gunbower Forest. This has affected the extent and condition of floodplain habitats and the health of plant and animal communities (such as river red gum and black box communities, native fish, birds, platypus, frogs and turtles) that depend on those habitats.</w:t>
      </w:r>
    </w:p>
    <w:p w:rsidR="006A7A3F" w:rsidRDefault="00BC7372">
      <w:pPr>
        <w:pStyle w:val="BodyText"/>
        <w:spacing w:before="175" w:line="249" w:lineRule="auto"/>
        <w:ind w:right="230"/>
      </w:pPr>
      <w:r>
        <w:rPr>
          <w:color w:val="231F20"/>
        </w:rPr>
        <w:t>Gunbower Creek is natural creek that has been modified to supply irrigation water from the Murray River to the Torrumbarry Irrigation Area. There are twelve lagoons, largely located in the upper reaches of the creek system, that are permanently or seasonally connected to Gunbower Creek. Water for the environment is used in Gunbower Creek to improve habitat for native fish, especially Murray cod.</w:t>
      </w:r>
    </w:p>
    <w:p w:rsidR="006A7A3F" w:rsidRDefault="00BC7372">
      <w:pPr>
        <w:pStyle w:val="BodyText"/>
        <w:spacing w:before="174" w:line="249" w:lineRule="auto"/>
        <w:ind w:right="363"/>
      </w:pPr>
      <w:r>
        <w:rPr>
          <w:color w:val="231F20"/>
        </w:rPr>
        <w:t>The Living Murray environmental works program in the middle and lower forest was completed in 2013. The works allow up to 4,500 ha of the wetlands and floodplain to be watered with considerably less water than would be required if the watering infrastructure was not in place. The works enable efficient watering through Gunbower Creek and the forest to maintain wetland and floodplain condition and provide connectivity between the creek, forest floodplain and the Murray River. Frequent connections between the river and floodplain habitats allow biota to move between habitats and support critical ecosystem functions (such as carbon exchange).</w:t>
      </w:r>
    </w:p>
    <w:p w:rsidR="006A7A3F" w:rsidRDefault="00BC7372">
      <w:pPr>
        <w:spacing w:before="184"/>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352"/>
      </w:pPr>
      <w:r>
        <w:rPr>
          <w:color w:val="231F20"/>
        </w:rPr>
        <w:t>Gunbower Forest contains many important environmental values. It includes rare and diverse wetland habitats and large areas of remnant vegetation communities (such as river red gum forest and woodlands). It is also home to vulnerable and endangered plants and animals including river swamp wallaby-grass, wavy marshwort, Murray- Darling rainbowfish, eastern great and intermediate egrets. It also supports internationally recognised migratory waterbird species.</w:t>
      </w:r>
    </w:p>
    <w:p w:rsidR="00BC534D" w:rsidRDefault="00BC7372">
      <w:pPr>
        <w:pStyle w:val="BodyText"/>
        <w:spacing w:before="174" w:line="249" w:lineRule="auto"/>
        <w:ind w:right="297"/>
        <w:rPr>
          <w:color w:val="231F20"/>
        </w:rPr>
      </w:pPr>
      <w:r>
        <w:rPr>
          <w:color w:val="231F20"/>
        </w:rPr>
        <w:t>Gunbower Creek provides important habitat for native fish (such as Murray cod, golden perch and freshwater catfish). It is a valuable refuge for native fish, and it provides a source of fish to recolonise surrounding waterways.</w:t>
      </w:r>
    </w:p>
    <w:p w:rsidR="00BC534D" w:rsidRDefault="00BC534D">
      <w:pPr>
        <w:rPr>
          <w:color w:val="231F20"/>
          <w:sz w:val="20"/>
          <w:szCs w:val="20"/>
        </w:rPr>
      </w:pPr>
      <w:r>
        <w:rPr>
          <w:color w:val="231F20"/>
        </w:rPr>
        <w:br w:type="page"/>
      </w:r>
    </w:p>
    <w:p w:rsidR="006A7A3F" w:rsidRPr="00BC534D" w:rsidRDefault="00BC7372">
      <w:pPr>
        <w:pStyle w:val="BodyText"/>
        <w:spacing w:before="70"/>
        <w:rPr>
          <w:b/>
          <w:bCs/>
        </w:rPr>
      </w:pPr>
      <w:r w:rsidRPr="00BC534D">
        <w:rPr>
          <w:b/>
          <w:bCs/>
          <w:color w:val="231F20"/>
        </w:rPr>
        <w:t>Environmental watering objectives in Gunbower Creek and Forest</w:t>
      </w:r>
    </w:p>
    <w:p w:rsidR="006A7A3F" w:rsidRDefault="006A7A3F">
      <w:pPr>
        <w:pStyle w:val="BodyText"/>
        <w:spacing w:before="1"/>
        <w:ind w:left="0"/>
        <w:rPr>
          <w:sz w:val="18"/>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360"/>
        </w:trPr>
        <w:tc>
          <w:tcPr>
            <w:tcW w:w="789" w:type="dxa"/>
            <w:tcBorders>
              <w:bottom w:val="single" w:sz="8" w:space="0" w:color="FFFFFF"/>
            </w:tcBorders>
            <w:shd w:val="clear" w:color="auto" w:fill="E6E7E8"/>
          </w:tcPr>
          <w:p w:rsidR="006A7A3F" w:rsidRDefault="006A7A3F">
            <w:pPr>
              <w:pStyle w:val="TableParagraph"/>
              <w:ind w:left="0"/>
              <w:rPr>
                <w:sz w:val="20"/>
              </w:rPr>
            </w:pPr>
          </w:p>
          <w:p w:rsidR="006A7A3F" w:rsidRDefault="006A7A3F">
            <w:pPr>
              <w:pStyle w:val="TableParagraph"/>
              <w:spacing w:before="3"/>
              <w:ind w:left="0"/>
              <w:rPr>
                <w:sz w:val="18"/>
              </w:rPr>
            </w:pPr>
          </w:p>
          <w:p w:rsidR="006A7A3F" w:rsidRDefault="00BC7372">
            <w:pPr>
              <w:pStyle w:val="TableParagraph"/>
              <w:ind w:left="178"/>
              <w:rPr>
                <w:sz w:val="20"/>
              </w:rPr>
            </w:pPr>
            <w:r>
              <w:rPr>
                <w:noProof/>
                <w:sz w:val="20"/>
              </w:rPr>
              <w:drawing>
                <wp:inline distT="0" distB="0" distL="0" distR="0">
                  <wp:extent cx="314168" cy="310896"/>
                  <wp:effectExtent l="0" t="0" r="0" b="0"/>
                  <wp:docPr id="164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36" w:line="261" w:lineRule="auto"/>
              <w:ind w:left="118" w:right="315"/>
              <w:jc w:val="both"/>
              <w:rPr>
                <w:sz w:val="16"/>
              </w:rPr>
            </w:pPr>
            <w:r>
              <w:rPr>
                <w:color w:val="231F20"/>
                <w:sz w:val="16"/>
              </w:rPr>
              <w:t>Provide feeding, breeding and refuge habitat for small-bodied native fish (such as Murray-Darling rainbow fish) in forest wetlands</w:t>
            </w:r>
          </w:p>
          <w:p w:rsidR="006A7A3F" w:rsidRDefault="00BC7372">
            <w:pPr>
              <w:pStyle w:val="TableParagraph"/>
              <w:spacing w:before="112" w:line="261" w:lineRule="auto"/>
              <w:ind w:left="118"/>
              <w:rPr>
                <w:sz w:val="16"/>
              </w:rPr>
            </w:pPr>
            <w:r>
              <w:rPr>
                <w:color w:val="231F20"/>
                <w:sz w:val="16"/>
              </w:rPr>
              <w:t>Maintain and improve populations of large-bodied native fish (such as Murray cod) in Gunbower Creek</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sz w:val="13"/>
              </w:rPr>
            </w:pPr>
          </w:p>
          <w:p w:rsidR="006A7A3F" w:rsidRDefault="00BC7372">
            <w:pPr>
              <w:pStyle w:val="TableParagraph"/>
              <w:ind w:left="178"/>
              <w:rPr>
                <w:sz w:val="20"/>
              </w:rPr>
            </w:pPr>
            <w:r>
              <w:rPr>
                <w:noProof/>
                <w:sz w:val="20"/>
              </w:rPr>
              <w:drawing>
                <wp:inline distT="0" distB="0" distL="0" distR="0">
                  <wp:extent cx="314171" cy="310896"/>
                  <wp:effectExtent l="0" t="0" r="0" b="0"/>
                  <wp:docPr id="1643"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25.jpeg"/>
                          <pic:cNvPicPr/>
                        </pic:nvPicPr>
                        <pic:blipFill>
                          <a:blip r:embed="rId37" cstate="print"/>
                          <a:stretch>
                            <a:fillRect/>
                          </a:stretch>
                        </pic:blipFill>
                        <pic:spPr>
                          <a:xfrm>
                            <a:off x="0" y="0"/>
                            <a:ext cx="314171"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6"/>
              <w:ind w:left="0"/>
              <w:rPr>
                <w:sz w:val="18"/>
              </w:rPr>
            </w:pPr>
          </w:p>
          <w:p w:rsidR="006A7A3F" w:rsidRDefault="00BC7372">
            <w:pPr>
              <w:pStyle w:val="TableParagraph"/>
              <w:spacing w:line="261" w:lineRule="auto"/>
              <w:ind w:left="118" w:right="492"/>
              <w:rPr>
                <w:sz w:val="16"/>
              </w:rPr>
            </w:pPr>
            <w:r>
              <w:rPr>
                <w:color w:val="231F20"/>
                <w:sz w:val="16"/>
              </w:rPr>
              <w:t>Provide suitable feeding, breeding and refuge habitat for frogs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0"/>
              <w:ind w:left="0"/>
              <w:rPr>
                <w:sz w:val="13"/>
              </w:rPr>
            </w:pPr>
          </w:p>
          <w:p w:rsidR="006A7A3F" w:rsidRDefault="00BC7372">
            <w:pPr>
              <w:pStyle w:val="TableParagraph"/>
              <w:ind w:left="178"/>
              <w:rPr>
                <w:sz w:val="20"/>
              </w:rPr>
            </w:pPr>
            <w:r>
              <w:rPr>
                <w:noProof/>
                <w:sz w:val="20"/>
              </w:rPr>
              <w:drawing>
                <wp:inline distT="0" distB="0" distL="0" distR="0">
                  <wp:extent cx="314168" cy="310896"/>
                  <wp:effectExtent l="0" t="0" r="0" b="0"/>
                  <wp:docPr id="1645"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6"/>
              <w:ind w:left="0"/>
              <w:rPr>
                <w:sz w:val="18"/>
              </w:rPr>
            </w:pPr>
          </w:p>
          <w:p w:rsidR="006A7A3F" w:rsidRDefault="00BC7372">
            <w:pPr>
              <w:pStyle w:val="TableParagraph"/>
              <w:spacing w:line="261" w:lineRule="auto"/>
              <w:ind w:left="118" w:right="492"/>
              <w:rPr>
                <w:sz w:val="16"/>
              </w:rPr>
            </w:pPr>
            <w:r>
              <w:rPr>
                <w:color w:val="231F20"/>
                <w:sz w:val="16"/>
              </w:rPr>
              <w:t>Provide suitable feeding, breeding and refuge habitat for turtles</w:t>
            </w:r>
          </w:p>
        </w:tc>
      </w:tr>
      <w:tr w:rsidR="006A7A3F">
        <w:trPr>
          <w:trHeight w:val="10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8" w:after="1"/>
              <w:ind w:left="0"/>
              <w:rPr>
                <w:sz w:val="23"/>
              </w:rPr>
            </w:pPr>
          </w:p>
          <w:p w:rsidR="006A7A3F" w:rsidRDefault="00BC7372">
            <w:pPr>
              <w:pStyle w:val="TableParagraph"/>
              <w:ind w:left="178"/>
              <w:rPr>
                <w:sz w:val="20"/>
              </w:rPr>
            </w:pPr>
            <w:r>
              <w:rPr>
                <w:noProof/>
                <w:sz w:val="20"/>
              </w:rPr>
              <w:drawing>
                <wp:inline distT="0" distB="0" distL="0" distR="0">
                  <wp:extent cx="314168" cy="310896"/>
                  <wp:effectExtent l="0" t="0" r="0" b="0"/>
                  <wp:docPr id="1647"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226"/>
              <w:rPr>
                <w:sz w:val="16"/>
              </w:rPr>
            </w:pPr>
            <w:r>
              <w:rPr>
                <w:color w:val="231F20"/>
                <w:sz w:val="16"/>
              </w:rPr>
              <w:t>Support carbon and nutrient cycles in the forest and wetlands and periodically deliver carbon and nutrients from the forest to adjacent waterways to support food webs</w:t>
            </w:r>
          </w:p>
        </w:tc>
      </w:tr>
      <w:tr w:rsidR="006A7A3F">
        <w:trPr>
          <w:trHeight w:val="135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sz w:val="20"/>
              </w:rPr>
            </w:pPr>
          </w:p>
          <w:p w:rsidR="006A7A3F" w:rsidRDefault="006A7A3F">
            <w:pPr>
              <w:pStyle w:val="TableParagraph"/>
              <w:spacing w:before="4"/>
              <w:ind w:left="0"/>
              <w:rPr>
                <w:sz w:val="17"/>
              </w:rPr>
            </w:pPr>
          </w:p>
          <w:p w:rsidR="006A7A3F" w:rsidRDefault="00BC7372">
            <w:pPr>
              <w:pStyle w:val="TableParagraph"/>
              <w:ind w:left="178"/>
              <w:rPr>
                <w:sz w:val="20"/>
              </w:rPr>
            </w:pPr>
            <w:r>
              <w:rPr>
                <w:noProof/>
                <w:sz w:val="20"/>
              </w:rPr>
              <w:drawing>
                <wp:inline distT="0" distB="0" distL="0" distR="0">
                  <wp:extent cx="314168" cy="310896"/>
                  <wp:effectExtent l="0" t="0" r="0" b="0"/>
                  <wp:docPr id="164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226"/>
              <w:jc w:val="both"/>
              <w:rPr>
                <w:sz w:val="16"/>
              </w:rPr>
            </w:pPr>
            <w:r>
              <w:rPr>
                <w:color w:val="231F20"/>
                <w:sz w:val="16"/>
              </w:rPr>
              <w:t>Maintain and improve the health and increase the abundance of native vegetation in permanent and semi-permanent wetlands</w:t>
            </w:r>
          </w:p>
          <w:p w:rsidR="006A7A3F" w:rsidRDefault="00BC7372">
            <w:pPr>
              <w:pStyle w:val="TableParagraph"/>
              <w:spacing w:before="112" w:line="261" w:lineRule="auto"/>
              <w:ind w:left="118" w:right="74"/>
              <w:rPr>
                <w:sz w:val="16"/>
              </w:rPr>
            </w:pPr>
            <w:r>
              <w:rPr>
                <w:color w:val="231F20"/>
                <w:sz w:val="16"/>
              </w:rPr>
              <w:t>Improve the health of river red gums, black box and grey box communities</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after="1"/>
              <w:ind w:left="0"/>
              <w:rPr>
                <w:sz w:val="15"/>
              </w:rPr>
            </w:pPr>
          </w:p>
          <w:p w:rsidR="006A7A3F" w:rsidRDefault="00BC7372">
            <w:pPr>
              <w:pStyle w:val="TableParagraph"/>
              <w:ind w:left="178"/>
              <w:rPr>
                <w:sz w:val="20"/>
              </w:rPr>
            </w:pPr>
            <w:r>
              <w:rPr>
                <w:noProof/>
                <w:sz w:val="20"/>
              </w:rPr>
              <w:drawing>
                <wp:inline distT="0" distB="0" distL="0" distR="0">
                  <wp:extent cx="314161" cy="310896"/>
                  <wp:effectExtent l="0" t="0" r="0" b="0"/>
                  <wp:docPr id="1651"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27.jpeg"/>
                          <pic:cNvPicPr/>
                        </pic:nvPicPr>
                        <pic:blipFill>
                          <a:blip r:embed="rId39" cstate="print"/>
                          <a:stretch>
                            <a:fillRect/>
                          </a:stretch>
                        </pic:blipFill>
                        <pic:spPr>
                          <a:xfrm>
                            <a:off x="0" y="0"/>
                            <a:ext cx="314161"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36"/>
              <w:rPr>
                <w:sz w:val="16"/>
              </w:rPr>
            </w:pPr>
            <w:r>
              <w:rPr>
                <w:color w:val="231F20"/>
                <w:sz w:val="16"/>
              </w:rPr>
              <w:t>Provide feeding, breeding and refuge habitat for waterbirds including colonial nesting species (such as egrets, cormorants and herons)</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0"/>
              <w:ind w:left="0"/>
              <w:rPr>
                <w:sz w:val="13"/>
              </w:rPr>
            </w:pPr>
          </w:p>
          <w:p w:rsidR="006A7A3F" w:rsidRDefault="00BC7372">
            <w:pPr>
              <w:pStyle w:val="TableParagraph"/>
              <w:ind w:left="178"/>
              <w:rPr>
                <w:sz w:val="20"/>
              </w:rPr>
            </w:pPr>
            <w:r>
              <w:rPr>
                <w:noProof/>
                <w:sz w:val="20"/>
              </w:rPr>
              <w:drawing>
                <wp:inline distT="0" distB="0" distL="0" distR="0">
                  <wp:extent cx="314166" cy="310896"/>
                  <wp:effectExtent l="0" t="0" r="0" b="0"/>
                  <wp:docPr id="165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23.png"/>
                          <pic:cNvPicPr/>
                        </pic:nvPicPr>
                        <pic:blipFill>
                          <a:blip r:embed="rId35" cstate="print"/>
                          <a:stretch>
                            <a:fillRect/>
                          </a:stretch>
                        </pic:blipFill>
                        <pic:spPr>
                          <a:xfrm>
                            <a:off x="0" y="0"/>
                            <a:ext cx="314166"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6"/>
              <w:ind w:left="0"/>
              <w:rPr>
                <w:sz w:val="18"/>
              </w:rPr>
            </w:pPr>
          </w:p>
          <w:p w:rsidR="006A7A3F" w:rsidRDefault="00BC7372">
            <w:pPr>
              <w:pStyle w:val="TableParagraph"/>
              <w:spacing w:line="261" w:lineRule="auto"/>
              <w:ind w:left="118" w:right="297"/>
              <w:rPr>
                <w:sz w:val="16"/>
              </w:rPr>
            </w:pPr>
            <w:r>
              <w:rPr>
                <w:color w:val="231F20"/>
                <w:sz w:val="16"/>
              </w:rPr>
              <w:t>Maintain and improve water quality in Gunbower Creek</w:t>
            </w:r>
          </w:p>
        </w:tc>
      </w:tr>
    </w:tbl>
    <w:p w:rsidR="006A7A3F" w:rsidRDefault="00BC7372">
      <w:pPr>
        <w:spacing w:before="151"/>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274"/>
      </w:pPr>
      <w:r>
        <w:rPr>
          <w:color w:val="231F20"/>
        </w:rPr>
        <w:t>At Gunbower Island there are two Traditional Owner groups which recognise the forest as their traditional Country. The mid and lower area of Gunbower Forest is recognised as the traditional Country of the Barapa Barapa people, and the upper Gunbower Forest is recognised as the traditional Country of the Yorta Yorta people. North Central CMA seeks engagement and input from both groups when undertaking annual environmental water planning and throughout the year as part of the Living Murray Indigenous Partnerships Program.</w:t>
      </w:r>
    </w:p>
    <w:p w:rsidR="006A7A3F" w:rsidRDefault="00BC7372">
      <w:pPr>
        <w:pStyle w:val="BodyText"/>
        <w:spacing w:before="174" w:line="249" w:lineRule="auto"/>
        <w:ind w:right="251"/>
      </w:pPr>
      <w:r>
        <w:rPr>
          <w:color w:val="231F20"/>
        </w:rPr>
        <w:t>Waterway managers are seeking opportunities to increase the involvement of Traditional Owners in environmental water planning and management. Where Traditional Owners are more deeply involved in the planning and/or delivery of environmental flows for a particular site, their contribution is acknowledged in Table 5.2.5 with an icon.</w:t>
      </w:r>
    </w:p>
    <w:p w:rsidR="006A7A3F" w:rsidRDefault="006A7A3F">
      <w:pPr>
        <w:pStyle w:val="BodyText"/>
        <w:spacing w:before="5"/>
        <w:ind w:left="0"/>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61"/>
      </w:tblGrid>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after="1"/>
              <w:ind w:left="0"/>
              <w:rPr>
                <w:sz w:val="15"/>
              </w:rPr>
            </w:pPr>
          </w:p>
          <w:p w:rsidR="006A7A3F" w:rsidRDefault="00BC7372">
            <w:pPr>
              <w:pStyle w:val="TableParagraph"/>
              <w:ind w:left="180"/>
              <w:rPr>
                <w:sz w:val="20"/>
              </w:rPr>
            </w:pPr>
            <w:r>
              <w:rPr>
                <w:noProof/>
                <w:sz w:val="20"/>
              </w:rPr>
              <w:drawing>
                <wp:inline distT="0" distB="0" distL="0" distR="0">
                  <wp:extent cx="313943" cy="313944"/>
                  <wp:effectExtent l="0" t="0" r="0" b="0"/>
                  <wp:docPr id="1655"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43.jpeg"/>
                          <pic:cNvPicPr/>
                        </pic:nvPicPr>
                        <pic:blipFill>
                          <a:blip r:embed="rId55" cstate="print"/>
                          <a:stretch>
                            <a:fillRect/>
                          </a:stretch>
                        </pic:blipFill>
                        <pic:spPr>
                          <a:xfrm>
                            <a:off x="0" y="0"/>
                            <a:ext cx="313943" cy="313944"/>
                          </a:xfrm>
                          <a:prstGeom prst="rect">
                            <a:avLst/>
                          </a:prstGeom>
                        </pic:spPr>
                      </pic:pic>
                    </a:graphicData>
                  </a:graphic>
                </wp:inline>
              </w:drawing>
            </w:r>
          </w:p>
        </w:tc>
        <w:tc>
          <w:tcPr>
            <w:tcW w:w="3861"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63"/>
              <w:rPr>
                <w:sz w:val="16"/>
              </w:rPr>
            </w:pPr>
            <w:r>
              <w:rPr>
                <w:color w:val="231F20"/>
                <w:sz w:val="16"/>
              </w:rPr>
              <w:t>Watering planned and/or delivered in partnership with Traditional Owners to support Aboriginal cultural values and uses</w:t>
            </w:r>
          </w:p>
        </w:tc>
      </w:tr>
    </w:tbl>
    <w:p w:rsidR="006A7A3F" w:rsidRDefault="00BC7372">
      <w:pPr>
        <w:pStyle w:val="BodyText"/>
        <w:spacing w:before="142" w:line="249" w:lineRule="auto"/>
        <w:ind w:right="496"/>
      </w:pPr>
      <w:r>
        <w:rPr>
          <w:color w:val="231F20"/>
        </w:rPr>
        <w:t>Barapa Barapa custodians have clearly expressed their aspirations for an active role in the management of land and water, to fulfil custodianship obligations and contribute to improvements in the health of Country.</w:t>
      </w:r>
    </w:p>
    <w:p w:rsidR="003A00D0" w:rsidRDefault="003A00D0">
      <w:pPr>
        <w:rPr>
          <w:color w:val="231F20"/>
          <w:sz w:val="20"/>
          <w:szCs w:val="20"/>
        </w:rPr>
      </w:pPr>
      <w:r>
        <w:rPr>
          <w:color w:val="231F20"/>
        </w:rPr>
        <w:br w:type="page"/>
      </w:r>
    </w:p>
    <w:p w:rsidR="006A7A3F" w:rsidRDefault="00BC7372">
      <w:pPr>
        <w:pStyle w:val="BodyText"/>
        <w:spacing w:line="249" w:lineRule="auto"/>
        <w:ind w:right="297"/>
      </w:pPr>
      <w:r>
        <w:rPr>
          <w:color w:val="231F20"/>
        </w:rPr>
        <w:t>Barapa Barapa Traditional Owners have been working in partnership with the North Central CMA to deliver the Water for Country project in Gunbower Forest since 2015. The Water for Country project builds on the work of the previous Barapa Barapa Cultural Heritage Mapping of Lower Gunbower Forest project, delivered in 2013–14 to map a catalogue of cultural heritage assets in the forest. The Water for Country project aims to investigate how Traditional Owners’ cultural and spiritual values may be better represented in water management. In 2018, the Water for Country group has evolved to also include Wamba Wamba Traditional Owners and continues to have a focus on Gunbower Forest.</w:t>
      </w:r>
    </w:p>
    <w:p w:rsidR="006A7A3F" w:rsidRDefault="00BC7372">
      <w:pPr>
        <w:pStyle w:val="BodyText"/>
        <w:spacing w:before="176" w:line="249" w:lineRule="auto"/>
        <w:ind w:right="457"/>
      </w:pPr>
      <w:r>
        <w:rPr>
          <w:color w:val="231F20"/>
        </w:rPr>
        <w:t>Barapa Barapa Traditional Owners identified a range of opportunities for 2020–21 watering to support cultural values (Table 5.2.3).</w:t>
      </w:r>
    </w:p>
    <w:p w:rsidR="006A7A3F" w:rsidRDefault="00BC7372" w:rsidP="003A00D0">
      <w:pPr>
        <w:spacing w:before="170" w:after="120"/>
        <w:ind w:left="210"/>
        <w:rPr>
          <w:b/>
          <w:sz w:val="18"/>
        </w:rPr>
      </w:pPr>
      <w:r>
        <w:rPr>
          <w:b/>
          <w:color w:val="231F20"/>
          <w:sz w:val="18"/>
        </w:rPr>
        <w:t>Table 5.2.3 Barapa Barapa cultural values and uses at Gunbower Forest</w:t>
      </w:r>
    </w:p>
    <w:tbl>
      <w:tblPr>
        <w:tblW w:w="1019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8494"/>
      </w:tblGrid>
      <w:tr w:rsidR="006A7A3F" w:rsidTr="003A00D0">
        <w:trPr>
          <w:trHeight w:val="367"/>
        </w:trPr>
        <w:tc>
          <w:tcPr>
            <w:tcW w:w="1701" w:type="dxa"/>
            <w:tcBorders>
              <w:top w:val="nil"/>
              <w:left w:val="nil"/>
              <w:bottom w:val="nil"/>
            </w:tcBorders>
            <w:shd w:val="clear" w:color="auto" w:fill="231F20"/>
          </w:tcPr>
          <w:p w:rsidR="006A7A3F" w:rsidRDefault="00BC7372">
            <w:pPr>
              <w:pStyle w:val="TableParagraph"/>
              <w:spacing w:before="73"/>
              <w:ind w:left="90"/>
              <w:rPr>
                <w:b/>
                <w:sz w:val="18"/>
              </w:rPr>
            </w:pPr>
            <w:r>
              <w:rPr>
                <w:b/>
                <w:color w:val="FFFFFF"/>
                <w:sz w:val="18"/>
              </w:rPr>
              <w:t>Values/uses</w:t>
            </w:r>
          </w:p>
        </w:tc>
        <w:tc>
          <w:tcPr>
            <w:tcW w:w="8494" w:type="dxa"/>
            <w:tcBorders>
              <w:top w:val="nil"/>
              <w:bottom w:val="nil"/>
              <w:right w:val="nil"/>
            </w:tcBorders>
            <w:shd w:val="clear" w:color="auto" w:fill="231F20"/>
          </w:tcPr>
          <w:p w:rsidR="006A7A3F" w:rsidRDefault="00BC7372">
            <w:pPr>
              <w:pStyle w:val="TableParagraph"/>
              <w:spacing w:before="73"/>
              <w:ind w:left="84"/>
              <w:rPr>
                <w:b/>
                <w:sz w:val="18"/>
              </w:rPr>
            </w:pPr>
            <w:r>
              <w:rPr>
                <w:b/>
                <w:color w:val="FFFFFF"/>
                <w:sz w:val="18"/>
              </w:rPr>
              <w:t>Considerations</w:t>
            </w:r>
          </w:p>
        </w:tc>
      </w:tr>
      <w:tr w:rsidR="006A7A3F" w:rsidTr="003A00D0">
        <w:trPr>
          <w:trHeight w:val="733"/>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385"/>
              <w:rPr>
                <w:sz w:val="16"/>
              </w:rPr>
            </w:pPr>
            <w:r>
              <w:rPr>
                <w:color w:val="231F20"/>
                <w:sz w:val="16"/>
              </w:rPr>
              <w:t>Cultural values, cultural practices</w:t>
            </w:r>
          </w:p>
        </w:tc>
        <w:tc>
          <w:tcPr>
            <w:tcW w:w="8494" w:type="dxa"/>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4" w:right="117"/>
              <w:rPr>
                <w:sz w:val="16"/>
              </w:rPr>
            </w:pPr>
            <w:r>
              <w:rPr>
                <w:color w:val="231F20"/>
                <w:sz w:val="16"/>
              </w:rPr>
              <w:t>Water in wetlands and on the floodplain from environmental watering and natural flooding supports culturally important plants throughout Gunbower Forest and allows the continuation of cultural practices including harvesting of food, medicine and weaving plants.</w:t>
            </w:r>
          </w:p>
        </w:tc>
      </w:tr>
      <w:tr w:rsidR="006A7A3F" w:rsidTr="003A00D0">
        <w:trPr>
          <w:trHeight w:val="7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Cultural values</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4" w:right="278"/>
              <w:jc w:val="both"/>
              <w:rPr>
                <w:sz w:val="16"/>
              </w:rPr>
            </w:pPr>
            <w:r>
              <w:rPr>
                <w:color w:val="231F20"/>
                <w:sz w:val="16"/>
              </w:rPr>
              <w:t>Providing drought refuge and maintaining areas with healthy habitat is a high priority for Barapa Barapa Traditional Owners. In a dry forest, they feel it was important to ensure that water is delivered to healthy areas, such as Reedy Lagoon, which elicit a good vegetation response and can support wetland and forest fauna.</w:t>
            </w:r>
          </w:p>
        </w:tc>
      </w:tr>
      <w:tr w:rsidR="006A7A3F" w:rsidTr="003A00D0">
        <w:trPr>
          <w:trHeight w:val="7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385"/>
              <w:rPr>
                <w:sz w:val="16"/>
              </w:rPr>
            </w:pPr>
            <w:r>
              <w:rPr>
                <w:color w:val="231F20"/>
                <w:sz w:val="16"/>
              </w:rPr>
              <w:t>Cultural values, cultural practices</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4" w:right="162"/>
              <w:rPr>
                <w:sz w:val="16"/>
              </w:rPr>
            </w:pPr>
            <w:r>
              <w:rPr>
                <w:color w:val="231F20"/>
                <w:sz w:val="16"/>
              </w:rPr>
              <w:t>Barapa Barapa Traditional Owners recognise the value of resources that occur on the drawdown after inundation of the forest floodplain, providing food for animals, and cultural plants such as old man weed. Providing this resource is considered particularly important in a dry forest.</w:t>
            </w:r>
          </w:p>
        </w:tc>
      </w:tr>
      <w:tr w:rsidR="006A7A3F" w:rsidTr="003A00D0">
        <w:trPr>
          <w:trHeight w:val="9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385"/>
              <w:rPr>
                <w:sz w:val="16"/>
              </w:rPr>
            </w:pPr>
            <w:r>
              <w:rPr>
                <w:color w:val="231F20"/>
                <w:sz w:val="16"/>
              </w:rPr>
              <w:t>Cultural values, cultural practices</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4" w:right="33"/>
              <w:rPr>
                <w:sz w:val="16"/>
              </w:rPr>
            </w:pPr>
            <w:r>
              <w:rPr>
                <w:color w:val="231F20"/>
                <w:sz w:val="16"/>
              </w:rPr>
              <w:t>Having a diversity of habitat and vegetation responses is a priority for Barapa Barapa Traditional Owners, particularly in a dry year. They highlighted the importance of having a diversity of drought refuge, with a range of water depths, which creates a more diverse vegetation response and results in a range of resources becoming available over a longer timeframe.</w:t>
            </w:r>
          </w:p>
        </w:tc>
      </w:tr>
      <w:tr w:rsidR="006A7A3F" w:rsidTr="003A00D0">
        <w:trPr>
          <w:trHeight w:val="7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Cultural values</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4"/>
              <w:rPr>
                <w:sz w:val="16"/>
              </w:rPr>
            </w:pPr>
            <w:r>
              <w:rPr>
                <w:color w:val="231F20"/>
                <w:sz w:val="16"/>
              </w:rPr>
              <w:t>Barapa Barapa Traditional Owners value having water in natural creeks and billabongs off main wetlands, which were likely to have traditionally been canoe mooring sites. Evidence of this in the forest can be seen near Long Lagoon by numerous earth mounds and a large canoe tree on the edge of a large floodrunner.</w:t>
            </w:r>
          </w:p>
        </w:tc>
      </w:tr>
      <w:tr w:rsidR="006A7A3F" w:rsidTr="003A00D0">
        <w:trPr>
          <w:trHeight w:val="7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Cultural practices</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4" w:right="117"/>
              <w:rPr>
                <w:sz w:val="16"/>
              </w:rPr>
            </w:pPr>
            <w:r>
              <w:rPr>
                <w:color w:val="231F20"/>
                <w:sz w:val="16"/>
              </w:rPr>
              <w:t>Barapa Barapa Traditional Owners have aspirations to reintroduce traditional fish traps into natural creeks within Gunbower Forest. The flood-runners around the Little Gunbower Creek Complex have been identified as potential trial sites.</w:t>
            </w:r>
          </w:p>
        </w:tc>
      </w:tr>
      <w:tr w:rsidR="006A7A3F" w:rsidTr="003A00D0">
        <w:trPr>
          <w:trHeight w:val="9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Cultural heritage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4" w:right="33"/>
              <w:rPr>
                <w:sz w:val="16"/>
              </w:rPr>
            </w:pPr>
            <w:r>
              <w:rPr>
                <w:color w:val="231F20"/>
                <w:sz w:val="16"/>
              </w:rPr>
              <w:t>Barapa Barapa Traditional Owners have noted that areas of black box and river red gum both have cultural heritage values, however the changed watering regime since regulation and changing climate is causing the encroachment of black box into areas previously dominated by river red gum. Barapa Barapa Traditional Owners expressed the desire to preserve the tree community that was historically present.</w:t>
            </w:r>
          </w:p>
        </w:tc>
      </w:tr>
    </w:tbl>
    <w:p w:rsidR="006A7A3F" w:rsidRDefault="00BC7372" w:rsidP="004107F7">
      <w:pPr>
        <w:pStyle w:val="BodyText"/>
        <w:spacing w:before="135" w:line="249" w:lineRule="auto"/>
        <w:ind w:right="385"/>
      </w:pPr>
      <w:r>
        <w:rPr>
          <w:color w:val="231F20"/>
        </w:rPr>
        <w:t>The Barapa Barapa Water for Country project has led to the creation of the Barapa Barapa Cultural Watering Objectives Framework, which is a guiding document to ensure cultural priorities and outcomes are considered and incorporated in environmental water planning and management. The framework considers cultural objectives matched with hydrological considerations, indicators and measures for monitoring success (Table 5.2.4). These</w:t>
      </w:r>
      <w:r w:rsidR="004107F7">
        <w:rPr>
          <w:color w:val="231F20"/>
        </w:rPr>
        <w:t xml:space="preserve"> </w:t>
      </w:r>
      <w:r>
        <w:rPr>
          <w:color w:val="231F20"/>
        </w:rPr>
        <w:t>objectives are considered in conjunction with the environmental and functional watering objectives for the potential watering actions in Table 5.2.5.</w:t>
      </w:r>
    </w:p>
    <w:p w:rsidR="006A7A3F" w:rsidRDefault="00BC7372">
      <w:pPr>
        <w:pStyle w:val="BodyText"/>
        <w:spacing w:line="249" w:lineRule="auto"/>
        <w:ind w:right="530"/>
      </w:pPr>
      <w:r>
        <w:rPr>
          <w:color w:val="231F20"/>
        </w:rPr>
        <w:t>Planning for environmental watering in 2020–21 included discussion of vegetation monitoring results, forest condition and potential watering requirements with a field ecologist and a field visit to review the previous year’s cultural objectives and outcomes and discuss potential new objectives.</w:t>
      </w:r>
    </w:p>
    <w:p w:rsidR="003A00D0" w:rsidRDefault="003A00D0">
      <w:pPr>
        <w:rPr>
          <w:color w:val="231F20"/>
          <w:sz w:val="20"/>
          <w:szCs w:val="20"/>
        </w:rPr>
      </w:pPr>
      <w:r>
        <w:rPr>
          <w:color w:val="231F20"/>
        </w:rPr>
        <w:br w:type="page"/>
      </w:r>
    </w:p>
    <w:p w:rsidR="006A7A3F" w:rsidRDefault="00BC7372">
      <w:pPr>
        <w:pStyle w:val="BodyText"/>
        <w:spacing w:line="249" w:lineRule="auto"/>
        <w:ind w:right="297"/>
      </w:pPr>
      <w:r>
        <w:rPr>
          <w:color w:val="231F20"/>
        </w:rPr>
        <w:t>Applying the framework during seasonal watering proposal engagement with Barapa Barapa Traditional Owners will ensure that environmental watering activities incorporate Barapa Barapa Traditional Owners’ cultural aspirations and that water managers are culturally informed when delivering environmental water.</w:t>
      </w:r>
    </w:p>
    <w:p w:rsidR="006A7A3F" w:rsidRDefault="00BC7372">
      <w:pPr>
        <w:pStyle w:val="BodyText"/>
        <w:spacing w:before="173" w:line="249" w:lineRule="auto"/>
        <w:ind w:right="100"/>
      </w:pPr>
      <w:r>
        <w:rPr>
          <w:color w:val="231F20"/>
        </w:rPr>
        <w:t>All potential watering actions in Table 5.2.5 provide the opportunity to support Barapa Barapa cultural values and objectives, but achievement will be guided by climatic conditions.</w:t>
      </w:r>
    </w:p>
    <w:p w:rsidR="006A7A3F" w:rsidRDefault="00BC7372">
      <w:pPr>
        <w:spacing w:before="166" w:line="249" w:lineRule="auto"/>
        <w:ind w:left="210" w:right="100"/>
        <w:rPr>
          <w:b/>
          <w:sz w:val="18"/>
        </w:rPr>
      </w:pPr>
      <w:r>
        <w:rPr>
          <w:b/>
          <w:color w:val="231F20"/>
          <w:sz w:val="18"/>
        </w:rPr>
        <w:t>Table 5.2.4 Barapa Barapa cultural objectives for environmental watering in Gunbower Forest 2020–21 (from the Barapa Barapa Cultural Watering Objectives Framework)</w:t>
      </w:r>
    </w:p>
    <w:p w:rsidR="006A7A3F" w:rsidRDefault="006A7A3F">
      <w:pPr>
        <w:pStyle w:val="BodyText"/>
        <w:spacing w:before="4"/>
        <w:ind w:left="0"/>
        <w:rPr>
          <w:b/>
          <w:sz w:val="8"/>
        </w:rPr>
      </w:pPr>
    </w:p>
    <w:tbl>
      <w:tblPr>
        <w:tblW w:w="10204"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721"/>
        <w:gridCol w:w="2721"/>
        <w:gridCol w:w="2721"/>
      </w:tblGrid>
      <w:tr w:rsidR="006A7A3F" w:rsidTr="003A00D0">
        <w:trPr>
          <w:trHeight w:val="362"/>
        </w:trPr>
        <w:tc>
          <w:tcPr>
            <w:tcW w:w="2041" w:type="dxa"/>
            <w:tcBorders>
              <w:top w:val="nil"/>
              <w:left w:val="nil"/>
              <w:bottom w:val="nil"/>
            </w:tcBorders>
            <w:shd w:val="clear" w:color="auto" w:fill="231F20"/>
          </w:tcPr>
          <w:p w:rsidR="006A7A3F" w:rsidRDefault="00BC7372">
            <w:pPr>
              <w:pStyle w:val="TableParagraph"/>
              <w:spacing w:before="75"/>
              <w:ind w:left="90"/>
              <w:rPr>
                <w:b/>
                <w:sz w:val="18"/>
              </w:rPr>
            </w:pPr>
            <w:r>
              <w:rPr>
                <w:b/>
                <w:color w:val="FFFFFF"/>
                <w:sz w:val="18"/>
              </w:rPr>
              <w:t>Cultural objective</w:t>
            </w:r>
          </w:p>
        </w:tc>
        <w:tc>
          <w:tcPr>
            <w:tcW w:w="2721" w:type="dxa"/>
            <w:tcBorders>
              <w:top w:val="nil"/>
              <w:bottom w:val="nil"/>
            </w:tcBorders>
            <w:shd w:val="clear" w:color="auto" w:fill="231F20"/>
          </w:tcPr>
          <w:p w:rsidR="006A7A3F" w:rsidRDefault="00BC7372">
            <w:pPr>
              <w:pStyle w:val="TableParagraph"/>
              <w:spacing w:before="75"/>
              <w:ind w:left="84"/>
              <w:rPr>
                <w:b/>
                <w:sz w:val="18"/>
              </w:rPr>
            </w:pPr>
            <w:r>
              <w:rPr>
                <w:b/>
                <w:color w:val="FFFFFF"/>
                <w:sz w:val="18"/>
              </w:rPr>
              <w:t>Hydrological aim</w:t>
            </w:r>
          </w:p>
        </w:tc>
        <w:tc>
          <w:tcPr>
            <w:tcW w:w="2721" w:type="dxa"/>
            <w:tcBorders>
              <w:top w:val="nil"/>
              <w:bottom w:val="nil"/>
            </w:tcBorders>
            <w:shd w:val="clear" w:color="auto" w:fill="231F20"/>
          </w:tcPr>
          <w:p w:rsidR="006A7A3F" w:rsidRDefault="00BC7372">
            <w:pPr>
              <w:pStyle w:val="TableParagraph"/>
              <w:spacing w:before="75"/>
              <w:ind w:left="85"/>
              <w:rPr>
                <w:b/>
                <w:sz w:val="18"/>
              </w:rPr>
            </w:pPr>
            <w:r>
              <w:rPr>
                <w:b/>
                <w:color w:val="FFFFFF"/>
                <w:sz w:val="18"/>
              </w:rPr>
              <w:t>Indicator</w:t>
            </w:r>
          </w:p>
        </w:tc>
        <w:tc>
          <w:tcPr>
            <w:tcW w:w="2721" w:type="dxa"/>
            <w:tcBorders>
              <w:top w:val="nil"/>
              <w:bottom w:val="nil"/>
              <w:right w:val="nil"/>
            </w:tcBorders>
            <w:shd w:val="clear" w:color="auto" w:fill="231F20"/>
          </w:tcPr>
          <w:p w:rsidR="006A7A3F" w:rsidRDefault="00BC7372">
            <w:pPr>
              <w:pStyle w:val="TableParagraph"/>
              <w:spacing w:before="75"/>
              <w:ind w:left="85"/>
              <w:rPr>
                <w:b/>
                <w:sz w:val="18"/>
              </w:rPr>
            </w:pPr>
            <w:r>
              <w:rPr>
                <w:b/>
                <w:color w:val="FFFFFF"/>
                <w:sz w:val="18"/>
              </w:rPr>
              <w:t>Measure</w:t>
            </w:r>
          </w:p>
        </w:tc>
      </w:tr>
      <w:tr w:rsidR="006A7A3F" w:rsidTr="003A00D0">
        <w:trPr>
          <w:trHeight w:val="789"/>
        </w:trPr>
        <w:tc>
          <w:tcPr>
            <w:tcW w:w="204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36"/>
              <w:rPr>
                <w:sz w:val="16"/>
              </w:rPr>
            </w:pPr>
            <w:r>
              <w:rPr>
                <w:color w:val="231F20"/>
                <w:sz w:val="16"/>
              </w:rPr>
              <w:t>Promote and maintain healthy and abundant native fish communities in Gunbower Creek and Gunbower Forest</w:t>
            </w:r>
          </w:p>
        </w:tc>
        <w:tc>
          <w:tcPr>
            <w:tcW w:w="2721"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472"/>
              <w:rPr>
                <w:sz w:val="16"/>
              </w:rPr>
            </w:pPr>
            <w:r>
              <w:rPr>
                <w:color w:val="231F20"/>
                <w:sz w:val="16"/>
              </w:rPr>
              <w:t>Presence of water in wetlands before spring to support fish spawning events</w:t>
            </w:r>
          </w:p>
        </w:tc>
        <w:tc>
          <w:tcPr>
            <w:tcW w:w="272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Presence of native fish spawning</w:t>
            </w:r>
          </w:p>
          <w:p w:rsidR="006A7A3F" w:rsidRDefault="00BC7372">
            <w:pPr>
              <w:pStyle w:val="TableParagraph"/>
              <w:spacing w:before="73" w:line="261" w:lineRule="auto"/>
              <w:ind w:left="85" w:right="444"/>
              <w:rPr>
                <w:sz w:val="16"/>
              </w:rPr>
            </w:pPr>
            <w:r>
              <w:rPr>
                <w:color w:val="231F20"/>
                <w:sz w:val="16"/>
              </w:rPr>
              <w:t>Native fish populations show a range of ages</w:t>
            </w:r>
          </w:p>
        </w:tc>
        <w:tc>
          <w:tcPr>
            <w:tcW w:w="272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Fish surveys, larval sampling</w:t>
            </w:r>
          </w:p>
        </w:tc>
      </w:tr>
      <w:tr w:rsidR="006A7A3F" w:rsidTr="003A00D0">
        <w:trPr>
          <w:trHeight w:val="733"/>
        </w:trPr>
        <w:tc>
          <w:tcPr>
            <w:tcW w:w="204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259"/>
              <w:rPr>
                <w:sz w:val="16"/>
              </w:rPr>
            </w:pPr>
            <w:r>
              <w:rPr>
                <w:color w:val="231F20"/>
                <w:sz w:val="16"/>
              </w:rPr>
              <w:t>Presence of water in deep wetlands, so that fish can survive for longer</w:t>
            </w: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320"/>
              <w:rPr>
                <w:sz w:val="16"/>
              </w:rPr>
            </w:pPr>
            <w:r>
              <w:rPr>
                <w:color w:val="231F20"/>
                <w:sz w:val="16"/>
              </w:rPr>
              <w:t>Presence of native fish following watering event</w:t>
            </w: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Fish surveys</w:t>
            </w:r>
          </w:p>
        </w:tc>
      </w:tr>
      <w:tr w:rsidR="006A7A3F" w:rsidTr="003A00D0">
        <w:trPr>
          <w:trHeight w:val="533"/>
        </w:trPr>
        <w:tc>
          <w:tcPr>
            <w:tcW w:w="2041" w:type="dxa"/>
            <w:vMerge w:val="restart"/>
            <w:tcBorders>
              <w:top w:val="single" w:sz="4" w:space="0" w:color="231F20"/>
              <w:left w:val="single" w:sz="4" w:space="0" w:color="231F20"/>
              <w:bottom w:val="single" w:sz="4" w:space="0" w:color="auto"/>
              <w:right w:val="single" w:sz="4" w:space="0" w:color="231F20"/>
            </w:tcBorders>
          </w:tcPr>
          <w:p w:rsidR="006A7A3F" w:rsidRDefault="00BC7372">
            <w:pPr>
              <w:pStyle w:val="TableParagraph"/>
              <w:spacing w:before="74" w:line="261" w:lineRule="auto"/>
              <w:ind w:left="85" w:right="191"/>
              <w:rPr>
                <w:sz w:val="16"/>
              </w:rPr>
            </w:pPr>
            <w:r>
              <w:rPr>
                <w:color w:val="231F20"/>
                <w:sz w:val="16"/>
              </w:rPr>
              <w:t>Promote the natural flow of water</w:t>
            </w: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195"/>
              <w:rPr>
                <w:sz w:val="16"/>
              </w:rPr>
            </w:pPr>
            <w:r>
              <w:rPr>
                <w:color w:val="231F20"/>
                <w:sz w:val="16"/>
              </w:rPr>
              <w:t>Water flows via natural flow paths to culturally important sites</w:t>
            </w: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329"/>
              <w:rPr>
                <w:sz w:val="16"/>
              </w:rPr>
            </w:pPr>
            <w:r>
              <w:rPr>
                <w:color w:val="231F20"/>
                <w:sz w:val="16"/>
              </w:rPr>
              <w:t>Presence of water at culturally significant sites (e.g. fish ponds)</w:t>
            </w: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Photo points, site surveys</w:t>
            </w:r>
          </w:p>
        </w:tc>
      </w:tr>
      <w:tr w:rsidR="006A7A3F" w:rsidTr="003A00D0">
        <w:trPr>
          <w:trHeight w:val="733"/>
        </w:trPr>
        <w:tc>
          <w:tcPr>
            <w:tcW w:w="2041" w:type="dxa"/>
            <w:vMerge/>
            <w:tcBorders>
              <w:top w:val="single" w:sz="4" w:space="0" w:color="231F20"/>
              <w:left w:val="single" w:sz="4" w:space="0" w:color="231F20"/>
              <w:bottom w:val="single" w:sz="4" w:space="0" w:color="auto"/>
              <w:right w:val="single" w:sz="4" w:space="0" w:color="231F20"/>
            </w:tcBorders>
          </w:tcPr>
          <w:p w:rsidR="006A7A3F" w:rsidRDefault="006A7A3F">
            <w:pPr>
              <w:rPr>
                <w:sz w:val="2"/>
                <w:szCs w:val="2"/>
              </w:rPr>
            </w:pP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329"/>
              <w:rPr>
                <w:sz w:val="16"/>
              </w:rPr>
            </w:pPr>
            <w:r>
              <w:rPr>
                <w:color w:val="231F20"/>
                <w:sz w:val="16"/>
              </w:rPr>
              <w:t>Presence of healthy looking and smelling forest</w:t>
            </w: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95"/>
              <w:rPr>
                <w:sz w:val="16"/>
              </w:rPr>
            </w:pPr>
            <w:r>
              <w:rPr>
                <w:color w:val="231F20"/>
                <w:sz w:val="16"/>
              </w:rPr>
              <w:t>Presence of healthy canopies and good ground cover on the forest floodplain</w:t>
            </w:r>
          </w:p>
        </w:tc>
        <w:tc>
          <w:tcPr>
            <w:tcW w:w="272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Plant surveys</w:t>
            </w:r>
          </w:p>
        </w:tc>
      </w:tr>
      <w:tr w:rsidR="003A00D0" w:rsidTr="005467AC">
        <w:trPr>
          <w:trHeight w:val="733"/>
        </w:trPr>
        <w:tc>
          <w:tcPr>
            <w:tcW w:w="2041" w:type="dxa"/>
            <w:vMerge w:val="restart"/>
            <w:tcBorders>
              <w:top w:val="single" w:sz="4" w:space="0" w:color="auto"/>
              <w:left w:val="single" w:sz="4" w:space="0" w:color="231F20"/>
              <w:right w:val="single" w:sz="4" w:space="0" w:color="231F20"/>
            </w:tcBorders>
          </w:tcPr>
          <w:p w:rsidR="003A00D0" w:rsidRDefault="003A00D0" w:rsidP="003A00D0">
            <w:pPr>
              <w:pStyle w:val="TableParagraph"/>
              <w:spacing w:before="67" w:line="261" w:lineRule="auto"/>
              <w:ind w:left="85" w:right="67"/>
              <w:rPr>
                <w:sz w:val="16"/>
              </w:rPr>
            </w:pPr>
            <w:r>
              <w:rPr>
                <w:color w:val="231F20"/>
                <w:sz w:val="16"/>
              </w:rPr>
              <w:t>Promote and maintain healthy cultural plants and resources</w:t>
            </w: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4" w:right="80"/>
              <w:rPr>
                <w:sz w:val="16"/>
              </w:rPr>
            </w:pPr>
            <w:r>
              <w:rPr>
                <w:color w:val="231F20"/>
                <w:sz w:val="16"/>
              </w:rPr>
              <w:t>Presence of water in small wetlands and depressions to provide resources across the forest, particularly in dry</w:t>
            </w:r>
            <w:r>
              <w:rPr>
                <w:color w:val="231F20"/>
                <w:spacing w:val="-5"/>
                <w:sz w:val="16"/>
              </w:rPr>
              <w:t xml:space="preserve"> </w:t>
            </w:r>
            <w:r>
              <w:rPr>
                <w:color w:val="231F20"/>
                <w:sz w:val="16"/>
              </w:rPr>
              <w:t>years</w:t>
            </w: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5" w:right="338"/>
              <w:rPr>
                <w:sz w:val="16"/>
              </w:rPr>
            </w:pPr>
            <w:r>
              <w:rPr>
                <w:color w:val="231F20"/>
                <w:sz w:val="16"/>
              </w:rPr>
              <w:t>Presence of food and fibre resources distributed across the forest</w:t>
            </w: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5" w:right="329"/>
              <w:rPr>
                <w:sz w:val="16"/>
              </w:rPr>
            </w:pPr>
            <w:r>
              <w:rPr>
                <w:color w:val="231F20"/>
                <w:sz w:val="16"/>
              </w:rPr>
              <w:t>Cultural harvests, plant surveys, seed collection</w:t>
            </w:r>
          </w:p>
        </w:tc>
      </w:tr>
      <w:tr w:rsidR="003A00D0" w:rsidTr="003A00D0">
        <w:trPr>
          <w:trHeight w:val="733"/>
        </w:trPr>
        <w:tc>
          <w:tcPr>
            <w:tcW w:w="2041" w:type="dxa"/>
            <w:vMerge/>
            <w:tcBorders>
              <w:left w:val="single" w:sz="4" w:space="0" w:color="231F20"/>
              <w:right w:val="single" w:sz="4" w:space="0" w:color="231F20"/>
            </w:tcBorders>
          </w:tcPr>
          <w:p w:rsidR="003A00D0" w:rsidRDefault="003A00D0" w:rsidP="003A00D0">
            <w:pPr>
              <w:rPr>
                <w:sz w:val="2"/>
                <w:szCs w:val="2"/>
              </w:rPr>
            </w:pP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4" w:right="472"/>
              <w:rPr>
                <w:sz w:val="16"/>
              </w:rPr>
            </w:pPr>
            <w:r>
              <w:rPr>
                <w:color w:val="231F20"/>
                <w:sz w:val="16"/>
              </w:rPr>
              <w:t>Presence of water in wetlands which are healthy</w:t>
            </w: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5"/>
              <w:rPr>
                <w:sz w:val="16"/>
              </w:rPr>
            </w:pPr>
            <w:r>
              <w:rPr>
                <w:color w:val="231F20"/>
                <w:sz w:val="16"/>
              </w:rPr>
              <w:t>A diverse range of plants, animals and insects living in harmony</w:t>
            </w: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5" w:right="80"/>
              <w:rPr>
                <w:sz w:val="16"/>
              </w:rPr>
            </w:pPr>
            <w:r>
              <w:rPr>
                <w:color w:val="231F20"/>
                <w:sz w:val="16"/>
              </w:rPr>
              <w:t>Results of monitoring activities (e.g. macroinvertebrate surveys, flora and fauna surveys)</w:t>
            </w:r>
          </w:p>
        </w:tc>
      </w:tr>
      <w:tr w:rsidR="003A00D0" w:rsidTr="005467AC">
        <w:trPr>
          <w:trHeight w:val="733"/>
        </w:trPr>
        <w:tc>
          <w:tcPr>
            <w:tcW w:w="2041" w:type="dxa"/>
            <w:tcBorders>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5" w:right="58"/>
              <w:rPr>
                <w:sz w:val="16"/>
              </w:rPr>
            </w:pPr>
            <w:r>
              <w:rPr>
                <w:color w:val="231F20"/>
                <w:sz w:val="16"/>
              </w:rPr>
              <w:t>Promote healthy waterbird populations</w:t>
            </w: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4" w:right="161"/>
              <w:rPr>
                <w:sz w:val="16"/>
              </w:rPr>
            </w:pPr>
            <w:r>
              <w:rPr>
                <w:color w:val="231F20"/>
                <w:sz w:val="16"/>
              </w:rPr>
              <w:t>Presence of water in wetlands that support waterbird breeding</w:t>
            </w: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ind w:left="85"/>
              <w:rPr>
                <w:sz w:val="16"/>
              </w:rPr>
            </w:pPr>
            <w:r>
              <w:rPr>
                <w:color w:val="231F20"/>
                <w:sz w:val="16"/>
              </w:rPr>
              <w:t>Presence of waterbird breeding</w:t>
            </w:r>
          </w:p>
        </w:tc>
        <w:tc>
          <w:tcPr>
            <w:tcW w:w="2721" w:type="dxa"/>
            <w:tcBorders>
              <w:top w:val="single" w:sz="4" w:space="0" w:color="231F20"/>
              <w:left w:val="single" w:sz="4" w:space="0" w:color="231F20"/>
              <w:bottom w:val="single" w:sz="4" w:space="0" w:color="231F20"/>
              <w:right w:val="single" w:sz="4" w:space="0" w:color="231F20"/>
            </w:tcBorders>
          </w:tcPr>
          <w:p w:rsidR="003A00D0" w:rsidRDefault="003A00D0" w:rsidP="003A00D0">
            <w:pPr>
              <w:pStyle w:val="TableParagraph"/>
              <w:spacing w:before="67" w:line="261" w:lineRule="auto"/>
              <w:ind w:left="85"/>
              <w:rPr>
                <w:sz w:val="16"/>
              </w:rPr>
            </w:pPr>
            <w:r>
              <w:rPr>
                <w:color w:val="231F20"/>
                <w:sz w:val="16"/>
              </w:rPr>
              <w:t>Waterbird surveys, spring–summer surveys for eggs</w:t>
            </w:r>
          </w:p>
        </w:tc>
      </w:tr>
    </w:tbl>
    <w:p w:rsidR="006A7A3F" w:rsidRDefault="006A7A3F">
      <w:pPr>
        <w:pStyle w:val="BodyText"/>
        <w:spacing w:before="1"/>
        <w:ind w:left="0"/>
        <w:rPr>
          <w:b/>
          <w:sz w:val="7"/>
        </w:rPr>
      </w:pPr>
    </w:p>
    <w:p w:rsidR="003A00D0" w:rsidRDefault="003A00D0">
      <w:pPr>
        <w:rPr>
          <w:b/>
          <w:color w:val="231F20"/>
          <w:sz w:val="24"/>
          <w:szCs w:val="24"/>
        </w:rPr>
      </w:pPr>
      <w:r>
        <w:rPr>
          <w:b/>
          <w:color w:val="231F20"/>
          <w:sz w:val="24"/>
          <w:szCs w:val="24"/>
        </w:rPr>
        <w:br w:type="page"/>
      </w:r>
    </w:p>
    <w:p w:rsidR="006A7A3F" w:rsidRPr="003A00D0" w:rsidRDefault="00BC7372">
      <w:pPr>
        <w:spacing w:before="62"/>
        <w:ind w:left="210"/>
        <w:rPr>
          <w:b/>
          <w:sz w:val="24"/>
          <w:szCs w:val="24"/>
        </w:rPr>
      </w:pPr>
      <w:r w:rsidRPr="003A00D0">
        <w:rPr>
          <w:b/>
          <w:color w:val="231F20"/>
          <w:sz w:val="24"/>
          <w:szCs w:val="24"/>
        </w:rPr>
        <w:t>Social, recreational and economic values and uses</w:t>
      </w:r>
    </w:p>
    <w:p w:rsidR="006A7A3F" w:rsidRDefault="00BC7372">
      <w:pPr>
        <w:pStyle w:val="BodyText"/>
        <w:spacing w:before="68" w:line="249" w:lineRule="auto"/>
        <w:ind w:right="100"/>
      </w:pPr>
      <w:r>
        <w:rPr>
          <w:color w:val="231F20"/>
        </w:rPr>
        <w:t>In planning the potential watering actions in Table 5.2.5, North Central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riverside recreation and amenity (such as birdwatching, duck hunting and</w:t>
      </w:r>
      <w:r>
        <w:rPr>
          <w:color w:val="231F20"/>
          <w:spacing w:val="-16"/>
          <w:sz w:val="20"/>
        </w:rPr>
        <w:t xml:space="preserve"> </w:t>
      </w:r>
      <w:r>
        <w:rPr>
          <w:color w:val="231F20"/>
          <w:sz w:val="20"/>
        </w:rPr>
        <w:t>photography)</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 park</w:t>
      </w:r>
      <w:r>
        <w:rPr>
          <w:color w:val="231F20"/>
          <w:spacing w:val="-5"/>
          <w:sz w:val="20"/>
        </w:rPr>
        <w:t xml:space="preserve"> </w:t>
      </w:r>
      <w:r>
        <w:rPr>
          <w:color w:val="231F20"/>
          <w:sz w:val="20"/>
        </w:rPr>
        <w:t>visitation)</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timber harvesting and</w:t>
      </w:r>
      <w:r>
        <w:rPr>
          <w:color w:val="231F20"/>
          <w:spacing w:val="-7"/>
          <w:sz w:val="20"/>
        </w:rPr>
        <w:t xml:space="preserve"> </w:t>
      </w:r>
      <w:r>
        <w:rPr>
          <w:color w:val="231F20"/>
          <w:sz w:val="20"/>
        </w:rPr>
        <w:t>education).</w:t>
      </w:r>
    </w:p>
    <w:p w:rsidR="006A7A3F" w:rsidRPr="003A00D0" w:rsidRDefault="00BC7372">
      <w:pPr>
        <w:spacing w:before="189"/>
        <w:ind w:left="210"/>
        <w:rPr>
          <w:b/>
          <w:sz w:val="24"/>
          <w:szCs w:val="24"/>
        </w:rPr>
      </w:pPr>
      <w:r w:rsidRPr="003A00D0">
        <w:rPr>
          <w:b/>
          <w:color w:val="231F20"/>
          <w:sz w:val="24"/>
          <w:szCs w:val="24"/>
        </w:rPr>
        <w:t>Recent conditions</w:t>
      </w:r>
    </w:p>
    <w:p w:rsidR="006A7A3F" w:rsidRDefault="00BC7372">
      <w:pPr>
        <w:pStyle w:val="BodyText"/>
        <w:spacing w:before="68" w:line="249" w:lineRule="auto"/>
        <w:ind w:right="251"/>
      </w:pPr>
      <w:r>
        <w:rPr>
          <w:color w:val="231F20"/>
        </w:rPr>
        <w:t>Gunbower Forest and surrounding areas have had below-average rainfall and above-average temperatures for the last three years.</w:t>
      </w:r>
    </w:p>
    <w:p w:rsidR="006A7A3F" w:rsidRDefault="00BC7372">
      <w:pPr>
        <w:pStyle w:val="BodyText"/>
        <w:spacing w:line="249" w:lineRule="auto"/>
        <w:ind w:right="251"/>
      </w:pPr>
      <w:r>
        <w:rPr>
          <w:color w:val="231F20"/>
        </w:rPr>
        <w:t>In 2019–20, no natural inflows entered the Gunbower Forest from the Murray River, but a managed spring high- flow event in the Murray River provided an opportunity to deliver water through Yarran Creek to facilitate fish movement between Gunbower Creek and the Murray River. Water for the environment was used in winter 2019 to fill or top-up wetlands in Reedy Lagoon and the Little Gunbower wetland complex within Gunbower Forest. In the absence of a natural flood, selected wetlands within these complexes are planned to be allowed to draw down in 2020 to reduce carp numbers, before potential top-ups in autumn 2021.</w:t>
      </w:r>
    </w:p>
    <w:p w:rsidR="006A7A3F" w:rsidRDefault="00BC7372" w:rsidP="003A00D0">
      <w:pPr>
        <w:pStyle w:val="BodyText"/>
        <w:spacing w:before="175" w:line="249" w:lineRule="auto"/>
        <w:ind w:right="100"/>
      </w:pPr>
      <w:r>
        <w:rPr>
          <w:color w:val="231F20"/>
        </w:rPr>
        <w:t>Water for the environment was also delivered to Gunbower Creek in 2019–20 to maintain habitat for native fish during winter (when irrigation flows cease) and to improve the quality of nursery habitats for native fish (especially Murray cod) during spring and summer. Annual fish surveys in Gunbower Creek have detected successful breeding and survival of Murray cod each year that water for the environment has been delivered, and the surveys are showing improved abundance and age structure within the resident Murray cod population over time.Golden perch do not appear to breed successfully in Gunbower Creek, and there are major barriers that limit exchanges with populations in the Murray River and other connected systems. Planned works to build a fishway at Koondrook Weir in winter 2021 aim to improve connectivity between the Murray River and Gunbower Creek. This will allow large-scale fish movement to support natural recruitment within Gunbower Creek and to allow Murray cod and other species that currently breed in Gunbower Creek to disperse and contribute to broader regional populations.</w:t>
      </w:r>
    </w:p>
    <w:p w:rsidR="006A7A3F" w:rsidRDefault="00BC7372">
      <w:pPr>
        <w:spacing w:before="184"/>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100"/>
      </w:pPr>
      <w:r>
        <w:rPr>
          <w:color w:val="231F20"/>
        </w:rPr>
        <w:t>Table 5.2.5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5.2.5 Potential environmental watering actions and objectives for Gunbower Creek and Forest</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trPr>
          <w:trHeight w:val="333"/>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sz w:val="16"/>
              </w:rPr>
            </w:pPr>
            <w:r>
              <w:rPr>
                <w:color w:val="231F20"/>
                <w:sz w:val="16"/>
              </w:rPr>
              <w:t>Gunbower Forest</w:t>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0" w:line="261" w:lineRule="auto"/>
              <w:ind w:left="85" w:right="114"/>
              <w:rPr>
                <w:sz w:val="16"/>
              </w:rPr>
            </w:pPr>
            <w:r>
              <w:rPr>
                <w:color w:val="231F20"/>
                <w:sz w:val="16"/>
              </w:rPr>
              <w:t>Reedy Lagoon (fill and provide top-ups in winter/spring 2020)</w:t>
            </w:r>
          </w:p>
          <w:p w:rsidR="006A7A3F" w:rsidRDefault="006A7A3F">
            <w:pPr>
              <w:pStyle w:val="TableParagraph"/>
              <w:spacing w:before="4"/>
              <w:ind w:left="0"/>
              <w:rPr>
                <w:b/>
                <w:sz w:val="8"/>
              </w:rPr>
            </w:pPr>
          </w:p>
          <w:p w:rsidR="006A7A3F" w:rsidRDefault="00BC7372">
            <w:pPr>
              <w:pStyle w:val="TableParagraph"/>
              <w:ind w:left="85"/>
              <w:rPr>
                <w:sz w:val="20"/>
              </w:rPr>
            </w:pPr>
            <w:r>
              <w:rPr>
                <w:noProof/>
                <w:sz w:val="20"/>
              </w:rPr>
              <w:drawing>
                <wp:inline distT="0" distB="0" distL="0" distR="0">
                  <wp:extent cx="313948" cy="313944"/>
                  <wp:effectExtent l="0" t="0" r="0" b="0"/>
                  <wp:docPr id="1657"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43.jpeg"/>
                          <pic:cNvPicPr/>
                        </pic:nvPicPr>
                        <pic:blipFill>
                          <a:blip r:embed="rId55" cstate="print"/>
                          <a:stretch>
                            <a:fillRect/>
                          </a:stretch>
                        </pic:blipFill>
                        <pic:spPr>
                          <a:xfrm>
                            <a:off x="0" y="0"/>
                            <a:ext cx="313948" cy="313944"/>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9"/>
              <w:ind w:left="0"/>
              <w:rPr>
                <w:b/>
                <w:sz w:val="26"/>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3A00D0" w:rsidRDefault="00BC7372">
            <w:pPr>
              <w:pStyle w:val="TableParagraph"/>
              <w:numPr>
                <w:ilvl w:val="0"/>
                <w:numId w:val="433"/>
              </w:numPr>
              <w:tabs>
                <w:tab w:val="left" w:pos="306"/>
              </w:tabs>
              <w:spacing w:before="56" w:line="254" w:lineRule="auto"/>
              <w:ind w:right="116"/>
              <w:rPr>
                <w:sz w:val="16"/>
                <w:szCs w:val="16"/>
              </w:rPr>
            </w:pPr>
            <w:r w:rsidRPr="003A00D0">
              <w:rPr>
                <w:color w:val="231F20"/>
                <w:sz w:val="16"/>
                <w:szCs w:val="16"/>
              </w:rPr>
              <w:t>Maintain water depth and extent to support the growth and recruitment</w:t>
            </w:r>
            <w:r w:rsidRPr="003A00D0">
              <w:rPr>
                <w:color w:val="231F20"/>
                <w:spacing w:val="-29"/>
                <w:sz w:val="16"/>
                <w:szCs w:val="16"/>
              </w:rPr>
              <w:t xml:space="preserve"> </w:t>
            </w:r>
            <w:r w:rsidRPr="003A00D0">
              <w:rPr>
                <w:color w:val="231F20"/>
                <w:sz w:val="16"/>
                <w:szCs w:val="16"/>
              </w:rPr>
              <w:t>of wetland</w:t>
            </w:r>
            <w:r w:rsidRPr="003A00D0">
              <w:rPr>
                <w:color w:val="231F20"/>
                <w:spacing w:val="-2"/>
                <w:sz w:val="16"/>
                <w:szCs w:val="16"/>
              </w:rPr>
              <w:t xml:space="preserve"> </w:t>
            </w:r>
            <w:r w:rsidRPr="003A00D0">
              <w:rPr>
                <w:color w:val="231F20"/>
                <w:sz w:val="16"/>
                <w:szCs w:val="16"/>
              </w:rPr>
              <w:t>plants</w:t>
            </w:r>
          </w:p>
          <w:p w:rsidR="006A7A3F" w:rsidRPr="003A00D0" w:rsidRDefault="00BC7372">
            <w:pPr>
              <w:pStyle w:val="TableParagraph"/>
              <w:numPr>
                <w:ilvl w:val="0"/>
                <w:numId w:val="433"/>
              </w:numPr>
              <w:tabs>
                <w:tab w:val="left" w:pos="306"/>
              </w:tabs>
              <w:spacing w:before="86" w:line="254" w:lineRule="auto"/>
              <w:ind w:right="76"/>
              <w:rPr>
                <w:sz w:val="16"/>
                <w:szCs w:val="16"/>
              </w:rPr>
            </w:pPr>
            <w:r w:rsidRPr="003A00D0">
              <w:rPr>
                <w:color w:val="231F20"/>
                <w:sz w:val="16"/>
                <w:szCs w:val="16"/>
              </w:rPr>
              <w:t>Maintain water depth to provide feeding and refuge habitat for</w:t>
            </w:r>
            <w:r w:rsidRPr="003A00D0">
              <w:rPr>
                <w:color w:val="231F20"/>
                <w:spacing w:val="-36"/>
                <w:sz w:val="16"/>
                <w:szCs w:val="16"/>
              </w:rPr>
              <w:t xml:space="preserve"> </w:t>
            </w:r>
            <w:r w:rsidRPr="003A00D0">
              <w:rPr>
                <w:color w:val="231F20"/>
                <w:sz w:val="16"/>
                <w:szCs w:val="16"/>
              </w:rPr>
              <w:t>waterbirds, turtles and</w:t>
            </w:r>
            <w:r w:rsidRPr="003A00D0">
              <w:rPr>
                <w:color w:val="231F20"/>
                <w:spacing w:val="-2"/>
                <w:sz w:val="16"/>
                <w:szCs w:val="16"/>
              </w:rPr>
              <w:t xml:space="preserve"> </w:t>
            </w:r>
            <w:r w:rsidRPr="003A00D0">
              <w:rPr>
                <w:color w:val="231F20"/>
                <w:sz w:val="16"/>
                <w:szCs w:val="16"/>
              </w:rPr>
              <w:t>frogs</w:t>
            </w:r>
          </w:p>
          <w:p w:rsidR="006A7A3F" w:rsidRDefault="00BC7372">
            <w:pPr>
              <w:pStyle w:val="TableParagraph"/>
              <w:numPr>
                <w:ilvl w:val="0"/>
                <w:numId w:val="433"/>
              </w:numPr>
              <w:tabs>
                <w:tab w:val="left" w:pos="306"/>
              </w:tabs>
              <w:spacing w:before="87" w:line="254" w:lineRule="auto"/>
              <w:ind w:right="567"/>
              <w:rPr>
                <w:sz w:val="18"/>
              </w:rPr>
            </w:pPr>
            <w:r w:rsidRPr="003A00D0">
              <w:rPr>
                <w:color w:val="231F20"/>
                <w:sz w:val="16"/>
                <w:szCs w:val="16"/>
              </w:rPr>
              <w:t>Maintain depth and water quality to provide habitat for</w:t>
            </w:r>
            <w:r w:rsidRPr="003A00D0">
              <w:rPr>
                <w:color w:val="231F20"/>
                <w:spacing w:val="-32"/>
                <w:sz w:val="16"/>
                <w:szCs w:val="16"/>
              </w:rPr>
              <w:t xml:space="preserve"> </w:t>
            </w:r>
            <w:r w:rsidRPr="003A00D0">
              <w:rPr>
                <w:color w:val="231F20"/>
                <w:sz w:val="16"/>
                <w:szCs w:val="16"/>
              </w:rPr>
              <w:t>small-bodied native fish including Murray-Darling</w:t>
            </w:r>
            <w:r w:rsidRPr="003A00D0">
              <w:rPr>
                <w:color w:val="231F20"/>
                <w:spacing w:val="-4"/>
                <w:sz w:val="16"/>
                <w:szCs w:val="16"/>
              </w:rPr>
              <w:t xml:space="preserve"> </w:t>
            </w:r>
            <w:r w:rsidRPr="003A00D0">
              <w:rPr>
                <w:color w:val="231F20"/>
                <w:sz w:val="16"/>
                <w:szCs w:val="16"/>
              </w:rPr>
              <w:t>rainbowfish</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5"/>
                  <wp:effectExtent l="0" t="0" r="0" b="0"/>
                  <wp:docPr id="165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19.jpeg"/>
                          <pic:cNvPicPr/>
                        </pic:nvPicPr>
                        <pic:blipFill>
                          <a:blip r:embed="rId31" cstate="print"/>
                          <a:stretch>
                            <a:fillRect/>
                          </a:stretch>
                        </pic:blipFill>
                        <pic:spPr>
                          <a:xfrm>
                            <a:off x="0" y="0"/>
                            <a:ext cx="314177"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1" cy="310895"/>
                  <wp:effectExtent l="0" t="0" r="0" b="0"/>
                  <wp:docPr id="166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25.jpeg"/>
                          <pic:cNvPicPr/>
                        </pic:nvPicPr>
                        <pic:blipFill>
                          <a:blip r:embed="rId37" cstate="print"/>
                          <a:stretch>
                            <a:fillRect/>
                          </a:stretch>
                        </pic:blipFill>
                        <pic:spPr>
                          <a:xfrm>
                            <a:off x="0" y="0"/>
                            <a:ext cx="314171" cy="310895"/>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66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166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66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6A7A3F">
      <w:pPr>
        <w:rPr>
          <w:rFonts w:ascii="Times New Roman"/>
          <w:sz w:val="18"/>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trPr>
          <w:trHeight w:val="625"/>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53" w:line="261" w:lineRule="auto"/>
              <w:ind w:left="85" w:right="256"/>
              <w:rPr>
                <w:sz w:val="16"/>
              </w:rPr>
            </w:pPr>
            <w:r>
              <w:rPr>
                <w:color w:val="231F20"/>
                <w:sz w:val="16"/>
              </w:rPr>
              <w:t>Black Swamp (partial fill and provide top-ups in winter/ spring 2020)</w:t>
            </w:r>
          </w:p>
          <w:p w:rsidR="006A7A3F" w:rsidRDefault="006A7A3F">
            <w:pPr>
              <w:pStyle w:val="TableParagraph"/>
              <w:spacing w:before="3"/>
              <w:ind w:left="0"/>
              <w:rPr>
                <w:b/>
                <w:sz w:val="8"/>
              </w:rPr>
            </w:pPr>
          </w:p>
          <w:p w:rsidR="006A7A3F" w:rsidRDefault="00BC7372">
            <w:pPr>
              <w:pStyle w:val="TableParagraph"/>
              <w:ind w:left="85"/>
              <w:rPr>
                <w:sz w:val="20"/>
              </w:rPr>
            </w:pPr>
            <w:r>
              <w:rPr>
                <w:noProof/>
                <w:sz w:val="20"/>
              </w:rPr>
              <w:drawing>
                <wp:inline distT="0" distB="0" distL="0" distR="0">
                  <wp:extent cx="313943" cy="313944"/>
                  <wp:effectExtent l="0" t="0" r="0" b="0"/>
                  <wp:docPr id="1669"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43.jpeg"/>
                          <pic:cNvPicPr/>
                        </pic:nvPicPr>
                        <pic:blipFill>
                          <a:blip r:embed="rId55" cstate="print"/>
                          <a:stretch>
                            <a:fillRect/>
                          </a:stretch>
                        </pic:blipFill>
                        <pic:spPr>
                          <a:xfrm>
                            <a:off x="0" y="0"/>
                            <a:ext cx="313943" cy="313944"/>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ind w:left="0"/>
              <w:rPr>
                <w:b/>
                <w:sz w:val="20"/>
              </w:rPr>
            </w:pPr>
          </w:p>
        </w:tc>
        <w:tc>
          <w:tcPr>
            <w:tcW w:w="6236" w:type="dxa"/>
            <w:vMerge w:val="restart"/>
            <w:tcBorders>
              <w:top w:val="nil"/>
              <w:left w:val="single" w:sz="4" w:space="0" w:color="231F20"/>
              <w:bottom w:val="single" w:sz="4" w:space="0" w:color="231F20"/>
              <w:right w:val="single" w:sz="4" w:space="0" w:color="231F20"/>
            </w:tcBorders>
          </w:tcPr>
          <w:p w:rsidR="006A7A3F" w:rsidRDefault="00BC7372">
            <w:pPr>
              <w:pStyle w:val="TableParagraph"/>
              <w:numPr>
                <w:ilvl w:val="0"/>
                <w:numId w:val="432"/>
              </w:numPr>
              <w:tabs>
                <w:tab w:val="left" w:pos="306"/>
              </w:tabs>
              <w:spacing w:before="49" w:line="254" w:lineRule="auto"/>
              <w:ind w:right="175"/>
              <w:rPr>
                <w:sz w:val="18"/>
              </w:rPr>
            </w:pPr>
            <w:r>
              <w:rPr>
                <w:color w:val="231F20"/>
                <w:sz w:val="18"/>
              </w:rPr>
              <w:t>Increase and maintain water depth and extent to support the growth and recruitment of wetland</w:t>
            </w:r>
            <w:r>
              <w:rPr>
                <w:color w:val="231F20"/>
                <w:spacing w:val="-3"/>
                <w:sz w:val="18"/>
              </w:rPr>
              <w:t xml:space="preserve"> </w:t>
            </w:r>
            <w:r>
              <w:rPr>
                <w:color w:val="231F20"/>
                <w:sz w:val="18"/>
              </w:rPr>
              <w:t>plants</w:t>
            </w:r>
          </w:p>
          <w:p w:rsidR="006A7A3F" w:rsidRDefault="00BC7372">
            <w:pPr>
              <w:pStyle w:val="TableParagraph"/>
              <w:numPr>
                <w:ilvl w:val="0"/>
                <w:numId w:val="432"/>
              </w:numPr>
              <w:tabs>
                <w:tab w:val="left" w:pos="306"/>
              </w:tabs>
              <w:spacing w:before="86"/>
              <w:ind w:hanging="218"/>
              <w:rPr>
                <w:sz w:val="18"/>
              </w:rPr>
            </w:pPr>
            <w:r>
              <w:rPr>
                <w:color w:val="231F20"/>
                <w:sz w:val="18"/>
              </w:rPr>
              <w:t>Provide feeding and refuge habitat for waterbirds, turtles and</w:t>
            </w:r>
            <w:r>
              <w:rPr>
                <w:color w:val="231F20"/>
                <w:spacing w:val="-13"/>
                <w:sz w:val="18"/>
              </w:rPr>
              <w:t xml:space="preserve"> </w:t>
            </w:r>
            <w:r>
              <w:rPr>
                <w:color w:val="231F20"/>
                <w:sz w:val="18"/>
              </w:rPr>
              <w:t>frogs</w:t>
            </w:r>
          </w:p>
          <w:p w:rsidR="006A7A3F" w:rsidRDefault="00BC7372">
            <w:pPr>
              <w:pStyle w:val="TableParagraph"/>
              <w:numPr>
                <w:ilvl w:val="0"/>
                <w:numId w:val="432"/>
              </w:numPr>
              <w:tabs>
                <w:tab w:val="left" w:pos="306"/>
              </w:tabs>
              <w:spacing w:before="98" w:line="254" w:lineRule="auto"/>
              <w:ind w:right="567"/>
              <w:rPr>
                <w:sz w:val="18"/>
              </w:rPr>
            </w:pPr>
            <w:r>
              <w:rPr>
                <w:color w:val="231F20"/>
                <w:sz w:val="18"/>
              </w:rPr>
              <w:t>Maintain depth and water quality to provide habitat for</w:t>
            </w:r>
            <w:r>
              <w:rPr>
                <w:color w:val="231F20"/>
                <w:spacing w:val="-32"/>
                <w:sz w:val="18"/>
              </w:rPr>
              <w:t xml:space="preserve"> </w:t>
            </w:r>
            <w:r>
              <w:rPr>
                <w:color w:val="231F20"/>
                <w:sz w:val="18"/>
              </w:rPr>
              <w:t>small-bodied native</w:t>
            </w:r>
            <w:r>
              <w:rPr>
                <w:color w:val="231F20"/>
                <w:spacing w:val="-2"/>
                <w:sz w:val="18"/>
              </w:rPr>
              <w:t xml:space="preserve"> </w:t>
            </w:r>
            <w:r>
              <w:rPr>
                <w:color w:val="231F20"/>
                <w:sz w:val="18"/>
              </w:rPr>
              <w:t>fish</w:t>
            </w:r>
          </w:p>
        </w:tc>
        <w:tc>
          <w:tcPr>
            <w:tcW w:w="850"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67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67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675"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167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67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2151"/>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53" w:line="261" w:lineRule="auto"/>
              <w:ind w:left="85" w:right="167"/>
              <w:rPr>
                <w:sz w:val="16"/>
              </w:rPr>
            </w:pPr>
            <w:r>
              <w:rPr>
                <w:color w:val="231F20"/>
                <w:sz w:val="16"/>
              </w:rPr>
              <w:t>Trigger-based top-up permanent and semi- permanent wetlands (variable flow rates during spring/ summer as required in response to bird breeding event)</w:t>
            </w:r>
          </w:p>
          <w:p w:rsidR="006A7A3F" w:rsidRDefault="006A7A3F">
            <w:pPr>
              <w:pStyle w:val="TableParagraph"/>
              <w:spacing w:before="1"/>
              <w:ind w:left="0"/>
              <w:rPr>
                <w:b/>
                <w:sz w:val="8"/>
              </w:rPr>
            </w:pPr>
          </w:p>
          <w:p w:rsidR="006A7A3F" w:rsidRDefault="00BC7372">
            <w:pPr>
              <w:pStyle w:val="TableParagraph"/>
              <w:ind w:left="85"/>
              <w:rPr>
                <w:sz w:val="20"/>
              </w:rPr>
            </w:pPr>
            <w:r>
              <w:rPr>
                <w:noProof/>
                <w:sz w:val="20"/>
              </w:rPr>
              <w:drawing>
                <wp:inline distT="0" distB="0" distL="0" distR="0">
                  <wp:extent cx="313948" cy="313944"/>
                  <wp:effectExtent l="0" t="0" r="0" b="0"/>
                  <wp:docPr id="1681"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43.jpeg"/>
                          <pic:cNvPicPr/>
                        </pic:nvPicPr>
                        <pic:blipFill>
                          <a:blip r:embed="rId55" cstate="print"/>
                          <a:stretch>
                            <a:fillRect/>
                          </a:stretch>
                        </pic:blipFill>
                        <pic:spPr>
                          <a:xfrm>
                            <a:off x="0" y="0"/>
                            <a:ext cx="313948" cy="313944"/>
                          </a:xfrm>
                          <a:prstGeom prst="rect">
                            <a:avLst/>
                          </a:prstGeom>
                        </pic:spPr>
                      </pic:pic>
                    </a:graphicData>
                  </a:graphic>
                </wp:inline>
              </w:drawing>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31"/>
              </w:numPr>
              <w:tabs>
                <w:tab w:val="left" w:pos="306"/>
              </w:tabs>
              <w:spacing w:before="49"/>
              <w:ind w:hanging="218"/>
              <w:rPr>
                <w:sz w:val="18"/>
              </w:rPr>
            </w:pPr>
            <w:r>
              <w:rPr>
                <w:color w:val="231F20"/>
                <w:sz w:val="18"/>
              </w:rPr>
              <w:t>Maintain a waterbird breeding</w:t>
            </w:r>
            <w:r>
              <w:rPr>
                <w:color w:val="231F20"/>
                <w:spacing w:val="-5"/>
                <w:sz w:val="18"/>
              </w:rPr>
              <w:t xml:space="preserve"> </w:t>
            </w:r>
            <w:r>
              <w:rPr>
                <w:color w:val="231F20"/>
                <w:sz w:val="18"/>
              </w:rPr>
              <w:t>event</w:t>
            </w:r>
          </w:p>
          <w:p w:rsidR="006A7A3F" w:rsidRDefault="00BC7372">
            <w:pPr>
              <w:pStyle w:val="TableParagraph"/>
              <w:numPr>
                <w:ilvl w:val="0"/>
                <w:numId w:val="431"/>
              </w:numPr>
              <w:tabs>
                <w:tab w:val="left" w:pos="306"/>
              </w:tabs>
              <w:spacing w:before="98" w:line="254" w:lineRule="auto"/>
              <w:ind w:right="406"/>
              <w:rPr>
                <w:sz w:val="18"/>
              </w:rPr>
            </w:pPr>
            <w:r>
              <w:rPr>
                <w:color w:val="231F20"/>
                <w:sz w:val="18"/>
              </w:rPr>
              <w:t>Maintain the wetland vegetation to provide habitat for colonial</w:t>
            </w:r>
            <w:r>
              <w:rPr>
                <w:color w:val="231F20"/>
                <w:spacing w:val="-27"/>
                <w:sz w:val="18"/>
              </w:rPr>
              <w:t xml:space="preserve"> </w:t>
            </w:r>
            <w:r>
              <w:rPr>
                <w:color w:val="231F20"/>
                <w:sz w:val="18"/>
              </w:rPr>
              <w:t>nesting and flow-dependent</w:t>
            </w:r>
            <w:r>
              <w:rPr>
                <w:color w:val="231F20"/>
                <w:spacing w:val="-2"/>
                <w:sz w:val="18"/>
              </w:rPr>
              <w:t xml:space="preserve"> </w:t>
            </w:r>
            <w:r>
              <w:rPr>
                <w:color w:val="231F20"/>
                <w:sz w:val="18"/>
              </w:rPr>
              <w:t>waterbirds</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6"/>
              <w:ind w:left="0"/>
              <w:rPr>
                <w:b/>
                <w:sz w:val="7"/>
              </w:rPr>
            </w:pPr>
          </w:p>
          <w:p w:rsidR="006A7A3F" w:rsidRDefault="003A00D0">
            <w:pPr>
              <w:pStyle w:val="TableParagraph"/>
              <w:ind w:left="170"/>
              <w:rPr>
                <w:sz w:val="20"/>
              </w:rPr>
            </w:pPr>
            <w:r>
              <w:rPr>
                <w:sz w:val="20"/>
              </w:rPr>
              <w:t xml:space="preserve">  </w:t>
            </w:r>
            <w:r w:rsidR="00BC7372">
              <w:rPr>
                <w:noProof/>
                <w:sz w:val="20"/>
              </w:rPr>
              <w:drawing>
                <wp:inline distT="0" distB="0" distL="0" distR="0">
                  <wp:extent cx="314165" cy="310896"/>
                  <wp:effectExtent l="0" t="0" r="0" b="0"/>
                  <wp:docPr id="168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27.jpeg"/>
                          <pic:cNvPicPr/>
                        </pic:nvPicPr>
                        <pic:blipFill>
                          <a:blip r:embed="rId39" cstate="print"/>
                          <a:stretch>
                            <a:fillRect/>
                          </a:stretch>
                        </pic:blipFill>
                        <pic:spPr>
                          <a:xfrm>
                            <a:off x="0" y="0"/>
                            <a:ext cx="314165" cy="310896"/>
                          </a:xfrm>
                          <a:prstGeom prst="rect">
                            <a:avLst/>
                          </a:prstGeom>
                        </pic:spPr>
                      </pic:pic>
                    </a:graphicData>
                  </a:graphic>
                </wp:inline>
              </w:drawing>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53" w:line="261" w:lineRule="auto"/>
              <w:ind w:left="85" w:right="504"/>
              <w:rPr>
                <w:sz w:val="16"/>
              </w:rPr>
            </w:pPr>
            <w:r>
              <w:rPr>
                <w:color w:val="231F20"/>
                <w:sz w:val="16"/>
              </w:rPr>
              <w:t>Reedy Lagoon (top-up in autumn/winter 2021)</w:t>
            </w:r>
          </w:p>
          <w:p w:rsidR="006A7A3F" w:rsidRDefault="006A7A3F">
            <w:pPr>
              <w:pStyle w:val="TableParagraph"/>
              <w:spacing w:before="4"/>
              <w:ind w:left="0"/>
              <w:rPr>
                <w:b/>
                <w:sz w:val="8"/>
              </w:rPr>
            </w:pPr>
          </w:p>
          <w:p w:rsidR="006A7A3F" w:rsidRDefault="00BC7372">
            <w:pPr>
              <w:pStyle w:val="TableParagraph"/>
              <w:ind w:left="85"/>
              <w:rPr>
                <w:sz w:val="20"/>
              </w:rPr>
            </w:pPr>
            <w:r>
              <w:rPr>
                <w:noProof/>
                <w:sz w:val="20"/>
              </w:rPr>
              <w:drawing>
                <wp:inline distT="0" distB="0" distL="0" distR="0">
                  <wp:extent cx="313945" cy="313944"/>
                  <wp:effectExtent l="0" t="0" r="0" b="0"/>
                  <wp:docPr id="1685"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43.jpeg"/>
                          <pic:cNvPicPr/>
                        </pic:nvPicPr>
                        <pic:blipFill>
                          <a:blip r:embed="rId55" cstate="print"/>
                          <a:stretch>
                            <a:fillRect/>
                          </a:stretch>
                        </pic:blipFill>
                        <pic:spPr>
                          <a:xfrm>
                            <a:off x="0" y="0"/>
                            <a:ext cx="313945" cy="313944"/>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4"/>
              <w:ind w:left="0"/>
              <w:rPr>
                <w:b/>
                <w:sz w:val="27"/>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30"/>
              </w:numPr>
              <w:tabs>
                <w:tab w:val="left" w:pos="306"/>
              </w:tabs>
              <w:spacing w:before="49"/>
              <w:ind w:hanging="218"/>
              <w:rPr>
                <w:sz w:val="18"/>
              </w:rPr>
            </w:pPr>
            <w:r>
              <w:rPr>
                <w:color w:val="231F20"/>
                <w:sz w:val="18"/>
              </w:rPr>
              <w:t>Maintain water depth to support wetland plants to</w:t>
            </w:r>
            <w:r>
              <w:rPr>
                <w:color w:val="231F20"/>
                <w:spacing w:val="-9"/>
                <w:sz w:val="18"/>
              </w:rPr>
              <w:t xml:space="preserve"> </w:t>
            </w:r>
            <w:r>
              <w:rPr>
                <w:color w:val="231F20"/>
                <w:sz w:val="18"/>
              </w:rPr>
              <w:t>grow</w:t>
            </w:r>
          </w:p>
          <w:p w:rsidR="006A7A3F" w:rsidRDefault="00BC7372">
            <w:pPr>
              <w:pStyle w:val="TableParagraph"/>
              <w:numPr>
                <w:ilvl w:val="0"/>
                <w:numId w:val="430"/>
              </w:numPr>
              <w:tabs>
                <w:tab w:val="left" w:pos="306"/>
              </w:tabs>
              <w:spacing w:before="98" w:line="254" w:lineRule="auto"/>
              <w:ind w:right="306"/>
              <w:rPr>
                <w:sz w:val="18"/>
              </w:rPr>
            </w:pPr>
            <w:r>
              <w:rPr>
                <w:color w:val="231F20"/>
                <w:sz w:val="18"/>
              </w:rPr>
              <w:t>Maintain feeding and refuge habitat for waterbirds, small-bodied</w:t>
            </w:r>
            <w:r>
              <w:rPr>
                <w:color w:val="231F20"/>
                <w:spacing w:val="-26"/>
                <w:sz w:val="18"/>
              </w:rPr>
              <w:t xml:space="preserve"> </w:t>
            </w:r>
            <w:r>
              <w:rPr>
                <w:color w:val="231F20"/>
                <w:sz w:val="18"/>
              </w:rPr>
              <w:t>native fish, turtles and</w:t>
            </w:r>
            <w:r>
              <w:rPr>
                <w:color w:val="231F20"/>
                <w:spacing w:val="-2"/>
                <w:sz w:val="18"/>
              </w:rPr>
              <w:t xml:space="preserve"> </w:t>
            </w:r>
            <w:r>
              <w:rPr>
                <w:color w:val="231F20"/>
                <w:sz w:val="18"/>
              </w:rPr>
              <w:t>frogs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68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689" name="image25.jpeg" descr="icon: fro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691"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77" cy="310896"/>
                  <wp:effectExtent l="0" t="0" r="0" b="0"/>
                  <wp:docPr id="169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9" cy="310896"/>
                  <wp:effectExtent l="0" t="0" r="0" b="0"/>
                  <wp:docPr id="169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27.jpeg"/>
                          <pic:cNvPicPr/>
                        </pic:nvPicPr>
                        <pic:blipFill>
                          <a:blip r:embed="rId39" cstate="print"/>
                          <a:stretch>
                            <a:fillRect/>
                          </a:stretch>
                        </pic:blipFill>
                        <pic:spPr>
                          <a:xfrm>
                            <a:off x="0" y="0"/>
                            <a:ext cx="314169"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53" w:line="261" w:lineRule="auto"/>
              <w:ind w:left="85" w:right="576"/>
              <w:rPr>
                <w:sz w:val="16"/>
              </w:rPr>
            </w:pPr>
            <w:r>
              <w:rPr>
                <w:color w:val="231F20"/>
                <w:sz w:val="16"/>
              </w:rPr>
              <w:t>Black Swamp (top-up in autumn/winter 2021)</w:t>
            </w:r>
          </w:p>
          <w:p w:rsidR="006A7A3F" w:rsidRDefault="006A7A3F">
            <w:pPr>
              <w:pStyle w:val="TableParagraph"/>
              <w:spacing w:before="4"/>
              <w:ind w:left="0"/>
              <w:rPr>
                <w:b/>
                <w:sz w:val="8"/>
              </w:rPr>
            </w:pPr>
          </w:p>
          <w:p w:rsidR="006A7A3F" w:rsidRDefault="00BC7372">
            <w:pPr>
              <w:pStyle w:val="TableParagraph"/>
              <w:ind w:left="85"/>
              <w:rPr>
                <w:sz w:val="20"/>
              </w:rPr>
            </w:pPr>
            <w:r>
              <w:rPr>
                <w:noProof/>
                <w:sz w:val="20"/>
              </w:rPr>
              <w:drawing>
                <wp:inline distT="0" distB="0" distL="0" distR="0">
                  <wp:extent cx="313951" cy="313943"/>
                  <wp:effectExtent l="0" t="0" r="0" b="0"/>
                  <wp:docPr id="1697"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43.jpeg"/>
                          <pic:cNvPicPr/>
                        </pic:nvPicPr>
                        <pic:blipFill>
                          <a:blip r:embed="rId55" cstate="print"/>
                          <a:stretch>
                            <a:fillRect/>
                          </a:stretch>
                        </pic:blipFill>
                        <pic:spPr>
                          <a:xfrm>
                            <a:off x="0" y="0"/>
                            <a:ext cx="313951" cy="313943"/>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4"/>
              <w:ind w:left="0"/>
              <w:rPr>
                <w:b/>
                <w:sz w:val="27"/>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29"/>
              </w:numPr>
              <w:tabs>
                <w:tab w:val="left" w:pos="306"/>
              </w:tabs>
              <w:spacing w:before="49"/>
              <w:ind w:hanging="218"/>
              <w:rPr>
                <w:sz w:val="18"/>
              </w:rPr>
            </w:pPr>
            <w:r>
              <w:rPr>
                <w:color w:val="231F20"/>
                <w:sz w:val="18"/>
              </w:rPr>
              <w:t>Maintain water depth to support wetland plants to</w:t>
            </w:r>
            <w:r>
              <w:rPr>
                <w:color w:val="231F20"/>
                <w:spacing w:val="-9"/>
                <w:sz w:val="18"/>
              </w:rPr>
              <w:t xml:space="preserve"> </w:t>
            </w:r>
            <w:r>
              <w:rPr>
                <w:color w:val="231F20"/>
                <w:sz w:val="18"/>
              </w:rPr>
              <w:t>grow</w:t>
            </w:r>
          </w:p>
          <w:p w:rsidR="006A7A3F" w:rsidRDefault="00BC7372">
            <w:pPr>
              <w:pStyle w:val="TableParagraph"/>
              <w:numPr>
                <w:ilvl w:val="0"/>
                <w:numId w:val="429"/>
              </w:numPr>
              <w:tabs>
                <w:tab w:val="left" w:pos="306"/>
              </w:tabs>
              <w:spacing w:before="98" w:line="254" w:lineRule="auto"/>
              <w:ind w:right="306"/>
              <w:rPr>
                <w:sz w:val="18"/>
              </w:rPr>
            </w:pPr>
            <w:r>
              <w:rPr>
                <w:color w:val="231F20"/>
                <w:sz w:val="18"/>
              </w:rPr>
              <w:t>Maintain feeding and refuge habitat for waterbirds, small-bodied</w:t>
            </w:r>
            <w:r>
              <w:rPr>
                <w:color w:val="231F20"/>
                <w:spacing w:val="-26"/>
                <w:sz w:val="18"/>
              </w:rPr>
              <w:t xml:space="preserve"> </w:t>
            </w:r>
            <w:r>
              <w:rPr>
                <w:color w:val="231F20"/>
                <w:sz w:val="18"/>
              </w:rPr>
              <w:t>native fish, turtles and</w:t>
            </w:r>
            <w:r>
              <w:rPr>
                <w:color w:val="231F20"/>
                <w:spacing w:val="-2"/>
                <w:sz w:val="18"/>
              </w:rPr>
              <w:t xml:space="preserve"> </w:t>
            </w:r>
            <w:r>
              <w:rPr>
                <w:color w:val="231F20"/>
                <w:sz w:val="18"/>
              </w:rPr>
              <w:t>frogs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69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70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70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170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70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53" w:line="261" w:lineRule="auto"/>
              <w:ind w:left="85" w:right="226"/>
              <w:rPr>
                <w:sz w:val="16"/>
              </w:rPr>
            </w:pPr>
            <w:r>
              <w:rPr>
                <w:color w:val="231F20"/>
                <w:sz w:val="16"/>
              </w:rPr>
              <w:t>Winter/spring fresh in Yarran Creek (variable flow rates and duration based on water</w:t>
            </w:r>
          </w:p>
          <w:p w:rsidR="006A7A3F" w:rsidRDefault="00BC7372">
            <w:pPr>
              <w:pStyle w:val="TableParagraph"/>
              <w:spacing w:line="261" w:lineRule="auto"/>
              <w:ind w:left="85" w:right="96"/>
              <w:rPr>
                <w:sz w:val="16"/>
              </w:rPr>
            </w:pPr>
            <w:r>
              <w:rPr>
                <w:color w:val="231F20"/>
                <w:sz w:val="16"/>
              </w:rPr>
              <w:t>levels in Gunbower Forest and flows in the Murray River and Gunbower Creek)</w:t>
            </w:r>
          </w:p>
          <w:p w:rsidR="006A7A3F" w:rsidRDefault="006A7A3F">
            <w:pPr>
              <w:pStyle w:val="TableParagraph"/>
              <w:spacing w:before="1"/>
              <w:ind w:left="0"/>
              <w:rPr>
                <w:b/>
                <w:sz w:val="8"/>
              </w:rPr>
            </w:pPr>
          </w:p>
          <w:p w:rsidR="006A7A3F" w:rsidRDefault="00BC7372">
            <w:pPr>
              <w:pStyle w:val="TableParagraph"/>
              <w:ind w:left="85"/>
              <w:rPr>
                <w:sz w:val="20"/>
              </w:rPr>
            </w:pPr>
            <w:r>
              <w:rPr>
                <w:noProof/>
                <w:sz w:val="20"/>
              </w:rPr>
              <w:drawing>
                <wp:inline distT="0" distB="0" distL="0" distR="0">
                  <wp:extent cx="313948" cy="313944"/>
                  <wp:effectExtent l="0" t="0" r="0" b="0"/>
                  <wp:docPr id="1709"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43.jpeg"/>
                          <pic:cNvPicPr/>
                        </pic:nvPicPr>
                        <pic:blipFill>
                          <a:blip r:embed="rId55" cstate="print"/>
                          <a:stretch>
                            <a:fillRect/>
                          </a:stretch>
                        </pic:blipFill>
                        <pic:spPr>
                          <a:xfrm>
                            <a:off x="0" y="0"/>
                            <a:ext cx="313948" cy="313944"/>
                          </a:xfrm>
                          <a:prstGeom prst="rect">
                            <a:avLst/>
                          </a:prstGeom>
                        </pic:spPr>
                      </pic:pic>
                    </a:graphicData>
                  </a:graphic>
                </wp:inline>
              </w:drawing>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28"/>
              </w:numPr>
              <w:tabs>
                <w:tab w:val="left" w:pos="306"/>
              </w:tabs>
              <w:spacing w:before="49" w:line="254" w:lineRule="auto"/>
              <w:ind w:right="87"/>
              <w:rPr>
                <w:sz w:val="18"/>
              </w:rPr>
            </w:pPr>
            <w:r>
              <w:rPr>
                <w:color w:val="231F20"/>
                <w:sz w:val="18"/>
              </w:rPr>
              <w:t>Provide connectivity between Gunbower Creek and Murray River</w:t>
            </w:r>
            <w:r>
              <w:rPr>
                <w:color w:val="231F20"/>
                <w:spacing w:val="-20"/>
                <w:sz w:val="18"/>
              </w:rPr>
              <w:t xml:space="preserve"> </w:t>
            </w:r>
            <w:r>
              <w:rPr>
                <w:color w:val="231F20"/>
                <w:sz w:val="18"/>
              </w:rPr>
              <w:t xml:space="preserve">through the </w:t>
            </w:r>
            <w:r>
              <w:rPr>
                <w:color w:val="231F20"/>
                <w:spacing w:val="-3"/>
                <w:sz w:val="18"/>
              </w:rPr>
              <w:t xml:space="preserve">Yarran </w:t>
            </w:r>
            <w:r>
              <w:rPr>
                <w:color w:val="231F20"/>
                <w:sz w:val="18"/>
              </w:rPr>
              <w:t>Creek and Shillinglaws regulators, to increase flowing habitat for the lateral movement of native fish, turtles, carbon and</w:t>
            </w:r>
            <w:r>
              <w:rPr>
                <w:color w:val="231F20"/>
                <w:spacing w:val="-16"/>
                <w:sz w:val="18"/>
              </w:rPr>
              <w:t xml:space="preserve"> </w:t>
            </w:r>
            <w:r>
              <w:rPr>
                <w:color w:val="231F20"/>
                <w:sz w:val="18"/>
              </w:rPr>
              <w:t>nutrients</w:t>
            </w:r>
          </w:p>
          <w:p w:rsidR="006A7A3F" w:rsidRDefault="00BC7372">
            <w:pPr>
              <w:pStyle w:val="TableParagraph"/>
              <w:numPr>
                <w:ilvl w:val="0"/>
                <w:numId w:val="428"/>
              </w:numPr>
              <w:tabs>
                <w:tab w:val="left" w:pos="306"/>
              </w:tabs>
              <w:spacing w:before="87"/>
              <w:ind w:hanging="218"/>
              <w:rPr>
                <w:sz w:val="18"/>
              </w:rPr>
            </w:pPr>
            <w:r>
              <w:rPr>
                <w:color w:val="231F20"/>
                <w:sz w:val="18"/>
              </w:rPr>
              <w:t>Provide migration and spawning opportunities for native</w:t>
            </w:r>
            <w:r>
              <w:rPr>
                <w:color w:val="231F20"/>
                <w:spacing w:val="-8"/>
                <w:sz w:val="18"/>
              </w:rPr>
              <w:t xml:space="preserve"> </w:t>
            </w:r>
            <w:r>
              <w:rPr>
                <w:color w:val="231F20"/>
                <w:sz w:val="18"/>
              </w:rPr>
              <w:t>fish</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71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71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1321"/>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715"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03"/>
              <w:rPr>
                <w:sz w:val="16"/>
              </w:rPr>
            </w:pPr>
            <w:r>
              <w:rPr>
                <w:color w:val="231F20"/>
                <w:sz w:val="16"/>
              </w:rPr>
              <w:t>Little Gunbower wetland complex (fill in autumn/winter 2021)</w:t>
            </w:r>
          </w:p>
          <w:p w:rsidR="006A7A3F" w:rsidRDefault="006A7A3F">
            <w:pPr>
              <w:pStyle w:val="TableParagraph"/>
              <w:spacing w:before="3"/>
              <w:ind w:left="0"/>
              <w:rPr>
                <w:b/>
                <w:sz w:val="8"/>
              </w:rPr>
            </w:pPr>
          </w:p>
          <w:p w:rsidR="006A7A3F" w:rsidRDefault="00BC7372">
            <w:pPr>
              <w:pStyle w:val="TableParagraph"/>
              <w:ind w:left="85"/>
              <w:rPr>
                <w:sz w:val="20"/>
              </w:rPr>
            </w:pPr>
            <w:r>
              <w:rPr>
                <w:noProof/>
                <w:sz w:val="20"/>
              </w:rPr>
              <w:drawing>
                <wp:inline distT="0" distB="0" distL="0" distR="0">
                  <wp:extent cx="313951" cy="313944"/>
                  <wp:effectExtent l="0" t="0" r="0" b="0"/>
                  <wp:docPr id="1717"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43.jpeg"/>
                          <pic:cNvPicPr/>
                        </pic:nvPicPr>
                        <pic:blipFill>
                          <a:blip r:embed="rId55" cstate="print"/>
                          <a:stretch>
                            <a:fillRect/>
                          </a:stretch>
                        </pic:blipFill>
                        <pic:spPr>
                          <a:xfrm>
                            <a:off x="0" y="0"/>
                            <a:ext cx="313951" cy="313944"/>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spacing w:before="9"/>
              <w:ind w:left="0"/>
              <w:rPr>
                <w:b/>
                <w:sz w:val="28"/>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27"/>
              </w:numPr>
              <w:tabs>
                <w:tab w:val="left" w:pos="306"/>
              </w:tabs>
              <w:spacing w:before="63" w:line="254" w:lineRule="auto"/>
              <w:ind w:right="146"/>
              <w:rPr>
                <w:sz w:val="18"/>
              </w:rPr>
            </w:pPr>
            <w:r>
              <w:rPr>
                <w:color w:val="231F20"/>
                <w:sz w:val="18"/>
              </w:rPr>
              <w:t>Increase</w:t>
            </w:r>
            <w:r>
              <w:rPr>
                <w:color w:val="231F20"/>
                <w:spacing w:val="-4"/>
                <w:sz w:val="18"/>
              </w:rPr>
              <w:t xml:space="preserve"> </w:t>
            </w:r>
            <w:r>
              <w:rPr>
                <w:color w:val="231F20"/>
                <w:sz w:val="18"/>
              </w:rPr>
              <w:t>water</w:t>
            </w:r>
            <w:r>
              <w:rPr>
                <w:color w:val="231F20"/>
                <w:spacing w:val="-4"/>
                <w:sz w:val="18"/>
              </w:rPr>
              <w:t xml:space="preserve"> </w:t>
            </w:r>
            <w:r>
              <w:rPr>
                <w:color w:val="231F20"/>
                <w:sz w:val="18"/>
              </w:rPr>
              <w:t>depth</w:t>
            </w:r>
            <w:r>
              <w:rPr>
                <w:color w:val="231F20"/>
                <w:spacing w:val="-4"/>
                <w:sz w:val="18"/>
              </w:rPr>
              <w:t xml:space="preserve"> </w:t>
            </w:r>
            <w:r>
              <w:rPr>
                <w:color w:val="231F20"/>
                <w:sz w:val="18"/>
              </w:rPr>
              <w:t>and</w:t>
            </w:r>
            <w:r>
              <w:rPr>
                <w:color w:val="231F20"/>
                <w:spacing w:val="-4"/>
                <w:sz w:val="18"/>
              </w:rPr>
              <w:t xml:space="preserve"> </w:t>
            </w:r>
            <w:r>
              <w:rPr>
                <w:color w:val="231F20"/>
                <w:sz w:val="18"/>
              </w:rPr>
              <w:t>extent</w:t>
            </w:r>
            <w:r>
              <w:rPr>
                <w:color w:val="231F20"/>
                <w:spacing w:val="-4"/>
                <w:sz w:val="18"/>
              </w:rPr>
              <w:t xml:space="preserve"> </w:t>
            </w:r>
            <w:r>
              <w:rPr>
                <w:color w:val="231F20"/>
                <w:sz w:val="18"/>
              </w:rPr>
              <w:t>to</w:t>
            </w:r>
            <w:r>
              <w:rPr>
                <w:color w:val="231F20"/>
                <w:spacing w:val="-3"/>
                <w:sz w:val="18"/>
              </w:rPr>
              <w:t xml:space="preserve"> </w:t>
            </w:r>
            <w:r>
              <w:rPr>
                <w:color w:val="231F20"/>
                <w:sz w:val="18"/>
              </w:rPr>
              <w:t>trigger</w:t>
            </w:r>
            <w:r>
              <w:rPr>
                <w:color w:val="231F20"/>
                <w:spacing w:val="-3"/>
                <w:sz w:val="18"/>
              </w:rPr>
              <w:t xml:space="preserve"> </w:t>
            </w:r>
            <w:r>
              <w:rPr>
                <w:color w:val="231F20"/>
                <w:sz w:val="18"/>
              </w:rPr>
              <w:t>wetland</w:t>
            </w:r>
            <w:r>
              <w:rPr>
                <w:color w:val="231F20"/>
                <w:spacing w:val="-4"/>
                <w:sz w:val="18"/>
              </w:rPr>
              <w:t xml:space="preserve"> </w:t>
            </w:r>
            <w:r>
              <w:rPr>
                <w:color w:val="231F20"/>
                <w:sz w:val="18"/>
              </w:rPr>
              <w:t>plants</w:t>
            </w:r>
            <w:r>
              <w:rPr>
                <w:color w:val="231F20"/>
                <w:spacing w:val="-4"/>
                <w:sz w:val="18"/>
              </w:rPr>
              <w:t xml:space="preserve"> </w:t>
            </w:r>
            <w:r>
              <w:rPr>
                <w:color w:val="231F20"/>
                <w:sz w:val="18"/>
              </w:rPr>
              <w:t>to</w:t>
            </w:r>
            <w:r>
              <w:rPr>
                <w:color w:val="231F20"/>
                <w:spacing w:val="-3"/>
                <w:sz w:val="18"/>
              </w:rPr>
              <w:t xml:space="preserve"> </w:t>
            </w:r>
            <w:r>
              <w:rPr>
                <w:color w:val="231F20"/>
                <w:sz w:val="18"/>
              </w:rPr>
              <w:t>germinate</w:t>
            </w:r>
            <w:r>
              <w:rPr>
                <w:color w:val="231F20"/>
                <w:spacing w:val="-4"/>
                <w:sz w:val="18"/>
              </w:rPr>
              <w:t xml:space="preserve"> </w:t>
            </w:r>
            <w:r>
              <w:rPr>
                <w:color w:val="231F20"/>
                <w:sz w:val="18"/>
              </w:rPr>
              <w:t>in late winter and early</w:t>
            </w:r>
            <w:r>
              <w:rPr>
                <w:color w:val="231F20"/>
                <w:spacing w:val="-5"/>
                <w:sz w:val="18"/>
              </w:rPr>
              <w:t xml:space="preserve"> </w:t>
            </w:r>
            <w:r>
              <w:rPr>
                <w:color w:val="231F20"/>
                <w:sz w:val="18"/>
              </w:rPr>
              <w:t>spring</w:t>
            </w:r>
          </w:p>
          <w:p w:rsidR="006A7A3F" w:rsidRDefault="00BC7372">
            <w:pPr>
              <w:pStyle w:val="TableParagraph"/>
              <w:numPr>
                <w:ilvl w:val="0"/>
                <w:numId w:val="427"/>
              </w:numPr>
              <w:tabs>
                <w:tab w:val="left" w:pos="306"/>
              </w:tabs>
              <w:spacing w:before="86"/>
              <w:ind w:hanging="218"/>
              <w:rPr>
                <w:sz w:val="18"/>
              </w:rPr>
            </w:pPr>
            <w:r>
              <w:rPr>
                <w:color w:val="231F20"/>
                <w:sz w:val="18"/>
              </w:rPr>
              <w:t>Provide feeding and refuge habitat for waterbirds, turtles and</w:t>
            </w:r>
            <w:r>
              <w:rPr>
                <w:color w:val="231F20"/>
                <w:spacing w:val="-13"/>
                <w:sz w:val="18"/>
              </w:rPr>
              <w:t xml:space="preserve"> </w:t>
            </w:r>
            <w:r>
              <w:rPr>
                <w:color w:val="231F20"/>
                <w:sz w:val="18"/>
              </w:rPr>
              <w:t>frogs</w:t>
            </w:r>
          </w:p>
          <w:p w:rsidR="006A7A3F" w:rsidRDefault="00BC7372">
            <w:pPr>
              <w:pStyle w:val="TableParagraph"/>
              <w:numPr>
                <w:ilvl w:val="0"/>
                <w:numId w:val="427"/>
              </w:numPr>
              <w:tabs>
                <w:tab w:val="left" w:pos="306"/>
              </w:tabs>
              <w:spacing w:before="98"/>
              <w:ind w:hanging="218"/>
              <w:rPr>
                <w:sz w:val="18"/>
              </w:rPr>
            </w:pPr>
            <w:r>
              <w:rPr>
                <w:color w:val="231F20"/>
                <w:sz w:val="18"/>
              </w:rPr>
              <w:t>Provide habitat for small-bodied native</w:t>
            </w:r>
            <w:r>
              <w:rPr>
                <w:color w:val="231F20"/>
                <w:spacing w:val="-3"/>
                <w:sz w:val="18"/>
              </w:rPr>
              <w:t xml:space="preserve"> </w:t>
            </w:r>
            <w:r>
              <w:rPr>
                <w:color w:val="231F20"/>
                <w:sz w:val="18"/>
              </w:rPr>
              <w:t>fish</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71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72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5"/>
                  <wp:effectExtent l="0" t="0" r="0" b="0"/>
                  <wp:docPr id="172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26.jpeg"/>
                          <pic:cNvPicPr/>
                        </pic:nvPicPr>
                        <pic:blipFill>
                          <a:blip r:embed="rId38"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5"/>
                  <wp:effectExtent l="0" t="0" r="0" b="0"/>
                  <wp:docPr id="172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9" cy="310895"/>
                  <wp:effectExtent l="0" t="0" r="0" b="0"/>
                  <wp:docPr id="172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27.jpeg"/>
                          <pic:cNvPicPr/>
                        </pic:nvPicPr>
                        <pic:blipFill>
                          <a:blip r:embed="rId39" cstate="print"/>
                          <a:stretch>
                            <a:fillRect/>
                          </a:stretch>
                        </pic:blipFill>
                        <pic:spPr>
                          <a:xfrm>
                            <a:off x="0" y="0"/>
                            <a:ext cx="314169"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31"/>
              <w:rPr>
                <w:sz w:val="16"/>
              </w:rPr>
            </w:pPr>
            <w:r>
              <w:rPr>
                <w:color w:val="231F20"/>
                <w:sz w:val="16"/>
              </w:rPr>
              <w:t>Little Reedy wetland complex (including Green Swamp, Corduroy Swamp and Little Reedy Lagoon) (fill in autumn/ winter 2021)</w:t>
            </w:r>
          </w:p>
          <w:p w:rsidR="006A7A3F" w:rsidRDefault="006A7A3F">
            <w:pPr>
              <w:pStyle w:val="TableParagraph"/>
              <w:spacing w:before="2"/>
              <w:ind w:left="0"/>
              <w:rPr>
                <w:b/>
                <w:sz w:val="8"/>
              </w:rPr>
            </w:pPr>
          </w:p>
          <w:p w:rsidR="006A7A3F" w:rsidRDefault="00BC7372">
            <w:pPr>
              <w:pStyle w:val="TableParagraph"/>
              <w:ind w:left="85"/>
              <w:rPr>
                <w:sz w:val="20"/>
              </w:rPr>
            </w:pPr>
            <w:r>
              <w:rPr>
                <w:noProof/>
                <w:sz w:val="20"/>
              </w:rPr>
              <w:drawing>
                <wp:inline distT="0" distB="0" distL="0" distR="0">
                  <wp:extent cx="313944" cy="313944"/>
                  <wp:effectExtent l="0" t="0" r="0" b="0"/>
                  <wp:docPr id="1729"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43.jpeg"/>
                          <pic:cNvPicPr/>
                        </pic:nvPicPr>
                        <pic:blipFill>
                          <a:blip r:embed="rId55" cstate="print"/>
                          <a:stretch>
                            <a:fillRect/>
                          </a:stretch>
                        </pic:blipFill>
                        <pic:spPr>
                          <a:xfrm>
                            <a:off x="0" y="0"/>
                            <a:ext cx="313944" cy="313944"/>
                          </a:xfrm>
                          <a:prstGeom prst="rect">
                            <a:avLst/>
                          </a:prstGeom>
                        </pic:spPr>
                      </pic:pic>
                    </a:graphicData>
                  </a:graphic>
                </wp:inline>
              </w:drawing>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26"/>
              </w:numPr>
              <w:tabs>
                <w:tab w:val="left" w:pos="306"/>
              </w:tabs>
              <w:spacing w:before="63" w:line="254" w:lineRule="auto"/>
              <w:ind w:right="146"/>
              <w:rPr>
                <w:sz w:val="18"/>
              </w:rPr>
            </w:pPr>
            <w:r>
              <w:rPr>
                <w:color w:val="231F20"/>
                <w:sz w:val="18"/>
              </w:rPr>
              <w:t>Increase</w:t>
            </w:r>
            <w:r>
              <w:rPr>
                <w:color w:val="231F20"/>
                <w:spacing w:val="-4"/>
                <w:sz w:val="18"/>
              </w:rPr>
              <w:t xml:space="preserve"> </w:t>
            </w:r>
            <w:r>
              <w:rPr>
                <w:color w:val="231F20"/>
                <w:sz w:val="18"/>
              </w:rPr>
              <w:t>water</w:t>
            </w:r>
            <w:r>
              <w:rPr>
                <w:color w:val="231F20"/>
                <w:spacing w:val="-4"/>
                <w:sz w:val="18"/>
              </w:rPr>
              <w:t xml:space="preserve"> </w:t>
            </w:r>
            <w:r>
              <w:rPr>
                <w:color w:val="231F20"/>
                <w:sz w:val="18"/>
              </w:rPr>
              <w:t>depth</w:t>
            </w:r>
            <w:r>
              <w:rPr>
                <w:color w:val="231F20"/>
                <w:spacing w:val="-4"/>
                <w:sz w:val="18"/>
              </w:rPr>
              <w:t xml:space="preserve"> </w:t>
            </w:r>
            <w:r>
              <w:rPr>
                <w:color w:val="231F20"/>
                <w:sz w:val="18"/>
              </w:rPr>
              <w:t>and</w:t>
            </w:r>
            <w:r>
              <w:rPr>
                <w:color w:val="231F20"/>
                <w:spacing w:val="-4"/>
                <w:sz w:val="18"/>
              </w:rPr>
              <w:t xml:space="preserve"> </w:t>
            </w:r>
            <w:r>
              <w:rPr>
                <w:color w:val="231F20"/>
                <w:sz w:val="18"/>
              </w:rPr>
              <w:t>extent</w:t>
            </w:r>
            <w:r>
              <w:rPr>
                <w:color w:val="231F20"/>
                <w:spacing w:val="-4"/>
                <w:sz w:val="18"/>
              </w:rPr>
              <w:t xml:space="preserve"> </w:t>
            </w:r>
            <w:r>
              <w:rPr>
                <w:color w:val="231F20"/>
                <w:sz w:val="18"/>
              </w:rPr>
              <w:t>to</w:t>
            </w:r>
            <w:r>
              <w:rPr>
                <w:color w:val="231F20"/>
                <w:spacing w:val="-3"/>
                <w:sz w:val="18"/>
              </w:rPr>
              <w:t xml:space="preserve"> </w:t>
            </w:r>
            <w:r>
              <w:rPr>
                <w:color w:val="231F20"/>
                <w:sz w:val="18"/>
              </w:rPr>
              <w:t>trigger</w:t>
            </w:r>
            <w:r>
              <w:rPr>
                <w:color w:val="231F20"/>
                <w:spacing w:val="-3"/>
                <w:sz w:val="18"/>
              </w:rPr>
              <w:t xml:space="preserve"> </w:t>
            </w:r>
            <w:r>
              <w:rPr>
                <w:color w:val="231F20"/>
                <w:sz w:val="18"/>
              </w:rPr>
              <w:t>wetland</w:t>
            </w:r>
            <w:r>
              <w:rPr>
                <w:color w:val="231F20"/>
                <w:spacing w:val="-4"/>
                <w:sz w:val="18"/>
              </w:rPr>
              <w:t xml:space="preserve"> </w:t>
            </w:r>
            <w:r>
              <w:rPr>
                <w:color w:val="231F20"/>
                <w:sz w:val="18"/>
              </w:rPr>
              <w:t>plants</w:t>
            </w:r>
            <w:r>
              <w:rPr>
                <w:color w:val="231F20"/>
                <w:spacing w:val="-4"/>
                <w:sz w:val="18"/>
              </w:rPr>
              <w:t xml:space="preserve"> </w:t>
            </w:r>
            <w:r>
              <w:rPr>
                <w:color w:val="231F20"/>
                <w:sz w:val="18"/>
              </w:rPr>
              <w:t>to</w:t>
            </w:r>
            <w:r>
              <w:rPr>
                <w:color w:val="231F20"/>
                <w:spacing w:val="-3"/>
                <w:sz w:val="18"/>
              </w:rPr>
              <w:t xml:space="preserve"> </w:t>
            </w:r>
            <w:r>
              <w:rPr>
                <w:color w:val="231F20"/>
                <w:sz w:val="18"/>
              </w:rPr>
              <w:t>germinate</w:t>
            </w:r>
            <w:r>
              <w:rPr>
                <w:color w:val="231F20"/>
                <w:spacing w:val="-4"/>
                <w:sz w:val="18"/>
              </w:rPr>
              <w:t xml:space="preserve"> </w:t>
            </w:r>
            <w:r>
              <w:rPr>
                <w:color w:val="231F20"/>
                <w:sz w:val="18"/>
              </w:rPr>
              <w:t>in late winter and early</w:t>
            </w:r>
            <w:r>
              <w:rPr>
                <w:color w:val="231F20"/>
                <w:spacing w:val="-5"/>
                <w:sz w:val="18"/>
              </w:rPr>
              <w:t xml:space="preserve"> </w:t>
            </w:r>
            <w:r>
              <w:rPr>
                <w:color w:val="231F20"/>
                <w:sz w:val="18"/>
              </w:rPr>
              <w:t>spring</w:t>
            </w:r>
          </w:p>
          <w:p w:rsidR="006A7A3F" w:rsidRDefault="00BC7372">
            <w:pPr>
              <w:pStyle w:val="TableParagraph"/>
              <w:numPr>
                <w:ilvl w:val="0"/>
                <w:numId w:val="426"/>
              </w:numPr>
              <w:tabs>
                <w:tab w:val="left" w:pos="306"/>
              </w:tabs>
              <w:spacing w:before="86"/>
              <w:ind w:hanging="218"/>
              <w:rPr>
                <w:sz w:val="18"/>
              </w:rPr>
            </w:pPr>
            <w:r>
              <w:rPr>
                <w:color w:val="231F20"/>
                <w:sz w:val="18"/>
              </w:rPr>
              <w:t>Provide feeding and refuge habitat for waterbirds, turtles and</w:t>
            </w:r>
            <w:r>
              <w:rPr>
                <w:color w:val="231F20"/>
                <w:spacing w:val="-13"/>
                <w:sz w:val="18"/>
              </w:rPr>
              <w:t xml:space="preserve"> </w:t>
            </w:r>
            <w:r>
              <w:rPr>
                <w:color w:val="231F20"/>
                <w:sz w:val="18"/>
              </w:rPr>
              <w:t>frogs</w:t>
            </w:r>
          </w:p>
          <w:p w:rsidR="006A7A3F" w:rsidRDefault="00BC7372">
            <w:pPr>
              <w:pStyle w:val="TableParagraph"/>
              <w:numPr>
                <w:ilvl w:val="0"/>
                <w:numId w:val="426"/>
              </w:numPr>
              <w:tabs>
                <w:tab w:val="left" w:pos="306"/>
              </w:tabs>
              <w:spacing w:before="98"/>
              <w:ind w:hanging="218"/>
              <w:rPr>
                <w:sz w:val="18"/>
              </w:rPr>
            </w:pPr>
            <w:r>
              <w:rPr>
                <w:color w:val="231F20"/>
                <w:sz w:val="18"/>
              </w:rPr>
              <w:t>Provide habitat for small-bodied native</w:t>
            </w:r>
            <w:r>
              <w:rPr>
                <w:color w:val="231F20"/>
                <w:spacing w:val="-3"/>
                <w:sz w:val="18"/>
              </w:rPr>
              <w:t xml:space="preserve"> </w:t>
            </w:r>
            <w:r>
              <w:rPr>
                <w:color w:val="231F20"/>
                <w:sz w:val="18"/>
              </w:rPr>
              <w:t>fish</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5"/>
                  <wp:effectExtent l="0" t="0" r="0" b="0"/>
                  <wp:docPr id="173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19.jpeg"/>
                          <pic:cNvPicPr/>
                        </pic:nvPicPr>
                        <pic:blipFill>
                          <a:blip r:embed="rId31" cstate="print"/>
                          <a:stretch>
                            <a:fillRect/>
                          </a:stretch>
                        </pic:blipFill>
                        <pic:spPr>
                          <a:xfrm>
                            <a:off x="0" y="0"/>
                            <a:ext cx="314177"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5"/>
                  <wp:effectExtent l="0" t="0" r="0" b="0"/>
                  <wp:docPr id="173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25.jpeg"/>
                          <pic:cNvPicPr/>
                        </pic:nvPicPr>
                        <pic:blipFill>
                          <a:blip r:embed="rId37" cstate="print"/>
                          <a:stretch>
                            <a:fillRect/>
                          </a:stretch>
                        </pic:blipFill>
                        <pic:spPr>
                          <a:xfrm>
                            <a:off x="0" y="0"/>
                            <a:ext cx="314168" cy="310895"/>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5"/>
                  <wp:effectExtent l="0" t="0" r="0" b="0"/>
                  <wp:docPr id="1735"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26.jpeg"/>
                          <pic:cNvPicPr/>
                        </pic:nvPicPr>
                        <pic:blipFill>
                          <a:blip r:embed="rId38"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77" cy="310895"/>
                  <wp:effectExtent l="0" t="0" r="0" b="0"/>
                  <wp:docPr id="173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21.jpeg"/>
                          <pic:cNvPicPr/>
                        </pic:nvPicPr>
                        <pic:blipFill>
                          <a:blip r:embed="rId33" cstate="print"/>
                          <a:stretch>
                            <a:fillRect/>
                          </a:stretch>
                        </pic:blipFill>
                        <pic:spPr>
                          <a:xfrm>
                            <a:off x="0" y="0"/>
                            <a:ext cx="314177" cy="310895"/>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73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bl>
    <w:p w:rsidR="006A7A3F" w:rsidRDefault="006A7A3F">
      <w:pPr>
        <w:rPr>
          <w:rFonts w:ascii="Times New Roman"/>
          <w:sz w:val="16"/>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trPr>
          <w:trHeight w:val="625"/>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71"/>
              <w:rPr>
                <w:sz w:val="16"/>
              </w:rPr>
            </w:pPr>
            <w:r>
              <w:rPr>
                <w:color w:val="231F20"/>
                <w:sz w:val="16"/>
              </w:rPr>
              <w:t>Extend natural flooding in Gunbower Forest floodplain, floodrunners and wetlands (with variable flow rates to maintain an appropriate wetted extent during winter/spring)</w:t>
            </w:r>
          </w:p>
          <w:p w:rsidR="006A7A3F" w:rsidRDefault="006A7A3F">
            <w:pPr>
              <w:pStyle w:val="TableParagraph"/>
              <w:spacing w:before="2"/>
              <w:ind w:left="0"/>
              <w:rPr>
                <w:b/>
                <w:sz w:val="8"/>
              </w:rPr>
            </w:pPr>
          </w:p>
          <w:p w:rsidR="006A7A3F" w:rsidRDefault="00BC7372">
            <w:pPr>
              <w:pStyle w:val="TableParagraph"/>
              <w:ind w:left="85"/>
              <w:rPr>
                <w:sz w:val="20"/>
              </w:rPr>
            </w:pPr>
            <w:r>
              <w:rPr>
                <w:noProof/>
                <w:sz w:val="20"/>
              </w:rPr>
              <w:drawing>
                <wp:inline distT="0" distB="0" distL="0" distR="0">
                  <wp:extent cx="313949" cy="313944"/>
                  <wp:effectExtent l="0" t="0" r="0" b="0"/>
                  <wp:docPr id="1741"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43.jpeg"/>
                          <pic:cNvPicPr/>
                        </pic:nvPicPr>
                        <pic:blipFill>
                          <a:blip r:embed="rId55" cstate="print"/>
                          <a:stretch>
                            <a:fillRect/>
                          </a:stretch>
                        </pic:blipFill>
                        <pic:spPr>
                          <a:xfrm>
                            <a:off x="0" y="0"/>
                            <a:ext cx="313949" cy="313944"/>
                          </a:xfrm>
                          <a:prstGeom prst="rect">
                            <a:avLst/>
                          </a:prstGeom>
                        </pic:spPr>
                      </pic:pic>
                    </a:graphicData>
                  </a:graphic>
                </wp:inline>
              </w:drawing>
            </w:r>
          </w:p>
        </w:tc>
        <w:tc>
          <w:tcPr>
            <w:tcW w:w="6236" w:type="dxa"/>
            <w:vMerge w:val="restart"/>
            <w:tcBorders>
              <w:top w:val="nil"/>
              <w:left w:val="single" w:sz="4" w:space="0" w:color="231F20"/>
              <w:bottom w:val="single" w:sz="4" w:space="0" w:color="231F20"/>
              <w:right w:val="single" w:sz="4" w:space="0" w:color="231F20"/>
            </w:tcBorders>
          </w:tcPr>
          <w:p w:rsidR="006A7A3F" w:rsidRDefault="00BC7372">
            <w:pPr>
              <w:pStyle w:val="TableParagraph"/>
              <w:numPr>
                <w:ilvl w:val="0"/>
                <w:numId w:val="425"/>
              </w:numPr>
              <w:tabs>
                <w:tab w:val="left" w:pos="306"/>
              </w:tabs>
              <w:spacing w:before="63"/>
              <w:ind w:hanging="218"/>
              <w:rPr>
                <w:sz w:val="18"/>
              </w:rPr>
            </w:pPr>
            <w:r>
              <w:rPr>
                <w:color w:val="231F20"/>
                <w:sz w:val="18"/>
              </w:rPr>
              <w:t>Wet river red gum, black box and grey box</w:t>
            </w:r>
            <w:r>
              <w:rPr>
                <w:color w:val="231F20"/>
                <w:spacing w:val="-12"/>
                <w:sz w:val="18"/>
              </w:rPr>
              <w:t xml:space="preserve"> </w:t>
            </w:r>
            <w:r>
              <w:rPr>
                <w:color w:val="231F20"/>
                <w:sz w:val="18"/>
              </w:rPr>
              <w:t>communities</w:t>
            </w:r>
          </w:p>
          <w:p w:rsidR="006A7A3F" w:rsidRDefault="00BC7372">
            <w:pPr>
              <w:pStyle w:val="TableParagraph"/>
              <w:numPr>
                <w:ilvl w:val="0"/>
                <w:numId w:val="425"/>
              </w:numPr>
              <w:tabs>
                <w:tab w:val="left" w:pos="306"/>
              </w:tabs>
              <w:spacing w:before="98" w:line="254" w:lineRule="auto"/>
              <w:ind w:right="446"/>
              <w:rPr>
                <w:sz w:val="18"/>
              </w:rPr>
            </w:pPr>
            <w:r>
              <w:rPr>
                <w:color w:val="231F20"/>
                <w:sz w:val="18"/>
              </w:rPr>
              <w:t>Provide access to breeding habitat and food resources for native</w:t>
            </w:r>
            <w:r>
              <w:rPr>
                <w:color w:val="231F20"/>
                <w:spacing w:val="-29"/>
                <w:sz w:val="18"/>
              </w:rPr>
              <w:t xml:space="preserve"> </w:t>
            </w:r>
            <w:r>
              <w:rPr>
                <w:color w:val="231F20"/>
                <w:sz w:val="18"/>
              </w:rPr>
              <w:t>fish (such as Murray</w:t>
            </w:r>
            <w:r>
              <w:rPr>
                <w:color w:val="231F20"/>
                <w:spacing w:val="-2"/>
                <w:sz w:val="18"/>
              </w:rPr>
              <w:t xml:space="preserve"> </w:t>
            </w:r>
            <w:r>
              <w:rPr>
                <w:color w:val="231F20"/>
                <w:sz w:val="18"/>
              </w:rPr>
              <w:t>cod)</w:t>
            </w:r>
          </w:p>
          <w:p w:rsidR="006A7A3F" w:rsidRDefault="00BC7372">
            <w:pPr>
              <w:pStyle w:val="TableParagraph"/>
              <w:numPr>
                <w:ilvl w:val="0"/>
                <w:numId w:val="425"/>
              </w:numPr>
              <w:tabs>
                <w:tab w:val="left" w:pos="306"/>
              </w:tabs>
              <w:spacing w:before="86" w:line="254" w:lineRule="auto"/>
              <w:ind w:right="206"/>
              <w:rPr>
                <w:sz w:val="18"/>
              </w:rPr>
            </w:pPr>
            <w:r>
              <w:rPr>
                <w:color w:val="231F20"/>
                <w:sz w:val="18"/>
              </w:rPr>
              <w:t>Provide refuge habitat for frogs, turtles and waterbirds including</w:t>
            </w:r>
            <w:r>
              <w:rPr>
                <w:color w:val="231F20"/>
                <w:spacing w:val="-28"/>
                <w:sz w:val="18"/>
              </w:rPr>
              <w:t xml:space="preserve"> </w:t>
            </w:r>
            <w:r>
              <w:rPr>
                <w:color w:val="231F20"/>
                <w:sz w:val="18"/>
              </w:rPr>
              <w:t>colonial nesting</w:t>
            </w:r>
            <w:r>
              <w:rPr>
                <w:color w:val="231F20"/>
                <w:spacing w:val="-2"/>
                <w:sz w:val="18"/>
              </w:rPr>
              <w:t xml:space="preserve"> </w:t>
            </w:r>
            <w:r>
              <w:rPr>
                <w:color w:val="231F20"/>
                <w:sz w:val="18"/>
              </w:rPr>
              <w:t>species</w:t>
            </w:r>
          </w:p>
        </w:tc>
        <w:tc>
          <w:tcPr>
            <w:tcW w:w="850"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74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74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747"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174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78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75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05"/>
              <w:rPr>
                <w:sz w:val="16"/>
              </w:rPr>
            </w:pPr>
            <w:r>
              <w:rPr>
                <w:color w:val="231F20"/>
                <w:sz w:val="16"/>
              </w:rPr>
              <w:t>Gunbower Forest floodplain, floodrunners and wetlands (with variable flow rates during autumn/winter 2021)</w:t>
            </w:r>
          </w:p>
          <w:p w:rsidR="006A7A3F" w:rsidRDefault="006A7A3F">
            <w:pPr>
              <w:pStyle w:val="TableParagraph"/>
              <w:spacing w:before="3"/>
              <w:ind w:left="0"/>
              <w:rPr>
                <w:b/>
                <w:sz w:val="8"/>
              </w:rPr>
            </w:pPr>
          </w:p>
          <w:p w:rsidR="006A7A3F" w:rsidRDefault="00BC7372">
            <w:pPr>
              <w:pStyle w:val="TableParagraph"/>
              <w:ind w:left="85"/>
              <w:rPr>
                <w:sz w:val="20"/>
              </w:rPr>
            </w:pPr>
            <w:r>
              <w:rPr>
                <w:noProof/>
                <w:sz w:val="20"/>
              </w:rPr>
              <w:drawing>
                <wp:inline distT="0" distB="0" distL="0" distR="0">
                  <wp:extent cx="313943" cy="313944"/>
                  <wp:effectExtent l="0" t="0" r="0" b="0"/>
                  <wp:docPr id="1753"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43.jpeg"/>
                          <pic:cNvPicPr/>
                        </pic:nvPicPr>
                        <pic:blipFill>
                          <a:blip r:embed="rId55" cstate="print"/>
                          <a:stretch>
                            <a:fillRect/>
                          </a:stretch>
                        </pic:blipFill>
                        <pic:spPr>
                          <a:xfrm>
                            <a:off x="0" y="0"/>
                            <a:ext cx="313943" cy="313944"/>
                          </a:xfrm>
                          <a:prstGeom prst="rect">
                            <a:avLst/>
                          </a:prstGeom>
                        </pic:spPr>
                      </pic:pic>
                    </a:graphicData>
                  </a:graphic>
                </wp:inline>
              </w:drawing>
            </w:r>
          </w:p>
          <w:p w:rsidR="006A7A3F" w:rsidRDefault="006A7A3F">
            <w:pPr>
              <w:pStyle w:val="TableParagraph"/>
              <w:ind w:left="0"/>
              <w:rPr>
                <w:b/>
                <w:sz w:val="20"/>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24"/>
              </w:numPr>
              <w:tabs>
                <w:tab w:val="left" w:pos="306"/>
              </w:tabs>
              <w:spacing w:before="63"/>
              <w:ind w:hanging="218"/>
              <w:rPr>
                <w:sz w:val="18"/>
              </w:rPr>
            </w:pPr>
            <w:r>
              <w:rPr>
                <w:color w:val="231F20"/>
                <w:sz w:val="18"/>
              </w:rPr>
              <w:t>Wet river red gum, black box and grey box</w:t>
            </w:r>
            <w:r>
              <w:rPr>
                <w:color w:val="231F20"/>
                <w:spacing w:val="-12"/>
                <w:sz w:val="18"/>
              </w:rPr>
              <w:t xml:space="preserve"> </w:t>
            </w:r>
            <w:r>
              <w:rPr>
                <w:color w:val="231F20"/>
                <w:sz w:val="18"/>
              </w:rPr>
              <w:t>communities</w:t>
            </w:r>
          </w:p>
          <w:p w:rsidR="006A7A3F" w:rsidRDefault="00BC7372">
            <w:pPr>
              <w:pStyle w:val="TableParagraph"/>
              <w:numPr>
                <w:ilvl w:val="0"/>
                <w:numId w:val="424"/>
              </w:numPr>
              <w:tabs>
                <w:tab w:val="left" w:pos="306"/>
              </w:tabs>
              <w:spacing w:before="98" w:line="254" w:lineRule="auto"/>
              <w:ind w:right="446"/>
              <w:rPr>
                <w:sz w:val="18"/>
              </w:rPr>
            </w:pPr>
            <w:r>
              <w:rPr>
                <w:color w:val="231F20"/>
                <w:sz w:val="18"/>
              </w:rPr>
              <w:t>Provide access to breeding habitat and food resources for native</w:t>
            </w:r>
            <w:r>
              <w:rPr>
                <w:color w:val="231F20"/>
                <w:spacing w:val="-29"/>
                <w:sz w:val="18"/>
              </w:rPr>
              <w:t xml:space="preserve"> </w:t>
            </w:r>
            <w:r>
              <w:rPr>
                <w:color w:val="231F20"/>
                <w:sz w:val="18"/>
              </w:rPr>
              <w:t>fish (such as Murray</w:t>
            </w:r>
            <w:r>
              <w:rPr>
                <w:color w:val="231F20"/>
                <w:spacing w:val="-2"/>
                <w:sz w:val="18"/>
              </w:rPr>
              <w:t xml:space="preserve"> </w:t>
            </w:r>
            <w:r>
              <w:rPr>
                <w:color w:val="231F20"/>
                <w:sz w:val="18"/>
              </w:rPr>
              <w:t>cod)</w:t>
            </w:r>
          </w:p>
          <w:p w:rsidR="006A7A3F" w:rsidRDefault="00BC7372">
            <w:pPr>
              <w:pStyle w:val="TableParagraph"/>
              <w:numPr>
                <w:ilvl w:val="0"/>
                <w:numId w:val="424"/>
              </w:numPr>
              <w:tabs>
                <w:tab w:val="left" w:pos="306"/>
              </w:tabs>
              <w:spacing w:before="86" w:line="254" w:lineRule="auto"/>
              <w:ind w:right="206"/>
              <w:rPr>
                <w:sz w:val="18"/>
              </w:rPr>
            </w:pPr>
            <w:r>
              <w:rPr>
                <w:color w:val="231F20"/>
                <w:sz w:val="18"/>
              </w:rPr>
              <w:t>Provide refuge habitat for frogs, turtles and waterbirds including</w:t>
            </w:r>
            <w:r>
              <w:rPr>
                <w:color w:val="231F20"/>
                <w:spacing w:val="-28"/>
                <w:sz w:val="18"/>
              </w:rPr>
              <w:t xml:space="preserve"> </w:t>
            </w:r>
            <w:r>
              <w:rPr>
                <w:color w:val="231F20"/>
                <w:sz w:val="18"/>
              </w:rPr>
              <w:t>colonial nesting</w:t>
            </w:r>
            <w:r>
              <w:rPr>
                <w:color w:val="231F20"/>
                <w:spacing w:val="-2"/>
                <w:sz w:val="18"/>
              </w:rPr>
              <w:t xml:space="preserve"> </w:t>
            </w:r>
            <w:r>
              <w:rPr>
                <w:color w:val="231F20"/>
                <w:sz w:val="18"/>
              </w:rPr>
              <w:t>species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6" cy="310896"/>
                  <wp:effectExtent l="0" t="0" r="0" b="0"/>
                  <wp:docPr id="175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19.jpeg"/>
                          <pic:cNvPicPr/>
                        </pic:nvPicPr>
                        <pic:blipFill>
                          <a:blip r:embed="rId31" cstate="print"/>
                          <a:stretch>
                            <a:fillRect/>
                          </a:stretch>
                        </pic:blipFill>
                        <pic:spPr>
                          <a:xfrm>
                            <a:off x="0" y="0"/>
                            <a:ext cx="314176"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3" cy="310896"/>
                  <wp:effectExtent l="0" t="0" r="0" b="0"/>
                  <wp:docPr id="1757"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25.jpeg"/>
                          <pic:cNvPicPr/>
                        </pic:nvPicPr>
                        <pic:blipFill>
                          <a:blip r:embed="rId37" cstate="print"/>
                          <a:stretch>
                            <a:fillRect/>
                          </a:stretch>
                        </pic:blipFill>
                        <pic:spPr>
                          <a:xfrm>
                            <a:off x="0" y="0"/>
                            <a:ext cx="314173"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759"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73" cy="310896"/>
                  <wp:effectExtent l="0" t="0" r="0" b="0"/>
                  <wp:docPr id="176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21.jpeg"/>
                          <pic:cNvPicPr/>
                        </pic:nvPicPr>
                        <pic:blipFill>
                          <a:blip r:embed="rId33" cstate="print"/>
                          <a:stretch>
                            <a:fillRect/>
                          </a:stretch>
                        </pic:blipFill>
                        <pic:spPr>
                          <a:xfrm>
                            <a:off x="0" y="0"/>
                            <a:ext cx="314173"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176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333"/>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Pr="003A00D0" w:rsidRDefault="00BC7372">
            <w:pPr>
              <w:pStyle w:val="TableParagraph"/>
              <w:spacing w:before="67"/>
              <w:ind w:left="85"/>
              <w:rPr>
                <w:b/>
                <w:bCs/>
                <w:sz w:val="16"/>
              </w:rPr>
            </w:pPr>
            <w:r w:rsidRPr="003A00D0">
              <w:rPr>
                <w:b/>
                <w:bCs/>
                <w:color w:val="231F20"/>
                <w:sz w:val="16"/>
              </w:rPr>
              <w:t>Gunbower Creek</w:t>
            </w:r>
          </w:p>
        </w:tc>
      </w:tr>
      <w:tr w:rsidR="006A7A3F">
        <w:trPr>
          <w:trHeight w:val="7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96"/>
              <w:rPr>
                <w:sz w:val="16"/>
              </w:rPr>
            </w:pPr>
            <w:r>
              <w:rPr>
                <w:color w:val="231F20"/>
                <w:sz w:val="16"/>
              </w:rPr>
              <w:t>Autumn/winter low flow (above 200 ML/day during May to August)</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23"/>
              </w:numPr>
              <w:tabs>
                <w:tab w:val="left" w:pos="306"/>
              </w:tabs>
              <w:spacing w:before="63" w:line="254" w:lineRule="auto"/>
              <w:ind w:right="196"/>
              <w:rPr>
                <w:sz w:val="18"/>
              </w:rPr>
            </w:pPr>
            <w:r>
              <w:rPr>
                <w:color w:val="231F20"/>
                <w:sz w:val="18"/>
              </w:rPr>
              <w:t>Maintain habitat and food resources for native fish (such as Murray cod) during the non-irrigation</w:t>
            </w:r>
            <w:r>
              <w:rPr>
                <w:color w:val="231F20"/>
                <w:spacing w:val="-3"/>
                <w:sz w:val="18"/>
              </w:rPr>
              <w:t xml:space="preserve"> </w:t>
            </w:r>
            <w:r>
              <w:rPr>
                <w:color w:val="231F20"/>
                <w:sz w:val="18"/>
              </w:rPr>
              <w:t>season</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3A00D0">
            <w:pPr>
              <w:pStyle w:val="TableParagraph"/>
              <w:ind w:left="170"/>
              <w:rPr>
                <w:sz w:val="20"/>
              </w:rPr>
            </w:pPr>
            <w:r>
              <w:rPr>
                <w:sz w:val="20"/>
              </w:rPr>
              <w:t xml:space="preserve">   </w:t>
            </w:r>
            <w:r w:rsidR="00BC7372">
              <w:rPr>
                <w:noProof/>
                <w:sz w:val="20"/>
              </w:rPr>
              <w:drawing>
                <wp:inline distT="0" distB="0" distL="0" distR="0">
                  <wp:extent cx="314170" cy="310896"/>
                  <wp:effectExtent l="0" t="0" r="0" b="0"/>
                  <wp:docPr id="176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19.jpeg"/>
                          <pic:cNvPicPr/>
                        </pic:nvPicPr>
                        <pic:blipFill>
                          <a:blip r:embed="rId31" cstate="print"/>
                          <a:stretch>
                            <a:fillRect/>
                          </a:stretch>
                        </pic:blipFill>
                        <pic:spPr>
                          <a:xfrm>
                            <a:off x="0" y="0"/>
                            <a:ext cx="314170" cy="310896"/>
                          </a:xfrm>
                          <a:prstGeom prst="rect">
                            <a:avLst/>
                          </a:prstGeom>
                        </pic:spPr>
                      </pic:pic>
                    </a:graphicData>
                  </a:graphic>
                </wp:inline>
              </w:drawing>
            </w:r>
          </w:p>
        </w:tc>
      </w:tr>
      <w:tr w:rsidR="006A7A3F">
        <w:trPr>
          <w:trHeight w:val="1397"/>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40"/>
              <w:rPr>
                <w:sz w:val="9"/>
              </w:rPr>
            </w:pPr>
            <w:r>
              <w:rPr>
                <w:color w:val="231F20"/>
                <w:sz w:val="16"/>
              </w:rPr>
              <w:t>Spring/summer/autumn low flow (targeting a gradual increase, stable flow period and decrease in flows ranging between 300-500 ML/day during August to May)</w:t>
            </w:r>
            <w:r>
              <w:rPr>
                <w:color w:val="231F20"/>
                <w:position w:val="5"/>
                <w:sz w:val="9"/>
              </w:rPr>
              <w:t>1</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22"/>
              </w:numPr>
              <w:tabs>
                <w:tab w:val="left" w:pos="306"/>
              </w:tabs>
              <w:spacing w:before="63" w:line="254" w:lineRule="auto"/>
              <w:ind w:right="456"/>
              <w:rPr>
                <w:sz w:val="18"/>
              </w:rPr>
            </w:pPr>
            <w:r>
              <w:rPr>
                <w:color w:val="231F20"/>
                <w:sz w:val="18"/>
              </w:rPr>
              <w:t>Maintain breeding habitat and food resources for native fish (such</w:t>
            </w:r>
            <w:r>
              <w:rPr>
                <w:color w:val="231F20"/>
                <w:spacing w:val="-25"/>
                <w:sz w:val="18"/>
              </w:rPr>
              <w:t xml:space="preserve"> </w:t>
            </w:r>
            <w:r>
              <w:rPr>
                <w:color w:val="231F20"/>
                <w:sz w:val="18"/>
              </w:rPr>
              <w:t>as Murray cod)</w:t>
            </w:r>
          </w:p>
          <w:p w:rsidR="006A7A3F" w:rsidRDefault="00BC7372">
            <w:pPr>
              <w:pStyle w:val="TableParagraph"/>
              <w:numPr>
                <w:ilvl w:val="0"/>
                <w:numId w:val="422"/>
              </w:numPr>
              <w:tabs>
                <w:tab w:val="left" w:pos="306"/>
              </w:tabs>
              <w:spacing w:before="86"/>
              <w:ind w:hanging="218"/>
              <w:rPr>
                <w:sz w:val="18"/>
              </w:rPr>
            </w:pPr>
            <w:r>
              <w:rPr>
                <w:color w:val="231F20"/>
                <w:sz w:val="18"/>
              </w:rPr>
              <w:t>Provide cues for the migration and spawning of native</w:t>
            </w:r>
            <w:r>
              <w:rPr>
                <w:color w:val="231F20"/>
                <w:spacing w:val="-6"/>
                <w:sz w:val="18"/>
              </w:rPr>
              <w:t xml:space="preserve"> </w:t>
            </w:r>
            <w:r>
              <w:rPr>
                <w:color w:val="231F20"/>
                <w:sz w:val="18"/>
              </w:rPr>
              <w:t>fish</w:t>
            </w:r>
          </w:p>
          <w:p w:rsidR="006A7A3F" w:rsidRDefault="00BC7372">
            <w:pPr>
              <w:pStyle w:val="TableParagraph"/>
              <w:numPr>
                <w:ilvl w:val="0"/>
                <w:numId w:val="422"/>
              </w:numPr>
              <w:tabs>
                <w:tab w:val="left" w:pos="306"/>
              </w:tabs>
              <w:spacing w:before="98" w:line="254" w:lineRule="auto"/>
              <w:ind w:right="139"/>
              <w:rPr>
                <w:sz w:val="18"/>
              </w:rPr>
            </w:pPr>
            <w:r>
              <w:rPr>
                <w:color w:val="231F20"/>
                <w:sz w:val="18"/>
              </w:rPr>
              <w:t>Dilute low-oxygen water exiting Gunbower Forest below Koondrook</w:t>
            </w:r>
            <w:r>
              <w:rPr>
                <w:color w:val="231F20"/>
                <w:spacing w:val="-36"/>
                <w:sz w:val="18"/>
              </w:rPr>
              <w:t xml:space="preserve"> </w:t>
            </w:r>
            <w:r>
              <w:rPr>
                <w:color w:val="231F20"/>
                <w:sz w:val="18"/>
              </w:rPr>
              <w:t>Weir if</w:t>
            </w:r>
            <w:r>
              <w:rPr>
                <w:color w:val="231F20"/>
                <w:spacing w:val="-1"/>
                <w:sz w:val="18"/>
              </w:rPr>
              <w:t xml:space="preserve"> </w:t>
            </w:r>
            <w:r>
              <w:rPr>
                <w:color w:val="231F20"/>
                <w:sz w:val="18"/>
              </w:rPr>
              <w:t>required</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76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76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6A7A3F">
        <w:trPr>
          <w:trHeight w:val="1007"/>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67"/>
              <w:rPr>
                <w:sz w:val="16"/>
              </w:rPr>
            </w:pPr>
            <w:r>
              <w:rPr>
                <w:color w:val="231F20"/>
                <w:sz w:val="16"/>
              </w:rPr>
              <w:t>Autumn/winter fresh (500 ML/ day for one to four weeks during May to August)</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421"/>
              </w:numPr>
              <w:tabs>
                <w:tab w:val="left" w:pos="306"/>
              </w:tabs>
              <w:spacing w:before="63" w:line="254" w:lineRule="auto"/>
              <w:ind w:right="318"/>
              <w:rPr>
                <w:sz w:val="18"/>
              </w:rPr>
            </w:pPr>
            <w:r>
              <w:rPr>
                <w:color w:val="231F20"/>
                <w:sz w:val="18"/>
              </w:rPr>
              <w:t>Deliver in response to high flow in Murray River and low oxygen water draining off Gunbower Forest during the non-irrigation season to protect</w:t>
            </w:r>
            <w:r>
              <w:rPr>
                <w:color w:val="231F20"/>
                <w:spacing w:val="-4"/>
                <w:sz w:val="18"/>
              </w:rPr>
              <w:t xml:space="preserve"> </w:t>
            </w:r>
            <w:r>
              <w:rPr>
                <w:color w:val="231F20"/>
                <w:sz w:val="18"/>
              </w:rPr>
              <w:t>water</w:t>
            </w:r>
            <w:r>
              <w:rPr>
                <w:color w:val="231F20"/>
                <w:spacing w:val="-4"/>
                <w:sz w:val="18"/>
              </w:rPr>
              <w:t xml:space="preserve"> </w:t>
            </w:r>
            <w:r>
              <w:rPr>
                <w:color w:val="231F20"/>
                <w:sz w:val="18"/>
              </w:rPr>
              <w:t>quality</w:t>
            </w:r>
            <w:r>
              <w:rPr>
                <w:color w:val="231F20"/>
                <w:spacing w:val="-4"/>
                <w:sz w:val="18"/>
              </w:rPr>
              <w:t xml:space="preserve"> </w:t>
            </w:r>
            <w:r>
              <w:rPr>
                <w:color w:val="231F20"/>
                <w:sz w:val="18"/>
              </w:rPr>
              <w:t>and</w:t>
            </w:r>
            <w:r>
              <w:rPr>
                <w:color w:val="231F20"/>
                <w:spacing w:val="-4"/>
                <w:sz w:val="18"/>
              </w:rPr>
              <w:t xml:space="preserve"> </w:t>
            </w:r>
            <w:r>
              <w:rPr>
                <w:color w:val="231F20"/>
                <w:sz w:val="18"/>
              </w:rPr>
              <w:t>allow</w:t>
            </w:r>
            <w:r>
              <w:rPr>
                <w:color w:val="231F20"/>
                <w:spacing w:val="-4"/>
                <w:sz w:val="18"/>
              </w:rPr>
              <w:t xml:space="preserve"> </w:t>
            </w:r>
            <w:r>
              <w:rPr>
                <w:color w:val="231F20"/>
                <w:sz w:val="18"/>
              </w:rPr>
              <w:t>fish</w:t>
            </w:r>
            <w:r>
              <w:rPr>
                <w:color w:val="231F20"/>
                <w:spacing w:val="-3"/>
                <w:sz w:val="18"/>
              </w:rPr>
              <w:t xml:space="preserve"> </w:t>
            </w:r>
            <w:r>
              <w:rPr>
                <w:color w:val="231F20"/>
                <w:sz w:val="18"/>
              </w:rPr>
              <w:t>to</w:t>
            </w:r>
            <w:r>
              <w:rPr>
                <w:color w:val="231F20"/>
                <w:spacing w:val="-3"/>
                <w:sz w:val="18"/>
              </w:rPr>
              <w:t xml:space="preserve"> </w:t>
            </w:r>
            <w:r>
              <w:rPr>
                <w:color w:val="231F20"/>
                <w:sz w:val="18"/>
              </w:rPr>
              <w:t>move</w:t>
            </w:r>
            <w:r>
              <w:rPr>
                <w:color w:val="231F20"/>
                <w:spacing w:val="-3"/>
                <w:sz w:val="18"/>
              </w:rPr>
              <w:t xml:space="preserve"> </w:t>
            </w:r>
            <w:r>
              <w:rPr>
                <w:color w:val="231F20"/>
                <w:sz w:val="18"/>
              </w:rPr>
              <w:t>between</w:t>
            </w:r>
            <w:r>
              <w:rPr>
                <w:color w:val="231F20"/>
                <w:spacing w:val="-4"/>
                <w:sz w:val="18"/>
              </w:rPr>
              <w:t xml:space="preserve"> </w:t>
            </w:r>
            <w:r>
              <w:rPr>
                <w:color w:val="231F20"/>
                <w:sz w:val="18"/>
              </w:rPr>
              <w:t>Murray</w:t>
            </w:r>
            <w:r>
              <w:rPr>
                <w:color w:val="231F20"/>
                <w:spacing w:val="-3"/>
                <w:sz w:val="18"/>
              </w:rPr>
              <w:t xml:space="preserve"> </w:t>
            </w:r>
            <w:r>
              <w:rPr>
                <w:color w:val="231F20"/>
                <w:sz w:val="18"/>
              </w:rPr>
              <w:t>River</w:t>
            </w:r>
            <w:r>
              <w:rPr>
                <w:color w:val="231F20"/>
                <w:spacing w:val="-4"/>
                <w:sz w:val="18"/>
              </w:rPr>
              <w:t xml:space="preserve"> </w:t>
            </w:r>
            <w:r>
              <w:rPr>
                <w:color w:val="231F20"/>
                <w:sz w:val="18"/>
              </w:rPr>
              <w:t>and Gunbower</w:t>
            </w:r>
            <w:r>
              <w:rPr>
                <w:color w:val="231F20"/>
                <w:spacing w:val="-1"/>
                <w:sz w:val="18"/>
              </w:rPr>
              <w:t xml:space="preserve"> </w:t>
            </w:r>
            <w:r>
              <w:rPr>
                <w:color w:val="231F20"/>
                <w:sz w:val="18"/>
              </w:rPr>
              <w:t>Creek</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77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77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bl>
    <w:p w:rsidR="006A7A3F" w:rsidRDefault="00BC7372">
      <w:pPr>
        <w:spacing w:before="129" w:line="340" w:lineRule="auto"/>
        <w:ind w:left="323" w:right="297" w:hanging="114"/>
        <w:rPr>
          <w:sz w:val="14"/>
        </w:rPr>
      </w:pPr>
      <w:r>
        <w:rPr>
          <w:color w:val="231F20"/>
          <w:position w:val="5"/>
          <w:sz w:val="8"/>
        </w:rPr>
        <w:t xml:space="preserve">1 </w:t>
      </w:r>
      <w:r>
        <w:rPr>
          <w:color w:val="231F20"/>
          <w:sz w:val="14"/>
        </w:rPr>
        <w:t xml:space="preserve">Flows may be delivered at the upper end of the range — </w:t>
      </w:r>
      <w:r>
        <w:rPr>
          <w:color w:val="231F20"/>
          <w:spacing w:val="2"/>
          <w:sz w:val="14"/>
        </w:rPr>
        <w:t xml:space="preserve">500 </w:t>
      </w:r>
      <w:r>
        <w:rPr>
          <w:color w:val="231F20"/>
          <w:sz w:val="14"/>
        </w:rPr>
        <w:t>ML per day — at any time between August 2020 and May 2021 in response to unregulated flow in the Murray River or to mitigate the potential impacts of low-oxygen water exiting the Gunbower Forest below Koondrook</w:t>
      </w:r>
      <w:r>
        <w:rPr>
          <w:color w:val="231F20"/>
          <w:spacing w:val="22"/>
          <w:sz w:val="14"/>
        </w:rPr>
        <w:t xml:space="preserve"> </w:t>
      </w:r>
      <w:r>
        <w:rPr>
          <w:color w:val="231F20"/>
          <w:sz w:val="14"/>
        </w:rPr>
        <w:t>weir.</w:t>
      </w:r>
    </w:p>
    <w:p w:rsidR="003A00D0" w:rsidRDefault="003A00D0">
      <w:pPr>
        <w:rPr>
          <w:b/>
          <w:color w:val="231F20"/>
          <w:sz w:val="24"/>
        </w:rPr>
      </w:pPr>
      <w:r>
        <w:rPr>
          <w:b/>
          <w:color w:val="231F20"/>
          <w:sz w:val="24"/>
        </w:rPr>
        <w:br w:type="page"/>
      </w:r>
    </w:p>
    <w:p w:rsidR="006A7A3F" w:rsidRDefault="00BC7372">
      <w:pPr>
        <w:spacing w:before="14"/>
        <w:ind w:left="210"/>
        <w:rPr>
          <w:b/>
          <w:sz w:val="24"/>
        </w:rPr>
      </w:pPr>
      <w:r>
        <w:rPr>
          <w:b/>
          <w:color w:val="231F20"/>
          <w:sz w:val="24"/>
        </w:rPr>
        <w:t>Scenario planning</w:t>
      </w:r>
    </w:p>
    <w:p w:rsidR="006A7A3F" w:rsidRDefault="00BC7372">
      <w:pPr>
        <w:pStyle w:val="BodyText"/>
        <w:spacing w:before="171" w:line="249" w:lineRule="auto"/>
        <w:ind w:right="100"/>
      </w:pPr>
      <w:r>
        <w:rPr>
          <w:color w:val="231F20"/>
        </w:rPr>
        <w:t>Table 5.2.6 outlines the potential environmental watering and expected water use under a range of planning scenarios.</w:t>
      </w:r>
    </w:p>
    <w:p w:rsidR="006A7A3F" w:rsidRDefault="00BC7372" w:rsidP="00F32821">
      <w:pPr>
        <w:pStyle w:val="BodyText"/>
        <w:spacing w:line="249" w:lineRule="auto"/>
        <w:ind w:right="518"/>
      </w:pPr>
      <w:r>
        <w:rPr>
          <w:color w:val="231F20"/>
        </w:rPr>
        <w:t>The highest-priority potential watering actions under all conditions in 2020–21 are to fill and provide top-ups to Reedy Lagoon and Black Swamp in winter/spring 2020. These are permanent wetlands, and water is needed to support the growth and recruitment of wetland plants as well as provide feeding and breeding habitat for small- bodied native fish, frogs, turtles and waterbirds. If a waterbird breeding event commences in any wetland, top- ups may be needed to maintain water depth and habitats through spring and summer until juvenile waterbirds have fledged. Additional top-ups may be delivered to Reedy Lagoon and Black Swamp in autumn/winter 2021</w:t>
      </w:r>
      <w:r w:rsidR="00F32821">
        <w:t xml:space="preserve"> </w:t>
      </w:r>
      <w:r>
        <w:rPr>
          <w:color w:val="231F20"/>
        </w:rPr>
        <w:t>if dry conditions are expected in 2021–22, to provide refuge over winter for water-dependent animals including waterbirds. Providing the prescribed low flow to Gunbower Creek in all seasons is also a high priority under all scenarios, to maintain and improve populations of native fish.</w:t>
      </w:r>
    </w:p>
    <w:p w:rsidR="006A7A3F" w:rsidRDefault="00BC7372">
      <w:pPr>
        <w:pStyle w:val="BodyText"/>
        <w:spacing w:before="173" w:line="249" w:lineRule="auto"/>
        <w:ind w:right="257"/>
      </w:pPr>
      <w:r>
        <w:rPr>
          <w:color w:val="231F20"/>
        </w:rPr>
        <w:t xml:space="preserve">Under the </w:t>
      </w:r>
      <w:r>
        <w:rPr>
          <w:color w:val="231F20"/>
          <w:spacing w:val="-5"/>
        </w:rPr>
        <w:t xml:space="preserve">dry, </w:t>
      </w:r>
      <w:r>
        <w:rPr>
          <w:color w:val="231F20"/>
        </w:rPr>
        <w:t xml:space="preserve">average and wet scenarios, the environmental watering priorities will be to maintain and improve the condition of semi-permanent and permanent wetlands across the forest and support local populations of waterbirds, frogs, small-bodied fish and turtles. Delivering top-ups and fills to selected wetlands within the Little Gunbower and Little Reedy wetland complexes in autumn/winter 2021 will provide habitat for waterbirds and other water-dependent animals during the cooler months and prime the wetlands for a spring productivity boost. If flow in the Murray River exceeds 15,000 ML per day for more than two weeks in winter/spring, a fresh may be delivered in </w:t>
      </w:r>
      <w:r>
        <w:rPr>
          <w:color w:val="231F20"/>
          <w:spacing w:val="-4"/>
        </w:rPr>
        <w:t xml:space="preserve">Yarran </w:t>
      </w:r>
      <w:r>
        <w:rPr>
          <w:color w:val="231F20"/>
        </w:rPr>
        <w:t xml:space="preserve">Creek to allow carbon, fish, turtles and seed propagules to move between Gunbower Creek, Gunbower Forest and the Murray </w:t>
      </w:r>
      <w:r>
        <w:rPr>
          <w:color w:val="231F20"/>
          <w:spacing w:val="-3"/>
        </w:rPr>
        <w:t xml:space="preserve">River. </w:t>
      </w:r>
      <w:r>
        <w:rPr>
          <w:color w:val="231F20"/>
        </w:rPr>
        <w:t xml:space="preserve">Delivering water for the environment to the Gunbower Forest floodplain in autumn/ winter 2021 is a high priority under the </w:t>
      </w:r>
      <w:r>
        <w:rPr>
          <w:color w:val="231F20"/>
          <w:spacing w:val="-5"/>
        </w:rPr>
        <w:t xml:space="preserve">dry, </w:t>
      </w:r>
      <w:r>
        <w:rPr>
          <w:color w:val="231F20"/>
        </w:rPr>
        <w:t>average and wet scenarios, to maintain and improve the health of river red gums and provide waterbird and native fish</w:t>
      </w:r>
      <w:r>
        <w:rPr>
          <w:color w:val="231F20"/>
          <w:spacing w:val="-9"/>
        </w:rPr>
        <w:t xml:space="preserve"> </w:t>
      </w:r>
      <w:r>
        <w:rPr>
          <w:color w:val="231F20"/>
        </w:rPr>
        <w:t>habitat.</w:t>
      </w:r>
    </w:p>
    <w:p w:rsidR="006A7A3F" w:rsidRDefault="00BC7372" w:rsidP="00AA1349">
      <w:pPr>
        <w:pStyle w:val="BodyText"/>
        <w:spacing w:before="178" w:line="249" w:lineRule="auto"/>
        <w:ind w:right="778"/>
        <w:jc w:val="both"/>
      </w:pPr>
      <w:r>
        <w:rPr>
          <w:color w:val="231F20"/>
        </w:rPr>
        <w:t>Under average and wet conditions, natural flow from the Murray River may wet parts of the Gunbower Forest floodplain in winter/spring 2020. Water for the environment may be used to extend natural flooding events in</w:t>
      </w:r>
      <w:r w:rsidR="00AA1349">
        <w:t xml:space="preserve"> </w:t>
      </w:r>
      <w:r>
        <w:rPr>
          <w:color w:val="231F20"/>
        </w:rPr>
        <w:t>selected river red gum areas, to maintain and improve tree health.</w:t>
      </w:r>
    </w:p>
    <w:p w:rsidR="006A7A3F" w:rsidRDefault="00BC7372">
      <w:pPr>
        <w:pStyle w:val="BodyText"/>
        <w:spacing w:before="180" w:line="249" w:lineRule="auto"/>
        <w:ind w:right="310"/>
      </w:pPr>
      <w:r>
        <w:rPr>
          <w:color w:val="231F20"/>
        </w:rPr>
        <w:t>If significant volumes of water for the environment are delivered to Gunbower Forest via the Hipwell Road Regulator, it may not be possible to deliver the full range of flows to increase the large-bodied fish population in Gunbower Creek. If so, flow in Gunbower Creek will be managed to maintain habitat for the existing native fish population. Low flow may be increased to the upper end of the recommended range — 500 ML per day — to dilute low-oxygen floodwater that drains from the floodplain below Koondrook Weir following a natural or delivered floodplain watering</w:t>
      </w:r>
      <w:r>
        <w:rPr>
          <w:color w:val="231F20"/>
          <w:spacing w:val="-2"/>
        </w:rPr>
        <w:t xml:space="preserve"> </w:t>
      </w:r>
      <w:r>
        <w:rPr>
          <w:color w:val="231F20"/>
        </w:rPr>
        <w:t>event.</w:t>
      </w:r>
    </w:p>
    <w:p w:rsidR="006A7A3F" w:rsidRDefault="00BC7372">
      <w:pPr>
        <w:pStyle w:val="BodyText"/>
        <w:spacing w:before="175" w:line="249" w:lineRule="auto"/>
        <w:ind w:right="309"/>
      </w:pPr>
      <w:r>
        <w:rPr>
          <w:color w:val="231F20"/>
        </w:rPr>
        <w:t>Water for the environment may also be used to temporarily increase flow in Gunbower Creek to the upper end of the recommended flow range — 500 ML per day— in response to higher flows in the Murray River that occur at important times for fish breeding or movement. These high Murray River flows are expected to mainly occur under a wet scenario.</w:t>
      </w:r>
    </w:p>
    <w:p w:rsidR="006A7A3F" w:rsidRDefault="00BC7372">
      <w:pPr>
        <w:pStyle w:val="BodyText"/>
        <w:spacing w:before="174" w:line="249" w:lineRule="auto"/>
        <w:ind w:right="196"/>
      </w:pPr>
      <w:r>
        <w:rPr>
          <w:color w:val="231F20"/>
        </w:rPr>
        <w:t xml:space="preserve">There is a possibility that Goulburn-Murray </w:t>
      </w:r>
      <w:r>
        <w:rPr>
          <w:color w:val="231F20"/>
          <w:spacing w:val="-3"/>
        </w:rPr>
        <w:t xml:space="preserve">Water </w:t>
      </w:r>
      <w:r>
        <w:rPr>
          <w:color w:val="231F20"/>
        </w:rPr>
        <w:t>will require Gunbower Creek to be shut down during winter/spring 2021 to allow for the construction of fishways at Koondrook Weir and Cohuna Weir outside the irrigation season. If these works proceed as planned, water will be delivered at a low rate to maintain some pool habitats for resident fish populations, but higher flows to the creek and deliveries to Gunbower Forest via the Hipwell Road Regulator will not be possible. Any potential watering actions that are cancelled as a result of those works will likely become a very high priority to deliver in</w:t>
      </w:r>
      <w:r>
        <w:rPr>
          <w:color w:val="231F20"/>
          <w:spacing w:val="-6"/>
        </w:rPr>
        <w:t xml:space="preserve"> </w:t>
      </w:r>
      <w:r>
        <w:rPr>
          <w:color w:val="231F20"/>
        </w:rPr>
        <w:t>2021–22.</w:t>
      </w:r>
    </w:p>
    <w:p w:rsidR="006A7A3F" w:rsidRDefault="00BC7372">
      <w:pPr>
        <w:pStyle w:val="BodyText"/>
        <w:spacing w:before="175" w:line="249" w:lineRule="auto"/>
        <w:ind w:right="307"/>
      </w:pPr>
      <w:r>
        <w:rPr>
          <w:color w:val="231F20"/>
        </w:rPr>
        <w:t>A minimum volume of 21,000 ML is planned to be carried over into 2021–22. The carryover volume will provide certainty of supply for low flow in Gunbower Creek during the non-irrigation season to maintain flowing habitat and support top-ups of permanent wetlands in lower Gunbower Forest. Extra water may need to be carried over to support any Gunbower Forest floodplain watering actions that commence in autumn or June 2021.</w:t>
      </w:r>
    </w:p>
    <w:p w:rsidR="00707776" w:rsidRDefault="00707776">
      <w:pPr>
        <w:rPr>
          <w:b/>
          <w:color w:val="231F20"/>
          <w:sz w:val="18"/>
        </w:rPr>
      </w:pPr>
      <w:r>
        <w:rPr>
          <w:b/>
          <w:color w:val="231F20"/>
          <w:sz w:val="18"/>
        </w:rPr>
        <w:br w:type="page"/>
      </w:r>
    </w:p>
    <w:p w:rsidR="006A7A3F" w:rsidRDefault="00BC7372">
      <w:pPr>
        <w:spacing w:before="168"/>
        <w:ind w:left="210"/>
        <w:rPr>
          <w:b/>
          <w:sz w:val="18"/>
        </w:rPr>
      </w:pPr>
      <w:r>
        <w:rPr>
          <w:b/>
          <w:color w:val="231F20"/>
          <w:sz w:val="18"/>
        </w:rPr>
        <w:t>Table 5.2.6 Potential environmental watering for Gunbower Creek and Forest under a range of planning scenarios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1984"/>
        <w:gridCol w:w="1984"/>
        <w:gridCol w:w="1984"/>
        <w:gridCol w:w="1984"/>
      </w:tblGrid>
      <w:tr w:rsidR="006A7A3F" w:rsidTr="00707776">
        <w:trPr>
          <w:trHeight w:val="559"/>
          <w:tblHeader/>
        </w:trPr>
        <w:tc>
          <w:tcPr>
            <w:tcW w:w="1701" w:type="dxa"/>
            <w:tcBorders>
              <w:top w:val="nil"/>
              <w:left w:val="nil"/>
              <w:bottom w:val="nil"/>
            </w:tcBorders>
            <w:shd w:val="clear" w:color="auto" w:fill="231F20"/>
          </w:tcPr>
          <w:p w:rsidR="006A7A3F" w:rsidRDefault="00BC7372">
            <w:pPr>
              <w:pStyle w:val="TableParagraph"/>
              <w:spacing w:before="66" w:line="254" w:lineRule="auto"/>
              <w:ind w:left="90" w:right="826"/>
              <w:rPr>
                <w:b/>
                <w:sz w:val="18"/>
              </w:rPr>
            </w:pPr>
            <w:r>
              <w:rPr>
                <w:b/>
                <w:color w:val="FFFFFF"/>
                <w:sz w:val="18"/>
              </w:rPr>
              <w:t>Planning scenario</w:t>
            </w:r>
          </w:p>
        </w:tc>
        <w:tc>
          <w:tcPr>
            <w:tcW w:w="1984" w:type="dxa"/>
            <w:tcBorders>
              <w:top w:val="nil"/>
              <w:bottom w:val="nil"/>
            </w:tcBorders>
            <w:shd w:val="clear" w:color="auto" w:fill="231F20"/>
          </w:tcPr>
          <w:p w:rsidR="006A7A3F" w:rsidRDefault="00BC7372">
            <w:pPr>
              <w:pStyle w:val="TableParagraph"/>
              <w:spacing w:before="66"/>
              <w:ind w:left="84"/>
              <w:rPr>
                <w:b/>
                <w:sz w:val="18"/>
              </w:rPr>
            </w:pPr>
            <w:r>
              <w:rPr>
                <w:b/>
                <w:color w:val="FFFFFF"/>
                <w:sz w:val="18"/>
              </w:rPr>
              <w:t>Drought</w:t>
            </w:r>
          </w:p>
        </w:tc>
        <w:tc>
          <w:tcPr>
            <w:tcW w:w="1984" w:type="dxa"/>
            <w:tcBorders>
              <w:top w:val="nil"/>
              <w:bottom w:val="nil"/>
            </w:tcBorders>
            <w:shd w:val="clear" w:color="auto" w:fill="231F20"/>
          </w:tcPr>
          <w:p w:rsidR="006A7A3F" w:rsidRDefault="00BC7372">
            <w:pPr>
              <w:pStyle w:val="TableParagraph"/>
              <w:spacing w:before="66"/>
              <w:ind w:left="85"/>
              <w:rPr>
                <w:b/>
                <w:sz w:val="18"/>
              </w:rPr>
            </w:pPr>
            <w:r>
              <w:rPr>
                <w:b/>
                <w:color w:val="FFFFFF"/>
                <w:sz w:val="18"/>
              </w:rPr>
              <w:t>Dry</w:t>
            </w:r>
          </w:p>
        </w:tc>
        <w:tc>
          <w:tcPr>
            <w:tcW w:w="1984" w:type="dxa"/>
            <w:tcBorders>
              <w:top w:val="nil"/>
              <w:bottom w:val="nil"/>
            </w:tcBorders>
            <w:shd w:val="clear" w:color="auto" w:fill="231F20"/>
          </w:tcPr>
          <w:p w:rsidR="006A7A3F" w:rsidRDefault="00BC7372">
            <w:pPr>
              <w:pStyle w:val="TableParagraph"/>
              <w:spacing w:before="66"/>
              <w:ind w:left="85"/>
              <w:rPr>
                <w:b/>
                <w:sz w:val="18"/>
              </w:rPr>
            </w:pPr>
            <w:r>
              <w:rPr>
                <w:b/>
                <w:color w:val="FFFFFF"/>
                <w:sz w:val="18"/>
              </w:rPr>
              <w:t>Average</w:t>
            </w:r>
          </w:p>
        </w:tc>
        <w:tc>
          <w:tcPr>
            <w:tcW w:w="1984" w:type="dxa"/>
            <w:tcBorders>
              <w:top w:val="nil"/>
              <w:bottom w:val="nil"/>
              <w:right w:val="nil"/>
            </w:tcBorders>
            <w:shd w:val="clear" w:color="auto" w:fill="231F20"/>
          </w:tcPr>
          <w:p w:rsidR="006A7A3F" w:rsidRDefault="00BC7372">
            <w:pPr>
              <w:pStyle w:val="TableParagraph"/>
              <w:spacing w:before="66"/>
              <w:ind w:left="85"/>
              <w:rPr>
                <w:b/>
                <w:sz w:val="18"/>
              </w:rPr>
            </w:pPr>
            <w:r>
              <w:rPr>
                <w:b/>
                <w:color w:val="FFFFFF"/>
                <w:sz w:val="18"/>
              </w:rPr>
              <w:t>Wet</w:t>
            </w:r>
          </w:p>
        </w:tc>
      </w:tr>
      <w:tr w:rsidR="006A7A3F">
        <w:trPr>
          <w:trHeight w:val="1121"/>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60" w:line="261" w:lineRule="auto"/>
              <w:ind w:left="85" w:right="563"/>
              <w:rPr>
                <w:sz w:val="16"/>
              </w:rPr>
            </w:pPr>
            <w:r>
              <w:rPr>
                <w:color w:val="231F20"/>
                <w:sz w:val="16"/>
              </w:rPr>
              <w:t>Expected river conditions</w:t>
            </w:r>
          </w:p>
        </w:tc>
        <w:tc>
          <w:tcPr>
            <w:tcW w:w="1984" w:type="dxa"/>
            <w:tcBorders>
              <w:top w:val="nil"/>
              <w:left w:val="single" w:sz="4" w:space="0" w:color="231F20"/>
              <w:bottom w:val="single" w:sz="4" w:space="0" w:color="231F20"/>
              <w:right w:val="single" w:sz="4" w:space="0" w:color="231F20"/>
            </w:tcBorders>
          </w:tcPr>
          <w:p w:rsidR="006A7A3F" w:rsidRPr="00707776" w:rsidRDefault="00BC7372">
            <w:pPr>
              <w:pStyle w:val="TableParagraph"/>
              <w:numPr>
                <w:ilvl w:val="0"/>
                <w:numId w:val="420"/>
              </w:numPr>
              <w:tabs>
                <w:tab w:val="left" w:pos="305"/>
              </w:tabs>
              <w:spacing w:before="66" w:line="225" w:lineRule="auto"/>
              <w:ind w:right="237"/>
              <w:rPr>
                <w:sz w:val="16"/>
                <w:szCs w:val="16"/>
              </w:rPr>
            </w:pPr>
            <w:r w:rsidRPr="00707776">
              <w:rPr>
                <w:color w:val="231F20"/>
                <w:sz w:val="16"/>
                <w:szCs w:val="16"/>
              </w:rPr>
              <w:t>No natural inflows into Gunbower Forest</w:t>
            </w:r>
          </w:p>
        </w:tc>
        <w:tc>
          <w:tcPr>
            <w:tcW w:w="1984" w:type="dxa"/>
            <w:tcBorders>
              <w:top w:val="nil"/>
              <w:left w:val="single" w:sz="4" w:space="0" w:color="231F20"/>
              <w:bottom w:val="single" w:sz="4" w:space="0" w:color="231F20"/>
              <w:right w:val="single" w:sz="4" w:space="0" w:color="231F20"/>
            </w:tcBorders>
          </w:tcPr>
          <w:p w:rsidR="006A7A3F" w:rsidRPr="00707776" w:rsidRDefault="00BC7372">
            <w:pPr>
              <w:pStyle w:val="TableParagraph"/>
              <w:numPr>
                <w:ilvl w:val="0"/>
                <w:numId w:val="419"/>
              </w:numPr>
              <w:tabs>
                <w:tab w:val="left" w:pos="306"/>
              </w:tabs>
              <w:spacing w:before="56"/>
              <w:ind w:right="236"/>
              <w:rPr>
                <w:sz w:val="16"/>
                <w:szCs w:val="16"/>
              </w:rPr>
            </w:pPr>
            <w:r w:rsidRPr="00707776">
              <w:rPr>
                <w:color w:val="231F20"/>
                <w:sz w:val="16"/>
                <w:szCs w:val="16"/>
              </w:rPr>
              <w:t>No natural inflows into Gunbower Forest</w:t>
            </w:r>
          </w:p>
        </w:tc>
        <w:tc>
          <w:tcPr>
            <w:tcW w:w="1984" w:type="dxa"/>
            <w:tcBorders>
              <w:top w:val="nil"/>
              <w:left w:val="single" w:sz="4" w:space="0" w:color="231F20"/>
              <w:bottom w:val="single" w:sz="4" w:space="0" w:color="231F20"/>
              <w:right w:val="single" w:sz="4" w:space="0" w:color="231F20"/>
            </w:tcBorders>
          </w:tcPr>
          <w:p w:rsidR="006A7A3F" w:rsidRPr="00707776" w:rsidRDefault="00BC7372">
            <w:pPr>
              <w:pStyle w:val="TableParagraph"/>
              <w:numPr>
                <w:ilvl w:val="0"/>
                <w:numId w:val="418"/>
              </w:numPr>
              <w:tabs>
                <w:tab w:val="left" w:pos="306"/>
              </w:tabs>
              <w:spacing w:before="61" w:line="232" w:lineRule="auto"/>
              <w:ind w:right="275"/>
              <w:rPr>
                <w:sz w:val="16"/>
                <w:szCs w:val="16"/>
              </w:rPr>
            </w:pPr>
            <w:r w:rsidRPr="00707776">
              <w:rPr>
                <w:color w:val="231F20"/>
                <w:sz w:val="16"/>
                <w:szCs w:val="16"/>
              </w:rPr>
              <w:t xml:space="preserve">Minor natural inflows into Gunbower </w:t>
            </w:r>
            <w:r w:rsidRPr="00707776">
              <w:rPr>
                <w:color w:val="231F20"/>
                <w:spacing w:val="-3"/>
                <w:sz w:val="16"/>
                <w:szCs w:val="16"/>
              </w:rPr>
              <w:t xml:space="preserve">Forest </w:t>
            </w:r>
            <w:r w:rsidRPr="00707776">
              <w:rPr>
                <w:color w:val="231F20"/>
                <w:sz w:val="16"/>
                <w:szCs w:val="16"/>
              </w:rPr>
              <w:t>may occur in winter/spring</w:t>
            </w:r>
          </w:p>
        </w:tc>
        <w:tc>
          <w:tcPr>
            <w:tcW w:w="1984" w:type="dxa"/>
            <w:tcBorders>
              <w:top w:val="nil"/>
              <w:left w:val="single" w:sz="4" w:space="0" w:color="231F20"/>
              <w:bottom w:val="single" w:sz="4" w:space="0" w:color="231F20"/>
              <w:right w:val="single" w:sz="4" w:space="0" w:color="231F20"/>
            </w:tcBorders>
          </w:tcPr>
          <w:p w:rsidR="006A7A3F" w:rsidRPr="00707776" w:rsidRDefault="00BC7372">
            <w:pPr>
              <w:pStyle w:val="TableParagraph"/>
              <w:numPr>
                <w:ilvl w:val="0"/>
                <w:numId w:val="417"/>
              </w:numPr>
              <w:tabs>
                <w:tab w:val="left" w:pos="306"/>
              </w:tabs>
              <w:spacing w:before="66" w:line="225" w:lineRule="auto"/>
              <w:ind w:right="186"/>
              <w:rPr>
                <w:sz w:val="16"/>
                <w:szCs w:val="16"/>
              </w:rPr>
            </w:pPr>
            <w:r w:rsidRPr="00707776">
              <w:rPr>
                <w:color w:val="231F20"/>
                <w:sz w:val="16"/>
                <w:szCs w:val="16"/>
              </w:rPr>
              <w:t>Overbank flows are likely in winter/ spring</w:t>
            </w:r>
          </w:p>
        </w:tc>
      </w:tr>
      <w:tr w:rsidR="006A7A3F">
        <w:trPr>
          <w:trHeight w:val="304"/>
        </w:trPr>
        <w:tc>
          <w:tcPr>
            <w:tcW w:w="9637" w:type="dxa"/>
            <w:gridSpan w:val="5"/>
            <w:tcBorders>
              <w:top w:val="single" w:sz="4" w:space="0" w:color="231F20"/>
              <w:left w:val="single" w:sz="4" w:space="0" w:color="231F20"/>
              <w:bottom w:val="single" w:sz="4" w:space="0" w:color="231F20"/>
              <w:right w:val="single" w:sz="4" w:space="0" w:color="231F20"/>
            </w:tcBorders>
            <w:shd w:val="clear" w:color="auto" w:fill="E6E7E8"/>
          </w:tcPr>
          <w:p w:rsidR="006A7A3F" w:rsidRPr="00707776" w:rsidRDefault="00BC7372">
            <w:pPr>
              <w:pStyle w:val="TableParagraph"/>
              <w:spacing w:before="60"/>
              <w:ind w:left="85"/>
              <w:rPr>
                <w:b/>
                <w:bCs/>
                <w:sz w:val="16"/>
                <w:szCs w:val="16"/>
              </w:rPr>
            </w:pPr>
            <w:r w:rsidRPr="00707776">
              <w:rPr>
                <w:b/>
                <w:bCs/>
                <w:color w:val="231F20"/>
                <w:sz w:val="16"/>
                <w:szCs w:val="16"/>
              </w:rPr>
              <w:t>Potential environmental watering – tier 1 (high priorities)</w:t>
            </w:r>
            <w:r w:rsidRPr="00F32821">
              <w:rPr>
                <w:b/>
                <w:bCs/>
                <w:color w:val="231F20"/>
                <w:position w:val="5"/>
                <w:sz w:val="16"/>
                <w:szCs w:val="16"/>
                <w:vertAlign w:val="superscript"/>
              </w:rPr>
              <w:t>1</w:t>
            </w:r>
          </w:p>
        </w:tc>
      </w:tr>
      <w:tr w:rsidR="006A7A3F">
        <w:trPr>
          <w:trHeight w:val="587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0"/>
              <w:ind w:left="85"/>
              <w:rPr>
                <w:sz w:val="16"/>
              </w:rPr>
            </w:pPr>
            <w:r>
              <w:rPr>
                <w:color w:val="231F20"/>
                <w:sz w:val="16"/>
              </w:rPr>
              <w:t>Gunbower Forest</w:t>
            </w:r>
          </w:p>
        </w:tc>
        <w:tc>
          <w:tcPr>
            <w:tcW w:w="1984" w:type="dxa"/>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416"/>
              </w:numPr>
              <w:tabs>
                <w:tab w:val="left" w:pos="305"/>
              </w:tabs>
              <w:spacing w:before="66" w:line="225" w:lineRule="auto"/>
              <w:ind w:right="496"/>
              <w:rPr>
                <w:sz w:val="16"/>
                <w:szCs w:val="16"/>
              </w:rPr>
            </w:pPr>
            <w:r w:rsidRPr="00707776">
              <w:rPr>
                <w:color w:val="231F20"/>
                <w:sz w:val="16"/>
                <w:szCs w:val="16"/>
              </w:rPr>
              <w:t>Reedy Lagoon (winter/spring)</w:t>
            </w:r>
          </w:p>
          <w:p w:rsidR="006A7A3F" w:rsidRPr="00707776" w:rsidRDefault="00BC7372">
            <w:pPr>
              <w:pStyle w:val="TableParagraph"/>
              <w:numPr>
                <w:ilvl w:val="0"/>
                <w:numId w:val="416"/>
              </w:numPr>
              <w:tabs>
                <w:tab w:val="left" w:pos="305"/>
              </w:tabs>
              <w:spacing w:before="56" w:line="225" w:lineRule="auto"/>
              <w:ind w:right="526"/>
              <w:rPr>
                <w:sz w:val="16"/>
                <w:szCs w:val="16"/>
              </w:rPr>
            </w:pPr>
            <w:r w:rsidRPr="00707776">
              <w:rPr>
                <w:color w:val="231F20"/>
                <w:sz w:val="16"/>
                <w:szCs w:val="16"/>
              </w:rPr>
              <w:t>Black Swamp (winter/spring)</w:t>
            </w:r>
          </w:p>
          <w:p w:rsidR="006A7A3F" w:rsidRPr="00707776" w:rsidRDefault="00BC7372">
            <w:pPr>
              <w:pStyle w:val="TableParagraph"/>
              <w:numPr>
                <w:ilvl w:val="0"/>
                <w:numId w:val="416"/>
              </w:numPr>
              <w:tabs>
                <w:tab w:val="left" w:pos="305"/>
              </w:tabs>
              <w:spacing w:before="55" w:line="225" w:lineRule="auto"/>
              <w:ind w:right="193"/>
              <w:rPr>
                <w:sz w:val="16"/>
                <w:szCs w:val="16"/>
              </w:rPr>
            </w:pPr>
            <w:r w:rsidRPr="00707776">
              <w:rPr>
                <w:color w:val="231F20"/>
                <w:sz w:val="16"/>
                <w:szCs w:val="16"/>
              </w:rPr>
              <w:t xml:space="preserve">Trigger-based </w:t>
            </w:r>
            <w:r w:rsidRPr="00707776">
              <w:rPr>
                <w:color w:val="231F20"/>
                <w:spacing w:val="-4"/>
                <w:sz w:val="16"/>
                <w:szCs w:val="16"/>
              </w:rPr>
              <w:t xml:space="preserve">top- </w:t>
            </w:r>
            <w:r w:rsidRPr="00707776">
              <w:rPr>
                <w:color w:val="231F20"/>
                <w:sz w:val="16"/>
                <w:szCs w:val="16"/>
              </w:rPr>
              <w:t>up permanent and semi-permanent wetlands</w:t>
            </w:r>
          </w:p>
          <w:p w:rsidR="006A7A3F" w:rsidRPr="00707776" w:rsidRDefault="00BC7372">
            <w:pPr>
              <w:pStyle w:val="TableParagraph"/>
              <w:numPr>
                <w:ilvl w:val="0"/>
                <w:numId w:val="416"/>
              </w:numPr>
              <w:tabs>
                <w:tab w:val="left" w:pos="305"/>
              </w:tabs>
              <w:spacing w:before="55" w:line="225" w:lineRule="auto"/>
              <w:ind w:right="416"/>
              <w:rPr>
                <w:sz w:val="16"/>
                <w:szCs w:val="16"/>
              </w:rPr>
            </w:pPr>
            <w:r w:rsidRPr="00707776">
              <w:rPr>
                <w:color w:val="231F20"/>
                <w:sz w:val="16"/>
                <w:szCs w:val="16"/>
              </w:rPr>
              <w:t>Reedy Lagoon (autumn/winter)</w:t>
            </w:r>
          </w:p>
          <w:p w:rsidR="006A7A3F" w:rsidRPr="00707776" w:rsidRDefault="00BC7372">
            <w:pPr>
              <w:pStyle w:val="TableParagraph"/>
              <w:numPr>
                <w:ilvl w:val="0"/>
                <w:numId w:val="416"/>
              </w:numPr>
              <w:tabs>
                <w:tab w:val="left" w:pos="305"/>
              </w:tabs>
              <w:spacing w:before="55" w:line="225" w:lineRule="auto"/>
              <w:ind w:right="416"/>
              <w:rPr>
                <w:sz w:val="16"/>
                <w:szCs w:val="16"/>
              </w:rPr>
            </w:pPr>
            <w:r w:rsidRPr="00707776">
              <w:rPr>
                <w:color w:val="231F20"/>
                <w:sz w:val="16"/>
                <w:szCs w:val="16"/>
              </w:rPr>
              <w:t>Black Swamp (autumn/winter)</w:t>
            </w:r>
          </w:p>
        </w:tc>
        <w:tc>
          <w:tcPr>
            <w:tcW w:w="1984" w:type="dxa"/>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415"/>
              </w:numPr>
              <w:tabs>
                <w:tab w:val="left" w:pos="306"/>
              </w:tabs>
              <w:spacing w:before="66" w:line="225" w:lineRule="auto"/>
              <w:ind w:right="496"/>
              <w:rPr>
                <w:sz w:val="16"/>
                <w:szCs w:val="16"/>
              </w:rPr>
            </w:pPr>
            <w:r w:rsidRPr="00707776">
              <w:rPr>
                <w:color w:val="231F20"/>
                <w:sz w:val="16"/>
                <w:szCs w:val="16"/>
              </w:rPr>
              <w:t>Reedy Lagoon (winter/spring)</w:t>
            </w:r>
          </w:p>
          <w:p w:rsidR="006A7A3F" w:rsidRPr="00707776" w:rsidRDefault="00BC7372">
            <w:pPr>
              <w:pStyle w:val="TableParagraph"/>
              <w:numPr>
                <w:ilvl w:val="0"/>
                <w:numId w:val="415"/>
              </w:numPr>
              <w:tabs>
                <w:tab w:val="left" w:pos="306"/>
              </w:tabs>
              <w:spacing w:before="56" w:line="225" w:lineRule="auto"/>
              <w:ind w:right="526"/>
              <w:rPr>
                <w:sz w:val="16"/>
                <w:szCs w:val="16"/>
              </w:rPr>
            </w:pPr>
            <w:r w:rsidRPr="00707776">
              <w:rPr>
                <w:color w:val="231F20"/>
                <w:sz w:val="16"/>
                <w:szCs w:val="16"/>
              </w:rPr>
              <w:t>Black Swamp (winter/spring)</w:t>
            </w:r>
          </w:p>
          <w:p w:rsidR="006A7A3F" w:rsidRPr="00707776" w:rsidRDefault="00BC7372">
            <w:pPr>
              <w:pStyle w:val="TableParagraph"/>
              <w:numPr>
                <w:ilvl w:val="0"/>
                <w:numId w:val="415"/>
              </w:numPr>
              <w:tabs>
                <w:tab w:val="left" w:pos="306"/>
              </w:tabs>
              <w:spacing w:before="55" w:line="225" w:lineRule="auto"/>
              <w:ind w:right="192"/>
              <w:rPr>
                <w:sz w:val="16"/>
                <w:szCs w:val="16"/>
              </w:rPr>
            </w:pPr>
            <w:r w:rsidRPr="00707776">
              <w:rPr>
                <w:color w:val="231F20"/>
                <w:sz w:val="16"/>
                <w:szCs w:val="16"/>
              </w:rPr>
              <w:t xml:space="preserve">Trigger-based </w:t>
            </w:r>
            <w:r w:rsidRPr="00707776">
              <w:rPr>
                <w:color w:val="231F20"/>
                <w:spacing w:val="-4"/>
                <w:sz w:val="16"/>
                <w:szCs w:val="16"/>
              </w:rPr>
              <w:t xml:space="preserve">top- </w:t>
            </w:r>
            <w:r w:rsidRPr="00707776">
              <w:rPr>
                <w:color w:val="231F20"/>
                <w:sz w:val="16"/>
                <w:szCs w:val="16"/>
              </w:rPr>
              <w:t>up permanent and semi-permanent wetlands</w:t>
            </w:r>
          </w:p>
          <w:p w:rsidR="006A7A3F" w:rsidRPr="00707776" w:rsidRDefault="00BC7372">
            <w:pPr>
              <w:pStyle w:val="TableParagraph"/>
              <w:numPr>
                <w:ilvl w:val="0"/>
                <w:numId w:val="415"/>
              </w:numPr>
              <w:tabs>
                <w:tab w:val="left" w:pos="306"/>
              </w:tabs>
              <w:spacing w:before="55" w:line="225" w:lineRule="auto"/>
              <w:ind w:right="416"/>
              <w:rPr>
                <w:sz w:val="16"/>
                <w:szCs w:val="16"/>
              </w:rPr>
            </w:pPr>
            <w:r w:rsidRPr="00707776">
              <w:rPr>
                <w:color w:val="231F20"/>
                <w:sz w:val="16"/>
                <w:szCs w:val="16"/>
              </w:rPr>
              <w:t>Reedy Lagoon (autumn/winter)</w:t>
            </w:r>
          </w:p>
          <w:p w:rsidR="006A7A3F" w:rsidRPr="00707776" w:rsidRDefault="00BC7372">
            <w:pPr>
              <w:pStyle w:val="TableParagraph"/>
              <w:numPr>
                <w:ilvl w:val="0"/>
                <w:numId w:val="415"/>
              </w:numPr>
              <w:tabs>
                <w:tab w:val="left" w:pos="306"/>
              </w:tabs>
              <w:spacing w:before="55" w:line="225" w:lineRule="auto"/>
              <w:ind w:right="416"/>
              <w:rPr>
                <w:sz w:val="16"/>
                <w:szCs w:val="16"/>
              </w:rPr>
            </w:pPr>
            <w:r w:rsidRPr="00707776">
              <w:rPr>
                <w:color w:val="231F20"/>
                <w:sz w:val="16"/>
                <w:szCs w:val="16"/>
              </w:rPr>
              <w:t>Black Swamp (autumn/winter)</w:t>
            </w:r>
          </w:p>
          <w:p w:rsidR="006A7A3F" w:rsidRPr="00707776" w:rsidRDefault="00BC7372">
            <w:pPr>
              <w:pStyle w:val="TableParagraph"/>
              <w:numPr>
                <w:ilvl w:val="0"/>
                <w:numId w:val="415"/>
              </w:numPr>
              <w:tabs>
                <w:tab w:val="left" w:pos="306"/>
              </w:tabs>
              <w:spacing w:before="46"/>
              <w:ind w:hanging="218"/>
              <w:rPr>
                <w:sz w:val="16"/>
                <w:szCs w:val="16"/>
              </w:rPr>
            </w:pPr>
            <w:r w:rsidRPr="00707776">
              <w:rPr>
                <w:color w:val="231F20"/>
                <w:spacing w:val="-3"/>
                <w:sz w:val="16"/>
                <w:szCs w:val="16"/>
              </w:rPr>
              <w:t>Yarran</w:t>
            </w:r>
            <w:r w:rsidRPr="00707776">
              <w:rPr>
                <w:color w:val="231F20"/>
                <w:spacing w:val="-6"/>
                <w:sz w:val="16"/>
                <w:szCs w:val="16"/>
              </w:rPr>
              <w:t xml:space="preserve"> </w:t>
            </w:r>
            <w:r w:rsidRPr="00707776">
              <w:rPr>
                <w:color w:val="231F20"/>
                <w:sz w:val="16"/>
                <w:szCs w:val="16"/>
              </w:rPr>
              <w:t>Creek</w:t>
            </w:r>
          </w:p>
          <w:p w:rsidR="006A7A3F" w:rsidRPr="00707776" w:rsidRDefault="00BC7372">
            <w:pPr>
              <w:pStyle w:val="TableParagraph"/>
              <w:numPr>
                <w:ilvl w:val="0"/>
                <w:numId w:val="415"/>
              </w:numPr>
              <w:tabs>
                <w:tab w:val="left" w:pos="306"/>
              </w:tabs>
              <w:spacing w:before="54" w:line="225" w:lineRule="auto"/>
              <w:ind w:right="326"/>
              <w:rPr>
                <w:sz w:val="16"/>
                <w:szCs w:val="16"/>
              </w:rPr>
            </w:pPr>
            <w:r w:rsidRPr="00707776">
              <w:rPr>
                <w:color w:val="231F20"/>
                <w:sz w:val="16"/>
                <w:szCs w:val="16"/>
              </w:rPr>
              <w:t>Little Gunbower wetland</w:t>
            </w:r>
            <w:r w:rsidRPr="00707776">
              <w:rPr>
                <w:color w:val="231F20"/>
                <w:spacing w:val="-18"/>
                <w:sz w:val="16"/>
                <w:szCs w:val="16"/>
              </w:rPr>
              <w:t xml:space="preserve"> </w:t>
            </w:r>
            <w:r w:rsidRPr="00707776">
              <w:rPr>
                <w:color w:val="231F20"/>
                <w:sz w:val="16"/>
                <w:szCs w:val="16"/>
              </w:rPr>
              <w:t>complex</w:t>
            </w:r>
          </w:p>
          <w:p w:rsidR="006A7A3F" w:rsidRPr="00707776" w:rsidRDefault="00BC7372">
            <w:pPr>
              <w:pStyle w:val="TableParagraph"/>
              <w:numPr>
                <w:ilvl w:val="0"/>
                <w:numId w:val="415"/>
              </w:numPr>
              <w:tabs>
                <w:tab w:val="left" w:pos="306"/>
              </w:tabs>
              <w:spacing w:before="55" w:line="225" w:lineRule="auto"/>
              <w:ind w:right="326"/>
              <w:rPr>
                <w:sz w:val="16"/>
                <w:szCs w:val="16"/>
              </w:rPr>
            </w:pPr>
            <w:r w:rsidRPr="00707776">
              <w:rPr>
                <w:color w:val="231F20"/>
                <w:sz w:val="16"/>
                <w:szCs w:val="16"/>
              </w:rPr>
              <w:t>Little Reedy wetland</w:t>
            </w:r>
            <w:r w:rsidRPr="00707776">
              <w:rPr>
                <w:color w:val="231F20"/>
                <w:spacing w:val="-18"/>
                <w:sz w:val="16"/>
                <w:szCs w:val="16"/>
              </w:rPr>
              <w:t xml:space="preserve"> </w:t>
            </w:r>
            <w:r w:rsidRPr="00707776">
              <w:rPr>
                <w:color w:val="231F20"/>
                <w:sz w:val="16"/>
                <w:szCs w:val="16"/>
              </w:rPr>
              <w:t>complex</w:t>
            </w:r>
          </w:p>
          <w:p w:rsidR="006A7A3F" w:rsidRPr="00707776" w:rsidRDefault="00BC7372">
            <w:pPr>
              <w:pStyle w:val="TableParagraph"/>
              <w:numPr>
                <w:ilvl w:val="0"/>
                <w:numId w:val="415"/>
              </w:numPr>
              <w:tabs>
                <w:tab w:val="left" w:pos="306"/>
              </w:tabs>
              <w:spacing w:before="56" w:line="225" w:lineRule="auto"/>
              <w:ind w:right="285"/>
              <w:rPr>
                <w:sz w:val="16"/>
                <w:szCs w:val="16"/>
              </w:rPr>
            </w:pPr>
            <w:r w:rsidRPr="00707776">
              <w:rPr>
                <w:color w:val="231F20"/>
                <w:sz w:val="16"/>
                <w:szCs w:val="16"/>
              </w:rPr>
              <w:t>Gunbower Forest floodplain, floodrunners and wetlands</w:t>
            </w:r>
          </w:p>
        </w:tc>
        <w:tc>
          <w:tcPr>
            <w:tcW w:w="1984" w:type="dxa"/>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414"/>
              </w:numPr>
              <w:tabs>
                <w:tab w:val="left" w:pos="306"/>
              </w:tabs>
              <w:spacing w:before="66" w:line="225" w:lineRule="auto"/>
              <w:ind w:right="496"/>
              <w:rPr>
                <w:sz w:val="16"/>
                <w:szCs w:val="16"/>
              </w:rPr>
            </w:pPr>
            <w:r w:rsidRPr="00707776">
              <w:rPr>
                <w:color w:val="231F20"/>
                <w:sz w:val="16"/>
                <w:szCs w:val="16"/>
              </w:rPr>
              <w:t>Reedy Lagoon (winter/spring)</w:t>
            </w:r>
          </w:p>
          <w:p w:rsidR="006A7A3F" w:rsidRPr="00707776" w:rsidRDefault="00BC7372">
            <w:pPr>
              <w:pStyle w:val="TableParagraph"/>
              <w:numPr>
                <w:ilvl w:val="0"/>
                <w:numId w:val="414"/>
              </w:numPr>
              <w:tabs>
                <w:tab w:val="left" w:pos="306"/>
              </w:tabs>
              <w:spacing w:before="56" w:line="225" w:lineRule="auto"/>
              <w:ind w:right="526"/>
              <w:rPr>
                <w:sz w:val="16"/>
                <w:szCs w:val="16"/>
              </w:rPr>
            </w:pPr>
            <w:r w:rsidRPr="00707776">
              <w:rPr>
                <w:color w:val="231F20"/>
                <w:sz w:val="16"/>
                <w:szCs w:val="16"/>
              </w:rPr>
              <w:t>Black Swamp (winter/spring)</w:t>
            </w:r>
          </w:p>
          <w:p w:rsidR="006A7A3F" w:rsidRPr="00707776" w:rsidRDefault="00BC7372">
            <w:pPr>
              <w:pStyle w:val="TableParagraph"/>
              <w:numPr>
                <w:ilvl w:val="0"/>
                <w:numId w:val="414"/>
              </w:numPr>
              <w:tabs>
                <w:tab w:val="left" w:pos="306"/>
              </w:tabs>
              <w:spacing w:before="55" w:line="225" w:lineRule="auto"/>
              <w:ind w:right="192"/>
              <w:rPr>
                <w:sz w:val="16"/>
                <w:szCs w:val="16"/>
              </w:rPr>
            </w:pPr>
            <w:r w:rsidRPr="00707776">
              <w:rPr>
                <w:color w:val="231F20"/>
                <w:sz w:val="16"/>
                <w:szCs w:val="16"/>
              </w:rPr>
              <w:t xml:space="preserve">Trigger-based </w:t>
            </w:r>
            <w:r w:rsidRPr="00707776">
              <w:rPr>
                <w:color w:val="231F20"/>
                <w:spacing w:val="-4"/>
                <w:sz w:val="16"/>
                <w:szCs w:val="16"/>
              </w:rPr>
              <w:t xml:space="preserve">top- </w:t>
            </w:r>
            <w:r w:rsidRPr="00707776">
              <w:rPr>
                <w:color w:val="231F20"/>
                <w:sz w:val="16"/>
                <w:szCs w:val="16"/>
              </w:rPr>
              <w:t>up permanent and semi-permanent wetlands</w:t>
            </w:r>
          </w:p>
          <w:p w:rsidR="006A7A3F" w:rsidRPr="00707776" w:rsidRDefault="00BC7372">
            <w:pPr>
              <w:pStyle w:val="TableParagraph"/>
              <w:numPr>
                <w:ilvl w:val="0"/>
                <w:numId w:val="414"/>
              </w:numPr>
              <w:tabs>
                <w:tab w:val="left" w:pos="306"/>
              </w:tabs>
              <w:spacing w:before="55" w:line="225" w:lineRule="auto"/>
              <w:ind w:right="416"/>
              <w:rPr>
                <w:sz w:val="16"/>
                <w:szCs w:val="16"/>
              </w:rPr>
            </w:pPr>
            <w:r w:rsidRPr="00707776">
              <w:rPr>
                <w:color w:val="231F20"/>
                <w:sz w:val="16"/>
                <w:szCs w:val="16"/>
              </w:rPr>
              <w:t>Reedy Lagoon (autumn/winter)</w:t>
            </w:r>
          </w:p>
          <w:p w:rsidR="006A7A3F" w:rsidRPr="00707776" w:rsidRDefault="00BC7372">
            <w:pPr>
              <w:pStyle w:val="TableParagraph"/>
              <w:numPr>
                <w:ilvl w:val="0"/>
                <w:numId w:val="414"/>
              </w:numPr>
              <w:tabs>
                <w:tab w:val="left" w:pos="306"/>
              </w:tabs>
              <w:spacing w:before="55" w:line="225" w:lineRule="auto"/>
              <w:ind w:right="416"/>
              <w:rPr>
                <w:sz w:val="16"/>
                <w:szCs w:val="16"/>
              </w:rPr>
            </w:pPr>
            <w:r w:rsidRPr="00707776">
              <w:rPr>
                <w:color w:val="231F20"/>
                <w:sz w:val="16"/>
                <w:szCs w:val="16"/>
              </w:rPr>
              <w:t>Black Swamp (autumn/winter)</w:t>
            </w:r>
          </w:p>
          <w:p w:rsidR="006A7A3F" w:rsidRPr="00707776" w:rsidRDefault="00BC7372">
            <w:pPr>
              <w:pStyle w:val="TableParagraph"/>
              <w:numPr>
                <w:ilvl w:val="0"/>
                <w:numId w:val="414"/>
              </w:numPr>
              <w:tabs>
                <w:tab w:val="left" w:pos="306"/>
              </w:tabs>
              <w:spacing w:before="46"/>
              <w:ind w:hanging="218"/>
              <w:rPr>
                <w:sz w:val="16"/>
                <w:szCs w:val="16"/>
              </w:rPr>
            </w:pPr>
            <w:r w:rsidRPr="00707776">
              <w:rPr>
                <w:color w:val="231F20"/>
                <w:spacing w:val="-3"/>
                <w:sz w:val="16"/>
                <w:szCs w:val="16"/>
              </w:rPr>
              <w:t>Yarran</w:t>
            </w:r>
            <w:r w:rsidRPr="00707776">
              <w:rPr>
                <w:color w:val="231F20"/>
                <w:spacing w:val="-6"/>
                <w:sz w:val="16"/>
                <w:szCs w:val="16"/>
              </w:rPr>
              <w:t xml:space="preserve"> </w:t>
            </w:r>
            <w:r w:rsidRPr="00707776">
              <w:rPr>
                <w:color w:val="231F20"/>
                <w:sz w:val="16"/>
                <w:szCs w:val="16"/>
              </w:rPr>
              <w:t>Creek</w:t>
            </w:r>
          </w:p>
          <w:p w:rsidR="006A7A3F" w:rsidRPr="00707776" w:rsidRDefault="00BC7372">
            <w:pPr>
              <w:pStyle w:val="TableParagraph"/>
              <w:numPr>
                <w:ilvl w:val="0"/>
                <w:numId w:val="414"/>
              </w:numPr>
              <w:tabs>
                <w:tab w:val="left" w:pos="306"/>
              </w:tabs>
              <w:spacing w:before="54" w:line="225" w:lineRule="auto"/>
              <w:ind w:right="326"/>
              <w:rPr>
                <w:sz w:val="16"/>
                <w:szCs w:val="16"/>
              </w:rPr>
            </w:pPr>
            <w:r w:rsidRPr="00707776">
              <w:rPr>
                <w:color w:val="231F20"/>
                <w:sz w:val="16"/>
                <w:szCs w:val="16"/>
              </w:rPr>
              <w:t>Little Gunbower wetland</w:t>
            </w:r>
            <w:r w:rsidRPr="00707776">
              <w:rPr>
                <w:color w:val="231F20"/>
                <w:spacing w:val="-18"/>
                <w:sz w:val="16"/>
                <w:szCs w:val="16"/>
              </w:rPr>
              <w:t xml:space="preserve"> </w:t>
            </w:r>
            <w:r w:rsidRPr="00707776">
              <w:rPr>
                <w:color w:val="231F20"/>
                <w:sz w:val="16"/>
                <w:szCs w:val="16"/>
              </w:rPr>
              <w:t>complex</w:t>
            </w:r>
          </w:p>
          <w:p w:rsidR="006A7A3F" w:rsidRPr="00707776" w:rsidRDefault="00BC7372">
            <w:pPr>
              <w:pStyle w:val="TableParagraph"/>
              <w:numPr>
                <w:ilvl w:val="0"/>
                <w:numId w:val="414"/>
              </w:numPr>
              <w:tabs>
                <w:tab w:val="left" w:pos="306"/>
              </w:tabs>
              <w:spacing w:before="55" w:line="225" w:lineRule="auto"/>
              <w:ind w:right="326"/>
              <w:rPr>
                <w:sz w:val="16"/>
                <w:szCs w:val="16"/>
              </w:rPr>
            </w:pPr>
            <w:r w:rsidRPr="00707776">
              <w:rPr>
                <w:color w:val="231F20"/>
                <w:sz w:val="16"/>
                <w:szCs w:val="16"/>
              </w:rPr>
              <w:t>Little Reedy wetland</w:t>
            </w:r>
            <w:r w:rsidRPr="00707776">
              <w:rPr>
                <w:color w:val="231F20"/>
                <w:spacing w:val="-18"/>
                <w:sz w:val="16"/>
                <w:szCs w:val="16"/>
              </w:rPr>
              <w:t xml:space="preserve"> </w:t>
            </w:r>
            <w:r w:rsidRPr="00707776">
              <w:rPr>
                <w:color w:val="231F20"/>
                <w:sz w:val="16"/>
                <w:szCs w:val="16"/>
              </w:rPr>
              <w:t>complex</w:t>
            </w:r>
          </w:p>
          <w:p w:rsidR="006A7A3F" w:rsidRPr="00707776" w:rsidRDefault="00BC7372">
            <w:pPr>
              <w:pStyle w:val="TableParagraph"/>
              <w:numPr>
                <w:ilvl w:val="0"/>
                <w:numId w:val="414"/>
              </w:numPr>
              <w:tabs>
                <w:tab w:val="left" w:pos="306"/>
              </w:tabs>
              <w:spacing w:before="56" w:line="225" w:lineRule="auto"/>
              <w:ind w:right="215"/>
              <w:rPr>
                <w:sz w:val="16"/>
                <w:szCs w:val="16"/>
              </w:rPr>
            </w:pPr>
            <w:r w:rsidRPr="00707776">
              <w:rPr>
                <w:color w:val="231F20"/>
                <w:sz w:val="16"/>
                <w:szCs w:val="16"/>
              </w:rPr>
              <w:t>Extend natural flooding by wetting Gunbower Forest floodplain, floodrunners and wetlands</w:t>
            </w:r>
          </w:p>
          <w:p w:rsidR="006A7A3F" w:rsidRPr="00707776" w:rsidRDefault="00BC7372">
            <w:pPr>
              <w:pStyle w:val="TableParagraph"/>
              <w:numPr>
                <w:ilvl w:val="0"/>
                <w:numId w:val="414"/>
              </w:numPr>
              <w:tabs>
                <w:tab w:val="left" w:pos="306"/>
              </w:tabs>
              <w:spacing w:before="53" w:line="225" w:lineRule="auto"/>
              <w:ind w:right="285"/>
              <w:rPr>
                <w:sz w:val="16"/>
                <w:szCs w:val="16"/>
              </w:rPr>
            </w:pPr>
            <w:r w:rsidRPr="00707776">
              <w:rPr>
                <w:color w:val="231F20"/>
                <w:sz w:val="16"/>
                <w:szCs w:val="16"/>
              </w:rPr>
              <w:t>Gunbower Forest floodplain, floodrunners and wetlands</w:t>
            </w:r>
          </w:p>
        </w:tc>
        <w:tc>
          <w:tcPr>
            <w:tcW w:w="1984" w:type="dxa"/>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413"/>
              </w:numPr>
              <w:tabs>
                <w:tab w:val="left" w:pos="306"/>
              </w:tabs>
              <w:spacing w:before="66" w:line="225" w:lineRule="auto"/>
              <w:ind w:right="495"/>
              <w:rPr>
                <w:sz w:val="16"/>
                <w:szCs w:val="16"/>
              </w:rPr>
            </w:pPr>
            <w:r w:rsidRPr="00707776">
              <w:rPr>
                <w:color w:val="231F20"/>
                <w:sz w:val="16"/>
                <w:szCs w:val="16"/>
              </w:rPr>
              <w:t>Reedy Lagoon (winter/spring)</w:t>
            </w:r>
          </w:p>
          <w:p w:rsidR="006A7A3F" w:rsidRPr="00707776" w:rsidRDefault="00BC7372">
            <w:pPr>
              <w:pStyle w:val="TableParagraph"/>
              <w:numPr>
                <w:ilvl w:val="0"/>
                <w:numId w:val="413"/>
              </w:numPr>
              <w:tabs>
                <w:tab w:val="left" w:pos="306"/>
              </w:tabs>
              <w:spacing w:before="56" w:line="225" w:lineRule="auto"/>
              <w:ind w:right="526"/>
              <w:rPr>
                <w:sz w:val="16"/>
                <w:szCs w:val="16"/>
              </w:rPr>
            </w:pPr>
            <w:r w:rsidRPr="00707776">
              <w:rPr>
                <w:color w:val="231F20"/>
                <w:sz w:val="16"/>
                <w:szCs w:val="16"/>
              </w:rPr>
              <w:t>Black Swamp (winter/spring)</w:t>
            </w:r>
          </w:p>
          <w:p w:rsidR="006A7A3F" w:rsidRPr="00707776" w:rsidRDefault="00BC7372">
            <w:pPr>
              <w:pStyle w:val="TableParagraph"/>
              <w:numPr>
                <w:ilvl w:val="0"/>
                <w:numId w:val="413"/>
              </w:numPr>
              <w:tabs>
                <w:tab w:val="left" w:pos="306"/>
              </w:tabs>
              <w:spacing w:before="55" w:line="225" w:lineRule="auto"/>
              <w:ind w:right="192"/>
              <w:rPr>
                <w:sz w:val="16"/>
                <w:szCs w:val="16"/>
              </w:rPr>
            </w:pPr>
            <w:r w:rsidRPr="00707776">
              <w:rPr>
                <w:color w:val="231F20"/>
                <w:sz w:val="16"/>
                <w:szCs w:val="16"/>
              </w:rPr>
              <w:t xml:space="preserve">Trigger-based </w:t>
            </w:r>
            <w:r w:rsidRPr="00707776">
              <w:rPr>
                <w:color w:val="231F20"/>
                <w:spacing w:val="-4"/>
                <w:sz w:val="16"/>
                <w:szCs w:val="16"/>
              </w:rPr>
              <w:t xml:space="preserve">top- </w:t>
            </w:r>
            <w:r w:rsidRPr="00707776">
              <w:rPr>
                <w:color w:val="231F20"/>
                <w:sz w:val="16"/>
                <w:szCs w:val="16"/>
              </w:rPr>
              <w:t>up permanent and semi-permanent wetlands</w:t>
            </w:r>
          </w:p>
          <w:p w:rsidR="006A7A3F" w:rsidRPr="00707776" w:rsidRDefault="00BC7372">
            <w:pPr>
              <w:pStyle w:val="TableParagraph"/>
              <w:numPr>
                <w:ilvl w:val="0"/>
                <w:numId w:val="413"/>
              </w:numPr>
              <w:tabs>
                <w:tab w:val="left" w:pos="306"/>
              </w:tabs>
              <w:spacing w:before="55" w:line="225" w:lineRule="auto"/>
              <w:ind w:right="416"/>
              <w:rPr>
                <w:sz w:val="16"/>
                <w:szCs w:val="16"/>
              </w:rPr>
            </w:pPr>
            <w:r w:rsidRPr="00707776">
              <w:rPr>
                <w:color w:val="231F20"/>
                <w:sz w:val="16"/>
                <w:szCs w:val="16"/>
              </w:rPr>
              <w:t>Reedy Lagoon (autumn/winter)</w:t>
            </w:r>
          </w:p>
          <w:p w:rsidR="006A7A3F" w:rsidRPr="00707776" w:rsidRDefault="00BC7372">
            <w:pPr>
              <w:pStyle w:val="TableParagraph"/>
              <w:numPr>
                <w:ilvl w:val="0"/>
                <w:numId w:val="413"/>
              </w:numPr>
              <w:tabs>
                <w:tab w:val="left" w:pos="306"/>
              </w:tabs>
              <w:spacing w:before="55" w:line="225" w:lineRule="auto"/>
              <w:ind w:right="416"/>
              <w:rPr>
                <w:sz w:val="16"/>
                <w:szCs w:val="16"/>
              </w:rPr>
            </w:pPr>
            <w:r w:rsidRPr="00707776">
              <w:rPr>
                <w:color w:val="231F20"/>
                <w:sz w:val="16"/>
                <w:szCs w:val="16"/>
              </w:rPr>
              <w:t>Black Swamp (autumn/winter)</w:t>
            </w:r>
          </w:p>
          <w:p w:rsidR="006A7A3F" w:rsidRPr="00707776" w:rsidRDefault="00BC7372">
            <w:pPr>
              <w:pStyle w:val="TableParagraph"/>
              <w:numPr>
                <w:ilvl w:val="0"/>
                <w:numId w:val="413"/>
              </w:numPr>
              <w:tabs>
                <w:tab w:val="left" w:pos="306"/>
              </w:tabs>
              <w:spacing w:before="46"/>
              <w:rPr>
                <w:sz w:val="16"/>
                <w:szCs w:val="16"/>
              </w:rPr>
            </w:pPr>
            <w:r w:rsidRPr="00707776">
              <w:rPr>
                <w:color w:val="231F20"/>
                <w:spacing w:val="-3"/>
                <w:sz w:val="16"/>
                <w:szCs w:val="16"/>
              </w:rPr>
              <w:t>Yarran</w:t>
            </w:r>
            <w:r w:rsidRPr="00707776">
              <w:rPr>
                <w:color w:val="231F20"/>
                <w:spacing w:val="-6"/>
                <w:sz w:val="16"/>
                <w:szCs w:val="16"/>
              </w:rPr>
              <w:t xml:space="preserve"> </w:t>
            </w:r>
            <w:r w:rsidRPr="00707776">
              <w:rPr>
                <w:color w:val="231F20"/>
                <w:sz w:val="16"/>
                <w:szCs w:val="16"/>
              </w:rPr>
              <w:t>Creek</w:t>
            </w:r>
          </w:p>
          <w:p w:rsidR="006A7A3F" w:rsidRPr="00707776" w:rsidRDefault="00BC7372">
            <w:pPr>
              <w:pStyle w:val="TableParagraph"/>
              <w:numPr>
                <w:ilvl w:val="0"/>
                <w:numId w:val="413"/>
              </w:numPr>
              <w:tabs>
                <w:tab w:val="left" w:pos="306"/>
              </w:tabs>
              <w:spacing w:before="54" w:line="225" w:lineRule="auto"/>
              <w:ind w:right="326"/>
              <w:rPr>
                <w:sz w:val="16"/>
                <w:szCs w:val="16"/>
              </w:rPr>
            </w:pPr>
            <w:r w:rsidRPr="00707776">
              <w:rPr>
                <w:color w:val="231F20"/>
                <w:sz w:val="16"/>
                <w:szCs w:val="16"/>
              </w:rPr>
              <w:t>Little Gunbower wetland</w:t>
            </w:r>
            <w:r w:rsidRPr="00707776">
              <w:rPr>
                <w:color w:val="231F20"/>
                <w:spacing w:val="-18"/>
                <w:sz w:val="16"/>
                <w:szCs w:val="16"/>
              </w:rPr>
              <w:t xml:space="preserve"> </w:t>
            </w:r>
            <w:r w:rsidRPr="00707776">
              <w:rPr>
                <w:color w:val="231F20"/>
                <w:sz w:val="16"/>
                <w:szCs w:val="16"/>
              </w:rPr>
              <w:t>complex</w:t>
            </w:r>
          </w:p>
          <w:p w:rsidR="006A7A3F" w:rsidRPr="00707776" w:rsidRDefault="00BC7372">
            <w:pPr>
              <w:pStyle w:val="TableParagraph"/>
              <w:numPr>
                <w:ilvl w:val="0"/>
                <w:numId w:val="413"/>
              </w:numPr>
              <w:tabs>
                <w:tab w:val="left" w:pos="306"/>
              </w:tabs>
              <w:spacing w:before="55" w:line="225" w:lineRule="auto"/>
              <w:ind w:right="326"/>
              <w:rPr>
                <w:sz w:val="16"/>
                <w:szCs w:val="16"/>
              </w:rPr>
            </w:pPr>
            <w:r w:rsidRPr="00707776">
              <w:rPr>
                <w:color w:val="231F20"/>
                <w:sz w:val="16"/>
                <w:szCs w:val="16"/>
              </w:rPr>
              <w:t>Little Reedy wetland</w:t>
            </w:r>
            <w:r w:rsidRPr="00707776">
              <w:rPr>
                <w:color w:val="231F20"/>
                <w:spacing w:val="-18"/>
                <w:sz w:val="16"/>
                <w:szCs w:val="16"/>
              </w:rPr>
              <w:t xml:space="preserve"> </w:t>
            </w:r>
            <w:r w:rsidRPr="00707776">
              <w:rPr>
                <w:color w:val="231F20"/>
                <w:sz w:val="16"/>
                <w:szCs w:val="16"/>
              </w:rPr>
              <w:t>complex</w:t>
            </w:r>
          </w:p>
          <w:p w:rsidR="006A7A3F" w:rsidRPr="00707776" w:rsidRDefault="00BC7372">
            <w:pPr>
              <w:pStyle w:val="TableParagraph"/>
              <w:numPr>
                <w:ilvl w:val="0"/>
                <w:numId w:val="413"/>
              </w:numPr>
              <w:tabs>
                <w:tab w:val="left" w:pos="306"/>
              </w:tabs>
              <w:spacing w:before="56" w:line="225" w:lineRule="auto"/>
              <w:ind w:right="215"/>
              <w:rPr>
                <w:sz w:val="16"/>
                <w:szCs w:val="16"/>
              </w:rPr>
            </w:pPr>
            <w:r w:rsidRPr="00707776">
              <w:rPr>
                <w:color w:val="231F20"/>
                <w:sz w:val="16"/>
                <w:szCs w:val="16"/>
              </w:rPr>
              <w:t>Extend natural flooding by wetting Gunbower Forest floodplain, floodrunners and wetlands</w:t>
            </w:r>
          </w:p>
        </w:tc>
      </w:tr>
      <w:tr w:rsidR="00707776" w:rsidTr="00707776">
        <w:tc>
          <w:tcPr>
            <w:tcW w:w="1701" w:type="dxa"/>
            <w:tcBorders>
              <w:top w:val="single" w:sz="4" w:space="0" w:color="231F20"/>
              <w:left w:val="single" w:sz="4" w:space="0" w:color="231F20"/>
              <w:bottom w:val="single" w:sz="4" w:space="0" w:color="231F20"/>
              <w:right w:val="single" w:sz="4" w:space="0" w:color="231F20"/>
            </w:tcBorders>
          </w:tcPr>
          <w:p w:rsidR="00707776" w:rsidRDefault="00707776" w:rsidP="00707776">
            <w:pPr>
              <w:pStyle w:val="TableParagraph"/>
              <w:spacing w:before="53"/>
              <w:ind w:left="85"/>
              <w:rPr>
                <w:sz w:val="16"/>
              </w:rPr>
            </w:pPr>
            <w:r>
              <w:rPr>
                <w:color w:val="231F20"/>
                <w:sz w:val="16"/>
              </w:rPr>
              <w:t>Gunbower Creek</w:t>
            </w:r>
          </w:p>
        </w:tc>
        <w:tc>
          <w:tcPr>
            <w:tcW w:w="1984" w:type="dxa"/>
            <w:tcBorders>
              <w:top w:val="single" w:sz="4" w:space="0" w:color="231F20"/>
              <w:left w:val="single" w:sz="4" w:space="0" w:color="231F20"/>
              <w:bottom w:val="single" w:sz="4" w:space="0" w:color="231F20"/>
              <w:right w:val="single" w:sz="4" w:space="0" w:color="231F20"/>
            </w:tcBorders>
          </w:tcPr>
          <w:p w:rsidR="00707776" w:rsidRPr="00707776" w:rsidRDefault="00707776" w:rsidP="00707776">
            <w:pPr>
              <w:pStyle w:val="TableParagraph"/>
              <w:numPr>
                <w:ilvl w:val="0"/>
                <w:numId w:val="412"/>
              </w:numPr>
              <w:tabs>
                <w:tab w:val="left" w:pos="305"/>
              </w:tabs>
              <w:spacing w:before="49" w:line="254" w:lineRule="auto"/>
              <w:ind w:right="306"/>
              <w:rPr>
                <w:sz w:val="16"/>
                <w:szCs w:val="16"/>
              </w:rPr>
            </w:pPr>
            <w:r w:rsidRPr="00707776">
              <w:rPr>
                <w:color w:val="231F20"/>
                <w:sz w:val="16"/>
                <w:szCs w:val="16"/>
              </w:rPr>
              <w:t xml:space="preserve">Gunbower </w:t>
            </w:r>
            <w:r w:rsidRPr="00707776">
              <w:rPr>
                <w:color w:val="231F20"/>
                <w:spacing w:val="-4"/>
                <w:sz w:val="16"/>
                <w:szCs w:val="16"/>
              </w:rPr>
              <w:t xml:space="preserve">Creek </w:t>
            </w:r>
            <w:r w:rsidRPr="00707776">
              <w:rPr>
                <w:color w:val="231F20"/>
                <w:sz w:val="16"/>
                <w:szCs w:val="16"/>
              </w:rPr>
              <w:t>winter low</w:t>
            </w:r>
            <w:r w:rsidRPr="00707776">
              <w:rPr>
                <w:color w:val="231F20"/>
                <w:spacing w:val="-5"/>
                <w:sz w:val="16"/>
                <w:szCs w:val="16"/>
              </w:rPr>
              <w:t xml:space="preserve"> </w:t>
            </w:r>
            <w:r w:rsidRPr="00707776">
              <w:rPr>
                <w:color w:val="231F20"/>
                <w:sz w:val="16"/>
                <w:szCs w:val="16"/>
              </w:rPr>
              <w:t>flow</w:t>
            </w:r>
          </w:p>
          <w:p w:rsidR="00707776" w:rsidRPr="00707776" w:rsidRDefault="00707776" w:rsidP="00707776">
            <w:pPr>
              <w:pStyle w:val="TableParagraph"/>
              <w:numPr>
                <w:ilvl w:val="0"/>
                <w:numId w:val="412"/>
              </w:numPr>
              <w:tabs>
                <w:tab w:val="left" w:pos="305"/>
              </w:tabs>
              <w:spacing w:before="58" w:line="254" w:lineRule="auto"/>
              <w:ind w:right="306"/>
              <w:rPr>
                <w:sz w:val="16"/>
                <w:szCs w:val="16"/>
              </w:rPr>
            </w:pPr>
            <w:r w:rsidRPr="00707776">
              <w:rPr>
                <w:color w:val="231F20"/>
                <w:sz w:val="16"/>
                <w:szCs w:val="16"/>
              </w:rPr>
              <w:t xml:space="preserve">Gunbower </w:t>
            </w:r>
            <w:r w:rsidRPr="00707776">
              <w:rPr>
                <w:color w:val="231F20"/>
                <w:spacing w:val="-4"/>
                <w:sz w:val="16"/>
                <w:szCs w:val="16"/>
              </w:rPr>
              <w:t xml:space="preserve">Creek </w:t>
            </w:r>
            <w:r w:rsidRPr="00707776">
              <w:rPr>
                <w:color w:val="231F20"/>
                <w:sz w:val="16"/>
                <w:szCs w:val="16"/>
              </w:rPr>
              <w:t>spring/summer/ autumn low</w:t>
            </w:r>
            <w:r w:rsidRPr="00707776">
              <w:rPr>
                <w:color w:val="231F20"/>
                <w:spacing w:val="-6"/>
                <w:sz w:val="16"/>
                <w:szCs w:val="16"/>
              </w:rPr>
              <w:t xml:space="preserve"> </w:t>
            </w:r>
            <w:r w:rsidRPr="00707776">
              <w:rPr>
                <w:color w:val="231F20"/>
                <w:sz w:val="16"/>
                <w:szCs w:val="16"/>
              </w:rPr>
              <w:t>flow</w:t>
            </w:r>
          </w:p>
        </w:tc>
        <w:tc>
          <w:tcPr>
            <w:tcW w:w="1984" w:type="dxa"/>
            <w:tcBorders>
              <w:top w:val="single" w:sz="4" w:space="0" w:color="231F20"/>
              <w:left w:val="single" w:sz="4" w:space="0" w:color="231F20"/>
              <w:bottom w:val="single" w:sz="4" w:space="0" w:color="231F20"/>
              <w:right w:val="single" w:sz="4" w:space="0" w:color="231F20"/>
            </w:tcBorders>
          </w:tcPr>
          <w:p w:rsidR="00707776" w:rsidRPr="00707776" w:rsidRDefault="00707776" w:rsidP="00707776">
            <w:pPr>
              <w:pStyle w:val="TableParagraph"/>
              <w:numPr>
                <w:ilvl w:val="0"/>
                <w:numId w:val="411"/>
              </w:numPr>
              <w:tabs>
                <w:tab w:val="left" w:pos="306"/>
              </w:tabs>
              <w:spacing w:before="49" w:line="254" w:lineRule="auto"/>
              <w:ind w:right="306"/>
              <w:rPr>
                <w:sz w:val="16"/>
                <w:szCs w:val="16"/>
              </w:rPr>
            </w:pPr>
            <w:r w:rsidRPr="00707776">
              <w:rPr>
                <w:color w:val="231F20"/>
                <w:sz w:val="16"/>
                <w:szCs w:val="16"/>
              </w:rPr>
              <w:t xml:space="preserve">Gunbower </w:t>
            </w:r>
            <w:r w:rsidRPr="00707776">
              <w:rPr>
                <w:color w:val="231F20"/>
                <w:spacing w:val="-4"/>
                <w:sz w:val="16"/>
                <w:szCs w:val="16"/>
              </w:rPr>
              <w:t xml:space="preserve">Creek </w:t>
            </w:r>
            <w:r w:rsidRPr="00707776">
              <w:rPr>
                <w:color w:val="231F20"/>
                <w:sz w:val="16"/>
                <w:szCs w:val="16"/>
              </w:rPr>
              <w:t>winter low</w:t>
            </w:r>
            <w:r w:rsidRPr="00707776">
              <w:rPr>
                <w:color w:val="231F20"/>
                <w:spacing w:val="-5"/>
                <w:sz w:val="16"/>
                <w:szCs w:val="16"/>
              </w:rPr>
              <w:t xml:space="preserve"> </w:t>
            </w:r>
            <w:r w:rsidRPr="00707776">
              <w:rPr>
                <w:color w:val="231F20"/>
                <w:sz w:val="16"/>
                <w:szCs w:val="16"/>
              </w:rPr>
              <w:t>flow</w:t>
            </w:r>
          </w:p>
          <w:p w:rsidR="00707776" w:rsidRPr="00707776" w:rsidRDefault="00707776" w:rsidP="00707776">
            <w:pPr>
              <w:pStyle w:val="TableParagraph"/>
              <w:numPr>
                <w:ilvl w:val="0"/>
                <w:numId w:val="411"/>
              </w:numPr>
              <w:tabs>
                <w:tab w:val="left" w:pos="306"/>
              </w:tabs>
              <w:spacing w:before="58" w:line="254" w:lineRule="auto"/>
              <w:ind w:right="306"/>
              <w:rPr>
                <w:sz w:val="16"/>
                <w:szCs w:val="16"/>
              </w:rPr>
            </w:pPr>
            <w:r w:rsidRPr="00707776">
              <w:rPr>
                <w:color w:val="231F20"/>
                <w:sz w:val="16"/>
                <w:szCs w:val="16"/>
              </w:rPr>
              <w:t xml:space="preserve">Gunbower </w:t>
            </w:r>
            <w:r w:rsidRPr="00707776">
              <w:rPr>
                <w:color w:val="231F20"/>
                <w:spacing w:val="-4"/>
                <w:sz w:val="16"/>
                <w:szCs w:val="16"/>
              </w:rPr>
              <w:t xml:space="preserve">Creek </w:t>
            </w:r>
            <w:r w:rsidRPr="00707776">
              <w:rPr>
                <w:color w:val="231F20"/>
                <w:sz w:val="16"/>
                <w:szCs w:val="16"/>
              </w:rPr>
              <w:t>spring/summer/ autumn low</w:t>
            </w:r>
            <w:r w:rsidRPr="00707776">
              <w:rPr>
                <w:color w:val="231F20"/>
                <w:spacing w:val="-6"/>
                <w:sz w:val="16"/>
                <w:szCs w:val="16"/>
              </w:rPr>
              <w:t xml:space="preserve"> </w:t>
            </w:r>
            <w:r w:rsidRPr="00707776">
              <w:rPr>
                <w:color w:val="231F20"/>
                <w:sz w:val="16"/>
                <w:szCs w:val="16"/>
              </w:rPr>
              <w:t>flow</w:t>
            </w:r>
          </w:p>
        </w:tc>
        <w:tc>
          <w:tcPr>
            <w:tcW w:w="1984" w:type="dxa"/>
            <w:tcBorders>
              <w:top w:val="single" w:sz="4" w:space="0" w:color="231F20"/>
              <w:left w:val="single" w:sz="4" w:space="0" w:color="231F20"/>
              <w:bottom w:val="single" w:sz="4" w:space="0" w:color="231F20"/>
              <w:right w:val="single" w:sz="4" w:space="0" w:color="231F20"/>
            </w:tcBorders>
          </w:tcPr>
          <w:p w:rsidR="00707776" w:rsidRPr="00707776" w:rsidRDefault="00707776" w:rsidP="00707776">
            <w:pPr>
              <w:pStyle w:val="TableParagraph"/>
              <w:numPr>
                <w:ilvl w:val="0"/>
                <w:numId w:val="410"/>
              </w:numPr>
              <w:tabs>
                <w:tab w:val="left" w:pos="306"/>
              </w:tabs>
              <w:spacing w:before="49" w:line="254" w:lineRule="auto"/>
              <w:ind w:right="305"/>
              <w:rPr>
                <w:sz w:val="16"/>
                <w:szCs w:val="16"/>
              </w:rPr>
            </w:pPr>
            <w:r w:rsidRPr="00707776">
              <w:rPr>
                <w:color w:val="231F20"/>
                <w:sz w:val="16"/>
                <w:szCs w:val="16"/>
              </w:rPr>
              <w:t xml:space="preserve">Gunbower </w:t>
            </w:r>
            <w:r w:rsidRPr="00707776">
              <w:rPr>
                <w:color w:val="231F20"/>
                <w:spacing w:val="-4"/>
                <w:sz w:val="16"/>
                <w:szCs w:val="16"/>
              </w:rPr>
              <w:t xml:space="preserve">Creek </w:t>
            </w:r>
            <w:r w:rsidRPr="00707776">
              <w:rPr>
                <w:color w:val="231F20"/>
                <w:sz w:val="16"/>
                <w:szCs w:val="16"/>
              </w:rPr>
              <w:t>winter low</w:t>
            </w:r>
            <w:r w:rsidRPr="00707776">
              <w:rPr>
                <w:color w:val="231F20"/>
                <w:spacing w:val="-5"/>
                <w:sz w:val="16"/>
                <w:szCs w:val="16"/>
              </w:rPr>
              <w:t xml:space="preserve"> </w:t>
            </w:r>
            <w:r w:rsidRPr="00707776">
              <w:rPr>
                <w:color w:val="231F20"/>
                <w:sz w:val="16"/>
                <w:szCs w:val="16"/>
              </w:rPr>
              <w:t>flow</w:t>
            </w:r>
          </w:p>
          <w:p w:rsidR="00707776" w:rsidRPr="00707776" w:rsidRDefault="00707776" w:rsidP="00707776">
            <w:pPr>
              <w:pStyle w:val="TableParagraph"/>
              <w:numPr>
                <w:ilvl w:val="0"/>
                <w:numId w:val="410"/>
              </w:numPr>
              <w:tabs>
                <w:tab w:val="left" w:pos="306"/>
              </w:tabs>
              <w:spacing w:before="58" w:line="254" w:lineRule="auto"/>
              <w:ind w:right="305"/>
              <w:rPr>
                <w:sz w:val="16"/>
                <w:szCs w:val="16"/>
              </w:rPr>
            </w:pPr>
            <w:r w:rsidRPr="00707776">
              <w:rPr>
                <w:color w:val="231F20"/>
                <w:sz w:val="16"/>
                <w:szCs w:val="16"/>
              </w:rPr>
              <w:t xml:space="preserve">Gunbower </w:t>
            </w:r>
            <w:r w:rsidRPr="00707776">
              <w:rPr>
                <w:color w:val="231F20"/>
                <w:spacing w:val="-4"/>
                <w:sz w:val="16"/>
                <w:szCs w:val="16"/>
              </w:rPr>
              <w:t xml:space="preserve">Creek </w:t>
            </w:r>
            <w:r w:rsidRPr="00707776">
              <w:rPr>
                <w:color w:val="231F20"/>
                <w:sz w:val="16"/>
                <w:szCs w:val="16"/>
              </w:rPr>
              <w:t>spring/summer/ autumn low</w:t>
            </w:r>
            <w:r w:rsidRPr="00707776">
              <w:rPr>
                <w:color w:val="231F20"/>
                <w:spacing w:val="-6"/>
                <w:sz w:val="16"/>
                <w:szCs w:val="16"/>
              </w:rPr>
              <w:t xml:space="preserve"> </w:t>
            </w:r>
            <w:r w:rsidRPr="00707776">
              <w:rPr>
                <w:color w:val="231F20"/>
                <w:sz w:val="16"/>
                <w:szCs w:val="16"/>
              </w:rPr>
              <w:t>flow</w:t>
            </w:r>
          </w:p>
        </w:tc>
        <w:tc>
          <w:tcPr>
            <w:tcW w:w="1984" w:type="dxa"/>
            <w:tcBorders>
              <w:top w:val="single" w:sz="4" w:space="0" w:color="231F20"/>
              <w:left w:val="single" w:sz="4" w:space="0" w:color="231F20"/>
              <w:bottom w:val="single" w:sz="4" w:space="0" w:color="231F20"/>
              <w:right w:val="single" w:sz="4" w:space="0" w:color="231F20"/>
            </w:tcBorders>
          </w:tcPr>
          <w:p w:rsidR="00707776" w:rsidRPr="00707776" w:rsidRDefault="00707776" w:rsidP="00707776">
            <w:pPr>
              <w:pStyle w:val="TableParagraph"/>
              <w:numPr>
                <w:ilvl w:val="0"/>
                <w:numId w:val="409"/>
              </w:numPr>
              <w:tabs>
                <w:tab w:val="left" w:pos="306"/>
              </w:tabs>
              <w:spacing w:before="49" w:line="254" w:lineRule="auto"/>
              <w:ind w:right="305"/>
              <w:rPr>
                <w:sz w:val="16"/>
                <w:szCs w:val="16"/>
              </w:rPr>
            </w:pPr>
            <w:r w:rsidRPr="00707776">
              <w:rPr>
                <w:color w:val="231F20"/>
                <w:sz w:val="16"/>
                <w:szCs w:val="16"/>
              </w:rPr>
              <w:t xml:space="preserve">Gunbower </w:t>
            </w:r>
            <w:r w:rsidRPr="00707776">
              <w:rPr>
                <w:color w:val="231F20"/>
                <w:spacing w:val="-4"/>
                <w:sz w:val="16"/>
                <w:szCs w:val="16"/>
              </w:rPr>
              <w:t xml:space="preserve">Creek </w:t>
            </w:r>
            <w:r w:rsidRPr="00707776">
              <w:rPr>
                <w:color w:val="231F20"/>
                <w:sz w:val="16"/>
                <w:szCs w:val="16"/>
              </w:rPr>
              <w:t>winter low</w:t>
            </w:r>
            <w:r w:rsidRPr="00707776">
              <w:rPr>
                <w:color w:val="231F20"/>
                <w:spacing w:val="-5"/>
                <w:sz w:val="16"/>
                <w:szCs w:val="16"/>
              </w:rPr>
              <w:t xml:space="preserve"> </w:t>
            </w:r>
            <w:r w:rsidRPr="00707776">
              <w:rPr>
                <w:color w:val="231F20"/>
                <w:sz w:val="16"/>
                <w:szCs w:val="16"/>
              </w:rPr>
              <w:t>flow</w:t>
            </w:r>
          </w:p>
          <w:p w:rsidR="00707776" w:rsidRPr="00707776" w:rsidRDefault="00707776" w:rsidP="00707776">
            <w:pPr>
              <w:pStyle w:val="TableParagraph"/>
              <w:numPr>
                <w:ilvl w:val="0"/>
                <w:numId w:val="409"/>
              </w:numPr>
              <w:tabs>
                <w:tab w:val="left" w:pos="306"/>
              </w:tabs>
              <w:spacing w:before="58" w:line="254" w:lineRule="auto"/>
              <w:ind w:right="305"/>
              <w:rPr>
                <w:sz w:val="16"/>
                <w:szCs w:val="16"/>
              </w:rPr>
            </w:pPr>
            <w:r w:rsidRPr="00707776">
              <w:rPr>
                <w:color w:val="231F20"/>
                <w:sz w:val="16"/>
                <w:szCs w:val="16"/>
              </w:rPr>
              <w:t xml:space="preserve">Gunbower </w:t>
            </w:r>
            <w:r w:rsidRPr="00707776">
              <w:rPr>
                <w:color w:val="231F20"/>
                <w:spacing w:val="-4"/>
                <w:sz w:val="16"/>
                <w:szCs w:val="16"/>
              </w:rPr>
              <w:t xml:space="preserve">Creek </w:t>
            </w:r>
            <w:r w:rsidRPr="00707776">
              <w:rPr>
                <w:color w:val="231F20"/>
                <w:sz w:val="16"/>
                <w:szCs w:val="16"/>
              </w:rPr>
              <w:t>spring/summer/ autumn low</w:t>
            </w:r>
            <w:r w:rsidRPr="00707776">
              <w:rPr>
                <w:color w:val="231F20"/>
                <w:spacing w:val="-6"/>
                <w:sz w:val="16"/>
                <w:szCs w:val="16"/>
              </w:rPr>
              <w:t xml:space="preserve"> </w:t>
            </w:r>
            <w:r w:rsidRPr="00707776">
              <w:rPr>
                <w:color w:val="231F20"/>
                <w:sz w:val="16"/>
                <w:szCs w:val="16"/>
              </w:rPr>
              <w:t>flow</w:t>
            </w:r>
          </w:p>
        </w:tc>
      </w:tr>
    </w:tbl>
    <w:p w:rsidR="006A7A3F" w:rsidRDefault="006A7A3F">
      <w:pPr>
        <w:spacing w:line="225" w:lineRule="auto"/>
        <w:rPr>
          <w:sz w:val="18"/>
        </w:rPr>
        <w:sectPr w:rsidR="006A7A3F" w:rsidSect="00C92D74">
          <w:pgSz w:w="11910" w:h="16840"/>
          <w:pgMar w:top="1701" w:right="851" w:bottom="1134" w:left="851" w:header="720" w:footer="720" w:gutter="0"/>
          <w:cols w:space="720"/>
        </w:sectPr>
      </w:pP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1984"/>
        <w:gridCol w:w="1984"/>
        <w:gridCol w:w="1984"/>
        <w:gridCol w:w="1984"/>
      </w:tblGrid>
      <w:tr w:rsidR="00707776" w:rsidTr="00707776">
        <w:trPr>
          <w:trHeight w:val="562"/>
        </w:trPr>
        <w:tc>
          <w:tcPr>
            <w:tcW w:w="1701" w:type="dxa"/>
            <w:shd w:val="clear" w:color="auto" w:fill="000000" w:themeFill="text1"/>
          </w:tcPr>
          <w:p w:rsidR="00707776" w:rsidRDefault="00707776" w:rsidP="00707776">
            <w:pPr>
              <w:pStyle w:val="TableParagraph"/>
              <w:spacing w:before="66" w:line="254" w:lineRule="auto"/>
              <w:ind w:left="90" w:right="826"/>
              <w:rPr>
                <w:b/>
                <w:sz w:val="18"/>
              </w:rPr>
            </w:pPr>
            <w:r>
              <w:rPr>
                <w:b/>
                <w:color w:val="FFFFFF"/>
                <w:sz w:val="18"/>
              </w:rPr>
              <w:t>Planning scenario</w:t>
            </w:r>
          </w:p>
        </w:tc>
        <w:tc>
          <w:tcPr>
            <w:tcW w:w="1984" w:type="dxa"/>
            <w:shd w:val="clear" w:color="auto" w:fill="000000" w:themeFill="text1"/>
          </w:tcPr>
          <w:p w:rsidR="00707776" w:rsidRDefault="00707776" w:rsidP="00707776">
            <w:pPr>
              <w:pStyle w:val="TableParagraph"/>
              <w:spacing w:before="66"/>
              <w:ind w:left="84"/>
              <w:rPr>
                <w:b/>
                <w:sz w:val="18"/>
              </w:rPr>
            </w:pPr>
            <w:r>
              <w:rPr>
                <w:b/>
                <w:color w:val="FFFFFF"/>
                <w:sz w:val="18"/>
              </w:rPr>
              <w:t>Drought</w:t>
            </w:r>
          </w:p>
        </w:tc>
        <w:tc>
          <w:tcPr>
            <w:tcW w:w="1984" w:type="dxa"/>
            <w:shd w:val="clear" w:color="auto" w:fill="000000" w:themeFill="text1"/>
          </w:tcPr>
          <w:p w:rsidR="00707776" w:rsidRDefault="00707776" w:rsidP="00707776">
            <w:pPr>
              <w:pStyle w:val="TableParagraph"/>
              <w:spacing w:before="66"/>
              <w:ind w:left="85"/>
              <w:rPr>
                <w:b/>
                <w:sz w:val="18"/>
              </w:rPr>
            </w:pPr>
            <w:r>
              <w:rPr>
                <w:b/>
                <w:color w:val="FFFFFF"/>
                <w:sz w:val="18"/>
              </w:rPr>
              <w:t>Dry</w:t>
            </w:r>
          </w:p>
        </w:tc>
        <w:tc>
          <w:tcPr>
            <w:tcW w:w="1984" w:type="dxa"/>
            <w:shd w:val="clear" w:color="auto" w:fill="000000" w:themeFill="text1"/>
          </w:tcPr>
          <w:p w:rsidR="00707776" w:rsidRDefault="00707776" w:rsidP="00707776">
            <w:pPr>
              <w:pStyle w:val="TableParagraph"/>
              <w:spacing w:before="66"/>
              <w:ind w:left="85"/>
              <w:rPr>
                <w:b/>
                <w:sz w:val="18"/>
              </w:rPr>
            </w:pPr>
            <w:r>
              <w:rPr>
                <w:b/>
                <w:color w:val="FFFFFF"/>
                <w:sz w:val="18"/>
              </w:rPr>
              <w:t>Average</w:t>
            </w:r>
          </w:p>
        </w:tc>
        <w:tc>
          <w:tcPr>
            <w:tcW w:w="1984" w:type="dxa"/>
            <w:shd w:val="clear" w:color="auto" w:fill="000000" w:themeFill="text1"/>
          </w:tcPr>
          <w:p w:rsidR="00707776" w:rsidRDefault="00707776" w:rsidP="00707776">
            <w:pPr>
              <w:pStyle w:val="TableParagraph"/>
              <w:spacing w:before="66"/>
              <w:ind w:left="85"/>
              <w:rPr>
                <w:b/>
                <w:sz w:val="18"/>
              </w:rPr>
            </w:pPr>
            <w:r>
              <w:rPr>
                <w:b/>
                <w:color w:val="FFFFFF"/>
                <w:sz w:val="18"/>
              </w:rPr>
              <w:t>Wet</w:t>
            </w:r>
          </w:p>
        </w:tc>
      </w:tr>
      <w:tr w:rsidR="006A7A3F">
        <w:trPr>
          <w:trHeight w:val="304"/>
        </w:trPr>
        <w:tc>
          <w:tcPr>
            <w:tcW w:w="9637" w:type="dxa"/>
            <w:gridSpan w:val="5"/>
            <w:shd w:val="clear" w:color="auto" w:fill="E6E7E8"/>
          </w:tcPr>
          <w:p w:rsidR="006A7A3F" w:rsidRPr="00707776" w:rsidRDefault="00BC7372">
            <w:pPr>
              <w:pStyle w:val="TableParagraph"/>
              <w:spacing w:before="53"/>
              <w:ind w:left="85"/>
              <w:rPr>
                <w:b/>
                <w:bCs/>
                <w:sz w:val="16"/>
              </w:rPr>
            </w:pPr>
            <w:r w:rsidRPr="00707776">
              <w:rPr>
                <w:b/>
                <w:bCs/>
                <w:color w:val="231F20"/>
                <w:sz w:val="16"/>
              </w:rPr>
              <w:t>Potential environment watering – tier 2 (additional priorities)</w:t>
            </w:r>
          </w:p>
        </w:tc>
      </w:tr>
      <w:tr w:rsidR="006A7A3F">
        <w:trPr>
          <w:trHeight w:val="1312"/>
        </w:trPr>
        <w:tc>
          <w:tcPr>
            <w:tcW w:w="1701" w:type="dxa"/>
          </w:tcPr>
          <w:p w:rsidR="006A7A3F" w:rsidRDefault="00BC7372">
            <w:pPr>
              <w:pStyle w:val="TableParagraph"/>
              <w:spacing w:before="53"/>
              <w:ind w:left="85"/>
              <w:rPr>
                <w:sz w:val="16"/>
              </w:rPr>
            </w:pPr>
            <w:r>
              <w:rPr>
                <w:color w:val="231F20"/>
                <w:sz w:val="16"/>
              </w:rPr>
              <w:t>Gunbower Forest</w:t>
            </w:r>
          </w:p>
        </w:tc>
        <w:tc>
          <w:tcPr>
            <w:tcW w:w="1984" w:type="dxa"/>
          </w:tcPr>
          <w:p w:rsidR="006A7A3F" w:rsidRPr="00707776" w:rsidRDefault="00BC7372">
            <w:pPr>
              <w:pStyle w:val="TableParagraph"/>
              <w:numPr>
                <w:ilvl w:val="0"/>
                <w:numId w:val="408"/>
              </w:numPr>
              <w:tabs>
                <w:tab w:val="left" w:pos="305"/>
              </w:tabs>
              <w:spacing w:before="49"/>
              <w:rPr>
                <w:sz w:val="16"/>
                <w:szCs w:val="16"/>
              </w:rPr>
            </w:pPr>
            <w:r w:rsidRPr="00707776">
              <w:rPr>
                <w:color w:val="231F20"/>
                <w:spacing w:val="-3"/>
                <w:sz w:val="16"/>
                <w:szCs w:val="16"/>
              </w:rPr>
              <w:t>Yarran</w:t>
            </w:r>
            <w:r w:rsidRPr="00707776">
              <w:rPr>
                <w:color w:val="231F20"/>
                <w:spacing w:val="-6"/>
                <w:sz w:val="16"/>
                <w:szCs w:val="16"/>
              </w:rPr>
              <w:t xml:space="preserve"> </w:t>
            </w:r>
            <w:r w:rsidRPr="00707776">
              <w:rPr>
                <w:color w:val="231F20"/>
                <w:sz w:val="16"/>
                <w:szCs w:val="16"/>
              </w:rPr>
              <w:t>Creek</w:t>
            </w:r>
          </w:p>
          <w:p w:rsidR="006A7A3F" w:rsidRPr="00707776" w:rsidRDefault="00BC7372">
            <w:pPr>
              <w:pStyle w:val="TableParagraph"/>
              <w:numPr>
                <w:ilvl w:val="0"/>
                <w:numId w:val="408"/>
              </w:numPr>
              <w:tabs>
                <w:tab w:val="left" w:pos="305"/>
              </w:tabs>
              <w:spacing w:before="69" w:line="254" w:lineRule="auto"/>
              <w:ind w:right="326"/>
              <w:rPr>
                <w:sz w:val="16"/>
                <w:szCs w:val="16"/>
              </w:rPr>
            </w:pPr>
            <w:r w:rsidRPr="00707776">
              <w:rPr>
                <w:color w:val="231F20"/>
                <w:sz w:val="16"/>
                <w:szCs w:val="16"/>
              </w:rPr>
              <w:t>Little Gunbower wetland</w:t>
            </w:r>
            <w:r w:rsidRPr="00707776">
              <w:rPr>
                <w:color w:val="231F20"/>
                <w:spacing w:val="-7"/>
                <w:sz w:val="16"/>
                <w:szCs w:val="16"/>
              </w:rPr>
              <w:t xml:space="preserve"> </w:t>
            </w:r>
            <w:r w:rsidRPr="00707776">
              <w:rPr>
                <w:color w:val="231F20"/>
                <w:sz w:val="16"/>
                <w:szCs w:val="16"/>
              </w:rPr>
              <w:t>complex</w:t>
            </w:r>
          </w:p>
          <w:p w:rsidR="006A7A3F" w:rsidRPr="00707776" w:rsidRDefault="00BC7372">
            <w:pPr>
              <w:pStyle w:val="TableParagraph"/>
              <w:numPr>
                <w:ilvl w:val="0"/>
                <w:numId w:val="408"/>
              </w:numPr>
              <w:tabs>
                <w:tab w:val="left" w:pos="305"/>
              </w:tabs>
              <w:spacing w:before="58" w:line="254" w:lineRule="auto"/>
              <w:ind w:right="326"/>
              <w:rPr>
                <w:sz w:val="16"/>
                <w:szCs w:val="16"/>
              </w:rPr>
            </w:pPr>
            <w:r w:rsidRPr="00707776">
              <w:rPr>
                <w:color w:val="231F20"/>
                <w:sz w:val="16"/>
                <w:szCs w:val="16"/>
              </w:rPr>
              <w:t>Little Reedy wetland</w:t>
            </w:r>
            <w:r w:rsidRPr="00707776">
              <w:rPr>
                <w:color w:val="231F20"/>
                <w:spacing w:val="-7"/>
                <w:sz w:val="16"/>
                <w:szCs w:val="16"/>
              </w:rPr>
              <w:t xml:space="preserve"> </w:t>
            </w:r>
            <w:r w:rsidRPr="00707776">
              <w:rPr>
                <w:color w:val="231F20"/>
                <w:sz w:val="16"/>
                <w:szCs w:val="16"/>
              </w:rPr>
              <w:t>complex</w:t>
            </w:r>
          </w:p>
        </w:tc>
        <w:tc>
          <w:tcPr>
            <w:tcW w:w="1984" w:type="dxa"/>
          </w:tcPr>
          <w:p w:rsidR="006A7A3F" w:rsidRPr="00707776" w:rsidRDefault="00BC7372">
            <w:pPr>
              <w:pStyle w:val="TableParagraph"/>
              <w:numPr>
                <w:ilvl w:val="0"/>
                <w:numId w:val="407"/>
              </w:numPr>
              <w:tabs>
                <w:tab w:val="left" w:pos="306"/>
              </w:tabs>
              <w:spacing w:before="49"/>
              <w:ind w:hanging="218"/>
              <w:rPr>
                <w:sz w:val="16"/>
                <w:szCs w:val="16"/>
              </w:rPr>
            </w:pPr>
            <w:r w:rsidRPr="00707776">
              <w:rPr>
                <w:color w:val="231F20"/>
                <w:sz w:val="16"/>
                <w:szCs w:val="16"/>
              </w:rPr>
              <w:t>n/a</w:t>
            </w:r>
          </w:p>
        </w:tc>
        <w:tc>
          <w:tcPr>
            <w:tcW w:w="1984" w:type="dxa"/>
          </w:tcPr>
          <w:p w:rsidR="006A7A3F" w:rsidRPr="00707776" w:rsidRDefault="00BC7372">
            <w:pPr>
              <w:pStyle w:val="TableParagraph"/>
              <w:numPr>
                <w:ilvl w:val="0"/>
                <w:numId w:val="406"/>
              </w:numPr>
              <w:tabs>
                <w:tab w:val="left" w:pos="306"/>
              </w:tabs>
              <w:spacing w:before="49"/>
              <w:ind w:hanging="218"/>
              <w:rPr>
                <w:sz w:val="16"/>
                <w:szCs w:val="16"/>
              </w:rPr>
            </w:pPr>
            <w:r w:rsidRPr="00707776">
              <w:rPr>
                <w:color w:val="231F20"/>
                <w:sz w:val="16"/>
                <w:szCs w:val="16"/>
              </w:rPr>
              <w:t>n/a</w:t>
            </w:r>
          </w:p>
        </w:tc>
        <w:tc>
          <w:tcPr>
            <w:tcW w:w="1984" w:type="dxa"/>
          </w:tcPr>
          <w:p w:rsidR="006A7A3F" w:rsidRPr="00707776" w:rsidRDefault="00BC7372">
            <w:pPr>
              <w:pStyle w:val="TableParagraph"/>
              <w:numPr>
                <w:ilvl w:val="0"/>
                <w:numId w:val="405"/>
              </w:numPr>
              <w:tabs>
                <w:tab w:val="left" w:pos="306"/>
              </w:tabs>
              <w:spacing w:before="49" w:line="254" w:lineRule="auto"/>
              <w:ind w:right="285"/>
              <w:rPr>
                <w:sz w:val="16"/>
                <w:szCs w:val="16"/>
              </w:rPr>
            </w:pPr>
            <w:r w:rsidRPr="00707776">
              <w:rPr>
                <w:color w:val="231F20"/>
                <w:sz w:val="16"/>
                <w:szCs w:val="16"/>
              </w:rPr>
              <w:t>Gunbower Forest floodplain, floodrunners and wetlands</w:t>
            </w:r>
          </w:p>
        </w:tc>
      </w:tr>
      <w:tr w:rsidR="006A7A3F">
        <w:trPr>
          <w:trHeight w:val="539"/>
        </w:trPr>
        <w:tc>
          <w:tcPr>
            <w:tcW w:w="1701" w:type="dxa"/>
          </w:tcPr>
          <w:p w:rsidR="006A7A3F" w:rsidRDefault="00BC7372">
            <w:pPr>
              <w:pStyle w:val="TableParagraph"/>
              <w:spacing w:before="53"/>
              <w:ind w:left="85"/>
              <w:rPr>
                <w:sz w:val="16"/>
              </w:rPr>
            </w:pPr>
            <w:r>
              <w:rPr>
                <w:color w:val="231F20"/>
                <w:sz w:val="16"/>
              </w:rPr>
              <w:t>Gunbower Creek</w:t>
            </w:r>
          </w:p>
        </w:tc>
        <w:tc>
          <w:tcPr>
            <w:tcW w:w="1984" w:type="dxa"/>
          </w:tcPr>
          <w:p w:rsidR="006A7A3F" w:rsidRPr="00707776" w:rsidRDefault="00BC7372">
            <w:pPr>
              <w:pStyle w:val="TableParagraph"/>
              <w:numPr>
                <w:ilvl w:val="0"/>
                <w:numId w:val="404"/>
              </w:numPr>
              <w:tabs>
                <w:tab w:val="left" w:pos="305"/>
              </w:tabs>
              <w:spacing w:before="49"/>
              <w:rPr>
                <w:sz w:val="16"/>
                <w:szCs w:val="16"/>
              </w:rPr>
            </w:pPr>
            <w:r w:rsidRPr="00707776">
              <w:rPr>
                <w:color w:val="231F20"/>
                <w:sz w:val="16"/>
                <w:szCs w:val="16"/>
              </w:rPr>
              <w:t>n/a</w:t>
            </w:r>
          </w:p>
        </w:tc>
        <w:tc>
          <w:tcPr>
            <w:tcW w:w="1984" w:type="dxa"/>
          </w:tcPr>
          <w:p w:rsidR="006A7A3F" w:rsidRPr="00707776" w:rsidRDefault="00BC7372">
            <w:pPr>
              <w:pStyle w:val="TableParagraph"/>
              <w:numPr>
                <w:ilvl w:val="0"/>
                <w:numId w:val="403"/>
              </w:numPr>
              <w:tabs>
                <w:tab w:val="left" w:pos="306"/>
              </w:tabs>
              <w:spacing w:before="49"/>
              <w:ind w:hanging="218"/>
              <w:rPr>
                <w:sz w:val="16"/>
                <w:szCs w:val="16"/>
              </w:rPr>
            </w:pPr>
            <w:r w:rsidRPr="00707776">
              <w:rPr>
                <w:color w:val="231F20"/>
                <w:sz w:val="16"/>
                <w:szCs w:val="16"/>
              </w:rPr>
              <w:t>n/a</w:t>
            </w:r>
          </w:p>
        </w:tc>
        <w:tc>
          <w:tcPr>
            <w:tcW w:w="1984" w:type="dxa"/>
          </w:tcPr>
          <w:p w:rsidR="006A7A3F" w:rsidRPr="00707776" w:rsidRDefault="00BC7372">
            <w:pPr>
              <w:pStyle w:val="TableParagraph"/>
              <w:numPr>
                <w:ilvl w:val="0"/>
                <w:numId w:val="402"/>
              </w:numPr>
              <w:tabs>
                <w:tab w:val="left" w:pos="306"/>
              </w:tabs>
              <w:spacing w:before="49"/>
              <w:ind w:hanging="218"/>
              <w:rPr>
                <w:sz w:val="16"/>
                <w:szCs w:val="16"/>
              </w:rPr>
            </w:pPr>
            <w:r w:rsidRPr="00707776">
              <w:rPr>
                <w:color w:val="231F20"/>
                <w:sz w:val="16"/>
                <w:szCs w:val="16"/>
              </w:rPr>
              <w:t>n/a</w:t>
            </w:r>
          </w:p>
        </w:tc>
        <w:tc>
          <w:tcPr>
            <w:tcW w:w="1984" w:type="dxa"/>
          </w:tcPr>
          <w:p w:rsidR="006A7A3F" w:rsidRPr="00707776" w:rsidRDefault="00BC7372">
            <w:pPr>
              <w:pStyle w:val="TableParagraph"/>
              <w:numPr>
                <w:ilvl w:val="0"/>
                <w:numId w:val="401"/>
              </w:numPr>
              <w:tabs>
                <w:tab w:val="left" w:pos="306"/>
              </w:tabs>
              <w:spacing w:before="49" w:line="254" w:lineRule="auto"/>
              <w:ind w:right="86"/>
              <w:rPr>
                <w:sz w:val="16"/>
                <w:szCs w:val="16"/>
              </w:rPr>
            </w:pPr>
            <w:r w:rsidRPr="00707776">
              <w:rPr>
                <w:color w:val="231F20"/>
                <w:sz w:val="16"/>
                <w:szCs w:val="16"/>
              </w:rPr>
              <w:t>Gunbower Creek autumn/winter</w:t>
            </w:r>
            <w:r w:rsidRPr="00707776">
              <w:rPr>
                <w:color w:val="231F20"/>
                <w:spacing w:val="-11"/>
                <w:sz w:val="16"/>
                <w:szCs w:val="16"/>
              </w:rPr>
              <w:t xml:space="preserve"> </w:t>
            </w:r>
            <w:r w:rsidRPr="00707776">
              <w:rPr>
                <w:color w:val="231F20"/>
                <w:sz w:val="16"/>
                <w:szCs w:val="16"/>
              </w:rPr>
              <w:t>fresh</w:t>
            </w:r>
          </w:p>
        </w:tc>
      </w:tr>
      <w:tr w:rsidR="006A7A3F">
        <w:trPr>
          <w:trHeight w:val="886"/>
        </w:trPr>
        <w:tc>
          <w:tcPr>
            <w:tcW w:w="1701" w:type="dxa"/>
          </w:tcPr>
          <w:p w:rsidR="006A7A3F" w:rsidRDefault="00BC7372">
            <w:pPr>
              <w:pStyle w:val="TableParagraph"/>
              <w:spacing w:before="53" w:line="252" w:lineRule="auto"/>
              <w:ind w:left="85" w:right="145"/>
              <w:rPr>
                <w:sz w:val="9"/>
              </w:rPr>
            </w:pPr>
            <w:r>
              <w:rPr>
                <w:color w:val="231F20"/>
                <w:sz w:val="16"/>
              </w:rPr>
              <w:t>Possible volume of environmental water required to achieve objectives</w:t>
            </w:r>
            <w:r>
              <w:rPr>
                <w:color w:val="231F20"/>
                <w:position w:val="5"/>
                <w:sz w:val="9"/>
              </w:rPr>
              <w:t>2,3</w:t>
            </w:r>
          </w:p>
        </w:tc>
        <w:tc>
          <w:tcPr>
            <w:tcW w:w="1984" w:type="dxa"/>
          </w:tcPr>
          <w:p w:rsidR="006A7A3F" w:rsidRPr="00707776" w:rsidRDefault="00BC7372">
            <w:pPr>
              <w:pStyle w:val="TableParagraph"/>
              <w:numPr>
                <w:ilvl w:val="0"/>
                <w:numId w:val="400"/>
              </w:numPr>
              <w:tabs>
                <w:tab w:val="left" w:pos="305"/>
              </w:tabs>
              <w:spacing w:before="49"/>
              <w:rPr>
                <w:sz w:val="16"/>
                <w:szCs w:val="16"/>
              </w:rPr>
            </w:pPr>
            <w:r w:rsidRPr="00707776">
              <w:rPr>
                <w:color w:val="231F20"/>
                <w:sz w:val="16"/>
                <w:szCs w:val="16"/>
              </w:rPr>
              <w:t>21,500 ML (tier</w:t>
            </w:r>
            <w:r w:rsidRPr="00707776">
              <w:rPr>
                <w:color w:val="231F20"/>
                <w:spacing w:val="-11"/>
                <w:sz w:val="16"/>
                <w:szCs w:val="16"/>
              </w:rPr>
              <w:t xml:space="preserve"> </w:t>
            </w:r>
            <w:r w:rsidRPr="00707776">
              <w:rPr>
                <w:color w:val="231F20"/>
                <w:sz w:val="16"/>
                <w:szCs w:val="16"/>
              </w:rPr>
              <w:t>1)</w:t>
            </w:r>
          </w:p>
          <w:p w:rsidR="006A7A3F" w:rsidRPr="00707776" w:rsidRDefault="00BC7372">
            <w:pPr>
              <w:pStyle w:val="TableParagraph"/>
              <w:numPr>
                <w:ilvl w:val="0"/>
                <w:numId w:val="400"/>
              </w:numPr>
              <w:tabs>
                <w:tab w:val="left" w:pos="305"/>
              </w:tabs>
              <w:spacing w:before="69"/>
              <w:rPr>
                <w:sz w:val="16"/>
                <w:szCs w:val="16"/>
              </w:rPr>
            </w:pPr>
            <w:r w:rsidRPr="00707776">
              <w:rPr>
                <w:color w:val="231F20"/>
                <w:sz w:val="16"/>
                <w:szCs w:val="16"/>
              </w:rPr>
              <w:t>7,500 ML (tier</w:t>
            </w:r>
            <w:r w:rsidRPr="00707776">
              <w:rPr>
                <w:color w:val="231F20"/>
                <w:spacing w:val="-10"/>
                <w:sz w:val="16"/>
                <w:szCs w:val="16"/>
              </w:rPr>
              <w:t xml:space="preserve"> </w:t>
            </w:r>
            <w:r w:rsidRPr="00707776">
              <w:rPr>
                <w:color w:val="231F20"/>
                <w:sz w:val="16"/>
                <w:szCs w:val="16"/>
              </w:rPr>
              <w:t>2)</w:t>
            </w:r>
          </w:p>
        </w:tc>
        <w:tc>
          <w:tcPr>
            <w:tcW w:w="1984" w:type="dxa"/>
          </w:tcPr>
          <w:p w:rsidR="006A7A3F" w:rsidRPr="00707776" w:rsidRDefault="00BC7372">
            <w:pPr>
              <w:pStyle w:val="TableParagraph"/>
              <w:numPr>
                <w:ilvl w:val="0"/>
                <w:numId w:val="399"/>
              </w:numPr>
              <w:tabs>
                <w:tab w:val="left" w:pos="306"/>
              </w:tabs>
              <w:spacing w:before="49"/>
              <w:ind w:hanging="218"/>
              <w:rPr>
                <w:sz w:val="16"/>
                <w:szCs w:val="16"/>
              </w:rPr>
            </w:pPr>
            <w:r w:rsidRPr="00707776">
              <w:rPr>
                <w:color w:val="231F20"/>
                <w:sz w:val="16"/>
                <w:szCs w:val="16"/>
              </w:rPr>
              <w:t>50,000 ML (tier</w:t>
            </w:r>
            <w:r w:rsidRPr="00707776">
              <w:rPr>
                <w:color w:val="231F20"/>
                <w:spacing w:val="-11"/>
                <w:sz w:val="16"/>
                <w:szCs w:val="16"/>
              </w:rPr>
              <w:t xml:space="preserve"> </w:t>
            </w:r>
            <w:r w:rsidRPr="00707776">
              <w:rPr>
                <w:color w:val="231F20"/>
                <w:sz w:val="16"/>
                <w:szCs w:val="16"/>
              </w:rPr>
              <w:t>1)</w:t>
            </w:r>
          </w:p>
        </w:tc>
        <w:tc>
          <w:tcPr>
            <w:tcW w:w="1984" w:type="dxa"/>
          </w:tcPr>
          <w:p w:rsidR="006A7A3F" w:rsidRPr="00707776" w:rsidRDefault="00BC7372">
            <w:pPr>
              <w:pStyle w:val="TableParagraph"/>
              <w:numPr>
                <w:ilvl w:val="0"/>
                <w:numId w:val="398"/>
              </w:numPr>
              <w:tabs>
                <w:tab w:val="left" w:pos="306"/>
              </w:tabs>
              <w:spacing w:before="49"/>
              <w:ind w:hanging="218"/>
              <w:rPr>
                <w:sz w:val="16"/>
                <w:szCs w:val="16"/>
              </w:rPr>
            </w:pPr>
            <w:r w:rsidRPr="00707776">
              <w:rPr>
                <w:color w:val="231F20"/>
                <w:sz w:val="16"/>
                <w:szCs w:val="16"/>
              </w:rPr>
              <w:t>51,500 ML (tier</w:t>
            </w:r>
            <w:r w:rsidRPr="00707776">
              <w:rPr>
                <w:color w:val="231F20"/>
                <w:spacing w:val="-11"/>
                <w:sz w:val="16"/>
                <w:szCs w:val="16"/>
              </w:rPr>
              <w:t xml:space="preserve"> </w:t>
            </w:r>
            <w:r w:rsidRPr="00707776">
              <w:rPr>
                <w:color w:val="231F20"/>
                <w:sz w:val="16"/>
                <w:szCs w:val="16"/>
              </w:rPr>
              <w:t>1)</w:t>
            </w:r>
          </w:p>
        </w:tc>
        <w:tc>
          <w:tcPr>
            <w:tcW w:w="1984" w:type="dxa"/>
          </w:tcPr>
          <w:p w:rsidR="006A7A3F" w:rsidRPr="00707776" w:rsidRDefault="00BC7372">
            <w:pPr>
              <w:pStyle w:val="TableParagraph"/>
              <w:numPr>
                <w:ilvl w:val="0"/>
                <w:numId w:val="397"/>
              </w:numPr>
              <w:tabs>
                <w:tab w:val="left" w:pos="306"/>
              </w:tabs>
              <w:spacing w:before="49"/>
              <w:rPr>
                <w:sz w:val="16"/>
                <w:szCs w:val="16"/>
              </w:rPr>
            </w:pPr>
            <w:r w:rsidRPr="00707776">
              <w:rPr>
                <w:color w:val="231F20"/>
                <w:sz w:val="16"/>
                <w:szCs w:val="16"/>
              </w:rPr>
              <w:t>36,500 ML (tier</w:t>
            </w:r>
            <w:r w:rsidRPr="00707776">
              <w:rPr>
                <w:color w:val="231F20"/>
                <w:spacing w:val="-15"/>
                <w:sz w:val="16"/>
                <w:szCs w:val="16"/>
              </w:rPr>
              <w:t xml:space="preserve"> </w:t>
            </w:r>
            <w:r w:rsidRPr="00707776">
              <w:rPr>
                <w:color w:val="231F20"/>
                <w:sz w:val="16"/>
                <w:szCs w:val="16"/>
              </w:rPr>
              <w:t>1)</w:t>
            </w:r>
          </w:p>
          <w:p w:rsidR="006A7A3F" w:rsidRPr="00707776" w:rsidRDefault="00BC7372">
            <w:pPr>
              <w:pStyle w:val="TableParagraph"/>
              <w:numPr>
                <w:ilvl w:val="0"/>
                <w:numId w:val="397"/>
              </w:numPr>
              <w:tabs>
                <w:tab w:val="left" w:pos="306"/>
              </w:tabs>
              <w:spacing w:before="69"/>
              <w:rPr>
                <w:sz w:val="16"/>
                <w:szCs w:val="16"/>
              </w:rPr>
            </w:pPr>
            <w:r w:rsidRPr="00707776">
              <w:rPr>
                <w:color w:val="231F20"/>
                <w:sz w:val="16"/>
                <w:szCs w:val="16"/>
              </w:rPr>
              <w:t>31,000 ML (tier</w:t>
            </w:r>
            <w:r w:rsidRPr="00707776">
              <w:rPr>
                <w:color w:val="231F20"/>
                <w:spacing w:val="-15"/>
                <w:sz w:val="16"/>
                <w:szCs w:val="16"/>
              </w:rPr>
              <w:t xml:space="preserve"> </w:t>
            </w:r>
            <w:r w:rsidRPr="00707776">
              <w:rPr>
                <w:color w:val="231F20"/>
                <w:sz w:val="16"/>
                <w:szCs w:val="16"/>
              </w:rPr>
              <w:t>2)</w:t>
            </w:r>
          </w:p>
        </w:tc>
      </w:tr>
      <w:tr w:rsidR="006A7A3F">
        <w:trPr>
          <w:trHeight w:val="504"/>
        </w:trPr>
        <w:tc>
          <w:tcPr>
            <w:tcW w:w="1701" w:type="dxa"/>
          </w:tcPr>
          <w:p w:rsidR="006A7A3F" w:rsidRDefault="00BC7372">
            <w:pPr>
              <w:pStyle w:val="TableParagraph"/>
              <w:spacing w:before="53" w:line="261" w:lineRule="auto"/>
              <w:ind w:left="85" w:right="376"/>
              <w:rPr>
                <w:sz w:val="16"/>
              </w:rPr>
            </w:pPr>
            <w:r>
              <w:rPr>
                <w:color w:val="231F20"/>
                <w:sz w:val="16"/>
              </w:rPr>
              <w:t>Priority carryover requirements</w:t>
            </w:r>
          </w:p>
        </w:tc>
        <w:tc>
          <w:tcPr>
            <w:tcW w:w="7936" w:type="dxa"/>
            <w:gridSpan w:val="4"/>
          </w:tcPr>
          <w:p w:rsidR="006A7A3F" w:rsidRDefault="00BC7372" w:rsidP="00707776">
            <w:pPr>
              <w:pStyle w:val="TableParagraph"/>
              <w:numPr>
                <w:ilvl w:val="0"/>
                <w:numId w:val="396"/>
              </w:numPr>
              <w:tabs>
                <w:tab w:val="left" w:pos="284"/>
              </w:tabs>
              <w:spacing w:before="49"/>
              <w:ind w:hanging="3063"/>
              <w:jc w:val="center"/>
              <w:rPr>
                <w:sz w:val="10"/>
              </w:rPr>
            </w:pPr>
            <w:r w:rsidRPr="00707776">
              <w:rPr>
                <w:color w:val="231F20"/>
                <w:sz w:val="16"/>
                <w:szCs w:val="16"/>
              </w:rPr>
              <w:t>21,000 ML to 56,000</w:t>
            </w:r>
            <w:r>
              <w:rPr>
                <w:color w:val="231F20"/>
                <w:spacing w:val="-10"/>
                <w:sz w:val="18"/>
              </w:rPr>
              <w:t xml:space="preserve"> </w:t>
            </w:r>
            <w:r w:rsidRPr="00707776">
              <w:rPr>
                <w:color w:val="231F20"/>
                <w:sz w:val="16"/>
                <w:szCs w:val="16"/>
              </w:rPr>
              <w:t>ML</w:t>
            </w:r>
            <w:r>
              <w:rPr>
                <w:color w:val="231F20"/>
                <w:position w:val="6"/>
                <w:sz w:val="10"/>
              </w:rPr>
              <w:t>4</w:t>
            </w:r>
          </w:p>
        </w:tc>
      </w:tr>
    </w:tbl>
    <w:p w:rsidR="006A7A3F" w:rsidRDefault="00BC7372">
      <w:pPr>
        <w:spacing w:before="111"/>
        <w:ind w:left="323" w:right="100" w:hanging="114"/>
        <w:rPr>
          <w:sz w:val="14"/>
        </w:rPr>
      </w:pPr>
      <w:r>
        <w:rPr>
          <w:color w:val="231F20"/>
          <w:position w:val="5"/>
          <w:sz w:val="8"/>
        </w:rPr>
        <w:t xml:space="preserve">1 </w:t>
      </w:r>
      <w:r>
        <w:rPr>
          <w:color w:val="231F20"/>
          <w:sz w:val="14"/>
        </w:rPr>
        <w:t>Tier 1 potential environmental watering at Gunbower Creek and Gunbower Forest is not classified as tier 1a or 1b because the water available for use is shared across various systems and it is not possible to reliably determine the supply specifically available for Gunbower Creek and Gunbower Forest.</w:t>
      </w:r>
    </w:p>
    <w:p w:rsidR="006A7A3F" w:rsidRDefault="00BC7372">
      <w:pPr>
        <w:spacing w:before="55"/>
        <w:ind w:left="210"/>
        <w:rPr>
          <w:sz w:val="14"/>
        </w:rPr>
      </w:pPr>
      <w:r>
        <w:rPr>
          <w:color w:val="231F20"/>
          <w:position w:val="5"/>
          <w:sz w:val="8"/>
        </w:rPr>
        <w:t xml:space="preserve">2 </w:t>
      </w:r>
      <w:r>
        <w:rPr>
          <w:color w:val="231F20"/>
          <w:sz w:val="14"/>
        </w:rPr>
        <w:t>Environmental water requirements for tier 2 actions are additional to tier 1 requirements.</w:t>
      </w:r>
    </w:p>
    <w:p w:rsidR="006A7A3F" w:rsidRDefault="00BC7372">
      <w:pPr>
        <w:spacing w:before="55"/>
        <w:ind w:left="323" w:right="251" w:hanging="114"/>
        <w:rPr>
          <w:sz w:val="14"/>
        </w:rPr>
      </w:pPr>
      <w:r>
        <w:rPr>
          <w:color w:val="231F20"/>
          <w:position w:val="5"/>
          <w:sz w:val="8"/>
        </w:rPr>
        <w:t xml:space="preserve">3 </w:t>
      </w:r>
      <w:r>
        <w:rPr>
          <w:color w:val="231F20"/>
          <w:sz w:val="14"/>
        </w:rPr>
        <w:t>These estimates take account of the use of operational water en route to achieve watering action targets (except for discrete wetland watering actions), with water for the environment being required to underwrite the associated losses in Gunbower Creek and Gunbower Forest.</w:t>
      </w:r>
    </w:p>
    <w:p w:rsidR="006A7A3F" w:rsidRDefault="00BC7372">
      <w:pPr>
        <w:spacing w:before="55" w:line="252" w:lineRule="auto"/>
        <w:ind w:left="323" w:right="457" w:hanging="114"/>
        <w:rPr>
          <w:color w:val="231F20"/>
          <w:sz w:val="14"/>
        </w:rPr>
      </w:pPr>
      <w:r>
        <w:rPr>
          <w:color w:val="231F20"/>
          <w:position w:val="5"/>
          <w:sz w:val="8"/>
        </w:rPr>
        <w:t xml:space="preserve">4 </w:t>
      </w:r>
      <w:r>
        <w:rPr>
          <w:color w:val="231F20"/>
          <w:sz w:val="14"/>
        </w:rPr>
        <w:t>Carryover volumes take into account that wetting of Gunbower Forest floodplain, floodrunners and wetlands has started in autumn/winter 2021 and will require sufficient volumes of carryover to complete the watering action in winter/spring 2021. If no floodplain watering action commences in autumn/winter 2021, this volume is subject to change.</w:t>
      </w:r>
    </w:p>
    <w:p w:rsidR="00707776" w:rsidRDefault="00707776" w:rsidP="00707776">
      <w:pPr>
        <w:spacing w:before="55" w:after="240" w:line="252" w:lineRule="auto"/>
        <w:ind w:left="323" w:right="459" w:hanging="113"/>
        <w:rPr>
          <w:sz w:val="14"/>
        </w:rPr>
      </w:pPr>
    </w:p>
    <w:p w:rsidR="006A7A3F" w:rsidRPr="00707776" w:rsidRDefault="00BC7372">
      <w:pPr>
        <w:pStyle w:val="Heading5"/>
        <w:numPr>
          <w:ilvl w:val="2"/>
          <w:numId w:val="577"/>
        </w:numPr>
        <w:tabs>
          <w:tab w:val="left" w:pos="811"/>
        </w:tabs>
        <w:spacing w:before="142"/>
        <w:rPr>
          <w:rFonts w:ascii="Arial" w:hAnsi="Arial" w:cs="Arial"/>
          <w:b/>
          <w:bCs/>
          <w:color w:val="231F20"/>
        </w:rPr>
      </w:pPr>
      <w:r w:rsidRPr="00707776">
        <w:rPr>
          <w:rFonts w:ascii="Arial" w:hAnsi="Arial" w:cs="Arial"/>
          <w:b/>
          <w:bCs/>
          <w:color w:val="231F20"/>
        </w:rPr>
        <w:t>Central Murray wetlands</w:t>
      </w:r>
    </w:p>
    <w:p w:rsidR="006A7A3F" w:rsidRDefault="00BC7372">
      <w:pPr>
        <w:spacing w:before="178"/>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222"/>
      </w:pPr>
      <w:r>
        <w:rPr>
          <w:color w:val="231F20"/>
        </w:rPr>
        <w:t>The central Murray wetlands are located on the lower Loddon River and Murray River floodplains. The wetland system includes Round Lake, Lake Cullen, Lake Elizabeth, Lake Murphy, Johnson Swamp, Hird Swamp, Richardson’s Lagoon, McDonalds Swamp, Third Reedy Lake, the Wirra-Lo wetland complex and Guttrum and Benwell state forests.</w:t>
      </w:r>
    </w:p>
    <w:p w:rsidR="006A7A3F" w:rsidRDefault="006A7A3F">
      <w:pPr>
        <w:pStyle w:val="BodyText"/>
        <w:spacing w:before="7"/>
        <w:ind w:left="0"/>
        <w:rPr>
          <w:sz w:val="21"/>
        </w:rPr>
      </w:pPr>
    </w:p>
    <w:p w:rsidR="006A7A3F" w:rsidRDefault="00BC7372">
      <w:pPr>
        <w:pStyle w:val="BodyText"/>
        <w:spacing w:before="0" w:line="249" w:lineRule="auto"/>
        <w:ind w:right="241"/>
      </w:pPr>
      <w:r>
        <w:rPr>
          <w:color w:val="231F20"/>
        </w:rPr>
        <w:t>The Central Murray wetlands are almost wholly contained within the Torrumbarry Irrigation Area and are all wetlands of regional or international significance. The area has experienced dramatic changes since European settlement with the construction of levees, roads and channels. Most of the wetlands are now cut off from natural flow paths and are rarely filled by natural floods. They rely on water for the environment to maintain their ecological character and health.</w:t>
      </w:r>
    </w:p>
    <w:p w:rsidR="006A7A3F" w:rsidRDefault="00BC7372" w:rsidP="00F32821">
      <w:pPr>
        <w:pStyle w:val="BodyText"/>
        <w:spacing w:before="175" w:line="249" w:lineRule="auto"/>
        <w:ind w:right="791"/>
        <w:jc w:val="both"/>
      </w:pPr>
      <w:r>
        <w:rPr>
          <w:color w:val="231F20"/>
          <w:spacing w:val="-8"/>
        </w:rPr>
        <w:t xml:space="preserve">Ten </w:t>
      </w:r>
      <w:r>
        <w:rPr>
          <w:color w:val="231F20"/>
        </w:rPr>
        <w:t>of the central Murray wetlands can receive water for the environment from permanent infrastructure: Lake</w:t>
      </w:r>
      <w:r>
        <w:rPr>
          <w:color w:val="231F20"/>
          <w:spacing w:val="-4"/>
        </w:rPr>
        <w:t xml:space="preserve"> </w:t>
      </w:r>
      <w:r>
        <w:rPr>
          <w:color w:val="231F20"/>
        </w:rPr>
        <w:t>Cullen,</w:t>
      </w:r>
      <w:r>
        <w:rPr>
          <w:color w:val="231F20"/>
          <w:spacing w:val="-4"/>
        </w:rPr>
        <w:t xml:space="preserve"> </w:t>
      </w:r>
      <w:r>
        <w:rPr>
          <w:color w:val="231F20"/>
        </w:rPr>
        <w:t>Hird</w:t>
      </w:r>
      <w:r>
        <w:rPr>
          <w:color w:val="231F20"/>
          <w:spacing w:val="-4"/>
        </w:rPr>
        <w:t xml:space="preserve"> </w:t>
      </w:r>
      <w:r>
        <w:rPr>
          <w:color w:val="231F20"/>
        </w:rPr>
        <w:t>Swamp,</w:t>
      </w:r>
      <w:r>
        <w:rPr>
          <w:color w:val="231F20"/>
          <w:spacing w:val="-3"/>
        </w:rPr>
        <w:t xml:space="preserve"> </w:t>
      </w:r>
      <w:r>
        <w:rPr>
          <w:color w:val="231F20"/>
        </w:rPr>
        <w:t>Johnson</w:t>
      </w:r>
      <w:r>
        <w:rPr>
          <w:color w:val="231F20"/>
          <w:spacing w:val="-3"/>
        </w:rPr>
        <w:t xml:space="preserve"> </w:t>
      </w:r>
      <w:r>
        <w:rPr>
          <w:color w:val="231F20"/>
        </w:rPr>
        <w:t>Swamp,</w:t>
      </w:r>
      <w:r>
        <w:rPr>
          <w:color w:val="231F20"/>
          <w:spacing w:val="-3"/>
        </w:rPr>
        <w:t xml:space="preserve"> </w:t>
      </w:r>
      <w:r>
        <w:rPr>
          <w:color w:val="231F20"/>
        </w:rPr>
        <w:t>Round</w:t>
      </w:r>
      <w:r>
        <w:rPr>
          <w:color w:val="231F20"/>
          <w:spacing w:val="-4"/>
        </w:rPr>
        <w:t xml:space="preserve"> </w:t>
      </w:r>
      <w:r>
        <w:rPr>
          <w:color w:val="231F20"/>
        </w:rPr>
        <w:t>Lake,</w:t>
      </w:r>
      <w:r>
        <w:rPr>
          <w:color w:val="231F20"/>
          <w:spacing w:val="-4"/>
        </w:rPr>
        <w:t xml:space="preserve"> </w:t>
      </w:r>
      <w:r>
        <w:rPr>
          <w:color w:val="231F20"/>
        </w:rPr>
        <w:t>McDonalds</w:t>
      </w:r>
      <w:r>
        <w:rPr>
          <w:color w:val="231F20"/>
          <w:spacing w:val="-3"/>
        </w:rPr>
        <w:t xml:space="preserve"> </w:t>
      </w:r>
      <w:r>
        <w:rPr>
          <w:color w:val="231F20"/>
        </w:rPr>
        <w:t>Swamp,</w:t>
      </w:r>
      <w:r>
        <w:rPr>
          <w:color w:val="231F20"/>
          <w:spacing w:val="-3"/>
        </w:rPr>
        <w:t xml:space="preserve"> </w:t>
      </w:r>
      <w:r>
        <w:rPr>
          <w:color w:val="231F20"/>
        </w:rPr>
        <w:t>Lake</w:t>
      </w:r>
      <w:r>
        <w:rPr>
          <w:color w:val="231F20"/>
          <w:spacing w:val="-4"/>
        </w:rPr>
        <w:t xml:space="preserve"> </w:t>
      </w:r>
      <w:r>
        <w:rPr>
          <w:color w:val="231F20"/>
        </w:rPr>
        <w:t>Elizabeth,</w:t>
      </w:r>
      <w:r>
        <w:rPr>
          <w:color w:val="231F20"/>
          <w:spacing w:val="-2"/>
        </w:rPr>
        <w:t xml:space="preserve"> </w:t>
      </w:r>
      <w:r>
        <w:rPr>
          <w:color w:val="231F20"/>
        </w:rPr>
        <w:t>Lake</w:t>
      </w:r>
      <w:r>
        <w:rPr>
          <w:color w:val="231F20"/>
          <w:spacing w:val="-4"/>
        </w:rPr>
        <w:t xml:space="preserve"> </w:t>
      </w:r>
      <w:r>
        <w:rPr>
          <w:color w:val="231F20"/>
        </w:rPr>
        <w:t>Murphy,</w:t>
      </w:r>
      <w:r w:rsidR="00F32821">
        <w:t xml:space="preserve"> </w:t>
      </w:r>
      <w:r>
        <w:rPr>
          <w:color w:val="231F20"/>
        </w:rPr>
        <w:t xml:space="preserve">Richardson’s Lagoon, Third Reedy Lake and the Wirra-Lo wetland complex. </w:t>
      </w:r>
      <w:r>
        <w:rPr>
          <w:color w:val="231F20"/>
          <w:spacing w:val="-4"/>
        </w:rPr>
        <w:t xml:space="preserve">Temporary </w:t>
      </w:r>
      <w:r>
        <w:rPr>
          <w:color w:val="231F20"/>
        </w:rPr>
        <w:t>pumps may be used to deliver water for the environment from the Murray River to some semi-permanent wetlands in the Guttrum and Benwell forests.</w:t>
      </w:r>
    </w:p>
    <w:p w:rsidR="00707776" w:rsidRDefault="00707776">
      <w:pPr>
        <w:rPr>
          <w:rFonts w:ascii="Helvetica Neue LT Std 75"/>
          <w:b/>
          <w:color w:val="231F20"/>
          <w:sz w:val="19"/>
        </w:rPr>
      </w:pPr>
      <w:r>
        <w:rPr>
          <w:rFonts w:ascii="Helvetica Neue LT Std 75"/>
          <w:b/>
          <w:color w:val="231F20"/>
          <w:sz w:val="19"/>
        </w:rPr>
        <w:br w:type="page"/>
      </w:r>
    </w:p>
    <w:p w:rsidR="006A7A3F" w:rsidRDefault="00BC7372">
      <w:pPr>
        <w:spacing w:before="182"/>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172"/>
      </w:pPr>
      <w:r>
        <w:rPr>
          <w:color w:val="231F20"/>
        </w:rPr>
        <w:t>The wetlands in the Central Murray system support numerous listed threatened species ranging from vulnerable to critically endangered including the Australasian bittern, Murray hardyhead, Australian painted snipe, growling grass frog and the southern purple spotted gudgeon, which was presumed extinct in Victoria until it was found at Third Reedy Lake in spring 2019. When the wetlands receive environmental water, they can attract prolific birdlife and provide feeding and breeding habitat for many threatened and endangered bird species (including the eastern great egret and white-bellied sea eagle) listed under legislation and international agreements. Lake Cullen, Hird Swamp and Johnson Swamp are internationally recognised under the Ramsar Convention, while the other wetlands in the Central Murray system have bioregional significance.</w:t>
      </w:r>
    </w:p>
    <w:p w:rsidR="006A7A3F" w:rsidRDefault="00BC7372" w:rsidP="00707776">
      <w:pPr>
        <w:spacing w:before="185" w:after="120"/>
        <w:ind w:left="210"/>
        <w:rPr>
          <w:rFonts w:ascii="Helvetica Neue LT Std 75"/>
          <w:b/>
          <w:sz w:val="19"/>
        </w:rPr>
      </w:pPr>
      <w:r>
        <w:rPr>
          <w:rFonts w:ascii="Helvetica Neue LT Std 75"/>
          <w:b/>
          <w:color w:val="231F20"/>
          <w:sz w:val="19"/>
        </w:rPr>
        <w:t>Environmental watering objectives in the central Murray wetlands</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760"/>
        </w:trPr>
        <w:tc>
          <w:tcPr>
            <w:tcW w:w="789" w:type="dxa"/>
            <w:tcBorders>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5" w:after="1"/>
              <w:ind w:left="0"/>
              <w:rPr>
                <w:rFonts w:ascii="Helvetica Neue LT Std 75"/>
                <w:b/>
                <w:sz w:val="25"/>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775"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29" w:line="261" w:lineRule="auto"/>
              <w:ind w:left="118" w:right="181"/>
              <w:rPr>
                <w:sz w:val="16"/>
              </w:rPr>
            </w:pPr>
            <w:r>
              <w:rPr>
                <w:color w:val="231F20"/>
                <w:sz w:val="16"/>
              </w:rPr>
              <w:t>Maintain and improve populations of listed threatened species including critically endangered Murray hardyhead and southern purple spotted gudgeon</w:t>
            </w:r>
          </w:p>
          <w:p w:rsidR="006A7A3F" w:rsidRDefault="00BC7372">
            <w:pPr>
              <w:pStyle w:val="TableParagraph"/>
              <w:spacing w:before="111"/>
              <w:ind w:left="118"/>
              <w:rPr>
                <w:sz w:val="16"/>
              </w:rPr>
            </w:pPr>
            <w:r>
              <w:rPr>
                <w:color w:val="231F20"/>
                <w:sz w:val="16"/>
              </w:rPr>
              <w:t>Maintain or increase populations of common</w:t>
            </w:r>
          </w:p>
          <w:p w:rsidR="006A7A3F" w:rsidRDefault="00BC7372">
            <w:pPr>
              <w:pStyle w:val="TableParagraph"/>
              <w:spacing w:before="16" w:line="261" w:lineRule="auto"/>
              <w:ind w:left="118" w:right="65"/>
              <w:rPr>
                <w:sz w:val="16"/>
              </w:rPr>
            </w:pPr>
            <w:r>
              <w:rPr>
                <w:color w:val="231F20"/>
                <w:sz w:val="16"/>
              </w:rPr>
              <w:t>small-bodied native fish (such as carp gudgeon and flatheaded gudgeon)</w:t>
            </w:r>
          </w:p>
        </w:tc>
      </w:tr>
      <w:tr w:rsidR="006A7A3F">
        <w:trPr>
          <w:trHeight w:val="135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4"/>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77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Pr>
                <w:sz w:val="16"/>
              </w:rPr>
            </w:pPr>
            <w:r>
              <w:rPr>
                <w:color w:val="231F20"/>
                <w:sz w:val="16"/>
              </w:rPr>
              <w:t>Maintain and improve populations of</w:t>
            </w:r>
            <w:r>
              <w:rPr>
                <w:color w:val="231F20"/>
                <w:spacing w:val="-30"/>
                <w:sz w:val="16"/>
              </w:rPr>
              <w:t xml:space="preserve"> </w:t>
            </w:r>
            <w:r>
              <w:rPr>
                <w:color w:val="231F20"/>
                <w:sz w:val="16"/>
              </w:rPr>
              <w:t>endangered growling grass</w:t>
            </w:r>
            <w:r>
              <w:rPr>
                <w:color w:val="231F20"/>
                <w:spacing w:val="-3"/>
                <w:sz w:val="16"/>
              </w:rPr>
              <w:t xml:space="preserve"> </w:t>
            </w:r>
            <w:r>
              <w:rPr>
                <w:color w:val="231F20"/>
                <w:sz w:val="16"/>
              </w:rPr>
              <w:t>frog</w:t>
            </w:r>
          </w:p>
          <w:p w:rsidR="006A7A3F" w:rsidRDefault="00BC7372">
            <w:pPr>
              <w:pStyle w:val="TableParagraph"/>
              <w:spacing w:before="112" w:line="261" w:lineRule="auto"/>
              <w:ind w:left="118" w:right="174"/>
              <w:rPr>
                <w:sz w:val="16"/>
              </w:rPr>
            </w:pPr>
            <w:r>
              <w:rPr>
                <w:color w:val="231F20"/>
                <w:sz w:val="16"/>
              </w:rPr>
              <w:t>Maintain populations of common native frogs (such as barking marsh frog, Peron’s tree frog</w:t>
            </w:r>
            <w:r>
              <w:rPr>
                <w:color w:val="231F20"/>
                <w:spacing w:val="-15"/>
                <w:sz w:val="16"/>
              </w:rPr>
              <w:t xml:space="preserve"> </w:t>
            </w:r>
            <w:r>
              <w:rPr>
                <w:color w:val="231F20"/>
                <w:sz w:val="16"/>
              </w:rPr>
              <w:t>and spotted grass</w:t>
            </w:r>
            <w:r>
              <w:rPr>
                <w:color w:val="231F20"/>
                <w:spacing w:val="-2"/>
                <w:sz w:val="16"/>
              </w:rPr>
              <w:t xml:space="preserve"> </w:t>
            </w:r>
            <w:r>
              <w:rPr>
                <w:color w:val="231F20"/>
                <w:sz w:val="16"/>
              </w:rPr>
              <w:t>frog)</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12"/>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779"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48"/>
              <w:rPr>
                <w:sz w:val="16"/>
              </w:rPr>
            </w:pPr>
            <w:r>
              <w:rPr>
                <w:color w:val="231F20"/>
                <w:sz w:val="16"/>
              </w:rPr>
              <w:t>Maintain populations of native turtle species (such as Murray River turtle and the common long necked turtle)</w:t>
            </w:r>
          </w:p>
        </w:tc>
      </w:tr>
      <w:tr w:rsidR="006A7A3F">
        <w:trPr>
          <w:trHeight w:val="289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ind w:left="0"/>
              <w:rPr>
                <w:rFonts w:ascii="Helvetica Neue LT Std 75"/>
                <w:b/>
                <w:sz w:val="20"/>
              </w:rPr>
            </w:pPr>
          </w:p>
          <w:p w:rsidR="006A7A3F" w:rsidRDefault="006A7A3F">
            <w:pPr>
              <w:pStyle w:val="TableParagraph"/>
              <w:ind w:left="0"/>
              <w:rPr>
                <w:rFonts w:ascii="Helvetica Neue LT Std 75"/>
                <w:b/>
                <w:sz w:val="20"/>
              </w:rPr>
            </w:pPr>
          </w:p>
          <w:p w:rsidR="006A7A3F" w:rsidRDefault="006A7A3F">
            <w:pPr>
              <w:pStyle w:val="TableParagraph"/>
              <w:spacing w:before="8"/>
              <w:ind w:left="0"/>
              <w:rPr>
                <w:rFonts w:ascii="Helvetica Neue LT Std 75"/>
                <w:b/>
                <w:sz w:val="25"/>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9" cy="310896"/>
                  <wp:effectExtent l="0" t="0" r="0" b="0"/>
                  <wp:docPr id="178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21.jpeg"/>
                          <pic:cNvPicPr/>
                        </pic:nvPicPr>
                        <pic:blipFill>
                          <a:blip r:embed="rId33" cstate="print"/>
                          <a:stretch>
                            <a:fillRect/>
                          </a:stretch>
                        </pic:blipFill>
                        <pic:spPr>
                          <a:xfrm>
                            <a:off x="0" y="0"/>
                            <a:ext cx="314169"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47"/>
              <w:rPr>
                <w:sz w:val="16"/>
              </w:rPr>
            </w:pPr>
            <w:r>
              <w:rPr>
                <w:color w:val="231F20"/>
                <w:sz w:val="16"/>
              </w:rPr>
              <w:t>Restore and maintain the health of streamside trees (such as river red gum and black box)</w:t>
            </w:r>
          </w:p>
          <w:p w:rsidR="006A7A3F" w:rsidRDefault="00BC7372">
            <w:pPr>
              <w:pStyle w:val="TableParagraph"/>
              <w:spacing w:before="112" w:line="261" w:lineRule="auto"/>
              <w:ind w:left="118" w:right="75"/>
              <w:rPr>
                <w:sz w:val="16"/>
              </w:rPr>
            </w:pPr>
            <w:r>
              <w:rPr>
                <w:color w:val="231F20"/>
                <w:sz w:val="16"/>
              </w:rPr>
              <w:t>Restore and maintain mudflat vegetation communities (such as tall marsh, herblands, rushes and sedges)</w:t>
            </w:r>
          </w:p>
          <w:p w:rsidR="006A7A3F" w:rsidRDefault="00BC7372">
            <w:pPr>
              <w:pStyle w:val="TableParagraph"/>
              <w:spacing w:before="112" w:line="261" w:lineRule="auto"/>
              <w:ind w:left="118" w:right="385"/>
              <w:rPr>
                <w:sz w:val="16"/>
              </w:rPr>
            </w:pPr>
            <w:r>
              <w:rPr>
                <w:color w:val="231F20"/>
                <w:sz w:val="16"/>
              </w:rPr>
              <w:t>Restore and maintain native aquatic vegetation species (such as tassel, milfoil and pondweed)</w:t>
            </w:r>
          </w:p>
          <w:p w:rsidR="006A7A3F" w:rsidRDefault="00BC7372">
            <w:pPr>
              <w:pStyle w:val="TableParagraph"/>
              <w:spacing w:before="112" w:line="261" w:lineRule="auto"/>
              <w:ind w:left="118" w:right="367"/>
              <w:rPr>
                <w:sz w:val="16"/>
              </w:rPr>
            </w:pPr>
            <w:r>
              <w:rPr>
                <w:color w:val="231F20"/>
                <w:sz w:val="16"/>
              </w:rPr>
              <w:t>Reduce the extent and density of invasive plant species</w:t>
            </w:r>
          </w:p>
          <w:p w:rsidR="006A7A3F" w:rsidRDefault="00BC7372">
            <w:pPr>
              <w:pStyle w:val="TableParagraph"/>
              <w:spacing w:before="112" w:line="261" w:lineRule="auto"/>
              <w:ind w:left="118" w:right="368"/>
              <w:rPr>
                <w:sz w:val="16"/>
              </w:rPr>
            </w:pPr>
            <w:r>
              <w:rPr>
                <w:color w:val="231F20"/>
                <w:sz w:val="16"/>
              </w:rPr>
              <w:t>Support a mosaic of wetland plant communities across the region</w:t>
            </w:r>
          </w:p>
        </w:tc>
      </w:tr>
      <w:tr w:rsidR="006A7A3F">
        <w:trPr>
          <w:trHeight w:val="10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1"/>
              <w:ind w:left="0"/>
              <w:rPr>
                <w:rFonts w:ascii="Helvetica Neue LT Std 75"/>
                <w:b/>
                <w:sz w:val="19"/>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7" cy="310896"/>
                  <wp:effectExtent l="0" t="0" r="0" b="0"/>
                  <wp:docPr id="1783"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27.jpeg"/>
                          <pic:cNvPicPr/>
                        </pic:nvPicPr>
                        <pic:blipFill>
                          <a:blip r:embed="rId39" cstate="print"/>
                          <a:stretch>
                            <a:fillRect/>
                          </a:stretch>
                        </pic:blipFill>
                        <pic:spPr>
                          <a:xfrm>
                            <a:off x="0" y="0"/>
                            <a:ext cx="314167"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256"/>
              <w:rPr>
                <w:sz w:val="16"/>
              </w:rPr>
            </w:pPr>
            <w:r>
              <w:rPr>
                <w:color w:val="231F20"/>
                <w:sz w:val="16"/>
              </w:rPr>
              <w:t>Provide resting, feeding and breeding habitat for a variety of waterbird feeding guilds including threatened species (such as Australasian bittern, little bittern and brolga)</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3"/>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785"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10"/>
              <w:ind w:left="0"/>
              <w:rPr>
                <w:rFonts w:ascii="Helvetica Neue LT Std 75"/>
                <w:b/>
                <w:sz w:val="14"/>
              </w:rPr>
            </w:pPr>
          </w:p>
          <w:p w:rsidR="006A7A3F" w:rsidRDefault="00BC7372">
            <w:pPr>
              <w:pStyle w:val="TableParagraph"/>
              <w:spacing w:line="261" w:lineRule="auto"/>
              <w:ind w:left="118" w:right="217"/>
              <w:rPr>
                <w:sz w:val="16"/>
              </w:rPr>
            </w:pPr>
            <w:r>
              <w:rPr>
                <w:color w:val="231F20"/>
                <w:sz w:val="16"/>
              </w:rPr>
              <w:t>Provide carbon and nutrients to Pyramid Creek to boost the riverine food web</w:t>
            </w:r>
          </w:p>
        </w:tc>
      </w:tr>
    </w:tbl>
    <w:p w:rsidR="006A7A3F" w:rsidRDefault="006A7A3F">
      <w:pPr>
        <w:pStyle w:val="BodyText"/>
        <w:spacing w:before="12"/>
        <w:ind w:left="0"/>
        <w:rPr>
          <w:rFonts w:ascii="Helvetica Neue LT Std 75"/>
          <w:b/>
          <w:sz w:val="5"/>
        </w:rPr>
      </w:pPr>
    </w:p>
    <w:p w:rsidR="00707776" w:rsidRDefault="00707776">
      <w:pPr>
        <w:rPr>
          <w:rFonts w:ascii="Helvetica Neue LT Std 75"/>
          <w:b/>
          <w:color w:val="231F20"/>
          <w:sz w:val="19"/>
        </w:rPr>
      </w:pPr>
      <w:r>
        <w:rPr>
          <w:rFonts w:ascii="Helvetica Neue LT Std 75"/>
          <w:b/>
          <w:color w:val="231F20"/>
          <w:sz w:val="19"/>
        </w:rPr>
        <w:br w:type="page"/>
      </w:r>
    </w:p>
    <w:p w:rsidR="006A7A3F" w:rsidRDefault="00BC7372">
      <w:pPr>
        <w:spacing w:before="6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207"/>
      </w:pPr>
      <w:r>
        <w:rPr>
          <w:color w:val="231F20"/>
        </w:rPr>
        <w:t>The wetlands and surrounding land in the central Murray region are rich in cultural heritage, with sites and artefacts of cultural practices present throughout the landscape. The rivers and floodplains are valued as food and fibre sources and contain many sites of significance such as camp sites and meeting places. Environmental watering supports values such as native fish, waterbirds and turtles, and promotes the growth of culturally important plants that provide food, medicine and weaving materials. The presence of water itself can be a cultural value, as well as the quality of the water, as healthy water promotes a healthy Country.</w:t>
      </w:r>
    </w:p>
    <w:p w:rsidR="006A7A3F" w:rsidRDefault="00BC7372">
      <w:pPr>
        <w:pStyle w:val="BodyText"/>
        <w:spacing w:before="175" w:line="249" w:lineRule="auto"/>
        <w:ind w:right="686"/>
      </w:pPr>
      <w:r>
        <w:rPr>
          <w:color w:val="231F20"/>
        </w:rPr>
        <w:t>Barapa Barapa, Wamba Wemba and Yorta Yorta Traditional Owners have contributed to environmental water planning for wetlands important to them in the central Murray region in 2020-21. Focus areas include:</w:t>
      </w:r>
    </w:p>
    <w:p w:rsidR="006A7A3F" w:rsidRDefault="00BC7372" w:rsidP="009B6917">
      <w:pPr>
        <w:pStyle w:val="ListParagraph"/>
        <w:numPr>
          <w:ilvl w:val="0"/>
          <w:numId w:val="1419"/>
        </w:numPr>
        <w:tabs>
          <w:tab w:val="left" w:pos="493"/>
          <w:tab w:val="left" w:pos="494"/>
        </w:tabs>
        <w:spacing w:before="115" w:line="249" w:lineRule="auto"/>
        <w:ind w:right="272"/>
        <w:rPr>
          <w:sz w:val="20"/>
        </w:rPr>
      </w:pPr>
      <w:r>
        <w:rPr>
          <w:color w:val="231F20"/>
          <w:sz w:val="20"/>
        </w:rPr>
        <w:t>Barapa</w:t>
      </w:r>
      <w:r>
        <w:rPr>
          <w:color w:val="231F20"/>
          <w:spacing w:val="-3"/>
          <w:sz w:val="20"/>
        </w:rPr>
        <w:t xml:space="preserve"> </w:t>
      </w:r>
      <w:r>
        <w:rPr>
          <w:color w:val="231F20"/>
          <w:sz w:val="20"/>
        </w:rPr>
        <w:t>Barapa</w:t>
      </w:r>
      <w:r>
        <w:rPr>
          <w:color w:val="231F20"/>
          <w:spacing w:val="-3"/>
          <w:sz w:val="20"/>
        </w:rPr>
        <w:t xml:space="preserve"> </w:t>
      </w:r>
      <w:r>
        <w:rPr>
          <w:color w:val="231F20"/>
          <w:sz w:val="20"/>
        </w:rPr>
        <w:t>and</w:t>
      </w:r>
      <w:r>
        <w:rPr>
          <w:color w:val="231F20"/>
          <w:spacing w:val="-4"/>
          <w:sz w:val="20"/>
        </w:rPr>
        <w:t xml:space="preserve"> </w:t>
      </w:r>
      <w:r>
        <w:rPr>
          <w:color w:val="231F20"/>
          <w:spacing w:val="-3"/>
          <w:sz w:val="20"/>
        </w:rPr>
        <w:t>Wamba</w:t>
      </w:r>
      <w:r>
        <w:rPr>
          <w:color w:val="231F20"/>
          <w:spacing w:val="-4"/>
          <w:sz w:val="20"/>
        </w:rPr>
        <w:t xml:space="preserve"> </w:t>
      </w:r>
      <w:r>
        <w:rPr>
          <w:color w:val="231F20"/>
          <w:sz w:val="20"/>
        </w:rPr>
        <w:t>Wemba</w:t>
      </w:r>
      <w:r>
        <w:rPr>
          <w:color w:val="231F20"/>
          <w:spacing w:val="-6"/>
          <w:sz w:val="20"/>
        </w:rPr>
        <w:t xml:space="preserve"> </w:t>
      </w:r>
      <w:r>
        <w:rPr>
          <w:color w:val="231F20"/>
          <w:sz w:val="20"/>
        </w:rPr>
        <w:t>Traditional</w:t>
      </w:r>
      <w:r>
        <w:rPr>
          <w:color w:val="231F20"/>
          <w:spacing w:val="-3"/>
          <w:sz w:val="20"/>
        </w:rPr>
        <w:t xml:space="preserve"> </w:t>
      </w:r>
      <w:r>
        <w:rPr>
          <w:color w:val="231F20"/>
          <w:sz w:val="20"/>
        </w:rPr>
        <w:t>Owners</w:t>
      </w:r>
      <w:r>
        <w:rPr>
          <w:color w:val="231F20"/>
          <w:spacing w:val="-3"/>
          <w:sz w:val="20"/>
        </w:rPr>
        <w:t xml:space="preserve"> </w:t>
      </w:r>
      <w:r>
        <w:rPr>
          <w:color w:val="231F20"/>
          <w:sz w:val="20"/>
        </w:rPr>
        <w:t>have</w:t>
      </w:r>
      <w:r>
        <w:rPr>
          <w:color w:val="231F20"/>
          <w:spacing w:val="-4"/>
          <w:sz w:val="20"/>
        </w:rPr>
        <w:t xml:space="preserve"> </w:t>
      </w:r>
      <w:r>
        <w:rPr>
          <w:color w:val="231F20"/>
          <w:sz w:val="20"/>
        </w:rPr>
        <w:t>highlighted</w:t>
      </w:r>
      <w:r>
        <w:rPr>
          <w:color w:val="231F20"/>
          <w:spacing w:val="-4"/>
          <w:sz w:val="20"/>
        </w:rPr>
        <w:t xml:space="preserve"> </w:t>
      </w:r>
      <w:r>
        <w:rPr>
          <w:color w:val="231F20"/>
          <w:sz w:val="20"/>
        </w:rPr>
        <w:t>maintaining</w:t>
      </w:r>
      <w:r>
        <w:rPr>
          <w:color w:val="231F20"/>
          <w:spacing w:val="-3"/>
          <w:sz w:val="20"/>
        </w:rPr>
        <w:t xml:space="preserve"> </w:t>
      </w:r>
      <w:r>
        <w:rPr>
          <w:color w:val="231F20"/>
          <w:sz w:val="20"/>
        </w:rPr>
        <w:t>or</w:t>
      </w:r>
      <w:r>
        <w:rPr>
          <w:color w:val="231F20"/>
          <w:spacing w:val="-3"/>
          <w:sz w:val="20"/>
        </w:rPr>
        <w:t xml:space="preserve"> </w:t>
      </w:r>
      <w:r>
        <w:rPr>
          <w:color w:val="231F20"/>
          <w:sz w:val="20"/>
        </w:rPr>
        <w:t>improving</w:t>
      </w:r>
      <w:r>
        <w:rPr>
          <w:color w:val="231F20"/>
          <w:spacing w:val="-4"/>
          <w:sz w:val="20"/>
        </w:rPr>
        <w:t xml:space="preserve"> </w:t>
      </w:r>
      <w:r>
        <w:rPr>
          <w:color w:val="231F20"/>
          <w:sz w:val="20"/>
        </w:rPr>
        <w:t>the</w:t>
      </w:r>
      <w:r>
        <w:rPr>
          <w:color w:val="231F20"/>
          <w:spacing w:val="-3"/>
          <w:sz w:val="20"/>
        </w:rPr>
        <w:t xml:space="preserve"> </w:t>
      </w:r>
      <w:r>
        <w:rPr>
          <w:color w:val="231F20"/>
          <w:sz w:val="20"/>
        </w:rPr>
        <w:t>health</w:t>
      </w:r>
      <w:r>
        <w:rPr>
          <w:color w:val="231F20"/>
          <w:spacing w:val="-4"/>
          <w:sz w:val="20"/>
        </w:rPr>
        <w:t xml:space="preserve"> </w:t>
      </w:r>
      <w:r>
        <w:rPr>
          <w:color w:val="231F20"/>
          <w:sz w:val="20"/>
        </w:rPr>
        <w:t xml:space="preserve">of wetland vegetation as a key priority across the wetlands. Watering activities in Guttrum Forest will again be a particular focus for Barapa Barapa and </w:t>
      </w:r>
      <w:r>
        <w:rPr>
          <w:color w:val="231F20"/>
          <w:spacing w:val="-3"/>
          <w:sz w:val="20"/>
        </w:rPr>
        <w:t xml:space="preserve">Wamba </w:t>
      </w:r>
      <w:r>
        <w:rPr>
          <w:color w:val="231F20"/>
          <w:sz w:val="20"/>
        </w:rPr>
        <w:t>Wemba Traditional Owners in 2020–21 (as described</w:t>
      </w:r>
      <w:r>
        <w:rPr>
          <w:color w:val="231F20"/>
          <w:spacing w:val="-38"/>
          <w:sz w:val="20"/>
        </w:rPr>
        <w:t xml:space="preserve"> </w:t>
      </w:r>
      <w:r>
        <w:rPr>
          <w:color w:val="231F20"/>
          <w:sz w:val="20"/>
        </w:rPr>
        <w:t>below)</w:t>
      </w:r>
    </w:p>
    <w:p w:rsidR="006A7A3F" w:rsidRDefault="00BC7372" w:rsidP="009B6917">
      <w:pPr>
        <w:pStyle w:val="ListParagraph"/>
        <w:numPr>
          <w:ilvl w:val="0"/>
          <w:numId w:val="1419"/>
        </w:numPr>
        <w:tabs>
          <w:tab w:val="left" w:pos="493"/>
          <w:tab w:val="left" w:pos="494"/>
        </w:tabs>
        <w:spacing w:before="87" w:line="249" w:lineRule="auto"/>
        <w:ind w:right="261"/>
        <w:rPr>
          <w:sz w:val="20"/>
        </w:rPr>
      </w:pPr>
      <w:r>
        <w:rPr>
          <w:color w:val="231F20"/>
          <w:sz w:val="20"/>
        </w:rPr>
        <w:t xml:space="preserve">North Central CMA and Barapa Barapa Traditional Owners have collaborated to deliver the DELWP-funded Decision-Support </w:t>
      </w:r>
      <w:r>
        <w:rPr>
          <w:color w:val="231F20"/>
          <w:spacing w:val="-7"/>
          <w:sz w:val="20"/>
        </w:rPr>
        <w:t xml:space="preserve">Tool </w:t>
      </w:r>
      <w:r>
        <w:rPr>
          <w:color w:val="231F20"/>
          <w:sz w:val="20"/>
        </w:rPr>
        <w:t xml:space="preserve">project, which is guiding vegetation works at McDonalds Swamp, and Lake Leaghur and Lake </w:t>
      </w:r>
      <w:r>
        <w:rPr>
          <w:color w:val="231F20"/>
          <w:spacing w:val="-4"/>
          <w:sz w:val="20"/>
        </w:rPr>
        <w:t xml:space="preserve">Yando </w:t>
      </w:r>
      <w:r>
        <w:rPr>
          <w:color w:val="231F20"/>
          <w:sz w:val="20"/>
        </w:rPr>
        <w:t>(sites within the Boort wetlands, see section 5.7.2). This has allowed them to align watering actions in these wetlands with the watering requirements of the revegetation and enabled monitoring to be completed by Barapa</w:t>
      </w:r>
      <w:r>
        <w:rPr>
          <w:color w:val="231F20"/>
          <w:spacing w:val="-2"/>
          <w:sz w:val="20"/>
        </w:rPr>
        <w:t xml:space="preserve"> </w:t>
      </w:r>
      <w:r>
        <w:rPr>
          <w:color w:val="231F20"/>
          <w:sz w:val="20"/>
        </w:rPr>
        <w:t>Barapa</w:t>
      </w:r>
    </w:p>
    <w:p w:rsidR="006A7A3F" w:rsidRDefault="00BC7372" w:rsidP="009B6917">
      <w:pPr>
        <w:pStyle w:val="ListParagraph"/>
        <w:numPr>
          <w:ilvl w:val="0"/>
          <w:numId w:val="1419"/>
        </w:numPr>
        <w:tabs>
          <w:tab w:val="left" w:pos="493"/>
          <w:tab w:val="left" w:pos="494"/>
        </w:tabs>
        <w:spacing w:before="90" w:line="249" w:lineRule="auto"/>
        <w:ind w:right="284"/>
        <w:rPr>
          <w:sz w:val="20"/>
        </w:rPr>
      </w:pPr>
      <w:r>
        <w:rPr>
          <w:color w:val="231F20"/>
          <w:sz w:val="20"/>
        </w:rPr>
        <w:t xml:space="preserve">North Central CMA and </w:t>
      </w:r>
      <w:r>
        <w:rPr>
          <w:color w:val="231F20"/>
          <w:spacing w:val="-5"/>
          <w:sz w:val="20"/>
        </w:rPr>
        <w:t xml:space="preserve">Yorta Yorta </w:t>
      </w:r>
      <w:r>
        <w:rPr>
          <w:color w:val="231F20"/>
          <w:sz w:val="20"/>
        </w:rPr>
        <w:t xml:space="preserve">Nation Aboriginal Corporation have considered watering priorities for 2020– 21, with a particular focus on Richardsons Lagoon. The </w:t>
      </w:r>
      <w:r>
        <w:rPr>
          <w:color w:val="231F20"/>
          <w:spacing w:val="-5"/>
          <w:sz w:val="20"/>
        </w:rPr>
        <w:t xml:space="preserve">Yorta Yorta </w:t>
      </w:r>
      <w:r>
        <w:rPr>
          <w:color w:val="231F20"/>
          <w:sz w:val="20"/>
        </w:rPr>
        <w:t>Traditional Owners are supportive of the current drying phase in the lagoon, and its objectives of aerating sediment, reducing carp and providing a boost to productivity when water</w:t>
      </w:r>
      <w:r>
        <w:rPr>
          <w:color w:val="231F20"/>
          <w:spacing w:val="-4"/>
          <w:sz w:val="20"/>
        </w:rPr>
        <w:t xml:space="preserve"> </w:t>
      </w:r>
      <w:r>
        <w:rPr>
          <w:color w:val="231F20"/>
          <w:sz w:val="20"/>
        </w:rPr>
        <w:t>returns.</w:t>
      </w:r>
    </w:p>
    <w:p w:rsidR="006A7A3F" w:rsidRDefault="00BC7372" w:rsidP="00707776">
      <w:pPr>
        <w:pStyle w:val="BodyText"/>
        <w:spacing w:before="173" w:line="249" w:lineRule="auto"/>
        <w:ind w:right="100"/>
      </w:pPr>
      <w:r>
        <w:rPr>
          <w:color w:val="231F20"/>
        </w:rPr>
        <w:t>Waterway managers are seeking opportunities to increase the involvement of Traditional Owners in environmental water planning and management. Where Traditional Owners are more deeply involved in the planning and/or</w:t>
      </w:r>
      <w:r w:rsidR="00707776">
        <w:t xml:space="preserve"> </w:t>
      </w:r>
      <w:r>
        <w:rPr>
          <w:color w:val="231F20"/>
        </w:rPr>
        <w:t>delivery of environmental flows for a particular site, their contribution is acknowledged in Table 5.2.8 with an icon.</w:t>
      </w:r>
    </w:p>
    <w:p w:rsidR="006A7A3F" w:rsidRDefault="006A7A3F">
      <w:pPr>
        <w:pStyle w:val="BodyText"/>
        <w:spacing w:before="1"/>
        <w:ind w:left="0"/>
        <w:rPr>
          <w:sz w:val="18"/>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61"/>
      </w:tblGrid>
      <w:tr w:rsidR="006A7A3F">
        <w:trPr>
          <w:trHeight w:val="856"/>
        </w:trPr>
        <w:tc>
          <w:tcPr>
            <w:tcW w:w="789" w:type="dxa"/>
            <w:shd w:val="clear" w:color="auto" w:fill="E6E7E8"/>
          </w:tcPr>
          <w:p w:rsidR="006A7A3F" w:rsidRDefault="006A7A3F">
            <w:pPr>
              <w:pStyle w:val="TableParagraph"/>
              <w:spacing w:before="10" w:after="1"/>
              <w:ind w:left="0"/>
              <w:rPr>
                <w:sz w:val="15"/>
              </w:rPr>
            </w:pPr>
          </w:p>
          <w:p w:rsidR="006A7A3F" w:rsidRDefault="00BC7372">
            <w:pPr>
              <w:pStyle w:val="TableParagraph"/>
              <w:ind w:left="180"/>
              <w:rPr>
                <w:sz w:val="20"/>
              </w:rPr>
            </w:pPr>
            <w:r>
              <w:rPr>
                <w:noProof/>
                <w:sz w:val="20"/>
              </w:rPr>
              <w:drawing>
                <wp:inline distT="0" distB="0" distL="0" distR="0">
                  <wp:extent cx="313944" cy="313944"/>
                  <wp:effectExtent l="0" t="0" r="0" b="0"/>
                  <wp:docPr id="1787"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43.jpeg"/>
                          <pic:cNvPicPr/>
                        </pic:nvPicPr>
                        <pic:blipFill>
                          <a:blip r:embed="rId55" cstate="print"/>
                          <a:stretch>
                            <a:fillRect/>
                          </a:stretch>
                        </pic:blipFill>
                        <pic:spPr>
                          <a:xfrm>
                            <a:off x="0" y="0"/>
                            <a:ext cx="313944" cy="313944"/>
                          </a:xfrm>
                          <a:prstGeom prst="rect">
                            <a:avLst/>
                          </a:prstGeom>
                        </pic:spPr>
                      </pic:pic>
                    </a:graphicData>
                  </a:graphic>
                </wp:inline>
              </w:drawing>
            </w:r>
          </w:p>
        </w:tc>
        <w:tc>
          <w:tcPr>
            <w:tcW w:w="3861" w:type="dxa"/>
            <w:shd w:val="clear" w:color="auto" w:fill="E6E7E8"/>
          </w:tcPr>
          <w:p w:rsidR="006A7A3F" w:rsidRDefault="00BC7372">
            <w:pPr>
              <w:pStyle w:val="TableParagraph"/>
              <w:spacing w:before="136" w:line="261" w:lineRule="auto"/>
              <w:ind w:left="118" w:right="63"/>
              <w:rPr>
                <w:sz w:val="16"/>
              </w:rPr>
            </w:pPr>
            <w:r>
              <w:rPr>
                <w:color w:val="231F20"/>
                <w:sz w:val="16"/>
              </w:rPr>
              <w:t>Watering planned and/or delivered in partnership with Traditional Owners to support Aboriginal cultural values and uses</w:t>
            </w:r>
          </w:p>
        </w:tc>
      </w:tr>
    </w:tbl>
    <w:p w:rsidR="006A7A3F" w:rsidRDefault="00BC7372">
      <w:pPr>
        <w:spacing w:before="94"/>
        <w:ind w:left="210"/>
        <w:rPr>
          <w:rFonts w:ascii="Helvetica Neue LT Std 75" w:hAnsi="Helvetica Neue LT Std 75"/>
          <w:b/>
          <w:sz w:val="18"/>
        </w:rPr>
      </w:pPr>
      <w:r>
        <w:rPr>
          <w:rFonts w:ascii="Helvetica Neue LT Std 75" w:hAnsi="Helvetica Neue LT Std 75"/>
          <w:b/>
          <w:color w:val="231F20"/>
          <w:sz w:val="18"/>
        </w:rPr>
        <w:t>Barapa Barapa and Wamba Wemba input to watering actions for Guttrum Forest in 2020–21</w:t>
      </w:r>
    </w:p>
    <w:p w:rsidR="006A7A3F" w:rsidRDefault="00BC7372">
      <w:pPr>
        <w:pStyle w:val="BodyText"/>
        <w:spacing w:before="115" w:line="249" w:lineRule="auto"/>
        <w:ind w:right="174"/>
      </w:pPr>
      <w:r>
        <w:rPr>
          <w:color w:val="231F20"/>
        </w:rPr>
        <w:t>The proposed delivery of water for the environment to Guttrum Forest during 2020–21 has been planned in conjunction with the Barapa Barapa and Wamba Wemba peoples, for whom the wetlands and surrounding forest are places of high cultural significance. The Traditional Owners have been an important part of Guttrum Forest planning and management from the outset and were directly involved in the delivery of environmental flows to Reed Bed Swamp in 2019–20.</w:t>
      </w:r>
    </w:p>
    <w:p w:rsidR="006A7A3F" w:rsidRDefault="00BC7372">
      <w:pPr>
        <w:pStyle w:val="BodyText"/>
        <w:spacing w:before="175" w:line="249" w:lineRule="auto"/>
        <w:ind w:right="496"/>
      </w:pPr>
      <w:r>
        <w:rPr>
          <w:color w:val="231F20"/>
        </w:rPr>
        <w:t>Barapa Barapa and Wamba Wemba collaborate with waterway managers to ensure that during watering events their cultural heritage is protected and that the hydrological needs of important cultural values (such as food and medicinal plant species, scar trees and ring trees) are supported through the timing and duration of planned watering actions to the forest.</w:t>
      </w:r>
    </w:p>
    <w:p w:rsidR="006A7A3F" w:rsidRDefault="00BC7372">
      <w:pPr>
        <w:pStyle w:val="BodyText"/>
        <w:spacing w:before="173" w:line="249" w:lineRule="auto"/>
        <w:ind w:right="457"/>
      </w:pPr>
      <w:r>
        <w:rPr>
          <w:color w:val="231F20"/>
        </w:rPr>
        <w:t>The Traditional Owners advised that filling Guttrum Forest in winter 2020 and a top-up in spring would be appropriate timing to support large old trees and bird breeding. Additional watering in autumn/winter 2021 was recommended to prime the wetland for fills in the 2021–22 water year, to increase the duration of wetting.</w:t>
      </w:r>
    </w:p>
    <w:p w:rsidR="006A7A3F" w:rsidRDefault="00BC7372">
      <w:pPr>
        <w:pStyle w:val="BodyText"/>
        <w:spacing w:before="173" w:line="249" w:lineRule="auto"/>
        <w:ind w:right="457"/>
      </w:pPr>
      <w:r>
        <w:rPr>
          <w:color w:val="231F20"/>
        </w:rPr>
        <w:t>Table 5.2.7 outlines the values and uses considered in the planning and management of watering at Guttrum Forest in 2020–21.</w:t>
      </w:r>
    </w:p>
    <w:p w:rsidR="00707776" w:rsidRDefault="00707776">
      <w:pPr>
        <w:rPr>
          <w:b/>
          <w:color w:val="231F20"/>
          <w:sz w:val="18"/>
        </w:rPr>
      </w:pPr>
      <w:r>
        <w:rPr>
          <w:b/>
          <w:color w:val="231F20"/>
          <w:sz w:val="18"/>
        </w:rPr>
        <w:br w:type="page"/>
      </w:r>
    </w:p>
    <w:p w:rsidR="006A7A3F" w:rsidRDefault="00BC7372">
      <w:pPr>
        <w:spacing w:before="166"/>
        <w:ind w:left="210"/>
        <w:rPr>
          <w:b/>
          <w:sz w:val="18"/>
        </w:rPr>
      </w:pPr>
      <w:r>
        <w:rPr>
          <w:b/>
          <w:color w:val="231F20"/>
          <w:sz w:val="18"/>
        </w:rPr>
        <w:t>Table 5.2.7 Barapa Barapa and Wamba Wemba cultural values and uses at Guttrum Forest</w:t>
      </w:r>
    </w:p>
    <w:p w:rsidR="006A7A3F" w:rsidRDefault="006A7A3F">
      <w:pPr>
        <w:pStyle w:val="BodyText"/>
        <w:spacing w:before="0"/>
        <w:ind w:left="0"/>
        <w:rPr>
          <w:b/>
          <w:sz w:val="9"/>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8494"/>
      </w:tblGrid>
      <w:tr w:rsidR="006A7A3F">
        <w:trPr>
          <w:trHeight w:val="362"/>
        </w:trPr>
        <w:tc>
          <w:tcPr>
            <w:tcW w:w="1701" w:type="dxa"/>
            <w:tcBorders>
              <w:top w:val="nil"/>
              <w:left w:val="nil"/>
              <w:bottom w:val="nil"/>
            </w:tcBorders>
            <w:shd w:val="clear" w:color="auto" w:fill="231F20"/>
          </w:tcPr>
          <w:p w:rsidR="006A7A3F" w:rsidRDefault="00BC7372">
            <w:pPr>
              <w:pStyle w:val="TableParagraph"/>
              <w:spacing w:before="75"/>
              <w:ind w:left="90"/>
              <w:rPr>
                <w:b/>
                <w:sz w:val="18"/>
              </w:rPr>
            </w:pPr>
            <w:r>
              <w:rPr>
                <w:b/>
                <w:color w:val="FFFFFF"/>
                <w:sz w:val="18"/>
              </w:rPr>
              <w:t>Value/use</w:t>
            </w:r>
          </w:p>
        </w:tc>
        <w:tc>
          <w:tcPr>
            <w:tcW w:w="8494" w:type="dxa"/>
            <w:tcBorders>
              <w:top w:val="nil"/>
              <w:bottom w:val="nil"/>
            </w:tcBorders>
            <w:shd w:val="clear" w:color="auto" w:fill="231F20"/>
          </w:tcPr>
          <w:p w:rsidR="006A7A3F" w:rsidRDefault="00BC7372">
            <w:pPr>
              <w:pStyle w:val="TableParagraph"/>
              <w:spacing w:before="75"/>
              <w:ind w:left="84"/>
              <w:rPr>
                <w:b/>
                <w:sz w:val="18"/>
              </w:rPr>
            </w:pPr>
            <w:r>
              <w:rPr>
                <w:b/>
                <w:color w:val="FFFFFF"/>
                <w:sz w:val="18"/>
              </w:rPr>
              <w:t>Considerations</w:t>
            </w:r>
          </w:p>
        </w:tc>
      </w:tr>
      <w:tr w:rsidR="006A7A3F">
        <w:trPr>
          <w:trHeight w:val="733"/>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38"/>
              <w:rPr>
                <w:sz w:val="16"/>
              </w:rPr>
            </w:pPr>
            <w:r>
              <w:rPr>
                <w:color w:val="231F20"/>
                <w:sz w:val="16"/>
              </w:rPr>
              <w:t>Food, fibre and medicinal plants</w:t>
            </w:r>
          </w:p>
        </w:tc>
        <w:tc>
          <w:tcPr>
            <w:tcW w:w="8494"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108"/>
              <w:rPr>
                <w:sz w:val="16"/>
              </w:rPr>
            </w:pPr>
            <w:r>
              <w:rPr>
                <w:color w:val="231F20"/>
                <w:sz w:val="16"/>
              </w:rPr>
              <w:t>A winter fill followed by a spring top-up will ensure that the duration of wetting will be long enough to support aquatic vegetation during its optimal growth period. Allowing the wetland to dry before summer will also promote cultural plants on the mudflats in these areas.</w:t>
            </w:r>
          </w:p>
        </w:tc>
      </w:tr>
      <w:tr w:rsidR="006A7A3F">
        <w:trPr>
          <w:trHeight w:val="5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Cultural heritage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Pr>
                <w:sz w:val="16"/>
              </w:rPr>
            </w:pPr>
            <w:r>
              <w:rPr>
                <w:color w:val="231F20"/>
                <w:sz w:val="16"/>
              </w:rPr>
              <w:t>Watering of Reed Bed Swamp supports fringing large old trees including a couple of ring trees and scar trees. The condition of these trees was seen to improve following the 2019 watering: for example, there was new growth.</w:t>
            </w:r>
          </w:p>
        </w:tc>
      </w:tr>
      <w:tr w:rsidR="006A7A3F">
        <w:trPr>
          <w:trHeight w:val="5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Spiritual wellbeing</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579"/>
              <w:rPr>
                <w:sz w:val="16"/>
              </w:rPr>
            </w:pPr>
            <w:r>
              <w:rPr>
                <w:color w:val="231F20"/>
                <w:sz w:val="16"/>
              </w:rPr>
              <w:t>The improvement in condition of the wetland and the presence of water and moisture contributed to a sense of spiritual wellbeing.</w:t>
            </w:r>
          </w:p>
        </w:tc>
      </w:tr>
      <w:tr w:rsidR="006A7A3F">
        <w:trPr>
          <w:trHeight w:val="989"/>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74"/>
              <w:rPr>
                <w:sz w:val="16"/>
              </w:rPr>
            </w:pPr>
            <w:r>
              <w:rPr>
                <w:color w:val="231F20"/>
                <w:sz w:val="16"/>
              </w:rPr>
              <w:t>Sharing cultural knowledge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Pr>
                <w:sz w:val="16"/>
              </w:rPr>
            </w:pPr>
            <w:r>
              <w:rPr>
                <w:color w:val="231F20"/>
                <w:sz w:val="16"/>
              </w:rPr>
              <w:t>The Traditional Owners provide support and advice about what ecological values to target: that is, they provide information about what the wetland used to look like and what values it previously supported.</w:t>
            </w:r>
          </w:p>
          <w:p w:rsidR="006A7A3F" w:rsidRDefault="00BC7372">
            <w:pPr>
              <w:pStyle w:val="TableParagraph"/>
              <w:spacing w:before="56" w:line="261" w:lineRule="auto"/>
              <w:ind w:left="84" w:right="108"/>
              <w:rPr>
                <w:sz w:val="16"/>
              </w:rPr>
            </w:pPr>
            <w:r>
              <w:rPr>
                <w:color w:val="231F20"/>
                <w:sz w:val="16"/>
              </w:rPr>
              <w:t>Traditional Owners were also present during the set-up of infrastructure and were able to provide advice about avoiding impacts to their cultural heritage.</w:t>
            </w:r>
          </w:p>
        </w:tc>
      </w:tr>
      <w:tr w:rsidR="006A7A3F">
        <w:trPr>
          <w:trHeight w:val="7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669"/>
              <w:rPr>
                <w:sz w:val="16"/>
              </w:rPr>
            </w:pPr>
            <w:r>
              <w:rPr>
                <w:color w:val="231F20"/>
                <w:sz w:val="16"/>
              </w:rPr>
              <w:t>Employment opportunities</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ight="117"/>
              <w:rPr>
                <w:sz w:val="16"/>
              </w:rPr>
            </w:pPr>
            <w:r>
              <w:rPr>
                <w:color w:val="231F20"/>
                <w:sz w:val="16"/>
              </w:rPr>
              <w:t>Traditional Owners want to become more involved in the management of their Country through increased employment opportunities (such as ecological and cultural monitoring). This occurred as part of the 2019 watering of Reed Bed Swamp.</w:t>
            </w:r>
          </w:p>
        </w:tc>
      </w:tr>
      <w:tr w:rsidR="006A7A3F">
        <w:trPr>
          <w:trHeight w:val="7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Cultural landscape</w:t>
            </w:r>
          </w:p>
        </w:tc>
        <w:tc>
          <w:tcPr>
            <w:tcW w:w="849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4"/>
              <w:rPr>
                <w:sz w:val="16"/>
              </w:rPr>
            </w:pPr>
            <w:r>
              <w:rPr>
                <w:color w:val="231F20"/>
                <w:sz w:val="16"/>
              </w:rPr>
              <w:t>Maintaining the open-water habitat and mudflats underneath that will disappear if the river red gum saplings that germinated in the 2016 floods are not removed. This is important for maintaining the cultural landscape and access to food and medicinal resources.</w:t>
            </w:r>
          </w:p>
        </w:tc>
      </w:tr>
    </w:tbl>
    <w:p w:rsidR="006A7A3F" w:rsidRDefault="00BC7372">
      <w:pPr>
        <w:spacing w:before="151"/>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8" w:line="249" w:lineRule="auto"/>
        <w:ind w:right="100"/>
      </w:pPr>
      <w:r>
        <w:rPr>
          <w:color w:val="231F20"/>
        </w:rPr>
        <w:t>In planning the potential watering actions in Table 5.2.8, North Central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kayaking, canoeing, fishing, swimming and water</w:t>
      </w:r>
      <w:r>
        <w:rPr>
          <w:color w:val="231F20"/>
          <w:spacing w:val="-8"/>
          <w:sz w:val="20"/>
        </w:rPr>
        <w:t xml:space="preserve"> </w:t>
      </w:r>
      <w:r>
        <w:rPr>
          <w:color w:val="231F20"/>
          <w:sz w:val="20"/>
        </w:rPr>
        <w:t>sports)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walking, running, cycling, camping, birdwatching and duck</w:t>
      </w:r>
      <w:r>
        <w:rPr>
          <w:color w:val="231F20"/>
          <w:spacing w:val="-30"/>
          <w:sz w:val="20"/>
        </w:rPr>
        <w:t xml:space="preserve"> </w:t>
      </w:r>
      <w:r>
        <w:rPr>
          <w:color w:val="231F20"/>
          <w:sz w:val="20"/>
        </w:rPr>
        <w:t>hunting)</w:t>
      </w:r>
    </w:p>
    <w:p w:rsidR="006A7A3F" w:rsidRDefault="00BC7372" w:rsidP="009B6917">
      <w:pPr>
        <w:pStyle w:val="ListParagraph"/>
        <w:numPr>
          <w:ilvl w:val="0"/>
          <w:numId w:val="1419"/>
        </w:numPr>
        <w:tabs>
          <w:tab w:val="left" w:pos="493"/>
          <w:tab w:val="left" w:pos="494"/>
        </w:tabs>
        <w:spacing w:line="249" w:lineRule="auto"/>
        <w:ind w:right="571"/>
        <w:rPr>
          <w:sz w:val="20"/>
        </w:rPr>
      </w:pPr>
      <w:r>
        <w:rPr>
          <w:color w:val="231F20"/>
          <w:sz w:val="20"/>
        </w:rPr>
        <w:t>community events and tourism (such as visitation during the hunting and fishing seasons, Breakfast with the Birds events (North Central CMA), supporting Aboriginal cultural heritage and history-based</w:t>
      </w:r>
      <w:r>
        <w:rPr>
          <w:color w:val="231F20"/>
          <w:spacing w:val="-31"/>
          <w:sz w:val="20"/>
        </w:rPr>
        <w:t xml:space="preserve"> </w:t>
      </w:r>
      <w:r>
        <w:rPr>
          <w:color w:val="231F20"/>
          <w:sz w:val="20"/>
        </w:rPr>
        <w:t>tours)</w:t>
      </w:r>
    </w:p>
    <w:p w:rsidR="006A7A3F" w:rsidRDefault="00BC7372" w:rsidP="009B6917">
      <w:pPr>
        <w:pStyle w:val="ListParagraph"/>
        <w:numPr>
          <w:ilvl w:val="0"/>
          <w:numId w:val="1419"/>
        </w:numPr>
        <w:tabs>
          <w:tab w:val="left" w:pos="493"/>
          <w:tab w:val="left" w:pos="494"/>
        </w:tabs>
        <w:spacing w:before="87" w:line="249" w:lineRule="auto"/>
        <w:ind w:right="751"/>
        <w:rPr>
          <w:sz w:val="20"/>
        </w:rPr>
      </w:pPr>
      <w:r>
        <w:rPr>
          <w:color w:val="231F20"/>
          <w:sz w:val="20"/>
        </w:rPr>
        <w:t>socio-economic benefits (such as ecosystem services like groundwater recharge, flood mitigation, nutrient treatment and carbon</w:t>
      </w:r>
      <w:r>
        <w:rPr>
          <w:color w:val="231F20"/>
          <w:spacing w:val="-2"/>
          <w:sz w:val="20"/>
        </w:rPr>
        <w:t xml:space="preserve"> </w:t>
      </w:r>
      <w:r>
        <w:rPr>
          <w:color w:val="231F20"/>
          <w:sz w:val="20"/>
        </w:rPr>
        <w:t>storage).</w:t>
      </w:r>
    </w:p>
    <w:p w:rsidR="006A7A3F" w:rsidRDefault="00BC7372">
      <w:pPr>
        <w:spacing w:before="180"/>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208"/>
        <w:jc w:val="both"/>
      </w:pPr>
      <w:r>
        <w:rPr>
          <w:color w:val="231F20"/>
        </w:rPr>
        <w:t xml:space="preserve">The central Murray area had below-average rainfall and above-average temperatures throughout most of 2019–20. Rainfall in spring 2019 was well below the long-term average and as a result, storage inflows for the year were also much lower than average. </w:t>
      </w:r>
      <w:r>
        <w:rPr>
          <w:color w:val="231F20"/>
          <w:spacing w:val="-3"/>
        </w:rPr>
        <w:t xml:space="preserve">Water </w:t>
      </w:r>
      <w:r>
        <w:rPr>
          <w:color w:val="231F20"/>
        </w:rPr>
        <w:t>for the environment was delivered to seven central Murray wetlands in 2019–20 in line with planning under a dry scenario.</w:t>
      </w:r>
    </w:p>
    <w:p w:rsidR="006A7A3F" w:rsidRDefault="00BC7372">
      <w:pPr>
        <w:pStyle w:val="BodyText"/>
        <w:spacing w:before="70" w:line="249" w:lineRule="auto"/>
        <w:ind w:right="262"/>
      </w:pPr>
      <w:r>
        <w:rPr>
          <w:color w:val="231F20"/>
        </w:rPr>
        <w:t>Round Lake and Lake Elizabeth received environmental water during 2019–20 to maintain salinity within the target range for endangered Murray hardyhead. Lake Cullen, which has held water since the natural floods in 2016, was topped up in spring 2019 to support the growth and recruitment of submerged and emergent aquatic plants and provide feeding and roosting habitat for waterbirds.</w:t>
      </w:r>
    </w:p>
    <w:p w:rsidR="006A7A3F" w:rsidRDefault="00BC7372">
      <w:pPr>
        <w:pStyle w:val="BodyText"/>
        <w:spacing w:before="174" w:line="249" w:lineRule="auto"/>
        <w:ind w:right="479"/>
      </w:pPr>
      <w:r>
        <w:rPr>
          <w:color w:val="231F20"/>
        </w:rPr>
        <w:t>Wirra-Lo wetland complex received environmental water during the spring and summer 2019–20 that primarily targeted growling grass frogs and wetland vegetation communities. Wetting and drying regimes are being staggered across the eight wetlands within the Wirra-lo wetland complex based on their ecological condition and site-specific watering needs, including to support revegetation projects and the feeding and breeding habitat of various species (such as the growling grass frog and Australasian bittern).</w:t>
      </w:r>
    </w:p>
    <w:p w:rsidR="00707776" w:rsidRDefault="00707776">
      <w:pPr>
        <w:rPr>
          <w:color w:val="231F20"/>
          <w:sz w:val="20"/>
          <w:szCs w:val="20"/>
        </w:rPr>
      </w:pPr>
      <w:r>
        <w:rPr>
          <w:color w:val="231F20"/>
        </w:rPr>
        <w:br w:type="page"/>
      </w:r>
    </w:p>
    <w:p w:rsidR="006A7A3F" w:rsidRDefault="00BC7372" w:rsidP="00F32821">
      <w:pPr>
        <w:pStyle w:val="BodyText"/>
        <w:spacing w:before="174" w:line="249" w:lineRule="auto"/>
        <w:ind w:right="619"/>
      </w:pPr>
      <w:r>
        <w:rPr>
          <w:color w:val="231F20"/>
        </w:rPr>
        <w:t>Water for the environment was delivered to Reed Bed Swamp and Little Reed Bed Swamp in Guttrum Forest for the first time in spring 2019. The watering action aimed to reduce the recent encroachment of river red gum</w:t>
      </w:r>
      <w:r w:rsidR="00F32821">
        <w:rPr>
          <w:color w:val="231F20"/>
        </w:rPr>
        <w:t xml:space="preserve"> </w:t>
      </w:r>
      <w:r>
        <w:rPr>
          <w:color w:val="231F20"/>
        </w:rPr>
        <w:t>saplings across the bed of the wetland and provide feeding and breeding habitat for waterbirds and frogs. Many of the large old fringing river red gums showed improved tree canopy with new growth after the watering event.</w:t>
      </w:r>
    </w:p>
    <w:p w:rsidR="006A7A3F" w:rsidRDefault="00BC7372">
      <w:pPr>
        <w:pStyle w:val="BodyText"/>
        <w:spacing w:line="249" w:lineRule="auto"/>
        <w:ind w:right="297"/>
      </w:pPr>
      <w:r>
        <w:rPr>
          <w:color w:val="231F20"/>
        </w:rPr>
        <w:t>Johnson Swamp was filled in spring 2019 to provide food and breeding habitat for waterbirds, especially Australasian bittern. Subsequent monitoring detected Australasian bittern breeding calls as well as large numbers of small-bodied native fish, waterbugs, frogs and eastern long-neck turtles. A spring fresh in Pyramid Creek was partly diverted through Johnson Swamp to help export nutrients, carbon and waterbugs from the wetland into the creek to increase the productivity of riverine food webs.</w:t>
      </w:r>
    </w:p>
    <w:p w:rsidR="006A7A3F" w:rsidRDefault="00BC7372">
      <w:pPr>
        <w:pStyle w:val="BodyText"/>
        <w:spacing w:before="174" w:line="249" w:lineRule="auto"/>
        <w:ind w:right="318"/>
      </w:pPr>
      <w:r>
        <w:rPr>
          <w:color w:val="231F20"/>
        </w:rPr>
        <w:t>After completing its drying cycle, McDonalds Swamp received a partial fill in autumn 2020. The watering aimed to promote the growth of planted and naturally recruited river red gums, support early plant germination and promote winter feeding conditions for waterbirds and frogs, and prime the wetland for a spring fill.</w:t>
      </w:r>
    </w:p>
    <w:p w:rsidR="006A7A3F" w:rsidRDefault="00BC7372">
      <w:pPr>
        <w:pStyle w:val="BodyText"/>
        <w:spacing w:before="173" w:line="249" w:lineRule="auto"/>
        <w:ind w:right="173"/>
      </w:pPr>
      <w:r>
        <w:rPr>
          <w:color w:val="231F20"/>
        </w:rPr>
        <w:t>Water for the environment was delivered to Third Reedy Lake for the first time in 2019–20. Goulburn-Murray Water used to manage Third Reedy Lake as a water storage, but it is no longer needed for that purpose and the long-term plan for the site is to restore a more natural wetting and drying regime to support a range of environmental values. Ecological surveys conducted as part of the de-commissioning work recorded several southern purple spotted gudgeon at the site. The species was thought to be extinct in Victoria, and water for the environment is currently being used to maintain the population at Third Reedy Lake while long-term management plans for the site and the species are being developed.</w:t>
      </w:r>
    </w:p>
    <w:p w:rsidR="006A7A3F" w:rsidRDefault="00BC7372">
      <w:pPr>
        <w:spacing w:before="185"/>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7" w:line="249" w:lineRule="auto"/>
        <w:ind w:right="100"/>
      </w:pPr>
      <w:r>
        <w:rPr>
          <w:color w:val="231F20"/>
        </w:rPr>
        <w:t>Table 5.2.8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9"/>
        <w:ind w:left="210"/>
        <w:rPr>
          <w:b/>
          <w:sz w:val="18"/>
        </w:rPr>
      </w:pPr>
      <w:r>
        <w:rPr>
          <w:b/>
          <w:color w:val="231F20"/>
          <w:sz w:val="18"/>
        </w:rPr>
        <w:t>Table 5.2.8 Potential environmental watering actions and objectives for the central Murray wetlands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438"/>
        <w:gridCol w:w="6236"/>
        <w:gridCol w:w="793"/>
        <w:gridCol w:w="708"/>
      </w:tblGrid>
      <w:tr w:rsidR="006A7A3F">
        <w:trPr>
          <w:trHeight w:val="587"/>
        </w:trPr>
        <w:tc>
          <w:tcPr>
            <w:tcW w:w="2438" w:type="dxa"/>
            <w:tcBorders>
              <w:top w:val="nil"/>
              <w:left w:val="nil"/>
              <w:bottom w:val="nil"/>
            </w:tcBorders>
            <w:shd w:val="clear" w:color="auto" w:fill="231F20"/>
          </w:tcPr>
          <w:p w:rsidR="006A7A3F" w:rsidRDefault="00BC7372">
            <w:pPr>
              <w:pStyle w:val="TableParagraph"/>
              <w:spacing w:before="80" w:line="254" w:lineRule="auto"/>
              <w:ind w:left="90" w:right="282"/>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Functional watering objectives</w:t>
            </w:r>
          </w:p>
        </w:tc>
        <w:tc>
          <w:tcPr>
            <w:tcW w:w="1501" w:type="dxa"/>
            <w:gridSpan w:val="2"/>
            <w:tcBorders>
              <w:top w:val="nil"/>
              <w:bottom w:val="nil"/>
            </w:tcBorders>
            <w:shd w:val="clear" w:color="auto" w:fill="231F20"/>
          </w:tcPr>
          <w:p w:rsidR="006A7A3F" w:rsidRDefault="00BC7372">
            <w:pPr>
              <w:pStyle w:val="TableParagraph"/>
              <w:spacing w:before="80" w:line="254" w:lineRule="auto"/>
              <w:ind w:left="85" w:right="135"/>
              <w:rPr>
                <w:b/>
                <w:sz w:val="18"/>
              </w:rPr>
            </w:pPr>
            <w:r>
              <w:rPr>
                <w:b/>
                <w:color w:val="FFFFFF"/>
                <w:sz w:val="18"/>
              </w:rPr>
              <w:t>Environmental objectives</w:t>
            </w:r>
          </w:p>
        </w:tc>
      </w:tr>
      <w:tr w:rsidR="006A7A3F">
        <w:trPr>
          <w:trHeight w:val="787"/>
        </w:trPr>
        <w:tc>
          <w:tcPr>
            <w:tcW w:w="2438"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695"/>
              <w:rPr>
                <w:sz w:val="16"/>
              </w:rPr>
            </w:pPr>
            <w:r>
              <w:rPr>
                <w:color w:val="231F20"/>
                <w:sz w:val="16"/>
              </w:rPr>
              <w:t>Round Lake (top-up as required)</w:t>
            </w:r>
          </w:p>
        </w:tc>
        <w:tc>
          <w:tcPr>
            <w:tcW w:w="6236" w:type="dxa"/>
            <w:tcBorders>
              <w:top w:val="nil"/>
              <w:left w:val="single" w:sz="4" w:space="0" w:color="231F20"/>
              <w:bottom w:val="single" w:sz="4" w:space="0" w:color="231F20"/>
              <w:right w:val="single" w:sz="4" w:space="0" w:color="231F20"/>
            </w:tcBorders>
          </w:tcPr>
          <w:p w:rsidR="006A7A3F" w:rsidRPr="00707776" w:rsidRDefault="00BC7372">
            <w:pPr>
              <w:pStyle w:val="TableParagraph"/>
              <w:numPr>
                <w:ilvl w:val="0"/>
                <w:numId w:val="395"/>
              </w:numPr>
              <w:tabs>
                <w:tab w:val="left" w:pos="305"/>
              </w:tabs>
              <w:spacing w:before="70" w:line="254" w:lineRule="auto"/>
              <w:ind w:right="266"/>
              <w:rPr>
                <w:sz w:val="16"/>
                <w:szCs w:val="16"/>
              </w:rPr>
            </w:pPr>
            <w:r w:rsidRPr="00707776">
              <w:rPr>
                <w:color w:val="231F20"/>
                <w:sz w:val="16"/>
                <w:szCs w:val="16"/>
              </w:rPr>
              <w:t>Maintain salinity within 25,000–60,000 EC (may go up to 80,000 EC) to support suitable habitat and breeding conditions for Murray hardyhead and growing conditions of submerged aquatic</w:t>
            </w:r>
            <w:r w:rsidRPr="00707776">
              <w:rPr>
                <w:color w:val="231F20"/>
                <w:spacing w:val="-8"/>
                <w:sz w:val="16"/>
                <w:szCs w:val="16"/>
              </w:rPr>
              <w:t xml:space="preserve"> </w:t>
            </w:r>
            <w:r w:rsidRPr="00707776">
              <w:rPr>
                <w:color w:val="231F20"/>
                <w:sz w:val="16"/>
                <w:szCs w:val="16"/>
              </w:rPr>
              <w:t>plants</w:t>
            </w:r>
          </w:p>
        </w:tc>
        <w:tc>
          <w:tcPr>
            <w:tcW w:w="793" w:type="dxa"/>
            <w:tcBorders>
              <w:top w:val="nil"/>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258" w:right="-15"/>
              <w:rPr>
                <w:sz w:val="20"/>
              </w:rPr>
            </w:pPr>
            <w:r>
              <w:rPr>
                <w:noProof/>
                <w:sz w:val="20"/>
              </w:rPr>
              <w:drawing>
                <wp:inline distT="0" distB="0" distL="0" distR="0">
                  <wp:extent cx="314168" cy="310896"/>
                  <wp:effectExtent l="0" t="0" r="0" b="0"/>
                  <wp:docPr id="178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79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0"/>
        </w:trPr>
        <w:tc>
          <w:tcPr>
            <w:tcW w:w="2438"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508"/>
              <w:rPr>
                <w:sz w:val="16"/>
              </w:rPr>
            </w:pPr>
            <w:r>
              <w:rPr>
                <w:color w:val="231F20"/>
                <w:sz w:val="16"/>
              </w:rPr>
              <w:t>Lake Elizabeth (top-up as required)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94"/>
              </w:numPr>
              <w:tabs>
                <w:tab w:val="left" w:pos="305"/>
              </w:tabs>
              <w:spacing w:before="70" w:line="254" w:lineRule="auto"/>
              <w:ind w:right="266"/>
              <w:jc w:val="both"/>
              <w:rPr>
                <w:sz w:val="16"/>
                <w:szCs w:val="16"/>
              </w:rPr>
            </w:pPr>
            <w:r w:rsidRPr="00707776">
              <w:rPr>
                <w:color w:val="231F20"/>
                <w:sz w:val="16"/>
                <w:szCs w:val="16"/>
              </w:rPr>
              <w:t>Maintain salinity within 25,000–60,000 EC (may go up to 80,000 EC) to support suitable habitat and breeding conditions for Murray hardyhead, and growing conditions of submerged aquatic</w:t>
            </w:r>
            <w:r w:rsidRPr="00707776">
              <w:rPr>
                <w:color w:val="231F20"/>
                <w:spacing w:val="-8"/>
                <w:sz w:val="16"/>
                <w:szCs w:val="16"/>
              </w:rPr>
              <w:t xml:space="preserve"> </w:t>
            </w:r>
            <w:r w:rsidRPr="00707776">
              <w:rPr>
                <w:color w:val="231F20"/>
                <w:sz w:val="16"/>
                <w:szCs w:val="16"/>
              </w:rPr>
              <w:t>plants</w:t>
            </w:r>
          </w:p>
          <w:p w:rsidR="006A7A3F" w:rsidRPr="00707776" w:rsidRDefault="00BC7372">
            <w:pPr>
              <w:pStyle w:val="TableParagraph"/>
              <w:numPr>
                <w:ilvl w:val="0"/>
                <w:numId w:val="394"/>
              </w:numPr>
              <w:tabs>
                <w:tab w:val="left" w:pos="305"/>
              </w:tabs>
              <w:spacing w:before="87"/>
              <w:jc w:val="both"/>
              <w:rPr>
                <w:sz w:val="16"/>
                <w:szCs w:val="16"/>
              </w:rPr>
            </w:pPr>
            <w:r w:rsidRPr="00707776">
              <w:rPr>
                <w:color w:val="231F20"/>
                <w:sz w:val="16"/>
                <w:szCs w:val="16"/>
              </w:rPr>
              <w:t>Provide permanent water as habitat for</w:t>
            </w:r>
            <w:r w:rsidRPr="00707776">
              <w:rPr>
                <w:color w:val="231F20"/>
                <w:spacing w:val="-8"/>
                <w:sz w:val="16"/>
                <w:szCs w:val="16"/>
              </w:rPr>
              <w:t xml:space="preserve"> </w:t>
            </w:r>
            <w:r w:rsidRPr="00707776">
              <w:rPr>
                <w:color w:val="231F20"/>
                <w:sz w:val="16"/>
                <w:szCs w:val="16"/>
              </w:rPr>
              <w:t>waterbirds</w:t>
            </w:r>
          </w:p>
        </w:tc>
        <w:tc>
          <w:tcPr>
            <w:tcW w:w="793"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258" w:right="-15"/>
              <w:rPr>
                <w:sz w:val="20"/>
              </w:rPr>
            </w:pPr>
            <w:r>
              <w:rPr>
                <w:noProof/>
                <w:sz w:val="20"/>
              </w:rPr>
              <w:drawing>
                <wp:inline distT="0" distB="0" distL="0" distR="0">
                  <wp:extent cx="314168" cy="310895"/>
                  <wp:effectExtent l="0" t="0" r="0" b="0"/>
                  <wp:docPr id="179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179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r w:rsidR="006A7A3F">
        <w:trPr>
          <w:trHeight w:val="622"/>
        </w:trPr>
        <w:tc>
          <w:tcPr>
            <w:tcW w:w="2438"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707776" w:rsidRDefault="006A7A3F">
            <w:pPr>
              <w:rPr>
                <w:sz w:val="16"/>
                <w:szCs w:val="16"/>
              </w:rPr>
            </w:pPr>
          </w:p>
        </w:tc>
        <w:tc>
          <w:tcPr>
            <w:tcW w:w="793"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258" w:right="-15"/>
              <w:rPr>
                <w:sz w:val="20"/>
              </w:rPr>
            </w:pPr>
            <w:r>
              <w:rPr>
                <w:noProof/>
                <w:sz w:val="20"/>
              </w:rPr>
              <w:drawing>
                <wp:inline distT="0" distB="0" distL="0" distR="0">
                  <wp:extent cx="314168" cy="310895"/>
                  <wp:effectExtent l="0" t="0" r="0" b="0"/>
                  <wp:docPr id="179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27.jpeg"/>
                          <pic:cNvPicPr/>
                        </pic:nvPicPr>
                        <pic:blipFill>
                          <a:blip r:embed="rId39"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438"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73"/>
              <w:rPr>
                <w:sz w:val="16"/>
              </w:rPr>
            </w:pPr>
            <w:r>
              <w:rPr>
                <w:color w:val="231F20"/>
                <w:sz w:val="16"/>
              </w:rPr>
              <w:t>Wirra-Lo wetland complex – Brolga Swamp (fill in spring and top up as required)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93"/>
              </w:numPr>
              <w:tabs>
                <w:tab w:val="left" w:pos="305"/>
              </w:tabs>
              <w:spacing w:before="70" w:line="254" w:lineRule="auto"/>
              <w:ind w:right="277"/>
              <w:rPr>
                <w:sz w:val="16"/>
                <w:szCs w:val="16"/>
              </w:rPr>
            </w:pPr>
            <w:r w:rsidRPr="00707776">
              <w:rPr>
                <w:color w:val="231F20"/>
                <w:sz w:val="16"/>
                <w:szCs w:val="16"/>
              </w:rPr>
              <w:t>Promote growth and maintenance of submerged and emergent</w:t>
            </w:r>
            <w:r w:rsidRPr="00707776">
              <w:rPr>
                <w:color w:val="231F20"/>
                <w:spacing w:val="-28"/>
                <w:sz w:val="16"/>
                <w:szCs w:val="16"/>
              </w:rPr>
              <w:t xml:space="preserve"> </w:t>
            </w:r>
            <w:r w:rsidRPr="00707776">
              <w:rPr>
                <w:color w:val="231F20"/>
                <w:sz w:val="16"/>
                <w:szCs w:val="16"/>
              </w:rPr>
              <w:t>aquatic vegetation</w:t>
            </w:r>
          </w:p>
          <w:p w:rsidR="006A7A3F" w:rsidRPr="00707776" w:rsidRDefault="00BC7372">
            <w:pPr>
              <w:pStyle w:val="TableParagraph"/>
              <w:numPr>
                <w:ilvl w:val="0"/>
                <w:numId w:val="393"/>
              </w:numPr>
              <w:tabs>
                <w:tab w:val="left" w:pos="305"/>
              </w:tabs>
              <w:spacing w:before="87" w:line="254" w:lineRule="auto"/>
              <w:ind w:right="246"/>
              <w:rPr>
                <w:sz w:val="16"/>
                <w:szCs w:val="16"/>
              </w:rPr>
            </w:pPr>
            <w:r w:rsidRPr="00707776">
              <w:rPr>
                <w:color w:val="231F20"/>
                <w:sz w:val="16"/>
                <w:szCs w:val="16"/>
              </w:rPr>
              <w:t>Provide feeding and breeding habitats for growling grass frog and other frog species</w:t>
            </w:r>
          </w:p>
          <w:p w:rsidR="006A7A3F" w:rsidRPr="00707776" w:rsidRDefault="00BC7372">
            <w:pPr>
              <w:pStyle w:val="TableParagraph"/>
              <w:numPr>
                <w:ilvl w:val="0"/>
                <w:numId w:val="393"/>
              </w:numPr>
              <w:tabs>
                <w:tab w:val="left" w:pos="305"/>
              </w:tabs>
              <w:spacing w:before="86" w:line="254" w:lineRule="auto"/>
              <w:ind w:right="227"/>
              <w:rPr>
                <w:sz w:val="16"/>
                <w:szCs w:val="16"/>
              </w:rPr>
            </w:pPr>
            <w:r w:rsidRPr="00707776">
              <w:rPr>
                <w:color w:val="231F20"/>
                <w:sz w:val="16"/>
                <w:szCs w:val="16"/>
              </w:rPr>
              <w:t>Provide open water and foraging habitats for shallow wading</w:t>
            </w:r>
            <w:r w:rsidRPr="00707776">
              <w:rPr>
                <w:color w:val="231F20"/>
                <w:spacing w:val="-34"/>
                <w:sz w:val="16"/>
                <w:szCs w:val="16"/>
              </w:rPr>
              <w:t xml:space="preserve"> </w:t>
            </w:r>
            <w:r w:rsidRPr="00707776">
              <w:rPr>
                <w:color w:val="231F20"/>
                <w:sz w:val="16"/>
                <w:szCs w:val="16"/>
              </w:rPr>
              <w:t>waterbirds and mudflat specialists to feed and</w:t>
            </w:r>
            <w:r w:rsidRPr="00707776">
              <w:rPr>
                <w:color w:val="231F20"/>
                <w:spacing w:val="-3"/>
                <w:sz w:val="16"/>
                <w:szCs w:val="16"/>
              </w:rPr>
              <w:t xml:space="preserve"> </w:t>
            </w:r>
            <w:r w:rsidRPr="00707776">
              <w:rPr>
                <w:color w:val="231F20"/>
                <w:sz w:val="16"/>
                <w:szCs w:val="16"/>
              </w:rPr>
              <w:t>breed</w:t>
            </w:r>
          </w:p>
          <w:p w:rsidR="006A7A3F" w:rsidRPr="00707776" w:rsidRDefault="00BC7372">
            <w:pPr>
              <w:pStyle w:val="TableParagraph"/>
              <w:numPr>
                <w:ilvl w:val="0"/>
                <w:numId w:val="393"/>
              </w:numPr>
              <w:tabs>
                <w:tab w:val="left" w:pos="305"/>
              </w:tabs>
              <w:spacing w:before="86"/>
              <w:rPr>
                <w:sz w:val="16"/>
                <w:szCs w:val="16"/>
              </w:rPr>
            </w:pPr>
            <w:r w:rsidRPr="00707776">
              <w:rPr>
                <w:color w:val="231F20"/>
                <w:sz w:val="16"/>
                <w:szCs w:val="16"/>
              </w:rPr>
              <w:t>Provide refuge and recruitment sites for freshwater</w:t>
            </w:r>
            <w:r w:rsidRPr="00707776">
              <w:rPr>
                <w:color w:val="231F20"/>
                <w:spacing w:val="-2"/>
                <w:sz w:val="16"/>
                <w:szCs w:val="16"/>
              </w:rPr>
              <w:t xml:space="preserve"> </w:t>
            </w:r>
            <w:r w:rsidRPr="00707776">
              <w:rPr>
                <w:color w:val="231F20"/>
                <w:sz w:val="16"/>
                <w:szCs w:val="16"/>
              </w:rPr>
              <w:t>turtles</w:t>
            </w:r>
          </w:p>
        </w:tc>
        <w:tc>
          <w:tcPr>
            <w:tcW w:w="793"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258" w:right="-15"/>
              <w:rPr>
                <w:sz w:val="20"/>
              </w:rPr>
            </w:pPr>
            <w:r>
              <w:rPr>
                <w:noProof/>
                <w:sz w:val="20"/>
              </w:rPr>
              <w:drawing>
                <wp:inline distT="0" distB="0" distL="0" distR="0">
                  <wp:extent cx="314177" cy="310895"/>
                  <wp:effectExtent l="0" t="0" r="0" b="0"/>
                  <wp:docPr id="1799"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25.jpeg"/>
                          <pic:cNvPicPr/>
                        </pic:nvPicPr>
                        <pic:blipFill>
                          <a:blip r:embed="rId37" cstate="print"/>
                          <a:stretch>
                            <a:fillRect/>
                          </a:stretch>
                        </pic:blipFill>
                        <pic:spPr>
                          <a:xfrm>
                            <a:off x="0" y="0"/>
                            <a:ext cx="314177"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5"/>
                  <wp:effectExtent l="0" t="0" r="0" b="0"/>
                  <wp:docPr id="1801"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26.jpeg"/>
                          <pic:cNvPicPr/>
                        </pic:nvPicPr>
                        <pic:blipFill>
                          <a:blip r:embed="rId38" cstate="print"/>
                          <a:stretch>
                            <a:fillRect/>
                          </a:stretch>
                        </pic:blipFill>
                        <pic:spPr>
                          <a:xfrm>
                            <a:off x="0" y="0"/>
                            <a:ext cx="314177" cy="310895"/>
                          </a:xfrm>
                          <a:prstGeom prst="rect">
                            <a:avLst/>
                          </a:prstGeom>
                        </pic:spPr>
                      </pic:pic>
                    </a:graphicData>
                  </a:graphic>
                </wp:inline>
              </w:drawing>
            </w:r>
          </w:p>
        </w:tc>
      </w:tr>
      <w:tr w:rsidR="006A7A3F">
        <w:trPr>
          <w:trHeight w:val="1292"/>
        </w:trPr>
        <w:tc>
          <w:tcPr>
            <w:tcW w:w="2438"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793"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258" w:right="-15"/>
              <w:rPr>
                <w:sz w:val="20"/>
              </w:rPr>
            </w:pPr>
            <w:r>
              <w:rPr>
                <w:noProof/>
                <w:sz w:val="20"/>
              </w:rPr>
              <w:drawing>
                <wp:inline distT="0" distB="0" distL="0" distR="0">
                  <wp:extent cx="314173" cy="310895"/>
                  <wp:effectExtent l="0" t="0" r="0" b="0"/>
                  <wp:docPr id="180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21.jpeg"/>
                          <pic:cNvPicPr/>
                        </pic:nvPicPr>
                        <pic:blipFill>
                          <a:blip r:embed="rId33" cstate="print"/>
                          <a:stretch>
                            <a:fillRect/>
                          </a:stretch>
                        </pic:blipFill>
                        <pic:spPr>
                          <a:xfrm>
                            <a:off x="0" y="0"/>
                            <a:ext cx="314173"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4" cy="310895"/>
                  <wp:effectExtent l="0" t="0" r="0" b="0"/>
                  <wp:docPr id="180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27.jpeg"/>
                          <pic:cNvPicPr/>
                        </pic:nvPicPr>
                        <pic:blipFill>
                          <a:blip r:embed="rId39" cstate="print"/>
                          <a:stretch>
                            <a:fillRect/>
                          </a:stretch>
                        </pic:blipFill>
                        <pic:spPr>
                          <a:xfrm>
                            <a:off x="0" y="0"/>
                            <a:ext cx="314164" cy="310895"/>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438"/>
        <w:gridCol w:w="6236"/>
        <w:gridCol w:w="793"/>
        <w:gridCol w:w="708"/>
      </w:tblGrid>
      <w:tr w:rsidR="006A7A3F">
        <w:trPr>
          <w:trHeight w:val="587"/>
        </w:trPr>
        <w:tc>
          <w:tcPr>
            <w:tcW w:w="2438" w:type="dxa"/>
            <w:tcBorders>
              <w:top w:val="nil"/>
              <w:left w:val="nil"/>
              <w:bottom w:val="nil"/>
            </w:tcBorders>
            <w:shd w:val="clear" w:color="auto" w:fill="231F20"/>
          </w:tcPr>
          <w:p w:rsidR="006A7A3F" w:rsidRDefault="00BC7372">
            <w:pPr>
              <w:pStyle w:val="TableParagraph"/>
              <w:spacing w:before="73" w:line="254" w:lineRule="auto"/>
              <w:ind w:left="90" w:right="282"/>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Functional watering objectives</w:t>
            </w:r>
          </w:p>
        </w:tc>
        <w:tc>
          <w:tcPr>
            <w:tcW w:w="1501" w:type="dxa"/>
            <w:gridSpan w:val="2"/>
            <w:tcBorders>
              <w:top w:val="nil"/>
              <w:bottom w:val="nil"/>
            </w:tcBorders>
            <w:shd w:val="clear" w:color="auto" w:fill="231F20"/>
          </w:tcPr>
          <w:p w:rsidR="006A7A3F" w:rsidRDefault="00BC7372">
            <w:pPr>
              <w:pStyle w:val="TableParagraph"/>
              <w:spacing w:before="73" w:line="254" w:lineRule="auto"/>
              <w:ind w:left="85" w:right="135"/>
              <w:rPr>
                <w:b/>
                <w:sz w:val="18"/>
              </w:rPr>
            </w:pPr>
            <w:r>
              <w:rPr>
                <w:b/>
                <w:color w:val="FFFFFF"/>
                <w:sz w:val="18"/>
              </w:rPr>
              <w:t>Environmental objectives</w:t>
            </w:r>
          </w:p>
        </w:tc>
      </w:tr>
      <w:tr w:rsidR="006A7A3F">
        <w:trPr>
          <w:trHeight w:val="620"/>
        </w:trPr>
        <w:tc>
          <w:tcPr>
            <w:tcW w:w="2438"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62"/>
              <w:rPr>
                <w:sz w:val="16"/>
              </w:rPr>
            </w:pPr>
            <w:r>
              <w:rPr>
                <w:color w:val="231F20"/>
                <w:sz w:val="16"/>
              </w:rPr>
              <w:t>Wirra-Lo wetland complex – Red Gum Swamp (fill in spring and top up as required)</w:t>
            </w:r>
          </w:p>
        </w:tc>
        <w:tc>
          <w:tcPr>
            <w:tcW w:w="6236" w:type="dxa"/>
            <w:vMerge w:val="restart"/>
            <w:tcBorders>
              <w:top w:val="nil"/>
              <w:left w:val="single" w:sz="4" w:space="0" w:color="231F20"/>
              <w:bottom w:val="single" w:sz="4" w:space="0" w:color="231F20"/>
              <w:right w:val="single" w:sz="4" w:space="0" w:color="231F20"/>
            </w:tcBorders>
          </w:tcPr>
          <w:p w:rsidR="006A7A3F" w:rsidRPr="00707776" w:rsidRDefault="00BC7372">
            <w:pPr>
              <w:pStyle w:val="TableParagraph"/>
              <w:numPr>
                <w:ilvl w:val="0"/>
                <w:numId w:val="392"/>
              </w:numPr>
              <w:tabs>
                <w:tab w:val="left" w:pos="305"/>
              </w:tabs>
              <w:spacing w:before="63"/>
              <w:rPr>
                <w:sz w:val="16"/>
                <w:szCs w:val="16"/>
              </w:rPr>
            </w:pPr>
            <w:r w:rsidRPr="00707776">
              <w:rPr>
                <w:color w:val="231F20"/>
                <w:sz w:val="16"/>
                <w:szCs w:val="16"/>
              </w:rPr>
              <w:t>Promote the growth and maintenance of existing red gum</w:t>
            </w:r>
            <w:r w:rsidRPr="00707776">
              <w:rPr>
                <w:color w:val="231F20"/>
                <w:spacing w:val="-11"/>
                <w:sz w:val="16"/>
                <w:szCs w:val="16"/>
              </w:rPr>
              <w:t xml:space="preserve"> </w:t>
            </w:r>
            <w:r w:rsidRPr="00707776">
              <w:rPr>
                <w:color w:val="231F20"/>
                <w:sz w:val="16"/>
                <w:szCs w:val="16"/>
              </w:rPr>
              <w:t>trees</w:t>
            </w:r>
          </w:p>
          <w:p w:rsidR="006A7A3F" w:rsidRPr="00707776" w:rsidRDefault="00BC7372">
            <w:pPr>
              <w:pStyle w:val="TableParagraph"/>
              <w:numPr>
                <w:ilvl w:val="0"/>
                <w:numId w:val="392"/>
              </w:numPr>
              <w:tabs>
                <w:tab w:val="left" w:pos="305"/>
              </w:tabs>
              <w:spacing w:before="98" w:line="254" w:lineRule="auto"/>
              <w:ind w:right="246"/>
              <w:rPr>
                <w:sz w:val="16"/>
                <w:szCs w:val="16"/>
              </w:rPr>
            </w:pPr>
            <w:r w:rsidRPr="00707776">
              <w:rPr>
                <w:color w:val="231F20"/>
                <w:sz w:val="16"/>
                <w:szCs w:val="16"/>
              </w:rPr>
              <w:t>Provide feeding and breeding habitats for growling grass frog and other frog species</w:t>
            </w:r>
          </w:p>
          <w:p w:rsidR="006A7A3F" w:rsidRPr="00707776" w:rsidRDefault="00BC7372">
            <w:pPr>
              <w:pStyle w:val="TableParagraph"/>
              <w:numPr>
                <w:ilvl w:val="0"/>
                <w:numId w:val="392"/>
              </w:numPr>
              <w:tabs>
                <w:tab w:val="left" w:pos="305"/>
              </w:tabs>
              <w:spacing w:before="86"/>
              <w:rPr>
                <w:sz w:val="16"/>
                <w:szCs w:val="16"/>
              </w:rPr>
            </w:pPr>
            <w:r w:rsidRPr="00707776">
              <w:rPr>
                <w:color w:val="231F20"/>
                <w:sz w:val="16"/>
                <w:szCs w:val="16"/>
              </w:rPr>
              <w:t>Provide recruitment sites for freshwater turtles</w:t>
            </w:r>
          </w:p>
          <w:p w:rsidR="006A7A3F" w:rsidRPr="00707776" w:rsidRDefault="00BC7372">
            <w:pPr>
              <w:pStyle w:val="TableParagraph"/>
              <w:numPr>
                <w:ilvl w:val="0"/>
                <w:numId w:val="392"/>
              </w:numPr>
              <w:tabs>
                <w:tab w:val="left" w:pos="305"/>
              </w:tabs>
              <w:spacing w:before="98"/>
              <w:rPr>
                <w:sz w:val="16"/>
                <w:szCs w:val="16"/>
              </w:rPr>
            </w:pPr>
            <w:r w:rsidRPr="00707776">
              <w:rPr>
                <w:color w:val="231F20"/>
                <w:sz w:val="16"/>
                <w:szCs w:val="16"/>
              </w:rPr>
              <w:t>Provide resting, feeding and breeding habitat to support</w:t>
            </w:r>
            <w:r w:rsidRPr="00707776">
              <w:rPr>
                <w:color w:val="231F20"/>
                <w:spacing w:val="-13"/>
                <w:sz w:val="16"/>
                <w:szCs w:val="16"/>
              </w:rPr>
              <w:t xml:space="preserve"> </w:t>
            </w:r>
            <w:r w:rsidRPr="00707776">
              <w:rPr>
                <w:color w:val="231F20"/>
                <w:sz w:val="16"/>
                <w:szCs w:val="16"/>
              </w:rPr>
              <w:t>waterbirds</w:t>
            </w:r>
          </w:p>
        </w:tc>
        <w:tc>
          <w:tcPr>
            <w:tcW w:w="793" w:type="dxa"/>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258" w:right="-15"/>
              <w:rPr>
                <w:sz w:val="20"/>
              </w:rPr>
            </w:pPr>
            <w:r>
              <w:rPr>
                <w:noProof/>
                <w:sz w:val="20"/>
              </w:rPr>
              <w:drawing>
                <wp:inline distT="0" distB="0" distL="0" distR="0">
                  <wp:extent cx="314168" cy="310896"/>
                  <wp:effectExtent l="0" t="0" r="0" b="0"/>
                  <wp:docPr id="1807"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809"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852"/>
        </w:trPr>
        <w:tc>
          <w:tcPr>
            <w:tcW w:w="2438"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707776" w:rsidRDefault="006A7A3F">
            <w:pPr>
              <w:rPr>
                <w:sz w:val="16"/>
                <w:szCs w:val="16"/>
              </w:rPr>
            </w:pPr>
          </w:p>
        </w:tc>
        <w:tc>
          <w:tcPr>
            <w:tcW w:w="793" w:type="dxa"/>
            <w:tcBorders>
              <w:top w:val="nil"/>
              <w:left w:val="single" w:sz="4" w:space="0" w:color="231F20"/>
              <w:bottom w:val="single" w:sz="4" w:space="0" w:color="231F20"/>
              <w:right w:val="nil"/>
            </w:tcBorders>
          </w:tcPr>
          <w:p w:rsidR="006A7A3F" w:rsidRDefault="00BC7372">
            <w:pPr>
              <w:pStyle w:val="TableParagraph"/>
              <w:ind w:left="258" w:right="-15"/>
              <w:rPr>
                <w:sz w:val="20"/>
              </w:rPr>
            </w:pPr>
            <w:r>
              <w:rPr>
                <w:noProof/>
                <w:sz w:val="20"/>
              </w:rPr>
              <w:drawing>
                <wp:inline distT="0" distB="0" distL="0" distR="0">
                  <wp:extent cx="314168" cy="310896"/>
                  <wp:effectExtent l="0" t="0" r="0" b="0"/>
                  <wp:docPr id="181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181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1133"/>
        </w:trPr>
        <w:tc>
          <w:tcPr>
            <w:tcW w:w="2438"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Wirra-Lo wetland complex</w:t>
            </w:r>
          </w:p>
          <w:p w:rsidR="006A7A3F" w:rsidRDefault="00BC7372">
            <w:pPr>
              <w:pStyle w:val="TableParagraph"/>
              <w:spacing w:before="16" w:line="261" w:lineRule="auto"/>
              <w:ind w:left="85" w:right="161"/>
              <w:rPr>
                <w:sz w:val="16"/>
              </w:rPr>
            </w:pPr>
            <w:r>
              <w:rPr>
                <w:color w:val="231F20"/>
                <w:sz w:val="16"/>
              </w:rPr>
              <w:t xml:space="preserve">– Bunyip Swamp East and Bunyip Swamp West (top up in spring, and further top-up </w:t>
            </w:r>
            <w:r>
              <w:rPr>
                <w:color w:val="231F20"/>
                <w:spacing w:val="-7"/>
                <w:sz w:val="16"/>
              </w:rPr>
              <w:t xml:space="preserve">as </w:t>
            </w:r>
            <w:r>
              <w:rPr>
                <w:color w:val="231F20"/>
                <w:sz w:val="16"/>
              </w:rPr>
              <w:t>required)</w:t>
            </w:r>
          </w:p>
        </w:tc>
        <w:tc>
          <w:tcPr>
            <w:tcW w:w="6236" w:type="dxa"/>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91"/>
              </w:numPr>
              <w:tabs>
                <w:tab w:val="left" w:pos="305"/>
              </w:tabs>
              <w:spacing w:before="63" w:line="254" w:lineRule="auto"/>
              <w:ind w:right="326"/>
              <w:rPr>
                <w:sz w:val="16"/>
                <w:szCs w:val="16"/>
              </w:rPr>
            </w:pPr>
            <w:r w:rsidRPr="00707776">
              <w:rPr>
                <w:color w:val="231F20"/>
                <w:sz w:val="16"/>
                <w:szCs w:val="16"/>
              </w:rPr>
              <w:t>Support the growth of recently established reed beds to create nesting habitat for Australasian</w:t>
            </w:r>
            <w:r w:rsidRPr="00707776">
              <w:rPr>
                <w:color w:val="231F20"/>
                <w:spacing w:val="-12"/>
                <w:sz w:val="16"/>
                <w:szCs w:val="16"/>
              </w:rPr>
              <w:t xml:space="preserve"> </w:t>
            </w:r>
            <w:r w:rsidRPr="00707776">
              <w:rPr>
                <w:color w:val="231F20"/>
                <w:sz w:val="16"/>
                <w:szCs w:val="16"/>
              </w:rPr>
              <w:t>bittern</w:t>
            </w:r>
          </w:p>
        </w:tc>
        <w:tc>
          <w:tcPr>
            <w:tcW w:w="793" w:type="dxa"/>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258" w:right="-15"/>
              <w:rPr>
                <w:sz w:val="20"/>
              </w:rPr>
            </w:pPr>
            <w:r>
              <w:rPr>
                <w:noProof/>
                <w:sz w:val="20"/>
              </w:rPr>
              <w:drawing>
                <wp:inline distT="0" distB="0" distL="0" distR="0">
                  <wp:extent cx="314168" cy="310896"/>
                  <wp:effectExtent l="0" t="0" r="0" b="0"/>
                  <wp:docPr id="181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58" cy="310896"/>
                  <wp:effectExtent l="0" t="0" r="0" b="0"/>
                  <wp:docPr id="181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27.jpeg"/>
                          <pic:cNvPicPr/>
                        </pic:nvPicPr>
                        <pic:blipFill>
                          <a:blip r:embed="rId39" cstate="print"/>
                          <a:stretch>
                            <a:fillRect/>
                          </a:stretch>
                        </pic:blipFill>
                        <pic:spPr>
                          <a:xfrm>
                            <a:off x="0" y="0"/>
                            <a:ext cx="314158" cy="310896"/>
                          </a:xfrm>
                          <a:prstGeom prst="rect">
                            <a:avLst/>
                          </a:prstGeom>
                        </pic:spPr>
                      </pic:pic>
                    </a:graphicData>
                  </a:graphic>
                </wp:inline>
              </w:drawing>
            </w:r>
          </w:p>
        </w:tc>
      </w:tr>
      <w:tr w:rsidR="006A7A3F">
        <w:trPr>
          <w:trHeight w:val="787"/>
        </w:trPr>
        <w:tc>
          <w:tcPr>
            <w:tcW w:w="2438"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70"/>
              <w:rPr>
                <w:sz w:val="16"/>
              </w:rPr>
            </w:pPr>
            <w:r>
              <w:rPr>
                <w:color w:val="231F20"/>
                <w:sz w:val="16"/>
              </w:rPr>
              <w:t>Third Reedy Lake – (top up as required)</w:t>
            </w:r>
          </w:p>
        </w:tc>
        <w:tc>
          <w:tcPr>
            <w:tcW w:w="6236" w:type="dxa"/>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90"/>
              </w:numPr>
              <w:tabs>
                <w:tab w:val="left" w:pos="305"/>
              </w:tabs>
              <w:spacing w:before="63" w:line="254" w:lineRule="auto"/>
              <w:ind w:right="497"/>
              <w:rPr>
                <w:sz w:val="16"/>
                <w:szCs w:val="16"/>
              </w:rPr>
            </w:pPr>
            <w:r w:rsidRPr="00707776">
              <w:rPr>
                <w:color w:val="231F20"/>
                <w:sz w:val="16"/>
                <w:szCs w:val="16"/>
              </w:rPr>
              <w:t>Maintain</w:t>
            </w:r>
            <w:r w:rsidRPr="00707776">
              <w:rPr>
                <w:color w:val="231F20"/>
                <w:spacing w:val="-3"/>
                <w:sz w:val="16"/>
                <w:szCs w:val="16"/>
              </w:rPr>
              <w:t xml:space="preserve"> </w:t>
            </w:r>
            <w:r w:rsidRPr="00707776">
              <w:rPr>
                <w:color w:val="231F20"/>
                <w:sz w:val="16"/>
                <w:szCs w:val="16"/>
              </w:rPr>
              <w:t>water</w:t>
            </w:r>
            <w:r w:rsidRPr="00707776">
              <w:rPr>
                <w:color w:val="231F20"/>
                <w:spacing w:val="-4"/>
                <w:sz w:val="16"/>
                <w:szCs w:val="16"/>
              </w:rPr>
              <w:t xml:space="preserve"> </w:t>
            </w:r>
            <w:r w:rsidRPr="00707776">
              <w:rPr>
                <w:color w:val="231F20"/>
                <w:sz w:val="16"/>
                <w:szCs w:val="16"/>
              </w:rPr>
              <w:t>level</w:t>
            </w:r>
            <w:r w:rsidRPr="00707776">
              <w:rPr>
                <w:color w:val="231F20"/>
                <w:spacing w:val="-4"/>
                <w:sz w:val="16"/>
                <w:szCs w:val="16"/>
              </w:rPr>
              <w:t xml:space="preserve"> </w:t>
            </w:r>
            <w:r w:rsidRPr="00707776">
              <w:rPr>
                <w:color w:val="231F20"/>
                <w:sz w:val="16"/>
                <w:szCs w:val="16"/>
              </w:rPr>
              <w:t>above</w:t>
            </w:r>
            <w:r w:rsidRPr="00707776">
              <w:rPr>
                <w:color w:val="231F20"/>
                <w:spacing w:val="-3"/>
                <w:sz w:val="16"/>
                <w:szCs w:val="16"/>
              </w:rPr>
              <w:t xml:space="preserve"> </w:t>
            </w:r>
            <w:r w:rsidRPr="00707776">
              <w:rPr>
                <w:color w:val="231F20"/>
                <w:sz w:val="16"/>
                <w:szCs w:val="16"/>
              </w:rPr>
              <w:t>74.0m</w:t>
            </w:r>
            <w:r w:rsidRPr="00707776">
              <w:rPr>
                <w:color w:val="231F20"/>
                <w:spacing w:val="-13"/>
                <w:sz w:val="16"/>
                <w:szCs w:val="16"/>
              </w:rPr>
              <w:t xml:space="preserve"> </w:t>
            </w:r>
            <w:r w:rsidRPr="00707776">
              <w:rPr>
                <w:color w:val="231F20"/>
                <w:sz w:val="16"/>
                <w:szCs w:val="16"/>
              </w:rPr>
              <w:t>AHD</w:t>
            </w:r>
            <w:r w:rsidRPr="00707776">
              <w:rPr>
                <w:color w:val="231F20"/>
                <w:spacing w:val="-2"/>
                <w:sz w:val="16"/>
                <w:szCs w:val="16"/>
              </w:rPr>
              <w:t xml:space="preserve"> </w:t>
            </w:r>
            <w:r w:rsidRPr="00707776">
              <w:rPr>
                <w:color w:val="231F20"/>
                <w:sz w:val="16"/>
                <w:szCs w:val="16"/>
              </w:rPr>
              <w:t>(Australian</w:t>
            </w:r>
            <w:r w:rsidRPr="00707776">
              <w:rPr>
                <w:color w:val="231F20"/>
                <w:spacing w:val="-3"/>
                <w:sz w:val="16"/>
                <w:szCs w:val="16"/>
              </w:rPr>
              <w:t xml:space="preserve"> </w:t>
            </w:r>
            <w:r w:rsidRPr="00707776">
              <w:rPr>
                <w:color w:val="231F20"/>
                <w:sz w:val="16"/>
                <w:szCs w:val="16"/>
              </w:rPr>
              <w:t>Height</w:t>
            </w:r>
            <w:r w:rsidRPr="00707776">
              <w:rPr>
                <w:color w:val="231F20"/>
                <w:spacing w:val="-4"/>
                <w:sz w:val="16"/>
                <w:szCs w:val="16"/>
              </w:rPr>
              <w:t xml:space="preserve"> </w:t>
            </w:r>
            <w:r w:rsidRPr="00707776">
              <w:rPr>
                <w:color w:val="231F20"/>
                <w:sz w:val="16"/>
                <w:szCs w:val="16"/>
              </w:rPr>
              <w:t>Datum)</w:t>
            </w:r>
            <w:r w:rsidRPr="00707776">
              <w:rPr>
                <w:color w:val="231F20"/>
                <w:spacing w:val="-4"/>
                <w:sz w:val="16"/>
                <w:szCs w:val="16"/>
              </w:rPr>
              <w:t xml:space="preserve"> </w:t>
            </w:r>
            <w:r w:rsidRPr="00707776">
              <w:rPr>
                <w:color w:val="231F20"/>
                <w:sz w:val="16"/>
                <w:szCs w:val="16"/>
              </w:rPr>
              <w:t>to support critical habitat and breeding for the southern purple spotted gudgeon</w:t>
            </w:r>
          </w:p>
        </w:tc>
        <w:tc>
          <w:tcPr>
            <w:tcW w:w="1501"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258"/>
              <w:rPr>
                <w:sz w:val="20"/>
              </w:rPr>
            </w:pPr>
            <w:r>
              <w:rPr>
                <w:noProof/>
                <w:sz w:val="20"/>
              </w:rPr>
              <w:drawing>
                <wp:inline distT="0" distB="0" distL="0" distR="0">
                  <wp:extent cx="314172" cy="310896"/>
                  <wp:effectExtent l="0" t="0" r="0" b="0"/>
                  <wp:docPr id="181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19.jpeg"/>
                          <pic:cNvPicPr/>
                        </pic:nvPicPr>
                        <pic:blipFill>
                          <a:blip r:embed="rId31" cstate="print"/>
                          <a:stretch>
                            <a:fillRect/>
                          </a:stretch>
                        </pic:blipFill>
                        <pic:spPr>
                          <a:xfrm>
                            <a:off x="0" y="0"/>
                            <a:ext cx="314172" cy="310896"/>
                          </a:xfrm>
                          <a:prstGeom prst="rect">
                            <a:avLst/>
                          </a:prstGeom>
                        </pic:spPr>
                      </pic:pic>
                    </a:graphicData>
                  </a:graphic>
                </wp:inline>
              </w:drawing>
            </w:r>
          </w:p>
        </w:tc>
      </w:tr>
      <w:tr w:rsidR="006A7A3F">
        <w:trPr>
          <w:trHeight w:val="1312"/>
        </w:trPr>
        <w:tc>
          <w:tcPr>
            <w:tcW w:w="2438"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24"/>
              <w:rPr>
                <w:sz w:val="16"/>
              </w:rPr>
            </w:pPr>
            <w:r>
              <w:rPr>
                <w:color w:val="231F20"/>
                <w:sz w:val="16"/>
              </w:rPr>
              <w:t>McDonalds Swamp (fill in late winter/spring, and top up as required)</w:t>
            </w:r>
          </w:p>
        </w:tc>
        <w:tc>
          <w:tcPr>
            <w:tcW w:w="6236" w:type="dxa"/>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89"/>
              </w:numPr>
              <w:tabs>
                <w:tab w:val="left" w:pos="305"/>
              </w:tabs>
              <w:spacing w:before="63" w:line="254" w:lineRule="auto"/>
              <w:ind w:right="98"/>
              <w:rPr>
                <w:sz w:val="16"/>
                <w:szCs w:val="16"/>
              </w:rPr>
            </w:pPr>
            <w:r w:rsidRPr="00707776">
              <w:rPr>
                <w:color w:val="231F20"/>
                <w:sz w:val="16"/>
                <w:szCs w:val="16"/>
              </w:rPr>
              <w:t>Promote the growth of planted and naturally recruited river red gums, native</w:t>
            </w:r>
            <w:r w:rsidRPr="00707776">
              <w:rPr>
                <w:color w:val="231F20"/>
                <w:spacing w:val="-7"/>
                <w:sz w:val="16"/>
                <w:szCs w:val="16"/>
              </w:rPr>
              <w:t xml:space="preserve"> </w:t>
            </w:r>
            <w:r w:rsidRPr="00707776">
              <w:rPr>
                <w:color w:val="231F20"/>
                <w:sz w:val="16"/>
                <w:szCs w:val="16"/>
              </w:rPr>
              <w:t>semi-aquatic</w:t>
            </w:r>
            <w:r w:rsidRPr="00707776">
              <w:rPr>
                <w:color w:val="231F20"/>
                <w:spacing w:val="-5"/>
                <w:sz w:val="16"/>
                <w:szCs w:val="16"/>
              </w:rPr>
              <w:t xml:space="preserve"> </w:t>
            </w:r>
            <w:r w:rsidRPr="00707776">
              <w:rPr>
                <w:color w:val="231F20"/>
                <w:sz w:val="16"/>
                <w:szCs w:val="16"/>
              </w:rPr>
              <w:t>and</w:t>
            </w:r>
            <w:r w:rsidRPr="00707776">
              <w:rPr>
                <w:color w:val="231F20"/>
                <w:spacing w:val="-6"/>
                <w:sz w:val="16"/>
                <w:szCs w:val="16"/>
              </w:rPr>
              <w:t xml:space="preserve"> </w:t>
            </w:r>
            <w:r w:rsidRPr="00707776">
              <w:rPr>
                <w:color w:val="231F20"/>
                <w:sz w:val="16"/>
                <w:szCs w:val="16"/>
              </w:rPr>
              <w:t>aquatic</w:t>
            </w:r>
            <w:r w:rsidRPr="00707776">
              <w:rPr>
                <w:color w:val="231F20"/>
                <w:spacing w:val="-6"/>
                <w:sz w:val="16"/>
                <w:szCs w:val="16"/>
              </w:rPr>
              <w:t xml:space="preserve"> </w:t>
            </w:r>
            <w:r w:rsidRPr="00707776">
              <w:rPr>
                <w:color w:val="231F20"/>
                <w:sz w:val="16"/>
                <w:szCs w:val="16"/>
              </w:rPr>
              <w:t>plants,</w:t>
            </w:r>
            <w:r w:rsidRPr="00707776">
              <w:rPr>
                <w:color w:val="231F20"/>
                <w:spacing w:val="-6"/>
                <w:sz w:val="16"/>
                <w:szCs w:val="16"/>
              </w:rPr>
              <w:t xml:space="preserve"> </w:t>
            </w:r>
            <w:r w:rsidRPr="00707776">
              <w:rPr>
                <w:color w:val="231F20"/>
                <w:sz w:val="16"/>
                <w:szCs w:val="16"/>
              </w:rPr>
              <w:t>which</w:t>
            </w:r>
            <w:r w:rsidRPr="00707776">
              <w:rPr>
                <w:color w:val="231F20"/>
                <w:spacing w:val="-6"/>
                <w:sz w:val="16"/>
                <w:szCs w:val="16"/>
              </w:rPr>
              <w:t xml:space="preserve"> </w:t>
            </w:r>
            <w:r w:rsidRPr="00707776">
              <w:rPr>
                <w:color w:val="231F20"/>
                <w:sz w:val="16"/>
                <w:szCs w:val="16"/>
              </w:rPr>
              <w:t>provide</w:t>
            </w:r>
            <w:r w:rsidRPr="00707776">
              <w:rPr>
                <w:color w:val="231F20"/>
                <w:spacing w:val="-7"/>
                <w:sz w:val="16"/>
                <w:szCs w:val="16"/>
              </w:rPr>
              <w:t xml:space="preserve"> </w:t>
            </w:r>
            <w:r w:rsidRPr="00707776">
              <w:rPr>
                <w:color w:val="231F20"/>
                <w:sz w:val="16"/>
                <w:szCs w:val="16"/>
              </w:rPr>
              <w:t>high-quality</w:t>
            </w:r>
            <w:r w:rsidRPr="00707776">
              <w:rPr>
                <w:color w:val="231F20"/>
                <w:spacing w:val="-6"/>
                <w:sz w:val="16"/>
                <w:szCs w:val="16"/>
              </w:rPr>
              <w:t xml:space="preserve"> </w:t>
            </w:r>
            <w:r w:rsidRPr="00707776">
              <w:rPr>
                <w:color w:val="231F20"/>
                <w:sz w:val="16"/>
                <w:szCs w:val="16"/>
              </w:rPr>
              <w:t>habitat for waterbirds to feed and</w:t>
            </w:r>
            <w:r w:rsidRPr="00707776">
              <w:rPr>
                <w:color w:val="231F20"/>
                <w:spacing w:val="-4"/>
                <w:sz w:val="16"/>
                <w:szCs w:val="16"/>
              </w:rPr>
              <w:t xml:space="preserve"> </w:t>
            </w:r>
            <w:r w:rsidRPr="00707776">
              <w:rPr>
                <w:color w:val="231F20"/>
                <w:sz w:val="16"/>
                <w:szCs w:val="16"/>
              </w:rPr>
              <w:t>breed</w:t>
            </w:r>
          </w:p>
          <w:p w:rsidR="006A7A3F" w:rsidRPr="00707776" w:rsidRDefault="00BC7372">
            <w:pPr>
              <w:pStyle w:val="TableParagraph"/>
              <w:numPr>
                <w:ilvl w:val="0"/>
                <w:numId w:val="389"/>
              </w:numPr>
              <w:tabs>
                <w:tab w:val="left" w:pos="305"/>
              </w:tabs>
              <w:spacing w:before="87" w:line="254" w:lineRule="auto"/>
              <w:ind w:right="817"/>
              <w:rPr>
                <w:sz w:val="16"/>
                <w:szCs w:val="16"/>
              </w:rPr>
            </w:pPr>
            <w:r w:rsidRPr="00707776">
              <w:rPr>
                <w:color w:val="231F20"/>
                <w:sz w:val="16"/>
                <w:szCs w:val="16"/>
              </w:rPr>
              <w:t>Maintain feeding conditions for waterbirds if significant waterbird breeding</w:t>
            </w:r>
            <w:r w:rsidRPr="00707776">
              <w:rPr>
                <w:color w:val="231F20"/>
                <w:spacing w:val="-2"/>
                <w:sz w:val="16"/>
                <w:szCs w:val="16"/>
              </w:rPr>
              <w:t xml:space="preserve"> </w:t>
            </w:r>
            <w:r w:rsidRPr="00707776">
              <w:rPr>
                <w:color w:val="231F20"/>
                <w:sz w:val="16"/>
                <w:szCs w:val="16"/>
              </w:rPr>
              <w:t>occurs</w:t>
            </w:r>
          </w:p>
        </w:tc>
        <w:tc>
          <w:tcPr>
            <w:tcW w:w="793" w:type="dxa"/>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258" w:right="-15"/>
              <w:rPr>
                <w:sz w:val="20"/>
              </w:rPr>
            </w:pPr>
            <w:r>
              <w:rPr>
                <w:noProof/>
                <w:sz w:val="20"/>
              </w:rPr>
              <w:drawing>
                <wp:inline distT="0" distB="0" distL="0" distR="0">
                  <wp:extent cx="314168" cy="310896"/>
                  <wp:effectExtent l="0" t="0" r="0" b="0"/>
                  <wp:docPr id="182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82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620"/>
        </w:trPr>
        <w:tc>
          <w:tcPr>
            <w:tcW w:w="2438"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73"/>
              <w:rPr>
                <w:sz w:val="16"/>
              </w:rPr>
            </w:pPr>
            <w:r>
              <w:rPr>
                <w:color w:val="231F20"/>
                <w:sz w:val="16"/>
              </w:rPr>
              <w:t>Hird Swamp (west) (fill in spring and top up as required)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88"/>
              </w:numPr>
              <w:tabs>
                <w:tab w:val="left" w:pos="305"/>
              </w:tabs>
              <w:spacing w:before="63" w:line="254" w:lineRule="auto"/>
              <w:ind w:right="206"/>
              <w:rPr>
                <w:sz w:val="16"/>
                <w:szCs w:val="16"/>
              </w:rPr>
            </w:pPr>
            <w:r w:rsidRPr="00707776">
              <w:rPr>
                <w:color w:val="231F20"/>
                <w:sz w:val="16"/>
                <w:szCs w:val="16"/>
              </w:rPr>
              <w:t>Promote the growth and establishment of wetland plant communities to provide high quality habitat for waterbirds, reptiles and frogs to feed and breed</w:t>
            </w:r>
          </w:p>
          <w:p w:rsidR="006A7A3F" w:rsidRPr="00707776" w:rsidRDefault="00BC7372">
            <w:pPr>
              <w:pStyle w:val="TableParagraph"/>
              <w:numPr>
                <w:ilvl w:val="0"/>
                <w:numId w:val="388"/>
              </w:numPr>
              <w:tabs>
                <w:tab w:val="left" w:pos="305"/>
              </w:tabs>
              <w:spacing w:before="87"/>
              <w:rPr>
                <w:sz w:val="16"/>
                <w:szCs w:val="16"/>
              </w:rPr>
            </w:pPr>
            <w:r w:rsidRPr="00707776">
              <w:rPr>
                <w:color w:val="231F20"/>
                <w:sz w:val="16"/>
                <w:szCs w:val="16"/>
              </w:rPr>
              <w:t>Maintain food for nesting waterbirds if significant breeding</w:t>
            </w:r>
            <w:r w:rsidRPr="00707776">
              <w:rPr>
                <w:color w:val="231F20"/>
                <w:spacing w:val="-14"/>
                <w:sz w:val="16"/>
                <w:szCs w:val="16"/>
              </w:rPr>
              <w:t xml:space="preserve"> </w:t>
            </w:r>
            <w:r w:rsidRPr="00707776">
              <w:rPr>
                <w:color w:val="231F20"/>
                <w:sz w:val="16"/>
                <w:szCs w:val="16"/>
              </w:rPr>
              <w:t>occurs</w:t>
            </w:r>
          </w:p>
        </w:tc>
        <w:tc>
          <w:tcPr>
            <w:tcW w:w="793"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258" w:right="-15"/>
              <w:rPr>
                <w:sz w:val="20"/>
              </w:rPr>
            </w:pPr>
            <w:r>
              <w:rPr>
                <w:noProof/>
                <w:sz w:val="20"/>
              </w:rPr>
              <w:drawing>
                <wp:inline distT="0" distB="0" distL="0" distR="0">
                  <wp:extent cx="314168" cy="310896"/>
                  <wp:effectExtent l="0" t="0" r="0" b="0"/>
                  <wp:docPr id="182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827"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622"/>
        </w:trPr>
        <w:tc>
          <w:tcPr>
            <w:tcW w:w="2438"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707776" w:rsidRDefault="006A7A3F">
            <w:pPr>
              <w:rPr>
                <w:sz w:val="16"/>
                <w:szCs w:val="16"/>
              </w:rPr>
            </w:pPr>
          </w:p>
        </w:tc>
        <w:tc>
          <w:tcPr>
            <w:tcW w:w="793" w:type="dxa"/>
            <w:tcBorders>
              <w:top w:val="nil"/>
              <w:left w:val="single" w:sz="4" w:space="0" w:color="231F20"/>
              <w:bottom w:val="single" w:sz="4" w:space="0" w:color="231F20"/>
              <w:right w:val="nil"/>
            </w:tcBorders>
          </w:tcPr>
          <w:p w:rsidR="006A7A3F" w:rsidRDefault="00BC7372">
            <w:pPr>
              <w:pStyle w:val="TableParagraph"/>
              <w:ind w:left="258" w:right="-15"/>
              <w:rPr>
                <w:sz w:val="20"/>
              </w:rPr>
            </w:pPr>
            <w:r>
              <w:rPr>
                <w:noProof/>
                <w:sz w:val="20"/>
              </w:rPr>
              <w:drawing>
                <wp:inline distT="0" distB="0" distL="0" distR="0">
                  <wp:extent cx="314168" cy="310896"/>
                  <wp:effectExtent l="0" t="0" r="0" b="0"/>
                  <wp:docPr id="182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183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733"/>
        </w:trPr>
        <w:tc>
          <w:tcPr>
            <w:tcW w:w="2438"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64"/>
              <w:rPr>
                <w:sz w:val="16"/>
              </w:rPr>
            </w:pPr>
            <w:r>
              <w:rPr>
                <w:color w:val="231F20"/>
                <w:sz w:val="16"/>
              </w:rPr>
              <w:t>Hird Swamp (west) (through- flow to Pyramid Creek in spring/ summer)</w:t>
            </w:r>
          </w:p>
        </w:tc>
        <w:tc>
          <w:tcPr>
            <w:tcW w:w="6236" w:type="dxa"/>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87"/>
              </w:numPr>
              <w:tabs>
                <w:tab w:val="left" w:pos="305"/>
              </w:tabs>
              <w:spacing w:before="63" w:line="254" w:lineRule="auto"/>
              <w:ind w:right="88"/>
              <w:rPr>
                <w:sz w:val="16"/>
                <w:szCs w:val="16"/>
              </w:rPr>
            </w:pPr>
            <w:r w:rsidRPr="00707776">
              <w:rPr>
                <w:color w:val="231F20"/>
                <w:sz w:val="16"/>
                <w:szCs w:val="16"/>
              </w:rPr>
              <w:t>Deliver</w:t>
            </w:r>
            <w:r w:rsidRPr="00707776">
              <w:rPr>
                <w:color w:val="231F20"/>
                <w:spacing w:val="-5"/>
                <w:sz w:val="16"/>
                <w:szCs w:val="16"/>
              </w:rPr>
              <w:t xml:space="preserve"> </w:t>
            </w:r>
            <w:r w:rsidRPr="00707776">
              <w:rPr>
                <w:color w:val="231F20"/>
                <w:sz w:val="16"/>
                <w:szCs w:val="16"/>
              </w:rPr>
              <w:t>carbon-rich</w:t>
            </w:r>
            <w:r w:rsidRPr="00707776">
              <w:rPr>
                <w:color w:val="231F20"/>
                <w:spacing w:val="-3"/>
                <w:sz w:val="16"/>
                <w:szCs w:val="16"/>
              </w:rPr>
              <w:t xml:space="preserve"> </w:t>
            </w:r>
            <w:r w:rsidRPr="00707776">
              <w:rPr>
                <w:color w:val="231F20"/>
                <w:sz w:val="16"/>
                <w:szCs w:val="16"/>
              </w:rPr>
              <w:t>water</w:t>
            </w:r>
            <w:r w:rsidRPr="00707776">
              <w:rPr>
                <w:color w:val="231F20"/>
                <w:spacing w:val="-4"/>
                <w:sz w:val="16"/>
                <w:szCs w:val="16"/>
              </w:rPr>
              <w:t xml:space="preserve"> </w:t>
            </w:r>
            <w:r w:rsidRPr="00707776">
              <w:rPr>
                <w:color w:val="231F20"/>
                <w:sz w:val="16"/>
                <w:szCs w:val="16"/>
              </w:rPr>
              <w:t>to</w:t>
            </w:r>
            <w:r w:rsidRPr="00707776">
              <w:rPr>
                <w:color w:val="231F20"/>
                <w:spacing w:val="-3"/>
                <w:sz w:val="16"/>
                <w:szCs w:val="16"/>
              </w:rPr>
              <w:t xml:space="preserve"> </w:t>
            </w:r>
            <w:r w:rsidRPr="00707776">
              <w:rPr>
                <w:color w:val="231F20"/>
                <w:sz w:val="16"/>
                <w:szCs w:val="16"/>
              </w:rPr>
              <w:t>Pyramid</w:t>
            </w:r>
            <w:r w:rsidRPr="00707776">
              <w:rPr>
                <w:color w:val="231F20"/>
                <w:spacing w:val="-3"/>
                <w:sz w:val="16"/>
                <w:szCs w:val="16"/>
              </w:rPr>
              <w:t xml:space="preserve"> </w:t>
            </w:r>
            <w:r w:rsidRPr="00707776">
              <w:rPr>
                <w:color w:val="231F20"/>
                <w:sz w:val="16"/>
                <w:szCs w:val="16"/>
              </w:rPr>
              <w:t>Creek</w:t>
            </w:r>
            <w:r w:rsidRPr="00707776">
              <w:rPr>
                <w:color w:val="231F20"/>
                <w:spacing w:val="-4"/>
                <w:sz w:val="16"/>
                <w:szCs w:val="16"/>
              </w:rPr>
              <w:t xml:space="preserve"> </w:t>
            </w:r>
            <w:r w:rsidRPr="00707776">
              <w:rPr>
                <w:color w:val="231F20"/>
                <w:sz w:val="16"/>
                <w:szCs w:val="16"/>
              </w:rPr>
              <w:t>to</w:t>
            </w:r>
            <w:r w:rsidRPr="00707776">
              <w:rPr>
                <w:color w:val="231F20"/>
                <w:spacing w:val="-4"/>
                <w:sz w:val="16"/>
                <w:szCs w:val="16"/>
              </w:rPr>
              <w:t xml:space="preserve"> </w:t>
            </w:r>
            <w:r w:rsidRPr="00707776">
              <w:rPr>
                <w:color w:val="231F20"/>
                <w:sz w:val="16"/>
                <w:szCs w:val="16"/>
              </w:rPr>
              <w:t>increase</w:t>
            </w:r>
            <w:r w:rsidRPr="00707776">
              <w:rPr>
                <w:color w:val="231F20"/>
                <w:spacing w:val="-4"/>
                <w:sz w:val="16"/>
                <w:szCs w:val="16"/>
              </w:rPr>
              <w:t xml:space="preserve"> </w:t>
            </w:r>
            <w:r w:rsidRPr="00707776">
              <w:rPr>
                <w:color w:val="231F20"/>
                <w:sz w:val="16"/>
                <w:szCs w:val="16"/>
              </w:rPr>
              <w:t>the</w:t>
            </w:r>
            <w:r w:rsidRPr="00707776">
              <w:rPr>
                <w:color w:val="231F20"/>
                <w:spacing w:val="-3"/>
                <w:sz w:val="16"/>
                <w:szCs w:val="16"/>
              </w:rPr>
              <w:t xml:space="preserve"> </w:t>
            </w:r>
            <w:r w:rsidRPr="00707776">
              <w:rPr>
                <w:color w:val="231F20"/>
                <w:sz w:val="16"/>
                <w:szCs w:val="16"/>
              </w:rPr>
              <w:t>productivity</w:t>
            </w:r>
            <w:r w:rsidRPr="00707776">
              <w:rPr>
                <w:color w:val="231F20"/>
                <w:spacing w:val="-4"/>
                <w:sz w:val="16"/>
                <w:szCs w:val="16"/>
              </w:rPr>
              <w:t xml:space="preserve"> </w:t>
            </w:r>
            <w:r w:rsidRPr="00707776">
              <w:rPr>
                <w:color w:val="231F20"/>
                <w:sz w:val="16"/>
                <w:szCs w:val="16"/>
              </w:rPr>
              <w:t>of riverine food</w:t>
            </w:r>
            <w:r w:rsidRPr="00707776">
              <w:rPr>
                <w:color w:val="231F20"/>
                <w:spacing w:val="-1"/>
                <w:sz w:val="16"/>
                <w:szCs w:val="16"/>
              </w:rPr>
              <w:t xml:space="preserve"> </w:t>
            </w:r>
            <w:r w:rsidRPr="00707776">
              <w:rPr>
                <w:color w:val="231F20"/>
                <w:sz w:val="16"/>
                <w:szCs w:val="16"/>
              </w:rPr>
              <w:t>webs</w:t>
            </w:r>
          </w:p>
        </w:tc>
        <w:tc>
          <w:tcPr>
            <w:tcW w:w="1501"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258"/>
              <w:rPr>
                <w:sz w:val="20"/>
              </w:rPr>
            </w:pPr>
            <w:r>
              <w:rPr>
                <w:noProof/>
                <w:sz w:val="20"/>
              </w:rPr>
              <w:drawing>
                <wp:inline distT="0" distB="0" distL="0" distR="0">
                  <wp:extent cx="314168" cy="310896"/>
                  <wp:effectExtent l="0" t="0" r="0" b="0"/>
                  <wp:docPr id="1833"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42.jpeg"/>
                          <pic:cNvPicPr/>
                        </pic:nvPicPr>
                        <pic:blipFill>
                          <a:blip r:embed="rId54" cstate="print"/>
                          <a:stretch>
                            <a:fillRect/>
                          </a:stretch>
                        </pic:blipFill>
                        <pic:spPr>
                          <a:xfrm>
                            <a:off x="0" y="0"/>
                            <a:ext cx="314168" cy="310896"/>
                          </a:xfrm>
                          <a:prstGeom prst="rect">
                            <a:avLst/>
                          </a:prstGeom>
                        </pic:spPr>
                      </pic:pic>
                    </a:graphicData>
                  </a:graphic>
                </wp:inline>
              </w:drawing>
            </w:r>
          </w:p>
        </w:tc>
      </w:tr>
      <w:tr w:rsidR="006A7A3F">
        <w:trPr>
          <w:trHeight w:val="620"/>
        </w:trPr>
        <w:tc>
          <w:tcPr>
            <w:tcW w:w="2438"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349"/>
              <w:jc w:val="both"/>
              <w:rPr>
                <w:sz w:val="16"/>
              </w:rPr>
            </w:pPr>
            <w:r>
              <w:rPr>
                <w:color w:val="231F20"/>
                <w:sz w:val="16"/>
              </w:rPr>
              <w:t>Guttrum Forest (partial fill in winter 2020, with top-ups in spring/summer if required to support waterbird breeding)</w:t>
            </w:r>
          </w:p>
          <w:p w:rsidR="006A7A3F" w:rsidRDefault="006A7A3F">
            <w:pPr>
              <w:pStyle w:val="TableParagraph"/>
              <w:spacing w:before="3"/>
              <w:ind w:left="0"/>
              <w:rPr>
                <w:b/>
                <w:sz w:val="8"/>
              </w:rPr>
            </w:pPr>
          </w:p>
          <w:p w:rsidR="006A7A3F" w:rsidRDefault="00BC7372">
            <w:pPr>
              <w:pStyle w:val="TableParagraph"/>
              <w:ind w:left="85"/>
              <w:rPr>
                <w:sz w:val="20"/>
              </w:rPr>
            </w:pPr>
            <w:r>
              <w:rPr>
                <w:noProof/>
                <w:sz w:val="20"/>
              </w:rPr>
              <w:drawing>
                <wp:inline distT="0" distB="0" distL="0" distR="0">
                  <wp:extent cx="313943" cy="313944"/>
                  <wp:effectExtent l="0" t="0" r="0" b="0"/>
                  <wp:docPr id="1835"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43.jpeg"/>
                          <pic:cNvPicPr/>
                        </pic:nvPicPr>
                        <pic:blipFill>
                          <a:blip r:embed="rId55" cstate="print"/>
                          <a:stretch>
                            <a:fillRect/>
                          </a:stretch>
                        </pic:blipFill>
                        <pic:spPr>
                          <a:xfrm>
                            <a:off x="0" y="0"/>
                            <a:ext cx="313943" cy="313944"/>
                          </a:xfrm>
                          <a:prstGeom prst="rect">
                            <a:avLst/>
                          </a:prstGeom>
                        </pic:spPr>
                      </pic:pic>
                    </a:graphicData>
                  </a:graphic>
                </wp:inline>
              </w:drawing>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86"/>
              </w:numPr>
              <w:tabs>
                <w:tab w:val="left" w:pos="305"/>
              </w:tabs>
              <w:spacing w:before="63" w:line="254" w:lineRule="auto"/>
              <w:ind w:right="261"/>
              <w:rPr>
                <w:sz w:val="16"/>
                <w:szCs w:val="16"/>
              </w:rPr>
            </w:pPr>
            <w:r w:rsidRPr="00707776">
              <w:rPr>
                <w:color w:val="231F20"/>
                <w:sz w:val="16"/>
                <w:szCs w:val="16"/>
              </w:rPr>
              <w:t>Wet existing adult river red gums to support growth and drown river</w:t>
            </w:r>
            <w:r w:rsidRPr="00707776">
              <w:rPr>
                <w:color w:val="231F20"/>
                <w:spacing w:val="-36"/>
                <w:sz w:val="16"/>
                <w:szCs w:val="16"/>
              </w:rPr>
              <w:t xml:space="preserve"> </w:t>
            </w:r>
            <w:r w:rsidRPr="00707776">
              <w:rPr>
                <w:color w:val="231F20"/>
                <w:sz w:val="16"/>
                <w:szCs w:val="16"/>
              </w:rPr>
              <w:t>red gum saplings to maintain open-water</w:t>
            </w:r>
            <w:r w:rsidRPr="00707776">
              <w:rPr>
                <w:color w:val="231F20"/>
                <w:spacing w:val="-4"/>
                <w:sz w:val="16"/>
                <w:szCs w:val="16"/>
              </w:rPr>
              <w:t xml:space="preserve"> </w:t>
            </w:r>
            <w:r w:rsidRPr="00707776">
              <w:rPr>
                <w:color w:val="231F20"/>
                <w:sz w:val="16"/>
                <w:szCs w:val="16"/>
              </w:rPr>
              <w:t>habitat</w:t>
            </w:r>
          </w:p>
          <w:p w:rsidR="006A7A3F" w:rsidRPr="00707776" w:rsidRDefault="00BC7372">
            <w:pPr>
              <w:pStyle w:val="TableParagraph"/>
              <w:numPr>
                <w:ilvl w:val="0"/>
                <w:numId w:val="386"/>
              </w:numPr>
              <w:tabs>
                <w:tab w:val="left" w:pos="305"/>
              </w:tabs>
              <w:spacing w:before="86" w:line="254" w:lineRule="auto"/>
              <w:ind w:right="606"/>
              <w:rPr>
                <w:sz w:val="16"/>
                <w:szCs w:val="16"/>
              </w:rPr>
            </w:pPr>
            <w:r w:rsidRPr="00707776">
              <w:rPr>
                <w:color w:val="231F20"/>
                <w:sz w:val="16"/>
                <w:szCs w:val="16"/>
              </w:rPr>
              <w:t>Promote the growth and re-establishment of aquatic and tall marsh vegetation</w:t>
            </w:r>
          </w:p>
          <w:p w:rsidR="006A7A3F" w:rsidRPr="00707776" w:rsidRDefault="00BC7372">
            <w:pPr>
              <w:pStyle w:val="TableParagraph"/>
              <w:numPr>
                <w:ilvl w:val="0"/>
                <w:numId w:val="386"/>
              </w:numPr>
              <w:tabs>
                <w:tab w:val="left" w:pos="305"/>
              </w:tabs>
              <w:spacing w:before="86" w:line="254" w:lineRule="auto"/>
              <w:ind w:right="436"/>
              <w:rPr>
                <w:sz w:val="16"/>
                <w:szCs w:val="16"/>
              </w:rPr>
            </w:pPr>
            <w:r w:rsidRPr="00707776">
              <w:rPr>
                <w:color w:val="231F20"/>
                <w:sz w:val="16"/>
                <w:szCs w:val="16"/>
              </w:rPr>
              <w:t>Maintain depth of wetland to support frogs and waterbird feeding and breeding</w:t>
            </w:r>
          </w:p>
        </w:tc>
        <w:tc>
          <w:tcPr>
            <w:tcW w:w="793"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258" w:right="-15"/>
              <w:rPr>
                <w:sz w:val="20"/>
              </w:rPr>
            </w:pPr>
            <w:r>
              <w:rPr>
                <w:noProof/>
                <w:sz w:val="20"/>
              </w:rPr>
              <w:drawing>
                <wp:inline distT="0" distB="0" distL="0" distR="0">
                  <wp:extent cx="314177" cy="310896"/>
                  <wp:effectExtent l="0" t="0" r="0" b="0"/>
                  <wp:docPr id="1837"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age25.jpeg"/>
                          <pic:cNvPicPr/>
                        </pic:nvPicPr>
                        <pic:blipFill>
                          <a:blip r:embed="rId37"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9" cy="310896"/>
                  <wp:effectExtent l="0" t="0" r="0" b="0"/>
                  <wp:docPr id="183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image21.jpeg"/>
                          <pic:cNvPicPr/>
                        </pic:nvPicPr>
                        <pic:blipFill>
                          <a:blip r:embed="rId33" cstate="print"/>
                          <a:stretch>
                            <a:fillRect/>
                          </a:stretch>
                        </pic:blipFill>
                        <pic:spPr>
                          <a:xfrm>
                            <a:off x="0" y="0"/>
                            <a:ext cx="314179" cy="310896"/>
                          </a:xfrm>
                          <a:prstGeom prst="rect">
                            <a:avLst/>
                          </a:prstGeom>
                        </pic:spPr>
                      </pic:pic>
                    </a:graphicData>
                  </a:graphic>
                </wp:inline>
              </w:drawing>
            </w:r>
          </w:p>
        </w:tc>
      </w:tr>
      <w:tr w:rsidR="006A7A3F">
        <w:trPr>
          <w:trHeight w:val="987"/>
        </w:trPr>
        <w:tc>
          <w:tcPr>
            <w:tcW w:w="2438"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707776" w:rsidRDefault="006A7A3F">
            <w:pPr>
              <w:rPr>
                <w:sz w:val="16"/>
                <w:szCs w:val="16"/>
              </w:rPr>
            </w:pPr>
          </w:p>
        </w:tc>
        <w:tc>
          <w:tcPr>
            <w:tcW w:w="793" w:type="dxa"/>
            <w:tcBorders>
              <w:top w:val="nil"/>
              <w:left w:val="single" w:sz="4" w:space="0" w:color="231F20"/>
              <w:bottom w:val="single" w:sz="4" w:space="0" w:color="231F20"/>
              <w:right w:val="nil"/>
            </w:tcBorders>
          </w:tcPr>
          <w:p w:rsidR="006A7A3F" w:rsidRDefault="00BC7372">
            <w:pPr>
              <w:pStyle w:val="TableParagraph"/>
              <w:ind w:left="258" w:right="-15"/>
              <w:rPr>
                <w:sz w:val="20"/>
              </w:rPr>
            </w:pPr>
            <w:r>
              <w:rPr>
                <w:noProof/>
                <w:sz w:val="20"/>
              </w:rPr>
              <w:drawing>
                <wp:inline distT="0" distB="0" distL="0" distR="0">
                  <wp:extent cx="314171" cy="310896"/>
                  <wp:effectExtent l="0" t="0" r="0" b="0"/>
                  <wp:docPr id="184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image27.jpeg"/>
                          <pic:cNvPicPr/>
                        </pic:nvPicPr>
                        <pic:blipFill>
                          <a:blip r:embed="rId39" cstate="print"/>
                          <a:stretch>
                            <a:fillRect/>
                          </a:stretch>
                        </pic:blipFill>
                        <pic:spPr>
                          <a:xfrm>
                            <a:off x="0" y="0"/>
                            <a:ext cx="314171"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438"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501"/>
              <w:rPr>
                <w:sz w:val="16"/>
              </w:rPr>
            </w:pPr>
            <w:r>
              <w:rPr>
                <w:color w:val="231F20"/>
                <w:sz w:val="16"/>
              </w:rPr>
              <w:t>Richardsons Lagoon (fill in winter/spring, top up as required)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85"/>
              </w:numPr>
              <w:tabs>
                <w:tab w:val="left" w:pos="305"/>
              </w:tabs>
              <w:spacing w:before="63" w:line="254" w:lineRule="auto"/>
              <w:ind w:right="197"/>
              <w:rPr>
                <w:sz w:val="16"/>
                <w:szCs w:val="16"/>
              </w:rPr>
            </w:pPr>
            <w:r w:rsidRPr="00707776">
              <w:rPr>
                <w:color w:val="231F20"/>
                <w:sz w:val="16"/>
                <w:szCs w:val="16"/>
              </w:rPr>
              <w:t>Promote the growth of aquatic macrophytes, reeds and rushes, which in turn would support aquatic</w:t>
            </w:r>
            <w:r w:rsidRPr="00707776">
              <w:rPr>
                <w:color w:val="231F20"/>
                <w:spacing w:val="-3"/>
                <w:sz w:val="16"/>
                <w:szCs w:val="16"/>
              </w:rPr>
              <w:t xml:space="preserve"> </w:t>
            </w:r>
            <w:r w:rsidRPr="00707776">
              <w:rPr>
                <w:color w:val="231F20"/>
                <w:sz w:val="16"/>
                <w:szCs w:val="16"/>
              </w:rPr>
              <w:t>biota</w:t>
            </w:r>
          </w:p>
          <w:p w:rsidR="006A7A3F" w:rsidRPr="00707776" w:rsidRDefault="00BC7372">
            <w:pPr>
              <w:pStyle w:val="TableParagraph"/>
              <w:numPr>
                <w:ilvl w:val="0"/>
                <w:numId w:val="385"/>
              </w:numPr>
              <w:tabs>
                <w:tab w:val="left" w:pos="305"/>
              </w:tabs>
              <w:spacing w:before="86" w:line="254" w:lineRule="auto"/>
              <w:ind w:right="420"/>
              <w:rPr>
                <w:sz w:val="16"/>
                <w:szCs w:val="16"/>
              </w:rPr>
            </w:pPr>
            <w:r w:rsidRPr="00707776">
              <w:rPr>
                <w:color w:val="231F20"/>
                <w:sz w:val="16"/>
                <w:szCs w:val="16"/>
              </w:rPr>
              <w:t>Wet the higher floodplain environment to maintain eucalypt</w:t>
            </w:r>
            <w:r w:rsidRPr="00707776">
              <w:rPr>
                <w:color w:val="231F20"/>
                <w:spacing w:val="-30"/>
                <w:sz w:val="16"/>
                <w:szCs w:val="16"/>
              </w:rPr>
              <w:t xml:space="preserve"> </w:t>
            </w:r>
            <w:r w:rsidRPr="00707776">
              <w:rPr>
                <w:color w:val="231F20"/>
                <w:sz w:val="16"/>
                <w:szCs w:val="16"/>
              </w:rPr>
              <w:t>floodplain woodland and create habitats for waterbirds, reptiles and frogs and associated wetland animals to feed and</w:t>
            </w:r>
            <w:r w:rsidRPr="00707776">
              <w:rPr>
                <w:color w:val="231F20"/>
                <w:spacing w:val="-8"/>
                <w:sz w:val="16"/>
                <w:szCs w:val="16"/>
              </w:rPr>
              <w:t xml:space="preserve"> </w:t>
            </w:r>
            <w:r w:rsidRPr="00707776">
              <w:rPr>
                <w:color w:val="231F20"/>
                <w:sz w:val="16"/>
                <w:szCs w:val="16"/>
              </w:rPr>
              <w:t>breed</w:t>
            </w:r>
          </w:p>
          <w:p w:rsidR="006A7A3F" w:rsidRPr="00707776" w:rsidRDefault="00BC7372">
            <w:pPr>
              <w:pStyle w:val="TableParagraph"/>
              <w:numPr>
                <w:ilvl w:val="0"/>
                <w:numId w:val="385"/>
              </w:numPr>
              <w:tabs>
                <w:tab w:val="left" w:pos="305"/>
              </w:tabs>
              <w:spacing w:before="87" w:line="254" w:lineRule="auto"/>
              <w:ind w:right="126"/>
              <w:rPr>
                <w:sz w:val="16"/>
                <w:szCs w:val="16"/>
              </w:rPr>
            </w:pPr>
            <w:r w:rsidRPr="00707776">
              <w:rPr>
                <w:color w:val="231F20"/>
                <w:sz w:val="16"/>
                <w:szCs w:val="16"/>
              </w:rPr>
              <w:t>Increase food resources (e.g. waterbugs and zooplankton) for waterbirds and other wetland</w:t>
            </w:r>
            <w:r w:rsidRPr="00707776">
              <w:rPr>
                <w:color w:val="231F20"/>
                <w:spacing w:val="-4"/>
                <w:sz w:val="16"/>
                <w:szCs w:val="16"/>
              </w:rPr>
              <w:t xml:space="preserve"> </w:t>
            </w:r>
            <w:r w:rsidRPr="00707776">
              <w:rPr>
                <w:color w:val="231F20"/>
                <w:sz w:val="16"/>
                <w:szCs w:val="16"/>
              </w:rPr>
              <w:t>animals</w:t>
            </w:r>
          </w:p>
        </w:tc>
        <w:tc>
          <w:tcPr>
            <w:tcW w:w="793"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258" w:right="-15"/>
              <w:rPr>
                <w:sz w:val="20"/>
              </w:rPr>
            </w:pPr>
            <w:r>
              <w:rPr>
                <w:noProof/>
                <w:sz w:val="20"/>
              </w:rPr>
              <w:drawing>
                <wp:inline distT="0" distB="0" distL="0" distR="0">
                  <wp:extent cx="314168" cy="310896"/>
                  <wp:effectExtent l="0" t="0" r="0" b="0"/>
                  <wp:docPr id="184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845"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6A7A3F">
        <w:trPr>
          <w:trHeight w:val="1207"/>
        </w:trPr>
        <w:tc>
          <w:tcPr>
            <w:tcW w:w="2438"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707776" w:rsidRDefault="006A7A3F">
            <w:pPr>
              <w:rPr>
                <w:sz w:val="16"/>
                <w:szCs w:val="16"/>
              </w:rPr>
            </w:pPr>
          </w:p>
        </w:tc>
        <w:tc>
          <w:tcPr>
            <w:tcW w:w="793" w:type="dxa"/>
            <w:tcBorders>
              <w:top w:val="nil"/>
              <w:left w:val="single" w:sz="4" w:space="0" w:color="231F20"/>
              <w:bottom w:val="single" w:sz="4" w:space="0" w:color="231F20"/>
              <w:right w:val="nil"/>
            </w:tcBorders>
          </w:tcPr>
          <w:p w:rsidR="006A7A3F" w:rsidRDefault="00BC7372">
            <w:pPr>
              <w:pStyle w:val="TableParagraph"/>
              <w:ind w:left="258" w:right="-15"/>
              <w:rPr>
                <w:sz w:val="20"/>
              </w:rPr>
            </w:pPr>
            <w:r>
              <w:rPr>
                <w:noProof/>
                <w:sz w:val="20"/>
              </w:rPr>
              <w:drawing>
                <wp:inline distT="0" distB="0" distL="0" distR="0">
                  <wp:extent cx="314168" cy="310896"/>
                  <wp:effectExtent l="0" t="0" r="0" b="0"/>
                  <wp:docPr id="184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184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620"/>
        </w:trPr>
        <w:tc>
          <w:tcPr>
            <w:tcW w:w="2438"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349"/>
              <w:rPr>
                <w:sz w:val="16"/>
              </w:rPr>
            </w:pPr>
            <w:r>
              <w:rPr>
                <w:color w:val="231F20"/>
                <w:sz w:val="16"/>
              </w:rPr>
              <w:t>Guttrum Forest (partial fill in autumn/winter 2021)</w:t>
            </w:r>
          </w:p>
          <w:p w:rsidR="006A7A3F" w:rsidRDefault="006A7A3F">
            <w:pPr>
              <w:pStyle w:val="TableParagraph"/>
              <w:spacing w:before="4"/>
              <w:ind w:left="0"/>
              <w:rPr>
                <w:b/>
                <w:sz w:val="8"/>
              </w:rPr>
            </w:pPr>
          </w:p>
          <w:p w:rsidR="006A7A3F" w:rsidRDefault="00BC7372">
            <w:pPr>
              <w:pStyle w:val="TableParagraph"/>
              <w:ind w:left="85"/>
              <w:rPr>
                <w:sz w:val="20"/>
              </w:rPr>
            </w:pPr>
            <w:r>
              <w:rPr>
                <w:noProof/>
                <w:sz w:val="20"/>
              </w:rPr>
              <w:drawing>
                <wp:inline distT="0" distB="0" distL="0" distR="0">
                  <wp:extent cx="313944" cy="313944"/>
                  <wp:effectExtent l="0" t="0" r="0" b="0"/>
                  <wp:docPr id="1851"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43.jpeg"/>
                          <pic:cNvPicPr/>
                        </pic:nvPicPr>
                        <pic:blipFill>
                          <a:blip r:embed="rId55" cstate="print"/>
                          <a:stretch>
                            <a:fillRect/>
                          </a:stretch>
                        </pic:blipFill>
                        <pic:spPr>
                          <a:xfrm>
                            <a:off x="0" y="0"/>
                            <a:ext cx="313944" cy="313944"/>
                          </a:xfrm>
                          <a:prstGeom prst="rect">
                            <a:avLst/>
                          </a:prstGeom>
                        </pic:spPr>
                      </pic:pic>
                    </a:graphicData>
                  </a:graphic>
                </wp:inline>
              </w:drawing>
            </w:r>
          </w:p>
          <w:p w:rsidR="006A7A3F" w:rsidRDefault="006A7A3F">
            <w:pPr>
              <w:pStyle w:val="TableParagraph"/>
              <w:spacing w:before="10"/>
              <w:ind w:left="0"/>
              <w:rPr>
                <w:b/>
                <w:sz w:val="16"/>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707776" w:rsidRDefault="00BC7372">
            <w:pPr>
              <w:pStyle w:val="TableParagraph"/>
              <w:numPr>
                <w:ilvl w:val="0"/>
                <w:numId w:val="384"/>
              </w:numPr>
              <w:tabs>
                <w:tab w:val="left" w:pos="305"/>
              </w:tabs>
              <w:spacing w:before="63" w:line="254" w:lineRule="auto"/>
              <w:ind w:right="146"/>
              <w:rPr>
                <w:sz w:val="16"/>
                <w:szCs w:val="16"/>
              </w:rPr>
            </w:pPr>
            <w:r w:rsidRPr="00707776">
              <w:rPr>
                <w:color w:val="231F20"/>
                <w:sz w:val="16"/>
                <w:szCs w:val="16"/>
              </w:rPr>
              <w:t>Increase water depth and extent to trigger wetland plants to germinate in late winter and early</w:t>
            </w:r>
            <w:r w:rsidRPr="00707776">
              <w:rPr>
                <w:color w:val="231F20"/>
                <w:spacing w:val="-5"/>
                <w:sz w:val="16"/>
                <w:szCs w:val="16"/>
              </w:rPr>
              <w:t xml:space="preserve"> </w:t>
            </w:r>
            <w:r w:rsidRPr="00707776">
              <w:rPr>
                <w:color w:val="231F20"/>
                <w:sz w:val="16"/>
                <w:szCs w:val="16"/>
              </w:rPr>
              <w:t>spring</w:t>
            </w:r>
          </w:p>
          <w:p w:rsidR="006A7A3F" w:rsidRPr="00707776" w:rsidRDefault="00BC7372">
            <w:pPr>
              <w:pStyle w:val="TableParagraph"/>
              <w:numPr>
                <w:ilvl w:val="0"/>
                <w:numId w:val="384"/>
              </w:numPr>
              <w:tabs>
                <w:tab w:val="left" w:pos="305"/>
              </w:tabs>
              <w:spacing w:before="86"/>
              <w:rPr>
                <w:sz w:val="16"/>
                <w:szCs w:val="16"/>
              </w:rPr>
            </w:pPr>
            <w:r w:rsidRPr="00707776">
              <w:rPr>
                <w:color w:val="231F20"/>
                <w:sz w:val="16"/>
                <w:szCs w:val="16"/>
              </w:rPr>
              <w:t>Provide feeding and refuge habitat for waterbirds and</w:t>
            </w:r>
            <w:r w:rsidRPr="00707776">
              <w:rPr>
                <w:color w:val="231F20"/>
                <w:spacing w:val="-9"/>
                <w:sz w:val="16"/>
                <w:szCs w:val="16"/>
              </w:rPr>
              <w:t xml:space="preserve"> </w:t>
            </w:r>
            <w:r w:rsidRPr="00707776">
              <w:rPr>
                <w:color w:val="231F20"/>
                <w:sz w:val="16"/>
                <w:szCs w:val="16"/>
              </w:rPr>
              <w:t>frogs</w:t>
            </w:r>
          </w:p>
        </w:tc>
        <w:tc>
          <w:tcPr>
            <w:tcW w:w="793"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258" w:right="-15"/>
              <w:rPr>
                <w:sz w:val="20"/>
              </w:rPr>
            </w:pPr>
            <w:r>
              <w:rPr>
                <w:noProof/>
                <w:sz w:val="20"/>
              </w:rPr>
              <w:drawing>
                <wp:inline distT="0" distB="0" distL="0" distR="0">
                  <wp:extent cx="314168" cy="310895"/>
                  <wp:effectExtent l="0" t="0" r="0" b="0"/>
                  <wp:docPr id="1853"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25.jpeg"/>
                          <pic:cNvPicPr/>
                        </pic:nvPicPr>
                        <pic:blipFill>
                          <a:blip r:embed="rId37"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2" cy="310895"/>
                  <wp:effectExtent l="0" t="0" r="0" b="0"/>
                  <wp:docPr id="185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image21.jpeg"/>
                          <pic:cNvPicPr/>
                        </pic:nvPicPr>
                        <pic:blipFill>
                          <a:blip r:embed="rId33" cstate="print"/>
                          <a:stretch>
                            <a:fillRect/>
                          </a:stretch>
                        </pic:blipFill>
                        <pic:spPr>
                          <a:xfrm>
                            <a:off x="0" y="0"/>
                            <a:ext cx="314172" cy="310895"/>
                          </a:xfrm>
                          <a:prstGeom prst="rect">
                            <a:avLst/>
                          </a:prstGeom>
                        </pic:spPr>
                      </pic:pic>
                    </a:graphicData>
                  </a:graphic>
                </wp:inline>
              </w:drawing>
            </w:r>
          </w:p>
        </w:tc>
      </w:tr>
      <w:tr w:rsidR="006A7A3F">
        <w:trPr>
          <w:trHeight w:val="622"/>
        </w:trPr>
        <w:tc>
          <w:tcPr>
            <w:tcW w:w="2438"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793" w:type="dxa"/>
            <w:tcBorders>
              <w:top w:val="nil"/>
              <w:left w:val="single" w:sz="4" w:space="0" w:color="231F20"/>
              <w:bottom w:val="single" w:sz="4" w:space="0" w:color="231F20"/>
              <w:right w:val="nil"/>
            </w:tcBorders>
          </w:tcPr>
          <w:p w:rsidR="006A7A3F" w:rsidRDefault="00BC7372">
            <w:pPr>
              <w:pStyle w:val="TableParagraph"/>
              <w:ind w:left="258" w:right="-15"/>
              <w:rPr>
                <w:sz w:val="20"/>
              </w:rPr>
            </w:pPr>
            <w:r>
              <w:rPr>
                <w:noProof/>
                <w:sz w:val="20"/>
              </w:rPr>
              <w:drawing>
                <wp:inline distT="0" distB="0" distL="0" distR="0">
                  <wp:extent cx="314168" cy="310895"/>
                  <wp:effectExtent l="0" t="0" r="0" b="0"/>
                  <wp:docPr id="185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27.jpeg"/>
                          <pic:cNvPicPr/>
                        </pic:nvPicPr>
                        <pic:blipFill>
                          <a:blip r:embed="rId39"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6A7A3F">
      <w:pPr>
        <w:pStyle w:val="BodyText"/>
        <w:spacing w:before="1"/>
        <w:ind w:left="0"/>
        <w:rPr>
          <w:b/>
          <w:sz w:val="7"/>
        </w:rPr>
      </w:pPr>
    </w:p>
    <w:p w:rsidR="00707776" w:rsidRDefault="00707776">
      <w:pPr>
        <w:rPr>
          <w:rFonts w:ascii="Helvetica Neue LT Std 75"/>
          <w:b/>
          <w:color w:val="231F20"/>
          <w:sz w:val="19"/>
        </w:rPr>
      </w:pPr>
      <w:r>
        <w:rPr>
          <w:rFonts w:ascii="Helvetica Neue LT Std 75"/>
          <w:b/>
          <w:color w:val="231F20"/>
          <w:sz w:val="19"/>
        </w:rPr>
        <w:br w:type="page"/>
      </w:r>
    </w:p>
    <w:p w:rsidR="006A7A3F" w:rsidRDefault="00BC7372">
      <w:pPr>
        <w:spacing w:before="62"/>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5.2.9 outlines the potential environmental watering and expected water use under a range of planning scenarios.</w:t>
      </w:r>
    </w:p>
    <w:p w:rsidR="006A7A3F" w:rsidRDefault="00BC7372" w:rsidP="00F32821">
      <w:pPr>
        <w:pStyle w:val="BodyText"/>
        <w:spacing w:line="249" w:lineRule="auto"/>
        <w:ind w:right="100"/>
      </w:pPr>
      <w:r>
        <w:rPr>
          <w:color w:val="231F20"/>
        </w:rPr>
        <w:t>There are seven high-priority (tier 1) wetlands that are planned to receive environmental water releases under all scenarios during 2020–21. Watering at four of these wetlands aims to maintain critical habitat for rare or threatened species: Round Lake (Murray hardyhead),</w:t>
      </w:r>
      <w:r w:rsidR="00F32821">
        <w:rPr>
          <w:color w:val="231F20"/>
        </w:rPr>
        <w:t xml:space="preserve"> </w:t>
      </w:r>
      <w:r>
        <w:rPr>
          <w:color w:val="231F20"/>
        </w:rPr>
        <w:t>Lake Elizabeth (Murray hardyhead), Third Reedy Lake (southern purple spotted gudgeon) and Wirra-Lo wetland complex (growling grass frog). Watering at McDonalds Swamp, Hird Swamp and Guttrum Forest is needed to support North Central CMA’s strategy of providing a mosaic of wetland habitat types and ecosystem services across the central Murray region over multiple years. The planned watering actions at these seven sites are expected to use between 17,700 ML and 18,300 ML, depending on weather conditions. Watering at Richardson’s</w:t>
      </w:r>
      <w:r w:rsidR="00707776">
        <w:t xml:space="preserve"> </w:t>
      </w:r>
      <w:r>
        <w:rPr>
          <w:color w:val="231F20"/>
        </w:rPr>
        <w:t>Lagoon is also a high priority under the average and wet scenarios, as water availability will allow the optimum watering regime to be met.</w:t>
      </w:r>
    </w:p>
    <w:p w:rsidR="006A7A3F" w:rsidRDefault="00BC7372">
      <w:pPr>
        <w:pStyle w:val="BodyText"/>
        <w:spacing w:line="249" w:lineRule="auto"/>
        <w:ind w:right="202"/>
      </w:pPr>
      <w:r>
        <w:rPr>
          <w:color w:val="231F20"/>
        </w:rPr>
        <w:t>The environmental values at Richardsons Lagoon will benefit from watering in winter/spring 2020, but it is considered a lower priority as its minimum watering regime will allow for the site to remain dry between events for up to two years. A flow through Hird Swamp from Pyramid Creek has been identified as a tier 2 watering action under all scenarios, but it may be elevated to a high-priority action if a spring high flow occurs in Pyramid Creek when Hird Swamp is already full. This is very similar to the flow delivered through Johnson Swamp in 2019–20, and it would enhance the environmental benefit of the planned winter/spring fill at Hird Swamp by transporting carbon and waterbugs from the wetland to Pyramid Creek, where it can increase food for native fish. Potential watering actions for Pyramid Creek in 2020–21 are described in section 5.7.1. Partially filling Guttrum Forest in autumn/ winter 2021 has also been identified as a tier 2 watering action under all scenarios. This watering action aims to prime the wetland ahead of a larger fill in winter/spring 2021, and it will only be delivered if the winter/spring event is likely to proceed and there is sufficient water available at the</w:t>
      </w:r>
      <w:r>
        <w:rPr>
          <w:color w:val="231F20"/>
          <w:spacing w:val="-12"/>
        </w:rPr>
        <w:t xml:space="preserve"> </w:t>
      </w:r>
      <w:r>
        <w:rPr>
          <w:color w:val="231F20"/>
        </w:rPr>
        <w:t>time.</w:t>
      </w:r>
    </w:p>
    <w:p w:rsidR="006A7A3F" w:rsidRDefault="00BC7372">
      <w:pPr>
        <w:pStyle w:val="BodyText"/>
        <w:spacing w:before="179" w:line="249" w:lineRule="auto"/>
        <w:ind w:right="351"/>
      </w:pPr>
      <w:r>
        <w:rPr>
          <w:color w:val="231F20"/>
        </w:rPr>
        <w:t>There are no plans to deliver water for the environment to Johnson Swamp, Lake Cullen and Lake Murphy in 2020–21. If there are no natural floods, these wetlands will be allowed to draw down to oxygenate the soil, control invasive aquatic weeds and support the growth of lake-bed herbland vegetation communities that rely on periodic drying phases to develop and reproduce.</w:t>
      </w:r>
    </w:p>
    <w:p w:rsidR="006A7A3F" w:rsidRDefault="00BC7372">
      <w:pPr>
        <w:pStyle w:val="BodyText"/>
        <w:spacing w:before="173" w:line="249" w:lineRule="auto"/>
        <w:ind w:right="319"/>
      </w:pPr>
      <w:r>
        <w:rPr>
          <w:color w:val="231F20"/>
        </w:rPr>
        <w:t>Priority carryover requirements have primarily been calculated based on the estimated volume required to support Murray hardhead sites, Guttrum Forest, Wirra-Lo wetland complex and the southern purple-spotted gudgeon in 2021–22.</w:t>
      </w:r>
    </w:p>
    <w:p w:rsidR="00707776" w:rsidRDefault="00707776">
      <w:pPr>
        <w:rPr>
          <w:b/>
          <w:color w:val="231F20"/>
          <w:sz w:val="18"/>
        </w:rPr>
      </w:pPr>
      <w:r>
        <w:rPr>
          <w:b/>
          <w:color w:val="231F20"/>
          <w:sz w:val="18"/>
        </w:rPr>
        <w:br w:type="page"/>
      </w:r>
    </w:p>
    <w:p w:rsidR="006A7A3F" w:rsidRDefault="00BC7372">
      <w:pPr>
        <w:spacing w:before="168"/>
        <w:ind w:left="210"/>
        <w:rPr>
          <w:b/>
          <w:sz w:val="18"/>
        </w:rPr>
      </w:pPr>
      <w:r>
        <w:rPr>
          <w:b/>
          <w:color w:val="231F20"/>
          <w:sz w:val="18"/>
        </w:rPr>
        <w:t>Table 5.2.9 Potential environmental watering for the central Murray wetlands under a range of planning scenarios</w:t>
      </w:r>
    </w:p>
    <w:p w:rsidR="006A7A3F" w:rsidRDefault="006A7A3F">
      <w:pPr>
        <w:pStyle w:val="BodyText"/>
        <w:spacing w:before="6"/>
        <w:ind w:left="0"/>
        <w:rPr>
          <w:b/>
          <w:sz w:val="8"/>
        </w:rPr>
      </w:pP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F631EA">
        <w:trPr>
          <w:trHeight w:val="367"/>
        </w:trPr>
        <w:tc>
          <w:tcPr>
            <w:tcW w:w="204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Average</w:t>
            </w:r>
          </w:p>
        </w:tc>
        <w:tc>
          <w:tcPr>
            <w:tcW w:w="2041"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Wet</w:t>
            </w:r>
          </w:p>
        </w:tc>
      </w:tr>
      <w:tr w:rsidR="006A7A3F" w:rsidTr="00F631EA">
        <w:trPr>
          <w:trHeight w:val="1887"/>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Pr="00F631EA" w:rsidRDefault="00BC7372">
            <w:pPr>
              <w:pStyle w:val="TableParagraph"/>
              <w:numPr>
                <w:ilvl w:val="0"/>
                <w:numId w:val="383"/>
              </w:numPr>
              <w:tabs>
                <w:tab w:val="left" w:pos="305"/>
              </w:tabs>
              <w:spacing w:before="70" w:line="254" w:lineRule="auto"/>
              <w:ind w:right="153"/>
              <w:rPr>
                <w:sz w:val="16"/>
                <w:szCs w:val="16"/>
              </w:rPr>
            </w:pPr>
            <w:r w:rsidRPr="00F631EA">
              <w:rPr>
                <w:color w:val="231F20"/>
                <w:sz w:val="16"/>
                <w:szCs w:val="16"/>
              </w:rPr>
              <w:t>Catchment runoff and natural flow into the wetland are unlikely</w:t>
            </w:r>
          </w:p>
        </w:tc>
        <w:tc>
          <w:tcPr>
            <w:tcW w:w="2041" w:type="dxa"/>
            <w:tcBorders>
              <w:top w:val="nil"/>
              <w:left w:val="single" w:sz="4" w:space="0" w:color="231F20"/>
              <w:bottom w:val="single" w:sz="4" w:space="0" w:color="231F20"/>
              <w:right w:val="single" w:sz="4" w:space="0" w:color="231F20"/>
            </w:tcBorders>
          </w:tcPr>
          <w:p w:rsidR="006A7A3F" w:rsidRPr="00F631EA" w:rsidRDefault="00BC7372">
            <w:pPr>
              <w:pStyle w:val="TableParagraph"/>
              <w:numPr>
                <w:ilvl w:val="0"/>
                <w:numId w:val="382"/>
              </w:numPr>
              <w:tabs>
                <w:tab w:val="left" w:pos="305"/>
              </w:tabs>
              <w:spacing w:before="70" w:line="254" w:lineRule="auto"/>
              <w:ind w:right="373"/>
              <w:rPr>
                <w:sz w:val="16"/>
                <w:szCs w:val="16"/>
              </w:rPr>
            </w:pPr>
            <w:r w:rsidRPr="00F631EA">
              <w:rPr>
                <w:color w:val="231F20"/>
                <w:sz w:val="16"/>
                <w:szCs w:val="16"/>
              </w:rPr>
              <w:t>Some catchment run-off and natural flow into the wetlands</w:t>
            </w:r>
            <w:r w:rsidRPr="00F631EA">
              <w:rPr>
                <w:color w:val="231F20"/>
                <w:spacing w:val="-8"/>
                <w:sz w:val="16"/>
                <w:szCs w:val="16"/>
              </w:rPr>
              <w:t xml:space="preserve"> </w:t>
            </w:r>
            <w:r w:rsidRPr="00F631EA">
              <w:rPr>
                <w:color w:val="231F20"/>
                <w:sz w:val="16"/>
                <w:szCs w:val="16"/>
              </w:rPr>
              <w:t>are</w:t>
            </w:r>
          </w:p>
          <w:p w:rsidR="006A7A3F" w:rsidRPr="00F631EA" w:rsidRDefault="00BC7372">
            <w:pPr>
              <w:pStyle w:val="TableParagraph"/>
              <w:spacing w:before="3" w:line="254" w:lineRule="auto"/>
              <w:ind w:right="76"/>
              <w:rPr>
                <w:sz w:val="16"/>
                <w:szCs w:val="16"/>
              </w:rPr>
            </w:pPr>
            <w:r w:rsidRPr="00F631EA">
              <w:rPr>
                <w:color w:val="231F20"/>
                <w:sz w:val="16"/>
                <w:szCs w:val="16"/>
              </w:rPr>
              <w:t>possible, particularly in winter/spring</w:t>
            </w:r>
          </w:p>
        </w:tc>
        <w:tc>
          <w:tcPr>
            <w:tcW w:w="2041" w:type="dxa"/>
            <w:tcBorders>
              <w:top w:val="nil"/>
              <w:left w:val="single" w:sz="4" w:space="0" w:color="231F20"/>
              <w:bottom w:val="single" w:sz="4" w:space="0" w:color="231F20"/>
              <w:right w:val="single" w:sz="4" w:space="0" w:color="231F20"/>
            </w:tcBorders>
          </w:tcPr>
          <w:p w:rsidR="006A7A3F" w:rsidRPr="00F631EA" w:rsidRDefault="00BC7372">
            <w:pPr>
              <w:pStyle w:val="TableParagraph"/>
              <w:numPr>
                <w:ilvl w:val="0"/>
                <w:numId w:val="381"/>
              </w:numPr>
              <w:tabs>
                <w:tab w:val="left" w:pos="305"/>
              </w:tabs>
              <w:spacing w:before="70" w:line="254" w:lineRule="auto"/>
              <w:ind w:right="113"/>
              <w:rPr>
                <w:sz w:val="16"/>
                <w:szCs w:val="16"/>
              </w:rPr>
            </w:pPr>
            <w:r w:rsidRPr="00F631EA">
              <w:rPr>
                <w:color w:val="231F20"/>
                <w:sz w:val="16"/>
                <w:szCs w:val="16"/>
              </w:rPr>
              <w:t xml:space="preserve">Low to moderate catchment run-off and natural flow into the wetlands are </w:t>
            </w:r>
            <w:r w:rsidRPr="00F631EA">
              <w:rPr>
                <w:color w:val="231F20"/>
                <w:spacing w:val="-3"/>
                <w:sz w:val="16"/>
                <w:szCs w:val="16"/>
              </w:rPr>
              <w:t xml:space="preserve">likely, </w:t>
            </w:r>
            <w:r w:rsidRPr="00F631EA">
              <w:rPr>
                <w:color w:val="231F20"/>
                <w:sz w:val="16"/>
                <w:szCs w:val="16"/>
              </w:rPr>
              <w:t>particularly in winter/spring</w:t>
            </w:r>
          </w:p>
        </w:tc>
        <w:tc>
          <w:tcPr>
            <w:tcW w:w="2041" w:type="dxa"/>
            <w:tcBorders>
              <w:top w:val="nil"/>
              <w:left w:val="single" w:sz="4" w:space="0" w:color="231F20"/>
              <w:bottom w:val="single" w:sz="4" w:space="0" w:color="231F20"/>
              <w:right w:val="single" w:sz="4" w:space="0" w:color="231F20"/>
            </w:tcBorders>
          </w:tcPr>
          <w:p w:rsidR="006A7A3F" w:rsidRPr="00F631EA" w:rsidRDefault="00BC7372">
            <w:pPr>
              <w:pStyle w:val="TableParagraph"/>
              <w:numPr>
                <w:ilvl w:val="0"/>
                <w:numId w:val="380"/>
              </w:numPr>
              <w:tabs>
                <w:tab w:val="left" w:pos="305"/>
              </w:tabs>
              <w:spacing w:before="70" w:line="254" w:lineRule="auto"/>
              <w:ind w:right="123"/>
              <w:rPr>
                <w:sz w:val="16"/>
                <w:szCs w:val="16"/>
              </w:rPr>
            </w:pPr>
            <w:r w:rsidRPr="00F631EA">
              <w:rPr>
                <w:color w:val="231F20"/>
                <w:sz w:val="16"/>
                <w:szCs w:val="16"/>
              </w:rPr>
              <w:t>Catchment run-off and natural flow into the wetlands is likely with potential widespread flooding in some wetlands, particularly winter/ spring</w:t>
            </w:r>
          </w:p>
        </w:tc>
      </w:tr>
      <w:tr w:rsidR="006A7A3F" w:rsidTr="00F631EA">
        <w:trPr>
          <w:trHeight w:val="402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53"/>
              <w:rPr>
                <w:sz w:val="9"/>
              </w:rPr>
            </w:pPr>
            <w:r>
              <w:rPr>
                <w:color w:val="231F20"/>
                <w:sz w:val="16"/>
              </w:rPr>
              <w:t>Potential environmental watering – tier 1 (high priorities)</w:t>
            </w:r>
            <w:r>
              <w:rPr>
                <w:color w:val="231F20"/>
                <w:position w:val="5"/>
                <w:sz w:val="9"/>
              </w:rPr>
              <w:t>1,2</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9"/>
              </w:numPr>
              <w:tabs>
                <w:tab w:val="left" w:pos="305"/>
              </w:tabs>
              <w:spacing w:before="70"/>
              <w:rPr>
                <w:sz w:val="16"/>
                <w:szCs w:val="16"/>
              </w:rPr>
            </w:pPr>
            <w:r w:rsidRPr="00F631EA">
              <w:rPr>
                <w:color w:val="231F20"/>
                <w:sz w:val="16"/>
                <w:szCs w:val="16"/>
              </w:rPr>
              <w:t>Round</w:t>
            </w:r>
            <w:r w:rsidRPr="00F631EA">
              <w:rPr>
                <w:color w:val="231F20"/>
                <w:spacing w:val="-2"/>
                <w:sz w:val="16"/>
                <w:szCs w:val="16"/>
              </w:rPr>
              <w:t xml:space="preserve"> </w:t>
            </w:r>
            <w:r w:rsidRPr="00F631EA">
              <w:rPr>
                <w:color w:val="231F20"/>
                <w:sz w:val="16"/>
                <w:szCs w:val="16"/>
              </w:rPr>
              <w:t>Lake</w:t>
            </w:r>
          </w:p>
          <w:p w:rsidR="006A7A3F" w:rsidRPr="00F631EA" w:rsidRDefault="00BC7372">
            <w:pPr>
              <w:pStyle w:val="TableParagraph"/>
              <w:numPr>
                <w:ilvl w:val="0"/>
                <w:numId w:val="379"/>
              </w:numPr>
              <w:tabs>
                <w:tab w:val="left" w:pos="305"/>
              </w:tabs>
              <w:spacing w:before="98"/>
              <w:rPr>
                <w:sz w:val="16"/>
                <w:szCs w:val="16"/>
              </w:rPr>
            </w:pPr>
            <w:r w:rsidRPr="00F631EA">
              <w:rPr>
                <w:color w:val="231F20"/>
                <w:sz w:val="16"/>
                <w:szCs w:val="16"/>
              </w:rPr>
              <w:t>Lake</w:t>
            </w:r>
            <w:r w:rsidRPr="00F631EA">
              <w:rPr>
                <w:color w:val="231F20"/>
                <w:spacing w:val="-2"/>
                <w:sz w:val="16"/>
                <w:szCs w:val="16"/>
              </w:rPr>
              <w:t xml:space="preserve"> </w:t>
            </w:r>
            <w:r w:rsidRPr="00F631EA">
              <w:rPr>
                <w:color w:val="231F20"/>
                <w:sz w:val="16"/>
                <w:szCs w:val="16"/>
              </w:rPr>
              <w:t>Elizabeth</w:t>
            </w:r>
          </w:p>
          <w:p w:rsidR="006A7A3F" w:rsidRPr="00F631EA" w:rsidRDefault="00BC7372">
            <w:pPr>
              <w:pStyle w:val="TableParagraph"/>
              <w:numPr>
                <w:ilvl w:val="0"/>
                <w:numId w:val="379"/>
              </w:numPr>
              <w:tabs>
                <w:tab w:val="left" w:pos="305"/>
              </w:tabs>
              <w:spacing w:before="98" w:line="254" w:lineRule="auto"/>
              <w:ind w:right="253"/>
              <w:rPr>
                <w:sz w:val="16"/>
                <w:szCs w:val="16"/>
              </w:rPr>
            </w:pPr>
            <w:r w:rsidRPr="00F631EA">
              <w:rPr>
                <w:color w:val="231F20"/>
                <w:sz w:val="16"/>
                <w:szCs w:val="16"/>
              </w:rPr>
              <w:t xml:space="preserve">Wirra-Lo wetland complex (Brolga Swamp, Red </w:t>
            </w:r>
            <w:r w:rsidRPr="00F631EA">
              <w:rPr>
                <w:color w:val="231F20"/>
                <w:spacing w:val="-5"/>
                <w:sz w:val="16"/>
                <w:szCs w:val="16"/>
              </w:rPr>
              <w:t xml:space="preserve">Gum </w:t>
            </w:r>
            <w:r w:rsidRPr="00F631EA">
              <w:rPr>
                <w:color w:val="231F20"/>
                <w:sz w:val="16"/>
                <w:szCs w:val="16"/>
              </w:rPr>
              <w:t>Swamp, Bunyip Swamp East, Bunyip Swamp West)</w:t>
            </w:r>
          </w:p>
          <w:p w:rsidR="006A7A3F" w:rsidRPr="00F631EA" w:rsidRDefault="00BC7372">
            <w:pPr>
              <w:pStyle w:val="TableParagraph"/>
              <w:numPr>
                <w:ilvl w:val="0"/>
                <w:numId w:val="379"/>
              </w:numPr>
              <w:tabs>
                <w:tab w:val="left" w:pos="305"/>
              </w:tabs>
              <w:spacing w:before="90"/>
              <w:rPr>
                <w:sz w:val="16"/>
                <w:szCs w:val="16"/>
              </w:rPr>
            </w:pPr>
            <w:r w:rsidRPr="00F631EA">
              <w:rPr>
                <w:color w:val="231F20"/>
                <w:sz w:val="16"/>
                <w:szCs w:val="16"/>
              </w:rPr>
              <w:t>Third Reedy</w:t>
            </w:r>
            <w:r w:rsidRPr="00F631EA">
              <w:rPr>
                <w:color w:val="231F20"/>
                <w:spacing w:val="-3"/>
                <w:sz w:val="16"/>
                <w:szCs w:val="16"/>
              </w:rPr>
              <w:t xml:space="preserve"> </w:t>
            </w:r>
            <w:r w:rsidRPr="00F631EA">
              <w:rPr>
                <w:color w:val="231F20"/>
                <w:sz w:val="16"/>
                <w:szCs w:val="16"/>
              </w:rPr>
              <w:t>Lake</w:t>
            </w:r>
          </w:p>
          <w:p w:rsidR="006A7A3F" w:rsidRPr="00F631EA" w:rsidRDefault="00BC7372">
            <w:pPr>
              <w:pStyle w:val="TableParagraph"/>
              <w:numPr>
                <w:ilvl w:val="0"/>
                <w:numId w:val="379"/>
              </w:numPr>
              <w:tabs>
                <w:tab w:val="left" w:pos="305"/>
              </w:tabs>
              <w:spacing w:before="98"/>
              <w:rPr>
                <w:sz w:val="16"/>
                <w:szCs w:val="16"/>
              </w:rPr>
            </w:pPr>
            <w:r w:rsidRPr="00F631EA">
              <w:rPr>
                <w:color w:val="231F20"/>
                <w:sz w:val="16"/>
                <w:szCs w:val="16"/>
              </w:rPr>
              <w:t>McDonalds Swamp</w:t>
            </w:r>
          </w:p>
          <w:p w:rsidR="006A7A3F" w:rsidRPr="00F631EA" w:rsidRDefault="00BC7372">
            <w:pPr>
              <w:pStyle w:val="TableParagraph"/>
              <w:numPr>
                <w:ilvl w:val="0"/>
                <w:numId w:val="379"/>
              </w:numPr>
              <w:tabs>
                <w:tab w:val="left" w:pos="305"/>
              </w:tabs>
              <w:spacing w:before="98"/>
              <w:rPr>
                <w:sz w:val="16"/>
                <w:szCs w:val="16"/>
              </w:rPr>
            </w:pPr>
            <w:r w:rsidRPr="00F631EA">
              <w:rPr>
                <w:color w:val="231F20"/>
                <w:sz w:val="16"/>
                <w:szCs w:val="16"/>
              </w:rPr>
              <w:t>Hird Swamp</w:t>
            </w:r>
            <w:r w:rsidRPr="00F631EA">
              <w:rPr>
                <w:color w:val="231F20"/>
                <w:spacing w:val="-2"/>
                <w:sz w:val="16"/>
                <w:szCs w:val="16"/>
              </w:rPr>
              <w:t xml:space="preserve"> </w:t>
            </w:r>
            <w:r w:rsidRPr="00F631EA">
              <w:rPr>
                <w:color w:val="231F20"/>
                <w:sz w:val="16"/>
                <w:szCs w:val="16"/>
              </w:rPr>
              <w:t>(west)</w:t>
            </w:r>
          </w:p>
          <w:p w:rsidR="006A7A3F" w:rsidRPr="00F631EA" w:rsidRDefault="00BC7372">
            <w:pPr>
              <w:pStyle w:val="TableParagraph"/>
              <w:numPr>
                <w:ilvl w:val="0"/>
                <w:numId w:val="379"/>
              </w:numPr>
              <w:tabs>
                <w:tab w:val="left" w:pos="305"/>
              </w:tabs>
              <w:spacing w:before="98" w:line="254" w:lineRule="auto"/>
              <w:ind w:right="133"/>
              <w:rPr>
                <w:sz w:val="16"/>
                <w:szCs w:val="16"/>
              </w:rPr>
            </w:pPr>
            <w:r w:rsidRPr="00F631EA">
              <w:rPr>
                <w:color w:val="231F20"/>
                <w:sz w:val="16"/>
                <w:szCs w:val="16"/>
              </w:rPr>
              <w:t>Guttrum Forest (winter/spring</w:t>
            </w:r>
            <w:r w:rsidRPr="00F631EA">
              <w:rPr>
                <w:color w:val="231F20"/>
                <w:spacing w:val="2"/>
                <w:sz w:val="16"/>
                <w:szCs w:val="16"/>
              </w:rPr>
              <w:t xml:space="preserve"> </w:t>
            </w:r>
            <w:r w:rsidRPr="00F631EA">
              <w:rPr>
                <w:color w:val="231F20"/>
                <w:spacing w:val="-4"/>
                <w:sz w:val="16"/>
                <w:szCs w:val="16"/>
              </w:rPr>
              <w:t>2020)</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8"/>
              </w:numPr>
              <w:tabs>
                <w:tab w:val="left" w:pos="305"/>
              </w:tabs>
              <w:spacing w:before="70"/>
              <w:rPr>
                <w:sz w:val="16"/>
                <w:szCs w:val="16"/>
              </w:rPr>
            </w:pPr>
            <w:r w:rsidRPr="00F631EA">
              <w:rPr>
                <w:color w:val="231F20"/>
                <w:sz w:val="16"/>
                <w:szCs w:val="16"/>
              </w:rPr>
              <w:t>Round</w:t>
            </w:r>
            <w:r w:rsidRPr="00F631EA">
              <w:rPr>
                <w:color w:val="231F20"/>
                <w:spacing w:val="-2"/>
                <w:sz w:val="16"/>
                <w:szCs w:val="16"/>
              </w:rPr>
              <w:t xml:space="preserve"> </w:t>
            </w:r>
            <w:r w:rsidRPr="00F631EA">
              <w:rPr>
                <w:color w:val="231F20"/>
                <w:sz w:val="16"/>
                <w:szCs w:val="16"/>
              </w:rPr>
              <w:t>Lake</w:t>
            </w:r>
          </w:p>
          <w:p w:rsidR="006A7A3F" w:rsidRPr="00F631EA" w:rsidRDefault="00BC7372">
            <w:pPr>
              <w:pStyle w:val="TableParagraph"/>
              <w:numPr>
                <w:ilvl w:val="0"/>
                <w:numId w:val="378"/>
              </w:numPr>
              <w:tabs>
                <w:tab w:val="left" w:pos="305"/>
              </w:tabs>
              <w:spacing w:before="98"/>
              <w:rPr>
                <w:sz w:val="16"/>
                <w:szCs w:val="16"/>
              </w:rPr>
            </w:pPr>
            <w:r w:rsidRPr="00F631EA">
              <w:rPr>
                <w:color w:val="231F20"/>
                <w:sz w:val="16"/>
                <w:szCs w:val="16"/>
              </w:rPr>
              <w:t>Lake</w:t>
            </w:r>
            <w:r w:rsidRPr="00F631EA">
              <w:rPr>
                <w:color w:val="231F20"/>
                <w:spacing w:val="-2"/>
                <w:sz w:val="16"/>
                <w:szCs w:val="16"/>
              </w:rPr>
              <w:t xml:space="preserve"> </w:t>
            </w:r>
            <w:r w:rsidRPr="00F631EA">
              <w:rPr>
                <w:color w:val="231F20"/>
                <w:sz w:val="16"/>
                <w:szCs w:val="16"/>
              </w:rPr>
              <w:t>Elizabeth</w:t>
            </w:r>
          </w:p>
          <w:p w:rsidR="006A7A3F" w:rsidRPr="00F631EA" w:rsidRDefault="00BC7372">
            <w:pPr>
              <w:pStyle w:val="TableParagraph"/>
              <w:numPr>
                <w:ilvl w:val="0"/>
                <w:numId w:val="378"/>
              </w:numPr>
              <w:tabs>
                <w:tab w:val="left" w:pos="305"/>
              </w:tabs>
              <w:spacing w:before="98" w:line="254" w:lineRule="auto"/>
              <w:ind w:right="253"/>
              <w:rPr>
                <w:sz w:val="16"/>
                <w:szCs w:val="16"/>
              </w:rPr>
            </w:pPr>
            <w:r w:rsidRPr="00F631EA">
              <w:rPr>
                <w:color w:val="231F20"/>
                <w:sz w:val="16"/>
                <w:szCs w:val="16"/>
              </w:rPr>
              <w:t xml:space="preserve">Wirra-Lo wetland complex (Brolga Swamp, Red </w:t>
            </w:r>
            <w:r w:rsidRPr="00F631EA">
              <w:rPr>
                <w:color w:val="231F20"/>
                <w:spacing w:val="-5"/>
                <w:sz w:val="16"/>
                <w:szCs w:val="16"/>
              </w:rPr>
              <w:t xml:space="preserve">Gum </w:t>
            </w:r>
            <w:r w:rsidRPr="00F631EA">
              <w:rPr>
                <w:color w:val="231F20"/>
                <w:sz w:val="16"/>
                <w:szCs w:val="16"/>
              </w:rPr>
              <w:t>Swamp, Bunyip Swamp East, Bunyip Swamp West)</w:t>
            </w:r>
          </w:p>
          <w:p w:rsidR="006A7A3F" w:rsidRPr="00F631EA" w:rsidRDefault="00BC7372">
            <w:pPr>
              <w:pStyle w:val="TableParagraph"/>
              <w:numPr>
                <w:ilvl w:val="0"/>
                <w:numId w:val="378"/>
              </w:numPr>
              <w:tabs>
                <w:tab w:val="left" w:pos="305"/>
              </w:tabs>
              <w:spacing w:before="90"/>
              <w:rPr>
                <w:sz w:val="16"/>
                <w:szCs w:val="16"/>
              </w:rPr>
            </w:pPr>
            <w:r w:rsidRPr="00F631EA">
              <w:rPr>
                <w:color w:val="231F20"/>
                <w:sz w:val="16"/>
                <w:szCs w:val="16"/>
              </w:rPr>
              <w:t>Third Reedy</w:t>
            </w:r>
            <w:r w:rsidRPr="00F631EA">
              <w:rPr>
                <w:color w:val="231F20"/>
                <w:spacing w:val="-3"/>
                <w:sz w:val="16"/>
                <w:szCs w:val="16"/>
              </w:rPr>
              <w:t xml:space="preserve"> </w:t>
            </w:r>
            <w:r w:rsidRPr="00F631EA">
              <w:rPr>
                <w:color w:val="231F20"/>
                <w:sz w:val="16"/>
                <w:szCs w:val="16"/>
              </w:rPr>
              <w:t>Lake</w:t>
            </w:r>
          </w:p>
          <w:p w:rsidR="006A7A3F" w:rsidRPr="00F631EA" w:rsidRDefault="00BC7372">
            <w:pPr>
              <w:pStyle w:val="TableParagraph"/>
              <w:numPr>
                <w:ilvl w:val="0"/>
                <w:numId w:val="378"/>
              </w:numPr>
              <w:tabs>
                <w:tab w:val="left" w:pos="305"/>
              </w:tabs>
              <w:spacing w:before="98"/>
              <w:rPr>
                <w:sz w:val="16"/>
                <w:szCs w:val="16"/>
              </w:rPr>
            </w:pPr>
            <w:r w:rsidRPr="00F631EA">
              <w:rPr>
                <w:color w:val="231F20"/>
                <w:sz w:val="16"/>
                <w:szCs w:val="16"/>
              </w:rPr>
              <w:t>McDonalds Swamp</w:t>
            </w:r>
          </w:p>
          <w:p w:rsidR="006A7A3F" w:rsidRPr="00F631EA" w:rsidRDefault="00BC7372">
            <w:pPr>
              <w:pStyle w:val="TableParagraph"/>
              <w:numPr>
                <w:ilvl w:val="0"/>
                <w:numId w:val="378"/>
              </w:numPr>
              <w:tabs>
                <w:tab w:val="left" w:pos="305"/>
              </w:tabs>
              <w:spacing w:before="98"/>
              <w:rPr>
                <w:sz w:val="16"/>
                <w:szCs w:val="16"/>
              </w:rPr>
            </w:pPr>
            <w:r w:rsidRPr="00F631EA">
              <w:rPr>
                <w:color w:val="231F20"/>
                <w:sz w:val="16"/>
                <w:szCs w:val="16"/>
              </w:rPr>
              <w:t>Hird Swamp</w:t>
            </w:r>
            <w:r w:rsidRPr="00F631EA">
              <w:rPr>
                <w:color w:val="231F20"/>
                <w:spacing w:val="-2"/>
                <w:sz w:val="16"/>
                <w:szCs w:val="16"/>
              </w:rPr>
              <w:t xml:space="preserve"> </w:t>
            </w:r>
            <w:r w:rsidRPr="00F631EA">
              <w:rPr>
                <w:color w:val="231F20"/>
                <w:sz w:val="16"/>
                <w:szCs w:val="16"/>
              </w:rPr>
              <w:t>(west)</w:t>
            </w:r>
          </w:p>
          <w:p w:rsidR="006A7A3F" w:rsidRPr="00F631EA" w:rsidRDefault="00BC7372">
            <w:pPr>
              <w:pStyle w:val="TableParagraph"/>
              <w:numPr>
                <w:ilvl w:val="0"/>
                <w:numId w:val="378"/>
              </w:numPr>
              <w:tabs>
                <w:tab w:val="left" w:pos="305"/>
              </w:tabs>
              <w:spacing w:before="98" w:line="254" w:lineRule="auto"/>
              <w:ind w:right="133"/>
              <w:rPr>
                <w:sz w:val="16"/>
                <w:szCs w:val="16"/>
              </w:rPr>
            </w:pPr>
            <w:r w:rsidRPr="00F631EA">
              <w:rPr>
                <w:color w:val="231F20"/>
                <w:sz w:val="16"/>
                <w:szCs w:val="16"/>
              </w:rPr>
              <w:t>Guttrum Forest (winter/spring</w:t>
            </w:r>
            <w:r w:rsidRPr="00F631EA">
              <w:rPr>
                <w:color w:val="231F20"/>
                <w:spacing w:val="2"/>
                <w:sz w:val="16"/>
                <w:szCs w:val="16"/>
              </w:rPr>
              <w:t xml:space="preserve"> </w:t>
            </w:r>
            <w:r w:rsidRPr="00F631EA">
              <w:rPr>
                <w:color w:val="231F20"/>
                <w:spacing w:val="-4"/>
                <w:sz w:val="16"/>
                <w:szCs w:val="16"/>
              </w:rPr>
              <w:t>2020)</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7"/>
              </w:numPr>
              <w:tabs>
                <w:tab w:val="left" w:pos="305"/>
              </w:tabs>
              <w:spacing w:before="70"/>
              <w:rPr>
                <w:sz w:val="16"/>
                <w:szCs w:val="16"/>
              </w:rPr>
            </w:pPr>
            <w:r w:rsidRPr="00F631EA">
              <w:rPr>
                <w:color w:val="231F20"/>
                <w:sz w:val="16"/>
                <w:szCs w:val="16"/>
              </w:rPr>
              <w:t>Round</w:t>
            </w:r>
            <w:r w:rsidRPr="00F631EA">
              <w:rPr>
                <w:color w:val="231F20"/>
                <w:spacing w:val="-2"/>
                <w:sz w:val="16"/>
                <w:szCs w:val="16"/>
              </w:rPr>
              <w:t xml:space="preserve"> </w:t>
            </w:r>
            <w:r w:rsidRPr="00F631EA">
              <w:rPr>
                <w:color w:val="231F20"/>
                <w:sz w:val="16"/>
                <w:szCs w:val="16"/>
              </w:rPr>
              <w:t>Lake</w:t>
            </w:r>
          </w:p>
          <w:p w:rsidR="006A7A3F" w:rsidRPr="00F631EA" w:rsidRDefault="00BC7372">
            <w:pPr>
              <w:pStyle w:val="TableParagraph"/>
              <w:numPr>
                <w:ilvl w:val="0"/>
                <w:numId w:val="377"/>
              </w:numPr>
              <w:tabs>
                <w:tab w:val="left" w:pos="305"/>
              </w:tabs>
              <w:spacing w:before="98"/>
              <w:rPr>
                <w:sz w:val="16"/>
                <w:szCs w:val="16"/>
              </w:rPr>
            </w:pPr>
            <w:r w:rsidRPr="00F631EA">
              <w:rPr>
                <w:color w:val="231F20"/>
                <w:sz w:val="16"/>
                <w:szCs w:val="16"/>
              </w:rPr>
              <w:t>Lake</w:t>
            </w:r>
            <w:r w:rsidRPr="00F631EA">
              <w:rPr>
                <w:color w:val="231F20"/>
                <w:spacing w:val="-2"/>
                <w:sz w:val="16"/>
                <w:szCs w:val="16"/>
              </w:rPr>
              <w:t xml:space="preserve"> </w:t>
            </w:r>
            <w:r w:rsidRPr="00F631EA">
              <w:rPr>
                <w:color w:val="231F20"/>
                <w:sz w:val="16"/>
                <w:szCs w:val="16"/>
              </w:rPr>
              <w:t>Elizabeth</w:t>
            </w:r>
          </w:p>
          <w:p w:rsidR="006A7A3F" w:rsidRPr="00F631EA" w:rsidRDefault="00BC7372">
            <w:pPr>
              <w:pStyle w:val="TableParagraph"/>
              <w:numPr>
                <w:ilvl w:val="0"/>
                <w:numId w:val="377"/>
              </w:numPr>
              <w:tabs>
                <w:tab w:val="left" w:pos="305"/>
              </w:tabs>
              <w:spacing w:before="98" w:line="254" w:lineRule="auto"/>
              <w:ind w:right="253"/>
              <w:rPr>
                <w:sz w:val="16"/>
                <w:szCs w:val="16"/>
              </w:rPr>
            </w:pPr>
            <w:r w:rsidRPr="00F631EA">
              <w:rPr>
                <w:color w:val="231F20"/>
                <w:sz w:val="16"/>
                <w:szCs w:val="16"/>
              </w:rPr>
              <w:t xml:space="preserve">Wirra-Lo wetland complex (Brolga Swamp, Red </w:t>
            </w:r>
            <w:r w:rsidRPr="00F631EA">
              <w:rPr>
                <w:color w:val="231F20"/>
                <w:spacing w:val="-5"/>
                <w:sz w:val="16"/>
                <w:szCs w:val="16"/>
              </w:rPr>
              <w:t xml:space="preserve">Gum </w:t>
            </w:r>
            <w:r w:rsidRPr="00F631EA">
              <w:rPr>
                <w:color w:val="231F20"/>
                <w:sz w:val="16"/>
                <w:szCs w:val="16"/>
              </w:rPr>
              <w:t>Swamp, Bunyip Swamp East, Bunyip Swamp West)</w:t>
            </w:r>
          </w:p>
          <w:p w:rsidR="006A7A3F" w:rsidRPr="00F631EA" w:rsidRDefault="00BC7372">
            <w:pPr>
              <w:pStyle w:val="TableParagraph"/>
              <w:numPr>
                <w:ilvl w:val="0"/>
                <w:numId w:val="377"/>
              </w:numPr>
              <w:tabs>
                <w:tab w:val="left" w:pos="305"/>
              </w:tabs>
              <w:spacing w:before="90"/>
              <w:rPr>
                <w:sz w:val="16"/>
                <w:szCs w:val="16"/>
              </w:rPr>
            </w:pPr>
            <w:r w:rsidRPr="00F631EA">
              <w:rPr>
                <w:color w:val="231F20"/>
                <w:sz w:val="16"/>
                <w:szCs w:val="16"/>
              </w:rPr>
              <w:t>Third Reedy</w:t>
            </w:r>
            <w:r w:rsidRPr="00F631EA">
              <w:rPr>
                <w:color w:val="231F20"/>
                <w:spacing w:val="-3"/>
                <w:sz w:val="16"/>
                <w:szCs w:val="16"/>
              </w:rPr>
              <w:t xml:space="preserve"> </w:t>
            </w:r>
            <w:r w:rsidRPr="00F631EA">
              <w:rPr>
                <w:color w:val="231F20"/>
                <w:sz w:val="16"/>
                <w:szCs w:val="16"/>
              </w:rPr>
              <w:t>Lake</w:t>
            </w:r>
          </w:p>
          <w:p w:rsidR="006A7A3F" w:rsidRPr="00F631EA" w:rsidRDefault="00BC7372">
            <w:pPr>
              <w:pStyle w:val="TableParagraph"/>
              <w:numPr>
                <w:ilvl w:val="0"/>
                <w:numId w:val="377"/>
              </w:numPr>
              <w:tabs>
                <w:tab w:val="left" w:pos="305"/>
              </w:tabs>
              <w:spacing w:before="98"/>
              <w:rPr>
                <w:sz w:val="16"/>
                <w:szCs w:val="16"/>
              </w:rPr>
            </w:pPr>
            <w:r w:rsidRPr="00F631EA">
              <w:rPr>
                <w:color w:val="231F20"/>
                <w:sz w:val="16"/>
                <w:szCs w:val="16"/>
              </w:rPr>
              <w:t>McDonalds Swamp</w:t>
            </w:r>
          </w:p>
          <w:p w:rsidR="006A7A3F" w:rsidRPr="00F631EA" w:rsidRDefault="00BC7372">
            <w:pPr>
              <w:pStyle w:val="TableParagraph"/>
              <w:numPr>
                <w:ilvl w:val="0"/>
                <w:numId w:val="377"/>
              </w:numPr>
              <w:tabs>
                <w:tab w:val="left" w:pos="305"/>
              </w:tabs>
              <w:spacing w:before="98"/>
              <w:rPr>
                <w:sz w:val="16"/>
                <w:szCs w:val="16"/>
              </w:rPr>
            </w:pPr>
            <w:r w:rsidRPr="00F631EA">
              <w:rPr>
                <w:color w:val="231F20"/>
                <w:sz w:val="16"/>
                <w:szCs w:val="16"/>
              </w:rPr>
              <w:t>Hird Swamp</w:t>
            </w:r>
            <w:r w:rsidRPr="00F631EA">
              <w:rPr>
                <w:color w:val="231F20"/>
                <w:spacing w:val="-2"/>
                <w:sz w:val="16"/>
                <w:szCs w:val="16"/>
              </w:rPr>
              <w:t xml:space="preserve"> </w:t>
            </w:r>
            <w:r w:rsidRPr="00F631EA">
              <w:rPr>
                <w:color w:val="231F20"/>
                <w:sz w:val="16"/>
                <w:szCs w:val="16"/>
              </w:rPr>
              <w:t>(west)</w:t>
            </w:r>
          </w:p>
          <w:p w:rsidR="006A7A3F" w:rsidRPr="00F631EA" w:rsidRDefault="00BC7372">
            <w:pPr>
              <w:pStyle w:val="TableParagraph"/>
              <w:numPr>
                <w:ilvl w:val="0"/>
                <w:numId w:val="377"/>
              </w:numPr>
              <w:tabs>
                <w:tab w:val="left" w:pos="305"/>
              </w:tabs>
              <w:spacing w:before="98" w:line="254" w:lineRule="auto"/>
              <w:ind w:right="133"/>
              <w:rPr>
                <w:sz w:val="16"/>
                <w:szCs w:val="16"/>
              </w:rPr>
            </w:pPr>
            <w:r w:rsidRPr="00F631EA">
              <w:rPr>
                <w:color w:val="231F20"/>
                <w:sz w:val="16"/>
                <w:szCs w:val="16"/>
              </w:rPr>
              <w:t>Guttrum Forest (winter/spring</w:t>
            </w:r>
            <w:r w:rsidRPr="00F631EA">
              <w:rPr>
                <w:color w:val="231F20"/>
                <w:spacing w:val="2"/>
                <w:sz w:val="16"/>
                <w:szCs w:val="16"/>
              </w:rPr>
              <w:t xml:space="preserve"> </w:t>
            </w:r>
            <w:r w:rsidRPr="00F631EA">
              <w:rPr>
                <w:color w:val="231F20"/>
                <w:spacing w:val="-4"/>
                <w:sz w:val="16"/>
                <w:szCs w:val="16"/>
              </w:rPr>
              <w:t>2020)</w:t>
            </w:r>
          </w:p>
          <w:p w:rsidR="006A7A3F" w:rsidRPr="00F631EA" w:rsidRDefault="00BC7372">
            <w:pPr>
              <w:pStyle w:val="TableParagraph"/>
              <w:numPr>
                <w:ilvl w:val="0"/>
                <w:numId w:val="377"/>
              </w:numPr>
              <w:tabs>
                <w:tab w:val="left" w:pos="305"/>
              </w:tabs>
              <w:spacing w:before="86"/>
              <w:rPr>
                <w:sz w:val="16"/>
                <w:szCs w:val="16"/>
              </w:rPr>
            </w:pPr>
            <w:r w:rsidRPr="00F631EA">
              <w:rPr>
                <w:color w:val="231F20"/>
                <w:sz w:val="16"/>
                <w:szCs w:val="16"/>
              </w:rPr>
              <w:t>Richardsons</w:t>
            </w:r>
            <w:r w:rsidRPr="00F631EA">
              <w:rPr>
                <w:color w:val="231F20"/>
                <w:spacing w:val="-7"/>
                <w:sz w:val="16"/>
                <w:szCs w:val="16"/>
              </w:rPr>
              <w:t xml:space="preserve"> </w:t>
            </w:r>
            <w:r w:rsidRPr="00F631EA">
              <w:rPr>
                <w:color w:val="231F20"/>
                <w:sz w:val="16"/>
                <w:szCs w:val="16"/>
              </w:rPr>
              <w:t>Lagoon</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6"/>
              </w:numPr>
              <w:tabs>
                <w:tab w:val="left" w:pos="305"/>
              </w:tabs>
              <w:spacing w:before="70"/>
              <w:rPr>
                <w:sz w:val="16"/>
                <w:szCs w:val="16"/>
              </w:rPr>
            </w:pPr>
            <w:r w:rsidRPr="00F631EA">
              <w:rPr>
                <w:color w:val="231F20"/>
                <w:sz w:val="16"/>
                <w:szCs w:val="16"/>
              </w:rPr>
              <w:t>Round</w:t>
            </w:r>
            <w:r w:rsidRPr="00F631EA">
              <w:rPr>
                <w:color w:val="231F20"/>
                <w:spacing w:val="-2"/>
                <w:sz w:val="16"/>
                <w:szCs w:val="16"/>
              </w:rPr>
              <w:t xml:space="preserve"> </w:t>
            </w:r>
            <w:r w:rsidRPr="00F631EA">
              <w:rPr>
                <w:color w:val="231F20"/>
                <w:sz w:val="16"/>
                <w:szCs w:val="16"/>
              </w:rPr>
              <w:t>Lake</w:t>
            </w:r>
          </w:p>
          <w:p w:rsidR="006A7A3F" w:rsidRPr="00F631EA" w:rsidRDefault="00BC7372">
            <w:pPr>
              <w:pStyle w:val="TableParagraph"/>
              <w:numPr>
                <w:ilvl w:val="0"/>
                <w:numId w:val="376"/>
              </w:numPr>
              <w:tabs>
                <w:tab w:val="left" w:pos="305"/>
              </w:tabs>
              <w:spacing w:before="98"/>
              <w:rPr>
                <w:sz w:val="16"/>
                <w:szCs w:val="16"/>
              </w:rPr>
            </w:pPr>
            <w:r w:rsidRPr="00F631EA">
              <w:rPr>
                <w:color w:val="231F20"/>
                <w:sz w:val="16"/>
                <w:szCs w:val="16"/>
              </w:rPr>
              <w:t>Lake</w:t>
            </w:r>
            <w:r w:rsidRPr="00F631EA">
              <w:rPr>
                <w:color w:val="231F20"/>
                <w:spacing w:val="-2"/>
                <w:sz w:val="16"/>
                <w:szCs w:val="16"/>
              </w:rPr>
              <w:t xml:space="preserve"> </w:t>
            </w:r>
            <w:r w:rsidRPr="00F631EA">
              <w:rPr>
                <w:color w:val="231F20"/>
                <w:sz w:val="16"/>
                <w:szCs w:val="16"/>
              </w:rPr>
              <w:t>Elizabeth</w:t>
            </w:r>
          </w:p>
          <w:p w:rsidR="006A7A3F" w:rsidRPr="00F631EA" w:rsidRDefault="00BC7372">
            <w:pPr>
              <w:pStyle w:val="TableParagraph"/>
              <w:numPr>
                <w:ilvl w:val="0"/>
                <w:numId w:val="376"/>
              </w:numPr>
              <w:tabs>
                <w:tab w:val="left" w:pos="305"/>
              </w:tabs>
              <w:spacing w:before="98" w:line="254" w:lineRule="auto"/>
              <w:ind w:right="253"/>
              <w:rPr>
                <w:sz w:val="16"/>
                <w:szCs w:val="16"/>
              </w:rPr>
            </w:pPr>
            <w:r w:rsidRPr="00F631EA">
              <w:rPr>
                <w:color w:val="231F20"/>
                <w:sz w:val="16"/>
                <w:szCs w:val="16"/>
              </w:rPr>
              <w:t xml:space="preserve">Wirra-Lo wetland complex (Brolga Swamp, Red </w:t>
            </w:r>
            <w:r w:rsidRPr="00F631EA">
              <w:rPr>
                <w:color w:val="231F20"/>
                <w:spacing w:val="-5"/>
                <w:sz w:val="16"/>
                <w:szCs w:val="16"/>
              </w:rPr>
              <w:t xml:space="preserve">Gum </w:t>
            </w:r>
            <w:r w:rsidRPr="00F631EA">
              <w:rPr>
                <w:color w:val="231F20"/>
                <w:sz w:val="16"/>
                <w:szCs w:val="16"/>
              </w:rPr>
              <w:t>Swamp, Bunyip Swamp East, Bunyip Swamp West)</w:t>
            </w:r>
          </w:p>
          <w:p w:rsidR="006A7A3F" w:rsidRPr="00F631EA" w:rsidRDefault="00BC7372">
            <w:pPr>
              <w:pStyle w:val="TableParagraph"/>
              <w:numPr>
                <w:ilvl w:val="0"/>
                <w:numId w:val="376"/>
              </w:numPr>
              <w:tabs>
                <w:tab w:val="left" w:pos="305"/>
              </w:tabs>
              <w:spacing w:before="90"/>
              <w:rPr>
                <w:sz w:val="16"/>
                <w:szCs w:val="16"/>
              </w:rPr>
            </w:pPr>
            <w:r w:rsidRPr="00F631EA">
              <w:rPr>
                <w:color w:val="231F20"/>
                <w:sz w:val="16"/>
                <w:szCs w:val="16"/>
              </w:rPr>
              <w:t>Third Reedy</w:t>
            </w:r>
            <w:r w:rsidRPr="00F631EA">
              <w:rPr>
                <w:color w:val="231F20"/>
                <w:spacing w:val="-3"/>
                <w:sz w:val="16"/>
                <w:szCs w:val="16"/>
              </w:rPr>
              <w:t xml:space="preserve"> </w:t>
            </w:r>
            <w:r w:rsidRPr="00F631EA">
              <w:rPr>
                <w:color w:val="231F20"/>
                <w:sz w:val="16"/>
                <w:szCs w:val="16"/>
              </w:rPr>
              <w:t>Lake</w:t>
            </w:r>
          </w:p>
          <w:p w:rsidR="006A7A3F" w:rsidRPr="00F631EA" w:rsidRDefault="00BC7372">
            <w:pPr>
              <w:pStyle w:val="TableParagraph"/>
              <w:numPr>
                <w:ilvl w:val="0"/>
                <w:numId w:val="376"/>
              </w:numPr>
              <w:tabs>
                <w:tab w:val="left" w:pos="305"/>
              </w:tabs>
              <w:spacing w:before="98"/>
              <w:rPr>
                <w:sz w:val="16"/>
                <w:szCs w:val="16"/>
              </w:rPr>
            </w:pPr>
            <w:r w:rsidRPr="00F631EA">
              <w:rPr>
                <w:color w:val="231F20"/>
                <w:sz w:val="16"/>
                <w:szCs w:val="16"/>
              </w:rPr>
              <w:t>McDonalds Swamp</w:t>
            </w:r>
          </w:p>
          <w:p w:rsidR="006A7A3F" w:rsidRPr="00F631EA" w:rsidRDefault="00BC7372">
            <w:pPr>
              <w:pStyle w:val="TableParagraph"/>
              <w:numPr>
                <w:ilvl w:val="0"/>
                <w:numId w:val="376"/>
              </w:numPr>
              <w:tabs>
                <w:tab w:val="left" w:pos="305"/>
              </w:tabs>
              <w:spacing w:before="98"/>
              <w:rPr>
                <w:sz w:val="16"/>
                <w:szCs w:val="16"/>
              </w:rPr>
            </w:pPr>
            <w:r w:rsidRPr="00F631EA">
              <w:rPr>
                <w:color w:val="231F20"/>
                <w:sz w:val="16"/>
                <w:szCs w:val="16"/>
              </w:rPr>
              <w:t>Hird Swamp</w:t>
            </w:r>
            <w:r w:rsidRPr="00F631EA">
              <w:rPr>
                <w:color w:val="231F20"/>
                <w:spacing w:val="-2"/>
                <w:sz w:val="16"/>
                <w:szCs w:val="16"/>
              </w:rPr>
              <w:t xml:space="preserve"> </w:t>
            </w:r>
            <w:r w:rsidRPr="00F631EA">
              <w:rPr>
                <w:color w:val="231F20"/>
                <w:sz w:val="16"/>
                <w:szCs w:val="16"/>
              </w:rPr>
              <w:t>(west)</w:t>
            </w:r>
          </w:p>
          <w:p w:rsidR="006A7A3F" w:rsidRPr="00F631EA" w:rsidRDefault="00BC7372">
            <w:pPr>
              <w:pStyle w:val="TableParagraph"/>
              <w:numPr>
                <w:ilvl w:val="0"/>
                <w:numId w:val="376"/>
              </w:numPr>
              <w:tabs>
                <w:tab w:val="left" w:pos="305"/>
              </w:tabs>
              <w:spacing w:before="98" w:line="254" w:lineRule="auto"/>
              <w:ind w:right="133"/>
              <w:rPr>
                <w:sz w:val="16"/>
                <w:szCs w:val="16"/>
              </w:rPr>
            </w:pPr>
            <w:r w:rsidRPr="00F631EA">
              <w:rPr>
                <w:color w:val="231F20"/>
                <w:sz w:val="16"/>
                <w:szCs w:val="16"/>
              </w:rPr>
              <w:t>Guttrum Forest (winter/spring</w:t>
            </w:r>
            <w:r w:rsidRPr="00F631EA">
              <w:rPr>
                <w:color w:val="231F20"/>
                <w:spacing w:val="2"/>
                <w:sz w:val="16"/>
                <w:szCs w:val="16"/>
              </w:rPr>
              <w:t xml:space="preserve"> </w:t>
            </w:r>
            <w:r w:rsidRPr="00F631EA">
              <w:rPr>
                <w:color w:val="231F20"/>
                <w:spacing w:val="-4"/>
                <w:sz w:val="16"/>
                <w:szCs w:val="16"/>
              </w:rPr>
              <w:t>2020)</w:t>
            </w:r>
          </w:p>
          <w:p w:rsidR="006A7A3F" w:rsidRPr="00F631EA" w:rsidRDefault="00BC7372">
            <w:pPr>
              <w:pStyle w:val="TableParagraph"/>
              <w:numPr>
                <w:ilvl w:val="0"/>
                <w:numId w:val="376"/>
              </w:numPr>
              <w:tabs>
                <w:tab w:val="left" w:pos="305"/>
              </w:tabs>
              <w:spacing w:before="86"/>
              <w:rPr>
                <w:sz w:val="16"/>
                <w:szCs w:val="16"/>
              </w:rPr>
            </w:pPr>
            <w:r w:rsidRPr="00F631EA">
              <w:rPr>
                <w:color w:val="231F20"/>
                <w:sz w:val="16"/>
                <w:szCs w:val="16"/>
              </w:rPr>
              <w:t>Richardsons</w:t>
            </w:r>
            <w:r w:rsidRPr="00F631EA">
              <w:rPr>
                <w:color w:val="231F20"/>
                <w:spacing w:val="-7"/>
                <w:sz w:val="16"/>
                <w:szCs w:val="16"/>
              </w:rPr>
              <w:t xml:space="preserve"> </w:t>
            </w:r>
            <w:r w:rsidRPr="00F631EA">
              <w:rPr>
                <w:color w:val="231F20"/>
                <w:sz w:val="16"/>
                <w:szCs w:val="16"/>
              </w:rPr>
              <w:t>Lagoon</w:t>
            </w:r>
          </w:p>
        </w:tc>
      </w:tr>
      <w:tr w:rsidR="006A7A3F" w:rsidTr="00F631EA">
        <w:trPr>
          <w:trHeight w:val="161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53"/>
              <w:rPr>
                <w:sz w:val="9"/>
              </w:rPr>
            </w:pPr>
            <w:r>
              <w:rPr>
                <w:color w:val="231F20"/>
                <w:sz w:val="16"/>
              </w:rPr>
              <w:t>Potential environmental watering – tier 2 (additional priorities)</w:t>
            </w:r>
            <w:r>
              <w:rPr>
                <w:color w:val="231F20"/>
                <w:position w:val="5"/>
                <w:sz w:val="9"/>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5"/>
              </w:numPr>
              <w:tabs>
                <w:tab w:val="left" w:pos="305"/>
              </w:tabs>
              <w:spacing w:before="70"/>
              <w:rPr>
                <w:sz w:val="16"/>
                <w:szCs w:val="16"/>
              </w:rPr>
            </w:pPr>
            <w:r w:rsidRPr="00F631EA">
              <w:rPr>
                <w:color w:val="231F20"/>
                <w:sz w:val="16"/>
                <w:szCs w:val="16"/>
              </w:rPr>
              <w:t>Richardsons</w:t>
            </w:r>
            <w:r w:rsidRPr="00F631EA">
              <w:rPr>
                <w:color w:val="231F20"/>
                <w:spacing w:val="-7"/>
                <w:sz w:val="16"/>
                <w:szCs w:val="16"/>
              </w:rPr>
              <w:t xml:space="preserve"> </w:t>
            </w:r>
            <w:r w:rsidRPr="00F631EA">
              <w:rPr>
                <w:color w:val="231F20"/>
                <w:sz w:val="16"/>
                <w:szCs w:val="16"/>
              </w:rPr>
              <w:t>Lagoon</w:t>
            </w:r>
          </w:p>
          <w:p w:rsidR="006A7A3F" w:rsidRPr="00F631EA" w:rsidRDefault="00BC7372">
            <w:pPr>
              <w:pStyle w:val="TableParagraph"/>
              <w:numPr>
                <w:ilvl w:val="0"/>
                <w:numId w:val="375"/>
              </w:numPr>
              <w:tabs>
                <w:tab w:val="left" w:pos="305"/>
              </w:tabs>
              <w:spacing w:before="98" w:line="254" w:lineRule="auto"/>
              <w:ind w:right="663"/>
              <w:rPr>
                <w:sz w:val="16"/>
                <w:szCs w:val="16"/>
              </w:rPr>
            </w:pPr>
            <w:r w:rsidRPr="00F631EA">
              <w:rPr>
                <w:color w:val="231F20"/>
                <w:sz w:val="16"/>
                <w:szCs w:val="16"/>
              </w:rPr>
              <w:t>Hird Swamp ‘through</w:t>
            </w:r>
            <w:r w:rsidRPr="00F631EA">
              <w:rPr>
                <w:color w:val="231F20"/>
                <w:spacing w:val="-7"/>
                <w:sz w:val="16"/>
                <w:szCs w:val="16"/>
              </w:rPr>
              <w:t xml:space="preserve"> </w:t>
            </w:r>
            <w:r w:rsidRPr="00F631EA">
              <w:rPr>
                <w:color w:val="231F20"/>
                <w:sz w:val="16"/>
                <w:szCs w:val="16"/>
              </w:rPr>
              <w:t>flow’</w:t>
            </w:r>
          </w:p>
          <w:p w:rsidR="006A7A3F" w:rsidRPr="00F631EA" w:rsidRDefault="00BC7372">
            <w:pPr>
              <w:pStyle w:val="TableParagraph"/>
              <w:numPr>
                <w:ilvl w:val="0"/>
                <w:numId w:val="375"/>
              </w:numPr>
              <w:tabs>
                <w:tab w:val="left" w:pos="305"/>
              </w:tabs>
              <w:spacing w:before="87" w:line="254" w:lineRule="auto"/>
              <w:ind w:right="512"/>
              <w:jc w:val="both"/>
              <w:rPr>
                <w:sz w:val="16"/>
                <w:szCs w:val="16"/>
              </w:rPr>
            </w:pPr>
            <w:r w:rsidRPr="00F631EA">
              <w:rPr>
                <w:color w:val="231F20"/>
                <w:sz w:val="16"/>
                <w:szCs w:val="16"/>
              </w:rPr>
              <w:t xml:space="preserve">Guttrum </w:t>
            </w:r>
            <w:r w:rsidRPr="00F631EA">
              <w:rPr>
                <w:color w:val="231F20"/>
                <w:spacing w:val="-3"/>
                <w:sz w:val="16"/>
                <w:szCs w:val="16"/>
              </w:rPr>
              <w:t xml:space="preserve">Forest </w:t>
            </w:r>
            <w:r w:rsidRPr="00F631EA">
              <w:rPr>
                <w:color w:val="231F20"/>
                <w:sz w:val="16"/>
                <w:szCs w:val="16"/>
              </w:rPr>
              <w:t>(autumn/winter 2021)</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4"/>
              </w:numPr>
              <w:tabs>
                <w:tab w:val="left" w:pos="305"/>
              </w:tabs>
              <w:spacing w:before="70"/>
              <w:rPr>
                <w:sz w:val="16"/>
                <w:szCs w:val="16"/>
              </w:rPr>
            </w:pPr>
            <w:r w:rsidRPr="00F631EA">
              <w:rPr>
                <w:color w:val="231F20"/>
                <w:sz w:val="16"/>
                <w:szCs w:val="16"/>
              </w:rPr>
              <w:t>Richardsons</w:t>
            </w:r>
            <w:r w:rsidRPr="00F631EA">
              <w:rPr>
                <w:color w:val="231F20"/>
                <w:spacing w:val="-7"/>
                <w:sz w:val="16"/>
                <w:szCs w:val="16"/>
              </w:rPr>
              <w:t xml:space="preserve"> </w:t>
            </w:r>
            <w:r w:rsidRPr="00F631EA">
              <w:rPr>
                <w:color w:val="231F20"/>
                <w:sz w:val="16"/>
                <w:szCs w:val="16"/>
              </w:rPr>
              <w:t>Lagoon</w:t>
            </w:r>
          </w:p>
          <w:p w:rsidR="006A7A3F" w:rsidRPr="00F631EA" w:rsidRDefault="00BC7372">
            <w:pPr>
              <w:pStyle w:val="TableParagraph"/>
              <w:numPr>
                <w:ilvl w:val="0"/>
                <w:numId w:val="374"/>
              </w:numPr>
              <w:tabs>
                <w:tab w:val="left" w:pos="305"/>
              </w:tabs>
              <w:spacing w:before="98" w:line="254" w:lineRule="auto"/>
              <w:ind w:right="663"/>
              <w:rPr>
                <w:sz w:val="16"/>
                <w:szCs w:val="16"/>
              </w:rPr>
            </w:pPr>
            <w:r w:rsidRPr="00F631EA">
              <w:rPr>
                <w:color w:val="231F20"/>
                <w:sz w:val="16"/>
                <w:szCs w:val="16"/>
              </w:rPr>
              <w:t>Hird Swamp ‘through</w:t>
            </w:r>
            <w:r w:rsidRPr="00F631EA">
              <w:rPr>
                <w:color w:val="231F20"/>
                <w:spacing w:val="-7"/>
                <w:sz w:val="16"/>
                <w:szCs w:val="16"/>
              </w:rPr>
              <w:t xml:space="preserve"> </w:t>
            </w:r>
            <w:r w:rsidRPr="00F631EA">
              <w:rPr>
                <w:color w:val="231F20"/>
                <w:sz w:val="16"/>
                <w:szCs w:val="16"/>
              </w:rPr>
              <w:t>flow’</w:t>
            </w:r>
          </w:p>
          <w:p w:rsidR="006A7A3F" w:rsidRPr="00F631EA" w:rsidRDefault="00BC7372">
            <w:pPr>
              <w:pStyle w:val="TableParagraph"/>
              <w:numPr>
                <w:ilvl w:val="0"/>
                <w:numId w:val="374"/>
              </w:numPr>
              <w:tabs>
                <w:tab w:val="left" w:pos="305"/>
              </w:tabs>
              <w:spacing w:before="87" w:line="254" w:lineRule="auto"/>
              <w:ind w:right="513"/>
              <w:jc w:val="both"/>
              <w:rPr>
                <w:sz w:val="16"/>
                <w:szCs w:val="16"/>
              </w:rPr>
            </w:pPr>
            <w:r w:rsidRPr="00F631EA">
              <w:rPr>
                <w:color w:val="231F20"/>
                <w:sz w:val="16"/>
                <w:szCs w:val="16"/>
              </w:rPr>
              <w:t xml:space="preserve">Guttrum </w:t>
            </w:r>
            <w:r w:rsidRPr="00F631EA">
              <w:rPr>
                <w:color w:val="231F20"/>
                <w:spacing w:val="-3"/>
                <w:sz w:val="16"/>
                <w:szCs w:val="16"/>
              </w:rPr>
              <w:t xml:space="preserve">Forest </w:t>
            </w:r>
            <w:r w:rsidRPr="00F631EA">
              <w:rPr>
                <w:color w:val="231F20"/>
                <w:sz w:val="16"/>
                <w:szCs w:val="16"/>
              </w:rPr>
              <w:t>(autumn/winter 2021)</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3"/>
              </w:numPr>
              <w:tabs>
                <w:tab w:val="left" w:pos="305"/>
              </w:tabs>
              <w:spacing w:before="70" w:line="254" w:lineRule="auto"/>
              <w:ind w:right="664"/>
              <w:jc w:val="both"/>
              <w:rPr>
                <w:sz w:val="16"/>
                <w:szCs w:val="16"/>
              </w:rPr>
            </w:pPr>
            <w:r w:rsidRPr="00F631EA">
              <w:rPr>
                <w:color w:val="231F20"/>
                <w:sz w:val="16"/>
                <w:szCs w:val="16"/>
              </w:rPr>
              <w:t>Hird Swamp ‘through</w:t>
            </w:r>
            <w:r w:rsidRPr="00F631EA">
              <w:rPr>
                <w:color w:val="231F20"/>
                <w:spacing w:val="-7"/>
                <w:sz w:val="16"/>
                <w:szCs w:val="16"/>
              </w:rPr>
              <w:t xml:space="preserve"> </w:t>
            </w:r>
            <w:r w:rsidRPr="00F631EA">
              <w:rPr>
                <w:color w:val="231F20"/>
                <w:sz w:val="16"/>
                <w:szCs w:val="16"/>
              </w:rPr>
              <w:t>flow’</w:t>
            </w:r>
          </w:p>
          <w:p w:rsidR="006A7A3F" w:rsidRPr="00F631EA" w:rsidRDefault="00BC7372">
            <w:pPr>
              <w:pStyle w:val="TableParagraph"/>
              <w:numPr>
                <w:ilvl w:val="0"/>
                <w:numId w:val="373"/>
              </w:numPr>
              <w:tabs>
                <w:tab w:val="left" w:pos="305"/>
              </w:tabs>
              <w:spacing w:before="87" w:line="254" w:lineRule="auto"/>
              <w:ind w:right="513"/>
              <w:jc w:val="both"/>
              <w:rPr>
                <w:sz w:val="16"/>
                <w:szCs w:val="16"/>
              </w:rPr>
            </w:pPr>
            <w:r w:rsidRPr="00F631EA">
              <w:rPr>
                <w:color w:val="231F20"/>
                <w:sz w:val="16"/>
                <w:szCs w:val="16"/>
              </w:rPr>
              <w:t xml:space="preserve">Guttrum </w:t>
            </w:r>
            <w:r w:rsidRPr="00F631EA">
              <w:rPr>
                <w:color w:val="231F20"/>
                <w:spacing w:val="-3"/>
                <w:sz w:val="16"/>
                <w:szCs w:val="16"/>
              </w:rPr>
              <w:t xml:space="preserve">Forest </w:t>
            </w:r>
            <w:r w:rsidRPr="00F631EA">
              <w:rPr>
                <w:color w:val="231F20"/>
                <w:sz w:val="16"/>
                <w:szCs w:val="16"/>
              </w:rPr>
              <w:t>(autumn/winter 2021)</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2"/>
              </w:numPr>
              <w:tabs>
                <w:tab w:val="left" w:pos="305"/>
              </w:tabs>
              <w:spacing w:before="70" w:line="254" w:lineRule="auto"/>
              <w:ind w:right="664"/>
              <w:jc w:val="both"/>
              <w:rPr>
                <w:sz w:val="16"/>
                <w:szCs w:val="16"/>
              </w:rPr>
            </w:pPr>
            <w:r w:rsidRPr="00F631EA">
              <w:rPr>
                <w:color w:val="231F20"/>
                <w:sz w:val="16"/>
                <w:szCs w:val="16"/>
              </w:rPr>
              <w:t>Hird Swamp ‘through</w:t>
            </w:r>
            <w:r w:rsidRPr="00F631EA">
              <w:rPr>
                <w:color w:val="231F20"/>
                <w:spacing w:val="-7"/>
                <w:sz w:val="16"/>
                <w:szCs w:val="16"/>
              </w:rPr>
              <w:t xml:space="preserve"> </w:t>
            </w:r>
            <w:r w:rsidRPr="00F631EA">
              <w:rPr>
                <w:color w:val="231F20"/>
                <w:sz w:val="16"/>
                <w:szCs w:val="16"/>
              </w:rPr>
              <w:t>flow’</w:t>
            </w:r>
          </w:p>
          <w:p w:rsidR="006A7A3F" w:rsidRPr="00F631EA" w:rsidRDefault="00BC7372">
            <w:pPr>
              <w:pStyle w:val="TableParagraph"/>
              <w:numPr>
                <w:ilvl w:val="0"/>
                <w:numId w:val="372"/>
              </w:numPr>
              <w:tabs>
                <w:tab w:val="left" w:pos="305"/>
              </w:tabs>
              <w:spacing w:before="87" w:line="254" w:lineRule="auto"/>
              <w:ind w:right="513"/>
              <w:jc w:val="both"/>
              <w:rPr>
                <w:sz w:val="16"/>
                <w:szCs w:val="16"/>
              </w:rPr>
            </w:pPr>
            <w:r w:rsidRPr="00F631EA">
              <w:rPr>
                <w:color w:val="231F20"/>
                <w:sz w:val="16"/>
                <w:szCs w:val="16"/>
              </w:rPr>
              <w:t xml:space="preserve">Guttrum </w:t>
            </w:r>
            <w:r w:rsidRPr="00F631EA">
              <w:rPr>
                <w:color w:val="231F20"/>
                <w:spacing w:val="-3"/>
                <w:sz w:val="16"/>
                <w:szCs w:val="16"/>
              </w:rPr>
              <w:t xml:space="preserve">Forest </w:t>
            </w:r>
            <w:r w:rsidRPr="00F631EA">
              <w:rPr>
                <w:color w:val="231F20"/>
                <w:sz w:val="16"/>
                <w:szCs w:val="16"/>
              </w:rPr>
              <w:t>(autumn/winter 2021)</w:t>
            </w:r>
          </w:p>
        </w:tc>
      </w:tr>
      <w:tr w:rsidR="006A7A3F" w:rsidTr="00F631EA">
        <w:trPr>
          <w:trHeight w:val="9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85"/>
              <w:rPr>
                <w:sz w:val="9"/>
              </w:rPr>
            </w:pPr>
            <w:r>
              <w:rPr>
                <w:color w:val="231F20"/>
                <w:sz w:val="16"/>
              </w:rPr>
              <w:t>Possible volume of environmental water required to achieve objectives</w:t>
            </w:r>
            <w:r>
              <w:rPr>
                <w:color w:val="231F20"/>
                <w:position w:val="5"/>
                <w:sz w:val="9"/>
              </w:rPr>
              <w:t>3</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1"/>
              </w:numPr>
              <w:tabs>
                <w:tab w:val="left" w:pos="305"/>
              </w:tabs>
              <w:spacing w:before="70"/>
              <w:rPr>
                <w:sz w:val="16"/>
                <w:szCs w:val="16"/>
              </w:rPr>
            </w:pPr>
            <w:r w:rsidRPr="00F631EA">
              <w:rPr>
                <w:color w:val="231F20"/>
                <w:sz w:val="16"/>
                <w:szCs w:val="16"/>
              </w:rPr>
              <w:t>17,700 ML (tier</w:t>
            </w:r>
            <w:r w:rsidRPr="00F631EA">
              <w:rPr>
                <w:color w:val="231F20"/>
                <w:spacing w:val="-11"/>
                <w:sz w:val="16"/>
                <w:szCs w:val="16"/>
              </w:rPr>
              <w:t xml:space="preserve"> </w:t>
            </w:r>
            <w:r w:rsidRPr="00F631EA">
              <w:rPr>
                <w:color w:val="231F20"/>
                <w:sz w:val="16"/>
                <w:szCs w:val="16"/>
              </w:rPr>
              <w:t>1)</w:t>
            </w:r>
          </w:p>
          <w:p w:rsidR="006A7A3F" w:rsidRPr="00F631EA" w:rsidRDefault="00BC7372">
            <w:pPr>
              <w:pStyle w:val="TableParagraph"/>
              <w:numPr>
                <w:ilvl w:val="0"/>
                <w:numId w:val="371"/>
              </w:numPr>
              <w:tabs>
                <w:tab w:val="left" w:pos="305"/>
              </w:tabs>
              <w:spacing w:before="98"/>
              <w:rPr>
                <w:sz w:val="16"/>
                <w:szCs w:val="16"/>
              </w:rPr>
            </w:pPr>
            <w:r w:rsidRPr="00F631EA">
              <w:rPr>
                <w:color w:val="231F20"/>
                <w:sz w:val="16"/>
                <w:szCs w:val="16"/>
              </w:rPr>
              <w:t>3,700 ML (tier</w:t>
            </w:r>
            <w:r w:rsidRPr="00F631EA">
              <w:rPr>
                <w:color w:val="231F20"/>
                <w:spacing w:val="-10"/>
                <w:sz w:val="16"/>
                <w:szCs w:val="16"/>
              </w:rPr>
              <w:t xml:space="preserve"> </w:t>
            </w:r>
            <w:r w:rsidRPr="00F631EA">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70"/>
              </w:numPr>
              <w:tabs>
                <w:tab w:val="left" w:pos="305"/>
              </w:tabs>
              <w:spacing w:before="70"/>
              <w:rPr>
                <w:sz w:val="16"/>
                <w:szCs w:val="16"/>
              </w:rPr>
            </w:pPr>
            <w:r w:rsidRPr="00F631EA">
              <w:rPr>
                <w:color w:val="231F20"/>
                <w:sz w:val="16"/>
                <w:szCs w:val="16"/>
              </w:rPr>
              <w:t>18,500 ML (tier</w:t>
            </w:r>
            <w:r w:rsidRPr="00F631EA">
              <w:rPr>
                <w:color w:val="231F20"/>
                <w:spacing w:val="-11"/>
                <w:sz w:val="16"/>
                <w:szCs w:val="16"/>
              </w:rPr>
              <w:t xml:space="preserve"> </w:t>
            </w:r>
            <w:r w:rsidRPr="00F631EA">
              <w:rPr>
                <w:color w:val="231F20"/>
                <w:sz w:val="16"/>
                <w:szCs w:val="16"/>
              </w:rPr>
              <w:t>1)</w:t>
            </w:r>
          </w:p>
          <w:p w:rsidR="006A7A3F" w:rsidRPr="00F631EA" w:rsidRDefault="00BC7372">
            <w:pPr>
              <w:pStyle w:val="TableParagraph"/>
              <w:numPr>
                <w:ilvl w:val="0"/>
                <w:numId w:val="370"/>
              </w:numPr>
              <w:tabs>
                <w:tab w:val="left" w:pos="305"/>
              </w:tabs>
              <w:spacing w:before="98"/>
              <w:rPr>
                <w:sz w:val="16"/>
                <w:szCs w:val="16"/>
              </w:rPr>
            </w:pPr>
            <w:r w:rsidRPr="00F631EA">
              <w:rPr>
                <w:color w:val="231F20"/>
                <w:sz w:val="16"/>
                <w:szCs w:val="16"/>
              </w:rPr>
              <w:t>3,700 ML (tier</w:t>
            </w:r>
            <w:r w:rsidRPr="00F631EA">
              <w:rPr>
                <w:color w:val="231F20"/>
                <w:spacing w:val="-10"/>
                <w:sz w:val="16"/>
                <w:szCs w:val="16"/>
              </w:rPr>
              <w:t xml:space="preserve"> </w:t>
            </w:r>
            <w:r w:rsidRPr="00F631EA">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69"/>
              </w:numPr>
              <w:tabs>
                <w:tab w:val="left" w:pos="305"/>
              </w:tabs>
              <w:spacing w:before="70"/>
              <w:rPr>
                <w:sz w:val="16"/>
                <w:szCs w:val="16"/>
              </w:rPr>
            </w:pPr>
            <w:r w:rsidRPr="00F631EA">
              <w:rPr>
                <w:color w:val="231F20"/>
                <w:sz w:val="16"/>
                <w:szCs w:val="16"/>
              </w:rPr>
              <w:t>21,700 ML (tier</w:t>
            </w:r>
            <w:r w:rsidRPr="00F631EA">
              <w:rPr>
                <w:color w:val="231F20"/>
                <w:spacing w:val="-11"/>
                <w:sz w:val="16"/>
                <w:szCs w:val="16"/>
              </w:rPr>
              <w:t xml:space="preserve"> </w:t>
            </w:r>
            <w:r w:rsidRPr="00F631EA">
              <w:rPr>
                <w:color w:val="231F20"/>
                <w:sz w:val="16"/>
                <w:szCs w:val="16"/>
              </w:rPr>
              <w:t>1)</w:t>
            </w:r>
          </w:p>
          <w:p w:rsidR="006A7A3F" w:rsidRPr="00F631EA" w:rsidRDefault="00BC7372">
            <w:pPr>
              <w:pStyle w:val="TableParagraph"/>
              <w:numPr>
                <w:ilvl w:val="0"/>
                <w:numId w:val="369"/>
              </w:numPr>
              <w:tabs>
                <w:tab w:val="left" w:pos="305"/>
              </w:tabs>
              <w:spacing w:before="98"/>
              <w:rPr>
                <w:sz w:val="16"/>
                <w:szCs w:val="16"/>
              </w:rPr>
            </w:pPr>
            <w:r w:rsidRPr="00F631EA">
              <w:rPr>
                <w:color w:val="231F20"/>
                <w:sz w:val="16"/>
                <w:szCs w:val="16"/>
              </w:rPr>
              <w:t>500 ML (tier</w:t>
            </w:r>
            <w:r w:rsidRPr="00F631EA">
              <w:rPr>
                <w:color w:val="231F20"/>
                <w:spacing w:val="-9"/>
                <w:sz w:val="16"/>
                <w:szCs w:val="16"/>
              </w:rPr>
              <w:t xml:space="preserve"> </w:t>
            </w:r>
            <w:r w:rsidRPr="00F631EA">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F631EA" w:rsidRDefault="00BC7372">
            <w:pPr>
              <w:pStyle w:val="TableParagraph"/>
              <w:numPr>
                <w:ilvl w:val="0"/>
                <w:numId w:val="368"/>
              </w:numPr>
              <w:tabs>
                <w:tab w:val="left" w:pos="305"/>
              </w:tabs>
              <w:spacing w:before="70"/>
              <w:rPr>
                <w:sz w:val="16"/>
                <w:szCs w:val="16"/>
              </w:rPr>
            </w:pPr>
            <w:r w:rsidRPr="00F631EA">
              <w:rPr>
                <w:color w:val="231F20"/>
                <w:sz w:val="16"/>
                <w:szCs w:val="16"/>
              </w:rPr>
              <w:t>21,500 ML (tier</w:t>
            </w:r>
            <w:r w:rsidRPr="00F631EA">
              <w:rPr>
                <w:color w:val="231F20"/>
                <w:spacing w:val="-11"/>
                <w:sz w:val="16"/>
                <w:szCs w:val="16"/>
              </w:rPr>
              <w:t xml:space="preserve"> </w:t>
            </w:r>
            <w:r w:rsidRPr="00F631EA">
              <w:rPr>
                <w:color w:val="231F20"/>
                <w:sz w:val="16"/>
                <w:szCs w:val="16"/>
              </w:rPr>
              <w:t>1)</w:t>
            </w:r>
          </w:p>
          <w:p w:rsidR="006A7A3F" w:rsidRPr="00F631EA" w:rsidRDefault="00BC7372">
            <w:pPr>
              <w:pStyle w:val="TableParagraph"/>
              <w:numPr>
                <w:ilvl w:val="0"/>
                <w:numId w:val="368"/>
              </w:numPr>
              <w:tabs>
                <w:tab w:val="left" w:pos="305"/>
              </w:tabs>
              <w:spacing w:before="98"/>
              <w:rPr>
                <w:sz w:val="16"/>
                <w:szCs w:val="16"/>
              </w:rPr>
            </w:pPr>
            <w:r w:rsidRPr="00F631EA">
              <w:rPr>
                <w:color w:val="231F20"/>
                <w:sz w:val="16"/>
                <w:szCs w:val="16"/>
              </w:rPr>
              <w:t>500 ML (tier</w:t>
            </w:r>
            <w:r w:rsidRPr="00F631EA">
              <w:rPr>
                <w:color w:val="231F20"/>
                <w:spacing w:val="-9"/>
                <w:sz w:val="16"/>
                <w:szCs w:val="16"/>
              </w:rPr>
              <w:t xml:space="preserve"> </w:t>
            </w:r>
            <w:r w:rsidRPr="00F631EA">
              <w:rPr>
                <w:color w:val="231F20"/>
                <w:sz w:val="16"/>
                <w:szCs w:val="16"/>
              </w:rPr>
              <w:t>2)</w:t>
            </w:r>
          </w:p>
        </w:tc>
      </w:tr>
      <w:tr w:rsidR="00F631EA" w:rsidTr="00F631EA">
        <w:trPr>
          <w:trHeight w:val="607"/>
        </w:trPr>
        <w:tc>
          <w:tcPr>
            <w:tcW w:w="2041" w:type="dxa"/>
            <w:tcBorders>
              <w:top w:val="single" w:sz="4" w:space="0" w:color="231F20"/>
              <w:left w:val="single" w:sz="4" w:space="0" w:color="231F20"/>
              <w:bottom w:val="single" w:sz="4" w:space="0" w:color="231F20"/>
              <w:right w:val="single" w:sz="4" w:space="0" w:color="231F20"/>
            </w:tcBorders>
          </w:tcPr>
          <w:p w:rsidR="00F631EA" w:rsidRDefault="00F631EA" w:rsidP="00F631EA">
            <w:pPr>
              <w:pStyle w:val="TableParagraph"/>
              <w:spacing w:before="67" w:line="261" w:lineRule="auto"/>
              <w:ind w:left="85" w:right="716"/>
              <w:rPr>
                <w:sz w:val="16"/>
              </w:rPr>
            </w:pPr>
            <w:r>
              <w:rPr>
                <w:color w:val="231F20"/>
                <w:sz w:val="16"/>
              </w:rPr>
              <w:t>Priority carryover requirements</w:t>
            </w:r>
          </w:p>
        </w:tc>
        <w:tc>
          <w:tcPr>
            <w:tcW w:w="8164" w:type="dxa"/>
            <w:gridSpan w:val="4"/>
            <w:tcBorders>
              <w:top w:val="single" w:sz="4" w:space="0" w:color="231F20"/>
              <w:left w:val="single" w:sz="4" w:space="0" w:color="231F20"/>
              <w:bottom w:val="single" w:sz="4" w:space="0" w:color="231F20"/>
              <w:right w:val="single" w:sz="4" w:space="0" w:color="231F20"/>
            </w:tcBorders>
          </w:tcPr>
          <w:p w:rsidR="00F631EA" w:rsidRPr="00F631EA" w:rsidRDefault="00F631EA" w:rsidP="00F631EA">
            <w:pPr>
              <w:pStyle w:val="TableParagraph"/>
              <w:numPr>
                <w:ilvl w:val="0"/>
                <w:numId w:val="367"/>
              </w:numPr>
              <w:tabs>
                <w:tab w:val="left" w:pos="284"/>
              </w:tabs>
              <w:spacing w:before="63"/>
              <w:ind w:hanging="3511"/>
              <w:jc w:val="center"/>
              <w:rPr>
                <w:sz w:val="16"/>
                <w:szCs w:val="16"/>
              </w:rPr>
            </w:pPr>
            <w:r w:rsidRPr="00F631EA">
              <w:rPr>
                <w:color w:val="231F20"/>
                <w:sz w:val="16"/>
                <w:szCs w:val="16"/>
              </w:rPr>
              <w:t>Up to 14,000</w:t>
            </w:r>
            <w:r w:rsidRPr="00F631EA">
              <w:rPr>
                <w:color w:val="231F20"/>
                <w:spacing w:val="-3"/>
                <w:sz w:val="16"/>
                <w:szCs w:val="16"/>
              </w:rPr>
              <w:t xml:space="preserve"> </w:t>
            </w:r>
            <w:r w:rsidRPr="00F631EA">
              <w:rPr>
                <w:color w:val="231F20"/>
                <w:sz w:val="16"/>
                <w:szCs w:val="16"/>
              </w:rPr>
              <w:t>ML</w:t>
            </w:r>
          </w:p>
        </w:tc>
      </w:tr>
    </w:tbl>
    <w:p w:rsidR="006A7A3F" w:rsidRDefault="00BC7372">
      <w:pPr>
        <w:pStyle w:val="ListParagraph"/>
        <w:numPr>
          <w:ilvl w:val="0"/>
          <w:numId w:val="366"/>
        </w:numPr>
        <w:tabs>
          <w:tab w:val="left" w:pos="324"/>
        </w:tabs>
        <w:spacing w:before="16" w:line="266" w:lineRule="auto"/>
        <w:ind w:right="429"/>
        <w:rPr>
          <w:sz w:val="14"/>
        </w:rPr>
      </w:pPr>
      <w:r>
        <w:rPr>
          <w:color w:val="231F20"/>
          <w:sz w:val="14"/>
        </w:rPr>
        <w:t>Tier 1 potential environmental watering for the central Murray wetlands is not classified as tier 1a or 1b because the water available for use is shared across various systems and it is not possible to reliably determine the supply specifically available for the central Murray</w:t>
      </w:r>
      <w:r>
        <w:rPr>
          <w:color w:val="231F20"/>
          <w:spacing w:val="27"/>
          <w:sz w:val="14"/>
        </w:rPr>
        <w:t xml:space="preserve"> </w:t>
      </w:r>
      <w:r>
        <w:rPr>
          <w:color w:val="231F20"/>
          <w:sz w:val="14"/>
        </w:rPr>
        <w:t>wetlands.</w:t>
      </w:r>
    </w:p>
    <w:p w:rsidR="006A7A3F" w:rsidRDefault="00BC7372">
      <w:pPr>
        <w:pStyle w:val="ListParagraph"/>
        <w:numPr>
          <w:ilvl w:val="0"/>
          <w:numId w:val="366"/>
        </w:numPr>
        <w:tabs>
          <w:tab w:val="left" w:pos="324"/>
        </w:tabs>
        <w:spacing w:before="55"/>
        <w:rPr>
          <w:sz w:val="14"/>
        </w:rPr>
      </w:pPr>
      <w:r>
        <w:rPr>
          <w:color w:val="231F20"/>
          <w:sz w:val="14"/>
        </w:rPr>
        <w:t xml:space="preserve">Wetlands are listed in </w:t>
      </w:r>
      <w:r>
        <w:rPr>
          <w:color w:val="231F20"/>
          <w:spacing w:val="2"/>
          <w:sz w:val="14"/>
        </w:rPr>
        <w:t xml:space="preserve">priority </w:t>
      </w:r>
      <w:r>
        <w:rPr>
          <w:color w:val="231F20"/>
          <w:sz w:val="14"/>
        </w:rPr>
        <w:t>order for tier 1 and tier 2 under all</w:t>
      </w:r>
      <w:r>
        <w:rPr>
          <w:color w:val="231F20"/>
          <w:spacing w:val="-3"/>
          <w:sz w:val="14"/>
        </w:rPr>
        <w:t xml:space="preserve"> </w:t>
      </w:r>
      <w:r>
        <w:rPr>
          <w:color w:val="231F20"/>
          <w:sz w:val="14"/>
        </w:rPr>
        <w:t>scenarios.</w:t>
      </w:r>
    </w:p>
    <w:p w:rsidR="006A7A3F" w:rsidRDefault="00BC7372">
      <w:pPr>
        <w:pStyle w:val="ListParagraph"/>
        <w:numPr>
          <w:ilvl w:val="0"/>
          <w:numId w:val="366"/>
        </w:numPr>
        <w:tabs>
          <w:tab w:val="left" w:pos="324"/>
        </w:tabs>
        <w:spacing w:before="74"/>
        <w:rPr>
          <w:sz w:val="14"/>
        </w:rPr>
      </w:pPr>
      <w:r>
        <w:rPr>
          <w:color w:val="231F20"/>
          <w:sz w:val="14"/>
        </w:rPr>
        <w:t>Environmental water requirements for tier 2 actions are additional to tier 1</w:t>
      </w:r>
      <w:r>
        <w:rPr>
          <w:color w:val="231F20"/>
          <w:spacing w:val="3"/>
          <w:sz w:val="14"/>
        </w:rPr>
        <w:t xml:space="preserve"> </w:t>
      </w:r>
      <w:r>
        <w:rPr>
          <w:color w:val="231F20"/>
          <w:sz w:val="14"/>
        </w:rPr>
        <w:t>requirements.</w:t>
      </w:r>
    </w:p>
    <w:p w:rsidR="006A7A3F" w:rsidRPr="00F631EA" w:rsidRDefault="00F631EA" w:rsidP="00F631EA">
      <w:pPr>
        <w:rPr>
          <w:sz w:val="13"/>
          <w:szCs w:val="20"/>
        </w:rPr>
      </w:pPr>
      <w:r>
        <w:rPr>
          <w:sz w:val="13"/>
        </w:rPr>
        <w:br w:type="page"/>
      </w:r>
    </w:p>
    <w:p w:rsidR="006A7A3F" w:rsidRPr="009B7931" w:rsidRDefault="00BC7372">
      <w:pPr>
        <w:pStyle w:val="Heading5"/>
        <w:numPr>
          <w:ilvl w:val="2"/>
          <w:numId w:val="577"/>
        </w:numPr>
        <w:tabs>
          <w:tab w:val="left" w:pos="811"/>
        </w:tabs>
        <w:rPr>
          <w:rFonts w:ascii="Arial" w:hAnsi="Arial" w:cs="Arial"/>
          <w:b/>
          <w:bCs/>
          <w:color w:val="231F20"/>
        </w:rPr>
      </w:pPr>
      <w:r w:rsidRPr="009B7931">
        <w:rPr>
          <w:rFonts w:ascii="Arial" w:hAnsi="Arial" w:cs="Arial"/>
          <w:b/>
          <w:bCs/>
          <w:color w:val="231F20"/>
        </w:rPr>
        <w:t>Hattah Lakes</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304"/>
      </w:pPr>
      <w:r>
        <w:rPr>
          <w:color w:val="231F20"/>
        </w:rPr>
        <w:t>The Hattah-Kulkyne National Park is situated in north-west Victoria adjacent to the Murray River (Figure 5.2.4). The national park contains a complex of more than 20 semi-permanent freshwater lakes known collectively as the Hattah Lakes.</w:t>
      </w:r>
    </w:p>
    <w:p w:rsidR="006A7A3F" w:rsidRDefault="006A7A3F">
      <w:pPr>
        <w:pStyle w:val="BodyText"/>
        <w:spacing w:before="7"/>
        <w:ind w:left="0"/>
        <w:rPr>
          <w:sz w:val="21"/>
        </w:rPr>
      </w:pPr>
    </w:p>
    <w:p w:rsidR="006A7A3F" w:rsidRDefault="00BC7372" w:rsidP="00F32821">
      <w:pPr>
        <w:pStyle w:val="BodyText"/>
        <w:spacing w:before="0" w:line="249" w:lineRule="auto"/>
        <w:ind w:right="473"/>
      </w:pPr>
      <w:r>
        <w:rPr>
          <w:color w:val="231F20"/>
        </w:rPr>
        <w:t xml:space="preserve">The ecology of the Hattah Lakes and surrounding floodplain is strongly influenced by flooding regimes of the Murray </w:t>
      </w:r>
      <w:r>
        <w:rPr>
          <w:color w:val="231F20"/>
          <w:spacing w:val="-3"/>
        </w:rPr>
        <w:t xml:space="preserve">River. </w:t>
      </w:r>
      <w:r>
        <w:rPr>
          <w:color w:val="231F20"/>
        </w:rPr>
        <w:t xml:space="preserve">The system fills when there is high flow in the Murray </w:t>
      </w:r>
      <w:r>
        <w:rPr>
          <w:color w:val="231F20"/>
          <w:spacing w:val="-3"/>
        </w:rPr>
        <w:t xml:space="preserve">River, </w:t>
      </w:r>
      <w:r>
        <w:rPr>
          <w:color w:val="231F20"/>
        </w:rPr>
        <w:t>and some lakes hold water for several years after floods recede. Regulation of the Murray River has significantly reduced the frequency and duration of small- to medium-sized natural floods in the Hattah Lakes system. Over time, this has degraded</w:t>
      </w:r>
      <w:r>
        <w:rPr>
          <w:color w:val="231F20"/>
          <w:spacing w:val="-27"/>
        </w:rPr>
        <w:t xml:space="preserve"> </w:t>
      </w:r>
      <w:r>
        <w:rPr>
          <w:color w:val="231F20"/>
        </w:rPr>
        <w:t>vegetation</w:t>
      </w:r>
      <w:r w:rsidR="00F32821">
        <w:rPr>
          <w:color w:val="231F20"/>
        </w:rPr>
        <w:t xml:space="preserve"> </w:t>
      </w:r>
      <w:r>
        <w:rPr>
          <w:color w:val="231F20"/>
        </w:rPr>
        <w:t>communities and reduced the diversity and abundance of animals that use the vegetation and wetlands for habitat and food.</w:t>
      </w:r>
    </w:p>
    <w:p w:rsidR="006A7A3F" w:rsidRDefault="00BC7372">
      <w:pPr>
        <w:pStyle w:val="BodyText"/>
        <w:spacing w:before="171" w:line="249" w:lineRule="auto"/>
        <w:ind w:right="313"/>
      </w:pPr>
      <w:r>
        <w:rPr>
          <w:color w:val="231F20"/>
        </w:rPr>
        <w:t>The Hattah Lakes complex can be broadly divided into the southern Hattah Lakes, which contains permanent to semi-permanent wetlands, and the higher-elevation northern Hattah Lakes, which are mostly ephemeral wetlands.</w:t>
      </w:r>
    </w:p>
    <w:p w:rsidR="006A7A3F" w:rsidRDefault="00BC7372">
      <w:pPr>
        <w:pStyle w:val="BodyText"/>
        <w:spacing w:line="249" w:lineRule="auto"/>
        <w:ind w:right="229"/>
      </w:pPr>
      <w:r>
        <w:rPr>
          <w:color w:val="231F20"/>
        </w:rPr>
        <w:t>The Messenger, Oateys and Cantala regulators allow water to flow between the Murray River and Hattah Lakes. When flows in the Murray River are about 26,000 ML per day, water begins to flow through Messengers regulator into Chalka Creek and through to the Hattah Lakes complex. A permanent pump station has also been constructed that can deliver up to 1,000 ML per day to Hattah Lakes through Chalka Creek. The regulators and pump station are used in combination with several small constructed levees to restore a beneficial pattern of flooding to the lakes.</w:t>
      </w:r>
    </w:p>
    <w:p w:rsidR="006A7A3F" w:rsidRDefault="00BC7372">
      <w:pPr>
        <w:pStyle w:val="BodyText"/>
        <w:spacing w:before="175" w:line="249" w:lineRule="auto"/>
        <w:ind w:right="100"/>
      </w:pPr>
      <w:r>
        <w:rPr>
          <w:color w:val="231F20"/>
        </w:rPr>
        <w:t>Lake Kramen in the south east of Hattah-Kulkyne National Park is disconnected from the main Hattah Lakes complex. The Hattah Lakes pump station can deliver up to 145 ML per day to Lake Kramen to restore flooding regimes.</w:t>
      </w:r>
    </w:p>
    <w:p w:rsidR="006A7A3F" w:rsidRPr="005D7AC7" w:rsidRDefault="00BC7372">
      <w:pPr>
        <w:spacing w:before="182"/>
        <w:ind w:left="210"/>
        <w:rPr>
          <w:b/>
          <w:sz w:val="19"/>
        </w:rPr>
      </w:pPr>
      <w:r w:rsidRPr="005D7AC7">
        <w:rPr>
          <w:b/>
          <w:color w:val="231F20"/>
          <w:sz w:val="19"/>
        </w:rPr>
        <w:t>Environmental values</w:t>
      </w:r>
    </w:p>
    <w:p w:rsidR="006A7A3F" w:rsidRDefault="00BC7372">
      <w:pPr>
        <w:pStyle w:val="BodyText"/>
        <w:spacing w:before="67" w:line="249" w:lineRule="auto"/>
        <w:ind w:right="351"/>
      </w:pPr>
      <w:r>
        <w:rPr>
          <w:color w:val="231F20"/>
        </w:rPr>
        <w:t>Hattah Lakes is home to a diverse range of flood-dependent vegetation that changes with the topography of the landscape. Vegetation types range from wetland communities in lower-lying areas that require almost annual flooding to lignum and black box communities situated higher on the floodplain that only need flooding once every four to five years (on average).</w:t>
      </w:r>
    </w:p>
    <w:p w:rsidR="006A7A3F" w:rsidRDefault="00BC7372">
      <w:pPr>
        <w:pStyle w:val="BodyText"/>
        <w:spacing w:before="174" w:line="249" w:lineRule="auto"/>
        <w:ind w:right="330"/>
      </w:pPr>
      <w:r>
        <w:rPr>
          <w:color w:val="231F20"/>
        </w:rPr>
        <w:t>A combination of natural flooding and the delivery of environmental flows since 2010 has improved tree canopy health and recruitment of black box and river red gum communities throughout the Hattah Lakes. Woodland birds, including the endangered regent parrot, have benefited from the improved tree health.</w:t>
      </w:r>
    </w:p>
    <w:p w:rsidR="006A7A3F" w:rsidRDefault="00BC7372">
      <w:pPr>
        <w:pStyle w:val="BodyText"/>
        <w:spacing w:line="249" w:lineRule="auto"/>
        <w:ind w:right="297"/>
      </w:pPr>
      <w:r>
        <w:rPr>
          <w:color w:val="231F20"/>
        </w:rPr>
        <w:t>Hattah Lakes provides important waterbird breeding sites in an arid landscape. A total of 34 species of waterbirds are known to breed at the lakes when conditions are suitable. Another six species of waterbirds breed in the surrounding floodplain. Wetland drought-refuge sites are limited in the region, making Hattah Lakes critically important for waterbirds and terrestrial animals.</w:t>
      </w:r>
    </w:p>
    <w:p w:rsidR="006A7A3F" w:rsidRDefault="00BC7372">
      <w:pPr>
        <w:pStyle w:val="BodyText"/>
        <w:spacing w:before="174" w:line="249" w:lineRule="auto"/>
        <w:ind w:right="638"/>
      </w:pPr>
      <w:r>
        <w:rPr>
          <w:color w:val="231F20"/>
        </w:rPr>
        <w:t>The Hattah Lakes support native fish species such golden perch and endangered freshwater catfish, which can move between the lakes and the Murray River when flows are suitable. Fish can also persist in permanent wetlands in the Hattah Lakes during dry years.</w:t>
      </w:r>
    </w:p>
    <w:p w:rsidR="00F631EA" w:rsidRDefault="00F631EA">
      <w:pPr>
        <w:rPr>
          <w:b/>
          <w:color w:val="231F20"/>
          <w:sz w:val="24"/>
          <w:szCs w:val="24"/>
        </w:rPr>
      </w:pPr>
      <w:r>
        <w:rPr>
          <w:b/>
          <w:color w:val="231F20"/>
          <w:sz w:val="24"/>
          <w:szCs w:val="24"/>
        </w:rPr>
        <w:br w:type="page"/>
      </w:r>
    </w:p>
    <w:p w:rsidR="006A7A3F" w:rsidRPr="00F631EA" w:rsidRDefault="00BC7372">
      <w:pPr>
        <w:spacing w:before="181"/>
        <w:ind w:left="210"/>
        <w:rPr>
          <w:b/>
          <w:sz w:val="24"/>
          <w:szCs w:val="24"/>
        </w:rPr>
      </w:pPr>
      <w:r w:rsidRPr="00F631EA">
        <w:rPr>
          <w:b/>
          <w:color w:val="231F20"/>
          <w:sz w:val="24"/>
          <w:szCs w:val="24"/>
        </w:rPr>
        <w:t>Environmental watering objectives in the Hattah Lakes</w:t>
      </w:r>
    </w:p>
    <w:p w:rsidR="006A7A3F" w:rsidRDefault="006A7A3F">
      <w:pPr>
        <w:pStyle w:val="BodyText"/>
        <w:spacing w:before="12"/>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859"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spacing w:before="2"/>
              <w:ind w:left="0"/>
              <w:rPr>
                <w:rFonts w:ascii="Helvetica Neue LT Std 75"/>
                <w:b/>
                <w:sz w:val="23"/>
              </w:rPr>
            </w:pPr>
          </w:p>
          <w:p w:rsidR="006A7A3F" w:rsidRDefault="00BC7372">
            <w:pPr>
              <w:pStyle w:val="TableParagraph"/>
              <w:ind w:left="118"/>
              <w:rPr>
                <w:sz w:val="16"/>
              </w:rPr>
            </w:pPr>
            <w:r>
              <w:rPr>
                <w:color w:val="231F20"/>
                <w:sz w:val="16"/>
              </w:rPr>
              <w:t>Increase the native fish populations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86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181"/>
              <w:rPr>
                <w:sz w:val="16"/>
              </w:rPr>
            </w:pPr>
            <w:r>
              <w:rPr>
                <w:color w:val="231F20"/>
                <w:sz w:val="16"/>
              </w:rPr>
              <w:t>Restore and maintain a mosaic of healthy wetland and floodplain plant communities</w:t>
            </w:r>
          </w:p>
        </w:tc>
      </w:tr>
      <w:tr w:rsidR="00F631EA">
        <w:trPr>
          <w:trHeight w:val="809"/>
        </w:trPr>
        <w:tc>
          <w:tcPr>
            <w:tcW w:w="789" w:type="dxa"/>
            <w:tcBorders>
              <w:top w:val="single" w:sz="8" w:space="0" w:color="FFFFFF"/>
              <w:bottom w:val="single" w:sz="8" w:space="0" w:color="FFFFFF"/>
            </w:tcBorders>
            <w:shd w:val="clear" w:color="auto" w:fill="E6E7E8"/>
          </w:tcPr>
          <w:p w:rsidR="00F631EA" w:rsidRDefault="00F631EA" w:rsidP="00F631EA">
            <w:pPr>
              <w:pStyle w:val="TableParagraph"/>
              <w:spacing w:before="13"/>
              <w:ind w:left="0"/>
              <w:rPr>
                <w:rFonts w:ascii="Helvetica Neue LT Std 75"/>
                <w:b/>
                <w:sz w:val="10"/>
              </w:rPr>
            </w:pPr>
          </w:p>
          <w:p w:rsidR="00F631EA" w:rsidRDefault="00F631EA" w:rsidP="00F631EA">
            <w:pPr>
              <w:pStyle w:val="TableParagraph"/>
              <w:ind w:left="178"/>
              <w:rPr>
                <w:rFonts w:ascii="Helvetica Neue LT Std 75"/>
                <w:sz w:val="20"/>
              </w:rPr>
            </w:pPr>
            <w:r>
              <w:rPr>
                <w:rFonts w:ascii="Helvetica Neue LT Std 75"/>
                <w:noProof/>
                <w:sz w:val="20"/>
              </w:rPr>
              <w:drawing>
                <wp:inline distT="0" distB="0" distL="0" distR="0" wp14:anchorId="416B05B5" wp14:editId="41C6CF50">
                  <wp:extent cx="314168" cy="310896"/>
                  <wp:effectExtent l="0" t="0" r="0" b="0"/>
                  <wp:docPr id="420"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F631EA" w:rsidRDefault="00F631EA" w:rsidP="00F631EA">
            <w:pPr>
              <w:pStyle w:val="TableParagraph"/>
              <w:spacing w:before="119" w:line="261" w:lineRule="auto"/>
              <w:ind w:left="118" w:right="128"/>
              <w:rPr>
                <w:sz w:val="16"/>
              </w:rPr>
            </w:pPr>
            <w:r>
              <w:rPr>
                <w:color w:val="231F20"/>
                <w:sz w:val="16"/>
              </w:rPr>
              <w:t>Provide feeding and nesting habitat for the successful recruitment of waterbirds and woodland birds</w:t>
            </w:r>
          </w:p>
        </w:tc>
      </w:tr>
    </w:tbl>
    <w:p w:rsidR="006A7A3F" w:rsidRDefault="006A7A3F">
      <w:pPr>
        <w:pStyle w:val="BodyText"/>
        <w:spacing w:before="12"/>
        <w:ind w:left="0"/>
        <w:rPr>
          <w:rFonts w:ascii="Helvetica Neue LT Std 75"/>
          <w:b/>
          <w:sz w:val="5"/>
        </w:rPr>
      </w:pPr>
    </w:p>
    <w:p w:rsidR="006A7A3F" w:rsidRPr="005D7AC7" w:rsidRDefault="00BC7372" w:rsidP="00F631EA">
      <w:pPr>
        <w:spacing w:before="240"/>
        <w:ind w:left="210"/>
        <w:rPr>
          <w:b/>
          <w:sz w:val="19"/>
        </w:rPr>
      </w:pPr>
      <w:r w:rsidRPr="005D7AC7">
        <w:rPr>
          <w:b/>
          <w:color w:val="231F20"/>
          <w:sz w:val="19"/>
        </w:rPr>
        <w:t>Traditional Owner cultural values and uses</w:t>
      </w:r>
    </w:p>
    <w:p w:rsidR="006A7A3F" w:rsidRDefault="00BC7372">
      <w:pPr>
        <w:pStyle w:val="BodyText"/>
        <w:spacing w:before="68" w:line="249" w:lineRule="auto"/>
        <w:ind w:right="457"/>
      </w:pPr>
      <w:r>
        <w:rPr>
          <w:color w:val="231F20"/>
        </w:rPr>
        <w:t>The Hattah Lakes system is part of a highly sensitive region for Aboriginal cultural heritage values and contains considerable evidence of past Aboriginal occupation. More than 1,000 Indigenous archaeological sites at the Hattah Lakes are registered with Aboriginal Victoria.</w:t>
      </w:r>
    </w:p>
    <w:p w:rsidR="006A7A3F" w:rsidRDefault="00BC7372">
      <w:pPr>
        <w:pStyle w:val="BodyText"/>
        <w:spacing w:line="249" w:lineRule="auto"/>
        <w:ind w:right="100"/>
      </w:pPr>
      <w:r>
        <w:rPr>
          <w:color w:val="231F20"/>
        </w:rPr>
        <w:t>The local Aboriginal community maintains strong connections to the land and its resources such as native species used for food and medicine.</w:t>
      </w:r>
    </w:p>
    <w:p w:rsidR="006A7A3F" w:rsidRDefault="00BC7372">
      <w:pPr>
        <w:pStyle w:val="BodyText"/>
        <w:spacing w:line="249" w:lineRule="auto"/>
        <w:ind w:right="263"/>
      </w:pPr>
      <w:r>
        <w:rPr>
          <w:color w:val="231F20"/>
        </w:rPr>
        <w:t>Mallee CMA and members of Tati Tati, Latje Latje, Gilby Corporation and Munutunga discussed a range of options for how environmental flows can be delivered at Hattah Lakes in 2020–2021. Elders spoke of the importance of drying cycles for wetlands and the abundance of the culturally significant old man weed that is flourishing on the drying lake beds. They also warned of not leaving the system dry too long and provided advice on the method of mimicking natural inundation when water does return. Their recommendations for watering actions have shaped environmental water planning for 2020–21.</w:t>
      </w:r>
    </w:p>
    <w:p w:rsidR="006A7A3F" w:rsidRPr="005D7AC7" w:rsidRDefault="00BC7372">
      <w:pPr>
        <w:spacing w:before="184"/>
        <w:ind w:left="210"/>
        <w:rPr>
          <w:b/>
          <w:sz w:val="19"/>
        </w:rPr>
      </w:pPr>
      <w:r w:rsidRPr="005D7AC7">
        <w:rPr>
          <w:b/>
          <w:color w:val="231F20"/>
          <w:sz w:val="19"/>
        </w:rPr>
        <w:t>Social, economic and recreational values and uses</w:t>
      </w:r>
    </w:p>
    <w:p w:rsidR="006A7A3F" w:rsidRDefault="00BC7372">
      <w:pPr>
        <w:pStyle w:val="BodyText"/>
        <w:spacing w:before="68" w:line="249" w:lineRule="auto"/>
        <w:ind w:right="100"/>
      </w:pPr>
      <w:r>
        <w:rPr>
          <w:color w:val="231F20"/>
        </w:rPr>
        <w:t>In planning the potential watering actions in Table 5.2.10, Mallee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kayaking and</w:t>
      </w:r>
      <w:r>
        <w:rPr>
          <w:color w:val="231F20"/>
          <w:spacing w:val="-5"/>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 xml:space="preserve">riverside recreation and amenity (such as camping, </w:t>
      </w:r>
      <w:r>
        <w:rPr>
          <w:color w:val="231F20"/>
          <w:spacing w:val="-3"/>
          <w:sz w:val="20"/>
        </w:rPr>
        <w:t xml:space="preserve">photography, </w:t>
      </w:r>
      <w:r>
        <w:rPr>
          <w:color w:val="231F20"/>
          <w:sz w:val="20"/>
        </w:rPr>
        <w:t>birdwatching and</w:t>
      </w:r>
      <w:r>
        <w:rPr>
          <w:color w:val="231F20"/>
          <w:spacing w:val="-8"/>
          <w:sz w:val="20"/>
        </w:rPr>
        <w:t xml:space="preserve"> </w:t>
      </w:r>
      <w:r>
        <w:rPr>
          <w:color w:val="231F20"/>
          <w:sz w:val="20"/>
        </w:rPr>
        <w:t>bushwalking)</w:t>
      </w:r>
    </w:p>
    <w:p w:rsidR="006A7A3F" w:rsidRDefault="00BC7372" w:rsidP="009B6917">
      <w:pPr>
        <w:pStyle w:val="ListParagraph"/>
        <w:numPr>
          <w:ilvl w:val="0"/>
          <w:numId w:val="1419"/>
        </w:numPr>
        <w:tabs>
          <w:tab w:val="left" w:pos="493"/>
          <w:tab w:val="left" w:pos="494"/>
        </w:tabs>
        <w:spacing w:line="249" w:lineRule="auto"/>
        <w:ind w:right="374"/>
        <w:rPr>
          <w:sz w:val="20"/>
        </w:rPr>
      </w:pPr>
      <w:r>
        <w:rPr>
          <w:color w:val="231F20"/>
          <w:sz w:val="20"/>
        </w:rPr>
        <w:t>community events and tourism (such as ‘Junior Ranger’ school holiday programs including bushwalking, birdwatching and bug hunting, school education programs, citizen science projects (microbats), tours involving kayaking, mountain bike riding, camping, fishing and</w:t>
      </w:r>
      <w:r>
        <w:rPr>
          <w:color w:val="231F20"/>
          <w:spacing w:val="-3"/>
          <w:sz w:val="20"/>
        </w:rPr>
        <w:t xml:space="preserve"> </w:t>
      </w:r>
      <w:r>
        <w:rPr>
          <w:color w:val="231F20"/>
          <w:sz w:val="20"/>
        </w:rPr>
        <w:t>swimming)</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socio-economic benefits (such as</w:t>
      </w:r>
      <w:r>
        <w:rPr>
          <w:color w:val="231F20"/>
          <w:spacing w:val="-3"/>
          <w:sz w:val="20"/>
        </w:rPr>
        <w:t xml:space="preserve"> </w:t>
      </w:r>
      <w:r>
        <w:rPr>
          <w:color w:val="231F20"/>
          <w:sz w:val="20"/>
        </w:rPr>
        <w:t>beekeeping).</w:t>
      </w:r>
    </w:p>
    <w:p w:rsidR="00F631EA" w:rsidRDefault="00F631EA">
      <w:pPr>
        <w:rPr>
          <w:rFonts w:ascii="Helvetica Neue LT Std 75"/>
          <w:b/>
          <w:color w:val="231F20"/>
          <w:sz w:val="19"/>
        </w:rPr>
      </w:pPr>
      <w:r>
        <w:rPr>
          <w:rFonts w:ascii="Helvetica Neue LT Std 75"/>
          <w:b/>
          <w:color w:val="231F20"/>
          <w:sz w:val="19"/>
        </w:rPr>
        <w:br w:type="page"/>
      </w:r>
    </w:p>
    <w:p w:rsidR="006A7A3F" w:rsidRPr="005D7AC7" w:rsidRDefault="00BC7372">
      <w:pPr>
        <w:spacing w:before="190"/>
        <w:ind w:left="210"/>
        <w:rPr>
          <w:b/>
          <w:sz w:val="19"/>
        </w:rPr>
      </w:pPr>
      <w:r w:rsidRPr="005D7AC7">
        <w:rPr>
          <w:b/>
          <w:color w:val="231F20"/>
          <w:sz w:val="19"/>
        </w:rPr>
        <w:t>Recent conditions</w:t>
      </w:r>
    </w:p>
    <w:p w:rsidR="006A7A3F" w:rsidRDefault="00BC7372">
      <w:pPr>
        <w:pStyle w:val="BodyText"/>
        <w:spacing w:before="67" w:line="249" w:lineRule="auto"/>
        <w:ind w:right="174"/>
      </w:pPr>
      <w:r>
        <w:rPr>
          <w:color w:val="231F20"/>
        </w:rPr>
        <w:t xml:space="preserve">Weather observations at the nearest weather station to Hattah Lakes in Ouyen indicate there was below-average rainfall and above-average temperatures in the area during 2019–20. The average maximum temperature at Ouyen during 2019–20 was less than the previous </w:t>
      </w:r>
      <w:r>
        <w:rPr>
          <w:color w:val="231F20"/>
          <w:spacing w:val="-3"/>
        </w:rPr>
        <w:t xml:space="preserve">year, </w:t>
      </w:r>
      <w:r>
        <w:rPr>
          <w:color w:val="231F20"/>
        </w:rPr>
        <w:t xml:space="preserve">but long-term data indicates that temperatures have increased over the previous 10 years. Rainfall totals were substantially below average for the </w:t>
      </w:r>
      <w:r>
        <w:rPr>
          <w:color w:val="231F20"/>
          <w:spacing w:val="-3"/>
        </w:rPr>
        <w:t xml:space="preserve">year. </w:t>
      </w:r>
      <w:r>
        <w:rPr>
          <w:color w:val="231F20"/>
        </w:rPr>
        <w:t>Overbank flows from the Murray River affect the ecology of the Hattah Lakes floodplain more than local weather conditions, but the trend of increasing temperature and decreasing rainfall is harmful to plant and animal communities between</w:t>
      </w:r>
      <w:r>
        <w:rPr>
          <w:color w:val="231F20"/>
          <w:spacing w:val="-30"/>
        </w:rPr>
        <w:t xml:space="preserve"> </w:t>
      </w:r>
      <w:r>
        <w:rPr>
          <w:color w:val="231F20"/>
        </w:rPr>
        <w:t>floods.</w:t>
      </w:r>
    </w:p>
    <w:p w:rsidR="006A7A3F" w:rsidRDefault="00BC7372">
      <w:pPr>
        <w:pStyle w:val="BodyText"/>
        <w:spacing w:before="175" w:line="249" w:lineRule="auto"/>
        <w:ind w:right="297"/>
      </w:pPr>
      <w:r>
        <w:rPr>
          <w:color w:val="231F20"/>
        </w:rPr>
        <w:t>2019–20 was dry across the entire Murray River valley and the major upstream tributaries that contribute flows to the mid-Murray river system. There were no spills from major upstream storages and the magnitude of operational flows and environmental flows that were released was well below the threshold for inflows to Hattah</w:t>
      </w:r>
      <w:r>
        <w:rPr>
          <w:color w:val="231F20"/>
          <w:spacing w:val="-32"/>
        </w:rPr>
        <w:t xml:space="preserve"> </w:t>
      </w:r>
      <w:r>
        <w:rPr>
          <w:color w:val="231F20"/>
        </w:rPr>
        <w:t>Lakes.</w:t>
      </w:r>
    </w:p>
    <w:p w:rsidR="006A7A3F" w:rsidRDefault="00BC7372">
      <w:pPr>
        <w:pStyle w:val="BodyText"/>
        <w:spacing w:before="173" w:line="249" w:lineRule="auto"/>
        <w:ind w:right="707"/>
      </w:pPr>
      <w:r>
        <w:rPr>
          <w:color w:val="231F20"/>
        </w:rPr>
        <w:t>Decisions about environmental watering interventions at Hattah Lakes during 2019–20 focussed on the need to water Lake Kramen — a disconnected wetland at the fringes of the system — and the need to dry the main southern Hattah Lakes.</w:t>
      </w:r>
    </w:p>
    <w:p w:rsidR="006A7A3F" w:rsidRDefault="00BC7372">
      <w:pPr>
        <w:pStyle w:val="BodyText"/>
        <w:spacing w:line="249" w:lineRule="auto"/>
        <w:ind w:right="217"/>
      </w:pPr>
      <w:r>
        <w:rPr>
          <w:color w:val="231F20"/>
        </w:rPr>
        <w:t>At Lake Kramen, observations of tree health indicated that environmental watering was necessary during spring 2019 to avoid a permanent decline of vegetation condition, therefore environmental water was released as planned to Lake Kramen during August to October 2019.</w:t>
      </w:r>
    </w:p>
    <w:p w:rsidR="006A7A3F" w:rsidRDefault="00BC7372">
      <w:pPr>
        <w:pStyle w:val="BodyText"/>
        <w:spacing w:before="173" w:line="249" w:lineRule="auto"/>
        <w:ind w:right="552"/>
      </w:pPr>
      <w:r>
        <w:rPr>
          <w:color w:val="231F20"/>
        </w:rPr>
        <w:t>Water for the environment delivered the last flood in the southern Hattah Lakes wetland complex in 2017. The wetlands have been allowed to draw down since then, and the last wetlands to hold water dried in February 2020. The moisture remaining in the lake-bed soils and local rainfall is supporting the growth and recruitment of specialised lake-bed native vegetation.</w:t>
      </w:r>
    </w:p>
    <w:p w:rsidR="006A7A3F" w:rsidRDefault="00BC7372">
      <w:pPr>
        <w:pStyle w:val="BodyText"/>
        <w:spacing w:before="173" w:line="249" w:lineRule="auto"/>
        <w:ind w:right="251"/>
      </w:pPr>
      <w:r>
        <w:rPr>
          <w:color w:val="231F20"/>
        </w:rPr>
        <w:t>If there is no natural wetting before autumn 2021, the lake-bed vegetation in the southern Hattah Lakes will have likely completed its life cycle and will die off, due to reduced soil moisture. Water for the environment may be used in autumn/winter 2021 to refill these wetlands and restart the important wetting and drying cycle. Lake Kramen is expected to gradually draw down over several years. The planned timing of future environmental watering at Lake Kramen will be determined by the condition of the fringing vegetation.</w:t>
      </w:r>
    </w:p>
    <w:p w:rsidR="00F631EA" w:rsidRDefault="00F631EA">
      <w:pPr>
        <w:rPr>
          <w:rFonts w:ascii="Helvetica Neue LT Std 75"/>
          <w:b/>
          <w:color w:val="231F20"/>
          <w:sz w:val="19"/>
        </w:rPr>
      </w:pPr>
      <w:r>
        <w:rPr>
          <w:rFonts w:ascii="Helvetica Neue LT Std 75"/>
          <w:b/>
          <w:color w:val="231F20"/>
          <w:sz w:val="19"/>
        </w:rPr>
        <w:br w:type="page"/>
      </w:r>
    </w:p>
    <w:p w:rsidR="006A7A3F" w:rsidRDefault="00BC7372">
      <w:pPr>
        <w:spacing w:before="183"/>
        <w:ind w:left="210"/>
        <w:rPr>
          <w:rFonts w:ascii="Helvetica Neue LT Std 75"/>
          <w:b/>
          <w:sz w:val="19"/>
        </w:rPr>
      </w:pPr>
      <w:r>
        <w:rPr>
          <w:rFonts w:ascii="Helvetica Neue LT Std 75"/>
          <w:b/>
          <w:color w:val="231F20"/>
          <w:sz w:val="19"/>
        </w:rPr>
        <w:t>Scope of environmental watering</w:t>
      </w:r>
    </w:p>
    <w:p w:rsidR="006A7A3F" w:rsidRDefault="00BC7372" w:rsidP="00F631EA">
      <w:pPr>
        <w:pStyle w:val="BodyText"/>
        <w:spacing w:before="68"/>
      </w:pPr>
      <w:r>
        <w:rPr>
          <w:color w:val="231F20"/>
        </w:rPr>
        <w:t>Table 5.2.10 describes the potential environmental watering actions in 2020–21, their functional watering objectives</w:t>
      </w:r>
      <w:r w:rsidR="00F631EA">
        <w:rPr>
          <w:color w:val="231F20"/>
        </w:rPr>
        <w:t xml:space="preserve"> </w:t>
      </w:r>
      <w:r>
        <w:rPr>
          <w:color w:val="231F20"/>
        </w:rPr>
        <w:t>(that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5.2.10 Potential environmental watering actions and objectives for the Hattah Lakes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0"/>
              </w:rPr>
            </w:pPr>
            <w:r>
              <w:rPr>
                <w:b/>
                <w:color w:val="FFFFFF"/>
                <w:sz w:val="18"/>
              </w:rPr>
              <w:t>Potential environmental watering action</w:t>
            </w:r>
            <w:r>
              <w:rPr>
                <w:b/>
                <w:color w:val="FFFFFF"/>
                <w:position w:val="6"/>
                <w:sz w:val="10"/>
              </w:rPr>
              <w:t>1</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80" w:line="254" w:lineRule="auto"/>
              <w:ind w:left="85" w:right="192"/>
              <w:rPr>
                <w:b/>
                <w:sz w:val="18"/>
              </w:rPr>
            </w:pPr>
            <w:r>
              <w:rPr>
                <w:b/>
                <w:color w:val="FFFFFF"/>
                <w:sz w:val="18"/>
              </w:rPr>
              <w:t>Environmental objectives</w:t>
            </w:r>
          </w:p>
        </w:tc>
      </w:tr>
      <w:tr w:rsidR="006A7A3F">
        <w:trPr>
          <w:trHeight w:val="1177"/>
        </w:trPr>
        <w:tc>
          <w:tcPr>
            <w:tcW w:w="2381"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327"/>
              <w:rPr>
                <w:sz w:val="16"/>
              </w:rPr>
            </w:pPr>
            <w:r>
              <w:rPr>
                <w:color w:val="231F20"/>
                <w:sz w:val="16"/>
              </w:rPr>
              <w:t>Southern Hattah Lakes (fill of selected wetlands during autumn/winter 2021)</w:t>
            </w:r>
          </w:p>
        </w:tc>
        <w:tc>
          <w:tcPr>
            <w:tcW w:w="6236"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365"/>
              </w:numPr>
              <w:tabs>
                <w:tab w:val="left" w:pos="306"/>
              </w:tabs>
              <w:spacing w:before="70"/>
              <w:ind w:hanging="218"/>
              <w:rPr>
                <w:sz w:val="18"/>
              </w:rPr>
            </w:pPr>
            <w:r>
              <w:rPr>
                <w:color w:val="231F20"/>
                <w:sz w:val="18"/>
              </w:rPr>
              <w:t>Stimulate the growth and improve the condition of river red</w:t>
            </w:r>
            <w:r>
              <w:rPr>
                <w:color w:val="231F20"/>
                <w:spacing w:val="-11"/>
                <w:sz w:val="18"/>
              </w:rPr>
              <w:t xml:space="preserve"> </w:t>
            </w:r>
            <w:r>
              <w:rPr>
                <w:color w:val="231F20"/>
                <w:sz w:val="18"/>
              </w:rPr>
              <w:t>gums</w:t>
            </w:r>
          </w:p>
          <w:p w:rsidR="006A7A3F" w:rsidRDefault="00BC7372">
            <w:pPr>
              <w:pStyle w:val="TableParagraph"/>
              <w:numPr>
                <w:ilvl w:val="0"/>
                <w:numId w:val="365"/>
              </w:numPr>
              <w:tabs>
                <w:tab w:val="left" w:pos="306"/>
              </w:tabs>
              <w:spacing w:before="98"/>
              <w:ind w:hanging="218"/>
              <w:rPr>
                <w:sz w:val="18"/>
              </w:rPr>
            </w:pPr>
            <w:r>
              <w:rPr>
                <w:color w:val="231F20"/>
                <w:sz w:val="18"/>
              </w:rPr>
              <w:t>Provide refuge and feeding habitat for</w:t>
            </w:r>
            <w:r>
              <w:rPr>
                <w:color w:val="231F20"/>
                <w:spacing w:val="-5"/>
                <w:sz w:val="18"/>
              </w:rPr>
              <w:t xml:space="preserve"> </w:t>
            </w:r>
            <w:r>
              <w:rPr>
                <w:color w:val="231F20"/>
                <w:sz w:val="18"/>
              </w:rPr>
              <w:t>waterbirds</w:t>
            </w:r>
          </w:p>
          <w:p w:rsidR="006A7A3F" w:rsidRDefault="00BC7372">
            <w:pPr>
              <w:pStyle w:val="TableParagraph"/>
              <w:numPr>
                <w:ilvl w:val="0"/>
                <w:numId w:val="365"/>
              </w:numPr>
              <w:tabs>
                <w:tab w:val="left" w:pos="306"/>
              </w:tabs>
              <w:spacing w:before="98" w:line="254" w:lineRule="auto"/>
              <w:ind w:right="216"/>
              <w:rPr>
                <w:sz w:val="18"/>
              </w:rPr>
            </w:pPr>
            <w:r>
              <w:rPr>
                <w:color w:val="231F20"/>
                <w:sz w:val="18"/>
              </w:rPr>
              <w:t>Stimulate the growth of aquatic vegetation in wetlands that are</w:t>
            </w:r>
            <w:r>
              <w:rPr>
                <w:color w:val="231F20"/>
                <w:spacing w:val="-27"/>
                <w:sz w:val="18"/>
              </w:rPr>
              <w:t xml:space="preserve"> </w:t>
            </w:r>
            <w:r>
              <w:rPr>
                <w:color w:val="231F20"/>
                <w:sz w:val="18"/>
              </w:rPr>
              <w:t>currently dry</w:t>
            </w:r>
          </w:p>
        </w:tc>
        <w:tc>
          <w:tcPr>
            <w:tcW w:w="850" w:type="dxa"/>
            <w:tcBorders>
              <w:top w:val="nil"/>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186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4" cy="310896"/>
                  <wp:effectExtent l="0" t="0" r="0" b="0"/>
                  <wp:docPr id="186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27.jpeg"/>
                          <pic:cNvPicPr/>
                        </pic:nvPicPr>
                        <pic:blipFill>
                          <a:blip r:embed="rId39" cstate="print"/>
                          <a:stretch>
                            <a:fillRect/>
                          </a:stretch>
                        </pic:blipFill>
                        <pic:spPr>
                          <a:xfrm>
                            <a:off x="0" y="0"/>
                            <a:ext cx="314164" cy="310896"/>
                          </a:xfrm>
                          <a:prstGeom prst="rect">
                            <a:avLst/>
                          </a:prstGeom>
                        </pic:spPr>
                      </pic:pic>
                    </a:graphicData>
                  </a:graphic>
                </wp:inline>
              </w:drawing>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22"/>
              <w:rPr>
                <w:sz w:val="16"/>
              </w:rPr>
            </w:pPr>
            <w:r>
              <w:rPr>
                <w:color w:val="231F20"/>
                <w:sz w:val="16"/>
              </w:rPr>
              <w:t>Hattah Lakes (floodplain inundation up to 45.0 m AHD at any time if there is a natural flood)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64"/>
              </w:numPr>
              <w:tabs>
                <w:tab w:val="left" w:pos="306"/>
              </w:tabs>
              <w:spacing w:before="70" w:line="254" w:lineRule="auto"/>
              <w:ind w:right="309"/>
              <w:rPr>
                <w:sz w:val="18"/>
              </w:rPr>
            </w:pPr>
            <w:r>
              <w:rPr>
                <w:color w:val="231F20"/>
                <w:sz w:val="18"/>
              </w:rPr>
              <w:t>Wet river red gums and black box on the floodplain to stimulate</w:t>
            </w:r>
            <w:r>
              <w:rPr>
                <w:color w:val="231F20"/>
                <w:spacing w:val="-28"/>
                <w:sz w:val="18"/>
              </w:rPr>
              <w:t xml:space="preserve"> </w:t>
            </w:r>
            <w:r>
              <w:rPr>
                <w:color w:val="231F20"/>
                <w:sz w:val="18"/>
              </w:rPr>
              <w:t>growth and improve the condition of mature</w:t>
            </w:r>
            <w:r>
              <w:rPr>
                <w:color w:val="231F20"/>
                <w:spacing w:val="-5"/>
                <w:sz w:val="18"/>
              </w:rPr>
              <w:t xml:space="preserve"> </w:t>
            </w:r>
            <w:r>
              <w:rPr>
                <w:color w:val="231F20"/>
                <w:sz w:val="18"/>
              </w:rPr>
              <w:t>trees</w:t>
            </w:r>
          </w:p>
          <w:p w:rsidR="006A7A3F" w:rsidRDefault="00BC7372">
            <w:pPr>
              <w:pStyle w:val="TableParagraph"/>
              <w:numPr>
                <w:ilvl w:val="0"/>
                <w:numId w:val="364"/>
              </w:numPr>
              <w:tabs>
                <w:tab w:val="left" w:pos="306"/>
              </w:tabs>
              <w:spacing w:before="87" w:line="254" w:lineRule="auto"/>
              <w:ind w:right="265"/>
              <w:rPr>
                <w:sz w:val="18"/>
              </w:rPr>
            </w:pPr>
            <w:r>
              <w:rPr>
                <w:color w:val="231F20"/>
                <w:sz w:val="18"/>
              </w:rPr>
              <w:t>Provide suitable soil conditions for the germination of black box trees on the floodplain and support the growth of trees that germinated in the flows provided in</w:t>
            </w:r>
            <w:r>
              <w:rPr>
                <w:color w:val="231F20"/>
                <w:spacing w:val="-3"/>
                <w:sz w:val="18"/>
              </w:rPr>
              <w:t xml:space="preserve"> </w:t>
            </w:r>
            <w:r>
              <w:rPr>
                <w:color w:val="231F20"/>
                <w:sz w:val="18"/>
              </w:rPr>
              <w:t>2017</w:t>
            </w:r>
          </w:p>
          <w:p w:rsidR="006A7A3F" w:rsidRDefault="00BC7372">
            <w:pPr>
              <w:pStyle w:val="TableParagraph"/>
              <w:numPr>
                <w:ilvl w:val="0"/>
                <w:numId w:val="364"/>
              </w:numPr>
              <w:tabs>
                <w:tab w:val="left" w:pos="306"/>
              </w:tabs>
              <w:spacing w:before="86" w:line="254" w:lineRule="auto"/>
              <w:ind w:right="616"/>
              <w:rPr>
                <w:sz w:val="18"/>
              </w:rPr>
            </w:pPr>
            <w:r>
              <w:rPr>
                <w:color w:val="231F20"/>
                <w:sz w:val="18"/>
              </w:rPr>
              <w:t>Provide suitable conditions to support waterbird and woodland</w:t>
            </w:r>
            <w:r>
              <w:rPr>
                <w:color w:val="231F20"/>
                <w:spacing w:val="-23"/>
                <w:sz w:val="18"/>
              </w:rPr>
              <w:t xml:space="preserve"> </w:t>
            </w:r>
            <w:r>
              <w:rPr>
                <w:color w:val="231F20"/>
                <w:sz w:val="18"/>
              </w:rPr>
              <w:t>bird breeding and</w:t>
            </w:r>
            <w:r>
              <w:rPr>
                <w:color w:val="231F20"/>
                <w:spacing w:val="-3"/>
                <w:sz w:val="18"/>
              </w:rPr>
              <w:t xml:space="preserve"> </w:t>
            </w:r>
            <w:r>
              <w:rPr>
                <w:color w:val="231F20"/>
                <w:sz w:val="18"/>
              </w:rPr>
              <w:t>feeding</w:t>
            </w:r>
          </w:p>
          <w:p w:rsidR="006A7A3F" w:rsidRDefault="00BC7372">
            <w:pPr>
              <w:pStyle w:val="TableParagraph"/>
              <w:numPr>
                <w:ilvl w:val="0"/>
                <w:numId w:val="364"/>
              </w:numPr>
              <w:tabs>
                <w:tab w:val="left" w:pos="306"/>
              </w:tabs>
              <w:spacing w:before="87" w:line="254" w:lineRule="auto"/>
              <w:ind w:right="246"/>
              <w:rPr>
                <w:sz w:val="18"/>
              </w:rPr>
            </w:pPr>
            <w:r>
              <w:rPr>
                <w:color w:val="231F20"/>
                <w:sz w:val="18"/>
              </w:rPr>
              <w:t>Provide connections to allow native fish to move between Hattah</w:t>
            </w:r>
            <w:r>
              <w:rPr>
                <w:color w:val="231F20"/>
                <w:spacing w:val="-28"/>
                <w:sz w:val="18"/>
              </w:rPr>
              <w:t xml:space="preserve"> </w:t>
            </w:r>
            <w:r>
              <w:rPr>
                <w:color w:val="231F20"/>
                <w:sz w:val="18"/>
              </w:rPr>
              <w:t>Lakes and the Murray</w:t>
            </w:r>
            <w:r>
              <w:rPr>
                <w:color w:val="231F20"/>
                <w:spacing w:val="-2"/>
                <w:sz w:val="18"/>
              </w:rPr>
              <w:t xml:space="preserve"> </w:t>
            </w:r>
            <w:r>
              <w:rPr>
                <w:color w:val="231F20"/>
                <w:sz w:val="18"/>
              </w:rPr>
              <w:t>River</w:t>
            </w:r>
          </w:p>
          <w:p w:rsidR="006A7A3F" w:rsidRDefault="00BC7372">
            <w:pPr>
              <w:pStyle w:val="TableParagraph"/>
              <w:numPr>
                <w:ilvl w:val="0"/>
                <w:numId w:val="364"/>
              </w:numPr>
              <w:tabs>
                <w:tab w:val="left" w:pos="306"/>
              </w:tabs>
              <w:spacing w:before="86" w:line="254" w:lineRule="auto"/>
              <w:ind w:right="327"/>
              <w:rPr>
                <w:sz w:val="18"/>
              </w:rPr>
            </w:pPr>
            <w:r>
              <w:rPr>
                <w:color w:val="231F20"/>
                <w:sz w:val="18"/>
              </w:rPr>
              <w:t>Provide spawning and recruitment habitat for small-bodied native fish and</w:t>
            </w:r>
            <w:r>
              <w:rPr>
                <w:color w:val="231F20"/>
                <w:spacing w:val="-5"/>
                <w:sz w:val="18"/>
              </w:rPr>
              <w:t xml:space="preserve"> </w:t>
            </w:r>
            <w:r>
              <w:rPr>
                <w:color w:val="231F20"/>
                <w:sz w:val="18"/>
              </w:rPr>
              <w:t>nursery</w:t>
            </w:r>
            <w:r>
              <w:rPr>
                <w:color w:val="231F20"/>
                <w:spacing w:val="-5"/>
                <w:sz w:val="18"/>
              </w:rPr>
              <w:t xml:space="preserve"> </w:t>
            </w:r>
            <w:r>
              <w:rPr>
                <w:color w:val="231F20"/>
                <w:sz w:val="18"/>
              </w:rPr>
              <w:t>habitat</w:t>
            </w:r>
            <w:r>
              <w:rPr>
                <w:color w:val="231F20"/>
                <w:spacing w:val="-5"/>
                <w:sz w:val="18"/>
              </w:rPr>
              <w:t xml:space="preserve"> </w:t>
            </w:r>
            <w:r>
              <w:rPr>
                <w:color w:val="231F20"/>
                <w:sz w:val="18"/>
              </w:rPr>
              <w:t>for</w:t>
            </w:r>
            <w:r>
              <w:rPr>
                <w:color w:val="231F20"/>
                <w:spacing w:val="-4"/>
                <w:sz w:val="18"/>
              </w:rPr>
              <w:t xml:space="preserve"> </w:t>
            </w:r>
            <w:r>
              <w:rPr>
                <w:color w:val="231F20"/>
                <w:sz w:val="18"/>
              </w:rPr>
              <w:t>large-bodied</w:t>
            </w:r>
            <w:r>
              <w:rPr>
                <w:color w:val="231F20"/>
                <w:spacing w:val="-5"/>
                <w:sz w:val="18"/>
              </w:rPr>
              <w:t xml:space="preserve"> </w:t>
            </w:r>
            <w:r>
              <w:rPr>
                <w:color w:val="231F20"/>
                <w:sz w:val="18"/>
              </w:rPr>
              <w:t>native</w:t>
            </w:r>
            <w:r>
              <w:rPr>
                <w:color w:val="231F20"/>
                <w:spacing w:val="-4"/>
                <w:sz w:val="18"/>
              </w:rPr>
              <w:t xml:space="preserve"> </w:t>
            </w:r>
            <w:r>
              <w:rPr>
                <w:color w:val="231F20"/>
                <w:sz w:val="18"/>
              </w:rPr>
              <w:t>fish</w:t>
            </w:r>
            <w:r>
              <w:rPr>
                <w:color w:val="231F20"/>
                <w:spacing w:val="-4"/>
                <w:sz w:val="18"/>
              </w:rPr>
              <w:t xml:space="preserve"> </w:t>
            </w:r>
            <w:r>
              <w:rPr>
                <w:color w:val="231F20"/>
                <w:sz w:val="18"/>
              </w:rPr>
              <w:t>(such</w:t>
            </w:r>
            <w:r>
              <w:rPr>
                <w:color w:val="231F20"/>
                <w:spacing w:val="-4"/>
                <w:sz w:val="18"/>
              </w:rPr>
              <w:t xml:space="preserve"> </w:t>
            </w:r>
            <w:r>
              <w:rPr>
                <w:color w:val="231F20"/>
                <w:sz w:val="18"/>
              </w:rPr>
              <w:t>as</w:t>
            </w:r>
            <w:r>
              <w:rPr>
                <w:color w:val="231F20"/>
                <w:spacing w:val="-5"/>
                <w:sz w:val="18"/>
              </w:rPr>
              <w:t xml:space="preserve"> </w:t>
            </w:r>
            <w:r>
              <w:rPr>
                <w:color w:val="231F20"/>
                <w:sz w:val="18"/>
              </w:rPr>
              <w:t>golden</w:t>
            </w:r>
            <w:r>
              <w:rPr>
                <w:color w:val="231F20"/>
                <w:spacing w:val="-5"/>
                <w:sz w:val="18"/>
              </w:rPr>
              <w:t xml:space="preserve"> </w:t>
            </w:r>
            <w:r>
              <w:rPr>
                <w:color w:val="231F20"/>
                <w:sz w:val="18"/>
              </w:rPr>
              <w:t>perch)</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2" cy="310896"/>
                  <wp:effectExtent l="0" t="0" r="0" b="0"/>
                  <wp:docPr id="186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image19.jpeg"/>
                          <pic:cNvPicPr/>
                        </pic:nvPicPr>
                        <pic:blipFill>
                          <a:blip r:embed="rId31" cstate="print"/>
                          <a:stretch>
                            <a:fillRect/>
                          </a:stretch>
                        </pic:blipFill>
                        <pic:spPr>
                          <a:xfrm>
                            <a:off x="0" y="0"/>
                            <a:ext cx="314172"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1" cy="310896"/>
                  <wp:effectExtent l="0" t="0" r="0" b="0"/>
                  <wp:docPr id="187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image21.jpeg"/>
                          <pic:cNvPicPr/>
                        </pic:nvPicPr>
                        <pic:blipFill>
                          <a:blip r:embed="rId33" cstate="print"/>
                          <a:stretch>
                            <a:fillRect/>
                          </a:stretch>
                        </pic:blipFill>
                        <pic:spPr>
                          <a:xfrm>
                            <a:off x="0" y="0"/>
                            <a:ext cx="314171" cy="310896"/>
                          </a:xfrm>
                          <a:prstGeom prst="rect">
                            <a:avLst/>
                          </a:prstGeom>
                        </pic:spPr>
                      </pic:pic>
                    </a:graphicData>
                  </a:graphic>
                </wp:inline>
              </w:drawing>
            </w:r>
          </w:p>
        </w:tc>
      </w:tr>
      <w:tr w:rsidR="006A7A3F">
        <w:trPr>
          <w:trHeight w:val="225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87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BC7372">
      <w:pPr>
        <w:spacing w:before="24"/>
        <w:ind w:left="210"/>
        <w:rPr>
          <w:sz w:val="14"/>
        </w:rPr>
      </w:pPr>
      <w:r>
        <w:rPr>
          <w:color w:val="231F20"/>
          <w:position w:val="5"/>
          <w:sz w:val="8"/>
        </w:rPr>
        <w:t xml:space="preserve">1 </w:t>
      </w:r>
      <w:r>
        <w:rPr>
          <w:color w:val="231F20"/>
          <w:sz w:val="14"/>
        </w:rPr>
        <w:t>The Hattah Lakes pump station may also be operated at any time of year for annual maintenance requirements.</w:t>
      </w:r>
    </w:p>
    <w:p w:rsidR="005D7AC7" w:rsidRDefault="005D7AC7">
      <w:pPr>
        <w:spacing w:before="88"/>
        <w:ind w:left="210"/>
        <w:rPr>
          <w:rFonts w:ascii="Helvetica Neue LT Std 75"/>
          <w:b/>
          <w:color w:val="231F20"/>
          <w:sz w:val="19"/>
        </w:rPr>
      </w:pPr>
    </w:p>
    <w:p w:rsidR="006A7A3F" w:rsidRDefault="00BC7372">
      <w:pPr>
        <w:spacing w:before="88"/>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5.2.11 outlines the potential environmental watering and expected water use under a range of planning scenarios.</w:t>
      </w:r>
    </w:p>
    <w:p w:rsidR="006A7A3F" w:rsidRDefault="00BC7372">
      <w:pPr>
        <w:pStyle w:val="BodyText"/>
        <w:spacing w:before="171" w:line="249" w:lineRule="auto"/>
        <w:ind w:right="651"/>
      </w:pPr>
      <w:r>
        <w:rPr>
          <w:color w:val="231F20"/>
        </w:rPr>
        <w:t>Environmental watering is planned under all scenarios during 2020–21. The magnitude, extent and duration of environmental watering will increase through the spectrum of dry, average and wet scenarios.</w:t>
      </w:r>
    </w:p>
    <w:p w:rsidR="006A7A3F" w:rsidRDefault="00BC7372">
      <w:pPr>
        <w:pStyle w:val="BodyText"/>
        <w:spacing w:line="249" w:lineRule="auto"/>
        <w:ind w:right="412"/>
      </w:pPr>
      <w:r>
        <w:rPr>
          <w:color w:val="231F20"/>
        </w:rPr>
        <w:t xml:space="preserve">In the absence of a natural flood, the highest-priority potential watering action will be to fill up selected wetlands in the southern Hattah Lakes in autumn/winter 2021. Under drought and dry scenarios, water for the environment should target the lowest-lying wetlands: Lakes Bulla, Hattah, Little Hattah, Lockie, </w:t>
      </w:r>
      <w:r>
        <w:rPr>
          <w:color w:val="231F20"/>
          <w:spacing w:val="-4"/>
        </w:rPr>
        <w:t xml:space="preserve">Yewell </w:t>
      </w:r>
      <w:r>
        <w:rPr>
          <w:color w:val="231F20"/>
        </w:rPr>
        <w:t xml:space="preserve">and </w:t>
      </w:r>
      <w:r>
        <w:rPr>
          <w:color w:val="231F20"/>
          <w:spacing w:val="-4"/>
        </w:rPr>
        <w:t xml:space="preserve">Yerang. </w:t>
      </w:r>
      <w:r>
        <w:rPr>
          <w:color w:val="231F20"/>
        </w:rPr>
        <w:t>Watering these wetlands would create a mosaic of wetland habitats within the southern Hattah Lakes that are at different stages of their wetting and drying cycle and provide significant refuge for waterbirds and terrestrial fauna in a generally dry</w:t>
      </w:r>
      <w:r>
        <w:rPr>
          <w:color w:val="231F20"/>
          <w:spacing w:val="-3"/>
        </w:rPr>
        <w:t xml:space="preserve"> </w:t>
      </w:r>
      <w:r>
        <w:rPr>
          <w:color w:val="231F20"/>
        </w:rPr>
        <w:t>landscape.</w:t>
      </w:r>
    </w:p>
    <w:p w:rsidR="006A7A3F" w:rsidRDefault="00BC7372">
      <w:pPr>
        <w:pStyle w:val="BodyText"/>
        <w:spacing w:before="175" w:line="249" w:lineRule="auto"/>
        <w:ind w:right="497"/>
      </w:pPr>
      <w:r>
        <w:rPr>
          <w:color w:val="231F20"/>
        </w:rPr>
        <w:t>Under an average scenario, potentially significant local rainfall and higher flows in the Murray River may provide an environmental cue to wet more wetlands. This would provide benefits for a larger area of native vegetation, increase the total amount of available habitat for waterbirds and provide the first opportunity in several years to grow waterbird populations.</w:t>
      </w:r>
    </w:p>
    <w:p w:rsidR="006A7A3F" w:rsidRDefault="00BC7372">
      <w:pPr>
        <w:pStyle w:val="BodyText"/>
        <w:spacing w:before="173" w:line="249" w:lineRule="auto"/>
        <w:ind w:right="351"/>
      </w:pPr>
      <w:r>
        <w:rPr>
          <w:color w:val="231F20"/>
        </w:rPr>
        <w:t>If the potential watering actions planned for autumn/winter under the dry and average scenarios begin and cannot be completed by 30 June 2021, it will be necessary to continue watering into the 2021–22 water year.</w:t>
      </w:r>
    </w:p>
    <w:p w:rsidR="006A7A3F" w:rsidRDefault="00BC7372">
      <w:pPr>
        <w:pStyle w:val="BodyText"/>
        <w:spacing w:line="249" w:lineRule="auto"/>
        <w:ind w:right="463"/>
      </w:pPr>
      <w:r>
        <w:rPr>
          <w:color w:val="231F20"/>
        </w:rPr>
        <w:t>In a wet scenario, natural flow is expected to wet Hattah Lakes, and environmental water may be used to extend the duration and extent of wetting to ensure parts of the floodplain that rely on natural floods are watered. Little or no environmental watering may be needed to supplement a large flood, but if there is only moderate natural flooding, the Hattah pumps may be used to enhance environmental outcomes.</w:t>
      </w:r>
    </w:p>
    <w:p w:rsidR="006A7A3F" w:rsidRDefault="00BC7372">
      <w:pPr>
        <w:pStyle w:val="BodyText"/>
        <w:spacing w:before="174" w:line="249" w:lineRule="auto"/>
        <w:ind w:right="674"/>
      </w:pPr>
      <w:r>
        <w:rPr>
          <w:color w:val="231F20"/>
        </w:rPr>
        <w:t>The tier 2 watering actions that are identified would target extra wetlands and the floodplain to broaden the area watered and increase the overall environmental benefits. The tier 2 watering actions could be delivered if circumstances allow, but they can likely be deferred without significant environmental harm.</w:t>
      </w:r>
    </w:p>
    <w:p w:rsidR="00F631EA" w:rsidRDefault="00F631EA">
      <w:pPr>
        <w:rPr>
          <w:b/>
          <w:color w:val="231F20"/>
          <w:sz w:val="18"/>
        </w:rPr>
      </w:pPr>
      <w:r>
        <w:rPr>
          <w:b/>
          <w:color w:val="231F20"/>
          <w:sz w:val="18"/>
        </w:rPr>
        <w:br w:type="page"/>
      </w:r>
    </w:p>
    <w:p w:rsidR="006A7A3F" w:rsidRDefault="00BC7372">
      <w:pPr>
        <w:spacing w:before="167"/>
        <w:ind w:left="210"/>
        <w:rPr>
          <w:b/>
          <w:sz w:val="18"/>
        </w:rPr>
      </w:pPr>
      <w:r>
        <w:rPr>
          <w:b/>
          <w:color w:val="231F20"/>
          <w:sz w:val="18"/>
        </w:rPr>
        <w:t>Table 5.2.11 Potential environmental watering for the Hattah Lakes under a range of planning scenarios</w:t>
      </w:r>
    </w:p>
    <w:p w:rsidR="006A7A3F" w:rsidRDefault="006A7A3F">
      <w:pPr>
        <w:pStyle w:val="BodyText"/>
        <w:spacing w:before="0"/>
        <w:ind w:left="0"/>
        <w:rPr>
          <w:b/>
          <w:sz w:val="9"/>
        </w:rPr>
      </w:pPr>
    </w:p>
    <w:tbl>
      <w:tblPr>
        <w:tblW w:w="10205" w:type="dxa"/>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F631EA" w:rsidTr="00F631EA">
        <w:trPr>
          <w:trHeight w:val="425"/>
        </w:trPr>
        <w:tc>
          <w:tcPr>
            <w:tcW w:w="2041" w:type="dxa"/>
            <w:shd w:val="clear" w:color="auto" w:fill="000000" w:themeFill="text1"/>
          </w:tcPr>
          <w:p w:rsidR="00F631EA" w:rsidRDefault="00F631EA" w:rsidP="00F631EA">
            <w:pPr>
              <w:pStyle w:val="TableParagraph"/>
              <w:spacing w:before="75"/>
              <w:ind w:left="90"/>
              <w:rPr>
                <w:b/>
                <w:sz w:val="18"/>
              </w:rPr>
            </w:pPr>
            <w:r>
              <w:rPr>
                <w:b/>
                <w:color w:val="FFFFFF"/>
                <w:sz w:val="18"/>
              </w:rPr>
              <w:t>Planning scenario</w:t>
            </w:r>
          </w:p>
        </w:tc>
        <w:tc>
          <w:tcPr>
            <w:tcW w:w="2041" w:type="dxa"/>
            <w:shd w:val="clear" w:color="auto" w:fill="000000" w:themeFill="text1"/>
          </w:tcPr>
          <w:p w:rsidR="00F631EA" w:rsidRDefault="00F631EA" w:rsidP="00F631EA">
            <w:pPr>
              <w:pStyle w:val="TableParagraph"/>
              <w:spacing w:before="75"/>
              <w:ind w:left="79"/>
              <w:rPr>
                <w:b/>
                <w:sz w:val="18"/>
              </w:rPr>
            </w:pPr>
            <w:r>
              <w:rPr>
                <w:b/>
                <w:color w:val="FFFFFF"/>
                <w:sz w:val="18"/>
              </w:rPr>
              <w:t>Drought</w:t>
            </w:r>
          </w:p>
        </w:tc>
        <w:tc>
          <w:tcPr>
            <w:tcW w:w="2041" w:type="dxa"/>
            <w:shd w:val="clear" w:color="auto" w:fill="000000" w:themeFill="text1"/>
          </w:tcPr>
          <w:p w:rsidR="00F631EA" w:rsidRDefault="00F631EA" w:rsidP="00F631EA">
            <w:pPr>
              <w:pStyle w:val="TableParagraph"/>
              <w:spacing w:before="75"/>
              <w:ind w:left="79"/>
              <w:rPr>
                <w:b/>
                <w:sz w:val="18"/>
              </w:rPr>
            </w:pPr>
            <w:r>
              <w:rPr>
                <w:b/>
                <w:color w:val="FFFFFF"/>
                <w:sz w:val="18"/>
              </w:rPr>
              <w:t>Dry</w:t>
            </w:r>
          </w:p>
        </w:tc>
        <w:tc>
          <w:tcPr>
            <w:tcW w:w="2041" w:type="dxa"/>
            <w:shd w:val="clear" w:color="auto" w:fill="000000" w:themeFill="text1"/>
          </w:tcPr>
          <w:p w:rsidR="00F631EA" w:rsidRDefault="00F631EA" w:rsidP="00F631EA">
            <w:pPr>
              <w:pStyle w:val="TableParagraph"/>
              <w:spacing w:before="75"/>
              <w:ind w:left="79"/>
              <w:rPr>
                <w:b/>
                <w:sz w:val="18"/>
              </w:rPr>
            </w:pPr>
            <w:r>
              <w:rPr>
                <w:b/>
                <w:color w:val="FFFFFF"/>
                <w:sz w:val="18"/>
              </w:rPr>
              <w:t>Average</w:t>
            </w:r>
          </w:p>
        </w:tc>
        <w:tc>
          <w:tcPr>
            <w:tcW w:w="2041" w:type="dxa"/>
            <w:shd w:val="clear" w:color="auto" w:fill="000000" w:themeFill="text1"/>
          </w:tcPr>
          <w:p w:rsidR="00F631EA" w:rsidRDefault="00F631EA" w:rsidP="00F631EA">
            <w:pPr>
              <w:pStyle w:val="TableParagraph"/>
              <w:spacing w:before="75"/>
              <w:ind w:left="79"/>
              <w:rPr>
                <w:b/>
                <w:sz w:val="18"/>
              </w:rPr>
            </w:pPr>
            <w:r>
              <w:rPr>
                <w:b/>
                <w:color w:val="FFFFFF"/>
                <w:sz w:val="18"/>
              </w:rPr>
              <w:t>Wet</w:t>
            </w:r>
          </w:p>
        </w:tc>
      </w:tr>
      <w:tr w:rsidR="006A7A3F" w:rsidTr="00F631EA">
        <w:trPr>
          <w:trHeight w:val="1667"/>
        </w:trPr>
        <w:tc>
          <w:tcPr>
            <w:tcW w:w="2041" w:type="dxa"/>
          </w:tcPr>
          <w:p w:rsidR="006A7A3F" w:rsidRDefault="00BC7372">
            <w:pPr>
              <w:pStyle w:val="TableParagraph"/>
              <w:spacing w:before="67"/>
              <w:ind w:left="85"/>
              <w:rPr>
                <w:sz w:val="16"/>
              </w:rPr>
            </w:pPr>
            <w:r>
              <w:rPr>
                <w:color w:val="231F20"/>
                <w:sz w:val="16"/>
              </w:rPr>
              <w:t>Expected river conditions</w:t>
            </w:r>
          </w:p>
        </w:tc>
        <w:tc>
          <w:tcPr>
            <w:tcW w:w="2041" w:type="dxa"/>
          </w:tcPr>
          <w:p w:rsidR="006A7A3F" w:rsidRPr="005D7AC7" w:rsidRDefault="00BC7372">
            <w:pPr>
              <w:pStyle w:val="TableParagraph"/>
              <w:numPr>
                <w:ilvl w:val="0"/>
                <w:numId w:val="363"/>
              </w:numPr>
              <w:tabs>
                <w:tab w:val="left" w:pos="305"/>
              </w:tabs>
              <w:spacing w:before="63" w:line="254" w:lineRule="auto"/>
              <w:ind w:right="103"/>
              <w:rPr>
                <w:sz w:val="16"/>
                <w:szCs w:val="16"/>
              </w:rPr>
            </w:pPr>
            <w:r w:rsidRPr="005D7AC7">
              <w:rPr>
                <w:color w:val="231F20"/>
                <w:sz w:val="16"/>
                <w:szCs w:val="16"/>
              </w:rPr>
              <w:t>Low flow year-round in the Murray River and no natural inflows to Hattah Lakes; substantial wetland drying will occur</w:t>
            </w:r>
          </w:p>
        </w:tc>
        <w:tc>
          <w:tcPr>
            <w:tcW w:w="2041" w:type="dxa"/>
          </w:tcPr>
          <w:p w:rsidR="006A7A3F" w:rsidRPr="005D7AC7" w:rsidRDefault="00BC7372">
            <w:pPr>
              <w:pStyle w:val="TableParagraph"/>
              <w:numPr>
                <w:ilvl w:val="0"/>
                <w:numId w:val="362"/>
              </w:numPr>
              <w:tabs>
                <w:tab w:val="left" w:pos="305"/>
              </w:tabs>
              <w:spacing w:before="63" w:line="254" w:lineRule="auto"/>
              <w:ind w:right="93"/>
              <w:rPr>
                <w:sz w:val="16"/>
                <w:szCs w:val="16"/>
              </w:rPr>
            </w:pPr>
            <w:r w:rsidRPr="005D7AC7">
              <w:rPr>
                <w:color w:val="231F20"/>
                <w:sz w:val="16"/>
                <w:szCs w:val="16"/>
              </w:rPr>
              <w:t>Rare high-flow events in the Murray River and no natural inflows to Hattah Lakes; substantial wetland drying will occur</w:t>
            </w:r>
          </w:p>
        </w:tc>
        <w:tc>
          <w:tcPr>
            <w:tcW w:w="2041" w:type="dxa"/>
          </w:tcPr>
          <w:p w:rsidR="006A7A3F" w:rsidRPr="005D7AC7" w:rsidRDefault="00BC7372">
            <w:pPr>
              <w:pStyle w:val="TableParagraph"/>
              <w:numPr>
                <w:ilvl w:val="0"/>
                <w:numId w:val="361"/>
              </w:numPr>
              <w:tabs>
                <w:tab w:val="left" w:pos="305"/>
              </w:tabs>
              <w:spacing w:before="63" w:line="254" w:lineRule="auto"/>
              <w:ind w:right="83"/>
              <w:rPr>
                <w:sz w:val="16"/>
                <w:szCs w:val="16"/>
              </w:rPr>
            </w:pPr>
            <w:r w:rsidRPr="005D7AC7">
              <w:rPr>
                <w:color w:val="231F20"/>
                <w:sz w:val="16"/>
                <w:szCs w:val="16"/>
              </w:rPr>
              <w:t>Short periods of high flow, most</w:t>
            </w:r>
            <w:r w:rsidRPr="005D7AC7">
              <w:rPr>
                <w:color w:val="231F20"/>
                <w:spacing w:val="-19"/>
                <w:sz w:val="16"/>
                <w:szCs w:val="16"/>
              </w:rPr>
              <w:t xml:space="preserve"> </w:t>
            </w:r>
            <w:r w:rsidRPr="005D7AC7">
              <w:rPr>
                <w:color w:val="231F20"/>
                <w:sz w:val="16"/>
                <w:szCs w:val="16"/>
              </w:rPr>
              <w:t>likely in late winter/spring, providing minor natural inflows to Hattah</w:t>
            </w:r>
            <w:r w:rsidRPr="005D7AC7">
              <w:rPr>
                <w:color w:val="231F20"/>
                <w:spacing w:val="-2"/>
                <w:sz w:val="16"/>
                <w:szCs w:val="16"/>
              </w:rPr>
              <w:t xml:space="preserve"> </w:t>
            </w:r>
            <w:r w:rsidRPr="005D7AC7">
              <w:rPr>
                <w:color w:val="231F20"/>
                <w:sz w:val="16"/>
                <w:szCs w:val="16"/>
              </w:rPr>
              <w:t>Lakes</w:t>
            </w:r>
          </w:p>
        </w:tc>
        <w:tc>
          <w:tcPr>
            <w:tcW w:w="2041" w:type="dxa"/>
          </w:tcPr>
          <w:p w:rsidR="006A7A3F" w:rsidRPr="00833C84" w:rsidRDefault="00BC7372" w:rsidP="00833C84">
            <w:pPr>
              <w:pStyle w:val="TableParagraph"/>
              <w:numPr>
                <w:ilvl w:val="0"/>
                <w:numId w:val="360"/>
              </w:numPr>
              <w:tabs>
                <w:tab w:val="left" w:pos="305"/>
              </w:tabs>
              <w:spacing w:before="63" w:line="254" w:lineRule="auto"/>
              <w:ind w:right="413"/>
              <w:rPr>
                <w:sz w:val="16"/>
                <w:szCs w:val="16"/>
              </w:rPr>
            </w:pPr>
            <w:r w:rsidRPr="005D7AC7">
              <w:rPr>
                <w:color w:val="231F20"/>
                <w:sz w:val="16"/>
                <w:szCs w:val="16"/>
              </w:rPr>
              <w:t>Lengthy periods of high flow with major spills</w:t>
            </w:r>
            <w:r w:rsidRPr="005D7AC7">
              <w:rPr>
                <w:color w:val="231F20"/>
                <w:spacing w:val="3"/>
                <w:sz w:val="16"/>
                <w:szCs w:val="16"/>
              </w:rPr>
              <w:t xml:space="preserve"> </w:t>
            </w:r>
            <w:r w:rsidRPr="005D7AC7">
              <w:rPr>
                <w:color w:val="231F20"/>
                <w:spacing w:val="-5"/>
                <w:sz w:val="16"/>
                <w:szCs w:val="16"/>
              </w:rPr>
              <w:t>from</w:t>
            </w:r>
            <w:r w:rsidR="00833C84">
              <w:rPr>
                <w:sz w:val="16"/>
                <w:szCs w:val="16"/>
              </w:rPr>
              <w:t xml:space="preserve"> </w:t>
            </w:r>
            <w:r w:rsidRPr="00833C84">
              <w:rPr>
                <w:color w:val="231F20"/>
                <w:sz w:val="16"/>
                <w:szCs w:val="16"/>
              </w:rPr>
              <w:t xml:space="preserve">storages resulting </w:t>
            </w:r>
            <w:r w:rsidRPr="00833C84">
              <w:rPr>
                <w:color w:val="231F20"/>
                <w:spacing w:val="-9"/>
                <w:sz w:val="16"/>
                <w:szCs w:val="16"/>
              </w:rPr>
              <w:t xml:space="preserve">in </w:t>
            </w:r>
            <w:r w:rsidRPr="00833C84">
              <w:rPr>
                <w:color w:val="231F20"/>
                <w:sz w:val="16"/>
                <w:szCs w:val="16"/>
              </w:rPr>
              <w:t>widespread wetting of Hattah Lakes and floodplain</w:t>
            </w:r>
          </w:p>
        </w:tc>
      </w:tr>
      <w:tr w:rsidR="006A7A3F" w:rsidTr="00F631EA">
        <w:trPr>
          <w:trHeight w:val="2547"/>
        </w:trPr>
        <w:tc>
          <w:tcPr>
            <w:tcW w:w="2041" w:type="dxa"/>
          </w:tcPr>
          <w:p w:rsidR="006A7A3F" w:rsidRDefault="00BC7372">
            <w:pPr>
              <w:pStyle w:val="TableParagraph"/>
              <w:spacing w:before="67" w:line="261" w:lineRule="auto"/>
              <w:ind w:left="85" w:right="253"/>
              <w:rPr>
                <w:sz w:val="9"/>
              </w:rPr>
            </w:pPr>
            <w:r>
              <w:rPr>
                <w:color w:val="231F20"/>
                <w:sz w:val="16"/>
              </w:rPr>
              <w:t>Potential environmental watering – tier 1 (high priorities)</w:t>
            </w:r>
            <w:r>
              <w:rPr>
                <w:color w:val="231F20"/>
                <w:position w:val="5"/>
                <w:sz w:val="9"/>
              </w:rPr>
              <w:t>1</w:t>
            </w:r>
          </w:p>
        </w:tc>
        <w:tc>
          <w:tcPr>
            <w:tcW w:w="2041" w:type="dxa"/>
          </w:tcPr>
          <w:p w:rsidR="006A7A3F" w:rsidRPr="00833C84" w:rsidRDefault="00BC7372" w:rsidP="00833C84">
            <w:pPr>
              <w:pStyle w:val="TableParagraph"/>
              <w:numPr>
                <w:ilvl w:val="0"/>
                <w:numId w:val="359"/>
              </w:numPr>
              <w:tabs>
                <w:tab w:val="left" w:pos="305"/>
              </w:tabs>
              <w:spacing w:before="63" w:line="254" w:lineRule="auto"/>
              <w:ind w:right="173"/>
              <w:rPr>
                <w:sz w:val="16"/>
                <w:szCs w:val="16"/>
              </w:rPr>
            </w:pPr>
            <w:r w:rsidRPr="005D7AC7">
              <w:rPr>
                <w:color w:val="231F20"/>
                <w:sz w:val="16"/>
                <w:szCs w:val="16"/>
              </w:rPr>
              <w:t>Autumn/winter fill of southern Hattah Lakes, targeting lakes Bulla,</w:t>
            </w:r>
            <w:r w:rsidRPr="005D7AC7">
              <w:rPr>
                <w:color w:val="231F20"/>
                <w:spacing w:val="-11"/>
                <w:sz w:val="16"/>
                <w:szCs w:val="16"/>
              </w:rPr>
              <w:t xml:space="preserve"> </w:t>
            </w:r>
            <w:r w:rsidRPr="005D7AC7">
              <w:rPr>
                <w:color w:val="231F20"/>
                <w:sz w:val="16"/>
                <w:szCs w:val="16"/>
              </w:rPr>
              <w:t>Hattah,</w:t>
            </w:r>
            <w:r w:rsidR="00833C84">
              <w:rPr>
                <w:sz w:val="16"/>
                <w:szCs w:val="16"/>
              </w:rPr>
              <w:t xml:space="preserve"> </w:t>
            </w:r>
            <w:r w:rsidRPr="00833C84">
              <w:rPr>
                <w:color w:val="231F20"/>
                <w:sz w:val="16"/>
                <w:szCs w:val="16"/>
              </w:rPr>
              <w:t>Little Hattah, Lockie, Yewell and Yerang</w:t>
            </w:r>
          </w:p>
        </w:tc>
        <w:tc>
          <w:tcPr>
            <w:tcW w:w="2041" w:type="dxa"/>
          </w:tcPr>
          <w:p w:rsidR="006A7A3F" w:rsidRPr="00833C84" w:rsidRDefault="00BC7372" w:rsidP="00833C84">
            <w:pPr>
              <w:pStyle w:val="TableParagraph"/>
              <w:numPr>
                <w:ilvl w:val="0"/>
                <w:numId w:val="358"/>
              </w:numPr>
              <w:tabs>
                <w:tab w:val="left" w:pos="305"/>
              </w:tabs>
              <w:spacing w:before="63" w:line="254" w:lineRule="auto"/>
              <w:ind w:right="173"/>
              <w:rPr>
                <w:sz w:val="16"/>
                <w:szCs w:val="16"/>
              </w:rPr>
            </w:pPr>
            <w:r w:rsidRPr="005D7AC7">
              <w:rPr>
                <w:color w:val="231F20"/>
                <w:sz w:val="16"/>
                <w:szCs w:val="16"/>
              </w:rPr>
              <w:t>Autumn/winter fill of southern Hattah Lakes, targeting lakes Bulla,</w:t>
            </w:r>
            <w:r w:rsidRPr="005D7AC7">
              <w:rPr>
                <w:color w:val="231F20"/>
                <w:spacing w:val="-11"/>
                <w:sz w:val="16"/>
                <w:szCs w:val="16"/>
              </w:rPr>
              <w:t xml:space="preserve"> </w:t>
            </w:r>
            <w:r w:rsidRPr="005D7AC7">
              <w:rPr>
                <w:color w:val="231F20"/>
                <w:sz w:val="16"/>
                <w:szCs w:val="16"/>
              </w:rPr>
              <w:t>Hattah,</w:t>
            </w:r>
            <w:r w:rsidR="00833C84">
              <w:rPr>
                <w:sz w:val="16"/>
                <w:szCs w:val="16"/>
              </w:rPr>
              <w:t xml:space="preserve"> </w:t>
            </w:r>
            <w:r w:rsidRPr="00833C84">
              <w:rPr>
                <w:color w:val="231F20"/>
                <w:sz w:val="16"/>
                <w:szCs w:val="16"/>
              </w:rPr>
              <w:t>Little Hattah, Lockie, Yewell and Yerang</w:t>
            </w:r>
          </w:p>
        </w:tc>
        <w:tc>
          <w:tcPr>
            <w:tcW w:w="2041" w:type="dxa"/>
          </w:tcPr>
          <w:p w:rsidR="006A7A3F" w:rsidRPr="00833C84" w:rsidRDefault="00BC7372" w:rsidP="00833C84">
            <w:pPr>
              <w:pStyle w:val="TableParagraph"/>
              <w:numPr>
                <w:ilvl w:val="0"/>
                <w:numId w:val="357"/>
              </w:numPr>
              <w:tabs>
                <w:tab w:val="left" w:pos="305"/>
              </w:tabs>
              <w:spacing w:before="63" w:line="254" w:lineRule="auto"/>
              <w:ind w:right="173"/>
              <w:rPr>
                <w:sz w:val="16"/>
                <w:szCs w:val="16"/>
              </w:rPr>
            </w:pPr>
            <w:r w:rsidRPr="005D7AC7">
              <w:rPr>
                <w:color w:val="231F20"/>
                <w:sz w:val="16"/>
                <w:szCs w:val="16"/>
              </w:rPr>
              <w:t>Autumn/winter fill of southern Hattah Lakes, targeting lakes Bulla,</w:t>
            </w:r>
            <w:r w:rsidRPr="005D7AC7">
              <w:rPr>
                <w:color w:val="231F20"/>
                <w:spacing w:val="-11"/>
                <w:sz w:val="16"/>
                <w:szCs w:val="16"/>
              </w:rPr>
              <w:t xml:space="preserve"> </w:t>
            </w:r>
            <w:r w:rsidRPr="005D7AC7">
              <w:rPr>
                <w:color w:val="231F20"/>
                <w:sz w:val="16"/>
                <w:szCs w:val="16"/>
              </w:rPr>
              <w:t>Hattah,</w:t>
            </w:r>
            <w:r w:rsidR="00833C84">
              <w:rPr>
                <w:sz w:val="16"/>
                <w:szCs w:val="16"/>
              </w:rPr>
              <w:t xml:space="preserve"> </w:t>
            </w:r>
            <w:r w:rsidRPr="00833C84">
              <w:rPr>
                <w:color w:val="231F20"/>
                <w:sz w:val="16"/>
                <w:szCs w:val="16"/>
              </w:rPr>
              <w:t>Little Hattah, Lockie, Yewell, Yerang, Arawak, Boich, Brockie, Konardin, Marramook, Mournpall, Nip Nip and Tullamook</w:t>
            </w:r>
          </w:p>
        </w:tc>
        <w:tc>
          <w:tcPr>
            <w:tcW w:w="2041" w:type="dxa"/>
          </w:tcPr>
          <w:p w:rsidR="006A7A3F" w:rsidRPr="00833C84" w:rsidRDefault="00BC7372" w:rsidP="00833C84">
            <w:pPr>
              <w:pStyle w:val="TableParagraph"/>
              <w:numPr>
                <w:ilvl w:val="0"/>
                <w:numId w:val="356"/>
              </w:numPr>
              <w:tabs>
                <w:tab w:val="left" w:pos="305"/>
              </w:tabs>
              <w:spacing w:before="63" w:line="254" w:lineRule="auto"/>
              <w:ind w:right="443"/>
              <w:rPr>
                <w:sz w:val="16"/>
                <w:szCs w:val="16"/>
              </w:rPr>
            </w:pPr>
            <w:r w:rsidRPr="005D7AC7">
              <w:rPr>
                <w:color w:val="231F20"/>
                <w:sz w:val="16"/>
                <w:szCs w:val="16"/>
              </w:rPr>
              <w:t>Hattah Lakes (floodplain inundation up</w:t>
            </w:r>
            <w:r w:rsidRPr="005D7AC7">
              <w:rPr>
                <w:color w:val="231F20"/>
                <w:spacing w:val="-11"/>
                <w:sz w:val="16"/>
                <w:szCs w:val="16"/>
              </w:rPr>
              <w:t xml:space="preserve"> </w:t>
            </w:r>
            <w:r w:rsidRPr="005D7AC7">
              <w:rPr>
                <w:color w:val="231F20"/>
                <w:sz w:val="16"/>
                <w:szCs w:val="16"/>
              </w:rPr>
              <w:t>to</w:t>
            </w:r>
            <w:r w:rsidR="00833C84">
              <w:rPr>
                <w:sz w:val="16"/>
                <w:szCs w:val="16"/>
              </w:rPr>
              <w:t xml:space="preserve"> </w:t>
            </w:r>
            <w:r w:rsidRPr="00833C84">
              <w:rPr>
                <w:color w:val="231F20"/>
                <w:sz w:val="16"/>
                <w:szCs w:val="16"/>
              </w:rPr>
              <w:t>45.0 m AHD)</w:t>
            </w:r>
          </w:p>
        </w:tc>
      </w:tr>
      <w:tr w:rsidR="006A7A3F" w:rsidTr="00F631EA">
        <w:trPr>
          <w:trHeight w:val="1887"/>
        </w:trPr>
        <w:tc>
          <w:tcPr>
            <w:tcW w:w="2041" w:type="dxa"/>
          </w:tcPr>
          <w:p w:rsidR="006A7A3F" w:rsidRDefault="00BC7372">
            <w:pPr>
              <w:pStyle w:val="TableParagraph"/>
              <w:spacing w:before="67" w:line="261" w:lineRule="auto"/>
              <w:ind w:left="85" w:right="253"/>
              <w:rPr>
                <w:sz w:val="16"/>
              </w:rPr>
            </w:pPr>
            <w:r>
              <w:rPr>
                <w:color w:val="231F20"/>
                <w:sz w:val="16"/>
              </w:rPr>
              <w:t>Potential environmental watering – tier 2 (additional priorities)</w:t>
            </w:r>
          </w:p>
        </w:tc>
        <w:tc>
          <w:tcPr>
            <w:tcW w:w="2041" w:type="dxa"/>
          </w:tcPr>
          <w:p w:rsidR="006A7A3F" w:rsidRPr="005D7AC7" w:rsidRDefault="006A7A3F">
            <w:pPr>
              <w:pStyle w:val="TableParagraph"/>
              <w:ind w:left="0"/>
              <w:rPr>
                <w:rFonts w:ascii="Times New Roman"/>
                <w:sz w:val="16"/>
                <w:szCs w:val="16"/>
              </w:rPr>
            </w:pPr>
          </w:p>
        </w:tc>
        <w:tc>
          <w:tcPr>
            <w:tcW w:w="2041" w:type="dxa"/>
          </w:tcPr>
          <w:p w:rsidR="006A7A3F" w:rsidRPr="00833C84" w:rsidRDefault="00BC7372" w:rsidP="00833C84">
            <w:pPr>
              <w:pStyle w:val="TableParagraph"/>
              <w:numPr>
                <w:ilvl w:val="0"/>
                <w:numId w:val="355"/>
              </w:numPr>
              <w:tabs>
                <w:tab w:val="left" w:pos="305"/>
              </w:tabs>
              <w:spacing w:before="63" w:line="254" w:lineRule="auto"/>
              <w:ind w:right="243"/>
              <w:rPr>
                <w:sz w:val="16"/>
                <w:szCs w:val="16"/>
              </w:rPr>
            </w:pPr>
            <w:r w:rsidRPr="005D7AC7">
              <w:rPr>
                <w:color w:val="231F20"/>
                <w:sz w:val="16"/>
                <w:szCs w:val="16"/>
              </w:rPr>
              <w:t>Autumn/winter fill of southern Hattah Lakes,</w:t>
            </w:r>
            <w:r w:rsidRPr="005D7AC7">
              <w:rPr>
                <w:color w:val="231F20"/>
                <w:spacing w:val="-2"/>
                <w:sz w:val="16"/>
                <w:szCs w:val="16"/>
              </w:rPr>
              <w:t xml:space="preserve"> </w:t>
            </w:r>
            <w:r w:rsidRPr="005D7AC7">
              <w:rPr>
                <w:color w:val="231F20"/>
                <w:sz w:val="16"/>
                <w:szCs w:val="16"/>
              </w:rPr>
              <w:t>targeting</w:t>
            </w:r>
            <w:r w:rsidR="00833C84">
              <w:rPr>
                <w:sz w:val="16"/>
                <w:szCs w:val="16"/>
              </w:rPr>
              <w:t xml:space="preserve"> </w:t>
            </w:r>
            <w:r w:rsidRPr="00833C84">
              <w:rPr>
                <w:color w:val="231F20"/>
                <w:sz w:val="16"/>
                <w:szCs w:val="16"/>
              </w:rPr>
              <w:t>lakes Arawak, Boich, Brockie, Konardin, Marramook, Mournpall, Nip Nip and Tullamook</w:t>
            </w:r>
          </w:p>
        </w:tc>
        <w:tc>
          <w:tcPr>
            <w:tcW w:w="2041" w:type="dxa"/>
          </w:tcPr>
          <w:p w:rsidR="006A7A3F" w:rsidRPr="005D7AC7" w:rsidRDefault="00BC7372">
            <w:pPr>
              <w:pStyle w:val="TableParagraph"/>
              <w:numPr>
                <w:ilvl w:val="0"/>
                <w:numId w:val="354"/>
              </w:numPr>
              <w:tabs>
                <w:tab w:val="left" w:pos="305"/>
              </w:tabs>
              <w:spacing w:before="63" w:line="254" w:lineRule="auto"/>
              <w:ind w:right="183"/>
              <w:rPr>
                <w:sz w:val="16"/>
                <w:szCs w:val="16"/>
              </w:rPr>
            </w:pPr>
            <w:r w:rsidRPr="005D7AC7">
              <w:rPr>
                <w:color w:val="231F20"/>
                <w:sz w:val="16"/>
                <w:szCs w:val="16"/>
              </w:rPr>
              <w:t>Autumn/winter fill of southern Hattah Lakes, targeting lakes Bitterang and Cantala</w:t>
            </w:r>
          </w:p>
        </w:tc>
        <w:tc>
          <w:tcPr>
            <w:tcW w:w="2041" w:type="dxa"/>
          </w:tcPr>
          <w:p w:rsidR="006A7A3F" w:rsidRPr="005D7AC7" w:rsidRDefault="006A7A3F">
            <w:pPr>
              <w:pStyle w:val="TableParagraph"/>
              <w:ind w:left="0"/>
              <w:rPr>
                <w:rFonts w:ascii="Times New Roman"/>
                <w:sz w:val="16"/>
                <w:szCs w:val="16"/>
              </w:rPr>
            </w:pPr>
          </w:p>
        </w:tc>
      </w:tr>
      <w:tr w:rsidR="006A7A3F" w:rsidTr="00F631EA">
        <w:trPr>
          <w:trHeight w:val="933"/>
        </w:trPr>
        <w:tc>
          <w:tcPr>
            <w:tcW w:w="2041" w:type="dxa"/>
          </w:tcPr>
          <w:p w:rsidR="006A7A3F" w:rsidRDefault="00BC7372">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2</w:t>
            </w:r>
          </w:p>
        </w:tc>
        <w:tc>
          <w:tcPr>
            <w:tcW w:w="2041" w:type="dxa"/>
          </w:tcPr>
          <w:p w:rsidR="006A7A3F" w:rsidRPr="005D7AC7" w:rsidRDefault="00BC7372">
            <w:pPr>
              <w:pStyle w:val="TableParagraph"/>
              <w:numPr>
                <w:ilvl w:val="0"/>
                <w:numId w:val="353"/>
              </w:numPr>
              <w:tabs>
                <w:tab w:val="left" w:pos="305"/>
              </w:tabs>
              <w:spacing w:before="63" w:line="254" w:lineRule="auto"/>
              <w:ind w:right="393"/>
              <w:rPr>
                <w:sz w:val="16"/>
                <w:szCs w:val="16"/>
              </w:rPr>
            </w:pPr>
            <w:r w:rsidRPr="005D7AC7">
              <w:rPr>
                <w:color w:val="231F20"/>
                <w:sz w:val="16"/>
                <w:szCs w:val="16"/>
              </w:rPr>
              <w:t>Up to 12,000 ML (tier</w:t>
            </w:r>
            <w:r w:rsidRPr="005D7AC7">
              <w:rPr>
                <w:color w:val="231F20"/>
                <w:spacing w:val="-1"/>
                <w:sz w:val="16"/>
                <w:szCs w:val="16"/>
              </w:rPr>
              <w:t xml:space="preserve"> </w:t>
            </w:r>
            <w:r w:rsidRPr="005D7AC7">
              <w:rPr>
                <w:color w:val="231F20"/>
                <w:sz w:val="16"/>
                <w:szCs w:val="16"/>
              </w:rPr>
              <w:t>1)</w:t>
            </w:r>
          </w:p>
        </w:tc>
        <w:tc>
          <w:tcPr>
            <w:tcW w:w="2041" w:type="dxa"/>
          </w:tcPr>
          <w:p w:rsidR="006A7A3F" w:rsidRPr="005D7AC7" w:rsidRDefault="00BC7372">
            <w:pPr>
              <w:pStyle w:val="TableParagraph"/>
              <w:numPr>
                <w:ilvl w:val="0"/>
                <w:numId w:val="352"/>
              </w:numPr>
              <w:tabs>
                <w:tab w:val="left" w:pos="305"/>
              </w:tabs>
              <w:spacing w:before="63"/>
              <w:rPr>
                <w:sz w:val="16"/>
                <w:szCs w:val="16"/>
              </w:rPr>
            </w:pPr>
            <w:r w:rsidRPr="005D7AC7">
              <w:rPr>
                <w:color w:val="231F20"/>
                <w:sz w:val="16"/>
                <w:szCs w:val="16"/>
              </w:rPr>
              <w:t>12,000 ML (tier</w:t>
            </w:r>
            <w:r w:rsidRPr="005D7AC7">
              <w:rPr>
                <w:color w:val="231F20"/>
                <w:spacing w:val="-15"/>
                <w:sz w:val="16"/>
                <w:szCs w:val="16"/>
              </w:rPr>
              <w:t xml:space="preserve"> </w:t>
            </w:r>
            <w:r w:rsidRPr="005D7AC7">
              <w:rPr>
                <w:color w:val="231F20"/>
                <w:sz w:val="16"/>
                <w:szCs w:val="16"/>
              </w:rPr>
              <w:t>1)</w:t>
            </w:r>
          </w:p>
          <w:p w:rsidR="006A7A3F" w:rsidRPr="005D7AC7" w:rsidRDefault="00BC7372">
            <w:pPr>
              <w:pStyle w:val="TableParagraph"/>
              <w:numPr>
                <w:ilvl w:val="0"/>
                <w:numId w:val="352"/>
              </w:numPr>
              <w:tabs>
                <w:tab w:val="left" w:pos="305"/>
              </w:tabs>
              <w:spacing w:before="98"/>
              <w:rPr>
                <w:sz w:val="16"/>
                <w:szCs w:val="16"/>
              </w:rPr>
            </w:pPr>
            <w:r w:rsidRPr="005D7AC7">
              <w:rPr>
                <w:color w:val="231F20"/>
                <w:sz w:val="16"/>
                <w:szCs w:val="16"/>
              </w:rPr>
              <w:t>18,000 ML (tier</w:t>
            </w:r>
            <w:r w:rsidRPr="005D7AC7">
              <w:rPr>
                <w:color w:val="231F20"/>
                <w:spacing w:val="-15"/>
                <w:sz w:val="16"/>
                <w:szCs w:val="16"/>
              </w:rPr>
              <w:t xml:space="preserve"> </w:t>
            </w:r>
            <w:r w:rsidRPr="005D7AC7">
              <w:rPr>
                <w:color w:val="231F20"/>
                <w:sz w:val="16"/>
                <w:szCs w:val="16"/>
              </w:rPr>
              <w:t>2)</w:t>
            </w:r>
          </w:p>
        </w:tc>
        <w:tc>
          <w:tcPr>
            <w:tcW w:w="2041" w:type="dxa"/>
          </w:tcPr>
          <w:p w:rsidR="006A7A3F" w:rsidRPr="005D7AC7" w:rsidRDefault="00BC7372">
            <w:pPr>
              <w:pStyle w:val="TableParagraph"/>
              <w:numPr>
                <w:ilvl w:val="0"/>
                <w:numId w:val="351"/>
              </w:numPr>
              <w:tabs>
                <w:tab w:val="left" w:pos="305"/>
              </w:tabs>
              <w:spacing w:before="63"/>
              <w:rPr>
                <w:sz w:val="16"/>
                <w:szCs w:val="16"/>
              </w:rPr>
            </w:pPr>
            <w:r w:rsidRPr="005D7AC7">
              <w:rPr>
                <w:color w:val="231F20"/>
                <w:sz w:val="16"/>
                <w:szCs w:val="16"/>
              </w:rPr>
              <w:t>30,000 ML (tier</w:t>
            </w:r>
            <w:r w:rsidRPr="005D7AC7">
              <w:rPr>
                <w:color w:val="231F20"/>
                <w:spacing w:val="-15"/>
                <w:sz w:val="16"/>
                <w:szCs w:val="16"/>
              </w:rPr>
              <w:t xml:space="preserve"> </w:t>
            </w:r>
            <w:r w:rsidRPr="005D7AC7">
              <w:rPr>
                <w:color w:val="231F20"/>
                <w:sz w:val="16"/>
                <w:szCs w:val="16"/>
              </w:rPr>
              <w:t>1)</w:t>
            </w:r>
          </w:p>
          <w:p w:rsidR="006A7A3F" w:rsidRPr="005D7AC7" w:rsidRDefault="00BC7372">
            <w:pPr>
              <w:pStyle w:val="TableParagraph"/>
              <w:numPr>
                <w:ilvl w:val="0"/>
                <w:numId w:val="351"/>
              </w:numPr>
              <w:tabs>
                <w:tab w:val="left" w:pos="305"/>
              </w:tabs>
              <w:spacing w:before="98"/>
              <w:rPr>
                <w:sz w:val="16"/>
                <w:szCs w:val="16"/>
              </w:rPr>
            </w:pPr>
            <w:r w:rsidRPr="005D7AC7">
              <w:rPr>
                <w:color w:val="231F20"/>
                <w:sz w:val="16"/>
                <w:szCs w:val="16"/>
              </w:rPr>
              <w:t>30,000 ML (tier</w:t>
            </w:r>
            <w:r w:rsidRPr="005D7AC7">
              <w:rPr>
                <w:color w:val="231F20"/>
                <w:spacing w:val="-15"/>
                <w:sz w:val="16"/>
                <w:szCs w:val="16"/>
              </w:rPr>
              <w:t xml:space="preserve"> </w:t>
            </w:r>
            <w:r w:rsidRPr="005D7AC7">
              <w:rPr>
                <w:color w:val="231F20"/>
                <w:sz w:val="16"/>
                <w:szCs w:val="16"/>
              </w:rPr>
              <w:t>2)</w:t>
            </w:r>
          </w:p>
        </w:tc>
        <w:tc>
          <w:tcPr>
            <w:tcW w:w="2041" w:type="dxa"/>
          </w:tcPr>
          <w:p w:rsidR="006A7A3F" w:rsidRPr="005D7AC7" w:rsidRDefault="00BC7372">
            <w:pPr>
              <w:pStyle w:val="TableParagraph"/>
              <w:numPr>
                <w:ilvl w:val="0"/>
                <w:numId w:val="350"/>
              </w:numPr>
              <w:tabs>
                <w:tab w:val="left" w:pos="305"/>
              </w:tabs>
              <w:spacing w:before="63"/>
              <w:rPr>
                <w:sz w:val="16"/>
                <w:szCs w:val="16"/>
              </w:rPr>
            </w:pPr>
            <w:r w:rsidRPr="005D7AC7">
              <w:rPr>
                <w:color w:val="231F20"/>
                <w:sz w:val="16"/>
                <w:szCs w:val="16"/>
              </w:rPr>
              <w:t>Up to 125,000</w:t>
            </w:r>
            <w:r w:rsidRPr="005D7AC7">
              <w:rPr>
                <w:color w:val="231F20"/>
                <w:spacing w:val="-5"/>
                <w:sz w:val="16"/>
                <w:szCs w:val="16"/>
              </w:rPr>
              <w:t xml:space="preserve"> </w:t>
            </w:r>
            <w:r w:rsidRPr="005D7AC7">
              <w:rPr>
                <w:color w:val="231F20"/>
                <w:sz w:val="16"/>
                <w:szCs w:val="16"/>
              </w:rPr>
              <w:t>ML</w:t>
            </w:r>
          </w:p>
          <w:p w:rsidR="006A7A3F" w:rsidRDefault="00BC7372">
            <w:pPr>
              <w:pStyle w:val="TableParagraph"/>
              <w:spacing w:before="13"/>
              <w:rPr>
                <w:sz w:val="10"/>
              </w:rPr>
            </w:pPr>
            <w:r w:rsidRPr="005D7AC7">
              <w:rPr>
                <w:color w:val="231F20"/>
                <w:sz w:val="16"/>
                <w:szCs w:val="16"/>
              </w:rPr>
              <w:t>(tier 1)</w:t>
            </w:r>
            <w:r>
              <w:rPr>
                <w:color w:val="231F20"/>
                <w:position w:val="6"/>
                <w:sz w:val="10"/>
              </w:rPr>
              <w:t>3</w:t>
            </w:r>
          </w:p>
        </w:tc>
      </w:tr>
    </w:tbl>
    <w:p w:rsidR="006A7A3F" w:rsidRDefault="00BC7372">
      <w:pPr>
        <w:spacing w:before="16" w:line="266" w:lineRule="auto"/>
        <w:ind w:left="323" w:right="457" w:hanging="114"/>
        <w:rPr>
          <w:sz w:val="14"/>
        </w:rPr>
      </w:pPr>
      <w:r>
        <w:rPr>
          <w:color w:val="231F20"/>
          <w:position w:val="5"/>
          <w:sz w:val="8"/>
        </w:rPr>
        <w:t xml:space="preserve">1 </w:t>
      </w:r>
      <w:r>
        <w:rPr>
          <w:color w:val="231F20"/>
          <w:sz w:val="14"/>
        </w:rPr>
        <w:t xml:space="preserve">Tier 1 potential environmental watering at </w:t>
      </w:r>
      <w:r>
        <w:rPr>
          <w:color w:val="231F20"/>
          <w:spacing w:val="2"/>
          <w:sz w:val="14"/>
        </w:rPr>
        <w:t xml:space="preserve">Hattah </w:t>
      </w:r>
      <w:r>
        <w:rPr>
          <w:color w:val="231F20"/>
          <w:sz w:val="14"/>
        </w:rPr>
        <w:t xml:space="preserve">Lakes is not classified as tier 1a or 1b, because the water available for use is shared across various systems and it is not possible to reliably determine the supply specifically available for </w:t>
      </w:r>
      <w:r>
        <w:rPr>
          <w:color w:val="231F20"/>
          <w:spacing w:val="2"/>
          <w:sz w:val="14"/>
        </w:rPr>
        <w:t>Hattah</w:t>
      </w:r>
      <w:r>
        <w:rPr>
          <w:color w:val="231F20"/>
          <w:spacing w:val="4"/>
          <w:sz w:val="14"/>
        </w:rPr>
        <w:t xml:space="preserve"> </w:t>
      </w:r>
      <w:r>
        <w:rPr>
          <w:color w:val="231F20"/>
          <w:sz w:val="14"/>
        </w:rPr>
        <w:t>Lakes.</w:t>
      </w:r>
    </w:p>
    <w:p w:rsidR="006A7A3F" w:rsidRDefault="00BC7372">
      <w:pPr>
        <w:spacing w:before="55"/>
        <w:ind w:left="210"/>
        <w:rPr>
          <w:sz w:val="14"/>
        </w:rPr>
      </w:pPr>
      <w:r>
        <w:rPr>
          <w:color w:val="231F20"/>
          <w:position w:val="5"/>
          <w:sz w:val="8"/>
        </w:rPr>
        <w:t xml:space="preserve">2 </w:t>
      </w:r>
      <w:r>
        <w:rPr>
          <w:color w:val="231F20"/>
          <w:sz w:val="14"/>
        </w:rPr>
        <w:t>Environmental water requirements for tier 2 actions are additional to tier 1 requirements.</w:t>
      </w:r>
    </w:p>
    <w:p w:rsidR="006A7A3F" w:rsidRDefault="00BC7372">
      <w:pPr>
        <w:spacing w:before="74"/>
        <w:ind w:left="210"/>
        <w:rPr>
          <w:sz w:val="14"/>
        </w:rPr>
      </w:pPr>
      <w:r>
        <w:rPr>
          <w:color w:val="231F20"/>
          <w:position w:val="5"/>
          <w:sz w:val="8"/>
        </w:rPr>
        <w:t xml:space="preserve">3 </w:t>
      </w:r>
      <w:r>
        <w:rPr>
          <w:color w:val="231F20"/>
          <w:sz w:val="14"/>
        </w:rPr>
        <w:t>In a wet scenario, it is expected that natural floods will meet most of the required watering actions, with environmental water making up shortfalls as needed.</w:t>
      </w:r>
    </w:p>
    <w:p w:rsidR="008F6EBD" w:rsidRDefault="008F6EBD">
      <w:pPr>
        <w:rPr>
          <w:sz w:val="13"/>
          <w:szCs w:val="20"/>
        </w:rPr>
      </w:pPr>
      <w:r>
        <w:rPr>
          <w:sz w:val="13"/>
        </w:rPr>
        <w:br w:type="page"/>
      </w:r>
    </w:p>
    <w:p w:rsidR="006A7A3F" w:rsidRPr="005D7AC7" w:rsidRDefault="00BC7372">
      <w:pPr>
        <w:pStyle w:val="Heading5"/>
        <w:numPr>
          <w:ilvl w:val="2"/>
          <w:numId w:val="577"/>
        </w:numPr>
        <w:tabs>
          <w:tab w:val="left" w:pos="811"/>
        </w:tabs>
        <w:rPr>
          <w:rFonts w:ascii="Arial" w:hAnsi="Arial" w:cs="Arial"/>
          <w:b/>
          <w:bCs/>
          <w:color w:val="231F20"/>
        </w:rPr>
      </w:pPr>
      <w:r w:rsidRPr="005D7AC7">
        <w:rPr>
          <w:rFonts w:ascii="Arial" w:hAnsi="Arial" w:cs="Arial"/>
          <w:b/>
          <w:bCs/>
          <w:color w:val="231F20"/>
        </w:rPr>
        <w:t>Lower Murray wetlands</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rsidP="00833C84">
      <w:pPr>
        <w:pStyle w:val="Heading6"/>
        <w:spacing w:line="276" w:lineRule="auto"/>
        <w:ind w:right="743"/>
      </w:pPr>
      <w:r>
        <w:rPr>
          <w:color w:val="231F20"/>
        </w:rPr>
        <w:t>The lower Murray wetlands are dispersed across the Murray River floodplain between Swan Hill and the South Australian border. The system includes a myriad of interconnected creeks, wetlands and floodplains that are ecologically important and reflect the natural character and attributes of the</w:t>
      </w:r>
      <w:r w:rsidR="00833C84">
        <w:rPr>
          <w:color w:val="231F20"/>
        </w:rPr>
        <w:t xml:space="preserve"> </w:t>
      </w:r>
      <w:r>
        <w:rPr>
          <w:color w:val="231F20"/>
        </w:rPr>
        <w:t>floodplain. While the number of wetlands across the lower Murray region are in their hundreds, about 54 of these have received water for the environment to date.</w:t>
      </w:r>
    </w:p>
    <w:p w:rsidR="006A7A3F" w:rsidRDefault="006A7A3F">
      <w:pPr>
        <w:pStyle w:val="BodyText"/>
        <w:spacing w:before="5"/>
        <w:ind w:left="0"/>
        <w:rPr>
          <w:sz w:val="21"/>
        </w:rPr>
      </w:pPr>
    </w:p>
    <w:p w:rsidR="006A7A3F" w:rsidRDefault="00BC7372" w:rsidP="00833C84">
      <w:pPr>
        <w:pStyle w:val="BodyText"/>
        <w:spacing w:before="1" w:line="249" w:lineRule="auto"/>
        <w:ind w:right="486"/>
      </w:pPr>
      <w:r>
        <w:rPr>
          <w:color w:val="231F20"/>
        </w:rPr>
        <w:t>Regulation and diversion of Murray River flows have substantially reduced the frequency and duration of the high river flows that would naturally water the lower Murray wetlands. This change to the water regime has been</w:t>
      </w:r>
      <w:r w:rsidR="00833C84">
        <w:rPr>
          <w:color w:val="231F20"/>
        </w:rPr>
        <w:t xml:space="preserve"> </w:t>
      </w:r>
      <w:r>
        <w:rPr>
          <w:color w:val="231F20"/>
        </w:rPr>
        <w:t>exacerbated by climate change and has reduced the variety and condition of environmental values associated with billabongs and other floodplain habitats.</w:t>
      </w:r>
    </w:p>
    <w:p w:rsidR="006A7A3F" w:rsidRDefault="00BC7372">
      <w:pPr>
        <w:pStyle w:val="BodyText"/>
        <w:spacing w:line="249" w:lineRule="auto"/>
        <w:ind w:right="375"/>
      </w:pPr>
      <w:r>
        <w:rPr>
          <w:color w:val="231F20"/>
        </w:rPr>
        <w:t>Water for the environment can be delivered to some wetlands in the region through direct pumping from the Murray River and/or use of irrigation supply infrastructure. Most wetlands that receive environmental flows can be managed independently of each other.</w:t>
      </w:r>
    </w:p>
    <w:p w:rsidR="006A7A3F" w:rsidRDefault="00BC7372">
      <w:pPr>
        <w:pStyle w:val="BodyText"/>
        <w:spacing w:before="173" w:line="249" w:lineRule="auto"/>
        <w:ind w:right="204"/>
      </w:pPr>
      <w:r>
        <w:rPr>
          <w:color w:val="231F20"/>
        </w:rPr>
        <w:t>Some wetlands within the lower Murray region can receive water through weir pool manipulation and regulator operation, for improved environmental outcomes. However, because they do not receive held environmental water, they are not specified under this plan. Details of the environmental objectives associated with those wetlands can be found in the Mallee CMA’s Seasonal Watering Proposal for the Lower Murray Wetlands 2020–21.</w:t>
      </w:r>
    </w:p>
    <w:p w:rsidR="006A7A3F" w:rsidRDefault="00BC7372">
      <w:pPr>
        <w:spacing w:before="182"/>
        <w:ind w:left="210"/>
        <w:rPr>
          <w:rFonts w:ascii="Helvetica Neue LT Std 75"/>
          <w:b/>
          <w:sz w:val="19"/>
        </w:rPr>
      </w:pPr>
      <w:r>
        <w:rPr>
          <w:rFonts w:ascii="Helvetica Neue LT Std 75"/>
          <w:b/>
          <w:color w:val="231F20"/>
          <w:sz w:val="19"/>
        </w:rPr>
        <w:t>Environmental values</w:t>
      </w:r>
    </w:p>
    <w:p w:rsidR="006A7A3F" w:rsidRDefault="00BC7372" w:rsidP="009B7931">
      <w:pPr>
        <w:pStyle w:val="BodyText"/>
        <w:spacing w:before="68" w:line="249" w:lineRule="auto"/>
        <w:ind w:right="252"/>
      </w:pPr>
      <w:r>
        <w:rPr>
          <w:color w:val="231F20"/>
        </w:rPr>
        <w:t>The lower Murray wetlands are comprised of multiple wetlands, creeks and billabongs. Depending on their location in the landscape, interactions with groundwater and their management history, the wetlands may be permanent</w:t>
      </w:r>
      <w:r w:rsidR="009B7931">
        <w:t xml:space="preserve"> </w:t>
      </w:r>
      <w:r>
        <w:rPr>
          <w:color w:val="231F20"/>
        </w:rPr>
        <w:t>or temporary, freshwater or saline. Differences in water regime and water quality between the wetlands provide a range of habitats for plants and animals. For example, permanent, saline wetlands (such as Koorlong Lake)</w:t>
      </w:r>
      <w:r w:rsidR="008F6EBD">
        <w:t xml:space="preserve"> </w:t>
      </w:r>
      <w:r>
        <w:rPr>
          <w:color w:val="231F20"/>
        </w:rPr>
        <w:t>provide vital habitat for the endangered Murray hardyhead fish. Ephemeral wetlands support different ecological processes in their wet and dry phases. During the wet phase, they provide short-term boom periods when river red gum trees and wetland plants grow, spread and provide habitat for aquatic animals (such as waterbugs, birds, frogs and in some cases fish). During the dry phase, sediments are exposed to the air (which is important for carbon and nutrient cycles), and terrestrial plants grow and complete life cycles.</w:t>
      </w:r>
    </w:p>
    <w:p w:rsidR="006A7A3F" w:rsidRDefault="00BC7372">
      <w:pPr>
        <w:spacing w:before="184"/>
        <w:ind w:left="210"/>
        <w:rPr>
          <w:rFonts w:ascii="Helvetica Neue LT Std 75"/>
          <w:b/>
          <w:sz w:val="19"/>
        </w:rPr>
      </w:pPr>
      <w:r>
        <w:rPr>
          <w:rFonts w:ascii="Helvetica Neue LT Std 75"/>
          <w:b/>
          <w:color w:val="231F20"/>
          <w:sz w:val="19"/>
        </w:rPr>
        <w:t>Environmental watering objectives in the lower Murray wetlands</w:t>
      </w:r>
    </w:p>
    <w:p w:rsidR="006A7A3F" w:rsidRDefault="006A7A3F">
      <w:pPr>
        <w:pStyle w:val="BodyText"/>
        <w:spacing w:before="11"/>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875"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ind w:left="0"/>
              <w:rPr>
                <w:rFonts w:ascii="Helvetica Neue LT Std 75"/>
                <w:b/>
                <w:sz w:val="16"/>
              </w:rPr>
            </w:pPr>
          </w:p>
          <w:p w:rsidR="006A7A3F" w:rsidRDefault="00BC7372">
            <w:pPr>
              <w:pStyle w:val="TableParagraph"/>
              <w:spacing w:line="261" w:lineRule="auto"/>
              <w:ind w:left="118" w:right="163"/>
              <w:rPr>
                <w:sz w:val="16"/>
              </w:rPr>
            </w:pPr>
            <w:r>
              <w:rPr>
                <w:color w:val="231F20"/>
                <w:sz w:val="16"/>
              </w:rPr>
              <w:t>Maintain and/or increase populations of native fish in permanent wetlands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187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314"/>
              <w:rPr>
                <w:sz w:val="16"/>
              </w:rPr>
            </w:pPr>
            <w:r>
              <w:rPr>
                <w:color w:val="231F20"/>
                <w:sz w:val="16"/>
              </w:rPr>
              <w:t>Maintain and/or grow populations of native frogs including the endangered growling grass frog</w:t>
            </w:r>
          </w:p>
        </w:tc>
      </w:tr>
      <w:tr w:rsidR="006A7A3F">
        <w:trPr>
          <w:trHeight w:val="1150"/>
        </w:trPr>
        <w:tc>
          <w:tcPr>
            <w:tcW w:w="789" w:type="dxa"/>
            <w:tcBorders>
              <w:top w:val="single" w:sz="8" w:space="0" w:color="FFFFFF"/>
              <w:bottom w:val="single" w:sz="8" w:space="0" w:color="FFFFFF"/>
            </w:tcBorders>
            <w:shd w:val="clear" w:color="auto" w:fill="E6E7E8"/>
          </w:tcPr>
          <w:p w:rsidR="006A7A3F" w:rsidRDefault="006A7A3F">
            <w:pPr>
              <w:pStyle w:val="TableParagraph"/>
              <w:spacing w:before="9"/>
              <w:ind w:left="0"/>
              <w:rPr>
                <w:rFonts w:ascii="Helvetica Neue LT Std 75"/>
                <w:b/>
                <w:sz w:val="23"/>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187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image21.jpeg"/>
                          <pic:cNvPicPr/>
                        </pic:nvPicPr>
                        <pic:blipFill>
                          <a:blip r:embed="rId33"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Pr>
                <w:sz w:val="16"/>
              </w:rPr>
            </w:pPr>
            <w:r>
              <w:rPr>
                <w:color w:val="231F20"/>
                <w:sz w:val="16"/>
              </w:rPr>
              <w:t>Increase the diversity, extent and abundance of wetland plants</w:t>
            </w:r>
          </w:p>
          <w:p w:rsidR="006A7A3F" w:rsidRDefault="00BC7372">
            <w:pPr>
              <w:pStyle w:val="TableParagraph"/>
              <w:spacing w:before="112" w:line="261" w:lineRule="auto"/>
              <w:ind w:left="118" w:right="181"/>
              <w:rPr>
                <w:sz w:val="16"/>
              </w:rPr>
            </w:pPr>
            <w:r>
              <w:rPr>
                <w:color w:val="231F20"/>
                <w:sz w:val="16"/>
              </w:rPr>
              <w:t>Improve the condition of river red gums, black box and lignum</w:t>
            </w:r>
          </w:p>
        </w:tc>
      </w:tr>
      <w:tr w:rsidR="006A7A3F">
        <w:trPr>
          <w:trHeight w:val="1046"/>
        </w:trPr>
        <w:tc>
          <w:tcPr>
            <w:tcW w:w="789" w:type="dxa"/>
            <w:tcBorders>
              <w:top w:val="single" w:sz="8" w:space="0" w:color="FFFFFF"/>
            </w:tcBorders>
            <w:shd w:val="clear" w:color="auto" w:fill="E6E7E8"/>
          </w:tcPr>
          <w:p w:rsidR="006A7A3F" w:rsidRDefault="006A7A3F">
            <w:pPr>
              <w:pStyle w:val="TableParagraph"/>
              <w:spacing w:before="8"/>
              <w:ind w:left="0"/>
              <w:rPr>
                <w:rFonts w:ascii="Helvetica Neue LT Std 75"/>
                <w:b/>
                <w:sz w:val="19"/>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6" cy="310896"/>
                  <wp:effectExtent l="0" t="0" r="0" b="0"/>
                  <wp:docPr id="1881"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27.jpeg"/>
                          <pic:cNvPicPr/>
                        </pic:nvPicPr>
                        <pic:blipFill>
                          <a:blip r:embed="rId39" cstate="print"/>
                          <a:stretch>
                            <a:fillRect/>
                          </a:stretch>
                        </pic:blipFill>
                        <pic:spPr>
                          <a:xfrm>
                            <a:off x="0" y="0"/>
                            <a:ext cx="314166"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26" w:line="261" w:lineRule="auto"/>
              <w:ind w:left="118" w:right="287"/>
              <w:rPr>
                <w:sz w:val="16"/>
              </w:rPr>
            </w:pPr>
            <w:r>
              <w:rPr>
                <w:color w:val="231F20"/>
                <w:sz w:val="16"/>
              </w:rPr>
              <w:t>Provide feeding and breeding habitat for a range of waterbird species including threatened and migratory species and colonial nesting species (such as egrets)</w:t>
            </w:r>
          </w:p>
        </w:tc>
      </w:tr>
    </w:tbl>
    <w:p w:rsidR="008F6EBD" w:rsidRDefault="008F6EBD">
      <w:pPr>
        <w:spacing w:before="38"/>
        <w:ind w:left="210"/>
        <w:rPr>
          <w:rFonts w:ascii="Helvetica Neue LT Std 75"/>
          <w:b/>
          <w:color w:val="231F20"/>
          <w:sz w:val="19"/>
        </w:rPr>
      </w:pPr>
    </w:p>
    <w:p w:rsidR="006A7A3F" w:rsidRDefault="00BC7372">
      <w:pPr>
        <w:spacing w:before="38"/>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100"/>
      </w:pPr>
      <w:r>
        <w:rPr>
          <w:color w:val="231F20"/>
        </w:rPr>
        <w:t>Watering of the lower Murray wetlands supports values such as traditional food sources and medicines, important species and provides opportunities for teaching, learning and storytelling.</w:t>
      </w:r>
    </w:p>
    <w:p w:rsidR="006A7A3F" w:rsidRDefault="00BC7372">
      <w:pPr>
        <w:pStyle w:val="BodyText"/>
        <w:spacing w:line="249" w:lineRule="auto"/>
        <w:ind w:right="194"/>
      </w:pPr>
      <w:r>
        <w:rPr>
          <w:color w:val="231F20"/>
        </w:rPr>
        <w:t xml:space="preserve">Mallee CMA has met with the First People of Millewa-Mallee Aboriginal Corporation (representing Latji Latji, Ngintait, Nyeri Nyeri and Wergaia Traditional Owners), and representatives from </w:t>
      </w:r>
      <w:r>
        <w:rPr>
          <w:color w:val="231F20"/>
          <w:spacing w:val="-7"/>
        </w:rPr>
        <w:t xml:space="preserve">Tati </w:t>
      </w:r>
      <w:r>
        <w:rPr>
          <w:color w:val="231F20"/>
          <w:spacing w:val="-6"/>
        </w:rPr>
        <w:t xml:space="preserve">Tati, </w:t>
      </w:r>
      <w:r>
        <w:rPr>
          <w:color w:val="231F20"/>
        </w:rPr>
        <w:t xml:space="preserve">Weki Weki, </w:t>
      </w:r>
      <w:r>
        <w:rPr>
          <w:color w:val="231F20"/>
          <w:spacing w:val="-3"/>
        </w:rPr>
        <w:t xml:space="preserve">Wadi Wadi, </w:t>
      </w:r>
      <w:r>
        <w:rPr>
          <w:color w:val="231F20"/>
        </w:rPr>
        <w:t xml:space="preserve">Gilby Corporation and Munutunga Elders. Discussions covered a range of options for how environmental flows can be delivered in 2020–2021 and what the traditional ecological needs were in the current climate. Elders participated in planning and prioritisation processes on Country important to them and relationships with the Mallee CMA were strengthened. The values, knowledge and concerns raised through these discussions have supported Mallee </w:t>
      </w:r>
      <w:r>
        <w:rPr>
          <w:color w:val="231F20"/>
          <w:spacing w:val="-5"/>
        </w:rPr>
        <w:t xml:space="preserve">CMA’s </w:t>
      </w:r>
      <w:r>
        <w:rPr>
          <w:color w:val="231F20"/>
        </w:rPr>
        <w:t>planning for wetland watering across the lower Murray region.</w:t>
      </w:r>
      <w:r w:rsidR="00833C84">
        <w:rPr>
          <w:color w:val="231F20"/>
        </w:rPr>
        <w:t xml:space="preserve"> </w:t>
      </w:r>
      <w:r>
        <w:rPr>
          <w:color w:val="231F20"/>
        </w:rPr>
        <w:t xml:space="preserve">Waterway managers are seeking opportunities to increase the involvement of Traditional Owners in environmental water planning and management. Where Traditional Owners are more deeply involved in the planning and/or delivery of environmental flows for a particular site, their contribution is acknowledged in </w:t>
      </w:r>
      <w:r>
        <w:rPr>
          <w:color w:val="231F20"/>
          <w:spacing w:val="-6"/>
        </w:rPr>
        <w:t xml:space="preserve">Table </w:t>
      </w:r>
      <w:r>
        <w:rPr>
          <w:color w:val="231F20"/>
        </w:rPr>
        <w:t>5.2.12 with an</w:t>
      </w:r>
      <w:r>
        <w:rPr>
          <w:color w:val="231F20"/>
          <w:spacing w:val="-7"/>
        </w:rPr>
        <w:t xml:space="preserve"> </w:t>
      </w:r>
      <w:r>
        <w:rPr>
          <w:color w:val="231F20"/>
        </w:rPr>
        <w:t>icon.</w:t>
      </w:r>
    </w:p>
    <w:p w:rsidR="006A7A3F" w:rsidRDefault="006A7A3F">
      <w:pPr>
        <w:pStyle w:val="BodyText"/>
        <w:spacing w:before="10"/>
        <w:ind w:left="0"/>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61"/>
      </w:tblGrid>
      <w:tr w:rsidR="006A7A3F">
        <w:trPr>
          <w:trHeight w:val="856"/>
        </w:trPr>
        <w:tc>
          <w:tcPr>
            <w:tcW w:w="789" w:type="dxa"/>
            <w:shd w:val="clear" w:color="auto" w:fill="E6E7E8"/>
          </w:tcPr>
          <w:p w:rsidR="006A7A3F" w:rsidRDefault="006A7A3F">
            <w:pPr>
              <w:pStyle w:val="TableParagraph"/>
              <w:spacing w:before="9"/>
              <w:ind w:left="0"/>
              <w:rPr>
                <w:sz w:val="14"/>
              </w:rPr>
            </w:pPr>
          </w:p>
          <w:p w:rsidR="006A7A3F" w:rsidRDefault="00BC7372">
            <w:pPr>
              <w:pStyle w:val="TableParagraph"/>
              <w:ind w:left="180"/>
              <w:rPr>
                <w:sz w:val="20"/>
              </w:rPr>
            </w:pPr>
            <w:r>
              <w:rPr>
                <w:noProof/>
                <w:sz w:val="20"/>
              </w:rPr>
              <w:drawing>
                <wp:inline distT="0" distB="0" distL="0" distR="0">
                  <wp:extent cx="313939" cy="313943"/>
                  <wp:effectExtent l="0" t="0" r="0" b="0"/>
                  <wp:docPr id="1883"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43.jpeg"/>
                          <pic:cNvPicPr/>
                        </pic:nvPicPr>
                        <pic:blipFill>
                          <a:blip r:embed="rId55" cstate="print"/>
                          <a:stretch>
                            <a:fillRect/>
                          </a:stretch>
                        </pic:blipFill>
                        <pic:spPr>
                          <a:xfrm>
                            <a:off x="0" y="0"/>
                            <a:ext cx="313939" cy="313943"/>
                          </a:xfrm>
                          <a:prstGeom prst="rect">
                            <a:avLst/>
                          </a:prstGeom>
                        </pic:spPr>
                      </pic:pic>
                    </a:graphicData>
                  </a:graphic>
                </wp:inline>
              </w:drawing>
            </w:r>
          </w:p>
        </w:tc>
        <w:tc>
          <w:tcPr>
            <w:tcW w:w="3861" w:type="dxa"/>
            <w:shd w:val="clear" w:color="auto" w:fill="E6E7E8"/>
          </w:tcPr>
          <w:p w:rsidR="006A7A3F" w:rsidRDefault="00BC7372">
            <w:pPr>
              <w:pStyle w:val="TableParagraph"/>
              <w:spacing w:before="136" w:line="261" w:lineRule="auto"/>
              <w:ind w:left="118" w:right="63"/>
              <w:rPr>
                <w:sz w:val="16"/>
              </w:rPr>
            </w:pPr>
            <w:r>
              <w:rPr>
                <w:color w:val="231F20"/>
                <w:sz w:val="16"/>
              </w:rPr>
              <w:t>Watering planned and/or delivered in partnership with Traditional Owners to support Aboriginal cultural values and uses</w:t>
            </w:r>
          </w:p>
        </w:tc>
      </w:tr>
    </w:tbl>
    <w:p w:rsidR="006A7A3F" w:rsidRDefault="00BC7372" w:rsidP="00833C84">
      <w:pPr>
        <w:pStyle w:val="BodyText"/>
        <w:spacing w:before="142" w:line="249" w:lineRule="auto"/>
        <w:ind w:right="907"/>
      </w:pPr>
      <w:r>
        <w:rPr>
          <w:color w:val="231F20"/>
        </w:rPr>
        <w:t>Robertson Creek is an area of high cultural significance that is being degraded as vegetation dies from lack of water and wind erodes the landscape. The First People of the Millewa Mallee Aboriginal Corporation are</w:t>
      </w:r>
      <w:r w:rsidR="00833C84">
        <w:t xml:space="preserve"> </w:t>
      </w:r>
      <w:r>
        <w:rPr>
          <w:color w:val="231F20"/>
        </w:rPr>
        <w:t>undertaking a program of restoration and protection work at the site. To complement the protection and restoration objectives, environmental water is planned to be delivered under all scenarios except drought, to improve the canopy cover of black box trees and to regenerate understory vegetation along Robertson Creek. In turn, the improved vegetation health will provide wind protection to the landscape alongside Robertson Creek.</w:t>
      </w:r>
    </w:p>
    <w:p w:rsidR="006A7A3F" w:rsidRDefault="00BC7372" w:rsidP="00833C84">
      <w:pPr>
        <w:pStyle w:val="BodyText"/>
        <w:spacing w:before="173" w:line="249" w:lineRule="auto"/>
        <w:ind w:right="508"/>
      </w:pPr>
      <w:r>
        <w:rPr>
          <w:color w:val="231F20"/>
        </w:rPr>
        <w:t>Margooya Floodplain Wetland is a new site to be incorporated in the lower Murray wetlands environmental watering program in 2020-21. It is a small wetland to the north-east of Margooya Lagoon and the area is known to be of significant Indigenous cultural value. The main lagoon can receive water using existing infrastructure, but the surrounding floodplain is showing signs of drought stress. Mallee CMA has worked closely with the local Aboriginal community to identify potential watering actions to preserve and enhance cultural values at the site,</w:t>
      </w:r>
      <w:r w:rsidR="00833C84">
        <w:t xml:space="preserve"> </w:t>
      </w:r>
      <w:r>
        <w:rPr>
          <w:color w:val="231F20"/>
        </w:rPr>
        <w:t>including availability of traditional foods and medicines and preservation of an ecosystem and landscape used for ceremonies and featuring in song lines.</w:t>
      </w:r>
    </w:p>
    <w:p w:rsidR="006A7A3F" w:rsidRDefault="00BC7372">
      <w:pPr>
        <w:spacing w:before="181"/>
        <w:ind w:left="210"/>
        <w:rPr>
          <w:rFonts w:ascii="Helvetica Neue LT Std 75"/>
          <w:b/>
          <w:sz w:val="19"/>
        </w:rPr>
      </w:pPr>
      <w:r>
        <w:rPr>
          <w:rFonts w:ascii="Helvetica Neue LT Std 75"/>
          <w:b/>
          <w:color w:val="231F20"/>
          <w:sz w:val="19"/>
        </w:rPr>
        <w:t>Social, economic and recreational values and uses</w:t>
      </w:r>
    </w:p>
    <w:p w:rsidR="006A7A3F" w:rsidRDefault="00BC7372">
      <w:pPr>
        <w:pStyle w:val="BodyText"/>
        <w:spacing w:before="68" w:line="249" w:lineRule="auto"/>
        <w:ind w:right="100"/>
      </w:pPr>
      <w:r>
        <w:rPr>
          <w:color w:val="231F20"/>
        </w:rPr>
        <w:t>In planning the potential watering actions in Table 5.2.12, Mallee CMA considered how environmental flows could support values and uses including:</w:t>
      </w:r>
    </w:p>
    <w:p w:rsidR="006A7A3F" w:rsidRPr="008F6EBD" w:rsidRDefault="00BC7372" w:rsidP="009B6917">
      <w:pPr>
        <w:pStyle w:val="ListParagraph"/>
        <w:numPr>
          <w:ilvl w:val="0"/>
          <w:numId w:val="1419"/>
        </w:numPr>
        <w:tabs>
          <w:tab w:val="left" w:pos="493"/>
          <w:tab w:val="left" w:pos="494"/>
        </w:tabs>
        <w:spacing w:before="115"/>
        <w:ind w:hanging="281"/>
        <w:rPr>
          <w:sz w:val="20"/>
          <w:szCs w:val="20"/>
        </w:rPr>
      </w:pPr>
      <w:r w:rsidRPr="008F6EBD">
        <w:rPr>
          <w:color w:val="231F20"/>
          <w:sz w:val="20"/>
          <w:szCs w:val="20"/>
        </w:rPr>
        <w:t>water-based recreation (such as canoeing, fishing, swimming and</w:t>
      </w:r>
      <w:r w:rsidRPr="008F6EBD">
        <w:rPr>
          <w:color w:val="231F20"/>
          <w:spacing w:val="-5"/>
          <w:sz w:val="20"/>
          <w:szCs w:val="20"/>
        </w:rPr>
        <w:t xml:space="preserve"> </w:t>
      </w:r>
      <w:r w:rsidRPr="008F6EBD">
        <w:rPr>
          <w:color w:val="231F20"/>
          <w:sz w:val="20"/>
          <w:szCs w:val="20"/>
        </w:rPr>
        <w:t>yabbying)</w:t>
      </w:r>
    </w:p>
    <w:p w:rsidR="006A7A3F" w:rsidRPr="008F6EBD" w:rsidRDefault="00BC7372" w:rsidP="008F6EBD">
      <w:pPr>
        <w:pStyle w:val="ListParagraph"/>
        <w:numPr>
          <w:ilvl w:val="0"/>
          <w:numId w:val="1419"/>
        </w:numPr>
        <w:tabs>
          <w:tab w:val="left" w:pos="493"/>
          <w:tab w:val="left" w:pos="494"/>
        </w:tabs>
        <w:ind w:hanging="281"/>
        <w:rPr>
          <w:sz w:val="20"/>
          <w:szCs w:val="20"/>
        </w:rPr>
      </w:pPr>
      <w:r w:rsidRPr="008F6EBD">
        <w:rPr>
          <w:color w:val="231F20"/>
          <w:sz w:val="20"/>
          <w:szCs w:val="20"/>
        </w:rPr>
        <w:t>riverside recreation and amenity (such as bushwalking, photography, running, yoga, geocaching,</w:t>
      </w:r>
      <w:r w:rsidRPr="008F6EBD">
        <w:rPr>
          <w:color w:val="231F20"/>
          <w:spacing w:val="-29"/>
          <w:sz w:val="20"/>
          <w:szCs w:val="20"/>
        </w:rPr>
        <w:t xml:space="preserve"> </w:t>
      </w:r>
      <w:r w:rsidRPr="008F6EBD">
        <w:rPr>
          <w:color w:val="231F20"/>
          <w:sz w:val="20"/>
          <w:szCs w:val="20"/>
        </w:rPr>
        <w:t>camping,</w:t>
      </w:r>
      <w:r w:rsidR="008F6EBD" w:rsidRPr="008F6EBD">
        <w:rPr>
          <w:color w:val="231F20"/>
          <w:sz w:val="20"/>
          <w:szCs w:val="20"/>
        </w:rPr>
        <w:t xml:space="preserve"> </w:t>
      </w:r>
      <w:r w:rsidRPr="008F6EBD">
        <w:rPr>
          <w:color w:val="231F20"/>
          <w:sz w:val="20"/>
          <w:szCs w:val="20"/>
        </w:rPr>
        <w:t>birdwatching and four-wheel driving)</w:t>
      </w:r>
    </w:p>
    <w:p w:rsidR="006A7A3F" w:rsidRDefault="00BC7372" w:rsidP="009B6917">
      <w:pPr>
        <w:pStyle w:val="ListParagraph"/>
        <w:numPr>
          <w:ilvl w:val="0"/>
          <w:numId w:val="1419"/>
        </w:numPr>
        <w:tabs>
          <w:tab w:val="left" w:pos="493"/>
          <w:tab w:val="left" w:pos="494"/>
        </w:tabs>
        <w:spacing w:line="249" w:lineRule="auto"/>
        <w:ind w:right="274"/>
        <w:rPr>
          <w:sz w:val="20"/>
        </w:rPr>
      </w:pPr>
      <w:r w:rsidRPr="008F6EBD">
        <w:rPr>
          <w:color w:val="231F20"/>
          <w:sz w:val="20"/>
          <w:szCs w:val="20"/>
        </w:rPr>
        <w:t>community events and tourism (such as Parks Victoria’s ‘Junior Ranger’ school holiday programs including bushwalking, birdwatching and bug</w:t>
      </w:r>
      <w:r>
        <w:rPr>
          <w:color w:val="231F20"/>
          <w:sz w:val="20"/>
        </w:rPr>
        <w:t xml:space="preserve"> hunting, citizen science projects (frogs and bats), community education and engagement programs, and tourists visiting the</w:t>
      </w:r>
      <w:r>
        <w:rPr>
          <w:color w:val="231F20"/>
          <w:spacing w:val="-5"/>
          <w:sz w:val="20"/>
        </w:rPr>
        <w:t xml:space="preserve"> </w:t>
      </w:r>
      <w:r>
        <w:rPr>
          <w:color w:val="231F20"/>
          <w:sz w:val="20"/>
        </w:rPr>
        <w:t>wetlands)</w:t>
      </w:r>
    </w:p>
    <w:p w:rsidR="006A7A3F" w:rsidRDefault="00BC7372" w:rsidP="009B6917">
      <w:pPr>
        <w:pStyle w:val="ListParagraph"/>
        <w:numPr>
          <w:ilvl w:val="0"/>
          <w:numId w:val="1419"/>
        </w:numPr>
        <w:tabs>
          <w:tab w:val="left" w:pos="493"/>
          <w:tab w:val="left" w:pos="494"/>
        </w:tabs>
        <w:spacing w:before="88"/>
        <w:ind w:hanging="281"/>
        <w:rPr>
          <w:sz w:val="20"/>
        </w:rPr>
      </w:pPr>
      <w:r>
        <w:rPr>
          <w:color w:val="231F20"/>
          <w:sz w:val="20"/>
        </w:rPr>
        <w:t>socio-economic benefits (such as local</w:t>
      </w:r>
      <w:r>
        <w:rPr>
          <w:color w:val="231F20"/>
          <w:spacing w:val="-5"/>
          <w:sz w:val="20"/>
        </w:rPr>
        <w:t xml:space="preserve"> </w:t>
      </w:r>
      <w:r>
        <w:rPr>
          <w:color w:val="231F20"/>
          <w:sz w:val="20"/>
        </w:rPr>
        <w:t>businesses).</w:t>
      </w:r>
    </w:p>
    <w:p w:rsidR="008F6EBD" w:rsidRDefault="008F6EBD">
      <w:pPr>
        <w:rPr>
          <w:rFonts w:ascii="Helvetica Neue LT Std 75"/>
          <w:b/>
          <w:color w:val="231F20"/>
          <w:sz w:val="19"/>
        </w:rPr>
      </w:pPr>
      <w:r>
        <w:rPr>
          <w:rFonts w:ascii="Helvetica Neue LT Std 75"/>
          <w:b/>
          <w:color w:val="231F20"/>
          <w:sz w:val="19"/>
        </w:rPr>
        <w:br w:type="page"/>
      </w:r>
    </w:p>
    <w:p w:rsidR="006A7A3F" w:rsidRDefault="00BC7372">
      <w:pPr>
        <w:spacing w:before="189"/>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188"/>
      </w:pPr>
      <w:r>
        <w:rPr>
          <w:color w:val="231F20"/>
        </w:rPr>
        <w:t>The lower Murray region had below-average rainfall and above-average temperatures throughout 2019–20. Rainfall in some areas was the lowest recorded across two consecutive years. Flow in the Murray River was not sufficient to connect any wetlands on the lower Murray floodplain, and there was very limited run-off from local</w:t>
      </w:r>
      <w:r>
        <w:rPr>
          <w:color w:val="231F20"/>
          <w:spacing w:val="-33"/>
        </w:rPr>
        <w:t xml:space="preserve"> </w:t>
      </w:r>
      <w:r>
        <w:rPr>
          <w:color w:val="231F20"/>
        </w:rPr>
        <w:t>catchments.</w:t>
      </w:r>
    </w:p>
    <w:p w:rsidR="006A7A3F" w:rsidRDefault="00BC7372">
      <w:pPr>
        <w:pStyle w:val="BodyText"/>
        <w:spacing w:line="249" w:lineRule="auto"/>
        <w:ind w:right="374"/>
      </w:pPr>
      <w:r>
        <w:rPr>
          <w:color w:val="231F20"/>
        </w:rPr>
        <w:t>In 2019–20, environmental water was delivered to 10 lower Murray wetlands that were identified as a high priority for environmental watering under a dry scenario. Most deliveries were in spring to maintain native vegetation, provide refuges for fish and waterbirds and maintain key ecosystem functions. Top-ups were provided to Lake Hawthorn, Brickworks Billabong and Koorlong Lake during summer and autumn to protect habitat for endangered Murray hardyhead.</w:t>
      </w:r>
    </w:p>
    <w:p w:rsidR="006A7A3F" w:rsidRDefault="00BC7372">
      <w:pPr>
        <w:pStyle w:val="BodyText"/>
        <w:spacing w:before="174" w:line="249" w:lineRule="auto"/>
        <w:ind w:right="100"/>
      </w:pPr>
      <w:r>
        <w:rPr>
          <w:color w:val="231F20"/>
        </w:rPr>
        <w:t>During 2019–20, the Mallee CMA monitored water levels at wetlands that it had identified as important refuge habitats for native fish and frogs. Continued surveillance of refuge habitats will be a high priority in 2020–21.</w:t>
      </w:r>
    </w:p>
    <w:p w:rsidR="006A7A3F" w:rsidRDefault="00BC7372">
      <w:pPr>
        <w:spacing w:before="181"/>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100"/>
      </w:pPr>
      <w:r>
        <w:rPr>
          <w:color w:val="231F20"/>
        </w:rPr>
        <w:t>Table 5.2.12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5.2.12 Potential environmental watering actions and objectives for the lower Murray wetlands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11"/>
              <w:rPr>
                <w:sz w:val="16"/>
              </w:rPr>
            </w:pPr>
            <w:r>
              <w:rPr>
                <w:color w:val="231F20"/>
                <w:sz w:val="16"/>
              </w:rPr>
              <w:t>Brickworks Billabong (fill in spring, with top-ups over summer/autumn as required)</w:t>
            </w:r>
          </w:p>
        </w:tc>
        <w:tc>
          <w:tcPr>
            <w:tcW w:w="6236" w:type="dxa"/>
            <w:vMerge w:val="restart"/>
            <w:tcBorders>
              <w:top w:val="nil"/>
              <w:left w:val="single" w:sz="4" w:space="0" w:color="231F20"/>
              <w:bottom w:val="single" w:sz="4" w:space="0" w:color="231F20"/>
              <w:right w:val="single" w:sz="4" w:space="0" w:color="231F20"/>
            </w:tcBorders>
          </w:tcPr>
          <w:p w:rsidR="006A7A3F" w:rsidRDefault="00BC7372">
            <w:pPr>
              <w:pStyle w:val="TableParagraph"/>
              <w:numPr>
                <w:ilvl w:val="0"/>
                <w:numId w:val="349"/>
              </w:numPr>
              <w:tabs>
                <w:tab w:val="left" w:pos="306"/>
              </w:tabs>
              <w:spacing w:before="70" w:line="254" w:lineRule="auto"/>
              <w:ind w:right="137"/>
              <w:rPr>
                <w:sz w:val="18"/>
              </w:rPr>
            </w:pPr>
            <w:r>
              <w:rPr>
                <w:color w:val="231F20"/>
                <w:sz w:val="18"/>
              </w:rPr>
              <w:t>Fill in spring to 34.0 m AHD (Australian Height Datum) to wet and grow ruppia</w:t>
            </w:r>
            <w:r>
              <w:rPr>
                <w:color w:val="231F20"/>
                <w:spacing w:val="-4"/>
                <w:sz w:val="18"/>
              </w:rPr>
              <w:t xml:space="preserve"> </w:t>
            </w:r>
            <w:r>
              <w:rPr>
                <w:color w:val="231F20"/>
                <w:sz w:val="18"/>
              </w:rPr>
              <w:t>to</w:t>
            </w:r>
            <w:r>
              <w:rPr>
                <w:color w:val="231F20"/>
                <w:spacing w:val="-4"/>
                <w:sz w:val="18"/>
              </w:rPr>
              <w:t xml:space="preserve"> </w:t>
            </w:r>
            <w:r>
              <w:rPr>
                <w:color w:val="231F20"/>
                <w:sz w:val="18"/>
              </w:rPr>
              <w:t>provide</w:t>
            </w:r>
            <w:r>
              <w:rPr>
                <w:color w:val="231F20"/>
                <w:spacing w:val="-4"/>
                <w:sz w:val="18"/>
              </w:rPr>
              <w:t xml:space="preserve"> </w:t>
            </w:r>
            <w:r>
              <w:rPr>
                <w:color w:val="231F20"/>
                <w:sz w:val="18"/>
              </w:rPr>
              <w:t>nursery</w:t>
            </w:r>
            <w:r>
              <w:rPr>
                <w:color w:val="231F20"/>
                <w:spacing w:val="-5"/>
                <w:sz w:val="18"/>
              </w:rPr>
              <w:t xml:space="preserve"> </w:t>
            </w:r>
            <w:r>
              <w:rPr>
                <w:color w:val="231F20"/>
                <w:sz w:val="18"/>
              </w:rPr>
              <w:t>habitat</w:t>
            </w:r>
            <w:r>
              <w:rPr>
                <w:color w:val="231F20"/>
                <w:spacing w:val="-4"/>
                <w:sz w:val="18"/>
              </w:rPr>
              <w:t xml:space="preserve"> </w:t>
            </w:r>
            <w:r>
              <w:rPr>
                <w:color w:val="231F20"/>
                <w:sz w:val="18"/>
              </w:rPr>
              <w:t>for</w:t>
            </w:r>
            <w:r>
              <w:rPr>
                <w:color w:val="231F20"/>
                <w:spacing w:val="-4"/>
                <w:sz w:val="18"/>
              </w:rPr>
              <w:t xml:space="preserve"> </w:t>
            </w:r>
            <w:r>
              <w:rPr>
                <w:color w:val="231F20"/>
                <w:sz w:val="18"/>
              </w:rPr>
              <w:t>Murray</w:t>
            </w:r>
            <w:r>
              <w:rPr>
                <w:color w:val="231F20"/>
                <w:spacing w:val="-4"/>
                <w:sz w:val="18"/>
              </w:rPr>
              <w:t xml:space="preserve"> </w:t>
            </w:r>
            <w:r>
              <w:rPr>
                <w:color w:val="231F20"/>
                <w:sz w:val="18"/>
              </w:rPr>
              <w:t>hardyhead,</w:t>
            </w:r>
            <w:r>
              <w:rPr>
                <w:color w:val="231F20"/>
                <w:spacing w:val="-4"/>
                <w:sz w:val="18"/>
              </w:rPr>
              <w:t xml:space="preserve"> </w:t>
            </w:r>
            <w:r>
              <w:rPr>
                <w:color w:val="231F20"/>
                <w:sz w:val="18"/>
              </w:rPr>
              <w:t>and</w:t>
            </w:r>
            <w:r>
              <w:rPr>
                <w:color w:val="231F20"/>
                <w:spacing w:val="-5"/>
                <w:sz w:val="18"/>
              </w:rPr>
              <w:t xml:space="preserve"> </w:t>
            </w:r>
            <w:r>
              <w:rPr>
                <w:color w:val="231F20"/>
                <w:sz w:val="18"/>
              </w:rPr>
              <w:t>provide</w:t>
            </w:r>
            <w:r>
              <w:rPr>
                <w:color w:val="231F20"/>
                <w:spacing w:val="-4"/>
                <w:sz w:val="18"/>
              </w:rPr>
              <w:t xml:space="preserve"> </w:t>
            </w:r>
            <w:r>
              <w:rPr>
                <w:color w:val="231F20"/>
                <w:sz w:val="18"/>
              </w:rPr>
              <w:t>high levels of aquatic</w:t>
            </w:r>
            <w:r>
              <w:rPr>
                <w:color w:val="231F20"/>
                <w:spacing w:val="-4"/>
                <w:sz w:val="18"/>
              </w:rPr>
              <w:t xml:space="preserve"> </w:t>
            </w:r>
            <w:r>
              <w:rPr>
                <w:color w:val="231F20"/>
                <w:sz w:val="18"/>
              </w:rPr>
              <w:t>productivity</w:t>
            </w:r>
          </w:p>
          <w:p w:rsidR="006A7A3F" w:rsidRDefault="00BC7372">
            <w:pPr>
              <w:pStyle w:val="TableParagraph"/>
              <w:numPr>
                <w:ilvl w:val="0"/>
                <w:numId w:val="349"/>
              </w:numPr>
              <w:tabs>
                <w:tab w:val="left" w:pos="306"/>
              </w:tabs>
              <w:spacing w:before="87"/>
              <w:ind w:hanging="218"/>
              <w:rPr>
                <w:sz w:val="18"/>
              </w:rPr>
            </w:pPr>
            <w:r>
              <w:rPr>
                <w:color w:val="231F20"/>
                <w:sz w:val="18"/>
              </w:rPr>
              <w:t>Allow natural recession of a maximum 1 m in late summer/autumn</w:t>
            </w:r>
            <w:r>
              <w:rPr>
                <w:color w:val="231F20"/>
                <w:spacing w:val="-13"/>
                <w:sz w:val="18"/>
              </w:rPr>
              <w:t xml:space="preserve"> </w:t>
            </w:r>
            <w:r>
              <w:rPr>
                <w:color w:val="231F20"/>
                <w:sz w:val="18"/>
              </w:rPr>
              <w:t>(to</w:t>
            </w:r>
          </w:p>
          <w:p w:rsidR="006A7A3F" w:rsidRDefault="00BC7372">
            <w:pPr>
              <w:pStyle w:val="TableParagraph"/>
              <w:spacing w:before="13" w:line="254" w:lineRule="auto"/>
              <w:ind w:left="305"/>
              <w:rPr>
                <w:sz w:val="18"/>
              </w:rPr>
            </w:pPr>
            <w:r>
              <w:rPr>
                <w:color w:val="231F20"/>
                <w:sz w:val="18"/>
              </w:rPr>
              <w:t>33.0 m AHD) to provide shallow-water habitat and expose the mudflats to support foraging and resting of small waders</w:t>
            </w:r>
          </w:p>
        </w:tc>
        <w:tc>
          <w:tcPr>
            <w:tcW w:w="850" w:type="dxa"/>
            <w:tcBorders>
              <w:top w:val="nil"/>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88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88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90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88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16"/>
              <w:rPr>
                <w:sz w:val="16"/>
              </w:rPr>
            </w:pPr>
            <w:r>
              <w:rPr>
                <w:color w:val="231F20"/>
                <w:sz w:val="16"/>
              </w:rPr>
              <w:t>Lake Hawthorn (top up in spring/summer/autumn as required)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48"/>
              </w:numPr>
              <w:tabs>
                <w:tab w:val="left" w:pos="306"/>
              </w:tabs>
              <w:spacing w:before="70" w:line="254" w:lineRule="auto"/>
              <w:ind w:right="166"/>
              <w:rPr>
                <w:sz w:val="18"/>
              </w:rPr>
            </w:pPr>
            <w:r>
              <w:rPr>
                <w:color w:val="231F20"/>
                <w:sz w:val="18"/>
              </w:rPr>
              <w:t>Fill</w:t>
            </w:r>
            <w:r>
              <w:rPr>
                <w:color w:val="231F20"/>
                <w:spacing w:val="-3"/>
                <w:sz w:val="18"/>
              </w:rPr>
              <w:t xml:space="preserve"> </w:t>
            </w:r>
            <w:r>
              <w:rPr>
                <w:color w:val="231F20"/>
                <w:sz w:val="18"/>
              </w:rPr>
              <w:t>the</w:t>
            </w:r>
            <w:r>
              <w:rPr>
                <w:color w:val="231F20"/>
                <w:spacing w:val="-3"/>
                <w:sz w:val="18"/>
              </w:rPr>
              <w:t xml:space="preserve"> </w:t>
            </w:r>
            <w:r>
              <w:rPr>
                <w:color w:val="231F20"/>
                <w:sz w:val="18"/>
              </w:rPr>
              <w:t>wetland</w:t>
            </w:r>
            <w:r>
              <w:rPr>
                <w:color w:val="231F20"/>
                <w:spacing w:val="-4"/>
                <w:sz w:val="18"/>
              </w:rPr>
              <w:t xml:space="preserve"> </w:t>
            </w:r>
            <w:r>
              <w:rPr>
                <w:color w:val="231F20"/>
                <w:sz w:val="18"/>
              </w:rPr>
              <w:t>to</w:t>
            </w:r>
            <w:r>
              <w:rPr>
                <w:color w:val="231F20"/>
                <w:spacing w:val="-3"/>
                <w:sz w:val="18"/>
              </w:rPr>
              <w:t xml:space="preserve"> </w:t>
            </w:r>
            <w:r>
              <w:rPr>
                <w:color w:val="231F20"/>
                <w:sz w:val="18"/>
              </w:rPr>
              <w:t>33.3</w:t>
            </w:r>
            <w:r>
              <w:rPr>
                <w:color w:val="231F20"/>
                <w:spacing w:val="-3"/>
                <w:sz w:val="18"/>
              </w:rPr>
              <w:t xml:space="preserve"> </w:t>
            </w:r>
            <w:r>
              <w:rPr>
                <w:color w:val="231F20"/>
                <w:sz w:val="18"/>
              </w:rPr>
              <w:t>m</w:t>
            </w:r>
            <w:r>
              <w:rPr>
                <w:color w:val="231F20"/>
                <w:spacing w:val="-13"/>
                <w:sz w:val="18"/>
              </w:rPr>
              <w:t xml:space="preserve"> </w:t>
            </w:r>
            <w:r>
              <w:rPr>
                <w:color w:val="231F20"/>
                <w:sz w:val="18"/>
              </w:rPr>
              <w:t>AHD</w:t>
            </w:r>
            <w:r>
              <w:rPr>
                <w:color w:val="231F20"/>
                <w:spacing w:val="-2"/>
                <w:sz w:val="18"/>
              </w:rPr>
              <w:t xml:space="preserve"> </w:t>
            </w:r>
            <w:r>
              <w:rPr>
                <w:color w:val="231F20"/>
                <w:sz w:val="18"/>
              </w:rPr>
              <w:t>to</w:t>
            </w:r>
            <w:r>
              <w:rPr>
                <w:color w:val="231F20"/>
                <w:spacing w:val="-3"/>
                <w:sz w:val="18"/>
              </w:rPr>
              <w:t xml:space="preserve"> </w:t>
            </w:r>
            <w:r>
              <w:rPr>
                <w:color w:val="231F20"/>
                <w:sz w:val="18"/>
              </w:rPr>
              <w:t>encourage</w:t>
            </w:r>
            <w:r>
              <w:rPr>
                <w:color w:val="231F20"/>
                <w:spacing w:val="-4"/>
                <w:sz w:val="18"/>
              </w:rPr>
              <w:t xml:space="preserve"> </w:t>
            </w:r>
            <w:r>
              <w:rPr>
                <w:color w:val="231F20"/>
                <w:sz w:val="18"/>
              </w:rPr>
              <w:t>the</w:t>
            </w:r>
            <w:r>
              <w:rPr>
                <w:color w:val="231F20"/>
                <w:spacing w:val="-3"/>
                <w:sz w:val="18"/>
              </w:rPr>
              <w:t xml:space="preserve"> </w:t>
            </w:r>
            <w:r>
              <w:rPr>
                <w:color w:val="231F20"/>
                <w:sz w:val="18"/>
              </w:rPr>
              <w:t>germination</w:t>
            </w:r>
            <w:r>
              <w:rPr>
                <w:color w:val="231F20"/>
                <w:spacing w:val="-3"/>
                <w:sz w:val="18"/>
              </w:rPr>
              <w:t xml:space="preserve"> </w:t>
            </w:r>
            <w:r>
              <w:rPr>
                <w:color w:val="231F20"/>
                <w:sz w:val="18"/>
              </w:rPr>
              <w:t>and</w:t>
            </w:r>
            <w:r>
              <w:rPr>
                <w:color w:val="231F20"/>
                <w:spacing w:val="-4"/>
                <w:sz w:val="18"/>
              </w:rPr>
              <w:t xml:space="preserve"> </w:t>
            </w:r>
            <w:r>
              <w:rPr>
                <w:color w:val="231F20"/>
                <w:sz w:val="18"/>
              </w:rPr>
              <w:t>growth of ruppia to provide nursery habitat for Murray hardyhead and visitation by</w:t>
            </w:r>
            <w:r>
              <w:rPr>
                <w:color w:val="231F20"/>
                <w:spacing w:val="-2"/>
                <w:sz w:val="18"/>
              </w:rPr>
              <w:t xml:space="preserve"> </w:t>
            </w:r>
            <w:r>
              <w:rPr>
                <w:color w:val="231F20"/>
                <w:sz w:val="18"/>
              </w:rPr>
              <w:t>shorebirds</w:t>
            </w:r>
          </w:p>
          <w:p w:rsidR="006A7A3F" w:rsidRDefault="00BC7372">
            <w:pPr>
              <w:pStyle w:val="TableParagraph"/>
              <w:numPr>
                <w:ilvl w:val="0"/>
                <w:numId w:val="348"/>
              </w:numPr>
              <w:tabs>
                <w:tab w:val="left" w:pos="306"/>
              </w:tabs>
              <w:spacing w:before="87" w:line="254" w:lineRule="auto"/>
              <w:ind w:right="587"/>
              <w:rPr>
                <w:sz w:val="18"/>
              </w:rPr>
            </w:pPr>
            <w:r>
              <w:rPr>
                <w:color w:val="231F20"/>
                <w:sz w:val="18"/>
              </w:rPr>
              <w:t>Maintain water levels within a 30 cm range to provide resources</w:t>
            </w:r>
            <w:r>
              <w:rPr>
                <w:color w:val="231F20"/>
                <w:spacing w:val="-26"/>
                <w:sz w:val="18"/>
              </w:rPr>
              <w:t xml:space="preserve"> </w:t>
            </w:r>
            <w:r>
              <w:rPr>
                <w:color w:val="231F20"/>
                <w:sz w:val="18"/>
              </w:rPr>
              <w:t>for shorebirds and to maintain the Murray hardyhead</w:t>
            </w:r>
            <w:r>
              <w:rPr>
                <w:color w:val="231F20"/>
                <w:spacing w:val="-10"/>
                <w:sz w:val="18"/>
              </w:rPr>
              <w:t xml:space="preserve"> </w:t>
            </w:r>
            <w:r>
              <w:rPr>
                <w:color w:val="231F20"/>
                <w:sz w:val="18"/>
              </w:rPr>
              <w:t>population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89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89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8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89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16"/>
              <w:rPr>
                <w:sz w:val="16"/>
              </w:rPr>
            </w:pPr>
            <w:r>
              <w:rPr>
                <w:color w:val="231F20"/>
                <w:sz w:val="16"/>
              </w:rPr>
              <w:t>Koorlong Lake (top up in spring/summer/autumn as required)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47"/>
              </w:numPr>
              <w:tabs>
                <w:tab w:val="left" w:pos="306"/>
              </w:tabs>
              <w:spacing w:before="70" w:line="254" w:lineRule="auto"/>
              <w:ind w:right="75"/>
              <w:rPr>
                <w:sz w:val="18"/>
              </w:rPr>
            </w:pPr>
            <w:r>
              <w:rPr>
                <w:color w:val="231F20"/>
                <w:sz w:val="18"/>
              </w:rPr>
              <w:t>Fill the wetland to 38.0 m AHD in spring to support the growth of ruppia</w:t>
            </w:r>
            <w:r>
              <w:rPr>
                <w:color w:val="231F20"/>
                <w:spacing w:val="-31"/>
                <w:sz w:val="18"/>
              </w:rPr>
              <w:t xml:space="preserve"> </w:t>
            </w:r>
            <w:r>
              <w:rPr>
                <w:color w:val="231F20"/>
                <w:sz w:val="18"/>
              </w:rPr>
              <w:t>to provide nursery habitat for Murray hardyhead and provide high levels of aquatic</w:t>
            </w:r>
            <w:r>
              <w:rPr>
                <w:color w:val="231F20"/>
                <w:spacing w:val="-2"/>
                <w:sz w:val="18"/>
              </w:rPr>
              <w:t xml:space="preserve"> </w:t>
            </w:r>
            <w:r>
              <w:rPr>
                <w:color w:val="231F20"/>
                <w:sz w:val="18"/>
              </w:rPr>
              <w:t>productivity</w:t>
            </w:r>
          </w:p>
          <w:p w:rsidR="006A7A3F" w:rsidRDefault="00BC7372">
            <w:pPr>
              <w:pStyle w:val="TableParagraph"/>
              <w:numPr>
                <w:ilvl w:val="0"/>
                <w:numId w:val="347"/>
              </w:numPr>
              <w:tabs>
                <w:tab w:val="left" w:pos="306"/>
              </w:tabs>
              <w:spacing w:before="87" w:line="254" w:lineRule="auto"/>
              <w:ind w:right="587"/>
              <w:rPr>
                <w:sz w:val="18"/>
              </w:rPr>
            </w:pPr>
            <w:r>
              <w:rPr>
                <w:color w:val="231F20"/>
                <w:sz w:val="18"/>
              </w:rPr>
              <w:t>Maintain water levels within a 30 cm range to provide resources</w:t>
            </w:r>
            <w:r>
              <w:rPr>
                <w:color w:val="231F20"/>
                <w:spacing w:val="-26"/>
                <w:sz w:val="18"/>
              </w:rPr>
              <w:t xml:space="preserve"> </w:t>
            </w:r>
            <w:r>
              <w:rPr>
                <w:color w:val="231F20"/>
                <w:sz w:val="18"/>
              </w:rPr>
              <w:t>for shorebirds and to maintain the Murray hardyhead</w:t>
            </w:r>
            <w:r>
              <w:rPr>
                <w:color w:val="231F20"/>
                <w:spacing w:val="-10"/>
                <w:sz w:val="18"/>
              </w:rPr>
              <w:t xml:space="preserve"> </w:t>
            </w:r>
            <w:r>
              <w:rPr>
                <w:color w:val="231F20"/>
                <w:sz w:val="18"/>
              </w:rPr>
              <w:t>population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89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89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8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190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27.jpeg"/>
                          <pic:cNvPicPr/>
                        </pic:nvPicPr>
                        <pic:blipFill>
                          <a:blip r:embed="rId39"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1180"/>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0"/>
              <w:rPr>
                <w:sz w:val="16"/>
              </w:rPr>
            </w:pPr>
            <w:r>
              <w:rPr>
                <w:color w:val="231F20"/>
                <w:sz w:val="16"/>
              </w:rPr>
              <w:t>Margooya Floodplain Wetland (fill in autumn)</w:t>
            </w:r>
          </w:p>
          <w:p w:rsidR="006A7A3F" w:rsidRDefault="006A7A3F">
            <w:pPr>
              <w:pStyle w:val="TableParagraph"/>
              <w:spacing w:before="4"/>
              <w:ind w:left="0"/>
              <w:rPr>
                <w:b/>
                <w:sz w:val="8"/>
              </w:rPr>
            </w:pPr>
          </w:p>
          <w:p w:rsidR="006A7A3F" w:rsidRDefault="00BC7372">
            <w:pPr>
              <w:pStyle w:val="TableParagraph"/>
              <w:ind w:left="85"/>
              <w:rPr>
                <w:sz w:val="20"/>
              </w:rPr>
            </w:pPr>
            <w:r>
              <w:rPr>
                <w:noProof/>
                <w:sz w:val="20"/>
              </w:rPr>
              <w:drawing>
                <wp:inline distT="0" distB="0" distL="0" distR="0">
                  <wp:extent cx="313948" cy="313944"/>
                  <wp:effectExtent l="0" t="0" r="0" b="0"/>
                  <wp:docPr id="1903"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43.jpeg"/>
                          <pic:cNvPicPr/>
                        </pic:nvPicPr>
                        <pic:blipFill>
                          <a:blip r:embed="rId55" cstate="print"/>
                          <a:stretch>
                            <a:fillRect/>
                          </a:stretch>
                        </pic:blipFill>
                        <pic:spPr>
                          <a:xfrm>
                            <a:off x="0" y="0"/>
                            <a:ext cx="313948" cy="313944"/>
                          </a:xfrm>
                          <a:prstGeom prst="rect">
                            <a:avLst/>
                          </a:prstGeom>
                        </pic:spPr>
                      </pic:pic>
                    </a:graphicData>
                  </a:graphic>
                </wp:inline>
              </w:drawing>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46"/>
              </w:numPr>
              <w:tabs>
                <w:tab w:val="left" w:pos="306"/>
              </w:tabs>
              <w:spacing w:before="70"/>
              <w:ind w:hanging="218"/>
              <w:rPr>
                <w:sz w:val="18"/>
              </w:rPr>
            </w:pPr>
            <w:r>
              <w:rPr>
                <w:color w:val="231F20"/>
                <w:sz w:val="18"/>
              </w:rPr>
              <w:t>Wet the floodplain to improve the health of the river red</w:t>
            </w:r>
            <w:r>
              <w:rPr>
                <w:color w:val="231F20"/>
                <w:spacing w:val="-11"/>
                <w:sz w:val="18"/>
              </w:rPr>
              <w:t xml:space="preserve"> </w:t>
            </w:r>
            <w:r>
              <w:rPr>
                <w:color w:val="231F20"/>
                <w:sz w:val="18"/>
              </w:rPr>
              <w:t>gum</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8F6EBD">
            <w:pPr>
              <w:pStyle w:val="TableParagraph"/>
              <w:ind w:left="170"/>
              <w:rPr>
                <w:sz w:val="20"/>
              </w:rPr>
            </w:pPr>
            <w:r>
              <w:rPr>
                <w:sz w:val="20"/>
              </w:rPr>
              <w:t xml:space="preserve">  </w:t>
            </w:r>
            <w:r w:rsidR="00BC7372">
              <w:rPr>
                <w:noProof/>
                <w:sz w:val="20"/>
              </w:rPr>
              <w:drawing>
                <wp:inline distT="0" distB="0" distL="0" distR="0">
                  <wp:extent cx="314168" cy="310895"/>
                  <wp:effectExtent l="0" t="0" r="0" b="0"/>
                  <wp:docPr id="190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r w:rsidR="006A7A3F">
        <w:trPr>
          <w:trHeight w:val="980"/>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66" w:right="104"/>
              <w:jc w:val="center"/>
              <w:rPr>
                <w:sz w:val="16"/>
              </w:rPr>
            </w:pPr>
            <w:r>
              <w:rPr>
                <w:color w:val="231F20"/>
                <w:sz w:val="16"/>
              </w:rPr>
              <w:t>Robertson Creek (fill in spring)</w:t>
            </w:r>
          </w:p>
          <w:p w:rsidR="006A7A3F" w:rsidRDefault="006A7A3F">
            <w:pPr>
              <w:pStyle w:val="TableParagraph"/>
              <w:spacing w:before="10"/>
              <w:ind w:left="0"/>
              <w:rPr>
                <w:b/>
                <w:sz w:val="9"/>
              </w:rPr>
            </w:pPr>
          </w:p>
          <w:p w:rsidR="006A7A3F" w:rsidRDefault="00BC7372">
            <w:pPr>
              <w:pStyle w:val="TableParagraph"/>
              <w:ind w:left="85"/>
              <w:rPr>
                <w:sz w:val="20"/>
              </w:rPr>
            </w:pPr>
            <w:r>
              <w:rPr>
                <w:noProof/>
                <w:sz w:val="20"/>
              </w:rPr>
              <w:drawing>
                <wp:inline distT="0" distB="0" distL="0" distR="0">
                  <wp:extent cx="313948" cy="313944"/>
                  <wp:effectExtent l="0" t="0" r="0" b="0"/>
                  <wp:docPr id="1907"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43.jpeg"/>
                          <pic:cNvPicPr/>
                        </pic:nvPicPr>
                        <pic:blipFill>
                          <a:blip r:embed="rId55" cstate="print"/>
                          <a:stretch>
                            <a:fillRect/>
                          </a:stretch>
                        </pic:blipFill>
                        <pic:spPr>
                          <a:xfrm>
                            <a:off x="0" y="0"/>
                            <a:ext cx="313948" cy="313944"/>
                          </a:xfrm>
                          <a:prstGeom prst="rect">
                            <a:avLst/>
                          </a:prstGeom>
                        </pic:spPr>
                      </pic:pic>
                    </a:graphicData>
                  </a:graphic>
                </wp:inline>
              </w:drawing>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45"/>
              </w:numPr>
              <w:tabs>
                <w:tab w:val="left" w:pos="306"/>
              </w:tabs>
              <w:spacing w:before="70" w:line="254" w:lineRule="auto"/>
              <w:ind w:right="164"/>
              <w:rPr>
                <w:sz w:val="18"/>
              </w:rPr>
            </w:pPr>
            <w:r>
              <w:rPr>
                <w:color w:val="231F20"/>
                <w:sz w:val="18"/>
              </w:rPr>
              <w:t>Fill the creek to wet the vegetation on the creek bed, banks and terraces to maintain the health and persistence of fringing black box and lignum communities</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8F6EBD">
            <w:pPr>
              <w:pStyle w:val="TableParagraph"/>
              <w:ind w:left="170"/>
              <w:rPr>
                <w:sz w:val="20"/>
              </w:rPr>
            </w:pPr>
            <w:r>
              <w:rPr>
                <w:sz w:val="20"/>
              </w:rPr>
              <w:t xml:space="preserve">  </w:t>
            </w:r>
            <w:r w:rsidR="00BC7372">
              <w:rPr>
                <w:noProof/>
                <w:sz w:val="20"/>
              </w:rPr>
              <w:drawing>
                <wp:inline distT="0" distB="0" distL="0" distR="0">
                  <wp:extent cx="314175" cy="310895"/>
                  <wp:effectExtent l="0" t="0" r="0" b="0"/>
                  <wp:docPr id="190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age21.jpeg"/>
                          <pic:cNvPicPr/>
                        </pic:nvPicPr>
                        <pic:blipFill>
                          <a:blip r:embed="rId33" cstate="print"/>
                          <a:stretch>
                            <a:fillRect/>
                          </a:stretch>
                        </pic:blipFill>
                        <pic:spPr>
                          <a:xfrm>
                            <a:off x="0" y="0"/>
                            <a:ext cx="314175" cy="310895"/>
                          </a:xfrm>
                          <a:prstGeom prst="rect">
                            <a:avLst/>
                          </a:prstGeom>
                        </pic:spPr>
                      </pic:pic>
                    </a:graphicData>
                  </a:graphic>
                </wp:inline>
              </w:drawing>
            </w:r>
          </w:p>
        </w:tc>
      </w:tr>
      <w:tr w:rsidR="006A7A3F">
        <w:trPr>
          <w:trHeight w:val="787"/>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583"/>
              <w:rPr>
                <w:sz w:val="16"/>
              </w:rPr>
            </w:pPr>
            <w:r>
              <w:rPr>
                <w:color w:val="231F20"/>
                <w:sz w:val="16"/>
              </w:rPr>
              <w:t>Neds Corner Woolshed (through-flow in spring)</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44"/>
              </w:numPr>
              <w:tabs>
                <w:tab w:val="left" w:pos="306"/>
              </w:tabs>
              <w:spacing w:before="70" w:line="254" w:lineRule="auto"/>
              <w:ind w:right="435"/>
              <w:jc w:val="both"/>
              <w:rPr>
                <w:sz w:val="18"/>
              </w:rPr>
            </w:pPr>
            <w:r>
              <w:rPr>
                <w:color w:val="231F20"/>
                <w:sz w:val="18"/>
              </w:rPr>
              <w:t>Slow through-flow to allow seepage and fill deeper holes, to maintain the health of the fringing red gum vegetation communities and water- dependent</w:t>
            </w:r>
            <w:r>
              <w:rPr>
                <w:color w:val="231F20"/>
                <w:spacing w:val="-2"/>
                <w:sz w:val="18"/>
              </w:rPr>
              <w:t xml:space="preserve"> </w:t>
            </w:r>
            <w:r>
              <w:rPr>
                <w:color w:val="231F20"/>
                <w:sz w:val="18"/>
              </w:rPr>
              <w:t>species</w:t>
            </w:r>
          </w:p>
        </w:tc>
        <w:tc>
          <w:tcPr>
            <w:tcW w:w="1558" w:type="dxa"/>
            <w:gridSpan w:val="2"/>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8F6EBD">
            <w:pPr>
              <w:pStyle w:val="TableParagraph"/>
              <w:ind w:left="170"/>
              <w:rPr>
                <w:sz w:val="20"/>
              </w:rPr>
            </w:pPr>
            <w:r>
              <w:rPr>
                <w:sz w:val="20"/>
              </w:rPr>
              <w:t xml:space="preserve">  </w:t>
            </w:r>
            <w:r w:rsidR="00BC7372">
              <w:rPr>
                <w:noProof/>
                <w:sz w:val="20"/>
              </w:rPr>
              <w:drawing>
                <wp:inline distT="0" distB="0" distL="0" distR="0">
                  <wp:extent cx="314168" cy="310896"/>
                  <wp:effectExtent l="0" t="0" r="0" b="0"/>
                  <wp:docPr id="191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787"/>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66" w:right="210"/>
              <w:jc w:val="center"/>
              <w:rPr>
                <w:sz w:val="16"/>
              </w:rPr>
            </w:pPr>
            <w:r>
              <w:rPr>
                <w:color w:val="231F20"/>
                <w:sz w:val="16"/>
              </w:rPr>
              <w:t>Bidgee lagoons (fill in spring)</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43"/>
              </w:numPr>
              <w:tabs>
                <w:tab w:val="left" w:pos="306"/>
              </w:tabs>
              <w:spacing w:before="70" w:line="254" w:lineRule="auto"/>
              <w:ind w:right="436"/>
              <w:rPr>
                <w:sz w:val="18"/>
              </w:rPr>
            </w:pPr>
            <w:r>
              <w:rPr>
                <w:color w:val="231F20"/>
                <w:sz w:val="18"/>
              </w:rPr>
              <w:t>Fill the wetlands to maintain the health of river red gum communities, promote emergent vegetation communities and provide habitat for waterbirds</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91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91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706"/>
        </w:trPr>
        <w:tc>
          <w:tcPr>
            <w:tcW w:w="2381" w:type="dxa"/>
          </w:tcPr>
          <w:p w:rsidR="006A7A3F" w:rsidRDefault="00BC7372">
            <w:pPr>
              <w:pStyle w:val="TableParagraph"/>
              <w:spacing w:before="67" w:line="261" w:lineRule="auto"/>
              <w:ind w:left="85" w:right="169"/>
              <w:rPr>
                <w:sz w:val="16"/>
              </w:rPr>
            </w:pPr>
            <w:r>
              <w:rPr>
                <w:color w:val="231F20"/>
                <w:sz w:val="16"/>
              </w:rPr>
              <w:t>Robertson Wetland (west) (partial fill in spring)</w:t>
            </w:r>
          </w:p>
        </w:tc>
        <w:tc>
          <w:tcPr>
            <w:tcW w:w="6236" w:type="dxa"/>
          </w:tcPr>
          <w:p w:rsidR="006A7A3F" w:rsidRDefault="00BC7372">
            <w:pPr>
              <w:pStyle w:val="TableParagraph"/>
              <w:numPr>
                <w:ilvl w:val="0"/>
                <w:numId w:val="342"/>
              </w:numPr>
              <w:tabs>
                <w:tab w:val="left" w:pos="306"/>
              </w:tabs>
              <w:spacing w:before="63" w:line="254" w:lineRule="auto"/>
              <w:ind w:right="227"/>
              <w:rPr>
                <w:sz w:val="18"/>
              </w:rPr>
            </w:pPr>
            <w:r>
              <w:rPr>
                <w:color w:val="231F20"/>
                <w:sz w:val="18"/>
              </w:rPr>
              <w:t>Partially fill the wetland to promote the growth of cane grass and</w:t>
            </w:r>
            <w:r>
              <w:rPr>
                <w:color w:val="231F20"/>
                <w:spacing w:val="-35"/>
                <w:sz w:val="18"/>
              </w:rPr>
              <w:t xml:space="preserve"> </w:t>
            </w:r>
            <w:r>
              <w:rPr>
                <w:color w:val="231F20"/>
                <w:sz w:val="18"/>
              </w:rPr>
              <w:t>lignum and provide habitat for</w:t>
            </w:r>
            <w:r>
              <w:rPr>
                <w:color w:val="231F20"/>
                <w:spacing w:val="-5"/>
                <w:sz w:val="18"/>
              </w:rPr>
              <w:t xml:space="preserve"> </w:t>
            </w:r>
            <w:r>
              <w:rPr>
                <w:color w:val="231F20"/>
                <w:sz w:val="18"/>
              </w:rPr>
              <w:t>waterbirds</w:t>
            </w:r>
          </w:p>
        </w:tc>
        <w:tc>
          <w:tcPr>
            <w:tcW w:w="850" w:type="dxa"/>
            <w:tcBorders>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91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left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91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706"/>
        </w:trPr>
        <w:tc>
          <w:tcPr>
            <w:tcW w:w="2381" w:type="dxa"/>
          </w:tcPr>
          <w:p w:rsidR="006A7A3F" w:rsidRDefault="00BC7372">
            <w:pPr>
              <w:pStyle w:val="TableParagraph"/>
              <w:spacing w:before="67"/>
              <w:ind w:left="85"/>
              <w:rPr>
                <w:sz w:val="16"/>
              </w:rPr>
            </w:pPr>
            <w:r>
              <w:rPr>
                <w:color w:val="231F20"/>
                <w:sz w:val="16"/>
              </w:rPr>
              <w:t>Fishers lagoons (fill in spring)</w:t>
            </w:r>
          </w:p>
        </w:tc>
        <w:tc>
          <w:tcPr>
            <w:tcW w:w="6236" w:type="dxa"/>
          </w:tcPr>
          <w:p w:rsidR="006A7A3F" w:rsidRDefault="00BC7372">
            <w:pPr>
              <w:pStyle w:val="TableParagraph"/>
              <w:numPr>
                <w:ilvl w:val="0"/>
                <w:numId w:val="341"/>
              </w:numPr>
              <w:tabs>
                <w:tab w:val="left" w:pos="306"/>
              </w:tabs>
              <w:spacing w:before="63" w:line="254" w:lineRule="auto"/>
              <w:ind w:right="995"/>
              <w:rPr>
                <w:sz w:val="18"/>
              </w:rPr>
            </w:pPr>
            <w:r>
              <w:rPr>
                <w:color w:val="231F20"/>
                <w:sz w:val="18"/>
              </w:rPr>
              <w:t>Fill the wetland to maintain the health of fringing river red gum communities</w:t>
            </w:r>
          </w:p>
        </w:tc>
        <w:tc>
          <w:tcPr>
            <w:tcW w:w="1558" w:type="dxa"/>
            <w:gridSpan w:val="2"/>
          </w:tcPr>
          <w:p w:rsidR="006A7A3F" w:rsidRDefault="006A7A3F">
            <w:pPr>
              <w:pStyle w:val="TableParagraph"/>
              <w:spacing w:before="9"/>
              <w:ind w:left="0"/>
              <w:rPr>
                <w:b/>
                <w:sz w:val="8"/>
              </w:rPr>
            </w:pPr>
          </w:p>
          <w:p w:rsidR="006A7A3F" w:rsidRDefault="008F6EBD">
            <w:pPr>
              <w:pStyle w:val="TableParagraph"/>
              <w:ind w:left="170"/>
              <w:rPr>
                <w:sz w:val="20"/>
              </w:rPr>
            </w:pPr>
            <w:r>
              <w:rPr>
                <w:sz w:val="20"/>
              </w:rPr>
              <w:t xml:space="preserve">  </w:t>
            </w:r>
            <w:r w:rsidR="00BC7372">
              <w:rPr>
                <w:noProof/>
                <w:sz w:val="20"/>
              </w:rPr>
              <w:drawing>
                <wp:inline distT="0" distB="0" distL="0" distR="0">
                  <wp:extent cx="314168" cy="310896"/>
                  <wp:effectExtent l="0" t="0" r="0" b="0"/>
                  <wp:docPr id="192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706"/>
        </w:trPr>
        <w:tc>
          <w:tcPr>
            <w:tcW w:w="2381" w:type="dxa"/>
          </w:tcPr>
          <w:p w:rsidR="006A7A3F" w:rsidRDefault="00BC7372">
            <w:pPr>
              <w:pStyle w:val="TableParagraph"/>
              <w:spacing w:before="67" w:line="261" w:lineRule="auto"/>
              <w:ind w:left="85" w:right="185"/>
              <w:rPr>
                <w:sz w:val="16"/>
              </w:rPr>
            </w:pPr>
            <w:r>
              <w:rPr>
                <w:color w:val="231F20"/>
                <w:sz w:val="16"/>
              </w:rPr>
              <w:t>Burra Creek South proper (fill in spring)</w:t>
            </w:r>
          </w:p>
        </w:tc>
        <w:tc>
          <w:tcPr>
            <w:tcW w:w="6236" w:type="dxa"/>
          </w:tcPr>
          <w:p w:rsidR="006A7A3F" w:rsidRDefault="00BC7372">
            <w:pPr>
              <w:pStyle w:val="TableParagraph"/>
              <w:numPr>
                <w:ilvl w:val="0"/>
                <w:numId w:val="340"/>
              </w:numPr>
              <w:tabs>
                <w:tab w:val="left" w:pos="306"/>
              </w:tabs>
              <w:spacing w:before="63"/>
              <w:ind w:hanging="218"/>
              <w:rPr>
                <w:sz w:val="18"/>
              </w:rPr>
            </w:pPr>
            <w:r>
              <w:rPr>
                <w:color w:val="231F20"/>
                <w:sz w:val="18"/>
              </w:rPr>
              <w:t>Fill the creek line to maintain the fringing river red gum</w:t>
            </w:r>
            <w:r>
              <w:rPr>
                <w:color w:val="231F20"/>
                <w:spacing w:val="-5"/>
                <w:sz w:val="18"/>
              </w:rPr>
              <w:t xml:space="preserve"> </w:t>
            </w:r>
            <w:r>
              <w:rPr>
                <w:color w:val="231F20"/>
                <w:sz w:val="18"/>
              </w:rPr>
              <w:t>communities</w:t>
            </w:r>
          </w:p>
        </w:tc>
        <w:tc>
          <w:tcPr>
            <w:tcW w:w="1558" w:type="dxa"/>
            <w:gridSpan w:val="2"/>
          </w:tcPr>
          <w:p w:rsidR="006A7A3F" w:rsidRDefault="006A7A3F">
            <w:pPr>
              <w:pStyle w:val="TableParagraph"/>
              <w:spacing w:before="9"/>
              <w:ind w:left="0"/>
              <w:rPr>
                <w:b/>
                <w:sz w:val="8"/>
              </w:rPr>
            </w:pPr>
          </w:p>
          <w:p w:rsidR="006A7A3F" w:rsidRDefault="008F6EBD">
            <w:pPr>
              <w:pStyle w:val="TableParagraph"/>
              <w:ind w:left="170"/>
              <w:rPr>
                <w:sz w:val="20"/>
              </w:rPr>
            </w:pPr>
            <w:r>
              <w:rPr>
                <w:sz w:val="20"/>
              </w:rPr>
              <w:t xml:space="preserve">  </w:t>
            </w:r>
            <w:r w:rsidR="00BC7372">
              <w:rPr>
                <w:noProof/>
                <w:sz w:val="20"/>
              </w:rPr>
              <w:drawing>
                <wp:inline distT="0" distB="0" distL="0" distR="0">
                  <wp:extent cx="314168" cy="310896"/>
                  <wp:effectExtent l="0" t="0" r="0" b="0"/>
                  <wp:docPr id="192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706"/>
        </w:trPr>
        <w:tc>
          <w:tcPr>
            <w:tcW w:w="2381" w:type="dxa"/>
          </w:tcPr>
          <w:p w:rsidR="006A7A3F" w:rsidRDefault="00BC7372">
            <w:pPr>
              <w:pStyle w:val="TableParagraph"/>
              <w:spacing w:before="67"/>
              <w:ind w:left="85"/>
              <w:rPr>
                <w:sz w:val="16"/>
              </w:rPr>
            </w:pPr>
            <w:r>
              <w:rPr>
                <w:color w:val="231F20"/>
                <w:sz w:val="16"/>
              </w:rPr>
              <w:t>Lake Powell (fill in spring)</w:t>
            </w:r>
          </w:p>
        </w:tc>
        <w:tc>
          <w:tcPr>
            <w:tcW w:w="6236" w:type="dxa"/>
          </w:tcPr>
          <w:p w:rsidR="006A7A3F" w:rsidRDefault="00BC7372">
            <w:pPr>
              <w:pStyle w:val="TableParagraph"/>
              <w:numPr>
                <w:ilvl w:val="0"/>
                <w:numId w:val="339"/>
              </w:numPr>
              <w:tabs>
                <w:tab w:val="left" w:pos="306"/>
              </w:tabs>
              <w:spacing w:before="63"/>
              <w:ind w:hanging="218"/>
              <w:rPr>
                <w:sz w:val="18"/>
              </w:rPr>
            </w:pPr>
            <w:r>
              <w:rPr>
                <w:color w:val="231F20"/>
                <w:sz w:val="18"/>
              </w:rPr>
              <w:t>Fill the lake to maintain the river red gum</w:t>
            </w:r>
            <w:r>
              <w:rPr>
                <w:color w:val="231F20"/>
                <w:spacing w:val="-4"/>
                <w:sz w:val="18"/>
              </w:rPr>
              <w:t xml:space="preserve"> </w:t>
            </w:r>
            <w:r>
              <w:rPr>
                <w:color w:val="231F20"/>
                <w:sz w:val="18"/>
              </w:rPr>
              <w:t>communities</w:t>
            </w:r>
          </w:p>
          <w:p w:rsidR="006A7A3F" w:rsidRDefault="00BC7372">
            <w:pPr>
              <w:pStyle w:val="TableParagraph"/>
              <w:numPr>
                <w:ilvl w:val="0"/>
                <w:numId w:val="339"/>
              </w:numPr>
              <w:tabs>
                <w:tab w:val="left" w:pos="306"/>
              </w:tabs>
              <w:spacing w:before="98"/>
              <w:ind w:hanging="218"/>
              <w:rPr>
                <w:sz w:val="18"/>
              </w:rPr>
            </w:pPr>
            <w:r>
              <w:rPr>
                <w:color w:val="231F20"/>
                <w:sz w:val="18"/>
              </w:rPr>
              <w:t>Improve nesting habitat for waterbirds in flooded trees bordering the</w:t>
            </w:r>
            <w:r>
              <w:rPr>
                <w:color w:val="231F20"/>
                <w:spacing w:val="-31"/>
                <w:sz w:val="18"/>
              </w:rPr>
              <w:t xml:space="preserve"> </w:t>
            </w:r>
            <w:r>
              <w:rPr>
                <w:color w:val="231F20"/>
                <w:sz w:val="18"/>
              </w:rPr>
              <w:t>lake</w:t>
            </w:r>
          </w:p>
        </w:tc>
        <w:tc>
          <w:tcPr>
            <w:tcW w:w="850" w:type="dxa"/>
            <w:tcBorders>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92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left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92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706"/>
        </w:trPr>
        <w:tc>
          <w:tcPr>
            <w:tcW w:w="2381" w:type="dxa"/>
          </w:tcPr>
          <w:p w:rsidR="006A7A3F" w:rsidRDefault="00BC7372">
            <w:pPr>
              <w:pStyle w:val="TableParagraph"/>
              <w:spacing w:before="67"/>
              <w:ind w:left="85"/>
              <w:rPr>
                <w:sz w:val="16"/>
              </w:rPr>
            </w:pPr>
            <w:r>
              <w:rPr>
                <w:color w:val="231F20"/>
                <w:sz w:val="16"/>
              </w:rPr>
              <w:t>Lake Carpul (fill in spring)</w:t>
            </w:r>
          </w:p>
        </w:tc>
        <w:tc>
          <w:tcPr>
            <w:tcW w:w="6236" w:type="dxa"/>
          </w:tcPr>
          <w:p w:rsidR="006A7A3F" w:rsidRDefault="00BC7372">
            <w:pPr>
              <w:pStyle w:val="TableParagraph"/>
              <w:numPr>
                <w:ilvl w:val="0"/>
                <w:numId w:val="338"/>
              </w:numPr>
              <w:tabs>
                <w:tab w:val="left" w:pos="306"/>
              </w:tabs>
              <w:spacing w:before="63"/>
              <w:ind w:hanging="218"/>
              <w:rPr>
                <w:sz w:val="18"/>
              </w:rPr>
            </w:pPr>
            <w:r>
              <w:rPr>
                <w:color w:val="231F20"/>
                <w:sz w:val="18"/>
              </w:rPr>
              <w:t>Fill the lakes to maintain the river red gum</w:t>
            </w:r>
            <w:r>
              <w:rPr>
                <w:color w:val="231F20"/>
                <w:spacing w:val="-4"/>
                <w:sz w:val="18"/>
              </w:rPr>
              <w:t xml:space="preserve"> </w:t>
            </w:r>
            <w:r>
              <w:rPr>
                <w:color w:val="231F20"/>
                <w:sz w:val="18"/>
              </w:rPr>
              <w:t>communities</w:t>
            </w:r>
          </w:p>
          <w:p w:rsidR="006A7A3F" w:rsidRDefault="00BC7372">
            <w:pPr>
              <w:pStyle w:val="TableParagraph"/>
              <w:numPr>
                <w:ilvl w:val="0"/>
                <w:numId w:val="338"/>
              </w:numPr>
              <w:tabs>
                <w:tab w:val="left" w:pos="306"/>
              </w:tabs>
              <w:spacing w:before="98"/>
              <w:ind w:hanging="218"/>
              <w:rPr>
                <w:sz w:val="18"/>
              </w:rPr>
            </w:pPr>
            <w:r>
              <w:rPr>
                <w:color w:val="231F20"/>
                <w:sz w:val="18"/>
              </w:rPr>
              <w:t>Improve nesting habitat for waterbirds in flooded trees bordering the</w:t>
            </w:r>
            <w:r>
              <w:rPr>
                <w:color w:val="231F20"/>
                <w:spacing w:val="-31"/>
                <w:sz w:val="18"/>
              </w:rPr>
              <w:t xml:space="preserve"> </w:t>
            </w:r>
            <w:r>
              <w:rPr>
                <w:color w:val="231F20"/>
                <w:sz w:val="18"/>
              </w:rPr>
              <w:t>lake</w:t>
            </w:r>
          </w:p>
        </w:tc>
        <w:tc>
          <w:tcPr>
            <w:tcW w:w="850" w:type="dxa"/>
            <w:tcBorders>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192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left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193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bl>
    <w:p w:rsidR="008F6EBD" w:rsidRDefault="008F6EBD">
      <w:pPr>
        <w:spacing w:before="30"/>
        <w:ind w:left="210"/>
        <w:rPr>
          <w:rFonts w:ascii="Helvetica Neue LT Std 75"/>
          <w:b/>
          <w:color w:val="231F20"/>
          <w:sz w:val="19"/>
        </w:rPr>
      </w:pPr>
    </w:p>
    <w:p w:rsidR="006A7A3F" w:rsidRDefault="00BC7372">
      <w:pPr>
        <w:spacing w:before="30"/>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5.2.13 outlines the potential environmental watering and expected water use under a range of planning scenarios.</w:t>
      </w:r>
    </w:p>
    <w:p w:rsidR="006A7A3F" w:rsidRDefault="00BC7372">
      <w:pPr>
        <w:pStyle w:val="BodyText"/>
        <w:spacing w:line="249" w:lineRule="auto"/>
        <w:ind w:right="330"/>
      </w:pPr>
      <w:r>
        <w:rPr>
          <w:color w:val="231F20"/>
        </w:rPr>
        <w:t>In the event of ongoing dry conditions, a modest watering program is proposed for the 2020–21 year. The highest priority under all scenarios is to ensure water and salinity levels at Brickworks Billabong, Lake Hawthorn and Koorlong Lake are suitable to protect the endangered Murray hardyhead. Lake Hawthorn and Koorlong Lake will likely require managed environmental water deliveries under all scenarios, but natural floods are likely to meet the required watering regime at Brickworks Billabong under a wet scenario. Maintaining varying levels of permanent water at these sites also provides shallow-water habitat for wading, feeding and loafing by small wading bird species and migratory birds.</w:t>
      </w:r>
    </w:p>
    <w:p w:rsidR="006A7A3F" w:rsidRDefault="00BC7372">
      <w:pPr>
        <w:pStyle w:val="BodyText"/>
        <w:spacing w:before="176" w:line="249" w:lineRule="auto"/>
        <w:ind w:right="241"/>
      </w:pPr>
      <w:r>
        <w:rPr>
          <w:color w:val="231F20"/>
        </w:rPr>
        <w:t>Under dry and average scenarios, additional priority sites include Robertson Creek, Neds Corner Woolshed Creek, Margooya Floodplain Wetland and the Bidgee lagoons (see the additional information below). The target water levels and volumes delivered to these sites may vary under each scenario depending on the available water, local rainfall and assessed environmental conditions. The rationale for watering these sites in 2020–21 is described below.</w:t>
      </w:r>
    </w:p>
    <w:p w:rsidR="006A7A3F" w:rsidRDefault="00BC7372">
      <w:pPr>
        <w:pStyle w:val="BodyText"/>
        <w:spacing w:before="174" w:line="249" w:lineRule="auto"/>
        <w:ind w:right="463"/>
      </w:pPr>
      <w:r>
        <w:rPr>
          <w:color w:val="231F20"/>
        </w:rPr>
        <w:t>Robertson Creek contains black box woodland and shrubby understory communities, which are currently in poor condition and considered to have a low resilience to ongoing drought. Watering at this site aims to improve the condition of these vegetation communities and help protect nearby areas of cultural significance.</w:t>
      </w:r>
    </w:p>
    <w:p w:rsidR="006A7A3F" w:rsidRDefault="00BC7372">
      <w:pPr>
        <w:pStyle w:val="BodyText"/>
        <w:spacing w:line="249" w:lineRule="auto"/>
        <w:ind w:right="189"/>
        <w:jc w:val="both"/>
      </w:pPr>
      <w:r>
        <w:rPr>
          <w:color w:val="231F20"/>
        </w:rPr>
        <w:t>Watering at Neds Corner Woolshed Creek in 2019–20 had a very positive effect on native plants and animals at the site. Follow-up watering in 2020–21 will help improve the condition of the low herb communities at the wetland base and the large old river red gums, and it will build their resilience.</w:t>
      </w:r>
    </w:p>
    <w:p w:rsidR="006A7A3F" w:rsidRDefault="00BC7372">
      <w:pPr>
        <w:pStyle w:val="BodyText"/>
        <w:spacing w:before="173" w:line="249" w:lineRule="auto"/>
        <w:ind w:right="388"/>
        <w:jc w:val="both"/>
      </w:pPr>
      <w:r>
        <w:rPr>
          <w:color w:val="231F20"/>
        </w:rPr>
        <w:t>Under dry and average scenarios, environmental water may be pumped from the Murray River into the Margooya floodplain wetland in autumn 2021 to improve the health of river red gum that haven’t been wetted since the 2016 floods. This watering will support Aboriginal cultural objectives at the site.</w:t>
      </w:r>
    </w:p>
    <w:p w:rsidR="006A7A3F" w:rsidRDefault="00BC7372">
      <w:pPr>
        <w:pStyle w:val="BodyText"/>
        <w:spacing w:line="249" w:lineRule="auto"/>
        <w:ind w:right="363"/>
      </w:pPr>
      <w:r>
        <w:rPr>
          <w:color w:val="231F20"/>
        </w:rPr>
        <w:t>The Bidgee lagoons support two water-dependent ecological vegetation classes (floodplain grassy wetland and riverine chenopod woodland) that are classified as endangered in the Murray Fans bioregion. The lagoons have received water four times in the last 10 years, but the duration of these natural events was relatively short and did not deliver the environmental benefit expected of longer-duration events. Vegetation in some parts of the lagoons is in moderate condition, but vegetation in other areas is in poor condition. Targeted environmental watering is planned under dry and average scenarios in 2020–21 to improve the condition of vegetation communities across the whole site.</w:t>
      </w:r>
    </w:p>
    <w:p w:rsidR="006A7A3F" w:rsidRDefault="00BC7372">
      <w:pPr>
        <w:pStyle w:val="BodyText"/>
        <w:spacing w:before="176" w:line="249" w:lineRule="auto"/>
        <w:ind w:right="574"/>
      </w:pPr>
      <w:r>
        <w:rPr>
          <w:color w:val="231F20"/>
        </w:rPr>
        <w:t>Under a wet scenario, many wetlands across the lower Murray floodplain are likely to be watered by natural floods and local rainfall. The only high-priority sites that are likely to require environmental water to meet their recommended watering regime under wet conditions are Lake Hawthorn, Koorlong Lake, Robertson Creek and Burra Creek South proper.</w:t>
      </w:r>
    </w:p>
    <w:p w:rsidR="006A7A3F" w:rsidRDefault="00BC7372">
      <w:pPr>
        <w:pStyle w:val="BodyText"/>
        <w:spacing w:before="174" w:line="249" w:lineRule="auto"/>
        <w:ind w:right="362"/>
      </w:pPr>
      <w:r>
        <w:rPr>
          <w:color w:val="231F20"/>
        </w:rPr>
        <w:t>Burra Creek South proper has received water only twice in the last 10 years, with environmental water delivered in 2013–14 and 2014–15; and it did not receive any flood water in 2016. The site contains lignum, red gum and black</w:t>
      </w:r>
      <w:r>
        <w:rPr>
          <w:color w:val="231F20"/>
          <w:spacing w:val="-5"/>
        </w:rPr>
        <w:t xml:space="preserve"> </w:t>
      </w:r>
      <w:r>
        <w:rPr>
          <w:color w:val="231F20"/>
        </w:rPr>
        <w:t>box</w:t>
      </w:r>
      <w:r>
        <w:rPr>
          <w:color w:val="231F20"/>
          <w:spacing w:val="-4"/>
        </w:rPr>
        <w:t xml:space="preserve"> </w:t>
      </w:r>
      <w:r>
        <w:rPr>
          <w:color w:val="231F20"/>
        </w:rPr>
        <w:t>communities</w:t>
      </w:r>
      <w:r>
        <w:rPr>
          <w:color w:val="231F20"/>
          <w:spacing w:val="-3"/>
        </w:rPr>
        <w:t xml:space="preserve"> </w:t>
      </w:r>
      <w:r>
        <w:rPr>
          <w:color w:val="231F20"/>
        </w:rPr>
        <w:t>and</w:t>
      </w:r>
      <w:r>
        <w:rPr>
          <w:color w:val="231F20"/>
          <w:spacing w:val="-4"/>
        </w:rPr>
        <w:t xml:space="preserve"> </w:t>
      </w:r>
      <w:r>
        <w:rPr>
          <w:color w:val="231F20"/>
        </w:rPr>
        <w:t>was</w:t>
      </w:r>
      <w:r>
        <w:rPr>
          <w:color w:val="231F20"/>
          <w:spacing w:val="-4"/>
        </w:rPr>
        <w:t xml:space="preserve"> </w:t>
      </w:r>
      <w:r>
        <w:rPr>
          <w:color w:val="231F20"/>
        </w:rPr>
        <w:t>last</w:t>
      </w:r>
      <w:r>
        <w:rPr>
          <w:color w:val="231F20"/>
          <w:spacing w:val="-4"/>
        </w:rPr>
        <w:t xml:space="preserve"> </w:t>
      </w:r>
      <w:r>
        <w:rPr>
          <w:color w:val="231F20"/>
        </w:rPr>
        <w:t>observed</w:t>
      </w:r>
      <w:r>
        <w:rPr>
          <w:color w:val="231F20"/>
          <w:spacing w:val="-4"/>
        </w:rPr>
        <w:t xml:space="preserve"> </w:t>
      </w:r>
      <w:r>
        <w:rPr>
          <w:color w:val="231F20"/>
        </w:rPr>
        <w:t>in</w:t>
      </w:r>
      <w:r>
        <w:rPr>
          <w:color w:val="231F20"/>
          <w:spacing w:val="-4"/>
        </w:rPr>
        <w:t xml:space="preserve"> </w:t>
      </w:r>
      <w:r>
        <w:rPr>
          <w:color w:val="231F20"/>
        </w:rPr>
        <w:t>2018</w:t>
      </w:r>
      <w:r>
        <w:rPr>
          <w:color w:val="231F20"/>
          <w:spacing w:val="-5"/>
        </w:rPr>
        <w:t xml:space="preserve"> </w:t>
      </w:r>
      <w:r>
        <w:rPr>
          <w:color w:val="231F20"/>
        </w:rPr>
        <w:t>as</w:t>
      </w:r>
      <w:r>
        <w:rPr>
          <w:color w:val="231F20"/>
          <w:spacing w:val="-4"/>
        </w:rPr>
        <w:t xml:space="preserve"> </w:t>
      </w:r>
      <w:r>
        <w:rPr>
          <w:color w:val="231F20"/>
        </w:rPr>
        <w:t>being</w:t>
      </w:r>
      <w:r>
        <w:rPr>
          <w:color w:val="231F20"/>
          <w:spacing w:val="-4"/>
        </w:rPr>
        <w:t xml:space="preserve"> </w:t>
      </w:r>
      <w:r>
        <w:rPr>
          <w:color w:val="231F20"/>
        </w:rPr>
        <w:t>in</w:t>
      </w:r>
      <w:r>
        <w:rPr>
          <w:color w:val="231F20"/>
          <w:spacing w:val="-4"/>
        </w:rPr>
        <w:t xml:space="preserve"> </w:t>
      </w:r>
      <w:r>
        <w:rPr>
          <w:color w:val="231F20"/>
        </w:rPr>
        <w:t>moderate</w:t>
      </w:r>
      <w:r>
        <w:rPr>
          <w:color w:val="231F20"/>
          <w:spacing w:val="-3"/>
        </w:rPr>
        <w:t xml:space="preserve"> </w:t>
      </w:r>
      <w:r>
        <w:rPr>
          <w:color w:val="231F20"/>
        </w:rPr>
        <w:t>condition.</w:t>
      </w:r>
      <w:r>
        <w:rPr>
          <w:color w:val="231F20"/>
          <w:spacing w:val="-3"/>
        </w:rPr>
        <w:t xml:space="preserve"> </w:t>
      </w:r>
      <w:r>
        <w:rPr>
          <w:color w:val="231F20"/>
        </w:rPr>
        <w:t>However,</w:t>
      </w:r>
      <w:r>
        <w:rPr>
          <w:color w:val="231F20"/>
          <w:spacing w:val="-3"/>
        </w:rPr>
        <w:t xml:space="preserve"> </w:t>
      </w:r>
      <w:r>
        <w:rPr>
          <w:color w:val="231F20"/>
        </w:rPr>
        <w:t>due</w:t>
      </w:r>
      <w:r>
        <w:rPr>
          <w:color w:val="231F20"/>
          <w:spacing w:val="-5"/>
        </w:rPr>
        <w:t xml:space="preserve"> </w:t>
      </w:r>
      <w:r>
        <w:rPr>
          <w:color w:val="231F20"/>
        </w:rPr>
        <w:t>to</w:t>
      </w:r>
      <w:r>
        <w:rPr>
          <w:color w:val="231F20"/>
          <w:spacing w:val="-3"/>
        </w:rPr>
        <w:t xml:space="preserve"> </w:t>
      </w:r>
      <w:r>
        <w:rPr>
          <w:color w:val="231F20"/>
        </w:rPr>
        <w:t>persistent dry conditions after 2016, the site is at risk of deterioration. A fill in spring would improve vegetation condition and provide habitat for waterbirds and</w:t>
      </w:r>
      <w:r>
        <w:rPr>
          <w:color w:val="231F20"/>
          <w:spacing w:val="-6"/>
        </w:rPr>
        <w:t xml:space="preserve"> </w:t>
      </w:r>
      <w:r>
        <w:rPr>
          <w:color w:val="231F20"/>
        </w:rPr>
        <w:t>waterbugs.</w:t>
      </w:r>
    </w:p>
    <w:p w:rsidR="006A7A3F" w:rsidRDefault="00BC7372">
      <w:pPr>
        <w:pStyle w:val="BodyText"/>
        <w:spacing w:before="174"/>
        <w:jc w:val="both"/>
      </w:pPr>
      <w:r>
        <w:rPr>
          <w:color w:val="231F20"/>
        </w:rPr>
        <w:t>If more water is available under average or wet conditions, it may be used to improve the condition of other sites</w:t>
      </w:r>
    </w:p>
    <w:p w:rsidR="006A7A3F" w:rsidRDefault="00BC7372">
      <w:pPr>
        <w:pStyle w:val="BodyText"/>
        <w:spacing w:before="70" w:line="249" w:lineRule="auto"/>
        <w:ind w:right="204"/>
      </w:pPr>
      <w:r>
        <w:rPr>
          <w:color w:val="231F20"/>
        </w:rPr>
        <w:t>on the lower Murray floodplain considered a lower priority. Under average conditions, extra water may be used at Robertson Wetland and Fishers lagoons. Under wet conditions, extra water may be used at Lake Powell and Lake Carpul. Watering these sites in 2020–21 if the opportunity arises will reduce the need to water them in the next one to two years if dry conditions return.</w:t>
      </w:r>
    </w:p>
    <w:p w:rsidR="006A7A3F" w:rsidRDefault="00BC7372">
      <w:pPr>
        <w:spacing w:before="168"/>
        <w:ind w:left="210"/>
        <w:rPr>
          <w:b/>
          <w:sz w:val="18"/>
        </w:rPr>
      </w:pPr>
      <w:r>
        <w:rPr>
          <w:b/>
          <w:color w:val="231F20"/>
          <w:sz w:val="18"/>
        </w:rPr>
        <w:t>Table 5.2.13 Potential environmental watering for the lower Murray wetlands under a range of planning scenarios</w:t>
      </w:r>
    </w:p>
    <w:p w:rsidR="006A7A3F" w:rsidRDefault="006A7A3F">
      <w:pPr>
        <w:pStyle w:val="BodyText"/>
        <w:spacing w:before="7"/>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701"/>
        <w:gridCol w:w="1984"/>
        <w:gridCol w:w="1984"/>
        <w:gridCol w:w="1984"/>
        <w:gridCol w:w="1984"/>
      </w:tblGrid>
      <w:tr w:rsidR="006A7A3F">
        <w:trPr>
          <w:trHeight w:val="587"/>
        </w:trPr>
        <w:tc>
          <w:tcPr>
            <w:tcW w:w="1701" w:type="dxa"/>
            <w:tcBorders>
              <w:top w:val="nil"/>
              <w:left w:val="nil"/>
              <w:bottom w:val="nil"/>
            </w:tcBorders>
            <w:shd w:val="clear" w:color="auto" w:fill="231F20"/>
          </w:tcPr>
          <w:p w:rsidR="006A7A3F" w:rsidRDefault="00BC7372">
            <w:pPr>
              <w:pStyle w:val="TableParagraph"/>
              <w:spacing w:before="80" w:line="254" w:lineRule="auto"/>
              <w:ind w:left="90" w:right="826"/>
              <w:rPr>
                <w:b/>
                <w:sz w:val="18"/>
              </w:rPr>
            </w:pPr>
            <w:r>
              <w:rPr>
                <w:b/>
                <w:color w:val="FFFFFF"/>
                <w:sz w:val="18"/>
              </w:rPr>
              <w:t>Planning scenario</w:t>
            </w:r>
          </w:p>
        </w:tc>
        <w:tc>
          <w:tcPr>
            <w:tcW w:w="1984"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1984"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Dry</w:t>
            </w:r>
          </w:p>
        </w:tc>
        <w:tc>
          <w:tcPr>
            <w:tcW w:w="1984"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Average</w:t>
            </w:r>
          </w:p>
        </w:tc>
        <w:tc>
          <w:tcPr>
            <w:tcW w:w="1984" w:type="dxa"/>
            <w:tcBorders>
              <w:top w:val="nil"/>
              <w:bottom w:val="nil"/>
              <w:right w:val="nil"/>
            </w:tcBorders>
            <w:shd w:val="clear" w:color="auto" w:fill="231F20"/>
          </w:tcPr>
          <w:p w:rsidR="006A7A3F" w:rsidRDefault="00BC7372">
            <w:pPr>
              <w:pStyle w:val="TableParagraph"/>
              <w:spacing w:before="80"/>
              <w:ind w:left="85"/>
              <w:rPr>
                <w:b/>
                <w:sz w:val="18"/>
              </w:rPr>
            </w:pPr>
            <w:r>
              <w:rPr>
                <w:b/>
                <w:color w:val="FFFFFF"/>
                <w:sz w:val="18"/>
              </w:rPr>
              <w:t>Wet</w:t>
            </w:r>
          </w:p>
        </w:tc>
      </w:tr>
      <w:tr w:rsidR="006A7A3F">
        <w:trPr>
          <w:trHeight w:val="4037"/>
        </w:trPr>
        <w:tc>
          <w:tcPr>
            <w:tcW w:w="1701"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563"/>
              <w:rPr>
                <w:sz w:val="16"/>
              </w:rPr>
            </w:pPr>
            <w:r>
              <w:rPr>
                <w:color w:val="231F20"/>
                <w:sz w:val="16"/>
              </w:rPr>
              <w:t>Expected river conditions</w:t>
            </w:r>
          </w:p>
        </w:tc>
        <w:tc>
          <w:tcPr>
            <w:tcW w:w="1984"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336"/>
              </w:numPr>
              <w:tabs>
                <w:tab w:val="left" w:pos="305"/>
              </w:tabs>
              <w:spacing w:before="70" w:line="254" w:lineRule="auto"/>
              <w:ind w:right="97"/>
              <w:rPr>
                <w:sz w:val="18"/>
              </w:rPr>
            </w:pPr>
            <w:r>
              <w:rPr>
                <w:color w:val="231F20"/>
                <w:sz w:val="18"/>
              </w:rPr>
              <w:t>No natural flow in the Murray River year-round and wetlands rely on delivery of water for the environment; very low rainfall year-round and extremely hot and dry conditions in summer/autumn causes substantial wetland</w:t>
            </w:r>
            <w:r>
              <w:rPr>
                <w:color w:val="231F20"/>
                <w:spacing w:val="-3"/>
                <w:sz w:val="18"/>
              </w:rPr>
              <w:t xml:space="preserve"> </w:t>
            </w:r>
            <w:r>
              <w:rPr>
                <w:color w:val="231F20"/>
                <w:sz w:val="18"/>
              </w:rPr>
              <w:t>drying</w:t>
            </w:r>
          </w:p>
        </w:tc>
        <w:tc>
          <w:tcPr>
            <w:tcW w:w="1984" w:type="dxa"/>
            <w:tcBorders>
              <w:top w:val="nil"/>
              <w:left w:val="single" w:sz="4" w:space="0" w:color="231F20"/>
              <w:bottom w:val="single" w:sz="4" w:space="0" w:color="231F20"/>
              <w:right w:val="single" w:sz="4" w:space="0" w:color="231F20"/>
            </w:tcBorders>
          </w:tcPr>
          <w:p w:rsidR="006A7A3F" w:rsidRDefault="00BC7372" w:rsidP="00833C84">
            <w:pPr>
              <w:pStyle w:val="TableParagraph"/>
              <w:numPr>
                <w:ilvl w:val="0"/>
                <w:numId w:val="335"/>
              </w:numPr>
              <w:tabs>
                <w:tab w:val="left" w:pos="306"/>
              </w:tabs>
              <w:spacing w:before="70" w:line="254" w:lineRule="auto"/>
              <w:ind w:right="226"/>
              <w:rPr>
                <w:sz w:val="18"/>
              </w:rPr>
            </w:pPr>
            <w:r>
              <w:rPr>
                <w:color w:val="231F20"/>
                <w:sz w:val="18"/>
              </w:rPr>
              <w:t>Short periods of high flow in the Murray River are possible, however overbank</w:t>
            </w:r>
            <w:r>
              <w:rPr>
                <w:color w:val="231F20"/>
                <w:spacing w:val="-3"/>
                <w:sz w:val="18"/>
              </w:rPr>
              <w:t xml:space="preserve"> </w:t>
            </w:r>
            <w:r>
              <w:rPr>
                <w:color w:val="231F20"/>
                <w:sz w:val="18"/>
              </w:rPr>
              <w:t>flows</w:t>
            </w:r>
            <w:r w:rsidR="00833C84">
              <w:rPr>
                <w:color w:val="231F20"/>
                <w:sz w:val="18"/>
              </w:rPr>
              <w:t xml:space="preserve"> </w:t>
            </w:r>
            <w:r>
              <w:rPr>
                <w:color w:val="231F20"/>
                <w:sz w:val="18"/>
              </w:rPr>
              <w:t>to wetlands are unlikely; low rainfall and very warm summer/autumn</w:t>
            </w:r>
          </w:p>
        </w:tc>
        <w:tc>
          <w:tcPr>
            <w:tcW w:w="1984" w:type="dxa"/>
            <w:tcBorders>
              <w:top w:val="nil"/>
              <w:left w:val="single" w:sz="4" w:space="0" w:color="231F20"/>
              <w:bottom w:val="single" w:sz="4" w:space="0" w:color="231F20"/>
              <w:right w:val="single" w:sz="4" w:space="0" w:color="231F20"/>
            </w:tcBorders>
          </w:tcPr>
          <w:p w:rsidR="006A7A3F" w:rsidRPr="00833C84" w:rsidRDefault="00BC7372" w:rsidP="00833C84">
            <w:pPr>
              <w:pStyle w:val="TableParagraph"/>
              <w:numPr>
                <w:ilvl w:val="0"/>
                <w:numId w:val="334"/>
              </w:numPr>
              <w:tabs>
                <w:tab w:val="left" w:pos="306"/>
              </w:tabs>
              <w:spacing w:before="5" w:line="254" w:lineRule="auto"/>
              <w:ind w:right="88"/>
              <w:rPr>
                <w:sz w:val="18"/>
              </w:rPr>
            </w:pPr>
            <w:r w:rsidRPr="00833C84">
              <w:rPr>
                <w:color w:val="231F20"/>
                <w:sz w:val="18"/>
              </w:rPr>
              <w:t>Sustained periods of high flow in the Murray River in late winter and early spring may wet some low-lying wetlands but most wetlands will</w:t>
            </w:r>
            <w:r w:rsidRPr="00833C84">
              <w:rPr>
                <w:color w:val="231F20"/>
                <w:spacing w:val="-6"/>
                <w:sz w:val="18"/>
              </w:rPr>
              <w:t xml:space="preserve"> </w:t>
            </w:r>
            <w:r w:rsidRPr="00833C84">
              <w:rPr>
                <w:color w:val="231F20"/>
                <w:sz w:val="18"/>
              </w:rPr>
              <w:t>rely</w:t>
            </w:r>
            <w:r w:rsidR="00833C84" w:rsidRPr="00833C84">
              <w:rPr>
                <w:color w:val="231F20"/>
                <w:sz w:val="18"/>
              </w:rPr>
              <w:t xml:space="preserve"> </w:t>
            </w:r>
            <w:r w:rsidRPr="00833C84">
              <w:rPr>
                <w:color w:val="231F20"/>
                <w:sz w:val="18"/>
              </w:rPr>
              <w:t>on delivery of water for the environment</w:t>
            </w:r>
          </w:p>
          <w:p w:rsidR="006A7A3F" w:rsidRDefault="00BC7372">
            <w:pPr>
              <w:pStyle w:val="TableParagraph"/>
              <w:numPr>
                <w:ilvl w:val="0"/>
                <w:numId w:val="334"/>
              </w:numPr>
              <w:tabs>
                <w:tab w:val="left" w:pos="306"/>
              </w:tabs>
              <w:spacing w:before="86" w:line="254" w:lineRule="auto"/>
              <w:ind w:right="86"/>
              <w:rPr>
                <w:sz w:val="18"/>
              </w:rPr>
            </w:pPr>
            <w:r>
              <w:rPr>
                <w:color w:val="231F20"/>
                <w:sz w:val="18"/>
              </w:rPr>
              <w:t>Local rainfall may be high and</w:t>
            </w:r>
            <w:r>
              <w:rPr>
                <w:color w:val="231F20"/>
                <w:spacing w:val="-15"/>
                <w:sz w:val="18"/>
              </w:rPr>
              <w:t xml:space="preserve"> </w:t>
            </w:r>
            <w:r>
              <w:rPr>
                <w:color w:val="231F20"/>
                <w:sz w:val="18"/>
              </w:rPr>
              <w:t>provide run-off to some wetlands</w:t>
            </w:r>
          </w:p>
        </w:tc>
        <w:tc>
          <w:tcPr>
            <w:tcW w:w="1984"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333"/>
              </w:numPr>
              <w:tabs>
                <w:tab w:val="left" w:pos="306"/>
              </w:tabs>
              <w:spacing w:before="70" w:line="254" w:lineRule="auto"/>
              <w:ind w:right="75"/>
              <w:rPr>
                <w:sz w:val="18"/>
              </w:rPr>
            </w:pPr>
            <w:r>
              <w:rPr>
                <w:color w:val="231F20"/>
                <w:sz w:val="18"/>
              </w:rPr>
              <w:t>Lengthy periods of high flow and floods with major spills from storages, resulting in widespread wetting of the floodplain and most</w:t>
            </w:r>
            <w:r>
              <w:rPr>
                <w:color w:val="231F20"/>
                <w:spacing w:val="-6"/>
                <w:sz w:val="18"/>
              </w:rPr>
              <w:t xml:space="preserve"> </w:t>
            </w:r>
            <w:r>
              <w:rPr>
                <w:color w:val="231F20"/>
                <w:sz w:val="18"/>
              </w:rPr>
              <w:t>wetlands</w:t>
            </w:r>
          </w:p>
          <w:p w:rsidR="006A7A3F" w:rsidRDefault="00BC7372">
            <w:pPr>
              <w:pStyle w:val="TableParagraph"/>
              <w:numPr>
                <w:ilvl w:val="0"/>
                <w:numId w:val="333"/>
              </w:numPr>
              <w:tabs>
                <w:tab w:val="left" w:pos="306"/>
              </w:tabs>
              <w:spacing w:before="90" w:line="254" w:lineRule="auto"/>
              <w:ind w:right="415"/>
              <w:rPr>
                <w:sz w:val="18"/>
              </w:rPr>
            </w:pPr>
            <w:r>
              <w:rPr>
                <w:color w:val="231F20"/>
                <w:sz w:val="18"/>
              </w:rPr>
              <w:t>Some reliance on water for the environment to achieve target water</w:t>
            </w:r>
            <w:r>
              <w:rPr>
                <w:color w:val="231F20"/>
                <w:spacing w:val="-3"/>
                <w:sz w:val="18"/>
              </w:rPr>
              <w:t xml:space="preserve"> </w:t>
            </w:r>
            <w:r>
              <w:rPr>
                <w:color w:val="231F20"/>
                <w:sz w:val="18"/>
              </w:rPr>
              <w:t>levels</w:t>
            </w:r>
          </w:p>
          <w:p w:rsidR="006A7A3F" w:rsidRDefault="00BC7372">
            <w:pPr>
              <w:pStyle w:val="TableParagraph"/>
              <w:numPr>
                <w:ilvl w:val="0"/>
                <w:numId w:val="333"/>
              </w:numPr>
              <w:tabs>
                <w:tab w:val="left" w:pos="306"/>
              </w:tabs>
              <w:spacing w:before="88" w:line="254" w:lineRule="auto"/>
              <w:ind w:right="266"/>
              <w:rPr>
                <w:sz w:val="18"/>
              </w:rPr>
            </w:pPr>
            <w:r>
              <w:rPr>
                <w:color w:val="231F20"/>
                <w:sz w:val="18"/>
              </w:rPr>
              <w:t xml:space="preserve">Local rainfall </w:t>
            </w:r>
            <w:r>
              <w:rPr>
                <w:color w:val="231F20"/>
                <w:spacing w:val="-4"/>
                <w:sz w:val="18"/>
              </w:rPr>
              <w:t xml:space="preserve">may </w:t>
            </w:r>
            <w:r>
              <w:rPr>
                <w:color w:val="231F20"/>
                <w:sz w:val="18"/>
              </w:rPr>
              <w:t>be high and will provide run-off to most</w:t>
            </w:r>
            <w:r>
              <w:rPr>
                <w:color w:val="231F20"/>
                <w:spacing w:val="-2"/>
                <w:sz w:val="18"/>
              </w:rPr>
              <w:t xml:space="preserve"> </w:t>
            </w:r>
            <w:r>
              <w:rPr>
                <w:color w:val="231F20"/>
                <w:sz w:val="18"/>
              </w:rPr>
              <w:t>wetlands</w:t>
            </w:r>
          </w:p>
        </w:tc>
      </w:tr>
      <w:tr w:rsidR="006A7A3F">
        <w:trPr>
          <w:trHeight w:val="2838"/>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02"/>
              <w:rPr>
                <w:sz w:val="9"/>
              </w:rPr>
            </w:pPr>
            <w:r>
              <w:rPr>
                <w:color w:val="231F20"/>
                <w:sz w:val="16"/>
              </w:rPr>
              <w:t>Potential environmental watering – tier 1 (high priorities)</w:t>
            </w:r>
            <w:r>
              <w:rPr>
                <w:color w:val="231F20"/>
                <w:position w:val="5"/>
                <w:sz w:val="9"/>
              </w:rPr>
              <w:t>1,2</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32"/>
              </w:numPr>
              <w:tabs>
                <w:tab w:val="left" w:pos="305"/>
              </w:tabs>
              <w:spacing w:before="70" w:line="254" w:lineRule="auto"/>
              <w:ind w:right="797"/>
              <w:rPr>
                <w:sz w:val="18"/>
              </w:rPr>
            </w:pPr>
            <w:r>
              <w:rPr>
                <w:color w:val="231F20"/>
                <w:sz w:val="18"/>
              </w:rPr>
              <w:t>Brickworks Billabong</w:t>
            </w:r>
          </w:p>
          <w:p w:rsidR="006A7A3F" w:rsidRDefault="00BC7372">
            <w:pPr>
              <w:pStyle w:val="TableParagraph"/>
              <w:numPr>
                <w:ilvl w:val="0"/>
                <w:numId w:val="332"/>
              </w:numPr>
              <w:tabs>
                <w:tab w:val="left" w:pos="305"/>
              </w:tabs>
              <w:spacing w:before="87"/>
              <w:rPr>
                <w:sz w:val="18"/>
              </w:rPr>
            </w:pPr>
            <w:r>
              <w:rPr>
                <w:color w:val="231F20"/>
                <w:sz w:val="18"/>
              </w:rPr>
              <w:t>Lake</w:t>
            </w:r>
            <w:r>
              <w:rPr>
                <w:color w:val="231F20"/>
                <w:spacing w:val="-3"/>
                <w:sz w:val="18"/>
              </w:rPr>
              <w:t xml:space="preserve"> </w:t>
            </w:r>
            <w:r>
              <w:rPr>
                <w:color w:val="231F20"/>
                <w:sz w:val="18"/>
              </w:rPr>
              <w:t>Hawthorn</w:t>
            </w:r>
          </w:p>
          <w:p w:rsidR="006A7A3F" w:rsidRDefault="00BC7372">
            <w:pPr>
              <w:pStyle w:val="TableParagraph"/>
              <w:numPr>
                <w:ilvl w:val="0"/>
                <w:numId w:val="332"/>
              </w:numPr>
              <w:tabs>
                <w:tab w:val="left" w:pos="305"/>
              </w:tabs>
              <w:spacing w:before="98"/>
              <w:rPr>
                <w:sz w:val="18"/>
              </w:rPr>
            </w:pPr>
            <w:r>
              <w:rPr>
                <w:color w:val="231F20"/>
                <w:sz w:val="18"/>
              </w:rPr>
              <w:t>Koorlong</w:t>
            </w:r>
            <w:r>
              <w:rPr>
                <w:color w:val="231F20"/>
                <w:spacing w:val="-1"/>
                <w:sz w:val="18"/>
              </w:rPr>
              <w:t xml:space="preserve"> </w:t>
            </w:r>
            <w:r>
              <w:rPr>
                <w:color w:val="231F20"/>
                <w:sz w:val="18"/>
              </w:rPr>
              <w:t>Lake</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31"/>
              </w:numPr>
              <w:tabs>
                <w:tab w:val="left" w:pos="306"/>
              </w:tabs>
              <w:spacing w:before="70" w:line="254" w:lineRule="auto"/>
              <w:ind w:right="796"/>
              <w:rPr>
                <w:sz w:val="18"/>
              </w:rPr>
            </w:pPr>
            <w:r>
              <w:rPr>
                <w:color w:val="231F20"/>
                <w:sz w:val="18"/>
              </w:rPr>
              <w:t>Brickworks Billabong</w:t>
            </w:r>
          </w:p>
          <w:p w:rsidR="006A7A3F" w:rsidRDefault="00BC7372">
            <w:pPr>
              <w:pStyle w:val="TableParagraph"/>
              <w:numPr>
                <w:ilvl w:val="0"/>
                <w:numId w:val="331"/>
              </w:numPr>
              <w:tabs>
                <w:tab w:val="left" w:pos="306"/>
              </w:tabs>
              <w:spacing w:before="87"/>
              <w:ind w:hanging="218"/>
              <w:rPr>
                <w:sz w:val="18"/>
              </w:rPr>
            </w:pPr>
            <w:r>
              <w:rPr>
                <w:color w:val="231F20"/>
                <w:sz w:val="18"/>
              </w:rPr>
              <w:t>Lake</w:t>
            </w:r>
            <w:r>
              <w:rPr>
                <w:color w:val="231F20"/>
                <w:spacing w:val="-3"/>
                <w:sz w:val="18"/>
              </w:rPr>
              <w:t xml:space="preserve"> </w:t>
            </w:r>
            <w:r>
              <w:rPr>
                <w:color w:val="231F20"/>
                <w:sz w:val="18"/>
              </w:rPr>
              <w:t>Hawthorn</w:t>
            </w:r>
          </w:p>
          <w:p w:rsidR="006A7A3F" w:rsidRDefault="00BC7372">
            <w:pPr>
              <w:pStyle w:val="TableParagraph"/>
              <w:numPr>
                <w:ilvl w:val="0"/>
                <w:numId w:val="331"/>
              </w:numPr>
              <w:tabs>
                <w:tab w:val="left" w:pos="306"/>
              </w:tabs>
              <w:spacing w:before="98"/>
              <w:ind w:hanging="218"/>
              <w:rPr>
                <w:sz w:val="18"/>
              </w:rPr>
            </w:pPr>
            <w:r>
              <w:rPr>
                <w:color w:val="231F20"/>
                <w:sz w:val="18"/>
              </w:rPr>
              <w:t>Koorlong</w:t>
            </w:r>
            <w:r>
              <w:rPr>
                <w:color w:val="231F20"/>
                <w:spacing w:val="-4"/>
                <w:sz w:val="18"/>
              </w:rPr>
              <w:t xml:space="preserve"> </w:t>
            </w:r>
            <w:r>
              <w:rPr>
                <w:color w:val="231F20"/>
                <w:sz w:val="18"/>
              </w:rPr>
              <w:t>Lake</w:t>
            </w:r>
          </w:p>
          <w:p w:rsidR="006A7A3F" w:rsidRDefault="00BC7372">
            <w:pPr>
              <w:pStyle w:val="TableParagraph"/>
              <w:numPr>
                <w:ilvl w:val="0"/>
                <w:numId w:val="331"/>
              </w:numPr>
              <w:tabs>
                <w:tab w:val="left" w:pos="306"/>
              </w:tabs>
              <w:spacing w:before="98" w:line="254" w:lineRule="auto"/>
              <w:ind w:right="226"/>
              <w:rPr>
                <w:sz w:val="18"/>
              </w:rPr>
            </w:pPr>
            <w:r>
              <w:rPr>
                <w:color w:val="231F20"/>
                <w:sz w:val="18"/>
              </w:rPr>
              <w:t>Margooya floodplain</w:t>
            </w:r>
            <w:r>
              <w:rPr>
                <w:color w:val="231F20"/>
                <w:spacing w:val="2"/>
                <w:sz w:val="18"/>
              </w:rPr>
              <w:t xml:space="preserve"> </w:t>
            </w:r>
            <w:r>
              <w:rPr>
                <w:color w:val="231F20"/>
                <w:spacing w:val="-3"/>
                <w:sz w:val="18"/>
              </w:rPr>
              <w:t>wetland</w:t>
            </w:r>
          </w:p>
          <w:p w:rsidR="006A7A3F" w:rsidRDefault="00BC7372">
            <w:pPr>
              <w:pStyle w:val="TableParagraph"/>
              <w:numPr>
                <w:ilvl w:val="0"/>
                <w:numId w:val="331"/>
              </w:numPr>
              <w:tabs>
                <w:tab w:val="left" w:pos="306"/>
              </w:tabs>
              <w:spacing w:before="86"/>
              <w:ind w:hanging="218"/>
              <w:rPr>
                <w:sz w:val="18"/>
              </w:rPr>
            </w:pPr>
            <w:r>
              <w:rPr>
                <w:color w:val="231F20"/>
                <w:sz w:val="18"/>
              </w:rPr>
              <w:t>Robertson</w:t>
            </w:r>
            <w:r>
              <w:rPr>
                <w:color w:val="231F20"/>
                <w:spacing w:val="-3"/>
                <w:sz w:val="18"/>
              </w:rPr>
              <w:t xml:space="preserve"> </w:t>
            </w:r>
            <w:r>
              <w:rPr>
                <w:color w:val="231F20"/>
                <w:sz w:val="18"/>
              </w:rPr>
              <w:t>Creek</w:t>
            </w:r>
          </w:p>
          <w:p w:rsidR="006A7A3F" w:rsidRDefault="00BC7372">
            <w:pPr>
              <w:pStyle w:val="TableParagraph"/>
              <w:numPr>
                <w:ilvl w:val="0"/>
                <w:numId w:val="331"/>
              </w:numPr>
              <w:tabs>
                <w:tab w:val="left" w:pos="306"/>
              </w:tabs>
              <w:spacing w:before="98" w:line="254" w:lineRule="auto"/>
              <w:ind w:right="340"/>
              <w:rPr>
                <w:sz w:val="18"/>
              </w:rPr>
            </w:pPr>
            <w:r>
              <w:rPr>
                <w:color w:val="231F20"/>
                <w:sz w:val="18"/>
              </w:rPr>
              <w:t>Neds Corner Woolshed</w:t>
            </w:r>
            <w:r>
              <w:rPr>
                <w:color w:val="231F20"/>
                <w:spacing w:val="-13"/>
                <w:sz w:val="18"/>
              </w:rPr>
              <w:t xml:space="preserve"> </w:t>
            </w:r>
            <w:r>
              <w:rPr>
                <w:color w:val="231F20"/>
                <w:sz w:val="18"/>
              </w:rPr>
              <w:t>Creek</w:t>
            </w:r>
          </w:p>
          <w:p w:rsidR="006A7A3F" w:rsidRDefault="00BC7372">
            <w:pPr>
              <w:pStyle w:val="TableParagraph"/>
              <w:numPr>
                <w:ilvl w:val="0"/>
                <w:numId w:val="331"/>
              </w:numPr>
              <w:tabs>
                <w:tab w:val="left" w:pos="306"/>
              </w:tabs>
              <w:spacing w:before="86"/>
              <w:ind w:hanging="218"/>
              <w:rPr>
                <w:sz w:val="18"/>
              </w:rPr>
            </w:pPr>
            <w:r>
              <w:rPr>
                <w:color w:val="231F20"/>
                <w:sz w:val="18"/>
              </w:rPr>
              <w:t>Bidgee</w:t>
            </w:r>
            <w:r>
              <w:rPr>
                <w:color w:val="231F20"/>
                <w:spacing w:val="-1"/>
                <w:sz w:val="18"/>
              </w:rPr>
              <w:t xml:space="preserve"> </w:t>
            </w:r>
            <w:r>
              <w:rPr>
                <w:color w:val="231F20"/>
                <w:sz w:val="18"/>
              </w:rPr>
              <w:t>lagoons</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30"/>
              </w:numPr>
              <w:tabs>
                <w:tab w:val="left" w:pos="306"/>
              </w:tabs>
              <w:spacing w:before="70" w:line="254" w:lineRule="auto"/>
              <w:ind w:right="796"/>
              <w:rPr>
                <w:sz w:val="18"/>
              </w:rPr>
            </w:pPr>
            <w:r>
              <w:rPr>
                <w:color w:val="231F20"/>
                <w:sz w:val="18"/>
              </w:rPr>
              <w:t>Brickworks Billabong</w:t>
            </w:r>
          </w:p>
          <w:p w:rsidR="006A7A3F" w:rsidRDefault="00BC7372">
            <w:pPr>
              <w:pStyle w:val="TableParagraph"/>
              <w:numPr>
                <w:ilvl w:val="0"/>
                <w:numId w:val="330"/>
              </w:numPr>
              <w:tabs>
                <w:tab w:val="left" w:pos="306"/>
              </w:tabs>
              <w:spacing w:before="87"/>
              <w:ind w:hanging="218"/>
              <w:rPr>
                <w:sz w:val="18"/>
              </w:rPr>
            </w:pPr>
            <w:r>
              <w:rPr>
                <w:color w:val="231F20"/>
                <w:sz w:val="18"/>
              </w:rPr>
              <w:t>Lake</w:t>
            </w:r>
            <w:r>
              <w:rPr>
                <w:color w:val="231F20"/>
                <w:spacing w:val="-3"/>
                <w:sz w:val="18"/>
              </w:rPr>
              <w:t xml:space="preserve"> </w:t>
            </w:r>
            <w:r>
              <w:rPr>
                <w:color w:val="231F20"/>
                <w:sz w:val="18"/>
              </w:rPr>
              <w:t>Hawthorn</w:t>
            </w:r>
          </w:p>
          <w:p w:rsidR="006A7A3F" w:rsidRDefault="00BC7372">
            <w:pPr>
              <w:pStyle w:val="TableParagraph"/>
              <w:numPr>
                <w:ilvl w:val="0"/>
                <w:numId w:val="330"/>
              </w:numPr>
              <w:tabs>
                <w:tab w:val="left" w:pos="306"/>
              </w:tabs>
              <w:spacing w:before="98"/>
              <w:ind w:hanging="218"/>
              <w:rPr>
                <w:sz w:val="18"/>
              </w:rPr>
            </w:pPr>
            <w:r>
              <w:rPr>
                <w:color w:val="231F20"/>
                <w:sz w:val="18"/>
              </w:rPr>
              <w:t>Koorlong</w:t>
            </w:r>
            <w:r>
              <w:rPr>
                <w:color w:val="231F20"/>
                <w:spacing w:val="-1"/>
                <w:sz w:val="18"/>
              </w:rPr>
              <w:t xml:space="preserve"> </w:t>
            </w:r>
            <w:r>
              <w:rPr>
                <w:color w:val="231F20"/>
                <w:sz w:val="18"/>
              </w:rPr>
              <w:t>Lake</w:t>
            </w:r>
          </w:p>
          <w:p w:rsidR="006A7A3F" w:rsidRDefault="00BC7372">
            <w:pPr>
              <w:pStyle w:val="TableParagraph"/>
              <w:numPr>
                <w:ilvl w:val="0"/>
                <w:numId w:val="330"/>
              </w:numPr>
              <w:tabs>
                <w:tab w:val="left" w:pos="306"/>
              </w:tabs>
              <w:spacing w:before="98" w:line="254" w:lineRule="auto"/>
              <w:ind w:right="128"/>
              <w:rPr>
                <w:sz w:val="18"/>
              </w:rPr>
            </w:pPr>
            <w:r>
              <w:rPr>
                <w:color w:val="231F20"/>
                <w:sz w:val="18"/>
              </w:rPr>
              <w:t>Margooya Floodplain</w:t>
            </w:r>
            <w:r>
              <w:rPr>
                <w:color w:val="231F20"/>
                <w:spacing w:val="-9"/>
                <w:sz w:val="18"/>
              </w:rPr>
              <w:t xml:space="preserve"> </w:t>
            </w:r>
            <w:r>
              <w:rPr>
                <w:color w:val="231F20"/>
                <w:sz w:val="18"/>
              </w:rPr>
              <w:t>Wetland</w:t>
            </w:r>
          </w:p>
          <w:p w:rsidR="006A7A3F" w:rsidRDefault="00BC7372">
            <w:pPr>
              <w:pStyle w:val="TableParagraph"/>
              <w:numPr>
                <w:ilvl w:val="0"/>
                <w:numId w:val="330"/>
              </w:numPr>
              <w:tabs>
                <w:tab w:val="left" w:pos="306"/>
              </w:tabs>
              <w:spacing w:before="86"/>
              <w:ind w:hanging="218"/>
              <w:rPr>
                <w:sz w:val="18"/>
              </w:rPr>
            </w:pPr>
            <w:r>
              <w:rPr>
                <w:color w:val="231F20"/>
                <w:sz w:val="18"/>
              </w:rPr>
              <w:t>Robertson</w:t>
            </w:r>
            <w:r>
              <w:rPr>
                <w:color w:val="231F20"/>
                <w:spacing w:val="-3"/>
                <w:sz w:val="18"/>
              </w:rPr>
              <w:t xml:space="preserve"> </w:t>
            </w:r>
            <w:r>
              <w:rPr>
                <w:color w:val="231F20"/>
                <w:sz w:val="18"/>
              </w:rPr>
              <w:t>Creek</w:t>
            </w:r>
          </w:p>
          <w:p w:rsidR="006A7A3F" w:rsidRDefault="00BC7372">
            <w:pPr>
              <w:pStyle w:val="TableParagraph"/>
              <w:numPr>
                <w:ilvl w:val="0"/>
                <w:numId w:val="330"/>
              </w:numPr>
              <w:tabs>
                <w:tab w:val="left" w:pos="306"/>
              </w:tabs>
              <w:spacing w:before="98" w:line="254" w:lineRule="auto"/>
              <w:ind w:right="341"/>
              <w:rPr>
                <w:sz w:val="18"/>
              </w:rPr>
            </w:pPr>
            <w:r>
              <w:rPr>
                <w:color w:val="231F20"/>
                <w:sz w:val="18"/>
              </w:rPr>
              <w:t>Neds Corner Woolshed</w:t>
            </w:r>
            <w:r>
              <w:rPr>
                <w:color w:val="231F20"/>
                <w:spacing w:val="-13"/>
                <w:sz w:val="18"/>
              </w:rPr>
              <w:t xml:space="preserve"> </w:t>
            </w:r>
            <w:r>
              <w:rPr>
                <w:color w:val="231F20"/>
                <w:sz w:val="18"/>
              </w:rPr>
              <w:t>Creek</w:t>
            </w:r>
          </w:p>
          <w:p w:rsidR="006A7A3F" w:rsidRDefault="00BC7372">
            <w:pPr>
              <w:pStyle w:val="TableParagraph"/>
              <w:numPr>
                <w:ilvl w:val="0"/>
                <w:numId w:val="330"/>
              </w:numPr>
              <w:tabs>
                <w:tab w:val="left" w:pos="306"/>
              </w:tabs>
              <w:spacing w:before="86"/>
              <w:ind w:hanging="218"/>
              <w:rPr>
                <w:sz w:val="18"/>
              </w:rPr>
            </w:pPr>
            <w:r>
              <w:rPr>
                <w:color w:val="231F20"/>
                <w:sz w:val="18"/>
              </w:rPr>
              <w:t>Bidgee</w:t>
            </w:r>
            <w:r>
              <w:rPr>
                <w:color w:val="231F20"/>
                <w:spacing w:val="-1"/>
                <w:sz w:val="18"/>
              </w:rPr>
              <w:t xml:space="preserve"> </w:t>
            </w:r>
            <w:r>
              <w:rPr>
                <w:color w:val="231F20"/>
                <w:sz w:val="18"/>
              </w:rPr>
              <w:t>lagoons</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9"/>
              </w:numPr>
              <w:tabs>
                <w:tab w:val="left" w:pos="306"/>
              </w:tabs>
              <w:spacing w:before="70"/>
              <w:rPr>
                <w:sz w:val="18"/>
              </w:rPr>
            </w:pPr>
            <w:r>
              <w:rPr>
                <w:color w:val="231F20"/>
                <w:sz w:val="18"/>
              </w:rPr>
              <w:t>Lake</w:t>
            </w:r>
            <w:r>
              <w:rPr>
                <w:color w:val="231F20"/>
                <w:spacing w:val="-3"/>
                <w:sz w:val="18"/>
              </w:rPr>
              <w:t xml:space="preserve"> </w:t>
            </w:r>
            <w:r>
              <w:rPr>
                <w:color w:val="231F20"/>
                <w:sz w:val="18"/>
              </w:rPr>
              <w:t>Hawthorn</w:t>
            </w:r>
          </w:p>
          <w:p w:rsidR="006A7A3F" w:rsidRDefault="00BC7372">
            <w:pPr>
              <w:pStyle w:val="TableParagraph"/>
              <w:numPr>
                <w:ilvl w:val="0"/>
                <w:numId w:val="329"/>
              </w:numPr>
              <w:tabs>
                <w:tab w:val="left" w:pos="306"/>
              </w:tabs>
              <w:spacing w:before="98"/>
              <w:rPr>
                <w:sz w:val="18"/>
              </w:rPr>
            </w:pPr>
            <w:r>
              <w:rPr>
                <w:color w:val="231F20"/>
                <w:sz w:val="18"/>
              </w:rPr>
              <w:t>Koorlong</w:t>
            </w:r>
            <w:r>
              <w:rPr>
                <w:color w:val="231F20"/>
                <w:spacing w:val="-1"/>
                <w:sz w:val="18"/>
              </w:rPr>
              <w:t xml:space="preserve"> </w:t>
            </w:r>
            <w:r>
              <w:rPr>
                <w:color w:val="231F20"/>
                <w:sz w:val="18"/>
              </w:rPr>
              <w:t>Lake</w:t>
            </w:r>
          </w:p>
          <w:p w:rsidR="006A7A3F" w:rsidRDefault="00BC7372">
            <w:pPr>
              <w:pStyle w:val="TableParagraph"/>
              <w:numPr>
                <w:ilvl w:val="0"/>
                <w:numId w:val="329"/>
              </w:numPr>
              <w:tabs>
                <w:tab w:val="left" w:pos="306"/>
              </w:tabs>
              <w:spacing w:before="98"/>
              <w:rPr>
                <w:sz w:val="18"/>
              </w:rPr>
            </w:pPr>
            <w:r>
              <w:rPr>
                <w:color w:val="231F20"/>
                <w:sz w:val="18"/>
              </w:rPr>
              <w:t>Robertson</w:t>
            </w:r>
            <w:r>
              <w:rPr>
                <w:color w:val="231F20"/>
                <w:spacing w:val="-3"/>
                <w:sz w:val="18"/>
              </w:rPr>
              <w:t xml:space="preserve"> </w:t>
            </w:r>
            <w:r>
              <w:rPr>
                <w:color w:val="231F20"/>
                <w:sz w:val="18"/>
              </w:rPr>
              <w:t>Creek</w:t>
            </w:r>
          </w:p>
          <w:p w:rsidR="006A7A3F" w:rsidRDefault="00BC7372">
            <w:pPr>
              <w:pStyle w:val="TableParagraph"/>
              <w:numPr>
                <w:ilvl w:val="0"/>
                <w:numId w:val="329"/>
              </w:numPr>
              <w:tabs>
                <w:tab w:val="left" w:pos="306"/>
              </w:tabs>
              <w:spacing w:before="98" w:line="254" w:lineRule="auto"/>
              <w:ind w:right="175"/>
              <w:rPr>
                <w:sz w:val="18"/>
              </w:rPr>
            </w:pPr>
            <w:r>
              <w:rPr>
                <w:color w:val="231F20"/>
                <w:sz w:val="18"/>
              </w:rPr>
              <w:t xml:space="preserve">Burra Creek </w:t>
            </w:r>
            <w:r>
              <w:rPr>
                <w:color w:val="231F20"/>
                <w:spacing w:val="-3"/>
                <w:sz w:val="18"/>
              </w:rPr>
              <w:t xml:space="preserve">South </w:t>
            </w:r>
            <w:r>
              <w:rPr>
                <w:color w:val="231F20"/>
                <w:sz w:val="18"/>
              </w:rPr>
              <w:t>proper</w:t>
            </w:r>
          </w:p>
        </w:tc>
      </w:tr>
      <w:tr w:rsidR="006A7A3F">
        <w:trPr>
          <w:trHeight w:val="9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5"/>
              <w:rPr>
                <w:sz w:val="16"/>
              </w:rPr>
            </w:pPr>
            <w:r>
              <w:rPr>
                <w:color w:val="231F20"/>
                <w:sz w:val="16"/>
              </w:rPr>
              <w:t>Potential environmental watering – tier 2 (additional priorities)</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8"/>
              </w:numPr>
              <w:tabs>
                <w:tab w:val="left" w:pos="305"/>
              </w:tabs>
              <w:spacing w:before="70"/>
              <w:rPr>
                <w:sz w:val="18"/>
              </w:rPr>
            </w:pPr>
            <w:r>
              <w:rPr>
                <w:color w:val="231F20"/>
                <w:sz w:val="18"/>
              </w:rPr>
              <w:t>n/a</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7"/>
              </w:numPr>
              <w:tabs>
                <w:tab w:val="left" w:pos="306"/>
              </w:tabs>
              <w:spacing w:before="70"/>
              <w:ind w:hanging="218"/>
              <w:rPr>
                <w:sz w:val="18"/>
              </w:rPr>
            </w:pPr>
            <w:r>
              <w:rPr>
                <w:color w:val="231F20"/>
                <w:sz w:val="18"/>
              </w:rPr>
              <w:t>n/a</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6"/>
              </w:numPr>
              <w:tabs>
                <w:tab w:val="left" w:pos="306"/>
              </w:tabs>
              <w:spacing w:before="70" w:line="254" w:lineRule="auto"/>
              <w:ind w:right="129"/>
              <w:rPr>
                <w:sz w:val="18"/>
              </w:rPr>
            </w:pPr>
            <w:r>
              <w:rPr>
                <w:color w:val="231F20"/>
                <w:sz w:val="18"/>
              </w:rPr>
              <w:t>Robertson</w:t>
            </w:r>
            <w:r>
              <w:rPr>
                <w:color w:val="231F20"/>
                <w:spacing w:val="-15"/>
                <w:sz w:val="18"/>
              </w:rPr>
              <w:t xml:space="preserve"> </w:t>
            </w:r>
            <w:r>
              <w:rPr>
                <w:color w:val="231F20"/>
                <w:sz w:val="18"/>
              </w:rPr>
              <w:t>Wetland (west)</w:t>
            </w:r>
          </w:p>
          <w:p w:rsidR="006A7A3F" w:rsidRDefault="00BC7372">
            <w:pPr>
              <w:pStyle w:val="TableParagraph"/>
              <w:numPr>
                <w:ilvl w:val="0"/>
                <w:numId w:val="326"/>
              </w:numPr>
              <w:tabs>
                <w:tab w:val="left" w:pos="306"/>
              </w:tabs>
              <w:spacing w:before="87"/>
              <w:ind w:hanging="218"/>
              <w:rPr>
                <w:sz w:val="18"/>
              </w:rPr>
            </w:pPr>
            <w:r>
              <w:rPr>
                <w:color w:val="231F20"/>
                <w:sz w:val="18"/>
              </w:rPr>
              <w:t>Fishers</w:t>
            </w:r>
            <w:r>
              <w:rPr>
                <w:color w:val="231F20"/>
                <w:spacing w:val="-1"/>
                <w:sz w:val="18"/>
              </w:rPr>
              <w:t xml:space="preserve"> </w:t>
            </w:r>
            <w:r>
              <w:rPr>
                <w:color w:val="231F20"/>
                <w:sz w:val="18"/>
              </w:rPr>
              <w:t>lagoons</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5"/>
              </w:numPr>
              <w:tabs>
                <w:tab w:val="left" w:pos="306"/>
              </w:tabs>
              <w:spacing w:before="70"/>
              <w:rPr>
                <w:sz w:val="18"/>
              </w:rPr>
            </w:pPr>
            <w:r>
              <w:rPr>
                <w:color w:val="231F20"/>
                <w:sz w:val="18"/>
              </w:rPr>
              <w:t>Lake</w:t>
            </w:r>
            <w:r>
              <w:rPr>
                <w:color w:val="231F20"/>
                <w:spacing w:val="-4"/>
                <w:sz w:val="18"/>
              </w:rPr>
              <w:t xml:space="preserve"> </w:t>
            </w:r>
            <w:r>
              <w:rPr>
                <w:color w:val="231F20"/>
                <w:sz w:val="18"/>
              </w:rPr>
              <w:t>Powell</w:t>
            </w:r>
          </w:p>
          <w:p w:rsidR="006A7A3F" w:rsidRDefault="00BC7372">
            <w:pPr>
              <w:pStyle w:val="TableParagraph"/>
              <w:numPr>
                <w:ilvl w:val="0"/>
                <w:numId w:val="325"/>
              </w:numPr>
              <w:tabs>
                <w:tab w:val="left" w:pos="306"/>
              </w:tabs>
              <w:spacing w:before="98"/>
              <w:rPr>
                <w:sz w:val="18"/>
              </w:rPr>
            </w:pPr>
            <w:r>
              <w:rPr>
                <w:color w:val="231F20"/>
                <w:sz w:val="18"/>
              </w:rPr>
              <w:t>Lake</w:t>
            </w:r>
            <w:r>
              <w:rPr>
                <w:color w:val="231F20"/>
                <w:spacing w:val="-10"/>
                <w:sz w:val="18"/>
              </w:rPr>
              <w:t xml:space="preserve"> </w:t>
            </w:r>
            <w:r>
              <w:rPr>
                <w:color w:val="231F20"/>
                <w:sz w:val="18"/>
              </w:rPr>
              <w:t>Carpul</w:t>
            </w:r>
          </w:p>
        </w:tc>
      </w:tr>
      <w:tr w:rsidR="006A7A3F">
        <w:trPr>
          <w:trHeight w:val="933"/>
        </w:trPr>
        <w:tc>
          <w:tcPr>
            <w:tcW w:w="170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5"/>
              <w:rPr>
                <w:sz w:val="9"/>
              </w:rPr>
            </w:pPr>
            <w:r>
              <w:rPr>
                <w:color w:val="231F20"/>
                <w:sz w:val="16"/>
              </w:rPr>
              <w:t>Possible volume of environmental water required to achieve objectives</w:t>
            </w:r>
            <w:r>
              <w:rPr>
                <w:color w:val="231F20"/>
                <w:position w:val="5"/>
                <w:sz w:val="9"/>
              </w:rPr>
              <w:t>3</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4"/>
              </w:numPr>
              <w:tabs>
                <w:tab w:val="left" w:pos="305"/>
              </w:tabs>
              <w:spacing w:before="70"/>
              <w:rPr>
                <w:sz w:val="18"/>
              </w:rPr>
            </w:pPr>
            <w:r>
              <w:rPr>
                <w:color w:val="231F20"/>
                <w:sz w:val="18"/>
              </w:rPr>
              <w:t>1,970 ML (tier</w:t>
            </w:r>
            <w:r>
              <w:rPr>
                <w:color w:val="231F20"/>
                <w:spacing w:val="-10"/>
                <w:sz w:val="18"/>
              </w:rPr>
              <w:t xml:space="preserve"> </w:t>
            </w:r>
            <w:r>
              <w:rPr>
                <w:color w:val="231F20"/>
                <w:sz w:val="18"/>
              </w:rPr>
              <w:t>1)</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3"/>
              </w:numPr>
              <w:tabs>
                <w:tab w:val="left" w:pos="306"/>
              </w:tabs>
              <w:spacing w:before="70"/>
              <w:ind w:hanging="218"/>
              <w:rPr>
                <w:sz w:val="18"/>
              </w:rPr>
            </w:pPr>
            <w:r>
              <w:rPr>
                <w:color w:val="231F20"/>
                <w:sz w:val="18"/>
              </w:rPr>
              <w:t>3,555 ML (tier</w:t>
            </w:r>
            <w:r>
              <w:rPr>
                <w:color w:val="231F20"/>
                <w:spacing w:val="-10"/>
                <w:sz w:val="18"/>
              </w:rPr>
              <w:t xml:space="preserve"> </w:t>
            </w:r>
            <w:r>
              <w:rPr>
                <w:color w:val="231F20"/>
                <w:sz w:val="18"/>
              </w:rPr>
              <w:t>1)</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2"/>
              </w:numPr>
              <w:tabs>
                <w:tab w:val="left" w:pos="306"/>
              </w:tabs>
              <w:spacing w:before="70"/>
              <w:ind w:hanging="218"/>
              <w:rPr>
                <w:sz w:val="18"/>
              </w:rPr>
            </w:pPr>
            <w:r>
              <w:rPr>
                <w:color w:val="231F20"/>
                <w:sz w:val="18"/>
              </w:rPr>
              <w:t>3,835 ML (tier</w:t>
            </w:r>
            <w:r>
              <w:rPr>
                <w:color w:val="231F20"/>
                <w:spacing w:val="-10"/>
                <w:sz w:val="18"/>
              </w:rPr>
              <w:t xml:space="preserve"> </w:t>
            </w:r>
            <w:r>
              <w:rPr>
                <w:color w:val="231F20"/>
                <w:sz w:val="18"/>
              </w:rPr>
              <w:t>1)</w:t>
            </w:r>
          </w:p>
          <w:p w:rsidR="006A7A3F" w:rsidRDefault="00BC7372">
            <w:pPr>
              <w:pStyle w:val="TableParagraph"/>
              <w:numPr>
                <w:ilvl w:val="0"/>
                <w:numId w:val="322"/>
              </w:numPr>
              <w:tabs>
                <w:tab w:val="left" w:pos="306"/>
              </w:tabs>
              <w:spacing w:before="98"/>
              <w:ind w:hanging="218"/>
              <w:rPr>
                <w:sz w:val="18"/>
              </w:rPr>
            </w:pPr>
            <w:r>
              <w:rPr>
                <w:color w:val="231F20"/>
                <w:sz w:val="18"/>
              </w:rPr>
              <w:t>710 ML (tier</w:t>
            </w:r>
            <w:r>
              <w:rPr>
                <w:color w:val="231F20"/>
                <w:spacing w:val="-9"/>
                <w:sz w:val="18"/>
              </w:rPr>
              <w:t xml:space="preserve"> </w:t>
            </w:r>
            <w:r>
              <w:rPr>
                <w:color w:val="231F20"/>
                <w:sz w:val="18"/>
              </w:rPr>
              <w:t>2)</w:t>
            </w:r>
          </w:p>
        </w:tc>
        <w:tc>
          <w:tcPr>
            <w:tcW w:w="1984"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21"/>
              </w:numPr>
              <w:tabs>
                <w:tab w:val="left" w:pos="306"/>
              </w:tabs>
              <w:spacing w:before="70"/>
              <w:rPr>
                <w:sz w:val="18"/>
              </w:rPr>
            </w:pPr>
            <w:r>
              <w:rPr>
                <w:color w:val="231F20"/>
                <w:sz w:val="18"/>
              </w:rPr>
              <w:t>2,200 ML (tier</w:t>
            </w:r>
            <w:r>
              <w:rPr>
                <w:color w:val="231F20"/>
                <w:spacing w:val="-14"/>
                <w:sz w:val="18"/>
              </w:rPr>
              <w:t xml:space="preserve"> </w:t>
            </w:r>
            <w:r>
              <w:rPr>
                <w:color w:val="231F20"/>
                <w:sz w:val="18"/>
              </w:rPr>
              <w:t>1)</w:t>
            </w:r>
          </w:p>
          <w:p w:rsidR="006A7A3F" w:rsidRDefault="00BC7372">
            <w:pPr>
              <w:pStyle w:val="TableParagraph"/>
              <w:numPr>
                <w:ilvl w:val="0"/>
                <w:numId w:val="321"/>
              </w:numPr>
              <w:tabs>
                <w:tab w:val="left" w:pos="306"/>
              </w:tabs>
              <w:spacing w:before="98"/>
              <w:rPr>
                <w:sz w:val="18"/>
              </w:rPr>
            </w:pPr>
            <w:r>
              <w:rPr>
                <w:color w:val="231F20"/>
                <w:sz w:val="18"/>
              </w:rPr>
              <w:t>6,200 ML (tier</w:t>
            </w:r>
            <w:r>
              <w:rPr>
                <w:color w:val="231F20"/>
                <w:spacing w:val="-14"/>
                <w:sz w:val="18"/>
              </w:rPr>
              <w:t xml:space="preserve"> </w:t>
            </w:r>
            <w:r>
              <w:rPr>
                <w:color w:val="231F20"/>
                <w:sz w:val="18"/>
              </w:rPr>
              <w:t>2)</w:t>
            </w:r>
          </w:p>
        </w:tc>
      </w:tr>
    </w:tbl>
    <w:p w:rsidR="006A7A3F" w:rsidRDefault="00BC7372">
      <w:pPr>
        <w:pStyle w:val="ListParagraph"/>
        <w:numPr>
          <w:ilvl w:val="0"/>
          <w:numId w:val="337"/>
        </w:numPr>
        <w:tabs>
          <w:tab w:val="left" w:pos="324"/>
        </w:tabs>
        <w:spacing w:before="23" w:line="266" w:lineRule="auto"/>
        <w:ind w:right="572"/>
        <w:rPr>
          <w:sz w:val="14"/>
        </w:rPr>
      </w:pPr>
      <w:r>
        <w:rPr>
          <w:color w:val="231F20"/>
          <w:sz w:val="14"/>
        </w:rPr>
        <w:t>Tier 1 potential environmental watering at the lower Murray wetlands is not classified as tier 1a or 1b because the water available for use is shared across various systems and it is not possible to reliably determine the supply specifically available for the lower Murray</w:t>
      </w:r>
      <w:r>
        <w:rPr>
          <w:color w:val="231F20"/>
          <w:spacing w:val="27"/>
          <w:sz w:val="14"/>
        </w:rPr>
        <w:t xml:space="preserve"> </w:t>
      </w:r>
      <w:r>
        <w:rPr>
          <w:color w:val="231F20"/>
          <w:sz w:val="14"/>
        </w:rPr>
        <w:t>wetlands.</w:t>
      </w:r>
    </w:p>
    <w:p w:rsidR="006A7A3F" w:rsidRDefault="00BC7372">
      <w:pPr>
        <w:pStyle w:val="ListParagraph"/>
        <w:numPr>
          <w:ilvl w:val="0"/>
          <w:numId w:val="337"/>
        </w:numPr>
        <w:tabs>
          <w:tab w:val="left" w:pos="324"/>
        </w:tabs>
        <w:spacing w:before="56"/>
        <w:rPr>
          <w:sz w:val="14"/>
        </w:rPr>
      </w:pPr>
      <w:r>
        <w:rPr>
          <w:color w:val="231F20"/>
          <w:sz w:val="14"/>
        </w:rPr>
        <w:t xml:space="preserve">Wetlands are listed in </w:t>
      </w:r>
      <w:r>
        <w:rPr>
          <w:color w:val="231F20"/>
          <w:spacing w:val="2"/>
          <w:sz w:val="14"/>
        </w:rPr>
        <w:t xml:space="preserve">priority </w:t>
      </w:r>
      <w:r>
        <w:rPr>
          <w:color w:val="231F20"/>
          <w:sz w:val="14"/>
        </w:rPr>
        <w:t>order for tier 1 and tier 2 under all</w:t>
      </w:r>
      <w:r>
        <w:rPr>
          <w:color w:val="231F20"/>
          <w:spacing w:val="-3"/>
          <w:sz w:val="14"/>
        </w:rPr>
        <w:t xml:space="preserve"> </w:t>
      </w:r>
      <w:r>
        <w:rPr>
          <w:color w:val="231F20"/>
          <w:sz w:val="14"/>
        </w:rPr>
        <w:t>scenarios.</w:t>
      </w:r>
    </w:p>
    <w:p w:rsidR="006A7A3F" w:rsidRDefault="00BC7372">
      <w:pPr>
        <w:pStyle w:val="ListParagraph"/>
        <w:numPr>
          <w:ilvl w:val="0"/>
          <w:numId w:val="337"/>
        </w:numPr>
        <w:tabs>
          <w:tab w:val="left" w:pos="324"/>
        </w:tabs>
        <w:spacing w:before="73"/>
        <w:rPr>
          <w:sz w:val="14"/>
        </w:rPr>
      </w:pPr>
      <w:r>
        <w:rPr>
          <w:color w:val="231F20"/>
          <w:sz w:val="14"/>
        </w:rPr>
        <w:t>Environmental water requirements for tier 2 actions are additional to tier 1</w:t>
      </w:r>
      <w:r>
        <w:rPr>
          <w:color w:val="231F20"/>
          <w:spacing w:val="3"/>
          <w:sz w:val="14"/>
        </w:rPr>
        <w:t xml:space="preserve"> </w:t>
      </w:r>
      <w:r>
        <w:rPr>
          <w:color w:val="231F20"/>
          <w:sz w:val="14"/>
        </w:rPr>
        <w:t>requirements</w:t>
      </w:r>
    </w:p>
    <w:p w:rsidR="008F6EBD" w:rsidRDefault="008F6EBD">
      <w:pPr>
        <w:rPr>
          <w:sz w:val="13"/>
          <w:szCs w:val="20"/>
        </w:rPr>
      </w:pPr>
      <w:r>
        <w:rPr>
          <w:sz w:val="13"/>
        </w:rPr>
        <w:br w:type="page"/>
      </w:r>
    </w:p>
    <w:p w:rsidR="006A7A3F" w:rsidRDefault="00BC7372">
      <w:pPr>
        <w:pStyle w:val="Heading5"/>
        <w:numPr>
          <w:ilvl w:val="2"/>
          <w:numId w:val="577"/>
        </w:numPr>
        <w:tabs>
          <w:tab w:val="left" w:pos="811"/>
        </w:tabs>
        <w:rPr>
          <w:color w:val="231F20"/>
        </w:rPr>
      </w:pPr>
      <w:r>
        <w:rPr>
          <w:color w:val="231F20"/>
          <w:spacing w:val="-3"/>
        </w:rPr>
        <w:t xml:space="preserve">Lindsay, </w:t>
      </w:r>
      <w:r>
        <w:rPr>
          <w:color w:val="231F20"/>
        </w:rPr>
        <w:t>Mulcra and Wallpolla</w:t>
      </w:r>
      <w:r>
        <w:rPr>
          <w:color w:val="231F20"/>
          <w:spacing w:val="2"/>
        </w:rPr>
        <w:t xml:space="preserve"> </w:t>
      </w:r>
      <w:r>
        <w:rPr>
          <w:color w:val="231F20"/>
        </w:rPr>
        <w:t>islands</w:t>
      </w:r>
    </w:p>
    <w:p w:rsidR="006A7A3F" w:rsidRDefault="00BC7372">
      <w:pPr>
        <w:spacing w:before="178"/>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pPr>
      <w:r>
        <w:rPr>
          <w:color w:val="231F20"/>
        </w:rPr>
        <w:t>Lindsay, Mulcra and Wallpolla islands cover over 26,100 ha of Victorian floodplain in the Murray-Sunset National Park, as Figure 5.2.5 shows. They form part of the Chowilla Floodplain and Lindsay-Wallpolla islands icon site that straddles the Victoria–SA border in the mid-Murray River system.</w:t>
      </w:r>
    </w:p>
    <w:p w:rsidR="006A7A3F" w:rsidRDefault="006A7A3F">
      <w:pPr>
        <w:pStyle w:val="BodyText"/>
        <w:spacing w:before="8"/>
        <w:ind w:left="0"/>
        <w:rPr>
          <w:sz w:val="21"/>
        </w:rPr>
      </w:pPr>
    </w:p>
    <w:p w:rsidR="006A7A3F" w:rsidRDefault="00BC7372">
      <w:pPr>
        <w:pStyle w:val="BodyText"/>
        <w:spacing w:before="0" w:line="249" w:lineRule="auto"/>
        <w:ind w:right="278"/>
        <w:jc w:val="both"/>
      </w:pPr>
      <w:r>
        <w:rPr>
          <w:color w:val="231F20"/>
        </w:rPr>
        <w:t xml:space="preserve">The </w:t>
      </w:r>
      <w:r>
        <w:rPr>
          <w:color w:val="231F20"/>
          <w:spacing w:val="-3"/>
        </w:rPr>
        <w:t xml:space="preserve">Lindsay, </w:t>
      </w:r>
      <w:r>
        <w:rPr>
          <w:color w:val="231F20"/>
        </w:rPr>
        <w:t xml:space="preserve">Mulcra and Wallpolla islands floodplain is characterised by a network of permanent waterways, small creeks and wetlands. The Lindsay </w:t>
      </w:r>
      <w:r>
        <w:rPr>
          <w:color w:val="231F20"/>
          <w:spacing w:val="-3"/>
        </w:rPr>
        <w:t xml:space="preserve">River, </w:t>
      </w:r>
      <w:r>
        <w:rPr>
          <w:color w:val="231F20"/>
        </w:rPr>
        <w:t>Potterwalkagee Creek and Wallpolla Creek form the southern boundaries of the site and create large floodplain islands with the Murray River to the north.</w:t>
      </w:r>
    </w:p>
    <w:p w:rsidR="006A7A3F" w:rsidRDefault="00BC7372" w:rsidP="008F6EBD">
      <w:pPr>
        <w:pStyle w:val="BodyText"/>
        <w:spacing w:before="173" w:line="249" w:lineRule="auto"/>
        <w:ind w:right="255"/>
        <w:jc w:val="both"/>
      </w:pPr>
      <w:r>
        <w:rPr>
          <w:color w:val="231F20"/>
        </w:rPr>
        <w:t xml:space="preserve">In their natural state, these waterways and wetlands would regularly flow and fill in response to high water levels in the Murray </w:t>
      </w:r>
      <w:r>
        <w:rPr>
          <w:color w:val="231F20"/>
          <w:spacing w:val="-3"/>
        </w:rPr>
        <w:t xml:space="preserve">River. </w:t>
      </w:r>
      <w:r>
        <w:rPr>
          <w:color w:val="231F20"/>
        </w:rPr>
        <w:t xml:space="preserve">Large floods still </w:t>
      </w:r>
      <w:r>
        <w:rPr>
          <w:color w:val="231F20"/>
          <w:spacing w:val="-3"/>
        </w:rPr>
        <w:t xml:space="preserve">occur, </w:t>
      </w:r>
      <w:r>
        <w:rPr>
          <w:color w:val="231F20"/>
        </w:rPr>
        <w:t>but major storages in the upper reaches of the Murray River system have</w:t>
      </w:r>
      <w:r w:rsidR="008F6EBD">
        <w:t xml:space="preserve"> </w:t>
      </w:r>
      <w:r>
        <w:rPr>
          <w:color w:val="231F20"/>
        </w:rPr>
        <w:t>reduced the frequency of small- to moderate-sized floods.</w:t>
      </w:r>
    </w:p>
    <w:p w:rsidR="006A7A3F" w:rsidRDefault="00BC7372" w:rsidP="00833C84">
      <w:pPr>
        <w:pStyle w:val="BodyText"/>
        <w:spacing w:before="180"/>
      </w:pPr>
      <w:r>
        <w:rPr>
          <w:color w:val="231F20"/>
        </w:rPr>
        <w:t>Flows in the mid-Murray River system are regulated through a series of weir pools, generally referred to as locks.</w:t>
      </w:r>
      <w:r w:rsidR="00833C84">
        <w:t xml:space="preserve"> </w:t>
      </w:r>
      <w:r>
        <w:rPr>
          <w:color w:val="231F20"/>
        </w:rPr>
        <w:t>Water levels in the weir pools are managed primarily to provide safe navigation and adequate water levels for off-stream diversion via pumps. In recent years, the water level of weir pools 7 and 8 has also been managed to</w:t>
      </w:r>
      <w:r w:rsidR="00833C84">
        <w:t xml:space="preserve"> </w:t>
      </w:r>
      <w:r>
        <w:rPr>
          <w:color w:val="231F20"/>
        </w:rPr>
        <w:t>achieve ecological benefits in the Murray River channel, for example by lowering pool levels to increase the velocity of flowing water, which can support drift of golden and silver perch larvae when conditions are suitable for breeding.</w:t>
      </w:r>
    </w:p>
    <w:p w:rsidR="006A7A3F" w:rsidRDefault="00BC7372">
      <w:pPr>
        <w:pStyle w:val="BodyText"/>
        <w:spacing w:line="249" w:lineRule="auto"/>
        <w:ind w:right="267"/>
      </w:pPr>
      <w:r>
        <w:rPr>
          <w:color w:val="231F20"/>
        </w:rPr>
        <w:t xml:space="preserve">Weir pool levels have a big effect on flows in Mullaroo Creek, the Lindsay River and Potterwalkagee Creek. When water levels in locks 7 and 8 are raised above the full supply level, flows to Potterwalkagee Creek increase and Lindsay River starts flowing. When weir pools are lowered, flows to both the Lindsay River and Potterwalkagee Creek cease. Mullaroo Creek is less-affected by weir pool levels and flows are controlled through the Mullaroo Creek regulator which connects the creek and the Murray </w:t>
      </w:r>
      <w:r>
        <w:rPr>
          <w:color w:val="231F20"/>
          <w:spacing w:val="-3"/>
        </w:rPr>
        <w:t xml:space="preserve">River. </w:t>
      </w:r>
      <w:r>
        <w:rPr>
          <w:color w:val="231F20"/>
        </w:rPr>
        <w:t>Moderate lowering of the lock 7 weir pool level has</w:t>
      </w:r>
      <w:r>
        <w:rPr>
          <w:color w:val="231F20"/>
          <w:spacing w:val="-4"/>
        </w:rPr>
        <w:t xml:space="preserve"> </w:t>
      </w:r>
      <w:r>
        <w:rPr>
          <w:color w:val="231F20"/>
        </w:rPr>
        <w:t>little</w:t>
      </w:r>
      <w:r>
        <w:rPr>
          <w:color w:val="231F20"/>
          <w:spacing w:val="-4"/>
        </w:rPr>
        <w:t xml:space="preserve"> </w:t>
      </w:r>
      <w:r>
        <w:rPr>
          <w:color w:val="231F20"/>
        </w:rPr>
        <w:t>effect</w:t>
      </w:r>
      <w:r>
        <w:rPr>
          <w:color w:val="231F20"/>
          <w:spacing w:val="-2"/>
        </w:rPr>
        <w:t xml:space="preserve"> </w:t>
      </w:r>
      <w:r>
        <w:rPr>
          <w:color w:val="231F20"/>
        </w:rPr>
        <w:t>on</w:t>
      </w:r>
      <w:r>
        <w:rPr>
          <w:color w:val="231F20"/>
          <w:spacing w:val="-4"/>
        </w:rPr>
        <w:t xml:space="preserve"> </w:t>
      </w:r>
      <w:r>
        <w:rPr>
          <w:color w:val="231F20"/>
        </w:rPr>
        <w:t>Mullaroo</w:t>
      </w:r>
      <w:r>
        <w:rPr>
          <w:color w:val="231F20"/>
          <w:spacing w:val="-2"/>
        </w:rPr>
        <w:t xml:space="preserve"> </w:t>
      </w:r>
      <w:r>
        <w:rPr>
          <w:color w:val="231F20"/>
        </w:rPr>
        <w:t>Creek</w:t>
      </w:r>
      <w:r>
        <w:rPr>
          <w:color w:val="231F20"/>
          <w:spacing w:val="-4"/>
        </w:rPr>
        <w:t xml:space="preserve"> </w:t>
      </w:r>
      <w:r>
        <w:rPr>
          <w:color w:val="231F20"/>
        </w:rPr>
        <w:t>but</w:t>
      </w:r>
      <w:r>
        <w:rPr>
          <w:color w:val="231F20"/>
          <w:spacing w:val="-4"/>
        </w:rPr>
        <w:t xml:space="preserve"> </w:t>
      </w:r>
      <w:r>
        <w:rPr>
          <w:color w:val="231F20"/>
        </w:rPr>
        <w:t>lowering</w:t>
      </w:r>
      <w:r>
        <w:rPr>
          <w:color w:val="231F20"/>
          <w:spacing w:val="-3"/>
        </w:rPr>
        <w:t xml:space="preserve"> </w:t>
      </w:r>
      <w:r>
        <w:rPr>
          <w:color w:val="231F20"/>
        </w:rPr>
        <w:t>to</w:t>
      </w:r>
      <w:r>
        <w:rPr>
          <w:color w:val="231F20"/>
          <w:spacing w:val="-3"/>
        </w:rPr>
        <w:t xml:space="preserve"> </w:t>
      </w:r>
      <w:r>
        <w:rPr>
          <w:color w:val="231F20"/>
        </w:rPr>
        <w:t>or</w:t>
      </w:r>
      <w:r>
        <w:rPr>
          <w:color w:val="231F20"/>
          <w:spacing w:val="-3"/>
        </w:rPr>
        <w:t xml:space="preserve"> </w:t>
      </w:r>
      <w:r>
        <w:rPr>
          <w:color w:val="231F20"/>
        </w:rPr>
        <w:t>beyond</w:t>
      </w:r>
      <w:r>
        <w:rPr>
          <w:color w:val="231F20"/>
          <w:spacing w:val="-4"/>
        </w:rPr>
        <w:t xml:space="preserve"> </w:t>
      </w:r>
      <w:r>
        <w:rPr>
          <w:color w:val="231F20"/>
        </w:rPr>
        <w:t>0.5</w:t>
      </w:r>
      <w:r>
        <w:rPr>
          <w:color w:val="231F20"/>
          <w:spacing w:val="-4"/>
        </w:rPr>
        <w:t xml:space="preserve"> </w:t>
      </w:r>
      <w:r>
        <w:rPr>
          <w:color w:val="231F20"/>
        </w:rPr>
        <w:t>m</w:t>
      </w:r>
      <w:r>
        <w:rPr>
          <w:color w:val="231F20"/>
          <w:spacing w:val="-2"/>
        </w:rPr>
        <w:t xml:space="preserve"> </w:t>
      </w:r>
      <w:r>
        <w:rPr>
          <w:color w:val="231F20"/>
        </w:rPr>
        <w:t>below</w:t>
      </w:r>
      <w:r>
        <w:rPr>
          <w:color w:val="231F20"/>
          <w:spacing w:val="-4"/>
        </w:rPr>
        <w:t xml:space="preserve"> </w:t>
      </w:r>
      <w:r>
        <w:rPr>
          <w:color w:val="231F20"/>
        </w:rPr>
        <w:t>full</w:t>
      </w:r>
      <w:r>
        <w:rPr>
          <w:color w:val="231F20"/>
          <w:spacing w:val="-2"/>
        </w:rPr>
        <w:t xml:space="preserve"> </w:t>
      </w:r>
      <w:r>
        <w:rPr>
          <w:color w:val="231F20"/>
        </w:rPr>
        <w:t>supply</w:t>
      </w:r>
      <w:r>
        <w:rPr>
          <w:color w:val="231F20"/>
          <w:spacing w:val="-3"/>
        </w:rPr>
        <w:t xml:space="preserve"> </w:t>
      </w:r>
      <w:r>
        <w:rPr>
          <w:color w:val="231F20"/>
        </w:rPr>
        <w:t>level</w:t>
      </w:r>
      <w:r>
        <w:rPr>
          <w:color w:val="231F20"/>
          <w:spacing w:val="-4"/>
        </w:rPr>
        <w:t xml:space="preserve"> </w:t>
      </w:r>
      <w:r>
        <w:rPr>
          <w:color w:val="231F20"/>
        </w:rPr>
        <w:t>makes</w:t>
      </w:r>
      <w:r>
        <w:rPr>
          <w:color w:val="231F20"/>
          <w:spacing w:val="-2"/>
        </w:rPr>
        <w:t xml:space="preserve"> </w:t>
      </w:r>
      <w:r>
        <w:rPr>
          <w:color w:val="231F20"/>
        </w:rPr>
        <w:t>it</w:t>
      </w:r>
      <w:r>
        <w:rPr>
          <w:color w:val="231F20"/>
          <w:spacing w:val="-4"/>
        </w:rPr>
        <w:t xml:space="preserve"> </w:t>
      </w:r>
      <w:r>
        <w:rPr>
          <w:color w:val="231F20"/>
        </w:rPr>
        <w:t>difficult</w:t>
      </w:r>
      <w:r>
        <w:rPr>
          <w:color w:val="231F20"/>
          <w:spacing w:val="-3"/>
        </w:rPr>
        <w:t xml:space="preserve"> </w:t>
      </w:r>
      <w:r>
        <w:rPr>
          <w:color w:val="231F20"/>
        </w:rPr>
        <w:t>to</w:t>
      </w:r>
      <w:r>
        <w:rPr>
          <w:color w:val="231F20"/>
          <w:spacing w:val="-3"/>
        </w:rPr>
        <w:t xml:space="preserve"> </w:t>
      </w:r>
      <w:r>
        <w:rPr>
          <w:color w:val="231F20"/>
        </w:rPr>
        <w:t>deliver the recommended minimum flow of 600 ML per day that is required to maintain fast-flowing habitat for native fish, especially Murray</w:t>
      </w:r>
      <w:r>
        <w:rPr>
          <w:color w:val="231F20"/>
          <w:spacing w:val="-2"/>
        </w:rPr>
        <w:t xml:space="preserve"> </w:t>
      </w:r>
      <w:r>
        <w:rPr>
          <w:color w:val="231F20"/>
        </w:rPr>
        <w:t>Cod.</w:t>
      </w:r>
    </w:p>
    <w:p w:rsidR="006A7A3F" w:rsidRDefault="00BC7372">
      <w:pPr>
        <w:pStyle w:val="BodyText"/>
        <w:spacing w:before="176" w:line="249" w:lineRule="auto"/>
        <w:ind w:right="345"/>
      </w:pPr>
      <w:r>
        <w:rPr>
          <w:color w:val="231F20"/>
        </w:rPr>
        <w:t xml:space="preserve">Fluctuation of weir pool levels is a major consideration for jurisdictions managing flows in the Murray River and the anabranch waterways of </w:t>
      </w:r>
      <w:r>
        <w:rPr>
          <w:color w:val="231F20"/>
          <w:spacing w:val="-3"/>
        </w:rPr>
        <w:t xml:space="preserve">Lindsay, </w:t>
      </w:r>
      <w:r>
        <w:rPr>
          <w:color w:val="231F20"/>
        </w:rPr>
        <w:t xml:space="preserve">Mulcra and Wallpolla islands. Environmental objectives and associated water regimes for the Murray River sometimes conflict with those for the </w:t>
      </w:r>
      <w:r>
        <w:rPr>
          <w:color w:val="231F20"/>
          <w:spacing w:val="-3"/>
        </w:rPr>
        <w:t xml:space="preserve">Lindsay, </w:t>
      </w:r>
      <w:r>
        <w:rPr>
          <w:color w:val="231F20"/>
        </w:rPr>
        <w:t>Mulcra and Wallpolla anabranch systems. Responsible agencies in Victoria and NSW and the Murray-Darling Basin Authority collaboratively plan how to manage weir pools and flows</w:t>
      </w:r>
      <w:r>
        <w:rPr>
          <w:color w:val="231F20"/>
          <w:spacing w:val="-6"/>
        </w:rPr>
        <w:t xml:space="preserve"> </w:t>
      </w:r>
      <w:r>
        <w:rPr>
          <w:color w:val="231F20"/>
        </w:rPr>
        <w:t>effectively.</w:t>
      </w:r>
    </w:p>
    <w:p w:rsidR="008F6EBD" w:rsidRDefault="008F6EBD">
      <w:pPr>
        <w:rPr>
          <w:rFonts w:ascii="Helvetica Neue LT Std 75"/>
          <w:b/>
          <w:color w:val="231F20"/>
          <w:sz w:val="19"/>
        </w:rPr>
      </w:pPr>
      <w:r>
        <w:rPr>
          <w:rFonts w:ascii="Helvetica Neue LT Std 75"/>
          <w:b/>
          <w:color w:val="231F20"/>
          <w:sz w:val="19"/>
        </w:rPr>
        <w:br w:type="page"/>
      </w:r>
    </w:p>
    <w:p w:rsidR="006A7A3F" w:rsidRDefault="00BC7372">
      <w:pPr>
        <w:spacing w:before="184"/>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7" w:line="249" w:lineRule="auto"/>
        <w:ind w:right="456"/>
      </w:pPr>
      <w:r>
        <w:rPr>
          <w:color w:val="231F20"/>
        </w:rPr>
        <w:t xml:space="preserve">The </w:t>
      </w:r>
      <w:r>
        <w:rPr>
          <w:color w:val="231F20"/>
          <w:spacing w:val="-3"/>
        </w:rPr>
        <w:t xml:space="preserve">Lindsay, </w:t>
      </w:r>
      <w:r>
        <w:rPr>
          <w:color w:val="231F20"/>
        </w:rPr>
        <w:t xml:space="preserve">Mulcra and Wallpolla islands represent three separate anabranch systems including streams, billabongs, large wetlands and swamps. When flooded, waterways and wetlands within these systems provide habitat for native fish, frogs, turtles and waterbirds. </w:t>
      </w:r>
      <w:r>
        <w:rPr>
          <w:color w:val="231F20"/>
          <w:spacing w:val="-3"/>
        </w:rPr>
        <w:t xml:space="preserve">Terrestrial </w:t>
      </w:r>
      <w:r>
        <w:rPr>
          <w:color w:val="231F20"/>
        </w:rPr>
        <w:t>animals (such as woodland birds) also benefit from improved productivity and food resources when the system floods. Large floodplain wetlands (such as Lake Wallawalla) can retain water for several years after receiving inflows; they provide important refuge for wetland- dependent species and support terrestrial animals (such as small mammals and</w:t>
      </w:r>
      <w:r>
        <w:rPr>
          <w:color w:val="231F20"/>
          <w:spacing w:val="-10"/>
        </w:rPr>
        <w:t xml:space="preserve"> </w:t>
      </w:r>
      <w:r>
        <w:rPr>
          <w:color w:val="231F20"/>
        </w:rPr>
        <w:t>reptiles).</w:t>
      </w:r>
    </w:p>
    <w:p w:rsidR="006A7A3F" w:rsidRDefault="00BC7372">
      <w:pPr>
        <w:pStyle w:val="BodyText"/>
        <w:spacing w:before="175" w:line="249" w:lineRule="auto"/>
        <w:ind w:right="354"/>
      </w:pPr>
      <w:r>
        <w:rPr>
          <w:color w:val="231F20"/>
        </w:rPr>
        <w:t>Mullaroo Creek and the Lindsay River support one of the most-significant populations of Murray cod in the lower Murray River. These waterways provide fast-flowing habitat that Murray cod favour, and contrast with the mostly slow-flowing and still habitats created by the nearby Murray River weir pools. Fish in Mullaroo Creek and Lindsay River breed and produce juveniles that colonise other parts of the Murray system. Waterways and wetlands throughout the icon site support several other fish species including freshwater catfish, golden perch, silver perch, Murray-Darling rainbowfish and unspecked hardyhead.</w:t>
      </w:r>
    </w:p>
    <w:p w:rsidR="006A7A3F" w:rsidRDefault="00BC7372">
      <w:pPr>
        <w:pStyle w:val="BodyText"/>
        <w:spacing w:before="175" w:line="249" w:lineRule="auto"/>
        <w:ind w:right="455"/>
        <w:jc w:val="both"/>
      </w:pPr>
      <w:r>
        <w:rPr>
          <w:color w:val="231F20"/>
        </w:rPr>
        <w:t xml:space="preserve">The reduced frequency and duration of floods in the Murray River has degraded the water-dependent vegetation communities throughout the </w:t>
      </w:r>
      <w:r>
        <w:rPr>
          <w:color w:val="231F20"/>
          <w:spacing w:val="-3"/>
        </w:rPr>
        <w:t xml:space="preserve">Lindsay, </w:t>
      </w:r>
      <w:r>
        <w:rPr>
          <w:color w:val="231F20"/>
        </w:rPr>
        <w:t>Mulcra and Wallpolla island system, which has in turn reduced the diversity and abundance of animals that rely on healthy vegetation for habitat.</w:t>
      </w:r>
    </w:p>
    <w:p w:rsidR="006A7A3F" w:rsidRDefault="00BC7372">
      <w:pPr>
        <w:spacing w:before="182"/>
        <w:ind w:left="210"/>
        <w:jc w:val="both"/>
        <w:rPr>
          <w:rFonts w:ascii="Helvetica Neue LT Std 75"/>
          <w:b/>
          <w:sz w:val="19"/>
        </w:rPr>
      </w:pPr>
      <w:r>
        <w:rPr>
          <w:rFonts w:ascii="Helvetica Neue LT Std 75"/>
          <w:b/>
          <w:color w:val="231F20"/>
          <w:sz w:val="19"/>
        </w:rPr>
        <w:t>Environmental watering objectives for Lindsay, Mulcra and Wallpolla islands</w:t>
      </w:r>
    </w:p>
    <w:p w:rsidR="006A7A3F" w:rsidRDefault="006A7A3F">
      <w:pPr>
        <w:pStyle w:val="BodyText"/>
        <w:spacing w:before="11"/>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28"/>
        <w:gridCol w:w="3920"/>
      </w:tblGrid>
      <w:tr w:rsidR="006A7A3F">
        <w:trPr>
          <w:trHeight w:val="846"/>
        </w:trPr>
        <w:tc>
          <w:tcPr>
            <w:tcW w:w="728"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56"/>
              <w:rPr>
                <w:rFonts w:ascii="Helvetica Neue LT Std 75"/>
                <w:sz w:val="20"/>
              </w:rPr>
            </w:pPr>
            <w:r>
              <w:rPr>
                <w:rFonts w:ascii="Helvetica Neue LT Std 75"/>
                <w:noProof/>
                <w:sz w:val="20"/>
              </w:rPr>
              <w:drawing>
                <wp:inline distT="0" distB="0" distL="0" distR="0">
                  <wp:extent cx="314168" cy="310896"/>
                  <wp:effectExtent l="0" t="0" r="0" b="0"/>
                  <wp:docPr id="1933"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3920" w:type="dxa"/>
            <w:tcBorders>
              <w:bottom w:val="single" w:sz="8" w:space="0" w:color="FFFFFF"/>
            </w:tcBorders>
            <w:shd w:val="clear" w:color="auto" w:fill="E6E7E8"/>
          </w:tcPr>
          <w:p w:rsidR="006A7A3F" w:rsidRDefault="00BC7372">
            <w:pPr>
              <w:pStyle w:val="TableParagraph"/>
              <w:spacing w:before="136" w:line="261" w:lineRule="auto"/>
              <w:ind w:left="179" w:right="216"/>
              <w:rPr>
                <w:sz w:val="16"/>
              </w:rPr>
            </w:pPr>
            <w:r>
              <w:rPr>
                <w:color w:val="231F20"/>
                <w:sz w:val="16"/>
              </w:rPr>
              <w:t>Restore nutrient and carbon cycling between floodplains, floodplain wetlands and waterways to increase ecosystem productivity</w:t>
            </w:r>
          </w:p>
        </w:tc>
      </w:tr>
      <w:tr w:rsidR="006A7A3F">
        <w:trPr>
          <w:trHeight w:val="809"/>
        </w:trPr>
        <w:tc>
          <w:tcPr>
            <w:tcW w:w="728"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56"/>
              <w:rPr>
                <w:rFonts w:ascii="Helvetica Neue LT Std 75"/>
                <w:sz w:val="20"/>
              </w:rPr>
            </w:pPr>
            <w:r>
              <w:rPr>
                <w:rFonts w:ascii="Helvetica Neue LT Std 75"/>
                <w:noProof/>
                <w:sz w:val="20"/>
              </w:rPr>
              <w:drawing>
                <wp:inline distT="0" distB="0" distL="0" distR="0">
                  <wp:extent cx="314168" cy="310895"/>
                  <wp:effectExtent l="0" t="0" r="0" b="0"/>
                  <wp:docPr id="1935"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3920"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79" w:right="198"/>
              <w:rPr>
                <w:sz w:val="16"/>
              </w:rPr>
            </w:pPr>
            <w:r>
              <w:rPr>
                <w:color w:val="231F20"/>
                <w:sz w:val="16"/>
              </w:rPr>
              <w:t>Increase the abundance, diversity and distribution of native fish</w:t>
            </w:r>
          </w:p>
        </w:tc>
      </w:tr>
      <w:tr w:rsidR="006A7A3F">
        <w:trPr>
          <w:trHeight w:val="809"/>
        </w:trPr>
        <w:tc>
          <w:tcPr>
            <w:tcW w:w="728"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56"/>
              <w:rPr>
                <w:rFonts w:ascii="Helvetica Neue LT Std 75"/>
                <w:sz w:val="20"/>
              </w:rPr>
            </w:pPr>
            <w:r>
              <w:rPr>
                <w:rFonts w:ascii="Helvetica Neue LT Std 75"/>
                <w:noProof/>
                <w:sz w:val="20"/>
              </w:rPr>
              <w:drawing>
                <wp:inline distT="0" distB="0" distL="0" distR="0">
                  <wp:extent cx="314168" cy="310895"/>
                  <wp:effectExtent l="0" t="0" r="0" b="0"/>
                  <wp:docPr id="193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25.jpeg"/>
                          <pic:cNvPicPr/>
                        </pic:nvPicPr>
                        <pic:blipFill>
                          <a:blip r:embed="rId37" cstate="print"/>
                          <a:stretch>
                            <a:fillRect/>
                          </a:stretch>
                        </pic:blipFill>
                        <pic:spPr>
                          <a:xfrm>
                            <a:off x="0" y="0"/>
                            <a:ext cx="314168" cy="310895"/>
                          </a:xfrm>
                          <a:prstGeom prst="rect">
                            <a:avLst/>
                          </a:prstGeom>
                        </pic:spPr>
                      </pic:pic>
                    </a:graphicData>
                  </a:graphic>
                </wp:inline>
              </w:drawing>
            </w:r>
          </w:p>
        </w:tc>
        <w:tc>
          <w:tcPr>
            <w:tcW w:w="3920"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79"/>
              <w:rPr>
                <w:sz w:val="16"/>
              </w:rPr>
            </w:pPr>
            <w:r>
              <w:rPr>
                <w:color w:val="231F20"/>
                <w:sz w:val="16"/>
              </w:rPr>
              <w:t>Support frog populations</w:t>
            </w:r>
          </w:p>
        </w:tc>
      </w:tr>
      <w:tr w:rsidR="006A7A3F">
        <w:trPr>
          <w:trHeight w:val="809"/>
        </w:trPr>
        <w:tc>
          <w:tcPr>
            <w:tcW w:w="728"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56"/>
              <w:rPr>
                <w:rFonts w:ascii="Helvetica Neue LT Std 75"/>
                <w:sz w:val="20"/>
              </w:rPr>
            </w:pPr>
            <w:r>
              <w:rPr>
                <w:rFonts w:ascii="Helvetica Neue LT Std 75"/>
                <w:noProof/>
                <w:sz w:val="20"/>
              </w:rPr>
              <w:drawing>
                <wp:inline distT="0" distB="0" distL="0" distR="0">
                  <wp:extent cx="314169" cy="310895"/>
                  <wp:effectExtent l="0" t="0" r="0" b="0"/>
                  <wp:docPr id="193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image22.jpeg"/>
                          <pic:cNvPicPr/>
                        </pic:nvPicPr>
                        <pic:blipFill>
                          <a:blip r:embed="rId34" cstate="print"/>
                          <a:stretch>
                            <a:fillRect/>
                          </a:stretch>
                        </pic:blipFill>
                        <pic:spPr>
                          <a:xfrm>
                            <a:off x="0" y="0"/>
                            <a:ext cx="314169" cy="310895"/>
                          </a:xfrm>
                          <a:prstGeom prst="rect">
                            <a:avLst/>
                          </a:prstGeom>
                        </pic:spPr>
                      </pic:pic>
                    </a:graphicData>
                  </a:graphic>
                </wp:inline>
              </w:drawing>
            </w:r>
          </w:p>
        </w:tc>
        <w:tc>
          <w:tcPr>
            <w:tcW w:w="3920"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79"/>
              <w:rPr>
                <w:sz w:val="16"/>
              </w:rPr>
            </w:pPr>
            <w:r>
              <w:rPr>
                <w:color w:val="231F20"/>
                <w:sz w:val="16"/>
              </w:rPr>
              <w:t>Support waterbug populations</w:t>
            </w:r>
          </w:p>
        </w:tc>
      </w:tr>
      <w:tr w:rsidR="006A7A3F">
        <w:trPr>
          <w:trHeight w:val="809"/>
        </w:trPr>
        <w:tc>
          <w:tcPr>
            <w:tcW w:w="728"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56"/>
              <w:rPr>
                <w:rFonts w:ascii="Helvetica Neue LT Std 75"/>
                <w:sz w:val="20"/>
              </w:rPr>
            </w:pPr>
            <w:r>
              <w:rPr>
                <w:rFonts w:ascii="Helvetica Neue LT Std 75"/>
                <w:noProof/>
                <w:sz w:val="20"/>
              </w:rPr>
              <w:drawing>
                <wp:inline distT="0" distB="0" distL="0" distR="0">
                  <wp:extent cx="314168" cy="310896"/>
                  <wp:effectExtent l="0" t="0" r="0" b="0"/>
                  <wp:docPr id="1941"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3920"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79"/>
              <w:rPr>
                <w:sz w:val="16"/>
              </w:rPr>
            </w:pPr>
            <w:r>
              <w:rPr>
                <w:color w:val="231F20"/>
                <w:sz w:val="16"/>
              </w:rPr>
              <w:t>Support turtle populations</w:t>
            </w:r>
          </w:p>
        </w:tc>
      </w:tr>
      <w:tr w:rsidR="006A7A3F">
        <w:trPr>
          <w:trHeight w:val="809"/>
        </w:trPr>
        <w:tc>
          <w:tcPr>
            <w:tcW w:w="728"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56"/>
              <w:rPr>
                <w:rFonts w:ascii="Helvetica Neue LT Std 75"/>
                <w:sz w:val="20"/>
              </w:rPr>
            </w:pPr>
            <w:r>
              <w:rPr>
                <w:rFonts w:ascii="Helvetica Neue LT Std 75"/>
                <w:noProof/>
                <w:sz w:val="20"/>
              </w:rPr>
              <w:drawing>
                <wp:inline distT="0" distB="0" distL="0" distR="0">
                  <wp:extent cx="314168" cy="310896"/>
                  <wp:effectExtent l="0" t="0" r="0" b="0"/>
                  <wp:docPr id="1943"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920"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79" w:right="287"/>
              <w:rPr>
                <w:sz w:val="16"/>
              </w:rPr>
            </w:pPr>
            <w:r>
              <w:rPr>
                <w:color w:val="231F20"/>
                <w:sz w:val="16"/>
              </w:rPr>
              <w:t>Increase the abundance and diversity of wetland vegetation</w:t>
            </w:r>
          </w:p>
        </w:tc>
      </w:tr>
      <w:tr w:rsidR="008F6EBD">
        <w:trPr>
          <w:trHeight w:val="809"/>
        </w:trPr>
        <w:tc>
          <w:tcPr>
            <w:tcW w:w="728" w:type="dxa"/>
            <w:tcBorders>
              <w:top w:val="single" w:sz="8" w:space="0" w:color="FFFFFF"/>
              <w:bottom w:val="single" w:sz="8" w:space="0" w:color="FFFFFF"/>
            </w:tcBorders>
            <w:shd w:val="clear" w:color="auto" w:fill="E6E7E8"/>
          </w:tcPr>
          <w:p w:rsidR="008F6EBD" w:rsidRDefault="008F6EBD" w:rsidP="008F6EBD">
            <w:pPr>
              <w:pStyle w:val="TableParagraph"/>
              <w:spacing w:before="13"/>
              <w:ind w:left="0"/>
              <w:rPr>
                <w:rFonts w:ascii="Helvetica Neue LT Std 75"/>
                <w:b/>
                <w:sz w:val="10"/>
              </w:rPr>
            </w:pPr>
          </w:p>
          <w:p w:rsidR="008F6EBD" w:rsidRDefault="008F6EBD" w:rsidP="008F6EBD">
            <w:pPr>
              <w:pStyle w:val="TableParagraph"/>
              <w:ind w:left="56"/>
              <w:rPr>
                <w:rFonts w:ascii="Helvetica Neue LT Std 75"/>
                <w:sz w:val="20"/>
              </w:rPr>
            </w:pPr>
            <w:r>
              <w:rPr>
                <w:rFonts w:ascii="Helvetica Neue LT Std 75"/>
                <w:noProof/>
                <w:sz w:val="20"/>
              </w:rPr>
              <w:drawing>
                <wp:inline distT="0" distB="0" distL="0" distR="0" wp14:anchorId="62E0E83A" wp14:editId="6939E364">
                  <wp:extent cx="314168" cy="310896"/>
                  <wp:effectExtent l="0" t="0" r="0" b="0"/>
                  <wp:docPr id="1945"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3920" w:type="dxa"/>
            <w:tcBorders>
              <w:top w:val="single" w:sz="8" w:space="0" w:color="FFFFFF"/>
              <w:bottom w:val="single" w:sz="8" w:space="0" w:color="FFFFFF"/>
            </w:tcBorders>
            <w:shd w:val="clear" w:color="auto" w:fill="E6E7E8"/>
          </w:tcPr>
          <w:p w:rsidR="008F6EBD" w:rsidRDefault="008F6EBD" w:rsidP="008F6EBD">
            <w:pPr>
              <w:pStyle w:val="TableParagraph"/>
              <w:spacing w:before="10"/>
              <w:ind w:left="0"/>
              <w:rPr>
                <w:rFonts w:ascii="Helvetica Neue LT Std 75"/>
                <w:b/>
                <w:sz w:val="14"/>
              </w:rPr>
            </w:pPr>
          </w:p>
          <w:p w:rsidR="008F6EBD" w:rsidRDefault="008F6EBD" w:rsidP="008F6EBD">
            <w:pPr>
              <w:pStyle w:val="TableParagraph"/>
              <w:spacing w:line="261" w:lineRule="auto"/>
              <w:ind w:left="179" w:right="118"/>
              <w:rPr>
                <w:sz w:val="16"/>
              </w:rPr>
            </w:pPr>
            <w:r>
              <w:rPr>
                <w:color w:val="231F20"/>
                <w:sz w:val="16"/>
              </w:rPr>
              <w:t>Increase the waterbird population by providing feeding and breeding habitat in floodplain wetlands</w:t>
            </w:r>
          </w:p>
        </w:tc>
      </w:tr>
    </w:tbl>
    <w:p w:rsidR="006A7A3F" w:rsidRDefault="006A7A3F">
      <w:pPr>
        <w:spacing w:line="261" w:lineRule="auto"/>
        <w:rPr>
          <w:sz w:val="16"/>
        </w:rPr>
        <w:sectPr w:rsidR="006A7A3F" w:rsidSect="00C92D74">
          <w:pgSz w:w="11910" w:h="16840"/>
          <w:pgMar w:top="1701" w:right="851" w:bottom="1134" w:left="851" w:header="720" w:footer="720" w:gutter="0"/>
          <w:cols w:space="720"/>
        </w:sectPr>
      </w:pPr>
    </w:p>
    <w:p w:rsidR="006A7A3F" w:rsidRDefault="006A7A3F">
      <w:pPr>
        <w:pStyle w:val="BodyText"/>
        <w:spacing w:before="12"/>
        <w:ind w:left="0"/>
        <w:rPr>
          <w:rFonts w:ascii="Helvetica Neue LT Std 75"/>
          <w:b/>
          <w:sz w:val="5"/>
        </w:rPr>
      </w:pPr>
    </w:p>
    <w:p w:rsidR="006A7A3F" w:rsidRPr="008F6EBD" w:rsidRDefault="00BC7372">
      <w:pPr>
        <w:spacing w:before="62"/>
        <w:ind w:left="210"/>
        <w:rPr>
          <w:b/>
          <w:sz w:val="24"/>
          <w:szCs w:val="24"/>
        </w:rPr>
      </w:pPr>
      <w:r w:rsidRPr="008F6EBD">
        <w:rPr>
          <w:b/>
          <w:color w:val="231F20"/>
          <w:sz w:val="24"/>
          <w:szCs w:val="24"/>
        </w:rPr>
        <w:t>Traditional Owner cultural values and uses</w:t>
      </w:r>
    </w:p>
    <w:p w:rsidR="006A7A3F" w:rsidRDefault="00BC7372">
      <w:pPr>
        <w:pStyle w:val="BodyText"/>
        <w:spacing w:before="68" w:line="249" w:lineRule="auto"/>
        <w:ind w:right="375"/>
      </w:pPr>
      <w:r>
        <w:rPr>
          <w:color w:val="231F20"/>
        </w:rPr>
        <w:t>Mallee CMA has met on Country with Traditional Owners of Lindsay, Mulcra and Wallpolla islands and the First People of the Millewa-Mallee Aboriginal Corporation (representing Latji Latji, Ngintait, Nyeri Nyeri and Wergaia Traditional Owners) to discuss watering requirements for their Country. After much discussion, Elders’ key focus was to support Country to recover from the ravages of drought. Their recommendations for watering actions have shaped the environmental water planning for 2020–21.</w:t>
      </w:r>
    </w:p>
    <w:p w:rsidR="006A7A3F" w:rsidRPr="008F6EBD" w:rsidRDefault="00BC7372">
      <w:pPr>
        <w:spacing w:before="183"/>
        <w:ind w:left="210"/>
        <w:rPr>
          <w:b/>
          <w:sz w:val="24"/>
          <w:szCs w:val="24"/>
        </w:rPr>
      </w:pPr>
      <w:r w:rsidRPr="008F6EBD">
        <w:rPr>
          <w:b/>
          <w:color w:val="231F20"/>
          <w:sz w:val="24"/>
          <w:szCs w:val="24"/>
        </w:rPr>
        <w:t>Social, recreational and economic values and uses</w:t>
      </w:r>
    </w:p>
    <w:p w:rsidR="006A7A3F" w:rsidRDefault="00BC7372">
      <w:pPr>
        <w:pStyle w:val="BodyText"/>
        <w:spacing w:before="68" w:line="249" w:lineRule="auto"/>
        <w:ind w:right="457"/>
      </w:pPr>
      <w:r>
        <w:rPr>
          <w:color w:val="231F20"/>
        </w:rPr>
        <w:t>In planning the potential watering actions in Table 5.2.14, Mallee CMA has also considered how environmental flows could support other values and uses such as:</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kayaking, fishing and</w:t>
      </w:r>
      <w:r>
        <w:rPr>
          <w:color w:val="231F20"/>
          <w:spacing w:val="-5"/>
          <w:sz w:val="20"/>
        </w:rPr>
        <w:t xml:space="preserve"> </w:t>
      </w:r>
      <w:r>
        <w:rPr>
          <w:color w:val="231F20"/>
          <w:sz w:val="20"/>
        </w:rPr>
        <w:t>swimming)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walking, camping, birdwatching and relaxing with friends and</w:t>
      </w:r>
      <w:r>
        <w:rPr>
          <w:color w:val="231F20"/>
          <w:spacing w:val="-30"/>
          <w:sz w:val="20"/>
        </w:rPr>
        <w:t xml:space="preserve"> </w:t>
      </w:r>
      <w:r>
        <w:rPr>
          <w:color w:val="231F20"/>
          <w:sz w:val="20"/>
        </w:rPr>
        <w:t>family)</w:t>
      </w:r>
    </w:p>
    <w:p w:rsidR="006A7A3F" w:rsidRDefault="00BC7372" w:rsidP="009B6917">
      <w:pPr>
        <w:pStyle w:val="ListParagraph"/>
        <w:numPr>
          <w:ilvl w:val="0"/>
          <w:numId w:val="1419"/>
        </w:numPr>
        <w:tabs>
          <w:tab w:val="left" w:pos="493"/>
          <w:tab w:val="left" w:pos="494"/>
        </w:tabs>
        <w:spacing w:line="249" w:lineRule="auto"/>
        <w:ind w:right="750"/>
        <w:rPr>
          <w:sz w:val="20"/>
        </w:rPr>
      </w:pPr>
      <w:r>
        <w:rPr>
          <w:color w:val="231F20"/>
          <w:sz w:val="20"/>
        </w:rPr>
        <w:t>community events and tourism (such as school education programs, commercial tours and citizen science projects)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socio-economic benefits (such as apiarists, local businesses such as accommodation and</w:t>
      </w:r>
      <w:r>
        <w:rPr>
          <w:color w:val="231F20"/>
          <w:spacing w:val="-21"/>
          <w:sz w:val="20"/>
        </w:rPr>
        <w:t xml:space="preserve"> </w:t>
      </w:r>
      <w:r>
        <w:rPr>
          <w:color w:val="231F20"/>
          <w:sz w:val="20"/>
        </w:rPr>
        <w:t>shops).</w:t>
      </w:r>
    </w:p>
    <w:p w:rsidR="006A7A3F" w:rsidRDefault="00BC7372">
      <w:pPr>
        <w:pStyle w:val="BodyText"/>
        <w:spacing w:before="180" w:line="249" w:lineRule="auto"/>
        <w:ind w:right="174"/>
      </w:pPr>
      <w:r>
        <w:rPr>
          <w:color w:val="231F20"/>
        </w:rPr>
        <w:t>If the timing or management of planned environmental flows may be modified to align with a community benefit, this is acknowledged in Table 5.2.14 with an icon.</w:t>
      </w:r>
    </w:p>
    <w:p w:rsidR="006A7A3F" w:rsidRDefault="00426F13">
      <w:pPr>
        <w:pStyle w:val="BodyText"/>
        <w:spacing w:before="9"/>
        <w:ind w:left="0"/>
        <w:rPr>
          <w:sz w:val="13"/>
        </w:rPr>
      </w:pPr>
      <w:r>
        <w:rPr>
          <w:noProof/>
        </w:rPr>
        <mc:AlternateContent>
          <mc:Choice Requires="wpg">
            <w:drawing>
              <wp:anchor distT="0" distB="0" distL="0" distR="0" simplePos="0" relativeHeight="251682816" behindDoc="1" locked="0" layoutInCell="1" allowOverlap="1">
                <wp:simplePos x="0" y="0"/>
                <wp:positionH relativeFrom="page">
                  <wp:posOffset>704215</wp:posOffset>
                </wp:positionH>
                <wp:positionV relativeFrom="paragraph">
                  <wp:posOffset>126365</wp:posOffset>
                </wp:positionV>
                <wp:extent cx="2952115" cy="527050"/>
                <wp:effectExtent l="0" t="0" r="0" b="6350"/>
                <wp:wrapTopAndBottom/>
                <wp:docPr id="30"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527050"/>
                          <a:chOff x="850" y="199"/>
                          <a:chExt cx="4649" cy="830"/>
                        </a:xfrm>
                      </wpg:grpSpPr>
                      <wps:wsp>
                        <wps:cNvPr id="32" name="Rectangle 17"/>
                        <wps:cNvSpPr>
                          <a:spLocks/>
                        </wps:cNvSpPr>
                        <wps:spPr bwMode="auto">
                          <a:xfrm>
                            <a:off x="850" y="199"/>
                            <a:ext cx="851" cy="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8"/>
                        <wps:cNvCnPr>
                          <a:cxnSpLocks/>
                        </wps:cNvCnPr>
                        <wps:spPr bwMode="auto">
                          <a:xfrm>
                            <a:off x="1701" y="199"/>
                            <a:ext cx="0" cy="830"/>
                          </a:xfrm>
                          <a:prstGeom prst="line">
                            <a:avLst/>
                          </a:prstGeom>
                          <a:noFill/>
                          <a:ln w="13">
                            <a:solidFill>
                              <a:srgbClr val="E6E7E8"/>
                            </a:solidFill>
                            <a:round/>
                            <a:headEnd/>
                            <a:tailEnd/>
                          </a:ln>
                          <a:extLst>
                            <a:ext uri="{909E8E84-426E-40DD-AFC4-6F175D3DCCD1}">
                              <a14:hiddenFill xmlns:a14="http://schemas.microsoft.com/office/drawing/2010/main">
                                <a:noFill/>
                              </a14:hiddenFill>
                            </a:ext>
                          </a:extLst>
                        </wps:spPr>
                        <wps:bodyPr/>
                      </wps:wsp>
                      <wps:wsp>
                        <wps:cNvPr id="36" name="Rectangle 19"/>
                        <wps:cNvSpPr>
                          <a:spLocks/>
                        </wps:cNvSpPr>
                        <wps:spPr bwMode="auto">
                          <a:xfrm>
                            <a:off x="1700" y="199"/>
                            <a:ext cx="3799" cy="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0"/>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029" y="369"/>
                            <a:ext cx="494" cy="488"/>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1"/>
                        <wps:cNvSpPr txBox="1">
                          <a:spLocks/>
                        </wps:cNvSpPr>
                        <wps:spPr bwMode="auto">
                          <a:xfrm>
                            <a:off x="850" y="199"/>
                            <a:ext cx="4649"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A32" w:rsidRDefault="00837A32">
                              <w:pPr>
                                <w:rPr>
                                  <w:sz w:val="18"/>
                                </w:rPr>
                              </w:pPr>
                            </w:p>
                            <w:p w:rsidR="00837A32" w:rsidRDefault="00837A32">
                              <w:pPr>
                                <w:spacing w:before="116"/>
                                <w:ind w:left="907"/>
                                <w:rPr>
                                  <w:sz w:val="16"/>
                                </w:rPr>
                              </w:pPr>
                              <w:r>
                                <w:rPr>
                                  <w:color w:val="231F20"/>
                                  <w:sz w:val="16"/>
                                </w:rPr>
                                <w:t>Watering planned to support angling 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id="Group 16" o:spid="_x0000_s1026" style="position:absolute;margin-left:55.45pt;margin-top:9.95pt;width:232.45pt;height:41.5pt;z-index:-251633664;mso-wrap-distance-left:0;mso-wrap-distance-right:0;mso-position-horizontal-relative:page" coordorigin="850,199" coordsize="4649,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">
                <v:rect id="Rectangle 17" o:spid="_x0000_s1027" style="position:absolute;left:850;top:199;width:851;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" fillcolor="#e6e7e8" stroked="f">
                  <v:path arrowok="t"/>
                </v:rect>
                <v:line id="Line 18" o:spid="_x0000_s1028" style="position:absolute;visibility:visible;mso-wrap-style:square" from="1701,199" to="170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" strokecolor="#e6e7e8" strokeweight="36e-5mm">
                  <o:lock v:ext="edit" shapetype="f"/>
                </v:line>
                <v:rect id="Rectangle 19" o:spid="_x0000_s1029" style="position:absolute;left:1700;top:199;width:379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" fillcolor="#e6e7e8"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0" type="#_x0000_t75" style="position:absolute;left:1029;top:369;width:49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">
                  <v:imagedata r:id="rId57" o:title=""/>
                  <o:lock v:ext="edit" aspectratio="f"/>
                </v:shape>
                <v:shapetype id="_x0000_t202" coordsize="21600,21600" o:spt="202" path="m,l,21600r21600,l21600,xe">
                  <v:stroke joinstyle="miter"/>
                  <v:path gradientshapeok="t" o:connecttype="rect"/>
                </v:shapetype>
                <v:shape id="Text Box 21" o:spid="_x0000_s1031" type="#_x0000_t202" style="position:absolute;left:850;top:199;width:464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" filled="f" stroked="f">
                  <v:path arrowok="t"/>
                  <v:textbox inset="0,0,0,0">
                    <w:txbxContent>
                      <w:p w:rsidR="00837A32" w:rsidRDefault="00837A32">
                        <w:pPr>
                          <w:rPr>
                            <w:sz w:val="18"/>
                          </w:rPr>
                        </w:pPr>
                      </w:p>
                      <w:p w:rsidR="00837A32" w:rsidRDefault="00837A32">
                        <w:pPr>
                          <w:spacing w:before="116"/>
                          <w:ind w:left="907"/>
                          <w:rPr>
                            <w:sz w:val="16"/>
                          </w:rPr>
                        </w:pPr>
                        <w:r>
                          <w:rPr>
                            <w:color w:val="231F20"/>
                            <w:sz w:val="16"/>
                          </w:rPr>
                          <w:t>Watering planned to support angling activities</w:t>
                        </w:r>
                      </w:p>
                    </w:txbxContent>
                  </v:textbox>
                </v:shape>
                <w10:wrap type="topAndBottom" anchorx="page"/>
              </v:group>
            </w:pict>
          </mc:Fallback>
        </mc:AlternateContent>
      </w:r>
    </w:p>
    <w:p w:rsidR="006A7A3F" w:rsidRDefault="00BC7372">
      <w:pPr>
        <w:pStyle w:val="BodyText"/>
        <w:spacing w:before="112" w:line="249" w:lineRule="auto"/>
        <w:ind w:right="297"/>
      </w:pPr>
      <w:r>
        <w:rPr>
          <w:color w:val="231F20"/>
        </w:rPr>
        <w:t>Native recreational fish species that are stocked into recently wetted wetlands can undergo rapid growth and achieve high survival rates. In March 2019, the Victorian Fisheries Authority conducted a trial in partnership with First People of the Millewa-Mallee Aboriginal Corporation and Mallee CMA that released 120,000 juvenile golden perch and silver perch to Wallpolla Horseshoe Lagoon.</w:t>
      </w:r>
    </w:p>
    <w:p w:rsidR="006A7A3F" w:rsidRDefault="00BC7372">
      <w:pPr>
        <w:pStyle w:val="BodyText"/>
        <w:spacing w:before="174" w:line="249" w:lineRule="auto"/>
        <w:ind w:right="846"/>
        <w:jc w:val="both"/>
      </w:pPr>
      <w:r>
        <w:rPr>
          <w:color w:val="231F20"/>
        </w:rPr>
        <w:t>In order to protect the juvenile perch, water will be delivered to the lagoon as a series of top-ups as required in spring and autumn, as part of the regular environmental water deliveries to support the naturally occurring environmental values of the site (such as fish and aquatic vegetation).</w:t>
      </w:r>
    </w:p>
    <w:p w:rsidR="006A7A3F" w:rsidRDefault="00BC7372">
      <w:pPr>
        <w:pStyle w:val="BodyText"/>
        <w:spacing w:line="249" w:lineRule="auto"/>
        <w:ind w:right="207"/>
      </w:pPr>
      <w:r>
        <w:rPr>
          <w:color w:val="231F20"/>
        </w:rPr>
        <w:t>The stocked native fish are expected to benefit from environmental watering at Wallpolla Horseshoe Lagoon without compromising the primary watering objectives for the site. Once the fish have grown to a suitable size, they will</w:t>
      </w:r>
      <w:r>
        <w:rPr>
          <w:color w:val="231F20"/>
          <w:spacing w:val="-4"/>
        </w:rPr>
        <w:t xml:space="preserve"> </w:t>
      </w:r>
      <w:r>
        <w:rPr>
          <w:color w:val="231F20"/>
        </w:rPr>
        <w:t>be</w:t>
      </w:r>
      <w:r>
        <w:rPr>
          <w:color w:val="231F20"/>
          <w:spacing w:val="-4"/>
        </w:rPr>
        <w:t xml:space="preserve"> </w:t>
      </w:r>
      <w:r>
        <w:rPr>
          <w:color w:val="231F20"/>
        </w:rPr>
        <w:t>released</w:t>
      </w:r>
      <w:r>
        <w:rPr>
          <w:color w:val="231F20"/>
          <w:spacing w:val="-3"/>
        </w:rPr>
        <w:t xml:space="preserve"> </w:t>
      </w:r>
      <w:r>
        <w:rPr>
          <w:color w:val="231F20"/>
        </w:rPr>
        <w:t>into</w:t>
      </w:r>
      <w:r>
        <w:rPr>
          <w:color w:val="231F20"/>
          <w:spacing w:val="-3"/>
        </w:rPr>
        <w:t xml:space="preserve"> </w:t>
      </w:r>
      <w:r>
        <w:rPr>
          <w:color w:val="231F20"/>
        </w:rPr>
        <w:t>the</w:t>
      </w:r>
      <w:r>
        <w:rPr>
          <w:color w:val="231F20"/>
          <w:spacing w:val="-3"/>
        </w:rPr>
        <w:t xml:space="preserve"> </w:t>
      </w:r>
      <w:r>
        <w:rPr>
          <w:color w:val="231F20"/>
        </w:rPr>
        <w:t>Murray</w:t>
      </w:r>
      <w:r>
        <w:rPr>
          <w:color w:val="231F20"/>
          <w:spacing w:val="-3"/>
        </w:rPr>
        <w:t xml:space="preserve"> </w:t>
      </w:r>
      <w:r>
        <w:rPr>
          <w:color w:val="231F20"/>
        </w:rPr>
        <w:t>River</w:t>
      </w:r>
      <w:r>
        <w:rPr>
          <w:color w:val="231F20"/>
          <w:spacing w:val="-3"/>
        </w:rPr>
        <w:t xml:space="preserve"> </w:t>
      </w:r>
      <w:r>
        <w:rPr>
          <w:color w:val="231F20"/>
        </w:rPr>
        <w:t>to</w:t>
      </w:r>
      <w:r>
        <w:rPr>
          <w:color w:val="231F20"/>
          <w:spacing w:val="-4"/>
        </w:rPr>
        <w:t xml:space="preserve"> </w:t>
      </w:r>
      <w:r>
        <w:rPr>
          <w:color w:val="231F20"/>
        </w:rPr>
        <w:t>contribute</w:t>
      </w:r>
      <w:r>
        <w:rPr>
          <w:color w:val="231F20"/>
          <w:spacing w:val="-3"/>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regional</w:t>
      </w:r>
      <w:r>
        <w:rPr>
          <w:color w:val="231F20"/>
          <w:spacing w:val="-3"/>
        </w:rPr>
        <w:t xml:space="preserve"> </w:t>
      </w:r>
      <w:r>
        <w:rPr>
          <w:color w:val="231F20"/>
        </w:rPr>
        <w:t>populations</w:t>
      </w:r>
      <w:r>
        <w:rPr>
          <w:color w:val="231F20"/>
          <w:spacing w:val="-3"/>
        </w:rPr>
        <w:t xml:space="preserve"> </w:t>
      </w:r>
      <w:r>
        <w:rPr>
          <w:color w:val="231F20"/>
        </w:rPr>
        <w:t>and</w:t>
      </w:r>
      <w:r>
        <w:rPr>
          <w:color w:val="231F20"/>
          <w:spacing w:val="-3"/>
        </w:rPr>
        <w:t xml:space="preserve"> </w:t>
      </w:r>
      <w:r>
        <w:rPr>
          <w:color w:val="231F20"/>
        </w:rPr>
        <w:t>provide</w:t>
      </w:r>
      <w:r>
        <w:rPr>
          <w:color w:val="231F20"/>
          <w:spacing w:val="-4"/>
        </w:rPr>
        <w:t xml:space="preserve"> </w:t>
      </w:r>
      <w:r>
        <w:rPr>
          <w:color w:val="231F20"/>
        </w:rPr>
        <w:t>opportunities</w:t>
      </w:r>
      <w:r>
        <w:rPr>
          <w:color w:val="231F20"/>
          <w:spacing w:val="-3"/>
        </w:rPr>
        <w:t xml:space="preserve"> </w:t>
      </w:r>
      <w:r>
        <w:rPr>
          <w:color w:val="231F20"/>
        </w:rPr>
        <w:t>for</w:t>
      </w:r>
      <w:r>
        <w:rPr>
          <w:color w:val="231F20"/>
          <w:spacing w:val="-2"/>
        </w:rPr>
        <w:t xml:space="preserve"> </w:t>
      </w:r>
      <w:r>
        <w:rPr>
          <w:color w:val="231F20"/>
        </w:rPr>
        <w:t>anglers.</w:t>
      </w:r>
    </w:p>
    <w:p w:rsidR="006A7A3F" w:rsidRDefault="00BC7372">
      <w:pPr>
        <w:spacing w:before="182"/>
        <w:ind w:left="210"/>
        <w:jc w:val="both"/>
        <w:rPr>
          <w:rFonts w:ascii="Helvetica Neue LT Std 75"/>
          <w:b/>
          <w:sz w:val="19"/>
        </w:rPr>
      </w:pPr>
      <w:r>
        <w:rPr>
          <w:rFonts w:ascii="Helvetica Neue LT Std 75"/>
          <w:b/>
          <w:color w:val="231F20"/>
          <w:sz w:val="19"/>
        </w:rPr>
        <w:t>Recent conditions</w:t>
      </w:r>
    </w:p>
    <w:p w:rsidR="006A7A3F" w:rsidRDefault="00BC7372">
      <w:pPr>
        <w:pStyle w:val="BodyText"/>
        <w:spacing w:before="67"/>
      </w:pPr>
      <w:r>
        <w:rPr>
          <w:color w:val="231F20"/>
        </w:rPr>
        <w:t>Weather observations at Lake Victoria — the nearest weather station to Lindsay, Mulcra and Wallpolla islands</w:t>
      </w:r>
    </w:p>
    <w:p w:rsidR="006A7A3F" w:rsidRDefault="00BC7372">
      <w:pPr>
        <w:pStyle w:val="BodyText"/>
        <w:spacing w:before="10" w:line="249" w:lineRule="auto"/>
        <w:ind w:right="429"/>
      </w:pPr>
      <w:r>
        <w:rPr>
          <w:color w:val="231F20"/>
        </w:rPr>
        <w:t>— indicate there was below-average rainfall and above-average temperatures in the region during 2019–20. The average maximum temperature at Lake Victoria during 2019–20 was less than in the previous year, but long- term data indicates that temperatures have increased over the previous 10 years. Monthly rainfall totals were substantially below average for the year.</w:t>
      </w:r>
    </w:p>
    <w:p w:rsidR="006A7A3F" w:rsidRDefault="00BC7372">
      <w:pPr>
        <w:pStyle w:val="BodyText"/>
        <w:spacing w:before="174" w:line="249" w:lineRule="auto"/>
        <w:ind w:right="100"/>
      </w:pPr>
      <w:r>
        <w:rPr>
          <w:color w:val="231F20"/>
        </w:rPr>
        <w:t>The 2019–20 year was mostly dry in the entire Murray River valley and major upstream tributaries (such as the Goulburn and Murrumbidgee rivers). There were no spills from major upstream storages, and the magnitudes of operational flows and environmental flows that were released in the Murray system were well below the threshold required to provide flows to wetlands and floodplains at Lindsay, Mulcra and Wallpolla islands. Summer floods in northern New South Wales (NSW) and Queensland provided flow in the Darling River and in April 2020 the Darling River provided substantial flow to the Murray River for the first time in more than two years. This inflow was well below the magnitude needed to wet Lindsay, Mulcra and Wallpolla islands.</w:t>
      </w:r>
    </w:p>
    <w:p w:rsidR="008F6EBD" w:rsidRDefault="00BC7372" w:rsidP="008F6EBD">
      <w:pPr>
        <w:pStyle w:val="BodyText"/>
        <w:spacing w:before="176" w:line="249" w:lineRule="auto"/>
        <w:ind w:right="241"/>
        <w:rPr>
          <w:color w:val="231F20"/>
        </w:rPr>
      </w:pPr>
      <w:r>
        <w:rPr>
          <w:color w:val="231F20"/>
        </w:rPr>
        <w:t>All of the high-priority potential watering actions were delivered during 2019–20. These included year-round flows to maintain fish habitat in Mullaroo Creek and spring high flows in Mullaroo Creek, Potterwalkagee Creek and the upper reaches of the Lindsay River to help native fish disperse, spawn and recruit. Water for the environment was also</w:t>
      </w:r>
      <w:r>
        <w:rPr>
          <w:color w:val="231F20"/>
          <w:spacing w:val="-4"/>
        </w:rPr>
        <w:t xml:space="preserve"> </w:t>
      </w:r>
      <w:r>
        <w:rPr>
          <w:color w:val="231F20"/>
        </w:rPr>
        <w:t>pumped</w:t>
      </w:r>
      <w:r>
        <w:rPr>
          <w:color w:val="231F20"/>
          <w:spacing w:val="-4"/>
        </w:rPr>
        <w:t xml:space="preserve"> </w:t>
      </w:r>
      <w:r>
        <w:rPr>
          <w:color w:val="231F20"/>
        </w:rPr>
        <w:t>to</w:t>
      </w:r>
      <w:r>
        <w:rPr>
          <w:color w:val="231F20"/>
          <w:spacing w:val="-3"/>
        </w:rPr>
        <w:t xml:space="preserve"> </w:t>
      </w:r>
      <w:r>
        <w:rPr>
          <w:color w:val="231F20"/>
        </w:rPr>
        <w:t>wetlands</w:t>
      </w:r>
      <w:r>
        <w:rPr>
          <w:color w:val="231F20"/>
          <w:spacing w:val="-4"/>
        </w:rPr>
        <w:t xml:space="preserve"> </w:t>
      </w:r>
      <w:r>
        <w:rPr>
          <w:color w:val="231F20"/>
        </w:rPr>
        <w:t>and</w:t>
      </w:r>
      <w:r>
        <w:rPr>
          <w:color w:val="231F20"/>
          <w:spacing w:val="-4"/>
        </w:rPr>
        <w:t xml:space="preserve"> </w:t>
      </w:r>
      <w:r>
        <w:rPr>
          <w:color w:val="231F20"/>
        </w:rPr>
        <w:t>creeks</w:t>
      </w:r>
      <w:r>
        <w:rPr>
          <w:color w:val="231F20"/>
          <w:spacing w:val="-2"/>
        </w:rPr>
        <w:t xml:space="preserve"> </w:t>
      </w:r>
      <w:r>
        <w:rPr>
          <w:color w:val="231F20"/>
        </w:rPr>
        <w:t>on</w:t>
      </w:r>
      <w:r>
        <w:rPr>
          <w:color w:val="231F20"/>
          <w:spacing w:val="-4"/>
        </w:rPr>
        <w:t xml:space="preserve"> </w:t>
      </w:r>
      <w:r>
        <w:rPr>
          <w:color w:val="231F20"/>
        </w:rPr>
        <w:t>Wallpolla</w:t>
      </w:r>
      <w:r>
        <w:rPr>
          <w:color w:val="231F20"/>
          <w:spacing w:val="-4"/>
        </w:rPr>
        <w:t xml:space="preserve"> </w:t>
      </w:r>
      <w:r>
        <w:rPr>
          <w:color w:val="231F20"/>
        </w:rPr>
        <w:t>Island</w:t>
      </w:r>
      <w:r>
        <w:rPr>
          <w:color w:val="231F20"/>
          <w:spacing w:val="-3"/>
        </w:rPr>
        <w:t xml:space="preserve"> </w:t>
      </w:r>
      <w:r>
        <w:rPr>
          <w:color w:val="231F20"/>
        </w:rPr>
        <w:t>in</w:t>
      </w:r>
      <w:r>
        <w:rPr>
          <w:color w:val="231F20"/>
          <w:spacing w:val="-4"/>
        </w:rPr>
        <w:t xml:space="preserve"> </w:t>
      </w:r>
      <w:r>
        <w:rPr>
          <w:color w:val="231F20"/>
        </w:rPr>
        <w:t>spring</w:t>
      </w:r>
      <w:r>
        <w:rPr>
          <w:color w:val="231F20"/>
          <w:spacing w:val="-2"/>
        </w:rPr>
        <w:t xml:space="preserve"> </w:t>
      </w:r>
      <w:r>
        <w:rPr>
          <w:color w:val="231F20"/>
        </w:rPr>
        <w:t>and</w:t>
      </w:r>
      <w:r>
        <w:rPr>
          <w:color w:val="231F20"/>
          <w:spacing w:val="-4"/>
        </w:rPr>
        <w:t xml:space="preserve"> </w:t>
      </w:r>
      <w:r>
        <w:rPr>
          <w:color w:val="231F20"/>
        </w:rPr>
        <w:t>autumn,</w:t>
      </w:r>
      <w:r>
        <w:rPr>
          <w:color w:val="231F20"/>
          <w:spacing w:val="-4"/>
        </w:rPr>
        <w:t xml:space="preserve"> </w:t>
      </w:r>
      <w:r>
        <w:rPr>
          <w:color w:val="231F20"/>
        </w:rPr>
        <w:t>to</w:t>
      </w:r>
      <w:r>
        <w:rPr>
          <w:color w:val="231F20"/>
          <w:spacing w:val="-3"/>
        </w:rPr>
        <w:t xml:space="preserve"> </w:t>
      </w:r>
      <w:r>
        <w:rPr>
          <w:color w:val="231F20"/>
        </w:rPr>
        <w:t>improve</w:t>
      </w:r>
      <w:r>
        <w:rPr>
          <w:color w:val="231F20"/>
          <w:spacing w:val="-4"/>
        </w:rPr>
        <w:t xml:space="preserve"> </w:t>
      </w:r>
      <w:r>
        <w:rPr>
          <w:color w:val="231F20"/>
        </w:rPr>
        <w:t>vegetation</w:t>
      </w:r>
      <w:r>
        <w:rPr>
          <w:color w:val="231F20"/>
          <w:spacing w:val="-3"/>
        </w:rPr>
        <w:t xml:space="preserve"> </w:t>
      </w:r>
      <w:r>
        <w:rPr>
          <w:color w:val="231F20"/>
        </w:rPr>
        <w:t>condition</w:t>
      </w:r>
      <w:r>
        <w:rPr>
          <w:color w:val="231F20"/>
          <w:spacing w:val="-2"/>
        </w:rPr>
        <w:t xml:space="preserve"> </w:t>
      </w:r>
      <w:r>
        <w:rPr>
          <w:color w:val="231F20"/>
        </w:rPr>
        <w:t>and provide habitat for waterbirds and</w:t>
      </w:r>
      <w:r>
        <w:rPr>
          <w:color w:val="231F20"/>
          <w:spacing w:val="-5"/>
        </w:rPr>
        <w:t xml:space="preserve"> </w:t>
      </w:r>
      <w:r>
        <w:rPr>
          <w:color w:val="231F20"/>
        </w:rPr>
        <w:t>fish.</w:t>
      </w:r>
      <w:r w:rsidR="008F6EBD">
        <w:rPr>
          <w:color w:val="231F20"/>
        </w:rPr>
        <w:br w:type="page"/>
      </w:r>
    </w:p>
    <w:p w:rsidR="006A7A3F" w:rsidRDefault="00BC7372">
      <w:pPr>
        <w:spacing w:before="183"/>
        <w:ind w:left="210"/>
        <w:jc w:val="both"/>
        <w:rPr>
          <w:rFonts w:ascii="Helvetica Neue LT Std 75"/>
          <w:b/>
          <w:sz w:val="19"/>
        </w:rPr>
      </w:pPr>
      <w:r>
        <w:rPr>
          <w:rFonts w:ascii="Helvetica Neue LT Std 75"/>
          <w:b/>
          <w:color w:val="231F20"/>
          <w:sz w:val="19"/>
        </w:rPr>
        <w:t>Scope of environmental watering</w:t>
      </w:r>
    </w:p>
    <w:p w:rsidR="006A7A3F" w:rsidRDefault="00BC7372">
      <w:pPr>
        <w:pStyle w:val="BodyText"/>
        <w:spacing w:before="70" w:line="249" w:lineRule="auto"/>
        <w:ind w:right="100"/>
      </w:pPr>
      <w:r>
        <w:rPr>
          <w:color w:val="231F20"/>
        </w:rPr>
        <w:t>Table 5.2.14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5.2.14 Potential environmental watering actions and objectives for the Lindsay, Mulcra and Wallpolla islands</w:t>
      </w:r>
    </w:p>
    <w:p w:rsidR="006A7A3F" w:rsidRDefault="006A7A3F">
      <w:pPr>
        <w:pStyle w:val="BodyText"/>
        <w:spacing w:before="7"/>
        <w:ind w:left="0"/>
        <w:rPr>
          <w:b/>
          <w:sz w:val="8"/>
        </w:rPr>
      </w:pPr>
    </w:p>
    <w:tbl>
      <w:tblPr>
        <w:tblW w:w="10175" w:type="dxa"/>
        <w:tblInd w:w="284"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30"/>
        <w:gridCol w:w="678"/>
      </w:tblGrid>
      <w:tr w:rsidR="006A7A3F" w:rsidTr="00ED248D">
        <w:trPr>
          <w:trHeight w:val="587"/>
          <w:tblHeader/>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3"/>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rsidTr="00ED248D">
        <w:trPr>
          <w:trHeight w:val="333"/>
        </w:trPr>
        <w:tc>
          <w:tcPr>
            <w:tcW w:w="10175" w:type="dxa"/>
            <w:gridSpan w:val="5"/>
            <w:tcBorders>
              <w:top w:val="nil"/>
              <w:left w:val="single" w:sz="4" w:space="0" w:color="231F20"/>
              <w:bottom w:val="single" w:sz="4" w:space="0" w:color="231F20"/>
              <w:right w:val="single" w:sz="4" w:space="0" w:color="231F20"/>
            </w:tcBorders>
            <w:shd w:val="clear" w:color="auto" w:fill="E6E7E8"/>
          </w:tcPr>
          <w:p w:rsidR="006A7A3F" w:rsidRPr="008F6EBD" w:rsidRDefault="00BC7372">
            <w:pPr>
              <w:pStyle w:val="TableParagraph"/>
              <w:spacing w:before="74"/>
              <w:ind w:left="85"/>
              <w:rPr>
                <w:b/>
                <w:bCs/>
                <w:sz w:val="16"/>
              </w:rPr>
            </w:pPr>
            <w:r w:rsidRPr="008F6EBD">
              <w:rPr>
                <w:b/>
                <w:bCs/>
                <w:color w:val="231F20"/>
                <w:sz w:val="16"/>
              </w:rPr>
              <w:t>Lindsay Island – Mullaroo Creek</w:t>
            </w:r>
          </w:p>
        </w:tc>
      </w:tr>
      <w:tr w:rsidR="006A7A3F" w:rsidTr="00494BA5">
        <w:trPr>
          <w:trHeight w:val="109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87"/>
              <w:rPr>
                <w:sz w:val="16"/>
              </w:rPr>
            </w:pPr>
            <w:r>
              <w:rPr>
                <w:color w:val="231F20"/>
                <w:sz w:val="16"/>
              </w:rPr>
              <w:t>Year-round low flow (minimum of 600 ML/day)</w:t>
            </w:r>
          </w:p>
        </w:tc>
        <w:tc>
          <w:tcPr>
            <w:tcW w:w="6236" w:type="dxa"/>
            <w:tcBorders>
              <w:top w:val="single" w:sz="4" w:space="0" w:color="231F20"/>
              <w:left w:val="single" w:sz="4" w:space="0" w:color="231F20"/>
              <w:bottom w:val="single" w:sz="4" w:space="0" w:color="231F20"/>
              <w:right w:val="single" w:sz="4" w:space="0" w:color="231F20"/>
            </w:tcBorders>
          </w:tcPr>
          <w:p w:rsidR="006A7A3F" w:rsidRPr="008F6EBD" w:rsidRDefault="00BC7372">
            <w:pPr>
              <w:pStyle w:val="TableParagraph"/>
              <w:numPr>
                <w:ilvl w:val="0"/>
                <w:numId w:val="320"/>
              </w:numPr>
              <w:tabs>
                <w:tab w:val="left" w:pos="306"/>
              </w:tabs>
              <w:spacing w:before="70" w:line="254" w:lineRule="auto"/>
              <w:ind w:right="366"/>
              <w:rPr>
                <w:sz w:val="16"/>
                <w:szCs w:val="16"/>
              </w:rPr>
            </w:pPr>
            <w:r w:rsidRPr="008F6EBD">
              <w:rPr>
                <w:color w:val="231F20"/>
                <w:sz w:val="16"/>
                <w:szCs w:val="16"/>
              </w:rPr>
              <w:t>Maintain fast-flowing habitat for native fish (such as Murray cod, silver perch and golden</w:t>
            </w:r>
            <w:r w:rsidRPr="008F6EBD">
              <w:rPr>
                <w:color w:val="231F20"/>
                <w:spacing w:val="-4"/>
                <w:sz w:val="16"/>
                <w:szCs w:val="16"/>
              </w:rPr>
              <w:t xml:space="preserve"> </w:t>
            </w:r>
            <w:r w:rsidRPr="008F6EBD">
              <w:rPr>
                <w:color w:val="231F20"/>
                <w:sz w:val="16"/>
                <w:szCs w:val="16"/>
              </w:rPr>
              <w:t>perch)</w:t>
            </w:r>
          </w:p>
          <w:p w:rsidR="006A7A3F" w:rsidRPr="008F6EBD" w:rsidRDefault="00BC7372">
            <w:pPr>
              <w:pStyle w:val="TableParagraph"/>
              <w:numPr>
                <w:ilvl w:val="0"/>
                <w:numId w:val="320"/>
              </w:numPr>
              <w:tabs>
                <w:tab w:val="left" w:pos="306"/>
              </w:tabs>
              <w:spacing w:before="87" w:line="254" w:lineRule="auto"/>
              <w:ind w:right="536"/>
              <w:rPr>
                <w:sz w:val="16"/>
                <w:szCs w:val="16"/>
              </w:rPr>
            </w:pPr>
            <w:r w:rsidRPr="008F6EBD">
              <w:rPr>
                <w:color w:val="231F20"/>
                <w:sz w:val="16"/>
                <w:szCs w:val="16"/>
              </w:rPr>
              <w:t>Maintain habitat for aquatic vegetation and maintain soil moisture</w:t>
            </w:r>
            <w:r w:rsidRPr="008F6EBD">
              <w:rPr>
                <w:color w:val="231F20"/>
                <w:spacing w:val="-17"/>
                <w:sz w:val="16"/>
                <w:szCs w:val="16"/>
              </w:rPr>
              <w:t xml:space="preserve"> </w:t>
            </w:r>
            <w:r w:rsidRPr="008F6EBD">
              <w:rPr>
                <w:color w:val="231F20"/>
                <w:sz w:val="16"/>
                <w:szCs w:val="16"/>
              </w:rPr>
              <w:t>to maintain the condition of streamside</w:t>
            </w:r>
            <w:r w:rsidRPr="008F6EBD">
              <w:rPr>
                <w:color w:val="231F20"/>
                <w:spacing w:val="-2"/>
                <w:sz w:val="16"/>
                <w:szCs w:val="16"/>
              </w:rPr>
              <w:t xml:space="preserve"> </w:t>
            </w:r>
            <w:r w:rsidRPr="008F6EBD">
              <w:rPr>
                <w:color w:val="231F20"/>
                <w:sz w:val="16"/>
                <w:szCs w:val="16"/>
              </w:rPr>
              <w:t>vegetation</w:t>
            </w:r>
          </w:p>
        </w:tc>
        <w:tc>
          <w:tcPr>
            <w:tcW w:w="850" w:type="dxa"/>
            <w:tcBorders>
              <w:top w:val="single" w:sz="4" w:space="0" w:color="231F20"/>
              <w:left w:val="single" w:sz="4" w:space="0" w:color="231F20"/>
              <w:bottom w:val="single" w:sz="4" w:space="0" w:color="auto"/>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194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gridSpan w:val="2"/>
            <w:tcBorders>
              <w:top w:val="single" w:sz="4" w:space="0" w:color="231F20"/>
              <w:left w:val="nil"/>
              <w:bottom w:val="single" w:sz="4" w:space="0" w:color="auto"/>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194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494BA5" w:rsidTr="00494BA5">
        <w:trPr>
          <w:trHeight w:val="933"/>
        </w:trPr>
        <w:tc>
          <w:tcPr>
            <w:tcW w:w="2381" w:type="dxa"/>
            <w:tcBorders>
              <w:top w:val="single" w:sz="4" w:space="0" w:color="231F20"/>
              <w:left w:val="single" w:sz="4" w:space="0" w:color="231F20"/>
              <w:bottom w:val="single" w:sz="4" w:space="0" w:color="231F20"/>
              <w:right w:val="single" w:sz="4" w:space="0" w:color="231F20"/>
            </w:tcBorders>
          </w:tcPr>
          <w:p w:rsidR="00494BA5" w:rsidRDefault="00494BA5">
            <w:pPr>
              <w:pStyle w:val="TableParagraph"/>
              <w:spacing w:before="74" w:line="261" w:lineRule="auto"/>
              <w:ind w:left="85" w:right="77"/>
              <w:rPr>
                <w:sz w:val="16"/>
              </w:rPr>
            </w:pPr>
            <w:r>
              <w:rPr>
                <w:color w:val="231F20"/>
                <w:sz w:val="16"/>
              </w:rPr>
              <w:t>Spring fresh (one fresh of up to 1,000-1,400 ML/day for three months during September to November)</w:t>
            </w:r>
          </w:p>
        </w:tc>
        <w:tc>
          <w:tcPr>
            <w:tcW w:w="6236" w:type="dxa"/>
            <w:tcBorders>
              <w:top w:val="single" w:sz="4" w:space="0" w:color="231F20"/>
              <w:left w:val="single" w:sz="4" w:space="0" w:color="231F20"/>
              <w:bottom w:val="single" w:sz="4" w:space="0" w:color="231F20"/>
              <w:right w:val="single" w:sz="4" w:space="0" w:color="auto"/>
            </w:tcBorders>
          </w:tcPr>
          <w:p w:rsidR="00494BA5" w:rsidRPr="008F6EBD" w:rsidRDefault="00494BA5">
            <w:pPr>
              <w:pStyle w:val="TableParagraph"/>
              <w:numPr>
                <w:ilvl w:val="0"/>
                <w:numId w:val="319"/>
              </w:numPr>
              <w:tabs>
                <w:tab w:val="left" w:pos="306"/>
              </w:tabs>
              <w:spacing w:before="70" w:line="254" w:lineRule="auto"/>
              <w:ind w:right="137"/>
              <w:rPr>
                <w:sz w:val="16"/>
                <w:szCs w:val="16"/>
              </w:rPr>
            </w:pPr>
            <w:r w:rsidRPr="008F6EBD">
              <w:rPr>
                <w:color w:val="231F20"/>
                <w:sz w:val="16"/>
                <w:szCs w:val="16"/>
              </w:rPr>
              <w:t>Cue fish movement and spawning and improve recruitment</w:t>
            </w:r>
            <w:r w:rsidRPr="008F6EBD">
              <w:rPr>
                <w:color w:val="231F20"/>
                <w:spacing w:val="-28"/>
                <w:sz w:val="16"/>
                <w:szCs w:val="16"/>
              </w:rPr>
              <w:t xml:space="preserve"> </w:t>
            </w:r>
            <w:r w:rsidRPr="008F6EBD">
              <w:rPr>
                <w:color w:val="231F20"/>
                <w:sz w:val="16"/>
                <w:szCs w:val="16"/>
              </w:rPr>
              <w:t>opportunities for native</w:t>
            </w:r>
            <w:r w:rsidRPr="008F6EBD">
              <w:rPr>
                <w:color w:val="231F20"/>
                <w:spacing w:val="-2"/>
                <w:sz w:val="16"/>
                <w:szCs w:val="16"/>
              </w:rPr>
              <w:t xml:space="preserve"> </w:t>
            </w:r>
            <w:r w:rsidRPr="008F6EBD">
              <w:rPr>
                <w:color w:val="231F20"/>
                <w:sz w:val="16"/>
                <w:szCs w:val="16"/>
              </w:rPr>
              <w:t>fish</w:t>
            </w:r>
          </w:p>
        </w:tc>
        <w:tc>
          <w:tcPr>
            <w:tcW w:w="880" w:type="dxa"/>
            <w:gridSpan w:val="2"/>
            <w:tcBorders>
              <w:top w:val="single" w:sz="4" w:space="0" w:color="auto"/>
              <w:left w:val="single" w:sz="4" w:space="0" w:color="auto"/>
              <w:bottom w:val="single" w:sz="4" w:space="0" w:color="auto"/>
              <w:right w:val="nil"/>
            </w:tcBorders>
          </w:tcPr>
          <w:p w:rsidR="00494BA5" w:rsidRDefault="00494BA5" w:rsidP="00494BA5">
            <w:pPr>
              <w:pStyle w:val="TableParagraph"/>
              <w:spacing w:before="4" w:after="1"/>
              <w:ind w:left="0"/>
              <w:rPr>
                <w:b/>
                <w:sz w:val="9"/>
              </w:rPr>
            </w:pPr>
            <w:r>
              <w:rPr>
                <w:b/>
                <w:sz w:val="9"/>
              </w:rPr>
              <w:t xml:space="preserve">   </w:t>
            </w:r>
          </w:p>
          <w:p w:rsidR="00494BA5" w:rsidRDefault="00494BA5" w:rsidP="00494BA5">
            <w:pPr>
              <w:pStyle w:val="TableParagraph"/>
              <w:spacing w:before="4" w:after="1"/>
              <w:ind w:left="0"/>
              <w:rPr>
                <w:b/>
                <w:sz w:val="9"/>
              </w:rPr>
            </w:pPr>
            <w:r>
              <w:rPr>
                <w:b/>
                <w:sz w:val="9"/>
              </w:rPr>
              <w:t xml:space="preserve">            </w:t>
            </w:r>
            <w:r>
              <w:rPr>
                <w:noProof/>
                <w:sz w:val="20"/>
              </w:rPr>
              <w:drawing>
                <wp:inline distT="0" distB="0" distL="0" distR="0" wp14:anchorId="4B3520A0" wp14:editId="50317C9E">
                  <wp:extent cx="314168" cy="310896"/>
                  <wp:effectExtent l="0" t="0" r="0" b="0"/>
                  <wp:docPr id="195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678" w:type="dxa"/>
            <w:tcBorders>
              <w:top w:val="single" w:sz="4" w:space="0" w:color="auto"/>
              <w:left w:val="nil"/>
              <w:bottom w:val="single" w:sz="4" w:space="0" w:color="auto"/>
              <w:right w:val="single" w:sz="4" w:space="0" w:color="auto"/>
            </w:tcBorders>
          </w:tcPr>
          <w:p w:rsidR="00494BA5" w:rsidRDefault="00494BA5">
            <w:pPr>
              <w:pStyle w:val="TableParagraph"/>
              <w:ind w:left="170"/>
              <w:rPr>
                <w:sz w:val="20"/>
              </w:rPr>
            </w:pPr>
            <w:r>
              <w:rPr>
                <w:sz w:val="20"/>
              </w:rPr>
              <w:t xml:space="preserve">   </w:t>
            </w:r>
          </w:p>
        </w:tc>
      </w:tr>
      <w:tr w:rsidR="006A7A3F" w:rsidTr="00ED248D">
        <w:trPr>
          <w:trHeight w:val="333"/>
        </w:trPr>
        <w:tc>
          <w:tcPr>
            <w:tcW w:w="10175" w:type="dxa"/>
            <w:gridSpan w:val="5"/>
            <w:tcBorders>
              <w:top w:val="single" w:sz="4" w:space="0" w:color="231F20"/>
              <w:left w:val="single" w:sz="4" w:space="0" w:color="231F20"/>
              <w:bottom w:val="single" w:sz="4" w:space="0" w:color="231F20"/>
              <w:right w:val="single" w:sz="4" w:space="0" w:color="231F20"/>
            </w:tcBorders>
            <w:shd w:val="clear" w:color="auto" w:fill="E6E7E8"/>
          </w:tcPr>
          <w:p w:rsidR="006A7A3F" w:rsidRPr="00ED248D" w:rsidRDefault="00BC7372">
            <w:pPr>
              <w:pStyle w:val="TableParagraph"/>
              <w:spacing w:before="74"/>
              <w:ind w:left="85"/>
              <w:rPr>
                <w:b/>
                <w:bCs/>
                <w:sz w:val="16"/>
              </w:rPr>
            </w:pPr>
            <w:r w:rsidRPr="00ED248D">
              <w:rPr>
                <w:b/>
                <w:bCs/>
                <w:color w:val="231F20"/>
                <w:sz w:val="16"/>
              </w:rPr>
              <w:t>Lindsay Island – Lindsay River</w:t>
            </w:r>
          </w:p>
        </w:tc>
      </w:tr>
      <w:tr w:rsidR="006A7A3F" w:rsidTr="00ED248D">
        <w:trPr>
          <w:trHeight w:val="17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65"/>
              <w:rPr>
                <w:sz w:val="16"/>
              </w:rPr>
            </w:pPr>
            <w:r>
              <w:rPr>
                <w:color w:val="231F20"/>
                <w:sz w:val="16"/>
              </w:rPr>
              <w:t xml:space="preserve">Spring/summer fresh (one fresh of 65-200 ML/day via the northern regulator and one fresh of 20-200 ML/day via the southern regulator for a maximum of four months during September </w:t>
            </w:r>
            <w:r>
              <w:rPr>
                <w:color w:val="231F20"/>
                <w:spacing w:val="-6"/>
                <w:sz w:val="16"/>
              </w:rPr>
              <w:t xml:space="preserve">to </w:t>
            </w:r>
            <w:r>
              <w:rPr>
                <w:color w:val="231F20"/>
                <w:sz w:val="16"/>
              </w:rPr>
              <w:t>December)</w:t>
            </w:r>
          </w:p>
        </w:tc>
        <w:tc>
          <w:tcPr>
            <w:tcW w:w="6236" w:type="dxa"/>
            <w:tcBorders>
              <w:top w:val="single" w:sz="4" w:space="0" w:color="231F20"/>
              <w:left w:val="single" w:sz="4" w:space="0" w:color="231F20"/>
              <w:bottom w:val="single" w:sz="4" w:space="0" w:color="231F20"/>
              <w:right w:val="single" w:sz="4" w:space="0" w:color="231F20"/>
            </w:tcBorders>
          </w:tcPr>
          <w:p w:rsidR="006A7A3F" w:rsidRPr="008F6EBD" w:rsidRDefault="00BC7372">
            <w:pPr>
              <w:pStyle w:val="TableParagraph"/>
              <w:numPr>
                <w:ilvl w:val="0"/>
                <w:numId w:val="318"/>
              </w:numPr>
              <w:tabs>
                <w:tab w:val="left" w:pos="306"/>
              </w:tabs>
              <w:spacing w:before="70" w:line="254" w:lineRule="auto"/>
              <w:ind w:right="825"/>
              <w:rPr>
                <w:sz w:val="16"/>
                <w:szCs w:val="16"/>
              </w:rPr>
            </w:pPr>
            <w:r w:rsidRPr="008F6EBD">
              <w:rPr>
                <w:color w:val="231F20"/>
                <w:sz w:val="16"/>
                <w:szCs w:val="16"/>
              </w:rPr>
              <w:t>Provide temporary flowing water to reconnect pools and support dispersal, spawning and recruitment opportunities for native</w:t>
            </w:r>
            <w:r w:rsidRPr="008F6EBD">
              <w:rPr>
                <w:color w:val="231F20"/>
                <w:spacing w:val="-29"/>
                <w:sz w:val="16"/>
                <w:szCs w:val="16"/>
              </w:rPr>
              <w:t xml:space="preserve"> </w:t>
            </w:r>
            <w:r w:rsidRPr="008F6EBD">
              <w:rPr>
                <w:color w:val="231F20"/>
                <w:sz w:val="16"/>
                <w:szCs w:val="16"/>
              </w:rPr>
              <w:t>fish</w:t>
            </w:r>
          </w:p>
          <w:p w:rsidR="006A7A3F" w:rsidRPr="008F6EBD" w:rsidRDefault="00BC7372">
            <w:pPr>
              <w:pStyle w:val="TableParagraph"/>
              <w:numPr>
                <w:ilvl w:val="0"/>
                <w:numId w:val="318"/>
              </w:numPr>
              <w:tabs>
                <w:tab w:val="left" w:pos="306"/>
              </w:tabs>
              <w:spacing w:before="87" w:line="254" w:lineRule="auto"/>
              <w:ind w:right="207"/>
              <w:rPr>
                <w:sz w:val="16"/>
                <w:szCs w:val="16"/>
              </w:rPr>
            </w:pPr>
            <w:r w:rsidRPr="008F6EBD">
              <w:rPr>
                <w:color w:val="231F20"/>
                <w:sz w:val="16"/>
                <w:szCs w:val="16"/>
              </w:rPr>
              <w:t>Wet the substrate and debris (snags) close to the bank to promote the growth</w:t>
            </w:r>
            <w:r w:rsidRPr="008F6EBD">
              <w:rPr>
                <w:color w:val="231F20"/>
                <w:spacing w:val="-4"/>
                <w:sz w:val="16"/>
                <w:szCs w:val="16"/>
              </w:rPr>
              <w:t xml:space="preserve"> </w:t>
            </w:r>
            <w:r w:rsidRPr="008F6EBD">
              <w:rPr>
                <w:color w:val="231F20"/>
                <w:sz w:val="16"/>
                <w:szCs w:val="16"/>
              </w:rPr>
              <w:t>of</w:t>
            </w:r>
            <w:r w:rsidRPr="008F6EBD">
              <w:rPr>
                <w:color w:val="231F20"/>
                <w:spacing w:val="-4"/>
                <w:sz w:val="16"/>
                <w:szCs w:val="16"/>
              </w:rPr>
              <w:t xml:space="preserve"> </w:t>
            </w:r>
            <w:r w:rsidRPr="008F6EBD">
              <w:rPr>
                <w:color w:val="231F20"/>
                <w:sz w:val="16"/>
                <w:szCs w:val="16"/>
              </w:rPr>
              <w:t>biofilms,</w:t>
            </w:r>
            <w:r w:rsidRPr="008F6EBD">
              <w:rPr>
                <w:color w:val="231F20"/>
                <w:spacing w:val="-4"/>
                <w:sz w:val="16"/>
                <w:szCs w:val="16"/>
              </w:rPr>
              <w:t xml:space="preserve"> </w:t>
            </w:r>
            <w:r w:rsidRPr="008F6EBD">
              <w:rPr>
                <w:color w:val="231F20"/>
                <w:sz w:val="16"/>
                <w:szCs w:val="16"/>
              </w:rPr>
              <w:t>which</w:t>
            </w:r>
            <w:r w:rsidRPr="008F6EBD">
              <w:rPr>
                <w:color w:val="231F20"/>
                <w:spacing w:val="-4"/>
                <w:sz w:val="16"/>
                <w:szCs w:val="16"/>
              </w:rPr>
              <w:t xml:space="preserve"> </w:t>
            </w:r>
            <w:r w:rsidRPr="008F6EBD">
              <w:rPr>
                <w:color w:val="231F20"/>
                <w:sz w:val="16"/>
                <w:szCs w:val="16"/>
              </w:rPr>
              <w:t>provide</w:t>
            </w:r>
            <w:r w:rsidRPr="008F6EBD">
              <w:rPr>
                <w:color w:val="231F20"/>
                <w:spacing w:val="-3"/>
                <w:sz w:val="16"/>
                <w:szCs w:val="16"/>
              </w:rPr>
              <w:t xml:space="preserve"> </w:t>
            </w:r>
            <w:r w:rsidRPr="008F6EBD">
              <w:rPr>
                <w:color w:val="231F20"/>
                <w:sz w:val="16"/>
                <w:szCs w:val="16"/>
              </w:rPr>
              <w:t>a</w:t>
            </w:r>
            <w:r w:rsidRPr="008F6EBD">
              <w:rPr>
                <w:color w:val="231F20"/>
                <w:spacing w:val="-4"/>
                <w:sz w:val="16"/>
                <w:szCs w:val="16"/>
              </w:rPr>
              <w:t xml:space="preserve"> </w:t>
            </w:r>
            <w:r w:rsidRPr="008F6EBD">
              <w:rPr>
                <w:color w:val="231F20"/>
                <w:sz w:val="16"/>
                <w:szCs w:val="16"/>
              </w:rPr>
              <w:t>food</w:t>
            </w:r>
            <w:r w:rsidRPr="008F6EBD">
              <w:rPr>
                <w:color w:val="231F20"/>
                <w:spacing w:val="-3"/>
                <w:sz w:val="16"/>
                <w:szCs w:val="16"/>
              </w:rPr>
              <w:t xml:space="preserve"> </w:t>
            </w:r>
            <w:r w:rsidRPr="008F6EBD">
              <w:rPr>
                <w:color w:val="231F20"/>
                <w:sz w:val="16"/>
                <w:szCs w:val="16"/>
              </w:rPr>
              <w:t>source</w:t>
            </w:r>
            <w:r w:rsidRPr="008F6EBD">
              <w:rPr>
                <w:color w:val="231F20"/>
                <w:spacing w:val="-3"/>
                <w:sz w:val="16"/>
                <w:szCs w:val="16"/>
              </w:rPr>
              <w:t xml:space="preserve"> </w:t>
            </w:r>
            <w:r w:rsidRPr="008F6EBD">
              <w:rPr>
                <w:color w:val="231F20"/>
                <w:sz w:val="16"/>
                <w:szCs w:val="16"/>
              </w:rPr>
              <w:t>for</w:t>
            </w:r>
            <w:r w:rsidRPr="008F6EBD">
              <w:rPr>
                <w:color w:val="231F20"/>
                <w:spacing w:val="-3"/>
                <w:sz w:val="16"/>
                <w:szCs w:val="16"/>
              </w:rPr>
              <w:t xml:space="preserve"> </w:t>
            </w:r>
            <w:r w:rsidRPr="008F6EBD">
              <w:rPr>
                <w:color w:val="231F20"/>
                <w:sz w:val="16"/>
                <w:szCs w:val="16"/>
              </w:rPr>
              <w:t>animals</w:t>
            </w:r>
            <w:r w:rsidRPr="008F6EBD">
              <w:rPr>
                <w:color w:val="231F20"/>
                <w:spacing w:val="-3"/>
                <w:sz w:val="16"/>
                <w:szCs w:val="16"/>
              </w:rPr>
              <w:t xml:space="preserve"> </w:t>
            </w:r>
            <w:r w:rsidRPr="008F6EBD">
              <w:rPr>
                <w:color w:val="231F20"/>
                <w:sz w:val="16"/>
                <w:szCs w:val="16"/>
              </w:rPr>
              <w:t>higher</w:t>
            </w:r>
            <w:r w:rsidRPr="008F6EBD">
              <w:rPr>
                <w:color w:val="231F20"/>
                <w:spacing w:val="-4"/>
                <w:sz w:val="16"/>
                <w:szCs w:val="16"/>
              </w:rPr>
              <w:t xml:space="preserve"> </w:t>
            </w:r>
            <w:r w:rsidRPr="008F6EBD">
              <w:rPr>
                <w:color w:val="231F20"/>
                <w:sz w:val="16"/>
                <w:szCs w:val="16"/>
              </w:rPr>
              <w:t>in</w:t>
            </w:r>
            <w:r w:rsidRPr="008F6EBD">
              <w:rPr>
                <w:color w:val="231F20"/>
                <w:spacing w:val="-4"/>
                <w:sz w:val="16"/>
                <w:szCs w:val="16"/>
              </w:rPr>
              <w:t xml:space="preserve"> </w:t>
            </w:r>
            <w:r w:rsidRPr="008F6EBD">
              <w:rPr>
                <w:color w:val="231F20"/>
                <w:sz w:val="16"/>
                <w:szCs w:val="16"/>
              </w:rPr>
              <w:t>the food chain</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95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gridSpan w:val="2"/>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955"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image42.jpeg"/>
                          <pic:cNvPicPr/>
                        </pic:nvPicPr>
                        <pic:blipFill>
                          <a:blip r:embed="rId54" cstate="print"/>
                          <a:stretch>
                            <a:fillRect/>
                          </a:stretch>
                        </pic:blipFill>
                        <pic:spPr>
                          <a:xfrm>
                            <a:off x="0" y="0"/>
                            <a:ext cx="314168" cy="310896"/>
                          </a:xfrm>
                          <a:prstGeom prst="rect">
                            <a:avLst/>
                          </a:prstGeom>
                        </pic:spPr>
                      </pic:pic>
                    </a:graphicData>
                  </a:graphic>
                </wp:inline>
              </w:drawing>
            </w:r>
          </w:p>
        </w:tc>
      </w:tr>
      <w:tr w:rsidR="006A7A3F" w:rsidTr="00ED248D">
        <w:trPr>
          <w:trHeight w:val="11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80"/>
              <w:rPr>
                <w:sz w:val="16"/>
              </w:rPr>
            </w:pPr>
            <w:r>
              <w:rPr>
                <w:color w:val="231F20"/>
                <w:sz w:val="16"/>
              </w:rPr>
              <w:t>Autumn/winter fresh (one fresh of 130 ML/day via the northern regulator and 90 ML/day via the southern regulator for two months during May to June)</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317"/>
              </w:numPr>
              <w:tabs>
                <w:tab w:val="left" w:pos="306"/>
              </w:tabs>
              <w:spacing w:before="70" w:line="254" w:lineRule="auto"/>
              <w:ind w:right="207"/>
              <w:rPr>
                <w:sz w:val="10"/>
              </w:rPr>
            </w:pPr>
            <w:r w:rsidRPr="008F6EBD">
              <w:rPr>
                <w:color w:val="231F20"/>
                <w:sz w:val="16"/>
                <w:szCs w:val="16"/>
              </w:rPr>
              <w:t>Wet the substrate and debris (snags) close to the bank to promote the growth</w:t>
            </w:r>
            <w:r w:rsidRPr="008F6EBD">
              <w:rPr>
                <w:color w:val="231F20"/>
                <w:spacing w:val="-4"/>
                <w:sz w:val="16"/>
                <w:szCs w:val="16"/>
              </w:rPr>
              <w:t xml:space="preserve"> </w:t>
            </w:r>
            <w:r w:rsidRPr="008F6EBD">
              <w:rPr>
                <w:color w:val="231F20"/>
                <w:sz w:val="16"/>
                <w:szCs w:val="16"/>
              </w:rPr>
              <w:t>of</w:t>
            </w:r>
            <w:r w:rsidRPr="008F6EBD">
              <w:rPr>
                <w:color w:val="231F20"/>
                <w:spacing w:val="-4"/>
                <w:sz w:val="16"/>
                <w:szCs w:val="16"/>
              </w:rPr>
              <w:t xml:space="preserve"> </w:t>
            </w:r>
            <w:r w:rsidRPr="008F6EBD">
              <w:rPr>
                <w:color w:val="231F20"/>
                <w:sz w:val="16"/>
                <w:szCs w:val="16"/>
              </w:rPr>
              <w:t>biofilms,</w:t>
            </w:r>
            <w:r w:rsidRPr="008F6EBD">
              <w:rPr>
                <w:color w:val="231F20"/>
                <w:spacing w:val="-4"/>
                <w:sz w:val="16"/>
                <w:szCs w:val="16"/>
              </w:rPr>
              <w:t xml:space="preserve"> </w:t>
            </w:r>
            <w:r w:rsidRPr="008F6EBD">
              <w:rPr>
                <w:color w:val="231F20"/>
                <w:sz w:val="16"/>
                <w:szCs w:val="16"/>
              </w:rPr>
              <w:t>which</w:t>
            </w:r>
            <w:r w:rsidRPr="008F6EBD">
              <w:rPr>
                <w:color w:val="231F20"/>
                <w:spacing w:val="-4"/>
                <w:sz w:val="16"/>
                <w:szCs w:val="16"/>
              </w:rPr>
              <w:t xml:space="preserve"> </w:t>
            </w:r>
            <w:r w:rsidRPr="008F6EBD">
              <w:rPr>
                <w:color w:val="231F20"/>
                <w:sz w:val="16"/>
                <w:szCs w:val="16"/>
              </w:rPr>
              <w:t>provide</w:t>
            </w:r>
            <w:r w:rsidRPr="008F6EBD">
              <w:rPr>
                <w:color w:val="231F20"/>
                <w:spacing w:val="-3"/>
                <w:sz w:val="16"/>
                <w:szCs w:val="16"/>
              </w:rPr>
              <w:t xml:space="preserve"> </w:t>
            </w:r>
            <w:r w:rsidRPr="008F6EBD">
              <w:rPr>
                <w:color w:val="231F20"/>
                <w:sz w:val="16"/>
                <w:szCs w:val="16"/>
              </w:rPr>
              <w:t>a</w:t>
            </w:r>
            <w:r w:rsidRPr="008F6EBD">
              <w:rPr>
                <w:color w:val="231F20"/>
                <w:spacing w:val="-4"/>
                <w:sz w:val="16"/>
                <w:szCs w:val="16"/>
              </w:rPr>
              <w:t xml:space="preserve"> </w:t>
            </w:r>
            <w:r w:rsidRPr="008F6EBD">
              <w:rPr>
                <w:color w:val="231F20"/>
                <w:sz w:val="16"/>
                <w:szCs w:val="16"/>
              </w:rPr>
              <w:t>food</w:t>
            </w:r>
            <w:r w:rsidRPr="008F6EBD">
              <w:rPr>
                <w:color w:val="231F20"/>
                <w:spacing w:val="-3"/>
                <w:sz w:val="16"/>
                <w:szCs w:val="16"/>
              </w:rPr>
              <w:t xml:space="preserve"> </w:t>
            </w:r>
            <w:r w:rsidRPr="008F6EBD">
              <w:rPr>
                <w:color w:val="231F20"/>
                <w:sz w:val="16"/>
                <w:szCs w:val="16"/>
              </w:rPr>
              <w:t>source</w:t>
            </w:r>
            <w:r w:rsidRPr="008F6EBD">
              <w:rPr>
                <w:color w:val="231F20"/>
                <w:spacing w:val="-3"/>
                <w:sz w:val="16"/>
                <w:szCs w:val="16"/>
              </w:rPr>
              <w:t xml:space="preserve"> </w:t>
            </w:r>
            <w:r w:rsidRPr="008F6EBD">
              <w:rPr>
                <w:color w:val="231F20"/>
                <w:sz w:val="16"/>
                <w:szCs w:val="16"/>
              </w:rPr>
              <w:t>for</w:t>
            </w:r>
            <w:r w:rsidRPr="008F6EBD">
              <w:rPr>
                <w:color w:val="231F20"/>
                <w:spacing w:val="-3"/>
                <w:sz w:val="16"/>
                <w:szCs w:val="16"/>
              </w:rPr>
              <w:t xml:space="preserve"> </w:t>
            </w:r>
            <w:r w:rsidRPr="008F6EBD">
              <w:rPr>
                <w:color w:val="231F20"/>
                <w:sz w:val="16"/>
                <w:szCs w:val="16"/>
              </w:rPr>
              <w:t>animals</w:t>
            </w:r>
            <w:r w:rsidRPr="008F6EBD">
              <w:rPr>
                <w:color w:val="231F20"/>
                <w:spacing w:val="-3"/>
                <w:sz w:val="16"/>
                <w:szCs w:val="16"/>
              </w:rPr>
              <w:t xml:space="preserve"> </w:t>
            </w:r>
            <w:r w:rsidRPr="008F6EBD">
              <w:rPr>
                <w:color w:val="231F20"/>
                <w:sz w:val="16"/>
                <w:szCs w:val="16"/>
              </w:rPr>
              <w:t>higher</w:t>
            </w:r>
            <w:r w:rsidRPr="008F6EBD">
              <w:rPr>
                <w:color w:val="231F20"/>
                <w:spacing w:val="-4"/>
                <w:sz w:val="16"/>
                <w:szCs w:val="16"/>
              </w:rPr>
              <w:t xml:space="preserve"> </w:t>
            </w:r>
            <w:r w:rsidRPr="008F6EBD">
              <w:rPr>
                <w:color w:val="231F20"/>
                <w:sz w:val="16"/>
                <w:szCs w:val="16"/>
              </w:rPr>
              <w:t>in</w:t>
            </w:r>
            <w:r w:rsidRPr="008F6EBD">
              <w:rPr>
                <w:color w:val="231F20"/>
                <w:spacing w:val="-4"/>
                <w:sz w:val="16"/>
                <w:szCs w:val="16"/>
              </w:rPr>
              <w:t xml:space="preserve"> </w:t>
            </w:r>
            <w:r w:rsidRPr="008F6EBD">
              <w:rPr>
                <w:color w:val="231F20"/>
                <w:sz w:val="16"/>
                <w:szCs w:val="16"/>
              </w:rPr>
              <w:t>the food</w:t>
            </w:r>
            <w:r>
              <w:rPr>
                <w:color w:val="231F20"/>
                <w:sz w:val="18"/>
              </w:rPr>
              <w:t xml:space="preserve"> </w:t>
            </w:r>
            <w:r w:rsidRPr="008F6EBD">
              <w:rPr>
                <w:color w:val="231F20"/>
                <w:sz w:val="16"/>
                <w:szCs w:val="16"/>
              </w:rPr>
              <w:t>chain</w:t>
            </w:r>
            <w:r>
              <w:rPr>
                <w:color w:val="231F20"/>
                <w:position w:val="6"/>
                <w:sz w:val="10"/>
              </w:rPr>
              <w:t>1</w:t>
            </w:r>
          </w:p>
        </w:tc>
        <w:tc>
          <w:tcPr>
            <w:tcW w:w="1558" w:type="dxa"/>
            <w:gridSpan w:val="3"/>
            <w:tcBorders>
              <w:top w:val="single" w:sz="4" w:space="0" w:color="231F20"/>
              <w:left w:val="single" w:sz="4" w:space="0" w:color="231F20"/>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8F6EBD">
            <w:pPr>
              <w:pStyle w:val="TableParagraph"/>
              <w:ind w:left="170"/>
              <w:rPr>
                <w:sz w:val="20"/>
              </w:rPr>
            </w:pPr>
            <w:r>
              <w:rPr>
                <w:sz w:val="20"/>
              </w:rPr>
              <w:t xml:space="preserve">   </w:t>
            </w:r>
            <w:r w:rsidR="00BC7372">
              <w:rPr>
                <w:noProof/>
                <w:sz w:val="20"/>
              </w:rPr>
              <w:drawing>
                <wp:inline distT="0" distB="0" distL="0" distR="0">
                  <wp:extent cx="314168" cy="310896"/>
                  <wp:effectExtent l="0" t="0" r="0" b="0"/>
                  <wp:docPr id="1957"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42.jpeg"/>
                          <pic:cNvPicPr/>
                        </pic:nvPicPr>
                        <pic:blipFill>
                          <a:blip r:embed="rId54" cstate="print"/>
                          <a:stretch>
                            <a:fillRect/>
                          </a:stretch>
                        </pic:blipFill>
                        <pic:spPr>
                          <a:xfrm>
                            <a:off x="0" y="0"/>
                            <a:ext cx="314168" cy="310896"/>
                          </a:xfrm>
                          <a:prstGeom prst="rect">
                            <a:avLst/>
                          </a:prstGeom>
                        </pic:spPr>
                      </pic:pic>
                    </a:graphicData>
                  </a:graphic>
                </wp:inline>
              </w:drawing>
            </w:r>
          </w:p>
        </w:tc>
      </w:tr>
      <w:tr w:rsidR="006A7A3F" w:rsidTr="00ED248D">
        <w:trPr>
          <w:trHeight w:val="333"/>
        </w:trPr>
        <w:tc>
          <w:tcPr>
            <w:tcW w:w="10175" w:type="dxa"/>
            <w:gridSpan w:val="5"/>
            <w:tcBorders>
              <w:top w:val="single" w:sz="4" w:space="0" w:color="231F20"/>
              <w:left w:val="single" w:sz="4" w:space="0" w:color="231F20"/>
              <w:bottom w:val="single" w:sz="4" w:space="0" w:color="231F20"/>
              <w:right w:val="single" w:sz="4" w:space="0" w:color="231F20"/>
            </w:tcBorders>
            <w:shd w:val="clear" w:color="auto" w:fill="E6E7E8"/>
          </w:tcPr>
          <w:p w:rsidR="006A7A3F" w:rsidRPr="00ED248D" w:rsidRDefault="00BC7372">
            <w:pPr>
              <w:pStyle w:val="TableParagraph"/>
              <w:spacing w:before="74"/>
              <w:ind w:left="85"/>
              <w:rPr>
                <w:b/>
                <w:bCs/>
                <w:sz w:val="16"/>
              </w:rPr>
            </w:pPr>
            <w:r w:rsidRPr="00ED248D">
              <w:rPr>
                <w:b/>
                <w:bCs/>
                <w:color w:val="231F20"/>
                <w:sz w:val="16"/>
              </w:rPr>
              <w:t>Lindsay Island wetlands</w:t>
            </w:r>
          </w:p>
        </w:tc>
      </w:tr>
      <w:tr w:rsidR="006A7A3F" w:rsidTr="00ED248D">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Pr>
                <w:sz w:val="16"/>
              </w:rPr>
            </w:pPr>
            <w:r>
              <w:rPr>
                <w:color w:val="231F20"/>
                <w:sz w:val="16"/>
              </w:rPr>
              <w:t>Websters Lagoon (complete fill in spring)</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F6EBD" w:rsidRDefault="00BC7372">
            <w:pPr>
              <w:pStyle w:val="TableParagraph"/>
              <w:numPr>
                <w:ilvl w:val="0"/>
                <w:numId w:val="316"/>
              </w:numPr>
              <w:tabs>
                <w:tab w:val="left" w:pos="306"/>
              </w:tabs>
              <w:spacing w:before="70" w:line="254" w:lineRule="auto"/>
              <w:ind w:right="206"/>
              <w:rPr>
                <w:sz w:val="16"/>
                <w:szCs w:val="16"/>
              </w:rPr>
            </w:pPr>
            <w:r w:rsidRPr="008F6EBD">
              <w:rPr>
                <w:color w:val="231F20"/>
                <w:sz w:val="16"/>
                <w:szCs w:val="16"/>
              </w:rPr>
              <w:t>Provide a connection between Websters Lagoon and the Murray River to</w:t>
            </w:r>
            <w:r w:rsidRPr="008F6EBD">
              <w:rPr>
                <w:color w:val="231F20"/>
                <w:spacing w:val="-3"/>
                <w:sz w:val="16"/>
                <w:szCs w:val="16"/>
              </w:rPr>
              <w:t xml:space="preserve"> </w:t>
            </w:r>
            <w:r w:rsidRPr="008F6EBD">
              <w:rPr>
                <w:color w:val="231F20"/>
                <w:sz w:val="16"/>
                <w:szCs w:val="16"/>
              </w:rPr>
              <w:t>allow</w:t>
            </w:r>
            <w:r w:rsidRPr="008F6EBD">
              <w:rPr>
                <w:color w:val="231F20"/>
                <w:spacing w:val="-4"/>
                <w:sz w:val="16"/>
                <w:szCs w:val="16"/>
              </w:rPr>
              <w:t xml:space="preserve"> </w:t>
            </w:r>
            <w:r w:rsidRPr="008F6EBD">
              <w:rPr>
                <w:color w:val="231F20"/>
                <w:sz w:val="16"/>
                <w:szCs w:val="16"/>
              </w:rPr>
              <w:t>the</w:t>
            </w:r>
            <w:r w:rsidRPr="008F6EBD">
              <w:rPr>
                <w:color w:val="231F20"/>
                <w:spacing w:val="-3"/>
                <w:sz w:val="16"/>
                <w:szCs w:val="16"/>
              </w:rPr>
              <w:t xml:space="preserve"> </w:t>
            </w:r>
            <w:r w:rsidRPr="008F6EBD">
              <w:rPr>
                <w:color w:val="231F20"/>
                <w:sz w:val="16"/>
                <w:szCs w:val="16"/>
              </w:rPr>
              <w:t>exchange</w:t>
            </w:r>
            <w:r w:rsidRPr="008F6EBD">
              <w:rPr>
                <w:color w:val="231F20"/>
                <w:spacing w:val="-4"/>
                <w:sz w:val="16"/>
                <w:szCs w:val="16"/>
              </w:rPr>
              <w:t xml:space="preserve"> </w:t>
            </w:r>
            <w:r w:rsidRPr="008F6EBD">
              <w:rPr>
                <w:color w:val="231F20"/>
                <w:sz w:val="16"/>
                <w:szCs w:val="16"/>
              </w:rPr>
              <w:t>of</w:t>
            </w:r>
            <w:r w:rsidRPr="008F6EBD">
              <w:rPr>
                <w:color w:val="231F20"/>
                <w:spacing w:val="-4"/>
                <w:sz w:val="16"/>
                <w:szCs w:val="16"/>
              </w:rPr>
              <w:t xml:space="preserve"> </w:t>
            </w:r>
            <w:r w:rsidRPr="008F6EBD">
              <w:rPr>
                <w:color w:val="231F20"/>
                <w:sz w:val="16"/>
                <w:szCs w:val="16"/>
              </w:rPr>
              <w:t>carbon,</w:t>
            </w:r>
            <w:r w:rsidRPr="008F6EBD">
              <w:rPr>
                <w:color w:val="231F20"/>
                <w:spacing w:val="-3"/>
                <w:sz w:val="16"/>
                <w:szCs w:val="16"/>
              </w:rPr>
              <w:t xml:space="preserve"> </w:t>
            </w:r>
            <w:r w:rsidRPr="008F6EBD">
              <w:rPr>
                <w:color w:val="231F20"/>
                <w:sz w:val="16"/>
                <w:szCs w:val="16"/>
              </w:rPr>
              <w:t>nutrients</w:t>
            </w:r>
            <w:r w:rsidRPr="008F6EBD">
              <w:rPr>
                <w:color w:val="231F20"/>
                <w:spacing w:val="-4"/>
                <w:sz w:val="16"/>
                <w:szCs w:val="16"/>
              </w:rPr>
              <w:t xml:space="preserve"> </w:t>
            </w:r>
            <w:r w:rsidRPr="008F6EBD">
              <w:rPr>
                <w:color w:val="231F20"/>
                <w:sz w:val="16"/>
                <w:szCs w:val="16"/>
              </w:rPr>
              <w:t>and</w:t>
            </w:r>
            <w:r w:rsidRPr="008F6EBD">
              <w:rPr>
                <w:color w:val="231F20"/>
                <w:spacing w:val="-4"/>
                <w:sz w:val="16"/>
                <w:szCs w:val="16"/>
              </w:rPr>
              <w:t xml:space="preserve"> </w:t>
            </w:r>
            <w:r w:rsidRPr="008F6EBD">
              <w:rPr>
                <w:color w:val="231F20"/>
                <w:sz w:val="16"/>
                <w:szCs w:val="16"/>
              </w:rPr>
              <w:t>fish</w:t>
            </w:r>
            <w:r w:rsidRPr="008F6EBD">
              <w:rPr>
                <w:color w:val="231F20"/>
                <w:spacing w:val="-3"/>
                <w:sz w:val="16"/>
                <w:szCs w:val="16"/>
              </w:rPr>
              <w:t xml:space="preserve"> </w:t>
            </w:r>
            <w:r w:rsidRPr="008F6EBD">
              <w:rPr>
                <w:color w:val="231F20"/>
                <w:sz w:val="16"/>
                <w:szCs w:val="16"/>
              </w:rPr>
              <w:t>between</w:t>
            </w:r>
            <w:r w:rsidRPr="008F6EBD">
              <w:rPr>
                <w:color w:val="231F20"/>
                <w:spacing w:val="-4"/>
                <w:sz w:val="16"/>
                <w:szCs w:val="16"/>
              </w:rPr>
              <w:t xml:space="preserve"> </w:t>
            </w:r>
            <w:r w:rsidRPr="008F6EBD">
              <w:rPr>
                <w:color w:val="231F20"/>
                <w:sz w:val="16"/>
                <w:szCs w:val="16"/>
              </w:rPr>
              <w:t>the</w:t>
            </w:r>
            <w:r w:rsidRPr="008F6EBD">
              <w:rPr>
                <w:color w:val="231F20"/>
                <w:spacing w:val="-3"/>
                <w:sz w:val="16"/>
                <w:szCs w:val="16"/>
              </w:rPr>
              <w:t xml:space="preserve"> </w:t>
            </w:r>
            <w:r w:rsidRPr="008F6EBD">
              <w:rPr>
                <w:color w:val="231F20"/>
                <w:sz w:val="16"/>
                <w:szCs w:val="16"/>
              </w:rPr>
              <w:t>wetland and the</w:t>
            </w:r>
            <w:r w:rsidRPr="008F6EBD">
              <w:rPr>
                <w:color w:val="231F20"/>
                <w:spacing w:val="-2"/>
                <w:sz w:val="16"/>
                <w:szCs w:val="16"/>
              </w:rPr>
              <w:t xml:space="preserve"> </w:t>
            </w:r>
            <w:r w:rsidRPr="008F6EBD">
              <w:rPr>
                <w:color w:val="231F20"/>
                <w:sz w:val="16"/>
                <w:szCs w:val="16"/>
              </w:rPr>
              <w:t>river</w:t>
            </w:r>
          </w:p>
          <w:p w:rsidR="006A7A3F" w:rsidRPr="008F6EBD" w:rsidRDefault="00BC7372">
            <w:pPr>
              <w:pStyle w:val="TableParagraph"/>
              <w:numPr>
                <w:ilvl w:val="0"/>
                <w:numId w:val="316"/>
              </w:numPr>
              <w:tabs>
                <w:tab w:val="left" w:pos="306"/>
              </w:tabs>
              <w:spacing w:before="87" w:line="254" w:lineRule="auto"/>
              <w:ind w:right="516"/>
              <w:rPr>
                <w:sz w:val="16"/>
                <w:szCs w:val="16"/>
              </w:rPr>
            </w:pPr>
            <w:r w:rsidRPr="008F6EBD">
              <w:rPr>
                <w:color w:val="231F20"/>
                <w:sz w:val="16"/>
                <w:szCs w:val="16"/>
              </w:rPr>
              <w:t>Provide conditions for lake bed herbaceous plants and</w:t>
            </w:r>
            <w:r w:rsidRPr="008F6EBD">
              <w:rPr>
                <w:color w:val="231F20"/>
                <w:spacing w:val="-25"/>
                <w:sz w:val="16"/>
                <w:szCs w:val="16"/>
              </w:rPr>
              <w:t xml:space="preserve"> </w:t>
            </w:r>
            <w:r w:rsidRPr="008F6EBD">
              <w:rPr>
                <w:color w:val="231F20"/>
                <w:sz w:val="16"/>
                <w:szCs w:val="16"/>
              </w:rPr>
              <w:t>semi-aquatic plants</w:t>
            </w:r>
            <w:r w:rsidRPr="008F6EBD">
              <w:rPr>
                <w:color w:val="231F20"/>
                <w:spacing w:val="-4"/>
                <w:sz w:val="16"/>
                <w:szCs w:val="16"/>
              </w:rPr>
              <w:t xml:space="preserve"> </w:t>
            </w:r>
            <w:r w:rsidRPr="008F6EBD">
              <w:rPr>
                <w:color w:val="231F20"/>
                <w:sz w:val="16"/>
                <w:szCs w:val="16"/>
              </w:rPr>
              <w:t>in</w:t>
            </w:r>
            <w:r w:rsidRPr="008F6EBD">
              <w:rPr>
                <w:color w:val="231F20"/>
                <w:spacing w:val="-3"/>
                <w:sz w:val="16"/>
                <w:szCs w:val="16"/>
              </w:rPr>
              <w:t xml:space="preserve"> </w:t>
            </w:r>
            <w:r w:rsidRPr="008F6EBD">
              <w:rPr>
                <w:color w:val="231F20"/>
                <w:sz w:val="16"/>
                <w:szCs w:val="16"/>
              </w:rPr>
              <w:t>the</w:t>
            </w:r>
            <w:r w:rsidRPr="008F6EBD">
              <w:rPr>
                <w:color w:val="231F20"/>
                <w:spacing w:val="-3"/>
                <w:sz w:val="16"/>
                <w:szCs w:val="16"/>
              </w:rPr>
              <w:t xml:space="preserve"> </w:t>
            </w:r>
            <w:r w:rsidRPr="008F6EBD">
              <w:rPr>
                <w:color w:val="231F20"/>
                <w:sz w:val="16"/>
                <w:szCs w:val="16"/>
              </w:rPr>
              <w:t>littoral</w:t>
            </w:r>
            <w:r w:rsidRPr="008F6EBD">
              <w:rPr>
                <w:color w:val="231F20"/>
                <w:spacing w:val="-3"/>
                <w:sz w:val="16"/>
                <w:szCs w:val="16"/>
              </w:rPr>
              <w:t xml:space="preserve"> </w:t>
            </w:r>
            <w:r w:rsidRPr="008F6EBD">
              <w:rPr>
                <w:color w:val="231F20"/>
                <w:sz w:val="16"/>
                <w:szCs w:val="16"/>
              </w:rPr>
              <w:t>zone</w:t>
            </w:r>
            <w:r w:rsidRPr="008F6EBD">
              <w:rPr>
                <w:color w:val="231F20"/>
                <w:spacing w:val="-3"/>
                <w:sz w:val="16"/>
                <w:szCs w:val="16"/>
              </w:rPr>
              <w:t xml:space="preserve"> </w:t>
            </w:r>
            <w:r w:rsidRPr="008F6EBD">
              <w:rPr>
                <w:color w:val="231F20"/>
                <w:sz w:val="16"/>
                <w:szCs w:val="16"/>
              </w:rPr>
              <w:t>to</w:t>
            </w:r>
            <w:r w:rsidRPr="008F6EBD">
              <w:rPr>
                <w:color w:val="231F20"/>
                <w:spacing w:val="-3"/>
                <w:sz w:val="16"/>
                <w:szCs w:val="16"/>
              </w:rPr>
              <w:t xml:space="preserve"> </w:t>
            </w:r>
            <w:r w:rsidRPr="008F6EBD">
              <w:rPr>
                <w:color w:val="231F20"/>
                <w:sz w:val="16"/>
                <w:szCs w:val="16"/>
              </w:rPr>
              <w:t>grow</w:t>
            </w:r>
            <w:r w:rsidRPr="008F6EBD">
              <w:rPr>
                <w:color w:val="231F20"/>
                <w:spacing w:val="-3"/>
                <w:sz w:val="16"/>
                <w:szCs w:val="16"/>
              </w:rPr>
              <w:t xml:space="preserve"> </w:t>
            </w:r>
            <w:r w:rsidRPr="008F6EBD">
              <w:rPr>
                <w:color w:val="231F20"/>
                <w:sz w:val="16"/>
                <w:szCs w:val="16"/>
              </w:rPr>
              <w:t>in</w:t>
            </w:r>
            <w:r w:rsidRPr="008F6EBD">
              <w:rPr>
                <w:color w:val="231F20"/>
                <w:spacing w:val="-4"/>
                <w:sz w:val="16"/>
                <w:szCs w:val="16"/>
              </w:rPr>
              <w:t xml:space="preserve"> </w:t>
            </w:r>
            <w:r w:rsidRPr="008F6EBD">
              <w:rPr>
                <w:color w:val="231F20"/>
                <w:sz w:val="16"/>
                <w:szCs w:val="16"/>
              </w:rPr>
              <w:t>the</w:t>
            </w:r>
            <w:r w:rsidRPr="008F6EBD">
              <w:rPr>
                <w:color w:val="231F20"/>
                <w:spacing w:val="-2"/>
                <w:sz w:val="16"/>
                <w:szCs w:val="16"/>
              </w:rPr>
              <w:t xml:space="preserve"> </w:t>
            </w:r>
            <w:r w:rsidRPr="008F6EBD">
              <w:rPr>
                <w:color w:val="231F20"/>
                <w:sz w:val="16"/>
                <w:szCs w:val="16"/>
              </w:rPr>
              <w:t>drying</w:t>
            </w:r>
            <w:r w:rsidRPr="008F6EBD">
              <w:rPr>
                <w:color w:val="231F20"/>
                <w:spacing w:val="-4"/>
                <w:sz w:val="16"/>
                <w:szCs w:val="16"/>
              </w:rPr>
              <w:t xml:space="preserve"> </w:t>
            </w:r>
            <w:r w:rsidRPr="008F6EBD">
              <w:rPr>
                <w:color w:val="231F20"/>
                <w:sz w:val="16"/>
                <w:szCs w:val="16"/>
              </w:rPr>
              <w:t>phase</w:t>
            </w:r>
            <w:r w:rsidRPr="008F6EBD">
              <w:rPr>
                <w:color w:val="231F20"/>
                <w:spacing w:val="-3"/>
                <w:sz w:val="16"/>
                <w:szCs w:val="16"/>
              </w:rPr>
              <w:t xml:space="preserve"> </w:t>
            </w:r>
            <w:r w:rsidRPr="008F6EBD">
              <w:rPr>
                <w:color w:val="231F20"/>
                <w:sz w:val="16"/>
                <w:szCs w:val="16"/>
              </w:rPr>
              <w:t>after</w:t>
            </w:r>
            <w:r w:rsidRPr="008F6EBD">
              <w:rPr>
                <w:color w:val="231F20"/>
                <w:spacing w:val="-3"/>
                <w:sz w:val="16"/>
                <w:szCs w:val="16"/>
              </w:rPr>
              <w:t xml:space="preserve"> </w:t>
            </w:r>
            <w:r w:rsidRPr="008F6EBD">
              <w:rPr>
                <w:color w:val="231F20"/>
                <w:sz w:val="16"/>
                <w:szCs w:val="16"/>
              </w:rPr>
              <w:t>watering</w:t>
            </w:r>
          </w:p>
          <w:p w:rsidR="006A7A3F" w:rsidRPr="008F6EBD" w:rsidRDefault="00BC7372">
            <w:pPr>
              <w:pStyle w:val="TableParagraph"/>
              <w:numPr>
                <w:ilvl w:val="0"/>
                <w:numId w:val="316"/>
              </w:numPr>
              <w:tabs>
                <w:tab w:val="left" w:pos="306"/>
              </w:tabs>
              <w:spacing w:before="86" w:line="254" w:lineRule="auto"/>
              <w:ind w:right="96"/>
              <w:rPr>
                <w:sz w:val="16"/>
                <w:szCs w:val="16"/>
              </w:rPr>
            </w:pPr>
            <w:r w:rsidRPr="008F6EBD">
              <w:rPr>
                <w:color w:val="231F20"/>
                <w:sz w:val="16"/>
                <w:szCs w:val="16"/>
              </w:rPr>
              <w:t>Provide variable water levels in the littoral zone to provide feeding</w:t>
            </w:r>
            <w:r w:rsidRPr="008F6EBD">
              <w:rPr>
                <w:color w:val="231F20"/>
                <w:spacing w:val="-34"/>
                <w:sz w:val="16"/>
                <w:szCs w:val="16"/>
              </w:rPr>
              <w:t xml:space="preserve"> </w:t>
            </w:r>
            <w:r w:rsidRPr="008F6EBD">
              <w:rPr>
                <w:color w:val="231F20"/>
                <w:sz w:val="16"/>
                <w:szCs w:val="16"/>
              </w:rPr>
              <w:t>habitat for shorebirds</w:t>
            </w:r>
          </w:p>
          <w:p w:rsidR="006A7A3F" w:rsidRDefault="00BC7372">
            <w:pPr>
              <w:pStyle w:val="TableParagraph"/>
              <w:numPr>
                <w:ilvl w:val="0"/>
                <w:numId w:val="316"/>
              </w:numPr>
              <w:tabs>
                <w:tab w:val="left" w:pos="306"/>
              </w:tabs>
              <w:spacing w:before="87" w:line="254" w:lineRule="auto"/>
              <w:ind w:right="286"/>
              <w:rPr>
                <w:sz w:val="18"/>
              </w:rPr>
            </w:pPr>
            <w:r w:rsidRPr="008F6EBD">
              <w:rPr>
                <w:color w:val="231F20"/>
                <w:sz w:val="16"/>
                <w:szCs w:val="16"/>
              </w:rPr>
              <w:t>Provide</w:t>
            </w:r>
            <w:r w:rsidRPr="008F6EBD">
              <w:rPr>
                <w:color w:val="231F20"/>
                <w:spacing w:val="-4"/>
                <w:sz w:val="16"/>
                <w:szCs w:val="16"/>
              </w:rPr>
              <w:t xml:space="preserve"> </w:t>
            </w:r>
            <w:r w:rsidRPr="008F6EBD">
              <w:rPr>
                <w:color w:val="231F20"/>
                <w:sz w:val="16"/>
                <w:szCs w:val="16"/>
              </w:rPr>
              <w:t>open-water</w:t>
            </w:r>
            <w:r w:rsidRPr="008F6EBD">
              <w:rPr>
                <w:color w:val="231F20"/>
                <w:spacing w:val="-4"/>
                <w:sz w:val="16"/>
                <w:szCs w:val="16"/>
              </w:rPr>
              <w:t xml:space="preserve"> </w:t>
            </w:r>
            <w:r w:rsidRPr="008F6EBD">
              <w:rPr>
                <w:color w:val="231F20"/>
                <w:sz w:val="16"/>
                <w:szCs w:val="16"/>
              </w:rPr>
              <w:t>habitat</w:t>
            </w:r>
            <w:r w:rsidRPr="008F6EBD">
              <w:rPr>
                <w:color w:val="231F20"/>
                <w:spacing w:val="-5"/>
                <w:sz w:val="16"/>
                <w:szCs w:val="16"/>
              </w:rPr>
              <w:t xml:space="preserve"> </w:t>
            </w:r>
            <w:r w:rsidRPr="008F6EBD">
              <w:rPr>
                <w:color w:val="231F20"/>
                <w:sz w:val="16"/>
                <w:szCs w:val="16"/>
              </w:rPr>
              <w:t>as</w:t>
            </w:r>
            <w:r w:rsidRPr="008F6EBD">
              <w:rPr>
                <w:color w:val="231F20"/>
                <w:spacing w:val="-4"/>
                <w:sz w:val="16"/>
                <w:szCs w:val="16"/>
              </w:rPr>
              <w:t xml:space="preserve"> </w:t>
            </w:r>
            <w:r w:rsidRPr="008F6EBD">
              <w:rPr>
                <w:color w:val="231F20"/>
                <w:sz w:val="16"/>
                <w:szCs w:val="16"/>
              </w:rPr>
              <w:t>refuge</w:t>
            </w:r>
            <w:r w:rsidRPr="008F6EBD">
              <w:rPr>
                <w:color w:val="231F20"/>
                <w:spacing w:val="-4"/>
                <w:sz w:val="16"/>
                <w:szCs w:val="16"/>
              </w:rPr>
              <w:t xml:space="preserve"> </w:t>
            </w:r>
            <w:r w:rsidRPr="008F6EBD">
              <w:rPr>
                <w:color w:val="231F20"/>
                <w:sz w:val="16"/>
                <w:szCs w:val="16"/>
              </w:rPr>
              <w:t>and</w:t>
            </w:r>
            <w:r w:rsidRPr="008F6EBD">
              <w:rPr>
                <w:color w:val="231F20"/>
                <w:spacing w:val="-4"/>
                <w:sz w:val="16"/>
                <w:szCs w:val="16"/>
              </w:rPr>
              <w:t xml:space="preserve"> </w:t>
            </w:r>
            <w:r w:rsidRPr="008F6EBD">
              <w:rPr>
                <w:color w:val="231F20"/>
                <w:sz w:val="16"/>
                <w:szCs w:val="16"/>
              </w:rPr>
              <w:t>feeding</w:t>
            </w:r>
            <w:r w:rsidRPr="008F6EBD">
              <w:rPr>
                <w:color w:val="231F20"/>
                <w:spacing w:val="-4"/>
                <w:sz w:val="16"/>
                <w:szCs w:val="16"/>
              </w:rPr>
              <w:t xml:space="preserve"> </w:t>
            </w:r>
            <w:r w:rsidRPr="008F6EBD">
              <w:rPr>
                <w:color w:val="231F20"/>
                <w:sz w:val="16"/>
                <w:szCs w:val="16"/>
              </w:rPr>
              <w:t>and</w:t>
            </w:r>
            <w:r w:rsidRPr="008F6EBD">
              <w:rPr>
                <w:color w:val="231F20"/>
                <w:spacing w:val="-4"/>
                <w:sz w:val="16"/>
                <w:szCs w:val="16"/>
              </w:rPr>
              <w:t xml:space="preserve"> </w:t>
            </w:r>
            <w:r w:rsidRPr="008F6EBD">
              <w:rPr>
                <w:color w:val="231F20"/>
                <w:sz w:val="16"/>
                <w:szCs w:val="16"/>
              </w:rPr>
              <w:t>breeding</w:t>
            </w:r>
            <w:r w:rsidRPr="008F6EBD">
              <w:rPr>
                <w:color w:val="231F20"/>
                <w:spacing w:val="-5"/>
                <w:sz w:val="16"/>
                <w:szCs w:val="16"/>
              </w:rPr>
              <w:t xml:space="preserve"> </w:t>
            </w:r>
            <w:r w:rsidRPr="008F6EBD">
              <w:rPr>
                <w:color w:val="231F20"/>
                <w:sz w:val="16"/>
                <w:szCs w:val="16"/>
              </w:rPr>
              <w:t>habitat for</w:t>
            </w:r>
            <w:r w:rsidRPr="008F6EBD">
              <w:rPr>
                <w:color w:val="231F20"/>
                <w:spacing w:val="-1"/>
                <w:sz w:val="16"/>
                <w:szCs w:val="16"/>
              </w:rPr>
              <w:t xml:space="preserve"> </w:t>
            </w:r>
            <w:r w:rsidRPr="008F6EBD">
              <w:rPr>
                <w:color w:val="231F20"/>
                <w:sz w:val="16"/>
                <w:szCs w:val="16"/>
              </w:rPr>
              <w:t>waterbirds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5" cy="310896"/>
                  <wp:effectExtent l="0" t="0" r="0" b="0"/>
                  <wp:docPr id="195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image19.jpeg"/>
                          <pic:cNvPicPr/>
                        </pic:nvPicPr>
                        <pic:blipFill>
                          <a:blip r:embed="rId31" cstate="print"/>
                          <a:stretch>
                            <a:fillRect/>
                          </a:stretch>
                        </pic:blipFill>
                        <pic:spPr>
                          <a:xfrm>
                            <a:off x="0" y="0"/>
                            <a:ext cx="314175" cy="310896"/>
                          </a:xfrm>
                          <a:prstGeom prst="rect">
                            <a:avLst/>
                          </a:prstGeom>
                        </pic:spPr>
                      </pic:pic>
                    </a:graphicData>
                  </a:graphic>
                </wp:inline>
              </w:drawing>
            </w:r>
          </w:p>
        </w:tc>
        <w:tc>
          <w:tcPr>
            <w:tcW w:w="708" w:type="dxa"/>
            <w:gridSpan w:val="2"/>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1961"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image42.jpeg"/>
                          <pic:cNvPicPr/>
                        </pic:nvPicPr>
                        <pic:blipFill>
                          <a:blip r:embed="rId54" cstate="print"/>
                          <a:stretch>
                            <a:fillRect/>
                          </a:stretch>
                        </pic:blipFill>
                        <pic:spPr>
                          <a:xfrm>
                            <a:off x="0" y="0"/>
                            <a:ext cx="314168" cy="310896"/>
                          </a:xfrm>
                          <a:prstGeom prst="rect">
                            <a:avLst/>
                          </a:prstGeom>
                        </pic:spPr>
                      </pic:pic>
                    </a:graphicData>
                  </a:graphic>
                </wp:inline>
              </w:drawing>
            </w:r>
          </w:p>
        </w:tc>
      </w:tr>
      <w:tr w:rsidR="006A7A3F" w:rsidTr="00ED248D">
        <w:trPr>
          <w:trHeight w:val="173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196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gridSpan w:val="2"/>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ED248D">
        <w:trPr>
          <w:trHeight w:val="1397"/>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47"/>
              <w:rPr>
                <w:sz w:val="16"/>
              </w:rPr>
            </w:pPr>
            <w:r>
              <w:rPr>
                <w:color w:val="231F20"/>
                <w:sz w:val="16"/>
              </w:rPr>
              <w:t>Scotties Billabong (complete fill in spring)</w:t>
            </w:r>
          </w:p>
        </w:tc>
        <w:tc>
          <w:tcPr>
            <w:tcW w:w="6236" w:type="dxa"/>
            <w:tcBorders>
              <w:top w:val="single" w:sz="4" w:space="0" w:color="231F20"/>
              <w:left w:val="single" w:sz="4" w:space="0" w:color="231F20"/>
              <w:bottom w:val="single" w:sz="4" w:space="0" w:color="231F20"/>
              <w:right w:val="single" w:sz="4" w:space="0" w:color="231F20"/>
            </w:tcBorders>
          </w:tcPr>
          <w:p w:rsidR="006A7A3F" w:rsidRPr="008F6EBD" w:rsidRDefault="00BC7372">
            <w:pPr>
              <w:pStyle w:val="TableParagraph"/>
              <w:numPr>
                <w:ilvl w:val="0"/>
                <w:numId w:val="315"/>
              </w:numPr>
              <w:tabs>
                <w:tab w:val="left" w:pos="306"/>
              </w:tabs>
              <w:spacing w:before="70" w:line="254" w:lineRule="auto"/>
              <w:ind w:right="926"/>
              <w:rPr>
                <w:sz w:val="16"/>
                <w:szCs w:val="16"/>
              </w:rPr>
            </w:pPr>
            <w:r w:rsidRPr="008F6EBD">
              <w:rPr>
                <w:color w:val="231F20"/>
                <w:sz w:val="16"/>
                <w:szCs w:val="16"/>
              </w:rPr>
              <w:t>Provide shallow-water habitat to provide foraging and</w:t>
            </w:r>
            <w:r w:rsidRPr="008F6EBD">
              <w:rPr>
                <w:color w:val="231F20"/>
                <w:spacing w:val="-24"/>
                <w:sz w:val="16"/>
                <w:szCs w:val="16"/>
              </w:rPr>
              <w:t xml:space="preserve"> </w:t>
            </w:r>
            <w:r w:rsidRPr="008F6EBD">
              <w:rPr>
                <w:color w:val="231F20"/>
                <w:sz w:val="16"/>
                <w:szCs w:val="16"/>
              </w:rPr>
              <w:t>breeding opportunities for</w:t>
            </w:r>
            <w:r w:rsidRPr="008F6EBD">
              <w:rPr>
                <w:color w:val="231F20"/>
                <w:spacing w:val="-2"/>
                <w:sz w:val="16"/>
                <w:szCs w:val="16"/>
              </w:rPr>
              <w:t xml:space="preserve"> </w:t>
            </w:r>
            <w:r w:rsidRPr="008F6EBD">
              <w:rPr>
                <w:color w:val="231F20"/>
                <w:sz w:val="16"/>
                <w:szCs w:val="16"/>
              </w:rPr>
              <w:t>frogs</w:t>
            </w:r>
          </w:p>
          <w:p w:rsidR="006A7A3F" w:rsidRPr="008F6EBD" w:rsidRDefault="00BC7372">
            <w:pPr>
              <w:pStyle w:val="TableParagraph"/>
              <w:numPr>
                <w:ilvl w:val="0"/>
                <w:numId w:val="315"/>
              </w:numPr>
              <w:tabs>
                <w:tab w:val="left" w:pos="306"/>
              </w:tabs>
              <w:spacing w:before="87"/>
              <w:ind w:hanging="218"/>
              <w:rPr>
                <w:sz w:val="16"/>
                <w:szCs w:val="16"/>
              </w:rPr>
            </w:pPr>
            <w:r w:rsidRPr="008F6EBD">
              <w:rPr>
                <w:color w:val="231F20"/>
                <w:sz w:val="16"/>
                <w:szCs w:val="16"/>
              </w:rPr>
              <w:t>Stimulate the growth of streamside and instream</w:t>
            </w:r>
            <w:r w:rsidRPr="008F6EBD">
              <w:rPr>
                <w:color w:val="231F20"/>
                <w:spacing w:val="-8"/>
                <w:sz w:val="16"/>
                <w:szCs w:val="16"/>
              </w:rPr>
              <w:t xml:space="preserve"> </w:t>
            </w:r>
            <w:r w:rsidRPr="008F6EBD">
              <w:rPr>
                <w:color w:val="231F20"/>
                <w:sz w:val="16"/>
                <w:szCs w:val="16"/>
              </w:rPr>
              <w:t>vegetation</w:t>
            </w:r>
          </w:p>
          <w:p w:rsidR="006A7A3F" w:rsidRPr="008F6EBD" w:rsidRDefault="00BC7372">
            <w:pPr>
              <w:pStyle w:val="TableParagraph"/>
              <w:numPr>
                <w:ilvl w:val="0"/>
                <w:numId w:val="315"/>
              </w:numPr>
              <w:tabs>
                <w:tab w:val="left" w:pos="306"/>
              </w:tabs>
              <w:spacing w:before="98" w:line="254" w:lineRule="auto"/>
              <w:ind w:right="266"/>
              <w:rPr>
                <w:sz w:val="16"/>
                <w:szCs w:val="16"/>
              </w:rPr>
            </w:pPr>
            <w:r w:rsidRPr="008F6EBD">
              <w:rPr>
                <w:color w:val="231F20"/>
                <w:sz w:val="16"/>
                <w:szCs w:val="16"/>
              </w:rPr>
              <w:t>Provide conditions for lake bed herbaceous plants to grow in the</w:t>
            </w:r>
            <w:r w:rsidRPr="008F6EBD">
              <w:rPr>
                <w:color w:val="231F20"/>
                <w:spacing w:val="-34"/>
                <w:sz w:val="16"/>
                <w:szCs w:val="16"/>
              </w:rPr>
              <w:t xml:space="preserve"> </w:t>
            </w:r>
            <w:r w:rsidRPr="008F6EBD">
              <w:rPr>
                <w:color w:val="231F20"/>
                <w:sz w:val="16"/>
                <w:szCs w:val="16"/>
              </w:rPr>
              <w:t>drying phase after</w:t>
            </w:r>
            <w:r w:rsidRPr="008F6EBD">
              <w:rPr>
                <w:color w:val="231F20"/>
                <w:spacing w:val="-3"/>
                <w:sz w:val="16"/>
                <w:szCs w:val="16"/>
              </w:rPr>
              <w:t xml:space="preserve"> </w:t>
            </w:r>
            <w:r w:rsidRPr="008F6EBD">
              <w:rPr>
                <w:color w:val="231F20"/>
                <w:sz w:val="16"/>
                <w:szCs w:val="16"/>
              </w:rPr>
              <w:t>watering</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6" cy="310895"/>
                  <wp:effectExtent l="0" t="0" r="0" b="0"/>
                  <wp:docPr id="196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image25.jpeg"/>
                          <pic:cNvPicPr/>
                        </pic:nvPicPr>
                        <pic:blipFill>
                          <a:blip r:embed="rId37" cstate="print"/>
                          <a:stretch>
                            <a:fillRect/>
                          </a:stretch>
                        </pic:blipFill>
                        <pic:spPr>
                          <a:xfrm>
                            <a:off x="0" y="0"/>
                            <a:ext cx="314176" cy="310895"/>
                          </a:xfrm>
                          <a:prstGeom prst="rect">
                            <a:avLst/>
                          </a:prstGeom>
                        </pic:spPr>
                      </pic:pic>
                    </a:graphicData>
                  </a:graphic>
                </wp:inline>
              </w:drawing>
            </w:r>
          </w:p>
        </w:tc>
        <w:tc>
          <w:tcPr>
            <w:tcW w:w="708" w:type="dxa"/>
            <w:gridSpan w:val="2"/>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8" cy="310895"/>
                  <wp:effectExtent l="0" t="0" r="0" b="0"/>
                  <wp:docPr id="196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21.jpeg"/>
                          <pic:cNvPicPr/>
                        </pic:nvPicPr>
                        <pic:blipFill>
                          <a:blip r:embed="rId33" cstate="print"/>
                          <a:stretch>
                            <a:fillRect/>
                          </a:stretch>
                        </pic:blipFill>
                        <pic:spPr>
                          <a:xfrm>
                            <a:off x="0" y="0"/>
                            <a:ext cx="314178" cy="310895"/>
                          </a:xfrm>
                          <a:prstGeom prst="rect">
                            <a:avLst/>
                          </a:prstGeom>
                        </pic:spPr>
                      </pic:pic>
                    </a:graphicData>
                  </a:graphic>
                </wp:inline>
              </w:drawing>
            </w:r>
          </w:p>
        </w:tc>
      </w:tr>
      <w:tr w:rsidR="006A7A3F" w:rsidTr="00ED248D">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69"/>
              <w:rPr>
                <w:sz w:val="16"/>
              </w:rPr>
            </w:pPr>
            <w:r>
              <w:rPr>
                <w:color w:val="231F20"/>
                <w:sz w:val="16"/>
              </w:rPr>
              <w:t>Wetland 33 (complete fill in spring)</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8F6EBD" w:rsidRDefault="00BC7372">
            <w:pPr>
              <w:pStyle w:val="TableParagraph"/>
              <w:numPr>
                <w:ilvl w:val="0"/>
                <w:numId w:val="314"/>
              </w:numPr>
              <w:tabs>
                <w:tab w:val="left" w:pos="306"/>
              </w:tabs>
              <w:spacing w:before="70" w:line="254" w:lineRule="auto"/>
              <w:ind w:right="226"/>
              <w:rPr>
                <w:sz w:val="16"/>
                <w:szCs w:val="16"/>
              </w:rPr>
            </w:pPr>
            <w:r w:rsidRPr="008F6EBD">
              <w:rPr>
                <w:color w:val="231F20"/>
                <w:sz w:val="16"/>
                <w:szCs w:val="16"/>
              </w:rPr>
              <w:t>Fill to the wetland fringe to increase growth of shrubs and lignum on</w:t>
            </w:r>
            <w:r w:rsidRPr="008F6EBD">
              <w:rPr>
                <w:color w:val="231F20"/>
                <w:spacing w:val="-33"/>
                <w:sz w:val="16"/>
                <w:szCs w:val="16"/>
              </w:rPr>
              <w:t xml:space="preserve"> </w:t>
            </w:r>
            <w:r w:rsidRPr="008F6EBD">
              <w:rPr>
                <w:color w:val="231F20"/>
                <w:sz w:val="16"/>
                <w:szCs w:val="16"/>
              </w:rPr>
              <w:t>the wetland</w:t>
            </w:r>
            <w:r w:rsidRPr="008F6EBD">
              <w:rPr>
                <w:color w:val="231F20"/>
                <w:spacing w:val="-2"/>
                <w:sz w:val="16"/>
                <w:szCs w:val="16"/>
              </w:rPr>
              <w:t xml:space="preserve"> </w:t>
            </w:r>
            <w:r w:rsidRPr="008F6EBD">
              <w:rPr>
                <w:color w:val="231F20"/>
                <w:sz w:val="16"/>
                <w:szCs w:val="16"/>
              </w:rPr>
              <w:t>fringe</w:t>
            </w:r>
          </w:p>
          <w:p w:rsidR="006A7A3F" w:rsidRPr="008F6EBD" w:rsidRDefault="00BC7372">
            <w:pPr>
              <w:pStyle w:val="TableParagraph"/>
              <w:numPr>
                <w:ilvl w:val="0"/>
                <w:numId w:val="314"/>
              </w:numPr>
              <w:tabs>
                <w:tab w:val="left" w:pos="306"/>
              </w:tabs>
              <w:spacing w:before="87" w:line="254" w:lineRule="auto"/>
              <w:ind w:right="226"/>
              <w:rPr>
                <w:sz w:val="16"/>
                <w:szCs w:val="16"/>
              </w:rPr>
            </w:pPr>
            <w:r w:rsidRPr="008F6EBD">
              <w:rPr>
                <w:color w:val="231F20"/>
                <w:sz w:val="16"/>
                <w:szCs w:val="16"/>
              </w:rPr>
              <w:t>Provide shallow-water habitat and open-water habitat to create</w:t>
            </w:r>
            <w:r w:rsidRPr="008F6EBD">
              <w:rPr>
                <w:color w:val="231F20"/>
                <w:spacing w:val="-26"/>
                <w:sz w:val="16"/>
                <w:szCs w:val="16"/>
              </w:rPr>
              <w:t xml:space="preserve"> </w:t>
            </w:r>
            <w:r w:rsidRPr="008F6EBD">
              <w:rPr>
                <w:color w:val="231F20"/>
                <w:sz w:val="16"/>
                <w:szCs w:val="16"/>
              </w:rPr>
              <w:t>foraging opportunities for waterbirds, frogs and</w:t>
            </w:r>
            <w:r w:rsidRPr="008F6EBD">
              <w:rPr>
                <w:color w:val="231F20"/>
                <w:spacing w:val="-6"/>
                <w:sz w:val="16"/>
                <w:szCs w:val="16"/>
              </w:rPr>
              <w:t xml:space="preserve"> </w:t>
            </w:r>
            <w:r w:rsidRPr="008F6EBD">
              <w:rPr>
                <w:color w:val="231F20"/>
                <w:sz w:val="16"/>
                <w:szCs w:val="16"/>
              </w:rPr>
              <w:t>turtles</w:t>
            </w:r>
          </w:p>
          <w:p w:rsidR="006A7A3F" w:rsidRPr="008F6EBD" w:rsidRDefault="00BC7372">
            <w:pPr>
              <w:pStyle w:val="TableParagraph"/>
              <w:numPr>
                <w:ilvl w:val="0"/>
                <w:numId w:val="314"/>
              </w:numPr>
              <w:tabs>
                <w:tab w:val="left" w:pos="306"/>
              </w:tabs>
              <w:spacing w:before="86" w:line="254" w:lineRule="auto"/>
              <w:ind w:right="266"/>
              <w:rPr>
                <w:sz w:val="16"/>
                <w:szCs w:val="16"/>
              </w:rPr>
            </w:pPr>
            <w:r w:rsidRPr="008F6EBD">
              <w:rPr>
                <w:color w:val="231F20"/>
                <w:sz w:val="16"/>
                <w:szCs w:val="16"/>
              </w:rPr>
              <w:t>Provide conditions for lake bed herbaceous plants to grow in the</w:t>
            </w:r>
            <w:r w:rsidRPr="008F6EBD">
              <w:rPr>
                <w:color w:val="231F20"/>
                <w:spacing w:val="-34"/>
                <w:sz w:val="16"/>
                <w:szCs w:val="16"/>
              </w:rPr>
              <w:t xml:space="preserve"> </w:t>
            </w:r>
            <w:r w:rsidRPr="008F6EBD">
              <w:rPr>
                <w:color w:val="231F20"/>
                <w:sz w:val="16"/>
                <w:szCs w:val="16"/>
              </w:rPr>
              <w:t>drying phase after</w:t>
            </w:r>
            <w:r w:rsidRPr="008F6EBD">
              <w:rPr>
                <w:color w:val="231F20"/>
                <w:spacing w:val="-3"/>
                <w:sz w:val="16"/>
                <w:szCs w:val="16"/>
              </w:rPr>
              <w:t xml:space="preserve"> </w:t>
            </w:r>
            <w:r w:rsidRPr="008F6EBD">
              <w:rPr>
                <w:color w:val="231F20"/>
                <w:sz w:val="16"/>
                <w:szCs w:val="16"/>
              </w:rPr>
              <w:t>watering</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1969"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image25.jpeg"/>
                          <pic:cNvPicPr/>
                        </pic:nvPicPr>
                        <pic:blipFill>
                          <a:blip r:embed="rId37" cstate="print"/>
                          <a:stretch>
                            <a:fillRect/>
                          </a:stretch>
                        </pic:blipFill>
                        <pic:spPr>
                          <a:xfrm>
                            <a:off x="0" y="0"/>
                            <a:ext cx="314168" cy="310895"/>
                          </a:xfrm>
                          <a:prstGeom prst="rect">
                            <a:avLst/>
                          </a:prstGeom>
                        </pic:spPr>
                      </pic:pic>
                    </a:graphicData>
                  </a:graphic>
                </wp:inline>
              </w:drawing>
            </w:r>
          </w:p>
        </w:tc>
        <w:tc>
          <w:tcPr>
            <w:tcW w:w="708" w:type="dxa"/>
            <w:gridSpan w:val="2"/>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1971"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image26.jpeg"/>
                          <pic:cNvPicPr/>
                        </pic:nvPicPr>
                        <pic:blipFill>
                          <a:blip r:embed="rId38" cstate="print"/>
                          <a:stretch>
                            <a:fillRect/>
                          </a:stretch>
                        </pic:blipFill>
                        <pic:spPr>
                          <a:xfrm>
                            <a:off x="0" y="0"/>
                            <a:ext cx="314168" cy="310895"/>
                          </a:xfrm>
                          <a:prstGeom prst="rect">
                            <a:avLst/>
                          </a:prstGeom>
                        </pic:spPr>
                      </pic:pic>
                    </a:graphicData>
                  </a:graphic>
                </wp:inline>
              </w:drawing>
            </w:r>
          </w:p>
        </w:tc>
      </w:tr>
      <w:tr w:rsidR="006A7A3F" w:rsidTr="00ED248D">
        <w:trPr>
          <w:trHeight w:val="98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197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708" w:type="dxa"/>
            <w:gridSpan w:val="2"/>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8" cy="310895"/>
                  <wp:effectExtent l="0" t="0" r="0" b="0"/>
                  <wp:docPr id="197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image27.jpeg"/>
                          <pic:cNvPicPr/>
                        </pic:nvPicPr>
                        <pic:blipFill>
                          <a:blip r:embed="rId39" cstate="print"/>
                          <a:stretch>
                            <a:fillRect/>
                          </a:stretch>
                        </pic:blipFill>
                        <pic:spPr>
                          <a:xfrm>
                            <a:off x="0" y="0"/>
                            <a:ext cx="314168" cy="310895"/>
                          </a:xfrm>
                          <a:prstGeom prst="rect">
                            <a:avLst/>
                          </a:prstGeom>
                        </pic:spPr>
                      </pic:pic>
                    </a:graphicData>
                  </a:graphic>
                </wp:inline>
              </w:drawing>
            </w:r>
          </w:p>
        </w:tc>
      </w:tr>
      <w:tr w:rsidR="006A7A3F" w:rsidTr="00ED248D">
        <w:trPr>
          <w:trHeight w:val="1397"/>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300"/>
              <w:rPr>
                <w:sz w:val="16"/>
              </w:rPr>
            </w:pPr>
            <w:r>
              <w:rPr>
                <w:color w:val="231F20"/>
                <w:sz w:val="16"/>
              </w:rPr>
              <w:t>Lindsay-Mullaroo connector (complete fill in spring)</w:t>
            </w:r>
          </w:p>
        </w:tc>
        <w:tc>
          <w:tcPr>
            <w:tcW w:w="6236" w:type="dxa"/>
            <w:tcBorders>
              <w:top w:val="single" w:sz="4" w:space="0" w:color="231F20"/>
              <w:left w:val="single" w:sz="4" w:space="0" w:color="231F20"/>
              <w:bottom w:val="single" w:sz="4" w:space="0" w:color="231F20"/>
              <w:right w:val="single" w:sz="4" w:space="0" w:color="231F20"/>
            </w:tcBorders>
          </w:tcPr>
          <w:p w:rsidR="006A7A3F" w:rsidRPr="008F6EBD" w:rsidRDefault="00BC7372">
            <w:pPr>
              <w:pStyle w:val="TableParagraph"/>
              <w:numPr>
                <w:ilvl w:val="0"/>
                <w:numId w:val="313"/>
              </w:numPr>
              <w:tabs>
                <w:tab w:val="left" w:pos="306"/>
              </w:tabs>
              <w:spacing w:before="70" w:line="254" w:lineRule="auto"/>
              <w:ind w:right="775"/>
              <w:rPr>
                <w:sz w:val="16"/>
                <w:szCs w:val="16"/>
              </w:rPr>
            </w:pPr>
            <w:r w:rsidRPr="008F6EBD">
              <w:rPr>
                <w:color w:val="231F20"/>
                <w:sz w:val="16"/>
                <w:szCs w:val="16"/>
              </w:rPr>
              <w:t>Provide a temporary connection to the Lindsay River to allow the exchange of nutrient, carbon and plant</w:t>
            </w:r>
            <w:r w:rsidRPr="008F6EBD">
              <w:rPr>
                <w:color w:val="231F20"/>
                <w:spacing w:val="-12"/>
                <w:sz w:val="16"/>
                <w:szCs w:val="16"/>
              </w:rPr>
              <w:t xml:space="preserve"> </w:t>
            </w:r>
            <w:r w:rsidRPr="008F6EBD">
              <w:rPr>
                <w:color w:val="231F20"/>
                <w:sz w:val="16"/>
                <w:szCs w:val="16"/>
              </w:rPr>
              <w:t>propagules</w:t>
            </w:r>
          </w:p>
          <w:p w:rsidR="006A7A3F" w:rsidRPr="008F6EBD" w:rsidRDefault="00BC7372">
            <w:pPr>
              <w:pStyle w:val="TableParagraph"/>
              <w:numPr>
                <w:ilvl w:val="0"/>
                <w:numId w:val="313"/>
              </w:numPr>
              <w:tabs>
                <w:tab w:val="left" w:pos="306"/>
              </w:tabs>
              <w:spacing w:before="87" w:line="254" w:lineRule="auto"/>
              <w:ind w:right="516"/>
              <w:rPr>
                <w:sz w:val="16"/>
                <w:szCs w:val="16"/>
              </w:rPr>
            </w:pPr>
            <w:r w:rsidRPr="008F6EBD">
              <w:rPr>
                <w:color w:val="231F20"/>
                <w:sz w:val="16"/>
                <w:szCs w:val="16"/>
              </w:rPr>
              <w:t>Provide conditions for lake bed herbaceous plants and</w:t>
            </w:r>
            <w:r w:rsidRPr="008F6EBD">
              <w:rPr>
                <w:color w:val="231F20"/>
                <w:spacing w:val="-25"/>
                <w:sz w:val="16"/>
                <w:szCs w:val="16"/>
              </w:rPr>
              <w:t xml:space="preserve"> </w:t>
            </w:r>
            <w:r w:rsidRPr="008F6EBD">
              <w:rPr>
                <w:color w:val="231F20"/>
                <w:sz w:val="16"/>
                <w:szCs w:val="16"/>
              </w:rPr>
              <w:t>semi-aquatic plants</w:t>
            </w:r>
            <w:r w:rsidRPr="008F6EBD">
              <w:rPr>
                <w:color w:val="231F20"/>
                <w:spacing w:val="-4"/>
                <w:sz w:val="16"/>
                <w:szCs w:val="16"/>
              </w:rPr>
              <w:t xml:space="preserve"> </w:t>
            </w:r>
            <w:r w:rsidRPr="008F6EBD">
              <w:rPr>
                <w:color w:val="231F20"/>
                <w:sz w:val="16"/>
                <w:szCs w:val="16"/>
              </w:rPr>
              <w:t>to</w:t>
            </w:r>
            <w:r w:rsidRPr="008F6EBD">
              <w:rPr>
                <w:color w:val="231F20"/>
                <w:spacing w:val="-3"/>
                <w:sz w:val="16"/>
                <w:szCs w:val="16"/>
              </w:rPr>
              <w:t xml:space="preserve"> </w:t>
            </w:r>
            <w:r w:rsidRPr="008F6EBD">
              <w:rPr>
                <w:color w:val="231F20"/>
                <w:sz w:val="16"/>
                <w:szCs w:val="16"/>
              </w:rPr>
              <w:t>grow</w:t>
            </w:r>
            <w:r w:rsidRPr="008F6EBD">
              <w:rPr>
                <w:color w:val="231F20"/>
                <w:spacing w:val="-3"/>
                <w:sz w:val="16"/>
                <w:szCs w:val="16"/>
              </w:rPr>
              <w:t xml:space="preserve"> </w:t>
            </w:r>
            <w:r w:rsidRPr="008F6EBD">
              <w:rPr>
                <w:color w:val="231F20"/>
                <w:sz w:val="16"/>
                <w:szCs w:val="16"/>
              </w:rPr>
              <w:t>in</w:t>
            </w:r>
            <w:r w:rsidRPr="008F6EBD">
              <w:rPr>
                <w:color w:val="231F20"/>
                <w:spacing w:val="-3"/>
                <w:sz w:val="16"/>
                <w:szCs w:val="16"/>
              </w:rPr>
              <w:t xml:space="preserve"> </w:t>
            </w:r>
            <w:r w:rsidRPr="008F6EBD">
              <w:rPr>
                <w:color w:val="231F20"/>
                <w:sz w:val="16"/>
                <w:szCs w:val="16"/>
              </w:rPr>
              <w:t>the</w:t>
            </w:r>
            <w:r w:rsidRPr="008F6EBD">
              <w:rPr>
                <w:color w:val="231F20"/>
                <w:spacing w:val="-3"/>
                <w:sz w:val="16"/>
                <w:szCs w:val="16"/>
              </w:rPr>
              <w:t xml:space="preserve"> </w:t>
            </w:r>
            <w:r w:rsidRPr="008F6EBD">
              <w:rPr>
                <w:color w:val="231F20"/>
                <w:sz w:val="16"/>
                <w:szCs w:val="16"/>
              </w:rPr>
              <w:t>littoral</w:t>
            </w:r>
            <w:r w:rsidRPr="008F6EBD">
              <w:rPr>
                <w:color w:val="231F20"/>
                <w:spacing w:val="-3"/>
                <w:sz w:val="16"/>
                <w:szCs w:val="16"/>
              </w:rPr>
              <w:t xml:space="preserve"> </w:t>
            </w:r>
            <w:r w:rsidRPr="008F6EBD">
              <w:rPr>
                <w:color w:val="231F20"/>
                <w:sz w:val="16"/>
                <w:szCs w:val="16"/>
              </w:rPr>
              <w:t>zone</w:t>
            </w:r>
            <w:r w:rsidRPr="008F6EBD">
              <w:rPr>
                <w:color w:val="231F20"/>
                <w:spacing w:val="-3"/>
                <w:sz w:val="16"/>
                <w:szCs w:val="16"/>
              </w:rPr>
              <w:t xml:space="preserve"> </w:t>
            </w:r>
            <w:r w:rsidRPr="008F6EBD">
              <w:rPr>
                <w:color w:val="231F20"/>
                <w:sz w:val="16"/>
                <w:szCs w:val="16"/>
              </w:rPr>
              <w:t>in</w:t>
            </w:r>
            <w:r w:rsidRPr="008F6EBD">
              <w:rPr>
                <w:color w:val="231F20"/>
                <w:spacing w:val="-4"/>
                <w:sz w:val="16"/>
                <w:szCs w:val="16"/>
              </w:rPr>
              <w:t xml:space="preserve"> </w:t>
            </w:r>
            <w:r w:rsidRPr="008F6EBD">
              <w:rPr>
                <w:color w:val="231F20"/>
                <w:sz w:val="16"/>
                <w:szCs w:val="16"/>
              </w:rPr>
              <w:t>the</w:t>
            </w:r>
            <w:r w:rsidRPr="008F6EBD">
              <w:rPr>
                <w:color w:val="231F20"/>
                <w:spacing w:val="-2"/>
                <w:sz w:val="16"/>
                <w:szCs w:val="16"/>
              </w:rPr>
              <w:t xml:space="preserve"> </w:t>
            </w:r>
            <w:r w:rsidRPr="008F6EBD">
              <w:rPr>
                <w:color w:val="231F20"/>
                <w:sz w:val="16"/>
                <w:szCs w:val="16"/>
              </w:rPr>
              <w:t>drying</w:t>
            </w:r>
            <w:r w:rsidRPr="008F6EBD">
              <w:rPr>
                <w:color w:val="231F20"/>
                <w:spacing w:val="-4"/>
                <w:sz w:val="16"/>
                <w:szCs w:val="16"/>
              </w:rPr>
              <w:t xml:space="preserve"> </w:t>
            </w:r>
            <w:r w:rsidRPr="008F6EBD">
              <w:rPr>
                <w:color w:val="231F20"/>
                <w:sz w:val="16"/>
                <w:szCs w:val="16"/>
              </w:rPr>
              <w:t>phase</w:t>
            </w:r>
            <w:r w:rsidRPr="008F6EBD">
              <w:rPr>
                <w:color w:val="231F20"/>
                <w:spacing w:val="-3"/>
                <w:sz w:val="16"/>
                <w:szCs w:val="16"/>
              </w:rPr>
              <w:t xml:space="preserve"> </w:t>
            </w:r>
            <w:r w:rsidRPr="008F6EBD">
              <w:rPr>
                <w:color w:val="231F20"/>
                <w:sz w:val="16"/>
                <w:szCs w:val="16"/>
              </w:rPr>
              <w:t>after</w:t>
            </w:r>
            <w:r w:rsidRPr="008F6EBD">
              <w:rPr>
                <w:color w:val="231F20"/>
                <w:spacing w:val="-3"/>
                <w:sz w:val="16"/>
                <w:szCs w:val="16"/>
              </w:rPr>
              <w:t xml:space="preserve"> </w:t>
            </w:r>
            <w:r w:rsidRPr="008F6EBD">
              <w:rPr>
                <w:color w:val="231F20"/>
                <w:sz w:val="16"/>
                <w:szCs w:val="16"/>
              </w:rPr>
              <w:t>watering</w:t>
            </w:r>
          </w:p>
          <w:p w:rsidR="006A7A3F" w:rsidRDefault="00BC7372">
            <w:pPr>
              <w:pStyle w:val="TableParagraph"/>
              <w:numPr>
                <w:ilvl w:val="0"/>
                <w:numId w:val="313"/>
              </w:numPr>
              <w:tabs>
                <w:tab w:val="left" w:pos="306"/>
              </w:tabs>
              <w:spacing w:before="86"/>
              <w:ind w:hanging="218"/>
              <w:rPr>
                <w:sz w:val="18"/>
              </w:rPr>
            </w:pPr>
            <w:r w:rsidRPr="008F6EBD">
              <w:rPr>
                <w:color w:val="231F20"/>
                <w:sz w:val="16"/>
                <w:szCs w:val="16"/>
              </w:rPr>
              <w:t>Stimulate the growth of severely stressed streamside</w:t>
            </w:r>
            <w:r w:rsidRPr="008F6EBD">
              <w:rPr>
                <w:color w:val="231F20"/>
                <w:spacing w:val="-4"/>
                <w:sz w:val="16"/>
                <w:szCs w:val="16"/>
              </w:rPr>
              <w:t xml:space="preserve"> </w:t>
            </w:r>
            <w:r w:rsidRPr="008F6EBD">
              <w:rPr>
                <w:color w:val="231F20"/>
                <w:sz w:val="16"/>
                <w:szCs w:val="16"/>
              </w:rPr>
              <w:t>vegetation</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1977"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708" w:type="dxa"/>
            <w:gridSpan w:val="2"/>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197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ED248D" w:rsidTr="00ED248D">
        <w:trPr>
          <w:trHeight w:val="1397"/>
        </w:trPr>
        <w:tc>
          <w:tcPr>
            <w:tcW w:w="2381" w:type="dxa"/>
            <w:tcBorders>
              <w:top w:val="single" w:sz="4" w:space="0" w:color="231F20"/>
              <w:left w:val="single" w:sz="4" w:space="0" w:color="231F20"/>
              <w:bottom w:val="single" w:sz="4" w:space="0" w:color="231F20"/>
              <w:right w:val="single" w:sz="4" w:space="0" w:color="231F20"/>
            </w:tcBorders>
          </w:tcPr>
          <w:p w:rsidR="00ED248D" w:rsidRDefault="00ED248D" w:rsidP="00ED248D">
            <w:pPr>
              <w:pStyle w:val="TableParagraph"/>
              <w:spacing w:before="67" w:line="261" w:lineRule="auto"/>
              <w:ind w:left="85" w:right="247"/>
              <w:rPr>
                <w:sz w:val="16"/>
              </w:rPr>
            </w:pPr>
            <w:r>
              <w:rPr>
                <w:color w:val="231F20"/>
                <w:sz w:val="16"/>
              </w:rPr>
              <w:t>Crankhandle (complete fill in spring)</w:t>
            </w:r>
          </w:p>
        </w:tc>
        <w:tc>
          <w:tcPr>
            <w:tcW w:w="6236" w:type="dxa"/>
            <w:tcBorders>
              <w:top w:val="single" w:sz="4" w:space="0" w:color="231F20"/>
              <w:left w:val="single" w:sz="4" w:space="0" w:color="231F20"/>
              <w:bottom w:val="single" w:sz="4" w:space="0" w:color="231F20"/>
              <w:right w:val="single" w:sz="4" w:space="0" w:color="231F20"/>
            </w:tcBorders>
          </w:tcPr>
          <w:p w:rsidR="00ED248D" w:rsidRPr="008F6EBD" w:rsidRDefault="00ED248D" w:rsidP="00ED248D">
            <w:pPr>
              <w:pStyle w:val="TableParagraph"/>
              <w:numPr>
                <w:ilvl w:val="0"/>
                <w:numId w:val="312"/>
              </w:numPr>
              <w:tabs>
                <w:tab w:val="left" w:pos="306"/>
              </w:tabs>
              <w:spacing w:before="63" w:line="254" w:lineRule="auto"/>
              <w:ind w:right="926"/>
              <w:rPr>
                <w:sz w:val="16"/>
                <w:szCs w:val="16"/>
              </w:rPr>
            </w:pPr>
            <w:r w:rsidRPr="008F6EBD">
              <w:rPr>
                <w:color w:val="231F20"/>
                <w:sz w:val="16"/>
                <w:szCs w:val="16"/>
              </w:rPr>
              <w:t>Provide shallow-water habitat to provide foraging and</w:t>
            </w:r>
            <w:r w:rsidRPr="008F6EBD">
              <w:rPr>
                <w:color w:val="231F20"/>
                <w:spacing w:val="-24"/>
                <w:sz w:val="16"/>
                <w:szCs w:val="16"/>
              </w:rPr>
              <w:t xml:space="preserve"> </w:t>
            </w:r>
            <w:r w:rsidRPr="008F6EBD">
              <w:rPr>
                <w:color w:val="231F20"/>
                <w:sz w:val="16"/>
                <w:szCs w:val="16"/>
              </w:rPr>
              <w:t>breeding opportunities for</w:t>
            </w:r>
            <w:r w:rsidRPr="008F6EBD">
              <w:rPr>
                <w:color w:val="231F20"/>
                <w:spacing w:val="-2"/>
                <w:sz w:val="16"/>
                <w:szCs w:val="16"/>
              </w:rPr>
              <w:t xml:space="preserve"> </w:t>
            </w:r>
            <w:r w:rsidRPr="008F6EBD">
              <w:rPr>
                <w:color w:val="231F20"/>
                <w:sz w:val="16"/>
                <w:szCs w:val="16"/>
              </w:rPr>
              <w:t>frogs</w:t>
            </w:r>
          </w:p>
          <w:p w:rsidR="00ED248D" w:rsidRPr="008F6EBD" w:rsidRDefault="00ED248D" w:rsidP="00ED248D">
            <w:pPr>
              <w:pStyle w:val="TableParagraph"/>
              <w:numPr>
                <w:ilvl w:val="0"/>
                <w:numId w:val="312"/>
              </w:numPr>
              <w:tabs>
                <w:tab w:val="left" w:pos="306"/>
              </w:tabs>
              <w:spacing w:before="86" w:line="254" w:lineRule="auto"/>
              <w:ind w:right="266"/>
              <w:rPr>
                <w:sz w:val="16"/>
                <w:szCs w:val="16"/>
              </w:rPr>
            </w:pPr>
            <w:r w:rsidRPr="008F6EBD">
              <w:rPr>
                <w:color w:val="231F20"/>
                <w:sz w:val="16"/>
                <w:szCs w:val="16"/>
              </w:rPr>
              <w:t>Provide conditions for lake bed herbaceous plants to grow in the</w:t>
            </w:r>
            <w:r w:rsidRPr="008F6EBD">
              <w:rPr>
                <w:color w:val="231F20"/>
                <w:spacing w:val="-34"/>
                <w:sz w:val="16"/>
                <w:szCs w:val="16"/>
              </w:rPr>
              <w:t xml:space="preserve"> </w:t>
            </w:r>
            <w:r w:rsidRPr="008F6EBD">
              <w:rPr>
                <w:color w:val="231F20"/>
                <w:sz w:val="16"/>
                <w:szCs w:val="16"/>
              </w:rPr>
              <w:t>drying phase after</w:t>
            </w:r>
            <w:r w:rsidRPr="008F6EBD">
              <w:rPr>
                <w:color w:val="231F20"/>
                <w:spacing w:val="-3"/>
                <w:sz w:val="16"/>
                <w:szCs w:val="16"/>
              </w:rPr>
              <w:t xml:space="preserve"> </w:t>
            </w:r>
            <w:r w:rsidRPr="008F6EBD">
              <w:rPr>
                <w:color w:val="231F20"/>
                <w:sz w:val="16"/>
                <w:szCs w:val="16"/>
              </w:rPr>
              <w:t>watering</w:t>
            </w:r>
          </w:p>
          <w:p w:rsidR="00ED248D" w:rsidRDefault="00ED248D" w:rsidP="00ED248D">
            <w:pPr>
              <w:pStyle w:val="TableParagraph"/>
              <w:numPr>
                <w:ilvl w:val="0"/>
                <w:numId w:val="312"/>
              </w:numPr>
              <w:tabs>
                <w:tab w:val="left" w:pos="306"/>
              </w:tabs>
              <w:spacing w:before="86" w:line="254" w:lineRule="auto"/>
              <w:ind w:right="226"/>
              <w:rPr>
                <w:sz w:val="18"/>
              </w:rPr>
            </w:pPr>
            <w:r w:rsidRPr="008F6EBD">
              <w:rPr>
                <w:color w:val="231F20"/>
                <w:sz w:val="16"/>
                <w:szCs w:val="16"/>
              </w:rPr>
              <w:t>Fill to the wetland fringe to increase the growth of shrubs and lignum</w:t>
            </w:r>
            <w:r w:rsidRPr="008F6EBD">
              <w:rPr>
                <w:color w:val="231F20"/>
                <w:spacing w:val="-33"/>
                <w:sz w:val="16"/>
                <w:szCs w:val="16"/>
              </w:rPr>
              <w:t xml:space="preserve"> </w:t>
            </w:r>
            <w:r w:rsidRPr="008F6EBD">
              <w:rPr>
                <w:color w:val="231F20"/>
                <w:sz w:val="16"/>
                <w:szCs w:val="16"/>
              </w:rPr>
              <w:t>on the wetland</w:t>
            </w:r>
            <w:r w:rsidRPr="008F6EBD">
              <w:rPr>
                <w:color w:val="231F20"/>
                <w:spacing w:val="-2"/>
                <w:sz w:val="16"/>
                <w:szCs w:val="16"/>
              </w:rPr>
              <w:t xml:space="preserve"> </w:t>
            </w:r>
            <w:r w:rsidRPr="008F6EBD">
              <w:rPr>
                <w:color w:val="231F20"/>
                <w:sz w:val="16"/>
                <w:szCs w:val="16"/>
              </w:rPr>
              <w:t>fringe</w:t>
            </w:r>
          </w:p>
        </w:tc>
        <w:tc>
          <w:tcPr>
            <w:tcW w:w="850" w:type="dxa"/>
            <w:tcBorders>
              <w:top w:val="single" w:sz="4" w:space="0" w:color="231F20"/>
              <w:left w:val="single" w:sz="4" w:space="0" w:color="231F20"/>
              <w:bottom w:val="single" w:sz="4" w:space="0" w:color="auto"/>
              <w:right w:val="nil"/>
            </w:tcBorders>
          </w:tcPr>
          <w:p w:rsidR="00ED248D" w:rsidRDefault="00ED248D" w:rsidP="00ED248D">
            <w:pPr>
              <w:pStyle w:val="TableParagraph"/>
              <w:spacing w:before="9"/>
              <w:ind w:left="0"/>
              <w:rPr>
                <w:b/>
                <w:sz w:val="8"/>
              </w:rPr>
            </w:pPr>
          </w:p>
          <w:p w:rsidR="00ED248D" w:rsidRDefault="00ED248D" w:rsidP="00ED248D">
            <w:pPr>
              <w:pStyle w:val="TableParagraph"/>
              <w:ind w:left="315" w:right="-15"/>
              <w:rPr>
                <w:sz w:val="20"/>
              </w:rPr>
            </w:pPr>
            <w:r>
              <w:rPr>
                <w:noProof/>
                <w:sz w:val="20"/>
              </w:rPr>
              <w:drawing>
                <wp:inline distT="0" distB="0" distL="0" distR="0" wp14:anchorId="5046763B" wp14:editId="3A32A647">
                  <wp:extent cx="314168" cy="310896"/>
                  <wp:effectExtent l="0" t="0" r="0" b="0"/>
                  <wp:docPr id="426"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08" w:type="dxa"/>
            <w:gridSpan w:val="2"/>
            <w:tcBorders>
              <w:top w:val="single" w:sz="4" w:space="0" w:color="231F20"/>
              <w:left w:val="nil"/>
              <w:bottom w:val="single" w:sz="4" w:space="0" w:color="auto"/>
              <w:right w:val="single" w:sz="4" w:space="0" w:color="231F20"/>
            </w:tcBorders>
          </w:tcPr>
          <w:p w:rsidR="00ED248D" w:rsidRDefault="00ED248D" w:rsidP="00ED248D">
            <w:pPr>
              <w:pStyle w:val="TableParagraph"/>
              <w:spacing w:before="9"/>
              <w:ind w:left="0"/>
              <w:rPr>
                <w:b/>
                <w:sz w:val="8"/>
              </w:rPr>
            </w:pPr>
          </w:p>
          <w:p w:rsidR="00ED248D" w:rsidRDefault="00ED248D" w:rsidP="00ED248D">
            <w:pPr>
              <w:pStyle w:val="TableParagraph"/>
              <w:ind w:left="48"/>
              <w:rPr>
                <w:sz w:val="20"/>
              </w:rPr>
            </w:pPr>
            <w:r>
              <w:rPr>
                <w:noProof/>
                <w:sz w:val="20"/>
              </w:rPr>
              <w:drawing>
                <wp:inline distT="0" distB="0" distL="0" distR="0" wp14:anchorId="4421BA66" wp14:editId="5CF8B544">
                  <wp:extent cx="314168" cy="310896"/>
                  <wp:effectExtent l="0" t="0" r="0" b="0"/>
                  <wp:docPr id="42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ED248D" w:rsidTr="00494BA5">
        <w:trPr>
          <w:trHeight w:val="205"/>
        </w:trPr>
        <w:tc>
          <w:tcPr>
            <w:tcW w:w="2381" w:type="dxa"/>
            <w:vMerge w:val="restart"/>
            <w:tcBorders>
              <w:top w:val="single" w:sz="4" w:space="0" w:color="231F20"/>
              <w:left w:val="single" w:sz="4" w:space="0" w:color="231F20"/>
              <w:right w:val="single" w:sz="4" w:space="0" w:color="231F20"/>
            </w:tcBorders>
          </w:tcPr>
          <w:p w:rsidR="00ED248D" w:rsidRDefault="00ED248D" w:rsidP="00ED248D">
            <w:pPr>
              <w:pStyle w:val="TableParagraph"/>
              <w:spacing w:before="67" w:line="261" w:lineRule="auto"/>
              <w:ind w:left="85" w:right="169"/>
              <w:rPr>
                <w:sz w:val="16"/>
              </w:rPr>
            </w:pPr>
            <w:r>
              <w:rPr>
                <w:color w:val="231F20"/>
                <w:sz w:val="16"/>
              </w:rPr>
              <w:t>Lake Wallawalla (partial fill in autumn/winter)</w:t>
            </w:r>
          </w:p>
        </w:tc>
        <w:tc>
          <w:tcPr>
            <w:tcW w:w="6236" w:type="dxa"/>
            <w:vMerge w:val="restart"/>
            <w:tcBorders>
              <w:top w:val="single" w:sz="4" w:space="0" w:color="231F20"/>
              <w:left w:val="single" w:sz="4" w:space="0" w:color="231F20"/>
              <w:right w:val="single" w:sz="4" w:space="0" w:color="auto"/>
            </w:tcBorders>
          </w:tcPr>
          <w:p w:rsidR="00ED248D" w:rsidRPr="00ED248D" w:rsidRDefault="00ED248D" w:rsidP="00ED248D">
            <w:pPr>
              <w:pStyle w:val="TableParagraph"/>
              <w:numPr>
                <w:ilvl w:val="0"/>
                <w:numId w:val="311"/>
              </w:numPr>
              <w:tabs>
                <w:tab w:val="left" w:pos="306"/>
              </w:tabs>
              <w:spacing w:before="63" w:line="254" w:lineRule="auto"/>
              <w:ind w:right="257"/>
              <w:rPr>
                <w:sz w:val="16"/>
                <w:szCs w:val="16"/>
              </w:rPr>
            </w:pPr>
            <w:r w:rsidRPr="00ED248D">
              <w:rPr>
                <w:color w:val="231F20"/>
                <w:sz w:val="16"/>
                <w:szCs w:val="16"/>
              </w:rPr>
              <w:t>Provide shallow-water habitat, open-water habitat and shoreline</w:t>
            </w:r>
            <w:r w:rsidRPr="00ED248D">
              <w:rPr>
                <w:color w:val="231F20"/>
                <w:spacing w:val="-33"/>
                <w:sz w:val="16"/>
                <w:szCs w:val="16"/>
              </w:rPr>
              <w:t xml:space="preserve"> </w:t>
            </w:r>
            <w:r w:rsidRPr="00ED248D">
              <w:rPr>
                <w:color w:val="231F20"/>
                <w:sz w:val="16"/>
                <w:szCs w:val="16"/>
              </w:rPr>
              <w:t>habitat to create foraging opportunities for waterbirds, frogs and</w:t>
            </w:r>
            <w:r w:rsidRPr="00ED248D">
              <w:rPr>
                <w:color w:val="231F20"/>
                <w:spacing w:val="-12"/>
                <w:sz w:val="16"/>
                <w:szCs w:val="16"/>
              </w:rPr>
              <w:t xml:space="preserve"> </w:t>
            </w:r>
            <w:r w:rsidRPr="00ED248D">
              <w:rPr>
                <w:color w:val="231F20"/>
                <w:sz w:val="16"/>
                <w:szCs w:val="16"/>
              </w:rPr>
              <w:t>turtles</w:t>
            </w:r>
          </w:p>
          <w:p w:rsidR="00ED248D" w:rsidRPr="00ED248D" w:rsidRDefault="00ED248D" w:rsidP="00ED248D">
            <w:pPr>
              <w:pStyle w:val="TableParagraph"/>
              <w:numPr>
                <w:ilvl w:val="0"/>
                <w:numId w:val="311"/>
              </w:numPr>
              <w:tabs>
                <w:tab w:val="left" w:pos="306"/>
              </w:tabs>
              <w:spacing w:before="86" w:line="254" w:lineRule="auto"/>
              <w:ind w:right="246"/>
              <w:rPr>
                <w:sz w:val="16"/>
                <w:szCs w:val="16"/>
              </w:rPr>
            </w:pPr>
            <w:r w:rsidRPr="00ED248D">
              <w:rPr>
                <w:color w:val="231F20"/>
                <w:sz w:val="16"/>
                <w:szCs w:val="16"/>
              </w:rPr>
              <w:t>Break the dormancy of yabbies so they emerge from burrows, feed and reproduce</w:t>
            </w:r>
          </w:p>
          <w:p w:rsidR="00ED248D" w:rsidRDefault="00ED248D" w:rsidP="00ED248D">
            <w:pPr>
              <w:pStyle w:val="TableParagraph"/>
              <w:numPr>
                <w:ilvl w:val="0"/>
                <w:numId w:val="311"/>
              </w:numPr>
              <w:tabs>
                <w:tab w:val="left" w:pos="306"/>
              </w:tabs>
              <w:spacing w:before="86" w:line="254" w:lineRule="auto"/>
              <w:ind w:right="266"/>
              <w:rPr>
                <w:sz w:val="18"/>
              </w:rPr>
            </w:pPr>
            <w:r w:rsidRPr="00ED248D">
              <w:rPr>
                <w:color w:val="231F20"/>
                <w:sz w:val="16"/>
                <w:szCs w:val="16"/>
              </w:rPr>
              <w:t>Provide conditions for lake bed herbaceous plants to grow in the</w:t>
            </w:r>
            <w:r w:rsidRPr="00ED248D">
              <w:rPr>
                <w:color w:val="231F20"/>
                <w:spacing w:val="-34"/>
                <w:sz w:val="16"/>
                <w:szCs w:val="16"/>
              </w:rPr>
              <w:t xml:space="preserve"> </w:t>
            </w:r>
            <w:r w:rsidRPr="00ED248D">
              <w:rPr>
                <w:color w:val="231F20"/>
                <w:sz w:val="16"/>
                <w:szCs w:val="16"/>
              </w:rPr>
              <w:t>drying phase after</w:t>
            </w:r>
            <w:r w:rsidRPr="00ED248D">
              <w:rPr>
                <w:color w:val="231F20"/>
                <w:spacing w:val="-3"/>
                <w:sz w:val="16"/>
                <w:szCs w:val="16"/>
              </w:rPr>
              <w:t xml:space="preserve"> </w:t>
            </w:r>
            <w:r w:rsidRPr="00ED248D">
              <w:rPr>
                <w:color w:val="231F20"/>
                <w:sz w:val="16"/>
                <w:szCs w:val="16"/>
              </w:rPr>
              <w:t>watering</w:t>
            </w:r>
          </w:p>
        </w:tc>
        <w:tc>
          <w:tcPr>
            <w:tcW w:w="880" w:type="dxa"/>
            <w:gridSpan w:val="2"/>
            <w:tcBorders>
              <w:top w:val="single" w:sz="4" w:space="0" w:color="auto"/>
              <w:left w:val="single" w:sz="4" w:space="0" w:color="auto"/>
              <w:bottom w:val="nil"/>
              <w:right w:val="nil"/>
            </w:tcBorders>
          </w:tcPr>
          <w:p w:rsidR="00ED248D" w:rsidRDefault="00ED248D" w:rsidP="00ED248D">
            <w:pPr>
              <w:pStyle w:val="TableParagraph"/>
              <w:spacing w:before="9"/>
              <w:ind w:left="0"/>
              <w:rPr>
                <w:b/>
                <w:sz w:val="8"/>
              </w:rPr>
            </w:pPr>
          </w:p>
          <w:p w:rsidR="00ED248D" w:rsidRDefault="00ED248D" w:rsidP="00ED248D">
            <w:pPr>
              <w:pStyle w:val="TableParagraph"/>
              <w:ind w:left="315" w:right="-15"/>
              <w:rPr>
                <w:sz w:val="20"/>
              </w:rPr>
            </w:pPr>
            <w:r>
              <w:rPr>
                <w:noProof/>
                <w:sz w:val="20"/>
              </w:rPr>
              <w:drawing>
                <wp:inline distT="0" distB="0" distL="0" distR="0" wp14:anchorId="3A4B5439" wp14:editId="76EAEF4A">
                  <wp:extent cx="314168" cy="310896"/>
                  <wp:effectExtent l="0" t="0" r="0" b="0"/>
                  <wp:docPr id="438"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678" w:type="dxa"/>
            <w:tcBorders>
              <w:top w:val="single" w:sz="4" w:space="0" w:color="auto"/>
              <w:left w:val="nil"/>
              <w:bottom w:val="nil"/>
              <w:right w:val="single" w:sz="4" w:space="0" w:color="auto"/>
            </w:tcBorders>
          </w:tcPr>
          <w:p w:rsidR="00ED248D" w:rsidRDefault="00ED248D" w:rsidP="00ED248D">
            <w:pPr>
              <w:pStyle w:val="TableParagraph"/>
              <w:spacing w:before="9"/>
              <w:ind w:left="0"/>
              <w:rPr>
                <w:b/>
                <w:sz w:val="8"/>
              </w:rPr>
            </w:pPr>
          </w:p>
          <w:p w:rsidR="00ED248D" w:rsidRDefault="00ED248D" w:rsidP="00ED248D">
            <w:pPr>
              <w:pStyle w:val="TableParagraph"/>
              <w:ind w:left="48"/>
              <w:rPr>
                <w:sz w:val="20"/>
              </w:rPr>
            </w:pPr>
            <w:r>
              <w:rPr>
                <w:noProof/>
                <w:sz w:val="20"/>
              </w:rPr>
              <w:drawing>
                <wp:inline distT="0" distB="0" distL="0" distR="0" wp14:anchorId="2DEADFE5" wp14:editId="269C3154">
                  <wp:extent cx="314168" cy="310896"/>
                  <wp:effectExtent l="0" t="0" r="0" b="0"/>
                  <wp:docPr id="440"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image26.jpeg"/>
                          <pic:cNvPicPr/>
                        </pic:nvPicPr>
                        <pic:blipFill>
                          <a:blip r:embed="rId38" cstate="print"/>
                          <a:stretch>
                            <a:fillRect/>
                          </a:stretch>
                        </pic:blipFill>
                        <pic:spPr>
                          <a:xfrm>
                            <a:off x="0" y="0"/>
                            <a:ext cx="314168" cy="310896"/>
                          </a:xfrm>
                          <a:prstGeom prst="rect">
                            <a:avLst/>
                          </a:prstGeom>
                        </pic:spPr>
                      </pic:pic>
                    </a:graphicData>
                  </a:graphic>
                </wp:inline>
              </w:drawing>
            </w:r>
          </w:p>
        </w:tc>
      </w:tr>
      <w:tr w:rsidR="00ED248D" w:rsidTr="00494BA5">
        <w:trPr>
          <w:trHeight w:val="205"/>
        </w:trPr>
        <w:tc>
          <w:tcPr>
            <w:tcW w:w="2381" w:type="dxa"/>
            <w:vMerge/>
            <w:tcBorders>
              <w:left w:val="single" w:sz="4" w:space="0" w:color="231F20"/>
              <w:right w:val="single" w:sz="4" w:space="0" w:color="231F20"/>
            </w:tcBorders>
          </w:tcPr>
          <w:p w:rsidR="00ED248D" w:rsidRDefault="00ED248D" w:rsidP="00ED248D">
            <w:pPr>
              <w:pStyle w:val="TableParagraph"/>
              <w:spacing w:before="67" w:line="261" w:lineRule="auto"/>
              <w:ind w:left="85" w:right="247"/>
              <w:rPr>
                <w:color w:val="231F20"/>
                <w:sz w:val="16"/>
              </w:rPr>
            </w:pPr>
          </w:p>
        </w:tc>
        <w:tc>
          <w:tcPr>
            <w:tcW w:w="6236" w:type="dxa"/>
            <w:vMerge/>
            <w:tcBorders>
              <w:left w:val="single" w:sz="4" w:space="0" w:color="231F20"/>
              <w:right w:val="single" w:sz="4" w:space="0" w:color="auto"/>
            </w:tcBorders>
          </w:tcPr>
          <w:p w:rsidR="00ED248D" w:rsidRPr="008F6EBD" w:rsidRDefault="00ED248D" w:rsidP="00ED248D">
            <w:pPr>
              <w:pStyle w:val="TableParagraph"/>
              <w:numPr>
                <w:ilvl w:val="0"/>
                <w:numId w:val="312"/>
              </w:numPr>
              <w:tabs>
                <w:tab w:val="left" w:pos="306"/>
              </w:tabs>
              <w:spacing w:before="63" w:line="254" w:lineRule="auto"/>
              <w:ind w:right="926"/>
              <w:rPr>
                <w:color w:val="231F20"/>
                <w:sz w:val="16"/>
                <w:szCs w:val="16"/>
              </w:rPr>
            </w:pPr>
          </w:p>
        </w:tc>
        <w:tc>
          <w:tcPr>
            <w:tcW w:w="880" w:type="dxa"/>
            <w:gridSpan w:val="2"/>
            <w:tcBorders>
              <w:top w:val="nil"/>
              <w:left w:val="single" w:sz="4" w:space="0" w:color="auto"/>
              <w:bottom w:val="nil"/>
              <w:right w:val="nil"/>
            </w:tcBorders>
          </w:tcPr>
          <w:p w:rsidR="00ED248D" w:rsidRDefault="00ED248D" w:rsidP="00ED248D">
            <w:pPr>
              <w:pStyle w:val="TableParagraph"/>
              <w:ind w:left="315" w:right="-15"/>
              <w:rPr>
                <w:sz w:val="20"/>
              </w:rPr>
            </w:pPr>
            <w:r>
              <w:rPr>
                <w:noProof/>
                <w:sz w:val="20"/>
              </w:rPr>
              <w:drawing>
                <wp:inline distT="0" distB="0" distL="0" distR="0" wp14:anchorId="64E95BED" wp14:editId="677878A0">
                  <wp:extent cx="314178" cy="310896"/>
                  <wp:effectExtent l="0" t="0" r="0" b="0"/>
                  <wp:docPr id="442"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image21.jpeg"/>
                          <pic:cNvPicPr/>
                        </pic:nvPicPr>
                        <pic:blipFill>
                          <a:blip r:embed="rId33" cstate="print"/>
                          <a:stretch>
                            <a:fillRect/>
                          </a:stretch>
                        </pic:blipFill>
                        <pic:spPr>
                          <a:xfrm>
                            <a:off x="0" y="0"/>
                            <a:ext cx="314178" cy="310896"/>
                          </a:xfrm>
                          <a:prstGeom prst="rect">
                            <a:avLst/>
                          </a:prstGeom>
                        </pic:spPr>
                      </pic:pic>
                    </a:graphicData>
                  </a:graphic>
                </wp:inline>
              </w:drawing>
            </w:r>
          </w:p>
        </w:tc>
        <w:tc>
          <w:tcPr>
            <w:tcW w:w="678" w:type="dxa"/>
            <w:tcBorders>
              <w:top w:val="nil"/>
              <w:left w:val="nil"/>
              <w:bottom w:val="nil"/>
              <w:right w:val="single" w:sz="4" w:space="0" w:color="auto"/>
            </w:tcBorders>
          </w:tcPr>
          <w:p w:rsidR="00ED248D" w:rsidRDefault="00ED248D" w:rsidP="00ED248D">
            <w:pPr>
              <w:pStyle w:val="TableParagraph"/>
              <w:ind w:left="48"/>
              <w:rPr>
                <w:sz w:val="20"/>
              </w:rPr>
            </w:pPr>
            <w:r>
              <w:rPr>
                <w:noProof/>
                <w:sz w:val="20"/>
              </w:rPr>
              <w:drawing>
                <wp:inline distT="0" distB="0" distL="0" distR="0" wp14:anchorId="13B870B0" wp14:editId="25C7CC42">
                  <wp:extent cx="314165" cy="310896"/>
                  <wp:effectExtent l="0" t="0" r="0" b="0"/>
                  <wp:docPr id="44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image27.jpeg"/>
                          <pic:cNvPicPr/>
                        </pic:nvPicPr>
                        <pic:blipFill>
                          <a:blip r:embed="rId39" cstate="print"/>
                          <a:stretch>
                            <a:fillRect/>
                          </a:stretch>
                        </pic:blipFill>
                        <pic:spPr>
                          <a:xfrm>
                            <a:off x="0" y="0"/>
                            <a:ext cx="314165" cy="310896"/>
                          </a:xfrm>
                          <a:prstGeom prst="rect">
                            <a:avLst/>
                          </a:prstGeom>
                        </pic:spPr>
                      </pic:pic>
                    </a:graphicData>
                  </a:graphic>
                </wp:inline>
              </w:drawing>
            </w:r>
          </w:p>
        </w:tc>
      </w:tr>
      <w:tr w:rsidR="00ED248D" w:rsidTr="00494BA5">
        <w:trPr>
          <w:trHeight w:val="669"/>
        </w:trPr>
        <w:tc>
          <w:tcPr>
            <w:tcW w:w="2381" w:type="dxa"/>
            <w:vMerge/>
            <w:tcBorders>
              <w:left w:val="single" w:sz="4" w:space="0" w:color="231F20"/>
              <w:right w:val="single" w:sz="4" w:space="0" w:color="231F20"/>
            </w:tcBorders>
          </w:tcPr>
          <w:p w:rsidR="00ED248D" w:rsidRDefault="00ED248D" w:rsidP="00ED248D">
            <w:pPr>
              <w:pStyle w:val="TableParagraph"/>
              <w:spacing w:before="67" w:line="261" w:lineRule="auto"/>
              <w:ind w:left="85" w:right="247"/>
              <w:rPr>
                <w:color w:val="231F20"/>
                <w:sz w:val="16"/>
              </w:rPr>
            </w:pPr>
          </w:p>
        </w:tc>
        <w:tc>
          <w:tcPr>
            <w:tcW w:w="6236" w:type="dxa"/>
            <w:vMerge/>
            <w:tcBorders>
              <w:left w:val="single" w:sz="4" w:space="0" w:color="231F20"/>
              <w:right w:val="single" w:sz="4" w:space="0" w:color="auto"/>
            </w:tcBorders>
          </w:tcPr>
          <w:p w:rsidR="00ED248D" w:rsidRPr="008F6EBD" w:rsidRDefault="00ED248D" w:rsidP="00ED248D">
            <w:pPr>
              <w:pStyle w:val="TableParagraph"/>
              <w:numPr>
                <w:ilvl w:val="0"/>
                <w:numId w:val="312"/>
              </w:numPr>
              <w:tabs>
                <w:tab w:val="left" w:pos="306"/>
              </w:tabs>
              <w:spacing w:before="63" w:line="254" w:lineRule="auto"/>
              <w:ind w:right="926"/>
              <w:rPr>
                <w:color w:val="231F20"/>
                <w:sz w:val="16"/>
                <w:szCs w:val="16"/>
              </w:rPr>
            </w:pPr>
          </w:p>
        </w:tc>
        <w:tc>
          <w:tcPr>
            <w:tcW w:w="880" w:type="dxa"/>
            <w:gridSpan w:val="2"/>
            <w:tcBorders>
              <w:top w:val="nil"/>
              <w:left w:val="single" w:sz="4" w:space="0" w:color="auto"/>
              <w:bottom w:val="nil"/>
              <w:right w:val="nil"/>
            </w:tcBorders>
          </w:tcPr>
          <w:p w:rsidR="00ED248D" w:rsidRDefault="00ED248D" w:rsidP="00ED248D">
            <w:pPr>
              <w:pStyle w:val="TableParagraph"/>
              <w:ind w:left="315" w:right="-15"/>
              <w:rPr>
                <w:sz w:val="20"/>
              </w:rPr>
            </w:pPr>
            <w:r>
              <w:rPr>
                <w:noProof/>
                <w:sz w:val="20"/>
              </w:rPr>
              <w:drawing>
                <wp:inline distT="0" distB="0" distL="0" distR="0" wp14:anchorId="3149D4AC" wp14:editId="7870A3A5">
                  <wp:extent cx="314168" cy="310896"/>
                  <wp:effectExtent l="0" t="0" r="0" b="0"/>
                  <wp:docPr id="444"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678" w:type="dxa"/>
            <w:tcBorders>
              <w:top w:val="nil"/>
              <w:left w:val="nil"/>
              <w:bottom w:val="nil"/>
              <w:right w:val="single" w:sz="4" w:space="0" w:color="auto"/>
            </w:tcBorders>
          </w:tcPr>
          <w:p w:rsidR="00ED248D" w:rsidRDefault="00ED248D" w:rsidP="00ED248D">
            <w:pPr>
              <w:pStyle w:val="TableParagraph"/>
              <w:ind w:left="0"/>
              <w:rPr>
                <w:rFonts w:ascii="Times New Roman"/>
                <w:sz w:val="16"/>
              </w:rPr>
            </w:pPr>
          </w:p>
        </w:tc>
      </w:tr>
      <w:tr w:rsidR="00ED248D" w:rsidTr="00ED248D">
        <w:trPr>
          <w:trHeight w:val="425"/>
        </w:trPr>
        <w:tc>
          <w:tcPr>
            <w:tcW w:w="10175" w:type="dxa"/>
            <w:gridSpan w:val="5"/>
            <w:tcBorders>
              <w:left w:val="single" w:sz="4" w:space="0" w:color="231F20"/>
              <w:right w:val="single" w:sz="4" w:space="0" w:color="auto"/>
            </w:tcBorders>
            <w:shd w:val="clear" w:color="auto" w:fill="D9D9D9" w:themeFill="background1" w:themeFillShade="D9"/>
            <w:vAlign w:val="center"/>
          </w:tcPr>
          <w:p w:rsidR="00ED248D" w:rsidRDefault="00ED248D" w:rsidP="00ED248D">
            <w:pPr>
              <w:pStyle w:val="TableParagraph"/>
              <w:ind w:left="138"/>
              <w:rPr>
                <w:rFonts w:ascii="Times New Roman"/>
                <w:sz w:val="16"/>
              </w:rPr>
            </w:pPr>
            <w:r w:rsidRPr="00ED248D">
              <w:rPr>
                <w:b/>
                <w:bCs/>
                <w:color w:val="231F20"/>
                <w:sz w:val="16"/>
              </w:rPr>
              <w:t>Mulcra Island – Potterwalkagee Creek</w:t>
            </w:r>
          </w:p>
        </w:tc>
      </w:tr>
      <w:tr w:rsidR="00ED248D" w:rsidTr="00494BA5">
        <w:trPr>
          <w:trHeight w:val="544"/>
        </w:trPr>
        <w:tc>
          <w:tcPr>
            <w:tcW w:w="2381" w:type="dxa"/>
            <w:vMerge w:val="restart"/>
            <w:tcBorders>
              <w:left w:val="single" w:sz="4" w:space="0" w:color="231F20"/>
              <w:right w:val="single" w:sz="4" w:space="0" w:color="231F20"/>
            </w:tcBorders>
          </w:tcPr>
          <w:p w:rsidR="00ED248D" w:rsidRDefault="00ED248D" w:rsidP="00833C84">
            <w:pPr>
              <w:pStyle w:val="TableParagraph"/>
              <w:spacing w:before="67" w:line="261" w:lineRule="auto"/>
              <w:ind w:left="85" w:right="178"/>
              <w:rPr>
                <w:sz w:val="16"/>
              </w:rPr>
            </w:pPr>
            <w:r>
              <w:rPr>
                <w:color w:val="231F20"/>
                <w:sz w:val="16"/>
              </w:rPr>
              <w:t xml:space="preserve">Winter/spring fresh (one </w:t>
            </w:r>
            <w:r>
              <w:rPr>
                <w:color w:val="231F20"/>
                <w:spacing w:val="-4"/>
                <w:sz w:val="16"/>
              </w:rPr>
              <w:t xml:space="preserve">fresh </w:t>
            </w:r>
            <w:r>
              <w:rPr>
                <w:color w:val="231F20"/>
                <w:sz w:val="16"/>
              </w:rPr>
              <w:t>of 90-475 ML/day via the Stoney Crossing regulator and 440 ML/day via the upper Potterwalkagee</w:t>
            </w:r>
            <w:r>
              <w:rPr>
                <w:color w:val="231F20"/>
                <w:spacing w:val="-6"/>
                <w:sz w:val="16"/>
              </w:rPr>
              <w:t xml:space="preserve"> </w:t>
            </w:r>
            <w:r>
              <w:rPr>
                <w:color w:val="231F20"/>
                <w:sz w:val="16"/>
              </w:rPr>
              <w:t>Creek</w:t>
            </w:r>
            <w:r w:rsidR="00833C84">
              <w:rPr>
                <w:color w:val="231F20"/>
                <w:sz w:val="16"/>
              </w:rPr>
              <w:t xml:space="preserve"> </w:t>
            </w:r>
            <w:r>
              <w:rPr>
                <w:color w:val="231F20"/>
                <w:sz w:val="16"/>
              </w:rPr>
              <w:t>regulator for a maximum of five months during September to November)</w:t>
            </w:r>
          </w:p>
        </w:tc>
        <w:tc>
          <w:tcPr>
            <w:tcW w:w="6236" w:type="dxa"/>
            <w:vMerge w:val="restart"/>
            <w:tcBorders>
              <w:left w:val="single" w:sz="4" w:space="0" w:color="231F20"/>
              <w:right w:val="single" w:sz="4" w:space="0" w:color="auto"/>
            </w:tcBorders>
          </w:tcPr>
          <w:p w:rsidR="00ED248D" w:rsidRPr="00ED248D" w:rsidRDefault="00ED248D" w:rsidP="00ED248D">
            <w:pPr>
              <w:pStyle w:val="TableParagraph"/>
              <w:numPr>
                <w:ilvl w:val="0"/>
                <w:numId w:val="310"/>
              </w:numPr>
              <w:tabs>
                <w:tab w:val="left" w:pos="306"/>
              </w:tabs>
              <w:spacing w:before="63" w:line="254" w:lineRule="auto"/>
              <w:ind w:right="825"/>
              <w:rPr>
                <w:sz w:val="16"/>
                <w:szCs w:val="16"/>
              </w:rPr>
            </w:pPr>
            <w:r w:rsidRPr="00ED248D">
              <w:rPr>
                <w:color w:val="231F20"/>
                <w:sz w:val="16"/>
                <w:szCs w:val="16"/>
              </w:rPr>
              <w:t>Provide temporary flowing water to reconnect pools and support dispersal, spawning and recruitment opportunities for native</w:t>
            </w:r>
            <w:r w:rsidRPr="00ED248D">
              <w:rPr>
                <w:color w:val="231F20"/>
                <w:spacing w:val="-29"/>
                <w:sz w:val="16"/>
                <w:szCs w:val="16"/>
              </w:rPr>
              <w:t xml:space="preserve"> </w:t>
            </w:r>
            <w:r w:rsidRPr="00ED248D">
              <w:rPr>
                <w:color w:val="231F20"/>
                <w:sz w:val="16"/>
                <w:szCs w:val="16"/>
              </w:rPr>
              <w:t>fish</w:t>
            </w:r>
          </w:p>
          <w:p w:rsidR="00ED248D" w:rsidRPr="00ED248D" w:rsidRDefault="00ED248D" w:rsidP="00ED248D">
            <w:pPr>
              <w:pStyle w:val="TableParagraph"/>
              <w:numPr>
                <w:ilvl w:val="0"/>
                <w:numId w:val="310"/>
              </w:numPr>
              <w:tabs>
                <w:tab w:val="left" w:pos="306"/>
              </w:tabs>
              <w:spacing w:before="86" w:line="254" w:lineRule="auto"/>
              <w:ind w:right="207"/>
              <w:rPr>
                <w:sz w:val="16"/>
                <w:szCs w:val="16"/>
              </w:rPr>
            </w:pPr>
            <w:r w:rsidRPr="00ED248D">
              <w:rPr>
                <w:color w:val="231F20"/>
                <w:sz w:val="16"/>
                <w:szCs w:val="16"/>
              </w:rPr>
              <w:t>Wet the substrate and debris (snags) close to the bank to promote the growth</w:t>
            </w:r>
            <w:r w:rsidRPr="00ED248D">
              <w:rPr>
                <w:color w:val="231F20"/>
                <w:spacing w:val="-4"/>
                <w:sz w:val="16"/>
                <w:szCs w:val="16"/>
              </w:rPr>
              <w:t xml:space="preserve"> </w:t>
            </w:r>
            <w:r w:rsidRPr="00ED248D">
              <w:rPr>
                <w:color w:val="231F20"/>
                <w:sz w:val="16"/>
                <w:szCs w:val="16"/>
              </w:rPr>
              <w:t>of</w:t>
            </w:r>
            <w:r w:rsidRPr="00ED248D">
              <w:rPr>
                <w:color w:val="231F20"/>
                <w:spacing w:val="-4"/>
                <w:sz w:val="16"/>
                <w:szCs w:val="16"/>
              </w:rPr>
              <w:t xml:space="preserve"> </w:t>
            </w:r>
            <w:r w:rsidRPr="00ED248D">
              <w:rPr>
                <w:color w:val="231F20"/>
                <w:sz w:val="16"/>
                <w:szCs w:val="16"/>
              </w:rPr>
              <w:t>biofilms,</w:t>
            </w:r>
            <w:r w:rsidRPr="00ED248D">
              <w:rPr>
                <w:color w:val="231F20"/>
                <w:spacing w:val="-4"/>
                <w:sz w:val="16"/>
                <w:szCs w:val="16"/>
              </w:rPr>
              <w:t xml:space="preserve"> </w:t>
            </w:r>
            <w:r w:rsidRPr="00ED248D">
              <w:rPr>
                <w:color w:val="231F20"/>
                <w:sz w:val="16"/>
                <w:szCs w:val="16"/>
              </w:rPr>
              <w:t>which</w:t>
            </w:r>
            <w:r w:rsidRPr="00ED248D">
              <w:rPr>
                <w:color w:val="231F20"/>
                <w:spacing w:val="-4"/>
                <w:sz w:val="16"/>
                <w:szCs w:val="16"/>
              </w:rPr>
              <w:t xml:space="preserve"> </w:t>
            </w:r>
            <w:r w:rsidRPr="00ED248D">
              <w:rPr>
                <w:color w:val="231F20"/>
                <w:sz w:val="16"/>
                <w:szCs w:val="16"/>
              </w:rPr>
              <w:t>provide</w:t>
            </w:r>
            <w:r w:rsidRPr="00ED248D">
              <w:rPr>
                <w:color w:val="231F20"/>
                <w:spacing w:val="-3"/>
                <w:sz w:val="16"/>
                <w:szCs w:val="16"/>
              </w:rPr>
              <w:t xml:space="preserve"> </w:t>
            </w:r>
            <w:r w:rsidRPr="00ED248D">
              <w:rPr>
                <w:color w:val="231F20"/>
                <w:sz w:val="16"/>
                <w:szCs w:val="16"/>
              </w:rPr>
              <w:t>a</w:t>
            </w:r>
            <w:r w:rsidRPr="00ED248D">
              <w:rPr>
                <w:color w:val="231F20"/>
                <w:spacing w:val="-4"/>
                <w:sz w:val="16"/>
                <w:szCs w:val="16"/>
              </w:rPr>
              <w:t xml:space="preserve"> </w:t>
            </w:r>
            <w:r w:rsidRPr="00ED248D">
              <w:rPr>
                <w:color w:val="231F20"/>
                <w:sz w:val="16"/>
                <w:szCs w:val="16"/>
              </w:rPr>
              <w:t>food</w:t>
            </w:r>
            <w:r w:rsidRPr="00ED248D">
              <w:rPr>
                <w:color w:val="231F20"/>
                <w:spacing w:val="-3"/>
                <w:sz w:val="16"/>
                <w:szCs w:val="16"/>
              </w:rPr>
              <w:t xml:space="preserve"> </w:t>
            </w:r>
            <w:r w:rsidRPr="00ED248D">
              <w:rPr>
                <w:color w:val="231F20"/>
                <w:sz w:val="16"/>
                <w:szCs w:val="16"/>
              </w:rPr>
              <w:t>source</w:t>
            </w:r>
            <w:r w:rsidRPr="00ED248D">
              <w:rPr>
                <w:color w:val="231F20"/>
                <w:spacing w:val="-3"/>
                <w:sz w:val="16"/>
                <w:szCs w:val="16"/>
              </w:rPr>
              <w:t xml:space="preserve"> </w:t>
            </w:r>
            <w:r w:rsidRPr="00ED248D">
              <w:rPr>
                <w:color w:val="231F20"/>
                <w:sz w:val="16"/>
                <w:szCs w:val="16"/>
              </w:rPr>
              <w:t>for</w:t>
            </w:r>
            <w:r w:rsidRPr="00ED248D">
              <w:rPr>
                <w:color w:val="231F20"/>
                <w:spacing w:val="-3"/>
                <w:sz w:val="16"/>
                <w:szCs w:val="16"/>
              </w:rPr>
              <w:t xml:space="preserve"> </w:t>
            </w:r>
            <w:r w:rsidRPr="00ED248D">
              <w:rPr>
                <w:color w:val="231F20"/>
                <w:sz w:val="16"/>
                <w:szCs w:val="16"/>
              </w:rPr>
              <w:t>animals</w:t>
            </w:r>
            <w:r w:rsidRPr="00ED248D">
              <w:rPr>
                <w:color w:val="231F20"/>
                <w:spacing w:val="-3"/>
                <w:sz w:val="16"/>
                <w:szCs w:val="16"/>
              </w:rPr>
              <w:t xml:space="preserve"> </w:t>
            </w:r>
            <w:r w:rsidRPr="00ED248D">
              <w:rPr>
                <w:color w:val="231F20"/>
                <w:sz w:val="16"/>
                <w:szCs w:val="16"/>
              </w:rPr>
              <w:t>higher</w:t>
            </w:r>
            <w:r w:rsidRPr="00ED248D">
              <w:rPr>
                <w:color w:val="231F20"/>
                <w:spacing w:val="-4"/>
                <w:sz w:val="16"/>
                <w:szCs w:val="16"/>
              </w:rPr>
              <w:t xml:space="preserve"> </w:t>
            </w:r>
            <w:r w:rsidRPr="00ED248D">
              <w:rPr>
                <w:color w:val="231F20"/>
                <w:sz w:val="16"/>
                <w:szCs w:val="16"/>
              </w:rPr>
              <w:t>in</w:t>
            </w:r>
            <w:r w:rsidRPr="00ED248D">
              <w:rPr>
                <w:color w:val="231F20"/>
                <w:spacing w:val="-4"/>
                <w:sz w:val="16"/>
                <w:szCs w:val="16"/>
              </w:rPr>
              <w:t xml:space="preserve"> </w:t>
            </w:r>
            <w:r w:rsidRPr="00ED248D">
              <w:rPr>
                <w:color w:val="231F20"/>
                <w:sz w:val="16"/>
                <w:szCs w:val="16"/>
              </w:rPr>
              <w:t>the food chain</w:t>
            </w:r>
          </w:p>
          <w:p w:rsidR="00ED248D" w:rsidRDefault="00ED248D" w:rsidP="00ED248D">
            <w:pPr>
              <w:pStyle w:val="TableParagraph"/>
              <w:numPr>
                <w:ilvl w:val="0"/>
                <w:numId w:val="310"/>
              </w:numPr>
              <w:tabs>
                <w:tab w:val="left" w:pos="306"/>
              </w:tabs>
              <w:spacing w:before="87"/>
              <w:ind w:hanging="218"/>
              <w:rPr>
                <w:sz w:val="18"/>
              </w:rPr>
            </w:pPr>
            <w:r w:rsidRPr="00ED248D">
              <w:rPr>
                <w:color w:val="231F20"/>
                <w:sz w:val="16"/>
                <w:szCs w:val="16"/>
              </w:rPr>
              <w:t>Maintain soil moisture to maintain the condition of streamside</w:t>
            </w:r>
            <w:r w:rsidRPr="00ED248D">
              <w:rPr>
                <w:color w:val="231F20"/>
                <w:spacing w:val="-2"/>
                <w:sz w:val="16"/>
                <w:szCs w:val="16"/>
              </w:rPr>
              <w:t xml:space="preserve"> </w:t>
            </w:r>
            <w:r w:rsidRPr="00ED248D">
              <w:rPr>
                <w:color w:val="231F20"/>
                <w:sz w:val="16"/>
                <w:szCs w:val="16"/>
              </w:rPr>
              <w:t>vegetation</w:t>
            </w:r>
          </w:p>
        </w:tc>
        <w:tc>
          <w:tcPr>
            <w:tcW w:w="880" w:type="dxa"/>
            <w:gridSpan w:val="2"/>
            <w:tcBorders>
              <w:top w:val="single" w:sz="4" w:space="0" w:color="auto"/>
              <w:left w:val="single" w:sz="4" w:space="0" w:color="auto"/>
              <w:bottom w:val="nil"/>
              <w:right w:val="nil"/>
            </w:tcBorders>
          </w:tcPr>
          <w:p w:rsidR="00ED248D" w:rsidRDefault="00ED248D" w:rsidP="004443C2">
            <w:pPr>
              <w:pStyle w:val="TableParagraph"/>
              <w:spacing w:before="9"/>
              <w:ind w:left="0"/>
              <w:rPr>
                <w:b/>
                <w:sz w:val="8"/>
              </w:rPr>
            </w:pPr>
          </w:p>
          <w:p w:rsidR="00ED248D" w:rsidRDefault="00ED248D" w:rsidP="004443C2">
            <w:pPr>
              <w:pStyle w:val="TableParagraph"/>
              <w:ind w:left="315" w:right="-15"/>
              <w:rPr>
                <w:sz w:val="20"/>
              </w:rPr>
            </w:pPr>
            <w:r>
              <w:rPr>
                <w:noProof/>
                <w:sz w:val="20"/>
              </w:rPr>
              <w:drawing>
                <wp:inline distT="0" distB="0" distL="0" distR="0" wp14:anchorId="290EB1DE" wp14:editId="33CA51B7">
                  <wp:extent cx="314168" cy="310896"/>
                  <wp:effectExtent l="0" t="0" r="0" b="0"/>
                  <wp:docPr id="44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678" w:type="dxa"/>
            <w:tcBorders>
              <w:top w:val="single" w:sz="4" w:space="0" w:color="auto"/>
              <w:left w:val="nil"/>
              <w:bottom w:val="nil"/>
              <w:right w:val="single" w:sz="4" w:space="0" w:color="auto"/>
            </w:tcBorders>
          </w:tcPr>
          <w:p w:rsidR="00ED248D" w:rsidRDefault="00ED248D" w:rsidP="004443C2">
            <w:pPr>
              <w:pStyle w:val="TableParagraph"/>
              <w:spacing w:before="9"/>
              <w:ind w:left="0"/>
              <w:jc w:val="center"/>
              <w:rPr>
                <w:b/>
                <w:sz w:val="8"/>
              </w:rPr>
            </w:pPr>
          </w:p>
          <w:p w:rsidR="00ED248D" w:rsidRDefault="00ED248D" w:rsidP="004443C2">
            <w:pPr>
              <w:pStyle w:val="TableParagraph"/>
              <w:spacing w:after="40"/>
              <w:ind w:left="45"/>
              <w:rPr>
                <w:sz w:val="20"/>
              </w:rPr>
            </w:pPr>
            <w:r>
              <w:rPr>
                <w:noProof/>
                <w:sz w:val="20"/>
              </w:rPr>
              <w:drawing>
                <wp:inline distT="0" distB="0" distL="0" distR="0" wp14:anchorId="73AD9891" wp14:editId="65C2F0A1">
                  <wp:extent cx="314168" cy="310896"/>
                  <wp:effectExtent l="0" t="0" r="0" b="0"/>
                  <wp:docPr id="446"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image42.jpeg"/>
                          <pic:cNvPicPr/>
                        </pic:nvPicPr>
                        <pic:blipFill>
                          <a:blip r:embed="rId54" cstate="print"/>
                          <a:stretch>
                            <a:fillRect/>
                          </a:stretch>
                        </pic:blipFill>
                        <pic:spPr>
                          <a:xfrm>
                            <a:off x="0" y="0"/>
                            <a:ext cx="314168" cy="310896"/>
                          </a:xfrm>
                          <a:prstGeom prst="rect">
                            <a:avLst/>
                          </a:prstGeom>
                        </pic:spPr>
                      </pic:pic>
                    </a:graphicData>
                  </a:graphic>
                </wp:inline>
              </w:drawing>
            </w:r>
          </w:p>
        </w:tc>
      </w:tr>
      <w:tr w:rsidR="00ED248D" w:rsidTr="00494BA5">
        <w:trPr>
          <w:trHeight w:val="543"/>
        </w:trPr>
        <w:tc>
          <w:tcPr>
            <w:tcW w:w="2381" w:type="dxa"/>
            <w:vMerge/>
            <w:tcBorders>
              <w:left w:val="single" w:sz="4" w:space="0" w:color="231F20"/>
              <w:right w:val="single" w:sz="4" w:space="0" w:color="231F20"/>
            </w:tcBorders>
          </w:tcPr>
          <w:p w:rsidR="00ED248D" w:rsidRDefault="00ED248D" w:rsidP="00ED248D">
            <w:pPr>
              <w:pStyle w:val="TableParagraph"/>
              <w:spacing w:before="67" w:line="261" w:lineRule="auto"/>
              <w:ind w:left="85" w:right="178"/>
              <w:rPr>
                <w:color w:val="231F20"/>
                <w:sz w:val="16"/>
              </w:rPr>
            </w:pPr>
          </w:p>
        </w:tc>
        <w:tc>
          <w:tcPr>
            <w:tcW w:w="6236" w:type="dxa"/>
            <w:vMerge/>
            <w:tcBorders>
              <w:left w:val="single" w:sz="4" w:space="0" w:color="231F20"/>
              <w:right w:val="single" w:sz="4" w:space="0" w:color="auto"/>
            </w:tcBorders>
          </w:tcPr>
          <w:p w:rsidR="00ED248D" w:rsidRPr="00ED248D" w:rsidRDefault="00ED248D" w:rsidP="00ED248D">
            <w:pPr>
              <w:pStyle w:val="TableParagraph"/>
              <w:numPr>
                <w:ilvl w:val="0"/>
                <w:numId w:val="310"/>
              </w:numPr>
              <w:tabs>
                <w:tab w:val="left" w:pos="306"/>
              </w:tabs>
              <w:spacing w:before="63" w:line="254" w:lineRule="auto"/>
              <w:ind w:right="825"/>
              <w:rPr>
                <w:color w:val="231F20"/>
                <w:sz w:val="16"/>
                <w:szCs w:val="16"/>
              </w:rPr>
            </w:pPr>
          </w:p>
        </w:tc>
        <w:tc>
          <w:tcPr>
            <w:tcW w:w="880" w:type="dxa"/>
            <w:gridSpan w:val="2"/>
            <w:tcBorders>
              <w:top w:val="nil"/>
              <w:left w:val="single" w:sz="4" w:space="0" w:color="auto"/>
              <w:bottom w:val="single" w:sz="4" w:space="0" w:color="auto"/>
              <w:right w:val="nil"/>
            </w:tcBorders>
          </w:tcPr>
          <w:p w:rsidR="00ED248D" w:rsidRDefault="0078053C" w:rsidP="00494BA5">
            <w:pPr>
              <w:pStyle w:val="TableParagraph"/>
              <w:spacing w:before="9"/>
              <w:ind w:left="0"/>
              <w:jc w:val="center"/>
              <w:rPr>
                <w:b/>
                <w:sz w:val="8"/>
              </w:rPr>
            </w:pPr>
            <w:r>
              <w:rPr>
                <w:b/>
                <w:sz w:val="8"/>
              </w:rPr>
              <w:t xml:space="preserve">     </w:t>
            </w:r>
            <w:r w:rsidR="004443C2">
              <w:rPr>
                <w:b/>
                <w:sz w:val="8"/>
              </w:rPr>
              <w:t xml:space="preserve"> </w:t>
            </w:r>
            <w:r w:rsidR="00494BA5">
              <w:rPr>
                <w:b/>
                <w:sz w:val="8"/>
              </w:rPr>
              <w:t xml:space="preserve">   </w:t>
            </w:r>
            <w:r w:rsidR="00ED248D">
              <w:rPr>
                <w:b/>
                <w:sz w:val="8"/>
              </w:rPr>
              <w:t xml:space="preserve"> </w:t>
            </w:r>
            <w:r w:rsidR="00ED248D">
              <w:rPr>
                <w:noProof/>
                <w:sz w:val="20"/>
              </w:rPr>
              <w:drawing>
                <wp:inline distT="0" distB="0" distL="0" distR="0" wp14:anchorId="7CDB6CB2" wp14:editId="08E5EC9E">
                  <wp:extent cx="314168" cy="310896"/>
                  <wp:effectExtent l="0" t="0" r="0" b="0"/>
                  <wp:docPr id="44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678" w:type="dxa"/>
            <w:tcBorders>
              <w:top w:val="nil"/>
              <w:left w:val="nil"/>
              <w:bottom w:val="single" w:sz="4" w:space="0" w:color="auto"/>
              <w:right w:val="single" w:sz="4" w:space="0" w:color="auto"/>
            </w:tcBorders>
          </w:tcPr>
          <w:p w:rsidR="00ED248D" w:rsidRDefault="00ED248D" w:rsidP="004443C2">
            <w:pPr>
              <w:pStyle w:val="TableParagraph"/>
              <w:spacing w:before="9"/>
              <w:ind w:left="0"/>
              <w:jc w:val="right"/>
              <w:rPr>
                <w:b/>
                <w:sz w:val="8"/>
              </w:rPr>
            </w:pPr>
          </w:p>
        </w:tc>
      </w:tr>
      <w:tr w:rsidR="004443C2" w:rsidTr="004443C2">
        <w:trPr>
          <w:trHeight w:val="425"/>
        </w:trPr>
        <w:tc>
          <w:tcPr>
            <w:tcW w:w="10175" w:type="dxa"/>
            <w:gridSpan w:val="5"/>
            <w:tcBorders>
              <w:left w:val="single" w:sz="4" w:space="0" w:color="231F20"/>
              <w:right w:val="single" w:sz="4" w:space="0" w:color="auto"/>
            </w:tcBorders>
            <w:shd w:val="clear" w:color="auto" w:fill="D9D9D9" w:themeFill="background1" w:themeFillShade="D9"/>
            <w:vAlign w:val="center"/>
          </w:tcPr>
          <w:p w:rsidR="004443C2" w:rsidRPr="00ED248D" w:rsidRDefault="004443C2" w:rsidP="004443C2">
            <w:pPr>
              <w:pStyle w:val="TableParagraph"/>
              <w:spacing w:before="67"/>
              <w:ind w:left="85"/>
              <w:rPr>
                <w:b/>
                <w:bCs/>
                <w:sz w:val="16"/>
              </w:rPr>
            </w:pPr>
            <w:r w:rsidRPr="00ED248D">
              <w:rPr>
                <w:b/>
                <w:bCs/>
                <w:color w:val="231F20"/>
                <w:sz w:val="16"/>
              </w:rPr>
              <w:t>Mulcra Island – wetlands</w:t>
            </w:r>
          </w:p>
        </w:tc>
      </w:tr>
      <w:tr w:rsidR="0078053C" w:rsidTr="00494BA5">
        <w:trPr>
          <w:trHeight w:val="624"/>
        </w:trPr>
        <w:tc>
          <w:tcPr>
            <w:tcW w:w="2381" w:type="dxa"/>
            <w:vMerge w:val="restart"/>
            <w:tcBorders>
              <w:left w:val="single" w:sz="4" w:space="0" w:color="231F20"/>
              <w:right w:val="single" w:sz="4" w:space="0" w:color="231F20"/>
            </w:tcBorders>
          </w:tcPr>
          <w:p w:rsidR="0078053C" w:rsidRDefault="0078053C" w:rsidP="0078053C">
            <w:pPr>
              <w:pStyle w:val="TableParagraph"/>
              <w:spacing w:before="67" w:line="261" w:lineRule="auto"/>
              <w:ind w:left="85" w:right="220"/>
              <w:rPr>
                <w:sz w:val="16"/>
              </w:rPr>
            </w:pPr>
            <w:r>
              <w:rPr>
                <w:color w:val="231F20"/>
                <w:sz w:val="16"/>
              </w:rPr>
              <w:t>Mulcra Horseshoe (complete fill in spring)</w:t>
            </w:r>
          </w:p>
        </w:tc>
        <w:tc>
          <w:tcPr>
            <w:tcW w:w="6236" w:type="dxa"/>
            <w:vMerge w:val="restart"/>
            <w:tcBorders>
              <w:left w:val="single" w:sz="4" w:space="0" w:color="231F20"/>
              <w:right w:val="single" w:sz="4" w:space="0" w:color="auto"/>
            </w:tcBorders>
          </w:tcPr>
          <w:p w:rsidR="0078053C" w:rsidRPr="004443C2" w:rsidRDefault="0078053C" w:rsidP="0078053C">
            <w:pPr>
              <w:pStyle w:val="TableParagraph"/>
              <w:numPr>
                <w:ilvl w:val="0"/>
                <w:numId w:val="309"/>
              </w:numPr>
              <w:tabs>
                <w:tab w:val="left" w:pos="306"/>
              </w:tabs>
              <w:spacing w:before="63" w:line="254" w:lineRule="auto"/>
              <w:ind w:right="226"/>
              <w:rPr>
                <w:sz w:val="16"/>
                <w:szCs w:val="16"/>
              </w:rPr>
            </w:pPr>
            <w:r w:rsidRPr="004443C2">
              <w:rPr>
                <w:color w:val="231F20"/>
                <w:sz w:val="16"/>
                <w:szCs w:val="16"/>
              </w:rPr>
              <w:t>Provide shallow-water habitat and open-water habitat to create</w:t>
            </w:r>
            <w:r w:rsidRPr="004443C2">
              <w:rPr>
                <w:color w:val="231F20"/>
                <w:spacing w:val="-26"/>
                <w:sz w:val="16"/>
                <w:szCs w:val="16"/>
              </w:rPr>
              <w:t xml:space="preserve"> </w:t>
            </w:r>
            <w:r w:rsidRPr="004443C2">
              <w:rPr>
                <w:color w:val="231F20"/>
                <w:sz w:val="16"/>
                <w:szCs w:val="16"/>
              </w:rPr>
              <w:t>foraging and breeding opportunities for waterbirds, frogs and</w:t>
            </w:r>
            <w:r w:rsidRPr="004443C2">
              <w:rPr>
                <w:color w:val="231F20"/>
                <w:spacing w:val="-14"/>
                <w:sz w:val="16"/>
                <w:szCs w:val="16"/>
              </w:rPr>
              <w:t xml:space="preserve"> </w:t>
            </w:r>
            <w:r w:rsidRPr="004443C2">
              <w:rPr>
                <w:color w:val="231F20"/>
                <w:sz w:val="16"/>
                <w:szCs w:val="16"/>
              </w:rPr>
              <w:t>turtles</w:t>
            </w:r>
          </w:p>
          <w:p w:rsidR="0078053C" w:rsidRPr="004443C2" w:rsidRDefault="0078053C" w:rsidP="0078053C">
            <w:pPr>
              <w:pStyle w:val="TableParagraph"/>
              <w:numPr>
                <w:ilvl w:val="0"/>
                <w:numId w:val="309"/>
              </w:numPr>
              <w:tabs>
                <w:tab w:val="left" w:pos="306"/>
              </w:tabs>
              <w:spacing w:before="86" w:line="254" w:lineRule="auto"/>
              <w:ind w:right="176"/>
              <w:rPr>
                <w:sz w:val="16"/>
                <w:szCs w:val="16"/>
              </w:rPr>
            </w:pPr>
            <w:r w:rsidRPr="004443C2">
              <w:rPr>
                <w:color w:val="231F20"/>
                <w:sz w:val="16"/>
                <w:szCs w:val="16"/>
              </w:rPr>
              <w:t>Provide a connection to the Murray River to support dispersal, spawning and recruitment opportunities for native</w:t>
            </w:r>
            <w:r w:rsidRPr="004443C2">
              <w:rPr>
                <w:color w:val="231F20"/>
                <w:spacing w:val="-5"/>
                <w:sz w:val="16"/>
                <w:szCs w:val="16"/>
              </w:rPr>
              <w:t xml:space="preserve"> </w:t>
            </w:r>
            <w:r w:rsidRPr="004443C2">
              <w:rPr>
                <w:color w:val="231F20"/>
                <w:sz w:val="16"/>
                <w:szCs w:val="16"/>
              </w:rPr>
              <w:t>fish</w:t>
            </w:r>
          </w:p>
          <w:p w:rsidR="0078053C" w:rsidRPr="004443C2" w:rsidRDefault="0078053C" w:rsidP="0078053C">
            <w:pPr>
              <w:pStyle w:val="TableParagraph"/>
              <w:numPr>
                <w:ilvl w:val="0"/>
                <w:numId w:val="309"/>
              </w:numPr>
              <w:tabs>
                <w:tab w:val="left" w:pos="306"/>
              </w:tabs>
              <w:spacing w:before="86"/>
              <w:ind w:hanging="218"/>
              <w:rPr>
                <w:sz w:val="16"/>
                <w:szCs w:val="16"/>
              </w:rPr>
            </w:pPr>
            <w:r w:rsidRPr="004443C2">
              <w:rPr>
                <w:color w:val="231F20"/>
                <w:sz w:val="16"/>
                <w:szCs w:val="16"/>
              </w:rPr>
              <w:t>Stimulate the growth of emergent, aquatic and streamside</w:t>
            </w:r>
            <w:r w:rsidRPr="004443C2">
              <w:rPr>
                <w:color w:val="231F20"/>
                <w:spacing w:val="-16"/>
                <w:sz w:val="16"/>
                <w:szCs w:val="16"/>
              </w:rPr>
              <w:t xml:space="preserve"> </w:t>
            </w:r>
            <w:r w:rsidRPr="004443C2">
              <w:rPr>
                <w:color w:val="231F20"/>
                <w:sz w:val="16"/>
                <w:szCs w:val="16"/>
              </w:rPr>
              <w:t>vegetation</w:t>
            </w:r>
          </w:p>
          <w:p w:rsidR="0078053C" w:rsidRDefault="0078053C" w:rsidP="0078053C">
            <w:pPr>
              <w:pStyle w:val="TableParagraph"/>
              <w:numPr>
                <w:ilvl w:val="0"/>
                <w:numId w:val="309"/>
              </w:numPr>
              <w:tabs>
                <w:tab w:val="left" w:pos="306"/>
              </w:tabs>
              <w:spacing w:before="98" w:line="254" w:lineRule="auto"/>
              <w:ind w:right="666"/>
              <w:rPr>
                <w:sz w:val="18"/>
              </w:rPr>
            </w:pPr>
            <w:r w:rsidRPr="004443C2">
              <w:rPr>
                <w:color w:val="231F20"/>
                <w:sz w:val="16"/>
                <w:szCs w:val="16"/>
              </w:rPr>
              <w:t>Provide a connection to the Murray River to allow the exchange of carbon, nutrients between the floodplain and the</w:t>
            </w:r>
            <w:r w:rsidRPr="004443C2">
              <w:rPr>
                <w:color w:val="231F20"/>
                <w:spacing w:val="-8"/>
                <w:sz w:val="16"/>
                <w:szCs w:val="16"/>
              </w:rPr>
              <w:t xml:space="preserve"> </w:t>
            </w:r>
            <w:r w:rsidRPr="004443C2">
              <w:rPr>
                <w:color w:val="231F20"/>
                <w:sz w:val="16"/>
                <w:szCs w:val="16"/>
              </w:rPr>
              <w:t>river</w:t>
            </w:r>
          </w:p>
        </w:tc>
        <w:tc>
          <w:tcPr>
            <w:tcW w:w="880" w:type="dxa"/>
            <w:gridSpan w:val="2"/>
            <w:tcBorders>
              <w:top w:val="single" w:sz="4" w:space="0" w:color="auto"/>
              <w:left w:val="single" w:sz="4" w:space="0" w:color="auto"/>
              <w:bottom w:val="nil"/>
              <w:right w:val="nil"/>
            </w:tcBorders>
            <w:vAlign w:val="center"/>
          </w:tcPr>
          <w:p w:rsidR="0078053C" w:rsidRDefault="0078053C" w:rsidP="0078053C">
            <w:pPr>
              <w:pStyle w:val="TableParagraph"/>
              <w:spacing w:before="9"/>
              <w:ind w:left="0"/>
              <w:jc w:val="center"/>
              <w:rPr>
                <w:b/>
                <w:sz w:val="8"/>
              </w:rPr>
            </w:pPr>
          </w:p>
          <w:p w:rsidR="0078053C" w:rsidRDefault="0078053C" w:rsidP="0078053C">
            <w:pPr>
              <w:pStyle w:val="TableParagraph"/>
              <w:ind w:left="315" w:right="-15"/>
              <w:jc w:val="center"/>
              <w:rPr>
                <w:sz w:val="20"/>
              </w:rPr>
            </w:pPr>
            <w:r>
              <w:rPr>
                <w:noProof/>
                <w:sz w:val="20"/>
              </w:rPr>
              <w:drawing>
                <wp:inline distT="0" distB="0" distL="0" distR="0" wp14:anchorId="6D8DE227" wp14:editId="7729D5E5">
                  <wp:extent cx="314168" cy="310896"/>
                  <wp:effectExtent l="0" t="0" r="0" b="0"/>
                  <wp:docPr id="448"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678" w:type="dxa"/>
            <w:tcBorders>
              <w:top w:val="single" w:sz="4" w:space="0" w:color="auto"/>
              <w:left w:val="nil"/>
              <w:bottom w:val="nil"/>
              <w:right w:val="single" w:sz="4" w:space="0" w:color="auto"/>
            </w:tcBorders>
            <w:vAlign w:val="center"/>
          </w:tcPr>
          <w:p w:rsidR="0078053C" w:rsidRDefault="0078053C" w:rsidP="0078053C">
            <w:pPr>
              <w:pStyle w:val="TableParagraph"/>
              <w:spacing w:before="9"/>
              <w:ind w:left="0"/>
              <w:rPr>
                <w:b/>
                <w:sz w:val="8"/>
              </w:rPr>
            </w:pPr>
          </w:p>
          <w:p w:rsidR="0078053C" w:rsidRDefault="0078053C" w:rsidP="0078053C">
            <w:pPr>
              <w:pStyle w:val="TableParagraph"/>
              <w:ind w:left="48"/>
              <w:rPr>
                <w:sz w:val="20"/>
              </w:rPr>
            </w:pPr>
            <w:r>
              <w:rPr>
                <w:noProof/>
                <w:sz w:val="20"/>
              </w:rPr>
              <w:drawing>
                <wp:inline distT="0" distB="0" distL="0" distR="0" wp14:anchorId="1AFFA968" wp14:editId="5D12ADF5">
                  <wp:extent cx="314168" cy="310896"/>
                  <wp:effectExtent l="0" t="0" r="0" b="0"/>
                  <wp:docPr id="449"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78053C" w:rsidTr="00494BA5">
        <w:trPr>
          <w:trHeight w:val="624"/>
        </w:trPr>
        <w:tc>
          <w:tcPr>
            <w:tcW w:w="2381" w:type="dxa"/>
            <w:vMerge/>
            <w:tcBorders>
              <w:left w:val="single" w:sz="4" w:space="0" w:color="231F20"/>
              <w:right w:val="single" w:sz="4" w:space="0" w:color="231F20"/>
            </w:tcBorders>
          </w:tcPr>
          <w:p w:rsidR="0078053C" w:rsidRDefault="0078053C" w:rsidP="0078053C">
            <w:pPr>
              <w:pStyle w:val="TableParagraph"/>
              <w:spacing w:before="67" w:line="261" w:lineRule="auto"/>
              <w:ind w:left="85" w:right="220"/>
              <w:rPr>
                <w:color w:val="231F20"/>
                <w:sz w:val="16"/>
              </w:rPr>
            </w:pPr>
          </w:p>
        </w:tc>
        <w:tc>
          <w:tcPr>
            <w:tcW w:w="6236" w:type="dxa"/>
            <w:vMerge/>
            <w:tcBorders>
              <w:left w:val="single" w:sz="4" w:space="0" w:color="231F20"/>
              <w:right w:val="single" w:sz="4" w:space="0" w:color="auto"/>
            </w:tcBorders>
          </w:tcPr>
          <w:p w:rsidR="0078053C" w:rsidRPr="004443C2" w:rsidRDefault="0078053C" w:rsidP="0078053C">
            <w:pPr>
              <w:pStyle w:val="TableParagraph"/>
              <w:numPr>
                <w:ilvl w:val="0"/>
                <w:numId w:val="309"/>
              </w:numPr>
              <w:tabs>
                <w:tab w:val="left" w:pos="306"/>
              </w:tabs>
              <w:spacing w:before="63" w:line="254" w:lineRule="auto"/>
              <w:ind w:right="226"/>
              <w:rPr>
                <w:color w:val="231F20"/>
                <w:sz w:val="16"/>
                <w:szCs w:val="16"/>
              </w:rPr>
            </w:pPr>
          </w:p>
        </w:tc>
        <w:tc>
          <w:tcPr>
            <w:tcW w:w="880" w:type="dxa"/>
            <w:gridSpan w:val="2"/>
            <w:tcBorders>
              <w:top w:val="nil"/>
              <w:left w:val="single" w:sz="4" w:space="0" w:color="auto"/>
              <w:bottom w:val="nil"/>
              <w:right w:val="nil"/>
            </w:tcBorders>
            <w:vAlign w:val="center"/>
          </w:tcPr>
          <w:p w:rsidR="0078053C" w:rsidRDefault="0078053C" w:rsidP="0078053C">
            <w:pPr>
              <w:pStyle w:val="TableParagraph"/>
              <w:ind w:left="315" w:right="-15"/>
              <w:jc w:val="center"/>
              <w:rPr>
                <w:sz w:val="20"/>
              </w:rPr>
            </w:pPr>
            <w:r>
              <w:rPr>
                <w:noProof/>
                <w:sz w:val="20"/>
              </w:rPr>
              <w:drawing>
                <wp:inline distT="0" distB="0" distL="0" distR="0" wp14:anchorId="24358BF2" wp14:editId="35468D05">
                  <wp:extent cx="314168" cy="310896"/>
                  <wp:effectExtent l="0" t="0" r="0" b="0"/>
                  <wp:docPr id="450"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678" w:type="dxa"/>
            <w:tcBorders>
              <w:top w:val="nil"/>
              <w:left w:val="nil"/>
              <w:bottom w:val="nil"/>
              <w:right w:val="single" w:sz="4" w:space="0" w:color="auto"/>
            </w:tcBorders>
            <w:vAlign w:val="center"/>
          </w:tcPr>
          <w:p w:rsidR="0078053C" w:rsidRDefault="0078053C" w:rsidP="0078053C">
            <w:pPr>
              <w:pStyle w:val="TableParagraph"/>
              <w:ind w:left="48"/>
              <w:rPr>
                <w:sz w:val="20"/>
              </w:rPr>
            </w:pPr>
            <w:r>
              <w:rPr>
                <w:noProof/>
                <w:sz w:val="20"/>
              </w:rPr>
              <w:drawing>
                <wp:inline distT="0" distB="0" distL="0" distR="0" wp14:anchorId="6E9CC4F1" wp14:editId="0F3C405F">
                  <wp:extent cx="314169" cy="310896"/>
                  <wp:effectExtent l="0" t="0" r="0" b="0"/>
                  <wp:docPr id="451"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42.jpeg"/>
                          <pic:cNvPicPr/>
                        </pic:nvPicPr>
                        <pic:blipFill>
                          <a:blip r:embed="rId54" cstate="print"/>
                          <a:stretch>
                            <a:fillRect/>
                          </a:stretch>
                        </pic:blipFill>
                        <pic:spPr>
                          <a:xfrm>
                            <a:off x="0" y="0"/>
                            <a:ext cx="314169" cy="310896"/>
                          </a:xfrm>
                          <a:prstGeom prst="rect">
                            <a:avLst/>
                          </a:prstGeom>
                        </pic:spPr>
                      </pic:pic>
                    </a:graphicData>
                  </a:graphic>
                </wp:inline>
              </w:drawing>
            </w:r>
          </w:p>
        </w:tc>
      </w:tr>
      <w:tr w:rsidR="0078053C" w:rsidTr="00494BA5">
        <w:trPr>
          <w:trHeight w:val="624"/>
        </w:trPr>
        <w:tc>
          <w:tcPr>
            <w:tcW w:w="2381" w:type="dxa"/>
            <w:vMerge/>
            <w:tcBorders>
              <w:left w:val="single" w:sz="4" w:space="0" w:color="231F20"/>
              <w:right w:val="single" w:sz="4" w:space="0" w:color="231F20"/>
            </w:tcBorders>
          </w:tcPr>
          <w:p w:rsidR="0078053C" w:rsidRDefault="0078053C" w:rsidP="0078053C">
            <w:pPr>
              <w:pStyle w:val="TableParagraph"/>
              <w:spacing w:before="67" w:line="261" w:lineRule="auto"/>
              <w:ind w:left="85" w:right="220"/>
              <w:rPr>
                <w:color w:val="231F20"/>
                <w:sz w:val="16"/>
              </w:rPr>
            </w:pPr>
          </w:p>
        </w:tc>
        <w:tc>
          <w:tcPr>
            <w:tcW w:w="6236" w:type="dxa"/>
            <w:vMerge/>
            <w:tcBorders>
              <w:left w:val="single" w:sz="4" w:space="0" w:color="231F20"/>
              <w:right w:val="single" w:sz="4" w:space="0" w:color="auto"/>
            </w:tcBorders>
          </w:tcPr>
          <w:p w:rsidR="0078053C" w:rsidRPr="004443C2" w:rsidRDefault="0078053C" w:rsidP="0078053C">
            <w:pPr>
              <w:pStyle w:val="TableParagraph"/>
              <w:numPr>
                <w:ilvl w:val="0"/>
                <w:numId w:val="309"/>
              </w:numPr>
              <w:tabs>
                <w:tab w:val="left" w:pos="306"/>
              </w:tabs>
              <w:spacing w:before="63" w:line="254" w:lineRule="auto"/>
              <w:ind w:right="226"/>
              <w:rPr>
                <w:color w:val="231F20"/>
                <w:sz w:val="16"/>
                <w:szCs w:val="16"/>
              </w:rPr>
            </w:pPr>
          </w:p>
        </w:tc>
        <w:tc>
          <w:tcPr>
            <w:tcW w:w="880" w:type="dxa"/>
            <w:gridSpan w:val="2"/>
            <w:tcBorders>
              <w:top w:val="nil"/>
              <w:left w:val="single" w:sz="4" w:space="0" w:color="auto"/>
              <w:bottom w:val="single" w:sz="4" w:space="0" w:color="auto"/>
              <w:right w:val="nil"/>
            </w:tcBorders>
            <w:vAlign w:val="center"/>
          </w:tcPr>
          <w:p w:rsidR="0078053C" w:rsidRDefault="0078053C" w:rsidP="0078053C">
            <w:pPr>
              <w:pStyle w:val="TableParagraph"/>
              <w:ind w:left="315" w:right="-15"/>
              <w:jc w:val="center"/>
              <w:rPr>
                <w:sz w:val="20"/>
              </w:rPr>
            </w:pPr>
            <w:r>
              <w:rPr>
                <w:noProof/>
                <w:sz w:val="20"/>
              </w:rPr>
              <w:drawing>
                <wp:inline distT="0" distB="0" distL="0" distR="0" wp14:anchorId="216A5739" wp14:editId="07A0D6DD">
                  <wp:extent cx="314168" cy="310896"/>
                  <wp:effectExtent l="0" t="0" r="0" b="0"/>
                  <wp:docPr id="452"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678" w:type="dxa"/>
            <w:tcBorders>
              <w:top w:val="nil"/>
              <w:left w:val="nil"/>
              <w:bottom w:val="single" w:sz="4" w:space="0" w:color="auto"/>
              <w:right w:val="single" w:sz="4" w:space="0" w:color="auto"/>
            </w:tcBorders>
            <w:vAlign w:val="center"/>
          </w:tcPr>
          <w:p w:rsidR="0078053C" w:rsidRDefault="0078053C" w:rsidP="0078053C">
            <w:pPr>
              <w:pStyle w:val="TableParagraph"/>
              <w:ind w:left="48"/>
              <w:rPr>
                <w:sz w:val="20"/>
              </w:rPr>
            </w:pPr>
            <w:r>
              <w:rPr>
                <w:noProof/>
                <w:sz w:val="20"/>
              </w:rPr>
              <w:drawing>
                <wp:inline distT="0" distB="0" distL="0" distR="0" wp14:anchorId="405F95C1" wp14:editId="2E00F32B">
                  <wp:extent cx="314168" cy="310896"/>
                  <wp:effectExtent l="0" t="0" r="0" b="0"/>
                  <wp:docPr id="45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E9153C" w:rsidTr="00494BA5">
        <w:trPr>
          <w:trHeight w:val="652"/>
        </w:trPr>
        <w:tc>
          <w:tcPr>
            <w:tcW w:w="2381" w:type="dxa"/>
            <w:vMerge w:val="restart"/>
            <w:tcBorders>
              <w:left w:val="single" w:sz="4" w:space="0" w:color="231F20"/>
              <w:right w:val="single" w:sz="4" w:space="0" w:color="231F20"/>
            </w:tcBorders>
          </w:tcPr>
          <w:p w:rsidR="00E9153C" w:rsidRDefault="00E9153C" w:rsidP="00E9153C">
            <w:pPr>
              <w:pStyle w:val="TableParagraph"/>
              <w:spacing w:before="67" w:line="261" w:lineRule="auto"/>
              <w:ind w:left="85" w:right="220"/>
              <w:rPr>
                <w:color w:val="231F20"/>
                <w:sz w:val="16"/>
              </w:rPr>
            </w:pPr>
            <w:r>
              <w:rPr>
                <w:color w:val="231F20"/>
                <w:sz w:val="16"/>
              </w:rPr>
              <w:t>Mulcra Island floodplain (floodplain inundation in spring)</w:t>
            </w:r>
          </w:p>
        </w:tc>
        <w:tc>
          <w:tcPr>
            <w:tcW w:w="6236" w:type="dxa"/>
            <w:vMerge w:val="restart"/>
            <w:tcBorders>
              <w:left w:val="single" w:sz="4" w:space="0" w:color="231F20"/>
              <w:right w:val="single" w:sz="4" w:space="0" w:color="auto"/>
            </w:tcBorders>
          </w:tcPr>
          <w:p w:rsidR="00E9153C" w:rsidRPr="004443C2" w:rsidRDefault="00E9153C" w:rsidP="00E9153C">
            <w:pPr>
              <w:pStyle w:val="TableParagraph"/>
              <w:numPr>
                <w:ilvl w:val="0"/>
                <w:numId w:val="309"/>
              </w:numPr>
              <w:tabs>
                <w:tab w:val="left" w:pos="306"/>
              </w:tabs>
              <w:spacing w:before="63"/>
              <w:rPr>
                <w:sz w:val="16"/>
                <w:szCs w:val="16"/>
              </w:rPr>
            </w:pPr>
            <w:r w:rsidRPr="004443C2">
              <w:rPr>
                <w:color w:val="231F20"/>
                <w:sz w:val="16"/>
                <w:szCs w:val="16"/>
              </w:rPr>
              <w:t>Stimulate the growth of emergent, aquatic and streamside</w:t>
            </w:r>
            <w:r w:rsidRPr="004443C2">
              <w:rPr>
                <w:color w:val="231F20"/>
                <w:spacing w:val="-16"/>
                <w:sz w:val="16"/>
                <w:szCs w:val="16"/>
              </w:rPr>
              <w:t xml:space="preserve"> </w:t>
            </w:r>
            <w:r w:rsidRPr="004443C2">
              <w:rPr>
                <w:color w:val="231F20"/>
                <w:sz w:val="16"/>
                <w:szCs w:val="16"/>
              </w:rPr>
              <w:t>vegetation</w:t>
            </w:r>
          </w:p>
          <w:p w:rsidR="00E9153C" w:rsidRPr="004443C2" w:rsidRDefault="00E9153C" w:rsidP="00E9153C">
            <w:pPr>
              <w:pStyle w:val="TableParagraph"/>
              <w:numPr>
                <w:ilvl w:val="0"/>
                <w:numId w:val="309"/>
              </w:numPr>
              <w:tabs>
                <w:tab w:val="left" w:pos="306"/>
              </w:tabs>
              <w:spacing w:before="98" w:line="254" w:lineRule="auto"/>
              <w:ind w:right="226"/>
              <w:rPr>
                <w:sz w:val="16"/>
                <w:szCs w:val="16"/>
              </w:rPr>
            </w:pPr>
            <w:r w:rsidRPr="004443C2">
              <w:rPr>
                <w:color w:val="231F20"/>
                <w:sz w:val="16"/>
                <w:szCs w:val="16"/>
              </w:rPr>
              <w:t>Provide shallow-water habitat and open-water habitat to create</w:t>
            </w:r>
            <w:r w:rsidRPr="004443C2">
              <w:rPr>
                <w:color w:val="231F20"/>
                <w:spacing w:val="-26"/>
                <w:sz w:val="16"/>
                <w:szCs w:val="16"/>
              </w:rPr>
              <w:t xml:space="preserve"> </w:t>
            </w:r>
            <w:r w:rsidRPr="004443C2">
              <w:rPr>
                <w:color w:val="231F20"/>
                <w:sz w:val="16"/>
                <w:szCs w:val="16"/>
              </w:rPr>
              <w:t>foraging and breeding opportunities for waterbirds, frogs and</w:t>
            </w:r>
            <w:r w:rsidRPr="004443C2">
              <w:rPr>
                <w:color w:val="231F20"/>
                <w:spacing w:val="-14"/>
                <w:sz w:val="16"/>
                <w:szCs w:val="16"/>
              </w:rPr>
              <w:t xml:space="preserve"> </w:t>
            </w:r>
            <w:r w:rsidRPr="004443C2">
              <w:rPr>
                <w:color w:val="231F20"/>
                <w:sz w:val="16"/>
                <w:szCs w:val="16"/>
              </w:rPr>
              <w:t>turtles</w:t>
            </w:r>
          </w:p>
          <w:p w:rsidR="00E9153C" w:rsidRPr="004443C2" w:rsidRDefault="00E9153C" w:rsidP="00E9153C">
            <w:pPr>
              <w:pStyle w:val="TableParagraph"/>
              <w:numPr>
                <w:ilvl w:val="0"/>
                <w:numId w:val="309"/>
              </w:numPr>
              <w:tabs>
                <w:tab w:val="left" w:pos="306"/>
              </w:tabs>
              <w:spacing w:before="63" w:line="254" w:lineRule="auto"/>
              <w:ind w:right="226"/>
              <w:rPr>
                <w:color w:val="231F20"/>
                <w:sz w:val="16"/>
                <w:szCs w:val="16"/>
              </w:rPr>
            </w:pPr>
            <w:r w:rsidRPr="004443C2">
              <w:rPr>
                <w:color w:val="231F20"/>
                <w:sz w:val="16"/>
                <w:szCs w:val="16"/>
              </w:rPr>
              <w:t>Support fish spawning events and provide temporary habitat for</w:t>
            </w:r>
            <w:r w:rsidRPr="004443C2">
              <w:rPr>
                <w:color w:val="231F20"/>
                <w:spacing w:val="-30"/>
                <w:sz w:val="16"/>
                <w:szCs w:val="16"/>
              </w:rPr>
              <w:t xml:space="preserve"> </w:t>
            </w:r>
            <w:r w:rsidRPr="004443C2">
              <w:rPr>
                <w:color w:val="231F20"/>
                <w:sz w:val="16"/>
                <w:szCs w:val="16"/>
              </w:rPr>
              <w:t>juvenile fish</w:t>
            </w:r>
          </w:p>
        </w:tc>
        <w:tc>
          <w:tcPr>
            <w:tcW w:w="880" w:type="dxa"/>
            <w:gridSpan w:val="2"/>
            <w:tcBorders>
              <w:top w:val="single" w:sz="4" w:space="0" w:color="auto"/>
              <w:left w:val="single" w:sz="4" w:space="0" w:color="auto"/>
              <w:bottom w:val="nil"/>
              <w:right w:val="nil"/>
            </w:tcBorders>
            <w:vAlign w:val="center"/>
          </w:tcPr>
          <w:p w:rsidR="00E9153C" w:rsidRDefault="00E9153C" w:rsidP="00E9153C">
            <w:pPr>
              <w:pStyle w:val="TableParagraph"/>
              <w:spacing w:before="9"/>
              <w:ind w:left="0"/>
              <w:rPr>
                <w:b/>
                <w:sz w:val="8"/>
              </w:rPr>
            </w:pPr>
          </w:p>
          <w:p w:rsidR="00E9153C" w:rsidRDefault="00E9153C" w:rsidP="00E9153C">
            <w:pPr>
              <w:pStyle w:val="TableParagraph"/>
              <w:ind w:left="315" w:right="-15"/>
              <w:rPr>
                <w:sz w:val="20"/>
              </w:rPr>
            </w:pPr>
            <w:r>
              <w:rPr>
                <w:noProof/>
                <w:sz w:val="20"/>
              </w:rPr>
              <w:drawing>
                <wp:inline distT="0" distB="0" distL="0" distR="0" wp14:anchorId="2E50563B" wp14:editId="5B08F1E5">
                  <wp:extent cx="314168" cy="310896"/>
                  <wp:effectExtent l="0" t="0" r="0" b="0"/>
                  <wp:docPr id="454"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678" w:type="dxa"/>
            <w:tcBorders>
              <w:top w:val="single" w:sz="4" w:space="0" w:color="auto"/>
              <w:left w:val="nil"/>
              <w:bottom w:val="nil"/>
              <w:right w:val="single" w:sz="4" w:space="0" w:color="auto"/>
            </w:tcBorders>
            <w:vAlign w:val="center"/>
          </w:tcPr>
          <w:p w:rsidR="00E9153C" w:rsidRDefault="00E9153C" w:rsidP="00E9153C">
            <w:pPr>
              <w:pStyle w:val="TableParagraph"/>
              <w:spacing w:before="9"/>
              <w:ind w:left="0"/>
              <w:rPr>
                <w:b/>
                <w:sz w:val="8"/>
              </w:rPr>
            </w:pPr>
          </w:p>
          <w:p w:rsidR="00E9153C" w:rsidRDefault="00E9153C" w:rsidP="00E9153C">
            <w:pPr>
              <w:pStyle w:val="TableParagraph"/>
              <w:ind w:left="48"/>
              <w:rPr>
                <w:sz w:val="20"/>
              </w:rPr>
            </w:pPr>
            <w:r>
              <w:rPr>
                <w:noProof/>
                <w:sz w:val="20"/>
              </w:rPr>
              <w:drawing>
                <wp:inline distT="0" distB="0" distL="0" distR="0" wp14:anchorId="0134BD94" wp14:editId="5F599302">
                  <wp:extent cx="314168" cy="310896"/>
                  <wp:effectExtent l="0" t="0" r="0" b="0"/>
                  <wp:docPr id="455"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r>
      <w:tr w:rsidR="00E9153C" w:rsidTr="00494BA5">
        <w:trPr>
          <w:trHeight w:val="652"/>
        </w:trPr>
        <w:tc>
          <w:tcPr>
            <w:tcW w:w="2381" w:type="dxa"/>
            <w:vMerge/>
            <w:tcBorders>
              <w:left w:val="single" w:sz="4" w:space="0" w:color="231F20"/>
              <w:right w:val="single" w:sz="4" w:space="0" w:color="231F20"/>
            </w:tcBorders>
          </w:tcPr>
          <w:p w:rsidR="00E9153C" w:rsidRDefault="00E9153C" w:rsidP="00E9153C">
            <w:pPr>
              <w:pStyle w:val="TableParagraph"/>
              <w:spacing w:before="67" w:line="261" w:lineRule="auto"/>
              <w:ind w:left="85" w:right="220"/>
              <w:rPr>
                <w:color w:val="231F20"/>
                <w:sz w:val="16"/>
              </w:rPr>
            </w:pPr>
          </w:p>
        </w:tc>
        <w:tc>
          <w:tcPr>
            <w:tcW w:w="6236" w:type="dxa"/>
            <w:vMerge/>
            <w:tcBorders>
              <w:left w:val="single" w:sz="4" w:space="0" w:color="231F20"/>
              <w:right w:val="single" w:sz="4" w:space="0" w:color="auto"/>
            </w:tcBorders>
          </w:tcPr>
          <w:p w:rsidR="00E9153C" w:rsidRPr="004443C2" w:rsidRDefault="00E9153C" w:rsidP="00E9153C">
            <w:pPr>
              <w:pStyle w:val="TableParagraph"/>
              <w:numPr>
                <w:ilvl w:val="0"/>
                <w:numId w:val="309"/>
              </w:numPr>
              <w:tabs>
                <w:tab w:val="left" w:pos="306"/>
              </w:tabs>
              <w:spacing w:before="63"/>
              <w:rPr>
                <w:color w:val="231F20"/>
                <w:sz w:val="16"/>
                <w:szCs w:val="16"/>
              </w:rPr>
            </w:pPr>
          </w:p>
        </w:tc>
        <w:tc>
          <w:tcPr>
            <w:tcW w:w="880" w:type="dxa"/>
            <w:gridSpan w:val="2"/>
            <w:tcBorders>
              <w:top w:val="nil"/>
              <w:left w:val="single" w:sz="4" w:space="0" w:color="auto"/>
              <w:bottom w:val="nil"/>
              <w:right w:val="nil"/>
            </w:tcBorders>
            <w:vAlign w:val="center"/>
          </w:tcPr>
          <w:p w:rsidR="00E9153C" w:rsidRDefault="00E9153C" w:rsidP="00E9153C">
            <w:pPr>
              <w:pStyle w:val="TableParagraph"/>
              <w:ind w:left="315" w:right="-15"/>
              <w:rPr>
                <w:sz w:val="20"/>
              </w:rPr>
            </w:pPr>
            <w:r>
              <w:rPr>
                <w:noProof/>
                <w:sz w:val="20"/>
              </w:rPr>
              <w:drawing>
                <wp:inline distT="0" distB="0" distL="0" distR="0" wp14:anchorId="2ABB2EF4" wp14:editId="6A050C52">
                  <wp:extent cx="314177" cy="310896"/>
                  <wp:effectExtent l="0" t="0" r="0" b="0"/>
                  <wp:docPr id="456"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26.jpeg"/>
                          <pic:cNvPicPr/>
                        </pic:nvPicPr>
                        <pic:blipFill>
                          <a:blip r:embed="rId38" cstate="print"/>
                          <a:stretch>
                            <a:fillRect/>
                          </a:stretch>
                        </pic:blipFill>
                        <pic:spPr>
                          <a:xfrm>
                            <a:off x="0" y="0"/>
                            <a:ext cx="314177" cy="310896"/>
                          </a:xfrm>
                          <a:prstGeom prst="rect">
                            <a:avLst/>
                          </a:prstGeom>
                        </pic:spPr>
                      </pic:pic>
                    </a:graphicData>
                  </a:graphic>
                </wp:inline>
              </w:drawing>
            </w:r>
          </w:p>
        </w:tc>
        <w:tc>
          <w:tcPr>
            <w:tcW w:w="678" w:type="dxa"/>
            <w:tcBorders>
              <w:top w:val="nil"/>
              <w:left w:val="nil"/>
              <w:bottom w:val="nil"/>
              <w:right w:val="single" w:sz="4" w:space="0" w:color="auto"/>
            </w:tcBorders>
            <w:vAlign w:val="center"/>
          </w:tcPr>
          <w:p w:rsidR="00E9153C" w:rsidRDefault="00E9153C" w:rsidP="00E9153C">
            <w:pPr>
              <w:pStyle w:val="TableParagraph"/>
              <w:ind w:left="48"/>
              <w:rPr>
                <w:sz w:val="20"/>
              </w:rPr>
            </w:pPr>
            <w:r>
              <w:rPr>
                <w:noProof/>
                <w:sz w:val="20"/>
              </w:rPr>
              <w:drawing>
                <wp:inline distT="0" distB="0" distL="0" distR="0" wp14:anchorId="5EB6A324" wp14:editId="1F9D97DD">
                  <wp:extent cx="314177" cy="310896"/>
                  <wp:effectExtent l="0" t="0" r="0" b="0"/>
                  <wp:docPr id="45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r w:rsidR="00E9153C" w:rsidTr="00494BA5">
        <w:trPr>
          <w:trHeight w:val="652"/>
        </w:trPr>
        <w:tc>
          <w:tcPr>
            <w:tcW w:w="2381" w:type="dxa"/>
            <w:vMerge/>
            <w:tcBorders>
              <w:left w:val="single" w:sz="4" w:space="0" w:color="231F20"/>
              <w:right w:val="single" w:sz="4" w:space="0" w:color="231F20"/>
            </w:tcBorders>
          </w:tcPr>
          <w:p w:rsidR="00E9153C" w:rsidRDefault="00E9153C" w:rsidP="00E9153C">
            <w:pPr>
              <w:pStyle w:val="TableParagraph"/>
              <w:spacing w:before="67" w:line="261" w:lineRule="auto"/>
              <w:ind w:left="85" w:right="220"/>
              <w:rPr>
                <w:color w:val="231F20"/>
                <w:sz w:val="16"/>
              </w:rPr>
            </w:pPr>
          </w:p>
        </w:tc>
        <w:tc>
          <w:tcPr>
            <w:tcW w:w="6236" w:type="dxa"/>
            <w:vMerge/>
            <w:tcBorders>
              <w:left w:val="single" w:sz="4" w:space="0" w:color="231F20"/>
              <w:right w:val="single" w:sz="4" w:space="0" w:color="auto"/>
            </w:tcBorders>
          </w:tcPr>
          <w:p w:rsidR="00E9153C" w:rsidRPr="004443C2" w:rsidRDefault="00E9153C" w:rsidP="00E9153C">
            <w:pPr>
              <w:pStyle w:val="TableParagraph"/>
              <w:numPr>
                <w:ilvl w:val="0"/>
                <w:numId w:val="309"/>
              </w:numPr>
              <w:tabs>
                <w:tab w:val="left" w:pos="306"/>
              </w:tabs>
              <w:spacing w:before="63"/>
              <w:rPr>
                <w:color w:val="231F20"/>
                <w:sz w:val="16"/>
                <w:szCs w:val="16"/>
              </w:rPr>
            </w:pPr>
          </w:p>
        </w:tc>
        <w:tc>
          <w:tcPr>
            <w:tcW w:w="880" w:type="dxa"/>
            <w:gridSpan w:val="2"/>
            <w:tcBorders>
              <w:top w:val="nil"/>
              <w:left w:val="single" w:sz="4" w:space="0" w:color="auto"/>
              <w:bottom w:val="single" w:sz="4" w:space="0" w:color="auto"/>
              <w:right w:val="nil"/>
            </w:tcBorders>
            <w:vAlign w:val="center"/>
          </w:tcPr>
          <w:p w:rsidR="00E9153C" w:rsidRDefault="00E9153C" w:rsidP="00E9153C">
            <w:pPr>
              <w:pStyle w:val="TableParagraph"/>
              <w:ind w:left="315" w:right="-15"/>
              <w:rPr>
                <w:sz w:val="20"/>
              </w:rPr>
            </w:pPr>
            <w:r>
              <w:rPr>
                <w:noProof/>
                <w:sz w:val="20"/>
              </w:rPr>
              <w:drawing>
                <wp:inline distT="0" distB="0" distL="0" distR="0" wp14:anchorId="2C8C68CA" wp14:editId="219CC668">
                  <wp:extent cx="314169" cy="310896"/>
                  <wp:effectExtent l="0" t="0" r="0" b="0"/>
                  <wp:docPr id="458"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image27.jpeg"/>
                          <pic:cNvPicPr/>
                        </pic:nvPicPr>
                        <pic:blipFill>
                          <a:blip r:embed="rId39" cstate="print"/>
                          <a:stretch>
                            <a:fillRect/>
                          </a:stretch>
                        </pic:blipFill>
                        <pic:spPr>
                          <a:xfrm>
                            <a:off x="0" y="0"/>
                            <a:ext cx="314169" cy="310896"/>
                          </a:xfrm>
                          <a:prstGeom prst="rect">
                            <a:avLst/>
                          </a:prstGeom>
                        </pic:spPr>
                      </pic:pic>
                    </a:graphicData>
                  </a:graphic>
                </wp:inline>
              </w:drawing>
            </w:r>
          </w:p>
        </w:tc>
        <w:tc>
          <w:tcPr>
            <w:tcW w:w="678" w:type="dxa"/>
            <w:tcBorders>
              <w:top w:val="nil"/>
              <w:left w:val="nil"/>
              <w:bottom w:val="single" w:sz="4" w:space="0" w:color="auto"/>
              <w:right w:val="single" w:sz="4" w:space="0" w:color="auto"/>
            </w:tcBorders>
            <w:vAlign w:val="center"/>
          </w:tcPr>
          <w:p w:rsidR="00E9153C" w:rsidRDefault="00E9153C" w:rsidP="00E9153C">
            <w:pPr>
              <w:pStyle w:val="TableParagraph"/>
              <w:ind w:left="0"/>
              <w:rPr>
                <w:rFonts w:ascii="Times New Roman"/>
                <w:sz w:val="16"/>
              </w:rPr>
            </w:pPr>
          </w:p>
        </w:tc>
      </w:tr>
      <w:tr w:rsidR="00E9153C" w:rsidTr="00494BA5">
        <w:trPr>
          <w:trHeight w:val="567"/>
        </w:trPr>
        <w:tc>
          <w:tcPr>
            <w:tcW w:w="2381" w:type="dxa"/>
            <w:tcBorders>
              <w:left w:val="single" w:sz="4" w:space="0" w:color="231F20"/>
              <w:right w:val="single" w:sz="4" w:space="0" w:color="231F20"/>
            </w:tcBorders>
          </w:tcPr>
          <w:p w:rsidR="00E9153C" w:rsidRDefault="00E9153C" w:rsidP="00E9153C">
            <w:pPr>
              <w:pStyle w:val="TableParagraph"/>
              <w:spacing w:before="67" w:line="261" w:lineRule="auto"/>
              <w:ind w:left="85" w:right="69"/>
              <w:rPr>
                <w:sz w:val="16"/>
              </w:rPr>
            </w:pPr>
            <w:r>
              <w:rPr>
                <w:color w:val="231F20"/>
                <w:sz w:val="16"/>
              </w:rPr>
              <w:t>Snake Lagoon (complete fill on spring)</w:t>
            </w:r>
          </w:p>
        </w:tc>
        <w:tc>
          <w:tcPr>
            <w:tcW w:w="6236" w:type="dxa"/>
            <w:tcBorders>
              <w:left w:val="single" w:sz="4" w:space="0" w:color="231F20"/>
              <w:right w:val="single" w:sz="4" w:space="0" w:color="auto"/>
            </w:tcBorders>
          </w:tcPr>
          <w:p w:rsidR="00E9153C" w:rsidRPr="004443C2" w:rsidRDefault="00E9153C" w:rsidP="00E9153C">
            <w:pPr>
              <w:pStyle w:val="TableParagraph"/>
              <w:numPr>
                <w:ilvl w:val="0"/>
                <w:numId w:val="307"/>
              </w:numPr>
              <w:tabs>
                <w:tab w:val="left" w:pos="306"/>
              </w:tabs>
              <w:spacing w:before="63"/>
              <w:ind w:hanging="218"/>
              <w:rPr>
                <w:sz w:val="16"/>
                <w:szCs w:val="16"/>
              </w:rPr>
            </w:pPr>
            <w:r w:rsidRPr="004443C2">
              <w:rPr>
                <w:color w:val="231F20"/>
                <w:sz w:val="16"/>
                <w:szCs w:val="16"/>
              </w:rPr>
              <w:t>Stimulate growth of emergent, aquatic and streamside</w:t>
            </w:r>
            <w:r w:rsidRPr="004443C2">
              <w:rPr>
                <w:color w:val="231F20"/>
                <w:spacing w:val="-12"/>
                <w:sz w:val="16"/>
                <w:szCs w:val="16"/>
              </w:rPr>
              <w:t xml:space="preserve"> </w:t>
            </w:r>
            <w:r w:rsidRPr="004443C2">
              <w:rPr>
                <w:color w:val="231F20"/>
                <w:sz w:val="16"/>
                <w:szCs w:val="16"/>
              </w:rPr>
              <w:t>vegetation</w:t>
            </w:r>
          </w:p>
          <w:p w:rsidR="00E9153C" w:rsidRDefault="00E9153C" w:rsidP="00E9153C">
            <w:pPr>
              <w:pStyle w:val="TableParagraph"/>
              <w:numPr>
                <w:ilvl w:val="0"/>
                <w:numId w:val="307"/>
              </w:numPr>
              <w:tabs>
                <w:tab w:val="left" w:pos="306"/>
              </w:tabs>
              <w:spacing w:before="98" w:line="254" w:lineRule="auto"/>
              <w:ind w:right="266"/>
              <w:rPr>
                <w:sz w:val="18"/>
              </w:rPr>
            </w:pPr>
            <w:r w:rsidRPr="004443C2">
              <w:rPr>
                <w:color w:val="231F20"/>
                <w:sz w:val="16"/>
                <w:szCs w:val="16"/>
              </w:rPr>
              <w:t>Provide conditions for lake bed herbaceous plants to grow in the</w:t>
            </w:r>
            <w:r w:rsidRPr="004443C2">
              <w:rPr>
                <w:color w:val="231F20"/>
                <w:spacing w:val="-34"/>
                <w:sz w:val="16"/>
                <w:szCs w:val="16"/>
              </w:rPr>
              <w:t xml:space="preserve"> </w:t>
            </w:r>
            <w:r w:rsidRPr="004443C2">
              <w:rPr>
                <w:color w:val="231F20"/>
                <w:sz w:val="16"/>
                <w:szCs w:val="16"/>
              </w:rPr>
              <w:t>drying phase after</w:t>
            </w:r>
            <w:r w:rsidRPr="004443C2">
              <w:rPr>
                <w:color w:val="231F20"/>
                <w:spacing w:val="-3"/>
                <w:sz w:val="16"/>
                <w:szCs w:val="16"/>
              </w:rPr>
              <w:t xml:space="preserve"> </w:t>
            </w:r>
            <w:r w:rsidRPr="004443C2">
              <w:rPr>
                <w:color w:val="231F20"/>
                <w:sz w:val="16"/>
                <w:szCs w:val="16"/>
              </w:rPr>
              <w:t>watering</w:t>
            </w:r>
          </w:p>
        </w:tc>
        <w:tc>
          <w:tcPr>
            <w:tcW w:w="880" w:type="dxa"/>
            <w:gridSpan w:val="2"/>
            <w:tcBorders>
              <w:top w:val="single" w:sz="4" w:space="0" w:color="auto"/>
              <w:left w:val="single" w:sz="4" w:space="0" w:color="auto"/>
              <w:bottom w:val="single" w:sz="4" w:space="0" w:color="auto"/>
              <w:right w:val="nil"/>
            </w:tcBorders>
          </w:tcPr>
          <w:p w:rsidR="00E9153C" w:rsidRDefault="00E9153C" w:rsidP="00E9153C">
            <w:pPr>
              <w:pStyle w:val="TableParagraph"/>
              <w:spacing w:before="9"/>
              <w:ind w:left="0"/>
              <w:rPr>
                <w:b/>
                <w:sz w:val="8"/>
              </w:rPr>
            </w:pPr>
          </w:p>
          <w:p w:rsidR="00E9153C" w:rsidRDefault="00494BA5" w:rsidP="00E9153C">
            <w:pPr>
              <w:pStyle w:val="TableParagraph"/>
              <w:ind w:left="170"/>
              <w:rPr>
                <w:sz w:val="20"/>
              </w:rPr>
            </w:pPr>
            <w:r>
              <w:rPr>
                <w:sz w:val="20"/>
              </w:rPr>
              <w:t xml:space="preserve"> </w:t>
            </w:r>
            <w:r w:rsidR="00E9153C">
              <w:rPr>
                <w:sz w:val="20"/>
              </w:rPr>
              <w:t xml:space="preserve"> </w:t>
            </w:r>
            <w:r w:rsidR="00E9153C">
              <w:rPr>
                <w:noProof/>
                <w:sz w:val="20"/>
              </w:rPr>
              <w:drawing>
                <wp:inline distT="0" distB="0" distL="0" distR="0" wp14:anchorId="2162B55B" wp14:editId="62D4223F">
                  <wp:extent cx="314168" cy="310896"/>
                  <wp:effectExtent l="0" t="0" r="0" b="0"/>
                  <wp:docPr id="45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678" w:type="dxa"/>
            <w:tcBorders>
              <w:top w:val="single" w:sz="4" w:space="0" w:color="auto"/>
              <w:left w:val="nil"/>
              <w:bottom w:val="single" w:sz="4" w:space="0" w:color="auto"/>
              <w:right w:val="single" w:sz="4" w:space="0" w:color="auto"/>
            </w:tcBorders>
          </w:tcPr>
          <w:p w:rsidR="00E9153C" w:rsidRDefault="00E9153C" w:rsidP="00E9153C">
            <w:pPr>
              <w:pStyle w:val="TableParagraph"/>
              <w:spacing w:before="9"/>
              <w:ind w:left="0"/>
              <w:rPr>
                <w:b/>
                <w:sz w:val="8"/>
              </w:rPr>
            </w:pPr>
          </w:p>
          <w:p w:rsidR="00E9153C" w:rsidRDefault="00E9153C" w:rsidP="00E9153C">
            <w:pPr>
              <w:pStyle w:val="TableParagraph"/>
              <w:ind w:left="170"/>
              <w:rPr>
                <w:sz w:val="20"/>
              </w:rPr>
            </w:pPr>
          </w:p>
        </w:tc>
      </w:tr>
    </w:tbl>
    <w:p w:rsidR="006A7A3F" w:rsidRDefault="006A7A3F">
      <w:pPr>
        <w:rPr>
          <w:sz w:val="20"/>
        </w:rPr>
        <w:sectPr w:rsidR="006A7A3F" w:rsidSect="00C92D74">
          <w:pgSz w:w="11910" w:h="16840"/>
          <w:pgMar w:top="1701" w:right="851" w:bottom="1134" w:left="851" w:header="720" w:footer="720" w:gutter="0"/>
          <w:cols w:space="720"/>
        </w:sect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4443C2">
        <w:trPr>
          <w:trHeight w:val="587"/>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rsidTr="00E9153C">
        <w:trPr>
          <w:trHeight w:val="333"/>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Pr="00ED248D" w:rsidRDefault="00BC7372">
            <w:pPr>
              <w:pStyle w:val="TableParagraph"/>
              <w:spacing w:before="67"/>
              <w:ind w:left="85"/>
              <w:rPr>
                <w:b/>
                <w:bCs/>
                <w:sz w:val="16"/>
              </w:rPr>
            </w:pPr>
            <w:r w:rsidRPr="00ED248D">
              <w:rPr>
                <w:b/>
                <w:bCs/>
                <w:color w:val="231F20"/>
                <w:sz w:val="16"/>
              </w:rPr>
              <w:t>Wallpolla Island</w:t>
            </w:r>
          </w:p>
        </w:tc>
      </w:tr>
      <w:tr w:rsidR="006A7A3F" w:rsidTr="004443C2">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69"/>
              <w:rPr>
                <w:sz w:val="16"/>
              </w:rPr>
            </w:pPr>
            <w:r>
              <w:rPr>
                <w:color w:val="231F20"/>
                <w:sz w:val="16"/>
              </w:rPr>
              <w:t>Wallpolla Horseshoe Lagoon (partial or complete fill in spring/autumn)</w:t>
            </w:r>
          </w:p>
          <w:p w:rsidR="006A7A3F" w:rsidRDefault="006A7A3F">
            <w:pPr>
              <w:pStyle w:val="TableParagraph"/>
              <w:spacing w:before="3"/>
              <w:ind w:left="0"/>
              <w:rPr>
                <w:b/>
                <w:sz w:val="8"/>
              </w:rPr>
            </w:pPr>
          </w:p>
          <w:p w:rsidR="006A7A3F" w:rsidRDefault="00BC7372">
            <w:pPr>
              <w:pStyle w:val="TableParagraph"/>
              <w:ind w:left="85"/>
              <w:rPr>
                <w:sz w:val="20"/>
              </w:rPr>
            </w:pPr>
            <w:r>
              <w:rPr>
                <w:noProof/>
                <w:sz w:val="20"/>
              </w:rPr>
              <w:drawing>
                <wp:inline distT="0" distB="0" distL="0" distR="0">
                  <wp:extent cx="314163" cy="310895"/>
                  <wp:effectExtent l="0" t="0" r="0" b="0"/>
                  <wp:docPr id="2025"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image38.jpeg"/>
                          <pic:cNvPicPr/>
                        </pic:nvPicPr>
                        <pic:blipFill>
                          <a:blip r:embed="rId50" cstate="print"/>
                          <a:stretch>
                            <a:fillRect/>
                          </a:stretch>
                        </pic:blipFill>
                        <pic:spPr>
                          <a:xfrm>
                            <a:off x="0" y="0"/>
                            <a:ext cx="314163" cy="310895"/>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ind w:left="0"/>
              <w:rPr>
                <w:b/>
                <w:sz w:val="20"/>
              </w:rPr>
            </w:pPr>
          </w:p>
          <w:p w:rsidR="006A7A3F" w:rsidRDefault="006A7A3F">
            <w:pPr>
              <w:pStyle w:val="TableParagraph"/>
              <w:spacing w:before="1"/>
              <w:ind w:left="0"/>
              <w:rPr>
                <w:b/>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4443C2" w:rsidRDefault="00BC7372">
            <w:pPr>
              <w:pStyle w:val="TableParagraph"/>
              <w:numPr>
                <w:ilvl w:val="0"/>
                <w:numId w:val="306"/>
              </w:numPr>
              <w:tabs>
                <w:tab w:val="left" w:pos="306"/>
              </w:tabs>
              <w:spacing w:before="63" w:line="254" w:lineRule="auto"/>
              <w:ind w:right="307"/>
              <w:rPr>
                <w:sz w:val="16"/>
                <w:szCs w:val="16"/>
              </w:rPr>
            </w:pPr>
            <w:r w:rsidRPr="004443C2">
              <w:rPr>
                <w:color w:val="231F20"/>
                <w:sz w:val="16"/>
                <w:szCs w:val="16"/>
              </w:rPr>
              <w:t>Wet/drown</w:t>
            </w:r>
            <w:r w:rsidRPr="004443C2">
              <w:rPr>
                <w:color w:val="231F20"/>
                <w:spacing w:val="-5"/>
                <w:sz w:val="16"/>
                <w:szCs w:val="16"/>
              </w:rPr>
              <w:t xml:space="preserve"> </w:t>
            </w:r>
            <w:r w:rsidRPr="004443C2">
              <w:rPr>
                <w:color w:val="231F20"/>
                <w:sz w:val="16"/>
                <w:szCs w:val="16"/>
              </w:rPr>
              <w:t>river</w:t>
            </w:r>
            <w:r w:rsidRPr="004443C2">
              <w:rPr>
                <w:color w:val="231F20"/>
                <w:spacing w:val="-3"/>
                <w:sz w:val="16"/>
                <w:szCs w:val="16"/>
              </w:rPr>
              <w:t xml:space="preserve"> </w:t>
            </w:r>
            <w:r w:rsidRPr="004443C2">
              <w:rPr>
                <w:color w:val="231F20"/>
                <w:sz w:val="16"/>
                <w:szCs w:val="16"/>
              </w:rPr>
              <w:t>red</w:t>
            </w:r>
            <w:r w:rsidRPr="004443C2">
              <w:rPr>
                <w:color w:val="231F20"/>
                <w:spacing w:val="-4"/>
                <w:sz w:val="16"/>
                <w:szCs w:val="16"/>
              </w:rPr>
              <w:t xml:space="preserve"> </w:t>
            </w:r>
            <w:r w:rsidRPr="004443C2">
              <w:rPr>
                <w:color w:val="231F20"/>
                <w:sz w:val="16"/>
                <w:szCs w:val="16"/>
              </w:rPr>
              <w:t>gum</w:t>
            </w:r>
            <w:r w:rsidRPr="004443C2">
              <w:rPr>
                <w:color w:val="231F20"/>
                <w:spacing w:val="-4"/>
                <w:sz w:val="16"/>
                <w:szCs w:val="16"/>
              </w:rPr>
              <w:t xml:space="preserve"> </w:t>
            </w:r>
            <w:r w:rsidRPr="004443C2">
              <w:rPr>
                <w:color w:val="231F20"/>
                <w:sz w:val="16"/>
                <w:szCs w:val="16"/>
              </w:rPr>
              <w:t>saplings</w:t>
            </w:r>
            <w:r w:rsidRPr="004443C2">
              <w:rPr>
                <w:color w:val="231F20"/>
                <w:spacing w:val="-3"/>
                <w:sz w:val="16"/>
                <w:szCs w:val="16"/>
              </w:rPr>
              <w:t xml:space="preserve"> </w:t>
            </w:r>
            <w:r w:rsidRPr="004443C2">
              <w:rPr>
                <w:color w:val="231F20"/>
                <w:sz w:val="16"/>
                <w:szCs w:val="16"/>
              </w:rPr>
              <w:t>in</w:t>
            </w:r>
            <w:r w:rsidRPr="004443C2">
              <w:rPr>
                <w:color w:val="231F20"/>
                <w:spacing w:val="-4"/>
                <w:sz w:val="16"/>
                <w:szCs w:val="16"/>
              </w:rPr>
              <w:t xml:space="preserve"> </w:t>
            </w:r>
            <w:r w:rsidRPr="004443C2">
              <w:rPr>
                <w:color w:val="231F20"/>
                <w:sz w:val="16"/>
                <w:szCs w:val="16"/>
              </w:rPr>
              <w:t>the</w:t>
            </w:r>
            <w:r w:rsidRPr="004443C2">
              <w:rPr>
                <w:color w:val="231F20"/>
                <w:spacing w:val="-4"/>
                <w:sz w:val="16"/>
                <w:szCs w:val="16"/>
              </w:rPr>
              <w:t xml:space="preserve"> </w:t>
            </w:r>
            <w:r w:rsidRPr="004443C2">
              <w:rPr>
                <w:color w:val="231F20"/>
                <w:sz w:val="16"/>
                <w:szCs w:val="16"/>
              </w:rPr>
              <w:t>bed</w:t>
            </w:r>
            <w:r w:rsidRPr="004443C2">
              <w:rPr>
                <w:color w:val="231F20"/>
                <w:spacing w:val="-4"/>
                <w:sz w:val="16"/>
                <w:szCs w:val="16"/>
              </w:rPr>
              <w:t xml:space="preserve"> </w:t>
            </w:r>
            <w:r w:rsidRPr="004443C2">
              <w:rPr>
                <w:color w:val="231F20"/>
                <w:sz w:val="16"/>
                <w:szCs w:val="16"/>
              </w:rPr>
              <w:t>of</w:t>
            </w:r>
            <w:r w:rsidRPr="004443C2">
              <w:rPr>
                <w:color w:val="231F20"/>
                <w:spacing w:val="-4"/>
                <w:sz w:val="16"/>
                <w:szCs w:val="16"/>
              </w:rPr>
              <w:t xml:space="preserve"> </w:t>
            </w:r>
            <w:r w:rsidRPr="004443C2">
              <w:rPr>
                <w:color w:val="231F20"/>
                <w:sz w:val="16"/>
                <w:szCs w:val="16"/>
              </w:rPr>
              <w:t>Wallpolla</w:t>
            </w:r>
            <w:r w:rsidRPr="004443C2">
              <w:rPr>
                <w:color w:val="231F20"/>
                <w:spacing w:val="-5"/>
                <w:sz w:val="16"/>
                <w:szCs w:val="16"/>
              </w:rPr>
              <w:t xml:space="preserve"> </w:t>
            </w:r>
            <w:r w:rsidRPr="004443C2">
              <w:rPr>
                <w:color w:val="231F20"/>
                <w:sz w:val="16"/>
                <w:szCs w:val="16"/>
              </w:rPr>
              <w:t>Horseshoe</w:t>
            </w:r>
            <w:r w:rsidRPr="004443C2">
              <w:rPr>
                <w:color w:val="231F20"/>
                <w:spacing w:val="-4"/>
                <w:sz w:val="16"/>
                <w:szCs w:val="16"/>
              </w:rPr>
              <w:t xml:space="preserve"> </w:t>
            </w:r>
            <w:r w:rsidRPr="004443C2">
              <w:rPr>
                <w:color w:val="231F20"/>
                <w:sz w:val="16"/>
                <w:szCs w:val="16"/>
              </w:rPr>
              <w:t>to limit their</w:t>
            </w:r>
            <w:r w:rsidRPr="004443C2">
              <w:rPr>
                <w:color w:val="231F20"/>
                <w:spacing w:val="-2"/>
                <w:sz w:val="16"/>
                <w:szCs w:val="16"/>
              </w:rPr>
              <w:t xml:space="preserve"> </w:t>
            </w:r>
            <w:r w:rsidRPr="004443C2">
              <w:rPr>
                <w:color w:val="231F20"/>
                <w:sz w:val="16"/>
                <w:szCs w:val="16"/>
              </w:rPr>
              <w:t>coverage</w:t>
            </w:r>
          </w:p>
          <w:p w:rsidR="006A7A3F" w:rsidRPr="004443C2" w:rsidRDefault="00BC7372">
            <w:pPr>
              <w:pStyle w:val="TableParagraph"/>
              <w:numPr>
                <w:ilvl w:val="0"/>
                <w:numId w:val="306"/>
              </w:numPr>
              <w:tabs>
                <w:tab w:val="left" w:pos="306"/>
              </w:tabs>
              <w:spacing w:before="86"/>
              <w:ind w:hanging="218"/>
              <w:rPr>
                <w:sz w:val="16"/>
                <w:szCs w:val="16"/>
              </w:rPr>
            </w:pPr>
            <w:r w:rsidRPr="004443C2">
              <w:rPr>
                <w:color w:val="231F20"/>
                <w:sz w:val="16"/>
                <w:szCs w:val="16"/>
              </w:rPr>
              <w:t>Provide suitable breeding conditions for</w:t>
            </w:r>
            <w:r w:rsidRPr="004443C2">
              <w:rPr>
                <w:color w:val="231F20"/>
                <w:spacing w:val="-3"/>
                <w:sz w:val="16"/>
                <w:szCs w:val="16"/>
              </w:rPr>
              <w:t xml:space="preserve"> </w:t>
            </w:r>
            <w:r w:rsidRPr="004443C2">
              <w:rPr>
                <w:color w:val="231F20"/>
                <w:sz w:val="16"/>
                <w:szCs w:val="16"/>
              </w:rPr>
              <w:t>waterbirds</w:t>
            </w:r>
          </w:p>
          <w:p w:rsidR="006A7A3F" w:rsidRPr="004443C2" w:rsidRDefault="00BC7372">
            <w:pPr>
              <w:pStyle w:val="TableParagraph"/>
              <w:numPr>
                <w:ilvl w:val="0"/>
                <w:numId w:val="306"/>
              </w:numPr>
              <w:tabs>
                <w:tab w:val="left" w:pos="306"/>
              </w:tabs>
              <w:spacing w:before="98" w:line="254" w:lineRule="auto"/>
              <w:ind w:right="226"/>
              <w:rPr>
                <w:sz w:val="16"/>
                <w:szCs w:val="16"/>
              </w:rPr>
            </w:pPr>
            <w:r w:rsidRPr="004443C2">
              <w:rPr>
                <w:color w:val="231F20"/>
                <w:sz w:val="16"/>
                <w:szCs w:val="16"/>
              </w:rPr>
              <w:t>Provide shallow-water habitat and open-water habitat to create</w:t>
            </w:r>
            <w:r w:rsidRPr="004443C2">
              <w:rPr>
                <w:color w:val="231F20"/>
                <w:spacing w:val="-26"/>
                <w:sz w:val="16"/>
                <w:szCs w:val="16"/>
              </w:rPr>
              <w:t xml:space="preserve"> </w:t>
            </w:r>
            <w:r w:rsidRPr="004443C2">
              <w:rPr>
                <w:color w:val="231F20"/>
                <w:sz w:val="16"/>
                <w:szCs w:val="16"/>
              </w:rPr>
              <w:t>foraging and breeding opportunities for waterbirds, frogs and</w:t>
            </w:r>
            <w:r w:rsidRPr="004443C2">
              <w:rPr>
                <w:color w:val="231F20"/>
                <w:spacing w:val="-14"/>
                <w:sz w:val="16"/>
                <w:szCs w:val="16"/>
              </w:rPr>
              <w:t xml:space="preserve"> </w:t>
            </w:r>
            <w:r w:rsidRPr="004443C2">
              <w:rPr>
                <w:color w:val="231F20"/>
                <w:sz w:val="16"/>
                <w:szCs w:val="16"/>
              </w:rPr>
              <w:t>turtles</w:t>
            </w:r>
          </w:p>
          <w:p w:rsidR="006A7A3F" w:rsidRPr="004443C2" w:rsidRDefault="00BC7372">
            <w:pPr>
              <w:pStyle w:val="TableParagraph"/>
              <w:numPr>
                <w:ilvl w:val="0"/>
                <w:numId w:val="306"/>
              </w:numPr>
              <w:tabs>
                <w:tab w:val="left" w:pos="306"/>
              </w:tabs>
              <w:spacing w:before="86" w:line="254" w:lineRule="auto"/>
              <w:ind w:right="216"/>
              <w:rPr>
                <w:sz w:val="16"/>
                <w:szCs w:val="16"/>
              </w:rPr>
            </w:pPr>
            <w:r w:rsidRPr="004443C2">
              <w:rPr>
                <w:color w:val="231F20"/>
                <w:sz w:val="16"/>
                <w:szCs w:val="16"/>
              </w:rPr>
              <w:t>Provide the conditions for lake bed herbaceous plants and</w:t>
            </w:r>
            <w:r w:rsidRPr="004443C2">
              <w:rPr>
                <w:color w:val="231F20"/>
                <w:spacing w:val="-25"/>
                <w:sz w:val="16"/>
                <w:szCs w:val="16"/>
              </w:rPr>
              <w:t xml:space="preserve"> </w:t>
            </w:r>
            <w:r w:rsidRPr="004443C2">
              <w:rPr>
                <w:color w:val="231F20"/>
                <w:sz w:val="16"/>
                <w:szCs w:val="16"/>
              </w:rPr>
              <w:t>semi-aquatic plants</w:t>
            </w:r>
            <w:r w:rsidRPr="004443C2">
              <w:rPr>
                <w:color w:val="231F20"/>
                <w:spacing w:val="-4"/>
                <w:sz w:val="16"/>
                <w:szCs w:val="16"/>
              </w:rPr>
              <w:t xml:space="preserve"> </w:t>
            </w:r>
            <w:r w:rsidRPr="004443C2">
              <w:rPr>
                <w:color w:val="231F20"/>
                <w:sz w:val="16"/>
                <w:szCs w:val="16"/>
              </w:rPr>
              <w:t>to</w:t>
            </w:r>
            <w:r w:rsidRPr="004443C2">
              <w:rPr>
                <w:color w:val="231F20"/>
                <w:spacing w:val="-3"/>
                <w:sz w:val="16"/>
                <w:szCs w:val="16"/>
              </w:rPr>
              <w:t xml:space="preserve"> </w:t>
            </w:r>
            <w:r w:rsidRPr="004443C2">
              <w:rPr>
                <w:color w:val="231F20"/>
                <w:sz w:val="16"/>
                <w:szCs w:val="16"/>
              </w:rPr>
              <w:t>grow</w:t>
            </w:r>
            <w:r w:rsidRPr="004443C2">
              <w:rPr>
                <w:color w:val="231F20"/>
                <w:spacing w:val="-4"/>
                <w:sz w:val="16"/>
                <w:szCs w:val="16"/>
              </w:rPr>
              <w:t xml:space="preserve"> </w:t>
            </w:r>
            <w:r w:rsidRPr="004443C2">
              <w:rPr>
                <w:color w:val="231F20"/>
                <w:sz w:val="16"/>
                <w:szCs w:val="16"/>
              </w:rPr>
              <w:t>in</w:t>
            </w:r>
            <w:r w:rsidRPr="004443C2">
              <w:rPr>
                <w:color w:val="231F20"/>
                <w:spacing w:val="-4"/>
                <w:sz w:val="16"/>
                <w:szCs w:val="16"/>
              </w:rPr>
              <w:t xml:space="preserve"> </w:t>
            </w:r>
            <w:r w:rsidRPr="004443C2">
              <w:rPr>
                <w:color w:val="231F20"/>
                <w:sz w:val="16"/>
                <w:szCs w:val="16"/>
              </w:rPr>
              <w:t>the</w:t>
            </w:r>
            <w:r w:rsidRPr="004443C2">
              <w:rPr>
                <w:color w:val="231F20"/>
                <w:spacing w:val="-3"/>
                <w:sz w:val="16"/>
                <w:szCs w:val="16"/>
              </w:rPr>
              <w:t xml:space="preserve"> </w:t>
            </w:r>
            <w:r w:rsidRPr="004443C2">
              <w:rPr>
                <w:color w:val="231F20"/>
                <w:sz w:val="16"/>
                <w:szCs w:val="16"/>
              </w:rPr>
              <w:t>littoral</w:t>
            </w:r>
            <w:r w:rsidRPr="004443C2">
              <w:rPr>
                <w:color w:val="231F20"/>
                <w:spacing w:val="-4"/>
                <w:sz w:val="16"/>
                <w:szCs w:val="16"/>
              </w:rPr>
              <w:t xml:space="preserve"> </w:t>
            </w:r>
            <w:r w:rsidRPr="004443C2">
              <w:rPr>
                <w:color w:val="231F20"/>
                <w:sz w:val="16"/>
                <w:szCs w:val="16"/>
              </w:rPr>
              <w:t>zone</w:t>
            </w:r>
            <w:r w:rsidRPr="004443C2">
              <w:rPr>
                <w:color w:val="231F20"/>
                <w:spacing w:val="-3"/>
                <w:sz w:val="16"/>
                <w:szCs w:val="16"/>
              </w:rPr>
              <w:t xml:space="preserve"> </w:t>
            </w:r>
            <w:r w:rsidRPr="004443C2">
              <w:rPr>
                <w:color w:val="231F20"/>
                <w:sz w:val="16"/>
                <w:szCs w:val="16"/>
              </w:rPr>
              <w:t>during</w:t>
            </w:r>
            <w:r w:rsidRPr="004443C2">
              <w:rPr>
                <w:color w:val="231F20"/>
                <w:spacing w:val="-4"/>
                <w:sz w:val="16"/>
                <w:szCs w:val="16"/>
              </w:rPr>
              <w:t xml:space="preserve"> </w:t>
            </w:r>
            <w:r w:rsidRPr="004443C2">
              <w:rPr>
                <w:color w:val="231F20"/>
                <w:sz w:val="16"/>
                <w:szCs w:val="16"/>
              </w:rPr>
              <w:t>the</w:t>
            </w:r>
            <w:r w:rsidRPr="004443C2">
              <w:rPr>
                <w:color w:val="231F20"/>
                <w:spacing w:val="-3"/>
                <w:sz w:val="16"/>
                <w:szCs w:val="16"/>
              </w:rPr>
              <w:t xml:space="preserve"> </w:t>
            </w:r>
            <w:r w:rsidRPr="004443C2">
              <w:rPr>
                <w:color w:val="231F20"/>
                <w:sz w:val="16"/>
                <w:szCs w:val="16"/>
              </w:rPr>
              <w:t>drying</w:t>
            </w:r>
            <w:r w:rsidRPr="004443C2">
              <w:rPr>
                <w:color w:val="231F20"/>
                <w:spacing w:val="-4"/>
                <w:sz w:val="16"/>
                <w:szCs w:val="16"/>
              </w:rPr>
              <w:t xml:space="preserve"> </w:t>
            </w:r>
            <w:r w:rsidRPr="004443C2">
              <w:rPr>
                <w:color w:val="231F20"/>
                <w:sz w:val="16"/>
                <w:szCs w:val="16"/>
              </w:rPr>
              <w:t>phase</w:t>
            </w:r>
            <w:r w:rsidRPr="004443C2">
              <w:rPr>
                <w:color w:val="231F20"/>
                <w:spacing w:val="-4"/>
                <w:sz w:val="16"/>
                <w:szCs w:val="16"/>
              </w:rPr>
              <w:t xml:space="preserve"> </w:t>
            </w:r>
            <w:r w:rsidRPr="004443C2">
              <w:rPr>
                <w:color w:val="231F20"/>
                <w:sz w:val="16"/>
                <w:szCs w:val="16"/>
              </w:rPr>
              <w:t>after</w:t>
            </w:r>
            <w:r w:rsidRPr="004443C2">
              <w:rPr>
                <w:color w:val="231F20"/>
                <w:spacing w:val="-4"/>
                <w:sz w:val="16"/>
                <w:szCs w:val="16"/>
              </w:rPr>
              <w:t xml:space="preserve"> </w:t>
            </w:r>
            <w:r w:rsidRPr="004443C2">
              <w:rPr>
                <w:color w:val="231F20"/>
                <w:sz w:val="16"/>
                <w:szCs w:val="16"/>
              </w:rPr>
              <w:t>watering</w:t>
            </w:r>
          </w:p>
          <w:p w:rsidR="006A7A3F" w:rsidRDefault="00BC7372">
            <w:pPr>
              <w:pStyle w:val="TableParagraph"/>
              <w:numPr>
                <w:ilvl w:val="0"/>
                <w:numId w:val="306"/>
              </w:numPr>
              <w:tabs>
                <w:tab w:val="left" w:pos="306"/>
              </w:tabs>
              <w:spacing w:before="87" w:line="254" w:lineRule="auto"/>
              <w:ind w:right="186"/>
              <w:rPr>
                <w:sz w:val="18"/>
              </w:rPr>
            </w:pPr>
            <w:r w:rsidRPr="004443C2">
              <w:rPr>
                <w:color w:val="231F20"/>
                <w:sz w:val="16"/>
                <w:szCs w:val="16"/>
              </w:rPr>
              <w:t>Provide nursery habitat for naturally occurring fish populations and juvenile golden perch and silver perch stocked by Victorian Fisheries Authority to increase growth rates before fish are released to the Murray River</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5"/>
                  <wp:effectExtent l="0" t="0" r="0" b="0"/>
                  <wp:docPr id="202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5"/>
                  <wp:effectExtent l="0" t="0" r="0" b="0"/>
                  <wp:docPr id="2029"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image25.jpeg"/>
                          <pic:cNvPicPr/>
                        </pic:nvPicPr>
                        <pic:blipFill>
                          <a:blip r:embed="rId37" cstate="print"/>
                          <a:stretch>
                            <a:fillRect/>
                          </a:stretch>
                        </pic:blipFill>
                        <pic:spPr>
                          <a:xfrm>
                            <a:off x="0" y="0"/>
                            <a:ext cx="314168" cy="310895"/>
                          </a:xfrm>
                          <a:prstGeom prst="rect">
                            <a:avLst/>
                          </a:prstGeom>
                        </pic:spPr>
                      </pic:pic>
                    </a:graphicData>
                  </a:graphic>
                </wp:inline>
              </w:drawing>
            </w:r>
          </w:p>
        </w:tc>
      </w:tr>
      <w:tr w:rsidR="006A7A3F" w:rsidTr="004443C2">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5"/>
                  <wp:effectExtent l="0" t="0" r="0" b="0"/>
                  <wp:docPr id="2031"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image26.jpeg"/>
                          <pic:cNvPicPr/>
                        </pic:nvPicPr>
                        <pic:blipFill>
                          <a:blip r:embed="rId38"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71" cy="310895"/>
                  <wp:effectExtent l="0" t="0" r="0" b="0"/>
                  <wp:docPr id="203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image21.jpeg"/>
                          <pic:cNvPicPr/>
                        </pic:nvPicPr>
                        <pic:blipFill>
                          <a:blip r:embed="rId33" cstate="print"/>
                          <a:stretch>
                            <a:fillRect/>
                          </a:stretch>
                        </pic:blipFill>
                        <pic:spPr>
                          <a:xfrm>
                            <a:off x="0" y="0"/>
                            <a:ext cx="314171" cy="310895"/>
                          </a:xfrm>
                          <a:prstGeom prst="rect">
                            <a:avLst/>
                          </a:prstGeom>
                        </pic:spPr>
                      </pic:pic>
                    </a:graphicData>
                  </a:graphic>
                </wp:inline>
              </w:drawing>
            </w:r>
          </w:p>
        </w:tc>
      </w:tr>
      <w:tr w:rsidR="006A7A3F" w:rsidTr="00E9153C">
        <w:trPr>
          <w:trHeight w:val="1413"/>
        </w:trPr>
        <w:tc>
          <w:tcPr>
            <w:tcW w:w="2381"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auto"/>
              <w:right w:val="nil"/>
            </w:tcBorders>
          </w:tcPr>
          <w:p w:rsidR="006A7A3F" w:rsidRDefault="00BC7372">
            <w:pPr>
              <w:pStyle w:val="TableParagraph"/>
              <w:ind w:left="315" w:right="-15"/>
              <w:rPr>
                <w:sz w:val="20"/>
              </w:rPr>
            </w:pPr>
            <w:r>
              <w:rPr>
                <w:noProof/>
                <w:sz w:val="20"/>
              </w:rPr>
              <w:drawing>
                <wp:inline distT="0" distB="0" distL="0" distR="0">
                  <wp:extent cx="314168" cy="310895"/>
                  <wp:effectExtent l="0" t="0" r="0" b="0"/>
                  <wp:docPr id="203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image27.jpeg"/>
                          <pic:cNvPicPr/>
                        </pic:nvPicPr>
                        <pic:blipFill>
                          <a:blip r:embed="rId39"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auto"/>
              <w:right w:val="single" w:sz="4" w:space="0" w:color="231F20"/>
            </w:tcBorders>
          </w:tcPr>
          <w:p w:rsidR="006A7A3F" w:rsidRDefault="006A7A3F">
            <w:pPr>
              <w:pStyle w:val="TableParagraph"/>
              <w:ind w:left="0"/>
              <w:rPr>
                <w:rFonts w:ascii="Times New Roman"/>
                <w:sz w:val="16"/>
              </w:rPr>
            </w:pPr>
          </w:p>
        </w:tc>
      </w:tr>
      <w:tr w:rsidR="00E9153C" w:rsidTr="00494BA5">
        <w:trPr>
          <w:trHeight w:val="652"/>
        </w:trPr>
        <w:tc>
          <w:tcPr>
            <w:tcW w:w="2381" w:type="dxa"/>
            <w:tcBorders>
              <w:top w:val="single" w:sz="4" w:space="0" w:color="auto"/>
              <w:left w:val="single" w:sz="4" w:space="0" w:color="231F20"/>
              <w:bottom w:val="nil"/>
              <w:right w:val="single" w:sz="4" w:space="0" w:color="231F20"/>
            </w:tcBorders>
          </w:tcPr>
          <w:p w:rsidR="00E9153C" w:rsidRDefault="00E9153C" w:rsidP="00E9153C">
            <w:pPr>
              <w:pStyle w:val="TableParagraph"/>
              <w:spacing w:before="67" w:line="261" w:lineRule="auto"/>
              <w:ind w:left="85" w:right="269"/>
              <w:rPr>
                <w:sz w:val="16"/>
              </w:rPr>
            </w:pPr>
            <w:r>
              <w:rPr>
                <w:color w:val="231F20"/>
                <w:sz w:val="16"/>
              </w:rPr>
              <w:t>Finnigans Creek (low flow in spring)</w:t>
            </w:r>
          </w:p>
        </w:tc>
        <w:tc>
          <w:tcPr>
            <w:tcW w:w="6236" w:type="dxa"/>
            <w:vMerge w:val="restart"/>
            <w:tcBorders>
              <w:top w:val="single" w:sz="4" w:space="0" w:color="auto"/>
              <w:left w:val="single" w:sz="4" w:space="0" w:color="231F20"/>
              <w:right w:val="single" w:sz="4" w:space="0" w:color="231F20"/>
            </w:tcBorders>
          </w:tcPr>
          <w:p w:rsidR="00E9153C" w:rsidRPr="00E9153C" w:rsidRDefault="00E9153C" w:rsidP="00E9153C">
            <w:pPr>
              <w:pStyle w:val="TableParagraph"/>
              <w:numPr>
                <w:ilvl w:val="0"/>
                <w:numId w:val="305"/>
              </w:numPr>
              <w:tabs>
                <w:tab w:val="left" w:pos="302"/>
              </w:tabs>
              <w:spacing w:before="63" w:line="254" w:lineRule="auto"/>
              <w:ind w:right="73"/>
              <w:rPr>
                <w:sz w:val="16"/>
                <w:szCs w:val="16"/>
              </w:rPr>
            </w:pPr>
            <w:r w:rsidRPr="00E9153C">
              <w:rPr>
                <w:color w:val="231F20"/>
                <w:sz w:val="16"/>
                <w:szCs w:val="16"/>
              </w:rPr>
              <w:t>Provide</w:t>
            </w:r>
            <w:r w:rsidRPr="00E9153C">
              <w:rPr>
                <w:color w:val="231F20"/>
                <w:spacing w:val="-6"/>
                <w:sz w:val="16"/>
                <w:szCs w:val="16"/>
              </w:rPr>
              <w:t xml:space="preserve"> </w:t>
            </w:r>
            <w:r w:rsidRPr="00E9153C">
              <w:rPr>
                <w:color w:val="231F20"/>
                <w:sz w:val="16"/>
                <w:szCs w:val="16"/>
              </w:rPr>
              <w:t>connections</w:t>
            </w:r>
            <w:r w:rsidRPr="00E9153C">
              <w:rPr>
                <w:color w:val="231F20"/>
                <w:spacing w:val="-5"/>
                <w:sz w:val="16"/>
                <w:szCs w:val="16"/>
              </w:rPr>
              <w:t xml:space="preserve"> </w:t>
            </w:r>
            <w:r w:rsidRPr="00E9153C">
              <w:rPr>
                <w:color w:val="231F20"/>
                <w:sz w:val="16"/>
                <w:szCs w:val="16"/>
              </w:rPr>
              <w:t>between</w:t>
            </w:r>
            <w:r w:rsidRPr="00E9153C">
              <w:rPr>
                <w:color w:val="231F20"/>
                <w:spacing w:val="-5"/>
                <w:sz w:val="16"/>
                <w:szCs w:val="16"/>
              </w:rPr>
              <w:t xml:space="preserve"> </w:t>
            </w:r>
            <w:r w:rsidRPr="00E9153C">
              <w:rPr>
                <w:color w:val="231F20"/>
                <w:sz w:val="16"/>
                <w:szCs w:val="16"/>
              </w:rPr>
              <w:t>Wallpolla</w:t>
            </w:r>
            <w:r w:rsidRPr="00E9153C">
              <w:rPr>
                <w:color w:val="231F20"/>
                <w:spacing w:val="-5"/>
                <w:sz w:val="16"/>
                <w:szCs w:val="16"/>
              </w:rPr>
              <w:t xml:space="preserve"> </w:t>
            </w:r>
            <w:r w:rsidRPr="00E9153C">
              <w:rPr>
                <w:color w:val="231F20"/>
                <w:sz w:val="16"/>
                <w:szCs w:val="16"/>
              </w:rPr>
              <w:t>East,</w:t>
            </w:r>
            <w:r w:rsidRPr="00E9153C">
              <w:rPr>
                <w:color w:val="231F20"/>
                <w:spacing w:val="-5"/>
                <w:sz w:val="16"/>
                <w:szCs w:val="16"/>
              </w:rPr>
              <w:t xml:space="preserve"> </w:t>
            </w:r>
            <w:r w:rsidRPr="00E9153C">
              <w:rPr>
                <w:color w:val="231F20"/>
                <w:sz w:val="16"/>
                <w:szCs w:val="16"/>
              </w:rPr>
              <w:t>Sandy</w:t>
            </w:r>
            <w:r w:rsidRPr="00E9153C">
              <w:rPr>
                <w:color w:val="231F20"/>
                <w:spacing w:val="-5"/>
                <w:sz w:val="16"/>
                <w:szCs w:val="16"/>
              </w:rPr>
              <w:t xml:space="preserve"> </w:t>
            </w:r>
            <w:r w:rsidRPr="00E9153C">
              <w:rPr>
                <w:color w:val="231F20"/>
                <w:sz w:val="16"/>
                <w:szCs w:val="16"/>
              </w:rPr>
              <w:t>Creek</w:t>
            </w:r>
            <w:r w:rsidRPr="00E9153C">
              <w:rPr>
                <w:color w:val="231F20"/>
                <w:spacing w:val="-5"/>
                <w:sz w:val="16"/>
                <w:szCs w:val="16"/>
              </w:rPr>
              <w:t xml:space="preserve"> </w:t>
            </w:r>
            <w:r w:rsidRPr="00E9153C">
              <w:rPr>
                <w:color w:val="231F20"/>
                <w:sz w:val="16"/>
                <w:szCs w:val="16"/>
              </w:rPr>
              <w:t>and</w:t>
            </w:r>
            <w:r w:rsidRPr="00E9153C">
              <w:rPr>
                <w:color w:val="231F20"/>
                <w:spacing w:val="-5"/>
                <w:sz w:val="16"/>
                <w:szCs w:val="16"/>
              </w:rPr>
              <w:t xml:space="preserve"> </w:t>
            </w:r>
            <w:r w:rsidRPr="00E9153C">
              <w:rPr>
                <w:color w:val="231F20"/>
                <w:sz w:val="16"/>
                <w:szCs w:val="16"/>
              </w:rPr>
              <w:t>Finnigans Creek to allow nutrient exchange, increased wetland productivity and the dispersal of plant</w:t>
            </w:r>
            <w:r w:rsidRPr="00E9153C">
              <w:rPr>
                <w:color w:val="231F20"/>
                <w:spacing w:val="-4"/>
                <w:sz w:val="16"/>
                <w:szCs w:val="16"/>
              </w:rPr>
              <w:t xml:space="preserve"> </w:t>
            </w:r>
            <w:r w:rsidRPr="00E9153C">
              <w:rPr>
                <w:color w:val="231F20"/>
                <w:sz w:val="16"/>
                <w:szCs w:val="16"/>
              </w:rPr>
              <w:t>propagules</w:t>
            </w:r>
          </w:p>
          <w:p w:rsidR="00E9153C" w:rsidRPr="00E9153C" w:rsidRDefault="00E9153C" w:rsidP="00E9153C">
            <w:pPr>
              <w:pStyle w:val="TableParagraph"/>
              <w:numPr>
                <w:ilvl w:val="0"/>
                <w:numId w:val="305"/>
              </w:numPr>
              <w:tabs>
                <w:tab w:val="left" w:pos="302"/>
              </w:tabs>
              <w:spacing w:before="87" w:line="254" w:lineRule="auto"/>
              <w:ind w:right="178"/>
              <w:rPr>
                <w:sz w:val="16"/>
                <w:szCs w:val="16"/>
              </w:rPr>
            </w:pPr>
            <w:r w:rsidRPr="00E9153C">
              <w:rPr>
                <w:color w:val="231F20"/>
                <w:sz w:val="16"/>
                <w:szCs w:val="16"/>
              </w:rPr>
              <w:t>Provide variable water levels in the littoral zone to improve wetland productivity</w:t>
            </w:r>
            <w:r w:rsidRPr="00E9153C">
              <w:rPr>
                <w:color w:val="231F20"/>
                <w:spacing w:val="-5"/>
                <w:sz w:val="16"/>
                <w:szCs w:val="16"/>
              </w:rPr>
              <w:t xml:space="preserve"> </w:t>
            </w:r>
            <w:r w:rsidRPr="00E9153C">
              <w:rPr>
                <w:color w:val="231F20"/>
                <w:sz w:val="16"/>
                <w:szCs w:val="16"/>
              </w:rPr>
              <w:t>and</w:t>
            </w:r>
            <w:r w:rsidRPr="00E9153C">
              <w:rPr>
                <w:color w:val="231F20"/>
                <w:spacing w:val="-5"/>
                <w:sz w:val="16"/>
                <w:szCs w:val="16"/>
              </w:rPr>
              <w:t xml:space="preserve"> </w:t>
            </w:r>
            <w:r w:rsidRPr="00E9153C">
              <w:rPr>
                <w:color w:val="231F20"/>
                <w:sz w:val="16"/>
                <w:szCs w:val="16"/>
              </w:rPr>
              <w:t>promote</w:t>
            </w:r>
            <w:r w:rsidRPr="00E9153C">
              <w:rPr>
                <w:color w:val="231F20"/>
                <w:spacing w:val="-5"/>
                <w:sz w:val="16"/>
                <w:szCs w:val="16"/>
              </w:rPr>
              <w:t xml:space="preserve"> </w:t>
            </w:r>
            <w:r w:rsidRPr="00E9153C">
              <w:rPr>
                <w:color w:val="231F20"/>
                <w:sz w:val="16"/>
                <w:szCs w:val="16"/>
              </w:rPr>
              <w:t>the</w:t>
            </w:r>
            <w:r w:rsidRPr="00E9153C">
              <w:rPr>
                <w:color w:val="231F20"/>
                <w:spacing w:val="-4"/>
                <w:sz w:val="16"/>
                <w:szCs w:val="16"/>
              </w:rPr>
              <w:t xml:space="preserve"> </w:t>
            </w:r>
            <w:r w:rsidRPr="00E9153C">
              <w:rPr>
                <w:color w:val="231F20"/>
                <w:sz w:val="16"/>
                <w:szCs w:val="16"/>
              </w:rPr>
              <w:t>growth</w:t>
            </w:r>
            <w:r w:rsidRPr="00E9153C">
              <w:rPr>
                <w:color w:val="231F20"/>
                <w:spacing w:val="-5"/>
                <w:sz w:val="16"/>
                <w:szCs w:val="16"/>
              </w:rPr>
              <w:t xml:space="preserve"> </w:t>
            </w:r>
            <w:r w:rsidRPr="00E9153C">
              <w:rPr>
                <w:color w:val="231F20"/>
                <w:sz w:val="16"/>
                <w:szCs w:val="16"/>
              </w:rPr>
              <w:t>of</w:t>
            </w:r>
            <w:r w:rsidRPr="00E9153C">
              <w:rPr>
                <w:color w:val="231F20"/>
                <w:spacing w:val="-5"/>
                <w:sz w:val="16"/>
                <w:szCs w:val="16"/>
              </w:rPr>
              <w:t xml:space="preserve"> </w:t>
            </w:r>
            <w:r w:rsidRPr="00E9153C">
              <w:rPr>
                <w:color w:val="231F20"/>
                <w:sz w:val="16"/>
                <w:szCs w:val="16"/>
              </w:rPr>
              <w:t>native</w:t>
            </w:r>
            <w:r w:rsidRPr="00E9153C">
              <w:rPr>
                <w:color w:val="231F20"/>
                <w:spacing w:val="-5"/>
                <w:sz w:val="16"/>
                <w:szCs w:val="16"/>
              </w:rPr>
              <w:t xml:space="preserve"> </w:t>
            </w:r>
            <w:r w:rsidRPr="00E9153C">
              <w:rPr>
                <w:color w:val="231F20"/>
                <w:sz w:val="16"/>
                <w:szCs w:val="16"/>
              </w:rPr>
              <w:t>aquatic</w:t>
            </w:r>
            <w:r w:rsidRPr="00E9153C">
              <w:rPr>
                <w:color w:val="231F20"/>
                <w:spacing w:val="-5"/>
                <w:sz w:val="16"/>
                <w:szCs w:val="16"/>
              </w:rPr>
              <w:t xml:space="preserve"> </w:t>
            </w:r>
            <w:r w:rsidRPr="00E9153C">
              <w:rPr>
                <w:color w:val="231F20"/>
                <w:sz w:val="16"/>
                <w:szCs w:val="16"/>
              </w:rPr>
              <w:t>and</w:t>
            </w:r>
            <w:r w:rsidRPr="00E9153C">
              <w:rPr>
                <w:color w:val="231F20"/>
                <w:spacing w:val="-5"/>
                <w:sz w:val="16"/>
                <w:szCs w:val="16"/>
              </w:rPr>
              <w:t xml:space="preserve"> </w:t>
            </w:r>
            <w:r w:rsidRPr="00E9153C">
              <w:rPr>
                <w:color w:val="231F20"/>
                <w:sz w:val="16"/>
                <w:szCs w:val="16"/>
              </w:rPr>
              <w:t>fringing</w:t>
            </w:r>
            <w:r w:rsidRPr="00E9153C">
              <w:rPr>
                <w:color w:val="231F20"/>
                <w:spacing w:val="-4"/>
                <w:sz w:val="16"/>
                <w:szCs w:val="16"/>
              </w:rPr>
              <w:t xml:space="preserve"> </w:t>
            </w:r>
            <w:r w:rsidRPr="00E9153C">
              <w:rPr>
                <w:color w:val="231F20"/>
                <w:sz w:val="16"/>
                <w:szCs w:val="16"/>
              </w:rPr>
              <w:t>plants</w:t>
            </w:r>
          </w:p>
          <w:p w:rsidR="00E9153C" w:rsidRPr="00E9153C" w:rsidRDefault="00E9153C" w:rsidP="00E9153C">
            <w:pPr>
              <w:pStyle w:val="TableParagraph"/>
              <w:numPr>
                <w:ilvl w:val="0"/>
                <w:numId w:val="305"/>
              </w:numPr>
              <w:tabs>
                <w:tab w:val="left" w:pos="302"/>
              </w:tabs>
              <w:spacing w:before="86" w:line="254" w:lineRule="auto"/>
              <w:ind w:right="97"/>
              <w:rPr>
                <w:sz w:val="16"/>
                <w:szCs w:val="16"/>
              </w:rPr>
            </w:pPr>
            <w:r w:rsidRPr="00E9153C">
              <w:rPr>
                <w:color w:val="231F20"/>
                <w:sz w:val="16"/>
                <w:szCs w:val="16"/>
              </w:rPr>
              <w:t>Provide variable water levels in the littoral zone to provide feeding</w:t>
            </w:r>
            <w:r w:rsidRPr="00E9153C">
              <w:rPr>
                <w:color w:val="231F20"/>
                <w:spacing w:val="-34"/>
                <w:sz w:val="16"/>
                <w:szCs w:val="16"/>
              </w:rPr>
              <w:t xml:space="preserve"> </w:t>
            </w:r>
            <w:r w:rsidRPr="00E9153C">
              <w:rPr>
                <w:color w:val="231F20"/>
                <w:sz w:val="16"/>
                <w:szCs w:val="16"/>
              </w:rPr>
              <w:t>habitat for shorebirds</w:t>
            </w:r>
          </w:p>
          <w:p w:rsidR="00E9153C" w:rsidRDefault="00E9153C" w:rsidP="00E9153C">
            <w:pPr>
              <w:pStyle w:val="TableParagraph"/>
              <w:numPr>
                <w:ilvl w:val="0"/>
                <w:numId w:val="305"/>
              </w:numPr>
              <w:tabs>
                <w:tab w:val="left" w:pos="302"/>
              </w:tabs>
              <w:spacing w:before="86"/>
              <w:ind w:hanging="218"/>
              <w:rPr>
                <w:sz w:val="18"/>
              </w:rPr>
            </w:pPr>
            <w:r w:rsidRPr="00E9153C">
              <w:rPr>
                <w:color w:val="231F20"/>
                <w:sz w:val="16"/>
                <w:szCs w:val="16"/>
              </w:rPr>
              <w:t>Provide open-water habitat to create foraging opportunities for</w:t>
            </w:r>
            <w:r w:rsidRPr="00E9153C">
              <w:rPr>
                <w:color w:val="231F20"/>
                <w:spacing w:val="-31"/>
                <w:sz w:val="16"/>
                <w:szCs w:val="16"/>
              </w:rPr>
              <w:t xml:space="preserve"> </w:t>
            </w:r>
            <w:r w:rsidRPr="00E9153C">
              <w:rPr>
                <w:color w:val="231F20"/>
                <w:sz w:val="16"/>
                <w:szCs w:val="16"/>
              </w:rPr>
              <w:t>waterbirds</w:t>
            </w:r>
          </w:p>
        </w:tc>
        <w:tc>
          <w:tcPr>
            <w:tcW w:w="850" w:type="dxa"/>
            <w:tcBorders>
              <w:top w:val="single" w:sz="4" w:space="0" w:color="auto"/>
              <w:left w:val="single" w:sz="4" w:space="0" w:color="231F20"/>
              <w:bottom w:val="nil"/>
              <w:right w:val="nil"/>
            </w:tcBorders>
            <w:vAlign w:val="center"/>
          </w:tcPr>
          <w:p w:rsidR="00E9153C" w:rsidRDefault="00E9153C" w:rsidP="00E9153C">
            <w:pPr>
              <w:pStyle w:val="TableParagraph"/>
              <w:ind w:left="315" w:right="-15"/>
              <w:rPr>
                <w:noProof/>
                <w:sz w:val="20"/>
              </w:rPr>
            </w:pPr>
            <w:r>
              <w:rPr>
                <w:noProof/>
                <w:sz w:val="20"/>
              </w:rPr>
              <w:drawing>
                <wp:inline distT="0" distB="0" distL="0" distR="0" wp14:anchorId="16BC21FC" wp14:editId="4A7078F8">
                  <wp:extent cx="314168" cy="310896"/>
                  <wp:effectExtent l="0" t="0" r="0" b="0"/>
                  <wp:docPr id="2037"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auto"/>
              <w:left w:val="nil"/>
              <w:bottom w:val="nil"/>
              <w:right w:val="single" w:sz="4" w:space="0" w:color="231F20"/>
            </w:tcBorders>
            <w:vAlign w:val="center"/>
          </w:tcPr>
          <w:p w:rsidR="00E9153C" w:rsidRDefault="00E9153C" w:rsidP="00E9153C">
            <w:pPr>
              <w:pStyle w:val="TableParagraph"/>
              <w:ind w:left="0"/>
              <w:rPr>
                <w:rFonts w:ascii="Times New Roman"/>
                <w:sz w:val="16"/>
              </w:rPr>
            </w:pPr>
            <w:r>
              <w:rPr>
                <w:noProof/>
                <w:sz w:val="20"/>
              </w:rPr>
              <w:drawing>
                <wp:inline distT="0" distB="0" distL="0" distR="0" wp14:anchorId="67A2DD19" wp14:editId="6E08F7F3">
                  <wp:extent cx="314168" cy="310896"/>
                  <wp:effectExtent l="0" t="0" r="0" b="0"/>
                  <wp:docPr id="204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E9153C" w:rsidTr="005467AC">
        <w:trPr>
          <w:trHeight w:val="573"/>
        </w:trPr>
        <w:tc>
          <w:tcPr>
            <w:tcW w:w="2381" w:type="dxa"/>
            <w:tcBorders>
              <w:top w:val="nil"/>
              <w:left w:val="single" w:sz="4" w:space="0" w:color="231F20"/>
              <w:bottom w:val="nil"/>
              <w:right w:val="single" w:sz="4" w:space="0" w:color="231F20"/>
            </w:tcBorders>
          </w:tcPr>
          <w:p w:rsidR="00E9153C" w:rsidRDefault="00E9153C" w:rsidP="00E9153C">
            <w:pPr>
              <w:pStyle w:val="TableParagraph"/>
              <w:spacing w:before="67" w:line="261" w:lineRule="auto"/>
              <w:ind w:left="85" w:right="509"/>
              <w:rPr>
                <w:sz w:val="16"/>
              </w:rPr>
            </w:pPr>
            <w:r>
              <w:rPr>
                <w:color w:val="231F20"/>
                <w:sz w:val="16"/>
              </w:rPr>
              <w:t>Sandy Creek (low flow in winter/spring)</w:t>
            </w:r>
          </w:p>
        </w:tc>
        <w:tc>
          <w:tcPr>
            <w:tcW w:w="6236" w:type="dxa"/>
            <w:vMerge/>
            <w:tcBorders>
              <w:left w:val="single" w:sz="4" w:space="0" w:color="231F20"/>
              <w:right w:val="single" w:sz="4" w:space="0" w:color="231F20"/>
            </w:tcBorders>
          </w:tcPr>
          <w:p w:rsidR="00E9153C" w:rsidRDefault="00E9153C" w:rsidP="00E9153C">
            <w:pPr>
              <w:rPr>
                <w:sz w:val="2"/>
                <w:szCs w:val="2"/>
              </w:rPr>
            </w:pPr>
          </w:p>
        </w:tc>
        <w:tc>
          <w:tcPr>
            <w:tcW w:w="850" w:type="dxa"/>
            <w:tcBorders>
              <w:top w:val="nil"/>
              <w:left w:val="single" w:sz="4" w:space="0" w:color="231F20"/>
              <w:bottom w:val="nil"/>
              <w:right w:val="nil"/>
            </w:tcBorders>
          </w:tcPr>
          <w:p w:rsidR="00E9153C" w:rsidRDefault="00E9153C" w:rsidP="00E9153C">
            <w:pPr>
              <w:pStyle w:val="TableParagraph"/>
              <w:ind w:left="315" w:right="-15"/>
              <w:rPr>
                <w:noProof/>
                <w:sz w:val="20"/>
              </w:rPr>
            </w:pPr>
            <w:r>
              <w:rPr>
                <w:noProof/>
                <w:sz w:val="20"/>
              </w:rPr>
              <w:drawing>
                <wp:inline distT="0" distB="0" distL="0" distR="0" wp14:anchorId="7C0220D2" wp14:editId="78B20ADA">
                  <wp:extent cx="314168" cy="310896"/>
                  <wp:effectExtent l="0" t="0" r="0" b="0"/>
                  <wp:docPr id="203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E9153C" w:rsidRDefault="00E9153C" w:rsidP="00E9153C">
            <w:pPr>
              <w:pStyle w:val="TableParagraph"/>
              <w:ind w:left="0"/>
              <w:rPr>
                <w:rFonts w:ascii="Times New Roman"/>
                <w:sz w:val="16"/>
              </w:rPr>
            </w:pPr>
          </w:p>
        </w:tc>
      </w:tr>
      <w:tr w:rsidR="00E9153C" w:rsidTr="00E9153C">
        <w:trPr>
          <w:trHeight w:val="968"/>
        </w:trPr>
        <w:tc>
          <w:tcPr>
            <w:tcW w:w="2381" w:type="dxa"/>
            <w:tcBorders>
              <w:top w:val="nil"/>
              <w:left w:val="single" w:sz="4" w:space="0" w:color="231F20"/>
              <w:bottom w:val="single" w:sz="4" w:space="0" w:color="231F20"/>
              <w:right w:val="single" w:sz="4" w:space="0" w:color="231F20"/>
            </w:tcBorders>
          </w:tcPr>
          <w:p w:rsidR="00E9153C" w:rsidRDefault="00E9153C" w:rsidP="00E9153C">
            <w:pPr>
              <w:pStyle w:val="TableParagraph"/>
              <w:spacing w:before="67" w:line="261" w:lineRule="auto"/>
              <w:ind w:left="85" w:right="33"/>
              <w:rPr>
                <w:sz w:val="16"/>
              </w:rPr>
            </w:pPr>
            <w:r>
              <w:rPr>
                <w:color w:val="231F20"/>
                <w:sz w:val="16"/>
              </w:rPr>
              <w:t>Wallpolla Creek East (low flow in winter/spring)</w:t>
            </w:r>
          </w:p>
        </w:tc>
        <w:tc>
          <w:tcPr>
            <w:tcW w:w="6236" w:type="dxa"/>
            <w:vMerge/>
            <w:tcBorders>
              <w:left w:val="single" w:sz="4" w:space="0" w:color="231F20"/>
              <w:bottom w:val="single" w:sz="4" w:space="0" w:color="231F20"/>
              <w:right w:val="single" w:sz="4" w:space="0" w:color="231F20"/>
            </w:tcBorders>
          </w:tcPr>
          <w:p w:rsidR="00E9153C" w:rsidRDefault="00E9153C" w:rsidP="00E9153C">
            <w:pPr>
              <w:rPr>
                <w:sz w:val="2"/>
                <w:szCs w:val="2"/>
              </w:rPr>
            </w:pPr>
          </w:p>
        </w:tc>
        <w:tc>
          <w:tcPr>
            <w:tcW w:w="850" w:type="dxa"/>
            <w:tcBorders>
              <w:top w:val="nil"/>
              <w:left w:val="single" w:sz="4" w:space="0" w:color="231F20"/>
              <w:bottom w:val="single" w:sz="4" w:space="0" w:color="231F20"/>
              <w:right w:val="nil"/>
            </w:tcBorders>
          </w:tcPr>
          <w:p w:rsidR="00E9153C" w:rsidRDefault="00E9153C" w:rsidP="00E9153C">
            <w:pPr>
              <w:pStyle w:val="TableParagraph"/>
              <w:ind w:left="315" w:right="-15"/>
              <w:rPr>
                <w:noProof/>
                <w:sz w:val="20"/>
              </w:rPr>
            </w:pPr>
          </w:p>
        </w:tc>
        <w:tc>
          <w:tcPr>
            <w:tcW w:w="708" w:type="dxa"/>
            <w:tcBorders>
              <w:top w:val="nil"/>
              <w:left w:val="nil"/>
              <w:bottom w:val="single" w:sz="4" w:space="0" w:color="231F20"/>
              <w:right w:val="single" w:sz="4" w:space="0" w:color="231F20"/>
            </w:tcBorders>
          </w:tcPr>
          <w:p w:rsidR="00E9153C" w:rsidRDefault="00E9153C" w:rsidP="00E9153C">
            <w:pPr>
              <w:pStyle w:val="TableParagraph"/>
              <w:ind w:left="0"/>
              <w:rPr>
                <w:rFonts w:ascii="Times New Roman"/>
                <w:sz w:val="16"/>
              </w:rPr>
            </w:pPr>
          </w:p>
        </w:tc>
      </w:tr>
    </w:tbl>
    <w:p w:rsidR="006A7A3F" w:rsidRDefault="00BC7372">
      <w:pPr>
        <w:spacing w:before="129" w:line="266" w:lineRule="auto"/>
        <w:ind w:left="323" w:right="1350" w:hanging="114"/>
        <w:rPr>
          <w:sz w:val="14"/>
        </w:rPr>
      </w:pPr>
      <w:r>
        <w:rPr>
          <w:color w:val="231F20"/>
          <w:sz w:val="14"/>
        </w:rPr>
        <w:t>1 The autumn fresh in the Lindsay River also has an operational objective of providing water that can be efficiently delivered to Lake Wallawalla via pumping.</w:t>
      </w:r>
    </w:p>
    <w:p w:rsidR="00494BA5" w:rsidRDefault="00494BA5">
      <w:pPr>
        <w:rPr>
          <w:rFonts w:ascii="Helvetica Neue LT Std 75"/>
          <w:b/>
          <w:color w:val="231F20"/>
          <w:sz w:val="19"/>
        </w:rPr>
      </w:pPr>
      <w:r>
        <w:rPr>
          <w:rFonts w:ascii="Helvetica Neue LT Std 75"/>
          <w:b/>
          <w:color w:val="231F20"/>
          <w:sz w:val="19"/>
        </w:rPr>
        <w:br w:type="page"/>
      </w:r>
    </w:p>
    <w:p w:rsidR="006A7A3F" w:rsidRDefault="00BC7372">
      <w:pPr>
        <w:spacing w:before="70"/>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pPr>
      <w:r>
        <w:rPr>
          <w:color w:val="231F20"/>
        </w:rPr>
        <w:t>5.2.15 outlines the potential environmental watering and expected water use under a range of planning scenarios.</w:t>
      </w:r>
    </w:p>
    <w:p w:rsidR="006A7A3F" w:rsidRDefault="00BC7372">
      <w:pPr>
        <w:pStyle w:val="BodyText"/>
        <w:spacing w:before="180" w:line="249" w:lineRule="auto"/>
        <w:ind w:right="100"/>
      </w:pPr>
      <w:r>
        <w:rPr>
          <w:color w:val="231F20"/>
        </w:rPr>
        <w:t>There are two categories of planned environmental watering opportunities for Lindsay, Mulcra and Wallpolla islands in 2020–21:</w:t>
      </w:r>
    </w:p>
    <w:p w:rsidR="006A7A3F" w:rsidRDefault="00BC7372" w:rsidP="009B6917">
      <w:pPr>
        <w:pStyle w:val="ListParagraph"/>
        <w:numPr>
          <w:ilvl w:val="0"/>
          <w:numId w:val="1419"/>
        </w:numPr>
        <w:tabs>
          <w:tab w:val="left" w:pos="493"/>
          <w:tab w:val="left" w:pos="494"/>
        </w:tabs>
        <w:spacing w:before="115" w:line="249" w:lineRule="auto"/>
        <w:ind w:right="542"/>
        <w:rPr>
          <w:sz w:val="20"/>
        </w:rPr>
      </w:pPr>
      <w:r>
        <w:rPr>
          <w:color w:val="231F20"/>
          <w:sz w:val="20"/>
        </w:rPr>
        <w:t>environmental watering of anabranch waterways (Mullaroo Creek, Lindsay River and Potterwalkagee Creek) and floodplain wetlands in coordination with operation of weir</w:t>
      </w:r>
      <w:r>
        <w:rPr>
          <w:color w:val="231F20"/>
          <w:spacing w:val="-11"/>
          <w:sz w:val="20"/>
        </w:rPr>
        <w:t xml:space="preserve"> </w:t>
      </w:r>
      <w:r>
        <w:rPr>
          <w:color w:val="231F20"/>
          <w:sz w:val="20"/>
        </w:rPr>
        <w:t>pools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a</w:t>
      </w:r>
      <w:r>
        <w:rPr>
          <w:color w:val="231F20"/>
          <w:spacing w:val="-4"/>
          <w:sz w:val="20"/>
        </w:rPr>
        <w:t xml:space="preserve"> </w:t>
      </w:r>
      <w:r>
        <w:rPr>
          <w:color w:val="231F20"/>
          <w:sz w:val="20"/>
        </w:rPr>
        <w:t>program</w:t>
      </w:r>
      <w:r>
        <w:rPr>
          <w:color w:val="231F20"/>
          <w:spacing w:val="-3"/>
          <w:sz w:val="20"/>
        </w:rPr>
        <w:t xml:space="preserve"> </w:t>
      </w:r>
      <w:r>
        <w:rPr>
          <w:color w:val="231F20"/>
          <w:sz w:val="20"/>
        </w:rPr>
        <w:t>of</w:t>
      </w:r>
      <w:r>
        <w:rPr>
          <w:color w:val="231F20"/>
          <w:spacing w:val="-3"/>
          <w:sz w:val="20"/>
        </w:rPr>
        <w:t xml:space="preserve"> </w:t>
      </w:r>
      <w:r>
        <w:rPr>
          <w:color w:val="231F20"/>
          <w:sz w:val="20"/>
        </w:rPr>
        <w:t>small-scale</w:t>
      </w:r>
      <w:r>
        <w:rPr>
          <w:color w:val="231F20"/>
          <w:spacing w:val="-3"/>
          <w:sz w:val="20"/>
        </w:rPr>
        <w:t xml:space="preserve"> </w:t>
      </w:r>
      <w:r>
        <w:rPr>
          <w:color w:val="231F20"/>
          <w:sz w:val="20"/>
        </w:rPr>
        <w:t>pumping</w:t>
      </w:r>
      <w:r>
        <w:rPr>
          <w:color w:val="231F20"/>
          <w:spacing w:val="-3"/>
          <w:sz w:val="20"/>
        </w:rPr>
        <w:t xml:space="preserve"> </w:t>
      </w:r>
      <w:r>
        <w:rPr>
          <w:color w:val="231F20"/>
          <w:sz w:val="20"/>
        </w:rPr>
        <w:t>to</w:t>
      </w:r>
      <w:r>
        <w:rPr>
          <w:color w:val="231F20"/>
          <w:spacing w:val="-2"/>
          <w:sz w:val="20"/>
        </w:rPr>
        <w:t xml:space="preserve"> </w:t>
      </w:r>
      <w:r>
        <w:rPr>
          <w:color w:val="231F20"/>
          <w:sz w:val="20"/>
        </w:rPr>
        <w:t>deliver</w:t>
      </w:r>
      <w:r>
        <w:rPr>
          <w:color w:val="231F20"/>
          <w:spacing w:val="-3"/>
          <w:sz w:val="20"/>
        </w:rPr>
        <w:t xml:space="preserve"> </w:t>
      </w:r>
      <w:r>
        <w:rPr>
          <w:color w:val="231F20"/>
          <w:sz w:val="20"/>
        </w:rPr>
        <w:t>water</w:t>
      </w:r>
      <w:r>
        <w:rPr>
          <w:color w:val="231F20"/>
          <w:spacing w:val="-4"/>
          <w:sz w:val="20"/>
        </w:rPr>
        <w:t xml:space="preserve"> </w:t>
      </w:r>
      <w:r>
        <w:rPr>
          <w:color w:val="231F20"/>
          <w:sz w:val="20"/>
        </w:rPr>
        <w:t>to</w:t>
      </w:r>
      <w:r>
        <w:rPr>
          <w:color w:val="231F20"/>
          <w:spacing w:val="-2"/>
          <w:sz w:val="20"/>
        </w:rPr>
        <w:t xml:space="preserve"> </w:t>
      </w:r>
      <w:r>
        <w:rPr>
          <w:color w:val="231F20"/>
          <w:sz w:val="20"/>
        </w:rPr>
        <w:t>individual</w:t>
      </w:r>
      <w:r>
        <w:rPr>
          <w:color w:val="231F20"/>
          <w:spacing w:val="-3"/>
          <w:sz w:val="20"/>
        </w:rPr>
        <w:t xml:space="preserve"> </w:t>
      </w:r>
      <w:r>
        <w:rPr>
          <w:color w:val="231F20"/>
          <w:sz w:val="20"/>
        </w:rPr>
        <w:t>wetlands</w:t>
      </w:r>
      <w:r>
        <w:rPr>
          <w:color w:val="231F20"/>
          <w:spacing w:val="-4"/>
          <w:sz w:val="20"/>
        </w:rPr>
        <w:t xml:space="preserve"> </w:t>
      </w:r>
      <w:r>
        <w:rPr>
          <w:color w:val="231F20"/>
          <w:sz w:val="20"/>
        </w:rPr>
        <w:t>at</w:t>
      </w:r>
      <w:r>
        <w:rPr>
          <w:color w:val="231F20"/>
          <w:spacing w:val="-3"/>
          <w:sz w:val="20"/>
        </w:rPr>
        <w:t xml:space="preserve"> </w:t>
      </w:r>
      <w:r>
        <w:rPr>
          <w:color w:val="231F20"/>
          <w:sz w:val="20"/>
        </w:rPr>
        <w:t>Lindsay</w:t>
      </w:r>
      <w:r>
        <w:rPr>
          <w:color w:val="231F20"/>
          <w:spacing w:val="-3"/>
          <w:sz w:val="20"/>
        </w:rPr>
        <w:t xml:space="preserve"> </w:t>
      </w:r>
      <w:r>
        <w:rPr>
          <w:color w:val="231F20"/>
          <w:sz w:val="20"/>
        </w:rPr>
        <w:t>and</w:t>
      </w:r>
      <w:r>
        <w:rPr>
          <w:color w:val="231F20"/>
          <w:spacing w:val="-3"/>
          <w:sz w:val="20"/>
        </w:rPr>
        <w:t xml:space="preserve"> </w:t>
      </w:r>
      <w:r>
        <w:rPr>
          <w:color w:val="231F20"/>
          <w:sz w:val="20"/>
        </w:rPr>
        <w:t>Wallpolla</w:t>
      </w:r>
      <w:r>
        <w:rPr>
          <w:color w:val="231F20"/>
          <w:spacing w:val="-4"/>
          <w:sz w:val="20"/>
        </w:rPr>
        <w:t xml:space="preserve"> </w:t>
      </w:r>
      <w:r>
        <w:rPr>
          <w:color w:val="231F20"/>
          <w:sz w:val="20"/>
        </w:rPr>
        <w:t>islands.</w:t>
      </w:r>
    </w:p>
    <w:p w:rsidR="006A7A3F" w:rsidRDefault="00BC7372">
      <w:pPr>
        <w:pStyle w:val="BodyText"/>
        <w:spacing w:before="180" w:line="249" w:lineRule="auto"/>
        <w:ind w:right="185"/>
      </w:pPr>
      <w:r>
        <w:rPr>
          <w:color w:val="231F20"/>
        </w:rPr>
        <w:t>Of the waterways and floodplain wetlands connected to the weir pools, the only sites proposed to receive environmental water under all planning scenarios are Mullaroo Creek and Websters Lagoon. Even under drought conditions, it is essential to provide flows to Mullaroo Creek to maintain flowing water habitat for large-bodied native fish. Websters Lagoon can be efficiently managed via a regulator to provide an annual wet-dry cycle under all scenarios. Under an average scenario, environmental water may be delivered to Lindsay River and Potterwalkagee Creek in spring, when locks 7 and 8 will be at suitable levels. These locks are expected to be lowered during summer/autumn under an average scenario and all year under a drought or dry scenario, which will prevent flow into Lindsay River and Potterwalkagee Creek. No environmental watering is planned for these systems under a wet scenario, because natural flows and floods are likely to meet all ecological watering requirements.</w:t>
      </w:r>
    </w:p>
    <w:p w:rsidR="006A7A3F" w:rsidRDefault="00BC7372">
      <w:pPr>
        <w:pStyle w:val="BodyText"/>
        <w:spacing w:before="177" w:line="249" w:lineRule="auto"/>
        <w:ind w:right="174"/>
      </w:pPr>
      <w:r>
        <w:rPr>
          <w:color w:val="231F20"/>
        </w:rPr>
        <w:t>Water for the environment may be pumped to up to nine high-priority wetlands and ephemeral creek lines across Lindsay and Wallpolla Islands in 2020–21. Water will need to be pumped directly into Wallpolla Horseshoe under drought, dry and average scenarios, but it is expected to fill naturally under a wet scenario. Other wetlands on Lindsay and Wallpolla islands are likely to need active watering under dry and average scenarios. Most of these wetlands will likely be watered in spring 2020, but pumping at Lake Wallawalla is planned to commence in autumn 2021 under average and wet scenarios and continue through to late spring 2021. All sites are expected to receive natural inflows under a wet scenario; but if only minor-to-moderate flooding occurs, pumping may still be required to reach target water levels in Lake Wallawalla and Wallpolla Creek East.</w:t>
      </w:r>
    </w:p>
    <w:p w:rsidR="006A7A3F" w:rsidRDefault="00BC7372" w:rsidP="00833C84">
      <w:pPr>
        <w:pStyle w:val="BodyText"/>
        <w:spacing w:before="177" w:line="249" w:lineRule="auto"/>
        <w:ind w:right="596"/>
      </w:pPr>
      <w:r>
        <w:rPr>
          <w:color w:val="231F20"/>
        </w:rPr>
        <w:t>Additional environmental watering priorities (tier 2) have been identified for Lindsay and Mulcra islands wetlands and floodplain under dry and average scenarios. The tier 2 priorities identified are critical to achieving</w:t>
      </w:r>
      <w:r w:rsidR="00833C84">
        <w:rPr>
          <w:color w:val="231F20"/>
        </w:rPr>
        <w:t xml:space="preserve"> </w:t>
      </w:r>
      <w:r>
        <w:rPr>
          <w:color w:val="231F20"/>
        </w:rPr>
        <w:t>environmental objectives at the site in the long term and could be delivered in 2020–21 if circumstances allow, but they could be deferred without significant environmental harm.</w:t>
      </w:r>
    </w:p>
    <w:p w:rsidR="00F16B78" w:rsidRDefault="00F16B78">
      <w:pPr>
        <w:rPr>
          <w:b/>
          <w:color w:val="231F20"/>
          <w:sz w:val="18"/>
        </w:rPr>
      </w:pPr>
      <w:r>
        <w:rPr>
          <w:b/>
          <w:color w:val="231F20"/>
          <w:sz w:val="18"/>
        </w:rPr>
        <w:br w:type="page"/>
      </w:r>
    </w:p>
    <w:p w:rsidR="006A7A3F" w:rsidRDefault="00BC7372">
      <w:pPr>
        <w:spacing w:before="167" w:line="249" w:lineRule="auto"/>
        <w:ind w:left="210" w:right="100"/>
        <w:rPr>
          <w:b/>
          <w:sz w:val="18"/>
        </w:rPr>
      </w:pPr>
      <w:r>
        <w:rPr>
          <w:b/>
          <w:color w:val="231F20"/>
          <w:sz w:val="18"/>
        </w:rPr>
        <w:t>Table 5.2.15 Potential environmental watering for Lindsay, Mulcra and Wallpolla islands under a range of planning scenarios</w:t>
      </w:r>
    </w:p>
    <w:p w:rsidR="006A7A3F" w:rsidRDefault="006A7A3F">
      <w:pPr>
        <w:pStyle w:val="BodyText"/>
        <w:spacing w:before="4"/>
        <w:ind w:left="0"/>
        <w:rPr>
          <w:b/>
          <w:sz w:val="8"/>
        </w:rPr>
      </w:pP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843FAE">
        <w:trPr>
          <w:trHeight w:val="367"/>
          <w:tblHeader/>
        </w:trPr>
        <w:tc>
          <w:tcPr>
            <w:tcW w:w="2041" w:type="dxa"/>
            <w:tcBorders>
              <w:top w:val="nil"/>
              <w:left w:val="nil"/>
              <w:bottom w:val="nil"/>
            </w:tcBorders>
            <w:shd w:val="clear" w:color="auto" w:fill="231F20"/>
          </w:tcPr>
          <w:p w:rsidR="006A7A3F" w:rsidRDefault="00BC7372">
            <w:pPr>
              <w:pStyle w:val="TableParagraph"/>
              <w:spacing w:before="73"/>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Average</w:t>
            </w:r>
          </w:p>
        </w:tc>
        <w:tc>
          <w:tcPr>
            <w:tcW w:w="2041" w:type="dxa"/>
            <w:tcBorders>
              <w:top w:val="nil"/>
              <w:bottom w:val="nil"/>
              <w:right w:val="nil"/>
            </w:tcBorders>
            <w:shd w:val="clear" w:color="auto" w:fill="231F20"/>
          </w:tcPr>
          <w:p w:rsidR="006A7A3F" w:rsidRDefault="00BC7372">
            <w:pPr>
              <w:pStyle w:val="TableParagraph"/>
              <w:spacing w:before="73"/>
              <w:ind w:left="84"/>
              <w:rPr>
                <w:b/>
                <w:sz w:val="10"/>
              </w:rPr>
            </w:pPr>
            <w:r>
              <w:rPr>
                <w:b/>
                <w:color w:val="FFFFFF"/>
                <w:sz w:val="18"/>
              </w:rPr>
              <w:t>Wet</w:t>
            </w:r>
            <w:r>
              <w:rPr>
                <w:b/>
                <w:color w:val="FFFFFF"/>
                <w:position w:val="6"/>
                <w:sz w:val="10"/>
              </w:rPr>
              <w:t>1</w:t>
            </w:r>
          </w:p>
        </w:tc>
      </w:tr>
      <w:tr w:rsidR="00843FAE" w:rsidTr="00843FAE">
        <w:trPr>
          <w:trHeight w:val="2463"/>
        </w:trPr>
        <w:tc>
          <w:tcPr>
            <w:tcW w:w="2041" w:type="dxa"/>
            <w:tcBorders>
              <w:top w:val="nil"/>
              <w:left w:val="single" w:sz="4" w:space="0" w:color="231F20"/>
              <w:bottom w:val="single" w:sz="4" w:space="0" w:color="231F20"/>
              <w:right w:val="single" w:sz="4" w:space="0" w:color="231F20"/>
            </w:tcBorders>
          </w:tcPr>
          <w:p w:rsidR="00843FAE" w:rsidRPr="00843FAE" w:rsidRDefault="00843FAE" w:rsidP="00843FAE">
            <w:pPr>
              <w:pStyle w:val="TableParagraph"/>
              <w:spacing w:before="66"/>
              <w:ind w:left="85"/>
              <w:rPr>
                <w:sz w:val="16"/>
                <w:szCs w:val="16"/>
              </w:rPr>
            </w:pPr>
            <w:r w:rsidRPr="00843FAE">
              <w:rPr>
                <w:color w:val="231F20"/>
                <w:sz w:val="16"/>
                <w:szCs w:val="16"/>
              </w:rPr>
              <w:t>Expected conditions</w:t>
            </w:r>
          </w:p>
        </w:tc>
        <w:tc>
          <w:tcPr>
            <w:tcW w:w="2041" w:type="dxa"/>
            <w:tcBorders>
              <w:top w:val="nil"/>
              <w:left w:val="single" w:sz="4" w:space="0" w:color="231F20"/>
              <w:bottom w:val="single" w:sz="4" w:space="0" w:color="231F20"/>
              <w:right w:val="single" w:sz="4" w:space="0" w:color="231F20"/>
            </w:tcBorders>
          </w:tcPr>
          <w:p w:rsidR="00843FAE" w:rsidRPr="00843FAE" w:rsidRDefault="00843FAE" w:rsidP="00833C84">
            <w:pPr>
              <w:pStyle w:val="TableParagraph"/>
              <w:numPr>
                <w:ilvl w:val="0"/>
                <w:numId w:val="304"/>
              </w:numPr>
              <w:tabs>
                <w:tab w:val="left" w:pos="305"/>
              </w:tabs>
              <w:spacing w:before="2" w:line="254" w:lineRule="auto"/>
              <w:ind w:right="383"/>
              <w:rPr>
                <w:sz w:val="16"/>
                <w:szCs w:val="16"/>
              </w:rPr>
            </w:pPr>
            <w:r w:rsidRPr="00833C84">
              <w:rPr>
                <w:color w:val="231F20"/>
                <w:spacing w:val="-3"/>
                <w:sz w:val="16"/>
                <w:szCs w:val="16"/>
              </w:rPr>
              <w:t xml:space="preserve">Year-round </w:t>
            </w:r>
            <w:r w:rsidRPr="00833C84">
              <w:rPr>
                <w:color w:val="231F20"/>
                <w:sz w:val="16"/>
                <w:szCs w:val="16"/>
              </w:rPr>
              <w:t>low flow in the</w:t>
            </w:r>
            <w:r w:rsidRPr="00833C84">
              <w:rPr>
                <w:color w:val="231F20"/>
                <w:spacing w:val="1"/>
                <w:sz w:val="16"/>
                <w:szCs w:val="16"/>
              </w:rPr>
              <w:t xml:space="preserve"> </w:t>
            </w:r>
            <w:r w:rsidRPr="00833C84">
              <w:rPr>
                <w:color w:val="231F20"/>
                <w:spacing w:val="-3"/>
                <w:sz w:val="16"/>
                <w:szCs w:val="16"/>
              </w:rPr>
              <w:t>Murray</w:t>
            </w:r>
            <w:r w:rsidR="00833C84" w:rsidRPr="00833C84">
              <w:rPr>
                <w:color w:val="231F20"/>
                <w:spacing w:val="-3"/>
                <w:sz w:val="16"/>
                <w:szCs w:val="16"/>
              </w:rPr>
              <w:t xml:space="preserve"> </w:t>
            </w:r>
            <w:r w:rsidRPr="00833C84">
              <w:rPr>
                <w:color w:val="231F20"/>
                <w:sz w:val="16"/>
                <w:szCs w:val="16"/>
              </w:rPr>
              <w:t>River and no natural floodplain wetting.</w:t>
            </w:r>
            <w:r w:rsidR="00833C84" w:rsidRPr="00833C84">
              <w:rPr>
                <w:color w:val="231F20"/>
                <w:sz w:val="16"/>
                <w:szCs w:val="16"/>
              </w:rPr>
              <w:t xml:space="preserve"> </w:t>
            </w:r>
            <w:r w:rsidRPr="00833C84">
              <w:rPr>
                <w:color w:val="231F20"/>
                <w:sz w:val="16"/>
                <w:szCs w:val="16"/>
              </w:rPr>
              <w:t>Weir pools will be drawn down below full supply level</w:t>
            </w:r>
            <w:r w:rsidRPr="00833C84">
              <w:rPr>
                <w:color w:val="231F20"/>
                <w:spacing w:val="-17"/>
                <w:sz w:val="16"/>
                <w:szCs w:val="16"/>
              </w:rPr>
              <w:t xml:space="preserve"> </w:t>
            </w:r>
            <w:r w:rsidRPr="00833C84">
              <w:rPr>
                <w:color w:val="231F20"/>
                <w:sz w:val="16"/>
                <w:szCs w:val="16"/>
              </w:rPr>
              <w:t>year-round.</w:t>
            </w:r>
            <w:r w:rsidR="00833C84">
              <w:rPr>
                <w:color w:val="231F20"/>
                <w:sz w:val="16"/>
                <w:szCs w:val="16"/>
              </w:rPr>
              <w:t xml:space="preserve"> </w:t>
            </w:r>
            <w:r w:rsidRPr="00843FAE">
              <w:rPr>
                <w:color w:val="231F20"/>
                <w:sz w:val="16"/>
                <w:szCs w:val="16"/>
              </w:rPr>
              <w:t xml:space="preserve">Substantial </w:t>
            </w:r>
            <w:r w:rsidRPr="00843FAE">
              <w:rPr>
                <w:color w:val="231F20"/>
                <w:spacing w:val="-3"/>
                <w:sz w:val="16"/>
                <w:szCs w:val="16"/>
              </w:rPr>
              <w:t xml:space="preserve">wetland </w:t>
            </w:r>
            <w:r w:rsidRPr="00843FAE">
              <w:rPr>
                <w:color w:val="231F20"/>
                <w:sz w:val="16"/>
                <w:szCs w:val="16"/>
              </w:rPr>
              <w:t>drying will</w:t>
            </w:r>
            <w:r w:rsidRPr="00843FAE">
              <w:rPr>
                <w:color w:val="231F20"/>
                <w:spacing w:val="-4"/>
                <w:sz w:val="16"/>
                <w:szCs w:val="16"/>
              </w:rPr>
              <w:t xml:space="preserve"> </w:t>
            </w:r>
            <w:r w:rsidRPr="00843FAE">
              <w:rPr>
                <w:color w:val="231F20"/>
                <w:spacing w:val="-3"/>
                <w:sz w:val="16"/>
                <w:szCs w:val="16"/>
              </w:rPr>
              <w:t>occur.</w:t>
            </w:r>
          </w:p>
        </w:tc>
        <w:tc>
          <w:tcPr>
            <w:tcW w:w="2041" w:type="dxa"/>
            <w:tcBorders>
              <w:top w:val="nil"/>
              <w:left w:val="single" w:sz="4" w:space="0" w:color="231F20"/>
              <w:bottom w:val="single" w:sz="4" w:space="0" w:color="231F20"/>
              <w:right w:val="single" w:sz="4" w:space="0" w:color="231F20"/>
            </w:tcBorders>
          </w:tcPr>
          <w:p w:rsidR="00843FAE" w:rsidRPr="00843FAE" w:rsidRDefault="00843FAE" w:rsidP="00833C84">
            <w:pPr>
              <w:pStyle w:val="TableParagraph"/>
              <w:numPr>
                <w:ilvl w:val="0"/>
                <w:numId w:val="303"/>
              </w:numPr>
              <w:tabs>
                <w:tab w:val="left" w:pos="305"/>
              </w:tabs>
              <w:spacing w:before="3" w:line="254" w:lineRule="auto"/>
              <w:ind w:right="383"/>
              <w:rPr>
                <w:sz w:val="16"/>
                <w:szCs w:val="16"/>
              </w:rPr>
            </w:pPr>
            <w:r w:rsidRPr="00833C84">
              <w:rPr>
                <w:color w:val="231F20"/>
                <w:sz w:val="16"/>
                <w:szCs w:val="16"/>
              </w:rPr>
              <w:t>Rare high-flow events in the Murray River and no natural floodplain</w:t>
            </w:r>
            <w:r w:rsidRPr="00833C84">
              <w:rPr>
                <w:color w:val="231F20"/>
                <w:spacing w:val="-2"/>
                <w:sz w:val="16"/>
                <w:szCs w:val="16"/>
              </w:rPr>
              <w:t xml:space="preserve"> </w:t>
            </w:r>
            <w:r w:rsidRPr="00833C84">
              <w:rPr>
                <w:color w:val="231F20"/>
                <w:sz w:val="16"/>
                <w:szCs w:val="16"/>
              </w:rPr>
              <w:t>wetting.Weir pools will be drawn down below full supply level</w:t>
            </w:r>
            <w:r w:rsidRPr="00833C84">
              <w:rPr>
                <w:color w:val="231F20"/>
                <w:spacing w:val="-17"/>
                <w:sz w:val="16"/>
                <w:szCs w:val="16"/>
              </w:rPr>
              <w:t xml:space="preserve"> </w:t>
            </w:r>
            <w:r w:rsidRPr="00833C84">
              <w:rPr>
                <w:color w:val="231F20"/>
                <w:sz w:val="16"/>
                <w:szCs w:val="16"/>
              </w:rPr>
              <w:t>year-round.</w:t>
            </w:r>
            <w:r w:rsidR="00833C84">
              <w:rPr>
                <w:color w:val="231F20"/>
                <w:sz w:val="16"/>
                <w:szCs w:val="16"/>
              </w:rPr>
              <w:t xml:space="preserve"> </w:t>
            </w:r>
            <w:r w:rsidRPr="00843FAE">
              <w:rPr>
                <w:color w:val="231F20"/>
                <w:sz w:val="16"/>
                <w:szCs w:val="16"/>
              </w:rPr>
              <w:t xml:space="preserve">Substantial </w:t>
            </w:r>
            <w:r w:rsidRPr="00843FAE">
              <w:rPr>
                <w:color w:val="231F20"/>
                <w:spacing w:val="-3"/>
                <w:sz w:val="16"/>
                <w:szCs w:val="16"/>
              </w:rPr>
              <w:t xml:space="preserve">wetland </w:t>
            </w:r>
            <w:r w:rsidRPr="00843FAE">
              <w:rPr>
                <w:color w:val="231F20"/>
                <w:sz w:val="16"/>
                <w:szCs w:val="16"/>
              </w:rPr>
              <w:t>drying will</w:t>
            </w:r>
            <w:r w:rsidRPr="00843FAE">
              <w:rPr>
                <w:color w:val="231F20"/>
                <w:spacing w:val="-4"/>
                <w:sz w:val="16"/>
                <w:szCs w:val="16"/>
              </w:rPr>
              <w:t xml:space="preserve"> </w:t>
            </w:r>
            <w:r w:rsidRPr="00843FAE">
              <w:rPr>
                <w:color w:val="231F20"/>
                <w:spacing w:val="-3"/>
                <w:sz w:val="16"/>
                <w:szCs w:val="16"/>
              </w:rPr>
              <w:t>occur.</w:t>
            </w:r>
          </w:p>
        </w:tc>
        <w:tc>
          <w:tcPr>
            <w:tcW w:w="2041" w:type="dxa"/>
            <w:tcBorders>
              <w:top w:val="nil"/>
              <w:left w:val="single" w:sz="4" w:space="0" w:color="231F20"/>
              <w:bottom w:val="single" w:sz="4" w:space="0" w:color="231F20"/>
              <w:right w:val="single" w:sz="4" w:space="0" w:color="231F20"/>
            </w:tcBorders>
          </w:tcPr>
          <w:p w:rsidR="00843FAE" w:rsidRPr="00843FAE" w:rsidRDefault="00843FAE" w:rsidP="00843FAE">
            <w:pPr>
              <w:pStyle w:val="TableParagraph"/>
              <w:numPr>
                <w:ilvl w:val="0"/>
                <w:numId w:val="302"/>
              </w:numPr>
              <w:tabs>
                <w:tab w:val="left" w:pos="305"/>
              </w:tabs>
              <w:spacing w:before="70" w:line="254" w:lineRule="auto"/>
              <w:ind w:right="186"/>
              <w:rPr>
                <w:sz w:val="16"/>
                <w:szCs w:val="16"/>
              </w:rPr>
            </w:pPr>
            <w:r w:rsidRPr="00843FAE">
              <w:rPr>
                <w:color w:val="231F20"/>
                <w:sz w:val="16"/>
                <w:szCs w:val="16"/>
              </w:rPr>
              <w:t xml:space="preserve">Short periods of high flow, most likely in late winter/ spring, providing minor wetting of the floodplain. </w:t>
            </w:r>
            <w:r w:rsidRPr="00843FAE">
              <w:rPr>
                <w:color w:val="231F20"/>
                <w:spacing w:val="-6"/>
                <w:sz w:val="16"/>
                <w:szCs w:val="16"/>
              </w:rPr>
              <w:t xml:space="preserve">Weir </w:t>
            </w:r>
            <w:r w:rsidRPr="00843FAE">
              <w:rPr>
                <w:color w:val="231F20"/>
                <w:sz w:val="16"/>
                <w:szCs w:val="16"/>
              </w:rPr>
              <w:t>pool levels raised in winter/spring and drawn down in summer/autumn.</w:t>
            </w:r>
          </w:p>
        </w:tc>
        <w:tc>
          <w:tcPr>
            <w:tcW w:w="2041" w:type="dxa"/>
            <w:tcBorders>
              <w:top w:val="nil"/>
              <w:left w:val="single" w:sz="4" w:space="0" w:color="231F20"/>
              <w:bottom w:val="single" w:sz="4" w:space="0" w:color="231F20"/>
              <w:right w:val="single" w:sz="4" w:space="0" w:color="231F20"/>
            </w:tcBorders>
          </w:tcPr>
          <w:p w:rsidR="00843FAE" w:rsidRPr="00843FAE" w:rsidRDefault="00843FAE" w:rsidP="00833C84">
            <w:pPr>
              <w:pStyle w:val="TableParagraph"/>
              <w:numPr>
                <w:ilvl w:val="0"/>
                <w:numId w:val="301"/>
              </w:numPr>
              <w:tabs>
                <w:tab w:val="left" w:pos="305"/>
              </w:tabs>
              <w:spacing w:before="70" w:line="254" w:lineRule="auto"/>
              <w:ind w:right="113"/>
              <w:rPr>
                <w:sz w:val="16"/>
                <w:szCs w:val="16"/>
              </w:rPr>
            </w:pPr>
            <w:r w:rsidRPr="00843FAE">
              <w:rPr>
                <w:color w:val="231F20"/>
                <w:sz w:val="16"/>
                <w:szCs w:val="16"/>
              </w:rPr>
              <w:t xml:space="preserve">Long periods of high flow, with major spills from storages resulting </w:t>
            </w:r>
            <w:r w:rsidRPr="00843FAE">
              <w:rPr>
                <w:color w:val="231F20"/>
                <w:spacing w:val="-9"/>
                <w:sz w:val="16"/>
                <w:szCs w:val="16"/>
              </w:rPr>
              <w:t xml:space="preserve">in </w:t>
            </w:r>
            <w:r w:rsidRPr="00843FAE">
              <w:rPr>
                <w:color w:val="231F20"/>
                <w:sz w:val="16"/>
                <w:szCs w:val="16"/>
              </w:rPr>
              <w:t>widespread wetting of the floodplain and wetting of most wetlands. Weirs would be</w:t>
            </w:r>
            <w:r w:rsidRPr="00843FAE">
              <w:rPr>
                <w:color w:val="231F20"/>
                <w:spacing w:val="-4"/>
                <w:sz w:val="16"/>
                <w:szCs w:val="16"/>
              </w:rPr>
              <w:t xml:space="preserve"> </w:t>
            </w:r>
            <w:r w:rsidRPr="00843FAE">
              <w:rPr>
                <w:color w:val="231F20"/>
                <w:sz w:val="16"/>
                <w:szCs w:val="16"/>
              </w:rPr>
              <w:t>removed</w:t>
            </w:r>
            <w:r w:rsidR="00833C84">
              <w:rPr>
                <w:color w:val="231F20"/>
                <w:sz w:val="16"/>
                <w:szCs w:val="16"/>
              </w:rPr>
              <w:t xml:space="preserve"> </w:t>
            </w:r>
            <w:r w:rsidRPr="00843FAE">
              <w:rPr>
                <w:color w:val="231F20"/>
                <w:sz w:val="16"/>
                <w:szCs w:val="16"/>
              </w:rPr>
              <w:t>to allow the passage of natural flows.</w:t>
            </w:r>
          </w:p>
        </w:tc>
      </w:tr>
      <w:tr w:rsidR="00843FAE" w:rsidTr="00843FAE">
        <w:trPr>
          <w:trHeight w:val="510"/>
        </w:trPr>
        <w:tc>
          <w:tcPr>
            <w:tcW w:w="10205" w:type="dxa"/>
            <w:gridSpan w:val="5"/>
            <w:tcBorders>
              <w:top w:val="nil"/>
              <w:left w:val="single" w:sz="4" w:space="0" w:color="231F20"/>
              <w:bottom w:val="single" w:sz="4" w:space="0" w:color="231F20"/>
              <w:right w:val="single" w:sz="4" w:space="0" w:color="231F20"/>
            </w:tcBorders>
            <w:shd w:val="clear" w:color="auto" w:fill="D9D9D9" w:themeFill="background1" w:themeFillShade="D9"/>
            <w:vAlign w:val="center"/>
          </w:tcPr>
          <w:p w:rsidR="00843FAE" w:rsidRPr="00843FAE" w:rsidRDefault="00843FAE" w:rsidP="00843FAE">
            <w:pPr>
              <w:pStyle w:val="TableParagraph"/>
              <w:spacing w:before="74"/>
              <w:ind w:left="85"/>
              <w:rPr>
                <w:b/>
                <w:bCs/>
                <w:sz w:val="16"/>
              </w:rPr>
            </w:pPr>
            <w:r w:rsidRPr="00843FAE">
              <w:rPr>
                <w:b/>
                <w:bCs/>
                <w:color w:val="231F20"/>
                <w:sz w:val="16"/>
              </w:rPr>
              <w:t>Lindsay Island</w:t>
            </w:r>
          </w:p>
        </w:tc>
      </w:tr>
      <w:tr w:rsidR="006A7A3F" w:rsidTr="00843FAE">
        <w:trPr>
          <w:trHeight w:val="5733"/>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59" w:line="249" w:lineRule="auto"/>
              <w:ind w:left="85" w:right="503"/>
              <w:rPr>
                <w:sz w:val="11"/>
              </w:rPr>
            </w:pPr>
            <w:r w:rsidRPr="00843FAE">
              <w:rPr>
                <w:color w:val="231F20"/>
                <w:sz w:val="16"/>
                <w:szCs w:val="16"/>
              </w:rPr>
              <w:t>Lindsay Island potential environmental watering – tier 1 (high priorities)</w:t>
            </w:r>
            <w:r>
              <w:rPr>
                <w:color w:val="231F20"/>
                <w:position w:val="7"/>
                <w:sz w:val="11"/>
              </w:rPr>
              <w:t>2</w:t>
            </w:r>
          </w:p>
        </w:tc>
        <w:tc>
          <w:tcPr>
            <w:tcW w:w="2041" w:type="dxa"/>
            <w:tcBorders>
              <w:top w:val="nil"/>
              <w:left w:val="single" w:sz="4" w:space="0" w:color="231F20"/>
              <w:bottom w:val="single" w:sz="4" w:space="0" w:color="231F20"/>
              <w:right w:val="single" w:sz="4" w:space="0" w:color="231F20"/>
            </w:tcBorders>
          </w:tcPr>
          <w:p w:rsidR="006A7A3F" w:rsidRPr="00843FAE" w:rsidRDefault="00BC7372">
            <w:pPr>
              <w:pStyle w:val="TableParagraph"/>
              <w:numPr>
                <w:ilvl w:val="0"/>
                <w:numId w:val="300"/>
              </w:numPr>
              <w:tabs>
                <w:tab w:val="left" w:pos="305"/>
              </w:tabs>
              <w:spacing w:before="63" w:line="254" w:lineRule="auto"/>
              <w:ind w:right="150"/>
              <w:rPr>
                <w:sz w:val="16"/>
                <w:szCs w:val="16"/>
              </w:rPr>
            </w:pPr>
            <w:r w:rsidRPr="00843FAE">
              <w:rPr>
                <w:color w:val="231F20"/>
                <w:spacing w:val="-3"/>
                <w:sz w:val="16"/>
                <w:szCs w:val="16"/>
              </w:rPr>
              <w:t xml:space="preserve">Year-round </w:t>
            </w:r>
            <w:r w:rsidRPr="00843FAE">
              <w:rPr>
                <w:color w:val="231F20"/>
                <w:sz w:val="16"/>
                <w:szCs w:val="16"/>
              </w:rPr>
              <w:t>low flow (Mullaroo</w:t>
            </w:r>
            <w:r w:rsidRPr="00843FAE">
              <w:rPr>
                <w:color w:val="231F20"/>
                <w:spacing w:val="-2"/>
                <w:sz w:val="16"/>
                <w:szCs w:val="16"/>
              </w:rPr>
              <w:t xml:space="preserve"> </w:t>
            </w:r>
            <w:r w:rsidRPr="00843FAE">
              <w:rPr>
                <w:color w:val="231F20"/>
                <w:sz w:val="16"/>
                <w:szCs w:val="16"/>
              </w:rPr>
              <w:t>Creek)</w:t>
            </w:r>
          </w:p>
          <w:p w:rsidR="006A7A3F" w:rsidRPr="00843FAE" w:rsidRDefault="00BC7372">
            <w:pPr>
              <w:pStyle w:val="TableParagraph"/>
              <w:numPr>
                <w:ilvl w:val="0"/>
                <w:numId w:val="300"/>
              </w:numPr>
              <w:tabs>
                <w:tab w:val="left" w:pos="305"/>
              </w:tabs>
              <w:spacing w:before="86" w:line="254" w:lineRule="auto"/>
              <w:ind w:right="384"/>
              <w:rPr>
                <w:sz w:val="16"/>
                <w:szCs w:val="16"/>
              </w:rPr>
            </w:pPr>
            <w:r w:rsidRPr="00843FAE">
              <w:rPr>
                <w:color w:val="231F20"/>
                <w:sz w:val="16"/>
                <w:szCs w:val="16"/>
              </w:rPr>
              <w:t xml:space="preserve">One spring fresh (Mullaroo </w:t>
            </w:r>
            <w:r w:rsidRPr="00843FAE">
              <w:rPr>
                <w:color w:val="231F20"/>
                <w:spacing w:val="-3"/>
                <w:sz w:val="16"/>
                <w:szCs w:val="16"/>
              </w:rPr>
              <w:t>Creek)</w:t>
            </w:r>
          </w:p>
          <w:p w:rsidR="006A7A3F" w:rsidRPr="00843FAE" w:rsidRDefault="00BC7372">
            <w:pPr>
              <w:pStyle w:val="TableParagraph"/>
              <w:numPr>
                <w:ilvl w:val="0"/>
                <w:numId w:val="300"/>
              </w:numPr>
              <w:tabs>
                <w:tab w:val="left" w:pos="305"/>
              </w:tabs>
              <w:spacing w:before="86" w:line="254" w:lineRule="auto"/>
              <w:ind w:right="317"/>
              <w:rPr>
                <w:sz w:val="16"/>
                <w:szCs w:val="16"/>
              </w:rPr>
            </w:pPr>
            <w:r w:rsidRPr="00843FAE">
              <w:rPr>
                <w:color w:val="231F20"/>
                <w:sz w:val="16"/>
                <w:szCs w:val="16"/>
              </w:rPr>
              <w:t>Websters</w:t>
            </w:r>
            <w:r w:rsidRPr="00843FAE">
              <w:rPr>
                <w:color w:val="231F20"/>
                <w:spacing w:val="-14"/>
                <w:sz w:val="16"/>
                <w:szCs w:val="16"/>
              </w:rPr>
              <w:t xml:space="preserve"> </w:t>
            </w:r>
            <w:r w:rsidRPr="00843FAE">
              <w:rPr>
                <w:color w:val="231F20"/>
                <w:sz w:val="16"/>
                <w:szCs w:val="16"/>
              </w:rPr>
              <w:t>Lagoon (complete fill)</w:t>
            </w:r>
          </w:p>
        </w:tc>
        <w:tc>
          <w:tcPr>
            <w:tcW w:w="2041" w:type="dxa"/>
            <w:tcBorders>
              <w:top w:val="nil"/>
              <w:left w:val="single" w:sz="4" w:space="0" w:color="231F20"/>
              <w:bottom w:val="single" w:sz="4" w:space="0" w:color="231F20"/>
              <w:right w:val="single" w:sz="4" w:space="0" w:color="231F20"/>
            </w:tcBorders>
          </w:tcPr>
          <w:p w:rsidR="006A7A3F" w:rsidRPr="00843FAE" w:rsidRDefault="00BC7372">
            <w:pPr>
              <w:pStyle w:val="TableParagraph"/>
              <w:numPr>
                <w:ilvl w:val="0"/>
                <w:numId w:val="299"/>
              </w:numPr>
              <w:tabs>
                <w:tab w:val="left" w:pos="305"/>
              </w:tabs>
              <w:spacing w:before="63" w:line="254" w:lineRule="auto"/>
              <w:ind w:right="150"/>
              <w:rPr>
                <w:sz w:val="16"/>
                <w:szCs w:val="16"/>
              </w:rPr>
            </w:pPr>
            <w:r w:rsidRPr="00843FAE">
              <w:rPr>
                <w:color w:val="231F20"/>
                <w:spacing w:val="-3"/>
                <w:sz w:val="16"/>
                <w:szCs w:val="16"/>
              </w:rPr>
              <w:t xml:space="preserve">Year-round </w:t>
            </w:r>
            <w:r w:rsidRPr="00843FAE">
              <w:rPr>
                <w:color w:val="231F20"/>
                <w:sz w:val="16"/>
                <w:szCs w:val="16"/>
              </w:rPr>
              <w:t>low flow (Mullaroo</w:t>
            </w:r>
            <w:r w:rsidRPr="00843FAE">
              <w:rPr>
                <w:color w:val="231F20"/>
                <w:spacing w:val="-2"/>
                <w:sz w:val="16"/>
                <w:szCs w:val="16"/>
              </w:rPr>
              <w:t xml:space="preserve"> </w:t>
            </w:r>
            <w:r w:rsidRPr="00843FAE">
              <w:rPr>
                <w:color w:val="231F20"/>
                <w:sz w:val="16"/>
                <w:szCs w:val="16"/>
              </w:rPr>
              <w:t>Creek)</w:t>
            </w:r>
          </w:p>
          <w:p w:rsidR="006A7A3F" w:rsidRPr="00843FAE" w:rsidRDefault="00BC7372">
            <w:pPr>
              <w:pStyle w:val="TableParagraph"/>
              <w:numPr>
                <w:ilvl w:val="0"/>
                <w:numId w:val="299"/>
              </w:numPr>
              <w:tabs>
                <w:tab w:val="left" w:pos="305"/>
              </w:tabs>
              <w:spacing w:before="86" w:line="254" w:lineRule="auto"/>
              <w:ind w:right="384"/>
              <w:rPr>
                <w:sz w:val="16"/>
                <w:szCs w:val="16"/>
              </w:rPr>
            </w:pPr>
            <w:r w:rsidRPr="00843FAE">
              <w:rPr>
                <w:color w:val="231F20"/>
                <w:sz w:val="16"/>
                <w:szCs w:val="16"/>
              </w:rPr>
              <w:t xml:space="preserve">One spring fresh (Mullaroo </w:t>
            </w:r>
            <w:r w:rsidRPr="00843FAE">
              <w:rPr>
                <w:color w:val="231F20"/>
                <w:spacing w:val="-3"/>
                <w:sz w:val="16"/>
                <w:szCs w:val="16"/>
              </w:rPr>
              <w:t>Creek)</w:t>
            </w:r>
          </w:p>
          <w:p w:rsidR="006A7A3F" w:rsidRPr="00843FAE" w:rsidRDefault="00BC7372">
            <w:pPr>
              <w:pStyle w:val="TableParagraph"/>
              <w:numPr>
                <w:ilvl w:val="0"/>
                <w:numId w:val="299"/>
              </w:numPr>
              <w:tabs>
                <w:tab w:val="left" w:pos="305"/>
              </w:tabs>
              <w:spacing w:before="86" w:line="254" w:lineRule="auto"/>
              <w:ind w:right="317"/>
              <w:rPr>
                <w:sz w:val="16"/>
                <w:szCs w:val="16"/>
              </w:rPr>
            </w:pPr>
            <w:r w:rsidRPr="00843FAE">
              <w:rPr>
                <w:color w:val="231F20"/>
                <w:sz w:val="16"/>
                <w:szCs w:val="16"/>
              </w:rPr>
              <w:t>Websters</w:t>
            </w:r>
            <w:r w:rsidRPr="00843FAE">
              <w:rPr>
                <w:color w:val="231F20"/>
                <w:spacing w:val="-14"/>
                <w:sz w:val="16"/>
                <w:szCs w:val="16"/>
              </w:rPr>
              <w:t xml:space="preserve"> </w:t>
            </w:r>
            <w:r w:rsidRPr="00843FAE">
              <w:rPr>
                <w:color w:val="231F20"/>
                <w:sz w:val="16"/>
                <w:szCs w:val="16"/>
              </w:rPr>
              <w:t>Lagoon (complete fill)</w:t>
            </w:r>
          </w:p>
          <w:p w:rsidR="006A7A3F" w:rsidRPr="00843FAE" w:rsidRDefault="00BC7372">
            <w:pPr>
              <w:pStyle w:val="TableParagraph"/>
              <w:numPr>
                <w:ilvl w:val="0"/>
                <w:numId w:val="299"/>
              </w:numPr>
              <w:tabs>
                <w:tab w:val="left" w:pos="305"/>
              </w:tabs>
              <w:spacing w:before="87" w:line="254" w:lineRule="auto"/>
              <w:ind w:right="293"/>
              <w:rPr>
                <w:sz w:val="16"/>
                <w:szCs w:val="16"/>
              </w:rPr>
            </w:pPr>
            <w:r w:rsidRPr="00843FAE">
              <w:rPr>
                <w:color w:val="231F20"/>
                <w:sz w:val="16"/>
                <w:szCs w:val="16"/>
              </w:rPr>
              <w:t>Scotties Billabong (complete fill)</w:t>
            </w:r>
          </w:p>
          <w:p w:rsidR="006A7A3F" w:rsidRPr="00843FAE" w:rsidRDefault="00BC7372">
            <w:pPr>
              <w:pStyle w:val="TableParagraph"/>
              <w:numPr>
                <w:ilvl w:val="0"/>
                <w:numId w:val="299"/>
              </w:numPr>
              <w:tabs>
                <w:tab w:val="left" w:pos="305"/>
              </w:tabs>
              <w:spacing w:before="86" w:line="254" w:lineRule="auto"/>
              <w:ind w:right="653"/>
              <w:rPr>
                <w:sz w:val="16"/>
                <w:szCs w:val="16"/>
              </w:rPr>
            </w:pPr>
            <w:r w:rsidRPr="00843FAE">
              <w:rPr>
                <w:color w:val="231F20"/>
                <w:sz w:val="16"/>
                <w:szCs w:val="16"/>
              </w:rPr>
              <w:t>Wetland 33 (complete</w:t>
            </w:r>
            <w:r w:rsidRPr="00843FAE">
              <w:rPr>
                <w:color w:val="231F20"/>
                <w:spacing w:val="3"/>
                <w:sz w:val="16"/>
                <w:szCs w:val="16"/>
              </w:rPr>
              <w:t xml:space="preserve"> </w:t>
            </w:r>
            <w:r w:rsidRPr="00843FAE">
              <w:rPr>
                <w:color w:val="231F20"/>
                <w:spacing w:val="-4"/>
                <w:sz w:val="16"/>
                <w:szCs w:val="16"/>
              </w:rPr>
              <w:t>fill)</w:t>
            </w:r>
          </w:p>
          <w:p w:rsidR="006A7A3F" w:rsidRPr="00843FAE" w:rsidRDefault="00BC7372">
            <w:pPr>
              <w:pStyle w:val="TableParagraph"/>
              <w:numPr>
                <w:ilvl w:val="0"/>
                <w:numId w:val="299"/>
              </w:numPr>
              <w:tabs>
                <w:tab w:val="left" w:pos="305"/>
              </w:tabs>
              <w:spacing w:before="86" w:line="254" w:lineRule="auto"/>
              <w:ind w:right="93"/>
              <w:rPr>
                <w:sz w:val="16"/>
                <w:szCs w:val="16"/>
              </w:rPr>
            </w:pPr>
            <w:r w:rsidRPr="00843FAE">
              <w:rPr>
                <w:color w:val="231F20"/>
                <w:sz w:val="16"/>
                <w:szCs w:val="16"/>
              </w:rPr>
              <w:t>Lindsay-Mullaroo connector (complete fill)</w:t>
            </w:r>
          </w:p>
          <w:p w:rsidR="006A7A3F" w:rsidRPr="00843FAE" w:rsidRDefault="00BC7372">
            <w:pPr>
              <w:pStyle w:val="TableParagraph"/>
              <w:numPr>
                <w:ilvl w:val="0"/>
                <w:numId w:val="299"/>
              </w:numPr>
              <w:tabs>
                <w:tab w:val="left" w:pos="305"/>
              </w:tabs>
              <w:spacing w:before="87" w:line="254" w:lineRule="auto"/>
              <w:ind w:right="653"/>
              <w:rPr>
                <w:sz w:val="16"/>
                <w:szCs w:val="16"/>
              </w:rPr>
            </w:pPr>
            <w:r w:rsidRPr="00843FAE">
              <w:rPr>
                <w:color w:val="231F20"/>
                <w:sz w:val="16"/>
                <w:szCs w:val="16"/>
              </w:rPr>
              <w:t>Crankhandle (complete</w:t>
            </w:r>
            <w:r w:rsidRPr="00843FAE">
              <w:rPr>
                <w:color w:val="231F20"/>
                <w:spacing w:val="2"/>
                <w:sz w:val="16"/>
                <w:szCs w:val="16"/>
              </w:rPr>
              <w:t xml:space="preserve"> </w:t>
            </w:r>
            <w:r w:rsidRPr="00843FAE">
              <w:rPr>
                <w:color w:val="231F20"/>
                <w:spacing w:val="-4"/>
                <w:sz w:val="16"/>
                <w:szCs w:val="16"/>
              </w:rPr>
              <w:t>fill)</w:t>
            </w:r>
          </w:p>
        </w:tc>
        <w:tc>
          <w:tcPr>
            <w:tcW w:w="2041" w:type="dxa"/>
            <w:tcBorders>
              <w:top w:val="nil"/>
              <w:left w:val="single" w:sz="4" w:space="0" w:color="231F20"/>
              <w:bottom w:val="single" w:sz="4" w:space="0" w:color="231F20"/>
              <w:right w:val="single" w:sz="4" w:space="0" w:color="231F20"/>
            </w:tcBorders>
          </w:tcPr>
          <w:p w:rsidR="006A7A3F" w:rsidRPr="00843FAE" w:rsidRDefault="00BC7372">
            <w:pPr>
              <w:pStyle w:val="TableParagraph"/>
              <w:numPr>
                <w:ilvl w:val="0"/>
                <w:numId w:val="298"/>
              </w:numPr>
              <w:tabs>
                <w:tab w:val="left" w:pos="305"/>
              </w:tabs>
              <w:spacing w:before="63" w:line="254" w:lineRule="auto"/>
              <w:ind w:right="150"/>
              <w:rPr>
                <w:sz w:val="16"/>
                <w:szCs w:val="16"/>
              </w:rPr>
            </w:pPr>
            <w:r w:rsidRPr="00843FAE">
              <w:rPr>
                <w:color w:val="231F20"/>
                <w:spacing w:val="-3"/>
                <w:sz w:val="16"/>
                <w:szCs w:val="16"/>
              </w:rPr>
              <w:t xml:space="preserve">Year-round </w:t>
            </w:r>
            <w:r w:rsidRPr="00843FAE">
              <w:rPr>
                <w:color w:val="231F20"/>
                <w:sz w:val="16"/>
                <w:szCs w:val="16"/>
              </w:rPr>
              <w:t>low flow (Mullaroo</w:t>
            </w:r>
            <w:r w:rsidRPr="00843FAE">
              <w:rPr>
                <w:color w:val="231F20"/>
                <w:spacing w:val="-2"/>
                <w:sz w:val="16"/>
                <w:szCs w:val="16"/>
              </w:rPr>
              <w:t xml:space="preserve"> </w:t>
            </w:r>
            <w:r w:rsidRPr="00843FAE">
              <w:rPr>
                <w:color w:val="231F20"/>
                <w:sz w:val="16"/>
                <w:szCs w:val="16"/>
              </w:rPr>
              <w:t>Creek)</w:t>
            </w:r>
          </w:p>
          <w:p w:rsidR="006A7A3F" w:rsidRPr="00843FAE" w:rsidRDefault="00BC7372">
            <w:pPr>
              <w:pStyle w:val="TableParagraph"/>
              <w:numPr>
                <w:ilvl w:val="0"/>
                <w:numId w:val="298"/>
              </w:numPr>
              <w:tabs>
                <w:tab w:val="left" w:pos="305"/>
              </w:tabs>
              <w:spacing w:before="86" w:line="254" w:lineRule="auto"/>
              <w:ind w:right="384"/>
              <w:rPr>
                <w:sz w:val="16"/>
                <w:szCs w:val="16"/>
              </w:rPr>
            </w:pPr>
            <w:r w:rsidRPr="00843FAE">
              <w:rPr>
                <w:color w:val="231F20"/>
                <w:sz w:val="16"/>
                <w:szCs w:val="16"/>
              </w:rPr>
              <w:t xml:space="preserve">One spring fresh (Mullaroo </w:t>
            </w:r>
            <w:r w:rsidRPr="00843FAE">
              <w:rPr>
                <w:color w:val="231F20"/>
                <w:spacing w:val="-3"/>
                <w:sz w:val="16"/>
                <w:szCs w:val="16"/>
              </w:rPr>
              <w:t>Creek)</w:t>
            </w:r>
          </w:p>
          <w:p w:rsidR="006A7A3F" w:rsidRPr="00843FAE" w:rsidRDefault="00BC7372">
            <w:pPr>
              <w:pStyle w:val="TableParagraph"/>
              <w:numPr>
                <w:ilvl w:val="0"/>
                <w:numId w:val="298"/>
              </w:numPr>
              <w:tabs>
                <w:tab w:val="left" w:pos="305"/>
              </w:tabs>
              <w:spacing w:before="86" w:line="254" w:lineRule="auto"/>
              <w:ind w:right="392"/>
              <w:rPr>
                <w:sz w:val="16"/>
                <w:szCs w:val="16"/>
              </w:rPr>
            </w:pPr>
            <w:r w:rsidRPr="00843FAE">
              <w:rPr>
                <w:color w:val="231F20"/>
                <w:sz w:val="16"/>
                <w:szCs w:val="16"/>
              </w:rPr>
              <w:t xml:space="preserve">One spring </w:t>
            </w:r>
            <w:r w:rsidRPr="00843FAE">
              <w:rPr>
                <w:color w:val="231F20"/>
                <w:spacing w:val="-3"/>
                <w:sz w:val="16"/>
                <w:szCs w:val="16"/>
              </w:rPr>
              <w:t xml:space="preserve">fresh </w:t>
            </w:r>
            <w:r w:rsidRPr="00843FAE">
              <w:rPr>
                <w:color w:val="231F20"/>
                <w:sz w:val="16"/>
                <w:szCs w:val="16"/>
              </w:rPr>
              <w:t>(Lindsay</w:t>
            </w:r>
            <w:r w:rsidRPr="00843FAE">
              <w:rPr>
                <w:color w:val="231F20"/>
                <w:spacing w:val="-2"/>
                <w:sz w:val="16"/>
                <w:szCs w:val="16"/>
              </w:rPr>
              <w:t xml:space="preserve"> </w:t>
            </w:r>
            <w:r w:rsidRPr="00843FAE">
              <w:rPr>
                <w:color w:val="231F20"/>
                <w:sz w:val="16"/>
                <w:szCs w:val="16"/>
              </w:rPr>
              <w:t>River)</w:t>
            </w:r>
          </w:p>
          <w:p w:rsidR="006A7A3F" w:rsidRPr="00843FAE" w:rsidRDefault="00BC7372">
            <w:pPr>
              <w:pStyle w:val="TableParagraph"/>
              <w:numPr>
                <w:ilvl w:val="0"/>
                <w:numId w:val="298"/>
              </w:numPr>
              <w:tabs>
                <w:tab w:val="left" w:pos="305"/>
              </w:tabs>
              <w:spacing w:before="87" w:line="254" w:lineRule="auto"/>
              <w:ind w:right="203"/>
              <w:rPr>
                <w:sz w:val="16"/>
                <w:szCs w:val="16"/>
              </w:rPr>
            </w:pPr>
            <w:r w:rsidRPr="00843FAE">
              <w:rPr>
                <w:color w:val="231F20"/>
                <w:sz w:val="16"/>
                <w:szCs w:val="16"/>
              </w:rPr>
              <w:t>One autumn/winter fresh (Lindsay River)</w:t>
            </w:r>
          </w:p>
          <w:p w:rsidR="006A7A3F" w:rsidRPr="00843FAE" w:rsidRDefault="00BC7372">
            <w:pPr>
              <w:pStyle w:val="TableParagraph"/>
              <w:numPr>
                <w:ilvl w:val="0"/>
                <w:numId w:val="298"/>
              </w:numPr>
              <w:tabs>
                <w:tab w:val="left" w:pos="305"/>
              </w:tabs>
              <w:spacing w:before="86" w:line="254" w:lineRule="auto"/>
              <w:ind w:right="317"/>
              <w:rPr>
                <w:sz w:val="16"/>
                <w:szCs w:val="16"/>
              </w:rPr>
            </w:pPr>
            <w:r w:rsidRPr="00843FAE">
              <w:rPr>
                <w:color w:val="231F20"/>
                <w:sz w:val="16"/>
                <w:szCs w:val="16"/>
              </w:rPr>
              <w:t>Websters</w:t>
            </w:r>
            <w:r w:rsidRPr="00843FAE">
              <w:rPr>
                <w:color w:val="231F20"/>
                <w:spacing w:val="-14"/>
                <w:sz w:val="16"/>
                <w:szCs w:val="16"/>
              </w:rPr>
              <w:t xml:space="preserve"> </w:t>
            </w:r>
            <w:r w:rsidRPr="00843FAE">
              <w:rPr>
                <w:color w:val="231F20"/>
                <w:sz w:val="16"/>
                <w:szCs w:val="16"/>
              </w:rPr>
              <w:t>Lagoon (complete fill)</w:t>
            </w:r>
          </w:p>
          <w:p w:rsidR="006A7A3F" w:rsidRPr="00843FAE" w:rsidRDefault="00BC7372">
            <w:pPr>
              <w:pStyle w:val="TableParagraph"/>
              <w:numPr>
                <w:ilvl w:val="0"/>
                <w:numId w:val="298"/>
              </w:numPr>
              <w:tabs>
                <w:tab w:val="left" w:pos="305"/>
              </w:tabs>
              <w:spacing w:before="87" w:line="254" w:lineRule="auto"/>
              <w:ind w:right="293"/>
              <w:rPr>
                <w:sz w:val="16"/>
                <w:szCs w:val="16"/>
              </w:rPr>
            </w:pPr>
            <w:r w:rsidRPr="00843FAE">
              <w:rPr>
                <w:color w:val="231F20"/>
                <w:sz w:val="16"/>
                <w:szCs w:val="16"/>
              </w:rPr>
              <w:t>Scotties Billabong (complete fill)</w:t>
            </w:r>
          </w:p>
          <w:p w:rsidR="006A7A3F" w:rsidRPr="00843FAE" w:rsidRDefault="00BC7372">
            <w:pPr>
              <w:pStyle w:val="TableParagraph"/>
              <w:numPr>
                <w:ilvl w:val="0"/>
                <w:numId w:val="298"/>
              </w:numPr>
              <w:tabs>
                <w:tab w:val="left" w:pos="305"/>
              </w:tabs>
              <w:spacing w:before="86" w:line="254" w:lineRule="auto"/>
              <w:ind w:right="653"/>
              <w:rPr>
                <w:sz w:val="16"/>
                <w:szCs w:val="16"/>
              </w:rPr>
            </w:pPr>
            <w:r w:rsidRPr="00843FAE">
              <w:rPr>
                <w:color w:val="231F20"/>
                <w:sz w:val="16"/>
                <w:szCs w:val="16"/>
              </w:rPr>
              <w:t>Wetland 33 (complete</w:t>
            </w:r>
            <w:r w:rsidRPr="00843FAE">
              <w:rPr>
                <w:color w:val="231F20"/>
                <w:spacing w:val="3"/>
                <w:sz w:val="16"/>
                <w:szCs w:val="16"/>
              </w:rPr>
              <w:t xml:space="preserve"> </w:t>
            </w:r>
            <w:r w:rsidRPr="00843FAE">
              <w:rPr>
                <w:color w:val="231F20"/>
                <w:spacing w:val="-4"/>
                <w:sz w:val="16"/>
                <w:szCs w:val="16"/>
              </w:rPr>
              <w:t>fill)</w:t>
            </w:r>
          </w:p>
          <w:p w:rsidR="006A7A3F" w:rsidRPr="00843FAE" w:rsidRDefault="00BC7372">
            <w:pPr>
              <w:pStyle w:val="TableParagraph"/>
              <w:numPr>
                <w:ilvl w:val="0"/>
                <w:numId w:val="298"/>
              </w:numPr>
              <w:tabs>
                <w:tab w:val="left" w:pos="305"/>
              </w:tabs>
              <w:spacing w:before="86" w:line="254" w:lineRule="auto"/>
              <w:ind w:right="93"/>
              <w:rPr>
                <w:sz w:val="16"/>
                <w:szCs w:val="16"/>
              </w:rPr>
            </w:pPr>
            <w:r w:rsidRPr="00843FAE">
              <w:rPr>
                <w:color w:val="231F20"/>
                <w:sz w:val="16"/>
                <w:szCs w:val="16"/>
              </w:rPr>
              <w:t>Lindsay-Mullaroo connector (complete fill)</w:t>
            </w:r>
          </w:p>
          <w:p w:rsidR="006A7A3F" w:rsidRPr="00843FAE" w:rsidRDefault="00BC7372">
            <w:pPr>
              <w:pStyle w:val="TableParagraph"/>
              <w:numPr>
                <w:ilvl w:val="0"/>
                <w:numId w:val="298"/>
              </w:numPr>
              <w:tabs>
                <w:tab w:val="left" w:pos="305"/>
              </w:tabs>
              <w:spacing w:before="87" w:line="254" w:lineRule="auto"/>
              <w:ind w:right="653"/>
              <w:rPr>
                <w:sz w:val="16"/>
                <w:szCs w:val="16"/>
              </w:rPr>
            </w:pPr>
            <w:r w:rsidRPr="00843FAE">
              <w:rPr>
                <w:color w:val="231F20"/>
                <w:sz w:val="16"/>
                <w:szCs w:val="16"/>
              </w:rPr>
              <w:t>Crankhandle (complete</w:t>
            </w:r>
            <w:r w:rsidRPr="00843FAE">
              <w:rPr>
                <w:color w:val="231F20"/>
                <w:spacing w:val="2"/>
                <w:sz w:val="16"/>
                <w:szCs w:val="16"/>
              </w:rPr>
              <w:t xml:space="preserve"> </w:t>
            </w:r>
            <w:r w:rsidRPr="00843FAE">
              <w:rPr>
                <w:color w:val="231F20"/>
                <w:spacing w:val="-4"/>
                <w:sz w:val="16"/>
                <w:szCs w:val="16"/>
              </w:rPr>
              <w:t>fill)</w:t>
            </w:r>
          </w:p>
          <w:p w:rsidR="006A7A3F" w:rsidRPr="00843FAE" w:rsidRDefault="00BC7372">
            <w:pPr>
              <w:pStyle w:val="TableParagraph"/>
              <w:numPr>
                <w:ilvl w:val="0"/>
                <w:numId w:val="298"/>
              </w:numPr>
              <w:tabs>
                <w:tab w:val="left" w:pos="305"/>
              </w:tabs>
              <w:spacing w:before="86" w:line="254" w:lineRule="auto"/>
              <w:ind w:right="430"/>
              <w:rPr>
                <w:sz w:val="16"/>
                <w:szCs w:val="16"/>
              </w:rPr>
            </w:pPr>
            <w:r w:rsidRPr="00843FAE">
              <w:rPr>
                <w:color w:val="231F20"/>
                <w:sz w:val="16"/>
                <w:szCs w:val="16"/>
              </w:rPr>
              <w:t>Lake</w:t>
            </w:r>
            <w:r w:rsidRPr="00843FAE">
              <w:rPr>
                <w:color w:val="231F20"/>
                <w:spacing w:val="-16"/>
                <w:sz w:val="16"/>
                <w:szCs w:val="16"/>
              </w:rPr>
              <w:t xml:space="preserve"> </w:t>
            </w:r>
            <w:r w:rsidRPr="00843FAE">
              <w:rPr>
                <w:color w:val="231F20"/>
                <w:sz w:val="16"/>
                <w:szCs w:val="16"/>
              </w:rPr>
              <w:t>Wallawalla (partial fill)</w:t>
            </w:r>
          </w:p>
        </w:tc>
        <w:tc>
          <w:tcPr>
            <w:tcW w:w="2041" w:type="dxa"/>
            <w:tcBorders>
              <w:top w:val="nil"/>
              <w:left w:val="single" w:sz="4" w:space="0" w:color="231F20"/>
              <w:bottom w:val="single" w:sz="4" w:space="0" w:color="231F20"/>
              <w:right w:val="single" w:sz="4" w:space="0" w:color="231F20"/>
            </w:tcBorders>
          </w:tcPr>
          <w:p w:rsidR="006A7A3F" w:rsidRPr="00843FAE" w:rsidRDefault="00BC7372">
            <w:pPr>
              <w:pStyle w:val="TableParagraph"/>
              <w:numPr>
                <w:ilvl w:val="0"/>
                <w:numId w:val="297"/>
              </w:numPr>
              <w:tabs>
                <w:tab w:val="left" w:pos="305"/>
              </w:tabs>
              <w:spacing w:before="63" w:line="254" w:lineRule="auto"/>
              <w:ind w:right="203"/>
              <w:rPr>
                <w:sz w:val="16"/>
                <w:szCs w:val="16"/>
              </w:rPr>
            </w:pPr>
            <w:r w:rsidRPr="00843FAE">
              <w:rPr>
                <w:color w:val="231F20"/>
                <w:sz w:val="16"/>
                <w:szCs w:val="16"/>
              </w:rPr>
              <w:t>One autumn/winter fresh (Lindsay River)</w:t>
            </w:r>
          </w:p>
          <w:p w:rsidR="006A7A3F" w:rsidRPr="00843FAE" w:rsidRDefault="00BC7372">
            <w:pPr>
              <w:pStyle w:val="TableParagraph"/>
              <w:numPr>
                <w:ilvl w:val="0"/>
                <w:numId w:val="297"/>
              </w:numPr>
              <w:tabs>
                <w:tab w:val="left" w:pos="305"/>
              </w:tabs>
              <w:spacing w:before="87" w:line="254" w:lineRule="auto"/>
              <w:ind w:right="430"/>
              <w:rPr>
                <w:sz w:val="16"/>
                <w:szCs w:val="16"/>
              </w:rPr>
            </w:pPr>
            <w:r w:rsidRPr="00843FAE">
              <w:rPr>
                <w:color w:val="231F20"/>
                <w:sz w:val="16"/>
                <w:szCs w:val="16"/>
              </w:rPr>
              <w:t>Lake</w:t>
            </w:r>
            <w:r w:rsidRPr="00843FAE">
              <w:rPr>
                <w:color w:val="231F20"/>
                <w:spacing w:val="-16"/>
                <w:sz w:val="16"/>
                <w:szCs w:val="16"/>
              </w:rPr>
              <w:t xml:space="preserve"> </w:t>
            </w:r>
            <w:r w:rsidRPr="00843FAE">
              <w:rPr>
                <w:color w:val="231F20"/>
                <w:sz w:val="16"/>
                <w:szCs w:val="16"/>
              </w:rPr>
              <w:t>Wallawalla (partial fill)</w:t>
            </w:r>
          </w:p>
        </w:tc>
      </w:tr>
      <w:tr w:rsidR="006A7A3F" w:rsidTr="00843FAE">
        <w:trPr>
          <w:trHeight w:val="1322"/>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rsidP="00316FE5">
            <w:pPr>
              <w:pStyle w:val="TableParagraph"/>
              <w:spacing w:before="59" w:line="249" w:lineRule="auto"/>
              <w:ind w:left="85" w:right="469"/>
              <w:rPr>
                <w:sz w:val="11"/>
              </w:rPr>
            </w:pPr>
            <w:r w:rsidRPr="00843FAE">
              <w:rPr>
                <w:color w:val="231F20"/>
                <w:sz w:val="16"/>
                <w:szCs w:val="16"/>
              </w:rPr>
              <w:t>Possible volume of water for the environment</w:t>
            </w:r>
            <w:r w:rsidR="00316FE5">
              <w:rPr>
                <w:color w:val="231F20"/>
                <w:sz w:val="16"/>
                <w:szCs w:val="16"/>
              </w:rPr>
              <w:t xml:space="preserve"> </w:t>
            </w:r>
            <w:r w:rsidRPr="00843FAE">
              <w:rPr>
                <w:color w:val="231F20"/>
                <w:sz w:val="16"/>
                <w:szCs w:val="16"/>
              </w:rPr>
              <w:t>required to achieve</w:t>
            </w:r>
            <w:r>
              <w:rPr>
                <w:color w:val="231F20"/>
                <w:sz w:val="20"/>
              </w:rPr>
              <w:t xml:space="preserve"> </w:t>
            </w:r>
            <w:r w:rsidRPr="00843FAE">
              <w:rPr>
                <w:color w:val="231F20"/>
                <w:sz w:val="16"/>
                <w:szCs w:val="16"/>
              </w:rPr>
              <w:t>objectives</w:t>
            </w:r>
            <w:r>
              <w:rPr>
                <w:color w:val="231F20"/>
                <w:position w:val="7"/>
                <w:sz w:val="11"/>
              </w:rPr>
              <w:t>3</w:t>
            </w:r>
          </w:p>
        </w:tc>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96"/>
              </w:numPr>
              <w:tabs>
                <w:tab w:val="left" w:pos="305"/>
              </w:tabs>
              <w:spacing w:before="63"/>
              <w:rPr>
                <w:sz w:val="16"/>
                <w:szCs w:val="16"/>
              </w:rPr>
            </w:pPr>
            <w:r w:rsidRPr="00843FAE">
              <w:rPr>
                <w:color w:val="231F20"/>
                <w:sz w:val="16"/>
                <w:szCs w:val="16"/>
              </w:rPr>
              <w:t>&lt; 950</w:t>
            </w:r>
            <w:r w:rsidRPr="00843FAE">
              <w:rPr>
                <w:color w:val="231F20"/>
                <w:spacing w:val="-2"/>
                <w:sz w:val="16"/>
                <w:szCs w:val="16"/>
              </w:rPr>
              <w:t xml:space="preserve"> </w:t>
            </w:r>
            <w:r w:rsidRPr="00843FAE">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95"/>
              </w:numPr>
              <w:tabs>
                <w:tab w:val="left" w:pos="305"/>
              </w:tabs>
              <w:spacing w:before="63"/>
              <w:rPr>
                <w:sz w:val="16"/>
                <w:szCs w:val="16"/>
              </w:rPr>
            </w:pPr>
            <w:r w:rsidRPr="00843FAE">
              <w:rPr>
                <w:color w:val="231F20"/>
                <w:sz w:val="16"/>
                <w:szCs w:val="16"/>
              </w:rPr>
              <w:t>950</w:t>
            </w:r>
            <w:r w:rsidRPr="00843FAE">
              <w:rPr>
                <w:color w:val="231F20"/>
                <w:spacing w:val="-2"/>
                <w:sz w:val="16"/>
                <w:szCs w:val="16"/>
              </w:rPr>
              <w:t xml:space="preserve"> </w:t>
            </w:r>
            <w:r w:rsidRPr="00843FAE">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94"/>
              </w:numPr>
              <w:tabs>
                <w:tab w:val="left" w:pos="305"/>
              </w:tabs>
              <w:spacing w:before="63"/>
              <w:rPr>
                <w:sz w:val="16"/>
                <w:szCs w:val="16"/>
              </w:rPr>
            </w:pPr>
            <w:r w:rsidRPr="00843FAE">
              <w:rPr>
                <w:color w:val="231F20"/>
                <w:sz w:val="16"/>
                <w:szCs w:val="16"/>
              </w:rPr>
              <w:t>Up to 6,250</w:t>
            </w:r>
            <w:r w:rsidRPr="00843FAE">
              <w:rPr>
                <w:color w:val="231F20"/>
                <w:spacing w:val="-4"/>
                <w:sz w:val="16"/>
                <w:szCs w:val="16"/>
              </w:rPr>
              <w:t xml:space="preserve"> </w:t>
            </w:r>
            <w:r w:rsidRPr="00843FAE">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93"/>
              </w:numPr>
              <w:tabs>
                <w:tab w:val="left" w:pos="305"/>
              </w:tabs>
              <w:spacing w:before="63"/>
              <w:rPr>
                <w:sz w:val="16"/>
                <w:szCs w:val="16"/>
              </w:rPr>
            </w:pPr>
            <w:r w:rsidRPr="00843FAE">
              <w:rPr>
                <w:color w:val="231F20"/>
                <w:sz w:val="16"/>
                <w:szCs w:val="16"/>
              </w:rPr>
              <w:t>Up to 4,000</w:t>
            </w:r>
            <w:r w:rsidRPr="00843FAE">
              <w:rPr>
                <w:color w:val="231F20"/>
                <w:spacing w:val="-4"/>
                <w:sz w:val="16"/>
                <w:szCs w:val="16"/>
              </w:rPr>
              <w:t xml:space="preserve"> </w:t>
            </w:r>
            <w:r w:rsidRPr="00843FAE">
              <w:rPr>
                <w:color w:val="231F20"/>
                <w:sz w:val="16"/>
                <w:szCs w:val="16"/>
              </w:rPr>
              <w:t>ML</w:t>
            </w:r>
          </w:p>
        </w:tc>
      </w:tr>
      <w:tr w:rsidR="006A7A3F" w:rsidTr="00843FAE">
        <w:trPr>
          <w:trHeight w:val="333"/>
        </w:trPr>
        <w:tc>
          <w:tcPr>
            <w:tcW w:w="10205" w:type="dxa"/>
            <w:gridSpan w:val="5"/>
            <w:tcBorders>
              <w:top w:val="single" w:sz="4" w:space="0" w:color="231F20"/>
              <w:left w:val="single" w:sz="4" w:space="0" w:color="231F20"/>
              <w:bottom w:val="single" w:sz="4" w:space="0" w:color="231F20"/>
              <w:right w:val="single" w:sz="4" w:space="0" w:color="231F20"/>
            </w:tcBorders>
            <w:shd w:val="clear" w:color="auto" w:fill="E6E7E8"/>
          </w:tcPr>
          <w:p w:rsidR="006A7A3F" w:rsidRPr="00843FAE" w:rsidRDefault="00BC7372">
            <w:pPr>
              <w:pStyle w:val="TableParagraph"/>
              <w:spacing w:before="67"/>
              <w:ind w:left="85"/>
              <w:rPr>
                <w:b/>
                <w:bCs/>
                <w:sz w:val="16"/>
              </w:rPr>
            </w:pPr>
            <w:r w:rsidRPr="00843FAE">
              <w:rPr>
                <w:b/>
                <w:bCs/>
                <w:color w:val="231F20"/>
                <w:sz w:val="16"/>
              </w:rPr>
              <w:t>Mulcra Island</w:t>
            </w:r>
          </w:p>
        </w:tc>
      </w:tr>
      <w:tr w:rsidR="006A7A3F" w:rsidTr="00843FAE">
        <w:trPr>
          <w:trHeight w:val="1322"/>
        </w:trPr>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spacing w:before="59" w:line="249" w:lineRule="auto"/>
              <w:ind w:left="85" w:right="492"/>
              <w:rPr>
                <w:sz w:val="16"/>
                <w:szCs w:val="16"/>
              </w:rPr>
            </w:pPr>
            <w:r w:rsidRPr="00843FAE">
              <w:rPr>
                <w:color w:val="231F20"/>
                <w:sz w:val="16"/>
                <w:szCs w:val="16"/>
              </w:rPr>
              <w:t>Potterwalkagee Creek potential environmental watering – tier 1 (high priorities)</w:t>
            </w:r>
            <w:r w:rsidRPr="00843FAE">
              <w:rPr>
                <w:color w:val="231F20"/>
                <w:sz w:val="16"/>
                <w:szCs w:val="16"/>
                <w:vertAlign w:val="superscript"/>
              </w:rPr>
              <w:t>2</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92"/>
              </w:numPr>
              <w:tabs>
                <w:tab w:val="left" w:pos="305"/>
              </w:tabs>
              <w:spacing w:before="63"/>
              <w:rPr>
                <w:sz w:val="16"/>
                <w:szCs w:val="16"/>
              </w:rPr>
            </w:pPr>
            <w:r w:rsidRPr="00843FAE">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91"/>
              </w:numPr>
              <w:tabs>
                <w:tab w:val="left" w:pos="305"/>
              </w:tabs>
              <w:spacing w:before="63" w:line="254" w:lineRule="auto"/>
              <w:ind w:right="392"/>
              <w:jc w:val="both"/>
              <w:rPr>
                <w:sz w:val="16"/>
                <w:szCs w:val="16"/>
              </w:rPr>
            </w:pPr>
            <w:r w:rsidRPr="00843FAE">
              <w:rPr>
                <w:color w:val="231F20"/>
                <w:sz w:val="16"/>
                <w:szCs w:val="16"/>
              </w:rPr>
              <w:t xml:space="preserve">One spring </w:t>
            </w:r>
            <w:r w:rsidRPr="00843FAE">
              <w:rPr>
                <w:color w:val="231F20"/>
                <w:spacing w:val="-3"/>
                <w:sz w:val="16"/>
                <w:szCs w:val="16"/>
              </w:rPr>
              <w:t xml:space="preserve">fresh </w:t>
            </w:r>
            <w:r w:rsidRPr="00843FAE">
              <w:rPr>
                <w:color w:val="231F20"/>
                <w:sz w:val="16"/>
                <w:szCs w:val="16"/>
              </w:rPr>
              <w:t>(Potterwalkagee Creek)</w:t>
            </w:r>
          </w:p>
        </w:tc>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90"/>
              </w:numPr>
              <w:tabs>
                <w:tab w:val="left" w:pos="305"/>
              </w:tabs>
              <w:spacing w:before="63"/>
              <w:rPr>
                <w:sz w:val="16"/>
                <w:szCs w:val="16"/>
              </w:rPr>
            </w:pPr>
            <w:r w:rsidRPr="00843FAE">
              <w:rPr>
                <w:color w:val="231F20"/>
                <w:sz w:val="16"/>
                <w:szCs w:val="16"/>
              </w:rPr>
              <w:t>N/A</w:t>
            </w:r>
          </w:p>
        </w:tc>
      </w:tr>
      <w:tr w:rsidR="006A7A3F" w:rsidTr="00843FAE">
        <w:trPr>
          <w:trHeight w:val="1617"/>
        </w:trPr>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spacing w:before="59" w:line="249" w:lineRule="auto"/>
              <w:ind w:left="85" w:right="125"/>
              <w:rPr>
                <w:sz w:val="16"/>
                <w:szCs w:val="16"/>
              </w:rPr>
            </w:pPr>
            <w:r w:rsidRPr="00843FAE">
              <w:rPr>
                <w:color w:val="231F20"/>
                <w:sz w:val="16"/>
                <w:szCs w:val="16"/>
              </w:rPr>
              <w:t>Potterwalkagee Creek potential environmental watering – tier 2 (additional priorities)</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89"/>
              </w:numPr>
              <w:tabs>
                <w:tab w:val="left" w:pos="305"/>
              </w:tabs>
              <w:spacing w:before="63"/>
              <w:rPr>
                <w:sz w:val="16"/>
                <w:szCs w:val="16"/>
              </w:rPr>
            </w:pPr>
            <w:r w:rsidRPr="00843FAE">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88"/>
              </w:numPr>
              <w:tabs>
                <w:tab w:val="left" w:pos="305"/>
              </w:tabs>
              <w:spacing w:before="63" w:line="254" w:lineRule="auto"/>
              <w:ind w:right="264"/>
              <w:rPr>
                <w:sz w:val="16"/>
                <w:szCs w:val="16"/>
              </w:rPr>
            </w:pPr>
            <w:r w:rsidRPr="00843FAE">
              <w:rPr>
                <w:color w:val="231F20"/>
                <w:sz w:val="16"/>
                <w:szCs w:val="16"/>
              </w:rPr>
              <w:t>Mulcra Horseshoe (complete fill)</w:t>
            </w:r>
          </w:p>
          <w:p w:rsidR="006A7A3F" w:rsidRPr="00843FAE" w:rsidRDefault="00BC7372">
            <w:pPr>
              <w:pStyle w:val="TableParagraph"/>
              <w:numPr>
                <w:ilvl w:val="0"/>
                <w:numId w:val="288"/>
              </w:numPr>
              <w:tabs>
                <w:tab w:val="left" w:pos="305"/>
              </w:tabs>
              <w:spacing w:before="86" w:line="254" w:lineRule="auto"/>
              <w:ind w:right="72"/>
              <w:rPr>
                <w:sz w:val="16"/>
                <w:szCs w:val="16"/>
              </w:rPr>
            </w:pPr>
            <w:r w:rsidRPr="00843FAE">
              <w:rPr>
                <w:color w:val="231F20"/>
                <w:sz w:val="16"/>
                <w:szCs w:val="16"/>
              </w:rPr>
              <w:t>Mulcra Island floodplain</w:t>
            </w:r>
            <w:r w:rsidRPr="00843FAE">
              <w:rPr>
                <w:color w:val="231F20"/>
                <w:spacing w:val="9"/>
                <w:sz w:val="16"/>
                <w:szCs w:val="16"/>
              </w:rPr>
              <w:t xml:space="preserve"> </w:t>
            </w:r>
            <w:r w:rsidRPr="00843FAE">
              <w:rPr>
                <w:color w:val="231F20"/>
                <w:spacing w:val="-3"/>
                <w:sz w:val="16"/>
                <w:szCs w:val="16"/>
              </w:rPr>
              <w:t>inundation</w:t>
            </w:r>
          </w:p>
          <w:p w:rsidR="006A7A3F" w:rsidRPr="00843FAE" w:rsidRDefault="00BC7372">
            <w:pPr>
              <w:pStyle w:val="TableParagraph"/>
              <w:numPr>
                <w:ilvl w:val="0"/>
                <w:numId w:val="288"/>
              </w:numPr>
              <w:tabs>
                <w:tab w:val="left" w:pos="305"/>
              </w:tabs>
              <w:spacing w:before="86" w:line="254" w:lineRule="auto"/>
              <w:ind w:right="563"/>
              <w:rPr>
                <w:sz w:val="16"/>
                <w:szCs w:val="16"/>
              </w:rPr>
            </w:pPr>
            <w:r w:rsidRPr="00843FAE">
              <w:rPr>
                <w:color w:val="231F20"/>
                <w:sz w:val="16"/>
                <w:szCs w:val="16"/>
              </w:rPr>
              <w:t xml:space="preserve">Snake </w:t>
            </w:r>
            <w:r w:rsidRPr="00843FAE">
              <w:rPr>
                <w:color w:val="231F20"/>
                <w:spacing w:val="-3"/>
                <w:sz w:val="16"/>
                <w:szCs w:val="16"/>
              </w:rPr>
              <w:t xml:space="preserve">Lagoon </w:t>
            </w:r>
            <w:r w:rsidRPr="00843FAE">
              <w:rPr>
                <w:color w:val="231F20"/>
                <w:sz w:val="16"/>
                <w:szCs w:val="16"/>
              </w:rPr>
              <w:t>(complete fill)</w:t>
            </w:r>
          </w:p>
        </w:tc>
        <w:tc>
          <w:tcPr>
            <w:tcW w:w="2041" w:type="dxa"/>
            <w:tcBorders>
              <w:top w:val="single" w:sz="4" w:space="0" w:color="231F20"/>
              <w:left w:val="single" w:sz="4" w:space="0" w:color="231F20"/>
              <w:bottom w:val="single" w:sz="4" w:space="0" w:color="231F20"/>
              <w:right w:val="single" w:sz="4" w:space="0" w:color="231F20"/>
            </w:tcBorders>
          </w:tcPr>
          <w:p w:rsidR="006A7A3F" w:rsidRPr="00843FAE" w:rsidRDefault="00BC7372">
            <w:pPr>
              <w:pStyle w:val="TableParagraph"/>
              <w:numPr>
                <w:ilvl w:val="0"/>
                <w:numId w:val="287"/>
              </w:numPr>
              <w:tabs>
                <w:tab w:val="left" w:pos="305"/>
              </w:tabs>
              <w:spacing w:before="63"/>
              <w:rPr>
                <w:sz w:val="16"/>
                <w:szCs w:val="16"/>
              </w:rPr>
            </w:pPr>
            <w:r w:rsidRPr="00843FAE">
              <w:rPr>
                <w:color w:val="231F20"/>
                <w:sz w:val="16"/>
                <w:szCs w:val="16"/>
              </w:rPr>
              <w:t>N/A</w:t>
            </w:r>
          </w:p>
        </w:tc>
      </w:tr>
      <w:tr w:rsidR="006A7A3F" w:rsidTr="00843FAE">
        <w:trPr>
          <w:trHeight w:val="1322"/>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rsidP="00316FE5">
            <w:pPr>
              <w:pStyle w:val="TableParagraph"/>
              <w:spacing w:before="59" w:line="249" w:lineRule="auto"/>
              <w:ind w:left="85" w:right="469"/>
              <w:rPr>
                <w:sz w:val="11"/>
              </w:rPr>
            </w:pPr>
            <w:r>
              <w:rPr>
                <w:color w:val="231F20"/>
                <w:sz w:val="20"/>
              </w:rPr>
              <w:t>Possible volume of water for the environment</w:t>
            </w:r>
            <w:r w:rsidR="00316FE5">
              <w:rPr>
                <w:color w:val="231F20"/>
                <w:sz w:val="20"/>
              </w:rPr>
              <w:t xml:space="preserve"> </w:t>
            </w:r>
            <w:r>
              <w:rPr>
                <w:color w:val="231F20"/>
                <w:sz w:val="20"/>
              </w:rPr>
              <w:t>required to achieve objectives</w:t>
            </w:r>
            <w:r>
              <w:rPr>
                <w:color w:val="231F20"/>
                <w:position w:val="7"/>
                <w:sz w:val="11"/>
              </w:rPr>
              <w:t>4,5</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86"/>
              </w:numPr>
              <w:tabs>
                <w:tab w:val="left" w:pos="305"/>
              </w:tabs>
              <w:spacing w:before="63"/>
              <w:rPr>
                <w:sz w:val="18"/>
              </w:rPr>
            </w:pPr>
            <w:r>
              <w:rPr>
                <w:color w:val="231F20"/>
                <w:sz w:val="18"/>
              </w:rPr>
              <w:t>0</w:t>
            </w:r>
            <w:r>
              <w:rPr>
                <w:color w:val="231F20"/>
                <w:spacing w:val="-1"/>
                <w:sz w:val="18"/>
              </w:rPr>
              <w:t xml:space="preserve"> </w:t>
            </w:r>
            <w:r>
              <w:rPr>
                <w:color w:val="231F20"/>
                <w:sz w:val="18"/>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85"/>
              </w:numPr>
              <w:tabs>
                <w:tab w:val="left" w:pos="305"/>
              </w:tabs>
              <w:spacing w:before="63" w:line="254" w:lineRule="auto"/>
              <w:ind w:right="140"/>
              <w:rPr>
                <w:sz w:val="18"/>
              </w:rPr>
            </w:pPr>
            <w:r>
              <w:rPr>
                <w:color w:val="231F20"/>
                <w:sz w:val="18"/>
              </w:rPr>
              <w:t>Up to 3,000 ML</w:t>
            </w:r>
            <w:r>
              <w:rPr>
                <w:color w:val="231F20"/>
                <w:spacing w:val="-14"/>
                <w:sz w:val="18"/>
              </w:rPr>
              <w:t xml:space="preserve"> </w:t>
            </w:r>
            <w:r>
              <w:rPr>
                <w:color w:val="231F20"/>
                <w:sz w:val="18"/>
              </w:rPr>
              <w:t>(tier 1)</w:t>
            </w:r>
          </w:p>
          <w:p w:rsidR="006A7A3F" w:rsidRDefault="00BC7372">
            <w:pPr>
              <w:pStyle w:val="TableParagraph"/>
              <w:numPr>
                <w:ilvl w:val="0"/>
                <w:numId w:val="285"/>
              </w:numPr>
              <w:tabs>
                <w:tab w:val="left" w:pos="305"/>
              </w:tabs>
              <w:spacing w:before="86" w:line="254" w:lineRule="auto"/>
              <w:ind w:right="140"/>
              <w:rPr>
                <w:sz w:val="18"/>
              </w:rPr>
            </w:pPr>
            <w:r>
              <w:rPr>
                <w:color w:val="231F20"/>
                <w:sz w:val="18"/>
              </w:rPr>
              <w:t>Up to 3,000 ML</w:t>
            </w:r>
            <w:r>
              <w:rPr>
                <w:color w:val="231F20"/>
                <w:spacing w:val="-14"/>
                <w:sz w:val="18"/>
              </w:rPr>
              <w:t xml:space="preserve"> </w:t>
            </w:r>
            <w:r>
              <w:rPr>
                <w:color w:val="231F20"/>
                <w:sz w:val="18"/>
              </w:rPr>
              <w:t>(tier 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84"/>
              </w:numPr>
              <w:tabs>
                <w:tab w:val="left" w:pos="305"/>
              </w:tabs>
              <w:spacing w:before="63"/>
              <w:rPr>
                <w:sz w:val="18"/>
              </w:rPr>
            </w:pPr>
            <w:r>
              <w:rPr>
                <w:color w:val="231F20"/>
                <w:sz w:val="18"/>
              </w:rPr>
              <w:t>0</w:t>
            </w:r>
            <w:r>
              <w:rPr>
                <w:color w:val="231F20"/>
                <w:spacing w:val="-1"/>
                <w:sz w:val="18"/>
              </w:rPr>
              <w:t xml:space="preserve"> </w:t>
            </w:r>
            <w:r>
              <w:rPr>
                <w:color w:val="231F20"/>
                <w:sz w:val="18"/>
              </w:rPr>
              <w:t>ML</w:t>
            </w:r>
          </w:p>
        </w:tc>
      </w:tr>
      <w:tr w:rsidR="006A7A3F" w:rsidTr="00843FAE">
        <w:trPr>
          <w:trHeight w:val="333"/>
        </w:trPr>
        <w:tc>
          <w:tcPr>
            <w:tcW w:w="10205" w:type="dxa"/>
            <w:gridSpan w:val="5"/>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67"/>
              <w:ind w:left="85"/>
              <w:rPr>
                <w:sz w:val="16"/>
              </w:rPr>
            </w:pPr>
            <w:r>
              <w:rPr>
                <w:color w:val="231F20"/>
                <w:sz w:val="16"/>
              </w:rPr>
              <w:t>Wallpolla Island</w:t>
            </w:r>
          </w:p>
        </w:tc>
      </w:tr>
      <w:tr w:rsidR="006A7A3F" w:rsidTr="00843FAE">
        <w:trPr>
          <w:trHeight w:val="1702"/>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59" w:line="249" w:lineRule="auto"/>
              <w:ind w:left="85" w:right="324"/>
              <w:rPr>
                <w:sz w:val="11"/>
              </w:rPr>
            </w:pPr>
            <w:r>
              <w:rPr>
                <w:color w:val="231F20"/>
                <w:sz w:val="20"/>
              </w:rPr>
              <w:t>Wallpolla Island wetlands potential environmental watering – tier 1 (high priorities)</w:t>
            </w:r>
            <w:r>
              <w:rPr>
                <w:color w:val="231F20"/>
                <w:position w:val="7"/>
                <w:sz w:val="11"/>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83"/>
              </w:numPr>
              <w:tabs>
                <w:tab w:val="left" w:pos="305"/>
              </w:tabs>
              <w:spacing w:before="63" w:line="254" w:lineRule="auto"/>
              <w:ind w:right="80"/>
              <w:rPr>
                <w:sz w:val="18"/>
              </w:rPr>
            </w:pPr>
            <w:r>
              <w:rPr>
                <w:color w:val="231F20"/>
                <w:sz w:val="18"/>
              </w:rPr>
              <w:t>Wallpolla</w:t>
            </w:r>
            <w:r>
              <w:rPr>
                <w:color w:val="231F20"/>
                <w:spacing w:val="-18"/>
                <w:sz w:val="18"/>
              </w:rPr>
              <w:t xml:space="preserve"> </w:t>
            </w:r>
            <w:r>
              <w:rPr>
                <w:color w:val="231F20"/>
                <w:sz w:val="18"/>
              </w:rPr>
              <w:t>Horseshoe Lagoon (partial</w:t>
            </w:r>
            <w:r>
              <w:rPr>
                <w:color w:val="231F20"/>
                <w:spacing w:val="-3"/>
                <w:sz w:val="18"/>
              </w:rPr>
              <w:t xml:space="preserve"> </w:t>
            </w:r>
            <w:r>
              <w:rPr>
                <w:color w:val="231F20"/>
                <w:sz w:val="18"/>
              </w:rPr>
              <w:t>fill)</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82"/>
              </w:numPr>
              <w:tabs>
                <w:tab w:val="left" w:pos="305"/>
              </w:tabs>
              <w:spacing w:before="63" w:line="254" w:lineRule="auto"/>
              <w:ind w:right="80"/>
              <w:rPr>
                <w:sz w:val="18"/>
              </w:rPr>
            </w:pPr>
            <w:r>
              <w:rPr>
                <w:color w:val="231F20"/>
                <w:sz w:val="18"/>
              </w:rPr>
              <w:t>Wallpolla</w:t>
            </w:r>
            <w:r>
              <w:rPr>
                <w:color w:val="231F20"/>
                <w:spacing w:val="-18"/>
                <w:sz w:val="18"/>
              </w:rPr>
              <w:t xml:space="preserve"> </w:t>
            </w:r>
            <w:r>
              <w:rPr>
                <w:color w:val="231F20"/>
                <w:sz w:val="18"/>
              </w:rPr>
              <w:t>Horseshoe Lagoon (partial</w:t>
            </w:r>
            <w:r>
              <w:rPr>
                <w:color w:val="231F20"/>
                <w:spacing w:val="-3"/>
                <w:sz w:val="18"/>
              </w:rPr>
              <w:t xml:space="preserve"> </w:t>
            </w:r>
            <w:r>
              <w:rPr>
                <w:color w:val="231F20"/>
                <w:sz w:val="18"/>
              </w:rPr>
              <w:t>fill)</w:t>
            </w:r>
          </w:p>
          <w:p w:rsidR="006A7A3F" w:rsidRDefault="00BC7372">
            <w:pPr>
              <w:pStyle w:val="TableParagraph"/>
              <w:numPr>
                <w:ilvl w:val="0"/>
                <w:numId w:val="282"/>
              </w:numPr>
              <w:tabs>
                <w:tab w:val="left" w:pos="305"/>
              </w:tabs>
              <w:spacing w:before="86"/>
              <w:rPr>
                <w:sz w:val="18"/>
              </w:rPr>
            </w:pPr>
            <w:r>
              <w:rPr>
                <w:color w:val="231F20"/>
                <w:sz w:val="18"/>
              </w:rPr>
              <w:t>Finnigans</w:t>
            </w:r>
            <w:r>
              <w:rPr>
                <w:color w:val="231F20"/>
                <w:spacing w:val="-1"/>
                <w:sz w:val="18"/>
              </w:rPr>
              <w:t xml:space="preserve"> </w:t>
            </w:r>
            <w:r>
              <w:rPr>
                <w:color w:val="231F20"/>
                <w:sz w:val="18"/>
              </w:rPr>
              <w:t>Creek</w:t>
            </w:r>
          </w:p>
          <w:p w:rsidR="006A7A3F" w:rsidRDefault="00BC7372">
            <w:pPr>
              <w:pStyle w:val="TableParagraph"/>
              <w:numPr>
                <w:ilvl w:val="0"/>
                <w:numId w:val="282"/>
              </w:numPr>
              <w:tabs>
                <w:tab w:val="left" w:pos="305"/>
              </w:tabs>
              <w:spacing w:before="98"/>
              <w:rPr>
                <w:sz w:val="18"/>
              </w:rPr>
            </w:pPr>
            <w:r>
              <w:rPr>
                <w:color w:val="231F20"/>
                <w:sz w:val="18"/>
              </w:rPr>
              <w:t>Sandy</w:t>
            </w:r>
            <w:r>
              <w:rPr>
                <w:color w:val="231F20"/>
                <w:spacing w:val="-1"/>
                <w:sz w:val="18"/>
              </w:rPr>
              <w:t xml:space="preserve"> </w:t>
            </w:r>
            <w:r>
              <w:rPr>
                <w:color w:val="231F20"/>
                <w:sz w:val="18"/>
              </w:rPr>
              <w:t>Creek</w:t>
            </w:r>
          </w:p>
          <w:p w:rsidR="006A7A3F" w:rsidRDefault="00BC7372">
            <w:pPr>
              <w:pStyle w:val="TableParagraph"/>
              <w:numPr>
                <w:ilvl w:val="0"/>
                <w:numId w:val="282"/>
              </w:numPr>
              <w:tabs>
                <w:tab w:val="left" w:pos="305"/>
              </w:tabs>
              <w:spacing w:before="98" w:line="254" w:lineRule="auto"/>
              <w:ind w:right="471"/>
              <w:rPr>
                <w:sz w:val="18"/>
              </w:rPr>
            </w:pPr>
            <w:r>
              <w:rPr>
                <w:color w:val="231F20"/>
                <w:sz w:val="18"/>
              </w:rPr>
              <w:t>Wallpolla</w:t>
            </w:r>
            <w:r>
              <w:rPr>
                <w:color w:val="231F20"/>
                <w:spacing w:val="-16"/>
                <w:sz w:val="18"/>
              </w:rPr>
              <w:t xml:space="preserve"> </w:t>
            </w:r>
            <w:r>
              <w:rPr>
                <w:color w:val="231F20"/>
                <w:sz w:val="18"/>
              </w:rPr>
              <w:t>Creek East</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81"/>
              </w:numPr>
              <w:tabs>
                <w:tab w:val="left" w:pos="305"/>
              </w:tabs>
              <w:spacing w:before="63" w:line="254" w:lineRule="auto"/>
              <w:ind w:right="81"/>
              <w:rPr>
                <w:sz w:val="18"/>
              </w:rPr>
            </w:pPr>
            <w:r>
              <w:rPr>
                <w:color w:val="231F20"/>
                <w:sz w:val="18"/>
              </w:rPr>
              <w:t>Wallpolla</w:t>
            </w:r>
            <w:r>
              <w:rPr>
                <w:color w:val="231F20"/>
                <w:spacing w:val="-18"/>
                <w:sz w:val="18"/>
              </w:rPr>
              <w:t xml:space="preserve"> </w:t>
            </w:r>
            <w:r>
              <w:rPr>
                <w:color w:val="231F20"/>
                <w:sz w:val="18"/>
              </w:rPr>
              <w:t>Horseshoe Lagoon (partial</w:t>
            </w:r>
            <w:r>
              <w:rPr>
                <w:color w:val="231F20"/>
                <w:spacing w:val="-3"/>
                <w:sz w:val="18"/>
              </w:rPr>
              <w:t xml:space="preserve"> </w:t>
            </w:r>
            <w:r>
              <w:rPr>
                <w:color w:val="231F20"/>
                <w:sz w:val="18"/>
              </w:rPr>
              <w:t>fill)</w:t>
            </w:r>
          </w:p>
          <w:p w:rsidR="006A7A3F" w:rsidRDefault="00BC7372">
            <w:pPr>
              <w:pStyle w:val="TableParagraph"/>
              <w:numPr>
                <w:ilvl w:val="0"/>
                <w:numId w:val="281"/>
              </w:numPr>
              <w:tabs>
                <w:tab w:val="left" w:pos="305"/>
              </w:tabs>
              <w:spacing w:before="86"/>
              <w:rPr>
                <w:sz w:val="18"/>
              </w:rPr>
            </w:pPr>
            <w:r>
              <w:rPr>
                <w:color w:val="231F20"/>
                <w:sz w:val="18"/>
              </w:rPr>
              <w:t>Finnigans</w:t>
            </w:r>
            <w:r>
              <w:rPr>
                <w:color w:val="231F20"/>
                <w:spacing w:val="-1"/>
                <w:sz w:val="18"/>
              </w:rPr>
              <w:t xml:space="preserve"> </w:t>
            </w:r>
            <w:r>
              <w:rPr>
                <w:color w:val="231F20"/>
                <w:sz w:val="18"/>
              </w:rPr>
              <w:t>Creek</w:t>
            </w:r>
          </w:p>
          <w:p w:rsidR="006A7A3F" w:rsidRDefault="00BC7372">
            <w:pPr>
              <w:pStyle w:val="TableParagraph"/>
              <w:numPr>
                <w:ilvl w:val="0"/>
                <w:numId w:val="281"/>
              </w:numPr>
              <w:tabs>
                <w:tab w:val="left" w:pos="305"/>
              </w:tabs>
              <w:spacing w:before="98"/>
              <w:rPr>
                <w:sz w:val="18"/>
              </w:rPr>
            </w:pPr>
            <w:r>
              <w:rPr>
                <w:color w:val="231F20"/>
                <w:sz w:val="18"/>
              </w:rPr>
              <w:t>Sandy</w:t>
            </w:r>
            <w:r>
              <w:rPr>
                <w:color w:val="231F20"/>
                <w:spacing w:val="-1"/>
                <w:sz w:val="18"/>
              </w:rPr>
              <w:t xml:space="preserve"> </w:t>
            </w:r>
            <w:r>
              <w:rPr>
                <w:color w:val="231F20"/>
                <w:sz w:val="18"/>
              </w:rPr>
              <w:t>Creek</w:t>
            </w:r>
          </w:p>
          <w:p w:rsidR="006A7A3F" w:rsidRDefault="00BC7372">
            <w:pPr>
              <w:pStyle w:val="TableParagraph"/>
              <w:numPr>
                <w:ilvl w:val="0"/>
                <w:numId w:val="281"/>
              </w:numPr>
              <w:tabs>
                <w:tab w:val="left" w:pos="305"/>
              </w:tabs>
              <w:spacing w:before="98" w:line="254" w:lineRule="auto"/>
              <w:ind w:right="471"/>
              <w:rPr>
                <w:sz w:val="18"/>
              </w:rPr>
            </w:pPr>
            <w:r>
              <w:rPr>
                <w:color w:val="231F20"/>
                <w:sz w:val="18"/>
              </w:rPr>
              <w:t>Wallpolla</w:t>
            </w:r>
            <w:r>
              <w:rPr>
                <w:color w:val="231F20"/>
                <w:spacing w:val="-16"/>
                <w:sz w:val="18"/>
              </w:rPr>
              <w:t xml:space="preserve"> </w:t>
            </w:r>
            <w:r>
              <w:rPr>
                <w:color w:val="231F20"/>
                <w:sz w:val="18"/>
              </w:rPr>
              <w:t>Creek East</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80"/>
              </w:numPr>
              <w:tabs>
                <w:tab w:val="left" w:pos="305"/>
              </w:tabs>
              <w:spacing w:before="63" w:line="254" w:lineRule="auto"/>
              <w:ind w:right="471"/>
              <w:rPr>
                <w:sz w:val="18"/>
              </w:rPr>
            </w:pPr>
            <w:r>
              <w:rPr>
                <w:color w:val="231F20"/>
                <w:sz w:val="18"/>
              </w:rPr>
              <w:t>Wallpolla</w:t>
            </w:r>
            <w:r>
              <w:rPr>
                <w:color w:val="231F20"/>
                <w:spacing w:val="-16"/>
                <w:sz w:val="18"/>
              </w:rPr>
              <w:t xml:space="preserve"> </w:t>
            </w:r>
            <w:r>
              <w:rPr>
                <w:color w:val="231F20"/>
                <w:sz w:val="18"/>
              </w:rPr>
              <w:t>Creek East</w:t>
            </w:r>
          </w:p>
        </w:tc>
      </w:tr>
      <w:tr w:rsidR="00843FAE" w:rsidTr="00843FAE">
        <w:trPr>
          <w:trHeight w:val="992"/>
        </w:trPr>
        <w:tc>
          <w:tcPr>
            <w:tcW w:w="2041" w:type="dxa"/>
            <w:tcBorders>
              <w:top w:val="single" w:sz="4" w:space="0" w:color="231F20"/>
              <w:left w:val="single" w:sz="4" w:space="0" w:color="231F20"/>
              <w:bottom w:val="single" w:sz="4" w:space="0" w:color="231F20"/>
              <w:right w:val="single" w:sz="4" w:space="0" w:color="231F20"/>
            </w:tcBorders>
          </w:tcPr>
          <w:p w:rsidR="00843FAE" w:rsidRPr="00843FAE" w:rsidRDefault="00843FAE" w:rsidP="00843FAE">
            <w:pPr>
              <w:pStyle w:val="TableParagraph"/>
              <w:spacing w:before="59" w:line="249" w:lineRule="auto"/>
              <w:ind w:left="85" w:right="503"/>
              <w:rPr>
                <w:sz w:val="16"/>
                <w:szCs w:val="16"/>
              </w:rPr>
            </w:pPr>
            <w:r w:rsidRPr="00843FAE">
              <w:rPr>
                <w:color w:val="231F20"/>
                <w:sz w:val="16"/>
                <w:szCs w:val="16"/>
              </w:rPr>
              <w:t>Potential environmental watering – tier 1 (high priorities)</w:t>
            </w:r>
          </w:p>
        </w:tc>
        <w:tc>
          <w:tcPr>
            <w:tcW w:w="2041" w:type="dxa"/>
            <w:tcBorders>
              <w:top w:val="single" w:sz="4" w:space="0" w:color="231F20"/>
              <w:left w:val="single" w:sz="4" w:space="0" w:color="231F20"/>
              <w:bottom w:val="single" w:sz="4" w:space="0" w:color="231F20"/>
              <w:right w:val="single" w:sz="4" w:space="0" w:color="231F20"/>
            </w:tcBorders>
          </w:tcPr>
          <w:p w:rsidR="00843FAE" w:rsidRPr="00843FAE" w:rsidRDefault="00843FAE" w:rsidP="00843FAE">
            <w:pPr>
              <w:pStyle w:val="TableParagraph"/>
              <w:numPr>
                <w:ilvl w:val="0"/>
                <w:numId w:val="279"/>
              </w:numPr>
              <w:tabs>
                <w:tab w:val="left" w:pos="305"/>
              </w:tabs>
              <w:spacing w:before="63"/>
              <w:rPr>
                <w:sz w:val="16"/>
                <w:szCs w:val="16"/>
              </w:rPr>
            </w:pPr>
            <w:r w:rsidRPr="00843FAE">
              <w:rPr>
                <w:color w:val="231F20"/>
                <w:sz w:val="16"/>
                <w:szCs w:val="16"/>
              </w:rPr>
              <w:t>400</w:t>
            </w:r>
            <w:r w:rsidRPr="00843FAE">
              <w:rPr>
                <w:color w:val="231F20"/>
                <w:spacing w:val="-2"/>
                <w:sz w:val="16"/>
                <w:szCs w:val="16"/>
              </w:rPr>
              <w:t xml:space="preserve"> </w:t>
            </w:r>
            <w:r w:rsidRPr="00843FAE">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843FAE" w:rsidRPr="00843FAE" w:rsidRDefault="00843FAE" w:rsidP="00843FAE">
            <w:pPr>
              <w:pStyle w:val="TableParagraph"/>
              <w:numPr>
                <w:ilvl w:val="0"/>
                <w:numId w:val="278"/>
              </w:numPr>
              <w:tabs>
                <w:tab w:val="left" w:pos="305"/>
              </w:tabs>
              <w:spacing w:before="63"/>
              <w:rPr>
                <w:sz w:val="16"/>
                <w:szCs w:val="16"/>
              </w:rPr>
            </w:pPr>
            <w:r w:rsidRPr="00843FAE">
              <w:rPr>
                <w:color w:val="231F20"/>
                <w:sz w:val="16"/>
                <w:szCs w:val="16"/>
              </w:rPr>
              <w:t>4,900</w:t>
            </w:r>
            <w:r w:rsidRPr="00843FAE">
              <w:rPr>
                <w:color w:val="231F20"/>
                <w:spacing w:val="-2"/>
                <w:sz w:val="16"/>
                <w:szCs w:val="16"/>
              </w:rPr>
              <w:t xml:space="preserve"> </w:t>
            </w:r>
            <w:r w:rsidRPr="00843FAE">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843FAE" w:rsidRPr="00843FAE" w:rsidRDefault="00843FAE" w:rsidP="00843FAE">
            <w:pPr>
              <w:pStyle w:val="TableParagraph"/>
              <w:numPr>
                <w:ilvl w:val="0"/>
                <w:numId w:val="277"/>
              </w:numPr>
              <w:tabs>
                <w:tab w:val="left" w:pos="305"/>
              </w:tabs>
              <w:spacing w:before="63"/>
              <w:rPr>
                <w:sz w:val="16"/>
                <w:szCs w:val="16"/>
              </w:rPr>
            </w:pPr>
            <w:r w:rsidRPr="00843FAE">
              <w:rPr>
                <w:color w:val="231F20"/>
                <w:sz w:val="16"/>
                <w:szCs w:val="16"/>
              </w:rPr>
              <w:t>4,900</w:t>
            </w:r>
            <w:r w:rsidRPr="00843FAE">
              <w:rPr>
                <w:color w:val="231F20"/>
                <w:spacing w:val="-2"/>
                <w:sz w:val="16"/>
                <w:szCs w:val="16"/>
              </w:rPr>
              <w:t xml:space="preserve"> </w:t>
            </w:r>
            <w:r w:rsidRPr="00843FAE">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843FAE" w:rsidRPr="00843FAE" w:rsidRDefault="00843FAE" w:rsidP="00843FAE">
            <w:pPr>
              <w:pStyle w:val="TableParagraph"/>
              <w:numPr>
                <w:ilvl w:val="0"/>
                <w:numId w:val="276"/>
              </w:numPr>
              <w:tabs>
                <w:tab w:val="left" w:pos="305"/>
              </w:tabs>
              <w:spacing w:before="63"/>
              <w:rPr>
                <w:sz w:val="16"/>
                <w:szCs w:val="16"/>
              </w:rPr>
            </w:pPr>
            <w:r w:rsidRPr="00843FAE">
              <w:rPr>
                <w:color w:val="231F20"/>
                <w:sz w:val="16"/>
                <w:szCs w:val="16"/>
              </w:rPr>
              <w:t>1,000</w:t>
            </w:r>
            <w:r w:rsidRPr="00843FAE">
              <w:rPr>
                <w:color w:val="231F20"/>
                <w:spacing w:val="-2"/>
                <w:sz w:val="16"/>
                <w:szCs w:val="16"/>
              </w:rPr>
              <w:t xml:space="preserve"> </w:t>
            </w:r>
            <w:r w:rsidRPr="00843FAE">
              <w:rPr>
                <w:color w:val="231F20"/>
                <w:sz w:val="16"/>
                <w:szCs w:val="16"/>
              </w:rPr>
              <w:t>ML</w:t>
            </w:r>
          </w:p>
        </w:tc>
      </w:tr>
    </w:tbl>
    <w:p w:rsidR="006A7A3F" w:rsidRDefault="00BC7372">
      <w:pPr>
        <w:pStyle w:val="ListParagraph"/>
        <w:numPr>
          <w:ilvl w:val="0"/>
          <w:numId w:val="275"/>
        </w:numPr>
        <w:tabs>
          <w:tab w:val="left" w:pos="324"/>
        </w:tabs>
        <w:spacing w:before="129" w:line="266" w:lineRule="auto"/>
        <w:ind w:right="275"/>
        <w:rPr>
          <w:sz w:val="14"/>
        </w:rPr>
      </w:pPr>
      <w:r>
        <w:rPr>
          <w:color w:val="231F20"/>
          <w:sz w:val="14"/>
        </w:rPr>
        <w:t xml:space="preserve">Natural wetting of wetlands and the floodplain under a wet </w:t>
      </w:r>
      <w:r>
        <w:rPr>
          <w:color w:val="231F20"/>
          <w:spacing w:val="2"/>
          <w:sz w:val="14"/>
        </w:rPr>
        <w:t xml:space="preserve">scenario </w:t>
      </w:r>
      <w:r>
        <w:rPr>
          <w:color w:val="231F20"/>
          <w:sz w:val="14"/>
        </w:rPr>
        <w:t>achieves the environmental watering requirements of most sites, so few potential watering actions are planned under a wet</w:t>
      </w:r>
      <w:r>
        <w:rPr>
          <w:color w:val="231F20"/>
          <w:spacing w:val="-2"/>
          <w:sz w:val="14"/>
        </w:rPr>
        <w:t xml:space="preserve"> </w:t>
      </w:r>
      <w:r>
        <w:rPr>
          <w:color w:val="231F20"/>
          <w:sz w:val="14"/>
        </w:rPr>
        <w:t>scenario.</w:t>
      </w:r>
    </w:p>
    <w:p w:rsidR="006A7A3F" w:rsidRDefault="00BC7372">
      <w:pPr>
        <w:pStyle w:val="ListParagraph"/>
        <w:numPr>
          <w:ilvl w:val="0"/>
          <w:numId w:val="275"/>
        </w:numPr>
        <w:tabs>
          <w:tab w:val="left" w:pos="324"/>
        </w:tabs>
        <w:spacing w:before="55" w:line="266" w:lineRule="auto"/>
        <w:ind w:right="660"/>
        <w:rPr>
          <w:sz w:val="14"/>
        </w:rPr>
      </w:pPr>
      <w:r>
        <w:rPr>
          <w:color w:val="231F20"/>
          <w:sz w:val="14"/>
        </w:rPr>
        <w:t>Tier 1 potential environmental watering at Lindsay, Mulcra and Wallpolla islands are not classified as tier 1a or 1b, because the water available for use is shared</w:t>
      </w:r>
      <w:r>
        <w:rPr>
          <w:color w:val="231F20"/>
          <w:spacing w:val="5"/>
          <w:sz w:val="14"/>
        </w:rPr>
        <w:t xml:space="preserve"> </w:t>
      </w:r>
      <w:r>
        <w:rPr>
          <w:color w:val="231F20"/>
          <w:sz w:val="14"/>
        </w:rPr>
        <w:t>across</w:t>
      </w:r>
      <w:r>
        <w:rPr>
          <w:color w:val="231F20"/>
          <w:spacing w:val="7"/>
          <w:sz w:val="14"/>
        </w:rPr>
        <w:t xml:space="preserve"> </w:t>
      </w:r>
      <w:r>
        <w:rPr>
          <w:color w:val="231F20"/>
          <w:sz w:val="14"/>
        </w:rPr>
        <w:t>various</w:t>
      </w:r>
      <w:r>
        <w:rPr>
          <w:color w:val="231F20"/>
          <w:spacing w:val="7"/>
          <w:sz w:val="14"/>
        </w:rPr>
        <w:t xml:space="preserve"> </w:t>
      </w:r>
      <w:r>
        <w:rPr>
          <w:color w:val="231F20"/>
          <w:sz w:val="14"/>
        </w:rPr>
        <w:t>systems</w:t>
      </w:r>
      <w:r>
        <w:rPr>
          <w:color w:val="231F20"/>
          <w:spacing w:val="7"/>
          <w:sz w:val="14"/>
        </w:rPr>
        <w:t xml:space="preserve"> </w:t>
      </w:r>
      <w:r>
        <w:rPr>
          <w:color w:val="231F20"/>
          <w:sz w:val="14"/>
        </w:rPr>
        <w:t>and</w:t>
      </w:r>
      <w:r>
        <w:rPr>
          <w:color w:val="231F20"/>
          <w:spacing w:val="6"/>
          <w:sz w:val="14"/>
        </w:rPr>
        <w:t xml:space="preserve"> </w:t>
      </w:r>
      <w:r>
        <w:rPr>
          <w:color w:val="231F20"/>
          <w:sz w:val="14"/>
        </w:rPr>
        <w:t>it</w:t>
      </w:r>
      <w:r>
        <w:rPr>
          <w:color w:val="231F20"/>
          <w:spacing w:val="7"/>
          <w:sz w:val="14"/>
        </w:rPr>
        <w:t xml:space="preserve"> </w:t>
      </w:r>
      <w:r>
        <w:rPr>
          <w:color w:val="231F20"/>
          <w:sz w:val="14"/>
        </w:rPr>
        <w:t>is</w:t>
      </w:r>
      <w:r>
        <w:rPr>
          <w:color w:val="231F20"/>
          <w:spacing w:val="7"/>
          <w:sz w:val="14"/>
        </w:rPr>
        <w:t xml:space="preserve"> </w:t>
      </w:r>
      <w:r>
        <w:rPr>
          <w:color w:val="231F20"/>
          <w:sz w:val="14"/>
        </w:rPr>
        <w:t>not</w:t>
      </w:r>
      <w:r>
        <w:rPr>
          <w:color w:val="231F20"/>
          <w:spacing w:val="7"/>
          <w:sz w:val="14"/>
        </w:rPr>
        <w:t xml:space="preserve"> </w:t>
      </w:r>
      <w:r>
        <w:rPr>
          <w:color w:val="231F20"/>
          <w:sz w:val="14"/>
        </w:rPr>
        <w:t>possible</w:t>
      </w:r>
      <w:r>
        <w:rPr>
          <w:color w:val="231F20"/>
          <w:spacing w:val="6"/>
          <w:sz w:val="14"/>
        </w:rPr>
        <w:t xml:space="preserve"> </w:t>
      </w:r>
      <w:r>
        <w:rPr>
          <w:color w:val="231F20"/>
          <w:sz w:val="14"/>
        </w:rPr>
        <w:t>to</w:t>
      </w:r>
      <w:r>
        <w:rPr>
          <w:color w:val="231F20"/>
          <w:spacing w:val="5"/>
          <w:sz w:val="14"/>
        </w:rPr>
        <w:t xml:space="preserve"> </w:t>
      </w:r>
      <w:r>
        <w:rPr>
          <w:color w:val="231F20"/>
          <w:sz w:val="14"/>
        </w:rPr>
        <w:t>reliably</w:t>
      </w:r>
      <w:r>
        <w:rPr>
          <w:color w:val="231F20"/>
          <w:spacing w:val="7"/>
          <w:sz w:val="14"/>
        </w:rPr>
        <w:t xml:space="preserve"> </w:t>
      </w:r>
      <w:r>
        <w:rPr>
          <w:color w:val="231F20"/>
          <w:sz w:val="14"/>
        </w:rPr>
        <w:t>determine</w:t>
      </w:r>
      <w:r>
        <w:rPr>
          <w:color w:val="231F20"/>
          <w:spacing w:val="6"/>
          <w:sz w:val="14"/>
        </w:rPr>
        <w:t xml:space="preserve"> </w:t>
      </w:r>
      <w:r>
        <w:rPr>
          <w:color w:val="231F20"/>
          <w:sz w:val="14"/>
        </w:rPr>
        <w:t>the</w:t>
      </w:r>
      <w:r>
        <w:rPr>
          <w:color w:val="231F20"/>
          <w:spacing w:val="6"/>
          <w:sz w:val="14"/>
        </w:rPr>
        <w:t xml:space="preserve"> </w:t>
      </w:r>
      <w:r>
        <w:rPr>
          <w:color w:val="231F20"/>
          <w:sz w:val="14"/>
        </w:rPr>
        <w:t>supply</w:t>
      </w:r>
      <w:r>
        <w:rPr>
          <w:color w:val="231F20"/>
          <w:spacing w:val="7"/>
          <w:sz w:val="14"/>
        </w:rPr>
        <w:t xml:space="preserve"> </w:t>
      </w:r>
      <w:r>
        <w:rPr>
          <w:color w:val="231F20"/>
          <w:sz w:val="14"/>
        </w:rPr>
        <w:t>specifically</w:t>
      </w:r>
      <w:r>
        <w:rPr>
          <w:color w:val="231F20"/>
          <w:spacing w:val="7"/>
          <w:sz w:val="14"/>
        </w:rPr>
        <w:t xml:space="preserve"> </w:t>
      </w:r>
      <w:r>
        <w:rPr>
          <w:color w:val="231F20"/>
          <w:sz w:val="14"/>
        </w:rPr>
        <w:t>available</w:t>
      </w:r>
      <w:r>
        <w:rPr>
          <w:color w:val="231F20"/>
          <w:spacing w:val="5"/>
          <w:sz w:val="14"/>
        </w:rPr>
        <w:t xml:space="preserve"> </w:t>
      </w:r>
      <w:r>
        <w:rPr>
          <w:color w:val="231F20"/>
          <w:sz w:val="14"/>
        </w:rPr>
        <w:t>for</w:t>
      </w:r>
      <w:r>
        <w:rPr>
          <w:color w:val="231F20"/>
          <w:spacing w:val="7"/>
          <w:sz w:val="14"/>
        </w:rPr>
        <w:t xml:space="preserve"> </w:t>
      </w:r>
      <w:r>
        <w:rPr>
          <w:color w:val="231F20"/>
          <w:sz w:val="14"/>
        </w:rPr>
        <w:t>the</w:t>
      </w:r>
      <w:r>
        <w:rPr>
          <w:color w:val="231F20"/>
          <w:spacing w:val="6"/>
          <w:sz w:val="14"/>
        </w:rPr>
        <w:t xml:space="preserve"> </w:t>
      </w:r>
      <w:r>
        <w:rPr>
          <w:color w:val="231F20"/>
          <w:sz w:val="14"/>
        </w:rPr>
        <w:t>Lindsay,</w:t>
      </w:r>
      <w:r>
        <w:rPr>
          <w:color w:val="231F20"/>
          <w:spacing w:val="7"/>
          <w:sz w:val="14"/>
        </w:rPr>
        <w:t xml:space="preserve"> </w:t>
      </w:r>
      <w:r>
        <w:rPr>
          <w:color w:val="231F20"/>
          <w:sz w:val="14"/>
        </w:rPr>
        <w:t>Mulcra</w:t>
      </w:r>
      <w:r>
        <w:rPr>
          <w:color w:val="231F20"/>
          <w:spacing w:val="6"/>
          <w:sz w:val="14"/>
        </w:rPr>
        <w:t xml:space="preserve"> </w:t>
      </w:r>
      <w:r>
        <w:rPr>
          <w:color w:val="231F20"/>
          <w:sz w:val="14"/>
        </w:rPr>
        <w:t>and</w:t>
      </w:r>
      <w:r>
        <w:rPr>
          <w:color w:val="231F20"/>
          <w:spacing w:val="6"/>
          <w:sz w:val="14"/>
        </w:rPr>
        <w:t xml:space="preserve"> </w:t>
      </w:r>
      <w:r>
        <w:rPr>
          <w:color w:val="231F20"/>
          <w:sz w:val="14"/>
        </w:rPr>
        <w:t>Wallpolla</w:t>
      </w:r>
      <w:r>
        <w:rPr>
          <w:color w:val="231F20"/>
          <w:spacing w:val="5"/>
          <w:sz w:val="14"/>
        </w:rPr>
        <w:t xml:space="preserve"> </w:t>
      </w:r>
      <w:r>
        <w:rPr>
          <w:color w:val="231F20"/>
          <w:sz w:val="14"/>
        </w:rPr>
        <w:t>islands.</w:t>
      </w:r>
    </w:p>
    <w:p w:rsidR="006A7A3F" w:rsidRDefault="00BC7372">
      <w:pPr>
        <w:pStyle w:val="ListParagraph"/>
        <w:numPr>
          <w:ilvl w:val="0"/>
          <w:numId w:val="275"/>
        </w:numPr>
        <w:tabs>
          <w:tab w:val="left" w:pos="324"/>
        </w:tabs>
        <w:spacing w:before="56" w:line="266" w:lineRule="auto"/>
        <w:ind w:right="692"/>
        <w:rPr>
          <w:sz w:val="14"/>
        </w:rPr>
      </w:pPr>
      <w:r>
        <w:rPr>
          <w:color w:val="231F20"/>
          <w:sz w:val="14"/>
        </w:rPr>
        <w:t xml:space="preserve">These estimates include environmental use for Mullaroo Creek, Lindsay River and the lock 7 weir pool. Environmental water used at these sites may be accounted for in </w:t>
      </w:r>
      <w:r>
        <w:rPr>
          <w:color w:val="231F20"/>
          <w:spacing w:val="2"/>
          <w:sz w:val="14"/>
        </w:rPr>
        <w:t xml:space="preserve">Victoria </w:t>
      </w:r>
      <w:r>
        <w:rPr>
          <w:color w:val="231F20"/>
          <w:sz w:val="14"/>
        </w:rPr>
        <w:t>and New South</w:t>
      </w:r>
      <w:r>
        <w:rPr>
          <w:color w:val="231F20"/>
          <w:spacing w:val="-7"/>
          <w:sz w:val="14"/>
        </w:rPr>
        <w:t xml:space="preserve"> </w:t>
      </w:r>
      <w:r>
        <w:rPr>
          <w:color w:val="231F20"/>
          <w:sz w:val="14"/>
        </w:rPr>
        <w:t>Wales.</w:t>
      </w:r>
    </w:p>
    <w:p w:rsidR="006A7A3F" w:rsidRDefault="00BC7372">
      <w:pPr>
        <w:pStyle w:val="ListParagraph"/>
        <w:numPr>
          <w:ilvl w:val="0"/>
          <w:numId w:val="275"/>
        </w:numPr>
        <w:tabs>
          <w:tab w:val="left" w:pos="324"/>
        </w:tabs>
        <w:spacing w:before="55" w:line="266" w:lineRule="auto"/>
        <w:ind w:right="258"/>
        <w:rPr>
          <w:sz w:val="14"/>
        </w:rPr>
      </w:pPr>
      <w:r>
        <w:rPr>
          <w:color w:val="231F20"/>
          <w:sz w:val="14"/>
        </w:rPr>
        <w:t xml:space="preserve">These estimates include environmental use for Potterwalkagee Creek, Mulcra Island and the lock 8 weir pool. Environmental water used at these sites may be accounted for in </w:t>
      </w:r>
      <w:r>
        <w:rPr>
          <w:color w:val="231F20"/>
          <w:spacing w:val="2"/>
          <w:sz w:val="14"/>
        </w:rPr>
        <w:t xml:space="preserve">Victoria </w:t>
      </w:r>
      <w:r>
        <w:rPr>
          <w:color w:val="231F20"/>
          <w:sz w:val="14"/>
        </w:rPr>
        <w:t>and New South</w:t>
      </w:r>
      <w:r>
        <w:rPr>
          <w:color w:val="231F20"/>
          <w:spacing w:val="-7"/>
          <w:sz w:val="14"/>
        </w:rPr>
        <w:t xml:space="preserve"> </w:t>
      </w:r>
      <w:r>
        <w:rPr>
          <w:color w:val="231F20"/>
          <w:sz w:val="14"/>
        </w:rPr>
        <w:t>Wales.</w:t>
      </w:r>
    </w:p>
    <w:p w:rsidR="006A7A3F" w:rsidRDefault="00BC7372">
      <w:pPr>
        <w:pStyle w:val="ListParagraph"/>
        <w:numPr>
          <w:ilvl w:val="0"/>
          <w:numId w:val="275"/>
        </w:numPr>
        <w:tabs>
          <w:tab w:val="left" w:pos="324"/>
        </w:tabs>
        <w:spacing w:before="55"/>
        <w:rPr>
          <w:sz w:val="14"/>
        </w:rPr>
      </w:pPr>
      <w:r>
        <w:rPr>
          <w:color w:val="231F20"/>
          <w:sz w:val="14"/>
        </w:rPr>
        <w:t>Environmental water requirements for tier 2 actions are additional to tier 1</w:t>
      </w:r>
      <w:r>
        <w:rPr>
          <w:color w:val="231F20"/>
          <w:spacing w:val="3"/>
          <w:sz w:val="14"/>
        </w:rPr>
        <w:t xml:space="preserve"> </w:t>
      </w:r>
      <w:r>
        <w:rPr>
          <w:color w:val="231F20"/>
          <w:sz w:val="14"/>
        </w:rPr>
        <w:t>requirements.</w:t>
      </w:r>
    </w:p>
    <w:p w:rsidR="00843FAE" w:rsidRDefault="00843FAE">
      <w:pPr>
        <w:rPr>
          <w:sz w:val="13"/>
          <w:szCs w:val="20"/>
        </w:rPr>
      </w:pPr>
      <w:r>
        <w:rPr>
          <w:sz w:val="13"/>
        </w:rPr>
        <w:br w:type="page"/>
      </w:r>
    </w:p>
    <w:p w:rsidR="006A7A3F" w:rsidRDefault="006A7A3F">
      <w:pPr>
        <w:pStyle w:val="BodyText"/>
        <w:spacing w:before="4"/>
        <w:ind w:left="0"/>
        <w:rPr>
          <w:sz w:val="13"/>
        </w:rPr>
      </w:pPr>
    </w:p>
    <w:p w:rsidR="006A7A3F" w:rsidRDefault="00BC7372">
      <w:pPr>
        <w:pStyle w:val="Heading1"/>
        <w:numPr>
          <w:ilvl w:val="1"/>
          <w:numId w:val="577"/>
        </w:numPr>
        <w:tabs>
          <w:tab w:val="left" w:pos="911"/>
        </w:tabs>
      </w:pPr>
      <w:r>
        <w:rPr>
          <w:color w:val="231F20"/>
        </w:rPr>
        <w:t>Ovens system</w:t>
      </w:r>
    </w:p>
    <w:p w:rsidR="006A7A3F" w:rsidRPr="00843FAE" w:rsidRDefault="00BC7372">
      <w:pPr>
        <w:spacing w:before="256"/>
        <w:ind w:left="210"/>
        <w:rPr>
          <w:b/>
          <w:sz w:val="24"/>
          <w:szCs w:val="24"/>
        </w:rPr>
      </w:pPr>
      <w:r w:rsidRPr="00843FAE">
        <w:rPr>
          <w:b/>
          <w:color w:val="231F20"/>
          <w:sz w:val="24"/>
          <w:szCs w:val="24"/>
        </w:rPr>
        <w:t>Did you know...?</w:t>
      </w:r>
    </w:p>
    <w:p w:rsidR="006A7A3F" w:rsidRDefault="00BC7372">
      <w:pPr>
        <w:pStyle w:val="BodyText"/>
        <w:spacing w:before="67" w:line="249" w:lineRule="auto"/>
        <w:ind w:right="297"/>
      </w:pPr>
      <w:r>
        <w:rPr>
          <w:color w:val="231F20"/>
        </w:rPr>
        <w:t>In June 2019 and March 2020, 39 ML of water owned by Taungurung Land and Waters Council was delivered as an environmental flow down the King River. The flows have contributed to healing Country by providing a boost to the health and productivity of the waterway.</w:t>
      </w:r>
    </w:p>
    <w:p w:rsidR="006A7A3F" w:rsidRDefault="00BC7372" w:rsidP="00093C34">
      <w:pPr>
        <w:pStyle w:val="BodyText"/>
        <w:spacing w:before="120" w:after="120"/>
        <w:ind w:left="0"/>
        <w:rPr>
          <w:sz w:val="13"/>
        </w:rPr>
      </w:pPr>
      <w:r>
        <w:rPr>
          <w:noProof/>
        </w:rPr>
        <w:drawing>
          <wp:inline distT="0" distB="0" distL="0" distR="0">
            <wp:extent cx="2959608" cy="1420368"/>
            <wp:effectExtent l="0" t="0" r="0" b="2540"/>
            <wp:docPr id="2043" name="image44.jpeg" descr="The pie chart shows the proportions of water entitlements in the Ovens system that were held by private users (86%), water authorities (0.2%) and environmental water holders (14%)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image4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59608" cy="1420368"/>
                    </a:xfrm>
                    <a:prstGeom prst="rect">
                      <a:avLst/>
                    </a:prstGeom>
                  </pic:spPr>
                </pic:pic>
              </a:graphicData>
            </a:graphic>
          </wp:inline>
        </w:drawing>
      </w:r>
    </w:p>
    <w:p w:rsidR="006A7A3F" w:rsidRDefault="006A7A3F">
      <w:pPr>
        <w:pStyle w:val="BodyText"/>
        <w:spacing w:before="8"/>
        <w:ind w:left="0"/>
        <w:rPr>
          <w:sz w:val="31"/>
        </w:rPr>
      </w:pPr>
    </w:p>
    <w:p w:rsidR="006A7A3F" w:rsidRDefault="00BC7372">
      <w:pPr>
        <w:pStyle w:val="Heading7"/>
        <w:spacing w:line="249" w:lineRule="auto"/>
        <w:ind w:right="1244"/>
      </w:pPr>
      <w:r>
        <w:rPr>
          <w:color w:val="231F20"/>
        </w:rPr>
        <w:t>Proportion of water entitlements in the Ovens basin held by private users, water corporations or environmental water holders at 30 June 2019.</w:t>
      </w:r>
    </w:p>
    <w:p w:rsidR="006A7A3F" w:rsidRPr="00843FAE" w:rsidRDefault="00BC7372">
      <w:pPr>
        <w:spacing w:before="181"/>
        <w:ind w:left="210"/>
        <w:rPr>
          <w:b/>
          <w:sz w:val="24"/>
          <w:szCs w:val="24"/>
        </w:rPr>
      </w:pPr>
      <w:r w:rsidRPr="00843FAE">
        <w:rPr>
          <w:b/>
          <w:color w:val="231F20"/>
          <w:sz w:val="24"/>
          <w:szCs w:val="24"/>
        </w:rPr>
        <w:t>System overview</w:t>
      </w:r>
    </w:p>
    <w:p w:rsidR="006A7A3F" w:rsidRDefault="00BC7372">
      <w:pPr>
        <w:spacing w:before="99" w:line="276" w:lineRule="auto"/>
        <w:ind w:left="210" w:right="238"/>
      </w:pPr>
      <w:r>
        <w:rPr>
          <w:color w:val="231F20"/>
        </w:rPr>
        <w:t>The Ovens River rises in the steep, forested mountains of the Great Dividing Range near Mount Hotham and flows about 150 km to join the Murray River in the backwaters of Lake Mulwala. The system contains two small water storages: Lake Buffalo on the Buffalo River and Lake William Hovell on the King River. The regulated reaches of the Ovens system include the Buffalo and King rivers below these storages and the Ovens River from its confluence with the Buffalo River to the Murray River.</w:t>
      </w:r>
    </w:p>
    <w:p w:rsidR="006A7A3F" w:rsidRDefault="006A7A3F">
      <w:pPr>
        <w:pStyle w:val="BodyText"/>
        <w:spacing w:before="6"/>
        <w:ind w:left="0"/>
        <w:rPr>
          <w:sz w:val="21"/>
        </w:rPr>
      </w:pPr>
    </w:p>
    <w:p w:rsidR="006A7A3F" w:rsidRDefault="00BC7372">
      <w:pPr>
        <w:pStyle w:val="BodyText"/>
        <w:spacing w:before="0" w:line="249" w:lineRule="auto"/>
        <w:ind w:right="251"/>
      </w:pPr>
      <w:r>
        <w:rPr>
          <w:color w:val="231F20"/>
        </w:rPr>
        <w:t>As its storages are quite small and spill regularly, the Ovens system maintains a large proportion of its natural flow regime, particularly in winter/spring. However, the storages and licensed water extractions throughout the system can restrict flow during low flow periods, and parts of the system can become quite flow stressed during summer and autumn.</w:t>
      </w:r>
    </w:p>
    <w:p w:rsidR="006A7A3F" w:rsidRDefault="00BC7372">
      <w:pPr>
        <w:pStyle w:val="BodyText"/>
        <w:spacing w:before="173" w:line="249" w:lineRule="auto"/>
        <w:ind w:right="208"/>
      </w:pPr>
      <w:r>
        <w:rPr>
          <w:color w:val="231F20"/>
        </w:rPr>
        <w:t>The Ovens River flows into Lake Mulwala on the Murray River, the largest weir pool on the Murray regulated system. Ovens River flows contribute to the reliability and variability of flows in the Murray River and support many downstream uses including irrigation, urban supply and watering of iconic floodplain sites (such as Barmah Forest).</w:t>
      </w:r>
    </w:p>
    <w:p w:rsidR="006A7A3F" w:rsidRDefault="00BC7372" w:rsidP="00316FE5">
      <w:pPr>
        <w:pStyle w:val="BodyText"/>
        <w:spacing w:before="173" w:line="249" w:lineRule="auto"/>
        <w:ind w:right="241"/>
      </w:pPr>
      <w:r>
        <w:rPr>
          <w:color w:val="231F20"/>
        </w:rPr>
        <w:t>Water for the environment is held in Lake Buffalo and in Lake William Hovell and can be released when the storages are not spilling. Five reaches in the Ovens system can benefit from releases of water for the environment. While all are important, there is a relatively small volume (123 ML) of water available, and it is insufficient to meet most of the environmental flow objectives. The available water is used selectively to deliver the greatest possible environmental benefit. Water for the environment is most commonly used in the Ovens system to deliver critical flow events in reaches immediately below the two main storages, or it is used in conjunction with operational</w:t>
      </w:r>
      <w:r w:rsidR="00316FE5">
        <w:rPr>
          <w:color w:val="231F20"/>
        </w:rPr>
        <w:t xml:space="preserve"> </w:t>
      </w:r>
      <w:r>
        <w:rPr>
          <w:color w:val="231F20"/>
        </w:rPr>
        <w:t>water releases to influence flow in the lower Ovens River. It is also used to fill and top up Mullinmur Wetland in Wangaratta.</w:t>
      </w:r>
    </w:p>
    <w:p w:rsidR="00843FAE" w:rsidRDefault="00843FAE">
      <w:pPr>
        <w:rPr>
          <w:rFonts w:ascii="Helvetica Neue LT Std 75"/>
          <w:b/>
          <w:color w:val="231F20"/>
          <w:sz w:val="19"/>
        </w:rPr>
      </w:pPr>
      <w:r>
        <w:rPr>
          <w:rFonts w:ascii="Helvetica Neue LT Std 75"/>
          <w:b/>
          <w:color w:val="231F20"/>
          <w:sz w:val="19"/>
        </w:rPr>
        <w:br w:type="page"/>
      </w:r>
    </w:p>
    <w:p w:rsidR="006A7A3F" w:rsidRDefault="00BC7372">
      <w:pPr>
        <w:spacing w:before="45"/>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7" w:line="249" w:lineRule="auto"/>
        <w:ind w:right="318"/>
      </w:pPr>
      <w:r>
        <w:rPr>
          <w:color w:val="231F20"/>
        </w:rPr>
        <w:t>The diverse aquatic habitat and abundant food resources associated with the Ovens system support a wide range of native fish species including Murray cod, trout cod, golden perch and unspecked hardyhead. The Buffalo River provides valuable habitat for large-bodied fish species during part of their breeding cycle, while trout cod have a large range within the system and are found as far up the King River as Whitfield. A project to recover trout cod populations in the Ovens system has been successful, and efforts to reintroduce Macquarie perch are continuing.</w:t>
      </w:r>
    </w:p>
    <w:p w:rsidR="006A7A3F" w:rsidRDefault="00BC7372">
      <w:pPr>
        <w:pStyle w:val="BodyText"/>
        <w:spacing w:before="175" w:line="249" w:lineRule="auto"/>
        <w:ind w:right="297"/>
      </w:pPr>
      <w:r>
        <w:rPr>
          <w:color w:val="231F20"/>
        </w:rPr>
        <w:t>Frogs (such as the giant banjo frog and growling grass frog) are abundant in the lower reaches and associated wetlands of the Ovens River and in the King River above Cheshunt. The lower Ovens wetland complex contains over 1,800 wetlands, is listed as nationally significant and is home to a variety of waterbirds including egrets, herons, cormorants and bitterns. The streamside zones of river channels throughout the Ovens system support some of Victoria’s healthiest river red gum forests and woodlands, while the wetlands support a variety of aquatic and semi-aquatic vegetation communities.</w:t>
      </w:r>
    </w:p>
    <w:p w:rsidR="006A7A3F" w:rsidRDefault="00BC7372">
      <w:pPr>
        <w:pStyle w:val="BodyText"/>
        <w:spacing w:before="175" w:line="249" w:lineRule="auto"/>
        <w:ind w:right="216"/>
      </w:pPr>
      <w:r>
        <w:rPr>
          <w:color w:val="231F20"/>
        </w:rPr>
        <w:t>Water for the environment was delivered to Mullinmur Wetland at Wangaratta for the first time in 2019–20. This site has been the focus of several environmental improvement projects in recent years. Specific management actions include carp removal, a revegetation program and a project that started in December 2019 to determine whether the wetland can support a sustainable brood stock population of native freshwater catfish. The Arthur Rylah Institute translocated 60 freshwater catfish into Mullinmur Wetland in December 2019, and ongoing monitoring throughout 2020–21 will assess the viability of the population.</w:t>
      </w:r>
    </w:p>
    <w:p w:rsidR="006A7A3F" w:rsidRDefault="00BC7372">
      <w:pPr>
        <w:spacing w:before="184"/>
        <w:ind w:left="210"/>
        <w:rPr>
          <w:rFonts w:ascii="Helvetica Neue LT Std 75"/>
          <w:b/>
          <w:sz w:val="19"/>
        </w:rPr>
      </w:pPr>
      <w:r>
        <w:rPr>
          <w:rFonts w:ascii="Helvetica Neue LT Std 75"/>
          <w:b/>
          <w:color w:val="231F20"/>
          <w:sz w:val="19"/>
        </w:rPr>
        <w:t>Environmental watering objectives in the Ovens System</w:t>
      </w:r>
    </w:p>
    <w:p w:rsidR="006A7A3F" w:rsidRDefault="006A7A3F">
      <w:pPr>
        <w:pStyle w:val="BodyText"/>
        <w:spacing w:before="11"/>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045"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ind w:left="0"/>
              <w:rPr>
                <w:rFonts w:ascii="Helvetica Neue LT Std 75"/>
                <w:b/>
                <w:sz w:val="16"/>
              </w:rPr>
            </w:pPr>
          </w:p>
          <w:p w:rsidR="006A7A3F" w:rsidRDefault="00BC7372">
            <w:pPr>
              <w:pStyle w:val="TableParagraph"/>
              <w:spacing w:line="261" w:lineRule="auto"/>
              <w:ind w:left="118" w:right="448"/>
              <w:rPr>
                <w:sz w:val="16"/>
              </w:rPr>
            </w:pPr>
            <w:r>
              <w:rPr>
                <w:color w:val="231F20"/>
                <w:sz w:val="16"/>
              </w:rPr>
              <w:t>Maintain the size and distribution of native fish populations</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047"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09"/>
              <w:rPr>
                <w:sz w:val="16"/>
              </w:rPr>
            </w:pPr>
            <w:r>
              <w:rPr>
                <w:color w:val="231F20"/>
                <w:sz w:val="16"/>
              </w:rPr>
              <w:t>Maintain the form of the riverbank and channel and ensure river bed surfaces are in suitable condition to support all stream life</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04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598"/>
              <w:rPr>
                <w:sz w:val="16"/>
              </w:rPr>
            </w:pPr>
            <w:r>
              <w:rPr>
                <w:color w:val="231F20"/>
                <w:sz w:val="16"/>
              </w:rPr>
              <w:t>Maintain the condition and extent of wetland vegetation communities</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051"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22.jpeg"/>
                          <pic:cNvPicPr/>
                        </pic:nvPicPr>
                        <pic:blipFill>
                          <a:blip r:embed="rId34"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403"/>
              <w:rPr>
                <w:sz w:val="16"/>
              </w:rPr>
            </w:pPr>
            <w:r>
              <w:rPr>
                <w:color w:val="231F20"/>
                <w:sz w:val="16"/>
              </w:rPr>
              <w:t>Maintain an adequate abundance and diversity of waterbugs, to support river food webs and associated ecosystem processes</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05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18"/>
              <w:rPr>
                <w:sz w:val="16"/>
              </w:rPr>
            </w:pPr>
            <w:r>
              <w:rPr>
                <w:color w:val="231F20"/>
                <w:sz w:val="16"/>
              </w:rPr>
              <w:t>Maintain water quality for all river life</w:t>
            </w:r>
          </w:p>
        </w:tc>
      </w:tr>
    </w:tbl>
    <w:p w:rsidR="00843FAE" w:rsidRDefault="00843FAE">
      <w:pPr>
        <w:spacing w:before="152"/>
        <w:ind w:left="210"/>
        <w:rPr>
          <w:rFonts w:ascii="Helvetica Neue LT Std 75"/>
          <w:b/>
          <w:color w:val="231F20"/>
          <w:sz w:val="19"/>
        </w:rPr>
      </w:pPr>
    </w:p>
    <w:p w:rsidR="00843FAE" w:rsidRDefault="00843FAE">
      <w:pPr>
        <w:rPr>
          <w:rFonts w:ascii="Helvetica Neue LT Std 75"/>
          <w:b/>
          <w:color w:val="231F20"/>
          <w:sz w:val="19"/>
        </w:rPr>
      </w:pPr>
      <w:r>
        <w:rPr>
          <w:rFonts w:ascii="Helvetica Neue LT Std 75"/>
          <w:b/>
          <w:color w:val="231F20"/>
          <w:sz w:val="19"/>
        </w:rPr>
        <w:br w:type="page"/>
      </w:r>
    </w:p>
    <w:p w:rsidR="006A7A3F" w:rsidRDefault="00BC7372">
      <w:pPr>
        <w:spacing w:before="15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7" w:line="249" w:lineRule="auto"/>
        <w:ind w:right="336"/>
      </w:pPr>
      <w:r>
        <w:rPr>
          <w:color w:val="231F20"/>
        </w:rPr>
        <w:t>North East CMA has consulted with Taungurung Land and Waters Council and Yorta Yorta Nation Aboriginal Corporation in environmental water planning for the Ovens system. The environmental and ecological objectives of the proposals were supported and align with the broad values of these Traditional Owner groups. Waterway managers are seeking opportunities to increase the involvement of Traditional Owners in environmental water planning and management. Where Traditional Owners are more deeply involved in the planning and/or delivery of environmental flows for a particular site, their contribution is acknowledged in 5.3.1 with an icon.</w:t>
      </w:r>
    </w:p>
    <w:p w:rsidR="006A7A3F" w:rsidRDefault="006A7A3F">
      <w:pPr>
        <w:pStyle w:val="BodyText"/>
        <w:spacing w:before="7" w:after="1"/>
        <w:ind w:left="0"/>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61"/>
      </w:tblGrid>
      <w:tr w:rsidR="006A7A3F">
        <w:trPr>
          <w:trHeight w:val="846"/>
        </w:trPr>
        <w:tc>
          <w:tcPr>
            <w:tcW w:w="789" w:type="dxa"/>
            <w:tcBorders>
              <w:top w:val="single" w:sz="8" w:space="0" w:color="FFFFFF"/>
            </w:tcBorders>
            <w:shd w:val="clear" w:color="auto" w:fill="E6E7E8"/>
          </w:tcPr>
          <w:p w:rsidR="006A7A3F" w:rsidRDefault="006A7A3F">
            <w:pPr>
              <w:pStyle w:val="TableParagraph"/>
              <w:spacing w:before="10"/>
              <w:ind w:left="0"/>
              <w:rPr>
                <w:sz w:val="13"/>
              </w:rPr>
            </w:pPr>
          </w:p>
          <w:p w:rsidR="006A7A3F" w:rsidRDefault="00BC7372">
            <w:pPr>
              <w:pStyle w:val="TableParagraph"/>
              <w:ind w:left="180"/>
              <w:rPr>
                <w:sz w:val="20"/>
              </w:rPr>
            </w:pPr>
            <w:r>
              <w:rPr>
                <w:noProof/>
                <w:sz w:val="20"/>
              </w:rPr>
              <w:drawing>
                <wp:inline distT="0" distB="0" distL="0" distR="0">
                  <wp:extent cx="313943" cy="313944"/>
                  <wp:effectExtent l="0" t="0" r="0" b="0"/>
                  <wp:docPr id="2055"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43.jpeg"/>
                          <pic:cNvPicPr/>
                        </pic:nvPicPr>
                        <pic:blipFill>
                          <a:blip r:embed="rId55" cstate="print"/>
                          <a:stretch>
                            <a:fillRect/>
                          </a:stretch>
                        </pic:blipFill>
                        <pic:spPr>
                          <a:xfrm>
                            <a:off x="0" y="0"/>
                            <a:ext cx="313943" cy="313944"/>
                          </a:xfrm>
                          <a:prstGeom prst="rect">
                            <a:avLst/>
                          </a:prstGeom>
                        </pic:spPr>
                      </pic:pic>
                    </a:graphicData>
                  </a:graphic>
                </wp:inline>
              </w:drawing>
            </w:r>
          </w:p>
        </w:tc>
        <w:tc>
          <w:tcPr>
            <w:tcW w:w="3861" w:type="dxa"/>
            <w:tcBorders>
              <w:top w:val="single" w:sz="8" w:space="0" w:color="FFFFFF"/>
            </w:tcBorders>
            <w:shd w:val="clear" w:color="auto" w:fill="E6E7E8"/>
          </w:tcPr>
          <w:p w:rsidR="006A7A3F" w:rsidRDefault="00BC7372">
            <w:pPr>
              <w:pStyle w:val="TableParagraph"/>
              <w:spacing w:before="126" w:line="261" w:lineRule="auto"/>
              <w:ind w:left="118" w:right="63"/>
              <w:rPr>
                <w:sz w:val="16"/>
              </w:rPr>
            </w:pPr>
            <w:r>
              <w:rPr>
                <w:color w:val="231F20"/>
                <w:sz w:val="16"/>
              </w:rPr>
              <w:t>Watering planned and/or delivered in partnership with Traditional Owners to support Aboriginal cultural values and uses</w:t>
            </w:r>
          </w:p>
        </w:tc>
      </w:tr>
    </w:tbl>
    <w:p w:rsidR="006A7A3F" w:rsidRDefault="00BC7372">
      <w:pPr>
        <w:pStyle w:val="BodyText"/>
        <w:spacing w:before="142" w:line="249" w:lineRule="auto"/>
        <w:ind w:right="211"/>
      </w:pPr>
      <w:r>
        <w:rPr>
          <w:color w:val="231F20"/>
          <w:spacing w:val="-4"/>
        </w:rPr>
        <w:t xml:space="preserve">Taungurung </w:t>
      </w:r>
      <w:r>
        <w:rPr>
          <w:color w:val="231F20"/>
        </w:rPr>
        <w:t xml:space="preserve">Land and </w:t>
      </w:r>
      <w:r>
        <w:rPr>
          <w:color w:val="231F20"/>
          <w:spacing w:val="-2"/>
        </w:rPr>
        <w:t xml:space="preserve">Waters </w:t>
      </w:r>
      <w:r>
        <w:rPr>
          <w:color w:val="231F20"/>
        </w:rPr>
        <w:t xml:space="preserve">Council may consider using their water entitlement in the King River system to support environmental objectives as part of their goal of healing </w:t>
      </w:r>
      <w:r>
        <w:rPr>
          <w:color w:val="231F20"/>
          <w:spacing w:val="-3"/>
        </w:rPr>
        <w:t xml:space="preserve">Country. </w:t>
      </w:r>
      <w:r>
        <w:rPr>
          <w:color w:val="231F20"/>
          <w:spacing w:val="-4"/>
        </w:rPr>
        <w:t xml:space="preserve">Taungurung </w:t>
      </w:r>
      <w:r>
        <w:rPr>
          <w:color w:val="231F20"/>
        </w:rPr>
        <w:t xml:space="preserve">Land and </w:t>
      </w:r>
      <w:r>
        <w:rPr>
          <w:color w:val="231F20"/>
          <w:spacing w:val="-2"/>
        </w:rPr>
        <w:t xml:space="preserve">Waters </w:t>
      </w:r>
      <w:r>
        <w:rPr>
          <w:color w:val="231F20"/>
        </w:rPr>
        <w:t xml:space="preserve">Council’s 39 ML of allocation has been released from Lake William Hovell twice previously as an environmental flow in partnership with North East CMA, Goulburn-Murray </w:t>
      </w:r>
      <w:r>
        <w:rPr>
          <w:color w:val="231F20"/>
          <w:spacing w:val="-3"/>
        </w:rPr>
        <w:t xml:space="preserve">Water </w:t>
      </w:r>
      <w:r>
        <w:rPr>
          <w:color w:val="231F20"/>
        </w:rPr>
        <w:t xml:space="preserve">and the VEWH to provide additional water to the King River and assist in healing </w:t>
      </w:r>
      <w:r>
        <w:rPr>
          <w:color w:val="231F20"/>
          <w:spacing w:val="-3"/>
        </w:rPr>
        <w:t xml:space="preserve">Country. </w:t>
      </w:r>
      <w:r>
        <w:rPr>
          <w:color w:val="231F20"/>
        </w:rPr>
        <w:t>The flow provided a small variation within the water level to inundate new habitat for instream biota (fish and macroinvertebrates), allowing them to move more freely and find new sources of food.</w:t>
      </w:r>
    </w:p>
    <w:p w:rsidR="006A7A3F" w:rsidRDefault="00BC7372">
      <w:pPr>
        <w:spacing w:before="185"/>
        <w:ind w:left="210"/>
        <w:rPr>
          <w:rFonts w:ascii="Helvetica Neue LT Std 75"/>
          <w:b/>
          <w:sz w:val="19"/>
        </w:rPr>
      </w:pPr>
      <w:r>
        <w:rPr>
          <w:rFonts w:ascii="Helvetica Neue LT Std 75"/>
          <w:b/>
          <w:color w:val="231F20"/>
          <w:sz w:val="19"/>
        </w:rPr>
        <w:t>Social, recreational and economic values and uses</w:t>
      </w:r>
    </w:p>
    <w:p w:rsidR="006A7A3F" w:rsidRDefault="00BC7372" w:rsidP="00843FAE">
      <w:pPr>
        <w:pStyle w:val="BodyText"/>
        <w:spacing w:before="68"/>
      </w:pPr>
      <w:r>
        <w:rPr>
          <w:color w:val="231F20"/>
        </w:rPr>
        <w:t>In planning the potential watering actions in Table 5.3.1, North East CMA considered how environmental flows</w:t>
      </w:r>
      <w:r w:rsidR="00843FAE">
        <w:t xml:space="preserve"> </w:t>
      </w:r>
      <w:r>
        <w:rPr>
          <w:color w:val="231F20"/>
        </w:rPr>
        <w:t>could support values and uses including:</w:t>
      </w:r>
    </w:p>
    <w:p w:rsidR="006A7A3F" w:rsidRDefault="00BC7372" w:rsidP="009B6917">
      <w:pPr>
        <w:pStyle w:val="ListParagraph"/>
        <w:numPr>
          <w:ilvl w:val="0"/>
          <w:numId w:val="1419"/>
        </w:numPr>
        <w:tabs>
          <w:tab w:val="left" w:pos="493"/>
          <w:tab w:val="left" w:pos="494"/>
        </w:tabs>
        <w:spacing w:before="124"/>
        <w:ind w:hanging="281"/>
        <w:rPr>
          <w:sz w:val="20"/>
        </w:rPr>
      </w:pPr>
      <w:r>
        <w:rPr>
          <w:color w:val="231F20"/>
          <w:sz w:val="20"/>
        </w:rPr>
        <w:t>water-based recreation (such as boating and</w:t>
      </w:r>
      <w:r>
        <w:rPr>
          <w:color w:val="231F20"/>
          <w:spacing w:val="-6"/>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w:t>
      </w:r>
      <w:r>
        <w:rPr>
          <w:color w:val="231F20"/>
          <w:spacing w:val="-4"/>
          <w:sz w:val="20"/>
        </w:rPr>
        <w:t xml:space="preserve"> </w:t>
      </w:r>
      <w:r>
        <w:rPr>
          <w:color w:val="231F20"/>
          <w:sz w:val="20"/>
        </w:rPr>
        <w:t>camping)</w:t>
      </w:r>
    </w:p>
    <w:p w:rsidR="006A7A3F" w:rsidRDefault="00BC7372" w:rsidP="009B6917">
      <w:pPr>
        <w:pStyle w:val="ListParagraph"/>
        <w:numPr>
          <w:ilvl w:val="0"/>
          <w:numId w:val="1419"/>
        </w:numPr>
        <w:tabs>
          <w:tab w:val="left" w:pos="493"/>
          <w:tab w:val="left" w:pos="494"/>
        </w:tabs>
        <w:spacing w:line="249" w:lineRule="auto"/>
        <w:ind w:right="361"/>
        <w:rPr>
          <w:sz w:val="20"/>
        </w:rPr>
      </w:pPr>
      <w:r>
        <w:rPr>
          <w:color w:val="231F20"/>
          <w:sz w:val="20"/>
        </w:rPr>
        <w:t>community events and tourism (such as providing a setting for community gatherings and sporting events, and citizen science</w:t>
      </w:r>
      <w:r>
        <w:rPr>
          <w:color w:val="231F20"/>
          <w:spacing w:val="-1"/>
          <w:sz w:val="20"/>
        </w:rPr>
        <w:t xml:space="preserve"> </w:t>
      </w:r>
      <w:r>
        <w:rPr>
          <w:color w:val="231F20"/>
          <w:sz w:val="20"/>
        </w:rPr>
        <w:t>projects)</w:t>
      </w:r>
    </w:p>
    <w:p w:rsidR="006A7A3F" w:rsidRDefault="00BC7372" w:rsidP="009B6917">
      <w:pPr>
        <w:pStyle w:val="ListParagraph"/>
        <w:numPr>
          <w:ilvl w:val="0"/>
          <w:numId w:val="1419"/>
        </w:numPr>
        <w:tabs>
          <w:tab w:val="left" w:pos="493"/>
          <w:tab w:val="left" w:pos="494"/>
        </w:tabs>
        <w:spacing w:before="87"/>
        <w:ind w:hanging="281"/>
        <w:rPr>
          <w:sz w:val="20"/>
        </w:rPr>
      </w:pPr>
      <w:r>
        <w:rPr>
          <w:color w:val="231F20"/>
          <w:sz w:val="20"/>
        </w:rPr>
        <w:t>socio-economic benefits (such as businesses used by</w:t>
      </w:r>
      <w:r>
        <w:rPr>
          <w:color w:val="231F20"/>
          <w:spacing w:val="-8"/>
          <w:sz w:val="20"/>
        </w:rPr>
        <w:t xml:space="preserve"> </w:t>
      </w:r>
      <w:r>
        <w:rPr>
          <w:color w:val="231F20"/>
          <w:sz w:val="20"/>
        </w:rPr>
        <w:t>anglers).</w:t>
      </w:r>
    </w:p>
    <w:p w:rsidR="006A7A3F" w:rsidRDefault="00BC7372">
      <w:pPr>
        <w:pStyle w:val="BodyText"/>
        <w:spacing w:before="180" w:line="249" w:lineRule="auto"/>
        <w:ind w:right="174"/>
      </w:pPr>
      <w:r>
        <w:rPr>
          <w:color w:val="231F20"/>
        </w:rPr>
        <w:t>If the timing or management of planned environmental flows may be modified to align with a community benefit, this is acknowledged in Table 5.3.1 with an icon.</w:t>
      </w:r>
    </w:p>
    <w:p w:rsidR="006A7A3F" w:rsidRDefault="00426F13">
      <w:pPr>
        <w:pStyle w:val="BodyText"/>
        <w:spacing w:before="10"/>
        <w:ind w:left="0"/>
        <w:rPr>
          <w:sz w:val="13"/>
        </w:rPr>
      </w:pPr>
      <w:r>
        <w:rPr>
          <w:noProof/>
        </w:rPr>
        <mc:AlternateContent>
          <mc:Choice Requires="wpg">
            <w:drawing>
              <wp:anchor distT="0" distB="0" distL="0" distR="0" simplePos="0" relativeHeight="251685888" behindDoc="1" locked="0" layoutInCell="1" allowOverlap="1">
                <wp:simplePos x="0" y="0"/>
                <wp:positionH relativeFrom="page">
                  <wp:posOffset>713740</wp:posOffset>
                </wp:positionH>
                <wp:positionV relativeFrom="paragraph">
                  <wp:posOffset>142875</wp:posOffset>
                </wp:positionV>
                <wp:extent cx="2952115" cy="533400"/>
                <wp:effectExtent l="0" t="0" r="0" b="12700"/>
                <wp:wrapTopAndBottom/>
                <wp:docPr id="14"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533400"/>
                          <a:chOff x="850" y="199"/>
                          <a:chExt cx="4649" cy="840"/>
                        </a:xfrm>
                      </wpg:grpSpPr>
                      <wps:wsp>
                        <wps:cNvPr id="16" name="Rectangle 9"/>
                        <wps:cNvSpPr>
                          <a:spLocks/>
                        </wps:cNvSpPr>
                        <wps:spPr bwMode="auto">
                          <a:xfrm>
                            <a:off x="850" y="209"/>
                            <a:ext cx="851" cy="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0"/>
                        <wps:cNvCnPr>
                          <a:cxnSpLocks/>
                        </wps:cNvCnPr>
                        <wps:spPr bwMode="auto">
                          <a:xfrm>
                            <a:off x="1701" y="209"/>
                            <a:ext cx="0" cy="830"/>
                          </a:xfrm>
                          <a:prstGeom prst="line">
                            <a:avLst/>
                          </a:prstGeom>
                          <a:noFill/>
                          <a:ln w="13">
                            <a:solidFill>
                              <a:srgbClr val="E6E7E8"/>
                            </a:solidFill>
                            <a:round/>
                            <a:headEnd/>
                            <a:tailEnd/>
                          </a:ln>
                          <a:extLst>
                            <a:ext uri="{909E8E84-426E-40DD-AFC4-6F175D3DCCD1}">
                              <a14:hiddenFill xmlns:a14="http://schemas.microsoft.com/office/drawing/2010/main">
                                <a:noFill/>
                              </a14:hiddenFill>
                            </a:ext>
                          </a:extLst>
                        </wps:spPr>
                        <wps:bodyPr/>
                      </wps:wsp>
                      <wps:wsp>
                        <wps:cNvPr id="20" name="Rectangle 11"/>
                        <wps:cNvSpPr>
                          <a:spLocks/>
                        </wps:cNvSpPr>
                        <wps:spPr bwMode="auto">
                          <a:xfrm>
                            <a:off x="1700" y="209"/>
                            <a:ext cx="3799" cy="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2"/>
                        <wps:cNvSpPr>
                          <a:spLocks/>
                        </wps:cNvSpPr>
                        <wps:spPr bwMode="auto">
                          <a:xfrm>
                            <a:off x="850" y="199"/>
                            <a:ext cx="851"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wps:cNvSpPr>
                        <wps:spPr bwMode="auto">
                          <a:xfrm>
                            <a:off x="1700" y="199"/>
                            <a:ext cx="3799"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4"/>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29" y="379"/>
                            <a:ext cx="494" cy="488"/>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5"/>
                        <wps:cNvSpPr txBox="1">
                          <a:spLocks/>
                        </wps:cNvSpPr>
                        <wps:spPr bwMode="auto">
                          <a:xfrm>
                            <a:off x="850" y="199"/>
                            <a:ext cx="464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A32" w:rsidRDefault="00837A32">
                              <w:pPr>
                                <w:rPr>
                                  <w:sz w:val="18"/>
                                </w:rPr>
                              </w:pPr>
                            </w:p>
                            <w:p w:rsidR="00837A32" w:rsidRDefault="00837A32">
                              <w:pPr>
                                <w:spacing w:before="126"/>
                                <w:ind w:left="907"/>
                                <w:rPr>
                                  <w:sz w:val="16"/>
                                </w:rPr>
                              </w:pPr>
                              <w:r>
                                <w:rPr>
                                  <w:color w:val="231F20"/>
                                  <w:sz w:val="16"/>
                                </w:rPr>
                                <w:t>Watering planned to support angling 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id="Group 8" o:spid="_x0000_s1032" style="position:absolute;margin-left:56.2pt;margin-top:11.25pt;width:232.45pt;height:42pt;z-index:-251630592;mso-wrap-distance-left:0;mso-wrap-distance-right:0;mso-position-horizontal-relative:page" coordorigin="850,199" coordsize="4649,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">
                <v:rect id="Rectangle 9" o:spid="_x0000_s1033" style="position:absolute;left:850;top:209;width:851;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" fillcolor="#e6e7e8" stroked="f">
                  <v:path arrowok="t"/>
                </v:rect>
                <v:line id="Line 10" o:spid="_x0000_s1034" style="position:absolute;visibility:visible;mso-wrap-style:square" from="1701,209" to="1701,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" strokecolor="#e6e7e8" strokeweight="36e-5mm">
                  <o:lock v:ext="edit" shapetype="f"/>
                </v:line>
                <v:rect id="Rectangle 11" o:spid="_x0000_s1035" style="position:absolute;left:1700;top:209;width:379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" fillcolor="#e6e7e8" stroked="f">
                  <v:path arrowok="t"/>
                </v:rect>
                <v:rect id="Rectangle 12" o:spid="_x0000_s1036" style="position:absolute;left:850;top:199;width:8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" stroked="f">
                  <v:path arrowok="t"/>
                </v:rect>
                <v:rect id="Rectangle 13" o:spid="_x0000_s1037" style="position:absolute;left:1700;top:199;width:379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" stroked="f">
                  <v:path arrowok="t"/>
                </v:rect>
                <v:shape id="Picture 14" o:spid="_x0000_s1038" type="#_x0000_t75" style="position:absolute;left:1029;top:379;width:49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">
                  <v:imagedata r:id="rId57" o:title=""/>
                  <o:lock v:ext="edit" aspectratio="f"/>
                </v:shape>
                <v:shape id="Text Box 15" o:spid="_x0000_s1039" type="#_x0000_t202" style="position:absolute;left:850;top:199;width:464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" filled="f" stroked="f">
                  <v:path arrowok="t"/>
                  <v:textbox inset="0,0,0,0">
                    <w:txbxContent>
                      <w:p w:rsidR="00837A32" w:rsidRDefault="00837A32">
                        <w:pPr>
                          <w:rPr>
                            <w:sz w:val="18"/>
                          </w:rPr>
                        </w:pPr>
                      </w:p>
                      <w:p w:rsidR="00837A32" w:rsidRDefault="00837A32">
                        <w:pPr>
                          <w:spacing w:before="126"/>
                          <w:ind w:left="907"/>
                          <w:rPr>
                            <w:sz w:val="16"/>
                          </w:rPr>
                        </w:pPr>
                        <w:r>
                          <w:rPr>
                            <w:color w:val="231F20"/>
                            <w:sz w:val="16"/>
                          </w:rPr>
                          <w:t>Watering planned to support angling activities</w:t>
                        </w:r>
                      </w:p>
                    </w:txbxContent>
                  </v:textbox>
                </v:shape>
                <w10:wrap type="topAndBottom" anchorx="page"/>
              </v:group>
            </w:pict>
          </mc:Fallback>
        </mc:AlternateContent>
      </w:r>
    </w:p>
    <w:p w:rsidR="006A7A3F" w:rsidRDefault="00BC7372">
      <w:pPr>
        <w:pStyle w:val="BodyText"/>
        <w:spacing w:before="112" w:line="249" w:lineRule="auto"/>
        <w:ind w:right="207"/>
      </w:pPr>
      <w:r>
        <w:rPr>
          <w:color w:val="231F20"/>
        </w:rPr>
        <w:t>Environmental water will be used to top up Mullinmur Wetland over summer, support aquatic vegetation and support native catfish which were translocated to the wetland in 2019 from a drying lake in Barham, New South Wales. This will enable the site to be used as a catfish broodstock location for future reintroductions into the region.</w:t>
      </w:r>
    </w:p>
    <w:p w:rsidR="006A7A3F" w:rsidRDefault="00BC7372" w:rsidP="00316FE5">
      <w:pPr>
        <w:pStyle w:val="BodyText"/>
        <w:spacing w:before="173" w:line="249" w:lineRule="auto"/>
        <w:ind w:right="100"/>
      </w:pPr>
      <w:r>
        <w:rPr>
          <w:color w:val="231F20"/>
        </w:rPr>
        <w:t>The water will also support other benefits for the local community, as the site is managed by the Catholic Education Department with support from Wangaratta Landcare and Sustainability Incorporated. It is used as a community</w:t>
      </w:r>
      <w:r w:rsidR="00316FE5">
        <w:rPr>
          <w:color w:val="231F20"/>
        </w:rPr>
        <w:t xml:space="preserve"> </w:t>
      </w:r>
      <w:r>
        <w:rPr>
          <w:color w:val="231F20"/>
        </w:rPr>
        <w:t>and environmental educational site for Galen Catholic College students, young people attending the Borinya Wangaratta Community Partnership and other members of the local community, demonstrating the important ecological functions that wetlands provide and how water for the environment is used to support ecological values.</w:t>
      </w:r>
    </w:p>
    <w:p w:rsidR="00843FAE" w:rsidRDefault="00843FAE">
      <w:pPr>
        <w:rPr>
          <w:rFonts w:ascii="Helvetica Neue LT Std 75"/>
          <w:b/>
          <w:color w:val="231F20"/>
          <w:sz w:val="19"/>
        </w:rPr>
      </w:pPr>
      <w:r>
        <w:rPr>
          <w:rFonts w:ascii="Helvetica Neue LT Std 75"/>
          <w:b/>
          <w:color w:val="231F20"/>
          <w:sz w:val="19"/>
        </w:rPr>
        <w:br w:type="page"/>
      </w:r>
    </w:p>
    <w:p w:rsidR="006A7A3F" w:rsidRDefault="00BC7372">
      <w:pPr>
        <w:spacing w:before="182"/>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183"/>
      </w:pPr>
      <w:r>
        <w:rPr>
          <w:color w:val="231F20"/>
        </w:rPr>
        <w:t>Hot, dry conditions prevailed throughout much of the Ovens River catchment in 2019–20, resulting in flows into Lake Buffalo and Lake William Hovel being well below the long-term average until rainfall began filling storages in March 2020. Water for the environment held in Lake Buffalo was used in conjunction with an operational bulk water transfer to deliver a small autumn fresh in the Buffalo River in early March. Small increases in river height were also observed in reach 4 of the Ovens River during this fresh. Water for the environment was delivered in conjunction with water held by the Taungurung Land and Waters Council from Lake William Hovell in late March, providing flow variability to reaches 3 and 4 of the King River.</w:t>
      </w:r>
    </w:p>
    <w:p w:rsidR="006A7A3F" w:rsidRDefault="00BC7372">
      <w:pPr>
        <w:pStyle w:val="BodyText"/>
        <w:spacing w:before="175" w:line="249" w:lineRule="auto"/>
        <w:ind w:right="463"/>
      </w:pPr>
      <w:r>
        <w:rPr>
          <w:color w:val="231F20"/>
        </w:rPr>
        <w:t>Bushfires burnt large areas of the catchment above Lake Buffalo during summer, and subsequent heavy rainfall washed ash and other sediment into upstream tributaries, causing poor water quality on occasions in the Buffalo and Ovens rivers. Natural events, operational deliveries and the use of water for the environment helped flush deposited ash and sediments and improve water quality.</w:t>
      </w:r>
    </w:p>
    <w:p w:rsidR="006A7A3F" w:rsidRDefault="00BC7372">
      <w:pPr>
        <w:pStyle w:val="BodyText"/>
        <w:spacing w:before="174" w:line="249" w:lineRule="auto"/>
        <w:ind w:right="252"/>
      </w:pPr>
      <w:r>
        <w:rPr>
          <w:color w:val="231F20"/>
        </w:rPr>
        <w:t>Water for the environment was delivered to Mullinmur Wetland at Wangaratta for the first time in December 2019, to prepare habitat for translocated freshwater catfish. A second top-up was delivered in February 2020, to maintain water levels to support the growth and recruitment of aquatic vegetation and sustain the translocated fish.</w:t>
      </w:r>
    </w:p>
    <w:p w:rsidR="006A7A3F" w:rsidRDefault="00BC7372">
      <w:pPr>
        <w:spacing w:before="181"/>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251"/>
      </w:pPr>
      <w:r>
        <w:rPr>
          <w:color w:val="231F20"/>
        </w:rPr>
        <w:t>Table 5.3.1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5.3.1 Potential environmental watering actions and objectives for the Ovens system</w:t>
      </w:r>
    </w:p>
    <w:p w:rsidR="006A7A3F" w:rsidRDefault="006A7A3F">
      <w:pPr>
        <w:pStyle w:val="BodyText"/>
        <w:spacing w:before="0"/>
        <w:ind w:left="0"/>
        <w:rPr>
          <w:b/>
          <w:sz w:val="9"/>
        </w:rPr>
      </w:pPr>
    </w:p>
    <w:tbl>
      <w:tblPr>
        <w:tblW w:w="10175" w:type="dxa"/>
        <w:tblInd w:w="222" w:type="dxa"/>
        <w:tblLayout w:type="fixed"/>
        <w:tblCellMar>
          <w:left w:w="0" w:type="dxa"/>
          <w:right w:w="0" w:type="dxa"/>
        </w:tblCellMar>
        <w:tblLook w:val="01E0" w:firstRow="1" w:lastRow="1" w:firstColumn="1" w:lastColumn="1" w:noHBand="0" w:noVBand="0"/>
      </w:tblPr>
      <w:tblGrid>
        <w:gridCol w:w="2381"/>
        <w:gridCol w:w="6236"/>
        <w:gridCol w:w="779"/>
        <w:gridCol w:w="71"/>
        <w:gridCol w:w="708"/>
      </w:tblGrid>
      <w:tr w:rsidR="006A7A3F" w:rsidTr="00843FAE">
        <w:trPr>
          <w:trHeight w:val="582"/>
        </w:trPr>
        <w:tc>
          <w:tcPr>
            <w:tcW w:w="2381" w:type="dxa"/>
            <w:tcBorders>
              <w:right w:val="single" w:sz="4" w:space="0" w:color="6D6E71"/>
            </w:tcBorders>
            <w:shd w:val="clear" w:color="auto" w:fill="231F20"/>
          </w:tcPr>
          <w:p w:rsidR="006A7A3F" w:rsidRDefault="00BC7372">
            <w:pPr>
              <w:pStyle w:val="TableParagraph"/>
              <w:spacing w:before="75" w:line="254" w:lineRule="auto"/>
              <w:ind w:left="90" w:right="225"/>
              <w:rPr>
                <w:b/>
                <w:sz w:val="18"/>
              </w:rPr>
            </w:pPr>
            <w:r>
              <w:rPr>
                <w:b/>
                <w:color w:val="FFFFFF"/>
                <w:sz w:val="18"/>
              </w:rPr>
              <w:t>Potential environmental watering action</w:t>
            </w:r>
          </w:p>
        </w:tc>
        <w:tc>
          <w:tcPr>
            <w:tcW w:w="6236" w:type="dxa"/>
            <w:tcBorders>
              <w:left w:val="single" w:sz="4" w:space="0" w:color="6D6E71"/>
              <w:right w:val="single" w:sz="4" w:space="0" w:color="6D6E71"/>
            </w:tcBorders>
            <w:shd w:val="clear" w:color="auto" w:fill="231F20"/>
          </w:tcPr>
          <w:p w:rsidR="006A7A3F" w:rsidRDefault="00BC7372">
            <w:pPr>
              <w:pStyle w:val="TableParagraph"/>
              <w:spacing w:before="75"/>
              <w:ind w:left="85"/>
              <w:rPr>
                <w:b/>
                <w:sz w:val="18"/>
              </w:rPr>
            </w:pPr>
            <w:r>
              <w:rPr>
                <w:b/>
                <w:color w:val="FFFFFF"/>
                <w:sz w:val="18"/>
              </w:rPr>
              <w:t>Functional watering objectives</w:t>
            </w:r>
          </w:p>
        </w:tc>
        <w:tc>
          <w:tcPr>
            <w:tcW w:w="1558" w:type="dxa"/>
            <w:gridSpan w:val="3"/>
            <w:tcBorders>
              <w:left w:val="single" w:sz="4" w:space="0" w:color="6D6E71"/>
            </w:tcBorders>
            <w:shd w:val="clear" w:color="auto" w:fill="231F20"/>
          </w:tcPr>
          <w:p w:rsidR="006A7A3F" w:rsidRDefault="00BC7372">
            <w:pPr>
              <w:pStyle w:val="TableParagraph"/>
              <w:spacing w:before="75" w:line="254" w:lineRule="auto"/>
              <w:ind w:left="85" w:right="197"/>
              <w:rPr>
                <w:b/>
                <w:sz w:val="18"/>
              </w:rPr>
            </w:pPr>
            <w:r>
              <w:rPr>
                <w:b/>
                <w:color w:val="FFFFFF"/>
                <w:sz w:val="18"/>
              </w:rPr>
              <w:t>Environmental objectives</w:t>
            </w:r>
          </w:p>
        </w:tc>
      </w:tr>
      <w:tr w:rsidR="006A7A3F" w:rsidTr="00843FAE">
        <w:trPr>
          <w:trHeight w:val="620"/>
        </w:trPr>
        <w:tc>
          <w:tcPr>
            <w:tcW w:w="2381" w:type="dxa"/>
            <w:vMerge w:val="restart"/>
            <w:tcBorders>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31"/>
              <w:rPr>
                <w:sz w:val="16"/>
              </w:rPr>
            </w:pPr>
            <w:r>
              <w:rPr>
                <w:color w:val="231F20"/>
                <w:sz w:val="16"/>
              </w:rPr>
              <w:t>Autumn fresh (one fresh of greater than 430 ML/day for three days in reaches 1 and 4, and greater than 130-260 ML/ day in reach 5 during March to</w:t>
            </w:r>
            <w:r>
              <w:rPr>
                <w:color w:val="231F20"/>
                <w:spacing w:val="-9"/>
                <w:sz w:val="16"/>
              </w:rPr>
              <w:t xml:space="preserve"> </w:t>
            </w:r>
            <w:r>
              <w:rPr>
                <w:color w:val="231F20"/>
                <w:sz w:val="16"/>
              </w:rPr>
              <w:t>April)</w:t>
            </w:r>
          </w:p>
        </w:tc>
        <w:tc>
          <w:tcPr>
            <w:tcW w:w="6236" w:type="dxa"/>
            <w:vMerge w:val="restart"/>
            <w:tcBorders>
              <w:left w:val="single" w:sz="4" w:space="0" w:color="231F20"/>
              <w:bottom w:val="single" w:sz="4" w:space="0" w:color="231F20"/>
              <w:right w:val="single" w:sz="4" w:space="0" w:color="231F20"/>
            </w:tcBorders>
          </w:tcPr>
          <w:p w:rsidR="006A7A3F" w:rsidRPr="00843FAE" w:rsidRDefault="00BC7372">
            <w:pPr>
              <w:pStyle w:val="TableParagraph"/>
              <w:numPr>
                <w:ilvl w:val="0"/>
                <w:numId w:val="274"/>
              </w:numPr>
              <w:tabs>
                <w:tab w:val="left" w:pos="306"/>
              </w:tabs>
              <w:spacing w:before="70"/>
              <w:ind w:hanging="218"/>
              <w:rPr>
                <w:sz w:val="16"/>
                <w:szCs w:val="16"/>
              </w:rPr>
            </w:pPr>
            <w:r w:rsidRPr="00843FAE">
              <w:rPr>
                <w:color w:val="231F20"/>
                <w:sz w:val="16"/>
                <w:szCs w:val="16"/>
              </w:rPr>
              <w:t>Provide flow cues to stimulate the movement of native</w:t>
            </w:r>
            <w:r w:rsidRPr="00843FAE">
              <w:rPr>
                <w:color w:val="231F20"/>
                <w:spacing w:val="-4"/>
                <w:sz w:val="16"/>
                <w:szCs w:val="16"/>
              </w:rPr>
              <w:t xml:space="preserve"> </w:t>
            </w:r>
            <w:r w:rsidRPr="00843FAE">
              <w:rPr>
                <w:color w:val="231F20"/>
                <w:sz w:val="16"/>
                <w:szCs w:val="16"/>
              </w:rPr>
              <w:t>fish</w:t>
            </w:r>
          </w:p>
          <w:p w:rsidR="006A7A3F" w:rsidRPr="00843FAE" w:rsidRDefault="00BC7372">
            <w:pPr>
              <w:pStyle w:val="TableParagraph"/>
              <w:numPr>
                <w:ilvl w:val="0"/>
                <w:numId w:val="274"/>
              </w:numPr>
              <w:tabs>
                <w:tab w:val="left" w:pos="306"/>
              </w:tabs>
              <w:spacing w:before="98"/>
              <w:ind w:hanging="218"/>
              <w:rPr>
                <w:sz w:val="16"/>
                <w:szCs w:val="16"/>
              </w:rPr>
            </w:pPr>
            <w:r w:rsidRPr="00843FAE">
              <w:rPr>
                <w:color w:val="231F20"/>
                <w:sz w:val="16"/>
                <w:szCs w:val="16"/>
              </w:rPr>
              <w:t>Maintain connectivity between pools for fish</w:t>
            </w:r>
            <w:r w:rsidRPr="00843FAE">
              <w:rPr>
                <w:color w:val="231F20"/>
                <w:spacing w:val="-4"/>
                <w:sz w:val="16"/>
                <w:szCs w:val="16"/>
              </w:rPr>
              <w:t xml:space="preserve"> </w:t>
            </w:r>
            <w:r w:rsidRPr="00843FAE">
              <w:rPr>
                <w:color w:val="231F20"/>
                <w:sz w:val="16"/>
                <w:szCs w:val="16"/>
              </w:rPr>
              <w:t>movement</w:t>
            </w:r>
          </w:p>
          <w:p w:rsidR="006A7A3F" w:rsidRPr="00843FAE" w:rsidRDefault="00BC7372">
            <w:pPr>
              <w:pStyle w:val="TableParagraph"/>
              <w:numPr>
                <w:ilvl w:val="0"/>
                <w:numId w:val="274"/>
              </w:numPr>
              <w:tabs>
                <w:tab w:val="left" w:pos="306"/>
              </w:tabs>
              <w:spacing w:before="98"/>
              <w:ind w:hanging="218"/>
              <w:rPr>
                <w:sz w:val="16"/>
                <w:szCs w:val="16"/>
              </w:rPr>
            </w:pPr>
            <w:r w:rsidRPr="00843FAE">
              <w:rPr>
                <w:color w:val="231F20"/>
                <w:sz w:val="16"/>
                <w:szCs w:val="16"/>
              </w:rPr>
              <w:t>Mix pools to improve the water</w:t>
            </w:r>
            <w:r w:rsidRPr="00843FAE">
              <w:rPr>
                <w:color w:val="231F20"/>
                <w:spacing w:val="-5"/>
                <w:sz w:val="16"/>
                <w:szCs w:val="16"/>
              </w:rPr>
              <w:t xml:space="preserve"> </w:t>
            </w:r>
            <w:r w:rsidRPr="00843FAE">
              <w:rPr>
                <w:color w:val="231F20"/>
                <w:sz w:val="16"/>
                <w:szCs w:val="16"/>
              </w:rPr>
              <w:t>quality</w:t>
            </w:r>
          </w:p>
          <w:p w:rsidR="006A7A3F" w:rsidRPr="00843FAE" w:rsidRDefault="00BC7372">
            <w:pPr>
              <w:pStyle w:val="TableParagraph"/>
              <w:numPr>
                <w:ilvl w:val="0"/>
                <w:numId w:val="274"/>
              </w:numPr>
              <w:tabs>
                <w:tab w:val="left" w:pos="306"/>
              </w:tabs>
              <w:spacing w:before="98" w:line="254" w:lineRule="auto"/>
              <w:ind w:right="469"/>
              <w:rPr>
                <w:sz w:val="16"/>
                <w:szCs w:val="16"/>
              </w:rPr>
            </w:pPr>
            <w:r w:rsidRPr="00843FAE">
              <w:rPr>
                <w:color w:val="231F20"/>
                <w:sz w:val="16"/>
                <w:szCs w:val="16"/>
              </w:rPr>
              <w:t>Provide small variations in river levels and velocity, to flush</w:t>
            </w:r>
            <w:r w:rsidRPr="00843FAE">
              <w:rPr>
                <w:color w:val="231F20"/>
                <w:spacing w:val="-24"/>
                <w:sz w:val="16"/>
                <w:szCs w:val="16"/>
              </w:rPr>
              <w:t xml:space="preserve"> </w:t>
            </w:r>
            <w:r w:rsidRPr="00843FAE">
              <w:rPr>
                <w:color w:val="231F20"/>
                <w:sz w:val="16"/>
                <w:szCs w:val="16"/>
              </w:rPr>
              <w:t>sediment from hard substrates and maintain waterbug</w:t>
            </w:r>
            <w:r w:rsidRPr="00843FAE">
              <w:rPr>
                <w:color w:val="231F20"/>
                <w:spacing w:val="-7"/>
                <w:sz w:val="16"/>
                <w:szCs w:val="16"/>
              </w:rPr>
              <w:t xml:space="preserve"> </w:t>
            </w:r>
            <w:r w:rsidRPr="00843FAE">
              <w:rPr>
                <w:color w:val="231F20"/>
                <w:sz w:val="16"/>
                <w:szCs w:val="16"/>
              </w:rPr>
              <w:t>habitat</w:t>
            </w:r>
          </w:p>
          <w:p w:rsidR="006A7A3F" w:rsidRDefault="00BC7372">
            <w:pPr>
              <w:pStyle w:val="TableParagraph"/>
              <w:numPr>
                <w:ilvl w:val="0"/>
                <w:numId w:val="274"/>
              </w:numPr>
              <w:tabs>
                <w:tab w:val="left" w:pos="306"/>
              </w:tabs>
              <w:spacing w:before="87"/>
              <w:ind w:hanging="218"/>
              <w:rPr>
                <w:sz w:val="18"/>
              </w:rPr>
            </w:pPr>
            <w:r w:rsidRPr="00843FAE">
              <w:rPr>
                <w:color w:val="231F20"/>
                <w:sz w:val="16"/>
                <w:szCs w:val="16"/>
              </w:rPr>
              <w:t>Scour biofilm from the river</w:t>
            </w:r>
            <w:r w:rsidRPr="00843FAE">
              <w:rPr>
                <w:color w:val="231F20"/>
                <w:spacing w:val="-2"/>
                <w:sz w:val="16"/>
                <w:szCs w:val="16"/>
              </w:rPr>
              <w:t xml:space="preserve"> </w:t>
            </w:r>
            <w:r w:rsidRPr="00843FAE">
              <w:rPr>
                <w:color w:val="231F20"/>
                <w:sz w:val="16"/>
                <w:szCs w:val="16"/>
              </w:rPr>
              <w:t>bed</w:t>
            </w:r>
          </w:p>
        </w:tc>
        <w:tc>
          <w:tcPr>
            <w:tcW w:w="850" w:type="dxa"/>
            <w:gridSpan w:val="2"/>
            <w:tcBorders>
              <w:left w:val="single" w:sz="4" w:space="0" w:color="231F20"/>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5"/>
                  <wp:effectExtent l="0" t="0" r="0" b="0"/>
                  <wp:docPr id="205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9.jpeg"/>
                          <pic:cNvPicPr/>
                        </pic:nvPicPr>
                        <pic:blipFill>
                          <a:blip r:embed="rId31" cstate="print"/>
                          <a:stretch>
                            <a:fillRect/>
                          </a:stretch>
                        </pic:blipFill>
                        <pic:spPr>
                          <a:xfrm>
                            <a:off x="0" y="0"/>
                            <a:ext cx="314177" cy="310895"/>
                          </a:xfrm>
                          <a:prstGeom prst="rect">
                            <a:avLst/>
                          </a:prstGeom>
                        </pic:spPr>
                      </pic:pic>
                    </a:graphicData>
                  </a:graphic>
                </wp:inline>
              </w:drawing>
            </w:r>
          </w:p>
        </w:tc>
        <w:tc>
          <w:tcPr>
            <w:tcW w:w="708" w:type="dxa"/>
            <w:tcBorders>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5"/>
                  <wp:effectExtent l="0" t="0" r="0" b="0"/>
                  <wp:docPr id="2059"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20.jpeg"/>
                          <pic:cNvPicPr/>
                        </pic:nvPicPr>
                        <pic:blipFill>
                          <a:blip r:embed="rId32" cstate="print"/>
                          <a:stretch>
                            <a:fillRect/>
                          </a:stretch>
                        </pic:blipFill>
                        <pic:spPr>
                          <a:xfrm>
                            <a:off x="0" y="0"/>
                            <a:ext cx="314177" cy="310895"/>
                          </a:xfrm>
                          <a:prstGeom prst="rect">
                            <a:avLst/>
                          </a:prstGeom>
                        </pic:spPr>
                      </pic:pic>
                    </a:graphicData>
                  </a:graphic>
                </wp:inline>
              </w:drawing>
            </w:r>
          </w:p>
        </w:tc>
      </w:tr>
      <w:tr w:rsidR="006A7A3F" w:rsidTr="00843FAE">
        <w:trPr>
          <w:trHeight w:val="1157"/>
        </w:trPr>
        <w:tc>
          <w:tcPr>
            <w:tcW w:w="2381"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auto"/>
              <w:right w:val="single" w:sz="4" w:space="0" w:color="231F20"/>
            </w:tcBorders>
          </w:tcPr>
          <w:p w:rsidR="006A7A3F" w:rsidRDefault="006A7A3F">
            <w:pPr>
              <w:rPr>
                <w:sz w:val="2"/>
                <w:szCs w:val="2"/>
              </w:rPr>
            </w:pPr>
          </w:p>
        </w:tc>
        <w:tc>
          <w:tcPr>
            <w:tcW w:w="850" w:type="dxa"/>
            <w:gridSpan w:val="2"/>
            <w:tcBorders>
              <w:left w:val="single" w:sz="4" w:space="0" w:color="231F20"/>
              <w:bottom w:val="single" w:sz="4" w:space="0" w:color="auto"/>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7" cy="310896"/>
                  <wp:effectExtent l="0" t="0" r="0" b="0"/>
                  <wp:docPr id="206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708" w:type="dxa"/>
            <w:tcBorders>
              <w:bottom w:val="single" w:sz="4" w:space="0" w:color="auto"/>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5" cy="310896"/>
                  <wp:effectExtent l="0" t="0" r="0" b="0"/>
                  <wp:docPr id="206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23.png"/>
                          <pic:cNvPicPr/>
                        </pic:nvPicPr>
                        <pic:blipFill>
                          <a:blip r:embed="rId35" cstate="print"/>
                          <a:stretch>
                            <a:fillRect/>
                          </a:stretch>
                        </pic:blipFill>
                        <pic:spPr>
                          <a:xfrm>
                            <a:off x="0" y="0"/>
                            <a:ext cx="314165" cy="310896"/>
                          </a:xfrm>
                          <a:prstGeom prst="rect">
                            <a:avLst/>
                          </a:prstGeom>
                        </pic:spPr>
                      </pic:pic>
                    </a:graphicData>
                  </a:graphic>
                </wp:inline>
              </w:drawing>
            </w:r>
          </w:p>
        </w:tc>
      </w:tr>
      <w:tr w:rsidR="00843FAE" w:rsidTr="00843FAE">
        <w:trPr>
          <w:trHeight w:val="602"/>
        </w:trPr>
        <w:tc>
          <w:tcPr>
            <w:tcW w:w="2381" w:type="dxa"/>
            <w:vMerge w:val="restart"/>
            <w:tcBorders>
              <w:top w:val="single" w:sz="4" w:space="0" w:color="auto"/>
              <w:left w:val="single" w:sz="4" w:space="0" w:color="231F20"/>
              <w:right w:val="single" w:sz="4" w:space="0" w:color="231F20"/>
            </w:tcBorders>
          </w:tcPr>
          <w:p w:rsidR="00843FAE" w:rsidRDefault="00843FAE" w:rsidP="00843FAE">
            <w:pPr>
              <w:pStyle w:val="TableParagraph"/>
              <w:spacing w:before="67" w:line="261" w:lineRule="auto"/>
              <w:ind w:left="85" w:right="104"/>
              <w:rPr>
                <w:sz w:val="16"/>
              </w:rPr>
            </w:pPr>
            <w:r>
              <w:rPr>
                <w:color w:val="231F20"/>
                <w:sz w:val="16"/>
              </w:rPr>
              <w:t>Summer/autumn low-flow variability (greater than 80 ML/ day for one to two days during February to March in reaches 1, 2 and 3)</w:t>
            </w:r>
          </w:p>
          <w:p w:rsidR="00843FAE" w:rsidRDefault="00843FAE" w:rsidP="00843FAE">
            <w:pPr>
              <w:pStyle w:val="TableParagraph"/>
              <w:spacing w:before="2"/>
              <w:ind w:left="0"/>
              <w:rPr>
                <w:b/>
                <w:sz w:val="8"/>
              </w:rPr>
            </w:pPr>
          </w:p>
          <w:p w:rsidR="00843FAE" w:rsidRDefault="00843FAE" w:rsidP="00843FAE">
            <w:pPr>
              <w:rPr>
                <w:sz w:val="2"/>
                <w:szCs w:val="2"/>
              </w:rPr>
            </w:pPr>
            <w:r>
              <w:rPr>
                <w:sz w:val="2"/>
                <w:szCs w:val="2"/>
              </w:rPr>
              <w:t xml:space="preserve">          </w:t>
            </w:r>
            <w:r>
              <w:rPr>
                <w:noProof/>
                <w:sz w:val="20"/>
              </w:rPr>
              <w:drawing>
                <wp:inline distT="0" distB="0" distL="0" distR="0" wp14:anchorId="0F417FEE" wp14:editId="5ED57A57">
                  <wp:extent cx="313951" cy="313944"/>
                  <wp:effectExtent l="0" t="0" r="0" b="0"/>
                  <wp:docPr id="2065" name="image43.jpeg" descr="icon: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image43.jpeg"/>
                          <pic:cNvPicPr/>
                        </pic:nvPicPr>
                        <pic:blipFill>
                          <a:blip r:embed="rId55" cstate="print"/>
                          <a:stretch>
                            <a:fillRect/>
                          </a:stretch>
                        </pic:blipFill>
                        <pic:spPr>
                          <a:xfrm>
                            <a:off x="0" y="0"/>
                            <a:ext cx="313951" cy="313944"/>
                          </a:xfrm>
                          <a:prstGeom prst="rect">
                            <a:avLst/>
                          </a:prstGeom>
                        </pic:spPr>
                      </pic:pic>
                    </a:graphicData>
                  </a:graphic>
                </wp:inline>
              </w:drawing>
            </w:r>
          </w:p>
        </w:tc>
        <w:tc>
          <w:tcPr>
            <w:tcW w:w="6236" w:type="dxa"/>
            <w:vMerge w:val="restart"/>
            <w:tcBorders>
              <w:top w:val="single" w:sz="4" w:space="0" w:color="auto"/>
              <w:left w:val="single" w:sz="4" w:space="0" w:color="231F20"/>
              <w:right w:val="single" w:sz="4" w:space="0" w:color="231F20"/>
            </w:tcBorders>
          </w:tcPr>
          <w:p w:rsidR="00843FAE" w:rsidRPr="00843FAE" w:rsidRDefault="00843FAE" w:rsidP="00843FAE">
            <w:pPr>
              <w:pStyle w:val="TableParagraph"/>
              <w:numPr>
                <w:ilvl w:val="0"/>
                <w:numId w:val="273"/>
              </w:numPr>
              <w:tabs>
                <w:tab w:val="left" w:pos="306"/>
              </w:tabs>
              <w:spacing w:before="63"/>
              <w:ind w:hanging="218"/>
              <w:rPr>
                <w:sz w:val="16"/>
                <w:szCs w:val="16"/>
              </w:rPr>
            </w:pPr>
            <w:r w:rsidRPr="00843FAE">
              <w:rPr>
                <w:color w:val="231F20"/>
                <w:sz w:val="16"/>
                <w:szCs w:val="16"/>
              </w:rPr>
              <w:t>Maintain connectivity between pools for fish movement and water</w:t>
            </w:r>
            <w:r w:rsidRPr="00843FAE">
              <w:rPr>
                <w:color w:val="231F20"/>
                <w:spacing w:val="-21"/>
                <w:sz w:val="16"/>
                <w:szCs w:val="16"/>
              </w:rPr>
              <w:t xml:space="preserve"> </w:t>
            </w:r>
            <w:r w:rsidRPr="00843FAE">
              <w:rPr>
                <w:color w:val="231F20"/>
                <w:sz w:val="16"/>
                <w:szCs w:val="16"/>
              </w:rPr>
              <w:t>quality</w:t>
            </w:r>
          </w:p>
          <w:p w:rsidR="00843FAE" w:rsidRDefault="00843FAE" w:rsidP="00843FAE">
            <w:pPr>
              <w:pStyle w:val="TableParagraph"/>
              <w:numPr>
                <w:ilvl w:val="0"/>
                <w:numId w:val="273"/>
              </w:numPr>
              <w:tabs>
                <w:tab w:val="left" w:pos="306"/>
              </w:tabs>
              <w:spacing w:before="98" w:line="254" w:lineRule="auto"/>
              <w:ind w:right="366"/>
              <w:rPr>
                <w:sz w:val="18"/>
              </w:rPr>
            </w:pPr>
            <w:r w:rsidRPr="00843FAE">
              <w:rPr>
                <w:color w:val="231F20"/>
                <w:sz w:val="16"/>
                <w:szCs w:val="16"/>
              </w:rPr>
              <w:t>Provide small variations in river levels to move sediment and maintain waterbug</w:t>
            </w:r>
            <w:r w:rsidRPr="00843FAE">
              <w:rPr>
                <w:color w:val="231F20"/>
                <w:spacing w:val="-2"/>
                <w:sz w:val="16"/>
                <w:szCs w:val="16"/>
              </w:rPr>
              <w:t xml:space="preserve"> </w:t>
            </w:r>
            <w:r w:rsidRPr="00843FAE">
              <w:rPr>
                <w:color w:val="231F20"/>
                <w:sz w:val="16"/>
                <w:szCs w:val="16"/>
              </w:rPr>
              <w:t>habitat</w:t>
            </w:r>
          </w:p>
        </w:tc>
        <w:tc>
          <w:tcPr>
            <w:tcW w:w="779" w:type="dxa"/>
            <w:tcBorders>
              <w:top w:val="single" w:sz="4" w:space="0" w:color="auto"/>
              <w:left w:val="single" w:sz="4" w:space="0" w:color="231F20"/>
            </w:tcBorders>
          </w:tcPr>
          <w:p w:rsidR="00843FAE" w:rsidRDefault="00843FAE" w:rsidP="00843FAE">
            <w:pPr>
              <w:pStyle w:val="TableParagraph"/>
              <w:spacing w:before="9"/>
              <w:ind w:left="0"/>
              <w:rPr>
                <w:b/>
                <w:sz w:val="8"/>
              </w:rPr>
            </w:pPr>
          </w:p>
          <w:p w:rsidR="00843FAE" w:rsidRDefault="00843FAE" w:rsidP="00843FAE">
            <w:pPr>
              <w:pStyle w:val="TableParagraph"/>
              <w:ind w:left="0" w:right="-15"/>
              <w:rPr>
                <w:sz w:val="20"/>
              </w:rPr>
            </w:pPr>
            <w:r>
              <w:rPr>
                <w:sz w:val="20"/>
              </w:rPr>
              <w:t xml:space="preserve">     </w:t>
            </w:r>
            <w:r>
              <w:rPr>
                <w:noProof/>
                <w:sz w:val="20"/>
              </w:rPr>
              <w:drawing>
                <wp:inline distT="0" distB="0" distL="0" distR="0" wp14:anchorId="1EDA5FDD" wp14:editId="3A9C5D27">
                  <wp:extent cx="314168" cy="310896"/>
                  <wp:effectExtent l="0" t="0" r="0" b="0"/>
                  <wp:docPr id="206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79" w:type="dxa"/>
            <w:gridSpan w:val="2"/>
            <w:tcBorders>
              <w:top w:val="single" w:sz="4" w:space="0" w:color="auto"/>
              <w:right w:val="single" w:sz="4" w:space="0" w:color="231F20"/>
            </w:tcBorders>
          </w:tcPr>
          <w:p w:rsidR="00843FAE" w:rsidRDefault="00843FAE" w:rsidP="00843FAE">
            <w:pPr>
              <w:pStyle w:val="TableParagraph"/>
              <w:spacing w:before="9"/>
              <w:ind w:left="0"/>
              <w:rPr>
                <w:b/>
                <w:sz w:val="8"/>
              </w:rPr>
            </w:pPr>
          </w:p>
          <w:p w:rsidR="00843FAE" w:rsidRDefault="00843FAE" w:rsidP="00843FAE">
            <w:pPr>
              <w:pStyle w:val="TableParagraph"/>
              <w:ind w:left="48"/>
              <w:rPr>
                <w:sz w:val="20"/>
              </w:rPr>
            </w:pPr>
            <w:r>
              <w:rPr>
                <w:noProof/>
                <w:sz w:val="20"/>
              </w:rPr>
              <w:drawing>
                <wp:inline distT="0" distB="0" distL="0" distR="0" wp14:anchorId="1BAE8008" wp14:editId="107264BD">
                  <wp:extent cx="314168" cy="310896"/>
                  <wp:effectExtent l="0" t="0" r="0" b="0"/>
                  <wp:docPr id="206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843FAE" w:rsidTr="00843FAE">
        <w:trPr>
          <w:trHeight w:val="1226"/>
        </w:trPr>
        <w:tc>
          <w:tcPr>
            <w:tcW w:w="2381" w:type="dxa"/>
            <w:vMerge/>
            <w:tcBorders>
              <w:left w:val="single" w:sz="4" w:space="0" w:color="231F20"/>
              <w:bottom w:val="single" w:sz="4" w:space="0" w:color="auto"/>
              <w:right w:val="single" w:sz="4" w:space="0" w:color="231F20"/>
            </w:tcBorders>
          </w:tcPr>
          <w:p w:rsidR="00843FAE" w:rsidRDefault="00843FAE" w:rsidP="00843FAE">
            <w:pPr>
              <w:pStyle w:val="TableParagraph"/>
              <w:spacing w:before="67" w:line="261" w:lineRule="auto"/>
              <w:ind w:left="85" w:right="104"/>
              <w:rPr>
                <w:color w:val="231F20"/>
                <w:sz w:val="16"/>
              </w:rPr>
            </w:pPr>
          </w:p>
        </w:tc>
        <w:tc>
          <w:tcPr>
            <w:tcW w:w="6236" w:type="dxa"/>
            <w:vMerge/>
            <w:tcBorders>
              <w:left w:val="single" w:sz="4" w:space="0" w:color="231F20"/>
              <w:bottom w:val="single" w:sz="4" w:space="0" w:color="auto"/>
              <w:right w:val="single" w:sz="4" w:space="0" w:color="231F20"/>
            </w:tcBorders>
          </w:tcPr>
          <w:p w:rsidR="00843FAE" w:rsidRPr="00843FAE" w:rsidRDefault="00843FAE" w:rsidP="00843FAE">
            <w:pPr>
              <w:pStyle w:val="TableParagraph"/>
              <w:numPr>
                <w:ilvl w:val="0"/>
                <w:numId w:val="273"/>
              </w:numPr>
              <w:tabs>
                <w:tab w:val="left" w:pos="306"/>
              </w:tabs>
              <w:spacing w:before="63"/>
              <w:ind w:hanging="218"/>
              <w:rPr>
                <w:color w:val="231F20"/>
                <w:sz w:val="16"/>
                <w:szCs w:val="16"/>
              </w:rPr>
            </w:pPr>
          </w:p>
        </w:tc>
        <w:tc>
          <w:tcPr>
            <w:tcW w:w="779" w:type="dxa"/>
            <w:tcBorders>
              <w:left w:val="single" w:sz="4" w:space="0" w:color="231F20"/>
              <w:bottom w:val="single" w:sz="4" w:space="0" w:color="auto"/>
            </w:tcBorders>
          </w:tcPr>
          <w:p w:rsidR="00843FAE" w:rsidRDefault="00843FAE" w:rsidP="00843FAE">
            <w:pPr>
              <w:pStyle w:val="TableParagraph"/>
              <w:ind w:left="0" w:right="-15"/>
              <w:rPr>
                <w:sz w:val="20"/>
              </w:rPr>
            </w:pPr>
            <w:r>
              <w:rPr>
                <w:sz w:val="20"/>
              </w:rPr>
              <w:t xml:space="preserve">     </w:t>
            </w:r>
            <w:r>
              <w:rPr>
                <w:noProof/>
                <w:sz w:val="20"/>
              </w:rPr>
              <w:drawing>
                <wp:inline distT="0" distB="0" distL="0" distR="0" wp14:anchorId="6F50246A" wp14:editId="7091F522">
                  <wp:extent cx="314168" cy="310896"/>
                  <wp:effectExtent l="0" t="0" r="0" b="0"/>
                  <wp:docPr id="207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79" w:type="dxa"/>
            <w:gridSpan w:val="2"/>
            <w:tcBorders>
              <w:bottom w:val="single" w:sz="4" w:space="0" w:color="auto"/>
              <w:right w:val="single" w:sz="4" w:space="0" w:color="231F20"/>
            </w:tcBorders>
          </w:tcPr>
          <w:p w:rsidR="00843FAE" w:rsidRDefault="00843FAE" w:rsidP="00843FAE">
            <w:pPr>
              <w:pStyle w:val="TableParagraph"/>
              <w:ind w:left="0"/>
              <w:rPr>
                <w:rFonts w:ascii="Times New Roman"/>
                <w:sz w:val="18"/>
              </w:rPr>
            </w:pPr>
          </w:p>
        </w:tc>
      </w:tr>
      <w:tr w:rsidR="00843FAE" w:rsidTr="00843FAE">
        <w:trPr>
          <w:trHeight w:val="1157"/>
        </w:trPr>
        <w:tc>
          <w:tcPr>
            <w:tcW w:w="2381" w:type="dxa"/>
            <w:tcBorders>
              <w:top w:val="single" w:sz="4" w:space="0" w:color="auto"/>
              <w:left w:val="single" w:sz="4" w:space="0" w:color="231F20"/>
              <w:bottom w:val="single" w:sz="4" w:space="0" w:color="231F20"/>
              <w:right w:val="single" w:sz="4" w:space="0" w:color="231F20"/>
            </w:tcBorders>
          </w:tcPr>
          <w:p w:rsidR="00843FAE" w:rsidRDefault="00843FAE" w:rsidP="00843FAE">
            <w:pPr>
              <w:pStyle w:val="TableParagraph"/>
              <w:spacing w:before="67" w:line="261" w:lineRule="auto"/>
              <w:ind w:left="85" w:right="122"/>
              <w:rPr>
                <w:sz w:val="16"/>
              </w:rPr>
            </w:pPr>
            <w:r>
              <w:rPr>
                <w:color w:val="231F20"/>
                <w:sz w:val="16"/>
              </w:rPr>
              <w:t>Mullinmur Wetland (top-up during November to February)</w:t>
            </w:r>
          </w:p>
          <w:p w:rsidR="00843FAE" w:rsidRDefault="00843FAE" w:rsidP="00843FAE">
            <w:pPr>
              <w:pStyle w:val="TableParagraph"/>
              <w:spacing w:before="4"/>
              <w:ind w:left="0"/>
              <w:rPr>
                <w:b/>
                <w:sz w:val="8"/>
              </w:rPr>
            </w:pPr>
          </w:p>
          <w:p w:rsidR="00843FAE" w:rsidRDefault="00843FAE" w:rsidP="00843FAE">
            <w:pPr>
              <w:rPr>
                <w:sz w:val="2"/>
                <w:szCs w:val="2"/>
              </w:rPr>
            </w:pPr>
            <w:r>
              <w:rPr>
                <w:sz w:val="2"/>
                <w:szCs w:val="2"/>
              </w:rPr>
              <w:t xml:space="preserve">          </w:t>
            </w:r>
            <w:r>
              <w:rPr>
                <w:noProof/>
                <w:sz w:val="20"/>
              </w:rPr>
              <w:drawing>
                <wp:inline distT="0" distB="0" distL="0" distR="0" wp14:anchorId="1FB97D96" wp14:editId="2A13B3F8">
                  <wp:extent cx="314169" cy="310896"/>
                  <wp:effectExtent l="0" t="0" r="0" b="0"/>
                  <wp:docPr id="2073"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38.jpeg"/>
                          <pic:cNvPicPr/>
                        </pic:nvPicPr>
                        <pic:blipFill>
                          <a:blip r:embed="rId50" cstate="print"/>
                          <a:stretch>
                            <a:fillRect/>
                          </a:stretch>
                        </pic:blipFill>
                        <pic:spPr>
                          <a:xfrm>
                            <a:off x="0" y="0"/>
                            <a:ext cx="314169" cy="310896"/>
                          </a:xfrm>
                          <a:prstGeom prst="rect">
                            <a:avLst/>
                          </a:prstGeom>
                        </pic:spPr>
                      </pic:pic>
                    </a:graphicData>
                  </a:graphic>
                </wp:inline>
              </w:drawing>
            </w:r>
          </w:p>
        </w:tc>
        <w:tc>
          <w:tcPr>
            <w:tcW w:w="6236" w:type="dxa"/>
            <w:tcBorders>
              <w:top w:val="single" w:sz="4" w:space="0" w:color="auto"/>
              <w:left w:val="single" w:sz="4" w:space="0" w:color="231F20"/>
              <w:bottom w:val="single" w:sz="4" w:space="0" w:color="231F20"/>
              <w:right w:val="single" w:sz="4" w:space="0" w:color="231F20"/>
            </w:tcBorders>
          </w:tcPr>
          <w:p w:rsidR="00843FAE" w:rsidRPr="00843FAE" w:rsidRDefault="00843FAE" w:rsidP="00843FAE">
            <w:pPr>
              <w:pStyle w:val="TableParagraph"/>
              <w:numPr>
                <w:ilvl w:val="0"/>
                <w:numId w:val="272"/>
              </w:numPr>
              <w:tabs>
                <w:tab w:val="left" w:pos="306"/>
              </w:tabs>
              <w:spacing w:before="63" w:line="254" w:lineRule="auto"/>
              <w:ind w:right="156"/>
              <w:rPr>
                <w:sz w:val="16"/>
                <w:szCs w:val="16"/>
              </w:rPr>
            </w:pPr>
            <w:r w:rsidRPr="00843FAE">
              <w:rPr>
                <w:color w:val="231F20"/>
                <w:sz w:val="16"/>
                <w:szCs w:val="16"/>
              </w:rPr>
              <w:t>Maintain the water level to support the growth and recruitment of</w:t>
            </w:r>
            <w:r w:rsidRPr="00843FAE">
              <w:rPr>
                <w:color w:val="231F20"/>
                <w:spacing w:val="-27"/>
                <w:sz w:val="16"/>
                <w:szCs w:val="16"/>
              </w:rPr>
              <w:t xml:space="preserve"> </w:t>
            </w:r>
            <w:r w:rsidRPr="00843FAE">
              <w:rPr>
                <w:color w:val="231F20"/>
                <w:sz w:val="16"/>
                <w:szCs w:val="16"/>
              </w:rPr>
              <w:t>aquatic vegetation</w:t>
            </w:r>
          </w:p>
          <w:p w:rsidR="00843FAE" w:rsidRDefault="00843FAE" w:rsidP="00843FAE">
            <w:pPr>
              <w:pStyle w:val="TableParagraph"/>
              <w:numPr>
                <w:ilvl w:val="0"/>
                <w:numId w:val="272"/>
              </w:numPr>
              <w:tabs>
                <w:tab w:val="left" w:pos="306"/>
              </w:tabs>
              <w:spacing w:before="86"/>
              <w:ind w:hanging="218"/>
              <w:rPr>
                <w:sz w:val="18"/>
              </w:rPr>
            </w:pPr>
            <w:r w:rsidRPr="00843FAE">
              <w:rPr>
                <w:color w:val="231F20"/>
                <w:sz w:val="16"/>
                <w:szCs w:val="16"/>
              </w:rPr>
              <w:t>Maintain habitat for freshwater</w:t>
            </w:r>
            <w:r w:rsidRPr="00843FAE">
              <w:rPr>
                <w:color w:val="231F20"/>
                <w:spacing w:val="-2"/>
                <w:sz w:val="16"/>
                <w:szCs w:val="16"/>
              </w:rPr>
              <w:t xml:space="preserve"> </w:t>
            </w:r>
            <w:r w:rsidRPr="00843FAE">
              <w:rPr>
                <w:color w:val="231F20"/>
                <w:sz w:val="16"/>
                <w:szCs w:val="16"/>
              </w:rPr>
              <w:t>catfish</w:t>
            </w:r>
          </w:p>
        </w:tc>
        <w:tc>
          <w:tcPr>
            <w:tcW w:w="779" w:type="dxa"/>
            <w:tcBorders>
              <w:top w:val="single" w:sz="4" w:space="0" w:color="auto"/>
              <w:left w:val="single" w:sz="4" w:space="0" w:color="231F20"/>
              <w:bottom w:val="single" w:sz="4" w:space="0" w:color="231F20"/>
            </w:tcBorders>
          </w:tcPr>
          <w:p w:rsidR="00843FAE" w:rsidRDefault="00843FAE" w:rsidP="00843FAE">
            <w:pPr>
              <w:pStyle w:val="TableParagraph"/>
              <w:spacing w:before="9"/>
              <w:ind w:left="0"/>
              <w:rPr>
                <w:b/>
                <w:sz w:val="8"/>
              </w:rPr>
            </w:pPr>
          </w:p>
          <w:p w:rsidR="00843FAE" w:rsidRDefault="00843FAE" w:rsidP="00843FAE">
            <w:pPr>
              <w:pStyle w:val="TableParagraph"/>
              <w:ind w:left="0" w:right="-15"/>
              <w:jc w:val="both"/>
              <w:rPr>
                <w:sz w:val="20"/>
              </w:rPr>
            </w:pPr>
            <w:r>
              <w:rPr>
                <w:sz w:val="20"/>
              </w:rPr>
              <w:t xml:space="preserve">     </w:t>
            </w:r>
            <w:r>
              <w:rPr>
                <w:noProof/>
                <w:sz w:val="20"/>
              </w:rPr>
              <w:drawing>
                <wp:inline distT="0" distB="0" distL="0" distR="0" wp14:anchorId="07920CF3" wp14:editId="09077736">
                  <wp:extent cx="314177" cy="310896"/>
                  <wp:effectExtent l="0" t="0" r="0" b="0"/>
                  <wp:docPr id="207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79" w:type="dxa"/>
            <w:gridSpan w:val="2"/>
            <w:tcBorders>
              <w:top w:val="single" w:sz="4" w:space="0" w:color="auto"/>
              <w:bottom w:val="single" w:sz="4" w:space="0" w:color="231F20"/>
              <w:right w:val="single" w:sz="4" w:space="0" w:color="231F20"/>
            </w:tcBorders>
          </w:tcPr>
          <w:p w:rsidR="00843FAE" w:rsidRDefault="00843FAE" w:rsidP="00843FAE">
            <w:pPr>
              <w:pStyle w:val="TableParagraph"/>
              <w:spacing w:before="9"/>
              <w:ind w:left="0"/>
              <w:rPr>
                <w:b/>
                <w:sz w:val="8"/>
              </w:rPr>
            </w:pPr>
          </w:p>
          <w:p w:rsidR="00843FAE" w:rsidRDefault="00843FAE" w:rsidP="00843FAE">
            <w:pPr>
              <w:pStyle w:val="TableParagraph"/>
              <w:ind w:left="48"/>
              <w:rPr>
                <w:sz w:val="20"/>
              </w:rPr>
            </w:pPr>
            <w:r>
              <w:rPr>
                <w:noProof/>
                <w:sz w:val="20"/>
              </w:rPr>
              <w:drawing>
                <wp:inline distT="0" distB="0" distL="0" distR="0" wp14:anchorId="7E74F72E" wp14:editId="683B9220">
                  <wp:extent cx="314177" cy="310896"/>
                  <wp:effectExtent l="0" t="0" r="0" b="0"/>
                  <wp:docPr id="207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p w:rsidR="006A7A3F" w:rsidRDefault="00BC7372">
      <w:pPr>
        <w:spacing w:before="30"/>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5.3.2 outlines the potential environmental watering and expected water use under a range of planning scenarios.</w:t>
      </w:r>
    </w:p>
    <w:p w:rsidR="006A7A3F" w:rsidRDefault="00BC7372" w:rsidP="00316FE5">
      <w:pPr>
        <w:pStyle w:val="BodyText"/>
        <w:spacing w:line="249" w:lineRule="auto"/>
        <w:ind w:right="385"/>
      </w:pPr>
      <w:r>
        <w:rPr>
          <w:color w:val="231F20"/>
        </w:rPr>
        <w:t>The weather and inflows into storages have a large effect on how water for the environment is likely to be used in the Ovens system. Under dry and average conditions, water for the environment may be used to provide low flow variability and avoid cease-to-flow events in the river reaches immediately below the storages. Under average conditions, water for the environment may also be used in conjunction with operational water bulk transfers from Lake Buffalo to deliver larger freshes and achieve environmental outcomes over a much greater length of river.</w:t>
      </w:r>
      <w:r w:rsidR="00316FE5">
        <w:rPr>
          <w:color w:val="231F20"/>
        </w:rPr>
        <w:t xml:space="preserve"> </w:t>
      </w:r>
      <w:r>
        <w:rPr>
          <w:color w:val="231F20"/>
        </w:rPr>
        <w:t>Planned watering actions under a drought scenario remain the same as those under a dry scenario, however access to entitlements may be restricted if rights to environmental water are qualified.</w:t>
      </w:r>
    </w:p>
    <w:p w:rsidR="006A7A3F" w:rsidRDefault="00BC7372">
      <w:pPr>
        <w:pStyle w:val="BodyText"/>
        <w:spacing w:line="249" w:lineRule="auto"/>
        <w:ind w:right="291"/>
        <w:jc w:val="both"/>
      </w:pPr>
      <w:r>
        <w:rPr>
          <w:color w:val="231F20"/>
        </w:rPr>
        <w:t>Watering</w:t>
      </w:r>
      <w:r>
        <w:rPr>
          <w:color w:val="231F20"/>
          <w:spacing w:val="-6"/>
        </w:rPr>
        <w:t xml:space="preserve"> </w:t>
      </w:r>
      <w:r>
        <w:rPr>
          <w:color w:val="231F20"/>
        </w:rPr>
        <w:t>Mullinmur</w:t>
      </w:r>
      <w:r>
        <w:rPr>
          <w:color w:val="231F20"/>
          <w:spacing w:val="-4"/>
        </w:rPr>
        <w:t xml:space="preserve"> </w:t>
      </w:r>
      <w:r>
        <w:rPr>
          <w:color w:val="231F20"/>
        </w:rPr>
        <w:t>Wetland</w:t>
      </w:r>
      <w:r>
        <w:rPr>
          <w:color w:val="231F20"/>
          <w:spacing w:val="-5"/>
        </w:rPr>
        <w:t xml:space="preserve"> </w:t>
      </w:r>
      <w:r>
        <w:rPr>
          <w:color w:val="231F20"/>
        </w:rPr>
        <w:t>is</w:t>
      </w:r>
      <w:r>
        <w:rPr>
          <w:color w:val="231F20"/>
          <w:spacing w:val="-5"/>
        </w:rPr>
        <w:t xml:space="preserve"> </w:t>
      </w:r>
      <w:r>
        <w:rPr>
          <w:color w:val="231F20"/>
        </w:rPr>
        <w:t>a</w:t>
      </w:r>
      <w:r>
        <w:rPr>
          <w:color w:val="231F20"/>
          <w:spacing w:val="-6"/>
        </w:rPr>
        <w:t xml:space="preserve"> </w:t>
      </w:r>
      <w:r>
        <w:rPr>
          <w:color w:val="231F20"/>
        </w:rPr>
        <w:t>high</w:t>
      </w:r>
      <w:r>
        <w:rPr>
          <w:color w:val="231F20"/>
          <w:spacing w:val="-5"/>
        </w:rPr>
        <w:t xml:space="preserve"> </w:t>
      </w:r>
      <w:r>
        <w:rPr>
          <w:color w:val="231F20"/>
        </w:rPr>
        <w:t>priority</w:t>
      </w:r>
      <w:r>
        <w:rPr>
          <w:color w:val="231F20"/>
          <w:spacing w:val="-5"/>
        </w:rPr>
        <w:t xml:space="preserve"> </w:t>
      </w:r>
      <w:r>
        <w:rPr>
          <w:color w:val="231F20"/>
        </w:rPr>
        <w:t>under</w:t>
      </w:r>
      <w:r>
        <w:rPr>
          <w:color w:val="231F20"/>
          <w:spacing w:val="-5"/>
        </w:rPr>
        <w:t xml:space="preserve"> </w:t>
      </w:r>
      <w:r>
        <w:rPr>
          <w:color w:val="231F20"/>
        </w:rPr>
        <w:t>dry</w:t>
      </w:r>
      <w:r>
        <w:rPr>
          <w:color w:val="231F20"/>
          <w:spacing w:val="-6"/>
        </w:rPr>
        <w:t xml:space="preserve"> </w:t>
      </w:r>
      <w:r>
        <w:rPr>
          <w:color w:val="231F20"/>
        </w:rPr>
        <w:t>and</w:t>
      </w:r>
      <w:r>
        <w:rPr>
          <w:color w:val="231F20"/>
          <w:spacing w:val="-5"/>
        </w:rPr>
        <w:t xml:space="preserve"> </w:t>
      </w:r>
      <w:r>
        <w:rPr>
          <w:color w:val="231F20"/>
        </w:rPr>
        <w:t>average</w:t>
      </w:r>
      <w:r>
        <w:rPr>
          <w:color w:val="231F20"/>
          <w:spacing w:val="-5"/>
        </w:rPr>
        <w:t xml:space="preserve"> </w:t>
      </w:r>
      <w:r>
        <w:rPr>
          <w:color w:val="231F20"/>
        </w:rPr>
        <w:t>scenarios.</w:t>
      </w:r>
      <w:r>
        <w:rPr>
          <w:color w:val="231F20"/>
          <w:spacing w:val="-4"/>
        </w:rPr>
        <w:t xml:space="preserve"> </w:t>
      </w:r>
      <w:r>
        <w:rPr>
          <w:color w:val="231F20"/>
        </w:rPr>
        <w:t>No</w:t>
      </w:r>
      <w:r>
        <w:rPr>
          <w:color w:val="231F20"/>
          <w:spacing w:val="-6"/>
        </w:rPr>
        <w:t xml:space="preserve"> </w:t>
      </w:r>
      <w:r>
        <w:rPr>
          <w:color w:val="231F20"/>
        </w:rPr>
        <w:t>potential</w:t>
      </w:r>
      <w:r>
        <w:rPr>
          <w:color w:val="231F20"/>
          <w:spacing w:val="-5"/>
        </w:rPr>
        <w:t xml:space="preserve"> </w:t>
      </w:r>
      <w:r>
        <w:rPr>
          <w:color w:val="231F20"/>
        </w:rPr>
        <w:t>watering</w:t>
      </w:r>
      <w:r>
        <w:rPr>
          <w:color w:val="231F20"/>
          <w:spacing w:val="-5"/>
        </w:rPr>
        <w:t xml:space="preserve"> </w:t>
      </w:r>
      <w:r>
        <w:rPr>
          <w:color w:val="231F20"/>
        </w:rPr>
        <w:t>actions</w:t>
      </w:r>
      <w:r>
        <w:rPr>
          <w:color w:val="231F20"/>
          <w:spacing w:val="-5"/>
        </w:rPr>
        <w:t xml:space="preserve"> </w:t>
      </w:r>
      <w:r>
        <w:rPr>
          <w:color w:val="231F20"/>
        </w:rPr>
        <w:t>have been identified for the Ovens system under a wet scenario because the environmental flow requirements are likely to be achieved naturally through storage spills and unregulated tributary</w:t>
      </w:r>
      <w:r>
        <w:rPr>
          <w:color w:val="231F20"/>
          <w:spacing w:val="-11"/>
        </w:rPr>
        <w:t xml:space="preserve"> </w:t>
      </w:r>
      <w:r>
        <w:rPr>
          <w:color w:val="231F20"/>
        </w:rPr>
        <w:t>inflows.</w:t>
      </w:r>
    </w:p>
    <w:p w:rsidR="006A7A3F" w:rsidRDefault="00BC7372">
      <w:pPr>
        <w:spacing w:before="167"/>
        <w:ind w:left="210"/>
        <w:jc w:val="both"/>
        <w:rPr>
          <w:b/>
          <w:sz w:val="18"/>
        </w:rPr>
      </w:pPr>
      <w:r>
        <w:rPr>
          <w:b/>
          <w:color w:val="231F20"/>
          <w:sz w:val="18"/>
        </w:rPr>
        <w:t>Table 5.3.2 Potential environmental watering for the Ovens system under a range of planning scenarios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trPr>
          <w:trHeight w:val="367"/>
        </w:trPr>
        <w:tc>
          <w:tcPr>
            <w:tcW w:w="204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Average</w:t>
            </w:r>
          </w:p>
        </w:tc>
        <w:tc>
          <w:tcPr>
            <w:tcW w:w="2041"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Wet</w:t>
            </w:r>
          </w:p>
        </w:tc>
      </w:tr>
      <w:tr w:rsidR="006A7A3F">
        <w:trPr>
          <w:trHeight w:val="1837"/>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71"/>
              </w:numPr>
              <w:tabs>
                <w:tab w:val="left" w:pos="305"/>
              </w:tabs>
              <w:spacing w:before="70" w:line="254" w:lineRule="auto"/>
              <w:ind w:right="74"/>
              <w:jc w:val="both"/>
              <w:rPr>
                <w:sz w:val="18"/>
              </w:rPr>
            </w:pPr>
            <w:r>
              <w:rPr>
                <w:color w:val="231F20"/>
                <w:sz w:val="18"/>
              </w:rPr>
              <w:t>Possible winter/early spring natural</w:t>
            </w:r>
            <w:r>
              <w:rPr>
                <w:color w:val="231F20"/>
                <w:spacing w:val="-3"/>
                <w:sz w:val="18"/>
              </w:rPr>
              <w:t xml:space="preserve"> </w:t>
            </w:r>
            <w:r>
              <w:rPr>
                <w:color w:val="231F20"/>
                <w:sz w:val="18"/>
              </w:rPr>
              <w:t>flow</w:t>
            </w:r>
          </w:p>
          <w:p w:rsidR="006A7A3F" w:rsidRDefault="00BC7372">
            <w:pPr>
              <w:pStyle w:val="TableParagraph"/>
              <w:numPr>
                <w:ilvl w:val="0"/>
                <w:numId w:val="271"/>
              </w:numPr>
              <w:tabs>
                <w:tab w:val="left" w:pos="305"/>
              </w:tabs>
              <w:spacing w:before="87" w:line="254" w:lineRule="auto"/>
              <w:ind w:right="423"/>
              <w:jc w:val="both"/>
              <w:rPr>
                <w:sz w:val="18"/>
              </w:rPr>
            </w:pPr>
            <w:r>
              <w:rPr>
                <w:color w:val="231F20"/>
                <w:sz w:val="18"/>
              </w:rPr>
              <w:t>Highly likely low summer/autumn flows</w:t>
            </w:r>
          </w:p>
          <w:p w:rsidR="006A7A3F" w:rsidRDefault="00BC7372">
            <w:pPr>
              <w:pStyle w:val="TableParagraph"/>
              <w:numPr>
                <w:ilvl w:val="0"/>
                <w:numId w:val="271"/>
              </w:numPr>
              <w:tabs>
                <w:tab w:val="left" w:pos="305"/>
              </w:tabs>
              <w:spacing w:before="86" w:line="254" w:lineRule="auto"/>
              <w:ind w:right="624"/>
              <w:jc w:val="both"/>
              <w:rPr>
                <w:sz w:val="18"/>
              </w:rPr>
            </w:pPr>
            <w:r>
              <w:rPr>
                <w:color w:val="231F20"/>
                <w:sz w:val="18"/>
              </w:rPr>
              <w:t>No bulk water release</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70"/>
              </w:numPr>
              <w:tabs>
                <w:tab w:val="left" w:pos="305"/>
              </w:tabs>
              <w:spacing w:before="70" w:line="254" w:lineRule="auto"/>
              <w:ind w:right="74"/>
              <w:jc w:val="both"/>
              <w:rPr>
                <w:sz w:val="18"/>
              </w:rPr>
            </w:pPr>
            <w:r>
              <w:rPr>
                <w:color w:val="231F20"/>
                <w:sz w:val="18"/>
              </w:rPr>
              <w:t>Possible winter/early spring natural</w:t>
            </w:r>
            <w:r>
              <w:rPr>
                <w:color w:val="231F20"/>
                <w:spacing w:val="-3"/>
                <w:sz w:val="18"/>
              </w:rPr>
              <w:t xml:space="preserve"> </w:t>
            </w:r>
            <w:r>
              <w:rPr>
                <w:color w:val="231F20"/>
                <w:sz w:val="18"/>
              </w:rPr>
              <w:t>flow</w:t>
            </w:r>
          </w:p>
          <w:p w:rsidR="006A7A3F" w:rsidRDefault="00BC7372">
            <w:pPr>
              <w:pStyle w:val="TableParagraph"/>
              <w:numPr>
                <w:ilvl w:val="0"/>
                <w:numId w:val="270"/>
              </w:numPr>
              <w:tabs>
                <w:tab w:val="left" w:pos="305"/>
              </w:tabs>
              <w:spacing w:before="87" w:line="254" w:lineRule="auto"/>
              <w:ind w:right="423"/>
              <w:jc w:val="both"/>
              <w:rPr>
                <w:sz w:val="18"/>
              </w:rPr>
            </w:pPr>
            <w:r>
              <w:rPr>
                <w:color w:val="231F20"/>
                <w:sz w:val="18"/>
              </w:rPr>
              <w:t>Highly likely low summer/autumn flows</w:t>
            </w:r>
          </w:p>
          <w:p w:rsidR="006A7A3F" w:rsidRDefault="00BC7372">
            <w:pPr>
              <w:pStyle w:val="TableParagraph"/>
              <w:numPr>
                <w:ilvl w:val="0"/>
                <w:numId w:val="270"/>
              </w:numPr>
              <w:tabs>
                <w:tab w:val="left" w:pos="305"/>
              </w:tabs>
              <w:spacing w:before="86" w:line="254" w:lineRule="auto"/>
              <w:ind w:right="243"/>
              <w:jc w:val="both"/>
              <w:rPr>
                <w:sz w:val="18"/>
              </w:rPr>
            </w:pPr>
            <w:r>
              <w:rPr>
                <w:color w:val="231F20"/>
                <w:sz w:val="18"/>
              </w:rPr>
              <w:t>Bulk water release unlikely</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69"/>
              </w:numPr>
              <w:tabs>
                <w:tab w:val="left" w:pos="305"/>
              </w:tabs>
              <w:spacing w:before="70" w:line="254" w:lineRule="auto"/>
              <w:ind w:right="284"/>
              <w:rPr>
                <w:sz w:val="18"/>
              </w:rPr>
            </w:pPr>
            <w:r>
              <w:rPr>
                <w:color w:val="231F20"/>
                <w:sz w:val="18"/>
              </w:rPr>
              <w:t>High winter/spring natural</w:t>
            </w:r>
            <w:r>
              <w:rPr>
                <w:color w:val="231F20"/>
                <w:spacing w:val="-2"/>
                <w:sz w:val="18"/>
              </w:rPr>
              <w:t xml:space="preserve"> </w:t>
            </w:r>
            <w:r>
              <w:rPr>
                <w:color w:val="231F20"/>
                <w:sz w:val="18"/>
              </w:rPr>
              <w:t>flow</w:t>
            </w:r>
          </w:p>
          <w:p w:rsidR="006A7A3F" w:rsidRDefault="00BC7372">
            <w:pPr>
              <w:pStyle w:val="TableParagraph"/>
              <w:numPr>
                <w:ilvl w:val="0"/>
                <w:numId w:val="269"/>
              </w:numPr>
              <w:tabs>
                <w:tab w:val="left" w:pos="305"/>
              </w:tabs>
              <w:spacing w:before="87" w:line="254" w:lineRule="auto"/>
              <w:ind w:right="293"/>
              <w:rPr>
                <w:sz w:val="18"/>
              </w:rPr>
            </w:pPr>
            <w:r>
              <w:rPr>
                <w:color w:val="231F20"/>
                <w:sz w:val="18"/>
              </w:rPr>
              <w:t xml:space="preserve">Possible </w:t>
            </w:r>
            <w:r>
              <w:rPr>
                <w:color w:val="231F20"/>
                <w:spacing w:val="-3"/>
                <w:sz w:val="18"/>
              </w:rPr>
              <w:t xml:space="preserve">summer/ </w:t>
            </w:r>
            <w:r>
              <w:rPr>
                <w:color w:val="231F20"/>
                <w:sz w:val="18"/>
              </w:rPr>
              <w:t>autumn low</w:t>
            </w:r>
            <w:r>
              <w:rPr>
                <w:color w:val="231F20"/>
                <w:spacing w:val="-5"/>
                <w:sz w:val="18"/>
              </w:rPr>
              <w:t xml:space="preserve"> </w:t>
            </w:r>
            <w:r>
              <w:rPr>
                <w:color w:val="231F20"/>
                <w:sz w:val="18"/>
              </w:rPr>
              <w:t>flow</w:t>
            </w:r>
          </w:p>
          <w:p w:rsidR="006A7A3F" w:rsidRDefault="00BC7372">
            <w:pPr>
              <w:pStyle w:val="TableParagraph"/>
              <w:numPr>
                <w:ilvl w:val="0"/>
                <w:numId w:val="269"/>
              </w:numPr>
              <w:tabs>
                <w:tab w:val="left" w:pos="305"/>
              </w:tabs>
              <w:spacing w:before="86" w:line="254" w:lineRule="auto"/>
              <w:ind w:right="243"/>
              <w:rPr>
                <w:sz w:val="18"/>
              </w:rPr>
            </w:pPr>
            <w:r>
              <w:rPr>
                <w:color w:val="231F20"/>
                <w:sz w:val="18"/>
              </w:rPr>
              <w:t>Bulk water release likely</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68"/>
              </w:numPr>
              <w:tabs>
                <w:tab w:val="left" w:pos="305"/>
              </w:tabs>
              <w:spacing w:before="70" w:line="254" w:lineRule="auto"/>
              <w:ind w:right="222"/>
              <w:rPr>
                <w:sz w:val="18"/>
              </w:rPr>
            </w:pPr>
            <w:r>
              <w:rPr>
                <w:color w:val="231F20"/>
                <w:sz w:val="18"/>
              </w:rPr>
              <w:t xml:space="preserve">High natural flow throughout most </w:t>
            </w:r>
            <w:r>
              <w:rPr>
                <w:color w:val="231F20"/>
                <w:spacing w:val="-8"/>
                <w:sz w:val="18"/>
              </w:rPr>
              <w:t xml:space="preserve">of </w:t>
            </w:r>
            <w:r>
              <w:rPr>
                <w:color w:val="231F20"/>
                <w:sz w:val="18"/>
              </w:rPr>
              <w:t>the year</w:t>
            </w:r>
          </w:p>
          <w:p w:rsidR="006A7A3F" w:rsidRDefault="00BC7372">
            <w:pPr>
              <w:pStyle w:val="TableParagraph"/>
              <w:numPr>
                <w:ilvl w:val="0"/>
                <w:numId w:val="268"/>
              </w:numPr>
              <w:tabs>
                <w:tab w:val="left" w:pos="305"/>
              </w:tabs>
              <w:spacing w:before="87" w:line="254" w:lineRule="auto"/>
              <w:ind w:right="243"/>
              <w:rPr>
                <w:sz w:val="18"/>
              </w:rPr>
            </w:pPr>
            <w:r>
              <w:rPr>
                <w:color w:val="231F20"/>
                <w:sz w:val="18"/>
              </w:rPr>
              <w:t>Bulk water release likely</w:t>
            </w:r>
          </w:p>
          <w:p w:rsidR="006A7A3F" w:rsidRDefault="00BC7372">
            <w:pPr>
              <w:pStyle w:val="TableParagraph"/>
              <w:numPr>
                <w:ilvl w:val="0"/>
                <w:numId w:val="268"/>
              </w:numPr>
              <w:tabs>
                <w:tab w:val="left" w:pos="305"/>
              </w:tabs>
              <w:spacing w:before="86" w:line="254" w:lineRule="auto"/>
              <w:ind w:right="273"/>
              <w:rPr>
                <w:sz w:val="18"/>
              </w:rPr>
            </w:pPr>
            <w:r>
              <w:rPr>
                <w:color w:val="231F20"/>
                <w:sz w:val="18"/>
              </w:rPr>
              <w:t>All flow objectives achieved</w:t>
            </w:r>
            <w:r>
              <w:rPr>
                <w:color w:val="231F20"/>
                <w:spacing w:val="-13"/>
                <w:sz w:val="18"/>
              </w:rPr>
              <w:t xml:space="preserve"> </w:t>
            </w:r>
            <w:r>
              <w:rPr>
                <w:color w:val="231F20"/>
                <w:sz w:val="18"/>
              </w:rPr>
              <w:t>naturally</w:t>
            </w:r>
          </w:p>
        </w:tc>
      </w:tr>
      <w:tr w:rsidR="006A7A3F">
        <w:trPr>
          <w:trHeight w:val="5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61"/>
              <w:rPr>
                <w:sz w:val="9"/>
              </w:rPr>
            </w:pPr>
            <w:r>
              <w:rPr>
                <w:color w:val="231F20"/>
                <w:sz w:val="16"/>
              </w:rPr>
              <w:t>Expected availability of water for the environment</w:t>
            </w:r>
            <w:r>
              <w:rPr>
                <w:color w:val="231F20"/>
                <w:position w:val="5"/>
                <w:sz w:val="9"/>
              </w:rPr>
              <w:t>1</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Default="00BC7372" w:rsidP="00316FE5">
            <w:pPr>
              <w:pStyle w:val="TableParagraph"/>
              <w:numPr>
                <w:ilvl w:val="0"/>
                <w:numId w:val="267"/>
              </w:numPr>
              <w:tabs>
                <w:tab w:val="left" w:pos="284"/>
              </w:tabs>
              <w:spacing w:before="70"/>
              <w:ind w:hanging="3876"/>
              <w:jc w:val="center"/>
              <w:rPr>
                <w:sz w:val="18"/>
              </w:rPr>
            </w:pPr>
            <w:r>
              <w:rPr>
                <w:color w:val="231F20"/>
                <w:sz w:val="18"/>
              </w:rPr>
              <w:t>123</w:t>
            </w:r>
            <w:r>
              <w:rPr>
                <w:color w:val="231F20"/>
                <w:spacing w:val="-2"/>
                <w:sz w:val="18"/>
              </w:rPr>
              <w:t xml:space="preserve"> </w:t>
            </w:r>
            <w:r>
              <w:rPr>
                <w:color w:val="231F20"/>
                <w:sz w:val="18"/>
              </w:rPr>
              <w:t>ML</w:t>
            </w:r>
          </w:p>
        </w:tc>
      </w:tr>
      <w:tr w:rsidR="006A7A3F">
        <w:trPr>
          <w:trHeight w:val="139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72"/>
              <w:jc w:val="both"/>
              <w:rPr>
                <w:sz w:val="16"/>
              </w:rPr>
            </w:pPr>
            <w:r>
              <w:rPr>
                <w:color w:val="231F20"/>
                <w:sz w:val="16"/>
              </w:rPr>
              <w:t>Potential environmental watering – tier 1a (high priorities)</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66"/>
              </w:numPr>
              <w:tabs>
                <w:tab w:val="left" w:pos="305"/>
              </w:tabs>
              <w:spacing w:before="70" w:line="254" w:lineRule="auto"/>
              <w:ind w:right="73"/>
              <w:rPr>
                <w:sz w:val="18"/>
              </w:rPr>
            </w:pPr>
            <w:r>
              <w:rPr>
                <w:color w:val="231F20"/>
                <w:sz w:val="18"/>
              </w:rPr>
              <w:t xml:space="preserve">Summer/autumn </w:t>
            </w:r>
            <w:r>
              <w:rPr>
                <w:color w:val="231F20"/>
                <w:spacing w:val="-6"/>
                <w:sz w:val="18"/>
              </w:rPr>
              <w:t xml:space="preserve">low </w:t>
            </w:r>
            <w:r>
              <w:rPr>
                <w:color w:val="231F20"/>
                <w:sz w:val="18"/>
              </w:rPr>
              <w:t>flow variability</w:t>
            </w:r>
          </w:p>
          <w:p w:rsidR="006A7A3F" w:rsidRDefault="00BC7372">
            <w:pPr>
              <w:pStyle w:val="TableParagraph"/>
              <w:numPr>
                <w:ilvl w:val="0"/>
                <w:numId w:val="266"/>
              </w:numPr>
              <w:tabs>
                <w:tab w:val="left" w:pos="305"/>
              </w:tabs>
              <w:spacing w:before="87" w:line="254" w:lineRule="auto"/>
              <w:ind w:right="238"/>
              <w:rPr>
                <w:sz w:val="18"/>
              </w:rPr>
            </w:pPr>
            <w:r>
              <w:rPr>
                <w:color w:val="231F20"/>
                <w:sz w:val="18"/>
              </w:rPr>
              <w:t xml:space="preserve">Mullinmur </w:t>
            </w:r>
            <w:r>
              <w:rPr>
                <w:color w:val="231F20"/>
                <w:spacing w:val="-4"/>
                <w:sz w:val="18"/>
              </w:rPr>
              <w:t xml:space="preserve">Wetland </w:t>
            </w:r>
            <w:r>
              <w:rPr>
                <w:color w:val="231F20"/>
                <w:sz w:val="18"/>
              </w:rPr>
              <w:t>top-up</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65"/>
              </w:numPr>
              <w:tabs>
                <w:tab w:val="left" w:pos="305"/>
              </w:tabs>
              <w:spacing w:before="70" w:line="254" w:lineRule="auto"/>
              <w:ind w:right="73"/>
              <w:rPr>
                <w:sz w:val="18"/>
              </w:rPr>
            </w:pPr>
            <w:r>
              <w:rPr>
                <w:color w:val="231F20"/>
                <w:sz w:val="18"/>
              </w:rPr>
              <w:t xml:space="preserve">Summer/autumn </w:t>
            </w:r>
            <w:r>
              <w:rPr>
                <w:color w:val="231F20"/>
                <w:spacing w:val="-6"/>
                <w:sz w:val="18"/>
              </w:rPr>
              <w:t xml:space="preserve">low </w:t>
            </w:r>
            <w:r>
              <w:rPr>
                <w:color w:val="231F20"/>
                <w:sz w:val="18"/>
              </w:rPr>
              <w:t>flow variability</w:t>
            </w:r>
          </w:p>
          <w:p w:rsidR="006A7A3F" w:rsidRDefault="00BC7372">
            <w:pPr>
              <w:pStyle w:val="TableParagraph"/>
              <w:numPr>
                <w:ilvl w:val="0"/>
                <w:numId w:val="265"/>
              </w:numPr>
              <w:tabs>
                <w:tab w:val="left" w:pos="305"/>
              </w:tabs>
              <w:spacing w:before="87" w:line="254" w:lineRule="auto"/>
              <w:ind w:right="237"/>
              <w:rPr>
                <w:sz w:val="18"/>
              </w:rPr>
            </w:pPr>
            <w:r>
              <w:rPr>
                <w:color w:val="231F20"/>
                <w:sz w:val="18"/>
              </w:rPr>
              <w:t>Mullinmur</w:t>
            </w:r>
            <w:r>
              <w:rPr>
                <w:color w:val="231F20"/>
                <w:spacing w:val="-9"/>
                <w:sz w:val="18"/>
              </w:rPr>
              <w:t xml:space="preserve"> </w:t>
            </w:r>
            <w:r>
              <w:rPr>
                <w:color w:val="231F20"/>
                <w:sz w:val="18"/>
              </w:rPr>
              <w:t>Wetland top-up</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64"/>
              </w:numPr>
              <w:tabs>
                <w:tab w:val="left" w:pos="305"/>
              </w:tabs>
              <w:spacing w:before="70"/>
              <w:rPr>
                <w:sz w:val="18"/>
              </w:rPr>
            </w:pPr>
            <w:r>
              <w:rPr>
                <w:color w:val="231F20"/>
                <w:sz w:val="18"/>
              </w:rPr>
              <w:t>Autumn fresh</w:t>
            </w:r>
          </w:p>
          <w:p w:rsidR="006A7A3F" w:rsidRDefault="00BC7372">
            <w:pPr>
              <w:pStyle w:val="TableParagraph"/>
              <w:numPr>
                <w:ilvl w:val="0"/>
                <w:numId w:val="264"/>
              </w:numPr>
              <w:tabs>
                <w:tab w:val="left" w:pos="305"/>
              </w:tabs>
              <w:spacing w:before="98" w:line="254" w:lineRule="auto"/>
              <w:ind w:right="73"/>
              <w:rPr>
                <w:sz w:val="18"/>
              </w:rPr>
            </w:pPr>
            <w:r>
              <w:rPr>
                <w:color w:val="231F20"/>
                <w:sz w:val="18"/>
              </w:rPr>
              <w:t xml:space="preserve">Summer/autumn </w:t>
            </w:r>
            <w:r>
              <w:rPr>
                <w:color w:val="231F20"/>
                <w:spacing w:val="-6"/>
                <w:sz w:val="18"/>
              </w:rPr>
              <w:t xml:space="preserve">low </w:t>
            </w:r>
            <w:r>
              <w:rPr>
                <w:color w:val="231F20"/>
                <w:sz w:val="18"/>
              </w:rPr>
              <w:t>flow variability</w:t>
            </w:r>
          </w:p>
          <w:p w:rsidR="006A7A3F" w:rsidRDefault="00BC7372">
            <w:pPr>
              <w:pStyle w:val="TableParagraph"/>
              <w:numPr>
                <w:ilvl w:val="0"/>
                <w:numId w:val="264"/>
              </w:numPr>
              <w:tabs>
                <w:tab w:val="left" w:pos="305"/>
              </w:tabs>
              <w:spacing w:before="87" w:line="254" w:lineRule="auto"/>
              <w:ind w:right="237"/>
              <w:rPr>
                <w:sz w:val="18"/>
              </w:rPr>
            </w:pPr>
            <w:r>
              <w:rPr>
                <w:color w:val="231F20"/>
                <w:sz w:val="18"/>
              </w:rPr>
              <w:t>Mullinmur</w:t>
            </w:r>
            <w:r>
              <w:rPr>
                <w:color w:val="231F20"/>
                <w:spacing w:val="-9"/>
                <w:sz w:val="18"/>
              </w:rPr>
              <w:t xml:space="preserve"> </w:t>
            </w:r>
            <w:r>
              <w:rPr>
                <w:color w:val="231F20"/>
                <w:sz w:val="18"/>
              </w:rPr>
              <w:t>Wetland top-up</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63"/>
              </w:numPr>
              <w:tabs>
                <w:tab w:val="left" w:pos="305"/>
              </w:tabs>
              <w:spacing w:before="70"/>
              <w:rPr>
                <w:sz w:val="18"/>
              </w:rPr>
            </w:pPr>
            <w:r>
              <w:rPr>
                <w:color w:val="231F20"/>
                <w:sz w:val="18"/>
              </w:rPr>
              <w:t>None</w:t>
            </w:r>
            <w:r>
              <w:rPr>
                <w:color w:val="231F20"/>
                <w:spacing w:val="-2"/>
                <w:sz w:val="18"/>
              </w:rPr>
              <w:t xml:space="preserve"> </w:t>
            </w:r>
            <w:r>
              <w:rPr>
                <w:color w:val="231F20"/>
                <w:sz w:val="18"/>
              </w:rPr>
              <w:t>required</w:t>
            </w:r>
          </w:p>
        </w:tc>
      </w:tr>
      <w:tr w:rsidR="006A7A3F">
        <w:trPr>
          <w:trHeight w:val="9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85"/>
              <w:rPr>
                <w:sz w:val="16"/>
              </w:rPr>
            </w:pPr>
            <w:r>
              <w:rPr>
                <w:color w:val="231F20"/>
                <w:sz w:val="16"/>
              </w:rPr>
              <w:t>Possible volume of environmental water required to achieve objectives</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62"/>
              </w:numPr>
              <w:tabs>
                <w:tab w:val="left" w:pos="305"/>
              </w:tabs>
              <w:spacing w:before="70"/>
              <w:rPr>
                <w:sz w:val="18"/>
              </w:rPr>
            </w:pPr>
            <w:r>
              <w:rPr>
                <w:color w:val="231F20"/>
                <w:sz w:val="18"/>
              </w:rPr>
              <w:t>0–123</w:t>
            </w:r>
            <w:r>
              <w:rPr>
                <w:color w:val="231F20"/>
                <w:spacing w:val="-2"/>
                <w:sz w:val="18"/>
              </w:rPr>
              <w:t xml:space="preserve"> </w:t>
            </w:r>
            <w:r>
              <w:rPr>
                <w:color w:val="231F20"/>
                <w:sz w:val="18"/>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61"/>
              </w:numPr>
              <w:tabs>
                <w:tab w:val="left" w:pos="305"/>
              </w:tabs>
              <w:spacing w:before="70"/>
              <w:rPr>
                <w:sz w:val="18"/>
              </w:rPr>
            </w:pPr>
            <w:r>
              <w:rPr>
                <w:color w:val="231F20"/>
                <w:sz w:val="18"/>
              </w:rPr>
              <w:t>123</w:t>
            </w:r>
            <w:r>
              <w:rPr>
                <w:color w:val="231F20"/>
                <w:spacing w:val="-2"/>
                <w:sz w:val="18"/>
              </w:rPr>
              <w:t xml:space="preserve"> </w:t>
            </w:r>
            <w:r>
              <w:rPr>
                <w:color w:val="231F20"/>
                <w:sz w:val="18"/>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60"/>
              </w:numPr>
              <w:tabs>
                <w:tab w:val="left" w:pos="305"/>
              </w:tabs>
              <w:spacing w:before="70"/>
              <w:rPr>
                <w:sz w:val="18"/>
              </w:rPr>
            </w:pPr>
            <w:r>
              <w:rPr>
                <w:color w:val="231F20"/>
                <w:sz w:val="18"/>
              </w:rPr>
              <w:t>123</w:t>
            </w:r>
            <w:r>
              <w:rPr>
                <w:color w:val="231F20"/>
                <w:spacing w:val="-2"/>
                <w:sz w:val="18"/>
              </w:rPr>
              <w:t xml:space="preserve"> </w:t>
            </w:r>
            <w:r>
              <w:rPr>
                <w:color w:val="231F20"/>
                <w:sz w:val="18"/>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59"/>
              </w:numPr>
              <w:tabs>
                <w:tab w:val="left" w:pos="305"/>
              </w:tabs>
              <w:spacing w:before="70"/>
              <w:rPr>
                <w:sz w:val="18"/>
              </w:rPr>
            </w:pPr>
            <w:r>
              <w:rPr>
                <w:color w:val="231F20"/>
                <w:sz w:val="18"/>
              </w:rPr>
              <w:t>0</w:t>
            </w:r>
            <w:r>
              <w:rPr>
                <w:color w:val="231F20"/>
                <w:spacing w:val="-1"/>
                <w:sz w:val="18"/>
              </w:rPr>
              <w:t xml:space="preserve"> </w:t>
            </w:r>
            <w:r>
              <w:rPr>
                <w:color w:val="231F20"/>
                <w:sz w:val="18"/>
              </w:rPr>
              <w:t>ML</w:t>
            </w:r>
          </w:p>
        </w:tc>
      </w:tr>
    </w:tbl>
    <w:p w:rsidR="006A7A3F" w:rsidRDefault="00BC7372">
      <w:pPr>
        <w:spacing w:before="24"/>
        <w:ind w:left="210"/>
        <w:jc w:val="both"/>
        <w:rPr>
          <w:sz w:val="14"/>
        </w:rPr>
      </w:pPr>
      <w:r>
        <w:rPr>
          <w:color w:val="231F20"/>
          <w:sz w:val="14"/>
        </w:rPr>
        <w:t>1 Access to entitlements may be restricted if rights to environmental water are qualified under a drought scenario.</w:t>
      </w:r>
    </w:p>
    <w:p w:rsidR="00843FAE" w:rsidRDefault="00843FAE">
      <w:pPr>
        <w:rPr>
          <w:sz w:val="13"/>
          <w:szCs w:val="20"/>
        </w:rPr>
      </w:pPr>
      <w:r>
        <w:rPr>
          <w:sz w:val="13"/>
        </w:rPr>
        <w:br w:type="page"/>
      </w:r>
    </w:p>
    <w:p w:rsidR="006A7A3F" w:rsidRDefault="006A7A3F">
      <w:pPr>
        <w:pStyle w:val="BodyText"/>
        <w:spacing w:before="3"/>
        <w:ind w:left="0"/>
        <w:rPr>
          <w:sz w:val="13"/>
        </w:rPr>
      </w:pPr>
    </w:p>
    <w:p w:rsidR="006A7A3F" w:rsidRDefault="00BC7372">
      <w:pPr>
        <w:pStyle w:val="Heading1"/>
        <w:numPr>
          <w:ilvl w:val="1"/>
          <w:numId w:val="577"/>
        </w:numPr>
        <w:tabs>
          <w:tab w:val="left" w:pos="911"/>
        </w:tabs>
      </w:pPr>
      <w:r>
        <w:rPr>
          <w:color w:val="231F20"/>
        </w:rPr>
        <w:t>Goulburn system</w:t>
      </w:r>
    </w:p>
    <w:p w:rsidR="006A7A3F" w:rsidRDefault="00BC7372">
      <w:pPr>
        <w:spacing w:before="256"/>
        <w:ind w:left="210"/>
        <w:jc w:val="both"/>
        <w:rPr>
          <w:rFonts w:ascii="Helvetica Neue LT Std 75"/>
          <w:b/>
          <w:sz w:val="19"/>
        </w:rPr>
      </w:pPr>
      <w:r>
        <w:rPr>
          <w:rFonts w:ascii="Helvetica Neue LT Std 75"/>
          <w:b/>
          <w:color w:val="231F20"/>
          <w:sz w:val="19"/>
        </w:rPr>
        <w:t>Did you know...?</w:t>
      </w:r>
    </w:p>
    <w:p w:rsidR="006A7A3F" w:rsidRDefault="00BC7372">
      <w:pPr>
        <w:pStyle w:val="BodyText"/>
        <w:spacing w:before="68"/>
        <w:jc w:val="both"/>
      </w:pPr>
      <w:r>
        <w:rPr>
          <w:color w:val="231F20"/>
        </w:rPr>
        <w:t>Taungurung people know the Goulburn River as Waring, and have a special connection to it and its tributaries.</w:t>
      </w:r>
    </w:p>
    <w:p w:rsidR="006A7A3F" w:rsidRDefault="00BC7372">
      <w:pPr>
        <w:pStyle w:val="BodyText"/>
        <w:spacing w:before="180" w:line="249" w:lineRule="auto"/>
        <w:ind w:right="285"/>
      </w:pPr>
      <w:r>
        <w:rPr>
          <w:color w:val="231F20"/>
        </w:rPr>
        <w:t xml:space="preserve">The waters of </w:t>
      </w:r>
      <w:r>
        <w:rPr>
          <w:color w:val="231F20"/>
          <w:spacing w:val="-2"/>
        </w:rPr>
        <w:t xml:space="preserve">Waring </w:t>
      </w:r>
      <w:r>
        <w:rPr>
          <w:color w:val="231F20"/>
        </w:rPr>
        <w:t xml:space="preserve">have a special connection with </w:t>
      </w:r>
      <w:r>
        <w:rPr>
          <w:color w:val="231F20"/>
          <w:spacing w:val="-3"/>
        </w:rPr>
        <w:t xml:space="preserve">Taungurung, </w:t>
      </w:r>
      <w:r>
        <w:rPr>
          <w:color w:val="231F20"/>
        </w:rPr>
        <w:t xml:space="preserve">including its tributaries such as the Broken </w:t>
      </w:r>
      <w:r>
        <w:rPr>
          <w:color w:val="231F20"/>
          <w:spacing w:val="-3"/>
        </w:rPr>
        <w:t xml:space="preserve">River, </w:t>
      </w:r>
      <w:r>
        <w:rPr>
          <w:color w:val="231F20"/>
        </w:rPr>
        <w:t xml:space="preserve">Hughes Creek, Seven Creeks, </w:t>
      </w:r>
      <w:r>
        <w:rPr>
          <w:color w:val="231F20"/>
          <w:spacing w:val="-7"/>
        </w:rPr>
        <w:t xml:space="preserve">Yea </w:t>
      </w:r>
      <w:r>
        <w:rPr>
          <w:color w:val="231F20"/>
          <w:spacing w:val="-3"/>
        </w:rPr>
        <w:t xml:space="preserve">River, </w:t>
      </w:r>
      <w:r>
        <w:rPr>
          <w:color w:val="231F20"/>
        </w:rPr>
        <w:t xml:space="preserve">Acheron </w:t>
      </w:r>
      <w:r>
        <w:rPr>
          <w:color w:val="231F20"/>
          <w:spacing w:val="-3"/>
        </w:rPr>
        <w:t xml:space="preserve">River, </w:t>
      </w:r>
      <w:r>
        <w:rPr>
          <w:color w:val="231F20"/>
        </w:rPr>
        <w:t xml:space="preserve">King Parrot Creek, Rubicon </w:t>
      </w:r>
      <w:r>
        <w:rPr>
          <w:color w:val="231F20"/>
          <w:spacing w:val="-3"/>
        </w:rPr>
        <w:t xml:space="preserve">River, </w:t>
      </w:r>
      <w:r>
        <w:rPr>
          <w:color w:val="231F20"/>
        </w:rPr>
        <w:t xml:space="preserve">Jamieson </w:t>
      </w:r>
      <w:r>
        <w:rPr>
          <w:color w:val="231F20"/>
          <w:spacing w:val="-3"/>
        </w:rPr>
        <w:t xml:space="preserve">River, </w:t>
      </w:r>
      <w:r>
        <w:rPr>
          <w:color w:val="231F20"/>
        </w:rPr>
        <w:t xml:space="preserve">and the Howqua and Delatite rivers. </w:t>
      </w:r>
      <w:r>
        <w:rPr>
          <w:color w:val="231F20"/>
          <w:spacing w:val="-3"/>
        </w:rPr>
        <w:t xml:space="preserve">Taungurung’s </w:t>
      </w:r>
      <w:r>
        <w:rPr>
          <w:color w:val="231F20"/>
        </w:rPr>
        <w:t>involvement is crucial to incorporate their traditional ecological knowledge into water management in the</w:t>
      </w:r>
      <w:r>
        <w:rPr>
          <w:color w:val="231F20"/>
          <w:spacing w:val="-4"/>
        </w:rPr>
        <w:t xml:space="preserve"> </w:t>
      </w:r>
      <w:r>
        <w:rPr>
          <w:color w:val="231F20"/>
        </w:rPr>
        <w:t>region.</w:t>
      </w:r>
    </w:p>
    <w:p w:rsidR="006A7A3F" w:rsidRDefault="00BC7372">
      <w:pPr>
        <w:pStyle w:val="BodyText"/>
        <w:spacing w:before="70" w:line="249" w:lineRule="auto"/>
        <w:ind w:right="289"/>
        <w:jc w:val="both"/>
      </w:pPr>
      <w:r>
        <w:rPr>
          <w:color w:val="231F20"/>
        </w:rPr>
        <w:t>Horseshoe Lagoon is a culturally significant site for Taungurung women. Water for the environment was delivered to the site, outside Seymour, for the first time in July 2019. Celebrating the delivery Taungurung water knowledge group Baan Ganalina (Guardians of Water), Goulburn Broken CMA, local landholders and partners came together to mark the significant occasion. Horseshoe Lagoon is one of the many Goulburn River associated wetlands which are highly significant for Taungurung.</w:t>
      </w:r>
    </w:p>
    <w:p w:rsidR="006A7A3F" w:rsidRDefault="00BC7372" w:rsidP="00093C34">
      <w:pPr>
        <w:pStyle w:val="BodyText"/>
        <w:spacing w:before="120" w:after="120"/>
        <w:ind w:left="0"/>
        <w:rPr>
          <w:sz w:val="13"/>
        </w:rPr>
      </w:pPr>
      <w:r>
        <w:rPr>
          <w:noProof/>
        </w:rPr>
        <w:drawing>
          <wp:inline distT="0" distB="0" distL="0" distR="0">
            <wp:extent cx="2959630" cy="1420368"/>
            <wp:effectExtent l="0" t="0" r="0" b="2540"/>
            <wp:docPr id="2079" name="image45.jpeg" descr="The pie chart shows the proportions of water entitlements in the Goulburn system held by private users (50%), water authorities (20%) and environmental water holders (30%)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age4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59630" cy="1420368"/>
                    </a:xfrm>
                    <a:prstGeom prst="rect">
                      <a:avLst/>
                    </a:prstGeom>
                  </pic:spPr>
                </pic:pic>
              </a:graphicData>
            </a:graphic>
          </wp:inline>
        </w:drawing>
      </w:r>
    </w:p>
    <w:p w:rsidR="006A7A3F" w:rsidRDefault="006A7A3F">
      <w:pPr>
        <w:pStyle w:val="BodyText"/>
        <w:spacing w:before="8"/>
        <w:ind w:left="0"/>
        <w:rPr>
          <w:sz w:val="31"/>
        </w:rPr>
      </w:pPr>
    </w:p>
    <w:p w:rsidR="006A7A3F" w:rsidRDefault="00BC7372">
      <w:pPr>
        <w:pStyle w:val="Heading7"/>
        <w:spacing w:line="249" w:lineRule="auto"/>
        <w:ind w:right="956"/>
      </w:pPr>
      <w:r>
        <w:rPr>
          <w:color w:val="231F20"/>
        </w:rPr>
        <w:t>Proportion of water entitlements in the Goulburn basin held by private users, water corporations or environmental water holders at 30 June 2019.</w:t>
      </w:r>
    </w:p>
    <w:p w:rsidR="006A7A3F" w:rsidRDefault="006A7A3F">
      <w:pPr>
        <w:pStyle w:val="BodyText"/>
        <w:spacing w:before="8"/>
        <w:ind w:left="0"/>
        <w:rPr>
          <w:b/>
          <w:sz w:val="17"/>
        </w:rPr>
      </w:pPr>
    </w:p>
    <w:p w:rsidR="006A7A3F" w:rsidRDefault="00BC7372">
      <w:pPr>
        <w:ind w:left="210"/>
      </w:pPr>
      <w:r>
        <w:rPr>
          <w:color w:val="231F20"/>
        </w:rPr>
        <w:t>The Goulburn system includes the Goulburn River and Goulburn wetlands.</w:t>
      </w:r>
    </w:p>
    <w:p w:rsidR="006A7A3F" w:rsidRDefault="006A7A3F">
      <w:pPr>
        <w:pStyle w:val="BodyText"/>
        <w:spacing w:before="3"/>
        <w:ind w:left="0"/>
        <w:rPr>
          <w:sz w:val="31"/>
        </w:rPr>
      </w:pPr>
    </w:p>
    <w:p w:rsidR="006A7A3F" w:rsidRDefault="00BC7372">
      <w:pPr>
        <w:pStyle w:val="ListParagraph"/>
        <w:numPr>
          <w:ilvl w:val="2"/>
          <w:numId w:val="577"/>
        </w:numPr>
        <w:tabs>
          <w:tab w:val="left" w:pos="811"/>
        </w:tabs>
        <w:spacing w:before="0"/>
        <w:rPr>
          <w:rFonts w:ascii="HelveticaNeueLTStd-Md"/>
          <w:color w:val="231F20"/>
          <w:sz w:val="24"/>
        </w:rPr>
      </w:pPr>
      <w:r>
        <w:rPr>
          <w:rFonts w:ascii="HelveticaNeueLTStd-Md"/>
          <w:color w:val="231F20"/>
          <w:sz w:val="24"/>
        </w:rPr>
        <w:t>Goulburn River</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spacing w:before="98" w:line="276" w:lineRule="auto"/>
        <w:ind w:left="210" w:right="141"/>
      </w:pPr>
      <w:r>
        <w:rPr>
          <w:color w:val="231F20"/>
        </w:rPr>
        <w:t>The Goulburn is Victoria’s largest river basin, covering over 1.6 million ha or 7.1 percent of the state. The Goulburn River flows for 570 km from the Great Dividing Range upstream of Woods Point to the Murray River east of Echuca. It is an iconic heritage river because of its environmental, Aboriginal cultural heritage and recreational values.</w:t>
      </w:r>
    </w:p>
    <w:p w:rsidR="006A7A3F" w:rsidRDefault="006A7A3F">
      <w:pPr>
        <w:pStyle w:val="BodyText"/>
        <w:spacing w:before="7"/>
        <w:ind w:left="0"/>
        <w:rPr>
          <w:sz w:val="21"/>
        </w:rPr>
      </w:pPr>
    </w:p>
    <w:p w:rsidR="006A7A3F" w:rsidRDefault="00BC7372">
      <w:pPr>
        <w:pStyle w:val="BodyText"/>
        <w:spacing w:before="1" w:line="249" w:lineRule="auto"/>
        <w:ind w:right="457"/>
      </w:pPr>
      <w:r>
        <w:rPr>
          <w:color w:val="231F20"/>
        </w:rPr>
        <w:t>There are several environmental water holders in the Goulburn system. The Commonwealth Environmental Water Holder (CEWH) holds the largest volume and use of Commonwealth environmental water is critical to</w:t>
      </w:r>
    </w:p>
    <w:p w:rsidR="006A7A3F" w:rsidRDefault="00BC7372">
      <w:pPr>
        <w:pStyle w:val="BodyText"/>
        <w:spacing w:before="1" w:line="249" w:lineRule="auto"/>
        <w:ind w:right="230"/>
      </w:pPr>
      <w:r>
        <w:rPr>
          <w:color w:val="231F20"/>
        </w:rPr>
        <w:t xml:space="preserve">achieving outcomes in the Goulburn </w:t>
      </w:r>
      <w:r>
        <w:rPr>
          <w:color w:val="231F20"/>
          <w:spacing w:val="-3"/>
        </w:rPr>
        <w:t xml:space="preserve">River, </w:t>
      </w:r>
      <w:r>
        <w:rPr>
          <w:color w:val="231F20"/>
        </w:rPr>
        <w:t xml:space="preserve">as well as priority environmental sites further downstream. </w:t>
      </w:r>
      <w:r>
        <w:rPr>
          <w:color w:val="231F20"/>
          <w:spacing w:val="-3"/>
        </w:rPr>
        <w:t xml:space="preserve">Water </w:t>
      </w:r>
      <w:r>
        <w:rPr>
          <w:color w:val="231F20"/>
        </w:rPr>
        <w:t xml:space="preserve">for the environment held on behalf of the Living Murray program may assist in meeting objectives in the Goulburn system en route to icon sites in the Murray system (see subsection 1.4.2). </w:t>
      </w:r>
      <w:r>
        <w:rPr>
          <w:color w:val="231F20"/>
          <w:spacing w:val="-3"/>
        </w:rPr>
        <w:t xml:space="preserve">Water </w:t>
      </w:r>
      <w:r>
        <w:rPr>
          <w:color w:val="231F20"/>
        </w:rPr>
        <w:t>held by the VEWH in the Goulburn system is primarily used to meet environmental objectives in the Goulburn River and the Goulburn wetlands, but can also be used to support ecological objectives at downstream sites along the Murray River and in</w:t>
      </w:r>
      <w:r>
        <w:rPr>
          <w:color w:val="231F20"/>
          <w:spacing w:val="-34"/>
        </w:rPr>
        <w:t xml:space="preserve"> </w:t>
      </w:r>
      <w:r>
        <w:rPr>
          <w:color w:val="231F20"/>
        </w:rPr>
        <w:t>SA.</w:t>
      </w:r>
    </w:p>
    <w:p w:rsidR="006A7A3F" w:rsidRDefault="00BC7372" w:rsidP="00771D79">
      <w:pPr>
        <w:pStyle w:val="BodyText"/>
        <w:spacing w:before="174" w:line="249" w:lineRule="auto"/>
        <w:ind w:right="430"/>
      </w:pPr>
      <w:r>
        <w:rPr>
          <w:color w:val="231F20"/>
        </w:rPr>
        <w:t>The construction and operation of Lake Eildon and Goulburn Weir have significantly altered the natural flow regime of the Goulburn River. Water harvesting during wet periods, and releases to meet irrigation and other consumptive demands during dry periods, means that flow below these structures is typically low in winter/spring</w:t>
      </w:r>
      <w:r w:rsidR="00771D79">
        <w:rPr>
          <w:color w:val="231F20"/>
        </w:rPr>
        <w:t xml:space="preserve"> </w:t>
      </w:r>
      <w:r>
        <w:rPr>
          <w:color w:val="231F20"/>
        </w:rPr>
        <w:t>and high in summer/autumn. This effectively reverses the natural seasonal flow pattern. Land use changes and the construction of small dams and drainage schemes have further modified the Goulburn River’s flow regime. Levees and other structures prevent water inundating the floodplain and filling many of the natural wetlands and billabongs. Several tributaries including the Acheron and Yea rivers and the Broken River below Lake Eildon add some flow variation on top of the Goulburn River’s regulated flow regime. Large floods that cause the Goulburn River’s storages to fill and spill are also important for the overall flow regime and its associated environmental values.</w:t>
      </w:r>
    </w:p>
    <w:p w:rsidR="006A7A3F" w:rsidRDefault="00BC7372" w:rsidP="00316FE5">
      <w:pPr>
        <w:pStyle w:val="BodyText"/>
        <w:spacing w:before="175" w:line="249" w:lineRule="auto"/>
        <w:ind w:right="208"/>
      </w:pPr>
      <w:r>
        <w:rPr>
          <w:color w:val="231F20"/>
        </w:rPr>
        <w:t>The priority environmental flow reaches in the Goulburn River are downstream of Goulburn Weir (reaches 4 and 5), which are collectively referred to as the lower Goulburn River. The mid-Goulburn River extends from Lake Eildon</w:t>
      </w:r>
      <w:r w:rsidR="00316FE5">
        <w:rPr>
          <w:color w:val="231F20"/>
        </w:rPr>
        <w:t xml:space="preserve"> </w:t>
      </w:r>
      <w:r>
        <w:rPr>
          <w:color w:val="231F20"/>
        </w:rPr>
        <w:t>to Goulburn Weir (reaches 1 to 3). From early spring to late autumn, large volumes of water are delivered from Lake Eildon to Goulburn Weir to supply the irrigation system. During that period, flow in the mid-Goulburn River is usually well above the recommended environmental flow targets. Deliveries of water for the environment have the most benefit in the mid-Goulburn River (especially in reach 1 immediately downstream of Lake Eildon) outside the irrigation season, when flow is much lower than natural.</w:t>
      </w:r>
    </w:p>
    <w:p w:rsidR="006A7A3F" w:rsidRDefault="00BC7372" w:rsidP="00316FE5">
      <w:pPr>
        <w:pStyle w:val="BodyText"/>
        <w:spacing w:before="175" w:line="249" w:lineRule="auto"/>
        <w:ind w:right="344"/>
      </w:pPr>
      <w:r>
        <w:rPr>
          <w:color w:val="231F20"/>
        </w:rPr>
        <w:t xml:space="preserve">Environmental flow targets can sometimes be met by the coordinated delivery of operational water being transferred from Lake Eildon to the Murray </w:t>
      </w:r>
      <w:r>
        <w:rPr>
          <w:color w:val="231F20"/>
          <w:spacing w:val="-3"/>
        </w:rPr>
        <w:t xml:space="preserve">River. </w:t>
      </w:r>
      <w:r>
        <w:rPr>
          <w:color w:val="231F20"/>
        </w:rPr>
        <w:t xml:space="preserve">These transfers are known as inter-valley transfers </w:t>
      </w:r>
      <w:r>
        <w:rPr>
          <w:color w:val="231F20"/>
          <w:spacing w:val="-4"/>
        </w:rPr>
        <w:t xml:space="preserve">(IVTs). </w:t>
      </w:r>
      <w:r>
        <w:rPr>
          <w:color w:val="231F20"/>
        </w:rPr>
        <w:t>These transfers occur during the irrigation season between spring and autumn, and they may meet environmental flow objectives without the need to release water for the environment. In recent years, operational transfers</w:t>
      </w:r>
      <w:r>
        <w:rPr>
          <w:color w:val="231F20"/>
          <w:spacing w:val="-36"/>
        </w:rPr>
        <w:t xml:space="preserve"> </w:t>
      </w:r>
      <w:r>
        <w:rPr>
          <w:color w:val="231F20"/>
        </w:rPr>
        <w:t>in</w:t>
      </w:r>
      <w:r w:rsidR="00316FE5">
        <w:rPr>
          <w:color w:val="231F20"/>
        </w:rPr>
        <w:t xml:space="preserve"> </w:t>
      </w:r>
      <w:r>
        <w:rPr>
          <w:color w:val="231F20"/>
        </w:rPr>
        <w:t>the Goulburn River have significantly exceeded the environmental flow recommendations for summer and early autumn and have damaged bank vegetation and eroded the riverbanks. Interim operating rules have been put in</w:t>
      </w:r>
      <w:r w:rsidR="00771D79">
        <w:t xml:space="preserve"> </w:t>
      </w:r>
      <w:r>
        <w:rPr>
          <w:color w:val="231F20"/>
        </w:rPr>
        <w:t>place to help minimise this damage, and a review of the Goulburn to Murray trade rule is currently underway.</w:t>
      </w:r>
    </w:p>
    <w:p w:rsidR="006A7A3F" w:rsidRDefault="00BC7372">
      <w:pPr>
        <w:spacing w:before="189"/>
        <w:ind w:left="210"/>
        <w:rPr>
          <w:rFonts w:ascii="Helvetica Neue LT Std 75"/>
          <w:b/>
          <w:sz w:val="19"/>
        </w:rPr>
      </w:pPr>
      <w:r>
        <w:rPr>
          <w:rFonts w:ascii="Helvetica Neue LT Std 75"/>
          <w:b/>
          <w:color w:val="231F20"/>
          <w:sz w:val="19"/>
        </w:rPr>
        <w:t>Environmental values</w:t>
      </w:r>
    </w:p>
    <w:p w:rsidR="006A7A3F" w:rsidRDefault="00BC7372" w:rsidP="00316FE5">
      <w:pPr>
        <w:pStyle w:val="BodyText"/>
        <w:spacing w:before="68" w:line="249" w:lineRule="auto"/>
        <w:ind w:right="356"/>
      </w:pPr>
      <w:r>
        <w:rPr>
          <w:color w:val="231F20"/>
        </w:rPr>
        <w:t xml:space="preserve">The Goulburn River and its tributaries support a range of native fish species including golden perch, silver perch, Murray cod, trout cod, Macquarie perch and freshwater catfish. Aquatic vegetation, scour holes and woody debris within the channel provide high-quality habitat for adult and juvenile fish. River red gums are a dominant feature of the streamside zone along the length of the Goulburn </w:t>
      </w:r>
      <w:r>
        <w:rPr>
          <w:color w:val="231F20"/>
          <w:spacing w:val="-3"/>
        </w:rPr>
        <w:t xml:space="preserve">River. </w:t>
      </w:r>
      <w:r>
        <w:rPr>
          <w:color w:val="231F20"/>
        </w:rPr>
        <w:t xml:space="preserve">These trees shade the river and provide habitat for many species including the squirrel </w:t>
      </w:r>
      <w:r>
        <w:rPr>
          <w:color w:val="231F20"/>
          <w:spacing w:val="-3"/>
        </w:rPr>
        <w:t xml:space="preserve">glider. </w:t>
      </w:r>
      <w:r>
        <w:rPr>
          <w:color w:val="231F20"/>
        </w:rPr>
        <w:t>Leaves that fall from the river red gums provide carbon that</w:t>
      </w:r>
      <w:r>
        <w:rPr>
          <w:color w:val="231F20"/>
          <w:spacing w:val="-15"/>
        </w:rPr>
        <w:t xml:space="preserve"> </w:t>
      </w:r>
      <w:r>
        <w:rPr>
          <w:color w:val="231F20"/>
        </w:rPr>
        <w:t>supports</w:t>
      </w:r>
      <w:r w:rsidR="00316FE5">
        <w:rPr>
          <w:color w:val="231F20"/>
        </w:rPr>
        <w:t xml:space="preserve"> </w:t>
      </w:r>
      <w:r>
        <w:rPr>
          <w:color w:val="231F20"/>
        </w:rPr>
        <w:t>riverine food webs, and dead trees that fall into the river provide a surface for biofilms and macroinvertebrates and habitat for fish. Birds (such as egrets, herons and cormorants) use trees along the river to roost and feed, while frogs benefit from shallowly- wetted vegetation at the edge of the river channel and in adjacent wetlands.</w:t>
      </w:r>
    </w:p>
    <w:p w:rsidR="00771D79" w:rsidRDefault="00BC7372">
      <w:pPr>
        <w:pStyle w:val="BodyText"/>
        <w:spacing w:before="173" w:line="249" w:lineRule="auto"/>
        <w:ind w:right="207"/>
        <w:rPr>
          <w:color w:val="231F20"/>
        </w:rPr>
      </w:pPr>
      <w:r>
        <w:rPr>
          <w:color w:val="231F20"/>
        </w:rPr>
        <w:t>The Goulburn River system is an important conservation area for threatened species. Several wetlands in the Goulburn catchment are formally recognised for their conservation significance. Tributaries of the mid-Goulburn River between Lake Eildon and Goulburn Weir host some of the last remaining Macquarie perch populations in the Murray-Darling Basin, while freshwater catfish can be found in lagoons connected to reach 3 of the Goulburn River. Monitoring over recent years shows that environmental flows in the lower Goulburn River trigger golden perch and silver perch to spawn. However, further monitoring is required to determine how these spawning events contribute to populations locally and in the wider southern basin. Self-sustaining populations of Murray cod have been confirmed, and trout cod have been spawning and extending their range in the lower Goulburn River.</w:t>
      </w:r>
    </w:p>
    <w:p w:rsidR="00771D79" w:rsidRDefault="00771D79">
      <w:pPr>
        <w:rPr>
          <w:color w:val="231F20"/>
          <w:sz w:val="20"/>
          <w:szCs w:val="20"/>
        </w:rPr>
      </w:pPr>
      <w:r>
        <w:rPr>
          <w:color w:val="231F20"/>
        </w:rPr>
        <w:br w:type="page"/>
      </w:r>
    </w:p>
    <w:p w:rsidR="006A7A3F" w:rsidRDefault="00BC7372">
      <w:pPr>
        <w:spacing w:before="185"/>
        <w:ind w:left="210"/>
        <w:rPr>
          <w:rFonts w:ascii="Helvetica Neue LT Std 75"/>
          <w:b/>
          <w:sz w:val="19"/>
        </w:rPr>
      </w:pPr>
      <w:r>
        <w:rPr>
          <w:rFonts w:ascii="Helvetica Neue LT Std 75"/>
          <w:b/>
          <w:color w:val="231F20"/>
          <w:sz w:val="19"/>
        </w:rPr>
        <w:t>Environmental watering objectives in the Goulburn River</w:t>
      </w:r>
    </w:p>
    <w:p w:rsidR="006A7A3F" w:rsidRDefault="006A7A3F">
      <w:pPr>
        <w:pStyle w:val="BodyText"/>
        <w:spacing w:before="12"/>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2" cy="310896"/>
                  <wp:effectExtent l="0" t="0" r="0" b="0"/>
                  <wp:docPr id="208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image19.jpeg"/>
                          <pic:cNvPicPr/>
                        </pic:nvPicPr>
                        <pic:blipFill>
                          <a:blip r:embed="rId31" cstate="print"/>
                          <a:stretch>
                            <a:fillRect/>
                          </a:stretch>
                        </pic:blipFill>
                        <pic:spPr>
                          <a:xfrm>
                            <a:off x="0" y="0"/>
                            <a:ext cx="314172"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spacing w:before="2"/>
              <w:ind w:left="0"/>
              <w:rPr>
                <w:rFonts w:ascii="Helvetica Neue LT Std 75"/>
                <w:b/>
                <w:sz w:val="23"/>
              </w:rPr>
            </w:pPr>
          </w:p>
          <w:p w:rsidR="006A7A3F" w:rsidRDefault="00BC7372">
            <w:pPr>
              <w:pStyle w:val="TableParagraph"/>
              <w:ind w:left="118"/>
              <w:rPr>
                <w:sz w:val="16"/>
              </w:rPr>
            </w:pPr>
            <w:r>
              <w:rPr>
                <w:color w:val="231F20"/>
                <w:sz w:val="16"/>
              </w:rPr>
              <w:t>Protect and boost populations of native fish</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6" cy="310896"/>
                  <wp:effectExtent l="0" t="0" r="0" b="0"/>
                  <wp:docPr id="2083"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image20.jpeg"/>
                          <pic:cNvPicPr/>
                        </pic:nvPicPr>
                        <pic:blipFill>
                          <a:blip r:embed="rId32" cstate="print"/>
                          <a:stretch>
                            <a:fillRect/>
                          </a:stretch>
                        </pic:blipFill>
                        <pic:spPr>
                          <a:xfrm>
                            <a:off x="0" y="0"/>
                            <a:ext cx="314176"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270"/>
              <w:rPr>
                <w:sz w:val="16"/>
              </w:rPr>
            </w:pPr>
            <w:r>
              <w:rPr>
                <w:color w:val="231F20"/>
                <w:sz w:val="16"/>
              </w:rPr>
              <w:t>Maintain the form of the riverbank and channel including maintaining a high diversity of river bed surfaces to support all stream life</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085"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323"/>
              <w:rPr>
                <w:sz w:val="16"/>
              </w:rPr>
            </w:pPr>
            <w:r>
              <w:rPr>
                <w:color w:val="231F20"/>
                <w:sz w:val="16"/>
              </w:rPr>
              <w:t>Provide sufficient rates of carbon and nutrient production and processing to support native fish and waterbug communities</w:t>
            </w:r>
          </w:p>
        </w:tc>
      </w:tr>
      <w:tr w:rsidR="006A7A3F">
        <w:trPr>
          <w:trHeight w:val="10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8"/>
              <w:ind w:left="0"/>
              <w:rPr>
                <w:rFonts w:ascii="Helvetica Neue LT Std 75"/>
                <w:b/>
                <w:sz w:val="19"/>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087"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image21.jpeg"/>
                          <pic:cNvPicPr/>
                        </pic:nvPicPr>
                        <pic:blipFill>
                          <a:blip r:embed="rId33"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314"/>
              <w:rPr>
                <w:sz w:val="16"/>
              </w:rPr>
            </w:pPr>
            <w:r>
              <w:rPr>
                <w:color w:val="231F20"/>
                <w:sz w:val="16"/>
              </w:rPr>
              <w:t>Increase aquatic and flood-tolerant plants in the river channel and on the lower banks, to provide shelter and food for animals and to stabilise the riverbank</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08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679"/>
              <w:rPr>
                <w:sz w:val="16"/>
              </w:rPr>
            </w:pPr>
            <w:r>
              <w:rPr>
                <w:color w:val="231F20"/>
                <w:sz w:val="16"/>
              </w:rPr>
              <w:t>Maintain abundant and diverse waterbug communities, to support riverine food webs</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09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18"/>
              <w:rPr>
                <w:sz w:val="16"/>
              </w:rPr>
            </w:pPr>
            <w:r>
              <w:rPr>
                <w:color w:val="231F20"/>
                <w:sz w:val="16"/>
              </w:rPr>
              <w:t>Minimise the risk of hypoxic blackwater</w:t>
            </w:r>
          </w:p>
        </w:tc>
      </w:tr>
    </w:tbl>
    <w:p w:rsidR="006A7A3F" w:rsidRDefault="00BC7372">
      <w:pPr>
        <w:pStyle w:val="Heading7"/>
        <w:spacing w:before="143"/>
      </w:pPr>
      <w:r>
        <w:rPr>
          <w:color w:val="231F20"/>
        </w:rPr>
        <w:t>Traditional Owner cultural values and uses</w:t>
      </w:r>
    </w:p>
    <w:p w:rsidR="006A7A3F" w:rsidRDefault="00BC7372">
      <w:pPr>
        <w:pStyle w:val="BodyText"/>
        <w:spacing w:before="180" w:line="249" w:lineRule="auto"/>
        <w:ind w:right="100"/>
      </w:pPr>
      <w:r>
        <w:rPr>
          <w:color w:val="231F20"/>
        </w:rPr>
        <w:t xml:space="preserve">Goulburn Broken CMA consulted with the </w:t>
      </w:r>
      <w:r>
        <w:rPr>
          <w:color w:val="231F20"/>
          <w:spacing w:val="-4"/>
        </w:rPr>
        <w:t xml:space="preserve">Taungurung </w:t>
      </w:r>
      <w:r>
        <w:rPr>
          <w:color w:val="231F20"/>
        </w:rPr>
        <w:t xml:space="preserve">Land and </w:t>
      </w:r>
      <w:r>
        <w:rPr>
          <w:color w:val="231F20"/>
          <w:spacing w:val="-2"/>
        </w:rPr>
        <w:t xml:space="preserve">Waters </w:t>
      </w:r>
      <w:r>
        <w:rPr>
          <w:color w:val="231F20"/>
        </w:rPr>
        <w:t xml:space="preserve">Council and </w:t>
      </w:r>
      <w:r>
        <w:rPr>
          <w:color w:val="231F20"/>
          <w:spacing w:val="-5"/>
        </w:rPr>
        <w:t xml:space="preserve">Yorta Yorta </w:t>
      </w:r>
      <w:r>
        <w:rPr>
          <w:color w:val="231F20"/>
        </w:rPr>
        <w:t xml:space="preserve">Nation Aboriginal Corporation during the planning of environmental water deliveries in the Goulburn </w:t>
      </w:r>
      <w:r>
        <w:rPr>
          <w:color w:val="231F20"/>
          <w:spacing w:val="-3"/>
        </w:rPr>
        <w:t xml:space="preserve">River. </w:t>
      </w:r>
      <w:r>
        <w:rPr>
          <w:color w:val="231F20"/>
        </w:rPr>
        <w:t>The environmental and ecological objectives of the proposals were supported and align with the broad values of these Traditional Owner groups.</w:t>
      </w:r>
    </w:p>
    <w:p w:rsidR="006A7A3F" w:rsidRDefault="00BC7372">
      <w:pPr>
        <w:pStyle w:val="BodyText"/>
        <w:spacing w:before="173" w:line="249" w:lineRule="auto"/>
        <w:ind w:right="100"/>
      </w:pPr>
      <w:r>
        <w:rPr>
          <w:color w:val="231F20"/>
        </w:rPr>
        <w:t>Yorta Yorta Nation Aboriginal Corporation raised concerns about the cultural damage IVTs are having on the lower Goulburn River and the Barmah Choke in addition to the ecological damage being caused. Environmental flow deliveries and system planning in the Goulburn River aim to mitigate some of these impacts. Taungurung Land and Waters Council also shared these concerns, and strongly supports the implementation of a new operational rule for IVTs and the Victorian Government’s review of the trade rule to avoid further damage of the ecological and cultural values of the river.</w:t>
      </w:r>
    </w:p>
    <w:p w:rsidR="00B66EFE" w:rsidRDefault="00B66EFE">
      <w:pPr>
        <w:rPr>
          <w:rFonts w:ascii="Helvetica Neue LT Std 75"/>
          <w:b/>
          <w:color w:val="231F20"/>
          <w:sz w:val="19"/>
        </w:rPr>
      </w:pPr>
      <w:r>
        <w:rPr>
          <w:rFonts w:ascii="Helvetica Neue LT Std 75"/>
          <w:b/>
          <w:color w:val="231F20"/>
          <w:sz w:val="19"/>
        </w:rPr>
        <w:br w:type="page"/>
      </w:r>
    </w:p>
    <w:p w:rsidR="006A7A3F" w:rsidRDefault="00BC7372">
      <w:pPr>
        <w:spacing w:before="184"/>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8" w:line="249" w:lineRule="auto"/>
        <w:ind w:right="457"/>
      </w:pPr>
      <w:r>
        <w:rPr>
          <w:color w:val="231F20"/>
        </w:rPr>
        <w:t>In planning the potential watering actions in Table 5.4.1, Goulburn Broken CMA considered how environmental flows could support values and uses such as:</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boating and</w:t>
      </w:r>
      <w:r>
        <w:rPr>
          <w:color w:val="231F20"/>
          <w:spacing w:val="-6"/>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spacing w:before="70"/>
        <w:ind w:hanging="281"/>
        <w:rPr>
          <w:sz w:val="20"/>
        </w:rPr>
      </w:pPr>
      <w:r>
        <w:rPr>
          <w:color w:val="231F20"/>
          <w:sz w:val="20"/>
        </w:rPr>
        <w:t>riverside recreation and amenity (such as walking, camping and other outdoor</w:t>
      </w:r>
      <w:r>
        <w:rPr>
          <w:color w:val="231F20"/>
          <w:spacing w:val="-15"/>
          <w:sz w:val="20"/>
        </w:rPr>
        <w:t xml:space="preserve"> </w:t>
      </w:r>
      <w:r>
        <w:rPr>
          <w:color w:val="231F20"/>
          <w:sz w:val="20"/>
        </w:rPr>
        <w:t>activities)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irrigation diverters and water supply for settlements on the Goulburn</w:t>
      </w:r>
      <w:r>
        <w:rPr>
          <w:color w:val="231F20"/>
          <w:spacing w:val="-31"/>
          <w:sz w:val="20"/>
        </w:rPr>
        <w:t xml:space="preserve"> </w:t>
      </w:r>
      <w:r>
        <w:rPr>
          <w:color w:val="231F20"/>
          <w:sz w:val="20"/>
        </w:rPr>
        <w:t>River).</w:t>
      </w:r>
    </w:p>
    <w:p w:rsidR="006A7A3F" w:rsidRDefault="00BC7372">
      <w:pPr>
        <w:pStyle w:val="BodyText"/>
        <w:spacing w:before="180" w:line="249" w:lineRule="auto"/>
        <w:ind w:right="174"/>
      </w:pPr>
      <w:r>
        <w:rPr>
          <w:color w:val="231F20"/>
        </w:rPr>
        <w:t>The Goulburn River provides numerous recreational and economic benefits. Using water for the environment to provide fish passage and habitat and delivering freshes to encourage fish migration and spawning enhances native fish populations for recreational benefit. Following community feedback, the timing of a targeted environmental flow in November/December is planned to reduce impacts on river access, benefiting anglers and local businesses. This flow will be identified in Table 5.4.1 with an icon.</w:t>
      </w:r>
    </w:p>
    <w:p w:rsidR="006A7A3F" w:rsidRDefault="00426F13">
      <w:pPr>
        <w:pStyle w:val="BodyText"/>
        <w:spacing w:before="1"/>
        <w:ind w:left="0"/>
        <w:rPr>
          <w:sz w:val="14"/>
        </w:rPr>
      </w:pPr>
      <w:r>
        <w:rPr>
          <w:noProof/>
        </w:rPr>
        <mc:AlternateContent>
          <mc:Choice Requires="wpg">
            <w:drawing>
              <wp:anchor distT="0" distB="0" distL="0" distR="0" simplePos="0" relativeHeight="251688960" behindDoc="1" locked="0" layoutInCell="1" allowOverlap="1">
                <wp:simplePos x="0" y="0"/>
                <wp:positionH relativeFrom="page">
                  <wp:posOffset>688975</wp:posOffset>
                </wp:positionH>
                <wp:positionV relativeFrom="paragraph">
                  <wp:posOffset>110490</wp:posOffset>
                </wp:positionV>
                <wp:extent cx="2952115" cy="527050"/>
                <wp:effectExtent l="0" t="12700" r="0" b="6350"/>
                <wp:wrapTopAndBottom/>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527050"/>
                          <a:chOff x="850" y="203"/>
                          <a:chExt cx="4649" cy="830"/>
                        </a:xfrm>
                      </wpg:grpSpPr>
                      <wps:wsp>
                        <wps:cNvPr id="4" name="Rectangle 3"/>
                        <wps:cNvSpPr>
                          <a:spLocks/>
                        </wps:cNvSpPr>
                        <wps:spPr bwMode="auto">
                          <a:xfrm>
                            <a:off x="850" y="202"/>
                            <a:ext cx="851" cy="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4"/>
                        <wps:cNvCnPr>
                          <a:cxnSpLocks/>
                        </wps:cNvCnPr>
                        <wps:spPr bwMode="auto">
                          <a:xfrm>
                            <a:off x="1701" y="203"/>
                            <a:ext cx="0" cy="830"/>
                          </a:xfrm>
                          <a:prstGeom prst="line">
                            <a:avLst/>
                          </a:prstGeom>
                          <a:noFill/>
                          <a:ln w="13">
                            <a:solidFill>
                              <a:srgbClr val="E6E7E8"/>
                            </a:solidFill>
                            <a:round/>
                            <a:headEnd/>
                            <a:tailEnd/>
                          </a:ln>
                          <a:extLst>
                            <a:ext uri="{909E8E84-426E-40DD-AFC4-6F175D3DCCD1}">
                              <a14:hiddenFill xmlns:a14="http://schemas.microsoft.com/office/drawing/2010/main">
                                <a:noFill/>
                              </a14:hiddenFill>
                            </a:ext>
                          </a:extLst>
                        </wps:spPr>
                        <wps:bodyPr/>
                      </wps:wsp>
                      <wps:wsp>
                        <wps:cNvPr id="8" name="Rectangle 5"/>
                        <wps:cNvSpPr>
                          <a:spLocks/>
                        </wps:cNvSpPr>
                        <wps:spPr bwMode="auto">
                          <a:xfrm>
                            <a:off x="1700" y="202"/>
                            <a:ext cx="3799" cy="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29" y="372"/>
                            <a:ext cx="494" cy="488"/>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7"/>
                        <wps:cNvSpPr txBox="1">
                          <a:spLocks/>
                        </wps:cNvSpPr>
                        <wps:spPr bwMode="auto">
                          <a:xfrm>
                            <a:off x="850" y="202"/>
                            <a:ext cx="4649"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A32" w:rsidRDefault="00837A32">
                              <w:pPr>
                                <w:rPr>
                                  <w:sz w:val="18"/>
                                </w:rPr>
                              </w:pPr>
                            </w:p>
                            <w:p w:rsidR="00837A32" w:rsidRDefault="00837A32">
                              <w:pPr>
                                <w:spacing w:before="116"/>
                                <w:ind w:left="907"/>
                                <w:rPr>
                                  <w:sz w:val="16"/>
                                </w:rPr>
                              </w:pPr>
                              <w:r>
                                <w:rPr>
                                  <w:color w:val="231F20"/>
                                  <w:sz w:val="16"/>
                                </w:rPr>
                                <w:t>Watering planned to support angling 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id="Group 2" o:spid="_x0000_s1040" style="position:absolute;margin-left:54.25pt;margin-top:8.7pt;width:232.45pt;height:41.5pt;z-index:-251627520;mso-wrap-distance-left:0;mso-wrap-distance-right:0;mso-position-horizontal-relative:page" coordorigin="850,203" coordsize="4649,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">
                <v:rect id="Rectangle 3" o:spid="_x0000_s1041" style="position:absolute;left:850;top:202;width:851;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" fillcolor="#e6e7e8" stroked="f">
                  <v:path arrowok="t"/>
                </v:rect>
                <v:line id="Line 4" o:spid="_x0000_s1042" style="position:absolute;visibility:visible;mso-wrap-style:square" from="1701,203" to="17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" strokecolor="#e6e7e8" strokeweight="36e-5mm">
                  <o:lock v:ext="edit" shapetype="f"/>
                </v:line>
                <v:rect id="Rectangle 5" o:spid="_x0000_s1043" style="position:absolute;left:1700;top:202;width:379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" fillcolor="#e6e7e8" stroked="f">
                  <v:path arrowok="t"/>
                </v:rect>
                <v:shape id="Picture 6" o:spid="_x0000_s1044" type="#_x0000_t75" style="position:absolute;left:1029;top:372;width:49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">
                  <v:imagedata r:id="rId57" o:title=""/>
                  <o:lock v:ext="edit" aspectratio="f"/>
                </v:shape>
                <v:shape id="Text Box 7" o:spid="_x0000_s1045" type="#_x0000_t202" style="position:absolute;left:850;top:202;width:464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" filled="f" stroked="f">
                  <v:path arrowok="t"/>
                  <v:textbox inset="0,0,0,0">
                    <w:txbxContent>
                      <w:p w:rsidR="00837A32" w:rsidRDefault="00837A32">
                        <w:pPr>
                          <w:rPr>
                            <w:sz w:val="18"/>
                          </w:rPr>
                        </w:pPr>
                      </w:p>
                      <w:p w:rsidR="00837A32" w:rsidRDefault="00837A32">
                        <w:pPr>
                          <w:spacing w:before="116"/>
                          <w:ind w:left="907"/>
                          <w:rPr>
                            <w:sz w:val="16"/>
                          </w:rPr>
                        </w:pPr>
                        <w:r>
                          <w:rPr>
                            <w:color w:val="231F20"/>
                            <w:sz w:val="16"/>
                          </w:rPr>
                          <w:t>Watering planned to support angling activities</w:t>
                        </w:r>
                      </w:p>
                    </w:txbxContent>
                  </v:textbox>
                </v:shape>
                <w10:wrap type="topAndBottom" anchorx="page"/>
              </v:group>
            </w:pict>
          </mc:Fallback>
        </mc:AlternateContent>
      </w:r>
    </w:p>
    <w:p w:rsidR="006A7A3F" w:rsidRDefault="00BC7372">
      <w:pPr>
        <w:pStyle w:val="BodyText"/>
        <w:spacing w:before="112" w:line="249" w:lineRule="auto"/>
        <w:ind w:right="744"/>
        <w:jc w:val="both"/>
      </w:pPr>
      <w:r>
        <w:rPr>
          <w:color w:val="231F20"/>
        </w:rPr>
        <w:t>The delivery of the spring/summer fresh provides a cue for golden perch to spawn, and it is timed to minimise impacts on regional communities and businesses during the annual Murray cod opening weekend — the first weekend in December — while still ensuring the environmental objectives of the fresh can be achieved.</w:t>
      </w:r>
    </w:p>
    <w:p w:rsidR="006A7A3F" w:rsidRDefault="00BC7372">
      <w:pPr>
        <w:spacing w:before="182"/>
        <w:ind w:left="210"/>
        <w:jc w:val="both"/>
        <w:rPr>
          <w:rFonts w:ascii="Helvetica Neue LT Std 75"/>
          <w:b/>
          <w:sz w:val="19"/>
        </w:rPr>
      </w:pPr>
      <w:r>
        <w:rPr>
          <w:rFonts w:ascii="Helvetica Neue LT Std 75"/>
          <w:b/>
          <w:color w:val="231F20"/>
          <w:sz w:val="19"/>
        </w:rPr>
        <w:t>Recent conditions</w:t>
      </w:r>
    </w:p>
    <w:p w:rsidR="006A7A3F" w:rsidRDefault="00BC7372">
      <w:pPr>
        <w:pStyle w:val="BodyText"/>
        <w:spacing w:before="67" w:line="249" w:lineRule="auto"/>
        <w:ind w:right="202"/>
      </w:pPr>
      <w:r>
        <w:rPr>
          <w:color w:val="231F20"/>
        </w:rPr>
        <w:t xml:space="preserve">Conditions in the Goulburn catchment in 2019–20 were very similar to those in 2018–19, with below-average rainfall in winter/spring. </w:t>
      </w:r>
      <w:r>
        <w:rPr>
          <w:color w:val="231F20"/>
          <w:spacing w:val="-3"/>
        </w:rPr>
        <w:t xml:space="preserve">Temperatures </w:t>
      </w:r>
      <w:r>
        <w:rPr>
          <w:color w:val="231F20"/>
        </w:rPr>
        <w:t xml:space="preserve">throughout most of the year were above the long-term average, particularly in summer, leading to high evaporation rates from storages. Heavy rainfall in autumn helped replenish storages and resulted in a series of natural flows being passed at Goulburn </w:t>
      </w:r>
      <w:r>
        <w:rPr>
          <w:color w:val="231F20"/>
          <w:spacing w:val="-4"/>
        </w:rPr>
        <w:t xml:space="preserve">Weir. </w:t>
      </w:r>
      <w:r>
        <w:rPr>
          <w:color w:val="231F20"/>
        </w:rPr>
        <w:t>Despite below-average inflows to Goulburn system storages in 2019–20, sufficient water was available for the environment through carryover and new allocation to meet high-priority flow requirements throughout the</w:t>
      </w:r>
      <w:r>
        <w:rPr>
          <w:color w:val="231F20"/>
          <w:spacing w:val="-4"/>
        </w:rPr>
        <w:t xml:space="preserve"> </w:t>
      </w:r>
      <w:r>
        <w:rPr>
          <w:color w:val="231F20"/>
          <w:spacing w:val="-3"/>
        </w:rPr>
        <w:t>year.</w:t>
      </w:r>
    </w:p>
    <w:p w:rsidR="006A7A3F" w:rsidRDefault="00BC7372" w:rsidP="00316FE5">
      <w:pPr>
        <w:pStyle w:val="BodyText"/>
        <w:spacing w:before="175" w:line="249" w:lineRule="auto"/>
        <w:ind w:right="810"/>
      </w:pPr>
      <w:r>
        <w:rPr>
          <w:color w:val="231F20"/>
        </w:rPr>
        <w:t xml:space="preserve">Little natural flow occurred below Goulburn Weir in </w:t>
      </w:r>
      <w:r>
        <w:rPr>
          <w:color w:val="231F20"/>
          <w:spacing w:val="-3"/>
        </w:rPr>
        <w:t xml:space="preserve">winter, </w:t>
      </w:r>
      <w:r>
        <w:rPr>
          <w:color w:val="231F20"/>
        </w:rPr>
        <w:t>and water for the environment was used to deliver a winter fresh in July 2019. This was followed by variable low flow that aimed to pass mid-Goulburn</w:t>
      </w:r>
      <w:r>
        <w:rPr>
          <w:color w:val="231F20"/>
          <w:spacing w:val="-34"/>
        </w:rPr>
        <w:t xml:space="preserve"> </w:t>
      </w:r>
      <w:r w:rsidR="00316FE5">
        <w:rPr>
          <w:color w:val="231F20"/>
          <w:spacing w:val="-34"/>
        </w:rPr>
        <w:t xml:space="preserve"> </w:t>
      </w:r>
      <w:r>
        <w:rPr>
          <w:color w:val="231F20"/>
        </w:rPr>
        <w:t>tributary</w:t>
      </w:r>
      <w:r w:rsidR="00316FE5">
        <w:rPr>
          <w:color w:val="231F20"/>
        </w:rPr>
        <w:t xml:space="preserve"> </w:t>
      </w:r>
      <w:r>
        <w:rPr>
          <w:color w:val="231F20"/>
        </w:rPr>
        <w:t xml:space="preserve">inflows to the lower Goulburn River below Goulburn </w:t>
      </w:r>
      <w:r>
        <w:rPr>
          <w:color w:val="231F20"/>
          <w:spacing w:val="-4"/>
        </w:rPr>
        <w:t xml:space="preserve">Weir. </w:t>
      </w:r>
      <w:r>
        <w:rPr>
          <w:color w:val="231F20"/>
        </w:rPr>
        <w:t xml:space="preserve">Conditions remained dry in spring, with a spring fresh delivered from September to October 2019 to support native fish and to trigger the germination of bank vegetation. </w:t>
      </w:r>
      <w:r>
        <w:rPr>
          <w:color w:val="231F20"/>
          <w:spacing w:val="-6"/>
        </w:rPr>
        <w:t xml:space="preserve">IVTs </w:t>
      </w:r>
      <w:r>
        <w:rPr>
          <w:color w:val="231F20"/>
        </w:rPr>
        <w:t xml:space="preserve">started after the spring fresh, and no environmental water was delivered between mid-November 2019 and mid-March 2020. </w:t>
      </w:r>
      <w:r>
        <w:rPr>
          <w:color w:val="231F20"/>
          <w:spacing w:val="-6"/>
        </w:rPr>
        <w:t xml:space="preserve">IVTs </w:t>
      </w:r>
      <w:r>
        <w:rPr>
          <w:color w:val="231F20"/>
        </w:rPr>
        <w:t xml:space="preserve">were delivered as a series of pulses (to reduce the effect on bank vegetation), but flows were consistently above the recommended environmental limit in summer/autumn. Although high IVT flows likely compromised some of the lower bank vegetation outcomes that were achieved by the spring fresh, wetting of the middle-to-upper bank during the spring fresh facilitated the growth and seed development of existing vegetation, provided carbon and nutrient cycling benefits and maintained habitat for waterbug communities. Higher rainfall in autumn delivered several natural flow events in the lower Goulburn </w:t>
      </w:r>
      <w:r>
        <w:rPr>
          <w:color w:val="231F20"/>
          <w:spacing w:val="-3"/>
        </w:rPr>
        <w:t xml:space="preserve">River. Water </w:t>
      </w:r>
      <w:r>
        <w:rPr>
          <w:color w:val="231F20"/>
        </w:rPr>
        <w:t xml:space="preserve">for the environment was used to slow operational recessions after spills at Goulburn </w:t>
      </w:r>
      <w:r>
        <w:rPr>
          <w:color w:val="231F20"/>
          <w:spacing w:val="-4"/>
        </w:rPr>
        <w:t xml:space="preserve">Weir, </w:t>
      </w:r>
      <w:r>
        <w:rPr>
          <w:color w:val="231F20"/>
        </w:rPr>
        <w:t>to minimise the risk of erosion and bank</w:t>
      </w:r>
      <w:r>
        <w:rPr>
          <w:color w:val="231F20"/>
          <w:spacing w:val="-17"/>
        </w:rPr>
        <w:t xml:space="preserve"> </w:t>
      </w:r>
      <w:r>
        <w:rPr>
          <w:color w:val="231F20"/>
        </w:rPr>
        <w:t>slumping.</w:t>
      </w:r>
    </w:p>
    <w:p w:rsidR="006A7A3F" w:rsidRDefault="00BC7372">
      <w:pPr>
        <w:pStyle w:val="BodyText"/>
        <w:spacing w:before="178" w:line="249" w:lineRule="auto"/>
        <w:ind w:right="297"/>
      </w:pPr>
      <w:r>
        <w:rPr>
          <w:color w:val="231F20"/>
        </w:rPr>
        <w:t>Water for the environment delivered in the Goulburn River is reused at downstream sites along the Murray River, after a deduction for losses. In 2019–20, environmental flows that passed through the Goulburn River were subsequently used to support native fish objectives in Gunbower Creek, wet wetlands in the Gunbower and Guttrum forests and the Hattah Lakes system, and support ecological objectives in SA. Water for the environment that is delivered from the Goulburn system makes a significant contribution to environmental objectives further downstream, which helps to achieve environmental outcomes at the Murray-Darling Basin scale.</w:t>
      </w:r>
    </w:p>
    <w:p w:rsidR="00B66EFE" w:rsidRDefault="00B66EFE">
      <w:pPr>
        <w:rPr>
          <w:rFonts w:ascii="Helvetica Neue LT Std 75"/>
          <w:b/>
          <w:color w:val="231F20"/>
          <w:sz w:val="19"/>
        </w:rPr>
      </w:pPr>
      <w:r>
        <w:rPr>
          <w:rFonts w:ascii="Helvetica Neue LT Std 75"/>
          <w:b/>
          <w:color w:val="231F20"/>
          <w:sz w:val="19"/>
        </w:rPr>
        <w:br w:type="page"/>
      </w:r>
    </w:p>
    <w:p w:rsidR="006A7A3F" w:rsidRDefault="00BC7372">
      <w:pPr>
        <w:spacing w:before="184"/>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100"/>
      </w:pPr>
      <w:r>
        <w:rPr>
          <w:color w:val="231F20"/>
        </w:rPr>
        <w:t>Table 5.4.1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rsidP="00B66EFE">
      <w:pPr>
        <w:spacing w:before="168" w:after="120"/>
        <w:ind w:left="210"/>
        <w:rPr>
          <w:b/>
          <w:sz w:val="18"/>
        </w:rPr>
      </w:pPr>
      <w:r>
        <w:rPr>
          <w:b/>
          <w:color w:val="231F20"/>
          <w:sz w:val="18"/>
        </w:rPr>
        <w:t>Table 5.4.1 Potential environmental watering actions and objectives for the Goulburn River</w:t>
      </w: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779"/>
        <w:gridCol w:w="71"/>
        <w:gridCol w:w="708"/>
      </w:tblGrid>
      <w:tr w:rsidR="006A7A3F" w:rsidTr="00B66EFE">
        <w:trPr>
          <w:trHeight w:val="587"/>
          <w:tblHeader/>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3"/>
            <w:tcBorders>
              <w:top w:val="nil"/>
              <w:bottom w:val="nil"/>
              <w:right w:val="nil"/>
            </w:tcBorders>
            <w:shd w:val="clear" w:color="auto" w:fill="231F20"/>
          </w:tcPr>
          <w:p w:rsidR="006A7A3F" w:rsidRDefault="00BC7372">
            <w:pPr>
              <w:pStyle w:val="TableParagraph"/>
              <w:spacing w:before="73" w:line="254" w:lineRule="auto"/>
              <w:ind w:left="85" w:right="197"/>
              <w:rPr>
                <w:b/>
                <w:sz w:val="18"/>
              </w:rPr>
            </w:pPr>
            <w:r>
              <w:rPr>
                <w:b/>
                <w:color w:val="FFFFFF"/>
                <w:sz w:val="18"/>
              </w:rPr>
              <w:t>Environmental objectives</w:t>
            </w:r>
          </w:p>
        </w:tc>
      </w:tr>
      <w:tr w:rsidR="006A7A3F" w:rsidTr="00B66EFE">
        <w:trPr>
          <w:trHeight w:val="625"/>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67" w:line="261" w:lineRule="auto"/>
              <w:ind w:left="85"/>
              <w:rPr>
                <w:sz w:val="16"/>
              </w:rPr>
            </w:pPr>
            <w:r>
              <w:rPr>
                <w:color w:val="231F20"/>
                <w:sz w:val="16"/>
              </w:rPr>
              <w:t>Year-round low flow (500-830 ML/day in reach 4 and 540-940 ML/day in reach 5)</w:t>
            </w:r>
          </w:p>
        </w:tc>
        <w:tc>
          <w:tcPr>
            <w:tcW w:w="6236" w:type="dxa"/>
            <w:vMerge w:val="restart"/>
            <w:tcBorders>
              <w:top w:val="nil"/>
              <w:left w:val="single" w:sz="4" w:space="0" w:color="231F20"/>
              <w:bottom w:val="single" w:sz="4" w:space="0" w:color="231F20"/>
              <w:right w:val="single" w:sz="4" w:space="0" w:color="231F20"/>
            </w:tcBorders>
          </w:tcPr>
          <w:p w:rsidR="006A7A3F" w:rsidRPr="00B66EFE" w:rsidRDefault="00BC7372">
            <w:pPr>
              <w:pStyle w:val="TableParagraph"/>
              <w:numPr>
                <w:ilvl w:val="0"/>
                <w:numId w:val="258"/>
              </w:numPr>
              <w:tabs>
                <w:tab w:val="left" w:pos="306"/>
              </w:tabs>
              <w:spacing w:before="63" w:line="254" w:lineRule="auto"/>
              <w:ind w:right="606"/>
              <w:rPr>
                <w:sz w:val="16"/>
                <w:szCs w:val="16"/>
              </w:rPr>
            </w:pPr>
            <w:r w:rsidRPr="00B66EFE">
              <w:rPr>
                <w:color w:val="231F20"/>
                <w:sz w:val="16"/>
                <w:szCs w:val="16"/>
              </w:rPr>
              <w:t>Provide slow, shallow habitat required for the recruitment of</w:t>
            </w:r>
            <w:r w:rsidRPr="00B66EFE">
              <w:rPr>
                <w:color w:val="231F20"/>
                <w:spacing w:val="-26"/>
                <w:sz w:val="16"/>
                <w:szCs w:val="16"/>
              </w:rPr>
              <w:t xml:space="preserve"> </w:t>
            </w:r>
            <w:r w:rsidRPr="00B66EFE">
              <w:rPr>
                <w:color w:val="231F20"/>
                <w:sz w:val="16"/>
                <w:szCs w:val="16"/>
              </w:rPr>
              <w:t>larvae/ juvenile fish and habitat for adult small-bodied</w:t>
            </w:r>
            <w:r w:rsidRPr="00B66EFE">
              <w:rPr>
                <w:color w:val="231F20"/>
                <w:spacing w:val="-8"/>
                <w:sz w:val="16"/>
                <w:szCs w:val="16"/>
              </w:rPr>
              <w:t xml:space="preserve"> </w:t>
            </w:r>
            <w:r w:rsidRPr="00B66EFE">
              <w:rPr>
                <w:color w:val="231F20"/>
                <w:sz w:val="16"/>
                <w:szCs w:val="16"/>
              </w:rPr>
              <w:t>fish</w:t>
            </w:r>
          </w:p>
          <w:p w:rsidR="006A7A3F" w:rsidRPr="00B66EFE" w:rsidRDefault="00BC7372">
            <w:pPr>
              <w:pStyle w:val="TableParagraph"/>
              <w:numPr>
                <w:ilvl w:val="0"/>
                <w:numId w:val="258"/>
              </w:numPr>
              <w:tabs>
                <w:tab w:val="left" w:pos="306"/>
              </w:tabs>
              <w:spacing w:before="86"/>
              <w:ind w:hanging="218"/>
              <w:rPr>
                <w:sz w:val="16"/>
                <w:szCs w:val="16"/>
              </w:rPr>
            </w:pPr>
            <w:r w:rsidRPr="00B66EFE">
              <w:rPr>
                <w:color w:val="231F20"/>
                <w:sz w:val="16"/>
                <w:szCs w:val="16"/>
              </w:rPr>
              <w:t>Provide deep-water habitat for large-bodied</w:t>
            </w:r>
            <w:r w:rsidRPr="00B66EFE">
              <w:rPr>
                <w:color w:val="231F20"/>
                <w:spacing w:val="-6"/>
                <w:sz w:val="16"/>
                <w:szCs w:val="16"/>
              </w:rPr>
              <w:t xml:space="preserve"> </w:t>
            </w:r>
            <w:r w:rsidRPr="00B66EFE">
              <w:rPr>
                <w:color w:val="231F20"/>
                <w:sz w:val="16"/>
                <w:szCs w:val="16"/>
              </w:rPr>
              <w:t>fish</w:t>
            </w:r>
          </w:p>
          <w:p w:rsidR="006A7A3F" w:rsidRPr="00B66EFE" w:rsidRDefault="00BC7372">
            <w:pPr>
              <w:pStyle w:val="TableParagraph"/>
              <w:numPr>
                <w:ilvl w:val="0"/>
                <w:numId w:val="258"/>
              </w:numPr>
              <w:tabs>
                <w:tab w:val="left" w:pos="306"/>
              </w:tabs>
              <w:spacing w:before="98" w:line="254" w:lineRule="auto"/>
              <w:ind w:right="806"/>
              <w:rPr>
                <w:sz w:val="16"/>
                <w:szCs w:val="16"/>
              </w:rPr>
            </w:pPr>
            <w:r w:rsidRPr="00B66EFE">
              <w:rPr>
                <w:color w:val="231F20"/>
                <w:sz w:val="16"/>
                <w:szCs w:val="16"/>
              </w:rPr>
              <w:t>Submerge snags to provide habitat for fish and waterbugs and</w:t>
            </w:r>
            <w:r w:rsidRPr="00B66EFE">
              <w:rPr>
                <w:color w:val="231F20"/>
                <w:spacing w:val="-28"/>
                <w:sz w:val="16"/>
                <w:szCs w:val="16"/>
              </w:rPr>
              <w:t xml:space="preserve"> </w:t>
            </w:r>
            <w:r w:rsidRPr="00B66EFE">
              <w:rPr>
                <w:color w:val="231F20"/>
                <w:sz w:val="16"/>
                <w:szCs w:val="16"/>
              </w:rPr>
              <w:t>a substrate for biofilms to</w:t>
            </w:r>
            <w:r w:rsidRPr="00B66EFE">
              <w:rPr>
                <w:color w:val="231F20"/>
                <w:spacing w:val="-2"/>
                <w:sz w:val="16"/>
                <w:szCs w:val="16"/>
              </w:rPr>
              <w:t xml:space="preserve"> </w:t>
            </w:r>
            <w:r w:rsidRPr="00B66EFE">
              <w:rPr>
                <w:color w:val="231F20"/>
                <w:sz w:val="16"/>
                <w:szCs w:val="16"/>
              </w:rPr>
              <w:t>grow</w:t>
            </w:r>
          </w:p>
          <w:p w:rsidR="006A7A3F" w:rsidRPr="00B66EFE" w:rsidRDefault="00BC7372">
            <w:pPr>
              <w:pStyle w:val="TableParagraph"/>
              <w:numPr>
                <w:ilvl w:val="0"/>
                <w:numId w:val="258"/>
              </w:numPr>
              <w:tabs>
                <w:tab w:val="left" w:pos="306"/>
              </w:tabs>
              <w:spacing w:before="86" w:line="254" w:lineRule="auto"/>
              <w:ind w:right="356"/>
              <w:rPr>
                <w:sz w:val="16"/>
                <w:szCs w:val="16"/>
              </w:rPr>
            </w:pPr>
            <w:r w:rsidRPr="00B66EFE">
              <w:rPr>
                <w:color w:val="231F20"/>
                <w:sz w:val="16"/>
                <w:szCs w:val="16"/>
              </w:rPr>
              <w:t>Maintain habitat for aquatic vegetation and water the root zone of</w:t>
            </w:r>
            <w:r w:rsidRPr="00B66EFE">
              <w:rPr>
                <w:color w:val="231F20"/>
                <w:spacing w:val="-27"/>
                <w:sz w:val="16"/>
                <w:szCs w:val="16"/>
              </w:rPr>
              <w:t xml:space="preserve"> </w:t>
            </w:r>
            <w:r w:rsidRPr="00B66EFE">
              <w:rPr>
                <w:color w:val="231F20"/>
                <w:sz w:val="16"/>
                <w:szCs w:val="16"/>
              </w:rPr>
              <w:t>low- bank</w:t>
            </w:r>
            <w:r w:rsidRPr="00B66EFE">
              <w:rPr>
                <w:color w:val="231F20"/>
                <w:spacing w:val="-2"/>
                <w:sz w:val="16"/>
                <w:szCs w:val="16"/>
              </w:rPr>
              <w:t xml:space="preserve"> </w:t>
            </w:r>
            <w:r w:rsidRPr="00B66EFE">
              <w:rPr>
                <w:color w:val="231F20"/>
                <w:sz w:val="16"/>
                <w:szCs w:val="16"/>
              </w:rPr>
              <w:t>vegetation</w:t>
            </w:r>
          </w:p>
          <w:p w:rsidR="006A7A3F" w:rsidRDefault="00BC7372">
            <w:pPr>
              <w:pStyle w:val="TableParagraph"/>
              <w:numPr>
                <w:ilvl w:val="0"/>
                <w:numId w:val="258"/>
              </w:numPr>
              <w:tabs>
                <w:tab w:val="left" w:pos="306"/>
              </w:tabs>
              <w:spacing w:before="87" w:line="254" w:lineRule="auto"/>
              <w:ind w:right="90"/>
              <w:rPr>
                <w:sz w:val="18"/>
              </w:rPr>
            </w:pPr>
            <w:r w:rsidRPr="00B66EFE">
              <w:rPr>
                <w:color w:val="231F20"/>
                <w:spacing w:val="-4"/>
                <w:sz w:val="16"/>
                <w:szCs w:val="16"/>
              </w:rPr>
              <w:t xml:space="preserve">Vary </w:t>
            </w:r>
            <w:r w:rsidRPr="00B66EFE">
              <w:rPr>
                <w:color w:val="231F20"/>
                <w:sz w:val="16"/>
                <w:szCs w:val="16"/>
              </w:rPr>
              <w:t>flow within a specified range to encourage planktonic production (for food), disrupt biofilms and maintain water</w:t>
            </w:r>
            <w:r w:rsidRPr="00B66EFE">
              <w:rPr>
                <w:color w:val="231F20"/>
                <w:spacing w:val="-8"/>
                <w:sz w:val="16"/>
                <w:szCs w:val="16"/>
              </w:rPr>
              <w:t xml:space="preserve"> </w:t>
            </w:r>
            <w:r w:rsidRPr="00B66EFE">
              <w:rPr>
                <w:color w:val="231F20"/>
                <w:sz w:val="16"/>
                <w:szCs w:val="16"/>
              </w:rPr>
              <w:t>quality</w:t>
            </w:r>
          </w:p>
        </w:tc>
        <w:tc>
          <w:tcPr>
            <w:tcW w:w="850" w:type="dxa"/>
            <w:gridSpan w:val="2"/>
            <w:tcBorders>
              <w:top w:val="nil"/>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093"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09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r>
      <w:tr w:rsidR="006A7A3F" w:rsidTr="00B66EFE">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gridSpan w:val="2"/>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09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209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B66EFE">
        <w:trPr>
          <w:trHeight w:val="1255"/>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gridSpan w:val="2"/>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10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B66EFE">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87"/>
              <w:rPr>
                <w:sz w:val="16"/>
              </w:rPr>
            </w:pPr>
            <w:r>
              <w:rPr>
                <w:color w:val="231F20"/>
                <w:sz w:val="16"/>
              </w:rPr>
              <w:t>Winter/spring fresh (one to two freshes of more than 6,600</w:t>
            </w:r>
          </w:p>
          <w:p w:rsidR="006A7A3F" w:rsidRDefault="00BC7372">
            <w:pPr>
              <w:pStyle w:val="TableParagraph"/>
              <w:spacing w:line="261" w:lineRule="auto"/>
              <w:ind w:left="85" w:right="169"/>
              <w:rPr>
                <w:sz w:val="16"/>
              </w:rPr>
            </w:pPr>
            <w:r>
              <w:rPr>
                <w:color w:val="231F20"/>
                <w:sz w:val="16"/>
              </w:rPr>
              <w:t>ML for 14 days during July to October in reaches 4 and 5)</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66EFE" w:rsidRDefault="00BC7372">
            <w:pPr>
              <w:pStyle w:val="TableParagraph"/>
              <w:numPr>
                <w:ilvl w:val="0"/>
                <w:numId w:val="257"/>
              </w:numPr>
              <w:tabs>
                <w:tab w:val="left" w:pos="306"/>
              </w:tabs>
              <w:spacing w:before="63" w:line="254" w:lineRule="auto"/>
              <w:ind w:right="457"/>
              <w:rPr>
                <w:sz w:val="16"/>
                <w:szCs w:val="16"/>
              </w:rPr>
            </w:pPr>
            <w:r w:rsidRPr="00B66EFE">
              <w:rPr>
                <w:color w:val="231F20"/>
                <w:sz w:val="16"/>
                <w:szCs w:val="16"/>
              </w:rPr>
              <w:t>Improve macroinvertebrate habitat by improving water quality and</w:t>
            </w:r>
            <w:r w:rsidRPr="00B66EFE">
              <w:rPr>
                <w:color w:val="231F20"/>
                <w:spacing w:val="-33"/>
                <w:sz w:val="16"/>
                <w:szCs w:val="16"/>
              </w:rPr>
              <w:t xml:space="preserve"> </w:t>
            </w:r>
            <w:r w:rsidRPr="00B66EFE">
              <w:rPr>
                <w:color w:val="231F20"/>
                <w:sz w:val="16"/>
                <w:szCs w:val="16"/>
              </w:rPr>
              <w:t>by increasing the wetted</w:t>
            </w:r>
            <w:r w:rsidRPr="00B66EFE">
              <w:rPr>
                <w:color w:val="231F20"/>
                <w:spacing w:val="-4"/>
                <w:sz w:val="16"/>
                <w:szCs w:val="16"/>
              </w:rPr>
              <w:t xml:space="preserve"> </w:t>
            </w:r>
            <w:r w:rsidRPr="00B66EFE">
              <w:rPr>
                <w:color w:val="231F20"/>
                <w:sz w:val="16"/>
                <w:szCs w:val="16"/>
              </w:rPr>
              <w:t>perimeter</w:t>
            </w:r>
          </w:p>
          <w:p w:rsidR="006A7A3F" w:rsidRPr="00B66EFE" w:rsidRDefault="00BC7372">
            <w:pPr>
              <w:pStyle w:val="TableParagraph"/>
              <w:numPr>
                <w:ilvl w:val="0"/>
                <w:numId w:val="257"/>
              </w:numPr>
              <w:tabs>
                <w:tab w:val="left" w:pos="306"/>
              </w:tabs>
              <w:spacing w:before="86"/>
              <w:ind w:hanging="218"/>
              <w:rPr>
                <w:sz w:val="16"/>
                <w:szCs w:val="16"/>
              </w:rPr>
            </w:pPr>
            <w:r w:rsidRPr="00B66EFE">
              <w:rPr>
                <w:color w:val="231F20"/>
                <w:sz w:val="16"/>
                <w:szCs w:val="16"/>
              </w:rPr>
              <w:t>Provide carbon (e.g. leaf litter) to the</w:t>
            </w:r>
            <w:r w:rsidRPr="00B66EFE">
              <w:rPr>
                <w:color w:val="231F20"/>
                <w:spacing w:val="-4"/>
                <w:sz w:val="16"/>
                <w:szCs w:val="16"/>
              </w:rPr>
              <w:t xml:space="preserve"> </w:t>
            </w:r>
            <w:r w:rsidRPr="00B66EFE">
              <w:rPr>
                <w:color w:val="231F20"/>
                <w:sz w:val="16"/>
                <w:szCs w:val="16"/>
              </w:rPr>
              <w:t>channel</w:t>
            </w:r>
          </w:p>
          <w:p w:rsidR="006A7A3F" w:rsidRPr="00B66EFE" w:rsidRDefault="00BC7372">
            <w:pPr>
              <w:pStyle w:val="TableParagraph"/>
              <w:numPr>
                <w:ilvl w:val="0"/>
                <w:numId w:val="257"/>
              </w:numPr>
              <w:tabs>
                <w:tab w:val="left" w:pos="306"/>
              </w:tabs>
              <w:spacing w:before="98"/>
              <w:ind w:hanging="218"/>
              <w:rPr>
                <w:sz w:val="16"/>
                <w:szCs w:val="16"/>
              </w:rPr>
            </w:pPr>
            <w:r w:rsidRPr="00B66EFE">
              <w:rPr>
                <w:color w:val="231F20"/>
                <w:sz w:val="16"/>
                <w:szCs w:val="16"/>
              </w:rPr>
              <w:t>Wet bench habitats to encourage plant</w:t>
            </w:r>
            <w:r w:rsidRPr="00B66EFE">
              <w:rPr>
                <w:color w:val="231F20"/>
                <w:spacing w:val="-11"/>
                <w:sz w:val="16"/>
                <w:szCs w:val="16"/>
              </w:rPr>
              <w:t xml:space="preserve"> </w:t>
            </w:r>
            <w:r w:rsidRPr="00B66EFE">
              <w:rPr>
                <w:color w:val="231F20"/>
                <w:sz w:val="16"/>
                <w:szCs w:val="16"/>
              </w:rPr>
              <w:t>germination</w:t>
            </w:r>
          </w:p>
          <w:p w:rsidR="006A7A3F" w:rsidRDefault="00BC7372">
            <w:pPr>
              <w:pStyle w:val="TableParagraph"/>
              <w:numPr>
                <w:ilvl w:val="0"/>
                <w:numId w:val="257"/>
              </w:numPr>
              <w:tabs>
                <w:tab w:val="left" w:pos="306"/>
              </w:tabs>
              <w:spacing w:before="98" w:line="254" w:lineRule="auto"/>
              <w:ind w:right="235"/>
              <w:rPr>
                <w:sz w:val="18"/>
              </w:rPr>
            </w:pPr>
            <w:r w:rsidRPr="00B66EFE">
              <w:rPr>
                <w:color w:val="231F20"/>
                <w:sz w:val="16"/>
                <w:szCs w:val="16"/>
              </w:rPr>
              <w:t>Remove terrestrial vegetation and trigger the recruitment of native bank vegetation</w:t>
            </w:r>
          </w:p>
        </w:tc>
        <w:tc>
          <w:tcPr>
            <w:tcW w:w="850" w:type="dxa"/>
            <w:gridSpan w:val="2"/>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103"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10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rsidTr="00B66EFE">
        <w:trPr>
          <w:trHeight w:val="107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gridSpan w:val="2"/>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10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210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6A7A3F" w:rsidTr="00B66EFE">
        <w:trPr>
          <w:trHeight w:val="15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62"/>
              <w:rPr>
                <w:sz w:val="16"/>
              </w:rPr>
            </w:pPr>
            <w:r>
              <w:rPr>
                <w:color w:val="231F20"/>
                <w:sz w:val="16"/>
              </w:rPr>
              <w:t>Provide slower recession to unregulated flows or releases from Goulburn Weir (3,000 ML/day and below in summer/ autumn and from 6,000 ML/ day in winter/spring) in reaches 4 and 5</w:t>
            </w:r>
          </w:p>
        </w:tc>
        <w:tc>
          <w:tcPr>
            <w:tcW w:w="6236" w:type="dxa"/>
            <w:tcBorders>
              <w:top w:val="single" w:sz="4" w:space="0" w:color="231F20"/>
              <w:left w:val="single" w:sz="4" w:space="0" w:color="231F20"/>
              <w:bottom w:val="single" w:sz="4" w:space="0" w:color="231F20"/>
              <w:right w:val="single" w:sz="4" w:space="0" w:color="231F20"/>
            </w:tcBorders>
          </w:tcPr>
          <w:p w:rsidR="006A7A3F" w:rsidRPr="00B66EFE" w:rsidRDefault="00BC7372">
            <w:pPr>
              <w:pStyle w:val="TableParagraph"/>
              <w:numPr>
                <w:ilvl w:val="0"/>
                <w:numId w:val="256"/>
              </w:numPr>
              <w:tabs>
                <w:tab w:val="left" w:pos="306"/>
              </w:tabs>
              <w:spacing w:before="63"/>
              <w:ind w:hanging="218"/>
              <w:rPr>
                <w:sz w:val="16"/>
                <w:szCs w:val="16"/>
              </w:rPr>
            </w:pPr>
            <w:r w:rsidRPr="00B66EFE">
              <w:rPr>
                <w:color w:val="231F20"/>
                <w:sz w:val="16"/>
                <w:szCs w:val="16"/>
              </w:rPr>
              <w:t>Minimise the risk of bank erosion associated with rapid</w:t>
            </w:r>
            <w:r w:rsidRPr="00B66EFE">
              <w:rPr>
                <w:color w:val="231F20"/>
                <w:spacing w:val="-14"/>
                <w:sz w:val="16"/>
                <w:szCs w:val="16"/>
              </w:rPr>
              <w:t xml:space="preserve"> </w:t>
            </w:r>
            <w:r w:rsidRPr="00B66EFE">
              <w:rPr>
                <w:color w:val="231F20"/>
                <w:sz w:val="16"/>
                <w:szCs w:val="16"/>
              </w:rPr>
              <w:t>drying</w:t>
            </w:r>
          </w:p>
          <w:p w:rsidR="006A7A3F" w:rsidRDefault="00BC7372">
            <w:pPr>
              <w:pStyle w:val="TableParagraph"/>
              <w:numPr>
                <w:ilvl w:val="0"/>
                <w:numId w:val="256"/>
              </w:numPr>
              <w:tabs>
                <w:tab w:val="left" w:pos="306"/>
              </w:tabs>
              <w:spacing w:before="98"/>
              <w:ind w:hanging="218"/>
              <w:rPr>
                <w:sz w:val="18"/>
              </w:rPr>
            </w:pPr>
            <w:r w:rsidRPr="00B66EFE">
              <w:rPr>
                <w:color w:val="231F20"/>
                <w:sz w:val="16"/>
                <w:szCs w:val="16"/>
              </w:rPr>
              <w:t>Minimise the risk of hypoxic blackwater after natural</w:t>
            </w:r>
            <w:r w:rsidRPr="00B66EFE">
              <w:rPr>
                <w:color w:val="231F20"/>
                <w:spacing w:val="-13"/>
                <w:sz w:val="16"/>
                <w:szCs w:val="16"/>
              </w:rPr>
              <w:t xml:space="preserve"> </w:t>
            </w:r>
            <w:r w:rsidRPr="00B66EFE">
              <w:rPr>
                <w:color w:val="231F20"/>
                <w:sz w:val="16"/>
                <w:szCs w:val="16"/>
              </w:rPr>
              <w:t>events</w:t>
            </w:r>
          </w:p>
        </w:tc>
        <w:tc>
          <w:tcPr>
            <w:tcW w:w="850" w:type="dxa"/>
            <w:gridSpan w:val="2"/>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11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11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6A7A3F" w:rsidTr="00B66EFE">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Pr>
                <w:sz w:val="16"/>
              </w:rPr>
            </w:pPr>
            <w:r>
              <w:rPr>
                <w:color w:val="231F20"/>
                <w:sz w:val="16"/>
              </w:rPr>
              <w:t>Spring/autumn/winter low flow (400 ML/day during July to September and April to June in reach 1)</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66EFE" w:rsidRDefault="00BC7372">
            <w:pPr>
              <w:pStyle w:val="TableParagraph"/>
              <w:numPr>
                <w:ilvl w:val="0"/>
                <w:numId w:val="255"/>
              </w:numPr>
              <w:tabs>
                <w:tab w:val="left" w:pos="306"/>
              </w:tabs>
              <w:spacing w:before="63"/>
              <w:ind w:hanging="218"/>
              <w:rPr>
                <w:sz w:val="16"/>
                <w:szCs w:val="16"/>
              </w:rPr>
            </w:pPr>
            <w:r w:rsidRPr="00B66EFE">
              <w:rPr>
                <w:color w:val="231F20"/>
                <w:sz w:val="16"/>
                <w:szCs w:val="16"/>
              </w:rPr>
              <w:t>Wet and maintain riffles to provide habitat for biofilms and</w:t>
            </w:r>
            <w:r w:rsidRPr="00B66EFE">
              <w:rPr>
                <w:color w:val="231F20"/>
                <w:spacing w:val="-25"/>
                <w:sz w:val="16"/>
                <w:szCs w:val="16"/>
              </w:rPr>
              <w:t xml:space="preserve"> </w:t>
            </w:r>
            <w:r w:rsidRPr="00B66EFE">
              <w:rPr>
                <w:color w:val="231F20"/>
                <w:sz w:val="16"/>
                <w:szCs w:val="16"/>
              </w:rPr>
              <w:t>waterbugs</w:t>
            </w:r>
          </w:p>
          <w:p w:rsidR="006A7A3F" w:rsidRPr="00B66EFE" w:rsidRDefault="00BC7372">
            <w:pPr>
              <w:pStyle w:val="TableParagraph"/>
              <w:numPr>
                <w:ilvl w:val="0"/>
                <w:numId w:val="255"/>
              </w:numPr>
              <w:tabs>
                <w:tab w:val="left" w:pos="306"/>
              </w:tabs>
              <w:spacing w:before="98"/>
              <w:ind w:hanging="218"/>
              <w:rPr>
                <w:sz w:val="16"/>
                <w:szCs w:val="16"/>
              </w:rPr>
            </w:pPr>
            <w:r w:rsidRPr="00B66EFE">
              <w:rPr>
                <w:color w:val="231F20"/>
                <w:sz w:val="16"/>
                <w:szCs w:val="16"/>
              </w:rPr>
              <w:t>Scour fine sediment from the gravel bed and riffle</w:t>
            </w:r>
            <w:r w:rsidRPr="00B66EFE">
              <w:rPr>
                <w:color w:val="231F20"/>
                <w:spacing w:val="-6"/>
                <w:sz w:val="16"/>
                <w:szCs w:val="16"/>
              </w:rPr>
              <w:t xml:space="preserve"> </w:t>
            </w:r>
            <w:r w:rsidRPr="00B66EFE">
              <w:rPr>
                <w:color w:val="231F20"/>
                <w:sz w:val="16"/>
                <w:szCs w:val="16"/>
              </w:rPr>
              <w:t>substrate</w:t>
            </w:r>
          </w:p>
          <w:p w:rsidR="006A7A3F" w:rsidRPr="00B66EFE" w:rsidRDefault="00BC7372">
            <w:pPr>
              <w:pStyle w:val="TableParagraph"/>
              <w:numPr>
                <w:ilvl w:val="0"/>
                <w:numId w:val="255"/>
              </w:numPr>
              <w:tabs>
                <w:tab w:val="left" w:pos="306"/>
              </w:tabs>
              <w:spacing w:before="98" w:line="254" w:lineRule="auto"/>
              <w:ind w:right="536"/>
              <w:rPr>
                <w:sz w:val="16"/>
                <w:szCs w:val="16"/>
              </w:rPr>
            </w:pPr>
            <w:r w:rsidRPr="00B66EFE">
              <w:rPr>
                <w:color w:val="231F20"/>
                <w:sz w:val="16"/>
                <w:szCs w:val="16"/>
              </w:rPr>
              <w:t>Maintain the wetted perimeter of the channel and habitat for</w:t>
            </w:r>
            <w:r w:rsidRPr="00B66EFE">
              <w:rPr>
                <w:color w:val="231F20"/>
                <w:spacing w:val="-33"/>
                <w:sz w:val="16"/>
                <w:szCs w:val="16"/>
              </w:rPr>
              <w:t xml:space="preserve"> </w:t>
            </w:r>
            <w:r w:rsidRPr="00B66EFE">
              <w:rPr>
                <w:color w:val="231F20"/>
                <w:sz w:val="16"/>
                <w:szCs w:val="16"/>
              </w:rPr>
              <w:t>aquatic vegetation</w:t>
            </w:r>
          </w:p>
          <w:p w:rsidR="006A7A3F" w:rsidRPr="00B66EFE" w:rsidRDefault="00BC7372">
            <w:pPr>
              <w:pStyle w:val="TableParagraph"/>
              <w:numPr>
                <w:ilvl w:val="0"/>
                <w:numId w:val="255"/>
              </w:numPr>
              <w:tabs>
                <w:tab w:val="left" w:pos="306"/>
              </w:tabs>
              <w:spacing w:before="86"/>
              <w:ind w:hanging="218"/>
              <w:rPr>
                <w:sz w:val="16"/>
                <w:szCs w:val="16"/>
              </w:rPr>
            </w:pPr>
            <w:r w:rsidRPr="00B66EFE">
              <w:rPr>
                <w:color w:val="231F20"/>
                <w:sz w:val="16"/>
                <w:szCs w:val="16"/>
              </w:rPr>
              <w:t>Maintain existing beds of in-channel</w:t>
            </w:r>
            <w:r w:rsidRPr="00B66EFE">
              <w:rPr>
                <w:color w:val="231F20"/>
                <w:spacing w:val="-6"/>
                <w:sz w:val="16"/>
                <w:szCs w:val="16"/>
              </w:rPr>
              <w:t xml:space="preserve"> </w:t>
            </w:r>
            <w:r w:rsidRPr="00B66EFE">
              <w:rPr>
                <w:color w:val="231F20"/>
                <w:sz w:val="16"/>
                <w:szCs w:val="16"/>
              </w:rPr>
              <w:t>vegetation</w:t>
            </w:r>
          </w:p>
          <w:p w:rsidR="006A7A3F" w:rsidRDefault="00BC7372">
            <w:pPr>
              <w:pStyle w:val="TableParagraph"/>
              <w:numPr>
                <w:ilvl w:val="0"/>
                <w:numId w:val="255"/>
              </w:numPr>
              <w:tabs>
                <w:tab w:val="left" w:pos="306"/>
              </w:tabs>
              <w:spacing w:before="98"/>
              <w:ind w:hanging="218"/>
              <w:rPr>
                <w:sz w:val="18"/>
              </w:rPr>
            </w:pPr>
            <w:r w:rsidRPr="00B66EFE">
              <w:rPr>
                <w:color w:val="231F20"/>
                <w:sz w:val="16"/>
                <w:szCs w:val="16"/>
              </w:rPr>
              <w:t>Maintain habitat for small-bodied native</w:t>
            </w:r>
            <w:r w:rsidRPr="00B66EFE">
              <w:rPr>
                <w:color w:val="231F20"/>
                <w:spacing w:val="-3"/>
                <w:sz w:val="16"/>
                <w:szCs w:val="16"/>
              </w:rPr>
              <w:t xml:space="preserve"> </w:t>
            </w:r>
            <w:r w:rsidRPr="00B66EFE">
              <w:rPr>
                <w:color w:val="231F20"/>
                <w:sz w:val="16"/>
                <w:szCs w:val="16"/>
              </w:rPr>
              <w:t>fish</w:t>
            </w:r>
          </w:p>
        </w:tc>
        <w:tc>
          <w:tcPr>
            <w:tcW w:w="850" w:type="dxa"/>
            <w:gridSpan w:val="2"/>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115"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6"/>
                  <wp:effectExtent l="0" t="0" r="0" b="0"/>
                  <wp:docPr id="211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image19.jpeg"/>
                          <pic:cNvPicPr/>
                        </pic:nvPicPr>
                        <pic:blipFill>
                          <a:blip r:embed="rId31" cstate="print"/>
                          <a:stretch>
                            <a:fillRect/>
                          </a:stretch>
                        </pic:blipFill>
                        <pic:spPr>
                          <a:xfrm>
                            <a:off x="0" y="0"/>
                            <a:ext cx="314177" cy="310896"/>
                          </a:xfrm>
                          <a:prstGeom prst="rect">
                            <a:avLst/>
                          </a:prstGeom>
                        </pic:spPr>
                      </pic:pic>
                    </a:graphicData>
                  </a:graphic>
                </wp:inline>
              </w:drawing>
            </w:r>
          </w:p>
        </w:tc>
      </w:tr>
      <w:tr w:rsidR="006A7A3F" w:rsidTr="00B66EFE">
        <w:trPr>
          <w:trHeight w:val="115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gridSpan w:val="2"/>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7" cy="310896"/>
                  <wp:effectExtent l="0" t="0" r="0" b="0"/>
                  <wp:docPr id="211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76" cy="310896"/>
                  <wp:effectExtent l="0" t="0" r="0" b="0"/>
                  <wp:docPr id="212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image22.jpeg"/>
                          <pic:cNvPicPr/>
                        </pic:nvPicPr>
                        <pic:blipFill>
                          <a:blip r:embed="rId34" cstate="print"/>
                          <a:stretch>
                            <a:fillRect/>
                          </a:stretch>
                        </pic:blipFill>
                        <pic:spPr>
                          <a:xfrm>
                            <a:off x="0" y="0"/>
                            <a:ext cx="314176" cy="310896"/>
                          </a:xfrm>
                          <a:prstGeom prst="rect">
                            <a:avLst/>
                          </a:prstGeom>
                        </pic:spPr>
                      </pic:pic>
                    </a:graphicData>
                  </a:graphic>
                </wp:inline>
              </w:drawing>
            </w:r>
          </w:p>
        </w:tc>
      </w:tr>
      <w:tr w:rsidR="006A7A3F" w:rsidTr="00B66EFE">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04"/>
              <w:rPr>
                <w:sz w:val="16"/>
              </w:rPr>
            </w:pPr>
            <w:r>
              <w:rPr>
                <w:color w:val="231F20"/>
                <w:sz w:val="16"/>
              </w:rPr>
              <w:t>Winter fresh (up to 15,000 ML/ day with more than 14 days above 6,600 ML/day in June/ July 2021, reaches 4 and 5)</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66EFE" w:rsidRDefault="00BC7372">
            <w:pPr>
              <w:pStyle w:val="TableParagraph"/>
              <w:numPr>
                <w:ilvl w:val="0"/>
                <w:numId w:val="254"/>
              </w:numPr>
              <w:tabs>
                <w:tab w:val="left" w:pos="306"/>
              </w:tabs>
              <w:spacing w:before="63" w:line="254" w:lineRule="auto"/>
              <w:ind w:right="457"/>
              <w:rPr>
                <w:sz w:val="16"/>
                <w:szCs w:val="16"/>
              </w:rPr>
            </w:pPr>
            <w:r w:rsidRPr="00B66EFE">
              <w:rPr>
                <w:color w:val="231F20"/>
                <w:sz w:val="16"/>
                <w:szCs w:val="16"/>
              </w:rPr>
              <w:t>Improve macroinvertebrate habitat by improving water quality and</w:t>
            </w:r>
            <w:r w:rsidRPr="00B66EFE">
              <w:rPr>
                <w:color w:val="231F20"/>
                <w:spacing w:val="-33"/>
                <w:sz w:val="16"/>
                <w:szCs w:val="16"/>
              </w:rPr>
              <w:t xml:space="preserve"> </w:t>
            </w:r>
            <w:r w:rsidRPr="00B66EFE">
              <w:rPr>
                <w:color w:val="231F20"/>
                <w:sz w:val="16"/>
                <w:szCs w:val="16"/>
              </w:rPr>
              <w:t>by increasing the wetted</w:t>
            </w:r>
            <w:r w:rsidRPr="00B66EFE">
              <w:rPr>
                <w:color w:val="231F20"/>
                <w:spacing w:val="-4"/>
                <w:sz w:val="16"/>
                <w:szCs w:val="16"/>
              </w:rPr>
              <w:t xml:space="preserve"> </w:t>
            </w:r>
            <w:r w:rsidRPr="00B66EFE">
              <w:rPr>
                <w:color w:val="231F20"/>
                <w:sz w:val="16"/>
                <w:szCs w:val="16"/>
              </w:rPr>
              <w:t>perimeter</w:t>
            </w:r>
          </w:p>
          <w:p w:rsidR="006A7A3F" w:rsidRPr="00B66EFE" w:rsidRDefault="00BC7372">
            <w:pPr>
              <w:pStyle w:val="TableParagraph"/>
              <w:numPr>
                <w:ilvl w:val="0"/>
                <w:numId w:val="254"/>
              </w:numPr>
              <w:tabs>
                <w:tab w:val="left" w:pos="306"/>
              </w:tabs>
              <w:spacing w:before="86"/>
              <w:ind w:hanging="218"/>
              <w:rPr>
                <w:sz w:val="16"/>
                <w:szCs w:val="16"/>
              </w:rPr>
            </w:pPr>
            <w:r w:rsidRPr="00B66EFE">
              <w:rPr>
                <w:color w:val="231F20"/>
                <w:sz w:val="16"/>
                <w:szCs w:val="16"/>
              </w:rPr>
              <w:t>Provide carbon (e.g. leaf litter) to the</w:t>
            </w:r>
            <w:r w:rsidRPr="00B66EFE">
              <w:rPr>
                <w:color w:val="231F20"/>
                <w:spacing w:val="-4"/>
                <w:sz w:val="16"/>
                <w:szCs w:val="16"/>
              </w:rPr>
              <w:t xml:space="preserve"> </w:t>
            </w:r>
            <w:r w:rsidRPr="00B66EFE">
              <w:rPr>
                <w:color w:val="231F20"/>
                <w:sz w:val="16"/>
                <w:szCs w:val="16"/>
              </w:rPr>
              <w:t>channel</w:t>
            </w:r>
          </w:p>
          <w:p w:rsidR="006A7A3F" w:rsidRPr="00B66EFE" w:rsidRDefault="00BC7372">
            <w:pPr>
              <w:pStyle w:val="TableParagraph"/>
              <w:numPr>
                <w:ilvl w:val="0"/>
                <w:numId w:val="254"/>
              </w:numPr>
              <w:tabs>
                <w:tab w:val="left" w:pos="306"/>
              </w:tabs>
              <w:spacing w:before="98"/>
              <w:ind w:hanging="218"/>
              <w:rPr>
                <w:sz w:val="16"/>
                <w:szCs w:val="16"/>
              </w:rPr>
            </w:pPr>
            <w:r w:rsidRPr="00B66EFE">
              <w:rPr>
                <w:color w:val="231F20"/>
                <w:sz w:val="16"/>
                <w:szCs w:val="16"/>
              </w:rPr>
              <w:t>Wet bench habitats to encourage plant</w:t>
            </w:r>
            <w:r w:rsidRPr="00B66EFE">
              <w:rPr>
                <w:color w:val="231F20"/>
                <w:spacing w:val="-11"/>
                <w:sz w:val="16"/>
                <w:szCs w:val="16"/>
              </w:rPr>
              <w:t xml:space="preserve"> </w:t>
            </w:r>
            <w:r w:rsidRPr="00B66EFE">
              <w:rPr>
                <w:color w:val="231F20"/>
                <w:sz w:val="16"/>
                <w:szCs w:val="16"/>
              </w:rPr>
              <w:t>germination</w:t>
            </w:r>
          </w:p>
          <w:p w:rsidR="006A7A3F" w:rsidRDefault="00BC7372">
            <w:pPr>
              <w:pStyle w:val="TableParagraph"/>
              <w:numPr>
                <w:ilvl w:val="0"/>
                <w:numId w:val="254"/>
              </w:numPr>
              <w:tabs>
                <w:tab w:val="left" w:pos="306"/>
              </w:tabs>
              <w:spacing w:before="98" w:line="254" w:lineRule="auto"/>
              <w:ind w:right="235"/>
              <w:rPr>
                <w:sz w:val="18"/>
              </w:rPr>
            </w:pPr>
            <w:r w:rsidRPr="00B66EFE">
              <w:rPr>
                <w:color w:val="231F20"/>
                <w:sz w:val="16"/>
                <w:szCs w:val="16"/>
              </w:rPr>
              <w:t>Remove terrestrial vegetation and trigger the recruitment of native bank vegetation</w:t>
            </w:r>
          </w:p>
        </w:tc>
        <w:tc>
          <w:tcPr>
            <w:tcW w:w="850" w:type="dxa"/>
            <w:gridSpan w:val="2"/>
            <w:tcBorders>
              <w:top w:val="single" w:sz="4" w:space="0" w:color="231F20"/>
              <w:left w:val="single" w:sz="4" w:space="0" w:color="231F20"/>
              <w:bottom w:val="nil"/>
              <w:right w:val="nil"/>
            </w:tcBorders>
          </w:tcPr>
          <w:p w:rsidR="006A7A3F" w:rsidRDefault="006A7A3F">
            <w:pPr>
              <w:pStyle w:val="TableParagraph"/>
              <w:spacing w:before="8" w:after="1"/>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123"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image42.jpeg"/>
                          <pic:cNvPicPr/>
                        </pic:nvPicPr>
                        <pic:blipFill>
                          <a:blip r:embed="rId54"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12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B66EFE">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gridSpan w:val="2"/>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12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212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B66EFE">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gridSpan w:val="2"/>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13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rsidTr="00B66EFE">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60"/>
              <w:rPr>
                <w:sz w:val="16"/>
              </w:rPr>
            </w:pPr>
            <w:r>
              <w:rPr>
                <w:color w:val="231F20"/>
                <w:sz w:val="16"/>
              </w:rPr>
              <w:t>Flows should not exceed 1,000 ML/day for five to six weeks after a spring fresh (in late spring/summer) in reaches 4 and 5</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B66EFE" w:rsidRDefault="00BC7372">
            <w:pPr>
              <w:pStyle w:val="TableParagraph"/>
              <w:numPr>
                <w:ilvl w:val="0"/>
                <w:numId w:val="253"/>
              </w:numPr>
              <w:tabs>
                <w:tab w:val="left" w:pos="306"/>
              </w:tabs>
              <w:spacing w:before="63" w:line="254" w:lineRule="auto"/>
              <w:ind w:right="257"/>
              <w:rPr>
                <w:sz w:val="16"/>
                <w:szCs w:val="16"/>
              </w:rPr>
            </w:pPr>
            <w:r w:rsidRPr="00B66EFE">
              <w:rPr>
                <w:color w:val="231F20"/>
                <w:sz w:val="16"/>
                <w:szCs w:val="16"/>
              </w:rPr>
              <w:t>Allow</w:t>
            </w:r>
            <w:r w:rsidRPr="00B66EFE">
              <w:rPr>
                <w:color w:val="231F20"/>
                <w:spacing w:val="-4"/>
                <w:sz w:val="16"/>
                <w:szCs w:val="16"/>
              </w:rPr>
              <w:t xml:space="preserve"> </w:t>
            </w:r>
            <w:r w:rsidRPr="00B66EFE">
              <w:rPr>
                <w:color w:val="231F20"/>
                <w:sz w:val="16"/>
                <w:szCs w:val="16"/>
              </w:rPr>
              <w:t>newly</w:t>
            </w:r>
            <w:r w:rsidRPr="00B66EFE">
              <w:rPr>
                <w:color w:val="231F20"/>
                <w:spacing w:val="-5"/>
                <w:sz w:val="16"/>
                <w:szCs w:val="16"/>
              </w:rPr>
              <w:t xml:space="preserve"> </w:t>
            </w:r>
            <w:r w:rsidRPr="00B66EFE">
              <w:rPr>
                <w:color w:val="231F20"/>
                <w:sz w:val="16"/>
                <w:szCs w:val="16"/>
              </w:rPr>
              <w:t>grown</w:t>
            </w:r>
            <w:r w:rsidRPr="00B66EFE">
              <w:rPr>
                <w:color w:val="231F20"/>
                <w:spacing w:val="-4"/>
                <w:sz w:val="16"/>
                <w:szCs w:val="16"/>
              </w:rPr>
              <w:t xml:space="preserve"> </w:t>
            </w:r>
            <w:r w:rsidRPr="00B66EFE">
              <w:rPr>
                <w:color w:val="231F20"/>
                <w:sz w:val="16"/>
                <w:szCs w:val="16"/>
              </w:rPr>
              <w:t>littoral</w:t>
            </w:r>
            <w:r w:rsidRPr="00B66EFE">
              <w:rPr>
                <w:color w:val="231F20"/>
                <w:spacing w:val="-5"/>
                <w:sz w:val="16"/>
                <w:szCs w:val="16"/>
              </w:rPr>
              <w:t xml:space="preserve"> </w:t>
            </w:r>
            <w:r w:rsidRPr="00B66EFE">
              <w:rPr>
                <w:color w:val="231F20"/>
                <w:sz w:val="16"/>
                <w:szCs w:val="16"/>
              </w:rPr>
              <w:t>emergent</w:t>
            </w:r>
            <w:r w:rsidRPr="00B66EFE">
              <w:rPr>
                <w:color w:val="231F20"/>
                <w:spacing w:val="-4"/>
                <w:sz w:val="16"/>
                <w:szCs w:val="16"/>
              </w:rPr>
              <w:t xml:space="preserve"> </w:t>
            </w:r>
            <w:r w:rsidRPr="00B66EFE">
              <w:rPr>
                <w:color w:val="231F20"/>
                <w:sz w:val="16"/>
                <w:szCs w:val="16"/>
              </w:rPr>
              <w:t>and</w:t>
            </w:r>
            <w:r w:rsidRPr="00B66EFE">
              <w:rPr>
                <w:color w:val="231F20"/>
                <w:spacing w:val="-5"/>
                <w:sz w:val="16"/>
                <w:szCs w:val="16"/>
              </w:rPr>
              <w:t xml:space="preserve"> </w:t>
            </w:r>
            <w:r w:rsidRPr="00B66EFE">
              <w:rPr>
                <w:color w:val="231F20"/>
                <w:sz w:val="16"/>
                <w:szCs w:val="16"/>
              </w:rPr>
              <w:t>semi-aquatic</w:t>
            </w:r>
            <w:r w:rsidRPr="00B66EFE">
              <w:rPr>
                <w:color w:val="231F20"/>
                <w:spacing w:val="-3"/>
                <w:sz w:val="16"/>
                <w:szCs w:val="16"/>
              </w:rPr>
              <w:t xml:space="preserve"> </w:t>
            </w:r>
            <w:r w:rsidRPr="00B66EFE">
              <w:rPr>
                <w:color w:val="231F20"/>
                <w:sz w:val="16"/>
                <w:szCs w:val="16"/>
              </w:rPr>
              <w:t>plants</w:t>
            </w:r>
            <w:r w:rsidRPr="00B66EFE">
              <w:rPr>
                <w:color w:val="231F20"/>
                <w:spacing w:val="-5"/>
                <w:sz w:val="16"/>
                <w:szCs w:val="16"/>
              </w:rPr>
              <w:t xml:space="preserve"> </w:t>
            </w:r>
            <w:r w:rsidRPr="00B66EFE">
              <w:rPr>
                <w:color w:val="231F20"/>
                <w:sz w:val="16"/>
                <w:szCs w:val="16"/>
              </w:rPr>
              <w:t>to</w:t>
            </w:r>
            <w:r w:rsidRPr="00B66EFE">
              <w:rPr>
                <w:color w:val="231F20"/>
                <w:spacing w:val="-3"/>
                <w:sz w:val="16"/>
                <w:szCs w:val="16"/>
              </w:rPr>
              <w:t xml:space="preserve"> </w:t>
            </w:r>
            <w:r w:rsidRPr="00B66EFE">
              <w:rPr>
                <w:color w:val="231F20"/>
                <w:sz w:val="16"/>
                <w:szCs w:val="16"/>
              </w:rPr>
              <w:t>become established and</w:t>
            </w:r>
            <w:r w:rsidRPr="00B66EFE">
              <w:rPr>
                <w:color w:val="231F20"/>
                <w:spacing w:val="-3"/>
                <w:sz w:val="16"/>
                <w:szCs w:val="16"/>
              </w:rPr>
              <w:t xml:space="preserve"> </w:t>
            </w:r>
            <w:r w:rsidRPr="00B66EFE">
              <w:rPr>
                <w:color w:val="231F20"/>
                <w:sz w:val="16"/>
                <w:szCs w:val="16"/>
              </w:rPr>
              <w:t>persist</w:t>
            </w:r>
          </w:p>
          <w:p w:rsidR="006A7A3F" w:rsidRDefault="00BC7372">
            <w:pPr>
              <w:pStyle w:val="TableParagraph"/>
              <w:numPr>
                <w:ilvl w:val="0"/>
                <w:numId w:val="253"/>
              </w:numPr>
              <w:tabs>
                <w:tab w:val="left" w:pos="306"/>
              </w:tabs>
              <w:spacing w:before="86"/>
              <w:ind w:hanging="218"/>
              <w:rPr>
                <w:sz w:val="18"/>
              </w:rPr>
            </w:pPr>
            <w:r w:rsidRPr="00B66EFE">
              <w:rPr>
                <w:color w:val="231F20"/>
                <w:sz w:val="16"/>
                <w:szCs w:val="16"/>
              </w:rPr>
              <w:t>Provide habitat for small-bodied fish and</w:t>
            </w:r>
            <w:r w:rsidRPr="00B66EFE">
              <w:rPr>
                <w:color w:val="231F20"/>
                <w:spacing w:val="-4"/>
                <w:sz w:val="16"/>
                <w:szCs w:val="16"/>
              </w:rPr>
              <w:t xml:space="preserve"> </w:t>
            </w:r>
            <w:r w:rsidRPr="00B66EFE">
              <w:rPr>
                <w:color w:val="231F20"/>
                <w:sz w:val="16"/>
                <w:szCs w:val="16"/>
              </w:rPr>
              <w:t>macroinvertebrates</w:t>
            </w:r>
          </w:p>
        </w:tc>
        <w:tc>
          <w:tcPr>
            <w:tcW w:w="850" w:type="dxa"/>
            <w:gridSpan w:val="2"/>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13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13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rsidTr="00B66EFE">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gridSpan w:val="2"/>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77" cy="310895"/>
                  <wp:effectExtent l="0" t="0" r="0" b="0"/>
                  <wp:docPr id="213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image21.jpeg"/>
                          <pic:cNvPicPr/>
                        </pic:nvPicPr>
                        <pic:blipFill>
                          <a:blip r:embed="rId33" cstate="print"/>
                          <a:stretch>
                            <a:fillRect/>
                          </a:stretch>
                        </pic:blipFill>
                        <pic:spPr>
                          <a:xfrm>
                            <a:off x="0" y="0"/>
                            <a:ext cx="314177"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77" cy="310895"/>
                  <wp:effectExtent l="0" t="0" r="0" b="0"/>
                  <wp:docPr id="213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image22.jpeg"/>
                          <pic:cNvPicPr/>
                        </pic:nvPicPr>
                        <pic:blipFill>
                          <a:blip r:embed="rId34" cstate="print"/>
                          <a:stretch>
                            <a:fillRect/>
                          </a:stretch>
                        </pic:blipFill>
                        <pic:spPr>
                          <a:xfrm>
                            <a:off x="0" y="0"/>
                            <a:ext cx="314177" cy="310895"/>
                          </a:xfrm>
                          <a:prstGeom prst="rect">
                            <a:avLst/>
                          </a:prstGeom>
                        </pic:spPr>
                      </pic:pic>
                    </a:graphicData>
                  </a:graphic>
                </wp:inline>
              </w:drawing>
            </w:r>
          </w:p>
        </w:tc>
      </w:tr>
      <w:tr w:rsidR="006A7A3F" w:rsidTr="00AC23E0">
        <w:trPr>
          <w:trHeight w:val="1580"/>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Pr>
                <w:sz w:val="16"/>
              </w:rPr>
            </w:pPr>
            <w:r>
              <w:rPr>
                <w:color w:val="231F20"/>
                <w:sz w:val="16"/>
              </w:rPr>
              <w:t>One spring/summer fresh (greater than 6,600 ML for one day between November and December in reaches 4 and 5)</w:t>
            </w:r>
          </w:p>
          <w:p w:rsidR="006A7A3F" w:rsidRDefault="006A7A3F">
            <w:pPr>
              <w:pStyle w:val="TableParagraph"/>
              <w:spacing w:before="3"/>
              <w:ind w:left="0"/>
              <w:rPr>
                <w:b/>
                <w:sz w:val="8"/>
              </w:rPr>
            </w:pPr>
          </w:p>
          <w:p w:rsidR="006A7A3F" w:rsidRDefault="00BC7372">
            <w:pPr>
              <w:pStyle w:val="TableParagraph"/>
              <w:ind w:left="85"/>
              <w:rPr>
                <w:sz w:val="20"/>
              </w:rPr>
            </w:pPr>
            <w:r>
              <w:rPr>
                <w:noProof/>
                <w:sz w:val="20"/>
              </w:rPr>
              <w:drawing>
                <wp:inline distT="0" distB="0" distL="0" distR="0">
                  <wp:extent cx="314158" cy="310895"/>
                  <wp:effectExtent l="0" t="0" r="0" b="0"/>
                  <wp:docPr id="2141" name="image38.jpeg" descr="icon: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image38.jpeg"/>
                          <pic:cNvPicPr/>
                        </pic:nvPicPr>
                        <pic:blipFill>
                          <a:blip r:embed="rId50" cstate="print"/>
                          <a:stretch>
                            <a:fillRect/>
                          </a:stretch>
                        </pic:blipFill>
                        <pic:spPr>
                          <a:xfrm>
                            <a:off x="0" y="0"/>
                            <a:ext cx="314158" cy="310895"/>
                          </a:xfrm>
                          <a:prstGeom prst="rect">
                            <a:avLst/>
                          </a:prstGeom>
                        </pic:spPr>
                      </pic:pic>
                    </a:graphicData>
                  </a:graphic>
                </wp:inline>
              </w:drawing>
            </w:r>
          </w:p>
        </w:tc>
        <w:tc>
          <w:tcPr>
            <w:tcW w:w="6236" w:type="dxa"/>
            <w:tcBorders>
              <w:top w:val="single" w:sz="4" w:space="0" w:color="231F20"/>
              <w:left w:val="single" w:sz="4" w:space="0" w:color="231F20"/>
              <w:bottom w:val="single" w:sz="4" w:space="0" w:color="231F20"/>
              <w:right w:val="single" w:sz="4" w:space="0" w:color="231F20"/>
            </w:tcBorders>
          </w:tcPr>
          <w:p w:rsidR="006A7A3F" w:rsidRPr="00B66EFE" w:rsidRDefault="00BC7372">
            <w:pPr>
              <w:pStyle w:val="TableParagraph"/>
              <w:numPr>
                <w:ilvl w:val="0"/>
                <w:numId w:val="252"/>
              </w:numPr>
              <w:tabs>
                <w:tab w:val="left" w:pos="306"/>
              </w:tabs>
              <w:spacing w:before="63"/>
              <w:ind w:hanging="218"/>
              <w:rPr>
                <w:sz w:val="16"/>
                <w:szCs w:val="16"/>
              </w:rPr>
            </w:pPr>
            <w:r w:rsidRPr="00B66EFE">
              <w:rPr>
                <w:color w:val="231F20"/>
                <w:sz w:val="16"/>
                <w:szCs w:val="16"/>
              </w:rPr>
              <w:t>Provide a cue for golden and silver perch to</w:t>
            </w:r>
            <w:r w:rsidRPr="00B66EFE">
              <w:rPr>
                <w:color w:val="231F20"/>
                <w:spacing w:val="-7"/>
                <w:sz w:val="16"/>
                <w:szCs w:val="16"/>
              </w:rPr>
              <w:t xml:space="preserve"> </w:t>
            </w:r>
            <w:r w:rsidRPr="00B66EFE">
              <w:rPr>
                <w:color w:val="231F20"/>
                <w:sz w:val="16"/>
                <w:szCs w:val="16"/>
              </w:rPr>
              <w:t>spawn</w:t>
            </w:r>
          </w:p>
        </w:tc>
        <w:tc>
          <w:tcPr>
            <w:tcW w:w="1558" w:type="dxa"/>
            <w:gridSpan w:val="3"/>
            <w:tcBorders>
              <w:top w:val="single" w:sz="4" w:space="0" w:color="231F20"/>
              <w:left w:val="single" w:sz="4" w:space="0" w:color="231F20"/>
              <w:bottom w:val="single" w:sz="4" w:space="0" w:color="auto"/>
              <w:right w:val="single" w:sz="4" w:space="0" w:color="231F20"/>
            </w:tcBorders>
          </w:tcPr>
          <w:p w:rsidR="006A7A3F" w:rsidRDefault="006A7A3F">
            <w:pPr>
              <w:pStyle w:val="TableParagraph"/>
              <w:spacing w:before="9"/>
              <w:ind w:left="0"/>
              <w:rPr>
                <w:b/>
                <w:sz w:val="8"/>
              </w:rPr>
            </w:pPr>
          </w:p>
          <w:p w:rsidR="006A7A3F" w:rsidRDefault="00BC7372">
            <w:pPr>
              <w:pStyle w:val="TableParagraph"/>
              <w:ind w:left="170"/>
              <w:rPr>
                <w:sz w:val="20"/>
              </w:rPr>
            </w:pPr>
            <w:r>
              <w:rPr>
                <w:noProof/>
                <w:sz w:val="20"/>
              </w:rPr>
              <w:drawing>
                <wp:inline distT="0" distB="0" distL="0" distR="0">
                  <wp:extent cx="314175" cy="310895"/>
                  <wp:effectExtent l="0" t="0" r="0" b="0"/>
                  <wp:docPr id="214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image19.jpeg"/>
                          <pic:cNvPicPr/>
                        </pic:nvPicPr>
                        <pic:blipFill>
                          <a:blip r:embed="rId31" cstate="print"/>
                          <a:stretch>
                            <a:fillRect/>
                          </a:stretch>
                        </pic:blipFill>
                        <pic:spPr>
                          <a:xfrm>
                            <a:off x="0" y="0"/>
                            <a:ext cx="314175" cy="310895"/>
                          </a:xfrm>
                          <a:prstGeom prst="rect">
                            <a:avLst/>
                          </a:prstGeom>
                        </pic:spPr>
                      </pic:pic>
                    </a:graphicData>
                  </a:graphic>
                </wp:inline>
              </w:drawing>
            </w:r>
          </w:p>
        </w:tc>
      </w:tr>
      <w:tr w:rsidR="00AC23E0" w:rsidTr="00AC23E0">
        <w:trPr>
          <w:trHeight w:val="386"/>
        </w:trPr>
        <w:tc>
          <w:tcPr>
            <w:tcW w:w="2381" w:type="dxa"/>
            <w:vMerge w:val="restart"/>
            <w:tcBorders>
              <w:top w:val="single" w:sz="4" w:space="0" w:color="231F20"/>
              <w:left w:val="single" w:sz="4" w:space="0" w:color="231F20"/>
              <w:right w:val="single" w:sz="4" w:space="0" w:color="231F20"/>
            </w:tcBorders>
          </w:tcPr>
          <w:p w:rsidR="00AC23E0" w:rsidRDefault="00AC23E0">
            <w:pPr>
              <w:pStyle w:val="TableParagraph"/>
              <w:spacing w:before="67" w:line="261" w:lineRule="auto"/>
              <w:ind w:left="85" w:right="213"/>
              <w:rPr>
                <w:sz w:val="16"/>
              </w:rPr>
            </w:pPr>
            <w:r>
              <w:rPr>
                <w:color w:val="231F20"/>
                <w:sz w:val="16"/>
              </w:rPr>
              <w:t>Autumn fresh (one fresh up to 6,000 ML/day for two days between March and April in reaches 4 and 5)</w:t>
            </w:r>
          </w:p>
        </w:tc>
        <w:tc>
          <w:tcPr>
            <w:tcW w:w="6236" w:type="dxa"/>
            <w:vMerge w:val="restart"/>
            <w:tcBorders>
              <w:top w:val="single" w:sz="4" w:space="0" w:color="231F20"/>
              <w:left w:val="single" w:sz="4" w:space="0" w:color="231F20"/>
              <w:right w:val="single" w:sz="4" w:space="0" w:color="auto"/>
            </w:tcBorders>
          </w:tcPr>
          <w:p w:rsidR="00AC23E0" w:rsidRPr="00B66EFE" w:rsidRDefault="00AC23E0">
            <w:pPr>
              <w:pStyle w:val="TableParagraph"/>
              <w:numPr>
                <w:ilvl w:val="0"/>
                <w:numId w:val="251"/>
              </w:numPr>
              <w:tabs>
                <w:tab w:val="left" w:pos="306"/>
              </w:tabs>
              <w:spacing w:before="63"/>
              <w:ind w:hanging="218"/>
              <w:rPr>
                <w:sz w:val="16"/>
                <w:szCs w:val="16"/>
              </w:rPr>
            </w:pPr>
            <w:r w:rsidRPr="00B66EFE">
              <w:rPr>
                <w:color w:val="231F20"/>
                <w:sz w:val="16"/>
                <w:szCs w:val="16"/>
              </w:rPr>
              <w:t>Encourage the germination of new seed on the lower banks and</w:t>
            </w:r>
            <w:r w:rsidRPr="00B66EFE">
              <w:rPr>
                <w:color w:val="231F20"/>
                <w:spacing w:val="-32"/>
                <w:sz w:val="16"/>
                <w:szCs w:val="16"/>
              </w:rPr>
              <w:t xml:space="preserve"> </w:t>
            </w:r>
            <w:r w:rsidRPr="00B66EFE">
              <w:rPr>
                <w:color w:val="231F20"/>
                <w:sz w:val="16"/>
                <w:szCs w:val="16"/>
              </w:rPr>
              <w:t>benches</w:t>
            </w:r>
          </w:p>
          <w:p w:rsidR="00AC23E0" w:rsidRPr="00B66EFE" w:rsidRDefault="00AC23E0">
            <w:pPr>
              <w:pStyle w:val="TableParagraph"/>
              <w:numPr>
                <w:ilvl w:val="0"/>
                <w:numId w:val="251"/>
              </w:numPr>
              <w:tabs>
                <w:tab w:val="left" w:pos="306"/>
              </w:tabs>
              <w:spacing w:before="98"/>
              <w:ind w:hanging="218"/>
              <w:rPr>
                <w:sz w:val="16"/>
                <w:szCs w:val="16"/>
              </w:rPr>
            </w:pPr>
            <w:r w:rsidRPr="00B66EFE">
              <w:rPr>
                <w:color w:val="231F20"/>
                <w:sz w:val="16"/>
                <w:szCs w:val="16"/>
              </w:rPr>
              <w:t>Improve water quality by reducing turbidity and mixing stratified</w:t>
            </w:r>
            <w:r w:rsidRPr="00B66EFE">
              <w:rPr>
                <w:color w:val="231F20"/>
                <w:spacing w:val="-14"/>
                <w:sz w:val="16"/>
                <w:szCs w:val="16"/>
              </w:rPr>
              <w:t xml:space="preserve"> </w:t>
            </w:r>
            <w:r w:rsidRPr="00B66EFE">
              <w:rPr>
                <w:color w:val="231F20"/>
                <w:sz w:val="16"/>
                <w:szCs w:val="16"/>
              </w:rPr>
              <w:t>water</w:t>
            </w:r>
          </w:p>
          <w:p w:rsidR="00AC23E0" w:rsidRPr="00B66EFE" w:rsidRDefault="00AC23E0">
            <w:pPr>
              <w:pStyle w:val="TableParagraph"/>
              <w:numPr>
                <w:ilvl w:val="0"/>
                <w:numId w:val="251"/>
              </w:numPr>
              <w:tabs>
                <w:tab w:val="left" w:pos="306"/>
              </w:tabs>
              <w:spacing w:before="98" w:line="254" w:lineRule="auto"/>
              <w:ind w:right="106"/>
              <w:rPr>
                <w:sz w:val="16"/>
                <w:szCs w:val="16"/>
              </w:rPr>
            </w:pPr>
            <w:r w:rsidRPr="00B66EFE">
              <w:rPr>
                <w:color w:val="231F20"/>
                <w:sz w:val="16"/>
                <w:szCs w:val="16"/>
              </w:rPr>
              <w:t>Flush fine sediment from hard substrates to allow new biofilm growth and to improve food and habitat for</w:t>
            </w:r>
            <w:r w:rsidRPr="00B66EFE">
              <w:rPr>
                <w:color w:val="231F20"/>
                <w:spacing w:val="-5"/>
                <w:sz w:val="16"/>
                <w:szCs w:val="16"/>
              </w:rPr>
              <w:t xml:space="preserve"> </w:t>
            </w:r>
            <w:r w:rsidRPr="00B66EFE">
              <w:rPr>
                <w:color w:val="231F20"/>
                <w:sz w:val="16"/>
                <w:szCs w:val="16"/>
              </w:rPr>
              <w:t>macroinvertebrates</w:t>
            </w:r>
          </w:p>
        </w:tc>
        <w:tc>
          <w:tcPr>
            <w:tcW w:w="779" w:type="dxa"/>
            <w:tcBorders>
              <w:top w:val="single" w:sz="4" w:space="0" w:color="auto"/>
              <w:left w:val="single" w:sz="4" w:space="0" w:color="auto"/>
              <w:bottom w:val="nil"/>
              <w:right w:val="nil"/>
            </w:tcBorders>
          </w:tcPr>
          <w:p w:rsidR="00AC23E0" w:rsidRDefault="00AC23E0" w:rsidP="00AC23E0">
            <w:pPr>
              <w:pStyle w:val="TableParagraph"/>
              <w:ind w:left="0" w:right="-15"/>
              <w:jc w:val="both"/>
              <w:rPr>
                <w:b/>
                <w:sz w:val="8"/>
              </w:rPr>
            </w:pPr>
          </w:p>
          <w:p w:rsidR="00AC23E0" w:rsidRDefault="00AC23E0" w:rsidP="00AC23E0">
            <w:pPr>
              <w:pStyle w:val="TableParagraph"/>
              <w:ind w:left="0" w:right="-15"/>
              <w:jc w:val="both"/>
              <w:rPr>
                <w:sz w:val="20"/>
              </w:rPr>
            </w:pPr>
            <w:r>
              <w:rPr>
                <w:b/>
                <w:sz w:val="8"/>
              </w:rPr>
              <w:t xml:space="preserve">        </w:t>
            </w:r>
            <w:r>
              <w:rPr>
                <w:noProof/>
                <w:sz w:val="20"/>
              </w:rPr>
              <w:drawing>
                <wp:inline distT="0" distB="0" distL="0" distR="0" wp14:anchorId="0D07BB83" wp14:editId="7CB14FE7">
                  <wp:extent cx="314168" cy="310895"/>
                  <wp:effectExtent l="0" t="0" r="0" b="0"/>
                  <wp:docPr id="2145" name="image42.jpeg" descr="icon: web (supply carbon to boost the waterway’s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image42.jpeg"/>
                          <pic:cNvPicPr/>
                        </pic:nvPicPr>
                        <pic:blipFill>
                          <a:blip r:embed="rId54" cstate="print"/>
                          <a:stretch>
                            <a:fillRect/>
                          </a:stretch>
                        </pic:blipFill>
                        <pic:spPr>
                          <a:xfrm>
                            <a:off x="0" y="0"/>
                            <a:ext cx="314168" cy="310895"/>
                          </a:xfrm>
                          <a:prstGeom prst="rect">
                            <a:avLst/>
                          </a:prstGeom>
                        </pic:spPr>
                      </pic:pic>
                    </a:graphicData>
                  </a:graphic>
                </wp:inline>
              </w:drawing>
            </w:r>
          </w:p>
        </w:tc>
        <w:tc>
          <w:tcPr>
            <w:tcW w:w="779" w:type="dxa"/>
            <w:gridSpan w:val="2"/>
            <w:tcBorders>
              <w:top w:val="single" w:sz="4" w:space="0" w:color="auto"/>
              <w:left w:val="nil"/>
              <w:bottom w:val="nil"/>
              <w:right w:val="single" w:sz="4" w:space="0" w:color="auto"/>
            </w:tcBorders>
          </w:tcPr>
          <w:p w:rsidR="00AC23E0" w:rsidRDefault="00AC23E0">
            <w:pPr>
              <w:pStyle w:val="TableParagraph"/>
              <w:spacing w:before="9"/>
              <w:ind w:left="0"/>
              <w:rPr>
                <w:b/>
                <w:sz w:val="8"/>
              </w:rPr>
            </w:pPr>
          </w:p>
          <w:p w:rsidR="00AC23E0" w:rsidRDefault="00AC23E0">
            <w:pPr>
              <w:pStyle w:val="TableParagraph"/>
              <w:ind w:left="48"/>
              <w:rPr>
                <w:sz w:val="20"/>
              </w:rPr>
            </w:pPr>
            <w:r>
              <w:rPr>
                <w:noProof/>
                <w:sz w:val="20"/>
              </w:rPr>
              <w:drawing>
                <wp:inline distT="0" distB="0" distL="0" distR="0" wp14:anchorId="39533D6A" wp14:editId="4967E5F2">
                  <wp:extent cx="314168" cy="310895"/>
                  <wp:effectExtent l="0" t="0" r="0" b="0"/>
                  <wp:docPr id="214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image21.jpeg"/>
                          <pic:cNvPicPr/>
                        </pic:nvPicPr>
                        <pic:blipFill>
                          <a:blip r:embed="rId33" cstate="print"/>
                          <a:stretch>
                            <a:fillRect/>
                          </a:stretch>
                        </pic:blipFill>
                        <pic:spPr>
                          <a:xfrm>
                            <a:off x="0" y="0"/>
                            <a:ext cx="314168" cy="310895"/>
                          </a:xfrm>
                          <a:prstGeom prst="rect">
                            <a:avLst/>
                          </a:prstGeom>
                        </pic:spPr>
                      </pic:pic>
                    </a:graphicData>
                  </a:graphic>
                </wp:inline>
              </w:drawing>
            </w:r>
          </w:p>
        </w:tc>
      </w:tr>
      <w:tr w:rsidR="00AC23E0" w:rsidTr="00AC23E0">
        <w:trPr>
          <w:trHeight w:val="567"/>
        </w:trPr>
        <w:tc>
          <w:tcPr>
            <w:tcW w:w="2381" w:type="dxa"/>
            <w:vMerge/>
            <w:tcBorders>
              <w:left w:val="single" w:sz="4" w:space="0" w:color="231F20"/>
              <w:right w:val="single" w:sz="4" w:space="0" w:color="231F20"/>
            </w:tcBorders>
          </w:tcPr>
          <w:p w:rsidR="00AC23E0" w:rsidRDefault="00AC23E0" w:rsidP="00AC23E0">
            <w:pPr>
              <w:pStyle w:val="TableParagraph"/>
              <w:spacing w:before="67" w:line="261" w:lineRule="auto"/>
              <w:ind w:left="85" w:right="213"/>
              <w:rPr>
                <w:color w:val="231F20"/>
                <w:sz w:val="16"/>
              </w:rPr>
            </w:pPr>
          </w:p>
        </w:tc>
        <w:tc>
          <w:tcPr>
            <w:tcW w:w="6236" w:type="dxa"/>
            <w:vMerge/>
            <w:tcBorders>
              <w:left w:val="single" w:sz="4" w:space="0" w:color="231F20"/>
              <w:right w:val="single" w:sz="4" w:space="0" w:color="auto"/>
            </w:tcBorders>
          </w:tcPr>
          <w:p w:rsidR="00AC23E0" w:rsidRPr="00B66EFE" w:rsidRDefault="00AC23E0" w:rsidP="00AC23E0">
            <w:pPr>
              <w:pStyle w:val="TableParagraph"/>
              <w:numPr>
                <w:ilvl w:val="0"/>
                <w:numId w:val="251"/>
              </w:numPr>
              <w:tabs>
                <w:tab w:val="left" w:pos="306"/>
              </w:tabs>
              <w:spacing w:before="63"/>
              <w:ind w:hanging="218"/>
              <w:rPr>
                <w:color w:val="231F20"/>
                <w:sz w:val="16"/>
                <w:szCs w:val="16"/>
              </w:rPr>
            </w:pPr>
          </w:p>
        </w:tc>
        <w:tc>
          <w:tcPr>
            <w:tcW w:w="779" w:type="dxa"/>
            <w:tcBorders>
              <w:top w:val="nil"/>
              <w:left w:val="single" w:sz="4" w:space="0" w:color="auto"/>
              <w:bottom w:val="single" w:sz="4" w:space="0" w:color="auto"/>
              <w:right w:val="nil"/>
            </w:tcBorders>
            <w:vAlign w:val="center"/>
          </w:tcPr>
          <w:p w:rsidR="00AC23E0" w:rsidRDefault="00AC23E0" w:rsidP="00AC23E0">
            <w:pPr>
              <w:pStyle w:val="TableParagraph"/>
              <w:ind w:left="0" w:right="-15"/>
              <w:rPr>
                <w:sz w:val="20"/>
              </w:rPr>
            </w:pPr>
            <w:r>
              <w:rPr>
                <w:sz w:val="20"/>
              </w:rPr>
              <w:t xml:space="preserve">   </w:t>
            </w:r>
            <w:r>
              <w:rPr>
                <w:noProof/>
                <w:sz w:val="20"/>
              </w:rPr>
              <w:drawing>
                <wp:inline distT="0" distB="0" distL="0" distR="0" wp14:anchorId="2E282C52" wp14:editId="56391FDA">
                  <wp:extent cx="314177" cy="310896"/>
                  <wp:effectExtent l="0" t="0" r="0" b="0"/>
                  <wp:docPr id="214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779" w:type="dxa"/>
            <w:gridSpan w:val="2"/>
            <w:tcBorders>
              <w:top w:val="nil"/>
              <w:left w:val="nil"/>
              <w:bottom w:val="single" w:sz="4" w:space="0" w:color="auto"/>
              <w:right w:val="single" w:sz="4" w:space="0" w:color="auto"/>
            </w:tcBorders>
            <w:vAlign w:val="center"/>
          </w:tcPr>
          <w:p w:rsidR="00AC23E0" w:rsidRDefault="00AC23E0" w:rsidP="00AC23E0">
            <w:pPr>
              <w:pStyle w:val="TableParagraph"/>
              <w:ind w:left="48"/>
              <w:rPr>
                <w:sz w:val="20"/>
              </w:rPr>
            </w:pPr>
            <w:r>
              <w:rPr>
                <w:noProof/>
                <w:sz w:val="20"/>
              </w:rPr>
              <w:drawing>
                <wp:inline distT="0" distB="0" distL="0" distR="0" wp14:anchorId="6887D4C5" wp14:editId="3DFA7CF5">
                  <wp:extent cx="314164" cy="310896"/>
                  <wp:effectExtent l="0" t="0" r="0" b="0"/>
                  <wp:docPr id="215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image23.png"/>
                          <pic:cNvPicPr/>
                        </pic:nvPicPr>
                        <pic:blipFill>
                          <a:blip r:embed="rId35" cstate="print"/>
                          <a:stretch>
                            <a:fillRect/>
                          </a:stretch>
                        </pic:blipFill>
                        <pic:spPr>
                          <a:xfrm>
                            <a:off x="0" y="0"/>
                            <a:ext cx="314164" cy="310896"/>
                          </a:xfrm>
                          <a:prstGeom prst="rect">
                            <a:avLst/>
                          </a:prstGeom>
                        </pic:spPr>
                      </pic:pic>
                    </a:graphicData>
                  </a:graphic>
                </wp:inline>
              </w:drawing>
            </w:r>
          </w:p>
        </w:tc>
      </w:tr>
      <w:tr w:rsidR="00AC23E0" w:rsidTr="00AC23E0">
        <w:trPr>
          <w:trHeight w:val="624"/>
        </w:trPr>
        <w:tc>
          <w:tcPr>
            <w:tcW w:w="2381" w:type="dxa"/>
            <w:vMerge w:val="restart"/>
            <w:tcBorders>
              <w:top w:val="single" w:sz="4" w:space="0" w:color="auto"/>
              <w:left w:val="single" w:sz="4" w:space="0" w:color="231F20"/>
              <w:right w:val="single" w:sz="4" w:space="0" w:color="231F20"/>
            </w:tcBorders>
          </w:tcPr>
          <w:p w:rsidR="00AC23E0" w:rsidRPr="00AC23E0" w:rsidRDefault="00AC23E0" w:rsidP="00AC23E0">
            <w:pPr>
              <w:pStyle w:val="TableParagraph"/>
              <w:spacing w:before="67" w:line="261" w:lineRule="auto"/>
              <w:ind w:left="85" w:right="247"/>
              <w:rPr>
                <w:sz w:val="16"/>
              </w:rPr>
            </w:pPr>
            <w:r>
              <w:rPr>
                <w:color w:val="231F20"/>
                <w:sz w:val="16"/>
              </w:rPr>
              <w:t>Flows should not exceed 1,000 ML/day (for more than 20 consecutive days, with a minimum of seven days between pulses in summer/ autumn in reaches 4 and 5)</w:t>
            </w:r>
          </w:p>
        </w:tc>
        <w:tc>
          <w:tcPr>
            <w:tcW w:w="6236" w:type="dxa"/>
            <w:vMerge w:val="restart"/>
            <w:tcBorders>
              <w:top w:val="single" w:sz="4" w:space="0" w:color="auto"/>
              <w:left w:val="single" w:sz="4" w:space="0" w:color="231F20"/>
              <w:right w:val="single" w:sz="4" w:space="0" w:color="auto"/>
            </w:tcBorders>
          </w:tcPr>
          <w:p w:rsidR="00AC23E0" w:rsidRPr="00AC23E0" w:rsidRDefault="00AC23E0" w:rsidP="00AC23E0">
            <w:pPr>
              <w:pStyle w:val="TableParagraph"/>
              <w:numPr>
                <w:ilvl w:val="0"/>
                <w:numId w:val="250"/>
              </w:numPr>
              <w:tabs>
                <w:tab w:val="left" w:pos="306"/>
              </w:tabs>
              <w:spacing w:before="63" w:line="254" w:lineRule="auto"/>
              <w:ind w:right="246"/>
              <w:rPr>
                <w:sz w:val="16"/>
                <w:szCs w:val="16"/>
              </w:rPr>
            </w:pPr>
            <w:r w:rsidRPr="00B66EFE">
              <w:rPr>
                <w:color w:val="231F20"/>
                <w:sz w:val="16"/>
                <w:szCs w:val="16"/>
              </w:rPr>
              <w:t>Maintain for more than one season a littoral fringe of emergent or semi- aquatic</w:t>
            </w:r>
            <w:r w:rsidRPr="00B66EFE">
              <w:rPr>
                <w:color w:val="231F20"/>
                <w:spacing w:val="-2"/>
                <w:sz w:val="16"/>
                <w:szCs w:val="16"/>
              </w:rPr>
              <w:t xml:space="preserve"> </w:t>
            </w:r>
            <w:r w:rsidRPr="00B66EFE">
              <w:rPr>
                <w:color w:val="231F20"/>
                <w:sz w:val="16"/>
                <w:szCs w:val="16"/>
              </w:rPr>
              <w:t>plants</w:t>
            </w:r>
          </w:p>
          <w:p w:rsidR="00AC23E0" w:rsidRPr="00AC23E0" w:rsidRDefault="00AC23E0" w:rsidP="00AC23E0">
            <w:pPr>
              <w:pStyle w:val="TableParagraph"/>
              <w:numPr>
                <w:ilvl w:val="0"/>
                <w:numId w:val="250"/>
              </w:numPr>
              <w:tabs>
                <w:tab w:val="left" w:pos="306"/>
              </w:tabs>
              <w:spacing w:before="63" w:line="254" w:lineRule="auto"/>
              <w:ind w:right="246"/>
              <w:rPr>
                <w:sz w:val="16"/>
                <w:szCs w:val="16"/>
              </w:rPr>
            </w:pPr>
            <w:r w:rsidRPr="00AC23E0">
              <w:rPr>
                <w:color w:val="231F20"/>
                <w:sz w:val="16"/>
                <w:szCs w:val="16"/>
              </w:rPr>
              <w:t>Provide slow-flowing littoral habitat for small-bodied fish</w:t>
            </w:r>
            <w:r w:rsidRPr="00AC23E0">
              <w:rPr>
                <w:color w:val="231F20"/>
                <w:spacing w:val="-18"/>
                <w:sz w:val="16"/>
                <w:szCs w:val="16"/>
              </w:rPr>
              <w:t xml:space="preserve"> </w:t>
            </w:r>
            <w:r w:rsidRPr="00AC23E0">
              <w:rPr>
                <w:color w:val="231F20"/>
                <w:sz w:val="16"/>
                <w:szCs w:val="16"/>
              </w:rPr>
              <w:t>and macroinvertebrates</w:t>
            </w:r>
          </w:p>
        </w:tc>
        <w:tc>
          <w:tcPr>
            <w:tcW w:w="779" w:type="dxa"/>
            <w:tcBorders>
              <w:top w:val="single" w:sz="4" w:space="0" w:color="auto"/>
              <w:left w:val="single" w:sz="4" w:space="0" w:color="auto"/>
              <w:bottom w:val="nil"/>
              <w:right w:val="nil"/>
            </w:tcBorders>
          </w:tcPr>
          <w:p w:rsidR="00AC23E0" w:rsidRDefault="00AC23E0" w:rsidP="00AC23E0">
            <w:pPr>
              <w:pStyle w:val="TableParagraph"/>
              <w:spacing w:before="9"/>
              <w:ind w:left="0"/>
              <w:jc w:val="both"/>
              <w:rPr>
                <w:b/>
                <w:sz w:val="8"/>
              </w:rPr>
            </w:pPr>
          </w:p>
          <w:p w:rsidR="00AC23E0" w:rsidRDefault="00AC23E0" w:rsidP="00AC23E0">
            <w:pPr>
              <w:pStyle w:val="TableParagraph"/>
              <w:ind w:left="0" w:right="-15"/>
              <w:jc w:val="both"/>
              <w:rPr>
                <w:sz w:val="20"/>
              </w:rPr>
            </w:pPr>
            <w:r>
              <w:rPr>
                <w:sz w:val="20"/>
              </w:rPr>
              <w:t xml:space="preserve">   </w:t>
            </w:r>
            <w:r>
              <w:rPr>
                <w:noProof/>
                <w:sz w:val="20"/>
              </w:rPr>
              <w:drawing>
                <wp:inline distT="0" distB="0" distL="0" distR="0" wp14:anchorId="13BF933C" wp14:editId="37801F9E">
                  <wp:extent cx="314168" cy="310896"/>
                  <wp:effectExtent l="0" t="0" r="0" b="0"/>
                  <wp:docPr id="466"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79" w:type="dxa"/>
            <w:gridSpan w:val="2"/>
            <w:tcBorders>
              <w:top w:val="single" w:sz="4" w:space="0" w:color="auto"/>
              <w:left w:val="nil"/>
              <w:bottom w:val="nil"/>
              <w:right w:val="single" w:sz="4" w:space="0" w:color="auto"/>
            </w:tcBorders>
          </w:tcPr>
          <w:p w:rsidR="00AC23E0" w:rsidRDefault="00AC23E0" w:rsidP="00AC23E0">
            <w:pPr>
              <w:pStyle w:val="TableParagraph"/>
              <w:spacing w:before="9"/>
              <w:ind w:left="0"/>
              <w:rPr>
                <w:b/>
                <w:sz w:val="8"/>
              </w:rPr>
            </w:pPr>
          </w:p>
          <w:p w:rsidR="00AC23E0" w:rsidRDefault="00AC23E0" w:rsidP="00AC23E0">
            <w:pPr>
              <w:pStyle w:val="TableParagraph"/>
              <w:ind w:left="48"/>
              <w:rPr>
                <w:sz w:val="20"/>
              </w:rPr>
            </w:pPr>
            <w:r>
              <w:rPr>
                <w:noProof/>
                <w:sz w:val="20"/>
              </w:rPr>
              <w:drawing>
                <wp:inline distT="0" distB="0" distL="0" distR="0" wp14:anchorId="4949BA6D" wp14:editId="2C81D31F">
                  <wp:extent cx="314168" cy="310896"/>
                  <wp:effectExtent l="0" t="0" r="0" b="0"/>
                  <wp:docPr id="467"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AC23E0" w:rsidTr="00AC23E0">
        <w:trPr>
          <w:trHeight w:val="624"/>
        </w:trPr>
        <w:tc>
          <w:tcPr>
            <w:tcW w:w="2381" w:type="dxa"/>
            <w:vMerge/>
            <w:tcBorders>
              <w:left w:val="single" w:sz="4" w:space="0" w:color="231F20"/>
              <w:bottom w:val="single" w:sz="4" w:space="0" w:color="231F20"/>
              <w:right w:val="single" w:sz="4" w:space="0" w:color="231F20"/>
            </w:tcBorders>
          </w:tcPr>
          <w:p w:rsidR="00AC23E0" w:rsidRDefault="00AC23E0" w:rsidP="00AC23E0">
            <w:pPr>
              <w:pStyle w:val="TableParagraph"/>
              <w:spacing w:before="67" w:line="261" w:lineRule="auto"/>
              <w:ind w:left="85" w:right="247"/>
              <w:rPr>
                <w:color w:val="231F20"/>
                <w:sz w:val="16"/>
              </w:rPr>
            </w:pPr>
          </w:p>
        </w:tc>
        <w:tc>
          <w:tcPr>
            <w:tcW w:w="6236" w:type="dxa"/>
            <w:vMerge/>
            <w:tcBorders>
              <w:left w:val="single" w:sz="4" w:space="0" w:color="231F20"/>
              <w:bottom w:val="single" w:sz="4" w:space="0" w:color="231F20"/>
              <w:right w:val="single" w:sz="4" w:space="0" w:color="auto"/>
            </w:tcBorders>
          </w:tcPr>
          <w:p w:rsidR="00AC23E0" w:rsidRPr="00B66EFE" w:rsidRDefault="00AC23E0" w:rsidP="00AC23E0">
            <w:pPr>
              <w:pStyle w:val="TableParagraph"/>
              <w:numPr>
                <w:ilvl w:val="0"/>
                <w:numId w:val="250"/>
              </w:numPr>
              <w:tabs>
                <w:tab w:val="left" w:pos="306"/>
              </w:tabs>
              <w:spacing w:before="63" w:line="254" w:lineRule="auto"/>
              <w:ind w:right="246"/>
              <w:rPr>
                <w:color w:val="231F20"/>
                <w:sz w:val="16"/>
                <w:szCs w:val="16"/>
              </w:rPr>
            </w:pPr>
          </w:p>
        </w:tc>
        <w:tc>
          <w:tcPr>
            <w:tcW w:w="779" w:type="dxa"/>
            <w:tcBorders>
              <w:top w:val="nil"/>
              <w:left w:val="single" w:sz="4" w:space="0" w:color="auto"/>
              <w:bottom w:val="single" w:sz="4" w:space="0" w:color="auto"/>
              <w:right w:val="nil"/>
            </w:tcBorders>
          </w:tcPr>
          <w:p w:rsidR="00AC23E0" w:rsidRDefault="00AC23E0" w:rsidP="00AC23E0">
            <w:pPr>
              <w:pStyle w:val="TableParagraph"/>
              <w:ind w:left="0" w:right="-15"/>
              <w:jc w:val="both"/>
              <w:rPr>
                <w:sz w:val="20"/>
              </w:rPr>
            </w:pPr>
            <w:r>
              <w:rPr>
                <w:sz w:val="20"/>
              </w:rPr>
              <w:t xml:space="preserve">   </w:t>
            </w:r>
            <w:r>
              <w:rPr>
                <w:noProof/>
                <w:sz w:val="20"/>
              </w:rPr>
              <w:drawing>
                <wp:inline distT="0" distB="0" distL="0" distR="0" wp14:anchorId="27FB10A3" wp14:editId="65BA0572">
                  <wp:extent cx="314168" cy="310896"/>
                  <wp:effectExtent l="0" t="0" r="0" b="0"/>
                  <wp:docPr id="468"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79" w:type="dxa"/>
            <w:gridSpan w:val="2"/>
            <w:tcBorders>
              <w:top w:val="nil"/>
              <w:left w:val="nil"/>
              <w:bottom w:val="single" w:sz="4" w:space="0" w:color="auto"/>
              <w:right w:val="single" w:sz="4" w:space="0" w:color="auto"/>
            </w:tcBorders>
          </w:tcPr>
          <w:p w:rsidR="00AC23E0" w:rsidRDefault="00AC23E0" w:rsidP="00AC23E0">
            <w:pPr>
              <w:pStyle w:val="TableParagraph"/>
              <w:ind w:left="48"/>
              <w:rPr>
                <w:sz w:val="20"/>
              </w:rPr>
            </w:pPr>
            <w:r>
              <w:rPr>
                <w:noProof/>
                <w:sz w:val="20"/>
              </w:rPr>
              <w:drawing>
                <wp:inline distT="0" distB="0" distL="0" distR="0" wp14:anchorId="2C6FC427" wp14:editId="56C4C88F">
                  <wp:extent cx="314168" cy="310896"/>
                  <wp:effectExtent l="0" t="0" r="0" b="0"/>
                  <wp:docPr id="46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bl>
    <w:p w:rsidR="00E72D8C" w:rsidRDefault="00E72D8C" w:rsidP="00B66EFE">
      <w:pPr>
        <w:spacing w:before="120"/>
        <w:ind w:left="210"/>
        <w:rPr>
          <w:rFonts w:ascii="Helvetica Neue LT Std 75"/>
          <w:b/>
          <w:color w:val="231F20"/>
          <w:sz w:val="19"/>
        </w:rPr>
      </w:pPr>
    </w:p>
    <w:p w:rsidR="00E72D8C" w:rsidRDefault="00E72D8C">
      <w:pPr>
        <w:rPr>
          <w:rFonts w:ascii="Helvetica Neue LT Std 75"/>
          <w:b/>
          <w:color w:val="231F20"/>
          <w:sz w:val="19"/>
        </w:rPr>
      </w:pPr>
      <w:r>
        <w:rPr>
          <w:rFonts w:ascii="Helvetica Neue LT Std 75"/>
          <w:b/>
          <w:color w:val="231F20"/>
          <w:sz w:val="19"/>
        </w:rPr>
        <w:br w:type="page"/>
      </w:r>
    </w:p>
    <w:p w:rsidR="006A7A3F" w:rsidRDefault="00BC7372" w:rsidP="00B66EFE">
      <w:pPr>
        <w:spacing w:before="120"/>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5.4.2 outlines the potential environmental watering and expected water use under a range of planning scenarios.</w:t>
      </w:r>
    </w:p>
    <w:p w:rsidR="006A7A3F" w:rsidRDefault="00BC7372" w:rsidP="00316FE5">
      <w:pPr>
        <w:pStyle w:val="BodyText"/>
        <w:spacing w:line="249" w:lineRule="auto"/>
        <w:ind w:right="176"/>
      </w:pPr>
      <w:r>
        <w:rPr>
          <w:color w:val="231F20"/>
        </w:rPr>
        <w:t>In 2020–21, the focus of water for the environment in the lower Goulburn River will be on vegetation recovery to improve the condition of the lower banks that have been damaged by high IVTs in summer/autumn in recent years and to help offset the impact of future IVTs. Under all scenarios, providing year-round low flow is the highest priority under all scenarios. This flow provides habitat for fish and macroinvertebrates and helps the vegetation to recover. Goulburn-Murray Water generally diverts a proportion of natural high flow from Goulburn Weir into the Waranga Basin. These operational transfers cause flow rates in the lower Goulburn River to drop rapidly after a natural</w:t>
      </w:r>
      <w:r w:rsidR="00316FE5">
        <w:rPr>
          <w:color w:val="231F20"/>
        </w:rPr>
        <w:t xml:space="preserve"> </w:t>
      </w:r>
      <w:r>
        <w:rPr>
          <w:color w:val="231F20"/>
        </w:rPr>
        <w:t>high-flow event. Water for the environment is used when required to slow the recession of natural spills at Goulburn Weir, to reduce the risk of bank slumping and provide a more natural flow pattern for native fish. The highest environmental watering priority in reach 1 will be to maintain minimum low flow outside the irrigation season, to maintain habitat for small-bodied native fish, aquatic vegetation and waterbugs.</w:t>
      </w:r>
    </w:p>
    <w:p w:rsidR="006A7A3F" w:rsidRDefault="00BC7372">
      <w:pPr>
        <w:pStyle w:val="BodyText"/>
        <w:spacing w:before="173" w:line="249" w:lineRule="auto"/>
        <w:ind w:right="297"/>
      </w:pPr>
      <w:r>
        <w:rPr>
          <w:color w:val="231F20"/>
        </w:rPr>
        <w:t>Delivering a winter/spring fresh followed by five to six weeks of low flow is a high priority in 2020 under dry and average scenarios, to aid vegetation recovery. These flows are expected to occur naturally under a wet scenario and are planned under a drought scenario as an additional priority.</w:t>
      </w:r>
    </w:p>
    <w:p w:rsidR="006A7A3F" w:rsidRDefault="00BC7372">
      <w:pPr>
        <w:pStyle w:val="BodyText"/>
        <w:spacing w:before="173" w:line="249" w:lineRule="auto"/>
        <w:ind w:right="274"/>
      </w:pPr>
      <w:r>
        <w:rPr>
          <w:color w:val="231F20"/>
        </w:rPr>
        <w:t>A focus this year will be on timing environmental water deliveries alongside unregulated events and tributary inflows. Ongoing monitoring suggests that unregulated inflows carry more plant seed, nutrients and sediments that are beneficial to the lower Goulburn River.</w:t>
      </w:r>
    </w:p>
    <w:p w:rsidR="006A7A3F" w:rsidRDefault="00BC7372">
      <w:pPr>
        <w:pStyle w:val="BodyText"/>
        <w:spacing w:line="249" w:lineRule="auto"/>
        <w:ind w:right="100"/>
      </w:pPr>
      <w:r>
        <w:rPr>
          <w:color w:val="231F20"/>
        </w:rPr>
        <w:t>A winter fresh is included under average and wet scenarios to enhance environmental objectives that cannot normally be achieved under drier scenarios. A spring/summer fresh will also be considered under average and wet scenarios to cue golden perch spawning, but this watering action will not be delivered if it is likely to impact the recovery of bank vegetation. If summer low flow targets are met (that is, if IVTs are not too high), an autumn fresh may be delivered in March or April 2021 to maintain bank vegetation and allow new seeds to germinate.</w:t>
      </w:r>
    </w:p>
    <w:p w:rsidR="006A7A3F" w:rsidRDefault="00BC7372">
      <w:pPr>
        <w:pStyle w:val="BodyText"/>
        <w:spacing w:before="174" w:line="249" w:lineRule="auto"/>
        <w:ind w:right="1086"/>
      </w:pPr>
      <w:r>
        <w:rPr>
          <w:color w:val="231F20"/>
        </w:rPr>
        <w:t>Carrying over water to meet minimum low flow objectives in July 2021 to September 2022 is an important consideration under drought, dry and average scenarios.</w:t>
      </w:r>
    </w:p>
    <w:p w:rsidR="006A7A3F" w:rsidRDefault="00BC7372">
      <w:pPr>
        <w:spacing w:before="167"/>
        <w:ind w:left="210"/>
        <w:rPr>
          <w:b/>
          <w:sz w:val="18"/>
        </w:rPr>
      </w:pPr>
      <w:r>
        <w:rPr>
          <w:b/>
          <w:color w:val="231F20"/>
          <w:sz w:val="18"/>
        </w:rPr>
        <w:t>Table 5.4.2 Potential environmental watering for the Goulburn River under a range of planning scenarios</w:t>
      </w:r>
    </w:p>
    <w:p w:rsidR="006A7A3F" w:rsidRDefault="006A7A3F">
      <w:pPr>
        <w:pStyle w:val="BodyText"/>
        <w:spacing w:before="0"/>
        <w:ind w:left="0"/>
        <w:rPr>
          <w:b/>
          <w:sz w:val="9"/>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417"/>
        <w:gridCol w:w="1757"/>
        <w:gridCol w:w="1757"/>
        <w:gridCol w:w="1757"/>
        <w:gridCol w:w="1757"/>
        <w:gridCol w:w="1757"/>
      </w:tblGrid>
      <w:tr w:rsidR="006A7A3F">
        <w:trPr>
          <w:trHeight w:val="582"/>
        </w:trPr>
        <w:tc>
          <w:tcPr>
            <w:tcW w:w="1417" w:type="dxa"/>
            <w:tcBorders>
              <w:top w:val="nil"/>
              <w:left w:val="nil"/>
              <w:bottom w:val="nil"/>
            </w:tcBorders>
            <w:shd w:val="clear" w:color="auto" w:fill="231F20"/>
          </w:tcPr>
          <w:p w:rsidR="006A7A3F" w:rsidRDefault="00BC7372">
            <w:pPr>
              <w:pStyle w:val="TableParagraph"/>
              <w:spacing w:before="75" w:line="254" w:lineRule="auto"/>
              <w:ind w:left="90" w:right="542"/>
              <w:rPr>
                <w:b/>
                <w:sz w:val="18"/>
              </w:rPr>
            </w:pPr>
            <w:r>
              <w:rPr>
                <w:b/>
                <w:color w:val="FFFFFF"/>
                <w:sz w:val="18"/>
              </w:rPr>
              <w:t>Planning scenario</w:t>
            </w:r>
          </w:p>
        </w:tc>
        <w:tc>
          <w:tcPr>
            <w:tcW w:w="1757" w:type="dxa"/>
            <w:tcBorders>
              <w:top w:val="nil"/>
              <w:bottom w:val="nil"/>
            </w:tcBorders>
            <w:shd w:val="clear" w:color="auto" w:fill="231F20"/>
          </w:tcPr>
          <w:p w:rsidR="006A7A3F" w:rsidRDefault="00BC7372">
            <w:pPr>
              <w:pStyle w:val="TableParagraph"/>
              <w:spacing w:before="75"/>
              <w:ind w:left="85"/>
              <w:rPr>
                <w:b/>
                <w:sz w:val="18"/>
              </w:rPr>
            </w:pPr>
            <w:r>
              <w:rPr>
                <w:b/>
                <w:color w:val="FFFFFF"/>
                <w:sz w:val="18"/>
              </w:rPr>
              <w:t>Drought</w:t>
            </w:r>
          </w:p>
        </w:tc>
        <w:tc>
          <w:tcPr>
            <w:tcW w:w="1757" w:type="dxa"/>
            <w:tcBorders>
              <w:top w:val="nil"/>
              <w:bottom w:val="nil"/>
            </w:tcBorders>
            <w:shd w:val="clear" w:color="auto" w:fill="231F20"/>
          </w:tcPr>
          <w:p w:rsidR="006A7A3F" w:rsidRDefault="00BC7372">
            <w:pPr>
              <w:pStyle w:val="TableParagraph"/>
              <w:spacing w:before="75"/>
              <w:ind w:left="85"/>
              <w:rPr>
                <w:b/>
                <w:sz w:val="18"/>
              </w:rPr>
            </w:pPr>
            <w:r>
              <w:rPr>
                <w:b/>
                <w:color w:val="FFFFFF"/>
                <w:sz w:val="18"/>
              </w:rPr>
              <w:t>Dry</w:t>
            </w:r>
          </w:p>
        </w:tc>
        <w:tc>
          <w:tcPr>
            <w:tcW w:w="1757" w:type="dxa"/>
            <w:tcBorders>
              <w:top w:val="nil"/>
              <w:bottom w:val="nil"/>
            </w:tcBorders>
            <w:shd w:val="clear" w:color="auto" w:fill="231F20"/>
          </w:tcPr>
          <w:p w:rsidR="006A7A3F" w:rsidRDefault="00BC7372">
            <w:pPr>
              <w:pStyle w:val="TableParagraph"/>
              <w:spacing w:before="75"/>
              <w:ind w:left="86"/>
              <w:rPr>
                <w:b/>
                <w:sz w:val="18"/>
              </w:rPr>
            </w:pPr>
            <w:r>
              <w:rPr>
                <w:b/>
                <w:color w:val="FFFFFF"/>
                <w:sz w:val="18"/>
              </w:rPr>
              <w:t>Below average</w:t>
            </w:r>
          </w:p>
        </w:tc>
        <w:tc>
          <w:tcPr>
            <w:tcW w:w="1757" w:type="dxa"/>
            <w:tcBorders>
              <w:top w:val="nil"/>
              <w:bottom w:val="nil"/>
            </w:tcBorders>
            <w:shd w:val="clear" w:color="auto" w:fill="231F20"/>
          </w:tcPr>
          <w:p w:rsidR="006A7A3F" w:rsidRDefault="00BC7372">
            <w:pPr>
              <w:pStyle w:val="TableParagraph"/>
              <w:spacing w:before="75"/>
              <w:ind w:left="86"/>
              <w:rPr>
                <w:b/>
                <w:sz w:val="18"/>
              </w:rPr>
            </w:pPr>
            <w:r>
              <w:rPr>
                <w:b/>
                <w:color w:val="FFFFFF"/>
                <w:sz w:val="18"/>
              </w:rPr>
              <w:t>Average</w:t>
            </w:r>
          </w:p>
        </w:tc>
        <w:tc>
          <w:tcPr>
            <w:tcW w:w="1757" w:type="dxa"/>
            <w:tcBorders>
              <w:top w:val="nil"/>
              <w:bottom w:val="nil"/>
            </w:tcBorders>
            <w:shd w:val="clear" w:color="auto" w:fill="231F20"/>
          </w:tcPr>
          <w:p w:rsidR="006A7A3F" w:rsidRDefault="00BC7372">
            <w:pPr>
              <w:pStyle w:val="TableParagraph"/>
              <w:spacing w:before="75"/>
              <w:ind w:left="87"/>
              <w:rPr>
                <w:b/>
                <w:sz w:val="18"/>
              </w:rPr>
            </w:pPr>
            <w:r>
              <w:rPr>
                <w:b/>
                <w:color w:val="FFFFFF"/>
                <w:sz w:val="18"/>
              </w:rPr>
              <w:t>Wet</w:t>
            </w:r>
          </w:p>
        </w:tc>
      </w:tr>
      <w:tr w:rsidR="006A7A3F">
        <w:trPr>
          <w:trHeight w:val="2846"/>
        </w:trPr>
        <w:tc>
          <w:tcPr>
            <w:tcW w:w="1417"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46" w:line="247" w:lineRule="auto"/>
              <w:ind w:left="85" w:right="279"/>
              <w:rPr>
                <w:sz w:val="16"/>
              </w:rPr>
            </w:pPr>
            <w:r>
              <w:rPr>
                <w:color w:val="231F20"/>
                <w:sz w:val="16"/>
              </w:rPr>
              <w:t>Expected river conditions</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49"/>
              </w:numPr>
              <w:tabs>
                <w:tab w:val="left" w:pos="306"/>
              </w:tabs>
              <w:spacing w:before="42"/>
              <w:ind w:hanging="218"/>
              <w:rPr>
                <w:sz w:val="16"/>
                <w:szCs w:val="16"/>
              </w:rPr>
            </w:pPr>
            <w:r w:rsidRPr="00E72D8C">
              <w:rPr>
                <w:color w:val="231F20"/>
                <w:sz w:val="16"/>
                <w:szCs w:val="16"/>
              </w:rPr>
              <w:t>No natural</w:t>
            </w:r>
            <w:r w:rsidRPr="00E72D8C">
              <w:rPr>
                <w:color w:val="231F20"/>
                <w:spacing w:val="-4"/>
                <w:sz w:val="16"/>
                <w:szCs w:val="16"/>
              </w:rPr>
              <w:t xml:space="preserve"> </w:t>
            </w:r>
            <w:r w:rsidRPr="00E72D8C">
              <w:rPr>
                <w:color w:val="231F20"/>
                <w:sz w:val="16"/>
                <w:szCs w:val="16"/>
              </w:rPr>
              <w:t>flow</w:t>
            </w:r>
          </w:p>
          <w:p w:rsidR="006A7A3F" w:rsidRPr="00E72D8C" w:rsidRDefault="00BC7372">
            <w:pPr>
              <w:pStyle w:val="TableParagraph"/>
              <w:numPr>
                <w:ilvl w:val="0"/>
                <w:numId w:val="249"/>
              </w:numPr>
              <w:tabs>
                <w:tab w:val="left" w:pos="306"/>
              </w:tabs>
              <w:spacing w:before="82" w:line="220" w:lineRule="auto"/>
              <w:ind w:right="78"/>
              <w:rPr>
                <w:sz w:val="16"/>
                <w:szCs w:val="16"/>
              </w:rPr>
            </w:pPr>
            <w:r w:rsidRPr="00E72D8C">
              <w:rPr>
                <w:color w:val="231F20"/>
                <w:sz w:val="16"/>
                <w:szCs w:val="16"/>
              </w:rPr>
              <w:t xml:space="preserve">Blackwater </w:t>
            </w:r>
            <w:r w:rsidRPr="00E72D8C">
              <w:rPr>
                <w:color w:val="231F20"/>
                <w:spacing w:val="-4"/>
                <w:sz w:val="16"/>
                <w:szCs w:val="16"/>
              </w:rPr>
              <w:t xml:space="preserve">could </w:t>
            </w:r>
            <w:r w:rsidRPr="00E72D8C">
              <w:rPr>
                <w:color w:val="231F20"/>
                <w:sz w:val="16"/>
                <w:szCs w:val="16"/>
              </w:rPr>
              <w:t>be an</w:t>
            </w:r>
            <w:r w:rsidRPr="00E72D8C">
              <w:rPr>
                <w:color w:val="231F20"/>
                <w:spacing w:val="-4"/>
                <w:sz w:val="16"/>
                <w:szCs w:val="16"/>
              </w:rPr>
              <w:t xml:space="preserve"> </w:t>
            </w:r>
            <w:r w:rsidRPr="00E72D8C">
              <w:rPr>
                <w:color w:val="231F20"/>
                <w:sz w:val="16"/>
                <w:szCs w:val="16"/>
              </w:rPr>
              <w:t>issue</w:t>
            </w:r>
          </w:p>
          <w:p w:rsidR="006A7A3F" w:rsidRPr="00E72D8C" w:rsidRDefault="00BC7372">
            <w:pPr>
              <w:pStyle w:val="TableParagraph"/>
              <w:spacing w:line="220" w:lineRule="auto"/>
              <w:ind w:left="305" w:right="331"/>
              <w:rPr>
                <w:sz w:val="16"/>
                <w:szCs w:val="16"/>
              </w:rPr>
            </w:pPr>
            <w:r w:rsidRPr="00E72D8C">
              <w:rPr>
                <w:color w:val="231F20"/>
                <w:sz w:val="16"/>
                <w:szCs w:val="16"/>
              </w:rPr>
              <w:t>in the warmer months</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48"/>
              </w:numPr>
              <w:tabs>
                <w:tab w:val="left" w:pos="306"/>
              </w:tabs>
              <w:spacing w:before="55" w:line="220" w:lineRule="auto"/>
              <w:ind w:right="328"/>
              <w:rPr>
                <w:sz w:val="16"/>
                <w:szCs w:val="16"/>
              </w:rPr>
            </w:pPr>
            <w:r w:rsidRPr="00E72D8C">
              <w:rPr>
                <w:color w:val="231F20"/>
                <w:sz w:val="16"/>
                <w:szCs w:val="16"/>
              </w:rPr>
              <w:t>Natural flow is expected to provide</w:t>
            </w:r>
            <w:r w:rsidRPr="00E72D8C">
              <w:rPr>
                <w:color w:val="231F20"/>
                <w:spacing w:val="-5"/>
                <w:sz w:val="16"/>
                <w:szCs w:val="16"/>
              </w:rPr>
              <w:t xml:space="preserve"> </w:t>
            </w:r>
            <w:r w:rsidRPr="00E72D8C">
              <w:rPr>
                <w:color w:val="231F20"/>
                <w:sz w:val="16"/>
                <w:szCs w:val="16"/>
              </w:rPr>
              <w:t>some</w:t>
            </w:r>
          </w:p>
          <w:p w:rsidR="006A7A3F" w:rsidRPr="00E72D8C" w:rsidRDefault="00BC7372">
            <w:pPr>
              <w:pStyle w:val="TableParagraph"/>
              <w:spacing w:line="220" w:lineRule="auto"/>
              <w:ind w:left="305" w:right="72"/>
              <w:rPr>
                <w:sz w:val="16"/>
                <w:szCs w:val="16"/>
              </w:rPr>
            </w:pPr>
            <w:r w:rsidRPr="00E72D8C">
              <w:rPr>
                <w:color w:val="231F20"/>
                <w:sz w:val="16"/>
                <w:szCs w:val="16"/>
              </w:rPr>
              <w:t xml:space="preserve">low flow for half a month from </w:t>
            </w:r>
            <w:r w:rsidRPr="00E72D8C">
              <w:rPr>
                <w:color w:val="231F20"/>
                <w:spacing w:val="-1"/>
                <w:sz w:val="16"/>
                <w:szCs w:val="16"/>
              </w:rPr>
              <w:t xml:space="preserve">winter/mid-spring </w:t>
            </w:r>
            <w:r w:rsidRPr="00E72D8C">
              <w:rPr>
                <w:color w:val="231F20"/>
                <w:sz w:val="16"/>
                <w:szCs w:val="16"/>
              </w:rPr>
              <w:t>and is likely to provide small, short winter/ spring freshes</w:t>
            </w:r>
          </w:p>
          <w:p w:rsidR="006A7A3F" w:rsidRPr="00E72D8C" w:rsidRDefault="00BC7372">
            <w:pPr>
              <w:pStyle w:val="TableParagraph"/>
              <w:numPr>
                <w:ilvl w:val="0"/>
                <w:numId w:val="248"/>
              </w:numPr>
              <w:tabs>
                <w:tab w:val="left" w:pos="306"/>
              </w:tabs>
              <w:spacing w:before="81" w:line="220" w:lineRule="auto"/>
              <w:ind w:right="78"/>
              <w:rPr>
                <w:sz w:val="16"/>
                <w:szCs w:val="16"/>
              </w:rPr>
            </w:pPr>
            <w:r w:rsidRPr="00E72D8C">
              <w:rPr>
                <w:color w:val="231F20"/>
                <w:sz w:val="16"/>
                <w:szCs w:val="16"/>
              </w:rPr>
              <w:t xml:space="preserve">Blackwater </w:t>
            </w:r>
            <w:r w:rsidRPr="00E72D8C">
              <w:rPr>
                <w:color w:val="231F20"/>
                <w:spacing w:val="-4"/>
                <w:sz w:val="16"/>
                <w:szCs w:val="16"/>
              </w:rPr>
              <w:t xml:space="preserve">could </w:t>
            </w:r>
            <w:r w:rsidRPr="00E72D8C">
              <w:rPr>
                <w:color w:val="231F20"/>
                <w:sz w:val="16"/>
                <w:szCs w:val="16"/>
              </w:rPr>
              <w:t>be an</w:t>
            </w:r>
            <w:r w:rsidRPr="00E72D8C">
              <w:rPr>
                <w:color w:val="231F20"/>
                <w:spacing w:val="-4"/>
                <w:sz w:val="16"/>
                <w:szCs w:val="16"/>
              </w:rPr>
              <w:t xml:space="preserve"> </w:t>
            </w:r>
            <w:r w:rsidRPr="00E72D8C">
              <w:rPr>
                <w:color w:val="231F20"/>
                <w:sz w:val="16"/>
                <w:szCs w:val="16"/>
              </w:rPr>
              <w:t>issue</w:t>
            </w:r>
          </w:p>
          <w:p w:rsidR="006A7A3F" w:rsidRPr="00E72D8C" w:rsidRDefault="00BC7372">
            <w:pPr>
              <w:pStyle w:val="TableParagraph"/>
              <w:spacing w:line="220" w:lineRule="auto"/>
              <w:ind w:left="305" w:right="331"/>
              <w:rPr>
                <w:sz w:val="16"/>
                <w:szCs w:val="16"/>
              </w:rPr>
            </w:pPr>
            <w:r w:rsidRPr="00E72D8C">
              <w:rPr>
                <w:color w:val="231F20"/>
                <w:sz w:val="16"/>
                <w:szCs w:val="16"/>
              </w:rPr>
              <w:t>in the warmer months</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47"/>
              </w:numPr>
              <w:tabs>
                <w:tab w:val="left" w:pos="307"/>
              </w:tabs>
              <w:spacing w:before="55" w:line="220" w:lineRule="auto"/>
              <w:ind w:right="328"/>
              <w:rPr>
                <w:sz w:val="16"/>
                <w:szCs w:val="16"/>
              </w:rPr>
            </w:pPr>
            <w:r w:rsidRPr="00E72D8C">
              <w:rPr>
                <w:color w:val="231F20"/>
                <w:sz w:val="16"/>
                <w:szCs w:val="16"/>
              </w:rPr>
              <w:t>Natural flow is expected to provide some low flow for</w:t>
            </w:r>
            <w:r w:rsidRPr="00E72D8C">
              <w:rPr>
                <w:color w:val="231F20"/>
                <w:spacing w:val="-3"/>
                <w:sz w:val="16"/>
                <w:szCs w:val="16"/>
              </w:rPr>
              <w:t xml:space="preserve"> </w:t>
            </w:r>
            <w:r w:rsidRPr="00E72D8C">
              <w:rPr>
                <w:color w:val="231F20"/>
                <w:sz w:val="16"/>
                <w:szCs w:val="16"/>
              </w:rPr>
              <w:t>a</w:t>
            </w:r>
          </w:p>
          <w:p w:rsidR="006A7A3F" w:rsidRPr="00E72D8C" w:rsidRDefault="00BC7372">
            <w:pPr>
              <w:pStyle w:val="TableParagraph"/>
              <w:spacing w:line="220" w:lineRule="auto"/>
              <w:ind w:left="306" w:right="35"/>
              <w:rPr>
                <w:sz w:val="16"/>
                <w:szCs w:val="16"/>
              </w:rPr>
            </w:pPr>
            <w:r w:rsidRPr="00E72D8C">
              <w:rPr>
                <w:color w:val="231F20"/>
                <w:sz w:val="16"/>
                <w:szCs w:val="16"/>
              </w:rPr>
              <w:t>few months from winter/mid-spring and is likely to provide small winter/spring freshes</w:t>
            </w:r>
          </w:p>
          <w:p w:rsidR="006A7A3F" w:rsidRPr="00E72D8C" w:rsidRDefault="00BC7372">
            <w:pPr>
              <w:pStyle w:val="TableParagraph"/>
              <w:numPr>
                <w:ilvl w:val="0"/>
                <w:numId w:val="247"/>
              </w:numPr>
              <w:tabs>
                <w:tab w:val="left" w:pos="307"/>
              </w:tabs>
              <w:spacing w:before="81" w:line="220" w:lineRule="auto"/>
              <w:ind w:right="77"/>
              <w:rPr>
                <w:sz w:val="16"/>
                <w:szCs w:val="16"/>
              </w:rPr>
            </w:pPr>
            <w:r w:rsidRPr="00E72D8C">
              <w:rPr>
                <w:color w:val="231F20"/>
                <w:sz w:val="16"/>
                <w:szCs w:val="16"/>
              </w:rPr>
              <w:t xml:space="preserve">Blackwater </w:t>
            </w:r>
            <w:r w:rsidRPr="00E72D8C">
              <w:rPr>
                <w:color w:val="231F20"/>
                <w:spacing w:val="-4"/>
                <w:sz w:val="16"/>
                <w:szCs w:val="16"/>
              </w:rPr>
              <w:t xml:space="preserve">could </w:t>
            </w:r>
            <w:r w:rsidRPr="00E72D8C">
              <w:rPr>
                <w:color w:val="231F20"/>
                <w:sz w:val="16"/>
                <w:szCs w:val="16"/>
              </w:rPr>
              <w:t>be an</w:t>
            </w:r>
            <w:r w:rsidRPr="00E72D8C">
              <w:rPr>
                <w:color w:val="231F20"/>
                <w:spacing w:val="-4"/>
                <w:sz w:val="16"/>
                <w:szCs w:val="16"/>
              </w:rPr>
              <w:t xml:space="preserve"> </w:t>
            </w:r>
            <w:r w:rsidRPr="00E72D8C">
              <w:rPr>
                <w:color w:val="231F20"/>
                <w:sz w:val="16"/>
                <w:szCs w:val="16"/>
              </w:rPr>
              <w:t>issue</w:t>
            </w:r>
          </w:p>
          <w:p w:rsidR="006A7A3F" w:rsidRPr="00E72D8C" w:rsidRDefault="00BC7372">
            <w:pPr>
              <w:pStyle w:val="TableParagraph"/>
              <w:spacing w:line="220" w:lineRule="auto"/>
              <w:ind w:left="306" w:right="330"/>
              <w:rPr>
                <w:sz w:val="16"/>
                <w:szCs w:val="16"/>
              </w:rPr>
            </w:pPr>
            <w:r w:rsidRPr="00E72D8C">
              <w:rPr>
                <w:color w:val="231F20"/>
                <w:sz w:val="16"/>
                <w:szCs w:val="16"/>
              </w:rPr>
              <w:t>in the warmer months</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46"/>
              </w:numPr>
              <w:tabs>
                <w:tab w:val="left" w:pos="307"/>
              </w:tabs>
              <w:spacing w:before="55" w:line="220" w:lineRule="auto"/>
              <w:ind w:right="327"/>
              <w:rPr>
                <w:sz w:val="16"/>
                <w:szCs w:val="16"/>
              </w:rPr>
            </w:pPr>
            <w:r w:rsidRPr="00E72D8C">
              <w:rPr>
                <w:color w:val="231F20"/>
                <w:sz w:val="16"/>
                <w:szCs w:val="16"/>
              </w:rPr>
              <w:t>Natural flow is expected</w:t>
            </w:r>
            <w:r w:rsidRPr="00E72D8C">
              <w:rPr>
                <w:color w:val="231F20"/>
                <w:spacing w:val="-10"/>
                <w:sz w:val="16"/>
                <w:szCs w:val="16"/>
              </w:rPr>
              <w:t xml:space="preserve"> </w:t>
            </w:r>
            <w:r w:rsidRPr="00E72D8C">
              <w:rPr>
                <w:color w:val="231F20"/>
                <w:sz w:val="16"/>
                <w:szCs w:val="16"/>
              </w:rPr>
              <w:t>to</w:t>
            </w:r>
          </w:p>
          <w:p w:rsidR="006A7A3F" w:rsidRPr="00E72D8C" w:rsidRDefault="00BC7372">
            <w:pPr>
              <w:pStyle w:val="TableParagraph"/>
              <w:spacing w:line="220" w:lineRule="auto"/>
              <w:ind w:left="306" w:right="90"/>
              <w:rPr>
                <w:sz w:val="16"/>
                <w:szCs w:val="16"/>
              </w:rPr>
            </w:pPr>
            <w:r w:rsidRPr="00E72D8C">
              <w:rPr>
                <w:color w:val="231F20"/>
                <w:sz w:val="16"/>
                <w:szCs w:val="16"/>
              </w:rPr>
              <w:t>provide low flow for most of the year and is likely to provide the winter/spring freshes</w:t>
            </w:r>
          </w:p>
          <w:p w:rsidR="006A7A3F" w:rsidRPr="00E72D8C" w:rsidRDefault="00BC7372">
            <w:pPr>
              <w:pStyle w:val="TableParagraph"/>
              <w:numPr>
                <w:ilvl w:val="0"/>
                <w:numId w:val="246"/>
              </w:numPr>
              <w:tabs>
                <w:tab w:val="left" w:pos="307"/>
              </w:tabs>
              <w:spacing w:before="82" w:line="220" w:lineRule="auto"/>
              <w:ind w:right="77"/>
              <w:rPr>
                <w:sz w:val="16"/>
                <w:szCs w:val="16"/>
              </w:rPr>
            </w:pPr>
            <w:r w:rsidRPr="00E72D8C">
              <w:rPr>
                <w:color w:val="231F20"/>
                <w:sz w:val="16"/>
                <w:szCs w:val="16"/>
              </w:rPr>
              <w:t xml:space="preserve">Blackwater </w:t>
            </w:r>
            <w:r w:rsidRPr="00E72D8C">
              <w:rPr>
                <w:color w:val="231F20"/>
                <w:spacing w:val="-4"/>
                <w:sz w:val="16"/>
                <w:szCs w:val="16"/>
              </w:rPr>
              <w:t xml:space="preserve">could </w:t>
            </w:r>
            <w:r w:rsidRPr="00E72D8C">
              <w:rPr>
                <w:color w:val="231F20"/>
                <w:sz w:val="16"/>
                <w:szCs w:val="16"/>
              </w:rPr>
              <w:t>be an</w:t>
            </w:r>
            <w:r w:rsidRPr="00E72D8C">
              <w:rPr>
                <w:color w:val="231F20"/>
                <w:spacing w:val="-4"/>
                <w:sz w:val="16"/>
                <w:szCs w:val="16"/>
              </w:rPr>
              <w:t xml:space="preserve"> </w:t>
            </w:r>
            <w:r w:rsidRPr="00E72D8C">
              <w:rPr>
                <w:color w:val="231F20"/>
                <w:sz w:val="16"/>
                <w:szCs w:val="16"/>
              </w:rPr>
              <w:t>issue</w:t>
            </w:r>
          </w:p>
          <w:p w:rsidR="006A7A3F" w:rsidRPr="00E72D8C" w:rsidRDefault="00BC7372">
            <w:pPr>
              <w:pStyle w:val="TableParagraph"/>
              <w:spacing w:line="220" w:lineRule="auto"/>
              <w:ind w:left="306" w:right="330"/>
              <w:rPr>
                <w:sz w:val="16"/>
                <w:szCs w:val="16"/>
              </w:rPr>
            </w:pPr>
            <w:r w:rsidRPr="00E72D8C">
              <w:rPr>
                <w:color w:val="231F20"/>
                <w:sz w:val="16"/>
                <w:szCs w:val="16"/>
              </w:rPr>
              <w:t>in the warmer months</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45"/>
              </w:numPr>
              <w:tabs>
                <w:tab w:val="left" w:pos="308"/>
              </w:tabs>
              <w:spacing w:before="55" w:line="220" w:lineRule="auto"/>
              <w:ind w:right="327"/>
              <w:rPr>
                <w:sz w:val="16"/>
                <w:szCs w:val="16"/>
              </w:rPr>
            </w:pPr>
            <w:r w:rsidRPr="00E72D8C">
              <w:rPr>
                <w:color w:val="231F20"/>
                <w:sz w:val="16"/>
                <w:szCs w:val="16"/>
              </w:rPr>
              <w:t>Natural flow is expected</w:t>
            </w:r>
            <w:r w:rsidRPr="00E72D8C">
              <w:rPr>
                <w:color w:val="231F20"/>
                <w:spacing w:val="-10"/>
                <w:sz w:val="16"/>
                <w:szCs w:val="16"/>
              </w:rPr>
              <w:t xml:space="preserve"> </w:t>
            </w:r>
            <w:r w:rsidRPr="00E72D8C">
              <w:rPr>
                <w:color w:val="231F20"/>
                <w:sz w:val="16"/>
                <w:szCs w:val="16"/>
              </w:rPr>
              <w:t>to</w:t>
            </w:r>
          </w:p>
          <w:p w:rsidR="006A7A3F" w:rsidRPr="00E72D8C" w:rsidRDefault="00BC7372">
            <w:pPr>
              <w:pStyle w:val="TableParagraph"/>
              <w:spacing w:line="220" w:lineRule="auto"/>
              <w:ind w:left="307" w:right="119"/>
              <w:rPr>
                <w:sz w:val="16"/>
                <w:szCs w:val="16"/>
              </w:rPr>
            </w:pPr>
            <w:r w:rsidRPr="00E72D8C">
              <w:rPr>
                <w:color w:val="231F20"/>
                <w:sz w:val="16"/>
                <w:szCs w:val="16"/>
              </w:rPr>
              <w:t>provide low flow and multiple overbank flow events in winter/ spring</w:t>
            </w:r>
          </w:p>
        </w:tc>
      </w:tr>
      <w:tr w:rsidR="006A7A3F">
        <w:trPr>
          <w:trHeight w:val="481"/>
        </w:trPr>
        <w:tc>
          <w:tcPr>
            <w:tcW w:w="1417"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785" w:type="dxa"/>
            <w:gridSpan w:val="5"/>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44"/>
              </w:numPr>
              <w:tabs>
                <w:tab w:val="left" w:pos="1638"/>
              </w:tabs>
              <w:spacing w:before="55" w:line="220" w:lineRule="auto"/>
              <w:ind w:right="1483"/>
              <w:rPr>
                <w:sz w:val="16"/>
                <w:szCs w:val="16"/>
              </w:rPr>
            </w:pPr>
            <w:r w:rsidRPr="00E72D8C">
              <w:rPr>
                <w:color w:val="231F20"/>
                <w:sz w:val="16"/>
                <w:szCs w:val="16"/>
              </w:rPr>
              <w:t>Normal minimum passing flows at reach 5 of 400 ML/day during July to October and 350 ML/day during November to</w:t>
            </w:r>
            <w:r w:rsidRPr="00E72D8C">
              <w:rPr>
                <w:color w:val="231F20"/>
                <w:spacing w:val="-7"/>
                <w:sz w:val="16"/>
                <w:szCs w:val="16"/>
              </w:rPr>
              <w:t xml:space="preserve"> </w:t>
            </w:r>
            <w:r w:rsidRPr="00E72D8C">
              <w:rPr>
                <w:color w:val="231F20"/>
                <w:sz w:val="16"/>
                <w:szCs w:val="16"/>
              </w:rPr>
              <w:t>June</w:t>
            </w:r>
          </w:p>
        </w:tc>
      </w:tr>
      <w:tr w:rsidR="006A7A3F">
        <w:trPr>
          <w:trHeight w:val="846"/>
        </w:trPr>
        <w:tc>
          <w:tcPr>
            <w:tcW w:w="1417"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46" w:line="247" w:lineRule="auto"/>
              <w:ind w:left="85" w:right="371"/>
              <w:rPr>
                <w:sz w:val="9"/>
              </w:rPr>
            </w:pPr>
            <w:r>
              <w:rPr>
                <w:color w:val="231F20"/>
                <w:sz w:val="16"/>
              </w:rPr>
              <w:t>Expected availability of water for the environment</w:t>
            </w:r>
            <w:r>
              <w:rPr>
                <w:color w:val="231F20"/>
                <w:position w:val="5"/>
                <w:sz w:val="9"/>
              </w:rPr>
              <w:t>1</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43"/>
              </w:numPr>
              <w:tabs>
                <w:tab w:val="left" w:pos="306"/>
              </w:tabs>
              <w:spacing w:before="42"/>
              <w:ind w:hanging="218"/>
              <w:rPr>
                <w:sz w:val="16"/>
                <w:szCs w:val="16"/>
              </w:rPr>
            </w:pPr>
            <w:r w:rsidRPr="00E72D8C">
              <w:rPr>
                <w:color w:val="231F20"/>
                <w:sz w:val="16"/>
                <w:szCs w:val="16"/>
              </w:rPr>
              <w:t>154,000</w:t>
            </w:r>
            <w:r w:rsidRPr="00E72D8C">
              <w:rPr>
                <w:color w:val="231F20"/>
                <w:spacing w:val="-2"/>
                <w:sz w:val="16"/>
                <w:szCs w:val="16"/>
              </w:rPr>
              <w:t xml:space="preserve"> </w:t>
            </w:r>
            <w:r w:rsidRPr="00E72D8C">
              <w:rPr>
                <w:color w:val="231F20"/>
                <w:sz w:val="16"/>
                <w:szCs w:val="16"/>
              </w:rPr>
              <w:t>ML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42"/>
              </w:numPr>
              <w:tabs>
                <w:tab w:val="left" w:pos="306"/>
              </w:tabs>
              <w:spacing w:before="42"/>
              <w:rPr>
                <w:sz w:val="16"/>
                <w:szCs w:val="16"/>
              </w:rPr>
            </w:pPr>
            <w:r w:rsidRPr="00E72D8C">
              <w:rPr>
                <w:color w:val="231F20"/>
                <w:sz w:val="16"/>
                <w:szCs w:val="16"/>
              </w:rPr>
              <w:t>265,000</w:t>
            </w:r>
            <w:r w:rsidRPr="00E72D8C">
              <w:rPr>
                <w:color w:val="231F20"/>
                <w:spacing w:val="-2"/>
                <w:sz w:val="16"/>
                <w:szCs w:val="16"/>
              </w:rPr>
              <w:t xml:space="preserve"> </w:t>
            </w:r>
            <w:r w:rsidRPr="00E72D8C">
              <w:rPr>
                <w:color w:val="231F20"/>
                <w:sz w:val="16"/>
                <w:szCs w:val="16"/>
              </w:rPr>
              <w:t>ML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41"/>
              </w:numPr>
              <w:tabs>
                <w:tab w:val="left" w:pos="307"/>
              </w:tabs>
              <w:spacing w:before="42"/>
              <w:ind w:hanging="218"/>
              <w:rPr>
                <w:sz w:val="16"/>
                <w:szCs w:val="16"/>
              </w:rPr>
            </w:pPr>
            <w:r w:rsidRPr="00E72D8C">
              <w:rPr>
                <w:color w:val="231F20"/>
                <w:sz w:val="16"/>
                <w:szCs w:val="16"/>
              </w:rPr>
              <w:t>386,000</w:t>
            </w:r>
            <w:r w:rsidRPr="00E72D8C">
              <w:rPr>
                <w:color w:val="231F20"/>
                <w:spacing w:val="-2"/>
                <w:sz w:val="16"/>
                <w:szCs w:val="16"/>
              </w:rPr>
              <w:t xml:space="preserve"> </w:t>
            </w:r>
            <w:r w:rsidRPr="00E72D8C">
              <w:rPr>
                <w:color w:val="231F20"/>
                <w:sz w:val="16"/>
                <w:szCs w:val="16"/>
              </w:rPr>
              <w:t>ML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40"/>
              </w:numPr>
              <w:tabs>
                <w:tab w:val="left" w:pos="307"/>
              </w:tabs>
              <w:spacing w:before="42"/>
              <w:rPr>
                <w:sz w:val="16"/>
                <w:szCs w:val="16"/>
              </w:rPr>
            </w:pPr>
            <w:r w:rsidRPr="00E72D8C">
              <w:rPr>
                <w:color w:val="231F20"/>
                <w:sz w:val="16"/>
                <w:szCs w:val="16"/>
              </w:rPr>
              <w:t>461,000</w:t>
            </w:r>
            <w:r w:rsidRPr="00E72D8C">
              <w:rPr>
                <w:color w:val="231F20"/>
                <w:spacing w:val="-2"/>
                <w:sz w:val="16"/>
                <w:szCs w:val="16"/>
              </w:rPr>
              <w:t xml:space="preserve"> </w:t>
            </w:r>
            <w:r w:rsidRPr="00E72D8C">
              <w:rPr>
                <w:color w:val="231F20"/>
                <w:sz w:val="16"/>
                <w:szCs w:val="16"/>
              </w:rPr>
              <w:t>ML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6A7A3F">
            <w:pPr>
              <w:pStyle w:val="TableParagraph"/>
              <w:ind w:left="0"/>
              <w:rPr>
                <w:rFonts w:ascii="Times New Roman"/>
                <w:sz w:val="16"/>
                <w:szCs w:val="16"/>
              </w:rPr>
            </w:pPr>
          </w:p>
        </w:tc>
      </w:tr>
    </w:tbl>
    <w:p w:rsidR="006A7A3F" w:rsidRDefault="006A7A3F">
      <w:pPr>
        <w:rPr>
          <w:rFonts w:ascii="Times New Roman"/>
          <w:sz w:val="18"/>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1417"/>
        <w:gridCol w:w="1757"/>
        <w:gridCol w:w="1757"/>
        <w:gridCol w:w="1757"/>
        <w:gridCol w:w="1757"/>
        <w:gridCol w:w="1757"/>
      </w:tblGrid>
      <w:tr w:rsidR="006A7A3F">
        <w:trPr>
          <w:trHeight w:val="587"/>
        </w:trPr>
        <w:tc>
          <w:tcPr>
            <w:tcW w:w="1417" w:type="dxa"/>
            <w:tcBorders>
              <w:top w:val="nil"/>
              <w:left w:val="nil"/>
              <w:bottom w:val="nil"/>
            </w:tcBorders>
            <w:shd w:val="clear" w:color="auto" w:fill="231F20"/>
          </w:tcPr>
          <w:p w:rsidR="006A7A3F" w:rsidRDefault="00BC7372">
            <w:pPr>
              <w:pStyle w:val="TableParagraph"/>
              <w:spacing w:before="73" w:line="254" w:lineRule="auto"/>
              <w:ind w:left="90" w:right="542"/>
              <w:rPr>
                <w:b/>
                <w:sz w:val="18"/>
              </w:rPr>
            </w:pPr>
            <w:r>
              <w:rPr>
                <w:b/>
                <w:color w:val="FFFFFF"/>
                <w:sz w:val="18"/>
              </w:rPr>
              <w:t>Planning scenario</w:t>
            </w:r>
          </w:p>
        </w:tc>
        <w:tc>
          <w:tcPr>
            <w:tcW w:w="1757"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Drought</w:t>
            </w:r>
          </w:p>
        </w:tc>
        <w:tc>
          <w:tcPr>
            <w:tcW w:w="1757"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Dry</w:t>
            </w:r>
          </w:p>
        </w:tc>
        <w:tc>
          <w:tcPr>
            <w:tcW w:w="1757" w:type="dxa"/>
            <w:tcBorders>
              <w:top w:val="nil"/>
              <w:bottom w:val="nil"/>
            </w:tcBorders>
            <w:shd w:val="clear" w:color="auto" w:fill="231F20"/>
          </w:tcPr>
          <w:p w:rsidR="006A7A3F" w:rsidRDefault="00BC7372">
            <w:pPr>
              <w:pStyle w:val="TableParagraph"/>
              <w:spacing w:before="73"/>
              <w:ind w:left="86"/>
              <w:rPr>
                <w:b/>
                <w:sz w:val="18"/>
              </w:rPr>
            </w:pPr>
            <w:r>
              <w:rPr>
                <w:b/>
                <w:color w:val="FFFFFF"/>
                <w:sz w:val="18"/>
              </w:rPr>
              <w:t>Below average</w:t>
            </w:r>
          </w:p>
        </w:tc>
        <w:tc>
          <w:tcPr>
            <w:tcW w:w="1757" w:type="dxa"/>
            <w:tcBorders>
              <w:top w:val="nil"/>
              <w:bottom w:val="nil"/>
            </w:tcBorders>
            <w:shd w:val="clear" w:color="auto" w:fill="231F20"/>
          </w:tcPr>
          <w:p w:rsidR="006A7A3F" w:rsidRDefault="00BC7372">
            <w:pPr>
              <w:pStyle w:val="TableParagraph"/>
              <w:spacing w:before="73"/>
              <w:ind w:left="86"/>
              <w:rPr>
                <w:b/>
                <w:sz w:val="18"/>
              </w:rPr>
            </w:pPr>
            <w:r>
              <w:rPr>
                <w:b/>
                <w:color w:val="FFFFFF"/>
                <w:sz w:val="18"/>
              </w:rPr>
              <w:t>Average</w:t>
            </w:r>
          </w:p>
        </w:tc>
        <w:tc>
          <w:tcPr>
            <w:tcW w:w="1757" w:type="dxa"/>
            <w:tcBorders>
              <w:top w:val="nil"/>
              <w:bottom w:val="nil"/>
            </w:tcBorders>
            <w:shd w:val="clear" w:color="auto" w:fill="231F20"/>
          </w:tcPr>
          <w:p w:rsidR="006A7A3F" w:rsidRDefault="00BC7372">
            <w:pPr>
              <w:pStyle w:val="TableParagraph"/>
              <w:spacing w:before="73"/>
              <w:ind w:left="87"/>
              <w:rPr>
                <w:b/>
                <w:sz w:val="18"/>
              </w:rPr>
            </w:pPr>
            <w:r>
              <w:rPr>
                <w:b/>
                <w:color w:val="FFFFFF"/>
                <w:sz w:val="18"/>
              </w:rPr>
              <w:t>Wet</w:t>
            </w:r>
          </w:p>
        </w:tc>
      </w:tr>
      <w:tr w:rsidR="006A7A3F">
        <w:trPr>
          <w:trHeight w:val="3461"/>
        </w:trPr>
        <w:tc>
          <w:tcPr>
            <w:tcW w:w="1417" w:type="dxa"/>
            <w:tcBorders>
              <w:top w:val="nil"/>
              <w:left w:val="single" w:sz="4" w:space="0" w:color="231F20"/>
              <w:bottom w:val="single" w:sz="4" w:space="0" w:color="231F20"/>
              <w:right w:val="single" w:sz="4" w:space="0" w:color="231F20"/>
            </w:tcBorders>
          </w:tcPr>
          <w:p w:rsidR="006A7A3F" w:rsidRDefault="00BC7372">
            <w:pPr>
              <w:pStyle w:val="TableParagraph"/>
              <w:spacing w:before="39" w:line="247" w:lineRule="auto"/>
              <w:ind w:left="85" w:right="74"/>
              <w:rPr>
                <w:sz w:val="9"/>
              </w:rPr>
            </w:pPr>
            <w:r>
              <w:rPr>
                <w:color w:val="231F20"/>
                <w:sz w:val="16"/>
              </w:rPr>
              <w:t>Potential environmental watering – tier 1a (high priorities)</w:t>
            </w:r>
            <w:r>
              <w:rPr>
                <w:color w:val="231F20"/>
                <w:position w:val="5"/>
                <w:sz w:val="9"/>
              </w:rPr>
              <w:t>2</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39"/>
              </w:numPr>
              <w:tabs>
                <w:tab w:val="left" w:pos="306"/>
              </w:tabs>
              <w:spacing w:before="48" w:line="220" w:lineRule="auto"/>
              <w:ind w:right="236"/>
              <w:jc w:val="both"/>
              <w:rPr>
                <w:sz w:val="16"/>
                <w:szCs w:val="16"/>
              </w:rPr>
            </w:pPr>
            <w:r w:rsidRPr="00E72D8C">
              <w:rPr>
                <w:color w:val="231F20"/>
                <w:spacing w:val="-3"/>
                <w:sz w:val="16"/>
                <w:szCs w:val="16"/>
              </w:rPr>
              <w:t xml:space="preserve">Year-round </w:t>
            </w:r>
            <w:r w:rsidRPr="00E72D8C">
              <w:rPr>
                <w:color w:val="231F20"/>
                <w:sz w:val="16"/>
                <w:szCs w:val="16"/>
              </w:rPr>
              <w:t>low flow</w:t>
            </w:r>
          </w:p>
          <w:p w:rsidR="006A7A3F" w:rsidRPr="00E72D8C" w:rsidRDefault="00BC7372">
            <w:pPr>
              <w:pStyle w:val="TableParagraph"/>
              <w:numPr>
                <w:ilvl w:val="0"/>
                <w:numId w:val="239"/>
              </w:numPr>
              <w:tabs>
                <w:tab w:val="left" w:pos="306"/>
              </w:tabs>
              <w:spacing w:before="84" w:line="220" w:lineRule="auto"/>
              <w:ind w:right="229"/>
              <w:jc w:val="both"/>
              <w:rPr>
                <w:sz w:val="16"/>
                <w:szCs w:val="16"/>
              </w:rPr>
            </w:pPr>
            <w:r w:rsidRPr="00E72D8C">
              <w:rPr>
                <w:color w:val="231F20"/>
                <w:sz w:val="16"/>
                <w:szCs w:val="16"/>
              </w:rPr>
              <w:t>Recession flow management</w:t>
            </w:r>
          </w:p>
          <w:p w:rsidR="006A7A3F" w:rsidRPr="00E72D8C" w:rsidRDefault="00BC7372">
            <w:pPr>
              <w:pStyle w:val="TableParagraph"/>
              <w:numPr>
                <w:ilvl w:val="0"/>
                <w:numId w:val="239"/>
              </w:numPr>
              <w:tabs>
                <w:tab w:val="left" w:pos="306"/>
              </w:tabs>
              <w:spacing w:before="84" w:line="220" w:lineRule="auto"/>
              <w:ind w:right="218"/>
              <w:jc w:val="both"/>
              <w:rPr>
                <w:sz w:val="16"/>
                <w:szCs w:val="16"/>
              </w:rPr>
            </w:pPr>
            <w:r w:rsidRPr="00E72D8C">
              <w:rPr>
                <w:color w:val="231F20"/>
                <w:sz w:val="16"/>
                <w:szCs w:val="16"/>
              </w:rPr>
              <w:t>Spring/autumn/ winter low flow (reach</w:t>
            </w:r>
            <w:r w:rsidRPr="00E72D8C">
              <w:rPr>
                <w:color w:val="231F20"/>
                <w:spacing w:val="-1"/>
                <w:sz w:val="16"/>
                <w:szCs w:val="16"/>
              </w:rPr>
              <w:t xml:space="preserve"> </w:t>
            </w:r>
            <w:r w:rsidRPr="00E72D8C">
              <w:rPr>
                <w:color w:val="231F20"/>
                <w:sz w:val="16"/>
                <w:szCs w:val="16"/>
              </w:rPr>
              <w:t>1)</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38"/>
              </w:numPr>
              <w:tabs>
                <w:tab w:val="left" w:pos="306"/>
              </w:tabs>
              <w:spacing w:before="48" w:line="220" w:lineRule="auto"/>
              <w:ind w:right="185"/>
              <w:rPr>
                <w:sz w:val="16"/>
                <w:szCs w:val="16"/>
              </w:rPr>
            </w:pPr>
            <w:r w:rsidRPr="00E72D8C">
              <w:rPr>
                <w:color w:val="231F20"/>
                <w:spacing w:val="-4"/>
                <w:sz w:val="16"/>
                <w:szCs w:val="16"/>
              </w:rPr>
              <w:t xml:space="preserve">Year- </w:t>
            </w:r>
            <w:r w:rsidRPr="00E72D8C">
              <w:rPr>
                <w:color w:val="231F20"/>
                <w:sz w:val="16"/>
                <w:szCs w:val="16"/>
              </w:rPr>
              <w:t>round low flow</w:t>
            </w:r>
          </w:p>
          <w:p w:rsidR="006A7A3F" w:rsidRPr="00E72D8C" w:rsidRDefault="00BC7372">
            <w:pPr>
              <w:pStyle w:val="TableParagraph"/>
              <w:numPr>
                <w:ilvl w:val="0"/>
                <w:numId w:val="238"/>
              </w:numPr>
              <w:tabs>
                <w:tab w:val="left" w:pos="306"/>
              </w:tabs>
              <w:spacing w:before="84" w:line="220" w:lineRule="auto"/>
              <w:ind w:right="378"/>
              <w:rPr>
                <w:sz w:val="16"/>
                <w:szCs w:val="16"/>
              </w:rPr>
            </w:pPr>
            <w:r w:rsidRPr="00E72D8C">
              <w:rPr>
                <w:color w:val="231F20"/>
                <w:sz w:val="16"/>
                <w:szCs w:val="16"/>
              </w:rPr>
              <w:t>Winter/spring fresh</w:t>
            </w:r>
            <w:r w:rsidRPr="00E72D8C">
              <w:rPr>
                <w:color w:val="231F20"/>
                <w:spacing w:val="-17"/>
                <w:sz w:val="16"/>
                <w:szCs w:val="16"/>
              </w:rPr>
              <w:t xml:space="preserve"> </w:t>
            </w:r>
            <w:r w:rsidRPr="00E72D8C">
              <w:rPr>
                <w:color w:val="231F20"/>
                <w:sz w:val="16"/>
                <w:szCs w:val="16"/>
              </w:rPr>
              <w:t>(partial)</w:t>
            </w:r>
          </w:p>
          <w:p w:rsidR="006A7A3F" w:rsidRPr="00E72D8C" w:rsidRDefault="00BC7372">
            <w:pPr>
              <w:pStyle w:val="TableParagraph"/>
              <w:numPr>
                <w:ilvl w:val="0"/>
                <w:numId w:val="238"/>
              </w:numPr>
              <w:tabs>
                <w:tab w:val="left" w:pos="306"/>
              </w:tabs>
              <w:spacing w:before="84" w:line="220" w:lineRule="auto"/>
              <w:ind w:right="229"/>
              <w:rPr>
                <w:sz w:val="16"/>
                <w:szCs w:val="16"/>
              </w:rPr>
            </w:pPr>
            <w:r w:rsidRPr="00E72D8C">
              <w:rPr>
                <w:color w:val="231F20"/>
                <w:sz w:val="16"/>
                <w:szCs w:val="16"/>
              </w:rPr>
              <w:t>Recession flow management</w:t>
            </w:r>
          </w:p>
          <w:p w:rsidR="006A7A3F" w:rsidRPr="00E72D8C" w:rsidRDefault="00BC7372">
            <w:pPr>
              <w:pStyle w:val="TableParagraph"/>
              <w:numPr>
                <w:ilvl w:val="0"/>
                <w:numId w:val="238"/>
              </w:numPr>
              <w:tabs>
                <w:tab w:val="left" w:pos="306"/>
              </w:tabs>
              <w:spacing w:before="85" w:line="220" w:lineRule="auto"/>
              <w:ind w:right="168"/>
              <w:rPr>
                <w:sz w:val="16"/>
                <w:szCs w:val="16"/>
              </w:rPr>
            </w:pPr>
            <w:r w:rsidRPr="00E72D8C">
              <w:rPr>
                <w:color w:val="231F20"/>
                <w:sz w:val="16"/>
                <w:szCs w:val="16"/>
              </w:rPr>
              <w:t xml:space="preserve">Spring/autumn </w:t>
            </w:r>
            <w:r w:rsidRPr="00E72D8C">
              <w:rPr>
                <w:color w:val="231F20"/>
                <w:spacing w:val="-16"/>
                <w:sz w:val="16"/>
                <w:szCs w:val="16"/>
              </w:rPr>
              <w:t xml:space="preserve">/ </w:t>
            </w:r>
            <w:r w:rsidRPr="00E72D8C">
              <w:rPr>
                <w:color w:val="231F20"/>
                <w:sz w:val="16"/>
                <w:szCs w:val="16"/>
              </w:rPr>
              <w:t>winter low flow (reach</w:t>
            </w:r>
            <w:r w:rsidRPr="00E72D8C">
              <w:rPr>
                <w:color w:val="231F20"/>
                <w:spacing w:val="-1"/>
                <w:sz w:val="16"/>
                <w:szCs w:val="16"/>
              </w:rPr>
              <w:t xml:space="preserve"> </w:t>
            </w:r>
            <w:r w:rsidRPr="00E72D8C">
              <w:rPr>
                <w:color w:val="231F20"/>
                <w:sz w:val="16"/>
                <w:szCs w:val="16"/>
              </w:rPr>
              <w:t>1)</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37"/>
              </w:numPr>
              <w:tabs>
                <w:tab w:val="left" w:pos="307"/>
              </w:tabs>
              <w:spacing w:before="48" w:line="220" w:lineRule="auto"/>
              <w:ind w:right="235"/>
              <w:rPr>
                <w:sz w:val="16"/>
                <w:szCs w:val="16"/>
              </w:rPr>
            </w:pPr>
            <w:r w:rsidRPr="00E72D8C">
              <w:rPr>
                <w:color w:val="231F20"/>
                <w:spacing w:val="-3"/>
                <w:sz w:val="16"/>
                <w:szCs w:val="16"/>
              </w:rPr>
              <w:t xml:space="preserve">Year-round </w:t>
            </w:r>
            <w:r w:rsidRPr="00E72D8C">
              <w:rPr>
                <w:color w:val="231F20"/>
                <w:sz w:val="16"/>
                <w:szCs w:val="16"/>
              </w:rPr>
              <w:t>low flow</w:t>
            </w:r>
          </w:p>
          <w:p w:rsidR="006A7A3F" w:rsidRPr="00E72D8C" w:rsidRDefault="00BC7372">
            <w:pPr>
              <w:pStyle w:val="TableParagraph"/>
              <w:numPr>
                <w:ilvl w:val="0"/>
                <w:numId w:val="237"/>
              </w:numPr>
              <w:tabs>
                <w:tab w:val="left" w:pos="307"/>
              </w:tabs>
              <w:spacing w:before="84" w:line="220" w:lineRule="auto"/>
              <w:ind w:right="377"/>
              <w:rPr>
                <w:sz w:val="16"/>
                <w:szCs w:val="16"/>
              </w:rPr>
            </w:pPr>
            <w:r w:rsidRPr="00E72D8C">
              <w:rPr>
                <w:color w:val="231F20"/>
                <w:sz w:val="16"/>
                <w:szCs w:val="16"/>
              </w:rPr>
              <w:t>Winter/spring fresh</w:t>
            </w:r>
          </w:p>
          <w:p w:rsidR="006A7A3F" w:rsidRPr="00E72D8C" w:rsidRDefault="00BC7372">
            <w:pPr>
              <w:pStyle w:val="TableParagraph"/>
              <w:numPr>
                <w:ilvl w:val="0"/>
                <w:numId w:val="237"/>
              </w:numPr>
              <w:tabs>
                <w:tab w:val="left" w:pos="307"/>
              </w:tabs>
              <w:spacing w:before="84" w:line="220" w:lineRule="auto"/>
              <w:ind w:right="228"/>
              <w:rPr>
                <w:sz w:val="16"/>
                <w:szCs w:val="16"/>
              </w:rPr>
            </w:pPr>
            <w:r w:rsidRPr="00E72D8C">
              <w:rPr>
                <w:color w:val="231F20"/>
                <w:sz w:val="16"/>
                <w:szCs w:val="16"/>
              </w:rPr>
              <w:t>Recession flow management</w:t>
            </w:r>
          </w:p>
          <w:p w:rsidR="006A7A3F" w:rsidRPr="00E72D8C" w:rsidRDefault="00BC7372">
            <w:pPr>
              <w:pStyle w:val="TableParagraph"/>
              <w:numPr>
                <w:ilvl w:val="0"/>
                <w:numId w:val="237"/>
              </w:numPr>
              <w:tabs>
                <w:tab w:val="left" w:pos="307"/>
              </w:tabs>
              <w:spacing w:before="85" w:line="220" w:lineRule="auto"/>
              <w:ind w:right="217"/>
              <w:jc w:val="both"/>
              <w:rPr>
                <w:sz w:val="16"/>
                <w:szCs w:val="16"/>
              </w:rPr>
            </w:pPr>
            <w:r w:rsidRPr="00E72D8C">
              <w:rPr>
                <w:color w:val="231F20"/>
                <w:sz w:val="16"/>
                <w:szCs w:val="16"/>
              </w:rPr>
              <w:t>Spring/autumn/ winter low flow (reach</w:t>
            </w:r>
            <w:r w:rsidRPr="00E72D8C">
              <w:rPr>
                <w:color w:val="231F20"/>
                <w:spacing w:val="-1"/>
                <w:sz w:val="16"/>
                <w:szCs w:val="16"/>
              </w:rPr>
              <w:t xml:space="preserve"> </w:t>
            </w:r>
            <w:r w:rsidRPr="00E72D8C">
              <w:rPr>
                <w:color w:val="231F20"/>
                <w:sz w:val="16"/>
                <w:szCs w:val="16"/>
              </w:rPr>
              <w:t>1)</w:t>
            </w:r>
          </w:p>
          <w:p w:rsidR="006A7A3F" w:rsidRPr="00E72D8C" w:rsidRDefault="00BC7372">
            <w:pPr>
              <w:pStyle w:val="TableParagraph"/>
              <w:numPr>
                <w:ilvl w:val="0"/>
                <w:numId w:val="237"/>
              </w:numPr>
              <w:tabs>
                <w:tab w:val="left" w:pos="307"/>
              </w:tabs>
              <w:spacing w:before="83" w:line="220" w:lineRule="auto"/>
              <w:ind w:right="278"/>
              <w:jc w:val="both"/>
              <w:rPr>
                <w:sz w:val="16"/>
                <w:szCs w:val="16"/>
              </w:rPr>
            </w:pPr>
            <w:r w:rsidRPr="00E72D8C">
              <w:rPr>
                <w:color w:val="231F20"/>
                <w:sz w:val="16"/>
                <w:szCs w:val="16"/>
              </w:rPr>
              <w:t>Extend natural flow</w:t>
            </w:r>
            <w:r w:rsidRPr="00E72D8C">
              <w:rPr>
                <w:color w:val="231F20"/>
                <w:spacing w:val="-1"/>
                <w:sz w:val="16"/>
                <w:szCs w:val="16"/>
              </w:rPr>
              <w:t xml:space="preserve"> </w:t>
            </w:r>
            <w:r w:rsidRPr="00E72D8C">
              <w:rPr>
                <w:color w:val="231F20"/>
                <w:sz w:val="16"/>
                <w:szCs w:val="16"/>
              </w:rPr>
              <w:t>events</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36"/>
              </w:numPr>
              <w:tabs>
                <w:tab w:val="left" w:pos="307"/>
              </w:tabs>
              <w:spacing w:before="48" w:line="220" w:lineRule="auto"/>
              <w:ind w:right="234"/>
              <w:rPr>
                <w:sz w:val="16"/>
                <w:szCs w:val="16"/>
              </w:rPr>
            </w:pPr>
            <w:r w:rsidRPr="00E72D8C">
              <w:rPr>
                <w:color w:val="231F20"/>
                <w:spacing w:val="-3"/>
                <w:sz w:val="16"/>
                <w:szCs w:val="16"/>
              </w:rPr>
              <w:t xml:space="preserve">Year-round </w:t>
            </w:r>
            <w:r w:rsidRPr="00E72D8C">
              <w:rPr>
                <w:color w:val="231F20"/>
                <w:sz w:val="16"/>
                <w:szCs w:val="16"/>
              </w:rPr>
              <w:t>low flow</w:t>
            </w:r>
          </w:p>
          <w:p w:rsidR="006A7A3F" w:rsidRPr="00E72D8C" w:rsidRDefault="00BC7372">
            <w:pPr>
              <w:pStyle w:val="TableParagraph"/>
              <w:numPr>
                <w:ilvl w:val="0"/>
                <w:numId w:val="236"/>
              </w:numPr>
              <w:tabs>
                <w:tab w:val="left" w:pos="307"/>
              </w:tabs>
              <w:spacing w:before="84" w:line="220" w:lineRule="auto"/>
              <w:ind w:right="377"/>
              <w:rPr>
                <w:sz w:val="16"/>
                <w:szCs w:val="16"/>
              </w:rPr>
            </w:pPr>
            <w:r w:rsidRPr="00E72D8C">
              <w:rPr>
                <w:color w:val="231F20"/>
                <w:sz w:val="16"/>
                <w:szCs w:val="16"/>
              </w:rPr>
              <w:t>Winter/spring fresh</w:t>
            </w:r>
          </w:p>
          <w:p w:rsidR="006A7A3F" w:rsidRPr="00E72D8C" w:rsidRDefault="00BC7372">
            <w:pPr>
              <w:pStyle w:val="TableParagraph"/>
              <w:numPr>
                <w:ilvl w:val="0"/>
                <w:numId w:val="236"/>
              </w:numPr>
              <w:tabs>
                <w:tab w:val="left" w:pos="307"/>
              </w:tabs>
              <w:spacing w:before="84" w:line="220" w:lineRule="auto"/>
              <w:ind w:right="228"/>
              <w:rPr>
                <w:sz w:val="16"/>
                <w:szCs w:val="16"/>
              </w:rPr>
            </w:pPr>
            <w:r w:rsidRPr="00E72D8C">
              <w:rPr>
                <w:color w:val="231F20"/>
                <w:sz w:val="16"/>
                <w:szCs w:val="16"/>
              </w:rPr>
              <w:t>Recession flow management</w:t>
            </w:r>
          </w:p>
          <w:p w:rsidR="006A7A3F" w:rsidRPr="00E72D8C" w:rsidRDefault="00BC7372">
            <w:pPr>
              <w:pStyle w:val="TableParagraph"/>
              <w:numPr>
                <w:ilvl w:val="0"/>
                <w:numId w:val="236"/>
              </w:numPr>
              <w:tabs>
                <w:tab w:val="left" w:pos="307"/>
              </w:tabs>
              <w:spacing w:before="85" w:line="220" w:lineRule="auto"/>
              <w:ind w:right="217"/>
              <w:jc w:val="both"/>
              <w:rPr>
                <w:sz w:val="16"/>
                <w:szCs w:val="16"/>
              </w:rPr>
            </w:pPr>
            <w:r w:rsidRPr="00E72D8C">
              <w:rPr>
                <w:color w:val="231F20"/>
                <w:sz w:val="16"/>
                <w:szCs w:val="16"/>
              </w:rPr>
              <w:t>Spring/autumn/ winter low flow (reach</w:t>
            </w:r>
            <w:r w:rsidRPr="00E72D8C">
              <w:rPr>
                <w:color w:val="231F20"/>
                <w:spacing w:val="-1"/>
                <w:sz w:val="16"/>
                <w:szCs w:val="16"/>
              </w:rPr>
              <w:t xml:space="preserve"> </w:t>
            </w:r>
            <w:r w:rsidRPr="00E72D8C">
              <w:rPr>
                <w:color w:val="231F20"/>
                <w:sz w:val="16"/>
                <w:szCs w:val="16"/>
              </w:rPr>
              <w:t>1)</w:t>
            </w:r>
          </w:p>
          <w:p w:rsidR="006A7A3F" w:rsidRPr="00E72D8C" w:rsidRDefault="00BC7372">
            <w:pPr>
              <w:pStyle w:val="TableParagraph"/>
              <w:numPr>
                <w:ilvl w:val="0"/>
                <w:numId w:val="236"/>
              </w:numPr>
              <w:tabs>
                <w:tab w:val="left" w:pos="307"/>
              </w:tabs>
              <w:spacing w:before="83" w:line="220" w:lineRule="auto"/>
              <w:ind w:right="467"/>
              <w:rPr>
                <w:sz w:val="16"/>
                <w:szCs w:val="16"/>
              </w:rPr>
            </w:pPr>
            <w:r w:rsidRPr="00E72D8C">
              <w:rPr>
                <w:color w:val="231F20"/>
                <w:sz w:val="16"/>
                <w:szCs w:val="16"/>
              </w:rPr>
              <w:t xml:space="preserve">Winter </w:t>
            </w:r>
            <w:r w:rsidRPr="00E72D8C">
              <w:rPr>
                <w:color w:val="231F20"/>
                <w:spacing w:val="-4"/>
                <w:sz w:val="16"/>
                <w:szCs w:val="16"/>
              </w:rPr>
              <w:t xml:space="preserve">fresh </w:t>
            </w:r>
            <w:r w:rsidRPr="00E72D8C">
              <w:rPr>
                <w:color w:val="231F20"/>
                <w:sz w:val="16"/>
                <w:szCs w:val="16"/>
              </w:rPr>
              <w:t>2021</w:t>
            </w:r>
          </w:p>
          <w:p w:rsidR="006A7A3F" w:rsidRPr="00E72D8C" w:rsidRDefault="00BC7372">
            <w:pPr>
              <w:pStyle w:val="TableParagraph"/>
              <w:numPr>
                <w:ilvl w:val="0"/>
                <w:numId w:val="236"/>
              </w:numPr>
              <w:tabs>
                <w:tab w:val="left" w:pos="307"/>
              </w:tabs>
              <w:spacing w:before="85" w:line="220" w:lineRule="auto"/>
              <w:ind w:right="217"/>
              <w:rPr>
                <w:sz w:val="16"/>
                <w:szCs w:val="16"/>
              </w:rPr>
            </w:pPr>
            <w:r w:rsidRPr="00E72D8C">
              <w:rPr>
                <w:color w:val="231F20"/>
                <w:sz w:val="16"/>
                <w:szCs w:val="16"/>
              </w:rPr>
              <w:t>Spring/summer fresh</w:t>
            </w:r>
          </w:p>
          <w:p w:rsidR="006A7A3F" w:rsidRPr="00E72D8C" w:rsidRDefault="00BC7372">
            <w:pPr>
              <w:pStyle w:val="TableParagraph"/>
              <w:numPr>
                <w:ilvl w:val="0"/>
                <w:numId w:val="236"/>
              </w:numPr>
              <w:tabs>
                <w:tab w:val="left" w:pos="307"/>
              </w:tabs>
              <w:spacing w:before="84" w:line="220" w:lineRule="auto"/>
              <w:ind w:right="277"/>
              <w:rPr>
                <w:sz w:val="16"/>
                <w:szCs w:val="16"/>
              </w:rPr>
            </w:pPr>
            <w:r w:rsidRPr="00E72D8C">
              <w:rPr>
                <w:color w:val="231F20"/>
                <w:sz w:val="16"/>
                <w:szCs w:val="16"/>
              </w:rPr>
              <w:t>Extend natural flow</w:t>
            </w:r>
            <w:r w:rsidRPr="00E72D8C">
              <w:rPr>
                <w:color w:val="231F20"/>
                <w:spacing w:val="-1"/>
                <w:sz w:val="16"/>
                <w:szCs w:val="16"/>
              </w:rPr>
              <w:t xml:space="preserve"> </w:t>
            </w:r>
            <w:r w:rsidRPr="00E72D8C">
              <w:rPr>
                <w:color w:val="231F20"/>
                <w:sz w:val="16"/>
                <w:szCs w:val="16"/>
              </w:rPr>
              <w:t>events</w:t>
            </w:r>
          </w:p>
        </w:tc>
        <w:tc>
          <w:tcPr>
            <w:tcW w:w="1757" w:type="dxa"/>
            <w:tcBorders>
              <w:top w:val="nil"/>
              <w:left w:val="single" w:sz="4" w:space="0" w:color="231F20"/>
              <w:bottom w:val="single" w:sz="4" w:space="0" w:color="231F20"/>
              <w:right w:val="single" w:sz="4" w:space="0" w:color="231F20"/>
            </w:tcBorders>
          </w:tcPr>
          <w:p w:rsidR="006A7A3F" w:rsidRPr="00E72D8C" w:rsidRDefault="00BC7372">
            <w:pPr>
              <w:pStyle w:val="TableParagraph"/>
              <w:numPr>
                <w:ilvl w:val="0"/>
                <w:numId w:val="235"/>
              </w:numPr>
              <w:tabs>
                <w:tab w:val="left" w:pos="308"/>
              </w:tabs>
              <w:spacing w:before="48" w:line="220" w:lineRule="auto"/>
              <w:ind w:right="234"/>
              <w:jc w:val="both"/>
              <w:rPr>
                <w:sz w:val="16"/>
                <w:szCs w:val="16"/>
              </w:rPr>
            </w:pPr>
            <w:r w:rsidRPr="00E72D8C">
              <w:rPr>
                <w:color w:val="231F20"/>
                <w:spacing w:val="-3"/>
                <w:sz w:val="16"/>
                <w:szCs w:val="16"/>
              </w:rPr>
              <w:t xml:space="preserve">Year-round </w:t>
            </w:r>
            <w:r w:rsidRPr="00E72D8C">
              <w:rPr>
                <w:color w:val="231F20"/>
                <w:sz w:val="16"/>
                <w:szCs w:val="16"/>
              </w:rPr>
              <w:t>low flow</w:t>
            </w:r>
          </w:p>
          <w:p w:rsidR="006A7A3F" w:rsidRPr="00E72D8C" w:rsidRDefault="00BC7372">
            <w:pPr>
              <w:pStyle w:val="TableParagraph"/>
              <w:numPr>
                <w:ilvl w:val="0"/>
                <w:numId w:val="235"/>
              </w:numPr>
              <w:tabs>
                <w:tab w:val="left" w:pos="308"/>
              </w:tabs>
              <w:spacing w:before="84" w:line="220" w:lineRule="auto"/>
              <w:ind w:right="227"/>
              <w:jc w:val="both"/>
              <w:rPr>
                <w:sz w:val="16"/>
                <w:szCs w:val="16"/>
              </w:rPr>
            </w:pPr>
            <w:r w:rsidRPr="00E72D8C">
              <w:rPr>
                <w:color w:val="231F20"/>
                <w:sz w:val="16"/>
                <w:szCs w:val="16"/>
              </w:rPr>
              <w:t>Recession flow management</w:t>
            </w:r>
          </w:p>
          <w:p w:rsidR="006A7A3F" w:rsidRPr="00E72D8C" w:rsidRDefault="00BC7372">
            <w:pPr>
              <w:pStyle w:val="TableParagraph"/>
              <w:numPr>
                <w:ilvl w:val="0"/>
                <w:numId w:val="235"/>
              </w:numPr>
              <w:tabs>
                <w:tab w:val="left" w:pos="308"/>
              </w:tabs>
              <w:spacing w:before="84" w:line="220" w:lineRule="auto"/>
              <w:ind w:right="216"/>
              <w:jc w:val="both"/>
              <w:rPr>
                <w:sz w:val="16"/>
                <w:szCs w:val="16"/>
              </w:rPr>
            </w:pPr>
            <w:r w:rsidRPr="00E72D8C">
              <w:rPr>
                <w:color w:val="231F20"/>
                <w:sz w:val="16"/>
                <w:szCs w:val="16"/>
              </w:rPr>
              <w:t>Spring/autumn/ winter low flow (reach</w:t>
            </w:r>
            <w:r w:rsidRPr="00E72D8C">
              <w:rPr>
                <w:color w:val="231F20"/>
                <w:spacing w:val="-1"/>
                <w:sz w:val="16"/>
                <w:szCs w:val="16"/>
              </w:rPr>
              <w:t xml:space="preserve"> </w:t>
            </w:r>
            <w:r w:rsidRPr="00E72D8C">
              <w:rPr>
                <w:color w:val="231F20"/>
                <w:sz w:val="16"/>
                <w:szCs w:val="16"/>
              </w:rPr>
              <w:t>1)</w:t>
            </w:r>
          </w:p>
          <w:p w:rsidR="006A7A3F" w:rsidRPr="00E72D8C" w:rsidRDefault="00BC7372">
            <w:pPr>
              <w:pStyle w:val="TableParagraph"/>
              <w:numPr>
                <w:ilvl w:val="0"/>
                <w:numId w:val="235"/>
              </w:numPr>
              <w:tabs>
                <w:tab w:val="left" w:pos="308"/>
              </w:tabs>
              <w:spacing w:before="84" w:line="220" w:lineRule="auto"/>
              <w:ind w:right="377"/>
              <w:rPr>
                <w:sz w:val="16"/>
                <w:szCs w:val="16"/>
              </w:rPr>
            </w:pPr>
            <w:r w:rsidRPr="00E72D8C">
              <w:rPr>
                <w:color w:val="231F20"/>
                <w:sz w:val="16"/>
                <w:szCs w:val="16"/>
              </w:rPr>
              <w:t>Winter fresh 2021</w:t>
            </w:r>
            <w:r w:rsidRPr="00E72D8C">
              <w:rPr>
                <w:color w:val="231F20"/>
                <w:spacing w:val="-13"/>
                <w:sz w:val="16"/>
                <w:szCs w:val="16"/>
              </w:rPr>
              <w:t xml:space="preserve"> </w:t>
            </w:r>
            <w:r w:rsidRPr="00E72D8C">
              <w:rPr>
                <w:color w:val="231F20"/>
                <w:sz w:val="16"/>
                <w:szCs w:val="16"/>
              </w:rPr>
              <w:t>(partial)</w:t>
            </w:r>
          </w:p>
          <w:p w:rsidR="006A7A3F" w:rsidRPr="00E72D8C" w:rsidRDefault="00BC7372">
            <w:pPr>
              <w:pStyle w:val="TableParagraph"/>
              <w:numPr>
                <w:ilvl w:val="0"/>
                <w:numId w:val="235"/>
              </w:numPr>
              <w:tabs>
                <w:tab w:val="left" w:pos="308"/>
              </w:tabs>
              <w:spacing w:before="84" w:line="220" w:lineRule="auto"/>
              <w:ind w:right="217"/>
              <w:rPr>
                <w:sz w:val="16"/>
                <w:szCs w:val="16"/>
              </w:rPr>
            </w:pPr>
            <w:r w:rsidRPr="00E72D8C">
              <w:rPr>
                <w:color w:val="231F20"/>
                <w:sz w:val="16"/>
                <w:szCs w:val="16"/>
              </w:rPr>
              <w:t>Spring/summer fresh</w:t>
            </w:r>
          </w:p>
          <w:p w:rsidR="006A7A3F" w:rsidRPr="00E72D8C" w:rsidRDefault="00BC7372">
            <w:pPr>
              <w:pStyle w:val="TableParagraph"/>
              <w:numPr>
                <w:ilvl w:val="0"/>
                <w:numId w:val="235"/>
              </w:numPr>
              <w:tabs>
                <w:tab w:val="left" w:pos="308"/>
              </w:tabs>
              <w:spacing w:before="85" w:line="220" w:lineRule="auto"/>
              <w:ind w:right="277"/>
              <w:rPr>
                <w:sz w:val="16"/>
                <w:szCs w:val="16"/>
              </w:rPr>
            </w:pPr>
            <w:r w:rsidRPr="00E72D8C">
              <w:rPr>
                <w:color w:val="231F20"/>
                <w:sz w:val="16"/>
                <w:szCs w:val="16"/>
              </w:rPr>
              <w:t>Extend natural flow</w:t>
            </w:r>
            <w:r w:rsidRPr="00E72D8C">
              <w:rPr>
                <w:color w:val="231F20"/>
                <w:spacing w:val="-1"/>
                <w:sz w:val="16"/>
                <w:szCs w:val="16"/>
              </w:rPr>
              <w:t xml:space="preserve"> </w:t>
            </w:r>
            <w:r w:rsidRPr="00E72D8C">
              <w:rPr>
                <w:color w:val="231F20"/>
                <w:sz w:val="16"/>
                <w:szCs w:val="16"/>
              </w:rPr>
              <w:t>events</w:t>
            </w:r>
          </w:p>
        </w:tc>
      </w:tr>
      <w:tr w:rsidR="006A7A3F">
        <w:trPr>
          <w:trHeight w:val="1411"/>
        </w:trPr>
        <w:tc>
          <w:tcPr>
            <w:tcW w:w="1417"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39" w:line="247" w:lineRule="auto"/>
              <w:ind w:left="85" w:right="93"/>
              <w:rPr>
                <w:sz w:val="16"/>
              </w:rPr>
            </w:pPr>
            <w:r>
              <w:rPr>
                <w:color w:val="231F20"/>
                <w:sz w:val="16"/>
              </w:rPr>
              <w:t>Potential environmental watering –  tier 1b (high</w:t>
            </w:r>
            <w:r>
              <w:rPr>
                <w:color w:val="231F20"/>
                <w:spacing w:val="-11"/>
                <w:sz w:val="16"/>
              </w:rPr>
              <w:t xml:space="preserve"> </w:t>
            </w:r>
            <w:r>
              <w:rPr>
                <w:color w:val="231F20"/>
                <w:sz w:val="16"/>
              </w:rPr>
              <w:t>priorities with</w:t>
            </w:r>
            <w:r>
              <w:rPr>
                <w:color w:val="231F20"/>
                <w:spacing w:val="-2"/>
                <w:sz w:val="16"/>
              </w:rPr>
              <w:t xml:space="preserve"> </w:t>
            </w:r>
            <w:r>
              <w:rPr>
                <w:color w:val="231F20"/>
                <w:sz w:val="16"/>
              </w:rPr>
              <w:t>shortfall)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34"/>
              </w:numPr>
              <w:tabs>
                <w:tab w:val="left" w:pos="306"/>
              </w:tabs>
              <w:spacing w:before="48" w:line="220" w:lineRule="auto"/>
              <w:ind w:right="378"/>
              <w:rPr>
                <w:sz w:val="16"/>
                <w:szCs w:val="16"/>
              </w:rPr>
            </w:pPr>
            <w:r w:rsidRPr="00E72D8C">
              <w:rPr>
                <w:color w:val="231F20"/>
                <w:sz w:val="16"/>
                <w:szCs w:val="16"/>
              </w:rPr>
              <w:t>Winter/spring fresh</w:t>
            </w:r>
            <w:r w:rsidRPr="00E72D8C">
              <w:rPr>
                <w:color w:val="231F20"/>
                <w:spacing w:val="-12"/>
                <w:sz w:val="16"/>
                <w:szCs w:val="16"/>
              </w:rPr>
              <w:t xml:space="preserve"> </w:t>
            </w:r>
            <w:r w:rsidRPr="00E72D8C">
              <w:rPr>
                <w:color w:val="231F20"/>
                <w:sz w:val="16"/>
                <w:szCs w:val="16"/>
              </w:rPr>
              <w:t>(partial)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33"/>
              </w:numPr>
              <w:tabs>
                <w:tab w:val="left" w:pos="306"/>
              </w:tabs>
              <w:spacing w:before="48" w:line="220" w:lineRule="auto"/>
              <w:ind w:right="378"/>
              <w:rPr>
                <w:sz w:val="16"/>
                <w:szCs w:val="16"/>
              </w:rPr>
            </w:pPr>
            <w:r w:rsidRPr="00E72D8C">
              <w:rPr>
                <w:color w:val="231F20"/>
                <w:sz w:val="16"/>
                <w:szCs w:val="16"/>
              </w:rPr>
              <w:t>Winter/spring fresh</w:t>
            </w:r>
          </w:p>
          <w:p w:rsidR="006A7A3F" w:rsidRPr="00E72D8C" w:rsidRDefault="00BC7372">
            <w:pPr>
              <w:pStyle w:val="TableParagraph"/>
              <w:numPr>
                <w:ilvl w:val="0"/>
                <w:numId w:val="233"/>
              </w:numPr>
              <w:tabs>
                <w:tab w:val="left" w:pos="306"/>
              </w:tabs>
              <w:spacing w:before="84" w:line="220" w:lineRule="auto"/>
              <w:ind w:right="468"/>
              <w:rPr>
                <w:sz w:val="16"/>
                <w:szCs w:val="16"/>
              </w:rPr>
            </w:pPr>
            <w:r w:rsidRPr="00E72D8C">
              <w:rPr>
                <w:color w:val="231F20"/>
                <w:sz w:val="16"/>
                <w:szCs w:val="16"/>
              </w:rPr>
              <w:t xml:space="preserve">Winter </w:t>
            </w:r>
            <w:r w:rsidRPr="00E72D8C">
              <w:rPr>
                <w:color w:val="231F20"/>
                <w:spacing w:val="-4"/>
                <w:sz w:val="16"/>
                <w:szCs w:val="16"/>
              </w:rPr>
              <w:t xml:space="preserve">fresh </w:t>
            </w:r>
            <w:r w:rsidRPr="00E72D8C">
              <w:rPr>
                <w:color w:val="231F20"/>
                <w:sz w:val="16"/>
                <w:szCs w:val="16"/>
              </w:rPr>
              <w:t>2021</w:t>
            </w:r>
            <w:r w:rsidRPr="00E72D8C">
              <w:rPr>
                <w:color w:val="231F20"/>
                <w:spacing w:val="-2"/>
                <w:sz w:val="16"/>
                <w:szCs w:val="16"/>
              </w:rPr>
              <w:t xml:space="preserve"> </w:t>
            </w:r>
            <w:r w:rsidRPr="00E72D8C">
              <w:rPr>
                <w:color w:val="231F20"/>
                <w:sz w:val="16"/>
                <w:szCs w:val="16"/>
              </w:rPr>
              <w:t>(full)</w:t>
            </w:r>
          </w:p>
          <w:p w:rsidR="006A7A3F" w:rsidRPr="00E72D8C" w:rsidRDefault="00BC7372">
            <w:pPr>
              <w:pStyle w:val="TableParagraph"/>
              <w:numPr>
                <w:ilvl w:val="0"/>
                <w:numId w:val="233"/>
              </w:numPr>
              <w:tabs>
                <w:tab w:val="left" w:pos="306"/>
              </w:tabs>
              <w:spacing w:before="84" w:line="220" w:lineRule="auto"/>
              <w:ind w:right="218"/>
              <w:rPr>
                <w:sz w:val="16"/>
                <w:szCs w:val="16"/>
              </w:rPr>
            </w:pPr>
            <w:r w:rsidRPr="00E72D8C">
              <w:rPr>
                <w:color w:val="231F20"/>
                <w:sz w:val="16"/>
                <w:szCs w:val="16"/>
              </w:rPr>
              <w:t>Spring/summer fresh</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32"/>
              </w:numPr>
              <w:tabs>
                <w:tab w:val="left" w:pos="307"/>
              </w:tabs>
              <w:spacing w:before="48" w:line="220" w:lineRule="auto"/>
              <w:ind w:right="467"/>
              <w:rPr>
                <w:sz w:val="16"/>
                <w:szCs w:val="16"/>
              </w:rPr>
            </w:pPr>
            <w:r w:rsidRPr="00E72D8C">
              <w:rPr>
                <w:color w:val="231F20"/>
                <w:sz w:val="16"/>
                <w:szCs w:val="16"/>
              </w:rPr>
              <w:t xml:space="preserve">Winter </w:t>
            </w:r>
            <w:r w:rsidRPr="00E72D8C">
              <w:rPr>
                <w:color w:val="231F20"/>
                <w:spacing w:val="-4"/>
                <w:sz w:val="16"/>
                <w:szCs w:val="16"/>
              </w:rPr>
              <w:t xml:space="preserve">fresh </w:t>
            </w:r>
            <w:r w:rsidRPr="00E72D8C">
              <w:rPr>
                <w:color w:val="231F20"/>
                <w:sz w:val="16"/>
                <w:szCs w:val="16"/>
              </w:rPr>
              <w:t>2021</w:t>
            </w:r>
            <w:r w:rsidRPr="00E72D8C">
              <w:rPr>
                <w:color w:val="231F20"/>
                <w:spacing w:val="-2"/>
                <w:sz w:val="16"/>
                <w:szCs w:val="16"/>
              </w:rPr>
              <w:t xml:space="preserve"> </w:t>
            </w:r>
            <w:r w:rsidRPr="00E72D8C">
              <w:rPr>
                <w:color w:val="231F20"/>
                <w:sz w:val="16"/>
                <w:szCs w:val="16"/>
              </w:rPr>
              <w:t>(full)</w:t>
            </w:r>
          </w:p>
          <w:p w:rsidR="006A7A3F" w:rsidRPr="00E72D8C" w:rsidRDefault="00BC7372">
            <w:pPr>
              <w:pStyle w:val="TableParagraph"/>
              <w:numPr>
                <w:ilvl w:val="0"/>
                <w:numId w:val="232"/>
              </w:numPr>
              <w:tabs>
                <w:tab w:val="left" w:pos="307"/>
              </w:tabs>
              <w:spacing w:before="84" w:line="220" w:lineRule="auto"/>
              <w:ind w:right="218"/>
              <w:rPr>
                <w:sz w:val="16"/>
                <w:szCs w:val="16"/>
              </w:rPr>
            </w:pPr>
            <w:r w:rsidRPr="00E72D8C">
              <w:rPr>
                <w:color w:val="231F20"/>
                <w:sz w:val="16"/>
                <w:szCs w:val="16"/>
              </w:rPr>
              <w:t>Spring/summer fresh</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31"/>
              </w:numPr>
              <w:tabs>
                <w:tab w:val="left" w:pos="307"/>
              </w:tabs>
              <w:spacing w:before="35"/>
              <w:rPr>
                <w:sz w:val="16"/>
                <w:szCs w:val="16"/>
              </w:rPr>
            </w:pPr>
            <w:r w:rsidRPr="00E72D8C">
              <w:rPr>
                <w:color w:val="231F20"/>
                <w:sz w:val="16"/>
                <w:szCs w:val="16"/>
              </w:rPr>
              <w:t>N/A</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30"/>
              </w:numPr>
              <w:tabs>
                <w:tab w:val="left" w:pos="308"/>
              </w:tabs>
              <w:spacing w:before="35"/>
              <w:ind w:hanging="218"/>
              <w:rPr>
                <w:sz w:val="16"/>
                <w:szCs w:val="16"/>
              </w:rPr>
            </w:pPr>
            <w:r w:rsidRPr="00E72D8C">
              <w:rPr>
                <w:color w:val="231F20"/>
                <w:sz w:val="16"/>
                <w:szCs w:val="16"/>
              </w:rPr>
              <w:t>N/A</w:t>
            </w:r>
          </w:p>
        </w:tc>
      </w:tr>
      <w:tr w:rsidR="006A7A3F">
        <w:trPr>
          <w:trHeight w:val="1036"/>
        </w:trPr>
        <w:tc>
          <w:tcPr>
            <w:tcW w:w="1417"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39" w:line="247" w:lineRule="auto"/>
              <w:ind w:left="85" w:right="297"/>
              <w:rPr>
                <w:sz w:val="16"/>
              </w:rPr>
            </w:pPr>
            <w:r>
              <w:rPr>
                <w:color w:val="231F20"/>
                <w:sz w:val="16"/>
              </w:rPr>
              <w:t>Potential environmental watering – tier 2 (additional priorities)</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9"/>
              </w:numPr>
              <w:tabs>
                <w:tab w:val="left" w:pos="306"/>
              </w:tabs>
              <w:spacing w:before="48" w:line="220" w:lineRule="auto"/>
              <w:ind w:right="378"/>
              <w:rPr>
                <w:sz w:val="16"/>
                <w:szCs w:val="16"/>
              </w:rPr>
            </w:pPr>
            <w:r w:rsidRPr="00E72D8C">
              <w:rPr>
                <w:color w:val="231F20"/>
                <w:sz w:val="16"/>
                <w:szCs w:val="16"/>
              </w:rPr>
              <w:t>Winter/spring fresh</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8"/>
              </w:numPr>
              <w:tabs>
                <w:tab w:val="left" w:pos="306"/>
              </w:tabs>
              <w:spacing w:before="35"/>
              <w:rPr>
                <w:sz w:val="16"/>
                <w:szCs w:val="16"/>
              </w:rPr>
            </w:pPr>
            <w:r w:rsidRPr="00E72D8C">
              <w:rPr>
                <w:color w:val="231F20"/>
                <w:sz w:val="16"/>
                <w:szCs w:val="16"/>
              </w:rPr>
              <w:t>N/A</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7"/>
              </w:numPr>
              <w:tabs>
                <w:tab w:val="left" w:pos="307"/>
              </w:tabs>
              <w:spacing w:before="35"/>
              <w:ind w:hanging="218"/>
              <w:rPr>
                <w:sz w:val="16"/>
                <w:szCs w:val="16"/>
              </w:rPr>
            </w:pPr>
            <w:r w:rsidRPr="00E72D8C">
              <w:rPr>
                <w:color w:val="231F20"/>
                <w:sz w:val="16"/>
                <w:szCs w:val="16"/>
              </w:rPr>
              <w:t>N/A</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6"/>
              </w:numPr>
              <w:tabs>
                <w:tab w:val="left" w:pos="307"/>
              </w:tabs>
              <w:spacing w:before="48" w:line="220" w:lineRule="auto"/>
              <w:ind w:right="367"/>
              <w:rPr>
                <w:sz w:val="16"/>
                <w:szCs w:val="16"/>
              </w:rPr>
            </w:pPr>
            <w:r w:rsidRPr="00E72D8C">
              <w:rPr>
                <w:color w:val="231F20"/>
                <w:sz w:val="16"/>
                <w:szCs w:val="16"/>
              </w:rPr>
              <w:t xml:space="preserve">Autumn </w:t>
            </w:r>
            <w:r w:rsidRPr="00E72D8C">
              <w:rPr>
                <w:color w:val="231F20"/>
                <w:spacing w:val="-4"/>
                <w:sz w:val="16"/>
                <w:szCs w:val="16"/>
              </w:rPr>
              <w:t xml:space="preserve">fresh </w:t>
            </w:r>
            <w:r w:rsidRPr="00E72D8C">
              <w:rPr>
                <w:color w:val="231F20"/>
                <w:sz w:val="16"/>
                <w:szCs w:val="16"/>
              </w:rPr>
              <w:t>(partial)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5"/>
              </w:numPr>
              <w:tabs>
                <w:tab w:val="left" w:pos="308"/>
              </w:tabs>
              <w:spacing w:before="48" w:line="220" w:lineRule="auto"/>
              <w:ind w:right="366"/>
              <w:rPr>
                <w:sz w:val="16"/>
                <w:szCs w:val="16"/>
              </w:rPr>
            </w:pPr>
            <w:r w:rsidRPr="00E72D8C">
              <w:rPr>
                <w:color w:val="231F20"/>
                <w:sz w:val="16"/>
                <w:szCs w:val="16"/>
              </w:rPr>
              <w:t xml:space="preserve">Autumn </w:t>
            </w:r>
            <w:r w:rsidRPr="00E72D8C">
              <w:rPr>
                <w:color w:val="231F20"/>
                <w:spacing w:val="-4"/>
                <w:sz w:val="16"/>
                <w:szCs w:val="16"/>
              </w:rPr>
              <w:t xml:space="preserve">fresh </w:t>
            </w:r>
            <w:r w:rsidRPr="00E72D8C">
              <w:rPr>
                <w:color w:val="231F20"/>
                <w:sz w:val="16"/>
                <w:szCs w:val="16"/>
              </w:rPr>
              <w:t>(partial)</w:t>
            </w:r>
          </w:p>
        </w:tc>
      </w:tr>
      <w:tr w:rsidR="006A7A3F">
        <w:trPr>
          <w:trHeight w:val="1411"/>
        </w:trPr>
        <w:tc>
          <w:tcPr>
            <w:tcW w:w="1417"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39" w:line="247" w:lineRule="auto"/>
              <w:ind w:left="85" w:right="137"/>
              <w:rPr>
                <w:sz w:val="9"/>
              </w:rPr>
            </w:pPr>
            <w:r>
              <w:rPr>
                <w:color w:val="231F20"/>
                <w:sz w:val="16"/>
              </w:rPr>
              <w:t>Possible volume of environmental water required to achieve objectives</w:t>
            </w:r>
            <w:r>
              <w:rPr>
                <w:color w:val="231F20"/>
                <w:position w:val="5"/>
                <w:sz w:val="9"/>
              </w:rPr>
              <w:t>3</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4"/>
              </w:numPr>
              <w:tabs>
                <w:tab w:val="left" w:pos="306"/>
              </w:tabs>
              <w:spacing w:before="48" w:line="220" w:lineRule="auto"/>
              <w:ind w:right="135"/>
              <w:rPr>
                <w:sz w:val="16"/>
                <w:szCs w:val="16"/>
              </w:rPr>
            </w:pPr>
            <w:r w:rsidRPr="00E72D8C">
              <w:rPr>
                <w:color w:val="231F20"/>
                <w:sz w:val="16"/>
                <w:szCs w:val="16"/>
              </w:rPr>
              <w:t>120,000 ML</w:t>
            </w:r>
            <w:r w:rsidRPr="00E72D8C">
              <w:rPr>
                <w:color w:val="231F20"/>
                <w:spacing w:val="-14"/>
                <w:sz w:val="16"/>
                <w:szCs w:val="16"/>
              </w:rPr>
              <w:t xml:space="preserve"> </w:t>
            </w:r>
            <w:r w:rsidRPr="00E72D8C">
              <w:rPr>
                <w:color w:val="231F20"/>
                <w:sz w:val="16"/>
                <w:szCs w:val="16"/>
              </w:rPr>
              <w:t>(tier 1)</w:t>
            </w:r>
          </w:p>
          <w:p w:rsidR="006A7A3F" w:rsidRPr="00E72D8C" w:rsidRDefault="00BC7372">
            <w:pPr>
              <w:pStyle w:val="TableParagraph"/>
              <w:numPr>
                <w:ilvl w:val="0"/>
                <w:numId w:val="224"/>
              </w:numPr>
              <w:tabs>
                <w:tab w:val="left" w:pos="306"/>
              </w:tabs>
              <w:spacing w:before="84" w:line="220" w:lineRule="auto"/>
              <w:ind w:right="135"/>
              <w:rPr>
                <w:sz w:val="16"/>
                <w:szCs w:val="16"/>
              </w:rPr>
            </w:pPr>
            <w:r w:rsidRPr="00E72D8C">
              <w:rPr>
                <w:color w:val="231F20"/>
                <w:sz w:val="16"/>
                <w:szCs w:val="16"/>
              </w:rPr>
              <w:t>107,000 ML</w:t>
            </w:r>
            <w:r w:rsidRPr="00E72D8C">
              <w:rPr>
                <w:color w:val="231F20"/>
                <w:spacing w:val="-14"/>
                <w:sz w:val="16"/>
                <w:szCs w:val="16"/>
              </w:rPr>
              <w:t xml:space="preserve"> </w:t>
            </w:r>
            <w:r w:rsidRPr="00E72D8C">
              <w:rPr>
                <w:color w:val="231F20"/>
                <w:sz w:val="16"/>
                <w:szCs w:val="16"/>
              </w:rPr>
              <w:t>(tier 1b)</w:t>
            </w:r>
          </w:p>
          <w:p w:rsidR="006A7A3F" w:rsidRPr="00E72D8C" w:rsidRDefault="00BC7372">
            <w:pPr>
              <w:pStyle w:val="TableParagraph"/>
              <w:numPr>
                <w:ilvl w:val="0"/>
                <w:numId w:val="224"/>
              </w:numPr>
              <w:tabs>
                <w:tab w:val="left" w:pos="306"/>
              </w:tabs>
              <w:spacing w:before="84" w:line="220" w:lineRule="auto"/>
              <w:ind w:right="235"/>
              <w:rPr>
                <w:sz w:val="16"/>
                <w:szCs w:val="16"/>
              </w:rPr>
            </w:pPr>
            <w:r w:rsidRPr="00E72D8C">
              <w:rPr>
                <w:color w:val="231F20"/>
                <w:sz w:val="16"/>
                <w:szCs w:val="16"/>
              </w:rPr>
              <w:t>28,000 ML</w:t>
            </w:r>
            <w:r w:rsidRPr="00E72D8C">
              <w:rPr>
                <w:color w:val="231F20"/>
                <w:spacing w:val="-13"/>
                <w:sz w:val="16"/>
                <w:szCs w:val="16"/>
              </w:rPr>
              <w:t xml:space="preserve"> </w:t>
            </w:r>
            <w:r w:rsidRPr="00E72D8C">
              <w:rPr>
                <w:color w:val="231F20"/>
                <w:sz w:val="16"/>
                <w:szCs w:val="16"/>
              </w:rPr>
              <w:t>(tier 2)</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3"/>
              </w:numPr>
              <w:tabs>
                <w:tab w:val="left" w:pos="306"/>
              </w:tabs>
              <w:spacing w:before="48" w:line="220" w:lineRule="auto"/>
              <w:ind w:right="135"/>
              <w:rPr>
                <w:sz w:val="16"/>
                <w:szCs w:val="16"/>
              </w:rPr>
            </w:pPr>
            <w:r w:rsidRPr="00E72D8C">
              <w:rPr>
                <w:color w:val="231F20"/>
                <w:sz w:val="16"/>
                <w:szCs w:val="16"/>
              </w:rPr>
              <w:t>234,000 ML</w:t>
            </w:r>
            <w:r w:rsidRPr="00E72D8C">
              <w:rPr>
                <w:color w:val="231F20"/>
                <w:spacing w:val="-14"/>
                <w:sz w:val="16"/>
                <w:szCs w:val="16"/>
              </w:rPr>
              <w:t xml:space="preserve"> </w:t>
            </w:r>
            <w:r w:rsidRPr="00E72D8C">
              <w:rPr>
                <w:color w:val="231F20"/>
                <w:sz w:val="16"/>
                <w:szCs w:val="16"/>
              </w:rPr>
              <w:t>(tier 1)</w:t>
            </w:r>
          </w:p>
          <w:p w:rsidR="006A7A3F" w:rsidRPr="00E72D8C" w:rsidRDefault="00BC7372">
            <w:pPr>
              <w:pStyle w:val="TableParagraph"/>
              <w:numPr>
                <w:ilvl w:val="0"/>
                <w:numId w:val="223"/>
              </w:numPr>
              <w:tabs>
                <w:tab w:val="left" w:pos="306"/>
              </w:tabs>
              <w:spacing w:before="71" w:line="198" w:lineRule="exact"/>
              <w:rPr>
                <w:sz w:val="16"/>
                <w:szCs w:val="16"/>
              </w:rPr>
            </w:pPr>
            <w:r w:rsidRPr="00E72D8C">
              <w:rPr>
                <w:color w:val="231F20"/>
                <w:sz w:val="16"/>
                <w:szCs w:val="16"/>
              </w:rPr>
              <w:t>188,000</w:t>
            </w:r>
            <w:r w:rsidRPr="00E72D8C">
              <w:rPr>
                <w:color w:val="231F20"/>
                <w:spacing w:val="-2"/>
                <w:sz w:val="16"/>
                <w:szCs w:val="16"/>
              </w:rPr>
              <w:t xml:space="preserve"> </w:t>
            </w:r>
            <w:r w:rsidRPr="00E72D8C">
              <w:rPr>
                <w:color w:val="231F20"/>
                <w:sz w:val="16"/>
                <w:szCs w:val="16"/>
              </w:rPr>
              <w:t>ML</w:t>
            </w:r>
          </w:p>
          <w:p w:rsidR="006A7A3F" w:rsidRPr="00E72D8C" w:rsidRDefault="00BC7372">
            <w:pPr>
              <w:pStyle w:val="TableParagraph"/>
              <w:spacing w:line="198" w:lineRule="exact"/>
              <w:ind w:left="305"/>
              <w:rPr>
                <w:sz w:val="16"/>
                <w:szCs w:val="16"/>
              </w:rPr>
            </w:pPr>
            <w:r w:rsidRPr="00E72D8C">
              <w:rPr>
                <w:color w:val="231F20"/>
                <w:sz w:val="16"/>
                <w:szCs w:val="16"/>
              </w:rPr>
              <w:t>(tier 1b)</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2"/>
              </w:numPr>
              <w:tabs>
                <w:tab w:val="left" w:pos="307"/>
              </w:tabs>
              <w:spacing w:before="48" w:line="220" w:lineRule="auto"/>
              <w:ind w:right="134"/>
              <w:rPr>
                <w:sz w:val="16"/>
                <w:szCs w:val="16"/>
              </w:rPr>
            </w:pPr>
            <w:r w:rsidRPr="00E72D8C">
              <w:rPr>
                <w:color w:val="231F20"/>
                <w:sz w:val="16"/>
                <w:szCs w:val="16"/>
              </w:rPr>
              <w:t>366,000 ML</w:t>
            </w:r>
            <w:r w:rsidRPr="00E72D8C">
              <w:rPr>
                <w:color w:val="231F20"/>
                <w:spacing w:val="-14"/>
                <w:sz w:val="16"/>
                <w:szCs w:val="16"/>
              </w:rPr>
              <w:t xml:space="preserve"> </w:t>
            </w:r>
            <w:r w:rsidRPr="00E72D8C">
              <w:rPr>
                <w:color w:val="231F20"/>
                <w:sz w:val="16"/>
                <w:szCs w:val="16"/>
              </w:rPr>
              <w:t>(tier 1)</w:t>
            </w:r>
          </w:p>
          <w:p w:rsidR="006A7A3F" w:rsidRPr="00E72D8C" w:rsidRDefault="00BC7372">
            <w:pPr>
              <w:pStyle w:val="TableParagraph"/>
              <w:numPr>
                <w:ilvl w:val="0"/>
                <w:numId w:val="222"/>
              </w:numPr>
              <w:tabs>
                <w:tab w:val="left" w:pos="307"/>
              </w:tabs>
              <w:spacing w:before="71" w:line="198" w:lineRule="exact"/>
              <w:ind w:hanging="218"/>
              <w:rPr>
                <w:sz w:val="16"/>
                <w:szCs w:val="16"/>
              </w:rPr>
            </w:pPr>
            <w:r w:rsidRPr="00E72D8C">
              <w:rPr>
                <w:color w:val="231F20"/>
                <w:sz w:val="16"/>
                <w:szCs w:val="16"/>
              </w:rPr>
              <w:t>175,000</w:t>
            </w:r>
            <w:r w:rsidRPr="00E72D8C">
              <w:rPr>
                <w:color w:val="231F20"/>
                <w:spacing w:val="-2"/>
                <w:sz w:val="16"/>
                <w:szCs w:val="16"/>
              </w:rPr>
              <w:t xml:space="preserve"> </w:t>
            </w:r>
            <w:r w:rsidRPr="00E72D8C">
              <w:rPr>
                <w:color w:val="231F20"/>
                <w:sz w:val="16"/>
                <w:szCs w:val="16"/>
              </w:rPr>
              <w:t>ML</w:t>
            </w:r>
          </w:p>
          <w:p w:rsidR="006A7A3F" w:rsidRPr="00E72D8C" w:rsidRDefault="00BC7372">
            <w:pPr>
              <w:pStyle w:val="TableParagraph"/>
              <w:spacing w:line="198" w:lineRule="exact"/>
              <w:ind w:left="306"/>
              <w:rPr>
                <w:sz w:val="16"/>
                <w:szCs w:val="16"/>
              </w:rPr>
            </w:pPr>
            <w:r w:rsidRPr="00E72D8C">
              <w:rPr>
                <w:color w:val="231F20"/>
                <w:sz w:val="16"/>
                <w:szCs w:val="16"/>
              </w:rPr>
              <w:t>(tier 1b)</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1"/>
              </w:numPr>
              <w:tabs>
                <w:tab w:val="left" w:pos="307"/>
              </w:tabs>
              <w:spacing w:before="48" w:line="220" w:lineRule="auto"/>
              <w:ind w:right="134"/>
              <w:rPr>
                <w:sz w:val="16"/>
                <w:szCs w:val="16"/>
              </w:rPr>
            </w:pPr>
            <w:r w:rsidRPr="00E72D8C">
              <w:rPr>
                <w:color w:val="231F20"/>
                <w:sz w:val="16"/>
                <w:szCs w:val="16"/>
              </w:rPr>
              <w:t>388,000 ML</w:t>
            </w:r>
            <w:r w:rsidRPr="00E72D8C">
              <w:rPr>
                <w:color w:val="231F20"/>
                <w:spacing w:val="-14"/>
                <w:sz w:val="16"/>
                <w:szCs w:val="16"/>
              </w:rPr>
              <w:t xml:space="preserve"> </w:t>
            </w:r>
            <w:r w:rsidRPr="00E72D8C">
              <w:rPr>
                <w:color w:val="231F20"/>
                <w:sz w:val="16"/>
                <w:szCs w:val="16"/>
              </w:rPr>
              <w:t>(tier 1)</w:t>
            </w:r>
          </w:p>
          <w:p w:rsidR="006A7A3F" w:rsidRPr="00E72D8C" w:rsidRDefault="00BC7372">
            <w:pPr>
              <w:pStyle w:val="TableParagraph"/>
              <w:numPr>
                <w:ilvl w:val="0"/>
                <w:numId w:val="221"/>
              </w:numPr>
              <w:tabs>
                <w:tab w:val="left" w:pos="307"/>
              </w:tabs>
              <w:spacing w:before="71" w:line="198" w:lineRule="exact"/>
              <w:rPr>
                <w:sz w:val="16"/>
                <w:szCs w:val="16"/>
              </w:rPr>
            </w:pPr>
            <w:r w:rsidRPr="00E72D8C">
              <w:rPr>
                <w:color w:val="231F20"/>
                <w:sz w:val="16"/>
                <w:szCs w:val="16"/>
              </w:rPr>
              <w:t>47,000</w:t>
            </w:r>
            <w:r w:rsidRPr="00E72D8C">
              <w:rPr>
                <w:color w:val="231F20"/>
                <w:spacing w:val="-2"/>
                <w:sz w:val="16"/>
                <w:szCs w:val="16"/>
              </w:rPr>
              <w:t xml:space="preserve"> </w:t>
            </w:r>
            <w:r w:rsidRPr="00E72D8C">
              <w:rPr>
                <w:color w:val="231F20"/>
                <w:sz w:val="16"/>
                <w:szCs w:val="16"/>
              </w:rPr>
              <w:t>ML</w:t>
            </w:r>
          </w:p>
          <w:p w:rsidR="006A7A3F" w:rsidRPr="00E72D8C" w:rsidRDefault="00BC7372">
            <w:pPr>
              <w:pStyle w:val="TableParagraph"/>
              <w:spacing w:line="198" w:lineRule="exact"/>
              <w:ind w:left="306"/>
              <w:rPr>
                <w:sz w:val="16"/>
                <w:szCs w:val="16"/>
              </w:rPr>
            </w:pPr>
            <w:r w:rsidRPr="00E72D8C">
              <w:rPr>
                <w:color w:val="231F20"/>
                <w:sz w:val="16"/>
                <w:szCs w:val="16"/>
              </w:rPr>
              <w:t>(tier 2)</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20"/>
              </w:numPr>
              <w:tabs>
                <w:tab w:val="left" w:pos="308"/>
              </w:tabs>
              <w:spacing w:before="48" w:line="220" w:lineRule="auto"/>
              <w:ind w:right="133"/>
              <w:rPr>
                <w:sz w:val="16"/>
                <w:szCs w:val="16"/>
              </w:rPr>
            </w:pPr>
            <w:r w:rsidRPr="00E72D8C">
              <w:rPr>
                <w:color w:val="231F20"/>
                <w:sz w:val="16"/>
                <w:szCs w:val="16"/>
              </w:rPr>
              <w:t>316,000 ML</w:t>
            </w:r>
            <w:r w:rsidRPr="00E72D8C">
              <w:rPr>
                <w:color w:val="231F20"/>
                <w:spacing w:val="-14"/>
                <w:sz w:val="16"/>
                <w:szCs w:val="16"/>
              </w:rPr>
              <w:t xml:space="preserve"> </w:t>
            </w:r>
            <w:r w:rsidRPr="00E72D8C">
              <w:rPr>
                <w:color w:val="231F20"/>
                <w:sz w:val="16"/>
                <w:szCs w:val="16"/>
              </w:rPr>
              <w:t>(tier 1)</w:t>
            </w:r>
          </w:p>
          <w:p w:rsidR="006A7A3F" w:rsidRPr="00E72D8C" w:rsidRDefault="00BC7372">
            <w:pPr>
              <w:pStyle w:val="TableParagraph"/>
              <w:numPr>
                <w:ilvl w:val="0"/>
                <w:numId w:val="220"/>
              </w:numPr>
              <w:tabs>
                <w:tab w:val="left" w:pos="308"/>
              </w:tabs>
              <w:spacing w:before="71" w:line="198" w:lineRule="exact"/>
              <w:ind w:hanging="218"/>
              <w:rPr>
                <w:sz w:val="16"/>
                <w:szCs w:val="16"/>
              </w:rPr>
            </w:pPr>
            <w:r w:rsidRPr="00E72D8C">
              <w:rPr>
                <w:color w:val="231F20"/>
                <w:sz w:val="16"/>
                <w:szCs w:val="16"/>
              </w:rPr>
              <w:t>47,000</w:t>
            </w:r>
            <w:r w:rsidRPr="00E72D8C">
              <w:rPr>
                <w:color w:val="231F20"/>
                <w:spacing w:val="-2"/>
                <w:sz w:val="16"/>
                <w:szCs w:val="16"/>
              </w:rPr>
              <w:t xml:space="preserve"> </w:t>
            </w:r>
            <w:r w:rsidRPr="00E72D8C">
              <w:rPr>
                <w:color w:val="231F20"/>
                <w:sz w:val="16"/>
                <w:szCs w:val="16"/>
              </w:rPr>
              <w:t>ML</w:t>
            </w:r>
          </w:p>
          <w:p w:rsidR="006A7A3F" w:rsidRPr="00E72D8C" w:rsidRDefault="00BC7372">
            <w:pPr>
              <w:pStyle w:val="TableParagraph"/>
              <w:spacing w:line="198" w:lineRule="exact"/>
              <w:ind w:left="307"/>
              <w:rPr>
                <w:sz w:val="16"/>
                <w:szCs w:val="16"/>
              </w:rPr>
            </w:pPr>
            <w:r w:rsidRPr="00E72D8C">
              <w:rPr>
                <w:color w:val="231F20"/>
                <w:sz w:val="16"/>
                <w:szCs w:val="16"/>
              </w:rPr>
              <w:t>(tier 2)</w:t>
            </w:r>
          </w:p>
        </w:tc>
      </w:tr>
      <w:tr w:rsidR="006A7A3F">
        <w:trPr>
          <w:trHeight w:val="466"/>
        </w:trPr>
        <w:tc>
          <w:tcPr>
            <w:tcW w:w="1417"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39" w:line="247" w:lineRule="auto"/>
              <w:ind w:left="85" w:right="92"/>
              <w:rPr>
                <w:sz w:val="16"/>
              </w:rPr>
            </w:pPr>
            <w:r>
              <w:rPr>
                <w:color w:val="231F20"/>
                <w:sz w:val="16"/>
              </w:rPr>
              <w:t>Priority carryover requirements</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19"/>
              </w:numPr>
              <w:tabs>
                <w:tab w:val="left" w:pos="306"/>
              </w:tabs>
              <w:spacing w:before="35"/>
              <w:ind w:hanging="218"/>
              <w:rPr>
                <w:sz w:val="16"/>
                <w:szCs w:val="16"/>
              </w:rPr>
            </w:pPr>
            <w:r w:rsidRPr="00E72D8C">
              <w:rPr>
                <w:color w:val="231F20"/>
                <w:sz w:val="16"/>
                <w:szCs w:val="16"/>
              </w:rPr>
              <w:t>23,000</w:t>
            </w:r>
            <w:r w:rsidRPr="00E72D8C">
              <w:rPr>
                <w:color w:val="231F20"/>
                <w:spacing w:val="-2"/>
                <w:sz w:val="16"/>
                <w:szCs w:val="16"/>
              </w:rPr>
              <w:t xml:space="preserve"> </w:t>
            </w:r>
            <w:r w:rsidRPr="00E72D8C">
              <w:rPr>
                <w:color w:val="231F20"/>
                <w:sz w:val="16"/>
                <w:szCs w:val="16"/>
              </w:rPr>
              <w:t>ML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18"/>
              </w:numPr>
              <w:tabs>
                <w:tab w:val="left" w:pos="306"/>
              </w:tabs>
              <w:spacing w:before="35"/>
              <w:rPr>
                <w:sz w:val="16"/>
                <w:szCs w:val="16"/>
              </w:rPr>
            </w:pPr>
            <w:r w:rsidRPr="00E72D8C">
              <w:rPr>
                <w:color w:val="231F20"/>
                <w:sz w:val="16"/>
                <w:szCs w:val="16"/>
              </w:rPr>
              <w:t>23,000</w:t>
            </w:r>
            <w:r w:rsidRPr="00E72D8C">
              <w:rPr>
                <w:color w:val="231F20"/>
                <w:spacing w:val="-2"/>
                <w:sz w:val="16"/>
                <w:szCs w:val="16"/>
              </w:rPr>
              <w:t xml:space="preserve"> </w:t>
            </w:r>
            <w:r w:rsidRPr="00E72D8C">
              <w:rPr>
                <w:color w:val="231F20"/>
                <w:sz w:val="16"/>
                <w:szCs w:val="16"/>
              </w:rPr>
              <w:t>ML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17"/>
              </w:numPr>
              <w:tabs>
                <w:tab w:val="left" w:pos="307"/>
              </w:tabs>
              <w:spacing w:before="35"/>
              <w:ind w:hanging="218"/>
              <w:rPr>
                <w:sz w:val="16"/>
                <w:szCs w:val="16"/>
              </w:rPr>
            </w:pPr>
            <w:r w:rsidRPr="00E72D8C">
              <w:rPr>
                <w:color w:val="231F20"/>
                <w:sz w:val="16"/>
                <w:szCs w:val="16"/>
              </w:rPr>
              <w:t>23,000</w:t>
            </w:r>
            <w:r w:rsidRPr="00E72D8C">
              <w:rPr>
                <w:color w:val="231F20"/>
                <w:spacing w:val="-2"/>
                <w:sz w:val="16"/>
                <w:szCs w:val="16"/>
              </w:rPr>
              <w:t xml:space="preserve"> </w:t>
            </w:r>
            <w:r w:rsidRPr="00E72D8C">
              <w:rPr>
                <w:color w:val="231F20"/>
                <w:sz w:val="16"/>
                <w:szCs w:val="16"/>
              </w:rPr>
              <w:t>ML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16"/>
              </w:numPr>
              <w:tabs>
                <w:tab w:val="left" w:pos="307"/>
              </w:tabs>
              <w:spacing w:before="35"/>
              <w:rPr>
                <w:sz w:val="16"/>
                <w:szCs w:val="16"/>
              </w:rPr>
            </w:pPr>
            <w:r w:rsidRPr="00E72D8C">
              <w:rPr>
                <w:color w:val="231F20"/>
                <w:sz w:val="16"/>
                <w:szCs w:val="16"/>
              </w:rPr>
              <w:t>0</w:t>
            </w:r>
            <w:r w:rsidRPr="00E72D8C">
              <w:rPr>
                <w:color w:val="231F20"/>
                <w:spacing w:val="-1"/>
                <w:sz w:val="16"/>
                <w:szCs w:val="16"/>
              </w:rPr>
              <w:t xml:space="preserve"> </w:t>
            </w:r>
            <w:r w:rsidRPr="00E72D8C">
              <w:rPr>
                <w:color w:val="231F20"/>
                <w:sz w:val="16"/>
                <w:szCs w:val="16"/>
              </w:rPr>
              <w:t>ML</w:t>
            </w:r>
          </w:p>
        </w:tc>
        <w:tc>
          <w:tcPr>
            <w:tcW w:w="1757" w:type="dxa"/>
            <w:tcBorders>
              <w:top w:val="single" w:sz="4" w:space="0" w:color="231F20"/>
              <w:left w:val="single" w:sz="4" w:space="0" w:color="231F20"/>
              <w:bottom w:val="single" w:sz="4" w:space="0" w:color="231F20"/>
              <w:right w:val="single" w:sz="4" w:space="0" w:color="231F20"/>
            </w:tcBorders>
          </w:tcPr>
          <w:p w:rsidR="006A7A3F" w:rsidRPr="00E72D8C" w:rsidRDefault="00BC7372">
            <w:pPr>
              <w:pStyle w:val="TableParagraph"/>
              <w:numPr>
                <w:ilvl w:val="0"/>
                <w:numId w:val="215"/>
              </w:numPr>
              <w:tabs>
                <w:tab w:val="left" w:pos="308"/>
              </w:tabs>
              <w:spacing w:before="35"/>
              <w:ind w:hanging="218"/>
              <w:rPr>
                <w:sz w:val="16"/>
                <w:szCs w:val="16"/>
              </w:rPr>
            </w:pPr>
            <w:r w:rsidRPr="00E72D8C">
              <w:rPr>
                <w:color w:val="231F20"/>
                <w:sz w:val="16"/>
                <w:szCs w:val="16"/>
              </w:rPr>
              <w:t>0</w:t>
            </w:r>
            <w:r w:rsidRPr="00E72D8C">
              <w:rPr>
                <w:color w:val="231F20"/>
                <w:spacing w:val="-1"/>
                <w:sz w:val="16"/>
                <w:szCs w:val="16"/>
              </w:rPr>
              <w:t xml:space="preserve"> </w:t>
            </w:r>
            <w:r w:rsidRPr="00E72D8C">
              <w:rPr>
                <w:color w:val="231F20"/>
                <w:sz w:val="16"/>
                <w:szCs w:val="16"/>
              </w:rPr>
              <w:t>ML</w:t>
            </w:r>
          </w:p>
        </w:tc>
      </w:tr>
    </w:tbl>
    <w:p w:rsidR="006A7A3F" w:rsidRDefault="00BC7372">
      <w:pPr>
        <w:pStyle w:val="ListParagraph"/>
        <w:numPr>
          <w:ilvl w:val="0"/>
          <w:numId w:val="214"/>
        </w:numPr>
        <w:tabs>
          <w:tab w:val="left" w:pos="324"/>
        </w:tabs>
        <w:spacing w:before="16" w:line="266" w:lineRule="auto"/>
        <w:ind w:right="691"/>
        <w:rPr>
          <w:sz w:val="14"/>
        </w:rPr>
      </w:pPr>
      <w:r>
        <w:rPr>
          <w:color w:val="231F20"/>
          <w:sz w:val="14"/>
        </w:rPr>
        <w:t xml:space="preserve">When trading </w:t>
      </w:r>
      <w:r>
        <w:rPr>
          <w:color w:val="231F20"/>
          <w:spacing w:val="2"/>
          <w:sz w:val="14"/>
        </w:rPr>
        <w:t xml:space="preserve">opportunities </w:t>
      </w:r>
      <w:r>
        <w:rPr>
          <w:color w:val="231F20"/>
          <w:sz w:val="14"/>
        </w:rPr>
        <w:t>are available, additional water for the environment allocations from the Murray River can be transferred in to meet Goulburn demand.</w:t>
      </w:r>
    </w:p>
    <w:p w:rsidR="006A7A3F" w:rsidRPr="00E72D8C" w:rsidRDefault="00BC7372">
      <w:pPr>
        <w:pStyle w:val="ListParagraph"/>
        <w:numPr>
          <w:ilvl w:val="0"/>
          <w:numId w:val="214"/>
        </w:numPr>
        <w:tabs>
          <w:tab w:val="left" w:pos="324"/>
        </w:tabs>
        <w:spacing w:before="55" w:line="350" w:lineRule="auto"/>
        <w:ind w:left="210" w:right="1526" w:firstLine="0"/>
        <w:rPr>
          <w:sz w:val="14"/>
        </w:rPr>
      </w:pPr>
      <w:r>
        <w:rPr>
          <w:color w:val="231F20"/>
          <w:sz w:val="14"/>
        </w:rPr>
        <w:t xml:space="preserve">Low-flow periods following a spring fresh or between summer/autumn pulses are considered tier 1a </w:t>
      </w:r>
      <w:r>
        <w:rPr>
          <w:color w:val="231F20"/>
          <w:spacing w:val="2"/>
          <w:sz w:val="14"/>
        </w:rPr>
        <w:t xml:space="preserve">priorities </w:t>
      </w:r>
      <w:r>
        <w:rPr>
          <w:color w:val="231F20"/>
          <w:sz w:val="14"/>
        </w:rPr>
        <w:t>under all planning scenarios.    3 Environmental water requirements for tier 2 actions are additional to tier 1</w:t>
      </w:r>
      <w:r>
        <w:rPr>
          <w:color w:val="231F20"/>
          <w:spacing w:val="4"/>
          <w:sz w:val="14"/>
        </w:rPr>
        <w:t xml:space="preserve"> </w:t>
      </w:r>
      <w:r>
        <w:rPr>
          <w:color w:val="231F20"/>
          <w:sz w:val="14"/>
        </w:rPr>
        <w:t>requirements.</w:t>
      </w:r>
    </w:p>
    <w:p w:rsidR="00E72D8C" w:rsidRDefault="00E72D8C">
      <w:pPr>
        <w:rPr>
          <w:color w:val="231F20"/>
          <w:sz w:val="14"/>
        </w:rPr>
      </w:pPr>
      <w:r>
        <w:rPr>
          <w:color w:val="231F20"/>
          <w:sz w:val="14"/>
        </w:rPr>
        <w:br w:type="page"/>
      </w:r>
    </w:p>
    <w:p w:rsidR="006A7A3F" w:rsidRPr="00E72D8C" w:rsidRDefault="00BC7372">
      <w:pPr>
        <w:pStyle w:val="ListParagraph"/>
        <w:numPr>
          <w:ilvl w:val="2"/>
          <w:numId w:val="577"/>
        </w:numPr>
        <w:tabs>
          <w:tab w:val="left" w:pos="811"/>
        </w:tabs>
        <w:spacing w:before="76"/>
        <w:rPr>
          <w:b/>
          <w:bCs/>
          <w:color w:val="231F20"/>
          <w:sz w:val="24"/>
        </w:rPr>
      </w:pPr>
      <w:r w:rsidRPr="00E72D8C">
        <w:rPr>
          <w:b/>
          <w:bCs/>
          <w:color w:val="231F20"/>
          <w:sz w:val="24"/>
        </w:rPr>
        <w:t>Goulburn wetlands</w:t>
      </w:r>
    </w:p>
    <w:p w:rsidR="006A7A3F" w:rsidRDefault="00BC7372">
      <w:pPr>
        <w:spacing w:before="178"/>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474"/>
      </w:pPr>
      <w:r>
        <w:rPr>
          <w:color w:val="231F20"/>
        </w:rPr>
        <w:t>Within the Goulburn Broken catchment, there are about 2,000 natural wetlands identified, but only five (Reedy Swamp, Gaynor Swamp, Doctors Swamp, Horseshoe Lagoon and Loch Garry) have received water for the environment through VEWH or CEWH entitlements. Several other small wetlands in the Goulburn catchment have been watered under a separate arrangement through the Murray-Darling Wetlands Working Group.</w:t>
      </w:r>
    </w:p>
    <w:p w:rsidR="006A7A3F" w:rsidRDefault="006A7A3F">
      <w:pPr>
        <w:pStyle w:val="BodyText"/>
        <w:spacing w:before="6"/>
        <w:ind w:left="0"/>
        <w:rPr>
          <w:sz w:val="21"/>
        </w:rPr>
      </w:pPr>
    </w:p>
    <w:p w:rsidR="006A7A3F" w:rsidRDefault="00BC7372">
      <w:pPr>
        <w:pStyle w:val="BodyText"/>
        <w:spacing w:before="0" w:line="249" w:lineRule="auto"/>
        <w:ind w:right="204"/>
      </w:pPr>
      <w:r>
        <w:rPr>
          <w:color w:val="231F20"/>
        </w:rPr>
        <w:t>Gaynor Swamp, Reedy Swamp, Loch Garry, Doctors Swamp and Kanyapella Basin wetlands can receive water for the environment through irrigation supply infrastructure. The volume of water that can be delivered to each wetland depends on the physical capacity of the infrastructure and the seasonal allocation. Water for the environment can be delivered from the Goulburn River to Horseshoe Lagoon via a temporary pump.</w:t>
      </w:r>
    </w:p>
    <w:p w:rsidR="006A7A3F" w:rsidRDefault="00BC7372">
      <w:pPr>
        <w:spacing w:before="182"/>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486"/>
      </w:pPr>
      <w:r>
        <w:rPr>
          <w:color w:val="231F20"/>
        </w:rPr>
        <w:t>Many natural wetlands across the Goulburn catchment including Reedy Swamp, Loch Garry, Gaynor Swamp, Kanyapella Basin and Doctors Swamp are formally recognised for their conservation significance. The Goulburn wetlands support a variety of plant communities ranging from river red gum swamps to cane grass wetlands.</w:t>
      </w:r>
    </w:p>
    <w:p w:rsidR="006A7A3F" w:rsidRDefault="00BC7372" w:rsidP="00316FE5">
      <w:pPr>
        <w:pStyle w:val="BodyText"/>
        <w:spacing w:before="173" w:line="249" w:lineRule="auto"/>
        <w:ind w:right="385"/>
      </w:pPr>
      <w:r>
        <w:rPr>
          <w:color w:val="231F20"/>
        </w:rPr>
        <w:t>Reedy Swamp contains a mosaic of vegetation types including tall marsh, floodway pond herbland and rushy riverine swamp. It is an important drought refuge, nesting site for colonial waterbirds and stopover feeding site for migratory birds (such as sharp-tailed sandpiper and marsh sandpiper).</w:t>
      </w:r>
      <w:r w:rsidR="00316FE5">
        <w:rPr>
          <w:color w:val="231F20"/>
        </w:rPr>
        <w:t xml:space="preserve"> </w:t>
      </w:r>
      <w:r>
        <w:rPr>
          <w:color w:val="231F20"/>
        </w:rPr>
        <w:t>Doctors Swamp is considered one of the most intact red gum swamps in Victoria, supporting over 80 wetland plant species.</w:t>
      </w:r>
    </w:p>
    <w:p w:rsidR="006A7A3F" w:rsidRDefault="00BC7372">
      <w:pPr>
        <w:pStyle w:val="BodyText"/>
        <w:spacing w:line="249" w:lineRule="auto"/>
        <w:ind w:right="218"/>
      </w:pPr>
      <w:r>
        <w:rPr>
          <w:color w:val="231F20"/>
        </w:rPr>
        <w:t>Gaynor Swamp is a cane grass wetland situated on paleosaline soils: soils formed from historic oceans. The wetland supports thousands of waterbirds including brolga and intermediate egrets when wet. Gaynor Swamp has a higher salt concentration than other wetlands in the region and it attracts a different suite of feeding waterbirds as it draws down. One of the most significant species that feeds on exposed mudflats at Gaynor Swamp is the red- necked avocet.</w:t>
      </w:r>
    </w:p>
    <w:p w:rsidR="006A7A3F" w:rsidRDefault="00BC7372">
      <w:pPr>
        <w:pStyle w:val="BodyText"/>
        <w:spacing w:before="174" w:line="249" w:lineRule="auto"/>
        <w:ind w:right="257"/>
      </w:pPr>
      <w:r>
        <w:rPr>
          <w:color w:val="231F20"/>
        </w:rPr>
        <w:t>Loch Garry incorporates an old channel of the Goulburn River that provides deep, open-water habitat. The channel is surrounded by shallow, vegetated wetland depressions, red gum forest and sand ridges. It is an important site for waterbird feeding and roosting, and it is a drought refuge for eastern great egrets, musk ducks, nankeen night herons and royal</w:t>
      </w:r>
      <w:r>
        <w:rPr>
          <w:color w:val="231F20"/>
          <w:spacing w:val="-3"/>
        </w:rPr>
        <w:t xml:space="preserve"> </w:t>
      </w:r>
      <w:r>
        <w:rPr>
          <w:color w:val="231F20"/>
        </w:rPr>
        <w:t>spoonbills.</w:t>
      </w:r>
    </w:p>
    <w:p w:rsidR="006A7A3F" w:rsidRDefault="00BC7372">
      <w:pPr>
        <w:pStyle w:val="BodyText"/>
        <w:spacing w:before="174" w:line="249" w:lineRule="auto"/>
        <w:ind w:right="100"/>
      </w:pPr>
      <w:r>
        <w:rPr>
          <w:color w:val="231F20"/>
        </w:rPr>
        <w:t>Kanyapella Basin is a shallow freshwater marsh that provides habitat for numerous plant and animal species including the threatened intermediate egret. Historically, it has been a popular breeding site for ibis, heron and cormorants.</w:t>
      </w:r>
    </w:p>
    <w:p w:rsidR="006A7A3F" w:rsidRDefault="00BC7372">
      <w:pPr>
        <w:pStyle w:val="BodyText"/>
        <w:spacing w:line="249" w:lineRule="auto"/>
        <w:ind w:right="100"/>
      </w:pPr>
      <w:r>
        <w:rPr>
          <w:color w:val="231F20"/>
        </w:rPr>
        <w:t>Horseshoe Lagoon, a former channel of the Goulburn River, comprises vegetation mainly of tall marsh, floodway pond herbland and floodplain streamside woodland.</w:t>
      </w:r>
    </w:p>
    <w:p w:rsidR="00E72D8C" w:rsidRDefault="00E72D8C">
      <w:pPr>
        <w:rPr>
          <w:rFonts w:ascii="Helvetica Neue LT Std 75"/>
          <w:b/>
          <w:color w:val="231F20"/>
          <w:sz w:val="19"/>
        </w:rPr>
      </w:pPr>
      <w:r>
        <w:rPr>
          <w:rFonts w:ascii="Helvetica Neue LT Std 75"/>
          <w:b/>
          <w:color w:val="231F20"/>
          <w:sz w:val="19"/>
        </w:rPr>
        <w:br w:type="page"/>
      </w:r>
    </w:p>
    <w:p w:rsidR="006A7A3F" w:rsidRPr="00E72D8C" w:rsidRDefault="00BC7372">
      <w:pPr>
        <w:spacing w:before="181"/>
        <w:ind w:left="210"/>
        <w:rPr>
          <w:b/>
          <w:sz w:val="24"/>
          <w:szCs w:val="24"/>
        </w:rPr>
      </w:pPr>
      <w:r w:rsidRPr="00E72D8C">
        <w:rPr>
          <w:b/>
          <w:color w:val="231F20"/>
          <w:sz w:val="24"/>
          <w:szCs w:val="24"/>
        </w:rPr>
        <w:t>Environmental watering objectives in the Goulburn wetlands</w:t>
      </w:r>
    </w:p>
    <w:p w:rsidR="006A7A3F" w:rsidRDefault="006A7A3F">
      <w:pPr>
        <w:pStyle w:val="BodyText"/>
        <w:spacing w:before="11"/>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3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161"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3839" w:type="dxa"/>
            <w:tcBorders>
              <w:bottom w:val="single" w:sz="8" w:space="0" w:color="FFFFFF"/>
            </w:tcBorders>
            <w:shd w:val="clear" w:color="auto" w:fill="E6E7E8"/>
          </w:tcPr>
          <w:p w:rsidR="006A7A3F" w:rsidRDefault="006A7A3F">
            <w:pPr>
              <w:pStyle w:val="TableParagraph"/>
              <w:ind w:left="0"/>
              <w:rPr>
                <w:rFonts w:ascii="Helvetica Neue LT Std 75"/>
                <w:b/>
                <w:sz w:val="16"/>
              </w:rPr>
            </w:pPr>
          </w:p>
          <w:p w:rsidR="006A7A3F" w:rsidRDefault="00BC7372">
            <w:pPr>
              <w:pStyle w:val="TableParagraph"/>
              <w:spacing w:line="261" w:lineRule="auto"/>
              <w:ind w:left="118" w:right="36"/>
              <w:rPr>
                <w:sz w:val="16"/>
              </w:rPr>
            </w:pPr>
            <w:r>
              <w:rPr>
                <w:color w:val="231F20"/>
                <w:sz w:val="16"/>
              </w:rPr>
              <w:t>Maintain or increase the diversity and abundance of frog species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2" cy="310896"/>
                  <wp:effectExtent l="0" t="0" r="0" b="0"/>
                  <wp:docPr id="2163"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image26.jpeg"/>
                          <pic:cNvPicPr/>
                        </pic:nvPicPr>
                        <pic:blipFill>
                          <a:blip r:embed="rId38" cstate="print"/>
                          <a:stretch>
                            <a:fillRect/>
                          </a:stretch>
                        </pic:blipFill>
                        <pic:spPr>
                          <a:xfrm>
                            <a:off x="0" y="0"/>
                            <a:ext cx="314172" cy="310896"/>
                          </a:xfrm>
                          <a:prstGeom prst="rect">
                            <a:avLst/>
                          </a:prstGeom>
                        </pic:spPr>
                      </pic:pic>
                    </a:graphicData>
                  </a:graphic>
                </wp:inline>
              </w:drawing>
            </w:r>
          </w:p>
        </w:tc>
        <w:tc>
          <w:tcPr>
            <w:tcW w:w="383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18"/>
              <w:rPr>
                <w:sz w:val="16"/>
              </w:rPr>
            </w:pPr>
            <w:r>
              <w:rPr>
                <w:color w:val="231F20"/>
                <w:sz w:val="16"/>
              </w:rPr>
              <w:t>Maintain turtle populations</w:t>
            </w:r>
          </w:p>
        </w:tc>
      </w:tr>
      <w:tr w:rsidR="006A7A3F">
        <w:trPr>
          <w:trHeight w:val="155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ind w:left="0"/>
              <w:rPr>
                <w:rFonts w:ascii="Helvetica Neue LT Std 75"/>
                <w:b/>
                <w:sz w:val="18"/>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4" cy="310896"/>
                  <wp:effectExtent l="0" t="0" r="0" b="0"/>
                  <wp:docPr id="216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image21.jpeg"/>
                          <pic:cNvPicPr/>
                        </pic:nvPicPr>
                        <pic:blipFill>
                          <a:blip r:embed="rId33" cstate="print"/>
                          <a:stretch>
                            <a:fillRect/>
                          </a:stretch>
                        </pic:blipFill>
                        <pic:spPr>
                          <a:xfrm>
                            <a:off x="0" y="0"/>
                            <a:ext cx="314174" cy="310896"/>
                          </a:xfrm>
                          <a:prstGeom prst="rect">
                            <a:avLst/>
                          </a:prstGeom>
                        </pic:spPr>
                      </pic:pic>
                    </a:graphicData>
                  </a:graphic>
                </wp:inline>
              </w:drawing>
            </w:r>
          </w:p>
        </w:tc>
        <w:tc>
          <w:tcPr>
            <w:tcW w:w="383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34"/>
              <w:rPr>
                <w:sz w:val="16"/>
              </w:rPr>
            </w:pPr>
            <w:r>
              <w:rPr>
                <w:color w:val="231F20"/>
                <w:sz w:val="16"/>
              </w:rPr>
              <w:t>Increase the diversity and cover of native wetland plant species consistent with ecological vegetation class</w:t>
            </w:r>
            <w:r w:rsidR="00E175D4">
              <w:rPr>
                <w:color w:val="231F20"/>
                <w:position w:val="5"/>
                <w:sz w:val="9"/>
              </w:rPr>
              <w:t xml:space="preserve"> </w:t>
            </w:r>
            <w:r>
              <w:rPr>
                <w:color w:val="231F20"/>
                <w:position w:val="5"/>
                <w:sz w:val="9"/>
              </w:rPr>
              <w:t xml:space="preserve"> </w:t>
            </w:r>
            <w:r>
              <w:rPr>
                <w:color w:val="231F20"/>
                <w:sz w:val="16"/>
              </w:rPr>
              <w:t>benchmarks</w:t>
            </w:r>
          </w:p>
          <w:p w:rsidR="006A7A3F" w:rsidRDefault="00BC7372">
            <w:pPr>
              <w:pStyle w:val="TableParagraph"/>
              <w:spacing w:before="55"/>
              <w:ind w:left="118"/>
              <w:rPr>
                <w:sz w:val="16"/>
              </w:rPr>
            </w:pPr>
            <w:r>
              <w:rPr>
                <w:color w:val="231F20"/>
                <w:sz w:val="16"/>
              </w:rPr>
              <w:t>Reduce the cover and diversity of exotic plants</w:t>
            </w:r>
          </w:p>
          <w:p w:rsidR="006A7A3F" w:rsidRDefault="00BC7372">
            <w:pPr>
              <w:pStyle w:val="TableParagraph"/>
              <w:spacing w:before="73" w:line="261" w:lineRule="auto"/>
              <w:ind w:left="118" w:right="205"/>
              <w:rPr>
                <w:sz w:val="16"/>
              </w:rPr>
            </w:pPr>
            <w:r>
              <w:rPr>
                <w:color w:val="231F20"/>
                <w:sz w:val="16"/>
              </w:rPr>
              <w:t>Maintain populations of rigid water milfoil, slender water milfoil and river swamp wallaby-grass</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6" cy="310896"/>
                  <wp:effectExtent l="0" t="0" r="0" b="0"/>
                  <wp:docPr id="2167"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image27.jpeg"/>
                          <pic:cNvPicPr/>
                        </pic:nvPicPr>
                        <pic:blipFill>
                          <a:blip r:embed="rId39" cstate="print"/>
                          <a:stretch>
                            <a:fillRect/>
                          </a:stretch>
                        </pic:blipFill>
                        <pic:spPr>
                          <a:xfrm>
                            <a:off x="0" y="0"/>
                            <a:ext cx="314166" cy="310896"/>
                          </a:xfrm>
                          <a:prstGeom prst="rect">
                            <a:avLst/>
                          </a:prstGeom>
                        </pic:spPr>
                      </pic:pic>
                    </a:graphicData>
                  </a:graphic>
                </wp:inline>
              </w:drawing>
            </w:r>
          </w:p>
        </w:tc>
        <w:tc>
          <w:tcPr>
            <w:tcW w:w="3839" w:type="dxa"/>
            <w:tcBorders>
              <w:top w:val="single" w:sz="8" w:space="0" w:color="FFFFFF"/>
            </w:tcBorders>
            <w:shd w:val="clear" w:color="auto" w:fill="E6E7E8"/>
          </w:tcPr>
          <w:p w:rsidR="006A7A3F" w:rsidRDefault="006A7A3F">
            <w:pPr>
              <w:pStyle w:val="TableParagraph"/>
              <w:spacing w:before="3"/>
              <w:ind w:left="0"/>
              <w:rPr>
                <w:rFonts w:ascii="Helvetica Neue LT Std 75"/>
                <w:b/>
                <w:sz w:val="13"/>
              </w:rPr>
            </w:pPr>
          </w:p>
          <w:p w:rsidR="006A7A3F" w:rsidRDefault="00BC7372">
            <w:pPr>
              <w:pStyle w:val="TableParagraph"/>
              <w:ind w:left="118"/>
              <w:rPr>
                <w:sz w:val="16"/>
              </w:rPr>
            </w:pPr>
            <w:r>
              <w:rPr>
                <w:color w:val="231F20"/>
                <w:sz w:val="16"/>
              </w:rPr>
              <w:t>Provide breeding habitat for waterbirds</w:t>
            </w:r>
          </w:p>
          <w:p w:rsidR="006A7A3F" w:rsidRDefault="00BC7372">
            <w:pPr>
              <w:pStyle w:val="TableParagraph"/>
              <w:spacing w:before="73"/>
              <w:ind w:left="118"/>
              <w:rPr>
                <w:sz w:val="16"/>
              </w:rPr>
            </w:pPr>
            <w:r>
              <w:rPr>
                <w:color w:val="231F20"/>
                <w:sz w:val="16"/>
              </w:rPr>
              <w:t>Provide feeding and roosting habitat for waterbirds</w:t>
            </w:r>
          </w:p>
        </w:tc>
      </w:tr>
    </w:tbl>
    <w:p w:rsidR="006A7A3F" w:rsidRDefault="00BC7372">
      <w:pPr>
        <w:spacing w:before="15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318"/>
      </w:pPr>
      <w:r>
        <w:rPr>
          <w:color w:val="231F20"/>
        </w:rPr>
        <w:t>Goulburn Broken CMA sought input from Yorta Yorta Nation Aboriginal Corporation and Taungurung Land and Waters Council during the development of environmental watering plans for the Goulburn wetlands. Both groups have indicated that they support the watering action priorities planned for the year ahead and will continue to work with the CMA to implement these actions while exploring further opportunities to support their cultural values.</w:t>
      </w:r>
    </w:p>
    <w:p w:rsidR="006A7A3F" w:rsidRPr="00E72D8C" w:rsidRDefault="00BC7372" w:rsidP="00E72D8C">
      <w:pPr>
        <w:pStyle w:val="BodyText"/>
        <w:spacing w:before="173" w:line="249" w:lineRule="auto"/>
        <w:ind w:right="457"/>
      </w:pPr>
      <w:r>
        <w:rPr>
          <w:color w:val="231F20"/>
        </w:rPr>
        <w:t>Waterway managers are seeking opportunities to support increased participation of Traditional Owners in environmental water planning and management. Where Traditional Owners are more deeply involved in the planning and/or delivery of environmental flows for a particular site, their contribution is acknowledged in Table</w:t>
      </w:r>
      <w:r w:rsidR="00E72D8C">
        <w:rPr>
          <w:color w:val="231F20"/>
        </w:rPr>
        <w:t xml:space="preserve"> 5.4.3 </w:t>
      </w:r>
      <w:r w:rsidRPr="00E72D8C">
        <w:rPr>
          <w:color w:val="231F20"/>
        </w:rPr>
        <w:t>with an</w:t>
      </w:r>
      <w:r w:rsidRPr="00E72D8C">
        <w:rPr>
          <w:color w:val="231F20"/>
          <w:spacing w:val="-3"/>
        </w:rPr>
        <w:t xml:space="preserve"> </w:t>
      </w:r>
      <w:r w:rsidRPr="00E72D8C">
        <w:rPr>
          <w:color w:val="231F20"/>
        </w:rPr>
        <w:t>icon.</w:t>
      </w:r>
    </w:p>
    <w:p w:rsidR="006A7A3F" w:rsidRDefault="006A7A3F">
      <w:pPr>
        <w:pStyle w:val="BodyText"/>
        <w:spacing w:before="0"/>
        <w:ind w:left="0"/>
        <w:rPr>
          <w:sz w:val="18"/>
        </w:rPr>
      </w:pPr>
    </w:p>
    <w:tbl>
      <w:tblPr>
        <w:tblW w:w="0" w:type="auto"/>
        <w:tblInd w:w="217" w:type="dxa"/>
        <w:tblLayout w:type="fixed"/>
        <w:tblCellMar>
          <w:left w:w="0" w:type="dxa"/>
          <w:right w:w="0" w:type="dxa"/>
        </w:tblCellMar>
        <w:tblLook w:val="01E0" w:firstRow="1" w:lastRow="1" w:firstColumn="1" w:lastColumn="1" w:noHBand="0" w:noVBand="0"/>
      </w:tblPr>
      <w:tblGrid>
        <w:gridCol w:w="803"/>
        <w:gridCol w:w="3846"/>
      </w:tblGrid>
      <w:tr w:rsidR="006A7A3F">
        <w:trPr>
          <w:trHeight w:val="856"/>
        </w:trPr>
        <w:tc>
          <w:tcPr>
            <w:tcW w:w="803" w:type="dxa"/>
            <w:shd w:val="clear" w:color="auto" w:fill="E6E7E8"/>
          </w:tcPr>
          <w:p w:rsidR="006A7A3F" w:rsidRDefault="006A7A3F">
            <w:pPr>
              <w:pStyle w:val="TableParagraph"/>
              <w:spacing w:before="9"/>
              <w:ind w:left="0"/>
              <w:rPr>
                <w:sz w:val="14"/>
              </w:rPr>
            </w:pPr>
          </w:p>
          <w:p w:rsidR="006A7A3F" w:rsidRDefault="00BC7372">
            <w:pPr>
              <w:pStyle w:val="TableParagraph"/>
              <w:ind w:left="180"/>
              <w:rPr>
                <w:sz w:val="20"/>
              </w:rPr>
            </w:pPr>
            <w:r>
              <w:rPr>
                <w:noProof/>
                <w:sz w:val="20"/>
              </w:rPr>
              <w:drawing>
                <wp:inline distT="0" distB="0" distL="0" distR="0">
                  <wp:extent cx="313943" cy="313944"/>
                  <wp:effectExtent l="0" t="0" r="0" b="0"/>
                  <wp:docPr id="2169"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image43.jpeg"/>
                          <pic:cNvPicPr/>
                        </pic:nvPicPr>
                        <pic:blipFill>
                          <a:blip r:embed="rId55" cstate="print"/>
                          <a:stretch>
                            <a:fillRect/>
                          </a:stretch>
                        </pic:blipFill>
                        <pic:spPr>
                          <a:xfrm>
                            <a:off x="0" y="0"/>
                            <a:ext cx="313943" cy="313944"/>
                          </a:xfrm>
                          <a:prstGeom prst="rect">
                            <a:avLst/>
                          </a:prstGeom>
                        </pic:spPr>
                      </pic:pic>
                    </a:graphicData>
                  </a:graphic>
                </wp:inline>
              </w:drawing>
            </w:r>
          </w:p>
        </w:tc>
        <w:tc>
          <w:tcPr>
            <w:tcW w:w="3846" w:type="dxa"/>
            <w:shd w:val="clear" w:color="auto" w:fill="E6E7E8"/>
          </w:tcPr>
          <w:p w:rsidR="006A7A3F" w:rsidRDefault="00BC7372">
            <w:pPr>
              <w:pStyle w:val="TableParagraph"/>
              <w:spacing w:before="136" w:line="261" w:lineRule="auto"/>
              <w:ind w:left="132" w:right="102"/>
              <w:rPr>
                <w:sz w:val="16"/>
              </w:rPr>
            </w:pPr>
            <w:r>
              <w:rPr>
                <w:color w:val="231F20"/>
                <w:sz w:val="16"/>
              </w:rPr>
              <w:t>Watering planned and/or delivered in partnership with Traditional Owners to support Aboriginal cultural values and uses</w:t>
            </w:r>
          </w:p>
        </w:tc>
      </w:tr>
    </w:tbl>
    <w:p w:rsidR="006A7A3F" w:rsidRDefault="00BC7372">
      <w:pPr>
        <w:pStyle w:val="BodyText"/>
        <w:spacing w:before="142" w:line="249" w:lineRule="auto"/>
        <w:ind w:right="329"/>
      </w:pPr>
      <w:r>
        <w:rPr>
          <w:color w:val="231F20"/>
          <w:spacing w:val="-5"/>
        </w:rPr>
        <w:t xml:space="preserve">Yorta Yorta </w:t>
      </w:r>
      <w:r>
        <w:rPr>
          <w:color w:val="231F20"/>
        </w:rPr>
        <w:t xml:space="preserve">Nation Aboriginal Corporation has been involved in planning for environmental watering at Kanyapella Basin and Loch </w:t>
      </w:r>
      <w:r>
        <w:rPr>
          <w:color w:val="231F20"/>
          <w:spacing w:val="-3"/>
        </w:rPr>
        <w:t xml:space="preserve">Garry, </w:t>
      </w:r>
      <w:r>
        <w:rPr>
          <w:color w:val="231F20"/>
        </w:rPr>
        <w:t xml:space="preserve">including participating in the development of environmental water management plans for the sites. Kanyapella Basin, Loch Garry and the surrounding catchment have a long history of Traditional Owner occupation by the </w:t>
      </w:r>
      <w:r>
        <w:rPr>
          <w:color w:val="231F20"/>
          <w:spacing w:val="-5"/>
        </w:rPr>
        <w:t xml:space="preserve">Yorta Yorta </w:t>
      </w:r>
      <w:r>
        <w:rPr>
          <w:color w:val="231F20"/>
        </w:rPr>
        <w:t xml:space="preserve">Peoples. Kanyapella Basin particularly plays an important role in </w:t>
      </w:r>
      <w:r>
        <w:rPr>
          <w:color w:val="231F20"/>
          <w:spacing w:val="-5"/>
        </w:rPr>
        <w:t xml:space="preserve">Yorta Yorta </w:t>
      </w:r>
      <w:r>
        <w:rPr>
          <w:color w:val="231F20"/>
        </w:rPr>
        <w:t>cultural and spiritual heritage. Kanyapella Basin may be partially filled in winter or spring 2020, supporting cultural values such as knowledge sharing and food and medicinal plants. Loch Garry watering is planned for autumn 2021.</w:t>
      </w:r>
    </w:p>
    <w:p w:rsidR="006A7A3F" w:rsidRDefault="00BC7372" w:rsidP="00E72D8C">
      <w:pPr>
        <w:pStyle w:val="BodyText"/>
        <w:spacing w:before="175" w:line="249" w:lineRule="auto"/>
        <w:ind w:right="207"/>
      </w:pPr>
      <w:r>
        <w:rPr>
          <w:color w:val="231F20"/>
        </w:rPr>
        <w:t>Taungurung Land and Waters Council and Goulburn Broken CMA are planning to repeat the environmental watering of Horseshoe Lagoon in winter 2020, following the first delivery of environmental water to the site in winter 2019. This was celebrated by the Taungurung women as it is a significant site and the best example of working</w:t>
      </w:r>
      <w:r w:rsidR="00E72D8C">
        <w:t xml:space="preserve"> </w:t>
      </w:r>
      <w:r>
        <w:rPr>
          <w:color w:val="231F20"/>
        </w:rPr>
        <w:t>together to protect cultural values and towards healing Country. The Taungurung water knowledge group, Baan Ganalina, have worked closely with Goulburn Broken CMA, the VEWH and other partners to bring water back to the lagoon to restore habitats and see the birds and other animals return to the site. Taungurung Land and Waters Council also participated in the development of the Environmental Water Management Plan for the site in 2019.</w:t>
      </w:r>
    </w:p>
    <w:p w:rsidR="00E72D8C" w:rsidRDefault="00E72D8C">
      <w:pPr>
        <w:rPr>
          <w:rFonts w:ascii="Helvetica Neue LT Std 75"/>
          <w:b/>
          <w:color w:val="231F20"/>
          <w:sz w:val="19"/>
        </w:rPr>
      </w:pPr>
      <w:r>
        <w:rPr>
          <w:rFonts w:ascii="Helvetica Neue LT Std 75"/>
          <w:b/>
          <w:color w:val="231F20"/>
          <w:sz w:val="19"/>
        </w:rPr>
        <w:br w:type="page"/>
      </w:r>
    </w:p>
    <w:p w:rsidR="006A7A3F" w:rsidRDefault="00BC7372">
      <w:pPr>
        <w:spacing w:before="183"/>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7" w:line="249" w:lineRule="auto"/>
        <w:ind w:right="457"/>
      </w:pPr>
      <w:r>
        <w:rPr>
          <w:color w:val="231F20"/>
        </w:rPr>
        <w:t>In planning the potential watering actions in Table 5.4.3, Goulburn Broken CMA considered how environmental flows could support values and uses including recreation and amenity (such as walking, photography and birdwatching).</w:t>
      </w:r>
    </w:p>
    <w:p w:rsidR="006A7A3F" w:rsidRDefault="00BC7372">
      <w:pPr>
        <w:spacing w:before="182"/>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238"/>
      </w:pPr>
      <w:r>
        <w:rPr>
          <w:color w:val="231F20"/>
        </w:rPr>
        <w:t>The Goulburn catchment has observed persistent dry conditions over the past few years, with 2019–20 no exception. Annual rainfall was well below average for the region for most of the year, except for a very wet autumn with above-average rainfall, which provided suitable conditions to enable watering actions and also provided natural inflows as supplements. Temperatures throughout most of the year were above the long-term average. The drier conditions resulted in increased evaporation rates for storages and wetlands alike, but water availability was good due to carryover and 80 percent allocation to high-reliability water shares in the Goulburn system.</w:t>
      </w:r>
    </w:p>
    <w:p w:rsidR="006A7A3F" w:rsidRDefault="00BC7372">
      <w:pPr>
        <w:pStyle w:val="BodyText"/>
        <w:spacing w:before="175" w:line="249" w:lineRule="auto"/>
        <w:ind w:right="230"/>
      </w:pPr>
      <w:r>
        <w:rPr>
          <w:color w:val="231F20"/>
        </w:rPr>
        <w:t>Environmental water was delivered to Horseshoe Lagoon for the first time in winter 2019, to partially fill the wetland before drying over summer. The wetland vegetation responded well to the watering with both the rare river swamp wallaby grass and veiled fringe sedge detected during monitoring; waterbirds and turtles were also observed at the lagoon.</w:t>
      </w:r>
    </w:p>
    <w:p w:rsidR="006A7A3F" w:rsidRDefault="00BC7372">
      <w:pPr>
        <w:pStyle w:val="BodyText"/>
        <w:spacing w:before="173" w:line="249" w:lineRule="auto"/>
        <w:ind w:right="297"/>
      </w:pPr>
      <w:r>
        <w:rPr>
          <w:color w:val="231F20"/>
        </w:rPr>
        <w:t>The timing of a planned autumn 2020 fill of Reedy Swamp was moved to spring 2019 to build on a rainfall event that</w:t>
      </w:r>
      <w:r>
        <w:rPr>
          <w:color w:val="231F20"/>
          <w:spacing w:val="-3"/>
        </w:rPr>
        <w:t xml:space="preserve"> </w:t>
      </w:r>
      <w:r>
        <w:rPr>
          <w:color w:val="231F20"/>
        </w:rPr>
        <w:t>partially</w:t>
      </w:r>
      <w:r>
        <w:rPr>
          <w:color w:val="231F20"/>
          <w:spacing w:val="-3"/>
        </w:rPr>
        <w:t xml:space="preserve"> </w:t>
      </w:r>
      <w:r>
        <w:rPr>
          <w:color w:val="231F20"/>
        </w:rPr>
        <w:t>filled</w:t>
      </w:r>
      <w:r>
        <w:rPr>
          <w:color w:val="231F20"/>
          <w:spacing w:val="-3"/>
        </w:rPr>
        <w:t xml:space="preserve"> </w:t>
      </w:r>
      <w:r>
        <w:rPr>
          <w:color w:val="231F20"/>
        </w:rPr>
        <w:t>the</w:t>
      </w:r>
      <w:r>
        <w:rPr>
          <w:color w:val="231F20"/>
          <w:spacing w:val="-2"/>
        </w:rPr>
        <w:t xml:space="preserve"> </w:t>
      </w:r>
      <w:r>
        <w:rPr>
          <w:color w:val="231F20"/>
        </w:rPr>
        <w:t>wetland.</w:t>
      </w:r>
      <w:r>
        <w:rPr>
          <w:color w:val="231F20"/>
          <w:spacing w:val="-6"/>
        </w:rPr>
        <w:t xml:space="preserve"> </w:t>
      </w:r>
      <w:r>
        <w:rPr>
          <w:color w:val="231F20"/>
        </w:rPr>
        <w:t>The</w:t>
      </w:r>
      <w:r>
        <w:rPr>
          <w:color w:val="231F20"/>
          <w:spacing w:val="-3"/>
        </w:rPr>
        <w:t xml:space="preserve"> </w:t>
      </w:r>
      <w:r>
        <w:rPr>
          <w:color w:val="231F20"/>
        </w:rPr>
        <w:t>wetland</w:t>
      </w:r>
      <w:r>
        <w:rPr>
          <w:color w:val="231F20"/>
          <w:spacing w:val="-3"/>
        </w:rPr>
        <w:t xml:space="preserve"> </w:t>
      </w:r>
      <w:r>
        <w:rPr>
          <w:color w:val="231F20"/>
        </w:rPr>
        <w:t>provided</w:t>
      </w:r>
      <w:r>
        <w:rPr>
          <w:color w:val="231F20"/>
          <w:spacing w:val="-3"/>
        </w:rPr>
        <w:t xml:space="preserve"> </w:t>
      </w:r>
      <w:r>
        <w:rPr>
          <w:color w:val="231F20"/>
        </w:rPr>
        <w:t>a</w:t>
      </w:r>
      <w:r>
        <w:rPr>
          <w:color w:val="231F20"/>
          <w:spacing w:val="-4"/>
        </w:rPr>
        <w:t xml:space="preserve"> </w:t>
      </w:r>
      <w:r>
        <w:rPr>
          <w:color w:val="231F20"/>
        </w:rPr>
        <w:t>much-needed</w:t>
      </w:r>
      <w:r>
        <w:rPr>
          <w:color w:val="231F20"/>
          <w:spacing w:val="-2"/>
        </w:rPr>
        <w:t xml:space="preserve"> </w:t>
      </w:r>
      <w:r>
        <w:rPr>
          <w:color w:val="231F20"/>
        </w:rPr>
        <w:t>refuge</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region</w:t>
      </w:r>
      <w:r>
        <w:rPr>
          <w:color w:val="231F20"/>
          <w:spacing w:val="-3"/>
        </w:rPr>
        <w:t xml:space="preserve"> </w:t>
      </w:r>
      <w:r>
        <w:rPr>
          <w:color w:val="231F20"/>
        </w:rPr>
        <w:t>over</w:t>
      </w:r>
      <w:r>
        <w:rPr>
          <w:color w:val="231F20"/>
          <w:spacing w:val="-3"/>
        </w:rPr>
        <w:t xml:space="preserve"> </w:t>
      </w:r>
      <w:r>
        <w:rPr>
          <w:color w:val="231F20"/>
        </w:rPr>
        <w:t>a</w:t>
      </w:r>
      <w:r>
        <w:rPr>
          <w:color w:val="231F20"/>
          <w:spacing w:val="-4"/>
        </w:rPr>
        <w:t xml:space="preserve"> </w:t>
      </w:r>
      <w:r>
        <w:rPr>
          <w:color w:val="231F20"/>
        </w:rPr>
        <w:t>very</w:t>
      </w:r>
      <w:r>
        <w:rPr>
          <w:color w:val="231F20"/>
          <w:spacing w:val="-2"/>
        </w:rPr>
        <w:t xml:space="preserve"> </w:t>
      </w:r>
      <w:r>
        <w:rPr>
          <w:color w:val="231F20"/>
        </w:rPr>
        <w:t>dry</w:t>
      </w:r>
      <w:r>
        <w:rPr>
          <w:color w:val="231F20"/>
          <w:spacing w:val="-3"/>
        </w:rPr>
        <w:t xml:space="preserve"> </w:t>
      </w:r>
      <w:r>
        <w:rPr>
          <w:color w:val="231F20"/>
        </w:rPr>
        <w:t>summer, with waterbird and woodland bird species recorded including glossy ibis, Australasian shoveler, Latham’s snipe, freckled duck and the first record of crimson chats at the</w:t>
      </w:r>
      <w:r>
        <w:rPr>
          <w:color w:val="231F20"/>
          <w:spacing w:val="-5"/>
        </w:rPr>
        <w:t xml:space="preserve"> </w:t>
      </w:r>
      <w:r>
        <w:rPr>
          <w:color w:val="231F20"/>
        </w:rPr>
        <w:t>site.</w:t>
      </w:r>
    </w:p>
    <w:p w:rsidR="006A7A3F" w:rsidRDefault="00BC7372">
      <w:pPr>
        <w:pStyle w:val="BodyText"/>
        <w:spacing w:before="173" w:line="249" w:lineRule="auto"/>
        <w:ind w:right="396"/>
      </w:pPr>
      <w:r>
        <w:rPr>
          <w:color w:val="231F20"/>
        </w:rPr>
        <w:t xml:space="preserve">Autumn 2020 saw two wetland watering events delivered, assisted by the above-average rainfall observed in late April/early </w:t>
      </w:r>
      <w:r>
        <w:rPr>
          <w:color w:val="231F20"/>
          <w:spacing w:val="-4"/>
        </w:rPr>
        <w:t xml:space="preserve">May. </w:t>
      </w:r>
      <w:r>
        <w:rPr>
          <w:color w:val="231F20"/>
        </w:rPr>
        <w:t>The river-red-gum-dominated Doctors Swamp was filled in May 2020. The first environmental watering of Loch Garry was trialled and achieved a partial</w:t>
      </w:r>
      <w:r>
        <w:rPr>
          <w:color w:val="231F20"/>
          <w:spacing w:val="-11"/>
        </w:rPr>
        <w:t xml:space="preserve"> </w:t>
      </w:r>
      <w:r>
        <w:rPr>
          <w:color w:val="231F20"/>
        </w:rPr>
        <w:t>fill.</w:t>
      </w:r>
    </w:p>
    <w:p w:rsidR="006A7A3F" w:rsidRDefault="00BC7372">
      <w:pPr>
        <w:pStyle w:val="BodyText"/>
        <w:spacing w:before="173" w:line="249" w:lineRule="auto"/>
        <w:ind w:right="241"/>
      </w:pPr>
      <w:r>
        <w:rPr>
          <w:color w:val="231F20"/>
        </w:rPr>
        <w:t>As always, planned watering actions were adaptively managed in 2019–20. The changed timing of delivery to Reedy Swamp optimised environmental outcomes and drought refuge by responding to natural conditions in spring, while the first trial delivery to Loch Garry delivered around half of the planned volume due to a slower delivery rate than expected. Gaynor Swamp was not actively watered in 2019–20 to allow it to dry, to reduce exotic vegetation cover at the site. Now the dry phase has been completed, a spring watering in 2020–21 is planned.</w:t>
      </w:r>
    </w:p>
    <w:p w:rsidR="006A7A3F" w:rsidRDefault="00BC7372">
      <w:pPr>
        <w:spacing w:before="183"/>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100"/>
      </w:pPr>
      <w:r>
        <w:rPr>
          <w:color w:val="231F20"/>
        </w:rPr>
        <w:t>Table 5.4.3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5.4.3 Potential environmental watering actions and objectives for the Goulburn wetlands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right w:val="nil"/>
            </w:tcBorders>
            <w:shd w:val="clear" w:color="auto" w:fill="231F20"/>
          </w:tcPr>
          <w:p w:rsidR="006A7A3F" w:rsidRDefault="00BC7372">
            <w:pPr>
              <w:pStyle w:val="TableParagraph"/>
              <w:spacing w:before="80" w:line="254" w:lineRule="auto"/>
              <w:ind w:left="85" w:right="197"/>
              <w:rPr>
                <w:b/>
                <w:sz w:val="18"/>
              </w:rPr>
            </w:pPr>
            <w:r>
              <w:rPr>
                <w:b/>
                <w:color w:val="FFFFFF"/>
                <w:sz w:val="18"/>
              </w:rPr>
              <w:t>Environmental objectives</w:t>
            </w:r>
          </w:p>
        </w:tc>
      </w:tr>
      <w:tr w:rsidR="006A7A3F">
        <w:trPr>
          <w:trHeight w:val="706"/>
        </w:trPr>
        <w:tc>
          <w:tcPr>
            <w:tcW w:w="238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Doctors Swamp</w:t>
            </w:r>
          </w:p>
          <w:p w:rsidR="006A7A3F" w:rsidRDefault="00BC7372">
            <w:pPr>
              <w:pStyle w:val="TableParagraph"/>
              <w:spacing w:before="17"/>
              <w:ind w:left="85"/>
              <w:rPr>
                <w:sz w:val="16"/>
              </w:rPr>
            </w:pPr>
            <w:r>
              <w:rPr>
                <w:color w:val="231F20"/>
                <w:sz w:val="16"/>
              </w:rPr>
              <w:t>(top up or fill in spring)</w:t>
            </w:r>
          </w:p>
        </w:tc>
        <w:tc>
          <w:tcPr>
            <w:tcW w:w="6236"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13"/>
              </w:numPr>
              <w:tabs>
                <w:tab w:val="left" w:pos="306"/>
              </w:tabs>
              <w:spacing w:before="70"/>
              <w:ind w:hanging="218"/>
              <w:rPr>
                <w:sz w:val="18"/>
              </w:rPr>
            </w:pPr>
            <w:r>
              <w:rPr>
                <w:color w:val="231F20"/>
                <w:sz w:val="18"/>
              </w:rPr>
              <w:t>Promote vegetation</w:t>
            </w:r>
            <w:r>
              <w:rPr>
                <w:color w:val="231F20"/>
                <w:spacing w:val="-1"/>
                <w:sz w:val="18"/>
              </w:rPr>
              <w:t xml:space="preserve"> </w:t>
            </w:r>
            <w:r>
              <w:rPr>
                <w:color w:val="231F20"/>
                <w:sz w:val="18"/>
              </w:rPr>
              <w:t>growth</w:t>
            </w:r>
          </w:p>
          <w:p w:rsidR="006A7A3F" w:rsidRDefault="00BC7372">
            <w:pPr>
              <w:pStyle w:val="TableParagraph"/>
              <w:numPr>
                <w:ilvl w:val="0"/>
                <w:numId w:val="213"/>
              </w:numPr>
              <w:tabs>
                <w:tab w:val="left" w:pos="306"/>
              </w:tabs>
              <w:spacing w:before="98"/>
              <w:ind w:hanging="218"/>
              <w:rPr>
                <w:sz w:val="18"/>
              </w:rPr>
            </w:pPr>
            <w:r>
              <w:rPr>
                <w:color w:val="231F20"/>
                <w:sz w:val="18"/>
              </w:rPr>
              <w:t>Provide feeding and roosting habitat for</w:t>
            </w:r>
            <w:r>
              <w:rPr>
                <w:color w:val="231F20"/>
                <w:spacing w:val="-5"/>
                <w:sz w:val="18"/>
              </w:rPr>
              <w:t xml:space="preserve"> </w:t>
            </w:r>
            <w:r>
              <w:rPr>
                <w:color w:val="231F20"/>
                <w:sz w:val="18"/>
              </w:rPr>
              <w:t>waterbirds</w:t>
            </w:r>
          </w:p>
        </w:tc>
        <w:tc>
          <w:tcPr>
            <w:tcW w:w="850" w:type="dxa"/>
            <w:tcBorders>
              <w:top w:val="nil"/>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217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217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image27.jpeg"/>
                          <pic:cNvPicPr/>
                        </pic:nvPicPr>
                        <pic:blipFill>
                          <a:blip r:embed="rId39" cstate="print"/>
                          <a:stretch>
                            <a:fillRect/>
                          </a:stretch>
                        </pic:blipFill>
                        <pic:spPr>
                          <a:xfrm>
                            <a:off x="0" y="0"/>
                            <a:ext cx="314168" cy="310895"/>
                          </a:xfrm>
                          <a:prstGeom prst="rect">
                            <a:avLst/>
                          </a:prstGeom>
                        </pic:spPr>
                      </pic:pic>
                    </a:graphicData>
                  </a:graphic>
                </wp:inline>
              </w:drawing>
            </w:r>
          </w:p>
        </w:tc>
      </w:tr>
      <w:tr w:rsidR="006A7A3F">
        <w:trPr>
          <w:trHeight w:val="87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878"/>
              <w:rPr>
                <w:sz w:val="16"/>
              </w:rPr>
            </w:pPr>
            <w:r>
              <w:rPr>
                <w:color w:val="231F20"/>
                <w:sz w:val="16"/>
              </w:rPr>
              <w:t>Gaynor Swamp (partial fill in spring)</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12"/>
              </w:numPr>
              <w:tabs>
                <w:tab w:val="left" w:pos="306"/>
              </w:tabs>
              <w:spacing w:before="70"/>
              <w:ind w:hanging="218"/>
              <w:rPr>
                <w:sz w:val="18"/>
              </w:rPr>
            </w:pPr>
            <w:r>
              <w:rPr>
                <w:color w:val="231F20"/>
                <w:sz w:val="18"/>
              </w:rPr>
              <w:t>Promote vegetation growth, particularly southern cane</w:t>
            </w:r>
            <w:r>
              <w:rPr>
                <w:color w:val="231F20"/>
                <w:spacing w:val="-7"/>
                <w:sz w:val="18"/>
              </w:rPr>
              <w:t xml:space="preserve"> </w:t>
            </w:r>
            <w:r>
              <w:rPr>
                <w:color w:val="231F20"/>
                <w:sz w:val="18"/>
              </w:rPr>
              <w:t>grass</w:t>
            </w:r>
          </w:p>
          <w:p w:rsidR="006A7A3F" w:rsidRDefault="00BC7372">
            <w:pPr>
              <w:pStyle w:val="TableParagraph"/>
              <w:numPr>
                <w:ilvl w:val="0"/>
                <w:numId w:val="212"/>
              </w:numPr>
              <w:tabs>
                <w:tab w:val="left" w:pos="306"/>
              </w:tabs>
              <w:spacing w:before="98" w:line="254" w:lineRule="auto"/>
              <w:ind w:right="548"/>
              <w:rPr>
                <w:sz w:val="18"/>
              </w:rPr>
            </w:pPr>
            <w:r>
              <w:rPr>
                <w:color w:val="231F20"/>
                <w:sz w:val="18"/>
              </w:rPr>
              <w:t>Provide</w:t>
            </w:r>
            <w:r>
              <w:rPr>
                <w:color w:val="231F20"/>
                <w:spacing w:val="-4"/>
                <w:sz w:val="18"/>
              </w:rPr>
              <w:t xml:space="preserve"> </w:t>
            </w:r>
            <w:r>
              <w:rPr>
                <w:color w:val="231F20"/>
                <w:sz w:val="18"/>
              </w:rPr>
              <w:t>breeding</w:t>
            </w:r>
            <w:r>
              <w:rPr>
                <w:color w:val="231F20"/>
                <w:spacing w:val="-5"/>
                <w:sz w:val="18"/>
              </w:rPr>
              <w:t xml:space="preserve"> </w:t>
            </w:r>
            <w:r>
              <w:rPr>
                <w:color w:val="231F20"/>
                <w:sz w:val="18"/>
              </w:rPr>
              <w:t>and</w:t>
            </w:r>
            <w:r>
              <w:rPr>
                <w:color w:val="231F20"/>
                <w:spacing w:val="-4"/>
                <w:sz w:val="18"/>
              </w:rPr>
              <w:t xml:space="preserve"> </w:t>
            </w:r>
            <w:r>
              <w:rPr>
                <w:color w:val="231F20"/>
                <w:sz w:val="18"/>
              </w:rPr>
              <w:t>feeding</w:t>
            </w:r>
            <w:r>
              <w:rPr>
                <w:color w:val="231F20"/>
                <w:spacing w:val="-4"/>
                <w:sz w:val="18"/>
              </w:rPr>
              <w:t xml:space="preserve"> </w:t>
            </w:r>
            <w:r>
              <w:rPr>
                <w:color w:val="231F20"/>
                <w:sz w:val="18"/>
              </w:rPr>
              <w:t>habitat</w:t>
            </w:r>
            <w:r>
              <w:rPr>
                <w:color w:val="231F20"/>
                <w:spacing w:val="-4"/>
                <w:sz w:val="18"/>
              </w:rPr>
              <w:t xml:space="preserve"> </w:t>
            </w:r>
            <w:r>
              <w:rPr>
                <w:color w:val="231F20"/>
                <w:sz w:val="18"/>
              </w:rPr>
              <w:t>for</w:t>
            </w:r>
            <w:r>
              <w:rPr>
                <w:color w:val="231F20"/>
                <w:spacing w:val="-4"/>
                <w:sz w:val="18"/>
              </w:rPr>
              <w:t xml:space="preserve"> </w:t>
            </w:r>
            <w:r>
              <w:rPr>
                <w:color w:val="231F20"/>
                <w:sz w:val="18"/>
              </w:rPr>
              <w:t>waterbirds,</w:t>
            </w:r>
            <w:r>
              <w:rPr>
                <w:color w:val="231F20"/>
                <w:spacing w:val="-4"/>
                <w:sz w:val="18"/>
              </w:rPr>
              <w:t xml:space="preserve"> </w:t>
            </w:r>
            <w:r>
              <w:rPr>
                <w:color w:val="231F20"/>
                <w:sz w:val="18"/>
              </w:rPr>
              <w:t>in</w:t>
            </w:r>
            <w:r>
              <w:rPr>
                <w:color w:val="231F20"/>
                <w:spacing w:val="-5"/>
                <w:sz w:val="18"/>
              </w:rPr>
              <w:t xml:space="preserve"> </w:t>
            </w:r>
            <w:r>
              <w:rPr>
                <w:color w:val="231F20"/>
                <w:sz w:val="18"/>
              </w:rPr>
              <w:t>particular</w:t>
            </w:r>
            <w:r>
              <w:rPr>
                <w:color w:val="231F20"/>
                <w:spacing w:val="-5"/>
                <w:sz w:val="18"/>
              </w:rPr>
              <w:t xml:space="preserve"> </w:t>
            </w:r>
            <w:r>
              <w:rPr>
                <w:color w:val="231F20"/>
                <w:sz w:val="18"/>
              </w:rPr>
              <w:t>for brolga</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217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image21.jpeg"/>
                          <pic:cNvPicPr/>
                        </pic:nvPicPr>
                        <pic:blipFill>
                          <a:blip r:embed="rId33"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217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age27.jpeg"/>
                          <pic:cNvPicPr/>
                        </pic:nvPicPr>
                        <pic:blipFill>
                          <a:blip r:embed="rId39" cstate="print"/>
                          <a:stretch>
                            <a:fillRect/>
                          </a:stretch>
                        </pic:blipFill>
                        <pic:spPr>
                          <a:xfrm>
                            <a:off x="0" y="0"/>
                            <a:ext cx="314168" cy="310895"/>
                          </a:xfrm>
                          <a:prstGeom prst="rect">
                            <a:avLst/>
                          </a:prstGeom>
                        </pic:spPr>
                      </pic:pic>
                    </a:graphicData>
                  </a:graphic>
                </wp:inline>
              </w:drawing>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913"/>
              <w:rPr>
                <w:sz w:val="16"/>
              </w:rPr>
            </w:pPr>
            <w:r>
              <w:rPr>
                <w:color w:val="231F20"/>
                <w:sz w:val="16"/>
              </w:rPr>
              <w:t>Horseshoe Lagoon (fill in winter)</w:t>
            </w:r>
          </w:p>
          <w:p w:rsidR="006A7A3F" w:rsidRDefault="006A7A3F">
            <w:pPr>
              <w:pStyle w:val="TableParagraph"/>
              <w:spacing w:before="4"/>
              <w:ind w:left="0"/>
              <w:rPr>
                <w:b/>
                <w:sz w:val="8"/>
              </w:rPr>
            </w:pPr>
          </w:p>
          <w:p w:rsidR="006A7A3F" w:rsidRDefault="00BC7372">
            <w:pPr>
              <w:pStyle w:val="TableParagraph"/>
              <w:ind w:left="85"/>
              <w:rPr>
                <w:sz w:val="20"/>
              </w:rPr>
            </w:pPr>
            <w:r>
              <w:rPr>
                <w:noProof/>
                <w:sz w:val="20"/>
              </w:rPr>
              <w:drawing>
                <wp:inline distT="0" distB="0" distL="0" distR="0">
                  <wp:extent cx="313943" cy="313944"/>
                  <wp:effectExtent l="0" t="0" r="0" b="0"/>
                  <wp:docPr id="2179" name="image43.jpeg" descr="icon: traditional ow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image43.jpeg"/>
                          <pic:cNvPicPr/>
                        </pic:nvPicPr>
                        <pic:blipFill>
                          <a:blip r:embed="rId55" cstate="print"/>
                          <a:stretch>
                            <a:fillRect/>
                          </a:stretch>
                        </pic:blipFill>
                        <pic:spPr>
                          <a:xfrm>
                            <a:off x="0" y="0"/>
                            <a:ext cx="313943" cy="313944"/>
                          </a:xfrm>
                          <a:prstGeom prst="rect">
                            <a:avLst/>
                          </a:prstGeom>
                        </pic:spPr>
                      </pic:pic>
                    </a:graphicData>
                  </a:graphic>
                </wp:inline>
              </w:drawing>
            </w:r>
          </w:p>
          <w:p w:rsidR="006A7A3F" w:rsidRDefault="006A7A3F">
            <w:pPr>
              <w:pStyle w:val="TableParagraph"/>
              <w:spacing w:before="3"/>
              <w:ind w:left="0"/>
              <w:rPr>
                <w:b/>
                <w:sz w:val="16"/>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11"/>
              </w:numPr>
              <w:tabs>
                <w:tab w:val="left" w:pos="306"/>
              </w:tabs>
              <w:spacing w:before="70" w:line="254" w:lineRule="auto"/>
              <w:ind w:right="556"/>
              <w:rPr>
                <w:sz w:val="18"/>
              </w:rPr>
            </w:pPr>
            <w:r>
              <w:rPr>
                <w:color w:val="231F20"/>
                <w:sz w:val="18"/>
              </w:rPr>
              <w:t>Maintain wetland vegetation communities by supporting growth</w:t>
            </w:r>
            <w:r>
              <w:rPr>
                <w:color w:val="231F20"/>
                <w:spacing w:val="-18"/>
                <w:sz w:val="18"/>
              </w:rPr>
              <w:t xml:space="preserve"> </w:t>
            </w:r>
            <w:r>
              <w:rPr>
                <w:color w:val="231F20"/>
                <w:sz w:val="18"/>
              </w:rPr>
              <w:t>and recruitment</w:t>
            </w:r>
          </w:p>
          <w:p w:rsidR="006A7A3F" w:rsidRDefault="00BC7372">
            <w:pPr>
              <w:pStyle w:val="TableParagraph"/>
              <w:numPr>
                <w:ilvl w:val="0"/>
                <w:numId w:val="211"/>
              </w:numPr>
              <w:tabs>
                <w:tab w:val="left" w:pos="306"/>
              </w:tabs>
              <w:spacing w:before="87"/>
              <w:ind w:hanging="218"/>
              <w:rPr>
                <w:sz w:val="18"/>
              </w:rPr>
            </w:pPr>
            <w:r>
              <w:rPr>
                <w:color w:val="231F20"/>
                <w:sz w:val="18"/>
              </w:rPr>
              <w:t>Promote the growth of river swamp wallaby</w:t>
            </w:r>
            <w:r>
              <w:rPr>
                <w:color w:val="231F20"/>
                <w:spacing w:val="-6"/>
                <w:sz w:val="18"/>
              </w:rPr>
              <w:t xml:space="preserve"> </w:t>
            </w:r>
            <w:r>
              <w:rPr>
                <w:color w:val="231F20"/>
                <w:sz w:val="18"/>
              </w:rPr>
              <w:t>grass</w:t>
            </w:r>
          </w:p>
          <w:p w:rsidR="006A7A3F" w:rsidRDefault="00BC7372">
            <w:pPr>
              <w:pStyle w:val="TableParagraph"/>
              <w:numPr>
                <w:ilvl w:val="0"/>
                <w:numId w:val="211"/>
              </w:numPr>
              <w:tabs>
                <w:tab w:val="left" w:pos="306"/>
              </w:tabs>
              <w:spacing w:before="98"/>
              <w:ind w:hanging="218"/>
              <w:rPr>
                <w:sz w:val="18"/>
              </w:rPr>
            </w:pPr>
            <w:r>
              <w:rPr>
                <w:color w:val="231F20"/>
                <w:sz w:val="18"/>
              </w:rPr>
              <w:t>Provide habitat for turtle and frog</w:t>
            </w:r>
            <w:r>
              <w:rPr>
                <w:color w:val="231F20"/>
                <w:spacing w:val="-5"/>
                <w:sz w:val="18"/>
              </w:rPr>
              <w:t xml:space="preserve"> </w:t>
            </w:r>
            <w:r>
              <w:rPr>
                <w:color w:val="231F20"/>
                <w:sz w:val="18"/>
              </w:rPr>
              <w:t>populations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2181"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image25.jpeg"/>
                          <pic:cNvPicPr/>
                        </pic:nvPicPr>
                        <pic:blipFill>
                          <a:blip r:embed="rId37"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2183"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image26.jpeg"/>
                          <pic:cNvPicPr/>
                        </pic:nvPicPr>
                        <pic:blipFill>
                          <a:blip r:embed="rId38" cstate="print"/>
                          <a:stretch>
                            <a:fillRect/>
                          </a:stretch>
                        </pic:blipFill>
                        <pic:spPr>
                          <a:xfrm>
                            <a:off x="0" y="0"/>
                            <a:ext cx="314168" cy="310895"/>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18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6A7A3F">
      <w:pPr>
        <w:rPr>
          <w:rFonts w:ascii="Times New Roman"/>
          <w:sz w:val="18"/>
        </w:rPr>
        <w:sectPr w:rsidR="006A7A3F" w:rsidSect="00C92D74">
          <w:pgSz w:w="11910" w:h="16840"/>
          <w:pgMar w:top="1701" w:right="851" w:bottom="1134" w:left="851" w:header="720" w:footer="720" w:gutter="0"/>
          <w:cols w:space="720"/>
        </w:sectPr>
      </w:pP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1180"/>
        </w:trPr>
        <w:tc>
          <w:tcPr>
            <w:tcW w:w="2381" w:type="dxa"/>
          </w:tcPr>
          <w:p w:rsidR="006A7A3F" w:rsidRDefault="00BC7372">
            <w:pPr>
              <w:pStyle w:val="TableParagraph"/>
              <w:spacing w:before="67" w:line="261" w:lineRule="auto"/>
              <w:ind w:left="85" w:right="878"/>
              <w:rPr>
                <w:sz w:val="16"/>
              </w:rPr>
            </w:pPr>
            <w:r>
              <w:rPr>
                <w:color w:val="231F20"/>
                <w:sz w:val="16"/>
              </w:rPr>
              <w:t>Kanyapella Basin (partial fill in spring)</w:t>
            </w:r>
          </w:p>
          <w:p w:rsidR="006A7A3F" w:rsidRDefault="006A7A3F">
            <w:pPr>
              <w:pStyle w:val="TableParagraph"/>
              <w:spacing w:before="4"/>
              <w:ind w:left="0"/>
              <w:rPr>
                <w:b/>
                <w:sz w:val="8"/>
              </w:rPr>
            </w:pPr>
          </w:p>
          <w:p w:rsidR="006A7A3F" w:rsidRDefault="00BC7372">
            <w:pPr>
              <w:pStyle w:val="TableParagraph"/>
              <w:ind w:left="85"/>
              <w:rPr>
                <w:sz w:val="20"/>
              </w:rPr>
            </w:pPr>
            <w:r>
              <w:rPr>
                <w:noProof/>
                <w:sz w:val="20"/>
              </w:rPr>
              <w:drawing>
                <wp:inline distT="0" distB="0" distL="0" distR="0">
                  <wp:extent cx="313943" cy="313944"/>
                  <wp:effectExtent l="0" t="0" r="0" b="0"/>
                  <wp:docPr id="2187" name="image43.jpeg" descr="icon: traditional ow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image43.jpeg"/>
                          <pic:cNvPicPr/>
                        </pic:nvPicPr>
                        <pic:blipFill>
                          <a:blip r:embed="rId55" cstate="print"/>
                          <a:stretch>
                            <a:fillRect/>
                          </a:stretch>
                        </pic:blipFill>
                        <pic:spPr>
                          <a:xfrm>
                            <a:off x="0" y="0"/>
                            <a:ext cx="313943" cy="313944"/>
                          </a:xfrm>
                          <a:prstGeom prst="rect">
                            <a:avLst/>
                          </a:prstGeom>
                        </pic:spPr>
                      </pic:pic>
                    </a:graphicData>
                  </a:graphic>
                </wp:inline>
              </w:drawing>
            </w:r>
          </w:p>
        </w:tc>
        <w:tc>
          <w:tcPr>
            <w:tcW w:w="6236" w:type="dxa"/>
          </w:tcPr>
          <w:p w:rsidR="006A7A3F" w:rsidRDefault="00BC7372">
            <w:pPr>
              <w:pStyle w:val="TableParagraph"/>
              <w:numPr>
                <w:ilvl w:val="0"/>
                <w:numId w:val="210"/>
              </w:numPr>
              <w:tabs>
                <w:tab w:val="left" w:pos="306"/>
              </w:tabs>
              <w:spacing w:before="63"/>
              <w:ind w:hanging="218"/>
              <w:rPr>
                <w:sz w:val="18"/>
              </w:rPr>
            </w:pPr>
            <w:r>
              <w:rPr>
                <w:color w:val="231F20"/>
                <w:sz w:val="18"/>
              </w:rPr>
              <w:t>Promote different vegetation communities to</w:t>
            </w:r>
            <w:r>
              <w:rPr>
                <w:color w:val="231F20"/>
                <w:spacing w:val="-2"/>
                <w:sz w:val="18"/>
              </w:rPr>
              <w:t xml:space="preserve"> </w:t>
            </w:r>
            <w:r>
              <w:rPr>
                <w:color w:val="231F20"/>
                <w:sz w:val="18"/>
              </w:rPr>
              <w:t>establish</w:t>
            </w:r>
          </w:p>
        </w:tc>
        <w:tc>
          <w:tcPr>
            <w:tcW w:w="1558" w:type="dxa"/>
            <w:gridSpan w:val="2"/>
          </w:tcPr>
          <w:p w:rsidR="006A7A3F" w:rsidRDefault="006A7A3F">
            <w:pPr>
              <w:pStyle w:val="TableParagraph"/>
              <w:spacing w:before="9"/>
              <w:ind w:left="0"/>
              <w:rPr>
                <w:b/>
                <w:sz w:val="8"/>
              </w:rPr>
            </w:pPr>
          </w:p>
          <w:p w:rsidR="006A7A3F" w:rsidRDefault="00BC7372">
            <w:pPr>
              <w:pStyle w:val="TableParagraph"/>
              <w:ind w:left="315"/>
              <w:rPr>
                <w:sz w:val="20"/>
              </w:rPr>
            </w:pPr>
            <w:r>
              <w:rPr>
                <w:noProof/>
                <w:sz w:val="20"/>
              </w:rPr>
              <w:drawing>
                <wp:inline distT="0" distB="0" distL="0" distR="0">
                  <wp:extent cx="314168" cy="310896"/>
                  <wp:effectExtent l="0" t="0" r="0" b="0"/>
                  <wp:docPr id="218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1180"/>
        </w:trPr>
        <w:tc>
          <w:tcPr>
            <w:tcW w:w="2381" w:type="dxa"/>
          </w:tcPr>
          <w:p w:rsidR="006A7A3F" w:rsidRDefault="00BC7372">
            <w:pPr>
              <w:pStyle w:val="TableParagraph"/>
              <w:spacing w:before="67"/>
              <w:ind w:left="85"/>
              <w:rPr>
                <w:sz w:val="16"/>
              </w:rPr>
            </w:pPr>
            <w:r>
              <w:rPr>
                <w:color w:val="231F20"/>
                <w:sz w:val="16"/>
              </w:rPr>
              <w:t>Loch Garry</w:t>
            </w:r>
          </w:p>
          <w:p w:rsidR="006A7A3F" w:rsidRDefault="00BC7372">
            <w:pPr>
              <w:pStyle w:val="TableParagraph"/>
              <w:spacing w:before="16"/>
              <w:ind w:left="85"/>
              <w:rPr>
                <w:sz w:val="16"/>
              </w:rPr>
            </w:pPr>
            <w:r>
              <w:rPr>
                <w:color w:val="231F20"/>
                <w:sz w:val="16"/>
              </w:rPr>
              <w:t>(partial fill in autumn)</w:t>
            </w:r>
          </w:p>
          <w:p w:rsidR="006A7A3F" w:rsidRDefault="006A7A3F">
            <w:pPr>
              <w:pStyle w:val="TableParagraph"/>
              <w:spacing w:before="9" w:after="1"/>
              <w:ind w:left="0"/>
              <w:rPr>
                <w:b/>
                <w:sz w:val="9"/>
              </w:rPr>
            </w:pPr>
          </w:p>
          <w:p w:rsidR="006A7A3F" w:rsidRDefault="00BC7372">
            <w:pPr>
              <w:pStyle w:val="TableParagraph"/>
              <w:ind w:left="85"/>
              <w:rPr>
                <w:sz w:val="20"/>
              </w:rPr>
            </w:pPr>
            <w:r>
              <w:rPr>
                <w:noProof/>
                <w:sz w:val="20"/>
              </w:rPr>
              <w:drawing>
                <wp:inline distT="0" distB="0" distL="0" distR="0">
                  <wp:extent cx="313950" cy="313944"/>
                  <wp:effectExtent l="0" t="0" r="0" b="0"/>
                  <wp:docPr id="2191" name="image43.jpeg" descr="icon: traditional ow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image43.jpeg"/>
                          <pic:cNvPicPr/>
                        </pic:nvPicPr>
                        <pic:blipFill>
                          <a:blip r:embed="rId55" cstate="print"/>
                          <a:stretch>
                            <a:fillRect/>
                          </a:stretch>
                        </pic:blipFill>
                        <pic:spPr>
                          <a:xfrm>
                            <a:off x="0" y="0"/>
                            <a:ext cx="313950" cy="313944"/>
                          </a:xfrm>
                          <a:prstGeom prst="rect">
                            <a:avLst/>
                          </a:prstGeom>
                        </pic:spPr>
                      </pic:pic>
                    </a:graphicData>
                  </a:graphic>
                </wp:inline>
              </w:drawing>
            </w:r>
          </w:p>
        </w:tc>
        <w:tc>
          <w:tcPr>
            <w:tcW w:w="6236" w:type="dxa"/>
          </w:tcPr>
          <w:p w:rsidR="006A7A3F" w:rsidRDefault="00BC7372">
            <w:pPr>
              <w:pStyle w:val="TableParagraph"/>
              <w:numPr>
                <w:ilvl w:val="0"/>
                <w:numId w:val="209"/>
              </w:numPr>
              <w:tabs>
                <w:tab w:val="left" w:pos="306"/>
              </w:tabs>
              <w:spacing w:before="63" w:line="254" w:lineRule="auto"/>
              <w:ind w:right="727"/>
              <w:rPr>
                <w:sz w:val="18"/>
              </w:rPr>
            </w:pPr>
            <w:r>
              <w:rPr>
                <w:color w:val="231F20"/>
                <w:sz w:val="18"/>
              </w:rPr>
              <w:t>Promote the growth and germination of native wetland</w:t>
            </w:r>
            <w:r>
              <w:rPr>
                <w:color w:val="231F20"/>
                <w:spacing w:val="-33"/>
                <w:sz w:val="18"/>
              </w:rPr>
              <w:t xml:space="preserve"> </w:t>
            </w:r>
            <w:r>
              <w:rPr>
                <w:color w:val="231F20"/>
                <w:sz w:val="18"/>
              </w:rPr>
              <w:t>vegetation communities, particularly wetland</w:t>
            </w:r>
            <w:r>
              <w:rPr>
                <w:color w:val="231F20"/>
                <w:spacing w:val="-4"/>
                <w:sz w:val="18"/>
              </w:rPr>
              <w:t xml:space="preserve"> </w:t>
            </w:r>
            <w:r>
              <w:rPr>
                <w:color w:val="231F20"/>
                <w:sz w:val="18"/>
              </w:rPr>
              <w:t>fringes</w:t>
            </w:r>
          </w:p>
          <w:p w:rsidR="006A7A3F" w:rsidRDefault="00BC7372">
            <w:pPr>
              <w:pStyle w:val="TableParagraph"/>
              <w:numPr>
                <w:ilvl w:val="0"/>
                <w:numId w:val="209"/>
              </w:numPr>
              <w:tabs>
                <w:tab w:val="left" w:pos="306"/>
              </w:tabs>
              <w:spacing w:before="86"/>
              <w:ind w:hanging="218"/>
              <w:rPr>
                <w:sz w:val="18"/>
              </w:rPr>
            </w:pPr>
            <w:r>
              <w:rPr>
                <w:color w:val="231F20"/>
                <w:sz w:val="18"/>
              </w:rPr>
              <w:t>Provide feeding and breeding habitat for</w:t>
            </w:r>
            <w:r>
              <w:rPr>
                <w:color w:val="231F20"/>
                <w:spacing w:val="-7"/>
                <w:sz w:val="18"/>
              </w:rPr>
              <w:t xml:space="preserve"> </w:t>
            </w:r>
            <w:r>
              <w:rPr>
                <w:color w:val="231F20"/>
                <w:sz w:val="18"/>
              </w:rPr>
              <w:t>waterbirds</w:t>
            </w:r>
          </w:p>
        </w:tc>
        <w:tc>
          <w:tcPr>
            <w:tcW w:w="850" w:type="dxa"/>
            <w:tcBorders>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19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left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195"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r w:rsidR="006A7A3F">
        <w:trPr>
          <w:trHeight w:val="957"/>
        </w:trPr>
        <w:tc>
          <w:tcPr>
            <w:tcW w:w="2381" w:type="dxa"/>
          </w:tcPr>
          <w:p w:rsidR="006A7A3F" w:rsidRDefault="00BC7372">
            <w:pPr>
              <w:pStyle w:val="TableParagraph"/>
              <w:spacing w:before="67" w:line="261" w:lineRule="auto"/>
              <w:ind w:left="85" w:right="1225"/>
              <w:rPr>
                <w:sz w:val="16"/>
              </w:rPr>
            </w:pPr>
            <w:r>
              <w:rPr>
                <w:color w:val="231F20"/>
                <w:sz w:val="16"/>
              </w:rPr>
              <w:t>Reedy Swamp (fill in autumn)</w:t>
            </w:r>
          </w:p>
        </w:tc>
        <w:tc>
          <w:tcPr>
            <w:tcW w:w="6236" w:type="dxa"/>
          </w:tcPr>
          <w:p w:rsidR="006A7A3F" w:rsidRDefault="00BC7372">
            <w:pPr>
              <w:pStyle w:val="TableParagraph"/>
              <w:numPr>
                <w:ilvl w:val="0"/>
                <w:numId w:val="208"/>
              </w:numPr>
              <w:tabs>
                <w:tab w:val="left" w:pos="306"/>
              </w:tabs>
              <w:spacing w:before="63"/>
              <w:ind w:hanging="218"/>
              <w:rPr>
                <w:sz w:val="18"/>
              </w:rPr>
            </w:pPr>
            <w:r>
              <w:rPr>
                <w:color w:val="231F20"/>
                <w:sz w:val="18"/>
              </w:rPr>
              <w:t>Reduce the growth of exotic</w:t>
            </w:r>
            <w:r>
              <w:rPr>
                <w:color w:val="231F20"/>
                <w:spacing w:val="-26"/>
                <w:sz w:val="18"/>
              </w:rPr>
              <w:t xml:space="preserve"> </w:t>
            </w:r>
            <w:r>
              <w:rPr>
                <w:color w:val="231F20"/>
                <w:sz w:val="18"/>
              </w:rPr>
              <w:t>plants</w:t>
            </w:r>
          </w:p>
          <w:p w:rsidR="006A7A3F" w:rsidRDefault="00BC7372">
            <w:pPr>
              <w:pStyle w:val="TableParagraph"/>
              <w:numPr>
                <w:ilvl w:val="0"/>
                <w:numId w:val="208"/>
              </w:numPr>
              <w:tabs>
                <w:tab w:val="left" w:pos="306"/>
              </w:tabs>
              <w:spacing w:before="98"/>
              <w:ind w:hanging="218"/>
              <w:rPr>
                <w:sz w:val="18"/>
              </w:rPr>
            </w:pPr>
            <w:r>
              <w:rPr>
                <w:color w:val="231F20"/>
                <w:sz w:val="18"/>
              </w:rPr>
              <w:t>Maintain native wetland</w:t>
            </w:r>
            <w:r>
              <w:rPr>
                <w:color w:val="231F20"/>
                <w:spacing w:val="-13"/>
                <w:sz w:val="18"/>
              </w:rPr>
              <w:t xml:space="preserve"> </w:t>
            </w:r>
            <w:r>
              <w:rPr>
                <w:color w:val="231F20"/>
                <w:sz w:val="18"/>
              </w:rPr>
              <w:t>vegetation</w:t>
            </w:r>
          </w:p>
          <w:p w:rsidR="006A7A3F" w:rsidRDefault="00BC7372">
            <w:pPr>
              <w:pStyle w:val="TableParagraph"/>
              <w:numPr>
                <w:ilvl w:val="0"/>
                <w:numId w:val="208"/>
              </w:numPr>
              <w:tabs>
                <w:tab w:val="left" w:pos="306"/>
              </w:tabs>
              <w:spacing w:before="98"/>
              <w:ind w:hanging="218"/>
              <w:rPr>
                <w:sz w:val="18"/>
              </w:rPr>
            </w:pPr>
            <w:r>
              <w:rPr>
                <w:color w:val="231F20"/>
                <w:sz w:val="18"/>
              </w:rPr>
              <w:t>Provide a refuge and feeding and breeding habitat for</w:t>
            </w:r>
            <w:r>
              <w:rPr>
                <w:color w:val="231F20"/>
                <w:spacing w:val="-15"/>
                <w:sz w:val="18"/>
              </w:rPr>
              <w:t xml:space="preserve"> </w:t>
            </w:r>
            <w:r>
              <w:rPr>
                <w:color w:val="231F20"/>
                <w:sz w:val="18"/>
              </w:rPr>
              <w:t>waterbirds</w:t>
            </w:r>
          </w:p>
        </w:tc>
        <w:tc>
          <w:tcPr>
            <w:tcW w:w="850" w:type="dxa"/>
            <w:tcBorders>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19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left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58" cy="310896"/>
                  <wp:effectExtent l="0" t="0" r="0" b="0"/>
                  <wp:docPr id="2199"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image27.jpeg"/>
                          <pic:cNvPicPr/>
                        </pic:nvPicPr>
                        <pic:blipFill>
                          <a:blip r:embed="rId39" cstate="print"/>
                          <a:stretch>
                            <a:fillRect/>
                          </a:stretch>
                        </pic:blipFill>
                        <pic:spPr>
                          <a:xfrm>
                            <a:off x="0" y="0"/>
                            <a:ext cx="314158" cy="310896"/>
                          </a:xfrm>
                          <a:prstGeom prst="rect">
                            <a:avLst/>
                          </a:prstGeom>
                        </pic:spPr>
                      </pic:pic>
                    </a:graphicData>
                  </a:graphic>
                </wp:inline>
              </w:drawing>
            </w:r>
          </w:p>
        </w:tc>
      </w:tr>
    </w:tbl>
    <w:p w:rsidR="006A7A3F" w:rsidRDefault="006A7A3F">
      <w:pPr>
        <w:pStyle w:val="BodyText"/>
        <w:spacing w:before="1"/>
        <w:ind w:left="0"/>
        <w:rPr>
          <w:b/>
          <w:sz w:val="7"/>
        </w:rPr>
      </w:pPr>
    </w:p>
    <w:p w:rsidR="006A7A3F" w:rsidRDefault="00BC7372">
      <w:pPr>
        <w:spacing w:before="62"/>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5.4.4 outlines the potential environmental watering and expected water use under a range of planning scenarios.</w:t>
      </w:r>
    </w:p>
    <w:p w:rsidR="006A7A3F" w:rsidRDefault="00BC7372">
      <w:pPr>
        <w:pStyle w:val="BodyText"/>
        <w:spacing w:line="249" w:lineRule="auto"/>
        <w:ind w:right="479"/>
      </w:pPr>
      <w:r>
        <w:rPr>
          <w:color w:val="231F20"/>
        </w:rPr>
        <w:t xml:space="preserve">Doctors Swamp and Gaynor Swamp are identified as high-priority watering sites in 2020–21 under all scenarios, because their drying regimes are reaching their maximum duration. Gaynor Swamp will also provide feeding and breeding habitat for threatened waterbirds (such as brolga). Horseshoe Lagoon is a high </w:t>
      </w:r>
      <w:r>
        <w:rPr>
          <w:color w:val="231F20"/>
          <w:spacing w:val="-3"/>
        </w:rPr>
        <w:t xml:space="preserve">priority, </w:t>
      </w:r>
      <w:r>
        <w:rPr>
          <w:color w:val="231F20"/>
        </w:rPr>
        <w:t>because it requires follow-up watering to maintain vegetation</w:t>
      </w:r>
      <w:r>
        <w:rPr>
          <w:color w:val="231F20"/>
          <w:spacing w:val="-2"/>
        </w:rPr>
        <w:t xml:space="preserve"> </w:t>
      </w:r>
      <w:r>
        <w:rPr>
          <w:color w:val="231F20"/>
        </w:rPr>
        <w:t>condition.</w:t>
      </w:r>
    </w:p>
    <w:p w:rsidR="006A7A3F" w:rsidRDefault="00BC7372">
      <w:pPr>
        <w:pStyle w:val="BodyText"/>
        <w:spacing w:before="173" w:line="249" w:lineRule="auto"/>
        <w:ind w:right="352"/>
      </w:pPr>
      <w:r>
        <w:rPr>
          <w:color w:val="231F20"/>
        </w:rPr>
        <w:t>Reedy Swamp and Loch Garry have also been identified for watering under all scenarios and Kanyapella basin under dry and average scenarios. These watering actions aim to improve environmental values at these sites, but if delivery to these wetlands cannot occur in 2020–21, no detrimental impact is expected on their environmental values in the upcoming year. Reedy Swamp is in good condition and is currently in a drying phase. An autumn watering in 2021 will aim to ensure it does not exceed its maximum dry period, and it will provide variability in the watering regime for native vegetation.</w:t>
      </w:r>
    </w:p>
    <w:p w:rsidR="006A7A3F" w:rsidRDefault="00BC7372">
      <w:pPr>
        <w:pStyle w:val="BodyText"/>
        <w:spacing w:before="175" w:line="249" w:lineRule="auto"/>
        <w:ind w:right="297"/>
      </w:pPr>
      <w:r>
        <w:rPr>
          <w:color w:val="231F20"/>
        </w:rPr>
        <w:t>Loch Garry and Kanyapella Basin act as flood retardation basins, and watering in autumn 2020 occurred at Loch Garry as an initial trial, to observe the ecological response and help determine future management actions. Loch Garry is now planned to remain dry for the recommended duration, which will enable it to potentially be re-watered in autumn 2021 to observe the response of the ecological values of the site to a follow up watering.</w:t>
      </w:r>
    </w:p>
    <w:p w:rsidR="006A7A3F" w:rsidRDefault="00BC7372">
      <w:pPr>
        <w:pStyle w:val="BodyText"/>
        <w:spacing w:before="173"/>
      </w:pPr>
      <w:r>
        <w:rPr>
          <w:color w:val="231F20"/>
        </w:rPr>
        <w:t>It is a priority to carry over water, to allow 2021–22 top-ups to tier 1 wetlands planned to be watered in 2020–21.</w:t>
      </w:r>
    </w:p>
    <w:p w:rsidR="00E72D8C" w:rsidRDefault="00E72D8C">
      <w:pPr>
        <w:rPr>
          <w:b/>
          <w:color w:val="231F20"/>
          <w:sz w:val="18"/>
        </w:rPr>
      </w:pPr>
      <w:r>
        <w:rPr>
          <w:b/>
          <w:color w:val="231F20"/>
          <w:sz w:val="18"/>
        </w:rPr>
        <w:br w:type="page"/>
      </w:r>
    </w:p>
    <w:p w:rsidR="006A7A3F" w:rsidRDefault="00BC7372">
      <w:pPr>
        <w:spacing w:before="175"/>
        <w:ind w:left="210"/>
        <w:rPr>
          <w:b/>
          <w:sz w:val="18"/>
        </w:rPr>
      </w:pPr>
      <w:r>
        <w:rPr>
          <w:b/>
          <w:color w:val="231F20"/>
          <w:sz w:val="18"/>
        </w:rPr>
        <w:t>Table 5.4.4 Potential environmental watering for the Goulburn wetlands under a range of planning scenarios</w:t>
      </w:r>
    </w:p>
    <w:p w:rsidR="006A7A3F" w:rsidRDefault="006A7A3F">
      <w:pPr>
        <w:pStyle w:val="BodyText"/>
        <w:spacing w:before="7"/>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trPr>
          <w:trHeight w:val="367"/>
        </w:trPr>
        <w:tc>
          <w:tcPr>
            <w:tcW w:w="204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Average</w:t>
            </w:r>
          </w:p>
        </w:tc>
        <w:tc>
          <w:tcPr>
            <w:tcW w:w="2041" w:type="dxa"/>
            <w:tcBorders>
              <w:top w:val="nil"/>
              <w:bottom w:val="nil"/>
              <w:right w:val="nil"/>
            </w:tcBorders>
            <w:shd w:val="clear" w:color="auto" w:fill="231F20"/>
          </w:tcPr>
          <w:p w:rsidR="006A7A3F" w:rsidRDefault="00BC7372">
            <w:pPr>
              <w:pStyle w:val="TableParagraph"/>
              <w:spacing w:before="80"/>
              <w:ind w:left="84"/>
              <w:rPr>
                <w:b/>
                <w:sz w:val="18"/>
              </w:rPr>
            </w:pPr>
            <w:r>
              <w:rPr>
                <w:b/>
                <w:color w:val="FFFFFF"/>
                <w:sz w:val="18"/>
              </w:rPr>
              <w:t>Wet</w:t>
            </w:r>
          </w:p>
        </w:tc>
      </w:tr>
      <w:tr w:rsidR="006A7A3F">
        <w:trPr>
          <w:trHeight w:val="2107"/>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07"/>
              </w:numPr>
              <w:tabs>
                <w:tab w:val="left" w:pos="305"/>
              </w:tabs>
              <w:spacing w:before="70" w:line="254" w:lineRule="auto"/>
              <w:ind w:right="113"/>
              <w:rPr>
                <w:sz w:val="18"/>
              </w:rPr>
            </w:pPr>
            <w:r>
              <w:rPr>
                <w:color w:val="231F20"/>
                <w:sz w:val="18"/>
              </w:rPr>
              <w:t>Catchment runoff and natural flow into the wetlands are highly</w:t>
            </w:r>
            <w:r>
              <w:rPr>
                <w:color w:val="231F20"/>
                <w:spacing w:val="-3"/>
                <w:sz w:val="18"/>
              </w:rPr>
              <w:t xml:space="preserve"> </w:t>
            </w:r>
            <w:r>
              <w:rPr>
                <w:color w:val="231F20"/>
                <w:sz w:val="18"/>
              </w:rPr>
              <w:t>unlikely</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06"/>
              </w:numPr>
              <w:tabs>
                <w:tab w:val="left" w:pos="305"/>
              </w:tabs>
              <w:spacing w:before="70" w:line="254" w:lineRule="auto"/>
              <w:ind w:right="113"/>
              <w:rPr>
                <w:sz w:val="18"/>
              </w:rPr>
            </w:pPr>
            <w:r>
              <w:rPr>
                <w:color w:val="231F20"/>
                <w:sz w:val="18"/>
              </w:rPr>
              <w:t>Catchment runoff and natural flow into the wetlands are unlikely</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05"/>
              </w:numPr>
              <w:tabs>
                <w:tab w:val="left" w:pos="305"/>
              </w:tabs>
              <w:spacing w:before="70" w:line="254" w:lineRule="auto"/>
              <w:ind w:right="73"/>
              <w:rPr>
                <w:sz w:val="18"/>
              </w:rPr>
            </w:pPr>
            <w:r>
              <w:rPr>
                <w:color w:val="231F20"/>
                <w:sz w:val="18"/>
              </w:rPr>
              <w:t xml:space="preserve">Some catchment runoff and natural flow into some of </w:t>
            </w:r>
            <w:r>
              <w:rPr>
                <w:color w:val="231F20"/>
                <w:spacing w:val="-4"/>
                <w:sz w:val="18"/>
              </w:rPr>
              <w:t xml:space="preserve">the </w:t>
            </w:r>
            <w:r>
              <w:rPr>
                <w:color w:val="231F20"/>
                <w:sz w:val="18"/>
              </w:rPr>
              <w:t xml:space="preserve">wetlands are </w:t>
            </w:r>
            <w:r>
              <w:rPr>
                <w:color w:val="231F20"/>
                <w:spacing w:val="-3"/>
                <w:sz w:val="18"/>
              </w:rPr>
              <w:t xml:space="preserve">likely, </w:t>
            </w:r>
            <w:r>
              <w:rPr>
                <w:color w:val="231F20"/>
                <w:sz w:val="18"/>
              </w:rPr>
              <w:t>particularly in winter/ spring</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204"/>
              </w:numPr>
              <w:tabs>
                <w:tab w:val="left" w:pos="305"/>
              </w:tabs>
              <w:spacing w:before="70" w:line="254" w:lineRule="auto"/>
              <w:ind w:right="304"/>
              <w:rPr>
                <w:sz w:val="18"/>
              </w:rPr>
            </w:pPr>
            <w:r>
              <w:rPr>
                <w:color w:val="231F20"/>
                <w:sz w:val="18"/>
              </w:rPr>
              <w:t>Catchment runoff and natural flow into the wetlands may significantly contribute to water levels in the wetlands, particularly during winter/spring</w:t>
            </w:r>
          </w:p>
        </w:tc>
      </w:tr>
      <w:tr w:rsidR="006A7A3F">
        <w:trPr>
          <w:trHeight w:val="95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53"/>
              <w:rPr>
                <w:sz w:val="9"/>
              </w:rPr>
            </w:pPr>
            <w:r>
              <w:rPr>
                <w:color w:val="231F20"/>
                <w:sz w:val="16"/>
              </w:rPr>
              <w:t>Potential environmental watering – tier 1 (high priorities)</w:t>
            </w:r>
            <w:r>
              <w:rPr>
                <w:color w:val="231F20"/>
                <w:position w:val="5"/>
                <w:sz w:val="9"/>
              </w:rPr>
              <w:t>1,2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03"/>
              </w:numPr>
              <w:tabs>
                <w:tab w:val="left" w:pos="305"/>
              </w:tabs>
              <w:spacing w:before="70"/>
              <w:rPr>
                <w:sz w:val="18"/>
              </w:rPr>
            </w:pPr>
            <w:r>
              <w:rPr>
                <w:color w:val="231F20"/>
                <w:sz w:val="18"/>
              </w:rPr>
              <w:t>Horseshoe</w:t>
            </w:r>
            <w:r>
              <w:rPr>
                <w:color w:val="231F20"/>
                <w:spacing w:val="-4"/>
                <w:sz w:val="18"/>
              </w:rPr>
              <w:t xml:space="preserve"> </w:t>
            </w:r>
            <w:r>
              <w:rPr>
                <w:color w:val="231F20"/>
                <w:sz w:val="18"/>
              </w:rPr>
              <w:t>Lagoon</w:t>
            </w:r>
          </w:p>
          <w:p w:rsidR="006A7A3F" w:rsidRDefault="00BC7372">
            <w:pPr>
              <w:pStyle w:val="TableParagraph"/>
              <w:numPr>
                <w:ilvl w:val="0"/>
                <w:numId w:val="203"/>
              </w:numPr>
              <w:tabs>
                <w:tab w:val="left" w:pos="305"/>
              </w:tabs>
              <w:spacing w:before="98"/>
              <w:rPr>
                <w:sz w:val="18"/>
              </w:rPr>
            </w:pPr>
            <w:r>
              <w:rPr>
                <w:color w:val="231F20"/>
                <w:sz w:val="18"/>
              </w:rPr>
              <w:t>Doctors</w:t>
            </w:r>
            <w:r>
              <w:rPr>
                <w:color w:val="231F20"/>
                <w:spacing w:val="-7"/>
                <w:sz w:val="18"/>
              </w:rPr>
              <w:t xml:space="preserve"> </w:t>
            </w:r>
            <w:r>
              <w:rPr>
                <w:color w:val="231F20"/>
                <w:sz w:val="18"/>
              </w:rPr>
              <w:t>Swamp</w:t>
            </w:r>
          </w:p>
          <w:p w:rsidR="006A7A3F" w:rsidRDefault="00BC7372">
            <w:pPr>
              <w:pStyle w:val="TableParagraph"/>
              <w:numPr>
                <w:ilvl w:val="0"/>
                <w:numId w:val="203"/>
              </w:numPr>
              <w:tabs>
                <w:tab w:val="left" w:pos="305"/>
              </w:tabs>
              <w:spacing w:before="98"/>
              <w:rPr>
                <w:sz w:val="18"/>
              </w:rPr>
            </w:pPr>
            <w:r>
              <w:rPr>
                <w:color w:val="231F20"/>
                <w:sz w:val="18"/>
              </w:rPr>
              <w:t>Gaynor Swamp</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02"/>
              </w:numPr>
              <w:tabs>
                <w:tab w:val="left" w:pos="305"/>
              </w:tabs>
              <w:spacing w:before="70"/>
              <w:rPr>
                <w:sz w:val="18"/>
              </w:rPr>
            </w:pPr>
            <w:r>
              <w:rPr>
                <w:color w:val="231F20"/>
                <w:sz w:val="18"/>
              </w:rPr>
              <w:t>Horseshoe</w:t>
            </w:r>
            <w:r>
              <w:rPr>
                <w:color w:val="231F20"/>
                <w:spacing w:val="-4"/>
                <w:sz w:val="18"/>
              </w:rPr>
              <w:t xml:space="preserve"> </w:t>
            </w:r>
            <w:r>
              <w:rPr>
                <w:color w:val="231F20"/>
                <w:sz w:val="18"/>
              </w:rPr>
              <w:t>Lagoon</w:t>
            </w:r>
          </w:p>
          <w:p w:rsidR="006A7A3F" w:rsidRDefault="00BC7372">
            <w:pPr>
              <w:pStyle w:val="TableParagraph"/>
              <w:numPr>
                <w:ilvl w:val="0"/>
                <w:numId w:val="202"/>
              </w:numPr>
              <w:tabs>
                <w:tab w:val="left" w:pos="305"/>
              </w:tabs>
              <w:spacing w:before="98"/>
              <w:rPr>
                <w:sz w:val="18"/>
              </w:rPr>
            </w:pPr>
            <w:r>
              <w:rPr>
                <w:color w:val="231F20"/>
                <w:sz w:val="18"/>
              </w:rPr>
              <w:t>Doctors</w:t>
            </w:r>
            <w:r>
              <w:rPr>
                <w:color w:val="231F20"/>
                <w:spacing w:val="-7"/>
                <w:sz w:val="18"/>
              </w:rPr>
              <w:t xml:space="preserve"> </w:t>
            </w:r>
            <w:r>
              <w:rPr>
                <w:color w:val="231F20"/>
                <w:sz w:val="18"/>
              </w:rPr>
              <w:t>Swamp</w:t>
            </w:r>
          </w:p>
          <w:p w:rsidR="006A7A3F" w:rsidRDefault="00BC7372">
            <w:pPr>
              <w:pStyle w:val="TableParagraph"/>
              <w:numPr>
                <w:ilvl w:val="0"/>
                <w:numId w:val="202"/>
              </w:numPr>
              <w:tabs>
                <w:tab w:val="left" w:pos="305"/>
              </w:tabs>
              <w:spacing w:before="98"/>
              <w:rPr>
                <w:sz w:val="18"/>
              </w:rPr>
            </w:pPr>
            <w:r>
              <w:rPr>
                <w:color w:val="231F20"/>
                <w:sz w:val="18"/>
              </w:rPr>
              <w:t>Gaynor Swamp</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01"/>
              </w:numPr>
              <w:tabs>
                <w:tab w:val="left" w:pos="305"/>
              </w:tabs>
              <w:spacing w:before="70"/>
              <w:rPr>
                <w:sz w:val="18"/>
              </w:rPr>
            </w:pPr>
            <w:r>
              <w:rPr>
                <w:color w:val="231F20"/>
                <w:sz w:val="18"/>
              </w:rPr>
              <w:t>Horseshoe</w:t>
            </w:r>
            <w:r>
              <w:rPr>
                <w:color w:val="231F20"/>
                <w:spacing w:val="-4"/>
                <w:sz w:val="18"/>
              </w:rPr>
              <w:t xml:space="preserve"> </w:t>
            </w:r>
            <w:r>
              <w:rPr>
                <w:color w:val="231F20"/>
                <w:sz w:val="18"/>
              </w:rPr>
              <w:t>Lagoon</w:t>
            </w:r>
          </w:p>
          <w:p w:rsidR="006A7A3F" w:rsidRDefault="00BC7372">
            <w:pPr>
              <w:pStyle w:val="TableParagraph"/>
              <w:numPr>
                <w:ilvl w:val="0"/>
                <w:numId w:val="201"/>
              </w:numPr>
              <w:tabs>
                <w:tab w:val="left" w:pos="305"/>
              </w:tabs>
              <w:spacing w:before="98"/>
              <w:rPr>
                <w:sz w:val="18"/>
              </w:rPr>
            </w:pPr>
            <w:r>
              <w:rPr>
                <w:color w:val="231F20"/>
                <w:sz w:val="18"/>
              </w:rPr>
              <w:t>Doctors</w:t>
            </w:r>
            <w:r>
              <w:rPr>
                <w:color w:val="231F20"/>
                <w:spacing w:val="-7"/>
                <w:sz w:val="18"/>
              </w:rPr>
              <w:t xml:space="preserve"> </w:t>
            </w:r>
            <w:r>
              <w:rPr>
                <w:color w:val="231F20"/>
                <w:sz w:val="18"/>
              </w:rPr>
              <w:t>Swamp</w:t>
            </w:r>
          </w:p>
          <w:p w:rsidR="006A7A3F" w:rsidRDefault="00BC7372">
            <w:pPr>
              <w:pStyle w:val="TableParagraph"/>
              <w:numPr>
                <w:ilvl w:val="0"/>
                <w:numId w:val="201"/>
              </w:numPr>
              <w:tabs>
                <w:tab w:val="left" w:pos="305"/>
              </w:tabs>
              <w:spacing w:before="98"/>
              <w:rPr>
                <w:sz w:val="18"/>
              </w:rPr>
            </w:pPr>
            <w:r>
              <w:rPr>
                <w:color w:val="231F20"/>
                <w:sz w:val="18"/>
              </w:rPr>
              <w:t>Gaynor Swamp</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200"/>
              </w:numPr>
              <w:tabs>
                <w:tab w:val="left" w:pos="305"/>
              </w:tabs>
              <w:spacing w:before="70"/>
              <w:rPr>
                <w:sz w:val="18"/>
              </w:rPr>
            </w:pPr>
            <w:r>
              <w:rPr>
                <w:color w:val="231F20"/>
                <w:sz w:val="18"/>
              </w:rPr>
              <w:t>Horseshoe</w:t>
            </w:r>
            <w:r>
              <w:rPr>
                <w:color w:val="231F20"/>
                <w:spacing w:val="-4"/>
                <w:sz w:val="18"/>
              </w:rPr>
              <w:t xml:space="preserve"> </w:t>
            </w:r>
            <w:r>
              <w:rPr>
                <w:color w:val="231F20"/>
                <w:sz w:val="18"/>
              </w:rPr>
              <w:t>Lagoon</w:t>
            </w:r>
          </w:p>
          <w:p w:rsidR="006A7A3F" w:rsidRDefault="00BC7372">
            <w:pPr>
              <w:pStyle w:val="TableParagraph"/>
              <w:numPr>
                <w:ilvl w:val="0"/>
                <w:numId w:val="200"/>
              </w:numPr>
              <w:tabs>
                <w:tab w:val="left" w:pos="305"/>
              </w:tabs>
              <w:spacing w:before="98"/>
              <w:rPr>
                <w:sz w:val="18"/>
              </w:rPr>
            </w:pPr>
            <w:r>
              <w:rPr>
                <w:color w:val="231F20"/>
                <w:sz w:val="18"/>
              </w:rPr>
              <w:t>Doctors</w:t>
            </w:r>
            <w:r>
              <w:rPr>
                <w:color w:val="231F20"/>
                <w:spacing w:val="-7"/>
                <w:sz w:val="18"/>
              </w:rPr>
              <w:t xml:space="preserve"> </w:t>
            </w:r>
            <w:r>
              <w:rPr>
                <w:color w:val="231F20"/>
                <w:sz w:val="18"/>
              </w:rPr>
              <w:t>Swamp</w:t>
            </w:r>
          </w:p>
          <w:p w:rsidR="006A7A3F" w:rsidRDefault="00BC7372">
            <w:pPr>
              <w:pStyle w:val="TableParagraph"/>
              <w:numPr>
                <w:ilvl w:val="0"/>
                <w:numId w:val="200"/>
              </w:numPr>
              <w:tabs>
                <w:tab w:val="left" w:pos="305"/>
              </w:tabs>
              <w:spacing w:before="98"/>
              <w:rPr>
                <w:sz w:val="18"/>
              </w:rPr>
            </w:pPr>
            <w:r>
              <w:rPr>
                <w:color w:val="231F20"/>
                <w:sz w:val="18"/>
              </w:rPr>
              <w:t>Gaynor Swamp</w:t>
            </w:r>
          </w:p>
        </w:tc>
      </w:tr>
      <w:tr w:rsidR="006A7A3F">
        <w:trPr>
          <w:trHeight w:val="95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53"/>
              <w:rPr>
                <w:sz w:val="9"/>
              </w:rPr>
            </w:pPr>
            <w:r>
              <w:rPr>
                <w:color w:val="231F20"/>
                <w:sz w:val="16"/>
              </w:rPr>
              <w:t>Potential environmental watering – tier 2 (additional priorities)</w:t>
            </w:r>
            <w:r>
              <w:rPr>
                <w:color w:val="231F20"/>
                <w:position w:val="5"/>
                <w:sz w:val="9"/>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9"/>
              </w:numPr>
              <w:tabs>
                <w:tab w:val="left" w:pos="305"/>
              </w:tabs>
              <w:spacing w:before="70"/>
              <w:rPr>
                <w:sz w:val="18"/>
              </w:rPr>
            </w:pPr>
            <w:r>
              <w:rPr>
                <w:color w:val="231F20"/>
                <w:sz w:val="18"/>
              </w:rPr>
              <w:t>Reedy</w:t>
            </w:r>
            <w:r>
              <w:rPr>
                <w:color w:val="231F20"/>
                <w:spacing w:val="-2"/>
                <w:sz w:val="18"/>
              </w:rPr>
              <w:t xml:space="preserve"> </w:t>
            </w:r>
            <w:r>
              <w:rPr>
                <w:color w:val="231F20"/>
                <w:sz w:val="18"/>
              </w:rPr>
              <w:t>Swamp</w:t>
            </w:r>
          </w:p>
          <w:p w:rsidR="006A7A3F" w:rsidRDefault="00BC7372">
            <w:pPr>
              <w:pStyle w:val="TableParagraph"/>
              <w:numPr>
                <w:ilvl w:val="0"/>
                <w:numId w:val="199"/>
              </w:numPr>
              <w:tabs>
                <w:tab w:val="left" w:pos="305"/>
              </w:tabs>
              <w:spacing w:before="98"/>
              <w:rPr>
                <w:sz w:val="18"/>
              </w:rPr>
            </w:pPr>
            <w:r>
              <w:rPr>
                <w:color w:val="231F20"/>
                <w:sz w:val="18"/>
              </w:rPr>
              <w:t>Loch</w:t>
            </w:r>
            <w:r>
              <w:rPr>
                <w:color w:val="231F20"/>
                <w:spacing w:val="-2"/>
                <w:sz w:val="18"/>
              </w:rPr>
              <w:t xml:space="preserve"> </w:t>
            </w:r>
            <w:r>
              <w:rPr>
                <w:color w:val="231F20"/>
                <w:sz w:val="18"/>
              </w:rPr>
              <w:t>Garry</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8"/>
              </w:numPr>
              <w:tabs>
                <w:tab w:val="left" w:pos="305"/>
              </w:tabs>
              <w:spacing w:before="70"/>
              <w:rPr>
                <w:sz w:val="18"/>
              </w:rPr>
            </w:pPr>
            <w:r>
              <w:rPr>
                <w:color w:val="231F20"/>
                <w:sz w:val="18"/>
              </w:rPr>
              <w:t>Reedy</w:t>
            </w:r>
            <w:r>
              <w:rPr>
                <w:color w:val="231F20"/>
                <w:spacing w:val="-2"/>
                <w:sz w:val="18"/>
              </w:rPr>
              <w:t xml:space="preserve"> </w:t>
            </w:r>
            <w:r>
              <w:rPr>
                <w:color w:val="231F20"/>
                <w:sz w:val="18"/>
              </w:rPr>
              <w:t>Swamp</w:t>
            </w:r>
          </w:p>
          <w:p w:rsidR="006A7A3F" w:rsidRDefault="00BC7372">
            <w:pPr>
              <w:pStyle w:val="TableParagraph"/>
              <w:numPr>
                <w:ilvl w:val="0"/>
                <w:numId w:val="198"/>
              </w:numPr>
              <w:tabs>
                <w:tab w:val="left" w:pos="305"/>
              </w:tabs>
              <w:spacing w:before="98"/>
              <w:rPr>
                <w:sz w:val="18"/>
              </w:rPr>
            </w:pPr>
            <w:r>
              <w:rPr>
                <w:color w:val="231F20"/>
                <w:sz w:val="18"/>
              </w:rPr>
              <w:t>Loch</w:t>
            </w:r>
            <w:r>
              <w:rPr>
                <w:color w:val="231F20"/>
                <w:spacing w:val="-2"/>
                <w:sz w:val="18"/>
              </w:rPr>
              <w:t xml:space="preserve"> </w:t>
            </w:r>
            <w:r>
              <w:rPr>
                <w:color w:val="231F20"/>
                <w:sz w:val="18"/>
              </w:rPr>
              <w:t>Garry</w:t>
            </w:r>
          </w:p>
          <w:p w:rsidR="006A7A3F" w:rsidRDefault="00BC7372">
            <w:pPr>
              <w:pStyle w:val="TableParagraph"/>
              <w:numPr>
                <w:ilvl w:val="0"/>
                <w:numId w:val="198"/>
              </w:numPr>
              <w:tabs>
                <w:tab w:val="left" w:pos="305"/>
              </w:tabs>
              <w:spacing w:before="98"/>
              <w:rPr>
                <w:sz w:val="18"/>
              </w:rPr>
            </w:pPr>
            <w:r>
              <w:rPr>
                <w:color w:val="231F20"/>
                <w:sz w:val="18"/>
              </w:rPr>
              <w:t>Kanyapella Basin</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7"/>
              </w:numPr>
              <w:tabs>
                <w:tab w:val="left" w:pos="305"/>
              </w:tabs>
              <w:spacing w:before="70"/>
              <w:rPr>
                <w:sz w:val="18"/>
              </w:rPr>
            </w:pPr>
            <w:r>
              <w:rPr>
                <w:color w:val="231F20"/>
                <w:sz w:val="18"/>
              </w:rPr>
              <w:t>Reedy</w:t>
            </w:r>
            <w:r>
              <w:rPr>
                <w:color w:val="231F20"/>
                <w:spacing w:val="-2"/>
                <w:sz w:val="18"/>
              </w:rPr>
              <w:t xml:space="preserve"> </w:t>
            </w:r>
            <w:r>
              <w:rPr>
                <w:color w:val="231F20"/>
                <w:sz w:val="18"/>
              </w:rPr>
              <w:t>Swamp</w:t>
            </w:r>
          </w:p>
          <w:p w:rsidR="006A7A3F" w:rsidRDefault="00BC7372">
            <w:pPr>
              <w:pStyle w:val="TableParagraph"/>
              <w:numPr>
                <w:ilvl w:val="0"/>
                <w:numId w:val="197"/>
              </w:numPr>
              <w:tabs>
                <w:tab w:val="left" w:pos="305"/>
              </w:tabs>
              <w:spacing w:before="98"/>
              <w:rPr>
                <w:sz w:val="18"/>
              </w:rPr>
            </w:pPr>
            <w:r>
              <w:rPr>
                <w:color w:val="231F20"/>
                <w:sz w:val="18"/>
              </w:rPr>
              <w:t>Loch</w:t>
            </w:r>
            <w:r>
              <w:rPr>
                <w:color w:val="231F20"/>
                <w:spacing w:val="-2"/>
                <w:sz w:val="18"/>
              </w:rPr>
              <w:t xml:space="preserve"> </w:t>
            </w:r>
            <w:r>
              <w:rPr>
                <w:color w:val="231F20"/>
                <w:sz w:val="18"/>
              </w:rPr>
              <w:t>Garry</w:t>
            </w:r>
          </w:p>
          <w:p w:rsidR="006A7A3F" w:rsidRDefault="00BC7372">
            <w:pPr>
              <w:pStyle w:val="TableParagraph"/>
              <w:numPr>
                <w:ilvl w:val="0"/>
                <w:numId w:val="197"/>
              </w:numPr>
              <w:tabs>
                <w:tab w:val="left" w:pos="305"/>
              </w:tabs>
              <w:spacing w:before="98"/>
              <w:rPr>
                <w:sz w:val="18"/>
              </w:rPr>
            </w:pPr>
            <w:r>
              <w:rPr>
                <w:color w:val="231F20"/>
                <w:sz w:val="18"/>
              </w:rPr>
              <w:t>Kanyapella Basin</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6"/>
              </w:numPr>
              <w:tabs>
                <w:tab w:val="left" w:pos="305"/>
              </w:tabs>
              <w:spacing w:before="70"/>
              <w:rPr>
                <w:sz w:val="18"/>
              </w:rPr>
            </w:pPr>
            <w:r>
              <w:rPr>
                <w:color w:val="231F20"/>
                <w:sz w:val="18"/>
              </w:rPr>
              <w:t>Reedy</w:t>
            </w:r>
            <w:r>
              <w:rPr>
                <w:color w:val="231F20"/>
                <w:spacing w:val="-2"/>
                <w:sz w:val="18"/>
              </w:rPr>
              <w:t xml:space="preserve"> </w:t>
            </w:r>
            <w:r>
              <w:rPr>
                <w:color w:val="231F20"/>
                <w:sz w:val="18"/>
              </w:rPr>
              <w:t>Swamp</w:t>
            </w:r>
          </w:p>
          <w:p w:rsidR="006A7A3F" w:rsidRDefault="00BC7372">
            <w:pPr>
              <w:pStyle w:val="TableParagraph"/>
              <w:numPr>
                <w:ilvl w:val="0"/>
                <w:numId w:val="196"/>
              </w:numPr>
              <w:tabs>
                <w:tab w:val="left" w:pos="305"/>
              </w:tabs>
              <w:spacing w:before="98"/>
              <w:rPr>
                <w:sz w:val="18"/>
              </w:rPr>
            </w:pPr>
            <w:r>
              <w:rPr>
                <w:color w:val="231F20"/>
                <w:sz w:val="18"/>
              </w:rPr>
              <w:t>Loch</w:t>
            </w:r>
            <w:r>
              <w:rPr>
                <w:color w:val="231F20"/>
                <w:spacing w:val="-2"/>
                <w:sz w:val="18"/>
              </w:rPr>
              <w:t xml:space="preserve"> </w:t>
            </w:r>
            <w:r>
              <w:rPr>
                <w:color w:val="231F20"/>
                <w:sz w:val="18"/>
              </w:rPr>
              <w:t>Garry</w:t>
            </w:r>
          </w:p>
        </w:tc>
      </w:tr>
      <w:tr w:rsidR="006A7A3F">
        <w:trPr>
          <w:trHeight w:val="9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85"/>
              <w:rPr>
                <w:sz w:val="9"/>
              </w:rPr>
            </w:pPr>
            <w:r>
              <w:rPr>
                <w:color w:val="231F20"/>
                <w:sz w:val="16"/>
              </w:rPr>
              <w:t>Possible volume of environmental water required to achieve objectives</w:t>
            </w:r>
            <w:r>
              <w:rPr>
                <w:color w:val="231F20"/>
                <w:position w:val="5"/>
                <w:sz w:val="9"/>
              </w:rPr>
              <w:t>3</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5"/>
              </w:numPr>
              <w:tabs>
                <w:tab w:val="left" w:pos="305"/>
              </w:tabs>
              <w:spacing w:before="70"/>
              <w:rPr>
                <w:sz w:val="18"/>
              </w:rPr>
            </w:pPr>
            <w:r>
              <w:rPr>
                <w:color w:val="231F20"/>
                <w:sz w:val="18"/>
              </w:rPr>
              <w:t>1,700 ML (tier</w:t>
            </w:r>
            <w:r>
              <w:rPr>
                <w:color w:val="231F20"/>
                <w:spacing w:val="-14"/>
                <w:sz w:val="18"/>
              </w:rPr>
              <w:t xml:space="preserve"> </w:t>
            </w:r>
            <w:r>
              <w:rPr>
                <w:color w:val="231F20"/>
                <w:sz w:val="18"/>
              </w:rPr>
              <w:t>1)</w:t>
            </w:r>
          </w:p>
          <w:p w:rsidR="006A7A3F" w:rsidRDefault="00BC7372">
            <w:pPr>
              <w:pStyle w:val="TableParagraph"/>
              <w:numPr>
                <w:ilvl w:val="0"/>
                <w:numId w:val="195"/>
              </w:numPr>
              <w:tabs>
                <w:tab w:val="left" w:pos="305"/>
              </w:tabs>
              <w:spacing w:before="98"/>
              <w:rPr>
                <w:sz w:val="18"/>
              </w:rPr>
            </w:pPr>
            <w:r>
              <w:rPr>
                <w:color w:val="231F20"/>
                <w:sz w:val="18"/>
              </w:rPr>
              <w:t>1,600 ML (tier</w:t>
            </w:r>
            <w:r>
              <w:rPr>
                <w:color w:val="231F20"/>
                <w:spacing w:val="-14"/>
                <w:sz w:val="18"/>
              </w:rPr>
              <w:t xml:space="preserve"> </w:t>
            </w:r>
            <w:r>
              <w:rPr>
                <w:color w:val="231F20"/>
                <w:sz w:val="18"/>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4"/>
              </w:numPr>
              <w:tabs>
                <w:tab w:val="left" w:pos="305"/>
              </w:tabs>
              <w:spacing w:before="70"/>
              <w:rPr>
                <w:sz w:val="18"/>
              </w:rPr>
            </w:pPr>
            <w:r>
              <w:rPr>
                <w:color w:val="231F20"/>
                <w:sz w:val="18"/>
              </w:rPr>
              <w:t>1,700 ML (tier</w:t>
            </w:r>
            <w:r>
              <w:rPr>
                <w:color w:val="231F20"/>
                <w:spacing w:val="-14"/>
                <w:sz w:val="18"/>
              </w:rPr>
              <w:t xml:space="preserve"> </w:t>
            </w:r>
            <w:r>
              <w:rPr>
                <w:color w:val="231F20"/>
                <w:sz w:val="18"/>
              </w:rPr>
              <w:t>1)</w:t>
            </w:r>
          </w:p>
          <w:p w:rsidR="006A7A3F" w:rsidRDefault="00BC7372">
            <w:pPr>
              <w:pStyle w:val="TableParagraph"/>
              <w:numPr>
                <w:ilvl w:val="0"/>
                <w:numId w:val="194"/>
              </w:numPr>
              <w:tabs>
                <w:tab w:val="left" w:pos="305"/>
              </w:tabs>
              <w:spacing w:before="98"/>
              <w:rPr>
                <w:sz w:val="18"/>
              </w:rPr>
            </w:pPr>
            <w:r>
              <w:rPr>
                <w:color w:val="231F20"/>
                <w:sz w:val="18"/>
              </w:rPr>
              <w:t>2,100 ML (tier</w:t>
            </w:r>
            <w:r>
              <w:rPr>
                <w:color w:val="231F20"/>
                <w:spacing w:val="-14"/>
                <w:sz w:val="18"/>
              </w:rPr>
              <w:t xml:space="preserve"> </w:t>
            </w:r>
            <w:r>
              <w:rPr>
                <w:color w:val="231F20"/>
                <w:sz w:val="18"/>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3"/>
              </w:numPr>
              <w:tabs>
                <w:tab w:val="left" w:pos="305"/>
              </w:tabs>
              <w:spacing w:before="70"/>
              <w:rPr>
                <w:sz w:val="18"/>
              </w:rPr>
            </w:pPr>
            <w:r>
              <w:rPr>
                <w:color w:val="231F20"/>
                <w:sz w:val="18"/>
              </w:rPr>
              <w:t>1,500 ML (tier</w:t>
            </w:r>
            <w:r>
              <w:rPr>
                <w:color w:val="231F20"/>
                <w:spacing w:val="-14"/>
                <w:sz w:val="18"/>
              </w:rPr>
              <w:t xml:space="preserve"> </w:t>
            </w:r>
            <w:r>
              <w:rPr>
                <w:color w:val="231F20"/>
                <w:sz w:val="18"/>
              </w:rPr>
              <w:t>1)</w:t>
            </w:r>
          </w:p>
          <w:p w:rsidR="006A7A3F" w:rsidRDefault="00BC7372">
            <w:pPr>
              <w:pStyle w:val="TableParagraph"/>
              <w:numPr>
                <w:ilvl w:val="0"/>
                <w:numId w:val="193"/>
              </w:numPr>
              <w:tabs>
                <w:tab w:val="left" w:pos="305"/>
              </w:tabs>
              <w:spacing w:before="98"/>
              <w:rPr>
                <w:sz w:val="18"/>
              </w:rPr>
            </w:pPr>
            <w:r>
              <w:rPr>
                <w:color w:val="231F20"/>
                <w:sz w:val="18"/>
              </w:rPr>
              <w:t>2,100 ML (tier</w:t>
            </w:r>
            <w:r>
              <w:rPr>
                <w:color w:val="231F20"/>
                <w:spacing w:val="-14"/>
                <w:sz w:val="18"/>
              </w:rPr>
              <w:t xml:space="preserve"> </w:t>
            </w:r>
            <w:r>
              <w:rPr>
                <w:color w:val="231F20"/>
                <w:sz w:val="18"/>
              </w:rPr>
              <w:t>2)</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2"/>
              </w:numPr>
              <w:tabs>
                <w:tab w:val="left" w:pos="305"/>
              </w:tabs>
              <w:spacing w:before="70"/>
              <w:rPr>
                <w:sz w:val="18"/>
              </w:rPr>
            </w:pPr>
            <w:r>
              <w:rPr>
                <w:color w:val="231F20"/>
                <w:sz w:val="18"/>
              </w:rPr>
              <w:t>700 ML (tier</w:t>
            </w:r>
            <w:r>
              <w:rPr>
                <w:color w:val="231F20"/>
                <w:spacing w:val="-9"/>
                <w:sz w:val="18"/>
              </w:rPr>
              <w:t xml:space="preserve"> </w:t>
            </w:r>
            <w:r>
              <w:rPr>
                <w:color w:val="231F20"/>
                <w:sz w:val="18"/>
              </w:rPr>
              <w:t>1)</w:t>
            </w:r>
          </w:p>
          <w:p w:rsidR="006A7A3F" w:rsidRDefault="00BC7372">
            <w:pPr>
              <w:pStyle w:val="TableParagraph"/>
              <w:numPr>
                <w:ilvl w:val="0"/>
                <w:numId w:val="192"/>
              </w:numPr>
              <w:tabs>
                <w:tab w:val="left" w:pos="305"/>
              </w:tabs>
              <w:spacing w:before="98"/>
              <w:rPr>
                <w:sz w:val="18"/>
              </w:rPr>
            </w:pPr>
            <w:r>
              <w:rPr>
                <w:color w:val="231F20"/>
                <w:sz w:val="18"/>
              </w:rPr>
              <w:t>1,600 ML (tier</w:t>
            </w:r>
            <w:r>
              <w:rPr>
                <w:color w:val="231F20"/>
                <w:spacing w:val="-10"/>
                <w:sz w:val="18"/>
              </w:rPr>
              <w:t xml:space="preserve"> </w:t>
            </w:r>
            <w:r>
              <w:rPr>
                <w:color w:val="231F20"/>
                <w:sz w:val="18"/>
              </w:rPr>
              <w:t>2)</w:t>
            </w:r>
          </w:p>
        </w:tc>
      </w:tr>
      <w:tr w:rsidR="006A7A3F">
        <w:trPr>
          <w:trHeight w:val="5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716"/>
              <w:rPr>
                <w:sz w:val="16"/>
              </w:rPr>
            </w:pPr>
            <w:r>
              <w:rPr>
                <w:color w:val="231F20"/>
                <w:sz w:val="16"/>
              </w:rPr>
              <w:t>Priority carryover requirements</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1"/>
              </w:numPr>
              <w:tabs>
                <w:tab w:val="left" w:pos="3655"/>
              </w:tabs>
              <w:spacing w:before="70"/>
              <w:rPr>
                <w:sz w:val="18"/>
              </w:rPr>
            </w:pPr>
            <w:r>
              <w:rPr>
                <w:color w:val="231F20"/>
                <w:sz w:val="18"/>
              </w:rPr>
              <w:t>Up to 350</w:t>
            </w:r>
            <w:r>
              <w:rPr>
                <w:color w:val="231F20"/>
                <w:spacing w:val="-3"/>
                <w:sz w:val="18"/>
              </w:rPr>
              <w:t xml:space="preserve"> </w:t>
            </w:r>
            <w:r>
              <w:rPr>
                <w:color w:val="231F20"/>
                <w:sz w:val="18"/>
              </w:rPr>
              <w:t>ML</w:t>
            </w:r>
          </w:p>
        </w:tc>
      </w:tr>
    </w:tbl>
    <w:p w:rsidR="006A7A3F" w:rsidRDefault="00BC7372">
      <w:pPr>
        <w:spacing w:before="23"/>
        <w:ind w:left="210"/>
        <w:rPr>
          <w:sz w:val="14"/>
        </w:rPr>
      </w:pPr>
      <w:r>
        <w:rPr>
          <w:color w:val="231F20"/>
          <w:sz w:val="14"/>
        </w:rPr>
        <w:t>1 Tier 1 potential environmental watering for the Goulburn wetlands is not classified as tier 1a or 1b, because the water available for use is shared across various</w:t>
      </w:r>
    </w:p>
    <w:p w:rsidR="006A7A3F" w:rsidRDefault="00BC7372">
      <w:pPr>
        <w:spacing w:before="83" w:line="350" w:lineRule="auto"/>
        <w:ind w:left="210" w:right="3423" w:firstLine="113"/>
        <w:rPr>
          <w:sz w:val="14"/>
        </w:rPr>
      </w:pPr>
      <w:r>
        <w:rPr>
          <w:color w:val="231F20"/>
          <w:sz w:val="14"/>
        </w:rPr>
        <w:t xml:space="preserve">systems and it is not possible to reliably determine the supply specifically available for the Goulburn wetlands.   2 Wetlands are listed in </w:t>
      </w:r>
      <w:r>
        <w:rPr>
          <w:color w:val="231F20"/>
          <w:spacing w:val="2"/>
          <w:sz w:val="14"/>
        </w:rPr>
        <w:t xml:space="preserve">priority </w:t>
      </w:r>
      <w:r>
        <w:rPr>
          <w:color w:val="231F20"/>
          <w:sz w:val="14"/>
        </w:rPr>
        <w:t>order for tier 1 and tier 2 under all</w:t>
      </w:r>
      <w:r>
        <w:rPr>
          <w:color w:val="231F20"/>
          <w:spacing w:val="-2"/>
          <w:sz w:val="14"/>
        </w:rPr>
        <w:t xml:space="preserve"> </w:t>
      </w:r>
      <w:r>
        <w:rPr>
          <w:color w:val="231F20"/>
          <w:spacing w:val="2"/>
          <w:sz w:val="14"/>
        </w:rPr>
        <w:t>scenarios</w:t>
      </w:r>
    </w:p>
    <w:p w:rsidR="006A7A3F" w:rsidRDefault="00BC7372">
      <w:pPr>
        <w:spacing w:line="160" w:lineRule="exact"/>
        <w:ind w:left="210"/>
        <w:rPr>
          <w:sz w:val="14"/>
        </w:rPr>
      </w:pPr>
      <w:r>
        <w:rPr>
          <w:color w:val="231F20"/>
          <w:sz w:val="14"/>
        </w:rPr>
        <w:t>3 Environmental water requirements for tier 2 actions are additional to tier 1 requirements.</w:t>
      </w:r>
    </w:p>
    <w:p w:rsidR="00E72D8C" w:rsidRDefault="00E72D8C">
      <w:pPr>
        <w:rPr>
          <w:sz w:val="13"/>
          <w:szCs w:val="20"/>
        </w:rPr>
      </w:pPr>
      <w:r>
        <w:rPr>
          <w:sz w:val="13"/>
        </w:rPr>
        <w:br w:type="page"/>
      </w:r>
    </w:p>
    <w:p w:rsidR="006A7A3F" w:rsidRDefault="00BC7372">
      <w:pPr>
        <w:pStyle w:val="Heading1"/>
        <w:numPr>
          <w:ilvl w:val="1"/>
          <w:numId w:val="577"/>
        </w:numPr>
        <w:tabs>
          <w:tab w:val="left" w:pos="911"/>
        </w:tabs>
      </w:pPr>
      <w:r>
        <w:rPr>
          <w:color w:val="231F20"/>
        </w:rPr>
        <w:t>Broken system</w:t>
      </w:r>
    </w:p>
    <w:p w:rsidR="006A7A3F" w:rsidRDefault="00BC7372">
      <w:pPr>
        <w:spacing w:before="256"/>
        <w:ind w:left="210"/>
        <w:rPr>
          <w:rFonts w:ascii="Helvetica Neue LT Std 75"/>
          <w:b/>
          <w:sz w:val="19"/>
        </w:rPr>
      </w:pPr>
      <w:r>
        <w:rPr>
          <w:rFonts w:ascii="Helvetica Neue LT Std 75"/>
          <w:b/>
          <w:color w:val="231F20"/>
          <w:sz w:val="19"/>
        </w:rPr>
        <w:t>Did you know...?</w:t>
      </w:r>
    </w:p>
    <w:p w:rsidR="006A7A3F" w:rsidRDefault="00BC7372">
      <w:pPr>
        <w:pStyle w:val="BodyText"/>
        <w:spacing w:before="68" w:line="249" w:lineRule="auto"/>
        <w:ind w:right="457"/>
      </w:pPr>
      <w:r>
        <w:rPr>
          <w:color w:val="231F20"/>
        </w:rPr>
        <w:t>Native fish populations continue to increase in the Broken River. Autumn 2019 fish surveys by the Victorian Environmental Flows Monitoring and Assessment Program showed that Murray cod, Murray-Darling rainbowfish and golden perch numbers are all up from last year! A variety of sizes of Murray cod were recorded, suggesting strong recruitment, survival and growth. That’s great news for anglers!</w:t>
      </w:r>
    </w:p>
    <w:p w:rsidR="006A7A3F" w:rsidRDefault="00BC7372" w:rsidP="00093C34">
      <w:pPr>
        <w:pStyle w:val="BodyText"/>
        <w:spacing w:before="120" w:after="120"/>
        <w:ind w:left="0"/>
        <w:rPr>
          <w:sz w:val="13"/>
        </w:rPr>
      </w:pPr>
      <w:r>
        <w:rPr>
          <w:noProof/>
        </w:rPr>
        <w:drawing>
          <wp:inline distT="0" distB="0" distL="0" distR="0">
            <wp:extent cx="2959608" cy="1420368"/>
            <wp:effectExtent l="0" t="0" r="0" b="2540"/>
            <wp:docPr id="2201" name="image46.jpeg" descr="The pie chart shows the proportions of water entitlements in the Broken system that were held by private users (87%), water authorities (11%) and environmental water holders (2%)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image4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59608" cy="1420368"/>
                    </a:xfrm>
                    <a:prstGeom prst="rect">
                      <a:avLst/>
                    </a:prstGeom>
                  </pic:spPr>
                </pic:pic>
              </a:graphicData>
            </a:graphic>
          </wp:inline>
        </w:drawing>
      </w:r>
    </w:p>
    <w:p w:rsidR="006A7A3F" w:rsidRDefault="006A7A3F">
      <w:pPr>
        <w:pStyle w:val="BodyText"/>
        <w:spacing w:before="8"/>
        <w:ind w:left="0"/>
        <w:rPr>
          <w:sz w:val="31"/>
        </w:rPr>
      </w:pPr>
    </w:p>
    <w:p w:rsidR="006A7A3F" w:rsidRDefault="00BC7372">
      <w:pPr>
        <w:pStyle w:val="Heading7"/>
        <w:spacing w:line="249" w:lineRule="auto"/>
        <w:ind w:right="1167"/>
      </w:pPr>
      <w:r>
        <w:rPr>
          <w:color w:val="231F20"/>
        </w:rPr>
        <w:t>Proportion of water entitlements in the Broken basin held by private users, water corporations or environmental water holders at 30 June 2019.</w:t>
      </w:r>
    </w:p>
    <w:p w:rsidR="006A7A3F" w:rsidRDefault="006A7A3F">
      <w:pPr>
        <w:pStyle w:val="BodyText"/>
        <w:spacing w:before="8"/>
        <w:ind w:left="0"/>
        <w:rPr>
          <w:b/>
          <w:sz w:val="17"/>
        </w:rPr>
      </w:pPr>
    </w:p>
    <w:p w:rsidR="006A7A3F" w:rsidRDefault="00BC7372">
      <w:pPr>
        <w:spacing w:line="276" w:lineRule="auto"/>
        <w:ind w:left="210" w:right="100"/>
      </w:pPr>
      <w:r>
        <w:rPr>
          <w:color w:val="231F20"/>
        </w:rPr>
        <w:t>The Broken system includes the Broken River, upper Broken Creek, lower Broken Creek and the Broken wetlands.</w:t>
      </w:r>
    </w:p>
    <w:p w:rsidR="006A7A3F" w:rsidRDefault="006A7A3F">
      <w:pPr>
        <w:pStyle w:val="BodyText"/>
        <w:spacing w:before="10"/>
        <w:ind w:left="0"/>
        <w:rPr>
          <w:sz w:val="27"/>
        </w:rPr>
      </w:pPr>
    </w:p>
    <w:p w:rsidR="006A7A3F" w:rsidRPr="005467AC" w:rsidRDefault="00BC7372">
      <w:pPr>
        <w:pStyle w:val="ListParagraph"/>
        <w:numPr>
          <w:ilvl w:val="2"/>
          <w:numId w:val="577"/>
        </w:numPr>
        <w:tabs>
          <w:tab w:val="left" w:pos="811"/>
        </w:tabs>
        <w:spacing w:before="0"/>
        <w:rPr>
          <w:b/>
          <w:bCs/>
          <w:color w:val="231F20"/>
          <w:sz w:val="24"/>
        </w:rPr>
      </w:pPr>
      <w:r w:rsidRPr="005467AC">
        <w:rPr>
          <w:b/>
          <w:bCs/>
          <w:color w:val="231F20"/>
          <w:sz w:val="24"/>
        </w:rPr>
        <w:t>Broken River and upper Broken</w:t>
      </w:r>
      <w:r w:rsidRPr="005467AC">
        <w:rPr>
          <w:b/>
          <w:bCs/>
          <w:color w:val="231F20"/>
          <w:spacing w:val="-1"/>
          <w:sz w:val="24"/>
        </w:rPr>
        <w:t xml:space="preserve"> </w:t>
      </w:r>
      <w:r w:rsidRPr="005467AC">
        <w:rPr>
          <w:b/>
          <w:bCs/>
          <w:color w:val="231F20"/>
          <w:sz w:val="24"/>
        </w:rPr>
        <w:t>Creek</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spacing w:before="99" w:line="276" w:lineRule="auto"/>
        <w:ind w:left="210" w:right="181"/>
      </w:pPr>
      <w:r>
        <w:rPr>
          <w:color w:val="231F20"/>
        </w:rPr>
        <w:t>The Broken River is a tributary of the Goulburn River, rising in the Wellington-Tolmie highlands and flowing north-west to Benalla and then west for a total distance of 190 km before it joins the Goulburn River near Shepparton. Lake Nillahcootie is the main storage on the Broken River. It is about 36 km upstream of Benalla and harvests water from the river to support stock and domestic supply and irrigated agriculture. The main tributaries of the Broken River are Hollands Creek, Ryans Creek and Lima East Creek.</w:t>
      </w:r>
    </w:p>
    <w:p w:rsidR="006A7A3F" w:rsidRDefault="006A7A3F">
      <w:pPr>
        <w:pStyle w:val="BodyText"/>
        <w:spacing w:before="5"/>
        <w:ind w:left="0"/>
        <w:rPr>
          <w:sz w:val="21"/>
        </w:rPr>
      </w:pPr>
    </w:p>
    <w:p w:rsidR="006A7A3F" w:rsidRDefault="00BC7372">
      <w:pPr>
        <w:pStyle w:val="BodyText"/>
        <w:spacing w:before="0" w:line="249" w:lineRule="auto"/>
        <w:ind w:right="224"/>
      </w:pPr>
      <w:r>
        <w:rPr>
          <w:color w:val="231F20"/>
        </w:rPr>
        <w:t xml:space="preserve">Lake Nillahcootie has a storage capacity that is about half the mean annual flow of its upstream catchment, so it fills in most years. The operation of Lake Nillahcootie has modified the river’s natural flow pattern: winter/spring flow is less than natural because a large proportion of inflow is harvested, while summer/autumn flow is higher than natural because water is released to meet downstream irrigation demands. These impacts are most pronounced in the reach between Lake Nillahcootie and Hollands Creek. Below Hollands Creek, the river retains a more natural flow pattern, due to flows from unregulated tributaries. The catchment has been extensively cleared for agriculture including dryland farming (such as livestock grazing and cereal cropping) and irrigated agriculture (such as </w:t>
      </w:r>
      <w:r>
        <w:rPr>
          <w:color w:val="231F20"/>
          <w:spacing w:val="-3"/>
        </w:rPr>
        <w:t xml:space="preserve">dairy, </w:t>
      </w:r>
      <w:r>
        <w:rPr>
          <w:color w:val="231F20"/>
        </w:rPr>
        <w:t>fruit and</w:t>
      </w:r>
      <w:r>
        <w:rPr>
          <w:color w:val="231F20"/>
          <w:spacing w:val="-2"/>
        </w:rPr>
        <w:t xml:space="preserve"> </w:t>
      </w:r>
      <w:r>
        <w:rPr>
          <w:color w:val="231F20"/>
        </w:rPr>
        <w:t>livestock).</w:t>
      </w:r>
    </w:p>
    <w:p w:rsidR="006A7A3F" w:rsidRDefault="00BC7372">
      <w:pPr>
        <w:pStyle w:val="BodyText"/>
        <w:spacing w:before="176" w:line="249" w:lineRule="auto"/>
        <w:ind w:right="374"/>
      </w:pPr>
      <w:r>
        <w:rPr>
          <w:color w:val="231F20"/>
        </w:rPr>
        <w:t>Water is released from Lake Nillahcootie to meet downstream demand and minimum flow requirements specified under the bulk entitlement for the Broken River system. Releases from storage may be less than 30 ML per day as tributary inflows immediately below the storage (such as from Back Creek) can supply much of minimum-flow requirements specified in the bulk entitlement.</w:t>
      </w:r>
    </w:p>
    <w:p w:rsidR="006A7A3F" w:rsidRDefault="00BC7372">
      <w:pPr>
        <w:pStyle w:val="BodyText"/>
        <w:spacing w:before="174" w:line="249" w:lineRule="auto"/>
        <w:ind w:right="297"/>
      </w:pPr>
      <w:r>
        <w:rPr>
          <w:color w:val="231F20"/>
        </w:rPr>
        <w:t>Upper Broken Creek is defined as the 89-km stretch of creek from the Broken River (at Caseys Weir) to the confluence with Boosey Creek near Katamatite. Upper Broken Creek flows across a flat, riverine plain and has naturally low runoff from its local catchment. It receives flood flows from the Broken River, although the frequency of these floods has been reduced by earthworks and road construction.</w:t>
      </w:r>
    </w:p>
    <w:p w:rsidR="005467AC" w:rsidRDefault="005467AC">
      <w:pPr>
        <w:rPr>
          <w:color w:val="231F20"/>
          <w:sz w:val="20"/>
          <w:szCs w:val="20"/>
        </w:rPr>
      </w:pPr>
      <w:r>
        <w:rPr>
          <w:color w:val="231F20"/>
        </w:rPr>
        <w:br w:type="page"/>
      </w:r>
    </w:p>
    <w:p w:rsidR="006A7A3F" w:rsidRDefault="00BC7372" w:rsidP="005467AC">
      <w:pPr>
        <w:pStyle w:val="BodyText"/>
        <w:spacing w:before="173" w:line="249" w:lineRule="auto"/>
        <w:ind w:right="176"/>
      </w:pPr>
      <w:r>
        <w:rPr>
          <w:color w:val="231F20"/>
        </w:rPr>
        <w:t>Upper Broken Creek has been regulated for more than a century. Before 2007, water was diverted into upper Broken Creek at Casey’s Weir to meet local demand, but recent water savings projects have reduced the demand on the creek. There is now low flow throughout the year between Caseys Weir and Waggarandall Weir. Flow below</w:t>
      </w:r>
      <w:r w:rsidR="005467AC">
        <w:rPr>
          <w:color w:val="231F20"/>
        </w:rPr>
        <w:t xml:space="preserve"> </w:t>
      </w:r>
      <w:r>
        <w:rPr>
          <w:color w:val="231F20"/>
        </w:rPr>
        <w:t>Waggarandall Weir is mainly influenced by rainfall and catchment runoff. These changes have reduced the amount of permanent aquatic habitat.</w:t>
      </w:r>
    </w:p>
    <w:p w:rsidR="006A7A3F" w:rsidRDefault="00BC7372">
      <w:pPr>
        <w:pStyle w:val="BodyText"/>
        <w:spacing w:line="249" w:lineRule="auto"/>
        <w:ind w:right="441"/>
      </w:pPr>
      <w:r>
        <w:rPr>
          <w:color w:val="231F20"/>
        </w:rPr>
        <w:t>Delivery of water for the environment to the Broken River is primarily constrained by the availability of water. Usually, the available volume of water for the environment is insufficient to provide all recommended flows. Deliveries of water for the environment to upper Broken Creek are also restricted by channel capacity and by the need to avoid flooding low-lying adjacent land.</w:t>
      </w:r>
    </w:p>
    <w:p w:rsidR="006A7A3F" w:rsidRDefault="00BC7372">
      <w:pPr>
        <w:spacing w:before="182"/>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213"/>
      </w:pPr>
      <w:r>
        <w:rPr>
          <w:color w:val="231F20"/>
        </w:rPr>
        <w:t>The Broken River retains one of the best examples of healthy in-stream vegetation in a lowland river in the region. A range of native submerged and emergent plant species including eelgrass, common reed and water ribbons populate the bed and margins of the river. These plants provide habitat for a range of animals including small- and large-bodied native fish species. Murray cod, Macquarie perch, golden perch, silver perch, river blackfish, mountain galaxias and Murray-Darling rainbowfish all occur in the Broken River. The river also supports a large platypus population.</w:t>
      </w:r>
    </w:p>
    <w:p w:rsidR="006A7A3F" w:rsidRDefault="00BC7372">
      <w:pPr>
        <w:pStyle w:val="BodyText"/>
        <w:spacing w:before="175" w:line="249" w:lineRule="auto"/>
        <w:ind w:right="423"/>
      </w:pPr>
      <w:r>
        <w:rPr>
          <w:color w:val="231F20"/>
        </w:rPr>
        <w:t>The upper Broken Creek area is dominated by unique box streamside vegetation and remnant plains grassy woodland. It supports numerous threatened species including brolga, Australasian bittern, buloke and rigid water milfoil. Much of the high-quality native vegetation in the region is set aside as a natural features reserve. Upper Broken Creek supports a variety of native fish species including carp gudgeon, Murray cod, golden perch and Murray-Darling rainbowfish, as well as platypus and common long-necked turtle.</w:t>
      </w:r>
    </w:p>
    <w:p w:rsidR="006A7A3F" w:rsidRDefault="00BC7372">
      <w:pPr>
        <w:pStyle w:val="BodyText"/>
        <w:spacing w:before="174"/>
      </w:pPr>
      <w:r>
        <w:rPr>
          <w:color w:val="231F20"/>
        </w:rPr>
        <w:t>Both the Broken River and upper Broken Creek are listed in the Directory of Important Wetlands in Australia.</w:t>
      </w:r>
    </w:p>
    <w:p w:rsidR="006A7A3F" w:rsidRDefault="00BC7372">
      <w:pPr>
        <w:spacing w:before="189"/>
        <w:ind w:left="210"/>
        <w:rPr>
          <w:rFonts w:ascii="Helvetica Neue LT Std 75"/>
          <w:b/>
          <w:sz w:val="19"/>
        </w:rPr>
      </w:pPr>
      <w:r>
        <w:rPr>
          <w:rFonts w:ascii="Helvetica Neue LT Std 75"/>
          <w:b/>
          <w:color w:val="231F20"/>
          <w:sz w:val="19"/>
        </w:rPr>
        <w:t>Environmental watering objectives in the Broken River and upper Broken Creek</w:t>
      </w:r>
    </w:p>
    <w:p w:rsidR="006A7A3F" w:rsidRDefault="006A7A3F">
      <w:pPr>
        <w:pStyle w:val="BodyText"/>
        <w:spacing w:before="12"/>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3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203"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39" w:type="dxa"/>
            <w:tcBorders>
              <w:bottom w:val="single" w:sz="8" w:space="0" w:color="FFFFFF"/>
            </w:tcBorders>
            <w:shd w:val="clear" w:color="auto" w:fill="E6E7E8"/>
          </w:tcPr>
          <w:p w:rsidR="006A7A3F" w:rsidRDefault="006A7A3F">
            <w:pPr>
              <w:pStyle w:val="TableParagraph"/>
              <w:spacing w:before="2"/>
              <w:ind w:left="0"/>
              <w:rPr>
                <w:rFonts w:ascii="Helvetica Neue LT Std 75"/>
                <w:b/>
                <w:sz w:val="23"/>
              </w:rPr>
            </w:pPr>
          </w:p>
          <w:p w:rsidR="006A7A3F" w:rsidRDefault="00BC7372">
            <w:pPr>
              <w:pStyle w:val="TableParagraph"/>
              <w:ind w:left="118"/>
              <w:rPr>
                <w:sz w:val="16"/>
              </w:rPr>
            </w:pPr>
            <w:r>
              <w:rPr>
                <w:color w:val="231F20"/>
                <w:sz w:val="16"/>
              </w:rPr>
              <w:t>Increase native fish populations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205"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3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18"/>
              <w:rPr>
                <w:sz w:val="16"/>
              </w:rPr>
            </w:pPr>
            <w:r>
              <w:rPr>
                <w:color w:val="231F20"/>
                <w:sz w:val="16"/>
              </w:rPr>
              <w:t>Maintain platypus populations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207"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image21.jpeg"/>
                          <pic:cNvPicPr/>
                        </pic:nvPicPr>
                        <pic:blipFill>
                          <a:blip r:embed="rId33" cstate="print"/>
                          <a:stretch>
                            <a:fillRect/>
                          </a:stretch>
                        </pic:blipFill>
                        <pic:spPr>
                          <a:xfrm>
                            <a:off x="0" y="0"/>
                            <a:ext cx="314175" cy="310896"/>
                          </a:xfrm>
                          <a:prstGeom prst="rect">
                            <a:avLst/>
                          </a:prstGeom>
                        </pic:spPr>
                      </pic:pic>
                    </a:graphicData>
                  </a:graphic>
                </wp:inline>
              </w:drawing>
            </w:r>
          </w:p>
        </w:tc>
        <w:tc>
          <w:tcPr>
            <w:tcW w:w="383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18"/>
              <w:rPr>
                <w:sz w:val="16"/>
              </w:rPr>
            </w:pPr>
            <w:r>
              <w:rPr>
                <w:color w:val="231F20"/>
                <w:sz w:val="16"/>
              </w:rPr>
              <w:t>Maintain in-stream vegetation</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20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3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89"/>
              <w:rPr>
                <w:sz w:val="16"/>
              </w:rPr>
            </w:pPr>
            <w:r>
              <w:rPr>
                <w:color w:val="231F20"/>
                <w:sz w:val="16"/>
              </w:rPr>
              <w:t>Support a wide range and high biomass of waterbugs, to break down dead organic matter and support the river’s food web</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21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39" w:type="dxa"/>
            <w:tcBorders>
              <w:top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18"/>
              <w:rPr>
                <w:sz w:val="16"/>
              </w:rPr>
            </w:pPr>
            <w:r>
              <w:rPr>
                <w:color w:val="231F20"/>
                <w:sz w:val="16"/>
              </w:rPr>
              <w:t>Maintain water quality</w:t>
            </w:r>
          </w:p>
        </w:tc>
      </w:tr>
    </w:tbl>
    <w:p w:rsidR="006A7A3F" w:rsidRDefault="00BC7372">
      <w:pPr>
        <w:spacing w:before="15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7" w:line="249" w:lineRule="auto"/>
        <w:ind w:right="100"/>
      </w:pPr>
      <w:r>
        <w:rPr>
          <w:color w:val="231F20"/>
        </w:rPr>
        <w:t>Goulburn Broken CMA consulted with the Taungurung Land and Waters Council and Yorta Yorta Nation Aboriginal Corporation during the planning of environmental water deliveries in the Goulburn River. The Traditional Owners confirmed that the environmental and ecological objectives of the environmental watering align with their Land and Water Management Plans, and the CMA is continuing to work with both groups to identify how environmental water management can support cultural values.</w:t>
      </w:r>
    </w:p>
    <w:p w:rsidR="005467AC" w:rsidRDefault="005467AC">
      <w:pPr>
        <w:rPr>
          <w:rFonts w:ascii="Helvetica Neue LT Std 75"/>
          <w:b/>
          <w:color w:val="231F20"/>
          <w:sz w:val="19"/>
        </w:rPr>
      </w:pPr>
      <w:r>
        <w:rPr>
          <w:rFonts w:ascii="Helvetica Neue LT Std 75"/>
          <w:b/>
          <w:color w:val="231F20"/>
          <w:sz w:val="19"/>
        </w:rPr>
        <w:br w:type="page"/>
      </w:r>
    </w:p>
    <w:p w:rsidR="006A7A3F" w:rsidRDefault="00BC7372">
      <w:pPr>
        <w:spacing w:before="184"/>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7" w:line="249" w:lineRule="auto"/>
        <w:ind w:right="457"/>
      </w:pPr>
      <w:r>
        <w:rPr>
          <w:color w:val="231F20"/>
        </w:rPr>
        <w:t>In planning the potential watering actions in Table 5.5.1, Goulburn Broken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w:t>
      </w:r>
      <w:r>
        <w:rPr>
          <w:color w:val="231F20"/>
          <w:spacing w:val="-3"/>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camping, birdwatching, picnicking and duck</w:t>
      </w:r>
      <w:r>
        <w:rPr>
          <w:color w:val="231F20"/>
          <w:spacing w:val="-18"/>
          <w:sz w:val="20"/>
        </w:rPr>
        <w:t xml:space="preserve"> </w:t>
      </w:r>
      <w:r>
        <w:rPr>
          <w:color w:val="231F20"/>
          <w:sz w:val="20"/>
        </w:rPr>
        <w:t>hunting)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w:t>
      </w:r>
      <w:r>
        <w:rPr>
          <w:color w:val="231F20"/>
          <w:spacing w:val="-1"/>
          <w:sz w:val="20"/>
        </w:rPr>
        <w:t xml:space="preserve"> </w:t>
      </w:r>
      <w:r>
        <w:rPr>
          <w:color w:val="231F20"/>
          <w:sz w:val="20"/>
        </w:rPr>
        <w:t>events</w:t>
      </w:r>
    </w:p>
    <w:p w:rsidR="006A7A3F" w:rsidRDefault="00BC7372" w:rsidP="009B6917">
      <w:pPr>
        <w:pStyle w:val="ListParagraph"/>
        <w:numPr>
          <w:ilvl w:val="0"/>
          <w:numId w:val="1419"/>
        </w:numPr>
        <w:tabs>
          <w:tab w:val="left" w:pos="493"/>
          <w:tab w:val="left" w:pos="494"/>
        </w:tabs>
        <w:spacing w:line="249" w:lineRule="auto"/>
        <w:ind w:right="317"/>
        <w:rPr>
          <w:sz w:val="20"/>
        </w:rPr>
      </w:pPr>
      <w:r>
        <w:rPr>
          <w:color w:val="231F20"/>
          <w:sz w:val="20"/>
        </w:rPr>
        <w:t>socio-economic benefits (such as supporting birds that control invasive species and providing green space and water in a dry landscape over</w:t>
      </w:r>
      <w:r>
        <w:rPr>
          <w:color w:val="231F20"/>
          <w:spacing w:val="-7"/>
          <w:sz w:val="20"/>
        </w:rPr>
        <w:t xml:space="preserve"> </w:t>
      </w:r>
      <w:r>
        <w:rPr>
          <w:color w:val="231F20"/>
          <w:sz w:val="20"/>
        </w:rPr>
        <w:t>summer).</w:t>
      </w:r>
    </w:p>
    <w:p w:rsidR="006A7A3F" w:rsidRDefault="00BC7372">
      <w:pPr>
        <w:spacing w:before="181"/>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pPr>
      <w:r>
        <w:rPr>
          <w:color w:val="231F20"/>
        </w:rPr>
        <w:t>Below-average rainfall and above-average temperatures in the Broken River and upper Broken Creek in</w:t>
      </w:r>
    </w:p>
    <w:p w:rsidR="006A7A3F" w:rsidRDefault="00BC7372">
      <w:pPr>
        <w:pStyle w:val="BodyText"/>
        <w:spacing w:before="70" w:line="249" w:lineRule="auto"/>
        <w:ind w:right="441"/>
      </w:pPr>
      <w:r>
        <w:rPr>
          <w:color w:val="231F20"/>
        </w:rPr>
        <w:t>2019–20 resulted in low inflows to the river and creek, low allocation of entitlements and low water availability for environmental flows.</w:t>
      </w:r>
    </w:p>
    <w:p w:rsidR="006A7A3F" w:rsidRDefault="00BC7372">
      <w:pPr>
        <w:pStyle w:val="BodyText"/>
        <w:spacing w:line="249" w:lineRule="auto"/>
        <w:ind w:right="235"/>
      </w:pPr>
      <w:r>
        <w:rPr>
          <w:color w:val="231F20"/>
        </w:rPr>
        <w:t xml:space="preserve">In the Broken </w:t>
      </w:r>
      <w:r>
        <w:rPr>
          <w:color w:val="231F20"/>
          <w:spacing w:val="-3"/>
        </w:rPr>
        <w:t xml:space="preserve">River, </w:t>
      </w:r>
      <w:r>
        <w:rPr>
          <w:color w:val="231F20"/>
        </w:rPr>
        <w:t>flow between Lake Nillahcootie and Casey’s Weir in reaches 1 and 2 was very different to that below Casey’s Weir in reach 3. The reaches between Lake Nillahcootie and Casey’s Weir have minimal tributary inflows and flow in these reaches is predominantly shaped by operational releases from Lake Nillahcootie for entitlement demands downstream. Reaches 1 and 2 had a stable, low-magnitude flow from July to November 2019 and then higher-magnitude flow and slightly more variability from December 2019 onwards. In comparison, the flow pattern in reach 3 is mainly shaped by unregulated tributary inflows. There were several natural freshes in this reach between July and October 2019, and stable, low-magnitude flow from November till April 2020. There were some natural freshes in the Broken River in autumn</w:t>
      </w:r>
      <w:r>
        <w:rPr>
          <w:color w:val="231F20"/>
          <w:spacing w:val="-7"/>
        </w:rPr>
        <w:t xml:space="preserve"> </w:t>
      </w:r>
      <w:r>
        <w:rPr>
          <w:color w:val="231F20"/>
        </w:rPr>
        <w:t>2020.</w:t>
      </w:r>
    </w:p>
    <w:p w:rsidR="006A7A3F" w:rsidRDefault="00BC7372">
      <w:pPr>
        <w:pStyle w:val="BodyText"/>
        <w:spacing w:before="177" w:line="249" w:lineRule="auto"/>
        <w:ind w:right="185"/>
      </w:pPr>
      <w:r>
        <w:rPr>
          <w:color w:val="231F20"/>
        </w:rPr>
        <w:t>Upper Broken Creek has no significant tributaries and its flow is primarily influenced by operational releases, catchment runoff and environmental flows. Upper Broken Creek had low flow from July to December 2019 and then slightly higher and more variable flow from January 2020 onwards. Water for the environment was predominantly used to meet targets for summer/autumn low flow, which had been generally met by operational flows in previous years. This meant flows from operational releases were lower in upper Broken Creek in 2019–20 than in previous years.</w:t>
      </w:r>
    </w:p>
    <w:p w:rsidR="005467AC" w:rsidRDefault="005467AC">
      <w:pPr>
        <w:rPr>
          <w:rFonts w:ascii="Helvetica Neue LT Std 75"/>
          <w:b/>
          <w:color w:val="231F20"/>
          <w:sz w:val="19"/>
        </w:rPr>
      </w:pPr>
      <w:r>
        <w:rPr>
          <w:rFonts w:ascii="Helvetica Neue LT Std 75"/>
          <w:b/>
          <w:color w:val="231F20"/>
          <w:sz w:val="19"/>
        </w:rPr>
        <w:br w:type="page"/>
      </w:r>
    </w:p>
    <w:p w:rsidR="006A7A3F" w:rsidRDefault="00BC7372">
      <w:pPr>
        <w:spacing w:before="184"/>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7" w:line="249" w:lineRule="auto"/>
        <w:ind w:right="251"/>
      </w:pPr>
      <w:r>
        <w:rPr>
          <w:color w:val="231F20"/>
        </w:rPr>
        <w:t>Table 5.5.1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9"/>
        <w:ind w:left="210"/>
        <w:rPr>
          <w:b/>
          <w:sz w:val="18"/>
        </w:rPr>
      </w:pPr>
      <w:r>
        <w:rPr>
          <w:b/>
          <w:color w:val="231F20"/>
          <w:sz w:val="18"/>
        </w:rPr>
        <w:t>Table 5.5.1 Potential environmental watering actions and objectives for the upper Broken Creek and Broken River</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0"/>
              </w:rPr>
            </w:pPr>
            <w:r>
              <w:rPr>
                <w:b/>
                <w:color w:val="FFFFFF"/>
                <w:sz w:val="18"/>
              </w:rPr>
              <w:t>Potential environmental watering action</w:t>
            </w:r>
            <w:r>
              <w:rPr>
                <w:b/>
                <w:color w:val="FFFFFF"/>
                <w:position w:val="6"/>
                <w:sz w:val="10"/>
              </w:rPr>
              <w:t>1</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80" w:line="254" w:lineRule="auto"/>
              <w:ind w:left="85" w:right="192"/>
              <w:rPr>
                <w:b/>
                <w:sz w:val="18"/>
              </w:rPr>
            </w:pPr>
            <w:r>
              <w:rPr>
                <w:b/>
                <w:color w:val="FFFFFF"/>
                <w:sz w:val="18"/>
              </w:rPr>
              <w:t>Environmental objectives</w:t>
            </w:r>
          </w:p>
        </w:tc>
      </w:tr>
      <w:tr w:rsidR="006A7A3F">
        <w:trPr>
          <w:trHeight w:val="333"/>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sz w:val="16"/>
              </w:rPr>
            </w:pPr>
            <w:r>
              <w:rPr>
                <w:color w:val="231F20"/>
                <w:sz w:val="16"/>
              </w:rPr>
              <w:t>Upper Broken Creek</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31"/>
              <w:rPr>
                <w:sz w:val="16"/>
              </w:rPr>
            </w:pPr>
            <w:r>
              <w:rPr>
                <w:color w:val="231F20"/>
                <w:sz w:val="16"/>
              </w:rPr>
              <w:t>Summer/autumn fresh (one fresh of 10-100 ML/day for 10 days during December to May as needed)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90"/>
              </w:numPr>
              <w:tabs>
                <w:tab w:val="left" w:pos="306"/>
              </w:tabs>
              <w:spacing w:before="70"/>
              <w:ind w:hanging="218"/>
              <w:rPr>
                <w:sz w:val="18"/>
              </w:rPr>
            </w:pPr>
            <w:r>
              <w:rPr>
                <w:color w:val="231F20"/>
                <w:sz w:val="18"/>
              </w:rPr>
              <w:t xml:space="preserve">Maintain water </w:t>
            </w:r>
            <w:r>
              <w:rPr>
                <w:color w:val="231F20"/>
                <w:spacing w:val="-3"/>
                <w:sz w:val="18"/>
              </w:rPr>
              <w:t xml:space="preserve">quality, </w:t>
            </w:r>
            <w:r>
              <w:rPr>
                <w:color w:val="231F20"/>
                <w:sz w:val="18"/>
              </w:rPr>
              <w:t>particularly oxygen levels, in refuge</w:t>
            </w:r>
            <w:r>
              <w:rPr>
                <w:color w:val="231F20"/>
                <w:spacing w:val="-11"/>
                <w:sz w:val="18"/>
              </w:rPr>
              <w:t xml:space="preserve"> </w:t>
            </w:r>
            <w:r>
              <w:rPr>
                <w:color w:val="231F20"/>
                <w:sz w:val="18"/>
              </w:rPr>
              <w:t>pools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1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21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53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7" cy="310896"/>
                  <wp:effectExtent l="0" t="0" r="0" b="0"/>
                  <wp:docPr id="221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77" cy="310896"/>
                  <wp:effectExtent l="0" t="0" r="0" b="0"/>
                  <wp:docPr id="221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2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16"/>
              <w:rPr>
                <w:sz w:val="16"/>
              </w:rPr>
            </w:pPr>
            <w:r>
              <w:rPr>
                <w:color w:val="231F20"/>
                <w:sz w:val="16"/>
              </w:rPr>
              <w:t>Summer/autumn low flow (one to five ML/day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89"/>
              </w:numPr>
              <w:tabs>
                <w:tab w:val="left" w:pos="306"/>
              </w:tabs>
              <w:spacing w:before="70"/>
              <w:ind w:hanging="218"/>
              <w:rPr>
                <w:sz w:val="18"/>
              </w:rPr>
            </w:pPr>
            <w:r>
              <w:rPr>
                <w:color w:val="231F20"/>
                <w:sz w:val="18"/>
              </w:rPr>
              <w:t>Maintain pool and riffle habitat for native fish populations and</w:t>
            </w:r>
            <w:r>
              <w:rPr>
                <w:color w:val="231F20"/>
                <w:spacing w:val="-31"/>
                <w:sz w:val="18"/>
              </w:rPr>
              <w:t xml:space="preserve"> </w:t>
            </w:r>
            <w:r>
              <w:rPr>
                <w:color w:val="231F20"/>
                <w:sz w:val="18"/>
              </w:rPr>
              <w:t>waterbugs</w:t>
            </w:r>
          </w:p>
          <w:p w:rsidR="006A7A3F" w:rsidRDefault="00BC7372">
            <w:pPr>
              <w:pStyle w:val="TableParagraph"/>
              <w:numPr>
                <w:ilvl w:val="0"/>
                <w:numId w:val="189"/>
              </w:numPr>
              <w:tabs>
                <w:tab w:val="left" w:pos="306"/>
              </w:tabs>
              <w:spacing w:before="98"/>
              <w:ind w:hanging="218"/>
              <w:rPr>
                <w:sz w:val="18"/>
              </w:rPr>
            </w:pPr>
            <w:r>
              <w:rPr>
                <w:color w:val="231F20"/>
                <w:sz w:val="18"/>
              </w:rPr>
              <w:t>Maintain access to habitat and food resources for</w:t>
            </w:r>
            <w:r>
              <w:rPr>
                <w:color w:val="231F20"/>
                <w:spacing w:val="-8"/>
                <w:sz w:val="18"/>
              </w:rPr>
              <w:t xml:space="preserve"> </w:t>
            </w:r>
            <w:r>
              <w:rPr>
                <w:color w:val="231F20"/>
                <w:sz w:val="18"/>
              </w:rPr>
              <w:t>platypus</w:t>
            </w:r>
          </w:p>
          <w:p w:rsidR="006A7A3F" w:rsidRDefault="00BC7372">
            <w:pPr>
              <w:pStyle w:val="TableParagraph"/>
              <w:numPr>
                <w:ilvl w:val="0"/>
                <w:numId w:val="189"/>
              </w:numPr>
              <w:tabs>
                <w:tab w:val="left" w:pos="306"/>
              </w:tabs>
              <w:spacing w:before="98"/>
              <w:ind w:hanging="218"/>
              <w:rPr>
                <w:sz w:val="18"/>
              </w:rPr>
            </w:pPr>
            <w:r>
              <w:rPr>
                <w:color w:val="231F20"/>
                <w:sz w:val="18"/>
              </w:rPr>
              <w:t>Maintain habitat for in-stream</w:t>
            </w:r>
            <w:r>
              <w:rPr>
                <w:color w:val="231F20"/>
                <w:spacing w:val="-3"/>
                <w:sz w:val="18"/>
              </w:rPr>
              <w:t xml:space="preserve"> </w:t>
            </w:r>
            <w:r>
              <w:rPr>
                <w:color w:val="231F20"/>
                <w:sz w:val="18"/>
              </w:rPr>
              <w:t>vegetation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2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22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2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222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82"/>
              <w:rPr>
                <w:sz w:val="16"/>
              </w:rPr>
            </w:pPr>
            <w:r>
              <w:rPr>
                <w:color w:val="231F20"/>
                <w:sz w:val="16"/>
              </w:rPr>
              <w:t>Winter/spring low flow (five to 10 ML/day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88"/>
              </w:numPr>
              <w:tabs>
                <w:tab w:val="left" w:pos="306"/>
              </w:tabs>
              <w:spacing w:before="70"/>
              <w:ind w:hanging="218"/>
              <w:rPr>
                <w:sz w:val="18"/>
              </w:rPr>
            </w:pPr>
            <w:r>
              <w:rPr>
                <w:color w:val="231F20"/>
                <w:sz w:val="18"/>
              </w:rPr>
              <w:t>Maintain pool and riffle habitat for native fish populations and</w:t>
            </w:r>
            <w:r>
              <w:rPr>
                <w:color w:val="231F20"/>
                <w:spacing w:val="-31"/>
                <w:sz w:val="18"/>
              </w:rPr>
              <w:t xml:space="preserve"> </w:t>
            </w:r>
            <w:r>
              <w:rPr>
                <w:color w:val="231F20"/>
                <w:sz w:val="18"/>
              </w:rPr>
              <w:t>waterbugs</w:t>
            </w:r>
          </w:p>
          <w:p w:rsidR="006A7A3F" w:rsidRDefault="00BC7372">
            <w:pPr>
              <w:pStyle w:val="TableParagraph"/>
              <w:numPr>
                <w:ilvl w:val="0"/>
                <w:numId w:val="188"/>
              </w:numPr>
              <w:tabs>
                <w:tab w:val="left" w:pos="306"/>
              </w:tabs>
              <w:spacing w:before="98"/>
              <w:ind w:hanging="218"/>
              <w:rPr>
                <w:sz w:val="18"/>
              </w:rPr>
            </w:pPr>
            <w:r>
              <w:rPr>
                <w:color w:val="231F20"/>
                <w:sz w:val="18"/>
              </w:rPr>
              <w:t>Maintain access to habitat and food resources for</w:t>
            </w:r>
            <w:r>
              <w:rPr>
                <w:color w:val="231F20"/>
                <w:spacing w:val="-8"/>
                <w:sz w:val="18"/>
              </w:rPr>
              <w:t xml:space="preserve"> </w:t>
            </w:r>
            <w:r>
              <w:rPr>
                <w:color w:val="231F20"/>
                <w:sz w:val="18"/>
              </w:rPr>
              <w:t>platypus</w:t>
            </w:r>
          </w:p>
          <w:p w:rsidR="006A7A3F" w:rsidRDefault="00BC7372">
            <w:pPr>
              <w:pStyle w:val="TableParagraph"/>
              <w:numPr>
                <w:ilvl w:val="0"/>
                <w:numId w:val="188"/>
              </w:numPr>
              <w:tabs>
                <w:tab w:val="left" w:pos="306"/>
              </w:tabs>
              <w:spacing w:before="98"/>
              <w:ind w:hanging="218"/>
              <w:rPr>
                <w:sz w:val="18"/>
              </w:rPr>
            </w:pPr>
            <w:r>
              <w:rPr>
                <w:color w:val="231F20"/>
                <w:sz w:val="18"/>
              </w:rPr>
              <w:t>Maintain habitat for in-stream</w:t>
            </w:r>
            <w:r>
              <w:rPr>
                <w:color w:val="231F20"/>
                <w:spacing w:val="-3"/>
                <w:sz w:val="18"/>
              </w:rPr>
              <w:t xml:space="preserve"> </w:t>
            </w:r>
            <w:r>
              <w:rPr>
                <w:color w:val="231F20"/>
                <w:sz w:val="18"/>
              </w:rPr>
              <w:t>vegetation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3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23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7" cy="310895"/>
                  <wp:effectExtent l="0" t="0" r="0" b="0"/>
                  <wp:docPr id="223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 name="image21.jpeg"/>
                          <pic:cNvPicPr/>
                        </pic:nvPicPr>
                        <pic:blipFill>
                          <a:blip r:embed="rId33" cstate="print"/>
                          <a:stretch>
                            <a:fillRect/>
                          </a:stretch>
                        </pic:blipFill>
                        <pic:spPr>
                          <a:xfrm>
                            <a:off x="0" y="0"/>
                            <a:ext cx="314177"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77" cy="310895"/>
                  <wp:effectExtent l="0" t="0" r="0" b="0"/>
                  <wp:docPr id="223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 name="image22.jpeg"/>
                          <pic:cNvPicPr/>
                        </pic:nvPicPr>
                        <pic:blipFill>
                          <a:blip r:embed="rId34" cstate="print"/>
                          <a:stretch>
                            <a:fillRect/>
                          </a:stretch>
                        </pic:blipFill>
                        <pic:spPr>
                          <a:xfrm>
                            <a:off x="0" y="0"/>
                            <a:ext cx="314177" cy="310895"/>
                          </a:xfrm>
                          <a:prstGeom prst="rect">
                            <a:avLst/>
                          </a:prstGeom>
                        </pic:spPr>
                      </pic:pic>
                    </a:graphicData>
                  </a:graphic>
                </wp:inline>
              </w:drawing>
            </w:r>
          </w:p>
        </w:tc>
      </w:tr>
      <w:tr w:rsidR="006A7A3F">
        <w:trPr>
          <w:trHeight w:val="333"/>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Default="00BC7372">
            <w:pPr>
              <w:pStyle w:val="TableParagraph"/>
              <w:spacing w:before="74"/>
              <w:ind w:left="85"/>
              <w:rPr>
                <w:sz w:val="16"/>
              </w:rPr>
            </w:pPr>
            <w:r>
              <w:rPr>
                <w:color w:val="231F20"/>
                <w:sz w:val="16"/>
              </w:rPr>
              <w:t>Broken River</w:t>
            </w: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Pr>
                <w:sz w:val="16"/>
              </w:rPr>
            </w:pPr>
            <w:r>
              <w:rPr>
                <w:color w:val="231F20"/>
                <w:sz w:val="16"/>
              </w:rPr>
              <w:t>Year-round low flow (five to 15 ML/day)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87"/>
              </w:numPr>
              <w:tabs>
                <w:tab w:val="left" w:pos="306"/>
              </w:tabs>
              <w:spacing w:before="70" w:line="254" w:lineRule="auto"/>
              <w:ind w:right="147"/>
              <w:rPr>
                <w:sz w:val="18"/>
              </w:rPr>
            </w:pPr>
            <w:r>
              <w:rPr>
                <w:color w:val="231F20"/>
                <w:sz w:val="18"/>
              </w:rPr>
              <w:t>Maintain riffles, slackwater and pools to provide diverse hydraulic</w:t>
            </w:r>
            <w:r>
              <w:rPr>
                <w:color w:val="231F20"/>
                <w:spacing w:val="-36"/>
                <w:sz w:val="18"/>
              </w:rPr>
              <w:t xml:space="preserve"> </w:t>
            </w:r>
            <w:r>
              <w:rPr>
                <w:color w:val="231F20"/>
                <w:sz w:val="18"/>
              </w:rPr>
              <w:t>habitat for native fish, aquatic plants, platypus and</w:t>
            </w:r>
            <w:r>
              <w:rPr>
                <w:color w:val="231F20"/>
                <w:spacing w:val="-12"/>
                <w:sz w:val="18"/>
              </w:rPr>
              <w:t xml:space="preserve"> </w:t>
            </w:r>
            <w:r>
              <w:rPr>
                <w:color w:val="231F20"/>
                <w:sz w:val="18"/>
              </w:rPr>
              <w:t>waterbugs</w:t>
            </w:r>
          </w:p>
          <w:p w:rsidR="006A7A3F" w:rsidRDefault="00BC7372">
            <w:pPr>
              <w:pStyle w:val="TableParagraph"/>
              <w:numPr>
                <w:ilvl w:val="0"/>
                <w:numId w:val="187"/>
              </w:numPr>
              <w:tabs>
                <w:tab w:val="left" w:pos="306"/>
              </w:tabs>
              <w:spacing w:before="87" w:line="254" w:lineRule="auto"/>
              <w:ind w:right="666"/>
              <w:rPr>
                <w:sz w:val="18"/>
              </w:rPr>
            </w:pPr>
            <w:r>
              <w:rPr>
                <w:color w:val="231F20"/>
                <w:sz w:val="18"/>
              </w:rPr>
              <w:t>Maintain habitat for in-stream and fringing vegetation, and</w:t>
            </w:r>
            <w:r>
              <w:rPr>
                <w:color w:val="231F20"/>
                <w:spacing w:val="-28"/>
                <w:sz w:val="18"/>
              </w:rPr>
              <w:t xml:space="preserve"> </w:t>
            </w:r>
            <w:r>
              <w:rPr>
                <w:color w:val="231F20"/>
                <w:sz w:val="18"/>
              </w:rPr>
              <w:t>prevent terrestrial vegetation colonising the stream</w:t>
            </w:r>
            <w:r>
              <w:rPr>
                <w:color w:val="231F20"/>
                <w:spacing w:val="-1"/>
                <w:sz w:val="18"/>
              </w:rPr>
              <w:t xml:space="preserve"> </w:t>
            </w:r>
            <w:r>
              <w:rPr>
                <w:color w:val="231F20"/>
                <w:sz w:val="18"/>
              </w:rPr>
              <w:t>bed</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223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224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image31.jpeg"/>
                          <pic:cNvPicPr/>
                        </pic:nvPicPr>
                        <pic:blipFill>
                          <a:blip r:embed="rId43" cstate="print"/>
                          <a:stretch>
                            <a:fillRect/>
                          </a:stretch>
                        </pic:blipFill>
                        <pic:spPr>
                          <a:xfrm>
                            <a:off x="0" y="0"/>
                            <a:ext cx="314168" cy="310895"/>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7" cy="310895"/>
                  <wp:effectExtent l="0" t="0" r="0" b="0"/>
                  <wp:docPr id="224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image21.jpeg"/>
                          <pic:cNvPicPr/>
                        </pic:nvPicPr>
                        <pic:blipFill>
                          <a:blip r:embed="rId33" cstate="print"/>
                          <a:stretch>
                            <a:fillRect/>
                          </a:stretch>
                        </pic:blipFill>
                        <pic:spPr>
                          <a:xfrm>
                            <a:off x="0" y="0"/>
                            <a:ext cx="314177"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77" cy="310895"/>
                  <wp:effectExtent l="0" t="0" r="0" b="0"/>
                  <wp:docPr id="224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image22.jpeg"/>
                          <pic:cNvPicPr/>
                        </pic:nvPicPr>
                        <pic:blipFill>
                          <a:blip r:embed="rId34" cstate="print"/>
                          <a:stretch>
                            <a:fillRect/>
                          </a:stretch>
                        </pic:blipFill>
                        <pic:spPr>
                          <a:xfrm>
                            <a:off x="0" y="0"/>
                            <a:ext cx="314177" cy="310895"/>
                          </a:xfrm>
                          <a:prstGeom prst="rect">
                            <a:avLst/>
                          </a:prstGeom>
                        </pic:spPr>
                      </pic:pic>
                    </a:graphicData>
                  </a:graphic>
                </wp:inline>
              </w:drawing>
            </w:r>
          </w:p>
        </w:tc>
      </w:tr>
      <w:tr w:rsidR="006A7A3F">
        <w:trPr>
          <w:trHeight w:val="148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64"/>
              <w:rPr>
                <w:sz w:val="16"/>
              </w:rPr>
            </w:pPr>
            <w:r>
              <w:rPr>
                <w:color w:val="231F20"/>
                <w:sz w:val="16"/>
              </w:rPr>
              <w:t>Summer/autumn freshes (400–500 ML/day for two to eight days during December to May)</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86"/>
              </w:numPr>
              <w:tabs>
                <w:tab w:val="left" w:pos="306"/>
              </w:tabs>
              <w:spacing w:before="70" w:line="254" w:lineRule="auto"/>
              <w:ind w:right="456"/>
              <w:rPr>
                <w:sz w:val="18"/>
              </w:rPr>
            </w:pPr>
            <w:r>
              <w:rPr>
                <w:color w:val="231F20"/>
                <w:sz w:val="18"/>
              </w:rPr>
              <w:t>Scour sediments around large wood, and turn over bed sediments</w:t>
            </w:r>
            <w:r>
              <w:rPr>
                <w:color w:val="231F20"/>
                <w:spacing w:val="-25"/>
                <w:sz w:val="18"/>
              </w:rPr>
              <w:t xml:space="preserve"> </w:t>
            </w:r>
            <w:r>
              <w:rPr>
                <w:color w:val="231F20"/>
                <w:sz w:val="18"/>
              </w:rPr>
              <w:t>to replenish biofilms and increase</w:t>
            </w:r>
            <w:r>
              <w:rPr>
                <w:color w:val="231F20"/>
                <w:spacing w:val="-6"/>
                <w:sz w:val="18"/>
              </w:rPr>
              <w:t xml:space="preserve"> </w:t>
            </w:r>
            <w:r>
              <w:rPr>
                <w:color w:val="231F20"/>
                <w:sz w:val="18"/>
              </w:rPr>
              <w:t>productivity</w:t>
            </w:r>
          </w:p>
          <w:p w:rsidR="006A7A3F" w:rsidRDefault="00BC7372">
            <w:pPr>
              <w:pStyle w:val="TableParagraph"/>
              <w:numPr>
                <w:ilvl w:val="0"/>
                <w:numId w:val="186"/>
              </w:numPr>
              <w:tabs>
                <w:tab w:val="left" w:pos="306"/>
              </w:tabs>
              <w:spacing w:before="87"/>
              <w:ind w:hanging="218"/>
              <w:rPr>
                <w:sz w:val="18"/>
              </w:rPr>
            </w:pPr>
            <w:r>
              <w:rPr>
                <w:color w:val="231F20"/>
                <w:sz w:val="18"/>
              </w:rPr>
              <w:t>Provide flow cues to stimulate native fish to breed and</w:t>
            </w:r>
            <w:r>
              <w:rPr>
                <w:color w:val="231F20"/>
                <w:spacing w:val="-7"/>
                <w:sz w:val="18"/>
              </w:rPr>
              <w:t xml:space="preserve"> </w:t>
            </w:r>
            <w:r>
              <w:rPr>
                <w:color w:val="231F20"/>
                <w:sz w:val="18"/>
              </w:rPr>
              <w:t>migrate</w:t>
            </w:r>
          </w:p>
          <w:p w:rsidR="006A7A3F" w:rsidRDefault="00BC7372">
            <w:pPr>
              <w:pStyle w:val="TableParagraph"/>
              <w:numPr>
                <w:ilvl w:val="0"/>
                <w:numId w:val="186"/>
              </w:numPr>
              <w:tabs>
                <w:tab w:val="left" w:pos="306"/>
              </w:tabs>
              <w:spacing w:before="98"/>
              <w:ind w:hanging="218"/>
              <w:rPr>
                <w:sz w:val="18"/>
              </w:rPr>
            </w:pPr>
            <w:r>
              <w:rPr>
                <w:color w:val="231F20"/>
                <w:sz w:val="18"/>
              </w:rPr>
              <w:t>Provide flow to maintain in-stream and fringing aquatic</w:t>
            </w:r>
            <w:r>
              <w:rPr>
                <w:color w:val="231F20"/>
                <w:spacing w:val="-9"/>
                <w:sz w:val="18"/>
              </w:rPr>
              <w:t xml:space="preserve"> </w:t>
            </w:r>
            <w:r>
              <w:rPr>
                <w:color w:val="231F20"/>
                <w:sz w:val="18"/>
              </w:rPr>
              <w:t>vegetation</w:t>
            </w:r>
          </w:p>
          <w:p w:rsidR="006A7A3F" w:rsidRDefault="00BC7372">
            <w:pPr>
              <w:pStyle w:val="TableParagraph"/>
              <w:numPr>
                <w:ilvl w:val="0"/>
                <w:numId w:val="186"/>
              </w:numPr>
              <w:tabs>
                <w:tab w:val="left" w:pos="306"/>
              </w:tabs>
              <w:spacing w:before="98"/>
              <w:ind w:hanging="218"/>
              <w:rPr>
                <w:sz w:val="18"/>
              </w:rPr>
            </w:pPr>
            <w:r>
              <w:rPr>
                <w:color w:val="231F20"/>
                <w:sz w:val="18"/>
              </w:rPr>
              <w:t>Maintain longitudinal connectivity for native fish</w:t>
            </w:r>
            <w:r>
              <w:rPr>
                <w:color w:val="231F20"/>
                <w:spacing w:val="-6"/>
                <w:sz w:val="18"/>
              </w:rPr>
              <w:t xml:space="preserve"> </w:t>
            </w:r>
            <w:r>
              <w:rPr>
                <w:color w:val="231F20"/>
                <w:sz w:val="18"/>
              </w:rPr>
              <w:t>passage</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224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7" cy="310896"/>
                  <wp:effectExtent l="0" t="0" r="0" b="0"/>
                  <wp:docPr id="224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r>
    </w:tbl>
    <w:p w:rsidR="006A7A3F" w:rsidRDefault="00BC7372">
      <w:pPr>
        <w:spacing w:before="23"/>
        <w:ind w:left="210"/>
        <w:rPr>
          <w:sz w:val="14"/>
        </w:rPr>
      </w:pPr>
      <w:r>
        <w:rPr>
          <w:color w:val="231F20"/>
          <w:sz w:val="14"/>
        </w:rPr>
        <w:t>1 Watering actions are listed in priority order and upper Broken Creek watering actions are higher priority than Broken River watering actions.</w:t>
      </w:r>
    </w:p>
    <w:p w:rsidR="005467AC" w:rsidRDefault="005467AC">
      <w:pPr>
        <w:rPr>
          <w:rFonts w:ascii="Helvetica Neue LT Std 75"/>
          <w:b/>
          <w:color w:val="231F20"/>
          <w:sz w:val="19"/>
        </w:rPr>
      </w:pPr>
      <w:r>
        <w:rPr>
          <w:rFonts w:ascii="Helvetica Neue LT Std 75"/>
          <w:b/>
          <w:color w:val="231F20"/>
          <w:sz w:val="19"/>
        </w:rPr>
        <w:br w:type="page"/>
      </w:r>
    </w:p>
    <w:p w:rsidR="006A7A3F" w:rsidRDefault="00BC7372">
      <w:pPr>
        <w:spacing w:before="89"/>
        <w:ind w:left="210"/>
        <w:rPr>
          <w:rFonts w:ascii="Helvetica Neue LT Std 75"/>
          <w:b/>
          <w:sz w:val="19"/>
        </w:rPr>
      </w:pPr>
      <w:r>
        <w:rPr>
          <w:rFonts w:ascii="Helvetica Neue LT Std 75"/>
          <w:b/>
          <w:color w:val="231F20"/>
          <w:sz w:val="19"/>
        </w:rPr>
        <w:t>Scenario planning</w:t>
      </w:r>
    </w:p>
    <w:p w:rsidR="006A7A3F" w:rsidRDefault="00BC7372">
      <w:pPr>
        <w:pStyle w:val="BodyText"/>
        <w:spacing w:before="70" w:line="249" w:lineRule="auto"/>
        <w:ind w:right="230"/>
      </w:pPr>
      <w:r>
        <w:rPr>
          <w:color w:val="231F20"/>
        </w:rPr>
        <w:t>Table 5.5.2 outlines the potential environmental watering and expected water use under a range of planning scenarios. It is expected that there will be no water available for environmental flows in the Broken River and upper Broken Creek under drought and dry scenarios. It is likely under those scenarios that there will be zero to low natural flow resulting in zero allocations of entitlements.</w:t>
      </w:r>
    </w:p>
    <w:p w:rsidR="006A7A3F" w:rsidRDefault="00BC7372">
      <w:pPr>
        <w:pStyle w:val="BodyText"/>
        <w:spacing w:before="174" w:line="249" w:lineRule="auto"/>
        <w:ind w:right="251"/>
      </w:pPr>
      <w:r>
        <w:rPr>
          <w:color w:val="231F20"/>
        </w:rPr>
        <w:t>There are two sets of watering actions: one for upper Broken Creek and another for the Broken River. Delivering flow to upper Broken Creek is a higher priority, because upper Broken Creek tends to have no inflows from tributaries and is mostly dependent on flows from operational deliveries. The potential watering actions for upper Broken Creek require less water than the potential watering actions for Broken River, and any environmental flows delivered to upper Broken Creek will pass through reaches 1 and 2 of the Broken River, where they will provide some environmental benefit.</w:t>
      </w:r>
    </w:p>
    <w:p w:rsidR="006A7A3F" w:rsidRDefault="00BC7372" w:rsidP="005467AC">
      <w:pPr>
        <w:pStyle w:val="BodyText"/>
        <w:spacing w:before="175" w:line="249" w:lineRule="auto"/>
        <w:ind w:right="223"/>
      </w:pPr>
      <w:r>
        <w:rPr>
          <w:color w:val="231F20"/>
        </w:rPr>
        <w:t xml:space="preserve">In 2020–21, the highest priority in upper Broken Creek is to deliver a summer/autumn fresh (a tier 1a watering action under average and wet scenarios, and a tier 1b watering action under drought and dry scenarios), if required to maintain water </w:t>
      </w:r>
      <w:r>
        <w:rPr>
          <w:color w:val="231F20"/>
          <w:spacing w:val="-3"/>
        </w:rPr>
        <w:t xml:space="preserve">quality. </w:t>
      </w:r>
      <w:r>
        <w:rPr>
          <w:color w:val="231F20"/>
        </w:rPr>
        <w:t>The fresh is likely to be able to be partially delivered under average and wet conditions with water for the environment. There is unlikely to be sufficient water available to deliver the fresh under drought or</w:t>
      </w:r>
      <w:r>
        <w:rPr>
          <w:color w:val="231F20"/>
          <w:spacing w:val="-3"/>
        </w:rPr>
        <w:t xml:space="preserve"> </w:t>
      </w:r>
      <w:r>
        <w:rPr>
          <w:color w:val="231F20"/>
        </w:rPr>
        <w:t>dry</w:t>
      </w:r>
      <w:r>
        <w:rPr>
          <w:color w:val="231F20"/>
          <w:spacing w:val="-3"/>
        </w:rPr>
        <w:t xml:space="preserve"> </w:t>
      </w:r>
      <w:r>
        <w:rPr>
          <w:color w:val="231F20"/>
        </w:rPr>
        <w:t>conditions.</w:t>
      </w:r>
      <w:r>
        <w:rPr>
          <w:color w:val="231F20"/>
          <w:spacing w:val="-2"/>
        </w:rPr>
        <w:t xml:space="preserve"> </w:t>
      </w:r>
      <w:r>
        <w:rPr>
          <w:color w:val="231F20"/>
        </w:rPr>
        <w:t>If</w:t>
      </w:r>
      <w:r>
        <w:rPr>
          <w:color w:val="231F20"/>
          <w:spacing w:val="-2"/>
        </w:rPr>
        <w:t xml:space="preserve"> </w:t>
      </w:r>
      <w:r>
        <w:rPr>
          <w:color w:val="231F20"/>
        </w:rPr>
        <w:t>water</w:t>
      </w:r>
      <w:r>
        <w:rPr>
          <w:color w:val="231F20"/>
          <w:spacing w:val="-3"/>
        </w:rPr>
        <w:t xml:space="preserve"> </w:t>
      </w:r>
      <w:r>
        <w:rPr>
          <w:color w:val="231F20"/>
        </w:rPr>
        <w:t>does</w:t>
      </w:r>
      <w:r>
        <w:rPr>
          <w:color w:val="231F20"/>
          <w:spacing w:val="-3"/>
        </w:rPr>
        <w:t xml:space="preserve"> </w:t>
      </w:r>
      <w:r>
        <w:rPr>
          <w:color w:val="231F20"/>
        </w:rPr>
        <w:t>become</w:t>
      </w:r>
      <w:r>
        <w:rPr>
          <w:color w:val="231F20"/>
          <w:spacing w:val="-3"/>
        </w:rPr>
        <w:t xml:space="preserve"> </w:t>
      </w:r>
      <w:r>
        <w:rPr>
          <w:color w:val="231F20"/>
        </w:rPr>
        <w:t>available</w:t>
      </w:r>
      <w:r>
        <w:rPr>
          <w:color w:val="231F20"/>
          <w:spacing w:val="-3"/>
        </w:rPr>
        <w:t xml:space="preserve"> </w:t>
      </w:r>
      <w:r>
        <w:rPr>
          <w:color w:val="231F20"/>
        </w:rPr>
        <w:t>under</w:t>
      </w:r>
      <w:r>
        <w:rPr>
          <w:color w:val="231F20"/>
          <w:spacing w:val="-3"/>
        </w:rPr>
        <w:t xml:space="preserve"> </w:t>
      </w:r>
      <w:r>
        <w:rPr>
          <w:color w:val="231F20"/>
        </w:rPr>
        <w:t>drought</w:t>
      </w:r>
      <w:r>
        <w:rPr>
          <w:color w:val="231F20"/>
          <w:spacing w:val="-3"/>
        </w:rPr>
        <w:t xml:space="preserve"> </w:t>
      </w:r>
      <w:r>
        <w:rPr>
          <w:color w:val="231F20"/>
        </w:rPr>
        <w:t>or</w:t>
      </w:r>
      <w:r>
        <w:rPr>
          <w:color w:val="231F20"/>
          <w:spacing w:val="-2"/>
        </w:rPr>
        <w:t xml:space="preserve"> </w:t>
      </w:r>
      <w:r>
        <w:rPr>
          <w:color w:val="231F20"/>
        </w:rPr>
        <w:t>dry</w:t>
      </w:r>
      <w:r>
        <w:rPr>
          <w:color w:val="231F20"/>
          <w:spacing w:val="-3"/>
        </w:rPr>
        <w:t xml:space="preserve"> </w:t>
      </w:r>
      <w:r>
        <w:rPr>
          <w:color w:val="231F20"/>
        </w:rPr>
        <w:t>conditions,</w:t>
      </w:r>
      <w:r>
        <w:rPr>
          <w:color w:val="231F20"/>
          <w:spacing w:val="-2"/>
        </w:rPr>
        <w:t xml:space="preserve"> </w:t>
      </w:r>
      <w:r>
        <w:rPr>
          <w:color w:val="231F20"/>
        </w:rPr>
        <w:t>the</w:t>
      </w:r>
      <w:r>
        <w:rPr>
          <w:color w:val="231F20"/>
          <w:spacing w:val="-2"/>
        </w:rPr>
        <w:t xml:space="preserve"> </w:t>
      </w:r>
      <w:r>
        <w:rPr>
          <w:color w:val="231F20"/>
        </w:rPr>
        <w:t>priority</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to</w:t>
      </w:r>
      <w:r>
        <w:rPr>
          <w:color w:val="231F20"/>
          <w:spacing w:val="-2"/>
        </w:rPr>
        <w:t xml:space="preserve"> </w:t>
      </w:r>
      <w:r>
        <w:rPr>
          <w:color w:val="231F20"/>
        </w:rPr>
        <w:t>deliver</w:t>
      </w:r>
      <w:r w:rsidR="005467AC">
        <w:rPr>
          <w:color w:val="231F20"/>
        </w:rPr>
        <w:t xml:space="preserve"> </w:t>
      </w:r>
      <w:r>
        <w:rPr>
          <w:color w:val="231F20"/>
        </w:rPr>
        <w:t>a summer/autumn fresh first, then the summer/autumn low flow to maintain critical aquatic habitat. Additional environmental deliveries for low flow and freshes are not expected to be needed under wet conditions, because flow requirements will be met by natural events.</w:t>
      </w:r>
    </w:p>
    <w:p w:rsidR="006A7A3F" w:rsidRDefault="00BC7372">
      <w:pPr>
        <w:pStyle w:val="BodyText"/>
        <w:spacing w:line="249" w:lineRule="auto"/>
        <w:ind w:right="290"/>
      </w:pPr>
      <w:r>
        <w:rPr>
          <w:color w:val="231F20"/>
        </w:rPr>
        <w:t>It is expected that there will not be sufficient water available to provide any potential watering actions in the Broken River: that is, no tier 1a actions are identified. If additional water becomes available under drought and dry conditions after watering actions for upper Broken Creek have been met, the priority will be to deliver year-round low flow in the Broken River to maintain critical aquatic habitat. If further water is available, it will be used to deliver summer/autumn freshes, with dry and average conditions, to maintain habitat for macrophytes and native</w:t>
      </w:r>
      <w:r>
        <w:rPr>
          <w:color w:val="231F20"/>
          <w:spacing w:val="-24"/>
        </w:rPr>
        <w:t xml:space="preserve"> </w:t>
      </w:r>
      <w:r>
        <w:rPr>
          <w:color w:val="231F20"/>
        </w:rPr>
        <w:t>fish.</w:t>
      </w:r>
    </w:p>
    <w:p w:rsidR="006A7A3F" w:rsidRDefault="00BC7372">
      <w:pPr>
        <w:spacing w:before="169" w:line="249" w:lineRule="auto"/>
        <w:ind w:left="210" w:right="100"/>
        <w:rPr>
          <w:b/>
          <w:sz w:val="18"/>
        </w:rPr>
      </w:pPr>
      <w:r>
        <w:rPr>
          <w:b/>
          <w:color w:val="231F20"/>
          <w:sz w:val="18"/>
        </w:rPr>
        <w:t>Table 5.5.2 Potential environmental watering for the upper Broken Creek and Broken River under a range of planning scenarios</w:t>
      </w:r>
    </w:p>
    <w:p w:rsidR="006A7A3F" w:rsidRDefault="006A7A3F">
      <w:pPr>
        <w:pStyle w:val="BodyText"/>
        <w:spacing w:before="11"/>
        <w:ind w:left="0"/>
        <w:rPr>
          <w:b/>
          <w:sz w:val="7"/>
        </w:rPr>
      </w:pP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424171">
        <w:trPr>
          <w:trHeight w:val="367"/>
          <w:tblHeader/>
        </w:trPr>
        <w:tc>
          <w:tcPr>
            <w:tcW w:w="204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Average</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Wet</w:t>
            </w:r>
          </w:p>
        </w:tc>
      </w:tr>
      <w:tr w:rsidR="006A7A3F" w:rsidTr="005467AC">
        <w:trPr>
          <w:trHeight w:val="2802"/>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numPr>
                <w:ilvl w:val="0"/>
                <w:numId w:val="185"/>
              </w:numPr>
              <w:tabs>
                <w:tab w:val="left" w:pos="305"/>
              </w:tabs>
              <w:spacing w:before="70" w:line="254" w:lineRule="auto"/>
              <w:ind w:right="144"/>
              <w:rPr>
                <w:sz w:val="16"/>
                <w:szCs w:val="16"/>
              </w:rPr>
            </w:pPr>
            <w:r w:rsidRPr="00424171">
              <w:rPr>
                <w:color w:val="231F20"/>
                <w:sz w:val="16"/>
                <w:szCs w:val="16"/>
              </w:rPr>
              <w:t>No unregulated winter/spring flow in Broken</w:t>
            </w:r>
            <w:r w:rsidRPr="00424171">
              <w:rPr>
                <w:color w:val="231F20"/>
                <w:spacing w:val="-1"/>
                <w:sz w:val="16"/>
                <w:szCs w:val="16"/>
              </w:rPr>
              <w:t xml:space="preserve"> </w:t>
            </w:r>
            <w:r w:rsidRPr="00424171">
              <w:rPr>
                <w:color w:val="231F20"/>
                <w:sz w:val="16"/>
                <w:szCs w:val="16"/>
              </w:rPr>
              <w:t>River</w:t>
            </w:r>
          </w:p>
          <w:p w:rsidR="006A7A3F" w:rsidRPr="00424171" w:rsidRDefault="00BC7372">
            <w:pPr>
              <w:pStyle w:val="TableParagraph"/>
              <w:numPr>
                <w:ilvl w:val="0"/>
                <w:numId w:val="185"/>
              </w:numPr>
              <w:tabs>
                <w:tab w:val="left" w:pos="305"/>
              </w:tabs>
              <w:spacing w:before="87" w:line="254" w:lineRule="auto"/>
              <w:ind w:right="113"/>
              <w:rPr>
                <w:sz w:val="16"/>
                <w:szCs w:val="16"/>
              </w:rPr>
            </w:pPr>
            <w:r w:rsidRPr="00424171">
              <w:rPr>
                <w:color w:val="231F20"/>
                <w:sz w:val="16"/>
                <w:szCs w:val="16"/>
              </w:rPr>
              <w:t>No natural flow in upper Broken</w:t>
            </w:r>
            <w:r w:rsidRPr="00424171">
              <w:rPr>
                <w:color w:val="231F20"/>
                <w:spacing w:val="-9"/>
                <w:sz w:val="16"/>
                <w:szCs w:val="16"/>
              </w:rPr>
              <w:t xml:space="preserve"> </w:t>
            </w:r>
            <w:r w:rsidRPr="00424171">
              <w:rPr>
                <w:color w:val="231F20"/>
                <w:sz w:val="16"/>
                <w:szCs w:val="16"/>
              </w:rPr>
              <w:t>Creek</w:t>
            </w:r>
          </w:p>
          <w:p w:rsidR="006A7A3F" w:rsidRPr="00424171" w:rsidRDefault="00BC7372">
            <w:pPr>
              <w:pStyle w:val="TableParagraph"/>
              <w:numPr>
                <w:ilvl w:val="0"/>
                <w:numId w:val="185"/>
              </w:numPr>
              <w:tabs>
                <w:tab w:val="left" w:pos="305"/>
              </w:tabs>
              <w:spacing w:before="86" w:line="254" w:lineRule="auto"/>
              <w:ind w:right="113"/>
              <w:rPr>
                <w:sz w:val="16"/>
                <w:szCs w:val="16"/>
              </w:rPr>
            </w:pPr>
            <w:r w:rsidRPr="00424171">
              <w:rPr>
                <w:color w:val="231F20"/>
                <w:sz w:val="16"/>
                <w:szCs w:val="16"/>
              </w:rPr>
              <w:t>Low and cease-to- flow events possible throughout the year in all</w:t>
            </w:r>
            <w:r w:rsidRPr="00424171">
              <w:rPr>
                <w:color w:val="231F20"/>
                <w:spacing w:val="-3"/>
                <w:sz w:val="16"/>
                <w:szCs w:val="16"/>
              </w:rPr>
              <w:t xml:space="preserve"> </w:t>
            </w:r>
            <w:r w:rsidRPr="00424171">
              <w:rPr>
                <w:color w:val="231F20"/>
                <w:sz w:val="16"/>
                <w:szCs w:val="16"/>
              </w:rPr>
              <w:t>reaches</w:t>
            </w:r>
          </w:p>
          <w:p w:rsidR="006A7A3F" w:rsidRPr="00424171" w:rsidRDefault="00BC7372">
            <w:pPr>
              <w:pStyle w:val="TableParagraph"/>
              <w:numPr>
                <w:ilvl w:val="0"/>
                <w:numId w:val="185"/>
              </w:numPr>
              <w:tabs>
                <w:tab w:val="left" w:pos="305"/>
              </w:tabs>
              <w:spacing w:before="88" w:line="254" w:lineRule="auto"/>
              <w:ind w:right="603"/>
              <w:rPr>
                <w:sz w:val="16"/>
                <w:szCs w:val="16"/>
              </w:rPr>
            </w:pPr>
            <w:r w:rsidRPr="00424171">
              <w:rPr>
                <w:color w:val="231F20"/>
                <w:sz w:val="16"/>
                <w:szCs w:val="16"/>
              </w:rPr>
              <w:t>No back trade opportunities</w:t>
            </w:r>
          </w:p>
        </w:tc>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numPr>
                <w:ilvl w:val="0"/>
                <w:numId w:val="184"/>
              </w:numPr>
              <w:tabs>
                <w:tab w:val="left" w:pos="305"/>
              </w:tabs>
              <w:spacing w:before="70" w:line="254" w:lineRule="auto"/>
              <w:ind w:right="242"/>
              <w:rPr>
                <w:sz w:val="16"/>
                <w:szCs w:val="16"/>
              </w:rPr>
            </w:pPr>
            <w:r w:rsidRPr="00424171">
              <w:rPr>
                <w:color w:val="231F20"/>
                <w:sz w:val="16"/>
                <w:szCs w:val="16"/>
              </w:rPr>
              <w:t>Low natural flow and odd freshes in Broken</w:t>
            </w:r>
            <w:r w:rsidRPr="00424171">
              <w:rPr>
                <w:color w:val="231F20"/>
                <w:spacing w:val="-1"/>
                <w:sz w:val="16"/>
                <w:szCs w:val="16"/>
              </w:rPr>
              <w:t xml:space="preserve"> </w:t>
            </w:r>
            <w:r w:rsidRPr="00424171">
              <w:rPr>
                <w:color w:val="231F20"/>
                <w:sz w:val="16"/>
                <w:szCs w:val="16"/>
              </w:rPr>
              <w:t>River</w:t>
            </w:r>
          </w:p>
          <w:p w:rsidR="006A7A3F" w:rsidRPr="00424171" w:rsidRDefault="00BC7372">
            <w:pPr>
              <w:pStyle w:val="TableParagraph"/>
              <w:numPr>
                <w:ilvl w:val="0"/>
                <w:numId w:val="184"/>
              </w:numPr>
              <w:tabs>
                <w:tab w:val="left" w:pos="305"/>
              </w:tabs>
              <w:spacing w:before="87" w:line="254" w:lineRule="auto"/>
              <w:ind w:right="113"/>
              <w:rPr>
                <w:sz w:val="16"/>
                <w:szCs w:val="16"/>
              </w:rPr>
            </w:pPr>
            <w:r w:rsidRPr="00424171">
              <w:rPr>
                <w:color w:val="231F20"/>
                <w:sz w:val="16"/>
                <w:szCs w:val="16"/>
              </w:rPr>
              <w:t>No natural flow in upper Broken</w:t>
            </w:r>
            <w:r w:rsidRPr="00424171">
              <w:rPr>
                <w:color w:val="231F20"/>
                <w:spacing w:val="-9"/>
                <w:sz w:val="16"/>
                <w:szCs w:val="16"/>
              </w:rPr>
              <w:t xml:space="preserve"> </w:t>
            </w:r>
            <w:r w:rsidRPr="00424171">
              <w:rPr>
                <w:color w:val="231F20"/>
                <w:sz w:val="16"/>
                <w:szCs w:val="16"/>
              </w:rPr>
              <w:t>Creek</w:t>
            </w:r>
          </w:p>
          <w:p w:rsidR="006A7A3F" w:rsidRPr="00424171" w:rsidRDefault="00BC7372">
            <w:pPr>
              <w:pStyle w:val="TableParagraph"/>
              <w:numPr>
                <w:ilvl w:val="0"/>
                <w:numId w:val="184"/>
              </w:numPr>
              <w:tabs>
                <w:tab w:val="left" w:pos="305"/>
              </w:tabs>
              <w:spacing w:before="86" w:line="254" w:lineRule="auto"/>
              <w:ind w:right="113"/>
              <w:rPr>
                <w:sz w:val="16"/>
                <w:szCs w:val="16"/>
              </w:rPr>
            </w:pPr>
            <w:r w:rsidRPr="00424171">
              <w:rPr>
                <w:color w:val="231F20"/>
                <w:sz w:val="16"/>
                <w:szCs w:val="16"/>
              </w:rPr>
              <w:t>Low and cease-to- flow events possible throughout the year in all</w:t>
            </w:r>
            <w:r w:rsidRPr="00424171">
              <w:rPr>
                <w:color w:val="231F20"/>
                <w:spacing w:val="-3"/>
                <w:sz w:val="16"/>
                <w:szCs w:val="16"/>
              </w:rPr>
              <w:t xml:space="preserve"> </w:t>
            </w:r>
            <w:r w:rsidRPr="00424171">
              <w:rPr>
                <w:color w:val="231F20"/>
                <w:sz w:val="16"/>
                <w:szCs w:val="16"/>
              </w:rPr>
              <w:t>reaches</w:t>
            </w:r>
          </w:p>
          <w:p w:rsidR="006A7A3F" w:rsidRPr="00424171" w:rsidRDefault="00BC7372">
            <w:pPr>
              <w:pStyle w:val="TableParagraph"/>
              <w:numPr>
                <w:ilvl w:val="0"/>
                <w:numId w:val="184"/>
              </w:numPr>
              <w:tabs>
                <w:tab w:val="left" w:pos="305"/>
              </w:tabs>
              <w:spacing w:before="88" w:line="254" w:lineRule="auto"/>
              <w:ind w:right="603"/>
              <w:rPr>
                <w:sz w:val="16"/>
                <w:szCs w:val="16"/>
              </w:rPr>
            </w:pPr>
            <w:r w:rsidRPr="00424171">
              <w:rPr>
                <w:color w:val="231F20"/>
                <w:sz w:val="16"/>
                <w:szCs w:val="16"/>
              </w:rPr>
              <w:t>No back trade opportunities</w:t>
            </w:r>
          </w:p>
        </w:tc>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numPr>
                <w:ilvl w:val="0"/>
                <w:numId w:val="183"/>
              </w:numPr>
              <w:tabs>
                <w:tab w:val="left" w:pos="305"/>
              </w:tabs>
              <w:spacing w:before="70" w:line="254" w:lineRule="auto"/>
              <w:ind w:right="284"/>
              <w:jc w:val="both"/>
              <w:rPr>
                <w:sz w:val="16"/>
                <w:szCs w:val="16"/>
              </w:rPr>
            </w:pPr>
            <w:r w:rsidRPr="00424171">
              <w:rPr>
                <w:color w:val="231F20"/>
                <w:sz w:val="16"/>
                <w:szCs w:val="16"/>
              </w:rPr>
              <w:t>High winter/spring flow in the Broken River</w:t>
            </w:r>
          </w:p>
          <w:p w:rsidR="006A7A3F" w:rsidRPr="00424171" w:rsidRDefault="00BC7372">
            <w:pPr>
              <w:pStyle w:val="TableParagraph"/>
              <w:numPr>
                <w:ilvl w:val="0"/>
                <w:numId w:val="183"/>
              </w:numPr>
              <w:tabs>
                <w:tab w:val="left" w:pos="305"/>
              </w:tabs>
              <w:spacing w:before="87" w:line="254" w:lineRule="auto"/>
              <w:ind w:right="113"/>
              <w:rPr>
                <w:sz w:val="16"/>
                <w:szCs w:val="16"/>
              </w:rPr>
            </w:pPr>
            <w:r w:rsidRPr="00424171">
              <w:rPr>
                <w:color w:val="231F20"/>
                <w:sz w:val="16"/>
                <w:szCs w:val="16"/>
              </w:rPr>
              <w:t>Some unregulated winter/spring flow in upper Broken</w:t>
            </w:r>
            <w:r w:rsidRPr="00424171">
              <w:rPr>
                <w:color w:val="231F20"/>
                <w:spacing w:val="-9"/>
                <w:sz w:val="16"/>
                <w:szCs w:val="16"/>
              </w:rPr>
              <w:t xml:space="preserve"> </w:t>
            </w:r>
            <w:r w:rsidRPr="00424171">
              <w:rPr>
                <w:color w:val="231F20"/>
                <w:sz w:val="16"/>
                <w:szCs w:val="16"/>
              </w:rPr>
              <w:t>Creek</w:t>
            </w:r>
          </w:p>
          <w:p w:rsidR="006A7A3F" w:rsidRPr="00424171" w:rsidRDefault="00BC7372">
            <w:pPr>
              <w:pStyle w:val="TableParagraph"/>
              <w:numPr>
                <w:ilvl w:val="0"/>
                <w:numId w:val="183"/>
              </w:numPr>
              <w:tabs>
                <w:tab w:val="left" w:pos="305"/>
              </w:tabs>
              <w:spacing w:before="87" w:line="254" w:lineRule="auto"/>
              <w:ind w:right="73"/>
              <w:rPr>
                <w:sz w:val="16"/>
                <w:szCs w:val="16"/>
              </w:rPr>
            </w:pPr>
            <w:r w:rsidRPr="00424171">
              <w:rPr>
                <w:color w:val="231F20"/>
                <w:sz w:val="16"/>
                <w:szCs w:val="16"/>
              </w:rPr>
              <w:t>Up to 1,500 ML</w:t>
            </w:r>
            <w:r w:rsidRPr="00424171">
              <w:rPr>
                <w:color w:val="231F20"/>
                <w:spacing w:val="-20"/>
                <w:sz w:val="16"/>
                <w:szCs w:val="16"/>
              </w:rPr>
              <w:t xml:space="preserve"> </w:t>
            </w:r>
            <w:r w:rsidRPr="00424171">
              <w:rPr>
                <w:color w:val="231F20"/>
                <w:sz w:val="16"/>
                <w:szCs w:val="16"/>
              </w:rPr>
              <w:t>back trade</w:t>
            </w:r>
            <w:r w:rsidRPr="00424171">
              <w:rPr>
                <w:color w:val="231F20"/>
                <w:spacing w:val="-2"/>
                <w:sz w:val="16"/>
                <w:szCs w:val="16"/>
              </w:rPr>
              <w:t xml:space="preserve"> </w:t>
            </w:r>
            <w:r w:rsidRPr="00424171">
              <w:rPr>
                <w:color w:val="231F20"/>
                <w:sz w:val="16"/>
                <w:szCs w:val="16"/>
              </w:rPr>
              <w:t>opportunity</w:t>
            </w:r>
          </w:p>
          <w:p w:rsidR="006A7A3F" w:rsidRPr="00424171" w:rsidRDefault="00BC7372">
            <w:pPr>
              <w:pStyle w:val="TableParagraph"/>
              <w:spacing w:before="1" w:line="254" w:lineRule="auto"/>
              <w:ind w:right="286"/>
              <w:rPr>
                <w:sz w:val="16"/>
                <w:szCs w:val="16"/>
              </w:rPr>
            </w:pPr>
            <w:r w:rsidRPr="00424171">
              <w:rPr>
                <w:color w:val="231F20"/>
                <w:sz w:val="16"/>
                <w:szCs w:val="16"/>
              </w:rPr>
              <w:t>in Broken River in summer/autumn</w:t>
            </w:r>
          </w:p>
        </w:tc>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numPr>
                <w:ilvl w:val="0"/>
                <w:numId w:val="182"/>
              </w:numPr>
              <w:tabs>
                <w:tab w:val="left" w:pos="305"/>
              </w:tabs>
              <w:spacing w:before="70" w:line="254" w:lineRule="auto"/>
              <w:ind w:right="132"/>
              <w:rPr>
                <w:sz w:val="16"/>
                <w:szCs w:val="16"/>
              </w:rPr>
            </w:pPr>
            <w:r w:rsidRPr="00424171">
              <w:rPr>
                <w:color w:val="231F20"/>
                <w:sz w:val="16"/>
                <w:szCs w:val="16"/>
              </w:rPr>
              <w:t xml:space="preserve">Winter/spring </w:t>
            </w:r>
            <w:r w:rsidRPr="00424171">
              <w:rPr>
                <w:color w:val="231F20"/>
                <w:spacing w:val="-3"/>
                <w:sz w:val="16"/>
                <w:szCs w:val="16"/>
              </w:rPr>
              <w:t xml:space="preserve">floods </w:t>
            </w:r>
            <w:r w:rsidRPr="00424171">
              <w:rPr>
                <w:color w:val="231F20"/>
                <w:sz w:val="16"/>
                <w:szCs w:val="16"/>
              </w:rPr>
              <w:t>in the Broken</w:t>
            </w:r>
            <w:r w:rsidRPr="00424171">
              <w:rPr>
                <w:color w:val="231F20"/>
                <w:spacing w:val="-6"/>
                <w:sz w:val="16"/>
                <w:szCs w:val="16"/>
              </w:rPr>
              <w:t xml:space="preserve"> </w:t>
            </w:r>
            <w:r w:rsidRPr="00424171">
              <w:rPr>
                <w:color w:val="231F20"/>
                <w:sz w:val="16"/>
                <w:szCs w:val="16"/>
              </w:rPr>
              <w:t>River</w:t>
            </w:r>
          </w:p>
          <w:p w:rsidR="006A7A3F" w:rsidRPr="00424171" w:rsidRDefault="00BC7372">
            <w:pPr>
              <w:pStyle w:val="TableParagraph"/>
              <w:numPr>
                <w:ilvl w:val="0"/>
                <w:numId w:val="182"/>
              </w:numPr>
              <w:tabs>
                <w:tab w:val="left" w:pos="305"/>
              </w:tabs>
              <w:spacing w:before="87" w:line="254" w:lineRule="auto"/>
              <w:ind w:right="433"/>
              <w:rPr>
                <w:sz w:val="16"/>
                <w:szCs w:val="16"/>
              </w:rPr>
            </w:pPr>
            <w:r w:rsidRPr="00424171">
              <w:rPr>
                <w:color w:val="231F20"/>
                <w:sz w:val="16"/>
                <w:szCs w:val="16"/>
              </w:rPr>
              <w:t>Winter/spring freshes in upper Broken</w:t>
            </w:r>
            <w:r w:rsidRPr="00424171">
              <w:rPr>
                <w:color w:val="231F20"/>
                <w:spacing w:val="-1"/>
                <w:sz w:val="16"/>
                <w:szCs w:val="16"/>
              </w:rPr>
              <w:t xml:space="preserve"> </w:t>
            </w:r>
            <w:r w:rsidRPr="00424171">
              <w:rPr>
                <w:color w:val="231F20"/>
                <w:sz w:val="16"/>
                <w:szCs w:val="16"/>
              </w:rPr>
              <w:t>Creek</w:t>
            </w:r>
          </w:p>
          <w:p w:rsidR="006A7A3F" w:rsidRPr="00424171" w:rsidRDefault="00BC7372">
            <w:pPr>
              <w:pStyle w:val="TableParagraph"/>
              <w:numPr>
                <w:ilvl w:val="0"/>
                <w:numId w:val="182"/>
              </w:numPr>
              <w:tabs>
                <w:tab w:val="left" w:pos="305"/>
              </w:tabs>
              <w:spacing w:before="86" w:line="254" w:lineRule="auto"/>
              <w:ind w:right="73"/>
              <w:rPr>
                <w:sz w:val="16"/>
                <w:szCs w:val="16"/>
              </w:rPr>
            </w:pPr>
            <w:r w:rsidRPr="00424171">
              <w:rPr>
                <w:color w:val="231F20"/>
                <w:sz w:val="16"/>
                <w:szCs w:val="16"/>
              </w:rPr>
              <w:t>Up to 1,500 ML</w:t>
            </w:r>
            <w:r w:rsidRPr="00424171">
              <w:rPr>
                <w:color w:val="231F20"/>
                <w:spacing w:val="-20"/>
                <w:sz w:val="16"/>
                <w:szCs w:val="16"/>
              </w:rPr>
              <w:t xml:space="preserve"> </w:t>
            </w:r>
            <w:r w:rsidRPr="00424171">
              <w:rPr>
                <w:color w:val="231F20"/>
                <w:sz w:val="16"/>
                <w:szCs w:val="16"/>
              </w:rPr>
              <w:t>back trade opportunity available in Broken River in summer/ autumn</w:t>
            </w:r>
          </w:p>
        </w:tc>
      </w:tr>
      <w:tr w:rsidR="006A7A3F" w:rsidTr="005467AC">
        <w:trPr>
          <w:trHeight w:val="5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11"/>
              <w:rPr>
                <w:sz w:val="16"/>
              </w:rPr>
            </w:pPr>
            <w:r>
              <w:rPr>
                <w:color w:val="231F20"/>
                <w:sz w:val="16"/>
              </w:rPr>
              <w:t>Expected availability of water for the environment</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81"/>
              </w:numPr>
              <w:tabs>
                <w:tab w:val="left" w:pos="305"/>
              </w:tabs>
              <w:spacing w:before="70"/>
              <w:rPr>
                <w:sz w:val="16"/>
                <w:szCs w:val="16"/>
              </w:rPr>
            </w:pPr>
            <w:r w:rsidRPr="00424171">
              <w:rPr>
                <w:color w:val="231F20"/>
                <w:sz w:val="16"/>
                <w:szCs w:val="16"/>
              </w:rPr>
              <w:t>0</w:t>
            </w:r>
            <w:r w:rsidRPr="00424171">
              <w:rPr>
                <w:color w:val="231F20"/>
                <w:spacing w:val="-1"/>
                <w:sz w:val="16"/>
                <w:szCs w:val="16"/>
              </w:rPr>
              <w:t xml:space="preserve"> </w:t>
            </w:r>
            <w:r w:rsidRPr="00424171">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80"/>
              </w:numPr>
              <w:tabs>
                <w:tab w:val="left" w:pos="305"/>
              </w:tabs>
              <w:spacing w:before="70"/>
              <w:rPr>
                <w:sz w:val="16"/>
                <w:szCs w:val="16"/>
              </w:rPr>
            </w:pPr>
            <w:r w:rsidRPr="00424171">
              <w:rPr>
                <w:color w:val="231F20"/>
                <w:sz w:val="16"/>
                <w:szCs w:val="16"/>
              </w:rPr>
              <w:t>0</w:t>
            </w:r>
            <w:r w:rsidRPr="00424171">
              <w:rPr>
                <w:color w:val="231F20"/>
                <w:spacing w:val="-1"/>
                <w:sz w:val="16"/>
                <w:szCs w:val="16"/>
              </w:rPr>
              <w:t xml:space="preserve"> </w:t>
            </w:r>
            <w:r w:rsidRPr="00424171">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9"/>
              </w:numPr>
              <w:tabs>
                <w:tab w:val="left" w:pos="305"/>
              </w:tabs>
              <w:spacing w:before="70"/>
              <w:rPr>
                <w:sz w:val="16"/>
                <w:szCs w:val="16"/>
              </w:rPr>
            </w:pPr>
            <w:r w:rsidRPr="00424171">
              <w:rPr>
                <w:color w:val="231F20"/>
                <w:sz w:val="16"/>
                <w:szCs w:val="16"/>
              </w:rPr>
              <w:t>647</w:t>
            </w:r>
            <w:r w:rsidRPr="00424171">
              <w:rPr>
                <w:color w:val="231F20"/>
                <w:spacing w:val="-2"/>
                <w:sz w:val="16"/>
                <w:szCs w:val="16"/>
              </w:rPr>
              <w:t xml:space="preserve"> </w:t>
            </w:r>
            <w:r w:rsidRPr="00424171">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8"/>
              </w:numPr>
              <w:tabs>
                <w:tab w:val="left" w:pos="305"/>
              </w:tabs>
              <w:spacing w:before="70"/>
              <w:rPr>
                <w:sz w:val="16"/>
                <w:szCs w:val="16"/>
              </w:rPr>
            </w:pPr>
            <w:r w:rsidRPr="00424171">
              <w:rPr>
                <w:color w:val="231F20"/>
                <w:sz w:val="16"/>
                <w:szCs w:val="16"/>
              </w:rPr>
              <w:t>647</w:t>
            </w:r>
            <w:r w:rsidRPr="00424171">
              <w:rPr>
                <w:color w:val="231F20"/>
                <w:spacing w:val="-2"/>
                <w:sz w:val="16"/>
                <w:szCs w:val="16"/>
              </w:rPr>
              <w:t xml:space="preserve"> </w:t>
            </w:r>
            <w:r w:rsidRPr="00424171">
              <w:rPr>
                <w:color w:val="231F20"/>
                <w:sz w:val="16"/>
                <w:szCs w:val="16"/>
              </w:rPr>
              <w:t>ML</w:t>
            </w:r>
          </w:p>
        </w:tc>
      </w:tr>
      <w:tr w:rsidR="006A7A3F" w:rsidTr="005467AC">
        <w:trPr>
          <w:trHeight w:val="333"/>
        </w:trPr>
        <w:tc>
          <w:tcPr>
            <w:tcW w:w="10205" w:type="dxa"/>
            <w:gridSpan w:val="5"/>
            <w:tcBorders>
              <w:top w:val="single" w:sz="4" w:space="0" w:color="231F20"/>
              <w:left w:val="single" w:sz="4" w:space="0" w:color="231F20"/>
              <w:bottom w:val="single" w:sz="4" w:space="0" w:color="231F20"/>
              <w:right w:val="single" w:sz="4" w:space="0" w:color="231F20"/>
            </w:tcBorders>
            <w:shd w:val="clear" w:color="auto" w:fill="E6E7E8"/>
          </w:tcPr>
          <w:p w:rsidR="006A7A3F" w:rsidRPr="00424171" w:rsidRDefault="00BC7372">
            <w:pPr>
              <w:pStyle w:val="TableParagraph"/>
              <w:spacing w:before="74"/>
              <w:ind w:left="85"/>
              <w:rPr>
                <w:b/>
                <w:bCs/>
                <w:sz w:val="16"/>
                <w:szCs w:val="16"/>
              </w:rPr>
            </w:pPr>
            <w:r w:rsidRPr="00424171">
              <w:rPr>
                <w:b/>
                <w:bCs/>
                <w:color w:val="231F20"/>
                <w:sz w:val="16"/>
                <w:szCs w:val="16"/>
              </w:rPr>
              <w:t>Upper Broken Creek</w:t>
            </w:r>
          </w:p>
        </w:tc>
      </w:tr>
      <w:tr w:rsidR="006A7A3F" w:rsidTr="005467AC">
        <w:trPr>
          <w:trHeight w:val="78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72"/>
              <w:jc w:val="both"/>
              <w:rPr>
                <w:sz w:val="16"/>
              </w:rPr>
            </w:pPr>
            <w:r>
              <w:rPr>
                <w:color w:val="231F20"/>
                <w:sz w:val="16"/>
              </w:rPr>
              <w:t>Potential environmental watering – tier 1a (high priorities)</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7"/>
              </w:numPr>
              <w:tabs>
                <w:tab w:val="left" w:pos="305"/>
              </w:tabs>
              <w:spacing w:before="70"/>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6"/>
              </w:numPr>
              <w:tabs>
                <w:tab w:val="left" w:pos="305"/>
              </w:tabs>
              <w:spacing w:before="70"/>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5"/>
              </w:numPr>
              <w:tabs>
                <w:tab w:val="left" w:pos="305"/>
              </w:tabs>
              <w:spacing w:before="70" w:line="254" w:lineRule="auto"/>
              <w:ind w:right="213"/>
              <w:rPr>
                <w:sz w:val="16"/>
                <w:szCs w:val="16"/>
              </w:rPr>
            </w:pPr>
            <w:r w:rsidRPr="00424171">
              <w:rPr>
                <w:color w:val="231F20"/>
                <w:sz w:val="16"/>
                <w:szCs w:val="16"/>
              </w:rPr>
              <w:t>One summer/ autumn fresh (partial, if</w:t>
            </w:r>
            <w:r w:rsidRPr="00424171">
              <w:rPr>
                <w:color w:val="231F20"/>
                <w:spacing w:val="-14"/>
                <w:sz w:val="16"/>
                <w:szCs w:val="16"/>
              </w:rPr>
              <w:t xml:space="preserve"> </w:t>
            </w:r>
            <w:r w:rsidRPr="00424171">
              <w:rPr>
                <w:color w:val="231F20"/>
                <w:sz w:val="16"/>
                <w:szCs w:val="16"/>
              </w:rPr>
              <w:t>required)</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4"/>
              </w:numPr>
              <w:tabs>
                <w:tab w:val="left" w:pos="305"/>
              </w:tabs>
              <w:spacing w:before="70" w:line="254" w:lineRule="auto"/>
              <w:ind w:right="213"/>
              <w:rPr>
                <w:sz w:val="16"/>
                <w:szCs w:val="16"/>
              </w:rPr>
            </w:pPr>
            <w:r w:rsidRPr="00424171">
              <w:rPr>
                <w:color w:val="231F20"/>
                <w:sz w:val="16"/>
                <w:szCs w:val="16"/>
              </w:rPr>
              <w:t>One summer/ autumn fresh (partial, if</w:t>
            </w:r>
            <w:r w:rsidRPr="00424171">
              <w:rPr>
                <w:color w:val="231F20"/>
                <w:spacing w:val="-14"/>
                <w:sz w:val="16"/>
                <w:szCs w:val="16"/>
              </w:rPr>
              <w:t xml:space="preserve"> </w:t>
            </w:r>
            <w:r w:rsidRPr="00424171">
              <w:rPr>
                <w:color w:val="231F20"/>
                <w:sz w:val="16"/>
                <w:szCs w:val="16"/>
              </w:rPr>
              <w:t>required)</w:t>
            </w:r>
          </w:p>
        </w:tc>
      </w:tr>
      <w:tr w:rsidR="006A7A3F" w:rsidTr="005467AC">
        <w:trPr>
          <w:trHeight w:val="205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72"/>
              <w:jc w:val="both"/>
              <w:rPr>
                <w:sz w:val="16"/>
              </w:rPr>
            </w:pPr>
            <w:r>
              <w:rPr>
                <w:color w:val="231F20"/>
                <w:sz w:val="16"/>
              </w:rPr>
              <w:t>Potential environmental watering – tier 1b (high priorities with shortfall)</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3"/>
              </w:numPr>
              <w:tabs>
                <w:tab w:val="left" w:pos="305"/>
              </w:tabs>
              <w:spacing w:before="70" w:line="254" w:lineRule="auto"/>
              <w:ind w:right="633"/>
              <w:rPr>
                <w:sz w:val="16"/>
                <w:szCs w:val="16"/>
              </w:rPr>
            </w:pPr>
            <w:r w:rsidRPr="00424171">
              <w:rPr>
                <w:color w:val="231F20"/>
                <w:sz w:val="16"/>
                <w:szCs w:val="16"/>
              </w:rPr>
              <w:t xml:space="preserve">One </w:t>
            </w:r>
            <w:r w:rsidRPr="00424171">
              <w:rPr>
                <w:color w:val="231F20"/>
                <w:spacing w:val="-3"/>
                <w:sz w:val="16"/>
                <w:szCs w:val="16"/>
              </w:rPr>
              <w:t xml:space="preserve">summer/ </w:t>
            </w:r>
            <w:r w:rsidRPr="00424171">
              <w:rPr>
                <w:color w:val="231F20"/>
                <w:sz w:val="16"/>
                <w:szCs w:val="16"/>
              </w:rPr>
              <w:t>autumn</w:t>
            </w:r>
            <w:r w:rsidRPr="00424171">
              <w:rPr>
                <w:color w:val="231F20"/>
                <w:spacing w:val="-4"/>
                <w:sz w:val="16"/>
                <w:szCs w:val="16"/>
              </w:rPr>
              <w:t xml:space="preserve"> </w:t>
            </w:r>
            <w:r w:rsidRPr="00424171">
              <w:rPr>
                <w:color w:val="231F20"/>
                <w:sz w:val="16"/>
                <w:szCs w:val="16"/>
              </w:rPr>
              <w:t>fresh</w:t>
            </w:r>
          </w:p>
          <w:p w:rsidR="006A7A3F" w:rsidRPr="00424171" w:rsidRDefault="00BC7372">
            <w:pPr>
              <w:pStyle w:val="TableParagraph"/>
              <w:numPr>
                <w:ilvl w:val="0"/>
                <w:numId w:val="173"/>
              </w:numPr>
              <w:tabs>
                <w:tab w:val="left" w:pos="305"/>
              </w:tabs>
              <w:spacing w:before="87" w:line="254" w:lineRule="auto"/>
              <w:ind w:right="73"/>
              <w:rPr>
                <w:sz w:val="16"/>
                <w:szCs w:val="16"/>
              </w:rPr>
            </w:pPr>
            <w:r w:rsidRPr="00424171">
              <w:rPr>
                <w:color w:val="231F20"/>
                <w:sz w:val="16"/>
                <w:szCs w:val="16"/>
              </w:rPr>
              <w:t xml:space="preserve">Summer/autumn </w:t>
            </w:r>
            <w:r w:rsidRPr="00424171">
              <w:rPr>
                <w:color w:val="231F20"/>
                <w:spacing w:val="-6"/>
                <w:sz w:val="16"/>
                <w:szCs w:val="16"/>
              </w:rPr>
              <w:t xml:space="preserve">low </w:t>
            </w:r>
            <w:r w:rsidRPr="00424171">
              <w:rPr>
                <w:color w:val="231F20"/>
                <w:sz w:val="16"/>
                <w:szCs w:val="16"/>
              </w:rPr>
              <w:t>flow</w:t>
            </w:r>
          </w:p>
          <w:p w:rsidR="006A7A3F" w:rsidRPr="00424171" w:rsidRDefault="00BC7372">
            <w:pPr>
              <w:pStyle w:val="TableParagraph"/>
              <w:numPr>
                <w:ilvl w:val="0"/>
                <w:numId w:val="173"/>
              </w:numPr>
              <w:tabs>
                <w:tab w:val="left" w:pos="305"/>
              </w:tabs>
              <w:spacing w:before="86" w:line="254" w:lineRule="auto"/>
              <w:ind w:right="343"/>
              <w:rPr>
                <w:sz w:val="16"/>
                <w:szCs w:val="16"/>
              </w:rPr>
            </w:pPr>
            <w:r w:rsidRPr="00424171">
              <w:rPr>
                <w:color w:val="231F20"/>
                <w:sz w:val="16"/>
                <w:szCs w:val="16"/>
              </w:rPr>
              <w:t xml:space="preserve">Winter/spring </w:t>
            </w:r>
            <w:r w:rsidRPr="00424171">
              <w:rPr>
                <w:color w:val="231F20"/>
                <w:spacing w:val="-6"/>
                <w:sz w:val="16"/>
                <w:szCs w:val="16"/>
              </w:rPr>
              <w:t xml:space="preserve">low </w:t>
            </w:r>
            <w:r w:rsidRPr="00424171">
              <w:rPr>
                <w:color w:val="231F20"/>
                <w:sz w:val="16"/>
                <w:szCs w:val="16"/>
              </w:rPr>
              <w:t>flow</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2"/>
              </w:numPr>
              <w:tabs>
                <w:tab w:val="left" w:pos="305"/>
              </w:tabs>
              <w:spacing w:before="70" w:line="254" w:lineRule="auto"/>
              <w:ind w:right="633"/>
              <w:rPr>
                <w:sz w:val="16"/>
                <w:szCs w:val="16"/>
              </w:rPr>
            </w:pPr>
            <w:r w:rsidRPr="00424171">
              <w:rPr>
                <w:color w:val="231F20"/>
                <w:sz w:val="16"/>
                <w:szCs w:val="16"/>
              </w:rPr>
              <w:t xml:space="preserve">One </w:t>
            </w:r>
            <w:r w:rsidRPr="00424171">
              <w:rPr>
                <w:color w:val="231F20"/>
                <w:spacing w:val="-3"/>
                <w:sz w:val="16"/>
                <w:szCs w:val="16"/>
              </w:rPr>
              <w:t xml:space="preserve">summer/ </w:t>
            </w:r>
            <w:r w:rsidRPr="00424171">
              <w:rPr>
                <w:color w:val="231F20"/>
                <w:sz w:val="16"/>
                <w:szCs w:val="16"/>
              </w:rPr>
              <w:t>autumn</w:t>
            </w:r>
            <w:r w:rsidRPr="00424171">
              <w:rPr>
                <w:color w:val="231F20"/>
                <w:spacing w:val="-4"/>
                <w:sz w:val="16"/>
                <w:szCs w:val="16"/>
              </w:rPr>
              <w:t xml:space="preserve"> </w:t>
            </w:r>
            <w:r w:rsidRPr="00424171">
              <w:rPr>
                <w:color w:val="231F20"/>
                <w:sz w:val="16"/>
                <w:szCs w:val="16"/>
              </w:rPr>
              <w:t>fresh</w:t>
            </w:r>
          </w:p>
          <w:p w:rsidR="006A7A3F" w:rsidRPr="00424171" w:rsidRDefault="00BC7372">
            <w:pPr>
              <w:pStyle w:val="TableParagraph"/>
              <w:numPr>
                <w:ilvl w:val="0"/>
                <w:numId w:val="172"/>
              </w:numPr>
              <w:tabs>
                <w:tab w:val="left" w:pos="305"/>
              </w:tabs>
              <w:spacing w:before="87" w:line="254" w:lineRule="auto"/>
              <w:ind w:right="73"/>
              <w:rPr>
                <w:sz w:val="16"/>
                <w:szCs w:val="16"/>
              </w:rPr>
            </w:pPr>
            <w:r w:rsidRPr="00424171">
              <w:rPr>
                <w:color w:val="231F20"/>
                <w:sz w:val="16"/>
                <w:szCs w:val="16"/>
              </w:rPr>
              <w:t xml:space="preserve">Summer/autumn </w:t>
            </w:r>
            <w:r w:rsidRPr="00424171">
              <w:rPr>
                <w:color w:val="231F20"/>
                <w:spacing w:val="-6"/>
                <w:sz w:val="16"/>
                <w:szCs w:val="16"/>
              </w:rPr>
              <w:t xml:space="preserve">low </w:t>
            </w:r>
            <w:r w:rsidRPr="00424171">
              <w:rPr>
                <w:color w:val="231F20"/>
                <w:sz w:val="16"/>
                <w:szCs w:val="16"/>
              </w:rPr>
              <w:t>flow</w:t>
            </w:r>
          </w:p>
          <w:p w:rsidR="006A7A3F" w:rsidRPr="00424171" w:rsidRDefault="00BC7372">
            <w:pPr>
              <w:pStyle w:val="TableParagraph"/>
              <w:numPr>
                <w:ilvl w:val="0"/>
                <w:numId w:val="172"/>
              </w:numPr>
              <w:tabs>
                <w:tab w:val="left" w:pos="305"/>
              </w:tabs>
              <w:spacing w:before="86" w:line="254" w:lineRule="auto"/>
              <w:ind w:right="343"/>
              <w:rPr>
                <w:sz w:val="16"/>
                <w:szCs w:val="16"/>
              </w:rPr>
            </w:pPr>
            <w:r w:rsidRPr="00424171">
              <w:rPr>
                <w:color w:val="231F20"/>
                <w:sz w:val="16"/>
                <w:szCs w:val="16"/>
              </w:rPr>
              <w:t xml:space="preserve">Winter/spring </w:t>
            </w:r>
            <w:r w:rsidRPr="00424171">
              <w:rPr>
                <w:color w:val="231F20"/>
                <w:spacing w:val="-6"/>
                <w:sz w:val="16"/>
                <w:szCs w:val="16"/>
              </w:rPr>
              <w:t xml:space="preserve">low </w:t>
            </w:r>
            <w:r w:rsidRPr="00424171">
              <w:rPr>
                <w:color w:val="231F20"/>
                <w:sz w:val="16"/>
                <w:szCs w:val="16"/>
              </w:rPr>
              <w:t>flow</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1"/>
              </w:numPr>
              <w:tabs>
                <w:tab w:val="left" w:pos="305"/>
              </w:tabs>
              <w:spacing w:before="70" w:line="254" w:lineRule="auto"/>
              <w:ind w:right="183"/>
              <w:rPr>
                <w:sz w:val="16"/>
                <w:szCs w:val="16"/>
              </w:rPr>
            </w:pPr>
            <w:r w:rsidRPr="00424171">
              <w:rPr>
                <w:color w:val="231F20"/>
                <w:sz w:val="16"/>
                <w:szCs w:val="16"/>
              </w:rPr>
              <w:t>One summer/ autumn fresh (remaining</w:t>
            </w:r>
            <w:r w:rsidRPr="00424171">
              <w:rPr>
                <w:color w:val="231F20"/>
                <w:spacing w:val="3"/>
                <w:sz w:val="16"/>
                <w:szCs w:val="16"/>
              </w:rPr>
              <w:t xml:space="preserve"> </w:t>
            </w:r>
            <w:r w:rsidRPr="00424171">
              <w:rPr>
                <w:color w:val="231F20"/>
                <w:spacing w:val="-3"/>
                <w:sz w:val="16"/>
                <w:szCs w:val="16"/>
              </w:rPr>
              <w:t>volume)</w:t>
            </w:r>
          </w:p>
          <w:p w:rsidR="006A7A3F" w:rsidRPr="00424171" w:rsidRDefault="00BC7372">
            <w:pPr>
              <w:pStyle w:val="TableParagraph"/>
              <w:numPr>
                <w:ilvl w:val="0"/>
                <w:numId w:val="171"/>
              </w:numPr>
              <w:tabs>
                <w:tab w:val="left" w:pos="305"/>
              </w:tabs>
              <w:spacing w:before="87" w:line="254" w:lineRule="auto"/>
              <w:ind w:right="183"/>
              <w:rPr>
                <w:sz w:val="16"/>
                <w:szCs w:val="16"/>
              </w:rPr>
            </w:pPr>
            <w:r w:rsidRPr="00424171">
              <w:rPr>
                <w:color w:val="231F20"/>
                <w:sz w:val="16"/>
                <w:szCs w:val="16"/>
              </w:rPr>
              <w:t>Summer/autumn low flow (remaining volume)</w:t>
            </w:r>
          </w:p>
          <w:p w:rsidR="006A7A3F" w:rsidRPr="00424171" w:rsidRDefault="00BC7372">
            <w:pPr>
              <w:pStyle w:val="TableParagraph"/>
              <w:numPr>
                <w:ilvl w:val="0"/>
                <w:numId w:val="171"/>
              </w:numPr>
              <w:tabs>
                <w:tab w:val="left" w:pos="305"/>
              </w:tabs>
              <w:spacing w:before="87" w:line="254" w:lineRule="auto"/>
              <w:ind w:right="343"/>
              <w:rPr>
                <w:sz w:val="16"/>
                <w:szCs w:val="16"/>
              </w:rPr>
            </w:pPr>
            <w:r w:rsidRPr="00424171">
              <w:rPr>
                <w:color w:val="231F20"/>
                <w:sz w:val="16"/>
                <w:szCs w:val="16"/>
              </w:rPr>
              <w:t xml:space="preserve">Winter/spring </w:t>
            </w:r>
            <w:r w:rsidRPr="00424171">
              <w:rPr>
                <w:color w:val="231F20"/>
                <w:spacing w:val="-6"/>
                <w:sz w:val="16"/>
                <w:szCs w:val="16"/>
              </w:rPr>
              <w:t xml:space="preserve">low </w:t>
            </w:r>
            <w:r w:rsidRPr="00424171">
              <w:rPr>
                <w:color w:val="231F20"/>
                <w:sz w:val="16"/>
                <w:szCs w:val="16"/>
              </w:rPr>
              <w:t>flow</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70"/>
              </w:numPr>
              <w:tabs>
                <w:tab w:val="left" w:pos="305"/>
              </w:tabs>
              <w:spacing w:before="70" w:line="254" w:lineRule="auto"/>
              <w:ind w:right="183"/>
              <w:rPr>
                <w:sz w:val="16"/>
                <w:szCs w:val="16"/>
              </w:rPr>
            </w:pPr>
            <w:r w:rsidRPr="00424171">
              <w:rPr>
                <w:color w:val="231F20"/>
                <w:sz w:val="16"/>
                <w:szCs w:val="16"/>
              </w:rPr>
              <w:t>One summer/ autumn fresh (remaining</w:t>
            </w:r>
            <w:r w:rsidRPr="00424171">
              <w:rPr>
                <w:color w:val="231F20"/>
                <w:spacing w:val="3"/>
                <w:sz w:val="16"/>
                <w:szCs w:val="16"/>
              </w:rPr>
              <w:t xml:space="preserve"> </w:t>
            </w:r>
            <w:r w:rsidRPr="00424171">
              <w:rPr>
                <w:color w:val="231F20"/>
                <w:spacing w:val="-3"/>
                <w:sz w:val="16"/>
                <w:szCs w:val="16"/>
              </w:rPr>
              <w:t>volume)</w:t>
            </w:r>
          </w:p>
        </w:tc>
      </w:tr>
      <w:tr w:rsidR="006A7A3F" w:rsidTr="005467AC">
        <w:trPr>
          <w:trHeight w:val="7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53"/>
              <w:rPr>
                <w:sz w:val="16"/>
              </w:rPr>
            </w:pPr>
            <w:r>
              <w:rPr>
                <w:color w:val="231F20"/>
                <w:sz w:val="16"/>
              </w:rPr>
              <w:t>Potential environmental watering – tier 2 (additional priorities)</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69"/>
              </w:numPr>
              <w:tabs>
                <w:tab w:val="left" w:pos="305"/>
              </w:tabs>
              <w:spacing w:before="70"/>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68"/>
              </w:numPr>
              <w:tabs>
                <w:tab w:val="left" w:pos="305"/>
              </w:tabs>
              <w:spacing w:before="70"/>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67"/>
              </w:numPr>
              <w:tabs>
                <w:tab w:val="left" w:pos="305"/>
              </w:tabs>
              <w:spacing w:before="70"/>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66"/>
              </w:numPr>
              <w:tabs>
                <w:tab w:val="left" w:pos="305"/>
              </w:tabs>
              <w:spacing w:before="70"/>
              <w:rPr>
                <w:sz w:val="16"/>
                <w:szCs w:val="16"/>
              </w:rPr>
            </w:pPr>
            <w:r w:rsidRPr="00424171">
              <w:rPr>
                <w:color w:val="231F20"/>
                <w:sz w:val="16"/>
                <w:szCs w:val="16"/>
              </w:rPr>
              <w:t>N/A</w:t>
            </w:r>
          </w:p>
        </w:tc>
      </w:tr>
      <w:tr w:rsidR="006A7A3F" w:rsidTr="005467AC">
        <w:trPr>
          <w:trHeight w:val="333"/>
        </w:trPr>
        <w:tc>
          <w:tcPr>
            <w:tcW w:w="10205" w:type="dxa"/>
            <w:gridSpan w:val="5"/>
            <w:tcBorders>
              <w:top w:val="single" w:sz="4" w:space="0" w:color="231F20"/>
              <w:left w:val="single" w:sz="4" w:space="0" w:color="231F20"/>
              <w:bottom w:val="single" w:sz="4" w:space="0" w:color="231F20"/>
              <w:right w:val="single" w:sz="4" w:space="0" w:color="231F20"/>
            </w:tcBorders>
            <w:shd w:val="clear" w:color="auto" w:fill="E6E7E8"/>
          </w:tcPr>
          <w:p w:rsidR="006A7A3F" w:rsidRPr="00424171" w:rsidRDefault="00BC7372">
            <w:pPr>
              <w:pStyle w:val="TableParagraph"/>
              <w:spacing w:before="74"/>
              <w:ind w:left="85"/>
              <w:rPr>
                <w:b/>
                <w:bCs/>
                <w:sz w:val="16"/>
              </w:rPr>
            </w:pPr>
            <w:r w:rsidRPr="00424171">
              <w:rPr>
                <w:b/>
                <w:bCs/>
                <w:color w:val="231F20"/>
                <w:sz w:val="16"/>
              </w:rPr>
              <w:t>Broken River</w:t>
            </w:r>
          </w:p>
        </w:tc>
      </w:tr>
      <w:tr w:rsidR="00424171" w:rsidTr="005467AC">
        <w:trPr>
          <w:trHeight w:val="333"/>
        </w:trPr>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Default="00424171" w:rsidP="00424171">
            <w:pPr>
              <w:pStyle w:val="TableParagraph"/>
              <w:spacing w:before="67" w:line="261" w:lineRule="auto"/>
              <w:ind w:left="85" w:right="272"/>
              <w:jc w:val="both"/>
              <w:rPr>
                <w:sz w:val="16"/>
              </w:rPr>
            </w:pPr>
            <w:r>
              <w:rPr>
                <w:color w:val="231F20"/>
                <w:sz w:val="16"/>
              </w:rPr>
              <w:t>Potential environmental watering – tier 1a (high priorities)</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65"/>
              </w:numPr>
              <w:tabs>
                <w:tab w:val="left" w:pos="305"/>
              </w:tabs>
              <w:spacing w:before="63"/>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64"/>
              </w:numPr>
              <w:tabs>
                <w:tab w:val="left" w:pos="305"/>
              </w:tabs>
              <w:spacing w:before="63"/>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63"/>
              </w:numPr>
              <w:tabs>
                <w:tab w:val="left" w:pos="305"/>
              </w:tabs>
              <w:spacing w:before="63"/>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62"/>
              </w:numPr>
              <w:tabs>
                <w:tab w:val="left" w:pos="305"/>
              </w:tabs>
              <w:spacing w:before="63"/>
              <w:rPr>
                <w:sz w:val="16"/>
                <w:szCs w:val="16"/>
              </w:rPr>
            </w:pPr>
            <w:r w:rsidRPr="00424171">
              <w:rPr>
                <w:color w:val="231F20"/>
                <w:sz w:val="16"/>
                <w:szCs w:val="16"/>
              </w:rPr>
              <w:t>N/A</w:t>
            </w:r>
          </w:p>
        </w:tc>
      </w:tr>
      <w:tr w:rsidR="00424171" w:rsidTr="005467AC">
        <w:trPr>
          <w:trHeight w:val="333"/>
        </w:trPr>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Default="00424171" w:rsidP="00424171">
            <w:pPr>
              <w:pStyle w:val="TableParagraph"/>
              <w:spacing w:before="67" w:line="261" w:lineRule="auto"/>
              <w:ind w:left="85" w:right="272"/>
              <w:jc w:val="both"/>
              <w:rPr>
                <w:sz w:val="16"/>
              </w:rPr>
            </w:pPr>
            <w:r>
              <w:rPr>
                <w:color w:val="231F20"/>
                <w:sz w:val="16"/>
              </w:rPr>
              <w:t>Potential environmental watering – tier 1b (high priorities with shortfall)</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61"/>
              </w:numPr>
              <w:tabs>
                <w:tab w:val="left" w:pos="305"/>
              </w:tabs>
              <w:spacing w:before="63"/>
              <w:rPr>
                <w:sz w:val="16"/>
                <w:szCs w:val="16"/>
              </w:rPr>
            </w:pPr>
            <w:r w:rsidRPr="00424171">
              <w:rPr>
                <w:color w:val="231F20"/>
                <w:spacing w:val="-3"/>
                <w:sz w:val="16"/>
                <w:szCs w:val="16"/>
              </w:rPr>
              <w:t xml:space="preserve">Year-round </w:t>
            </w:r>
            <w:r w:rsidRPr="00424171">
              <w:rPr>
                <w:color w:val="231F20"/>
                <w:sz w:val="16"/>
                <w:szCs w:val="16"/>
              </w:rPr>
              <w:t>low</w:t>
            </w:r>
            <w:r w:rsidRPr="00424171">
              <w:rPr>
                <w:color w:val="231F20"/>
                <w:spacing w:val="2"/>
                <w:sz w:val="16"/>
                <w:szCs w:val="16"/>
              </w:rPr>
              <w:t xml:space="preserve"> </w:t>
            </w:r>
            <w:r w:rsidRPr="00424171">
              <w:rPr>
                <w:color w:val="231F20"/>
                <w:sz w:val="16"/>
                <w:szCs w:val="16"/>
              </w:rPr>
              <w:t>flow</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60"/>
              </w:numPr>
              <w:tabs>
                <w:tab w:val="left" w:pos="305"/>
              </w:tabs>
              <w:spacing w:before="63"/>
              <w:rPr>
                <w:sz w:val="16"/>
                <w:szCs w:val="16"/>
              </w:rPr>
            </w:pPr>
            <w:r w:rsidRPr="00424171">
              <w:rPr>
                <w:color w:val="231F20"/>
                <w:spacing w:val="-3"/>
                <w:sz w:val="16"/>
                <w:szCs w:val="16"/>
              </w:rPr>
              <w:t xml:space="preserve">Year-round </w:t>
            </w:r>
            <w:r w:rsidRPr="00424171">
              <w:rPr>
                <w:color w:val="231F20"/>
                <w:sz w:val="16"/>
                <w:szCs w:val="16"/>
              </w:rPr>
              <w:t>low</w:t>
            </w:r>
            <w:r w:rsidRPr="00424171">
              <w:rPr>
                <w:color w:val="231F20"/>
                <w:spacing w:val="2"/>
                <w:sz w:val="16"/>
                <w:szCs w:val="16"/>
              </w:rPr>
              <w:t xml:space="preserve"> </w:t>
            </w:r>
            <w:r w:rsidRPr="00424171">
              <w:rPr>
                <w:color w:val="231F20"/>
                <w:sz w:val="16"/>
                <w:szCs w:val="16"/>
              </w:rPr>
              <w:t>flow</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9"/>
              </w:numPr>
              <w:tabs>
                <w:tab w:val="left" w:pos="305"/>
              </w:tabs>
              <w:spacing w:before="63"/>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8"/>
              </w:numPr>
              <w:tabs>
                <w:tab w:val="left" w:pos="305"/>
              </w:tabs>
              <w:spacing w:before="63"/>
              <w:rPr>
                <w:sz w:val="16"/>
                <w:szCs w:val="16"/>
              </w:rPr>
            </w:pPr>
            <w:r w:rsidRPr="00424171">
              <w:rPr>
                <w:color w:val="231F20"/>
                <w:sz w:val="16"/>
                <w:szCs w:val="16"/>
              </w:rPr>
              <w:t>N/A</w:t>
            </w:r>
          </w:p>
        </w:tc>
      </w:tr>
      <w:tr w:rsidR="00424171" w:rsidTr="005467AC">
        <w:trPr>
          <w:trHeight w:val="333"/>
        </w:trPr>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Default="00424171" w:rsidP="00424171">
            <w:pPr>
              <w:pStyle w:val="TableParagraph"/>
              <w:spacing w:before="67" w:line="261" w:lineRule="auto"/>
              <w:ind w:left="85" w:right="253"/>
              <w:rPr>
                <w:sz w:val="16"/>
              </w:rPr>
            </w:pPr>
            <w:r>
              <w:rPr>
                <w:color w:val="231F20"/>
                <w:sz w:val="16"/>
              </w:rPr>
              <w:t>Potential environmental watering – tier 2 (additional priorities)</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7"/>
              </w:numPr>
              <w:tabs>
                <w:tab w:val="left" w:pos="305"/>
              </w:tabs>
              <w:spacing w:before="63"/>
              <w:rPr>
                <w:sz w:val="16"/>
                <w:szCs w:val="16"/>
              </w:rPr>
            </w:pPr>
            <w:r w:rsidRPr="00424171">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6"/>
              </w:numPr>
              <w:tabs>
                <w:tab w:val="left" w:pos="305"/>
              </w:tabs>
              <w:spacing w:before="63" w:line="254" w:lineRule="auto"/>
              <w:ind w:right="393"/>
              <w:rPr>
                <w:sz w:val="16"/>
                <w:szCs w:val="16"/>
              </w:rPr>
            </w:pPr>
            <w:r w:rsidRPr="00424171">
              <w:rPr>
                <w:color w:val="231F20"/>
                <w:sz w:val="16"/>
                <w:szCs w:val="16"/>
              </w:rPr>
              <w:t>Summer/autumn fresh</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5"/>
              </w:numPr>
              <w:tabs>
                <w:tab w:val="left" w:pos="305"/>
              </w:tabs>
              <w:spacing w:before="63" w:line="254" w:lineRule="auto"/>
              <w:ind w:right="393"/>
              <w:rPr>
                <w:sz w:val="16"/>
                <w:szCs w:val="16"/>
              </w:rPr>
            </w:pPr>
            <w:r w:rsidRPr="00424171">
              <w:rPr>
                <w:color w:val="231F20"/>
                <w:sz w:val="16"/>
                <w:szCs w:val="16"/>
              </w:rPr>
              <w:t>Summer/autumn fresh</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4"/>
              </w:numPr>
              <w:tabs>
                <w:tab w:val="left" w:pos="305"/>
              </w:tabs>
              <w:spacing w:before="63"/>
              <w:rPr>
                <w:sz w:val="16"/>
                <w:szCs w:val="16"/>
              </w:rPr>
            </w:pPr>
            <w:r w:rsidRPr="00424171">
              <w:rPr>
                <w:color w:val="231F20"/>
                <w:sz w:val="16"/>
                <w:szCs w:val="16"/>
              </w:rPr>
              <w:t>N/A</w:t>
            </w:r>
          </w:p>
        </w:tc>
      </w:tr>
      <w:tr w:rsidR="00424171" w:rsidTr="005467AC">
        <w:trPr>
          <w:trHeight w:val="333"/>
        </w:trPr>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Default="00424171" w:rsidP="00424171">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1</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3"/>
              </w:numPr>
              <w:tabs>
                <w:tab w:val="left" w:pos="305"/>
              </w:tabs>
              <w:spacing w:before="63"/>
              <w:rPr>
                <w:sz w:val="16"/>
                <w:szCs w:val="16"/>
              </w:rPr>
            </w:pPr>
            <w:r w:rsidRPr="00424171">
              <w:rPr>
                <w:color w:val="231F20"/>
                <w:sz w:val="16"/>
                <w:szCs w:val="16"/>
              </w:rPr>
              <w:t>0 ML (tier</w:t>
            </w:r>
            <w:r w:rsidRPr="00424171">
              <w:rPr>
                <w:color w:val="231F20"/>
                <w:spacing w:val="-9"/>
                <w:sz w:val="16"/>
                <w:szCs w:val="16"/>
              </w:rPr>
              <w:t xml:space="preserve"> </w:t>
            </w:r>
            <w:r w:rsidRPr="00424171">
              <w:rPr>
                <w:color w:val="231F20"/>
                <w:sz w:val="16"/>
                <w:szCs w:val="16"/>
              </w:rPr>
              <w:t>1a)</w:t>
            </w:r>
          </w:p>
          <w:p w:rsidR="00424171" w:rsidRPr="00424171" w:rsidRDefault="00424171" w:rsidP="00424171">
            <w:pPr>
              <w:pStyle w:val="TableParagraph"/>
              <w:numPr>
                <w:ilvl w:val="0"/>
                <w:numId w:val="153"/>
              </w:numPr>
              <w:tabs>
                <w:tab w:val="left" w:pos="305"/>
              </w:tabs>
              <w:spacing w:before="98"/>
              <w:rPr>
                <w:sz w:val="16"/>
                <w:szCs w:val="16"/>
              </w:rPr>
            </w:pPr>
            <w:r w:rsidRPr="00424171">
              <w:rPr>
                <w:color w:val="231F20"/>
                <w:sz w:val="16"/>
                <w:szCs w:val="16"/>
              </w:rPr>
              <w:t>5,510 ML (tier</w:t>
            </w:r>
            <w:r w:rsidRPr="00424171">
              <w:rPr>
                <w:color w:val="231F20"/>
                <w:spacing w:val="-11"/>
                <w:sz w:val="16"/>
                <w:szCs w:val="16"/>
              </w:rPr>
              <w:t xml:space="preserve"> </w:t>
            </w:r>
            <w:r w:rsidRPr="00424171">
              <w:rPr>
                <w:color w:val="231F20"/>
                <w:sz w:val="16"/>
                <w:szCs w:val="16"/>
              </w:rPr>
              <w:t>1b)</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2"/>
              </w:numPr>
              <w:tabs>
                <w:tab w:val="left" w:pos="305"/>
              </w:tabs>
              <w:spacing w:before="63"/>
              <w:rPr>
                <w:sz w:val="16"/>
                <w:szCs w:val="16"/>
              </w:rPr>
            </w:pPr>
            <w:r w:rsidRPr="00424171">
              <w:rPr>
                <w:color w:val="231F20"/>
                <w:sz w:val="16"/>
                <w:szCs w:val="16"/>
              </w:rPr>
              <w:t>0 ML (tier</w:t>
            </w:r>
            <w:r w:rsidRPr="00424171">
              <w:rPr>
                <w:color w:val="231F20"/>
                <w:spacing w:val="-9"/>
                <w:sz w:val="16"/>
                <w:szCs w:val="16"/>
              </w:rPr>
              <w:t xml:space="preserve"> </w:t>
            </w:r>
            <w:r w:rsidRPr="00424171">
              <w:rPr>
                <w:color w:val="231F20"/>
                <w:sz w:val="16"/>
                <w:szCs w:val="16"/>
              </w:rPr>
              <w:t>1a)</w:t>
            </w:r>
          </w:p>
          <w:p w:rsidR="00424171" w:rsidRPr="00424171" w:rsidRDefault="00424171" w:rsidP="00424171">
            <w:pPr>
              <w:pStyle w:val="TableParagraph"/>
              <w:numPr>
                <w:ilvl w:val="0"/>
                <w:numId w:val="152"/>
              </w:numPr>
              <w:tabs>
                <w:tab w:val="left" w:pos="305"/>
              </w:tabs>
              <w:spacing w:before="98"/>
              <w:rPr>
                <w:sz w:val="16"/>
                <w:szCs w:val="16"/>
              </w:rPr>
            </w:pPr>
            <w:r w:rsidRPr="00424171">
              <w:rPr>
                <w:color w:val="231F20"/>
                <w:sz w:val="16"/>
                <w:szCs w:val="16"/>
              </w:rPr>
              <w:t>3,550 ML (tier</w:t>
            </w:r>
            <w:r w:rsidRPr="00424171">
              <w:rPr>
                <w:color w:val="231F20"/>
                <w:spacing w:val="-11"/>
                <w:sz w:val="16"/>
                <w:szCs w:val="16"/>
              </w:rPr>
              <w:t xml:space="preserve"> </w:t>
            </w:r>
            <w:r w:rsidRPr="00424171">
              <w:rPr>
                <w:color w:val="231F20"/>
                <w:sz w:val="16"/>
                <w:szCs w:val="16"/>
              </w:rPr>
              <w:t>1b)</w:t>
            </w:r>
          </w:p>
          <w:p w:rsidR="00424171" w:rsidRPr="00424171" w:rsidRDefault="00424171" w:rsidP="00424171">
            <w:pPr>
              <w:pStyle w:val="TableParagraph"/>
              <w:numPr>
                <w:ilvl w:val="0"/>
                <w:numId w:val="152"/>
              </w:numPr>
              <w:tabs>
                <w:tab w:val="left" w:pos="305"/>
              </w:tabs>
              <w:spacing w:before="98"/>
              <w:rPr>
                <w:sz w:val="16"/>
                <w:szCs w:val="16"/>
              </w:rPr>
            </w:pPr>
            <w:r w:rsidRPr="00424171">
              <w:rPr>
                <w:color w:val="231F20"/>
                <w:sz w:val="16"/>
                <w:szCs w:val="16"/>
              </w:rPr>
              <w:t>5,800 ML (tier</w:t>
            </w:r>
            <w:r w:rsidRPr="00424171">
              <w:rPr>
                <w:color w:val="231F20"/>
                <w:spacing w:val="-10"/>
                <w:sz w:val="16"/>
                <w:szCs w:val="16"/>
              </w:rPr>
              <w:t xml:space="preserve"> </w:t>
            </w:r>
            <w:r w:rsidRPr="00424171">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1"/>
              </w:numPr>
              <w:tabs>
                <w:tab w:val="left" w:pos="305"/>
              </w:tabs>
              <w:spacing w:before="63"/>
              <w:rPr>
                <w:sz w:val="16"/>
                <w:szCs w:val="16"/>
              </w:rPr>
            </w:pPr>
            <w:r w:rsidRPr="00424171">
              <w:rPr>
                <w:color w:val="231F20"/>
                <w:sz w:val="16"/>
                <w:szCs w:val="16"/>
              </w:rPr>
              <w:t>1,000 ML (tier</w:t>
            </w:r>
            <w:r w:rsidRPr="00424171">
              <w:rPr>
                <w:color w:val="231F20"/>
                <w:spacing w:val="-15"/>
                <w:sz w:val="16"/>
                <w:szCs w:val="16"/>
              </w:rPr>
              <w:t xml:space="preserve"> </w:t>
            </w:r>
            <w:r w:rsidRPr="00424171">
              <w:rPr>
                <w:color w:val="231F20"/>
                <w:sz w:val="16"/>
                <w:szCs w:val="16"/>
              </w:rPr>
              <w:t>1a)</w:t>
            </w:r>
          </w:p>
          <w:p w:rsidR="00424171" w:rsidRPr="00424171" w:rsidRDefault="00424171" w:rsidP="00424171">
            <w:pPr>
              <w:pStyle w:val="TableParagraph"/>
              <w:numPr>
                <w:ilvl w:val="0"/>
                <w:numId w:val="151"/>
              </w:numPr>
              <w:tabs>
                <w:tab w:val="left" w:pos="305"/>
              </w:tabs>
              <w:spacing w:before="98"/>
              <w:rPr>
                <w:sz w:val="16"/>
                <w:szCs w:val="16"/>
              </w:rPr>
            </w:pPr>
            <w:r w:rsidRPr="00424171">
              <w:rPr>
                <w:color w:val="231F20"/>
                <w:sz w:val="16"/>
                <w:szCs w:val="16"/>
              </w:rPr>
              <w:t>2,010 ML (tier</w:t>
            </w:r>
            <w:r w:rsidRPr="00424171">
              <w:rPr>
                <w:color w:val="231F20"/>
                <w:spacing w:val="-15"/>
                <w:sz w:val="16"/>
                <w:szCs w:val="16"/>
              </w:rPr>
              <w:t xml:space="preserve"> </w:t>
            </w:r>
            <w:r w:rsidRPr="00424171">
              <w:rPr>
                <w:color w:val="231F20"/>
                <w:sz w:val="16"/>
                <w:szCs w:val="16"/>
              </w:rPr>
              <w:t>1b)</w:t>
            </w:r>
          </w:p>
          <w:p w:rsidR="00424171" w:rsidRPr="00424171" w:rsidRDefault="00424171" w:rsidP="00424171">
            <w:pPr>
              <w:pStyle w:val="TableParagraph"/>
              <w:numPr>
                <w:ilvl w:val="0"/>
                <w:numId w:val="151"/>
              </w:numPr>
              <w:tabs>
                <w:tab w:val="left" w:pos="305"/>
              </w:tabs>
              <w:spacing w:before="98"/>
              <w:rPr>
                <w:sz w:val="16"/>
                <w:szCs w:val="16"/>
              </w:rPr>
            </w:pPr>
            <w:r w:rsidRPr="00424171">
              <w:rPr>
                <w:color w:val="231F20"/>
                <w:sz w:val="16"/>
                <w:szCs w:val="16"/>
              </w:rPr>
              <w:t>5,800 ML (tier</w:t>
            </w:r>
            <w:r w:rsidRPr="00424171">
              <w:rPr>
                <w:color w:val="231F20"/>
                <w:spacing w:val="-10"/>
                <w:sz w:val="16"/>
                <w:szCs w:val="16"/>
              </w:rPr>
              <w:t xml:space="preserve"> </w:t>
            </w:r>
            <w:r w:rsidRPr="00424171">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shd w:val="clear" w:color="auto" w:fill="auto"/>
          </w:tcPr>
          <w:p w:rsidR="00424171" w:rsidRPr="00424171" w:rsidRDefault="00424171" w:rsidP="00424171">
            <w:pPr>
              <w:pStyle w:val="TableParagraph"/>
              <w:numPr>
                <w:ilvl w:val="0"/>
                <w:numId w:val="150"/>
              </w:numPr>
              <w:tabs>
                <w:tab w:val="left" w:pos="305"/>
              </w:tabs>
              <w:spacing w:before="63"/>
              <w:rPr>
                <w:sz w:val="16"/>
                <w:szCs w:val="16"/>
              </w:rPr>
            </w:pPr>
            <w:r w:rsidRPr="00424171">
              <w:rPr>
                <w:color w:val="231F20"/>
                <w:sz w:val="16"/>
                <w:szCs w:val="16"/>
              </w:rPr>
              <w:t>1,000 ML (tier</w:t>
            </w:r>
            <w:r w:rsidRPr="00424171">
              <w:rPr>
                <w:color w:val="231F20"/>
                <w:spacing w:val="-11"/>
                <w:sz w:val="16"/>
                <w:szCs w:val="16"/>
              </w:rPr>
              <w:t xml:space="preserve"> </w:t>
            </w:r>
            <w:r w:rsidRPr="00424171">
              <w:rPr>
                <w:color w:val="231F20"/>
                <w:sz w:val="16"/>
                <w:szCs w:val="16"/>
              </w:rPr>
              <w:t>1a)</w:t>
            </w:r>
          </w:p>
        </w:tc>
      </w:tr>
    </w:tbl>
    <w:p w:rsidR="00424171" w:rsidRDefault="00424171">
      <w:pPr>
        <w:spacing w:before="16"/>
        <w:ind w:left="210"/>
        <w:rPr>
          <w:color w:val="231F20"/>
          <w:sz w:val="14"/>
        </w:rPr>
      </w:pPr>
    </w:p>
    <w:p w:rsidR="006A7A3F" w:rsidRDefault="00BC7372">
      <w:pPr>
        <w:spacing w:before="16"/>
        <w:ind w:left="210"/>
        <w:rPr>
          <w:sz w:val="14"/>
        </w:rPr>
      </w:pPr>
      <w:r>
        <w:rPr>
          <w:color w:val="231F20"/>
          <w:sz w:val="14"/>
        </w:rPr>
        <w:t>1 Environmental water requirements for tier 2 actions are additional to tier 1 requirements.</w:t>
      </w:r>
    </w:p>
    <w:p w:rsidR="006A7A3F" w:rsidRDefault="006A7A3F">
      <w:pPr>
        <w:pStyle w:val="BodyText"/>
        <w:spacing w:before="0"/>
        <w:ind w:left="0"/>
        <w:rPr>
          <w:sz w:val="13"/>
        </w:rPr>
      </w:pPr>
    </w:p>
    <w:p w:rsidR="006A7A3F" w:rsidRPr="00424171" w:rsidRDefault="00BC7372">
      <w:pPr>
        <w:pStyle w:val="ListParagraph"/>
        <w:numPr>
          <w:ilvl w:val="2"/>
          <w:numId w:val="577"/>
        </w:numPr>
        <w:tabs>
          <w:tab w:val="left" w:pos="811"/>
        </w:tabs>
        <w:spacing w:before="0"/>
        <w:rPr>
          <w:b/>
          <w:bCs/>
          <w:color w:val="231F20"/>
          <w:sz w:val="24"/>
        </w:rPr>
      </w:pPr>
      <w:r w:rsidRPr="00424171">
        <w:rPr>
          <w:b/>
          <w:bCs/>
          <w:color w:val="231F20"/>
          <w:sz w:val="24"/>
        </w:rPr>
        <w:t>Lower Broken</w:t>
      </w:r>
      <w:r w:rsidRPr="00424171">
        <w:rPr>
          <w:b/>
          <w:bCs/>
          <w:color w:val="231F20"/>
          <w:spacing w:val="-1"/>
          <w:sz w:val="24"/>
        </w:rPr>
        <w:t xml:space="preserve"> </w:t>
      </w:r>
      <w:r w:rsidRPr="00424171">
        <w:rPr>
          <w:b/>
          <w:bCs/>
          <w:color w:val="231F20"/>
          <w:sz w:val="24"/>
        </w:rPr>
        <w:t>Creek</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194"/>
      </w:pPr>
      <w:r>
        <w:rPr>
          <w:color w:val="231F20"/>
        </w:rPr>
        <w:t>The lower Broken Creek system includes the section of Broken Creek that flows from the confluence of Boosey Creek near Katamatite to the Murray River; and Nine Mile Creek, which is an anabranch of lower Broken Creek that flows from the East Goulburn Main Channel to below Numurkah.</w:t>
      </w:r>
    </w:p>
    <w:p w:rsidR="006A7A3F" w:rsidRDefault="006A7A3F">
      <w:pPr>
        <w:pStyle w:val="BodyText"/>
        <w:spacing w:before="7"/>
        <w:ind w:left="0"/>
        <w:rPr>
          <w:sz w:val="21"/>
        </w:rPr>
      </w:pPr>
    </w:p>
    <w:p w:rsidR="006A7A3F" w:rsidRDefault="00BC7372">
      <w:pPr>
        <w:pStyle w:val="BodyText"/>
        <w:spacing w:before="0" w:line="249" w:lineRule="auto"/>
        <w:ind w:right="211"/>
      </w:pPr>
      <w:r>
        <w:rPr>
          <w:color w:val="231F20"/>
        </w:rPr>
        <w:t>Lower Broken and Nine Mile creeks have been regulated for over a century. Before regulation, the creeks would have had most of their flow in winter/spring and contracted to isolated pools or dried out during summer/autumn. The adjacent floodplain would have also flooded regularly. The creeks now have numerous weirs that maintain a relatively constant flow from mid-August until mid-May to support irrigated agriculture. These modifications have changed the way native animals use the creek. Previously, native fish would have moved into the creek when it was flowing and returned to the Murray River as it dried. Both creeks now provide year-round habitat for native fish, and fish passage structures allow fish to move between weir pools. Water for the environment is used to support these permanent fish habitats, by providing flows to trigger fish movement and support fish passage, control water quality and flush azolla as</w:t>
      </w:r>
      <w:r>
        <w:rPr>
          <w:color w:val="231F20"/>
          <w:spacing w:val="-5"/>
        </w:rPr>
        <w:t xml:space="preserve"> </w:t>
      </w:r>
      <w:r>
        <w:rPr>
          <w:color w:val="231F20"/>
          <w:spacing w:val="-3"/>
        </w:rPr>
        <w:t>necessary.</w:t>
      </w:r>
    </w:p>
    <w:p w:rsidR="006A7A3F" w:rsidRDefault="00BC7372">
      <w:pPr>
        <w:pStyle w:val="BodyText"/>
        <w:spacing w:before="178" w:line="249" w:lineRule="auto"/>
        <w:ind w:right="211"/>
        <w:jc w:val="both"/>
      </w:pPr>
      <w:r>
        <w:rPr>
          <w:color w:val="231F20"/>
        </w:rPr>
        <w:t>Lower Broken Creek is operated separately to upper Broken Creek and the Broken River, because regulated water is delivered to lower Broken Creek from the Goulburn and Murray systems via the irrigation channel network, unlike upper Broken Creek and Broken River which are both supplied from Lake Nillahcootie on the upper Broken River.</w:t>
      </w:r>
    </w:p>
    <w:p w:rsidR="006A7A3F" w:rsidRDefault="00BC7372" w:rsidP="00316FE5">
      <w:pPr>
        <w:pStyle w:val="BodyText"/>
        <w:spacing w:line="249" w:lineRule="auto"/>
        <w:ind w:right="225"/>
      </w:pPr>
      <w:r>
        <w:rPr>
          <w:color w:val="231F20"/>
          <w:spacing w:val="-3"/>
        </w:rPr>
        <w:t xml:space="preserve">Water </w:t>
      </w:r>
      <w:r>
        <w:rPr>
          <w:color w:val="231F20"/>
        </w:rPr>
        <w:t xml:space="preserve">for the environment can be provided to lower Broken Creek from the Goulburn system through the East Goulburn Main Channel and from the Murray system through the </w:t>
      </w:r>
      <w:r>
        <w:rPr>
          <w:color w:val="231F20"/>
          <w:spacing w:val="-3"/>
        </w:rPr>
        <w:t xml:space="preserve">Yarrawonga </w:t>
      </w:r>
      <w:r>
        <w:rPr>
          <w:color w:val="231F20"/>
        </w:rPr>
        <w:t>Main Channel. Water is released  into lower Broken Creek from several irrigation regulators along the length of lower Broken Creek. The main priority for environmental watering in the lower Broken Creek system is to maintain minimum flows throughout the</w:t>
      </w:r>
      <w:r>
        <w:rPr>
          <w:color w:val="231F20"/>
          <w:spacing w:val="-24"/>
        </w:rPr>
        <w:t xml:space="preserve"> </w:t>
      </w:r>
      <w:r>
        <w:rPr>
          <w:color w:val="231F20"/>
          <w:spacing w:val="-3"/>
        </w:rPr>
        <w:t>year.</w:t>
      </w:r>
      <w:r w:rsidR="00316FE5">
        <w:rPr>
          <w:color w:val="231F20"/>
          <w:spacing w:val="-3"/>
        </w:rPr>
        <w:t xml:space="preserve"> </w:t>
      </w:r>
      <w:r>
        <w:rPr>
          <w:color w:val="231F20"/>
        </w:rPr>
        <w:t>Particular attention is given to reaches 1 and 2 during the non-irrigation season, when flow can stop. The next priority is to deliver freshes in winter/spring to trigger fish movement and spawning, maintain water quality and manage azolla blooms in reaches 3 and 4. The measurement point for environmental flows in lower Broken Creek is at Rices Weir.</w:t>
      </w:r>
    </w:p>
    <w:p w:rsidR="006A7A3F" w:rsidRDefault="00BC7372">
      <w:pPr>
        <w:pStyle w:val="BodyText"/>
        <w:spacing w:before="173" w:line="249" w:lineRule="auto"/>
        <w:ind w:right="297"/>
      </w:pPr>
      <w:r>
        <w:rPr>
          <w:color w:val="231F20"/>
        </w:rPr>
        <w:t>Some of the environmental flow targets for lower Broken Creek are partly or wholly met by operational water releases — IVTs (from the Goulburn to the Murray) or choke bypass flows (when bypassing the Barmah choke in the Murray) — that are delivered to meet downstream demands. These operational deliveries mainly occur during peak irrigation demand between spring and autumn. Water for the environment may be used to supplement these operational releases and to deliver recommended flow components that are not met by the operational releases.</w:t>
      </w:r>
    </w:p>
    <w:p w:rsidR="006A7A3F" w:rsidRDefault="00BC7372">
      <w:pPr>
        <w:spacing w:before="183"/>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663"/>
      </w:pPr>
      <w:r>
        <w:rPr>
          <w:color w:val="231F20"/>
        </w:rPr>
        <w:t>Lower Broken Creek and Nine Mile Creek support a diverse and abundant native fish community including the threatened Murray cod, golden perch, silver perch, unspecked hardyhead and Murray-Darling rainbowfish.</w:t>
      </w:r>
    </w:p>
    <w:p w:rsidR="00424171" w:rsidRPr="00424171" w:rsidRDefault="00BC7372" w:rsidP="00424171">
      <w:pPr>
        <w:pStyle w:val="BodyText"/>
        <w:spacing w:before="2" w:line="249" w:lineRule="auto"/>
        <w:ind w:right="207"/>
      </w:pPr>
      <w:r>
        <w:rPr>
          <w:color w:val="231F20"/>
        </w:rPr>
        <w:t>Sections of lower Broken and Nine Mile creeks have been reserved as state park and natural feature reserves. The associated floodplain and wetland habitats support box-dominated grassy woodland communities and numerous species of state and national conservation significance including river swamp wallaby grass and the Australasian bittern.</w:t>
      </w:r>
    </w:p>
    <w:p w:rsidR="006A7A3F" w:rsidRDefault="00BC7372" w:rsidP="00424171">
      <w:pPr>
        <w:spacing w:before="182" w:after="120"/>
        <w:ind w:left="210"/>
        <w:rPr>
          <w:rFonts w:ascii="Helvetica Neue LT Std 75"/>
          <w:b/>
          <w:sz w:val="19"/>
        </w:rPr>
      </w:pPr>
      <w:r>
        <w:rPr>
          <w:rFonts w:ascii="Helvetica Neue LT Std 75"/>
          <w:b/>
          <w:color w:val="231F20"/>
          <w:sz w:val="19"/>
        </w:rPr>
        <w:t>Environmental watering objectives in lower Broken Creek</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46"/>
        </w:trPr>
        <w:tc>
          <w:tcPr>
            <w:tcW w:w="789" w:type="dxa"/>
            <w:tcBorders>
              <w:bottom w:val="single" w:sz="8" w:space="0" w:color="FFFFFF"/>
            </w:tcBorders>
            <w:shd w:val="clear" w:color="auto" w:fill="E6E7E8"/>
          </w:tcPr>
          <w:p w:rsidR="006A7A3F" w:rsidRDefault="006A7A3F">
            <w:pPr>
              <w:pStyle w:val="TableParagraph"/>
              <w:spacing w:before="8"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25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29" w:line="261" w:lineRule="auto"/>
              <w:ind w:left="118" w:right="154"/>
              <w:rPr>
                <w:sz w:val="16"/>
              </w:rPr>
            </w:pPr>
            <w:r>
              <w:rPr>
                <w:color w:val="231F20"/>
                <w:sz w:val="16"/>
              </w:rPr>
              <w:t>Protect and increase native fish populations including the threatened Murray cod, golden perch and silver perch</w:t>
            </w:r>
          </w:p>
        </w:tc>
      </w:tr>
      <w:tr w:rsidR="006A7A3F">
        <w:trPr>
          <w:trHeight w:val="1150"/>
        </w:trPr>
        <w:tc>
          <w:tcPr>
            <w:tcW w:w="789" w:type="dxa"/>
            <w:tcBorders>
              <w:top w:val="single" w:sz="8" w:space="0" w:color="FFFFFF"/>
              <w:bottom w:val="single" w:sz="8" w:space="0" w:color="FFFFFF"/>
            </w:tcBorders>
            <w:shd w:val="clear" w:color="auto" w:fill="E6E7E8"/>
          </w:tcPr>
          <w:p w:rsidR="006A7A3F" w:rsidRDefault="006A7A3F">
            <w:pPr>
              <w:pStyle w:val="TableParagraph"/>
              <w:spacing w:before="2"/>
              <w:ind w:left="0"/>
              <w:rPr>
                <w:rFonts w:ascii="Helvetica Neue LT Std 75"/>
                <w:b/>
                <w:sz w:val="23"/>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253"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287"/>
              <w:rPr>
                <w:sz w:val="16"/>
              </w:rPr>
            </w:pPr>
            <w:r>
              <w:rPr>
                <w:color w:val="231F20"/>
                <w:sz w:val="16"/>
              </w:rPr>
              <w:t>Protect platypus populations, particularly outside the irrigation season</w:t>
            </w:r>
          </w:p>
          <w:p w:rsidR="006A7A3F" w:rsidRDefault="00BC7372">
            <w:pPr>
              <w:pStyle w:val="TableParagraph"/>
              <w:spacing w:before="112" w:line="261" w:lineRule="auto"/>
              <w:ind w:left="118" w:right="288"/>
              <w:rPr>
                <w:sz w:val="16"/>
              </w:rPr>
            </w:pPr>
            <w:r>
              <w:rPr>
                <w:color w:val="231F20"/>
                <w:sz w:val="16"/>
              </w:rPr>
              <w:t>Protect rakali (water rat) populations, particularly outside the irrigation season</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3"/>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2" cy="310896"/>
                  <wp:effectExtent l="0" t="0" r="0" b="0"/>
                  <wp:docPr id="2255"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image26.jpeg"/>
                          <pic:cNvPicPr/>
                        </pic:nvPicPr>
                        <pic:blipFill>
                          <a:blip r:embed="rId38" cstate="print"/>
                          <a:stretch>
                            <a:fillRect/>
                          </a:stretch>
                        </pic:blipFill>
                        <pic:spPr>
                          <a:xfrm>
                            <a:off x="0" y="0"/>
                            <a:ext cx="314172"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10"/>
              <w:ind w:left="0"/>
              <w:rPr>
                <w:rFonts w:ascii="Helvetica Neue LT Std 75"/>
                <w:b/>
                <w:sz w:val="14"/>
              </w:rPr>
            </w:pPr>
          </w:p>
          <w:p w:rsidR="006A7A3F" w:rsidRDefault="00BC7372">
            <w:pPr>
              <w:pStyle w:val="TableParagraph"/>
              <w:spacing w:line="261" w:lineRule="auto"/>
              <w:ind w:left="118" w:right="261"/>
              <w:rPr>
                <w:sz w:val="16"/>
              </w:rPr>
            </w:pPr>
            <w:r>
              <w:rPr>
                <w:color w:val="231F20"/>
                <w:sz w:val="16"/>
              </w:rPr>
              <w:t>Protect turtle populations, particularly outside the irrigation season</w:t>
            </w:r>
          </w:p>
        </w:tc>
      </w:tr>
      <w:tr w:rsidR="006A7A3F">
        <w:trPr>
          <w:trHeight w:val="893"/>
        </w:trPr>
        <w:tc>
          <w:tcPr>
            <w:tcW w:w="789" w:type="dxa"/>
            <w:tcBorders>
              <w:top w:val="single" w:sz="8" w:space="0" w:color="FFFFFF"/>
              <w:bottom w:val="single" w:sz="8" w:space="0" w:color="FFFFFF"/>
            </w:tcBorders>
            <w:shd w:val="clear" w:color="auto" w:fill="E6E7E8"/>
          </w:tcPr>
          <w:p w:rsidR="006A7A3F" w:rsidRDefault="006A7A3F">
            <w:pPr>
              <w:pStyle w:val="TableParagraph"/>
              <w:spacing w:before="13"/>
              <w:ind w:left="0"/>
              <w:rPr>
                <w:rFonts w:ascii="Helvetica Neue LT Std 75"/>
                <w:b/>
                <w:sz w:val="13"/>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257"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ind w:left="118"/>
              <w:rPr>
                <w:sz w:val="16"/>
              </w:rPr>
            </w:pPr>
            <w:r>
              <w:rPr>
                <w:color w:val="231F20"/>
                <w:sz w:val="16"/>
              </w:rPr>
              <w:t>Avoid the excessive build-up of azolla</w:t>
            </w:r>
          </w:p>
          <w:p w:rsidR="006A7A3F" w:rsidRDefault="00BC7372">
            <w:pPr>
              <w:pStyle w:val="TableParagraph"/>
              <w:spacing w:before="72" w:line="261" w:lineRule="auto"/>
              <w:ind w:left="118" w:right="56"/>
              <w:rPr>
                <w:sz w:val="16"/>
              </w:rPr>
            </w:pPr>
            <w:r>
              <w:rPr>
                <w:color w:val="231F20"/>
                <w:sz w:val="16"/>
              </w:rPr>
              <w:t>Maintain the cover and condition of native in-stream and littoral vegetation communities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3"/>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25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image22.jpeg"/>
                          <pic:cNvPicPr/>
                        </pic:nvPicPr>
                        <pic:blipFill>
                          <a:blip r:embed="rId34"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10"/>
              <w:ind w:left="0"/>
              <w:rPr>
                <w:rFonts w:ascii="Helvetica Neue LT Std 75"/>
                <w:b/>
                <w:sz w:val="14"/>
              </w:rPr>
            </w:pPr>
          </w:p>
          <w:p w:rsidR="006A7A3F" w:rsidRDefault="00BC7372">
            <w:pPr>
              <w:pStyle w:val="TableParagraph"/>
              <w:spacing w:line="261" w:lineRule="auto"/>
              <w:ind w:left="118"/>
              <w:rPr>
                <w:sz w:val="16"/>
              </w:rPr>
            </w:pPr>
            <w:r>
              <w:rPr>
                <w:color w:val="231F20"/>
                <w:sz w:val="16"/>
              </w:rPr>
              <w:t>Maintain the diversity and abundance of waterbug populations</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3"/>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5" cy="310896"/>
                  <wp:effectExtent l="0" t="0" r="0" b="0"/>
                  <wp:docPr id="226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image23.png"/>
                          <pic:cNvPicPr/>
                        </pic:nvPicPr>
                        <pic:blipFill>
                          <a:blip r:embed="rId35" cstate="print"/>
                          <a:stretch>
                            <a:fillRect/>
                          </a:stretch>
                        </pic:blipFill>
                        <pic:spPr>
                          <a:xfrm>
                            <a:off x="0" y="0"/>
                            <a:ext cx="314165"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13"/>
              <w:ind w:left="0"/>
              <w:rPr>
                <w:rFonts w:ascii="Helvetica Neue LT Std 75"/>
                <w:b/>
                <w:sz w:val="21"/>
              </w:rPr>
            </w:pPr>
          </w:p>
          <w:p w:rsidR="006A7A3F" w:rsidRDefault="00BC7372">
            <w:pPr>
              <w:pStyle w:val="TableParagraph"/>
              <w:ind w:left="118"/>
              <w:rPr>
                <w:sz w:val="16"/>
              </w:rPr>
            </w:pPr>
            <w:r>
              <w:rPr>
                <w:color w:val="231F20"/>
                <w:sz w:val="16"/>
              </w:rPr>
              <w:t>Maintain oxygen levels suitable for aquatic animals</w:t>
            </w:r>
          </w:p>
        </w:tc>
      </w:tr>
    </w:tbl>
    <w:p w:rsidR="006A7A3F" w:rsidRDefault="006A7A3F">
      <w:pPr>
        <w:pStyle w:val="BodyText"/>
        <w:spacing w:before="12"/>
        <w:ind w:left="0"/>
        <w:rPr>
          <w:rFonts w:ascii="Helvetica Neue LT Std 75"/>
          <w:b/>
          <w:sz w:val="5"/>
        </w:rPr>
      </w:pPr>
    </w:p>
    <w:p w:rsidR="00424171" w:rsidRDefault="00424171">
      <w:pPr>
        <w:rPr>
          <w:rFonts w:ascii="Helvetica Neue LT Std 75"/>
          <w:b/>
          <w:color w:val="231F20"/>
          <w:sz w:val="19"/>
        </w:rPr>
      </w:pPr>
      <w:r>
        <w:rPr>
          <w:rFonts w:ascii="Helvetica Neue LT Std 75"/>
          <w:b/>
          <w:color w:val="231F20"/>
          <w:sz w:val="19"/>
        </w:rPr>
        <w:br w:type="page"/>
      </w:r>
    </w:p>
    <w:p w:rsidR="006A7A3F" w:rsidRDefault="00BC7372">
      <w:pPr>
        <w:spacing w:before="6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141"/>
      </w:pPr>
      <w:r>
        <w:rPr>
          <w:color w:val="231F20"/>
        </w:rPr>
        <w:t>Goulburn Broken CMA consulted with Yorta Yorta Nation Aboriginal Corporation during the planning of environmental water deliveries in the lower Broken Creek. The environmental and ecological objectives of the proposals were supported and align with the broad values of caring for Country. Goulburn Broken CMA and Yorta Yorta Nation Aboriginal Corporation will explore further opportunities to deliver environmental water to support Yorta Yorta cultural values throughout the year.</w:t>
      </w:r>
    </w:p>
    <w:p w:rsidR="006A7A3F" w:rsidRDefault="00BC7372" w:rsidP="00316FE5">
      <w:pPr>
        <w:pStyle w:val="BodyText"/>
        <w:spacing w:before="174" w:line="249" w:lineRule="auto"/>
        <w:ind w:right="280"/>
      </w:pPr>
      <w:r>
        <w:rPr>
          <w:color w:val="231F20"/>
          <w:spacing w:val="-5"/>
        </w:rPr>
        <w:t xml:space="preserve">Yorta Yorta </w:t>
      </w:r>
      <w:r>
        <w:rPr>
          <w:color w:val="231F20"/>
        </w:rPr>
        <w:t>Nation Aboriginal Corporation raised concerns about the cultural damage water transfers are having  on the lower Goulburn River and the Barmah Choke in addition to the ecological damage being caused. Using the lower</w:t>
      </w:r>
      <w:r>
        <w:rPr>
          <w:color w:val="231F20"/>
          <w:spacing w:val="-4"/>
        </w:rPr>
        <w:t xml:space="preserve"> </w:t>
      </w:r>
      <w:r>
        <w:rPr>
          <w:color w:val="231F20"/>
        </w:rPr>
        <w:t>Broken</w:t>
      </w:r>
      <w:r>
        <w:rPr>
          <w:color w:val="231F20"/>
          <w:spacing w:val="-2"/>
        </w:rPr>
        <w:t xml:space="preserve"> </w:t>
      </w:r>
      <w:r>
        <w:rPr>
          <w:color w:val="231F20"/>
        </w:rPr>
        <w:t>and</w:t>
      </w:r>
      <w:r>
        <w:rPr>
          <w:color w:val="231F20"/>
          <w:spacing w:val="-4"/>
        </w:rPr>
        <w:t xml:space="preserve"> </w:t>
      </w:r>
      <w:r>
        <w:rPr>
          <w:color w:val="231F20"/>
        </w:rPr>
        <w:t>Nine</w:t>
      </w:r>
      <w:r>
        <w:rPr>
          <w:color w:val="231F20"/>
          <w:spacing w:val="-3"/>
        </w:rPr>
        <w:t xml:space="preserve"> </w:t>
      </w:r>
      <w:r>
        <w:rPr>
          <w:color w:val="231F20"/>
        </w:rPr>
        <w:t>Mile</w:t>
      </w:r>
      <w:r>
        <w:rPr>
          <w:color w:val="231F20"/>
          <w:spacing w:val="-2"/>
        </w:rPr>
        <w:t xml:space="preserve"> </w:t>
      </w:r>
      <w:r>
        <w:rPr>
          <w:color w:val="231F20"/>
        </w:rPr>
        <w:t>Creeks</w:t>
      </w:r>
      <w:r>
        <w:rPr>
          <w:color w:val="231F20"/>
          <w:spacing w:val="-4"/>
        </w:rPr>
        <w:t xml:space="preserve"> </w:t>
      </w:r>
      <w:r>
        <w:rPr>
          <w:color w:val="231F20"/>
        </w:rPr>
        <w:t>for</w:t>
      </w:r>
      <w:r>
        <w:rPr>
          <w:color w:val="231F20"/>
          <w:spacing w:val="-2"/>
        </w:rPr>
        <w:t xml:space="preserve"> </w:t>
      </w:r>
      <w:r>
        <w:rPr>
          <w:color w:val="231F20"/>
        </w:rPr>
        <w:t>delivery</w:t>
      </w:r>
      <w:r>
        <w:rPr>
          <w:color w:val="231F20"/>
          <w:spacing w:val="-4"/>
        </w:rPr>
        <w:t xml:space="preserve"> </w:t>
      </w:r>
      <w:r>
        <w:rPr>
          <w:color w:val="231F20"/>
        </w:rPr>
        <w:t>of</w:t>
      </w:r>
      <w:r>
        <w:rPr>
          <w:color w:val="231F20"/>
          <w:spacing w:val="-3"/>
        </w:rPr>
        <w:t xml:space="preserve"> </w:t>
      </w:r>
      <w:r>
        <w:rPr>
          <w:color w:val="231F20"/>
        </w:rPr>
        <w:t>water</w:t>
      </w:r>
      <w:r>
        <w:rPr>
          <w:color w:val="231F20"/>
          <w:spacing w:val="-3"/>
        </w:rPr>
        <w:t xml:space="preserve"> </w:t>
      </w:r>
      <w:r>
        <w:rPr>
          <w:color w:val="231F20"/>
        </w:rPr>
        <w:t>(either</w:t>
      </w:r>
      <w:r>
        <w:rPr>
          <w:color w:val="231F20"/>
          <w:spacing w:val="-3"/>
        </w:rPr>
        <w:t xml:space="preserve"> </w:t>
      </w:r>
      <w:r>
        <w:rPr>
          <w:color w:val="231F20"/>
        </w:rPr>
        <w:t>environmental</w:t>
      </w:r>
      <w:r>
        <w:rPr>
          <w:color w:val="231F20"/>
          <w:spacing w:val="-3"/>
        </w:rPr>
        <w:t xml:space="preserve"> </w:t>
      </w:r>
      <w:r>
        <w:rPr>
          <w:color w:val="231F20"/>
        </w:rPr>
        <w:t>or</w:t>
      </w:r>
      <w:r>
        <w:rPr>
          <w:color w:val="231F20"/>
          <w:spacing w:val="-3"/>
        </w:rPr>
        <w:t xml:space="preserve"> </w:t>
      </w:r>
      <w:r>
        <w:rPr>
          <w:color w:val="231F20"/>
        </w:rPr>
        <w:t>consumptive)</w:t>
      </w:r>
      <w:r>
        <w:rPr>
          <w:color w:val="231F20"/>
          <w:spacing w:val="-3"/>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lower</w:t>
      </w:r>
      <w:r>
        <w:rPr>
          <w:color w:val="231F20"/>
          <w:spacing w:val="-3"/>
        </w:rPr>
        <w:t xml:space="preserve"> </w:t>
      </w:r>
      <w:r>
        <w:rPr>
          <w:color w:val="231F20"/>
        </w:rPr>
        <w:t>Murray</w:t>
      </w:r>
      <w:r w:rsidR="00316FE5">
        <w:rPr>
          <w:color w:val="231F20"/>
        </w:rPr>
        <w:t xml:space="preserve"> </w:t>
      </w:r>
      <w:r>
        <w:rPr>
          <w:color w:val="231F20"/>
        </w:rPr>
        <w:t>River as a bypass mechanism may help reduce the risk of erosion on the Barmah Choke and lower Goulburn River and thus help to protect culturally significant</w:t>
      </w:r>
      <w:r>
        <w:rPr>
          <w:color w:val="231F20"/>
          <w:spacing w:val="-4"/>
        </w:rPr>
        <w:t xml:space="preserve"> </w:t>
      </w:r>
      <w:r>
        <w:rPr>
          <w:color w:val="231F20"/>
        </w:rPr>
        <w:t>values.</w:t>
      </w:r>
    </w:p>
    <w:p w:rsidR="006A7A3F" w:rsidRDefault="00BC7372">
      <w:pPr>
        <w:spacing w:before="181"/>
        <w:ind w:left="210"/>
        <w:rPr>
          <w:rFonts w:ascii="Helvetica Neue LT Std 75"/>
          <w:b/>
          <w:sz w:val="19"/>
        </w:rPr>
      </w:pPr>
      <w:r>
        <w:rPr>
          <w:rFonts w:ascii="Helvetica Neue LT Std 75"/>
          <w:b/>
          <w:color w:val="231F20"/>
          <w:sz w:val="19"/>
        </w:rPr>
        <w:t>Social, recreational and economic values and</w:t>
      </w:r>
      <w:r>
        <w:rPr>
          <w:rFonts w:ascii="Helvetica Neue LT Std 75"/>
          <w:b/>
          <w:color w:val="231F20"/>
          <w:spacing w:val="-8"/>
          <w:sz w:val="19"/>
        </w:rPr>
        <w:t xml:space="preserve"> </w:t>
      </w:r>
      <w:r>
        <w:rPr>
          <w:rFonts w:ascii="Helvetica Neue LT Std 75"/>
          <w:b/>
          <w:color w:val="231F20"/>
          <w:sz w:val="19"/>
        </w:rPr>
        <w:t>uses</w:t>
      </w:r>
    </w:p>
    <w:p w:rsidR="006A7A3F" w:rsidRDefault="00BC7372">
      <w:pPr>
        <w:pStyle w:val="BodyText"/>
        <w:spacing w:before="68" w:line="249" w:lineRule="auto"/>
        <w:ind w:right="457"/>
      </w:pPr>
      <w:r>
        <w:rPr>
          <w:color w:val="231F20"/>
        </w:rPr>
        <w:t>In planning the potential watering actions in Table 5.5.3, Goulburn Broken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fishing and</w:t>
      </w:r>
      <w:r>
        <w:rPr>
          <w:color w:val="231F20"/>
          <w:spacing w:val="-5"/>
          <w:sz w:val="20"/>
        </w:rPr>
        <w:t xml:space="preserve"> </w:t>
      </w:r>
      <w:r>
        <w:rPr>
          <w:color w:val="231F20"/>
          <w:sz w:val="20"/>
        </w:rPr>
        <w:t>kayaking)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game</w:t>
      </w:r>
      <w:r>
        <w:rPr>
          <w:color w:val="231F20"/>
          <w:spacing w:val="-6"/>
          <w:sz w:val="20"/>
        </w:rPr>
        <w:t xml:space="preserve"> </w:t>
      </w:r>
      <w:r>
        <w:rPr>
          <w:color w:val="231F20"/>
          <w:sz w:val="20"/>
        </w:rPr>
        <w:t>hunting)</w:t>
      </w:r>
    </w:p>
    <w:p w:rsidR="006A7A3F" w:rsidRDefault="00BC7372" w:rsidP="009B6917">
      <w:pPr>
        <w:pStyle w:val="ListParagraph"/>
        <w:numPr>
          <w:ilvl w:val="0"/>
          <w:numId w:val="1419"/>
        </w:numPr>
        <w:tabs>
          <w:tab w:val="left" w:pos="493"/>
          <w:tab w:val="left" w:pos="494"/>
        </w:tabs>
        <w:spacing w:line="249" w:lineRule="auto"/>
        <w:ind w:right="453"/>
        <w:rPr>
          <w:sz w:val="20"/>
        </w:rPr>
      </w:pPr>
      <w:r>
        <w:rPr>
          <w:color w:val="231F20"/>
          <w:sz w:val="20"/>
        </w:rPr>
        <w:t>socio-economic benefits (such as diverters for irrigation, domestic and stock uses, and water quality including preventing algal and azolla</w:t>
      </w:r>
      <w:r>
        <w:rPr>
          <w:color w:val="231F20"/>
          <w:spacing w:val="-5"/>
          <w:sz w:val="20"/>
        </w:rPr>
        <w:t xml:space="preserve"> </w:t>
      </w:r>
      <w:r>
        <w:rPr>
          <w:color w:val="231F20"/>
          <w:sz w:val="20"/>
        </w:rPr>
        <w:t>blooms).</w:t>
      </w:r>
    </w:p>
    <w:p w:rsidR="006A7A3F" w:rsidRDefault="00BC7372">
      <w:pPr>
        <w:spacing w:before="181"/>
        <w:ind w:left="210"/>
        <w:rPr>
          <w:rFonts w:ascii="Helvetica Neue LT Std 75"/>
          <w:b/>
          <w:sz w:val="19"/>
        </w:rPr>
      </w:pPr>
      <w:r>
        <w:rPr>
          <w:rFonts w:ascii="Helvetica Neue LT Std 75"/>
          <w:b/>
          <w:color w:val="231F20"/>
          <w:sz w:val="19"/>
        </w:rPr>
        <w:t>Recent conditions</w:t>
      </w:r>
    </w:p>
    <w:p w:rsidR="006A7A3F" w:rsidRDefault="00BC7372">
      <w:pPr>
        <w:pStyle w:val="BodyText"/>
        <w:spacing w:before="67" w:line="249" w:lineRule="auto"/>
        <w:ind w:right="562"/>
        <w:jc w:val="both"/>
      </w:pPr>
      <w:r>
        <w:rPr>
          <w:color w:val="231F20"/>
        </w:rPr>
        <w:t>The Goulburn Broken region had below-average rainfall and above-average temperatures for most of 2019–20. Rainfall at Numurkah during the first half of 2019–20 was just over half of the long-term average for this period, resulting in low inflows to the local catchment. Water for the environment from the Goulburn and Murray system portfolios was used in combination with operational water to meet flow targets throughout the year.</w:t>
      </w:r>
    </w:p>
    <w:p w:rsidR="006A7A3F" w:rsidRDefault="00BC7372">
      <w:pPr>
        <w:pStyle w:val="BodyText"/>
        <w:spacing w:before="174" w:line="249" w:lineRule="auto"/>
        <w:ind w:right="100"/>
      </w:pPr>
      <w:r>
        <w:rPr>
          <w:color w:val="231F20"/>
        </w:rPr>
        <w:t>Flow in lower Broken Creek was lower than planned during winter 2019–20, due to maintenance works on the Yarrawonga Main Channel and the East Goulburn Main Channel. Consequently, fish ladders were closed in July 2019 to hold water in the system to maintain fish habitat. Some water was delivered to the creek from secondary outfall irrigation channels, but flow in reaches 3 and 4 dropped to 15 ML per day on occasions, which is well below the recommended minimum winter target of 40 ML per day.</w:t>
      </w:r>
    </w:p>
    <w:p w:rsidR="006A7A3F" w:rsidRDefault="00BC7372" w:rsidP="00424171">
      <w:pPr>
        <w:pStyle w:val="BodyText"/>
        <w:spacing w:before="174" w:line="249" w:lineRule="auto"/>
        <w:ind w:right="508"/>
      </w:pPr>
      <w:r>
        <w:rPr>
          <w:color w:val="231F20"/>
        </w:rPr>
        <w:t>The</w:t>
      </w:r>
      <w:r>
        <w:rPr>
          <w:color w:val="231F20"/>
          <w:spacing w:val="-2"/>
        </w:rPr>
        <w:t xml:space="preserve"> </w:t>
      </w:r>
      <w:r>
        <w:rPr>
          <w:color w:val="231F20"/>
        </w:rPr>
        <w:t>flow</w:t>
      </w:r>
      <w:r>
        <w:rPr>
          <w:color w:val="231F20"/>
          <w:spacing w:val="-2"/>
        </w:rPr>
        <w:t xml:space="preserve"> </w:t>
      </w:r>
      <w:r>
        <w:rPr>
          <w:color w:val="231F20"/>
        </w:rPr>
        <w:t>increased</w:t>
      </w:r>
      <w:r>
        <w:rPr>
          <w:color w:val="231F20"/>
          <w:spacing w:val="-3"/>
        </w:rPr>
        <w:t xml:space="preserve"> </w:t>
      </w:r>
      <w:r>
        <w:rPr>
          <w:color w:val="231F20"/>
        </w:rPr>
        <w:t>to</w:t>
      </w:r>
      <w:r>
        <w:rPr>
          <w:color w:val="231F20"/>
          <w:spacing w:val="-2"/>
        </w:rPr>
        <w:t xml:space="preserve"> </w:t>
      </w:r>
      <w:r>
        <w:rPr>
          <w:color w:val="231F20"/>
        </w:rPr>
        <w:t>250</w:t>
      </w:r>
      <w:r>
        <w:rPr>
          <w:color w:val="231F20"/>
          <w:spacing w:val="-3"/>
        </w:rPr>
        <w:t xml:space="preserve"> </w:t>
      </w:r>
      <w:r>
        <w:rPr>
          <w:color w:val="231F20"/>
        </w:rPr>
        <w:t>ML</w:t>
      </w:r>
      <w:r>
        <w:rPr>
          <w:color w:val="231F20"/>
          <w:spacing w:val="-9"/>
        </w:rPr>
        <w:t xml:space="preserve"> </w:t>
      </w:r>
      <w:r>
        <w:rPr>
          <w:color w:val="231F20"/>
        </w:rPr>
        <w:t>per</w:t>
      </w:r>
      <w:r>
        <w:rPr>
          <w:color w:val="231F20"/>
          <w:spacing w:val="-3"/>
        </w:rPr>
        <w:t xml:space="preserve"> </w:t>
      </w:r>
      <w:r>
        <w:rPr>
          <w:color w:val="231F20"/>
        </w:rPr>
        <w:t>day</w:t>
      </w:r>
      <w:r>
        <w:rPr>
          <w:color w:val="231F20"/>
          <w:spacing w:val="-3"/>
        </w:rPr>
        <w:t xml:space="preserve"> </w:t>
      </w:r>
      <w:r>
        <w:rPr>
          <w:color w:val="231F20"/>
        </w:rPr>
        <w:t>at</w:t>
      </w:r>
      <w:r>
        <w:rPr>
          <w:color w:val="231F20"/>
          <w:spacing w:val="-3"/>
        </w:rPr>
        <w:t xml:space="preserve"> </w:t>
      </w:r>
      <w:r>
        <w:rPr>
          <w:color w:val="231F20"/>
        </w:rPr>
        <w:t>the</w:t>
      </w:r>
      <w:r>
        <w:rPr>
          <w:color w:val="231F20"/>
          <w:spacing w:val="-2"/>
        </w:rPr>
        <w:t xml:space="preserve"> </w:t>
      </w:r>
      <w:r>
        <w:rPr>
          <w:color w:val="231F20"/>
        </w:rPr>
        <w:t>start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irrigation</w:t>
      </w:r>
      <w:r>
        <w:rPr>
          <w:color w:val="231F20"/>
          <w:spacing w:val="-3"/>
        </w:rPr>
        <w:t xml:space="preserve"> </w:t>
      </w:r>
      <w:r>
        <w:rPr>
          <w:color w:val="231F20"/>
        </w:rPr>
        <w:t>season</w:t>
      </w:r>
      <w:r>
        <w:rPr>
          <w:color w:val="231F20"/>
          <w:spacing w:val="-2"/>
        </w:rPr>
        <w:t xml:space="preserve"> </w:t>
      </w:r>
      <w:r>
        <w:rPr>
          <w:color w:val="231F20"/>
        </w:rPr>
        <w:t>in</w:t>
      </w:r>
      <w:r>
        <w:rPr>
          <w:color w:val="231F20"/>
          <w:spacing w:val="-12"/>
        </w:rPr>
        <w:t xml:space="preserve"> </w:t>
      </w:r>
      <w:r>
        <w:rPr>
          <w:color w:val="231F20"/>
        </w:rPr>
        <w:t>August</w:t>
      </w:r>
      <w:r>
        <w:rPr>
          <w:color w:val="231F20"/>
          <w:spacing w:val="-2"/>
        </w:rPr>
        <w:t xml:space="preserve"> </w:t>
      </w:r>
      <w:r>
        <w:rPr>
          <w:color w:val="231F20"/>
        </w:rPr>
        <w:t>2019,</w:t>
      </w:r>
      <w:r>
        <w:rPr>
          <w:color w:val="231F20"/>
          <w:spacing w:val="-3"/>
        </w:rPr>
        <w:t xml:space="preserve"> </w:t>
      </w:r>
      <w:r>
        <w:rPr>
          <w:color w:val="231F20"/>
        </w:rPr>
        <w:t>and</w:t>
      </w:r>
      <w:r>
        <w:rPr>
          <w:color w:val="231F20"/>
          <w:spacing w:val="-3"/>
        </w:rPr>
        <w:t xml:space="preserve"> </w:t>
      </w:r>
      <w:r>
        <w:rPr>
          <w:color w:val="231F20"/>
        </w:rPr>
        <w:t>the</w:t>
      </w:r>
      <w:r>
        <w:rPr>
          <w:color w:val="231F20"/>
          <w:spacing w:val="-2"/>
        </w:rPr>
        <w:t xml:space="preserve"> </w:t>
      </w:r>
      <w:r>
        <w:rPr>
          <w:color w:val="231F20"/>
        </w:rPr>
        <w:t>rapid</w:t>
      </w:r>
      <w:r>
        <w:rPr>
          <w:color w:val="231F20"/>
          <w:spacing w:val="-2"/>
        </w:rPr>
        <w:t xml:space="preserve"> </w:t>
      </w:r>
      <w:r>
        <w:rPr>
          <w:color w:val="231F20"/>
        </w:rPr>
        <w:t xml:space="preserve">increase likely cued some fish movement through the system. </w:t>
      </w:r>
      <w:r>
        <w:rPr>
          <w:color w:val="231F20"/>
          <w:spacing w:val="-6"/>
        </w:rPr>
        <w:t xml:space="preserve">IVTs </w:t>
      </w:r>
      <w:r>
        <w:rPr>
          <w:color w:val="231F20"/>
        </w:rPr>
        <w:t>from the Goulburn system and Murray choke bypass flows increased flow in lower Broken Creek to 500 ML per day in late October 2019, which likely cued further fish movement and spawning and flushed azolla. The average flow at Rice’s Weir remained around 410 ML per day through summer and early autumn as operational water transfers to the Murray continued. Water for the environment</w:t>
      </w:r>
      <w:r>
        <w:rPr>
          <w:color w:val="231F20"/>
          <w:spacing w:val="-4"/>
        </w:rPr>
        <w:t xml:space="preserve"> </w:t>
      </w:r>
      <w:r>
        <w:rPr>
          <w:color w:val="231F20"/>
        </w:rPr>
        <w:t>was</w:t>
      </w:r>
      <w:r>
        <w:rPr>
          <w:color w:val="231F20"/>
          <w:spacing w:val="-4"/>
        </w:rPr>
        <w:t xml:space="preserve"> </w:t>
      </w:r>
      <w:r>
        <w:rPr>
          <w:color w:val="231F20"/>
        </w:rPr>
        <w:t>delivered</w:t>
      </w:r>
      <w:r>
        <w:rPr>
          <w:color w:val="231F20"/>
          <w:spacing w:val="-4"/>
        </w:rPr>
        <w:t xml:space="preserve"> </w:t>
      </w:r>
      <w:r>
        <w:rPr>
          <w:color w:val="231F20"/>
        </w:rPr>
        <w:t>in</w:t>
      </w:r>
      <w:r>
        <w:rPr>
          <w:color w:val="231F20"/>
          <w:spacing w:val="-3"/>
        </w:rPr>
        <w:t xml:space="preserve"> </w:t>
      </w:r>
      <w:r>
        <w:rPr>
          <w:color w:val="231F20"/>
        </w:rPr>
        <w:t>conjunction</w:t>
      </w:r>
      <w:r>
        <w:rPr>
          <w:color w:val="231F20"/>
          <w:spacing w:val="-3"/>
        </w:rPr>
        <w:t xml:space="preserve"> </w:t>
      </w:r>
      <w:r>
        <w:rPr>
          <w:color w:val="231F20"/>
        </w:rPr>
        <w:t>with</w:t>
      </w:r>
      <w:r>
        <w:rPr>
          <w:color w:val="231F20"/>
          <w:spacing w:val="-4"/>
        </w:rPr>
        <w:t xml:space="preserve"> </w:t>
      </w:r>
      <w:r>
        <w:rPr>
          <w:color w:val="231F20"/>
        </w:rPr>
        <w:t>operational</w:t>
      </w:r>
      <w:r>
        <w:rPr>
          <w:color w:val="231F20"/>
          <w:spacing w:val="-3"/>
        </w:rPr>
        <w:t xml:space="preserve"> </w:t>
      </w:r>
      <w:r>
        <w:rPr>
          <w:color w:val="231F20"/>
        </w:rPr>
        <w:t>deliveries</w:t>
      </w:r>
      <w:r>
        <w:rPr>
          <w:color w:val="231F20"/>
          <w:spacing w:val="-4"/>
        </w:rPr>
        <w:t xml:space="preserve"> </w:t>
      </w:r>
      <w:r>
        <w:rPr>
          <w:color w:val="231F20"/>
        </w:rPr>
        <w:t>from</w:t>
      </w:r>
      <w:r>
        <w:rPr>
          <w:color w:val="231F20"/>
          <w:spacing w:val="-3"/>
        </w:rPr>
        <w:t xml:space="preserve"> </w:t>
      </w:r>
      <w:r>
        <w:rPr>
          <w:color w:val="231F20"/>
        </w:rPr>
        <w:t>late</w:t>
      </w:r>
      <w:r>
        <w:rPr>
          <w:color w:val="231F20"/>
          <w:spacing w:val="-3"/>
        </w:rPr>
        <w:t xml:space="preserve"> </w:t>
      </w:r>
      <w:r>
        <w:rPr>
          <w:color w:val="231F20"/>
        </w:rPr>
        <w:t>March</w:t>
      </w:r>
      <w:r>
        <w:rPr>
          <w:color w:val="231F20"/>
          <w:spacing w:val="-3"/>
        </w:rPr>
        <w:t xml:space="preserve"> </w:t>
      </w:r>
      <w:r>
        <w:rPr>
          <w:color w:val="231F20"/>
        </w:rPr>
        <w:t>2020</w:t>
      </w:r>
      <w:r>
        <w:rPr>
          <w:color w:val="231F20"/>
          <w:spacing w:val="-4"/>
        </w:rPr>
        <w:t xml:space="preserve"> </w:t>
      </w:r>
      <w:r>
        <w:rPr>
          <w:color w:val="231F20"/>
        </w:rPr>
        <w:t>to</w:t>
      </w:r>
      <w:r>
        <w:rPr>
          <w:color w:val="231F20"/>
          <w:spacing w:val="-2"/>
        </w:rPr>
        <w:t xml:space="preserve"> </w:t>
      </w:r>
      <w:r>
        <w:rPr>
          <w:color w:val="231F20"/>
        </w:rPr>
        <w:t>maintain</w:t>
      </w:r>
      <w:r>
        <w:rPr>
          <w:color w:val="231F20"/>
          <w:spacing w:val="-3"/>
        </w:rPr>
        <w:t xml:space="preserve"> </w:t>
      </w:r>
      <w:r>
        <w:rPr>
          <w:color w:val="231F20"/>
        </w:rPr>
        <w:t>a</w:t>
      </w:r>
      <w:r>
        <w:rPr>
          <w:color w:val="231F20"/>
          <w:spacing w:val="-4"/>
        </w:rPr>
        <w:t xml:space="preserve"> </w:t>
      </w:r>
      <w:r>
        <w:rPr>
          <w:color w:val="231F20"/>
        </w:rPr>
        <w:t>flow</w:t>
      </w:r>
      <w:r>
        <w:rPr>
          <w:color w:val="231F20"/>
          <w:spacing w:val="-3"/>
        </w:rPr>
        <w:t xml:space="preserve"> </w:t>
      </w:r>
      <w:r>
        <w:rPr>
          <w:color w:val="231F20"/>
        </w:rPr>
        <w:t>of</w:t>
      </w:r>
      <w:r w:rsidR="00424171">
        <w:t xml:space="preserve"> </w:t>
      </w:r>
      <w:r>
        <w:rPr>
          <w:color w:val="231F20"/>
        </w:rPr>
        <w:t>about 200 ML per day until the end of the irrigation season.</w:t>
      </w:r>
    </w:p>
    <w:p w:rsidR="006A7A3F" w:rsidRDefault="00BC7372">
      <w:pPr>
        <w:pStyle w:val="BodyText"/>
        <w:spacing w:before="180" w:line="249" w:lineRule="auto"/>
        <w:ind w:right="275"/>
      </w:pPr>
      <w:r>
        <w:rPr>
          <w:color w:val="231F20"/>
        </w:rPr>
        <w:t>There is limited ecological monitoring in lower Broken Creek, but members of the Broken Environmental Water Advisory Group have reported a marked improvement in water quality since targeted environmental water deliveries started in 2010–11. The delivery of minimum low flow during the off-irrigation season provided winter foraging habitat and instream refuge areas, especially important for young-of-year fish, platypus, rakali (water rats) and turtles.</w:t>
      </w:r>
    </w:p>
    <w:p w:rsidR="00424171" w:rsidRDefault="00424171">
      <w:pPr>
        <w:rPr>
          <w:rFonts w:ascii="Helvetica Neue LT Std 75"/>
          <w:b/>
          <w:color w:val="231F20"/>
          <w:sz w:val="19"/>
        </w:rPr>
      </w:pPr>
      <w:r>
        <w:rPr>
          <w:rFonts w:ascii="Helvetica Neue LT Std 75"/>
          <w:b/>
          <w:color w:val="231F20"/>
          <w:sz w:val="19"/>
        </w:rPr>
        <w:br w:type="page"/>
      </w:r>
    </w:p>
    <w:p w:rsidR="006A7A3F" w:rsidRDefault="00BC7372">
      <w:pPr>
        <w:spacing w:before="184"/>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7" w:line="249" w:lineRule="auto"/>
        <w:ind w:right="251"/>
      </w:pPr>
      <w:r>
        <w:rPr>
          <w:color w:val="231F20"/>
        </w:rPr>
        <w:t>Table 5.5.3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5.5.3 Potential environmental watering actions and objectives for lower Broken Creek</w:t>
      </w:r>
    </w:p>
    <w:p w:rsidR="006A7A3F" w:rsidRDefault="006A7A3F">
      <w:pPr>
        <w:pStyle w:val="BodyText"/>
        <w:spacing w:before="7"/>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80" w:line="254" w:lineRule="auto"/>
              <w:ind w:left="85" w:right="192"/>
              <w:rPr>
                <w:b/>
                <w:sz w:val="18"/>
              </w:rPr>
            </w:pPr>
            <w:r>
              <w:rPr>
                <w:b/>
                <w:color w:val="FFFFFF"/>
                <w:sz w:val="18"/>
              </w:rPr>
              <w:t>Environmental objectives</w:t>
            </w:r>
          </w:p>
        </w:tc>
      </w:tr>
      <w:tr w:rsidR="006A7A3F">
        <w:trPr>
          <w:trHeight w:val="678"/>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87"/>
              <w:rPr>
                <w:sz w:val="16"/>
              </w:rPr>
            </w:pPr>
            <w:r>
              <w:rPr>
                <w:color w:val="231F20"/>
                <w:sz w:val="16"/>
              </w:rPr>
              <w:t>Year-round low flow (40-200 ML/day in reaches 3 and 4 and 40-100 ML/day in reaches 1</w:t>
            </w:r>
          </w:p>
          <w:p w:rsidR="006A7A3F" w:rsidRDefault="00BC7372">
            <w:pPr>
              <w:pStyle w:val="TableParagraph"/>
              <w:spacing w:line="182" w:lineRule="exact"/>
              <w:ind w:left="85"/>
              <w:rPr>
                <w:sz w:val="9"/>
              </w:rPr>
            </w:pPr>
            <w:r>
              <w:rPr>
                <w:color w:val="231F20"/>
                <w:sz w:val="16"/>
              </w:rPr>
              <w:t>and 2)</w:t>
            </w:r>
            <w:r>
              <w:rPr>
                <w:color w:val="231F20"/>
                <w:position w:val="5"/>
                <w:sz w:val="9"/>
              </w:rPr>
              <w:t>1</w:t>
            </w:r>
          </w:p>
        </w:tc>
        <w:tc>
          <w:tcPr>
            <w:tcW w:w="6236" w:type="dxa"/>
            <w:vMerge w:val="restart"/>
            <w:tcBorders>
              <w:top w:val="nil"/>
              <w:left w:val="single" w:sz="4" w:space="0" w:color="231F20"/>
              <w:bottom w:val="single" w:sz="4" w:space="0" w:color="231F20"/>
              <w:right w:val="single" w:sz="4" w:space="0" w:color="231F20"/>
            </w:tcBorders>
          </w:tcPr>
          <w:p w:rsidR="006A7A3F" w:rsidRDefault="00BC7372">
            <w:pPr>
              <w:pStyle w:val="TableParagraph"/>
              <w:numPr>
                <w:ilvl w:val="0"/>
                <w:numId w:val="149"/>
              </w:numPr>
              <w:tabs>
                <w:tab w:val="left" w:pos="306"/>
              </w:tabs>
              <w:spacing w:before="70"/>
              <w:ind w:hanging="218"/>
              <w:rPr>
                <w:sz w:val="18"/>
              </w:rPr>
            </w:pPr>
            <w:r>
              <w:rPr>
                <w:color w:val="231F20"/>
                <w:sz w:val="18"/>
              </w:rPr>
              <w:t>Provide native fish with passage through fish</w:t>
            </w:r>
            <w:r>
              <w:rPr>
                <w:color w:val="231F20"/>
                <w:spacing w:val="-7"/>
                <w:sz w:val="18"/>
              </w:rPr>
              <w:t xml:space="preserve"> </w:t>
            </w:r>
            <w:r>
              <w:rPr>
                <w:color w:val="231F20"/>
                <w:sz w:val="18"/>
              </w:rPr>
              <w:t>ladders</w:t>
            </w:r>
          </w:p>
          <w:p w:rsidR="006A7A3F" w:rsidRDefault="00BC7372">
            <w:pPr>
              <w:pStyle w:val="TableParagraph"/>
              <w:numPr>
                <w:ilvl w:val="0"/>
                <w:numId w:val="149"/>
              </w:numPr>
              <w:tabs>
                <w:tab w:val="left" w:pos="306"/>
              </w:tabs>
              <w:spacing w:before="98" w:line="254" w:lineRule="auto"/>
              <w:ind w:right="175"/>
              <w:rPr>
                <w:sz w:val="18"/>
              </w:rPr>
            </w:pPr>
            <w:r>
              <w:rPr>
                <w:color w:val="231F20"/>
                <w:sz w:val="18"/>
              </w:rPr>
              <w:t>Provide suitable foraging habitat for platypus and rakali (water rats), and support the movement of juveniles of both</w:t>
            </w:r>
            <w:r>
              <w:rPr>
                <w:color w:val="231F20"/>
                <w:spacing w:val="-7"/>
                <w:sz w:val="18"/>
              </w:rPr>
              <w:t xml:space="preserve"> </w:t>
            </w:r>
            <w:r>
              <w:rPr>
                <w:color w:val="231F20"/>
                <w:sz w:val="18"/>
              </w:rPr>
              <w:t>species</w:t>
            </w:r>
          </w:p>
          <w:p w:rsidR="006A7A3F" w:rsidRDefault="00BC7372">
            <w:pPr>
              <w:pStyle w:val="TableParagraph"/>
              <w:numPr>
                <w:ilvl w:val="0"/>
                <w:numId w:val="149"/>
              </w:numPr>
              <w:tabs>
                <w:tab w:val="left" w:pos="306"/>
              </w:tabs>
              <w:spacing w:before="87" w:line="254" w:lineRule="auto"/>
              <w:ind w:right="346"/>
              <w:rPr>
                <w:sz w:val="18"/>
              </w:rPr>
            </w:pPr>
            <w:r>
              <w:rPr>
                <w:color w:val="231F20"/>
                <w:sz w:val="18"/>
              </w:rPr>
              <w:t>Provide habitat for turtles including protection from exposure to cold in winter</w:t>
            </w:r>
          </w:p>
          <w:p w:rsidR="006A7A3F" w:rsidRDefault="00BC7372">
            <w:pPr>
              <w:pStyle w:val="TableParagraph"/>
              <w:numPr>
                <w:ilvl w:val="0"/>
                <w:numId w:val="149"/>
              </w:numPr>
              <w:tabs>
                <w:tab w:val="left" w:pos="306"/>
              </w:tabs>
              <w:spacing w:before="86" w:line="254" w:lineRule="auto"/>
              <w:ind w:right="387"/>
              <w:rPr>
                <w:sz w:val="18"/>
              </w:rPr>
            </w:pPr>
            <w:r>
              <w:rPr>
                <w:color w:val="231F20"/>
                <w:sz w:val="18"/>
              </w:rPr>
              <w:t>Provide flowing-water habitat and avoid winter drying of weir pools</w:t>
            </w:r>
            <w:r>
              <w:rPr>
                <w:color w:val="231F20"/>
                <w:spacing w:val="-36"/>
                <w:sz w:val="18"/>
              </w:rPr>
              <w:t xml:space="preserve"> </w:t>
            </w:r>
            <w:r>
              <w:rPr>
                <w:color w:val="231F20"/>
                <w:sz w:val="18"/>
              </w:rPr>
              <w:t>for fish, vegetation, waterbugs, platypus and</w:t>
            </w:r>
            <w:r>
              <w:rPr>
                <w:color w:val="231F20"/>
                <w:spacing w:val="-6"/>
                <w:sz w:val="18"/>
              </w:rPr>
              <w:t xml:space="preserve"> </w:t>
            </w:r>
            <w:r>
              <w:rPr>
                <w:color w:val="231F20"/>
                <w:sz w:val="18"/>
              </w:rPr>
              <w:t>turtles</w:t>
            </w:r>
          </w:p>
          <w:p w:rsidR="006A7A3F" w:rsidRDefault="00BC7372">
            <w:pPr>
              <w:pStyle w:val="TableParagraph"/>
              <w:numPr>
                <w:ilvl w:val="0"/>
                <w:numId w:val="149"/>
              </w:numPr>
              <w:tabs>
                <w:tab w:val="left" w:pos="306"/>
              </w:tabs>
              <w:spacing w:before="86"/>
              <w:ind w:hanging="218"/>
              <w:rPr>
                <w:sz w:val="18"/>
              </w:rPr>
            </w:pPr>
            <w:r>
              <w:rPr>
                <w:color w:val="231F20"/>
                <w:sz w:val="18"/>
              </w:rPr>
              <w:t>Limit suspended sediment and maintain suitable oxygen</w:t>
            </w:r>
            <w:r>
              <w:rPr>
                <w:color w:val="231F20"/>
                <w:spacing w:val="-9"/>
                <w:sz w:val="18"/>
              </w:rPr>
              <w:t xml:space="preserve"> </w:t>
            </w:r>
            <w:r>
              <w:rPr>
                <w:color w:val="231F20"/>
                <w:sz w:val="18"/>
              </w:rPr>
              <w:t>concentration</w:t>
            </w:r>
          </w:p>
        </w:tc>
        <w:tc>
          <w:tcPr>
            <w:tcW w:w="850" w:type="dxa"/>
            <w:tcBorders>
              <w:top w:val="nil"/>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6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26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1"/>
              <w:ind w:left="0"/>
              <w:rPr>
                <w:b/>
                <w:sz w:val="7"/>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67" name="image26.jpeg" descr="icon: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1"/>
              <w:ind w:left="0"/>
              <w:rPr>
                <w:b/>
                <w:sz w:val="7"/>
              </w:rPr>
            </w:pPr>
          </w:p>
          <w:p w:rsidR="006A7A3F" w:rsidRDefault="00BC7372">
            <w:pPr>
              <w:pStyle w:val="TableParagraph"/>
              <w:ind w:left="48"/>
              <w:rPr>
                <w:sz w:val="20"/>
              </w:rPr>
            </w:pPr>
            <w:r>
              <w:rPr>
                <w:noProof/>
                <w:sz w:val="20"/>
              </w:rPr>
              <w:drawing>
                <wp:inline distT="0" distB="0" distL="0" distR="0">
                  <wp:extent cx="314171" cy="310896"/>
                  <wp:effectExtent l="0" t="0" r="0" b="0"/>
                  <wp:docPr id="226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image21.jpeg"/>
                          <pic:cNvPicPr/>
                        </pic:nvPicPr>
                        <pic:blipFill>
                          <a:blip r:embed="rId33" cstate="print"/>
                          <a:stretch>
                            <a:fillRect/>
                          </a:stretch>
                        </pic:blipFill>
                        <pic:spPr>
                          <a:xfrm>
                            <a:off x="0" y="0"/>
                            <a:ext cx="314171" cy="310896"/>
                          </a:xfrm>
                          <a:prstGeom prst="rect">
                            <a:avLst/>
                          </a:prstGeom>
                        </pic:spPr>
                      </pic:pic>
                    </a:graphicData>
                  </a:graphic>
                </wp:inline>
              </w:drawing>
            </w:r>
          </w:p>
        </w:tc>
      </w:tr>
      <w:tr w:rsidR="006A7A3F">
        <w:trPr>
          <w:trHeight w:val="901"/>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ind w:left="0"/>
              <w:rPr>
                <w:b/>
                <w:sz w:val="5"/>
              </w:rPr>
            </w:pPr>
          </w:p>
          <w:p w:rsidR="006A7A3F" w:rsidRDefault="00BC7372">
            <w:pPr>
              <w:pStyle w:val="TableParagraph"/>
              <w:ind w:left="315" w:right="-15"/>
              <w:rPr>
                <w:sz w:val="20"/>
              </w:rPr>
            </w:pPr>
            <w:r>
              <w:rPr>
                <w:noProof/>
                <w:sz w:val="20"/>
              </w:rPr>
              <w:drawing>
                <wp:inline distT="0" distB="0" distL="0" distR="0">
                  <wp:extent cx="314177" cy="310896"/>
                  <wp:effectExtent l="0" t="0" r="0" b="0"/>
                  <wp:docPr id="227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b/>
                <w:sz w:val="5"/>
              </w:rPr>
            </w:pPr>
          </w:p>
          <w:p w:rsidR="006A7A3F" w:rsidRDefault="00BC7372">
            <w:pPr>
              <w:pStyle w:val="TableParagraph"/>
              <w:ind w:left="48"/>
              <w:rPr>
                <w:sz w:val="20"/>
              </w:rPr>
            </w:pPr>
            <w:r>
              <w:rPr>
                <w:noProof/>
                <w:sz w:val="20"/>
              </w:rPr>
              <w:drawing>
                <wp:inline distT="0" distB="0" distL="0" distR="0">
                  <wp:extent cx="314164" cy="310896"/>
                  <wp:effectExtent l="0" t="0" r="0" b="0"/>
                  <wp:docPr id="227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image23.png"/>
                          <pic:cNvPicPr/>
                        </pic:nvPicPr>
                        <pic:blipFill>
                          <a:blip r:embed="rId35" cstate="print"/>
                          <a:stretch>
                            <a:fillRect/>
                          </a:stretch>
                        </pic:blipFill>
                        <pic:spPr>
                          <a:xfrm>
                            <a:off x="0" y="0"/>
                            <a:ext cx="314164" cy="310896"/>
                          </a:xfrm>
                          <a:prstGeom prst="rect">
                            <a:avLst/>
                          </a:prstGeom>
                        </pic:spPr>
                      </pic:pic>
                    </a:graphicData>
                  </a:graphic>
                </wp:inline>
              </w:drawing>
            </w:r>
          </w:p>
        </w:tc>
      </w:tr>
      <w:tr w:rsidR="006A7A3F">
        <w:trPr>
          <w:trHeight w:val="64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23"/>
              <w:rPr>
                <w:sz w:val="16"/>
              </w:rPr>
            </w:pPr>
            <w:r>
              <w:rPr>
                <w:color w:val="231F20"/>
                <w:sz w:val="16"/>
              </w:rPr>
              <w:t>Winter/spring/summer/autumn high flow (200-250 ML/day in reaches 3 and 4 and 100-150</w:t>
            </w:r>
          </w:p>
          <w:p w:rsidR="006A7A3F" w:rsidRDefault="00BC7372">
            <w:pPr>
              <w:pStyle w:val="TableParagraph"/>
              <w:spacing w:line="261" w:lineRule="auto"/>
              <w:ind w:left="85" w:right="380"/>
              <w:rPr>
                <w:sz w:val="16"/>
              </w:rPr>
            </w:pPr>
            <w:r>
              <w:rPr>
                <w:color w:val="231F20"/>
                <w:sz w:val="16"/>
              </w:rPr>
              <w:t>ML/day in reaches 1 and 2 during July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48"/>
              </w:numPr>
              <w:tabs>
                <w:tab w:val="left" w:pos="306"/>
              </w:tabs>
              <w:spacing w:before="70" w:line="254" w:lineRule="auto"/>
              <w:ind w:right="696"/>
              <w:rPr>
                <w:sz w:val="18"/>
              </w:rPr>
            </w:pPr>
            <w:r>
              <w:rPr>
                <w:color w:val="231F20"/>
                <w:sz w:val="18"/>
              </w:rPr>
              <w:t>Provide habitat for fish and support fish movement, spawning and recruitment</w:t>
            </w:r>
          </w:p>
          <w:p w:rsidR="006A7A3F" w:rsidRDefault="00BC7372">
            <w:pPr>
              <w:pStyle w:val="TableParagraph"/>
              <w:numPr>
                <w:ilvl w:val="0"/>
                <w:numId w:val="148"/>
              </w:numPr>
              <w:tabs>
                <w:tab w:val="left" w:pos="306"/>
              </w:tabs>
              <w:spacing w:before="87"/>
              <w:ind w:hanging="218"/>
              <w:rPr>
                <w:sz w:val="18"/>
              </w:rPr>
            </w:pPr>
            <w:r>
              <w:rPr>
                <w:color w:val="231F20"/>
                <w:sz w:val="18"/>
              </w:rPr>
              <w:t>Flush and mobilise azolla and maintain oxygen levels in</w:t>
            </w:r>
            <w:r>
              <w:rPr>
                <w:color w:val="231F20"/>
                <w:spacing w:val="-14"/>
                <w:sz w:val="18"/>
              </w:rPr>
              <w:t xml:space="preserve"> </w:t>
            </w:r>
            <w:r>
              <w:rPr>
                <w:color w:val="231F20"/>
                <w:sz w:val="18"/>
              </w:rPr>
              <w:t>summer</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7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27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95"/>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2"/>
              <w:ind w:left="0"/>
              <w:rPr>
                <w:b/>
                <w:sz w:val="4"/>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7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7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91"/>
              <w:jc w:val="both"/>
              <w:rPr>
                <w:sz w:val="16"/>
              </w:rPr>
            </w:pPr>
            <w:r>
              <w:rPr>
                <w:color w:val="231F20"/>
                <w:sz w:val="16"/>
              </w:rPr>
              <w:t>Winter/spring freshes (up to three freshes of 450 ML/day during July to September)</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47"/>
              </w:numPr>
              <w:tabs>
                <w:tab w:val="left" w:pos="306"/>
              </w:tabs>
              <w:spacing w:before="70"/>
              <w:ind w:hanging="218"/>
              <w:rPr>
                <w:sz w:val="18"/>
              </w:rPr>
            </w:pPr>
            <w:r>
              <w:rPr>
                <w:color w:val="231F20"/>
                <w:sz w:val="18"/>
              </w:rPr>
              <w:t>Flush and mobilise azolla, if it</w:t>
            </w:r>
            <w:r>
              <w:rPr>
                <w:color w:val="231F20"/>
                <w:spacing w:val="-6"/>
                <w:sz w:val="18"/>
              </w:rPr>
              <w:t xml:space="preserve"> </w:t>
            </w:r>
            <w:r>
              <w:rPr>
                <w:color w:val="231F20"/>
                <w:sz w:val="18"/>
              </w:rPr>
              <w:t>blooms</w:t>
            </w:r>
          </w:p>
          <w:p w:rsidR="006A7A3F" w:rsidRDefault="00BC7372">
            <w:pPr>
              <w:pStyle w:val="TableParagraph"/>
              <w:numPr>
                <w:ilvl w:val="0"/>
                <w:numId w:val="147"/>
              </w:numPr>
              <w:tabs>
                <w:tab w:val="left" w:pos="306"/>
              </w:tabs>
              <w:spacing w:before="98"/>
              <w:ind w:hanging="218"/>
              <w:rPr>
                <w:sz w:val="18"/>
              </w:rPr>
            </w:pPr>
            <w:r>
              <w:rPr>
                <w:color w:val="231F20"/>
                <w:sz w:val="18"/>
              </w:rPr>
              <w:t>Trigger fish migration and</w:t>
            </w:r>
            <w:r>
              <w:rPr>
                <w:color w:val="231F20"/>
                <w:spacing w:val="-2"/>
                <w:sz w:val="18"/>
              </w:rPr>
              <w:t xml:space="preserve"> </w:t>
            </w:r>
            <w:r>
              <w:rPr>
                <w:color w:val="231F20"/>
                <w:sz w:val="18"/>
              </w:rPr>
              <w:t>movement</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8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28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bl>
    <w:p w:rsidR="006A7A3F" w:rsidRDefault="00BC7372">
      <w:pPr>
        <w:spacing w:before="23" w:line="266" w:lineRule="auto"/>
        <w:ind w:left="323" w:right="200" w:hanging="114"/>
        <w:rPr>
          <w:sz w:val="14"/>
        </w:rPr>
      </w:pPr>
      <w:r>
        <w:rPr>
          <w:color w:val="231F20"/>
          <w:sz w:val="14"/>
        </w:rPr>
        <w:t>1 Intended to be delivered year-round, subject to supply constraints. Constraints may mean these flows cannot be delivered in the non-irrigation season between mid-May and mid-August.</w:t>
      </w:r>
    </w:p>
    <w:p w:rsidR="006A7A3F" w:rsidRDefault="00BC7372">
      <w:pPr>
        <w:spacing w:before="64"/>
        <w:ind w:left="210"/>
        <w:rPr>
          <w:b/>
          <w:sz w:val="24"/>
        </w:rPr>
      </w:pPr>
      <w:r>
        <w:rPr>
          <w:b/>
          <w:color w:val="231F20"/>
          <w:sz w:val="24"/>
        </w:rPr>
        <w:t>Scenario planning</w:t>
      </w:r>
    </w:p>
    <w:p w:rsidR="006A7A3F" w:rsidRDefault="00BC7372">
      <w:pPr>
        <w:pStyle w:val="BodyText"/>
        <w:spacing w:before="58" w:line="249" w:lineRule="auto"/>
        <w:ind w:right="100"/>
      </w:pPr>
      <w:r>
        <w:rPr>
          <w:color w:val="231F20"/>
        </w:rPr>
        <w:t>Table 5.5.4 outlines the potential environmental watering and expected water use under a range of planning scenarios.</w:t>
      </w:r>
    </w:p>
    <w:p w:rsidR="006A7A3F" w:rsidRDefault="00BC7372">
      <w:pPr>
        <w:pStyle w:val="BodyText"/>
        <w:spacing w:line="249" w:lineRule="auto"/>
        <w:ind w:right="719"/>
      </w:pPr>
      <w:r>
        <w:rPr>
          <w:color w:val="231F20"/>
        </w:rPr>
        <w:t>Due to regulation of lower Broken and Nine Mile creeks, which creates highly modified and relatively uniform conditions, environmental flow recommendations are relatively constant from year to year and independent of annual conditions.</w:t>
      </w:r>
    </w:p>
    <w:p w:rsidR="006A7A3F" w:rsidRDefault="00BC7372" w:rsidP="00424171">
      <w:pPr>
        <w:pStyle w:val="BodyText"/>
        <w:spacing w:line="249" w:lineRule="auto"/>
        <w:ind w:right="430"/>
      </w:pPr>
      <w:r>
        <w:rPr>
          <w:color w:val="231F20"/>
        </w:rPr>
        <w:t>During 2020–21, environmental flows in lower Broken Creek will be adjusted as needed to optimise the quantity of habitat and movement opportunities for native fish, maintain water quality and flush azolla through the system.</w:t>
      </w:r>
      <w:r w:rsidR="00424171">
        <w:t xml:space="preserve"> </w:t>
      </w:r>
      <w:r>
        <w:rPr>
          <w:color w:val="231F20"/>
        </w:rPr>
        <w:t xml:space="preserve">The environmental flow objectives may be partly or wholly met by regulated flows to meet irrigation demand and/ or by natural </w:t>
      </w:r>
      <w:r>
        <w:rPr>
          <w:color w:val="231F20"/>
          <w:spacing w:val="-3"/>
        </w:rPr>
        <w:t xml:space="preserve">flow. </w:t>
      </w:r>
      <w:r>
        <w:rPr>
          <w:color w:val="231F20"/>
        </w:rPr>
        <w:t>Therefore, water for the environment will only be used to make up shortfalls. During the irrigation season, water for the environment will be mainly used to deliver high flow and freshes, because irrigation demand and</w:t>
      </w:r>
      <w:r>
        <w:rPr>
          <w:color w:val="231F20"/>
          <w:spacing w:val="-3"/>
        </w:rPr>
        <w:t xml:space="preserve"> </w:t>
      </w:r>
      <w:r>
        <w:rPr>
          <w:color w:val="231F20"/>
        </w:rPr>
        <w:t>the</w:t>
      </w:r>
      <w:r>
        <w:rPr>
          <w:color w:val="231F20"/>
          <w:spacing w:val="-3"/>
        </w:rPr>
        <w:t xml:space="preserve"> </w:t>
      </w:r>
      <w:r>
        <w:rPr>
          <w:color w:val="231F20"/>
        </w:rPr>
        <w:t>associated</w:t>
      </w:r>
      <w:r>
        <w:rPr>
          <w:color w:val="231F20"/>
          <w:spacing w:val="-3"/>
        </w:rPr>
        <w:t xml:space="preserve"> </w:t>
      </w:r>
      <w:r>
        <w:rPr>
          <w:color w:val="231F20"/>
        </w:rPr>
        <w:t>operational</w:t>
      </w:r>
      <w:r>
        <w:rPr>
          <w:color w:val="231F20"/>
          <w:spacing w:val="-3"/>
        </w:rPr>
        <w:t xml:space="preserve"> </w:t>
      </w:r>
      <w:r>
        <w:rPr>
          <w:color w:val="231F20"/>
        </w:rPr>
        <w:t>water</w:t>
      </w:r>
      <w:r>
        <w:rPr>
          <w:color w:val="231F20"/>
          <w:spacing w:val="-3"/>
        </w:rPr>
        <w:t xml:space="preserve"> </w:t>
      </w:r>
      <w:r>
        <w:rPr>
          <w:color w:val="231F20"/>
        </w:rPr>
        <w:t>flows</w:t>
      </w:r>
      <w:r>
        <w:rPr>
          <w:color w:val="231F20"/>
          <w:spacing w:val="-2"/>
        </w:rPr>
        <w:t xml:space="preserve"> </w:t>
      </w:r>
      <w:r>
        <w:rPr>
          <w:color w:val="231F20"/>
        </w:rPr>
        <w:t>are</w:t>
      </w:r>
      <w:r>
        <w:rPr>
          <w:color w:val="231F20"/>
          <w:spacing w:val="-3"/>
        </w:rPr>
        <w:t xml:space="preserve"> </w:t>
      </w:r>
      <w:r>
        <w:rPr>
          <w:color w:val="231F20"/>
        </w:rPr>
        <w:t>likely</w:t>
      </w:r>
      <w:r>
        <w:rPr>
          <w:color w:val="231F20"/>
          <w:spacing w:val="-3"/>
        </w:rPr>
        <w:t xml:space="preserve"> </w:t>
      </w:r>
      <w:r>
        <w:rPr>
          <w:color w:val="231F20"/>
        </w:rPr>
        <w:t>to</w:t>
      </w:r>
      <w:r>
        <w:rPr>
          <w:color w:val="231F20"/>
          <w:spacing w:val="-2"/>
        </w:rPr>
        <w:t xml:space="preserve"> </w:t>
      </w:r>
      <w:r>
        <w:rPr>
          <w:color w:val="231F20"/>
        </w:rPr>
        <w:t>meet</w:t>
      </w:r>
      <w:r>
        <w:rPr>
          <w:color w:val="231F20"/>
          <w:spacing w:val="-2"/>
        </w:rPr>
        <w:t xml:space="preserve"> </w:t>
      </w:r>
      <w:r>
        <w:rPr>
          <w:color w:val="231F20"/>
        </w:rPr>
        <w:t>many</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environmental</w:t>
      </w:r>
      <w:r>
        <w:rPr>
          <w:color w:val="231F20"/>
          <w:spacing w:val="-3"/>
        </w:rPr>
        <w:t xml:space="preserve"> </w:t>
      </w:r>
      <w:r>
        <w:rPr>
          <w:color w:val="231F20"/>
        </w:rPr>
        <w:t>low</w:t>
      </w:r>
      <w:r>
        <w:rPr>
          <w:color w:val="231F20"/>
          <w:spacing w:val="-3"/>
        </w:rPr>
        <w:t xml:space="preserve"> </w:t>
      </w:r>
      <w:r>
        <w:rPr>
          <w:color w:val="231F20"/>
        </w:rPr>
        <w:t>flow</w:t>
      </w:r>
      <w:r>
        <w:rPr>
          <w:color w:val="231F20"/>
          <w:spacing w:val="-2"/>
        </w:rPr>
        <w:t xml:space="preserve"> </w:t>
      </w:r>
      <w:r>
        <w:rPr>
          <w:color w:val="231F20"/>
        </w:rPr>
        <w:t>requirements.</w:t>
      </w:r>
      <w:r w:rsidR="00424171">
        <w:t xml:space="preserve"> </w:t>
      </w:r>
      <w:r>
        <w:rPr>
          <w:color w:val="231F20"/>
        </w:rPr>
        <w:t>Outside of the irrigation season, maintaining low flow above 40 ML per day in all reaches is the primary focus to ensure ecological objectives are met.</w:t>
      </w:r>
    </w:p>
    <w:p w:rsidR="006A7A3F" w:rsidRDefault="00BC7372">
      <w:pPr>
        <w:pStyle w:val="BodyText"/>
        <w:spacing w:line="249" w:lineRule="auto"/>
        <w:ind w:right="100"/>
      </w:pPr>
      <w:r>
        <w:rPr>
          <w:color w:val="231F20"/>
        </w:rPr>
        <w:t>The potential environmental watering actions in Table 5.5.4 are all considered to be high priorities and are expected to meet the environmental requirements of the system. No tier 2 potential watering actions have been identified for 2020–21. Critical carryover requirements under all scenarios in 2020–21 ensure a minimum low flow and a small fresh can be delivered in 2021–22.</w:t>
      </w:r>
    </w:p>
    <w:p w:rsidR="006A7A3F" w:rsidRDefault="00BC7372" w:rsidP="00424171">
      <w:pPr>
        <w:pStyle w:val="BodyText"/>
        <w:spacing w:before="173" w:line="249" w:lineRule="auto"/>
        <w:ind w:right="396"/>
      </w:pPr>
      <w:r>
        <w:rPr>
          <w:color w:val="231F20"/>
        </w:rPr>
        <w:t>In addition to the deliveries of water for the environment explained in this seasonal watering plan, downstream environmental or operational demands may result in higher flows being delivered in lower Broken Creek in 2020–21. Higher flows through the lower Broken Creek system generally provide positive environmental outcomes.</w:t>
      </w:r>
    </w:p>
    <w:p w:rsidR="00424171" w:rsidRDefault="00424171">
      <w:pPr>
        <w:rPr>
          <w:b/>
          <w:color w:val="231F20"/>
          <w:sz w:val="18"/>
        </w:rPr>
      </w:pPr>
      <w:r>
        <w:rPr>
          <w:b/>
          <w:color w:val="231F20"/>
          <w:sz w:val="18"/>
        </w:rPr>
        <w:br w:type="page"/>
      </w:r>
    </w:p>
    <w:p w:rsidR="006A7A3F" w:rsidRDefault="00BC7372" w:rsidP="00424171">
      <w:pPr>
        <w:spacing w:before="175" w:after="120"/>
        <w:ind w:left="210"/>
        <w:rPr>
          <w:b/>
          <w:sz w:val="18"/>
        </w:rPr>
      </w:pPr>
      <w:r>
        <w:rPr>
          <w:b/>
          <w:color w:val="231F20"/>
          <w:sz w:val="18"/>
        </w:rPr>
        <w:t>Table 5.5.4 Potential environmental watering for lower Broken Creek under a range of planning scenarios</w:t>
      </w: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424171">
        <w:trPr>
          <w:trHeight w:val="367"/>
        </w:trPr>
        <w:tc>
          <w:tcPr>
            <w:tcW w:w="2041" w:type="dxa"/>
            <w:tcBorders>
              <w:top w:val="nil"/>
              <w:left w:val="nil"/>
              <w:bottom w:val="nil"/>
            </w:tcBorders>
            <w:shd w:val="clear" w:color="auto" w:fill="231F20"/>
          </w:tcPr>
          <w:p w:rsidR="006A7A3F" w:rsidRDefault="00BC7372">
            <w:pPr>
              <w:pStyle w:val="TableParagraph"/>
              <w:spacing w:before="73"/>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Average</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Wet</w:t>
            </w:r>
          </w:p>
        </w:tc>
      </w:tr>
      <w:tr w:rsidR="006A7A3F" w:rsidTr="00424171">
        <w:trPr>
          <w:trHeight w:val="3157"/>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146"/>
              </w:numPr>
              <w:tabs>
                <w:tab w:val="left" w:pos="305"/>
              </w:tabs>
              <w:spacing w:before="63" w:line="254" w:lineRule="auto"/>
              <w:ind w:right="493"/>
              <w:rPr>
                <w:sz w:val="18"/>
              </w:rPr>
            </w:pPr>
            <w:r>
              <w:rPr>
                <w:color w:val="231F20"/>
                <w:sz w:val="18"/>
              </w:rPr>
              <w:t>No unregulated flows in</w:t>
            </w:r>
            <w:r>
              <w:rPr>
                <w:color w:val="231F20"/>
                <w:spacing w:val="-5"/>
                <w:sz w:val="18"/>
              </w:rPr>
              <w:t xml:space="preserve"> </w:t>
            </w:r>
            <w:r>
              <w:rPr>
                <w:color w:val="231F20"/>
                <w:sz w:val="18"/>
              </w:rPr>
              <w:t>winter</w:t>
            </w:r>
          </w:p>
          <w:p w:rsidR="006A7A3F" w:rsidRDefault="00BC7372">
            <w:pPr>
              <w:pStyle w:val="TableParagraph"/>
              <w:numPr>
                <w:ilvl w:val="0"/>
                <w:numId w:val="146"/>
              </w:numPr>
              <w:tabs>
                <w:tab w:val="left" w:pos="305"/>
              </w:tabs>
              <w:spacing w:before="86" w:line="254" w:lineRule="auto"/>
              <w:ind w:right="103"/>
              <w:rPr>
                <w:sz w:val="18"/>
              </w:rPr>
            </w:pPr>
            <w:r>
              <w:rPr>
                <w:color w:val="231F20"/>
                <w:sz w:val="18"/>
              </w:rPr>
              <w:t>No unregulated flows  throughout the irrigation season (mid-August to</w:t>
            </w:r>
            <w:r>
              <w:rPr>
                <w:color w:val="231F20"/>
                <w:spacing w:val="3"/>
                <w:sz w:val="18"/>
              </w:rPr>
              <w:t xml:space="preserve"> </w:t>
            </w:r>
            <w:r>
              <w:rPr>
                <w:color w:val="231F20"/>
                <w:spacing w:val="-5"/>
                <w:sz w:val="18"/>
              </w:rPr>
              <w:t>May)</w:t>
            </w:r>
          </w:p>
          <w:p w:rsidR="006A7A3F" w:rsidRDefault="00BC7372">
            <w:pPr>
              <w:pStyle w:val="TableParagraph"/>
              <w:numPr>
                <w:ilvl w:val="0"/>
                <w:numId w:val="146"/>
              </w:numPr>
              <w:tabs>
                <w:tab w:val="left" w:pos="305"/>
              </w:tabs>
              <w:spacing w:before="88" w:line="254" w:lineRule="auto"/>
              <w:ind w:right="163"/>
              <w:rPr>
                <w:sz w:val="18"/>
              </w:rPr>
            </w:pPr>
            <w:r>
              <w:rPr>
                <w:color w:val="231F20"/>
                <w:sz w:val="18"/>
              </w:rPr>
              <w:t>No diversion of unregulated Murray River flow</w:t>
            </w:r>
            <w:r>
              <w:rPr>
                <w:color w:val="231F20"/>
                <w:spacing w:val="-12"/>
                <w:sz w:val="18"/>
              </w:rPr>
              <w:t xml:space="preserve"> </w:t>
            </w:r>
            <w:r>
              <w:rPr>
                <w:color w:val="231F20"/>
                <w:sz w:val="18"/>
              </w:rPr>
              <w:t>available</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145"/>
              </w:numPr>
              <w:tabs>
                <w:tab w:val="left" w:pos="305"/>
              </w:tabs>
              <w:spacing w:before="63" w:line="254" w:lineRule="auto"/>
              <w:ind w:right="253"/>
              <w:rPr>
                <w:sz w:val="18"/>
              </w:rPr>
            </w:pPr>
            <w:r>
              <w:rPr>
                <w:color w:val="231F20"/>
                <w:sz w:val="18"/>
              </w:rPr>
              <w:t>Some unregulated flows in</w:t>
            </w:r>
            <w:r>
              <w:rPr>
                <w:color w:val="231F20"/>
                <w:spacing w:val="-3"/>
                <w:sz w:val="18"/>
              </w:rPr>
              <w:t xml:space="preserve"> </w:t>
            </w:r>
            <w:r>
              <w:rPr>
                <w:color w:val="231F20"/>
                <w:sz w:val="18"/>
              </w:rPr>
              <w:t>winter</w:t>
            </w:r>
          </w:p>
          <w:p w:rsidR="006A7A3F" w:rsidRDefault="00BC7372">
            <w:pPr>
              <w:pStyle w:val="TableParagraph"/>
              <w:numPr>
                <w:ilvl w:val="0"/>
                <w:numId w:val="145"/>
              </w:numPr>
              <w:tabs>
                <w:tab w:val="left" w:pos="305"/>
              </w:tabs>
              <w:spacing w:before="86" w:line="254" w:lineRule="auto"/>
              <w:ind w:right="103"/>
              <w:rPr>
                <w:sz w:val="18"/>
              </w:rPr>
            </w:pPr>
            <w:r>
              <w:rPr>
                <w:color w:val="231F20"/>
                <w:sz w:val="18"/>
              </w:rPr>
              <w:t>No unregulated flows  throughout the irrigation season (mid-August to</w:t>
            </w:r>
            <w:r>
              <w:rPr>
                <w:color w:val="231F20"/>
                <w:spacing w:val="3"/>
                <w:sz w:val="18"/>
              </w:rPr>
              <w:t xml:space="preserve"> </w:t>
            </w:r>
            <w:r>
              <w:rPr>
                <w:color w:val="231F20"/>
                <w:spacing w:val="-5"/>
                <w:sz w:val="18"/>
              </w:rPr>
              <w:t>May)</w:t>
            </w:r>
          </w:p>
          <w:p w:rsidR="006A7A3F" w:rsidRDefault="00BC7372">
            <w:pPr>
              <w:pStyle w:val="TableParagraph"/>
              <w:numPr>
                <w:ilvl w:val="0"/>
                <w:numId w:val="145"/>
              </w:numPr>
              <w:tabs>
                <w:tab w:val="left" w:pos="305"/>
              </w:tabs>
              <w:spacing w:before="88" w:line="254" w:lineRule="auto"/>
              <w:ind w:right="163"/>
              <w:rPr>
                <w:sz w:val="18"/>
              </w:rPr>
            </w:pPr>
            <w:r>
              <w:rPr>
                <w:color w:val="231F20"/>
                <w:sz w:val="18"/>
              </w:rPr>
              <w:t>No diversion of unregulated Murray River flow</w:t>
            </w:r>
            <w:r>
              <w:rPr>
                <w:color w:val="231F20"/>
                <w:spacing w:val="-12"/>
                <w:sz w:val="18"/>
              </w:rPr>
              <w:t xml:space="preserve"> </w:t>
            </w:r>
            <w:r>
              <w:rPr>
                <w:color w:val="231F20"/>
                <w:sz w:val="18"/>
              </w:rPr>
              <w:t>available</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144"/>
              </w:numPr>
              <w:tabs>
                <w:tab w:val="left" w:pos="305"/>
              </w:tabs>
              <w:spacing w:before="63" w:line="254" w:lineRule="auto"/>
              <w:ind w:right="93"/>
              <w:rPr>
                <w:sz w:val="18"/>
              </w:rPr>
            </w:pPr>
            <w:r>
              <w:rPr>
                <w:color w:val="231F20"/>
                <w:sz w:val="18"/>
              </w:rPr>
              <w:t>Unregulated flows in winter/spring</w:t>
            </w:r>
          </w:p>
          <w:p w:rsidR="006A7A3F" w:rsidRPr="0087445D" w:rsidRDefault="00BC7372" w:rsidP="0087445D">
            <w:pPr>
              <w:pStyle w:val="TableParagraph"/>
              <w:numPr>
                <w:ilvl w:val="0"/>
                <w:numId w:val="144"/>
              </w:numPr>
              <w:tabs>
                <w:tab w:val="left" w:pos="305"/>
              </w:tabs>
              <w:spacing w:before="2" w:line="254" w:lineRule="auto"/>
              <w:ind w:right="115"/>
              <w:rPr>
                <w:sz w:val="18"/>
              </w:rPr>
            </w:pPr>
            <w:r w:rsidRPr="0087445D">
              <w:rPr>
                <w:color w:val="231F20"/>
                <w:sz w:val="18"/>
              </w:rPr>
              <w:t>No unregulated flows during October to May (except</w:t>
            </w:r>
            <w:r w:rsidR="0087445D" w:rsidRPr="0087445D">
              <w:rPr>
                <w:color w:val="231F20"/>
                <w:sz w:val="18"/>
              </w:rPr>
              <w:t xml:space="preserve"> </w:t>
            </w:r>
            <w:r w:rsidRPr="0087445D">
              <w:rPr>
                <w:color w:val="231F20"/>
                <w:sz w:val="18"/>
              </w:rPr>
              <w:t>for an occasional unregulated fresh in spring)</w:t>
            </w:r>
          </w:p>
          <w:p w:rsidR="006A7A3F" w:rsidRDefault="00BC7372">
            <w:pPr>
              <w:pStyle w:val="TableParagraph"/>
              <w:numPr>
                <w:ilvl w:val="0"/>
                <w:numId w:val="144"/>
              </w:numPr>
              <w:tabs>
                <w:tab w:val="left" w:pos="305"/>
              </w:tabs>
              <w:spacing w:before="87" w:line="254" w:lineRule="auto"/>
              <w:ind w:right="163"/>
              <w:rPr>
                <w:sz w:val="18"/>
              </w:rPr>
            </w:pPr>
            <w:r>
              <w:rPr>
                <w:color w:val="231F20"/>
                <w:sz w:val="18"/>
              </w:rPr>
              <w:t>Diversion of unregulated Murray River flow available during mid-August to October</w:t>
            </w:r>
          </w:p>
        </w:tc>
        <w:tc>
          <w:tcPr>
            <w:tcW w:w="2041"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143"/>
              </w:numPr>
              <w:tabs>
                <w:tab w:val="left" w:pos="305"/>
              </w:tabs>
              <w:spacing w:before="63" w:line="254" w:lineRule="auto"/>
              <w:ind w:right="94"/>
              <w:rPr>
                <w:sz w:val="18"/>
              </w:rPr>
            </w:pPr>
            <w:r>
              <w:rPr>
                <w:color w:val="231F20"/>
                <w:sz w:val="18"/>
              </w:rPr>
              <w:t>Unregulated flows in winter/spring</w:t>
            </w:r>
          </w:p>
          <w:p w:rsidR="006A7A3F" w:rsidRDefault="00BC7372">
            <w:pPr>
              <w:pStyle w:val="TableParagraph"/>
              <w:numPr>
                <w:ilvl w:val="0"/>
                <w:numId w:val="143"/>
              </w:numPr>
              <w:tabs>
                <w:tab w:val="left" w:pos="305"/>
              </w:tabs>
              <w:spacing w:before="86" w:line="254" w:lineRule="auto"/>
              <w:ind w:right="304"/>
              <w:rPr>
                <w:sz w:val="18"/>
              </w:rPr>
            </w:pPr>
            <w:r>
              <w:rPr>
                <w:color w:val="231F20"/>
                <w:sz w:val="18"/>
              </w:rPr>
              <w:t>No unregulated flows during November to</w:t>
            </w:r>
            <w:r>
              <w:rPr>
                <w:color w:val="231F20"/>
                <w:spacing w:val="-8"/>
                <w:sz w:val="18"/>
              </w:rPr>
              <w:t xml:space="preserve"> </w:t>
            </w:r>
            <w:r>
              <w:rPr>
                <w:color w:val="231F20"/>
                <w:sz w:val="18"/>
              </w:rPr>
              <w:t>May</w:t>
            </w:r>
          </w:p>
          <w:p w:rsidR="006A7A3F" w:rsidRDefault="00BC7372">
            <w:pPr>
              <w:pStyle w:val="TableParagraph"/>
              <w:numPr>
                <w:ilvl w:val="0"/>
                <w:numId w:val="143"/>
              </w:numPr>
              <w:tabs>
                <w:tab w:val="left" w:pos="305"/>
              </w:tabs>
              <w:spacing w:before="87" w:line="254" w:lineRule="auto"/>
              <w:ind w:right="163"/>
              <w:rPr>
                <w:sz w:val="18"/>
              </w:rPr>
            </w:pPr>
            <w:r>
              <w:rPr>
                <w:color w:val="231F20"/>
                <w:sz w:val="18"/>
              </w:rPr>
              <w:t>Diversion of unregulated Murray River flow available during mid-August to</w:t>
            </w:r>
            <w:r>
              <w:rPr>
                <w:color w:val="231F20"/>
                <w:spacing w:val="-1"/>
                <w:sz w:val="18"/>
              </w:rPr>
              <w:t xml:space="preserve"> </w:t>
            </w:r>
            <w:r>
              <w:rPr>
                <w:color w:val="231F20"/>
                <w:sz w:val="18"/>
              </w:rPr>
              <w:t>November</w:t>
            </w:r>
          </w:p>
        </w:tc>
      </w:tr>
      <w:tr w:rsidR="006A7A3F" w:rsidTr="00424171">
        <w:trPr>
          <w:trHeight w:val="95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53"/>
              <w:rPr>
                <w:sz w:val="9"/>
              </w:rPr>
            </w:pPr>
            <w:r>
              <w:rPr>
                <w:color w:val="231F20"/>
                <w:sz w:val="16"/>
              </w:rPr>
              <w:t>Potential environmental watering – tier 1 (high priorities)</w:t>
            </w:r>
            <w:r>
              <w:rPr>
                <w:color w:val="231F20"/>
                <w:position w:val="5"/>
                <w:sz w:val="9"/>
              </w:rPr>
              <w:t>1</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42"/>
              </w:numPr>
              <w:tabs>
                <w:tab w:val="left" w:pos="305"/>
              </w:tabs>
              <w:spacing w:before="63"/>
              <w:rPr>
                <w:sz w:val="18"/>
              </w:rPr>
            </w:pPr>
            <w:r>
              <w:rPr>
                <w:color w:val="231F20"/>
                <w:spacing w:val="-3"/>
                <w:sz w:val="18"/>
              </w:rPr>
              <w:t xml:space="preserve">Year-round </w:t>
            </w:r>
            <w:r>
              <w:rPr>
                <w:color w:val="231F20"/>
                <w:sz w:val="18"/>
              </w:rPr>
              <w:t>low</w:t>
            </w:r>
            <w:r>
              <w:rPr>
                <w:color w:val="231F20"/>
                <w:spacing w:val="1"/>
                <w:sz w:val="18"/>
              </w:rPr>
              <w:t xml:space="preserve"> </w:t>
            </w:r>
            <w:r>
              <w:rPr>
                <w:color w:val="231F20"/>
                <w:sz w:val="18"/>
              </w:rPr>
              <w:t>flow</w:t>
            </w:r>
          </w:p>
          <w:p w:rsidR="006A7A3F" w:rsidRDefault="00BC7372">
            <w:pPr>
              <w:pStyle w:val="TableParagraph"/>
              <w:numPr>
                <w:ilvl w:val="0"/>
                <w:numId w:val="142"/>
              </w:numPr>
              <w:tabs>
                <w:tab w:val="left" w:pos="305"/>
              </w:tabs>
              <w:spacing w:before="98"/>
              <w:rPr>
                <w:sz w:val="18"/>
              </w:rPr>
            </w:pPr>
            <w:r>
              <w:rPr>
                <w:color w:val="231F20"/>
                <w:sz w:val="18"/>
              </w:rPr>
              <w:t>Winter/spring/summer/autumn high</w:t>
            </w:r>
            <w:r>
              <w:rPr>
                <w:color w:val="231F20"/>
                <w:spacing w:val="-2"/>
                <w:sz w:val="18"/>
              </w:rPr>
              <w:t xml:space="preserve"> </w:t>
            </w:r>
            <w:r>
              <w:rPr>
                <w:color w:val="231F20"/>
                <w:sz w:val="18"/>
              </w:rPr>
              <w:t>flow</w:t>
            </w:r>
          </w:p>
          <w:p w:rsidR="006A7A3F" w:rsidRDefault="00BC7372">
            <w:pPr>
              <w:pStyle w:val="TableParagraph"/>
              <w:numPr>
                <w:ilvl w:val="0"/>
                <w:numId w:val="142"/>
              </w:numPr>
              <w:tabs>
                <w:tab w:val="left" w:pos="305"/>
              </w:tabs>
              <w:spacing w:before="98"/>
              <w:rPr>
                <w:sz w:val="18"/>
              </w:rPr>
            </w:pPr>
            <w:r>
              <w:rPr>
                <w:color w:val="231F20"/>
                <w:sz w:val="18"/>
              </w:rPr>
              <w:t>Winter/spring freshes</w:t>
            </w:r>
          </w:p>
        </w:tc>
      </w:tr>
      <w:tr w:rsidR="006A7A3F" w:rsidTr="00424171">
        <w:trPr>
          <w:trHeight w:val="9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485"/>
              <w:rPr>
                <w:sz w:val="16"/>
              </w:rPr>
            </w:pPr>
            <w:r>
              <w:rPr>
                <w:color w:val="231F20"/>
                <w:sz w:val="16"/>
              </w:rPr>
              <w:t>Possible volume of environmental water required to achieve objectives</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41"/>
              </w:numPr>
              <w:tabs>
                <w:tab w:val="left" w:pos="305"/>
              </w:tabs>
              <w:spacing w:before="63"/>
              <w:rPr>
                <w:sz w:val="18"/>
              </w:rPr>
            </w:pPr>
            <w:r>
              <w:rPr>
                <w:color w:val="231F20"/>
                <w:sz w:val="18"/>
              </w:rPr>
              <w:t>44,800</w:t>
            </w:r>
            <w:r>
              <w:rPr>
                <w:color w:val="231F20"/>
                <w:spacing w:val="-2"/>
                <w:sz w:val="18"/>
              </w:rPr>
              <w:t xml:space="preserve"> </w:t>
            </w:r>
            <w:r>
              <w:rPr>
                <w:color w:val="231F20"/>
                <w:sz w:val="18"/>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40"/>
              </w:numPr>
              <w:tabs>
                <w:tab w:val="left" w:pos="305"/>
              </w:tabs>
              <w:spacing w:before="63"/>
              <w:rPr>
                <w:sz w:val="18"/>
              </w:rPr>
            </w:pPr>
            <w:r>
              <w:rPr>
                <w:color w:val="231F20"/>
                <w:sz w:val="18"/>
              </w:rPr>
              <w:t>45,680</w:t>
            </w:r>
            <w:r>
              <w:rPr>
                <w:color w:val="231F20"/>
                <w:spacing w:val="-2"/>
                <w:sz w:val="18"/>
              </w:rPr>
              <w:t xml:space="preserve"> </w:t>
            </w:r>
            <w:r>
              <w:rPr>
                <w:color w:val="231F20"/>
                <w:sz w:val="18"/>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39"/>
              </w:numPr>
              <w:tabs>
                <w:tab w:val="left" w:pos="305"/>
              </w:tabs>
              <w:spacing w:before="63"/>
              <w:rPr>
                <w:sz w:val="18"/>
              </w:rPr>
            </w:pPr>
            <w:r>
              <w:rPr>
                <w:color w:val="231F20"/>
                <w:sz w:val="18"/>
              </w:rPr>
              <w:t>55,650</w:t>
            </w:r>
            <w:r>
              <w:rPr>
                <w:color w:val="231F20"/>
                <w:spacing w:val="-2"/>
                <w:sz w:val="18"/>
              </w:rPr>
              <w:t xml:space="preserve"> </w:t>
            </w:r>
            <w:r>
              <w:rPr>
                <w:color w:val="231F20"/>
                <w:sz w:val="18"/>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38"/>
              </w:numPr>
              <w:tabs>
                <w:tab w:val="left" w:pos="305"/>
              </w:tabs>
              <w:spacing w:before="63"/>
              <w:rPr>
                <w:sz w:val="18"/>
              </w:rPr>
            </w:pPr>
            <w:r>
              <w:rPr>
                <w:color w:val="231F20"/>
                <w:sz w:val="18"/>
              </w:rPr>
              <w:t>43,150</w:t>
            </w:r>
            <w:r>
              <w:rPr>
                <w:color w:val="231F20"/>
                <w:spacing w:val="-2"/>
                <w:sz w:val="18"/>
              </w:rPr>
              <w:t xml:space="preserve"> </w:t>
            </w:r>
            <w:r>
              <w:rPr>
                <w:color w:val="231F20"/>
                <w:sz w:val="18"/>
              </w:rPr>
              <w:t>ML</w:t>
            </w:r>
          </w:p>
        </w:tc>
      </w:tr>
      <w:tr w:rsidR="006A7A3F" w:rsidTr="00424171">
        <w:trPr>
          <w:trHeight w:val="5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716"/>
              <w:rPr>
                <w:sz w:val="16"/>
              </w:rPr>
            </w:pPr>
            <w:r>
              <w:rPr>
                <w:color w:val="231F20"/>
                <w:sz w:val="16"/>
              </w:rPr>
              <w:t>Priority carryover requirements</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Default="00BC7372" w:rsidP="0087445D">
            <w:pPr>
              <w:pStyle w:val="TableParagraph"/>
              <w:numPr>
                <w:ilvl w:val="0"/>
                <w:numId w:val="137"/>
              </w:numPr>
              <w:tabs>
                <w:tab w:val="left" w:pos="284"/>
              </w:tabs>
              <w:spacing w:before="63"/>
              <w:ind w:hanging="3801"/>
              <w:jc w:val="center"/>
              <w:rPr>
                <w:sz w:val="18"/>
              </w:rPr>
            </w:pPr>
            <w:r>
              <w:rPr>
                <w:color w:val="231F20"/>
                <w:sz w:val="18"/>
              </w:rPr>
              <w:t>5,000</w:t>
            </w:r>
            <w:r>
              <w:rPr>
                <w:color w:val="231F20"/>
                <w:spacing w:val="-2"/>
                <w:sz w:val="18"/>
              </w:rPr>
              <w:t xml:space="preserve"> </w:t>
            </w:r>
            <w:r>
              <w:rPr>
                <w:color w:val="231F20"/>
                <w:sz w:val="18"/>
              </w:rPr>
              <w:t>ML</w:t>
            </w:r>
          </w:p>
        </w:tc>
      </w:tr>
    </w:tbl>
    <w:p w:rsidR="006A7A3F" w:rsidRDefault="00BC7372">
      <w:pPr>
        <w:spacing w:before="16" w:line="266" w:lineRule="auto"/>
        <w:ind w:left="323" w:right="457" w:hanging="114"/>
        <w:rPr>
          <w:sz w:val="14"/>
        </w:rPr>
      </w:pPr>
      <w:r>
        <w:rPr>
          <w:color w:val="231F20"/>
          <w:sz w:val="14"/>
        </w:rPr>
        <w:t>1 Tier 1 potential environmental watering for lower Broken Creek is not classified as tier 1a or 1b because the water available for use is shared across various systems and it is not possible to reliably determine the supply specifically available for lower Broken Creek</w:t>
      </w:r>
    </w:p>
    <w:p w:rsidR="006A7A3F" w:rsidRPr="00424171" w:rsidRDefault="00BC7372">
      <w:pPr>
        <w:pStyle w:val="Heading5"/>
        <w:numPr>
          <w:ilvl w:val="2"/>
          <w:numId w:val="577"/>
        </w:numPr>
        <w:tabs>
          <w:tab w:val="left" w:pos="811"/>
        </w:tabs>
        <w:spacing w:before="131"/>
        <w:rPr>
          <w:rFonts w:ascii="Arial" w:hAnsi="Arial" w:cs="Arial"/>
          <w:b/>
          <w:bCs/>
          <w:color w:val="231F20"/>
        </w:rPr>
      </w:pPr>
      <w:r w:rsidRPr="00424171">
        <w:rPr>
          <w:rFonts w:ascii="Arial" w:hAnsi="Arial" w:cs="Arial"/>
          <w:b/>
          <w:bCs/>
          <w:color w:val="231F20"/>
        </w:rPr>
        <w:t>Broken</w:t>
      </w:r>
      <w:r w:rsidRPr="00424171">
        <w:rPr>
          <w:rFonts w:ascii="Arial" w:hAnsi="Arial" w:cs="Arial"/>
          <w:b/>
          <w:bCs/>
          <w:color w:val="231F20"/>
          <w:spacing w:val="-1"/>
        </w:rPr>
        <w:t xml:space="preserve"> </w:t>
      </w:r>
      <w:r w:rsidRPr="00424171">
        <w:rPr>
          <w:rFonts w:ascii="Arial" w:hAnsi="Arial" w:cs="Arial"/>
          <w:b/>
          <w:bCs/>
          <w:color w:val="231F20"/>
        </w:rPr>
        <w:t>wetlands</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pPr>
      <w:r>
        <w:rPr>
          <w:color w:val="231F20"/>
        </w:rPr>
        <w:t>Of some 2,000 natural wetlands in the Goulburn Broken area, only three in the Broken catchment have infrastructure that allow them to receive environmental water: Black Swamp, Kinnairds Wetland and Moodie Swamp. Kinnairds Wetland and Black Swamp are red gum swamps near Numurkah. Moodie Swamp is a cane grass wetland adjacent to upper Broken Creek at Waggarandall that provides excellent breeding habitat for brolga.</w:t>
      </w:r>
    </w:p>
    <w:p w:rsidR="006A7A3F" w:rsidRDefault="006A7A3F">
      <w:pPr>
        <w:pStyle w:val="BodyText"/>
        <w:spacing w:before="6"/>
        <w:ind w:left="0"/>
        <w:rPr>
          <w:sz w:val="21"/>
        </w:rPr>
      </w:pPr>
    </w:p>
    <w:p w:rsidR="006A7A3F" w:rsidRDefault="00BC7372">
      <w:pPr>
        <w:pStyle w:val="BodyText"/>
        <w:spacing w:before="0" w:line="249" w:lineRule="auto"/>
        <w:ind w:right="296"/>
      </w:pPr>
      <w:r>
        <w:rPr>
          <w:color w:val="231F20"/>
        </w:rPr>
        <w:t>The water regimes of these wetlands are influenced by their position in the landscape. The development and operation of the Shepparton and Murray Valley irrigation districts have changed the natural flow paths and the timing, frequency, volume and duration of natural flooding to these and other wetlands in the region. Existing irrigation system infrastructure enables water for the environment to be delivered to the three nominated wetlands, but under existing agreements, irrigation deliveries have priority within the channel system. This limits the volume of water that can be delivered to the wetlands.</w:t>
      </w:r>
    </w:p>
    <w:p w:rsidR="006A7A3F" w:rsidRDefault="00BC7372">
      <w:pPr>
        <w:spacing w:before="184"/>
        <w:ind w:left="210"/>
        <w:rPr>
          <w:rFonts w:ascii="Helvetica Neue LT Std 75"/>
          <w:b/>
          <w:sz w:val="19"/>
        </w:rPr>
      </w:pPr>
      <w:r>
        <w:rPr>
          <w:rFonts w:ascii="Helvetica Neue LT Std 75"/>
          <w:b/>
          <w:color w:val="231F20"/>
          <w:sz w:val="19"/>
        </w:rPr>
        <w:t>Environmental values</w:t>
      </w:r>
    </w:p>
    <w:p w:rsidR="006A7A3F" w:rsidRDefault="00BC7372" w:rsidP="0087445D">
      <w:pPr>
        <w:pStyle w:val="BodyText"/>
        <w:spacing w:before="67" w:line="249" w:lineRule="auto"/>
        <w:ind w:right="406"/>
      </w:pPr>
      <w:r>
        <w:rPr>
          <w:color w:val="231F20"/>
        </w:rPr>
        <w:t>Moodie Swamp, Kinnairds Wetland and Black Swamp support a high diversity of vegetation communities ranging from river red gum to cane grass dominated. The wetlands contain state and nationally threatened vegetation communities and species including ridged water milfoil and river swamp wallaby-grass. The wetlands also provide food resources and breeding habitat for bird species of high conservation significance (such as eastern great egret, Latham’s snipe, white-bellied sea eagle, Australasian bittern, brolga, royal spoonbill, yellow-billed</w:t>
      </w:r>
      <w:r w:rsidR="0087445D">
        <w:rPr>
          <w:color w:val="231F20"/>
        </w:rPr>
        <w:t xml:space="preserve"> </w:t>
      </w:r>
      <w:r>
        <w:rPr>
          <w:color w:val="231F20"/>
        </w:rPr>
        <w:t>spoonbill, Australasian shoveler and glossy ibis). Many of these species are listed in international agreements and conventions.</w:t>
      </w:r>
    </w:p>
    <w:p w:rsidR="00423E31" w:rsidRDefault="00423E31">
      <w:pPr>
        <w:rPr>
          <w:rFonts w:ascii="Helvetica Neue LT Std 75"/>
          <w:b/>
          <w:color w:val="231F20"/>
          <w:sz w:val="19"/>
        </w:rPr>
      </w:pPr>
      <w:r>
        <w:rPr>
          <w:rFonts w:ascii="Helvetica Neue LT Std 75"/>
          <w:b/>
          <w:color w:val="231F20"/>
          <w:sz w:val="19"/>
        </w:rPr>
        <w:br w:type="page"/>
      </w:r>
    </w:p>
    <w:p w:rsidR="006A7A3F" w:rsidRDefault="00BC7372" w:rsidP="00423E31">
      <w:pPr>
        <w:spacing w:before="180" w:after="120"/>
        <w:ind w:left="210"/>
        <w:rPr>
          <w:rFonts w:ascii="Helvetica Neue LT Std 75"/>
          <w:b/>
          <w:sz w:val="19"/>
        </w:rPr>
      </w:pPr>
      <w:r>
        <w:rPr>
          <w:rFonts w:ascii="Helvetica Neue LT Std 75"/>
          <w:b/>
          <w:color w:val="231F20"/>
          <w:sz w:val="19"/>
        </w:rPr>
        <w:t>Environmental watering objectives in the Broken wetlands</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873"/>
        </w:trPr>
        <w:tc>
          <w:tcPr>
            <w:tcW w:w="789" w:type="dxa"/>
            <w:tcBorders>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6" w:after="1"/>
              <w:ind w:left="0"/>
              <w:rPr>
                <w:rFonts w:ascii="Helvetica Neue LT Std 75"/>
                <w:b/>
                <w:sz w:val="29"/>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4" cy="310896"/>
                  <wp:effectExtent l="0" t="0" r="0" b="0"/>
                  <wp:docPr id="228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 name="image21.jpeg"/>
                          <pic:cNvPicPr/>
                        </pic:nvPicPr>
                        <pic:blipFill>
                          <a:blip r:embed="rId33" cstate="print"/>
                          <a:stretch>
                            <a:fillRect/>
                          </a:stretch>
                        </pic:blipFill>
                        <pic:spPr>
                          <a:xfrm>
                            <a:off x="0" y="0"/>
                            <a:ext cx="314174"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29" w:line="261" w:lineRule="auto"/>
              <w:ind w:left="118" w:right="145"/>
              <w:rPr>
                <w:sz w:val="16"/>
              </w:rPr>
            </w:pPr>
            <w:r>
              <w:rPr>
                <w:color w:val="231F20"/>
                <w:sz w:val="16"/>
              </w:rPr>
              <w:t>Increase and improve the growth of native wetland plant species consistent with the ecological vegetation clas</w:t>
            </w:r>
            <w:r w:rsidR="00E175D4">
              <w:rPr>
                <w:color w:val="231F20"/>
                <w:sz w:val="16"/>
              </w:rPr>
              <w:t xml:space="preserve">s </w:t>
            </w:r>
            <w:r>
              <w:rPr>
                <w:color w:val="231F20"/>
                <w:position w:val="5"/>
                <w:sz w:val="9"/>
              </w:rPr>
              <w:t xml:space="preserve"> </w:t>
            </w:r>
            <w:r>
              <w:rPr>
                <w:color w:val="231F20"/>
                <w:sz w:val="16"/>
              </w:rPr>
              <w:t>benchmarks</w:t>
            </w:r>
          </w:p>
          <w:p w:rsidR="006A7A3F" w:rsidRDefault="00BC7372">
            <w:pPr>
              <w:pStyle w:val="TableParagraph"/>
              <w:spacing w:before="112" w:line="261" w:lineRule="auto"/>
              <w:ind w:left="118" w:right="492"/>
              <w:rPr>
                <w:sz w:val="16"/>
              </w:rPr>
            </w:pPr>
            <w:r>
              <w:rPr>
                <w:color w:val="231F20"/>
                <w:sz w:val="16"/>
              </w:rPr>
              <w:t>Reduce the cover and diversity of exotic plant species</w:t>
            </w:r>
          </w:p>
          <w:p w:rsidR="006A7A3F" w:rsidRDefault="00BC7372">
            <w:pPr>
              <w:pStyle w:val="TableParagraph"/>
              <w:spacing w:before="112" w:line="261" w:lineRule="auto"/>
              <w:ind w:left="118" w:right="528"/>
              <w:rPr>
                <w:sz w:val="16"/>
              </w:rPr>
            </w:pPr>
            <w:r>
              <w:rPr>
                <w:color w:val="231F20"/>
                <w:sz w:val="16"/>
              </w:rPr>
              <w:t>Maintain populations of rigid water milfoil and slender water milfoil</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3"/>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4" cy="310896"/>
                  <wp:effectExtent l="0" t="0" r="0" b="0"/>
                  <wp:docPr id="2287"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image27.jpeg"/>
                          <pic:cNvPicPr/>
                        </pic:nvPicPr>
                        <pic:blipFill>
                          <a:blip r:embed="rId39" cstate="print"/>
                          <a:stretch>
                            <a:fillRect/>
                          </a:stretch>
                        </pic:blipFill>
                        <pic:spPr>
                          <a:xfrm>
                            <a:off x="0" y="0"/>
                            <a:ext cx="314164"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19"/>
              <w:ind w:left="118"/>
              <w:rPr>
                <w:sz w:val="16"/>
              </w:rPr>
            </w:pPr>
            <w:r>
              <w:rPr>
                <w:color w:val="231F20"/>
                <w:sz w:val="16"/>
              </w:rPr>
              <w:t>Provide breeding habitat for waterbirds</w:t>
            </w:r>
          </w:p>
          <w:p w:rsidR="006A7A3F" w:rsidRDefault="00BC7372">
            <w:pPr>
              <w:pStyle w:val="TableParagraph"/>
              <w:spacing w:before="129"/>
              <w:ind w:left="118"/>
              <w:rPr>
                <w:sz w:val="16"/>
              </w:rPr>
            </w:pPr>
            <w:r>
              <w:rPr>
                <w:color w:val="231F20"/>
                <w:sz w:val="16"/>
              </w:rPr>
              <w:t>Provide feeding and roosting habitat for waterbirds</w:t>
            </w:r>
          </w:p>
        </w:tc>
      </w:tr>
    </w:tbl>
    <w:p w:rsidR="006A7A3F" w:rsidRDefault="006A7A3F">
      <w:pPr>
        <w:pStyle w:val="BodyText"/>
        <w:spacing w:before="12"/>
        <w:ind w:left="0"/>
        <w:rPr>
          <w:rFonts w:ascii="Helvetica Neue LT Std 75"/>
          <w:b/>
          <w:sz w:val="5"/>
        </w:rPr>
      </w:pPr>
    </w:p>
    <w:p w:rsidR="006A7A3F" w:rsidRDefault="00BC7372" w:rsidP="00423E31">
      <w:pPr>
        <w:spacing w:before="240"/>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297"/>
      </w:pPr>
      <w:r>
        <w:rPr>
          <w:color w:val="231F20"/>
        </w:rPr>
        <w:t>Goulburn Broken CMA consulted with the Yorta Yorta Nation Aboriginal Corporation during the planning of environmental water deliveries in the Broken wetlands. Yorta Yorta confirmed support for the environmental watering actions proposed and will continue to collaborate with Goulburn Broken CMA to identify opportunities for environmental water management to support Yorta Yorta cultural values.</w:t>
      </w:r>
    </w:p>
    <w:p w:rsidR="006A7A3F" w:rsidRDefault="00BC7372">
      <w:pPr>
        <w:spacing w:before="182"/>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8" w:line="249" w:lineRule="auto"/>
        <w:ind w:right="274"/>
      </w:pPr>
      <w:r>
        <w:rPr>
          <w:color w:val="231F20"/>
        </w:rPr>
        <w:t>In planning the potential watering actions in Table 5.5.5, Goulburn Broken CMA considered how environmental flows could support values and uses including riverside recreation and amenity (such as walking, photography and birdwatching).</w:t>
      </w:r>
    </w:p>
    <w:p w:rsidR="006A7A3F" w:rsidRDefault="00BC7372">
      <w:pPr>
        <w:spacing w:before="181"/>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297"/>
      </w:pPr>
      <w:r>
        <w:rPr>
          <w:color w:val="231F20"/>
        </w:rPr>
        <w:t>The Broken River catchment continued to experience dry conditions in 2019–20 on the back of two previous dry years, receiving below-average rainfall and experiencing above-average temperatures, particularly in spring/ summer. Water availability in the Broken system for Moodie Swamp was very low, with high-reliability allocations only reaching two percent. Supply was better in the Murray system, enabling planned deliveries to Black Swamp and Kinnairds Wetland – which are supplied from the Murray system via the Murray valley irrigation area — to occur.</w:t>
      </w:r>
    </w:p>
    <w:p w:rsidR="006A7A3F" w:rsidRDefault="00BC7372">
      <w:pPr>
        <w:pStyle w:val="BodyText"/>
        <w:spacing w:before="175" w:line="249" w:lineRule="auto"/>
        <w:ind w:right="393"/>
      </w:pPr>
      <w:r>
        <w:rPr>
          <w:color w:val="231F20"/>
        </w:rPr>
        <w:t>All Broken wetlands remained dry through winter, spring and summer. Environmental water was delivered to fill both Black Swamp and Kinnairds Wetland in autumn 2020, to provide feeding and breeding habitat for a variety of waterbirds and frogs and to stimulate the growth of wetland vegetation including the listed river swamp wallaby grass at Black Swamp and rigid and slender water milfoil at Kinnairds Wetland.</w:t>
      </w:r>
    </w:p>
    <w:p w:rsidR="006A7A3F" w:rsidRDefault="00BC7372">
      <w:pPr>
        <w:pStyle w:val="BodyText"/>
        <w:spacing w:before="174" w:line="249" w:lineRule="auto"/>
        <w:ind w:right="251"/>
      </w:pPr>
      <w:r>
        <w:rPr>
          <w:color w:val="231F20"/>
        </w:rPr>
        <w:t>A planned delivery to Moodie Swamp in autumn 2020 was postponed due to the lack of supply and the preference to maintain flow and water quality in upper Broken Creek. Moodie Swamp did however receive some natural catchment runoff as a result of above-average rainfall in April/early May 2020 that provided minimal wetting of the fringing vegetation.</w:t>
      </w:r>
    </w:p>
    <w:p w:rsidR="006A7A3F" w:rsidRDefault="00BC7372">
      <w:pPr>
        <w:pStyle w:val="BodyText"/>
        <w:spacing w:before="173" w:line="249" w:lineRule="auto"/>
        <w:ind w:right="189"/>
        <w:jc w:val="both"/>
      </w:pPr>
      <w:r>
        <w:rPr>
          <w:color w:val="231F20"/>
        </w:rPr>
        <w:t>The postponement of the Moodie Swamp watering event in 2019–20 will extend the drying phase for this wetland to 31 months as of autumn 2021: the recommended drying phase is 6–9 months. Therefore, watering Moodie Swamp becomes more critical in 2020–21, to maintain threatened aquatic vegetation.</w:t>
      </w:r>
    </w:p>
    <w:p w:rsidR="00423E31" w:rsidRDefault="00423E31">
      <w:pPr>
        <w:rPr>
          <w:rFonts w:ascii="Helvetica Neue LT Std 75"/>
          <w:b/>
          <w:color w:val="231F20"/>
          <w:sz w:val="19"/>
        </w:rPr>
      </w:pPr>
      <w:r>
        <w:rPr>
          <w:rFonts w:ascii="Helvetica Neue LT Std 75"/>
          <w:b/>
          <w:color w:val="231F20"/>
          <w:sz w:val="19"/>
        </w:rPr>
        <w:br w:type="page"/>
      </w:r>
    </w:p>
    <w:p w:rsidR="006A7A3F" w:rsidRDefault="00BC7372">
      <w:pPr>
        <w:spacing w:before="181"/>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457"/>
      </w:pPr>
      <w:r>
        <w:rPr>
          <w:color w:val="231F20"/>
        </w:rPr>
        <w:t>Table 5.5.5 describes the potential environmental watering action in 2020–21, its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jc w:val="both"/>
        <w:rPr>
          <w:b/>
          <w:sz w:val="18"/>
        </w:rPr>
      </w:pPr>
      <w:r>
        <w:rPr>
          <w:b/>
          <w:color w:val="231F20"/>
          <w:sz w:val="18"/>
        </w:rPr>
        <w:t>Table 5.5.5 Potential environmental watering action and objectives for the Broken wetlands</w:t>
      </w:r>
    </w:p>
    <w:p w:rsidR="006A7A3F" w:rsidRDefault="006A7A3F">
      <w:pPr>
        <w:pStyle w:val="BodyText"/>
        <w:spacing w:before="0"/>
        <w:ind w:left="0"/>
        <w:rPr>
          <w:b/>
          <w:sz w:val="9"/>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2"/>
        </w:trPr>
        <w:tc>
          <w:tcPr>
            <w:tcW w:w="2381" w:type="dxa"/>
            <w:tcBorders>
              <w:top w:val="nil"/>
              <w:left w:val="nil"/>
              <w:bottom w:val="nil"/>
            </w:tcBorders>
            <w:shd w:val="clear" w:color="auto" w:fill="231F20"/>
          </w:tcPr>
          <w:p w:rsidR="006A7A3F" w:rsidRDefault="00BC7372">
            <w:pPr>
              <w:pStyle w:val="TableParagraph"/>
              <w:spacing w:before="75"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5"/>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75" w:line="254" w:lineRule="auto"/>
              <w:ind w:left="85" w:right="192"/>
              <w:rPr>
                <w:b/>
                <w:sz w:val="18"/>
              </w:rPr>
            </w:pPr>
            <w:r>
              <w:rPr>
                <w:b/>
                <w:color w:val="FFFFFF"/>
                <w:sz w:val="18"/>
              </w:rPr>
              <w:t>Environmental objectives</w:t>
            </w:r>
          </w:p>
        </w:tc>
      </w:tr>
      <w:tr w:rsidR="006A7A3F">
        <w:trPr>
          <w:trHeight w:val="957"/>
        </w:trPr>
        <w:tc>
          <w:tcPr>
            <w:tcW w:w="2381" w:type="dxa"/>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51"/>
              <w:rPr>
                <w:sz w:val="16"/>
              </w:rPr>
            </w:pPr>
            <w:r>
              <w:rPr>
                <w:color w:val="231F20"/>
                <w:sz w:val="16"/>
              </w:rPr>
              <w:t>Moodie Swamp (top up in spring as required, fill in autumn)</w:t>
            </w:r>
          </w:p>
        </w:tc>
        <w:tc>
          <w:tcPr>
            <w:tcW w:w="6236" w:type="dxa"/>
            <w:tcBorders>
              <w:top w:val="nil"/>
              <w:left w:val="single" w:sz="4" w:space="0" w:color="231F20"/>
              <w:bottom w:val="single" w:sz="4" w:space="0" w:color="231F20"/>
              <w:right w:val="single" w:sz="4" w:space="0" w:color="231F20"/>
            </w:tcBorders>
          </w:tcPr>
          <w:p w:rsidR="006A7A3F" w:rsidRDefault="00BC7372">
            <w:pPr>
              <w:pStyle w:val="TableParagraph"/>
              <w:numPr>
                <w:ilvl w:val="0"/>
                <w:numId w:val="136"/>
              </w:numPr>
              <w:tabs>
                <w:tab w:val="left" w:pos="306"/>
              </w:tabs>
              <w:spacing w:before="70"/>
              <w:ind w:hanging="218"/>
              <w:rPr>
                <w:sz w:val="18"/>
              </w:rPr>
            </w:pPr>
            <w:r>
              <w:rPr>
                <w:color w:val="231F20"/>
                <w:sz w:val="18"/>
              </w:rPr>
              <w:t>Promote cane grass</w:t>
            </w:r>
            <w:r>
              <w:rPr>
                <w:color w:val="231F20"/>
                <w:spacing w:val="-2"/>
                <w:sz w:val="18"/>
              </w:rPr>
              <w:t xml:space="preserve"> </w:t>
            </w:r>
            <w:r>
              <w:rPr>
                <w:color w:val="231F20"/>
                <w:sz w:val="18"/>
              </w:rPr>
              <w:t>growth</w:t>
            </w:r>
          </w:p>
          <w:p w:rsidR="006A7A3F" w:rsidRDefault="00BC7372">
            <w:pPr>
              <w:pStyle w:val="TableParagraph"/>
              <w:numPr>
                <w:ilvl w:val="0"/>
                <w:numId w:val="136"/>
              </w:numPr>
              <w:tabs>
                <w:tab w:val="left" w:pos="306"/>
              </w:tabs>
              <w:spacing w:before="98"/>
              <w:ind w:hanging="218"/>
              <w:rPr>
                <w:sz w:val="18"/>
              </w:rPr>
            </w:pPr>
            <w:r>
              <w:rPr>
                <w:color w:val="231F20"/>
                <w:sz w:val="18"/>
              </w:rPr>
              <w:t>Promote germination and growth of rigid water</w:t>
            </w:r>
            <w:r>
              <w:rPr>
                <w:color w:val="231F20"/>
                <w:spacing w:val="-9"/>
                <w:sz w:val="18"/>
              </w:rPr>
              <w:t xml:space="preserve"> </w:t>
            </w:r>
            <w:r>
              <w:rPr>
                <w:color w:val="231F20"/>
                <w:sz w:val="18"/>
              </w:rPr>
              <w:t>milfoil</w:t>
            </w:r>
          </w:p>
          <w:p w:rsidR="006A7A3F" w:rsidRDefault="00BC7372">
            <w:pPr>
              <w:pStyle w:val="TableParagraph"/>
              <w:numPr>
                <w:ilvl w:val="0"/>
                <w:numId w:val="136"/>
              </w:numPr>
              <w:tabs>
                <w:tab w:val="left" w:pos="306"/>
              </w:tabs>
              <w:spacing w:before="98"/>
              <w:ind w:hanging="218"/>
              <w:rPr>
                <w:sz w:val="18"/>
              </w:rPr>
            </w:pPr>
            <w:r>
              <w:rPr>
                <w:color w:val="231F20"/>
                <w:sz w:val="18"/>
              </w:rPr>
              <w:t>Provide habitat for brolga</w:t>
            </w:r>
            <w:r>
              <w:rPr>
                <w:color w:val="231F20"/>
                <w:spacing w:val="-4"/>
                <w:sz w:val="18"/>
              </w:rPr>
              <w:t xml:space="preserve"> </w:t>
            </w:r>
            <w:r>
              <w:rPr>
                <w:color w:val="231F20"/>
                <w:sz w:val="18"/>
              </w:rPr>
              <w:t>nesting</w:t>
            </w:r>
          </w:p>
        </w:tc>
        <w:tc>
          <w:tcPr>
            <w:tcW w:w="850" w:type="dxa"/>
            <w:tcBorders>
              <w:top w:val="nil"/>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28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29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r>
    </w:tbl>
    <w:p w:rsidR="006A7A3F" w:rsidRDefault="00BC7372">
      <w:pPr>
        <w:spacing w:before="151"/>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5.5.6 outlines the potential environmental watering and expected water use under a range of planning scenarios.</w:t>
      </w:r>
    </w:p>
    <w:p w:rsidR="006A7A3F" w:rsidRDefault="00BC7372">
      <w:pPr>
        <w:pStyle w:val="BodyText"/>
        <w:spacing w:before="70" w:line="249" w:lineRule="auto"/>
        <w:ind w:right="234"/>
      </w:pPr>
      <w:r>
        <w:rPr>
          <w:color w:val="231F20"/>
        </w:rPr>
        <w:t xml:space="preserve">Moodie Swamp has been identified as a high priority in all planning scenarios, as it remained dry throughout 2018–19 and 2019–20. If natural inflows occur over winter-spring 2020, a top-up in spring 2020 may be delivered to encourage and maintain any waterbird breeding. If the swamp remains </w:t>
      </w:r>
      <w:r>
        <w:rPr>
          <w:color w:val="231F20"/>
          <w:spacing w:val="-4"/>
        </w:rPr>
        <w:t xml:space="preserve">dry, </w:t>
      </w:r>
      <w:r>
        <w:rPr>
          <w:color w:val="231F20"/>
        </w:rPr>
        <w:t>a fill in autumn 2021 is planned to promote the germination and growth of rigid water milfoil, as well as the growth of cane grass that brolga rely on for nesting. Both Black Swamp and Kinnairds Wetland received water in autumn 2020 and will enter a drying phase in 2020–21.</w:t>
      </w:r>
    </w:p>
    <w:p w:rsidR="006A7A3F" w:rsidRDefault="00BC7372">
      <w:pPr>
        <w:pStyle w:val="BodyText"/>
        <w:spacing w:before="175" w:line="249" w:lineRule="auto"/>
        <w:ind w:right="297"/>
      </w:pPr>
      <w:r>
        <w:rPr>
          <w:color w:val="231F20"/>
        </w:rPr>
        <w:t>Low water availability in the Broken system under dry or drought conditions in 2020–21 may mean delivery to Moodie Swamp does not occur. Under average to wetter scenarios, water is likely to be available for delivery, and some natural inflow is likely under a wet scenario.</w:t>
      </w:r>
    </w:p>
    <w:p w:rsidR="006A7A3F" w:rsidRDefault="00BC7372">
      <w:pPr>
        <w:pStyle w:val="BodyText"/>
        <w:spacing w:before="173" w:line="249" w:lineRule="auto"/>
        <w:ind w:right="396"/>
      </w:pPr>
      <w:r>
        <w:rPr>
          <w:color w:val="231F20"/>
        </w:rPr>
        <w:t>It is considered a priority to carry over water to allow 2021–22 top-ups to tier 1 wetlands planned to be watered in 2020–21.</w:t>
      </w:r>
    </w:p>
    <w:p w:rsidR="006A7A3F" w:rsidRDefault="00BC7372">
      <w:pPr>
        <w:spacing w:before="166"/>
        <w:ind w:left="210"/>
        <w:rPr>
          <w:b/>
          <w:sz w:val="18"/>
        </w:rPr>
      </w:pPr>
      <w:r>
        <w:rPr>
          <w:b/>
          <w:color w:val="231F20"/>
          <w:sz w:val="18"/>
        </w:rPr>
        <w:t>Table 5.5.6 Potential environmental watering for the Broken wetlands under a range of planning scenarios</w:t>
      </w:r>
    </w:p>
    <w:p w:rsidR="006A7A3F" w:rsidRDefault="006A7A3F">
      <w:pPr>
        <w:pStyle w:val="BodyText"/>
        <w:spacing w:before="7"/>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trPr>
          <w:trHeight w:val="367"/>
        </w:trPr>
        <w:tc>
          <w:tcPr>
            <w:tcW w:w="204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Average</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Wet</w:t>
            </w:r>
          </w:p>
        </w:tc>
      </w:tr>
      <w:tr w:rsidR="006A7A3F">
        <w:trPr>
          <w:trHeight w:val="2107"/>
        </w:trPr>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spacing w:before="66" w:line="249" w:lineRule="auto"/>
              <w:ind w:left="85" w:right="647"/>
              <w:rPr>
                <w:sz w:val="16"/>
                <w:szCs w:val="16"/>
              </w:rPr>
            </w:pPr>
            <w:r w:rsidRPr="00424171">
              <w:rPr>
                <w:color w:val="231F20"/>
                <w:sz w:val="16"/>
                <w:szCs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numPr>
                <w:ilvl w:val="0"/>
                <w:numId w:val="135"/>
              </w:numPr>
              <w:tabs>
                <w:tab w:val="left" w:pos="305"/>
              </w:tabs>
              <w:spacing w:before="70" w:line="254" w:lineRule="auto"/>
              <w:ind w:right="113"/>
              <w:rPr>
                <w:sz w:val="16"/>
                <w:szCs w:val="16"/>
              </w:rPr>
            </w:pPr>
            <w:r w:rsidRPr="00424171">
              <w:rPr>
                <w:color w:val="231F20"/>
                <w:sz w:val="16"/>
                <w:szCs w:val="16"/>
              </w:rPr>
              <w:t>Catchment runoff and natural flow into the wetlands are highly</w:t>
            </w:r>
            <w:r w:rsidRPr="00424171">
              <w:rPr>
                <w:color w:val="231F20"/>
                <w:spacing w:val="-3"/>
                <w:sz w:val="16"/>
                <w:szCs w:val="16"/>
              </w:rPr>
              <w:t xml:space="preserve"> </w:t>
            </w:r>
            <w:r w:rsidRPr="00424171">
              <w:rPr>
                <w:color w:val="231F20"/>
                <w:sz w:val="16"/>
                <w:szCs w:val="16"/>
              </w:rPr>
              <w:t>unlikely</w:t>
            </w:r>
          </w:p>
        </w:tc>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numPr>
                <w:ilvl w:val="0"/>
                <w:numId w:val="134"/>
              </w:numPr>
              <w:tabs>
                <w:tab w:val="left" w:pos="305"/>
              </w:tabs>
              <w:spacing w:before="70" w:line="254" w:lineRule="auto"/>
              <w:ind w:right="193"/>
              <w:rPr>
                <w:sz w:val="16"/>
                <w:szCs w:val="16"/>
              </w:rPr>
            </w:pPr>
            <w:r w:rsidRPr="00424171">
              <w:rPr>
                <w:color w:val="231F20"/>
                <w:sz w:val="16"/>
                <w:szCs w:val="16"/>
              </w:rPr>
              <w:t>Catchment runoff and natural flow into the wetlands is unlikely</w:t>
            </w:r>
          </w:p>
        </w:tc>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numPr>
                <w:ilvl w:val="0"/>
                <w:numId w:val="133"/>
              </w:numPr>
              <w:tabs>
                <w:tab w:val="left" w:pos="305"/>
              </w:tabs>
              <w:spacing w:before="70" w:line="254" w:lineRule="auto"/>
              <w:ind w:right="73"/>
              <w:rPr>
                <w:sz w:val="16"/>
                <w:szCs w:val="16"/>
              </w:rPr>
            </w:pPr>
            <w:r w:rsidRPr="00424171">
              <w:rPr>
                <w:color w:val="231F20"/>
                <w:sz w:val="16"/>
                <w:szCs w:val="16"/>
              </w:rPr>
              <w:t xml:space="preserve">Some catchment runoff and natural flow into some of </w:t>
            </w:r>
            <w:r w:rsidRPr="00424171">
              <w:rPr>
                <w:color w:val="231F20"/>
                <w:spacing w:val="-4"/>
                <w:sz w:val="16"/>
                <w:szCs w:val="16"/>
              </w:rPr>
              <w:t xml:space="preserve">the </w:t>
            </w:r>
            <w:r w:rsidRPr="00424171">
              <w:rPr>
                <w:color w:val="231F20"/>
                <w:sz w:val="16"/>
                <w:szCs w:val="16"/>
              </w:rPr>
              <w:t xml:space="preserve">wetlands is </w:t>
            </w:r>
            <w:r w:rsidRPr="00424171">
              <w:rPr>
                <w:color w:val="231F20"/>
                <w:spacing w:val="-3"/>
                <w:sz w:val="16"/>
                <w:szCs w:val="16"/>
              </w:rPr>
              <w:t xml:space="preserve">likely, </w:t>
            </w:r>
            <w:r w:rsidRPr="00424171">
              <w:rPr>
                <w:color w:val="231F20"/>
                <w:sz w:val="16"/>
                <w:szCs w:val="16"/>
              </w:rPr>
              <w:t>particularly in winter/ spring</w:t>
            </w:r>
          </w:p>
        </w:tc>
        <w:tc>
          <w:tcPr>
            <w:tcW w:w="2041" w:type="dxa"/>
            <w:tcBorders>
              <w:top w:val="nil"/>
              <w:left w:val="single" w:sz="4" w:space="0" w:color="231F20"/>
              <w:bottom w:val="single" w:sz="4" w:space="0" w:color="231F20"/>
              <w:right w:val="single" w:sz="4" w:space="0" w:color="231F20"/>
            </w:tcBorders>
          </w:tcPr>
          <w:p w:rsidR="006A7A3F" w:rsidRPr="00424171" w:rsidRDefault="00BC7372">
            <w:pPr>
              <w:pStyle w:val="TableParagraph"/>
              <w:numPr>
                <w:ilvl w:val="0"/>
                <w:numId w:val="132"/>
              </w:numPr>
              <w:tabs>
                <w:tab w:val="left" w:pos="305"/>
              </w:tabs>
              <w:spacing w:before="70" w:line="254" w:lineRule="auto"/>
              <w:ind w:right="304"/>
              <w:rPr>
                <w:sz w:val="16"/>
                <w:szCs w:val="16"/>
              </w:rPr>
            </w:pPr>
            <w:r w:rsidRPr="00424171">
              <w:rPr>
                <w:color w:val="231F20"/>
                <w:sz w:val="16"/>
                <w:szCs w:val="16"/>
              </w:rPr>
              <w:t>Catchment runoff and natural flow into the wetlands may significantly contribute to water levels in the wetlands, particularly during winter/spring</w:t>
            </w:r>
          </w:p>
        </w:tc>
      </w:tr>
      <w:tr w:rsidR="006A7A3F">
        <w:trPr>
          <w:trHeight w:val="1082"/>
        </w:trPr>
        <w:tc>
          <w:tcPr>
            <w:tcW w:w="2041" w:type="dxa"/>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spacing w:before="66" w:line="249" w:lineRule="auto"/>
              <w:ind w:left="85" w:right="503"/>
              <w:rPr>
                <w:sz w:val="16"/>
                <w:szCs w:val="16"/>
              </w:rPr>
            </w:pPr>
            <w:r w:rsidRPr="00424171">
              <w:rPr>
                <w:color w:val="231F20"/>
                <w:sz w:val="16"/>
                <w:szCs w:val="16"/>
              </w:rPr>
              <w:t>Potential environmental watering – tier 1 (high priorities)</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31"/>
              </w:numPr>
              <w:tabs>
                <w:tab w:val="left" w:pos="3572"/>
              </w:tabs>
              <w:spacing w:before="70"/>
              <w:rPr>
                <w:sz w:val="16"/>
                <w:szCs w:val="16"/>
              </w:rPr>
            </w:pPr>
            <w:r w:rsidRPr="00424171">
              <w:rPr>
                <w:color w:val="231F20"/>
                <w:sz w:val="16"/>
                <w:szCs w:val="16"/>
              </w:rPr>
              <w:t>Moodie Swamp</w:t>
            </w:r>
          </w:p>
        </w:tc>
      </w:tr>
      <w:tr w:rsidR="006A7A3F">
        <w:trPr>
          <w:trHeight w:val="1082"/>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6" w:line="249" w:lineRule="auto"/>
              <w:ind w:left="85" w:right="125"/>
              <w:rPr>
                <w:sz w:val="11"/>
              </w:rPr>
            </w:pPr>
            <w:r w:rsidRPr="00424171">
              <w:rPr>
                <w:color w:val="231F20"/>
                <w:sz w:val="16"/>
                <w:szCs w:val="16"/>
              </w:rPr>
              <w:t>Possible volume of environmental water required to achieve</w:t>
            </w:r>
            <w:r>
              <w:rPr>
                <w:color w:val="231F20"/>
                <w:sz w:val="20"/>
              </w:rPr>
              <w:t xml:space="preserve"> </w:t>
            </w:r>
            <w:r w:rsidRPr="00424171">
              <w:rPr>
                <w:color w:val="231F20"/>
                <w:sz w:val="16"/>
                <w:szCs w:val="16"/>
              </w:rPr>
              <w:t>objectives</w:t>
            </w:r>
            <w:r>
              <w:rPr>
                <w:color w:val="231F20"/>
                <w:position w:val="7"/>
                <w:sz w:val="11"/>
              </w:rPr>
              <w:t>1</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Pr="00424171" w:rsidRDefault="00BC7372" w:rsidP="00424171">
            <w:pPr>
              <w:pStyle w:val="TableParagraph"/>
              <w:numPr>
                <w:ilvl w:val="0"/>
                <w:numId w:val="130"/>
              </w:numPr>
              <w:tabs>
                <w:tab w:val="left" w:pos="284"/>
              </w:tabs>
              <w:spacing w:before="70"/>
              <w:ind w:hanging="3523"/>
              <w:jc w:val="center"/>
              <w:rPr>
                <w:sz w:val="16"/>
                <w:szCs w:val="16"/>
              </w:rPr>
            </w:pPr>
            <w:r w:rsidRPr="00424171">
              <w:rPr>
                <w:color w:val="231F20"/>
                <w:sz w:val="16"/>
                <w:szCs w:val="16"/>
              </w:rPr>
              <w:t>1,000 ML (tier</w:t>
            </w:r>
            <w:r w:rsidRPr="00424171">
              <w:rPr>
                <w:color w:val="231F20"/>
                <w:spacing w:val="-9"/>
                <w:sz w:val="16"/>
                <w:szCs w:val="16"/>
              </w:rPr>
              <w:t xml:space="preserve"> </w:t>
            </w:r>
            <w:r w:rsidRPr="00424171">
              <w:rPr>
                <w:color w:val="231F20"/>
                <w:sz w:val="16"/>
                <w:szCs w:val="16"/>
              </w:rPr>
              <w:t>1)</w:t>
            </w:r>
          </w:p>
          <w:p w:rsidR="00424171" w:rsidRPr="00424171" w:rsidRDefault="00424171" w:rsidP="00424171">
            <w:pPr>
              <w:pStyle w:val="TableParagraph"/>
              <w:tabs>
                <w:tab w:val="left" w:pos="3535"/>
              </w:tabs>
              <w:spacing w:before="70"/>
              <w:ind w:left="0"/>
              <w:rPr>
                <w:sz w:val="16"/>
                <w:szCs w:val="16"/>
              </w:rPr>
            </w:pPr>
          </w:p>
        </w:tc>
      </w:tr>
      <w:tr w:rsidR="006A7A3F">
        <w:trPr>
          <w:trHeight w:val="602"/>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6" w:line="249" w:lineRule="auto"/>
              <w:ind w:left="85" w:right="414"/>
              <w:rPr>
                <w:sz w:val="20"/>
              </w:rPr>
            </w:pPr>
            <w:r>
              <w:rPr>
                <w:color w:val="231F20"/>
                <w:sz w:val="20"/>
              </w:rPr>
              <w:t>Priority carryover requirements</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Pr="00424171" w:rsidRDefault="00BC7372">
            <w:pPr>
              <w:pStyle w:val="TableParagraph"/>
              <w:numPr>
                <w:ilvl w:val="0"/>
                <w:numId w:val="129"/>
              </w:numPr>
              <w:tabs>
                <w:tab w:val="left" w:pos="3655"/>
              </w:tabs>
              <w:spacing w:before="70"/>
              <w:rPr>
                <w:sz w:val="16"/>
                <w:szCs w:val="16"/>
              </w:rPr>
            </w:pPr>
            <w:r w:rsidRPr="00424171">
              <w:rPr>
                <w:color w:val="231F20"/>
                <w:sz w:val="16"/>
                <w:szCs w:val="16"/>
              </w:rPr>
              <w:t>Up to 350</w:t>
            </w:r>
            <w:r w:rsidRPr="00424171">
              <w:rPr>
                <w:color w:val="231F20"/>
                <w:spacing w:val="-3"/>
                <w:sz w:val="16"/>
                <w:szCs w:val="16"/>
              </w:rPr>
              <w:t xml:space="preserve"> </w:t>
            </w:r>
            <w:r w:rsidRPr="00424171">
              <w:rPr>
                <w:color w:val="231F20"/>
                <w:sz w:val="16"/>
                <w:szCs w:val="16"/>
              </w:rPr>
              <w:t>ML</w:t>
            </w:r>
          </w:p>
        </w:tc>
      </w:tr>
    </w:tbl>
    <w:p w:rsidR="006A7A3F" w:rsidRDefault="00BC7372">
      <w:pPr>
        <w:spacing w:before="137" w:line="266" w:lineRule="auto"/>
        <w:ind w:left="323" w:right="457" w:hanging="114"/>
        <w:rPr>
          <w:sz w:val="14"/>
        </w:rPr>
      </w:pPr>
      <w:r>
        <w:rPr>
          <w:color w:val="231F20"/>
          <w:sz w:val="14"/>
        </w:rPr>
        <w:t>1 Moodie Swamp is supplied from the Broken system. There is insufficient supply available to meet potential environmental watering requirements for Moodie Swamp under all scenarios.</w:t>
      </w:r>
    </w:p>
    <w:p w:rsidR="00424171" w:rsidRDefault="00424171">
      <w:pPr>
        <w:rPr>
          <w:color w:val="231F20"/>
          <w:sz w:val="42"/>
          <w:szCs w:val="42"/>
        </w:rPr>
      </w:pPr>
      <w:r>
        <w:rPr>
          <w:color w:val="231F20"/>
        </w:rPr>
        <w:br w:type="page"/>
      </w:r>
    </w:p>
    <w:p w:rsidR="006A7A3F" w:rsidRDefault="00BC7372">
      <w:pPr>
        <w:pStyle w:val="Heading1"/>
        <w:numPr>
          <w:ilvl w:val="1"/>
          <w:numId w:val="577"/>
        </w:numPr>
        <w:tabs>
          <w:tab w:val="left" w:pos="911"/>
        </w:tabs>
        <w:spacing w:before="64"/>
      </w:pPr>
      <w:r>
        <w:rPr>
          <w:color w:val="231F20"/>
        </w:rPr>
        <w:t>Campaspe</w:t>
      </w:r>
      <w:r>
        <w:rPr>
          <w:color w:val="231F20"/>
          <w:spacing w:val="-2"/>
        </w:rPr>
        <w:t xml:space="preserve"> </w:t>
      </w:r>
      <w:r>
        <w:rPr>
          <w:color w:val="231F20"/>
        </w:rPr>
        <w:t>system</w:t>
      </w:r>
    </w:p>
    <w:p w:rsidR="006A7A3F" w:rsidRDefault="00BC7372">
      <w:pPr>
        <w:spacing w:before="256"/>
        <w:ind w:left="210"/>
        <w:rPr>
          <w:rFonts w:ascii="Helvetica Neue LT Std 75"/>
          <w:b/>
          <w:sz w:val="19"/>
        </w:rPr>
      </w:pPr>
      <w:r>
        <w:rPr>
          <w:rFonts w:ascii="Helvetica Neue LT Std 75"/>
          <w:b/>
          <w:color w:val="231F20"/>
          <w:sz w:val="19"/>
        </w:rPr>
        <w:t>Did you know...?</w:t>
      </w:r>
    </w:p>
    <w:p w:rsidR="006A7A3F" w:rsidRDefault="00BC7372">
      <w:pPr>
        <w:pStyle w:val="BodyText"/>
        <w:spacing w:before="68" w:line="249" w:lineRule="auto"/>
        <w:ind w:right="266"/>
      </w:pPr>
      <w:r>
        <w:rPr>
          <w:color w:val="231F20"/>
        </w:rPr>
        <w:t xml:space="preserve">The Arthur Rylah Institute and citizen scientists have been collecting otoliths — fish ear bones — from fish in the Campaspe </w:t>
      </w:r>
      <w:r>
        <w:rPr>
          <w:color w:val="231F20"/>
          <w:spacing w:val="-3"/>
        </w:rPr>
        <w:t xml:space="preserve">River. </w:t>
      </w:r>
      <w:r>
        <w:rPr>
          <w:color w:val="231F20"/>
        </w:rPr>
        <w:t>Rather than catching extra fish, anglers have helped by extracting the fish ear bones from the fish they keep for eating. Length and data comparisons indicate that golden perch have higher growth rates in the Campaspe,</w:t>
      </w:r>
      <w:r>
        <w:rPr>
          <w:color w:val="231F20"/>
          <w:spacing w:val="-5"/>
        </w:rPr>
        <w:t xml:space="preserve"> </w:t>
      </w:r>
      <w:r>
        <w:rPr>
          <w:color w:val="231F20"/>
        </w:rPr>
        <w:t>compared</w:t>
      </w:r>
      <w:r>
        <w:rPr>
          <w:color w:val="231F20"/>
          <w:spacing w:val="-3"/>
        </w:rPr>
        <w:t xml:space="preserve"> </w:t>
      </w:r>
      <w:r>
        <w:rPr>
          <w:color w:val="231F20"/>
        </w:rPr>
        <w:t>to</w:t>
      </w:r>
      <w:r>
        <w:rPr>
          <w:color w:val="231F20"/>
          <w:spacing w:val="-3"/>
        </w:rPr>
        <w:t xml:space="preserve"> </w:t>
      </w:r>
      <w:r>
        <w:rPr>
          <w:color w:val="231F20"/>
        </w:rPr>
        <w:t>other</w:t>
      </w:r>
      <w:r>
        <w:rPr>
          <w:color w:val="231F20"/>
          <w:spacing w:val="-4"/>
        </w:rPr>
        <w:t xml:space="preserve"> </w:t>
      </w:r>
      <w:r>
        <w:rPr>
          <w:color w:val="231F20"/>
        </w:rPr>
        <w:t>northern</w:t>
      </w:r>
      <w:r>
        <w:rPr>
          <w:color w:val="231F20"/>
          <w:spacing w:val="-4"/>
        </w:rPr>
        <w:t xml:space="preserve"> </w:t>
      </w:r>
      <w:r>
        <w:rPr>
          <w:color w:val="231F20"/>
        </w:rPr>
        <w:t>Victorian</w:t>
      </w:r>
      <w:r>
        <w:rPr>
          <w:color w:val="231F20"/>
          <w:spacing w:val="-4"/>
        </w:rPr>
        <w:t xml:space="preserve"> </w:t>
      </w:r>
      <w:r>
        <w:rPr>
          <w:color w:val="231F20"/>
        </w:rPr>
        <w:t>rivers.</w:t>
      </w:r>
      <w:r>
        <w:rPr>
          <w:color w:val="231F20"/>
          <w:spacing w:val="-4"/>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likely</w:t>
      </w:r>
      <w:r>
        <w:rPr>
          <w:color w:val="231F20"/>
          <w:spacing w:val="-4"/>
        </w:rPr>
        <w:t xml:space="preserve"> </w:t>
      </w:r>
      <w:r>
        <w:rPr>
          <w:color w:val="231F20"/>
        </w:rPr>
        <w:t>this</w:t>
      </w:r>
      <w:r>
        <w:rPr>
          <w:color w:val="231F20"/>
          <w:spacing w:val="-3"/>
        </w:rPr>
        <w:t xml:space="preserve"> </w:t>
      </w:r>
      <w:r>
        <w:rPr>
          <w:color w:val="231F20"/>
        </w:rPr>
        <w:t>is</w:t>
      </w:r>
      <w:r>
        <w:rPr>
          <w:color w:val="231F20"/>
          <w:spacing w:val="-4"/>
        </w:rPr>
        <w:t xml:space="preserve"> </w:t>
      </w:r>
      <w:r>
        <w:rPr>
          <w:color w:val="231F20"/>
        </w:rPr>
        <w:t>a</w:t>
      </w:r>
      <w:r>
        <w:rPr>
          <w:color w:val="231F20"/>
          <w:spacing w:val="-5"/>
        </w:rPr>
        <w:t xml:space="preserve"> </w:t>
      </w:r>
      <w:r>
        <w:rPr>
          <w:color w:val="231F20"/>
        </w:rPr>
        <w:t>result</w:t>
      </w:r>
      <w:r>
        <w:rPr>
          <w:color w:val="231F20"/>
          <w:spacing w:val="-3"/>
        </w:rPr>
        <w:t xml:space="preserve"> </w:t>
      </w:r>
      <w:r>
        <w:rPr>
          <w:color w:val="231F20"/>
        </w:rPr>
        <w:t>of</w:t>
      </w:r>
      <w:r>
        <w:rPr>
          <w:color w:val="231F20"/>
          <w:spacing w:val="-4"/>
        </w:rPr>
        <w:t xml:space="preserve"> </w:t>
      </w:r>
      <w:r>
        <w:rPr>
          <w:color w:val="231F20"/>
        </w:rPr>
        <w:t>healthy</w:t>
      </w:r>
      <w:r>
        <w:rPr>
          <w:color w:val="231F20"/>
          <w:spacing w:val="-4"/>
        </w:rPr>
        <w:t xml:space="preserve"> </w:t>
      </w:r>
      <w:r>
        <w:rPr>
          <w:color w:val="231F20"/>
        </w:rPr>
        <w:t>and</w:t>
      </w:r>
      <w:r>
        <w:rPr>
          <w:color w:val="231F20"/>
          <w:spacing w:val="-4"/>
        </w:rPr>
        <w:t xml:space="preserve"> </w:t>
      </w:r>
      <w:r>
        <w:rPr>
          <w:color w:val="231F20"/>
        </w:rPr>
        <w:t>abundant</w:t>
      </w:r>
      <w:r>
        <w:rPr>
          <w:color w:val="231F20"/>
          <w:spacing w:val="-4"/>
        </w:rPr>
        <w:t xml:space="preserve"> </w:t>
      </w:r>
      <w:r>
        <w:rPr>
          <w:color w:val="231F20"/>
        </w:rPr>
        <w:t>waterbug populations in the river, a key objective of environmental</w:t>
      </w:r>
      <w:r>
        <w:rPr>
          <w:color w:val="231F20"/>
          <w:spacing w:val="-11"/>
        </w:rPr>
        <w:t xml:space="preserve"> </w:t>
      </w:r>
      <w:r>
        <w:rPr>
          <w:color w:val="231F20"/>
        </w:rPr>
        <w:t>flows.</w:t>
      </w:r>
    </w:p>
    <w:p w:rsidR="006A7A3F" w:rsidRDefault="00BC7372" w:rsidP="00093C34">
      <w:pPr>
        <w:pStyle w:val="BodyText"/>
        <w:spacing w:before="120" w:after="120"/>
        <w:ind w:left="0"/>
        <w:rPr>
          <w:sz w:val="13"/>
        </w:rPr>
      </w:pPr>
      <w:r>
        <w:rPr>
          <w:noProof/>
        </w:rPr>
        <w:drawing>
          <wp:inline distT="0" distB="0" distL="0" distR="0">
            <wp:extent cx="2959620" cy="1420368"/>
            <wp:effectExtent l="0" t="0" r="0" b="2540"/>
            <wp:docPr id="2293" name="image47.jpeg" descr="The pie chart shows the proportions of water entitlements in the Campaspe system that were held by private users (40%), water authorities (22%) and environmental water holders (37%)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image4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59620" cy="1420368"/>
                    </a:xfrm>
                    <a:prstGeom prst="rect">
                      <a:avLst/>
                    </a:prstGeom>
                  </pic:spPr>
                </pic:pic>
              </a:graphicData>
            </a:graphic>
          </wp:inline>
        </w:drawing>
      </w:r>
    </w:p>
    <w:p w:rsidR="006A7A3F" w:rsidRDefault="006A7A3F">
      <w:pPr>
        <w:pStyle w:val="BodyText"/>
        <w:spacing w:before="8"/>
        <w:ind w:left="0"/>
        <w:rPr>
          <w:sz w:val="31"/>
        </w:rPr>
      </w:pPr>
    </w:p>
    <w:p w:rsidR="006A7A3F" w:rsidRDefault="00BC7372">
      <w:pPr>
        <w:pStyle w:val="Heading7"/>
        <w:spacing w:line="249" w:lineRule="auto"/>
        <w:ind w:right="844"/>
      </w:pPr>
      <w:r>
        <w:rPr>
          <w:color w:val="231F20"/>
        </w:rPr>
        <w:t>Proportion of water entitlements in the Campapse basin held by private users, water corporations or environmental water holders at 30 June 2019.</w:t>
      </w:r>
    </w:p>
    <w:p w:rsidR="006A7A3F" w:rsidRDefault="006A7A3F">
      <w:pPr>
        <w:pStyle w:val="BodyText"/>
        <w:spacing w:before="8"/>
        <w:ind w:left="0"/>
        <w:rPr>
          <w:b/>
          <w:sz w:val="17"/>
        </w:rPr>
      </w:pPr>
    </w:p>
    <w:p w:rsidR="006A7A3F" w:rsidRDefault="00BC7372">
      <w:pPr>
        <w:ind w:left="210"/>
      </w:pPr>
      <w:r>
        <w:rPr>
          <w:color w:val="231F20"/>
        </w:rPr>
        <w:t>The Campaspe system includes the Campaspe River and the Coliban River.</w:t>
      </w:r>
    </w:p>
    <w:p w:rsidR="006A7A3F" w:rsidRDefault="006A7A3F">
      <w:pPr>
        <w:pStyle w:val="BodyText"/>
        <w:spacing w:before="3"/>
        <w:ind w:left="0"/>
        <w:rPr>
          <w:sz w:val="31"/>
        </w:rPr>
      </w:pPr>
    </w:p>
    <w:p w:rsidR="006A7A3F" w:rsidRDefault="00BC7372">
      <w:pPr>
        <w:pStyle w:val="ListParagraph"/>
        <w:numPr>
          <w:ilvl w:val="2"/>
          <w:numId w:val="577"/>
        </w:numPr>
        <w:tabs>
          <w:tab w:val="left" w:pos="811"/>
        </w:tabs>
        <w:spacing w:before="0"/>
        <w:rPr>
          <w:rFonts w:ascii="HelveticaNeueLTStd-Md"/>
          <w:color w:val="231F20"/>
          <w:sz w:val="24"/>
        </w:rPr>
      </w:pPr>
      <w:r>
        <w:rPr>
          <w:rFonts w:ascii="HelveticaNeueLTStd-Md"/>
          <w:color w:val="231F20"/>
          <w:sz w:val="24"/>
        </w:rPr>
        <w:t>Campaspe River</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spacing w:before="98" w:line="276" w:lineRule="auto"/>
        <w:ind w:left="210" w:right="251"/>
      </w:pPr>
      <w:r>
        <w:rPr>
          <w:color w:val="231F20"/>
        </w:rPr>
        <w:t>Natural inflows in the upper Campaspe River catchment are harvested into Lake Eppalock, which is located near the townships of Axedale and Heathcote. The main tributaries of the Campaspe River are the Coliban River, McIvor and Pipers creeks above Lake Eppalock and Mount Pleasant, Forest and Axe creeks below Lake Eppalock. Below Lake Eppalock, the major in-stream structure is the Campaspe Weir, which was built to divert water to the Campaspe Irrigation District. It is no longer used for water diversion but is a barrier to fish migration. Higher flows usually spill over the weir. The Campaspe Siphon, just below Rochester, is part of the Waranga Western Channel, which carries water from the Goulburn system to western Victoria. Water can be released from the Waranga Western Channel into the lower reaches of the Campaspe River, but the siphon is another barrier to fish migration when there is low-to-moderate flow.</w:t>
      </w:r>
    </w:p>
    <w:p w:rsidR="006A7A3F" w:rsidRDefault="006A7A3F">
      <w:pPr>
        <w:pStyle w:val="BodyText"/>
        <w:spacing w:before="2"/>
        <w:ind w:left="0"/>
        <w:rPr>
          <w:sz w:val="21"/>
        </w:rPr>
      </w:pPr>
    </w:p>
    <w:p w:rsidR="006A7A3F" w:rsidRDefault="00BC7372">
      <w:pPr>
        <w:pStyle w:val="BodyText"/>
        <w:spacing w:before="0" w:line="249" w:lineRule="auto"/>
        <w:ind w:right="297"/>
      </w:pPr>
      <w:r>
        <w:rPr>
          <w:color w:val="231F20"/>
        </w:rPr>
        <w:t>The flow below Lake Eppalock is largely influenced by releases from storage and the operation of the Campaspe Weir and the Campaspe Siphon. The Campaspe’s major tributary (the Coliban River) flows through the three Coliban Water storages (the Upper Coliban, Lauriston and Malmsbury reservoirs) before reaching Lake Eppalock. Water for the environment is held and released from Lake Eppalock, with some limited ability to regulate flow further downstream at the Campaspe Weir.</w:t>
      </w:r>
    </w:p>
    <w:p w:rsidR="006A7A3F" w:rsidRDefault="00BC7372">
      <w:pPr>
        <w:pStyle w:val="BodyText"/>
        <w:spacing w:before="174" w:line="249" w:lineRule="auto"/>
        <w:ind w:right="186"/>
      </w:pPr>
      <w:r>
        <w:rPr>
          <w:color w:val="231F20"/>
        </w:rPr>
        <w:t>Water for the environment is released from Lake Eppalock to support aquatic plants and animals in and along the river. It can be supplemented by water for the environment delivered via the Waranga Western Channel at the Campaspe Siphon, which provides important flexibility to meeting reach 4 demands. Water for the environment is primarily used to improve the magnitude and variability of flows during the winter/spring. Primary flow measurement points are at Barnadown (reach 2) and below the Campaspe Siphon (reach 4).</w:t>
      </w:r>
    </w:p>
    <w:p w:rsidR="00994C74" w:rsidRDefault="00994C74">
      <w:pPr>
        <w:rPr>
          <w:color w:val="231F20"/>
          <w:sz w:val="20"/>
          <w:szCs w:val="20"/>
        </w:rPr>
      </w:pPr>
      <w:r>
        <w:rPr>
          <w:color w:val="231F20"/>
        </w:rPr>
        <w:br w:type="page"/>
      </w:r>
    </w:p>
    <w:p w:rsidR="006A7A3F" w:rsidRDefault="00BC7372" w:rsidP="0087445D">
      <w:pPr>
        <w:pStyle w:val="BodyText"/>
        <w:spacing w:before="174" w:line="249" w:lineRule="auto"/>
        <w:ind w:right="251"/>
      </w:pPr>
      <w:r>
        <w:rPr>
          <w:color w:val="231F20"/>
        </w:rPr>
        <w:t>Goulburn-Murray Water transfers operational water from Lake Eppalock or through Waranga Western Channel to customers in the Murray River and to downstream storages (such as Lake Victoria). These IVTs usually occur in summer/autumn and, depending on the rate of delivery, can either support or compromise environmental watering objectives. High IVT flows delivered at a time when the Campaspe River would naturally have a low flow may reduce the amount of suitable habitat for juvenile fish, which rely on protected, shallow areas of water near the edge of the river channel. Sustained high IVT flows in summer can also drown streamside vegetation. Storage managers and the CMA have been working cooperatively to enhance the positive effects and limit the negative effects of IVTs on native plants and animals in the Campaspe River. For example, IVTs are sometimes delivered</w:t>
      </w:r>
      <w:r w:rsidR="0087445D">
        <w:rPr>
          <w:color w:val="231F20"/>
        </w:rPr>
        <w:t xml:space="preserve"> </w:t>
      </w:r>
      <w:r>
        <w:rPr>
          <w:color w:val="231F20"/>
        </w:rPr>
        <w:t>in a pattern that meets summer low flow and fresh requirements, thereby reducing demand on the environmental entitlement. IVTs have also been released in a pattern to support native fish migration from the Murray River into reach 4 of the Campaspe River, without affecting delivery to downstream users.</w:t>
      </w:r>
    </w:p>
    <w:p w:rsidR="006A7A3F" w:rsidRDefault="00BC7372">
      <w:pPr>
        <w:spacing w:before="182"/>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100"/>
      </w:pPr>
      <w:r>
        <w:rPr>
          <w:color w:val="231F20"/>
        </w:rPr>
        <w:t>The Campaspe River below Lake Eppalock provides important habitat for several native fish species including Murray cod, silver perch, golden perch, Murray-Darling rainbowfish and flat-headed gudgeon. Murray-Darling rainbowfish were presumed lost from the system during the Millennium drought, but since 2011, they have been recorded at many sites on the Campaspe River and are now abundant below Elmore. Environmental flows help native fish migrate and disperse throughout the Campaspe system.</w:t>
      </w:r>
    </w:p>
    <w:p w:rsidR="006A7A3F" w:rsidRDefault="00BC7372">
      <w:pPr>
        <w:pStyle w:val="BodyText"/>
        <w:spacing w:before="174" w:line="249" w:lineRule="auto"/>
        <w:ind w:right="686"/>
      </w:pPr>
      <w:r>
        <w:rPr>
          <w:color w:val="231F20"/>
        </w:rPr>
        <w:t>Platypus, rakali (water rats), turtles and frogs are also present along the length of the Campaspe River. The streamside vegetation zone is narrow and dominated by large, mature river red gum trees that support wildlife (such as the swift parrot and squirrel glider).</w:t>
      </w:r>
    </w:p>
    <w:p w:rsidR="006A7A3F" w:rsidRDefault="00BC7372">
      <w:pPr>
        <w:spacing w:before="181"/>
        <w:ind w:left="210"/>
        <w:rPr>
          <w:rFonts w:ascii="Helvetica Neue LT Std 75"/>
          <w:b/>
          <w:sz w:val="19"/>
        </w:rPr>
      </w:pPr>
      <w:r>
        <w:rPr>
          <w:rFonts w:ascii="Helvetica Neue LT Std 75"/>
          <w:b/>
          <w:color w:val="231F20"/>
          <w:sz w:val="19"/>
        </w:rPr>
        <w:t>Environmental watering objectives in the Campaspe River</w:t>
      </w:r>
    </w:p>
    <w:p w:rsidR="006A7A3F" w:rsidRDefault="006A7A3F">
      <w:pPr>
        <w:pStyle w:val="BodyText"/>
        <w:spacing w:before="12"/>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160"/>
        </w:trPr>
        <w:tc>
          <w:tcPr>
            <w:tcW w:w="789" w:type="dxa"/>
            <w:tcBorders>
              <w:bottom w:val="single" w:sz="8" w:space="0" w:color="FFFFFF"/>
            </w:tcBorders>
            <w:shd w:val="clear" w:color="auto" w:fill="E6E7E8"/>
          </w:tcPr>
          <w:p w:rsidR="006A7A3F" w:rsidRDefault="006A7A3F">
            <w:pPr>
              <w:pStyle w:val="TableParagraph"/>
              <w:spacing w:before="5"/>
              <w:ind w:left="0"/>
              <w:rPr>
                <w:rFonts w:ascii="Helvetica Neue LT Std 75"/>
                <w:b/>
                <w:sz w:val="24"/>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4" cy="310896"/>
                  <wp:effectExtent l="0" t="0" r="0" b="0"/>
                  <wp:docPr id="2295"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image19.jpeg"/>
                          <pic:cNvPicPr/>
                        </pic:nvPicPr>
                        <pic:blipFill>
                          <a:blip r:embed="rId31" cstate="print"/>
                          <a:stretch>
                            <a:fillRect/>
                          </a:stretch>
                        </pic:blipFill>
                        <pic:spPr>
                          <a:xfrm>
                            <a:off x="0" y="0"/>
                            <a:ext cx="314174"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36" w:line="261" w:lineRule="auto"/>
              <w:ind w:left="118"/>
              <w:rPr>
                <w:sz w:val="16"/>
              </w:rPr>
            </w:pPr>
            <w:r>
              <w:rPr>
                <w:color w:val="231F20"/>
                <w:sz w:val="16"/>
              </w:rPr>
              <w:t>Provide habitat to help protect and</w:t>
            </w:r>
            <w:r>
              <w:rPr>
                <w:color w:val="231F20"/>
                <w:spacing w:val="-27"/>
                <w:sz w:val="16"/>
              </w:rPr>
              <w:t xml:space="preserve"> </w:t>
            </w:r>
            <w:r>
              <w:rPr>
                <w:color w:val="231F20"/>
                <w:sz w:val="16"/>
              </w:rPr>
              <w:t>increase populations of native</w:t>
            </w:r>
            <w:r>
              <w:rPr>
                <w:color w:val="231F20"/>
                <w:spacing w:val="-5"/>
                <w:sz w:val="16"/>
              </w:rPr>
              <w:t xml:space="preserve"> </w:t>
            </w:r>
            <w:r>
              <w:rPr>
                <w:color w:val="231F20"/>
                <w:sz w:val="16"/>
              </w:rPr>
              <w:t>fish</w:t>
            </w:r>
          </w:p>
          <w:p w:rsidR="006A7A3F" w:rsidRDefault="00BC7372">
            <w:pPr>
              <w:pStyle w:val="TableParagraph"/>
              <w:spacing w:before="112" w:line="261" w:lineRule="auto"/>
              <w:ind w:left="118" w:right="172"/>
              <w:rPr>
                <w:sz w:val="16"/>
              </w:rPr>
            </w:pPr>
            <w:r>
              <w:rPr>
                <w:color w:val="231F20"/>
                <w:sz w:val="16"/>
              </w:rPr>
              <w:t>Facilitate recolonisation by native fish species that have been presumed</w:t>
            </w:r>
            <w:r>
              <w:rPr>
                <w:color w:val="231F20"/>
                <w:spacing w:val="-5"/>
                <w:sz w:val="16"/>
              </w:rPr>
              <w:t xml:space="preserve"> </w:t>
            </w:r>
            <w:r>
              <w:rPr>
                <w:color w:val="231F20"/>
                <w:sz w:val="16"/>
              </w:rPr>
              <w:t>lost</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297"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18"/>
              <w:rPr>
                <w:sz w:val="16"/>
              </w:rPr>
            </w:pPr>
            <w:r>
              <w:rPr>
                <w:color w:val="231F20"/>
                <w:sz w:val="16"/>
              </w:rPr>
              <w:t>Maintain the resident platypus population by providing places to rest, breed and feed, as well as opportunities for juveniles to disperse</w:t>
            </w:r>
          </w:p>
        </w:tc>
      </w:tr>
      <w:tr w:rsidR="006A7A3F">
        <w:trPr>
          <w:trHeight w:val="1463"/>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13"/>
              <w:ind w:left="0"/>
              <w:rPr>
                <w:rFonts w:ascii="Helvetica Neue LT Std 75"/>
                <w:b/>
                <w:sz w:val="14"/>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29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image21.jpeg"/>
                          <pic:cNvPicPr/>
                        </pic:nvPicPr>
                        <pic:blipFill>
                          <a:blip r:embed="rId33"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777"/>
              <w:rPr>
                <w:sz w:val="16"/>
              </w:rPr>
            </w:pPr>
            <w:r>
              <w:rPr>
                <w:color w:val="231F20"/>
                <w:sz w:val="16"/>
              </w:rPr>
              <w:t>Maintain adult river red gums and provide opportunities for successful recruitment</w:t>
            </w:r>
          </w:p>
          <w:p w:rsidR="006A7A3F" w:rsidRDefault="00BC7372">
            <w:pPr>
              <w:pStyle w:val="TableParagraph"/>
              <w:spacing w:before="112" w:line="261" w:lineRule="auto"/>
              <w:ind w:left="118" w:right="332"/>
              <w:rPr>
                <w:sz w:val="16"/>
              </w:rPr>
            </w:pPr>
            <w:r>
              <w:rPr>
                <w:color w:val="231F20"/>
                <w:sz w:val="16"/>
              </w:rPr>
              <w:t>Maintain the extent and increase the diversity of streamside vegetation</w:t>
            </w:r>
          </w:p>
          <w:p w:rsidR="006A7A3F" w:rsidRDefault="00BC7372">
            <w:pPr>
              <w:pStyle w:val="TableParagraph"/>
              <w:spacing w:before="113"/>
              <w:ind w:left="118"/>
              <w:rPr>
                <w:sz w:val="16"/>
              </w:rPr>
            </w:pPr>
            <w:r>
              <w:rPr>
                <w:color w:val="231F20"/>
                <w:sz w:val="16"/>
              </w:rPr>
              <w:t>Increase the extent of in-stream aquatic plants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301"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image22.jpeg"/>
                          <pic:cNvPicPr/>
                        </pic:nvPicPr>
                        <pic:blipFill>
                          <a:blip r:embed="rId34"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6"/>
              <w:ind w:left="0"/>
              <w:rPr>
                <w:rFonts w:ascii="Helvetica Neue LT Std 75"/>
                <w:b/>
              </w:rPr>
            </w:pPr>
          </w:p>
          <w:p w:rsidR="006A7A3F" w:rsidRDefault="00BC7372">
            <w:pPr>
              <w:pStyle w:val="TableParagraph"/>
              <w:ind w:left="118"/>
              <w:rPr>
                <w:sz w:val="16"/>
              </w:rPr>
            </w:pPr>
            <w:r>
              <w:rPr>
                <w:color w:val="231F20"/>
                <w:sz w:val="16"/>
              </w:rPr>
              <w:t>Increase waterbug productivity</w:t>
            </w:r>
          </w:p>
        </w:tc>
      </w:tr>
      <w:tr w:rsidR="006A7A3F">
        <w:trPr>
          <w:trHeight w:val="1160"/>
        </w:trPr>
        <w:tc>
          <w:tcPr>
            <w:tcW w:w="789" w:type="dxa"/>
            <w:tcBorders>
              <w:top w:val="single" w:sz="8" w:space="0" w:color="FFFFFF"/>
            </w:tcBorders>
            <w:shd w:val="clear" w:color="auto" w:fill="E6E7E8"/>
          </w:tcPr>
          <w:p w:rsidR="006A7A3F" w:rsidRDefault="006A7A3F">
            <w:pPr>
              <w:pStyle w:val="TableParagraph"/>
              <w:spacing w:before="9"/>
              <w:ind w:left="0"/>
              <w:rPr>
                <w:rFonts w:ascii="Helvetica Neue LT Std 75"/>
                <w:b/>
                <w:sz w:val="23"/>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30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BC7372">
            <w:pPr>
              <w:pStyle w:val="TableParagraph"/>
              <w:spacing w:before="126" w:line="261" w:lineRule="auto"/>
              <w:ind w:left="118" w:right="287"/>
              <w:rPr>
                <w:sz w:val="16"/>
              </w:rPr>
            </w:pPr>
            <w:r>
              <w:rPr>
                <w:color w:val="231F20"/>
                <w:sz w:val="16"/>
              </w:rPr>
              <w:t>Maintain water quality in deep pools and prevent stratification in summer</w:t>
            </w:r>
          </w:p>
          <w:p w:rsidR="006A7A3F" w:rsidRDefault="00BC7372">
            <w:pPr>
              <w:pStyle w:val="TableParagraph"/>
              <w:spacing w:before="112" w:line="261" w:lineRule="auto"/>
              <w:ind w:left="118" w:right="350"/>
              <w:rPr>
                <w:sz w:val="16"/>
              </w:rPr>
            </w:pPr>
            <w:r>
              <w:rPr>
                <w:color w:val="231F20"/>
                <w:sz w:val="16"/>
              </w:rPr>
              <w:t>Reduce the risk of hypoxic blackwater events in summer</w:t>
            </w:r>
          </w:p>
        </w:tc>
      </w:tr>
    </w:tbl>
    <w:p w:rsidR="00994C74" w:rsidRDefault="00994C74">
      <w:pPr>
        <w:spacing w:before="152"/>
        <w:ind w:left="210"/>
        <w:rPr>
          <w:rFonts w:ascii="Helvetica Neue LT Std 75"/>
          <w:b/>
          <w:color w:val="231F20"/>
          <w:sz w:val="19"/>
        </w:rPr>
      </w:pPr>
    </w:p>
    <w:p w:rsidR="00994C74" w:rsidRDefault="00994C74">
      <w:pPr>
        <w:rPr>
          <w:rFonts w:ascii="Helvetica Neue LT Std 75"/>
          <w:b/>
          <w:color w:val="231F20"/>
          <w:sz w:val="19"/>
        </w:rPr>
      </w:pPr>
      <w:r>
        <w:rPr>
          <w:rFonts w:ascii="Helvetica Neue LT Std 75"/>
          <w:b/>
          <w:color w:val="231F20"/>
          <w:sz w:val="19"/>
        </w:rPr>
        <w:br w:type="page"/>
      </w:r>
    </w:p>
    <w:p w:rsidR="006A7A3F" w:rsidRDefault="00BC7372">
      <w:pPr>
        <w:spacing w:before="15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7" w:line="249" w:lineRule="auto"/>
        <w:ind w:right="100"/>
      </w:pPr>
      <w:r>
        <w:rPr>
          <w:color w:val="231F20"/>
        </w:rPr>
        <w:t xml:space="preserve">In planning for environmental flows in the Campaspe </w:t>
      </w:r>
      <w:r>
        <w:rPr>
          <w:color w:val="231F20"/>
          <w:spacing w:val="-3"/>
        </w:rPr>
        <w:t xml:space="preserve">River, </w:t>
      </w:r>
      <w:r>
        <w:rPr>
          <w:color w:val="231F20"/>
        </w:rPr>
        <w:t xml:space="preserve">North Central CMA has worked with Dja Dja Wurrung Clans Aboriginal Corporation, </w:t>
      </w:r>
      <w:r>
        <w:rPr>
          <w:color w:val="231F20"/>
          <w:spacing w:val="-4"/>
        </w:rPr>
        <w:t xml:space="preserve">Taungurung </w:t>
      </w:r>
      <w:r>
        <w:rPr>
          <w:color w:val="231F20"/>
        </w:rPr>
        <w:t xml:space="preserve">Land and </w:t>
      </w:r>
      <w:r>
        <w:rPr>
          <w:color w:val="231F20"/>
          <w:spacing w:val="-2"/>
        </w:rPr>
        <w:t xml:space="preserve">Waters </w:t>
      </w:r>
      <w:r>
        <w:rPr>
          <w:color w:val="231F20"/>
        </w:rPr>
        <w:t xml:space="preserve">Council and </w:t>
      </w:r>
      <w:r>
        <w:rPr>
          <w:color w:val="231F20"/>
          <w:spacing w:val="-5"/>
        </w:rPr>
        <w:t xml:space="preserve">Yorta Yorta </w:t>
      </w:r>
      <w:r>
        <w:rPr>
          <w:color w:val="231F20"/>
        </w:rPr>
        <w:t>Nations Aboriginal Corporation to consider:</w:t>
      </w:r>
    </w:p>
    <w:p w:rsidR="006A7A3F" w:rsidRDefault="00BC7372" w:rsidP="009B6917">
      <w:pPr>
        <w:pStyle w:val="ListParagraph"/>
        <w:numPr>
          <w:ilvl w:val="0"/>
          <w:numId w:val="1419"/>
        </w:numPr>
        <w:tabs>
          <w:tab w:val="left" w:pos="493"/>
          <w:tab w:val="left" w:pos="494"/>
        </w:tabs>
        <w:spacing w:before="116" w:line="249" w:lineRule="auto"/>
        <w:ind w:right="416"/>
        <w:rPr>
          <w:sz w:val="20"/>
        </w:rPr>
      </w:pPr>
      <w:r>
        <w:rPr>
          <w:color w:val="231F20"/>
          <w:sz w:val="20"/>
        </w:rPr>
        <w:t>valuable ways in collaboratively working together to understand how environmental values and cultural values align</w:t>
      </w:r>
    </w:p>
    <w:p w:rsidR="006A7A3F" w:rsidRDefault="00BC7372" w:rsidP="009B6917">
      <w:pPr>
        <w:pStyle w:val="ListParagraph"/>
        <w:numPr>
          <w:ilvl w:val="0"/>
          <w:numId w:val="1419"/>
        </w:numPr>
        <w:tabs>
          <w:tab w:val="left" w:pos="493"/>
          <w:tab w:val="left" w:pos="494"/>
        </w:tabs>
        <w:spacing w:before="87" w:line="249" w:lineRule="auto"/>
        <w:ind w:right="487"/>
        <w:rPr>
          <w:sz w:val="20"/>
        </w:rPr>
      </w:pPr>
      <w:r>
        <w:rPr>
          <w:color w:val="231F20"/>
          <w:spacing w:val="-3"/>
          <w:sz w:val="20"/>
        </w:rPr>
        <w:t xml:space="preserve">Taungurung’s </w:t>
      </w:r>
      <w:r>
        <w:rPr>
          <w:color w:val="231F20"/>
          <w:sz w:val="20"/>
        </w:rPr>
        <w:t>Baan</w:t>
      </w:r>
      <w:r>
        <w:rPr>
          <w:color w:val="231F20"/>
          <w:spacing w:val="-2"/>
          <w:sz w:val="20"/>
        </w:rPr>
        <w:t xml:space="preserve"> </w:t>
      </w:r>
      <w:r>
        <w:rPr>
          <w:color w:val="231F20"/>
          <w:sz w:val="20"/>
        </w:rPr>
        <w:t>Ganalina</w:t>
      </w:r>
      <w:r>
        <w:rPr>
          <w:color w:val="231F20"/>
          <w:spacing w:val="-12"/>
          <w:sz w:val="20"/>
        </w:rPr>
        <w:t xml:space="preserve"> </w:t>
      </w:r>
      <w:r>
        <w:rPr>
          <w:color w:val="231F20"/>
          <w:sz w:val="20"/>
        </w:rPr>
        <w:t>Advisory</w:t>
      </w:r>
      <w:r>
        <w:rPr>
          <w:color w:val="231F20"/>
          <w:spacing w:val="-3"/>
          <w:sz w:val="20"/>
        </w:rPr>
        <w:t xml:space="preserve"> </w:t>
      </w:r>
      <w:r>
        <w:rPr>
          <w:color w:val="231F20"/>
          <w:sz w:val="20"/>
        </w:rPr>
        <w:t>Group’s</w:t>
      </w:r>
      <w:r>
        <w:rPr>
          <w:color w:val="231F20"/>
          <w:spacing w:val="-2"/>
          <w:sz w:val="20"/>
        </w:rPr>
        <w:t xml:space="preserve"> </w:t>
      </w:r>
      <w:r>
        <w:rPr>
          <w:color w:val="231F20"/>
          <w:sz w:val="20"/>
        </w:rPr>
        <w:t>and</w:t>
      </w:r>
      <w:r>
        <w:rPr>
          <w:color w:val="231F20"/>
          <w:spacing w:val="-3"/>
          <w:sz w:val="20"/>
        </w:rPr>
        <w:t xml:space="preserve"> </w:t>
      </w:r>
      <w:r>
        <w:rPr>
          <w:color w:val="231F20"/>
          <w:sz w:val="20"/>
        </w:rPr>
        <w:t>Dja</w:t>
      </w:r>
      <w:r>
        <w:rPr>
          <w:color w:val="231F20"/>
          <w:spacing w:val="-3"/>
          <w:sz w:val="20"/>
        </w:rPr>
        <w:t xml:space="preserve"> </w:t>
      </w:r>
      <w:r>
        <w:rPr>
          <w:color w:val="231F20"/>
          <w:sz w:val="20"/>
        </w:rPr>
        <w:t>Dja</w:t>
      </w:r>
      <w:r>
        <w:rPr>
          <w:color w:val="231F20"/>
          <w:spacing w:val="-3"/>
          <w:sz w:val="20"/>
        </w:rPr>
        <w:t xml:space="preserve"> </w:t>
      </w:r>
      <w:r>
        <w:rPr>
          <w:color w:val="231F20"/>
          <w:sz w:val="20"/>
        </w:rPr>
        <w:t>Wurrung’s</w:t>
      </w:r>
      <w:r>
        <w:rPr>
          <w:color w:val="231F20"/>
          <w:spacing w:val="-2"/>
          <w:sz w:val="20"/>
        </w:rPr>
        <w:t xml:space="preserve"> </w:t>
      </w:r>
      <w:r>
        <w:rPr>
          <w:color w:val="231F20"/>
          <w:sz w:val="20"/>
        </w:rPr>
        <w:t>Kapa</w:t>
      </w:r>
      <w:r>
        <w:rPr>
          <w:color w:val="231F20"/>
          <w:spacing w:val="-2"/>
          <w:sz w:val="20"/>
        </w:rPr>
        <w:t xml:space="preserve"> </w:t>
      </w:r>
      <w:r>
        <w:rPr>
          <w:color w:val="231F20"/>
          <w:sz w:val="20"/>
        </w:rPr>
        <w:t>Gatjin</w:t>
      </w:r>
      <w:r>
        <w:rPr>
          <w:color w:val="231F20"/>
          <w:spacing w:val="-13"/>
          <w:sz w:val="20"/>
        </w:rPr>
        <w:t xml:space="preserve"> </w:t>
      </w:r>
      <w:r>
        <w:rPr>
          <w:color w:val="231F20"/>
          <w:sz w:val="20"/>
        </w:rPr>
        <w:t>Advisory</w:t>
      </w:r>
      <w:r>
        <w:rPr>
          <w:color w:val="231F20"/>
          <w:spacing w:val="-2"/>
          <w:sz w:val="20"/>
        </w:rPr>
        <w:t xml:space="preserve"> </w:t>
      </w:r>
      <w:r>
        <w:rPr>
          <w:color w:val="231F20"/>
          <w:sz w:val="20"/>
        </w:rPr>
        <w:t>Group’s</w:t>
      </w:r>
      <w:r>
        <w:rPr>
          <w:color w:val="231F20"/>
          <w:spacing w:val="-2"/>
          <w:sz w:val="20"/>
        </w:rPr>
        <w:t xml:space="preserve"> </w:t>
      </w:r>
      <w:r>
        <w:rPr>
          <w:color w:val="231F20"/>
          <w:sz w:val="20"/>
        </w:rPr>
        <w:t xml:space="preserve">recently completed Aboriginal </w:t>
      </w:r>
      <w:r>
        <w:rPr>
          <w:color w:val="231F20"/>
          <w:spacing w:val="-3"/>
          <w:sz w:val="20"/>
        </w:rPr>
        <w:t>Water</w:t>
      </w:r>
      <w:r>
        <w:rPr>
          <w:color w:val="231F20"/>
          <w:spacing w:val="-23"/>
          <w:sz w:val="20"/>
        </w:rPr>
        <w:t xml:space="preserve"> </w:t>
      </w:r>
      <w:r>
        <w:rPr>
          <w:color w:val="231F20"/>
          <w:sz w:val="20"/>
        </w:rPr>
        <w:t>Assessment.</w:t>
      </w:r>
    </w:p>
    <w:p w:rsidR="006A7A3F" w:rsidRDefault="00BC7372">
      <w:pPr>
        <w:spacing w:before="181"/>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7" w:line="249" w:lineRule="auto"/>
        <w:ind w:right="100"/>
      </w:pPr>
      <w:r>
        <w:rPr>
          <w:color w:val="231F20"/>
        </w:rPr>
        <w:t>In planning the potential watering actions in Table 5.6.1, North Central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kayaking and</w:t>
      </w:r>
      <w:r>
        <w:rPr>
          <w:color w:val="231F20"/>
          <w:spacing w:val="-5"/>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w:t>
      </w:r>
      <w:r>
        <w:rPr>
          <w:color w:val="231F20"/>
          <w:spacing w:val="-3"/>
          <w:sz w:val="20"/>
        </w:rPr>
        <w:t xml:space="preserve"> </w:t>
      </w:r>
      <w:r>
        <w:rPr>
          <w:color w:val="231F20"/>
          <w:sz w:val="20"/>
        </w:rPr>
        <w:t>recreation</w:t>
      </w:r>
      <w:r>
        <w:rPr>
          <w:color w:val="231F20"/>
          <w:spacing w:val="-3"/>
          <w:sz w:val="20"/>
        </w:rPr>
        <w:t xml:space="preserve"> </w:t>
      </w:r>
      <w:r>
        <w:rPr>
          <w:color w:val="231F20"/>
          <w:sz w:val="20"/>
        </w:rPr>
        <w:t>and</w:t>
      </w:r>
      <w:r>
        <w:rPr>
          <w:color w:val="231F20"/>
          <w:spacing w:val="-3"/>
          <w:sz w:val="20"/>
        </w:rPr>
        <w:t xml:space="preserve"> </w:t>
      </w:r>
      <w:r>
        <w:rPr>
          <w:color w:val="231F20"/>
          <w:sz w:val="20"/>
        </w:rPr>
        <w:t>amenity</w:t>
      </w:r>
      <w:r>
        <w:rPr>
          <w:color w:val="231F20"/>
          <w:spacing w:val="-4"/>
          <w:sz w:val="20"/>
        </w:rPr>
        <w:t xml:space="preserve"> </w:t>
      </w:r>
      <w:r>
        <w:rPr>
          <w:color w:val="231F20"/>
          <w:sz w:val="20"/>
        </w:rPr>
        <w:t>(such</w:t>
      </w:r>
      <w:r>
        <w:rPr>
          <w:color w:val="231F20"/>
          <w:spacing w:val="-3"/>
          <w:sz w:val="20"/>
        </w:rPr>
        <w:t xml:space="preserve"> </w:t>
      </w:r>
      <w:r>
        <w:rPr>
          <w:color w:val="231F20"/>
          <w:sz w:val="20"/>
        </w:rPr>
        <w:t>as</w:t>
      </w:r>
      <w:r>
        <w:rPr>
          <w:color w:val="231F20"/>
          <w:spacing w:val="-3"/>
          <w:sz w:val="20"/>
        </w:rPr>
        <w:t xml:space="preserve"> </w:t>
      </w:r>
      <w:r>
        <w:rPr>
          <w:color w:val="231F20"/>
          <w:sz w:val="20"/>
        </w:rPr>
        <w:t>birdwatching,</w:t>
      </w:r>
      <w:r>
        <w:rPr>
          <w:color w:val="231F20"/>
          <w:spacing w:val="-4"/>
          <w:sz w:val="20"/>
        </w:rPr>
        <w:t xml:space="preserve"> </w:t>
      </w:r>
      <w:r>
        <w:rPr>
          <w:color w:val="231F20"/>
          <w:sz w:val="20"/>
        </w:rPr>
        <w:t>camping,</w:t>
      </w:r>
      <w:r>
        <w:rPr>
          <w:color w:val="231F20"/>
          <w:spacing w:val="-2"/>
          <w:sz w:val="20"/>
        </w:rPr>
        <w:t xml:space="preserve"> </w:t>
      </w:r>
      <w:r>
        <w:rPr>
          <w:color w:val="231F20"/>
          <w:sz w:val="20"/>
        </w:rPr>
        <w:t>cycling,</w:t>
      </w:r>
      <w:r>
        <w:rPr>
          <w:color w:val="231F20"/>
          <w:spacing w:val="-3"/>
          <w:sz w:val="20"/>
        </w:rPr>
        <w:t xml:space="preserve"> </w:t>
      </w:r>
      <w:r>
        <w:rPr>
          <w:color w:val="231F20"/>
          <w:sz w:val="20"/>
        </w:rPr>
        <w:t>duck</w:t>
      </w:r>
      <w:r>
        <w:rPr>
          <w:color w:val="231F20"/>
          <w:spacing w:val="-4"/>
          <w:sz w:val="20"/>
        </w:rPr>
        <w:t xml:space="preserve"> </w:t>
      </w:r>
      <w:r>
        <w:rPr>
          <w:color w:val="231F20"/>
          <w:sz w:val="20"/>
        </w:rPr>
        <w:t>hunting,</w:t>
      </w:r>
      <w:r>
        <w:rPr>
          <w:color w:val="231F20"/>
          <w:spacing w:val="-3"/>
          <w:sz w:val="20"/>
        </w:rPr>
        <w:t xml:space="preserve"> </w:t>
      </w:r>
      <w:r>
        <w:rPr>
          <w:color w:val="231F20"/>
          <w:sz w:val="20"/>
        </w:rPr>
        <w:t>picnicking</w:t>
      </w:r>
      <w:r>
        <w:rPr>
          <w:color w:val="231F20"/>
          <w:spacing w:val="-4"/>
          <w:sz w:val="20"/>
        </w:rPr>
        <w:t xml:space="preserve"> </w:t>
      </w:r>
      <w:r>
        <w:rPr>
          <w:color w:val="231F20"/>
          <w:sz w:val="20"/>
        </w:rPr>
        <w:t>and</w:t>
      </w:r>
      <w:r>
        <w:rPr>
          <w:color w:val="231F20"/>
          <w:spacing w:val="-3"/>
          <w:sz w:val="20"/>
        </w:rPr>
        <w:t xml:space="preserve"> </w:t>
      </w:r>
      <w:r>
        <w:rPr>
          <w:color w:val="231F20"/>
          <w:sz w:val="20"/>
        </w:rPr>
        <w:t>walking)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 regional</w:t>
      </w:r>
      <w:r>
        <w:rPr>
          <w:color w:val="231F20"/>
          <w:spacing w:val="-4"/>
          <w:sz w:val="20"/>
        </w:rPr>
        <w:t xml:space="preserve"> </w:t>
      </w:r>
      <w:r>
        <w:rPr>
          <w:color w:val="231F20"/>
          <w:sz w:val="20"/>
        </w:rPr>
        <w:t>visitation)</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diverters for irrigation, domestic and stock uses, and</w:t>
      </w:r>
      <w:r>
        <w:rPr>
          <w:color w:val="231F20"/>
          <w:spacing w:val="-24"/>
          <w:sz w:val="20"/>
        </w:rPr>
        <w:t xml:space="preserve"> </w:t>
      </w:r>
      <w:r>
        <w:rPr>
          <w:color w:val="231F20"/>
          <w:sz w:val="20"/>
        </w:rPr>
        <w:t>wellbeing).</w:t>
      </w:r>
    </w:p>
    <w:p w:rsidR="006A7A3F" w:rsidRDefault="00BC7372" w:rsidP="00423E31">
      <w:pPr>
        <w:pStyle w:val="BodyText"/>
        <w:spacing w:before="180" w:after="120" w:line="250" w:lineRule="auto"/>
        <w:ind w:right="176"/>
      </w:pPr>
      <w:r>
        <w:rPr>
          <w:color w:val="231F20"/>
        </w:rPr>
        <w:t>If the timing or management of planned environmental flows may be modified to align with a community benefit, this is acknowledged in Table 5.6.1 with an icon.</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56"/>
        </w:trPr>
        <w:tc>
          <w:tcPr>
            <w:tcW w:w="789" w:type="dxa"/>
            <w:shd w:val="clear" w:color="auto" w:fill="E6E7E8"/>
          </w:tcPr>
          <w:p w:rsidR="006A7A3F" w:rsidRDefault="006A7A3F">
            <w:pPr>
              <w:pStyle w:val="TableParagraph"/>
              <w:spacing w:before="3"/>
              <w:ind w:left="0"/>
              <w:rPr>
                <w:sz w:val="15"/>
              </w:rPr>
            </w:pPr>
          </w:p>
          <w:p w:rsidR="006A7A3F" w:rsidRDefault="00BC7372">
            <w:pPr>
              <w:pStyle w:val="TableParagraph"/>
              <w:ind w:left="178"/>
              <w:rPr>
                <w:sz w:val="20"/>
              </w:rPr>
            </w:pPr>
            <w:r>
              <w:rPr>
                <w:noProof/>
                <w:sz w:val="20"/>
              </w:rPr>
              <w:drawing>
                <wp:inline distT="0" distB="0" distL="0" distR="0">
                  <wp:extent cx="316043" cy="313944"/>
                  <wp:effectExtent l="0" t="0" r="0" b="0"/>
                  <wp:docPr id="2305"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image30.jpeg"/>
                          <pic:cNvPicPr/>
                        </pic:nvPicPr>
                        <pic:blipFill>
                          <a:blip r:embed="rId42" cstate="print"/>
                          <a:stretch>
                            <a:fillRect/>
                          </a:stretch>
                        </pic:blipFill>
                        <pic:spPr>
                          <a:xfrm>
                            <a:off x="0" y="0"/>
                            <a:ext cx="316043" cy="313944"/>
                          </a:xfrm>
                          <a:prstGeom prst="rect">
                            <a:avLst/>
                          </a:prstGeom>
                        </pic:spPr>
                      </pic:pic>
                    </a:graphicData>
                  </a:graphic>
                </wp:inline>
              </w:drawing>
            </w:r>
          </w:p>
        </w:tc>
        <w:tc>
          <w:tcPr>
            <w:tcW w:w="3859" w:type="dxa"/>
            <w:shd w:val="clear" w:color="auto" w:fill="E6E7E8"/>
          </w:tcPr>
          <w:p w:rsidR="006A7A3F" w:rsidRDefault="00BC7372">
            <w:pPr>
              <w:pStyle w:val="TableParagraph"/>
              <w:spacing w:before="129" w:line="261" w:lineRule="auto"/>
              <w:ind w:left="118" w:right="63"/>
              <w:jc w:val="both"/>
              <w:rPr>
                <w:sz w:val="16"/>
              </w:rPr>
            </w:pPr>
            <w:r>
              <w:rPr>
                <w:color w:val="231F20"/>
                <w:sz w:val="16"/>
              </w:rPr>
              <w:t>Watering planned to support peaks in visitation</w:t>
            </w:r>
            <w:r>
              <w:rPr>
                <w:color w:val="231F20"/>
                <w:spacing w:val="-26"/>
                <w:sz w:val="16"/>
              </w:rPr>
              <w:t xml:space="preserve"> </w:t>
            </w:r>
            <w:r>
              <w:rPr>
                <w:color w:val="231F20"/>
                <w:sz w:val="16"/>
              </w:rPr>
              <w:t>(e.g. camping or other public activities on long weekends or school</w:t>
            </w:r>
            <w:r>
              <w:rPr>
                <w:color w:val="231F20"/>
                <w:spacing w:val="-2"/>
                <w:sz w:val="16"/>
              </w:rPr>
              <w:t xml:space="preserve"> </w:t>
            </w:r>
            <w:r>
              <w:rPr>
                <w:color w:val="231F20"/>
                <w:sz w:val="16"/>
              </w:rPr>
              <w:t>holidays)</w:t>
            </w:r>
          </w:p>
        </w:tc>
      </w:tr>
    </w:tbl>
    <w:p w:rsidR="006A7A3F" w:rsidRDefault="00BC7372">
      <w:pPr>
        <w:pStyle w:val="BodyText"/>
        <w:spacing w:before="135" w:line="249" w:lineRule="auto"/>
        <w:ind w:right="100"/>
      </w:pPr>
      <w:r>
        <w:rPr>
          <w:color w:val="231F20"/>
        </w:rPr>
        <w:t>There are many places along the Campaspe where visitors can camp. Aysons Reserve is a very popular camping site near Elmore, and it draws hundreds of campers during the summer school holiday period. Where possible, delivery of summer freshes will be timed to improve river conditions for campers and for water-related activities during peak visitation periods (such as the January long weekend).</w:t>
      </w:r>
    </w:p>
    <w:p w:rsidR="00994C74" w:rsidRDefault="00994C74">
      <w:pPr>
        <w:rPr>
          <w:rFonts w:ascii="Helvetica Neue LT Std 75"/>
          <w:b/>
          <w:color w:val="231F20"/>
          <w:sz w:val="19"/>
        </w:rPr>
      </w:pPr>
      <w:r>
        <w:rPr>
          <w:rFonts w:ascii="Helvetica Neue LT Std 75"/>
          <w:b/>
          <w:color w:val="231F20"/>
          <w:sz w:val="19"/>
        </w:rPr>
        <w:br w:type="page"/>
      </w:r>
    </w:p>
    <w:p w:rsidR="006A7A3F" w:rsidRDefault="00BC7372">
      <w:pPr>
        <w:spacing w:before="182"/>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217"/>
      </w:pPr>
      <w:r>
        <w:rPr>
          <w:color w:val="231F20"/>
        </w:rPr>
        <w:t>The Campaspe River catchment had below-average rainfall and above-average temperatures throughout most of 2019–20. January 2020 was the only month to record above-average rainfall. The 2019–20 season opened with 26 percent allocation of high-reliability water shares and a declared low risk of spill, which meant environmental water that was carried over from 2018–19 was available for use. Allocations against environmental entitlements in the Campaspe system steadily increased throughout 2019–20 and by April 2020 had reached 80 percent.</w:t>
      </w:r>
    </w:p>
    <w:p w:rsidR="006A7A3F" w:rsidRDefault="00BC7372">
      <w:pPr>
        <w:pStyle w:val="BodyText"/>
        <w:spacing w:before="174" w:line="249" w:lineRule="auto"/>
        <w:ind w:right="285"/>
      </w:pPr>
      <w:r>
        <w:rPr>
          <w:color w:val="231F20"/>
        </w:rPr>
        <w:t>A combination of natural inflows, environmental flows, passing flows, operational flows and IVTs met or exceeded most of the dry-scenario watering actions that were planned for the Campaspe in 2019–20. The main deviations from the planned flow regime included a three-day cease-to-flow event in July 2019 to allow maintenance works at the Eppalock outlet tower and some periods of high IVTs between mid-October 2019 and mid-February 2020 that increased low flow by 20 ML per day above the recommended threshold. The IVT in 2019–20 was considered as low risk to the Campaspe River’s health compared to previous years when IVTs were around three to four times higher than the recommended flow. Past monitoring of IVTs had indicated an impact to native fish recruitment and riverside native vegetation.</w:t>
      </w:r>
    </w:p>
    <w:p w:rsidR="006A7A3F" w:rsidRDefault="00BC7372">
      <w:pPr>
        <w:spacing w:before="186"/>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7" w:line="249" w:lineRule="auto"/>
        <w:ind w:right="251"/>
      </w:pPr>
      <w:r>
        <w:rPr>
          <w:color w:val="231F20"/>
        </w:rPr>
        <w:t>Table 5.6.1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9"/>
        <w:ind w:left="210"/>
        <w:rPr>
          <w:b/>
          <w:sz w:val="18"/>
        </w:rPr>
      </w:pPr>
      <w:r>
        <w:rPr>
          <w:b/>
          <w:color w:val="231F20"/>
          <w:sz w:val="18"/>
        </w:rPr>
        <w:t>Table 5.6.1 Potential environmental watering actions and objectives for the Campaspe River</w:t>
      </w:r>
    </w:p>
    <w:p w:rsidR="006A7A3F" w:rsidRDefault="006A7A3F">
      <w:pPr>
        <w:pStyle w:val="BodyText"/>
        <w:spacing w:before="11"/>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2"/>
        </w:trPr>
        <w:tc>
          <w:tcPr>
            <w:tcW w:w="2381" w:type="dxa"/>
            <w:tcBorders>
              <w:top w:val="nil"/>
              <w:left w:val="nil"/>
              <w:bottom w:val="nil"/>
            </w:tcBorders>
            <w:shd w:val="clear" w:color="auto" w:fill="231F20"/>
          </w:tcPr>
          <w:p w:rsidR="006A7A3F" w:rsidRDefault="00BC7372">
            <w:pPr>
              <w:pStyle w:val="TableParagraph"/>
              <w:spacing w:before="75"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5"/>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75" w:line="254" w:lineRule="auto"/>
              <w:ind w:left="85" w:right="192"/>
              <w:rPr>
                <w:b/>
                <w:sz w:val="18"/>
              </w:rPr>
            </w:pPr>
            <w:r>
              <w:rPr>
                <w:b/>
                <w:color w:val="FFFFFF"/>
                <w:sz w:val="18"/>
              </w:rPr>
              <w:t>Environmental objectives</w:t>
            </w:r>
          </w:p>
        </w:tc>
      </w:tr>
      <w:tr w:rsidR="006A7A3F">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23"/>
              <w:rPr>
                <w:sz w:val="16"/>
              </w:rPr>
            </w:pPr>
            <w:r>
              <w:rPr>
                <w:color w:val="231F20"/>
                <w:sz w:val="16"/>
              </w:rPr>
              <w:t xml:space="preserve">Summer/autumn low flow </w:t>
            </w:r>
            <w:r>
              <w:rPr>
                <w:color w:val="231F20"/>
                <w:spacing w:val="-4"/>
                <w:sz w:val="16"/>
              </w:rPr>
              <w:t xml:space="preserve">(10– </w:t>
            </w:r>
            <w:r>
              <w:rPr>
                <w:color w:val="231F20"/>
                <w:sz w:val="16"/>
              </w:rPr>
              <w:t>50 ML/day during December to May)</w:t>
            </w:r>
          </w:p>
        </w:tc>
        <w:tc>
          <w:tcPr>
            <w:tcW w:w="6236" w:type="dxa"/>
            <w:vMerge w:val="restart"/>
            <w:tcBorders>
              <w:top w:val="nil"/>
              <w:left w:val="single" w:sz="4" w:space="0" w:color="231F20"/>
              <w:bottom w:val="single" w:sz="4" w:space="0" w:color="231F20"/>
              <w:right w:val="single" w:sz="4" w:space="0" w:color="231F20"/>
            </w:tcBorders>
          </w:tcPr>
          <w:p w:rsidR="006A7A3F" w:rsidRPr="00994C74" w:rsidRDefault="00BC7372">
            <w:pPr>
              <w:pStyle w:val="TableParagraph"/>
              <w:numPr>
                <w:ilvl w:val="0"/>
                <w:numId w:val="128"/>
              </w:numPr>
              <w:tabs>
                <w:tab w:val="left" w:pos="306"/>
              </w:tabs>
              <w:spacing w:before="70" w:line="254" w:lineRule="auto"/>
              <w:ind w:right="436"/>
              <w:rPr>
                <w:sz w:val="16"/>
                <w:szCs w:val="16"/>
              </w:rPr>
            </w:pPr>
            <w:r w:rsidRPr="00994C74">
              <w:rPr>
                <w:color w:val="231F20"/>
                <w:sz w:val="16"/>
                <w:szCs w:val="16"/>
              </w:rPr>
              <w:t>Maintain slackwater habitats for zooplankton and nursery habitats for native</w:t>
            </w:r>
            <w:r w:rsidRPr="00994C74">
              <w:rPr>
                <w:color w:val="231F20"/>
                <w:spacing w:val="-2"/>
                <w:sz w:val="16"/>
                <w:szCs w:val="16"/>
              </w:rPr>
              <w:t xml:space="preserve"> </w:t>
            </w:r>
            <w:r w:rsidRPr="00994C74">
              <w:rPr>
                <w:color w:val="231F20"/>
                <w:sz w:val="16"/>
                <w:szCs w:val="16"/>
              </w:rPr>
              <w:t>fish</w:t>
            </w:r>
          </w:p>
          <w:p w:rsidR="006A7A3F" w:rsidRPr="00994C74" w:rsidRDefault="00BC7372">
            <w:pPr>
              <w:pStyle w:val="TableParagraph"/>
              <w:numPr>
                <w:ilvl w:val="0"/>
                <w:numId w:val="128"/>
              </w:numPr>
              <w:tabs>
                <w:tab w:val="left" w:pos="306"/>
              </w:tabs>
              <w:spacing w:before="87" w:line="254" w:lineRule="auto"/>
              <w:ind w:right="227"/>
              <w:rPr>
                <w:sz w:val="16"/>
                <w:szCs w:val="16"/>
              </w:rPr>
            </w:pPr>
            <w:r w:rsidRPr="00994C74">
              <w:rPr>
                <w:color w:val="231F20"/>
                <w:sz w:val="16"/>
                <w:szCs w:val="16"/>
              </w:rPr>
              <w:t>Maintain</w:t>
            </w:r>
            <w:r w:rsidRPr="00994C74">
              <w:rPr>
                <w:color w:val="231F20"/>
                <w:spacing w:val="-3"/>
                <w:sz w:val="16"/>
                <w:szCs w:val="16"/>
              </w:rPr>
              <w:t xml:space="preserve"> </w:t>
            </w:r>
            <w:r w:rsidRPr="00994C74">
              <w:rPr>
                <w:color w:val="231F20"/>
                <w:sz w:val="16"/>
                <w:szCs w:val="16"/>
              </w:rPr>
              <w:t>the</w:t>
            </w:r>
            <w:r w:rsidRPr="00994C74">
              <w:rPr>
                <w:color w:val="231F20"/>
                <w:spacing w:val="-2"/>
                <w:sz w:val="16"/>
                <w:szCs w:val="16"/>
              </w:rPr>
              <w:t xml:space="preserve"> </w:t>
            </w:r>
            <w:r w:rsidRPr="00994C74">
              <w:rPr>
                <w:color w:val="231F20"/>
                <w:sz w:val="16"/>
                <w:szCs w:val="16"/>
              </w:rPr>
              <w:t>water</w:t>
            </w:r>
            <w:r w:rsidRPr="00994C74">
              <w:rPr>
                <w:color w:val="231F20"/>
                <w:spacing w:val="-4"/>
                <w:sz w:val="16"/>
                <w:szCs w:val="16"/>
              </w:rPr>
              <w:t xml:space="preserve"> </w:t>
            </w:r>
            <w:r w:rsidRPr="00994C74">
              <w:rPr>
                <w:color w:val="231F20"/>
                <w:sz w:val="16"/>
                <w:szCs w:val="16"/>
              </w:rPr>
              <w:t>quality</w:t>
            </w:r>
            <w:r w:rsidRPr="00994C74">
              <w:rPr>
                <w:color w:val="231F20"/>
                <w:spacing w:val="-3"/>
                <w:sz w:val="16"/>
                <w:szCs w:val="16"/>
              </w:rPr>
              <w:t xml:space="preserve"> </w:t>
            </w:r>
            <w:r w:rsidRPr="00994C74">
              <w:rPr>
                <w:color w:val="231F20"/>
                <w:sz w:val="16"/>
                <w:szCs w:val="16"/>
              </w:rPr>
              <w:t>and</w:t>
            </w:r>
            <w:r w:rsidRPr="00994C74">
              <w:rPr>
                <w:color w:val="231F20"/>
                <w:spacing w:val="-4"/>
                <w:sz w:val="16"/>
                <w:szCs w:val="16"/>
              </w:rPr>
              <w:t xml:space="preserve"> </w:t>
            </w:r>
            <w:r w:rsidRPr="00994C74">
              <w:rPr>
                <w:color w:val="231F20"/>
                <w:sz w:val="16"/>
                <w:szCs w:val="16"/>
              </w:rPr>
              <w:t>depth</w:t>
            </w:r>
            <w:r w:rsidRPr="00994C74">
              <w:rPr>
                <w:color w:val="231F20"/>
                <w:spacing w:val="-3"/>
                <w:sz w:val="16"/>
                <w:szCs w:val="16"/>
              </w:rPr>
              <w:t xml:space="preserve"> </w:t>
            </w:r>
            <w:r w:rsidRPr="00994C74">
              <w:rPr>
                <w:color w:val="231F20"/>
                <w:sz w:val="16"/>
                <w:szCs w:val="16"/>
              </w:rPr>
              <w:t>in</w:t>
            </w:r>
            <w:r w:rsidRPr="00994C74">
              <w:rPr>
                <w:color w:val="231F20"/>
                <w:spacing w:val="-3"/>
                <w:sz w:val="16"/>
                <w:szCs w:val="16"/>
              </w:rPr>
              <w:t xml:space="preserve"> </w:t>
            </w:r>
            <w:r w:rsidRPr="00994C74">
              <w:rPr>
                <w:color w:val="231F20"/>
                <w:sz w:val="16"/>
                <w:szCs w:val="16"/>
              </w:rPr>
              <w:t>deep</w:t>
            </w:r>
            <w:r w:rsidRPr="00994C74">
              <w:rPr>
                <w:color w:val="231F20"/>
                <w:spacing w:val="-4"/>
                <w:sz w:val="16"/>
                <w:szCs w:val="16"/>
              </w:rPr>
              <w:t xml:space="preserve"> </w:t>
            </w:r>
            <w:r w:rsidRPr="00994C74">
              <w:rPr>
                <w:color w:val="231F20"/>
                <w:sz w:val="16"/>
                <w:szCs w:val="16"/>
              </w:rPr>
              <w:t>pools</w:t>
            </w:r>
            <w:r w:rsidRPr="00994C74">
              <w:rPr>
                <w:color w:val="231F20"/>
                <w:spacing w:val="-3"/>
                <w:sz w:val="16"/>
                <w:szCs w:val="16"/>
              </w:rPr>
              <w:t xml:space="preserve"> </w:t>
            </w:r>
            <w:r w:rsidRPr="00994C74">
              <w:rPr>
                <w:color w:val="231F20"/>
                <w:sz w:val="16"/>
                <w:szCs w:val="16"/>
              </w:rPr>
              <w:t>in</w:t>
            </w:r>
            <w:r w:rsidRPr="00994C74">
              <w:rPr>
                <w:color w:val="231F20"/>
                <w:spacing w:val="-4"/>
                <w:sz w:val="16"/>
                <w:szCs w:val="16"/>
              </w:rPr>
              <w:t xml:space="preserve"> </w:t>
            </w:r>
            <w:r w:rsidRPr="00994C74">
              <w:rPr>
                <w:color w:val="231F20"/>
                <w:sz w:val="16"/>
                <w:szCs w:val="16"/>
              </w:rPr>
              <w:t>summer</w:t>
            </w:r>
            <w:r w:rsidRPr="00994C74">
              <w:rPr>
                <w:color w:val="231F20"/>
                <w:spacing w:val="-2"/>
                <w:sz w:val="16"/>
                <w:szCs w:val="16"/>
              </w:rPr>
              <w:t xml:space="preserve"> </w:t>
            </w:r>
            <w:r w:rsidRPr="00994C74">
              <w:rPr>
                <w:color w:val="231F20"/>
                <w:sz w:val="16"/>
                <w:szCs w:val="16"/>
              </w:rPr>
              <w:t>for</w:t>
            </w:r>
            <w:r w:rsidRPr="00994C74">
              <w:rPr>
                <w:color w:val="231F20"/>
                <w:spacing w:val="-3"/>
                <w:sz w:val="16"/>
                <w:szCs w:val="16"/>
              </w:rPr>
              <w:t xml:space="preserve"> </w:t>
            </w:r>
            <w:r w:rsidRPr="00994C74">
              <w:rPr>
                <w:color w:val="231F20"/>
                <w:sz w:val="16"/>
                <w:szCs w:val="16"/>
              </w:rPr>
              <w:t>native fish and</w:t>
            </w:r>
            <w:r w:rsidRPr="00994C74">
              <w:rPr>
                <w:color w:val="231F20"/>
                <w:spacing w:val="-2"/>
                <w:sz w:val="16"/>
                <w:szCs w:val="16"/>
              </w:rPr>
              <w:t xml:space="preserve"> </w:t>
            </w:r>
            <w:r w:rsidRPr="00994C74">
              <w:rPr>
                <w:color w:val="231F20"/>
                <w:sz w:val="16"/>
                <w:szCs w:val="16"/>
              </w:rPr>
              <w:t>platypus</w:t>
            </w:r>
          </w:p>
          <w:p w:rsidR="006A7A3F" w:rsidRPr="00994C74" w:rsidRDefault="00BC7372">
            <w:pPr>
              <w:pStyle w:val="TableParagraph"/>
              <w:numPr>
                <w:ilvl w:val="0"/>
                <w:numId w:val="128"/>
              </w:numPr>
              <w:tabs>
                <w:tab w:val="left" w:pos="306"/>
              </w:tabs>
              <w:spacing w:before="86" w:line="254" w:lineRule="auto"/>
              <w:ind w:right="236"/>
              <w:rPr>
                <w:sz w:val="16"/>
                <w:szCs w:val="16"/>
              </w:rPr>
            </w:pPr>
            <w:r w:rsidRPr="00994C74">
              <w:rPr>
                <w:color w:val="231F20"/>
                <w:sz w:val="16"/>
                <w:szCs w:val="16"/>
              </w:rPr>
              <w:t>Allow platypus to safely move between pools while foraging and</w:t>
            </w:r>
            <w:r w:rsidRPr="00994C74">
              <w:rPr>
                <w:color w:val="231F20"/>
                <w:spacing w:val="-33"/>
                <w:sz w:val="16"/>
                <w:szCs w:val="16"/>
              </w:rPr>
              <w:t xml:space="preserve"> </w:t>
            </w:r>
            <w:r w:rsidRPr="00994C74">
              <w:rPr>
                <w:color w:val="231F20"/>
                <w:sz w:val="16"/>
                <w:szCs w:val="16"/>
              </w:rPr>
              <w:t>ensure adequate food for lactating</w:t>
            </w:r>
            <w:r w:rsidRPr="00994C74">
              <w:rPr>
                <w:color w:val="231F20"/>
                <w:spacing w:val="-3"/>
                <w:sz w:val="16"/>
                <w:szCs w:val="16"/>
              </w:rPr>
              <w:t xml:space="preserve"> </w:t>
            </w:r>
            <w:r w:rsidRPr="00994C74">
              <w:rPr>
                <w:color w:val="231F20"/>
                <w:sz w:val="16"/>
                <w:szCs w:val="16"/>
              </w:rPr>
              <w:t>females</w:t>
            </w:r>
          </w:p>
        </w:tc>
        <w:tc>
          <w:tcPr>
            <w:tcW w:w="850" w:type="dxa"/>
            <w:tcBorders>
              <w:top w:val="nil"/>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80" cy="310896"/>
                  <wp:effectExtent l="0" t="0" r="0" b="0"/>
                  <wp:docPr id="230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image19.jpeg"/>
                          <pic:cNvPicPr/>
                        </pic:nvPicPr>
                        <pic:blipFill>
                          <a:blip r:embed="rId31" cstate="print"/>
                          <a:stretch>
                            <a:fillRect/>
                          </a:stretch>
                        </pic:blipFill>
                        <pic:spPr>
                          <a:xfrm>
                            <a:off x="0" y="0"/>
                            <a:ext cx="314180"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81" cy="310896"/>
                  <wp:effectExtent l="0" t="0" r="0" b="0"/>
                  <wp:docPr id="2309"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image31.jpeg"/>
                          <pic:cNvPicPr/>
                        </pic:nvPicPr>
                        <pic:blipFill>
                          <a:blip r:embed="rId43" cstate="print"/>
                          <a:stretch>
                            <a:fillRect/>
                          </a:stretch>
                        </pic:blipFill>
                        <pic:spPr>
                          <a:xfrm>
                            <a:off x="0" y="0"/>
                            <a:ext cx="314181" cy="310896"/>
                          </a:xfrm>
                          <a:prstGeom prst="rect">
                            <a:avLst/>
                          </a:prstGeom>
                        </pic:spPr>
                      </pic:pic>
                    </a:graphicData>
                  </a:graphic>
                </wp:inline>
              </w:drawing>
            </w:r>
          </w:p>
        </w:tc>
      </w:tr>
      <w:tr w:rsidR="006A7A3F">
        <w:trPr>
          <w:trHeight w:val="98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994C7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1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69"/>
              <w:rPr>
                <w:sz w:val="16"/>
              </w:rPr>
            </w:pPr>
            <w:r>
              <w:rPr>
                <w:color w:val="231F20"/>
                <w:sz w:val="16"/>
              </w:rPr>
              <w:t>Year-round fresh (five to 200 ML/day for one to</w:t>
            </w:r>
          </w:p>
          <w:p w:rsidR="006A7A3F" w:rsidRDefault="00BC7372">
            <w:pPr>
              <w:pStyle w:val="TableParagraph"/>
              <w:spacing w:line="183" w:lineRule="exact"/>
              <w:ind w:left="85"/>
              <w:rPr>
                <w:sz w:val="16"/>
              </w:rPr>
            </w:pPr>
            <w:r>
              <w:rPr>
                <w:color w:val="231F20"/>
                <w:sz w:val="16"/>
              </w:rPr>
              <w:t>14 days, as needed)</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994C74" w:rsidRDefault="00BC7372">
            <w:pPr>
              <w:pStyle w:val="TableParagraph"/>
              <w:numPr>
                <w:ilvl w:val="0"/>
                <w:numId w:val="127"/>
              </w:numPr>
              <w:tabs>
                <w:tab w:val="left" w:pos="306"/>
              </w:tabs>
              <w:spacing w:before="70" w:line="254" w:lineRule="auto"/>
              <w:ind w:right="107"/>
              <w:rPr>
                <w:sz w:val="16"/>
                <w:szCs w:val="16"/>
              </w:rPr>
            </w:pPr>
            <w:r w:rsidRPr="00994C74">
              <w:rPr>
                <w:color w:val="231F20"/>
                <w:sz w:val="16"/>
                <w:szCs w:val="16"/>
              </w:rPr>
              <w:t>A</w:t>
            </w:r>
            <w:r w:rsidRPr="00994C74">
              <w:rPr>
                <w:color w:val="231F20"/>
                <w:spacing w:val="-12"/>
                <w:sz w:val="16"/>
                <w:szCs w:val="16"/>
              </w:rPr>
              <w:t xml:space="preserve"> </w:t>
            </w:r>
            <w:r w:rsidRPr="00994C74">
              <w:rPr>
                <w:color w:val="231F20"/>
                <w:sz w:val="16"/>
                <w:szCs w:val="16"/>
              </w:rPr>
              <w:t>fresh</w:t>
            </w:r>
            <w:r w:rsidRPr="00994C74">
              <w:rPr>
                <w:color w:val="231F20"/>
                <w:spacing w:val="-3"/>
                <w:sz w:val="16"/>
                <w:szCs w:val="16"/>
              </w:rPr>
              <w:t xml:space="preserve"> </w:t>
            </w:r>
            <w:r w:rsidRPr="00994C74">
              <w:rPr>
                <w:color w:val="231F20"/>
                <w:sz w:val="16"/>
                <w:szCs w:val="16"/>
              </w:rPr>
              <w:t>may</w:t>
            </w:r>
            <w:r w:rsidRPr="00994C74">
              <w:rPr>
                <w:color w:val="231F20"/>
                <w:spacing w:val="-2"/>
                <w:sz w:val="16"/>
                <w:szCs w:val="16"/>
              </w:rPr>
              <w:t xml:space="preserve"> </w:t>
            </w:r>
            <w:r w:rsidRPr="00994C74">
              <w:rPr>
                <w:color w:val="231F20"/>
                <w:sz w:val="16"/>
                <w:szCs w:val="16"/>
              </w:rPr>
              <w:t>be</w:t>
            </w:r>
            <w:r w:rsidRPr="00994C74">
              <w:rPr>
                <w:color w:val="231F20"/>
                <w:spacing w:val="-3"/>
                <w:sz w:val="16"/>
                <w:szCs w:val="16"/>
              </w:rPr>
              <w:t xml:space="preserve"> </w:t>
            </w:r>
            <w:r w:rsidRPr="00994C74">
              <w:rPr>
                <w:color w:val="231F20"/>
                <w:sz w:val="16"/>
                <w:szCs w:val="16"/>
              </w:rPr>
              <w:t>required</w:t>
            </w:r>
            <w:r w:rsidRPr="00994C74">
              <w:rPr>
                <w:color w:val="231F20"/>
                <w:spacing w:val="-2"/>
                <w:sz w:val="16"/>
                <w:szCs w:val="16"/>
              </w:rPr>
              <w:t xml:space="preserve"> </w:t>
            </w:r>
            <w:r w:rsidRPr="00994C74">
              <w:rPr>
                <w:color w:val="231F20"/>
                <w:sz w:val="16"/>
                <w:szCs w:val="16"/>
              </w:rPr>
              <w:t>when</w:t>
            </w:r>
            <w:r w:rsidRPr="00994C74">
              <w:rPr>
                <w:color w:val="231F20"/>
                <w:spacing w:val="-4"/>
                <w:sz w:val="16"/>
                <w:szCs w:val="16"/>
              </w:rPr>
              <w:t xml:space="preserve"> </w:t>
            </w:r>
            <w:r w:rsidRPr="00994C74">
              <w:rPr>
                <w:color w:val="231F20"/>
                <w:sz w:val="16"/>
                <w:szCs w:val="16"/>
              </w:rPr>
              <w:t>dissolved</w:t>
            </w:r>
            <w:r w:rsidRPr="00994C74">
              <w:rPr>
                <w:color w:val="231F20"/>
                <w:spacing w:val="-3"/>
                <w:sz w:val="16"/>
                <w:szCs w:val="16"/>
              </w:rPr>
              <w:t xml:space="preserve"> </w:t>
            </w:r>
            <w:r w:rsidRPr="00994C74">
              <w:rPr>
                <w:color w:val="231F20"/>
                <w:sz w:val="16"/>
                <w:szCs w:val="16"/>
              </w:rPr>
              <w:t>oxygen</w:t>
            </w:r>
            <w:r w:rsidRPr="00994C74">
              <w:rPr>
                <w:color w:val="231F20"/>
                <w:spacing w:val="-3"/>
                <w:sz w:val="16"/>
                <w:szCs w:val="16"/>
              </w:rPr>
              <w:t xml:space="preserve"> </w:t>
            </w:r>
            <w:r w:rsidRPr="00994C74">
              <w:rPr>
                <w:color w:val="231F20"/>
                <w:sz w:val="16"/>
                <w:szCs w:val="16"/>
              </w:rPr>
              <w:t>levels</w:t>
            </w:r>
            <w:r w:rsidRPr="00994C74">
              <w:rPr>
                <w:color w:val="231F20"/>
                <w:spacing w:val="-3"/>
                <w:sz w:val="16"/>
                <w:szCs w:val="16"/>
              </w:rPr>
              <w:t xml:space="preserve"> </w:t>
            </w:r>
            <w:r w:rsidRPr="00994C74">
              <w:rPr>
                <w:color w:val="231F20"/>
                <w:sz w:val="16"/>
                <w:szCs w:val="16"/>
              </w:rPr>
              <w:t>are</w:t>
            </w:r>
            <w:r w:rsidRPr="00994C74">
              <w:rPr>
                <w:color w:val="231F20"/>
                <w:spacing w:val="-3"/>
                <w:sz w:val="16"/>
                <w:szCs w:val="16"/>
              </w:rPr>
              <w:t xml:space="preserve"> </w:t>
            </w:r>
            <w:r w:rsidRPr="00994C74">
              <w:rPr>
                <w:color w:val="231F20"/>
                <w:sz w:val="16"/>
                <w:szCs w:val="16"/>
              </w:rPr>
              <w:t>below</w:t>
            </w:r>
            <w:r w:rsidRPr="00994C74">
              <w:rPr>
                <w:color w:val="231F20"/>
                <w:spacing w:val="-4"/>
                <w:sz w:val="16"/>
                <w:szCs w:val="16"/>
              </w:rPr>
              <w:t xml:space="preserve"> </w:t>
            </w:r>
            <w:r w:rsidRPr="00994C74">
              <w:rPr>
                <w:color w:val="231F20"/>
                <w:sz w:val="16"/>
                <w:szCs w:val="16"/>
              </w:rPr>
              <w:t>5</w:t>
            </w:r>
            <w:r w:rsidRPr="00994C74">
              <w:rPr>
                <w:color w:val="231F20"/>
                <w:spacing w:val="-3"/>
                <w:sz w:val="16"/>
                <w:szCs w:val="16"/>
              </w:rPr>
              <w:t xml:space="preserve"> </w:t>
            </w:r>
            <w:r w:rsidRPr="00994C74">
              <w:rPr>
                <w:color w:val="231F20"/>
                <w:sz w:val="16"/>
                <w:szCs w:val="16"/>
              </w:rPr>
              <w:t>mg/L, air temperatures are above 28°, there are high water temperatures and/ or low river flows to improve water quality along the river pools and de- stratify pools in reach 4, ensuring adequate oxygen to support aquatic animals (such as native fish and</w:t>
            </w:r>
            <w:r w:rsidRPr="00994C74">
              <w:rPr>
                <w:color w:val="231F20"/>
                <w:spacing w:val="-7"/>
                <w:sz w:val="16"/>
                <w:szCs w:val="16"/>
              </w:rPr>
              <w:t xml:space="preserve"> </w:t>
            </w:r>
            <w:r w:rsidRPr="00994C74">
              <w:rPr>
                <w:color w:val="231F20"/>
                <w:sz w:val="16"/>
                <w:szCs w:val="16"/>
              </w:rPr>
              <w:t>platypus)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1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31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Pr="00994C74" w:rsidRDefault="006A7A3F">
            <w:pPr>
              <w:rPr>
                <w:sz w:val="16"/>
                <w:szCs w:val="16"/>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231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image23.png"/>
                          <pic:cNvPicPr/>
                        </pic:nvPicPr>
                        <pic:blipFill>
                          <a:blip r:embed="rId35"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rsidTr="00994C74">
        <w:trPr>
          <w:trHeight w:val="1585"/>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356"/>
              <w:jc w:val="both"/>
              <w:rPr>
                <w:sz w:val="16"/>
              </w:rPr>
            </w:pPr>
            <w:r>
              <w:rPr>
                <w:color w:val="231F20"/>
                <w:sz w:val="16"/>
              </w:rPr>
              <w:t>Reduced</w:t>
            </w:r>
            <w:r>
              <w:rPr>
                <w:color w:val="231F20"/>
                <w:position w:val="5"/>
                <w:sz w:val="9"/>
              </w:rPr>
              <w:t xml:space="preserve">1 </w:t>
            </w:r>
            <w:r>
              <w:rPr>
                <w:color w:val="231F20"/>
                <w:sz w:val="16"/>
              </w:rPr>
              <w:t>winter/spring low flow (20–40 ML/day during June to November)</w:t>
            </w:r>
          </w:p>
        </w:tc>
        <w:tc>
          <w:tcPr>
            <w:tcW w:w="6236" w:type="dxa"/>
            <w:tcBorders>
              <w:top w:val="single" w:sz="4" w:space="0" w:color="231F20"/>
              <w:left w:val="single" w:sz="4" w:space="0" w:color="231F20"/>
              <w:bottom w:val="single" w:sz="4" w:space="0" w:color="231F20"/>
              <w:right w:val="single" w:sz="4" w:space="0" w:color="231F20"/>
            </w:tcBorders>
          </w:tcPr>
          <w:p w:rsidR="006A7A3F" w:rsidRPr="00994C74" w:rsidRDefault="00BC7372">
            <w:pPr>
              <w:pStyle w:val="TableParagraph"/>
              <w:numPr>
                <w:ilvl w:val="0"/>
                <w:numId w:val="126"/>
              </w:numPr>
              <w:tabs>
                <w:tab w:val="left" w:pos="306"/>
              </w:tabs>
              <w:spacing w:before="70" w:line="254" w:lineRule="auto"/>
              <w:ind w:right="566"/>
              <w:rPr>
                <w:sz w:val="16"/>
                <w:szCs w:val="16"/>
              </w:rPr>
            </w:pPr>
            <w:r w:rsidRPr="00994C74">
              <w:rPr>
                <w:color w:val="231F20"/>
                <w:sz w:val="16"/>
                <w:szCs w:val="16"/>
              </w:rPr>
              <w:t>Increase longitudinal connectivity to allow native fish to access new habitats</w:t>
            </w:r>
          </w:p>
          <w:p w:rsidR="006A7A3F" w:rsidRPr="00994C74" w:rsidRDefault="00BC7372">
            <w:pPr>
              <w:pStyle w:val="TableParagraph"/>
              <w:numPr>
                <w:ilvl w:val="0"/>
                <w:numId w:val="126"/>
              </w:numPr>
              <w:tabs>
                <w:tab w:val="left" w:pos="306"/>
              </w:tabs>
              <w:spacing w:before="87" w:line="254" w:lineRule="auto"/>
              <w:ind w:right="146"/>
              <w:rPr>
                <w:sz w:val="16"/>
                <w:szCs w:val="16"/>
              </w:rPr>
            </w:pPr>
            <w:r w:rsidRPr="00994C74">
              <w:rPr>
                <w:color w:val="231F20"/>
                <w:sz w:val="16"/>
                <w:szCs w:val="16"/>
              </w:rPr>
              <w:t>Facilitate the long-distance movement of male platypus, especially in</w:t>
            </w:r>
            <w:r w:rsidRPr="00994C74">
              <w:rPr>
                <w:color w:val="231F20"/>
                <w:spacing w:val="-34"/>
                <w:sz w:val="16"/>
                <w:szCs w:val="16"/>
              </w:rPr>
              <w:t xml:space="preserve"> </w:t>
            </w:r>
            <w:r w:rsidRPr="00994C74">
              <w:rPr>
                <w:color w:val="231F20"/>
                <w:sz w:val="16"/>
                <w:szCs w:val="16"/>
              </w:rPr>
              <w:t>the August/October breeding season. Provide foraging opportunities across a wide range of habitats for females to develop fat reserves before breeding.</w:t>
            </w:r>
          </w:p>
          <w:p w:rsidR="006A7A3F" w:rsidRPr="00994C74" w:rsidRDefault="00BC7372">
            <w:pPr>
              <w:pStyle w:val="TableParagraph"/>
              <w:numPr>
                <w:ilvl w:val="0"/>
                <w:numId w:val="126"/>
              </w:numPr>
              <w:tabs>
                <w:tab w:val="left" w:pos="306"/>
              </w:tabs>
              <w:spacing w:before="87"/>
              <w:ind w:hanging="218"/>
              <w:rPr>
                <w:sz w:val="16"/>
                <w:szCs w:val="16"/>
              </w:rPr>
            </w:pPr>
            <w:r w:rsidRPr="00994C74">
              <w:rPr>
                <w:color w:val="231F20"/>
                <w:sz w:val="16"/>
                <w:szCs w:val="16"/>
              </w:rPr>
              <w:t>Maintain water quality by preventing pools</w:t>
            </w:r>
            <w:r w:rsidRPr="00994C74">
              <w:rPr>
                <w:color w:val="231F20"/>
                <w:spacing w:val="-9"/>
                <w:sz w:val="16"/>
                <w:szCs w:val="16"/>
              </w:rPr>
              <w:t xml:space="preserve"> </w:t>
            </w:r>
            <w:r w:rsidRPr="00994C74">
              <w:rPr>
                <w:color w:val="231F20"/>
                <w:sz w:val="16"/>
                <w:szCs w:val="16"/>
              </w:rPr>
              <w:t>stratifying</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5"/>
                  <wp:effectExtent l="0" t="0" r="0" b="0"/>
                  <wp:docPr id="231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image19.jpeg"/>
                          <pic:cNvPicPr/>
                        </pic:nvPicPr>
                        <pic:blipFill>
                          <a:blip r:embed="rId31" cstate="print"/>
                          <a:stretch>
                            <a:fillRect/>
                          </a:stretch>
                        </pic:blipFill>
                        <pic:spPr>
                          <a:xfrm>
                            <a:off x="0" y="0"/>
                            <a:ext cx="314177" cy="310895"/>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232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image31.jpeg"/>
                          <pic:cNvPicPr/>
                        </pic:nvPicPr>
                        <pic:blipFill>
                          <a:blip r:embed="rId43" cstate="print"/>
                          <a:stretch>
                            <a:fillRect/>
                          </a:stretch>
                        </pic:blipFill>
                        <pic:spPr>
                          <a:xfrm>
                            <a:off x="0" y="0"/>
                            <a:ext cx="314168" cy="310895"/>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620"/>
        </w:trPr>
        <w:tc>
          <w:tcPr>
            <w:tcW w:w="2381" w:type="dxa"/>
            <w:vMerge w:val="restart"/>
          </w:tcPr>
          <w:p w:rsidR="006A7A3F" w:rsidRDefault="00BC7372">
            <w:pPr>
              <w:pStyle w:val="TableParagraph"/>
              <w:spacing w:before="67" w:line="261" w:lineRule="auto"/>
              <w:ind w:left="85" w:right="140"/>
              <w:rPr>
                <w:sz w:val="16"/>
              </w:rPr>
            </w:pPr>
            <w:r>
              <w:rPr>
                <w:color w:val="231F20"/>
                <w:sz w:val="16"/>
              </w:rPr>
              <w:t>Winter/spring freshes (two freshes of 1,100–1,600 ML/ day for two to five days during June to November)</w:t>
            </w:r>
          </w:p>
        </w:tc>
        <w:tc>
          <w:tcPr>
            <w:tcW w:w="6236" w:type="dxa"/>
            <w:vMerge w:val="restart"/>
          </w:tcPr>
          <w:p w:rsidR="006A7A3F" w:rsidRPr="00994C74" w:rsidRDefault="00BC7372">
            <w:pPr>
              <w:pStyle w:val="TableParagraph"/>
              <w:numPr>
                <w:ilvl w:val="0"/>
                <w:numId w:val="125"/>
              </w:numPr>
              <w:tabs>
                <w:tab w:val="left" w:pos="306"/>
              </w:tabs>
              <w:spacing w:before="63" w:line="254" w:lineRule="auto"/>
              <w:ind w:right="236"/>
              <w:rPr>
                <w:sz w:val="16"/>
                <w:szCs w:val="16"/>
              </w:rPr>
            </w:pPr>
            <w:r w:rsidRPr="00994C74">
              <w:rPr>
                <w:color w:val="231F20"/>
                <w:sz w:val="16"/>
                <w:szCs w:val="16"/>
              </w:rPr>
              <w:t>Flush</w:t>
            </w:r>
            <w:r w:rsidRPr="00994C74">
              <w:rPr>
                <w:color w:val="231F20"/>
                <w:spacing w:val="-3"/>
                <w:sz w:val="16"/>
                <w:szCs w:val="16"/>
              </w:rPr>
              <w:t xml:space="preserve"> </w:t>
            </w:r>
            <w:r w:rsidRPr="00994C74">
              <w:rPr>
                <w:color w:val="231F20"/>
                <w:sz w:val="16"/>
                <w:szCs w:val="16"/>
              </w:rPr>
              <w:t>accumulated</w:t>
            </w:r>
            <w:r w:rsidRPr="00994C74">
              <w:rPr>
                <w:color w:val="231F20"/>
                <w:spacing w:val="-4"/>
                <w:sz w:val="16"/>
                <w:szCs w:val="16"/>
              </w:rPr>
              <w:t xml:space="preserve"> </w:t>
            </w:r>
            <w:r w:rsidRPr="00994C74">
              <w:rPr>
                <w:color w:val="231F20"/>
                <w:sz w:val="16"/>
                <w:szCs w:val="16"/>
              </w:rPr>
              <w:t>leaf</w:t>
            </w:r>
            <w:r w:rsidRPr="00994C74">
              <w:rPr>
                <w:color w:val="231F20"/>
                <w:spacing w:val="-4"/>
                <w:sz w:val="16"/>
                <w:szCs w:val="16"/>
              </w:rPr>
              <w:t xml:space="preserve"> </w:t>
            </w:r>
            <w:r w:rsidRPr="00994C74">
              <w:rPr>
                <w:color w:val="231F20"/>
                <w:sz w:val="16"/>
                <w:szCs w:val="16"/>
              </w:rPr>
              <w:t>litter</w:t>
            </w:r>
            <w:r w:rsidRPr="00994C74">
              <w:rPr>
                <w:color w:val="231F20"/>
                <w:spacing w:val="-3"/>
                <w:sz w:val="16"/>
                <w:szCs w:val="16"/>
              </w:rPr>
              <w:t xml:space="preserve"> </w:t>
            </w:r>
            <w:r w:rsidRPr="00994C74">
              <w:rPr>
                <w:color w:val="231F20"/>
                <w:sz w:val="16"/>
                <w:szCs w:val="16"/>
              </w:rPr>
              <w:t>from</w:t>
            </w:r>
            <w:r w:rsidRPr="00994C74">
              <w:rPr>
                <w:color w:val="231F20"/>
                <w:spacing w:val="-3"/>
                <w:sz w:val="16"/>
                <w:szCs w:val="16"/>
              </w:rPr>
              <w:t xml:space="preserve"> </w:t>
            </w:r>
            <w:r w:rsidRPr="00994C74">
              <w:rPr>
                <w:color w:val="231F20"/>
                <w:sz w:val="16"/>
                <w:szCs w:val="16"/>
              </w:rPr>
              <w:t>banks</w:t>
            </w:r>
            <w:r w:rsidRPr="00994C74">
              <w:rPr>
                <w:color w:val="231F20"/>
                <w:spacing w:val="-4"/>
                <w:sz w:val="16"/>
                <w:szCs w:val="16"/>
              </w:rPr>
              <w:t xml:space="preserve"> </w:t>
            </w:r>
            <w:r w:rsidRPr="00994C74">
              <w:rPr>
                <w:color w:val="231F20"/>
                <w:sz w:val="16"/>
                <w:szCs w:val="16"/>
              </w:rPr>
              <w:t>and</w:t>
            </w:r>
            <w:r w:rsidRPr="00994C74">
              <w:rPr>
                <w:color w:val="231F20"/>
                <w:spacing w:val="-3"/>
                <w:sz w:val="16"/>
                <w:szCs w:val="16"/>
              </w:rPr>
              <w:t xml:space="preserve"> </w:t>
            </w:r>
            <w:r w:rsidRPr="00994C74">
              <w:rPr>
                <w:color w:val="231F20"/>
                <w:sz w:val="16"/>
                <w:szCs w:val="16"/>
              </w:rPr>
              <w:t>low</w:t>
            </w:r>
            <w:r w:rsidRPr="00994C74">
              <w:rPr>
                <w:color w:val="231F20"/>
                <w:spacing w:val="-4"/>
                <w:sz w:val="16"/>
                <w:szCs w:val="16"/>
              </w:rPr>
              <w:t xml:space="preserve"> </w:t>
            </w:r>
            <w:r w:rsidRPr="00994C74">
              <w:rPr>
                <w:color w:val="231F20"/>
                <w:sz w:val="16"/>
                <w:szCs w:val="16"/>
              </w:rPr>
              <w:t>benches</w:t>
            </w:r>
            <w:r w:rsidRPr="00994C74">
              <w:rPr>
                <w:color w:val="231F20"/>
                <w:spacing w:val="-4"/>
                <w:sz w:val="16"/>
                <w:szCs w:val="16"/>
              </w:rPr>
              <w:t xml:space="preserve"> </w:t>
            </w:r>
            <w:r w:rsidRPr="00994C74">
              <w:rPr>
                <w:color w:val="231F20"/>
                <w:sz w:val="16"/>
                <w:szCs w:val="16"/>
              </w:rPr>
              <w:t>to</w:t>
            </w:r>
            <w:r w:rsidRPr="00994C74">
              <w:rPr>
                <w:color w:val="231F20"/>
                <w:spacing w:val="-3"/>
                <w:sz w:val="16"/>
                <w:szCs w:val="16"/>
              </w:rPr>
              <w:t xml:space="preserve"> </w:t>
            </w:r>
            <w:r w:rsidRPr="00994C74">
              <w:rPr>
                <w:color w:val="231F20"/>
                <w:sz w:val="16"/>
                <w:szCs w:val="16"/>
              </w:rPr>
              <w:t>reduce</w:t>
            </w:r>
            <w:r w:rsidRPr="00994C74">
              <w:rPr>
                <w:color w:val="231F20"/>
                <w:spacing w:val="-2"/>
                <w:sz w:val="16"/>
                <w:szCs w:val="16"/>
              </w:rPr>
              <w:t xml:space="preserve"> </w:t>
            </w:r>
            <w:r w:rsidRPr="00994C74">
              <w:rPr>
                <w:color w:val="231F20"/>
                <w:sz w:val="16"/>
                <w:szCs w:val="16"/>
              </w:rPr>
              <w:t>the risk of blackwater events during high river flow in</w:t>
            </w:r>
            <w:r w:rsidRPr="00994C74">
              <w:rPr>
                <w:color w:val="231F20"/>
                <w:spacing w:val="-13"/>
                <w:sz w:val="16"/>
                <w:szCs w:val="16"/>
              </w:rPr>
              <w:t xml:space="preserve"> </w:t>
            </w:r>
            <w:r w:rsidRPr="00994C74">
              <w:rPr>
                <w:color w:val="231F20"/>
                <w:sz w:val="16"/>
                <w:szCs w:val="16"/>
              </w:rPr>
              <w:t>summer</w:t>
            </w:r>
          </w:p>
          <w:p w:rsidR="006A7A3F" w:rsidRPr="00994C74" w:rsidRDefault="00BC7372">
            <w:pPr>
              <w:pStyle w:val="TableParagraph"/>
              <w:numPr>
                <w:ilvl w:val="0"/>
                <w:numId w:val="125"/>
              </w:numPr>
              <w:tabs>
                <w:tab w:val="left" w:pos="306"/>
              </w:tabs>
              <w:spacing w:before="86" w:line="254" w:lineRule="auto"/>
              <w:ind w:right="337"/>
              <w:rPr>
                <w:sz w:val="16"/>
                <w:szCs w:val="16"/>
              </w:rPr>
            </w:pPr>
            <w:r w:rsidRPr="00994C74">
              <w:rPr>
                <w:color w:val="231F20"/>
                <w:sz w:val="16"/>
                <w:szCs w:val="16"/>
              </w:rPr>
              <w:t>Maintain soil moisture for established river red gum and woody</w:t>
            </w:r>
            <w:r w:rsidRPr="00994C74">
              <w:rPr>
                <w:color w:val="231F20"/>
                <w:spacing w:val="-22"/>
                <w:sz w:val="16"/>
                <w:szCs w:val="16"/>
              </w:rPr>
              <w:t xml:space="preserve"> </w:t>
            </w:r>
            <w:r w:rsidRPr="00994C74">
              <w:rPr>
                <w:color w:val="231F20"/>
                <w:sz w:val="16"/>
                <w:szCs w:val="16"/>
              </w:rPr>
              <w:t>shrubs (such as bottlebrush and tea</w:t>
            </w:r>
            <w:r w:rsidRPr="00994C74">
              <w:rPr>
                <w:color w:val="231F20"/>
                <w:spacing w:val="-5"/>
                <w:sz w:val="16"/>
                <w:szCs w:val="16"/>
              </w:rPr>
              <w:t xml:space="preserve"> </w:t>
            </w:r>
            <w:r w:rsidRPr="00994C74">
              <w:rPr>
                <w:color w:val="231F20"/>
                <w:sz w:val="16"/>
                <w:szCs w:val="16"/>
              </w:rPr>
              <w:t>tree)</w:t>
            </w:r>
          </w:p>
          <w:p w:rsidR="006A7A3F" w:rsidRPr="00994C74" w:rsidRDefault="00BC7372">
            <w:pPr>
              <w:pStyle w:val="TableParagraph"/>
              <w:numPr>
                <w:ilvl w:val="0"/>
                <w:numId w:val="125"/>
              </w:numPr>
              <w:tabs>
                <w:tab w:val="left" w:pos="306"/>
              </w:tabs>
              <w:spacing w:before="86" w:line="254" w:lineRule="auto"/>
              <w:ind w:right="497"/>
              <w:rPr>
                <w:sz w:val="16"/>
                <w:szCs w:val="16"/>
              </w:rPr>
            </w:pPr>
            <w:r w:rsidRPr="00994C74">
              <w:rPr>
                <w:color w:val="231F20"/>
                <w:sz w:val="16"/>
                <w:szCs w:val="16"/>
              </w:rPr>
              <w:t>Maintain connectivity to allow native fish movement and access</w:t>
            </w:r>
            <w:r w:rsidRPr="00994C74">
              <w:rPr>
                <w:color w:val="231F20"/>
                <w:spacing w:val="-23"/>
                <w:sz w:val="16"/>
                <w:szCs w:val="16"/>
              </w:rPr>
              <w:t xml:space="preserve"> </w:t>
            </w:r>
            <w:r w:rsidRPr="00994C74">
              <w:rPr>
                <w:color w:val="231F20"/>
                <w:sz w:val="16"/>
                <w:szCs w:val="16"/>
              </w:rPr>
              <w:t>new habitats</w:t>
            </w:r>
          </w:p>
          <w:p w:rsidR="006A7A3F" w:rsidRPr="00994C74" w:rsidRDefault="00BC7372">
            <w:pPr>
              <w:pStyle w:val="TableParagraph"/>
              <w:numPr>
                <w:ilvl w:val="0"/>
                <w:numId w:val="125"/>
              </w:numPr>
              <w:tabs>
                <w:tab w:val="left" w:pos="306"/>
              </w:tabs>
              <w:spacing w:before="87" w:line="254" w:lineRule="auto"/>
              <w:ind w:right="86"/>
              <w:rPr>
                <w:sz w:val="16"/>
                <w:szCs w:val="16"/>
              </w:rPr>
            </w:pPr>
            <w:r w:rsidRPr="00994C74">
              <w:rPr>
                <w:color w:val="231F20"/>
                <w:sz w:val="16"/>
                <w:szCs w:val="16"/>
              </w:rPr>
              <w:t>Encourage females platypus to select a nesting burrow higher up the bank to reduce risk of high flow later in the year flooding the burrow</w:t>
            </w:r>
            <w:r w:rsidRPr="00994C74">
              <w:rPr>
                <w:color w:val="231F20"/>
                <w:spacing w:val="-27"/>
                <w:sz w:val="16"/>
                <w:szCs w:val="16"/>
              </w:rPr>
              <w:t xml:space="preserve"> </w:t>
            </w:r>
            <w:r w:rsidRPr="00994C74">
              <w:rPr>
                <w:color w:val="231F20"/>
                <w:sz w:val="16"/>
                <w:szCs w:val="16"/>
              </w:rPr>
              <w:t>when juveniles are</w:t>
            </w:r>
            <w:r w:rsidRPr="00994C74">
              <w:rPr>
                <w:color w:val="231F20"/>
                <w:spacing w:val="-3"/>
                <w:sz w:val="16"/>
                <w:szCs w:val="16"/>
              </w:rPr>
              <w:t xml:space="preserve"> </w:t>
            </w:r>
            <w:r w:rsidRPr="00994C74">
              <w:rPr>
                <w:color w:val="231F20"/>
                <w:sz w:val="16"/>
                <w:szCs w:val="16"/>
              </w:rPr>
              <w:t>present</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2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32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rsidTr="00994C74">
        <w:trPr>
          <w:trHeight w:val="1493"/>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994C74" w:rsidRDefault="006A7A3F">
            <w:pPr>
              <w:rPr>
                <w:sz w:val="16"/>
                <w:szCs w:val="16"/>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32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tcBorders>
          </w:tcPr>
          <w:p w:rsidR="006A7A3F" w:rsidRDefault="00BC7372">
            <w:pPr>
              <w:pStyle w:val="TableParagraph"/>
              <w:ind w:left="48"/>
              <w:rPr>
                <w:sz w:val="20"/>
              </w:rPr>
            </w:pPr>
            <w:r>
              <w:rPr>
                <w:noProof/>
                <w:sz w:val="20"/>
              </w:rPr>
              <w:drawing>
                <wp:inline distT="0" distB="0" distL="0" distR="0">
                  <wp:extent cx="314168" cy="310896"/>
                  <wp:effectExtent l="0" t="0" r="0" b="0"/>
                  <wp:docPr id="232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6A7A3F">
        <w:trPr>
          <w:trHeight w:val="625"/>
        </w:trPr>
        <w:tc>
          <w:tcPr>
            <w:tcW w:w="2381" w:type="dxa"/>
            <w:vMerge w:val="restart"/>
          </w:tcPr>
          <w:p w:rsidR="006A7A3F" w:rsidRDefault="00BC7372">
            <w:pPr>
              <w:pStyle w:val="TableParagraph"/>
              <w:spacing w:before="67" w:line="261" w:lineRule="auto"/>
              <w:ind w:left="85" w:right="229"/>
              <w:rPr>
                <w:sz w:val="16"/>
              </w:rPr>
            </w:pPr>
            <w:r>
              <w:rPr>
                <w:color w:val="231F20"/>
                <w:sz w:val="16"/>
              </w:rPr>
              <w:t>Winter/spring low flow (40–200 ML/day during June to November)</w:t>
            </w:r>
          </w:p>
        </w:tc>
        <w:tc>
          <w:tcPr>
            <w:tcW w:w="6236" w:type="dxa"/>
            <w:vMerge w:val="restart"/>
          </w:tcPr>
          <w:p w:rsidR="006A7A3F" w:rsidRPr="00994C74" w:rsidRDefault="00BC7372">
            <w:pPr>
              <w:pStyle w:val="TableParagraph"/>
              <w:numPr>
                <w:ilvl w:val="0"/>
                <w:numId w:val="124"/>
              </w:numPr>
              <w:tabs>
                <w:tab w:val="left" w:pos="306"/>
              </w:tabs>
              <w:spacing w:before="63" w:line="254" w:lineRule="auto"/>
              <w:ind w:right="566"/>
              <w:rPr>
                <w:sz w:val="16"/>
                <w:szCs w:val="16"/>
              </w:rPr>
            </w:pPr>
            <w:r w:rsidRPr="00994C74">
              <w:rPr>
                <w:color w:val="231F20"/>
                <w:sz w:val="16"/>
                <w:szCs w:val="16"/>
              </w:rPr>
              <w:t>Increase longitudinal connectivity to allow native fish to access new habitats</w:t>
            </w:r>
          </w:p>
          <w:p w:rsidR="006A7A3F" w:rsidRPr="00994C74" w:rsidRDefault="00BC7372">
            <w:pPr>
              <w:pStyle w:val="TableParagraph"/>
              <w:numPr>
                <w:ilvl w:val="0"/>
                <w:numId w:val="124"/>
              </w:numPr>
              <w:tabs>
                <w:tab w:val="left" w:pos="306"/>
              </w:tabs>
              <w:spacing w:before="86" w:line="254" w:lineRule="auto"/>
              <w:ind w:right="466"/>
              <w:rPr>
                <w:sz w:val="16"/>
                <w:szCs w:val="16"/>
              </w:rPr>
            </w:pPr>
            <w:r w:rsidRPr="00994C74">
              <w:rPr>
                <w:color w:val="231F20"/>
                <w:sz w:val="16"/>
                <w:szCs w:val="16"/>
              </w:rPr>
              <w:t>Facilitate long distance movement by male platypus especially in the August/October breeding</w:t>
            </w:r>
            <w:r w:rsidRPr="00994C74">
              <w:rPr>
                <w:color w:val="231F20"/>
                <w:spacing w:val="-2"/>
                <w:sz w:val="16"/>
                <w:szCs w:val="16"/>
              </w:rPr>
              <w:t xml:space="preserve"> </w:t>
            </w:r>
            <w:r w:rsidRPr="00994C74">
              <w:rPr>
                <w:color w:val="231F20"/>
                <w:sz w:val="16"/>
                <w:szCs w:val="16"/>
              </w:rPr>
              <w:t>season</w:t>
            </w:r>
          </w:p>
          <w:p w:rsidR="006A7A3F" w:rsidRPr="00994C74" w:rsidRDefault="00BC7372">
            <w:pPr>
              <w:pStyle w:val="TableParagraph"/>
              <w:numPr>
                <w:ilvl w:val="0"/>
                <w:numId w:val="124"/>
              </w:numPr>
              <w:tabs>
                <w:tab w:val="left" w:pos="306"/>
              </w:tabs>
              <w:spacing w:before="86" w:line="254" w:lineRule="auto"/>
              <w:ind w:right="136"/>
              <w:rPr>
                <w:sz w:val="16"/>
                <w:szCs w:val="16"/>
              </w:rPr>
            </w:pPr>
            <w:r w:rsidRPr="00994C74">
              <w:rPr>
                <w:color w:val="231F20"/>
                <w:sz w:val="16"/>
                <w:szCs w:val="16"/>
              </w:rPr>
              <w:t>Provide foraging opportunities across a wide range of habitats for</w:t>
            </w:r>
            <w:r w:rsidRPr="00994C74">
              <w:rPr>
                <w:color w:val="231F20"/>
                <w:spacing w:val="-33"/>
                <w:sz w:val="16"/>
                <w:szCs w:val="16"/>
              </w:rPr>
              <w:t xml:space="preserve"> </w:t>
            </w:r>
            <w:r w:rsidRPr="00994C74">
              <w:rPr>
                <w:color w:val="231F20"/>
                <w:sz w:val="16"/>
                <w:szCs w:val="16"/>
              </w:rPr>
              <w:t>female platypus to develop fat reserves before</w:t>
            </w:r>
            <w:r w:rsidRPr="00994C74">
              <w:rPr>
                <w:color w:val="231F20"/>
                <w:spacing w:val="-7"/>
                <w:sz w:val="16"/>
                <w:szCs w:val="16"/>
              </w:rPr>
              <w:t xml:space="preserve"> </w:t>
            </w:r>
            <w:r w:rsidRPr="00994C74">
              <w:rPr>
                <w:color w:val="231F20"/>
                <w:sz w:val="16"/>
                <w:szCs w:val="16"/>
              </w:rPr>
              <w:t>breeding</w:t>
            </w:r>
          </w:p>
          <w:p w:rsidR="006A7A3F" w:rsidRPr="00994C74" w:rsidRDefault="00BC7372">
            <w:pPr>
              <w:pStyle w:val="TableParagraph"/>
              <w:numPr>
                <w:ilvl w:val="0"/>
                <w:numId w:val="124"/>
              </w:numPr>
              <w:tabs>
                <w:tab w:val="left" w:pos="306"/>
              </w:tabs>
              <w:spacing w:before="87"/>
              <w:ind w:hanging="218"/>
              <w:rPr>
                <w:sz w:val="16"/>
                <w:szCs w:val="16"/>
              </w:rPr>
            </w:pPr>
            <w:r w:rsidRPr="00994C74">
              <w:rPr>
                <w:color w:val="231F20"/>
                <w:sz w:val="16"/>
                <w:szCs w:val="16"/>
              </w:rPr>
              <w:t>Maintain water quality by preventing pools</w:t>
            </w:r>
            <w:r w:rsidRPr="00994C74">
              <w:rPr>
                <w:color w:val="231F20"/>
                <w:spacing w:val="-29"/>
                <w:sz w:val="16"/>
                <w:szCs w:val="16"/>
              </w:rPr>
              <w:t xml:space="preserve"> </w:t>
            </w:r>
            <w:r w:rsidRPr="00994C74">
              <w:rPr>
                <w:color w:val="231F20"/>
                <w:sz w:val="16"/>
                <w:szCs w:val="16"/>
              </w:rPr>
              <w:t>stratifying</w:t>
            </w:r>
          </w:p>
          <w:p w:rsidR="006A7A3F" w:rsidRPr="00994C74" w:rsidRDefault="00BC7372">
            <w:pPr>
              <w:pStyle w:val="TableParagraph"/>
              <w:numPr>
                <w:ilvl w:val="0"/>
                <w:numId w:val="124"/>
              </w:numPr>
              <w:tabs>
                <w:tab w:val="left" w:pos="306"/>
              </w:tabs>
              <w:spacing w:before="98" w:line="254" w:lineRule="auto"/>
              <w:ind w:right="335"/>
              <w:rPr>
                <w:sz w:val="16"/>
                <w:szCs w:val="16"/>
              </w:rPr>
            </w:pPr>
            <w:r w:rsidRPr="00994C74">
              <w:rPr>
                <w:color w:val="231F20"/>
                <w:sz w:val="16"/>
                <w:szCs w:val="16"/>
              </w:rPr>
              <w:t>Reduce terrestrial plants colonising the lower sections of the riverbank and low benches in the</w:t>
            </w:r>
            <w:r w:rsidRPr="00994C74">
              <w:rPr>
                <w:color w:val="231F20"/>
                <w:spacing w:val="-5"/>
                <w:sz w:val="16"/>
                <w:szCs w:val="16"/>
              </w:rPr>
              <w:t xml:space="preserve"> </w:t>
            </w:r>
            <w:r w:rsidRPr="00994C74">
              <w:rPr>
                <w:color w:val="231F20"/>
                <w:sz w:val="16"/>
                <w:szCs w:val="16"/>
              </w:rPr>
              <w:t>channel</w:t>
            </w:r>
          </w:p>
          <w:p w:rsidR="006A7A3F" w:rsidRPr="00994C74" w:rsidRDefault="00BC7372">
            <w:pPr>
              <w:pStyle w:val="TableParagraph"/>
              <w:numPr>
                <w:ilvl w:val="0"/>
                <w:numId w:val="124"/>
              </w:numPr>
              <w:tabs>
                <w:tab w:val="left" w:pos="306"/>
              </w:tabs>
              <w:spacing w:before="86" w:line="254" w:lineRule="auto"/>
              <w:ind w:right="536"/>
              <w:rPr>
                <w:sz w:val="16"/>
                <w:szCs w:val="16"/>
              </w:rPr>
            </w:pPr>
            <w:r w:rsidRPr="00994C74">
              <w:rPr>
                <w:color w:val="231F20"/>
                <w:sz w:val="16"/>
                <w:szCs w:val="16"/>
              </w:rPr>
              <w:t>Maintain soil moisture in the riverbank to water established river red gums and woody</w:t>
            </w:r>
            <w:r w:rsidRPr="00994C74">
              <w:rPr>
                <w:color w:val="231F20"/>
                <w:spacing w:val="-4"/>
                <w:sz w:val="16"/>
                <w:szCs w:val="16"/>
              </w:rPr>
              <w:t xml:space="preserve"> </w:t>
            </w:r>
            <w:r w:rsidRPr="00994C74">
              <w:rPr>
                <w:color w:val="231F20"/>
                <w:sz w:val="16"/>
                <w:szCs w:val="16"/>
              </w:rPr>
              <w:t>shrubs</w:t>
            </w:r>
          </w:p>
          <w:p w:rsidR="006A7A3F" w:rsidRPr="00994C74" w:rsidRDefault="00BC7372">
            <w:pPr>
              <w:pStyle w:val="TableParagraph"/>
              <w:numPr>
                <w:ilvl w:val="0"/>
                <w:numId w:val="124"/>
              </w:numPr>
              <w:tabs>
                <w:tab w:val="left" w:pos="306"/>
              </w:tabs>
              <w:spacing w:before="86"/>
              <w:ind w:hanging="218"/>
              <w:rPr>
                <w:sz w:val="16"/>
                <w:szCs w:val="16"/>
              </w:rPr>
            </w:pPr>
            <w:r w:rsidRPr="00994C74">
              <w:rPr>
                <w:color w:val="231F20"/>
                <w:sz w:val="16"/>
                <w:szCs w:val="16"/>
              </w:rPr>
              <w:t>Help establish littoral</w:t>
            </w:r>
            <w:r w:rsidRPr="00994C74">
              <w:rPr>
                <w:color w:val="231F20"/>
                <w:spacing w:val="-4"/>
                <w:sz w:val="16"/>
                <w:szCs w:val="16"/>
              </w:rPr>
              <w:t xml:space="preserve"> </w:t>
            </w:r>
            <w:r w:rsidRPr="00994C74">
              <w:rPr>
                <w:color w:val="231F20"/>
                <w:sz w:val="16"/>
                <w:szCs w:val="16"/>
              </w:rPr>
              <w:t>vegetation</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6"/>
                  <wp:effectExtent l="0" t="0" r="0" b="0"/>
                  <wp:docPr id="233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6"/>
                  <wp:effectExtent l="0" t="0" r="0" b="0"/>
                  <wp:docPr id="233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 name="image20.jpeg"/>
                          <pic:cNvPicPr/>
                        </pic:nvPicPr>
                        <pic:blipFill>
                          <a:blip r:embed="rId32" cstate="print"/>
                          <a:stretch>
                            <a:fillRect/>
                          </a:stretch>
                        </pic:blipFill>
                        <pic:spPr>
                          <a:xfrm>
                            <a:off x="0" y="0"/>
                            <a:ext cx="314177" cy="310896"/>
                          </a:xfrm>
                          <a:prstGeom prst="rect">
                            <a:avLst/>
                          </a:prstGeom>
                        </pic:spPr>
                      </pic:pic>
                    </a:graphicData>
                  </a:graphic>
                </wp:inline>
              </w:drawing>
            </w:r>
          </w:p>
        </w:tc>
      </w:tr>
      <w:tr w:rsidR="006A7A3F">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994C74" w:rsidRDefault="006A7A3F">
            <w:pPr>
              <w:rPr>
                <w:sz w:val="16"/>
                <w:szCs w:val="16"/>
              </w:rPr>
            </w:pPr>
          </w:p>
        </w:tc>
        <w:tc>
          <w:tcPr>
            <w:tcW w:w="850" w:type="dxa"/>
            <w:tcBorders>
              <w:top w:val="nil"/>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33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tcBorders>
          </w:tcPr>
          <w:p w:rsidR="006A7A3F" w:rsidRDefault="00BC7372">
            <w:pPr>
              <w:pStyle w:val="TableParagraph"/>
              <w:ind w:left="48"/>
              <w:rPr>
                <w:sz w:val="20"/>
              </w:rPr>
            </w:pPr>
            <w:r>
              <w:rPr>
                <w:noProof/>
                <w:sz w:val="20"/>
              </w:rPr>
              <w:drawing>
                <wp:inline distT="0" distB="0" distL="0" distR="0">
                  <wp:extent cx="314168" cy="310896"/>
                  <wp:effectExtent l="0" t="0" r="0" b="0"/>
                  <wp:docPr id="233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2085"/>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994C74" w:rsidRDefault="006A7A3F">
            <w:pPr>
              <w:rPr>
                <w:sz w:val="16"/>
                <w:szCs w:val="16"/>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33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tcBorders>
          </w:tcPr>
          <w:p w:rsidR="006A7A3F" w:rsidRDefault="006A7A3F">
            <w:pPr>
              <w:pStyle w:val="TableParagraph"/>
              <w:ind w:left="0"/>
              <w:rPr>
                <w:rFonts w:ascii="Times New Roman"/>
                <w:sz w:val="18"/>
              </w:rPr>
            </w:pPr>
          </w:p>
        </w:tc>
      </w:tr>
      <w:tr w:rsidR="006A7A3F">
        <w:trPr>
          <w:trHeight w:val="620"/>
        </w:trPr>
        <w:tc>
          <w:tcPr>
            <w:tcW w:w="2381" w:type="dxa"/>
            <w:vMerge w:val="restart"/>
          </w:tcPr>
          <w:p w:rsidR="006A7A3F" w:rsidRDefault="00BC7372">
            <w:pPr>
              <w:pStyle w:val="TableParagraph"/>
              <w:spacing w:before="67" w:line="261" w:lineRule="auto"/>
              <w:ind w:left="85" w:right="149"/>
              <w:rPr>
                <w:sz w:val="16"/>
              </w:rPr>
            </w:pPr>
            <w:r>
              <w:rPr>
                <w:color w:val="231F20"/>
                <w:sz w:val="16"/>
              </w:rPr>
              <w:t>Summer/autumn freshes (one to three freshes</w:t>
            </w:r>
          </w:p>
          <w:p w:rsidR="006A7A3F" w:rsidRDefault="00BC7372">
            <w:pPr>
              <w:pStyle w:val="TableParagraph"/>
              <w:spacing w:line="261" w:lineRule="auto"/>
              <w:ind w:left="85" w:right="247"/>
              <w:rPr>
                <w:sz w:val="16"/>
              </w:rPr>
            </w:pPr>
            <w:r>
              <w:rPr>
                <w:color w:val="231F20"/>
                <w:sz w:val="16"/>
              </w:rPr>
              <w:t>100–200 ML/day for two to three days during December to May)</w:t>
            </w:r>
          </w:p>
          <w:p w:rsidR="006A7A3F" w:rsidRDefault="006A7A3F">
            <w:pPr>
              <w:pStyle w:val="TableParagraph"/>
              <w:spacing w:before="8"/>
              <w:ind w:left="0"/>
              <w:rPr>
                <w:b/>
                <w:sz w:val="4"/>
              </w:rPr>
            </w:pPr>
          </w:p>
          <w:p w:rsidR="006A7A3F" w:rsidRDefault="00BC7372">
            <w:pPr>
              <w:pStyle w:val="TableParagraph"/>
              <w:ind w:left="85"/>
              <w:rPr>
                <w:sz w:val="20"/>
              </w:rPr>
            </w:pPr>
            <w:r>
              <w:rPr>
                <w:noProof/>
                <w:sz w:val="20"/>
              </w:rPr>
              <w:drawing>
                <wp:inline distT="0" distB="0" distL="0" distR="0">
                  <wp:extent cx="316050" cy="313944"/>
                  <wp:effectExtent l="0" t="0" r="0" b="0"/>
                  <wp:docPr id="2341" name="image30.jpeg" descr="Icon: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 name="image30.jpeg"/>
                          <pic:cNvPicPr/>
                        </pic:nvPicPr>
                        <pic:blipFill>
                          <a:blip r:embed="rId42" cstate="print"/>
                          <a:stretch>
                            <a:fillRect/>
                          </a:stretch>
                        </pic:blipFill>
                        <pic:spPr>
                          <a:xfrm>
                            <a:off x="0" y="0"/>
                            <a:ext cx="316050" cy="313944"/>
                          </a:xfrm>
                          <a:prstGeom prst="rect">
                            <a:avLst/>
                          </a:prstGeom>
                        </pic:spPr>
                      </pic:pic>
                    </a:graphicData>
                  </a:graphic>
                </wp:inline>
              </w:drawing>
            </w:r>
          </w:p>
          <w:p w:rsidR="006A7A3F" w:rsidRDefault="006A7A3F">
            <w:pPr>
              <w:pStyle w:val="TableParagraph"/>
              <w:ind w:left="0"/>
              <w:rPr>
                <w:b/>
                <w:sz w:val="19"/>
              </w:rPr>
            </w:pPr>
          </w:p>
        </w:tc>
        <w:tc>
          <w:tcPr>
            <w:tcW w:w="6236" w:type="dxa"/>
            <w:vMerge w:val="restart"/>
          </w:tcPr>
          <w:p w:rsidR="006A7A3F" w:rsidRPr="00994C74" w:rsidRDefault="00BC7372">
            <w:pPr>
              <w:pStyle w:val="TableParagraph"/>
              <w:numPr>
                <w:ilvl w:val="0"/>
                <w:numId w:val="123"/>
              </w:numPr>
              <w:tabs>
                <w:tab w:val="left" w:pos="306"/>
              </w:tabs>
              <w:spacing w:before="63" w:line="254" w:lineRule="auto"/>
              <w:ind w:right="566"/>
              <w:rPr>
                <w:sz w:val="16"/>
                <w:szCs w:val="16"/>
              </w:rPr>
            </w:pPr>
            <w:r w:rsidRPr="00994C74">
              <w:rPr>
                <w:color w:val="231F20"/>
                <w:sz w:val="16"/>
                <w:szCs w:val="16"/>
              </w:rPr>
              <w:t>Increase longitudinal connectivity to allow native fish to access new habitats</w:t>
            </w:r>
          </w:p>
          <w:p w:rsidR="006A7A3F" w:rsidRPr="00994C74" w:rsidRDefault="00BC7372">
            <w:pPr>
              <w:pStyle w:val="TableParagraph"/>
              <w:numPr>
                <w:ilvl w:val="0"/>
                <w:numId w:val="123"/>
              </w:numPr>
              <w:tabs>
                <w:tab w:val="left" w:pos="306"/>
              </w:tabs>
              <w:spacing w:before="86" w:line="254" w:lineRule="auto"/>
              <w:ind w:right="190"/>
              <w:rPr>
                <w:sz w:val="16"/>
                <w:szCs w:val="16"/>
              </w:rPr>
            </w:pPr>
            <w:r w:rsidRPr="00994C74">
              <w:rPr>
                <w:color w:val="231F20"/>
                <w:sz w:val="16"/>
                <w:szCs w:val="16"/>
              </w:rPr>
              <w:t>Wet submerged wood and flush fine silt and old biofilms to promote</w:t>
            </w:r>
            <w:r w:rsidRPr="00994C74">
              <w:rPr>
                <w:color w:val="231F20"/>
                <w:spacing w:val="-36"/>
                <w:sz w:val="16"/>
                <w:szCs w:val="16"/>
              </w:rPr>
              <w:t xml:space="preserve"> </w:t>
            </w:r>
            <w:r w:rsidRPr="00994C74">
              <w:rPr>
                <w:color w:val="231F20"/>
                <w:sz w:val="16"/>
                <w:szCs w:val="16"/>
              </w:rPr>
              <w:t>new biofilm growth and increase waterbug productivity for native fish and platypus</w:t>
            </w:r>
          </w:p>
          <w:p w:rsidR="006A7A3F" w:rsidRPr="00994C74" w:rsidRDefault="00BC7372">
            <w:pPr>
              <w:pStyle w:val="TableParagraph"/>
              <w:numPr>
                <w:ilvl w:val="0"/>
                <w:numId w:val="123"/>
              </w:numPr>
              <w:tabs>
                <w:tab w:val="left" w:pos="306"/>
              </w:tabs>
              <w:spacing w:before="87" w:line="254" w:lineRule="auto"/>
              <w:ind w:right="336"/>
              <w:rPr>
                <w:sz w:val="16"/>
                <w:szCs w:val="16"/>
              </w:rPr>
            </w:pPr>
            <w:r w:rsidRPr="00994C74">
              <w:rPr>
                <w:color w:val="231F20"/>
                <w:sz w:val="16"/>
                <w:szCs w:val="16"/>
              </w:rPr>
              <w:t>Facilitate</w:t>
            </w:r>
            <w:r w:rsidRPr="00994C74">
              <w:rPr>
                <w:color w:val="231F20"/>
                <w:spacing w:val="-4"/>
                <w:sz w:val="16"/>
                <w:szCs w:val="16"/>
              </w:rPr>
              <w:t xml:space="preserve"> </w:t>
            </w:r>
            <w:r w:rsidRPr="00994C74">
              <w:rPr>
                <w:color w:val="231F20"/>
                <w:sz w:val="16"/>
                <w:szCs w:val="16"/>
              </w:rPr>
              <w:t>the</w:t>
            </w:r>
            <w:r w:rsidRPr="00994C74">
              <w:rPr>
                <w:color w:val="231F20"/>
                <w:spacing w:val="-3"/>
                <w:sz w:val="16"/>
                <w:szCs w:val="16"/>
              </w:rPr>
              <w:t xml:space="preserve"> </w:t>
            </w:r>
            <w:r w:rsidRPr="00994C74">
              <w:rPr>
                <w:color w:val="231F20"/>
                <w:sz w:val="16"/>
                <w:szCs w:val="16"/>
              </w:rPr>
              <w:t>downstream</w:t>
            </w:r>
            <w:r w:rsidRPr="00994C74">
              <w:rPr>
                <w:color w:val="231F20"/>
                <w:spacing w:val="-5"/>
                <w:sz w:val="16"/>
                <w:szCs w:val="16"/>
              </w:rPr>
              <w:t xml:space="preserve"> </w:t>
            </w:r>
            <w:r w:rsidRPr="00994C74">
              <w:rPr>
                <w:color w:val="231F20"/>
                <w:sz w:val="16"/>
                <w:szCs w:val="16"/>
              </w:rPr>
              <w:t>dispersal</w:t>
            </w:r>
            <w:r w:rsidRPr="00994C74">
              <w:rPr>
                <w:color w:val="231F20"/>
                <w:spacing w:val="-4"/>
                <w:sz w:val="16"/>
                <w:szCs w:val="16"/>
              </w:rPr>
              <w:t xml:space="preserve"> </w:t>
            </w:r>
            <w:r w:rsidRPr="00994C74">
              <w:rPr>
                <w:color w:val="231F20"/>
                <w:sz w:val="16"/>
                <w:szCs w:val="16"/>
              </w:rPr>
              <w:t>of</w:t>
            </w:r>
            <w:r w:rsidRPr="00994C74">
              <w:rPr>
                <w:color w:val="231F20"/>
                <w:spacing w:val="-5"/>
                <w:sz w:val="16"/>
                <w:szCs w:val="16"/>
              </w:rPr>
              <w:t xml:space="preserve"> </w:t>
            </w:r>
            <w:r w:rsidRPr="00994C74">
              <w:rPr>
                <w:color w:val="231F20"/>
                <w:sz w:val="16"/>
                <w:szCs w:val="16"/>
              </w:rPr>
              <w:t>juvenile</w:t>
            </w:r>
            <w:r w:rsidRPr="00994C74">
              <w:rPr>
                <w:color w:val="231F20"/>
                <w:spacing w:val="-4"/>
                <w:sz w:val="16"/>
                <w:szCs w:val="16"/>
              </w:rPr>
              <w:t xml:space="preserve"> </w:t>
            </w:r>
            <w:r w:rsidRPr="00994C74">
              <w:rPr>
                <w:color w:val="231F20"/>
                <w:sz w:val="16"/>
                <w:szCs w:val="16"/>
              </w:rPr>
              <w:t>platypus</w:t>
            </w:r>
            <w:r w:rsidRPr="00994C74">
              <w:rPr>
                <w:color w:val="231F20"/>
                <w:spacing w:val="-4"/>
                <w:sz w:val="16"/>
                <w:szCs w:val="16"/>
              </w:rPr>
              <w:t xml:space="preserve"> </w:t>
            </w:r>
            <w:r w:rsidRPr="00994C74">
              <w:rPr>
                <w:color w:val="231F20"/>
                <w:sz w:val="16"/>
                <w:szCs w:val="16"/>
              </w:rPr>
              <w:t>in</w:t>
            </w:r>
            <w:r w:rsidRPr="00994C74">
              <w:rPr>
                <w:color w:val="231F20"/>
                <w:spacing w:val="-13"/>
                <w:sz w:val="16"/>
                <w:szCs w:val="16"/>
              </w:rPr>
              <w:t xml:space="preserve"> </w:t>
            </w:r>
            <w:r w:rsidRPr="00994C74">
              <w:rPr>
                <w:color w:val="231F20"/>
                <w:sz w:val="16"/>
                <w:szCs w:val="16"/>
              </w:rPr>
              <w:t>April/May</w:t>
            </w:r>
            <w:r w:rsidRPr="00994C74">
              <w:rPr>
                <w:color w:val="231F20"/>
                <w:spacing w:val="-4"/>
                <w:sz w:val="16"/>
                <w:szCs w:val="16"/>
              </w:rPr>
              <w:t xml:space="preserve"> </w:t>
            </w:r>
            <w:r w:rsidRPr="00994C74">
              <w:rPr>
                <w:color w:val="231F20"/>
                <w:sz w:val="16"/>
                <w:szCs w:val="16"/>
              </w:rPr>
              <w:t>to colonise other habitat</w:t>
            </w:r>
            <w:r w:rsidRPr="00994C74">
              <w:rPr>
                <w:color w:val="231F20"/>
                <w:spacing w:val="-3"/>
                <w:sz w:val="16"/>
                <w:szCs w:val="16"/>
              </w:rPr>
              <w:t xml:space="preserve"> </w:t>
            </w:r>
            <w:r w:rsidRPr="00994C74">
              <w:rPr>
                <w:color w:val="231F20"/>
                <w:sz w:val="16"/>
                <w:szCs w:val="16"/>
              </w:rPr>
              <w:t>areas</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4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34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1207"/>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Default="006A7A3F">
            <w:pPr>
              <w:rPr>
                <w:sz w:val="2"/>
                <w:szCs w:val="2"/>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77" cy="310896"/>
                  <wp:effectExtent l="0" t="0" r="0" b="0"/>
                  <wp:docPr id="234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 name="image22.jpeg"/>
                          <pic:cNvPicPr/>
                        </pic:nvPicPr>
                        <pic:blipFill>
                          <a:blip r:embed="rId34" cstate="print"/>
                          <a:stretch>
                            <a:fillRect/>
                          </a:stretch>
                        </pic:blipFill>
                        <pic:spPr>
                          <a:xfrm>
                            <a:off x="0" y="0"/>
                            <a:ext cx="314177" cy="310896"/>
                          </a:xfrm>
                          <a:prstGeom prst="rect">
                            <a:avLst/>
                          </a:prstGeom>
                        </pic:spPr>
                      </pic:pic>
                    </a:graphicData>
                  </a:graphic>
                </wp:inline>
              </w:drawing>
            </w:r>
          </w:p>
        </w:tc>
        <w:tc>
          <w:tcPr>
            <w:tcW w:w="708" w:type="dxa"/>
            <w:tcBorders>
              <w:top w:val="nil"/>
              <w:left w:val="nil"/>
            </w:tcBorders>
          </w:tcPr>
          <w:p w:rsidR="006A7A3F" w:rsidRDefault="006A7A3F">
            <w:pPr>
              <w:pStyle w:val="TableParagraph"/>
              <w:ind w:left="0"/>
              <w:rPr>
                <w:rFonts w:ascii="Times New Roman"/>
                <w:sz w:val="18"/>
              </w:rPr>
            </w:pPr>
          </w:p>
        </w:tc>
      </w:tr>
    </w:tbl>
    <w:p w:rsidR="006A7A3F" w:rsidRDefault="00BC7372">
      <w:pPr>
        <w:spacing w:before="129" w:line="266" w:lineRule="auto"/>
        <w:ind w:left="323" w:right="457" w:hanging="114"/>
        <w:rPr>
          <w:sz w:val="14"/>
        </w:rPr>
      </w:pPr>
      <w:r>
        <w:rPr>
          <w:color w:val="231F20"/>
          <w:sz w:val="14"/>
        </w:rPr>
        <w:t>1 Winter low flow of 20-40 ML/day is below the environmental flow recommendation of a minimum of 50 ML/day due to low water availability in the drought-dry scenario</w:t>
      </w:r>
    </w:p>
    <w:p w:rsidR="00994C74" w:rsidRDefault="00994C74">
      <w:pPr>
        <w:rPr>
          <w:rFonts w:ascii="Helvetica Neue LT Std 75"/>
          <w:b/>
          <w:color w:val="231F20"/>
          <w:sz w:val="19"/>
        </w:rPr>
      </w:pPr>
      <w:r>
        <w:rPr>
          <w:rFonts w:ascii="Helvetica Neue LT Std 75"/>
          <w:b/>
          <w:color w:val="231F20"/>
          <w:sz w:val="19"/>
        </w:rPr>
        <w:br w:type="page"/>
      </w:r>
    </w:p>
    <w:p w:rsidR="006A7A3F" w:rsidRDefault="00BC7372">
      <w:pPr>
        <w:spacing w:before="70"/>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5.6.2 outlines the potential environmental watering and expected water use under a range of planning scenarios.</w:t>
      </w:r>
    </w:p>
    <w:p w:rsidR="006A7A3F" w:rsidRDefault="00BC7372">
      <w:pPr>
        <w:pStyle w:val="BodyText"/>
        <w:spacing w:line="249" w:lineRule="auto"/>
        <w:ind w:right="875"/>
      </w:pPr>
      <w:r>
        <w:rPr>
          <w:color w:val="231F20"/>
        </w:rPr>
        <w:t>For 2020–21, the highest-priority environmental flows are low flow in summer/autumn and winter/spring and delivering a year-round fresh (if needed) under all conditions (see tier 1a actions in Table 5.6.2).</w:t>
      </w:r>
    </w:p>
    <w:p w:rsidR="006A7A3F" w:rsidRDefault="00BC7372" w:rsidP="0087445D">
      <w:pPr>
        <w:pStyle w:val="BodyText"/>
        <w:spacing w:before="171" w:line="249" w:lineRule="auto"/>
        <w:ind w:right="430"/>
      </w:pPr>
      <w:r>
        <w:rPr>
          <w:color w:val="231F20"/>
        </w:rPr>
        <w:t>Low flow in summer/autumn is critical for maintaining the river at a level that flushes high-salinity water from pools and maintains oxygen concentrations at a level that can support native fish and waterbugs. Under drought and dry conditions, the amount of water available for the environment is not likely to be sufficient to deliver the recommended winter/spring low flow watering action, and therefore a reduced magnitude low flow is proposed to</w:t>
      </w:r>
      <w:r w:rsidR="0087445D">
        <w:rPr>
          <w:color w:val="231F20"/>
        </w:rPr>
        <w:t xml:space="preserve"> </w:t>
      </w:r>
      <w:r>
        <w:rPr>
          <w:color w:val="231F20"/>
        </w:rPr>
        <w:t>ensure continuous flow is maintained year-round. The reduced magnitude winter/spring low flow will maintain riffle and pool habitats and water quality in all reaches but may not achieve objectives for streamside vegetation or allow fish and platypus to move freely throughout each reach. Delivering the full winter/spring low flow is a high priority under wet and average scenarios.</w:t>
      </w:r>
    </w:p>
    <w:p w:rsidR="006A7A3F" w:rsidRDefault="00BC7372">
      <w:pPr>
        <w:pStyle w:val="BodyText"/>
        <w:spacing w:before="173" w:line="249" w:lineRule="auto"/>
        <w:ind w:right="251"/>
      </w:pPr>
      <w:r>
        <w:rPr>
          <w:color w:val="231F20"/>
        </w:rPr>
        <w:t>The other potential watering actions under average and wet scenarios are summer/autumn freshes and winter/ spring freshes. Year-round freshes are a potential watering action as well; when there are low oxygen levels in the river, these will help improve water quality and help de-stratify pools in reach 4, to support aquatic animals.</w:t>
      </w:r>
    </w:p>
    <w:p w:rsidR="006A7A3F" w:rsidRDefault="00BC7372">
      <w:pPr>
        <w:pStyle w:val="BodyText"/>
        <w:spacing w:line="249" w:lineRule="auto"/>
        <w:ind w:right="313"/>
      </w:pPr>
      <w:r>
        <w:rPr>
          <w:color w:val="231F20"/>
        </w:rPr>
        <w:t xml:space="preserve">Any additional water available under the drought or dry scenarios should be used to increase the magnitude of winter/spring low flow (tier 1b). Winter/spring freshes have been identified as tier 2 priorities under the drought and dry scenarios, and an additional winter/spring fresh is identified as a tier 2 watering action under the average scenario. These freshes will improve the condition of environmental values in the Campaspe </w:t>
      </w:r>
      <w:r>
        <w:rPr>
          <w:color w:val="231F20"/>
          <w:spacing w:val="-3"/>
        </w:rPr>
        <w:t xml:space="preserve">River, </w:t>
      </w:r>
      <w:r>
        <w:rPr>
          <w:color w:val="231F20"/>
        </w:rPr>
        <w:t xml:space="preserve">but if there is insufficient water to deliver these freshes, that will not be to the detriment of the system’s environmental values in 2020–21. Carryover into 2021–22 is not a priority this </w:t>
      </w:r>
      <w:r>
        <w:rPr>
          <w:color w:val="231F20"/>
          <w:spacing w:val="-3"/>
        </w:rPr>
        <w:t xml:space="preserve">year, </w:t>
      </w:r>
      <w:r>
        <w:rPr>
          <w:color w:val="231F20"/>
        </w:rPr>
        <w:t>because sufficient allocation from a very high-reliability entitlement is expected to be available on 1 July 2020 to meet minimum critical</w:t>
      </w:r>
      <w:r>
        <w:rPr>
          <w:color w:val="231F20"/>
          <w:spacing w:val="-18"/>
        </w:rPr>
        <w:t xml:space="preserve"> </w:t>
      </w:r>
      <w:r>
        <w:rPr>
          <w:color w:val="231F20"/>
        </w:rPr>
        <w:t>demands.</w:t>
      </w:r>
    </w:p>
    <w:p w:rsidR="00994C74" w:rsidRDefault="00994C74">
      <w:pPr>
        <w:rPr>
          <w:b/>
          <w:color w:val="231F20"/>
          <w:sz w:val="18"/>
        </w:rPr>
      </w:pPr>
      <w:r>
        <w:rPr>
          <w:b/>
          <w:color w:val="231F20"/>
          <w:sz w:val="18"/>
        </w:rPr>
        <w:br w:type="page"/>
      </w:r>
    </w:p>
    <w:p w:rsidR="006A7A3F" w:rsidRDefault="00BC7372" w:rsidP="00994C74">
      <w:pPr>
        <w:spacing w:before="171" w:after="120"/>
        <w:ind w:left="210"/>
        <w:rPr>
          <w:b/>
          <w:sz w:val="18"/>
        </w:rPr>
      </w:pPr>
      <w:r>
        <w:rPr>
          <w:b/>
          <w:color w:val="231F20"/>
          <w:sz w:val="18"/>
        </w:rPr>
        <w:t>Table 5.6.2 Potential environmental watering for the Campaspe River under a range of planning scenarios</w:t>
      </w: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994C74">
        <w:trPr>
          <w:trHeight w:val="367"/>
        </w:trPr>
        <w:tc>
          <w:tcPr>
            <w:tcW w:w="2041" w:type="dxa"/>
            <w:tcBorders>
              <w:top w:val="nil"/>
              <w:left w:val="nil"/>
              <w:bottom w:val="nil"/>
            </w:tcBorders>
            <w:shd w:val="clear" w:color="auto" w:fill="231F20"/>
          </w:tcPr>
          <w:p w:rsidR="006A7A3F" w:rsidRDefault="00BC7372">
            <w:pPr>
              <w:pStyle w:val="TableParagraph"/>
              <w:spacing w:before="73"/>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Average</w:t>
            </w:r>
          </w:p>
        </w:tc>
        <w:tc>
          <w:tcPr>
            <w:tcW w:w="2041" w:type="dxa"/>
            <w:tcBorders>
              <w:top w:val="nil"/>
              <w:bottom w:val="nil"/>
            </w:tcBorders>
            <w:shd w:val="clear" w:color="auto" w:fill="231F20"/>
          </w:tcPr>
          <w:p w:rsidR="006A7A3F" w:rsidRDefault="00BC7372">
            <w:pPr>
              <w:pStyle w:val="TableParagraph"/>
              <w:spacing w:before="73"/>
              <w:ind w:left="84"/>
              <w:rPr>
                <w:b/>
                <w:sz w:val="18"/>
              </w:rPr>
            </w:pPr>
            <w:r>
              <w:rPr>
                <w:b/>
                <w:color w:val="FFFFFF"/>
                <w:sz w:val="18"/>
              </w:rPr>
              <w:t>Wet</w:t>
            </w:r>
          </w:p>
        </w:tc>
      </w:tr>
      <w:tr w:rsidR="006A7A3F" w:rsidTr="00994C74">
        <w:trPr>
          <w:trHeight w:val="1617"/>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67"/>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Pr="001E2088" w:rsidRDefault="00BC7372">
            <w:pPr>
              <w:pStyle w:val="TableParagraph"/>
              <w:numPr>
                <w:ilvl w:val="0"/>
                <w:numId w:val="122"/>
              </w:numPr>
              <w:tabs>
                <w:tab w:val="left" w:pos="305"/>
              </w:tabs>
              <w:spacing w:before="63" w:line="254" w:lineRule="auto"/>
              <w:ind w:right="283"/>
              <w:rPr>
                <w:sz w:val="16"/>
                <w:szCs w:val="16"/>
              </w:rPr>
            </w:pPr>
            <w:r w:rsidRPr="001E2088">
              <w:rPr>
                <w:color w:val="231F20"/>
                <w:sz w:val="16"/>
                <w:szCs w:val="16"/>
              </w:rPr>
              <w:t>Little or no natural flow</w:t>
            </w:r>
          </w:p>
          <w:p w:rsidR="006A7A3F" w:rsidRPr="001E2088" w:rsidRDefault="00BC7372">
            <w:pPr>
              <w:pStyle w:val="TableParagraph"/>
              <w:numPr>
                <w:ilvl w:val="0"/>
                <w:numId w:val="122"/>
              </w:numPr>
              <w:tabs>
                <w:tab w:val="left" w:pos="305"/>
              </w:tabs>
              <w:spacing w:before="86" w:line="254" w:lineRule="auto"/>
              <w:ind w:right="173"/>
              <w:rPr>
                <w:sz w:val="16"/>
                <w:szCs w:val="16"/>
              </w:rPr>
            </w:pPr>
            <w:r w:rsidRPr="001E2088">
              <w:rPr>
                <w:color w:val="231F20"/>
                <w:sz w:val="16"/>
                <w:szCs w:val="16"/>
              </w:rPr>
              <w:t>No passing flows in winter</w:t>
            </w:r>
          </w:p>
          <w:p w:rsidR="006A7A3F" w:rsidRPr="001E2088" w:rsidRDefault="00BC7372">
            <w:pPr>
              <w:pStyle w:val="TableParagraph"/>
              <w:numPr>
                <w:ilvl w:val="0"/>
                <w:numId w:val="122"/>
              </w:numPr>
              <w:tabs>
                <w:tab w:val="left" w:pos="305"/>
              </w:tabs>
              <w:spacing w:before="86" w:line="254" w:lineRule="auto"/>
              <w:ind w:right="302"/>
              <w:rPr>
                <w:sz w:val="16"/>
                <w:szCs w:val="16"/>
              </w:rPr>
            </w:pPr>
            <w:r w:rsidRPr="001E2088">
              <w:rPr>
                <w:color w:val="231F20"/>
                <w:sz w:val="16"/>
                <w:szCs w:val="16"/>
              </w:rPr>
              <w:t>Operational water deliveries</w:t>
            </w:r>
          </w:p>
        </w:tc>
        <w:tc>
          <w:tcPr>
            <w:tcW w:w="2041" w:type="dxa"/>
            <w:tcBorders>
              <w:top w:val="nil"/>
              <w:left w:val="single" w:sz="4" w:space="0" w:color="231F20"/>
              <w:bottom w:val="single" w:sz="4" w:space="0" w:color="231F20"/>
              <w:right w:val="single" w:sz="4" w:space="0" w:color="231F20"/>
            </w:tcBorders>
          </w:tcPr>
          <w:p w:rsidR="006A7A3F" w:rsidRPr="001E2088" w:rsidRDefault="00BC7372">
            <w:pPr>
              <w:pStyle w:val="TableParagraph"/>
              <w:numPr>
                <w:ilvl w:val="0"/>
                <w:numId w:val="121"/>
              </w:numPr>
              <w:tabs>
                <w:tab w:val="left" w:pos="305"/>
              </w:tabs>
              <w:spacing w:before="63"/>
              <w:rPr>
                <w:sz w:val="16"/>
                <w:szCs w:val="16"/>
              </w:rPr>
            </w:pPr>
            <w:r w:rsidRPr="001E2088">
              <w:rPr>
                <w:color w:val="231F20"/>
                <w:sz w:val="16"/>
                <w:szCs w:val="16"/>
              </w:rPr>
              <w:t>Some natural</w:t>
            </w:r>
            <w:r w:rsidRPr="001E2088">
              <w:rPr>
                <w:color w:val="231F20"/>
                <w:spacing w:val="-3"/>
                <w:sz w:val="16"/>
                <w:szCs w:val="16"/>
              </w:rPr>
              <w:t xml:space="preserve"> </w:t>
            </w:r>
            <w:r w:rsidRPr="001E2088">
              <w:rPr>
                <w:color w:val="231F20"/>
                <w:sz w:val="16"/>
                <w:szCs w:val="16"/>
              </w:rPr>
              <w:t>flow</w:t>
            </w:r>
          </w:p>
          <w:p w:rsidR="006A7A3F" w:rsidRPr="001E2088" w:rsidRDefault="00BC7372">
            <w:pPr>
              <w:pStyle w:val="TableParagraph"/>
              <w:numPr>
                <w:ilvl w:val="0"/>
                <w:numId w:val="121"/>
              </w:numPr>
              <w:tabs>
                <w:tab w:val="left" w:pos="305"/>
              </w:tabs>
              <w:spacing w:before="98" w:line="254" w:lineRule="auto"/>
              <w:ind w:right="262"/>
              <w:rPr>
                <w:sz w:val="16"/>
                <w:szCs w:val="16"/>
              </w:rPr>
            </w:pPr>
            <w:r w:rsidRPr="001E2088">
              <w:rPr>
                <w:color w:val="231F20"/>
                <w:sz w:val="16"/>
                <w:szCs w:val="16"/>
              </w:rPr>
              <w:t>Increased passing flows</w:t>
            </w:r>
          </w:p>
          <w:p w:rsidR="006A7A3F" w:rsidRPr="001E2088" w:rsidRDefault="00BC7372">
            <w:pPr>
              <w:pStyle w:val="TableParagraph"/>
              <w:numPr>
                <w:ilvl w:val="0"/>
                <w:numId w:val="121"/>
              </w:numPr>
              <w:tabs>
                <w:tab w:val="left" w:pos="305"/>
              </w:tabs>
              <w:spacing w:before="86" w:line="254" w:lineRule="auto"/>
              <w:ind w:right="302"/>
              <w:rPr>
                <w:sz w:val="16"/>
                <w:szCs w:val="16"/>
              </w:rPr>
            </w:pPr>
            <w:r w:rsidRPr="001E2088">
              <w:rPr>
                <w:color w:val="231F20"/>
                <w:sz w:val="16"/>
                <w:szCs w:val="16"/>
              </w:rPr>
              <w:t>Operational water deliveries</w:t>
            </w:r>
          </w:p>
        </w:tc>
        <w:tc>
          <w:tcPr>
            <w:tcW w:w="2041" w:type="dxa"/>
            <w:tcBorders>
              <w:top w:val="nil"/>
              <w:left w:val="single" w:sz="4" w:space="0" w:color="231F20"/>
              <w:bottom w:val="single" w:sz="4" w:space="0" w:color="231F20"/>
              <w:right w:val="single" w:sz="4" w:space="0" w:color="231F20"/>
            </w:tcBorders>
          </w:tcPr>
          <w:p w:rsidR="006A7A3F" w:rsidRPr="001E2088" w:rsidRDefault="00BC7372">
            <w:pPr>
              <w:pStyle w:val="TableParagraph"/>
              <w:numPr>
                <w:ilvl w:val="0"/>
                <w:numId w:val="120"/>
              </w:numPr>
              <w:tabs>
                <w:tab w:val="left" w:pos="305"/>
              </w:tabs>
              <w:spacing w:before="63"/>
              <w:rPr>
                <w:sz w:val="16"/>
                <w:szCs w:val="16"/>
              </w:rPr>
            </w:pPr>
            <w:r w:rsidRPr="001E2088">
              <w:rPr>
                <w:color w:val="231F20"/>
                <w:sz w:val="16"/>
                <w:szCs w:val="16"/>
              </w:rPr>
              <w:t>Some natural</w:t>
            </w:r>
            <w:r w:rsidRPr="001E2088">
              <w:rPr>
                <w:color w:val="231F20"/>
                <w:spacing w:val="-3"/>
                <w:sz w:val="16"/>
                <w:szCs w:val="16"/>
              </w:rPr>
              <w:t xml:space="preserve"> </w:t>
            </w:r>
            <w:r w:rsidRPr="001E2088">
              <w:rPr>
                <w:color w:val="231F20"/>
                <w:sz w:val="16"/>
                <w:szCs w:val="16"/>
              </w:rPr>
              <w:t>flow</w:t>
            </w:r>
          </w:p>
          <w:p w:rsidR="006A7A3F" w:rsidRPr="001E2088" w:rsidRDefault="00BC7372">
            <w:pPr>
              <w:pStyle w:val="TableParagraph"/>
              <w:numPr>
                <w:ilvl w:val="0"/>
                <w:numId w:val="120"/>
              </w:numPr>
              <w:tabs>
                <w:tab w:val="left" w:pos="305"/>
              </w:tabs>
              <w:spacing w:before="98" w:line="254" w:lineRule="auto"/>
              <w:ind w:right="263"/>
              <w:rPr>
                <w:sz w:val="16"/>
                <w:szCs w:val="16"/>
              </w:rPr>
            </w:pPr>
            <w:r w:rsidRPr="001E2088">
              <w:rPr>
                <w:color w:val="231F20"/>
                <w:sz w:val="16"/>
                <w:szCs w:val="16"/>
              </w:rPr>
              <w:t>Increased passing flows</w:t>
            </w:r>
          </w:p>
        </w:tc>
        <w:tc>
          <w:tcPr>
            <w:tcW w:w="2041" w:type="dxa"/>
            <w:tcBorders>
              <w:top w:val="nil"/>
              <w:left w:val="single" w:sz="4" w:space="0" w:color="231F20"/>
              <w:bottom w:val="single" w:sz="4" w:space="0" w:color="231F20"/>
              <w:right w:val="single" w:sz="4" w:space="0" w:color="231F20"/>
            </w:tcBorders>
          </w:tcPr>
          <w:p w:rsidR="006A7A3F" w:rsidRPr="001E2088" w:rsidRDefault="00BC7372">
            <w:pPr>
              <w:pStyle w:val="TableParagraph"/>
              <w:numPr>
                <w:ilvl w:val="0"/>
                <w:numId w:val="119"/>
              </w:numPr>
              <w:tabs>
                <w:tab w:val="left" w:pos="305"/>
              </w:tabs>
              <w:spacing w:before="63"/>
              <w:rPr>
                <w:sz w:val="16"/>
                <w:szCs w:val="16"/>
              </w:rPr>
            </w:pPr>
            <w:r w:rsidRPr="001E2088">
              <w:rPr>
                <w:color w:val="231F20"/>
                <w:sz w:val="16"/>
                <w:szCs w:val="16"/>
              </w:rPr>
              <w:t>Some natural</w:t>
            </w:r>
            <w:r w:rsidRPr="001E2088">
              <w:rPr>
                <w:color w:val="231F20"/>
                <w:spacing w:val="-3"/>
                <w:sz w:val="16"/>
                <w:szCs w:val="16"/>
              </w:rPr>
              <w:t xml:space="preserve"> </w:t>
            </w:r>
            <w:r w:rsidRPr="001E2088">
              <w:rPr>
                <w:color w:val="231F20"/>
                <w:sz w:val="16"/>
                <w:szCs w:val="16"/>
              </w:rPr>
              <w:t>flow</w:t>
            </w:r>
          </w:p>
          <w:p w:rsidR="006A7A3F" w:rsidRPr="001E2088" w:rsidRDefault="00BC7372">
            <w:pPr>
              <w:pStyle w:val="TableParagraph"/>
              <w:numPr>
                <w:ilvl w:val="0"/>
                <w:numId w:val="119"/>
              </w:numPr>
              <w:tabs>
                <w:tab w:val="left" w:pos="305"/>
              </w:tabs>
              <w:spacing w:before="98" w:line="254" w:lineRule="auto"/>
              <w:ind w:right="263"/>
              <w:rPr>
                <w:sz w:val="16"/>
                <w:szCs w:val="16"/>
              </w:rPr>
            </w:pPr>
            <w:r w:rsidRPr="001E2088">
              <w:rPr>
                <w:color w:val="231F20"/>
                <w:sz w:val="16"/>
                <w:szCs w:val="16"/>
              </w:rPr>
              <w:t>Increased passing flows</w:t>
            </w:r>
          </w:p>
          <w:p w:rsidR="006A7A3F" w:rsidRPr="001E2088" w:rsidRDefault="00BC7372">
            <w:pPr>
              <w:pStyle w:val="TableParagraph"/>
              <w:numPr>
                <w:ilvl w:val="0"/>
                <w:numId w:val="119"/>
              </w:numPr>
              <w:tabs>
                <w:tab w:val="left" w:pos="305"/>
              </w:tabs>
              <w:spacing w:before="86"/>
              <w:rPr>
                <w:sz w:val="16"/>
                <w:szCs w:val="16"/>
              </w:rPr>
            </w:pPr>
            <w:r w:rsidRPr="001E2088">
              <w:rPr>
                <w:color w:val="231F20"/>
                <w:sz w:val="16"/>
                <w:szCs w:val="16"/>
              </w:rPr>
              <w:t>Spills from storage</w:t>
            </w:r>
          </w:p>
        </w:tc>
      </w:tr>
      <w:tr w:rsidR="006A7A3F" w:rsidTr="00994C74">
        <w:trPr>
          <w:trHeight w:val="5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11"/>
              <w:rPr>
                <w:sz w:val="16"/>
              </w:rPr>
            </w:pPr>
            <w:r>
              <w:rPr>
                <w:color w:val="231F20"/>
                <w:sz w:val="16"/>
              </w:rPr>
              <w:t>Expected availability of water for the environment</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8"/>
              </w:numPr>
              <w:tabs>
                <w:tab w:val="left" w:pos="305"/>
              </w:tabs>
              <w:spacing w:before="63"/>
              <w:rPr>
                <w:sz w:val="16"/>
                <w:szCs w:val="16"/>
              </w:rPr>
            </w:pPr>
            <w:r w:rsidRPr="001E2088">
              <w:rPr>
                <w:color w:val="231F20"/>
                <w:sz w:val="16"/>
                <w:szCs w:val="16"/>
              </w:rPr>
              <w:t>9,700</w:t>
            </w:r>
            <w:r w:rsidRPr="001E2088">
              <w:rPr>
                <w:color w:val="231F20"/>
                <w:spacing w:val="-2"/>
                <w:sz w:val="16"/>
                <w:szCs w:val="16"/>
              </w:rPr>
              <w:t xml:space="preserve"> </w:t>
            </w:r>
            <w:r w:rsidRPr="001E2088">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7"/>
              </w:numPr>
              <w:tabs>
                <w:tab w:val="left" w:pos="305"/>
              </w:tabs>
              <w:spacing w:before="63"/>
              <w:rPr>
                <w:sz w:val="16"/>
                <w:szCs w:val="16"/>
              </w:rPr>
            </w:pPr>
            <w:r w:rsidRPr="001E2088">
              <w:rPr>
                <w:color w:val="231F20"/>
                <w:sz w:val="16"/>
                <w:szCs w:val="16"/>
              </w:rPr>
              <w:t>20,300</w:t>
            </w:r>
            <w:r w:rsidRPr="001E2088">
              <w:rPr>
                <w:color w:val="231F20"/>
                <w:spacing w:val="-2"/>
                <w:sz w:val="16"/>
                <w:szCs w:val="16"/>
              </w:rPr>
              <w:t xml:space="preserve"> </w:t>
            </w:r>
            <w:r w:rsidRPr="001E2088">
              <w:rPr>
                <w:color w:val="231F20"/>
                <w:sz w:val="16"/>
                <w:szCs w:val="16"/>
              </w:rPr>
              <w:t>ML</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6"/>
              </w:numPr>
              <w:tabs>
                <w:tab w:val="left" w:pos="305"/>
              </w:tabs>
              <w:spacing w:before="63"/>
              <w:rPr>
                <w:sz w:val="16"/>
                <w:szCs w:val="16"/>
              </w:rPr>
            </w:pPr>
            <w:r w:rsidRPr="001E2088">
              <w:rPr>
                <w:color w:val="231F20"/>
                <w:sz w:val="16"/>
                <w:szCs w:val="16"/>
              </w:rPr>
              <w:t>35,400</w:t>
            </w:r>
            <w:r w:rsidRPr="001E2088">
              <w:rPr>
                <w:color w:val="231F20"/>
                <w:spacing w:val="-2"/>
                <w:sz w:val="16"/>
                <w:szCs w:val="16"/>
              </w:rPr>
              <w:t xml:space="preserve"> </w:t>
            </w:r>
            <w:r w:rsidRPr="001E2088">
              <w:rPr>
                <w:color w:val="231F20"/>
                <w:sz w:val="16"/>
                <w:szCs w:val="16"/>
              </w:rPr>
              <w:t>ML</w:t>
            </w:r>
          </w:p>
        </w:tc>
      </w:tr>
      <w:tr w:rsidR="006A7A3F" w:rsidTr="00994C74">
        <w:trPr>
          <w:trHeight w:val="288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72"/>
              <w:jc w:val="both"/>
              <w:rPr>
                <w:sz w:val="16"/>
              </w:rPr>
            </w:pPr>
            <w:r>
              <w:rPr>
                <w:color w:val="231F20"/>
                <w:sz w:val="16"/>
              </w:rPr>
              <w:t>Potential environmental watering – tier 1a (high priorities)</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5"/>
              </w:numPr>
              <w:tabs>
                <w:tab w:val="left" w:pos="305"/>
              </w:tabs>
              <w:spacing w:before="63"/>
              <w:rPr>
                <w:sz w:val="16"/>
                <w:szCs w:val="16"/>
              </w:rPr>
            </w:pPr>
            <w:r w:rsidRPr="001E2088">
              <w:rPr>
                <w:color w:val="231F20"/>
                <w:sz w:val="16"/>
                <w:szCs w:val="16"/>
              </w:rPr>
              <w:t>Summer/autumn low</w:t>
            </w:r>
            <w:r w:rsidRPr="001E2088">
              <w:rPr>
                <w:color w:val="231F20"/>
                <w:spacing w:val="-2"/>
                <w:sz w:val="16"/>
                <w:szCs w:val="16"/>
              </w:rPr>
              <w:t xml:space="preserve"> </w:t>
            </w:r>
            <w:r w:rsidRPr="001E2088">
              <w:rPr>
                <w:color w:val="231F20"/>
                <w:sz w:val="16"/>
                <w:szCs w:val="16"/>
              </w:rPr>
              <w:t>flow</w:t>
            </w:r>
          </w:p>
          <w:p w:rsidR="006A7A3F" w:rsidRPr="001E2088" w:rsidRDefault="00BC7372">
            <w:pPr>
              <w:pStyle w:val="TableParagraph"/>
              <w:numPr>
                <w:ilvl w:val="0"/>
                <w:numId w:val="115"/>
              </w:numPr>
              <w:tabs>
                <w:tab w:val="left" w:pos="305"/>
              </w:tabs>
              <w:spacing w:before="98"/>
              <w:rPr>
                <w:sz w:val="16"/>
                <w:szCs w:val="16"/>
              </w:rPr>
            </w:pPr>
            <w:r w:rsidRPr="001E2088">
              <w:rPr>
                <w:color w:val="231F20"/>
                <w:sz w:val="16"/>
                <w:szCs w:val="16"/>
              </w:rPr>
              <w:t>Reduced winter/spring low</w:t>
            </w:r>
            <w:r w:rsidRPr="001E2088">
              <w:rPr>
                <w:color w:val="231F20"/>
                <w:spacing w:val="-6"/>
                <w:sz w:val="16"/>
                <w:szCs w:val="16"/>
              </w:rPr>
              <w:t xml:space="preserve"> </w:t>
            </w:r>
            <w:r w:rsidRPr="001E2088">
              <w:rPr>
                <w:color w:val="231F20"/>
                <w:sz w:val="16"/>
                <w:szCs w:val="16"/>
              </w:rPr>
              <w:t>flow</w:t>
            </w:r>
          </w:p>
          <w:p w:rsidR="006A7A3F" w:rsidRPr="001E2088" w:rsidRDefault="00BC7372">
            <w:pPr>
              <w:pStyle w:val="TableParagraph"/>
              <w:numPr>
                <w:ilvl w:val="0"/>
                <w:numId w:val="115"/>
              </w:numPr>
              <w:tabs>
                <w:tab w:val="left" w:pos="305"/>
              </w:tabs>
              <w:spacing w:before="98"/>
              <w:rPr>
                <w:sz w:val="16"/>
                <w:szCs w:val="16"/>
              </w:rPr>
            </w:pPr>
            <w:r w:rsidRPr="001E2088">
              <w:rPr>
                <w:color w:val="231F20"/>
                <w:spacing w:val="-3"/>
                <w:sz w:val="16"/>
                <w:szCs w:val="16"/>
              </w:rPr>
              <w:t xml:space="preserve">Year-round </w:t>
            </w:r>
            <w:r w:rsidRPr="001E2088">
              <w:rPr>
                <w:color w:val="231F20"/>
                <w:sz w:val="16"/>
                <w:szCs w:val="16"/>
              </w:rPr>
              <w:t>fresh (if</w:t>
            </w:r>
            <w:r w:rsidRPr="001E2088">
              <w:rPr>
                <w:color w:val="231F20"/>
                <w:spacing w:val="1"/>
                <w:sz w:val="16"/>
                <w:szCs w:val="16"/>
              </w:rPr>
              <w:t xml:space="preserve"> </w:t>
            </w:r>
            <w:r w:rsidRPr="001E2088">
              <w:rPr>
                <w:color w:val="231F20"/>
                <w:sz w:val="16"/>
                <w:szCs w:val="16"/>
              </w:rPr>
              <w:t>needed)</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4"/>
              </w:numPr>
              <w:tabs>
                <w:tab w:val="left" w:pos="305"/>
              </w:tabs>
              <w:spacing w:before="63" w:line="254" w:lineRule="auto"/>
              <w:ind w:right="73"/>
              <w:rPr>
                <w:sz w:val="16"/>
                <w:szCs w:val="16"/>
              </w:rPr>
            </w:pPr>
            <w:r w:rsidRPr="001E2088">
              <w:rPr>
                <w:color w:val="231F20"/>
                <w:sz w:val="16"/>
                <w:szCs w:val="16"/>
              </w:rPr>
              <w:t xml:space="preserve">Summer/autumn </w:t>
            </w:r>
            <w:r w:rsidRPr="001E2088">
              <w:rPr>
                <w:color w:val="231F20"/>
                <w:spacing w:val="-6"/>
                <w:sz w:val="16"/>
                <w:szCs w:val="16"/>
              </w:rPr>
              <w:t xml:space="preserve">low </w:t>
            </w:r>
            <w:r w:rsidRPr="001E2088">
              <w:rPr>
                <w:color w:val="231F20"/>
                <w:sz w:val="16"/>
                <w:szCs w:val="16"/>
              </w:rPr>
              <w:t>flow</w:t>
            </w:r>
          </w:p>
          <w:p w:rsidR="006A7A3F" w:rsidRPr="001E2088" w:rsidRDefault="00BC7372">
            <w:pPr>
              <w:pStyle w:val="TableParagraph"/>
              <w:numPr>
                <w:ilvl w:val="0"/>
                <w:numId w:val="114"/>
              </w:numPr>
              <w:tabs>
                <w:tab w:val="left" w:pos="305"/>
              </w:tabs>
              <w:spacing w:before="86" w:line="254" w:lineRule="auto"/>
              <w:ind w:right="314"/>
              <w:rPr>
                <w:sz w:val="16"/>
                <w:szCs w:val="16"/>
              </w:rPr>
            </w:pPr>
            <w:r w:rsidRPr="001E2088">
              <w:rPr>
                <w:color w:val="231F20"/>
                <w:sz w:val="16"/>
                <w:szCs w:val="16"/>
              </w:rPr>
              <w:t>One winter/spring fresh</w:t>
            </w:r>
          </w:p>
          <w:p w:rsidR="006A7A3F" w:rsidRPr="001E2088" w:rsidRDefault="00BC7372">
            <w:pPr>
              <w:pStyle w:val="TableParagraph"/>
              <w:numPr>
                <w:ilvl w:val="0"/>
                <w:numId w:val="114"/>
              </w:numPr>
              <w:tabs>
                <w:tab w:val="left" w:pos="305"/>
              </w:tabs>
              <w:spacing w:before="86" w:line="254" w:lineRule="auto"/>
              <w:ind w:right="343"/>
              <w:rPr>
                <w:sz w:val="16"/>
                <w:szCs w:val="16"/>
              </w:rPr>
            </w:pPr>
            <w:r w:rsidRPr="001E2088">
              <w:rPr>
                <w:color w:val="231F20"/>
                <w:sz w:val="16"/>
                <w:szCs w:val="16"/>
              </w:rPr>
              <w:t xml:space="preserve">Winter/spring </w:t>
            </w:r>
            <w:r w:rsidRPr="001E2088">
              <w:rPr>
                <w:color w:val="231F20"/>
                <w:spacing w:val="-6"/>
                <w:sz w:val="16"/>
                <w:szCs w:val="16"/>
              </w:rPr>
              <w:t xml:space="preserve">low </w:t>
            </w:r>
            <w:r w:rsidRPr="001E2088">
              <w:rPr>
                <w:color w:val="231F20"/>
                <w:sz w:val="16"/>
                <w:szCs w:val="16"/>
              </w:rPr>
              <w:t>flow</w:t>
            </w:r>
          </w:p>
          <w:p w:rsidR="006A7A3F" w:rsidRPr="001E2088" w:rsidRDefault="00BC7372">
            <w:pPr>
              <w:pStyle w:val="TableParagraph"/>
              <w:numPr>
                <w:ilvl w:val="0"/>
                <w:numId w:val="114"/>
              </w:numPr>
              <w:tabs>
                <w:tab w:val="left" w:pos="305"/>
              </w:tabs>
              <w:spacing w:before="87" w:line="254" w:lineRule="auto"/>
              <w:ind w:right="393"/>
              <w:rPr>
                <w:sz w:val="16"/>
                <w:szCs w:val="16"/>
              </w:rPr>
            </w:pPr>
            <w:r w:rsidRPr="001E2088">
              <w:rPr>
                <w:color w:val="231F20"/>
                <w:sz w:val="16"/>
                <w:szCs w:val="16"/>
              </w:rPr>
              <w:t>One to three Summer/autumn freshes</w:t>
            </w:r>
          </w:p>
          <w:p w:rsidR="006A7A3F" w:rsidRPr="001E2088" w:rsidRDefault="00BC7372">
            <w:pPr>
              <w:pStyle w:val="TableParagraph"/>
              <w:numPr>
                <w:ilvl w:val="0"/>
                <w:numId w:val="114"/>
              </w:numPr>
              <w:tabs>
                <w:tab w:val="left" w:pos="305"/>
              </w:tabs>
              <w:spacing w:before="86" w:line="254" w:lineRule="auto"/>
              <w:ind w:right="390"/>
              <w:rPr>
                <w:sz w:val="16"/>
                <w:szCs w:val="16"/>
              </w:rPr>
            </w:pPr>
            <w:r w:rsidRPr="001E2088">
              <w:rPr>
                <w:color w:val="231F20"/>
                <w:spacing w:val="-3"/>
                <w:sz w:val="16"/>
                <w:szCs w:val="16"/>
              </w:rPr>
              <w:t xml:space="preserve">Year-round </w:t>
            </w:r>
            <w:r w:rsidRPr="001E2088">
              <w:rPr>
                <w:color w:val="231F20"/>
                <w:sz w:val="16"/>
                <w:szCs w:val="16"/>
              </w:rPr>
              <w:t>fresh (if</w:t>
            </w:r>
            <w:r w:rsidRPr="001E2088">
              <w:rPr>
                <w:color w:val="231F20"/>
                <w:spacing w:val="-1"/>
                <w:sz w:val="16"/>
                <w:szCs w:val="16"/>
              </w:rPr>
              <w:t xml:space="preserve"> </w:t>
            </w:r>
            <w:r w:rsidRPr="001E2088">
              <w:rPr>
                <w:color w:val="231F20"/>
                <w:sz w:val="16"/>
                <w:szCs w:val="16"/>
              </w:rPr>
              <w:t>needed)</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3"/>
              </w:numPr>
              <w:tabs>
                <w:tab w:val="left" w:pos="305"/>
              </w:tabs>
              <w:spacing w:before="63" w:line="254" w:lineRule="auto"/>
              <w:ind w:right="73"/>
              <w:rPr>
                <w:sz w:val="16"/>
                <w:szCs w:val="16"/>
              </w:rPr>
            </w:pPr>
            <w:r w:rsidRPr="001E2088">
              <w:rPr>
                <w:color w:val="231F20"/>
                <w:sz w:val="16"/>
                <w:szCs w:val="16"/>
              </w:rPr>
              <w:t xml:space="preserve">Summer/autumn </w:t>
            </w:r>
            <w:r w:rsidRPr="001E2088">
              <w:rPr>
                <w:color w:val="231F20"/>
                <w:spacing w:val="-6"/>
                <w:sz w:val="16"/>
                <w:szCs w:val="16"/>
              </w:rPr>
              <w:t xml:space="preserve">low </w:t>
            </w:r>
            <w:r w:rsidRPr="001E2088">
              <w:rPr>
                <w:color w:val="231F20"/>
                <w:sz w:val="16"/>
                <w:szCs w:val="16"/>
              </w:rPr>
              <w:t>flow</w:t>
            </w:r>
          </w:p>
          <w:p w:rsidR="006A7A3F" w:rsidRPr="001E2088" w:rsidRDefault="00BC7372">
            <w:pPr>
              <w:pStyle w:val="TableParagraph"/>
              <w:numPr>
                <w:ilvl w:val="0"/>
                <w:numId w:val="113"/>
              </w:numPr>
              <w:tabs>
                <w:tab w:val="left" w:pos="305"/>
              </w:tabs>
              <w:spacing w:before="86" w:line="254" w:lineRule="auto"/>
              <w:ind w:right="273"/>
              <w:rPr>
                <w:sz w:val="16"/>
                <w:szCs w:val="16"/>
              </w:rPr>
            </w:pPr>
            <w:r w:rsidRPr="001E2088">
              <w:rPr>
                <w:color w:val="231F20"/>
                <w:sz w:val="16"/>
                <w:szCs w:val="16"/>
              </w:rPr>
              <w:t>One to two winter/ spring freshes</w:t>
            </w:r>
          </w:p>
          <w:p w:rsidR="006A7A3F" w:rsidRPr="001E2088" w:rsidRDefault="00BC7372">
            <w:pPr>
              <w:pStyle w:val="TableParagraph"/>
              <w:numPr>
                <w:ilvl w:val="0"/>
                <w:numId w:val="113"/>
              </w:numPr>
              <w:tabs>
                <w:tab w:val="left" w:pos="305"/>
              </w:tabs>
              <w:spacing w:before="86" w:line="254" w:lineRule="auto"/>
              <w:ind w:right="343"/>
              <w:rPr>
                <w:sz w:val="16"/>
                <w:szCs w:val="16"/>
              </w:rPr>
            </w:pPr>
            <w:r w:rsidRPr="001E2088">
              <w:rPr>
                <w:color w:val="231F20"/>
                <w:sz w:val="16"/>
                <w:szCs w:val="16"/>
              </w:rPr>
              <w:t xml:space="preserve">Winter/spring </w:t>
            </w:r>
            <w:r w:rsidRPr="001E2088">
              <w:rPr>
                <w:color w:val="231F20"/>
                <w:spacing w:val="-6"/>
                <w:sz w:val="16"/>
                <w:szCs w:val="16"/>
              </w:rPr>
              <w:t xml:space="preserve">low </w:t>
            </w:r>
            <w:r w:rsidRPr="001E2088">
              <w:rPr>
                <w:color w:val="231F20"/>
                <w:sz w:val="16"/>
                <w:szCs w:val="16"/>
              </w:rPr>
              <w:t>flow</w:t>
            </w:r>
          </w:p>
          <w:p w:rsidR="006A7A3F" w:rsidRPr="001E2088" w:rsidRDefault="00BC7372">
            <w:pPr>
              <w:pStyle w:val="TableParagraph"/>
              <w:numPr>
                <w:ilvl w:val="0"/>
                <w:numId w:val="113"/>
              </w:numPr>
              <w:tabs>
                <w:tab w:val="left" w:pos="305"/>
              </w:tabs>
              <w:spacing w:before="87" w:line="254" w:lineRule="auto"/>
              <w:ind w:right="393"/>
              <w:rPr>
                <w:sz w:val="16"/>
                <w:szCs w:val="16"/>
              </w:rPr>
            </w:pPr>
            <w:r w:rsidRPr="001E2088">
              <w:rPr>
                <w:color w:val="231F20"/>
                <w:sz w:val="16"/>
                <w:szCs w:val="16"/>
              </w:rPr>
              <w:t>One to three Summer/autumn freshes</w:t>
            </w:r>
          </w:p>
          <w:p w:rsidR="006A7A3F" w:rsidRPr="001E2088" w:rsidRDefault="00BC7372">
            <w:pPr>
              <w:pStyle w:val="TableParagraph"/>
              <w:numPr>
                <w:ilvl w:val="0"/>
                <w:numId w:val="113"/>
              </w:numPr>
              <w:tabs>
                <w:tab w:val="left" w:pos="305"/>
              </w:tabs>
              <w:spacing w:before="86" w:line="254" w:lineRule="auto"/>
              <w:ind w:right="390"/>
              <w:rPr>
                <w:sz w:val="16"/>
                <w:szCs w:val="16"/>
              </w:rPr>
            </w:pPr>
            <w:r w:rsidRPr="001E2088">
              <w:rPr>
                <w:color w:val="231F20"/>
                <w:spacing w:val="-3"/>
                <w:sz w:val="16"/>
                <w:szCs w:val="16"/>
              </w:rPr>
              <w:t xml:space="preserve">Year-round </w:t>
            </w:r>
            <w:r w:rsidRPr="001E2088">
              <w:rPr>
                <w:color w:val="231F20"/>
                <w:sz w:val="16"/>
                <w:szCs w:val="16"/>
              </w:rPr>
              <w:t>fresh (if</w:t>
            </w:r>
            <w:r w:rsidRPr="001E2088">
              <w:rPr>
                <w:color w:val="231F20"/>
                <w:spacing w:val="-1"/>
                <w:sz w:val="16"/>
                <w:szCs w:val="16"/>
              </w:rPr>
              <w:t xml:space="preserve"> </w:t>
            </w:r>
            <w:r w:rsidRPr="001E2088">
              <w:rPr>
                <w:color w:val="231F20"/>
                <w:sz w:val="16"/>
                <w:szCs w:val="16"/>
              </w:rPr>
              <w:t>needed)</w:t>
            </w:r>
          </w:p>
        </w:tc>
      </w:tr>
      <w:tr w:rsidR="006A7A3F" w:rsidTr="00994C74">
        <w:trPr>
          <w:trHeight w:val="7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72"/>
              <w:jc w:val="both"/>
              <w:rPr>
                <w:sz w:val="16"/>
              </w:rPr>
            </w:pPr>
            <w:r>
              <w:rPr>
                <w:color w:val="231F20"/>
                <w:sz w:val="16"/>
              </w:rPr>
              <w:t>Potential environmental watering – tier 1b (high priorities with shortfall)</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2"/>
              </w:numPr>
              <w:tabs>
                <w:tab w:val="left" w:pos="305"/>
              </w:tabs>
              <w:spacing w:before="63"/>
              <w:rPr>
                <w:sz w:val="16"/>
                <w:szCs w:val="16"/>
              </w:rPr>
            </w:pPr>
            <w:r w:rsidRPr="001E2088">
              <w:rPr>
                <w:color w:val="231F20"/>
                <w:sz w:val="16"/>
                <w:szCs w:val="16"/>
              </w:rPr>
              <w:t>Increased magnitude winter/spring low</w:t>
            </w:r>
            <w:r w:rsidRPr="001E2088">
              <w:rPr>
                <w:color w:val="231F20"/>
                <w:spacing w:val="-8"/>
                <w:sz w:val="16"/>
                <w:szCs w:val="16"/>
              </w:rPr>
              <w:t xml:space="preserve"> </w:t>
            </w:r>
            <w:r w:rsidRPr="001E2088">
              <w:rPr>
                <w:color w:val="231F20"/>
                <w:sz w:val="16"/>
                <w:szCs w:val="16"/>
              </w:rPr>
              <w:t>flow</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1"/>
              </w:numPr>
              <w:tabs>
                <w:tab w:val="left" w:pos="305"/>
              </w:tabs>
              <w:spacing w:before="63"/>
              <w:rPr>
                <w:sz w:val="16"/>
                <w:szCs w:val="16"/>
              </w:rPr>
            </w:pPr>
            <w:r w:rsidRPr="001E2088">
              <w:rPr>
                <w:color w:val="231F20"/>
                <w:sz w:val="16"/>
                <w:szCs w:val="16"/>
              </w:rPr>
              <w:t>N/A</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10"/>
              </w:numPr>
              <w:tabs>
                <w:tab w:val="left" w:pos="305"/>
              </w:tabs>
              <w:spacing w:before="63"/>
              <w:rPr>
                <w:sz w:val="16"/>
                <w:szCs w:val="16"/>
              </w:rPr>
            </w:pPr>
            <w:r w:rsidRPr="001E2088">
              <w:rPr>
                <w:color w:val="231F20"/>
                <w:sz w:val="16"/>
                <w:szCs w:val="16"/>
              </w:rPr>
              <w:t>N/A</w:t>
            </w:r>
          </w:p>
        </w:tc>
      </w:tr>
      <w:tr w:rsidR="006A7A3F" w:rsidTr="00994C74">
        <w:trPr>
          <w:trHeight w:val="7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53"/>
              <w:rPr>
                <w:sz w:val="16"/>
              </w:rPr>
            </w:pPr>
            <w:r>
              <w:rPr>
                <w:color w:val="231F20"/>
                <w:sz w:val="16"/>
              </w:rPr>
              <w:t>Potential environmental watering – tier 2 (additional priorities)</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09"/>
              </w:numPr>
              <w:tabs>
                <w:tab w:val="left" w:pos="305"/>
              </w:tabs>
              <w:spacing w:before="63"/>
              <w:rPr>
                <w:sz w:val="16"/>
                <w:szCs w:val="16"/>
              </w:rPr>
            </w:pPr>
            <w:r w:rsidRPr="001E2088">
              <w:rPr>
                <w:color w:val="231F20"/>
                <w:sz w:val="16"/>
                <w:szCs w:val="16"/>
              </w:rPr>
              <w:t>One winter/spring</w:t>
            </w:r>
            <w:r w:rsidRPr="001E2088">
              <w:rPr>
                <w:color w:val="231F20"/>
                <w:spacing w:val="-2"/>
                <w:sz w:val="16"/>
                <w:szCs w:val="16"/>
              </w:rPr>
              <w:t xml:space="preserve"> </w:t>
            </w:r>
            <w:r w:rsidRPr="001E2088">
              <w:rPr>
                <w:color w:val="231F20"/>
                <w:sz w:val="16"/>
                <w:szCs w:val="16"/>
              </w:rPr>
              <w:t>fresh</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08"/>
              </w:numPr>
              <w:tabs>
                <w:tab w:val="left" w:pos="305"/>
              </w:tabs>
              <w:spacing w:before="63" w:line="254" w:lineRule="auto"/>
              <w:ind w:right="353"/>
              <w:rPr>
                <w:sz w:val="16"/>
                <w:szCs w:val="16"/>
              </w:rPr>
            </w:pPr>
            <w:r w:rsidRPr="001E2088">
              <w:rPr>
                <w:color w:val="231F20"/>
                <w:sz w:val="16"/>
                <w:szCs w:val="16"/>
              </w:rPr>
              <w:t>Additional winter/ spring fresh</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07"/>
              </w:numPr>
              <w:tabs>
                <w:tab w:val="left" w:pos="305"/>
              </w:tabs>
              <w:spacing w:before="63"/>
              <w:rPr>
                <w:sz w:val="16"/>
                <w:szCs w:val="16"/>
              </w:rPr>
            </w:pPr>
            <w:r w:rsidRPr="001E2088">
              <w:rPr>
                <w:color w:val="231F20"/>
                <w:sz w:val="16"/>
                <w:szCs w:val="16"/>
              </w:rPr>
              <w:t>N/A</w:t>
            </w:r>
          </w:p>
        </w:tc>
      </w:tr>
      <w:tr w:rsidR="006A7A3F" w:rsidTr="00994C74">
        <w:trPr>
          <w:trHeight w:val="95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1</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06"/>
              </w:numPr>
              <w:tabs>
                <w:tab w:val="left" w:pos="305"/>
              </w:tabs>
              <w:spacing w:before="63"/>
              <w:rPr>
                <w:sz w:val="16"/>
                <w:szCs w:val="16"/>
              </w:rPr>
            </w:pPr>
            <w:r w:rsidRPr="001E2088">
              <w:rPr>
                <w:color w:val="231F20"/>
                <w:sz w:val="16"/>
                <w:szCs w:val="16"/>
              </w:rPr>
              <w:t>9,700 ML (tier</w:t>
            </w:r>
            <w:r w:rsidRPr="001E2088">
              <w:rPr>
                <w:color w:val="231F20"/>
                <w:spacing w:val="-15"/>
                <w:sz w:val="16"/>
                <w:szCs w:val="16"/>
              </w:rPr>
              <w:t xml:space="preserve"> </w:t>
            </w:r>
            <w:r w:rsidRPr="001E2088">
              <w:rPr>
                <w:color w:val="231F20"/>
                <w:sz w:val="16"/>
                <w:szCs w:val="16"/>
              </w:rPr>
              <w:t>1a)</w:t>
            </w:r>
          </w:p>
          <w:p w:rsidR="006A7A3F" w:rsidRPr="001E2088" w:rsidRDefault="00BC7372">
            <w:pPr>
              <w:pStyle w:val="TableParagraph"/>
              <w:numPr>
                <w:ilvl w:val="0"/>
                <w:numId w:val="106"/>
              </w:numPr>
              <w:tabs>
                <w:tab w:val="left" w:pos="305"/>
              </w:tabs>
              <w:spacing w:before="98"/>
              <w:rPr>
                <w:sz w:val="16"/>
                <w:szCs w:val="16"/>
              </w:rPr>
            </w:pPr>
            <w:r w:rsidRPr="001E2088">
              <w:rPr>
                <w:color w:val="231F20"/>
                <w:sz w:val="16"/>
                <w:szCs w:val="16"/>
              </w:rPr>
              <w:t>3,200 ML (tier</w:t>
            </w:r>
            <w:r w:rsidRPr="001E2088">
              <w:rPr>
                <w:color w:val="231F20"/>
                <w:spacing w:val="-15"/>
                <w:sz w:val="16"/>
                <w:szCs w:val="16"/>
              </w:rPr>
              <w:t xml:space="preserve"> </w:t>
            </w:r>
            <w:r w:rsidRPr="001E2088">
              <w:rPr>
                <w:color w:val="231F20"/>
                <w:sz w:val="16"/>
                <w:szCs w:val="16"/>
              </w:rPr>
              <w:t>1b)</w:t>
            </w:r>
          </w:p>
          <w:p w:rsidR="006A7A3F" w:rsidRPr="001E2088" w:rsidRDefault="00BC7372">
            <w:pPr>
              <w:pStyle w:val="TableParagraph"/>
              <w:numPr>
                <w:ilvl w:val="0"/>
                <w:numId w:val="106"/>
              </w:numPr>
              <w:tabs>
                <w:tab w:val="left" w:pos="305"/>
              </w:tabs>
              <w:spacing w:before="98"/>
              <w:rPr>
                <w:sz w:val="16"/>
                <w:szCs w:val="16"/>
              </w:rPr>
            </w:pPr>
            <w:r w:rsidRPr="001E2088">
              <w:rPr>
                <w:color w:val="231F20"/>
                <w:sz w:val="16"/>
                <w:szCs w:val="16"/>
              </w:rPr>
              <w:t>4,100 ML (tier</w:t>
            </w:r>
            <w:r w:rsidRPr="001E2088">
              <w:rPr>
                <w:color w:val="231F20"/>
                <w:spacing w:val="-9"/>
                <w:sz w:val="16"/>
                <w:szCs w:val="16"/>
              </w:rPr>
              <w:t xml:space="preserve"> </w:t>
            </w:r>
            <w:r w:rsidRPr="001E2088">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05"/>
              </w:numPr>
              <w:tabs>
                <w:tab w:val="left" w:pos="305"/>
              </w:tabs>
              <w:spacing w:before="63"/>
              <w:rPr>
                <w:sz w:val="16"/>
                <w:szCs w:val="16"/>
              </w:rPr>
            </w:pPr>
            <w:r w:rsidRPr="001E2088">
              <w:rPr>
                <w:color w:val="231F20"/>
                <w:sz w:val="16"/>
                <w:szCs w:val="16"/>
              </w:rPr>
              <w:t>18,200 ML (tier</w:t>
            </w:r>
            <w:r w:rsidRPr="001E2088">
              <w:rPr>
                <w:color w:val="231F20"/>
                <w:spacing w:val="-12"/>
                <w:sz w:val="16"/>
                <w:szCs w:val="16"/>
              </w:rPr>
              <w:t xml:space="preserve"> </w:t>
            </w:r>
            <w:r w:rsidRPr="001E2088">
              <w:rPr>
                <w:color w:val="231F20"/>
                <w:sz w:val="16"/>
                <w:szCs w:val="16"/>
              </w:rPr>
              <w:t>1a)</w:t>
            </w:r>
          </w:p>
          <w:p w:rsidR="006A7A3F" w:rsidRPr="001E2088" w:rsidRDefault="00BC7372">
            <w:pPr>
              <w:pStyle w:val="TableParagraph"/>
              <w:numPr>
                <w:ilvl w:val="0"/>
                <w:numId w:val="105"/>
              </w:numPr>
              <w:tabs>
                <w:tab w:val="left" w:pos="305"/>
              </w:tabs>
              <w:spacing w:before="98"/>
              <w:rPr>
                <w:sz w:val="16"/>
                <w:szCs w:val="16"/>
              </w:rPr>
            </w:pPr>
            <w:r w:rsidRPr="001E2088">
              <w:rPr>
                <w:color w:val="231F20"/>
                <w:sz w:val="16"/>
                <w:szCs w:val="16"/>
              </w:rPr>
              <w:t>4,100 ML (tier</w:t>
            </w:r>
            <w:r w:rsidRPr="001E2088">
              <w:rPr>
                <w:color w:val="231F20"/>
                <w:spacing w:val="-10"/>
                <w:sz w:val="16"/>
                <w:szCs w:val="16"/>
              </w:rPr>
              <w:t xml:space="preserve"> </w:t>
            </w:r>
            <w:r w:rsidRPr="001E2088">
              <w:rPr>
                <w:color w:val="231F20"/>
                <w:sz w:val="16"/>
                <w:szCs w:val="16"/>
              </w:rPr>
              <w:t>2)</w:t>
            </w:r>
          </w:p>
        </w:tc>
        <w:tc>
          <w:tcPr>
            <w:tcW w:w="2041" w:type="dxa"/>
            <w:tcBorders>
              <w:top w:val="single" w:sz="4" w:space="0" w:color="231F20"/>
              <w:left w:val="single" w:sz="4" w:space="0" w:color="231F20"/>
              <w:bottom w:val="single" w:sz="4" w:space="0" w:color="231F20"/>
              <w:right w:val="single" w:sz="4" w:space="0" w:color="231F20"/>
            </w:tcBorders>
          </w:tcPr>
          <w:p w:rsidR="006A7A3F" w:rsidRPr="001E2088" w:rsidRDefault="00BC7372">
            <w:pPr>
              <w:pStyle w:val="TableParagraph"/>
              <w:numPr>
                <w:ilvl w:val="0"/>
                <w:numId w:val="104"/>
              </w:numPr>
              <w:tabs>
                <w:tab w:val="left" w:pos="305"/>
              </w:tabs>
              <w:spacing w:before="63"/>
              <w:rPr>
                <w:sz w:val="16"/>
                <w:szCs w:val="16"/>
              </w:rPr>
            </w:pPr>
            <w:r w:rsidRPr="001E2088">
              <w:rPr>
                <w:color w:val="231F20"/>
                <w:sz w:val="16"/>
                <w:szCs w:val="16"/>
              </w:rPr>
              <w:t>27,700 ML (tier</w:t>
            </w:r>
            <w:r w:rsidRPr="001E2088">
              <w:rPr>
                <w:color w:val="231F20"/>
                <w:spacing w:val="-12"/>
                <w:sz w:val="16"/>
                <w:szCs w:val="16"/>
              </w:rPr>
              <w:t xml:space="preserve"> </w:t>
            </w:r>
            <w:r w:rsidRPr="001E2088">
              <w:rPr>
                <w:color w:val="231F20"/>
                <w:sz w:val="16"/>
                <w:szCs w:val="16"/>
              </w:rPr>
              <w:t>1a)</w:t>
            </w:r>
          </w:p>
        </w:tc>
      </w:tr>
    </w:tbl>
    <w:p w:rsidR="006A7A3F" w:rsidRDefault="00BC7372">
      <w:pPr>
        <w:spacing w:before="129"/>
        <w:ind w:left="210"/>
        <w:rPr>
          <w:sz w:val="14"/>
        </w:rPr>
      </w:pPr>
      <w:r>
        <w:rPr>
          <w:color w:val="231F20"/>
          <w:sz w:val="14"/>
        </w:rPr>
        <w:t>1 Environmental water requirements for tier 2 actions are additional to tier 1 requirements.</w:t>
      </w:r>
    </w:p>
    <w:p w:rsidR="00994C74" w:rsidRDefault="00994C74">
      <w:pPr>
        <w:rPr>
          <w:sz w:val="13"/>
          <w:szCs w:val="20"/>
        </w:rPr>
      </w:pPr>
      <w:r>
        <w:rPr>
          <w:sz w:val="13"/>
        </w:rPr>
        <w:br w:type="page"/>
      </w:r>
    </w:p>
    <w:p w:rsidR="006A7A3F" w:rsidRPr="00994C74" w:rsidRDefault="00BC7372">
      <w:pPr>
        <w:pStyle w:val="ListParagraph"/>
        <w:numPr>
          <w:ilvl w:val="2"/>
          <w:numId w:val="577"/>
        </w:numPr>
        <w:tabs>
          <w:tab w:val="left" w:pos="811"/>
        </w:tabs>
        <w:spacing w:before="1"/>
        <w:rPr>
          <w:b/>
          <w:bCs/>
          <w:color w:val="231F20"/>
          <w:sz w:val="24"/>
        </w:rPr>
      </w:pPr>
      <w:r w:rsidRPr="00994C74">
        <w:rPr>
          <w:b/>
          <w:bCs/>
          <w:color w:val="231F20"/>
          <w:sz w:val="24"/>
        </w:rPr>
        <w:t>Coliban River</w:t>
      </w:r>
    </w:p>
    <w:p w:rsidR="006A7A3F" w:rsidRDefault="00BC7372">
      <w:pPr>
        <w:spacing w:before="178"/>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457"/>
      </w:pPr>
      <w:r>
        <w:rPr>
          <w:color w:val="231F20"/>
        </w:rPr>
        <w:t>The Coliban River is the major tributary of the Campaspe River, and it flows into Lake Eppalock. It is highly regulated with three storages harvesting water primarily for urban use.</w:t>
      </w:r>
    </w:p>
    <w:p w:rsidR="006A7A3F" w:rsidRDefault="006A7A3F">
      <w:pPr>
        <w:pStyle w:val="BodyText"/>
        <w:spacing w:before="9"/>
        <w:ind w:left="0"/>
        <w:rPr>
          <w:sz w:val="21"/>
        </w:rPr>
      </w:pPr>
    </w:p>
    <w:p w:rsidR="006A7A3F" w:rsidRDefault="00BC7372">
      <w:pPr>
        <w:pStyle w:val="BodyText"/>
        <w:spacing w:before="0" w:line="249" w:lineRule="auto"/>
        <w:ind w:right="430"/>
      </w:pPr>
      <w:r>
        <w:rPr>
          <w:color w:val="231F20"/>
        </w:rPr>
        <w:t>Flow in the Coliban River below Malmsbury Reservoir is regulated by the operation of the Malmsbury, Lauriston and Upper Coliban storages. An important distinction between the Coliban River and other regulated Victorian systems is the lack of irrigation demand. Therefore, flow in the river is influenced by the passing flow entitlement, which depends on catchment inflows and major flood events in the catchment.</w:t>
      </w:r>
    </w:p>
    <w:p w:rsidR="006A7A3F" w:rsidRDefault="00BC7372">
      <w:pPr>
        <w:pStyle w:val="BodyText"/>
        <w:spacing w:before="173" w:line="249" w:lineRule="auto"/>
        <w:ind w:right="434"/>
      </w:pPr>
      <w:r>
        <w:rPr>
          <w:color w:val="231F20"/>
        </w:rPr>
        <w:t>Reach 1 of the Coliban River below Malmsbury Reservoir to Lake Eppalock can benefit from environmental watering. The VEWH does not have any environmental entitlements in the Coliban system, but passing flows can be managed — for example, they can be accumulated and released when most needed — to help mitigate some risks associated with critically low summer/autumn flow including low oxygen levels. A small volume of Commonwealth environmental water is held in the system, but the high cost of delivery means there is no plan to use it in</w:t>
      </w:r>
      <w:r>
        <w:rPr>
          <w:color w:val="231F20"/>
          <w:spacing w:val="-4"/>
        </w:rPr>
        <w:t xml:space="preserve"> </w:t>
      </w:r>
      <w:r>
        <w:rPr>
          <w:color w:val="231F20"/>
        </w:rPr>
        <w:t>2020–21.</w:t>
      </w:r>
    </w:p>
    <w:p w:rsidR="006A7A3F" w:rsidRDefault="00BC7372">
      <w:pPr>
        <w:spacing w:before="184"/>
        <w:ind w:left="210"/>
        <w:rPr>
          <w:rFonts w:ascii="Helvetica Neue LT Std 75"/>
          <w:b/>
          <w:sz w:val="19"/>
        </w:rPr>
      </w:pPr>
      <w:r>
        <w:rPr>
          <w:rFonts w:ascii="Helvetica Neue LT Std 75"/>
          <w:b/>
          <w:color w:val="231F20"/>
          <w:sz w:val="19"/>
        </w:rPr>
        <w:t>Environmental values</w:t>
      </w:r>
    </w:p>
    <w:p w:rsidR="006A7A3F" w:rsidRDefault="00BC7372" w:rsidP="0087445D">
      <w:pPr>
        <w:pStyle w:val="BodyText"/>
        <w:spacing w:before="68" w:line="249" w:lineRule="auto"/>
        <w:ind w:right="604"/>
        <w:jc w:val="both"/>
      </w:pPr>
      <w:r>
        <w:rPr>
          <w:color w:val="231F20"/>
        </w:rPr>
        <w:t>The Coliban River provides important habitat for platypus, rakali (water rats) and small-bodied native fish (such as flat-headed gudgeon and mountain galaxias). The Coliban River also contains a diverse range of waterbugs</w:t>
      </w:r>
      <w:r w:rsidR="0087445D">
        <w:rPr>
          <w:color w:val="231F20"/>
        </w:rPr>
        <w:t xml:space="preserve"> </w:t>
      </w:r>
      <w:r>
        <w:rPr>
          <w:color w:val="231F20"/>
        </w:rPr>
        <w:t>supported by stands of emergent and submergent aquatic vegetation. It is bordered by remnant patches of stream bank shrubland vegetation and woodland containing river red gum, callistemon, woolly tea-tree and inland wirilda, which provide habitat for terrestrial animals.</w:t>
      </w:r>
    </w:p>
    <w:p w:rsidR="006A7A3F" w:rsidRDefault="00BC7372" w:rsidP="00994C74">
      <w:pPr>
        <w:spacing w:before="181" w:after="120"/>
        <w:ind w:left="210"/>
        <w:rPr>
          <w:rFonts w:ascii="Helvetica Neue LT Std 75"/>
          <w:b/>
          <w:sz w:val="19"/>
        </w:rPr>
      </w:pPr>
      <w:r>
        <w:rPr>
          <w:rFonts w:ascii="Helvetica Neue LT Std 75"/>
          <w:b/>
          <w:color w:val="231F20"/>
          <w:sz w:val="19"/>
        </w:rPr>
        <w:t>Environmental watering objectives in the Coliban River</w:t>
      </w: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9"/>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349"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spacing w:before="6"/>
              <w:ind w:left="0"/>
              <w:rPr>
                <w:rFonts w:ascii="Helvetica Neue LT Std 75"/>
                <w:b/>
                <w:sz w:val="15"/>
              </w:rPr>
            </w:pPr>
          </w:p>
          <w:p w:rsidR="006A7A3F" w:rsidRDefault="00BC7372">
            <w:pPr>
              <w:pStyle w:val="TableParagraph"/>
              <w:spacing w:before="1" w:line="261" w:lineRule="auto"/>
              <w:ind w:left="118" w:right="412"/>
              <w:rPr>
                <w:sz w:val="16"/>
              </w:rPr>
            </w:pPr>
            <w:r>
              <w:rPr>
                <w:color w:val="231F20"/>
                <w:sz w:val="16"/>
              </w:rPr>
              <w:t>Increase the abundance and diversity of small- bodied native fish</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13"/>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351"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10"/>
              <w:ind w:left="0"/>
              <w:rPr>
                <w:rFonts w:ascii="Helvetica Neue LT Std 75"/>
                <w:b/>
                <w:sz w:val="14"/>
              </w:rPr>
            </w:pPr>
          </w:p>
          <w:p w:rsidR="006A7A3F" w:rsidRDefault="00BC7372">
            <w:pPr>
              <w:pStyle w:val="TableParagraph"/>
              <w:spacing w:line="261" w:lineRule="auto"/>
              <w:ind w:left="118" w:right="118"/>
              <w:rPr>
                <w:sz w:val="16"/>
              </w:rPr>
            </w:pPr>
            <w:r>
              <w:rPr>
                <w:color w:val="231F20"/>
                <w:sz w:val="16"/>
              </w:rPr>
              <w:t>Increase platypus communities by providing opportunities for successful breeding and dispersal</w:t>
            </w:r>
          </w:p>
        </w:tc>
      </w:tr>
      <w:tr w:rsidR="006A7A3F">
        <w:trPr>
          <w:trHeight w:val="1663"/>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8"/>
              <w:ind w:left="0"/>
              <w:rPr>
                <w:rFonts w:ascii="Helvetica Neue LT Std 75"/>
                <w:b/>
                <w:sz w:val="2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353"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image21.jpeg"/>
                          <pic:cNvPicPr/>
                        </pic:nvPicPr>
                        <pic:blipFill>
                          <a:blip r:embed="rId33"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ind w:left="118"/>
              <w:rPr>
                <w:sz w:val="16"/>
              </w:rPr>
            </w:pPr>
            <w:r>
              <w:rPr>
                <w:color w:val="231F20"/>
                <w:sz w:val="16"/>
              </w:rPr>
              <w:t>Increase the cover and diversity of aquatic plants</w:t>
            </w:r>
          </w:p>
          <w:p w:rsidR="006A7A3F" w:rsidRDefault="00BC7372">
            <w:pPr>
              <w:pStyle w:val="TableParagraph"/>
              <w:spacing w:before="129" w:line="261" w:lineRule="auto"/>
              <w:ind w:left="118" w:right="359"/>
              <w:rPr>
                <w:sz w:val="16"/>
              </w:rPr>
            </w:pPr>
            <w:r>
              <w:rPr>
                <w:color w:val="231F20"/>
                <w:sz w:val="16"/>
              </w:rPr>
              <w:t>Increase the cover and diversity of fringing vegetation, while limiting encroachment into the middle of the channel</w:t>
            </w:r>
          </w:p>
          <w:p w:rsidR="006A7A3F" w:rsidRDefault="00BC7372">
            <w:pPr>
              <w:pStyle w:val="TableParagraph"/>
              <w:spacing w:before="112" w:line="261" w:lineRule="auto"/>
              <w:ind w:left="118" w:right="296"/>
              <w:rPr>
                <w:sz w:val="16"/>
              </w:rPr>
            </w:pPr>
            <w:r>
              <w:rPr>
                <w:color w:val="231F20"/>
                <w:sz w:val="16"/>
              </w:rPr>
              <w:t>Maintain adult streamside woody vegetation and facilitate recruitment</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12"/>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355"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image22.jpeg"/>
                          <pic:cNvPicPr/>
                        </pic:nvPicPr>
                        <pic:blipFill>
                          <a:blip r:embed="rId34"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109"/>
              <w:rPr>
                <w:sz w:val="16"/>
              </w:rPr>
            </w:pPr>
            <w:r>
              <w:rPr>
                <w:color w:val="231F20"/>
                <w:sz w:val="16"/>
              </w:rPr>
              <w:t>Maintain an adequate diversity and biomass of waterbugs, to break down dead organic matter and support the river’s food chain</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3"/>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1" cy="310896"/>
                  <wp:effectExtent l="0" t="0" r="0" b="0"/>
                  <wp:docPr id="235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image23.png"/>
                          <pic:cNvPicPr/>
                        </pic:nvPicPr>
                        <pic:blipFill>
                          <a:blip r:embed="rId35" cstate="print"/>
                          <a:stretch>
                            <a:fillRect/>
                          </a:stretch>
                        </pic:blipFill>
                        <pic:spPr>
                          <a:xfrm>
                            <a:off x="0" y="0"/>
                            <a:ext cx="314171"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10"/>
              <w:ind w:left="0"/>
              <w:rPr>
                <w:rFonts w:ascii="Helvetica Neue LT Std 75"/>
                <w:b/>
                <w:sz w:val="14"/>
              </w:rPr>
            </w:pPr>
          </w:p>
          <w:p w:rsidR="006A7A3F" w:rsidRDefault="00BC7372">
            <w:pPr>
              <w:pStyle w:val="TableParagraph"/>
              <w:spacing w:line="261" w:lineRule="auto"/>
              <w:ind w:left="118" w:right="47"/>
              <w:rPr>
                <w:sz w:val="16"/>
              </w:rPr>
            </w:pPr>
            <w:r>
              <w:rPr>
                <w:color w:val="231F20"/>
                <w:sz w:val="16"/>
              </w:rPr>
              <w:t>Improve water quality and maintain healthy levels of oxygen in pools</w:t>
            </w:r>
          </w:p>
        </w:tc>
      </w:tr>
    </w:tbl>
    <w:p w:rsidR="006A7A3F" w:rsidRDefault="006A7A3F">
      <w:pPr>
        <w:pStyle w:val="BodyText"/>
        <w:spacing w:before="12"/>
        <w:ind w:left="0"/>
        <w:rPr>
          <w:rFonts w:ascii="Helvetica Neue LT Std 75"/>
          <w:b/>
          <w:sz w:val="5"/>
        </w:rPr>
      </w:pPr>
    </w:p>
    <w:p w:rsidR="00994C74" w:rsidRDefault="00994C74">
      <w:pPr>
        <w:rPr>
          <w:rFonts w:ascii="Helvetica Neue LT Std 75"/>
          <w:b/>
          <w:color w:val="231F20"/>
          <w:sz w:val="19"/>
        </w:rPr>
      </w:pPr>
      <w:r>
        <w:rPr>
          <w:rFonts w:ascii="Helvetica Neue LT Std 75"/>
          <w:b/>
          <w:color w:val="231F20"/>
          <w:sz w:val="19"/>
        </w:rPr>
        <w:br w:type="page"/>
      </w:r>
    </w:p>
    <w:p w:rsidR="006A7A3F" w:rsidRDefault="00BC7372">
      <w:pPr>
        <w:spacing w:before="6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100"/>
      </w:pPr>
      <w:r>
        <w:rPr>
          <w:color w:val="231F20"/>
        </w:rPr>
        <w:t>In planning for environmental flows in the Coliban River, Dja Dja Wurrung Clans Aboriginal Corporation and North Central CMA have considered how environmental water management assists with preservation of historical and contemporary cultural values including promoting a sense of place and spiritual connection.</w:t>
      </w:r>
    </w:p>
    <w:p w:rsidR="006A7A3F" w:rsidRDefault="00BC7372">
      <w:pPr>
        <w:pStyle w:val="BodyText"/>
        <w:spacing w:line="249" w:lineRule="auto"/>
        <w:ind w:right="297"/>
      </w:pPr>
      <w:r>
        <w:rPr>
          <w:color w:val="231F20"/>
        </w:rPr>
        <w:t>The Dja Dja Wurrung Country Plan describes their aspirations around the management of rivers and waterways and articulates Dja Dja Wurrung peoples’ support for the reinstatement of environmental flows as an overall objective for the management of water on Country. The North Central CMA and Dja Dja Wurrung Clans Aboriginal Corporation continue to work towards increased engagement on planning and delivery of environmental watering activities, including identifying opportunities for Dja Dja Wurrung involvement.</w:t>
      </w:r>
    </w:p>
    <w:p w:rsidR="006A7A3F" w:rsidRDefault="00BC7372">
      <w:pPr>
        <w:spacing w:before="184"/>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7" w:line="249" w:lineRule="auto"/>
        <w:ind w:right="100"/>
      </w:pPr>
      <w:r>
        <w:rPr>
          <w:color w:val="231F20"/>
        </w:rPr>
        <w:t>In planning the potential watering actions in Table 5.6.3, North Central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and</w:t>
      </w:r>
      <w:r>
        <w:rPr>
          <w:color w:val="231F20"/>
          <w:spacing w:val="-4"/>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birdwatching, camping, cycling and</w:t>
      </w:r>
      <w:r>
        <w:rPr>
          <w:color w:val="231F20"/>
          <w:spacing w:val="-11"/>
          <w:sz w:val="20"/>
        </w:rPr>
        <w:t xml:space="preserve"> </w:t>
      </w:r>
      <w:r>
        <w:rPr>
          <w:color w:val="231F20"/>
          <w:sz w:val="20"/>
        </w:rPr>
        <w:t>walking)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w:t>
      </w:r>
      <w:r>
        <w:rPr>
          <w:color w:val="231F20"/>
          <w:spacing w:val="-4"/>
          <w:sz w:val="20"/>
        </w:rPr>
        <w:t xml:space="preserve"> </w:t>
      </w:r>
      <w:r>
        <w:rPr>
          <w:color w:val="231F20"/>
          <w:sz w:val="20"/>
        </w:rPr>
        <w:t>visitation)</w:t>
      </w:r>
    </w:p>
    <w:p w:rsidR="006A7A3F" w:rsidRDefault="00BC7372" w:rsidP="009B6917">
      <w:pPr>
        <w:pStyle w:val="ListParagraph"/>
        <w:numPr>
          <w:ilvl w:val="0"/>
          <w:numId w:val="1419"/>
        </w:numPr>
        <w:tabs>
          <w:tab w:val="left" w:pos="493"/>
          <w:tab w:val="left" w:pos="494"/>
        </w:tabs>
        <w:spacing w:line="249" w:lineRule="auto"/>
        <w:ind w:right="563"/>
        <w:rPr>
          <w:sz w:val="20"/>
        </w:rPr>
      </w:pPr>
      <w:r>
        <w:rPr>
          <w:color w:val="231F20"/>
          <w:sz w:val="20"/>
        </w:rPr>
        <w:t>socio-economic benefits (such as diverters for irrigation, domestic and stock uses, community wellbeing and benefits to the local economy from</w:t>
      </w:r>
      <w:r>
        <w:rPr>
          <w:color w:val="231F20"/>
          <w:spacing w:val="-4"/>
          <w:sz w:val="20"/>
        </w:rPr>
        <w:t xml:space="preserve"> </w:t>
      </w:r>
      <w:r>
        <w:rPr>
          <w:color w:val="231F20"/>
          <w:sz w:val="20"/>
        </w:rPr>
        <w:t>visitors).</w:t>
      </w:r>
    </w:p>
    <w:p w:rsidR="006A7A3F" w:rsidRDefault="00BC7372">
      <w:pPr>
        <w:spacing w:before="181"/>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292"/>
        <w:jc w:val="both"/>
      </w:pPr>
      <w:r>
        <w:rPr>
          <w:color w:val="231F20"/>
        </w:rPr>
        <w:t xml:space="preserve">Rainfall in the Coliban River catchment was below the long-term average for every month during 2019–20, except in November and January. Daily maximum temperatures were generally above average, and December 2019 was exceptionally hot. Carryover from the previous </w:t>
      </w:r>
      <w:r>
        <w:rPr>
          <w:color w:val="231F20"/>
          <w:spacing w:val="-3"/>
        </w:rPr>
        <w:t xml:space="preserve">year, </w:t>
      </w:r>
      <w:r>
        <w:rPr>
          <w:color w:val="231F20"/>
        </w:rPr>
        <w:t>along with some unregulated inflows in the Coliban River from July to September 2019, facilitated the accumulation of passing flows.</w:t>
      </w:r>
    </w:p>
    <w:p w:rsidR="006A7A3F" w:rsidRDefault="00BC7372">
      <w:pPr>
        <w:pStyle w:val="BodyText"/>
        <w:spacing w:before="173" w:line="249" w:lineRule="auto"/>
        <w:ind w:right="251"/>
      </w:pPr>
      <w:r>
        <w:rPr>
          <w:color w:val="231F20"/>
        </w:rPr>
        <w:t>The flow varied along the length of the Coliban River throughout 2019–20. The Coliban River began contracting above Lake Eppalock towards Malmsbury Reservoir from October 2019 onwards, as the flow dried up along the river. Inflows from unregulated tributaries delivered several natural freshes to the whole system between July and September 2019. Passing flows that were accumulated in winter/spring were used to maintain low flow between Malmsbury Reservoir and Lake Eppalock throughout summer/autumn. Accumulated passing flows were also used to deliver a fresh to improve water quality for aquatic biota in this section of the river in March 2020.</w:t>
      </w:r>
    </w:p>
    <w:p w:rsidR="006A7A3F" w:rsidRDefault="00BC7372">
      <w:pPr>
        <w:pStyle w:val="BodyText"/>
        <w:spacing w:before="175" w:line="249" w:lineRule="auto"/>
        <w:ind w:right="553"/>
      </w:pPr>
      <w:r>
        <w:rPr>
          <w:color w:val="231F20"/>
        </w:rPr>
        <w:t>In 2019–20, the priority pulsed low flow in summer and autumn for maintaining water quality was not required, as there was enough water to maintain a reduced summer/autumn low flow in the upper sections of the river. However, the water available was insufficient to maintain full connectivity of the river to Lake Eppalock, and the lower reaches contracted to a series of pools in summer.</w:t>
      </w:r>
    </w:p>
    <w:p w:rsidR="00994C74" w:rsidRDefault="00994C74">
      <w:pPr>
        <w:rPr>
          <w:rFonts w:ascii="Helvetica Neue LT Std 75"/>
          <w:b/>
          <w:color w:val="231F20"/>
          <w:sz w:val="19"/>
        </w:rPr>
      </w:pPr>
      <w:r>
        <w:rPr>
          <w:rFonts w:ascii="Helvetica Neue LT Std 75"/>
          <w:b/>
          <w:color w:val="231F20"/>
          <w:sz w:val="19"/>
        </w:rPr>
        <w:br w:type="page"/>
      </w:r>
    </w:p>
    <w:p w:rsidR="006A7A3F" w:rsidRDefault="00BC7372">
      <w:pPr>
        <w:spacing w:before="183"/>
        <w:ind w:left="210"/>
        <w:rPr>
          <w:rFonts w:ascii="Helvetica Neue LT Std 75"/>
          <w:b/>
          <w:sz w:val="19"/>
        </w:rPr>
      </w:pPr>
      <w:r>
        <w:rPr>
          <w:rFonts w:ascii="Helvetica Neue LT Std 75"/>
          <w:b/>
          <w:color w:val="231F20"/>
          <w:sz w:val="19"/>
        </w:rPr>
        <w:t>Scope of environmental watering</w:t>
      </w:r>
    </w:p>
    <w:p w:rsidR="006A7A3F" w:rsidRDefault="00BC7372" w:rsidP="00994C74">
      <w:pPr>
        <w:pStyle w:val="BodyText"/>
        <w:spacing w:before="67"/>
      </w:pPr>
      <w:r>
        <w:rPr>
          <w:color w:val="231F20"/>
        </w:rPr>
        <w:t>Table 5.6.3 describes the potential environmental watering actions in 2020–21, their functional watering objectives</w:t>
      </w:r>
      <w:r w:rsidR="00994C74">
        <w:rPr>
          <w:color w:val="231F20"/>
        </w:rPr>
        <w:t xml:space="preserve"> </w:t>
      </w:r>
      <w:r>
        <w:rPr>
          <w:color w:val="231F20"/>
        </w:rPr>
        <w:t>(that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5.6.3 Potential environmental watering actions and objectives for the Coliban River</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80" w:line="254" w:lineRule="auto"/>
              <w:ind w:left="85" w:right="192"/>
              <w:rPr>
                <w:b/>
                <w:sz w:val="18"/>
              </w:rPr>
            </w:pPr>
            <w:r>
              <w:rPr>
                <w:b/>
                <w:color w:val="FFFFFF"/>
                <w:sz w:val="18"/>
              </w:rPr>
              <w:t>Environmental objectives</w:t>
            </w:r>
          </w:p>
        </w:tc>
      </w:tr>
      <w:tr w:rsidR="006A7A3F">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40"/>
              <w:rPr>
                <w:sz w:val="16"/>
              </w:rPr>
            </w:pPr>
            <w:r>
              <w:rPr>
                <w:color w:val="231F20"/>
                <w:sz w:val="16"/>
              </w:rPr>
              <w:t xml:space="preserve">Pulsed summer/autumn low flow (five to 15 ML/day for </w:t>
            </w:r>
            <w:r>
              <w:rPr>
                <w:color w:val="231F20"/>
                <w:spacing w:val="-6"/>
                <w:sz w:val="16"/>
              </w:rPr>
              <w:t xml:space="preserve">one </w:t>
            </w:r>
            <w:r>
              <w:rPr>
                <w:color w:val="231F20"/>
                <w:sz w:val="16"/>
              </w:rPr>
              <w:t>to 14 days during December to May)</w:t>
            </w:r>
          </w:p>
        </w:tc>
        <w:tc>
          <w:tcPr>
            <w:tcW w:w="6236" w:type="dxa"/>
            <w:vMerge w:val="restart"/>
            <w:tcBorders>
              <w:top w:val="nil"/>
              <w:left w:val="single" w:sz="4" w:space="0" w:color="231F20"/>
              <w:bottom w:val="single" w:sz="4" w:space="0" w:color="231F20"/>
              <w:right w:val="single" w:sz="4" w:space="0" w:color="231F20"/>
            </w:tcBorders>
          </w:tcPr>
          <w:p w:rsidR="006A7A3F" w:rsidRDefault="00BC7372">
            <w:pPr>
              <w:pStyle w:val="TableParagraph"/>
              <w:numPr>
                <w:ilvl w:val="0"/>
                <w:numId w:val="103"/>
              </w:numPr>
              <w:tabs>
                <w:tab w:val="left" w:pos="306"/>
              </w:tabs>
              <w:spacing w:before="70"/>
              <w:ind w:hanging="218"/>
              <w:rPr>
                <w:sz w:val="18"/>
              </w:rPr>
            </w:pPr>
            <w:r>
              <w:rPr>
                <w:color w:val="231F20"/>
                <w:sz w:val="18"/>
              </w:rPr>
              <w:t>Maintain water quality including oxygen</w:t>
            </w:r>
            <w:r>
              <w:rPr>
                <w:color w:val="231F20"/>
                <w:spacing w:val="-7"/>
                <w:sz w:val="18"/>
              </w:rPr>
              <w:t xml:space="preserve"> </w:t>
            </w:r>
            <w:r>
              <w:rPr>
                <w:color w:val="231F20"/>
                <w:sz w:val="18"/>
              </w:rPr>
              <w:t>levels</w:t>
            </w:r>
          </w:p>
          <w:p w:rsidR="006A7A3F" w:rsidRDefault="00BC7372">
            <w:pPr>
              <w:pStyle w:val="TableParagraph"/>
              <w:numPr>
                <w:ilvl w:val="0"/>
                <w:numId w:val="103"/>
              </w:numPr>
              <w:tabs>
                <w:tab w:val="left" w:pos="306"/>
              </w:tabs>
              <w:spacing w:before="98"/>
              <w:ind w:hanging="218"/>
              <w:rPr>
                <w:sz w:val="18"/>
              </w:rPr>
            </w:pPr>
            <w:r>
              <w:rPr>
                <w:color w:val="231F20"/>
                <w:sz w:val="18"/>
              </w:rPr>
              <w:t>Maintain refuge habitat for aquatic animals, including fish and</w:t>
            </w:r>
            <w:r>
              <w:rPr>
                <w:color w:val="231F20"/>
                <w:spacing w:val="-26"/>
                <w:sz w:val="18"/>
              </w:rPr>
              <w:t xml:space="preserve"> </w:t>
            </w:r>
            <w:r>
              <w:rPr>
                <w:color w:val="231F20"/>
                <w:sz w:val="18"/>
              </w:rPr>
              <w:t>platypus</w:t>
            </w:r>
          </w:p>
        </w:tc>
        <w:tc>
          <w:tcPr>
            <w:tcW w:w="850" w:type="dxa"/>
            <w:tcBorders>
              <w:top w:val="nil"/>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235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361"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62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6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87"/>
              <w:jc w:val="both"/>
              <w:rPr>
                <w:sz w:val="16"/>
              </w:rPr>
            </w:pPr>
            <w:r>
              <w:rPr>
                <w:color w:val="231F20"/>
                <w:sz w:val="16"/>
              </w:rPr>
              <w:t>Summer/autumn low flow (one to 10 ML/day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102"/>
              </w:numPr>
              <w:tabs>
                <w:tab w:val="left" w:pos="306"/>
              </w:tabs>
              <w:spacing w:before="70" w:line="254" w:lineRule="auto"/>
              <w:ind w:right="107"/>
              <w:rPr>
                <w:sz w:val="18"/>
              </w:rPr>
            </w:pPr>
            <w:r>
              <w:rPr>
                <w:color w:val="231F20"/>
                <w:sz w:val="18"/>
              </w:rPr>
              <w:t>Maintain</w:t>
            </w:r>
            <w:r>
              <w:rPr>
                <w:color w:val="231F20"/>
                <w:spacing w:val="-4"/>
                <w:sz w:val="18"/>
              </w:rPr>
              <w:t xml:space="preserve"> </w:t>
            </w:r>
            <w:r>
              <w:rPr>
                <w:color w:val="231F20"/>
                <w:sz w:val="18"/>
              </w:rPr>
              <w:t>aquatic</w:t>
            </w:r>
            <w:r>
              <w:rPr>
                <w:color w:val="231F20"/>
                <w:spacing w:val="-5"/>
                <w:sz w:val="18"/>
              </w:rPr>
              <w:t xml:space="preserve"> </w:t>
            </w:r>
            <w:r>
              <w:rPr>
                <w:color w:val="231F20"/>
                <w:sz w:val="18"/>
              </w:rPr>
              <w:t>habitat</w:t>
            </w:r>
            <w:r>
              <w:rPr>
                <w:color w:val="231F20"/>
                <w:spacing w:val="-4"/>
                <w:sz w:val="18"/>
              </w:rPr>
              <w:t xml:space="preserve"> </w:t>
            </w:r>
            <w:r>
              <w:rPr>
                <w:color w:val="231F20"/>
                <w:sz w:val="18"/>
              </w:rPr>
              <w:t>that</w:t>
            </w:r>
            <w:r>
              <w:rPr>
                <w:color w:val="231F20"/>
                <w:spacing w:val="-4"/>
                <w:sz w:val="18"/>
              </w:rPr>
              <w:t xml:space="preserve"> </w:t>
            </w:r>
            <w:r>
              <w:rPr>
                <w:color w:val="231F20"/>
                <w:sz w:val="18"/>
              </w:rPr>
              <w:t>support</w:t>
            </w:r>
            <w:r>
              <w:rPr>
                <w:color w:val="231F20"/>
                <w:spacing w:val="-4"/>
                <w:sz w:val="18"/>
              </w:rPr>
              <w:t xml:space="preserve"> </w:t>
            </w:r>
            <w:r>
              <w:rPr>
                <w:color w:val="231F20"/>
                <w:sz w:val="18"/>
              </w:rPr>
              <w:t>waterbugs,</w:t>
            </w:r>
            <w:r>
              <w:rPr>
                <w:color w:val="231F20"/>
                <w:spacing w:val="-4"/>
                <w:sz w:val="18"/>
              </w:rPr>
              <w:t xml:space="preserve"> </w:t>
            </w:r>
            <w:r>
              <w:rPr>
                <w:color w:val="231F20"/>
                <w:sz w:val="18"/>
              </w:rPr>
              <w:t>native</w:t>
            </w:r>
            <w:r>
              <w:rPr>
                <w:color w:val="231F20"/>
                <w:spacing w:val="-5"/>
                <w:sz w:val="18"/>
              </w:rPr>
              <w:t xml:space="preserve"> </w:t>
            </w:r>
            <w:r>
              <w:rPr>
                <w:color w:val="231F20"/>
                <w:sz w:val="18"/>
              </w:rPr>
              <w:t>fish,</w:t>
            </w:r>
            <w:r>
              <w:rPr>
                <w:color w:val="231F20"/>
                <w:spacing w:val="-4"/>
                <w:sz w:val="18"/>
              </w:rPr>
              <w:t xml:space="preserve"> </w:t>
            </w:r>
            <w:r>
              <w:rPr>
                <w:color w:val="231F20"/>
                <w:sz w:val="18"/>
              </w:rPr>
              <w:t>platypus</w:t>
            </w:r>
            <w:r>
              <w:rPr>
                <w:color w:val="231F20"/>
                <w:spacing w:val="-4"/>
                <w:sz w:val="18"/>
              </w:rPr>
              <w:t xml:space="preserve"> </w:t>
            </w:r>
            <w:r>
              <w:rPr>
                <w:color w:val="231F20"/>
                <w:sz w:val="18"/>
              </w:rPr>
              <w:t>and fringing vegetation</w:t>
            </w:r>
          </w:p>
          <w:p w:rsidR="006A7A3F" w:rsidRDefault="00BC7372">
            <w:pPr>
              <w:pStyle w:val="TableParagraph"/>
              <w:numPr>
                <w:ilvl w:val="0"/>
                <w:numId w:val="102"/>
              </w:numPr>
              <w:tabs>
                <w:tab w:val="left" w:pos="306"/>
              </w:tabs>
              <w:spacing w:before="87"/>
              <w:ind w:hanging="218"/>
              <w:rPr>
                <w:sz w:val="18"/>
              </w:rPr>
            </w:pPr>
            <w:r>
              <w:rPr>
                <w:color w:val="231F20"/>
                <w:sz w:val="18"/>
              </w:rPr>
              <w:t>Maintain water quality including oxygen</w:t>
            </w:r>
            <w:r>
              <w:rPr>
                <w:color w:val="231F20"/>
                <w:spacing w:val="-7"/>
                <w:sz w:val="18"/>
              </w:rPr>
              <w:t xml:space="preserve"> </w:t>
            </w:r>
            <w:r>
              <w:rPr>
                <w:color w:val="231F20"/>
                <w:sz w:val="18"/>
              </w:rPr>
              <w:t>levels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6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36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6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237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7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rsidP="0087445D">
            <w:pPr>
              <w:pStyle w:val="TableParagraph"/>
              <w:spacing w:before="74" w:line="261" w:lineRule="auto"/>
              <w:ind w:left="85" w:right="149"/>
              <w:rPr>
                <w:sz w:val="16"/>
              </w:rPr>
            </w:pPr>
            <w:r>
              <w:rPr>
                <w:color w:val="231F20"/>
                <w:sz w:val="16"/>
              </w:rPr>
              <w:t>Summer/autumn freshes (one to two freshes of</w:t>
            </w:r>
            <w:r w:rsidR="0087445D">
              <w:rPr>
                <w:color w:val="231F20"/>
                <w:sz w:val="16"/>
              </w:rPr>
              <w:t xml:space="preserve"> </w:t>
            </w:r>
            <w:r>
              <w:rPr>
                <w:color w:val="231F20"/>
                <w:sz w:val="16"/>
              </w:rPr>
              <w:t>25-160 ML/day for one to three days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Pr="003F0D83" w:rsidRDefault="00BC7372">
            <w:pPr>
              <w:pStyle w:val="TableParagraph"/>
              <w:numPr>
                <w:ilvl w:val="0"/>
                <w:numId w:val="101"/>
              </w:numPr>
              <w:tabs>
                <w:tab w:val="left" w:pos="306"/>
              </w:tabs>
              <w:spacing w:before="70" w:line="254" w:lineRule="auto"/>
              <w:ind w:right="257"/>
              <w:rPr>
                <w:sz w:val="16"/>
                <w:szCs w:val="16"/>
              </w:rPr>
            </w:pPr>
            <w:r w:rsidRPr="003F0D83">
              <w:rPr>
                <w:color w:val="231F20"/>
                <w:sz w:val="16"/>
                <w:szCs w:val="16"/>
              </w:rPr>
              <w:t>Maintain the water depth through rifle-run habitats of five to 20 cm for a 25-50</w:t>
            </w:r>
            <w:r w:rsidRPr="003F0D83">
              <w:rPr>
                <w:color w:val="231F20"/>
                <w:spacing w:val="-5"/>
                <w:sz w:val="16"/>
                <w:szCs w:val="16"/>
              </w:rPr>
              <w:t xml:space="preserve"> </w:t>
            </w:r>
            <w:r w:rsidRPr="003F0D83">
              <w:rPr>
                <w:color w:val="231F20"/>
                <w:sz w:val="16"/>
                <w:szCs w:val="16"/>
              </w:rPr>
              <w:t>ML/day</w:t>
            </w:r>
            <w:r w:rsidRPr="003F0D83">
              <w:rPr>
                <w:color w:val="231F20"/>
                <w:spacing w:val="-3"/>
                <w:sz w:val="16"/>
                <w:szCs w:val="16"/>
              </w:rPr>
              <w:t xml:space="preserve"> </w:t>
            </w:r>
            <w:r w:rsidRPr="003F0D83">
              <w:rPr>
                <w:color w:val="231F20"/>
                <w:sz w:val="16"/>
                <w:szCs w:val="16"/>
              </w:rPr>
              <w:t>event</w:t>
            </w:r>
            <w:r w:rsidRPr="003F0D83">
              <w:rPr>
                <w:color w:val="231F20"/>
                <w:spacing w:val="-4"/>
                <w:sz w:val="16"/>
                <w:szCs w:val="16"/>
              </w:rPr>
              <w:t xml:space="preserve"> </w:t>
            </w:r>
            <w:r w:rsidRPr="003F0D83">
              <w:rPr>
                <w:color w:val="231F20"/>
                <w:sz w:val="16"/>
                <w:szCs w:val="16"/>
              </w:rPr>
              <w:t>to</w:t>
            </w:r>
            <w:r w:rsidRPr="003F0D83">
              <w:rPr>
                <w:color w:val="231F20"/>
                <w:spacing w:val="-3"/>
                <w:sz w:val="16"/>
                <w:szCs w:val="16"/>
              </w:rPr>
              <w:t xml:space="preserve"> </w:t>
            </w:r>
            <w:r w:rsidRPr="003F0D83">
              <w:rPr>
                <w:color w:val="231F20"/>
                <w:sz w:val="16"/>
                <w:szCs w:val="16"/>
              </w:rPr>
              <w:t>maintain</w:t>
            </w:r>
            <w:r w:rsidRPr="003F0D83">
              <w:rPr>
                <w:color w:val="231F20"/>
                <w:spacing w:val="-4"/>
                <w:sz w:val="16"/>
                <w:szCs w:val="16"/>
              </w:rPr>
              <w:t xml:space="preserve"> </w:t>
            </w:r>
            <w:r w:rsidRPr="003F0D83">
              <w:rPr>
                <w:color w:val="231F20"/>
                <w:sz w:val="16"/>
                <w:szCs w:val="16"/>
              </w:rPr>
              <w:t>water</w:t>
            </w:r>
            <w:r w:rsidRPr="003F0D83">
              <w:rPr>
                <w:color w:val="231F20"/>
                <w:spacing w:val="-4"/>
                <w:sz w:val="16"/>
                <w:szCs w:val="16"/>
              </w:rPr>
              <w:t xml:space="preserve"> </w:t>
            </w:r>
            <w:r w:rsidRPr="003F0D83">
              <w:rPr>
                <w:color w:val="231F20"/>
                <w:sz w:val="16"/>
                <w:szCs w:val="16"/>
              </w:rPr>
              <w:t>quality</w:t>
            </w:r>
            <w:r w:rsidRPr="003F0D83">
              <w:rPr>
                <w:color w:val="231F20"/>
                <w:spacing w:val="-4"/>
                <w:sz w:val="16"/>
                <w:szCs w:val="16"/>
              </w:rPr>
              <w:t xml:space="preserve"> </w:t>
            </w:r>
            <w:r w:rsidRPr="003F0D83">
              <w:rPr>
                <w:color w:val="231F20"/>
                <w:sz w:val="16"/>
                <w:szCs w:val="16"/>
              </w:rPr>
              <w:t>and</w:t>
            </w:r>
            <w:r w:rsidRPr="003F0D83">
              <w:rPr>
                <w:color w:val="231F20"/>
                <w:spacing w:val="-4"/>
                <w:sz w:val="16"/>
                <w:szCs w:val="16"/>
              </w:rPr>
              <w:t xml:space="preserve"> </w:t>
            </w:r>
            <w:r w:rsidRPr="003F0D83">
              <w:rPr>
                <w:color w:val="231F20"/>
                <w:sz w:val="16"/>
                <w:szCs w:val="16"/>
              </w:rPr>
              <w:t>habitat</w:t>
            </w:r>
            <w:r w:rsidRPr="003F0D83">
              <w:rPr>
                <w:color w:val="231F20"/>
                <w:spacing w:val="-5"/>
                <w:sz w:val="16"/>
                <w:szCs w:val="16"/>
              </w:rPr>
              <w:t xml:space="preserve"> </w:t>
            </w:r>
            <w:r w:rsidRPr="003F0D83">
              <w:rPr>
                <w:color w:val="231F20"/>
                <w:sz w:val="16"/>
                <w:szCs w:val="16"/>
              </w:rPr>
              <w:t>for</w:t>
            </w:r>
            <w:r w:rsidRPr="003F0D83">
              <w:rPr>
                <w:color w:val="231F20"/>
                <w:spacing w:val="-3"/>
                <w:sz w:val="16"/>
                <w:szCs w:val="16"/>
              </w:rPr>
              <w:t xml:space="preserve"> </w:t>
            </w:r>
            <w:r w:rsidRPr="003F0D83">
              <w:rPr>
                <w:color w:val="231F20"/>
                <w:sz w:val="16"/>
                <w:szCs w:val="16"/>
              </w:rPr>
              <w:t>waterbugs</w:t>
            </w:r>
          </w:p>
          <w:p w:rsidR="006A7A3F" w:rsidRPr="003F0D83" w:rsidRDefault="00BC7372">
            <w:pPr>
              <w:pStyle w:val="TableParagraph"/>
              <w:numPr>
                <w:ilvl w:val="0"/>
                <w:numId w:val="101"/>
              </w:numPr>
              <w:tabs>
                <w:tab w:val="left" w:pos="306"/>
              </w:tabs>
              <w:spacing w:before="87" w:line="254" w:lineRule="auto"/>
              <w:ind w:right="96"/>
              <w:rPr>
                <w:sz w:val="16"/>
                <w:szCs w:val="16"/>
              </w:rPr>
            </w:pPr>
            <w:r w:rsidRPr="003F0D83">
              <w:rPr>
                <w:color w:val="231F20"/>
                <w:sz w:val="16"/>
                <w:szCs w:val="16"/>
              </w:rPr>
              <w:t>Maintain water depth through rifle-run habitats of 45–55 cm for a 160</w:t>
            </w:r>
            <w:r w:rsidRPr="003F0D83">
              <w:rPr>
                <w:color w:val="231F20"/>
                <w:spacing w:val="-28"/>
                <w:sz w:val="16"/>
                <w:szCs w:val="16"/>
              </w:rPr>
              <w:t xml:space="preserve"> </w:t>
            </w:r>
            <w:r w:rsidRPr="003F0D83">
              <w:rPr>
                <w:color w:val="231F20"/>
                <w:sz w:val="16"/>
                <w:szCs w:val="16"/>
              </w:rPr>
              <w:t>ML/ day event</w:t>
            </w:r>
            <w:r w:rsidRPr="003F0D83">
              <w:rPr>
                <w:color w:val="231F20"/>
                <w:spacing w:val="-3"/>
                <w:sz w:val="16"/>
                <w:szCs w:val="16"/>
              </w:rPr>
              <w:t xml:space="preserve"> </w:t>
            </w:r>
            <w:r w:rsidRPr="003F0D83">
              <w:rPr>
                <w:color w:val="231F20"/>
                <w:sz w:val="16"/>
                <w:szCs w:val="16"/>
              </w:rPr>
              <w:t>to:</w:t>
            </w:r>
          </w:p>
          <w:p w:rsidR="006A7A3F" w:rsidRPr="003F0D83" w:rsidRDefault="00BC7372">
            <w:pPr>
              <w:pStyle w:val="TableParagraph"/>
              <w:numPr>
                <w:ilvl w:val="1"/>
                <w:numId w:val="101"/>
              </w:numPr>
              <w:tabs>
                <w:tab w:val="left" w:pos="625"/>
                <w:tab w:val="left" w:pos="626"/>
              </w:tabs>
              <w:spacing w:before="86"/>
              <w:rPr>
                <w:sz w:val="16"/>
                <w:szCs w:val="16"/>
              </w:rPr>
            </w:pPr>
            <w:r w:rsidRPr="003F0D83">
              <w:rPr>
                <w:color w:val="231F20"/>
                <w:sz w:val="16"/>
                <w:szCs w:val="16"/>
              </w:rPr>
              <w:t>increase water depth to facilitate fish and platypus</w:t>
            </w:r>
            <w:r w:rsidRPr="003F0D83">
              <w:rPr>
                <w:color w:val="231F20"/>
                <w:spacing w:val="-14"/>
                <w:sz w:val="16"/>
                <w:szCs w:val="16"/>
              </w:rPr>
              <w:t xml:space="preserve"> </w:t>
            </w:r>
            <w:r w:rsidRPr="003F0D83">
              <w:rPr>
                <w:color w:val="231F20"/>
                <w:sz w:val="16"/>
                <w:szCs w:val="16"/>
              </w:rPr>
              <w:t>movement</w:t>
            </w:r>
          </w:p>
          <w:p w:rsidR="006A7A3F" w:rsidRPr="003F0D83" w:rsidRDefault="00BC7372">
            <w:pPr>
              <w:pStyle w:val="TableParagraph"/>
              <w:numPr>
                <w:ilvl w:val="1"/>
                <w:numId w:val="101"/>
              </w:numPr>
              <w:tabs>
                <w:tab w:val="left" w:pos="625"/>
                <w:tab w:val="left" w:pos="626"/>
              </w:tabs>
              <w:spacing w:before="98"/>
              <w:rPr>
                <w:sz w:val="16"/>
                <w:szCs w:val="16"/>
              </w:rPr>
            </w:pPr>
            <w:r w:rsidRPr="003F0D83">
              <w:rPr>
                <w:color w:val="231F20"/>
                <w:sz w:val="16"/>
                <w:szCs w:val="16"/>
              </w:rPr>
              <w:t>clean sediment and biofilms from river</w:t>
            </w:r>
            <w:r w:rsidRPr="003F0D83">
              <w:rPr>
                <w:color w:val="231F20"/>
                <w:spacing w:val="-4"/>
                <w:sz w:val="16"/>
                <w:szCs w:val="16"/>
              </w:rPr>
              <w:t xml:space="preserve"> </w:t>
            </w:r>
            <w:r w:rsidRPr="003F0D83">
              <w:rPr>
                <w:color w:val="231F20"/>
                <w:sz w:val="16"/>
                <w:szCs w:val="16"/>
              </w:rPr>
              <w:t>substrates</w:t>
            </w:r>
          </w:p>
          <w:p w:rsidR="006A7A3F" w:rsidRDefault="00BC7372">
            <w:pPr>
              <w:pStyle w:val="TableParagraph"/>
              <w:numPr>
                <w:ilvl w:val="1"/>
                <w:numId w:val="101"/>
              </w:numPr>
              <w:tabs>
                <w:tab w:val="left" w:pos="625"/>
                <w:tab w:val="left" w:pos="626"/>
              </w:tabs>
              <w:spacing w:before="98" w:line="254" w:lineRule="auto"/>
              <w:ind w:right="87"/>
              <w:rPr>
                <w:sz w:val="18"/>
              </w:rPr>
            </w:pPr>
            <w:r w:rsidRPr="003F0D83">
              <w:rPr>
                <w:color w:val="231F20"/>
                <w:sz w:val="16"/>
                <w:szCs w:val="16"/>
              </w:rPr>
              <w:t>wet</w:t>
            </w:r>
            <w:r w:rsidRPr="003F0D83">
              <w:rPr>
                <w:color w:val="231F20"/>
                <w:spacing w:val="-4"/>
                <w:sz w:val="16"/>
                <w:szCs w:val="16"/>
              </w:rPr>
              <w:t xml:space="preserve"> </w:t>
            </w:r>
            <w:r w:rsidRPr="003F0D83">
              <w:rPr>
                <w:color w:val="231F20"/>
                <w:sz w:val="16"/>
                <w:szCs w:val="16"/>
              </w:rPr>
              <w:t>benches</w:t>
            </w:r>
            <w:r w:rsidRPr="003F0D83">
              <w:rPr>
                <w:color w:val="231F20"/>
                <w:spacing w:val="-4"/>
                <w:sz w:val="16"/>
                <w:szCs w:val="16"/>
              </w:rPr>
              <w:t xml:space="preserve"> </w:t>
            </w:r>
            <w:r w:rsidRPr="003F0D83">
              <w:rPr>
                <w:color w:val="231F20"/>
                <w:sz w:val="16"/>
                <w:szCs w:val="16"/>
              </w:rPr>
              <w:t>and</w:t>
            </w:r>
            <w:r w:rsidRPr="003F0D83">
              <w:rPr>
                <w:color w:val="231F20"/>
                <w:spacing w:val="-3"/>
                <w:sz w:val="16"/>
                <w:szCs w:val="16"/>
              </w:rPr>
              <w:t xml:space="preserve"> </w:t>
            </w:r>
            <w:r w:rsidRPr="003F0D83">
              <w:rPr>
                <w:color w:val="231F20"/>
                <w:sz w:val="16"/>
                <w:szCs w:val="16"/>
              </w:rPr>
              <w:t>low</w:t>
            </w:r>
            <w:r w:rsidRPr="003F0D83">
              <w:rPr>
                <w:color w:val="231F20"/>
                <w:spacing w:val="-4"/>
                <w:sz w:val="16"/>
                <w:szCs w:val="16"/>
              </w:rPr>
              <w:t xml:space="preserve"> </w:t>
            </w:r>
            <w:r w:rsidRPr="003F0D83">
              <w:rPr>
                <w:color w:val="231F20"/>
                <w:sz w:val="16"/>
                <w:szCs w:val="16"/>
              </w:rPr>
              <w:t>banks</w:t>
            </w:r>
            <w:r w:rsidRPr="003F0D83">
              <w:rPr>
                <w:color w:val="231F20"/>
                <w:spacing w:val="-4"/>
                <w:sz w:val="16"/>
                <w:szCs w:val="16"/>
              </w:rPr>
              <w:t xml:space="preserve"> </w:t>
            </w:r>
            <w:r w:rsidRPr="003F0D83">
              <w:rPr>
                <w:color w:val="231F20"/>
                <w:sz w:val="16"/>
                <w:szCs w:val="16"/>
              </w:rPr>
              <w:t>to</w:t>
            </w:r>
            <w:r w:rsidRPr="003F0D83">
              <w:rPr>
                <w:color w:val="231F20"/>
                <w:spacing w:val="-2"/>
                <w:sz w:val="16"/>
                <w:szCs w:val="16"/>
              </w:rPr>
              <w:t xml:space="preserve"> </w:t>
            </w:r>
            <w:r w:rsidRPr="003F0D83">
              <w:rPr>
                <w:color w:val="231F20"/>
                <w:sz w:val="16"/>
                <w:szCs w:val="16"/>
              </w:rPr>
              <w:t>promote</w:t>
            </w:r>
            <w:r w:rsidRPr="003F0D83">
              <w:rPr>
                <w:color w:val="231F20"/>
                <w:spacing w:val="-4"/>
                <w:sz w:val="16"/>
                <w:szCs w:val="16"/>
              </w:rPr>
              <w:t xml:space="preserve"> </w:t>
            </w:r>
            <w:r w:rsidRPr="003F0D83">
              <w:rPr>
                <w:color w:val="231F20"/>
                <w:sz w:val="16"/>
                <w:szCs w:val="16"/>
              </w:rPr>
              <w:t>the</w:t>
            </w:r>
            <w:r w:rsidRPr="003F0D83">
              <w:rPr>
                <w:color w:val="231F20"/>
                <w:spacing w:val="-2"/>
                <w:sz w:val="16"/>
                <w:szCs w:val="16"/>
              </w:rPr>
              <w:t xml:space="preserve"> </w:t>
            </w:r>
            <w:r w:rsidRPr="003F0D83">
              <w:rPr>
                <w:color w:val="231F20"/>
                <w:sz w:val="16"/>
                <w:szCs w:val="16"/>
              </w:rPr>
              <w:t>growth</w:t>
            </w:r>
            <w:r w:rsidRPr="003F0D83">
              <w:rPr>
                <w:color w:val="231F20"/>
                <w:spacing w:val="-4"/>
                <w:sz w:val="16"/>
                <w:szCs w:val="16"/>
              </w:rPr>
              <w:t xml:space="preserve"> </w:t>
            </w:r>
            <w:r w:rsidRPr="003F0D83">
              <w:rPr>
                <w:color w:val="231F20"/>
                <w:sz w:val="16"/>
                <w:szCs w:val="16"/>
              </w:rPr>
              <w:t>and</w:t>
            </w:r>
            <w:r w:rsidRPr="003F0D83">
              <w:rPr>
                <w:color w:val="231F20"/>
                <w:spacing w:val="-4"/>
                <w:sz w:val="16"/>
                <w:szCs w:val="16"/>
              </w:rPr>
              <w:t xml:space="preserve"> </w:t>
            </w:r>
            <w:r w:rsidRPr="003F0D83">
              <w:rPr>
                <w:color w:val="231F20"/>
                <w:sz w:val="16"/>
                <w:szCs w:val="16"/>
              </w:rPr>
              <w:t>recruitment</w:t>
            </w:r>
            <w:r w:rsidRPr="003F0D83">
              <w:rPr>
                <w:color w:val="231F20"/>
                <w:spacing w:val="-2"/>
                <w:sz w:val="16"/>
                <w:szCs w:val="16"/>
              </w:rPr>
              <w:t xml:space="preserve"> </w:t>
            </w:r>
            <w:r w:rsidRPr="003F0D83">
              <w:rPr>
                <w:color w:val="231F20"/>
                <w:sz w:val="16"/>
                <w:szCs w:val="16"/>
              </w:rPr>
              <w:t>of fringing vegetation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7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37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77" cy="310896"/>
                  <wp:effectExtent l="0" t="0" r="0" b="0"/>
                  <wp:docPr id="237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77" cy="310896"/>
                  <wp:effectExtent l="0" t="0" r="0" b="0"/>
                  <wp:docPr id="238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r w:rsidR="006A7A3F">
        <w:trPr>
          <w:trHeight w:val="1035"/>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38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bl>
    <w:p w:rsidR="006A7A3F" w:rsidRDefault="00BC7372">
      <w:pPr>
        <w:spacing w:before="152"/>
        <w:ind w:left="210"/>
        <w:rPr>
          <w:rFonts w:ascii="Helvetica Neue LT Std 75"/>
          <w:b/>
          <w:sz w:val="19"/>
        </w:rPr>
      </w:pPr>
      <w:r>
        <w:rPr>
          <w:rFonts w:ascii="Helvetica Neue LT Std 75"/>
          <w:b/>
          <w:color w:val="231F20"/>
          <w:sz w:val="19"/>
        </w:rPr>
        <w:t>Scenario planning</w:t>
      </w:r>
    </w:p>
    <w:p w:rsidR="006A7A3F" w:rsidRDefault="00BC7372">
      <w:pPr>
        <w:pStyle w:val="BodyText"/>
        <w:spacing w:before="67" w:line="249" w:lineRule="auto"/>
        <w:ind w:right="608"/>
      </w:pPr>
      <w:r>
        <w:rPr>
          <w:color w:val="231F20"/>
        </w:rPr>
        <w:t>Table 5.6.4 outlines the potential environmental watering and expected water use under a range of planning scenarios. Watering actions have only been considered for drought to average scenarios, because the storage is likely to spill under wet conditions, and therefore it will not be possible to accumulate passing flows to deliver environmental flows.</w:t>
      </w:r>
    </w:p>
    <w:p w:rsidR="006A7A3F" w:rsidRDefault="00BC7372">
      <w:pPr>
        <w:pStyle w:val="BodyText"/>
        <w:spacing w:before="174" w:line="249" w:lineRule="auto"/>
        <w:ind w:right="507"/>
      </w:pPr>
      <w:r>
        <w:rPr>
          <w:color w:val="231F20"/>
        </w:rPr>
        <w:t>Low flow in summer/autumn is the highest-priority potential watering action across all (drought to average) scenarios, to support aquatic habitats for fish, platypus and waterbugs, and to support aquatic and fringing vegetation in the river. It should be possible to maintain continuous low flow targets under dry and average conditions, but less water will be available under drought conditions, so it may only be possible to deliver pulsed low flow to maintain refuge habitats</w:t>
      </w:r>
    </w:p>
    <w:p w:rsidR="006A7A3F" w:rsidRDefault="00BC7372">
      <w:pPr>
        <w:pStyle w:val="BodyText"/>
        <w:spacing w:before="174" w:line="249" w:lineRule="auto"/>
        <w:ind w:right="407"/>
      </w:pPr>
      <w:r>
        <w:rPr>
          <w:color w:val="231F20"/>
        </w:rPr>
        <w:t>Under dry and average conditions, accumulated passing flows are planned to be used to deliver summer/autumn freshes to support vegetation recruitment, maintain aquatic habitats and clean river substrates. The number of freshes delivered will depend on the available water and observed conditions in the river.</w:t>
      </w:r>
    </w:p>
    <w:p w:rsidR="006A7A3F" w:rsidRDefault="00BC7372" w:rsidP="0087445D">
      <w:pPr>
        <w:pStyle w:val="BodyText"/>
        <w:spacing w:line="249" w:lineRule="auto"/>
        <w:ind w:right="307"/>
      </w:pPr>
      <w:r>
        <w:rPr>
          <w:color w:val="231F20"/>
        </w:rPr>
        <w:t>If more water is available under drought conditions, it is planned to be set aside to support critical watering actions in 2021–22 and/or used to increase the magnitude or duration of low flow if conditions in the river deteriorate.</w:t>
      </w:r>
      <w:r w:rsidR="0087445D">
        <w:rPr>
          <w:color w:val="231F20"/>
        </w:rPr>
        <w:t xml:space="preserve"> </w:t>
      </w:r>
      <w:r>
        <w:rPr>
          <w:color w:val="231F20"/>
        </w:rPr>
        <w:t>Additional water will go to delivering tier 2 priorities which are freshes in summer/autumn (across all scenarios) and in winter/spring (in the drought scenario).</w:t>
      </w:r>
    </w:p>
    <w:p w:rsidR="006A7A3F" w:rsidRDefault="00BC7372">
      <w:pPr>
        <w:pStyle w:val="BodyText"/>
      </w:pPr>
      <w:r>
        <w:rPr>
          <w:color w:val="231F20"/>
        </w:rPr>
        <w:t>The carryover priority is to bank passing flows in the river for 2021–22 watering actions (700 ML).</w:t>
      </w:r>
    </w:p>
    <w:p w:rsidR="00994C74" w:rsidRDefault="00994C74">
      <w:pPr>
        <w:rPr>
          <w:b/>
          <w:color w:val="231F20"/>
          <w:sz w:val="18"/>
        </w:rPr>
      </w:pPr>
      <w:r>
        <w:rPr>
          <w:b/>
          <w:color w:val="231F20"/>
          <w:sz w:val="18"/>
        </w:rPr>
        <w:br w:type="page"/>
      </w:r>
    </w:p>
    <w:p w:rsidR="006A7A3F" w:rsidRDefault="00BC7372">
      <w:pPr>
        <w:spacing w:before="179"/>
        <w:ind w:left="210"/>
        <w:rPr>
          <w:b/>
          <w:sz w:val="18"/>
        </w:rPr>
      </w:pPr>
      <w:r>
        <w:rPr>
          <w:b/>
          <w:color w:val="231F20"/>
          <w:sz w:val="18"/>
        </w:rPr>
        <w:t>Table 5.6.4 Potential environmental watering for the Coliban River under a range of planning scenarios</w:t>
      </w:r>
    </w:p>
    <w:p w:rsidR="006A7A3F" w:rsidRDefault="006A7A3F">
      <w:pPr>
        <w:pStyle w:val="BodyText"/>
        <w:spacing w:before="9" w:after="1"/>
        <w:ind w:left="0"/>
        <w:rPr>
          <w:b/>
          <w:sz w:val="18"/>
        </w:rPr>
      </w:pPr>
    </w:p>
    <w:tbl>
      <w:tblPr>
        <w:tblW w:w="10204" w:type="dxa"/>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1"/>
        <w:gridCol w:w="2551"/>
        <w:gridCol w:w="2551"/>
        <w:gridCol w:w="2551"/>
      </w:tblGrid>
      <w:tr w:rsidR="00994C74" w:rsidTr="00994C74">
        <w:trPr>
          <w:trHeight w:val="421"/>
        </w:trPr>
        <w:tc>
          <w:tcPr>
            <w:tcW w:w="2551" w:type="dxa"/>
            <w:shd w:val="clear" w:color="auto" w:fill="000000" w:themeFill="text1"/>
          </w:tcPr>
          <w:p w:rsidR="00994C74" w:rsidRDefault="00994C74" w:rsidP="00994C74">
            <w:pPr>
              <w:pStyle w:val="TableParagraph"/>
              <w:spacing w:before="75"/>
              <w:ind w:left="90"/>
              <w:rPr>
                <w:b/>
                <w:sz w:val="18"/>
              </w:rPr>
            </w:pPr>
            <w:r>
              <w:rPr>
                <w:b/>
                <w:color w:val="FFFFFF"/>
                <w:sz w:val="18"/>
              </w:rPr>
              <w:t>Planning scenario</w:t>
            </w:r>
          </w:p>
        </w:tc>
        <w:tc>
          <w:tcPr>
            <w:tcW w:w="2551" w:type="dxa"/>
            <w:shd w:val="clear" w:color="auto" w:fill="000000" w:themeFill="text1"/>
          </w:tcPr>
          <w:p w:rsidR="00994C74" w:rsidRDefault="00994C74" w:rsidP="00994C74">
            <w:pPr>
              <w:pStyle w:val="TableParagraph"/>
              <w:spacing w:before="75"/>
              <w:ind w:left="85"/>
              <w:rPr>
                <w:b/>
                <w:sz w:val="18"/>
              </w:rPr>
            </w:pPr>
            <w:r>
              <w:rPr>
                <w:b/>
                <w:color w:val="FFFFFF"/>
                <w:sz w:val="18"/>
              </w:rPr>
              <w:t>Drought</w:t>
            </w:r>
          </w:p>
        </w:tc>
        <w:tc>
          <w:tcPr>
            <w:tcW w:w="2551" w:type="dxa"/>
            <w:shd w:val="clear" w:color="auto" w:fill="000000" w:themeFill="text1"/>
          </w:tcPr>
          <w:p w:rsidR="00994C74" w:rsidRDefault="00994C74" w:rsidP="00994C74">
            <w:pPr>
              <w:pStyle w:val="TableParagraph"/>
              <w:spacing w:before="75"/>
              <w:ind w:left="85"/>
              <w:rPr>
                <w:b/>
                <w:sz w:val="18"/>
              </w:rPr>
            </w:pPr>
            <w:r>
              <w:rPr>
                <w:b/>
                <w:color w:val="FFFFFF"/>
                <w:sz w:val="18"/>
              </w:rPr>
              <w:t>Dry</w:t>
            </w:r>
          </w:p>
        </w:tc>
        <w:tc>
          <w:tcPr>
            <w:tcW w:w="2551" w:type="dxa"/>
            <w:shd w:val="clear" w:color="auto" w:fill="000000" w:themeFill="text1"/>
          </w:tcPr>
          <w:p w:rsidR="00994C74" w:rsidRDefault="00994C74" w:rsidP="00994C74">
            <w:pPr>
              <w:pStyle w:val="TableParagraph"/>
              <w:spacing w:before="75"/>
              <w:ind w:left="85"/>
              <w:rPr>
                <w:b/>
                <w:sz w:val="18"/>
              </w:rPr>
            </w:pPr>
            <w:r>
              <w:rPr>
                <w:b/>
                <w:color w:val="FFFFFF"/>
                <w:sz w:val="18"/>
              </w:rPr>
              <w:t>Average</w:t>
            </w:r>
          </w:p>
        </w:tc>
      </w:tr>
      <w:tr w:rsidR="00994C74" w:rsidTr="00994C74">
        <w:trPr>
          <w:trHeight w:val="421"/>
        </w:trPr>
        <w:tc>
          <w:tcPr>
            <w:tcW w:w="2551" w:type="dxa"/>
          </w:tcPr>
          <w:p w:rsidR="00994C74" w:rsidRDefault="00994C74" w:rsidP="00994C74">
            <w:pPr>
              <w:pStyle w:val="TableParagraph"/>
              <w:spacing w:before="74"/>
              <w:ind w:left="85"/>
              <w:rPr>
                <w:sz w:val="16"/>
              </w:rPr>
            </w:pPr>
            <w:r>
              <w:rPr>
                <w:color w:val="231F20"/>
                <w:sz w:val="16"/>
              </w:rPr>
              <w:t>Expected river conditions</w:t>
            </w:r>
          </w:p>
        </w:tc>
        <w:tc>
          <w:tcPr>
            <w:tcW w:w="2551" w:type="dxa"/>
          </w:tcPr>
          <w:p w:rsidR="00994C74" w:rsidRDefault="00994C74" w:rsidP="00994C74">
            <w:pPr>
              <w:pStyle w:val="TableParagraph"/>
              <w:numPr>
                <w:ilvl w:val="0"/>
                <w:numId w:val="100"/>
              </w:numPr>
              <w:tabs>
                <w:tab w:val="left" w:pos="306"/>
              </w:tabs>
              <w:spacing w:before="70"/>
              <w:ind w:hanging="218"/>
              <w:rPr>
                <w:sz w:val="18"/>
              </w:rPr>
            </w:pPr>
            <w:r>
              <w:rPr>
                <w:color w:val="231F20"/>
                <w:sz w:val="18"/>
              </w:rPr>
              <w:t>Little or no natural</w:t>
            </w:r>
            <w:r>
              <w:rPr>
                <w:color w:val="231F20"/>
                <w:spacing w:val="-8"/>
                <w:sz w:val="18"/>
              </w:rPr>
              <w:t xml:space="preserve"> </w:t>
            </w:r>
            <w:r>
              <w:rPr>
                <w:color w:val="231F20"/>
                <w:sz w:val="18"/>
              </w:rPr>
              <w:t>flow</w:t>
            </w:r>
          </w:p>
        </w:tc>
        <w:tc>
          <w:tcPr>
            <w:tcW w:w="2551" w:type="dxa"/>
          </w:tcPr>
          <w:p w:rsidR="00994C74" w:rsidRDefault="00994C74" w:rsidP="00994C74">
            <w:pPr>
              <w:pStyle w:val="TableParagraph"/>
              <w:numPr>
                <w:ilvl w:val="0"/>
                <w:numId w:val="99"/>
              </w:numPr>
              <w:tabs>
                <w:tab w:val="left" w:pos="306"/>
              </w:tabs>
              <w:spacing w:before="70"/>
              <w:ind w:hanging="218"/>
              <w:rPr>
                <w:sz w:val="18"/>
              </w:rPr>
            </w:pPr>
            <w:r>
              <w:rPr>
                <w:color w:val="231F20"/>
                <w:sz w:val="18"/>
              </w:rPr>
              <w:t>Some natural</w:t>
            </w:r>
            <w:r>
              <w:rPr>
                <w:color w:val="231F20"/>
                <w:spacing w:val="-2"/>
                <w:sz w:val="18"/>
              </w:rPr>
              <w:t xml:space="preserve"> </w:t>
            </w:r>
            <w:r>
              <w:rPr>
                <w:color w:val="231F20"/>
                <w:sz w:val="18"/>
              </w:rPr>
              <w:t>flow</w:t>
            </w:r>
          </w:p>
        </w:tc>
        <w:tc>
          <w:tcPr>
            <w:tcW w:w="2551" w:type="dxa"/>
          </w:tcPr>
          <w:p w:rsidR="00994C74" w:rsidRDefault="00994C74" w:rsidP="00994C74">
            <w:pPr>
              <w:pStyle w:val="TableParagraph"/>
              <w:numPr>
                <w:ilvl w:val="0"/>
                <w:numId w:val="98"/>
              </w:numPr>
              <w:tabs>
                <w:tab w:val="left" w:pos="306"/>
              </w:tabs>
              <w:spacing w:before="70"/>
              <w:rPr>
                <w:sz w:val="18"/>
              </w:rPr>
            </w:pPr>
            <w:r>
              <w:rPr>
                <w:color w:val="231F20"/>
                <w:sz w:val="18"/>
              </w:rPr>
              <w:t>Some natural</w:t>
            </w:r>
            <w:r>
              <w:rPr>
                <w:color w:val="231F20"/>
                <w:spacing w:val="-2"/>
                <w:sz w:val="18"/>
              </w:rPr>
              <w:t xml:space="preserve"> </w:t>
            </w:r>
            <w:r>
              <w:rPr>
                <w:color w:val="231F20"/>
                <w:sz w:val="18"/>
              </w:rPr>
              <w:t>flow</w:t>
            </w:r>
          </w:p>
        </w:tc>
      </w:tr>
      <w:tr w:rsidR="006A7A3F" w:rsidTr="00994C74">
        <w:trPr>
          <w:trHeight w:val="1837"/>
        </w:trPr>
        <w:tc>
          <w:tcPr>
            <w:tcW w:w="2551" w:type="dxa"/>
          </w:tcPr>
          <w:p w:rsidR="006A7A3F" w:rsidRDefault="00BC7372">
            <w:pPr>
              <w:pStyle w:val="TableParagraph"/>
              <w:spacing w:before="67" w:line="261" w:lineRule="auto"/>
              <w:ind w:left="85" w:right="141"/>
              <w:rPr>
                <w:sz w:val="16"/>
              </w:rPr>
            </w:pPr>
            <w:r>
              <w:rPr>
                <w:color w:val="231F20"/>
                <w:sz w:val="16"/>
              </w:rPr>
              <w:t>Expected availability of water for the environment</w:t>
            </w:r>
          </w:p>
        </w:tc>
        <w:tc>
          <w:tcPr>
            <w:tcW w:w="2551" w:type="dxa"/>
          </w:tcPr>
          <w:p w:rsidR="006A7A3F" w:rsidRDefault="00BC7372">
            <w:pPr>
              <w:pStyle w:val="TableParagraph"/>
              <w:numPr>
                <w:ilvl w:val="0"/>
                <w:numId w:val="97"/>
              </w:numPr>
              <w:tabs>
                <w:tab w:val="left" w:pos="306"/>
              </w:tabs>
              <w:spacing w:before="63" w:line="254" w:lineRule="auto"/>
              <w:ind w:right="212"/>
              <w:rPr>
                <w:sz w:val="18"/>
              </w:rPr>
            </w:pPr>
            <w:r>
              <w:rPr>
                <w:color w:val="231F20"/>
                <w:sz w:val="18"/>
              </w:rPr>
              <w:t>Little passing flow accumulated for use in other times of the</w:t>
            </w:r>
            <w:r>
              <w:rPr>
                <w:color w:val="231F20"/>
                <w:spacing w:val="-16"/>
                <w:sz w:val="18"/>
              </w:rPr>
              <w:t xml:space="preserve"> </w:t>
            </w:r>
            <w:r>
              <w:rPr>
                <w:color w:val="231F20"/>
                <w:sz w:val="18"/>
              </w:rPr>
              <w:t>season</w:t>
            </w:r>
          </w:p>
          <w:p w:rsidR="006A7A3F" w:rsidRDefault="00BC7372">
            <w:pPr>
              <w:pStyle w:val="TableParagraph"/>
              <w:numPr>
                <w:ilvl w:val="0"/>
                <w:numId w:val="97"/>
              </w:numPr>
              <w:tabs>
                <w:tab w:val="left" w:pos="306"/>
              </w:tabs>
              <w:spacing w:before="87" w:line="254" w:lineRule="auto"/>
              <w:ind w:right="213"/>
              <w:rPr>
                <w:sz w:val="18"/>
              </w:rPr>
            </w:pPr>
            <w:r>
              <w:rPr>
                <w:color w:val="231F20"/>
                <w:sz w:val="18"/>
              </w:rPr>
              <w:t>Reliant on carryover from 2019–20</w:t>
            </w:r>
            <w:r>
              <w:rPr>
                <w:color w:val="231F20"/>
                <w:spacing w:val="-2"/>
                <w:sz w:val="18"/>
              </w:rPr>
              <w:t xml:space="preserve"> </w:t>
            </w:r>
            <w:r>
              <w:rPr>
                <w:color w:val="231F20"/>
                <w:sz w:val="18"/>
              </w:rPr>
              <w:t>year</w:t>
            </w:r>
          </w:p>
        </w:tc>
        <w:tc>
          <w:tcPr>
            <w:tcW w:w="2551" w:type="dxa"/>
          </w:tcPr>
          <w:p w:rsidR="006A7A3F" w:rsidRDefault="00BC7372">
            <w:pPr>
              <w:pStyle w:val="TableParagraph"/>
              <w:numPr>
                <w:ilvl w:val="0"/>
                <w:numId w:val="96"/>
              </w:numPr>
              <w:tabs>
                <w:tab w:val="left" w:pos="306"/>
              </w:tabs>
              <w:spacing w:before="63" w:line="254" w:lineRule="auto"/>
              <w:ind w:right="203"/>
              <w:rPr>
                <w:sz w:val="18"/>
              </w:rPr>
            </w:pPr>
            <w:r>
              <w:rPr>
                <w:color w:val="231F20"/>
                <w:sz w:val="18"/>
              </w:rPr>
              <w:t xml:space="preserve">Increase in passing flows, with minimal risk </w:t>
            </w:r>
            <w:r>
              <w:rPr>
                <w:color w:val="231F20"/>
                <w:spacing w:val="-7"/>
                <w:sz w:val="18"/>
              </w:rPr>
              <w:t xml:space="preserve">of </w:t>
            </w:r>
            <w:r>
              <w:rPr>
                <w:color w:val="231F20"/>
                <w:sz w:val="18"/>
              </w:rPr>
              <w:t>storage spills</w:t>
            </w:r>
          </w:p>
          <w:p w:rsidR="006A7A3F" w:rsidRDefault="00BC7372">
            <w:pPr>
              <w:pStyle w:val="TableParagraph"/>
              <w:numPr>
                <w:ilvl w:val="0"/>
                <w:numId w:val="96"/>
              </w:numPr>
              <w:tabs>
                <w:tab w:val="left" w:pos="306"/>
              </w:tabs>
              <w:spacing w:before="87" w:line="254" w:lineRule="auto"/>
              <w:ind w:right="143"/>
              <w:rPr>
                <w:sz w:val="18"/>
              </w:rPr>
            </w:pPr>
            <w:r>
              <w:rPr>
                <w:color w:val="231F20"/>
                <w:sz w:val="18"/>
              </w:rPr>
              <w:t>Maximum accumulation of passing</w:t>
            </w:r>
            <w:r>
              <w:rPr>
                <w:color w:val="231F20"/>
                <w:spacing w:val="-2"/>
                <w:sz w:val="18"/>
              </w:rPr>
              <w:t xml:space="preserve"> </w:t>
            </w:r>
            <w:r>
              <w:rPr>
                <w:color w:val="231F20"/>
                <w:sz w:val="18"/>
              </w:rPr>
              <w:t>flows</w:t>
            </w:r>
          </w:p>
          <w:p w:rsidR="006A7A3F" w:rsidRDefault="00BC7372">
            <w:pPr>
              <w:pStyle w:val="TableParagraph"/>
              <w:numPr>
                <w:ilvl w:val="0"/>
                <w:numId w:val="96"/>
              </w:numPr>
              <w:tabs>
                <w:tab w:val="left" w:pos="306"/>
              </w:tabs>
              <w:spacing w:before="86" w:line="254" w:lineRule="auto"/>
              <w:ind w:right="222"/>
              <w:rPr>
                <w:sz w:val="18"/>
              </w:rPr>
            </w:pPr>
            <w:r>
              <w:rPr>
                <w:color w:val="231F20"/>
                <w:sz w:val="18"/>
              </w:rPr>
              <w:t>Withheld flows for use at other times in the</w:t>
            </w:r>
            <w:r>
              <w:rPr>
                <w:color w:val="231F20"/>
                <w:spacing w:val="-16"/>
                <w:sz w:val="18"/>
              </w:rPr>
              <w:t xml:space="preserve"> </w:t>
            </w:r>
            <w:r>
              <w:rPr>
                <w:color w:val="231F20"/>
                <w:sz w:val="18"/>
              </w:rPr>
              <w:t>season</w:t>
            </w:r>
          </w:p>
        </w:tc>
        <w:tc>
          <w:tcPr>
            <w:tcW w:w="2551" w:type="dxa"/>
          </w:tcPr>
          <w:p w:rsidR="006A7A3F" w:rsidRDefault="00BC7372">
            <w:pPr>
              <w:pStyle w:val="TableParagraph"/>
              <w:numPr>
                <w:ilvl w:val="0"/>
                <w:numId w:val="95"/>
              </w:numPr>
              <w:tabs>
                <w:tab w:val="left" w:pos="306"/>
              </w:tabs>
              <w:spacing w:before="63" w:line="254" w:lineRule="auto"/>
              <w:ind w:right="112"/>
              <w:rPr>
                <w:sz w:val="18"/>
              </w:rPr>
            </w:pPr>
            <w:r>
              <w:rPr>
                <w:color w:val="231F20"/>
                <w:sz w:val="18"/>
              </w:rPr>
              <w:t>Moderate to high passing flows but reduced ability to accumulate flows due to possible storage</w:t>
            </w:r>
            <w:r>
              <w:rPr>
                <w:color w:val="231F20"/>
                <w:spacing w:val="-3"/>
                <w:sz w:val="18"/>
              </w:rPr>
              <w:t xml:space="preserve"> </w:t>
            </w:r>
            <w:r>
              <w:rPr>
                <w:color w:val="231F20"/>
                <w:sz w:val="18"/>
              </w:rPr>
              <w:t>spills</w:t>
            </w:r>
          </w:p>
        </w:tc>
      </w:tr>
      <w:tr w:rsidR="006A7A3F" w:rsidTr="00994C74">
        <w:trPr>
          <w:trHeight w:val="1092"/>
        </w:trPr>
        <w:tc>
          <w:tcPr>
            <w:tcW w:w="2551" w:type="dxa"/>
          </w:tcPr>
          <w:p w:rsidR="006A7A3F" w:rsidRDefault="00BC7372">
            <w:pPr>
              <w:pStyle w:val="TableParagraph"/>
              <w:spacing w:before="67"/>
              <w:ind w:left="85"/>
              <w:rPr>
                <w:sz w:val="16"/>
              </w:rPr>
            </w:pPr>
            <w:r>
              <w:rPr>
                <w:color w:val="231F20"/>
                <w:sz w:val="16"/>
              </w:rPr>
              <w:t>Potential environmental watering</w:t>
            </w:r>
          </w:p>
          <w:p w:rsidR="006A7A3F" w:rsidRDefault="00BC7372">
            <w:pPr>
              <w:pStyle w:val="TableParagraph"/>
              <w:spacing w:before="16"/>
              <w:ind w:left="85"/>
              <w:rPr>
                <w:sz w:val="16"/>
              </w:rPr>
            </w:pPr>
            <w:r>
              <w:rPr>
                <w:color w:val="231F20"/>
                <w:sz w:val="16"/>
              </w:rPr>
              <w:t>– tier 1a (high priorities)</w:t>
            </w:r>
          </w:p>
        </w:tc>
        <w:tc>
          <w:tcPr>
            <w:tcW w:w="2551" w:type="dxa"/>
          </w:tcPr>
          <w:p w:rsidR="006A7A3F" w:rsidRDefault="00BC7372">
            <w:pPr>
              <w:pStyle w:val="TableParagraph"/>
              <w:numPr>
                <w:ilvl w:val="0"/>
                <w:numId w:val="94"/>
              </w:numPr>
              <w:tabs>
                <w:tab w:val="left" w:pos="306"/>
              </w:tabs>
              <w:spacing w:before="63" w:line="254" w:lineRule="auto"/>
              <w:ind w:right="332"/>
              <w:rPr>
                <w:sz w:val="18"/>
              </w:rPr>
            </w:pPr>
            <w:r>
              <w:rPr>
                <w:color w:val="231F20"/>
                <w:sz w:val="18"/>
              </w:rPr>
              <w:t xml:space="preserve">Pulsed </w:t>
            </w:r>
            <w:r>
              <w:rPr>
                <w:color w:val="231F20"/>
                <w:spacing w:val="-2"/>
                <w:sz w:val="18"/>
              </w:rPr>
              <w:t xml:space="preserve">summer/autumn </w:t>
            </w:r>
            <w:r>
              <w:rPr>
                <w:color w:val="231F20"/>
                <w:sz w:val="18"/>
              </w:rPr>
              <w:t>low</w:t>
            </w:r>
            <w:r>
              <w:rPr>
                <w:color w:val="231F20"/>
                <w:spacing w:val="-2"/>
                <w:sz w:val="18"/>
              </w:rPr>
              <w:t xml:space="preserve"> </w:t>
            </w:r>
            <w:r>
              <w:rPr>
                <w:color w:val="231F20"/>
                <w:sz w:val="18"/>
              </w:rPr>
              <w:t>flow</w:t>
            </w:r>
          </w:p>
          <w:p w:rsidR="006A7A3F" w:rsidRDefault="00BC7372">
            <w:pPr>
              <w:pStyle w:val="TableParagraph"/>
              <w:numPr>
                <w:ilvl w:val="0"/>
                <w:numId w:val="94"/>
              </w:numPr>
              <w:tabs>
                <w:tab w:val="left" w:pos="306"/>
              </w:tabs>
              <w:spacing w:before="86" w:line="254" w:lineRule="auto"/>
              <w:ind w:right="213"/>
              <w:rPr>
                <w:sz w:val="18"/>
              </w:rPr>
            </w:pPr>
            <w:r>
              <w:rPr>
                <w:color w:val="231F20"/>
                <w:sz w:val="18"/>
              </w:rPr>
              <w:t xml:space="preserve">Summer/autumn low </w:t>
            </w:r>
            <w:r>
              <w:rPr>
                <w:color w:val="231F20"/>
                <w:spacing w:val="-4"/>
                <w:sz w:val="18"/>
              </w:rPr>
              <w:t xml:space="preserve">flow </w:t>
            </w:r>
            <w:r>
              <w:rPr>
                <w:color w:val="231F20"/>
                <w:sz w:val="18"/>
              </w:rPr>
              <w:t>(reduced magnitude)</w:t>
            </w:r>
          </w:p>
        </w:tc>
        <w:tc>
          <w:tcPr>
            <w:tcW w:w="2551" w:type="dxa"/>
          </w:tcPr>
          <w:p w:rsidR="006A7A3F" w:rsidRDefault="00BC7372">
            <w:pPr>
              <w:pStyle w:val="TableParagraph"/>
              <w:numPr>
                <w:ilvl w:val="0"/>
                <w:numId w:val="93"/>
              </w:numPr>
              <w:tabs>
                <w:tab w:val="left" w:pos="306"/>
              </w:tabs>
              <w:spacing w:before="63" w:line="254" w:lineRule="auto"/>
              <w:ind w:right="212"/>
              <w:rPr>
                <w:sz w:val="18"/>
              </w:rPr>
            </w:pPr>
            <w:r>
              <w:rPr>
                <w:color w:val="231F20"/>
                <w:sz w:val="18"/>
              </w:rPr>
              <w:t xml:space="preserve">Summer/autumn low </w:t>
            </w:r>
            <w:r>
              <w:rPr>
                <w:color w:val="231F20"/>
                <w:spacing w:val="-4"/>
                <w:sz w:val="18"/>
              </w:rPr>
              <w:t xml:space="preserve">flow </w:t>
            </w:r>
            <w:r>
              <w:rPr>
                <w:color w:val="231F20"/>
                <w:sz w:val="18"/>
              </w:rPr>
              <w:t>(reduced magnitude)</w:t>
            </w:r>
          </w:p>
          <w:p w:rsidR="006A7A3F" w:rsidRDefault="00BC7372">
            <w:pPr>
              <w:pStyle w:val="TableParagraph"/>
              <w:numPr>
                <w:ilvl w:val="0"/>
                <w:numId w:val="93"/>
              </w:numPr>
              <w:tabs>
                <w:tab w:val="left" w:pos="306"/>
              </w:tabs>
              <w:spacing w:before="86" w:line="254" w:lineRule="auto"/>
              <w:ind w:right="612"/>
              <w:rPr>
                <w:sz w:val="18"/>
              </w:rPr>
            </w:pPr>
            <w:r>
              <w:rPr>
                <w:color w:val="231F20"/>
                <w:sz w:val="18"/>
              </w:rPr>
              <w:t xml:space="preserve">One to two </w:t>
            </w:r>
            <w:r>
              <w:rPr>
                <w:color w:val="231F20"/>
                <w:spacing w:val="-3"/>
                <w:sz w:val="18"/>
              </w:rPr>
              <w:t xml:space="preserve">summer/ </w:t>
            </w:r>
            <w:r>
              <w:rPr>
                <w:color w:val="231F20"/>
                <w:sz w:val="18"/>
              </w:rPr>
              <w:t>autumn</w:t>
            </w:r>
            <w:r>
              <w:rPr>
                <w:color w:val="231F20"/>
                <w:spacing w:val="-2"/>
                <w:sz w:val="18"/>
              </w:rPr>
              <w:t xml:space="preserve"> </w:t>
            </w:r>
            <w:r>
              <w:rPr>
                <w:color w:val="231F20"/>
                <w:sz w:val="18"/>
              </w:rPr>
              <w:t>freshes</w:t>
            </w:r>
          </w:p>
        </w:tc>
        <w:tc>
          <w:tcPr>
            <w:tcW w:w="2551" w:type="dxa"/>
          </w:tcPr>
          <w:p w:rsidR="006A7A3F" w:rsidRDefault="00BC7372">
            <w:pPr>
              <w:pStyle w:val="TableParagraph"/>
              <w:numPr>
                <w:ilvl w:val="0"/>
                <w:numId w:val="92"/>
              </w:numPr>
              <w:tabs>
                <w:tab w:val="left" w:pos="306"/>
              </w:tabs>
              <w:spacing w:before="63" w:line="254" w:lineRule="auto"/>
              <w:ind w:right="212"/>
              <w:rPr>
                <w:sz w:val="18"/>
              </w:rPr>
            </w:pPr>
            <w:r>
              <w:rPr>
                <w:color w:val="231F20"/>
                <w:sz w:val="18"/>
              </w:rPr>
              <w:t xml:space="preserve">Summer/autumn low </w:t>
            </w:r>
            <w:r>
              <w:rPr>
                <w:color w:val="231F20"/>
                <w:spacing w:val="-4"/>
                <w:sz w:val="18"/>
              </w:rPr>
              <w:t xml:space="preserve">flow </w:t>
            </w:r>
            <w:r>
              <w:rPr>
                <w:color w:val="231F20"/>
                <w:sz w:val="18"/>
              </w:rPr>
              <w:t>(reduced magnitude)</w:t>
            </w:r>
          </w:p>
          <w:p w:rsidR="006A7A3F" w:rsidRDefault="00BC7372">
            <w:pPr>
              <w:pStyle w:val="TableParagraph"/>
              <w:numPr>
                <w:ilvl w:val="0"/>
                <w:numId w:val="92"/>
              </w:numPr>
              <w:tabs>
                <w:tab w:val="left" w:pos="306"/>
              </w:tabs>
              <w:spacing w:before="86" w:line="254" w:lineRule="auto"/>
              <w:ind w:right="612"/>
              <w:rPr>
                <w:sz w:val="18"/>
              </w:rPr>
            </w:pPr>
            <w:r>
              <w:rPr>
                <w:color w:val="231F20"/>
                <w:sz w:val="18"/>
              </w:rPr>
              <w:t xml:space="preserve">One to two </w:t>
            </w:r>
            <w:r>
              <w:rPr>
                <w:color w:val="231F20"/>
                <w:spacing w:val="-3"/>
                <w:sz w:val="18"/>
              </w:rPr>
              <w:t xml:space="preserve">summer/ </w:t>
            </w:r>
            <w:r>
              <w:rPr>
                <w:color w:val="231F20"/>
                <w:sz w:val="18"/>
              </w:rPr>
              <w:t>autumn</w:t>
            </w:r>
            <w:r>
              <w:rPr>
                <w:color w:val="231F20"/>
                <w:spacing w:val="-2"/>
                <w:sz w:val="18"/>
              </w:rPr>
              <w:t xml:space="preserve"> </w:t>
            </w:r>
            <w:r>
              <w:rPr>
                <w:color w:val="231F20"/>
                <w:sz w:val="18"/>
              </w:rPr>
              <w:t>freshes</w:t>
            </w:r>
          </w:p>
        </w:tc>
      </w:tr>
      <w:tr w:rsidR="006A7A3F" w:rsidTr="00994C74">
        <w:trPr>
          <w:trHeight w:val="1092"/>
        </w:trPr>
        <w:tc>
          <w:tcPr>
            <w:tcW w:w="2551" w:type="dxa"/>
          </w:tcPr>
          <w:p w:rsidR="006A7A3F" w:rsidRDefault="00BC7372">
            <w:pPr>
              <w:pStyle w:val="TableParagraph"/>
              <w:spacing w:before="67"/>
              <w:ind w:left="85"/>
              <w:rPr>
                <w:sz w:val="16"/>
              </w:rPr>
            </w:pPr>
            <w:r>
              <w:rPr>
                <w:color w:val="231F20"/>
                <w:sz w:val="16"/>
              </w:rPr>
              <w:t>Potential environmental watering</w:t>
            </w:r>
          </w:p>
          <w:p w:rsidR="006A7A3F" w:rsidRDefault="00BC7372">
            <w:pPr>
              <w:pStyle w:val="TableParagraph"/>
              <w:spacing w:before="16" w:line="261" w:lineRule="auto"/>
              <w:ind w:left="85" w:right="479"/>
              <w:rPr>
                <w:sz w:val="16"/>
              </w:rPr>
            </w:pPr>
            <w:r>
              <w:rPr>
                <w:color w:val="231F20"/>
                <w:sz w:val="16"/>
              </w:rPr>
              <w:t>– tier 1b (high priorities with shortfall)</w:t>
            </w:r>
          </w:p>
        </w:tc>
        <w:tc>
          <w:tcPr>
            <w:tcW w:w="2551" w:type="dxa"/>
          </w:tcPr>
          <w:p w:rsidR="006A7A3F" w:rsidRDefault="00BC7372">
            <w:pPr>
              <w:pStyle w:val="TableParagraph"/>
              <w:numPr>
                <w:ilvl w:val="0"/>
                <w:numId w:val="91"/>
              </w:numPr>
              <w:tabs>
                <w:tab w:val="left" w:pos="306"/>
              </w:tabs>
              <w:spacing w:before="63" w:line="254" w:lineRule="auto"/>
              <w:ind w:right="733"/>
              <w:rPr>
                <w:sz w:val="18"/>
              </w:rPr>
            </w:pPr>
            <w:r>
              <w:rPr>
                <w:color w:val="231F20"/>
                <w:sz w:val="18"/>
              </w:rPr>
              <w:t>Set aside</w:t>
            </w:r>
            <w:r>
              <w:rPr>
                <w:color w:val="231F20"/>
                <w:spacing w:val="-11"/>
                <w:sz w:val="18"/>
              </w:rPr>
              <w:t xml:space="preserve"> </w:t>
            </w:r>
            <w:r>
              <w:rPr>
                <w:color w:val="231F20"/>
                <w:sz w:val="18"/>
              </w:rPr>
              <w:t>2021–22 carryover</w:t>
            </w:r>
          </w:p>
          <w:p w:rsidR="006A7A3F" w:rsidRDefault="00BC7372">
            <w:pPr>
              <w:pStyle w:val="TableParagraph"/>
              <w:numPr>
                <w:ilvl w:val="0"/>
                <w:numId w:val="91"/>
              </w:numPr>
              <w:tabs>
                <w:tab w:val="left" w:pos="306"/>
              </w:tabs>
              <w:spacing w:before="86" w:line="254" w:lineRule="auto"/>
              <w:ind w:right="243"/>
              <w:rPr>
                <w:sz w:val="18"/>
              </w:rPr>
            </w:pPr>
            <w:r>
              <w:rPr>
                <w:color w:val="231F20"/>
                <w:sz w:val="18"/>
              </w:rPr>
              <w:t>Increased magnitude of summer/autumn low</w:t>
            </w:r>
            <w:r>
              <w:rPr>
                <w:color w:val="231F20"/>
                <w:spacing w:val="-2"/>
                <w:sz w:val="18"/>
              </w:rPr>
              <w:t xml:space="preserve"> </w:t>
            </w:r>
            <w:r>
              <w:rPr>
                <w:color w:val="231F20"/>
                <w:spacing w:val="-4"/>
                <w:sz w:val="18"/>
              </w:rPr>
              <w:t>flow</w:t>
            </w:r>
          </w:p>
        </w:tc>
        <w:tc>
          <w:tcPr>
            <w:tcW w:w="2551" w:type="dxa"/>
          </w:tcPr>
          <w:p w:rsidR="006A7A3F" w:rsidRDefault="00BC7372">
            <w:pPr>
              <w:pStyle w:val="TableParagraph"/>
              <w:numPr>
                <w:ilvl w:val="0"/>
                <w:numId w:val="90"/>
              </w:numPr>
              <w:tabs>
                <w:tab w:val="left" w:pos="306"/>
              </w:tabs>
              <w:spacing w:before="63" w:line="254" w:lineRule="auto"/>
              <w:ind w:right="243"/>
              <w:rPr>
                <w:sz w:val="18"/>
              </w:rPr>
            </w:pPr>
            <w:r>
              <w:rPr>
                <w:color w:val="231F20"/>
                <w:sz w:val="18"/>
              </w:rPr>
              <w:t>Increased magnitude of summer/autumn low</w:t>
            </w:r>
            <w:r>
              <w:rPr>
                <w:color w:val="231F20"/>
                <w:spacing w:val="-2"/>
                <w:sz w:val="18"/>
              </w:rPr>
              <w:t xml:space="preserve"> </w:t>
            </w:r>
            <w:r>
              <w:rPr>
                <w:color w:val="231F20"/>
                <w:spacing w:val="-4"/>
                <w:sz w:val="18"/>
              </w:rPr>
              <w:t>flow</w:t>
            </w:r>
          </w:p>
        </w:tc>
        <w:tc>
          <w:tcPr>
            <w:tcW w:w="2551" w:type="dxa"/>
          </w:tcPr>
          <w:p w:rsidR="006A7A3F" w:rsidRDefault="00BC7372">
            <w:pPr>
              <w:pStyle w:val="TableParagraph"/>
              <w:numPr>
                <w:ilvl w:val="0"/>
                <w:numId w:val="89"/>
              </w:numPr>
              <w:tabs>
                <w:tab w:val="left" w:pos="306"/>
              </w:tabs>
              <w:spacing w:before="63" w:line="254" w:lineRule="auto"/>
              <w:ind w:right="242"/>
              <w:rPr>
                <w:sz w:val="18"/>
              </w:rPr>
            </w:pPr>
            <w:r>
              <w:rPr>
                <w:color w:val="231F20"/>
                <w:sz w:val="18"/>
              </w:rPr>
              <w:t>Increased magnitude of summer/autumn low</w:t>
            </w:r>
            <w:r>
              <w:rPr>
                <w:color w:val="231F20"/>
                <w:spacing w:val="-1"/>
                <w:sz w:val="18"/>
              </w:rPr>
              <w:t xml:space="preserve"> </w:t>
            </w:r>
            <w:r>
              <w:rPr>
                <w:color w:val="231F20"/>
                <w:spacing w:val="-4"/>
                <w:sz w:val="18"/>
              </w:rPr>
              <w:t>flow</w:t>
            </w:r>
          </w:p>
        </w:tc>
      </w:tr>
      <w:tr w:rsidR="006A7A3F" w:rsidTr="00994C74">
        <w:trPr>
          <w:trHeight w:val="872"/>
        </w:trPr>
        <w:tc>
          <w:tcPr>
            <w:tcW w:w="2551" w:type="dxa"/>
          </w:tcPr>
          <w:p w:rsidR="006A7A3F" w:rsidRDefault="00BC7372">
            <w:pPr>
              <w:pStyle w:val="TableParagraph"/>
              <w:spacing w:before="67"/>
              <w:ind w:left="85"/>
              <w:rPr>
                <w:sz w:val="16"/>
              </w:rPr>
            </w:pPr>
            <w:r>
              <w:rPr>
                <w:color w:val="231F20"/>
                <w:sz w:val="16"/>
              </w:rPr>
              <w:t>Potential environmental watering</w:t>
            </w:r>
          </w:p>
          <w:p w:rsidR="006A7A3F" w:rsidRDefault="00BC7372">
            <w:pPr>
              <w:pStyle w:val="TableParagraph"/>
              <w:spacing w:before="16"/>
              <w:ind w:left="85"/>
              <w:rPr>
                <w:sz w:val="16"/>
              </w:rPr>
            </w:pPr>
            <w:r>
              <w:rPr>
                <w:color w:val="231F20"/>
                <w:sz w:val="16"/>
              </w:rPr>
              <w:t>– tier 2 (additional priorities)</w:t>
            </w:r>
          </w:p>
        </w:tc>
        <w:tc>
          <w:tcPr>
            <w:tcW w:w="2551" w:type="dxa"/>
          </w:tcPr>
          <w:p w:rsidR="006A7A3F" w:rsidRDefault="00BC7372">
            <w:pPr>
              <w:pStyle w:val="TableParagraph"/>
              <w:numPr>
                <w:ilvl w:val="0"/>
                <w:numId w:val="88"/>
              </w:numPr>
              <w:tabs>
                <w:tab w:val="left" w:pos="306"/>
              </w:tabs>
              <w:spacing w:before="63"/>
              <w:ind w:hanging="218"/>
              <w:rPr>
                <w:sz w:val="18"/>
              </w:rPr>
            </w:pPr>
            <w:r>
              <w:rPr>
                <w:color w:val="231F20"/>
                <w:spacing w:val="-4"/>
                <w:sz w:val="18"/>
              </w:rPr>
              <w:t xml:space="preserve">Two </w:t>
            </w:r>
            <w:r>
              <w:rPr>
                <w:color w:val="231F20"/>
                <w:sz w:val="18"/>
              </w:rPr>
              <w:t>winter/spring</w:t>
            </w:r>
            <w:r>
              <w:rPr>
                <w:color w:val="231F20"/>
                <w:spacing w:val="-9"/>
                <w:sz w:val="18"/>
              </w:rPr>
              <w:t xml:space="preserve"> </w:t>
            </w:r>
            <w:r>
              <w:rPr>
                <w:color w:val="231F20"/>
                <w:sz w:val="18"/>
              </w:rPr>
              <w:t>freshes</w:t>
            </w:r>
          </w:p>
          <w:p w:rsidR="006A7A3F" w:rsidRDefault="00BC7372">
            <w:pPr>
              <w:pStyle w:val="TableParagraph"/>
              <w:numPr>
                <w:ilvl w:val="0"/>
                <w:numId w:val="88"/>
              </w:numPr>
              <w:tabs>
                <w:tab w:val="left" w:pos="306"/>
              </w:tabs>
              <w:spacing w:before="98" w:line="254" w:lineRule="auto"/>
              <w:ind w:right="553"/>
              <w:rPr>
                <w:sz w:val="18"/>
              </w:rPr>
            </w:pPr>
            <w:r>
              <w:rPr>
                <w:color w:val="231F20"/>
                <w:spacing w:val="-4"/>
                <w:sz w:val="18"/>
              </w:rPr>
              <w:t xml:space="preserve">Two </w:t>
            </w:r>
            <w:r>
              <w:rPr>
                <w:color w:val="231F20"/>
                <w:spacing w:val="-2"/>
                <w:sz w:val="18"/>
              </w:rPr>
              <w:t xml:space="preserve">summer/autumn </w:t>
            </w:r>
            <w:r>
              <w:rPr>
                <w:color w:val="231F20"/>
                <w:sz w:val="18"/>
              </w:rPr>
              <w:t>freshes</w:t>
            </w:r>
          </w:p>
        </w:tc>
        <w:tc>
          <w:tcPr>
            <w:tcW w:w="2551" w:type="dxa"/>
          </w:tcPr>
          <w:p w:rsidR="006A7A3F" w:rsidRDefault="00BC7372">
            <w:pPr>
              <w:pStyle w:val="TableParagraph"/>
              <w:numPr>
                <w:ilvl w:val="0"/>
                <w:numId w:val="87"/>
              </w:numPr>
              <w:tabs>
                <w:tab w:val="left" w:pos="306"/>
              </w:tabs>
              <w:spacing w:before="63" w:line="254" w:lineRule="auto"/>
              <w:ind w:right="402"/>
              <w:rPr>
                <w:sz w:val="18"/>
              </w:rPr>
            </w:pPr>
            <w:r>
              <w:rPr>
                <w:color w:val="231F20"/>
                <w:sz w:val="18"/>
              </w:rPr>
              <w:t xml:space="preserve">Increased magnitude of two </w:t>
            </w:r>
            <w:r>
              <w:rPr>
                <w:color w:val="231F20"/>
                <w:spacing w:val="-2"/>
                <w:sz w:val="18"/>
              </w:rPr>
              <w:t xml:space="preserve">summer/autumn </w:t>
            </w:r>
            <w:r>
              <w:rPr>
                <w:color w:val="231F20"/>
                <w:sz w:val="18"/>
              </w:rPr>
              <w:t>freshes</w:t>
            </w:r>
          </w:p>
        </w:tc>
        <w:tc>
          <w:tcPr>
            <w:tcW w:w="2551" w:type="dxa"/>
          </w:tcPr>
          <w:p w:rsidR="006A7A3F" w:rsidRDefault="00BC7372">
            <w:pPr>
              <w:pStyle w:val="TableParagraph"/>
              <w:numPr>
                <w:ilvl w:val="0"/>
                <w:numId w:val="86"/>
              </w:numPr>
              <w:tabs>
                <w:tab w:val="left" w:pos="306"/>
              </w:tabs>
              <w:spacing w:before="63" w:line="254" w:lineRule="auto"/>
              <w:ind w:right="402"/>
              <w:rPr>
                <w:sz w:val="18"/>
              </w:rPr>
            </w:pPr>
            <w:r>
              <w:rPr>
                <w:color w:val="231F20"/>
                <w:sz w:val="18"/>
              </w:rPr>
              <w:t xml:space="preserve">Increased magnitude of two </w:t>
            </w:r>
            <w:r>
              <w:rPr>
                <w:color w:val="231F20"/>
                <w:spacing w:val="-2"/>
                <w:sz w:val="18"/>
              </w:rPr>
              <w:t xml:space="preserve">summer/autumn </w:t>
            </w:r>
            <w:r>
              <w:rPr>
                <w:color w:val="231F20"/>
                <w:sz w:val="18"/>
              </w:rPr>
              <w:t>freshes</w:t>
            </w:r>
          </w:p>
        </w:tc>
      </w:tr>
      <w:tr w:rsidR="006A7A3F" w:rsidTr="00994C74">
        <w:trPr>
          <w:trHeight w:val="1092"/>
        </w:trPr>
        <w:tc>
          <w:tcPr>
            <w:tcW w:w="2551" w:type="dxa"/>
          </w:tcPr>
          <w:p w:rsidR="006A7A3F" w:rsidRDefault="00BC7372">
            <w:pPr>
              <w:pStyle w:val="TableParagraph"/>
              <w:spacing w:before="67" w:line="261" w:lineRule="auto"/>
              <w:ind w:left="85" w:right="185"/>
              <w:rPr>
                <w:sz w:val="16"/>
              </w:rPr>
            </w:pPr>
            <w:r>
              <w:rPr>
                <w:color w:val="231F20"/>
                <w:sz w:val="16"/>
              </w:rPr>
              <w:t>Possible volume of environmental water required to achieve objectives</w:t>
            </w:r>
          </w:p>
        </w:tc>
        <w:tc>
          <w:tcPr>
            <w:tcW w:w="2551" w:type="dxa"/>
          </w:tcPr>
          <w:p w:rsidR="006A7A3F" w:rsidRDefault="00BC7372">
            <w:pPr>
              <w:pStyle w:val="TableParagraph"/>
              <w:numPr>
                <w:ilvl w:val="0"/>
                <w:numId w:val="85"/>
              </w:numPr>
              <w:tabs>
                <w:tab w:val="left" w:pos="306"/>
              </w:tabs>
              <w:spacing w:before="63"/>
              <w:ind w:hanging="218"/>
              <w:rPr>
                <w:sz w:val="18"/>
              </w:rPr>
            </w:pPr>
            <w:r>
              <w:rPr>
                <w:color w:val="231F20"/>
                <w:sz w:val="18"/>
              </w:rPr>
              <w:t>1,200 ML (tier</w:t>
            </w:r>
            <w:r>
              <w:rPr>
                <w:color w:val="231F20"/>
                <w:spacing w:val="-10"/>
                <w:sz w:val="18"/>
              </w:rPr>
              <w:t xml:space="preserve"> </w:t>
            </w:r>
            <w:r>
              <w:rPr>
                <w:color w:val="231F20"/>
                <w:sz w:val="18"/>
              </w:rPr>
              <w:t>1a)</w:t>
            </w:r>
          </w:p>
          <w:p w:rsidR="006A7A3F" w:rsidRDefault="00BC7372">
            <w:pPr>
              <w:pStyle w:val="TableParagraph"/>
              <w:numPr>
                <w:ilvl w:val="0"/>
                <w:numId w:val="85"/>
              </w:numPr>
              <w:tabs>
                <w:tab w:val="left" w:pos="306"/>
              </w:tabs>
              <w:spacing w:before="98" w:line="254" w:lineRule="auto"/>
              <w:ind w:right="129"/>
              <w:rPr>
                <w:sz w:val="18"/>
              </w:rPr>
            </w:pPr>
            <w:r>
              <w:rPr>
                <w:color w:val="231F20"/>
                <w:spacing w:val="-3"/>
                <w:sz w:val="18"/>
              </w:rPr>
              <w:t xml:space="preserve">Tier </w:t>
            </w:r>
            <w:r>
              <w:rPr>
                <w:color w:val="231F20"/>
                <w:sz w:val="18"/>
              </w:rPr>
              <w:t>1b and 2 – dependent on water resources and river conditions</w:t>
            </w:r>
          </w:p>
        </w:tc>
        <w:tc>
          <w:tcPr>
            <w:tcW w:w="2551" w:type="dxa"/>
          </w:tcPr>
          <w:p w:rsidR="006A7A3F" w:rsidRDefault="00BC7372">
            <w:pPr>
              <w:pStyle w:val="TableParagraph"/>
              <w:numPr>
                <w:ilvl w:val="0"/>
                <w:numId w:val="84"/>
              </w:numPr>
              <w:tabs>
                <w:tab w:val="left" w:pos="306"/>
              </w:tabs>
              <w:spacing w:before="63"/>
              <w:ind w:hanging="218"/>
              <w:rPr>
                <w:sz w:val="18"/>
              </w:rPr>
            </w:pPr>
            <w:r>
              <w:rPr>
                <w:color w:val="231F20"/>
                <w:sz w:val="18"/>
              </w:rPr>
              <w:t>1,600 ML (tier</w:t>
            </w:r>
            <w:r>
              <w:rPr>
                <w:color w:val="231F20"/>
                <w:spacing w:val="-10"/>
                <w:sz w:val="18"/>
              </w:rPr>
              <w:t xml:space="preserve"> </w:t>
            </w:r>
            <w:r>
              <w:rPr>
                <w:color w:val="231F20"/>
                <w:sz w:val="18"/>
              </w:rPr>
              <w:t>1a)</w:t>
            </w:r>
          </w:p>
          <w:p w:rsidR="006A7A3F" w:rsidRDefault="00BC7372">
            <w:pPr>
              <w:pStyle w:val="TableParagraph"/>
              <w:numPr>
                <w:ilvl w:val="0"/>
                <w:numId w:val="84"/>
              </w:numPr>
              <w:tabs>
                <w:tab w:val="left" w:pos="306"/>
              </w:tabs>
              <w:spacing w:before="98" w:line="254" w:lineRule="auto"/>
              <w:ind w:right="129"/>
              <w:rPr>
                <w:sz w:val="18"/>
              </w:rPr>
            </w:pPr>
            <w:r>
              <w:rPr>
                <w:color w:val="231F20"/>
                <w:spacing w:val="-3"/>
                <w:sz w:val="18"/>
              </w:rPr>
              <w:t xml:space="preserve">Tier </w:t>
            </w:r>
            <w:r>
              <w:rPr>
                <w:color w:val="231F20"/>
                <w:sz w:val="18"/>
              </w:rPr>
              <w:t>1b and 2 – dependent on water resources and river conditions</w:t>
            </w:r>
          </w:p>
        </w:tc>
        <w:tc>
          <w:tcPr>
            <w:tcW w:w="2551" w:type="dxa"/>
          </w:tcPr>
          <w:p w:rsidR="006A7A3F" w:rsidRDefault="00BC7372">
            <w:pPr>
              <w:pStyle w:val="TableParagraph"/>
              <w:numPr>
                <w:ilvl w:val="0"/>
                <w:numId w:val="83"/>
              </w:numPr>
              <w:tabs>
                <w:tab w:val="left" w:pos="306"/>
              </w:tabs>
              <w:spacing w:before="63"/>
              <w:rPr>
                <w:sz w:val="18"/>
              </w:rPr>
            </w:pPr>
            <w:r>
              <w:rPr>
                <w:color w:val="231F20"/>
                <w:sz w:val="18"/>
              </w:rPr>
              <w:t>2,500 ML (tier</w:t>
            </w:r>
            <w:r>
              <w:rPr>
                <w:color w:val="231F20"/>
                <w:spacing w:val="-10"/>
                <w:sz w:val="18"/>
              </w:rPr>
              <w:t xml:space="preserve"> </w:t>
            </w:r>
            <w:r>
              <w:rPr>
                <w:color w:val="231F20"/>
                <w:sz w:val="18"/>
              </w:rPr>
              <w:t>1a)</w:t>
            </w:r>
          </w:p>
          <w:p w:rsidR="006A7A3F" w:rsidRDefault="00BC7372">
            <w:pPr>
              <w:pStyle w:val="TableParagraph"/>
              <w:numPr>
                <w:ilvl w:val="0"/>
                <w:numId w:val="83"/>
              </w:numPr>
              <w:tabs>
                <w:tab w:val="left" w:pos="306"/>
              </w:tabs>
              <w:spacing w:before="98" w:line="254" w:lineRule="auto"/>
              <w:ind w:right="129"/>
              <w:rPr>
                <w:sz w:val="18"/>
              </w:rPr>
            </w:pPr>
            <w:r>
              <w:rPr>
                <w:color w:val="231F20"/>
                <w:spacing w:val="-3"/>
                <w:sz w:val="18"/>
              </w:rPr>
              <w:t xml:space="preserve">Tier </w:t>
            </w:r>
            <w:r>
              <w:rPr>
                <w:color w:val="231F20"/>
                <w:sz w:val="18"/>
              </w:rPr>
              <w:t>1b and 2 – dependent on water resources and river conditions</w:t>
            </w:r>
          </w:p>
        </w:tc>
      </w:tr>
      <w:tr w:rsidR="006A7A3F" w:rsidTr="00994C74">
        <w:trPr>
          <w:trHeight w:val="347"/>
        </w:trPr>
        <w:tc>
          <w:tcPr>
            <w:tcW w:w="2551" w:type="dxa"/>
          </w:tcPr>
          <w:p w:rsidR="006A7A3F" w:rsidRDefault="00BC7372">
            <w:pPr>
              <w:pStyle w:val="TableParagraph"/>
              <w:spacing w:before="67"/>
              <w:ind w:left="85"/>
              <w:rPr>
                <w:sz w:val="16"/>
              </w:rPr>
            </w:pPr>
            <w:r>
              <w:rPr>
                <w:color w:val="231F20"/>
                <w:sz w:val="16"/>
              </w:rPr>
              <w:t>Priority carryover requirements</w:t>
            </w:r>
          </w:p>
        </w:tc>
        <w:tc>
          <w:tcPr>
            <w:tcW w:w="7653" w:type="dxa"/>
            <w:gridSpan w:val="3"/>
          </w:tcPr>
          <w:p w:rsidR="006A7A3F" w:rsidRDefault="00BC7372">
            <w:pPr>
              <w:pStyle w:val="TableParagraph"/>
              <w:numPr>
                <w:ilvl w:val="0"/>
                <w:numId w:val="82"/>
              </w:numPr>
              <w:tabs>
                <w:tab w:val="left" w:pos="2011"/>
              </w:tabs>
              <w:spacing w:before="63"/>
              <w:rPr>
                <w:sz w:val="18"/>
              </w:rPr>
            </w:pPr>
            <w:r>
              <w:rPr>
                <w:color w:val="231F20"/>
                <w:sz w:val="18"/>
              </w:rPr>
              <w:t>Accumulate passing flows for 2021–22 (700</w:t>
            </w:r>
            <w:r>
              <w:rPr>
                <w:color w:val="231F20"/>
                <w:spacing w:val="-4"/>
                <w:sz w:val="18"/>
              </w:rPr>
              <w:t xml:space="preserve"> </w:t>
            </w:r>
            <w:r>
              <w:rPr>
                <w:color w:val="231F20"/>
                <w:sz w:val="18"/>
              </w:rPr>
              <w:t>ML)</w:t>
            </w:r>
          </w:p>
        </w:tc>
      </w:tr>
    </w:tbl>
    <w:p w:rsidR="003F0D83" w:rsidRDefault="003F0D83">
      <w:pPr>
        <w:pStyle w:val="BodyText"/>
        <w:spacing w:before="7"/>
        <w:ind w:left="0"/>
        <w:rPr>
          <w:b/>
          <w:sz w:val="10"/>
        </w:rPr>
      </w:pPr>
    </w:p>
    <w:p w:rsidR="003F0D83" w:rsidRDefault="003F0D83">
      <w:pPr>
        <w:rPr>
          <w:b/>
          <w:sz w:val="10"/>
          <w:szCs w:val="20"/>
        </w:rPr>
      </w:pPr>
      <w:r>
        <w:rPr>
          <w:b/>
          <w:sz w:val="10"/>
        </w:rPr>
        <w:br w:type="page"/>
      </w:r>
    </w:p>
    <w:p w:rsidR="006A7A3F" w:rsidRDefault="006A7A3F">
      <w:pPr>
        <w:pStyle w:val="BodyText"/>
        <w:spacing w:before="7"/>
        <w:ind w:left="0"/>
        <w:rPr>
          <w:b/>
          <w:sz w:val="10"/>
        </w:rPr>
      </w:pPr>
    </w:p>
    <w:p w:rsidR="006A7A3F" w:rsidRDefault="00BC7372">
      <w:pPr>
        <w:pStyle w:val="Heading1"/>
        <w:numPr>
          <w:ilvl w:val="1"/>
          <w:numId w:val="577"/>
        </w:numPr>
        <w:tabs>
          <w:tab w:val="left" w:pos="911"/>
        </w:tabs>
        <w:spacing w:before="86"/>
      </w:pPr>
      <w:r>
        <w:rPr>
          <w:color w:val="231F20"/>
        </w:rPr>
        <w:t>Loddon</w:t>
      </w:r>
      <w:r>
        <w:rPr>
          <w:color w:val="231F20"/>
          <w:spacing w:val="-2"/>
        </w:rPr>
        <w:t xml:space="preserve"> </w:t>
      </w:r>
      <w:r>
        <w:rPr>
          <w:color w:val="231F20"/>
        </w:rPr>
        <w:t>system</w:t>
      </w:r>
    </w:p>
    <w:p w:rsidR="006A7A3F" w:rsidRDefault="00BC7372">
      <w:pPr>
        <w:spacing w:before="256"/>
        <w:ind w:left="210"/>
        <w:rPr>
          <w:rFonts w:ascii="Helvetica Neue LT Std 75"/>
          <w:b/>
          <w:sz w:val="19"/>
        </w:rPr>
      </w:pPr>
      <w:r>
        <w:rPr>
          <w:rFonts w:ascii="Helvetica Neue LT Std 75"/>
          <w:b/>
          <w:color w:val="231F20"/>
          <w:sz w:val="19"/>
        </w:rPr>
        <w:t>Did you know...?</w:t>
      </w:r>
    </w:p>
    <w:p w:rsidR="006A7A3F" w:rsidRDefault="00BC7372">
      <w:pPr>
        <w:pStyle w:val="BodyText"/>
        <w:spacing w:before="68" w:line="249" w:lineRule="auto"/>
        <w:ind w:right="363"/>
      </w:pPr>
      <w:r>
        <w:rPr>
          <w:color w:val="231F20"/>
        </w:rPr>
        <w:t>Lake Boort is a highly significant area for Dja Dja Wurrung. The floodplain not only contains some of the highest densities of scarred trees in the world but numerous cooking mounds and other remainders of past productivity. The connection continues through to this day and is embedded in the plants, animals, Gatjin (water), Wi (fire) and Djandak (land).</w:t>
      </w:r>
    </w:p>
    <w:p w:rsidR="006A7A3F" w:rsidRDefault="00BC7372" w:rsidP="00093C34">
      <w:pPr>
        <w:pStyle w:val="BodyText"/>
        <w:spacing w:before="120" w:after="120"/>
        <w:ind w:left="0"/>
        <w:rPr>
          <w:sz w:val="13"/>
        </w:rPr>
      </w:pPr>
      <w:r>
        <w:rPr>
          <w:noProof/>
        </w:rPr>
        <w:drawing>
          <wp:inline distT="0" distB="0" distL="0" distR="0">
            <wp:extent cx="2959629" cy="1420368"/>
            <wp:effectExtent l="0" t="0" r="0" b="2540"/>
            <wp:docPr id="2385" name="image48.jpeg" descr="The pie chart shows the proportions of water entitlements in the Loddon system that were held by private users (78%), water authorities (9%) and environmental water holders (13%)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 name="image4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59629" cy="1420368"/>
                    </a:xfrm>
                    <a:prstGeom prst="rect">
                      <a:avLst/>
                    </a:prstGeom>
                  </pic:spPr>
                </pic:pic>
              </a:graphicData>
            </a:graphic>
          </wp:inline>
        </w:drawing>
      </w:r>
    </w:p>
    <w:p w:rsidR="006A7A3F" w:rsidRDefault="006A7A3F">
      <w:pPr>
        <w:pStyle w:val="BodyText"/>
        <w:spacing w:before="8"/>
        <w:ind w:left="0"/>
        <w:rPr>
          <w:sz w:val="31"/>
        </w:rPr>
      </w:pPr>
    </w:p>
    <w:p w:rsidR="006A7A3F" w:rsidRDefault="00BC7372">
      <w:pPr>
        <w:pStyle w:val="Heading7"/>
        <w:spacing w:line="249" w:lineRule="auto"/>
        <w:ind w:right="1123"/>
      </w:pPr>
      <w:r>
        <w:rPr>
          <w:color w:val="231F20"/>
        </w:rPr>
        <w:t>Proportion of water entitlements in the Loddon basin held by private users, water corporations or environmental water holders at 30 June 2019.</w:t>
      </w:r>
    </w:p>
    <w:p w:rsidR="006A7A3F" w:rsidRDefault="006A7A3F">
      <w:pPr>
        <w:pStyle w:val="BodyText"/>
        <w:spacing w:before="8"/>
        <w:ind w:left="0"/>
        <w:rPr>
          <w:b/>
          <w:sz w:val="17"/>
        </w:rPr>
      </w:pPr>
    </w:p>
    <w:p w:rsidR="006A7A3F" w:rsidRDefault="00BC7372">
      <w:pPr>
        <w:spacing w:line="276" w:lineRule="auto"/>
        <w:ind w:left="210" w:right="100"/>
      </w:pPr>
      <w:r>
        <w:rPr>
          <w:color w:val="231F20"/>
        </w:rPr>
        <w:t>The Loddon system includes the Loddon River (including Tullaroop, Serpentine and Pyramid creeks), the Boort wetlands and Birchs Creek.</w:t>
      </w:r>
    </w:p>
    <w:p w:rsidR="006A7A3F" w:rsidRDefault="006A7A3F">
      <w:pPr>
        <w:pStyle w:val="BodyText"/>
        <w:spacing w:before="10"/>
        <w:ind w:left="0"/>
        <w:rPr>
          <w:sz w:val="27"/>
        </w:rPr>
      </w:pPr>
    </w:p>
    <w:p w:rsidR="006A7A3F" w:rsidRDefault="00BC7372">
      <w:pPr>
        <w:pStyle w:val="ListParagraph"/>
        <w:numPr>
          <w:ilvl w:val="2"/>
          <w:numId w:val="577"/>
        </w:numPr>
        <w:tabs>
          <w:tab w:val="left" w:pos="811"/>
        </w:tabs>
        <w:spacing w:before="0"/>
        <w:rPr>
          <w:rFonts w:ascii="HelveticaNeueLTStd-Md"/>
          <w:color w:val="231F20"/>
          <w:sz w:val="24"/>
        </w:rPr>
      </w:pPr>
      <w:r>
        <w:rPr>
          <w:rFonts w:ascii="HelveticaNeueLTStd-Md"/>
          <w:color w:val="231F20"/>
          <w:sz w:val="24"/>
        </w:rPr>
        <w:t xml:space="preserve">Loddon River system (including </w:t>
      </w:r>
      <w:r>
        <w:rPr>
          <w:rFonts w:ascii="HelveticaNeueLTStd-Md"/>
          <w:color w:val="231F20"/>
          <w:spacing w:val="-3"/>
          <w:sz w:val="24"/>
        </w:rPr>
        <w:t xml:space="preserve">Tullaroop, </w:t>
      </w:r>
      <w:r>
        <w:rPr>
          <w:rFonts w:ascii="HelveticaNeueLTStd-Md"/>
          <w:color w:val="231F20"/>
          <w:sz w:val="24"/>
        </w:rPr>
        <w:t>Serpentine and Pyramid</w:t>
      </w:r>
      <w:r>
        <w:rPr>
          <w:rFonts w:ascii="HelveticaNeueLTStd-Md"/>
          <w:color w:val="231F20"/>
          <w:spacing w:val="2"/>
          <w:sz w:val="24"/>
        </w:rPr>
        <w:t xml:space="preserve"> </w:t>
      </w:r>
      <w:r>
        <w:rPr>
          <w:rFonts w:ascii="HelveticaNeueLTStd-Md"/>
          <w:color w:val="231F20"/>
          <w:sz w:val="24"/>
        </w:rPr>
        <w:t>creeks)</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rsidP="003F0D83">
      <w:pPr>
        <w:spacing w:before="99" w:line="276" w:lineRule="auto"/>
        <w:ind w:left="210" w:right="189"/>
      </w:pPr>
      <w:r>
        <w:rPr>
          <w:color w:val="231F20"/>
        </w:rPr>
        <w:t>The Loddon River flows from the Great Dividing Range in the south to the Murray River in the north. Tullaroop Creek is the main tributary in the upper Loddon River system. The middle section of the Loddon River is characterised by many distributary streams and anabranches that carry water away from the river onto the floodplain. The lower Loddon River is joined by Pyramid Creek at Kerang, at which</w:t>
      </w:r>
      <w:r w:rsidR="003F0D83">
        <w:t xml:space="preserve"> </w:t>
      </w:r>
      <w:r>
        <w:rPr>
          <w:color w:val="231F20"/>
        </w:rPr>
        <w:t>point the Loddon becomes part of the Murray River floodplain.</w:t>
      </w:r>
    </w:p>
    <w:p w:rsidR="006A7A3F" w:rsidRDefault="006A7A3F">
      <w:pPr>
        <w:pStyle w:val="BodyText"/>
        <w:spacing w:before="2"/>
        <w:ind w:left="0"/>
        <w:rPr>
          <w:sz w:val="25"/>
        </w:rPr>
      </w:pPr>
    </w:p>
    <w:p w:rsidR="006A7A3F" w:rsidRDefault="00BC7372">
      <w:pPr>
        <w:pStyle w:val="BodyText"/>
        <w:spacing w:before="0" w:line="249" w:lineRule="auto"/>
        <w:ind w:right="100"/>
      </w:pPr>
      <w:r>
        <w:rPr>
          <w:color w:val="231F20"/>
        </w:rPr>
        <w:t>Two main storages are located on the Loddon River: Cairn Curran and Tullaroop reservoirs, with Lake Laanecoorie used to regulate water from the main storages to the Loddon River. Below Laanecoorie Reservoir, the flow is regulated by the operation of the Bridgewater, Serpentine, Loddon and Kerang weirs.</w:t>
      </w:r>
    </w:p>
    <w:p w:rsidR="006A7A3F" w:rsidRDefault="00BC7372">
      <w:pPr>
        <w:pStyle w:val="BodyText"/>
        <w:spacing w:line="249" w:lineRule="auto"/>
        <w:ind w:right="242"/>
      </w:pPr>
      <w:r>
        <w:rPr>
          <w:color w:val="231F20"/>
        </w:rPr>
        <w:t>Water for the environment can be delivered to the Loddon River from Cairn Curran or Tullaroop reservoirs or from the Goulburn system via the Waranga Western Channel, which intersects with the Loddon River at Loddon Weir. Water is provided to Pyramid Creek through releases from Kow Swamp, which receives water diverted from the Murray River at Torrumbarry Weir. Water is diverted from the Loddon River to Serpentine Creek and to the Loddon Valley Irrigation Area to supply agriculture.</w:t>
      </w:r>
    </w:p>
    <w:p w:rsidR="006A7A3F" w:rsidRDefault="00BC7372">
      <w:pPr>
        <w:pStyle w:val="BodyText"/>
        <w:spacing w:before="175" w:line="249" w:lineRule="auto"/>
        <w:ind w:right="275"/>
      </w:pPr>
      <w:r>
        <w:rPr>
          <w:color w:val="231F20"/>
        </w:rPr>
        <w:t>The highly regulated nature of the Loddon system provides both challenges and opportunities for effective management of water for the environment. The ability to manipulate the timing of releases at multiple locations provides opportunities to accomplish environmental outcomes at discrete locations. However, coordinating environmental flows and consumptive flows is difficult through the irrigation season, especially when irrigation demand is high or flow in the river is highly variable. This can lead to constraints in the timing and delivery of water for the environment or higher-than-recommended flows above Loddon Weir. The structures used for managing irrigation water form barriers in the waterway, restricting continuity and the ability to achieve outcomes for native fish and possibly platypus.</w:t>
      </w:r>
    </w:p>
    <w:p w:rsidR="003F0D83" w:rsidRDefault="003F0D83">
      <w:pPr>
        <w:rPr>
          <w:rFonts w:ascii="Helvetica Neue LT Std 75"/>
          <w:b/>
          <w:color w:val="231F20"/>
          <w:sz w:val="19"/>
        </w:rPr>
      </w:pPr>
      <w:r>
        <w:rPr>
          <w:rFonts w:ascii="Helvetica Neue LT Std 75"/>
          <w:b/>
          <w:color w:val="231F20"/>
          <w:sz w:val="19"/>
        </w:rPr>
        <w:br w:type="page"/>
      </w:r>
    </w:p>
    <w:p w:rsidR="006A7A3F" w:rsidRDefault="00BC7372">
      <w:pPr>
        <w:spacing w:before="185"/>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262"/>
      </w:pPr>
      <w:r>
        <w:rPr>
          <w:color w:val="231F20"/>
        </w:rPr>
        <w:t>The Loddon River system supports platypus, rakali (water rats) and several species of native fish. Streamside vegetation varies in condition depending on the recent water regime, the extent of clearing and historic and current land management practices. Those areas remaining relatively intact support a variety of woodland birds and other native animals. Important plant species across the system include cane grass, tangled lignum, black box and river red gum.</w:t>
      </w:r>
    </w:p>
    <w:p w:rsidR="006A7A3F" w:rsidRDefault="00BC7372">
      <w:pPr>
        <w:pStyle w:val="BodyText"/>
        <w:spacing w:before="174" w:line="249" w:lineRule="auto"/>
        <w:ind w:right="330"/>
      </w:pPr>
      <w:r>
        <w:rPr>
          <w:color w:val="231F20"/>
        </w:rPr>
        <w:t>Although fish populations in the Loddon system are affected by the many barriers caused by weirs and reservoirs, a large range of species are still found through the catchment. Native fish are most abundant and diverse in the upper catchment. River blackfish are found in Serpentine Creek and rare Murray-Darling rainbow fish are found in the middle and lower sections of the Loddon River.</w:t>
      </w:r>
    </w:p>
    <w:p w:rsidR="006A7A3F" w:rsidRDefault="00BC7372" w:rsidP="0087445D">
      <w:pPr>
        <w:pStyle w:val="BodyText"/>
        <w:spacing w:before="173" w:line="249" w:lineRule="auto"/>
        <w:ind w:right="743"/>
      </w:pPr>
      <w:r>
        <w:rPr>
          <w:color w:val="231F20"/>
        </w:rPr>
        <w:t>The highest-priority reach for environmental watering is from Loddon Weir to Kerang Weir. The reach does not carry irrigation water, and it relies heavily on environmental flows to maintain its environmental condition.</w:t>
      </w:r>
      <w:r w:rsidR="0087445D">
        <w:rPr>
          <w:color w:val="231F20"/>
        </w:rPr>
        <w:t xml:space="preserve"> </w:t>
      </w:r>
      <w:r>
        <w:rPr>
          <w:color w:val="231F20"/>
        </w:rPr>
        <w:t>Environmental flows to this reach aim to improve the condition of streamside vegetation, maintain water quality and increase the abundance and diversity of native fish. Environmental flows are delivered to the upper Loddon River, Tullaroop Creek and Serpentine Creek to maintain or increase populations of river blackfish and platypus.</w:t>
      </w:r>
    </w:p>
    <w:p w:rsidR="006A7A3F" w:rsidRDefault="00BC7372">
      <w:pPr>
        <w:pStyle w:val="BodyText"/>
        <w:spacing w:before="173" w:line="249" w:lineRule="auto"/>
        <w:ind w:right="252"/>
      </w:pPr>
      <w:r>
        <w:rPr>
          <w:color w:val="231F20"/>
        </w:rPr>
        <w:t>Pyramid Creek and the lower Loddon River support large-bodied fish (such as golden perch, Murray cod and silver perch) and are important corridors for fish migration between the Loddon and Murray systems. Engineering works to provide fish passage at the Chute, Box Creek regulator, Kerang Weir, Fish Point Weir and Little Murray Weir on the Little Murray River in recent years have been important in reopening these migration routes. The Arthur Rylah Institute has monitored fish movement and populations in Pyramid Creek and the lower Loddon River since 2017, and results have indicated that the combined Loddon-Pyramid flow is stimulating native fish movement through the fishways.</w:t>
      </w:r>
    </w:p>
    <w:p w:rsidR="006A7A3F" w:rsidRDefault="00BC7372">
      <w:pPr>
        <w:spacing w:before="185"/>
        <w:ind w:left="210"/>
        <w:rPr>
          <w:rFonts w:ascii="Helvetica Neue LT Std 75"/>
          <w:b/>
          <w:sz w:val="19"/>
        </w:rPr>
      </w:pPr>
      <w:r>
        <w:rPr>
          <w:rFonts w:ascii="Helvetica Neue LT Std 75"/>
          <w:b/>
          <w:color w:val="231F20"/>
          <w:sz w:val="19"/>
        </w:rPr>
        <w:t>Environmental watering objectives in the Loddon River system</w:t>
      </w:r>
    </w:p>
    <w:p w:rsidR="006A7A3F" w:rsidRDefault="006A7A3F">
      <w:pPr>
        <w:pStyle w:val="BodyText"/>
        <w:spacing w:before="11"/>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1160"/>
        </w:trPr>
        <w:tc>
          <w:tcPr>
            <w:tcW w:w="789" w:type="dxa"/>
            <w:tcBorders>
              <w:bottom w:val="single" w:sz="8" w:space="0" w:color="FFFFFF"/>
            </w:tcBorders>
            <w:shd w:val="clear" w:color="auto" w:fill="E6E7E8"/>
          </w:tcPr>
          <w:p w:rsidR="006A7A3F" w:rsidRDefault="006A7A3F">
            <w:pPr>
              <w:pStyle w:val="TableParagraph"/>
              <w:spacing w:before="5"/>
              <w:ind w:left="0"/>
              <w:rPr>
                <w:rFonts w:ascii="Helvetica Neue LT Std 75"/>
                <w:b/>
                <w:sz w:val="24"/>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1" cy="310895"/>
                  <wp:effectExtent l="0" t="0" r="0" b="0"/>
                  <wp:docPr id="238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image19.jpeg"/>
                          <pic:cNvPicPr/>
                        </pic:nvPicPr>
                        <pic:blipFill>
                          <a:blip r:embed="rId31" cstate="print"/>
                          <a:stretch>
                            <a:fillRect/>
                          </a:stretch>
                        </pic:blipFill>
                        <pic:spPr>
                          <a:xfrm>
                            <a:off x="0" y="0"/>
                            <a:ext cx="314171" cy="310895"/>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BC7372">
            <w:pPr>
              <w:pStyle w:val="TableParagraph"/>
              <w:spacing w:before="136" w:line="261" w:lineRule="auto"/>
              <w:ind w:left="118" w:right="403"/>
              <w:rPr>
                <w:sz w:val="16"/>
              </w:rPr>
            </w:pPr>
            <w:r>
              <w:rPr>
                <w:color w:val="231F20"/>
                <w:sz w:val="16"/>
              </w:rPr>
              <w:t>Increase populations of small and large-bodied native fish</w:t>
            </w:r>
          </w:p>
          <w:p w:rsidR="006A7A3F" w:rsidRDefault="00BC7372">
            <w:pPr>
              <w:pStyle w:val="TableParagraph"/>
              <w:spacing w:before="112" w:line="261" w:lineRule="auto"/>
              <w:ind w:left="118" w:right="518"/>
              <w:rPr>
                <w:sz w:val="16"/>
              </w:rPr>
            </w:pPr>
            <w:r>
              <w:rPr>
                <w:color w:val="231F20"/>
                <w:sz w:val="16"/>
              </w:rPr>
              <w:t>Provide habitat for fish to feed and breed and opportunities for movement between habitats</w:t>
            </w:r>
          </w:p>
        </w:tc>
      </w:tr>
      <w:tr w:rsidR="006A7A3F">
        <w:trPr>
          <w:trHeight w:val="1663"/>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1"/>
              <w:ind w:left="0"/>
              <w:rPr>
                <w:rFonts w:ascii="Helvetica Neue LT Std 75"/>
                <w:b/>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389"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image20.jpeg"/>
                          <pic:cNvPicPr/>
                        </pic:nvPicPr>
                        <pic:blipFill>
                          <a:blip r:embed="rId32"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243"/>
              <w:rPr>
                <w:sz w:val="16"/>
              </w:rPr>
            </w:pPr>
            <w:r>
              <w:rPr>
                <w:color w:val="231F20"/>
                <w:sz w:val="16"/>
              </w:rPr>
              <w:t>Enhance the channel form and features including deep pools and benches</w:t>
            </w:r>
          </w:p>
          <w:p w:rsidR="006A7A3F" w:rsidRDefault="00BC7372">
            <w:pPr>
              <w:pStyle w:val="TableParagraph"/>
              <w:spacing w:before="112" w:line="261" w:lineRule="auto"/>
              <w:ind w:left="118" w:right="465"/>
              <w:rPr>
                <w:sz w:val="16"/>
              </w:rPr>
            </w:pPr>
            <w:r>
              <w:rPr>
                <w:color w:val="231F20"/>
                <w:sz w:val="16"/>
              </w:rPr>
              <w:t>Maintain the condition of suitable substrate, to maintain ecosystem processes</w:t>
            </w:r>
          </w:p>
          <w:p w:rsidR="006A7A3F" w:rsidRDefault="00BC7372">
            <w:pPr>
              <w:pStyle w:val="TableParagraph"/>
              <w:spacing w:before="113" w:line="261" w:lineRule="auto"/>
              <w:ind w:left="118" w:right="634"/>
              <w:rPr>
                <w:sz w:val="16"/>
              </w:rPr>
            </w:pPr>
            <w:r>
              <w:rPr>
                <w:color w:val="231F20"/>
                <w:sz w:val="16"/>
              </w:rPr>
              <w:t>Engage floodrunners, distributary channels, anabranches and backwaters</w:t>
            </w:r>
          </w:p>
        </w:tc>
      </w:tr>
      <w:tr w:rsidR="003F0D83" w:rsidTr="003F0D83">
        <w:trPr>
          <w:trHeight w:val="1100"/>
        </w:trPr>
        <w:tc>
          <w:tcPr>
            <w:tcW w:w="789" w:type="dxa"/>
            <w:tcBorders>
              <w:top w:val="single" w:sz="8" w:space="0" w:color="FFFFFF"/>
              <w:bottom w:val="single" w:sz="8" w:space="0" w:color="FFFFFF"/>
            </w:tcBorders>
            <w:shd w:val="clear" w:color="auto" w:fill="E6E7E8"/>
          </w:tcPr>
          <w:p w:rsidR="003F0D83" w:rsidRDefault="003F0D83" w:rsidP="003F0D83">
            <w:pPr>
              <w:pStyle w:val="TableParagraph"/>
              <w:spacing w:before="2"/>
              <w:ind w:left="0"/>
              <w:rPr>
                <w:rFonts w:ascii="Helvetica Neue LT Std 75"/>
                <w:b/>
                <w:sz w:val="23"/>
              </w:rPr>
            </w:pPr>
          </w:p>
          <w:p w:rsidR="003F0D83" w:rsidRDefault="003F0D83" w:rsidP="003F0D83">
            <w:pPr>
              <w:pStyle w:val="TableParagraph"/>
              <w:ind w:left="178"/>
              <w:rPr>
                <w:rFonts w:ascii="Helvetica Neue LT Std 75"/>
                <w:sz w:val="20"/>
              </w:rPr>
            </w:pPr>
            <w:r>
              <w:rPr>
                <w:rFonts w:ascii="Helvetica Neue LT Std 75"/>
                <w:noProof/>
                <w:sz w:val="20"/>
              </w:rPr>
              <w:drawing>
                <wp:inline distT="0" distB="0" distL="0" distR="0" wp14:anchorId="0AC4E548" wp14:editId="3E9CB706">
                  <wp:extent cx="314168" cy="310896"/>
                  <wp:effectExtent l="0" t="0" r="0" b="0"/>
                  <wp:docPr id="2391"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3F0D83" w:rsidRDefault="003F0D83" w:rsidP="003F0D83">
            <w:pPr>
              <w:pStyle w:val="TableParagraph"/>
              <w:spacing w:before="119" w:line="261" w:lineRule="auto"/>
              <w:ind w:left="118" w:right="109"/>
              <w:rPr>
                <w:sz w:val="16"/>
              </w:rPr>
            </w:pPr>
            <w:r>
              <w:rPr>
                <w:color w:val="231F20"/>
                <w:sz w:val="16"/>
              </w:rPr>
              <w:t>Increase the population and recruitment of resident platypus</w:t>
            </w:r>
          </w:p>
          <w:p w:rsidR="003F0D83" w:rsidRDefault="003F0D83" w:rsidP="003F0D83">
            <w:pPr>
              <w:pStyle w:val="TableParagraph"/>
              <w:spacing w:before="112" w:line="261" w:lineRule="auto"/>
              <w:ind w:left="118" w:right="92"/>
              <w:rPr>
                <w:sz w:val="16"/>
              </w:rPr>
            </w:pPr>
            <w:r>
              <w:rPr>
                <w:color w:val="231F20"/>
                <w:sz w:val="16"/>
              </w:rPr>
              <w:t>Maintain a stable rakali (water rat) population in the long term</w:t>
            </w:r>
          </w:p>
        </w:tc>
      </w:tr>
      <w:tr w:rsidR="003F0D83" w:rsidTr="003F0D83">
        <w:trPr>
          <w:trHeight w:val="975"/>
        </w:trPr>
        <w:tc>
          <w:tcPr>
            <w:tcW w:w="789" w:type="dxa"/>
            <w:tcBorders>
              <w:top w:val="single" w:sz="8" w:space="0" w:color="FFFFFF"/>
              <w:bottom w:val="single" w:sz="8" w:space="0" w:color="FFFFFF"/>
            </w:tcBorders>
            <w:shd w:val="clear" w:color="auto" w:fill="E6E7E8"/>
          </w:tcPr>
          <w:p w:rsidR="003F0D83" w:rsidRDefault="003F0D83" w:rsidP="003F0D83">
            <w:pPr>
              <w:pStyle w:val="TableParagraph"/>
              <w:spacing w:before="13"/>
              <w:ind w:left="0"/>
              <w:rPr>
                <w:rFonts w:ascii="Helvetica Neue LT Std 75"/>
                <w:b/>
                <w:sz w:val="15"/>
              </w:rPr>
            </w:pPr>
          </w:p>
          <w:p w:rsidR="003F0D83" w:rsidRDefault="003F0D83" w:rsidP="003F0D83">
            <w:pPr>
              <w:pStyle w:val="TableParagraph"/>
              <w:ind w:left="178"/>
              <w:rPr>
                <w:rFonts w:ascii="Helvetica Neue LT Std 75"/>
                <w:sz w:val="20"/>
              </w:rPr>
            </w:pPr>
            <w:r>
              <w:rPr>
                <w:rFonts w:ascii="Helvetica Neue LT Std 75"/>
                <w:noProof/>
                <w:sz w:val="20"/>
              </w:rPr>
              <w:drawing>
                <wp:inline distT="0" distB="0" distL="0" distR="0" wp14:anchorId="2BD68BAA" wp14:editId="60B8CD80">
                  <wp:extent cx="314168" cy="310896"/>
                  <wp:effectExtent l="0" t="0" r="0" b="0"/>
                  <wp:docPr id="2393"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3F0D83" w:rsidRDefault="003F0D83" w:rsidP="003F0D83">
            <w:pPr>
              <w:pStyle w:val="TableParagraph"/>
              <w:spacing w:before="119"/>
              <w:ind w:left="118"/>
              <w:rPr>
                <w:sz w:val="16"/>
              </w:rPr>
            </w:pPr>
            <w:r>
              <w:rPr>
                <w:color w:val="231F20"/>
                <w:sz w:val="16"/>
              </w:rPr>
              <w:t>Maintain the streamside and floodplain vegetation</w:t>
            </w:r>
          </w:p>
          <w:p w:rsidR="003F0D83" w:rsidRDefault="003F0D83" w:rsidP="003F0D83">
            <w:pPr>
              <w:pStyle w:val="TableParagraph"/>
              <w:spacing w:before="129" w:line="261" w:lineRule="auto"/>
              <w:ind w:left="118" w:right="519"/>
              <w:rPr>
                <w:sz w:val="16"/>
              </w:rPr>
            </w:pPr>
            <w:r>
              <w:rPr>
                <w:color w:val="231F20"/>
                <w:sz w:val="16"/>
              </w:rPr>
              <w:t>Maintain and increase the extent of in-stream vegetation</w:t>
            </w:r>
          </w:p>
        </w:tc>
      </w:tr>
      <w:tr w:rsidR="003F0D83" w:rsidTr="003F0D83">
        <w:trPr>
          <w:trHeight w:val="975"/>
        </w:trPr>
        <w:tc>
          <w:tcPr>
            <w:tcW w:w="789" w:type="dxa"/>
            <w:tcBorders>
              <w:top w:val="single" w:sz="8" w:space="0" w:color="FFFFFF"/>
              <w:bottom w:val="single" w:sz="8" w:space="0" w:color="FFFFFF"/>
            </w:tcBorders>
            <w:shd w:val="clear" w:color="auto" w:fill="E6E7E8"/>
          </w:tcPr>
          <w:p w:rsidR="003F0D83" w:rsidRDefault="003F0D83" w:rsidP="003F0D83">
            <w:pPr>
              <w:pStyle w:val="TableParagraph"/>
              <w:spacing w:before="1"/>
              <w:ind w:left="0"/>
              <w:rPr>
                <w:rFonts w:ascii="Helvetica Neue LT Std 75"/>
                <w:b/>
                <w:sz w:val="19"/>
              </w:rPr>
            </w:pPr>
          </w:p>
          <w:p w:rsidR="003F0D83" w:rsidRDefault="003F0D83" w:rsidP="003F0D83">
            <w:pPr>
              <w:pStyle w:val="TableParagraph"/>
              <w:ind w:left="178"/>
              <w:rPr>
                <w:rFonts w:ascii="Helvetica Neue LT Std 75"/>
                <w:sz w:val="20"/>
              </w:rPr>
            </w:pPr>
            <w:r>
              <w:rPr>
                <w:rFonts w:ascii="Helvetica Neue LT Std 75"/>
                <w:noProof/>
                <w:sz w:val="20"/>
              </w:rPr>
              <w:drawing>
                <wp:inline distT="0" distB="0" distL="0" distR="0" wp14:anchorId="23CFC071" wp14:editId="7416758E">
                  <wp:extent cx="314168" cy="310896"/>
                  <wp:effectExtent l="0" t="0" r="0" b="0"/>
                  <wp:docPr id="2395"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3F0D83" w:rsidRDefault="003F0D83" w:rsidP="003F0D83">
            <w:pPr>
              <w:pStyle w:val="TableParagraph"/>
              <w:spacing w:before="119" w:line="261" w:lineRule="auto"/>
              <w:ind w:left="118" w:right="403"/>
              <w:rPr>
                <w:sz w:val="16"/>
              </w:rPr>
            </w:pPr>
            <w:r>
              <w:rPr>
                <w:color w:val="231F20"/>
                <w:sz w:val="16"/>
              </w:rPr>
              <w:t>Maintain/increase the diversity and productivity of waterbugs, including biofilms and waterbug</w:t>
            </w:r>
          </w:p>
          <w:p w:rsidR="003F0D83" w:rsidRDefault="003F0D83" w:rsidP="003F0D83">
            <w:pPr>
              <w:pStyle w:val="TableParagraph"/>
              <w:spacing w:line="261" w:lineRule="auto"/>
              <w:ind w:left="118" w:right="225"/>
              <w:rPr>
                <w:sz w:val="16"/>
              </w:rPr>
            </w:pPr>
            <w:r>
              <w:rPr>
                <w:color w:val="231F20"/>
                <w:sz w:val="16"/>
              </w:rPr>
              <w:t>functional feeding groups, to drive productive and dynamic food webs</w:t>
            </w:r>
          </w:p>
        </w:tc>
      </w:tr>
      <w:tr w:rsidR="003F0D83" w:rsidTr="003F0D83">
        <w:trPr>
          <w:trHeight w:val="819"/>
        </w:trPr>
        <w:tc>
          <w:tcPr>
            <w:tcW w:w="789" w:type="dxa"/>
            <w:tcBorders>
              <w:top w:val="single" w:sz="8" w:space="0" w:color="FFFFFF"/>
              <w:bottom w:val="single" w:sz="8" w:space="0" w:color="FFFFFF"/>
            </w:tcBorders>
            <w:shd w:val="clear" w:color="auto" w:fill="E6E7E8"/>
          </w:tcPr>
          <w:p w:rsidR="003F0D83" w:rsidRDefault="003F0D83" w:rsidP="003F0D83">
            <w:pPr>
              <w:pStyle w:val="TableParagraph"/>
              <w:spacing w:before="13"/>
              <w:ind w:left="0"/>
              <w:rPr>
                <w:rFonts w:ascii="Helvetica Neue LT Std 75"/>
                <w:b/>
                <w:sz w:val="10"/>
              </w:rPr>
            </w:pPr>
          </w:p>
          <w:p w:rsidR="003F0D83" w:rsidRDefault="003F0D83" w:rsidP="003F0D83">
            <w:pPr>
              <w:pStyle w:val="TableParagraph"/>
              <w:ind w:left="178"/>
              <w:rPr>
                <w:rFonts w:ascii="Helvetica Neue LT Std 75"/>
                <w:sz w:val="20"/>
              </w:rPr>
            </w:pPr>
            <w:r>
              <w:rPr>
                <w:rFonts w:ascii="Helvetica Neue LT Std 75"/>
                <w:noProof/>
                <w:sz w:val="20"/>
              </w:rPr>
              <w:drawing>
                <wp:inline distT="0" distB="0" distL="0" distR="0" wp14:anchorId="4053C93D" wp14:editId="695BFAC1">
                  <wp:extent cx="314166" cy="310896"/>
                  <wp:effectExtent l="0" t="0" r="0" b="0"/>
                  <wp:docPr id="239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image23.png"/>
                          <pic:cNvPicPr/>
                        </pic:nvPicPr>
                        <pic:blipFill>
                          <a:blip r:embed="rId35" cstate="print"/>
                          <a:stretch>
                            <a:fillRect/>
                          </a:stretch>
                        </pic:blipFill>
                        <pic:spPr>
                          <a:xfrm>
                            <a:off x="0" y="0"/>
                            <a:ext cx="314166"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3F0D83" w:rsidRDefault="003F0D83" w:rsidP="003F0D83">
            <w:pPr>
              <w:pStyle w:val="TableParagraph"/>
              <w:spacing w:before="10"/>
              <w:ind w:left="0"/>
              <w:rPr>
                <w:rFonts w:ascii="Helvetica Neue LT Std 75"/>
                <w:b/>
                <w:sz w:val="14"/>
              </w:rPr>
            </w:pPr>
          </w:p>
          <w:p w:rsidR="003F0D83" w:rsidRDefault="003F0D83" w:rsidP="003F0D83">
            <w:pPr>
              <w:pStyle w:val="TableParagraph"/>
              <w:spacing w:line="261" w:lineRule="auto"/>
              <w:ind w:left="118"/>
              <w:rPr>
                <w:sz w:val="16"/>
              </w:rPr>
            </w:pPr>
            <w:r>
              <w:rPr>
                <w:color w:val="231F20"/>
                <w:sz w:val="16"/>
              </w:rPr>
              <w:t>Maintain water quality, to support aquatic animals and minimise the risk of blackwater events</w:t>
            </w:r>
          </w:p>
        </w:tc>
      </w:tr>
    </w:tbl>
    <w:p w:rsidR="006A7A3F" w:rsidRDefault="006A7A3F">
      <w:pPr>
        <w:spacing w:line="261" w:lineRule="auto"/>
        <w:rPr>
          <w:sz w:val="16"/>
        </w:rPr>
        <w:sectPr w:rsidR="006A7A3F" w:rsidSect="00C92D74">
          <w:pgSz w:w="11910" w:h="16840"/>
          <w:pgMar w:top="1701" w:right="851" w:bottom="1134" w:left="851" w:header="720" w:footer="720" w:gutter="0"/>
          <w:cols w:space="720"/>
        </w:sectPr>
      </w:pPr>
    </w:p>
    <w:p w:rsidR="006A7A3F" w:rsidRDefault="006A7A3F">
      <w:pPr>
        <w:pStyle w:val="BodyText"/>
        <w:spacing w:before="12"/>
        <w:ind w:left="0"/>
        <w:rPr>
          <w:rFonts w:ascii="Helvetica Neue LT Std 75"/>
          <w:b/>
          <w:sz w:val="5"/>
        </w:rPr>
      </w:pPr>
    </w:p>
    <w:p w:rsidR="006A7A3F" w:rsidRDefault="00BC7372">
      <w:pPr>
        <w:spacing w:before="6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141"/>
      </w:pPr>
      <w:r>
        <w:rPr>
          <w:color w:val="231F20"/>
        </w:rPr>
        <w:t>In planning for environmental flows in the Loddon River, Dja Dja Wurrung, Barapa Barapa and Wamba Wemba and North Central CMA have considered how environmental flows in the Loddon system can be managed to support their respective values and uses.</w:t>
      </w:r>
    </w:p>
    <w:p w:rsidR="006A7A3F" w:rsidRDefault="00BC7372">
      <w:pPr>
        <w:pStyle w:val="BodyText"/>
        <w:spacing w:line="249" w:lineRule="auto"/>
        <w:ind w:right="336"/>
        <w:jc w:val="both"/>
      </w:pPr>
      <w:r>
        <w:rPr>
          <w:color w:val="231F20"/>
        </w:rPr>
        <w:t>The Dja Dja Wurrung Traditional Owners have expressed an interest in seeing a return of species to the river that were, within peoples’ living memory, more abundant. This includes species such as platypus, turtles and yabbies. Restoring a natural flow regime and improving water quality are overall cultural aspirations of the Dja Dja Wurrung for management of waterways.</w:t>
      </w:r>
    </w:p>
    <w:p w:rsidR="006A7A3F" w:rsidRDefault="00BC7372">
      <w:pPr>
        <w:pStyle w:val="BodyText"/>
        <w:spacing w:before="174" w:line="249" w:lineRule="auto"/>
        <w:ind w:right="241"/>
      </w:pPr>
      <w:r>
        <w:rPr>
          <w:color w:val="231F20"/>
        </w:rPr>
        <w:t>The Barapa Barapa and Wamba Wemba are the Traditional Owners in the northern part of the Loddon catchment, and artefacts of cultural practices are present throughout the Loddon and Pyramid system and its floodplain. The river and floodplain are valued as food and fibre sources and sites of cultural significance such as scar trees, camp sites, meeting places and other important sites.</w:t>
      </w:r>
    </w:p>
    <w:p w:rsidR="006A7A3F" w:rsidRDefault="00BC7372">
      <w:pPr>
        <w:spacing w:before="182"/>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8" w:line="249" w:lineRule="auto"/>
        <w:ind w:right="100"/>
      </w:pPr>
      <w:r>
        <w:rPr>
          <w:color w:val="231F20"/>
        </w:rPr>
        <w:t>In planning the potential watering actions in Table 5.7.1, North Central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and fishing, kayaking, water skiing and</w:t>
      </w:r>
      <w:r>
        <w:rPr>
          <w:color w:val="231F20"/>
          <w:spacing w:val="-10"/>
          <w:sz w:val="20"/>
        </w:rPr>
        <w:t xml:space="preserve"> </w:t>
      </w:r>
      <w:r>
        <w:rPr>
          <w:color w:val="231F20"/>
          <w:sz w:val="20"/>
        </w:rPr>
        <w:t>swimming)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camping, cycling, picnicking and</w:t>
      </w:r>
      <w:r>
        <w:rPr>
          <w:color w:val="231F20"/>
          <w:spacing w:val="-10"/>
          <w:sz w:val="20"/>
        </w:rPr>
        <w:t xml:space="preserve"> </w:t>
      </w:r>
      <w:r>
        <w:rPr>
          <w:color w:val="231F20"/>
          <w:sz w:val="20"/>
        </w:rPr>
        <w:t>walking)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 local</w:t>
      </w:r>
      <w:r>
        <w:rPr>
          <w:color w:val="231F20"/>
          <w:spacing w:val="-5"/>
          <w:sz w:val="20"/>
        </w:rPr>
        <w:t xml:space="preserve"> </w:t>
      </w:r>
      <w:r>
        <w:rPr>
          <w:color w:val="231F20"/>
          <w:sz w:val="20"/>
        </w:rPr>
        <w:t>visitation)</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diverters for irrigation, domestic and stock</w:t>
      </w:r>
      <w:r>
        <w:rPr>
          <w:color w:val="231F20"/>
          <w:spacing w:val="-13"/>
          <w:sz w:val="20"/>
        </w:rPr>
        <w:t xml:space="preserve"> </w:t>
      </w:r>
      <w:r>
        <w:rPr>
          <w:color w:val="231F20"/>
          <w:sz w:val="20"/>
        </w:rPr>
        <w:t>uses).</w:t>
      </w:r>
    </w:p>
    <w:p w:rsidR="006A7A3F" w:rsidRDefault="00BC7372">
      <w:pPr>
        <w:pStyle w:val="BodyText"/>
        <w:spacing w:before="180" w:line="249" w:lineRule="auto"/>
        <w:ind w:right="174"/>
      </w:pPr>
      <w:r>
        <w:rPr>
          <w:color w:val="231F20"/>
        </w:rPr>
        <w:t>If the timing or management of planned environmental flows may be modified to align with a community benefit, this is acknowledged in Table 5.7.1 with an icon.</w:t>
      </w:r>
    </w:p>
    <w:p w:rsidR="006A7A3F" w:rsidRDefault="006A7A3F">
      <w:pPr>
        <w:pStyle w:val="BodyText"/>
        <w:spacing w:before="4"/>
        <w:ind w:left="0"/>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29"/>
        </w:trPr>
        <w:tc>
          <w:tcPr>
            <w:tcW w:w="789" w:type="dxa"/>
            <w:shd w:val="clear" w:color="auto" w:fill="E6E7E8"/>
          </w:tcPr>
          <w:p w:rsidR="006A7A3F" w:rsidRDefault="006A7A3F">
            <w:pPr>
              <w:pStyle w:val="TableParagraph"/>
              <w:spacing w:before="9"/>
              <w:ind w:left="0"/>
              <w:rPr>
                <w:sz w:val="14"/>
              </w:rPr>
            </w:pPr>
          </w:p>
          <w:p w:rsidR="006A7A3F" w:rsidRDefault="00BC7372">
            <w:pPr>
              <w:pStyle w:val="TableParagraph"/>
              <w:ind w:left="178"/>
              <w:rPr>
                <w:sz w:val="20"/>
              </w:rPr>
            </w:pPr>
            <w:r>
              <w:rPr>
                <w:noProof/>
                <w:sz w:val="20"/>
              </w:rPr>
              <w:drawing>
                <wp:inline distT="0" distB="0" distL="0" distR="0">
                  <wp:extent cx="314168" cy="310895"/>
                  <wp:effectExtent l="0" t="0" r="0" b="0"/>
                  <wp:docPr id="2399"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image24.jpeg"/>
                          <pic:cNvPicPr/>
                        </pic:nvPicPr>
                        <pic:blipFill>
                          <a:blip r:embed="rId36" cstate="print"/>
                          <a:stretch>
                            <a:fillRect/>
                          </a:stretch>
                        </pic:blipFill>
                        <pic:spPr>
                          <a:xfrm>
                            <a:off x="0" y="0"/>
                            <a:ext cx="314168" cy="310895"/>
                          </a:xfrm>
                          <a:prstGeom prst="rect">
                            <a:avLst/>
                          </a:prstGeom>
                        </pic:spPr>
                      </pic:pic>
                    </a:graphicData>
                  </a:graphic>
                </wp:inline>
              </w:drawing>
            </w:r>
          </w:p>
        </w:tc>
        <w:tc>
          <w:tcPr>
            <w:tcW w:w="3859" w:type="dxa"/>
            <w:shd w:val="clear" w:color="auto" w:fill="E6E7E8"/>
          </w:tcPr>
          <w:p w:rsidR="006A7A3F" w:rsidRDefault="006A7A3F">
            <w:pPr>
              <w:pStyle w:val="TableParagraph"/>
              <w:spacing w:before="4"/>
              <w:ind w:left="0"/>
              <w:rPr>
                <w:sz w:val="19"/>
              </w:rPr>
            </w:pPr>
          </w:p>
          <w:p w:rsidR="006A7A3F" w:rsidRDefault="00BC7372">
            <w:pPr>
              <w:pStyle w:val="TableParagraph"/>
              <w:spacing w:line="261" w:lineRule="auto"/>
              <w:ind w:left="118"/>
              <w:rPr>
                <w:sz w:val="16"/>
              </w:rPr>
            </w:pPr>
            <w:r>
              <w:rPr>
                <w:color w:val="231F20"/>
                <w:sz w:val="16"/>
              </w:rPr>
              <w:t>Watering planned to support water sports activities (e.g. skiing competitions)</w:t>
            </w:r>
          </w:p>
        </w:tc>
      </w:tr>
    </w:tbl>
    <w:p w:rsidR="006A7A3F" w:rsidRDefault="00BC7372">
      <w:pPr>
        <w:pStyle w:val="BodyText"/>
        <w:spacing w:before="142" w:line="249" w:lineRule="auto"/>
        <w:ind w:right="386"/>
      </w:pPr>
      <w:r>
        <w:rPr>
          <w:color w:val="231F20"/>
        </w:rPr>
        <w:t>If possible, North Central CMA will work with Goulburn-Murray Water to manage the delivery of low flow over summer/autumn, which supports optimum conditions for annual water-skiing competitions on the Loddon River at Bridgewater.</w:t>
      </w:r>
    </w:p>
    <w:p w:rsidR="006A7A3F" w:rsidRDefault="00BC7372">
      <w:pPr>
        <w:spacing w:before="182"/>
        <w:ind w:left="210"/>
        <w:rPr>
          <w:rFonts w:ascii="Helvetica Neue LT Std 75"/>
          <w:b/>
          <w:sz w:val="19"/>
        </w:rPr>
      </w:pPr>
      <w:r>
        <w:rPr>
          <w:rFonts w:ascii="Helvetica Neue LT Std 75"/>
          <w:b/>
          <w:color w:val="231F20"/>
          <w:sz w:val="19"/>
        </w:rPr>
        <w:t>Recent conditions</w:t>
      </w:r>
    </w:p>
    <w:p w:rsidR="006A7A3F" w:rsidRDefault="00BC7372">
      <w:pPr>
        <w:pStyle w:val="BodyText"/>
        <w:spacing w:before="67" w:line="249" w:lineRule="auto"/>
        <w:ind w:right="100"/>
      </w:pPr>
      <w:r>
        <w:rPr>
          <w:color w:val="231F20"/>
        </w:rPr>
        <w:t>The mid-Loddon catchment had above-average rainfall in July 2019, but the middle and upper Loddon catchments were significantly drier than average during spring and for the first half of summer. Rainfall throughout the Loddon catchment was above average during late summer/autumn 2020, but that did not significantly affect storage levels. Seasonal determinations did not reach 100 percent in the Loddon or Goulburn systems during 2019–20, but carryover, used of allocated water and environmental water transferred into the Loddon system from entitlements in the Goulburn system ensured that enough water was available to deliver all required environmental flows.</w:t>
      </w:r>
    </w:p>
    <w:p w:rsidR="006A7A3F" w:rsidRDefault="00BC7372" w:rsidP="003F0D83">
      <w:pPr>
        <w:pStyle w:val="BodyText"/>
        <w:spacing w:before="175" w:line="249" w:lineRule="auto"/>
        <w:ind w:right="425"/>
        <w:jc w:val="both"/>
      </w:pPr>
      <w:r>
        <w:rPr>
          <w:color w:val="231F20"/>
        </w:rPr>
        <w:t>Rainfall in the Bet Bet Creek catchment caused spills at Laanecoorie Reservoir and Loddon Weir during July and August 2019, which provided a series of natural freshes and minor overbank flows in the Loddon River below</w:t>
      </w:r>
      <w:r w:rsidR="003F0D83">
        <w:t xml:space="preserve"> </w:t>
      </w:r>
      <w:r>
        <w:rPr>
          <w:color w:val="231F20"/>
        </w:rPr>
        <w:t>Loddon Weir during early winter. Following the winter spills, flow in the Loddon system returned to the usual regulated conditions for the remainder of the year. Flow in the Loddon River above Loddon Weir, Serpentine Creek and Pyramid Creek exceeded the recommended environmental flow rates at various times during summer/autumn, due to consumptive water deliveries.</w:t>
      </w:r>
    </w:p>
    <w:p w:rsidR="006A7A3F" w:rsidRDefault="00BC7372">
      <w:pPr>
        <w:pStyle w:val="BodyText"/>
        <w:spacing w:before="174" w:line="249" w:lineRule="auto"/>
        <w:ind w:right="274"/>
      </w:pPr>
      <w:r>
        <w:rPr>
          <w:color w:val="231F20"/>
        </w:rPr>
        <w:t>The planned environmental watering regime for reach 4 of the Loddon River under dry and average scenarios was entirely achieved in 2019–20. Following the winter high flow, the priority for the year was to continue year-round low flow in the Loddon River and provide summer-autumn freshes to protect water quality and refuge habitat in the Loddon River and Serpentine Creek. Carryover and water transferred into the system made it possible to deliver a spring fresh, combining water from the Loddon River and Pyramid Creek during November 2019.</w:t>
      </w:r>
    </w:p>
    <w:p w:rsidR="003F0D83" w:rsidRDefault="003F0D83">
      <w:pPr>
        <w:rPr>
          <w:color w:val="231F20"/>
          <w:sz w:val="20"/>
          <w:szCs w:val="20"/>
        </w:rPr>
      </w:pPr>
      <w:r>
        <w:rPr>
          <w:color w:val="231F20"/>
        </w:rPr>
        <w:br w:type="page"/>
      </w:r>
    </w:p>
    <w:p w:rsidR="006A7A3F" w:rsidRDefault="00BC7372">
      <w:pPr>
        <w:pStyle w:val="BodyText"/>
        <w:spacing w:before="174" w:line="249" w:lineRule="auto"/>
        <w:ind w:right="574"/>
      </w:pPr>
      <w:r>
        <w:rPr>
          <w:color w:val="231F20"/>
        </w:rPr>
        <w:t xml:space="preserve">Monitoring stations continuously monitor temperature and oxygen in reach 4 of the Loddon </w:t>
      </w:r>
      <w:r>
        <w:rPr>
          <w:color w:val="231F20"/>
          <w:spacing w:val="-3"/>
        </w:rPr>
        <w:t xml:space="preserve">River. </w:t>
      </w:r>
      <w:r>
        <w:rPr>
          <w:color w:val="231F20"/>
        </w:rPr>
        <w:t>Low oxygen and high water temperatures have occurred in the Loddon River under low flow conditions in previous years, but environmental flows and relatively cool conditions throughout the second half of summer/autumn prevented poor water quality during 2019–20. Environmental water will continue to be used in future, to reduce the risk of dangerously low levels of</w:t>
      </w:r>
      <w:r>
        <w:rPr>
          <w:color w:val="231F20"/>
          <w:spacing w:val="-5"/>
        </w:rPr>
        <w:t xml:space="preserve"> </w:t>
      </w:r>
      <w:r>
        <w:rPr>
          <w:color w:val="231F20"/>
        </w:rPr>
        <w:t>oxygen.</w:t>
      </w:r>
    </w:p>
    <w:p w:rsidR="006A7A3F" w:rsidRDefault="00BC7372">
      <w:pPr>
        <w:spacing w:before="183"/>
        <w:ind w:left="210"/>
        <w:rPr>
          <w:rFonts w:ascii="Helvetica Neue LT Std 75"/>
          <w:b/>
          <w:sz w:val="19"/>
        </w:rPr>
      </w:pPr>
      <w:r>
        <w:rPr>
          <w:rFonts w:ascii="Helvetica Neue LT Std 75"/>
          <w:b/>
          <w:color w:val="231F20"/>
          <w:sz w:val="19"/>
        </w:rPr>
        <w:t>Scope of environmental</w:t>
      </w:r>
      <w:r>
        <w:rPr>
          <w:rFonts w:ascii="Helvetica Neue LT Std 75"/>
          <w:b/>
          <w:color w:val="231F20"/>
          <w:spacing w:val="-4"/>
          <w:sz w:val="19"/>
        </w:rPr>
        <w:t xml:space="preserve"> </w:t>
      </w:r>
      <w:r>
        <w:rPr>
          <w:rFonts w:ascii="Helvetica Neue LT Std 75"/>
          <w:b/>
          <w:color w:val="231F20"/>
          <w:sz w:val="19"/>
        </w:rPr>
        <w:t>watering</w:t>
      </w:r>
    </w:p>
    <w:p w:rsidR="006A7A3F" w:rsidRDefault="00BC7372">
      <w:pPr>
        <w:pStyle w:val="BodyText"/>
        <w:spacing w:before="68" w:line="249" w:lineRule="auto"/>
        <w:ind w:right="251"/>
      </w:pPr>
      <w:r>
        <w:rPr>
          <w:color w:val="231F20"/>
        </w:rPr>
        <w:t>Table 5.7.1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5.7.1 Potential environmental watering actions and objectives for the Loddon River system</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80" w:line="254" w:lineRule="auto"/>
              <w:ind w:left="85" w:right="192"/>
              <w:rPr>
                <w:b/>
                <w:sz w:val="18"/>
              </w:rPr>
            </w:pPr>
            <w:r>
              <w:rPr>
                <w:b/>
                <w:color w:val="FFFFFF"/>
                <w:sz w:val="18"/>
              </w:rPr>
              <w:t>Environmental objectives</w:t>
            </w:r>
          </w:p>
        </w:tc>
      </w:tr>
      <w:tr w:rsidR="006A7A3F">
        <w:trPr>
          <w:trHeight w:val="333"/>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Pr="003F0D83" w:rsidRDefault="00BC7372">
            <w:pPr>
              <w:pStyle w:val="TableParagraph"/>
              <w:spacing w:before="74"/>
              <w:ind w:left="85"/>
              <w:rPr>
                <w:b/>
                <w:bCs/>
                <w:sz w:val="16"/>
              </w:rPr>
            </w:pPr>
            <w:r w:rsidRPr="003F0D83">
              <w:rPr>
                <w:b/>
                <w:bCs/>
                <w:color w:val="231F20"/>
                <w:sz w:val="16"/>
              </w:rPr>
              <w:t>Loddon River (targeting reach 4)</w:t>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522"/>
              <w:rPr>
                <w:sz w:val="16"/>
              </w:rPr>
            </w:pPr>
            <w:r>
              <w:rPr>
                <w:color w:val="231F20"/>
                <w:sz w:val="16"/>
              </w:rPr>
              <w:t>Summer/autumn fresh (one to three freshes of 50–100 ML/day for three</w:t>
            </w:r>
          </w:p>
          <w:p w:rsidR="006A7A3F" w:rsidRDefault="00BC7372">
            <w:pPr>
              <w:pStyle w:val="TableParagraph"/>
              <w:spacing w:line="261" w:lineRule="auto"/>
              <w:ind w:left="85" w:right="158"/>
              <w:rPr>
                <w:sz w:val="9"/>
              </w:rPr>
            </w:pPr>
            <w:r>
              <w:rPr>
                <w:color w:val="231F20"/>
                <w:sz w:val="16"/>
              </w:rPr>
              <w:t>to four days during December to May)</w:t>
            </w:r>
            <w:r>
              <w:rPr>
                <w:color w:val="231F20"/>
                <w:position w:val="5"/>
                <w:sz w:val="9"/>
              </w:rPr>
              <w:t>1</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1"/>
              </w:numPr>
              <w:tabs>
                <w:tab w:val="left" w:pos="306"/>
              </w:tabs>
              <w:spacing w:before="70"/>
              <w:ind w:hanging="218"/>
              <w:rPr>
                <w:sz w:val="18"/>
              </w:rPr>
            </w:pPr>
            <w:r>
              <w:rPr>
                <w:color w:val="231F20"/>
                <w:sz w:val="18"/>
              </w:rPr>
              <w:t>Flush fine sediment from hard</w:t>
            </w:r>
            <w:r>
              <w:rPr>
                <w:color w:val="231F20"/>
                <w:spacing w:val="-2"/>
                <w:sz w:val="18"/>
              </w:rPr>
              <w:t xml:space="preserve"> </w:t>
            </w:r>
            <w:r>
              <w:rPr>
                <w:color w:val="231F20"/>
                <w:sz w:val="18"/>
              </w:rPr>
              <w:t>surfaces</w:t>
            </w:r>
          </w:p>
          <w:p w:rsidR="006A7A3F" w:rsidRDefault="00BC7372">
            <w:pPr>
              <w:pStyle w:val="TableParagraph"/>
              <w:numPr>
                <w:ilvl w:val="0"/>
                <w:numId w:val="81"/>
              </w:numPr>
              <w:tabs>
                <w:tab w:val="left" w:pos="306"/>
              </w:tabs>
              <w:spacing w:before="98" w:line="254" w:lineRule="auto"/>
              <w:ind w:right="516"/>
              <w:rPr>
                <w:sz w:val="18"/>
              </w:rPr>
            </w:pPr>
            <w:r>
              <w:rPr>
                <w:color w:val="231F20"/>
                <w:sz w:val="18"/>
              </w:rPr>
              <w:t>Increase the water level, to promote the growth of fringing emergent macrophytes</w:t>
            </w:r>
          </w:p>
          <w:p w:rsidR="006A7A3F" w:rsidRDefault="00BC7372">
            <w:pPr>
              <w:pStyle w:val="TableParagraph"/>
              <w:numPr>
                <w:ilvl w:val="0"/>
                <w:numId w:val="81"/>
              </w:numPr>
              <w:tabs>
                <w:tab w:val="left" w:pos="306"/>
              </w:tabs>
              <w:spacing w:before="87" w:line="254" w:lineRule="auto"/>
              <w:ind w:right="116"/>
              <w:rPr>
                <w:sz w:val="18"/>
              </w:rPr>
            </w:pPr>
            <w:r>
              <w:rPr>
                <w:color w:val="231F20"/>
                <w:sz w:val="18"/>
              </w:rPr>
              <w:t>Increase connectivity to promote the local movement of fish and</w:t>
            </w:r>
            <w:r>
              <w:rPr>
                <w:color w:val="231F20"/>
                <w:spacing w:val="-24"/>
                <w:sz w:val="18"/>
              </w:rPr>
              <w:t xml:space="preserve"> </w:t>
            </w:r>
            <w:r>
              <w:rPr>
                <w:color w:val="231F20"/>
                <w:sz w:val="18"/>
              </w:rPr>
              <w:t>platypus including juvenile dispersal in</w:t>
            </w:r>
            <w:r>
              <w:rPr>
                <w:color w:val="231F20"/>
                <w:spacing w:val="-6"/>
                <w:sz w:val="18"/>
              </w:rPr>
              <w:t xml:space="preserve"> </w:t>
            </w:r>
            <w:r>
              <w:rPr>
                <w:color w:val="231F20"/>
                <w:sz w:val="18"/>
              </w:rPr>
              <w:t>autumn</w:t>
            </w:r>
          </w:p>
          <w:p w:rsidR="006A7A3F" w:rsidRDefault="00BC7372">
            <w:pPr>
              <w:pStyle w:val="TableParagraph"/>
              <w:numPr>
                <w:ilvl w:val="0"/>
                <w:numId w:val="81"/>
              </w:numPr>
              <w:tabs>
                <w:tab w:val="left" w:pos="306"/>
              </w:tabs>
              <w:spacing w:before="86"/>
              <w:ind w:hanging="218"/>
              <w:rPr>
                <w:sz w:val="18"/>
              </w:rPr>
            </w:pPr>
            <w:r>
              <w:rPr>
                <w:color w:val="231F20"/>
                <w:sz w:val="18"/>
              </w:rPr>
              <w:t>Freshen water quality and re-oxygenate</w:t>
            </w:r>
            <w:r>
              <w:rPr>
                <w:color w:val="231F20"/>
                <w:spacing w:val="-5"/>
                <w:sz w:val="18"/>
              </w:rPr>
              <w:t xml:space="preserve"> </w:t>
            </w:r>
            <w:r>
              <w:rPr>
                <w:color w:val="231F20"/>
                <w:sz w:val="18"/>
              </w:rPr>
              <w:t>pools</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0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40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0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240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0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602"/>
              <w:rPr>
                <w:sz w:val="16"/>
              </w:rPr>
            </w:pPr>
            <w:r>
              <w:rPr>
                <w:color w:val="231F20"/>
                <w:sz w:val="16"/>
              </w:rPr>
              <w:t>Winter/spring high flow (one high flow of 450–750 ML/day for six</w:t>
            </w:r>
          </w:p>
          <w:p w:rsidR="006A7A3F" w:rsidRDefault="00BC7372">
            <w:pPr>
              <w:pStyle w:val="TableParagraph"/>
              <w:spacing w:line="261" w:lineRule="auto"/>
              <w:ind w:left="85" w:right="169"/>
              <w:rPr>
                <w:sz w:val="9"/>
              </w:rPr>
            </w:pPr>
            <w:r>
              <w:rPr>
                <w:color w:val="231F20"/>
                <w:sz w:val="16"/>
              </w:rPr>
              <w:t>to 10 days during August to November)</w:t>
            </w:r>
            <w:r>
              <w:rPr>
                <w:color w:val="231F20"/>
                <w:position w:val="5"/>
                <w:sz w:val="9"/>
              </w:rPr>
              <w:t>2</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80"/>
              </w:numPr>
              <w:tabs>
                <w:tab w:val="left" w:pos="306"/>
              </w:tabs>
              <w:spacing w:before="70"/>
              <w:ind w:hanging="218"/>
              <w:rPr>
                <w:sz w:val="18"/>
              </w:rPr>
            </w:pPr>
            <w:r>
              <w:rPr>
                <w:color w:val="231F20"/>
                <w:sz w:val="18"/>
              </w:rPr>
              <w:t>Scour accumulated sediment from pools and scour</w:t>
            </w:r>
            <w:r>
              <w:rPr>
                <w:color w:val="231F20"/>
                <w:spacing w:val="-9"/>
                <w:sz w:val="18"/>
              </w:rPr>
              <w:t xml:space="preserve"> </w:t>
            </w:r>
            <w:r>
              <w:rPr>
                <w:color w:val="231F20"/>
                <w:sz w:val="18"/>
              </w:rPr>
              <w:t>biofilms</w:t>
            </w:r>
          </w:p>
          <w:p w:rsidR="006A7A3F" w:rsidRDefault="00BC7372">
            <w:pPr>
              <w:pStyle w:val="TableParagraph"/>
              <w:numPr>
                <w:ilvl w:val="0"/>
                <w:numId w:val="80"/>
              </w:numPr>
              <w:tabs>
                <w:tab w:val="left" w:pos="306"/>
              </w:tabs>
              <w:spacing w:before="98" w:line="254" w:lineRule="auto"/>
              <w:ind w:right="98"/>
              <w:rPr>
                <w:sz w:val="18"/>
              </w:rPr>
            </w:pPr>
            <w:r>
              <w:rPr>
                <w:color w:val="231F20"/>
                <w:sz w:val="18"/>
              </w:rPr>
              <w:t>Flush accumulated organic matter from the bank and benches, to increase</w:t>
            </w:r>
            <w:r>
              <w:rPr>
                <w:color w:val="231F20"/>
                <w:spacing w:val="-5"/>
                <w:sz w:val="18"/>
              </w:rPr>
              <w:t xml:space="preserve"> </w:t>
            </w:r>
            <w:r>
              <w:rPr>
                <w:color w:val="231F20"/>
                <w:sz w:val="18"/>
              </w:rPr>
              <w:t>productivity</w:t>
            </w:r>
            <w:r>
              <w:rPr>
                <w:color w:val="231F20"/>
                <w:spacing w:val="-4"/>
                <w:sz w:val="18"/>
              </w:rPr>
              <w:t xml:space="preserve"> </w:t>
            </w:r>
            <w:r>
              <w:rPr>
                <w:color w:val="231F20"/>
                <w:sz w:val="18"/>
              </w:rPr>
              <w:t>and</w:t>
            </w:r>
            <w:r>
              <w:rPr>
                <w:color w:val="231F20"/>
                <w:spacing w:val="-5"/>
                <w:sz w:val="18"/>
              </w:rPr>
              <w:t xml:space="preserve"> </w:t>
            </w:r>
            <w:r>
              <w:rPr>
                <w:color w:val="231F20"/>
                <w:sz w:val="18"/>
              </w:rPr>
              <w:t>reduce</w:t>
            </w:r>
            <w:r>
              <w:rPr>
                <w:color w:val="231F20"/>
                <w:spacing w:val="-3"/>
                <w:sz w:val="18"/>
              </w:rPr>
              <w:t xml:space="preserve"> </w:t>
            </w:r>
            <w:r>
              <w:rPr>
                <w:color w:val="231F20"/>
                <w:sz w:val="18"/>
              </w:rPr>
              <w:t>the</w:t>
            </w:r>
            <w:r>
              <w:rPr>
                <w:color w:val="231F20"/>
                <w:spacing w:val="-4"/>
                <w:sz w:val="18"/>
              </w:rPr>
              <w:t xml:space="preserve"> </w:t>
            </w:r>
            <w:r>
              <w:rPr>
                <w:color w:val="231F20"/>
                <w:sz w:val="18"/>
              </w:rPr>
              <w:t>risk</w:t>
            </w:r>
            <w:r>
              <w:rPr>
                <w:color w:val="231F20"/>
                <w:spacing w:val="-4"/>
                <w:sz w:val="18"/>
              </w:rPr>
              <w:t xml:space="preserve"> </w:t>
            </w:r>
            <w:r>
              <w:rPr>
                <w:color w:val="231F20"/>
                <w:sz w:val="18"/>
              </w:rPr>
              <w:t>of</w:t>
            </w:r>
            <w:r>
              <w:rPr>
                <w:color w:val="231F20"/>
                <w:spacing w:val="-4"/>
                <w:sz w:val="18"/>
              </w:rPr>
              <w:t xml:space="preserve"> </w:t>
            </w:r>
            <w:r>
              <w:rPr>
                <w:color w:val="231F20"/>
                <w:sz w:val="18"/>
              </w:rPr>
              <w:t>a</w:t>
            </w:r>
            <w:r>
              <w:rPr>
                <w:color w:val="231F20"/>
                <w:spacing w:val="-5"/>
                <w:sz w:val="18"/>
              </w:rPr>
              <w:t xml:space="preserve"> </w:t>
            </w:r>
            <w:r>
              <w:rPr>
                <w:color w:val="231F20"/>
                <w:sz w:val="18"/>
              </w:rPr>
              <w:t>hypoxic</w:t>
            </w:r>
            <w:r>
              <w:rPr>
                <w:color w:val="231F20"/>
                <w:spacing w:val="-4"/>
                <w:sz w:val="18"/>
              </w:rPr>
              <w:t xml:space="preserve"> </w:t>
            </w:r>
            <w:r>
              <w:rPr>
                <w:color w:val="231F20"/>
                <w:sz w:val="18"/>
              </w:rPr>
              <w:t>blackwater</w:t>
            </w:r>
            <w:r>
              <w:rPr>
                <w:color w:val="231F20"/>
                <w:spacing w:val="-4"/>
                <w:sz w:val="18"/>
              </w:rPr>
              <w:t xml:space="preserve"> </w:t>
            </w:r>
            <w:r>
              <w:rPr>
                <w:color w:val="231F20"/>
                <w:sz w:val="18"/>
              </w:rPr>
              <w:t>event</w:t>
            </w:r>
            <w:r>
              <w:rPr>
                <w:color w:val="231F20"/>
                <w:spacing w:val="-5"/>
                <w:sz w:val="18"/>
              </w:rPr>
              <w:t xml:space="preserve"> </w:t>
            </w:r>
            <w:r>
              <w:rPr>
                <w:color w:val="231F20"/>
                <w:sz w:val="18"/>
              </w:rPr>
              <w:t>in summer</w:t>
            </w:r>
          </w:p>
          <w:p w:rsidR="006A7A3F" w:rsidRDefault="00BC7372">
            <w:pPr>
              <w:pStyle w:val="TableParagraph"/>
              <w:numPr>
                <w:ilvl w:val="0"/>
                <w:numId w:val="80"/>
              </w:numPr>
              <w:tabs>
                <w:tab w:val="left" w:pos="306"/>
              </w:tabs>
              <w:spacing w:before="87" w:line="254" w:lineRule="auto"/>
              <w:ind w:right="586"/>
              <w:rPr>
                <w:sz w:val="18"/>
              </w:rPr>
            </w:pPr>
            <w:r>
              <w:rPr>
                <w:color w:val="231F20"/>
                <w:sz w:val="18"/>
              </w:rPr>
              <w:t>Increase the wetted area, to promote the recruitment and growth of streamside and emergent</w:t>
            </w:r>
            <w:r>
              <w:rPr>
                <w:color w:val="231F20"/>
                <w:spacing w:val="-3"/>
                <w:sz w:val="18"/>
              </w:rPr>
              <w:t xml:space="preserve"> </w:t>
            </w:r>
            <w:r>
              <w:rPr>
                <w:color w:val="231F20"/>
                <w:sz w:val="18"/>
              </w:rPr>
              <w:t>vegetation</w:t>
            </w:r>
          </w:p>
          <w:p w:rsidR="006A7A3F" w:rsidRDefault="00BC7372">
            <w:pPr>
              <w:pStyle w:val="TableParagraph"/>
              <w:numPr>
                <w:ilvl w:val="0"/>
                <w:numId w:val="80"/>
              </w:numPr>
              <w:tabs>
                <w:tab w:val="left" w:pos="306"/>
              </w:tabs>
              <w:spacing w:before="86"/>
              <w:ind w:hanging="218"/>
              <w:rPr>
                <w:sz w:val="18"/>
              </w:rPr>
            </w:pPr>
            <w:r>
              <w:rPr>
                <w:color w:val="231F20"/>
                <w:sz w:val="18"/>
              </w:rPr>
              <w:t>Stimulate native fish movement and</w:t>
            </w:r>
            <w:r>
              <w:rPr>
                <w:color w:val="231F20"/>
                <w:spacing w:val="-4"/>
                <w:sz w:val="18"/>
              </w:rPr>
              <w:t xml:space="preserve"> </w:t>
            </w:r>
            <w:r>
              <w:rPr>
                <w:color w:val="231F20"/>
                <w:sz w:val="18"/>
              </w:rPr>
              <w:t>breeding</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1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41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1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68" cy="310896"/>
                  <wp:effectExtent l="0" t="0" r="0" b="0"/>
                  <wp:docPr id="241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730"/>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1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23"/>
              <w:rPr>
                <w:sz w:val="9"/>
              </w:rPr>
            </w:pPr>
            <w:r>
              <w:rPr>
                <w:color w:val="231F20"/>
                <w:sz w:val="16"/>
              </w:rPr>
              <w:t xml:space="preserve">Summer/autumn low flow </w:t>
            </w:r>
            <w:r>
              <w:rPr>
                <w:color w:val="231F20"/>
                <w:spacing w:val="-4"/>
                <w:sz w:val="16"/>
              </w:rPr>
              <w:t xml:space="preserve">(25– </w:t>
            </w:r>
            <w:r>
              <w:rPr>
                <w:color w:val="231F20"/>
                <w:sz w:val="16"/>
              </w:rPr>
              <w:t>50 ML/day during December to May)</w:t>
            </w:r>
            <w:r>
              <w:rPr>
                <w:color w:val="231F20"/>
                <w:position w:val="5"/>
                <w:sz w:val="9"/>
              </w:rPr>
              <w:t>3</w:t>
            </w:r>
          </w:p>
          <w:p w:rsidR="006A7A3F" w:rsidRDefault="006A7A3F">
            <w:pPr>
              <w:pStyle w:val="TableParagraph"/>
              <w:spacing w:before="4"/>
              <w:ind w:left="0"/>
              <w:rPr>
                <w:b/>
                <w:sz w:val="8"/>
              </w:rPr>
            </w:pPr>
          </w:p>
          <w:p w:rsidR="006A7A3F" w:rsidRDefault="00BC7372">
            <w:pPr>
              <w:pStyle w:val="TableParagraph"/>
              <w:ind w:left="85"/>
              <w:rPr>
                <w:sz w:val="20"/>
              </w:rPr>
            </w:pPr>
            <w:r>
              <w:rPr>
                <w:noProof/>
                <w:sz w:val="20"/>
              </w:rPr>
              <w:drawing>
                <wp:inline distT="0" distB="0" distL="0" distR="0">
                  <wp:extent cx="314164" cy="310895"/>
                  <wp:effectExtent l="0" t="0" r="0" b="0"/>
                  <wp:docPr id="2421" name="image24.jpeg" descr="icon: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image24.jpeg"/>
                          <pic:cNvPicPr/>
                        </pic:nvPicPr>
                        <pic:blipFill>
                          <a:blip r:embed="rId36" cstate="print"/>
                          <a:stretch>
                            <a:fillRect/>
                          </a:stretch>
                        </pic:blipFill>
                        <pic:spPr>
                          <a:xfrm>
                            <a:off x="0" y="0"/>
                            <a:ext cx="314164" cy="310895"/>
                          </a:xfrm>
                          <a:prstGeom prst="rect">
                            <a:avLst/>
                          </a:prstGeom>
                        </pic:spPr>
                      </pic:pic>
                    </a:graphicData>
                  </a:graphic>
                </wp:inline>
              </w:drawing>
            </w:r>
          </w:p>
          <w:p w:rsidR="006A7A3F" w:rsidRDefault="006A7A3F">
            <w:pPr>
              <w:pStyle w:val="TableParagraph"/>
              <w:ind w:left="0"/>
              <w:rPr>
                <w:b/>
                <w:sz w:val="20"/>
              </w:rPr>
            </w:pPr>
          </w:p>
          <w:p w:rsidR="006A7A3F" w:rsidRDefault="006A7A3F">
            <w:pPr>
              <w:pStyle w:val="TableParagraph"/>
              <w:spacing w:before="6"/>
              <w:ind w:left="0"/>
              <w:rPr>
                <w:b/>
                <w:sz w:val="28"/>
              </w:rPr>
            </w:pP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9"/>
              </w:numPr>
              <w:tabs>
                <w:tab w:val="left" w:pos="306"/>
              </w:tabs>
              <w:spacing w:before="70" w:line="254" w:lineRule="auto"/>
              <w:ind w:right="406"/>
              <w:rPr>
                <w:sz w:val="18"/>
              </w:rPr>
            </w:pPr>
            <w:r>
              <w:rPr>
                <w:color w:val="231F20"/>
                <w:sz w:val="18"/>
              </w:rPr>
              <w:t>Maintain</w:t>
            </w:r>
            <w:r>
              <w:rPr>
                <w:color w:val="231F20"/>
                <w:spacing w:val="-4"/>
                <w:sz w:val="18"/>
              </w:rPr>
              <w:t xml:space="preserve"> </w:t>
            </w:r>
            <w:r>
              <w:rPr>
                <w:color w:val="231F20"/>
                <w:sz w:val="18"/>
              </w:rPr>
              <w:t>an</w:t>
            </w:r>
            <w:r>
              <w:rPr>
                <w:color w:val="231F20"/>
                <w:spacing w:val="-4"/>
                <w:sz w:val="18"/>
              </w:rPr>
              <w:t xml:space="preserve"> </w:t>
            </w:r>
            <w:r>
              <w:rPr>
                <w:color w:val="231F20"/>
                <w:sz w:val="18"/>
              </w:rPr>
              <w:t>adequate</w:t>
            </w:r>
            <w:r>
              <w:rPr>
                <w:color w:val="231F20"/>
                <w:spacing w:val="-4"/>
                <w:sz w:val="18"/>
              </w:rPr>
              <w:t xml:space="preserve"> </w:t>
            </w:r>
            <w:r>
              <w:rPr>
                <w:color w:val="231F20"/>
                <w:sz w:val="18"/>
              </w:rPr>
              <w:t>depth</w:t>
            </w:r>
            <w:r>
              <w:rPr>
                <w:color w:val="231F20"/>
                <w:spacing w:val="-4"/>
                <w:sz w:val="18"/>
              </w:rPr>
              <w:t xml:space="preserve"> </w:t>
            </w:r>
            <w:r>
              <w:rPr>
                <w:color w:val="231F20"/>
                <w:sz w:val="18"/>
              </w:rPr>
              <w:t>in</w:t>
            </w:r>
            <w:r>
              <w:rPr>
                <w:color w:val="231F20"/>
                <w:spacing w:val="-4"/>
                <w:sz w:val="18"/>
              </w:rPr>
              <w:t xml:space="preserve"> </w:t>
            </w:r>
            <w:r>
              <w:rPr>
                <w:color w:val="231F20"/>
                <w:sz w:val="18"/>
              </w:rPr>
              <w:t>pools</w:t>
            </w:r>
            <w:r>
              <w:rPr>
                <w:color w:val="231F20"/>
                <w:spacing w:val="-4"/>
                <w:sz w:val="18"/>
              </w:rPr>
              <w:t xml:space="preserve"> </w:t>
            </w:r>
            <w:r>
              <w:rPr>
                <w:color w:val="231F20"/>
                <w:sz w:val="18"/>
              </w:rPr>
              <w:t>for</w:t>
            </w:r>
            <w:r>
              <w:rPr>
                <w:color w:val="231F20"/>
                <w:spacing w:val="-3"/>
                <w:sz w:val="18"/>
              </w:rPr>
              <w:t xml:space="preserve"> </w:t>
            </w:r>
            <w:r>
              <w:rPr>
                <w:color w:val="231F20"/>
                <w:sz w:val="18"/>
              </w:rPr>
              <w:t>aquatic</w:t>
            </w:r>
            <w:r>
              <w:rPr>
                <w:color w:val="231F20"/>
                <w:spacing w:val="-4"/>
                <w:sz w:val="18"/>
              </w:rPr>
              <w:t xml:space="preserve"> </w:t>
            </w:r>
            <w:r>
              <w:rPr>
                <w:color w:val="231F20"/>
                <w:sz w:val="18"/>
              </w:rPr>
              <w:t>plants</w:t>
            </w:r>
            <w:r>
              <w:rPr>
                <w:color w:val="231F20"/>
                <w:spacing w:val="-4"/>
                <w:sz w:val="18"/>
              </w:rPr>
              <w:t xml:space="preserve"> </w:t>
            </w:r>
            <w:r>
              <w:rPr>
                <w:color w:val="231F20"/>
                <w:sz w:val="18"/>
              </w:rPr>
              <w:t>and</w:t>
            </w:r>
            <w:r>
              <w:rPr>
                <w:color w:val="231F20"/>
                <w:spacing w:val="-4"/>
                <w:sz w:val="18"/>
              </w:rPr>
              <w:t xml:space="preserve"> </w:t>
            </w:r>
            <w:r>
              <w:rPr>
                <w:color w:val="231F20"/>
                <w:sz w:val="18"/>
              </w:rPr>
              <w:t>to</w:t>
            </w:r>
            <w:r>
              <w:rPr>
                <w:color w:val="231F20"/>
                <w:spacing w:val="-4"/>
                <w:sz w:val="18"/>
              </w:rPr>
              <w:t xml:space="preserve"> </w:t>
            </w:r>
            <w:r>
              <w:rPr>
                <w:color w:val="231F20"/>
                <w:sz w:val="18"/>
              </w:rPr>
              <w:t>provide habitat for waterbugs, fish and rakali (water</w:t>
            </w:r>
            <w:r>
              <w:rPr>
                <w:color w:val="231F20"/>
                <w:spacing w:val="-6"/>
                <w:sz w:val="18"/>
              </w:rPr>
              <w:t xml:space="preserve"> </w:t>
            </w:r>
            <w:r>
              <w:rPr>
                <w:color w:val="231F20"/>
                <w:sz w:val="18"/>
              </w:rPr>
              <w:t>rats)</w:t>
            </w:r>
          </w:p>
          <w:p w:rsidR="006A7A3F" w:rsidRDefault="00BC7372">
            <w:pPr>
              <w:pStyle w:val="TableParagraph"/>
              <w:numPr>
                <w:ilvl w:val="0"/>
                <w:numId w:val="79"/>
              </w:numPr>
              <w:tabs>
                <w:tab w:val="left" w:pos="306"/>
              </w:tabs>
              <w:spacing w:before="87"/>
              <w:ind w:hanging="218"/>
              <w:rPr>
                <w:sz w:val="18"/>
              </w:rPr>
            </w:pPr>
            <w:r>
              <w:rPr>
                <w:color w:val="231F20"/>
                <w:sz w:val="18"/>
              </w:rPr>
              <w:t>Provide continuous flow through the reach, to maintain water</w:t>
            </w:r>
            <w:r>
              <w:rPr>
                <w:color w:val="231F20"/>
                <w:spacing w:val="-7"/>
                <w:sz w:val="18"/>
              </w:rPr>
              <w:t xml:space="preserve"> </w:t>
            </w:r>
            <w:r>
              <w:rPr>
                <w:color w:val="231F20"/>
                <w:sz w:val="18"/>
              </w:rPr>
              <w:t>quality</w:t>
            </w:r>
          </w:p>
          <w:p w:rsidR="006A7A3F" w:rsidRDefault="00BC7372">
            <w:pPr>
              <w:pStyle w:val="TableParagraph"/>
              <w:numPr>
                <w:ilvl w:val="0"/>
                <w:numId w:val="79"/>
              </w:numPr>
              <w:tabs>
                <w:tab w:val="left" w:pos="306"/>
              </w:tabs>
              <w:spacing w:before="98" w:line="254" w:lineRule="auto"/>
              <w:ind w:right="286"/>
              <w:rPr>
                <w:sz w:val="18"/>
              </w:rPr>
            </w:pPr>
            <w:r>
              <w:rPr>
                <w:color w:val="231F20"/>
                <w:sz w:val="18"/>
              </w:rPr>
              <w:t>Maintain connecting flows to support in-stream and fringing</w:t>
            </w:r>
            <w:r>
              <w:rPr>
                <w:color w:val="231F20"/>
                <w:spacing w:val="-20"/>
                <w:sz w:val="18"/>
              </w:rPr>
              <w:t xml:space="preserve"> </w:t>
            </w:r>
            <w:r>
              <w:rPr>
                <w:color w:val="231F20"/>
                <w:sz w:val="18"/>
              </w:rPr>
              <w:t>non-woody vegetation</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80" cy="310895"/>
                  <wp:effectExtent l="0" t="0" r="0" b="0"/>
                  <wp:docPr id="242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image19.jpeg"/>
                          <pic:cNvPicPr/>
                        </pic:nvPicPr>
                        <pic:blipFill>
                          <a:blip r:embed="rId31" cstate="print"/>
                          <a:stretch>
                            <a:fillRect/>
                          </a:stretch>
                        </pic:blipFill>
                        <pic:spPr>
                          <a:xfrm>
                            <a:off x="0" y="0"/>
                            <a:ext cx="314180"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80" cy="310895"/>
                  <wp:effectExtent l="0" t="0" r="0" b="0"/>
                  <wp:docPr id="242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image31.jpeg"/>
                          <pic:cNvPicPr/>
                        </pic:nvPicPr>
                        <pic:blipFill>
                          <a:blip r:embed="rId43" cstate="print"/>
                          <a:stretch>
                            <a:fillRect/>
                          </a:stretch>
                        </pic:blipFill>
                        <pic:spPr>
                          <a:xfrm>
                            <a:off x="0" y="0"/>
                            <a:ext cx="314180" cy="310895"/>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77" cy="310895"/>
                  <wp:effectExtent l="0" t="0" r="0" b="0"/>
                  <wp:docPr id="242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 name="image21.jpeg"/>
                          <pic:cNvPicPr/>
                        </pic:nvPicPr>
                        <pic:blipFill>
                          <a:blip r:embed="rId33" cstate="print"/>
                          <a:stretch>
                            <a:fillRect/>
                          </a:stretch>
                        </pic:blipFill>
                        <pic:spPr>
                          <a:xfrm>
                            <a:off x="0" y="0"/>
                            <a:ext cx="314177"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77" cy="310895"/>
                  <wp:effectExtent l="0" t="0" r="0" b="0"/>
                  <wp:docPr id="242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image22.jpeg"/>
                          <pic:cNvPicPr/>
                        </pic:nvPicPr>
                        <pic:blipFill>
                          <a:blip r:embed="rId34" cstate="print"/>
                          <a:stretch>
                            <a:fillRect/>
                          </a:stretch>
                        </pic:blipFill>
                        <pic:spPr>
                          <a:xfrm>
                            <a:off x="0" y="0"/>
                            <a:ext cx="314177" cy="310895"/>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243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image23.png"/>
                          <pic:cNvPicPr/>
                        </pic:nvPicPr>
                        <pic:blipFill>
                          <a:blip r:embed="rId35"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8"/>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79"/>
              <w:rPr>
                <w:sz w:val="16"/>
              </w:rPr>
            </w:pPr>
            <w:r>
              <w:rPr>
                <w:color w:val="231F20"/>
                <w:sz w:val="16"/>
              </w:rPr>
              <w:t>Winter/spring low flow (50</w:t>
            </w:r>
            <w:r>
              <w:rPr>
                <w:color w:val="231F20"/>
                <w:position w:val="5"/>
                <w:sz w:val="9"/>
              </w:rPr>
              <w:t>4</w:t>
            </w:r>
            <w:r>
              <w:rPr>
                <w:color w:val="231F20"/>
                <w:sz w:val="16"/>
              </w:rPr>
              <w:t>–100 ML/day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8"/>
              </w:numPr>
              <w:tabs>
                <w:tab w:val="left" w:pos="306"/>
              </w:tabs>
              <w:spacing w:before="70" w:line="254" w:lineRule="auto"/>
              <w:ind w:right="786"/>
              <w:rPr>
                <w:sz w:val="18"/>
              </w:rPr>
            </w:pPr>
            <w:r>
              <w:rPr>
                <w:color w:val="231F20"/>
                <w:sz w:val="18"/>
              </w:rPr>
              <w:t>Increase the water depth for fish, platypus and rakali (water rats) dispersal and to provide foraging</w:t>
            </w:r>
            <w:r>
              <w:rPr>
                <w:color w:val="231F20"/>
                <w:spacing w:val="-6"/>
                <w:sz w:val="18"/>
              </w:rPr>
              <w:t xml:space="preserve"> </w:t>
            </w:r>
            <w:r>
              <w:rPr>
                <w:color w:val="231F20"/>
                <w:sz w:val="18"/>
              </w:rPr>
              <w:t>habitat</w:t>
            </w:r>
          </w:p>
          <w:p w:rsidR="006A7A3F" w:rsidRDefault="00BC7372">
            <w:pPr>
              <w:pStyle w:val="TableParagraph"/>
              <w:numPr>
                <w:ilvl w:val="0"/>
                <w:numId w:val="78"/>
              </w:numPr>
              <w:tabs>
                <w:tab w:val="left" w:pos="306"/>
              </w:tabs>
              <w:spacing w:before="87" w:line="254" w:lineRule="auto"/>
              <w:ind w:right="446"/>
              <w:rPr>
                <w:sz w:val="18"/>
              </w:rPr>
            </w:pPr>
            <w:r>
              <w:rPr>
                <w:color w:val="231F20"/>
                <w:sz w:val="18"/>
              </w:rPr>
              <w:t>Prevent silt and fine sediment settling on submerged wood and</w:t>
            </w:r>
            <w:r>
              <w:rPr>
                <w:color w:val="231F20"/>
                <w:spacing w:val="-17"/>
                <w:sz w:val="18"/>
              </w:rPr>
              <w:t xml:space="preserve"> </w:t>
            </w:r>
            <w:r>
              <w:rPr>
                <w:color w:val="231F20"/>
                <w:sz w:val="18"/>
              </w:rPr>
              <w:t>other hard</w:t>
            </w:r>
            <w:r>
              <w:rPr>
                <w:color w:val="231F20"/>
                <w:spacing w:val="-2"/>
                <w:sz w:val="18"/>
              </w:rPr>
              <w:t xml:space="preserve"> </w:t>
            </w:r>
            <w:r>
              <w:rPr>
                <w:color w:val="231F20"/>
                <w:sz w:val="18"/>
              </w:rPr>
              <w:t>surfaces</w:t>
            </w:r>
          </w:p>
          <w:p w:rsidR="006A7A3F" w:rsidRDefault="00BC7372">
            <w:pPr>
              <w:pStyle w:val="TableParagraph"/>
              <w:numPr>
                <w:ilvl w:val="0"/>
                <w:numId w:val="78"/>
              </w:numPr>
              <w:tabs>
                <w:tab w:val="left" w:pos="306"/>
              </w:tabs>
              <w:spacing w:before="86" w:line="254" w:lineRule="auto"/>
              <w:ind w:right="562"/>
              <w:rPr>
                <w:sz w:val="18"/>
              </w:rPr>
            </w:pPr>
            <w:r>
              <w:rPr>
                <w:color w:val="231F20"/>
                <w:sz w:val="18"/>
              </w:rPr>
              <w:t>Water</w:t>
            </w:r>
            <w:r>
              <w:rPr>
                <w:color w:val="231F20"/>
                <w:spacing w:val="-5"/>
                <w:sz w:val="18"/>
              </w:rPr>
              <w:t xml:space="preserve"> </w:t>
            </w:r>
            <w:r>
              <w:rPr>
                <w:color w:val="231F20"/>
                <w:sz w:val="18"/>
              </w:rPr>
              <w:t>the</w:t>
            </w:r>
            <w:r>
              <w:rPr>
                <w:color w:val="231F20"/>
                <w:spacing w:val="-3"/>
                <w:sz w:val="18"/>
              </w:rPr>
              <w:t xml:space="preserve"> </w:t>
            </w:r>
            <w:r>
              <w:rPr>
                <w:color w:val="231F20"/>
                <w:sz w:val="18"/>
              </w:rPr>
              <w:t>native</w:t>
            </w:r>
            <w:r>
              <w:rPr>
                <w:color w:val="231F20"/>
                <w:spacing w:val="-4"/>
                <w:sz w:val="18"/>
              </w:rPr>
              <w:t xml:space="preserve"> </w:t>
            </w:r>
            <w:r>
              <w:rPr>
                <w:color w:val="231F20"/>
                <w:sz w:val="18"/>
              </w:rPr>
              <w:t>fringing</w:t>
            </w:r>
            <w:r>
              <w:rPr>
                <w:color w:val="231F20"/>
                <w:spacing w:val="-3"/>
                <w:sz w:val="18"/>
              </w:rPr>
              <w:t xml:space="preserve"> </w:t>
            </w:r>
            <w:r>
              <w:rPr>
                <w:color w:val="231F20"/>
                <w:sz w:val="18"/>
              </w:rPr>
              <w:t>bank</w:t>
            </w:r>
            <w:r>
              <w:rPr>
                <w:color w:val="231F20"/>
                <w:spacing w:val="-4"/>
                <w:sz w:val="18"/>
              </w:rPr>
              <w:t xml:space="preserve"> </w:t>
            </w:r>
            <w:r>
              <w:rPr>
                <w:color w:val="231F20"/>
                <w:sz w:val="18"/>
              </w:rPr>
              <w:t>vegetation</w:t>
            </w:r>
            <w:r>
              <w:rPr>
                <w:color w:val="231F20"/>
                <w:spacing w:val="-3"/>
                <w:sz w:val="18"/>
              </w:rPr>
              <w:t xml:space="preserve"> </w:t>
            </w:r>
            <w:r>
              <w:rPr>
                <w:color w:val="231F20"/>
                <w:sz w:val="18"/>
              </w:rPr>
              <w:t>and</w:t>
            </w:r>
            <w:r>
              <w:rPr>
                <w:color w:val="231F20"/>
                <w:spacing w:val="-4"/>
                <w:sz w:val="18"/>
              </w:rPr>
              <w:t xml:space="preserve"> </w:t>
            </w:r>
            <w:r>
              <w:rPr>
                <w:color w:val="231F20"/>
                <w:sz w:val="18"/>
              </w:rPr>
              <w:t>prevent</w:t>
            </w:r>
            <w:r>
              <w:rPr>
                <w:color w:val="231F20"/>
                <w:spacing w:val="-4"/>
                <w:sz w:val="18"/>
              </w:rPr>
              <w:t xml:space="preserve"> </w:t>
            </w:r>
            <w:r>
              <w:rPr>
                <w:color w:val="231F20"/>
                <w:sz w:val="18"/>
              </w:rPr>
              <w:t>the</w:t>
            </w:r>
            <w:r>
              <w:rPr>
                <w:color w:val="231F20"/>
                <w:spacing w:val="-3"/>
                <w:sz w:val="18"/>
              </w:rPr>
              <w:t xml:space="preserve"> </w:t>
            </w:r>
            <w:r>
              <w:rPr>
                <w:color w:val="231F20"/>
                <w:sz w:val="18"/>
              </w:rPr>
              <w:t>growth</w:t>
            </w:r>
            <w:r>
              <w:rPr>
                <w:color w:val="231F20"/>
                <w:spacing w:val="-4"/>
                <w:sz w:val="18"/>
              </w:rPr>
              <w:t xml:space="preserve"> </w:t>
            </w:r>
            <w:r>
              <w:rPr>
                <w:color w:val="231F20"/>
                <w:sz w:val="18"/>
              </w:rPr>
              <w:t>of exotic terrestrial plants in the river</w:t>
            </w:r>
            <w:r>
              <w:rPr>
                <w:color w:val="231F20"/>
                <w:spacing w:val="-5"/>
                <w:sz w:val="18"/>
              </w:rPr>
              <w:t xml:space="preserve"> </w:t>
            </w:r>
            <w:r>
              <w:rPr>
                <w:color w:val="231F20"/>
                <w:sz w:val="18"/>
              </w:rPr>
              <w:t>channel</w:t>
            </w:r>
          </w:p>
        </w:tc>
        <w:tc>
          <w:tcPr>
            <w:tcW w:w="850" w:type="dxa"/>
            <w:tcBorders>
              <w:top w:val="single" w:sz="4" w:space="0" w:color="231F20"/>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4" cy="310895"/>
                  <wp:effectExtent l="0" t="0" r="0" b="0"/>
                  <wp:docPr id="243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image19.jpeg"/>
                          <pic:cNvPicPr/>
                        </pic:nvPicPr>
                        <pic:blipFill>
                          <a:blip r:embed="rId31" cstate="print"/>
                          <a:stretch>
                            <a:fillRect/>
                          </a:stretch>
                        </pic:blipFill>
                        <pic:spPr>
                          <a:xfrm>
                            <a:off x="0" y="0"/>
                            <a:ext cx="314174"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74" cy="310895"/>
                  <wp:effectExtent l="0" t="0" r="0" b="0"/>
                  <wp:docPr id="2435"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image20.jpeg"/>
                          <pic:cNvPicPr/>
                        </pic:nvPicPr>
                        <pic:blipFill>
                          <a:blip r:embed="rId32" cstate="print"/>
                          <a:stretch>
                            <a:fillRect/>
                          </a:stretch>
                        </pic:blipFill>
                        <pic:spPr>
                          <a:xfrm>
                            <a:off x="0" y="0"/>
                            <a:ext cx="314174" cy="310895"/>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5"/>
                  <wp:effectExtent l="0" t="0" r="0" b="0"/>
                  <wp:docPr id="243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image31.jpeg"/>
                          <pic:cNvPicPr/>
                        </pic:nvPicPr>
                        <pic:blipFill>
                          <a:blip r:embed="rId43"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71" cy="310895"/>
                  <wp:effectExtent l="0" t="0" r="0" b="0"/>
                  <wp:docPr id="2439"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 name="image21.jpeg"/>
                          <pic:cNvPicPr/>
                        </pic:nvPicPr>
                        <pic:blipFill>
                          <a:blip r:embed="rId33" cstate="print"/>
                          <a:stretch>
                            <a:fillRect/>
                          </a:stretch>
                        </pic:blipFill>
                        <pic:spPr>
                          <a:xfrm>
                            <a:off x="0" y="0"/>
                            <a:ext cx="314171" cy="310895"/>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6A7A3F">
            <w:pPr>
              <w:pStyle w:val="TableParagraph"/>
              <w:spacing w:before="6"/>
              <w:ind w:left="0"/>
              <w:rPr>
                <w:b/>
                <w:sz w:val="2"/>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41"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6"/>
              <w:ind w:left="0"/>
              <w:rPr>
                <w:b/>
                <w:sz w:val="2"/>
              </w:rPr>
            </w:pPr>
          </w:p>
          <w:p w:rsidR="006A7A3F" w:rsidRDefault="00BC7372">
            <w:pPr>
              <w:pStyle w:val="TableParagraph"/>
              <w:ind w:left="48"/>
              <w:rPr>
                <w:sz w:val="20"/>
              </w:rPr>
            </w:pPr>
            <w:r>
              <w:rPr>
                <w:noProof/>
                <w:sz w:val="20"/>
              </w:rPr>
              <w:drawing>
                <wp:inline distT="0" distB="0" distL="0" distR="0">
                  <wp:extent cx="314158" cy="310896"/>
                  <wp:effectExtent l="0" t="0" r="0" b="0"/>
                  <wp:docPr id="2443"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image23.png"/>
                          <pic:cNvPicPr/>
                        </pic:nvPicPr>
                        <pic:blipFill>
                          <a:blip r:embed="rId35" cstate="print"/>
                          <a:stretch>
                            <a:fillRect/>
                          </a:stretch>
                        </pic:blipFill>
                        <pic:spPr>
                          <a:xfrm>
                            <a:off x="0" y="0"/>
                            <a:ext cx="314158" cy="310896"/>
                          </a:xfrm>
                          <a:prstGeom prst="rect">
                            <a:avLst/>
                          </a:prstGeom>
                        </pic:spPr>
                      </pic:pic>
                    </a:graphicData>
                  </a:graphic>
                </wp:inline>
              </w:drawing>
            </w:r>
          </w:p>
        </w:tc>
      </w:tr>
      <w:tr w:rsidR="006A7A3F">
        <w:trPr>
          <w:trHeight w:val="9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Autumn high flow</w:t>
            </w:r>
          </w:p>
          <w:p w:rsidR="006A7A3F" w:rsidRDefault="00BC7372">
            <w:pPr>
              <w:pStyle w:val="TableParagraph"/>
              <w:spacing w:before="17" w:line="261" w:lineRule="auto"/>
              <w:ind w:left="85" w:right="78"/>
              <w:rPr>
                <w:sz w:val="16"/>
              </w:rPr>
            </w:pPr>
            <w:r>
              <w:rPr>
                <w:color w:val="231F20"/>
                <w:sz w:val="16"/>
              </w:rPr>
              <w:t>(one high flow of 400 ML/day for six to 10 days during March to May)</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7"/>
              </w:numPr>
              <w:tabs>
                <w:tab w:val="left" w:pos="306"/>
              </w:tabs>
              <w:spacing w:before="70" w:line="254" w:lineRule="auto"/>
              <w:ind w:right="493"/>
              <w:rPr>
                <w:sz w:val="18"/>
              </w:rPr>
            </w:pPr>
            <w:r>
              <w:rPr>
                <w:color w:val="231F20"/>
                <w:sz w:val="18"/>
              </w:rPr>
              <w:t>Trigger and facilitate the upstream movement of golden perch,</w:t>
            </w:r>
            <w:r>
              <w:rPr>
                <w:color w:val="231F20"/>
                <w:spacing w:val="-31"/>
                <w:sz w:val="18"/>
              </w:rPr>
              <w:t xml:space="preserve"> </w:t>
            </w:r>
            <w:r>
              <w:rPr>
                <w:color w:val="231F20"/>
                <w:sz w:val="18"/>
              </w:rPr>
              <w:t>silver perch and Murray cod older than one</w:t>
            </w:r>
            <w:r>
              <w:rPr>
                <w:color w:val="231F20"/>
                <w:spacing w:val="-6"/>
                <w:sz w:val="18"/>
              </w:rPr>
              <w:t xml:space="preserve"> </w:t>
            </w:r>
            <w:r>
              <w:rPr>
                <w:color w:val="231F20"/>
                <w:sz w:val="18"/>
              </w:rPr>
              <w:t>year</w:t>
            </w:r>
          </w:p>
          <w:p w:rsidR="006A7A3F" w:rsidRDefault="00BC7372">
            <w:pPr>
              <w:pStyle w:val="TableParagraph"/>
              <w:numPr>
                <w:ilvl w:val="0"/>
                <w:numId w:val="77"/>
              </w:numPr>
              <w:tabs>
                <w:tab w:val="left" w:pos="306"/>
              </w:tabs>
              <w:spacing w:before="87"/>
              <w:ind w:hanging="218"/>
              <w:rPr>
                <w:sz w:val="18"/>
              </w:rPr>
            </w:pPr>
            <w:r>
              <w:rPr>
                <w:color w:val="231F20"/>
                <w:sz w:val="18"/>
              </w:rPr>
              <w:t>Facilitate platypus</w:t>
            </w:r>
            <w:r>
              <w:rPr>
                <w:color w:val="231F20"/>
                <w:spacing w:val="-2"/>
                <w:sz w:val="18"/>
              </w:rPr>
              <w:t xml:space="preserve"> </w:t>
            </w:r>
            <w:r>
              <w:rPr>
                <w:color w:val="231F20"/>
                <w:sz w:val="18"/>
              </w:rPr>
              <w:t>dispersal</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45"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6"/>
                  <wp:effectExtent l="0" t="0" r="0" b="0"/>
                  <wp:docPr id="2447"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bl>
    <w:p w:rsidR="006A7A3F" w:rsidRDefault="006A7A3F">
      <w:pPr>
        <w:rPr>
          <w:sz w:val="20"/>
        </w:rPr>
        <w:sectPr w:rsidR="006A7A3F" w:rsidSect="00C92D74">
          <w:pgSz w:w="11910" w:h="16840"/>
          <w:pgMar w:top="1701" w:right="851" w:bottom="1134" w:left="851" w:header="720" w:footer="720" w:gutter="0"/>
          <w:cols w:space="720"/>
        </w:sect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6A7A3F" w:rsidTr="00597E02">
        <w:trPr>
          <w:trHeight w:val="587"/>
          <w:tblHeader/>
        </w:trPr>
        <w:tc>
          <w:tcPr>
            <w:tcW w:w="2381" w:type="dxa"/>
            <w:tcBorders>
              <w:top w:val="nil"/>
              <w:left w:val="nil"/>
              <w:bottom w:val="nil"/>
            </w:tcBorders>
            <w:shd w:val="clear" w:color="auto" w:fill="231F20"/>
          </w:tcPr>
          <w:p w:rsidR="006A7A3F" w:rsidRDefault="00BC7372">
            <w:pPr>
              <w:pStyle w:val="TableParagraph"/>
              <w:spacing w:before="73"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73"/>
              <w:ind w:left="85"/>
              <w:rPr>
                <w:b/>
                <w:sz w:val="18"/>
              </w:rPr>
            </w:pPr>
            <w:r>
              <w:rPr>
                <w:b/>
                <w:color w:val="FFFFFF"/>
                <w:sz w:val="18"/>
              </w:rPr>
              <w:t>Functional watering objectives</w:t>
            </w:r>
          </w:p>
        </w:tc>
        <w:tc>
          <w:tcPr>
            <w:tcW w:w="1558" w:type="dxa"/>
            <w:gridSpan w:val="2"/>
            <w:tcBorders>
              <w:top w:val="nil"/>
              <w:bottom w:val="nil"/>
            </w:tcBorders>
            <w:shd w:val="clear" w:color="auto" w:fill="231F20"/>
          </w:tcPr>
          <w:p w:rsidR="006A7A3F" w:rsidRDefault="00BC7372">
            <w:pPr>
              <w:pStyle w:val="TableParagraph"/>
              <w:spacing w:before="73" w:line="254" w:lineRule="auto"/>
              <w:ind w:left="85" w:right="192"/>
              <w:rPr>
                <w:b/>
                <w:sz w:val="18"/>
              </w:rPr>
            </w:pPr>
            <w:r>
              <w:rPr>
                <w:b/>
                <w:color w:val="FFFFFF"/>
                <w:sz w:val="18"/>
              </w:rPr>
              <w:t>Environmental objectives</w:t>
            </w:r>
          </w:p>
        </w:tc>
      </w:tr>
      <w:tr w:rsidR="006A7A3F">
        <w:trPr>
          <w:trHeight w:val="333"/>
        </w:trPr>
        <w:tc>
          <w:tcPr>
            <w:tcW w:w="10175" w:type="dxa"/>
            <w:gridSpan w:val="4"/>
            <w:tcBorders>
              <w:top w:val="nil"/>
              <w:left w:val="single" w:sz="4" w:space="0" w:color="231F20"/>
              <w:bottom w:val="single" w:sz="4" w:space="0" w:color="231F20"/>
              <w:right w:val="single" w:sz="4" w:space="0" w:color="231F20"/>
            </w:tcBorders>
            <w:shd w:val="clear" w:color="auto" w:fill="E6E7E8"/>
          </w:tcPr>
          <w:p w:rsidR="006A7A3F" w:rsidRPr="00597E02" w:rsidRDefault="00BC7372">
            <w:pPr>
              <w:pStyle w:val="TableParagraph"/>
              <w:spacing w:before="67"/>
              <w:ind w:left="85"/>
              <w:rPr>
                <w:b/>
                <w:bCs/>
                <w:sz w:val="9"/>
              </w:rPr>
            </w:pPr>
            <w:r w:rsidRPr="00597E02">
              <w:rPr>
                <w:b/>
                <w:bCs/>
                <w:color w:val="231F20"/>
                <w:sz w:val="16"/>
              </w:rPr>
              <w:t>Serpentine Creek</w:t>
            </w:r>
            <w:r w:rsidRPr="00597E02">
              <w:rPr>
                <w:b/>
                <w:bCs/>
                <w:color w:val="231F20"/>
                <w:position w:val="5"/>
                <w:sz w:val="9"/>
              </w:rPr>
              <w:t>5</w:t>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rsidP="0087445D">
            <w:pPr>
              <w:pStyle w:val="TableParagraph"/>
              <w:spacing w:before="67" w:line="261" w:lineRule="auto"/>
              <w:ind w:left="85" w:right="611"/>
              <w:rPr>
                <w:sz w:val="16"/>
              </w:rPr>
            </w:pPr>
            <w:r>
              <w:rPr>
                <w:color w:val="231F20"/>
                <w:sz w:val="16"/>
              </w:rPr>
              <w:t>Summer/autumn fresh (one to three freshes of</w:t>
            </w:r>
            <w:r w:rsidR="0087445D">
              <w:rPr>
                <w:color w:val="231F20"/>
                <w:sz w:val="16"/>
              </w:rPr>
              <w:t xml:space="preserve"> </w:t>
            </w:r>
            <w:r>
              <w:rPr>
                <w:color w:val="231F20"/>
                <w:sz w:val="16"/>
              </w:rPr>
              <w:t>30–40 ML/day for one to three days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6"/>
              </w:numPr>
              <w:tabs>
                <w:tab w:val="left" w:pos="306"/>
              </w:tabs>
              <w:spacing w:before="63"/>
              <w:ind w:hanging="218"/>
              <w:rPr>
                <w:sz w:val="18"/>
              </w:rPr>
            </w:pPr>
            <w:r>
              <w:rPr>
                <w:color w:val="231F20"/>
                <w:sz w:val="18"/>
              </w:rPr>
              <w:t>Maintain the channel form by inundating</w:t>
            </w:r>
            <w:r>
              <w:rPr>
                <w:color w:val="231F20"/>
                <w:spacing w:val="-5"/>
                <w:sz w:val="18"/>
              </w:rPr>
              <w:t xml:space="preserve"> </w:t>
            </w:r>
            <w:r>
              <w:rPr>
                <w:color w:val="231F20"/>
                <w:sz w:val="18"/>
              </w:rPr>
              <w:t>benches</w:t>
            </w:r>
          </w:p>
          <w:p w:rsidR="006A7A3F" w:rsidRDefault="00BC7372">
            <w:pPr>
              <w:pStyle w:val="TableParagraph"/>
              <w:numPr>
                <w:ilvl w:val="0"/>
                <w:numId w:val="76"/>
              </w:numPr>
              <w:tabs>
                <w:tab w:val="left" w:pos="306"/>
              </w:tabs>
              <w:spacing w:before="98"/>
              <w:ind w:hanging="218"/>
              <w:rPr>
                <w:sz w:val="18"/>
              </w:rPr>
            </w:pPr>
            <w:r>
              <w:rPr>
                <w:color w:val="231F20"/>
                <w:sz w:val="18"/>
              </w:rPr>
              <w:t>Flush fine sediment and scour biofilms, to replenish the food</w:t>
            </w:r>
            <w:r>
              <w:rPr>
                <w:color w:val="231F20"/>
                <w:spacing w:val="-7"/>
                <w:sz w:val="18"/>
              </w:rPr>
              <w:t xml:space="preserve"> </w:t>
            </w:r>
            <w:r>
              <w:rPr>
                <w:color w:val="231F20"/>
                <w:sz w:val="18"/>
              </w:rPr>
              <w:t>supply</w:t>
            </w:r>
          </w:p>
          <w:p w:rsidR="006A7A3F" w:rsidRDefault="00BC7372">
            <w:pPr>
              <w:pStyle w:val="TableParagraph"/>
              <w:numPr>
                <w:ilvl w:val="0"/>
                <w:numId w:val="76"/>
              </w:numPr>
              <w:tabs>
                <w:tab w:val="left" w:pos="306"/>
              </w:tabs>
              <w:spacing w:before="98"/>
              <w:ind w:hanging="218"/>
              <w:rPr>
                <w:sz w:val="18"/>
              </w:rPr>
            </w:pPr>
            <w:r>
              <w:rPr>
                <w:color w:val="231F20"/>
                <w:sz w:val="18"/>
              </w:rPr>
              <w:t>Transport organic matter that has accumulated in the</w:t>
            </w:r>
            <w:r>
              <w:rPr>
                <w:color w:val="231F20"/>
                <w:spacing w:val="-12"/>
                <w:sz w:val="18"/>
              </w:rPr>
              <w:t xml:space="preserve"> </w:t>
            </w:r>
            <w:r>
              <w:rPr>
                <w:color w:val="231F20"/>
                <w:sz w:val="18"/>
              </w:rPr>
              <w:t>channel</w:t>
            </w:r>
          </w:p>
          <w:p w:rsidR="006A7A3F" w:rsidRDefault="00BC7372">
            <w:pPr>
              <w:pStyle w:val="TableParagraph"/>
              <w:numPr>
                <w:ilvl w:val="0"/>
                <w:numId w:val="76"/>
              </w:numPr>
              <w:tabs>
                <w:tab w:val="left" w:pos="306"/>
              </w:tabs>
              <w:spacing w:before="98"/>
              <w:ind w:hanging="218"/>
              <w:rPr>
                <w:sz w:val="18"/>
              </w:rPr>
            </w:pPr>
            <w:r>
              <w:rPr>
                <w:color w:val="231F20"/>
                <w:sz w:val="18"/>
              </w:rPr>
              <w:t>Provide flow variability to maintain the diversity of fringing</w:t>
            </w:r>
            <w:r>
              <w:rPr>
                <w:color w:val="231F20"/>
                <w:spacing w:val="-7"/>
                <w:sz w:val="18"/>
              </w:rPr>
              <w:t xml:space="preserve"> </w:t>
            </w:r>
            <w:r>
              <w:rPr>
                <w:color w:val="231F20"/>
                <w:sz w:val="18"/>
              </w:rPr>
              <w:t>vegetation</w:t>
            </w:r>
          </w:p>
          <w:p w:rsidR="006A7A3F" w:rsidRDefault="00BC7372">
            <w:pPr>
              <w:pStyle w:val="TableParagraph"/>
              <w:numPr>
                <w:ilvl w:val="0"/>
                <w:numId w:val="76"/>
              </w:numPr>
              <w:tabs>
                <w:tab w:val="left" w:pos="306"/>
              </w:tabs>
              <w:spacing w:before="98" w:line="254" w:lineRule="auto"/>
              <w:ind w:right="170"/>
              <w:rPr>
                <w:sz w:val="18"/>
              </w:rPr>
            </w:pPr>
            <w:r>
              <w:rPr>
                <w:color w:val="231F20"/>
                <w:sz w:val="18"/>
              </w:rPr>
              <w:t>Wet</w:t>
            </w:r>
            <w:r>
              <w:rPr>
                <w:color w:val="231F20"/>
                <w:spacing w:val="-5"/>
                <w:sz w:val="18"/>
              </w:rPr>
              <w:t xml:space="preserve"> </w:t>
            </w:r>
            <w:r>
              <w:rPr>
                <w:color w:val="231F20"/>
                <w:sz w:val="18"/>
              </w:rPr>
              <w:t>exposed</w:t>
            </w:r>
            <w:r>
              <w:rPr>
                <w:color w:val="231F20"/>
                <w:spacing w:val="-5"/>
                <w:sz w:val="18"/>
              </w:rPr>
              <w:t xml:space="preserve"> </w:t>
            </w:r>
            <w:r>
              <w:rPr>
                <w:color w:val="231F20"/>
                <w:sz w:val="18"/>
              </w:rPr>
              <w:t>woody</w:t>
            </w:r>
            <w:r>
              <w:rPr>
                <w:color w:val="231F20"/>
                <w:spacing w:val="-5"/>
                <w:sz w:val="18"/>
              </w:rPr>
              <w:t xml:space="preserve"> </w:t>
            </w:r>
            <w:r>
              <w:rPr>
                <w:color w:val="231F20"/>
                <w:sz w:val="18"/>
              </w:rPr>
              <w:t>habitat</w:t>
            </w:r>
            <w:r>
              <w:rPr>
                <w:color w:val="231F20"/>
                <w:spacing w:val="-5"/>
                <w:sz w:val="18"/>
              </w:rPr>
              <w:t xml:space="preserve"> </w:t>
            </w:r>
            <w:r>
              <w:rPr>
                <w:color w:val="231F20"/>
                <w:sz w:val="18"/>
              </w:rPr>
              <w:t>for</w:t>
            </w:r>
            <w:r>
              <w:rPr>
                <w:color w:val="231F20"/>
                <w:spacing w:val="-4"/>
                <w:sz w:val="18"/>
              </w:rPr>
              <w:t xml:space="preserve"> </w:t>
            </w:r>
            <w:r>
              <w:rPr>
                <w:color w:val="231F20"/>
                <w:sz w:val="18"/>
              </w:rPr>
              <w:t>waterbugs</w:t>
            </w:r>
            <w:r>
              <w:rPr>
                <w:color w:val="231F20"/>
                <w:spacing w:val="-4"/>
                <w:sz w:val="18"/>
              </w:rPr>
              <w:t xml:space="preserve"> </w:t>
            </w:r>
            <w:r>
              <w:rPr>
                <w:color w:val="231F20"/>
                <w:sz w:val="18"/>
              </w:rPr>
              <w:t>and</w:t>
            </w:r>
            <w:r>
              <w:rPr>
                <w:color w:val="231F20"/>
                <w:spacing w:val="-5"/>
                <w:sz w:val="18"/>
              </w:rPr>
              <w:t xml:space="preserve"> </w:t>
            </w:r>
            <w:r>
              <w:rPr>
                <w:color w:val="231F20"/>
                <w:sz w:val="18"/>
              </w:rPr>
              <w:t>provide</w:t>
            </w:r>
            <w:r>
              <w:rPr>
                <w:color w:val="231F20"/>
                <w:spacing w:val="-5"/>
                <w:sz w:val="18"/>
              </w:rPr>
              <w:t xml:space="preserve"> </w:t>
            </w:r>
            <w:r>
              <w:rPr>
                <w:color w:val="231F20"/>
                <w:sz w:val="18"/>
              </w:rPr>
              <w:t>a</w:t>
            </w:r>
            <w:r>
              <w:rPr>
                <w:color w:val="231F20"/>
                <w:spacing w:val="-5"/>
                <w:sz w:val="18"/>
              </w:rPr>
              <w:t xml:space="preserve"> </w:t>
            </w:r>
            <w:r>
              <w:rPr>
                <w:color w:val="231F20"/>
                <w:sz w:val="18"/>
              </w:rPr>
              <w:t>sufficient</w:t>
            </w:r>
            <w:r>
              <w:rPr>
                <w:color w:val="231F20"/>
                <w:spacing w:val="-4"/>
                <w:sz w:val="18"/>
              </w:rPr>
              <w:t xml:space="preserve"> </w:t>
            </w:r>
            <w:r>
              <w:rPr>
                <w:color w:val="231F20"/>
                <w:sz w:val="18"/>
              </w:rPr>
              <w:t>depth of water and variability of flow to maintain microbial</w:t>
            </w:r>
            <w:r>
              <w:rPr>
                <w:color w:val="231F20"/>
                <w:spacing w:val="-9"/>
                <w:sz w:val="18"/>
              </w:rPr>
              <w:t xml:space="preserve"> </w:t>
            </w:r>
            <w:r>
              <w:rPr>
                <w:color w:val="231F20"/>
                <w:sz w:val="18"/>
              </w:rPr>
              <w:t>biofilms</w:t>
            </w:r>
          </w:p>
          <w:p w:rsidR="006A7A3F" w:rsidRDefault="00BC7372">
            <w:pPr>
              <w:pStyle w:val="TableParagraph"/>
              <w:numPr>
                <w:ilvl w:val="0"/>
                <w:numId w:val="76"/>
              </w:numPr>
              <w:tabs>
                <w:tab w:val="left" w:pos="306"/>
              </w:tabs>
              <w:spacing w:before="86"/>
              <w:ind w:hanging="218"/>
              <w:rPr>
                <w:sz w:val="18"/>
              </w:rPr>
            </w:pPr>
            <w:r>
              <w:rPr>
                <w:color w:val="231F20"/>
                <w:sz w:val="18"/>
              </w:rPr>
              <w:t>Freshen water quality by diluting salt and oxygenating</w:t>
            </w:r>
            <w:r>
              <w:rPr>
                <w:color w:val="231F20"/>
                <w:spacing w:val="-15"/>
                <w:sz w:val="18"/>
              </w:rPr>
              <w:t xml:space="preserve"> </w:t>
            </w:r>
            <w:r>
              <w:rPr>
                <w:color w:val="231F20"/>
                <w:sz w:val="18"/>
              </w:rPr>
              <w:t>pools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6"/>
                  <wp:effectExtent l="0" t="0" r="0" b="0"/>
                  <wp:docPr id="244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image19.jpeg"/>
                          <pic:cNvPicPr/>
                        </pic:nvPicPr>
                        <pic:blipFill>
                          <a:blip r:embed="rId31"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6"/>
                  <wp:effectExtent l="0" t="0" r="0" b="0"/>
                  <wp:docPr id="245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image20.jpeg"/>
                          <pic:cNvPicPr/>
                        </pic:nvPicPr>
                        <pic:blipFill>
                          <a:blip r:embed="rId32" cstate="print"/>
                          <a:stretch>
                            <a:fillRect/>
                          </a:stretch>
                        </pic:blipFill>
                        <pic:spPr>
                          <a:xfrm>
                            <a:off x="0" y="0"/>
                            <a:ext cx="314177"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45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245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900"/>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45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ind w:left="85"/>
              <w:jc w:val="both"/>
              <w:rPr>
                <w:sz w:val="16"/>
              </w:rPr>
            </w:pPr>
            <w:r>
              <w:rPr>
                <w:color w:val="231F20"/>
                <w:sz w:val="16"/>
              </w:rPr>
              <w:t>Winter/spring fresh</w:t>
            </w:r>
            <w:r w:rsidR="0087445D">
              <w:rPr>
                <w:color w:val="231F20"/>
                <w:sz w:val="16"/>
              </w:rPr>
              <w:t xml:space="preserve"> </w:t>
            </w:r>
          </w:p>
          <w:p w:rsidR="006A7A3F" w:rsidRDefault="00BC7372">
            <w:pPr>
              <w:pStyle w:val="TableParagraph"/>
              <w:spacing w:before="16" w:line="261" w:lineRule="auto"/>
              <w:ind w:left="85" w:right="220"/>
              <w:jc w:val="both"/>
              <w:rPr>
                <w:sz w:val="16"/>
              </w:rPr>
            </w:pPr>
            <w:r>
              <w:rPr>
                <w:color w:val="231F20"/>
                <w:sz w:val="16"/>
              </w:rPr>
              <w:t>(one fresh of 40–150 ML/day for two days during August</w:t>
            </w:r>
            <w:r>
              <w:rPr>
                <w:color w:val="231F20"/>
                <w:spacing w:val="-18"/>
                <w:sz w:val="16"/>
              </w:rPr>
              <w:t xml:space="preserve"> </w:t>
            </w:r>
            <w:r>
              <w:rPr>
                <w:color w:val="231F20"/>
                <w:sz w:val="16"/>
              </w:rPr>
              <w:t>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5"/>
              </w:numPr>
              <w:tabs>
                <w:tab w:val="left" w:pos="306"/>
              </w:tabs>
              <w:spacing w:before="63"/>
              <w:ind w:hanging="218"/>
              <w:rPr>
                <w:sz w:val="18"/>
              </w:rPr>
            </w:pPr>
            <w:r>
              <w:rPr>
                <w:color w:val="231F20"/>
                <w:sz w:val="18"/>
              </w:rPr>
              <w:t>Maintain the channel form and scour</w:t>
            </w:r>
            <w:r>
              <w:rPr>
                <w:color w:val="231F20"/>
                <w:spacing w:val="-2"/>
                <w:sz w:val="18"/>
              </w:rPr>
              <w:t xml:space="preserve"> </w:t>
            </w:r>
            <w:r>
              <w:rPr>
                <w:color w:val="231F20"/>
                <w:sz w:val="18"/>
              </w:rPr>
              <w:t>pools</w:t>
            </w:r>
          </w:p>
          <w:p w:rsidR="006A7A3F" w:rsidRDefault="00BC7372">
            <w:pPr>
              <w:pStyle w:val="TableParagraph"/>
              <w:numPr>
                <w:ilvl w:val="0"/>
                <w:numId w:val="75"/>
              </w:numPr>
              <w:tabs>
                <w:tab w:val="left" w:pos="306"/>
              </w:tabs>
              <w:spacing w:before="98" w:line="254" w:lineRule="auto"/>
              <w:ind w:right="399"/>
              <w:rPr>
                <w:sz w:val="18"/>
              </w:rPr>
            </w:pPr>
            <w:r>
              <w:rPr>
                <w:color w:val="231F20"/>
                <w:sz w:val="18"/>
              </w:rPr>
              <w:t>Provide connectivity for fish and waterbugs to access different</w:t>
            </w:r>
            <w:r>
              <w:rPr>
                <w:color w:val="231F20"/>
                <w:spacing w:val="-29"/>
                <w:sz w:val="18"/>
              </w:rPr>
              <w:t xml:space="preserve"> </w:t>
            </w:r>
            <w:r>
              <w:rPr>
                <w:color w:val="231F20"/>
                <w:sz w:val="18"/>
              </w:rPr>
              <w:t>habitat areas</w:t>
            </w:r>
          </w:p>
          <w:p w:rsidR="006A7A3F" w:rsidRDefault="00BC7372">
            <w:pPr>
              <w:pStyle w:val="TableParagraph"/>
              <w:numPr>
                <w:ilvl w:val="0"/>
                <w:numId w:val="75"/>
              </w:numPr>
              <w:tabs>
                <w:tab w:val="left" w:pos="306"/>
              </w:tabs>
              <w:spacing w:before="86" w:line="254" w:lineRule="auto"/>
              <w:ind w:right="98"/>
              <w:rPr>
                <w:sz w:val="18"/>
              </w:rPr>
            </w:pPr>
            <w:r>
              <w:rPr>
                <w:color w:val="231F20"/>
                <w:sz w:val="18"/>
              </w:rPr>
              <w:t>Transport organic matter that has accumulated in the channel, to increase</w:t>
            </w:r>
            <w:r>
              <w:rPr>
                <w:color w:val="231F20"/>
                <w:spacing w:val="-5"/>
                <w:sz w:val="18"/>
              </w:rPr>
              <w:t xml:space="preserve"> </w:t>
            </w:r>
            <w:r>
              <w:rPr>
                <w:color w:val="231F20"/>
                <w:sz w:val="18"/>
              </w:rPr>
              <w:t>productivity</w:t>
            </w:r>
            <w:r>
              <w:rPr>
                <w:color w:val="231F20"/>
                <w:spacing w:val="-4"/>
                <w:sz w:val="18"/>
              </w:rPr>
              <w:t xml:space="preserve"> </w:t>
            </w:r>
            <w:r>
              <w:rPr>
                <w:color w:val="231F20"/>
                <w:sz w:val="18"/>
              </w:rPr>
              <w:t>and</w:t>
            </w:r>
            <w:r>
              <w:rPr>
                <w:color w:val="231F20"/>
                <w:spacing w:val="-5"/>
                <w:sz w:val="18"/>
              </w:rPr>
              <w:t xml:space="preserve"> </w:t>
            </w:r>
            <w:r>
              <w:rPr>
                <w:color w:val="231F20"/>
                <w:sz w:val="18"/>
              </w:rPr>
              <w:t>reduce</w:t>
            </w:r>
            <w:r>
              <w:rPr>
                <w:color w:val="231F20"/>
                <w:spacing w:val="-3"/>
                <w:sz w:val="18"/>
              </w:rPr>
              <w:t xml:space="preserve"> </w:t>
            </w:r>
            <w:r>
              <w:rPr>
                <w:color w:val="231F20"/>
                <w:sz w:val="18"/>
              </w:rPr>
              <w:t>the</w:t>
            </w:r>
            <w:r>
              <w:rPr>
                <w:color w:val="231F20"/>
                <w:spacing w:val="-4"/>
                <w:sz w:val="18"/>
              </w:rPr>
              <w:t xml:space="preserve"> </w:t>
            </w:r>
            <w:r>
              <w:rPr>
                <w:color w:val="231F20"/>
                <w:sz w:val="18"/>
              </w:rPr>
              <w:t>risk</w:t>
            </w:r>
            <w:r>
              <w:rPr>
                <w:color w:val="231F20"/>
                <w:spacing w:val="-4"/>
                <w:sz w:val="18"/>
              </w:rPr>
              <w:t xml:space="preserve"> </w:t>
            </w:r>
            <w:r>
              <w:rPr>
                <w:color w:val="231F20"/>
                <w:sz w:val="18"/>
              </w:rPr>
              <w:t>of</w:t>
            </w:r>
            <w:r>
              <w:rPr>
                <w:color w:val="231F20"/>
                <w:spacing w:val="-4"/>
                <w:sz w:val="18"/>
              </w:rPr>
              <w:t xml:space="preserve"> </w:t>
            </w:r>
            <w:r>
              <w:rPr>
                <w:color w:val="231F20"/>
                <w:sz w:val="18"/>
              </w:rPr>
              <w:t>a</w:t>
            </w:r>
            <w:r>
              <w:rPr>
                <w:color w:val="231F20"/>
                <w:spacing w:val="-5"/>
                <w:sz w:val="18"/>
              </w:rPr>
              <w:t xml:space="preserve"> </w:t>
            </w:r>
            <w:r>
              <w:rPr>
                <w:color w:val="231F20"/>
                <w:sz w:val="18"/>
              </w:rPr>
              <w:t>hypoxic</w:t>
            </w:r>
            <w:r>
              <w:rPr>
                <w:color w:val="231F20"/>
                <w:spacing w:val="-4"/>
                <w:sz w:val="18"/>
              </w:rPr>
              <w:t xml:space="preserve"> </w:t>
            </w:r>
            <w:r>
              <w:rPr>
                <w:color w:val="231F20"/>
                <w:sz w:val="18"/>
              </w:rPr>
              <w:t>blackwater</w:t>
            </w:r>
            <w:r>
              <w:rPr>
                <w:color w:val="231F20"/>
                <w:spacing w:val="-4"/>
                <w:sz w:val="18"/>
              </w:rPr>
              <w:t xml:space="preserve"> </w:t>
            </w:r>
            <w:r>
              <w:rPr>
                <w:color w:val="231F20"/>
                <w:sz w:val="18"/>
              </w:rPr>
              <w:t>event</w:t>
            </w:r>
            <w:r>
              <w:rPr>
                <w:color w:val="231F20"/>
                <w:spacing w:val="-5"/>
                <w:sz w:val="18"/>
              </w:rPr>
              <w:t xml:space="preserve"> </w:t>
            </w:r>
            <w:r>
              <w:rPr>
                <w:color w:val="231F20"/>
                <w:sz w:val="18"/>
              </w:rPr>
              <w:t>in summer</w:t>
            </w:r>
          </w:p>
          <w:p w:rsidR="006A7A3F" w:rsidRDefault="00BC7372">
            <w:pPr>
              <w:pStyle w:val="TableParagraph"/>
              <w:numPr>
                <w:ilvl w:val="0"/>
                <w:numId w:val="75"/>
              </w:numPr>
              <w:tabs>
                <w:tab w:val="left" w:pos="306"/>
              </w:tabs>
              <w:spacing w:before="87" w:line="254" w:lineRule="auto"/>
              <w:ind w:right="336"/>
              <w:rPr>
                <w:sz w:val="18"/>
              </w:rPr>
            </w:pPr>
            <w:r>
              <w:rPr>
                <w:color w:val="231F20"/>
                <w:sz w:val="18"/>
              </w:rPr>
              <w:t>Provide a cue for adult platypus to construct burrows above the</w:t>
            </w:r>
            <w:r>
              <w:rPr>
                <w:color w:val="231F20"/>
                <w:spacing w:val="-31"/>
                <w:sz w:val="18"/>
              </w:rPr>
              <w:t xml:space="preserve"> </w:t>
            </w:r>
            <w:r>
              <w:rPr>
                <w:color w:val="231F20"/>
                <w:sz w:val="18"/>
              </w:rPr>
              <w:t>higher water</w:t>
            </w:r>
            <w:r>
              <w:rPr>
                <w:color w:val="231F20"/>
                <w:spacing w:val="-2"/>
                <w:sz w:val="18"/>
              </w:rPr>
              <w:t xml:space="preserve"> </w:t>
            </w:r>
            <w:r>
              <w:rPr>
                <w:color w:val="231F20"/>
                <w:sz w:val="18"/>
              </w:rPr>
              <w:t>level</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3" cy="310896"/>
                  <wp:effectExtent l="0" t="0" r="0" b="0"/>
                  <wp:docPr id="245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image19.jpeg"/>
                          <pic:cNvPicPr/>
                        </pic:nvPicPr>
                        <pic:blipFill>
                          <a:blip r:embed="rId31" cstate="print"/>
                          <a:stretch>
                            <a:fillRect/>
                          </a:stretch>
                        </pic:blipFill>
                        <pic:spPr>
                          <a:xfrm>
                            <a:off x="0" y="0"/>
                            <a:ext cx="314173"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3" cy="310896"/>
                  <wp:effectExtent l="0" t="0" r="0" b="0"/>
                  <wp:docPr id="246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image20.jpeg"/>
                          <pic:cNvPicPr/>
                        </pic:nvPicPr>
                        <pic:blipFill>
                          <a:blip r:embed="rId32" cstate="print"/>
                          <a:stretch>
                            <a:fillRect/>
                          </a:stretch>
                        </pic:blipFill>
                        <pic:spPr>
                          <a:xfrm>
                            <a:off x="0" y="0"/>
                            <a:ext cx="314173"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46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246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trPr>
          <w:trHeight w:val="950"/>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46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123"/>
              <w:rPr>
                <w:sz w:val="16"/>
              </w:rPr>
            </w:pPr>
            <w:r>
              <w:rPr>
                <w:color w:val="231F20"/>
                <w:sz w:val="16"/>
              </w:rPr>
              <w:t xml:space="preserve">Summer/autumn low flow </w:t>
            </w:r>
            <w:r>
              <w:rPr>
                <w:color w:val="231F20"/>
                <w:spacing w:val="-4"/>
                <w:sz w:val="16"/>
              </w:rPr>
              <w:t xml:space="preserve">(10– </w:t>
            </w:r>
            <w:r>
              <w:rPr>
                <w:color w:val="231F20"/>
                <w:sz w:val="16"/>
              </w:rPr>
              <w:t>20 ML/day during December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4"/>
              </w:numPr>
              <w:tabs>
                <w:tab w:val="left" w:pos="306"/>
              </w:tabs>
              <w:spacing w:before="63"/>
              <w:ind w:hanging="218"/>
              <w:rPr>
                <w:sz w:val="18"/>
              </w:rPr>
            </w:pPr>
            <w:r>
              <w:rPr>
                <w:color w:val="231F20"/>
                <w:sz w:val="18"/>
              </w:rPr>
              <w:t>Provide flow variability to prevent notching of</w:t>
            </w:r>
            <w:r>
              <w:rPr>
                <w:color w:val="231F20"/>
                <w:spacing w:val="-6"/>
                <w:sz w:val="18"/>
              </w:rPr>
              <w:t xml:space="preserve"> </w:t>
            </w:r>
            <w:r>
              <w:rPr>
                <w:color w:val="231F20"/>
                <w:sz w:val="18"/>
              </w:rPr>
              <w:t>riverbanks</w:t>
            </w:r>
          </w:p>
          <w:p w:rsidR="006A7A3F" w:rsidRDefault="00BC7372">
            <w:pPr>
              <w:pStyle w:val="TableParagraph"/>
              <w:numPr>
                <w:ilvl w:val="0"/>
                <w:numId w:val="74"/>
              </w:numPr>
              <w:tabs>
                <w:tab w:val="left" w:pos="306"/>
              </w:tabs>
              <w:spacing w:before="98" w:line="254" w:lineRule="auto"/>
              <w:ind w:right="437"/>
              <w:rPr>
                <w:sz w:val="18"/>
              </w:rPr>
            </w:pPr>
            <w:r>
              <w:rPr>
                <w:color w:val="231F20"/>
                <w:sz w:val="18"/>
              </w:rPr>
              <w:t>Provide connectivity between pools to allow the dispersal of</w:t>
            </w:r>
            <w:r>
              <w:rPr>
                <w:color w:val="231F20"/>
                <w:spacing w:val="-27"/>
                <w:sz w:val="18"/>
              </w:rPr>
              <w:t xml:space="preserve"> </w:t>
            </w:r>
            <w:r>
              <w:rPr>
                <w:color w:val="231F20"/>
                <w:sz w:val="18"/>
              </w:rPr>
              <w:t>small-to- medium-bodied native</w:t>
            </w:r>
            <w:r>
              <w:rPr>
                <w:color w:val="231F20"/>
                <w:spacing w:val="-2"/>
                <w:sz w:val="18"/>
              </w:rPr>
              <w:t xml:space="preserve"> </w:t>
            </w:r>
            <w:r>
              <w:rPr>
                <w:color w:val="231F20"/>
                <w:sz w:val="18"/>
              </w:rPr>
              <w:t>fish</w:t>
            </w:r>
          </w:p>
          <w:p w:rsidR="006A7A3F" w:rsidRDefault="00BC7372">
            <w:pPr>
              <w:pStyle w:val="TableParagraph"/>
              <w:numPr>
                <w:ilvl w:val="0"/>
                <w:numId w:val="74"/>
              </w:numPr>
              <w:tabs>
                <w:tab w:val="left" w:pos="306"/>
              </w:tabs>
              <w:spacing w:before="86" w:line="254" w:lineRule="auto"/>
              <w:ind w:right="310"/>
              <w:rPr>
                <w:sz w:val="18"/>
              </w:rPr>
            </w:pPr>
            <w:r>
              <w:rPr>
                <w:color w:val="231F20"/>
                <w:sz w:val="18"/>
              </w:rPr>
              <w:t>Wet</w:t>
            </w:r>
            <w:r>
              <w:rPr>
                <w:color w:val="231F20"/>
                <w:spacing w:val="-5"/>
                <w:sz w:val="18"/>
              </w:rPr>
              <w:t xml:space="preserve"> </w:t>
            </w:r>
            <w:r>
              <w:rPr>
                <w:color w:val="231F20"/>
                <w:sz w:val="18"/>
              </w:rPr>
              <w:t>exposed</w:t>
            </w:r>
            <w:r>
              <w:rPr>
                <w:color w:val="231F20"/>
                <w:spacing w:val="-4"/>
                <w:sz w:val="18"/>
              </w:rPr>
              <w:t xml:space="preserve"> </w:t>
            </w:r>
            <w:r>
              <w:rPr>
                <w:color w:val="231F20"/>
                <w:sz w:val="18"/>
              </w:rPr>
              <w:t>roots,</w:t>
            </w:r>
            <w:r>
              <w:rPr>
                <w:color w:val="231F20"/>
                <w:spacing w:val="-4"/>
                <w:sz w:val="18"/>
              </w:rPr>
              <w:t xml:space="preserve"> </w:t>
            </w:r>
            <w:r>
              <w:rPr>
                <w:color w:val="231F20"/>
                <w:sz w:val="18"/>
              </w:rPr>
              <w:t>leaf</w:t>
            </w:r>
            <w:r>
              <w:rPr>
                <w:color w:val="231F20"/>
                <w:spacing w:val="-5"/>
                <w:sz w:val="18"/>
              </w:rPr>
              <w:t xml:space="preserve"> </w:t>
            </w:r>
            <w:r>
              <w:rPr>
                <w:color w:val="231F20"/>
                <w:sz w:val="18"/>
              </w:rPr>
              <w:t>packs</w:t>
            </w:r>
            <w:r>
              <w:rPr>
                <w:color w:val="231F20"/>
                <w:spacing w:val="-4"/>
                <w:sz w:val="18"/>
              </w:rPr>
              <w:t xml:space="preserve"> </w:t>
            </w:r>
            <w:r>
              <w:rPr>
                <w:color w:val="231F20"/>
                <w:sz w:val="18"/>
              </w:rPr>
              <w:t>and</w:t>
            </w:r>
            <w:r>
              <w:rPr>
                <w:color w:val="231F20"/>
                <w:spacing w:val="-4"/>
                <w:sz w:val="18"/>
              </w:rPr>
              <w:t xml:space="preserve"> </w:t>
            </w:r>
            <w:r>
              <w:rPr>
                <w:color w:val="231F20"/>
                <w:sz w:val="18"/>
              </w:rPr>
              <w:t>woody</w:t>
            </w:r>
            <w:r>
              <w:rPr>
                <w:color w:val="231F20"/>
                <w:spacing w:val="-5"/>
                <w:sz w:val="18"/>
              </w:rPr>
              <w:t xml:space="preserve"> </w:t>
            </w:r>
            <w:r>
              <w:rPr>
                <w:color w:val="231F20"/>
                <w:sz w:val="18"/>
              </w:rPr>
              <w:t>debris,</w:t>
            </w:r>
            <w:r>
              <w:rPr>
                <w:color w:val="231F20"/>
                <w:spacing w:val="-4"/>
                <w:sz w:val="18"/>
              </w:rPr>
              <w:t xml:space="preserve"> </w:t>
            </w:r>
            <w:r>
              <w:rPr>
                <w:color w:val="231F20"/>
                <w:sz w:val="18"/>
              </w:rPr>
              <w:t>to</w:t>
            </w:r>
            <w:r>
              <w:rPr>
                <w:color w:val="231F20"/>
                <w:spacing w:val="-4"/>
                <w:sz w:val="18"/>
              </w:rPr>
              <w:t xml:space="preserve"> </w:t>
            </w:r>
            <w:r>
              <w:rPr>
                <w:color w:val="231F20"/>
                <w:sz w:val="18"/>
              </w:rPr>
              <w:t>provide</w:t>
            </w:r>
            <w:r>
              <w:rPr>
                <w:color w:val="231F20"/>
                <w:spacing w:val="-5"/>
                <w:sz w:val="18"/>
              </w:rPr>
              <w:t xml:space="preserve"> </w:t>
            </w:r>
            <w:r>
              <w:rPr>
                <w:color w:val="231F20"/>
                <w:sz w:val="18"/>
              </w:rPr>
              <w:t>habitat</w:t>
            </w:r>
            <w:r>
              <w:rPr>
                <w:color w:val="231F20"/>
                <w:spacing w:val="-4"/>
                <w:sz w:val="18"/>
              </w:rPr>
              <w:t xml:space="preserve"> </w:t>
            </w:r>
            <w:r>
              <w:rPr>
                <w:color w:val="231F20"/>
                <w:sz w:val="18"/>
              </w:rPr>
              <w:t>for aquatic</w:t>
            </w:r>
            <w:r>
              <w:rPr>
                <w:color w:val="231F20"/>
                <w:spacing w:val="-2"/>
                <w:sz w:val="18"/>
              </w:rPr>
              <w:t xml:space="preserve"> </w:t>
            </w:r>
            <w:r>
              <w:rPr>
                <w:color w:val="231F20"/>
                <w:sz w:val="18"/>
              </w:rPr>
              <w:t>animals</w:t>
            </w:r>
          </w:p>
          <w:p w:rsidR="006A7A3F" w:rsidRDefault="00BC7372">
            <w:pPr>
              <w:pStyle w:val="TableParagraph"/>
              <w:numPr>
                <w:ilvl w:val="0"/>
                <w:numId w:val="74"/>
              </w:numPr>
              <w:tabs>
                <w:tab w:val="left" w:pos="306"/>
              </w:tabs>
              <w:spacing w:before="86"/>
              <w:ind w:hanging="218"/>
              <w:rPr>
                <w:sz w:val="18"/>
              </w:rPr>
            </w:pPr>
            <w:r>
              <w:rPr>
                <w:color w:val="231F20"/>
                <w:sz w:val="18"/>
              </w:rPr>
              <w:t>Provide sufficient flow to maintain water quality by oxygenating</w:t>
            </w:r>
            <w:r>
              <w:rPr>
                <w:color w:val="231F20"/>
                <w:spacing w:val="-17"/>
                <w:sz w:val="18"/>
              </w:rPr>
              <w:t xml:space="preserve"> </w:t>
            </w:r>
            <w:r>
              <w:rPr>
                <w:color w:val="231F20"/>
                <w:sz w:val="18"/>
              </w:rPr>
              <w:t>pools</w:t>
            </w:r>
          </w:p>
          <w:p w:rsidR="006A7A3F" w:rsidRDefault="00BC7372">
            <w:pPr>
              <w:pStyle w:val="TableParagraph"/>
              <w:numPr>
                <w:ilvl w:val="0"/>
                <w:numId w:val="74"/>
              </w:numPr>
              <w:tabs>
                <w:tab w:val="left" w:pos="306"/>
              </w:tabs>
              <w:spacing w:before="98"/>
              <w:ind w:hanging="218"/>
              <w:rPr>
                <w:sz w:val="18"/>
              </w:rPr>
            </w:pPr>
            <w:r>
              <w:rPr>
                <w:color w:val="231F20"/>
                <w:sz w:val="18"/>
              </w:rPr>
              <w:t>Maintain foraging habitat for</w:t>
            </w:r>
            <w:r>
              <w:rPr>
                <w:color w:val="231F20"/>
                <w:spacing w:val="-2"/>
                <w:sz w:val="18"/>
              </w:rPr>
              <w:t xml:space="preserve"> </w:t>
            </w:r>
            <w:r>
              <w:rPr>
                <w:color w:val="231F20"/>
                <w:sz w:val="18"/>
              </w:rPr>
              <w:t>platypus</w:t>
            </w:r>
          </w:p>
          <w:p w:rsidR="006A7A3F" w:rsidRDefault="00BC7372">
            <w:pPr>
              <w:pStyle w:val="TableParagraph"/>
              <w:numPr>
                <w:ilvl w:val="0"/>
                <w:numId w:val="74"/>
              </w:numPr>
              <w:tabs>
                <w:tab w:val="left" w:pos="306"/>
              </w:tabs>
              <w:spacing w:before="99" w:line="254" w:lineRule="auto"/>
              <w:ind w:right="296"/>
              <w:rPr>
                <w:sz w:val="18"/>
              </w:rPr>
            </w:pPr>
            <w:r>
              <w:rPr>
                <w:color w:val="231F20"/>
                <w:sz w:val="18"/>
              </w:rPr>
              <w:t>Maintain the wetted area to support in-stream aquatic vegetation</w:t>
            </w:r>
            <w:r>
              <w:rPr>
                <w:color w:val="231F20"/>
                <w:spacing w:val="-25"/>
                <w:sz w:val="18"/>
              </w:rPr>
              <w:t xml:space="preserve"> </w:t>
            </w:r>
            <w:r>
              <w:rPr>
                <w:color w:val="231F20"/>
                <w:sz w:val="18"/>
              </w:rPr>
              <w:t>(such as water ribbons, eel weed and</w:t>
            </w:r>
            <w:r>
              <w:rPr>
                <w:color w:val="231F20"/>
                <w:spacing w:val="-7"/>
                <w:sz w:val="18"/>
              </w:rPr>
              <w:t xml:space="preserve"> </w:t>
            </w:r>
            <w:r>
              <w:rPr>
                <w:color w:val="231F20"/>
                <w:sz w:val="18"/>
              </w:rPr>
              <w:t>milfoil)</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6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471"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image20.jpeg"/>
                          <pic:cNvPicPr/>
                        </pic:nvPicPr>
                        <pic:blipFill>
                          <a:blip r:embed="rId32" cstate="print"/>
                          <a:stretch>
                            <a:fillRect/>
                          </a:stretch>
                        </pic:blipFill>
                        <pic:spPr>
                          <a:xfrm>
                            <a:off x="0" y="0"/>
                            <a:ext cx="314168" cy="310896"/>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77" cy="310896"/>
                  <wp:effectExtent l="0" t="0" r="0" b="0"/>
                  <wp:docPr id="2473"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77" cy="310896"/>
                  <wp:effectExtent l="0" t="0" r="0" b="0"/>
                  <wp:docPr id="2475"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image22.jpeg"/>
                          <pic:cNvPicPr/>
                        </pic:nvPicPr>
                        <pic:blipFill>
                          <a:blip r:embed="rId34" cstate="print"/>
                          <a:stretch>
                            <a:fillRect/>
                          </a:stretch>
                        </pic:blipFill>
                        <pic:spPr>
                          <a:xfrm>
                            <a:off x="0" y="0"/>
                            <a:ext cx="314177" cy="310896"/>
                          </a:xfrm>
                          <a:prstGeom prst="rect">
                            <a:avLst/>
                          </a:prstGeom>
                        </pic:spPr>
                      </pic:pic>
                    </a:graphicData>
                  </a:graphic>
                </wp:inline>
              </w:drawing>
            </w:r>
          </w:p>
        </w:tc>
      </w:tr>
      <w:tr w:rsidR="006A7A3F">
        <w:trPr>
          <w:trHeight w:val="1340"/>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477"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rsidP="0087445D">
            <w:pPr>
              <w:pStyle w:val="TableParagraph"/>
              <w:spacing w:before="67"/>
              <w:ind w:left="85"/>
              <w:rPr>
                <w:sz w:val="16"/>
              </w:rPr>
            </w:pPr>
            <w:r>
              <w:rPr>
                <w:color w:val="231F20"/>
                <w:sz w:val="16"/>
              </w:rPr>
              <w:t>Winter/spring low flow</w:t>
            </w:r>
            <w:r w:rsidR="0087445D">
              <w:rPr>
                <w:color w:val="231F20"/>
                <w:sz w:val="16"/>
              </w:rPr>
              <w:t xml:space="preserve"> </w:t>
            </w:r>
            <w:r>
              <w:rPr>
                <w:color w:val="231F20"/>
                <w:sz w:val="16"/>
              </w:rPr>
              <w:t>(20–30 ML/day during June to November)</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3"/>
              </w:numPr>
              <w:tabs>
                <w:tab w:val="left" w:pos="306"/>
              </w:tabs>
              <w:spacing w:before="63"/>
              <w:ind w:hanging="218"/>
              <w:rPr>
                <w:sz w:val="18"/>
              </w:rPr>
            </w:pPr>
            <w:r>
              <w:rPr>
                <w:color w:val="231F20"/>
                <w:sz w:val="18"/>
              </w:rPr>
              <w:t>Maintain spawning habitat for native</w:t>
            </w:r>
            <w:r>
              <w:rPr>
                <w:color w:val="231F20"/>
                <w:spacing w:val="-13"/>
                <w:sz w:val="18"/>
              </w:rPr>
              <w:t xml:space="preserve"> </w:t>
            </w:r>
            <w:r>
              <w:rPr>
                <w:color w:val="231F20"/>
                <w:sz w:val="18"/>
              </w:rPr>
              <w:t>fish</w:t>
            </w:r>
          </w:p>
          <w:p w:rsidR="006A7A3F" w:rsidRDefault="00BC7372">
            <w:pPr>
              <w:pStyle w:val="TableParagraph"/>
              <w:numPr>
                <w:ilvl w:val="0"/>
                <w:numId w:val="73"/>
              </w:numPr>
              <w:tabs>
                <w:tab w:val="left" w:pos="306"/>
              </w:tabs>
              <w:spacing w:before="98" w:line="254" w:lineRule="auto"/>
              <w:ind w:right="260"/>
              <w:rPr>
                <w:sz w:val="18"/>
              </w:rPr>
            </w:pPr>
            <w:r>
              <w:rPr>
                <w:color w:val="231F20"/>
                <w:sz w:val="18"/>
              </w:rPr>
              <w:t>Wet</w:t>
            </w:r>
            <w:r>
              <w:rPr>
                <w:color w:val="231F20"/>
                <w:spacing w:val="-5"/>
                <w:sz w:val="18"/>
              </w:rPr>
              <w:t xml:space="preserve"> </w:t>
            </w:r>
            <w:r>
              <w:rPr>
                <w:color w:val="231F20"/>
                <w:sz w:val="18"/>
              </w:rPr>
              <w:t>exposed</w:t>
            </w:r>
            <w:r>
              <w:rPr>
                <w:color w:val="231F20"/>
                <w:spacing w:val="-5"/>
                <w:sz w:val="18"/>
              </w:rPr>
              <w:t xml:space="preserve"> </w:t>
            </w:r>
            <w:r>
              <w:rPr>
                <w:color w:val="231F20"/>
                <w:sz w:val="18"/>
              </w:rPr>
              <w:t>roots,</w:t>
            </w:r>
            <w:r>
              <w:rPr>
                <w:color w:val="231F20"/>
                <w:spacing w:val="-4"/>
                <w:sz w:val="18"/>
              </w:rPr>
              <w:t xml:space="preserve"> </w:t>
            </w:r>
            <w:r>
              <w:rPr>
                <w:color w:val="231F20"/>
                <w:sz w:val="18"/>
              </w:rPr>
              <w:t>woody</w:t>
            </w:r>
            <w:r>
              <w:rPr>
                <w:color w:val="231F20"/>
                <w:spacing w:val="-5"/>
                <w:sz w:val="18"/>
              </w:rPr>
              <w:t xml:space="preserve"> </w:t>
            </w:r>
            <w:r>
              <w:rPr>
                <w:color w:val="231F20"/>
                <w:sz w:val="18"/>
              </w:rPr>
              <w:t>debris,</w:t>
            </w:r>
            <w:r>
              <w:rPr>
                <w:color w:val="231F20"/>
                <w:spacing w:val="-5"/>
                <w:sz w:val="18"/>
              </w:rPr>
              <w:t xml:space="preserve"> </w:t>
            </w:r>
            <w:r>
              <w:rPr>
                <w:color w:val="231F20"/>
                <w:sz w:val="18"/>
              </w:rPr>
              <w:t>emergent</w:t>
            </w:r>
            <w:r>
              <w:rPr>
                <w:color w:val="231F20"/>
                <w:spacing w:val="-5"/>
                <w:sz w:val="18"/>
              </w:rPr>
              <w:t xml:space="preserve"> </w:t>
            </w:r>
            <w:r>
              <w:rPr>
                <w:color w:val="231F20"/>
                <w:sz w:val="18"/>
              </w:rPr>
              <w:t>vegetation</w:t>
            </w:r>
            <w:r>
              <w:rPr>
                <w:color w:val="231F20"/>
                <w:spacing w:val="-4"/>
                <w:sz w:val="18"/>
              </w:rPr>
              <w:t xml:space="preserve"> </w:t>
            </w:r>
            <w:r>
              <w:rPr>
                <w:color w:val="231F20"/>
                <w:sz w:val="18"/>
              </w:rPr>
              <w:t>and</w:t>
            </w:r>
            <w:r>
              <w:rPr>
                <w:color w:val="231F20"/>
                <w:spacing w:val="-5"/>
                <w:sz w:val="18"/>
              </w:rPr>
              <w:t xml:space="preserve"> </w:t>
            </w:r>
            <w:r>
              <w:rPr>
                <w:color w:val="231F20"/>
                <w:sz w:val="18"/>
              </w:rPr>
              <w:t>leaf</w:t>
            </w:r>
            <w:r>
              <w:rPr>
                <w:color w:val="231F20"/>
                <w:spacing w:val="-5"/>
                <w:sz w:val="18"/>
              </w:rPr>
              <w:t xml:space="preserve"> </w:t>
            </w:r>
            <w:r>
              <w:rPr>
                <w:color w:val="231F20"/>
                <w:sz w:val="18"/>
              </w:rPr>
              <w:t>packs, to provide habitat for aquatic</w:t>
            </w:r>
            <w:r>
              <w:rPr>
                <w:color w:val="231F20"/>
                <w:spacing w:val="-6"/>
                <w:sz w:val="18"/>
              </w:rPr>
              <w:t xml:space="preserve"> </w:t>
            </w:r>
            <w:r>
              <w:rPr>
                <w:color w:val="231F20"/>
                <w:sz w:val="18"/>
              </w:rPr>
              <w:t>animals</w:t>
            </w:r>
          </w:p>
          <w:p w:rsidR="006A7A3F" w:rsidRDefault="00BC7372">
            <w:pPr>
              <w:pStyle w:val="TableParagraph"/>
              <w:numPr>
                <w:ilvl w:val="0"/>
                <w:numId w:val="73"/>
              </w:numPr>
              <w:tabs>
                <w:tab w:val="left" w:pos="306"/>
              </w:tabs>
              <w:spacing w:before="86"/>
              <w:ind w:hanging="218"/>
              <w:rPr>
                <w:sz w:val="18"/>
              </w:rPr>
            </w:pPr>
            <w:r>
              <w:rPr>
                <w:color w:val="231F20"/>
                <w:sz w:val="18"/>
              </w:rPr>
              <w:t>Maintain water quality by preventing</w:t>
            </w:r>
            <w:r>
              <w:rPr>
                <w:color w:val="231F20"/>
                <w:spacing w:val="-7"/>
                <w:sz w:val="18"/>
              </w:rPr>
              <w:t xml:space="preserve"> </w:t>
            </w:r>
            <w:r>
              <w:rPr>
                <w:color w:val="231F20"/>
                <w:sz w:val="18"/>
              </w:rPr>
              <w:t>stagnation</w:t>
            </w:r>
          </w:p>
          <w:p w:rsidR="006A7A3F" w:rsidRDefault="00BC7372">
            <w:pPr>
              <w:pStyle w:val="TableParagraph"/>
              <w:numPr>
                <w:ilvl w:val="0"/>
                <w:numId w:val="73"/>
              </w:numPr>
              <w:tabs>
                <w:tab w:val="left" w:pos="306"/>
              </w:tabs>
              <w:spacing w:before="98" w:line="254" w:lineRule="auto"/>
              <w:ind w:right="359"/>
              <w:rPr>
                <w:sz w:val="18"/>
              </w:rPr>
            </w:pPr>
            <w:r>
              <w:rPr>
                <w:color w:val="231F20"/>
                <w:sz w:val="18"/>
              </w:rPr>
              <w:t>Provide flow variability, to prevent notching of riverbanks and</w:t>
            </w:r>
            <w:r>
              <w:rPr>
                <w:color w:val="231F20"/>
                <w:spacing w:val="-33"/>
                <w:sz w:val="18"/>
              </w:rPr>
              <w:t xml:space="preserve"> </w:t>
            </w:r>
            <w:r>
              <w:rPr>
                <w:color w:val="231F20"/>
                <w:sz w:val="18"/>
              </w:rPr>
              <w:t>maintain diversity of fringing</w:t>
            </w:r>
            <w:r>
              <w:rPr>
                <w:color w:val="231F20"/>
                <w:spacing w:val="-3"/>
                <w:sz w:val="18"/>
              </w:rPr>
              <w:t xml:space="preserve"> </w:t>
            </w:r>
            <w:r>
              <w:rPr>
                <w:color w:val="231F20"/>
                <w:sz w:val="18"/>
              </w:rPr>
              <w:t>vegetation</w:t>
            </w:r>
          </w:p>
          <w:p w:rsidR="006A7A3F" w:rsidRDefault="00BC7372">
            <w:pPr>
              <w:pStyle w:val="TableParagraph"/>
              <w:numPr>
                <w:ilvl w:val="0"/>
                <w:numId w:val="73"/>
              </w:numPr>
              <w:tabs>
                <w:tab w:val="left" w:pos="306"/>
              </w:tabs>
              <w:spacing w:before="86" w:line="254" w:lineRule="auto"/>
              <w:ind w:right="556"/>
              <w:rPr>
                <w:sz w:val="18"/>
              </w:rPr>
            </w:pPr>
            <w:r>
              <w:rPr>
                <w:color w:val="231F20"/>
                <w:sz w:val="18"/>
              </w:rPr>
              <w:t>Provide a sufficient depth of water and variability of flow to maintain microbial</w:t>
            </w:r>
            <w:r>
              <w:rPr>
                <w:color w:val="231F20"/>
                <w:spacing w:val="-1"/>
                <w:sz w:val="18"/>
              </w:rPr>
              <w:t xml:space="preserve"> </w:t>
            </w:r>
            <w:r>
              <w:rPr>
                <w:color w:val="231F20"/>
                <w:sz w:val="18"/>
              </w:rPr>
              <w:t>biofilms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479"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48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6A7A3F">
        <w:trPr>
          <w:trHeight w:val="159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483"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BC7372">
            <w:pPr>
              <w:pStyle w:val="TableParagraph"/>
              <w:ind w:left="48"/>
              <w:rPr>
                <w:sz w:val="20"/>
              </w:rPr>
            </w:pPr>
            <w:r>
              <w:rPr>
                <w:noProof/>
                <w:sz w:val="20"/>
              </w:rPr>
              <w:drawing>
                <wp:inline distT="0" distB="0" distL="0" distR="0">
                  <wp:extent cx="314168" cy="310896"/>
                  <wp:effectExtent l="0" t="0" r="0" b="0"/>
                  <wp:docPr id="2485"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image23.png"/>
                          <pic:cNvPicPr/>
                        </pic:nvPicPr>
                        <pic:blipFill>
                          <a:blip r:embed="rId35" cstate="print"/>
                          <a:stretch>
                            <a:fillRect/>
                          </a:stretch>
                        </pic:blipFill>
                        <pic:spPr>
                          <a:xfrm>
                            <a:off x="0" y="0"/>
                            <a:ext cx="314168" cy="310896"/>
                          </a:xfrm>
                          <a:prstGeom prst="rect">
                            <a:avLst/>
                          </a:prstGeom>
                        </pic:spPr>
                      </pic:pic>
                    </a:graphicData>
                  </a:graphic>
                </wp:inline>
              </w:drawing>
            </w:r>
          </w:p>
        </w:tc>
      </w:tr>
      <w:tr w:rsidR="006A7A3F">
        <w:trPr>
          <w:trHeight w:val="333"/>
        </w:trPr>
        <w:tc>
          <w:tcPr>
            <w:tcW w:w="10175" w:type="dxa"/>
            <w:gridSpan w:val="4"/>
            <w:tcBorders>
              <w:top w:val="single" w:sz="4" w:space="0" w:color="231F20"/>
              <w:left w:val="single" w:sz="4" w:space="0" w:color="231F20"/>
              <w:bottom w:val="single" w:sz="4" w:space="0" w:color="231F20"/>
              <w:right w:val="single" w:sz="4" w:space="0" w:color="231F20"/>
            </w:tcBorders>
            <w:shd w:val="clear" w:color="auto" w:fill="E6E7E8"/>
          </w:tcPr>
          <w:p w:rsidR="006A7A3F" w:rsidRPr="00597E02" w:rsidRDefault="00BC7372">
            <w:pPr>
              <w:pStyle w:val="TableParagraph"/>
              <w:spacing w:before="67"/>
              <w:ind w:left="85"/>
              <w:rPr>
                <w:b/>
                <w:bCs/>
                <w:sz w:val="16"/>
              </w:rPr>
            </w:pPr>
            <w:r w:rsidRPr="00597E02">
              <w:rPr>
                <w:b/>
                <w:bCs/>
                <w:color w:val="231F20"/>
                <w:sz w:val="16"/>
              </w:rPr>
              <w:t>Pyramid Creek and Loddon River (reach 5)</w:t>
            </w:r>
          </w:p>
        </w:tc>
      </w:tr>
      <w:tr w:rsidR="006A7A3F">
        <w:trPr>
          <w:trHeight w:val="933"/>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rsidP="0087445D">
            <w:pPr>
              <w:pStyle w:val="TableParagraph"/>
              <w:spacing w:before="67" w:line="261" w:lineRule="auto"/>
              <w:ind w:left="85" w:right="86"/>
              <w:rPr>
                <w:sz w:val="16"/>
              </w:rPr>
            </w:pPr>
            <w:r>
              <w:rPr>
                <w:color w:val="231F20"/>
                <w:sz w:val="16"/>
              </w:rPr>
              <w:t>Spring high flow (one high flow of 700 ML/day for</w:t>
            </w:r>
            <w:r w:rsidR="0087445D">
              <w:rPr>
                <w:color w:val="231F20"/>
                <w:sz w:val="16"/>
              </w:rPr>
              <w:t xml:space="preserve"> </w:t>
            </w:r>
            <w:r>
              <w:rPr>
                <w:color w:val="231F20"/>
                <w:sz w:val="16"/>
              </w:rPr>
              <w:t>10 days during September to October)</w:t>
            </w:r>
          </w:p>
        </w:tc>
        <w:tc>
          <w:tcPr>
            <w:tcW w:w="6236"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2"/>
              </w:numPr>
              <w:tabs>
                <w:tab w:val="left" w:pos="306"/>
              </w:tabs>
              <w:spacing w:before="63" w:line="254" w:lineRule="auto"/>
              <w:ind w:right="383"/>
              <w:rPr>
                <w:sz w:val="18"/>
              </w:rPr>
            </w:pPr>
            <w:r>
              <w:rPr>
                <w:color w:val="231F20"/>
                <w:sz w:val="18"/>
              </w:rPr>
              <w:t>Trigger the migration, spawning and recruitment of native fish</w:t>
            </w:r>
            <w:r>
              <w:rPr>
                <w:color w:val="231F20"/>
                <w:spacing w:val="-18"/>
                <w:sz w:val="18"/>
              </w:rPr>
              <w:t xml:space="preserve"> </w:t>
            </w:r>
            <w:r>
              <w:rPr>
                <w:color w:val="231F20"/>
                <w:sz w:val="18"/>
              </w:rPr>
              <w:t>species including Murray</w:t>
            </w:r>
            <w:r>
              <w:rPr>
                <w:color w:val="231F20"/>
                <w:spacing w:val="-2"/>
                <w:sz w:val="18"/>
              </w:rPr>
              <w:t xml:space="preserve"> </w:t>
            </w:r>
            <w:r>
              <w:rPr>
                <w:color w:val="231F20"/>
                <w:sz w:val="18"/>
              </w:rPr>
              <w:t>cod</w:t>
            </w:r>
          </w:p>
          <w:p w:rsidR="006A7A3F" w:rsidRDefault="00BC7372">
            <w:pPr>
              <w:pStyle w:val="TableParagraph"/>
              <w:numPr>
                <w:ilvl w:val="0"/>
                <w:numId w:val="72"/>
              </w:numPr>
              <w:tabs>
                <w:tab w:val="left" w:pos="306"/>
              </w:tabs>
              <w:spacing w:before="86"/>
              <w:ind w:hanging="218"/>
              <w:rPr>
                <w:sz w:val="18"/>
              </w:rPr>
            </w:pPr>
            <w:r>
              <w:rPr>
                <w:color w:val="231F20"/>
                <w:sz w:val="18"/>
              </w:rPr>
              <w:t>Maintain connectivity between habitats and improve water</w:t>
            </w:r>
            <w:r>
              <w:rPr>
                <w:color w:val="231F20"/>
                <w:spacing w:val="-15"/>
                <w:sz w:val="18"/>
              </w:rPr>
              <w:t xml:space="preserve"> </w:t>
            </w:r>
            <w:r>
              <w:rPr>
                <w:color w:val="231F20"/>
                <w:sz w:val="18"/>
              </w:rPr>
              <w:t>quality</w:t>
            </w:r>
          </w:p>
        </w:tc>
        <w:tc>
          <w:tcPr>
            <w:tcW w:w="850" w:type="dxa"/>
            <w:tcBorders>
              <w:top w:val="single" w:sz="4" w:space="0" w:color="231F20"/>
              <w:left w:val="single" w:sz="4" w:space="0" w:color="231F20"/>
              <w:bottom w:val="single" w:sz="4" w:space="0" w:color="231F20"/>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5"/>
                  <wp:effectExtent l="0" t="0" r="0" b="0"/>
                  <wp:docPr id="248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image19.jpeg"/>
                          <pic:cNvPicPr/>
                        </pic:nvPicPr>
                        <pic:blipFill>
                          <a:blip r:embed="rId31" cstate="print"/>
                          <a:stretch>
                            <a:fillRect/>
                          </a:stretch>
                        </pic:blipFill>
                        <pic:spPr>
                          <a:xfrm>
                            <a:off x="0" y="0"/>
                            <a:ext cx="314177" cy="310895"/>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4" cy="310895"/>
                  <wp:effectExtent l="0" t="0" r="0" b="0"/>
                  <wp:docPr id="248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image23.png"/>
                          <pic:cNvPicPr/>
                        </pic:nvPicPr>
                        <pic:blipFill>
                          <a:blip r:embed="rId35" cstate="print"/>
                          <a:stretch>
                            <a:fillRect/>
                          </a:stretch>
                        </pic:blipFill>
                        <pic:spPr>
                          <a:xfrm>
                            <a:off x="0" y="0"/>
                            <a:ext cx="314164" cy="310895"/>
                          </a:xfrm>
                          <a:prstGeom prst="rect">
                            <a:avLst/>
                          </a:prstGeom>
                        </pic:spPr>
                      </pic:pic>
                    </a:graphicData>
                  </a:graphic>
                </wp:inline>
              </w:drawing>
            </w:r>
          </w:p>
        </w:tc>
      </w:tr>
      <w:tr w:rsidR="006A7A3F">
        <w:trPr>
          <w:trHeight w:val="625"/>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95"/>
              <w:rPr>
                <w:sz w:val="16"/>
              </w:rPr>
            </w:pPr>
            <w:r>
              <w:rPr>
                <w:color w:val="231F20"/>
                <w:sz w:val="16"/>
              </w:rPr>
              <w:t>Autumn/winter low flow (90–200 ML/day during May to August)</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1"/>
              </w:numPr>
              <w:tabs>
                <w:tab w:val="left" w:pos="306"/>
              </w:tabs>
              <w:spacing w:before="63" w:line="254" w:lineRule="auto"/>
              <w:ind w:right="516"/>
              <w:rPr>
                <w:sz w:val="18"/>
              </w:rPr>
            </w:pPr>
            <w:r>
              <w:rPr>
                <w:color w:val="231F20"/>
                <w:sz w:val="18"/>
              </w:rPr>
              <w:t>Maintain connectivity between pools and provide habitat for fish</w:t>
            </w:r>
            <w:r>
              <w:rPr>
                <w:color w:val="231F20"/>
                <w:spacing w:val="-31"/>
                <w:sz w:val="18"/>
              </w:rPr>
              <w:t xml:space="preserve"> </w:t>
            </w:r>
            <w:r>
              <w:rPr>
                <w:color w:val="231F20"/>
                <w:sz w:val="18"/>
              </w:rPr>
              <w:t>and waterbugs outside of the irrigation</w:t>
            </w:r>
            <w:r>
              <w:rPr>
                <w:color w:val="231F20"/>
                <w:spacing w:val="-7"/>
                <w:sz w:val="18"/>
              </w:rPr>
              <w:t xml:space="preserve"> </w:t>
            </w:r>
            <w:r>
              <w:rPr>
                <w:color w:val="231F20"/>
                <w:sz w:val="18"/>
              </w:rPr>
              <w:t>season</w:t>
            </w:r>
          </w:p>
          <w:p w:rsidR="006A7A3F" w:rsidRDefault="00BC7372">
            <w:pPr>
              <w:pStyle w:val="TableParagraph"/>
              <w:numPr>
                <w:ilvl w:val="0"/>
                <w:numId w:val="71"/>
              </w:numPr>
              <w:tabs>
                <w:tab w:val="left" w:pos="306"/>
              </w:tabs>
              <w:spacing w:before="86"/>
              <w:ind w:hanging="218"/>
              <w:rPr>
                <w:sz w:val="18"/>
              </w:rPr>
            </w:pPr>
            <w:r>
              <w:rPr>
                <w:color w:val="231F20"/>
                <w:sz w:val="18"/>
              </w:rPr>
              <w:t>Improve water quality by reducing salinity</w:t>
            </w:r>
            <w:r>
              <w:rPr>
                <w:color w:val="231F20"/>
                <w:spacing w:val="-6"/>
                <w:sz w:val="18"/>
              </w:rPr>
              <w:t xml:space="preserve"> </w:t>
            </w:r>
            <w:r>
              <w:rPr>
                <w:color w:val="231F20"/>
                <w:sz w:val="18"/>
              </w:rPr>
              <w:t>levels</w:t>
            </w:r>
          </w:p>
          <w:p w:rsidR="006A7A3F" w:rsidRDefault="00BC7372">
            <w:pPr>
              <w:pStyle w:val="TableParagraph"/>
              <w:numPr>
                <w:ilvl w:val="0"/>
                <w:numId w:val="71"/>
              </w:numPr>
              <w:tabs>
                <w:tab w:val="left" w:pos="306"/>
              </w:tabs>
              <w:spacing w:before="98" w:line="254" w:lineRule="auto"/>
              <w:ind w:right="195"/>
              <w:rPr>
                <w:sz w:val="18"/>
              </w:rPr>
            </w:pPr>
            <w:r>
              <w:rPr>
                <w:color w:val="231F20"/>
                <w:sz w:val="18"/>
              </w:rPr>
              <w:t>Enhance the wetted area to maintain and promote the growth of fringing emergent (non-woody) vegetation along the lower banks of the</w:t>
            </w:r>
            <w:r>
              <w:rPr>
                <w:color w:val="231F20"/>
                <w:spacing w:val="-23"/>
                <w:sz w:val="18"/>
              </w:rPr>
              <w:t xml:space="preserve"> </w:t>
            </w:r>
            <w:r>
              <w:rPr>
                <w:color w:val="231F20"/>
                <w:sz w:val="18"/>
              </w:rPr>
              <w:t>channel</w:t>
            </w:r>
          </w:p>
          <w:p w:rsidR="006A7A3F" w:rsidRDefault="00BC7372">
            <w:pPr>
              <w:pStyle w:val="TableParagraph"/>
              <w:numPr>
                <w:ilvl w:val="0"/>
                <w:numId w:val="71"/>
              </w:numPr>
              <w:tabs>
                <w:tab w:val="left" w:pos="306"/>
              </w:tabs>
              <w:spacing w:before="86"/>
              <w:ind w:hanging="218"/>
              <w:rPr>
                <w:sz w:val="18"/>
              </w:rPr>
            </w:pPr>
            <w:r>
              <w:rPr>
                <w:color w:val="231F20"/>
                <w:sz w:val="18"/>
              </w:rPr>
              <w:t>Redistribute fine sediment on benches and</w:t>
            </w:r>
            <w:r>
              <w:rPr>
                <w:color w:val="231F20"/>
                <w:spacing w:val="-7"/>
                <w:sz w:val="18"/>
              </w:rPr>
              <w:t xml:space="preserve"> </w:t>
            </w:r>
            <w:r>
              <w:rPr>
                <w:color w:val="231F20"/>
                <w:sz w:val="18"/>
              </w:rPr>
              <w:t>bars</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77" cy="310895"/>
                  <wp:effectExtent l="0" t="0" r="0" b="0"/>
                  <wp:docPr id="249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image19.jpeg"/>
                          <pic:cNvPicPr/>
                        </pic:nvPicPr>
                        <pic:blipFill>
                          <a:blip r:embed="rId31" cstate="print"/>
                          <a:stretch>
                            <a:fillRect/>
                          </a:stretch>
                        </pic:blipFill>
                        <pic:spPr>
                          <a:xfrm>
                            <a:off x="0" y="0"/>
                            <a:ext cx="314177" cy="310895"/>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77" cy="310895"/>
                  <wp:effectExtent l="0" t="0" r="0" b="0"/>
                  <wp:docPr id="2493" name="image20.jpeg" descr="icon: Mountain and waterway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image20.jpeg"/>
                          <pic:cNvPicPr/>
                        </pic:nvPicPr>
                        <pic:blipFill>
                          <a:blip r:embed="rId32" cstate="print"/>
                          <a:stretch>
                            <a:fillRect/>
                          </a:stretch>
                        </pic:blipFill>
                        <pic:spPr>
                          <a:xfrm>
                            <a:off x="0" y="0"/>
                            <a:ext cx="314177" cy="310895"/>
                          </a:xfrm>
                          <a:prstGeom prst="rect">
                            <a:avLst/>
                          </a:prstGeom>
                        </pic:spPr>
                      </pic:pic>
                    </a:graphicData>
                  </a:graphic>
                </wp:inline>
              </w:drawing>
            </w:r>
          </w:p>
        </w:tc>
      </w:tr>
      <w:tr w:rsidR="006A7A3F">
        <w:trPr>
          <w:trHeight w:val="546"/>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nil"/>
              <w:right w:val="nil"/>
            </w:tcBorders>
          </w:tcPr>
          <w:p w:rsidR="006A7A3F" w:rsidRDefault="00BC7372">
            <w:pPr>
              <w:pStyle w:val="TableParagraph"/>
              <w:ind w:left="315" w:right="-15"/>
              <w:rPr>
                <w:sz w:val="20"/>
              </w:rPr>
            </w:pPr>
            <w:r>
              <w:rPr>
                <w:noProof/>
                <w:sz w:val="20"/>
              </w:rPr>
              <w:drawing>
                <wp:inline distT="0" distB="0" distL="0" distR="0">
                  <wp:extent cx="314173" cy="310895"/>
                  <wp:effectExtent l="0" t="0" r="0" b="0"/>
                  <wp:docPr id="249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image21.jpeg"/>
                          <pic:cNvPicPr/>
                        </pic:nvPicPr>
                        <pic:blipFill>
                          <a:blip r:embed="rId33" cstate="print"/>
                          <a:stretch>
                            <a:fillRect/>
                          </a:stretch>
                        </pic:blipFill>
                        <pic:spPr>
                          <a:xfrm>
                            <a:off x="0" y="0"/>
                            <a:ext cx="314173"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BC7372">
            <w:pPr>
              <w:pStyle w:val="TableParagraph"/>
              <w:ind w:left="48"/>
              <w:rPr>
                <w:sz w:val="20"/>
              </w:rPr>
            </w:pPr>
            <w:r>
              <w:rPr>
                <w:noProof/>
                <w:sz w:val="20"/>
              </w:rPr>
              <w:drawing>
                <wp:inline distT="0" distB="0" distL="0" distR="0">
                  <wp:extent cx="314173" cy="310895"/>
                  <wp:effectExtent l="0" t="0" r="0" b="0"/>
                  <wp:docPr id="2497"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image22.jpeg"/>
                          <pic:cNvPicPr/>
                        </pic:nvPicPr>
                        <pic:blipFill>
                          <a:blip r:embed="rId34" cstate="print"/>
                          <a:stretch>
                            <a:fillRect/>
                          </a:stretch>
                        </pic:blipFill>
                        <pic:spPr>
                          <a:xfrm>
                            <a:off x="0" y="0"/>
                            <a:ext cx="314173" cy="310895"/>
                          </a:xfrm>
                          <a:prstGeom prst="rect">
                            <a:avLst/>
                          </a:prstGeom>
                        </pic:spPr>
                      </pic:pic>
                    </a:graphicData>
                  </a:graphic>
                </wp:inline>
              </w:drawing>
            </w:r>
          </w:p>
        </w:tc>
      </w:tr>
      <w:tr w:rsidR="006A7A3F">
        <w:trPr>
          <w:trHeight w:val="627"/>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4" cy="310895"/>
                  <wp:effectExtent l="0" t="0" r="0" b="0"/>
                  <wp:docPr id="2499"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image23.png"/>
                          <pic:cNvPicPr/>
                        </pic:nvPicPr>
                        <pic:blipFill>
                          <a:blip r:embed="rId35" cstate="print"/>
                          <a:stretch>
                            <a:fillRect/>
                          </a:stretch>
                        </pic:blipFill>
                        <pic:spPr>
                          <a:xfrm>
                            <a:off x="0" y="0"/>
                            <a:ext cx="314164"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r w:rsidR="006A7A3F">
        <w:trPr>
          <w:trHeight w:val="620"/>
        </w:trPr>
        <w:tc>
          <w:tcPr>
            <w:tcW w:w="2381"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67" w:line="261" w:lineRule="auto"/>
              <w:ind w:left="85" w:right="220"/>
              <w:rPr>
                <w:sz w:val="16"/>
              </w:rPr>
            </w:pPr>
            <w:r>
              <w:rPr>
                <w:color w:val="231F20"/>
                <w:sz w:val="16"/>
              </w:rPr>
              <w:t>Autumn high flow (up to one high flow of 700–900 ML/day for 10 days during March to May)</w:t>
            </w:r>
          </w:p>
        </w:tc>
        <w:tc>
          <w:tcPr>
            <w:tcW w:w="6236" w:type="dxa"/>
            <w:vMerge w:val="restart"/>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70"/>
              </w:numPr>
              <w:tabs>
                <w:tab w:val="left" w:pos="306"/>
              </w:tabs>
              <w:spacing w:before="63" w:line="254" w:lineRule="auto"/>
              <w:ind w:right="383"/>
              <w:rPr>
                <w:sz w:val="18"/>
              </w:rPr>
            </w:pPr>
            <w:r>
              <w:rPr>
                <w:color w:val="231F20"/>
                <w:sz w:val="18"/>
              </w:rPr>
              <w:t>Trigger the migration, spawning and recruitment of native fish</w:t>
            </w:r>
            <w:r>
              <w:rPr>
                <w:color w:val="231F20"/>
                <w:spacing w:val="-18"/>
                <w:sz w:val="18"/>
              </w:rPr>
              <w:t xml:space="preserve"> </w:t>
            </w:r>
            <w:r>
              <w:rPr>
                <w:color w:val="231F20"/>
                <w:sz w:val="18"/>
              </w:rPr>
              <w:t>species including Murray</w:t>
            </w:r>
            <w:r>
              <w:rPr>
                <w:color w:val="231F20"/>
                <w:spacing w:val="-2"/>
                <w:sz w:val="18"/>
              </w:rPr>
              <w:t xml:space="preserve"> </w:t>
            </w:r>
            <w:r>
              <w:rPr>
                <w:color w:val="231F20"/>
                <w:sz w:val="18"/>
              </w:rPr>
              <w:t>cod</w:t>
            </w:r>
          </w:p>
          <w:p w:rsidR="006A7A3F" w:rsidRDefault="00BC7372">
            <w:pPr>
              <w:pStyle w:val="TableParagraph"/>
              <w:numPr>
                <w:ilvl w:val="0"/>
                <w:numId w:val="70"/>
              </w:numPr>
              <w:tabs>
                <w:tab w:val="left" w:pos="306"/>
              </w:tabs>
              <w:spacing w:before="86" w:line="254" w:lineRule="auto"/>
              <w:ind w:right="546"/>
              <w:rPr>
                <w:sz w:val="18"/>
              </w:rPr>
            </w:pPr>
            <w:r>
              <w:rPr>
                <w:color w:val="231F20"/>
                <w:sz w:val="18"/>
              </w:rPr>
              <w:t>Facilitate the upstream movement of golden perch, silver perch and Murray cod older than one</w:t>
            </w:r>
            <w:r>
              <w:rPr>
                <w:color w:val="231F20"/>
                <w:spacing w:val="-3"/>
                <w:sz w:val="18"/>
              </w:rPr>
              <w:t xml:space="preserve"> </w:t>
            </w:r>
            <w:r>
              <w:rPr>
                <w:color w:val="231F20"/>
                <w:sz w:val="18"/>
              </w:rPr>
              <w:t>year</w:t>
            </w:r>
          </w:p>
          <w:p w:rsidR="006A7A3F" w:rsidRDefault="00BC7372">
            <w:pPr>
              <w:pStyle w:val="TableParagraph"/>
              <w:numPr>
                <w:ilvl w:val="0"/>
                <w:numId w:val="70"/>
              </w:numPr>
              <w:tabs>
                <w:tab w:val="left" w:pos="306"/>
              </w:tabs>
              <w:spacing w:before="86"/>
              <w:ind w:hanging="218"/>
              <w:rPr>
                <w:sz w:val="18"/>
              </w:rPr>
            </w:pPr>
            <w:r>
              <w:rPr>
                <w:color w:val="231F20"/>
                <w:sz w:val="18"/>
              </w:rPr>
              <w:t>Maintain connectivity between habitats and improve water</w:t>
            </w:r>
            <w:r>
              <w:rPr>
                <w:color w:val="231F20"/>
                <w:spacing w:val="-15"/>
                <w:sz w:val="18"/>
              </w:rPr>
              <w:t xml:space="preserve"> </w:t>
            </w:r>
            <w:r>
              <w:rPr>
                <w:color w:val="231F20"/>
                <w:sz w:val="18"/>
              </w:rPr>
              <w:t>quality</w:t>
            </w:r>
          </w:p>
          <w:p w:rsidR="006A7A3F" w:rsidRDefault="00BC7372">
            <w:pPr>
              <w:pStyle w:val="TableParagraph"/>
              <w:numPr>
                <w:ilvl w:val="0"/>
                <w:numId w:val="70"/>
              </w:numPr>
              <w:tabs>
                <w:tab w:val="left" w:pos="306"/>
              </w:tabs>
              <w:spacing w:before="98"/>
              <w:ind w:hanging="218"/>
              <w:rPr>
                <w:sz w:val="18"/>
              </w:rPr>
            </w:pPr>
            <w:r>
              <w:rPr>
                <w:color w:val="231F20"/>
                <w:sz w:val="18"/>
              </w:rPr>
              <w:t>Facilitate platypus</w:t>
            </w:r>
            <w:r>
              <w:rPr>
                <w:color w:val="231F20"/>
                <w:spacing w:val="-2"/>
                <w:sz w:val="18"/>
              </w:rPr>
              <w:t xml:space="preserve"> </w:t>
            </w:r>
            <w:r>
              <w:rPr>
                <w:color w:val="231F20"/>
                <w:sz w:val="18"/>
              </w:rPr>
              <w:t>dispersal</w:t>
            </w:r>
          </w:p>
        </w:tc>
        <w:tc>
          <w:tcPr>
            <w:tcW w:w="850" w:type="dxa"/>
            <w:tcBorders>
              <w:top w:val="single" w:sz="4" w:space="0" w:color="231F20"/>
              <w:left w:val="single" w:sz="4" w:space="0" w:color="231F20"/>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501"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top w:val="single" w:sz="4" w:space="0" w:color="231F20"/>
              <w:left w:val="nil"/>
              <w:bottom w:val="nil"/>
              <w:right w:val="single" w:sz="4" w:space="0" w:color="231F20"/>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503"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trPr>
          <w:trHeight w:val="1072"/>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tcBorders>
              <w:top w:val="nil"/>
              <w:left w:val="single" w:sz="4" w:space="0" w:color="231F20"/>
              <w:bottom w:val="single" w:sz="4" w:space="0" w:color="231F20"/>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505"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ind w:left="0"/>
              <w:rPr>
                <w:rFonts w:ascii="Times New Roman"/>
                <w:sz w:val="16"/>
              </w:rPr>
            </w:pPr>
          </w:p>
        </w:tc>
      </w:tr>
    </w:tbl>
    <w:p w:rsidR="006A7A3F" w:rsidRDefault="00BC7372">
      <w:pPr>
        <w:pStyle w:val="ListParagraph"/>
        <w:numPr>
          <w:ilvl w:val="0"/>
          <w:numId w:val="69"/>
        </w:numPr>
        <w:tabs>
          <w:tab w:val="left" w:pos="324"/>
        </w:tabs>
        <w:spacing w:before="129"/>
        <w:rPr>
          <w:sz w:val="14"/>
        </w:rPr>
      </w:pPr>
      <w:r>
        <w:rPr>
          <w:color w:val="231F20"/>
          <w:sz w:val="14"/>
        </w:rPr>
        <w:t>The recommended magnitude and duration may be increased if needed to prevent a decline in oxygen</w:t>
      </w:r>
      <w:r>
        <w:rPr>
          <w:color w:val="231F20"/>
          <w:spacing w:val="4"/>
          <w:sz w:val="14"/>
        </w:rPr>
        <w:t xml:space="preserve"> </w:t>
      </w:r>
      <w:r>
        <w:rPr>
          <w:color w:val="231F20"/>
          <w:sz w:val="14"/>
        </w:rPr>
        <w:t>levels.</w:t>
      </w:r>
    </w:p>
    <w:p w:rsidR="006A7A3F" w:rsidRDefault="00BC7372">
      <w:pPr>
        <w:pStyle w:val="ListParagraph"/>
        <w:numPr>
          <w:ilvl w:val="0"/>
          <w:numId w:val="69"/>
        </w:numPr>
        <w:tabs>
          <w:tab w:val="left" w:pos="324"/>
        </w:tabs>
        <w:spacing w:before="83" w:line="266" w:lineRule="auto"/>
        <w:ind w:right="469"/>
        <w:rPr>
          <w:sz w:val="14"/>
        </w:rPr>
      </w:pPr>
      <w:r>
        <w:rPr>
          <w:color w:val="231F20"/>
          <w:sz w:val="14"/>
        </w:rPr>
        <w:t>Due to the potential wetting of private land, environmental flows above 450 ML per day in reach 4 will not be provided without the agreement of landholders who could potentially be</w:t>
      </w:r>
      <w:r>
        <w:rPr>
          <w:color w:val="231F20"/>
          <w:spacing w:val="-3"/>
          <w:sz w:val="14"/>
        </w:rPr>
        <w:t xml:space="preserve"> </w:t>
      </w:r>
      <w:r>
        <w:rPr>
          <w:color w:val="231F20"/>
          <w:sz w:val="14"/>
        </w:rPr>
        <w:t>affected.</w:t>
      </w:r>
    </w:p>
    <w:p w:rsidR="006A7A3F" w:rsidRDefault="00BC7372">
      <w:pPr>
        <w:pStyle w:val="ListParagraph"/>
        <w:numPr>
          <w:ilvl w:val="0"/>
          <w:numId w:val="69"/>
        </w:numPr>
        <w:tabs>
          <w:tab w:val="left" w:pos="324"/>
        </w:tabs>
        <w:spacing w:before="55"/>
        <w:rPr>
          <w:sz w:val="14"/>
        </w:rPr>
      </w:pPr>
      <w:r>
        <w:rPr>
          <w:color w:val="231F20"/>
          <w:sz w:val="14"/>
        </w:rPr>
        <w:t>Recommended magnitude may be increased if needed to prevent adverse declines in oxygen</w:t>
      </w:r>
      <w:r>
        <w:rPr>
          <w:color w:val="231F20"/>
          <w:spacing w:val="2"/>
          <w:sz w:val="14"/>
        </w:rPr>
        <w:t xml:space="preserve"> </w:t>
      </w:r>
      <w:r>
        <w:rPr>
          <w:color w:val="231F20"/>
          <w:sz w:val="14"/>
        </w:rPr>
        <w:t>levels.</w:t>
      </w:r>
    </w:p>
    <w:p w:rsidR="006A7A3F" w:rsidRDefault="00BC7372">
      <w:pPr>
        <w:pStyle w:val="ListParagraph"/>
        <w:numPr>
          <w:ilvl w:val="0"/>
          <w:numId w:val="69"/>
        </w:numPr>
        <w:tabs>
          <w:tab w:val="left" w:pos="324"/>
        </w:tabs>
        <w:spacing w:before="74" w:line="266" w:lineRule="auto"/>
        <w:ind w:right="685"/>
        <w:rPr>
          <w:sz w:val="14"/>
        </w:rPr>
      </w:pPr>
      <w:r>
        <w:rPr>
          <w:color w:val="231F20"/>
          <w:sz w:val="14"/>
        </w:rPr>
        <w:t xml:space="preserve">Winter/spring low flow of 50 ML per day is below the passing flow magnitude and will result in the </w:t>
      </w:r>
      <w:r>
        <w:rPr>
          <w:color w:val="231F20"/>
          <w:spacing w:val="2"/>
          <w:sz w:val="14"/>
        </w:rPr>
        <w:t xml:space="preserve">VEWH </w:t>
      </w:r>
      <w:r>
        <w:rPr>
          <w:color w:val="231F20"/>
          <w:sz w:val="14"/>
        </w:rPr>
        <w:t>banking passing flows savings, for use in other potential watering actions.</w:t>
      </w:r>
    </w:p>
    <w:p w:rsidR="006A7A3F" w:rsidRDefault="00BC7372">
      <w:pPr>
        <w:pStyle w:val="ListParagraph"/>
        <w:numPr>
          <w:ilvl w:val="0"/>
          <w:numId w:val="69"/>
        </w:numPr>
        <w:tabs>
          <w:tab w:val="left" w:pos="324"/>
        </w:tabs>
        <w:spacing w:before="55" w:line="266" w:lineRule="auto"/>
        <w:ind w:right="573"/>
        <w:rPr>
          <w:sz w:val="14"/>
        </w:rPr>
      </w:pPr>
      <w:r>
        <w:rPr>
          <w:color w:val="231F20"/>
          <w:sz w:val="14"/>
        </w:rPr>
        <w:t>Flows in Serpentine Creek will be allowed to either return to the Loddon River or continue down Pennyroyal/Bannacher Creek or Nine Mile Creek with the agreement of landholders.</w:t>
      </w:r>
    </w:p>
    <w:p w:rsidR="00701E28" w:rsidRDefault="00701E28">
      <w:pPr>
        <w:rPr>
          <w:rFonts w:ascii="Helvetica Neue LT Std 75"/>
          <w:b/>
          <w:color w:val="231F20"/>
          <w:sz w:val="19"/>
        </w:rPr>
      </w:pPr>
      <w:r>
        <w:rPr>
          <w:rFonts w:ascii="Helvetica Neue LT Std 75"/>
          <w:b/>
          <w:color w:val="231F20"/>
          <w:sz w:val="19"/>
        </w:rPr>
        <w:br w:type="page"/>
      </w:r>
    </w:p>
    <w:p w:rsidR="006A7A3F" w:rsidRPr="00701E28" w:rsidRDefault="00BC7372">
      <w:pPr>
        <w:spacing w:before="70"/>
        <w:ind w:left="210"/>
        <w:rPr>
          <w:b/>
          <w:sz w:val="19"/>
        </w:rPr>
      </w:pPr>
      <w:r w:rsidRPr="00701E28">
        <w:rPr>
          <w:b/>
          <w:color w:val="231F20"/>
          <w:sz w:val="19"/>
        </w:rPr>
        <w:t>Scenario planning</w:t>
      </w:r>
    </w:p>
    <w:p w:rsidR="006A7A3F" w:rsidRDefault="00BC7372">
      <w:pPr>
        <w:pStyle w:val="BodyText"/>
        <w:spacing w:before="68" w:line="249" w:lineRule="auto"/>
        <w:ind w:right="100"/>
      </w:pPr>
      <w:r>
        <w:rPr>
          <w:color w:val="231F20"/>
        </w:rPr>
        <w:t>Table 5.7.2 outlines the potential environmental watering and expected water use under a range of planning scenarios.</w:t>
      </w:r>
    </w:p>
    <w:p w:rsidR="006A7A3F" w:rsidRDefault="00BC7372">
      <w:pPr>
        <w:pStyle w:val="BodyText"/>
        <w:spacing w:line="249" w:lineRule="auto"/>
        <w:ind w:right="386"/>
      </w:pPr>
      <w:r>
        <w:rPr>
          <w:color w:val="231F20"/>
        </w:rPr>
        <w:t>Up to three summer/autumn freshes and continuous low flow are planned to be delivered in the Loddon River under all scenarios. These flows are critical for providing connectivity for aquatic animals and freshening water quality. A winter/spring high flow, timed to combine with increased flow in Pyramid Creek, is also planned to be delivered under all scenarios to trigger upstream movement of native fish from the Murray system for feeding and breeding.</w:t>
      </w:r>
    </w:p>
    <w:p w:rsidR="006A7A3F" w:rsidRDefault="00BC7372">
      <w:pPr>
        <w:pStyle w:val="BodyText"/>
        <w:spacing w:before="174" w:line="249" w:lineRule="auto"/>
        <w:ind w:right="200"/>
      </w:pPr>
      <w:r>
        <w:rPr>
          <w:color w:val="231F20"/>
        </w:rPr>
        <w:t xml:space="preserve">Low flow is important for wetting bank vegetation and providing foraging habitat for aquatic animals. In the Loddon </w:t>
      </w:r>
      <w:r>
        <w:rPr>
          <w:color w:val="231F20"/>
          <w:spacing w:val="-3"/>
        </w:rPr>
        <w:t xml:space="preserve">River, </w:t>
      </w:r>
      <w:r>
        <w:rPr>
          <w:color w:val="231F20"/>
        </w:rPr>
        <w:t xml:space="preserve">the magnitude of low flow is expected to vary between 25 to 100 ML per </w:t>
      </w:r>
      <w:r>
        <w:rPr>
          <w:color w:val="231F20"/>
          <w:spacing w:val="-5"/>
        </w:rPr>
        <w:t xml:space="preserve">day, </w:t>
      </w:r>
      <w:r>
        <w:rPr>
          <w:color w:val="231F20"/>
        </w:rPr>
        <w:t xml:space="preserve">depending on conditions (and therefore changes in expected supply) and the time of </w:t>
      </w:r>
      <w:r>
        <w:rPr>
          <w:color w:val="231F20"/>
          <w:spacing w:val="-3"/>
        </w:rPr>
        <w:t xml:space="preserve">year. </w:t>
      </w:r>
      <w:r>
        <w:rPr>
          <w:color w:val="231F20"/>
        </w:rPr>
        <w:t xml:space="preserve">During winter/spring, continuous low flow of 50 ML per day is planned under a drought scenario. This will result in the accumulation of passing flows (as passing flows increase to 77 ML per day in May to October), for use later in the season. Under dry conditions, passing flows are expected to meet the winter low flow requirement, whereas under average and wet conditions, low flow will likely be increased to 100 ML per </w:t>
      </w:r>
      <w:r>
        <w:rPr>
          <w:color w:val="231F20"/>
          <w:spacing w:val="-5"/>
        </w:rPr>
        <w:t xml:space="preserve">day. </w:t>
      </w:r>
      <w:r>
        <w:rPr>
          <w:color w:val="231F20"/>
        </w:rPr>
        <w:t xml:space="preserve">During summer and autumn, continuous low flow is planned to be as low as 25 ML per day in a drought-dry year but may be increased to 50 ML per day if conditions are average to wet. Contingency has been factored in to supply volumes under drought and dry scenarios to temporarily increase summer/autumn low flow magnitudes or the duration of freshes if required, to prevent dangerously low oxygen declines if extended heatwaves are forecast. If more water is available, it is planned to be used to further increase the magnitude of planned freshes and low flow to better align with the environmental flow recommendations. Autumn high flow to cue and support fish movement is a lower priority under a drought scenario compared to </w:t>
      </w:r>
      <w:r>
        <w:rPr>
          <w:color w:val="231F20"/>
          <w:spacing w:val="-4"/>
        </w:rPr>
        <w:t xml:space="preserve">dry, </w:t>
      </w:r>
      <w:r>
        <w:rPr>
          <w:color w:val="231F20"/>
        </w:rPr>
        <w:t>average and wet scenarios.</w:t>
      </w:r>
    </w:p>
    <w:p w:rsidR="006A7A3F" w:rsidRDefault="00BC7372">
      <w:pPr>
        <w:pStyle w:val="BodyText"/>
        <w:spacing w:before="181" w:line="249" w:lineRule="auto"/>
        <w:ind w:right="330"/>
      </w:pPr>
      <w:r>
        <w:rPr>
          <w:color w:val="231F20"/>
        </w:rPr>
        <w:t>Freshes and low flow are priorities across all seasons for Serpentine Creek under all scenarios. Lower anticipated supply under drought and dry conditions will likely restrict the number of summer/autumn freshes that can be delivered and restrict low flow to the lower end of the recommended range. The full number of recommended freshes and higher-magnitude low flow should be delivered if more water becomes available under these scenarios.</w:t>
      </w:r>
    </w:p>
    <w:p w:rsidR="006A7A3F" w:rsidRDefault="00BC7372">
      <w:pPr>
        <w:pStyle w:val="BodyText"/>
        <w:spacing w:before="175" w:line="249" w:lineRule="auto"/>
        <w:ind w:right="217"/>
      </w:pPr>
      <w:r>
        <w:rPr>
          <w:color w:val="231F20"/>
        </w:rPr>
        <w:t>In Pyramid Creek, the highest-priority action under all scenarios is to deliver a spring high flow, which is intended to be timed to meet the peak of the high flow in the Loddon River at Kerang Weir. Coordinating these events provides flow of a sufficient magnitude to trigger native fish to move upstream from the Murray River toward Kow Swamp and Gunbower Creek for spawning and recruitment. Pyramid Creek carries a large volume of consumptive water during the irrigation season, but the flow can drop significantly outside the irrigation season. Under all scenarios, water for the environment will likely be used to supplement flow in late autumn and winter, to maintain habitat for fish and other aquatic animals during this period. Autumn high flow should be delivered under average and wet conditions, if sufficient water is available.</w:t>
      </w:r>
    </w:p>
    <w:p w:rsidR="006A7A3F" w:rsidRDefault="00BC7372">
      <w:pPr>
        <w:pStyle w:val="BodyText"/>
        <w:spacing w:before="176" w:line="249" w:lineRule="auto"/>
        <w:ind w:right="100"/>
      </w:pPr>
      <w:r>
        <w:rPr>
          <w:color w:val="231F20"/>
        </w:rPr>
        <w:t>Up to 6,500 ML is prioritised for carryover into 2021–22. This water will help meet winter/spring low flow in all waterways and the spring high flow in the Loddon River.</w:t>
      </w:r>
    </w:p>
    <w:p w:rsidR="00701E28" w:rsidRDefault="00701E28">
      <w:pPr>
        <w:rPr>
          <w:b/>
          <w:color w:val="231F20"/>
          <w:sz w:val="18"/>
        </w:rPr>
      </w:pPr>
      <w:r>
        <w:rPr>
          <w:b/>
          <w:color w:val="231F20"/>
          <w:sz w:val="18"/>
        </w:rPr>
        <w:br w:type="page"/>
      </w:r>
    </w:p>
    <w:p w:rsidR="006A7A3F" w:rsidRDefault="00BC7372">
      <w:pPr>
        <w:spacing w:before="167"/>
        <w:ind w:left="210"/>
        <w:rPr>
          <w:b/>
          <w:sz w:val="18"/>
        </w:rPr>
      </w:pPr>
      <w:r>
        <w:rPr>
          <w:b/>
          <w:color w:val="231F20"/>
          <w:sz w:val="18"/>
        </w:rPr>
        <w:t>Table 5.7.2 Potential environmental watering for the Loddon River system under a range of planning scenarios</w:t>
      </w:r>
    </w:p>
    <w:p w:rsidR="006A7A3F" w:rsidRDefault="006A7A3F">
      <w:pPr>
        <w:pStyle w:val="BodyText"/>
        <w:spacing w:before="6"/>
        <w:ind w:left="0"/>
        <w:rPr>
          <w:b/>
          <w:sz w:val="8"/>
        </w:rPr>
      </w:pPr>
    </w:p>
    <w:tbl>
      <w:tblPr>
        <w:tblW w:w="10205" w:type="dxa"/>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701E28" w:rsidTr="00701E28">
        <w:trPr>
          <w:trHeight w:val="454"/>
          <w:tblHeader/>
        </w:trPr>
        <w:tc>
          <w:tcPr>
            <w:tcW w:w="2041" w:type="dxa"/>
            <w:shd w:val="clear" w:color="auto" w:fill="000000" w:themeFill="text1"/>
          </w:tcPr>
          <w:p w:rsidR="00701E28" w:rsidRDefault="00701E28" w:rsidP="00701E28">
            <w:pPr>
              <w:pStyle w:val="TableParagraph"/>
              <w:spacing w:before="80"/>
              <w:ind w:left="90"/>
              <w:rPr>
                <w:b/>
                <w:sz w:val="18"/>
              </w:rPr>
            </w:pPr>
            <w:r>
              <w:rPr>
                <w:b/>
                <w:color w:val="FFFFFF"/>
                <w:sz w:val="18"/>
              </w:rPr>
              <w:t>Planning scenario</w:t>
            </w:r>
          </w:p>
        </w:tc>
        <w:tc>
          <w:tcPr>
            <w:tcW w:w="2041" w:type="dxa"/>
            <w:shd w:val="clear" w:color="auto" w:fill="000000" w:themeFill="text1"/>
          </w:tcPr>
          <w:p w:rsidR="00701E28" w:rsidRDefault="00701E28" w:rsidP="00701E28">
            <w:pPr>
              <w:pStyle w:val="TableParagraph"/>
              <w:spacing w:before="80"/>
              <w:ind w:left="84"/>
              <w:rPr>
                <w:b/>
                <w:sz w:val="18"/>
              </w:rPr>
            </w:pPr>
            <w:r>
              <w:rPr>
                <w:b/>
                <w:color w:val="FFFFFF"/>
                <w:sz w:val="18"/>
              </w:rPr>
              <w:t>Drought</w:t>
            </w:r>
          </w:p>
        </w:tc>
        <w:tc>
          <w:tcPr>
            <w:tcW w:w="2041" w:type="dxa"/>
            <w:shd w:val="clear" w:color="auto" w:fill="000000" w:themeFill="text1"/>
          </w:tcPr>
          <w:p w:rsidR="00701E28" w:rsidRDefault="00701E28" w:rsidP="00701E28">
            <w:pPr>
              <w:pStyle w:val="TableParagraph"/>
              <w:spacing w:before="80"/>
              <w:ind w:left="84"/>
              <w:rPr>
                <w:b/>
                <w:sz w:val="18"/>
              </w:rPr>
            </w:pPr>
            <w:r>
              <w:rPr>
                <w:b/>
                <w:color w:val="FFFFFF"/>
                <w:sz w:val="18"/>
              </w:rPr>
              <w:t>Dry</w:t>
            </w:r>
          </w:p>
        </w:tc>
        <w:tc>
          <w:tcPr>
            <w:tcW w:w="2041" w:type="dxa"/>
            <w:shd w:val="clear" w:color="auto" w:fill="000000" w:themeFill="text1"/>
          </w:tcPr>
          <w:p w:rsidR="00701E28" w:rsidRDefault="00701E28" w:rsidP="00701E28">
            <w:pPr>
              <w:pStyle w:val="TableParagraph"/>
              <w:spacing w:before="80"/>
              <w:ind w:left="84"/>
              <w:rPr>
                <w:b/>
                <w:sz w:val="18"/>
              </w:rPr>
            </w:pPr>
            <w:r>
              <w:rPr>
                <w:b/>
                <w:color w:val="FFFFFF"/>
                <w:sz w:val="18"/>
              </w:rPr>
              <w:t>Average</w:t>
            </w:r>
          </w:p>
        </w:tc>
        <w:tc>
          <w:tcPr>
            <w:tcW w:w="2041" w:type="dxa"/>
            <w:shd w:val="clear" w:color="auto" w:fill="000000" w:themeFill="text1"/>
          </w:tcPr>
          <w:p w:rsidR="00701E28" w:rsidRDefault="00701E28" w:rsidP="00701E28">
            <w:pPr>
              <w:pStyle w:val="TableParagraph"/>
              <w:spacing w:before="80"/>
              <w:ind w:left="84"/>
              <w:rPr>
                <w:b/>
                <w:sz w:val="18"/>
              </w:rPr>
            </w:pPr>
            <w:r>
              <w:rPr>
                <w:b/>
                <w:color w:val="FFFFFF"/>
                <w:sz w:val="18"/>
              </w:rPr>
              <w:t>Wet</w:t>
            </w:r>
          </w:p>
        </w:tc>
      </w:tr>
      <w:tr w:rsidR="00701E28" w:rsidTr="00701E28">
        <w:trPr>
          <w:trHeight w:val="533"/>
        </w:trPr>
        <w:tc>
          <w:tcPr>
            <w:tcW w:w="2041" w:type="dxa"/>
          </w:tcPr>
          <w:p w:rsidR="00701E28" w:rsidRDefault="00701E28" w:rsidP="00701E28">
            <w:pPr>
              <w:pStyle w:val="TableParagraph"/>
              <w:spacing w:before="74"/>
              <w:ind w:left="85"/>
              <w:rPr>
                <w:sz w:val="16"/>
              </w:rPr>
            </w:pPr>
            <w:r>
              <w:rPr>
                <w:color w:val="231F20"/>
                <w:sz w:val="16"/>
              </w:rPr>
              <w:t>Expected river conditions</w:t>
            </w:r>
          </w:p>
        </w:tc>
        <w:tc>
          <w:tcPr>
            <w:tcW w:w="2041" w:type="dxa"/>
          </w:tcPr>
          <w:p w:rsidR="00701E28" w:rsidRPr="00701E28" w:rsidRDefault="00701E28" w:rsidP="00701E28">
            <w:pPr>
              <w:pStyle w:val="TableParagraph"/>
              <w:numPr>
                <w:ilvl w:val="0"/>
                <w:numId w:val="68"/>
              </w:numPr>
              <w:tabs>
                <w:tab w:val="left" w:pos="305"/>
              </w:tabs>
              <w:spacing w:before="70" w:line="254" w:lineRule="auto"/>
              <w:ind w:right="83"/>
              <w:rPr>
                <w:sz w:val="16"/>
                <w:szCs w:val="16"/>
              </w:rPr>
            </w:pPr>
            <w:r w:rsidRPr="00701E28">
              <w:rPr>
                <w:color w:val="231F20"/>
                <w:sz w:val="16"/>
                <w:szCs w:val="16"/>
              </w:rPr>
              <w:t xml:space="preserve">Negligible contributions from unregulated reaches and tributaries  of the Loddon </w:t>
            </w:r>
            <w:r w:rsidRPr="00701E28">
              <w:rPr>
                <w:color w:val="231F20"/>
                <w:spacing w:val="-3"/>
                <w:sz w:val="16"/>
                <w:szCs w:val="16"/>
              </w:rPr>
              <w:t xml:space="preserve">River, </w:t>
            </w:r>
            <w:r w:rsidRPr="00701E28">
              <w:rPr>
                <w:color w:val="231F20"/>
                <w:sz w:val="16"/>
                <w:szCs w:val="16"/>
              </w:rPr>
              <w:t>consumptive water deliveries in the irrigation</w:t>
            </w:r>
            <w:r w:rsidRPr="00701E28">
              <w:rPr>
                <w:color w:val="231F20"/>
                <w:spacing w:val="-3"/>
                <w:sz w:val="16"/>
                <w:szCs w:val="16"/>
              </w:rPr>
              <w:t xml:space="preserve"> </w:t>
            </w:r>
            <w:r w:rsidRPr="00701E28">
              <w:rPr>
                <w:color w:val="231F20"/>
                <w:sz w:val="16"/>
                <w:szCs w:val="16"/>
              </w:rPr>
              <w:t>season</w:t>
            </w:r>
          </w:p>
          <w:p w:rsidR="00701E28" w:rsidRPr="00701E28" w:rsidRDefault="00701E28" w:rsidP="00701E28">
            <w:pPr>
              <w:pStyle w:val="TableParagraph"/>
              <w:numPr>
                <w:ilvl w:val="0"/>
                <w:numId w:val="68"/>
              </w:numPr>
              <w:tabs>
                <w:tab w:val="left" w:pos="305"/>
              </w:tabs>
              <w:spacing w:before="90" w:line="254" w:lineRule="auto"/>
              <w:ind w:right="333"/>
              <w:rPr>
                <w:sz w:val="16"/>
                <w:szCs w:val="16"/>
              </w:rPr>
            </w:pPr>
            <w:r w:rsidRPr="00701E28">
              <w:rPr>
                <w:color w:val="231F20"/>
                <w:sz w:val="16"/>
                <w:szCs w:val="16"/>
              </w:rPr>
              <w:t>Reduced passing flows in autumn/ winter</w:t>
            </w:r>
            <w:r w:rsidRPr="00701E28">
              <w:rPr>
                <w:color w:val="231F20"/>
                <w:spacing w:val="-3"/>
                <w:sz w:val="16"/>
                <w:szCs w:val="16"/>
              </w:rPr>
              <w:t xml:space="preserve"> </w:t>
            </w:r>
            <w:r w:rsidRPr="00701E28">
              <w:rPr>
                <w:color w:val="231F20"/>
                <w:sz w:val="16"/>
                <w:szCs w:val="16"/>
              </w:rPr>
              <w:t>likely</w:t>
            </w:r>
          </w:p>
        </w:tc>
        <w:tc>
          <w:tcPr>
            <w:tcW w:w="2041" w:type="dxa"/>
          </w:tcPr>
          <w:p w:rsidR="00701E28" w:rsidRPr="00701E28" w:rsidRDefault="00701E28" w:rsidP="00701E28">
            <w:pPr>
              <w:pStyle w:val="TableParagraph"/>
              <w:numPr>
                <w:ilvl w:val="0"/>
                <w:numId w:val="67"/>
              </w:numPr>
              <w:tabs>
                <w:tab w:val="left" w:pos="305"/>
              </w:tabs>
              <w:spacing w:before="70" w:line="254" w:lineRule="auto"/>
              <w:ind w:right="83"/>
              <w:rPr>
                <w:sz w:val="16"/>
                <w:szCs w:val="16"/>
              </w:rPr>
            </w:pPr>
            <w:r w:rsidRPr="00701E28">
              <w:rPr>
                <w:color w:val="231F20"/>
                <w:sz w:val="16"/>
                <w:szCs w:val="16"/>
              </w:rPr>
              <w:t>Small inflows from unregulated reaches and tributaries  of the Loddon River contributing to low flow, consumptive water deliveries in the irrigation</w:t>
            </w:r>
            <w:r w:rsidRPr="00701E28">
              <w:rPr>
                <w:color w:val="231F20"/>
                <w:spacing w:val="-8"/>
                <w:sz w:val="16"/>
                <w:szCs w:val="16"/>
              </w:rPr>
              <w:t xml:space="preserve"> </w:t>
            </w:r>
            <w:r w:rsidRPr="00701E28">
              <w:rPr>
                <w:color w:val="231F20"/>
                <w:sz w:val="16"/>
                <w:szCs w:val="16"/>
              </w:rPr>
              <w:t>season</w:t>
            </w:r>
          </w:p>
        </w:tc>
        <w:tc>
          <w:tcPr>
            <w:tcW w:w="2041" w:type="dxa"/>
          </w:tcPr>
          <w:p w:rsidR="00701E28" w:rsidRPr="00701E28" w:rsidRDefault="00701E28" w:rsidP="00701E28">
            <w:pPr>
              <w:pStyle w:val="TableParagraph"/>
              <w:numPr>
                <w:ilvl w:val="0"/>
                <w:numId w:val="66"/>
              </w:numPr>
              <w:tabs>
                <w:tab w:val="left" w:pos="305"/>
              </w:tabs>
              <w:spacing w:before="70" w:line="254" w:lineRule="auto"/>
              <w:ind w:right="93"/>
              <w:rPr>
                <w:sz w:val="16"/>
                <w:szCs w:val="16"/>
              </w:rPr>
            </w:pPr>
            <w:r w:rsidRPr="00701E28">
              <w:rPr>
                <w:color w:val="231F20"/>
                <w:sz w:val="16"/>
                <w:szCs w:val="16"/>
              </w:rPr>
              <w:t>Natural flow will provide low flow and multiple freshes, most likely in winter/ spring</w:t>
            </w:r>
          </w:p>
          <w:p w:rsidR="00701E28" w:rsidRPr="00701E28" w:rsidRDefault="00701E28" w:rsidP="00701E28">
            <w:pPr>
              <w:pStyle w:val="TableParagraph"/>
              <w:numPr>
                <w:ilvl w:val="0"/>
                <w:numId w:val="66"/>
              </w:numPr>
              <w:tabs>
                <w:tab w:val="left" w:pos="305"/>
              </w:tabs>
              <w:spacing w:before="88" w:line="254" w:lineRule="auto"/>
              <w:ind w:right="184"/>
              <w:rPr>
                <w:sz w:val="16"/>
                <w:szCs w:val="16"/>
              </w:rPr>
            </w:pPr>
            <w:r w:rsidRPr="00701E28">
              <w:rPr>
                <w:color w:val="231F20"/>
                <w:sz w:val="16"/>
                <w:szCs w:val="16"/>
              </w:rPr>
              <w:t>Consumptive water deliveries in the irrigation</w:t>
            </w:r>
            <w:r w:rsidRPr="00701E28">
              <w:rPr>
                <w:color w:val="231F20"/>
                <w:spacing w:val="-3"/>
                <w:sz w:val="16"/>
                <w:szCs w:val="16"/>
              </w:rPr>
              <w:t xml:space="preserve"> </w:t>
            </w:r>
            <w:r w:rsidRPr="00701E28">
              <w:rPr>
                <w:color w:val="231F20"/>
                <w:sz w:val="16"/>
                <w:szCs w:val="16"/>
              </w:rPr>
              <w:t>season</w:t>
            </w:r>
          </w:p>
          <w:p w:rsidR="00701E28" w:rsidRPr="00701E28" w:rsidRDefault="00701E28" w:rsidP="00701E28">
            <w:pPr>
              <w:pStyle w:val="TableParagraph"/>
              <w:numPr>
                <w:ilvl w:val="0"/>
                <w:numId w:val="66"/>
              </w:numPr>
              <w:tabs>
                <w:tab w:val="left" w:pos="305"/>
              </w:tabs>
              <w:spacing w:before="87"/>
              <w:rPr>
                <w:sz w:val="16"/>
                <w:szCs w:val="16"/>
              </w:rPr>
            </w:pPr>
            <w:r w:rsidRPr="00701E28">
              <w:rPr>
                <w:color w:val="231F20"/>
                <w:sz w:val="16"/>
                <w:szCs w:val="16"/>
              </w:rPr>
              <w:t>No spill</w:t>
            </w:r>
            <w:r w:rsidRPr="00701E28">
              <w:rPr>
                <w:color w:val="231F20"/>
                <w:spacing w:val="-2"/>
                <w:sz w:val="16"/>
                <w:szCs w:val="16"/>
              </w:rPr>
              <w:t xml:space="preserve"> </w:t>
            </w:r>
            <w:r w:rsidRPr="00701E28">
              <w:rPr>
                <w:color w:val="231F20"/>
                <w:sz w:val="16"/>
                <w:szCs w:val="16"/>
              </w:rPr>
              <w:t>likely</w:t>
            </w:r>
          </w:p>
        </w:tc>
        <w:tc>
          <w:tcPr>
            <w:tcW w:w="2041" w:type="dxa"/>
          </w:tcPr>
          <w:p w:rsidR="00701E28" w:rsidRPr="00701E28" w:rsidRDefault="00701E28" w:rsidP="00701E28">
            <w:pPr>
              <w:pStyle w:val="TableParagraph"/>
              <w:numPr>
                <w:ilvl w:val="0"/>
                <w:numId w:val="65"/>
              </w:numPr>
              <w:tabs>
                <w:tab w:val="left" w:pos="305"/>
              </w:tabs>
              <w:spacing w:before="70" w:line="254" w:lineRule="auto"/>
              <w:ind w:right="113"/>
              <w:rPr>
                <w:sz w:val="16"/>
                <w:szCs w:val="16"/>
              </w:rPr>
            </w:pPr>
            <w:r w:rsidRPr="00701E28">
              <w:rPr>
                <w:color w:val="231F20"/>
                <w:sz w:val="16"/>
                <w:szCs w:val="16"/>
              </w:rPr>
              <w:t xml:space="preserve">Spills from Loddon system storages </w:t>
            </w:r>
            <w:r w:rsidRPr="00701E28">
              <w:rPr>
                <w:color w:val="231F20"/>
                <w:spacing w:val="-5"/>
                <w:sz w:val="16"/>
                <w:szCs w:val="16"/>
              </w:rPr>
              <w:t xml:space="preserve">will </w:t>
            </w:r>
            <w:r w:rsidRPr="00701E28">
              <w:rPr>
                <w:color w:val="231F20"/>
                <w:sz w:val="16"/>
                <w:szCs w:val="16"/>
              </w:rPr>
              <w:t>provide extended- duration high flow and overbank flow most likely in late winter/spring</w:t>
            </w:r>
          </w:p>
        </w:tc>
      </w:tr>
      <w:tr w:rsidR="006A7A3F" w:rsidTr="00701E28">
        <w:trPr>
          <w:trHeight w:val="533"/>
        </w:trPr>
        <w:tc>
          <w:tcPr>
            <w:tcW w:w="2041" w:type="dxa"/>
          </w:tcPr>
          <w:p w:rsidR="006A7A3F" w:rsidRDefault="00BC7372">
            <w:pPr>
              <w:pStyle w:val="TableParagraph"/>
              <w:spacing w:before="67" w:line="261" w:lineRule="auto"/>
              <w:ind w:left="85" w:right="61"/>
              <w:rPr>
                <w:sz w:val="9"/>
              </w:rPr>
            </w:pPr>
            <w:r>
              <w:rPr>
                <w:color w:val="231F20"/>
                <w:sz w:val="16"/>
              </w:rPr>
              <w:t>Expected availability of water for the environment</w:t>
            </w:r>
            <w:r>
              <w:rPr>
                <w:color w:val="231F20"/>
                <w:position w:val="5"/>
                <w:sz w:val="9"/>
              </w:rPr>
              <w:t>1</w:t>
            </w:r>
          </w:p>
        </w:tc>
        <w:tc>
          <w:tcPr>
            <w:tcW w:w="2041" w:type="dxa"/>
          </w:tcPr>
          <w:p w:rsidR="006A7A3F" w:rsidRPr="00701E28" w:rsidRDefault="00BC7372">
            <w:pPr>
              <w:pStyle w:val="TableParagraph"/>
              <w:numPr>
                <w:ilvl w:val="0"/>
                <w:numId w:val="64"/>
              </w:numPr>
              <w:tabs>
                <w:tab w:val="left" w:pos="305"/>
              </w:tabs>
              <w:spacing w:before="63"/>
              <w:rPr>
                <w:sz w:val="16"/>
                <w:szCs w:val="16"/>
              </w:rPr>
            </w:pPr>
            <w:r w:rsidRPr="00701E28">
              <w:rPr>
                <w:color w:val="231F20"/>
                <w:sz w:val="16"/>
                <w:szCs w:val="16"/>
              </w:rPr>
              <w:t>Up to 15,600</w:t>
            </w:r>
            <w:r w:rsidRPr="00701E28">
              <w:rPr>
                <w:color w:val="231F20"/>
                <w:spacing w:val="-4"/>
                <w:sz w:val="16"/>
                <w:szCs w:val="16"/>
              </w:rPr>
              <w:t xml:space="preserve"> </w:t>
            </w:r>
            <w:r w:rsidRPr="00701E28">
              <w:rPr>
                <w:color w:val="231F20"/>
                <w:sz w:val="16"/>
                <w:szCs w:val="16"/>
              </w:rPr>
              <w:t>ML</w:t>
            </w:r>
          </w:p>
        </w:tc>
        <w:tc>
          <w:tcPr>
            <w:tcW w:w="2041" w:type="dxa"/>
          </w:tcPr>
          <w:p w:rsidR="006A7A3F" w:rsidRPr="00701E28" w:rsidRDefault="00BC7372">
            <w:pPr>
              <w:pStyle w:val="TableParagraph"/>
              <w:numPr>
                <w:ilvl w:val="0"/>
                <w:numId w:val="63"/>
              </w:numPr>
              <w:tabs>
                <w:tab w:val="left" w:pos="305"/>
              </w:tabs>
              <w:spacing w:before="63"/>
              <w:rPr>
                <w:sz w:val="16"/>
                <w:szCs w:val="16"/>
              </w:rPr>
            </w:pPr>
            <w:r w:rsidRPr="00701E28">
              <w:rPr>
                <w:color w:val="231F20"/>
                <w:sz w:val="16"/>
                <w:szCs w:val="16"/>
              </w:rPr>
              <w:t>17,700</w:t>
            </w:r>
            <w:r w:rsidRPr="00701E28">
              <w:rPr>
                <w:color w:val="231F20"/>
                <w:spacing w:val="-2"/>
                <w:sz w:val="16"/>
                <w:szCs w:val="16"/>
              </w:rPr>
              <w:t xml:space="preserve"> </w:t>
            </w:r>
            <w:r w:rsidRPr="00701E28">
              <w:rPr>
                <w:color w:val="231F20"/>
                <w:sz w:val="16"/>
                <w:szCs w:val="16"/>
              </w:rPr>
              <w:t>ML</w:t>
            </w:r>
          </w:p>
        </w:tc>
        <w:tc>
          <w:tcPr>
            <w:tcW w:w="2041" w:type="dxa"/>
          </w:tcPr>
          <w:p w:rsidR="006A7A3F" w:rsidRPr="00701E28" w:rsidRDefault="00BC7372">
            <w:pPr>
              <w:pStyle w:val="TableParagraph"/>
              <w:numPr>
                <w:ilvl w:val="0"/>
                <w:numId w:val="62"/>
              </w:numPr>
              <w:tabs>
                <w:tab w:val="left" w:pos="305"/>
              </w:tabs>
              <w:spacing w:before="63"/>
              <w:rPr>
                <w:sz w:val="16"/>
                <w:szCs w:val="16"/>
              </w:rPr>
            </w:pPr>
            <w:r w:rsidRPr="00701E28">
              <w:rPr>
                <w:color w:val="231F20"/>
                <w:sz w:val="16"/>
                <w:szCs w:val="16"/>
              </w:rPr>
              <w:t>20,700</w:t>
            </w:r>
            <w:r w:rsidRPr="00701E28">
              <w:rPr>
                <w:color w:val="231F20"/>
                <w:spacing w:val="-2"/>
                <w:sz w:val="16"/>
                <w:szCs w:val="16"/>
              </w:rPr>
              <w:t xml:space="preserve"> </w:t>
            </w:r>
            <w:r w:rsidRPr="00701E28">
              <w:rPr>
                <w:color w:val="231F20"/>
                <w:sz w:val="16"/>
                <w:szCs w:val="16"/>
              </w:rPr>
              <w:t>ML</w:t>
            </w:r>
          </w:p>
        </w:tc>
        <w:tc>
          <w:tcPr>
            <w:tcW w:w="2041" w:type="dxa"/>
          </w:tcPr>
          <w:p w:rsidR="006A7A3F" w:rsidRPr="00701E28" w:rsidRDefault="00BC7372">
            <w:pPr>
              <w:pStyle w:val="TableParagraph"/>
              <w:numPr>
                <w:ilvl w:val="0"/>
                <w:numId w:val="61"/>
              </w:numPr>
              <w:tabs>
                <w:tab w:val="left" w:pos="305"/>
              </w:tabs>
              <w:spacing w:before="63"/>
              <w:rPr>
                <w:sz w:val="16"/>
                <w:szCs w:val="16"/>
              </w:rPr>
            </w:pPr>
            <w:r w:rsidRPr="00701E28">
              <w:rPr>
                <w:color w:val="231F20"/>
                <w:sz w:val="16"/>
                <w:szCs w:val="16"/>
              </w:rPr>
              <w:t>20,700</w:t>
            </w:r>
            <w:r w:rsidRPr="00701E28">
              <w:rPr>
                <w:color w:val="231F20"/>
                <w:spacing w:val="-2"/>
                <w:sz w:val="16"/>
                <w:szCs w:val="16"/>
              </w:rPr>
              <w:t xml:space="preserve"> </w:t>
            </w:r>
            <w:r w:rsidRPr="00701E28">
              <w:rPr>
                <w:color w:val="231F20"/>
                <w:sz w:val="16"/>
                <w:szCs w:val="16"/>
              </w:rPr>
              <w:t>ML</w:t>
            </w:r>
          </w:p>
        </w:tc>
      </w:tr>
      <w:tr w:rsidR="006A7A3F" w:rsidTr="00701E28">
        <w:trPr>
          <w:trHeight w:val="333"/>
        </w:trPr>
        <w:tc>
          <w:tcPr>
            <w:tcW w:w="10205" w:type="dxa"/>
            <w:gridSpan w:val="5"/>
            <w:shd w:val="clear" w:color="auto" w:fill="E6E7E8"/>
          </w:tcPr>
          <w:p w:rsidR="006A7A3F" w:rsidRPr="00701E28" w:rsidRDefault="00BC7372">
            <w:pPr>
              <w:pStyle w:val="TableParagraph"/>
              <w:spacing w:before="67"/>
              <w:ind w:left="85"/>
              <w:rPr>
                <w:b/>
                <w:bCs/>
                <w:sz w:val="16"/>
              </w:rPr>
            </w:pPr>
            <w:r w:rsidRPr="00701E28">
              <w:rPr>
                <w:b/>
                <w:bCs/>
                <w:color w:val="231F20"/>
                <w:sz w:val="16"/>
              </w:rPr>
              <w:t>Loddon River (targeting reach 4)</w:t>
            </w:r>
          </w:p>
        </w:tc>
      </w:tr>
      <w:tr w:rsidR="006A7A3F" w:rsidTr="00701E28">
        <w:trPr>
          <w:trHeight w:val="3242"/>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1a (high priorities)</w:t>
            </w:r>
          </w:p>
        </w:tc>
        <w:tc>
          <w:tcPr>
            <w:tcW w:w="2041" w:type="dxa"/>
          </w:tcPr>
          <w:p w:rsidR="006A7A3F" w:rsidRPr="00701E28" w:rsidRDefault="00BC7372">
            <w:pPr>
              <w:pStyle w:val="TableParagraph"/>
              <w:numPr>
                <w:ilvl w:val="0"/>
                <w:numId w:val="60"/>
              </w:numPr>
              <w:tabs>
                <w:tab w:val="left" w:pos="305"/>
              </w:tabs>
              <w:spacing w:before="63" w:line="254" w:lineRule="auto"/>
              <w:ind w:right="423"/>
              <w:rPr>
                <w:sz w:val="16"/>
                <w:szCs w:val="16"/>
              </w:rPr>
            </w:pPr>
            <w:r w:rsidRPr="00701E28">
              <w:rPr>
                <w:color w:val="231F20"/>
                <w:sz w:val="16"/>
                <w:szCs w:val="16"/>
              </w:rPr>
              <w:t>One to three summer/autumn freshes</w:t>
            </w:r>
          </w:p>
          <w:p w:rsidR="006A7A3F" w:rsidRPr="00701E28" w:rsidRDefault="00BC7372">
            <w:pPr>
              <w:pStyle w:val="TableParagraph"/>
              <w:numPr>
                <w:ilvl w:val="0"/>
                <w:numId w:val="60"/>
              </w:numPr>
              <w:tabs>
                <w:tab w:val="left" w:pos="305"/>
              </w:tabs>
              <w:spacing w:before="87" w:line="254" w:lineRule="auto"/>
              <w:ind w:right="313"/>
              <w:rPr>
                <w:sz w:val="16"/>
                <w:szCs w:val="16"/>
              </w:rPr>
            </w:pPr>
            <w:r w:rsidRPr="00701E28">
              <w:rPr>
                <w:color w:val="231F20"/>
                <w:sz w:val="16"/>
                <w:szCs w:val="16"/>
              </w:rPr>
              <w:t>One winter/spring high</w:t>
            </w:r>
            <w:r w:rsidRPr="00701E28">
              <w:rPr>
                <w:color w:val="231F20"/>
                <w:spacing w:val="-2"/>
                <w:sz w:val="16"/>
                <w:szCs w:val="16"/>
              </w:rPr>
              <w:t xml:space="preserve"> </w:t>
            </w:r>
            <w:r w:rsidRPr="00701E28">
              <w:rPr>
                <w:color w:val="231F20"/>
                <w:sz w:val="16"/>
                <w:szCs w:val="16"/>
              </w:rPr>
              <w:t>flow</w:t>
            </w:r>
          </w:p>
          <w:p w:rsidR="006A7A3F" w:rsidRPr="00701E28" w:rsidRDefault="00BC7372">
            <w:pPr>
              <w:pStyle w:val="TableParagraph"/>
              <w:numPr>
                <w:ilvl w:val="0"/>
                <w:numId w:val="60"/>
              </w:numPr>
              <w:tabs>
                <w:tab w:val="left" w:pos="305"/>
              </w:tabs>
              <w:spacing w:before="86" w:line="254" w:lineRule="auto"/>
              <w:ind w:right="73"/>
              <w:rPr>
                <w:sz w:val="16"/>
                <w:szCs w:val="16"/>
              </w:rPr>
            </w:pPr>
            <w:r w:rsidRPr="00701E28">
              <w:rPr>
                <w:color w:val="231F20"/>
                <w:sz w:val="16"/>
                <w:szCs w:val="16"/>
              </w:rPr>
              <w:t xml:space="preserve">Summer/autumn </w:t>
            </w:r>
            <w:r w:rsidRPr="00701E28">
              <w:rPr>
                <w:color w:val="231F20"/>
                <w:spacing w:val="-6"/>
                <w:sz w:val="16"/>
                <w:szCs w:val="16"/>
              </w:rPr>
              <w:t xml:space="preserve">low </w:t>
            </w:r>
            <w:r w:rsidRPr="00701E28">
              <w:rPr>
                <w:color w:val="231F20"/>
                <w:sz w:val="16"/>
                <w:szCs w:val="16"/>
              </w:rPr>
              <w:t>flow</w:t>
            </w:r>
          </w:p>
          <w:p w:rsidR="006A7A3F" w:rsidRPr="00701E28" w:rsidRDefault="00BC7372">
            <w:pPr>
              <w:pStyle w:val="TableParagraph"/>
              <w:numPr>
                <w:ilvl w:val="0"/>
                <w:numId w:val="60"/>
              </w:numPr>
              <w:tabs>
                <w:tab w:val="left" w:pos="305"/>
              </w:tabs>
              <w:spacing w:before="86" w:line="254" w:lineRule="auto"/>
              <w:ind w:right="404"/>
              <w:rPr>
                <w:sz w:val="16"/>
                <w:szCs w:val="16"/>
              </w:rPr>
            </w:pPr>
            <w:r w:rsidRPr="00701E28">
              <w:rPr>
                <w:color w:val="231F20"/>
                <w:sz w:val="16"/>
                <w:szCs w:val="16"/>
              </w:rPr>
              <w:t>Winter/spring low flow at lower magnitude (accumulating passing flows savings)</w:t>
            </w:r>
          </w:p>
        </w:tc>
        <w:tc>
          <w:tcPr>
            <w:tcW w:w="2041" w:type="dxa"/>
          </w:tcPr>
          <w:p w:rsidR="006A7A3F" w:rsidRPr="00701E28" w:rsidRDefault="00BC7372">
            <w:pPr>
              <w:pStyle w:val="TableParagraph"/>
              <w:numPr>
                <w:ilvl w:val="0"/>
                <w:numId w:val="59"/>
              </w:numPr>
              <w:tabs>
                <w:tab w:val="left" w:pos="305"/>
              </w:tabs>
              <w:spacing w:before="63" w:line="254" w:lineRule="auto"/>
              <w:ind w:right="423"/>
              <w:rPr>
                <w:sz w:val="16"/>
                <w:szCs w:val="16"/>
              </w:rPr>
            </w:pPr>
            <w:r w:rsidRPr="00701E28">
              <w:rPr>
                <w:color w:val="231F20"/>
                <w:sz w:val="16"/>
                <w:szCs w:val="16"/>
              </w:rPr>
              <w:t>One to three summer/autumn freshes</w:t>
            </w:r>
          </w:p>
          <w:p w:rsidR="006A7A3F" w:rsidRPr="00701E28" w:rsidRDefault="00BC7372">
            <w:pPr>
              <w:pStyle w:val="TableParagraph"/>
              <w:numPr>
                <w:ilvl w:val="0"/>
                <w:numId w:val="59"/>
              </w:numPr>
              <w:tabs>
                <w:tab w:val="left" w:pos="305"/>
              </w:tabs>
              <w:spacing w:before="87" w:line="254" w:lineRule="auto"/>
              <w:ind w:right="314"/>
              <w:rPr>
                <w:sz w:val="16"/>
                <w:szCs w:val="16"/>
              </w:rPr>
            </w:pPr>
            <w:r w:rsidRPr="00701E28">
              <w:rPr>
                <w:color w:val="231F20"/>
                <w:sz w:val="16"/>
                <w:szCs w:val="16"/>
              </w:rPr>
              <w:t>One winter/spring high</w:t>
            </w:r>
            <w:r w:rsidRPr="00701E28">
              <w:rPr>
                <w:color w:val="231F20"/>
                <w:spacing w:val="-2"/>
                <w:sz w:val="16"/>
                <w:szCs w:val="16"/>
              </w:rPr>
              <w:t xml:space="preserve"> </w:t>
            </w:r>
            <w:r w:rsidRPr="00701E28">
              <w:rPr>
                <w:color w:val="231F20"/>
                <w:sz w:val="16"/>
                <w:szCs w:val="16"/>
              </w:rPr>
              <w:t>flow</w:t>
            </w:r>
          </w:p>
          <w:p w:rsidR="006A7A3F" w:rsidRPr="00701E28" w:rsidRDefault="00BC7372">
            <w:pPr>
              <w:pStyle w:val="TableParagraph"/>
              <w:numPr>
                <w:ilvl w:val="0"/>
                <w:numId w:val="59"/>
              </w:numPr>
              <w:tabs>
                <w:tab w:val="left" w:pos="305"/>
              </w:tabs>
              <w:spacing w:before="86" w:line="254" w:lineRule="auto"/>
              <w:ind w:right="73"/>
              <w:rPr>
                <w:sz w:val="16"/>
                <w:szCs w:val="16"/>
              </w:rPr>
            </w:pPr>
            <w:r w:rsidRPr="00701E28">
              <w:rPr>
                <w:color w:val="231F20"/>
                <w:sz w:val="16"/>
                <w:szCs w:val="16"/>
              </w:rPr>
              <w:t xml:space="preserve">Summer/autumn </w:t>
            </w:r>
            <w:r w:rsidRPr="00701E28">
              <w:rPr>
                <w:color w:val="231F20"/>
                <w:spacing w:val="-6"/>
                <w:sz w:val="16"/>
                <w:szCs w:val="16"/>
              </w:rPr>
              <w:t xml:space="preserve">low </w:t>
            </w:r>
            <w:r w:rsidRPr="00701E28">
              <w:rPr>
                <w:color w:val="231F20"/>
                <w:sz w:val="16"/>
                <w:szCs w:val="16"/>
              </w:rPr>
              <w:t>flow</w:t>
            </w:r>
          </w:p>
        </w:tc>
        <w:tc>
          <w:tcPr>
            <w:tcW w:w="4082" w:type="dxa"/>
            <w:gridSpan w:val="2"/>
          </w:tcPr>
          <w:p w:rsidR="006A7A3F" w:rsidRPr="00701E28" w:rsidRDefault="00BC7372">
            <w:pPr>
              <w:pStyle w:val="TableParagraph"/>
              <w:numPr>
                <w:ilvl w:val="0"/>
                <w:numId w:val="58"/>
              </w:numPr>
              <w:tabs>
                <w:tab w:val="left" w:pos="305"/>
              </w:tabs>
              <w:spacing w:before="63"/>
              <w:rPr>
                <w:sz w:val="16"/>
                <w:szCs w:val="16"/>
              </w:rPr>
            </w:pPr>
            <w:r w:rsidRPr="00701E28">
              <w:rPr>
                <w:color w:val="231F20"/>
                <w:sz w:val="16"/>
                <w:szCs w:val="16"/>
              </w:rPr>
              <w:t>One to three summer/autumn freshes</w:t>
            </w:r>
          </w:p>
          <w:p w:rsidR="006A7A3F" w:rsidRPr="00701E28" w:rsidRDefault="00BC7372">
            <w:pPr>
              <w:pStyle w:val="TableParagraph"/>
              <w:numPr>
                <w:ilvl w:val="0"/>
                <w:numId w:val="58"/>
              </w:numPr>
              <w:tabs>
                <w:tab w:val="left" w:pos="305"/>
              </w:tabs>
              <w:spacing w:before="98"/>
              <w:rPr>
                <w:sz w:val="16"/>
                <w:szCs w:val="16"/>
              </w:rPr>
            </w:pPr>
            <w:r w:rsidRPr="00701E28">
              <w:rPr>
                <w:color w:val="231F20"/>
                <w:sz w:val="16"/>
                <w:szCs w:val="16"/>
              </w:rPr>
              <w:t>One winter/spring high</w:t>
            </w:r>
            <w:r w:rsidRPr="00701E28">
              <w:rPr>
                <w:color w:val="231F20"/>
                <w:spacing w:val="-4"/>
                <w:sz w:val="16"/>
                <w:szCs w:val="16"/>
              </w:rPr>
              <w:t xml:space="preserve"> </w:t>
            </w:r>
            <w:r w:rsidRPr="00701E28">
              <w:rPr>
                <w:color w:val="231F20"/>
                <w:sz w:val="16"/>
                <w:szCs w:val="16"/>
              </w:rPr>
              <w:t>flow</w:t>
            </w:r>
          </w:p>
          <w:p w:rsidR="006A7A3F" w:rsidRPr="00701E28" w:rsidRDefault="00BC7372">
            <w:pPr>
              <w:pStyle w:val="TableParagraph"/>
              <w:numPr>
                <w:ilvl w:val="0"/>
                <w:numId w:val="58"/>
              </w:numPr>
              <w:tabs>
                <w:tab w:val="left" w:pos="305"/>
              </w:tabs>
              <w:spacing w:before="98"/>
              <w:rPr>
                <w:sz w:val="16"/>
                <w:szCs w:val="16"/>
              </w:rPr>
            </w:pPr>
            <w:r w:rsidRPr="00701E28">
              <w:rPr>
                <w:color w:val="231F20"/>
                <w:sz w:val="16"/>
                <w:szCs w:val="16"/>
              </w:rPr>
              <w:t>Summer/autumn low</w:t>
            </w:r>
            <w:r w:rsidRPr="00701E28">
              <w:rPr>
                <w:color w:val="231F20"/>
                <w:spacing w:val="-2"/>
                <w:sz w:val="16"/>
                <w:szCs w:val="16"/>
              </w:rPr>
              <w:t xml:space="preserve"> </w:t>
            </w:r>
            <w:r w:rsidRPr="00701E28">
              <w:rPr>
                <w:color w:val="231F20"/>
                <w:sz w:val="16"/>
                <w:szCs w:val="16"/>
              </w:rPr>
              <w:t>flow</w:t>
            </w:r>
          </w:p>
          <w:p w:rsidR="006A7A3F" w:rsidRPr="00701E28" w:rsidRDefault="00BC7372">
            <w:pPr>
              <w:pStyle w:val="TableParagraph"/>
              <w:numPr>
                <w:ilvl w:val="0"/>
                <w:numId w:val="58"/>
              </w:numPr>
              <w:tabs>
                <w:tab w:val="left" w:pos="305"/>
              </w:tabs>
              <w:spacing w:before="98"/>
              <w:rPr>
                <w:sz w:val="16"/>
                <w:szCs w:val="16"/>
              </w:rPr>
            </w:pPr>
            <w:r w:rsidRPr="00701E28">
              <w:rPr>
                <w:color w:val="231F20"/>
                <w:sz w:val="16"/>
                <w:szCs w:val="16"/>
              </w:rPr>
              <w:t>Winter/spring low</w:t>
            </w:r>
            <w:r w:rsidRPr="00701E28">
              <w:rPr>
                <w:color w:val="231F20"/>
                <w:spacing w:val="-2"/>
                <w:sz w:val="16"/>
                <w:szCs w:val="16"/>
              </w:rPr>
              <w:t xml:space="preserve"> </w:t>
            </w:r>
            <w:r w:rsidRPr="00701E28">
              <w:rPr>
                <w:color w:val="231F20"/>
                <w:sz w:val="16"/>
                <w:szCs w:val="16"/>
              </w:rPr>
              <w:t>flow</w:t>
            </w:r>
          </w:p>
        </w:tc>
      </w:tr>
      <w:tr w:rsidR="006A7A3F" w:rsidTr="00701E28">
        <w:trPr>
          <w:trHeight w:val="1532"/>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1b (high priorities with shortfall)</w:t>
            </w:r>
          </w:p>
        </w:tc>
        <w:tc>
          <w:tcPr>
            <w:tcW w:w="2041" w:type="dxa"/>
          </w:tcPr>
          <w:p w:rsidR="006A7A3F" w:rsidRPr="00701E28" w:rsidRDefault="00BC7372">
            <w:pPr>
              <w:pStyle w:val="TableParagraph"/>
              <w:numPr>
                <w:ilvl w:val="0"/>
                <w:numId w:val="57"/>
              </w:numPr>
              <w:tabs>
                <w:tab w:val="left" w:pos="305"/>
              </w:tabs>
              <w:spacing w:before="63" w:line="254" w:lineRule="auto"/>
              <w:ind w:right="343"/>
              <w:jc w:val="both"/>
              <w:rPr>
                <w:sz w:val="16"/>
                <w:szCs w:val="16"/>
              </w:rPr>
            </w:pPr>
            <w:r w:rsidRPr="00701E28">
              <w:rPr>
                <w:color w:val="231F20"/>
                <w:sz w:val="16"/>
                <w:szCs w:val="16"/>
              </w:rPr>
              <w:t>Summer/autumn fresh delivered at upper</w:t>
            </w:r>
            <w:r w:rsidRPr="00701E28">
              <w:rPr>
                <w:color w:val="231F20"/>
                <w:spacing w:val="-5"/>
                <w:sz w:val="16"/>
                <w:szCs w:val="16"/>
              </w:rPr>
              <w:t xml:space="preserve"> </w:t>
            </w:r>
            <w:r w:rsidRPr="00701E28">
              <w:rPr>
                <w:color w:val="231F20"/>
                <w:sz w:val="16"/>
                <w:szCs w:val="16"/>
              </w:rPr>
              <w:t>magnitude</w:t>
            </w:r>
          </w:p>
          <w:p w:rsidR="006A7A3F" w:rsidRPr="00701E28" w:rsidRDefault="00BC7372">
            <w:pPr>
              <w:pStyle w:val="TableParagraph"/>
              <w:numPr>
                <w:ilvl w:val="0"/>
                <w:numId w:val="57"/>
              </w:numPr>
              <w:tabs>
                <w:tab w:val="left" w:pos="305"/>
              </w:tabs>
              <w:spacing w:before="87" w:line="254" w:lineRule="auto"/>
              <w:ind w:right="283"/>
              <w:rPr>
                <w:sz w:val="16"/>
                <w:szCs w:val="16"/>
              </w:rPr>
            </w:pPr>
            <w:r w:rsidRPr="00701E28">
              <w:rPr>
                <w:color w:val="231F20"/>
                <w:sz w:val="16"/>
                <w:szCs w:val="16"/>
              </w:rPr>
              <w:t>Winter low flow delivered at upper magnitude</w:t>
            </w:r>
          </w:p>
        </w:tc>
        <w:tc>
          <w:tcPr>
            <w:tcW w:w="2041" w:type="dxa"/>
          </w:tcPr>
          <w:p w:rsidR="006A7A3F" w:rsidRDefault="00BC7372">
            <w:pPr>
              <w:pStyle w:val="TableParagraph"/>
              <w:numPr>
                <w:ilvl w:val="0"/>
                <w:numId w:val="56"/>
              </w:numPr>
              <w:tabs>
                <w:tab w:val="left" w:pos="305"/>
              </w:tabs>
              <w:spacing w:before="63" w:line="254" w:lineRule="auto"/>
              <w:ind w:right="283"/>
              <w:rPr>
                <w:sz w:val="10"/>
              </w:rPr>
            </w:pPr>
            <w:r w:rsidRPr="00701E28">
              <w:rPr>
                <w:color w:val="231F20"/>
                <w:sz w:val="16"/>
                <w:szCs w:val="16"/>
              </w:rPr>
              <w:t>Winter low flow delivered at upper</w:t>
            </w:r>
            <w:r>
              <w:rPr>
                <w:color w:val="231F20"/>
                <w:sz w:val="18"/>
              </w:rPr>
              <w:t xml:space="preserve"> </w:t>
            </w:r>
            <w:r w:rsidRPr="00701E28">
              <w:rPr>
                <w:color w:val="231F20"/>
                <w:sz w:val="16"/>
                <w:szCs w:val="16"/>
              </w:rPr>
              <w:t>magnitude</w:t>
            </w:r>
            <w:r>
              <w:rPr>
                <w:color w:val="231F20"/>
                <w:position w:val="6"/>
                <w:sz w:val="10"/>
              </w:rPr>
              <w:t>2</w:t>
            </w:r>
          </w:p>
          <w:p w:rsidR="006A7A3F" w:rsidRPr="00701E28" w:rsidRDefault="00BC7372">
            <w:pPr>
              <w:pStyle w:val="TableParagraph"/>
              <w:numPr>
                <w:ilvl w:val="0"/>
                <w:numId w:val="56"/>
              </w:numPr>
              <w:tabs>
                <w:tab w:val="left" w:pos="305"/>
              </w:tabs>
              <w:spacing w:before="87" w:line="254" w:lineRule="auto"/>
              <w:ind w:right="343"/>
              <w:rPr>
                <w:sz w:val="16"/>
                <w:szCs w:val="16"/>
              </w:rPr>
            </w:pPr>
            <w:r w:rsidRPr="00701E28">
              <w:rPr>
                <w:color w:val="231F20"/>
                <w:sz w:val="16"/>
                <w:szCs w:val="16"/>
              </w:rPr>
              <w:t>One autumn high flow</w:t>
            </w:r>
          </w:p>
        </w:tc>
        <w:tc>
          <w:tcPr>
            <w:tcW w:w="4082" w:type="dxa"/>
            <w:gridSpan w:val="2"/>
          </w:tcPr>
          <w:p w:rsidR="006A7A3F" w:rsidRPr="00701E28" w:rsidRDefault="00BC7372">
            <w:pPr>
              <w:pStyle w:val="TableParagraph"/>
              <w:numPr>
                <w:ilvl w:val="0"/>
                <w:numId w:val="55"/>
              </w:numPr>
              <w:tabs>
                <w:tab w:val="left" w:pos="305"/>
              </w:tabs>
              <w:spacing w:before="63"/>
              <w:rPr>
                <w:sz w:val="16"/>
                <w:szCs w:val="16"/>
              </w:rPr>
            </w:pPr>
            <w:r w:rsidRPr="00701E28">
              <w:rPr>
                <w:color w:val="231F20"/>
                <w:sz w:val="16"/>
                <w:szCs w:val="16"/>
              </w:rPr>
              <w:t>One autumn high</w:t>
            </w:r>
            <w:r w:rsidRPr="00701E28">
              <w:rPr>
                <w:color w:val="231F20"/>
                <w:spacing w:val="-3"/>
                <w:sz w:val="16"/>
                <w:szCs w:val="16"/>
              </w:rPr>
              <w:t xml:space="preserve"> </w:t>
            </w:r>
            <w:r w:rsidRPr="00701E28">
              <w:rPr>
                <w:color w:val="231F20"/>
                <w:sz w:val="16"/>
                <w:szCs w:val="16"/>
              </w:rPr>
              <w:t>flow</w:t>
            </w:r>
          </w:p>
        </w:tc>
      </w:tr>
      <w:tr w:rsidR="006A7A3F" w:rsidTr="00701E28">
        <w:trPr>
          <w:trHeight w:val="733"/>
        </w:trPr>
        <w:tc>
          <w:tcPr>
            <w:tcW w:w="2041" w:type="dxa"/>
          </w:tcPr>
          <w:p w:rsidR="006A7A3F" w:rsidRDefault="00BC7372">
            <w:pPr>
              <w:pStyle w:val="TableParagraph"/>
              <w:spacing w:before="67" w:line="261" w:lineRule="auto"/>
              <w:ind w:left="85" w:right="253"/>
              <w:rPr>
                <w:sz w:val="16"/>
              </w:rPr>
            </w:pPr>
            <w:r>
              <w:rPr>
                <w:color w:val="231F20"/>
                <w:sz w:val="16"/>
              </w:rPr>
              <w:t>Potential environmental watering – tier 2 (additional priorities)</w:t>
            </w:r>
          </w:p>
        </w:tc>
        <w:tc>
          <w:tcPr>
            <w:tcW w:w="2041" w:type="dxa"/>
          </w:tcPr>
          <w:p w:rsidR="006A7A3F" w:rsidRPr="00701E28" w:rsidRDefault="00BC7372">
            <w:pPr>
              <w:pStyle w:val="TableParagraph"/>
              <w:numPr>
                <w:ilvl w:val="0"/>
                <w:numId w:val="54"/>
              </w:numPr>
              <w:tabs>
                <w:tab w:val="left" w:pos="305"/>
              </w:tabs>
              <w:spacing w:before="63" w:line="254" w:lineRule="auto"/>
              <w:ind w:right="343"/>
              <w:rPr>
                <w:sz w:val="16"/>
                <w:szCs w:val="16"/>
              </w:rPr>
            </w:pPr>
            <w:r w:rsidRPr="00701E28">
              <w:rPr>
                <w:color w:val="231F20"/>
                <w:sz w:val="16"/>
                <w:szCs w:val="16"/>
              </w:rPr>
              <w:t>One autumn high flow</w:t>
            </w:r>
          </w:p>
        </w:tc>
        <w:tc>
          <w:tcPr>
            <w:tcW w:w="6123" w:type="dxa"/>
            <w:gridSpan w:val="3"/>
          </w:tcPr>
          <w:p w:rsidR="006A7A3F" w:rsidRPr="00701E28" w:rsidRDefault="00BC7372">
            <w:pPr>
              <w:pStyle w:val="TableParagraph"/>
              <w:numPr>
                <w:ilvl w:val="0"/>
                <w:numId w:val="53"/>
              </w:numPr>
              <w:tabs>
                <w:tab w:val="left" w:pos="305"/>
              </w:tabs>
              <w:spacing w:before="63"/>
              <w:rPr>
                <w:sz w:val="16"/>
                <w:szCs w:val="16"/>
              </w:rPr>
            </w:pPr>
            <w:r w:rsidRPr="00701E28">
              <w:rPr>
                <w:color w:val="231F20"/>
                <w:sz w:val="16"/>
                <w:szCs w:val="16"/>
              </w:rPr>
              <w:t>N/A</w:t>
            </w:r>
          </w:p>
        </w:tc>
      </w:tr>
      <w:tr w:rsidR="006A7A3F" w:rsidTr="00701E28">
        <w:trPr>
          <w:trHeight w:val="340"/>
        </w:trPr>
        <w:tc>
          <w:tcPr>
            <w:tcW w:w="10205" w:type="dxa"/>
            <w:gridSpan w:val="5"/>
            <w:shd w:val="clear" w:color="auto" w:fill="E6E7E8"/>
            <w:vAlign w:val="center"/>
          </w:tcPr>
          <w:p w:rsidR="006A7A3F" w:rsidRPr="00701E28" w:rsidRDefault="00BC7372">
            <w:pPr>
              <w:pStyle w:val="TableParagraph"/>
              <w:spacing w:before="67"/>
              <w:ind w:left="85"/>
              <w:rPr>
                <w:b/>
                <w:bCs/>
                <w:sz w:val="16"/>
              </w:rPr>
            </w:pPr>
            <w:r w:rsidRPr="00701E28">
              <w:rPr>
                <w:b/>
                <w:bCs/>
                <w:color w:val="231F20"/>
                <w:sz w:val="16"/>
              </w:rPr>
              <w:t>Serpentine Creek</w:t>
            </w:r>
          </w:p>
        </w:tc>
      </w:tr>
      <w:tr w:rsidR="006A7A3F" w:rsidTr="00701E28">
        <w:trPr>
          <w:trHeight w:val="1262"/>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1a (high priorities)</w:t>
            </w:r>
          </w:p>
        </w:tc>
        <w:tc>
          <w:tcPr>
            <w:tcW w:w="4082" w:type="dxa"/>
            <w:gridSpan w:val="2"/>
          </w:tcPr>
          <w:p w:rsidR="006A7A3F" w:rsidRPr="00701E28" w:rsidRDefault="00BC7372">
            <w:pPr>
              <w:pStyle w:val="TableParagraph"/>
              <w:numPr>
                <w:ilvl w:val="0"/>
                <w:numId w:val="52"/>
              </w:numPr>
              <w:tabs>
                <w:tab w:val="left" w:pos="305"/>
              </w:tabs>
              <w:spacing w:before="63"/>
              <w:rPr>
                <w:sz w:val="16"/>
                <w:szCs w:val="16"/>
              </w:rPr>
            </w:pPr>
            <w:r w:rsidRPr="00701E28">
              <w:rPr>
                <w:color w:val="231F20"/>
                <w:sz w:val="16"/>
                <w:szCs w:val="16"/>
              </w:rPr>
              <w:t>One to three summer/autumn freshes</w:t>
            </w:r>
          </w:p>
          <w:p w:rsidR="006A7A3F" w:rsidRPr="00701E28" w:rsidRDefault="00BC7372">
            <w:pPr>
              <w:pStyle w:val="TableParagraph"/>
              <w:numPr>
                <w:ilvl w:val="0"/>
                <w:numId w:val="52"/>
              </w:numPr>
              <w:tabs>
                <w:tab w:val="left" w:pos="305"/>
              </w:tabs>
              <w:spacing w:before="98"/>
              <w:rPr>
                <w:sz w:val="16"/>
                <w:szCs w:val="16"/>
              </w:rPr>
            </w:pPr>
            <w:r w:rsidRPr="00701E28">
              <w:rPr>
                <w:color w:val="231F20"/>
                <w:sz w:val="16"/>
                <w:szCs w:val="16"/>
              </w:rPr>
              <w:t>One winter/spring</w:t>
            </w:r>
            <w:r w:rsidRPr="00701E28">
              <w:rPr>
                <w:color w:val="231F20"/>
                <w:spacing w:val="-2"/>
                <w:sz w:val="16"/>
                <w:szCs w:val="16"/>
              </w:rPr>
              <w:t xml:space="preserve"> </w:t>
            </w:r>
            <w:r w:rsidRPr="00701E28">
              <w:rPr>
                <w:color w:val="231F20"/>
                <w:sz w:val="16"/>
                <w:szCs w:val="16"/>
              </w:rPr>
              <w:t>fresh</w:t>
            </w:r>
          </w:p>
          <w:p w:rsidR="006A7A3F" w:rsidRPr="00701E28" w:rsidRDefault="00BC7372">
            <w:pPr>
              <w:pStyle w:val="TableParagraph"/>
              <w:numPr>
                <w:ilvl w:val="0"/>
                <w:numId w:val="52"/>
              </w:numPr>
              <w:tabs>
                <w:tab w:val="left" w:pos="305"/>
              </w:tabs>
              <w:spacing w:before="98"/>
              <w:rPr>
                <w:sz w:val="16"/>
                <w:szCs w:val="16"/>
              </w:rPr>
            </w:pPr>
            <w:r w:rsidRPr="00701E28">
              <w:rPr>
                <w:color w:val="231F20"/>
                <w:sz w:val="16"/>
                <w:szCs w:val="16"/>
              </w:rPr>
              <w:t>Summer/autumn low</w:t>
            </w:r>
            <w:r w:rsidRPr="00701E28">
              <w:rPr>
                <w:color w:val="231F20"/>
                <w:spacing w:val="-2"/>
                <w:sz w:val="16"/>
                <w:szCs w:val="16"/>
              </w:rPr>
              <w:t xml:space="preserve"> </w:t>
            </w:r>
            <w:r w:rsidRPr="00701E28">
              <w:rPr>
                <w:color w:val="231F20"/>
                <w:sz w:val="16"/>
                <w:szCs w:val="16"/>
              </w:rPr>
              <w:t>flow</w:t>
            </w:r>
          </w:p>
          <w:p w:rsidR="006A7A3F" w:rsidRPr="00701E28" w:rsidRDefault="00BC7372">
            <w:pPr>
              <w:pStyle w:val="TableParagraph"/>
              <w:numPr>
                <w:ilvl w:val="0"/>
                <w:numId w:val="52"/>
              </w:numPr>
              <w:tabs>
                <w:tab w:val="left" w:pos="305"/>
              </w:tabs>
              <w:spacing w:before="98"/>
              <w:rPr>
                <w:sz w:val="16"/>
                <w:szCs w:val="16"/>
              </w:rPr>
            </w:pPr>
            <w:r w:rsidRPr="00701E28">
              <w:rPr>
                <w:color w:val="231F20"/>
                <w:sz w:val="16"/>
                <w:szCs w:val="16"/>
              </w:rPr>
              <w:t>Winter/spring low</w:t>
            </w:r>
            <w:r w:rsidRPr="00701E28">
              <w:rPr>
                <w:color w:val="231F20"/>
                <w:spacing w:val="-2"/>
                <w:sz w:val="16"/>
                <w:szCs w:val="16"/>
              </w:rPr>
              <w:t xml:space="preserve"> </w:t>
            </w:r>
            <w:r w:rsidRPr="00701E28">
              <w:rPr>
                <w:color w:val="231F20"/>
                <w:sz w:val="16"/>
                <w:szCs w:val="16"/>
              </w:rPr>
              <w:t>flow</w:t>
            </w:r>
          </w:p>
        </w:tc>
        <w:tc>
          <w:tcPr>
            <w:tcW w:w="4082" w:type="dxa"/>
            <w:gridSpan w:val="2"/>
          </w:tcPr>
          <w:p w:rsidR="006A7A3F" w:rsidRPr="00701E28" w:rsidRDefault="00BC7372">
            <w:pPr>
              <w:pStyle w:val="TableParagraph"/>
              <w:numPr>
                <w:ilvl w:val="0"/>
                <w:numId w:val="51"/>
              </w:numPr>
              <w:tabs>
                <w:tab w:val="left" w:pos="305"/>
              </w:tabs>
              <w:spacing w:before="63"/>
              <w:rPr>
                <w:sz w:val="16"/>
                <w:szCs w:val="16"/>
              </w:rPr>
            </w:pPr>
            <w:r w:rsidRPr="00701E28">
              <w:rPr>
                <w:color w:val="231F20"/>
                <w:sz w:val="16"/>
                <w:szCs w:val="16"/>
              </w:rPr>
              <w:t>Three summer/autumn freshes</w:t>
            </w:r>
          </w:p>
          <w:p w:rsidR="006A7A3F" w:rsidRPr="00701E28" w:rsidRDefault="00BC7372">
            <w:pPr>
              <w:pStyle w:val="TableParagraph"/>
              <w:numPr>
                <w:ilvl w:val="0"/>
                <w:numId w:val="51"/>
              </w:numPr>
              <w:tabs>
                <w:tab w:val="left" w:pos="305"/>
              </w:tabs>
              <w:spacing w:before="98"/>
              <w:rPr>
                <w:sz w:val="16"/>
                <w:szCs w:val="16"/>
              </w:rPr>
            </w:pPr>
            <w:r w:rsidRPr="00701E28">
              <w:rPr>
                <w:color w:val="231F20"/>
                <w:sz w:val="16"/>
                <w:szCs w:val="16"/>
              </w:rPr>
              <w:t>One winter/spring</w:t>
            </w:r>
            <w:r w:rsidRPr="00701E28">
              <w:rPr>
                <w:color w:val="231F20"/>
                <w:spacing w:val="-2"/>
                <w:sz w:val="16"/>
                <w:szCs w:val="16"/>
              </w:rPr>
              <w:t xml:space="preserve"> </w:t>
            </w:r>
            <w:r w:rsidRPr="00701E28">
              <w:rPr>
                <w:color w:val="231F20"/>
                <w:sz w:val="16"/>
                <w:szCs w:val="16"/>
              </w:rPr>
              <w:t>fresh</w:t>
            </w:r>
          </w:p>
          <w:p w:rsidR="006A7A3F" w:rsidRPr="00701E28" w:rsidRDefault="00BC7372">
            <w:pPr>
              <w:pStyle w:val="TableParagraph"/>
              <w:numPr>
                <w:ilvl w:val="0"/>
                <w:numId w:val="51"/>
              </w:numPr>
              <w:tabs>
                <w:tab w:val="left" w:pos="305"/>
              </w:tabs>
              <w:spacing w:before="98"/>
              <w:rPr>
                <w:sz w:val="16"/>
                <w:szCs w:val="16"/>
              </w:rPr>
            </w:pPr>
            <w:r w:rsidRPr="00701E28">
              <w:rPr>
                <w:color w:val="231F20"/>
                <w:sz w:val="16"/>
                <w:szCs w:val="16"/>
              </w:rPr>
              <w:t>Summer/autumn low</w:t>
            </w:r>
            <w:r w:rsidRPr="00701E28">
              <w:rPr>
                <w:color w:val="231F20"/>
                <w:spacing w:val="-2"/>
                <w:sz w:val="16"/>
                <w:szCs w:val="16"/>
              </w:rPr>
              <w:t xml:space="preserve"> </w:t>
            </w:r>
            <w:r w:rsidRPr="00701E28">
              <w:rPr>
                <w:color w:val="231F20"/>
                <w:sz w:val="16"/>
                <w:szCs w:val="16"/>
              </w:rPr>
              <w:t>flow</w:t>
            </w:r>
          </w:p>
          <w:p w:rsidR="006A7A3F" w:rsidRPr="00701E28" w:rsidRDefault="00BC7372">
            <w:pPr>
              <w:pStyle w:val="TableParagraph"/>
              <w:numPr>
                <w:ilvl w:val="0"/>
                <w:numId w:val="51"/>
              </w:numPr>
              <w:tabs>
                <w:tab w:val="left" w:pos="305"/>
              </w:tabs>
              <w:spacing w:before="98"/>
              <w:rPr>
                <w:sz w:val="16"/>
                <w:szCs w:val="16"/>
              </w:rPr>
            </w:pPr>
            <w:r w:rsidRPr="00701E28">
              <w:rPr>
                <w:color w:val="231F20"/>
                <w:sz w:val="16"/>
                <w:szCs w:val="16"/>
              </w:rPr>
              <w:t>Winter/spring low</w:t>
            </w:r>
            <w:r w:rsidRPr="00701E28">
              <w:rPr>
                <w:color w:val="231F20"/>
                <w:spacing w:val="-2"/>
                <w:sz w:val="16"/>
                <w:szCs w:val="16"/>
              </w:rPr>
              <w:t xml:space="preserve"> </w:t>
            </w:r>
            <w:r w:rsidRPr="00701E28">
              <w:rPr>
                <w:color w:val="231F20"/>
                <w:sz w:val="16"/>
                <w:szCs w:val="16"/>
              </w:rPr>
              <w:t>flow</w:t>
            </w:r>
          </w:p>
        </w:tc>
      </w:tr>
      <w:tr w:rsidR="006A7A3F" w:rsidTr="00701E28">
        <w:trPr>
          <w:trHeight w:val="872"/>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1b (high priorities with shortfall)</w:t>
            </w:r>
          </w:p>
        </w:tc>
        <w:tc>
          <w:tcPr>
            <w:tcW w:w="4082" w:type="dxa"/>
            <w:gridSpan w:val="2"/>
          </w:tcPr>
          <w:p w:rsidR="006A7A3F" w:rsidRPr="00701E28" w:rsidRDefault="00BC7372">
            <w:pPr>
              <w:pStyle w:val="TableParagraph"/>
              <w:numPr>
                <w:ilvl w:val="0"/>
                <w:numId w:val="50"/>
              </w:numPr>
              <w:tabs>
                <w:tab w:val="left" w:pos="305"/>
              </w:tabs>
              <w:spacing w:before="63"/>
              <w:rPr>
                <w:sz w:val="16"/>
                <w:szCs w:val="16"/>
              </w:rPr>
            </w:pPr>
            <w:r w:rsidRPr="00701E28">
              <w:rPr>
                <w:color w:val="231F20"/>
                <w:sz w:val="16"/>
                <w:szCs w:val="16"/>
              </w:rPr>
              <w:t>Low flow delivered at upper</w:t>
            </w:r>
            <w:r w:rsidRPr="00701E28">
              <w:rPr>
                <w:color w:val="231F20"/>
                <w:spacing w:val="-8"/>
                <w:sz w:val="16"/>
                <w:szCs w:val="16"/>
              </w:rPr>
              <w:t xml:space="preserve"> </w:t>
            </w:r>
            <w:r w:rsidRPr="00701E28">
              <w:rPr>
                <w:color w:val="231F20"/>
                <w:sz w:val="16"/>
                <w:szCs w:val="16"/>
              </w:rPr>
              <w:t>magnitude</w:t>
            </w:r>
          </w:p>
          <w:p w:rsidR="006A7A3F" w:rsidRPr="00701E28" w:rsidRDefault="00BC7372">
            <w:pPr>
              <w:pStyle w:val="TableParagraph"/>
              <w:numPr>
                <w:ilvl w:val="0"/>
                <w:numId w:val="50"/>
              </w:numPr>
              <w:tabs>
                <w:tab w:val="left" w:pos="305"/>
              </w:tabs>
              <w:spacing w:before="98" w:line="254" w:lineRule="auto"/>
              <w:ind w:right="763"/>
              <w:rPr>
                <w:sz w:val="16"/>
                <w:szCs w:val="16"/>
              </w:rPr>
            </w:pPr>
            <w:r w:rsidRPr="00701E28">
              <w:rPr>
                <w:color w:val="231F20"/>
                <w:sz w:val="16"/>
                <w:szCs w:val="16"/>
              </w:rPr>
              <w:t>Winter/spring fresh delivered at upper magnitude</w:t>
            </w:r>
          </w:p>
        </w:tc>
        <w:tc>
          <w:tcPr>
            <w:tcW w:w="4082" w:type="dxa"/>
            <w:gridSpan w:val="2"/>
          </w:tcPr>
          <w:p w:rsidR="006A7A3F" w:rsidRPr="00701E28" w:rsidRDefault="00BC7372">
            <w:pPr>
              <w:pStyle w:val="TableParagraph"/>
              <w:numPr>
                <w:ilvl w:val="0"/>
                <w:numId w:val="49"/>
              </w:numPr>
              <w:tabs>
                <w:tab w:val="left" w:pos="305"/>
              </w:tabs>
              <w:spacing w:before="63"/>
              <w:rPr>
                <w:sz w:val="16"/>
                <w:szCs w:val="16"/>
              </w:rPr>
            </w:pPr>
            <w:r w:rsidRPr="00701E28">
              <w:rPr>
                <w:color w:val="231F20"/>
                <w:sz w:val="16"/>
                <w:szCs w:val="16"/>
              </w:rPr>
              <w:t>N/A</w:t>
            </w:r>
          </w:p>
        </w:tc>
      </w:tr>
      <w:tr w:rsidR="006A7A3F" w:rsidTr="00701E28">
        <w:trPr>
          <w:trHeight w:val="333"/>
        </w:trPr>
        <w:tc>
          <w:tcPr>
            <w:tcW w:w="10205" w:type="dxa"/>
            <w:gridSpan w:val="5"/>
            <w:shd w:val="clear" w:color="auto" w:fill="E6E7E8"/>
          </w:tcPr>
          <w:p w:rsidR="006A7A3F" w:rsidRPr="00701E28" w:rsidRDefault="00BC7372">
            <w:pPr>
              <w:pStyle w:val="TableParagraph"/>
              <w:spacing w:before="67"/>
              <w:ind w:left="85"/>
              <w:rPr>
                <w:b/>
                <w:bCs/>
                <w:sz w:val="16"/>
              </w:rPr>
            </w:pPr>
            <w:r w:rsidRPr="00701E28">
              <w:rPr>
                <w:b/>
                <w:bCs/>
                <w:color w:val="231F20"/>
                <w:sz w:val="16"/>
              </w:rPr>
              <w:t>Pyramid Creek and Loddon River (reach 5)</w:t>
            </w:r>
          </w:p>
        </w:tc>
      </w:tr>
      <w:tr w:rsidR="006A7A3F" w:rsidTr="00701E28">
        <w:trPr>
          <w:trHeight w:val="733"/>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1a (high priorities)</w:t>
            </w:r>
          </w:p>
        </w:tc>
        <w:tc>
          <w:tcPr>
            <w:tcW w:w="8164" w:type="dxa"/>
            <w:gridSpan w:val="4"/>
          </w:tcPr>
          <w:p w:rsidR="006A7A3F" w:rsidRPr="00701E28" w:rsidRDefault="00BC7372">
            <w:pPr>
              <w:pStyle w:val="TableParagraph"/>
              <w:numPr>
                <w:ilvl w:val="0"/>
                <w:numId w:val="48"/>
              </w:numPr>
              <w:tabs>
                <w:tab w:val="left" w:pos="305"/>
              </w:tabs>
              <w:spacing w:before="63"/>
              <w:rPr>
                <w:sz w:val="16"/>
                <w:szCs w:val="16"/>
              </w:rPr>
            </w:pPr>
            <w:r w:rsidRPr="00701E28">
              <w:rPr>
                <w:color w:val="231F20"/>
                <w:sz w:val="16"/>
                <w:szCs w:val="16"/>
              </w:rPr>
              <w:t>One spring high flow (coordinated with Loddon River high</w:t>
            </w:r>
            <w:r w:rsidRPr="00701E28">
              <w:rPr>
                <w:color w:val="231F20"/>
                <w:spacing w:val="-8"/>
                <w:sz w:val="16"/>
                <w:szCs w:val="16"/>
              </w:rPr>
              <w:t xml:space="preserve"> </w:t>
            </w:r>
            <w:r w:rsidRPr="00701E28">
              <w:rPr>
                <w:color w:val="231F20"/>
                <w:sz w:val="16"/>
                <w:szCs w:val="16"/>
              </w:rPr>
              <w:t>flow)</w:t>
            </w:r>
          </w:p>
          <w:p w:rsidR="006A7A3F" w:rsidRPr="00701E28" w:rsidRDefault="00BC7372">
            <w:pPr>
              <w:pStyle w:val="TableParagraph"/>
              <w:numPr>
                <w:ilvl w:val="0"/>
                <w:numId w:val="48"/>
              </w:numPr>
              <w:tabs>
                <w:tab w:val="left" w:pos="305"/>
              </w:tabs>
              <w:spacing w:before="98"/>
              <w:rPr>
                <w:sz w:val="16"/>
                <w:szCs w:val="16"/>
              </w:rPr>
            </w:pPr>
            <w:r w:rsidRPr="00701E28">
              <w:rPr>
                <w:color w:val="231F20"/>
                <w:sz w:val="16"/>
                <w:szCs w:val="16"/>
              </w:rPr>
              <w:t>Autumn/winter low</w:t>
            </w:r>
            <w:r w:rsidRPr="00701E28">
              <w:rPr>
                <w:color w:val="231F20"/>
                <w:spacing w:val="-2"/>
                <w:sz w:val="16"/>
                <w:szCs w:val="16"/>
              </w:rPr>
              <w:t xml:space="preserve"> </w:t>
            </w:r>
            <w:r w:rsidRPr="00701E28">
              <w:rPr>
                <w:color w:val="231F20"/>
                <w:sz w:val="16"/>
                <w:szCs w:val="16"/>
              </w:rPr>
              <w:t>flow</w:t>
            </w:r>
          </w:p>
        </w:tc>
      </w:tr>
      <w:tr w:rsidR="006A7A3F" w:rsidTr="00701E28">
        <w:trPr>
          <w:trHeight w:val="733"/>
        </w:trPr>
        <w:tc>
          <w:tcPr>
            <w:tcW w:w="2041" w:type="dxa"/>
          </w:tcPr>
          <w:p w:rsidR="006A7A3F" w:rsidRDefault="00BC7372">
            <w:pPr>
              <w:pStyle w:val="TableParagraph"/>
              <w:spacing w:before="67" w:line="261" w:lineRule="auto"/>
              <w:ind w:left="85" w:right="272"/>
              <w:jc w:val="both"/>
              <w:rPr>
                <w:sz w:val="16"/>
              </w:rPr>
            </w:pPr>
            <w:r>
              <w:rPr>
                <w:color w:val="231F20"/>
                <w:sz w:val="16"/>
              </w:rPr>
              <w:t>Potential environmental watering – tier 1b (high priorities with shortfall)</w:t>
            </w:r>
          </w:p>
        </w:tc>
        <w:tc>
          <w:tcPr>
            <w:tcW w:w="4082" w:type="dxa"/>
            <w:gridSpan w:val="2"/>
          </w:tcPr>
          <w:p w:rsidR="006A7A3F" w:rsidRPr="00701E28" w:rsidRDefault="00BC7372">
            <w:pPr>
              <w:pStyle w:val="TableParagraph"/>
              <w:numPr>
                <w:ilvl w:val="0"/>
                <w:numId w:val="47"/>
              </w:numPr>
              <w:tabs>
                <w:tab w:val="left" w:pos="305"/>
              </w:tabs>
              <w:spacing w:before="63"/>
              <w:rPr>
                <w:sz w:val="16"/>
                <w:szCs w:val="16"/>
              </w:rPr>
            </w:pPr>
            <w:r w:rsidRPr="00701E28">
              <w:rPr>
                <w:color w:val="231F20"/>
                <w:sz w:val="16"/>
                <w:szCs w:val="16"/>
              </w:rPr>
              <w:t>N/A</w:t>
            </w:r>
          </w:p>
        </w:tc>
        <w:tc>
          <w:tcPr>
            <w:tcW w:w="4082" w:type="dxa"/>
            <w:gridSpan w:val="2"/>
          </w:tcPr>
          <w:p w:rsidR="006A7A3F" w:rsidRPr="00701E28" w:rsidRDefault="00BC7372">
            <w:pPr>
              <w:pStyle w:val="TableParagraph"/>
              <w:numPr>
                <w:ilvl w:val="0"/>
                <w:numId w:val="46"/>
              </w:numPr>
              <w:tabs>
                <w:tab w:val="left" w:pos="305"/>
              </w:tabs>
              <w:spacing w:before="63"/>
              <w:rPr>
                <w:sz w:val="16"/>
                <w:szCs w:val="16"/>
              </w:rPr>
            </w:pPr>
            <w:r w:rsidRPr="00701E28">
              <w:rPr>
                <w:color w:val="231F20"/>
                <w:sz w:val="16"/>
                <w:szCs w:val="16"/>
              </w:rPr>
              <w:t>Autumn high</w:t>
            </w:r>
            <w:r w:rsidRPr="00701E28">
              <w:rPr>
                <w:color w:val="231F20"/>
                <w:spacing w:val="-2"/>
                <w:sz w:val="16"/>
                <w:szCs w:val="16"/>
              </w:rPr>
              <w:t xml:space="preserve"> </w:t>
            </w:r>
            <w:r w:rsidRPr="00701E28">
              <w:rPr>
                <w:color w:val="231F20"/>
                <w:sz w:val="16"/>
                <w:szCs w:val="16"/>
              </w:rPr>
              <w:t>flow</w:t>
            </w:r>
          </w:p>
        </w:tc>
      </w:tr>
      <w:tr w:rsidR="006A7A3F" w:rsidTr="00701E28">
        <w:trPr>
          <w:trHeight w:val="333"/>
        </w:trPr>
        <w:tc>
          <w:tcPr>
            <w:tcW w:w="10205" w:type="dxa"/>
            <w:gridSpan w:val="5"/>
            <w:shd w:val="clear" w:color="auto" w:fill="E6E7E8"/>
          </w:tcPr>
          <w:p w:rsidR="006A7A3F" w:rsidRPr="00701E28" w:rsidRDefault="00BC7372">
            <w:pPr>
              <w:pStyle w:val="TableParagraph"/>
              <w:spacing w:before="67"/>
              <w:ind w:left="85"/>
              <w:rPr>
                <w:b/>
                <w:bCs/>
                <w:sz w:val="9"/>
              </w:rPr>
            </w:pPr>
            <w:r w:rsidRPr="00701E28">
              <w:rPr>
                <w:b/>
                <w:bCs/>
                <w:color w:val="231F20"/>
                <w:sz w:val="16"/>
              </w:rPr>
              <w:t>Possible volume of environmental water required to achieve objectives</w:t>
            </w:r>
            <w:r w:rsidRPr="00701E28">
              <w:rPr>
                <w:b/>
                <w:bCs/>
                <w:color w:val="231F20"/>
                <w:position w:val="5"/>
                <w:sz w:val="9"/>
              </w:rPr>
              <w:t>3</w:t>
            </w:r>
          </w:p>
        </w:tc>
      </w:tr>
      <w:tr w:rsidR="006A7A3F" w:rsidTr="00701E28">
        <w:trPr>
          <w:trHeight w:val="1177"/>
        </w:trPr>
        <w:tc>
          <w:tcPr>
            <w:tcW w:w="2041" w:type="dxa"/>
          </w:tcPr>
          <w:p w:rsidR="006A7A3F" w:rsidRDefault="00BC7372">
            <w:pPr>
              <w:pStyle w:val="TableParagraph"/>
              <w:spacing w:before="67" w:line="261" w:lineRule="auto"/>
              <w:ind w:left="85" w:right="289"/>
              <w:rPr>
                <w:sz w:val="16"/>
              </w:rPr>
            </w:pPr>
            <w:r>
              <w:rPr>
                <w:color w:val="231F20"/>
                <w:sz w:val="16"/>
              </w:rPr>
              <w:t>Loddon River (reach 4) and Serpentine Creek</w:t>
            </w:r>
          </w:p>
        </w:tc>
        <w:tc>
          <w:tcPr>
            <w:tcW w:w="2041" w:type="dxa"/>
          </w:tcPr>
          <w:p w:rsidR="006A7A3F" w:rsidRPr="00701E28" w:rsidRDefault="00BC7372">
            <w:pPr>
              <w:pStyle w:val="TableParagraph"/>
              <w:numPr>
                <w:ilvl w:val="0"/>
                <w:numId w:val="45"/>
              </w:numPr>
              <w:tabs>
                <w:tab w:val="left" w:pos="305"/>
              </w:tabs>
              <w:spacing w:before="63"/>
              <w:rPr>
                <w:sz w:val="16"/>
                <w:szCs w:val="16"/>
              </w:rPr>
            </w:pPr>
            <w:r w:rsidRPr="00701E28">
              <w:rPr>
                <w:color w:val="231F20"/>
                <w:spacing w:val="-3"/>
                <w:sz w:val="16"/>
                <w:szCs w:val="16"/>
              </w:rPr>
              <w:t xml:space="preserve">11,300 </w:t>
            </w:r>
            <w:r w:rsidRPr="00701E28">
              <w:rPr>
                <w:color w:val="231F20"/>
                <w:sz w:val="16"/>
                <w:szCs w:val="16"/>
              </w:rPr>
              <w:t>ML (tier</w:t>
            </w:r>
            <w:r w:rsidRPr="00701E28">
              <w:rPr>
                <w:color w:val="231F20"/>
                <w:spacing w:val="-7"/>
                <w:sz w:val="16"/>
                <w:szCs w:val="16"/>
              </w:rPr>
              <w:t xml:space="preserve"> </w:t>
            </w:r>
            <w:r w:rsidRPr="00701E28">
              <w:rPr>
                <w:color w:val="231F20"/>
                <w:sz w:val="16"/>
                <w:szCs w:val="16"/>
              </w:rPr>
              <w:t>1a)</w:t>
            </w:r>
          </w:p>
          <w:p w:rsidR="006A7A3F" w:rsidRPr="00701E28" w:rsidRDefault="00BC7372">
            <w:pPr>
              <w:pStyle w:val="TableParagraph"/>
              <w:numPr>
                <w:ilvl w:val="0"/>
                <w:numId w:val="45"/>
              </w:numPr>
              <w:tabs>
                <w:tab w:val="left" w:pos="305"/>
              </w:tabs>
              <w:spacing w:before="98"/>
              <w:rPr>
                <w:sz w:val="16"/>
                <w:szCs w:val="16"/>
              </w:rPr>
            </w:pPr>
            <w:r w:rsidRPr="00701E28">
              <w:rPr>
                <w:color w:val="231F20"/>
                <w:sz w:val="16"/>
                <w:szCs w:val="16"/>
              </w:rPr>
              <w:t>4,300 ML (tier</w:t>
            </w:r>
            <w:r w:rsidRPr="00701E28">
              <w:rPr>
                <w:color w:val="231F20"/>
                <w:spacing w:val="-11"/>
                <w:sz w:val="16"/>
                <w:szCs w:val="16"/>
              </w:rPr>
              <w:t xml:space="preserve"> </w:t>
            </w:r>
            <w:r w:rsidRPr="00701E28">
              <w:rPr>
                <w:color w:val="231F20"/>
                <w:sz w:val="16"/>
                <w:szCs w:val="16"/>
              </w:rPr>
              <w:t>1b)</w:t>
            </w:r>
          </w:p>
          <w:p w:rsidR="006A7A3F" w:rsidRPr="00701E28" w:rsidRDefault="00BC7372">
            <w:pPr>
              <w:pStyle w:val="TableParagraph"/>
              <w:numPr>
                <w:ilvl w:val="0"/>
                <w:numId w:val="45"/>
              </w:numPr>
              <w:tabs>
                <w:tab w:val="left" w:pos="305"/>
              </w:tabs>
              <w:spacing w:before="98"/>
              <w:rPr>
                <w:sz w:val="16"/>
                <w:szCs w:val="16"/>
              </w:rPr>
            </w:pPr>
            <w:r w:rsidRPr="00701E28">
              <w:rPr>
                <w:color w:val="231F20"/>
                <w:sz w:val="16"/>
                <w:szCs w:val="16"/>
              </w:rPr>
              <w:t>4,100–6,800</w:t>
            </w:r>
            <w:r w:rsidRPr="00701E28">
              <w:rPr>
                <w:color w:val="231F20"/>
                <w:spacing w:val="-2"/>
                <w:sz w:val="16"/>
                <w:szCs w:val="16"/>
              </w:rPr>
              <w:t xml:space="preserve"> </w:t>
            </w:r>
            <w:r w:rsidRPr="00701E28">
              <w:rPr>
                <w:color w:val="231F20"/>
                <w:sz w:val="16"/>
                <w:szCs w:val="16"/>
              </w:rPr>
              <w:t>ML</w:t>
            </w:r>
          </w:p>
          <w:p w:rsidR="006A7A3F" w:rsidRPr="00701E28" w:rsidRDefault="00BC7372">
            <w:pPr>
              <w:pStyle w:val="TableParagraph"/>
              <w:spacing w:before="13"/>
              <w:rPr>
                <w:sz w:val="16"/>
                <w:szCs w:val="16"/>
              </w:rPr>
            </w:pPr>
            <w:r w:rsidRPr="00701E28">
              <w:rPr>
                <w:color w:val="231F20"/>
                <w:sz w:val="16"/>
                <w:szCs w:val="16"/>
              </w:rPr>
              <w:t>(tier 2)</w:t>
            </w:r>
          </w:p>
        </w:tc>
        <w:tc>
          <w:tcPr>
            <w:tcW w:w="2041" w:type="dxa"/>
          </w:tcPr>
          <w:p w:rsidR="006A7A3F" w:rsidRPr="00701E28" w:rsidRDefault="00BC7372">
            <w:pPr>
              <w:pStyle w:val="TableParagraph"/>
              <w:numPr>
                <w:ilvl w:val="0"/>
                <w:numId w:val="44"/>
              </w:numPr>
              <w:tabs>
                <w:tab w:val="left" w:pos="305"/>
              </w:tabs>
              <w:spacing w:before="63"/>
              <w:rPr>
                <w:sz w:val="16"/>
                <w:szCs w:val="16"/>
              </w:rPr>
            </w:pPr>
            <w:r w:rsidRPr="00701E28">
              <w:rPr>
                <w:color w:val="231F20"/>
                <w:sz w:val="16"/>
                <w:szCs w:val="16"/>
              </w:rPr>
              <w:t>12,000–15,700</w:t>
            </w:r>
            <w:r w:rsidRPr="00701E28">
              <w:rPr>
                <w:color w:val="231F20"/>
                <w:spacing w:val="-4"/>
                <w:sz w:val="16"/>
                <w:szCs w:val="16"/>
              </w:rPr>
              <w:t xml:space="preserve"> </w:t>
            </w:r>
            <w:r w:rsidRPr="00701E28">
              <w:rPr>
                <w:color w:val="231F20"/>
                <w:sz w:val="16"/>
                <w:szCs w:val="16"/>
              </w:rPr>
              <w:t>ML</w:t>
            </w:r>
          </w:p>
          <w:p w:rsidR="006A7A3F" w:rsidRPr="00701E28" w:rsidRDefault="00BC7372">
            <w:pPr>
              <w:pStyle w:val="TableParagraph"/>
              <w:spacing w:before="13"/>
              <w:rPr>
                <w:sz w:val="16"/>
                <w:szCs w:val="16"/>
              </w:rPr>
            </w:pPr>
            <w:r w:rsidRPr="00701E28">
              <w:rPr>
                <w:color w:val="231F20"/>
                <w:sz w:val="16"/>
                <w:szCs w:val="16"/>
              </w:rPr>
              <w:t>(tier 1a)</w:t>
            </w:r>
          </w:p>
          <w:p w:rsidR="006A7A3F" w:rsidRPr="00701E28" w:rsidRDefault="00BC7372">
            <w:pPr>
              <w:pStyle w:val="TableParagraph"/>
              <w:numPr>
                <w:ilvl w:val="0"/>
                <w:numId w:val="44"/>
              </w:numPr>
              <w:tabs>
                <w:tab w:val="left" w:pos="305"/>
              </w:tabs>
              <w:spacing w:before="98"/>
              <w:rPr>
                <w:sz w:val="16"/>
                <w:szCs w:val="16"/>
              </w:rPr>
            </w:pPr>
            <w:r w:rsidRPr="00701E28">
              <w:rPr>
                <w:color w:val="231F20"/>
                <w:sz w:val="16"/>
                <w:szCs w:val="16"/>
              </w:rPr>
              <w:t>6,800–13,600</w:t>
            </w:r>
            <w:r w:rsidRPr="00701E28">
              <w:rPr>
                <w:color w:val="231F20"/>
                <w:spacing w:val="-3"/>
                <w:sz w:val="16"/>
                <w:szCs w:val="16"/>
              </w:rPr>
              <w:t xml:space="preserve"> </w:t>
            </w:r>
            <w:r w:rsidRPr="00701E28">
              <w:rPr>
                <w:color w:val="231F20"/>
                <w:sz w:val="16"/>
                <w:szCs w:val="16"/>
              </w:rPr>
              <w:t>ML</w:t>
            </w:r>
          </w:p>
          <w:p w:rsidR="006A7A3F" w:rsidRPr="00701E28" w:rsidRDefault="00BC7372">
            <w:pPr>
              <w:pStyle w:val="TableParagraph"/>
              <w:spacing w:before="13"/>
              <w:rPr>
                <w:sz w:val="16"/>
                <w:szCs w:val="16"/>
              </w:rPr>
            </w:pPr>
            <w:r w:rsidRPr="00701E28">
              <w:rPr>
                <w:color w:val="231F20"/>
                <w:sz w:val="16"/>
                <w:szCs w:val="16"/>
              </w:rPr>
              <w:t>(tier 1b)</w:t>
            </w:r>
          </w:p>
        </w:tc>
        <w:tc>
          <w:tcPr>
            <w:tcW w:w="2041" w:type="dxa"/>
          </w:tcPr>
          <w:p w:rsidR="006A7A3F" w:rsidRDefault="00BC7372">
            <w:pPr>
              <w:pStyle w:val="TableParagraph"/>
              <w:numPr>
                <w:ilvl w:val="0"/>
                <w:numId w:val="43"/>
              </w:numPr>
              <w:tabs>
                <w:tab w:val="left" w:pos="305"/>
              </w:tabs>
              <w:spacing w:before="63"/>
              <w:rPr>
                <w:sz w:val="10"/>
              </w:rPr>
            </w:pPr>
            <w:r w:rsidRPr="00701E28">
              <w:rPr>
                <w:color w:val="231F20"/>
                <w:sz w:val="16"/>
                <w:szCs w:val="16"/>
              </w:rPr>
              <w:t>24,500 ML (tier</w:t>
            </w:r>
            <w:r w:rsidRPr="00701E28">
              <w:rPr>
                <w:color w:val="231F20"/>
                <w:spacing w:val="-10"/>
                <w:sz w:val="16"/>
                <w:szCs w:val="16"/>
              </w:rPr>
              <w:t xml:space="preserve"> </w:t>
            </w:r>
            <w:r w:rsidRPr="00701E28">
              <w:rPr>
                <w:color w:val="231F20"/>
                <w:sz w:val="16"/>
                <w:szCs w:val="16"/>
              </w:rPr>
              <w:t>1a)</w:t>
            </w:r>
            <w:r>
              <w:rPr>
                <w:color w:val="231F20"/>
                <w:position w:val="6"/>
                <w:sz w:val="10"/>
              </w:rPr>
              <w:t>4</w:t>
            </w:r>
          </w:p>
          <w:p w:rsidR="006A7A3F" w:rsidRPr="00701E28" w:rsidRDefault="00BC7372">
            <w:pPr>
              <w:pStyle w:val="TableParagraph"/>
              <w:numPr>
                <w:ilvl w:val="0"/>
                <w:numId w:val="43"/>
              </w:numPr>
              <w:tabs>
                <w:tab w:val="left" w:pos="305"/>
              </w:tabs>
              <w:spacing w:before="98"/>
              <w:rPr>
                <w:sz w:val="16"/>
                <w:szCs w:val="16"/>
              </w:rPr>
            </w:pPr>
            <w:r w:rsidRPr="00701E28">
              <w:rPr>
                <w:color w:val="231F20"/>
                <w:sz w:val="16"/>
                <w:szCs w:val="16"/>
              </w:rPr>
              <w:t>4,100–6,800</w:t>
            </w:r>
            <w:r w:rsidRPr="00701E28">
              <w:rPr>
                <w:color w:val="231F20"/>
                <w:spacing w:val="-2"/>
                <w:sz w:val="16"/>
                <w:szCs w:val="16"/>
              </w:rPr>
              <w:t xml:space="preserve"> </w:t>
            </w:r>
            <w:r w:rsidRPr="00701E28">
              <w:rPr>
                <w:color w:val="231F20"/>
                <w:sz w:val="16"/>
                <w:szCs w:val="16"/>
              </w:rPr>
              <w:t>ML</w:t>
            </w:r>
          </w:p>
          <w:p w:rsidR="006A7A3F" w:rsidRDefault="00BC7372">
            <w:pPr>
              <w:pStyle w:val="TableParagraph"/>
              <w:spacing w:before="13"/>
              <w:rPr>
                <w:sz w:val="18"/>
              </w:rPr>
            </w:pPr>
            <w:r w:rsidRPr="00701E28">
              <w:rPr>
                <w:color w:val="231F20"/>
                <w:sz w:val="16"/>
                <w:szCs w:val="16"/>
              </w:rPr>
              <w:t>(tier 1b)</w:t>
            </w:r>
          </w:p>
        </w:tc>
        <w:tc>
          <w:tcPr>
            <w:tcW w:w="2041" w:type="dxa"/>
          </w:tcPr>
          <w:p w:rsidR="006A7A3F" w:rsidRDefault="006A7A3F">
            <w:pPr>
              <w:pStyle w:val="TableParagraph"/>
              <w:ind w:left="0"/>
              <w:rPr>
                <w:rFonts w:ascii="Times New Roman"/>
                <w:sz w:val="16"/>
              </w:rPr>
            </w:pPr>
          </w:p>
        </w:tc>
      </w:tr>
      <w:tr w:rsidR="006A7A3F" w:rsidTr="00701E28">
        <w:trPr>
          <w:trHeight w:val="652"/>
        </w:trPr>
        <w:tc>
          <w:tcPr>
            <w:tcW w:w="2041" w:type="dxa"/>
          </w:tcPr>
          <w:p w:rsidR="006A7A3F" w:rsidRDefault="00BC7372">
            <w:pPr>
              <w:pStyle w:val="TableParagraph"/>
              <w:spacing w:before="67" w:line="261" w:lineRule="auto"/>
              <w:ind w:left="85" w:right="289"/>
              <w:rPr>
                <w:sz w:val="16"/>
              </w:rPr>
            </w:pPr>
            <w:r>
              <w:rPr>
                <w:color w:val="231F20"/>
                <w:sz w:val="16"/>
              </w:rPr>
              <w:t>Pyramid Creek and Loddon River (reach 5)</w:t>
            </w:r>
          </w:p>
        </w:tc>
        <w:tc>
          <w:tcPr>
            <w:tcW w:w="4082" w:type="dxa"/>
            <w:gridSpan w:val="2"/>
          </w:tcPr>
          <w:p w:rsidR="006A7A3F" w:rsidRDefault="00BC7372">
            <w:pPr>
              <w:pStyle w:val="TableParagraph"/>
              <w:numPr>
                <w:ilvl w:val="0"/>
                <w:numId w:val="42"/>
              </w:numPr>
              <w:tabs>
                <w:tab w:val="left" w:pos="305"/>
              </w:tabs>
              <w:spacing w:before="63"/>
              <w:rPr>
                <w:sz w:val="10"/>
              </w:rPr>
            </w:pPr>
            <w:r w:rsidRPr="00701E28">
              <w:rPr>
                <w:color w:val="231F20"/>
                <w:sz w:val="16"/>
                <w:szCs w:val="16"/>
              </w:rPr>
              <w:t>4,000 ML (tier</w:t>
            </w:r>
            <w:r w:rsidRPr="00701E28">
              <w:rPr>
                <w:color w:val="231F20"/>
                <w:spacing w:val="-9"/>
                <w:sz w:val="16"/>
                <w:szCs w:val="16"/>
              </w:rPr>
              <w:t xml:space="preserve"> </w:t>
            </w:r>
            <w:r w:rsidRPr="00701E28">
              <w:rPr>
                <w:color w:val="231F20"/>
                <w:sz w:val="16"/>
                <w:szCs w:val="16"/>
              </w:rPr>
              <w:t>1a)</w:t>
            </w:r>
            <w:r>
              <w:rPr>
                <w:color w:val="231F20"/>
                <w:position w:val="6"/>
                <w:sz w:val="10"/>
              </w:rPr>
              <w:t>5</w:t>
            </w:r>
          </w:p>
        </w:tc>
        <w:tc>
          <w:tcPr>
            <w:tcW w:w="4082" w:type="dxa"/>
            <w:gridSpan w:val="2"/>
          </w:tcPr>
          <w:p w:rsidR="006A7A3F" w:rsidRDefault="00BC7372">
            <w:pPr>
              <w:pStyle w:val="TableParagraph"/>
              <w:numPr>
                <w:ilvl w:val="0"/>
                <w:numId w:val="41"/>
              </w:numPr>
              <w:tabs>
                <w:tab w:val="left" w:pos="305"/>
              </w:tabs>
              <w:spacing w:before="63"/>
              <w:rPr>
                <w:sz w:val="10"/>
              </w:rPr>
            </w:pPr>
            <w:r w:rsidRPr="00701E28">
              <w:rPr>
                <w:color w:val="231F20"/>
                <w:sz w:val="16"/>
                <w:szCs w:val="16"/>
              </w:rPr>
              <w:t>4,000 ML (tier</w:t>
            </w:r>
            <w:r w:rsidRPr="00701E28">
              <w:rPr>
                <w:color w:val="231F20"/>
                <w:spacing w:val="-12"/>
                <w:sz w:val="16"/>
                <w:szCs w:val="16"/>
              </w:rPr>
              <w:t xml:space="preserve"> </w:t>
            </w:r>
            <w:r w:rsidRPr="00701E28">
              <w:rPr>
                <w:color w:val="231F20"/>
                <w:sz w:val="16"/>
                <w:szCs w:val="16"/>
              </w:rPr>
              <w:t>1a)</w:t>
            </w:r>
            <w:r>
              <w:rPr>
                <w:color w:val="231F20"/>
                <w:position w:val="6"/>
                <w:sz w:val="10"/>
              </w:rPr>
              <w:t>5</w:t>
            </w:r>
          </w:p>
          <w:p w:rsidR="006A7A3F" w:rsidRDefault="00BC7372">
            <w:pPr>
              <w:pStyle w:val="TableParagraph"/>
              <w:numPr>
                <w:ilvl w:val="0"/>
                <w:numId w:val="41"/>
              </w:numPr>
              <w:tabs>
                <w:tab w:val="left" w:pos="305"/>
              </w:tabs>
              <w:spacing w:before="98"/>
              <w:rPr>
                <w:sz w:val="10"/>
              </w:rPr>
            </w:pPr>
            <w:r w:rsidRPr="00701E28">
              <w:rPr>
                <w:color w:val="231F20"/>
                <w:sz w:val="16"/>
                <w:szCs w:val="16"/>
              </w:rPr>
              <w:t>2,000 ML (tier</w:t>
            </w:r>
            <w:r w:rsidRPr="00701E28">
              <w:rPr>
                <w:color w:val="231F20"/>
                <w:spacing w:val="-12"/>
                <w:sz w:val="16"/>
                <w:szCs w:val="16"/>
              </w:rPr>
              <w:t xml:space="preserve"> </w:t>
            </w:r>
            <w:r w:rsidRPr="00701E28">
              <w:rPr>
                <w:color w:val="231F20"/>
                <w:sz w:val="16"/>
                <w:szCs w:val="16"/>
              </w:rPr>
              <w:t>1b)</w:t>
            </w:r>
            <w:r>
              <w:rPr>
                <w:color w:val="231F20"/>
                <w:position w:val="6"/>
                <w:sz w:val="10"/>
              </w:rPr>
              <w:t>5</w:t>
            </w:r>
          </w:p>
        </w:tc>
      </w:tr>
      <w:tr w:rsidR="006A7A3F" w:rsidTr="00701E28">
        <w:trPr>
          <w:trHeight w:val="533"/>
        </w:trPr>
        <w:tc>
          <w:tcPr>
            <w:tcW w:w="2041" w:type="dxa"/>
          </w:tcPr>
          <w:p w:rsidR="006A7A3F" w:rsidRDefault="00BC7372">
            <w:pPr>
              <w:pStyle w:val="TableParagraph"/>
              <w:spacing w:before="67" w:line="261" w:lineRule="auto"/>
              <w:ind w:left="85" w:right="716"/>
              <w:rPr>
                <w:sz w:val="16"/>
              </w:rPr>
            </w:pPr>
            <w:r>
              <w:rPr>
                <w:color w:val="231F20"/>
                <w:sz w:val="16"/>
              </w:rPr>
              <w:t>Priority carryover requirements</w:t>
            </w:r>
          </w:p>
        </w:tc>
        <w:tc>
          <w:tcPr>
            <w:tcW w:w="8164" w:type="dxa"/>
            <w:gridSpan w:val="4"/>
          </w:tcPr>
          <w:p w:rsidR="006A7A3F" w:rsidRPr="00701E28" w:rsidRDefault="00BC7372" w:rsidP="00701E28">
            <w:pPr>
              <w:pStyle w:val="TableParagraph"/>
              <w:numPr>
                <w:ilvl w:val="0"/>
                <w:numId w:val="40"/>
              </w:numPr>
              <w:tabs>
                <w:tab w:val="left" w:pos="284"/>
              </w:tabs>
              <w:spacing w:before="63"/>
              <w:ind w:hanging="3801"/>
              <w:jc w:val="center"/>
              <w:rPr>
                <w:sz w:val="16"/>
                <w:szCs w:val="16"/>
              </w:rPr>
            </w:pPr>
            <w:r w:rsidRPr="00701E28">
              <w:rPr>
                <w:color w:val="231F20"/>
                <w:sz w:val="16"/>
                <w:szCs w:val="16"/>
              </w:rPr>
              <w:t>6,500</w:t>
            </w:r>
            <w:r w:rsidRPr="00701E28">
              <w:rPr>
                <w:color w:val="231F20"/>
                <w:spacing w:val="-2"/>
                <w:sz w:val="16"/>
                <w:szCs w:val="16"/>
              </w:rPr>
              <w:t xml:space="preserve"> </w:t>
            </w:r>
            <w:r w:rsidRPr="00701E28">
              <w:rPr>
                <w:color w:val="231F20"/>
                <w:sz w:val="16"/>
                <w:szCs w:val="16"/>
              </w:rPr>
              <w:t>ML</w:t>
            </w:r>
          </w:p>
        </w:tc>
      </w:tr>
    </w:tbl>
    <w:p w:rsidR="006A7A3F" w:rsidRDefault="00BC7372" w:rsidP="00701E28">
      <w:pPr>
        <w:pStyle w:val="ListParagraph"/>
        <w:numPr>
          <w:ilvl w:val="0"/>
          <w:numId w:val="39"/>
        </w:numPr>
        <w:tabs>
          <w:tab w:val="left" w:pos="324"/>
        </w:tabs>
        <w:spacing w:before="60"/>
        <w:ind w:hanging="113"/>
        <w:rPr>
          <w:sz w:val="14"/>
        </w:rPr>
      </w:pPr>
      <w:r>
        <w:rPr>
          <w:color w:val="231F20"/>
          <w:sz w:val="14"/>
        </w:rPr>
        <w:t xml:space="preserve">Water holdings available for demands in the Loddon River system are also used to source demands in the </w:t>
      </w:r>
      <w:r>
        <w:rPr>
          <w:color w:val="231F20"/>
          <w:spacing w:val="2"/>
          <w:sz w:val="14"/>
        </w:rPr>
        <w:t>Boort</w:t>
      </w:r>
      <w:r>
        <w:rPr>
          <w:color w:val="231F20"/>
          <w:spacing w:val="14"/>
          <w:sz w:val="14"/>
        </w:rPr>
        <w:t xml:space="preserve"> </w:t>
      </w:r>
      <w:r>
        <w:rPr>
          <w:color w:val="231F20"/>
          <w:sz w:val="14"/>
        </w:rPr>
        <w:t>wetlands.</w:t>
      </w:r>
    </w:p>
    <w:p w:rsidR="00701E28" w:rsidRPr="00701E28" w:rsidRDefault="00BC7372" w:rsidP="00701E28">
      <w:pPr>
        <w:pStyle w:val="ListParagraph"/>
        <w:numPr>
          <w:ilvl w:val="0"/>
          <w:numId w:val="39"/>
        </w:numPr>
        <w:tabs>
          <w:tab w:val="left" w:pos="324"/>
        </w:tabs>
        <w:spacing w:before="73" w:line="350" w:lineRule="auto"/>
        <w:ind w:left="210" w:right="1986" w:firstLine="0"/>
        <w:rPr>
          <w:sz w:val="14"/>
        </w:rPr>
      </w:pPr>
      <w:r>
        <w:rPr>
          <w:color w:val="231F20"/>
          <w:sz w:val="14"/>
        </w:rPr>
        <w:t xml:space="preserve">Under a </w:t>
      </w:r>
      <w:r>
        <w:rPr>
          <w:color w:val="231F20"/>
          <w:spacing w:val="2"/>
          <w:sz w:val="14"/>
        </w:rPr>
        <w:t xml:space="preserve">dry </w:t>
      </w:r>
      <w:r>
        <w:rPr>
          <w:color w:val="231F20"/>
          <w:sz w:val="14"/>
        </w:rPr>
        <w:t xml:space="preserve">scenario, winter low flow is planned to </w:t>
      </w:r>
      <w:r>
        <w:rPr>
          <w:color w:val="231F20"/>
          <w:spacing w:val="2"/>
          <w:sz w:val="14"/>
        </w:rPr>
        <w:t xml:space="preserve">otherwise </w:t>
      </w:r>
      <w:r>
        <w:rPr>
          <w:color w:val="231F20"/>
          <w:sz w:val="14"/>
        </w:rPr>
        <w:t xml:space="preserve">be delivered at the passing flow rate (77 ML per day) for tier 1a.  </w:t>
      </w:r>
    </w:p>
    <w:p w:rsidR="006A7A3F" w:rsidRDefault="00BC7372" w:rsidP="00701E28">
      <w:pPr>
        <w:pStyle w:val="ListParagraph"/>
        <w:numPr>
          <w:ilvl w:val="0"/>
          <w:numId w:val="39"/>
        </w:numPr>
        <w:tabs>
          <w:tab w:val="left" w:pos="324"/>
        </w:tabs>
        <w:spacing w:before="0" w:line="350" w:lineRule="auto"/>
        <w:ind w:left="210" w:right="2376" w:firstLine="0"/>
        <w:rPr>
          <w:sz w:val="14"/>
        </w:rPr>
      </w:pPr>
      <w:r>
        <w:rPr>
          <w:color w:val="231F20"/>
          <w:sz w:val="14"/>
        </w:rPr>
        <w:t xml:space="preserve"> Environmental water requirements for tier 2 actions are additional to tier 1</w:t>
      </w:r>
      <w:r>
        <w:rPr>
          <w:color w:val="231F20"/>
          <w:spacing w:val="8"/>
          <w:sz w:val="14"/>
        </w:rPr>
        <w:t xml:space="preserve"> </w:t>
      </w:r>
      <w:r>
        <w:rPr>
          <w:color w:val="231F20"/>
          <w:sz w:val="14"/>
        </w:rPr>
        <w:t>requirements.</w:t>
      </w:r>
    </w:p>
    <w:p w:rsidR="006A7A3F" w:rsidRDefault="00BC7372" w:rsidP="00701E28">
      <w:pPr>
        <w:pStyle w:val="ListParagraph"/>
        <w:numPr>
          <w:ilvl w:val="0"/>
          <w:numId w:val="38"/>
        </w:numPr>
        <w:tabs>
          <w:tab w:val="left" w:pos="324"/>
        </w:tabs>
        <w:spacing w:before="0" w:line="266" w:lineRule="auto"/>
        <w:ind w:right="143"/>
        <w:rPr>
          <w:sz w:val="14"/>
        </w:rPr>
      </w:pPr>
      <w:r>
        <w:rPr>
          <w:color w:val="231F20"/>
          <w:sz w:val="14"/>
        </w:rPr>
        <w:t>This tier 1a volume is the supply required to meet all potential watering actions with water for the environment. While it is higher than the expected availability   of</w:t>
      </w:r>
      <w:r>
        <w:rPr>
          <w:color w:val="231F20"/>
          <w:spacing w:val="3"/>
          <w:sz w:val="14"/>
        </w:rPr>
        <w:t xml:space="preserve"> </w:t>
      </w:r>
      <w:r>
        <w:rPr>
          <w:color w:val="231F20"/>
          <w:sz w:val="14"/>
        </w:rPr>
        <w:t>environmental</w:t>
      </w:r>
      <w:r>
        <w:rPr>
          <w:color w:val="231F20"/>
          <w:spacing w:val="3"/>
          <w:sz w:val="14"/>
        </w:rPr>
        <w:t xml:space="preserve"> </w:t>
      </w:r>
      <w:r>
        <w:rPr>
          <w:color w:val="231F20"/>
          <w:sz w:val="14"/>
        </w:rPr>
        <w:t>water</w:t>
      </w:r>
      <w:r>
        <w:rPr>
          <w:color w:val="231F20"/>
          <w:spacing w:val="4"/>
          <w:sz w:val="14"/>
        </w:rPr>
        <w:t xml:space="preserve"> </w:t>
      </w:r>
      <w:r>
        <w:rPr>
          <w:color w:val="231F20"/>
          <w:sz w:val="14"/>
        </w:rPr>
        <w:t>holdings,</w:t>
      </w:r>
      <w:r>
        <w:rPr>
          <w:color w:val="231F20"/>
          <w:spacing w:val="4"/>
          <w:sz w:val="14"/>
        </w:rPr>
        <w:t xml:space="preserve"> </w:t>
      </w:r>
      <w:r>
        <w:rPr>
          <w:color w:val="231F20"/>
          <w:sz w:val="14"/>
        </w:rPr>
        <w:t>it</w:t>
      </w:r>
      <w:r>
        <w:rPr>
          <w:color w:val="231F20"/>
          <w:spacing w:val="4"/>
          <w:sz w:val="14"/>
        </w:rPr>
        <w:t xml:space="preserve"> </w:t>
      </w:r>
      <w:r>
        <w:rPr>
          <w:color w:val="231F20"/>
          <w:sz w:val="14"/>
        </w:rPr>
        <w:t>is</w:t>
      </w:r>
      <w:r>
        <w:rPr>
          <w:color w:val="231F20"/>
          <w:spacing w:val="3"/>
          <w:sz w:val="14"/>
        </w:rPr>
        <w:t xml:space="preserve"> </w:t>
      </w:r>
      <w:r>
        <w:rPr>
          <w:color w:val="231F20"/>
          <w:sz w:val="14"/>
        </w:rPr>
        <w:t>likely</w:t>
      </w:r>
      <w:r>
        <w:rPr>
          <w:color w:val="231F20"/>
          <w:spacing w:val="4"/>
          <w:sz w:val="14"/>
        </w:rPr>
        <w:t xml:space="preserve"> </w:t>
      </w:r>
      <w:r>
        <w:rPr>
          <w:color w:val="231F20"/>
          <w:sz w:val="14"/>
        </w:rPr>
        <w:t>that</w:t>
      </w:r>
      <w:r>
        <w:rPr>
          <w:color w:val="231F20"/>
          <w:spacing w:val="4"/>
          <w:sz w:val="14"/>
        </w:rPr>
        <w:t xml:space="preserve"> </w:t>
      </w:r>
      <w:r>
        <w:rPr>
          <w:color w:val="231F20"/>
          <w:sz w:val="14"/>
        </w:rPr>
        <w:t>some</w:t>
      </w:r>
      <w:r>
        <w:rPr>
          <w:color w:val="231F20"/>
          <w:spacing w:val="3"/>
          <w:sz w:val="14"/>
        </w:rPr>
        <w:t xml:space="preserve"> </w:t>
      </w:r>
      <w:r>
        <w:rPr>
          <w:color w:val="231F20"/>
          <w:sz w:val="14"/>
        </w:rPr>
        <w:t>actions</w:t>
      </w:r>
      <w:r>
        <w:rPr>
          <w:color w:val="231F20"/>
          <w:spacing w:val="4"/>
          <w:sz w:val="14"/>
        </w:rPr>
        <w:t xml:space="preserve"> </w:t>
      </w:r>
      <w:r>
        <w:rPr>
          <w:color w:val="231F20"/>
          <w:sz w:val="14"/>
        </w:rPr>
        <w:t>may</w:t>
      </w:r>
      <w:r>
        <w:rPr>
          <w:color w:val="231F20"/>
          <w:spacing w:val="3"/>
          <w:sz w:val="14"/>
        </w:rPr>
        <w:t xml:space="preserve"> </w:t>
      </w:r>
      <w:r>
        <w:rPr>
          <w:color w:val="231F20"/>
          <w:sz w:val="14"/>
        </w:rPr>
        <w:t>be</w:t>
      </w:r>
      <w:r>
        <w:rPr>
          <w:color w:val="231F20"/>
          <w:spacing w:val="3"/>
          <w:sz w:val="14"/>
        </w:rPr>
        <w:t xml:space="preserve"> </w:t>
      </w:r>
      <w:r>
        <w:rPr>
          <w:color w:val="231F20"/>
          <w:sz w:val="14"/>
        </w:rPr>
        <w:t>achieved</w:t>
      </w:r>
      <w:r>
        <w:rPr>
          <w:color w:val="231F20"/>
          <w:spacing w:val="3"/>
          <w:sz w:val="14"/>
        </w:rPr>
        <w:t xml:space="preserve"> </w:t>
      </w:r>
      <w:r>
        <w:rPr>
          <w:color w:val="231F20"/>
          <w:sz w:val="14"/>
        </w:rPr>
        <w:t>with</w:t>
      </w:r>
      <w:r>
        <w:rPr>
          <w:color w:val="231F20"/>
          <w:spacing w:val="3"/>
          <w:sz w:val="14"/>
        </w:rPr>
        <w:t xml:space="preserve"> </w:t>
      </w:r>
      <w:r>
        <w:rPr>
          <w:color w:val="231F20"/>
          <w:sz w:val="14"/>
        </w:rPr>
        <w:t>natural</w:t>
      </w:r>
      <w:r>
        <w:rPr>
          <w:color w:val="231F20"/>
          <w:spacing w:val="2"/>
          <w:sz w:val="14"/>
        </w:rPr>
        <w:t xml:space="preserve"> </w:t>
      </w:r>
      <w:r>
        <w:rPr>
          <w:color w:val="231F20"/>
          <w:sz w:val="14"/>
        </w:rPr>
        <w:t>flows</w:t>
      </w:r>
      <w:r>
        <w:rPr>
          <w:color w:val="231F20"/>
          <w:spacing w:val="4"/>
          <w:sz w:val="14"/>
        </w:rPr>
        <w:t xml:space="preserve"> </w:t>
      </w:r>
      <w:r>
        <w:rPr>
          <w:color w:val="231F20"/>
          <w:sz w:val="14"/>
        </w:rPr>
        <w:t>in</w:t>
      </w:r>
      <w:r>
        <w:rPr>
          <w:color w:val="231F20"/>
          <w:spacing w:val="3"/>
          <w:sz w:val="14"/>
        </w:rPr>
        <w:t xml:space="preserve"> </w:t>
      </w:r>
      <w:r>
        <w:rPr>
          <w:color w:val="231F20"/>
          <w:sz w:val="14"/>
        </w:rPr>
        <w:t>the</w:t>
      </w:r>
      <w:r>
        <w:rPr>
          <w:color w:val="231F20"/>
          <w:spacing w:val="2"/>
          <w:sz w:val="14"/>
        </w:rPr>
        <w:t xml:space="preserve"> </w:t>
      </w:r>
      <w:r>
        <w:rPr>
          <w:color w:val="231F20"/>
          <w:sz w:val="14"/>
        </w:rPr>
        <w:t>system</w:t>
      </w:r>
      <w:r>
        <w:rPr>
          <w:color w:val="231F20"/>
          <w:spacing w:val="4"/>
          <w:sz w:val="14"/>
        </w:rPr>
        <w:t xml:space="preserve"> </w:t>
      </w:r>
      <w:r>
        <w:rPr>
          <w:color w:val="231F20"/>
          <w:sz w:val="14"/>
        </w:rPr>
        <w:t>reducing</w:t>
      </w:r>
      <w:r>
        <w:rPr>
          <w:color w:val="231F20"/>
          <w:spacing w:val="3"/>
          <w:sz w:val="14"/>
        </w:rPr>
        <w:t xml:space="preserve"> </w:t>
      </w:r>
      <w:r>
        <w:rPr>
          <w:color w:val="231F20"/>
          <w:sz w:val="14"/>
        </w:rPr>
        <w:t>the</w:t>
      </w:r>
      <w:r>
        <w:rPr>
          <w:color w:val="231F20"/>
          <w:spacing w:val="3"/>
          <w:sz w:val="14"/>
        </w:rPr>
        <w:t xml:space="preserve"> </w:t>
      </w:r>
      <w:r>
        <w:rPr>
          <w:color w:val="231F20"/>
          <w:sz w:val="14"/>
        </w:rPr>
        <w:t>actual</w:t>
      </w:r>
      <w:r>
        <w:rPr>
          <w:color w:val="231F20"/>
          <w:spacing w:val="2"/>
          <w:sz w:val="14"/>
        </w:rPr>
        <w:t xml:space="preserve"> </w:t>
      </w:r>
      <w:r>
        <w:rPr>
          <w:color w:val="231F20"/>
          <w:sz w:val="14"/>
        </w:rPr>
        <w:t>volume</w:t>
      </w:r>
      <w:r>
        <w:rPr>
          <w:color w:val="231F20"/>
          <w:spacing w:val="3"/>
          <w:sz w:val="14"/>
        </w:rPr>
        <w:t xml:space="preserve"> </w:t>
      </w:r>
      <w:r>
        <w:rPr>
          <w:color w:val="231F20"/>
          <w:sz w:val="14"/>
        </w:rPr>
        <w:t>required.</w:t>
      </w:r>
    </w:p>
    <w:p w:rsidR="00701E28" w:rsidRDefault="00BC7372" w:rsidP="00701E28">
      <w:pPr>
        <w:pStyle w:val="ListParagraph"/>
        <w:numPr>
          <w:ilvl w:val="0"/>
          <w:numId w:val="38"/>
        </w:numPr>
        <w:tabs>
          <w:tab w:val="left" w:pos="324"/>
        </w:tabs>
        <w:spacing w:before="55" w:line="266" w:lineRule="auto"/>
        <w:ind w:right="143"/>
        <w:rPr>
          <w:color w:val="231F20"/>
          <w:sz w:val="14"/>
        </w:rPr>
      </w:pPr>
      <w:r>
        <w:rPr>
          <w:color w:val="231F20"/>
          <w:sz w:val="14"/>
        </w:rPr>
        <w:t xml:space="preserve">Consumptive water en route to downstream sites is diverted through Pyramid Creek to meet these events, with the associated losses debited to the </w:t>
      </w:r>
      <w:r>
        <w:rPr>
          <w:color w:val="231F20"/>
          <w:spacing w:val="2"/>
          <w:sz w:val="14"/>
        </w:rPr>
        <w:t xml:space="preserve">VEWH. </w:t>
      </w:r>
      <w:r>
        <w:rPr>
          <w:color w:val="231F20"/>
          <w:sz w:val="14"/>
        </w:rPr>
        <w:t xml:space="preserve">A volume of </w:t>
      </w:r>
      <w:r>
        <w:rPr>
          <w:color w:val="231F20"/>
          <w:spacing w:val="2"/>
          <w:sz w:val="14"/>
        </w:rPr>
        <w:t xml:space="preserve">2,000 </w:t>
      </w:r>
      <w:r>
        <w:rPr>
          <w:color w:val="231F20"/>
          <w:sz w:val="14"/>
        </w:rPr>
        <w:t xml:space="preserve">ML per event is required to </w:t>
      </w:r>
      <w:r>
        <w:rPr>
          <w:color w:val="231F20"/>
          <w:spacing w:val="2"/>
          <w:sz w:val="14"/>
        </w:rPr>
        <w:t xml:space="preserve">underwrite </w:t>
      </w:r>
      <w:r>
        <w:rPr>
          <w:color w:val="231F20"/>
          <w:sz w:val="14"/>
        </w:rPr>
        <w:t>these losses, however the actual use debited is likely to be less than this</w:t>
      </w:r>
      <w:r>
        <w:rPr>
          <w:color w:val="231F20"/>
          <w:spacing w:val="29"/>
          <w:sz w:val="14"/>
        </w:rPr>
        <w:t xml:space="preserve"> </w:t>
      </w:r>
      <w:r>
        <w:rPr>
          <w:color w:val="231F20"/>
          <w:sz w:val="14"/>
        </w:rPr>
        <w:t>volume.</w:t>
      </w:r>
    </w:p>
    <w:p w:rsidR="00701E28" w:rsidRDefault="00701E28">
      <w:pPr>
        <w:rPr>
          <w:color w:val="231F20"/>
          <w:sz w:val="14"/>
        </w:rPr>
      </w:pPr>
      <w:r>
        <w:rPr>
          <w:color w:val="231F20"/>
          <w:sz w:val="14"/>
        </w:rPr>
        <w:br w:type="page"/>
      </w:r>
    </w:p>
    <w:p w:rsidR="006A7A3F" w:rsidRPr="00701E28" w:rsidRDefault="00BC7372">
      <w:pPr>
        <w:pStyle w:val="ListParagraph"/>
        <w:numPr>
          <w:ilvl w:val="2"/>
          <w:numId w:val="577"/>
        </w:numPr>
        <w:tabs>
          <w:tab w:val="left" w:pos="811"/>
        </w:tabs>
        <w:spacing w:before="27"/>
        <w:rPr>
          <w:b/>
          <w:bCs/>
          <w:color w:val="231F20"/>
          <w:sz w:val="24"/>
        </w:rPr>
      </w:pPr>
      <w:r w:rsidRPr="00701E28">
        <w:rPr>
          <w:b/>
          <w:bCs/>
          <w:color w:val="231F20"/>
          <w:sz w:val="24"/>
        </w:rPr>
        <w:t>Boort wetlands</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297"/>
      </w:pPr>
      <w:r>
        <w:rPr>
          <w:color w:val="231F20"/>
        </w:rPr>
        <w:t>The Boort wetlands are on the floodplain west of the Loddon River, below Loddon Weir. They consist of temporary and permanent freshwater lakes and swamps: Lake Boort, Lake Leaghur, Lake Yando, Little Lake Meran and Lake Meran. Together, the Boort wetlands cover over 800 ha. There are numerous other wetlands in the district, but they are currently not managed with water for the environment.</w:t>
      </w:r>
    </w:p>
    <w:p w:rsidR="006A7A3F" w:rsidRDefault="006A7A3F">
      <w:pPr>
        <w:pStyle w:val="BodyText"/>
        <w:spacing w:before="6"/>
        <w:ind w:left="0"/>
        <w:rPr>
          <w:sz w:val="21"/>
        </w:rPr>
      </w:pPr>
    </w:p>
    <w:p w:rsidR="006A7A3F" w:rsidRDefault="00BC7372">
      <w:pPr>
        <w:pStyle w:val="BodyText"/>
        <w:spacing w:before="1" w:line="249" w:lineRule="auto"/>
        <w:ind w:right="495"/>
      </w:pPr>
      <w:r>
        <w:rPr>
          <w:color w:val="231F20"/>
        </w:rPr>
        <w:t>The natural watering regimes of wetlands throughout the broader Loddon system have been substantially modified by the construction of levees and channels across the floodplain and by the construction and operation of reservoirs and weirs along the Loddon River. Water is delivered to the Boort wetlands through Loddon Valley Irrigation Area infrastructure.</w:t>
      </w:r>
    </w:p>
    <w:p w:rsidR="006A7A3F" w:rsidRDefault="00BC7372">
      <w:pPr>
        <w:pStyle w:val="BodyText"/>
        <w:spacing w:before="173" w:line="249" w:lineRule="auto"/>
        <w:ind w:right="197"/>
      </w:pPr>
      <w:r>
        <w:rPr>
          <w:color w:val="231F20"/>
        </w:rPr>
        <w:t>The availability of water for the environment for the Boort wetlands is closely linked to water available for the Loddon River system. The ability to deliver water for the environment to the wetlands is sometimes limited by channel capacity constraints. The VEWH and North Central CMA work with the storage manager (Goulburn-Murray Water) to best meet environmental objectives within capacity constraints.</w:t>
      </w:r>
    </w:p>
    <w:p w:rsidR="006A7A3F" w:rsidRDefault="00BC7372">
      <w:pPr>
        <w:spacing w:before="182"/>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218"/>
      </w:pPr>
      <w:r>
        <w:rPr>
          <w:color w:val="231F20"/>
        </w:rPr>
        <w:t>The Boort wetlands provide habitat for a range of plant and animal species. At Lake Yando, 12 rare plant species have been recorded including the jerry-jerry and water nymph. Bird species recorded at Lake Boort, Lake Leaghur and Lake Meran include the white-bellied sea eagle, Latham’s snipe and eastern great egret. Little Lake Meran is a swampy woodland with black box trees on the highest wet margins and river red gums fringing the waterline.</w:t>
      </w:r>
    </w:p>
    <w:p w:rsidR="006A7A3F" w:rsidRDefault="00BC7372">
      <w:pPr>
        <w:spacing w:before="182"/>
        <w:ind w:left="210"/>
        <w:rPr>
          <w:rFonts w:ascii="Helvetica Neue LT Std 75"/>
          <w:b/>
          <w:sz w:val="19"/>
        </w:rPr>
      </w:pPr>
      <w:r>
        <w:rPr>
          <w:rFonts w:ascii="Helvetica Neue LT Std 75"/>
          <w:b/>
          <w:color w:val="231F20"/>
          <w:sz w:val="19"/>
        </w:rPr>
        <w:t>Environmental watering objectives in the Boort wetlands</w:t>
      </w:r>
    </w:p>
    <w:p w:rsidR="006A7A3F" w:rsidRDefault="006A7A3F">
      <w:pPr>
        <w:pStyle w:val="BodyText"/>
        <w:spacing w:before="12"/>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6A7A3F">
        <w:trPr>
          <w:trHeight w:val="819"/>
        </w:trPr>
        <w:tc>
          <w:tcPr>
            <w:tcW w:w="789" w:type="dxa"/>
            <w:tcBorders>
              <w:bottom w:val="single" w:sz="8" w:space="0" w:color="FFFFFF"/>
            </w:tcBorders>
            <w:shd w:val="clear" w:color="auto" w:fill="E6E7E8"/>
          </w:tcPr>
          <w:p w:rsidR="006A7A3F" w:rsidRDefault="006A7A3F">
            <w:pPr>
              <w:pStyle w:val="TableParagraph"/>
              <w:spacing w:before="2" w:after="1"/>
              <w:ind w:left="0"/>
              <w:rPr>
                <w:rFonts w:ascii="Helvetica Neue LT Std 75"/>
                <w:b/>
                <w:sz w:val="12"/>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4" cy="310896"/>
                  <wp:effectExtent l="0" t="0" r="0" b="0"/>
                  <wp:docPr id="250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image19.jpeg"/>
                          <pic:cNvPicPr/>
                        </pic:nvPicPr>
                        <pic:blipFill>
                          <a:blip r:embed="rId31" cstate="print"/>
                          <a:stretch>
                            <a:fillRect/>
                          </a:stretch>
                        </pic:blipFill>
                        <pic:spPr>
                          <a:xfrm>
                            <a:off x="0" y="0"/>
                            <a:ext cx="314174" cy="310896"/>
                          </a:xfrm>
                          <a:prstGeom prst="rect">
                            <a:avLst/>
                          </a:prstGeom>
                        </pic:spPr>
                      </pic:pic>
                    </a:graphicData>
                  </a:graphic>
                </wp:inline>
              </w:drawing>
            </w:r>
          </w:p>
        </w:tc>
        <w:tc>
          <w:tcPr>
            <w:tcW w:w="3859" w:type="dxa"/>
            <w:tcBorders>
              <w:bottom w:val="single" w:sz="8" w:space="0" w:color="FFFFFF"/>
            </w:tcBorders>
            <w:shd w:val="clear" w:color="auto" w:fill="E6E7E8"/>
          </w:tcPr>
          <w:p w:rsidR="006A7A3F" w:rsidRDefault="006A7A3F">
            <w:pPr>
              <w:pStyle w:val="TableParagraph"/>
              <w:ind w:left="0"/>
              <w:rPr>
                <w:rFonts w:ascii="Helvetica Neue LT Std 75"/>
                <w:b/>
                <w:sz w:val="16"/>
              </w:rPr>
            </w:pPr>
          </w:p>
          <w:p w:rsidR="006A7A3F" w:rsidRDefault="00BC7372">
            <w:pPr>
              <w:pStyle w:val="TableParagraph"/>
              <w:spacing w:line="261" w:lineRule="auto"/>
              <w:ind w:left="118" w:right="216"/>
              <w:rPr>
                <w:sz w:val="16"/>
              </w:rPr>
            </w:pPr>
            <w:r>
              <w:rPr>
                <w:color w:val="231F20"/>
                <w:sz w:val="16"/>
              </w:rPr>
              <w:t>Increase the population of large and small-bodied fish species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509"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65"/>
              <w:rPr>
                <w:sz w:val="16"/>
              </w:rPr>
            </w:pPr>
            <w:r>
              <w:rPr>
                <w:color w:val="231F20"/>
                <w:sz w:val="16"/>
              </w:rPr>
              <w:t>Increase the diversity and population of native frogs including by enhancing breeding opportunities</w:t>
            </w:r>
          </w:p>
        </w:tc>
      </w:tr>
      <w:tr w:rsidR="006A7A3F">
        <w:trPr>
          <w:trHeight w:val="809"/>
        </w:trPr>
        <w:tc>
          <w:tcPr>
            <w:tcW w:w="789" w:type="dxa"/>
            <w:tcBorders>
              <w:top w:val="single" w:sz="8" w:space="0" w:color="FFFFFF"/>
              <w:bottom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511"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 name="image26.jpeg"/>
                          <pic:cNvPicPr/>
                        </pic:nvPicPr>
                        <pic:blipFill>
                          <a:blip r:embed="rId38"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403"/>
              <w:rPr>
                <w:sz w:val="16"/>
              </w:rPr>
            </w:pPr>
            <w:r>
              <w:rPr>
                <w:color w:val="231F20"/>
                <w:sz w:val="16"/>
              </w:rPr>
              <w:t>Maintain the population of freshwater turtles, in particular Murray River turtles</w:t>
            </w:r>
          </w:p>
        </w:tc>
      </w:tr>
      <w:tr w:rsidR="006A7A3F">
        <w:trPr>
          <w:trHeight w:val="2063"/>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ind w:left="0"/>
              <w:rPr>
                <w:rFonts w:ascii="Helvetica Neue LT Std 75"/>
                <w:b/>
                <w:sz w:val="20"/>
              </w:rPr>
            </w:pPr>
          </w:p>
          <w:p w:rsidR="006A7A3F" w:rsidRDefault="006A7A3F">
            <w:pPr>
              <w:pStyle w:val="TableParagraph"/>
              <w:spacing w:before="6"/>
              <w:ind w:left="0"/>
              <w:rPr>
                <w:rFonts w:ascii="Helvetica Neue LT Std 75"/>
                <w:b/>
                <w:sz w:val="16"/>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513"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26" w:line="261" w:lineRule="auto"/>
              <w:ind w:left="118" w:right="101"/>
              <w:rPr>
                <w:sz w:val="16"/>
              </w:rPr>
            </w:pPr>
            <w:r>
              <w:rPr>
                <w:color w:val="231F20"/>
                <w:sz w:val="16"/>
              </w:rPr>
              <w:t>Rehabilitate and increase the extent of emergent and aquatic vegetation (aquatic herblands, tall marsh), intermittent swampy woodland and riverine chenopod woodland</w:t>
            </w:r>
          </w:p>
          <w:p w:rsidR="006A7A3F" w:rsidRDefault="00BC7372">
            <w:pPr>
              <w:pStyle w:val="TableParagraph"/>
              <w:spacing w:before="111" w:line="261" w:lineRule="auto"/>
              <w:ind w:left="118" w:right="101"/>
              <w:rPr>
                <w:sz w:val="16"/>
              </w:rPr>
            </w:pPr>
            <w:r>
              <w:rPr>
                <w:color w:val="231F20"/>
                <w:sz w:val="16"/>
              </w:rPr>
              <w:t>Maintain the health and restore the distribution of river red gums and associated understorey species</w:t>
            </w:r>
          </w:p>
          <w:p w:rsidR="006A7A3F" w:rsidRDefault="00BC7372">
            <w:pPr>
              <w:pStyle w:val="TableParagraph"/>
              <w:spacing w:before="113" w:line="261" w:lineRule="auto"/>
              <w:ind w:left="118" w:right="172"/>
              <w:rPr>
                <w:sz w:val="16"/>
              </w:rPr>
            </w:pPr>
            <w:r>
              <w:rPr>
                <w:color w:val="231F20"/>
                <w:sz w:val="16"/>
              </w:rPr>
              <w:t>Maintain the extent and restore the health of black box vegetation</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6" w:after="1"/>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6" cy="310895"/>
                  <wp:effectExtent l="0" t="0" r="0" b="0"/>
                  <wp:docPr id="2515"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image27.jpeg"/>
                          <pic:cNvPicPr/>
                        </pic:nvPicPr>
                        <pic:blipFill>
                          <a:blip r:embed="rId39" cstate="print"/>
                          <a:stretch>
                            <a:fillRect/>
                          </a:stretch>
                        </pic:blipFill>
                        <pic:spPr>
                          <a:xfrm>
                            <a:off x="0" y="0"/>
                            <a:ext cx="314166" cy="310895"/>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4"/>
              <w:ind w:left="0"/>
              <w:rPr>
                <w:rFonts w:ascii="Helvetica Neue LT Std 75"/>
                <w:b/>
                <w:sz w:val="15"/>
              </w:rPr>
            </w:pPr>
          </w:p>
          <w:p w:rsidR="006A7A3F" w:rsidRDefault="00BC7372">
            <w:pPr>
              <w:pStyle w:val="TableParagraph"/>
              <w:spacing w:line="261" w:lineRule="auto"/>
              <w:ind w:left="118" w:right="669"/>
              <w:rPr>
                <w:sz w:val="16"/>
              </w:rPr>
            </w:pPr>
            <w:r>
              <w:rPr>
                <w:color w:val="231F20"/>
                <w:sz w:val="16"/>
              </w:rPr>
              <w:t>Support a high diversity of wetland birds by enhancing feeding and breeding conditions</w:t>
            </w:r>
          </w:p>
        </w:tc>
      </w:tr>
    </w:tbl>
    <w:p w:rsidR="00701E28" w:rsidRDefault="00701E28">
      <w:pPr>
        <w:spacing w:before="152"/>
        <w:ind w:left="210"/>
        <w:rPr>
          <w:rFonts w:ascii="Helvetica Neue LT Std 75"/>
          <w:b/>
          <w:color w:val="231F20"/>
          <w:sz w:val="19"/>
        </w:rPr>
      </w:pPr>
    </w:p>
    <w:p w:rsidR="00701E28" w:rsidRDefault="00701E28">
      <w:pPr>
        <w:rPr>
          <w:rFonts w:ascii="Helvetica Neue LT Std 75"/>
          <w:b/>
          <w:color w:val="231F20"/>
          <w:sz w:val="19"/>
        </w:rPr>
      </w:pPr>
      <w:r>
        <w:rPr>
          <w:rFonts w:ascii="Helvetica Neue LT Std 75"/>
          <w:b/>
          <w:color w:val="231F20"/>
          <w:sz w:val="19"/>
        </w:rPr>
        <w:br w:type="page"/>
      </w:r>
    </w:p>
    <w:p w:rsidR="006A7A3F" w:rsidRDefault="00BC7372">
      <w:pPr>
        <w:spacing w:before="152"/>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7" w:line="249" w:lineRule="auto"/>
        <w:ind w:right="100"/>
      </w:pPr>
      <w:r>
        <w:rPr>
          <w:color w:val="231F20"/>
        </w:rPr>
        <w:t>In planning for environmental flows in the Boort wetlands, North Central CMA has worked with Barapa Barapa and Wamba Wemba Traditional Owners and Dja Dja Wurrung Clans Aboriginal Corporation to identify opportunities to engage on environmental water planning and delivery now and in future.</w:t>
      </w:r>
    </w:p>
    <w:p w:rsidR="006A7A3F" w:rsidRDefault="00BC7372">
      <w:pPr>
        <w:pStyle w:val="BodyText"/>
        <w:spacing w:before="173" w:line="249" w:lineRule="auto"/>
        <w:ind w:right="319"/>
      </w:pPr>
      <w:r>
        <w:rPr>
          <w:color w:val="231F20"/>
        </w:rPr>
        <w:t>The wetlands and surrounding land in the Boort region are rich in cultural heritage, with sites and artefacts of cultural practices present throughout the landscape. The rivers and floodplains are valued as food and fibre sources and contain many sites of significance such as camp sites and meeting places. Environmental watering supports values such as native fish, waterbirds and turtles, and promotes the growth of culturally-important plants that provide food, medicine and weaving materials. The presence of water itself can be a cultural value, as well as the quality of the water, as healthy water promotes a healthy Country.</w:t>
      </w:r>
    </w:p>
    <w:p w:rsidR="006A7A3F" w:rsidRDefault="00BC7372" w:rsidP="0087445D">
      <w:pPr>
        <w:pStyle w:val="BodyText"/>
        <w:spacing w:before="175" w:line="249" w:lineRule="auto"/>
        <w:ind w:right="100"/>
      </w:pPr>
      <w:r>
        <w:rPr>
          <w:color w:val="231F20"/>
        </w:rPr>
        <w:t>A key priority for Barapa Barapa and Wamba Wemba Traditional Owners in the Boort and central Murray region wetlands is maintaining or improving the condition of wetland vegetation health. North Central CMA and Barapa</w:t>
      </w:r>
      <w:r w:rsidR="0087445D">
        <w:rPr>
          <w:color w:val="231F20"/>
        </w:rPr>
        <w:t xml:space="preserve"> </w:t>
      </w:r>
      <w:r>
        <w:rPr>
          <w:color w:val="231F20"/>
        </w:rPr>
        <w:t>Barapa Traditional Owners are collaborating to deliver the DELWP-funded Decision Support Tool (DST) project which focuses on McDonalds Swamp (central Murray wetlands, see section 5.2.3), Lake Leaghur and Lake Yando. The project involves the delivery of revegetation works and vegetation monitoring. Environmental watering decisions at these wetlands have been able to support the DST project by aligning watering actions with the watering requirements of the revegetation and enabling monitoring to be completed by Barapa Barapa.</w:t>
      </w:r>
    </w:p>
    <w:p w:rsidR="006A7A3F" w:rsidRDefault="00BC7372">
      <w:pPr>
        <w:pStyle w:val="BodyText"/>
        <w:spacing w:before="174" w:line="249" w:lineRule="auto"/>
        <w:ind w:right="308"/>
      </w:pPr>
      <w:r>
        <w:rPr>
          <w:color w:val="231F20"/>
        </w:rPr>
        <w:t>The Dja Dja Wurrung Country Plan describes their aspirations around the management of rivers and waterways and articulates Dja Dja Wurrung peoples’ support for the reinstatement of environmental flows as an overall objective for the management of water on Country. The North Central CMA and Dja Dja Wurrung Clans Aboriginal Corporation continue to work towards increased engagement on planning and delivery of environmental watering activities, including identifying opportunities for Dja Dja Wurrung involvement.</w:t>
      </w:r>
    </w:p>
    <w:p w:rsidR="006A7A3F" w:rsidRDefault="00BC7372">
      <w:pPr>
        <w:spacing w:before="184"/>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7" w:line="249" w:lineRule="auto"/>
        <w:ind w:right="100"/>
      </w:pPr>
      <w:r>
        <w:rPr>
          <w:color w:val="231F20"/>
        </w:rPr>
        <w:t>In planning the potential watering actions in Table 5.7.3, North Central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fishing and</w:t>
      </w:r>
      <w:r>
        <w:rPr>
          <w:color w:val="231F20"/>
          <w:spacing w:val="-5"/>
          <w:sz w:val="20"/>
        </w:rPr>
        <w:t xml:space="preserve"> </w:t>
      </w:r>
      <w:r>
        <w:rPr>
          <w:color w:val="231F20"/>
          <w:sz w:val="20"/>
        </w:rPr>
        <w:t>kayaking)</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riverside recreation and amenity (such as birdwatching, camping, duck hunting and</w:t>
      </w:r>
      <w:r>
        <w:rPr>
          <w:color w:val="231F20"/>
          <w:spacing w:val="-17"/>
          <w:sz w:val="20"/>
        </w:rPr>
        <w:t xml:space="preserve"> </w:t>
      </w:r>
      <w:r>
        <w:rPr>
          <w:color w:val="231F20"/>
          <w:sz w:val="20"/>
        </w:rPr>
        <w:t>walking)</w:t>
      </w:r>
    </w:p>
    <w:p w:rsidR="006A7A3F" w:rsidRDefault="00BC7372" w:rsidP="009B6917">
      <w:pPr>
        <w:pStyle w:val="ListParagraph"/>
        <w:numPr>
          <w:ilvl w:val="0"/>
          <w:numId w:val="1419"/>
        </w:numPr>
        <w:tabs>
          <w:tab w:val="left" w:pos="493"/>
          <w:tab w:val="left" w:pos="494"/>
        </w:tabs>
        <w:spacing w:before="96"/>
        <w:ind w:hanging="281"/>
        <w:rPr>
          <w:sz w:val="20"/>
        </w:rPr>
      </w:pPr>
      <w:r>
        <w:rPr>
          <w:color w:val="231F20"/>
          <w:sz w:val="20"/>
        </w:rPr>
        <w:t>community events and tourism (such as supporting Aboriginal cultural heritage and history-based</w:t>
      </w:r>
      <w:r>
        <w:rPr>
          <w:color w:val="231F20"/>
          <w:spacing w:val="-29"/>
          <w:sz w:val="20"/>
        </w:rPr>
        <w:t xml:space="preserve"> </w:t>
      </w:r>
      <w:r>
        <w:rPr>
          <w:color w:val="231F20"/>
          <w:sz w:val="20"/>
        </w:rPr>
        <w:t>tours)</w:t>
      </w:r>
    </w:p>
    <w:p w:rsidR="006A7A3F" w:rsidRDefault="00BC7372" w:rsidP="009B6917">
      <w:pPr>
        <w:pStyle w:val="ListParagraph"/>
        <w:numPr>
          <w:ilvl w:val="0"/>
          <w:numId w:val="1419"/>
        </w:numPr>
        <w:tabs>
          <w:tab w:val="left" w:pos="493"/>
          <w:tab w:val="left" w:pos="494"/>
        </w:tabs>
        <w:spacing w:line="249" w:lineRule="auto"/>
        <w:ind w:right="751"/>
        <w:rPr>
          <w:sz w:val="20"/>
        </w:rPr>
      </w:pPr>
      <w:r>
        <w:rPr>
          <w:color w:val="231F20"/>
          <w:sz w:val="20"/>
        </w:rPr>
        <w:t>socio-economic benefits (such as ecosystem services like groundwater recharge, flood mitigation, nutrient treatment and carbon</w:t>
      </w:r>
      <w:r>
        <w:rPr>
          <w:color w:val="231F20"/>
          <w:spacing w:val="-2"/>
          <w:sz w:val="20"/>
        </w:rPr>
        <w:t xml:space="preserve"> </w:t>
      </w:r>
      <w:r>
        <w:rPr>
          <w:color w:val="231F20"/>
          <w:sz w:val="20"/>
        </w:rPr>
        <w:t>storage).</w:t>
      </w:r>
    </w:p>
    <w:p w:rsidR="006A7A3F" w:rsidRDefault="00BC7372">
      <w:pPr>
        <w:spacing w:before="180"/>
        <w:ind w:left="210"/>
        <w:rPr>
          <w:rFonts w:ascii="Helvetica Neue LT Std 75"/>
          <w:b/>
          <w:sz w:val="19"/>
        </w:rPr>
      </w:pPr>
      <w:r>
        <w:rPr>
          <w:rFonts w:ascii="Helvetica Neue LT Std 75"/>
          <w:b/>
          <w:color w:val="231F20"/>
          <w:sz w:val="19"/>
        </w:rPr>
        <w:t>Recent conditions</w:t>
      </w:r>
    </w:p>
    <w:p w:rsidR="006A7A3F" w:rsidRDefault="00BC7372">
      <w:pPr>
        <w:pStyle w:val="BodyText"/>
        <w:spacing w:before="68" w:line="249" w:lineRule="auto"/>
        <w:ind w:right="267"/>
      </w:pPr>
      <w:r>
        <w:rPr>
          <w:color w:val="231F20"/>
        </w:rPr>
        <w:t xml:space="preserve">Rainfall across the Boort wetlands during 2019–20 was close to the long-term average, but there were no floods in the Loddon River catchment and therefore no significant inflows to the wetlands. The Boort wetlands last flooded in 2016, and since then water for the environment has been delivered to Lake Meran and Little Lake Meran, which, at the end of 2019–20, both continued to hold </w:t>
      </w:r>
      <w:r>
        <w:rPr>
          <w:color w:val="231F20"/>
          <w:spacing w:val="-3"/>
        </w:rPr>
        <w:t xml:space="preserve">water. </w:t>
      </w:r>
      <w:r>
        <w:rPr>
          <w:color w:val="231F20"/>
        </w:rPr>
        <w:t xml:space="preserve">Lake </w:t>
      </w:r>
      <w:r>
        <w:rPr>
          <w:color w:val="231F20"/>
          <w:spacing w:val="-4"/>
        </w:rPr>
        <w:t xml:space="preserve">Yando </w:t>
      </w:r>
      <w:r>
        <w:rPr>
          <w:color w:val="231F20"/>
        </w:rPr>
        <w:t>and Lake Leaghur are completely dry and are due for filling under their recommended watering regimes. Lake Boort is also dry and is preferred to remain dry in 2020–21 to maintain its optimal</w:t>
      </w:r>
      <w:r>
        <w:rPr>
          <w:color w:val="231F20"/>
          <w:spacing w:val="-4"/>
        </w:rPr>
        <w:t xml:space="preserve"> </w:t>
      </w:r>
      <w:r>
        <w:rPr>
          <w:color w:val="231F20"/>
        </w:rPr>
        <w:t>regime.</w:t>
      </w:r>
    </w:p>
    <w:p w:rsidR="006A7A3F" w:rsidRDefault="00BC7372">
      <w:pPr>
        <w:pStyle w:val="BodyText"/>
        <w:spacing w:before="175" w:line="249" w:lineRule="auto"/>
        <w:ind w:right="297"/>
      </w:pPr>
      <w:r>
        <w:rPr>
          <w:color w:val="231F20"/>
        </w:rPr>
        <w:t>Water for the environment was used to top up water levels in Lake Meran between spring 2019 and autumn 2020 as recommended in the Lake Meran Environmental Water Management Plan, to maintain habitat for aquatic animals and promote the growth of fringing vegetation. A planned partial fill at Lake Yando did not proceed in 2019–20, due to delivery constraints and channel blockage when the water was needed. Consequently, a fill of Lake Yando will be a high priority in 2020–21, which will require the channel to be cleared before filling.</w:t>
      </w:r>
    </w:p>
    <w:p w:rsidR="005408C0" w:rsidRDefault="005408C0">
      <w:pPr>
        <w:rPr>
          <w:rFonts w:ascii="Helvetica Neue LT Std 75"/>
          <w:b/>
          <w:color w:val="231F20"/>
          <w:sz w:val="19"/>
        </w:rPr>
      </w:pPr>
      <w:r>
        <w:rPr>
          <w:rFonts w:ascii="Helvetica Neue LT Std 75"/>
          <w:b/>
          <w:color w:val="231F20"/>
          <w:sz w:val="19"/>
        </w:rPr>
        <w:br w:type="page"/>
      </w:r>
    </w:p>
    <w:p w:rsidR="006A7A3F" w:rsidRDefault="00BC7372">
      <w:pPr>
        <w:spacing w:before="183"/>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100"/>
      </w:pPr>
      <w:r>
        <w:rPr>
          <w:color w:val="231F20"/>
        </w:rPr>
        <w:t>Table 5.7.3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5.7.3 Potential environmental watering actions and objectives for the Boort wetlands</w:t>
      </w:r>
    </w:p>
    <w:p w:rsidR="006A7A3F" w:rsidRDefault="006A7A3F">
      <w:pPr>
        <w:pStyle w:val="BodyText"/>
        <w:spacing w:before="6"/>
        <w:ind w:left="0"/>
        <w:rPr>
          <w:b/>
          <w:sz w:val="8"/>
        </w:rPr>
      </w:pPr>
    </w:p>
    <w:tbl>
      <w:tblPr>
        <w:tblW w:w="1017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381"/>
        <w:gridCol w:w="6236"/>
        <w:gridCol w:w="779"/>
        <w:gridCol w:w="71"/>
        <w:gridCol w:w="708"/>
      </w:tblGrid>
      <w:tr w:rsidR="006A7A3F" w:rsidTr="0007201C">
        <w:trPr>
          <w:trHeight w:val="587"/>
        </w:trPr>
        <w:tc>
          <w:tcPr>
            <w:tcW w:w="2381" w:type="dxa"/>
            <w:tcBorders>
              <w:top w:val="nil"/>
              <w:left w:val="nil"/>
              <w:bottom w:val="nil"/>
            </w:tcBorders>
            <w:shd w:val="clear" w:color="auto" w:fill="231F20"/>
          </w:tcPr>
          <w:p w:rsidR="006A7A3F" w:rsidRDefault="00BC7372">
            <w:pPr>
              <w:pStyle w:val="TableParagraph"/>
              <w:spacing w:before="80" w:line="254" w:lineRule="auto"/>
              <w:ind w:left="90" w:right="225"/>
              <w:rPr>
                <w:b/>
                <w:sz w:val="18"/>
              </w:rPr>
            </w:pPr>
            <w:r>
              <w:rPr>
                <w:b/>
                <w:color w:val="FFFFFF"/>
                <w:sz w:val="18"/>
              </w:rPr>
              <w:t>Potential environmental watering action</w:t>
            </w:r>
          </w:p>
        </w:tc>
        <w:tc>
          <w:tcPr>
            <w:tcW w:w="6236" w:type="dxa"/>
            <w:tcBorders>
              <w:top w:val="nil"/>
              <w:bottom w:val="nil"/>
            </w:tcBorders>
            <w:shd w:val="clear" w:color="auto" w:fill="231F20"/>
          </w:tcPr>
          <w:p w:rsidR="006A7A3F" w:rsidRDefault="00BC7372">
            <w:pPr>
              <w:pStyle w:val="TableParagraph"/>
              <w:spacing w:before="80"/>
              <w:ind w:left="85"/>
              <w:rPr>
                <w:b/>
                <w:sz w:val="18"/>
              </w:rPr>
            </w:pPr>
            <w:r>
              <w:rPr>
                <w:b/>
                <w:color w:val="FFFFFF"/>
                <w:sz w:val="18"/>
              </w:rPr>
              <w:t>Functional watering objectives</w:t>
            </w:r>
          </w:p>
        </w:tc>
        <w:tc>
          <w:tcPr>
            <w:tcW w:w="1558" w:type="dxa"/>
            <w:gridSpan w:val="3"/>
            <w:tcBorders>
              <w:top w:val="nil"/>
              <w:bottom w:val="nil"/>
            </w:tcBorders>
            <w:shd w:val="clear" w:color="auto" w:fill="231F20"/>
          </w:tcPr>
          <w:p w:rsidR="006A7A3F" w:rsidRDefault="00BC7372">
            <w:pPr>
              <w:pStyle w:val="TableParagraph"/>
              <w:spacing w:before="80" w:line="254" w:lineRule="auto"/>
              <w:ind w:left="85" w:right="192"/>
              <w:rPr>
                <w:b/>
                <w:sz w:val="18"/>
              </w:rPr>
            </w:pPr>
            <w:r>
              <w:rPr>
                <w:b/>
                <w:color w:val="FFFFFF"/>
                <w:sz w:val="18"/>
              </w:rPr>
              <w:t>Environmental objectives</w:t>
            </w:r>
          </w:p>
        </w:tc>
      </w:tr>
      <w:tr w:rsidR="006A7A3F" w:rsidTr="0007201C">
        <w:trPr>
          <w:trHeight w:val="620"/>
        </w:trPr>
        <w:tc>
          <w:tcPr>
            <w:tcW w:w="2381" w:type="dxa"/>
            <w:vMerge w:val="restart"/>
            <w:tcBorders>
              <w:top w:val="nil"/>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16"/>
              <w:rPr>
                <w:sz w:val="16"/>
              </w:rPr>
            </w:pPr>
            <w:r>
              <w:rPr>
                <w:color w:val="231F20"/>
                <w:sz w:val="16"/>
              </w:rPr>
              <w:t>Lake Meran (top-ups as required to maintain water level between 77.30 and 77.80m AHD)</w:t>
            </w:r>
          </w:p>
        </w:tc>
        <w:tc>
          <w:tcPr>
            <w:tcW w:w="6236" w:type="dxa"/>
            <w:vMerge w:val="restart"/>
            <w:tcBorders>
              <w:top w:val="nil"/>
              <w:left w:val="single" w:sz="4" w:space="0" w:color="231F20"/>
              <w:bottom w:val="single" w:sz="4" w:space="0" w:color="231F20"/>
              <w:right w:val="single" w:sz="4" w:space="0" w:color="231F20"/>
            </w:tcBorders>
          </w:tcPr>
          <w:p w:rsidR="006A7A3F" w:rsidRPr="0007201C" w:rsidRDefault="00BC7372">
            <w:pPr>
              <w:pStyle w:val="TableParagraph"/>
              <w:numPr>
                <w:ilvl w:val="0"/>
                <w:numId w:val="37"/>
              </w:numPr>
              <w:tabs>
                <w:tab w:val="left" w:pos="306"/>
              </w:tabs>
              <w:spacing w:before="70" w:line="254" w:lineRule="auto"/>
              <w:ind w:right="86"/>
              <w:rPr>
                <w:sz w:val="16"/>
                <w:szCs w:val="16"/>
              </w:rPr>
            </w:pPr>
            <w:r w:rsidRPr="0007201C">
              <w:rPr>
                <w:color w:val="231F20"/>
                <w:sz w:val="16"/>
                <w:szCs w:val="16"/>
              </w:rPr>
              <w:t>Increase the water depth to maintain an appropriate water temperature for aquatic animals and provide a refuge for freshwater turtles, waterbirds and</w:t>
            </w:r>
            <w:r w:rsidRPr="0007201C">
              <w:rPr>
                <w:color w:val="231F20"/>
                <w:spacing w:val="-2"/>
                <w:sz w:val="16"/>
                <w:szCs w:val="16"/>
              </w:rPr>
              <w:t xml:space="preserve"> </w:t>
            </w:r>
            <w:r w:rsidRPr="0007201C">
              <w:rPr>
                <w:color w:val="231F20"/>
                <w:sz w:val="16"/>
                <w:szCs w:val="16"/>
              </w:rPr>
              <w:t>fish</w:t>
            </w:r>
          </w:p>
          <w:p w:rsidR="006A7A3F" w:rsidRPr="0007201C" w:rsidRDefault="00BC7372">
            <w:pPr>
              <w:pStyle w:val="TableParagraph"/>
              <w:numPr>
                <w:ilvl w:val="0"/>
                <w:numId w:val="37"/>
              </w:numPr>
              <w:tabs>
                <w:tab w:val="left" w:pos="306"/>
              </w:tabs>
              <w:spacing w:before="87" w:line="254" w:lineRule="auto"/>
              <w:ind w:right="486"/>
              <w:rPr>
                <w:sz w:val="16"/>
                <w:szCs w:val="16"/>
              </w:rPr>
            </w:pPr>
            <w:r w:rsidRPr="0007201C">
              <w:rPr>
                <w:color w:val="231F20"/>
                <w:sz w:val="16"/>
                <w:szCs w:val="16"/>
              </w:rPr>
              <w:t>Provide dry areas (above 77.8 m AHD) to promote the growth and increase the extent of herbland vegetation around the wetland</w:t>
            </w:r>
            <w:r w:rsidRPr="0007201C">
              <w:rPr>
                <w:color w:val="231F20"/>
                <w:spacing w:val="-35"/>
                <w:sz w:val="16"/>
                <w:szCs w:val="16"/>
              </w:rPr>
              <w:t xml:space="preserve"> </w:t>
            </w:r>
            <w:r w:rsidRPr="0007201C">
              <w:rPr>
                <w:color w:val="231F20"/>
                <w:sz w:val="16"/>
                <w:szCs w:val="16"/>
              </w:rPr>
              <w:t>fringe</w:t>
            </w:r>
          </w:p>
          <w:p w:rsidR="006A7A3F" w:rsidRDefault="00BC7372">
            <w:pPr>
              <w:pStyle w:val="TableParagraph"/>
              <w:numPr>
                <w:ilvl w:val="0"/>
                <w:numId w:val="37"/>
              </w:numPr>
              <w:tabs>
                <w:tab w:val="left" w:pos="306"/>
              </w:tabs>
              <w:spacing w:before="86" w:line="254" w:lineRule="auto"/>
              <w:ind w:right="437"/>
              <w:rPr>
                <w:sz w:val="18"/>
              </w:rPr>
            </w:pPr>
            <w:r w:rsidRPr="0007201C">
              <w:rPr>
                <w:color w:val="231F20"/>
                <w:spacing w:val="-4"/>
                <w:sz w:val="16"/>
                <w:szCs w:val="16"/>
              </w:rPr>
              <w:t xml:space="preserve">Top-ups </w:t>
            </w:r>
            <w:r w:rsidRPr="0007201C">
              <w:rPr>
                <w:color w:val="231F20"/>
                <w:sz w:val="16"/>
                <w:szCs w:val="16"/>
              </w:rPr>
              <w:t xml:space="preserve">will most likely be required in late </w:t>
            </w:r>
            <w:r w:rsidRPr="0007201C">
              <w:rPr>
                <w:color w:val="231F20"/>
                <w:spacing w:val="-3"/>
                <w:sz w:val="16"/>
                <w:szCs w:val="16"/>
              </w:rPr>
              <w:t xml:space="preserve">winter, </w:t>
            </w:r>
            <w:r w:rsidRPr="0007201C">
              <w:rPr>
                <w:color w:val="231F20"/>
                <w:sz w:val="16"/>
                <w:szCs w:val="16"/>
              </w:rPr>
              <w:t>spring and autumn, but may be delivered year-round to maintain minimum water depth requirements for aquatic</w:t>
            </w:r>
            <w:r w:rsidRPr="0007201C">
              <w:rPr>
                <w:color w:val="231F20"/>
                <w:spacing w:val="-2"/>
                <w:sz w:val="16"/>
                <w:szCs w:val="16"/>
              </w:rPr>
              <w:t xml:space="preserve"> </w:t>
            </w:r>
            <w:r w:rsidRPr="0007201C">
              <w:rPr>
                <w:color w:val="231F20"/>
                <w:sz w:val="16"/>
                <w:szCs w:val="16"/>
              </w:rPr>
              <w:t>animals</w:t>
            </w:r>
          </w:p>
        </w:tc>
        <w:tc>
          <w:tcPr>
            <w:tcW w:w="850" w:type="dxa"/>
            <w:gridSpan w:val="2"/>
            <w:tcBorders>
              <w:top w:val="nil"/>
              <w:left w:val="single" w:sz="4" w:space="0" w:color="231F20"/>
              <w:bottom w:val="nil"/>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68" cy="310895"/>
                  <wp:effectExtent l="0" t="0" r="0" b="0"/>
                  <wp:docPr id="2517"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image19.jpeg"/>
                          <pic:cNvPicPr/>
                        </pic:nvPicPr>
                        <pic:blipFill>
                          <a:blip r:embed="rId31" cstate="print"/>
                          <a:stretch>
                            <a:fillRect/>
                          </a:stretch>
                        </pic:blipFill>
                        <pic:spPr>
                          <a:xfrm>
                            <a:off x="0" y="0"/>
                            <a:ext cx="314168" cy="310895"/>
                          </a:xfrm>
                          <a:prstGeom prst="rect">
                            <a:avLst/>
                          </a:prstGeom>
                        </pic:spPr>
                      </pic:pic>
                    </a:graphicData>
                  </a:graphic>
                </wp:inline>
              </w:drawing>
            </w:r>
          </w:p>
        </w:tc>
        <w:tc>
          <w:tcPr>
            <w:tcW w:w="708" w:type="dxa"/>
            <w:tcBorders>
              <w:top w:val="nil"/>
              <w:left w:val="nil"/>
              <w:bottom w:val="nil"/>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8" cy="310895"/>
                  <wp:effectExtent l="0" t="0" r="0" b="0"/>
                  <wp:docPr id="2519" name="image26.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image26.jpeg"/>
                          <pic:cNvPicPr/>
                        </pic:nvPicPr>
                        <pic:blipFill>
                          <a:blip r:embed="rId38" cstate="print"/>
                          <a:stretch>
                            <a:fillRect/>
                          </a:stretch>
                        </pic:blipFill>
                        <pic:spPr>
                          <a:xfrm>
                            <a:off x="0" y="0"/>
                            <a:ext cx="314168" cy="310895"/>
                          </a:xfrm>
                          <a:prstGeom prst="rect">
                            <a:avLst/>
                          </a:prstGeom>
                        </pic:spPr>
                      </pic:pic>
                    </a:graphicData>
                  </a:graphic>
                </wp:inline>
              </w:drawing>
            </w:r>
          </w:p>
        </w:tc>
      </w:tr>
      <w:tr w:rsidR="006A7A3F" w:rsidTr="0007201C">
        <w:trPr>
          <w:trHeight w:val="1170"/>
        </w:trPr>
        <w:tc>
          <w:tcPr>
            <w:tcW w:w="2381"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6236" w:type="dxa"/>
            <w:vMerge/>
            <w:tcBorders>
              <w:top w:val="nil"/>
              <w:left w:val="single" w:sz="4" w:space="0" w:color="231F20"/>
              <w:bottom w:val="single" w:sz="4" w:space="0" w:color="231F20"/>
              <w:right w:val="single" w:sz="4" w:space="0" w:color="231F20"/>
            </w:tcBorders>
          </w:tcPr>
          <w:p w:rsidR="006A7A3F" w:rsidRDefault="006A7A3F">
            <w:pPr>
              <w:rPr>
                <w:sz w:val="2"/>
                <w:szCs w:val="2"/>
              </w:rPr>
            </w:pPr>
          </w:p>
        </w:tc>
        <w:tc>
          <w:tcPr>
            <w:tcW w:w="850" w:type="dxa"/>
            <w:gridSpan w:val="2"/>
            <w:tcBorders>
              <w:top w:val="nil"/>
              <w:left w:val="single" w:sz="4" w:space="0" w:color="231F20"/>
              <w:bottom w:val="single" w:sz="4" w:space="0" w:color="231F20"/>
              <w:right w:val="nil"/>
            </w:tcBorders>
          </w:tcPr>
          <w:p w:rsidR="006A7A3F" w:rsidRDefault="006A7A3F">
            <w:pPr>
              <w:pStyle w:val="TableParagraph"/>
              <w:spacing w:before="1"/>
              <w:ind w:left="0"/>
              <w:rPr>
                <w:b/>
                <w:sz w:val="2"/>
              </w:rPr>
            </w:pPr>
          </w:p>
          <w:p w:rsidR="006A7A3F" w:rsidRDefault="00BC7372">
            <w:pPr>
              <w:pStyle w:val="TableParagraph"/>
              <w:ind w:left="315" w:right="-15"/>
              <w:rPr>
                <w:sz w:val="20"/>
              </w:rPr>
            </w:pPr>
            <w:r>
              <w:rPr>
                <w:noProof/>
                <w:sz w:val="20"/>
              </w:rPr>
              <w:drawing>
                <wp:inline distT="0" distB="0" distL="0" distR="0">
                  <wp:extent cx="314177" cy="310895"/>
                  <wp:effectExtent l="0" t="0" r="0" b="0"/>
                  <wp:docPr id="252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 name="image21.jpeg"/>
                          <pic:cNvPicPr/>
                        </pic:nvPicPr>
                        <pic:blipFill>
                          <a:blip r:embed="rId33" cstate="print"/>
                          <a:stretch>
                            <a:fillRect/>
                          </a:stretch>
                        </pic:blipFill>
                        <pic:spPr>
                          <a:xfrm>
                            <a:off x="0" y="0"/>
                            <a:ext cx="314177" cy="310895"/>
                          </a:xfrm>
                          <a:prstGeom prst="rect">
                            <a:avLst/>
                          </a:prstGeom>
                        </pic:spPr>
                      </pic:pic>
                    </a:graphicData>
                  </a:graphic>
                </wp:inline>
              </w:drawing>
            </w:r>
          </w:p>
        </w:tc>
        <w:tc>
          <w:tcPr>
            <w:tcW w:w="708" w:type="dxa"/>
            <w:tcBorders>
              <w:top w:val="nil"/>
              <w:left w:val="nil"/>
              <w:bottom w:val="single" w:sz="4" w:space="0" w:color="231F20"/>
              <w:right w:val="single" w:sz="4" w:space="0" w:color="231F20"/>
            </w:tcBorders>
          </w:tcPr>
          <w:p w:rsidR="006A7A3F" w:rsidRDefault="006A7A3F">
            <w:pPr>
              <w:pStyle w:val="TableParagraph"/>
              <w:spacing w:before="1"/>
              <w:ind w:left="0"/>
              <w:rPr>
                <w:b/>
                <w:sz w:val="2"/>
              </w:rPr>
            </w:pPr>
          </w:p>
          <w:p w:rsidR="006A7A3F" w:rsidRDefault="00BC7372">
            <w:pPr>
              <w:pStyle w:val="TableParagraph"/>
              <w:ind w:left="48"/>
              <w:rPr>
                <w:sz w:val="20"/>
              </w:rPr>
            </w:pPr>
            <w:r>
              <w:rPr>
                <w:noProof/>
                <w:sz w:val="20"/>
              </w:rPr>
              <w:drawing>
                <wp:inline distT="0" distB="0" distL="0" distR="0">
                  <wp:extent cx="314164" cy="310895"/>
                  <wp:effectExtent l="0" t="0" r="0" b="0"/>
                  <wp:docPr id="252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 name="image27.jpeg"/>
                          <pic:cNvPicPr/>
                        </pic:nvPicPr>
                        <pic:blipFill>
                          <a:blip r:embed="rId39" cstate="print"/>
                          <a:stretch>
                            <a:fillRect/>
                          </a:stretch>
                        </pic:blipFill>
                        <pic:spPr>
                          <a:xfrm>
                            <a:off x="0" y="0"/>
                            <a:ext cx="314164" cy="310895"/>
                          </a:xfrm>
                          <a:prstGeom prst="rect">
                            <a:avLst/>
                          </a:prstGeom>
                        </pic:spPr>
                      </pic:pic>
                    </a:graphicData>
                  </a:graphic>
                </wp:inline>
              </w:drawing>
            </w:r>
          </w:p>
        </w:tc>
      </w:tr>
      <w:tr w:rsidR="006A7A3F" w:rsidTr="0007201C">
        <w:trPr>
          <w:trHeight w:val="1092"/>
        </w:trPr>
        <w:tc>
          <w:tcPr>
            <w:tcW w:w="238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02"/>
              <w:rPr>
                <w:sz w:val="16"/>
              </w:rPr>
            </w:pPr>
            <w:r>
              <w:rPr>
                <w:color w:val="231F20"/>
                <w:sz w:val="16"/>
              </w:rPr>
              <w:t>Lake Meran (fill, if required in response to natural flooding)</w:t>
            </w:r>
          </w:p>
        </w:tc>
        <w:tc>
          <w:tcPr>
            <w:tcW w:w="6236" w:type="dxa"/>
            <w:tcBorders>
              <w:top w:val="single" w:sz="4" w:space="0" w:color="231F20"/>
              <w:left w:val="single" w:sz="4" w:space="0" w:color="231F20"/>
              <w:bottom w:val="single" w:sz="4" w:space="0" w:color="231F20"/>
              <w:right w:val="single" w:sz="4" w:space="0" w:color="231F20"/>
            </w:tcBorders>
          </w:tcPr>
          <w:p w:rsidR="006A7A3F" w:rsidRPr="0007201C" w:rsidRDefault="00BC7372">
            <w:pPr>
              <w:pStyle w:val="TableParagraph"/>
              <w:numPr>
                <w:ilvl w:val="0"/>
                <w:numId w:val="36"/>
              </w:numPr>
              <w:tabs>
                <w:tab w:val="left" w:pos="306"/>
              </w:tabs>
              <w:spacing w:before="70" w:line="254" w:lineRule="auto"/>
              <w:ind w:right="436"/>
              <w:rPr>
                <w:sz w:val="16"/>
                <w:szCs w:val="16"/>
              </w:rPr>
            </w:pPr>
            <w:r w:rsidRPr="0007201C">
              <w:rPr>
                <w:color w:val="231F20"/>
                <w:sz w:val="16"/>
                <w:szCs w:val="16"/>
              </w:rPr>
              <w:t>Provide moisture to maintain mature trees in the intermittent swampy woodland on the wetland</w:t>
            </w:r>
            <w:r w:rsidRPr="0007201C">
              <w:rPr>
                <w:color w:val="231F20"/>
                <w:spacing w:val="-4"/>
                <w:sz w:val="16"/>
                <w:szCs w:val="16"/>
              </w:rPr>
              <w:t xml:space="preserve"> </w:t>
            </w:r>
            <w:r w:rsidRPr="0007201C">
              <w:rPr>
                <w:color w:val="231F20"/>
                <w:sz w:val="16"/>
                <w:szCs w:val="16"/>
              </w:rPr>
              <w:t>fringe</w:t>
            </w:r>
          </w:p>
          <w:p w:rsidR="006A7A3F" w:rsidRDefault="00BC7372">
            <w:pPr>
              <w:pStyle w:val="TableParagraph"/>
              <w:numPr>
                <w:ilvl w:val="0"/>
                <w:numId w:val="36"/>
              </w:numPr>
              <w:tabs>
                <w:tab w:val="left" w:pos="306"/>
              </w:tabs>
              <w:spacing w:before="87" w:line="254" w:lineRule="auto"/>
              <w:ind w:right="224"/>
              <w:rPr>
                <w:sz w:val="18"/>
              </w:rPr>
            </w:pPr>
            <w:r w:rsidRPr="0007201C">
              <w:rPr>
                <w:color w:val="231F20"/>
                <w:sz w:val="16"/>
                <w:szCs w:val="16"/>
              </w:rPr>
              <w:t>Provide deep, open water to support the feeding of deep-water foraging waterbirds and support breeding of colonial nesting</w:t>
            </w:r>
            <w:r w:rsidRPr="0007201C">
              <w:rPr>
                <w:color w:val="231F20"/>
                <w:spacing w:val="-12"/>
                <w:sz w:val="16"/>
                <w:szCs w:val="16"/>
              </w:rPr>
              <w:t xml:space="preserve"> </w:t>
            </w:r>
            <w:r w:rsidRPr="0007201C">
              <w:rPr>
                <w:color w:val="231F20"/>
                <w:sz w:val="16"/>
                <w:szCs w:val="16"/>
              </w:rPr>
              <w:t>birds</w:t>
            </w:r>
          </w:p>
        </w:tc>
        <w:tc>
          <w:tcPr>
            <w:tcW w:w="850" w:type="dxa"/>
            <w:gridSpan w:val="2"/>
            <w:tcBorders>
              <w:top w:val="single" w:sz="4" w:space="0" w:color="231F20"/>
              <w:left w:val="single" w:sz="4" w:space="0" w:color="231F20"/>
              <w:bottom w:val="single" w:sz="4" w:space="0" w:color="231F20"/>
              <w:right w:val="nil"/>
            </w:tcBorders>
          </w:tcPr>
          <w:p w:rsidR="006A7A3F" w:rsidRDefault="006A7A3F">
            <w:pPr>
              <w:pStyle w:val="TableParagraph"/>
              <w:spacing w:before="4" w:after="1"/>
              <w:ind w:left="0"/>
              <w:rPr>
                <w:b/>
                <w:sz w:val="9"/>
              </w:rPr>
            </w:pPr>
          </w:p>
          <w:p w:rsidR="006A7A3F" w:rsidRDefault="00BC7372">
            <w:pPr>
              <w:pStyle w:val="TableParagraph"/>
              <w:ind w:left="315" w:right="-15"/>
              <w:rPr>
                <w:sz w:val="20"/>
              </w:rPr>
            </w:pPr>
            <w:r>
              <w:rPr>
                <w:noProof/>
                <w:sz w:val="20"/>
              </w:rPr>
              <w:drawing>
                <wp:inline distT="0" distB="0" distL="0" distR="0">
                  <wp:extent cx="314177" cy="310896"/>
                  <wp:effectExtent l="0" t="0" r="0" b="0"/>
                  <wp:docPr id="2525"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image21.jpeg"/>
                          <pic:cNvPicPr/>
                        </pic:nvPicPr>
                        <pic:blipFill>
                          <a:blip r:embed="rId33" cstate="print"/>
                          <a:stretch>
                            <a:fillRect/>
                          </a:stretch>
                        </pic:blipFill>
                        <pic:spPr>
                          <a:xfrm>
                            <a:off x="0" y="0"/>
                            <a:ext cx="314177" cy="310896"/>
                          </a:xfrm>
                          <a:prstGeom prst="rect">
                            <a:avLst/>
                          </a:prstGeom>
                        </pic:spPr>
                      </pic:pic>
                    </a:graphicData>
                  </a:graphic>
                </wp:inline>
              </w:drawing>
            </w:r>
          </w:p>
        </w:tc>
        <w:tc>
          <w:tcPr>
            <w:tcW w:w="708" w:type="dxa"/>
            <w:tcBorders>
              <w:top w:val="single" w:sz="4" w:space="0" w:color="231F20"/>
              <w:left w:val="nil"/>
              <w:bottom w:val="single" w:sz="4" w:space="0" w:color="231F20"/>
              <w:right w:val="single" w:sz="4" w:space="0" w:color="231F20"/>
            </w:tcBorders>
          </w:tcPr>
          <w:p w:rsidR="006A7A3F" w:rsidRDefault="006A7A3F">
            <w:pPr>
              <w:pStyle w:val="TableParagraph"/>
              <w:spacing w:before="4" w:after="1"/>
              <w:ind w:left="0"/>
              <w:rPr>
                <w:b/>
                <w:sz w:val="9"/>
              </w:rPr>
            </w:pPr>
          </w:p>
          <w:p w:rsidR="006A7A3F" w:rsidRDefault="00BC7372">
            <w:pPr>
              <w:pStyle w:val="TableParagraph"/>
              <w:ind w:left="48"/>
              <w:rPr>
                <w:sz w:val="20"/>
              </w:rPr>
            </w:pPr>
            <w:r>
              <w:rPr>
                <w:noProof/>
                <w:sz w:val="20"/>
              </w:rPr>
              <w:drawing>
                <wp:inline distT="0" distB="0" distL="0" distR="0">
                  <wp:extent cx="314164" cy="310896"/>
                  <wp:effectExtent l="0" t="0" r="0" b="0"/>
                  <wp:docPr id="2527"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image27.jpeg"/>
                          <pic:cNvPicPr/>
                        </pic:nvPicPr>
                        <pic:blipFill>
                          <a:blip r:embed="rId39" cstate="print"/>
                          <a:stretch>
                            <a:fillRect/>
                          </a:stretch>
                        </pic:blipFill>
                        <pic:spPr>
                          <a:xfrm>
                            <a:off x="0" y="0"/>
                            <a:ext cx="314164" cy="310896"/>
                          </a:xfrm>
                          <a:prstGeom prst="rect">
                            <a:avLst/>
                          </a:prstGeom>
                        </pic:spPr>
                      </pic:pic>
                    </a:graphicData>
                  </a:graphic>
                </wp:inline>
              </w:drawing>
            </w:r>
          </w:p>
        </w:tc>
      </w:tr>
      <w:tr w:rsidR="0007201C" w:rsidTr="0007201C">
        <w:trPr>
          <w:trHeight w:val="624"/>
        </w:trPr>
        <w:tc>
          <w:tcPr>
            <w:tcW w:w="2381" w:type="dxa"/>
            <w:vMerge w:val="restart"/>
            <w:tcBorders>
              <w:top w:val="single" w:sz="4" w:space="0" w:color="231F20"/>
              <w:left w:val="single" w:sz="4" w:space="0" w:color="231F20"/>
              <w:right w:val="single" w:sz="4" w:space="0" w:color="231F20"/>
            </w:tcBorders>
          </w:tcPr>
          <w:p w:rsidR="0007201C" w:rsidRDefault="0007201C" w:rsidP="0007201C">
            <w:pPr>
              <w:pStyle w:val="TableParagraph"/>
              <w:spacing w:before="67" w:line="261" w:lineRule="auto"/>
              <w:ind w:left="85"/>
              <w:rPr>
                <w:sz w:val="16"/>
              </w:rPr>
            </w:pPr>
            <w:r>
              <w:rPr>
                <w:color w:val="231F20"/>
                <w:sz w:val="16"/>
              </w:rPr>
              <w:t>Lake Yando (fill in late winter/ spring)</w:t>
            </w:r>
          </w:p>
        </w:tc>
        <w:tc>
          <w:tcPr>
            <w:tcW w:w="6236" w:type="dxa"/>
            <w:vMerge w:val="restart"/>
            <w:tcBorders>
              <w:top w:val="single" w:sz="4" w:space="0" w:color="231F20"/>
              <w:left w:val="single" w:sz="4" w:space="0" w:color="231F20"/>
              <w:right w:val="single" w:sz="4" w:space="0" w:color="231F20"/>
            </w:tcBorders>
          </w:tcPr>
          <w:p w:rsidR="0007201C" w:rsidRPr="0007201C" w:rsidRDefault="0007201C" w:rsidP="0007201C">
            <w:pPr>
              <w:pStyle w:val="TableParagraph"/>
              <w:numPr>
                <w:ilvl w:val="0"/>
                <w:numId w:val="35"/>
              </w:numPr>
              <w:tabs>
                <w:tab w:val="left" w:pos="306"/>
              </w:tabs>
              <w:spacing w:before="63" w:line="254" w:lineRule="auto"/>
              <w:ind w:right="429"/>
              <w:rPr>
                <w:sz w:val="16"/>
                <w:szCs w:val="16"/>
              </w:rPr>
            </w:pPr>
            <w:r w:rsidRPr="0007201C">
              <w:rPr>
                <w:color w:val="231F20"/>
                <w:sz w:val="16"/>
                <w:szCs w:val="16"/>
              </w:rPr>
              <w:t>Wet the wetland fringe to promote the germination and recruitment</w:t>
            </w:r>
            <w:r w:rsidRPr="0007201C">
              <w:rPr>
                <w:color w:val="231F20"/>
                <w:spacing w:val="-34"/>
                <w:sz w:val="16"/>
                <w:szCs w:val="16"/>
              </w:rPr>
              <w:t xml:space="preserve"> </w:t>
            </w:r>
            <w:r w:rsidRPr="0007201C">
              <w:rPr>
                <w:color w:val="231F20"/>
                <w:sz w:val="16"/>
                <w:szCs w:val="16"/>
              </w:rPr>
              <w:t>of river red gums and maintain the existing mature</w:t>
            </w:r>
            <w:r w:rsidRPr="0007201C">
              <w:rPr>
                <w:color w:val="231F20"/>
                <w:spacing w:val="-6"/>
                <w:sz w:val="16"/>
                <w:szCs w:val="16"/>
              </w:rPr>
              <w:t xml:space="preserve"> </w:t>
            </w:r>
            <w:r w:rsidRPr="0007201C">
              <w:rPr>
                <w:color w:val="231F20"/>
                <w:sz w:val="16"/>
                <w:szCs w:val="16"/>
              </w:rPr>
              <w:t>trees</w:t>
            </w:r>
          </w:p>
          <w:p w:rsidR="0007201C" w:rsidRPr="0007201C" w:rsidRDefault="0007201C" w:rsidP="0007201C">
            <w:pPr>
              <w:pStyle w:val="TableParagraph"/>
              <w:numPr>
                <w:ilvl w:val="0"/>
                <w:numId w:val="35"/>
              </w:numPr>
              <w:tabs>
                <w:tab w:val="left" w:pos="306"/>
              </w:tabs>
              <w:spacing w:before="86"/>
              <w:ind w:hanging="218"/>
              <w:rPr>
                <w:sz w:val="16"/>
                <w:szCs w:val="16"/>
              </w:rPr>
            </w:pPr>
            <w:r w:rsidRPr="0007201C">
              <w:rPr>
                <w:color w:val="231F20"/>
                <w:sz w:val="16"/>
                <w:szCs w:val="16"/>
              </w:rPr>
              <w:t>Support the growth of aquatic and semi-aquatic</w:t>
            </w:r>
            <w:r w:rsidRPr="0007201C">
              <w:rPr>
                <w:color w:val="231F20"/>
                <w:spacing w:val="-8"/>
                <w:sz w:val="16"/>
                <w:szCs w:val="16"/>
              </w:rPr>
              <w:t xml:space="preserve"> </w:t>
            </w:r>
            <w:r w:rsidRPr="0007201C">
              <w:rPr>
                <w:color w:val="231F20"/>
                <w:sz w:val="16"/>
                <w:szCs w:val="16"/>
              </w:rPr>
              <w:t>plants</w:t>
            </w:r>
          </w:p>
          <w:p w:rsidR="0007201C" w:rsidRPr="0007201C" w:rsidRDefault="0007201C" w:rsidP="0007201C">
            <w:pPr>
              <w:pStyle w:val="TableParagraph"/>
              <w:numPr>
                <w:ilvl w:val="0"/>
                <w:numId w:val="35"/>
              </w:numPr>
              <w:tabs>
                <w:tab w:val="left" w:pos="306"/>
              </w:tabs>
              <w:spacing w:before="98"/>
              <w:ind w:hanging="218"/>
              <w:rPr>
                <w:sz w:val="16"/>
                <w:szCs w:val="16"/>
              </w:rPr>
            </w:pPr>
            <w:r w:rsidRPr="0007201C">
              <w:rPr>
                <w:color w:val="231F20"/>
                <w:sz w:val="16"/>
                <w:szCs w:val="16"/>
              </w:rPr>
              <w:t>Provide habitat and food resources for aquatic</w:t>
            </w:r>
            <w:r w:rsidRPr="0007201C">
              <w:rPr>
                <w:color w:val="231F20"/>
                <w:spacing w:val="-7"/>
                <w:sz w:val="16"/>
                <w:szCs w:val="16"/>
              </w:rPr>
              <w:t xml:space="preserve"> </w:t>
            </w:r>
            <w:r w:rsidRPr="0007201C">
              <w:rPr>
                <w:color w:val="231F20"/>
                <w:sz w:val="16"/>
                <w:szCs w:val="16"/>
              </w:rPr>
              <w:t>animals</w:t>
            </w:r>
          </w:p>
          <w:p w:rsidR="0007201C" w:rsidRDefault="0007201C" w:rsidP="0007201C">
            <w:pPr>
              <w:pStyle w:val="TableParagraph"/>
              <w:numPr>
                <w:ilvl w:val="0"/>
                <w:numId w:val="35"/>
              </w:numPr>
              <w:tabs>
                <w:tab w:val="left" w:pos="306"/>
              </w:tabs>
              <w:spacing w:before="98" w:line="254" w:lineRule="auto"/>
              <w:ind w:right="766"/>
              <w:rPr>
                <w:sz w:val="18"/>
              </w:rPr>
            </w:pPr>
            <w:r w:rsidRPr="0007201C">
              <w:rPr>
                <w:color w:val="231F20"/>
                <w:sz w:val="16"/>
                <w:szCs w:val="16"/>
              </w:rPr>
              <w:t>Grow zooplankton and waterbug communities to provide food for waterbirds and</w:t>
            </w:r>
            <w:r w:rsidRPr="0007201C">
              <w:rPr>
                <w:color w:val="231F20"/>
                <w:spacing w:val="-3"/>
                <w:sz w:val="16"/>
                <w:szCs w:val="16"/>
              </w:rPr>
              <w:t xml:space="preserve"> </w:t>
            </w:r>
            <w:r w:rsidRPr="0007201C">
              <w:rPr>
                <w:color w:val="231F20"/>
                <w:sz w:val="16"/>
                <w:szCs w:val="16"/>
              </w:rPr>
              <w:t>frogs</w:t>
            </w:r>
          </w:p>
        </w:tc>
        <w:tc>
          <w:tcPr>
            <w:tcW w:w="779" w:type="dxa"/>
            <w:tcBorders>
              <w:top w:val="single" w:sz="4" w:space="0" w:color="231F20"/>
              <w:left w:val="single" w:sz="4" w:space="0" w:color="231F20"/>
              <w:bottom w:val="nil"/>
              <w:right w:val="nil"/>
            </w:tcBorders>
          </w:tcPr>
          <w:p w:rsidR="0007201C" w:rsidRDefault="0007201C" w:rsidP="0007201C">
            <w:pPr>
              <w:pStyle w:val="TableParagraph"/>
              <w:spacing w:before="9"/>
              <w:ind w:left="0"/>
              <w:rPr>
                <w:b/>
                <w:sz w:val="8"/>
              </w:rPr>
            </w:pPr>
          </w:p>
          <w:p w:rsidR="0007201C" w:rsidRDefault="0007201C" w:rsidP="0007201C">
            <w:pPr>
              <w:pStyle w:val="TableParagraph"/>
              <w:ind w:left="0" w:right="-15"/>
              <w:jc w:val="both"/>
              <w:rPr>
                <w:sz w:val="20"/>
              </w:rPr>
            </w:pPr>
            <w:r>
              <w:rPr>
                <w:sz w:val="20"/>
              </w:rPr>
              <w:t xml:space="preserve">    </w:t>
            </w:r>
            <w:r>
              <w:rPr>
                <w:noProof/>
                <w:sz w:val="20"/>
              </w:rPr>
              <w:drawing>
                <wp:inline distT="0" distB="0" distL="0" distR="0" wp14:anchorId="6235586B" wp14:editId="338DDCA9">
                  <wp:extent cx="314168" cy="310896"/>
                  <wp:effectExtent l="0" t="0" r="0" b="0"/>
                  <wp:docPr id="2529"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79" w:type="dxa"/>
            <w:gridSpan w:val="2"/>
            <w:tcBorders>
              <w:top w:val="single" w:sz="4" w:space="0" w:color="231F20"/>
              <w:left w:val="nil"/>
              <w:bottom w:val="nil"/>
              <w:right w:val="single" w:sz="4" w:space="0" w:color="231F20"/>
            </w:tcBorders>
          </w:tcPr>
          <w:p w:rsidR="0007201C" w:rsidRDefault="0007201C" w:rsidP="0007201C">
            <w:pPr>
              <w:pStyle w:val="TableParagraph"/>
              <w:spacing w:before="9"/>
              <w:ind w:left="0"/>
              <w:rPr>
                <w:b/>
                <w:sz w:val="8"/>
              </w:rPr>
            </w:pPr>
          </w:p>
          <w:p w:rsidR="0007201C" w:rsidRDefault="0007201C" w:rsidP="0007201C">
            <w:pPr>
              <w:pStyle w:val="TableParagraph"/>
              <w:ind w:left="48"/>
              <w:rPr>
                <w:sz w:val="20"/>
              </w:rPr>
            </w:pPr>
            <w:r>
              <w:rPr>
                <w:noProof/>
                <w:sz w:val="20"/>
              </w:rPr>
              <w:drawing>
                <wp:inline distT="0" distB="0" distL="0" distR="0" wp14:anchorId="6457066D" wp14:editId="799E64ED">
                  <wp:extent cx="314168" cy="310896"/>
                  <wp:effectExtent l="0" t="0" r="0" b="0"/>
                  <wp:docPr id="2531"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07201C" w:rsidTr="0007201C">
        <w:trPr>
          <w:trHeight w:val="624"/>
        </w:trPr>
        <w:tc>
          <w:tcPr>
            <w:tcW w:w="2381" w:type="dxa"/>
            <w:vMerge/>
            <w:tcBorders>
              <w:left w:val="single" w:sz="4" w:space="0" w:color="231F20"/>
              <w:bottom w:val="single" w:sz="4" w:space="0" w:color="231F20"/>
              <w:right w:val="single" w:sz="4" w:space="0" w:color="231F20"/>
            </w:tcBorders>
          </w:tcPr>
          <w:p w:rsidR="0007201C" w:rsidRDefault="0007201C" w:rsidP="0007201C">
            <w:pPr>
              <w:pStyle w:val="TableParagraph"/>
              <w:spacing w:before="74" w:line="261" w:lineRule="auto"/>
              <w:ind w:left="85" w:right="202"/>
              <w:rPr>
                <w:color w:val="231F20"/>
                <w:sz w:val="16"/>
              </w:rPr>
            </w:pPr>
          </w:p>
        </w:tc>
        <w:tc>
          <w:tcPr>
            <w:tcW w:w="6236" w:type="dxa"/>
            <w:vMerge/>
            <w:tcBorders>
              <w:left w:val="single" w:sz="4" w:space="0" w:color="231F20"/>
              <w:bottom w:val="single" w:sz="4" w:space="0" w:color="231F20"/>
              <w:right w:val="single" w:sz="4" w:space="0" w:color="231F20"/>
            </w:tcBorders>
          </w:tcPr>
          <w:p w:rsidR="0007201C" w:rsidRPr="0007201C" w:rsidRDefault="0007201C" w:rsidP="0007201C">
            <w:pPr>
              <w:pStyle w:val="TableParagraph"/>
              <w:numPr>
                <w:ilvl w:val="0"/>
                <w:numId w:val="36"/>
              </w:numPr>
              <w:tabs>
                <w:tab w:val="left" w:pos="306"/>
              </w:tabs>
              <w:spacing w:before="70" w:line="254" w:lineRule="auto"/>
              <w:ind w:right="436"/>
              <w:rPr>
                <w:color w:val="231F20"/>
                <w:sz w:val="16"/>
                <w:szCs w:val="16"/>
              </w:rPr>
            </w:pPr>
          </w:p>
        </w:tc>
        <w:tc>
          <w:tcPr>
            <w:tcW w:w="779" w:type="dxa"/>
            <w:tcBorders>
              <w:top w:val="nil"/>
              <w:left w:val="single" w:sz="4" w:space="0" w:color="231F20"/>
              <w:bottom w:val="single" w:sz="4" w:space="0" w:color="231F20"/>
              <w:right w:val="nil"/>
            </w:tcBorders>
          </w:tcPr>
          <w:p w:rsidR="0007201C" w:rsidRDefault="0007201C" w:rsidP="0007201C">
            <w:pPr>
              <w:pStyle w:val="TableParagraph"/>
              <w:ind w:left="0" w:right="-15"/>
              <w:rPr>
                <w:sz w:val="20"/>
              </w:rPr>
            </w:pPr>
            <w:r>
              <w:rPr>
                <w:sz w:val="20"/>
              </w:rPr>
              <w:t xml:space="preserve">    </w:t>
            </w:r>
            <w:r>
              <w:rPr>
                <w:noProof/>
                <w:sz w:val="20"/>
              </w:rPr>
              <w:drawing>
                <wp:inline distT="0" distB="0" distL="0" distR="0" wp14:anchorId="24C4C650" wp14:editId="2BF8C37B">
                  <wp:extent cx="314168" cy="310896"/>
                  <wp:effectExtent l="0" t="0" r="0" b="0"/>
                  <wp:docPr id="2533"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79" w:type="dxa"/>
            <w:gridSpan w:val="2"/>
            <w:tcBorders>
              <w:top w:val="nil"/>
              <w:left w:val="nil"/>
              <w:bottom w:val="single" w:sz="4" w:space="0" w:color="231F20"/>
              <w:right w:val="single" w:sz="4" w:space="0" w:color="231F20"/>
            </w:tcBorders>
          </w:tcPr>
          <w:p w:rsidR="0007201C" w:rsidRDefault="0007201C" w:rsidP="0007201C">
            <w:pPr>
              <w:pStyle w:val="TableParagraph"/>
              <w:ind w:left="0"/>
              <w:rPr>
                <w:rFonts w:ascii="Times New Roman"/>
                <w:sz w:val="18"/>
              </w:rPr>
            </w:pPr>
          </w:p>
        </w:tc>
      </w:tr>
      <w:tr w:rsidR="0007201C" w:rsidTr="003D024A">
        <w:trPr>
          <w:trHeight w:val="624"/>
        </w:trPr>
        <w:tc>
          <w:tcPr>
            <w:tcW w:w="2381" w:type="dxa"/>
            <w:vMerge w:val="restart"/>
            <w:tcBorders>
              <w:top w:val="single" w:sz="4" w:space="0" w:color="231F20"/>
              <w:left w:val="single" w:sz="4" w:space="0" w:color="231F20"/>
              <w:right w:val="single" w:sz="4" w:space="0" w:color="231F20"/>
            </w:tcBorders>
          </w:tcPr>
          <w:p w:rsidR="0007201C" w:rsidRDefault="0007201C" w:rsidP="0007201C">
            <w:pPr>
              <w:pStyle w:val="TableParagraph"/>
              <w:spacing w:before="67" w:line="261" w:lineRule="auto"/>
              <w:ind w:left="85" w:right="353"/>
              <w:rPr>
                <w:sz w:val="16"/>
              </w:rPr>
            </w:pPr>
            <w:r>
              <w:rPr>
                <w:color w:val="231F20"/>
                <w:sz w:val="16"/>
              </w:rPr>
              <w:t>Lake Leaghur (fill in winter/ spring)</w:t>
            </w:r>
          </w:p>
        </w:tc>
        <w:tc>
          <w:tcPr>
            <w:tcW w:w="6236" w:type="dxa"/>
            <w:vMerge w:val="restart"/>
            <w:tcBorders>
              <w:top w:val="single" w:sz="4" w:space="0" w:color="231F20"/>
              <w:left w:val="single" w:sz="4" w:space="0" w:color="231F20"/>
              <w:right w:val="single" w:sz="4" w:space="0" w:color="231F20"/>
            </w:tcBorders>
          </w:tcPr>
          <w:p w:rsidR="0007201C" w:rsidRPr="0007201C" w:rsidRDefault="0007201C" w:rsidP="0007201C">
            <w:pPr>
              <w:pStyle w:val="TableParagraph"/>
              <w:numPr>
                <w:ilvl w:val="0"/>
                <w:numId w:val="34"/>
              </w:numPr>
              <w:tabs>
                <w:tab w:val="left" w:pos="306"/>
              </w:tabs>
              <w:spacing w:before="63" w:line="254" w:lineRule="auto"/>
              <w:ind w:right="429"/>
              <w:rPr>
                <w:sz w:val="16"/>
                <w:szCs w:val="16"/>
              </w:rPr>
            </w:pPr>
            <w:r w:rsidRPr="0007201C">
              <w:rPr>
                <w:color w:val="231F20"/>
                <w:sz w:val="16"/>
                <w:szCs w:val="16"/>
              </w:rPr>
              <w:t>Wet the wetland fringe to promote the germination and recruitment</w:t>
            </w:r>
            <w:r w:rsidRPr="0007201C">
              <w:rPr>
                <w:color w:val="231F20"/>
                <w:spacing w:val="-34"/>
                <w:sz w:val="16"/>
                <w:szCs w:val="16"/>
              </w:rPr>
              <w:t xml:space="preserve"> </w:t>
            </w:r>
            <w:r w:rsidRPr="0007201C">
              <w:rPr>
                <w:color w:val="231F20"/>
                <w:sz w:val="16"/>
                <w:szCs w:val="16"/>
              </w:rPr>
              <w:t>of fringing vegetation (such as river red gums and cane</w:t>
            </w:r>
            <w:r w:rsidRPr="0007201C">
              <w:rPr>
                <w:color w:val="231F20"/>
                <w:spacing w:val="-8"/>
                <w:sz w:val="16"/>
                <w:szCs w:val="16"/>
              </w:rPr>
              <w:t xml:space="preserve"> </w:t>
            </w:r>
            <w:r w:rsidRPr="0007201C">
              <w:rPr>
                <w:color w:val="231F20"/>
                <w:sz w:val="16"/>
                <w:szCs w:val="16"/>
              </w:rPr>
              <w:t>grass)</w:t>
            </w:r>
          </w:p>
          <w:p w:rsidR="0007201C" w:rsidRPr="0007201C" w:rsidRDefault="0007201C" w:rsidP="0007201C">
            <w:pPr>
              <w:pStyle w:val="TableParagraph"/>
              <w:numPr>
                <w:ilvl w:val="0"/>
                <w:numId w:val="34"/>
              </w:numPr>
              <w:tabs>
                <w:tab w:val="left" w:pos="306"/>
              </w:tabs>
              <w:spacing w:before="86"/>
              <w:ind w:hanging="218"/>
              <w:rPr>
                <w:sz w:val="16"/>
                <w:szCs w:val="16"/>
              </w:rPr>
            </w:pPr>
            <w:r w:rsidRPr="0007201C">
              <w:rPr>
                <w:color w:val="231F20"/>
                <w:sz w:val="16"/>
                <w:szCs w:val="16"/>
              </w:rPr>
              <w:t>Support the growth of aquatic and semi-aquatic</w:t>
            </w:r>
            <w:r w:rsidRPr="0007201C">
              <w:rPr>
                <w:color w:val="231F20"/>
                <w:spacing w:val="-8"/>
                <w:sz w:val="16"/>
                <w:szCs w:val="16"/>
              </w:rPr>
              <w:t xml:space="preserve"> </w:t>
            </w:r>
            <w:r w:rsidRPr="0007201C">
              <w:rPr>
                <w:color w:val="231F20"/>
                <w:sz w:val="16"/>
                <w:szCs w:val="16"/>
              </w:rPr>
              <w:t>plants</w:t>
            </w:r>
          </w:p>
          <w:p w:rsidR="0007201C" w:rsidRPr="0007201C" w:rsidRDefault="0007201C" w:rsidP="0007201C">
            <w:pPr>
              <w:pStyle w:val="TableParagraph"/>
              <w:numPr>
                <w:ilvl w:val="0"/>
                <w:numId w:val="34"/>
              </w:numPr>
              <w:tabs>
                <w:tab w:val="left" w:pos="306"/>
              </w:tabs>
              <w:spacing w:before="98"/>
              <w:ind w:hanging="218"/>
              <w:rPr>
                <w:sz w:val="16"/>
                <w:szCs w:val="16"/>
              </w:rPr>
            </w:pPr>
            <w:r w:rsidRPr="0007201C">
              <w:rPr>
                <w:color w:val="231F20"/>
                <w:sz w:val="16"/>
                <w:szCs w:val="16"/>
              </w:rPr>
              <w:t>Provide habitat and food resources for aquatic</w:t>
            </w:r>
            <w:r w:rsidRPr="0007201C">
              <w:rPr>
                <w:color w:val="231F20"/>
                <w:spacing w:val="-7"/>
                <w:sz w:val="16"/>
                <w:szCs w:val="16"/>
              </w:rPr>
              <w:t xml:space="preserve"> </w:t>
            </w:r>
            <w:r w:rsidRPr="0007201C">
              <w:rPr>
                <w:color w:val="231F20"/>
                <w:sz w:val="16"/>
                <w:szCs w:val="16"/>
              </w:rPr>
              <w:t>animals</w:t>
            </w:r>
          </w:p>
          <w:p w:rsidR="0007201C" w:rsidRDefault="0007201C" w:rsidP="0007201C">
            <w:pPr>
              <w:pStyle w:val="TableParagraph"/>
              <w:numPr>
                <w:ilvl w:val="0"/>
                <w:numId w:val="34"/>
              </w:numPr>
              <w:tabs>
                <w:tab w:val="left" w:pos="306"/>
              </w:tabs>
              <w:spacing w:before="98" w:line="254" w:lineRule="auto"/>
              <w:ind w:right="766"/>
              <w:rPr>
                <w:sz w:val="18"/>
              </w:rPr>
            </w:pPr>
            <w:r w:rsidRPr="0007201C">
              <w:rPr>
                <w:color w:val="231F20"/>
                <w:sz w:val="16"/>
                <w:szCs w:val="16"/>
              </w:rPr>
              <w:t>Grow zooplankton and waterbug communities to provide food for waterbirds and</w:t>
            </w:r>
            <w:r w:rsidRPr="0007201C">
              <w:rPr>
                <w:color w:val="231F20"/>
                <w:spacing w:val="-3"/>
                <w:sz w:val="16"/>
                <w:szCs w:val="16"/>
              </w:rPr>
              <w:t xml:space="preserve"> </w:t>
            </w:r>
            <w:r w:rsidRPr="0007201C">
              <w:rPr>
                <w:color w:val="231F20"/>
                <w:sz w:val="16"/>
                <w:szCs w:val="16"/>
              </w:rPr>
              <w:t>frogs</w:t>
            </w:r>
          </w:p>
        </w:tc>
        <w:tc>
          <w:tcPr>
            <w:tcW w:w="779" w:type="dxa"/>
            <w:tcBorders>
              <w:top w:val="single" w:sz="4" w:space="0" w:color="231F20"/>
              <w:left w:val="single" w:sz="4" w:space="0" w:color="231F20"/>
              <w:bottom w:val="nil"/>
              <w:right w:val="nil"/>
            </w:tcBorders>
          </w:tcPr>
          <w:p w:rsidR="0007201C" w:rsidRDefault="0007201C" w:rsidP="0007201C">
            <w:pPr>
              <w:pStyle w:val="TableParagraph"/>
              <w:spacing w:before="9"/>
              <w:ind w:left="0"/>
              <w:jc w:val="both"/>
              <w:rPr>
                <w:b/>
                <w:sz w:val="8"/>
              </w:rPr>
            </w:pPr>
          </w:p>
          <w:p w:rsidR="0007201C" w:rsidRDefault="0007201C" w:rsidP="0007201C">
            <w:pPr>
              <w:pStyle w:val="TableParagraph"/>
              <w:ind w:left="0" w:right="-15"/>
              <w:jc w:val="both"/>
              <w:rPr>
                <w:sz w:val="20"/>
              </w:rPr>
            </w:pPr>
            <w:r>
              <w:rPr>
                <w:sz w:val="20"/>
              </w:rPr>
              <w:t xml:space="preserve">    </w:t>
            </w:r>
            <w:r>
              <w:rPr>
                <w:noProof/>
                <w:sz w:val="20"/>
              </w:rPr>
              <w:drawing>
                <wp:inline distT="0" distB="0" distL="0" distR="0" wp14:anchorId="351D47AC" wp14:editId="3F5356A5">
                  <wp:extent cx="314168" cy="310896"/>
                  <wp:effectExtent l="0" t="0" r="0" b="0"/>
                  <wp:docPr id="518" name="image25.jpeg" descr="ic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 name="image25.jpeg"/>
                          <pic:cNvPicPr/>
                        </pic:nvPicPr>
                        <pic:blipFill>
                          <a:blip r:embed="rId37" cstate="print"/>
                          <a:stretch>
                            <a:fillRect/>
                          </a:stretch>
                        </pic:blipFill>
                        <pic:spPr>
                          <a:xfrm>
                            <a:off x="0" y="0"/>
                            <a:ext cx="314168" cy="310896"/>
                          </a:xfrm>
                          <a:prstGeom prst="rect">
                            <a:avLst/>
                          </a:prstGeom>
                        </pic:spPr>
                      </pic:pic>
                    </a:graphicData>
                  </a:graphic>
                </wp:inline>
              </w:drawing>
            </w:r>
          </w:p>
        </w:tc>
        <w:tc>
          <w:tcPr>
            <w:tcW w:w="779" w:type="dxa"/>
            <w:gridSpan w:val="2"/>
            <w:tcBorders>
              <w:top w:val="single" w:sz="4" w:space="0" w:color="231F20"/>
              <w:left w:val="nil"/>
              <w:bottom w:val="nil"/>
              <w:right w:val="single" w:sz="4" w:space="0" w:color="231F20"/>
            </w:tcBorders>
          </w:tcPr>
          <w:p w:rsidR="0007201C" w:rsidRDefault="0007201C" w:rsidP="0007201C">
            <w:pPr>
              <w:pStyle w:val="TableParagraph"/>
              <w:spacing w:before="9"/>
              <w:ind w:left="0"/>
              <w:rPr>
                <w:b/>
                <w:sz w:val="8"/>
              </w:rPr>
            </w:pPr>
          </w:p>
          <w:p w:rsidR="0007201C" w:rsidRDefault="0007201C" w:rsidP="0007201C">
            <w:pPr>
              <w:pStyle w:val="TableParagraph"/>
              <w:ind w:left="48"/>
              <w:rPr>
                <w:sz w:val="20"/>
              </w:rPr>
            </w:pPr>
            <w:r>
              <w:rPr>
                <w:noProof/>
                <w:sz w:val="20"/>
              </w:rPr>
              <w:drawing>
                <wp:inline distT="0" distB="0" distL="0" distR="0" wp14:anchorId="7B2FC484" wp14:editId="7292EE37">
                  <wp:extent cx="314168" cy="310896"/>
                  <wp:effectExtent l="0" t="0" r="0" b="0"/>
                  <wp:docPr id="520"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r>
      <w:tr w:rsidR="0007201C" w:rsidTr="003D024A">
        <w:trPr>
          <w:trHeight w:val="624"/>
        </w:trPr>
        <w:tc>
          <w:tcPr>
            <w:tcW w:w="2381" w:type="dxa"/>
            <w:vMerge/>
            <w:tcBorders>
              <w:left w:val="single" w:sz="4" w:space="0" w:color="231F20"/>
              <w:right w:val="single" w:sz="4" w:space="0" w:color="231F20"/>
            </w:tcBorders>
          </w:tcPr>
          <w:p w:rsidR="0007201C" w:rsidRDefault="0007201C" w:rsidP="0007201C">
            <w:pPr>
              <w:pStyle w:val="TableParagraph"/>
              <w:spacing w:before="67" w:line="261" w:lineRule="auto"/>
              <w:ind w:left="85" w:right="353"/>
              <w:rPr>
                <w:color w:val="231F20"/>
                <w:sz w:val="16"/>
              </w:rPr>
            </w:pPr>
          </w:p>
        </w:tc>
        <w:tc>
          <w:tcPr>
            <w:tcW w:w="6236" w:type="dxa"/>
            <w:vMerge/>
            <w:tcBorders>
              <w:left w:val="single" w:sz="4" w:space="0" w:color="231F20"/>
              <w:right w:val="single" w:sz="4" w:space="0" w:color="231F20"/>
            </w:tcBorders>
          </w:tcPr>
          <w:p w:rsidR="0007201C" w:rsidRPr="0007201C" w:rsidRDefault="0007201C" w:rsidP="0007201C">
            <w:pPr>
              <w:pStyle w:val="TableParagraph"/>
              <w:numPr>
                <w:ilvl w:val="0"/>
                <w:numId w:val="34"/>
              </w:numPr>
              <w:tabs>
                <w:tab w:val="left" w:pos="306"/>
              </w:tabs>
              <w:spacing w:before="63" w:line="254" w:lineRule="auto"/>
              <w:ind w:right="429"/>
              <w:rPr>
                <w:color w:val="231F20"/>
                <w:sz w:val="16"/>
                <w:szCs w:val="16"/>
              </w:rPr>
            </w:pPr>
          </w:p>
        </w:tc>
        <w:tc>
          <w:tcPr>
            <w:tcW w:w="779" w:type="dxa"/>
            <w:tcBorders>
              <w:top w:val="nil"/>
              <w:left w:val="single" w:sz="4" w:space="0" w:color="231F20"/>
              <w:bottom w:val="single" w:sz="2" w:space="0" w:color="auto"/>
              <w:right w:val="nil"/>
            </w:tcBorders>
          </w:tcPr>
          <w:p w:rsidR="0007201C" w:rsidRDefault="0007201C" w:rsidP="0007201C">
            <w:pPr>
              <w:pStyle w:val="TableParagraph"/>
              <w:ind w:left="0" w:right="-15"/>
              <w:jc w:val="both"/>
              <w:rPr>
                <w:sz w:val="20"/>
              </w:rPr>
            </w:pPr>
            <w:r>
              <w:rPr>
                <w:sz w:val="20"/>
              </w:rPr>
              <w:t xml:space="preserve">    </w:t>
            </w:r>
            <w:r>
              <w:rPr>
                <w:noProof/>
                <w:sz w:val="20"/>
              </w:rPr>
              <w:drawing>
                <wp:inline distT="0" distB="0" distL="0" distR="0" wp14:anchorId="0BC9A5B4" wp14:editId="51E6940D">
                  <wp:extent cx="314168" cy="310896"/>
                  <wp:effectExtent l="0" t="0" r="0" b="0"/>
                  <wp:docPr id="522"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79" w:type="dxa"/>
            <w:gridSpan w:val="2"/>
            <w:tcBorders>
              <w:top w:val="nil"/>
              <w:left w:val="nil"/>
              <w:bottom w:val="single" w:sz="2" w:space="0" w:color="auto"/>
              <w:right w:val="single" w:sz="4" w:space="0" w:color="231F20"/>
            </w:tcBorders>
          </w:tcPr>
          <w:p w:rsidR="0007201C" w:rsidRDefault="0007201C" w:rsidP="0007201C">
            <w:pPr>
              <w:pStyle w:val="TableParagraph"/>
              <w:ind w:left="0"/>
              <w:rPr>
                <w:rFonts w:ascii="Times New Roman"/>
                <w:sz w:val="18"/>
              </w:rPr>
            </w:pPr>
          </w:p>
        </w:tc>
      </w:tr>
      <w:tr w:rsidR="003D024A" w:rsidTr="003D024A">
        <w:trPr>
          <w:trHeight w:val="624"/>
        </w:trPr>
        <w:tc>
          <w:tcPr>
            <w:tcW w:w="2381" w:type="dxa"/>
            <w:tcBorders>
              <w:left w:val="single" w:sz="4" w:space="0" w:color="231F20"/>
              <w:bottom w:val="single" w:sz="4" w:space="0" w:color="231F20"/>
              <w:right w:val="single" w:sz="4" w:space="0" w:color="231F20"/>
            </w:tcBorders>
          </w:tcPr>
          <w:p w:rsidR="003D024A" w:rsidRDefault="003D024A" w:rsidP="003D024A">
            <w:pPr>
              <w:pStyle w:val="TableParagraph"/>
              <w:spacing w:before="67" w:line="261" w:lineRule="auto"/>
              <w:ind w:left="85" w:right="64"/>
              <w:rPr>
                <w:sz w:val="16"/>
              </w:rPr>
            </w:pPr>
            <w:r>
              <w:rPr>
                <w:color w:val="231F20"/>
                <w:sz w:val="16"/>
              </w:rPr>
              <w:t>Lake Yando and Lake Leaghur (top-ups as required, if significant waterbird breeding occurs)</w:t>
            </w:r>
          </w:p>
        </w:tc>
        <w:tc>
          <w:tcPr>
            <w:tcW w:w="6236" w:type="dxa"/>
            <w:tcBorders>
              <w:left w:val="single" w:sz="4" w:space="0" w:color="231F20"/>
              <w:bottom w:val="single" w:sz="4" w:space="0" w:color="231F20"/>
              <w:right w:val="single" w:sz="4" w:space="0" w:color="231F20"/>
            </w:tcBorders>
          </w:tcPr>
          <w:p w:rsidR="003D024A" w:rsidRPr="0007201C" w:rsidRDefault="003D024A" w:rsidP="003D024A">
            <w:pPr>
              <w:pStyle w:val="TableParagraph"/>
              <w:numPr>
                <w:ilvl w:val="0"/>
                <w:numId w:val="33"/>
              </w:numPr>
              <w:tabs>
                <w:tab w:val="left" w:pos="306"/>
              </w:tabs>
              <w:spacing w:before="63" w:line="254" w:lineRule="auto"/>
              <w:ind w:right="256"/>
              <w:rPr>
                <w:sz w:val="16"/>
                <w:szCs w:val="16"/>
              </w:rPr>
            </w:pPr>
            <w:r w:rsidRPr="0007201C">
              <w:rPr>
                <w:color w:val="231F20"/>
                <w:sz w:val="16"/>
                <w:szCs w:val="16"/>
              </w:rPr>
              <w:t>Maintain shallow-water habitat under tree canopies to ensure</w:t>
            </w:r>
            <w:r w:rsidRPr="0007201C">
              <w:rPr>
                <w:color w:val="231F20"/>
                <w:spacing w:val="-25"/>
                <w:sz w:val="16"/>
                <w:szCs w:val="16"/>
              </w:rPr>
              <w:t xml:space="preserve"> </w:t>
            </w:r>
            <w:r w:rsidRPr="0007201C">
              <w:rPr>
                <w:color w:val="231F20"/>
                <w:sz w:val="16"/>
                <w:szCs w:val="16"/>
              </w:rPr>
              <w:t>adequate food resources for nesting waterbirds and their</w:t>
            </w:r>
            <w:r w:rsidRPr="0007201C">
              <w:rPr>
                <w:color w:val="231F20"/>
                <w:spacing w:val="-7"/>
                <w:sz w:val="16"/>
                <w:szCs w:val="16"/>
              </w:rPr>
              <w:t xml:space="preserve"> </w:t>
            </w:r>
            <w:r w:rsidRPr="0007201C">
              <w:rPr>
                <w:color w:val="231F20"/>
                <w:sz w:val="16"/>
                <w:szCs w:val="16"/>
              </w:rPr>
              <w:t>chicks</w:t>
            </w:r>
          </w:p>
          <w:p w:rsidR="003D024A" w:rsidRDefault="003D024A" w:rsidP="003D024A">
            <w:pPr>
              <w:pStyle w:val="TableParagraph"/>
              <w:numPr>
                <w:ilvl w:val="0"/>
                <w:numId w:val="33"/>
              </w:numPr>
              <w:tabs>
                <w:tab w:val="left" w:pos="306"/>
              </w:tabs>
              <w:spacing w:before="86" w:line="254" w:lineRule="auto"/>
              <w:ind w:right="207"/>
              <w:rPr>
                <w:sz w:val="18"/>
              </w:rPr>
            </w:pPr>
            <w:r w:rsidRPr="0007201C">
              <w:rPr>
                <w:color w:val="231F20"/>
                <w:spacing w:val="-4"/>
                <w:sz w:val="16"/>
                <w:szCs w:val="16"/>
              </w:rPr>
              <w:t xml:space="preserve">Top-ups </w:t>
            </w:r>
            <w:r w:rsidRPr="0007201C">
              <w:rPr>
                <w:color w:val="231F20"/>
                <w:sz w:val="16"/>
                <w:szCs w:val="16"/>
              </w:rPr>
              <w:t>will most likely be required over late spring/summer but may be delivered at other times if</w:t>
            </w:r>
            <w:r w:rsidRPr="0007201C">
              <w:rPr>
                <w:color w:val="231F20"/>
                <w:spacing w:val="-6"/>
                <w:sz w:val="16"/>
                <w:szCs w:val="16"/>
              </w:rPr>
              <w:t xml:space="preserve"> </w:t>
            </w:r>
            <w:r w:rsidRPr="0007201C">
              <w:rPr>
                <w:color w:val="231F20"/>
                <w:sz w:val="16"/>
                <w:szCs w:val="16"/>
              </w:rPr>
              <w:t>required</w:t>
            </w:r>
          </w:p>
        </w:tc>
        <w:tc>
          <w:tcPr>
            <w:tcW w:w="779" w:type="dxa"/>
            <w:tcBorders>
              <w:top w:val="single" w:sz="2" w:space="0" w:color="auto"/>
              <w:left w:val="single" w:sz="4" w:space="0" w:color="231F20"/>
              <w:bottom w:val="single" w:sz="4" w:space="0" w:color="231F20"/>
              <w:right w:val="nil"/>
            </w:tcBorders>
          </w:tcPr>
          <w:p w:rsidR="003D024A" w:rsidRDefault="003D024A" w:rsidP="003D024A">
            <w:pPr>
              <w:pStyle w:val="TableParagraph"/>
              <w:ind w:left="0"/>
              <w:rPr>
                <w:b/>
                <w:sz w:val="8"/>
              </w:rPr>
            </w:pPr>
          </w:p>
          <w:p w:rsidR="003D024A" w:rsidRDefault="003D024A" w:rsidP="003D024A">
            <w:pPr>
              <w:pStyle w:val="TableParagraph"/>
              <w:ind w:left="0"/>
              <w:rPr>
                <w:sz w:val="20"/>
              </w:rPr>
            </w:pPr>
            <w:r>
              <w:rPr>
                <w:b/>
                <w:sz w:val="8"/>
              </w:rPr>
              <w:t xml:space="preserve">        </w:t>
            </w:r>
            <w:r>
              <w:rPr>
                <w:noProof/>
                <w:sz w:val="20"/>
              </w:rPr>
              <w:drawing>
                <wp:inline distT="0" distB="0" distL="0" distR="0" wp14:anchorId="7B3D8F9C" wp14:editId="03BB49D6">
                  <wp:extent cx="314168" cy="310896"/>
                  <wp:effectExtent l="0" t="0" r="0" b="0"/>
                  <wp:docPr id="2541" name="image27.jpeg" descr="icon: wa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image27.jpeg"/>
                          <pic:cNvPicPr/>
                        </pic:nvPicPr>
                        <pic:blipFill>
                          <a:blip r:embed="rId39" cstate="print"/>
                          <a:stretch>
                            <a:fillRect/>
                          </a:stretch>
                        </pic:blipFill>
                        <pic:spPr>
                          <a:xfrm>
                            <a:off x="0" y="0"/>
                            <a:ext cx="314168" cy="310896"/>
                          </a:xfrm>
                          <a:prstGeom prst="rect">
                            <a:avLst/>
                          </a:prstGeom>
                        </pic:spPr>
                      </pic:pic>
                    </a:graphicData>
                  </a:graphic>
                </wp:inline>
              </w:drawing>
            </w:r>
          </w:p>
        </w:tc>
        <w:tc>
          <w:tcPr>
            <w:tcW w:w="779" w:type="dxa"/>
            <w:gridSpan w:val="2"/>
            <w:tcBorders>
              <w:top w:val="single" w:sz="2" w:space="0" w:color="auto"/>
              <w:left w:val="nil"/>
              <w:bottom w:val="single" w:sz="4" w:space="0" w:color="231F20"/>
              <w:right w:val="single" w:sz="4" w:space="0" w:color="231F20"/>
            </w:tcBorders>
          </w:tcPr>
          <w:p w:rsidR="003D024A" w:rsidRDefault="003D024A" w:rsidP="003D024A">
            <w:pPr>
              <w:pStyle w:val="TableParagraph"/>
              <w:ind w:left="0"/>
              <w:rPr>
                <w:rFonts w:ascii="Times New Roman"/>
                <w:sz w:val="18"/>
              </w:rPr>
            </w:pPr>
          </w:p>
        </w:tc>
      </w:tr>
    </w:tbl>
    <w:p w:rsidR="006A7A3F" w:rsidRDefault="006A7A3F">
      <w:pPr>
        <w:rPr>
          <w:sz w:val="20"/>
        </w:rPr>
        <w:sectPr w:rsidR="006A7A3F" w:rsidSect="00701E28">
          <w:pgSz w:w="11910" w:h="16840"/>
          <w:pgMar w:top="1701" w:right="851" w:bottom="1820" w:left="851" w:header="720" w:footer="720" w:gutter="0"/>
          <w:cols w:space="720"/>
        </w:sectPr>
      </w:pPr>
    </w:p>
    <w:p w:rsidR="006A7A3F" w:rsidRDefault="006A7A3F">
      <w:pPr>
        <w:pStyle w:val="BodyText"/>
        <w:spacing w:before="1"/>
        <w:ind w:left="0"/>
        <w:rPr>
          <w:b/>
          <w:sz w:val="7"/>
        </w:rPr>
      </w:pPr>
    </w:p>
    <w:p w:rsidR="006A7A3F" w:rsidRDefault="00BC7372">
      <w:pPr>
        <w:spacing w:before="62"/>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5.7.4 outlines the potential environmental watering and expected water use under a range of planning scenarios.</w:t>
      </w:r>
    </w:p>
    <w:p w:rsidR="006A7A3F" w:rsidRDefault="00BC7372" w:rsidP="0087445D">
      <w:pPr>
        <w:pStyle w:val="BodyText"/>
        <w:spacing w:line="249" w:lineRule="auto"/>
        <w:ind w:right="185"/>
      </w:pPr>
      <w:r>
        <w:rPr>
          <w:color w:val="231F20"/>
        </w:rPr>
        <w:t>Topping up Lake Meran to maintain the water level between 77.3 and 77.8 m AHD is a high priority under all scenarios, to manage the lake’s salinity for aquatic animals and provide permanent refuge for fish and Murray River turtles. If under a wet scenario natural flows raise the water level in Lake Meran significantly above 77.8m AHD, water for the environment may be used to achieve a complete or near-complete fill for the remainder of 2020–21.</w:t>
      </w:r>
      <w:r w:rsidR="0087445D">
        <w:rPr>
          <w:color w:val="231F20"/>
        </w:rPr>
        <w:t xml:space="preserve"> </w:t>
      </w:r>
      <w:r>
        <w:rPr>
          <w:color w:val="231F20"/>
        </w:rPr>
        <w:t>Waterway managers will respond adaptively depending on the level of natural inflow, climatic forecasts and environmental conditions.</w:t>
      </w:r>
    </w:p>
    <w:p w:rsidR="006A7A3F" w:rsidRDefault="00BC7372">
      <w:pPr>
        <w:pStyle w:val="BodyText"/>
        <w:spacing w:line="249" w:lineRule="auto"/>
        <w:ind w:right="100"/>
      </w:pPr>
      <w:r>
        <w:rPr>
          <w:color w:val="231F20"/>
        </w:rPr>
        <w:t>Lake Yando has been dry for over two years and filling it in 2020–21 is a priority under all scenarios, to support vegetation germination and growth.</w:t>
      </w:r>
    </w:p>
    <w:p w:rsidR="006A7A3F" w:rsidRDefault="00BC7372">
      <w:pPr>
        <w:pStyle w:val="BodyText"/>
        <w:spacing w:before="171" w:line="249" w:lineRule="auto"/>
        <w:ind w:right="297"/>
      </w:pPr>
      <w:r>
        <w:rPr>
          <w:color w:val="231F20"/>
        </w:rPr>
        <w:t>A fill of Lake Leaghur is planned to be provided between late winter and spring under average and wet scenarios, to maintain the health of mature streamside vegetation and to promote seedling recruitment. Deliveries will be subject to planned channel infrastructure upgrades being completed before optimal filling times. While desirable under an optimal watering regime, this delivery is less of a priority compared to other sites under drought and dry scenarios, as one more year of drying is tolerable under its environmental management plan. However, if Lake Leaghur remains dry in 2020–21, filling the wetland in 2021–22 will become a high priority to meet minimum watering recommendations. Where applicable, additional top-ups may be provided to Lake Yando and Lake Leaghur to ensure adequate food resources for nesting waterbirds if significant waterbird breeding occurs.</w:t>
      </w:r>
    </w:p>
    <w:p w:rsidR="006A7A3F" w:rsidRDefault="00BC7372">
      <w:pPr>
        <w:pStyle w:val="BodyText"/>
        <w:spacing w:before="177" w:line="249" w:lineRule="auto"/>
        <w:ind w:right="100"/>
      </w:pPr>
      <w:r>
        <w:rPr>
          <w:color w:val="231F20"/>
        </w:rPr>
        <w:t>Lake Boort is currently dry and is planned to be allowed to remain dry to prevent over-watering trees and to allow them to grow. Unless filled naturally, Little Lake Meran is planned to continue to be drawn down to a minimum level or to dry completely. This will provide an important dry period, to promote the growth of herbland plants and fringing vegetation.</w:t>
      </w:r>
    </w:p>
    <w:p w:rsidR="006A7A3F" w:rsidRDefault="00BC7372">
      <w:pPr>
        <w:pStyle w:val="BodyText"/>
        <w:spacing w:before="173"/>
      </w:pPr>
      <w:r>
        <w:rPr>
          <w:color w:val="231F20"/>
        </w:rPr>
        <w:t>Most wetlands are expected to fill naturally from large overland floods under a wet scenario.</w:t>
      </w:r>
    </w:p>
    <w:p w:rsidR="00701E28" w:rsidRDefault="00701E28">
      <w:pPr>
        <w:rPr>
          <w:b/>
          <w:color w:val="231F20"/>
          <w:sz w:val="18"/>
        </w:rPr>
      </w:pPr>
      <w:r>
        <w:rPr>
          <w:b/>
          <w:color w:val="231F20"/>
          <w:sz w:val="18"/>
        </w:rPr>
        <w:br w:type="page"/>
      </w:r>
    </w:p>
    <w:p w:rsidR="006A7A3F" w:rsidRDefault="00BC7372">
      <w:pPr>
        <w:spacing w:before="175"/>
        <w:ind w:left="210"/>
        <w:rPr>
          <w:b/>
          <w:sz w:val="18"/>
        </w:rPr>
      </w:pPr>
      <w:r>
        <w:rPr>
          <w:b/>
          <w:color w:val="231F20"/>
          <w:sz w:val="18"/>
        </w:rPr>
        <w:t>Table 5.7.4 Potential environmental watering for the Boort wetlands under a range of planning scenarios</w:t>
      </w:r>
    </w:p>
    <w:p w:rsidR="006A7A3F" w:rsidRDefault="006A7A3F">
      <w:pPr>
        <w:pStyle w:val="BodyText"/>
        <w:spacing w:before="7"/>
        <w:ind w:left="0"/>
        <w:rPr>
          <w:b/>
          <w:sz w:val="8"/>
        </w:rPr>
      </w:pPr>
    </w:p>
    <w:tbl>
      <w:tblPr>
        <w:tblW w:w="10205" w:type="dxa"/>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rsidTr="003D024A">
        <w:trPr>
          <w:trHeight w:val="367"/>
        </w:trPr>
        <w:tc>
          <w:tcPr>
            <w:tcW w:w="204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Average</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Wet</w:t>
            </w:r>
          </w:p>
        </w:tc>
      </w:tr>
      <w:tr w:rsidR="006A7A3F" w:rsidTr="003D024A">
        <w:trPr>
          <w:trHeight w:val="1667"/>
        </w:trPr>
        <w:tc>
          <w:tcPr>
            <w:tcW w:w="2041" w:type="dxa"/>
            <w:tcBorders>
              <w:top w:val="nil"/>
              <w:left w:val="single" w:sz="4" w:space="0" w:color="231F20"/>
              <w:bottom w:val="single" w:sz="2" w:space="0" w:color="auto"/>
              <w:right w:val="single" w:sz="4" w:space="0" w:color="231F20"/>
            </w:tcBorders>
          </w:tcPr>
          <w:p w:rsidR="006A7A3F" w:rsidRDefault="00BC7372">
            <w:pPr>
              <w:pStyle w:val="TableParagraph"/>
              <w:spacing w:before="74"/>
              <w:ind w:left="85"/>
              <w:rPr>
                <w:sz w:val="16"/>
              </w:rPr>
            </w:pPr>
            <w:r>
              <w:rPr>
                <w:color w:val="231F20"/>
                <w:sz w:val="16"/>
              </w:rPr>
              <w:t>Expected river conditions</w:t>
            </w:r>
          </w:p>
        </w:tc>
        <w:tc>
          <w:tcPr>
            <w:tcW w:w="2041" w:type="dxa"/>
            <w:tcBorders>
              <w:top w:val="nil"/>
              <w:left w:val="single" w:sz="4" w:space="0" w:color="231F20"/>
              <w:bottom w:val="single" w:sz="2" w:space="0" w:color="auto"/>
              <w:right w:val="single" w:sz="4" w:space="0" w:color="231F20"/>
            </w:tcBorders>
          </w:tcPr>
          <w:p w:rsidR="006A7A3F" w:rsidRPr="003D024A" w:rsidRDefault="00BC7372">
            <w:pPr>
              <w:pStyle w:val="TableParagraph"/>
              <w:numPr>
                <w:ilvl w:val="0"/>
                <w:numId w:val="32"/>
              </w:numPr>
              <w:tabs>
                <w:tab w:val="left" w:pos="305"/>
              </w:tabs>
              <w:spacing w:before="70" w:line="254" w:lineRule="auto"/>
              <w:ind w:right="93"/>
              <w:rPr>
                <w:sz w:val="16"/>
                <w:szCs w:val="16"/>
              </w:rPr>
            </w:pPr>
            <w:r w:rsidRPr="003D024A">
              <w:rPr>
                <w:color w:val="231F20"/>
                <w:sz w:val="16"/>
                <w:szCs w:val="16"/>
              </w:rPr>
              <w:t>No natural inflows to wetlands</w:t>
            </w:r>
          </w:p>
        </w:tc>
        <w:tc>
          <w:tcPr>
            <w:tcW w:w="2041" w:type="dxa"/>
            <w:tcBorders>
              <w:top w:val="nil"/>
              <w:left w:val="single" w:sz="4" w:space="0" w:color="231F20"/>
              <w:bottom w:val="single" w:sz="2" w:space="0" w:color="auto"/>
              <w:right w:val="single" w:sz="4" w:space="0" w:color="231F20"/>
            </w:tcBorders>
          </w:tcPr>
          <w:p w:rsidR="006A7A3F" w:rsidRPr="003D024A" w:rsidRDefault="00BC7372">
            <w:pPr>
              <w:pStyle w:val="TableParagraph"/>
              <w:numPr>
                <w:ilvl w:val="0"/>
                <w:numId w:val="31"/>
              </w:numPr>
              <w:tabs>
                <w:tab w:val="left" w:pos="305"/>
              </w:tabs>
              <w:spacing w:before="70" w:line="254" w:lineRule="auto"/>
              <w:ind w:right="213"/>
              <w:rPr>
                <w:sz w:val="16"/>
                <w:szCs w:val="16"/>
              </w:rPr>
            </w:pPr>
            <w:r w:rsidRPr="003D024A">
              <w:rPr>
                <w:color w:val="231F20"/>
                <w:sz w:val="16"/>
                <w:szCs w:val="16"/>
              </w:rPr>
              <w:t>Minimal natural inflows to wetlands from local catchment runoff possible</w:t>
            </w:r>
          </w:p>
        </w:tc>
        <w:tc>
          <w:tcPr>
            <w:tcW w:w="2041" w:type="dxa"/>
            <w:tcBorders>
              <w:top w:val="nil"/>
              <w:left w:val="single" w:sz="4" w:space="0" w:color="231F20"/>
              <w:bottom w:val="single" w:sz="2" w:space="0" w:color="auto"/>
              <w:right w:val="single" w:sz="4" w:space="0" w:color="231F20"/>
            </w:tcBorders>
          </w:tcPr>
          <w:p w:rsidR="006A7A3F" w:rsidRPr="003D024A" w:rsidRDefault="00BC7372" w:rsidP="0087445D">
            <w:pPr>
              <w:pStyle w:val="TableParagraph"/>
              <w:numPr>
                <w:ilvl w:val="0"/>
                <w:numId w:val="30"/>
              </w:numPr>
              <w:tabs>
                <w:tab w:val="left" w:pos="305"/>
              </w:tabs>
              <w:spacing w:before="70" w:line="254" w:lineRule="auto"/>
              <w:ind w:right="203"/>
              <w:rPr>
                <w:sz w:val="16"/>
                <w:szCs w:val="16"/>
              </w:rPr>
            </w:pPr>
            <w:r w:rsidRPr="003D024A">
              <w:rPr>
                <w:color w:val="231F20"/>
                <w:sz w:val="16"/>
                <w:szCs w:val="16"/>
              </w:rPr>
              <w:t>Periods of high flow combined</w:t>
            </w:r>
            <w:r w:rsidRPr="003D024A">
              <w:rPr>
                <w:color w:val="231F20"/>
                <w:spacing w:val="3"/>
                <w:sz w:val="16"/>
                <w:szCs w:val="16"/>
              </w:rPr>
              <w:t xml:space="preserve"> </w:t>
            </w:r>
            <w:r w:rsidRPr="003D024A">
              <w:rPr>
                <w:color w:val="231F20"/>
                <w:spacing w:val="-5"/>
                <w:sz w:val="16"/>
                <w:szCs w:val="16"/>
              </w:rPr>
              <w:t>with</w:t>
            </w:r>
            <w:r w:rsidR="0087445D">
              <w:rPr>
                <w:color w:val="231F20"/>
                <w:spacing w:val="-5"/>
                <w:sz w:val="16"/>
                <w:szCs w:val="16"/>
              </w:rPr>
              <w:t xml:space="preserve"> </w:t>
            </w:r>
            <w:r w:rsidRPr="003D024A">
              <w:rPr>
                <w:color w:val="231F20"/>
                <w:sz w:val="16"/>
                <w:szCs w:val="16"/>
              </w:rPr>
              <w:t>localised catchment contributions,  which are expected to provide minor inflows to</w:t>
            </w:r>
            <w:r w:rsidRPr="003D024A">
              <w:rPr>
                <w:color w:val="231F20"/>
                <w:spacing w:val="-9"/>
                <w:sz w:val="16"/>
                <w:szCs w:val="16"/>
              </w:rPr>
              <w:t xml:space="preserve"> </w:t>
            </w:r>
            <w:r w:rsidRPr="003D024A">
              <w:rPr>
                <w:color w:val="231F20"/>
                <w:sz w:val="16"/>
                <w:szCs w:val="16"/>
              </w:rPr>
              <w:t>wetlands</w:t>
            </w:r>
          </w:p>
        </w:tc>
        <w:tc>
          <w:tcPr>
            <w:tcW w:w="2041" w:type="dxa"/>
            <w:tcBorders>
              <w:top w:val="nil"/>
              <w:left w:val="single" w:sz="4" w:space="0" w:color="231F20"/>
              <w:bottom w:val="single" w:sz="2" w:space="0" w:color="auto"/>
              <w:right w:val="single" w:sz="4" w:space="0" w:color="231F20"/>
            </w:tcBorders>
          </w:tcPr>
          <w:p w:rsidR="006A7A3F" w:rsidRPr="003D024A" w:rsidRDefault="00BC7372">
            <w:pPr>
              <w:pStyle w:val="TableParagraph"/>
              <w:numPr>
                <w:ilvl w:val="0"/>
                <w:numId w:val="29"/>
              </w:numPr>
              <w:tabs>
                <w:tab w:val="left" w:pos="305"/>
              </w:tabs>
              <w:spacing w:before="70" w:line="254" w:lineRule="auto"/>
              <w:ind w:right="173"/>
              <w:rPr>
                <w:sz w:val="16"/>
                <w:szCs w:val="16"/>
              </w:rPr>
            </w:pPr>
            <w:r w:rsidRPr="003D024A">
              <w:rPr>
                <w:color w:val="231F20"/>
                <w:sz w:val="16"/>
                <w:szCs w:val="16"/>
              </w:rPr>
              <w:t>Extended durations of high flow and overbank flow from creeks and flood runners, which fill most</w:t>
            </w:r>
            <w:r w:rsidRPr="003D024A">
              <w:rPr>
                <w:color w:val="231F20"/>
                <w:spacing w:val="-1"/>
                <w:sz w:val="16"/>
                <w:szCs w:val="16"/>
              </w:rPr>
              <w:t xml:space="preserve"> </w:t>
            </w:r>
            <w:r w:rsidRPr="003D024A">
              <w:rPr>
                <w:color w:val="231F20"/>
                <w:sz w:val="16"/>
                <w:szCs w:val="16"/>
              </w:rPr>
              <w:t>wetlands</w:t>
            </w:r>
          </w:p>
        </w:tc>
      </w:tr>
      <w:tr w:rsidR="003D024A" w:rsidTr="003D024A">
        <w:trPr>
          <w:trHeight w:val="1667"/>
        </w:trPr>
        <w:tc>
          <w:tcPr>
            <w:tcW w:w="2041" w:type="dxa"/>
            <w:tcBorders>
              <w:top w:val="single" w:sz="2" w:space="0" w:color="auto"/>
              <w:left w:val="single" w:sz="4" w:space="0" w:color="231F20"/>
              <w:bottom w:val="single" w:sz="2" w:space="0" w:color="auto"/>
              <w:right w:val="single" w:sz="4" w:space="0" w:color="231F20"/>
            </w:tcBorders>
          </w:tcPr>
          <w:p w:rsidR="003D024A" w:rsidRDefault="003D024A" w:rsidP="003D024A">
            <w:pPr>
              <w:pStyle w:val="TableParagraph"/>
              <w:spacing w:before="67" w:line="261" w:lineRule="auto"/>
              <w:ind w:left="85" w:right="253"/>
              <w:rPr>
                <w:sz w:val="9"/>
              </w:rPr>
            </w:pPr>
            <w:r>
              <w:rPr>
                <w:color w:val="231F20"/>
                <w:sz w:val="16"/>
              </w:rPr>
              <w:t>Potential environmental watering – tier 1</w:t>
            </w:r>
            <w:r>
              <w:rPr>
                <w:color w:val="231F20"/>
                <w:position w:val="5"/>
                <w:sz w:val="9"/>
              </w:rPr>
              <w:t xml:space="preserve">1 </w:t>
            </w:r>
            <w:r>
              <w:rPr>
                <w:color w:val="231F20"/>
                <w:sz w:val="16"/>
              </w:rPr>
              <w:t>(high priorities)</w:t>
            </w:r>
            <w:r>
              <w:rPr>
                <w:color w:val="231F20"/>
                <w:position w:val="5"/>
                <w:sz w:val="9"/>
              </w:rPr>
              <w:t>2</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8"/>
              </w:numPr>
              <w:tabs>
                <w:tab w:val="left" w:pos="305"/>
              </w:tabs>
              <w:spacing w:before="63" w:line="254" w:lineRule="auto"/>
              <w:ind w:right="353"/>
              <w:rPr>
                <w:sz w:val="16"/>
                <w:szCs w:val="16"/>
              </w:rPr>
            </w:pPr>
            <w:r w:rsidRPr="003D024A">
              <w:rPr>
                <w:color w:val="231F20"/>
                <w:sz w:val="16"/>
                <w:szCs w:val="16"/>
              </w:rPr>
              <w:t xml:space="preserve">Lake Meran </w:t>
            </w:r>
            <w:r w:rsidRPr="003D024A">
              <w:rPr>
                <w:color w:val="231F20"/>
                <w:spacing w:val="-3"/>
                <w:sz w:val="16"/>
                <w:szCs w:val="16"/>
              </w:rPr>
              <w:t xml:space="preserve">(top- </w:t>
            </w:r>
            <w:r w:rsidRPr="003D024A">
              <w:rPr>
                <w:color w:val="231F20"/>
                <w:sz w:val="16"/>
                <w:szCs w:val="16"/>
              </w:rPr>
              <w:t>ups)</w:t>
            </w:r>
          </w:p>
          <w:p w:rsidR="003D024A" w:rsidRPr="003D024A" w:rsidRDefault="003D024A" w:rsidP="003D024A">
            <w:pPr>
              <w:pStyle w:val="TableParagraph"/>
              <w:numPr>
                <w:ilvl w:val="0"/>
                <w:numId w:val="28"/>
              </w:numPr>
              <w:tabs>
                <w:tab w:val="left" w:pos="305"/>
              </w:tabs>
              <w:spacing w:before="86"/>
              <w:rPr>
                <w:sz w:val="16"/>
                <w:szCs w:val="16"/>
              </w:rPr>
            </w:pPr>
            <w:r w:rsidRPr="003D024A">
              <w:rPr>
                <w:color w:val="231F20"/>
                <w:sz w:val="16"/>
                <w:szCs w:val="16"/>
              </w:rPr>
              <w:t xml:space="preserve">Lake </w:t>
            </w:r>
            <w:r w:rsidRPr="003D024A">
              <w:rPr>
                <w:color w:val="231F20"/>
                <w:spacing w:val="-4"/>
                <w:sz w:val="16"/>
                <w:szCs w:val="16"/>
              </w:rPr>
              <w:t>Yando</w:t>
            </w:r>
            <w:r w:rsidRPr="003D024A">
              <w:rPr>
                <w:color w:val="231F20"/>
                <w:spacing w:val="-5"/>
                <w:sz w:val="16"/>
                <w:szCs w:val="16"/>
              </w:rPr>
              <w:t xml:space="preserve"> </w:t>
            </w:r>
            <w:r w:rsidRPr="003D024A">
              <w:rPr>
                <w:color w:val="231F20"/>
                <w:sz w:val="16"/>
                <w:szCs w:val="16"/>
              </w:rPr>
              <w:t>(fill)</w:t>
            </w:r>
          </w:p>
          <w:p w:rsidR="003D024A" w:rsidRPr="003D024A" w:rsidRDefault="003D024A" w:rsidP="003D024A">
            <w:pPr>
              <w:pStyle w:val="TableParagraph"/>
              <w:numPr>
                <w:ilvl w:val="0"/>
                <w:numId w:val="28"/>
              </w:numPr>
              <w:tabs>
                <w:tab w:val="left" w:pos="305"/>
              </w:tabs>
              <w:spacing w:before="98" w:line="254" w:lineRule="auto"/>
              <w:ind w:right="119"/>
              <w:rPr>
                <w:sz w:val="16"/>
                <w:szCs w:val="16"/>
              </w:rPr>
            </w:pPr>
            <w:r w:rsidRPr="003D024A">
              <w:rPr>
                <w:color w:val="231F20"/>
                <w:sz w:val="16"/>
                <w:szCs w:val="16"/>
              </w:rPr>
              <w:t xml:space="preserve">Lake </w:t>
            </w:r>
            <w:r w:rsidRPr="003D024A">
              <w:rPr>
                <w:color w:val="231F20"/>
                <w:spacing w:val="-4"/>
                <w:sz w:val="16"/>
                <w:szCs w:val="16"/>
              </w:rPr>
              <w:t xml:space="preserve">Yando </w:t>
            </w:r>
            <w:r w:rsidRPr="003D024A">
              <w:rPr>
                <w:color w:val="231F20"/>
                <w:sz w:val="16"/>
                <w:szCs w:val="16"/>
              </w:rPr>
              <w:t>(top up, if</w:t>
            </w:r>
            <w:r w:rsidRPr="003D024A">
              <w:rPr>
                <w:color w:val="231F20"/>
                <w:spacing w:val="-2"/>
                <w:sz w:val="16"/>
                <w:szCs w:val="16"/>
              </w:rPr>
              <w:t xml:space="preserve"> </w:t>
            </w:r>
            <w:r w:rsidRPr="003D024A">
              <w:rPr>
                <w:color w:val="231F20"/>
                <w:sz w:val="16"/>
                <w:szCs w:val="16"/>
              </w:rPr>
              <w:t>triggered)</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7"/>
              </w:numPr>
              <w:tabs>
                <w:tab w:val="left" w:pos="305"/>
              </w:tabs>
              <w:spacing w:before="63" w:line="254" w:lineRule="auto"/>
              <w:ind w:right="353"/>
              <w:rPr>
                <w:sz w:val="16"/>
                <w:szCs w:val="16"/>
              </w:rPr>
            </w:pPr>
            <w:r w:rsidRPr="003D024A">
              <w:rPr>
                <w:color w:val="231F20"/>
                <w:sz w:val="16"/>
                <w:szCs w:val="16"/>
              </w:rPr>
              <w:t xml:space="preserve">Lake Meran </w:t>
            </w:r>
            <w:r w:rsidRPr="003D024A">
              <w:rPr>
                <w:color w:val="231F20"/>
                <w:spacing w:val="-3"/>
                <w:sz w:val="16"/>
                <w:szCs w:val="16"/>
              </w:rPr>
              <w:t xml:space="preserve">(top- </w:t>
            </w:r>
            <w:r w:rsidRPr="003D024A">
              <w:rPr>
                <w:color w:val="231F20"/>
                <w:sz w:val="16"/>
                <w:szCs w:val="16"/>
              </w:rPr>
              <w:t>ups)</w:t>
            </w:r>
          </w:p>
          <w:p w:rsidR="003D024A" w:rsidRPr="003D024A" w:rsidRDefault="003D024A" w:rsidP="003D024A">
            <w:pPr>
              <w:pStyle w:val="TableParagraph"/>
              <w:numPr>
                <w:ilvl w:val="0"/>
                <w:numId w:val="27"/>
              </w:numPr>
              <w:tabs>
                <w:tab w:val="left" w:pos="305"/>
              </w:tabs>
              <w:spacing w:before="86"/>
              <w:rPr>
                <w:sz w:val="16"/>
                <w:szCs w:val="16"/>
              </w:rPr>
            </w:pPr>
            <w:r w:rsidRPr="003D024A">
              <w:rPr>
                <w:color w:val="231F20"/>
                <w:sz w:val="16"/>
                <w:szCs w:val="16"/>
              </w:rPr>
              <w:t xml:space="preserve">Lake </w:t>
            </w:r>
            <w:r w:rsidRPr="003D024A">
              <w:rPr>
                <w:color w:val="231F20"/>
                <w:spacing w:val="-4"/>
                <w:sz w:val="16"/>
                <w:szCs w:val="16"/>
              </w:rPr>
              <w:t>Yando</w:t>
            </w:r>
            <w:r w:rsidRPr="003D024A">
              <w:rPr>
                <w:color w:val="231F20"/>
                <w:spacing w:val="-5"/>
                <w:sz w:val="16"/>
                <w:szCs w:val="16"/>
              </w:rPr>
              <w:t xml:space="preserve"> </w:t>
            </w:r>
            <w:r w:rsidRPr="003D024A">
              <w:rPr>
                <w:color w:val="231F20"/>
                <w:sz w:val="16"/>
                <w:szCs w:val="16"/>
              </w:rPr>
              <w:t>(fill)</w:t>
            </w:r>
          </w:p>
          <w:p w:rsidR="003D024A" w:rsidRPr="003D024A" w:rsidRDefault="003D024A" w:rsidP="003D024A">
            <w:pPr>
              <w:pStyle w:val="TableParagraph"/>
              <w:numPr>
                <w:ilvl w:val="0"/>
                <w:numId w:val="27"/>
              </w:numPr>
              <w:tabs>
                <w:tab w:val="left" w:pos="305"/>
              </w:tabs>
              <w:spacing w:before="98" w:line="254" w:lineRule="auto"/>
              <w:ind w:right="119"/>
              <w:rPr>
                <w:sz w:val="16"/>
                <w:szCs w:val="16"/>
              </w:rPr>
            </w:pPr>
            <w:r w:rsidRPr="003D024A">
              <w:rPr>
                <w:color w:val="231F20"/>
                <w:sz w:val="16"/>
                <w:szCs w:val="16"/>
              </w:rPr>
              <w:t xml:space="preserve">Lake </w:t>
            </w:r>
            <w:r w:rsidRPr="003D024A">
              <w:rPr>
                <w:color w:val="231F20"/>
                <w:spacing w:val="-4"/>
                <w:sz w:val="16"/>
                <w:szCs w:val="16"/>
              </w:rPr>
              <w:t xml:space="preserve">Yando </w:t>
            </w:r>
            <w:r w:rsidRPr="003D024A">
              <w:rPr>
                <w:color w:val="231F20"/>
                <w:sz w:val="16"/>
                <w:szCs w:val="16"/>
              </w:rPr>
              <w:t>(top up, if</w:t>
            </w:r>
            <w:r w:rsidRPr="003D024A">
              <w:rPr>
                <w:color w:val="231F20"/>
                <w:spacing w:val="-2"/>
                <w:sz w:val="16"/>
                <w:szCs w:val="16"/>
              </w:rPr>
              <w:t xml:space="preserve"> </w:t>
            </w:r>
            <w:r w:rsidRPr="003D024A">
              <w:rPr>
                <w:color w:val="231F20"/>
                <w:sz w:val="16"/>
                <w:szCs w:val="16"/>
              </w:rPr>
              <w:t>triggered)</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6"/>
              </w:numPr>
              <w:tabs>
                <w:tab w:val="left" w:pos="305"/>
              </w:tabs>
              <w:spacing w:before="63" w:line="254" w:lineRule="auto"/>
              <w:ind w:right="353"/>
              <w:rPr>
                <w:sz w:val="16"/>
                <w:szCs w:val="16"/>
              </w:rPr>
            </w:pPr>
            <w:r w:rsidRPr="003D024A">
              <w:rPr>
                <w:color w:val="231F20"/>
                <w:sz w:val="16"/>
                <w:szCs w:val="16"/>
              </w:rPr>
              <w:t xml:space="preserve">Lake Meran </w:t>
            </w:r>
            <w:r w:rsidRPr="003D024A">
              <w:rPr>
                <w:color w:val="231F20"/>
                <w:spacing w:val="-3"/>
                <w:sz w:val="16"/>
                <w:szCs w:val="16"/>
              </w:rPr>
              <w:t xml:space="preserve">(top- </w:t>
            </w:r>
            <w:r w:rsidRPr="003D024A">
              <w:rPr>
                <w:color w:val="231F20"/>
                <w:sz w:val="16"/>
                <w:szCs w:val="16"/>
              </w:rPr>
              <w:t>ups)</w:t>
            </w:r>
          </w:p>
          <w:p w:rsidR="003D024A" w:rsidRPr="003D024A" w:rsidRDefault="003D024A" w:rsidP="003D024A">
            <w:pPr>
              <w:pStyle w:val="TableParagraph"/>
              <w:numPr>
                <w:ilvl w:val="0"/>
                <w:numId w:val="26"/>
              </w:numPr>
              <w:tabs>
                <w:tab w:val="left" w:pos="305"/>
              </w:tabs>
              <w:spacing w:before="86"/>
              <w:rPr>
                <w:sz w:val="16"/>
                <w:szCs w:val="16"/>
              </w:rPr>
            </w:pPr>
            <w:r w:rsidRPr="003D024A">
              <w:rPr>
                <w:color w:val="231F20"/>
                <w:sz w:val="16"/>
                <w:szCs w:val="16"/>
              </w:rPr>
              <w:t xml:space="preserve">Lake </w:t>
            </w:r>
            <w:r w:rsidRPr="003D024A">
              <w:rPr>
                <w:color w:val="231F20"/>
                <w:spacing w:val="-4"/>
                <w:sz w:val="16"/>
                <w:szCs w:val="16"/>
              </w:rPr>
              <w:t>Yando</w:t>
            </w:r>
            <w:r w:rsidRPr="003D024A">
              <w:rPr>
                <w:color w:val="231F20"/>
                <w:spacing w:val="-5"/>
                <w:sz w:val="16"/>
                <w:szCs w:val="16"/>
              </w:rPr>
              <w:t xml:space="preserve"> </w:t>
            </w:r>
            <w:r w:rsidRPr="003D024A">
              <w:rPr>
                <w:color w:val="231F20"/>
                <w:sz w:val="16"/>
                <w:szCs w:val="16"/>
              </w:rPr>
              <w:t>(fill)</w:t>
            </w:r>
          </w:p>
          <w:p w:rsidR="003D024A" w:rsidRPr="003D024A" w:rsidRDefault="003D024A" w:rsidP="003D024A">
            <w:pPr>
              <w:pStyle w:val="TableParagraph"/>
              <w:numPr>
                <w:ilvl w:val="0"/>
                <w:numId w:val="26"/>
              </w:numPr>
              <w:tabs>
                <w:tab w:val="left" w:pos="305"/>
              </w:tabs>
              <w:spacing w:before="98"/>
              <w:rPr>
                <w:sz w:val="16"/>
                <w:szCs w:val="16"/>
              </w:rPr>
            </w:pPr>
            <w:r w:rsidRPr="003D024A">
              <w:rPr>
                <w:color w:val="231F20"/>
                <w:sz w:val="16"/>
                <w:szCs w:val="16"/>
              </w:rPr>
              <w:t>Lake Leaghur</w:t>
            </w:r>
            <w:r w:rsidRPr="003D024A">
              <w:rPr>
                <w:color w:val="231F20"/>
                <w:spacing w:val="-5"/>
                <w:sz w:val="16"/>
                <w:szCs w:val="16"/>
              </w:rPr>
              <w:t xml:space="preserve"> </w:t>
            </w:r>
            <w:r w:rsidRPr="003D024A">
              <w:rPr>
                <w:color w:val="231F20"/>
                <w:sz w:val="16"/>
                <w:szCs w:val="16"/>
              </w:rPr>
              <w:t>(fill)</w:t>
            </w:r>
          </w:p>
          <w:p w:rsidR="003D024A" w:rsidRPr="003D024A" w:rsidRDefault="003D024A" w:rsidP="003D024A">
            <w:pPr>
              <w:pStyle w:val="TableParagraph"/>
              <w:numPr>
                <w:ilvl w:val="0"/>
                <w:numId w:val="26"/>
              </w:numPr>
              <w:tabs>
                <w:tab w:val="left" w:pos="305"/>
              </w:tabs>
              <w:spacing w:before="98" w:line="254" w:lineRule="auto"/>
              <w:ind w:right="263"/>
              <w:rPr>
                <w:sz w:val="16"/>
                <w:szCs w:val="16"/>
              </w:rPr>
            </w:pPr>
            <w:r w:rsidRPr="003D024A">
              <w:rPr>
                <w:color w:val="231F20"/>
                <w:sz w:val="16"/>
                <w:szCs w:val="16"/>
              </w:rPr>
              <w:t xml:space="preserve">Lake </w:t>
            </w:r>
            <w:r w:rsidRPr="003D024A">
              <w:rPr>
                <w:color w:val="231F20"/>
                <w:spacing w:val="-4"/>
                <w:sz w:val="16"/>
                <w:szCs w:val="16"/>
              </w:rPr>
              <w:t xml:space="preserve">Yando </w:t>
            </w:r>
            <w:r w:rsidRPr="003D024A">
              <w:rPr>
                <w:color w:val="231F20"/>
                <w:sz w:val="16"/>
                <w:szCs w:val="16"/>
              </w:rPr>
              <w:t>and Lake Leaghur (top up, if</w:t>
            </w:r>
            <w:r w:rsidRPr="003D024A">
              <w:rPr>
                <w:color w:val="231F20"/>
                <w:spacing w:val="-3"/>
                <w:sz w:val="16"/>
                <w:szCs w:val="16"/>
              </w:rPr>
              <w:t xml:space="preserve"> </w:t>
            </w:r>
            <w:r w:rsidRPr="003D024A">
              <w:rPr>
                <w:color w:val="231F20"/>
                <w:sz w:val="16"/>
                <w:szCs w:val="16"/>
              </w:rPr>
              <w:t>triggered)</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5"/>
              </w:numPr>
              <w:tabs>
                <w:tab w:val="left" w:pos="305"/>
              </w:tabs>
              <w:spacing w:before="63" w:line="254" w:lineRule="auto"/>
              <w:ind w:right="353"/>
              <w:rPr>
                <w:sz w:val="16"/>
                <w:szCs w:val="16"/>
              </w:rPr>
            </w:pPr>
            <w:r w:rsidRPr="003D024A">
              <w:rPr>
                <w:color w:val="231F20"/>
                <w:sz w:val="16"/>
                <w:szCs w:val="16"/>
              </w:rPr>
              <w:t xml:space="preserve">Lake Meran </w:t>
            </w:r>
            <w:r w:rsidRPr="003D024A">
              <w:rPr>
                <w:color w:val="231F20"/>
                <w:spacing w:val="-3"/>
                <w:sz w:val="16"/>
                <w:szCs w:val="16"/>
              </w:rPr>
              <w:t xml:space="preserve">(top- </w:t>
            </w:r>
            <w:r w:rsidRPr="003D024A">
              <w:rPr>
                <w:color w:val="231F20"/>
                <w:sz w:val="16"/>
                <w:szCs w:val="16"/>
              </w:rPr>
              <w:t>ups)</w:t>
            </w:r>
          </w:p>
          <w:p w:rsidR="003D024A" w:rsidRPr="003D024A" w:rsidRDefault="003D024A" w:rsidP="003D024A">
            <w:pPr>
              <w:pStyle w:val="TableParagraph"/>
              <w:numPr>
                <w:ilvl w:val="0"/>
                <w:numId w:val="25"/>
              </w:numPr>
              <w:tabs>
                <w:tab w:val="left" w:pos="305"/>
              </w:tabs>
              <w:spacing w:before="86" w:line="254" w:lineRule="auto"/>
              <w:ind w:right="303"/>
              <w:rPr>
                <w:sz w:val="16"/>
                <w:szCs w:val="16"/>
              </w:rPr>
            </w:pPr>
            <w:r w:rsidRPr="003D024A">
              <w:rPr>
                <w:color w:val="231F20"/>
                <w:sz w:val="16"/>
                <w:szCs w:val="16"/>
              </w:rPr>
              <w:t>Lake Meran (fill, if required)</w:t>
            </w:r>
          </w:p>
          <w:p w:rsidR="003D024A" w:rsidRPr="003D024A" w:rsidRDefault="003D024A" w:rsidP="003D024A">
            <w:pPr>
              <w:pStyle w:val="TableParagraph"/>
              <w:numPr>
                <w:ilvl w:val="0"/>
                <w:numId w:val="25"/>
              </w:numPr>
              <w:tabs>
                <w:tab w:val="left" w:pos="305"/>
              </w:tabs>
              <w:spacing w:before="86"/>
              <w:rPr>
                <w:sz w:val="16"/>
                <w:szCs w:val="16"/>
              </w:rPr>
            </w:pPr>
            <w:r w:rsidRPr="003D024A">
              <w:rPr>
                <w:color w:val="231F20"/>
                <w:sz w:val="16"/>
                <w:szCs w:val="16"/>
              </w:rPr>
              <w:t xml:space="preserve">Lake </w:t>
            </w:r>
            <w:r w:rsidRPr="003D024A">
              <w:rPr>
                <w:color w:val="231F20"/>
                <w:spacing w:val="-4"/>
                <w:sz w:val="16"/>
                <w:szCs w:val="16"/>
              </w:rPr>
              <w:t>Yando</w:t>
            </w:r>
            <w:r w:rsidRPr="003D024A">
              <w:rPr>
                <w:color w:val="231F20"/>
                <w:spacing w:val="-5"/>
                <w:sz w:val="16"/>
                <w:szCs w:val="16"/>
              </w:rPr>
              <w:t xml:space="preserve"> </w:t>
            </w:r>
            <w:r w:rsidRPr="003D024A">
              <w:rPr>
                <w:color w:val="231F20"/>
                <w:sz w:val="16"/>
                <w:szCs w:val="16"/>
              </w:rPr>
              <w:t>(fill)</w:t>
            </w:r>
          </w:p>
          <w:p w:rsidR="003D024A" w:rsidRPr="003D024A" w:rsidRDefault="003D024A" w:rsidP="003D024A">
            <w:pPr>
              <w:pStyle w:val="TableParagraph"/>
              <w:numPr>
                <w:ilvl w:val="0"/>
                <w:numId w:val="25"/>
              </w:numPr>
              <w:tabs>
                <w:tab w:val="left" w:pos="305"/>
              </w:tabs>
              <w:spacing w:before="98"/>
              <w:rPr>
                <w:sz w:val="16"/>
                <w:szCs w:val="16"/>
              </w:rPr>
            </w:pPr>
            <w:r w:rsidRPr="003D024A">
              <w:rPr>
                <w:color w:val="231F20"/>
                <w:sz w:val="16"/>
                <w:szCs w:val="16"/>
              </w:rPr>
              <w:t>Lake Leaghur</w:t>
            </w:r>
            <w:r w:rsidRPr="003D024A">
              <w:rPr>
                <w:color w:val="231F20"/>
                <w:spacing w:val="-5"/>
                <w:sz w:val="16"/>
                <w:szCs w:val="16"/>
              </w:rPr>
              <w:t xml:space="preserve"> </w:t>
            </w:r>
            <w:r w:rsidRPr="003D024A">
              <w:rPr>
                <w:color w:val="231F20"/>
                <w:sz w:val="16"/>
                <w:szCs w:val="16"/>
              </w:rPr>
              <w:t>(fill)</w:t>
            </w:r>
          </w:p>
          <w:p w:rsidR="003D024A" w:rsidRPr="003D024A" w:rsidRDefault="003D024A" w:rsidP="003D024A">
            <w:pPr>
              <w:pStyle w:val="TableParagraph"/>
              <w:numPr>
                <w:ilvl w:val="0"/>
                <w:numId w:val="25"/>
              </w:numPr>
              <w:tabs>
                <w:tab w:val="left" w:pos="305"/>
              </w:tabs>
              <w:spacing w:before="98" w:line="254" w:lineRule="auto"/>
              <w:ind w:right="263"/>
              <w:rPr>
                <w:sz w:val="16"/>
                <w:szCs w:val="16"/>
              </w:rPr>
            </w:pPr>
            <w:r w:rsidRPr="003D024A">
              <w:rPr>
                <w:color w:val="231F20"/>
                <w:sz w:val="16"/>
                <w:szCs w:val="16"/>
              </w:rPr>
              <w:t xml:space="preserve">Lake </w:t>
            </w:r>
            <w:r w:rsidRPr="003D024A">
              <w:rPr>
                <w:color w:val="231F20"/>
                <w:spacing w:val="-4"/>
                <w:sz w:val="16"/>
                <w:szCs w:val="16"/>
              </w:rPr>
              <w:t xml:space="preserve">Yando </w:t>
            </w:r>
            <w:r w:rsidRPr="003D024A">
              <w:rPr>
                <w:color w:val="231F20"/>
                <w:sz w:val="16"/>
                <w:szCs w:val="16"/>
              </w:rPr>
              <w:t>and Lake Leaghur (top up, if</w:t>
            </w:r>
            <w:r w:rsidRPr="003D024A">
              <w:rPr>
                <w:color w:val="231F20"/>
                <w:spacing w:val="-3"/>
                <w:sz w:val="16"/>
                <w:szCs w:val="16"/>
              </w:rPr>
              <w:t xml:space="preserve"> </w:t>
            </w:r>
            <w:r w:rsidRPr="003D024A">
              <w:rPr>
                <w:color w:val="231F20"/>
                <w:sz w:val="16"/>
                <w:szCs w:val="16"/>
              </w:rPr>
              <w:t>triggered)</w:t>
            </w:r>
          </w:p>
        </w:tc>
      </w:tr>
      <w:tr w:rsidR="003D024A" w:rsidTr="00B114BD">
        <w:trPr>
          <w:trHeight w:val="1667"/>
        </w:trPr>
        <w:tc>
          <w:tcPr>
            <w:tcW w:w="2041" w:type="dxa"/>
            <w:tcBorders>
              <w:top w:val="single" w:sz="2" w:space="0" w:color="auto"/>
              <w:left w:val="single" w:sz="4" w:space="0" w:color="231F20"/>
              <w:bottom w:val="single" w:sz="2" w:space="0" w:color="auto"/>
              <w:right w:val="single" w:sz="4" w:space="0" w:color="231F20"/>
            </w:tcBorders>
          </w:tcPr>
          <w:p w:rsidR="003D024A" w:rsidRDefault="003D024A" w:rsidP="003D024A">
            <w:pPr>
              <w:pStyle w:val="TableParagraph"/>
              <w:spacing w:before="67" w:line="261" w:lineRule="auto"/>
              <w:ind w:left="85" w:right="253"/>
              <w:rPr>
                <w:sz w:val="9"/>
              </w:rPr>
            </w:pPr>
            <w:r>
              <w:rPr>
                <w:color w:val="231F20"/>
                <w:sz w:val="16"/>
              </w:rPr>
              <w:t>Potential environmental watering – tier 2 (additional priorities)</w:t>
            </w:r>
            <w:r>
              <w:rPr>
                <w:color w:val="231F20"/>
                <w:position w:val="5"/>
                <w:sz w:val="9"/>
              </w:rPr>
              <w:t>2</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4"/>
              </w:numPr>
              <w:tabs>
                <w:tab w:val="left" w:pos="305"/>
              </w:tabs>
              <w:spacing w:before="63"/>
              <w:rPr>
                <w:sz w:val="16"/>
                <w:szCs w:val="16"/>
              </w:rPr>
            </w:pPr>
            <w:r w:rsidRPr="003D024A">
              <w:rPr>
                <w:color w:val="231F20"/>
                <w:sz w:val="16"/>
                <w:szCs w:val="16"/>
              </w:rPr>
              <w:t>Lake Leaghur</w:t>
            </w:r>
            <w:r w:rsidRPr="003D024A">
              <w:rPr>
                <w:color w:val="231F20"/>
                <w:spacing w:val="-5"/>
                <w:sz w:val="16"/>
                <w:szCs w:val="16"/>
              </w:rPr>
              <w:t xml:space="preserve"> </w:t>
            </w:r>
            <w:r w:rsidRPr="003D024A">
              <w:rPr>
                <w:color w:val="231F20"/>
                <w:sz w:val="16"/>
                <w:szCs w:val="16"/>
              </w:rPr>
              <w:t>(fill)</w:t>
            </w:r>
          </w:p>
          <w:p w:rsidR="003D024A" w:rsidRPr="003D024A" w:rsidRDefault="003D024A" w:rsidP="003D024A">
            <w:pPr>
              <w:pStyle w:val="TableParagraph"/>
              <w:numPr>
                <w:ilvl w:val="0"/>
                <w:numId w:val="24"/>
              </w:numPr>
              <w:tabs>
                <w:tab w:val="left" w:pos="305"/>
              </w:tabs>
              <w:spacing w:before="98"/>
              <w:rPr>
                <w:sz w:val="16"/>
                <w:szCs w:val="16"/>
              </w:rPr>
            </w:pPr>
            <w:r w:rsidRPr="003D024A">
              <w:rPr>
                <w:color w:val="231F20"/>
                <w:sz w:val="16"/>
                <w:szCs w:val="16"/>
              </w:rPr>
              <w:t>Lake</w:t>
            </w:r>
            <w:r w:rsidRPr="003D024A">
              <w:rPr>
                <w:color w:val="231F20"/>
                <w:spacing w:val="-2"/>
                <w:sz w:val="16"/>
                <w:szCs w:val="16"/>
              </w:rPr>
              <w:t xml:space="preserve"> </w:t>
            </w:r>
            <w:r w:rsidRPr="003D024A">
              <w:rPr>
                <w:color w:val="231F20"/>
                <w:sz w:val="16"/>
                <w:szCs w:val="16"/>
              </w:rPr>
              <w:t>Leaghur</w:t>
            </w:r>
          </w:p>
          <w:p w:rsidR="003D024A" w:rsidRPr="003D024A" w:rsidRDefault="003D024A" w:rsidP="003D024A">
            <w:pPr>
              <w:pStyle w:val="TableParagraph"/>
              <w:spacing w:before="13"/>
              <w:rPr>
                <w:sz w:val="16"/>
                <w:szCs w:val="16"/>
              </w:rPr>
            </w:pPr>
            <w:r w:rsidRPr="003D024A">
              <w:rPr>
                <w:color w:val="231F20"/>
                <w:sz w:val="16"/>
                <w:szCs w:val="16"/>
              </w:rPr>
              <w:t>(top up, if triggered)</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3"/>
              </w:numPr>
              <w:tabs>
                <w:tab w:val="left" w:pos="305"/>
              </w:tabs>
              <w:spacing w:before="63"/>
              <w:rPr>
                <w:sz w:val="16"/>
                <w:szCs w:val="16"/>
              </w:rPr>
            </w:pPr>
            <w:r w:rsidRPr="003D024A">
              <w:rPr>
                <w:color w:val="231F20"/>
                <w:sz w:val="16"/>
                <w:szCs w:val="16"/>
              </w:rPr>
              <w:t>Lake Leaghur</w:t>
            </w:r>
            <w:r w:rsidRPr="003D024A">
              <w:rPr>
                <w:color w:val="231F20"/>
                <w:spacing w:val="-5"/>
                <w:sz w:val="16"/>
                <w:szCs w:val="16"/>
              </w:rPr>
              <w:t xml:space="preserve"> </w:t>
            </w:r>
            <w:r w:rsidRPr="003D024A">
              <w:rPr>
                <w:color w:val="231F20"/>
                <w:sz w:val="16"/>
                <w:szCs w:val="16"/>
              </w:rPr>
              <w:t>(fill)</w:t>
            </w:r>
          </w:p>
          <w:p w:rsidR="003D024A" w:rsidRPr="003D024A" w:rsidRDefault="003D024A" w:rsidP="003D024A">
            <w:pPr>
              <w:pStyle w:val="TableParagraph"/>
              <w:numPr>
                <w:ilvl w:val="0"/>
                <w:numId w:val="23"/>
              </w:numPr>
              <w:tabs>
                <w:tab w:val="left" w:pos="305"/>
              </w:tabs>
              <w:spacing w:before="98"/>
              <w:rPr>
                <w:sz w:val="16"/>
                <w:szCs w:val="16"/>
              </w:rPr>
            </w:pPr>
            <w:r w:rsidRPr="003D024A">
              <w:rPr>
                <w:color w:val="231F20"/>
                <w:sz w:val="16"/>
                <w:szCs w:val="16"/>
              </w:rPr>
              <w:t>Lake</w:t>
            </w:r>
            <w:r w:rsidRPr="003D024A">
              <w:rPr>
                <w:color w:val="231F20"/>
                <w:spacing w:val="-2"/>
                <w:sz w:val="16"/>
                <w:szCs w:val="16"/>
              </w:rPr>
              <w:t xml:space="preserve"> </w:t>
            </w:r>
            <w:r w:rsidRPr="003D024A">
              <w:rPr>
                <w:color w:val="231F20"/>
                <w:sz w:val="16"/>
                <w:szCs w:val="16"/>
              </w:rPr>
              <w:t>Leaghur</w:t>
            </w:r>
          </w:p>
          <w:p w:rsidR="003D024A" w:rsidRPr="003D024A" w:rsidRDefault="003D024A" w:rsidP="003D024A">
            <w:pPr>
              <w:pStyle w:val="TableParagraph"/>
              <w:spacing w:before="13"/>
              <w:rPr>
                <w:sz w:val="16"/>
                <w:szCs w:val="16"/>
              </w:rPr>
            </w:pPr>
            <w:r w:rsidRPr="003D024A">
              <w:rPr>
                <w:color w:val="231F20"/>
                <w:sz w:val="16"/>
                <w:szCs w:val="16"/>
              </w:rPr>
              <w:t>(top up, if triggered)</w:t>
            </w:r>
          </w:p>
        </w:tc>
        <w:tc>
          <w:tcPr>
            <w:tcW w:w="4082" w:type="dxa"/>
            <w:gridSpan w:val="2"/>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2"/>
              </w:numPr>
              <w:tabs>
                <w:tab w:val="left" w:pos="305"/>
              </w:tabs>
              <w:spacing w:before="63"/>
              <w:rPr>
                <w:sz w:val="16"/>
                <w:szCs w:val="16"/>
              </w:rPr>
            </w:pPr>
            <w:r w:rsidRPr="003D024A">
              <w:rPr>
                <w:color w:val="231F20"/>
                <w:sz w:val="16"/>
                <w:szCs w:val="16"/>
              </w:rPr>
              <w:t>N/A</w:t>
            </w:r>
          </w:p>
        </w:tc>
      </w:tr>
      <w:tr w:rsidR="003D024A" w:rsidTr="003D024A">
        <w:trPr>
          <w:trHeight w:val="1667"/>
        </w:trPr>
        <w:tc>
          <w:tcPr>
            <w:tcW w:w="2041" w:type="dxa"/>
            <w:tcBorders>
              <w:top w:val="single" w:sz="2" w:space="0" w:color="auto"/>
              <w:left w:val="single" w:sz="4" w:space="0" w:color="231F20"/>
              <w:bottom w:val="single" w:sz="2" w:space="0" w:color="auto"/>
              <w:right w:val="single" w:sz="4" w:space="0" w:color="231F20"/>
            </w:tcBorders>
          </w:tcPr>
          <w:p w:rsidR="003D024A" w:rsidRDefault="003D024A" w:rsidP="003D024A">
            <w:pPr>
              <w:pStyle w:val="TableParagraph"/>
              <w:spacing w:before="67" w:line="261" w:lineRule="auto"/>
              <w:ind w:left="85" w:right="485"/>
              <w:rPr>
                <w:sz w:val="9"/>
              </w:rPr>
            </w:pPr>
            <w:r>
              <w:rPr>
                <w:color w:val="231F20"/>
                <w:sz w:val="16"/>
              </w:rPr>
              <w:t>Possible volume of environmental water required to achieve objectives</w:t>
            </w:r>
            <w:r>
              <w:rPr>
                <w:color w:val="231F20"/>
                <w:position w:val="5"/>
                <w:sz w:val="9"/>
              </w:rPr>
              <w:t>3</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1"/>
              </w:numPr>
              <w:tabs>
                <w:tab w:val="left" w:pos="305"/>
              </w:tabs>
              <w:spacing w:before="63"/>
              <w:rPr>
                <w:sz w:val="16"/>
                <w:szCs w:val="16"/>
              </w:rPr>
            </w:pPr>
            <w:r w:rsidRPr="003D024A">
              <w:rPr>
                <w:color w:val="231F20"/>
                <w:sz w:val="16"/>
                <w:szCs w:val="16"/>
              </w:rPr>
              <w:t>3,400 ML (tier</w:t>
            </w:r>
            <w:r w:rsidRPr="003D024A">
              <w:rPr>
                <w:color w:val="231F20"/>
                <w:spacing w:val="-14"/>
                <w:sz w:val="16"/>
                <w:szCs w:val="16"/>
              </w:rPr>
              <w:t xml:space="preserve"> </w:t>
            </w:r>
            <w:r w:rsidRPr="003D024A">
              <w:rPr>
                <w:color w:val="231F20"/>
                <w:sz w:val="16"/>
                <w:szCs w:val="16"/>
              </w:rPr>
              <w:t>1)</w:t>
            </w:r>
          </w:p>
          <w:p w:rsidR="003D024A" w:rsidRPr="003D024A" w:rsidRDefault="003D024A" w:rsidP="003D024A">
            <w:pPr>
              <w:pStyle w:val="TableParagraph"/>
              <w:numPr>
                <w:ilvl w:val="0"/>
                <w:numId w:val="21"/>
              </w:numPr>
              <w:tabs>
                <w:tab w:val="left" w:pos="305"/>
              </w:tabs>
              <w:spacing w:before="98"/>
              <w:rPr>
                <w:sz w:val="16"/>
                <w:szCs w:val="16"/>
              </w:rPr>
            </w:pPr>
            <w:r w:rsidRPr="003D024A">
              <w:rPr>
                <w:color w:val="231F20"/>
                <w:sz w:val="16"/>
                <w:szCs w:val="16"/>
              </w:rPr>
              <w:t>2,000 ML (tier</w:t>
            </w:r>
            <w:r w:rsidRPr="003D024A">
              <w:rPr>
                <w:color w:val="231F20"/>
                <w:spacing w:val="-14"/>
                <w:sz w:val="16"/>
                <w:szCs w:val="16"/>
              </w:rPr>
              <w:t xml:space="preserve"> </w:t>
            </w:r>
            <w:r w:rsidRPr="003D024A">
              <w:rPr>
                <w:color w:val="231F20"/>
                <w:sz w:val="16"/>
                <w:szCs w:val="16"/>
              </w:rPr>
              <w:t>2)</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20"/>
              </w:numPr>
              <w:tabs>
                <w:tab w:val="left" w:pos="305"/>
              </w:tabs>
              <w:spacing w:before="63"/>
              <w:rPr>
                <w:sz w:val="16"/>
                <w:szCs w:val="16"/>
              </w:rPr>
            </w:pPr>
            <w:r w:rsidRPr="003D024A">
              <w:rPr>
                <w:color w:val="231F20"/>
                <w:sz w:val="16"/>
                <w:szCs w:val="16"/>
              </w:rPr>
              <w:t>3,400 ML (tier</w:t>
            </w:r>
            <w:r w:rsidRPr="003D024A">
              <w:rPr>
                <w:color w:val="231F20"/>
                <w:spacing w:val="-14"/>
                <w:sz w:val="16"/>
                <w:szCs w:val="16"/>
              </w:rPr>
              <w:t xml:space="preserve"> </w:t>
            </w:r>
            <w:r w:rsidRPr="003D024A">
              <w:rPr>
                <w:color w:val="231F20"/>
                <w:sz w:val="16"/>
                <w:szCs w:val="16"/>
              </w:rPr>
              <w:t>1)</w:t>
            </w:r>
          </w:p>
          <w:p w:rsidR="003D024A" w:rsidRPr="003D024A" w:rsidRDefault="003D024A" w:rsidP="003D024A">
            <w:pPr>
              <w:pStyle w:val="TableParagraph"/>
              <w:numPr>
                <w:ilvl w:val="0"/>
                <w:numId w:val="20"/>
              </w:numPr>
              <w:tabs>
                <w:tab w:val="left" w:pos="305"/>
              </w:tabs>
              <w:spacing w:before="98"/>
              <w:rPr>
                <w:sz w:val="16"/>
                <w:szCs w:val="16"/>
              </w:rPr>
            </w:pPr>
            <w:r w:rsidRPr="003D024A">
              <w:rPr>
                <w:color w:val="231F20"/>
                <w:sz w:val="16"/>
                <w:szCs w:val="16"/>
              </w:rPr>
              <w:t>2,000 ML (tier</w:t>
            </w:r>
            <w:r w:rsidRPr="003D024A">
              <w:rPr>
                <w:color w:val="231F20"/>
                <w:spacing w:val="-14"/>
                <w:sz w:val="16"/>
                <w:szCs w:val="16"/>
              </w:rPr>
              <w:t xml:space="preserve"> </w:t>
            </w:r>
            <w:r w:rsidRPr="003D024A">
              <w:rPr>
                <w:color w:val="231F20"/>
                <w:sz w:val="16"/>
                <w:szCs w:val="16"/>
              </w:rPr>
              <w:t>2)</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19"/>
              </w:numPr>
              <w:tabs>
                <w:tab w:val="left" w:pos="305"/>
              </w:tabs>
              <w:spacing w:before="63"/>
              <w:rPr>
                <w:sz w:val="16"/>
                <w:szCs w:val="16"/>
              </w:rPr>
            </w:pPr>
            <w:r w:rsidRPr="003D024A">
              <w:rPr>
                <w:color w:val="231F20"/>
                <w:sz w:val="16"/>
                <w:szCs w:val="16"/>
              </w:rPr>
              <w:t>5,400 ML (tier</w:t>
            </w:r>
            <w:r w:rsidRPr="003D024A">
              <w:rPr>
                <w:color w:val="231F20"/>
                <w:spacing w:val="-10"/>
                <w:sz w:val="16"/>
                <w:szCs w:val="16"/>
              </w:rPr>
              <w:t xml:space="preserve"> </w:t>
            </w:r>
            <w:r w:rsidRPr="003D024A">
              <w:rPr>
                <w:color w:val="231F20"/>
                <w:sz w:val="16"/>
                <w:szCs w:val="16"/>
              </w:rPr>
              <w:t>1)</w:t>
            </w:r>
          </w:p>
        </w:tc>
        <w:tc>
          <w:tcPr>
            <w:tcW w:w="2041" w:type="dxa"/>
            <w:tcBorders>
              <w:top w:val="single" w:sz="2" w:space="0" w:color="auto"/>
              <w:left w:val="single" w:sz="4" w:space="0" w:color="231F20"/>
              <w:bottom w:val="single" w:sz="2" w:space="0" w:color="auto"/>
              <w:right w:val="single" w:sz="4" w:space="0" w:color="231F20"/>
            </w:tcBorders>
          </w:tcPr>
          <w:p w:rsidR="003D024A" w:rsidRPr="003D024A" w:rsidRDefault="003D024A" w:rsidP="003D024A">
            <w:pPr>
              <w:pStyle w:val="TableParagraph"/>
              <w:numPr>
                <w:ilvl w:val="0"/>
                <w:numId w:val="18"/>
              </w:numPr>
              <w:tabs>
                <w:tab w:val="left" w:pos="305"/>
              </w:tabs>
              <w:spacing w:before="63"/>
              <w:rPr>
                <w:sz w:val="16"/>
                <w:szCs w:val="16"/>
              </w:rPr>
            </w:pPr>
            <w:r w:rsidRPr="003D024A">
              <w:rPr>
                <w:color w:val="231F20"/>
                <w:sz w:val="16"/>
                <w:szCs w:val="16"/>
              </w:rPr>
              <w:t>5,400–11,400</w:t>
            </w:r>
            <w:r w:rsidRPr="003D024A">
              <w:rPr>
                <w:color w:val="231F20"/>
                <w:spacing w:val="-4"/>
                <w:sz w:val="16"/>
                <w:szCs w:val="16"/>
              </w:rPr>
              <w:t xml:space="preserve"> </w:t>
            </w:r>
            <w:r w:rsidRPr="003D024A">
              <w:rPr>
                <w:color w:val="231F20"/>
                <w:sz w:val="16"/>
                <w:szCs w:val="16"/>
              </w:rPr>
              <w:t>ML</w:t>
            </w:r>
            <w:r w:rsidR="0087445D">
              <w:rPr>
                <w:color w:val="231F20"/>
                <w:sz w:val="16"/>
                <w:szCs w:val="16"/>
              </w:rPr>
              <w:t xml:space="preserve"> </w:t>
            </w:r>
          </w:p>
          <w:p w:rsidR="003D024A" w:rsidRPr="003D024A" w:rsidRDefault="003D024A" w:rsidP="003D024A">
            <w:pPr>
              <w:pStyle w:val="TableParagraph"/>
              <w:spacing w:before="13"/>
              <w:rPr>
                <w:sz w:val="16"/>
                <w:szCs w:val="16"/>
              </w:rPr>
            </w:pPr>
            <w:r w:rsidRPr="003D024A">
              <w:rPr>
                <w:color w:val="231F20"/>
                <w:sz w:val="16"/>
                <w:szCs w:val="16"/>
              </w:rPr>
              <w:t>(tier 1)</w:t>
            </w:r>
          </w:p>
        </w:tc>
      </w:tr>
    </w:tbl>
    <w:p w:rsidR="006A7A3F" w:rsidRDefault="00BC7372">
      <w:pPr>
        <w:pStyle w:val="ListParagraph"/>
        <w:numPr>
          <w:ilvl w:val="0"/>
          <w:numId w:val="17"/>
        </w:numPr>
        <w:tabs>
          <w:tab w:val="left" w:pos="324"/>
        </w:tabs>
        <w:spacing w:before="16" w:line="266" w:lineRule="auto"/>
        <w:ind w:right="496"/>
        <w:rPr>
          <w:sz w:val="14"/>
        </w:rPr>
      </w:pPr>
      <w:r>
        <w:rPr>
          <w:color w:val="231F20"/>
          <w:sz w:val="14"/>
        </w:rPr>
        <w:t xml:space="preserve">Tier 1 potential environmental watering for the </w:t>
      </w:r>
      <w:r>
        <w:rPr>
          <w:color w:val="231F20"/>
          <w:spacing w:val="2"/>
          <w:sz w:val="14"/>
        </w:rPr>
        <w:t xml:space="preserve">Boort </w:t>
      </w:r>
      <w:r>
        <w:rPr>
          <w:color w:val="231F20"/>
          <w:sz w:val="14"/>
        </w:rPr>
        <w:t xml:space="preserve">wetlands is not classified as tier 1a or 1b because the water available for use is shared across various systems and it is not possible to reliably determine the supply specifically available for the </w:t>
      </w:r>
      <w:r>
        <w:rPr>
          <w:color w:val="231F20"/>
          <w:spacing w:val="2"/>
          <w:sz w:val="14"/>
        </w:rPr>
        <w:t>Boort</w:t>
      </w:r>
      <w:r>
        <w:rPr>
          <w:color w:val="231F20"/>
          <w:spacing w:val="11"/>
          <w:sz w:val="14"/>
        </w:rPr>
        <w:t xml:space="preserve"> </w:t>
      </w:r>
      <w:r>
        <w:rPr>
          <w:color w:val="231F20"/>
          <w:sz w:val="14"/>
        </w:rPr>
        <w:t>wetlands</w:t>
      </w:r>
    </w:p>
    <w:p w:rsidR="006A7A3F" w:rsidRDefault="00BC7372">
      <w:pPr>
        <w:pStyle w:val="ListParagraph"/>
        <w:numPr>
          <w:ilvl w:val="0"/>
          <w:numId w:val="17"/>
        </w:numPr>
        <w:tabs>
          <w:tab w:val="left" w:pos="324"/>
        </w:tabs>
        <w:spacing w:before="55"/>
        <w:rPr>
          <w:sz w:val="14"/>
        </w:rPr>
      </w:pPr>
      <w:r>
        <w:rPr>
          <w:color w:val="231F20"/>
          <w:sz w:val="14"/>
        </w:rPr>
        <w:t xml:space="preserve">Wetlands are listed in </w:t>
      </w:r>
      <w:r>
        <w:rPr>
          <w:color w:val="231F20"/>
          <w:spacing w:val="2"/>
          <w:sz w:val="14"/>
        </w:rPr>
        <w:t xml:space="preserve">priority </w:t>
      </w:r>
      <w:r>
        <w:rPr>
          <w:color w:val="231F20"/>
          <w:sz w:val="14"/>
        </w:rPr>
        <w:t>order for tier 1 and tier 2 under all</w:t>
      </w:r>
      <w:r>
        <w:rPr>
          <w:color w:val="231F20"/>
          <w:spacing w:val="-3"/>
          <w:sz w:val="14"/>
        </w:rPr>
        <w:t xml:space="preserve"> </w:t>
      </w:r>
      <w:r>
        <w:rPr>
          <w:color w:val="231F20"/>
          <w:sz w:val="14"/>
        </w:rPr>
        <w:t>scenarios.</w:t>
      </w:r>
    </w:p>
    <w:p w:rsidR="006A7A3F" w:rsidRDefault="00BC7372">
      <w:pPr>
        <w:pStyle w:val="ListParagraph"/>
        <w:numPr>
          <w:ilvl w:val="0"/>
          <w:numId w:val="17"/>
        </w:numPr>
        <w:tabs>
          <w:tab w:val="left" w:pos="324"/>
        </w:tabs>
        <w:spacing w:before="74"/>
        <w:rPr>
          <w:sz w:val="14"/>
        </w:rPr>
      </w:pPr>
      <w:r>
        <w:rPr>
          <w:color w:val="231F20"/>
          <w:sz w:val="14"/>
        </w:rPr>
        <w:t>Environmental water requirements for tier 2 actions are additional to tier 1</w:t>
      </w:r>
      <w:r>
        <w:rPr>
          <w:color w:val="231F20"/>
          <w:spacing w:val="3"/>
          <w:sz w:val="14"/>
        </w:rPr>
        <w:t xml:space="preserve"> </w:t>
      </w:r>
      <w:r>
        <w:rPr>
          <w:color w:val="231F20"/>
          <w:sz w:val="14"/>
        </w:rPr>
        <w:t>requirements.</w:t>
      </w:r>
    </w:p>
    <w:p w:rsidR="003D024A" w:rsidRDefault="003D024A">
      <w:pPr>
        <w:rPr>
          <w:sz w:val="13"/>
          <w:szCs w:val="20"/>
        </w:rPr>
      </w:pPr>
      <w:r>
        <w:rPr>
          <w:sz w:val="13"/>
          <w:szCs w:val="20"/>
        </w:rPr>
        <w:br w:type="page"/>
      </w:r>
    </w:p>
    <w:p w:rsidR="006A7A3F" w:rsidRPr="003D024A" w:rsidRDefault="00BC7372">
      <w:pPr>
        <w:pStyle w:val="Heading5"/>
        <w:numPr>
          <w:ilvl w:val="2"/>
          <w:numId w:val="577"/>
        </w:numPr>
        <w:tabs>
          <w:tab w:val="left" w:pos="811"/>
        </w:tabs>
        <w:rPr>
          <w:rFonts w:ascii="Arial" w:hAnsi="Arial" w:cs="Arial"/>
          <w:b/>
          <w:bCs/>
          <w:color w:val="231F20"/>
        </w:rPr>
      </w:pPr>
      <w:r w:rsidRPr="003D024A">
        <w:rPr>
          <w:rFonts w:ascii="Arial" w:hAnsi="Arial" w:cs="Arial"/>
          <w:b/>
          <w:bCs/>
          <w:color w:val="231F20"/>
        </w:rPr>
        <w:t>Birchs</w:t>
      </w:r>
      <w:r w:rsidRPr="003D024A">
        <w:rPr>
          <w:rFonts w:ascii="Arial" w:hAnsi="Arial" w:cs="Arial"/>
          <w:b/>
          <w:bCs/>
          <w:color w:val="231F20"/>
          <w:spacing w:val="-1"/>
        </w:rPr>
        <w:t xml:space="preserve"> </w:t>
      </w:r>
      <w:r w:rsidRPr="003D024A">
        <w:rPr>
          <w:rFonts w:ascii="Arial" w:hAnsi="Arial" w:cs="Arial"/>
          <w:b/>
          <w:bCs/>
          <w:color w:val="231F20"/>
        </w:rPr>
        <w:t>Creek</w:t>
      </w:r>
    </w:p>
    <w:p w:rsidR="006A7A3F" w:rsidRDefault="00BC7372">
      <w:pPr>
        <w:spacing w:before="179"/>
        <w:ind w:left="210"/>
        <w:rPr>
          <w:rFonts w:ascii="Helvetica Neue LT Std 75"/>
          <w:b/>
          <w:sz w:val="19"/>
        </w:rPr>
      </w:pPr>
      <w:r>
        <w:rPr>
          <w:rFonts w:ascii="Helvetica Neue LT Std 75"/>
          <w:b/>
          <w:color w:val="231F20"/>
          <w:sz w:val="19"/>
        </w:rPr>
        <w:t>System overview</w:t>
      </w:r>
    </w:p>
    <w:p w:rsidR="006A7A3F" w:rsidRDefault="00BC7372">
      <w:pPr>
        <w:pStyle w:val="Heading6"/>
        <w:spacing w:line="276" w:lineRule="auto"/>
        <w:ind w:right="266"/>
      </w:pPr>
      <w:r>
        <w:rPr>
          <w:color w:val="231F20"/>
        </w:rPr>
        <w:t>Birchs Creek is a tributary of the Loddon River located in the southern-most part of the catchment. The creek rises in the ranges north-east of Ballarat and flows north-west through Newlyn and Smeaton before joining Tullaroop Creek near Clunes. The lower parts of the catchment are extensively cleared where the creek meanders through an incised basaltic valley. The creek contains a regionally significant platypus community and a vulnerable river blackfish population.</w:t>
      </w:r>
    </w:p>
    <w:p w:rsidR="006A7A3F" w:rsidRDefault="006A7A3F">
      <w:pPr>
        <w:pStyle w:val="BodyText"/>
        <w:spacing w:before="5"/>
        <w:ind w:left="0"/>
        <w:rPr>
          <w:sz w:val="21"/>
        </w:rPr>
      </w:pPr>
    </w:p>
    <w:p w:rsidR="006A7A3F" w:rsidRDefault="00BC7372">
      <w:pPr>
        <w:pStyle w:val="BodyText"/>
        <w:spacing w:before="1" w:line="249" w:lineRule="auto"/>
        <w:ind w:right="395"/>
        <w:jc w:val="both"/>
      </w:pPr>
      <w:r>
        <w:rPr>
          <w:color w:val="231F20"/>
        </w:rPr>
        <w:t>Birchs Creek is part of the broader Bullarook system which contains two small storages — Newlyn Reservoir and Hepburn</w:t>
      </w:r>
      <w:r>
        <w:rPr>
          <w:color w:val="231F20"/>
          <w:spacing w:val="-5"/>
        </w:rPr>
        <w:t xml:space="preserve"> </w:t>
      </w:r>
      <w:r>
        <w:rPr>
          <w:color w:val="231F20"/>
        </w:rPr>
        <w:t>Lagoon</w:t>
      </w:r>
      <w:r>
        <w:rPr>
          <w:color w:val="231F20"/>
          <w:spacing w:val="-4"/>
        </w:rPr>
        <w:t xml:space="preserve"> </w:t>
      </w:r>
      <w:r>
        <w:rPr>
          <w:color w:val="231F20"/>
        </w:rPr>
        <w:t>—</w:t>
      </w:r>
      <w:r>
        <w:rPr>
          <w:color w:val="231F20"/>
          <w:spacing w:val="-4"/>
        </w:rPr>
        <w:t xml:space="preserve"> </w:t>
      </w:r>
      <w:r>
        <w:rPr>
          <w:color w:val="231F20"/>
        </w:rPr>
        <w:t>which</w:t>
      </w:r>
      <w:r>
        <w:rPr>
          <w:color w:val="231F20"/>
          <w:spacing w:val="-4"/>
        </w:rPr>
        <w:t xml:space="preserve"> </w:t>
      </w:r>
      <w:r>
        <w:rPr>
          <w:color w:val="231F20"/>
        </w:rPr>
        <w:t>provide</w:t>
      </w:r>
      <w:r>
        <w:rPr>
          <w:color w:val="231F20"/>
          <w:spacing w:val="-5"/>
        </w:rPr>
        <w:t xml:space="preserve"> </w:t>
      </w:r>
      <w:r>
        <w:rPr>
          <w:color w:val="231F20"/>
        </w:rPr>
        <w:t>water</w:t>
      </w:r>
      <w:r>
        <w:rPr>
          <w:color w:val="231F20"/>
          <w:spacing w:val="-4"/>
        </w:rPr>
        <w:t xml:space="preserve"> </w:t>
      </w:r>
      <w:r>
        <w:rPr>
          <w:color w:val="231F20"/>
        </w:rPr>
        <w:t>for</w:t>
      </w:r>
      <w:r>
        <w:rPr>
          <w:color w:val="231F20"/>
          <w:spacing w:val="-4"/>
        </w:rPr>
        <w:t xml:space="preserve"> </w:t>
      </w:r>
      <w:r>
        <w:rPr>
          <w:color w:val="231F20"/>
        </w:rPr>
        <w:t>irrigation</w:t>
      </w:r>
      <w:r>
        <w:rPr>
          <w:color w:val="231F20"/>
          <w:spacing w:val="-4"/>
        </w:rPr>
        <w:t xml:space="preserve"> </w:t>
      </w:r>
      <w:r>
        <w:rPr>
          <w:color w:val="231F20"/>
        </w:rPr>
        <w:t>and</w:t>
      </w:r>
      <w:r>
        <w:rPr>
          <w:color w:val="231F20"/>
          <w:spacing w:val="-5"/>
        </w:rPr>
        <w:t xml:space="preserve"> </w:t>
      </w:r>
      <w:r>
        <w:rPr>
          <w:color w:val="231F20"/>
        </w:rPr>
        <w:t>urban</w:t>
      </w:r>
      <w:r>
        <w:rPr>
          <w:color w:val="231F20"/>
          <w:spacing w:val="-4"/>
        </w:rPr>
        <w:t xml:space="preserve"> </w:t>
      </w:r>
      <w:r>
        <w:rPr>
          <w:color w:val="231F20"/>
        </w:rPr>
        <w:t>supply.</w:t>
      </w:r>
      <w:r>
        <w:rPr>
          <w:color w:val="231F20"/>
          <w:spacing w:val="-8"/>
        </w:rPr>
        <w:t xml:space="preserve"> </w:t>
      </w:r>
      <w:r>
        <w:rPr>
          <w:color w:val="231F20"/>
        </w:rPr>
        <w:t>The</w:t>
      </w:r>
      <w:r>
        <w:rPr>
          <w:color w:val="231F20"/>
          <w:spacing w:val="-3"/>
        </w:rPr>
        <w:t xml:space="preserve"> </w:t>
      </w:r>
      <w:r>
        <w:rPr>
          <w:color w:val="231F20"/>
        </w:rPr>
        <w:t>storages</w:t>
      </w:r>
      <w:r>
        <w:rPr>
          <w:color w:val="231F20"/>
          <w:spacing w:val="-4"/>
        </w:rPr>
        <w:t xml:space="preserve"> </w:t>
      </w:r>
      <w:r>
        <w:rPr>
          <w:color w:val="231F20"/>
        </w:rPr>
        <w:t>fill</w:t>
      </w:r>
      <w:r>
        <w:rPr>
          <w:color w:val="231F20"/>
          <w:spacing w:val="-3"/>
        </w:rPr>
        <w:t xml:space="preserve"> </w:t>
      </w:r>
      <w:r>
        <w:rPr>
          <w:color w:val="231F20"/>
        </w:rPr>
        <w:t>and</w:t>
      </w:r>
      <w:r>
        <w:rPr>
          <w:color w:val="231F20"/>
          <w:spacing w:val="-5"/>
        </w:rPr>
        <w:t xml:space="preserve"> </w:t>
      </w:r>
      <w:r>
        <w:rPr>
          <w:color w:val="231F20"/>
        </w:rPr>
        <w:t>spill</w:t>
      </w:r>
      <w:r>
        <w:rPr>
          <w:color w:val="231F20"/>
          <w:spacing w:val="-3"/>
        </w:rPr>
        <w:t xml:space="preserve"> </w:t>
      </w:r>
      <w:r>
        <w:rPr>
          <w:color w:val="231F20"/>
        </w:rPr>
        <w:t>during</w:t>
      </w:r>
      <w:r>
        <w:rPr>
          <w:color w:val="231F20"/>
          <w:spacing w:val="-5"/>
        </w:rPr>
        <w:t xml:space="preserve"> </w:t>
      </w:r>
      <w:r>
        <w:rPr>
          <w:color w:val="231F20"/>
        </w:rPr>
        <w:t>winter</w:t>
      </w:r>
      <w:r>
        <w:rPr>
          <w:color w:val="231F20"/>
          <w:spacing w:val="-4"/>
        </w:rPr>
        <w:t xml:space="preserve"> </w:t>
      </w:r>
      <w:r>
        <w:rPr>
          <w:color w:val="231F20"/>
        </w:rPr>
        <w:t>or spring in years with average or above-average</w:t>
      </w:r>
      <w:r>
        <w:rPr>
          <w:color w:val="231F20"/>
          <w:spacing w:val="-7"/>
        </w:rPr>
        <w:t xml:space="preserve"> </w:t>
      </w:r>
      <w:r>
        <w:rPr>
          <w:color w:val="231F20"/>
        </w:rPr>
        <w:t>rainfall.</w:t>
      </w:r>
    </w:p>
    <w:p w:rsidR="006A7A3F" w:rsidRDefault="00BC7372">
      <w:pPr>
        <w:pStyle w:val="BodyText"/>
        <w:spacing w:line="249" w:lineRule="auto"/>
        <w:ind w:right="413"/>
        <w:jc w:val="both"/>
      </w:pPr>
      <w:r>
        <w:rPr>
          <w:color w:val="231F20"/>
        </w:rPr>
        <w:t xml:space="preserve">Birchs Creek receives tributary inflows from Rocky Lead, Langdons, Lawrence and </w:t>
      </w:r>
      <w:r>
        <w:rPr>
          <w:color w:val="231F20"/>
          <w:spacing w:val="-4"/>
        </w:rPr>
        <w:t xml:space="preserve">Tourello </w:t>
      </w:r>
      <w:r>
        <w:rPr>
          <w:color w:val="231F20"/>
        </w:rPr>
        <w:t>creeks. Groundwater provides reliable baseflows to the downstream reaches of Birchs Creek in most years.</w:t>
      </w:r>
    </w:p>
    <w:p w:rsidR="006A7A3F" w:rsidRDefault="00BC7372" w:rsidP="0087445D">
      <w:pPr>
        <w:pStyle w:val="BodyText"/>
        <w:spacing w:line="249" w:lineRule="auto"/>
        <w:ind w:right="743"/>
      </w:pPr>
      <w:r>
        <w:rPr>
          <w:color w:val="231F20"/>
        </w:rPr>
        <w:t>The VEWH is allocated 100 ML in Newlyn Reservoir on 1 December each year, provided that seasonal determinations in the Bullarook system are at least 20 percent. Any unused allocation from 1 December can be carried over until 30 November of the following water year, but if Newlyn Reservoir spills from 1 July to 30</w:t>
      </w:r>
      <w:r w:rsidR="0087445D">
        <w:rPr>
          <w:color w:val="231F20"/>
        </w:rPr>
        <w:t xml:space="preserve"> </w:t>
      </w:r>
      <w:r>
        <w:rPr>
          <w:color w:val="231F20"/>
        </w:rPr>
        <w:t>November, the volume held in carryover is lost. Any water remaining on 30 November is forfeited. When seasonal determinations are below 20 percent, the VEWH does not receive an allocation, and the system’s resources are shared equitably to protect critical human and environmental needs.</w:t>
      </w:r>
    </w:p>
    <w:p w:rsidR="006A7A3F" w:rsidRDefault="00BC7372">
      <w:pPr>
        <w:spacing w:before="182"/>
        <w:ind w:left="210"/>
        <w:rPr>
          <w:rFonts w:ascii="Helvetica Neue LT Std 75"/>
          <w:b/>
          <w:sz w:val="19"/>
        </w:rPr>
      </w:pPr>
      <w:r>
        <w:rPr>
          <w:rFonts w:ascii="Helvetica Neue LT Std 75"/>
          <w:b/>
          <w:color w:val="231F20"/>
          <w:sz w:val="19"/>
        </w:rPr>
        <w:t>Environmental values</w:t>
      </w:r>
    </w:p>
    <w:p w:rsidR="006A7A3F" w:rsidRDefault="00BC7372">
      <w:pPr>
        <w:pStyle w:val="BodyText"/>
        <w:spacing w:before="68" w:line="249" w:lineRule="auto"/>
        <w:ind w:right="385"/>
      </w:pPr>
      <w:r>
        <w:rPr>
          <w:color w:val="231F20"/>
        </w:rPr>
        <w:t>Birchs Creek supports threatened aquatic plants and its deep pools provide habitat for aquatic animals during dry periods. The creek contains native fish including regionally-significant populations of river blackfish and mountain galaxias as well as flat-headed gudgeon and Australian smelt. Recent monitoring indicates that platypus are present throughout the entire creek.</w:t>
      </w:r>
    </w:p>
    <w:p w:rsidR="006A7A3F" w:rsidRDefault="00BC7372">
      <w:pPr>
        <w:pStyle w:val="BodyText"/>
        <w:spacing w:before="173" w:line="249" w:lineRule="auto"/>
        <w:ind w:right="323"/>
        <w:jc w:val="both"/>
      </w:pPr>
      <w:r>
        <w:rPr>
          <w:color w:val="231F20"/>
        </w:rPr>
        <w:t>The removal of willows along the creek in 2018 has led to observed improvements in in-stream vegetation and the presence of small-bodied fish.</w:t>
      </w:r>
    </w:p>
    <w:p w:rsidR="003D024A" w:rsidRDefault="003D024A">
      <w:pPr>
        <w:rPr>
          <w:rFonts w:ascii="Helvetica Neue LT Std 75"/>
          <w:b/>
          <w:color w:val="231F20"/>
          <w:sz w:val="19"/>
        </w:rPr>
      </w:pPr>
      <w:r>
        <w:rPr>
          <w:rFonts w:ascii="Helvetica Neue LT Std 75"/>
          <w:b/>
          <w:color w:val="231F20"/>
          <w:sz w:val="19"/>
        </w:rPr>
        <w:br w:type="page"/>
      </w:r>
    </w:p>
    <w:p w:rsidR="006A7A3F" w:rsidRDefault="00BC7372">
      <w:pPr>
        <w:spacing w:before="181"/>
        <w:ind w:left="210"/>
        <w:rPr>
          <w:rFonts w:ascii="Helvetica Neue LT Std 75"/>
          <w:b/>
          <w:sz w:val="19"/>
        </w:rPr>
      </w:pPr>
      <w:r>
        <w:rPr>
          <w:rFonts w:ascii="Helvetica Neue LT Std 75"/>
          <w:b/>
          <w:color w:val="231F20"/>
          <w:sz w:val="19"/>
        </w:rPr>
        <w:t>Environmental watering objectives in Birchs Creek</w:t>
      </w:r>
    </w:p>
    <w:p w:rsidR="006A7A3F" w:rsidRDefault="006A7A3F">
      <w:pPr>
        <w:pStyle w:val="BodyText"/>
        <w:spacing w:before="11"/>
        <w:ind w:left="0"/>
        <w:rPr>
          <w:rFonts w:ascii="Helvetica Neue LT Std 75"/>
          <w:b/>
          <w:sz w:val="6"/>
        </w:rPr>
      </w:pPr>
    </w:p>
    <w:tbl>
      <w:tblPr>
        <w:tblW w:w="0" w:type="auto"/>
        <w:tblInd w:w="217" w:type="dxa"/>
        <w:tblLayout w:type="fixed"/>
        <w:tblCellMar>
          <w:left w:w="0" w:type="dxa"/>
          <w:right w:w="0" w:type="dxa"/>
        </w:tblCellMar>
        <w:tblLook w:val="01E0" w:firstRow="1" w:lastRow="1" w:firstColumn="1" w:lastColumn="1" w:noHBand="0" w:noVBand="0"/>
      </w:tblPr>
      <w:tblGrid>
        <w:gridCol w:w="789"/>
        <w:gridCol w:w="3859"/>
      </w:tblGrid>
      <w:tr w:rsidR="003D024A" w:rsidTr="003D024A">
        <w:trPr>
          <w:trHeight w:val="1687"/>
        </w:trPr>
        <w:tc>
          <w:tcPr>
            <w:tcW w:w="789" w:type="dxa"/>
            <w:tcBorders>
              <w:top w:val="single" w:sz="8" w:space="0" w:color="FFFFFF"/>
              <w:bottom w:val="single" w:sz="8" w:space="0" w:color="FFFFFF"/>
            </w:tcBorders>
            <w:shd w:val="clear" w:color="auto" w:fill="E6E7E8"/>
          </w:tcPr>
          <w:p w:rsidR="003D024A" w:rsidRDefault="003D024A" w:rsidP="003D024A">
            <w:pPr>
              <w:pStyle w:val="TableParagraph"/>
              <w:ind w:left="0"/>
              <w:rPr>
                <w:rFonts w:ascii="Helvetica Neue LT Std 75"/>
                <w:b/>
                <w:sz w:val="20"/>
              </w:rPr>
            </w:pPr>
          </w:p>
          <w:p w:rsidR="003D024A" w:rsidRDefault="003D024A" w:rsidP="003D024A">
            <w:pPr>
              <w:pStyle w:val="TableParagraph"/>
              <w:spacing w:before="10"/>
              <w:ind w:left="0"/>
              <w:rPr>
                <w:rFonts w:ascii="Helvetica Neue LT Std 75"/>
                <w:b/>
                <w:sz w:val="18"/>
              </w:rPr>
            </w:pPr>
          </w:p>
          <w:p w:rsidR="003D024A" w:rsidRDefault="003D024A" w:rsidP="003D024A">
            <w:pPr>
              <w:pStyle w:val="TableParagraph"/>
              <w:ind w:left="178"/>
              <w:rPr>
                <w:rFonts w:ascii="Helvetica Neue LT Std 75"/>
                <w:sz w:val="20"/>
              </w:rPr>
            </w:pPr>
            <w:r>
              <w:rPr>
                <w:rFonts w:ascii="Helvetica Neue LT Std 75"/>
                <w:noProof/>
                <w:sz w:val="20"/>
              </w:rPr>
              <w:drawing>
                <wp:inline distT="0" distB="0" distL="0" distR="0" wp14:anchorId="3FC21454" wp14:editId="13929F27">
                  <wp:extent cx="314168" cy="310896"/>
                  <wp:effectExtent l="0" t="0" r="0" b="0"/>
                  <wp:docPr id="2543"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3D024A" w:rsidRDefault="003D024A" w:rsidP="003D024A">
            <w:pPr>
              <w:pStyle w:val="TableParagraph"/>
              <w:spacing w:before="136" w:line="261" w:lineRule="auto"/>
              <w:ind w:left="118" w:right="129"/>
              <w:rPr>
                <w:sz w:val="16"/>
              </w:rPr>
            </w:pPr>
            <w:r>
              <w:rPr>
                <w:color w:val="231F20"/>
                <w:sz w:val="16"/>
              </w:rPr>
              <w:t>Increase the population and diversity of small to medium-bodied native fish including river blackfish, mountain galaxias, flat-headed gudgeon and Australian smelt</w:t>
            </w:r>
          </w:p>
          <w:p w:rsidR="003D024A" w:rsidRDefault="003D024A" w:rsidP="003D024A">
            <w:pPr>
              <w:pStyle w:val="TableParagraph"/>
              <w:spacing w:before="111" w:line="261" w:lineRule="auto"/>
              <w:ind w:left="118" w:right="47"/>
              <w:rPr>
                <w:sz w:val="16"/>
              </w:rPr>
            </w:pPr>
            <w:r>
              <w:rPr>
                <w:color w:val="231F20"/>
                <w:sz w:val="16"/>
              </w:rPr>
              <w:t>Re-establish populations of small to medium-bodied native fish in reaches 1 and 2 of Birchs Creek</w:t>
            </w:r>
          </w:p>
        </w:tc>
      </w:tr>
      <w:tr w:rsidR="006A7A3F">
        <w:trPr>
          <w:trHeight w:val="1350"/>
        </w:trPr>
        <w:tc>
          <w:tcPr>
            <w:tcW w:w="789" w:type="dxa"/>
            <w:tcBorders>
              <w:top w:val="single" w:sz="8" w:space="0" w:color="FFFFFF"/>
              <w:bottom w:val="single" w:sz="8" w:space="0" w:color="FFFFFF"/>
            </w:tcBorders>
            <w:shd w:val="clear" w:color="auto" w:fill="E6E7E8"/>
          </w:tcPr>
          <w:p w:rsidR="006A7A3F" w:rsidRDefault="006A7A3F">
            <w:pPr>
              <w:pStyle w:val="TableParagraph"/>
              <w:ind w:left="0"/>
              <w:rPr>
                <w:rFonts w:ascii="Helvetica Neue LT Std 75"/>
                <w:b/>
                <w:sz w:val="20"/>
              </w:rPr>
            </w:pPr>
          </w:p>
          <w:p w:rsidR="006A7A3F" w:rsidRDefault="006A7A3F">
            <w:pPr>
              <w:pStyle w:val="TableParagraph"/>
              <w:spacing w:before="4"/>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545"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Pr>
                <w:sz w:val="16"/>
              </w:rPr>
            </w:pPr>
            <w:r>
              <w:rPr>
                <w:color w:val="231F20"/>
                <w:sz w:val="16"/>
              </w:rPr>
              <w:t>Maintain the breeding population of platypus and increase the number of individuals to improve the population’s resilience to future droughts and floods</w:t>
            </w:r>
          </w:p>
          <w:p w:rsidR="006A7A3F" w:rsidRDefault="00BC7372">
            <w:pPr>
              <w:pStyle w:val="TableParagraph"/>
              <w:spacing w:before="112" w:line="261" w:lineRule="auto"/>
              <w:ind w:left="118" w:right="483"/>
              <w:rPr>
                <w:sz w:val="16"/>
              </w:rPr>
            </w:pPr>
            <w:r>
              <w:rPr>
                <w:color w:val="231F20"/>
                <w:sz w:val="16"/>
              </w:rPr>
              <w:t>Provide opportunities for platypus dispersal to Creswick and Tullaroop creeks</w:t>
            </w:r>
          </w:p>
        </w:tc>
      </w:tr>
      <w:tr w:rsidR="006A7A3F">
        <w:trPr>
          <w:trHeight w:val="1150"/>
        </w:trPr>
        <w:tc>
          <w:tcPr>
            <w:tcW w:w="789" w:type="dxa"/>
            <w:tcBorders>
              <w:top w:val="single" w:sz="8" w:space="0" w:color="FFFFFF"/>
              <w:bottom w:val="single" w:sz="8" w:space="0" w:color="FFFFFF"/>
            </w:tcBorders>
            <w:shd w:val="clear" w:color="auto" w:fill="E6E7E8"/>
          </w:tcPr>
          <w:p w:rsidR="006A7A3F" w:rsidRDefault="006A7A3F">
            <w:pPr>
              <w:pStyle w:val="TableParagraph"/>
              <w:spacing w:before="2"/>
              <w:ind w:left="0"/>
              <w:rPr>
                <w:rFonts w:ascii="Helvetica Neue LT Std 75"/>
                <w:b/>
                <w:sz w:val="23"/>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75" cy="310896"/>
                  <wp:effectExtent l="0" t="0" r="0" b="0"/>
                  <wp:docPr id="2547"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image21.jpeg"/>
                          <pic:cNvPicPr/>
                        </pic:nvPicPr>
                        <pic:blipFill>
                          <a:blip r:embed="rId33" cstate="print"/>
                          <a:stretch>
                            <a:fillRect/>
                          </a:stretch>
                        </pic:blipFill>
                        <pic:spPr>
                          <a:xfrm>
                            <a:off x="0" y="0"/>
                            <a:ext cx="314175"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145"/>
              <w:rPr>
                <w:sz w:val="16"/>
              </w:rPr>
            </w:pPr>
            <w:r>
              <w:rPr>
                <w:color w:val="231F20"/>
                <w:sz w:val="16"/>
              </w:rPr>
              <w:t>Maintain and improve the diversity and abundance of in-stream aquatic plants</w:t>
            </w:r>
          </w:p>
          <w:p w:rsidR="006A7A3F" w:rsidRDefault="00BC7372">
            <w:pPr>
              <w:pStyle w:val="TableParagraph"/>
              <w:spacing w:before="112" w:line="261" w:lineRule="auto"/>
              <w:ind w:left="118" w:right="741"/>
              <w:rPr>
                <w:sz w:val="16"/>
              </w:rPr>
            </w:pPr>
            <w:r>
              <w:rPr>
                <w:color w:val="231F20"/>
                <w:sz w:val="16"/>
              </w:rPr>
              <w:t>Maintain a diverse variety of fringing and streamside native vegetation communities</w:t>
            </w:r>
          </w:p>
        </w:tc>
      </w:tr>
      <w:tr w:rsidR="006A7A3F">
        <w:trPr>
          <w:trHeight w:val="836"/>
        </w:trPr>
        <w:tc>
          <w:tcPr>
            <w:tcW w:w="789" w:type="dxa"/>
            <w:tcBorders>
              <w:top w:val="single" w:sz="8" w:space="0" w:color="FFFFFF"/>
              <w:bottom w:val="single" w:sz="8" w:space="0" w:color="FFFFFF"/>
            </w:tcBorders>
            <w:shd w:val="clear" w:color="auto" w:fill="E6E7E8"/>
          </w:tcPr>
          <w:p w:rsidR="006A7A3F" w:rsidRDefault="006A7A3F">
            <w:pPr>
              <w:pStyle w:val="TableParagraph"/>
              <w:spacing w:before="12"/>
              <w:ind w:left="0"/>
              <w:rPr>
                <w:rFonts w:ascii="Helvetica Neue LT Std 75"/>
                <w:b/>
                <w:sz w:val="11"/>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8" cy="310896"/>
                  <wp:effectExtent l="0" t="0" r="0" b="0"/>
                  <wp:docPr id="254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c>
          <w:tcPr>
            <w:tcW w:w="3859" w:type="dxa"/>
            <w:tcBorders>
              <w:top w:val="single" w:sz="8" w:space="0" w:color="FFFFFF"/>
              <w:bottom w:val="single" w:sz="8" w:space="0" w:color="FFFFFF"/>
            </w:tcBorders>
            <w:shd w:val="clear" w:color="auto" w:fill="E6E7E8"/>
          </w:tcPr>
          <w:p w:rsidR="006A7A3F" w:rsidRDefault="00BC7372">
            <w:pPr>
              <w:pStyle w:val="TableParagraph"/>
              <w:spacing w:before="119" w:line="261" w:lineRule="auto"/>
              <w:ind w:left="118" w:right="341"/>
              <w:rPr>
                <w:sz w:val="16"/>
              </w:rPr>
            </w:pPr>
            <w:r>
              <w:rPr>
                <w:color w:val="231F20"/>
                <w:sz w:val="16"/>
              </w:rPr>
              <w:t>Increase the population of waterbugs and the diversity of functional groups to drive productive and dynamic food webs</w:t>
            </w:r>
          </w:p>
        </w:tc>
      </w:tr>
      <w:tr w:rsidR="006A7A3F">
        <w:trPr>
          <w:trHeight w:val="819"/>
        </w:trPr>
        <w:tc>
          <w:tcPr>
            <w:tcW w:w="789" w:type="dxa"/>
            <w:tcBorders>
              <w:top w:val="single" w:sz="8" w:space="0" w:color="FFFFFF"/>
            </w:tcBorders>
            <w:shd w:val="clear" w:color="auto" w:fill="E6E7E8"/>
          </w:tcPr>
          <w:p w:rsidR="006A7A3F" w:rsidRDefault="006A7A3F">
            <w:pPr>
              <w:pStyle w:val="TableParagraph"/>
              <w:spacing w:before="13"/>
              <w:ind w:left="0"/>
              <w:rPr>
                <w:rFonts w:ascii="Helvetica Neue LT Std 75"/>
                <w:b/>
                <w:sz w:val="10"/>
              </w:rPr>
            </w:pPr>
          </w:p>
          <w:p w:rsidR="006A7A3F" w:rsidRDefault="00BC7372">
            <w:pPr>
              <w:pStyle w:val="TableParagraph"/>
              <w:ind w:left="178"/>
              <w:rPr>
                <w:rFonts w:ascii="Helvetica Neue LT Std 75"/>
                <w:sz w:val="20"/>
              </w:rPr>
            </w:pPr>
            <w:r>
              <w:rPr>
                <w:rFonts w:ascii="Helvetica Neue LT Std 75"/>
                <w:noProof/>
                <w:sz w:val="20"/>
              </w:rPr>
              <w:drawing>
                <wp:inline distT="0" distB="0" distL="0" distR="0">
                  <wp:extent cx="314166" cy="310896"/>
                  <wp:effectExtent l="0" t="0" r="0" b="0"/>
                  <wp:docPr id="255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image23.png"/>
                          <pic:cNvPicPr/>
                        </pic:nvPicPr>
                        <pic:blipFill>
                          <a:blip r:embed="rId35" cstate="print"/>
                          <a:stretch>
                            <a:fillRect/>
                          </a:stretch>
                        </pic:blipFill>
                        <pic:spPr>
                          <a:xfrm>
                            <a:off x="0" y="0"/>
                            <a:ext cx="314166" cy="310896"/>
                          </a:xfrm>
                          <a:prstGeom prst="rect">
                            <a:avLst/>
                          </a:prstGeom>
                        </pic:spPr>
                      </pic:pic>
                    </a:graphicData>
                  </a:graphic>
                </wp:inline>
              </w:drawing>
            </w:r>
          </w:p>
        </w:tc>
        <w:tc>
          <w:tcPr>
            <w:tcW w:w="3859" w:type="dxa"/>
            <w:tcBorders>
              <w:top w:val="single" w:sz="8" w:space="0" w:color="FFFFFF"/>
            </w:tcBorders>
            <w:shd w:val="clear" w:color="auto" w:fill="E6E7E8"/>
          </w:tcPr>
          <w:p w:rsidR="006A7A3F" w:rsidRDefault="006A7A3F">
            <w:pPr>
              <w:pStyle w:val="TableParagraph"/>
              <w:spacing w:before="10"/>
              <w:ind w:left="0"/>
              <w:rPr>
                <w:rFonts w:ascii="Helvetica Neue LT Std 75"/>
                <w:b/>
                <w:sz w:val="14"/>
              </w:rPr>
            </w:pPr>
          </w:p>
          <w:p w:rsidR="006A7A3F" w:rsidRDefault="00BC7372">
            <w:pPr>
              <w:pStyle w:val="TableParagraph"/>
              <w:spacing w:line="261" w:lineRule="auto"/>
              <w:ind w:left="118" w:right="296"/>
              <w:rPr>
                <w:sz w:val="16"/>
              </w:rPr>
            </w:pPr>
            <w:r>
              <w:rPr>
                <w:color w:val="231F20"/>
                <w:sz w:val="16"/>
              </w:rPr>
              <w:t>Maintain water quality to support aquatic life and ecological processes</w:t>
            </w:r>
          </w:p>
        </w:tc>
      </w:tr>
    </w:tbl>
    <w:p w:rsidR="006A7A3F" w:rsidRDefault="006A7A3F">
      <w:pPr>
        <w:pStyle w:val="BodyText"/>
        <w:spacing w:before="12"/>
        <w:ind w:left="0"/>
        <w:rPr>
          <w:rFonts w:ascii="Helvetica Neue LT Std 75"/>
          <w:b/>
          <w:sz w:val="5"/>
        </w:rPr>
      </w:pPr>
    </w:p>
    <w:p w:rsidR="006A7A3F" w:rsidRDefault="00BC7372" w:rsidP="003D024A">
      <w:pPr>
        <w:spacing w:before="240"/>
        <w:ind w:left="210"/>
        <w:rPr>
          <w:rFonts w:ascii="Helvetica Neue LT Std 75"/>
          <w:b/>
          <w:sz w:val="19"/>
        </w:rPr>
      </w:pPr>
      <w:r>
        <w:rPr>
          <w:rFonts w:ascii="Helvetica Neue LT Std 75"/>
          <w:b/>
          <w:color w:val="231F20"/>
          <w:sz w:val="19"/>
        </w:rPr>
        <w:t>Traditional Owner cultural values and uses</w:t>
      </w:r>
    </w:p>
    <w:p w:rsidR="006A7A3F" w:rsidRDefault="00BC7372">
      <w:pPr>
        <w:pStyle w:val="BodyText"/>
        <w:spacing w:before="68" w:line="249" w:lineRule="auto"/>
        <w:ind w:right="457"/>
      </w:pPr>
      <w:r>
        <w:rPr>
          <w:color w:val="231F20"/>
        </w:rPr>
        <w:t>In planning for environmental flows in Birchs Creek, Dja Dja Wurrung Clans Aboriginal Corporation and North Central CMA have identified the creek as a potential site for future projects.</w:t>
      </w:r>
    </w:p>
    <w:p w:rsidR="006A7A3F" w:rsidRDefault="00BC7372">
      <w:pPr>
        <w:pStyle w:val="BodyText"/>
        <w:spacing w:line="249" w:lineRule="auto"/>
        <w:ind w:right="297"/>
      </w:pPr>
      <w:r>
        <w:rPr>
          <w:color w:val="231F20"/>
        </w:rPr>
        <w:t>The Dja Dja Wurrung Country Plan describes their aspirations around the management of rivers and waterways and articulates Dja Dja Wurrung peoples’ support for the reinstatement of environmental flows as an overall objective for the management of water on Country. The North Central CMA and Dja Dja Wurrung Clans Aboriginal Corporation continue to work towards increased engagement on planning and delivery of environmental watering activities, including identifying opportunities for Dja Dja Wurrung involvement.</w:t>
      </w:r>
    </w:p>
    <w:p w:rsidR="006A7A3F" w:rsidRDefault="00BC7372">
      <w:pPr>
        <w:spacing w:before="183"/>
        <w:ind w:left="210"/>
        <w:rPr>
          <w:rFonts w:ascii="Helvetica Neue LT Std 75"/>
          <w:b/>
          <w:sz w:val="19"/>
        </w:rPr>
      </w:pPr>
      <w:r>
        <w:rPr>
          <w:rFonts w:ascii="Helvetica Neue LT Std 75"/>
          <w:b/>
          <w:color w:val="231F20"/>
          <w:sz w:val="19"/>
        </w:rPr>
        <w:t>Social, recreational and economic values and uses</w:t>
      </w:r>
    </w:p>
    <w:p w:rsidR="006A7A3F" w:rsidRDefault="00BC7372">
      <w:pPr>
        <w:pStyle w:val="BodyText"/>
        <w:spacing w:before="67" w:line="249" w:lineRule="auto"/>
        <w:ind w:right="100"/>
      </w:pPr>
      <w:r>
        <w:rPr>
          <w:color w:val="231F20"/>
        </w:rPr>
        <w:t>In planning the potential watering actions in Table 5.7.5, North Central CMA considered how environmental flows could support values and uses including:</w:t>
      </w:r>
    </w:p>
    <w:p w:rsidR="006A7A3F" w:rsidRDefault="00BC7372" w:rsidP="009B6917">
      <w:pPr>
        <w:pStyle w:val="ListParagraph"/>
        <w:numPr>
          <w:ilvl w:val="0"/>
          <w:numId w:val="1419"/>
        </w:numPr>
        <w:tabs>
          <w:tab w:val="left" w:pos="493"/>
          <w:tab w:val="left" w:pos="494"/>
        </w:tabs>
        <w:spacing w:before="115"/>
        <w:ind w:hanging="281"/>
        <w:rPr>
          <w:sz w:val="20"/>
        </w:rPr>
      </w:pPr>
      <w:r>
        <w:rPr>
          <w:color w:val="231F20"/>
          <w:sz w:val="20"/>
        </w:rPr>
        <w:t>water-based recreation (such as canoeing and</w:t>
      </w:r>
      <w:r>
        <w:rPr>
          <w:color w:val="231F20"/>
          <w:spacing w:val="-4"/>
          <w:sz w:val="20"/>
        </w:rPr>
        <w:t xml:space="preserve"> </w:t>
      </w:r>
      <w:r>
        <w:rPr>
          <w:color w:val="231F20"/>
          <w:sz w:val="20"/>
        </w:rPr>
        <w:t>fishing)</w:t>
      </w:r>
    </w:p>
    <w:p w:rsidR="006A7A3F" w:rsidRDefault="00BC7372" w:rsidP="009B6917">
      <w:pPr>
        <w:pStyle w:val="ListParagraph"/>
        <w:numPr>
          <w:ilvl w:val="0"/>
          <w:numId w:val="1419"/>
        </w:numPr>
        <w:tabs>
          <w:tab w:val="left" w:pos="493"/>
          <w:tab w:val="left" w:pos="494"/>
        </w:tabs>
        <w:spacing w:before="96"/>
        <w:ind w:hanging="281"/>
        <w:rPr>
          <w:sz w:val="20"/>
        </w:rPr>
      </w:pPr>
      <w:r>
        <w:rPr>
          <w:color w:val="231F20"/>
          <w:sz w:val="20"/>
        </w:rPr>
        <w:t>riverside recreation and amenity (such as improving amenity at key community spaces like Anderson’s</w:t>
      </w:r>
      <w:r>
        <w:rPr>
          <w:color w:val="231F20"/>
          <w:spacing w:val="-33"/>
          <w:sz w:val="20"/>
        </w:rPr>
        <w:t xml:space="preserve"> </w:t>
      </w:r>
      <w:r>
        <w:rPr>
          <w:color w:val="231F20"/>
          <w:sz w:val="20"/>
        </w:rPr>
        <w:t>Mill)</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community events and tourism (such as education activities like school groups and River</w:t>
      </w:r>
      <w:r>
        <w:rPr>
          <w:color w:val="231F20"/>
          <w:spacing w:val="-27"/>
          <w:sz w:val="20"/>
        </w:rPr>
        <w:t xml:space="preserve"> </w:t>
      </w:r>
      <w:r>
        <w:rPr>
          <w:color w:val="231F20"/>
          <w:sz w:val="20"/>
        </w:rPr>
        <w:t>Detectives)</w:t>
      </w:r>
    </w:p>
    <w:p w:rsidR="006A7A3F" w:rsidRDefault="00BC7372" w:rsidP="009B6917">
      <w:pPr>
        <w:pStyle w:val="ListParagraph"/>
        <w:numPr>
          <w:ilvl w:val="0"/>
          <w:numId w:val="1419"/>
        </w:numPr>
        <w:tabs>
          <w:tab w:val="left" w:pos="493"/>
          <w:tab w:val="left" w:pos="494"/>
        </w:tabs>
        <w:ind w:hanging="281"/>
        <w:rPr>
          <w:sz w:val="20"/>
        </w:rPr>
      </w:pPr>
      <w:r>
        <w:rPr>
          <w:color w:val="231F20"/>
          <w:sz w:val="20"/>
        </w:rPr>
        <w:t>socio-economic benefits (such as diverters for irrigation, domestic and stock</w:t>
      </w:r>
      <w:r>
        <w:rPr>
          <w:color w:val="231F20"/>
          <w:spacing w:val="-13"/>
          <w:sz w:val="20"/>
        </w:rPr>
        <w:t xml:space="preserve"> </w:t>
      </w:r>
      <w:r>
        <w:rPr>
          <w:color w:val="231F20"/>
          <w:sz w:val="20"/>
        </w:rPr>
        <w:t>uses).</w:t>
      </w:r>
    </w:p>
    <w:p w:rsidR="003D024A" w:rsidRDefault="003D024A">
      <w:pPr>
        <w:rPr>
          <w:rFonts w:ascii="Helvetica Neue LT Std 75"/>
          <w:b/>
          <w:color w:val="231F20"/>
          <w:sz w:val="19"/>
        </w:rPr>
      </w:pPr>
      <w:r>
        <w:rPr>
          <w:rFonts w:ascii="Helvetica Neue LT Std 75"/>
          <w:b/>
          <w:color w:val="231F20"/>
          <w:sz w:val="19"/>
        </w:rPr>
        <w:br w:type="page"/>
      </w:r>
    </w:p>
    <w:p w:rsidR="006A7A3F" w:rsidRDefault="00BC7372">
      <w:pPr>
        <w:spacing w:before="189"/>
        <w:ind w:left="210"/>
        <w:rPr>
          <w:rFonts w:ascii="Helvetica Neue LT Std 75"/>
          <w:b/>
          <w:sz w:val="19"/>
        </w:rPr>
      </w:pPr>
      <w:r>
        <w:rPr>
          <w:rFonts w:ascii="Helvetica Neue LT Std 75"/>
          <w:b/>
          <w:color w:val="231F20"/>
          <w:sz w:val="19"/>
        </w:rPr>
        <w:t>Recent conditions</w:t>
      </w:r>
    </w:p>
    <w:p w:rsidR="006A7A3F" w:rsidRDefault="00BC7372">
      <w:pPr>
        <w:pStyle w:val="BodyText"/>
        <w:spacing w:before="67" w:line="249" w:lineRule="auto"/>
        <w:ind w:right="100"/>
      </w:pPr>
      <w:r>
        <w:rPr>
          <w:color w:val="231F20"/>
        </w:rPr>
        <w:t>The Birchs Creek catchment experienced below-average rainfall and above-average temperatures throughout 2019–20. High rainfall in August 2019 caused Newlyn Reservoir to fill and spill, which meant the VEWH forfeited allocation that was carried over from 2018–19. Newlyn Reservoir is a very small water storage and modest inflows cause it to spill in most years. The VEWH received a full allocation of 100 ML in December 2019, and that water will be available for use until 30 November 2020 unless Newlyn Reservoir spills again.</w:t>
      </w:r>
    </w:p>
    <w:p w:rsidR="006A7A3F" w:rsidRDefault="00BC7372">
      <w:pPr>
        <w:pStyle w:val="BodyText"/>
        <w:spacing w:before="175" w:line="249" w:lineRule="auto"/>
        <w:ind w:right="457"/>
      </w:pPr>
      <w:r>
        <w:rPr>
          <w:color w:val="231F20"/>
        </w:rPr>
        <w:t>The combination of spills from Newlyn Reservoir, tributary inflows, consumptive water orders and groundwater discharge met and at times exceeded the dry scenario environmental flow recommendations for Birchs Creek during 2019–20.</w:t>
      </w:r>
    </w:p>
    <w:p w:rsidR="006A7A3F" w:rsidRDefault="00BC7372">
      <w:pPr>
        <w:spacing w:before="181"/>
        <w:ind w:left="210"/>
        <w:rPr>
          <w:rFonts w:ascii="Helvetica Neue LT Std 75"/>
          <w:b/>
          <w:sz w:val="19"/>
        </w:rPr>
      </w:pPr>
      <w:r>
        <w:rPr>
          <w:rFonts w:ascii="Helvetica Neue LT Std 75"/>
          <w:b/>
          <w:color w:val="231F20"/>
          <w:sz w:val="19"/>
        </w:rPr>
        <w:t>Scope of environmental watering</w:t>
      </w:r>
    </w:p>
    <w:p w:rsidR="006A7A3F" w:rsidRDefault="00BC7372">
      <w:pPr>
        <w:pStyle w:val="BodyText"/>
        <w:spacing w:before="68" w:line="249" w:lineRule="auto"/>
        <w:ind w:right="251"/>
      </w:pPr>
      <w:r>
        <w:rPr>
          <w:color w:val="231F20"/>
        </w:rPr>
        <w:t>Table 5.7.5 describes the potential environmental watering actions in 2020–21, their functional watering objectives (that is, the intended physical or biological effect of the watering action) and the longer-term environmental objectives they support. Each environmental objective relies on one or more potential environmental watering actions and their associated physical or biological functions.</w:t>
      </w:r>
    </w:p>
    <w:p w:rsidR="006A7A3F" w:rsidRDefault="00BC7372">
      <w:pPr>
        <w:spacing w:before="168"/>
        <w:ind w:left="210"/>
        <w:rPr>
          <w:b/>
          <w:sz w:val="18"/>
        </w:rPr>
      </w:pPr>
      <w:r>
        <w:rPr>
          <w:b/>
          <w:color w:val="231F20"/>
          <w:sz w:val="18"/>
        </w:rPr>
        <w:t>Table 5.7.5 Potential environmental watering actions and objectives for Birchs Creek</w:t>
      </w:r>
    </w:p>
    <w:p w:rsidR="006A7A3F" w:rsidRDefault="006A7A3F">
      <w:pPr>
        <w:pStyle w:val="BodyText"/>
        <w:spacing w:before="6"/>
        <w:ind w:left="0"/>
        <w:rPr>
          <w:b/>
          <w:sz w:val="8"/>
        </w:rPr>
      </w:pPr>
    </w:p>
    <w:tbl>
      <w:tblPr>
        <w:tblW w:w="10175" w:type="dxa"/>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81"/>
        <w:gridCol w:w="6236"/>
        <w:gridCol w:w="850"/>
        <w:gridCol w:w="708"/>
      </w:tblGrid>
      <w:tr w:rsidR="003D024A" w:rsidTr="003D024A">
        <w:trPr>
          <w:trHeight w:val="625"/>
        </w:trPr>
        <w:tc>
          <w:tcPr>
            <w:tcW w:w="2381" w:type="dxa"/>
            <w:shd w:val="clear" w:color="auto" w:fill="000000" w:themeFill="text1"/>
          </w:tcPr>
          <w:p w:rsidR="003D024A" w:rsidRDefault="003D024A" w:rsidP="003D024A">
            <w:pPr>
              <w:pStyle w:val="TableParagraph"/>
              <w:spacing w:before="80" w:line="254" w:lineRule="auto"/>
              <w:ind w:left="90" w:right="230"/>
              <w:rPr>
                <w:b/>
                <w:sz w:val="18"/>
              </w:rPr>
            </w:pPr>
            <w:r>
              <w:rPr>
                <w:b/>
                <w:color w:val="FFFFFF"/>
                <w:sz w:val="18"/>
              </w:rPr>
              <w:t>Potential environmental watering action</w:t>
            </w:r>
          </w:p>
        </w:tc>
        <w:tc>
          <w:tcPr>
            <w:tcW w:w="6236" w:type="dxa"/>
            <w:shd w:val="clear" w:color="auto" w:fill="000000" w:themeFill="text1"/>
          </w:tcPr>
          <w:p w:rsidR="003D024A" w:rsidRDefault="003D024A" w:rsidP="003D024A">
            <w:pPr>
              <w:pStyle w:val="TableParagraph"/>
              <w:spacing w:before="80"/>
              <w:ind w:left="80"/>
              <w:rPr>
                <w:b/>
                <w:sz w:val="18"/>
              </w:rPr>
            </w:pPr>
            <w:r>
              <w:rPr>
                <w:b/>
                <w:color w:val="FFFFFF"/>
                <w:sz w:val="18"/>
              </w:rPr>
              <w:t>Functional watering objectives</w:t>
            </w:r>
          </w:p>
        </w:tc>
        <w:tc>
          <w:tcPr>
            <w:tcW w:w="1558" w:type="dxa"/>
            <w:gridSpan w:val="2"/>
            <w:tcBorders>
              <w:bottom w:val="nil"/>
            </w:tcBorders>
            <w:shd w:val="clear" w:color="auto" w:fill="000000" w:themeFill="text1"/>
          </w:tcPr>
          <w:p w:rsidR="003D024A" w:rsidRDefault="003D024A" w:rsidP="003D024A">
            <w:pPr>
              <w:pStyle w:val="TableParagraph"/>
              <w:spacing w:before="80" w:line="254" w:lineRule="auto"/>
              <w:ind w:left="80" w:right="198"/>
              <w:rPr>
                <w:b/>
                <w:sz w:val="18"/>
              </w:rPr>
            </w:pPr>
            <w:r>
              <w:rPr>
                <w:b/>
                <w:color w:val="FFFFFF"/>
                <w:sz w:val="18"/>
              </w:rPr>
              <w:t>Environmental objectives</w:t>
            </w:r>
          </w:p>
        </w:tc>
      </w:tr>
      <w:tr w:rsidR="006A7A3F" w:rsidTr="003D024A">
        <w:trPr>
          <w:trHeight w:val="625"/>
        </w:trPr>
        <w:tc>
          <w:tcPr>
            <w:tcW w:w="2381" w:type="dxa"/>
            <w:vMerge w:val="restart"/>
          </w:tcPr>
          <w:p w:rsidR="006A7A3F" w:rsidRDefault="00BC7372">
            <w:pPr>
              <w:pStyle w:val="TableParagraph"/>
              <w:spacing w:before="67" w:line="261" w:lineRule="auto"/>
              <w:ind w:left="85" w:right="611"/>
              <w:rPr>
                <w:sz w:val="16"/>
              </w:rPr>
            </w:pPr>
            <w:r>
              <w:rPr>
                <w:color w:val="231F20"/>
                <w:sz w:val="16"/>
              </w:rPr>
              <w:t>Spring fresh (one fresh of 30 ML/day for three days during September to November)</w:t>
            </w:r>
          </w:p>
        </w:tc>
        <w:tc>
          <w:tcPr>
            <w:tcW w:w="6236" w:type="dxa"/>
            <w:vMerge w:val="restart"/>
          </w:tcPr>
          <w:p w:rsidR="006A7A3F" w:rsidRPr="003D024A" w:rsidRDefault="00BC7372">
            <w:pPr>
              <w:pStyle w:val="TableParagraph"/>
              <w:numPr>
                <w:ilvl w:val="0"/>
                <w:numId w:val="16"/>
              </w:numPr>
              <w:tabs>
                <w:tab w:val="left" w:pos="306"/>
              </w:tabs>
              <w:spacing w:before="63" w:line="254" w:lineRule="auto"/>
              <w:ind w:right="226"/>
              <w:rPr>
                <w:sz w:val="16"/>
                <w:szCs w:val="16"/>
              </w:rPr>
            </w:pPr>
            <w:r w:rsidRPr="003D024A">
              <w:rPr>
                <w:color w:val="231F20"/>
                <w:sz w:val="16"/>
                <w:szCs w:val="16"/>
              </w:rPr>
              <w:t>Maintain and support the growth of streamside vegetation by</w:t>
            </w:r>
            <w:r w:rsidRPr="003D024A">
              <w:rPr>
                <w:color w:val="231F20"/>
                <w:spacing w:val="-22"/>
                <w:sz w:val="16"/>
                <w:szCs w:val="16"/>
              </w:rPr>
              <w:t xml:space="preserve"> </w:t>
            </w:r>
            <w:r w:rsidRPr="003D024A">
              <w:rPr>
                <w:color w:val="231F20"/>
                <w:sz w:val="16"/>
                <w:szCs w:val="16"/>
              </w:rPr>
              <w:t>increasing soil moisture and depositing sediment on the bank and</w:t>
            </w:r>
            <w:r w:rsidRPr="003D024A">
              <w:rPr>
                <w:color w:val="231F20"/>
                <w:spacing w:val="-15"/>
                <w:sz w:val="16"/>
                <w:szCs w:val="16"/>
              </w:rPr>
              <w:t xml:space="preserve"> </w:t>
            </w:r>
            <w:r w:rsidRPr="003D024A">
              <w:rPr>
                <w:color w:val="231F20"/>
                <w:sz w:val="16"/>
                <w:szCs w:val="16"/>
              </w:rPr>
              <w:t>benches</w:t>
            </w:r>
          </w:p>
          <w:p w:rsidR="006A7A3F" w:rsidRPr="003D024A" w:rsidRDefault="00BC7372">
            <w:pPr>
              <w:pStyle w:val="TableParagraph"/>
              <w:numPr>
                <w:ilvl w:val="0"/>
                <w:numId w:val="16"/>
              </w:numPr>
              <w:tabs>
                <w:tab w:val="left" w:pos="306"/>
              </w:tabs>
              <w:spacing w:before="86" w:line="254" w:lineRule="auto"/>
              <w:ind w:right="506"/>
              <w:rPr>
                <w:sz w:val="16"/>
                <w:szCs w:val="16"/>
              </w:rPr>
            </w:pPr>
            <w:r w:rsidRPr="003D024A">
              <w:rPr>
                <w:color w:val="231F20"/>
                <w:sz w:val="16"/>
                <w:szCs w:val="16"/>
              </w:rPr>
              <w:t>Scour organic matter that has accumulated in the channel and</w:t>
            </w:r>
            <w:r w:rsidRPr="003D024A">
              <w:rPr>
                <w:color w:val="231F20"/>
                <w:spacing w:val="-25"/>
                <w:sz w:val="16"/>
                <w:szCs w:val="16"/>
              </w:rPr>
              <w:t xml:space="preserve"> </w:t>
            </w:r>
            <w:r w:rsidRPr="003D024A">
              <w:rPr>
                <w:color w:val="231F20"/>
                <w:sz w:val="16"/>
                <w:szCs w:val="16"/>
              </w:rPr>
              <w:t>cycle nutrients throughout the</w:t>
            </w:r>
            <w:r w:rsidRPr="003D024A">
              <w:rPr>
                <w:color w:val="231F20"/>
                <w:spacing w:val="-2"/>
                <w:sz w:val="16"/>
                <w:szCs w:val="16"/>
              </w:rPr>
              <w:t xml:space="preserve"> </w:t>
            </w:r>
            <w:r w:rsidRPr="003D024A">
              <w:rPr>
                <w:color w:val="231F20"/>
                <w:sz w:val="16"/>
                <w:szCs w:val="16"/>
              </w:rPr>
              <w:t>creek</w:t>
            </w:r>
          </w:p>
          <w:p w:rsidR="006A7A3F" w:rsidRPr="003D024A" w:rsidRDefault="00BC7372">
            <w:pPr>
              <w:pStyle w:val="TableParagraph"/>
              <w:numPr>
                <w:ilvl w:val="0"/>
                <w:numId w:val="16"/>
              </w:numPr>
              <w:tabs>
                <w:tab w:val="left" w:pos="306"/>
              </w:tabs>
              <w:spacing w:before="86" w:line="254" w:lineRule="auto"/>
              <w:ind w:right="379"/>
              <w:rPr>
                <w:sz w:val="16"/>
                <w:szCs w:val="16"/>
              </w:rPr>
            </w:pPr>
            <w:r w:rsidRPr="003D024A">
              <w:rPr>
                <w:color w:val="231F20"/>
                <w:sz w:val="16"/>
                <w:szCs w:val="16"/>
              </w:rPr>
              <w:t>Wet benches and smaller channels, to increase habitat and refuge</w:t>
            </w:r>
            <w:r w:rsidRPr="003D024A">
              <w:rPr>
                <w:color w:val="231F20"/>
                <w:spacing w:val="-33"/>
                <w:sz w:val="16"/>
                <w:szCs w:val="16"/>
              </w:rPr>
              <w:t xml:space="preserve"> </w:t>
            </w:r>
            <w:r w:rsidRPr="003D024A">
              <w:rPr>
                <w:color w:val="231F20"/>
                <w:sz w:val="16"/>
                <w:szCs w:val="16"/>
              </w:rPr>
              <w:t>for small fish</w:t>
            </w:r>
          </w:p>
          <w:p w:rsidR="006A7A3F" w:rsidRPr="003D024A" w:rsidRDefault="00BC7372">
            <w:pPr>
              <w:pStyle w:val="TableParagraph"/>
              <w:numPr>
                <w:ilvl w:val="0"/>
                <w:numId w:val="16"/>
              </w:numPr>
              <w:tabs>
                <w:tab w:val="left" w:pos="306"/>
              </w:tabs>
              <w:spacing w:before="87" w:line="254" w:lineRule="auto"/>
              <w:ind w:right="86"/>
              <w:rPr>
                <w:sz w:val="16"/>
                <w:szCs w:val="16"/>
              </w:rPr>
            </w:pPr>
            <w:r w:rsidRPr="003D024A">
              <w:rPr>
                <w:color w:val="231F20"/>
                <w:sz w:val="16"/>
                <w:szCs w:val="16"/>
              </w:rPr>
              <w:t>Freshen refuge pools and provide connectivity between pools for fish</w:t>
            </w:r>
            <w:r w:rsidRPr="003D024A">
              <w:rPr>
                <w:color w:val="231F20"/>
                <w:spacing w:val="-29"/>
                <w:sz w:val="16"/>
                <w:szCs w:val="16"/>
              </w:rPr>
              <w:t xml:space="preserve"> </w:t>
            </w:r>
            <w:r w:rsidRPr="003D024A">
              <w:rPr>
                <w:color w:val="231F20"/>
                <w:sz w:val="16"/>
                <w:szCs w:val="16"/>
              </w:rPr>
              <w:t>and platypus</w:t>
            </w:r>
            <w:r w:rsidRPr="003D024A">
              <w:rPr>
                <w:color w:val="231F20"/>
                <w:spacing w:val="-2"/>
                <w:sz w:val="16"/>
                <w:szCs w:val="16"/>
              </w:rPr>
              <w:t xml:space="preserve"> </w:t>
            </w:r>
            <w:r w:rsidRPr="003D024A">
              <w:rPr>
                <w:color w:val="231F20"/>
                <w:sz w:val="16"/>
                <w:szCs w:val="16"/>
              </w:rPr>
              <w:t>movement</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55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8" cy="310896"/>
                  <wp:effectExtent l="0" t="0" r="0" b="0"/>
                  <wp:docPr id="255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image31.jpeg"/>
                          <pic:cNvPicPr/>
                        </pic:nvPicPr>
                        <pic:blipFill>
                          <a:blip r:embed="rId43" cstate="print"/>
                          <a:stretch>
                            <a:fillRect/>
                          </a:stretch>
                        </pic:blipFill>
                        <pic:spPr>
                          <a:xfrm>
                            <a:off x="0" y="0"/>
                            <a:ext cx="314168" cy="310896"/>
                          </a:xfrm>
                          <a:prstGeom prst="rect">
                            <a:avLst/>
                          </a:prstGeom>
                        </pic:spPr>
                      </pic:pic>
                    </a:graphicData>
                  </a:graphic>
                </wp:inline>
              </w:drawing>
            </w:r>
          </w:p>
        </w:tc>
      </w:tr>
      <w:tr w:rsidR="006A7A3F" w:rsidTr="003D024A">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3D024A" w:rsidRDefault="006A7A3F">
            <w:pPr>
              <w:rPr>
                <w:sz w:val="16"/>
                <w:szCs w:val="16"/>
              </w:rPr>
            </w:pPr>
          </w:p>
        </w:tc>
        <w:tc>
          <w:tcPr>
            <w:tcW w:w="850" w:type="dxa"/>
            <w:tcBorders>
              <w:top w:val="nil"/>
              <w:bottom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55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image21.jpeg"/>
                          <pic:cNvPicPr/>
                        </pic:nvPicPr>
                        <pic:blipFill>
                          <a:blip r:embed="rId33" cstate="print"/>
                          <a:stretch>
                            <a:fillRect/>
                          </a:stretch>
                        </pic:blipFill>
                        <pic:spPr>
                          <a:xfrm>
                            <a:off x="0" y="0"/>
                            <a:ext cx="314168" cy="310896"/>
                          </a:xfrm>
                          <a:prstGeom prst="rect">
                            <a:avLst/>
                          </a:prstGeom>
                        </pic:spPr>
                      </pic:pic>
                    </a:graphicData>
                  </a:graphic>
                </wp:inline>
              </w:drawing>
            </w:r>
          </w:p>
        </w:tc>
        <w:tc>
          <w:tcPr>
            <w:tcW w:w="708" w:type="dxa"/>
            <w:tcBorders>
              <w:top w:val="nil"/>
              <w:left w:val="nil"/>
              <w:bottom w:val="nil"/>
            </w:tcBorders>
          </w:tcPr>
          <w:p w:rsidR="006A7A3F" w:rsidRDefault="00BC7372">
            <w:pPr>
              <w:pStyle w:val="TableParagraph"/>
              <w:ind w:left="48"/>
              <w:rPr>
                <w:sz w:val="20"/>
              </w:rPr>
            </w:pPr>
            <w:r>
              <w:rPr>
                <w:noProof/>
                <w:sz w:val="20"/>
              </w:rPr>
              <w:drawing>
                <wp:inline distT="0" distB="0" distL="0" distR="0">
                  <wp:extent cx="314168" cy="310896"/>
                  <wp:effectExtent l="0" t="0" r="0" b="0"/>
                  <wp:docPr id="255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image22.jpeg"/>
                          <pic:cNvPicPr/>
                        </pic:nvPicPr>
                        <pic:blipFill>
                          <a:blip r:embed="rId34" cstate="print"/>
                          <a:stretch>
                            <a:fillRect/>
                          </a:stretch>
                        </pic:blipFill>
                        <pic:spPr>
                          <a:xfrm>
                            <a:off x="0" y="0"/>
                            <a:ext cx="314168" cy="310896"/>
                          </a:xfrm>
                          <a:prstGeom prst="rect">
                            <a:avLst/>
                          </a:prstGeom>
                        </pic:spPr>
                      </pic:pic>
                    </a:graphicData>
                  </a:graphic>
                </wp:inline>
              </w:drawing>
            </w:r>
          </w:p>
        </w:tc>
      </w:tr>
      <w:tr w:rsidR="006A7A3F" w:rsidTr="003D024A">
        <w:trPr>
          <w:trHeight w:val="950"/>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Pr="003D024A" w:rsidRDefault="006A7A3F">
            <w:pPr>
              <w:rPr>
                <w:sz w:val="16"/>
                <w:szCs w:val="16"/>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68" cy="310896"/>
                  <wp:effectExtent l="0" t="0" r="0" b="0"/>
                  <wp:docPr id="256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image23.png"/>
                          <pic:cNvPicPr/>
                        </pic:nvPicPr>
                        <pic:blipFill>
                          <a:blip r:embed="rId35" cstate="print"/>
                          <a:stretch>
                            <a:fillRect/>
                          </a:stretch>
                        </pic:blipFill>
                        <pic:spPr>
                          <a:xfrm>
                            <a:off x="0" y="0"/>
                            <a:ext cx="314168" cy="310896"/>
                          </a:xfrm>
                          <a:prstGeom prst="rect">
                            <a:avLst/>
                          </a:prstGeom>
                        </pic:spPr>
                      </pic:pic>
                    </a:graphicData>
                  </a:graphic>
                </wp:inline>
              </w:drawing>
            </w:r>
          </w:p>
        </w:tc>
        <w:tc>
          <w:tcPr>
            <w:tcW w:w="708" w:type="dxa"/>
            <w:tcBorders>
              <w:top w:val="nil"/>
              <w:left w:val="nil"/>
            </w:tcBorders>
          </w:tcPr>
          <w:p w:rsidR="006A7A3F" w:rsidRDefault="006A7A3F">
            <w:pPr>
              <w:pStyle w:val="TableParagraph"/>
              <w:ind w:left="0"/>
              <w:rPr>
                <w:rFonts w:ascii="Times New Roman"/>
                <w:sz w:val="18"/>
              </w:rPr>
            </w:pPr>
          </w:p>
        </w:tc>
      </w:tr>
      <w:tr w:rsidR="006A7A3F" w:rsidTr="003D024A">
        <w:trPr>
          <w:trHeight w:val="625"/>
        </w:trPr>
        <w:tc>
          <w:tcPr>
            <w:tcW w:w="2381" w:type="dxa"/>
            <w:vMerge w:val="restart"/>
          </w:tcPr>
          <w:p w:rsidR="006A7A3F" w:rsidRDefault="00BC7372">
            <w:pPr>
              <w:pStyle w:val="TableParagraph"/>
              <w:spacing w:before="67" w:line="261" w:lineRule="auto"/>
              <w:ind w:left="85" w:right="131"/>
              <w:rPr>
                <w:sz w:val="16"/>
              </w:rPr>
            </w:pPr>
            <w:r>
              <w:rPr>
                <w:color w:val="231F20"/>
                <w:sz w:val="16"/>
              </w:rPr>
              <w:t>Autumn freshes (up to three freshes of 10 ML/day for three days during March</w:t>
            </w:r>
          </w:p>
          <w:p w:rsidR="006A7A3F" w:rsidRDefault="00BC7372">
            <w:pPr>
              <w:pStyle w:val="TableParagraph"/>
              <w:spacing w:line="182" w:lineRule="exact"/>
              <w:ind w:left="85"/>
              <w:rPr>
                <w:sz w:val="16"/>
              </w:rPr>
            </w:pPr>
            <w:r>
              <w:rPr>
                <w:color w:val="231F20"/>
                <w:sz w:val="16"/>
              </w:rPr>
              <w:t>to April)</w:t>
            </w:r>
          </w:p>
        </w:tc>
        <w:tc>
          <w:tcPr>
            <w:tcW w:w="6236" w:type="dxa"/>
            <w:vMerge w:val="restart"/>
          </w:tcPr>
          <w:p w:rsidR="006A7A3F" w:rsidRPr="003D024A" w:rsidRDefault="00BC7372">
            <w:pPr>
              <w:pStyle w:val="TableParagraph"/>
              <w:numPr>
                <w:ilvl w:val="0"/>
                <w:numId w:val="15"/>
              </w:numPr>
              <w:tabs>
                <w:tab w:val="left" w:pos="306"/>
              </w:tabs>
              <w:spacing w:before="63" w:line="254" w:lineRule="auto"/>
              <w:ind w:right="615"/>
              <w:rPr>
                <w:sz w:val="16"/>
                <w:szCs w:val="16"/>
              </w:rPr>
            </w:pPr>
            <w:r w:rsidRPr="003D024A">
              <w:rPr>
                <w:color w:val="231F20"/>
                <w:sz w:val="16"/>
                <w:szCs w:val="16"/>
              </w:rPr>
              <w:t>Increase the water depth, to maintain and support the growth of in- stream aquatic</w:t>
            </w:r>
            <w:r w:rsidRPr="003D024A">
              <w:rPr>
                <w:color w:val="231F20"/>
                <w:spacing w:val="-2"/>
                <w:sz w:val="16"/>
                <w:szCs w:val="16"/>
              </w:rPr>
              <w:t xml:space="preserve"> </w:t>
            </w:r>
            <w:r w:rsidRPr="003D024A">
              <w:rPr>
                <w:color w:val="231F20"/>
                <w:sz w:val="16"/>
                <w:szCs w:val="16"/>
              </w:rPr>
              <w:t>vegetation</w:t>
            </w:r>
          </w:p>
          <w:p w:rsidR="006A7A3F" w:rsidRPr="003D024A" w:rsidRDefault="00BC7372">
            <w:pPr>
              <w:pStyle w:val="TableParagraph"/>
              <w:numPr>
                <w:ilvl w:val="0"/>
                <w:numId w:val="15"/>
              </w:numPr>
              <w:tabs>
                <w:tab w:val="left" w:pos="306"/>
              </w:tabs>
              <w:spacing w:before="86"/>
              <w:ind w:hanging="218"/>
              <w:rPr>
                <w:sz w:val="16"/>
                <w:szCs w:val="16"/>
              </w:rPr>
            </w:pPr>
            <w:r w:rsidRPr="003D024A">
              <w:rPr>
                <w:color w:val="231F20"/>
                <w:sz w:val="16"/>
                <w:szCs w:val="16"/>
              </w:rPr>
              <w:t>Expand riffle/run areas to provide waterbug</w:t>
            </w:r>
            <w:r w:rsidRPr="003D024A">
              <w:rPr>
                <w:color w:val="231F20"/>
                <w:spacing w:val="-7"/>
                <w:sz w:val="16"/>
                <w:szCs w:val="16"/>
              </w:rPr>
              <w:t xml:space="preserve"> </w:t>
            </w:r>
            <w:r w:rsidRPr="003D024A">
              <w:rPr>
                <w:color w:val="231F20"/>
                <w:sz w:val="16"/>
                <w:szCs w:val="16"/>
              </w:rPr>
              <w:t>habitat</w:t>
            </w:r>
          </w:p>
          <w:p w:rsidR="006A7A3F" w:rsidRPr="003D024A" w:rsidRDefault="00BC7372">
            <w:pPr>
              <w:pStyle w:val="TableParagraph"/>
              <w:numPr>
                <w:ilvl w:val="0"/>
                <w:numId w:val="15"/>
              </w:numPr>
              <w:tabs>
                <w:tab w:val="left" w:pos="306"/>
              </w:tabs>
              <w:spacing w:before="98" w:line="254" w:lineRule="auto"/>
              <w:ind w:right="476"/>
              <w:rPr>
                <w:sz w:val="16"/>
                <w:szCs w:val="16"/>
              </w:rPr>
            </w:pPr>
            <w:r w:rsidRPr="003D024A">
              <w:rPr>
                <w:color w:val="231F20"/>
                <w:spacing w:val="-7"/>
                <w:sz w:val="16"/>
                <w:szCs w:val="16"/>
              </w:rPr>
              <w:t xml:space="preserve">Top </w:t>
            </w:r>
            <w:r w:rsidRPr="003D024A">
              <w:rPr>
                <w:color w:val="231F20"/>
                <w:sz w:val="16"/>
                <w:szCs w:val="16"/>
              </w:rPr>
              <w:t>up pools to refresh water quality (particularly oxygen levels) and enhance connectivity between pools for fish and platypus</w:t>
            </w:r>
            <w:r w:rsidRPr="003D024A">
              <w:rPr>
                <w:color w:val="231F20"/>
                <w:spacing w:val="-29"/>
                <w:sz w:val="16"/>
                <w:szCs w:val="16"/>
              </w:rPr>
              <w:t xml:space="preserve"> </w:t>
            </w:r>
            <w:r w:rsidRPr="003D024A">
              <w:rPr>
                <w:color w:val="231F20"/>
                <w:sz w:val="16"/>
                <w:szCs w:val="16"/>
              </w:rPr>
              <w:t>movement</w:t>
            </w:r>
          </w:p>
        </w:tc>
        <w:tc>
          <w:tcPr>
            <w:tcW w:w="850" w:type="dxa"/>
            <w:tcBorders>
              <w:bottom w:val="nil"/>
              <w:right w:val="nil"/>
            </w:tcBorders>
          </w:tcPr>
          <w:p w:rsidR="006A7A3F" w:rsidRDefault="006A7A3F">
            <w:pPr>
              <w:pStyle w:val="TableParagraph"/>
              <w:spacing w:before="9"/>
              <w:ind w:left="0"/>
              <w:rPr>
                <w:b/>
                <w:sz w:val="8"/>
              </w:rPr>
            </w:pPr>
          </w:p>
          <w:p w:rsidR="006A7A3F" w:rsidRDefault="00BC7372">
            <w:pPr>
              <w:pStyle w:val="TableParagraph"/>
              <w:ind w:left="315" w:right="-15"/>
              <w:rPr>
                <w:sz w:val="20"/>
              </w:rPr>
            </w:pPr>
            <w:r>
              <w:rPr>
                <w:noProof/>
                <w:sz w:val="20"/>
              </w:rPr>
              <w:drawing>
                <wp:inline distT="0" distB="0" distL="0" distR="0">
                  <wp:extent cx="314168" cy="310896"/>
                  <wp:effectExtent l="0" t="0" r="0" b="0"/>
                  <wp:docPr id="2563" name="image19.jpeg" descr="ico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image19.jpeg"/>
                          <pic:cNvPicPr/>
                        </pic:nvPicPr>
                        <pic:blipFill>
                          <a:blip r:embed="rId31" cstate="print"/>
                          <a:stretch>
                            <a:fillRect/>
                          </a:stretch>
                        </pic:blipFill>
                        <pic:spPr>
                          <a:xfrm>
                            <a:off x="0" y="0"/>
                            <a:ext cx="314168" cy="310896"/>
                          </a:xfrm>
                          <a:prstGeom prst="rect">
                            <a:avLst/>
                          </a:prstGeom>
                        </pic:spPr>
                      </pic:pic>
                    </a:graphicData>
                  </a:graphic>
                </wp:inline>
              </w:drawing>
            </w:r>
          </w:p>
        </w:tc>
        <w:tc>
          <w:tcPr>
            <w:tcW w:w="708" w:type="dxa"/>
            <w:tcBorders>
              <w:left w:val="nil"/>
              <w:bottom w:val="nil"/>
            </w:tcBorders>
          </w:tcPr>
          <w:p w:rsidR="006A7A3F" w:rsidRDefault="006A7A3F">
            <w:pPr>
              <w:pStyle w:val="TableParagraph"/>
              <w:spacing w:before="9"/>
              <w:ind w:left="0"/>
              <w:rPr>
                <w:b/>
                <w:sz w:val="8"/>
              </w:rPr>
            </w:pPr>
          </w:p>
          <w:p w:rsidR="006A7A3F" w:rsidRDefault="00BC7372">
            <w:pPr>
              <w:pStyle w:val="TableParagraph"/>
              <w:ind w:left="48"/>
              <w:rPr>
                <w:sz w:val="20"/>
              </w:rPr>
            </w:pPr>
            <w:r>
              <w:rPr>
                <w:noProof/>
                <w:sz w:val="20"/>
              </w:rPr>
              <w:drawing>
                <wp:inline distT="0" distB="0" distL="0" distR="0">
                  <wp:extent cx="314169" cy="310896"/>
                  <wp:effectExtent l="0" t="0" r="0" b="0"/>
                  <wp:docPr id="2565" name="image31.jpeg" descr="icon: platy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image31.jpeg"/>
                          <pic:cNvPicPr/>
                        </pic:nvPicPr>
                        <pic:blipFill>
                          <a:blip r:embed="rId43" cstate="print"/>
                          <a:stretch>
                            <a:fillRect/>
                          </a:stretch>
                        </pic:blipFill>
                        <pic:spPr>
                          <a:xfrm>
                            <a:off x="0" y="0"/>
                            <a:ext cx="314169" cy="310896"/>
                          </a:xfrm>
                          <a:prstGeom prst="rect">
                            <a:avLst/>
                          </a:prstGeom>
                        </pic:spPr>
                      </pic:pic>
                    </a:graphicData>
                  </a:graphic>
                </wp:inline>
              </w:drawing>
            </w:r>
          </w:p>
        </w:tc>
      </w:tr>
      <w:tr w:rsidR="006A7A3F" w:rsidTr="003D024A">
        <w:trPr>
          <w:trHeight w:val="546"/>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Default="006A7A3F">
            <w:pPr>
              <w:rPr>
                <w:sz w:val="2"/>
                <w:szCs w:val="2"/>
              </w:rPr>
            </w:pPr>
          </w:p>
        </w:tc>
        <w:tc>
          <w:tcPr>
            <w:tcW w:w="850" w:type="dxa"/>
            <w:tcBorders>
              <w:top w:val="nil"/>
              <w:bottom w:val="nil"/>
              <w:right w:val="nil"/>
            </w:tcBorders>
          </w:tcPr>
          <w:p w:rsidR="006A7A3F" w:rsidRDefault="00BC7372">
            <w:pPr>
              <w:pStyle w:val="TableParagraph"/>
              <w:ind w:left="315" w:right="-15"/>
              <w:rPr>
                <w:sz w:val="20"/>
              </w:rPr>
            </w:pPr>
            <w:r>
              <w:rPr>
                <w:noProof/>
                <w:sz w:val="20"/>
              </w:rPr>
              <w:drawing>
                <wp:inline distT="0" distB="0" distL="0" distR="0">
                  <wp:extent cx="314179" cy="310896"/>
                  <wp:effectExtent l="0" t="0" r="0" b="0"/>
                  <wp:docPr id="2567" name="image21.jpeg" descr="ic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image21.jpeg"/>
                          <pic:cNvPicPr/>
                        </pic:nvPicPr>
                        <pic:blipFill>
                          <a:blip r:embed="rId33" cstate="print"/>
                          <a:stretch>
                            <a:fillRect/>
                          </a:stretch>
                        </pic:blipFill>
                        <pic:spPr>
                          <a:xfrm>
                            <a:off x="0" y="0"/>
                            <a:ext cx="314179" cy="310896"/>
                          </a:xfrm>
                          <a:prstGeom prst="rect">
                            <a:avLst/>
                          </a:prstGeom>
                        </pic:spPr>
                      </pic:pic>
                    </a:graphicData>
                  </a:graphic>
                </wp:inline>
              </w:drawing>
            </w:r>
          </w:p>
        </w:tc>
        <w:tc>
          <w:tcPr>
            <w:tcW w:w="708" w:type="dxa"/>
            <w:tcBorders>
              <w:top w:val="nil"/>
              <w:left w:val="nil"/>
              <w:bottom w:val="nil"/>
            </w:tcBorders>
          </w:tcPr>
          <w:p w:rsidR="006A7A3F" w:rsidRDefault="00BC7372">
            <w:pPr>
              <w:pStyle w:val="TableParagraph"/>
              <w:ind w:left="48"/>
              <w:rPr>
                <w:sz w:val="20"/>
              </w:rPr>
            </w:pPr>
            <w:r>
              <w:rPr>
                <w:noProof/>
                <w:sz w:val="20"/>
              </w:rPr>
              <w:drawing>
                <wp:inline distT="0" distB="0" distL="0" distR="0">
                  <wp:extent cx="314179" cy="310896"/>
                  <wp:effectExtent l="0" t="0" r="0" b="0"/>
                  <wp:docPr id="2569" name="image22.jpeg" descr="icon: wa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image22.jpeg"/>
                          <pic:cNvPicPr/>
                        </pic:nvPicPr>
                        <pic:blipFill>
                          <a:blip r:embed="rId34" cstate="print"/>
                          <a:stretch>
                            <a:fillRect/>
                          </a:stretch>
                        </pic:blipFill>
                        <pic:spPr>
                          <a:xfrm>
                            <a:off x="0" y="0"/>
                            <a:ext cx="314179" cy="310896"/>
                          </a:xfrm>
                          <a:prstGeom prst="rect">
                            <a:avLst/>
                          </a:prstGeom>
                        </pic:spPr>
                      </pic:pic>
                    </a:graphicData>
                  </a:graphic>
                </wp:inline>
              </w:drawing>
            </w:r>
          </w:p>
        </w:tc>
      </w:tr>
      <w:tr w:rsidR="006A7A3F" w:rsidTr="003D024A">
        <w:trPr>
          <w:trHeight w:val="627"/>
        </w:trPr>
        <w:tc>
          <w:tcPr>
            <w:tcW w:w="2381" w:type="dxa"/>
            <w:vMerge/>
            <w:tcBorders>
              <w:top w:val="nil"/>
            </w:tcBorders>
          </w:tcPr>
          <w:p w:rsidR="006A7A3F" w:rsidRDefault="006A7A3F">
            <w:pPr>
              <w:rPr>
                <w:sz w:val="2"/>
                <w:szCs w:val="2"/>
              </w:rPr>
            </w:pPr>
          </w:p>
        </w:tc>
        <w:tc>
          <w:tcPr>
            <w:tcW w:w="6236" w:type="dxa"/>
            <w:vMerge/>
            <w:tcBorders>
              <w:top w:val="nil"/>
            </w:tcBorders>
          </w:tcPr>
          <w:p w:rsidR="006A7A3F" w:rsidRDefault="006A7A3F">
            <w:pPr>
              <w:rPr>
                <w:sz w:val="2"/>
                <w:szCs w:val="2"/>
              </w:rPr>
            </w:pPr>
          </w:p>
        </w:tc>
        <w:tc>
          <w:tcPr>
            <w:tcW w:w="850" w:type="dxa"/>
            <w:tcBorders>
              <w:top w:val="nil"/>
              <w:right w:val="nil"/>
            </w:tcBorders>
          </w:tcPr>
          <w:p w:rsidR="006A7A3F" w:rsidRDefault="00BC7372">
            <w:pPr>
              <w:pStyle w:val="TableParagraph"/>
              <w:ind w:left="315" w:right="-15"/>
              <w:rPr>
                <w:sz w:val="20"/>
              </w:rPr>
            </w:pPr>
            <w:r>
              <w:rPr>
                <w:noProof/>
                <w:sz w:val="20"/>
              </w:rPr>
              <w:drawing>
                <wp:inline distT="0" distB="0" distL="0" distR="0">
                  <wp:extent cx="314169" cy="310896"/>
                  <wp:effectExtent l="0" t="0" r="0" b="0"/>
                  <wp:docPr id="2571" name="image23.png" descr="icon: water drop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image23.png"/>
                          <pic:cNvPicPr/>
                        </pic:nvPicPr>
                        <pic:blipFill>
                          <a:blip r:embed="rId35" cstate="print"/>
                          <a:stretch>
                            <a:fillRect/>
                          </a:stretch>
                        </pic:blipFill>
                        <pic:spPr>
                          <a:xfrm>
                            <a:off x="0" y="0"/>
                            <a:ext cx="314169" cy="310896"/>
                          </a:xfrm>
                          <a:prstGeom prst="rect">
                            <a:avLst/>
                          </a:prstGeom>
                        </pic:spPr>
                      </pic:pic>
                    </a:graphicData>
                  </a:graphic>
                </wp:inline>
              </w:drawing>
            </w:r>
          </w:p>
        </w:tc>
        <w:tc>
          <w:tcPr>
            <w:tcW w:w="708" w:type="dxa"/>
            <w:tcBorders>
              <w:top w:val="nil"/>
              <w:left w:val="nil"/>
            </w:tcBorders>
          </w:tcPr>
          <w:p w:rsidR="006A7A3F" w:rsidRDefault="006A7A3F">
            <w:pPr>
              <w:pStyle w:val="TableParagraph"/>
              <w:ind w:left="0"/>
              <w:rPr>
                <w:rFonts w:ascii="Times New Roman"/>
                <w:sz w:val="18"/>
              </w:rPr>
            </w:pPr>
          </w:p>
        </w:tc>
      </w:tr>
    </w:tbl>
    <w:p w:rsidR="006A7A3F" w:rsidRDefault="00BC7372" w:rsidP="003D024A">
      <w:pPr>
        <w:spacing w:before="240"/>
        <w:ind w:left="210"/>
        <w:rPr>
          <w:rFonts w:ascii="Helvetica Neue LT Std 75"/>
          <w:b/>
          <w:sz w:val="19"/>
        </w:rPr>
      </w:pPr>
      <w:r>
        <w:rPr>
          <w:rFonts w:ascii="Helvetica Neue LT Std 75"/>
          <w:b/>
          <w:color w:val="231F20"/>
          <w:sz w:val="19"/>
        </w:rPr>
        <w:t>Scenario planning</w:t>
      </w:r>
    </w:p>
    <w:p w:rsidR="006A7A3F" w:rsidRDefault="00BC7372">
      <w:pPr>
        <w:pStyle w:val="BodyText"/>
        <w:spacing w:before="68" w:line="249" w:lineRule="auto"/>
        <w:ind w:right="100"/>
      </w:pPr>
      <w:r>
        <w:rPr>
          <w:color w:val="231F20"/>
        </w:rPr>
        <w:t>Table 5.7.6 outlines the potential environmental watering and expected water use under a range of planning scenarios.</w:t>
      </w:r>
    </w:p>
    <w:p w:rsidR="006A7A3F" w:rsidRDefault="00BC7372">
      <w:pPr>
        <w:pStyle w:val="BodyText"/>
        <w:spacing w:line="249" w:lineRule="auto"/>
        <w:ind w:right="358"/>
      </w:pPr>
      <w:r>
        <w:rPr>
          <w:color w:val="231F20"/>
        </w:rPr>
        <w:t>In 2020–21, delivering a spring fresh is a priority under all scenarios, to bolster the condition of the creek in the lead-up to summer. The spring fresh is planned to be delivered under drought and dry conditions using water that the VEWH will carry over from 2019–20. Under average and wet conditions, it is more likely that these flows will occur naturally.</w:t>
      </w:r>
    </w:p>
    <w:p w:rsidR="006A7A3F" w:rsidRDefault="00BC7372">
      <w:pPr>
        <w:pStyle w:val="BodyText"/>
        <w:spacing w:before="173" w:line="249" w:lineRule="auto"/>
        <w:ind w:right="297"/>
      </w:pPr>
      <w:r>
        <w:rPr>
          <w:color w:val="231F20"/>
        </w:rPr>
        <w:t xml:space="preserve">The forecast water resource outlook indicates that the VEWH will not receive allocation in the Bullarook system during 2020–2021 under drought conditions. Under such conditions, the storage manager, Goulburn-Murray </w:t>
      </w:r>
      <w:r>
        <w:rPr>
          <w:color w:val="231F20"/>
          <w:spacing w:val="-4"/>
        </w:rPr>
        <w:t xml:space="preserve">Water, </w:t>
      </w:r>
      <w:r>
        <w:rPr>
          <w:color w:val="231F20"/>
        </w:rPr>
        <w:t xml:space="preserve">will consult with water entitlement holders in the system to manage available resources with consideration of critical human and environmental needs. Under </w:t>
      </w:r>
      <w:r>
        <w:rPr>
          <w:color w:val="231F20"/>
          <w:spacing w:val="-5"/>
        </w:rPr>
        <w:t xml:space="preserve">dry, </w:t>
      </w:r>
      <w:r>
        <w:rPr>
          <w:color w:val="231F20"/>
        </w:rPr>
        <w:t>average and wet scenarios, full allocation is forecast. If available,</w:t>
      </w:r>
      <w:r>
        <w:rPr>
          <w:color w:val="231F20"/>
          <w:spacing w:val="-4"/>
        </w:rPr>
        <w:t xml:space="preserve"> </w:t>
      </w:r>
      <w:r>
        <w:rPr>
          <w:color w:val="231F20"/>
        </w:rPr>
        <w:t>allocated</w:t>
      </w:r>
      <w:r>
        <w:rPr>
          <w:color w:val="231F20"/>
          <w:spacing w:val="-4"/>
        </w:rPr>
        <w:t xml:space="preserve"> </w:t>
      </w:r>
      <w:r>
        <w:rPr>
          <w:color w:val="231F20"/>
        </w:rPr>
        <w:t>water</w:t>
      </w:r>
      <w:r>
        <w:rPr>
          <w:color w:val="231F20"/>
          <w:spacing w:val="-3"/>
        </w:rPr>
        <w:t xml:space="preserve"> </w:t>
      </w:r>
      <w:r>
        <w:rPr>
          <w:color w:val="231F20"/>
        </w:rPr>
        <w:t>is</w:t>
      </w:r>
      <w:r>
        <w:rPr>
          <w:color w:val="231F20"/>
          <w:spacing w:val="-4"/>
        </w:rPr>
        <w:t xml:space="preserve"> </w:t>
      </w:r>
      <w:r>
        <w:rPr>
          <w:color w:val="231F20"/>
        </w:rPr>
        <w:t>most</w:t>
      </w:r>
      <w:r>
        <w:rPr>
          <w:color w:val="231F20"/>
          <w:spacing w:val="-2"/>
        </w:rPr>
        <w:t xml:space="preserve"> </w:t>
      </w:r>
      <w:r>
        <w:rPr>
          <w:color w:val="231F20"/>
        </w:rPr>
        <w:t>likely</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used</w:t>
      </w:r>
      <w:r>
        <w:rPr>
          <w:color w:val="231F20"/>
          <w:spacing w:val="-4"/>
        </w:rPr>
        <w:t xml:space="preserve"> </w:t>
      </w:r>
      <w:r>
        <w:rPr>
          <w:color w:val="231F20"/>
        </w:rPr>
        <w:t>to</w:t>
      </w:r>
      <w:r>
        <w:rPr>
          <w:color w:val="231F20"/>
          <w:spacing w:val="-2"/>
        </w:rPr>
        <w:t xml:space="preserve"> </w:t>
      </w:r>
      <w:r>
        <w:rPr>
          <w:color w:val="231F20"/>
        </w:rPr>
        <w:t>deliver</w:t>
      </w:r>
      <w:r>
        <w:rPr>
          <w:color w:val="231F20"/>
          <w:spacing w:val="-4"/>
        </w:rPr>
        <w:t xml:space="preserve"> </w:t>
      </w:r>
      <w:r>
        <w:rPr>
          <w:color w:val="231F20"/>
        </w:rPr>
        <w:t>one</w:t>
      </w:r>
      <w:r>
        <w:rPr>
          <w:color w:val="231F20"/>
          <w:spacing w:val="-3"/>
        </w:rPr>
        <w:t xml:space="preserve"> </w:t>
      </w:r>
      <w:r>
        <w:rPr>
          <w:color w:val="231F20"/>
        </w:rPr>
        <w:t>to</w:t>
      </w:r>
      <w:r>
        <w:rPr>
          <w:color w:val="231F20"/>
          <w:spacing w:val="-3"/>
        </w:rPr>
        <w:t xml:space="preserve"> </w:t>
      </w:r>
      <w:r>
        <w:rPr>
          <w:color w:val="231F20"/>
        </w:rPr>
        <w:t>three</w:t>
      </w:r>
      <w:r>
        <w:rPr>
          <w:color w:val="231F20"/>
          <w:spacing w:val="-3"/>
        </w:rPr>
        <w:t xml:space="preserve"> </w:t>
      </w:r>
      <w:r>
        <w:rPr>
          <w:color w:val="231F20"/>
        </w:rPr>
        <w:t>autumn</w:t>
      </w:r>
      <w:r>
        <w:rPr>
          <w:color w:val="231F20"/>
          <w:spacing w:val="-3"/>
        </w:rPr>
        <w:t xml:space="preserve"> </w:t>
      </w:r>
      <w:r>
        <w:rPr>
          <w:color w:val="231F20"/>
        </w:rPr>
        <w:t>freshes</w:t>
      </w:r>
      <w:r>
        <w:rPr>
          <w:color w:val="231F20"/>
          <w:spacing w:val="-3"/>
        </w:rPr>
        <w:t xml:space="preserve"> </w:t>
      </w:r>
      <w:r>
        <w:rPr>
          <w:color w:val="231F20"/>
        </w:rPr>
        <w:t>between</w:t>
      </w:r>
      <w:r>
        <w:rPr>
          <w:color w:val="231F20"/>
          <w:spacing w:val="-3"/>
        </w:rPr>
        <w:t xml:space="preserve"> </w:t>
      </w:r>
      <w:r>
        <w:rPr>
          <w:color w:val="231F20"/>
        </w:rPr>
        <w:t>March</w:t>
      </w:r>
      <w:r>
        <w:rPr>
          <w:color w:val="231F20"/>
          <w:spacing w:val="-3"/>
        </w:rPr>
        <w:t xml:space="preserve"> </w:t>
      </w:r>
      <w:r>
        <w:rPr>
          <w:color w:val="231F20"/>
        </w:rPr>
        <w:t>and</w:t>
      </w:r>
      <w:r>
        <w:rPr>
          <w:color w:val="231F20"/>
          <w:spacing w:val="-13"/>
        </w:rPr>
        <w:t xml:space="preserve"> </w:t>
      </w:r>
      <w:r>
        <w:rPr>
          <w:color w:val="231F20"/>
        </w:rPr>
        <w:t>April 2021. If not required due to natural variation in the system meeting flow requirements, any unused water for the environment that was allocated on 1 December 2020 will likely be carried over to the 2021–22 water year, for use up to 30 November</w:t>
      </w:r>
      <w:r>
        <w:rPr>
          <w:color w:val="231F20"/>
          <w:spacing w:val="-4"/>
        </w:rPr>
        <w:t xml:space="preserve"> </w:t>
      </w:r>
      <w:r>
        <w:rPr>
          <w:color w:val="231F20"/>
        </w:rPr>
        <w:t>2021.</w:t>
      </w:r>
    </w:p>
    <w:p w:rsidR="003D024A" w:rsidRDefault="003D024A">
      <w:pPr>
        <w:rPr>
          <w:b/>
          <w:color w:val="231F20"/>
          <w:sz w:val="18"/>
        </w:rPr>
      </w:pPr>
      <w:r>
        <w:rPr>
          <w:b/>
          <w:color w:val="231F20"/>
          <w:sz w:val="18"/>
        </w:rPr>
        <w:br w:type="page"/>
      </w:r>
    </w:p>
    <w:p w:rsidR="006A7A3F" w:rsidRDefault="00BC7372">
      <w:pPr>
        <w:spacing w:before="172"/>
        <w:ind w:left="210"/>
        <w:rPr>
          <w:b/>
          <w:sz w:val="18"/>
        </w:rPr>
      </w:pPr>
      <w:r>
        <w:rPr>
          <w:b/>
          <w:color w:val="231F20"/>
          <w:sz w:val="18"/>
        </w:rPr>
        <w:t>Table 5.7.6 Potential environmental watering for Birchs Creek under a range of planning scenarios</w:t>
      </w:r>
    </w:p>
    <w:p w:rsidR="006A7A3F" w:rsidRDefault="006A7A3F">
      <w:pPr>
        <w:pStyle w:val="BodyText"/>
        <w:spacing w:before="6"/>
        <w:ind w:left="0"/>
        <w:rPr>
          <w:b/>
          <w:sz w:val="8"/>
        </w:rPr>
      </w:pPr>
    </w:p>
    <w:tbl>
      <w:tblPr>
        <w:tblW w:w="0" w:type="auto"/>
        <w:tblInd w:w="222"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2041"/>
        <w:gridCol w:w="2041"/>
        <w:gridCol w:w="2041"/>
        <w:gridCol w:w="2041"/>
        <w:gridCol w:w="2041"/>
      </w:tblGrid>
      <w:tr w:rsidR="006A7A3F">
        <w:trPr>
          <w:trHeight w:val="367"/>
        </w:trPr>
        <w:tc>
          <w:tcPr>
            <w:tcW w:w="2041" w:type="dxa"/>
            <w:tcBorders>
              <w:top w:val="nil"/>
              <w:left w:val="nil"/>
              <w:bottom w:val="nil"/>
            </w:tcBorders>
            <w:shd w:val="clear" w:color="auto" w:fill="231F20"/>
          </w:tcPr>
          <w:p w:rsidR="006A7A3F" w:rsidRDefault="00BC7372">
            <w:pPr>
              <w:pStyle w:val="TableParagraph"/>
              <w:spacing w:before="80"/>
              <w:ind w:left="90"/>
              <w:rPr>
                <w:b/>
                <w:sz w:val="18"/>
              </w:rPr>
            </w:pPr>
            <w:r>
              <w:rPr>
                <w:b/>
                <w:color w:val="FFFFFF"/>
                <w:sz w:val="18"/>
              </w:rPr>
              <w:t>Planning scenario</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Drought</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Dry</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Average</w:t>
            </w:r>
          </w:p>
        </w:tc>
        <w:tc>
          <w:tcPr>
            <w:tcW w:w="2041" w:type="dxa"/>
            <w:tcBorders>
              <w:top w:val="nil"/>
              <w:bottom w:val="nil"/>
            </w:tcBorders>
            <w:shd w:val="clear" w:color="auto" w:fill="231F20"/>
          </w:tcPr>
          <w:p w:rsidR="006A7A3F" w:rsidRDefault="00BC7372">
            <w:pPr>
              <w:pStyle w:val="TableParagraph"/>
              <w:spacing w:before="80"/>
              <w:ind w:left="84"/>
              <w:rPr>
                <w:b/>
                <w:sz w:val="18"/>
              </w:rPr>
            </w:pPr>
            <w:r>
              <w:rPr>
                <w:b/>
                <w:color w:val="FFFFFF"/>
                <w:sz w:val="18"/>
              </w:rPr>
              <w:t>Wet</w:t>
            </w:r>
          </w:p>
        </w:tc>
      </w:tr>
      <w:tr w:rsidR="006A7A3F">
        <w:trPr>
          <w:trHeight w:val="1837"/>
        </w:trPr>
        <w:tc>
          <w:tcPr>
            <w:tcW w:w="2041" w:type="dxa"/>
            <w:tcBorders>
              <w:top w:val="nil"/>
              <w:left w:val="single" w:sz="4" w:space="0" w:color="231F20"/>
              <w:bottom w:val="single" w:sz="4" w:space="0" w:color="231F20"/>
              <w:right w:val="single" w:sz="4" w:space="0" w:color="231F20"/>
            </w:tcBorders>
          </w:tcPr>
          <w:p w:rsidR="006A7A3F" w:rsidRDefault="00BC7372">
            <w:pPr>
              <w:pStyle w:val="TableParagraph"/>
              <w:spacing w:before="74"/>
              <w:ind w:left="85"/>
              <w:rPr>
                <w:sz w:val="16"/>
              </w:rPr>
            </w:pPr>
            <w:r>
              <w:rPr>
                <w:color w:val="231F20"/>
                <w:sz w:val="16"/>
              </w:rPr>
              <w:t>Expected river conditions</w:t>
            </w:r>
          </w:p>
        </w:tc>
        <w:tc>
          <w:tcPr>
            <w:tcW w:w="2041" w:type="dxa"/>
            <w:tcBorders>
              <w:top w:val="nil"/>
              <w:left w:val="single" w:sz="4" w:space="0" w:color="231F20"/>
              <w:bottom w:val="single" w:sz="4" w:space="0" w:color="231F20"/>
              <w:right w:val="single" w:sz="4" w:space="0" w:color="231F20"/>
            </w:tcBorders>
          </w:tcPr>
          <w:p w:rsidR="006A7A3F" w:rsidRPr="003D024A" w:rsidRDefault="00BC7372">
            <w:pPr>
              <w:pStyle w:val="TableParagraph"/>
              <w:numPr>
                <w:ilvl w:val="0"/>
                <w:numId w:val="14"/>
              </w:numPr>
              <w:tabs>
                <w:tab w:val="left" w:pos="305"/>
              </w:tabs>
              <w:spacing w:before="70" w:line="254" w:lineRule="auto"/>
              <w:ind w:right="594"/>
              <w:rPr>
                <w:sz w:val="16"/>
                <w:szCs w:val="16"/>
              </w:rPr>
            </w:pPr>
            <w:r w:rsidRPr="003D024A">
              <w:rPr>
                <w:color w:val="231F20"/>
                <w:sz w:val="16"/>
                <w:szCs w:val="16"/>
              </w:rPr>
              <w:t>Reservoir spill unlikely</w:t>
            </w:r>
          </w:p>
          <w:p w:rsidR="006A7A3F" w:rsidRPr="003D024A" w:rsidRDefault="00BC7372">
            <w:pPr>
              <w:pStyle w:val="TableParagraph"/>
              <w:numPr>
                <w:ilvl w:val="0"/>
                <w:numId w:val="14"/>
              </w:numPr>
              <w:tabs>
                <w:tab w:val="left" w:pos="305"/>
              </w:tabs>
              <w:spacing w:before="87" w:line="254" w:lineRule="auto"/>
              <w:ind w:right="105"/>
              <w:rPr>
                <w:sz w:val="16"/>
                <w:szCs w:val="16"/>
              </w:rPr>
            </w:pPr>
            <w:r w:rsidRPr="003D024A">
              <w:rPr>
                <w:color w:val="231F20"/>
                <w:sz w:val="16"/>
                <w:szCs w:val="16"/>
              </w:rPr>
              <w:t>Flows extremely</w:t>
            </w:r>
            <w:r w:rsidRPr="003D024A">
              <w:rPr>
                <w:color w:val="231F20"/>
                <w:spacing w:val="-11"/>
                <w:sz w:val="16"/>
                <w:szCs w:val="16"/>
              </w:rPr>
              <w:t xml:space="preserve"> </w:t>
            </w:r>
            <w:r w:rsidRPr="003D024A">
              <w:rPr>
                <w:color w:val="231F20"/>
                <w:sz w:val="16"/>
                <w:szCs w:val="16"/>
              </w:rPr>
              <w:t>low in</w:t>
            </w:r>
            <w:r w:rsidRPr="003D024A">
              <w:rPr>
                <w:color w:val="231F20"/>
                <w:spacing w:val="-3"/>
                <w:sz w:val="16"/>
                <w:szCs w:val="16"/>
              </w:rPr>
              <w:t xml:space="preserve"> </w:t>
            </w:r>
            <w:r w:rsidRPr="003D024A">
              <w:rPr>
                <w:color w:val="231F20"/>
                <w:sz w:val="16"/>
                <w:szCs w:val="16"/>
              </w:rPr>
              <w:t>winter/spring</w:t>
            </w:r>
          </w:p>
          <w:p w:rsidR="006A7A3F" w:rsidRPr="003D024A" w:rsidRDefault="00BC7372">
            <w:pPr>
              <w:pStyle w:val="TableParagraph"/>
              <w:numPr>
                <w:ilvl w:val="0"/>
                <w:numId w:val="14"/>
              </w:numPr>
              <w:tabs>
                <w:tab w:val="left" w:pos="305"/>
              </w:tabs>
              <w:spacing w:before="86" w:line="254" w:lineRule="auto"/>
              <w:ind w:right="173"/>
              <w:rPr>
                <w:sz w:val="16"/>
                <w:szCs w:val="16"/>
              </w:rPr>
            </w:pPr>
            <w:r w:rsidRPr="003D024A">
              <w:rPr>
                <w:color w:val="231F20"/>
                <w:sz w:val="16"/>
                <w:szCs w:val="16"/>
              </w:rPr>
              <w:t xml:space="preserve">Limited irrigation releases due to </w:t>
            </w:r>
            <w:r w:rsidRPr="003D024A">
              <w:rPr>
                <w:color w:val="231F20"/>
                <w:spacing w:val="-5"/>
                <w:sz w:val="16"/>
                <w:szCs w:val="16"/>
              </w:rPr>
              <w:t xml:space="preserve">low </w:t>
            </w:r>
            <w:r w:rsidRPr="003D024A">
              <w:rPr>
                <w:color w:val="231F20"/>
                <w:sz w:val="16"/>
                <w:szCs w:val="16"/>
              </w:rPr>
              <w:t>allocations</w:t>
            </w:r>
          </w:p>
        </w:tc>
        <w:tc>
          <w:tcPr>
            <w:tcW w:w="2041" w:type="dxa"/>
            <w:tcBorders>
              <w:top w:val="nil"/>
              <w:left w:val="single" w:sz="4" w:space="0" w:color="231F20"/>
              <w:bottom w:val="single" w:sz="4" w:space="0" w:color="231F20"/>
              <w:right w:val="single" w:sz="4" w:space="0" w:color="231F20"/>
            </w:tcBorders>
          </w:tcPr>
          <w:p w:rsidR="006A7A3F" w:rsidRPr="003D024A" w:rsidRDefault="00BC7372">
            <w:pPr>
              <w:pStyle w:val="TableParagraph"/>
              <w:numPr>
                <w:ilvl w:val="0"/>
                <w:numId w:val="13"/>
              </w:numPr>
              <w:tabs>
                <w:tab w:val="left" w:pos="305"/>
              </w:tabs>
              <w:spacing w:before="70" w:line="254" w:lineRule="auto"/>
              <w:ind w:right="594"/>
              <w:rPr>
                <w:sz w:val="16"/>
                <w:szCs w:val="16"/>
              </w:rPr>
            </w:pPr>
            <w:r w:rsidRPr="003D024A">
              <w:rPr>
                <w:color w:val="231F20"/>
                <w:sz w:val="16"/>
                <w:szCs w:val="16"/>
              </w:rPr>
              <w:t>Reservoir spill possible</w:t>
            </w:r>
          </w:p>
          <w:p w:rsidR="006A7A3F" w:rsidRPr="003D024A" w:rsidRDefault="00BC7372">
            <w:pPr>
              <w:pStyle w:val="TableParagraph"/>
              <w:numPr>
                <w:ilvl w:val="0"/>
                <w:numId w:val="13"/>
              </w:numPr>
              <w:tabs>
                <w:tab w:val="left" w:pos="305"/>
              </w:tabs>
              <w:spacing w:before="87" w:line="254" w:lineRule="auto"/>
              <w:ind w:right="253"/>
              <w:rPr>
                <w:sz w:val="16"/>
                <w:szCs w:val="16"/>
              </w:rPr>
            </w:pPr>
            <w:r w:rsidRPr="003D024A">
              <w:rPr>
                <w:color w:val="231F20"/>
                <w:sz w:val="16"/>
                <w:szCs w:val="16"/>
              </w:rPr>
              <w:t>Low flow in winter/ spring if no spills occur</w:t>
            </w:r>
          </w:p>
          <w:p w:rsidR="006A7A3F" w:rsidRPr="003D024A" w:rsidRDefault="00BC7372">
            <w:pPr>
              <w:pStyle w:val="TableParagraph"/>
              <w:numPr>
                <w:ilvl w:val="0"/>
                <w:numId w:val="13"/>
              </w:numPr>
              <w:tabs>
                <w:tab w:val="left" w:pos="305"/>
              </w:tabs>
              <w:spacing w:before="86" w:line="254" w:lineRule="auto"/>
              <w:ind w:right="223"/>
              <w:rPr>
                <w:sz w:val="16"/>
                <w:szCs w:val="16"/>
              </w:rPr>
            </w:pPr>
            <w:r w:rsidRPr="003D024A">
              <w:rPr>
                <w:color w:val="231F20"/>
                <w:sz w:val="16"/>
                <w:szCs w:val="16"/>
              </w:rPr>
              <w:t>Moderate irrigation releases</w:t>
            </w:r>
          </w:p>
        </w:tc>
        <w:tc>
          <w:tcPr>
            <w:tcW w:w="4082" w:type="dxa"/>
            <w:gridSpan w:val="2"/>
            <w:tcBorders>
              <w:top w:val="nil"/>
              <w:left w:val="single" w:sz="4" w:space="0" w:color="231F20"/>
              <w:bottom w:val="single" w:sz="4" w:space="0" w:color="231F20"/>
              <w:right w:val="single" w:sz="4" w:space="0" w:color="231F20"/>
            </w:tcBorders>
          </w:tcPr>
          <w:p w:rsidR="006A7A3F" w:rsidRPr="003D024A" w:rsidRDefault="00BC7372">
            <w:pPr>
              <w:pStyle w:val="TableParagraph"/>
              <w:numPr>
                <w:ilvl w:val="0"/>
                <w:numId w:val="12"/>
              </w:numPr>
              <w:tabs>
                <w:tab w:val="left" w:pos="305"/>
              </w:tabs>
              <w:spacing w:before="70"/>
              <w:rPr>
                <w:sz w:val="16"/>
                <w:szCs w:val="16"/>
              </w:rPr>
            </w:pPr>
            <w:r w:rsidRPr="003D024A">
              <w:rPr>
                <w:color w:val="231F20"/>
                <w:sz w:val="16"/>
                <w:szCs w:val="16"/>
              </w:rPr>
              <w:t>Reservoir spills certain in</w:t>
            </w:r>
            <w:r w:rsidRPr="003D024A">
              <w:rPr>
                <w:color w:val="231F20"/>
                <w:spacing w:val="-7"/>
                <w:sz w:val="16"/>
                <w:szCs w:val="16"/>
              </w:rPr>
              <w:t xml:space="preserve"> </w:t>
            </w:r>
            <w:r w:rsidRPr="003D024A">
              <w:rPr>
                <w:color w:val="231F20"/>
                <w:sz w:val="16"/>
                <w:szCs w:val="16"/>
              </w:rPr>
              <w:t>winter/spring</w:t>
            </w:r>
          </w:p>
          <w:p w:rsidR="006A7A3F" w:rsidRPr="003D024A" w:rsidRDefault="00BC7372">
            <w:pPr>
              <w:pStyle w:val="TableParagraph"/>
              <w:numPr>
                <w:ilvl w:val="0"/>
                <w:numId w:val="12"/>
              </w:numPr>
              <w:tabs>
                <w:tab w:val="left" w:pos="305"/>
              </w:tabs>
              <w:spacing w:before="98"/>
              <w:rPr>
                <w:sz w:val="16"/>
                <w:szCs w:val="16"/>
              </w:rPr>
            </w:pPr>
            <w:r w:rsidRPr="003D024A">
              <w:rPr>
                <w:color w:val="231F20"/>
                <w:sz w:val="16"/>
                <w:szCs w:val="16"/>
              </w:rPr>
              <w:t>Some natural flow through</w:t>
            </w:r>
            <w:r w:rsidRPr="003D024A">
              <w:rPr>
                <w:color w:val="231F20"/>
                <w:spacing w:val="-4"/>
                <w:sz w:val="16"/>
                <w:szCs w:val="16"/>
              </w:rPr>
              <w:t xml:space="preserve"> </w:t>
            </w:r>
            <w:r w:rsidRPr="003D024A">
              <w:rPr>
                <w:color w:val="231F20"/>
                <w:sz w:val="16"/>
                <w:szCs w:val="16"/>
              </w:rPr>
              <w:t>summer/autumn</w:t>
            </w:r>
          </w:p>
        </w:tc>
      </w:tr>
      <w:tr w:rsidR="006A7A3F">
        <w:trPr>
          <w:trHeight w:val="78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111"/>
              <w:rPr>
                <w:sz w:val="16"/>
              </w:rPr>
            </w:pPr>
            <w:r>
              <w:rPr>
                <w:color w:val="231F20"/>
                <w:sz w:val="16"/>
              </w:rPr>
              <w:t>Expected availability of water for the environment</w:t>
            </w:r>
          </w:p>
        </w:tc>
        <w:tc>
          <w:tcPr>
            <w:tcW w:w="2041" w:type="dxa"/>
            <w:tcBorders>
              <w:top w:val="single" w:sz="4" w:space="0" w:color="231F20"/>
              <w:left w:val="single" w:sz="4" w:space="0" w:color="231F20"/>
              <w:bottom w:val="single" w:sz="4" w:space="0" w:color="231F20"/>
              <w:right w:val="single" w:sz="4" w:space="0" w:color="231F20"/>
            </w:tcBorders>
          </w:tcPr>
          <w:p w:rsidR="006A7A3F" w:rsidRPr="003D024A" w:rsidRDefault="00BC7372">
            <w:pPr>
              <w:pStyle w:val="TableParagraph"/>
              <w:numPr>
                <w:ilvl w:val="0"/>
                <w:numId w:val="11"/>
              </w:numPr>
              <w:tabs>
                <w:tab w:val="left" w:pos="305"/>
              </w:tabs>
              <w:spacing w:before="70"/>
              <w:rPr>
                <w:sz w:val="16"/>
                <w:szCs w:val="16"/>
              </w:rPr>
            </w:pPr>
            <w:r w:rsidRPr="003D024A">
              <w:rPr>
                <w:color w:val="231F20"/>
                <w:sz w:val="16"/>
                <w:szCs w:val="16"/>
              </w:rPr>
              <w:t>100 ML</w:t>
            </w:r>
            <w:r w:rsidRPr="003D024A">
              <w:rPr>
                <w:color w:val="231F20"/>
                <w:spacing w:val="-9"/>
                <w:sz w:val="16"/>
                <w:szCs w:val="16"/>
              </w:rPr>
              <w:t xml:space="preserve"> </w:t>
            </w:r>
            <w:r w:rsidRPr="003D024A">
              <w:rPr>
                <w:color w:val="231F20"/>
                <w:sz w:val="16"/>
                <w:szCs w:val="16"/>
              </w:rPr>
              <w:t>(carryover)</w:t>
            </w:r>
          </w:p>
        </w:tc>
        <w:tc>
          <w:tcPr>
            <w:tcW w:w="2041" w:type="dxa"/>
            <w:tcBorders>
              <w:top w:val="single" w:sz="4" w:space="0" w:color="231F20"/>
              <w:left w:val="single" w:sz="4" w:space="0" w:color="231F20"/>
              <w:bottom w:val="single" w:sz="4" w:space="0" w:color="231F20"/>
              <w:right w:val="single" w:sz="4" w:space="0" w:color="231F20"/>
            </w:tcBorders>
          </w:tcPr>
          <w:p w:rsidR="006A7A3F" w:rsidRPr="003D024A" w:rsidRDefault="00BC7372" w:rsidP="0087445D">
            <w:pPr>
              <w:pStyle w:val="TableParagraph"/>
              <w:numPr>
                <w:ilvl w:val="0"/>
                <w:numId w:val="10"/>
              </w:numPr>
              <w:tabs>
                <w:tab w:val="left" w:pos="305"/>
              </w:tabs>
              <w:spacing w:before="70"/>
              <w:rPr>
                <w:sz w:val="16"/>
                <w:szCs w:val="16"/>
              </w:rPr>
            </w:pPr>
            <w:r w:rsidRPr="003D024A">
              <w:rPr>
                <w:color w:val="231F20"/>
                <w:sz w:val="16"/>
                <w:szCs w:val="16"/>
              </w:rPr>
              <w:t>100–200</w:t>
            </w:r>
            <w:r w:rsidRPr="003D024A">
              <w:rPr>
                <w:color w:val="231F20"/>
                <w:spacing w:val="-2"/>
                <w:sz w:val="16"/>
                <w:szCs w:val="16"/>
              </w:rPr>
              <w:t xml:space="preserve"> </w:t>
            </w:r>
            <w:r w:rsidRPr="003D024A">
              <w:rPr>
                <w:color w:val="231F20"/>
                <w:sz w:val="16"/>
                <w:szCs w:val="16"/>
              </w:rPr>
              <w:t>ML</w:t>
            </w:r>
            <w:r w:rsidR="0087445D">
              <w:rPr>
                <w:color w:val="231F20"/>
                <w:sz w:val="16"/>
                <w:szCs w:val="16"/>
              </w:rPr>
              <w:t xml:space="preserve"> </w:t>
            </w:r>
            <w:r w:rsidRPr="003D024A">
              <w:rPr>
                <w:color w:val="231F20"/>
                <w:sz w:val="16"/>
                <w:szCs w:val="16"/>
              </w:rPr>
              <w:t>(carryover and allocation)</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Default="00BC7372">
            <w:pPr>
              <w:pStyle w:val="TableParagraph"/>
              <w:numPr>
                <w:ilvl w:val="0"/>
                <w:numId w:val="9"/>
              </w:numPr>
              <w:tabs>
                <w:tab w:val="left" w:pos="305"/>
              </w:tabs>
              <w:spacing w:before="70"/>
              <w:rPr>
                <w:sz w:val="10"/>
              </w:rPr>
            </w:pPr>
            <w:r w:rsidRPr="003D024A">
              <w:rPr>
                <w:color w:val="231F20"/>
                <w:sz w:val="16"/>
                <w:szCs w:val="16"/>
              </w:rPr>
              <w:t>100 ML</w:t>
            </w:r>
            <w:r w:rsidRPr="003D024A">
              <w:rPr>
                <w:color w:val="231F20"/>
                <w:spacing w:val="-8"/>
                <w:sz w:val="16"/>
                <w:szCs w:val="16"/>
              </w:rPr>
              <w:t xml:space="preserve"> </w:t>
            </w:r>
            <w:r w:rsidRPr="003D024A">
              <w:rPr>
                <w:color w:val="231F20"/>
                <w:sz w:val="16"/>
                <w:szCs w:val="16"/>
              </w:rPr>
              <w:t>(allocation)</w:t>
            </w:r>
            <w:r>
              <w:rPr>
                <w:color w:val="231F20"/>
                <w:position w:val="6"/>
                <w:sz w:val="10"/>
              </w:rPr>
              <w:t>1</w:t>
            </w:r>
          </w:p>
        </w:tc>
      </w:tr>
      <w:tr w:rsidR="006A7A3F">
        <w:trPr>
          <w:trHeight w:val="1092"/>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272"/>
              <w:jc w:val="both"/>
              <w:rPr>
                <w:sz w:val="16"/>
              </w:rPr>
            </w:pPr>
            <w:r>
              <w:rPr>
                <w:color w:val="231F20"/>
                <w:sz w:val="16"/>
              </w:rPr>
              <w:t>Potential environmental watering – tier 1a (high priorities)</w:t>
            </w:r>
          </w:p>
        </w:tc>
        <w:tc>
          <w:tcPr>
            <w:tcW w:w="2041" w:type="dxa"/>
            <w:tcBorders>
              <w:top w:val="single" w:sz="4" w:space="0" w:color="231F20"/>
              <w:left w:val="single" w:sz="4" w:space="0" w:color="231F20"/>
              <w:bottom w:val="single" w:sz="4" w:space="0" w:color="231F20"/>
              <w:right w:val="single" w:sz="4" w:space="0" w:color="231F20"/>
            </w:tcBorders>
          </w:tcPr>
          <w:p w:rsidR="006A7A3F" w:rsidRPr="003D024A" w:rsidRDefault="00BC7372">
            <w:pPr>
              <w:pStyle w:val="TableParagraph"/>
              <w:numPr>
                <w:ilvl w:val="0"/>
                <w:numId w:val="8"/>
              </w:numPr>
              <w:tabs>
                <w:tab w:val="left" w:pos="305"/>
              </w:tabs>
              <w:spacing w:before="70"/>
              <w:rPr>
                <w:sz w:val="16"/>
                <w:szCs w:val="16"/>
              </w:rPr>
            </w:pPr>
            <w:r w:rsidRPr="003D024A">
              <w:rPr>
                <w:color w:val="231F20"/>
                <w:sz w:val="16"/>
                <w:szCs w:val="16"/>
              </w:rPr>
              <w:t>One spring fresh</w:t>
            </w:r>
          </w:p>
        </w:tc>
        <w:tc>
          <w:tcPr>
            <w:tcW w:w="2041" w:type="dxa"/>
            <w:tcBorders>
              <w:top w:val="single" w:sz="4" w:space="0" w:color="231F20"/>
              <w:left w:val="single" w:sz="4" w:space="0" w:color="231F20"/>
              <w:bottom w:val="single" w:sz="4" w:space="0" w:color="231F20"/>
              <w:right w:val="single" w:sz="4" w:space="0" w:color="231F20"/>
            </w:tcBorders>
          </w:tcPr>
          <w:p w:rsidR="006A7A3F" w:rsidRPr="003D024A" w:rsidRDefault="00BC7372">
            <w:pPr>
              <w:pStyle w:val="TableParagraph"/>
              <w:numPr>
                <w:ilvl w:val="0"/>
                <w:numId w:val="7"/>
              </w:numPr>
              <w:tabs>
                <w:tab w:val="left" w:pos="305"/>
              </w:tabs>
              <w:spacing w:before="70"/>
              <w:rPr>
                <w:sz w:val="16"/>
                <w:szCs w:val="16"/>
              </w:rPr>
            </w:pPr>
            <w:r w:rsidRPr="003D024A">
              <w:rPr>
                <w:color w:val="231F20"/>
                <w:sz w:val="16"/>
                <w:szCs w:val="16"/>
              </w:rPr>
              <w:t>One spring fresh</w:t>
            </w:r>
          </w:p>
          <w:p w:rsidR="006A7A3F" w:rsidRPr="003D024A" w:rsidRDefault="00BC7372">
            <w:pPr>
              <w:pStyle w:val="TableParagraph"/>
              <w:numPr>
                <w:ilvl w:val="0"/>
                <w:numId w:val="7"/>
              </w:numPr>
              <w:tabs>
                <w:tab w:val="left" w:pos="305"/>
              </w:tabs>
              <w:spacing w:before="98" w:line="254" w:lineRule="auto"/>
              <w:ind w:right="423"/>
              <w:rPr>
                <w:sz w:val="16"/>
                <w:szCs w:val="16"/>
              </w:rPr>
            </w:pPr>
            <w:r w:rsidRPr="003D024A">
              <w:rPr>
                <w:color w:val="231F20"/>
                <w:sz w:val="16"/>
                <w:szCs w:val="16"/>
              </w:rPr>
              <w:t>One to three summer/autumn freshes</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3D024A" w:rsidRDefault="00BC7372">
            <w:pPr>
              <w:pStyle w:val="TableParagraph"/>
              <w:numPr>
                <w:ilvl w:val="0"/>
                <w:numId w:val="6"/>
              </w:numPr>
              <w:tabs>
                <w:tab w:val="left" w:pos="305"/>
              </w:tabs>
              <w:spacing w:before="70"/>
              <w:rPr>
                <w:sz w:val="16"/>
                <w:szCs w:val="16"/>
              </w:rPr>
            </w:pPr>
            <w:r w:rsidRPr="003D024A">
              <w:rPr>
                <w:color w:val="231F20"/>
                <w:sz w:val="16"/>
                <w:szCs w:val="16"/>
              </w:rPr>
              <w:t>One to three summer/autumn freshes</w:t>
            </w:r>
          </w:p>
        </w:tc>
      </w:tr>
      <w:tr w:rsidR="006A7A3F">
        <w:trPr>
          <w:trHeight w:val="933"/>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485"/>
              <w:rPr>
                <w:sz w:val="16"/>
              </w:rPr>
            </w:pPr>
            <w:r>
              <w:rPr>
                <w:color w:val="231F20"/>
                <w:sz w:val="16"/>
              </w:rPr>
              <w:t>Possible volume of environmental water required to achieve objectives</w:t>
            </w:r>
          </w:p>
        </w:tc>
        <w:tc>
          <w:tcPr>
            <w:tcW w:w="2041" w:type="dxa"/>
            <w:tcBorders>
              <w:top w:val="single" w:sz="4" w:space="0" w:color="231F20"/>
              <w:left w:val="single" w:sz="4" w:space="0" w:color="231F20"/>
              <w:bottom w:val="single" w:sz="4" w:space="0" w:color="231F20"/>
              <w:right w:val="single" w:sz="4" w:space="0" w:color="231F20"/>
            </w:tcBorders>
          </w:tcPr>
          <w:p w:rsidR="006A7A3F" w:rsidRPr="003D024A" w:rsidRDefault="00BC7372">
            <w:pPr>
              <w:pStyle w:val="TableParagraph"/>
              <w:numPr>
                <w:ilvl w:val="0"/>
                <w:numId w:val="5"/>
              </w:numPr>
              <w:tabs>
                <w:tab w:val="left" w:pos="305"/>
              </w:tabs>
              <w:spacing w:before="70"/>
              <w:rPr>
                <w:sz w:val="16"/>
                <w:szCs w:val="16"/>
              </w:rPr>
            </w:pPr>
            <w:r w:rsidRPr="003D024A">
              <w:rPr>
                <w:color w:val="231F20"/>
                <w:sz w:val="16"/>
                <w:szCs w:val="16"/>
              </w:rPr>
              <w:t>100 ML (tier</w:t>
            </w:r>
            <w:r w:rsidRPr="003D024A">
              <w:rPr>
                <w:color w:val="231F20"/>
                <w:spacing w:val="-10"/>
                <w:sz w:val="16"/>
                <w:szCs w:val="16"/>
              </w:rPr>
              <w:t xml:space="preserve"> </w:t>
            </w:r>
            <w:r w:rsidRPr="003D024A">
              <w:rPr>
                <w:color w:val="231F20"/>
                <w:sz w:val="16"/>
                <w:szCs w:val="16"/>
              </w:rPr>
              <w:t>1a)</w:t>
            </w:r>
          </w:p>
        </w:tc>
        <w:tc>
          <w:tcPr>
            <w:tcW w:w="2041" w:type="dxa"/>
            <w:tcBorders>
              <w:top w:val="single" w:sz="4" w:space="0" w:color="231F20"/>
              <w:left w:val="single" w:sz="4" w:space="0" w:color="231F20"/>
              <w:bottom w:val="single" w:sz="4" w:space="0" w:color="231F20"/>
              <w:right w:val="single" w:sz="4" w:space="0" w:color="231F20"/>
            </w:tcBorders>
          </w:tcPr>
          <w:p w:rsidR="006A7A3F" w:rsidRPr="003D024A" w:rsidRDefault="00BC7372" w:rsidP="0087445D">
            <w:pPr>
              <w:pStyle w:val="TableParagraph"/>
              <w:numPr>
                <w:ilvl w:val="0"/>
                <w:numId w:val="4"/>
              </w:numPr>
              <w:tabs>
                <w:tab w:val="left" w:pos="305"/>
              </w:tabs>
              <w:spacing w:before="70"/>
              <w:rPr>
                <w:sz w:val="16"/>
                <w:szCs w:val="16"/>
              </w:rPr>
            </w:pPr>
            <w:r w:rsidRPr="003D024A">
              <w:rPr>
                <w:color w:val="231F20"/>
                <w:sz w:val="16"/>
                <w:szCs w:val="16"/>
              </w:rPr>
              <w:t>100–200</w:t>
            </w:r>
            <w:r w:rsidRPr="003D024A">
              <w:rPr>
                <w:color w:val="231F20"/>
                <w:spacing w:val="-2"/>
                <w:sz w:val="16"/>
                <w:szCs w:val="16"/>
              </w:rPr>
              <w:t xml:space="preserve"> </w:t>
            </w:r>
            <w:r w:rsidRPr="003D024A">
              <w:rPr>
                <w:color w:val="231F20"/>
                <w:sz w:val="16"/>
                <w:szCs w:val="16"/>
              </w:rPr>
              <w:t>ML</w:t>
            </w:r>
            <w:r w:rsidR="0087445D">
              <w:rPr>
                <w:color w:val="231F20"/>
                <w:sz w:val="16"/>
                <w:szCs w:val="16"/>
              </w:rPr>
              <w:t xml:space="preserve"> </w:t>
            </w:r>
            <w:r w:rsidRPr="003D024A">
              <w:rPr>
                <w:color w:val="231F20"/>
                <w:sz w:val="16"/>
                <w:szCs w:val="16"/>
              </w:rPr>
              <w:t>(tier 1a)</w:t>
            </w:r>
          </w:p>
        </w:tc>
        <w:tc>
          <w:tcPr>
            <w:tcW w:w="4082" w:type="dxa"/>
            <w:gridSpan w:val="2"/>
            <w:tcBorders>
              <w:top w:val="single" w:sz="4" w:space="0" w:color="231F20"/>
              <w:left w:val="single" w:sz="4" w:space="0" w:color="231F20"/>
              <w:bottom w:val="single" w:sz="4" w:space="0" w:color="231F20"/>
              <w:right w:val="single" w:sz="4" w:space="0" w:color="231F20"/>
            </w:tcBorders>
          </w:tcPr>
          <w:p w:rsidR="006A7A3F" w:rsidRPr="003D024A" w:rsidRDefault="00BC7372">
            <w:pPr>
              <w:pStyle w:val="TableParagraph"/>
              <w:numPr>
                <w:ilvl w:val="0"/>
                <w:numId w:val="3"/>
              </w:numPr>
              <w:tabs>
                <w:tab w:val="left" w:pos="305"/>
              </w:tabs>
              <w:spacing w:before="70"/>
              <w:rPr>
                <w:sz w:val="16"/>
                <w:szCs w:val="16"/>
              </w:rPr>
            </w:pPr>
            <w:r w:rsidRPr="003D024A">
              <w:rPr>
                <w:color w:val="231F20"/>
                <w:sz w:val="16"/>
                <w:szCs w:val="16"/>
              </w:rPr>
              <w:t>100 ML (tier</w:t>
            </w:r>
            <w:r w:rsidRPr="003D024A">
              <w:rPr>
                <w:color w:val="231F20"/>
                <w:spacing w:val="-9"/>
                <w:sz w:val="16"/>
                <w:szCs w:val="16"/>
              </w:rPr>
              <w:t xml:space="preserve"> </w:t>
            </w:r>
            <w:r w:rsidRPr="003D024A">
              <w:rPr>
                <w:color w:val="231F20"/>
                <w:sz w:val="16"/>
                <w:szCs w:val="16"/>
              </w:rPr>
              <w:t>1a)</w:t>
            </w:r>
          </w:p>
        </w:tc>
      </w:tr>
      <w:tr w:rsidR="006A7A3F">
        <w:trPr>
          <w:trHeight w:val="787"/>
        </w:trPr>
        <w:tc>
          <w:tcPr>
            <w:tcW w:w="2041" w:type="dxa"/>
            <w:tcBorders>
              <w:top w:val="single" w:sz="4" w:space="0" w:color="231F20"/>
              <w:left w:val="single" w:sz="4" w:space="0" w:color="231F20"/>
              <w:bottom w:val="single" w:sz="4" w:space="0" w:color="231F20"/>
              <w:right w:val="single" w:sz="4" w:space="0" w:color="231F20"/>
            </w:tcBorders>
          </w:tcPr>
          <w:p w:rsidR="006A7A3F" w:rsidRDefault="00BC7372">
            <w:pPr>
              <w:pStyle w:val="TableParagraph"/>
              <w:spacing w:before="74" w:line="261" w:lineRule="auto"/>
              <w:ind w:left="85" w:right="716"/>
              <w:rPr>
                <w:sz w:val="16"/>
              </w:rPr>
            </w:pPr>
            <w:r>
              <w:rPr>
                <w:color w:val="231F20"/>
                <w:sz w:val="16"/>
              </w:rPr>
              <w:t>Priority carryover requirements</w:t>
            </w:r>
          </w:p>
        </w:tc>
        <w:tc>
          <w:tcPr>
            <w:tcW w:w="8164" w:type="dxa"/>
            <w:gridSpan w:val="4"/>
            <w:tcBorders>
              <w:top w:val="single" w:sz="4" w:space="0" w:color="231F20"/>
              <w:left w:val="single" w:sz="4" w:space="0" w:color="231F20"/>
              <w:bottom w:val="single" w:sz="4" w:space="0" w:color="231F20"/>
              <w:right w:val="single" w:sz="4" w:space="0" w:color="231F20"/>
            </w:tcBorders>
          </w:tcPr>
          <w:p w:rsidR="006A7A3F" w:rsidRPr="003D024A" w:rsidRDefault="00BC7372">
            <w:pPr>
              <w:pStyle w:val="TableParagraph"/>
              <w:numPr>
                <w:ilvl w:val="0"/>
                <w:numId w:val="2"/>
              </w:numPr>
              <w:tabs>
                <w:tab w:val="left" w:pos="305"/>
              </w:tabs>
              <w:spacing w:before="70" w:line="254" w:lineRule="auto"/>
              <w:ind w:right="1041"/>
              <w:rPr>
                <w:sz w:val="16"/>
                <w:szCs w:val="16"/>
              </w:rPr>
            </w:pPr>
            <w:r w:rsidRPr="003D024A">
              <w:rPr>
                <w:color w:val="231F20"/>
                <w:sz w:val="16"/>
                <w:szCs w:val="16"/>
              </w:rPr>
              <w:t>If the 100 ML allocation is received on 1 December 2020 and Birchs Creek is in good condition</w:t>
            </w:r>
            <w:r w:rsidRPr="003D024A">
              <w:rPr>
                <w:color w:val="231F20"/>
                <w:spacing w:val="-3"/>
                <w:sz w:val="16"/>
                <w:szCs w:val="16"/>
              </w:rPr>
              <w:t xml:space="preserve"> </w:t>
            </w:r>
            <w:r w:rsidRPr="003D024A">
              <w:rPr>
                <w:color w:val="231F20"/>
                <w:sz w:val="16"/>
                <w:szCs w:val="16"/>
              </w:rPr>
              <w:t>over</w:t>
            </w:r>
            <w:r w:rsidRPr="003D024A">
              <w:rPr>
                <w:color w:val="231F20"/>
                <w:spacing w:val="-4"/>
                <w:sz w:val="16"/>
                <w:szCs w:val="16"/>
              </w:rPr>
              <w:t xml:space="preserve"> </w:t>
            </w:r>
            <w:r w:rsidRPr="003D024A">
              <w:rPr>
                <w:color w:val="231F20"/>
                <w:sz w:val="16"/>
                <w:szCs w:val="16"/>
              </w:rPr>
              <w:t>summer/autumn,</w:t>
            </w:r>
            <w:r w:rsidRPr="003D024A">
              <w:rPr>
                <w:color w:val="231F20"/>
                <w:spacing w:val="-2"/>
                <w:sz w:val="16"/>
                <w:szCs w:val="16"/>
              </w:rPr>
              <w:t xml:space="preserve"> </w:t>
            </w:r>
            <w:r w:rsidRPr="003D024A">
              <w:rPr>
                <w:color w:val="231F20"/>
                <w:sz w:val="16"/>
                <w:szCs w:val="16"/>
              </w:rPr>
              <w:t>carry</w:t>
            </w:r>
            <w:r w:rsidRPr="003D024A">
              <w:rPr>
                <w:color w:val="231F20"/>
                <w:spacing w:val="-3"/>
                <w:sz w:val="16"/>
                <w:szCs w:val="16"/>
              </w:rPr>
              <w:t xml:space="preserve"> </w:t>
            </w:r>
            <w:r w:rsidRPr="003D024A">
              <w:rPr>
                <w:color w:val="231F20"/>
                <w:sz w:val="16"/>
                <w:szCs w:val="16"/>
              </w:rPr>
              <w:t>over</w:t>
            </w:r>
            <w:r w:rsidRPr="003D024A">
              <w:rPr>
                <w:color w:val="231F20"/>
                <w:spacing w:val="-3"/>
                <w:sz w:val="16"/>
                <w:szCs w:val="16"/>
              </w:rPr>
              <w:t xml:space="preserve"> </w:t>
            </w:r>
            <w:r w:rsidRPr="003D024A">
              <w:rPr>
                <w:color w:val="231F20"/>
                <w:sz w:val="16"/>
                <w:szCs w:val="16"/>
              </w:rPr>
              <w:t>100</w:t>
            </w:r>
            <w:r w:rsidRPr="003D024A">
              <w:rPr>
                <w:color w:val="231F20"/>
                <w:spacing w:val="-4"/>
                <w:sz w:val="16"/>
                <w:szCs w:val="16"/>
              </w:rPr>
              <w:t xml:space="preserve"> </w:t>
            </w:r>
            <w:r w:rsidRPr="003D024A">
              <w:rPr>
                <w:color w:val="231F20"/>
                <w:sz w:val="16"/>
                <w:szCs w:val="16"/>
              </w:rPr>
              <w:t>ML</w:t>
            </w:r>
            <w:r w:rsidRPr="003D024A">
              <w:rPr>
                <w:color w:val="231F20"/>
                <w:spacing w:val="-9"/>
                <w:sz w:val="16"/>
                <w:szCs w:val="16"/>
              </w:rPr>
              <w:t xml:space="preserve"> </w:t>
            </w:r>
            <w:r w:rsidRPr="003D024A">
              <w:rPr>
                <w:color w:val="231F20"/>
                <w:sz w:val="16"/>
                <w:szCs w:val="16"/>
              </w:rPr>
              <w:t>allocation</w:t>
            </w:r>
            <w:r w:rsidRPr="003D024A">
              <w:rPr>
                <w:color w:val="231F20"/>
                <w:spacing w:val="-4"/>
                <w:sz w:val="16"/>
                <w:szCs w:val="16"/>
              </w:rPr>
              <w:t xml:space="preserve"> </w:t>
            </w:r>
            <w:r w:rsidRPr="003D024A">
              <w:rPr>
                <w:color w:val="231F20"/>
                <w:sz w:val="16"/>
                <w:szCs w:val="16"/>
              </w:rPr>
              <w:t>into</w:t>
            </w:r>
            <w:r w:rsidRPr="003D024A">
              <w:rPr>
                <w:color w:val="231F20"/>
                <w:spacing w:val="-3"/>
                <w:sz w:val="16"/>
                <w:szCs w:val="16"/>
              </w:rPr>
              <w:t xml:space="preserve"> </w:t>
            </w:r>
            <w:r w:rsidRPr="003D024A">
              <w:rPr>
                <w:color w:val="231F20"/>
                <w:sz w:val="16"/>
                <w:szCs w:val="16"/>
              </w:rPr>
              <w:t>2021–22</w:t>
            </w:r>
            <w:r w:rsidRPr="003D024A">
              <w:rPr>
                <w:color w:val="231F20"/>
                <w:spacing w:val="-4"/>
                <w:sz w:val="16"/>
                <w:szCs w:val="16"/>
              </w:rPr>
              <w:t xml:space="preserve"> </w:t>
            </w:r>
            <w:r w:rsidRPr="003D024A">
              <w:rPr>
                <w:color w:val="231F20"/>
                <w:sz w:val="16"/>
                <w:szCs w:val="16"/>
              </w:rPr>
              <w:t>water</w:t>
            </w:r>
            <w:r w:rsidRPr="003D024A">
              <w:rPr>
                <w:color w:val="231F20"/>
                <w:spacing w:val="-3"/>
                <w:sz w:val="16"/>
                <w:szCs w:val="16"/>
              </w:rPr>
              <w:t xml:space="preserve"> </w:t>
            </w:r>
            <w:r w:rsidRPr="003D024A">
              <w:rPr>
                <w:color w:val="231F20"/>
                <w:sz w:val="16"/>
                <w:szCs w:val="16"/>
              </w:rPr>
              <w:t>year for use by 30 November</w:t>
            </w:r>
            <w:r w:rsidRPr="003D024A">
              <w:rPr>
                <w:color w:val="231F20"/>
                <w:spacing w:val="-5"/>
                <w:sz w:val="16"/>
                <w:szCs w:val="16"/>
              </w:rPr>
              <w:t xml:space="preserve"> </w:t>
            </w:r>
            <w:r w:rsidRPr="003D024A">
              <w:rPr>
                <w:color w:val="231F20"/>
                <w:sz w:val="16"/>
                <w:szCs w:val="16"/>
              </w:rPr>
              <w:t>2021</w:t>
            </w:r>
          </w:p>
        </w:tc>
      </w:tr>
    </w:tbl>
    <w:p w:rsidR="006A7A3F" w:rsidRDefault="00BC7372">
      <w:pPr>
        <w:spacing w:before="137"/>
        <w:ind w:left="210"/>
        <w:rPr>
          <w:color w:val="231F20"/>
          <w:sz w:val="14"/>
        </w:rPr>
      </w:pPr>
      <w:r>
        <w:rPr>
          <w:color w:val="231F20"/>
          <w:sz w:val="14"/>
        </w:rPr>
        <w:t>1 Under an average or wet scenario, it is likely that Newlyn Reservoir will spill before 30 November 2020, losing the 100 ML carryover from December 2019.</w:t>
      </w:r>
    </w:p>
    <w:p w:rsidR="004D037F" w:rsidRDefault="004D037F">
      <w:pPr>
        <w:rPr>
          <w:sz w:val="14"/>
        </w:rPr>
      </w:pPr>
      <w:r>
        <w:rPr>
          <w:sz w:val="14"/>
        </w:rPr>
        <w:br w:type="page"/>
      </w:r>
    </w:p>
    <w:p w:rsidR="00C7731C" w:rsidRDefault="00C7731C" w:rsidP="00C7731C">
      <w:pPr>
        <w:pStyle w:val="H3-IntroIntroduction"/>
        <w:rPr>
          <w:sz w:val="42"/>
          <w:szCs w:val="42"/>
        </w:rPr>
      </w:pPr>
      <w:r w:rsidRPr="00CC340C">
        <w:rPr>
          <w:sz w:val="42"/>
          <w:szCs w:val="42"/>
        </w:rPr>
        <w:t xml:space="preserve">Section </w:t>
      </w:r>
      <w:r>
        <w:rPr>
          <w:sz w:val="42"/>
          <w:szCs w:val="42"/>
        </w:rPr>
        <w:t>6</w:t>
      </w:r>
      <w:r w:rsidRPr="00CC340C">
        <w:rPr>
          <w:sz w:val="42"/>
          <w:szCs w:val="42"/>
        </w:rPr>
        <w:t xml:space="preserve"> – </w:t>
      </w:r>
      <w:r>
        <w:rPr>
          <w:sz w:val="42"/>
          <w:szCs w:val="42"/>
        </w:rPr>
        <w:t>Further information</w:t>
      </w:r>
    </w:p>
    <w:p w:rsidR="00C7731C" w:rsidRDefault="00C7731C" w:rsidP="00C7731C">
      <w:pPr>
        <w:pStyle w:val="BodyText"/>
        <w:ind w:left="0"/>
      </w:pPr>
    </w:p>
    <w:p w:rsidR="00C7731C" w:rsidRPr="002A7565" w:rsidRDefault="00C7731C" w:rsidP="00C7731C">
      <w:pPr>
        <w:pStyle w:val="BodyText"/>
        <w:tabs>
          <w:tab w:val="left" w:pos="567"/>
          <w:tab w:val="left" w:pos="1276"/>
          <w:tab w:val="right" w:leader="dot" w:pos="10065"/>
        </w:tabs>
        <w:ind w:left="0"/>
      </w:pPr>
      <w:r>
        <w:t>6</w:t>
      </w:r>
      <w:r w:rsidRPr="002A7565">
        <w:t>.1</w:t>
      </w:r>
      <w:r>
        <w:tab/>
        <w:t>Acronyms and abbreviations</w:t>
      </w:r>
      <w:r>
        <w:tab/>
        <w:t>2</w:t>
      </w:r>
      <w:r w:rsidR="00A846EE">
        <w:t>89</w:t>
      </w:r>
    </w:p>
    <w:p w:rsidR="00C7731C" w:rsidRDefault="00C7731C" w:rsidP="00C7731C">
      <w:pPr>
        <w:pStyle w:val="BodyText"/>
        <w:tabs>
          <w:tab w:val="left" w:pos="567"/>
          <w:tab w:val="left" w:pos="1276"/>
          <w:tab w:val="right" w:leader="dot" w:pos="10065"/>
        </w:tabs>
        <w:ind w:left="0"/>
      </w:pPr>
      <w:r>
        <w:t>6</w:t>
      </w:r>
      <w:r w:rsidRPr="002A7565">
        <w:t>.2.</w:t>
      </w:r>
      <w:r>
        <w:tab/>
      </w:r>
      <w:r>
        <w:rPr>
          <w:color w:val="000000" w:themeColor="text1"/>
        </w:rPr>
        <w:t>Glossary</w:t>
      </w:r>
      <w:r>
        <w:tab/>
        <w:t>2</w:t>
      </w:r>
      <w:r w:rsidR="00A846EE">
        <w:t>90</w:t>
      </w:r>
    </w:p>
    <w:p w:rsidR="00C7731C" w:rsidRDefault="00C7731C" w:rsidP="00C7731C">
      <w:pPr>
        <w:pStyle w:val="BodyText"/>
        <w:tabs>
          <w:tab w:val="left" w:pos="567"/>
          <w:tab w:val="left" w:pos="1276"/>
          <w:tab w:val="right" w:leader="dot" w:pos="10065"/>
        </w:tabs>
        <w:ind w:left="0"/>
      </w:pPr>
      <w:r>
        <w:t>6.3</w:t>
      </w:r>
      <w:r>
        <w:tab/>
        <w:t>Contact details</w:t>
      </w:r>
      <w:r>
        <w:tab/>
        <w:t>29</w:t>
      </w:r>
      <w:r w:rsidR="00A846EE">
        <w:t>5</w:t>
      </w:r>
    </w:p>
    <w:p w:rsidR="004D037F" w:rsidRDefault="004D037F">
      <w:pPr>
        <w:rPr>
          <w:color w:val="231F20"/>
          <w:sz w:val="42"/>
          <w:szCs w:val="42"/>
        </w:rPr>
      </w:pPr>
      <w:r>
        <w:rPr>
          <w:color w:val="231F20"/>
        </w:rPr>
        <w:br w:type="page"/>
      </w:r>
    </w:p>
    <w:p w:rsidR="006A7A3F" w:rsidRDefault="00BC7372" w:rsidP="004D037F">
      <w:pPr>
        <w:pStyle w:val="Heading1"/>
        <w:numPr>
          <w:ilvl w:val="1"/>
          <w:numId w:val="1422"/>
        </w:numPr>
        <w:tabs>
          <w:tab w:val="left" w:pos="1004"/>
          <w:tab w:val="left" w:pos="1005"/>
        </w:tabs>
        <w:spacing w:before="64"/>
      </w:pPr>
      <w:r>
        <w:rPr>
          <w:color w:val="231F20"/>
        </w:rPr>
        <w:t>Acronyms and</w:t>
      </w:r>
      <w:r>
        <w:rPr>
          <w:color w:val="231F20"/>
          <w:spacing w:val="-2"/>
        </w:rPr>
        <w:t xml:space="preserve"> </w:t>
      </w:r>
      <w:r>
        <w:rPr>
          <w:color w:val="231F20"/>
        </w:rPr>
        <w:t>abbreviations</w:t>
      </w:r>
    </w:p>
    <w:p w:rsidR="0087445D" w:rsidRDefault="00BC7372" w:rsidP="0087445D">
      <w:pPr>
        <w:pStyle w:val="BodyText"/>
        <w:spacing w:beforeLines="100" w:before="240"/>
        <w:ind w:right="284"/>
        <w:rPr>
          <w:color w:val="231F20"/>
        </w:rPr>
      </w:pPr>
      <w:r>
        <w:rPr>
          <w:b/>
          <w:color w:val="231F20"/>
        </w:rPr>
        <w:t xml:space="preserve">AHD </w:t>
      </w:r>
      <w:r>
        <w:rPr>
          <w:color w:val="231F20"/>
        </w:rPr>
        <w:t xml:space="preserve">– Australian Height Datum (also see Glossary entry) </w:t>
      </w:r>
    </w:p>
    <w:p w:rsidR="0087445D" w:rsidRDefault="00BC7372" w:rsidP="0087445D">
      <w:pPr>
        <w:pStyle w:val="BodyText"/>
        <w:spacing w:beforeLines="100" w:before="240"/>
        <w:ind w:right="284"/>
        <w:rPr>
          <w:color w:val="231F20"/>
        </w:rPr>
      </w:pPr>
      <w:r>
        <w:rPr>
          <w:b/>
          <w:color w:val="231F20"/>
        </w:rPr>
        <w:t xml:space="preserve">BGLC </w:t>
      </w:r>
      <w:r>
        <w:rPr>
          <w:color w:val="231F20"/>
        </w:rPr>
        <w:t xml:space="preserve">– Barengi Gadjin Land Council Aboriginal Corporation </w:t>
      </w:r>
    </w:p>
    <w:p w:rsidR="0087445D" w:rsidRDefault="00BC7372" w:rsidP="0087445D">
      <w:pPr>
        <w:pStyle w:val="BodyText"/>
        <w:spacing w:beforeLines="100" w:before="240"/>
        <w:ind w:right="284"/>
        <w:rPr>
          <w:color w:val="231F20"/>
        </w:rPr>
      </w:pPr>
      <w:r>
        <w:rPr>
          <w:b/>
          <w:color w:val="231F20"/>
        </w:rPr>
        <w:t xml:space="preserve">BLCAC </w:t>
      </w:r>
      <w:r>
        <w:rPr>
          <w:color w:val="231F20"/>
        </w:rPr>
        <w:t xml:space="preserve">– Bunurong Land Council Aboriginal Corporation </w:t>
      </w:r>
    </w:p>
    <w:p w:rsidR="006A7A3F" w:rsidRDefault="00BC7372" w:rsidP="0087445D">
      <w:pPr>
        <w:pStyle w:val="BodyText"/>
        <w:spacing w:beforeLines="100" w:before="240"/>
        <w:ind w:right="284"/>
      </w:pPr>
      <w:r>
        <w:rPr>
          <w:b/>
          <w:color w:val="231F20"/>
        </w:rPr>
        <w:t xml:space="preserve">CEWH </w:t>
      </w:r>
      <w:r>
        <w:rPr>
          <w:color w:val="231F20"/>
        </w:rPr>
        <w:t>– Commonwealth Environmental Water Holder</w:t>
      </w:r>
    </w:p>
    <w:p w:rsidR="006A7A3F" w:rsidRDefault="00BC7372" w:rsidP="0087445D">
      <w:pPr>
        <w:pStyle w:val="BodyText"/>
        <w:spacing w:beforeLines="100" w:before="240"/>
        <w:ind w:right="284"/>
      </w:pPr>
      <w:r>
        <w:rPr>
          <w:b/>
          <w:color w:val="231F20"/>
        </w:rPr>
        <w:t xml:space="preserve">CMA </w:t>
      </w:r>
      <w:r>
        <w:rPr>
          <w:color w:val="231F20"/>
        </w:rPr>
        <w:t>– Catchment management authority</w:t>
      </w:r>
    </w:p>
    <w:p w:rsidR="006A7A3F" w:rsidRDefault="00BC7372" w:rsidP="0087445D">
      <w:pPr>
        <w:pStyle w:val="BodyText"/>
        <w:spacing w:beforeLines="100" w:before="240"/>
        <w:ind w:right="284"/>
      </w:pPr>
      <w:r>
        <w:rPr>
          <w:b/>
          <w:color w:val="231F20"/>
        </w:rPr>
        <w:t xml:space="preserve">DELWP </w:t>
      </w:r>
      <w:r>
        <w:rPr>
          <w:color w:val="231F20"/>
        </w:rPr>
        <w:t>– Department of Environment, Land, Water and Planning</w:t>
      </w:r>
    </w:p>
    <w:p w:rsidR="006A7A3F" w:rsidRDefault="00BC7372" w:rsidP="0087445D">
      <w:pPr>
        <w:pStyle w:val="BodyText"/>
        <w:spacing w:beforeLines="100" w:before="240"/>
        <w:ind w:right="284"/>
      </w:pPr>
      <w:r>
        <w:rPr>
          <w:b/>
          <w:color w:val="231F20"/>
        </w:rPr>
        <w:t xml:space="preserve">EVC </w:t>
      </w:r>
      <w:r>
        <w:rPr>
          <w:color w:val="231F20"/>
        </w:rPr>
        <w:t>– Ecological Vegetation Class</w:t>
      </w:r>
    </w:p>
    <w:p w:rsidR="006A7A3F" w:rsidRDefault="00BC7372" w:rsidP="0087445D">
      <w:pPr>
        <w:pStyle w:val="BodyText"/>
        <w:spacing w:beforeLines="100" w:before="240"/>
        <w:ind w:right="284"/>
      </w:pPr>
      <w:r>
        <w:rPr>
          <w:b/>
          <w:color w:val="231F20"/>
        </w:rPr>
        <w:t xml:space="preserve">FSL </w:t>
      </w:r>
      <w:r>
        <w:rPr>
          <w:color w:val="231F20"/>
        </w:rPr>
        <w:t>– Full supply level</w:t>
      </w:r>
    </w:p>
    <w:p w:rsidR="006A7A3F" w:rsidRDefault="00BC7372" w:rsidP="0087445D">
      <w:pPr>
        <w:pStyle w:val="BodyText"/>
        <w:spacing w:beforeLines="100" w:before="240"/>
        <w:ind w:right="284"/>
      </w:pPr>
      <w:r>
        <w:rPr>
          <w:b/>
          <w:color w:val="231F20"/>
        </w:rPr>
        <w:t xml:space="preserve">GLaWAC </w:t>
      </w:r>
      <w:r>
        <w:rPr>
          <w:color w:val="231F20"/>
        </w:rPr>
        <w:t>– Gunaikurnai Land and Waters Aboriginal Corporation</w:t>
      </w:r>
    </w:p>
    <w:p w:rsidR="006A7A3F" w:rsidRDefault="00BC7372" w:rsidP="0087445D">
      <w:pPr>
        <w:spacing w:beforeLines="100" w:before="240"/>
        <w:ind w:left="210" w:right="284"/>
        <w:rPr>
          <w:sz w:val="20"/>
        </w:rPr>
      </w:pPr>
      <w:r>
        <w:rPr>
          <w:b/>
          <w:color w:val="231F20"/>
          <w:sz w:val="20"/>
        </w:rPr>
        <w:t xml:space="preserve">GWMWater </w:t>
      </w:r>
      <w:r>
        <w:rPr>
          <w:color w:val="231F20"/>
          <w:sz w:val="20"/>
        </w:rPr>
        <w:t>– Grampians Wimmera Mallee Water</w:t>
      </w:r>
    </w:p>
    <w:p w:rsidR="006A7A3F" w:rsidRDefault="00BC7372" w:rsidP="0087445D">
      <w:pPr>
        <w:pStyle w:val="BodyText"/>
        <w:spacing w:beforeLines="100" w:before="240"/>
        <w:ind w:right="284"/>
      </w:pPr>
      <w:r>
        <w:rPr>
          <w:b/>
          <w:color w:val="231F20"/>
        </w:rPr>
        <w:t xml:space="preserve">IVT </w:t>
      </w:r>
      <w:r>
        <w:rPr>
          <w:color w:val="231F20"/>
        </w:rPr>
        <w:t>– Inter-valley transfer</w:t>
      </w:r>
    </w:p>
    <w:p w:rsidR="006A7A3F" w:rsidRDefault="00BC7372" w:rsidP="0087445D">
      <w:pPr>
        <w:pStyle w:val="BodyText"/>
        <w:spacing w:beforeLines="100" w:before="240"/>
        <w:ind w:right="284"/>
      </w:pPr>
      <w:r>
        <w:rPr>
          <w:b/>
          <w:color w:val="231F20"/>
        </w:rPr>
        <w:t xml:space="preserve">MDBA </w:t>
      </w:r>
      <w:r>
        <w:rPr>
          <w:color w:val="231F20"/>
        </w:rPr>
        <w:t>– Murray-Darling Basin Authority</w:t>
      </w:r>
    </w:p>
    <w:p w:rsidR="006A7A3F" w:rsidRDefault="00BC7372" w:rsidP="0087445D">
      <w:pPr>
        <w:pStyle w:val="BodyText"/>
        <w:spacing w:beforeLines="100" w:before="240"/>
        <w:ind w:right="284"/>
      </w:pPr>
      <w:r>
        <w:rPr>
          <w:b/>
          <w:color w:val="231F20"/>
        </w:rPr>
        <w:t xml:space="preserve">MDWWG </w:t>
      </w:r>
      <w:r>
        <w:rPr>
          <w:color w:val="231F20"/>
        </w:rPr>
        <w:t>– Murray Darling Wetlands Working Group</w:t>
      </w:r>
    </w:p>
    <w:p w:rsidR="006A7A3F" w:rsidRDefault="00BC7372" w:rsidP="0087445D">
      <w:pPr>
        <w:pStyle w:val="BodyText"/>
        <w:spacing w:beforeLines="100" w:before="240"/>
        <w:ind w:right="284"/>
      </w:pPr>
      <w:r>
        <w:rPr>
          <w:b/>
          <w:color w:val="231F20"/>
        </w:rPr>
        <w:t xml:space="preserve">ML </w:t>
      </w:r>
      <w:r>
        <w:rPr>
          <w:color w:val="231F20"/>
        </w:rPr>
        <w:t>– Megalitre (also see glossary entry)</w:t>
      </w:r>
    </w:p>
    <w:p w:rsidR="006A7A3F" w:rsidRDefault="00BC7372" w:rsidP="0087445D">
      <w:pPr>
        <w:pStyle w:val="BodyText"/>
        <w:spacing w:beforeLines="100" w:before="240"/>
        <w:ind w:right="284"/>
      </w:pPr>
      <w:r>
        <w:rPr>
          <w:b/>
          <w:color w:val="231F20"/>
        </w:rPr>
        <w:t xml:space="preserve">NVIRP </w:t>
      </w:r>
      <w:r>
        <w:rPr>
          <w:color w:val="231F20"/>
        </w:rPr>
        <w:t>– Northern Victoria Irrigation Renewal Project</w:t>
      </w:r>
    </w:p>
    <w:p w:rsidR="006A7A3F" w:rsidRDefault="00BC7372" w:rsidP="0087445D">
      <w:pPr>
        <w:pStyle w:val="BodyText"/>
        <w:spacing w:beforeLines="100" w:before="240"/>
        <w:ind w:right="284"/>
      </w:pPr>
      <w:r>
        <w:rPr>
          <w:b/>
          <w:color w:val="231F20"/>
        </w:rPr>
        <w:t xml:space="preserve">NVRM </w:t>
      </w:r>
      <w:r>
        <w:rPr>
          <w:color w:val="231F20"/>
        </w:rPr>
        <w:t>– Northern Victoria Resource Manager</w:t>
      </w:r>
    </w:p>
    <w:p w:rsidR="006A7A3F" w:rsidRDefault="00BC7372" w:rsidP="0087445D">
      <w:pPr>
        <w:pStyle w:val="BodyText"/>
        <w:spacing w:beforeLines="100" w:before="240"/>
        <w:ind w:right="284"/>
      </w:pPr>
      <w:r>
        <w:rPr>
          <w:b/>
          <w:color w:val="231F20"/>
        </w:rPr>
        <w:t xml:space="preserve">RMIF </w:t>
      </w:r>
      <w:r>
        <w:rPr>
          <w:color w:val="231F20"/>
        </w:rPr>
        <w:t>— River Murray Increased Flows</w:t>
      </w:r>
    </w:p>
    <w:p w:rsidR="006A7A3F" w:rsidRDefault="00BC7372" w:rsidP="0087445D">
      <w:pPr>
        <w:pStyle w:val="BodyText"/>
        <w:spacing w:beforeLines="100" w:before="240"/>
        <w:ind w:right="284"/>
      </w:pPr>
      <w:r>
        <w:rPr>
          <w:b/>
          <w:color w:val="231F20"/>
        </w:rPr>
        <w:t xml:space="preserve">SAC </w:t>
      </w:r>
      <w:r>
        <w:rPr>
          <w:color w:val="231F20"/>
        </w:rPr>
        <w:t>– Snowy Advisory Committee</w:t>
      </w:r>
    </w:p>
    <w:p w:rsidR="006A7A3F" w:rsidRDefault="00BC7372" w:rsidP="0087445D">
      <w:pPr>
        <w:pStyle w:val="BodyText"/>
        <w:spacing w:beforeLines="100" w:before="240"/>
        <w:ind w:right="284"/>
      </w:pPr>
      <w:r>
        <w:rPr>
          <w:b/>
          <w:color w:val="231F20"/>
        </w:rPr>
        <w:t xml:space="preserve">VEFMAP </w:t>
      </w:r>
      <w:r>
        <w:rPr>
          <w:color w:val="231F20"/>
        </w:rPr>
        <w:t>– Victorian Environmental Flows Monitoring Assessment Program</w:t>
      </w:r>
    </w:p>
    <w:p w:rsidR="0087445D" w:rsidRDefault="00BC7372" w:rsidP="0087445D">
      <w:pPr>
        <w:pStyle w:val="BodyText"/>
        <w:spacing w:beforeLines="100" w:before="240"/>
        <w:ind w:right="284"/>
        <w:rPr>
          <w:color w:val="231F20"/>
        </w:rPr>
      </w:pPr>
      <w:r>
        <w:rPr>
          <w:b/>
          <w:color w:val="231F20"/>
        </w:rPr>
        <w:t xml:space="preserve">VEWH </w:t>
      </w:r>
      <w:r>
        <w:rPr>
          <w:color w:val="231F20"/>
        </w:rPr>
        <w:t xml:space="preserve">– Victorian Environmental Water Holder </w:t>
      </w:r>
    </w:p>
    <w:p w:rsidR="0087445D" w:rsidRDefault="00BC7372" w:rsidP="0087445D">
      <w:pPr>
        <w:pStyle w:val="BodyText"/>
        <w:spacing w:beforeLines="100" w:before="240"/>
        <w:ind w:right="284"/>
        <w:rPr>
          <w:color w:val="231F20"/>
        </w:rPr>
      </w:pPr>
      <w:r>
        <w:rPr>
          <w:b/>
          <w:color w:val="231F20"/>
        </w:rPr>
        <w:t xml:space="preserve">WetMAP </w:t>
      </w:r>
      <w:r>
        <w:rPr>
          <w:color w:val="231F20"/>
        </w:rPr>
        <w:t xml:space="preserve">– Wetland Monitoring Assessment Program </w:t>
      </w:r>
    </w:p>
    <w:p w:rsidR="006A7A3F" w:rsidRDefault="00BC7372" w:rsidP="0087445D">
      <w:pPr>
        <w:pStyle w:val="BodyText"/>
        <w:spacing w:beforeLines="100" w:before="240"/>
        <w:ind w:right="284"/>
      </w:pPr>
      <w:r>
        <w:rPr>
          <w:b/>
          <w:color w:val="231F20"/>
        </w:rPr>
        <w:t xml:space="preserve">WMPP </w:t>
      </w:r>
      <w:r>
        <w:rPr>
          <w:color w:val="231F20"/>
        </w:rPr>
        <w:t>– Wimmera-Mallee Pipeline Project</w:t>
      </w:r>
    </w:p>
    <w:p w:rsidR="006A7A3F" w:rsidRDefault="006A7A3F">
      <w:pPr>
        <w:spacing w:line="427" w:lineRule="auto"/>
        <w:sectPr w:rsidR="006A7A3F" w:rsidSect="00C92D74">
          <w:pgSz w:w="11910" w:h="16840"/>
          <w:pgMar w:top="1701" w:right="851" w:bottom="1134" w:left="851" w:header="720" w:footer="720" w:gutter="0"/>
          <w:cols w:space="720"/>
        </w:sectPr>
      </w:pPr>
    </w:p>
    <w:p w:rsidR="006A7A3F" w:rsidRDefault="00BC7372" w:rsidP="004D037F">
      <w:pPr>
        <w:pStyle w:val="Heading1"/>
        <w:numPr>
          <w:ilvl w:val="1"/>
          <w:numId w:val="1422"/>
        </w:numPr>
        <w:tabs>
          <w:tab w:val="left" w:pos="1027"/>
          <w:tab w:val="left" w:pos="1028"/>
        </w:tabs>
        <w:spacing w:before="64"/>
        <w:ind w:left="1027" w:hanging="818"/>
      </w:pPr>
      <w:r>
        <w:rPr>
          <w:color w:val="231F20"/>
        </w:rPr>
        <w:t>Glossary</w:t>
      </w:r>
    </w:p>
    <w:p w:rsidR="006A7A3F" w:rsidRDefault="00BC7372">
      <w:pPr>
        <w:pStyle w:val="BodyText"/>
        <w:spacing w:before="247" w:line="249" w:lineRule="auto"/>
        <w:ind w:right="721"/>
        <w:jc w:val="both"/>
      </w:pPr>
      <w:r>
        <w:rPr>
          <w:b/>
          <w:color w:val="231F20"/>
        </w:rPr>
        <w:t xml:space="preserve">Acid sulphate soils </w:t>
      </w:r>
      <w:r>
        <w:rPr>
          <w:color w:val="231F20"/>
        </w:rPr>
        <w:t xml:space="preserve">– Naturally occurring soils containing high quantities of iron sulphates. When these soils remain underwater they are stable, but if they are exposed to </w:t>
      </w:r>
      <w:r>
        <w:rPr>
          <w:color w:val="231F20"/>
          <w:spacing w:val="-4"/>
        </w:rPr>
        <w:t xml:space="preserve">air, </w:t>
      </w:r>
      <w:r>
        <w:rPr>
          <w:color w:val="231F20"/>
        </w:rPr>
        <w:t>sulphuric acid is generated and can result in severe environmental impacts.</w:t>
      </w:r>
    </w:p>
    <w:p w:rsidR="006A7A3F" w:rsidRDefault="00BC7372">
      <w:pPr>
        <w:pStyle w:val="BodyText"/>
        <w:spacing w:before="173" w:line="249" w:lineRule="auto"/>
        <w:ind w:right="100"/>
      </w:pPr>
      <w:r>
        <w:rPr>
          <w:b/>
          <w:color w:val="231F20"/>
        </w:rPr>
        <w:t xml:space="preserve">Adaptive management </w:t>
      </w:r>
      <w:r>
        <w:rPr>
          <w:color w:val="231F20"/>
        </w:rPr>
        <w:t>– An iterative decision-making process based on continuous learning that aims to reduce uncertainty over time.</w:t>
      </w:r>
    </w:p>
    <w:p w:rsidR="006A7A3F" w:rsidRDefault="00BC7372">
      <w:pPr>
        <w:pStyle w:val="BodyText"/>
        <w:spacing w:before="171" w:line="249" w:lineRule="auto"/>
        <w:ind w:right="809"/>
      </w:pPr>
      <w:r>
        <w:rPr>
          <w:b/>
          <w:color w:val="231F20"/>
        </w:rPr>
        <w:t xml:space="preserve">Allocation (of water) </w:t>
      </w:r>
      <w:r>
        <w:rPr>
          <w:color w:val="231F20"/>
        </w:rPr>
        <w:t>– The specific volume of water allocated to water entitlements in a given water year or allocated as specified in a water resource plan.</w:t>
      </w:r>
    </w:p>
    <w:p w:rsidR="006A7A3F" w:rsidRDefault="00BC7372">
      <w:pPr>
        <w:pStyle w:val="BodyText"/>
      </w:pPr>
      <w:r>
        <w:rPr>
          <w:color w:val="231F20"/>
        </w:rPr>
        <w:t>Australian Height Datum (AHD) – Height above sea level.</w:t>
      </w:r>
    </w:p>
    <w:p w:rsidR="006A7A3F" w:rsidRDefault="00BC7372">
      <w:pPr>
        <w:pStyle w:val="BodyText"/>
        <w:spacing w:before="180" w:line="249" w:lineRule="auto"/>
        <w:ind w:right="457"/>
      </w:pPr>
      <w:r>
        <w:rPr>
          <w:b/>
          <w:color w:val="231F20"/>
        </w:rPr>
        <w:t xml:space="preserve">Azolla </w:t>
      </w:r>
      <w:r>
        <w:rPr>
          <w:color w:val="231F20"/>
        </w:rPr>
        <w:t>– A native aquatic fern which grows in waterways in dense patches. Its presence usually indicates high levels of nutrients.</w:t>
      </w:r>
    </w:p>
    <w:p w:rsidR="006A7A3F" w:rsidRDefault="00BC7372">
      <w:pPr>
        <w:pStyle w:val="BodyText"/>
        <w:spacing w:line="249" w:lineRule="auto"/>
        <w:ind w:right="420"/>
      </w:pPr>
      <w:r>
        <w:rPr>
          <w:b/>
          <w:color w:val="231F20"/>
        </w:rPr>
        <w:t xml:space="preserve">Bank erosion </w:t>
      </w:r>
      <w:r>
        <w:rPr>
          <w:color w:val="231F20"/>
        </w:rPr>
        <w:t>– The wearing-away of the banks of a stream or river (as distinct from erosion of the bed) that can occur in extensively dry conditions.</w:t>
      </w:r>
    </w:p>
    <w:p w:rsidR="006A7A3F" w:rsidRDefault="00BC7372">
      <w:pPr>
        <w:pStyle w:val="BodyText"/>
        <w:spacing w:before="171" w:line="249" w:lineRule="auto"/>
        <w:ind w:right="100"/>
      </w:pPr>
      <w:r>
        <w:rPr>
          <w:b/>
          <w:color w:val="231F20"/>
        </w:rPr>
        <w:t xml:space="preserve">Bank slumping </w:t>
      </w:r>
      <w:r>
        <w:rPr>
          <w:color w:val="231F20"/>
        </w:rPr>
        <w:t>– A form of mass wasting in a river or stream that occurs when a coherent mass of loosely consolidated materials or rock layers moves a short distance down a slope.</w:t>
      </w:r>
    </w:p>
    <w:p w:rsidR="006A7A3F" w:rsidRDefault="00BC7372">
      <w:pPr>
        <w:pStyle w:val="BodyText"/>
      </w:pPr>
      <w:r>
        <w:rPr>
          <w:b/>
          <w:color w:val="231F20"/>
        </w:rPr>
        <w:t xml:space="preserve">Bankfull flows </w:t>
      </w:r>
      <w:r>
        <w:rPr>
          <w:color w:val="231F20"/>
        </w:rPr>
        <w:t>– Flows of sufficient size to reach the top of the riverbank, with little flow spilling onto the floodplain.</w:t>
      </w:r>
    </w:p>
    <w:p w:rsidR="006A7A3F" w:rsidRDefault="00BC7372">
      <w:pPr>
        <w:pStyle w:val="BodyText"/>
        <w:spacing w:before="180"/>
      </w:pPr>
      <w:r>
        <w:rPr>
          <w:b/>
          <w:color w:val="231F20"/>
        </w:rPr>
        <w:t>Baseflows</w:t>
      </w:r>
      <w:r>
        <w:rPr>
          <w:b/>
          <w:color w:val="231F20"/>
          <w:spacing w:val="-4"/>
        </w:rPr>
        <w:t xml:space="preserve"> </w:t>
      </w:r>
      <w:r>
        <w:rPr>
          <w:color w:val="231F20"/>
        </w:rPr>
        <w:t>–</w:t>
      </w:r>
      <w:r>
        <w:rPr>
          <w:color w:val="231F20"/>
          <w:spacing w:val="-14"/>
        </w:rPr>
        <w:t xml:space="preserve"> </w:t>
      </w:r>
      <w:r>
        <w:rPr>
          <w:color w:val="231F20"/>
        </w:rPr>
        <w:t>A</w:t>
      </w:r>
      <w:r>
        <w:rPr>
          <w:color w:val="231F20"/>
          <w:spacing w:val="-13"/>
        </w:rPr>
        <w:t xml:space="preserve"> </w:t>
      </w:r>
      <w:r>
        <w:rPr>
          <w:color w:val="231F20"/>
        </w:rPr>
        <w:t>relatively</w:t>
      </w:r>
      <w:r>
        <w:rPr>
          <w:color w:val="231F20"/>
          <w:spacing w:val="-3"/>
        </w:rPr>
        <w:t xml:space="preserve"> </w:t>
      </w:r>
      <w:r>
        <w:rPr>
          <w:color w:val="231F20"/>
        </w:rPr>
        <w:t>stable,</w:t>
      </w:r>
      <w:r>
        <w:rPr>
          <w:color w:val="231F20"/>
          <w:spacing w:val="-3"/>
        </w:rPr>
        <w:t xml:space="preserve"> </w:t>
      </w:r>
      <w:r>
        <w:rPr>
          <w:color w:val="231F20"/>
        </w:rPr>
        <w:t>sustained</w:t>
      </w:r>
      <w:r>
        <w:rPr>
          <w:color w:val="231F20"/>
          <w:spacing w:val="-3"/>
        </w:rPr>
        <w:t xml:space="preserve"> </w:t>
      </w:r>
      <w:r>
        <w:rPr>
          <w:color w:val="231F20"/>
        </w:rPr>
        <w:t>and</w:t>
      </w:r>
      <w:r>
        <w:rPr>
          <w:color w:val="231F20"/>
          <w:spacing w:val="-4"/>
        </w:rPr>
        <w:t xml:space="preserve"> </w:t>
      </w:r>
      <w:r>
        <w:rPr>
          <w:color w:val="231F20"/>
        </w:rPr>
        <w:t>low</w:t>
      </w:r>
      <w:r>
        <w:rPr>
          <w:color w:val="231F20"/>
          <w:spacing w:val="-4"/>
        </w:rPr>
        <w:t xml:space="preserve"> </w:t>
      </w:r>
      <w:r>
        <w:rPr>
          <w:color w:val="231F20"/>
        </w:rPr>
        <w:t>flow</w:t>
      </w:r>
      <w:r>
        <w:rPr>
          <w:color w:val="231F20"/>
          <w:spacing w:val="-3"/>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river,</w:t>
      </w:r>
      <w:r>
        <w:rPr>
          <w:color w:val="231F20"/>
          <w:spacing w:val="-4"/>
        </w:rPr>
        <w:t xml:space="preserve"> </w:t>
      </w:r>
      <w:r>
        <w:rPr>
          <w:color w:val="231F20"/>
        </w:rPr>
        <w:t>generally</w:t>
      </w:r>
      <w:r>
        <w:rPr>
          <w:color w:val="231F20"/>
          <w:spacing w:val="-3"/>
        </w:rPr>
        <w:t xml:space="preserve"> </w:t>
      </w:r>
      <w:r>
        <w:rPr>
          <w:color w:val="231F20"/>
        </w:rPr>
        <w:t>being</w:t>
      </w:r>
      <w:r>
        <w:rPr>
          <w:color w:val="231F20"/>
          <w:spacing w:val="-4"/>
        </w:rPr>
        <w:t xml:space="preserve"> </w:t>
      </w:r>
      <w:r>
        <w:rPr>
          <w:color w:val="231F20"/>
        </w:rPr>
        <w:t>its</w:t>
      </w:r>
      <w:r>
        <w:rPr>
          <w:color w:val="231F20"/>
          <w:spacing w:val="-4"/>
        </w:rPr>
        <w:t xml:space="preserve"> </w:t>
      </w:r>
      <w:r>
        <w:rPr>
          <w:color w:val="231F20"/>
        </w:rPr>
        <w:t>minimum</w:t>
      </w:r>
      <w:r>
        <w:rPr>
          <w:color w:val="231F20"/>
          <w:spacing w:val="-4"/>
        </w:rPr>
        <w:t xml:space="preserve"> </w:t>
      </w:r>
      <w:r>
        <w:rPr>
          <w:color w:val="231F20"/>
        </w:rPr>
        <w:t>natural</w:t>
      </w:r>
      <w:r>
        <w:rPr>
          <w:color w:val="231F20"/>
          <w:spacing w:val="-3"/>
        </w:rPr>
        <w:t xml:space="preserve"> </w:t>
      </w:r>
      <w:r>
        <w:rPr>
          <w:color w:val="231F20"/>
        </w:rPr>
        <w:t>level.</w:t>
      </w:r>
    </w:p>
    <w:p w:rsidR="006A7A3F" w:rsidRDefault="00BC7372">
      <w:pPr>
        <w:pStyle w:val="BodyText"/>
        <w:spacing w:before="180"/>
      </w:pPr>
      <w:r>
        <w:rPr>
          <w:b/>
          <w:color w:val="231F20"/>
        </w:rPr>
        <w:t>Biodiversity</w:t>
      </w:r>
      <w:r>
        <w:rPr>
          <w:b/>
          <w:color w:val="231F20"/>
          <w:spacing w:val="-4"/>
        </w:rPr>
        <w:t xml:space="preserve"> </w:t>
      </w:r>
      <w:r>
        <w:rPr>
          <w:color w:val="231F20"/>
        </w:rPr>
        <w:t>–</w:t>
      </w:r>
      <w:r>
        <w:rPr>
          <w:color w:val="231F20"/>
          <w:spacing w:val="-8"/>
        </w:rPr>
        <w:t xml:space="preserve"> </w:t>
      </w:r>
      <w:r>
        <w:rPr>
          <w:color w:val="231F20"/>
        </w:rPr>
        <w:t>The</w:t>
      </w:r>
      <w:r>
        <w:rPr>
          <w:color w:val="231F20"/>
          <w:spacing w:val="-4"/>
        </w:rPr>
        <w:t xml:space="preserve"> </w:t>
      </w:r>
      <w:r>
        <w:rPr>
          <w:color w:val="231F20"/>
        </w:rPr>
        <w:t>variety</w:t>
      </w:r>
      <w:r>
        <w:rPr>
          <w:color w:val="231F20"/>
          <w:spacing w:val="-4"/>
        </w:rPr>
        <w:t xml:space="preserve"> </w:t>
      </w:r>
      <w:r>
        <w:rPr>
          <w:color w:val="231F20"/>
        </w:rPr>
        <w:t>or</w:t>
      </w:r>
      <w:r>
        <w:rPr>
          <w:color w:val="231F20"/>
          <w:spacing w:val="-5"/>
        </w:rPr>
        <w:t xml:space="preserve"> </w:t>
      </w:r>
      <w:r>
        <w:rPr>
          <w:color w:val="231F20"/>
        </w:rPr>
        <w:t>abundance</w:t>
      </w:r>
      <w:r>
        <w:rPr>
          <w:color w:val="231F20"/>
          <w:spacing w:val="-4"/>
        </w:rPr>
        <w:t xml:space="preserve"> </w:t>
      </w:r>
      <w:r>
        <w:rPr>
          <w:color w:val="231F20"/>
        </w:rPr>
        <w:t>of</w:t>
      </w:r>
      <w:r>
        <w:rPr>
          <w:color w:val="231F20"/>
          <w:spacing w:val="-5"/>
        </w:rPr>
        <w:t xml:space="preserve"> </w:t>
      </w:r>
      <w:r>
        <w:rPr>
          <w:color w:val="231F20"/>
        </w:rPr>
        <w:t>plant</w:t>
      </w:r>
      <w:r>
        <w:rPr>
          <w:color w:val="231F20"/>
          <w:spacing w:val="-5"/>
        </w:rPr>
        <w:t xml:space="preserve"> </w:t>
      </w:r>
      <w:r>
        <w:rPr>
          <w:color w:val="231F20"/>
        </w:rPr>
        <w:t>and</w:t>
      </w:r>
      <w:r>
        <w:rPr>
          <w:color w:val="231F20"/>
          <w:spacing w:val="-5"/>
        </w:rPr>
        <w:t xml:space="preserve"> </w:t>
      </w:r>
      <w:r>
        <w:rPr>
          <w:color w:val="231F20"/>
        </w:rPr>
        <w:t>animal</w:t>
      </w:r>
      <w:r>
        <w:rPr>
          <w:color w:val="231F20"/>
          <w:spacing w:val="-5"/>
        </w:rPr>
        <w:t xml:space="preserve"> </w:t>
      </w:r>
      <w:r>
        <w:rPr>
          <w:color w:val="231F20"/>
        </w:rPr>
        <w:t>species</w:t>
      </w:r>
      <w:r>
        <w:rPr>
          <w:color w:val="231F20"/>
          <w:spacing w:val="-3"/>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particular</w:t>
      </w:r>
      <w:r>
        <w:rPr>
          <w:color w:val="231F20"/>
          <w:spacing w:val="-5"/>
        </w:rPr>
        <w:t xml:space="preserve"> </w:t>
      </w:r>
      <w:r>
        <w:rPr>
          <w:color w:val="231F20"/>
        </w:rPr>
        <w:t>habitat</w:t>
      </w:r>
      <w:r>
        <w:rPr>
          <w:color w:val="231F20"/>
          <w:spacing w:val="-5"/>
        </w:rPr>
        <w:t xml:space="preserve"> </w:t>
      </w:r>
      <w:r>
        <w:rPr>
          <w:color w:val="231F20"/>
        </w:rPr>
        <w:t>or</w:t>
      </w:r>
      <w:r>
        <w:rPr>
          <w:color w:val="231F20"/>
          <w:spacing w:val="-4"/>
        </w:rPr>
        <w:t xml:space="preserve"> </w:t>
      </w:r>
      <w:r>
        <w:rPr>
          <w:color w:val="231F20"/>
        </w:rPr>
        <w:t>environment.</w:t>
      </w:r>
    </w:p>
    <w:p w:rsidR="006A7A3F" w:rsidRDefault="00BC7372">
      <w:pPr>
        <w:pStyle w:val="BodyText"/>
        <w:spacing w:before="181" w:line="249" w:lineRule="auto"/>
        <w:ind w:right="375"/>
      </w:pPr>
      <w:r>
        <w:rPr>
          <w:b/>
          <w:color w:val="231F20"/>
        </w:rPr>
        <w:t xml:space="preserve">Biofilms </w:t>
      </w:r>
      <w:r>
        <w:rPr>
          <w:color w:val="231F20"/>
        </w:rPr>
        <w:t>– Slimy films of bacteria, other microbes and organic materials that cover underwater surfaces including rocks and snags.</w:t>
      </w:r>
    </w:p>
    <w:p w:rsidR="006A7A3F" w:rsidRDefault="00BC7372">
      <w:pPr>
        <w:pStyle w:val="BodyText"/>
        <w:spacing w:before="171"/>
      </w:pPr>
      <w:r>
        <w:rPr>
          <w:b/>
          <w:color w:val="231F20"/>
        </w:rPr>
        <w:t xml:space="preserve">Biota </w:t>
      </w:r>
      <w:r>
        <w:rPr>
          <w:color w:val="231F20"/>
        </w:rPr>
        <w:t>– The animal or plant life of a particular area, habitat or geological period.</w:t>
      </w:r>
    </w:p>
    <w:p w:rsidR="006A7A3F" w:rsidRDefault="00BC7372">
      <w:pPr>
        <w:pStyle w:val="BodyText"/>
        <w:spacing w:before="180" w:line="249" w:lineRule="auto"/>
        <w:ind w:right="297"/>
      </w:pPr>
      <w:r>
        <w:rPr>
          <w:b/>
          <w:color w:val="231F20"/>
        </w:rPr>
        <w:t xml:space="preserve">Blackwater </w:t>
      </w:r>
      <w:r>
        <w:rPr>
          <w:color w:val="231F20"/>
        </w:rPr>
        <w:t>– A natural occurrence caused by the breakdown of plant matter causing the water to discolour. The water turns black and can have very low dissolved-oxygen levels, which can stress or kill fish and other animals that breathe underwater.</w:t>
      </w:r>
    </w:p>
    <w:p w:rsidR="006A7A3F" w:rsidRDefault="00BC7372">
      <w:pPr>
        <w:pStyle w:val="BodyText"/>
        <w:spacing w:before="173" w:line="249" w:lineRule="auto"/>
        <w:ind w:right="100"/>
      </w:pPr>
      <w:r>
        <w:rPr>
          <w:b/>
          <w:color w:val="231F20"/>
        </w:rPr>
        <w:t xml:space="preserve">Brackish water </w:t>
      </w:r>
      <w:r>
        <w:rPr>
          <w:color w:val="231F20"/>
        </w:rPr>
        <w:t>– Water that is moderately salty but not as salty as sea water. It may result from the mixing of seawater with freshwater, as in estuaries.</w:t>
      </w:r>
    </w:p>
    <w:p w:rsidR="006A7A3F" w:rsidRDefault="00BC7372">
      <w:pPr>
        <w:pStyle w:val="BodyText"/>
        <w:spacing w:line="249" w:lineRule="auto"/>
        <w:ind w:right="318"/>
      </w:pPr>
      <w:r>
        <w:rPr>
          <w:b/>
          <w:color w:val="231F20"/>
        </w:rPr>
        <w:t xml:space="preserve">Carryover </w:t>
      </w:r>
      <w:r>
        <w:rPr>
          <w:color w:val="231F20"/>
        </w:rPr>
        <w:t>– Unused water of which entitlement holders are allowed to retain ownership into the following season, according to specified rules.</w:t>
      </w:r>
    </w:p>
    <w:p w:rsidR="006A7A3F" w:rsidRDefault="00BC7372">
      <w:pPr>
        <w:pStyle w:val="BodyText"/>
        <w:spacing w:before="171" w:line="249" w:lineRule="auto"/>
        <w:ind w:right="100"/>
      </w:pPr>
      <w:r>
        <w:rPr>
          <w:b/>
          <w:color w:val="231F20"/>
        </w:rPr>
        <w:t xml:space="preserve">Catchment management authority </w:t>
      </w:r>
      <w:r>
        <w:rPr>
          <w:color w:val="231F20"/>
        </w:rPr>
        <w:t>– A statutory authority established to manage river health and regional and catchment planning and to manage waterways, floodplains, salinity and water quality.</w:t>
      </w:r>
    </w:p>
    <w:p w:rsidR="006A7A3F" w:rsidRDefault="00BC7372">
      <w:pPr>
        <w:pStyle w:val="BodyText"/>
        <w:spacing w:line="249" w:lineRule="auto"/>
        <w:ind w:right="620"/>
      </w:pPr>
      <w:r>
        <w:rPr>
          <w:b/>
          <w:color w:val="231F20"/>
        </w:rPr>
        <w:t xml:space="preserve">Cease-to-flow </w:t>
      </w:r>
      <w:r>
        <w:rPr>
          <w:color w:val="231F20"/>
        </w:rPr>
        <w:t>– The period in which there is no discernible flow in a river and partial or total drying of the river channel.</w:t>
      </w:r>
    </w:p>
    <w:p w:rsidR="006A7A3F" w:rsidRDefault="00BC7372">
      <w:pPr>
        <w:pStyle w:val="BodyText"/>
        <w:spacing w:line="249" w:lineRule="auto"/>
        <w:ind w:right="297"/>
      </w:pPr>
      <w:r>
        <w:rPr>
          <w:b/>
          <w:color w:val="231F20"/>
        </w:rPr>
        <w:t xml:space="preserve">Cold water pollution </w:t>
      </w:r>
      <w:r>
        <w:rPr>
          <w:color w:val="231F20"/>
        </w:rPr>
        <w:t>– A phenomena caused by cold water being released into rivers, primarily from large dams, in warmer months.</w:t>
      </w:r>
    </w:p>
    <w:p w:rsidR="006A7A3F" w:rsidRDefault="00BC7372">
      <w:pPr>
        <w:pStyle w:val="BodyText"/>
        <w:spacing w:before="171" w:line="249" w:lineRule="auto"/>
        <w:ind w:right="363"/>
      </w:pPr>
      <w:r>
        <w:rPr>
          <w:b/>
          <w:color w:val="231F20"/>
        </w:rPr>
        <w:t xml:space="preserve">Commonwealth Environmental Water Office </w:t>
      </w:r>
      <w:r>
        <w:rPr>
          <w:color w:val="231F20"/>
        </w:rPr>
        <w:t>– An office that manages water entitlements recovered by the Australian Government through a combination of investments in water-saving infrastructure, water purchases and other water recovery programs. The entitlements are held by the CEWH.</w:t>
      </w:r>
    </w:p>
    <w:p w:rsidR="006A7A3F" w:rsidRDefault="00BC7372">
      <w:pPr>
        <w:pStyle w:val="BodyText"/>
        <w:spacing w:before="173" w:line="249" w:lineRule="auto"/>
        <w:ind w:right="331"/>
      </w:pPr>
      <w:r>
        <w:rPr>
          <w:b/>
          <w:color w:val="231F20"/>
        </w:rPr>
        <w:t xml:space="preserve">Confluence </w:t>
      </w:r>
      <w:r>
        <w:rPr>
          <w:color w:val="231F20"/>
        </w:rPr>
        <w:t>– The point where a tributary joins a larger river (called the main stem) or where two streams meet to become the source of a river of a new name.</w:t>
      </w:r>
    </w:p>
    <w:p w:rsidR="006A7A3F" w:rsidRDefault="00BC7372">
      <w:pPr>
        <w:pStyle w:val="BodyText"/>
        <w:spacing w:line="249" w:lineRule="auto"/>
        <w:ind w:right="100"/>
      </w:pPr>
      <w:r>
        <w:rPr>
          <w:b/>
          <w:color w:val="231F20"/>
        </w:rPr>
        <w:t xml:space="preserve">Consumptive water </w:t>
      </w:r>
      <w:r>
        <w:rPr>
          <w:color w:val="231F20"/>
        </w:rPr>
        <w:t>– Water owned by water corporations or private entitlement holders held in storages and actively released to meet domestic, stock, town and irrigation needs.</w:t>
      </w:r>
    </w:p>
    <w:p w:rsidR="006A7A3F" w:rsidRDefault="00BC7372">
      <w:pPr>
        <w:spacing w:before="171"/>
        <w:ind w:left="210"/>
        <w:rPr>
          <w:sz w:val="20"/>
        </w:rPr>
      </w:pPr>
      <w:r>
        <w:rPr>
          <w:b/>
          <w:color w:val="231F20"/>
          <w:sz w:val="20"/>
        </w:rPr>
        <w:t xml:space="preserve">Diadromous fish </w:t>
      </w:r>
      <w:r>
        <w:rPr>
          <w:color w:val="231F20"/>
          <w:sz w:val="20"/>
        </w:rPr>
        <w:t>– Fish that migrate between freshwater and saltwater.</w:t>
      </w:r>
    </w:p>
    <w:p w:rsidR="006A7A3F" w:rsidRDefault="00BC7372">
      <w:pPr>
        <w:pStyle w:val="BodyText"/>
        <w:spacing w:before="181" w:line="249" w:lineRule="auto"/>
        <w:ind w:right="100"/>
      </w:pPr>
      <w:r>
        <w:rPr>
          <w:b/>
          <w:color w:val="231F20"/>
        </w:rPr>
        <w:t xml:space="preserve">Drawdown </w:t>
      </w:r>
      <w:r>
        <w:rPr>
          <w:color w:val="231F20"/>
        </w:rPr>
        <w:t>– Water released from a body of water (such as a reservoir) at the end of the irrigation season for dam operation and maintenance purposes.</w:t>
      </w:r>
    </w:p>
    <w:p w:rsidR="006A7A3F" w:rsidRDefault="00BC7372">
      <w:pPr>
        <w:spacing w:before="171"/>
        <w:ind w:left="210"/>
        <w:rPr>
          <w:sz w:val="20"/>
        </w:rPr>
      </w:pPr>
      <w:r>
        <w:rPr>
          <w:b/>
          <w:color w:val="231F20"/>
          <w:sz w:val="20"/>
        </w:rPr>
        <w:t xml:space="preserve">Ecological vegetation communities </w:t>
      </w:r>
      <w:r>
        <w:rPr>
          <w:color w:val="231F20"/>
          <w:sz w:val="20"/>
        </w:rPr>
        <w:t>– Components of a vegetation classification system, these are groups of</w:t>
      </w:r>
    </w:p>
    <w:p w:rsidR="006A7A3F" w:rsidRDefault="00BC7372">
      <w:pPr>
        <w:pStyle w:val="BodyText"/>
        <w:spacing w:before="70"/>
      </w:pPr>
      <w:r>
        <w:rPr>
          <w:color w:val="231F20"/>
        </w:rPr>
        <w:t>vegetation communities based on floristic, structural and ecological features.</w:t>
      </w:r>
    </w:p>
    <w:p w:rsidR="006A7A3F" w:rsidRDefault="00BC7372">
      <w:pPr>
        <w:pStyle w:val="BodyText"/>
        <w:spacing w:before="180"/>
      </w:pPr>
      <w:r>
        <w:rPr>
          <w:b/>
          <w:color w:val="231F20"/>
        </w:rPr>
        <w:t xml:space="preserve">En route </w:t>
      </w:r>
      <w:r>
        <w:rPr>
          <w:color w:val="231F20"/>
        </w:rPr>
        <w:t>– Water that is on its way to being delivered to urban, rural and irrigation water users.</w:t>
      </w:r>
    </w:p>
    <w:p w:rsidR="006A7A3F" w:rsidRDefault="00BC7372">
      <w:pPr>
        <w:pStyle w:val="BodyText"/>
        <w:spacing w:before="181" w:line="249" w:lineRule="auto"/>
        <w:ind w:right="100"/>
      </w:pPr>
      <w:r>
        <w:rPr>
          <w:b/>
          <w:color w:val="231F20"/>
        </w:rPr>
        <w:t xml:space="preserve">Environmental flow study </w:t>
      </w:r>
      <w:r>
        <w:rPr>
          <w:color w:val="231F20"/>
        </w:rPr>
        <w:t>– A scientific study of the flow requirements of a particular basin’s river and wetland systems used to inform decisions about the management and allocation of water resources.</w:t>
      </w:r>
    </w:p>
    <w:p w:rsidR="006A7A3F" w:rsidRDefault="00BC7372">
      <w:pPr>
        <w:pStyle w:val="BodyText"/>
        <w:spacing w:before="171" w:line="249" w:lineRule="auto"/>
        <w:ind w:right="408"/>
      </w:pPr>
      <w:r>
        <w:rPr>
          <w:b/>
          <w:color w:val="231F20"/>
        </w:rPr>
        <w:t xml:space="preserve">Environmental objectives </w:t>
      </w:r>
      <w:r>
        <w:rPr>
          <w:color w:val="231F20"/>
        </w:rPr>
        <w:t>– Measurable target outcomes sought for each environmental value in the system, to be achieved by ongoing implementation of one or more watering actions as well as complementary actions (such as controlling invasive species or installing fishways). Target outcomes may take years or several decades to achieve.</w:t>
      </w:r>
    </w:p>
    <w:p w:rsidR="006A7A3F" w:rsidRDefault="00BC7372">
      <w:pPr>
        <w:pStyle w:val="BodyText"/>
        <w:spacing w:before="174" w:line="249" w:lineRule="auto"/>
        <w:ind w:right="452"/>
      </w:pPr>
      <w:r>
        <w:rPr>
          <w:b/>
          <w:color w:val="231F20"/>
        </w:rPr>
        <w:t xml:space="preserve">Environmental water entitlement </w:t>
      </w:r>
      <w:r>
        <w:rPr>
          <w:color w:val="231F20"/>
        </w:rPr>
        <w:t>– An entitlement to water to achieve environmental objectives in waterways. It covers an environmental entitlement, environmental bulk entitlement, water share, section 51 licence or supply agreement.</w:t>
      </w:r>
    </w:p>
    <w:p w:rsidR="006A7A3F" w:rsidRDefault="00BC7372">
      <w:pPr>
        <w:pStyle w:val="BodyText"/>
        <w:spacing w:line="249" w:lineRule="auto"/>
        <w:ind w:right="196"/>
      </w:pPr>
      <w:r>
        <w:rPr>
          <w:b/>
          <w:color w:val="231F20"/>
        </w:rPr>
        <w:t xml:space="preserve">Environmental water management plan </w:t>
      </w:r>
      <w:r>
        <w:rPr>
          <w:color w:val="231F20"/>
        </w:rPr>
        <w:t>– A plan developed by a waterway manager outlining long-term environmental objectives and based on consultation with key stakeholders, local community and advisory groups to inform the seasonal watering proposal for the particular system.</w:t>
      </w:r>
    </w:p>
    <w:p w:rsidR="006A7A3F" w:rsidRDefault="00BC7372">
      <w:pPr>
        <w:pStyle w:val="BodyText"/>
        <w:spacing w:before="173" w:line="249" w:lineRule="auto"/>
        <w:ind w:right="100"/>
      </w:pPr>
      <w:r>
        <w:rPr>
          <w:b/>
          <w:color w:val="231F20"/>
        </w:rPr>
        <w:t xml:space="preserve">Estuary </w:t>
      </w:r>
      <w:r>
        <w:rPr>
          <w:color w:val="231F20"/>
        </w:rPr>
        <w:t>– A partially enclosed body of water along the coast where freshwater from rivers and streams meets and mixes with saltwater from the sea.</w:t>
      </w:r>
    </w:p>
    <w:p w:rsidR="006A7A3F" w:rsidRDefault="00BC7372">
      <w:pPr>
        <w:pStyle w:val="BodyText"/>
        <w:spacing w:before="171"/>
      </w:pPr>
      <w:r>
        <w:rPr>
          <w:b/>
          <w:color w:val="231F20"/>
        </w:rPr>
        <w:t xml:space="preserve">Fishway </w:t>
      </w:r>
      <w:r>
        <w:rPr>
          <w:color w:val="231F20"/>
        </w:rPr>
        <w:t>– A series of pools built like steps to enable fish to travel through a waterway, dam or waterfall.</w:t>
      </w:r>
    </w:p>
    <w:p w:rsidR="006A7A3F" w:rsidRDefault="00BC7372">
      <w:pPr>
        <w:pStyle w:val="BodyText"/>
        <w:spacing w:before="180"/>
      </w:pPr>
      <w:r>
        <w:rPr>
          <w:b/>
          <w:color w:val="231F20"/>
        </w:rPr>
        <w:t xml:space="preserve">Fledging </w:t>
      </w:r>
      <w:r>
        <w:rPr>
          <w:color w:val="231F20"/>
        </w:rPr>
        <w:t>– The care of a young bird until it can fly.</w:t>
      </w:r>
    </w:p>
    <w:p w:rsidR="006A7A3F" w:rsidRDefault="00BC7372">
      <w:pPr>
        <w:pStyle w:val="BodyText"/>
        <w:spacing w:before="181" w:line="249" w:lineRule="auto"/>
        <w:ind w:right="654"/>
      </w:pPr>
      <w:r>
        <w:rPr>
          <w:b/>
          <w:color w:val="231F20"/>
        </w:rPr>
        <w:t xml:space="preserve">Flow components </w:t>
      </w:r>
      <w:r>
        <w:rPr>
          <w:color w:val="231F20"/>
        </w:rPr>
        <w:t>– Components of a river system’s flow regime that can be described by magnitude, timing, frequency and duration (for example, cease-to-flow and overbank flows).</w:t>
      </w:r>
    </w:p>
    <w:p w:rsidR="0087445D" w:rsidRDefault="00BC7372" w:rsidP="0087445D">
      <w:pPr>
        <w:pStyle w:val="BodyText"/>
        <w:spacing w:before="180" w:line="250" w:lineRule="auto"/>
        <w:ind w:right="221"/>
        <w:rPr>
          <w:color w:val="231F20"/>
        </w:rPr>
      </w:pPr>
      <w:r>
        <w:rPr>
          <w:b/>
          <w:color w:val="231F20"/>
        </w:rPr>
        <w:t xml:space="preserve">Freshes </w:t>
      </w:r>
      <w:r>
        <w:rPr>
          <w:color w:val="231F20"/>
        </w:rPr>
        <w:t xml:space="preserve">– Small or short-duration, peak-flow events which exceed the baseflow and last for a few days. </w:t>
      </w:r>
    </w:p>
    <w:p w:rsidR="0087445D" w:rsidRDefault="00BC7372" w:rsidP="0087445D">
      <w:pPr>
        <w:pStyle w:val="BodyText"/>
        <w:spacing w:before="180" w:line="250" w:lineRule="auto"/>
        <w:ind w:right="221"/>
        <w:rPr>
          <w:color w:val="231F20"/>
        </w:rPr>
      </w:pPr>
      <w:r>
        <w:rPr>
          <w:b/>
          <w:color w:val="231F20"/>
        </w:rPr>
        <w:t xml:space="preserve">Functional watering objective </w:t>
      </w:r>
      <w:r>
        <w:rPr>
          <w:color w:val="231F20"/>
        </w:rPr>
        <w:t xml:space="preserve">– The physical or biological effect that a particular watering action aims to achieve. </w:t>
      </w:r>
    </w:p>
    <w:p w:rsidR="006A7A3F" w:rsidRDefault="00BC7372">
      <w:pPr>
        <w:pStyle w:val="BodyText"/>
        <w:spacing w:before="171" w:line="427" w:lineRule="auto"/>
        <w:ind w:right="220"/>
      </w:pPr>
      <w:r>
        <w:rPr>
          <w:b/>
          <w:color w:val="231F20"/>
        </w:rPr>
        <w:t xml:space="preserve">Geomorphology </w:t>
      </w:r>
      <w:r>
        <w:rPr>
          <w:color w:val="231F20"/>
        </w:rPr>
        <w:t>– The scientific study of landforms and the processes that shape them.</w:t>
      </w:r>
    </w:p>
    <w:p w:rsidR="006A7A3F" w:rsidRDefault="00BC7372">
      <w:pPr>
        <w:pStyle w:val="BodyText"/>
        <w:spacing w:before="2"/>
      </w:pPr>
      <w:r>
        <w:rPr>
          <w:b/>
          <w:color w:val="231F20"/>
        </w:rPr>
        <w:t xml:space="preserve">Groundwater </w:t>
      </w:r>
      <w:r>
        <w:rPr>
          <w:color w:val="231F20"/>
        </w:rPr>
        <w:t>– Water held underground in the soil or in pores and crevices in rock.</w:t>
      </w:r>
    </w:p>
    <w:p w:rsidR="006A7A3F" w:rsidRDefault="00BC7372">
      <w:pPr>
        <w:pStyle w:val="BodyText"/>
        <w:spacing w:before="181"/>
      </w:pPr>
      <w:r>
        <w:rPr>
          <w:b/>
          <w:color w:val="231F20"/>
        </w:rPr>
        <w:t xml:space="preserve">Headwater </w:t>
      </w:r>
      <w:r>
        <w:rPr>
          <w:color w:val="231F20"/>
        </w:rPr>
        <w:t>– A tributary stream of a river close to or forming part of its source.</w:t>
      </w:r>
    </w:p>
    <w:p w:rsidR="006A7A3F" w:rsidRDefault="00BC7372">
      <w:pPr>
        <w:pStyle w:val="BodyText"/>
        <w:spacing w:before="180" w:line="249" w:lineRule="auto"/>
        <w:ind w:right="100"/>
      </w:pPr>
      <w:r>
        <w:rPr>
          <w:b/>
          <w:color w:val="231F20"/>
        </w:rPr>
        <w:t xml:space="preserve">Headworks system </w:t>
      </w:r>
      <w:r>
        <w:rPr>
          <w:color w:val="231F20"/>
        </w:rPr>
        <w:t>– A system including various storage infrastructure (such as reservoirs and diversion weirs) to enable connection of multiple waterways.</w:t>
      </w:r>
    </w:p>
    <w:p w:rsidR="006A7A3F" w:rsidRDefault="00BC7372">
      <w:pPr>
        <w:pStyle w:val="BodyText"/>
        <w:spacing w:before="171" w:line="249" w:lineRule="auto"/>
        <w:ind w:right="100"/>
      </w:pPr>
      <w:r>
        <w:rPr>
          <w:b/>
          <w:color w:val="231F20"/>
        </w:rPr>
        <w:t xml:space="preserve">Heritage rivers </w:t>
      </w:r>
      <w:r>
        <w:rPr>
          <w:color w:val="231F20"/>
        </w:rPr>
        <w:t>– Rivers listed under the Heritage Rivers Act 1992 and parts of rivers and river catchment areas in Victoria which have significant nature conservation, recreation, scenic or cultural heritage attributes.</w:t>
      </w:r>
    </w:p>
    <w:p w:rsidR="006A7A3F" w:rsidRDefault="00BC7372">
      <w:pPr>
        <w:pStyle w:val="BodyText"/>
        <w:spacing w:line="249" w:lineRule="auto"/>
        <w:ind w:right="297"/>
      </w:pPr>
      <w:r>
        <w:rPr>
          <w:b/>
          <w:color w:val="231F20"/>
        </w:rPr>
        <w:t xml:space="preserve">High-reliability entitlement </w:t>
      </w:r>
      <w:r>
        <w:rPr>
          <w:color w:val="231F20"/>
        </w:rPr>
        <w:t>– A legally recognised, secure entitlement to a defined share of water. Full allocation of a high-reliability entitlement is expected in most years.</w:t>
      </w:r>
    </w:p>
    <w:p w:rsidR="006A7A3F" w:rsidRDefault="00BC7372">
      <w:pPr>
        <w:pStyle w:val="BodyText"/>
      </w:pPr>
      <w:r>
        <w:rPr>
          <w:b/>
          <w:color w:val="231F20"/>
        </w:rPr>
        <w:t xml:space="preserve">Hydrology </w:t>
      </w:r>
      <w:r>
        <w:rPr>
          <w:color w:val="231F20"/>
        </w:rPr>
        <w:t>– The study of the properties of the water and its movement in relation to land.</w:t>
      </w:r>
    </w:p>
    <w:p w:rsidR="006A7A3F" w:rsidRDefault="00BC7372">
      <w:pPr>
        <w:pStyle w:val="BodyText"/>
        <w:spacing w:before="180" w:line="249" w:lineRule="auto"/>
        <w:ind w:right="442"/>
      </w:pPr>
      <w:r>
        <w:rPr>
          <w:b/>
          <w:color w:val="231F20"/>
        </w:rPr>
        <w:t xml:space="preserve">Inter-valley transfers </w:t>
      </w:r>
      <w:r>
        <w:rPr>
          <w:color w:val="231F20"/>
        </w:rPr>
        <w:t>– The transfer of water between river systems to meet demands as a result of water trade between river systems.</w:t>
      </w:r>
    </w:p>
    <w:p w:rsidR="006A7A3F" w:rsidRDefault="00BC7372">
      <w:pPr>
        <w:spacing w:before="172"/>
        <w:ind w:left="210"/>
        <w:rPr>
          <w:sz w:val="20"/>
        </w:rPr>
      </w:pPr>
      <w:r>
        <w:rPr>
          <w:b/>
          <w:color w:val="231F20"/>
          <w:sz w:val="20"/>
        </w:rPr>
        <w:t xml:space="preserve">Irrigation releases </w:t>
      </w:r>
      <w:r>
        <w:rPr>
          <w:color w:val="231F20"/>
          <w:sz w:val="20"/>
        </w:rPr>
        <w:t>– The release of water for irrigation purposes.</w:t>
      </w:r>
    </w:p>
    <w:p w:rsidR="006A7A3F" w:rsidRDefault="00BC7372">
      <w:pPr>
        <w:pStyle w:val="BodyText"/>
        <w:spacing w:before="180"/>
      </w:pPr>
      <w:r>
        <w:rPr>
          <w:b/>
          <w:color w:val="231F20"/>
        </w:rPr>
        <w:t xml:space="preserve">Juvenile </w:t>
      </w:r>
      <w:r>
        <w:rPr>
          <w:color w:val="231F20"/>
        </w:rPr>
        <w:t>– A stage of life at which an animal or plant is not yet fully mature.</w:t>
      </w:r>
    </w:p>
    <w:p w:rsidR="006A7A3F" w:rsidRDefault="00BC7372">
      <w:pPr>
        <w:pStyle w:val="BodyText"/>
        <w:spacing w:before="180" w:line="249" w:lineRule="auto"/>
        <w:ind w:right="100"/>
      </w:pPr>
      <w:r>
        <w:rPr>
          <w:b/>
          <w:color w:val="231F20"/>
        </w:rPr>
        <w:t xml:space="preserve">Land manager </w:t>
      </w:r>
      <w:r>
        <w:rPr>
          <w:color w:val="231F20"/>
        </w:rPr>
        <w:t>– An agency or authority responsible for conserving natural and cultural heritage on public land including parks and reserves (such as Parks Victoria and DELWP).</w:t>
      </w:r>
    </w:p>
    <w:p w:rsidR="006A7A3F" w:rsidRDefault="00BC7372">
      <w:pPr>
        <w:pStyle w:val="BodyText"/>
        <w:spacing w:line="249" w:lineRule="auto"/>
        <w:ind w:right="175"/>
      </w:pPr>
      <w:r>
        <w:rPr>
          <w:b/>
          <w:color w:val="231F20"/>
        </w:rPr>
        <w:t xml:space="preserve">Low-reliability entitlement </w:t>
      </w:r>
      <w:r>
        <w:rPr>
          <w:color w:val="231F20"/>
        </w:rPr>
        <w:t>– A legally recognised, secure entitlement to a defined share of water. Full allocation of a low-reliability entitlement is expected only in some years.</w:t>
      </w:r>
    </w:p>
    <w:p w:rsidR="006A7A3F" w:rsidRDefault="00BC7372">
      <w:pPr>
        <w:pStyle w:val="BodyText"/>
        <w:spacing w:before="70" w:line="249" w:lineRule="auto"/>
        <w:ind w:right="100"/>
      </w:pPr>
      <w:r>
        <w:rPr>
          <w:b/>
          <w:color w:val="231F20"/>
        </w:rPr>
        <w:t xml:space="preserve">Macroinvertebrates </w:t>
      </w:r>
      <w:r>
        <w:rPr>
          <w:color w:val="231F20"/>
        </w:rPr>
        <w:t>– Animals without a backbone and which can be seen with the naked eye including worms, snails, mites, bugs, beetles, dragonflies and freshwater crayfish. They are also referred to as waterbugs.</w:t>
      </w:r>
    </w:p>
    <w:p w:rsidR="006A7A3F" w:rsidRDefault="00BC7372">
      <w:pPr>
        <w:pStyle w:val="BodyText"/>
        <w:spacing w:line="249" w:lineRule="auto"/>
        <w:ind w:right="100"/>
      </w:pPr>
      <w:r>
        <w:rPr>
          <w:b/>
          <w:color w:val="231F20"/>
        </w:rPr>
        <w:t xml:space="preserve">Macrophytes </w:t>
      </w:r>
      <w:r>
        <w:rPr>
          <w:color w:val="231F20"/>
        </w:rPr>
        <w:t>– Aquatic plants that are either emergent (growing out of the water, for example phragmites), submergent (growing under the water, for example ribbonweed) or floating (for example floating pond weed).</w:t>
      </w:r>
    </w:p>
    <w:p w:rsidR="006A7A3F" w:rsidRDefault="00BC7372">
      <w:pPr>
        <w:pStyle w:val="BodyText"/>
        <w:spacing w:line="249" w:lineRule="auto"/>
        <w:ind w:right="457"/>
      </w:pPr>
      <w:r>
        <w:rPr>
          <w:b/>
          <w:color w:val="231F20"/>
        </w:rPr>
        <w:t xml:space="preserve">Managed release </w:t>
      </w:r>
      <w:r>
        <w:rPr>
          <w:color w:val="231F20"/>
        </w:rPr>
        <w:t>– A release of water for the environment which is stored in major reservoirs and used for potential watering actions to achieve environmental outcomes.</w:t>
      </w:r>
    </w:p>
    <w:p w:rsidR="006A7A3F" w:rsidRDefault="00BC7372">
      <w:pPr>
        <w:spacing w:before="171"/>
        <w:ind w:left="210"/>
        <w:rPr>
          <w:sz w:val="20"/>
        </w:rPr>
      </w:pPr>
      <w:r>
        <w:rPr>
          <w:b/>
          <w:color w:val="231F20"/>
          <w:sz w:val="20"/>
        </w:rPr>
        <w:t xml:space="preserve">Megalitre </w:t>
      </w:r>
      <w:r>
        <w:rPr>
          <w:color w:val="231F20"/>
          <w:sz w:val="20"/>
        </w:rPr>
        <w:t>– One million (1,000,000) litres.</w:t>
      </w:r>
    </w:p>
    <w:p w:rsidR="006A7A3F" w:rsidRDefault="00BC7372">
      <w:pPr>
        <w:pStyle w:val="BodyText"/>
        <w:spacing w:before="181" w:line="249" w:lineRule="auto"/>
        <w:ind w:right="100"/>
      </w:pPr>
      <w:r>
        <w:rPr>
          <w:b/>
          <w:color w:val="231F20"/>
        </w:rPr>
        <w:t xml:space="preserve">Midden </w:t>
      </w:r>
      <w:r>
        <w:rPr>
          <w:color w:val="231F20"/>
        </w:rPr>
        <w:t>– A site of cultural significance where Aboriginal people left the remains of their meals and other domestic waste.</w:t>
      </w:r>
    </w:p>
    <w:p w:rsidR="006A7A3F" w:rsidRDefault="00BC7372">
      <w:pPr>
        <w:pStyle w:val="BodyText"/>
        <w:spacing w:before="171"/>
      </w:pPr>
      <w:r>
        <w:rPr>
          <w:b/>
          <w:color w:val="231F20"/>
        </w:rPr>
        <w:t xml:space="preserve">Millennium Drought </w:t>
      </w:r>
      <w:r>
        <w:rPr>
          <w:color w:val="231F20"/>
        </w:rPr>
        <w:t>– One of the worst droughts recorded since settlement, it went from about 1995 to 2012.</w:t>
      </w:r>
    </w:p>
    <w:p w:rsidR="006A7A3F" w:rsidRDefault="00BC7372">
      <w:pPr>
        <w:pStyle w:val="BodyText"/>
        <w:spacing w:before="180" w:line="249" w:lineRule="auto"/>
        <w:ind w:right="308"/>
      </w:pPr>
      <w:r>
        <w:rPr>
          <w:b/>
          <w:color w:val="231F20"/>
        </w:rPr>
        <w:t xml:space="preserve">Operational releases </w:t>
      </w:r>
      <w:r>
        <w:rPr>
          <w:color w:val="231F20"/>
        </w:rPr>
        <w:t>– Releases made from major storages to enable the water distribution system to operate or to make water available to consumptive water users.</w:t>
      </w:r>
    </w:p>
    <w:p w:rsidR="006A7A3F" w:rsidRDefault="00BC7372">
      <w:pPr>
        <w:pStyle w:val="BodyText"/>
        <w:spacing w:line="249" w:lineRule="auto"/>
        <w:ind w:right="497"/>
      </w:pPr>
      <w:r>
        <w:rPr>
          <w:b/>
          <w:color w:val="231F20"/>
        </w:rPr>
        <w:t xml:space="preserve">Overbank flows </w:t>
      </w:r>
      <w:r>
        <w:rPr>
          <w:color w:val="231F20"/>
        </w:rPr>
        <w:t>– The portion of a flood flow that flows outside the main river channel at relatively small depths over part of or the full width of the waterway and in a direction essentially parallel with the direction of the main channel.</w:t>
      </w:r>
    </w:p>
    <w:p w:rsidR="006A7A3F" w:rsidRDefault="00BC7372">
      <w:pPr>
        <w:pStyle w:val="BodyText"/>
        <w:spacing w:before="173" w:line="249" w:lineRule="auto"/>
        <w:ind w:right="100"/>
      </w:pPr>
      <w:r>
        <w:rPr>
          <w:b/>
          <w:color w:val="231F20"/>
        </w:rPr>
        <w:t xml:space="preserve">Passing flows </w:t>
      </w:r>
      <w:r>
        <w:rPr>
          <w:color w:val="231F20"/>
        </w:rPr>
        <w:t>– Water released from storages to operate river and distribution systems (often to help deliver water for environmental or consumptive uses) and maintain environmental values and other community benefits. The volume of passing flows is generally determined by inflows to those storages.</w:t>
      </w:r>
    </w:p>
    <w:p w:rsidR="006A7A3F" w:rsidRDefault="00BC7372">
      <w:pPr>
        <w:spacing w:before="172"/>
        <w:ind w:left="210"/>
        <w:rPr>
          <w:sz w:val="20"/>
        </w:rPr>
      </w:pPr>
      <w:r>
        <w:rPr>
          <w:b/>
          <w:color w:val="231F20"/>
          <w:sz w:val="20"/>
        </w:rPr>
        <w:t xml:space="preserve">Permanent trade </w:t>
      </w:r>
      <w:r>
        <w:rPr>
          <w:color w:val="231F20"/>
          <w:sz w:val="20"/>
        </w:rPr>
        <w:t>– The transfer of ownership of a water share or licence.</w:t>
      </w:r>
    </w:p>
    <w:p w:rsidR="006A7A3F" w:rsidRDefault="00BC7372">
      <w:pPr>
        <w:spacing w:before="180" w:line="249" w:lineRule="auto"/>
        <w:ind w:left="210" w:right="608"/>
        <w:rPr>
          <w:sz w:val="20"/>
        </w:rPr>
      </w:pPr>
      <w:r>
        <w:rPr>
          <w:b/>
          <w:color w:val="231F20"/>
          <w:sz w:val="20"/>
        </w:rPr>
        <w:t xml:space="preserve">Potential environmental watering </w:t>
      </w:r>
      <w:r>
        <w:rPr>
          <w:color w:val="231F20"/>
          <w:sz w:val="20"/>
        </w:rPr>
        <w:t>– Environmental flow components that have been identified for a particular system in a particular year.</w:t>
      </w:r>
    </w:p>
    <w:p w:rsidR="006A7A3F" w:rsidRDefault="00BC7372">
      <w:pPr>
        <w:pStyle w:val="BodyText"/>
        <w:spacing w:line="249" w:lineRule="auto"/>
        <w:ind w:right="457"/>
      </w:pPr>
      <w:r>
        <w:rPr>
          <w:b/>
          <w:color w:val="231F20"/>
        </w:rPr>
        <w:t xml:space="preserve">Pulse </w:t>
      </w:r>
      <w:r>
        <w:rPr>
          <w:color w:val="231F20"/>
        </w:rPr>
        <w:t>– A gradual build in the flow of water, typically to replicate the most-suitable conditions for water species (such as fish to travel and spawn).</w:t>
      </w:r>
    </w:p>
    <w:p w:rsidR="006A7A3F" w:rsidRDefault="00BC7372">
      <w:pPr>
        <w:pStyle w:val="BodyText"/>
        <w:spacing w:line="249" w:lineRule="auto"/>
        <w:ind w:right="297"/>
      </w:pPr>
      <w:r>
        <w:rPr>
          <w:b/>
          <w:color w:val="231F20"/>
        </w:rPr>
        <w:t xml:space="preserve">Ramsar-listed wetland </w:t>
      </w:r>
      <w:r>
        <w:rPr>
          <w:color w:val="231F20"/>
        </w:rPr>
        <w:t>– A wetland listed as internationally significant under the Convention on Wetlands signed in Ramsar, Iran in 1971.</w:t>
      </w:r>
    </w:p>
    <w:p w:rsidR="006A7A3F" w:rsidRDefault="00BC7372">
      <w:pPr>
        <w:pStyle w:val="BodyText"/>
        <w:spacing w:before="171"/>
      </w:pPr>
      <w:r>
        <w:rPr>
          <w:b/>
          <w:color w:val="231F20"/>
        </w:rPr>
        <w:t xml:space="preserve">Reach </w:t>
      </w:r>
      <w:r>
        <w:rPr>
          <w:color w:val="231F20"/>
        </w:rPr>
        <w:t>– A stretch or section of a river, generally defined in an environmental flow study.</w:t>
      </w:r>
    </w:p>
    <w:p w:rsidR="006A7A3F" w:rsidRDefault="00BC7372">
      <w:pPr>
        <w:pStyle w:val="BodyText"/>
        <w:spacing w:before="181"/>
      </w:pPr>
      <w:r>
        <w:rPr>
          <w:b/>
          <w:color w:val="231F20"/>
        </w:rPr>
        <w:t xml:space="preserve">Recruitment </w:t>
      </w:r>
      <w:r>
        <w:rPr>
          <w:color w:val="231F20"/>
        </w:rPr>
        <w:t>– The increase in plants or animals when they survive to the settlement or maturity stage.</w:t>
      </w:r>
    </w:p>
    <w:p w:rsidR="006A7A3F" w:rsidRDefault="00BC7372">
      <w:pPr>
        <w:pStyle w:val="BodyText"/>
        <w:spacing w:before="180" w:line="249" w:lineRule="auto"/>
        <w:ind w:right="100"/>
      </w:pPr>
      <w:r>
        <w:rPr>
          <w:b/>
          <w:color w:val="231F20"/>
        </w:rPr>
        <w:t xml:space="preserve">Regional waterway strategy </w:t>
      </w:r>
      <w:r>
        <w:rPr>
          <w:color w:val="231F20"/>
        </w:rPr>
        <w:t>– An eight-year action plan prepared by a CMA for the rivers, wetlands and estuaries in its area. It provides a single regional planning document for waterways in the area.</w:t>
      </w:r>
    </w:p>
    <w:p w:rsidR="006A7A3F" w:rsidRDefault="00BC7372">
      <w:pPr>
        <w:pStyle w:val="BodyText"/>
        <w:spacing w:before="171"/>
      </w:pPr>
      <w:r>
        <w:rPr>
          <w:b/>
          <w:color w:val="231F20"/>
        </w:rPr>
        <w:t xml:space="preserve">Remnant vegetation </w:t>
      </w:r>
      <w:r>
        <w:rPr>
          <w:color w:val="231F20"/>
        </w:rPr>
        <w:t>– Patches of native trees, shrubs and grasses still remaining following disturbance.</w:t>
      </w:r>
    </w:p>
    <w:p w:rsidR="006A7A3F" w:rsidRDefault="00BC7372">
      <w:pPr>
        <w:pStyle w:val="BodyText"/>
        <w:spacing w:before="180" w:line="249" w:lineRule="auto"/>
        <w:ind w:right="100"/>
      </w:pPr>
      <w:r>
        <w:rPr>
          <w:b/>
          <w:color w:val="231F20"/>
        </w:rPr>
        <w:t xml:space="preserve">Return flows </w:t>
      </w:r>
      <w:r>
        <w:rPr>
          <w:color w:val="231F20"/>
        </w:rPr>
        <w:t>– Any flows delivered for environmental purposes and then returned to the downstream system to be reused for other purposes. Returned flows may be captured and stored downstream for later reuse, although most commonly they remain within the waterway for in-stream reuse.</w:t>
      </w:r>
    </w:p>
    <w:p w:rsidR="006A7A3F" w:rsidRDefault="00BC7372">
      <w:pPr>
        <w:pStyle w:val="BodyText"/>
        <w:spacing w:before="173" w:line="249" w:lineRule="auto"/>
        <w:ind w:right="100"/>
      </w:pPr>
      <w:r>
        <w:rPr>
          <w:b/>
          <w:color w:val="231F20"/>
        </w:rPr>
        <w:t xml:space="preserve">Riffle </w:t>
      </w:r>
      <w:r>
        <w:rPr>
          <w:color w:val="231F20"/>
        </w:rPr>
        <w:t>– A relatively shallow section of stream where water flows at a higher velocity with increased turbulence, causing many ripples to be formed in the water surface.</w:t>
      </w:r>
    </w:p>
    <w:p w:rsidR="006A7A3F" w:rsidRDefault="00BC7372">
      <w:pPr>
        <w:pStyle w:val="BodyText"/>
        <w:spacing w:line="249" w:lineRule="auto"/>
        <w:ind w:right="100"/>
      </w:pPr>
      <w:r>
        <w:rPr>
          <w:b/>
          <w:color w:val="231F20"/>
        </w:rPr>
        <w:t xml:space="preserve">Riparian vegetation </w:t>
      </w:r>
      <w:r>
        <w:rPr>
          <w:color w:val="231F20"/>
        </w:rPr>
        <w:t>– Vegetation located in the area of land that adjoins, regularly influences or is influenced by a river.</w:t>
      </w:r>
    </w:p>
    <w:p w:rsidR="006A7A3F" w:rsidRDefault="00BC7372">
      <w:pPr>
        <w:pStyle w:val="BodyText"/>
        <w:spacing w:before="171" w:line="249" w:lineRule="auto"/>
        <w:ind w:right="353"/>
      </w:pPr>
      <w:r>
        <w:rPr>
          <w:b/>
          <w:color w:val="231F20"/>
        </w:rPr>
        <w:t xml:space="preserve">Salt wedge </w:t>
      </w:r>
      <w:r>
        <w:rPr>
          <w:color w:val="231F20"/>
        </w:rPr>
        <w:t>– The transition zone of saltwater and freshwater environments which occurs when a freshwater river flows directly into saltwater.</w:t>
      </w:r>
    </w:p>
    <w:p w:rsidR="006A7A3F" w:rsidRDefault="00BC7372">
      <w:pPr>
        <w:pStyle w:val="BodyText"/>
        <w:spacing w:line="249" w:lineRule="auto"/>
        <w:ind w:right="100"/>
      </w:pPr>
      <w:r>
        <w:rPr>
          <w:b/>
          <w:color w:val="231F20"/>
        </w:rPr>
        <w:t xml:space="preserve">Seasonal watering plan </w:t>
      </w:r>
      <w:r>
        <w:rPr>
          <w:color w:val="231F20"/>
        </w:rPr>
        <w:t>– The VEWH’s annual operational document which outlines potential environmental watering across the state in the forthcoming water year.</w:t>
      </w:r>
    </w:p>
    <w:p w:rsidR="006A7A3F" w:rsidRDefault="00BC7372">
      <w:pPr>
        <w:pStyle w:val="BodyText"/>
        <w:spacing w:line="249" w:lineRule="auto"/>
        <w:ind w:right="457"/>
      </w:pPr>
      <w:r>
        <w:rPr>
          <w:b/>
          <w:color w:val="231F20"/>
        </w:rPr>
        <w:t xml:space="preserve">Seasonal watering proposal </w:t>
      </w:r>
      <w:r>
        <w:rPr>
          <w:color w:val="231F20"/>
        </w:rPr>
        <w:t>– An annual proposal outlining the regional priorities for the use of water for the environment in each water year and submitted by waterway managers to the VEWH for consideration in its seasonal watering plan.</w:t>
      </w:r>
    </w:p>
    <w:p w:rsidR="006A7A3F" w:rsidRDefault="00BC7372">
      <w:pPr>
        <w:pStyle w:val="BodyText"/>
        <w:spacing w:line="249" w:lineRule="auto"/>
        <w:ind w:right="100"/>
      </w:pPr>
      <w:r>
        <w:rPr>
          <w:b/>
          <w:color w:val="231F20"/>
        </w:rPr>
        <w:t xml:space="preserve">Seasonal watering statement </w:t>
      </w:r>
      <w:r>
        <w:rPr>
          <w:color w:val="231F20"/>
        </w:rPr>
        <w:t>– A statement by the VEWH authorising a CMA to apply or use water from its water for the environment entitlements consistently with the seasonal watering plan.</w:t>
      </w:r>
    </w:p>
    <w:p w:rsidR="006A7A3F" w:rsidRDefault="00BC7372">
      <w:pPr>
        <w:pStyle w:val="BodyText"/>
        <w:spacing w:before="70" w:line="249" w:lineRule="auto"/>
        <w:ind w:right="457"/>
      </w:pPr>
      <w:r>
        <w:rPr>
          <w:b/>
          <w:color w:val="231F20"/>
        </w:rPr>
        <w:t xml:space="preserve">Shared benefits </w:t>
      </w:r>
      <w:r>
        <w:rPr>
          <w:color w:val="231F20"/>
        </w:rPr>
        <w:t>– The many cultural, economic, recreational, social and Traditional Owner benefits of environmental watering.</w:t>
      </w:r>
    </w:p>
    <w:p w:rsidR="006A7A3F" w:rsidRDefault="00BC7372">
      <w:pPr>
        <w:pStyle w:val="BodyText"/>
        <w:spacing w:line="249" w:lineRule="auto"/>
        <w:ind w:right="457"/>
      </w:pPr>
      <w:r>
        <w:rPr>
          <w:b/>
          <w:color w:val="231F20"/>
        </w:rPr>
        <w:t xml:space="preserve">Slackwater habitat </w:t>
      </w:r>
      <w:r>
        <w:rPr>
          <w:color w:val="231F20"/>
        </w:rPr>
        <w:t>– Habitat in a body of water that has little or no flow, typically formed in areas where the current is restricted by obstructions.</w:t>
      </w:r>
    </w:p>
    <w:p w:rsidR="006A7A3F" w:rsidRDefault="00BC7372">
      <w:pPr>
        <w:pStyle w:val="BodyText"/>
      </w:pPr>
      <w:r>
        <w:rPr>
          <w:b/>
          <w:color w:val="231F20"/>
        </w:rPr>
        <w:t xml:space="preserve">Spawning </w:t>
      </w:r>
      <w:r>
        <w:rPr>
          <w:color w:val="231F20"/>
        </w:rPr>
        <w:t>– The process of species releasing eggs and sperm to reproduce.</w:t>
      </w:r>
    </w:p>
    <w:p w:rsidR="006A7A3F" w:rsidRDefault="00BC7372">
      <w:pPr>
        <w:pStyle w:val="BodyText"/>
        <w:spacing w:before="180" w:line="249" w:lineRule="auto"/>
        <w:ind w:right="100"/>
      </w:pPr>
      <w:r>
        <w:rPr>
          <w:b/>
          <w:color w:val="231F20"/>
        </w:rPr>
        <w:t xml:space="preserve">Storage manager </w:t>
      </w:r>
      <w:r>
        <w:rPr>
          <w:color w:val="231F20"/>
        </w:rPr>
        <w:t>– Appointed by the Minister for Water to operate major water storages in a particular river basin, to deliver water to entitlement holders.</w:t>
      </w:r>
    </w:p>
    <w:p w:rsidR="006A7A3F" w:rsidRDefault="00BC7372">
      <w:pPr>
        <w:pStyle w:val="BodyText"/>
        <w:spacing w:line="249" w:lineRule="auto"/>
        <w:ind w:right="100"/>
      </w:pPr>
      <w:r>
        <w:rPr>
          <w:b/>
          <w:color w:val="231F20"/>
        </w:rPr>
        <w:t xml:space="preserve">System operating water </w:t>
      </w:r>
      <w:r>
        <w:rPr>
          <w:color w:val="231F20"/>
        </w:rPr>
        <w:t>– Water managed by storage managers, held in storages and actively released to ensure the system can deliver consumptive water and water to meet other needs.</w:t>
      </w:r>
    </w:p>
    <w:p w:rsidR="006A7A3F" w:rsidRDefault="00BC7372" w:rsidP="00AC23E0">
      <w:pPr>
        <w:pStyle w:val="BodyText"/>
        <w:spacing w:before="171" w:line="427" w:lineRule="auto"/>
        <w:ind w:right="143"/>
      </w:pPr>
      <w:r>
        <w:rPr>
          <w:b/>
          <w:color w:val="231F20"/>
        </w:rPr>
        <w:t xml:space="preserve">Temporary trade </w:t>
      </w:r>
      <w:r>
        <w:rPr>
          <w:color w:val="231F20"/>
        </w:rPr>
        <w:t>– Transfer of a seasonal</w:t>
      </w:r>
      <w:r w:rsidR="00AC23E0">
        <w:rPr>
          <w:color w:val="231F20"/>
        </w:rPr>
        <w:t xml:space="preserve"> </w:t>
      </w:r>
      <w:r>
        <w:rPr>
          <w:color w:val="231F20"/>
        </w:rPr>
        <w:t>allocation. Terrestrial vegetation – Land-based plants.</w:t>
      </w:r>
    </w:p>
    <w:p w:rsidR="006A7A3F" w:rsidRDefault="00BC7372">
      <w:pPr>
        <w:pStyle w:val="BodyText"/>
        <w:spacing w:before="2" w:line="249" w:lineRule="auto"/>
        <w:ind w:right="100"/>
      </w:pPr>
      <w:r>
        <w:rPr>
          <w:b/>
          <w:color w:val="231F20"/>
        </w:rPr>
        <w:t xml:space="preserve">The Living Murray program </w:t>
      </w:r>
      <w:r>
        <w:rPr>
          <w:color w:val="231F20"/>
        </w:rPr>
        <w:t>– An intergovernmental program which holds an average of 500,000 ML of water for the environment a year for use at six iconic sites along the River Murray.</w:t>
      </w:r>
    </w:p>
    <w:p w:rsidR="006A7A3F" w:rsidRDefault="00BC7372">
      <w:pPr>
        <w:pStyle w:val="BodyText"/>
        <w:spacing w:before="171" w:line="249" w:lineRule="auto"/>
        <w:ind w:right="285"/>
      </w:pPr>
      <w:r>
        <w:rPr>
          <w:b/>
          <w:color w:val="231F20"/>
        </w:rPr>
        <w:t xml:space="preserve">Tier 1a </w:t>
      </w:r>
      <w:r>
        <w:rPr>
          <w:color w:val="231F20"/>
        </w:rPr>
        <w:t>– High-priority potential environmental watering actions that could be achieved with the assumed supply of water.</w:t>
      </w:r>
    </w:p>
    <w:p w:rsidR="006A7A3F" w:rsidRDefault="00BC7372">
      <w:pPr>
        <w:pStyle w:val="BodyText"/>
        <w:spacing w:line="249" w:lineRule="auto"/>
        <w:ind w:right="100"/>
      </w:pPr>
      <w:r>
        <w:rPr>
          <w:b/>
          <w:color w:val="231F20"/>
        </w:rPr>
        <w:t xml:space="preserve">Tier 1b </w:t>
      </w:r>
      <w:r>
        <w:rPr>
          <w:color w:val="231F20"/>
        </w:rPr>
        <w:t>– High-priority potential environmental watering actions that are unlikely to be achieved with the assumed supply of water and may require additional water to meet demands.</w:t>
      </w:r>
    </w:p>
    <w:p w:rsidR="006A7A3F" w:rsidRDefault="00BC7372">
      <w:pPr>
        <w:pStyle w:val="BodyText"/>
        <w:spacing w:line="249" w:lineRule="auto"/>
        <w:ind w:right="285"/>
      </w:pPr>
      <w:r>
        <w:rPr>
          <w:b/>
          <w:color w:val="231F20"/>
        </w:rPr>
        <w:t xml:space="preserve">Tier 2 </w:t>
      </w:r>
      <w:r>
        <w:rPr>
          <w:color w:val="231F20"/>
        </w:rPr>
        <w:t>– Environmental watering actions identified as being necessary to support the environmental objectives, but which are not essential to deliver this year.</w:t>
      </w:r>
    </w:p>
    <w:p w:rsidR="006A7A3F" w:rsidRDefault="00BC7372">
      <w:pPr>
        <w:pStyle w:val="BodyText"/>
        <w:spacing w:line="249" w:lineRule="auto"/>
        <w:ind w:right="100"/>
      </w:pPr>
      <w:r>
        <w:rPr>
          <w:b/>
          <w:color w:val="231F20"/>
        </w:rPr>
        <w:t xml:space="preserve">Trade </w:t>
      </w:r>
      <w:r>
        <w:rPr>
          <w:color w:val="231F20"/>
        </w:rPr>
        <w:t>– Water shares, allocations and take-and-use licences that can be traded in Victoria under rules the Minister for Water sets.</w:t>
      </w:r>
    </w:p>
    <w:p w:rsidR="006A7A3F" w:rsidRDefault="00BC7372">
      <w:pPr>
        <w:pStyle w:val="BodyText"/>
        <w:spacing w:before="171" w:line="249" w:lineRule="auto"/>
        <w:ind w:right="457"/>
      </w:pPr>
      <w:r>
        <w:rPr>
          <w:b/>
          <w:color w:val="231F20"/>
        </w:rPr>
        <w:t xml:space="preserve">Translocation </w:t>
      </w:r>
      <w:r>
        <w:rPr>
          <w:color w:val="231F20"/>
        </w:rPr>
        <w:t>– The movement of living organisms from one area to another area where they are given free release.</w:t>
      </w:r>
    </w:p>
    <w:p w:rsidR="006A7A3F" w:rsidRDefault="00BC7372">
      <w:pPr>
        <w:pStyle w:val="BodyText"/>
      </w:pPr>
      <w:r>
        <w:rPr>
          <w:b/>
          <w:color w:val="231F20"/>
        </w:rPr>
        <w:t xml:space="preserve">Tributary </w:t>
      </w:r>
      <w:r>
        <w:rPr>
          <w:color w:val="231F20"/>
        </w:rPr>
        <w:t>– A smaller river or creek that flows into a larger river.</w:t>
      </w:r>
    </w:p>
    <w:p w:rsidR="006A7A3F" w:rsidRDefault="00BC7372">
      <w:pPr>
        <w:pStyle w:val="BodyText"/>
        <w:spacing w:before="180" w:line="249" w:lineRule="auto"/>
        <w:ind w:right="100"/>
      </w:pPr>
      <w:r>
        <w:rPr>
          <w:b/>
          <w:color w:val="231F20"/>
        </w:rPr>
        <w:t xml:space="preserve">Unregulated (entitlement) </w:t>
      </w:r>
      <w:r>
        <w:rPr>
          <w:color w:val="231F20"/>
        </w:rPr>
        <w:t>– An entitlement to water declared in periods of unregulated flow in a river system (that is, flows that cannot be captured in storages).</w:t>
      </w:r>
    </w:p>
    <w:p w:rsidR="006A7A3F" w:rsidRDefault="00BC7372">
      <w:pPr>
        <w:pStyle w:val="BodyText"/>
      </w:pPr>
      <w:r>
        <w:rPr>
          <w:b/>
          <w:color w:val="231F20"/>
        </w:rPr>
        <w:t xml:space="preserve">Unregulated flows </w:t>
      </w:r>
      <w:r>
        <w:rPr>
          <w:color w:val="231F20"/>
        </w:rPr>
        <w:t>– Natural streamflows that cannot be captured in major reservoirs or storages.</w:t>
      </w:r>
    </w:p>
    <w:p w:rsidR="006A7A3F" w:rsidRDefault="00BC7372">
      <w:pPr>
        <w:spacing w:before="180" w:line="249" w:lineRule="auto"/>
        <w:ind w:left="210" w:right="100"/>
        <w:rPr>
          <w:sz w:val="20"/>
        </w:rPr>
      </w:pPr>
      <w:r>
        <w:rPr>
          <w:b/>
          <w:color w:val="231F20"/>
          <w:sz w:val="20"/>
        </w:rPr>
        <w:t xml:space="preserve">Victorian Environmental Water Holder (VEWH) </w:t>
      </w:r>
      <w:r>
        <w:rPr>
          <w:color w:val="231F20"/>
          <w:sz w:val="20"/>
        </w:rPr>
        <w:t>– An independent statutory body responsible for holding and managing Victorian water for the environment entitlements and allocations.</w:t>
      </w:r>
    </w:p>
    <w:p w:rsidR="006A7A3F" w:rsidRDefault="00BC7372">
      <w:pPr>
        <w:spacing w:before="172" w:line="249" w:lineRule="auto"/>
        <w:ind w:left="210" w:right="100"/>
        <w:rPr>
          <w:sz w:val="20"/>
        </w:rPr>
      </w:pPr>
      <w:r>
        <w:rPr>
          <w:b/>
          <w:color w:val="231F20"/>
          <w:sz w:val="20"/>
        </w:rPr>
        <w:t xml:space="preserve">Victorian environmental watering program </w:t>
      </w:r>
      <w:r>
        <w:rPr>
          <w:color w:val="231F20"/>
          <w:sz w:val="20"/>
        </w:rPr>
        <w:t>– The overarching program by which all environmental watering actions are planned and delivered and in which all environmental watering partners are involved.</w:t>
      </w:r>
    </w:p>
    <w:p w:rsidR="006A7A3F" w:rsidRDefault="00BC7372">
      <w:pPr>
        <w:pStyle w:val="BodyText"/>
        <w:spacing w:before="171" w:line="249" w:lineRule="auto"/>
        <w:ind w:right="100"/>
      </w:pPr>
      <w:r>
        <w:rPr>
          <w:rFonts w:ascii="Arial-BoldItalicMT" w:hAnsi="Arial-BoldItalicMT"/>
          <w:b/>
          <w:i/>
          <w:color w:val="231F20"/>
        </w:rPr>
        <w:t xml:space="preserve">Water Act 1989 </w:t>
      </w:r>
      <w:r>
        <w:rPr>
          <w:color w:val="231F20"/>
        </w:rPr>
        <w:t>– The legislation that governs water entitlements and establishes the mechanisms for managing Victoria’s water resources.</w:t>
      </w:r>
    </w:p>
    <w:p w:rsidR="006A7A3F" w:rsidRDefault="00BC7372">
      <w:pPr>
        <w:pStyle w:val="BodyText"/>
        <w:spacing w:line="249" w:lineRule="auto"/>
        <w:ind w:right="100"/>
      </w:pPr>
      <w:r>
        <w:rPr>
          <w:b/>
          <w:color w:val="231F20"/>
        </w:rPr>
        <w:t xml:space="preserve">Water entitlement </w:t>
      </w:r>
      <w:r>
        <w:rPr>
          <w:color w:val="231F20"/>
        </w:rPr>
        <w:t>– The right to a volume of water that can (usually) be stored in reservoirs and taken and used under specific conditions.</w:t>
      </w:r>
    </w:p>
    <w:p w:rsidR="006A7A3F" w:rsidRDefault="00BC7372">
      <w:pPr>
        <w:pStyle w:val="BodyText"/>
      </w:pPr>
      <w:r>
        <w:rPr>
          <w:b/>
          <w:color w:val="231F20"/>
        </w:rPr>
        <w:t xml:space="preserve">Water trade </w:t>
      </w:r>
      <w:r>
        <w:rPr>
          <w:color w:val="231F20"/>
        </w:rPr>
        <w:t>– The process of buying, selling or exchanging water allocation or entitlements.</w:t>
      </w:r>
    </w:p>
    <w:p w:rsidR="006A7A3F" w:rsidRDefault="00BC7372">
      <w:pPr>
        <w:spacing w:before="180"/>
        <w:ind w:left="210"/>
        <w:rPr>
          <w:sz w:val="20"/>
        </w:rPr>
      </w:pPr>
      <w:r>
        <w:rPr>
          <w:b/>
          <w:color w:val="231F20"/>
          <w:spacing w:val="-3"/>
          <w:sz w:val="20"/>
        </w:rPr>
        <w:t xml:space="preserve">Water </w:t>
      </w:r>
      <w:r>
        <w:rPr>
          <w:b/>
          <w:color w:val="231F20"/>
          <w:sz w:val="20"/>
        </w:rPr>
        <w:t xml:space="preserve">allocation </w:t>
      </w:r>
      <w:r>
        <w:rPr>
          <w:color w:val="231F20"/>
          <w:sz w:val="20"/>
        </w:rPr>
        <w:t>– See Allocation (of</w:t>
      </w:r>
      <w:r>
        <w:rPr>
          <w:color w:val="231F20"/>
          <w:spacing w:val="-22"/>
          <w:sz w:val="20"/>
        </w:rPr>
        <w:t xml:space="preserve"> </w:t>
      </w:r>
      <w:r>
        <w:rPr>
          <w:color w:val="231F20"/>
          <w:sz w:val="20"/>
        </w:rPr>
        <w:t>water).</w:t>
      </w:r>
    </w:p>
    <w:p w:rsidR="006A7A3F" w:rsidRDefault="00BC7372">
      <w:pPr>
        <w:pStyle w:val="BodyText"/>
        <w:spacing w:before="180" w:line="249" w:lineRule="auto"/>
        <w:ind w:right="457"/>
      </w:pPr>
      <w:r>
        <w:rPr>
          <w:b/>
          <w:color w:val="231F20"/>
          <w:spacing w:val="-3"/>
        </w:rPr>
        <w:t xml:space="preserve">Water </w:t>
      </w:r>
      <w:r>
        <w:rPr>
          <w:b/>
          <w:color w:val="231F20"/>
        </w:rPr>
        <w:t xml:space="preserve">for the environment </w:t>
      </w:r>
      <w:r>
        <w:rPr>
          <w:color w:val="231F20"/>
        </w:rPr>
        <w:t xml:space="preserve">– </w:t>
      </w:r>
      <w:r>
        <w:rPr>
          <w:color w:val="231F20"/>
          <w:spacing w:val="-3"/>
        </w:rPr>
        <w:t xml:space="preserve">Water </w:t>
      </w:r>
      <w:r>
        <w:rPr>
          <w:color w:val="231F20"/>
        </w:rPr>
        <w:t>available for environmental purposes including entitlements held by the VEWH, passing flows and unregulated</w:t>
      </w:r>
      <w:r>
        <w:rPr>
          <w:color w:val="231F20"/>
          <w:spacing w:val="-4"/>
        </w:rPr>
        <w:t xml:space="preserve"> </w:t>
      </w:r>
      <w:r>
        <w:rPr>
          <w:color w:val="231F20"/>
        </w:rPr>
        <w:t>flows.</w:t>
      </w:r>
    </w:p>
    <w:p w:rsidR="006A7A3F" w:rsidRDefault="00BC7372">
      <w:pPr>
        <w:pStyle w:val="BodyText"/>
      </w:pPr>
      <w:r>
        <w:rPr>
          <w:b/>
          <w:color w:val="231F20"/>
        </w:rPr>
        <w:t xml:space="preserve">Water year </w:t>
      </w:r>
      <w:r>
        <w:rPr>
          <w:color w:val="231F20"/>
        </w:rPr>
        <w:t>– The same as a financial year: from 1 July to 30 June the next year.</w:t>
      </w:r>
    </w:p>
    <w:p w:rsidR="006A7A3F" w:rsidRDefault="00BC7372">
      <w:pPr>
        <w:pStyle w:val="BodyText"/>
        <w:spacing w:before="180" w:line="249" w:lineRule="auto"/>
        <w:ind w:right="100"/>
      </w:pPr>
      <w:r>
        <w:rPr>
          <w:b/>
          <w:color w:val="231F20"/>
        </w:rPr>
        <w:t xml:space="preserve">Waterway manager </w:t>
      </w:r>
      <w:r>
        <w:rPr>
          <w:color w:val="231F20"/>
        </w:rPr>
        <w:t>– The agency or authority (such as a CMA or Melbourne Water) responsible for the environmental management of a catchment or waterway.</w:t>
      </w:r>
    </w:p>
    <w:p w:rsidR="00AC23E0" w:rsidRDefault="00BC7372">
      <w:pPr>
        <w:pStyle w:val="BodyText"/>
        <w:rPr>
          <w:color w:val="231F20"/>
        </w:rPr>
      </w:pPr>
      <w:r>
        <w:rPr>
          <w:b/>
          <w:color w:val="231F20"/>
        </w:rPr>
        <w:t xml:space="preserve">Waterways </w:t>
      </w:r>
      <w:r>
        <w:rPr>
          <w:color w:val="231F20"/>
        </w:rPr>
        <w:t>– Rivers, wetlands, creeks, floodplains, estuaries and other bodies of water.</w:t>
      </w:r>
    </w:p>
    <w:p w:rsidR="00AC23E0" w:rsidRDefault="00AC23E0">
      <w:pPr>
        <w:rPr>
          <w:color w:val="231F20"/>
          <w:sz w:val="20"/>
          <w:szCs w:val="20"/>
        </w:rPr>
      </w:pPr>
      <w:r>
        <w:rPr>
          <w:color w:val="231F20"/>
        </w:rPr>
        <w:br w:type="page"/>
      </w:r>
    </w:p>
    <w:p w:rsidR="006A7A3F" w:rsidRDefault="00BC7372" w:rsidP="004D037F">
      <w:pPr>
        <w:pStyle w:val="Heading1"/>
        <w:numPr>
          <w:ilvl w:val="1"/>
          <w:numId w:val="1422"/>
        </w:numPr>
        <w:tabs>
          <w:tab w:val="left" w:pos="1027"/>
          <w:tab w:val="left" w:pos="1028"/>
        </w:tabs>
        <w:spacing w:before="64"/>
        <w:ind w:left="1027" w:hanging="818"/>
      </w:pPr>
      <w:r>
        <w:rPr>
          <w:color w:val="231F20"/>
        </w:rPr>
        <w:t>Contact</w:t>
      </w:r>
      <w:r>
        <w:rPr>
          <w:color w:val="231F20"/>
          <w:spacing w:val="-2"/>
        </w:rPr>
        <w:t xml:space="preserve"> </w:t>
      </w:r>
      <w:r>
        <w:rPr>
          <w:color w:val="231F20"/>
        </w:rPr>
        <w:t>details</w:t>
      </w:r>
    </w:p>
    <w:p w:rsidR="006A7A3F" w:rsidRDefault="00BC7372">
      <w:pPr>
        <w:pStyle w:val="BodyText"/>
        <w:spacing w:before="247"/>
      </w:pPr>
      <w:r>
        <w:rPr>
          <w:color w:val="231F20"/>
        </w:rPr>
        <w:t>For further information about the Seasonal Watering Plan 2019-20, please contact the VEWH.</w:t>
      </w:r>
    </w:p>
    <w:p w:rsidR="006A7A3F" w:rsidRDefault="00BC7372">
      <w:pPr>
        <w:pStyle w:val="Heading7"/>
        <w:spacing w:before="180"/>
      </w:pPr>
      <w:r>
        <w:rPr>
          <w:color w:val="231F20"/>
        </w:rPr>
        <w:t>Victorian Environmental Water Holder</w:t>
      </w:r>
    </w:p>
    <w:p w:rsidR="006A7A3F" w:rsidRDefault="00BC7372">
      <w:pPr>
        <w:pStyle w:val="BodyText"/>
        <w:spacing w:before="10" w:line="249" w:lineRule="auto"/>
        <w:ind w:right="4828"/>
      </w:pPr>
      <w:r>
        <w:rPr>
          <w:color w:val="231F20"/>
        </w:rPr>
        <w:t>Ground floor, 8 Nicholson St, East Melbourne, Victoria 3002 PO Box 500, East Melbourne, Victoria 3002</w:t>
      </w:r>
    </w:p>
    <w:p w:rsidR="006A7A3F" w:rsidRDefault="00BC7372">
      <w:pPr>
        <w:pStyle w:val="BodyText"/>
        <w:spacing w:before="2"/>
      </w:pPr>
      <w:r>
        <w:rPr>
          <w:color w:val="231F20"/>
        </w:rPr>
        <w:t>(03) 9637 8951</w:t>
      </w:r>
    </w:p>
    <w:p w:rsidR="006A7A3F" w:rsidRDefault="002D2A51">
      <w:pPr>
        <w:pStyle w:val="BodyText"/>
        <w:spacing w:before="10" w:line="249" w:lineRule="auto"/>
        <w:ind w:right="5778"/>
      </w:pPr>
      <w:hyperlink r:id="rId63">
        <w:r w:rsidR="00BC7372">
          <w:rPr>
            <w:color w:val="231F20"/>
          </w:rPr>
          <w:t>general.enquiries@vewh.vic.gov.au</w:t>
        </w:r>
      </w:hyperlink>
      <w:r w:rsidR="00BC7372">
        <w:rPr>
          <w:color w:val="231F20"/>
        </w:rPr>
        <w:t xml:space="preserve"> </w:t>
      </w:r>
      <w:hyperlink r:id="rId64">
        <w:r w:rsidR="00BC7372">
          <w:rPr>
            <w:color w:val="231F20"/>
          </w:rPr>
          <w:t>www.vewh.vic.gov.au</w:t>
        </w:r>
      </w:hyperlink>
    </w:p>
    <w:p w:rsidR="006A7A3F" w:rsidRDefault="00BC7372">
      <w:pPr>
        <w:pStyle w:val="BodyText"/>
        <w:spacing w:before="171" w:line="249" w:lineRule="auto"/>
        <w:ind w:right="285"/>
      </w:pPr>
      <w:r>
        <w:rPr>
          <w:color w:val="231F20"/>
        </w:rPr>
        <w:t>For specific information about each system and details about specific seasonal watering proposals, please contact the relevant waterway manager.</w:t>
      </w:r>
    </w:p>
    <w:p w:rsidR="006A7A3F" w:rsidRDefault="00BC7372">
      <w:pPr>
        <w:pStyle w:val="Heading7"/>
        <w:spacing w:before="172"/>
      </w:pPr>
      <w:r>
        <w:rPr>
          <w:color w:val="231F20"/>
        </w:rPr>
        <w:t>Corangamite CMA</w:t>
      </w:r>
    </w:p>
    <w:p w:rsidR="006A7A3F" w:rsidRDefault="00BC7372">
      <w:pPr>
        <w:pStyle w:val="BodyText"/>
        <w:spacing w:before="10"/>
      </w:pPr>
      <w:r>
        <w:rPr>
          <w:color w:val="231F20"/>
        </w:rPr>
        <w:t>64 Dennis Street, Colac, Victoria 3250</w:t>
      </w:r>
    </w:p>
    <w:p w:rsidR="006A7A3F" w:rsidRDefault="00BC7372">
      <w:pPr>
        <w:pStyle w:val="BodyText"/>
        <w:spacing w:before="10"/>
      </w:pPr>
      <w:r>
        <w:rPr>
          <w:color w:val="231F20"/>
        </w:rPr>
        <w:t>PO Box 159, Colac, Victoria 3250</w:t>
      </w:r>
    </w:p>
    <w:p w:rsidR="006A7A3F" w:rsidRDefault="00BC7372">
      <w:pPr>
        <w:pStyle w:val="BodyText"/>
        <w:spacing w:before="10"/>
      </w:pPr>
      <w:r>
        <w:rPr>
          <w:color w:val="231F20"/>
        </w:rPr>
        <w:t>(03) 5232 9100</w:t>
      </w:r>
    </w:p>
    <w:p w:rsidR="006A7A3F" w:rsidRDefault="002D2A51" w:rsidP="00C7731C">
      <w:pPr>
        <w:pStyle w:val="BodyText"/>
        <w:spacing w:before="10" w:line="249" w:lineRule="auto"/>
        <w:ind w:right="6664"/>
      </w:pPr>
      <w:hyperlink r:id="rId65">
        <w:r w:rsidR="00BC7372">
          <w:rPr>
            <w:color w:val="231F20"/>
          </w:rPr>
          <w:t>info@ccma.vic.gov.au</w:t>
        </w:r>
      </w:hyperlink>
      <w:r w:rsidR="00BC7372">
        <w:rPr>
          <w:color w:val="231F20"/>
        </w:rPr>
        <w:t xml:space="preserve"> </w:t>
      </w:r>
      <w:hyperlink r:id="rId66" w:history="1">
        <w:r w:rsidR="00C7731C" w:rsidRPr="00314497">
          <w:rPr>
            <w:rStyle w:val="Hyperlink"/>
          </w:rPr>
          <w:t>www.ccma.vic.gov.au</w:t>
        </w:r>
      </w:hyperlink>
    </w:p>
    <w:p w:rsidR="006A7A3F" w:rsidRDefault="00BC7372">
      <w:pPr>
        <w:pStyle w:val="Heading7"/>
        <w:spacing w:before="172"/>
      </w:pPr>
      <w:r>
        <w:rPr>
          <w:color w:val="231F20"/>
        </w:rPr>
        <w:t>East Gippsland CMA</w:t>
      </w:r>
    </w:p>
    <w:p w:rsidR="006A7A3F" w:rsidRDefault="00BC7372">
      <w:pPr>
        <w:pStyle w:val="BodyText"/>
        <w:spacing w:before="10"/>
      </w:pPr>
      <w:r>
        <w:rPr>
          <w:color w:val="231F20"/>
        </w:rPr>
        <w:t>574 Main Street, Bairnsdale, Victoria 3875</w:t>
      </w:r>
    </w:p>
    <w:p w:rsidR="006A7A3F" w:rsidRDefault="00BC7372">
      <w:pPr>
        <w:pStyle w:val="BodyText"/>
        <w:spacing w:before="10"/>
      </w:pPr>
      <w:r>
        <w:rPr>
          <w:color w:val="231F20"/>
        </w:rPr>
        <w:t>PO Box 1012, Bairnsdale, Victoria 3875</w:t>
      </w:r>
    </w:p>
    <w:p w:rsidR="006A7A3F" w:rsidRDefault="00BC7372">
      <w:pPr>
        <w:pStyle w:val="BodyText"/>
        <w:spacing w:before="10"/>
      </w:pPr>
      <w:r>
        <w:rPr>
          <w:color w:val="231F20"/>
        </w:rPr>
        <w:t>(03) 5152 0600</w:t>
      </w:r>
    </w:p>
    <w:p w:rsidR="006A7A3F" w:rsidRDefault="002D2A51" w:rsidP="00C7731C">
      <w:pPr>
        <w:pStyle w:val="BodyText"/>
        <w:spacing w:before="10" w:line="249" w:lineRule="auto"/>
        <w:ind w:right="7514"/>
      </w:pPr>
      <w:hyperlink r:id="rId67">
        <w:r w:rsidR="00BC7372">
          <w:rPr>
            <w:color w:val="231F20"/>
          </w:rPr>
          <w:t>egcma@egcma.com.au</w:t>
        </w:r>
      </w:hyperlink>
      <w:r w:rsidR="00BC7372">
        <w:rPr>
          <w:color w:val="231F20"/>
        </w:rPr>
        <w:t xml:space="preserve"> </w:t>
      </w:r>
      <w:hyperlink r:id="rId68">
        <w:r w:rsidR="00BC7372">
          <w:rPr>
            <w:color w:val="231F20"/>
          </w:rPr>
          <w:t>www.egcma.com.au</w:t>
        </w:r>
      </w:hyperlink>
    </w:p>
    <w:p w:rsidR="006A7A3F" w:rsidRDefault="00BC7372">
      <w:pPr>
        <w:pStyle w:val="Heading7"/>
        <w:spacing w:before="172"/>
      </w:pPr>
      <w:r>
        <w:rPr>
          <w:color w:val="231F20"/>
        </w:rPr>
        <w:t>Glenelg Hopkins CMA</w:t>
      </w:r>
    </w:p>
    <w:p w:rsidR="006A7A3F" w:rsidRDefault="00BC7372">
      <w:pPr>
        <w:pStyle w:val="BodyText"/>
        <w:spacing w:before="10"/>
      </w:pPr>
      <w:r>
        <w:rPr>
          <w:color w:val="231F20"/>
        </w:rPr>
        <w:t>79 French Street, Hamilton, Victoria 3300</w:t>
      </w:r>
    </w:p>
    <w:p w:rsidR="006A7A3F" w:rsidRDefault="00BC7372">
      <w:pPr>
        <w:pStyle w:val="BodyText"/>
        <w:spacing w:before="10"/>
      </w:pPr>
      <w:r>
        <w:rPr>
          <w:color w:val="231F20"/>
        </w:rPr>
        <w:t>PO Box 502, Hamilton, Victoria 3300</w:t>
      </w:r>
    </w:p>
    <w:p w:rsidR="006A7A3F" w:rsidRDefault="00BC7372">
      <w:pPr>
        <w:pStyle w:val="BodyText"/>
        <w:spacing w:before="10"/>
      </w:pPr>
      <w:r>
        <w:rPr>
          <w:color w:val="231F20"/>
        </w:rPr>
        <w:t>(03) 5571 2526</w:t>
      </w:r>
    </w:p>
    <w:p w:rsidR="006A7A3F" w:rsidRDefault="002D2A51" w:rsidP="00C7731C">
      <w:pPr>
        <w:pStyle w:val="BodyText"/>
        <w:spacing w:before="10" w:line="249" w:lineRule="auto"/>
        <w:ind w:right="7231"/>
      </w:pPr>
      <w:hyperlink r:id="rId69">
        <w:r w:rsidR="00BC7372">
          <w:rPr>
            <w:color w:val="231F20"/>
          </w:rPr>
          <w:t>ghcma@ghcma.vic.gov.au</w:t>
        </w:r>
      </w:hyperlink>
      <w:r w:rsidR="00BC7372">
        <w:rPr>
          <w:color w:val="231F20"/>
        </w:rPr>
        <w:t xml:space="preserve"> </w:t>
      </w:r>
      <w:hyperlink r:id="rId70">
        <w:r w:rsidR="00BC7372">
          <w:rPr>
            <w:color w:val="231F20"/>
          </w:rPr>
          <w:t>www.ghcma.vic.gov.au</w:t>
        </w:r>
      </w:hyperlink>
    </w:p>
    <w:p w:rsidR="006A7A3F" w:rsidRDefault="00BC7372">
      <w:pPr>
        <w:pStyle w:val="Heading7"/>
        <w:spacing w:before="172"/>
      </w:pPr>
      <w:r>
        <w:rPr>
          <w:color w:val="231F20"/>
        </w:rPr>
        <w:t>Goulburn Broken CMA</w:t>
      </w:r>
    </w:p>
    <w:p w:rsidR="006A7A3F" w:rsidRDefault="00BC7372">
      <w:pPr>
        <w:pStyle w:val="BodyText"/>
        <w:spacing w:before="10"/>
      </w:pPr>
      <w:r>
        <w:rPr>
          <w:color w:val="231F20"/>
        </w:rPr>
        <w:t>168 Welsford Street, Shepparton, Victoria 3630</w:t>
      </w:r>
    </w:p>
    <w:p w:rsidR="006A7A3F" w:rsidRDefault="00BC7372">
      <w:pPr>
        <w:pStyle w:val="BodyText"/>
        <w:spacing w:before="10"/>
      </w:pPr>
      <w:r>
        <w:rPr>
          <w:color w:val="231F20"/>
        </w:rPr>
        <w:t>PO Box 1752, Shepparton, Victoria 3630</w:t>
      </w:r>
    </w:p>
    <w:p w:rsidR="006A7A3F" w:rsidRDefault="00BC7372">
      <w:pPr>
        <w:pStyle w:val="BodyText"/>
        <w:spacing w:before="10"/>
      </w:pPr>
      <w:r>
        <w:rPr>
          <w:color w:val="231F20"/>
        </w:rPr>
        <w:t>(03) 5822 7700</w:t>
      </w:r>
    </w:p>
    <w:p w:rsidR="006A7A3F" w:rsidRDefault="002D2A51" w:rsidP="00C7731C">
      <w:pPr>
        <w:pStyle w:val="BodyText"/>
        <w:spacing w:before="10" w:line="249" w:lineRule="auto"/>
        <w:ind w:right="7231"/>
      </w:pPr>
      <w:hyperlink r:id="rId71">
        <w:r w:rsidR="00BC7372">
          <w:rPr>
            <w:color w:val="231F20"/>
          </w:rPr>
          <w:t>reception@gbcma.vic.gov.au</w:t>
        </w:r>
      </w:hyperlink>
      <w:r w:rsidR="00BC7372">
        <w:rPr>
          <w:color w:val="231F20"/>
        </w:rPr>
        <w:t xml:space="preserve"> </w:t>
      </w:r>
      <w:hyperlink r:id="rId72">
        <w:r w:rsidR="00BC7372">
          <w:rPr>
            <w:color w:val="231F20"/>
          </w:rPr>
          <w:t>www.gbcma.vic.gov.au</w:t>
        </w:r>
      </w:hyperlink>
    </w:p>
    <w:p w:rsidR="006A7A3F" w:rsidRDefault="00BC7372">
      <w:pPr>
        <w:pStyle w:val="Heading7"/>
        <w:spacing w:before="171"/>
      </w:pPr>
      <w:r>
        <w:rPr>
          <w:color w:val="231F20"/>
        </w:rPr>
        <w:t>Mallee CMA</w:t>
      </w:r>
    </w:p>
    <w:p w:rsidR="006A7A3F" w:rsidRDefault="00BC7372">
      <w:pPr>
        <w:pStyle w:val="BodyText"/>
        <w:spacing w:before="10" w:line="249" w:lineRule="auto"/>
        <w:ind w:right="2919"/>
      </w:pPr>
      <w:r>
        <w:rPr>
          <w:color w:val="231F20"/>
        </w:rPr>
        <w:t>DPI Complex, Corner Koorlong Avenue and Eleventh Street, Irymple, Victoria 3498 PO Box 5017, Mildura, Victoria 3502</w:t>
      </w:r>
    </w:p>
    <w:p w:rsidR="006A7A3F" w:rsidRDefault="00BC7372">
      <w:pPr>
        <w:pStyle w:val="BodyText"/>
        <w:spacing w:before="2"/>
      </w:pPr>
      <w:r>
        <w:rPr>
          <w:color w:val="231F20"/>
        </w:rPr>
        <w:t>(03) 5051 4377</w:t>
      </w:r>
    </w:p>
    <w:p w:rsidR="006A7A3F" w:rsidRDefault="002D2A51" w:rsidP="00C7731C">
      <w:pPr>
        <w:pStyle w:val="BodyText"/>
        <w:spacing w:before="10" w:line="249" w:lineRule="auto"/>
        <w:ind w:right="6947"/>
      </w:pPr>
      <w:hyperlink r:id="rId73">
        <w:r w:rsidR="00BC7372">
          <w:rPr>
            <w:color w:val="231F20"/>
          </w:rPr>
          <w:t>reception@malleecma.com.au</w:t>
        </w:r>
      </w:hyperlink>
      <w:r w:rsidR="00BC7372">
        <w:rPr>
          <w:color w:val="231F20"/>
        </w:rPr>
        <w:t xml:space="preserve"> </w:t>
      </w:r>
      <w:hyperlink r:id="rId74">
        <w:r w:rsidR="00BC7372">
          <w:rPr>
            <w:color w:val="231F20"/>
          </w:rPr>
          <w:t>www.malleecma.vic.gov.au</w:t>
        </w:r>
      </w:hyperlink>
    </w:p>
    <w:p w:rsidR="006A7A3F" w:rsidRDefault="00BC7372">
      <w:pPr>
        <w:pStyle w:val="Heading7"/>
        <w:spacing w:before="172"/>
      </w:pPr>
      <w:r>
        <w:rPr>
          <w:color w:val="231F20"/>
        </w:rPr>
        <w:t>Melbourne Water</w:t>
      </w:r>
    </w:p>
    <w:p w:rsidR="006A7A3F" w:rsidRDefault="00BC7372">
      <w:pPr>
        <w:pStyle w:val="BodyText"/>
        <w:spacing w:before="10" w:line="249" w:lineRule="auto"/>
        <w:ind w:right="6230"/>
      </w:pPr>
      <w:r>
        <w:rPr>
          <w:color w:val="231F20"/>
        </w:rPr>
        <w:t>990 La Trobe Street, Docklands, Victoria 3008 PO Box 4342, Melbourne, Victoria 3001</w:t>
      </w:r>
    </w:p>
    <w:p w:rsidR="006A7A3F" w:rsidRDefault="00BC7372">
      <w:pPr>
        <w:pStyle w:val="BodyText"/>
        <w:spacing w:before="1"/>
      </w:pPr>
      <w:r>
        <w:rPr>
          <w:color w:val="231F20"/>
        </w:rPr>
        <w:t>131 722</w:t>
      </w:r>
    </w:p>
    <w:p w:rsidR="006A7A3F" w:rsidRDefault="002D2A51" w:rsidP="00C7731C">
      <w:pPr>
        <w:pStyle w:val="BodyText"/>
        <w:spacing w:before="10" w:line="249" w:lineRule="auto"/>
        <w:ind w:right="5813"/>
      </w:pPr>
      <w:hyperlink r:id="rId75">
        <w:r w:rsidR="00BC7372">
          <w:rPr>
            <w:color w:val="231F20"/>
          </w:rPr>
          <w:t>enquiry@melbournewater.com.au</w:t>
        </w:r>
      </w:hyperlink>
      <w:r w:rsidR="00BC7372">
        <w:rPr>
          <w:color w:val="231F20"/>
        </w:rPr>
        <w:t xml:space="preserve"> </w:t>
      </w:r>
      <w:hyperlink r:id="rId76">
        <w:r w:rsidR="00BC7372">
          <w:rPr>
            <w:color w:val="231F20"/>
          </w:rPr>
          <w:t>www.melbournewater.com.au</w:t>
        </w:r>
      </w:hyperlink>
    </w:p>
    <w:p w:rsidR="00C7731C" w:rsidRDefault="00C7731C">
      <w:pPr>
        <w:rPr>
          <w:b/>
          <w:bCs/>
          <w:color w:val="231F20"/>
          <w:sz w:val="20"/>
          <w:szCs w:val="20"/>
        </w:rPr>
      </w:pPr>
      <w:r>
        <w:rPr>
          <w:color w:val="231F20"/>
        </w:rPr>
        <w:br w:type="page"/>
      </w:r>
    </w:p>
    <w:p w:rsidR="006A7A3F" w:rsidRDefault="00BC7372">
      <w:pPr>
        <w:pStyle w:val="Heading7"/>
        <w:spacing w:before="172"/>
      </w:pPr>
      <w:r>
        <w:rPr>
          <w:color w:val="231F20"/>
        </w:rPr>
        <w:t>North Central CMA</w:t>
      </w:r>
    </w:p>
    <w:p w:rsidR="006A7A3F" w:rsidRDefault="00BC7372">
      <w:pPr>
        <w:pStyle w:val="BodyText"/>
        <w:spacing w:before="10"/>
      </w:pPr>
      <w:r>
        <w:rPr>
          <w:color w:val="231F20"/>
        </w:rPr>
        <w:t>628–634 Midland Highway, Huntly, Victoria 3551</w:t>
      </w:r>
    </w:p>
    <w:p w:rsidR="006A7A3F" w:rsidRDefault="00BC7372">
      <w:pPr>
        <w:pStyle w:val="BodyText"/>
        <w:spacing w:before="10"/>
      </w:pPr>
      <w:r>
        <w:rPr>
          <w:color w:val="231F20"/>
        </w:rPr>
        <w:t>PO Box 18, Huntly, Victoria 3551</w:t>
      </w:r>
    </w:p>
    <w:p w:rsidR="006A7A3F" w:rsidRDefault="00BC7372">
      <w:pPr>
        <w:pStyle w:val="BodyText"/>
        <w:spacing w:before="10"/>
      </w:pPr>
      <w:r>
        <w:rPr>
          <w:color w:val="231F20"/>
        </w:rPr>
        <w:t>(03) 5448 7124</w:t>
      </w:r>
    </w:p>
    <w:p w:rsidR="006A7A3F" w:rsidRDefault="002D2A51" w:rsidP="00C7731C">
      <w:pPr>
        <w:pStyle w:val="BodyText"/>
        <w:spacing w:before="10" w:line="249" w:lineRule="auto"/>
        <w:ind w:right="7514"/>
      </w:pPr>
      <w:hyperlink r:id="rId77">
        <w:r w:rsidR="00BC7372">
          <w:rPr>
            <w:color w:val="231F20"/>
          </w:rPr>
          <w:t>info@nccma.vic.gov.au</w:t>
        </w:r>
      </w:hyperlink>
      <w:r w:rsidR="00BC7372">
        <w:rPr>
          <w:color w:val="231F20"/>
        </w:rPr>
        <w:t xml:space="preserve"> </w:t>
      </w:r>
      <w:hyperlink r:id="rId78">
        <w:r w:rsidR="00BC7372">
          <w:rPr>
            <w:color w:val="231F20"/>
          </w:rPr>
          <w:t>www.nccma.vic.gov.au</w:t>
        </w:r>
      </w:hyperlink>
    </w:p>
    <w:p w:rsidR="006A7A3F" w:rsidRDefault="00BC7372">
      <w:pPr>
        <w:pStyle w:val="Heading7"/>
        <w:spacing w:before="172"/>
      </w:pPr>
      <w:r>
        <w:rPr>
          <w:color w:val="231F20"/>
        </w:rPr>
        <w:t>North East CMA</w:t>
      </w:r>
    </w:p>
    <w:p w:rsidR="006A7A3F" w:rsidRDefault="00BC7372">
      <w:pPr>
        <w:pStyle w:val="BodyText"/>
        <w:spacing w:before="10"/>
      </w:pPr>
      <w:r>
        <w:rPr>
          <w:color w:val="231F20"/>
        </w:rPr>
        <w:t>Level 1, 104 Hovell Street, Wodonga, Victoria 3690</w:t>
      </w:r>
    </w:p>
    <w:p w:rsidR="006A7A3F" w:rsidRDefault="00BC7372">
      <w:pPr>
        <w:pStyle w:val="BodyText"/>
        <w:spacing w:before="70"/>
      </w:pPr>
      <w:r>
        <w:rPr>
          <w:color w:val="231F20"/>
        </w:rPr>
        <w:t>PO Box 616, Wodonga Victoria 3689</w:t>
      </w:r>
    </w:p>
    <w:p w:rsidR="006A7A3F" w:rsidRDefault="00BC7372">
      <w:pPr>
        <w:pStyle w:val="BodyText"/>
        <w:spacing w:before="10"/>
      </w:pPr>
      <w:r>
        <w:rPr>
          <w:color w:val="231F20"/>
        </w:rPr>
        <w:t>1300 216 513</w:t>
      </w:r>
    </w:p>
    <w:p w:rsidR="006A7A3F" w:rsidRDefault="002D2A51" w:rsidP="00C7731C">
      <w:pPr>
        <w:pStyle w:val="BodyText"/>
        <w:spacing w:before="10" w:line="249" w:lineRule="auto"/>
        <w:ind w:right="7373"/>
      </w:pPr>
      <w:hyperlink r:id="rId79">
        <w:r w:rsidR="00BC7372">
          <w:rPr>
            <w:color w:val="231F20"/>
            <w:spacing w:val="-1"/>
          </w:rPr>
          <w:t>necma@necma.vic.gov.au</w:t>
        </w:r>
      </w:hyperlink>
      <w:r w:rsidR="00BC7372">
        <w:rPr>
          <w:color w:val="231F20"/>
          <w:spacing w:val="-1"/>
        </w:rPr>
        <w:t xml:space="preserve"> </w:t>
      </w:r>
      <w:hyperlink r:id="rId80">
        <w:r w:rsidR="00BC7372">
          <w:rPr>
            <w:color w:val="231F20"/>
          </w:rPr>
          <w:t>www.necma.vic.gov.au</w:t>
        </w:r>
      </w:hyperlink>
    </w:p>
    <w:p w:rsidR="006A7A3F" w:rsidRDefault="00BC7372">
      <w:pPr>
        <w:pStyle w:val="Heading7"/>
        <w:spacing w:before="172"/>
      </w:pPr>
      <w:r>
        <w:rPr>
          <w:color w:val="231F20"/>
        </w:rPr>
        <w:t>West Gippsland</w:t>
      </w:r>
      <w:r>
        <w:rPr>
          <w:color w:val="231F20"/>
          <w:spacing w:val="-10"/>
        </w:rPr>
        <w:t xml:space="preserve"> </w:t>
      </w:r>
      <w:r>
        <w:rPr>
          <w:color w:val="231F20"/>
        </w:rPr>
        <w:t>CMA</w:t>
      </w:r>
    </w:p>
    <w:p w:rsidR="006A7A3F" w:rsidRDefault="00BC7372">
      <w:pPr>
        <w:pStyle w:val="BodyText"/>
        <w:spacing w:before="10"/>
      </w:pPr>
      <w:r>
        <w:rPr>
          <w:color w:val="231F20"/>
        </w:rPr>
        <w:t>16 Hotham Street, Traralgon, Victoria 3844</w:t>
      </w:r>
    </w:p>
    <w:p w:rsidR="006A7A3F" w:rsidRDefault="00BC7372">
      <w:pPr>
        <w:pStyle w:val="BodyText"/>
        <w:spacing w:before="10"/>
      </w:pPr>
      <w:r>
        <w:rPr>
          <w:color w:val="231F20"/>
        </w:rPr>
        <w:t>PO Box 1374, Traralgon, Victoria 3844</w:t>
      </w:r>
    </w:p>
    <w:p w:rsidR="006A7A3F" w:rsidRDefault="00BC7372">
      <w:pPr>
        <w:pStyle w:val="BodyText"/>
        <w:spacing w:before="10"/>
      </w:pPr>
      <w:r>
        <w:rPr>
          <w:color w:val="231F20"/>
        </w:rPr>
        <w:t>1300 094 262</w:t>
      </w:r>
    </w:p>
    <w:p w:rsidR="006A7A3F" w:rsidRDefault="002D2A51">
      <w:pPr>
        <w:pStyle w:val="BodyText"/>
        <w:spacing w:before="10" w:line="249" w:lineRule="auto"/>
        <w:ind w:right="5778"/>
      </w:pPr>
      <w:hyperlink r:id="rId81">
        <w:r w:rsidR="00BC7372">
          <w:rPr>
            <w:color w:val="231F20"/>
          </w:rPr>
          <w:t>westgippy@wgcma.vic.gov.au</w:t>
        </w:r>
      </w:hyperlink>
      <w:r w:rsidR="00BC7372">
        <w:rPr>
          <w:color w:val="231F20"/>
        </w:rPr>
        <w:t xml:space="preserve"> </w:t>
      </w:r>
      <w:hyperlink r:id="rId82">
        <w:r w:rsidR="00BC7372">
          <w:rPr>
            <w:color w:val="231F20"/>
          </w:rPr>
          <w:t>www.wgcma.vic.gov.au</w:t>
        </w:r>
      </w:hyperlink>
    </w:p>
    <w:p w:rsidR="006A7A3F" w:rsidRDefault="00BC7372">
      <w:pPr>
        <w:pStyle w:val="Heading7"/>
        <w:spacing w:before="172"/>
      </w:pPr>
      <w:r>
        <w:rPr>
          <w:color w:val="231F20"/>
        </w:rPr>
        <w:t>Wimmera CMA</w:t>
      </w:r>
    </w:p>
    <w:p w:rsidR="006A7A3F" w:rsidRDefault="00BC7372">
      <w:pPr>
        <w:pStyle w:val="BodyText"/>
        <w:spacing w:before="10"/>
      </w:pPr>
      <w:r>
        <w:rPr>
          <w:color w:val="231F20"/>
        </w:rPr>
        <w:t>24 Darlot Street, Horsham, Victoria 3400</w:t>
      </w:r>
    </w:p>
    <w:p w:rsidR="006A7A3F" w:rsidRDefault="00BC7372">
      <w:pPr>
        <w:pStyle w:val="BodyText"/>
        <w:spacing w:before="10"/>
      </w:pPr>
      <w:r>
        <w:rPr>
          <w:color w:val="231F20"/>
        </w:rPr>
        <w:t>PO Box 479, Horsham, Victoria 3402</w:t>
      </w:r>
    </w:p>
    <w:p w:rsidR="006A7A3F" w:rsidRDefault="00BC7372">
      <w:pPr>
        <w:pStyle w:val="BodyText"/>
        <w:spacing w:before="10"/>
      </w:pPr>
      <w:r>
        <w:rPr>
          <w:color w:val="231F20"/>
        </w:rPr>
        <w:t>(03) 5382 1544</w:t>
      </w:r>
    </w:p>
    <w:p w:rsidR="006A7A3F" w:rsidRDefault="002D2A51">
      <w:pPr>
        <w:pStyle w:val="BodyText"/>
        <w:spacing w:before="10" w:line="249" w:lineRule="auto"/>
        <w:ind w:right="7675"/>
      </w:pPr>
      <w:hyperlink r:id="rId83">
        <w:r w:rsidR="00BC7372">
          <w:rPr>
            <w:color w:val="231F20"/>
          </w:rPr>
          <w:t>wcma@wcma.vic.gov.au</w:t>
        </w:r>
      </w:hyperlink>
      <w:r w:rsidR="00BC7372">
        <w:rPr>
          <w:color w:val="231F20"/>
        </w:rPr>
        <w:t xml:space="preserve"> </w:t>
      </w:r>
      <w:hyperlink r:id="rId84">
        <w:r w:rsidR="00BC7372">
          <w:rPr>
            <w:color w:val="231F20"/>
          </w:rPr>
          <w:t>www.wcma.vic.gov.au</w:t>
        </w:r>
      </w:hyperlink>
    </w:p>
    <w:p w:rsidR="006A7A3F" w:rsidRDefault="00BC7372">
      <w:pPr>
        <w:pStyle w:val="BodyText"/>
        <w:spacing w:line="249" w:lineRule="auto"/>
        <w:ind w:right="1063"/>
      </w:pPr>
      <w:r>
        <w:rPr>
          <w:color w:val="231F20"/>
        </w:rPr>
        <w:t>For specific information about the other environmental water holders in Victoria, please contact one of the following organisations.</w:t>
      </w:r>
    </w:p>
    <w:p w:rsidR="006A7A3F" w:rsidRDefault="00BC7372">
      <w:pPr>
        <w:pStyle w:val="Heading7"/>
        <w:spacing w:before="171"/>
      </w:pPr>
      <w:r>
        <w:rPr>
          <w:color w:val="231F20"/>
        </w:rPr>
        <w:t>Murray–Darling Basin Authority</w:t>
      </w:r>
    </w:p>
    <w:p w:rsidR="006A7A3F" w:rsidRDefault="00BC7372">
      <w:pPr>
        <w:pStyle w:val="BodyText"/>
        <w:spacing w:before="10" w:line="249" w:lineRule="auto"/>
        <w:ind w:right="5778"/>
      </w:pPr>
      <w:r>
        <w:rPr>
          <w:color w:val="231F20"/>
        </w:rPr>
        <w:t>Level 4, 51 Allara Street, Canberra City, ACT 2601 GPO Box 1801, Canberra City, ACT 2061</w:t>
      </w:r>
    </w:p>
    <w:p w:rsidR="006A7A3F" w:rsidRDefault="00BC7372">
      <w:pPr>
        <w:pStyle w:val="BodyText"/>
        <w:spacing w:before="2"/>
      </w:pPr>
      <w:r>
        <w:rPr>
          <w:color w:val="231F20"/>
        </w:rPr>
        <w:t>(02) 6279 0100</w:t>
      </w:r>
    </w:p>
    <w:p w:rsidR="006A7A3F" w:rsidRDefault="002D2A51" w:rsidP="00C7731C">
      <w:pPr>
        <w:pStyle w:val="BodyText"/>
        <w:spacing w:before="10" w:line="249" w:lineRule="auto"/>
        <w:ind w:right="7656"/>
      </w:pPr>
      <w:hyperlink r:id="rId85">
        <w:r w:rsidR="00BC7372">
          <w:rPr>
            <w:color w:val="231F20"/>
            <w:spacing w:val="-1"/>
          </w:rPr>
          <w:t>inquiries@mdba.gov.au</w:t>
        </w:r>
      </w:hyperlink>
      <w:r w:rsidR="00BC7372">
        <w:rPr>
          <w:color w:val="231F20"/>
          <w:spacing w:val="-1"/>
        </w:rPr>
        <w:t xml:space="preserve"> </w:t>
      </w:r>
      <w:hyperlink r:id="rId86">
        <w:r w:rsidR="00BC7372">
          <w:rPr>
            <w:color w:val="231F20"/>
          </w:rPr>
          <w:t>www.mdba.gov.au</w:t>
        </w:r>
      </w:hyperlink>
    </w:p>
    <w:p w:rsidR="006A7A3F" w:rsidRDefault="00BC7372">
      <w:pPr>
        <w:spacing w:before="172" w:line="249" w:lineRule="auto"/>
        <w:ind w:left="210" w:right="6230"/>
        <w:rPr>
          <w:sz w:val="20"/>
        </w:rPr>
      </w:pPr>
      <w:r>
        <w:rPr>
          <w:b/>
          <w:color w:val="231F20"/>
          <w:sz w:val="20"/>
        </w:rPr>
        <w:t xml:space="preserve">Commonwealth Environmental </w:t>
      </w:r>
      <w:r>
        <w:rPr>
          <w:b/>
          <w:color w:val="231F20"/>
          <w:spacing w:val="-3"/>
          <w:sz w:val="20"/>
        </w:rPr>
        <w:t xml:space="preserve">Water </w:t>
      </w:r>
      <w:r>
        <w:rPr>
          <w:b/>
          <w:color w:val="231F20"/>
          <w:sz w:val="20"/>
        </w:rPr>
        <w:t xml:space="preserve">Office </w:t>
      </w:r>
      <w:r>
        <w:rPr>
          <w:color w:val="231F20"/>
          <w:sz w:val="20"/>
        </w:rPr>
        <w:t xml:space="preserve">John Gorton Building, King Edward </w:t>
      </w:r>
      <w:r>
        <w:rPr>
          <w:color w:val="231F20"/>
          <w:spacing w:val="-4"/>
          <w:sz w:val="20"/>
        </w:rPr>
        <w:t xml:space="preserve">Terrace, </w:t>
      </w:r>
      <w:r>
        <w:rPr>
          <w:color w:val="231F20"/>
          <w:sz w:val="20"/>
        </w:rPr>
        <w:t>Parkes, ACT</w:t>
      </w:r>
      <w:r>
        <w:rPr>
          <w:color w:val="231F20"/>
          <w:spacing w:val="-16"/>
          <w:sz w:val="20"/>
        </w:rPr>
        <w:t xml:space="preserve"> </w:t>
      </w:r>
      <w:r>
        <w:rPr>
          <w:color w:val="231F20"/>
          <w:sz w:val="20"/>
        </w:rPr>
        <w:t>2600</w:t>
      </w:r>
    </w:p>
    <w:p w:rsidR="006A7A3F" w:rsidRDefault="00BC7372">
      <w:pPr>
        <w:pStyle w:val="BodyText"/>
        <w:spacing w:before="2"/>
      </w:pPr>
      <w:r>
        <w:rPr>
          <w:color w:val="231F20"/>
        </w:rPr>
        <w:t>GPO Box 787, Canberra, ACT 2061</w:t>
      </w:r>
    </w:p>
    <w:p w:rsidR="006A7A3F" w:rsidRDefault="00BC7372">
      <w:pPr>
        <w:pStyle w:val="BodyText"/>
        <w:spacing w:before="10"/>
      </w:pPr>
      <w:r>
        <w:rPr>
          <w:color w:val="231F20"/>
        </w:rPr>
        <w:t>1800 218 478</w:t>
      </w:r>
    </w:p>
    <w:p w:rsidR="006A7A3F" w:rsidRDefault="002D2A51">
      <w:pPr>
        <w:pStyle w:val="BodyText"/>
        <w:spacing w:before="10" w:line="249" w:lineRule="auto"/>
        <w:ind w:right="5778"/>
      </w:pPr>
      <w:hyperlink r:id="rId87">
        <w:r w:rsidR="00BC7372">
          <w:rPr>
            <w:color w:val="231F20"/>
          </w:rPr>
          <w:t>ewater@environment.gov.au</w:t>
        </w:r>
      </w:hyperlink>
      <w:r w:rsidR="00BC7372">
        <w:rPr>
          <w:color w:val="231F20"/>
        </w:rPr>
        <w:t xml:space="preserve"> </w:t>
      </w:r>
      <w:hyperlink r:id="rId88">
        <w:r w:rsidR="00BC7372">
          <w:rPr>
            <w:color w:val="231F20"/>
          </w:rPr>
          <w:t>www.environment.gov.au/water/cewo</w:t>
        </w:r>
      </w:hyperlink>
    </w:p>
    <w:sectPr w:rsidR="006A7A3F" w:rsidSect="00C92D74">
      <w:pgSz w:w="11910" w:h="16840"/>
      <w:pgMar w:top="1701"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FE1" w:rsidRDefault="00134FE1" w:rsidP="00BC7372">
      <w:r>
        <w:separator/>
      </w:r>
    </w:p>
  </w:endnote>
  <w:endnote w:type="continuationSeparator" w:id="0">
    <w:p w:rsidR="00134FE1" w:rsidRDefault="00134FE1" w:rsidP="00BC7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swiss"/>
    <w:notTrueType/>
    <w:pitch w:val="variable"/>
    <w:sig w:usb0="00000003" w:usb1="00000000" w:usb2="00000000" w:usb3="00000000" w:csb0="00000001" w:csb1="00000000"/>
  </w:font>
  <w:font w:name="HelveticaNeueLTStd-Lt">
    <w:altName w:val="Arial"/>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 Std Med">
    <w:altName w:val="Arial"/>
    <w:panose1 w:val="00000000000000000000"/>
    <w:charset w:val="4D"/>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Std-LtIt">
    <w:altName w:val="Arial"/>
    <w:panose1 w:val="00000000000000000000"/>
    <w:charset w:val="4D"/>
    <w:family w:val="swiss"/>
    <w:notTrueType/>
    <w:pitch w:val="variable"/>
    <w:sig w:usb0="00000003" w:usb1="00000000" w:usb2="00000000" w:usb3="00000000" w:csb0="00000001" w:csb1="00000000"/>
  </w:font>
  <w:font w:name="Helvetica Neue LT Std 75">
    <w:altName w:val="Arial"/>
    <w:panose1 w:val="00000000000000000000"/>
    <w:charset w:val="4D"/>
    <w:family w:val="swiss"/>
    <w:notTrueType/>
    <w:pitch w:val="variable"/>
    <w:sig w:usb0="00000003" w:usb1="00000000" w:usb2="00000000" w:usb3="00000000" w:csb0="00000001" w:csb1="00000000"/>
  </w:font>
  <w:font w:name="HelveticaNeueLTStd-Roman">
    <w:altName w:val="Arial"/>
    <w:panose1 w:val="00000000000000000000"/>
    <w:charset w:val="4D"/>
    <w:family w:val="swiss"/>
    <w:notTrueType/>
    <w:pitch w:val="variable"/>
    <w:sig w:usb0="00000003" w:usb1="00000000" w:usb2="00000000" w:usb3="00000000" w:csb0="00000001" w:csb1="00000000"/>
  </w:font>
  <w:font w:name="HelveticaNeueLTStd-Hv">
    <w:altName w:val="Arial"/>
    <w:panose1 w:val="00000000000000000000"/>
    <w:charset w:val="4D"/>
    <w:family w:val="swiss"/>
    <w:notTrueType/>
    <w:pitch w:val="variable"/>
    <w:sig w:usb0="00000003" w:usb1="00000000" w:usb2="00000000" w:usb3="00000000" w:csb0="00000001"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1640556"/>
      <w:docPartObj>
        <w:docPartGallery w:val="Page Numbers (Bottom of Page)"/>
        <w:docPartUnique/>
      </w:docPartObj>
    </w:sdtPr>
    <w:sdtEndPr>
      <w:rPr>
        <w:rStyle w:val="PageNumber"/>
      </w:rPr>
    </w:sdtEndPr>
    <w:sdtContent>
      <w:p w:rsidR="00837A32" w:rsidRDefault="00837A32" w:rsidP="00BC73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37A32" w:rsidRDefault="00837A32" w:rsidP="00BC73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3495845"/>
      <w:docPartObj>
        <w:docPartGallery w:val="Page Numbers (Bottom of Page)"/>
        <w:docPartUnique/>
      </w:docPartObj>
    </w:sdtPr>
    <w:sdtEndPr>
      <w:rPr>
        <w:rStyle w:val="PageNumber"/>
      </w:rPr>
    </w:sdtEndPr>
    <w:sdtContent>
      <w:p w:rsidR="00837A32" w:rsidRDefault="00837A32" w:rsidP="00BC73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37A32" w:rsidRDefault="00837A32" w:rsidP="00BC73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FE1" w:rsidRDefault="00134FE1" w:rsidP="00BC7372">
      <w:r>
        <w:separator/>
      </w:r>
    </w:p>
  </w:footnote>
  <w:footnote w:type="continuationSeparator" w:id="0">
    <w:p w:rsidR="00134FE1" w:rsidRDefault="00134FE1" w:rsidP="00BC7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951"/>
    <w:multiLevelType w:val="hybridMultilevel"/>
    <w:tmpl w:val="3B6E4726"/>
    <w:lvl w:ilvl="0" w:tplc="D50EFC5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E5443DC">
      <w:numFmt w:val="bullet"/>
      <w:lvlText w:val="•"/>
      <w:lvlJc w:val="left"/>
      <w:pPr>
        <w:ind w:left="541" w:hanging="217"/>
      </w:pPr>
      <w:rPr>
        <w:rFonts w:hint="default"/>
        <w:lang w:val="en-GB" w:eastAsia="en-GB" w:bidi="en-GB"/>
      </w:rPr>
    </w:lvl>
    <w:lvl w:ilvl="2" w:tplc="9E9089A2">
      <w:numFmt w:val="bullet"/>
      <w:lvlText w:val="•"/>
      <w:lvlJc w:val="left"/>
      <w:pPr>
        <w:ind w:left="782" w:hanging="217"/>
      </w:pPr>
      <w:rPr>
        <w:rFonts w:hint="default"/>
        <w:lang w:val="en-GB" w:eastAsia="en-GB" w:bidi="en-GB"/>
      </w:rPr>
    </w:lvl>
    <w:lvl w:ilvl="3" w:tplc="77D0EC0A">
      <w:numFmt w:val="bullet"/>
      <w:lvlText w:val="•"/>
      <w:lvlJc w:val="left"/>
      <w:pPr>
        <w:ind w:left="1023" w:hanging="217"/>
      </w:pPr>
      <w:rPr>
        <w:rFonts w:hint="default"/>
        <w:lang w:val="en-GB" w:eastAsia="en-GB" w:bidi="en-GB"/>
      </w:rPr>
    </w:lvl>
    <w:lvl w:ilvl="4" w:tplc="B9E29FB0">
      <w:numFmt w:val="bullet"/>
      <w:lvlText w:val="•"/>
      <w:lvlJc w:val="left"/>
      <w:pPr>
        <w:ind w:left="1264" w:hanging="217"/>
      </w:pPr>
      <w:rPr>
        <w:rFonts w:hint="default"/>
        <w:lang w:val="en-GB" w:eastAsia="en-GB" w:bidi="en-GB"/>
      </w:rPr>
    </w:lvl>
    <w:lvl w:ilvl="5" w:tplc="A3E0578E">
      <w:numFmt w:val="bullet"/>
      <w:lvlText w:val="•"/>
      <w:lvlJc w:val="left"/>
      <w:pPr>
        <w:ind w:left="1505" w:hanging="217"/>
      </w:pPr>
      <w:rPr>
        <w:rFonts w:hint="default"/>
        <w:lang w:val="en-GB" w:eastAsia="en-GB" w:bidi="en-GB"/>
      </w:rPr>
    </w:lvl>
    <w:lvl w:ilvl="6" w:tplc="5FA24A3C">
      <w:numFmt w:val="bullet"/>
      <w:lvlText w:val="•"/>
      <w:lvlJc w:val="left"/>
      <w:pPr>
        <w:ind w:left="1746" w:hanging="217"/>
      </w:pPr>
      <w:rPr>
        <w:rFonts w:hint="default"/>
        <w:lang w:val="en-GB" w:eastAsia="en-GB" w:bidi="en-GB"/>
      </w:rPr>
    </w:lvl>
    <w:lvl w:ilvl="7" w:tplc="405A110C">
      <w:numFmt w:val="bullet"/>
      <w:lvlText w:val="•"/>
      <w:lvlJc w:val="left"/>
      <w:pPr>
        <w:ind w:left="1987" w:hanging="217"/>
      </w:pPr>
      <w:rPr>
        <w:rFonts w:hint="default"/>
        <w:lang w:val="en-GB" w:eastAsia="en-GB" w:bidi="en-GB"/>
      </w:rPr>
    </w:lvl>
    <w:lvl w:ilvl="8" w:tplc="7C1494A2">
      <w:numFmt w:val="bullet"/>
      <w:lvlText w:val="•"/>
      <w:lvlJc w:val="left"/>
      <w:pPr>
        <w:ind w:left="2228" w:hanging="217"/>
      </w:pPr>
      <w:rPr>
        <w:rFonts w:hint="default"/>
        <w:lang w:val="en-GB" w:eastAsia="en-GB" w:bidi="en-GB"/>
      </w:rPr>
    </w:lvl>
  </w:abstractNum>
  <w:abstractNum w:abstractNumId="1" w15:restartNumberingAfterBreak="0">
    <w:nsid w:val="003B0DD6"/>
    <w:multiLevelType w:val="hybridMultilevel"/>
    <w:tmpl w:val="0746630A"/>
    <w:lvl w:ilvl="0" w:tplc="F8F2DD1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126C4E6">
      <w:numFmt w:val="bullet"/>
      <w:lvlText w:val="•"/>
      <w:lvlJc w:val="left"/>
      <w:pPr>
        <w:ind w:left="892" w:hanging="217"/>
      </w:pPr>
      <w:rPr>
        <w:rFonts w:hint="default"/>
        <w:lang w:val="en-GB" w:eastAsia="en-GB" w:bidi="en-GB"/>
      </w:rPr>
    </w:lvl>
    <w:lvl w:ilvl="2" w:tplc="2DA44444">
      <w:numFmt w:val="bullet"/>
      <w:lvlText w:val="•"/>
      <w:lvlJc w:val="left"/>
      <w:pPr>
        <w:ind w:left="1485" w:hanging="217"/>
      </w:pPr>
      <w:rPr>
        <w:rFonts w:hint="default"/>
        <w:lang w:val="en-GB" w:eastAsia="en-GB" w:bidi="en-GB"/>
      </w:rPr>
    </w:lvl>
    <w:lvl w:ilvl="3" w:tplc="33E0A464">
      <w:numFmt w:val="bullet"/>
      <w:lvlText w:val="•"/>
      <w:lvlJc w:val="left"/>
      <w:pPr>
        <w:ind w:left="2077" w:hanging="217"/>
      </w:pPr>
      <w:rPr>
        <w:rFonts w:hint="default"/>
        <w:lang w:val="en-GB" w:eastAsia="en-GB" w:bidi="en-GB"/>
      </w:rPr>
    </w:lvl>
    <w:lvl w:ilvl="4" w:tplc="23584D2E">
      <w:numFmt w:val="bullet"/>
      <w:lvlText w:val="•"/>
      <w:lvlJc w:val="left"/>
      <w:pPr>
        <w:ind w:left="2670" w:hanging="217"/>
      </w:pPr>
      <w:rPr>
        <w:rFonts w:hint="default"/>
        <w:lang w:val="en-GB" w:eastAsia="en-GB" w:bidi="en-GB"/>
      </w:rPr>
    </w:lvl>
    <w:lvl w:ilvl="5" w:tplc="751A05A8">
      <w:numFmt w:val="bullet"/>
      <w:lvlText w:val="•"/>
      <w:lvlJc w:val="left"/>
      <w:pPr>
        <w:ind w:left="3263" w:hanging="217"/>
      </w:pPr>
      <w:rPr>
        <w:rFonts w:hint="default"/>
        <w:lang w:val="en-GB" w:eastAsia="en-GB" w:bidi="en-GB"/>
      </w:rPr>
    </w:lvl>
    <w:lvl w:ilvl="6" w:tplc="41D63C30">
      <w:numFmt w:val="bullet"/>
      <w:lvlText w:val="•"/>
      <w:lvlJc w:val="left"/>
      <w:pPr>
        <w:ind w:left="3855" w:hanging="217"/>
      </w:pPr>
      <w:rPr>
        <w:rFonts w:hint="default"/>
        <w:lang w:val="en-GB" w:eastAsia="en-GB" w:bidi="en-GB"/>
      </w:rPr>
    </w:lvl>
    <w:lvl w:ilvl="7" w:tplc="6D3E5ED2">
      <w:numFmt w:val="bullet"/>
      <w:lvlText w:val="•"/>
      <w:lvlJc w:val="left"/>
      <w:pPr>
        <w:ind w:left="4448" w:hanging="217"/>
      </w:pPr>
      <w:rPr>
        <w:rFonts w:hint="default"/>
        <w:lang w:val="en-GB" w:eastAsia="en-GB" w:bidi="en-GB"/>
      </w:rPr>
    </w:lvl>
    <w:lvl w:ilvl="8" w:tplc="0C625206">
      <w:numFmt w:val="bullet"/>
      <w:lvlText w:val="•"/>
      <w:lvlJc w:val="left"/>
      <w:pPr>
        <w:ind w:left="5040" w:hanging="217"/>
      </w:pPr>
      <w:rPr>
        <w:rFonts w:hint="default"/>
        <w:lang w:val="en-GB" w:eastAsia="en-GB" w:bidi="en-GB"/>
      </w:rPr>
    </w:lvl>
  </w:abstractNum>
  <w:abstractNum w:abstractNumId="2" w15:restartNumberingAfterBreak="0">
    <w:nsid w:val="003E71C2"/>
    <w:multiLevelType w:val="hybridMultilevel"/>
    <w:tmpl w:val="F0684F02"/>
    <w:lvl w:ilvl="0" w:tplc="73EA515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A266B2AE">
      <w:numFmt w:val="bullet"/>
      <w:lvlText w:val="•"/>
      <w:lvlJc w:val="left"/>
      <w:pPr>
        <w:ind w:left="892" w:hanging="217"/>
      </w:pPr>
      <w:rPr>
        <w:rFonts w:hint="default"/>
        <w:lang w:val="en-GB" w:eastAsia="en-GB" w:bidi="en-GB"/>
      </w:rPr>
    </w:lvl>
    <w:lvl w:ilvl="2" w:tplc="43D824CA">
      <w:numFmt w:val="bullet"/>
      <w:lvlText w:val="•"/>
      <w:lvlJc w:val="left"/>
      <w:pPr>
        <w:ind w:left="1485" w:hanging="217"/>
      </w:pPr>
      <w:rPr>
        <w:rFonts w:hint="default"/>
        <w:lang w:val="en-GB" w:eastAsia="en-GB" w:bidi="en-GB"/>
      </w:rPr>
    </w:lvl>
    <w:lvl w:ilvl="3" w:tplc="DD6AD822">
      <w:numFmt w:val="bullet"/>
      <w:lvlText w:val="•"/>
      <w:lvlJc w:val="left"/>
      <w:pPr>
        <w:ind w:left="2077" w:hanging="217"/>
      </w:pPr>
      <w:rPr>
        <w:rFonts w:hint="default"/>
        <w:lang w:val="en-GB" w:eastAsia="en-GB" w:bidi="en-GB"/>
      </w:rPr>
    </w:lvl>
    <w:lvl w:ilvl="4" w:tplc="1E2A75F6">
      <w:numFmt w:val="bullet"/>
      <w:lvlText w:val="•"/>
      <w:lvlJc w:val="left"/>
      <w:pPr>
        <w:ind w:left="2670" w:hanging="217"/>
      </w:pPr>
      <w:rPr>
        <w:rFonts w:hint="default"/>
        <w:lang w:val="en-GB" w:eastAsia="en-GB" w:bidi="en-GB"/>
      </w:rPr>
    </w:lvl>
    <w:lvl w:ilvl="5" w:tplc="E3E2D366">
      <w:numFmt w:val="bullet"/>
      <w:lvlText w:val="•"/>
      <w:lvlJc w:val="left"/>
      <w:pPr>
        <w:ind w:left="3263" w:hanging="217"/>
      </w:pPr>
      <w:rPr>
        <w:rFonts w:hint="default"/>
        <w:lang w:val="en-GB" w:eastAsia="en-GB" w:bidi="en-GB"/>
      </w:rPr>
    </w:lvl>
    <w:lvl w:ilvl="6" w:tplc="6900A2F4">
      <w:numFmt w:val="bullet"/>
      <w:lvlText w:val="•"/>
      <w:lvlJc w:val="left"/>
      <w:pPr>
        <w:ind w:left="3855" w:hanging="217"/>
      </w:pPr>
      <w:rPr>
        <w:rFonts w:hint="default"/>
        <w:lang w:val="en-GB" w:eastAsia="en-GB" w:bidi="en-GB"/>
      </w:rPr>
    </w:lvl>
    <w:lvl w:ilvl="7" w:tplc="1DD4B96E">
      <w:numFmt w:val="bullet"/>
      <w:lvlText w:val="•"/>
      <w:lvlJc w:val="left"/>
      <w:pPr>
        <w:ind w:left="4448" w:hanging="217"/>
      </w:pPr>
      <w:rPr>
        <w:rFonts w:hint="default"/>
        <w:lang w:val="en-GB" w:eastAsia="en-GB" w:bidi="en-GB"/>
      </w:rPr>
    </w:lvl>
    <w:lvl w:ilvl="8" w:tplc="5A54A15A">
      <w:numFmt w:val="bullet"/>
      <w:lvlText w:val="•"/>
      <w:lvlJc w:val="left"/>
      <w:pPr>
        <w:ind w:left="5040" w:hanging="217"/>
      </w:pPr>
      <w:rPr>
        <w:rFonts w:hint="default"/>
        <w:lang w:val="en-GB" w:eastAsia="en-GB" w:bidi="en-GB"/>
      </w:rPr>
    </w:lvl>
  </w:abstractNum>
  <w:abstractNum w:abstractNumId="3" w15:restartNumberingAfterBreak="0">
    <w:nsid w:val="00450C68"/>
    <w:multiLevelType w:val="hybridMultilevel"/>
    <w:tmpl w:val="47305A12"/>
    <w:lvl w:ilvl="0" w:tplc="B9B4E29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9FE3C8C">
      <w:numFmt w:val="bullet"/>
      <w:lvlText w:val="•"/>
      <w:lvlJc w:val="left"/>
      <w:pPr>
        <w:ind w:left="439" w:hanging="217"/>
      </w:pPr>
      <w:rPr>
        <w:rFonts w:hint="default"/>
        <w:lang w:val="en-GB" w:eastAsia="en-GB" w:bidi="en-GB"/>
      </w:rPr>
    </w:lvl>
    <w:lvl w:ilvl="2" w:tplc="4106FA06">
      <w:numFmt w:val="bullet"/>
      <w:lvlText w:val="•"/>
      <w:lvlJc w:val="left"/>
      <w:pPr>
        <w:ind w:left="578" w:hanging="217"/>
      </w:pPr>
      <w:rPr>
        <w:rFonts w:hint="default"/>
        <w:lang w:val="en-GB" w:eastAsia="en-GB" w:bidi="en-GB"/>
      </w:rPr>
    </w:lvl>
    <w:lvl w:ilvl="3" w:tplc="5A76EBD0">
      <w:numFmt w:val="bullet"/>
      <w:lvlText w:val="•"/>
      <w:lvlJc w:val="left"/>
      <w:pPr>
        <w:ind w:left="717" w:hanging="217"/>
      </w:pPr>
      <w:rPr>
        <w:rFonts w:hint="default"/>
        <w:lang w:val="en-GB" w:eastAsia="en-GB" w:bidi="en-GB"/>
      </w:rPr>
    </w:lvl>
    <w:lvl w:ilvl="4" w:tplc="44C6AF7C">
      <w:numFmt w:val="bullet"/>
      <w:lvlText w:val="•"/>
      <w:lvlJc w:val="left"/>
      <w:pPr>
        <w:ind w:left="856" w:hanging="217"/>
      </w:pPr>
      <w:rPr>
        <w:rFonts w:hint="default"/>
        <w:lang w:val="en-GB" w:eastAsia="en-GB" w:bidi="en-GB"/>
      </w:rPr>
    </w:lvl>
    <w:lvl w:ilvl="5" w:tplc="B1627B66">
      <w:numFmt w:val="bullet"/>
      <w:lvlText w:val="•"/>
      <w:lvlJc w:val="left"/>
      <w:pPr>
        <w:ind w:left="995" w:hanging="217"/>
      </w:pPr>
      <w:rPr>
        <w:rFonts w:hint="default"/>
        <w:lang w:val="en-GB" w:eastAsia="en-GB" w:bidi="en-GB"/>
      </w:rPr>
    </w:lvl>
    <w:lvl w:ilvl="6" w:tplc="95987680">
      <w:numFmt w:val="bullet"/>
      <w:lvlText w:val="•"/>
      <w:lvlJc w:val="left"/>
      <w:pPr>
        <w:ind w:left="1134" w:hanging="217"/>
      </w:pPr>
      <w:rPr>
        <w:rFonts w:hint="default"/>
        <w:lang w:val="en-GB" w:eastAsia="en-GB" w:bidi="en-GB"/>
      </w:rPr>
    </w:lvl>
    <w:lvl w:ilvl="7" w:tplc="A8566F38">
      <w:numFmt w:val="bullet"/>
      <w:lvlText w:val="•"/>
      <w:lvlJc w:val="left"/>
      <w:pPr>
        <w:ind w:left="1273" w:hanging="217"/>
      </w:pPr>
      <w:rPr>
        <w:rFonts w:hint="default"/>
        <w:lang w:val="en-GB" w:eastAsia="en-GB" w:bidi="en-GB"/>
      </w:rPr>
    </w:lvl>
    <w:lvl w:ilvl="8" w:tplc="198EC47E">
      <w:numFmt w:val="bullet"/>
      <w:lvlText w:val="•"/>
      <w:lvlJc w:val="left"/>
      <w:pPr>
        <w:ind w:left="1412" w:hanging="217"/>
      </w:pPr>
      <w:rPr>
        <w:rFonts w:hint="default"/>
        <w:lang w:val="en-GB" w:eastAsia="en-GB" w:bidi="en-GB"/>
      </w:rPr>
    </w:lvl>
  </w:abstractNum>
  <w:abstractNum w:abstractNumId="4" w15:restartNumberingAfterBreak="0">
    <w:nsid w:val="00782938"/>
    <w:multiLevelType w:val="hybridMultilevel"/>
    <w:tmpl w:val="E3F49580"/>
    <w:lvl w:ilvl="0" w:tplc="E73EE832">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619C1DAC">
      <w:numFmt w:val="bullet"/>
      <w:lvlText w:val="•"/>
      <w:lvlJc w:val="left"/>
      <w:pPr>
        <w:ind w:left="544" w:hanging="217"/>
      </w:pPr>
      <w:rPr>
        <w:rFonts w:hint="default"/>
        <w:lang w:val="en-GB" w:eastAsia="en-GB" w:bidi="en-GB"/>
      </w:rPr>
    </w:lvl>
    <w:lvl w:ilvl="2" w:tplc="C5FCD566">
      <w:numFmt w:val="bullet"/>
      <w:lvlText w:val="•"/>
      <w:lvlJc w:val="left"/>
      <w:pPr>
        <w:ind w:left="788" w:hanging="217"/>
      </w:pPr>
      <w:rPr>
        <w:rFonts w:hint="default"/>
        <w:lang w:val="en-GB" w:eastAsia="en-GB" w:bidi="en-GB"/>
      </w:rPr>
    </w:lvl>
    <w:lvl w:ilvl="3" w:tplc="3A705E2C">
      <w:numFmt w:val="bullet"/>
      <w:lvlText w:val="•"/>
      <w:lvlJc w:val="left"/>
      <w:pPr>
        <w:ind w:left="1032" w:hanging="217"/>
      </w:pPr>
      <w:rPr>
        <w:rFonts w:hint="default"/>
        <w:lang w:val="en-GB" w:eastAsia="en-GB" w:bidi="en-GB"/>
      </w:rPr>
    </w:lvl>
    <w:lvl w:ilvl="4" w:tplc="259422CC">
      <w:numFmt w:val="bullet"/>
      <w:lvlText w:val="•"/>
      <w:lvlJc w:val="left"/>
      <w:pPr>
        <w:ind w:left="1276" w:hanging="217"/>
      </w:pPr>
      <w:rPr>
        <w:rFonts w:hint="default"/>
        <w:lang w:val="en-GB" w:eastAsia="en-GB" w:bidi="en-GB"/>
      </w:rPr>
    </w:lvl>
    <w:lvl w:ilvl="5" w:tplc="5FEC4A56">
      <w:numFmt w:val="bullet"/>
      <w:lvlText w:val="•"/>
      <w:lvlJc w:val="left"/>
      <w:pPr>
        <w:ind w:left="1520" w:hanging="217"/>
      </w:pPr>
      <w:rPr>
        <w:rFonts w:hint="default"/>
        <w:lang w:val="en-GB" w:eastAsia="en-GB" w:bidi="en-GB"/>
      </w:rPr>
    </w:lvl>
    <w:lvl w:ilvl="6" w:tplc="30743AA4">
      <w:numFmt w:val="bullet"/>
      <w:lvlText w:val="•"/>
      <w:lvlJc w:val="left"/>
      <w:pPr>
        <w:ind w:left="1764" w:hanging="217"/>
      </w:pPr>
      <w:rPr>
        <w:rFonts w:hint="default"/>
        <w:lang w:val="en-GB" w:eastAsia="en-GB" w:bidi="en-GB"/>
      </w:rPr>
    </w:lvl>
    <w:lvl w:ilvl="7" w:tplc="1820E850">
      <w:numFmt w:val="bullet"/>
      <w:lvlText w:val="•"/>
      <w:lvlJc w:val="left"/>
      <w:pPr>
        <w:ind w:left="2008" w:hanging="217"/>
      </w:pPr>
      <w:rPr>
        <w:rFonts w:hint="default"/>
        <w:lang w:val="en-GB" w:eastAsia="en-GB" w:bidi="en-GB"/>
      </w:rPr>
    </w:lvl>
    <w:lvl w:ilvl="8" w:tplc="C1488A9A">
      <w:numFmt w:val="bullet"/>
      <w:lvlText w:val="•"/>
      <w:lvlJc w:val="left"/>
      <w:pPr>
        <w:ind w:left="2252" w:hanging="217"/>
      </w:pPr>
      <w:rPr>
        <w:rFonts w:hint="default"/>
        <w:lang w:val="en-GB" w:eastAsia="en-GB" w:bidi="en-GB"/>
      </w:rPr>
    </w:lvl>
  </w:abstractNum>
  <w:abstractNum w:abstractNumId="5" w15:restartNumberingAfterBreak="0">
    <w:nsid w:val="00C36EA8"/>
    <w:multiLevelType w:val="hybridMultilevel"/>
    <w:tmpl w:val="CFFCAF9E"/>
    <w:lvl w:ilvl="0" w:tplc="F3C4391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0A86A16">
      <w:numFmt w:val="bullet"/>
      <w:lvlText w:val="•"/>
      <w:lvlJc w:val="left"/>
      <w:pPr>
        <w:ind w:left="892" w:hanging="217"/>
      </w:pPr>
      <w:rPr>
        <w:rFonts w:hint="default"/>
        <w:lang w:val="en-GB" w:eastAsia="en-GB" w:bidi="en-GB"/>
      </w:rPr>
    </w:lvl>
    <w:lvl w:ilvl="2" w:tplc="39247524">
      <w:numFmt w:val="bullet"/>
      <w:lvlText w:val="•"/>
      <w:lvlJc w:val="left"/>
      <w:pPr>
        <w:ind w:left="1485" w:hanging="217"/>
      </w:pPr>
      <w:rPr>
        <w:rFonts w:hint="default"/>
        <w:lang w:val="en-GB" w:eastAsia="en-GB" w:bidi="en-GB"/>
      </w:rPr>
    </w:lvl>
    <w:lvl w:ilvl="3" w:tplc="7DD865AA">
      <w:numFmt w:val="bullet"/>
      <w:lvlText w:val="•"/>
      <w:lvlJc w:val="left"/>
      <w:pPr>
        <w:ind w:left="2077" w:hanging="217"/>
      </w:pPr>
      <w:rPr>
        <w:rFonts w:hint="default"/>
        <w:lang w:val="en-GB" w:eastAsia="en-GB" w:bidi="en-GB"/>
      </w:rPr>
    </w:lvl>
    <w:lvl w:ilvl="4" w:tplc="C8B449D0">
      <w:numFmt w:val="bullet"/>
      <w:lvlText w:val="•"/>
      <w:lvlJc w:val="left"/>
      <w:pPr>
        <w:ind w:left="2670" w:hanging="217"/>
      </w:pPr>
      <w:rPr>
        <w:rFonts w:hint="default"/>
        <w:lang w:val="en-GB" w:eastAsia="en-GB" w:bidi="en-GB"/>
      </w:rPr>
    </w:lvl>
    <w:lvl w:ilvl="5" w:tplc="1592C6F4">
      <w:numFmt w:val="bullet"/>
      <w:lvlText w:val="•"/>
      <w:lvlJc w:val="left"/>
      <w:pPr>
        <w:ind w:left="3263" w:hanging="217"/>
      </w:pPr>
      <w:rPr>
        <w:rFonts w:hint="default"/>
        <w:lang w:val="en-GB" w:eastAsia="en-GB" w:bidi="en-GB"/>
      </w:rPr>
    </w:lvl>
    <w:lvl w:ilvl="6" w:tplc="339A2908">
      <w:numFmt w:val="bullet"/>
      <w:lvlText w:val="•"/>
      <w:lvlJc w:val="left"/>
      <w:pPr>
        <w:ind w:left="3855" w:hanging="217"/>
      </w:pPr>
      <w:rPr>
        <w:rFonts w:hint="default"/>
        <w:lang w:val="en-GB" w:eastAsia="en-GB" w:bidi="en-GB"/>
      </w:rPr>
    </w:lvl>
    <w:lvl w:ilvl="7" w:tplc="94B465A8">
      <w:numFmt w:val="bullet"/>
      <w:lvlText w:val="•"/>
      <w:lvlJc w:val="left"/>
      <w:pPr>
        <w:ind w:left="4448" w:hanging="217"/>
      </w:pPr>
      <w:rPr>
        <w:rFonts w:hint="default"/>
        <w:lang w:val="en-GB" w:eastAsia="en-GB" w:bidi="en-GB"/>
      </w:rPr>
    </w:lvl>
    <w:lvl w:ilvl="8" w:tplc="7506DD9E">
      <w:numFmt w:val="bullet"/>
      <w:lvlText w:val="•"/>
      <w:lvlJc w:val="left"/>
      <w:pPr>
        <w:ind w:left="5040" w:hanging="217"/>
      </w:pPr>
      <w:rPr>
        <w:rFonts w:hint="default"/>
        <w:lang w:val="en-GB" w:eastAsia="en-GB" w:bidi="en-GB"/>
      </w:rPr>
    </w:lvl>
  </w:abstractNum>
  <w:abstractNum w:abstractNumId="6" w15:restartNumberingAfterBreak="0">
    <w:nsid w:val="00D50A81"/>
    <w:multiLevelType w:val="hybridMultilevel"/>
    <w:tmpl w:val="70C4B228"/>
    <w:lvl w:ilvl="0" w:tplc="29FC003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AEE2C94">
      <w:numFmt w:val="bullet"/>
      <w:lvlText w:val="•"/>
      <w:lvlJc w:val="left"/>
      <w:pPr>
        <w:ind w:left="473" w:hanging="217"/>
      </w:pPr>
      <w:rPr>
        <w:rFonts w:hint="default"/>
        <w:lang w:val="en-GB" w:eastAsia="en-GB" w:bidi="en-GB"/>
      </w:rPr>
    </w:lvl>
    <w:lvl w:ilvl="2" w:tplc="6F4664BA">
      <w:numFmt w:val="bullet"/>
      <w:lvlText w:val="•"/>
      <w:lvlJc w:val="left"/>
      <w:pPr>
        <w:ind w:left="646" w:hanging="217"/>
      </w:pPr>
      <w:rPr>
        <w:rFonts w:hint="default"/>
        <w:lang w:val="en-GB" w:eastAsia="en-GB" w:bidi="en-GB"/>
      </w:rPr>
    </w:lvl>
    <w:lvl w:ilvl="3" w:tplc="A96C3BBC">
      <w:numFmt w:val="bullet"/>
      <w:lvlText w:val="•"/>
      <w:lvlJc w:val="left"/>
      <w:pPr>
        <w:ind w:left="819" w:hanging="217"/>
      </w:pPr>
      <w:rPr>
        <w:rFonts w:hint="default"/>
        <w:lang w:val="en-GB" w:eastAsia="en-GB" w:bidi="en-GB"/>
      </w:rPr>
    </w:lvl>
    <w:lvl w:ilvl="4" w:tplc="06569222">
      <w:numFmt w:val="bullet"/>
      <w:lvlText w:val="•"/>
      <w:lvlJc w:val="left"/>
      <w:pPr>
        <w:ind w:left="992" w:hanging="217"/>
      </w:pPr>
      <w:rPr>
        <w:rFonts w:hint="default"/>
        <w:lang w:val="en-GB" w:eastAsia="en-GB" w:bidi="en-GB"/>
      </w:rPr>
    </w:lvl>
    <w:lvl w:ilvl="5" w:tplc="ABC646DE">
      <w:numFmt w:val="bullet"/>
      <w:lvlText w:val="•"/>
      <w:lvlJc w:val="left"/>
      <w:pPr>
        <w:ind w:left="1165" w:hanging="217"/>
      </w:pPr>
      <w:rPr>
        <w:rFonts w:hint="default"/>
        <w:lang w:val="en-GB" w:eastAsia="en-GB" w:bidi="en-GB"/>
      </w:rPr>
    </w:lvl>
    <w:lvl w:ilvl="6" w:tplc="19FADB7C">
      <w:numFmt w:val="bullet"/>
      <w:lvlText w:val="•"/>
      <w:lvlJc w:val="left"/>
      <w:pPr>
        <w:ind w:left="1338" w:hanging="217"/>
      </w:pPr>
      <w:rPr>
        <w:rFonts w:hint="default"/>
        <w:lang w:val="en-GB" w:eastAsia="en-GB" w:bidi="en-GB"/>
      </w:rPr>
    </w:lvl>
    <w:lvl w:ilvl="7" w:tplc="D9F8AAA0">
      <w:numFmt w:val="bullet"/>
      <w:lvlText w:val="•"/>
      <w:lvlJc w:val="left"/>
      <w:pPr>
        <w:ind w:left="1511" w:hanging="217"/>
      </w:pPr>
      <w:rPr>
        <w:rFonts w:hint="default"/>
        <w:lang w:val="en-GB" w:eastAsia="en-GB" w:bidi="en-GB"/>
      </w:rPr>
    </w:lvl>
    <w:lvl w:ilvl="8" w:tplc="326CC798">
      <w:numFmt w:val="bullet"/>
      <w:lvlText w:val="•"/>
      <w:lvlJc w:val="left"/>
      <w:pPr>
        <w:ind w:left="1684" w:hanging="217"/>
      </w:pPr>
      <w:rPr>
        <w:rFonts w:hint="default"/>
        <w:lang w:val="en-GB" w:eastAsia="en-GB" w:bidi="en-GB"/>
      </w:rPr>
    </w:lvl>
  </w:abstractNum>
  <w:abstractNum w:abstractNumId="7" w15:restartNumberingAfterBreak="0">
    <w:nsid w:val="00EE5BCE"/>
    <w:multiLevelType w:val="hybridMultilevel"/>
    <w:tmpl w:val="5DDC4EF0"/>
    <w:lvl w:ilvl="0" w:tplc="9D1A9A0E">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B6A0A67A">
      <w:numFmt w:val="bullet"/>
      <w:lvlText w:val="•"/>
      <w:lvlJc w:val="left"/>
      <w:pPr>
        <w:ind w:left="473" w:hanging="217"/>
      </w:pPr>
      <w:rPr>
        <w:rFonts w:hint="default"/>
        <w:lang w:val="en-GB" w:eastAsia="en-GB" w:bidi="en-GB"/>
      </w:rPr>
    </w:lvl>
    <w:lvl w:ilvl="2" w:tplc="3CE2228E">
      <w:numFmt w:val="bullet"/>
      <w:lvlText w:val="•"/>
      <w:lvlJc w:val="left"/>
      <w:pPr>
        <w:ind w:left="646" w:hanging="217"/>
      </w:pPr>
      <w:rPr>
        <w:rFonts w:hint="default"/>
        <w:lang w:val="en-GB" w:eastAsia="en-GB" w:bidi="en-GB"/>
      </w:rPr>
    </w:lvl>
    <w:lvl w:ilvl="3" w:tplc="E48A43E4">
      <w:numFmt w:val="bullet"/>
      <w:lvlText w:val="•"/>
      <w:lvlJc w:val="left"/>
      <w:pPr>
        <w:ind w:left="819" w:hanging="217"/>
      </w:pPr>
      <w:rPr>
        <w:rFonts w:hint="default"/>
        <w:lang w:val="en-GB" w:eastAsia="en-GB" w:bidi="en-GB"/>
      </w:rPr>
    </w:lvl>
    <w:lvl w:ilvl="4" w:tplc="EE4ED8F0">
      <w:numFmt w:val="bullet"/>
      <w:lvlText w:val="•"/>
      <w:lvlJc w:val="left"/>
      <w:pPr>
        <w:ind w:left="992" w:hanging="217"/>
      </w:pPr>
      <w:rPr>
        <w:rFonts w:hint="default"/>
        <w:lang w:val="en-GB" w:eastAsia="en-GB" w:bidi="en-GB"/>
      </w:rPr>
    </w:lvl>
    <w:lvl w:ilvl="5" w:tplc="E928398E">
      <w:numFmt w:val="bullet"/>
      <w:lvlText w:val="•"/>
      <w:lvlJc w:val="left"/>
      <w:pPr>
        <w:ind w:left="1165" w:hanging="217"/>
      </w:pPr>
      <w:rPr>
        <w:rFonts w:hint="default"/>
        <w:lang w:val="en-GB" w:eastAsia="en-GB" w:bidi="en-GB"/>
      </w:rPr>
    </w:lvl>
    <w:lvl w:ilvl="6" w:tplc="44A49F56">
      <w:numFmt w:val="bullet"/>
      <w:lvlText w:val="•"/>
      <w:lvlJc w:val="left"/>
      <w:pPr>
        <w:ind w:left="1338" w:hanging="217"/>
      </w:pPr>
      <w:rPr>
        <w:rFonts w:hint="default"/>
        <w:lang w:val="en-GB" w:eastAsia="en-GB" w:bidi="en-GB"/>
      </w:rPr>
    </w:lvl>
    <w:lvl w:ilvl="7" w:tplc="2A7ADE84">
      <w:numFmt w:val="bullet"/>
      <w:lvlText w:val="•"/>
      <w:lvlJc w:val="left"/>
      <w:pPr>
        <w:ind w:left="1511" w:hanging="217"/>
      </w:pPr>
      <w:rPr>
        <w:rFonts w:hint="default"/>
        <w:lang w:val="en-GB" w:eastAsia="en-GB" w:bidi="en-GB"/>
      </w:rPr>
    </w:lvl>
    <w:lvl w:ilvl="8" w:tplc="17A43FD0">
      <w:numFmt w:val="bullet"/>
      <w:lvlText w:val="•"/>
      <w:lvlJc w:val="left"/>
      <w:pPr>
        <w:ind w:left="1684" w:hanging="217"/>
      </w:pPr>
      <w:rPr>
        <w:rFonts w:hint="default"/>
        <w:lang w:val="en-GB" w:eastAsia="en-GB" w:bidi="en-GB"/>
      </w:rPr>
    </w:lvl>
  </w:abstractNum>
  <w:abstractNum w:abstractNumId="8" w15:restartNumberingAfterBreak="0">
    <w:nsid w:val="00F9715E"/>
    <w:multiLevelType w:val="hybridMultilevel"/>
    <w:tmpl w:val="DC7640E2"/>
    <w:lvl w:ilvl="0" w:tplc="9B50B288">
      <w:numFmt w:val="bullet"/>
      <w:lvlText w:val="•"/>
      <w:lvlJc w:val="left"/>
      <w:pPr>
        <w:ind w:left="299" w:hanging="217"/>
      </w:pPr>
      <w:rPr>
        <w:rFonts w:ascii="Arial" w:eastAsia="Arial" w:hAnsi="Arial" w:cs="Arial" w:hint="default"/>
        <w:color w:val="231F20"/>
        <w:spacing w:val="-2"/>
        <w:w w:val="100"/>
        <w:sz w:val="18"/>
        <w:szCs w:val="18"/>
        <w:lang w:val="en-GB" w:eastAsia="en-GB" w:bidi="en-GB"/>
      </w:rPr>
    </w:lvl>
    <w:lvl w:ilvl="1" w:tplc="B5C25532">
      <w:numFmt w:val="bullet"/>
      <w:lvlText w:val="•"/>
      <w:lvlJc w:val="left"/>
      <w:pPr>
        <w:ind w:left="473" w:hanging="217"/>
      </w:pPr>
      <w:rPr>
        <w:rFonts w:hint="default"/>
        <w:lang w:val="en-GB" w:eastAsia="en-GB" w:bidi="en-GB"/>
      </w:rPr>
    </w:lvl>
    <w:lvl w:ilvl="2" w:tplc="D6949D5E">
      <w:numFmt w:val="bullet"/>
      <w:lvlText w:val="•"/>
      <w:lvlJc w:val="left"/>
      <w:pPr>
        <w:ind w:left="646" w:hanging="217"/>
      </w:pPr>
      <w:rPr>
        <w:rFonts w:hint="default"/>
        <w:lang w:val="en-GB" w:eastAsia="en-GB" w:bidi="en-GB"/>
      </w:rPr>
    </w:lvl>
    <w:lvl w:ilvl="3" w:tplc="A304762E">
      <w:numFmt w:val="bullet"/>
      <w:lvlText w:val="•"/>
      <w:lvlJc w:val="left"/>
      <w:pPr>
        <w:ind w:left="819" w:hanging="217"/>
      </w:pPr>
      <w:rPr>
        <w:rFonts w:hint="default"/>
        <w:lang w:val="en-GB" w:eastAsia="en-GB" w:bidi="en-GB"/>
      </w:rPr>
    </w:lvl>
    <w:lvl w:ilvl="4" w:tplc="2294D320">
      <w:numFmt w:val="bullet"/>
      <w:lvlText w:val="•"/>
      <w:lvlJc w:val="left"/>
      <w:pPr>
        <w:ind w:left="992" w:hanging="217"/>
      </w:pPr>
      <w:rPr>
        <w:rFonts w:hint="default"/>
        <w:lang w:val="en-GB" w:eastAsia="en-GB" w:bidi="en-GB"/>
      </w:rPr>
    </w:lvl>
    <w:lvl w:ilvl="5" w:tplc="2C30915C">
      <w:numFmt w:val="bullet"/>
      <w:lvlText w:val="•"/>
      <w:lvlJc w:val="left"/>
      <w:pPr>
        <w:ind w:left="1165" w:hanging="217"/>
      </w:pPr>
      <w:rPr>
        <w:rFonts w:hint="default"/>
        <w:lang w:val="en-GB" w:eastAsia="en-GB" w:bidi="en-GB"/>
      </w:rPr>
    </w:lvl>
    <w:lvl w:ilvl="6" w:tplc="E6BC60D8">
      <w:numFmt w:val="bullet"/>
      <w:lvlText w:val="•"/>
      <w:lvlJc w:val="left"/>
      <w:pPr>
        <w:ind w:left="1338" w:hanging="217"/>
      </w:pPr>
      <w:rPr>
        <w:rFonts w:hint="default"/>
        <w:lang w:val="en-GB" w:eastAsia="en-GB" w:bidi="en-GB"/>
      </w:rPr>
    </w:lvl>
    <w:lvl w:ilvl="7" w:tplc="BCD85C30">
      <w:numFmt w:val="bullet"/>
      <w:lvlText w:val="•"/>
      <w:lvlJc w:val="left"/>
      <w:pPr>
        <w:ind w:left="1511" w:hanging="217"/>
      </w:pPr>
      <w:rPr>
        <w:rFonts w:hint="default"/>
        <w:lang w:val="en-GB" w:eastAsia="en-GB" w:bidi="en-GB"/>
      </w:rPr>
    </w:lvl>
    <w:lvl w:ilvl="8" w:tplc="055AB8FC">
      <w:numFmt w:val="bullet"/>
      <w:lvlText w:val="•"/>
      <w:lvlJc w:val="left"/>
      <w:pPr>
        <w:ind w:left="1684" w:hanging="217"/>
      </w:pPr>
      <w:rPr>
        <w:rFonts w:hint="default"/>
        <w:lang w:val="en-GB" w:eastAsia="en-GB" w:bidi="en-GB"/>
      </w:rPr>
    </w:lvl>
  </w:abstractNum>
  <w:abstractNum w:abstractNumId="9" w15:restartNumberingAfterBreak="0">
    <w:nsid w:val="01084F0B"/>
    <w:multiLevelType w:val="hybridMultilevel"/>
    <w:tmpl w:val="2B8ACE18"/>
    <w:lvl w:ilvl="0" w:tplc="0158D9A6">
      <w:numFmt w:val="bullet"/>
      <w:lvlText w:val="•"/>
      <w:lvlJc w:val="left"/>
      <w:pPr>
        <w:ind w:left="299" w:hanging="217"/>
      </w:pPr>
      <w:rPr>
        <w:rFonts w:ascii="Arial" w:eastAsia="Arial" w:hAnsi="Arial" w:cs="Arial" w:hint="default"/>
        <w:color w:val="231F20"/>
        <w:w w:val="102"/>
        <w:sz w:val="17"/>
        <w:szCs w:val="17"/>
        <w:lang w:val="en-GB" w:eastAsia="en-GB" w:bidi="en-GB"/>
      </w:rPr>
    </w:lvl>
    <w:lvl w:ilvl="1" w:tplc="3974854A">
      <w:numFmt w:val="bullet"/>
      <w:lvlText w:val="•"/>
      <w:lvlJc w:val="left"/>
      <w:pPr>
        <w:ind w:left="790" w:hanging="217"/>
      </w:pPr>
      <w:rPr>
        <w:rFonts w:hint="default"/>
        <w:lang w:val="en-GB" w:eastAsia="en-GB" w:bidi="en-GB"/>
      </w:rPr>
    </w:lvl>
    <w:lvl w:ilvl="2" w:tplc="03EE2028">
      <w:numFmt w:val="bullet"/>
      <w:lvlText w:val="•"/>
      <w:lvlJc w:val="left"/>
      <w:pPr>
        <w:ind w:left="1280" w:hanging="217"/>
      </w:pPr>
      <w:rPr>
        <w:rFonts w:hint="default"/>
        <w:lang w:val="en-GB" w:eastAsia="en-GB" w:bidi="en-GB"/>
      </w:rPr>
    </w:lvl>
    <w:lvl w:ilvl="3" w:tplc="EC8C3DC2">
      <w:numFmt w:val="bullet"/>
      <w:lvlText w:val="•"/>
      <w:lvlJc w:val="left"/>
      <w:pPr>
        <w:ind w:left="1770" w:hanging="217"/>
      </w:pPr>
      <w:rPr>
        <w:rFonts w:hint="default"/>
        <w:lang w:val="en-GB" w:eastAsia="en-GB" w:bidi="en-GB"/>
      </w:rPr>
    </w:lvl>
    <w:lvl w:ilvl="4" w:tplc="970C35D6">
      <w:numFmt w:val="bullet"/>
      <w:lvlText w:val="•"/>
      <w:lvlJc w:val="left"/>
      <w:pPr>
        <w:ind w:left="2260" w:hanging="217"/>
      </w:pPr>
      <w:rPr>
        <w:rFonts w:hint="default"/>
        <w:lang w:val="en-GB" w:eastAsia="en-GB" w:bidi="en-GB"/>
      </w:rPr>
    </w:lvl>
    <w:lvl w:ilvl="5" w:tplc="9C1EA1D6">
      <w:numFmt w:val="bullet"/>
      <w:lvlText w:val="•"/>
      <w:lvlJc w:val="left"/>
      <w:pPr>
        <w:ind w:left="2750" w:hanging="217"/>
      </w:pPr>
      <w:rPr>
        <w:rFonts w:hint="default"/>
        <w:lang w:val="en-GB" w:eastAsia="en-GB" w:bidi="en-GB"/>
      </w:rPr>
    </w:lvl>
    <w:lvl w:ilvl="6" w:tplc="2E3C3CE4">
      <w:numFmt w:val="bullet"/>
      <w:lvlText w:val="•"/>
      <w:lvlJc w:val="left"/>
      <w:pPr>
        <w:ind w:left="3240" w:hanging="217"/>
      </w:pPr>
      <w:rPr>
        <w:rFonts w:hint="default"/>
        <w:lang w:val="en-GB" w:eastAsia="en-GB" w:bidi="en-GB"/>
      </w:rPr>
    </w:lvl>
    <w:lvl w:ilvl="7" w:tplc="7EF04B1C">
      <w:numFmt w:val="bullet"/>
      <w:lvlText w:val="•"/>
      <w:lvlJc w:val="left"/>
      <w:pPr>
        <w:ind w:left="3730" w:hanging="217"/>
      </w:pPr>
      <w:rPr>
        <w:rFonts w:hint="default"/>
        <w:lang w:val="en-GB" w:eastAsia="en-GB" w:bidi="en-GB"/>
      </w:rPr>
    </w:lvl>
    <w:lvl w:ilvl="8" w:tplc="D668D7AE">
      <w:numFmt w:val="bullet"/>
      <w:lvlText w:val="•"/>
      <w:lvlJc w:val="left"/>
      <w:pPr>
        <w:ind w:left="4220" w:hanging="217"/>
      </w:pPr>
      <w:rPr>
        <w:rFonts w:hint="default"/>
        <w:lang w:val="en-GB" w:eastAsia="en-GB" w:bidi="en-GB"/>
      </w:rPr>
    </w:lvl>
  </w:abstractNum>
  <w:abstractNum w:abstractNumId="10" w15:restartNumberingAfterBreak="0">
    <w:nsid w:val="01135FC2"/>
    <w:multiLevelType w:val="hybridMultilevel"/>
    <w:tmpl w:val="E2C4FFAC"/>
    <w:lvl w:ilvl="0" w:tplc="F7C28EE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23EACAE">
      <w:numFmt w:val="bullet"/>
      <w:lvlText w:val="•"/>
      <w:lvlJc w:val="left"/>
      <w:pPr>
        <w:ind w:left="439" w:hanging="217"/>
      </w:pPr>
      <w:rPr>
        <w:rFonts w:hint="default"/>
        <w:lang w:val="en-GB" w:eastAsia="en-GB" w:bidi="en-GB"/>
      </w:rPr>
    </w:lvl>
    <w:lvl w:ilvl="2" w:tplc="3CB2CF3E">
      <w:numFmt w:val="bullet"/>
      <w:lvlText w:val="•"/>
      <w:lvlJc w:val="left"/>
      <w:pPr>
        <w:ind w:left="578" w:hanging="217"/>
      </w:pPr>
      <w:rPr>
        <w:rFonts w:hint="default"/>
        <w:lang w:val="en-GB" w:eastAsia="en-GB" w:bidi="en-GB"/>
      </w:rPr>
    </w:lvl>
    <w:lvl w:ilvl="3" w:tplc="35DE0FCA">
      <w:numFmt w:val="bullet"/>
      <w:lvlText w:val="•"/>
      <w:lvlJc w:val="left"/>
      <w:pPr>
        <w:ind w:left="717" w:hanging="217"/>
      </w:pPr>
      <w:rPr>
        <w:rFonts w:hint="default"/>
        <w:lang w:val="en-GB" w:eastAsia="en-GB" w:bidi="en-GB"/>
      </w:rPr>
    </w:lvl>
    <w:lvl w:ilvl="4" w:tplc="FA52E6B4">
      <w:numFmt w:val="bullet"/>
      <w:lvlText w:val="•"/>
      <w:lvlJc w:val="left"/>
      <w:pPr>
        <w:ind w:left="856" w:hanging="217"/>
      </w:pPr>
      <w:rPr>
        <w:rFonts w:hint="default"/>
        <w:lang w:val="en-GB" w:eastAsia="en-GB" w:bidi="en-GB"/>
      </w:rPr>
    </w:lvl>
    <w:lvl w:ilvl="5" w:tplc="3AB6D430">
      <w:numFmt w:val="bullet"/>
      <w:lvlText w:val="•"/>
      <w:lvlJc w:val="left"/>
      <w:pPr>
        <w:ind w:left="995" w:hanging="217"/>
      </w:pPr>
      <w:rPr>
        <w:rFonts w:hint="default"/>
        <w:lang w:val="en-GB" w:eastAsia="en-GB" w:bidi="en-GB"/>
      </w:rPr>
    </w:lvl>
    <w:lvl w:ilvl="6" w:tplc="F490BC62">
      <w:numFmt w:val="bullet"/>
      <w:lvlText w:val="•"/>
      <w:lvlJc w:val="left"/>
      <w:pPr>
        <w:ind w:left="1134" w:hanging="217"/>
      </w:pPr>
      <w:rPr>
        <w:rFonts w:hint="default"/>
        <w:lang w:val="en-GB" w:eastAsia="en-GB" w:bidi="en-GB"/>
      </w:rPr>
    </w:lvl>
    <w:lvl w:ilvl="7" w:tplc="6B646848">
      <w:numFmt w:val="bullet"/>
      <w:lvlText w:val="•"/>
      <w:lvlJc w:val="left"/>
      <w:pPr>
        <w:ind w:left="1273" w:hanging="217"/>
      </w:pPr>
      <w:rPr>
        <w:rFonts w:hint="default"/>
        <w:lang w:val="en-GB" w:eastAsia="en-GB" w:bidi="en-GB"/>
      </w:rPr>
    </w:lvl>
    <w:lvl w:ilvl="8" w:tplc="FADA49A2">
      <w:numFmt w:val="bullet"/>
      <w:lvlText w:val="•"/>
      <w:lvlJc w:val="left"/>
      <w:pPr>
        <w:ind w:left="1412" w:hanging="217"/>
      </w:pPr>
      <w:rPr>
        <w:rFonts w:hint="default"/>
        <w:lang w:val="en-GB" w:eastAsia="en-GB" w:bidi="en-GB"/>
      </w:rPr>
    </w:lvl>
  </w:abstractNum>
  <w:abstractNum w:abstractNumId="11" w15:restartNumberingAfterBreak="0">
    <w:nsid w:val="01153C16"/>
    <w:multiLevelType w:val="hybridMultilevel"/>
    <w:tmpl w:val="D03E7670"/>
    <w:lvl w:ilvl="0" w:tplc="49909226">
      <w:numFmt w:val="bullet"/>
      <w:lvlText w:val="•"/>
      <w:lvlJc w:val="left"/>
      <w:pPr>
        <w:ind w:left="306" w:hanging="217"/>
      </w:pPr>
      <w:rPr>
        <w:rFonts w:ascii="Arial" w:eastAsia="Arial" w:hAnsi="Arial" w:cs="Arial" w:hint="default"/>
        <w:color w:val="231F20"/>
        <w:spacing w:val="-1"/>
        <w:w w:val="100"/>
        <w:sz w:val="18"/>
        <w:szCs w:val="18"/>
        <w:lang w:val="en-GB" w:eastAsia="en-GB" w:bidi="en-GB"/>
      </w:rPr>
    </w:lvl>
    <w:lvl w:ilvl="1" w:tplc="44AAAAC0">
      <w:numFmt w:val="bullet"/>
      <w:lvlText w:val="•"/>
      <w:lvlJc w:val="left"/>
      <w:pPr>
        <w:ind w:left="444" w:hanging="217"/>
      </w:pPr>
      <w:rPr>
        <w:rFonts w:hint="default"/>
        <w:lang w:val="en-GB" w:eastAsia="en-GB" w:bidi="en-GB"/>
      </w:rPr>
    </w:lvl>
    <w:lvl w:ilvl="2" w:tplc="218ECC44">
      <w:numFmt w:val="bullet"/>
      <w:lvlText w:val="•"/>
      <w:lvlJc w:val="left"/>
      <w:pPr>
        <w:ind w:left="589" w:hanging="217"/>
      </w:pPr>
      <w:rPr>
        <w:rFonts w:hint="default"/>
        <w:lang w:val="en-GB" w:eastAsia="en-GB" w:bidi="en-GB"/>
      </w:rPr>
    </w:lvl>
    <w:lvl w:ilvl="3" w:tplc="D924B940">
      <w:numFmt w:val="bullet"/>
      <w:lvlText w:val="•"/>
      <w:lvlJc w:val="left"/>
      <w:pPr>
        <w:ind w:left="734" w:hanging="217"/>
      </w:pPr>
      <w:rPr>
        <w:rFonts w:hint="default"/>
        <w:lang w:val="en-GB" w:eastAsia="en-GB" w:bidi="en-GB"/>
      </w:rPr>
    </w:lvl>
    <w:lvl w:ilvl="4" w:tplc="61D82660">
      <w:numFmt w:val="bullet"/>
      <w:lvlText w:val="•"/>
      <w:lvlJc w:val="left"/>
      <w:pPr>
        <w:ind w:left="878" w:hanging="217"/>
      </w:pPr>
      <w:rPr>
        <w:rFonts w:hint="default"/>
        <w:lang w:val="en-GB" w:eastAsia="en-GB" w:bidi="en-GB"/>
      </w:rPr>
    </w:lvl>
    <w:lvl w:ilvl="5" w:tplc="A948B71E">
      <w:numFmt w:val="bullet"/>
      <w:lvlText w:val="•"/>
      <w:lvlJc w:val="left"/>
      <w:pPr>
        <w:ind w:left="1023" w:hanging="217"/>
      </w:pPr>
      <w:rPr>
        <w:rFonts w:hint="default"/>
        <w:lang w:val="en-GB" w:eastAsia="en-GB" w:bidi="en-GB"/>
      </w:rPr>
    </w:lvl>
    <w:lvl w:ilvl="6" w:tplc="7CA4383E">
      <w:numFmt w:val="bullet"/>
      <w:lvlText w:val="•"/>
      <w:lvlJc w:val="left"/>
      <w:pPr>
        <w:ind w:left="1168" w:hanging="217"/>
      </w:pPr>
      <w:rPr>
        <w:rFonts w:hint="default"/>
        <w:lang w:val="en-GB" w:eastAsia="en-GB" w:bidi="en-GB"/>
      </w:rPr>
    </w:lvl>
    <w:lvl w:ilvl="7" w:tplc="1C404AA4">
      <w:numFmt w:val="bullet"/>
      <w:lvlText w:val="•"/>
      <w:lvlJc w:val="left"/>
      <w:pPr>
        <w:ind w:left="1312" w:hanging="217"/>
      </w:pPr>
      <w:rPr>
        <w:rFonts w:hint="default"/>
        <w:lang w:val="en-GB" w:eastAsia="en-GB" w:bidi="en-GB"/>
      </w:rPr>
    </w:lvl>
    <w:lvl w:ilvl="8" w:tplc="EA7C210E">
      <w:numFmt w:val="bullet"/>
      <w:lvlText w:val="•"/>
      <w:lvlJc w:val="left"/>
      <w:pPr>
        <w:ind w:left="1457" w:hanging="217"/>
      </w:pPr>
      <w:rPr>
        <w:rFonts w:hint="default"/>
        <w:lang w:val="en-GB" w:eastAsia="en-GB" w:bidi="en-GB"/>
      </w:rPr>
    </w:lvl>
  </w:abstractNum>
  <w:abstractNum w:abstractNumId="12" w15:restartNumberingAfterBreak="0">
    <w:nsid w:val="01245FBF"/>
    <w:multiLevelType w:val="hybridMultilevel"/>
    <w:tmpl w:val="EF16D804"/>
    <w:lvl w:ilvl="0" w:tplc="D04447FC">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05780966">
      <w:numFmt w:val="bullet"/>
      <w:lvlText w:val="•"/>
      <w:lvlJc w:val="left"/>
      <w:pPr>
        <w:ind w:left="529" w:hanging="217"/>
      </w:pPr>
      <w:rPr>
        <w:rFonts w:hint="default"/>
        <w:lang w:val="en-GB" w:eastAsia="en-GB" w:bidi="en-GB"/>
      </w:rPr>
    </w:lvl>
    <w:lvl w:ilvl="2" w:tplc="D7A0D312">
      <w:numFmt w:val="bullet"/>
      <w:lvlText w:val="•"/>
      <w:lvlJc w:val="left"/>
      <w:pPr>
        <w:ind w:left="759" w:hanging="217"/>
      </w:pPr>
      <w:rPr>
        <w:rFonts w:hint="default"/>
        <w:lang w:val="en-GB" w:eastAsia="en-GB" w:bidi="en-GB"/>
      </w:rPr>
    </w:lvl>
    <w:lvl w:ilvl="3" w:tplc="09BA9632">
      <w:numFmt w:val="bullet"/>
      <w:lvlText w:val="•"/>
      <w:lvlJc w:val="left"/>
      <w:pPr>
        <w:ind w:left="989" w:hanging="217"/>
      </w:pPr>
      <w:rPr>
        <w:rFonts w:hint="default"/>
        <w:lang w:val="en-GB" w:eastAsia="en-GB" w:bidi="en-GB"/>
      </w:rPr>
    </w:lvl>
    <w:lvl w:ilvl="4" w:tplc="9D4840A8">
      <w:numFmt w:val="bullet"/>
      <w:lvlText w:val="•"/>
      <w:lvlJc w:val="left"/>
      <w:pPr>
        <w:ind w:left="1219" w:hanging="217"/>
      </w:pPr>
      <w:rPr>
        <w:rFonts w:hint="default"/>
        <w:lang w:val="en-GB" w:eastAsia="en-GB" w:bidi="en-GB"/>
      </w:rPr>
    </w:lvl>
    <w:lvl w:ilvl="5" w:tplc="D7821B1A">
      <w:numFmt w:val="bullet"/>
      <w:lvlText w:val="•"/>
      <w:lvlJc w:val="left"/>
      <w:pPr>
        <w:ind w:left="1449" w:hanging="217"/>
      </w:pPr>
      <w:rPr>
        <w:rFonts w:hint="default"/>
        <w:lang w:val="en-GB" w:eastAsia="en-GB" w:bidi="en-GB"/>
      </w:rPr>
    </w:lvl>
    <w:lvl w:ilvl="6" w:tplc="124C6770">
      <w:numFmt w:val="bullet"/>
      <w:lvlText w:val="•"/>
      <w:lvlJc w:val="left"/>
      <w:pPr>
        <w:ind w:left="1678" w:hanging="217"/>
      </w:pPr>
      <w:rPr>
        <w:rFonts w:hint="default"/>
        <w:lang w:val="en-GB" w:eastAsia="en-GB" w:bidi="en-GB"/>
      </w:rPr>
    </w:lvl>
    <w:lvl w:ilvl="7" w:tplc="A16AD584">
      <w:numFmt w:val="bullet"/>
      <w:lvlText w:val="•"/>
      <w:lvlJc w:val="left"/>
      <w:pPr>
        <w:ind w:left="1908" w:hanging="217"/>
      </w:pPr>
      <w:rPr>
        <w:rFonts w:hint="default"/>
        <w:lang w:val="en-GB" w:eastAsia="en-GB" w:bidi="en-GB"/>
      </w:rPr>
    </w:lvl>
    <w:lvl w:ilvl="8" w:tplc="C5BC6940">
      <w:numFmt w:val="bullet"/>
      <w:lvlText w:val="•"/>
      <w:lvlJc w:val="left"/>
      <w:pPr>
        <w:ind w:left="2138" w:hanging="217"/>
      </w:pPr>
      <w:rPr>
        <w:rFonts w:hint="default"/>
        <w:lang w:val="en-GB" w:eastAsia="en-GB" w:bidi="en-GB"/>
      </w:rPr>
    </w:lvl>
  </w:abstractNum>
  <w:abstractNum w:abstractNumId="13" w15:restartNumberingAfterBreak="0">
    <w:nsid w:val="017F24E4"/>
    <w:multiLevelType w:val="hybridMultilevel"/>
    <w:tmpl w:val="F9223E36"/>
    <w:lvl w:ilvl="0" w:tplc="081A4B1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D345032">
      <w:numFmt w:val="bullet"/>
      <w:lvlText w:val="•"/>
      <w:lvlJc w:val="left"/>
      <w:pPr>
        <w:ind w:left="439" w:hanging="217"/>
      </w:pPr>
      <w:rPr>
        <w:rFonts w:hint="default"/>
        <w:lang w:val="en-GB" w:eastAsia="en-GB" w:bidi="en-GB"/>
      </w:rPr>
    </w:lvl>
    <w:lvl w:ilvl="2" w:tplc="F83821D6">
      <w:numFmt w:val="bullet"/>
      <w:lvlText w:val="•"/>
      <w:lvlJc w:val="left"/>
      <w:pPr>
        <w:ind w:left="578" w:hanging="217"/>
      </w:pPr>
      <w:rPr>
        <w:rFonts w:hint="default"/>
        <w:lang w:val="en-GB" w:eastAsia="en-GB" w:bidi="en-GB"/>
      </w:rPr>
    </w:lvl>
    <w:lvl w:ilvl="3" w:tplc="6A4A3AB6">
      <w:numFmt w:val="bullet"/>
      <w:lvlText w:val="•"/>
      <w:lvlJc w:val="left"/>
      <w:pPr>
        <w:ind w:left="717" w:hanging="217"/>
      </w:pPr>
      <w:rPr>
        <w:rFonts w:hint="default"/>
        <w:lang w:val="en-GB" w:eastAsia="en-GB" w:bidi="en-GB"/>
      </w:rPr>
    </w:lvl>
    <w:lvl w:ilvl="4" w:tplc="B41AFD10">
      <w:numFmt w:val="bullet"/>
      <w:lvlText w:val="•"/>
      <w:lvlJc w:val="left"/>
      <w:pPr>
        <w:ind w:left="856" w:hanging="217"/>
      </w:pPr>
      <w:rPr>
        <w:rFonts w:hint="default"/>
        <w:lang w:val="en-GB" w:eastAsia="en-GB" w:bidi="en-GB"/>
      </w:rPr>
    </w:lvl>
    <w:lvl w:ilvl="5" w:tplc="E00CB69C">
      <w:numFmt w:val="bullet"/>
      <w:lvlText w:val="•"/>
      <w:lvlJc w:val="left"/>
      <w:pPr>
        <w:ind w:left="995" w:hanging="217"/>
      </w:pPr>
      <w:rPr>
        <w:rFonts w:hint="default"/>
        <w:lang w:val="en-GB" w:eastAsia="en-GB" w:bidi="en-GB"/>
      </w:rPr>
    </w:lvl>
    <w:lvl w:ilvl="6" w:tplc="26AE3290">
      <w:numFmt w:val="bullet"/>
      <w:lvlText w:val="•"/>
      <w:lvlJc w:val="left"/>
      <w:pPr>
        <w:ind w:left="1134" w:hanging="217"/>
      </w:pPr>
      <w:rPr>
        <w:rFonts w:hint="default"/>
        <w:lang w:val="en-GB" w:eastAsia="en-GB" w:bidi="en-GB"/>
      </w:rPr>
    </w:lvl>
    <w:lvl w:ilvl="7" w:tplc="19DC72E0">
      <w:numFmt w:val="bullet"/>
      <w:lvlText w:val="•"/>
      <w:lvlJc w:val="left"/>
      <w:pPr>
        <w:ind w:left="1273" w:hanging="217"/>
      </w:pPr>
      <w:rPr>
        <w:rFonts w:hint="default"/>
        <w:lang w:val="en-GB" w:eastAsia="en-GB" w:bidi="en-GB"/>
      </w:rPr>
    </w:lvl>
    <w:lvl w:ilvl="8" w:tplc="8528C974">
      <w:numFmt w:val="bullet"/>
      <w:lvlText w:val="•"/>
      <w:lvlJc w:val="left"/>
      <w:pPr>
        <w:ind w:left="1412" w:hanging="217"/>
      </w:pPr>
      <w:rPr>
        <w:rFonts w:hint="default"/>
        <w:lang w:val="en-GB" w:eastAsia="en-GB" w:bidi="en-GB"/>
      </w:rPr>
    </w:lvl>
  </w:abstractNum>
  <w:abstractNum w:abstractNumId="14" w15:restartNumberingAfterBreak="0">
    <w:nsid w:val="019A300A"/>
    <w:multiLevelType w:val="hybridMultilevel"/>
    <w:tmpl w:val="48E857AC"/>
    <w:lvl w:ilvl="0" w:tplc="CCBCEED4">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E9F03E60">
      <w:numFmt w:val="bullet"/>
      <w:lvlText w:val="•"/>
      <w:lvlJc w:val="left"/>
      <w:pPr>
        <w:ind w:left="473" w:hanging="217"/>
      </w:pPr>
      <w:rPr>
        <w:rFonts w:hint="default"/>
        <w:lang w:val="en-GB" w:eastAsia="en-GB" w:bidi="en-GB"/>
      </w:rPr>
    </w:lvl>
    <w:lvl w:ilvl="2" w:tplc="5B88FB54">
      <w:numFmt w:val="bullet"/>
      <w:lvlText w:val="•"/>
      <w:lvlJc w:val="left"/>
      <w:pPr>
        <w:ind w:left="646" w:hanging="217"/>
      </w:pPr>
      <w:rPr>
        <w:rFonts w:hint="default"/>
        <w:lang w:val="en-GB" w:eastAsia="en-GB" w:bidi="en-GB"/>
      </w:rPr>
    </w:lvl>
    <w:lvl w:ilvl="3" w:tplc="497C91BC">
      <w:numFmt w:val="bullet"/>
      <w:lvlText w:val="•"/>
      <w:lvlJc w:val="left"/>
      <w:pPr>
        <w:ind w:left="819" w:hanging="217"/>
      </w:pPr>
      <w:rPr>
        <w:rFonts w:hint="default"/>
        <w:lang w:val="en-GB" w:eastAsia="en-GB" w:bidi="en-GB"/>
      </w:rPr>
    </w:lvl>
    <w:lvl w:ilvl="4" w:tplc="7A36FE06">
      <w:numFmt w:val="bullet"/>
      <w:lvlText w:val="•"/>
      <w:lvlJc w:val="left"/>
      <w:pPr>
        <w:ind w:left="992" w:hanging="217"/>
      </w:pPr>
      <w:rPr>
        <w:rFonts w:hint="default"/>
        <w:lang w:val="en-GB" w:eastAsia="en-GB" w:bidi="en-GB"/>
      </w:rPr>
    </w:lvl>
    <w:lvl w:ilvl="5" w:tplc="B37AC28C">
      <w:numFmt w:val="bullet"/>
      <w:lvlText w:val="•"/>
      <w:lvlJc w:val="left"/>
      <w:pPr>
        <w:ind w:left="1165" w:hanging="217"/>
      </w:pPr>
      <w:rPr>
        <w:rFonts w:hint="default"/>
        <w:lang w:val="en-GB" w:eastAsia="en-GB" w:bidi="en-GB"/>
      </w:rPr>
    </w:lvl>
    <w:lvl w:ilvl="6" w:tplc="FEE2D028">
      <w:numFmt w:val="bullet"/>
      <w:lvlText w:val="•"/>
      <w:lvlJc w:val="left"/>
      <w:pPr>
        <w:ind w:left="1338" w:hanging="217"/>
      </w:pPr>
      <w:rPr>
        <w:rFonts w:hint="default"/>
        <w:lang w:val="en-GB" w:eastAsia="en-GB" w:bidi="en-GB"/>
      </w:rPr>
    </w:lvl>
    <w:lvl w:ilvl="7" w:tplc="0CF4554A">
      <w:numFmt w:val="bullet"/>
      <w:lvlText w:val="•"/>
      <w:lvlJc w:val="left"/>
      <w:pPr>
        <w:ind w:left="1511" w:hanging="217"/>
      </w:pPr>
      <w:rPr>
        <w:rFonts w:hint="default"/>
        <w:lang w:val="en-GB" w:eastAsia="en-GB" w:bidi="en-GB"/>
      </w:rPr>
    </w:lvl>
    <w:lvl w:ilvl="8" w:tplc="890C2754">
      <w:numFmt w:val="bullet"/>
      <w:lvlText w:val="•"/>
      <w:lvlJc w:val="left"/>
      <w:pPr>
        <w:ind w:left="1684" w:hanging="217"/>
      </w:pPr>
      <w:rPr>
        <w:rFonts w:hint="default"/>
        <w:lang w:val="en-GB" w:eastAsia="en-GB" w:bidi="en-GB"/>
      </w:rPr>
    </w:lvl>
  </w:abstractNum>
  <w:abstractNum w:abstractNumId="15" w15:restartNumberingAfterBreak="0">
    <w:nsid w:val="01B77830"/>
    <w:multiLevelType w:val="hybridMultilevel"/>
    <w:tmpl w:val="43DA563C"/>
    <w:lvl w:ilvl="0" w:tplc="BACA570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A788596">
      <w:numFmt w:val="bullet"/>
      <w:lvlText w:val="•"/>
      <w:lvlJc w:val="left"/>
      <w:pPr>
        <w:ind w:left="439" w:hanging="217"/>
      </w:pPr>
      <w:rPr>
        <w:rFonts w:hint="default"/>
        <w:lang w:val="en-GB" w:eastAsia="en-GB" w:bidi="en-GB"/>
      </w:rPr>
    </w:lvl>
    <w:lvl w:ilvl="2" w:tplc="5BF08BC2">
      <w:numFmt w:val="bullet"/>
      <w:lvlText w:val="•"/>
      <w:lvlJc w:val="left"/>
      <w:pPr>
        <w:ind w:left="578" w:hanging="217"/>
      </w:pPr>
      <w:rPr>
        <w:rFonts w:hint="default"/>
        <w:lang w:val="en-GB" w:eastAsia="en-GB" w:bidi="en-GB"/>
      </w:rPr>
    </w:lvl>
    <w:lvl w:ilvl="3" w:tplc="3DBEF54C">
      <w:numFmt w:val="bullet"/>
      <w:lvlText w:val="•"/>
      <w:lvlJc w:val="left"/>
      <w:pPr>
        <w:ind w:left="717" w:hanging="217"/>
      </w:pPr>
      <w:rPr>
        <w:rFonts w:hint="default"/>
        <w:lang w:val="en-GB" w:eastAsia="en-GB" w:bidi="en-GB"/>
      </w:rPr>
    </w:lvl>
    <w:lvl w:ilvl="4" w:tplc="F31C361E">
      <w:numFmt w:val="bullet"/>
      <w:lvlText w:val="•"/>
      <w:lvlJc w:val="left"/>
      <w:pPr>
        <w:ind w:left="856" w:hanging="217"/>
      </w:pPr>
      <w:rPr>
        <w:rFonts w:hint="default"/>
        <w:lang w:val="en-GB" w:eastAsia="en-GB" w:bidi="en-GB"/>
      </w:rPr>
    </w:lvl>
    <w:lvl w:ilvl="5" w:tplc="7E924CAA">
      <w:numFmt w:val="bullet"/>
      <w:lvlText w:val="•"/>
      <w:lvlJc w:val="left"/>
      <w:pPr>
        <w:ind w:left="995" w:hanging="217"/>
      </w:pPr>
      <w:rPr>
        <w:rFonts w:hint="default"/>
        <w:lang w:val="en-GB" w:eastAsia="en-GB" w:bidi="en-GB"/>
      </w:rPr>
    </w:lvl>
    <w:lvl w:ilvl="6" w:tplc="AA12206C">
      <w:numFmt w:val="bullet"/>
      <w:lvlText w:val="•"/>
      <w:lvlJc w:val="left"/>
      <w:pPr>
        <w:ind w:left="1134" w:hanging="217"/>
      </w:pPr>
      <w:rPr>
        <w:rFonts w:hint="default"/>
        <w:lang w:val="en-GB" w:eastAsia="en-GB" w:bidi="en-GB"/>
      </w:rPr>
    </w:lvl>
    <w:lvl w:ilvl="7" w:tplc="4D1E0F40">
      <w:numFmt w:val="bullet"/>
      <w:lvlText w:val="•"/>
      <w:lvlJc w:val="left"/>
      <w:pPr>
        <w:ind w:left="1273" w:hanging="217"/>
      </w:pPr>
      <w:rPr>
        <w:rFonts w:hint="default"/>
        <w:lang w:val="en-GB" w:eastAsia="en-GB" w:bidi="en-GB"/>
      </w:rPr>
    </w:lvl>
    <w:lvl w:ilvl="8" w:tplc="65304FBC">
      <w:numFmt w:val="bullet"/>
      <w:lvlText w:val="•"/>
      <w:lvlJc w:val="left"/>
      <w:pPr>
        <w:ind w:left="1412" w:hanging="217"/>
      </w:pPr>
      <w:rPr>
        <w:rFonts w:hint="default"/>
        <w:lang w:val="en-GB" w:eastAsia="en-GB" w:bidi="en-GB"/>
      </w:rPr>
    </w:lvl>
  </w:abstractNum>
  <w:abstractNum w:abstractNumId="16" w15:restartNumberingAfterBreak="0">
    <w:nsid w:val="01E30329"/>
    <w:multiLevelType w:val="hybridMultilevel"/>
    <w:tmpl w:val="B6568E04"/>
    <w:lvl w:ilvl="0" w:tplc="9B6869DE">
      <w:numFmt w:val="bullet"/>
      <w:lvlText w:val="•"/>
      <w:lvlJc w:val="left"/>
      <w:pPr>
        <w:ind w:left="299" w:hanging="217"/>
      </w:pPr>
      <w:rPr>
        <w:rFonts w:ascii="Arial" w:eastAsia="Arial" w:hAnsi="Arial" w:cs="Arial" w:hint="default"/>
        <w:color w:val="231F20"/>
        <w:w w:val="102"/>
        <w:sz w:val="17"/>
        <w:szCs w:val="17"/>
        <w:lang w:val="en-GB" w:eastAsia="en-GB" w:bidi="en-GB"/>
      </w:rPr>
    </w:lvl>
    <w:lvl w:ilvl="1" w:tplc="E6BA265A">
      <w:numFmt w:val="bullet"/>
      <w:lvlText w:val="•"/>
      <w:lvlJc w:val="left"/>
      <w:pPr>
        <w:ind w:left="790" w:hanging="217"/>
      </w:pPr>
      <w:rPr>
        <w:rFonts w:hint="default"/>
        <w:lang w:val="en-GB" w:eastAsia="en-GB" w:bidi="en-GB"/>
      </w:rPr>
    </w:lvl>
    <w:lvl w:ilvl="2" w:tplc="D7880DAC">
      <w:numFmt w:val="bullet"/>
      <w:lvlText w:val="•"/>
      <w:lvlJc w:val="left"/>
      <w:pPr>
        <w:ind w:left="1280" w:hanging="217"/>
      </w:pPr>
      <w:rPr>
        <w:rFonts w:hint="default"/>
        <w:lang w:val="en-GB" w:eastAsia="en-GB" w:bidi="en-GB"/>
      </w:rPr>
    </w:lvl>
    <w:lvl w:ilvl="3" w:tplc="CD8601EC">
      <w:numFmt w:val="bullet"/>
      <w:lvlText w:val="•"/>
      <w:lvlJc w:val="left"/>
      <w:pPr>
        <w:ind w:left="1770" w:hanging="217"/>
      </w:pPr>
      <w:rPr>
        <w:rFonts w:hint="default"/>
        <w:lang w:val="en-GB" w:eastAsia="en-GB" w:bidi="en-GB"/>
      </w:rPr>
    </w:lvl>
    <w:lvl w:ilvl="4" w:tplc="05306F40">
      <w:numFmt w:val="bullet"/>
      <w:lvlText w:val="•"/>
      <w:lvlJc w:val="left"/>
      <w:pPr>
        <w:ind w:left="2260" w:hanging="217"/>
      </w:pPr>
      <w:rPr>
        <w:rFonts w:hint="default"/>
        <w:lang w:val="en-GB" w:eastAsia="en-GB" w:bidi="en-GB"/>
      </w:rPr>
    </w:lvl>
    <w:lvl w:ilvl="5" w:tplc="8CD8B936">
      <w:numFmt w:val="bullet"/>
      <w:lvlText w:val="•"/>
      <w:lvlJc w:val="left"/>
      <w:pPr>
        <w:ind w:left="2750" w:hanging="217"/>
      </w:pPr>
      <w:rPr>
        <w:rFonts w:hint="default"/>
        <w:lang w:val="en-GB" w:eastAsia="en-GB" w:bidi="en-GB"/>
      </w:rPr>
    </w:lvl>
    <w:lvl w:ilvl="6" w:tplc="E6CA80F2">
      <w:numFmt w:val="bullet"/>
      <w:lvlText w:val="•"/>
      <w:lvlJc w:val="left"/>
      <w:pPr>
        <w:ind w:left="3240" w:hanging="217"/>
      </w:pPr>
      <w:rPr>
        <w:rFonts w:hint="default"/>
        <w:lang w:val="en-GB" w:eastAsia="en-GB" w:bidi="en-GB"/>
      </w:rPr>
    </w:lvl>
    <w:lvl w:ilvl="7" w:tplc="35960AD0">
      <w:numFmt w:val="bullet"/>
      <w:lvlText w:val="•"/>
      <w:lvlJc w:val="left"/>
      <w:pPr>
        <w:ind w:left="3730" w:hanging="217"/>
      </w:pPr>
      <w:rPr>
        <w:rFonts w:hint="default"/>
        <w:lang w:val="en-GB" w:eastAsia="en-GB" w:bidi="en-GB"/>
      </w:rPr>
    </w:lvl>
    <w:lvl w:ilvl="8" w:tplc="09E60C56">
      <w:numFmt w:val="bullet"/>
      <w:lvlText w:val="•"/>
      <w:lvlJc w:val="left"/>
      <w:pPr>
        <w:ind w:left="4220" w:hanging="217"/>
      </w:pPr>
      <w:rPr>
        <w:rFonts w:hint="default"/>
        <w:lang w:val="en-GB" w:eastAsia="en-GB" w:bidi="en-GB"/>
      </w:rPr>
    </w:lvl>
  </w:abstractNum>
  <w:abstractNum w:abstractNumId="17" w15:restartNumberingAfterBreak="0">
    <w:nsid w:val="021342DD"/>
    <w:multiLevelType w:val="hybridMultilevel"/>
    <w:tmpl w:val="A9B2AF7E"/>
    <w:lvl w:ilvl="0" w:tplc="0570EF4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62E6B78">
      <w:numFmt w:val="bullet"/>
      <w:lvlText w:val="•"/>
      <w:lvlJc w:val="left"/>
      <w:pPr>
        <w:ind w:left="473" w:hanging="217"/>
      </w:pPr>
      <w:rPr>
        <w:rFonts w:hint="default"/>
        <w:lang w:val="en-GB" w:eastAsia="en-GB" w:bidi="en-GB"/>
      </w:rPr>
    </w:lvl>
    <w:lvl w:ilvl="2" w:tplc="67C43C8C">
      <w:numFmt w:val="bullet"/>
      <w:lvlText w:val="•"/>
      <w:lvlJc w:val="left"/>
      <w:pPr>
        <w:ind w:left="646" w:hanging="217"/>
      </w:pPr>
      <w:rPr>
        <w:rFonts w:hint="default"/>
        <w:lang w:val="en-GB" w:eastAsia="en-GB" w:bidi="en-GB"/>
      </w:rPr>
    </w:lvl>
    <w:lvl w:ilvl="3" w:tplc="2FF67838">
      <w:numFmt w:val="bullet"/>
      <w:lvlText w:val="•"/>
      <w:lvlJc w:val="left"/>
      <w:pPr>
        <w:ind w:left="819" w:hanging="217"/>
      </w:pPr>
      <w:rPr>
        <w:rFonts w:hint="default"/>
        <w:lang w:val="en-GB" w:eastAsia="en-GB" w:bidi="en-GB"/>
      </w:rPr>
    </w:lvl>
    <w:lvl w:ilvl="4" w:tplc="73C24F24">
      <w:numFmt w:val="bullet"/>
      <w:lvlText w:val="•"/>
      <w:lvlJc w:val="left"/>
      <w:pPr>
        <w:ind w:left="992" w:hanging="217"/>
      </w:pPr>
      <w:rPr>
        <w:rFonts w:hint="default"/>
        <w:lang w:val="en-GB" w:eastAsia="en-GB" w:bidi="en-GB"/>
      </w:rPr>
    </w:lvl>
    <w:lvl w:ilvl="5" w:tplc="99E6B2C6">
      <w:numFmt w:val="bullet"/>
      <w:lvlText w:val="•"/>
      <w:lvlJc w:val="left"/>
      <w:pPr>
        <w:ind w:left="1165" w:hanging="217"/>
      </w:pPr>
      <w:rPr>
        <w:rFonts w:hint="default"/>
        <w:lang w:val="en-GB" w:eastAsia="en-GB" w:bidi="en-GB"/>
      </w:rPr>
    </w:lvl>
    <w:lvl w:ilvl="6" w:tplc="083E6D38">
      <w:numFmt w:val="bullet"/>
      <w:lvlText w:val="•"/>
      <w:lvlJc w:val="left"/>
      <w:pPr>
        <w:ind w:left="1338" w:hanging="217"/>
      </w:pPr>
      <w:rPr>
        <w:rFonts w:hint="default"/>
        <w:lang w:val="en-GB" w:eastAsia="en-GB" w:bidi="en-GB"/>
      </w:rPr>
    </w:lvl>
    <w:lvl w:ilvl="7" w:tplc="5C7C61AC">
      <w:numFmt w:val="bullet"/>
      <w:lvlText w:val="•"/>
      <w:lvlJc w:val="left"/>
      <w:pPr>
        <w:ind w:left="1511" w:hanging="217"/>
      </w:pPr>
      <w:rPr>
        <w:rFonts w:hint="default"/>
        <w:lang w:val="en-GB" w:eastAsia="en-GB" w:bidi="en-GB"/>
      </w:rPr>
    </w:lvl>
    <w:lvl w:ilvl="8" w:tplc="A3488EEA">
      <w:numFmt w:val="bullet"/>
      <w:lvlText w:val="•"/>
      <w:lvlJc w:val="left"/>
      <w:pPr>
        <w:ind w:left="1684" w:hanging="217"/>
      </w:pPr>
      <w:rPr>
        <w:rFonts w:hint="default"/>
        <w:lang w:val="en-GB" w:eastAsia="en-GB" w:bidi="en-GB"/>
      </w:rPr>
    </w:lvl>
  </w:abstractNum>
  <w:abstractNum w:abstractNumId="18" w15:restartNumberingAfterBreak="0">
    <w:nsid w:val="02176DBA"/>
    <w:multiLevelType w:val="hybridMultilevel"/>
    <w:tmpl w:val="76562CA0"/>
    <w:lvl w:ilvl="0" w:tplc="54B299BC">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2BFCE826">
      <w:numFmt w:val="bullet"/>
      <w:lvlText w:val="•"/>
      <w:lvlJc w:val="left"/>
      <w:pPr>
        <w:ind w:left="541" w:hanging="217"/>
      </w:pPr>
      <w:rPr>
        <w:rFonts w:hint="default"/>
        <w:lang w:val="en-GB" w:eastAsia="en-GB" w:bidi="en-GB"/>
      </w:rPr>
    </w:lvl>
    <w:lvl w:ilvl="2" w:tplc="B810EC78">
      <w:numFmt w:val="bullet"/>
      <w:lvlText w:val="•"/>
      <w:lvlJc w:val="left"/>
      <w:pPr>
        <w:ind w:left="782" w:hanging="217"/>
      </w:pPr>
      <w:rPr>
        <w:rFonts w:hint="default"/>
        <w:lang w:val="en-GB" w:eastAsia="en-GB" w:bidi="en-GB"/>
      </w:rPr>
    </w:lvl>
    <w:lvl w:ilvl="3" w:tplc="6AB4D550">
      <w:numFmt w:val="bullet"/>
      <w:lvlText w:val="•"/>
      <w:lvlJc w:val="left"/>
      <w:pPr>
        <w:ind w:left="1023" w:hanging="217"/>
      </w:pPr>
      <w:rPr>
        <w:rFonts w:hint="default"/>
        <w:lang w:val="en-GB" w:eastAsia="en-GB" w:bidi="en-GB"/>
      </w:rPr>
    </w:lvl>
    <w:lvl w:ilvl="4" w:tplc="F678131A">
      <w:numFmt w:val="bullet"/>
      <w:lvlText w:val="•"/>
      <w:lvlJc w:val="left"/>
      <w:pPr>
        <w:ind w:left="1264" w:hanging="217"/>
      </w:pPr>
      <w:rPr>
        <w:rFonts w:hint="default"/>
        <w:lang w:val="en-GB" w:eastAsia="en-GB" w:bidi="en-GB"/>
      </w:rPr>
    </w:lvl>
    <w:lvl w:ilvl="5" w:tplc="08E4940C">
      <w:numFmt w:val="bullet"/>
      <w:lvlText w:val="•"/>
      <w:lvlJc w:val="left"/>
      <w:pPr>
        <w:ind w:left="1505" w:hanging="217"/>
      </w:pPr>
      <w:rPr>
        <w:rFonts w:hint="default"/>
        <w:lang w:val="en-GB" w:eastAsia="en-GB" w:bidi="en-GB"/>
      </w:rPr>
    </w:lvl>
    <w:lvl w:ilvl="6" w:tplc="F9749EAC">
      <w:numFmt w:val="bullet"/>
      <w:lvlText w:val="•"/>
      <w:lvlJc w:val="left"/>
      <w:pPr>
        <w:ind w:left="1746" w:hanging="217"/>
      </w:pPr>
      <w:rPr>
        <w:rFonts w:hint="default"/>
        <w:lang w:val="en-GB" w:eastAsia="en-GB" w:bidi="en-GB"/>
      </w:rPr>
    </w:lvl>
    <w:lvl w:ilvl="7" w:tplc="9DA4464C">
      <w:numFmt w:val="bullet"/>
      <w:lvlText w:val="•"/>
      <w:lvlJc w:val="left"/>
      <w:pPr>
        <w:ind w:left="1987" w:hanging="217"/>
      </w:pPr>
      <w:rPr>
        <w:rFonts w:hint="default"/>
        <w:lang w:val="en-GB" w:eastAsia="en-GB" w:bidi="en-GB"/>
      </w:rPr>
    </w:lvl>
    <w:lvl w:ilvl="8" w:tplc="3E70AB4C">
      <w:numFmt w:val="bullet"/>
      <w:lvlText w:val="•"/>
      <w:lvlJc w:val="left"/>
      <w:pPr>
        <w:ind w:left="2228" w:hanging="217"/>
      </w:pPr>
      <w:rPr>
        <w:rFonts w:hint="default"/>
        <w:lang w:val="en-GB" w:eastAsia="en-GB" w:bidi="en-GB"/>
      </w:rPr>
    </w:lvl>
  </w:abstractNum>
  <w:abstractNum w:abstractNumId="19" w15:restartNumberingAfterBreak="0">
    <w:nsid w:val="02220A91"/>
    <w:multiLevelType w:val="hybridMultilevel"/>
    <w:tmpl w:val="13644194"/>
    <w:lvl w:ilvl="0" w:tplc="41C6946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7A2EBD2">
      <w:numFmt w:val="bullet"/>
      <w:lvlText w:val="•"/>
      <w:lvlJc w:val="left"/>
      <w:pPr>
        <w:ind w:left="473" w:hanging="217"/>
      </w:pPr>
      <w:rPr>
        <w:rFonts w:hint="default"/>
        <w:lang w:val="en-GB" w:eastAsia="en-GB" w:bidi="en-GB"/>
      </w:rPr>
    </w:lvl>
    <w:lvl w:ilvl="2" w:tplc="8B664F3C">
      <w:numFmt w:val="bullet"/>
      <w:lvlText w:val="•"/>
      <w:lvlJc w:val="left"/>
      <w:pPr>
        <w:ind w:left="646" w:hanging="217"/>
      </w:pPr>
      <w:rPr>
        <w:rFonts w:hint="default"/>
        <w:lang w:val="en-GB" w:eastAsia="en-GB" w:bidi="en-GB"/>
      </w:rPr>
    </w:lvl>
    <w:lvl w:ilvl="3" w:tplc="270AF704">
      <w:numFmt w:val="bullet"/>
      <w:lvlText w:val="•"/>
      <w:lvlJc w:val="left"/>
      <w:pPr>
        <w:ind w:left="819" w:hanging="217"/>
      </w:pPr>
      <w:rPr>
        <w:rFonts w:hint="default"/>
        <w:lang w:val="en-GB" w:eastAsia="en-GB" w:bidi="en-GB"/>
      </w:rPr>
    </w:lvl>
    <w:lvl w:ilvl="4" w:tplc="15CC77EE">
      <w:numFmt w:val="bullet"/>
      <w:lvlText w:val="•"/>
      <w:lvlJc w:val="left"/>
      <w:pPr>
        <w:ind w:left="992" w:hanging="217"/>
      </w:pPr>
      <w:rPr>
        <w:rFonts w:hint="default"/>
        <w:lang w:val="en-GB" w:eastAsia="en-GB" w:bidi="en-GB"/>
      </w:rPr>
    </w:lvl>
    <w:lvl w:ilvl="5" w:tplc="54801352">
      <w:numFmt w:val="bullet"/>
      <w:lvlText w:val="•"/>
      <w:lvlJc w:val="left"/>
      <w:pPr>
        <w:ind w:left="1165" w:hanging="217"/>
      </w:pPr>
      <w:rPr>
        <w:rFonts w:hint="default"/>
        <w:lang w:val="en-GB" w:eastAsia="en-GB" w:bidi="en-GB"/>
      </w:rPr>
    </w:lvl>
    <w:lvl w:ilvl="6" w:tplc="77FEE02A">
      <w:numFmt w:val="bullet"/>
      <w:lvlText w:val="•"/>
      <w:lvlJc w:val="left"/>
      <w:pPr>
        <w:ind w:left="1338" w:hanging="217"/>
      </w:pPr>
      <w:rPr>
        <w:rFonts w:hint="default"/>
        <w:lang w:val="en-GB" w:eastAsia="en-GB" w:bidi="en-GB"/>
      </w:rPr>
    </w:lvl>
    <w:lvl w:ilvl="7" w:tplc="6012030A">
      <w:numFmt w:val="bullet"/>
      <w:lvlText w:val="•"/>
      <w:lvlJc w:val="left"/>
      <w:pPr>
        <w:ind w:left="1511" w:hanging="217"/>
      </w:pPr>
      <w:rPr>
        <w:rFonts w:hint="default"/>
        <w:lang w:val="en-GB" w:eastAsia="en-GB" w:bidi="en-GB"/>
      </w:rPr>
    </w:lvl>
    <w:lvl w:ilvl="8" w:tplc="F398D7E2">
      <w:numFmt w:val="bullet"/>
      <w:lvlText w:val="•"/>
      <w:lvlJc w:val="left"/>
      <w:pPr>
        <w:ind w:left="1684" w:hanging="217"/>
      </w:pPr>
      <w:rPr>
        <w:rFonts w:hint="default"/>
        <w:lang w:val="en-GB" w:eastAsia="en-GB" w:bidi="en-GB"/>
      </w:rPr>
    </w:lvl>
  </w:abstractNum>
  <w:abstractNum w:abstractNumId="20" w15:restartNumberingAfterBreak="0">
    <w:nsid w:val="023558F0"/>
    <w:multiLevelType w:val="hybridMultilevel"/>
    <w:tmpl w:val="81DC3D3C"/>
    <w:lvl w:ilvl="0" w:tplc="AC8264F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EBE4F50">
      <w:numFmt w:val="bullet"/>
      <w:lvlText w:val="•"/>
      <w:lvlJc w:val="left"/>
      <w:pPr>
        <w:ind w:left="892" w:hanging="217"/>
      </w:pPr>
      <w:rPr>
        <w:rFonts w:hint="default"/>
        <w:lang w:val="en-GB" w:eastAsia="en-GB" w:bidi="en-GB"/>
      </w:rPr>
    </w:lvl>
    <w:lvl w:ilvl="2" w:tplc="03E01A8E">
      <w:numFmt w:val="bullet"/>
      <w:lvlText w:val="•"/>
      <w:lvlJc w:val="left"/>
      <w:pPr>
        <w:ind w:left="1485" w:hanging="217"/>
      </w:pPr>
      <w:rPr>
        <w:rFonts w:hint="default"/>
        <w:lang w:val="en-GB" w:eastAsia="en-GB" w:bidi="en-GB"/>
      </w:rPr>
    </w:lvl>
    <w:lvl w:ilvl="3" w:tplc="2D266386">
      <w:numFmt w:val="bullet"/>
      <w:lvlText w:val="•"/>
      <w:lvlJc w:val="left"/>
      <w:pPr>
        <w:ind w:left="2077" w:hanging="217"/>
      </w:pPr>
      <w:rPr>
        <w:rFonts w:hint="default"/>
        <w:lang w:val="en-GB" w:eastAsia="en-GB" w:bidi="en-GB"/>
      </w:rPr>
    </w:lvl>
    <w:lvl w:ilvl="4" w:tplc="7CC27E1E">
      <w:numFmt w:val="bullet"/>
      <w:lvlText w:val="•"/>
      <w:lvlJc w:val="left"/>
      <w:pPr>
        <w:ind w:left="2670" w:hanging="217"/>
      </w:pPr>
      <w:rPr>
        <w:rFonts w:hint="default"/>
        <w:lang w:val="en-GB" w:eastAsia="en-GB" w:bidi="en-GB"/>
      </w:rPr>
    </w:lvl>
    <w:lvl w:ilvl="5" w:tplc="D73A4406">
      <w:numFmt w:val="bullet"/>
      <w:lvlText w:val="•"/>
      <w:lvlJc w:val="left"/>
      <w:pPr>
        <w:ind w:left="3263" w:hanging="217"/>
      </w:pPr>
      <w:rPr>
        <w:rFonts w:hint="default"/>
        <w:lang w:val="en-GB" w:eastAsia="en-GB" w:bidi="en-GB"/>
      </w:rPr>
    </w:lvl>
    <w:lvl w:ilvl="6" w:tplc="00C00428">
      <w:numFmt w:val="bullet"/>
      <w:lvlText w:val="•"/>
      <w:lvlJc w:val="left"/>
      <w:pPr>
        <w:ind w:left="3855" w:hanging="217"/>
      </w:pPr>
      <w:rPr>
        <w:rFonts w:hint="default"/>
        <w:lang w:val="en-GB" w:eastAsia="en-GB" w:bidi="en-GB"/>
      </w:rPr>
    </w:lvl>
    <w:lvl w:ilvl="7" w:tplc="E9EA61F6">
      <w:numFmt w:val="bullet"/>
      <w:lvlText w:val="•"/>
      <w:lvlJc w:val="left"/>
      <w:pPr>
        <w:ind w:left="4448" w:hanging="217"/>
      </w:pPr>
      <w:rPr>
        <w:rFonts w:hint="default"/>
        <w:lang w:val="en-GB" w:eastAsia="en-GB" w:bidi="en-GB"/>
      </w:rPr>
    </w:lvl>
    <w:lvl w:ilvl="8" w:tplc="91C0F042">
      <w:numFmt w:val="bullet"/>
      <w:lvlText w:val="•"/>
      <w:lvlJc w:val="left"/>
      <w:pPr>
        <w:ind w:left="5040" w:hanging="217"/>
      </w:pPr>
      <w:rPr>
        <w:rFonts w:hint="default"/>
        <w:lang w:val="en-GB" w:eastAsia="en-GB" w:bidi="en-GB"/>
      </w:rPr>
    </w:lvl>
  </w:abstractNum>
  <w:abstractNum w:abstractNumId="21" w15:restartNumberingAfterBreak="0">
    <w:nsid w:val="024708E2"/>
    <w:multiLevelType w:val="hybridMultilevel"/>
    <w:tmpl w:val="0BFAB6F2"/>
    <w:lvl w:ilvl="0" w:tplc="105E4F64">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421458AA">
      <w:numFmt w:val="bullet"/>
      <w:lvlText w:val="•"/>
      <w:lvlJc w:val="left"/>
      <w:pPr>
        <w:ind w:left="524" w:hanging="217"/>
      </w:pPr>
      <w:rPr>
        <w:rFonts w:hint="default"/>
        <w:lang w:val="en-GB" w:eastAsia="en-GB" w:bidi="en-GB"/>
      </w:rPr>
    </w:lvl>
    <w:lvl w:ilvl="2" w:tplc="D64CAAB6">
      <w:numFmt w:val="bullet"/>
      <w:lvlText w:val="•"/>
      <w:lvlJc w:val="left"/>
      <w:pPr>
        <w:ind w:left="748" w:hanging="217"/>
      </w:pPr>
      <w:rPr>
        <w:rFonts w:hint="default"/>
        <w:lang w:val="en-GB" w:eastAsia="en-GB" w:bidi="en-GB"/>
      </w:rPr>
    </w:lvl>
    <w:lvl w:ilvl="3" w:tplc="725836F2">
      <w:numFmt w:val="bullet"/>
      <w:lvlText w:val="•"/>
      <w:lvlJc w:val="left"/>
      <w:pPr>
        <w:ind w:left="972" w:hanging="217"/>
      </w:pPr>
      <w:rPr>
        <w:rFonts w:hint="default"/>
        <w:lang w:val="en-GB" w:eastAsia="en-GB" w:bidi="en-GB"/>
      </w:rPr>
    </w:lvl>
    <w:lvl w:ilvl="4" w:tplc="3B2433B6">
      <w:numFmt w:val="bullet"/>
      <w:lvlText w:val="•"/>
      <w:lvlJc w:val="left"/>
      <w:pPr>
        <w:ind w:left="1196" w:hanging="217"/>
      </w:pPr>
      <w:rPr>
        <w:rFonts w:hint="default"/>
        <w:lang w:val="en-GB" w:eastAsia="en-GB" w:bidi="en-GB"/>
      </w:rPr>
    </w:lvl>
    <w:lvl w:ilvl="5" w:tplc="1E5897C0">
      <w:numFmt w:val="bullet"/>
      <w:lvlText w:val="•"/>
      <w:lvlJc w:val="left"/>
      <w:pPr>
        <w:ind w:left="1420" w:hanging="217"/>
      </w:pPr>
      <w:rPr>
        <w:rFonts w:hint="default"/>
        <w:lang w:val="en-GB" w:eastAsia="en-GB" w:bidi="en-GB"/>
      </w:rPr>
    </w:lvl>
    <w:lvl w:ilvl="6" w:tplc="10BEB646">
      <w:numFmt w:val="bullet"/>
      <w:lvlText w:val="•"/>
      <w:lvlJc w:val="left"/>
      <w:pPr>
        <w:ind w:left="1644" w:hanging="217"/>
      </w:pPr>
      <w:rPr>
        <w:rFonts w:hint="default"/>
        <w:lang w:val="en-GB" w:eastAsia="en-GB" w:bidi="en-GB"/>
      </w:rPr>
    </w:lvl>
    <w:lvl w:ilvl="7" w:tplc="1E02B2F8">
      <w:numFmt w:val="bullet"/>
      <w:lvlText w:val="•"/>
      <w:lvlJc w:val="left"/>
      <w:pPr>
        <w:ind w:left="1868" w:hanging="217"/>
      </w:pPr>
      <w:rPr>
        <w:rFonts w:hint="default"/>
        <w:lang w:val="en-GB" w:eastAsia="en-GB" w:bidi="en-GB"/>
      </w:rPr>
    </w:lvl>
    <w:lvl w:ilvl="8" w:tplc="647AF9A4">
      <w:numFmt w:val="bullet"/>
      <w:lvlText w:val="•"/>
      <w:lvlJc w:val="left"/>
      <w:pPr>
        <w:ind w:left="2092" w:hanging="217"/>
      </w:pPr>
      <w:rPr>
        <w:rFonts w:hint="default"/>
        <w:lang w:val="en-GB" w:eastAsia="en-GB" w:bidi="en-GB"/>
      </w:rPr>
    </w:lvl>
  </w:abstractNum>
  <w:abstractNum w:abstractNumId="22" w15:restartNumberingAfterBreak="0">
    <w:nsid w:val="024D66C6"/>
    <w:multiLevelType w:val="hybridMultilevel"/>
    <w:tmpl w:val="0AA0F3DE"/>
    <w:lvl w:ilvl="0" w:tplc="449EAD36">
      <w:numFmt w:val="bullet"/>
      <w:lvlText w:val="•"/>
      <w:lvlJc w:val="left"/>
      <w:pPr>
        <w:ind w:left="306" w:hanging="217"/>
      </w:pPr>
      <w:rPr>
        <w:rFonts w:ascii="Arial" w:eastAsia="Arial" w:hAnsi="Arial" w:cs="Arial" w:hint="default"/>
        <w:color w:val="231F20"/>
        <w:spacing w:val="-7"/>
        <w:w w:val="100"/>
        <w:sz w:val="18"/>
        <w:szCs w:val="18"/>
        <w:lang w:val="en-GB" w:eastAsia="en-GB" w:bidi="en-GB"/>
      </w:rPr>
    </w:lvl>
    <w:lvl w:ilvl="1" w:tplc="8E6C5A62">
      <w:numFmt w:val="bullet"/>
      <w:lvlText w:val="•"/>
      <w:lvlJc w:val="left"/>
      <w:pPr>
        <w:ind w:left="444" w:hanging="217"/>
      </w:pPr>
      <w:rPr>
        <w:rFonts w:hint="default"/>
        <w:lang w:val="en-GB" w:eastAsia="en-GB" w:bidi="en-GB"/>
      </w:rPr>
    </w:lvl>
    <w:lvl w:ilvl="2" w:tplc="D04ECD28">
      <w:numFmt w:val="bullet"/>
      <w:lvlText w:val="•"/>
      <w:lvlJc w:val="left"/>
      <w:pPr>
        <w:ind w:left="589" w:hanging="217"/>
      </w:pPr>
      <w:rPr>
        <w:rFonts w:hint="default"/>
        <w:lang w:val="en-GB" w:eastAsia="en-GB" w:bidi="en-GB"/>
      </w:rPr>
    </w:lvl>
    <w:lvl w:ilvl="3" w:tplc="301E7BA6">
      <w:numFmt w:val="bullet"/>
      <w:lvlText w:val="•"/>
      <w:lvlJc w:val="left"/>
      <w:pPr>
        <w:ind w:left="734" w:hanging="217"/>
      </w:pPr>
      <w:rPr>
        <w:rFonts w:hint="default"/>
        <w:lang w:val="en-GB" w:eastAsia="en-GB" w:bidi="en-GB"/>
      </w:rPr>
    </w:lvl>
    <w:lvl w:ilvl="4" w:tplc="FC3E622C">
      <w:numFmt w:val="bullet"/>
      <w:lvlText w:val="•"/>
      <w:lvlJc w:val="left"/>
      <w:pPr>
        <w:ind w:left="878" w:hanging="217"/>
      </w:pPr>
      <w:rPr>
        <w:rFonts w:hint="default"/>
        <w:lang w:val="en-GB" w:eastAsia="en-GB" w:bidi="en-GB"/>
      </w:rPr>
    </w:lvl>
    <w:lvl w:ilvl="5" w:tplc="CBFC1606">
      <w:numFmt w:val="bullet"/>
      <w:lvlText w:val="•"/>
      <w:lvlJc w:val="left"/>
      <w:pPr>
        <w:ind w:left="1023" w:hanging="217"/>
      </w:pPr>
      <w:rPr>
        <w:rFonts w:hint="default"/>
        <w:lang w:val="en-GB" w:eastAsia="en-GB" w:bidi="en-GB"/>
      </w:rPr>
    </w:lvl>
    <w:lvl w:ilvl="6" w:tplc="2A6849A6">
      <w:numFmt w:val="bullet"/>
      <w:lvlText w:val="•"/>
      <w:lvlJc w:val="left"/>
      <w:pPr>
        <w:ind w:left="1168" w:hanging="217"/>
      </w:pPr>
      <w:rPr>
        <w:rFonts w:hint="default"/>
        <w:lang w:val="en-GB" w:eastAsia="en-GB" w:bidi="en-GB"/>
      </w:rPr>
    </w:lvl>
    <w:lvl w:ilvl="7" w:tplc="C6AC42D6">
      <w:numFmt w:val="bullet"/>
      <w:lvlText w:val="•"/>
      <w:lvlJc w:val="left"/>
      <w:pPr>
        <w:ind w:left="1312" w:hanging="217"/>
      </w:pPr>
      <w:rPr>
        <w:rFonts w:hint="default"/>
        <w:lang w:val="en-GB" w:eastAsia="en-GB" w:bidi="en-GB"/>
      </w:rPr>
    </w:lvl>
    <w:lvl w:ilvl="8" w:tplc="6D3AC6A8">
      <w:numFmt w:val="bullet"/>
      <w:lvlText w:val="•"/>
      <w:lvlJc w:val="left"/>
      <w:pPr>
        <w:ind w:left="1457" w:hanging="217"/>
      </w:pPr>
      <w:rPr>
        <w:rFonts w:hint="default"/>
        <w:lang w:val="en-GB" w:eastAsia="en-GB" w:bidi="en-GB"/>
      </w:rPr>
    </w:lvl>
  </w:abstractNum>
  <w:abstractNum w:abstractNumId="23" w15:restartNumberingAfterBreak="0">
    <w:nsid w:val="02731CAE"/>
    <w:multiLevelType w:val="hybridMultilevel"/>
    <w:tmpl w:val="EC5899EC"/>
    <w:lvl w:ilvl="0" w:tplc="63E8412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024816E">
      <w:numFmt w:val="bullet"/>
      <w:lvlText w:val="•"/>
      <w:lvlJc w:val="left"/>
      <w:pPr>
        <w:ind w:left="892" w:hanging="217"/>
      </w:pPr>
      <w:rPr>
        <w:rFonts w:hint="default"/>
        <w:lang w:val="en-GB" w:eastAsia="en-GB" w:bidi="en-GB"/>
      </w:rPr>
    </w:lvl>
    <w:lvl w:ilvl="2" w:tplc="FC3C2324">
      <w:numFmt w:val="bullet"/>
      <w:lvlText w:val="•"/>
      <w:lvlJc w:val="left"/>
      <w:pPr>
        <w:ind w:left="1485" w:hanging="217"/>
      </w:pPr>
      <w:rPr>
        <w:rFonts w:hint="default"/>
        <w:lang w:val="en-GB" w:eastAsia="en-GB" w:bidi="en-GB"/>
      </w:rPr>
    </w:lvl>
    <w:lvl w:ilvl="3" w:tplc="7E0AD674">
      <w:numFmt w:val="bullet"/>
      <w:lvlText w:val="•"/>
      <w:lvlJc w:val="left"/>
      <w:pPr>
        <w:ind w:left="2077" w:hanging="217"/>
      </w:pPr>
      <w:rPr>
        <w:rFonts w:hint="default"/>
        <w:lang w:val="en-GB" w:eastAsia="en-GB" w:bidi="en-GB"/>
      </w:rPr>
    </w:lvl>
    <w:lvl w:ilvl="4" w:tplc="E2F46BF6">
      <w:numFmt w:val="bullet"/>
      <w:lvlText w:val="•"/>
      <w:lvlJc w:val="left"/>
      <w:pPr>
        <w:ind w:left="2670" w:hanging="217"/>
      </w:pPr>
      <w:rPr>
        <w:rFonts w:hint="default"/>
        <w:lang w:val="en-GB" w:eastAsia="en-GB" w:bidi="en-GB"/>
      </w:rPr>
    </w:lvl>
    <w:lvl w:ilvl="5" w:tplc="58788FE0">
      <w:numFmt w:val="bullet"/>
      <w:lvlText w:val="•"/>
      <w:lvlJc w:val="left"/>
      <w:pPr>
        <w:ind w:left="3263" w:hanging="217"/>
      </w:pPr>
      <w:rPr>
        <w:rFonts w:hint="default"/>
        <w:lang w:val="en-GB" w:eastAsia="en-GB" w:bidi="en-GB"/>
      </w:rPr>
    </w:lvl>
    <w:lvl w:ilvl="6" w:tplc="2B32AC34">
      <w:numFmt w:val="bullet"/>
      <w:lvlText w:val="•"/>
      <w:lvlJc w:val="left"/>
      <w:pPr>
        <w:ind w:left="3855" w:hanging="217"/>
      </w:pPr>
      <w:rPr>
        <w:rFonts w:hint="default"/>
        <w:lang w:val="en-GB" w:eastAsia="en-GB" w:bidi="en-GB"/>
      </w:rPr>
    </w:lvl>
    <w:lvl w:ilvl="7" w:tplc="EC5AE206">
      <w:numFmt w:val="bullet"/>
      <w:lvlText w:val="•"/>
      <w:lvlJc w:val="left"/>
      <w:pPr>
        <w:ind w:left="4448" w:hanging="217"/>
      </w:pPr>
      <w:rPr>
        <w:rFonts w:hint="default"/>
        <w:lang w:val="en-GB" w:eastAsia="en-GB" w:bidi="en-GB"/>
      </w:rPr>
    </w:lvl>
    <w:lvl w:ilvl="8" w:tplc="7DE423D6">
      <w:numFmt w:val="bullet"/>
      <w:lvlText w:val="•"/>
      <w:lvlJc w:val="left"/>
      <w:pPr>
        <w:ind w:left="5040" w:hanging="217"/>
      </w:pPr>
      <w:rPr>
        <w:rFonts w:hint="default"/>
        <w:lang w:val="en-GB" w:eastAsia="en-GB" w:bidi="en-GB"/>
      </w:rPr>
    </w:lvl>
  </w:abstractNum>
  <w:abstractNum w:abstractNumId="24" w15:restartNumberingAfterBreak="0">
    <w:nsid w:val="027F68D8"/>
    <w:multiLevelType w:val="hybridMultilevel"/>
    <w:tmpl w:val="0898F79C"/>
    <w:lvl w:ilvl="0" w:tplc="A0820416">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140E9E7C">
      <w:numFmt w:val="bullet"/>
      <w:lvlText w:val="•"/>
      <w:lvlJc w:val="left"/>
      <w:pPr>
        <w:ind w:left="473" w:hanging="217"/>
      </w:pPr>
      <w:rPr>
        <w:rFonts w:hint="default"/>
        <w:lang w:val="en-GB" w:eastAsia="en-GB" w:bidi="en-GB"/>
      </w:rPr>
    </w:lvl>
    <w:lvl w:ilvl="2" w:tplc="6DE0C400">
      <w:numFmt w:val="bullet"/>
      <w:lvlText w:val="•"/>
      <w:lvlJc w:val="left"/>
      <w:pPr>
        <w:ind w:left="646" w:hanging="217"/>
      </w:pPr>
      <w:rPr>
        <w:rFonts w:hint="default"/>
        <w:lang w:val="en-GB" w:eastAsia="en-GB" w:bidi="en-GB"/>
      </w:rPr>
    </w:lvl>
    <w:lvl w:ilvl="3" w:tplc="AB88F4C4">
      <w:numFmt w:val="bullet"/>
      <w:lvlText w:val="•"/>
      <w:lvlJc w:val="left"/>
      <w:pPr>
        <w:ind w:left="819" w:hanging="217"/>
      </w:pPr>
      <w:rPr>
        <w:rFonts w:hint="default"/>
        <w:lang w:val="en-GB" w:eastAsia="en-GB" w:bidi="en-GB"/>
      </w:rPr>
    </w:lvl>
    <w:lvl w:ilvl="4" w:tplc="99500B04">
      <w:numFmt w:val="bullet"/>
      <w:lvlText w:val="•"/>
      <w:lvlJc w:val="left"/>
      <w:pPr>
        <w:ind w:left="992" w:hanging="217"/>
      </w:pPr>
      <w:rPr>
        <w:rFonts w:hint="default"/>
        <w:lang w:val="en-GB" w:eastAsia="en-GB" w:bidi="en-GB"/>
      </w:rPr>
    </w:lvl>
    <w:lvl w:ilvl="5" w:tplc="E99EE1A6">
      <w:numFmt w:val="bullet"/>
      <w:lvlText w:val="•"/>
      <w:lvlJc w:val="left"/>
      <w:pPr>
        <w:ind w:left="1165" w:hanging="217"/>
      </w:pPr>
      <w:rPr>
        <w:rFonts w:hint="default"/>
        <w:lang w:val="en-GB" w:eastAsia="en-GB" w:bidi="en-GB"/>
      </w:rPr>
    </w:lvl>
    <w:lvl w:ilvl="6" w:tplc="17440ED4">
      <w:numFmt w:val="bullet"/>
      <w:lvlText w:val="•"/>
      <w:lvlJc w:val="left"/>
      <w:pPr>
        <w:ind w:left="1338" w:hanging="217"/>
      </w:pPr>
      <w:rPr>
        <w:rFonts w:hint="default"/>
        <w:lang w:val="en-GB" w:eastAsia="en-GB" w:bidi="en-GB"/>
      </w:rPr>
    </w:lvl>
    <w:lvl w:ilvl="7" w:tplc="41D63F4A">
      <w:numFmt w:val="bullet"/>
      <w:lvlText w:val="•"/>
      <w:lvlJc w:val="left"/>
      <w:pPr>
        <w:ind w:left="1511" w:hanging="217"/>
      </w:pPr>
      <w:rPr>
        <w:rFonts w:hint="default"/>
        <w:lang w:val="en-GB" w:eastAsia="en-GB" w:bidi="en-GB"/>
      </w:rPr>
    </w:lvl>
    <w:lvl w:ilvl="8" w:tplc="87EE27EA">
      <w:numFmt w:val="bullet"/>
      <w:lvlText w:val="•"/>
      <w:lvlJc w:val="left"/>
      <w:pPr>
        <w:ind w:left="1684" w:hanging="217"/>
      </w:pPr>
      <w:rPr>
        <w:rFonts w:hint="default"/>
        <w:lang w:val="en-GB" w:eastAsia="en-GB" w:bidi="en-GB"/>
      </w:rPr>
    </w:lvl>
  </w:abstractNum>
  <w:abstractNum w:abstractNumId="25" w15:restartNumberingAfterBreak="0">
    <w:nsid w:val="029E0BF0"/>
    <w:multiLevelType w:val="hybridMultilevel"/>
    <w:tmpl w:val="485E9638"/>
    <w:lvl w:ilvl="0" w:tplc="6DB08BBA">
      <w:numFmt w:val="bullet"/>
      <w:lvlText w:val="•"/>
      <w:lvlJc w:val="left"/>
      <w:pPr>
        <w:ind w:left="300" w:hanging="217"/>
      </w:pPr>
      <w:rPr>
        <w:rFonts w:ascii="Arial" w:eastAsia="Arial" w:hAnsi="Arial" w:cs="Arial" w:hint="default"/>
        <w:color w:val="231F20"/>
        <w:w w:val="102"/>
        <w:sz w:val="17"/>
        <w:szCs w:val="17"/>
        <w:lang w:val="en-GB" w:eastAsia="en-GB" w:bidi="en-GB"/>
      </w:rPr>
    </w:lvl>
    <w:lvl w:ilvl="1" w:tplc="F4FCF302">
      <w:numFmt w:val="bullet"/>
      <w:lvlText w:val="•"/>
      <w:lvlJc w:val="left"/>
      <w:pPr>
        <w:ind w:left="892" w:hanging="217"/>
      </w:pPr>
      <w:rPr>
        <w:rFonts w:hint="default"/>
        <w:lang w:val="en-GB" w:eastAsia="en-GB" w:bidi="en-GB"/>
      </w:rPr>
    </w:lvl>
    <w:lvl w:ilvl="2" w:tplc="4648CB62">
      <w:numFmt w:val="bullet"/>
      <w:lvlText w:val="•"/>
      <w:lvlJc w:val="left"/>
      <w:pPr>
        <w:ind w:left="1484" w:hanging="217"/>
      </w:pPr>
      <w:rPr>
        <w:rFonts w:hint="default"/>
        <w:lang w:val="en-GB" w:eastAsia="en-GB" w:bidi="en-GB"/>
      </w:rPr>
    </w:lvl>
    <w:lvl w:ilvl="3" w:tplc="EABA71B0">
      <w:numFmt w:val="bullet"/>
      <w:lvlText w:val="•"/>
      <w:lvlJc w:val="left"/>
      <w:pPr>
        <w:ind w:left="2076" w:hanging="217"/>
      </w:pPr>
      <w:rPr>
        <w:rFonts w:hint="default"/>
        <w:lang w:val="en-GB" w:eastAsia="en-GB" w:bidi="en-GB"/>
      </w:rPr>
    </w:lvl>
    <w:lvl w:ilvl="4" w:tplc="F8B608A8">
      <w:numFmt w:val="bullet"/>
      <w:lvlText w:val="•"/>
      <w:lvlJc w:val="left"/>
      <w:pPr>
        <w:ind w:left="2668" w:hanging="217"/>
      </w:pPr>
      <w:rPr>
        <w:rFonts w:hint="default"/>
        <w:lang w:val="en-GB" w:eastAsia="en-GB" w:bidi="en-GB"/>
      </w:rPr>
    </w:lvl>
    <w:lvl w:ilvl="5" w:tplc="96389076">
      <w:numFmt w:val="bullet"/>
      <w:lvlText w:val="•"/>
      <w:lvlJc w:val="left"/>
      <w:pPr>
        <w:ind w:left="3260" w:hanging="217"/>
      </w:pPr>
      <w:rPr>
        <w:rFonts w:hint="default"/>
        <w:lang w:val="en-GB" w:eastAsia="en-GB" w:bidi="en-GB"/>
      </w:rPr>
    </w:lvl>
    <w:lvl w:ilvl="6" w:tplc="9E385724">
      <w:numFmt w:val="bullet"/>
      <w:lvlText w:val="•"/>
      <w:lvlJc w:val="left"/>
      <w:pPr>
        <w:ind w:left="3852" w:hanging="217"/>
      </w:pPr>
      <w:rPr>
        <w:rFonts w:hint="default"/>
        <w:lang w:val="en-GB" w:eastAsia="en-GB" w:bidi="en-GB"/>
      </w:rPr>
    </w:lvl>
    <w:lvl w:ilvl="7" w:tplc="73D4208E">
      <w:numFmt w:val="bullet"/>
      <w:lvlText w:val="•"/>
      <w:lvlJc w:val="left"/>
      <w:pPr>
        <w:ind w:left="4444" w:hanging="217"/>
      </w:pPr>
      <w:rPr>
        <w:rFonts w:hint="default"/>
        <w:lang w:val="en-GB" w:eastAsia="en-GB" w:bidi="en-GB"/>
      </w:rPr>
    </w:lvl>
    <w:lvl w:ilvl="8" w:tplc="29EA5C8C">
      <w:numFmt w:val="bullet"/>
      <w:lvlText w:val="•"/>
      <w:lvlJc w:val="left"/>
      <w:pPr>
        <w:ind w:left="5036" w:hanging="217"/>
      </w:pPr>
      <w:rPr>
        <w:rFonts w:hint="default"/>
        <w:lang w:val="en-GB" w:eastAsia="en-GB" w:bidi="en-GB"/>
      </w:rPr>
    </w:lvl>
  </w:abstractNum>
  <w:abstractNum w:abstractNumId="26" w15:restartNumberingAfterBreak="0">
    <w:nsid w:val="02A3621B"/>
    <w:multiLevelType w:val="hybridMultilevel"/>
    <w:tmpl w:val="CC74FE8E"/>
    <w:lvl w:ilvl="0" w:tplc="5632241A">
      <w:numFmt w:val="bullet"/>
      <w:lvlText w:val="•"/>
      <w:lvlJc w:val="left"/>
      <w:pPr>
        <w:ind w:left="299" w:hanging="217"/>
      </w:pPr>
      <w:rPr>
        <w:rFonts w:ascii="Arial" w:eastAsia="Arial" w:hAnsi="Arial" w:cs="Arial" w:hint="default"/>
        <w:color w:val="231F20"/>
        <w:w w:val="102"/>
        <w:sz w:val="17"/>
        <w:szCs w:val="17"/>
        <w:lang w:val="en-GB" w:eastAsia="en-GB" w:bidi="en-GB"/>
      </w:rPr>
    </w:lvl>
    <w:lvl w:ilvl="1" w:tplc="57FCE76C">
      <w:numFmt w:val="bullet"/>
      <w:lvlText w:val="•"/>
      <w:lvlJc w:val="left"/>
      <w:pPr>
        <w:ind w:left="790" w:hanging="217"/>
      </w:pPr>
      <w:rPr>
        <w:rFonts w:hint="default"/>
        <w:lang w:val="en-GB" w:eastAsia="en-GB" w:bidi="en-GB"/>
      </w:rPr>
    </w:lvl>
    <w:lvl w:ilvl="2" w:tplc="A6906556">
      <w:numFmt w:val="bullet"/>
      <w:lvlText w:val="•"/>
      <w:lvlJc w:val="left"/>
      <w:pPr>
        <w:ind w:left="1280" w:hanging="217"/>
      </w:pPr>
      <w:rPr>
        <w:rFonts w:hint="default"/>
        <w:lang w:val="en-GB" w:eastAsia="en-GB" w:bidi="en-GB"/>
      </w:rPr>
    </w:lvl>
    <w:lvl w:ilvl="3" w:tplc="13005CA8">
      <w:numFmt w:val="bullet"/>
      <w:lvlText w:val="•"/>
      <w:lvlJc w:val="left"/>
      <w:pPr>
        <w:ind w:left="1770" w:hanging="217"/>
      </w:pPr>
      <w:rPr>
        <w:rFonts w:hint="default"/>
        <w:lang w:val="en-GB" w:eastAsia="en-GB" w:bidi="en-GB"/>
      </w:rPr>
    </w:lvl>
    <w:lvl w:ilvl="4" w:tplc="1FD0D0D8">
      <w:numFmt w:val="bullet"/>
      <w:lvlText w:val="•"/>
      <w:lvlJc w:val="left"/>
      <w:pPr>
        <w:ind w:left="2260" w:hanging="217"/>
      </w:pPr>
      <w:rPr>
        <w:rFonts w:hint="default"/>
        <w:lang w:val="en-GB" w:eastAsia="en-GB" w:bidi="en-GB"/>
      </w:rPr>
    </w:lvl>
    <w:lvl w:ilvl="5" w:tplc="A268E19A">
      <w:numFmt w:val="bullet"/>
      <w:lvlText w:val="•"/>
      <w:lvlJc w:val="left"/>
      <w:pPr>
        <w:ind w:left="2750" w:hanging="217"/>
      </w:pPr>
      <w:rPr>
        <w:rFonts w:hint="default"/>
        <w:lang w:val="en-GB" w:eastAsia="en-GB" w:bidi="en-GB"/>
      </w:rPr>
    </w:lvl>
    <w:lvl w:ilvl="6" w:tplc="903265A6">
      <w:numFmt w:val="bullet"/>
      <w:lvlText w:val="•"/>
      <w:lvlJc w:val="left"/>
      <w:pPr>
        <w:ind w:left="3240" w:hanging="217"/>
      </w:pPr>
      <w:rPr>
        <w:rFonts w:hint="default"/>
        <w:lang w:val="en-GB" w:eastAsia="en-GB" w:bidi="en-GB"/>
      </w:rPr>
    </w:lvl>
    <w:lvl w:ilvl="7" w:tplc="E9E0D0A6">
      <w:numFmt w:val="bullet"/>
      <w:lvlText w:val="•"/>
      <w:lvlJc w:val="left"/>
      <w:pPr>
        <w:ind w:left="3730" w:hanging="217"/>
      </w:pPr>
      <w:rPr>
        <w:rFonts w:hint="default"/>
        <w:lang w:val="en-GB" w:eastAsia="en-GB" w:bidi="en-GB"/>
      </w:rPr>
    </w:lvl>
    <w:lvl w:ilvl="8" w:tplc="EAEA9E44">
      <w:numFmt w:val="bullet"/>
      <w:lvlText w:val="•"/>
      <w:lvlJc w:val="left"/>
      <w:pPr>
        <w:ind w:left="4220" w:hanging="217"/>
      </w:pPr>
      <w:rPr>
        <w:rFonts w:hint="default"/>
        <w:lang w:val="en-GB" w:eastAsia="en-GB" w:bidi="en-GB"/>
      </w:rPr>
    </w:lvl>
  </w:abstractNum>
  <w:abstractNum w:abstractNumId="27" w15:restartNumberingAfterBreak="0">
    <w:nsid w:val="02B04E1B"/>
    <w:multiLevelType w:val="hybridMultilevel"/>
    <w:tmpl w:val="4538F0E0"/>
    <w:lvl w:ilvl="0" w:tplc="8380253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E448424">
      <w:numFmt w:val="bullet"/>
      <w:lvlText w:val="•"/>
      <w:lvlJc w:val="left"/>
      <w:pPr>
        <w:ind w:left="473" w:hanging="217"/>
      </w:pPr>
      <w:rPr>
        <w:rFonts w:hint="default"/>
        <w:lang w:val="en-GB" w:eastAsia="en-GB" w:bidi="en-GB"/>
      </w:rPr>
    </w:lvl>
    <w:lvl w:ilvl="2" w:tplc="C7CEBC30">
      <w:numFmt w:val="bullet"/>
      <w:lvlText w:val="•"/>
      <w:lvlJc w:val="left"/>
      <w:pPr>
        <w:ind w:left="646" w:hanging="217"/>
      </w:pPr>
      <w:rPr>
        <w:rFonts w:hint="default"/>
        <w:lang w:val="en-GB" w:eastAsia="en-GB" w:bidi="en-GB"/>
      </w:rPr>
    </w:lvl>
    <w:lvl w:ilvl="3" w:tplc="1ED412B8">
      <w:numFmt w:val="bullet"/>
      <w:lvlText w:val="•"/>
      <w:lvlJc w:val="left"/>
      <w:pPr>
        <w:ind w:left="819" w:hanging="217"/>
      </w:pPr>
      <w:rPr>
        <w:rFonts w:hint="default"/>
        <w:lang w:val="en-GB" w:eastAsia="en-GB" w:bidi="en-GB"/>
      </w:rPr>
    </w:lvl>
    <w:lvl w:ilvl="4" w:tplc="A1D4D78C">
      <w:numFmt w:val="bullet"/>
      <w:lvlText w:val="•"/>
      <w:lvlJc w:val="left"/>
      <w:pPr>
        <w:ind w:left="992" w:hanging="217"/>
      </w:pPr>
      <w:rPr>
        <w:rFonts w:hint="default"/>
        <w:lang w:val="en-GB" w:eastAsia="en-GB" w:bidi="en-GB"/>
      </w:rPr>
    </w:lvl>
    <w:lvl w:ilvl="5" w:tplc="BC720E66">
      <w:numFmt w:val="bullet"/>
      <w:lvlText w:val="•"/>
      <w:lvlJc w:val="left"/>
      <w:pPr>
        <w:ind w:left="1165" w:hanging="217"/>
      </w:pPr>
      <w:rPr>
        <w:rFonts w:hint="default"/>
        <w:lang w:val="en-GB" w:eastAsia="en-GB" w:bidi="en-GB"/>
      </w:rPr>
    </w:lvl>
    <w:lvl w:ilvl="6" w:tplc="A33CAA36">
      <w:numFmt w:val="bullet"/>
      <w:lvlText w:val="•"/>
      <w:lvlJc w:val="left"/>
      <w:pPr>
        <w:ind w:left="1338" w:hanging="217"/>
      </w:pPr>
      <w:rPr>
        <w:rFonts w:hint="default"/>
        <w:lang w:val="en-GB" w:eastAsia="en-GB" w:bidi="en-GB"/>
      </w:rPr>
    </w:lvl>
    <w:lvl w:ilvl="7" w:tplc="8828F7BA">
      <w:numFmt w:val="bullet"/>
      <w:lvlText w:val="•"/>
      <w:lvlJc w:val="left"/>
      <w:pPr>
        <w:ind w:left="1511" w:hanging="217"/>
      </w:pPr>
      <w:rPr>
        <w:rFonts w:hint="default"/>
        <w:lang w:val="en-GB" w:eastAsia="en-GB" w:bidi="en-GB"/>
      </w:rPr>
    </w:lvl>
    <w:lvl w:ilvl="8" w:tplc="1CFE88AA">
      <w:numFmt w:val="bullet"/>
      <w:lvlText w:val="•"/>
      <w:lvlJc w:val="left"/>
      <w:pPr>
        <w:ind w:left="1684" w:hanging="217"/>
      </w:pPr>
      <w:rPr>
        <w:rFonts w:hint="default"/>
        <w:lang w:val="en-GB" w:eastAsia="en-GB" w:bidi="en-GB"/>
      </w:rPr>
    </w:lvl>
  </w:abstractNum>
  <w:abstractNum w:abstractNumId="28" w15:restartNumberingAfterBreak="0">
    <w:nsid w:val="02B20920"/>
    <w:multiLevelType w:val="hybridMultilevel"/>
    <w:tmpl w:val="A67445C6"/>
    <w:lvl w:ilvl="0" w:tplc="2124D15A">
      <w:numFmt w:val="bullet"/>
      <w:lvlText w:val="•"/>
      <w:lvlJc w:val="left"/>
      <w:pPr>
        <w:ind w:left="305" w:hanging="217"/>
      </w:pPr>
      <w:rPr>
        <w:rFonts w:ascii="Arial" w:eastAsia="Arial" w:hAnsi="Arial" w:cs="Arial" w:hint="default"/>
        <w:color w:val="231F20"/>
        <w:spacing w:val="-14"/>
        <w:w w:val="100"/>
        <w:sz w:val="18"/>
        <w:szCs w:val="18"/>
        <w:lang w:val="en-GB" w:eastAsia="en-GB" w:bidi="en-GB"/>
      </w:rPr>
    </w:lvl>
    <w:lvl w:ilvl="1" w:tplc="1CA4069C">
      <w:numFmt w:val="bullet"/>
      <w:lvlText w:val="•"/>
      <w:lvlJc w:val="left"/>
      <w:pPr>
        <w:ind w:left="893" w:hanging="217"/>
      </w:pPr>
      <w:rPr>
        <w:rFonts w:hint="default"/>
        <w:lang w:val="en-GB" w:eastAsia="en-GB" w:bidi="en-GB"/>
      </w:rPr>
    </w:lvl>
    <w:lvl w:ilvl="2" w:tplc="FA9CC284">
      <w:numFmt w:val="bullet"/>
      <w:lvlText w:val="•"/>
      <w:lvlJc w:val="left"/>
      <w:pPr>
        <w:ind w:left="1486" w:hanging="217"/>
      </w:pPr>
      <w:rPr>
        <w:rFonts w:hint="default"/>
        <w:lang w:val="en-GB" w:eastAsia="en-GB" w:bidi="en-GB"/>
      </w:rPr>
    </w:lvl>
    <w:lvl w:ilvl="3" w:tplc="E252111A">
      <w:numFmt w:val="bullet"/>
      <w:lvlText w:val="•"/>
      <w:lvlJc w:val="left"/>
      <w:pPr>
        <w:ind w:left="2079" w:hanging="217"/>
      </w:pPr>
      <w:rPr>
        <w:rFonts w:hint="default"/>
        <w:lang w:val="en-GB" w:eastAsia="en-GB" w:bidi="en-GB"/>
      </w:rPr>
    </w:lvl>
    <w:lvl w:ilvl="4" w:tplc="90E04940">
      <w:numFmt w:val="bullet"/>
      <w:lvlText w:val="•"/>
      <w:lvlJc w:val="left"/>
      <w:pPr>
        <w:ind w:left="2672" w:hanging="217"/>
      </w:pPr>
      <w:rPr>
        <w:rFonts w:hint="default"/>
        <w:lang w:val="en-GB" w:eastAsia="en-GB" w:bidi="en-GB"/>
      </w:rPr>
    </w:lvl>
    <w:lvl w:ilvl="5" w:tplc="8A3CAF3C">
      <w:numFmt w:val="bullet"/>
      <w:lvlText w:val="•"/>
      <w:lvlJc w:val="left"/>
      <w:pPr>
        <w:ind w:left="3265" w:hanging="217"/>
      </w:pPr>
      <w:rPr>
        <w:rFonts w:hint="default"/>
        <w:lang w:val="en-GB" w:eastAsia="en-GB" w:bidi="en-GB"/>
      </w:rPr>
    </w:lvl>
    <w:lvl w:ilvl="6" w:tplc="04F0BB0C">
      <w:numFmt w:val="bullet"/>
      <w:lvlText w:val="•"/>
      <w:lvlJc w:val="left"/>
      <w:pPr>
        <w:ind w:left="3858" w:hanging="217"/>
      </w:pPr>
      <w:rPr>
        <w:rFonts w:hint="default"/>
        <w:lang w:val="en-GB" w:eastAsia="en-GB" w:bidi="en-GB"/>
      </w:rPr>
    </w:lvl>
    <w:lvl w:ilvl="7" w:tplc="36DAD166">
      <w:numFmt w:val="bullet"/>
      <w:lvlText w:val="•"/>
      <w:lvlJc w:val="left"/>
      <w:pPr>
        <w:ind w:left="4451" w:hanging="217"/>
      </w:pPr>
      <w:rPr>
        <w:rFonts w:hint="default"/>
        <w:lang w:val="en-GB" w:eastAsia="en-GB" w:bidi="en-GB"/>
      </w:rPr>
    </w:lvl>
    <w:lvl w:ilvl="8" w:tplc="D110CABE">
      <w:numFmt w:val="bullet"/>
      <w:lvlText w:val="•"/>
      <w:lvlJc w:val="left"/>
      <w:pPr>
        <w:ind w:left="5044" w:hanging="217"/>
      </w:pPr>
      <w:rPr>
        <w:rFonts w:hint="default"/>
        <w:lang w:val="en-GB" w:eastAsia="en-GB" w:bidi="en-GB"/>
      </w:rPr>
    </w:lvl>
  </w:abstractNum>
  <w:abstractNum w:abstractNumId="29" w15:restartNumberingAfterBreak="0">
    <w:nsid w:val="02B46BFA"/>
    <w:multiLevelType w:val="hybridMultilevel"/>
    <w:tmpl w:val="63FAC51A"/>
    <w:lvl w:ilvl="0" w:tplc="0BA635BC">
      <w:numFmt w:val="bullet"/>
      <w:lvlText w:val="•"/>
      <w:lvlJc w:val="left"/>
      <w:pPr>
        <w:ind w:left="303" w:hanging="217"/>
      </w:pPr>
      <w:rPr>
        <w:rFonts w:ascii="Arial" w:eastAsia="Arial" w:hAnsi="Arial" w:cs="Arial" w:hint="default"/>
        <w:color w:val="231F20"/>
        <w:w w:val="102"/>
        <w:sz w:val="17"/>
        <w:szCs w:val="17"/>
        <w:lang w:val="en-GB" w:eastAsia="en-GB" w:bidi="en-GB"/>
      </w:rPr>
    </w:lvl>
    <w:lvl w:ilvl="1" w:tplc="B43E3658">
      <w:numFmt w:val="bullet"/>
      <w:lvlText w:val="•"/>
      <w:lvlJc w:val="left"/>
      <w:pPr>
        <w:ind w:left="439" w:hanging="217"/>
      </w:pPr>
      <w:rPr>
        <w:rFonts w:hint="default"/>
        <w:lang w:val="en-GB" w:eastAsia="en-GB" w:bidi="en-GB"/>
      </w:rPr>
    </w:lvl>
    <w:lvl w:ilvl="2" w:tplc="5C92A680">
      <w:numFmt w:val="bullet"/>
      <w:lvlText w:val="•"/>
      <w:lvlJc w:val="left"/>
      <w:pPr>
        <w:ind w:left="578" w:hanging="217"/>
      </w:pPr>
      <w:rPr>
        <w:rFonts w:hint="default"/>
        <w:lang w:val="en-GB" w:eastAsia="en-GB" w:bidi="en-GB"/>
      </w:rPr>
    </w:lvl>
    <w:lvl w:ilvl="3" w:tplc="0854CDE6">
      <w:numFmt w:val="bullet"/>
      <w:lvlText w:val="•"/>
      <w:lvlJc w:val="left"/>
      <w:pPr>
        <w:ind w:left="717" w:hanging="217"/>
      </w:pPr>
      <w:rPr>
        <w:rFonts w:hint="default"/>
        <w:lang w:val="en-GB" w:eastAsia="en-GB" w:bidi="en-GB"/>
      </w:rPr>
    </w:lvl>
    <w:lvl w:ilvl="4" w:tplc="65C002FA">
      <w:numFmt w:val="bullet"/>
      <w:lvlText w:val="•"/>
      <w:lvlJc w:val="left"/>
      <w:pPr>
        <w:ind w:left="856" w:hanging="217"/>
      </w:pPr>
      <w:rPr>
        <w:rFonts w:hint="default"/>
        <w:lang w:val="en-GB" w:eastAsia="en-GB" w:bidi="en-GB"/>
      </w:rPr>
    </w:lvl>
    <w:lvl w:ilvl="5" w:tplc="868C078C">
      <w:numFmt w:val="bullet"/>
      <w:lvlText w:val="•"/>
      <w:lvlJc w:val="left"/>
      <w:pPr>
        <w:ind w:left="995" w:hanging="217"/>
      </w:pPr>
      <w:rPr>
        <w:rFonts w:hint="default"/>
        <w:lang w:val="en-GB" w:eastAsia="en-GB" w:bidi="en-GB"/>
      </w:rPr>
    </w:lvl>
    <w:lvl w:ilvl="6" w:tplc="E1FE5094">
      <w:numFmt w:val="bullet"/>
      <w:lvlText w:val="•"/>
      <w:lvlJc w:val="left"/>
      <w:pPr>
        <w:ind w:left="1134" w:hanging="217"/>
      </w:pPr>
      <w:rPr>
        <w:rFonts w:hint="default"/>
        <w:lang w:val="en-GB" w:eastAsia="en-GB" w:bidi="en-GB"/>
      </w:rPr>
    </w:lvl>
    <w:lvl w:ilvl="7" w:tplc="BF1C3F12">
      <w:numFmt w:val="bullet"/>
      <w:lvlText w:val="•"/>
      <w:lvlJc w:val="left"/>
      <w:pPr>
        <w:ind w:left="1273" w:hanging="217"/>
      </w:pPr>
      <w:rPr>
        <w:rFonts w:hint="default"/>
        <w:lang w:val="en-GB" w:eastAsia="en-GB" w:bidi="en-GB"/>
      </w:rPr>
    </w:lvl>
    <w:lvl w:ilvl="8" w:tplc="144AD618">
      <w:numFmt w:val="bullet"/>
      <w:lvlText w:val="•"/>
      <w:lvlJc w:val="left"/>
      <w:pPr>
        <w:ind w:left="1412" w:hanging="217"/>
      </w:pPr>
      <w:rPr>
        <w:rFonts w:hint="default"/>
        <w:lang w:val="en-GB" w:eastAsia="en-GB" w:bidi="en-GB"/>
      </w:rPr>
    </w:lvl>
  </w:abstractNum>
  <w:abstractNum w:abstractNumId="30" w15:restartNumberingAfterBreak="0">
    <w:nsid w:val="02D00963"/>
    <w:multiLevelType w:val="hybridMultilevel"/>
    <w:tmpl w:val="8C589C3E"/>
    <w:lvl w:ilvl="0" w:tplc="76147FC4">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F12CD98C">
      <w:numFmt w:val="bullet"/>
      <w:lvlText w:val="•"/>
      <w:lvlJc w:val="left"/>
      <w:pPr>
        <w:ind w:left="473" w:hanging="217"/>
      </w:pPr>
      <w:rPr>
        <w:rFonts w:hint="default"/>
        <w:lang w:val="en-GB" w:eastAsia="en-GB" w:bidi="en-GB"/>
      </w:rPr>
    </w:lvl>
    <w:lvl w:ilvl="2" w:tplc="6F4C2AA6">
      <w:numFmt w:val="bullet"/>
      <w:lvlText w:val="•"/>
      <w:lvlJc w:val="left"/>
      <w:pPr>
        <w:ind w:left="646" w:hanging="217"/>
      </w:pPr>
      <w:rPr>
        <w:rFonts w:hint="default"/>
        <w:lang w:val="en-GB" w:eastAsia="en-GB" w:bidi="en-GB"/>
      </w:rPr>
    </w:lvl>
    <w:lvl w:ilvl="3" w:tplc="752C775A">
      <w:numFmt w:val="bullet"/>
      <w:lvlText w:val="•"/>
      <w:lvlJc w:val="left"/>
      <w:pPr>
        <w:ind w:left="819" w:hanging="217"/>
      </w:pPr>
      <w:rPr>
        <w:rFonts w:hint="default"/>
        <w:lang w:val="en-GB" w:eastAsia="en-GB" w:bidi="en-GB"/>
      </w:rPr>
    </w:lvl>
    <w:lvl w:ilvl="4" w:tplc="11A44570">
      <w:numFmt w:val="bullet"/>
      <w:lvlText w:val="•"/>
      <w:lvlJc w:val="left"/>
      <w:pPr>
        <w:ind w:left="992" w:hanging="217"/>
      </w:pPr>
      <w:rPr>
        <w:rFonts w:hint="default"/>
        <w:lang w:val="en-GB" w:eastAsia="en-GB" w:bidi="en-GB"/>
      </w:rPr>
    </w:lvl>
    <w:lvl w:ilvl="5" w:tplc="3DCAD026">
      <w:numFmt w:val="bullet"/>
      <w:lvlText w:val="•"/>
      <w:lvlJc w:val="left"/>
      <w:pPr>
        <w:ind w:left="1165" w:hanging="217"/>
      </w:pPr>
      <w:rPr>
        <w:rFonts w:hint="default"/>
        <w:lang w:val="en-GB" w:eastAsia="en-GB" w:bidi="en-GB"/>
      </w:rPr>
    </w:lvl>
    <w:lvl w:ilvl="6" w:tplc="DF182E2A">
      <w:numFmt w:val="bullet"/>
      <w:lvlText w:val="•"/>
      <w:lvlJc w:val="left"/>
      <w:pPr>
        <w:ind w:left="1338" w:hanging="217"/>
      </w:pPr>
      <w:rPr>
        <w:rFonts w:hint="default"/>
        <w:lang w:val="en-GB" w:eastAsia="en-GB" w:bidi="en-GB"/>
      </w:rPr>
    </w:lvl>
    <w:lvl w:ilvl="7" w:tplc="6E289368">
      <w:numFmt w:val="bullet"/>
      <w:lvlText w:val="•"/>
      <w:lvlJc w:val="left"/>
      <w:pPr>
        <w:ind w:left="1511" w:hanging="217"/>
      </w:pPr>
      <w:rPr>
        <w:rFonts w:hint="default"/>
        <w:lang w:val="en-GB" w:eastAsia="en-GB" w:bidi="en-GB"/>
      </w:rPr>
    </w:lvl>
    <w:lvl w:ilvl="8" w:tplc="75FCD342">
      <w:numFmt w:val="bullet"/>
      <w:lvlText w:val="•"/>
      <w:lvlJc w:val="left"/>
      <w:pPr>
        <w:ind w:left="1684" w:hanging="217"/>
      </w:pPr>
      <w:rPr>
        <w:rFonts w:hint="default"/>
        <w:lang w:val="en-GB" w:eastAsia="en-GB" w:bidi="en-GB"/>
      </w:rPr>
    </w:lvl>
  </w:abstractNum>
  <w:abstractNum w:abstractNumId="31" w15:restartNumberingAfterBreak="0">
    <w:nsid w:val="02D13E76"/>
    <w:multiLevelType w:val="hybridMultilevel"/>
    <w:tmpl w:val="F18894FC"/>
    <w:lvl w:ilvl="0" w:tplc="05B8C6FE">
      <w:numFmt w:val="bullet"/>
      <w:lvlText w:val="•"/>
      <w:lvlJc w:val="left"/>
      <w:pPr>
        <w:ind w:left="305" w:hanging="217"/>
      </w:pPr>
      <w:rPr>
        <w:rFonts w:ascii="Arial" w:eastAsia="Arial" w:hAnsi="Arial" w:cs="Arial" w:hint="default"/>
        <w:color w:val="231F20"/>
        <w:w w:val="102"/>
        <w:sz w:val="17"/>
        <w:szCs w:val="17"/>
        <w:lang w:val="en-GB" w:eastAsia="en-GB" w:bidi="en-GB"/>
      </w:rPr>
    </w:lvl>
    <w:lvl w:ilvl="1" w:tplc="AAB8C374">
      <w:numFmt w:val="bullet"/>
      <w:lvlText w:val="•"/>
      <w:lvlJc w:val="left"/>
      <w:pPr>
        <w:ind w:left="892" w:hanging="217"/>
      </w:pPr>
      <w:rPr>
        <w:rFonts w:hint="default"/>
        <w:lang w:val="en-GB" w:eastAsia="en-GB" w:bidi="en-GB"/>
      </w:rPr>
    </w:lvl>
    <w:lvl w:ilvl="2" w:tplc="C02254F4">
      <w:numFmt w:val="bullet"/>
      <w:lvlText w:val="•"/>
      <w:lvlJc w:val="left"/>
      <w:pPr>
        <w:ind w:left="1485" w:hanging="217"/>
      </w:pPr>
      <w:rPr>
        <w:rFonts w:hint="default"/>
        <w:lang w:val="en-GB" w:eastAsia="en-GB" w:bidi="en-GB"/>
      </w:rPr>
    </w:lvl>
    <w:lvl w:ilvl="3" w:tplc="9358FAEE">
      <w:numFmt w:val="bullet"/>
      <w:lvlText w:val="•"/>
      <w:lvlJc w:val="left"/>
      <w:pPr>
        <w:ind w:left="2077" w:hanging="217"/>
      </w:pPr>
      <w:rPr>
        <w:rFonts w:hint="default"/>
        <w:lang w:val="en-GB" w:eastAsia="en-GB" w:bidi="en-GB"/>
      </w:rPr>
    </w:lvl>
    <w:lvl w:ilvl="4" w:tplc="28107A60">
      <w:numFmt w:val="bullet"/>
      <w:lvlText w:val="•"/>
      <w:lvlJc w:val="left"/>
      <w:pPr>
        <w:ind w:left="2670" w:hanging="217"/>
      </w:pPr>
      <w:rPr>
        <w:rFonts w:hint="default"/>
        <w:lang w:val="en-GB" w:eastAsia="en-GB" w:bidi="en-GB"/>
      </w:rPr>
    </w:lvl>
    <w:lvl w:ilvl="5" w:tplc="3D508F98">
      <w:numFmt w:val="bullet"/>
      <w:lvlText w:val="•"/>
      <w:lvlJc w:val="left"/>
      <w:pPr>
        <w:ind w:left="3263" w:hanging="217"/>
      </w:pPr>
      <w:rPr>
        <w:rFonts w:hint="default"/>
        <w:lang w:val="en-GB" w:eastAsia="en-GB" w:bidi="en-GB"/>
      </w:rPr>
    </w:lvl>
    <w:lvl w:ilvl="6" w:tplc="554C96A4">
      <w:numFmt w:val="bullet"/>
      <w:lvlText w:val="•"/>
      <w:lvlJc w:val="left"/>
      <w:pPr>
        <w:ind w:left="3855" w:hanging="217"/>
      </w:pPr>
      <w:rPr>
        <w:rFonts w:hint="default"/>
        <w:lang w:val="en-GB" w:eastAsia="en-GB" w:bidi="en-GB"/>
      </w:rPr>
    </w:lvl>
    <w:lvl w:ilvl="7" w:tplc="B0C85D4C">
      <w:numFmt w:val="bullet"/>
      <w:lvlText w:val="•"/>
      <w:lvlJc w:val="left"/>
      <w:pPr>
        <w:ind w:left="4448" w:hanging="217"/>
      </w:pPr>
      <w:rPr>
        <w:rFonts w:hint="default"/>
        <w:lang w:val="en-GB" w:eastAsia="en-GB" w:bidi="en-GB"/>
      </w:rPr>
    </w:lvl>
    <w:lvl w:ilvl="8" w:tplc="B0A6546E">
      <w:numFmt w:val="bullet"/>
      <w:lvlText w:val="•"/>
      <w:lvlJc w:val="left"/>
      <w:pPr>
        <w:ind w:left="5040" w:hanging="217"/>
      </w:pPr>
      <w:rPr>
        <w:rFonts w:hint="default"/>
        <w:lang w:val="en-GB" w:eastAsia="en-GB" w:bidi="en-GB"/>
      </w:rPr>
    </w:lvl>
  </w:abstractNum>
  <w:abstractNum w:abstractNumId="32" w15:restartNumberingAfterBreak="0">
    <w:nsid w:val="02D71007"/>
    <w:multiLevelType w:val="hybridMultilevel"/>
    <w:tmpl w:val="0C24126A"/>
    <w:lvl w:ilvl="0" w:tplc="B024CD7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3B8E348">
      <w:numFmt w:val="bullet"/>
      <w:lvlText w:val="•"/>
      <w:lvlJc w:val="left"/>
      <w:pPr>
        <w:ind w:left="473" w:hanging="217"/>
      </w:pPr>
      <w:rPr>
        <w:rFonts w:hint="default"/>
        <w:lang w:val="en-GB" w:eastAsia="en-GB" w:bidi="en-GB"/>
      </w:rPr>
    </w:lvl>
    <w:lvl w:ilvl="2" w:tplc="E8E6472C">
      <w:numFmt w:val="bullet"/>
      <w:lvlText w:val="•"/>
      <w:lvlJc w:val="left"/>
      <w:pPr>
        <w:ind w:left="646" w:hanging="217"/>
      </w:pPr>
      <w:rPr>
        <w:rFonts w:hint="default"/>
        <w:lang w:val="en-GB" w:eastAsia="en-GB" w:bidi="en-GB"/>
      </w:rPr>
    </w:lvl>
    <w:lvl w:ilvl="3" w:tplc="BBB81B96">
      <w:numFmt w:val="bullet"/>
      <w:lvlText w:val="•"/>
      <w:lvlJc w:val="left"/>
      <w:pPr>
        <w:ind w:left="819" w:hanging="217"/>
      </w:pPr>
      <w:rPr>
        <w:rFonts w:hint="default"/>
        <w:lang w:val="en-GB" w:eastAsia="en-GB" w:bidi="en-GB"/>
      </w:rPr>
    </w:lvl>
    <w:lvl w:ilvl="4" w:tplc="CEECBEE8">
      <w:numFmt w:val="bullet"/>
      <w:lvlText w:val="•"/>
      <w:lvlJc w:val="left"/>
      <w:pPr>
        <w:ind w:left="992" w:hanging="217"/>
      </w:pPr>
      <w:rPr>
        <w:rFonts w:hint="default"/>
        <w:lang w:val="en-GB" w:eastAsia="en-GB" w:bidi="en-GB"/>
      </w:rPr>
    </w:lvl>
    <w:lvl w:ilvl="5" w:tplc="823CA3E2">
      <w:numFmt w:val="bullet"/>
      <w:lvlText w:val="•"/>
      <w:lvlJc w:val="left"/>
      <w:pPr>
        <w:ind w:left="1165" w:hanging="217"/>
      </w:pPr>
      <w:rPr>
        <w:rFonts w:hint="default"/>
        <w:lang w:val="en-GB" w:eastAsia="en-GB" w:bidi="en-GB"/>
      </w:rPr>
    </w:lvl>
    <w:lvl w:ilvl="6" w:tplc="A1E8D058">
      <w:numFmt w:val="bullet"/>
      <w:lvlText w:val="•"/>
      <w:lvlJc w:val="left"/>
      <w:pPr>
        <w:ind w:left="1338" w:hanging="217"/>
      </w:pPr>
      <w:rPr>
        <w:rFonts w:hint="default"/>
        <w:lang w:val="en-GB" w:eastAsia="en-GB" w:bidi="en-GB"/>
      </w:rPr>
    </w:lvl>
    <w:lvl w:ilvl="7" w:tplc="7D848FE2">
      <w:numFmt w:val="bullet"/>
      <w:lvlText w:val="•"/>
      <w:lvlJc w:val="left"/>
      <w:pPr>
        <w:ind w:left="1511" w:hanging="217"/>
      </w:pPr>
      <w:rPr>
        <w:rFonts w:hint="default"/>
        <w:lang w:val="en-GB" w:eastAsia="en-GB" w:bidi="en-GB"/>
      </w:rPr>
    </w:lvl>
    <w:lvl w:ilvl="8" w:tplc="5CA0FD3E">
      <w:numFmt w:val="bullet"/>
      <w:lvlText w:val="•"/>
      <w:lvlJc w:val="left"/>
      <w:pPr>
        <w:ind w:left="1684" w:hanging="217"/>
      </w:pPr>
      <w:rPr>
        <w:rFonts w:hint="default"/>
        <w:lang w:val="en-GB" w:eastAsia="en-GB" w:bidi="en-GB"/>
      </w:rPr>
    </w:lvl>
  </w:abstractNum>
  <w:abstractNum w:abstractNumId="33" w15:restartNumberingAfterBreak="0">
    <w:nsid w:val="02F4684E"/>
    <w:multiLevelType w:val="hybridMultilevel"/>
    <w:tmpl w:val="6C0C80B6"/>
    <w:lvl w:ilvl="0" w:tplc="4418A3D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BB26D20">
      <w:numFmt w:val="bullet"/>
      <w:lvlText w:val="•"/>
      <w:lvlJc w:val="left"/>
      <w:pPr>
        <w:ind w:left="892" w:hanging="217"/>
      </w:pPr>
      <w:rPr>
        <w:rFonts w:hint="default"/>
        <w:lang w:val="en-GB" w:eastAsia="en-GB" w:bidi="en-GB"/>
      </w:rPr>
    </w:lvl>
    <w:lvl w:ilvl="2" w:tplc="C206E254">
      <w:numFmt w:val="bullet"/>
      <w:lvlText w:val="•"/>
      <w:lvlJc w:val="left"/>
      <w:pPr>
        <w:ind w:left="1485" w:hanging="217"/>
      </w:pPr>
      <w:rPr>
        <w:rFonts w:hint="default"/>
        <w:lang w:val="en-GB" w:eastAsia="en-GB" w:bidi="en-GB"/>
      </w:rPr>
    </w:lvl>
    <w:lvl w:ilvl="3" w:tplc="64DCD34C">
      <w:numFmt w:val="bullet"/>
      <w:lvlText w:val="•"/>
      <w:lvlJc w:val="left"/>
      <w:pPr>
        <w:ind w:left="2077" w:hanging="217"/>
      </w:pPr>
      <w:rPr>
        <w:rFonts w:hint="default"/>
        <w:lang w:val="en-GB" w:eastAsia="en-GB" w:bidi="en-GB"/>
      </w:rPr>
    </w:lvl>
    <w:lvl w:ilvl="4" w:tplc="C152E508">
      <w:numFmt w:val="bullet"/>
      <w:lvlText w:val="•"/>
      <w:lvlJc w:val="left"/>
      <w:pPr>
        <w:ind w:left="2670" w:hanging="217"/>
      </w:pPr>
      <w:rPr>
        <w:rFonts w:hint="default"/>
        <w:lang w:val="en-GB" w:eastAsia="en-GB" w:bidi="en-GB"/>
      </w:rPr>
    </w:lvl>
    <w:lvl w:ilvl="5" w:tplc="E90633F0">
      <w:numFmt w:val="bullet"/>
      <w:lvlText w:val="•"/>
      <w:lvlJc w:val="left"/>
      <w:pPr>
        <w:ind w:left="3263" w:hanging="217"/>
      </w:pPr>
      <w:rPr>
        <w:rFonts w:hint="default"/>
        <w:lang w:val="en-GB" w:eastAsia="en-GB" w:bidi="en-GB"/>
      </w:rPr>
    </w:lvl>
    <w:lvl w:ilvl="6" w:tplc="D63C4986">
      <w:numFmt w:val="bullet"/>
      <w:lvlText w:val="•"/>
      <w:lvlJc w:val="left"/>
      <w:pPr>
        <w:ind w:left="3855" w:hanging="217"/>
      </w:pPr>
      <w:rPr>
        <w:rFonts w:hint="default"/>
        <w:lang w:val="en-GB" w:eastAsia="en-GB" w:bidi="en-GB"/>
      </w:rPr>
    </w:lvl>
    <w:lvl w:ilvl="7" w:tplc="04DE2AA4">
      <w:numFmt w:val="bullet"/>
      <w:lvlText w:val="•"/>
      <w:lvlJc w:val="left"/>
      <w:pPr>
        <w:ind w:left="4448" w:hanging="217"/>
      </w:pPr>
      <w:rPr>
        <w:rFonts w:hint="default"/>
        <w:lang w:val="en-GB" w:eastAsia="en-GB" w:bidi="en-GB"/>
      </w:rPr>
    </w:lvl>
    <w:lvl w:ilvl="8" w:tplc="622A59AA">
      <w:numFmt w:val="bullet"/>
      <w:lvlText w:val="•"/>
      <w:lvlJc w:val="left"/>
      <w:pPr>
        <w:ind w:left="5040" w:hanging="217"/>
      </w:pPr>
      <w:rPr>
        <w:rFonts w:hint="default"/>
        <w:lang w:val="en-GB" w:eastAsia="en-GB" w:bidi="en-GB"/>
      </w:rPr>
    </w:lvl>
  </w:abstractNum>
  <w:abstractNum w:abstractNumId="34" w15:restartNumberingAfterBreak="0">
    <w:nsid w:val="03242039"/>
    <w:multiLevelType w:val="hybridMultilevel"/>
    <w:tmpl w:val="C38A06D6"/>
    <w:lvl w:ilvl="0" w:tplc="8A24FC6E">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A21A6EB4">
      <w:numFmt w:val="bullet"/>
      <w:lvlText w:val="•"/>
      <w:lvlJc w:val="left"/>
      <w:pPr>
        <w:ind w:left="541" w:hanging="217"/>
      </w:pPr>
      <w:rPr>
        <w:rFonts w:hint="default"/>
        <w:lang w:val="en-GB" w:eastAsia="en-GB" w:bidi="en-GB"/>
      </w:rPr>
    </w:lvl>
    <w:lvl w:ilvl="2" w:tplc="4D341F22">
      <w:numFmt w:val="bullet"/>
      <w:lvlText w:val="•"/>
      <w:lvlJc w:val="left"/>
      <w:pPr>
        <w:ind w:left="782" w:hanging="217"/>
      </w:pPr>
      <w:rPr>
        <w:rFonts w:hint="default"/>
        <w:lang w:val="en-GB" w:eastAsia="en-GB" w:bidi="en-GB"/>
      </w:rPr>
    </w:lvl>
    <w:lvl w:ilvl="3" w:tplc="C4B4C960">
      <w:numFmt w:val="bullet"/>
      <w:lvlText w:val="•"/>
      <w:lvlJc w:val="left"/>
      <w:pPr>
        <w:ind w:left="1023" w:hanging="217"/>
      </w:pPr>
      <w:rPr>
        <w:rFonts w:hint="default"/>
        <w:lang w:val="en-GB" w:eastAsia="en-GB" w:bidi="en-GB"/>
      </w:rPr>
    </w:lvl>
    <w:lvl w:ilvl="4" w:tplc="1DD4D344">
      <w:numFmt w:val="bullet"/>
      <w:lvlText w:val="•"/>
      <w:lvlJc w:val="left"/>
      <w:pPr>
        <w:ind w:left="1264" w:hanging="217"/>
      </w:pPr>
      <w:rPr>
        <w:rFonts w:hint="default"/>
        <w:lang w:val="en-GB" w:eastAsia="en-GB" w:bidi="en-GB"/>
      </w:rPr>
    </w:lvl>
    <w:lvl w:ilvl="5" w:tplc="8440F26E">
      <w:numFmt w:val="bullet"/>
      <w:lvlText w:val="•"/>
      <w:lvlJc w:val="left"/>
      <w:pPr>
        <w:ind w:left="1505" w:hanging="217"/>
      </w:pPr>
      <w:rPr>
        <w:rFonts w:hint="default"/>
        <w:lang w:val="en-GB" w:eastAsia="en-GB" w:bidi="en-GB"/>
      </w:rPr>
    </w:lvl>
    <w:lvl w:ilvl="6" w:tplc="EE0CF096">
      <w:numFmt w:val="bullet"/>
      <w:lvlText w:val="•"/>
      <w:lvlJc w:val="left"/>
      <w:pPr>
        <w:ind w:left="1746" w:hanging="217"/>
      </w:pPr>
      <w:rPr>
        <w:rFonts w:hint="default"/>
        <w:lang w:val="en-GB" w:eastAsia="en-GB" w:bidi="en-GB"/>
      </w:rPr>
    </w:lvl>
    <w:lvl w:ilvl="7" w:tplc="4F284560">
      <w:numFmt w:val="bullet"/>
      <w:lvlText w:val="•"/>
      <w:lvlJc w:val="left"/>
      <w:pPr>
        <w:ind w:left="1987" w:hanging="217"/>
      </w:pPr>
      <w:rPr>
        <w:rFonts w:hint="default"/>
        <w:lang w:val="en-GB" w:eastAsia="en-GB" w:bidi="en-GB"/>
      </w:rPr>
    </w:lvl>
    <w:lvl w:ilvl="8" w:tplc="E11A3126">
      <w:numFmt w:val="bullet"/>
      <w:lvlText w:val="•"/>
      <w:lvlJc w:val="left"/>
      <w:pPr>
        <w:ind w:left="2228" w:hanging="217"/>
      </w:pPr>
      <w:rPr>
        <w:rFonts w:hint="default"/>
        <w:lang w:val="en-GB" w:eastAsia="en-GB" w:bidi="en-GB"/>
      </w:rPr>
    </w:lvl>
  </w:abstractNum>
  <w:abstractNum w:abstractNumId="35" w15:restartNumberingAfterBreak="0">
    <w:nsid w:val="033543F1"/>
    <w:multiLevelType w:val="hybridMultilevel"/>
    <w:tmpl w:val="57B882AE"/>
    <w:lvl w:ilvl="0" w:tplc="AC7200D2">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BE60E80C">
      <w:numFmt w:val="bullet"/>
      <w:lvlText w:val="•"/>
      <w:lvlJc w:val="left"/>
      <w:pPr>
        <w:ind w:left="473" w:hanging="217"/>
      </w:pPr>
      <w:rPr>
        <w:rFonts w:hint="default"/>
        <w:lang w:val="en-GB" w:eastAsia="en-GB" w:bidi="en-GB"/>
      </w:rPr>
    </w:lvl>
    <w:lvl w:ilvl="2" w:tplc="C3DEB7AE">
      <w:numFmt w:val="bullet"/>
      <w:lvlText w:val="•"/>
      <w:lvlJc w:val="left"/>
      <w:pPr>
        <w:ind w:left="646" w:hanging="217"/>
      </w:pPr>
      <w:rPr>
        <w:rFonts w:hint="default"/>
        <w:lang w:val="en-GB" w:eastAsia="en-GB" w:bidi="en-GB"/>
      </w:rPr>
    </w:lvl>
    <w:lvl w:ilvl="3" w:tplc="18EC90C4">
      <w:numFmt w:val="bullet"/>
      <w:lvlText w:val="•"/>
      <w:lvlJc w:val="left"/>
      <w:pPr>
        <w:ind w:left="819" w:hanging="217"/>
      </w:pPr>
      <w:rPr>
        <w:rFonts w:hint="default"/>
        <w:lang w:val="en-GB" w:eastAsia="en-GB" w:bidi="en-GB"/>
      </w:rPr>
    </w:lvl>
    <w:lvl w:ilvl="4" w:tplc="5150D7E4">
      <w:numFmt w:val="bullet"/>
      <w:lvlText w:val="•"/>
      <w:lvlJc w:val="left"/>
      <w:pPr>
        <w:ind w:left="992" w:hanging="217"/>
      </w:pPr>
      <w:rPr>
        <w:rFonts w:hint="default"/>
        <w:lang w:val="en-GB" w:eastAsia="en-GB" w:bidi="en-GB"/>
      </w:rPr>
    </w:lvl>
    <w:lvl w:ilvl="5" w:tplc="D03C0C26">
      <w:numFmt w:val="bullet"/>
      <w:lvlText w:val="•"/>
      <w:lvlJc w:val="left"/>
      <w:pPr>
        <w:ind w:left="1165" w:hanging="217"/>
      </w:pPr>
      <w:rPr>
        <w:rFonts w:hint="default"/>
        <w:lang w:val="en-GB" w:eastAsia="en-GB" w:bidi="en-GB"/>
      </w:rPr>
    </w:lvl>
    <w:lvl w:ilvl="6" w:tplc="4F305C14">
      <w:numFmt w:val="bullet"/>
      <w:lvlText w:val="•"/>
      <w:lvlJc w:val="left"/>
      <w:pPr>
        <w:ind w:left="1338" w:hanging="217"/>
      </w:pPr>
      <w:rPr>
        <w:rFonts w:hint="default"/>
        <w:lang w:val="en-GB" w:eastAsia="en-GB" w:bidi="en-GB"/>
      </w:rPr>
    </w:lvl>
    <w:lvl w:ilvl="7" w:tplc="E86AF196">
      <w:numFmt w:val="bullet"/>
      <w:lvlText w:val="•"/>
      <w:lvlJc w:val="left"/>
      <w:pPr>
        <w:ind w:left="1511" w:hanging="217"/>
      </w:pPr>
      <w:rPr>
        <w:rFonts w:hint="default"/>
        <w:lang w:val="en-GB" w:eastAsia="en-GB" w:bidi="en-GB"/>
      </w:rPr>
    </w:lvl>
    <w:lvl w:ilvl="8" w:tplc="8C3C3A04">
      <w:numFmt w:val="bullet"/>
      <w:lvlText w:val="•"/>
      <w:lvlJc w:val="left"/>
      <w:pPr>
        <w:ind w:left="1684" w:hanging="217"/>
      </w:pPr>
      <w:rPr>
        <w:rFonts w:hint="default"/>
        <w:lang w:val="en-GB" w:eastAsia="en-GB" w:bidi="en-GB"/>
      </w:rPr>
    </w:lvl>
  </w:abstractNum>
  <w:abstractNum w:abstractNumId="36" w15:restartNumberingAfterBreak="0">
    <w:nsid w:val="03451614"/>
    <w:multiLevelType w:val="hybridMultilevel"/>
    <w:tmpl w:val="4A8ADD72"/>
    <w:lvl w:ilvl="0" w:tplc="E3887A28">
      <w:numFmt w:val="bullet"/>
      <w:lvlText w:val="•"/>
      <w:lvlJc w:val="left"/>
      <w:pPr>
        <w:ind w:left="276" w:hanging="217"/>
      </w:pPr>
      <w:rPr>
        <w:rFonts w:ascii="Arial" w:eastAsia="Arial" w:hAnsi="Arial" w:cs="Arial" w:hint="default"/>
        <w:color w:val="231F20"/>
        <w:w w:val="97"/>
        <w:sz w:val="16"/>
        <w:szCs w:val="16"/>
        <w:lang w:val="en-GB" w:eastAsia="en-GB" w:bidi="en-GB"/>
      </w:rPr>
    </w:lvl>
    <w:lvl w:ilvl="1" w:tplc="B4ACB40C">
      <w:numFmt w:val="bullet"/>
      <w:lvlText w:val="•"/>
      <w:lvlJc w:val="left"/>
      <w:pPr>
        <w:ind w:left="381" w:hanging="217"/>
      </w:pPr>
      <w:rPr>
        <w:rFonts w:hint="default"/>
        <w:lang w:val="en-GB" w:eastAsia="en-GB" w:bidi="en-GB"/>
      </w:rPr>
    </w:lvl>
    <w:lvl w:ilvl="2" w:tplc="AEF213B0">
      <w:numFmt w:val="bullet"/>
      <w:lvlText w:val="•"/>
      <w:lvlJc w:val="left"/>
      <w:pPr>
        <w:ind w:left="482" w:hanging="217"/>
      </w:pPr>
      <w:rPr>
        <w:rFonts w:hint="default"/>
        <w:lang w:val="en-GB" w:eastAsia="en-GB" w:bidi="en-GB"/>
      </w:rPr>
    </w:lvl>
    <w:lvl w:ilvl="3" w:tplc="BD2E00EE">
      <w:numFmt w:val="bullet"/>
      <w:lvlText w:val="•"/>
      <w:lvlJc w:val="left"/>
      <w:pPr>
        <w:ind w:left="584" w:hanging="217"/>
      </w:pPr>
      <w:rPr>
        <w:rFonts w:hint="default"/>
        <w:lang w:val="en-GB" w:eastAsia="en-GB" w:bidi="en-GB"/>
      </w:rPr>
    </w:lvl>
    <w:lvl w:ilvl="4" w:tplc="1F321376">
      <w:numFmt w:val="bullet"/>
      <w:lvlText w:val="•"/>
      <w:lvlJc w:val="left"/>
      <w:pPr>
        <w:ind w:left="685" w:hanging="217"/>
      </w:pPr>
      <w:rPr>
        <w:rFonts w:hint="default"/>
        <w:lang w:val="en-GB" w:eastAsia="en-GB" w:bidi="en-GB"/>
      </w:rPr>
    </w:lvl>
    <w:lvl w:ilvl="5" w:tplc="EC807B6A">
      <w:numFmt w:val="bullet"/>
      <w:lvlText w:val="•"/>
      <w:lvlJc w:val="left"/>
      <w:pPr>
        <w:ind w:left="787" w:hanging="217"/>
      </w:pPr>
      <w:rPr>
        <w:rFonts w:hint="default"/>
        <w:lang w:val="en-GB" w:eastAsia="en-GB" w:bidi="en-GB"/>
      </w:rPr>
    </w:lvl>
    <w:lvl w:ilvl="6" w:tplc="2E40AB64">
      <w:numFmt w:val="bullet"/>
      <w:lvlText w:val="•"/>
      <w:lvlJc w:val="left"/>
      <w:pPr>
        <w:ind w:left="888" w:hanging="217"/>
      </w:pPr>
      <w:rPr>
        <w:rFonts w:hint="default"/>
        <w:lang w:val="en-GB" w:eastAsia="en-GB" w:bidi="en-GB"/>
      </w:rPr>
    </w:lvl>
    <w:lvl w:ilvl="7" w:tplc="A4B6678C">
      <w:numFmt w:val="bullet"/>
      <w:lvlText w:val="•"/>
      <w:lvlJc w:val="left"/>
      <w:pPr>
        <w:ind w:left="989" w:hanging="217"/>
      </w:pPr>
      <w:rPr>
        <w:rFonts w:hint="default"/>
        <w:lang w:val="en-GB" w:eastAsia="en-GB" w:bidi="en-GB"/>
      </w:rPr>
    </w:lvl>
    <w:lvl w:ilvl="8" w:tplc="D86E7316">
      <w:numFmt w:val="bullet"/>
      <w:lvlText w:val="•"/>
      <w:lvlJc w:val="left"/>
      <w:pPr>
        <w:ind w:left="1091" w:hanging="217"/>
      </w:pPr>
      <w:rPr>
        <w:rFonts w:hint="default"/>
        <w:lang w:val="en-GB" w:eastAsia="en-GB" w:bidi="en-GB"/>
      </w:rPr>
    </w:lvl>
  </w:abstractNum>
  <w:abstractNum w:abstractNumId="37" w15:restartNumberingAfterBreak="0">
    <w:nsid w:val="035202C1"/>
    <w:multiLevelType w:val="hybridMultilevel"/>
    <w:tmpl w:val="B7DCEDD2"/>
    <w:lvl w:ilvl="0" w:tplc="4E6AC748">
      <w:numFmt w:val="bullet"/>
      <w:lvlText w:val="•"/>
      <w:lvlJc w:val="left"/>
      <w:pPr>
        <w:ind w:left="3894" w:hanging="217"/>
      </w:pPr>
      <w:rPr>
        <w:rFonts w:ascii="Arial" w:eastAsia="Arial" w:hAnsi="Arial" w:cs="Arial" w:hint="default"/>
        <w:color w:val="231F20"/>
        <w:spacing w:val="-1"/>
        <w:w w:val="100"/>
        <w:sz w:val="18"/>
        <w:szCs w:val="18"/>
        <w:lang w:val="en-GB" w:eastAsia="en-GB" w:bidi="en-GB"/>
      </w:rPr>
    </w:lvl>
    <w:lvl w:ilvl="1" w:tplc="974E163A">
      <w:numFmt w:val="bullet"/>
      <w:lvlText w:val="•"/>
      <w:lvlJc w:val="left"/>
      <w:pPr>
        <w:ind w:left="4325" w:hanging="217"/>
      </w:pPr>
      <w:rPr>
        <w:rFonts w:hint="default"/>
        <w:lang w:val="en-GB" w:eastAsia="en-GB" w:bidi="en-GB"/>
      </w:rPr>
    </w:lvl>
    <w:lvl w:ilvl="2" w:tplc="1E18099A">
      <w:numFmt w:val="bullet"/>
      <w:lvlText w:val="•"/>
      <w:lvlJc w:val="left"/>
      <w:pPr>
        <w:ind w:left="4750" w:hanging="217"/>
      </w:pPr>
      <w:rPr>
        <w:rFonts w:hint="default"/>
        <w:lang w:val="en-GB" w:eastAsia="en-GB" w:bidi="en-GB"/>
      </w:rPr>
    </w:lvl>
    <w:lvl w:ilvl="3" w:tplc="C6F2E312">
      <w:numFmt w:val="bullet"/>
      <w:lvlText w:val="•"/>
      <w:lvlJc w:val="left"/>
      <w:pPr>
        <w:ind w:left="5176" w:hanging="217"/>
      </w:pPr>
      <w:rPr>
        <w:rFonts w:hint="default"/>
        <w:lang w:val="en-GB" w:eastAsia="en-GB" w:bidi="en-GB"/>
      </w:rPr>
    </w:lvl>
    <w:lvl w:ilvl="4" w:tplc="E3D4BDD4">
      <w:numFmt w:val="bullet"/>
      <w:lvlText w:val="•"/>
      <w:lvlJc w:val="left"/>
      <w:pPr>
        <w:ind w:left="5601" w:hanging="217"/>
      </w:pPr>
      <w:rPr>
        <w:rFonts w:hint="default"/>
        <w:lang w:val="en-GB" w:eastAsia="en-GB" w:bidi="en-GB"/>
      </w:rPr>
    </w:lvl>
    <w:lvl w:ilvl="5" w:tplc="FFBEE648">
      <w:numFmt w:val="bullet"/>
      <w:lvlText w:val="•"/>
      <w:lvlJc w:val="left"/>
      <w:pPr>
        <w:ind w:left="6027" w:hanging="217"/>
      </w:pPr>
      <w:rPr>
        <w:rFonts w:hint="default"/>
        <w:lang w:val="en-GB" w:eastAsia="en-GB" w:bidi="en-GB"/>
      </w:rPr>
    </w:lvl>
    <w:lvl w:ilvl="6" w:tplc="F2821E5C">
      <w:numFmt w:val="bullet"/>
      <w:lvlText w:val="•"/>
      <w:lvlJc w:val="left"/>
      <w:pPr>
        <w:ind w:left="6452" w:hanging="217"/>
      </w:pPr>
      <w:rPr>
        <w:rFonts w:hint="default"/>
        <w:lang w:val="en-GB" w:eastAsia="en-GB" w:bidi="en-GB"/>
      </w:rPr>
    </w:lvl>
    <w:lvl w:ilvl="7" w:tplc="1ABCFC7C">
      <w:numFmt w:val="bullet"/>
      <w:lvlText w:val="•"/>
      <w:lvlJc w:val="left"/>
      <w:pPr>
        <w:ind w:left="6877" w:hanging="217"/>
      </w:pPr>
      <w:rPr>
        <w:rFonts w:hint="default"/>
        <w:lang w:val="en-GB" w:eastAsia="en-GB" w:bidi="en-GB"/>
      </w:rPr>
    </w:lvl>
    <w:lvl w:ilvl="8" w:tplc="ED440846">
      <w:numFmt w:val="bullet"/>
      <w:lvlText w:val="•"/>
      <w:lvlJc w:val="left"/>
      <w:pPr>
        <w:ind w:left="7303" w:hanging="217"/>
      </w:pPr>
      <w:rPr>
        <w:rFonts w:hint="default"/>
        <w:lang w:val="en-GB" w:eastAsia="en-GB" w:bidi="en-GB"/>
      </w:rPr>
    </w:lvl>
  </w:abstractNum>
  <w:abstractNum w:abstractNumId="38" w15:restartNumberingAfterBreak="0">
    <w:nsid w:val="0356242D"/>
    <w:multiLevelType w:val="hybridMultilevel"/>
    <w:tmpl w:val="F69EB056"/>
    <w:lvl w:ilvl="0" w:tplc="5428DDC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8FC04EC">
      <w:numFmt w:val="bullet"/>
      <w:lvlText w:val="•"/>
      <w:lvlJc w:val="left"/>
      <w:pPr>
        <w:ind w:left="473" w:hanging="217"/>
      </w:pPr>
      <w:rPr>
        <w:rFonts w:hint="default"/>
        <w:lang w:val="en-GB" w:eastAsia="en-GB" w:bidi="en-GB"/>
      </w:rPr>
    </w:lvl>
    <w:lvl w:ilvl="2" w:tplc="1E3EAA9C">
      <w:numFmt w:val="bullet"/>
      <w:lvlText w:val="•"/>
      <w:lvlJc w:val="left"/>
      <w:pPr>
        <w:ind w:left="646" w:hanging="217"/>
      </w:pPr>
      <w:rPr>
        <w:rFonts w:hint="default"/>
        <w:lang w:val="en-GB" w:eastAsia="en-GB" w:bidi="en-GB"/>
      </w:rPr>
    </w:lvl>
    <w:lvl w:ilvl="3" w:tplc="CFFA38E8">
      <w:numFmt w:val="bullet"/>
      <w:lvlText w:val="•"/>
      <w:lvlJc w:val="left"/>
      <w:pPr>
        <w:ind w:left="819" w:hanging="217"/>
      </w:pPr>
      <w:rPr>
        <w:rFonts w:hint="default"/>
        <w:lang w:val="en-GB" w:eastAsia="en-GB" w:bidi="en-GB"/>
      </w:rPr>
    </w:lvl>
    <w:lvl w:ilvl="4" w:tplc="6F1E2EBA">
      <w:numFmt w:val="bullet"/>
      <w:lvlText w:val="•"/>
      <w:lvlJc w:val="left"/>
      <w:pPr>
        <w:ind w:left="992" w:hanging="217"/>
      </w:pPr>
      <w:rPr>
        <w:rFonts w:hint="default"/>
        <w:lang w:val="en-GB" w:eastAsia="en-GB" w:bidi="en-GB"/>
      </w:rPr>
    </w:lvl>
    <w:lvl w:ilvl="5" w:tplc="E136908A">
      <w:numFmt w:val="bullet"/>
      <w:lvlText w:val="•"/>
      <w:lvlJc w:val="left"/>
      <w:pPr>
        <w:ind w:left="1165" w:hanging="217"/>
      </w:pPr>
      <w:rPr>
        <w:rFonts w:hint="default"/>
        <w:lang w:val="en-GB" w:eastAsia="en-GB" w:bidi="en-GB"/>
      </w:rPr>
    </w:lvl>
    <w:lvl w:ilvl="6" w:tplc="A9DC0786">
      <w:numFmt w:val="bullet"/>
      <w:lvlText w:val="•"/>
      <w:lvlJc w:val="left"/>
      <w:pPr>
        <w:ind w:left="1338" w:hanging="217"/>
      </w:pPr>
      <w:rPr>
        <w:rFonts w:hint="default"/>
        <w:lang w:val="en-GB" w:eastAsia="en-GB" w:bidi="en-GB"/>
      </w:rPr>
    </w:lvl>
    <w:lvl w:ilvl="7" w:tplc="F4F876D0">
      <w:numFmt w:val="bullet"/>
      <w:lvlText w:val="•"/>
      <w:lvlJc w:val="left"/>
      <w:pPr>
        <w:ind w:left="1511" w:hanging="217"/>
      </w:pPr>
      <w:rPr>
        <w:rFonts w:hint="default"/>
        <w:lang w:val="en-GB" w:eastAsia="en-GB" w:bidi="en-GB"/>
      </w:rPr>
    </w:lvl>
    <w:lvl w:ilvl="8" w:tplc="6E8C689E">
      <w:numFmt w:val="bullet"/>
      <w:lvlText w:val="•"/>
      <w:lvlJc w:val="left"/>
      <w:pPr>
        <w:ind w:left="1684" w:hanging="217"/>
      </w:pPr>
      <w:rPr>
        <w:rFonts w:hint="default"/>
        <w:lang w:val="en-GB" w:eastAsia="en-GB" w:bidi="en-GB"/>
      </w:rPr>
    </w:lvl>
  </w:abstractNum>
  <w:abstractNum w:abstractNumId="39" w15:restartNumberingAfterBreak="0">
    <w:nsid w:val="03591C02"/>
    <w:multiLevelType w:val="hybridMultilevel"/>
    <w:tmpl w:val="816EEA64"/>
    <w:lvl w:ilvl="0" w:tplc="9AB47BC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A14A9EE">
      <w:numFmt w:val="bullet"/>
      <w:lvlText w:val="•"/>
      <w:lvlJc w:val="left"/>
      <w:pPr>
        <w:ind w:left="892" w:hanging="217"/>
      </w:pPr>
      <w:rPr>
        <w:rFonts w:hint="default"/>
        <w:lang w:val="en-GB" w:eastAsia="en-GB" w:bidi="en-GB"/>
      </w:rPr>
    </w:lvl>
    <w:lvl w:ilvl="2" w:tplc="A06852A2">
      <w:numFmt w:val="bullet"/>
      <w:lvlText w:val="•"/>
      <w:lvlJc w:val="left"/>
      <w:pPr>
        <w:ind w:left="1485" w:hanging="217"/>
      </w:pPr>
      <w:rPr>
        <w:rFonts w:hint="default"/>
        <w:lang w:val="en-GB" w:eastAsia="en-GB" w:bidi="en-GB"/>
      </w:rPr>
    </w:lvl>
    <w:lvl w:ilvl="3" w:tplc="A150E328">
      <w:numFmt w:val="bullet"/>
      <w:lvlText w:val="•"/>
      <w:lvlJc w:val="left"/>
      <w:pPr>
        <w:ind w:left="2077" w:hanging="217"/>
      </w:pPr>
      <w:rPr>
        <w:rFonts w:hint="default"/>
        <w:lang w:val="en-GB" w:eastAsia="en-GB" w:bidi="en-GB"/>
      </w:rPr>
    </w:lvl>
    <w:lvl w:ilvl="4" w:tplc="005293F0">
      <w:numFmt w:val="bullet"/>
      <w:lvlText w:val="•"/>
      <w:lvlJc w:val="left"/>
      <w:pPr>
        <w:ind w:left="2670" w:hanging="217"/>
      </w:pPr>
      <w:rPr>
        <w:rFonts w:hint="default"/>
        <w:lang w:val="en-GB" w:eastAsia="en-GB" w:bidi="en-GB"/>
      </w:rPr>
    </w:lvl>
    <w:lvl w:ilvl="5" w:tplc="C41286CE">
      <w:numFmt w:val="bullet"/>
      <w:lvlText w:val="•"/>
      <w:lvlJc w:val="left"/>
      <w:pPr>
        <w:ind w:left="3263" w:hanging="217"/>
      </w:pPr>
      <w:rPr>
        <w:rFonts w:hint="default"/>
        <w:lang w:val="en-GB" w:eastAsia="en-GB" w:bidi="en-GB"/>
      </w:rPr>
    </w:lvl>
    <w:lvl w:ilvl="6" w:tplc="3396867C">
      <w:numFmt w:val="bullet"/>
      <w:lvlText w:val="•"/>
      <w:lvlJc w:val="left"/>
      <w:pPr>
        <w:ind w:left="3855" w:hanging="217"/>
      </w:pPr>
      <w:rPr>
        <w:rFonts w:hint="default"/>
        <w:lang w:val="en-GB" w:eastAsia="en-GB" w:bidi="en-GB"/>
      </w:rPr>
    </w:lvl>
    <w:lvl w:ilvl="7" w:tplc="B95466C0">
      <w:numFmt w:val="bullet"/>
      <w:lvlText w:val="•"/>
      <w:lvlJc w:val="left"/>
      <w:pPr>
        <w:ind w:left="4448" w:hanging="217"/>
      </w:pPr>
      <w:rPr>
        <w:rFonts w:hint="default"/>
        <w:lang w:val="en-GB" w:eastAsia="en-GB" w:bidi="en-GB"/>
      </w:rPr>
    </w:lvl>
    <w:lvl w:ilvl="8" w:tplc="62F0F544">
      <w:numFmt w:val="bullet"/>
      <w:lvlText w:val="•"/>
      <w:lvlJc w:val="left"/>
      <w:pPr>
        <w:ind w:left="5040" w:hanging="217"/>
      </w:pPr>
      <w:rPr>
        <w:rFonts w:hint="default"/>
        <w:lang w:val="en-GB" w:eastAsia="en-GB" w:bidi="en-GB"/>
      </w:rPr>
    </w:lvl>
  </w:abstractNum>
  <w:abstractNum w:abstractNumId="40" w15:restartNumberingAfterBreak="0">
    <w:nsid w:val="036E3B06"/>
    <w:multiLevelType w:val="hybridMultilevel"/>
    <w:tmpl w:val="35F20004"/>
    <w:lvl w:ilvl="0" w:tplc="EA02E6CC">
      <w:numFmt w:val="bullet"/>
      <w:lvlText w:val="•"/>
      <w:lvlJc w:val="left"/>
      <w:pPr>
        <w:ind w:left="305" w:hanging="217"/>
      </w:pPr>
      <w:rPr>
        <w:rFonts w:ascii="Arial" w:eastAsia="Arial" w:hAnsi="Arial" w:cs="Arial" w:hint="default"/>
        <w:color w:val="231F20"/>
        <w:spacing w:val="-5"/>
        <w:w w:val="100"/>
        <w:sz w:val="18"/>
        <w:szCs w:val="18"/>
        <w:lang w:val="en-GB" w:eastAsia="en-GB" w:bidi="en-GB"/>
      </w:rPr>
    </w:lvl>
    <w:lvl w:ilvl="1" w:tplc="A7D29A96">
      <w:numFmt w:val="bullet"/>
      <w:lvlText w:val="•"/>
      <w:lvlJc w:val="left"/>
      <w:pPr>
        <w:ind w:left="441" w:hanging="217"/>
      </w:pPr>
      <w:rPr>
        <w:rFonts w:hint="default"/>
        <w:lang w:val="en-GB" w:eastAsia="en-GB" w:bidi="en-GB"/>
      </w:rPr>
    </w:lvl>
    <w:lvl w:ilvl="2" w:tplc="E79618A2">
      <w:numFmt w:val="bullet"/>
      <w:lvlText w:val="•"/>
      <w:lvlJc w:val="left"/>
      <w:pPr>
        <w:ind w:left="583" w:hanging="217"/>
      </w:pPr>
      <w:rPr>
        <w:rFonts w:hint="default"/>
        <w:lang w:val="en-GB" w:eastAsia="en-GB" w:bidi="en-GB"/>
      </w:rPr>
    </w:lvl>
    <w:lvl w:ilvl="3" w:tplc="4142DFD4">
      <w:numFmt w:val="bullet"/>
      <w:lvlText w:val="•"/>
      <w:lvlJc w:val="left"/>
      <w:pPr>
        <w:ind w:left="725" w:hanging="217"/>
      </w:pPr>
      <w:rPr>
        <w:rFonts w:hint="default"/>
        <w:lang w:val="en-GB" w:eastAsia="en-GB" w:bidi="en-GB"/>
      </w:rPr>
    </w:lvl>
    <w:lvl w:ilvl="4" w:tplc="7174F9C0">
      <w:numFmt w:val="bullet"/>
      <w:lvlText w:val="•"/>
      <w:lvlJc w:val="left"/>
      <w:pPr>
        <w:ind w:left="867" w:hanging="217"/>
      </w:pPr>
      <w:rPr>
        <w:rFonts w:hint="default"/>
        <w:lang w:val="en-GB" w:eastAsia="en-GB" w:bidi="en-GB"/>
      </w:rPr>
    </w:lvl>
    <w:lvl w:ilvl="5" w:tplc="FE3E53D8">
      <w:numFmt w:val="bullet"/>
      <w:lvlText w:val="•"/>
      <w:lvlJc w:val="left"/>
      <w:pPr>
        <w:ind w:left="1009" w:hanging="217"/>
      </w:pPr>
      <w:rPr>
        <w:rFonts w:hint="default"/>
        <w:lang w:val="en-GB" w:eastAsia="en-GB" w:bidi="en-GB"/>
      </w:rPr>
    </w:lvl>
    <w:lvl w:ilvl="6" w:tplc="E1CC04B2">
      <w:numFmt w:val="bullet"/>
      <w:lvlText w:val="•"/>
      <w:lvlJc w:val="left"/>
      <w:pPr>
        <w:ind w:left="1151" w:hanging="217"/>
      </w:pPr>
      <w:rPr>
        <w:rFonts w:hint="default"/>
        <w:lang w:val="en-GB" w:eastAsia="en-GB" w:bidi="en-GB"/>
      </w:rPr>
    </w:lvl>
    <w:lvl w:ilvl="7" w:tplc="9FA2A444">
      <w:numFmt w:val="bullet"/>
      <w:lvlText w:val="•"/>
      <w:lvlJc w:val="left"/>
      <w:pPr>
        <w:ind w:left="1293" w:hanging="217"/>
      </w:pPr>
      <w:rPr>
        <w:rFonts w:hint="default"/>
        <w:lang w:val="en-GB" w:eastAsia="en-GB" w:bidi="en-GB"/>
      </w:rPr>
    </w:lvl>
    <w:lvl w:ilvl="8" w:tplc="475C09DE">
      <w:numFmt w:val="bullet"/>
      <w:lvlText w:val="•"/>
      <w:lvlJc w:val="left"/>
      <w:pPr>
        <w:ind w:left="1435" w:hanging="217"/>
      </w:pPr>
      <w:rPr>
        <w:rFonts w:hint="default"/>
        <w:lang w:val="en-GB" w:eastAsia="en-GB" w:bidi="en-GB"/>
      </w:rPr>
    </w:lvl>
  </w:abstractNum>
  <w:abstractNum w:abstractNumId="41" w15:restartNumberingAfterBreak="0">
    <w:nsid w:val="0392376D"/>
    <w:multiLevelType w:val="hybridMultilevel"/>
    <w:tmpl w:val="3E76BE18"/>
    <w:lvl w:ilvl="0" w:tplc="4F8AE4DE">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B30207CC">
      <w:numFmt w:val="bullet"/>
      <w:lvlText w:val="•"/>
      <w:lvlJc w:val="left"/>
      <w:pPr>
        <w:ind w:left="473" w:hanging="217"/>
      </w:pPr>
      <w:rPr>
        <w:rFonts w:hint="default"/>
        <w:lang w:val="en-GB" w:eastAsia="en-GB" w:bidi="en-GB"/>
      </w:rPr>
    </w:lvl>
    <w:lvl w:ilvl="2" w:tplc="631243F2">
      <w:numFmt w:val="bullet"/>
      <w:lvlText w:val="•"/>
      <w:lvlJc w:val="left"/>
      <w:pPr>
        <w:ind w:left="646" w:hanging="217"/>
      </w:pPr>
      <w:rPr>
        <w:rFonts w:hint="default"/>
        <w:lang w:val="en-GB" w:eastAsia="en-GB" w:bidi="en-GB"/>
      </w:rPr>
    </w:lvl>
    <w:lvl w:ilvl="3" w:tplc="2DEAB0EC">
      <w:numFmt w:val="bullet"/>
      <w:lvlText w:val="•"/>
      <w:lvlJc w:val="left"/>
      <w:pPr>
        <w:ind w:left="819" w:hanging="217"/>
      </w:pPr>
      <w:rPr>
        <w:rFonts w:hint="default"/>
        <w:lang w:val="en-GB" w:eastAsia="en-GB" w:bidi="en-GB"/>
      </w:rPr>
    </w:lvl>
    <w:lvl w:ilvl="4" w:tplc="C1266FAA">
      <w:numFmt w:val="bullet"/>
      <w:lvlText w:val="•"/>
      <w:lvlJc w:val="left"/>
      <w:pPr>
        <w:ind w:left="992" w:hanging="217"/>
      </w:pPr>
      <w:rPr>
        <w:rFonts w:hint="default"/>
        <w:lang w:val="en-GB" w:eastAsia="en-GB" w:bidi="en-GB"/>
      </w:rPr>
    </w:lvl>
    <w:lvl w:ilvl="5" w:tplc="3A7AD45C">
      <w:numFmt w:val="bullet"/>
      <w:lvlText w:val="•"/>
      <w:lvlJc w:val="left"/>
      <w:pPr>
        <w:ind w:left="1165" w:hanging="217"/>
      </w:pPr>
      <w:rPr>
        <w:rFonts w:hint="default"/>
        <w:lang w:val="en-GB" w:eastAsia="en-GB" w:bidi="en-GB"/>
      </w:rPr>
    </w:lvl>
    <w:lvl w:ilvl="6" w:tplc="7E2E0EB8">
      <w:numFmt w:val="bullet"/>
      <w:lvlText w:val="•"/>
      <w:lvlJc w:val="left"/>
      <w:pPr>
        <w:ind w:left="1338" w:hanging="217"/>
      </w:pPr>
      <w:rPr>
        <w:rFonts w:hint="default"/>
        <w:lang w:val="en-GB" w:eastAsia="en-GB" w:bidi="en-GB"/>
      </w:rPr>
    </w:lvl>
    <w:lvl w:ilvl="7" w:tplc="E4FAE302">
      <w:numFmt w:val="bullet"/>
      <w:lvlText w:val="•"/>
      <w:lvlJc w:val="left"/>
      <w:pPr>
        <w:ind w:left="1511" w:hanging="217"/>
      </w:pPr>
      <w:rPr>
        <w:rFonts w:hint="default"/>
        <w:lang w:val="en-GB" w:eastAsia="en-GB" w:bidi="en-GB"/>
      </w:rPr>
    </w:lvl>
    <w:lvl w:ilvl="8" w:tplc="5E8CA1D8">
      <w:numFmt w:val="bullet"/>
      <w:lvlText w:val="•"/>
      <w:lvlJc w:val="left"/>
      <w:pPr>
        <w:ind w:left="1684" w:hanging="217"/>
      </w:pPr>
      <w:rPr>
        <w:rFonts w:hint="default"/>
        <w:lang w:val="en-GB" w:eastAsia="en-GB" w:bidi="en-GB"/>
      </w:rPr>
    </w:lvl>
  </w:abstractNum>
  <w:abstractNum w:abstractNumId="42" w15:restartNumberingAfterBreak="0">
    <w:nsid w:val="039A6223"/>
    <w:multiLevelType w:val="hybridMultilevel"/>
    <w:tmpl w:val="241CB06C"/>
    <w:lvl w:ilvl="0" w:tplc="B12A0A12">
      <w:numFmt w:val="bullet"/>
      <w:lvlText w:val="•"/>
      <w:lvlJc w:val="left"/>
      <w:pPr>
        <w:ind w:left="299" w:hanging="217"/>
      </w:pPr>
      <w:rPr>
        <w:rFonts w:ascii="Arial" w:eastAsia="Arial" w:hAnsi="Arial" w:cs="Arial" w:hint="default"/>
        <w:color w:val="231F20"/>
        <w:spacing w:val="-10"/>
        <w:w w:val="100"/>
        <w:sz w:val="18"/>
        <w:szCs w:val="18"/>
        <w:lang w:val="en-GB" w:eastAsia="en-GB" w:bidi="en-GB"/>
      </w:rPr>
    </w:lvl>
    <w:lvl w:ilvl="1" w:tplc="C7ACB768">
      <w:numFmt w:val="bullet"/>
      <w:lvlText w:val="•"/>
      <w:lvlJc w:val="left"/>
      <w:pPr>
        <w:ind w:left="529" w:hanging="217"/>
      </w:pPr>
      <w:rPr>
        <w:rFonts w:hint="default"/>
        <w:lang w:val="en-GB" w:eastAsia="en-GB" w:bidi="en-GB"/>
      </w:rPr>
    </w:lvl>
    <w:lvl w:ilvl="2" w:tplc="A68A8204">
      <w:numFmt w:val="bullet"/>
      <w:lvlText w:val="•"/>
      <w:lvlJc w:val="left"/>
      <w:pPr>
        <w:ind w:left="759" w:hanging="217"/>
      </w:pPr>
      <w:rPr>
        <w:rFonts w:hint="default"/>
        <w:lang w:val="en-GB" w:eastAsia="en-GB" w:bidi="en-GB"/>
      </w:rPr>
    </w:lvl>
    <w:lvl w:ilvl="3" w:tplc="5E6E3ECE">
      <w:numFmt w:val="bullet"/>
      <w:lvlText w:val="•"/>
      <w:lvlJc w:val="left"/>
      <w:pPr>
        <w:ind w:left="989" w:hanging="217"/>
      </w:pPr>
      <w:rPr>
        <w:rFonts w:hint="default"/>
        <w:lang w:val="en-GB" w:eastAsia="en-GB" w:bidi="en-GB"/>
      </w:rPr>
    </w:lvl>
    <w:lvl w:ilvl="4" w:tplc="F80690AC">
      <w:numFmt w:val="bullet"/>
      <w:lvlText w:val="•"/>
      <w:lvlJc w:val="left"/>
      <w:pPr>
        <w:ind w:left="1219" w:hanging="217"/>
      </w:pPr>
      <w:rPr>
        <w:rFonts w:hint="default"/>
        <w:lang w:val="en-GB" w:eastAsia="en-GB" w:bidi="en-GB"/>
      </w:rPr>
    </w:lvl>
    <w:lvl w:ilvl="5" w:tplc="A6BE471C">
      <w:numFmt w:val="bullet"/>
      <w:lvlText w:val="•"/>
      <w:lvlJc w:val="left"/>
      <w:pPr>
        <w:ind w:left="1449" w:hanging="217"/>
      </w:pPr>
      <w:rPr>
        <w:rFonts w:hint="default"/>
        <w:lang w:val="en-GB" w:eastAsia="en-GB" w:bidi="en-GB"/>
      </w:rPr>
    </w:lvl>
    <w:lvl w:ilvl="6" w:tplc="56C2C12E">
      <w:numFmt w:val="bullet"/>
      <w:lvlText w:val="•"/>
      <w:lvlJc w:val="left"/>
      <w:pPr>
        <w:ind w:left="1678" w:hanging="217"/>
      </w:pPr>
      <w:rPr>
        <w:rFonts w:hint="default"/>
        <w:lang w:val="en-GB" w:eastAsia="en-GB" w:bidi="en-GB"/>
      </w:rPr>
    </w:lvl>
    <w:lvl w:ilvl="7" w:tplc="8A30D1F2">
      <w:numFmt w:val="bullet"/>
      <w:lvlText w:val="•"/>
      <w:lvlJc w:val="left"/>
      <w:pPr>
        <w:ind w:left="1908" w:hanging="217"/>
      </w:pPr>
      <w:rPr>
        <w:rFonts w:hint="default"/>
        <w:lang w:val="en-GB" w:eastAsia="en-GB" w:bidi="en-GB"/>
      </w:rPr>
    </w:lvl>
    <w:lvl w:ilvl="8" w:tplc="BA968284">
      <w:numFmt w:val="bullet"/>
      <w:lvlText w:val="•"/>
      <w:lvlJc w:val="left"/>
      <w:pPr>
        <w:ind w:left="2138" w:hanging="217"/>
      </w:pPr>
      <w:rPr>
        <w:rFonts w:hint="default"/>
        <w:lang w:val="en-GB" w:eastAsia="en-GB" w:bidi="en-GB"/>
      </w:rPr>
    </w:lvl>
  </w:abstractNum>
  <w:abstractNum w:abstractNumId="43" w15:restartNumberingAfterBreak="0">
    <w:nsid w:val="039B0F76"/>
    <w:multiLevelType w:val="hybridMultilevel"/>
    <w:tmpl w:val="936E5212"/>
    <w:lvl w:ilvl="0" w:tplc="06A07BD0">
      <w:numFmt w:val="bullet"/>
      <w:lvlText w:val="•"/>
      <w:lvlJc w:val="left"/>
      <w:pPr>
        <w:ind w:left="276" w:hanging="217"/>
      </w:pPr>
      <w:rPr>
        <w:rFonts w:ascii="Arial" w:eastAsia="Arial" w:hAnsi="Arial" w:cs="Arial" w:hint="default"/>
        <w:color w:val="231F20"/>
        <w:w w:val="97"/>
        <w:sz w:val="16"/>
        <w:szCs w:val="16"/>
        <w:lang w:val="en-GB" w:eastAsia="en-GB" w:bidi="en-GB"/>
      </w:rPr>
    </w:lvl>
    <w:lvl w:ilvl="1" w:tplc="79F64D80">
      <w:numFmt w:val="bullet"/>
      <w:lvlText w:val="•"/>
      <w:lvlJc w:val="left"/>
      <w:pPr>
        <w:ind w:left="381" w:hanging="217"/>
      </w:pPr>
      <w:rPr>
        <w:rFonts w:hint="default"/>
        <w:lang w:val="en-GB" w:eastAsia="en-GB" w:bidi="en-GB"/>
      </w:rPr>
    </w:lvl>
    <w:lvl w:ilvl="2" w:tplc="9BBCE6C0">
      <w:numFmt w:val="bullet"/>
      <w:lvlText w:val="•"/>
      <w:lvlJc w:val="left"/>
      <w:pPr>
        <w:ind w:left="482" w:hanging="217"/>
      </w:pPr>
      <w:rPr>
        <w:rFonts w:hint="default"/>
        <w:lang w:val="en-GB" w:eastAsia="en-GB" w:bidi="en-GB"/>
      </w:rPr>
    </w:lvl>
    <w:lvl w:ilvl="3" w:tplc="DC147326">
      <w:numFmt w:val="bullet"/>
      <w:lvlText w:val="•"/>
      <w:lvlJc w:val="left"/>
      <w:pPr>
        <w:ind w:left="584" w:hanging="217"/>
      </w:pPr>
      <w:rPr>
        <w:rFonts w:hint="default"/>
        <w:lang w:val="en-GB" w:eastAsia="en-GB" w:bidi="en-GB"/>
      </w:rPr>
    </w:lvl>
    <w:lvl w:ilvl="4" w:tplc="F5B0E7BA">
      <w:numFmt w:val="bullet"/>
      <w:lvlText w:val="•"/>
      <w:lvlJc w:val="left"/>
      <w:pPr>
        <w:ind w:left="685" w:hanging="217"/>
      </w:pPr>
      <w:rPr>
        <w:rFonts w:hint="default"/>
        <w:lang w:val="en-GB" w:eastAsia="en-GB" w:bidi="en-GB"/>
      </w:rPr>
    </w:lvl>
    <w:lvl w:ilvl="5" w:tplc="760E6812">
      <w:numFmt w:val="bullet"/>
      <w:lvlText w:val="•"/>
      <w:lvlJc w:val="left"/>
      <w:pPr>
        <w:ind w:left="787" w:hanging="217"/>
      </w:pPr>
      <w:rPr>
        <w:rFonts w:hint="default"/>
        <w:lang w:val="en-GB" w:eastAsia="en-GB" w:bidi="en-GB"/>
      </w:rPr>
    </w:lvl>
    <w:lvl w:ilvl="6" w:tplc="0D62AE08">
      <w:numFmt w:val="bullet"/>
      <w:lvlText w:val="•"/>
      <w:lvlJc w:val="left"/>
      <w:pPr>
        <w:ind w:left="888" w:hanging="217"/>
      </w:pPr>
      <w:rPr>
        <w:rFonts w:hint="default"/>
        <w:lang w:val="en-GB" w:eastAsia="en-GB" w:bidi="en-GB"/>
      </w:rPr>
    </w:lvl>
    <w:lvl w:ilvl="7" w:tplc="F3966F10">
      <w:numFmt w:val="bullet"/>
      <w:lvlText w:val="•"/>
      <w:lvlJc w:val="left"/>
      <w:pPr>
        <w:ind w:left="989" w:hanging="217"/>
      </w:pPr>
      <w:rPr>
        <w:rFonts w:hint="default"/>
        <w:lang w:val="en-GB" w:eastAsia="en-GB" w:bidi="en-GB"/>
      </w:rPr>
    </w:lvl>
    <w:lvl w:ilvl="8" w:tplc="490E0734">
      <w:numFmt w:val="bullet"/>
      <w:lvlText w:val="•"/>
      <w:lvlJc w:val="left"/>
      <w:pPr>
        <w:ind w:left="1091" w:hanging="217"/>
      </w:pPr>
      <w:rPr>
        <w:rFonts w:hint="default"/>
        <w:lang w:val="en-GB" w:eastAsia="en-GB" w:bidi="en-GB"/>
      </w:rPr>
    </w:lvl>
  </w:abstractNum>
  <w:abstractNum w:abstractNumId="44" w15:restartNumberingAfterBreak="0">
    <w:nsid w:val="03CA02B0"/>
    <w:multiLevelType w:val="hybridMultilevel"/>
    <w:tmpl w:val="70365E00"/>
    <w:lvl w:ilvl="0" w:tplc="8A566B0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CA4C2E8">
      <w:numFmt w:val="bullet"/>
      <w:lvlText w:val="•"/>
      <w:lvlJc w:val="left"/>
      <w:pPr>
        <w:ind w:left="892" w:hanging="217"/>
      </w:pPr>
      <w:rPr>
        <w:rFonts w:hint="default"/>
        <w:lang w:val="en-GB" w:eastAsia="en-GB" w:bidi="en-GB"/>
      </w:rPr>
    </w:lvl>
    <w:lvl w:ilvl="2" w:tplc="D750A708">
      <w:numFmt w:val="bullet"/>
      <w:lvlText w:val="•"/>
      <w:lvlJc w:val="left"/>
      <w:pPr>
        <w:ind w:left="1485" w:hanging="217"/>
      </w:pPr>
      <w:rPr>
        <w:rFonts w:hint="default"/>
        <w:lang w:val="en-GB" w:eastAsia="en-GB" w:bidi="en-GB"/>
      </w:rPr>
    </w:lvl>
    <w:lvl w:ilvl="3" w:tplc="4A7A9570">
      <w:numFmt w:val="bullet"/>
      <w:lvlText w:val="•"/>
      <w:lvlJc w:val="left"/>
      <w:pPr>
        <w:ind w:left="2077" w:hanging="217"/>
      </w:pPr>
      <w:rPr>
        <w:rFonts w:hint="default"/>
        <w:lang w:val="en-GB" w:eastAsia="en-GB" w:bidi="en-GB"/>
      </w:rPr>
    </w:lvl>
    <w:lvl w:ilvl="4" w:tplc="5BB007B4">
      <w:numFmt w:val="bullet"/>
      <w:lvlText w:val="•"/>
      <w:lvlJc w:val="left"/>
      <w:pPr>
        <w:ind w:left="2670" w:hanging="217"/>
      </w:pPr>
      <w:rPr>
        <w:rFonts w:hint="default"/>
        <w:lang w:val="en-GB" w:eastAsia="en-GB" w:bidi="en-GB"/>
      </w:rPr>
    </w:lvl>
    <w:lvl w:ilvl="5" w:tplc="026427EE">
      <w:numFmt w:val="bullet"/>
      <w:lvlText w:val="•"/>
      <w:lvlJc w:val="left"/>
      <w:pPr>
        <w:ind w:left="3263" w:hanging="217"/>
      </w:pPr>
      <w:rPr>
        <w:rFonts w:hint="default"/>
        <w:lang w:val="en-GB" w:eastAsia="en-GB" w:bidi="en-GB"/>
      </w:rPr>
    </w:lvl>
    <w:lvl w:ilvl="6" w:tplc="2D4649D6">
      <w:numFmt w:val="bullet"/>
      <w:lvlText w:val="•"/>
      <w:lvlJc w:val="left"/>
      <w:pPr>
        <w:ind w:left="3855" w:hanging="217"/>
      </w:pPr>
      <w:rPr>
        <w:rFonts w:hint="default"/>
        <w:lang w:val="en-GB" w:eastAsia="en-GB" w:bidi="en-GB"/>
      </w:rPr>
    </w:lvl>
    <w:lvl w:ilvl="7" w:tplc="0EBC999A">
      <w:numFmt w:val="bullet"/>
      <w:lvlText w:val="•"/>
      <w:lvlJc w:val="left"/>
      <w:pPr>
        <w:ind w:left="4448" w:hanging="217"/>
      </w:pPr>
      <w:rPr>
        <w:rFonts w:hint="default"/>
        <w:lang w:val="en-GB" w:eastAsia="en-GB" w:bidi="en-GB"/>
      </w:rPr>
    </w:lvl>
    <w:lvl w:ilvl="8" w:tplc="22DA8B74">
      <w:numFmt w:val="bullet"/>
      <w:lvlText w:val="•"/>
      <w:lvlJc w:val="left"/>
      <w:pPr>
        <w:ind w:left="5040" w:hanging="217"/>
      </w:pPr>
      <w:rPr>
        <w:rFonts w:hint="default"/>
        <w:lang w:val="en-GB" w:eastAsia="en-GB" w:bidi="en-GB"/>
      </w:rPr>
    </w:lvl>
  </w:abstractNum>
  <w:abstractNum w:abstractNumId="45" w15:restartNumberingAfterBreak="0">
    <w:nsid w:val="03DC3A58"/>
    <w:multiLevelType w:val="hybridMultilevel"/>
    <w:tmpl w:val="0C72B9BE"/>
    <w:lvl w:ilvl="0" w:tplc="6306574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DFA1834">
      <w:numFmt w:val="bullet"/>
      <w:lvlText w:val="•"/>
      <w:lvlJc w:val="left"/>
      <w:pPr>
        <w:ind w:left="439" w:hanging="217"/>
      </w:pPr>
      <w:rPr>
        <w:rFonts w:hint="default"/>
        <w:lang w:val="en-GB" w:eastAsia="en-GB" w:bidi="en-GB"/>
      </w:rPr>
    </w:lvl>
    <w:lvl w:ilvl="2" w:tplc="0C743B68">
      <w:numFmt w:val="bullet"/>
      <w:lvlText w:val="•"/>
      <w:lvlJc w:val="left"/>
      <w:pPr>
        <w:ind w:left="578" w:hanging="217"/>
      </w:pPr>
      <w:rPr>
        <w:rFonts w:hint="default"/>
        <w:lang w:val="en-GB" w:eastAsia="en-GB" w:bidi="en-GB"/>
      </w:rPr>
    </w:lvl>
    <w:lvl w:ilvl="3" w:tplc="70E2320A">
      <w:numFmt w:val="bullet"/>
      <w:lvlText w:val="•"/>
      <w:lvlJc w:val="left"/>
      <w:pPr>
        <w:ind w:left="717" w:hanging="217"/>
      </w:pPr>
      <w:rPr>
        <w:rFonts w:hint="default"/>
        <w:lang w:val="en-GB" w:eastAsia="en-GB" w:bidi="en-GB"/>
      </w:rPr>
    </w:lvl>
    <w:lvl w:ilvl="4" w:tplc="F7B2F854">
      <w:numFmt w:val="bullet"/>
      <w:lvlText w:val="•"/>
      <w:lvlJc w:val="left"/>
      <w:pPr>
        <w:ind w:left="856" w:hanging="217"/>
      </w:pPr>
      <w:rPr>
        <w:rFonts w:hint="default"/>
        <w:lang w:val="en-GB" w:eastAsia="en-GB" w:bidi="en-GB"/>
      </w:rPr>
    </w:lvl>
    <w:lvl w:ilvl="5" w:tplc="7A0CABDA">
      <w:numFmt w:val="bullet"/>
      <w:lvlText w:val="•"/>
      <w:lvlJc w:val="left"/>
      <w:pPr>
        <w:ind w:left="995" w:hanging="217"/>
      </w:pPr>
      <w:rPr>
        <w:rFonts w:hint="default"/>
        <w:lang w:val="en-GB" w:eastAsia="en-GB" w:bidi="en-GB"/>
      </w:rPr>
    </w:lvl>
    <w:lvl w:ilvl="6" w:tplc="4FAE3D04">
      <w:numFmt w:val="bullet"/>
      <w:lvlText w:val="•"/>
      <w:lvlJc w:val="left"/>
      <w:pPr>
        <w:ind w:left="1134" w:hanging="217"/>
      </w:pPr>
      <w:rPr>
        <w:rFonts w:hint="default"/>
        <w:lang w:val="en-GB" w:eastAsia="en-GB" w:bidi="en-GB"/>
      </w:rPr>
    </w:lvl>
    <w:lvl w:ilvl="7" w:tplc="40F6A350">
      <w:numFmt w:val="bullet"/>
      <w:lvlText w:val="•"/>
      <w:lvlJc w:val="left"/>
      <w:pPr>
        <w:ind w:left="1273" w:hanging="217"/>
      </w:pPr>
      <w:rPr>
        <w:rFonts w:hint="default"/>
        <w:lang w:val="en-GB" w:eastAsia="en-GB" w:bidi="en-GB"/>
      </w:rPr>
    </w:lvl>
    <w:lvl w:ilvl="8" w:tplc="9D568544">
      <w:numFmt w:val="bullet"/>
      <w:lvlText w:val="•"/>
      <w:lvlJc w:val="left"/>
      <w:pPr>
        <w:ind w:left="1412" w:hanging="217"/>
      </w:pPr>
      <w:rPr>
        <w:rFonts w:hint="default"/>
        <w:lang w:val="en-GB" w:eastAsia="en-GB" w:bidi="en-GB"/>
      </w:rPr>
    </w:lvl>
  </w:abstractNum>
  <w:abstractNum w:abstractNumId="46" w15:restartNumberingAfterBreak="0">
    <w:nsid w:val="03EA611D"/>
    <w:multiLevelType w:val="hybridMultilevel"/>
    <w:tmpl w:val="DA5477C6"/>
    <w:lvl w:ilvl="0" w:tplc="7EFE534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524C938">
      <w:numFmt w:val="bullet"/>
      <w:lvlText w:val="•"/>
      <w:lvlJc w:val="left"/>
      <w:pPr>
        <w:ind w:left="439" w:hanging="217"/>
      </w:pPr>
      <w:rPr>
        <w:rFonts w:hint="default"/>
        <w:lang w:val="en-GB" w:eastAsia="en-GB" w:bidi="en-GB"/>
      </w:rPr>
    </w:lvl>
    <w:lvl w:ilvl="2" w:tplc="0124375A">
      <w:numFmt w:val="bullet"/>
      <w:lvlText w:val="•"/>
      <w:lvlJc w:val="left"/>
      <w:pPr>
        <w:ind w:left="578" w:hanging="217"/>
      </w:pPr>
      <w:rPr>
        <w:rFonts w:hint="default"/>
        <w:lang w:val="en-GB" w:eastAsia="en-GB" w:bidi="en-GB"/>
      </w:rPr>
    </w:lvl>
    <w:lvl w:ilvl="3" w:tplc="F08E2782">
      <w:numFmt w:val="bullet"/>
      <w:lvlText w:val="•"/>
      <w:lvlJc w:val="left"/>
      <w:pPr>
        <w:ind w:left="717" w:hanging="217"/>
      </w:pPr>
      <w:rPr>
        <w:rFonts w:hint="default"/>
        <w:lang w:val="en-GB" w:eastAsia="en-GB" w:bidi="en-GB"/>
      </w:rPr>
    </w:lvl>
    <w:lvl w:ilvl="4" w:tplc="F25EB1BC">
      <w:numFmt w:val="bullet"/>
      <w:lvlText w:val="•"/>
      <w:lvlJc w:val="left"/>
      <w:pPr>
        <w:ind w:left="856" w:hanging="217"/>
      </w:pPr>
      <w:rPr>
        <w:rFonts w:hint="default"/>
        <w:lang w:val="en-GB" w:eastAsia="en-GB" w:bidi="en-GB"/>
      </w:rPr>
    </w:lvl>
    <w:lvl w:ilvl="5" w:tplc="001EE242">
      <w:numFmt w:val="bullet"/>
      <w:lvlText w:val="•"/>
      <w:lvlJc w:val="left"/>
      <w:pPr>
        <w:ind w:left="995" w:hanging="217"/>
      </w:pPr>
      <w:rPr>
        <w:rFonts w:hint="default"/>
        <w:lang w:val="en-GB" w:eastAsia="en-GB" w:bidi="en-GB"/>
      </w:rPr>
    </w:lvl>
    <w:lvl w:ilvl="6" w:tplc="AFACCA66">
      <w:numFmt w:val="bullet"/>
      <w:lvlText w:val="•"/>
      <w:lvlJc w:val="left"/>
      <w:pPr>
        <w:ind w:left="1134" w:hanging="217"/>
      </w:pPr>
      <w:rPr>
        <w:rFonts w:hint="default"/>
        <w:lang w:val="en-GB" w:eastAsia="en-GB" w:bidi="en-GB"/>
      </w:rPr>
    </w:lvl>
    <w:lvl w:ilvl="7" w:tplc="222C4384">
      <w:numFmt w:val="bullet"/>
      <w:lvlText w:val="•"/>
      <w:lvlJc w:val="left"/>
      <w:pPr>
        <w:ind w:left="1273" w:hanging="217"/>
      </w:pPr>
      <w:rPr>
        <w:rFonts w:hint="default"/>
        <w:lang w:val="en-GB" w:eastAsia="en-GB" w:bidi="en-GB"/>
      </w:rPr>
    </w:lvl>
    <w:lvl w:ilvl="8" w:tplc="72CC901E">
      <w:numFmt w:val="bullet"/>
      <w:lvlText w:val="•"/>
      <w:lvlJc w:val="left"/>
      <w:pPr>
        <w:ind w:left="1412" w:hanging="217"/>
      </w:pPr>
      <w:rPr>
        <w:rFonts w:hint="default"/>
        <w:lang w:val="en-GB" w:eastAsia="en-GB" w:bidi="en-GB"/>
      </w:rPr>
    </w:lvl>
  </w:abstractNum>
  <w:abstractNum w:abstractNumId="47" w15:restartNumberingAfterBreak="0">
    <w:nsid w:val="03EE7B5B"/>
    <w:multiLevelType w:val="hybridMultilevel"/>
    <w:tmpl w:val="5A503396"/>
    <w:lvl w:ilvl="0" w:tplc="754EC23C">
      <w:numFmt w:val="bullet"/>
      <w:lvlText w:val="•"/>
      <w:lvlJc w:val="left"/>
      <w:pPr>
        <w:ind w:left="304" w:hanging="217"/>
      </w:pPr>
      <w:rPr>
        <w:rFonts w:ascii="Arial" w:eastAsia="Arial" w:hAnsi="Arial" w:cs="Arial" w:hint="default"/>
        <w:color w:val="231F20"/>
        <w:spacing w:val="-14"/>
        <w:w w:val="100"/>
        <w:sz w:val="18"/>
        <w:szCs w:val="18"/>
        <w:lang w:val="en-GB" w:eastAsia="en-GB" w:bidi="en-GB"/>
      </w:rPr>
    </w:lvl>
    <w:lvl w:ilvl="1" w:tplc="FF144CE6">
      <w:numFmt w:val="bullet"/>
      <w:lvlText w:val="•"/>
      <w:lvlJc w:val="left"/>
      <w:pPr>
        <w:ind w:left="467" w:hanging="217"/>
      </w:pPr>
      <w:rPr>
        <w:rFonts w:hint="default"/>
        <w:lang w:val="en-GB" w:eastAsia="en-GB" w:bidi="en-GB"/>
      </w:rPr>
    </w:lvl>
    <w:lvl w:ilvl="2" w:tplc="9A22822A">
      <w:numFmt w:val="bullet"/>
      <w:lvlText w:val="•"/>
      <w:lvlJc w:val="left"/>
      <w:pPr>
        <w:ind w:left="634" w:hanging="217"/>
      </w:pPr>
      <w:rPr>
        <w:rFonts w:hint="default"/>
        <w:lang w:val="en-GB" w:eastAsia="en-GB" w:bidi="en-GB"/>
      </w:rPr>
    </w:lvl>
    <w:lvl w:ilvl="3" w:tplc="141CCA8E">
      <w:numFmt w:val="bullet"/>
      <w:lvlText w:val="•"/>
      <w:lvlJc w:val="left"/>
      <w:pPr>
        <w:ind w:left="802" w:hanging="217"/>
      </w:pPr>
      <w:rPr>
        <w:rFonts w:hint="default"/>
        <w:lang w:val="en-GB" w:eastAsia="en-GB" w:bidi="en-GB"/>
      </w:rPr>
    </w:lvl>
    <w:lvl w:ilvl="4" w:tplc="22CC707C">
      <w:numFmt w:val="bullet"/>
      <w:lvlText w:val="•"/>
      <w:lvlJc w:val="left"/>
      <w:pPr>
        <w:ind w:left="969" w:hanging="217"/>
      </w:pPr>
      <w:rPr>
        <w:rFonts w:hint="default"/>
        <w:lang w:val="en-GB" w:eastAsia="en-GB" w:bidi="en-GB"/>
      </w:rPr>
    </w:lvl>
    <w:lvl w:ilvl="5" w:tplc="A582184E">
      <w:numFmt w:val="bullet"/>
      <w:lvlText w:val="•"/>
      <w:lvlJc w:val="left"/>
      <w:pPr>
        <w:ind w:left="1137" w:hanging="217"/>
      </w:pPr>
      <w:rPr>
        <w:rFonts w:hint="default"/>
        <w:lang w:val="en-GB" w:eastAsia="en-GB" w:bidi="en-GB"/>
      </w:rPr>
    </w:lvl>
    <w:lvl w:ilvl="6" w:tplc="BA3ACE20">
      <w:numFmt w:val="bullet"/>
      <w:lvlText w:val="•"/>
      <w:lvlJc w:val="left"/>
      <w:pPr>
        <w:ind w:left="1304" w:hanging="217"/>
      </w:pPr>
      <w:rPr>
        <w:rFonts w:hint="default"/>
        <w:lang w:val="en-GB" w:eastAsia="en-GB" w:bidi="en-GB"/>
      </w:rPr>
    </w:lvl>
    <w:lvl w:ilvl="7" w:tplc="17E4FAEE">
      <w:numFmt w:val="bullet"/>
      <w:lvlText w:val="•"/>
      <w:lvlJc w:val="left"/>
      <w:pPr>
        <w:ind w:left="1471" w:hanging="217"/>
      </w:pPr>
      <w:rPr>
        <w:rFonts w:hint="default"/>
        <w:lang w:val="en-GB" w:eastAsia="en-GB" w:bidi="en-GB"/>
      </w:rPr>
    </w:lvl>
    <w:lvl w:ilvl="8" w:tplc="402E9E00">
      <w:numFmt w:val="bullet"/>
      <w:lvlText w:val="•"/>
      <w:lvlJc w:val="left"/>
      <w:pPr>
        <w:ind w:left="1639" w:hanging="217"/>
      </w:pPr>
      <w:rPr>
        <w:rFonts w:hint="default"/>
        <w:lang w:val="en-GB" w:eastAsia="en-GB" w:bidi="en-GB"/>
      </w:rPr>
    </w:lvl>
  </w:abstractNum>
  <w:abstractNum w:abstractNumId="48" w15:restartNumberingAfterBreak="0">
    <w:nsid w:val="03EE7E62"/>
    <w:multiLevelType w:val="hybridMultilevel"/>
    <w:tmpl w:val="751C2298"/>
    <w:lvl w:ilvl="0" w:tplc="965E2F46">
      <w:numFmt w:val="bullet"/>
      <w:lvlText w:val="•"/>
      <w:lvlJc w:val="left"/>
      <w:pPr>
        <w:ind w:left="305" w:hanging="217"/>
      </w:pPr>
      <w:rPr>
        <w:rFonts w:ascii="Arial" w:eastAsia="Arial" w:hAnsi="Arial" w:cs="Arial" w:hint="default"/>
        <w:color w:val="231F20"/>
        <w:w w:val="100"/>
        <w:sz w:val="18"/>
        <w:szCs w:val="18"/>
        <w:lang w:val="en-GB" w:eastAsia="en-GB" w:bidi="en-GB"/>
      </w:rPr>
    </w:lvl>
    <w:lvl w:ilvl="1" w:tplc="0E1CB0B0">
      <w:numFmt w:val="bullet"/>
      <w:lvlText w:val="•"/>
      <w:lvlJc w:val="left"/>
      <w:pPr>
        <w:ind w:left="467" w:hanging="217"/>
      </w:pPr>
      <w:rPr>
        <w:rFonts w:hint="default"/>
        <w:lang w:val="en-GB" w:eastAsia="en-GB" w:bidi="en-GB"/>
      </w:rPr>
    </w:lvl>
    <w:lvl w:ilvl="2" w:tplc="D5688B36">
      <w:numFmt w:val="bullet"/>
      <w:lvlText w:val="•"/>
      <w:lvlJc w:val="left"/>
      <w:pPr>
        <w:ind w:left="634" w:hanging="217"/>
      </w:pPr>
      <w:rPr>
        <w:rFonts w:hint="default"/>
        <w:lang w:val="en-GB" w:eastAsia="en-GB" w:bidi="en-GB"/>
      </w:rPr>
    </w:lvl>
    <w:lvl w:ilvl="3" w:tplc="17DC9C96">
      <w:numFmt w:val="bullet"/>
      <w:lvlText w:val="•"/>
      <w:lvlJc w:val="left"/>
      <w:pPr>
        <w:ind w:left="802" w:hanging="217"/>
      </w:pPr>
      <w:rPr>
        <w:rFonts w:hint="default"/>
        <w:lang w:val="en-GB" w:eastAsia="en-GB" w:bidi="en-GB"/>
      </w:rPr>
    </w:lvl>
    <w:lvl w:ilvl="4" w:tplc="B6B608F2">
      <w:numFmt w:val="bullet"/>
      <w:lvlText w:val="•"/>
      <w:lvlJc w:val="left"/>
      <w:pPr>
        <w:ind w:left="969" w:hanging="217"/>
      </w:pPr>
      <w:rPr>
        <w:rFonts w:hint="default"/>
        <w:lang w:val="en-GB" w:eastAsia="en-GB" w:bidi="en-GB"/>
      </w:rPr>
    </w:lvl>
    <w:lvl w:ilvl="5" w:tplc="6CD49DC2">
      <w:numFmt w:val="bullet"/>
      <w:lvlText w:val="•"/>
      <w:lvlJc w:val="left"/>
      <w:pPr>
        <w:ind w:left="1137" w:hanging="217"/>
      </w:pPr>
      <w:rPr>
        <w:rFonts w:hint="default"/>
        <w:lang w:val="en-GB" w:eastAsia="en-GB" w:bidi="en-GB"/>
      </w:rPr>
    </w:lvl>
    <w:lvl w:ilvl="6" w:tplc="838CF6EE">
      <w:numFmt w:val="bullet"/>
      <w:lvlText w:val="•"/>
      <w:lvlJc w:val="left"/>
      <w:pPr>
        <w:ind w:left="1304" w:hanging="217"/>
      </w:pPr>
      <w:rPr>
        <w:rFonts w:hint="default"/>
        <w:lang w:val="en-GB" w:eastAsia="en-GB" w:bidi="en-GB"/>
      </w:rPr>
    </w:lvl>
    <w:lvl w:ilvl="7" w:tplc="889A12F8">
      <w:numFmt w:val="bullet"/>
      <w:lvlText w:val="•"/>
      <w:lvlJc w:val="left"/>
      <w:pPr>
        <w:ind w:left="1471" w:hanging="217"/>
      </w:pPr>
      <w:rPr>
        <w:rFonts w:hint="default"/>
        <w:lang w:val="en-GB" w:eastAsia="en-GB" w:bidi="en-GB"/>
      </w:rPr>
    </w:lvl>
    <w:lvl w:ilvl="8" w:tplc="279AC454">
      <w:numFmt w:val="bullet"/>
      <w:lvlText w:val="•"/>
      <w:lvlJc w:val="left"/>
      <w:pPr>
        <w:ind w:left="1639" w:hanging="217"/>
      </w:pPr>
      <w:rPr>
        <w:rFonts w:hint="default"/>
        <w:lang w:val="en-GB" w:eastAsia="en-GB" w:bidi="en-GB"/>
      </w:rPr>
    </w:lvl>
  </w:abstractNum>
  <w:abstractNum w:abstractNumId="49" w15:restartNumberingAfterBreak="0">
    <w:nsid w:val="041E265C"/>
    <w:multiLevelType w:val="hybridMultilevel"/>
    <w:tmpl w:val="AC5A8600"/>
    <w:lvl w:ilvl="0" w:tplc="34F4ECA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9662B6C2">
      <w:numFmt w:val="bullet"/>
      <w:lvlText w:val="•"/>
      <w:lvlJc w:val="left"/>
      <w:pPr>
        <w:ind w:left="677" w:hanging="217"/>
      </w:pPr>
      <w:rPr>
        <w:rFonts w:hint="default"/>
        <w:lang w:val="en-GB" w:eastAsia="en-GB" w:bidi="en-GB"/>
      </w:rPr>
    </w:lvl>
    <w:lvl w:ilvl="2" w:tplc="E55233BA">
      <w:numFmt w:val="bullet"/>
      <w:lvlText w:val="•"/>
      <w:lvlJc w:val="left"/>
      <w:pPr>
        <w:ind w:left="1054" w:hanging="217"/>
      </w:pPr>
      <w:rPr>
        <w:rFonts w:hint="default"/>
        <w:lang w:val="en-GB" w:eastAsia="en-GB" w:bidi="en-GB"/>
      </w:rPr>
    </w:lvl>
    <w:lvl w:ilvl="3" w:tplc="C0ECB7E0">
      <w:numFmt w:val="bullet"/>
      <w:lvlText w:val="•"/>
      <w:lvlJc w:val="left"/>
      <w:pPr>
        <w:ind w:left="1431" w:hanging="217"/>
      </w:pPr>
      <w:rPr>
        <w:rFonts w:hint="default"/>
        <w:lang w:val="en-GB" w:eastAsia="en-GB" w:bidi="en-GB"/>
      </w:rPr>
    </w:lvl>
    <w:lvl w:ilvl="4" w:tplc="8EBC63FA">
      <w:numFmt w:val="bullet"/>
      <w:lvlText w:val="•"/>
      <w:lvlJc w:val="left"/>
      <w:pPr>
        <w:ind w:left="1808" w:hanging="217"/>
      </w:pPr>
      <w:rPr>
        <w:rFonts w:hint="default"/>
        <w:lang w:val="en-GB" w:eastAsia="en-GB" w:bidi="en-GB"/>
      </w:rPr>
    </w:lvl>
    <w:lvl w:ilvl="5" w:tplc="DDA6AADE">
      <w:numFmt w:val="bullet"/>
      <w:lvlText w:val="•"/>
      <w:lvlJc w:val="left"/>
      <w:pPr>
        <w:ind w:left="2186" w:hanging="217"/>
      </w:pPr>
      <w:rPr>
        <w:rFonts w:hint="default"/>
        <w:lang w:val="en-GB" w:eastAsia="en-GB" w:bidi="en-GB"/>
      </w:rPr>
    </w:lvl>
    <w:lvl w:ilvl="6" w:tplc="9F645F4C">
      <w:numFmt w:val="bullet"/>
      <w:lvlText w:val="•"/>
      <w:lvlJc w:val="left"/>
      <w:pPr>
        <w:ind w:left="2563" w:hanging="217"/>
      </w:pPr>
      <w:rPr>
        <w:rFonts w:hint="default"/>
        <w:lang w:val="en-GB" w:eastAsia="en-GB" w:bidi="en-GB"/>
      </w:rPr>
    </w:lvl>
    <w:lvl w:ilvl="7" w:tplc="818C34DA">
      <w:numFmt w:val="bullet"/>
      <w:lvlText w:val="•"/>
      <w:lvlJc w:val="left"/>
      <w:pPr>
        <w:ind w:left="2940" w:hanging="217"/>
      </w:pPr>
      <w:rPr>
        <w:rFonts w:hint="default"/>
        <w:lang w:val="en-GB" w:eastAsia="en-GB" w:bidi="en-GB"/>
      </w:rPr>
    </w:lvl>
    <w:lvl w:ilvl="8" w:tplc="F0BE52A4">
      <w:numFmt w:val="bullet"/>
      <w:lvlText w:val="•"/>
      <w:lvlJc w:val="left"/>
      <w:pPr>
        <w:ind w:left="3317" w:hanging="217"/>
      </w:pPr>
      <w:rPr>
        <w:rFonts w:hint="default"/>
        <w:lang w:val="en-GB" w:eastAsia="en-GB" w:bidi="en-GB"/>
      </w:rPr>
    </w:lvl>
  </w:abstractNum>
  <w:abstractNum w:abstractNumId="50" w15:restartNumberingAfterBreak="0">
    <w:nsid w:val="042B1AFF"/>
    <w:multiLevelType w:val="hybridMultilevel"/>
    <w:tmpl w:val="E39EB50C"/>
    <w:lvl w:ilvl="0" w:tplc="101EA9A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422620C">
      <w:numFmt w:val="bullet"/>
      <w:lvlText w:val="•"/>
      <w:lvlJc w:val="left"/>
      <w:pPr>
        <w:ind w:left="473" w:hanging="217"/>
      </w:pPr>
      <w:rPr>
        <w:rFonts w:hint="default"/>
        <w:lang w:val="en-GB" w:eastAsia="en-GB" w:bidi="en-GB"/>
      </w:rPr>
    </w:lvl>
    <w:lvl w:ilvl="2" w:tplc="D99CC5AC">
      <w:numFmt w:val="bullet"/>
      <w:lvlText w:val="•"/>
      <w:lvlJc w:val="left"/>
      <w:pPr>
        <w:ind w:left="646" w:hanging="217"/>
      </w:pPr>
      <w:rPr>
        <w:rFonts w:hint="default"/>
        <w:lang w:val="en-GB" w:eastAsia="en-GB" w:bidi="en-GB"/>
      </w:rPr>
    </w:lvl>
    <w:lvl w:ilvl="3" w:tplc="11EE45CE">
      <w:numFmt w:val="bullet"/>
      <w:lvlText w:val="•"/>
      <w:lvlJc w:val="left"/>
      <w:pPr>
        <w:ind w:left="819" w:hanging="217"/>
      </w:pPr>
      <w:rPr>
        <w:rFonts w:hint="default"/>
        <w:lang w:val="en-GB" w:eastAsia="en-GB" w:bidi="en-GB"/>
      </w:rPr>
    </w:lvl>
    <w:lvl w:ilvl="4" w:tplc="71A6775C">
      <w:numFmt w:val="bullet"/>
      <w:lvlText w:val="•"/>
      <w:lvlJc w:val="left"/>
      <w:pPr>
        <w:ind w:left="992" w:hanging="217"/>
      </w:pPr>
      <w:rPr>
        <w:rFonts w:hint="default"/>
        <w:lang w:val="en-GB" w:eastAsia="en-GB" w:bidi="en-GB"/>
      </w:rPr>
    </w:lvl>
    <w:lvl w:ilvl="5" w:tplc="7C02D92A">
      <w:numFmt w:val="bullet"/>
      <w:lvlText w:val="•"/>
      <w:lvlJc w:val="left"/>
      <w:pPr>
        <w:ind w:left="1165" w:hanging="217"/>
      </w:pPr>
      <w:rPr>
        <w:rFonts w:hint="default"/>
        <w:lang w:val="en-GB" w:eastAsia="en-GB" w:bidi="en-GB"/>
      </w:rPr>
    </w:lvl>
    <w:lvl w:ilvl="6" w:tplc="AE6A948A">
      <w:numFmt w:val="bullet"/>
      <w:lvlText w:val="•"/>
      <w:lvlJc w:val="left"/>
      <w:pPr>
        <w:ind w:left="1338" w:hanging="217"/>
      </w:pPr>
      <w:rPr>
        <w:rFonts w:hint="default"/>
        <w:lang w:val="en-GB" w:eastAsia="en-GB" w:bidi="en-GB"/>
      </w:rPr>
    </w:lvl>
    <w:lvl w:ilvl="7" w:tplc="D604D658">
      <w:numFmt w:val="bullet"/>
      <w:lvlText w:val="•"/>
      <w:lvlJc w:val="left"/>
      <w:pPr>
        <w:ind w:left="1511" w:hanging="217"/>
      </w:pPr>
      <w:rPr>
        <w:rFonts w:hint="default"/>
        <w:lang w:val="en-GB" w:eastAsia="en-GB" w:bidi="en-GB"/>
      </w:rPr>
    </w:lvl>
    <w:lvl w:ilvl="8" w:tplc="7226B270">
      <w:numFmt w:val="bullet"/>
      <w:lvlText w:val="•"/>
      <w:lvlJc w:val="left"/>
      <w:pPr>
        <w:ind w:left="1684" w:hanging="217"/>
      </w:pPr>
      <w:rPr>
        <w:rFonts w:hint="default"/>
        <w:lang w:val="en-GB" w:eastAsia="en-GB" w:bidi="en-GB"/>
      </w:rPr>
    </w:lvl>
  </w:abstractNum>
  <w:abstractNum w:abstractNumId="51" w15:restartNumberingAfterBreak="0">
    <w:nsid w:val="043048E7"/>
    <w:multiLevelType w:val="hybridMultilevel"/>
    <w:tmpl w:val="1E7E100C"/>
    <w:lvl w:ilvl="0" w:tplc="F5F099A8">
      <w:numFmt w:val="bullet"/>
      <w:lvlText w:val="•"/>
      <w:lvlJc w:val="left"/>
      <w:pPr>
        <w:ind w:left="303" w:hanging="217"/>
      </w:pPr>
      <w:rPr>
        <w:rFonts w:ascii="Arial" w:eastAsia="Arial" w:hAnsi="Arial" w:cs="Arial" w:hint="default"/>
        <w:color w:val="231F20"/>
        <w:w w:val="102"/>
        <w:sz w:val="17"/>
        <w:szCs w:val="17"/>
        <w:lang w:val="en-GB" w:eastAsia="en-GB" w:bidi="en-GB"/>
      </w:rPr>
    </w:lvl>
    <w:lvl w:ilvl="1" w:tplc="5DFE59A4">
      <w:numFmt w:val="bullet"/>
      <w:lvlText w:val="•"/>
      <w:lvlJc w:val="left"/>
      <w:pPr>
        <w:ind w:left="439" w:hanging="217"/>
      </w:pPr>
      <w:rPr>
        <w:rFonts w:hint="default"/>
        <w:lang w:val="en-GB" w:eastAsia="en-GB" w:bidi="en-GB"/>
      </w:rPr>
    </w:lvl>
    <w:lvl w:ilvl="2" w:tplc="64E4F5E4">
      <w:numFmt w:val="bullet"/>
      <w:lvlText w:val="•"/>
      <w:lvlJc w:val="left"/>
      <w:pPr>
        <w:ind w:left="578" w:hanging="217"/>
      </w:pPr>
      <w:rPr>
        <w:rFonts w:hint="default"/>
        <w:lang w:val="en-GB" w:eastAsia="en-GB" w:bidi="en-GB"/>
      </w:rPr>
    </w:lvl>
    <w:lvl w:ilvl="3" w:tplc="F244CAC4">
      <w:numFmt w:val="bullet"/>
      <w:lvlText w:val="•"/>
      <w:lvlJc w:val="left"/>
      <w:pPr>
        <w:ind w:left="717" w:hanging="217"/>
      </w:pPr>
      <w:rPr>
        <w:rFonts w:hint="default"/>
        <w:lang w:val="en-GB" w:eastAsia="en-GB" w:bidi="en-GB"/>
      </w:rPr>
    </w:lvl>
    <w:lvl w:ilvl="4" w:tplc="4C2805AE">
      <w:numFmt w:val="bullet"/>
      <w:lvlText w:val="•"/>
      <w:lvlJc w:val="left"/>
      <w:pPr>
        <w:ind w:left="856" w:hanging="217"/>
      </w:pPr>
      <w:rPr>
        <w:rFonts w:hint="default"/>
        <w:lang w:val="en-GB" w:eastAsia="en-GB" w:bidi="en-GB"/>
      </w:rPr>
    </w:lvl>
    <w:lvl w:ilvl="5" w:tplc="37CC1504">
      <w:numFmt w:val="bullet"/>
      <w:lvlText w:val="•"/>
      <w:lvlJc w:val="left"/>
      <w:pPr>
        <w:ind w:left="995" w:hanging="217"/>
      </w:pPr>
      <w:rPr>
        <w:rFonts w:hint="default"/>
        <w:lang w:val="en-GB" w:eastAsia="en-GB" w:bidi="en-GB"/>
      </w:rPr>
    </w:lvl>
    <w:lvl w:ilvl="6" w:tplc="9FD413D4">
      <w:numFmt w:val="bullet"/>
      <w:lvlText w:val="•"/>
      <w:lvlJc w:val="left"/>
      <w:pPr>
        <w:ind w:left="1134" w:hanging="217"/>
      </w:pPr>
      <w:rPr>
        <w:rFonts w:hint="default"/>
        <w:lang w:val="en-GB" w:eastAsia="en-GB" w:bidi="en-GB"/>
      </w:rPr>
    </w:lvl>
    <w:lvl w:ilvl="7" w:tplc="206AE416">
      <w:numFmt w:val="bullet"/>
      <w:lvlText w:val="•"/>
      <w:lvlJc w:val="left"/>
      <w:pPr>
        <w:ind w:left="1273" w:hanging="217"/>
      </w:pPr>
      <w:rPr>
        <w:rFonts w:hint="default"/>
        <w:lang w:val="en-GB" w:eastAsia="en-GB" w:bidi="en-GB"/>
      </w:rPr>
    </w:lvl>
    <w:lvl w:ilvl="8" w:tplc="C34489FA">
      <w:numFmt w:val="bullet"/>
      <w:lvlText w:val="•"/>
      <w:lvlJc w:val="left"/>
      <w:pPr>
        <w:ind w:left="1412" w:hanging="217"/>
      </w:pPr>
      <w:rPr>
        <w:rFonts w:hint="default"/>
        <w:lang w:val="en-GB" w:eastAsia="en-GB" w:bidi="en-GB"/>
      </w:rPr>
    </w:lvl>
  </w:abstractNum>
  <w:abstractNum w:abstractNumId="52" w15:restartNumberingAfterBreak="0">
    <w:nsid w:val="044339A1"/>
    <w:multiLevelType w:val="hybridMultilevel"/>
    <w:tmpl w:val="3D8CB1AA"/>
    <w:lvl w:ilvl="0" w:tplc="7A3CC0E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8389E80">
      <w:numFmt w:val="bullet"/>
      <w:lvlText w:val="•"/>
      <w:lvlJc w:val="left"/>
      <w:pPr>
        <w:ind w:left="541" w:hanging="217"/>
      </w:pPr>
      <w:rPr>
        <w:rFonts w:hint="default"/>
        <w:lang w:val="en-GB" w:eastAsia="en-GB" w:bidi="en-GB"/>
      </w:rPr>
    </w:lvl>
    <w:lvl w:ilvl="2" w:tplc="183275F0">
      <w:numFmt w:val="bullet"/>
      <w:lvlText w:val="•"/>
      <w:lvlJc w:val="left"/>
      <w:pPr>
        <w:ind w:left="782" w:hanging="217"/>
      </w:pPr>
      <w:rPr>
        <w:rFonts w:hint="default"/>
        <w:lang w:val="en-GB" w:eastAsia="en-GB" w:bidi="en-GB"/>
      </w:rPr>
    </w:lvl>
    <w:lvl w:ilvl="3" w:tplc="F5FEB7F6">
      <w:numFmt w:val="bullet"/>
      <w:lvlText w:val="•"/>
      <w:lvlJc w:val="left"/>
      <w:pPr>
        <w:ind w:left="1023" w:hanging="217"/>
      </w:pPr>
      <w:rPr>
        <w:rFonts w:hint="default"/>
        <w:lang w:val="en-GB" w:eastAsia="en-GB" w:bidi="en-GB"/>
      </w:rPr>
    </w:lvl>
    <w:lvl w:ilvl="4" w:tplc="C98C8008">
      <w:numFmt w:val="bullet"/>
      <w:lvlText w:val="•"/>
      <w:lvlJc w:val="left"/>
      <w:pPr>
        <w:ind w:left="1264" w:hanging="217"/>
      </w:pPr>
      <w:rPr>
        <w:rFonts w:hint="default"/>
        <w:lang w:val="en-GB" w:eastAsia="en-GB" w:bidi="en-GB"/>
      </w:rPr>
    </w:lvl>
    <w:lvl w:ilvl="5" w:tplc="59C686C6">
      <w:numFmt w:val="bullet"/>
      <w:lvlText w:val="•"/>
      <w:lvlJc w:val="left"/>
      <w:pPr>
        <w:ind w:left="1505" w:hanging="217"/>
      </w:pPr>
      <w:rPr>
        <w:rFonts w:hint="default"/>
        <w:lang w:val="en-GB" w:eastAsia="en-GB" w:bidi="en-GB"/>
      </w:rPr>
    </w:lvl>
    <w:lvl w:ilvl="6" w:tplc="E0C6B04A">
      <w:numFmt w:val="bullet"/>
      <w:lvlText w:val="•"/>
      <w:lvlJc w:val="left"/>
      <w:pPr>
        <w:ind w:left="1746" w:hanging="217"/>
      </w:pPr>
      <w:rPr>
        <w:rFonts w:hint="default"/>
        <w:lang w:val="en-GB" w:eastAsia="en-GB" w:bidi="en-GB"/>
      </w:rPr>
    </w:lvl>
    <w:lvl w:ilvl="7" w:tplc="87786A08">
      <w:numFmt w:val="bullet"/>
      <w:lvlText w:val="•"/>
      <w:lvlJc w:val="left"/>
      <w:pPr>
        <w:ind w:left="1987" w:hanging="217"/>
      </w:pPr>
      <w:rPr>
        <w:rFonts w:hint="default"/>
        <w:lang w:val="en-GB" w:eastAsia="en-GB" w:bidi="en-GB"/>
      </w:rPr>
    </w:lvl>
    <w:lvl w:ilvl="8" w:tplc="0DCE1AFA">
      <w:numFmt w:val="bullet"/>
      <w:lvlText w:val="•"/>
      <w:lvlJc w:val="left"/>
      <w:pPr>
        <w:ind w:left="2228" w:hanging="217"/>
      </w:pPr>
      <w:rPr>
        <w:rFonts w:hint="default"/>
        <w:lang w:val="en-GB" w:eastAsia="en-GB" w:bidi="en-GB"/>
      </w:rPr>
    </w:lvl>
  </w:abstractNum>
  <w:abstractNum w:abstractNumId="53" w15:restartNumberingAfterBreak="0">
    <w:nsid w:val="04475193"/>
    <w:multiLevelType w:val="hybridMultilevel"/>
    <w:tmpl w:val="56F8DD36"/>
    <w:lvl w:ilvl="0" w:tplc="062C3D7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8140992">
      <w:numFmt w:val="bullet"/>
      <w:lvlText w:val="•"/>
      <w:lvlJc w:val="left"/>
      <w:pPr>
        <w:ind w:left="439" w:hanging="217"/>
      </w:pPr>
      <w:rPr>
        <w:rFonts w:hint="default"/>
        <w:lang w:val="en-GB" w:eastAsia="en-GB" w:bidi="en-GB"/>
      </w:rPr>
    </w:lvl>
    <w:lvl w:ilvl="2" w:tplc="62C6E5AE">
      <w:numFmt w:val="bullet"/>
      <w:lvlText w:val="•"/>
      <w:lvlJc w:val="left"/>
      <w:pPr>
        <w:ind w:left="578" w:hanging="217"/>
      </w:pPr>
      <w:rPr>
        <w:rFonts w:hint="default"/>
        <w:lang w:val="en-GB" w:eastAsia="en-GB" w:bidi="en-GB"/>
      </w:rPr>
    </w:lvl>
    <w:lvl w:ilvl="3" w:tplc="E31C6530">
      <w:numFmt w:val="bullet"/>
      <w:lvlText w:val="•"/>
      <w:lvlJc w:val="left"/>
      <w:pPr>
        <w:ind w:left="717" w:hanging="217"/>
      </w:pPr>
      <w:rPr>
        <w:rFonts w:hint="default"/>
        <w:lang w:val="en-GB" w:eastAsia="en-GB" w:bidi="en-GB"/>
      </w:rPr>
    </w:lvl>
    <w:lvl w:ilvl="4" w:tplc="80105558">
      <w:numFmt w:val="bullet"/>
      <w:lvlText w:val="•"/>
      <w:lvlJc w:val="left"/>
      <w:pPr>
        <w:ind w:left="856" w:hanging="217"/>
      </w:pPr>
      <w:rPr>
        <w:rFonts w:hint="default"/>
        <w:lang w:val="en-GB" w:eastAsia="en-GB" w:bidi="en-GB"/>
      </w:rPr>
    </w:lvl>
    <w:lvl w:ilvl="5" w:tplc="664AA73C">
      <w:numFmt w:val="bullet"/>
      <w:lvlText w:val="•"/>
      <w:lvlJc w:val="left"/>
      <w:pPr>
        <w:ind w:left="995" w:hanging="217"/>
      </w:pPr>
      <w:rPr>
        <w:rFonts w:hint="default"/>
        <w:lang w:val="en-GB" w:eastAsia="en-GB" w:bidi="en-GB"/>
      </w:rPr>
    </w:lvl>
    <w:lvl w:ilvl="6" w:tplc="1DD28C64">
      <w:numFmt w:val="bullet"/>
      <w:lvlText w:val="•"/>
      <w:lvlJc w:val="left"/>
      <w:pPr>
        <w:ind w:left="1134" w:hanging="217"/>
      </w:pPr>
      <w:rPr>
        <w:rFonts w:hint="default"/>
        <w:lang w:val="en-GB" w:eastAsia="en-GB" w:bidi="en-GB"/>
      </w:rPr>
    </w:lvl>
    <w:lvl w:ilvl="7" w:tplc="70F60BC2">
      <w:numFmt w:val="bullet"/>
      <w:lvlText w:val="•"/>
      <w:lvlJc w:val="left"/>
      <w:pPr>
        <w:ind w:left="1273" w:hanging="217"/>
      </w:pPr>
      <w:rPr>
        <w:rFonts w:hint="default"/>
        <w:lang w:val="en-GB" w:eastAsia="en-GB" w:bidi="en-GB"/>
      </w:rPr>
    </w:lvl>
    <w:lvl w:ilvl="8" w:tplc="59823C04">
      <w:numFmt w:val="bullet"/>
      <w:lvlText w:val="•"/>
      <w:lvlJc w:val="left"/>
      <w:pPr>
        <w:ind w:left="1412" w:hanging="217"/>
      </w:pPr>
      <w:rPr>
        <w:rFonts w:hint="default"/>
        <w:lang w:val="en-GB" w:eastAsia="en-GB" w:bidi="en-GB"/>
      </w:rPr>
    </w:lvl>
  </w:abstractNum>
  <w:abstractNum w:abstractNumId="54" w15:restartNumberingAfterBreak="0">
    <w:nsid w:val="04502816"/>
    <w:multiLevelType w:val="hybridMultilevel"/>
    <w:tmpl w:val="406865EA"/>
    <w:lvl w:ilvl="0" w:tplc="2CC6FF4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E225AF4">
      <w:numFmt w:val="bullet"/>
      <w:lvlText w:val="•"/>
      <w:lvlJc w:val="left"/>
      <w:pPr>
        <w:ind w:left="441" w:hanging="217"/>
      </w:pPr>
      <w:rPr>
        <w:rFonts w:hint="default"/>
        <w:lang w:val="en-GB" w:eastAsia="en-GB" w:bidi="en-GB"/>
      </w:rPr>
    </w:lvl>
    <w:lvl w:ilvl="2" w:tplc="BB92439C">
      <w:numFmt w:val="bullet"/>
      <w:lvlText w:val="•"/>
      <w:lvlJc w:val="left"/>
      <w:pPr>
        <w:ind w:left="583" w:hanging="217"/>
      </w:pPr>
      <w:rPr>
        <w:rFonts w:hint="default"/>
        <w:lang w:val="en-GB" w:eastAsia="en-GB" w:bidi="en-GB"/>
      </w:rPr>
    </w:lvl>
    <w:lvl w:ilvl="3" w:tplc="06068882">
      <w:numFmt w:val="bullet"/>
      <w:lvlText w:val="•"/>
      <w:lvlJc w:val="left"/>
      <w:pPr>
        <w:ind w:left="725" w:hanging="217"/>
      </w:pPr>
      <w:rPr>
        <w:rFonts w:hint="default"/>
        <w:lang w:val="en-GB" w:eastAsia="en-GB" w:bidi="en-GB"/>
      </w:rPr>
    </w:lvl>
    <w:lvl w:ilvl="4" w:tplc="50D67954">
      <w:numFmt w:val="bullet"/>
      <w:lvlText w:val="•"/>
      <w:lvlJc w:val="left"/>
      <w:pPr>
        <w:ind w:left="867" w:hanging="217"/>
      </w:pPr>
      <w:rPr>
        <w:rFonts w:hint="default"/>
        <w:lang w:val="en-GB" w:eastAsia="en-GB" w:bidi="en-GB"/>
      </w:rPr>
    </w:lvl>
    <w:lvl w:ilvl="5" w:tplc="E82EB974">
      <w:numFmt w:val="bullet"/>
      <w:lvlText w:val="•"/>
      <w:lvlJc w:val="left"/>
      <w:pPr>
        <w:ind w:left="1009" w:hanging="217"/>
      </w:pPr>
      <w:rPr>
        <w:rFonts w:hint="default"/>
        <w:lang w:val="en-GB" w:eastAsia="en-GB" w:bidi="en-GB"/>
      </w:rPr>
    </w:lvl>
    <w:lvl w:ilvl="6" w:tplc="08C4B5C4">
      <w:numFmt w:val="bullet"/>
      <w:lvlText w:val="•"/>
      <w:lvlJc w:val="left"/>
      <w:pPr>
        <w:ind w:left="1151" w:hanging="217"/>
      </w:pPr>
      <w:rPr>
        <w:rFonts w:hint="default"/>
        <w:lang w:val="en-GB" w:eastAsia="en-GB" w:bidi="en-GB"/>
      </w:rPr>
    </w:lvl>
    <w:lvl w:ilvl="7" w:tplc="B4FE2452">
      <w:numFmt w:val="bullet"/>
      <w:lvlText w:val="•"/>
      <w:lvlJc w:val="left"/>
      <w:pPr>
        <w:ind w:left="1293" w:hanging="217"/>
      </w:pPr>
      <w:rPr>
        <w:rFonts w:hint="default"/>
        <w:lang w:val="en-GB" w:eastAsia="en-GB" w:bidi="en-GB"/>
      </w:rPr>
    </w:lvl>
    <w:lvl w:ilvl="8" w:tplc="D1BE251A">
      <w:numFmt w:val="bullet"/>
      <w:lvlText w:val="•"/>
      <w:lvlJc w:val="left"/>
      <w:pPr>
        <w:ind w:left="1435" w:hanging="217"/>
      </w:pPr>
      <w:rPr>
        <w:rFonts w:hint="default"/>
        <w:lang w:val="en-GB" w:eastAsia="en-GB" w:bidi="en-GB"/>
      </w:rPr>
    </w:lvl>
  </w:abstractNum>
  <w:abstractNum w:abstractNumId="55" w15:restartNumberingAfterBreak="0">
    <w:nsid w:val="046B2F2A"/>
    <w:multiLevelType w:val="hybridMultilevel"/>
    <w:tmpl w:val="2C96E704"/>
    <w:lvl w:ilvl="0" w:tplc="3A28768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7060F16">
      <w:numFmt w:val="bullet"/>
      <w:lvlText w:val="•"/>
      <w:lvlJc w:val="left"/>
      <w:pPr>
        <w:ind w:left="473" w:hanging="217"/>
      </w:pPr>
      <w:rPr>
        <w:rFonts w:hint="default"/>
        <w:lang w:val="en-GB" w:eastAsia="en-GB" w:bidi="en-GB"/>
      </w:rPr>
    </w:lvl>
    <w:lvl w:ilvl="2" w:tplc="3600E864">
      <w:numFmt w:val="bullet"/>
      <w:lvlText w:val="•"/>
      <w:lvlJc w:val="left"/>
      <w:pPr>
        <w:ind w:left="646" w:hanging="217"/>
      </w:pPr>
      <w:rPr>
        <w:rFonts w:hint="default"/>
        <w:lang w:val="en-GB" w:eastAsia="en-GB" w:bidi="en-GB"/>
      </w:rPr>
    </w:lvl>
    <w:lvl w:ilvl="3" w:tplc="EA9ACCE4">
      <w:numFmt w:val="bullet"/>
      <w:lvlText w:val="•"/>
      <w:lvlJc w:val="left"/>
      <w:pPr>
        <w:ind w:left="819" w:hanging="217"/>
      </w:pPr>
      <w:rPr>
        <w:rFonts w:hint="default"/>
        <w:lang w:val="en-GB" w:eastAsia="en-GB" w:bidi="en-GB"/>
      </w:rPr>
    </w:lvl>
    <w:lvl w:ilvl="4" w:tplc="EFF06C8C">
      <w:numFmt w:val="bullet"/>
      <w:lvlText w:val="•"/>
      <w:lvlJc w:val="left"/>
      <w:pPr>
        <w:ind w:left="992" w:hanging="217"/>
      </w:pPr>
      <w:rPr>
        <w:rFonts w:hint="default"/>
        <w:lang w:val="en-GB" w:eastAsia="en-GB" w:bidi="en-GB"/>
      </w:rPr>
    </w:lvl>
    <w:lvl w:ilvl="5" w:tplc="AA5E4704">
      <w:numFmt w:val="bullet"/>
      <w:lvlText w:val="•"/>
      <w:lvlJc w:val="left"/>
      <w:pPr>
        <w:ind w:left="1165" w:hanging="217"/>
      </w:pPr>
      <w:rPr>
        <w:rFonts w:hint="default"/>
        <w:lang w:val="en-GB" w:eastAsia="en-GB" w:bidi="en-GB"/>
      </w:rPr>
    </w:lvl>
    <w:lvl w:ilvl="6" w:tplc="C1E26C5C">
      <w:numFmt w:val="bullet"/>
      <w:lvlText w:val="•"/>
      <w:lvlJc w:val="left"/>
      <w:pPr>
        <w:ind w:left="1338" w:hanging="217"/>
      </w:pPr>
      <w:rPr>
        <w:rFonts w:hint="default"/>
        <w:lang w:val="en-GB" w:eastAsia="en-GB" w:bidi="en-GB"/>
      </w:rPr>
    </w:lvl>
    <w:lvl w:ilvl="7" w:tplc="7E6431BE">
      <w:numFmt w:val="bullet"/>
      <w:lvlText w:val="•"/>
      <w:lvlJc w:val="left"/>
      <w:pPr>
        <w:ind w:left="1511" w:hanging="217"/>
      </w:pPr>
      <w:rPr>
        <w:rFonts w:hint="default"/>
        <w:lang w:val="en-GB" w:eastAsia="en-GB" w:bidi="en-GB"/>
      </w:rPr>
    </w:lvl>
    <w:lvl w:ilvl="8" w:tplc="A4C0FCF4">
      <w:numFmt w:val="bullet"/>
      <w:lvlText w:val="•"/>
      <w:lvlJc w:val="left"/>
      <w:pPr>
        <w:ind w:left="1684" w:hanging="217"/>
      </w:pPr>
      <w:rPr>
        <w:rFonts w:hint="default"/>
        <w:lang w:val="en-GB" w:eastAsia="en-GB" w:bidi="en-GB"/>
      </w:rPr>
    </w:lvl>
  </w:abstractNum>
  <w:abstractNum w:abstractNumId="56" w15:restartNumberingAfterBreak="0">
    <w:nsid w:val="04962F81"/>
    <w:multiLevelType w:val="hybridMultilevel"/>
    <w:tmpl w:val="3D3C97E2"/>
    <w:lvl w:ilvl="0" w:tplc="512EAFA2">
      <w:numFmt w:val="bullet"/>
      <w:lvlText w:val="•"/>
      <w:lvlJc w:val="left"/>
      <w:pPr>
        <w:ind w:left="307" w:hanging="217"/>
      </w:pPr>
      <w:rPr>
        <w:rFonts w:ascii="Arial" w:eastAsia="Arial" w:hAnsi="Arial" w:cs="Arial" w:hint="default"/>
        <w:color w:val="231F20"/>
        <w:spacing w:val="-4"/>
        <w:w w:val="100"/>
        <w:sz w:val="18"/>
        <w:szCs w:val="18"/>
        <w:lang w:val="en-GB" w:eastAsia="en-GB" w:bidi="en-GB"/>
      </w:rPr>
    </w:lvl>
    <w:lvl w:ilvl="1" w:tplc="83C6B15C">
      <w:numFmt w:val="bullet"/>
      <w:lvlText w:val="•"/>
      <w:lvlJc w:val="left"/>
      <w:pPr>
        <w:ind w:left="473" w:hanging="217"/>
      </w:pPr>
      <w:rPr>
        <w:rFonts w:hint="default"/>
        <w:lang w:val="en-GB" w:eastAsia="en-GB" w:bidi="en-GB"/>
      </w:rPr>
    </w:lvl>
    <w:lvl w:ilvl="2" w:tplc="8362BC2E">
      <w:numFmt w:val="bullet"/>
      <w:lvlText w:val="•"/>
      <w:lvlJc w:val="left"/>
      <w:pPr>
        <w:ind w:left="646" w:hanging="217"/>
      </w:pPr>
      <w:rPr>
        <w:rFonts w:hint="default"/>
        <w:lang w:val="en-GB" w:eastAsia="en-GB" w:bidi="en-GB"/>
      </w:rPr>
    </w:lvl>
    <w:lvl w:ilvl="3" w:tplc="C660F08A">
      <w:numFmt w:val="bullet"/>
      <w:lvlText w:val="•"/>
      <w:lvlJc w:val="left"/>
      <w:pPr>
        <w:ind w:left="819" w:hanging="217"/>
      </w:pPr>
      <w:rPr>
        <w:rFonts w:hint="default"/>
        <w:lang w:val="en-GB" w:eastAsia="en-GB" w:bidi="en-GB"/>
      </w:rPr>
    </w:lvl>
    <w:lvl w:ilvl="4" w:tplc="9000FD62">
      <w:numFmt w:val="bullet"/>
      <w:lvlText w:val="•"/>
      <w:lvlJc w:val="left"/>
      <w:pPr>
        <w:ind w:left="993" w:hanging="217"/>
      </w:pPr>
      <w:rPr>
        <w:rFonts w:hint="default"/>
        <w:lang w:val="en-GB" w:eastAsia="en-GB" w:bidi="en-GB"/>
      </w:rPr>
    </w:lvl>
    <w:lvl w:ilvl="5" w:tplc="2BAE36EE">
      <w:numFmt w:val="bullet"/>
      <w:lvlText w:val="•"/>
      <w:lvlJc w:val="left"/>
      <w:pPr>
        <w:ind w:left="1166" w:hanging="217"/>
      </w:pPr>
      <w:rPr>
        <w:rFonts w:hint="default"/>
        <w:lang w:val="en-GB" w:eastAsia="en-GB" w:bidi="en-GB"/>
      </w:rPr>
    </w:lvl>
    <w:lvl w:ilvl="6" w:tplc="9D38DB9E">
      <w:numFmt w:val="bullet"/>
      <w:lvlText w:val="•"/>
      <w:lvlJc w:val="left"/>
      <w:pPr>
        <w:ind w:left="1339" w:hanging="217"/>
      </w:pPr>
      <w:rPr>
        <w:rFonts w:hint="default"/>
        <w:lang w:val="en-GB" w:eastAsia="en-GB" w:bidi="en-GB"/>
      </w:rPr>
    </w:lvl>
    <w:lvl w:ilvl="7" w:tplc="F280A13A">
      <w:numFmt w:val="bullet"/>
      <w:lvlText w:val="•"/>
      <w:lvlJc w:val="left"/>
      <w:pPr>
        <w:ind w:left="1513" w:hanging="217"/>
      </w:pPr>
      <w:rPr>
        <w:rFonts w:hint="default"/>
        <w:lang w:val="en-GB" w:eastAsia="en-GB" w:bidi="en-GB"/>
      </w:rPr>
    </w:lvl>
    <w:lvl w:ilvl="8" w:tplc="AAE467A6">
      <w:numFmt w:val="bullet"/>
      <w:lvlText w:val="•"/>
      <w:lvlJc w:val="left"/>
      <w:pPr>
        <w:ind w:left="1686" w:hanging="217"/>
      </w:pPr>
      <w:rPr>
        <w:rFonts w:hint="default"/>
        <w:lang w:val="en-GB" w:eastAsia="en-GB" w:bidi="en-GB"/>
      </w:rPr>
    </w:lvl>
  </w:abstractNum>
  <w:abstractNum w:abstractNumId="57" w15:restartNumberingAfterBreak="0">
    <w:nsid w:val="04D213F9"/>
    <w:multiLevelType w:val="hybridMultilevel"/>
    <w:tmpl w:val="F08E0E50"/>
    <w:lvl w:ilvl="0" w:tplc="60A63C60">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AD9EFCE8">
      <w:numFmt w:val="bullet"/>
      <w:lvlText w:val="•"/>
      <w:lvlJc w:val="left"/>
      <w:pPr>
        <w:ind w:left="467" w:hanging="217"/>
      </w:pPr>
      <w:rPr>
        <w:rFonts w:hint="default"/>
        <w:lang w:val="en-GB" w:eastAsia="en-GB" w:bidi="en-GB"/>
      </w:rPr>
    </w:lvl>
    <w:lvl w:ilvl="2" w:tplc="150850DA">
      <w:numFmt w:val="bullet"/>
      <w:lvlText w:val="•"/>
      <w:lvlJc w:val="left"/>
      <w:pPr>
        <w:ind w:left="634" w:hanging="217"/>
      </w:pPr>
      <w:rPr>
        <w:rFonts w:hint="default"/>
        <w:lang w:val="en-GB" w:eastAsia="en-GB" w:bidi="en-GB"/>
      </w:rPr>
    </w:lvl>
    <w:lvl w:ilvl="3" w:tplc="3046797E">
      <w:numFmt w:val="bullet"/>
      <w:lvlText w:val="•"/>
      <w:lvlJc w:val="left"/>
      <w:pPr>
        <w:ind w:left="802" w:hanging="217"/>
      </w:pPr>
      <w:rPr>
        <w:rFonts w:hint="default"/>
        <w:lang w:val="en-GB" w:eastAsia="en-GB" w:bidi="en-GB"/>
      </w:rPr>
    </w:lvl>
    <w:lvl w:ilvl="4" w:tplc="710C6E0A">
      <w:numFmt w:val="bullet"/>
      <w:lvlText w:val="•"/>
      <w:lvlJc w:val="left"/>
      <w:pPr>
        <w:ind w:left="969" w:hanging="217"/>
      </w:pPr>
      <w:rPr>
        <w:rFonts w:hint="default"/>
        <w:lang w:val="en-GB" w:eastAsia="en-GB" w:bidi="en-GB"/>
      </w:rPr>
    </w:lvl>
    <w:lvl w:ilvl="5" w:tplc="1700E1B0">
      <w:numFmt w:val="bullet"/>
      <w:lvlText w:val="•"/>
      <w:lvlJc w:val="left"/>
      <w:pPr>
        <w:ind w:left="1137" w:hanging="217"/>
      </w:pPr>
      <w:rPr>
        <w:rFonts w:hint="default"/>
        <w:lang w:val="en-GB" w:eastAsia="en-GB" w:bidi="en-GB"/>
      </w:rPr>
    </w:lvl>
    <w:lvl w:ilvl="6" w:tplc="B3A43442">
      <w:numFmt w:val="bullet"/>
      <w:lvlText w:val="•"/>
      <w:lvlJc w:val="left"/>
      <w:pPr>
        <w:ind w:left="1304" w:hanging="217"/>
      </w:pPr>
      <w:rPr>
        <w:rFonts w:hint="default"/>
        <w:lang w:val="en-GB" w:eastAsia="en-GB" w:bidi="en-GB"/>
      </w:rPr>
    </w:lvl>
    <w:lvl w:ilvl="7" w:tplc="29843764">
      <w:numFmt w:val="bullet"/>
      <w:lvlText w:val="•"/>
      <w:lvlJc w:val="left"/>
      <w:pPr>
        <w:ind w:left="1471" w:hanging="217"/>
      </w:pPr>
      <w:rPr>
        <w:rFonts w:hint="default"/>
        <w:lang w:val="en-GB" w:eastAsia="en-GB" w:bidi="en-GB"/>
      </w:rPr>
    </w:lvl>
    <w:lvl w:ilvl="8" w:tplc="6B505378">
      <w:numFmt w:val="bullet"/>
      <w:lvlText w:val="•"/>
      <w:lvlJc w:val="left"/>
      <w:pPr>
        <w:ind w:left="1639" w:hanging="217"/>
      </w:pPr>
      <w:rPr>
        <w:rFonts w:hint="default"/>
        <w:lang w:val="en-GB" w:eastAsia="en-GB" w:bidi="en-GB"/>
      </w:rPr>
    </w:lvl>
  </w:abstractNum>
  <w:abstractNum w:abstractNumId="58" w15:restartNumberingAfterBreak="0">
    <w:nsid w:val="04EE5C6E"/>
    <w:multiLevelType w:val="hybridMultilevel"/>
    <w:tmpl w:val="4C1083DE"/>
    <w:lvl w:ilvl="0" w:tplc="669CEDD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72AA9A8">
      <w:numFmt w:val="bullet"/>
      <w:lvlText w:val="•"/>
      <w:lvlJc w:val="left"/>
      <w:pPr>
        <w:ind w:left="892" w:hanging="217"/>
      </w:pPr>
      <w:rPr>
        <w:rFonts w:hint="default"/>
        <w:lang w:val="en-GB" w:eastAsia="en-GB" w:bidi="en-GB"/>
      </w:rPr>
    </w:lvl>
    <w:lvl w:ilvl="2" w:tplc="2A3CCEC0">
      <w:numFmt w:val="bullet"/>
      <w:lvlText w:val="•"/>
      <w:lvlJc w:val="left"/>
      <w:pPr>
        <w:ind w:left="1485" w:hanging="217"/>
      </w:pPr>
      <w:rPr>
        <w:rFonts w:hint="default"/>
        <w:lang w:val="en-GB" w:eastAsia="en-GB" w:bidi="en-GB"/>
      </w:rPr>
    </w:lvl>
    <w:lvl w:ilvl="3" w:tplc="51A6A93E">
      <w:numFmt w:val="bullet"/>
      <w:lvlText w:val="•"/>
      <w:lvlJc w:val="left"/>
      <w:pPr>
        <w:ind w:left="2077" w:hanging="217"/>
      </w:pPr>
      <w:rPr>
        <w:rFonts w:hint="default"/>
        <w:lang w:val="en-GB" w:eastAsia="en-GB" w:bidi="en-GB"/>
      </w:rPr>
    </w:lvl>
    <w:lvl w:ilvl="4" w:tplc="36945224">
      <w:numFmt w:val="bullet"/>
      <w:lvlText w:val="•"/>
      <w:lvlJc w:val="left"/>
      <w:pPr>
        <w:ind w:left="2670" w:hanging="217"/>
      </w:pPr>
      <w:rPr>
        <w:rFonts w:hint="default"/>
        <w:lang w:val="en-GB" w:eastAsia="en-GB" w:bidi="en-GB"/>
      </w:rPr>
    </w:lvl>
    <w:lvl w:ilvl="5" w:tplc="ABA45610">
      <w:numFmt w:val="bullet"/>
      <w:lvlText w:val="•"/>
      <w:lvlJc w:val="left"/>
      <w:pPr>
        <w:ind w:left="3263" w:hanging="217"/>
      </w:pPr>
      <w:rPr>
        <w:rFonts w:hint="default"/>
        <w:lang w:val="en-GB" w:eastAsia="en-GB" w:bidi="en-GB"/>
      </w:rPr>
    </w:lvl>
    <w:lvl w:ilvl="6" w:tplc="2894336E">
      <w:numFmt w:val="bullet"/>
      <w:lvlText w:val="•"/>
      <w:lvlJc w:val="left"/>
      <w:pPr>
        <w:ind w:left="3855" w:hanging="217"/>
      </w:pPr>
      <w:rPr>
        <w:rFonts w:hint="default"/>
        <w:lang w:val="en-GB" w:eastAsia="en-GB" w:bidi="en-GB"/>
      </w:rPr>
    </w:lvl>
    <w:lvl w:ilvl="7" w:tplc="52781C3C">
      <w:numFmt w:val="bullet"/>
      <w:lvlText w:val="•"/>
      <w:lvlJc w:val="left"/>
      <w:pPr>
        <w:ind w:left="4448" w:hanging="217"/>
      </w:pPr>
      <w:rPr>
        <w:rFonts w:hint="default"/>
        <w:lang w:val="en-GB" w:eastAsia="en-GB" w:bidi="en-GB"/>
      </w:rPr>
    </w:lvl>
    <w:lvl w:ilvl="8" w:tplc="B1E8A714">
      <w:numFmt w:val="bullet"/>
      <w:lvlText w:val="•"/>
      <w:lvlJc w:val="left"/>
      <w:pPr>
        <w:ind w:left="5040" w:hanging="217"/>
      </w:pPr>
      <w:rPr>
        <w:rFonts w:hint="default"/>
        <w:lang w:val="en-GB" w:eastAsia="en-GB" w:bidi="en-GB"/>
      </w:rPr>
    </w:lvl>
  </w:abstractNum>
  <w:abstractNum w:abstractNumId="59" w15:restartNumberingAfterBreak="0">
    <w:nsid w:val="050A066A"/>
    <w:multiLevelType w:val="hybridMultilevel"/>
    <w:tmpl w:val="5F12B45C"/>
    <w:lvl w:ilvl="0" w:tplc="B3347B84">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1D467992">
      <w:numFmt w:val="bullet"/>
      <w:lvlText w:val="•"/>
      <w:lvlJc w:val="left"/>
      <w:pPr>
        <w:ind w:left="473" w:hanging="217"/>
      </w:pPr>
      <w:rPr>
        <w:rFonts w:hint="default"/>
        <w:lang w:val="en-GB" w:eastAsia="en-GB" w:bidi="en-GB"/>
      </w:rPr>
    </w:lvl>
    <w:lvl w:ilvl="2" w:tplc="3F621616">
      <w:numFmt w:val="bullet"/>
      <w:lvlText w:val="•"/>
      <w:lvlJc w:val="left"/>
      <w:pPr>
        <w:ind w:left="646" w:hanging="217"/>
      </w:pPr>
      <w:rPr>
        <w:rFonts w:hint="default"/>
        <w:lang w:val="en-GB" w:eastAsia="en-GB" w:bidi="en-GB"/>
      </w:rPr>
    </w:lvl>
    <w:lvl w:ilvl="3" w:tplc="A222910C">
      <w:numFmt w:val="bullet"/>
      <w:lvlText w:val="•"/>
      <w:lvlJc w:val="left"/>
      <w:pPr>
        <w:ind w:left="819" w:hanging="217"/>
      </w:pPr>
      <w:rPr>
        <w:rFonts w:hint="default"/>
        <w:lang w:val="en-GB" w:eastAsia="en-GB" w:bidi="en-GB"/>
      </w:rPr>
    </w:lvl>
    <w:lvl w:ilvl="4" w:tplc="0D50F5D8">
      <w:numFmt w:val="bullet"/>
      <w:lvlText w:val="•"/>
      <w:lvlJc w:val="left"/>
      <w:pPr>
        <w:ind w:left="992" w:hanging="217"/>
      </w:pPr>
      <w:rPr>
        <w:rFonts w:hint="default"/>
        <w:lang w:val="en-GB" w:eastAsia="en-GB" w:bidi="en-GB"/>
      </w:rPr>
    </w:lvl>
    <w:lvl w:ilvl="5" w:tplc="266EC0F4">
      <w:numFmt w:val="bullet"/>
      <w:lvlText w:val="•"/>
      <w:lvlJc w:val="left"/>
      <w:pPr>
        <w:ind w:left="1165" w:hanging="217"/>
      </w:pPr>
      <w:rPr>
        <w:rFonts w:hint="default"/>
        <w:lang w:val="en-GB" w:eastAsia="en-GB" w:bidi="en-GB"/>
      </w:rPr>
    </w:lvl>
    <w:lvl w:ilvl="6" w:tplc="F01AC840">
      <w:numFmt w:val="bullet"/>
      <w:lvlText w:val="•"/>
      <w:lvlJc w:val="left"/>
      <w:pPr>
        <w:ind w:left="1338" w:hanging="217"/>
      </w:pPr>
      <w:rPr>
        <w:rFonts w:hint="default"/>
        <w:lang w:val="en-GB" w:eastAsia="en-GB" w:bidi="en-GB"/>
      </w:rPr>
    </w:lvl>
    <w:lvl w:ilvl="7" w:tplc="CE507E20">
      <w:numFmt w:val="bullet"/>
      <w:lvlText w:val="•"/>
      <w:lvlJc w:val="left"/>
      <w:pPr>
        <w:ind w:left="1511" w:hanging="217"/>
      </w:pPr>
      <w:rPr>
        <w:rFonts w:hint="default"/>
        <w:lang w:val="en-GB" w:eastAsia="en-GB" w:bidi="en-GB"/>
      </w:rPr>
    </w:lvl>
    <w:lvl w:ilvl="8" w:tplc="06DEDDCC">
      <w:numFmt w:val="bullet"/>
      <w:lvlText w:val="•"/>
      <w:lvlJc w:val="left"/>
      <w:pPr>
        <w:ind w:left="1684" w:hanging="217"/>
      </w:pPr>
      <w:rPr>
        <w:rFonts w:hint="default"/>
        <w:lang w:val="en-GB" w:eastAsia="en-GB" w:bidi="en-GB"/>
      </w:rPr>
    </w:lvl>
  </w:abstractNum>
  <w:abstractNum w:abstractNumId="60" w15:restartNumberingAfterBreak="0">
    <w:nsid w:val="051F285E"/>
    <w:multiLevelType w:val="hybridMultilevel"/>
    <w:tmpl w:val="D2AC9CB6"/>
    <w:lvl w:ilvl="0" w:tplc="908E256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128206A">
      <w:numFmt w:val="bullet"/>
      <w:lvlText w:val="•"/>
      <w:lvlJc w:val="left"/>
      <w:pPr>
        <w:ind w:left="473" w:hanging="217"/>
      </w:pPr>
      <w:rPr>
        <w:rFonts w:hint="default"/>
        <w:lang w:val="en-GB" w:eastAsia="en-GB" w:bidi="en-GB"/>
      </w:rPr>
    </w:lvl>
    <w:lvl w:ilvl="2" w:tplc="CCE2A222">
      <w:numFmt w:val="bullet"/>
      <w:lvlText w:val="•"/>
      <w:lvlJc w:val="left"/>
      <w:pPr>
        <w:ind w:left="646" w:hanging="217"/>
      </w:pPr>
      <w:rPr>
        <w:rFonts w:hint="default"/>
        <w:lang w:val="en-GB" w:eastAsia="en-GB" w:bidi="en-GB"/>
      </w:rPr>
    </w:lvl>
    <w:lvl w:ilvl="3" w:tplc="98FEE91E">
      <w:numFmt w:val="bullet"/>
      <w:lvlText w:val="•"/>
      <w:lvlJc w:val="left"/>
      <w:pPr>
        <w:ind w:left="819" w:hanging="217"/>
      </w:pPr>
      <w:rPr>
        <w:rFonts w:hint="default"/>
        <w:lang w:val="en-GB" w:eastAsia="en-GB" w:bidi="en-GB"/>
      </w:rPr>
    </w:lvl>
    <w:lvl w:ilvl="4" w:tplc="C368004C">
      <w:numFmt w:val="bullet"/>
      <w:lvlText w:val="•"/>
      <w:lvlJc w:val="left"/>
      <w:pPr>
        <w:ind w:left="992" w:hanging="217"/>
      </w:pPr>
      <w:rPr>
        <w:rFonts w:hint="default"/>
        <w:lang w:val="en-GB" w:eastAsia="en-GB" w:bidi="en-GB"/>
      </w:rPr>
    </w:lvl>
    <w:lvl w:ilvl="5" w:tplc="AD787958">
      <w:numFmt w:val="bullet"/>
      <w:lvlText w:val="•"/>
      <w:lvlJc w:val="left"/>
      <w:pPr>
        <w:ind w:left="1165" w:hanging="217"/>
      </w:pPr>
      <w:rPr>
        <w:rFonts w:hint="default"/>
        <w:lang w:val="en-GB" w:eastAsia="en-GB" w:bidi="en-GB"/>
      </w:rPr>
    </w:lvl>
    <w:lvl w:ilvl="6" w:tplc="9146A7B8">
      <w:numFmt w:val="bullet"/>
      <w:lvlText w:val="•"/>
      <w:lvlJc w:val="left"/>
      <w:pPr>
        <w:ind w:left="1338" w:hanging="217"/>
      </w:pPr>
      <w:rPr>
        <w:rFonts w:hint="default"/>
        <w:lang w:val="en-GB" w:eastAsia="en-GB" w:bidi="en-GB"/>
      </w:rPr>
    </w:lvl>
    <w:lvl w:ilvl="7" w:tplc="E1B6A2A4">
      <w:numFmt w:val="bullet"/>
      <w:lvlText w:val="•"/>
      <w:lvlJc w:val="left"/>
      <w:pPr>
        <w:ind w:left="1511" w:hanging="217"/>
      </w:pPr>
      <w:rPr>
        <w:rFonts w:hint="default"/>
        <w:lang w:val="en-GB" w:eastAsia="en-GB" w:bidi="en-GB"/>
      </w:rPr>
    </w:lvl>
    <w:lvl w:ilvl="8" w:tplc="FA8682B6">
      <w:numFmt w:val="bullet"/>
      <w:lvlText w:val="•"/>
      <w:lvlJc w:val="left"/>
      <w:pPr>
        <w:ind w:left="1684" w:hanging="217"/>
      </w:pPr>
      <w:rPr>
        <w:rFonts w:hint="default"/>
        <w:lang w:val="en-GB" w:eastAsia="en-GB" w:bidi="en-GB"/>
      </w:rPr>
    </w:lvl>
  </w:abstractNum>
  <w:abstractNum w:abstractNumId="61" w15:restartNumberingAfterBreak="0">
    <w:nsid w:val="052475DB"/>
    <w:multiLevelType w:val="hybridMultilevel"/>
    <w:tmpl w:val="2B583ECA"/>
    <w:lvl w:ilvl="0" w:tplc="451A7488">
      <w:numFmt w:val="bullet"/>
      <w:lvlText w:val="•"/>
      <w:lvlJc w:val="left"/>
      <w:pPr>
        <w:ind w:left="299" w:hanging="217"/>
      </w:pPr>
      <w:rPr>
        <w:rFonts w:ascii="Arial" w:eastAsia="Arial" w:hAnsi="Arial" w:cs="Arial" w:hint="default"/>
        <w:color w:val="231F20"/>
        <w:spacing w:val="-7"/>
        <w:w w:val="100"/>
        <w:sz w:val="18"/>
        <w:szCs w:val="18"/>
        <w:lang w:val="en-GB" w:eastAsia="en-GB" w:bidi="en-GB"/>
      </w:rPr>
    </w:lvl>
    <w:lvl w:ilvl="1" w:tplc="EBC21752">
      <w:numFmt w:val="bullet"/>
      <w:lvlText w:val="•"/>
      <w:lvlJc w:val="left"/>
      <w:pPr>
        <w:ind w:left="529" w:hanging="217"/>
      </w:pPr>
      <w:rPr>
        <w:rFonts w:hint="default"/>
        <w:lang w:val="en-GB" w:eastAsia="en-GB" w:bidi="en-GB"/>
      </w:rPr>
    </w:lvl>
    <w:lvl w:ilvl="2" w:tplc="EC4E06F6">
      <w:numFmt w:val="bullet"/>
      <w:lvlText w:val="•"/>
      <w:lvlJc w:val="left"/>
      <w:pPr>
        <w:ind w:left="759" w:hanging="217"/>
      </w:pPr>
      <w:rPr>
        <w:rFonts w:hint="default"/>
        <w:lang w:val="en-GB" w:eastAsia="en-GB" w:bidi="en-GB"/>
      </w:rPr>
    </w:lvl>
    <w:lvl w:ilvl="3" w:tplc="701A2FDC">
      <w:numFmt w:val="bullet"/>
      <w:lvlText w:val="•"/>
      <w:lvlJc w:val="left"/>
      <w:pPr>
        <w:ind w:left="989" w:hanging="217"/>
      </w:pPr>
      <w:rPr>
        <w:rFonts w:hint="default"/>
        <w:lang w:val="en-GB" w:eastAsia="en-GB" w:bidi="en-GB"/>
      </w:rPr>
    </w:lvl>
    <w:lvl w:ilvl="4" w:tplc="8550CAE0">
      <w:numFmt w:val="bullet"/>
      <w:lvlText w:val="•"/>
      <w:lvlJc w:val="left"/>
      <w:pPr>
        <w:ind w:left="1219" w:hanging="217"/>
      </w:pPr>
      <w:rPr>
        <w:rFonts w:hint="default"/>
        <w:lang w:val="en-GB" w:eastAsia="en-GB" w:bidi="en-GB"/>
      </w:rPr>
    </w:lvl>
    <w:lvl w:ilvl="5" w:tplc="6A769092">
      <w:numFmt w:val="bullet"/>
      <w:lvlText w:val="•"/>
      <w:lvlJc w:val="left"/>
      <w:pPr>
        <w:ind w:left="1449" w:hanging="217"/>
      </w:pPr>
      <w:rPr>
        <w:rFonts w:hint="default"/>
        <w:lang w:val="en-GB" w:eastAsia="en-GB" w:bidi="en-GB"/>
      </w:rPr>
    </w:lvl>
    <w:lvl w:ilvl="6" w:tplc="CE8A2C4A">
      <w:numFmt w:val="bullet"/>
      <w:lvlText w:val="•"/>
      <w:lvlJc w:val="left"/>
      <w:pPr>
        <w:ind w:left="1678" w:hanging="217"/>
      </w:pPr>
      <w:rPr>
        <w:rFonts w:hint="default"/>
        <w:lang w:val="en-GB" w:eastAsia="en-GB" w:bidi="en-GB"/>
      </w:rPr>
    </w:lvl>
    <w:lvl w:ilvl="7" w:tplc="8272F01C">
      <w:numFmt w:val="bullet"/>
      <w:lvlText w:val="•"/>
      <w:lvlJc w:val="left"/>
      <w:pPr>
        <w:ind w:left="1908" w:hanging="217"/>
      </w:pPr>
      <w:rPr>
        <w:rFonts w:hint="default"/>
        <w:lang w:val="en-GB" w:eastAsia="en-GB" w:bidi="en-GB"/>
      </w:rPr>
    </w:lvl>
    <w:lvl w:ilvl="8" w:tplc="0CD6AE3E">
      <w:numFmt w:val="bullet"/>
      <w:lvlText w:val="•"/>
      <w:lvlJc w:val="left"/>
      <w:pPr>
        <w:ind w:left="2138" w:hanging="217"/>
      </w:pPr>
      <w:rPr>
        <w:rFonts w:hint="default"/>
        <w:lang w:val="en-GB" w:eastAsia="en-GB" w:bidi="en-GB"/>
      </w:rPr>
    </w:lvl>
  </w:abstractNum>
  <w:abstractNum w:abstractNumId="62" w15:restartNumberingAfterBreak="0">
    <w:nsid w:val="056A6403"/>
    <w:multiLevelType w:val="hybridMultilevel"/>
    <w:tmpl w:val="085617A4"/>
    <w:lvl w:ilvl="0" w:tplc="486E226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C16AE8C">
      <w:numFmt w:val="bullet"/>
      <w:lvlText w:val="•"/>
      <w:lvlJc w:val="left"/>
      <w:pPr>
        <w:ind w:left="473" w:hanging="217"/>
      </w:pPr>
      <w:rPr>
        <w:rFonts w:hint="default"/>
        <w:lang w:val="en-GB" w:eastAsia="en-GB" w:bidi="en-GB"/>
      </w:rPr>
    </w:lvl>
    <w:lvl w:ilvl="2" w:tplc="BA024E1C">
      <w:numFmt w:val="bullet"/>
      <w:lvlText w:val="•"/>
      <w:lvlJc w:val="left"/>
      <w:pPr>
        <w:ind w:left="646" w:hanging="217"/>
      </w:pPr>
      <w:rPr>
        <w:rFonts w:hint="default"/>
        <w:lang w:val="en-GB" w:eastAsia="en-GB" w:bidi="en-GB"/>
      </w:rPr>
    </w:lvl>
    <w:lvl w:ilvl="3" w:tplc="F758A3F8">
      <w:numFmt w:val="bullet"/>
      <w:lvlText w:val="•"/>
      <w:lvlJc w:val="left"/>
      <w:pPr>
        <w:ind w:left="819" w:hanging="217"/>
      </w:pPr>
      <w:rPr>
        <w:rFonts w:hint="default"/>
        <w:lang w:val="en-GB" w:eastAsia="en-GB" w:bidi="en-GB"/>
      </w:rPr>
    </w:lvl>
    <w:lvl w:ilvl="4" w:tplc="D272FD62">
      <w:numFmt w:val="bullet"/>
      <w:lvlText w:val="•"/>
      <w:lvlJc w:val="left"/>
      <w:pPr>
        <w:ind w:left="992" w:hanging="217"/>
      </w:pPr>
      <w:rPr>
        <w:rFonts w:hint="default"/>
        <w:lang w:val="en-GB" w:eastAsia="en-GB" w:bidi="en-GB"/>
      </w:rPr>
    </w:lvl>
    <w:lvl w:ilvl="5" w:tplc="3490EEC0">
      <w:numFmt w:val="bullet"/>
      <w:lvlText w:val="•"/>
      <w:lvlJc w:val="left"/>
      <w:pPr>
        <w:ind w:left="1165" w:hanging="217"/>
      </w:pPr>
      <w:rPr>
        <w:rFonts w:hint="default"/>
        <w:lang w:val="en-GB" w:eastAsia="en-GB" w:bidi="en-GB"/>
      </w:rPr>
    </w:lvl>
    <w:lvl w:ilvl="6" w:tplc="DC66AFC8">
      <w:numFmt w:val="bullet"/>
      <w:lvlText w:val="•"/>
      <w:lvlJc w:val="left"/>
      <w:pPr>
        <w:ind w:left="1338" w:hanging="217"/>
      </w:pPr>
      <w:rPr>
        <w:rFonts w:hint="default"/>
        <w:lang w:val="en-GB" w:eastAsia="en-GB" w:bidi="en-GB"/>
      </w:rPr>
    </w:lvl>
    <w:lvl w:ilvl="7" w:tplc="00AAB416">
      <w:numFmt w:val="bullet"/>
      <w:lvlText w:val="•"/>
      <w:lvlJc w:val="left"/>
      <w:pPr>
        <w:ind w:left="1511" w:hanging="217"/>
      </w:pPr>
      <w:rPr>
        <w:rFonts w:hint="default"/>
        <w:lang w:val="en-GB" w:eastAsia="en-GB" w:bidi="en-GB"/>
      </w:rPr>
    </w:lvl>
    <w:lvl w:ilvl="8" w:tplc="4A169BB6">
      <w:numFmt w:val="bullet"/>
      <w:lvlText w:val="•"/>
      <w:lvlJc w:val="left"/>
      <w:pPr>
        <w:ind w:left="1684" w:hanging="217"/>
      </w:pPr>
      <w:rPr>
        <w:rFonts w:hint="default"/>
        <w:lang w:val="en-GB" w:eastAsia="en-GB" w:bidi="en-GB"/>
      </w:rPr>
    </w:lvl>
  </w:abstractNum>
  <w:abstractNum w:abstractNumId="63" w15:restartNumberingAfterBreak="0">
    <w:nsid w:val="05787EF7"/>
    <w:multiLevelType w:val="hybridMultilevel"/>
    <w:tmpl w:val="3E1AC216"/>
    <w:lvl w:ilvl="0" w:tplc="45AAE26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354E464C">
      <w:numFmt w:val="bullet"/>
      <w:lvlText w:val="•"/>
      <w:lvlJc w:val="left"/>
      <w:pPr>
        <w:ind w:left="473" w:hanging="217"/>
      </w:pPr>
      <w:rPr>
        <w:rFonts w:hint="default"/>
        <w:lang w:val="en-GB" w:eastAsia="en-GB" w:bidi="en-GB"/>
      </w:rPr>
    </w:lvl>
    <w:lvl w:ilvl="2" w:tplc="5A3E5EB6">
      <w:numFmt w:val="bullet"/>
      <w:lvlText w:val="•"/>
      <w:lvlJc w:val="left"/>
      <w:pPr>
        <w:ind w:left="646" w:hanging="217"/>
      </w:pPr>
      <w:rPr>
        <w:rFonts w:hint="default"/>
        <w:lang w:val="en-GB" w:eastAsia="en-GB" w:bidi="en-GB"/>
      </w:rPr>
    </w:lvl>
    <w:lvl w:ilvl="3" w:tplc="085E6F94">
      <w:numFmt w:val="bullet"/>
      <w:lvlText w:val="•"/>
      <w:lvlJc w:val="left"/>
      <w:pPr>
        <w:ind w:left="819" w:hanging="217"/>
      </w:pPr>
      <w:rPr>
        <w:rFonts w:hint="default"/>
        <w:lang w:val="en-GB" w:eastAsia="en-GB" w:bidi="en-GB"/>
      </w:rPr>
    </w:lvl>
    <w:lvl w:ilvl="4" w:tplc="F1829194">
      <w:numFmt w:val="bullet"/>
      <w:lvlText w:val="•"/>
      <w:lvlJc w:val="left"/>
      <w:pPr>
        <w:ind w:left="992" w:hanging="217"/>
      </w:pPr>
      <w:rPr>
        <w:rFonts w:hint="default"/>
        <w:lang w:val="en-GB" w:eastAsia="en-GB" w:bidi="en-GB"/>
      </w:rPr>
    </w:lvl>
    <w:lvl w:ilvl="5" w:tplc="60F8A826">
      <w:numFmt w:val="bullet"/>
      <w:lvlText w:val="•"/>
      <w:lvlJc w:val="left"/>
      <w:pPr>
        <w:ind w:left="1165" w:hanging="217"/>
      </w:pPr>
      <w:rPr>
        <w:rFonts w:hint="default"/>
        <w:lang w:val="en-GB" w:eastAsia="en-GB" w:bidi="en-GB"/>
      </w:rPr>
    </w:lvl>
    <w:lvl w:ilvl="6" w:tplc="34842352">
      <w:numFmt w:val="bullet"/>
      <w:lvlText w:val="•"/>
      <w:lvlJc w:val="left"/>
      <w:pPr>
        <w:ind w:left="1338" w:hanging="217"/>
      </w:pPr>
      <w:rPr>
        <w:rFonts w:hint="default"/>
        <w:lang w:val="en-GB" w:eastAsia="en-GB" w:bidi="en-GB"/>
      </w:rPr>
    </w:lvl>
    <w:lvl w:ilvl="7" w:tplc="59B4AA10">
      <w:numFmt w:val="bullet"/>
      <w:lvlText w:val="•"/>
      <w:lvlJc w:val="left"/>
      <w:pPr>
        <w:ind w:left="1511" w:hanging="217"/>
      </w:pPr>
      <w:rPr>
        <w:rFonts w:hint="default"/>
        <w:lang w:val="en-GB" w:eastAsia="en-GB" w:bidi="en-GB"/>
      </w:rPr>
    </w:lvl>
    <w:lvl w:ilvl="8" w:tplc="CFA45272">
      <w:numFmt w:val="bullet"/>
      <w:lvlText w:val="•"/>
      <w:lvlJc w:val="left"/>
      <w:pPr>
        <w:ind w:left="1684" w:hanging="217"/>
      </w:pPr>
      <w:rPr>
        <w:rFonts w:hint="default"/>
        <w:lang w:val="en-GB" w:eastAsia="en-GB" w:bidi="en-GB"/>
      </w:rPr>
    </w:lvl>
  </w:abstractNum>
  <w:abstractNum w:abstractNumId="64" w15:restartNumberingAfterBreak="0">
    <w:nsid w:val="058575F5"/>
    <w:multiLevelType w:val="hybridMultilevel"/>
    <w:tmpl w:val="262A77CE"/>
    <w:lvl w:ilvl="0" w:tplc="9FAAD9C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E86A2A0">
      <w:numFmt w:val="bullet"/>
      <w:lvlText w:val="•"/>
      <w:lvlJc w:val="left"/>
      <w:pPr>
        <w:ind w:left="439" w:hanging="217"/>
      </w:pPr>
      <w:rPr>
        <w:rFonts w:hint="default"/>
        <w:lang w:val="en-GB" w:eastAsia="en-GB" w:bidi="en-GB"/>
      </w:rPr>
    </w:lvl>
    <w:lvl w:ilvl="2" w:tplc="5D782506">
      <w:numFmt w:val="bullet"/>
      <w:lvlText w:val="•"/>
      <w:lvlJc w:val="left"/>
      <w:pPr>
        <w:ind w:left="578" w:hanging="217"/>
      </w:pPr>
      <w:rPr>
        <w:rFonts w:hint="default"/>
        <w:lang w:val="en-GB" w:eastAsia="en-GB" w:bidi="en-GB"/>
      </w:rPr>
    </w:lvl>
    <w:lvl w:ilvl="3" w:tplc="A4B8A172">
      <w:numFmt w:val="bullet"/>
      <w:lvlText w:val="•"/>
      <w:lvlJc w:val="left"/>
      <w:pPr>
        <w:ind w:left="717" w:hanging="217"/>
      </w:pPr>
      <w:rPr>
        <w:rFonts w:hint="default"/>
        <w:lang w:val="en-GB" w:eastAsia="en-GB" w:bidi="en-GB"/>
      </w:rPr>
    </w:lvl>
    <w:lvl w:ilvl="4" w:tplc="123CDEB2">
      <w:numFmt w:val="bullet"/>
      <w:lvlText w:val="•"/>
      <w:lvlJc w:val="left"/>
      <w:pPr>
        <w:ind w:left="856" w:hanging="217"/>
      </w:pPr>
      <w:rPr>
        <w:rFonts w:hint="default"/>
        <w:lang w:val="en-GB" w:eastAsia="en-GB" w:bidi="en-GB"/>
      </w:rPr>
    </w:lvl>
    <w:lvl w:ilvl="5" w:tplc="D61C6AE6">
      <w:numFmt w:val="bullet"/>
      <w:lvlText w:val="•"/>
      <w:lvlJc w:val="left"/>
      <w:pPr>
        <w:ind w:left="995" w:hanging="217"/>
      </w:pPr>
      <w:rPr>
        <w:rFonts w:hint="default"/>
        <w:lang w:val="en-GB" w:eastAsia="en-GB" w:bidi="en-GB"/>
      </w:rPr>
    </w:lvl>
    <w:lvl w:ilvl="6" w:tplc="834ED0F0">
      <w:numFmt w:val="bullet"/>
      <w:lvlText w:val="•"/>
      <w:lvlJc w:val="left"/>
      <w:pPr>
        <w:ind w:left="1134" w:hanging="217"/>
      </w:pPr>
      <w:rPr>
        <w:rFonts w:hint="default"/>
        <w:lang w:val="en-GB" w:eastAsia="en-GB" w:bidi="en-GB"/>
      </w:rPr>
    </w:lvl>
    <w:lvl w:ilvl="7" w:tplc="30904A46">
      <w:numFmt w:val="bullet"/>
      <w:lvlText w:val="•"/>
      <w:lvlJc w:val="left"/>
      <w:pPr>
        <w:ind w:left="1273" w:hanging="217"/>
      </w:pPr>
      <w:rPr>
        <w:rFonts w:hint="default"/>
        <w:lang w:val="en-GB" w:eastAsia="en-GB" w:bidi="en-GB"/>
      </w:rPr>
    </w:lvl>
    <w:lvl w:ilvl="8" w:tplc="DE0888B4">
      <w:numFmt w:val="bullet"/>
      <w:lvlText w:val="•"/>
      <w:lvlJc w:val="left"/>
      <w:pPr>
        <w:ind w:left="1412" w:hanging="217"/>
      </w:pPr>
      <w:rPr>
        <w:rFonts w:hint="default"/>
        <w:lang w:val="en-GB" w:eastAsia="en-GB" w:bidi="en-GB"/>
      </w:rPr>
    </w:lvl>
  </w:abstractNum>
  <w:abstractNum w:abstractNumId="65" w15:restartNumberingAfterBreak="0">
    <w:nsid w:val="05966ABD"/>
    <w:multiLevelType w:val="hybridMultilevel"/>
    <w:tmpl w:val="2CBC8708"/>
    <w:lvl w:ilvl="0" w:tplc="AD78811A">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6BE6C2F6">
      <w:numFmt w:val="bullet"/>
      <w:lvlText w:val="•"/>
      <w:lvlJc w:val="left"/>
      <w:pPr>
        <w:ind w:left="473" w:hanging="217"/>
      </w:pPr>
      <w:rPr>
        <w:rFonts w:hint="default"/>
        <w:lang w:val="en-GB" w:eastAsia="en-GB" w:bidi="en-GB"/>
      </w:rPr>
    </w:lvl>
    <w:lvl w:ilvl="2" w:tplc="DF94B35E">
      <w:numFmt w:val="bullet"/>
      <w:lvlText w:val="•"/>
      <w:lvlJc w:val="left"/>
      <w:pPr>
        <w:ind w:left="646" w:hanging="217"/>
      </w:pPr>
      <w:rPr>
        <w:rFonts w:hint="default"/>
        <w:lang w:val="en-GB" w:eastAsia="en-GB" w:bidi="en-GB"/>
      </w:rPr>
    </w:lvl>
    <w:lvl w:ilvl="3" w:tplc="C108FE9A">
      <w:numFmt w:val="bullet"/>
      <w:lvlText w:val="•"/>
      <w:lvlJc w:val="left"/>
      <w:pPr>
        <w:ind w:left="819" w:hanging="217"/>
      </w:pPr>
      <w:rPr>
        <w:rFonts w:hint="default"/>
        <w:lang w:val="en-GB" w:eastAsia="en-GB" w:bidi="en-GB"/>
      </w:rPr>
    </w:lvl>
    <w:lvl w:ilvl="4" w:tplc="13864A10">
      <w:numFmt w:val="bullet"/>
      <w:lvlText w:val="•"/>
      <w:lvlJc w:val="left"/>
      <w:pPr>
        <w:ind w:left="992" w:hanging="217"/>
      </w:pPr>
      <w:rPr>
        <w:rFonts w:hint="default"/>
        <w:lang w:val="en-GB" w:eastAsia="en-GB" w:bidi="en-GB"/>
      </w:rPr>
    </w:lvl>
    <w:lvl w:ilvl="5" w:tplc="A7782C10">
      <w:numFmt w:val="bullet"/>
      <w:lvlText w:val="•"/>
      <w:lvlJc w:val="left"/>
      <w:pPr>
        <w:ind w:left="1165" w:hanging="217"/>
      </w:pPr>
      <w:rPr>
        <w:rFonts w:hint="default"/>
        <w:lang w:val="en-GB" w:eastAsia="en-GB" w:bidi="en-GB"/>
      </w:rPr>
    </w:lvl>
    <w:lvl w:ilvl="6" w:tplc="C87E3D32">
      <w:numFmt w:val="bullet"/>
      <w:lvlText w:val="•"/>
      <w:lvlJc w:val="left"/>
      <w:pPr>
        <w:ind w:left="1338" w:hanging="217"/>
      </w:pPr>
      <w:rPr>
        <w:rFonts w:hint="default"/>
        <w:lang w:val="en-GB" w:eastAsia="en-GB" w:bidi="en-GB"/>
      </w:rPr>
    </w:lvl>
    <w:lvl w:ilvl="7" w:tplc="116A923C">
      <w:numFmt w:val="bullet"/>
      <w:lvlText w:val="•"/>
      <w:lvlJc w:val="left"/>
      <w:pPr>
        <w:ind w:left="1511" w:hanging="217"/>
      </w:pPr>
      <w:rPr>
        <w:rFonts w:hint="default"/>
        <w:lang w:val="en-GB" w:eastAsia="en-GB" w:bidi="en-GB"/>
      </w:rPr>
    </w:lvl>
    <w:lvl w:ilvl="8" w:tplc="7714AB02">
      <w:numFmt w:val="bullet"/>
      <w:lvlText w:val="•"/>
      <w:lvlJc w:val="left"/>
      <w:pPr>
        <w:ind w:left="1684" w:hanging="217"/>
      </w:pPr>
      <w:rPr>
        <w:rFonts w:hint="default"/>
        <w:lang w:val="en-GB" w:eastAsia="en-GB" w:bidi="en-GB"/>
      </w:rPr>
    </w:lvl>
  </w:abstractNum>
  <w:abstractNum w:abstractNumId="66" w15:restartNumberingAfterBreak="0">
    <w:nsid w:val="05A774EE"/>
    <w:multiLevelType w:val="hybridMultilevel"/>
    <w:tmpl w:val="4AFAE54E"/>
    <w:lvl w:ilvl="0" w:tplc="6336AA98">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208E664C">
      <w:numFmt w:val="bullet"/>
      <w:lvlText w:val="•"/>
      <w:lvlJc w:val="left"/>
      <w:pPr>
        <w:ind w:left="473" w:hanging="217"/>
      </w:pPr>
      <w:rPr>
        <w:rFonts w:hint="default"/>
        <w:lang w:val="en-GB" w:eastAsia="en-GB" w:bidi="en-GB"/>
      </w:rPr>
    </w:lvl>
    <w:lvl w:ilvl="2" w:tplc="1090A25E">
      <w:numFmt w:val="bullet"/>
      <w:lvlText w:val="•"/>
      <w:lvlJc w:val="left"/>
      <w:pPr>
        <w:ind w:left="646" w:hanging="217"/>
      </w:pPr>
      <w:rPr>
        <w:rFonts w:hint="default"/>
        <w:lang w:val="en-GB" w:eastAsia="en-GB" w:bidi="en-GB"/>
      </w:rPr>
    </w:lvl>
    <w:lvl w:ilvl="3" w:tplc="5DECC058">
      <w:numFmt w:val="bullet"/>
      <w:lvlText w:val="•"/>
      <w:lvlJc w:val="left"/>
      <w:pPr>
        <w:ind w:left="819" w:hanging="217"/>
      </w:pPr>
      <w:rPr>
        <w:rFonts w:hint="default"/>
        <w:lang w:val="en-GB" w:eastAsia="en-GB" w:bidi="en-GB"/>
      </w:rPr>
    </w:lvl>
    <w:lvl w:ilvl="4" w:tplc="9D7E5494">
      <w:numFmt w:val="bullet"/>
      <w:lvlText w:val="•"/>
      <w:lvlJc w:val="left"/>
      <w:pPr>
        <w:ind w:left="992" w:hanging="217"/>
      </w:pPr>
      <w:rPr>
        <w:rFonts w:hint="default"/>
        <w:lang w:val="en-GB" w:eastAsia="en-GB" w:bidi="en-GB"/>
      </w:rPr>
    </w:lvl>
    <w:lvl w:ilvl="5" w:tplc="488EBCC2">
      <w:numFmt w:val="bullet"/>
      <w:lvlText w:val="•"/>
      <w:lvlJc w:val="left"/>
      <w:pPr>
        <w:ind w:left="1165" w:hanging="217"/>
      </w:pPr>
      <w:rPr>
        <w:rFonts w:hint="default"/>
        <w:lang w:val="en-GB" w:eastAsia="en-GB" w:bidi="en-GB"/>
      </w:rPr>
    </w:lvl>
    <w:lvl w:ilvl="6" w:tplc="F85C9E14">
      <w:numFmt w:val="bullet"/>
      <w:lvlText w:val="•"/>
      <w:lvlJc w:val="left"/>
      <w:pPr>
        <w:ind w:left="1338" w:hanging="217"/>
      </w:pPr>
      <w:rPr>
        <w:rFonts w:hint="default"/>
        <w:lang w:val="en-GB" w:eastAsia="en-GB" w:bidi="en-GB"/>
      </w:rPr>
    </w:lvl>
    <w:lvl w:ilvl="7" w:tplc="EBD25906">
      <w:numFmt w:val="bullet"/>
      <w:lvlText w:val="•"/>
      <w:lvlJc w:val="left"/>
      <w:pPr>
        <w:ind w:left="1511" w:hanging="217"/>
      </w:pPr>
      <w:rPr>
        <w:rFonts w:hint="default"/>
        <w:lang w:val="en-GB" w:eastAsia="en-GB" w:bidi="en-GB"/>
      </w:rPr>
    </w:lvl>
    <w:lvl w:ilvl="8" w:tplc="C68EDBA4">
      <w:numFmt w:val="bullet"/>
      <w:lvlText w:val="•"/>
      <w:lvlJc w:val="left"/>
      <w:pPr>
        <w:ind w:left="1684" w:hanging="217"/>
      </w:pPr>
      <w:rPr>
        <w:rFonts w:hint="default"/>
        <w:lang w:val="en-GB" w:eastAsia="en-GB" w:bidi="en-GB"/>
      </w:rPr>
    </w:lvl>
  </w:abstractNum>
  <w:abstractNum w:abstractNumId="67" w15:restartNumberingAfterBreak="0">
    <w:nsid w:val="05AC3BC5"/>
    <w:multiLevelType w:val="hybridMultilevel"/>
    <w:tmpl w:val="6F80EBB4"/>
    <w:lvl w:ilvl="0" w:tplc="19B8131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EDC906C">
      <w:numFmt w:val="bullet"/>
      <w:lvlText w:val="•"/>
      <w:lvlJc w:val="left"/>
      <w:pPr>
        <w:ind w:left="892" w:hanging="217"/>
      </w:pPr>
      <w:rPr>
        <w:rFonts w:hint="default"/>
        <w:lang w:val="en-GB" w:eastAsia="en-GB" w:bidi="en-GB"/>
      </w:rPr>
    </w:lvl>
    <w:lvl w:ilvl="2" w:tplc="16A0475C">
      <w:numFmt w:val="bullet"/>
      <w:lvlText w:val="•"/>
      <w:lvlJc w:val="left"/>
      <w:pPr>
        <w:ind w:left="1485" w:hanging="217"/>
      </w:pPr>
      <w:rPr>
        <w:rFonts w:hint="default"/>
        <w:lang w:val="en-GB" w:eastAsia="en-GB" w:bidi="en-GB"/>
      </w:rPr>
    </w:lvl>
    <w:lvl w:ilvl="3" w:tplc="1F2052BE">
      <w:numFmt w:val="bullet"/>
      <w:lvlText w:val="•"/>
      <w:lvlJc w:val="left"/>
      <w:pPr>
        <w:ind w:left="2077" w:hanging="217"/>
      </w:pPr>
      <w:rPr>
        <w:rFonts w:hint="default"/>
        <w:lang w:val="en-GB" w:eastAsia="en-GB" w:bidi="en-GB"/>
      </w:rPr>
    </w:lvl>
    <w:lvl w:ilvl="4" w:tplc="CEFC1C0A">
      <w:numFmt w:val="bullet"/>
      <w:lvlText w:val="•"/>
      <w:lvlJc w:val="left"/>
      <w:pPr>
        <w:ind w:left="2670" w:hanging="217"/>
      </w:pPr>
      <w:rPr>
        <w:rFonts w:hint="default"/>
        <w:lang w:val="en-GB" w:eastAsia="en-GB" w:bidi="en-GB"/>
      </w:rPr>
    </w:lvl>
    <w:lvl w:ilvl="5" w:tplc="0E4CC8E2">
      <w:numFmt w:val="bullet"/>
      <w:lvlText w:val="•"/>
      <w:lvlJc w:val="left"/>
      <w:pPr>
        <w:ind w:left="3263" w:hanging="217"/>
      </w:pPr>
      <w:rPr>
        <w:rFonts w:hint="default"/>
        <w:lang w:val="en-GB" w:eastAsia="en-GB" w:bidi="en-GB"/>
      </w:rPr>
    </w:lvl>
    <w:lvl w:ilvl="6" w:tplc="1026F69E">
      <w:numFmt w:val="bullet"/>
      <w:lvlText w:val="•"/>
      <w:lvlJc w:val="left"/>
      <w:pPr>
        <w:ind w:left="3855" w:hanging="217"/>
      </w:pPr>
      <w:rPr>
        <w:rFonts w:hint="default"/>
        <w:lang w:val="en-GB" w:eastAsia="en-GB" w:bidi="en-GB"/>
      </w:rPr>
    </w:lvl>
    <w:lvl w:ilvl="7" w:tplc="A1F6D3DC">
      <w:numFmt w:val="bullet"/>
      <w:lvlText w:val="•"/>
      <w:lvlJc w:val="left"/>
      <w:pPr>
        <w:ind w:left="4448" w:hanging="217"/>
      </w:pPr>
      <w:rPr>
        <w:rFonts w:hint="default"/>
        <w:lang w:val="en-GB" w:eastAsia="en-GB" w:bidi="en-GB"/>
      </w:rPr>
    </w:lvl>
    <w:lvl w:ilvl="8" w:tplc="16DE87CA">
      <w:numFmt w:val="bullet"/>
      <w:lvlText w:val="•"/>
      <w:lvlJc w:val="left"/>
      <w:pPr>
        <w:ind w:left="5040" w:hanging="217"/>
      </w:pPr>
      <w:rPr>
        <w:rFonts w:hint="default"/>
        <w:lang w:val="en-GB" w:eastAsia="en-GB" w:bidi="en-GB"/>
      </w:rPr>
    </w:lvl>
  </w:abstractNum>
  <w:abstractNum w:abstractNumId="68" w15:restartNumberingAfterBreak="0">
    <w:nsid w:val="05CB6AE8"/>
    <w:multiLevelType w:val="hybridMultilevel"/>
    <w:tmpl w:val="27C28842"/>
    <w:lvl w:ilvl="0" w:tplc="C6A4201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FE4980C">
      <w:numFmt w:val="bullet"/>
      <w:lvlText w:val="•"/>
      <w:lvlJc w:val="left"/>
      <w:pPr>
        <w:ind w:left="467" w:hanging="217"/>
      </w:pPr>
      <w:rPr>
        <w:rFonts w:hint="default"/>
        <w:lang w:val="en-GB" w:eastAsia="en-GB" w:bidi="en-GB"/>
      </w:rPr>
    </w:lvl>
    <w:lvl w:ilvl="2" w:tplc="8C089BEA">
      <w:numFmt w:val="bullet"/>
      <w:lvlText w:val="•"/>
      <w:lvlJc w:val="left"/>
      <w:pPr>
        <w:ind w:left="634" w:hanging="217"/>
      </w:pPr>
      <w:rPr>
        <w:rFonts w:hint="default"/>
        <w:lang w:val="en-GB" w:eastAsia="en-GB" w:bidi="en-GB"/>
      </w:rPr>
    </w:lvl>
    <w:lvl w:ilvl="3" w:tplc="0C4E7102">
      <w:numFmt w:val="bullet"/>
      <w:lvlText w:val="•"/>
      <w:lvlJc w:val="left"/>
      <w:pPr>
        <w:ind w:left="802" w:hanging="217"/>
      </w:pPr>
      <w:rPr>
        <w:rFonts w:hint="default"/>
        <w:lang w:val="en-GB" w:eastAsia="en-GB" w:bidi="en-GB"/>
      </w:rPr>
    </w:lvl>
    <w:lvl w:ilvl="4" w:tplc="C7FC9676">
      <w:numFmt w:val="bullet"/>
      <w:lvlText w:val="•"/>
      <w:lvlJc w:val="left"/>
      <w:pPr>
        <w:ind w:left="969" w:hanging="217"/>
      </w:pPr>
      <w:rPr>
        <w:rFonts w:hint="default"/>
        <w:lang w:val="en-GB" w:eastAsia="en-GB" w:bidi="en-GB"/>
      </w:rPr>
    </w:lvl>
    <w:lvl w:ilvl="5" w:tplc="A1BAC89A">
      <w:numFmt w:val="bullet"/>
      <w:lvlText w:val="•"/>
      <w:lvlJc w:val="left"/>
      <w:pPr>
        <w:ind w:left="1137" w:hanging="217"/>
      </w:pPr>
      <w:rPr>
        <w:rFonts w:hint="default"/>
        <w:lang w:val="en-GB" w:eastAsia="en-GB" w:bidi="en-GB"/>
      </w:rPr>
    </w:lvl>
    <w:lvl w:ilvl="6" w:tplc="76B456FC">
      <w:numFmt w:val="bullet"/>
      <w:lvlText w:val="•"/>
      <w:lvlJc w:val="left"/>
      <w:pPr>
        <w:ind w:left="1304" w:hanging="217"/>
      </w:pPr>
      <w:rPr>
        <w:rFonts w:hint="default"/>
        <w:lang w:val="en-GB" w:eastAsia="en-GB" w:bidi="en-GB"/>
      </w:rPr>
    </w:lvl>
    <w:lvl w:ilvl="7" w:tplc="628ABE4A">
      <w:numFmt w:val="bullet"/>
      <w:lvlText w:val="•"/>
      <w:lvlJc w:val="left"/>
      <w:pPr>
        <w:ind w:left="1471" w:hanging="217"/>
      </w:pPr>
      <w:rPr>
        <w:rFonts w:hint="default"/>
        <w:lang w:val="en-GB" w:eastAsia="en-GB" w:bidi="en-GB"/>
      </w:rPr>
    </w:lvl>
    <w:lvl w:ilvl="8" w:tplc="AF9EE724">
      <w:numFmt w:val="bullet"/>
      <w:lvlText w:val="•"/>
      <w:lvlJc w:val="left"/>
      <w:pPr>
        <w:ind w:left="1639" w:hanging="217"/>
      </w:pPr>
      <w:rPr>
        <w:rFonts w:hint="default"/>
        <w:lang w:val="en-GB" w:eastAsia="en-GB" w:bidi="en-GB"/>
      </w:rPr>
    </w:lvl>
  </w:abstractNum>
  <w:abstractNum w:abstractNumId="69" w15:restartNumberingAfterBreak="0">
    <w:nsid w:val="06011231"/>
    <w:multiLevelType w:val="hybridMultilevel"/>
    <w:tmpl w:val="42AE64AC"/>
    <w:lvl w:ilvl="0" w:tplc="9AA057B8">
      <w:numFmt w:val="bullet"/>
      <w:lvlText w:val="•"/>
      <w:lvlJc w:val="left"/>
      <w:pPr>
        <w:ind w:left="300" w:hanging="217"/>
      </w:pPr>
      <w:rPr>
        <w:rFonts w:ascii="Arial" w:eastAsia="Arial" w:hAnsi="Arial" w:cs="Arial" w:hint="default"/>
        <w:color w:val="231F20"/>
        <w:spacing w:val="-2"/>
        <w:w w:val="100"/>
        <w:sz w:val="18"/>
        <w:szCs w:val="18"/>
        <w:lang w:val="en-GB" w:eastAsia="en-GB" w:bidi="en-GB"/>
      </w:rPr>
    </w:lvl>
    <w:lvl w:ilvl="1" w:tplc="8C5C404E">
      <w:numFmt w:val="bullet"/>
      <w:lvlText w:val="•"/>
      <w:lvlJc w:val="left"/>
      <w:pPr>
        <w:ind w:left="529" w:hanging="217"/>
      </w:pPr>
      <w:rPr>
        <w:rFonts w:hint="default"/>
        <w:lang w:val="en-GB" w:eastAsia="en-GB" w:bidi="en-GB"/>
      </w:rPr>
    </w:lvl>
    <w:lvl w:ilvl="2" w:tplc="6B3EAA74">
      <w:numFmt w:val="bullet"/>
      <w:lvlText w:val="•"/>
      <w:lvlJc w:val="left"/>
      <w:pPr>
        <w:ind w:left="759" w:hanging="217"/>
      </w:pPr>
      <w:rPr>
        <w:rFonts w:hint="default"/>
        <w:lang w:val="en-GB" w:eastAsia="en-GB" w:bidi="en-GB"/>
      </w:rPr>
    </w:lvl>
    <w:lvl w:ilvl="3" w:tplc="A42CCAEA">
      <w:numFmt w:val="bullet"/>
      <w:lvlText w:val="•"/>
      <w:lvlJc w:val="left"/>
      <w:pPr>
        <w:ind w:left="989" w:hanging="217"/>
      </w:pPr>
      <w:rPr>
        <w:rFonts w:hint="default"/>
        <w:lang w:val="en-GB" w:eastAsia="en-GB" w:bidi="en-GB"/>
      </w:rPr>
    </w:lvl>
    <w:lvl w:ilvl="4" w:tplc="321E222C">
      <w:numFmt w:val="bullet"/>
      <w:lvlText w:val="•"/>
      <w:lvlJc w:val="left"/>
      <w:pPr>
        <w:ind w:left="1219" w:hanging="217"/>
      </w:pPr>
      <w:rPr>
        <w:rFonts w:hint="default"/>
        <w:lang w:val="en-GB" w:eastAsia="en-GB" w:bidi="en-GB"/>
      </w:rPr>
    </w:lvl>
    <w:lvl w:ilvl="5" w:tplc="5D8C3786">
      <w:numFmt w:val="bullet"/>
      <w:lvlText w:val="•"/>
      <w:lvlJc w:val="left"/>
      <w:pPr>
        <w:ind w:left="1449" w:hanging="217"/>
      </w:pPr>
      <w:rPr>
        <w:rFonts w:hint="default"/>
        <w:lang w:val="en-GB" w:eastAsia="en-GB" w:bidi="en-GB"/>
      </w:rPr>
    </w:lvl>
    <w:lvl w:ilvl="6" w:tplc="61F087EC">
      <w:numFmt w:val="bullet"/>
      <w:lvlText w:val="•"/>
      <w:lvlJc w:val="left"/>
      <w:pPr>
        <w:ind w:left="1678" w:hanging="217"/>
      </w:pPr>
      <w:rPr>
        <w:rFonts w:hint="default"/>
        <w:lang w:val="en-GB" w:eastAsia="en-GB" w:bidi="en-GB"/>
      </w:rPr>
    </w:lvl>
    <w:lvl w:ilvl="7" w:tplc="052E1AA2">
      <w:numFmt w:val="bullet"/>
      <w:lvlText w:val="•"/>
      <w:lvlJc w:val="left"/>
      <w:pPr>
        <w:ind w:left="1908" w:hanging="217"/>
      </w:pPr>
      <w:rPr>
        <w:rFonts w:hint="default"/>
        <w:lang w:val="en-GB" w:eastAsia="en-GB" w:bidi="en-GB"/>
      </w:rPr>
    </w:lvl>
    <w:lvl w:ilvl="8" w:tplc="20826CCE">
      <w:numFmt w:val="bullet"/>
      <w:lvlText w:val="•"/>
      <w:lvlJc w:val="left"/>
      <w:pPr>
        <w:ind w:left="2138" w:hanging="217"/>
      </w:pPr>
      <w:rPr>
        <w:rFonts w:hint="default"/>
        <w:lang w:val="en-GB" w:eastAsia="en-GB" w:bidi="en-GB"/>
      </w:rPr>
    </w:lvl>
  </w:abstractNum>
  <w:abstractNum w:abstractNumId="70" w15:restartNumberingAfterBreak="0">
    <w:nsid w:val="061754FB"/>
    <w:multiLevelType w:val="hybridMultilevel"/>
    <w:tmpl w:val="E9AAE2C8"/>
    <w:lvl w:ilvl="0" w:tplc="B9D6DDCA">
      <w:numFmt w:val="bullet"/>
      <w:lvlText w:val="•"/>
      <w:lvlJc w:val="left"/>
      <w:pPr>
        <w:ind w:left="276" w:hanging="217"/>
      </w:pPr>
      <w:rPr>
        <w:rFonts w:ascii="Arial" w:eastAsia="Arial" w:hAnsi="Arial" w:cs="Arial" w:hint="default"/>
        <w:color w:val="231F20"/>
        <w:w w:val="97"/>
        <w:sz w:val="16"/>
        <w:szCs w:val="16"/>
        <w:lang w:val="en-GB" w:eastAsia="en-GB" w:bidi="en-GB"/>
      </w:rPr>
    </w:lvl>
    <w:lvl w:ilvl="1" w:tplc="07B27F06">
      <w:numFmt w:val="bullet"/>
      <w:lvlText w:val="•"/>
      <w:lvlJc w:val="left"/>
      <w:pPr>
        <w:ind w:left="381" w:hanging="217"/>
      </w:pPr>
      <w:rPr>
        <w:rFonts w:hint="default"/>
        <w:lang w:val="en-GB" w:eastAsia="en-GB" w:bidi="en-GB"/>
      </w:rPr>
    </w:lvl>
    <w:lvl w:ilvl="2" w:tplc="949E183C">
      <w:numFmt w:val="bullet"/>
      <w:lvlText w:val="•"/>
      <w:lvlJc w:val="left"/>
      <w:pPr>
        <w:ind w:left="482" w:hanging="217"/>
      </w:pPr>
      <w:rPr>
        <w:rFonts w:hint="default"/>
        <w:lang w:val="en-GB" w:eastAsia="en-GB" w:bidi="en-GB"/>
      </w:rPr>
    </w:lvl>
    <w:lvl w:ilvl="3" w:tplc="F7C85B88">
      <w:numFmt w:val="bullet"/>
      <w:lvlText w:val="•"/>
      <w:lvlJc w:val="left"/>
      <w:pPr>
        <w:ind w:left="584" w:hanging="217"/>
      </w:pPr>
      <w:rPr>
        <w:rFonts w:hint="default"/>
        <w:lang w:val="en-GB" w:eastAsia="en-GB" w:bidi="en-GB"/>
      </w:rPr>
    </w:lvl>
    <w:lvl w:ilvl="4" w:tplc="DB6694AC">
      <w:numFmt w:val="bullet"/>
      <w:lvlText w:val="•"/>
      <w:lvlJc w:val="left"/>
      <w:pPr>
        <w:ind w:left="685" w:hanging="217"/>
      </w:pPr>
      <w:rPr>
        <w:rFonts w:hint="default"/>
        <w:lang w:val="en-GB" w:eastAsia="en-GB" w:bidi="en-GB"/>
      </w:rPr>
    </w:lvl>
    <w:lvl w:ilvl="5" w:tplc="14DCA44A">
      <w:numFmt w:val="bullet"/>
      <w:lvlText w:val="•"/>
      <w:lvlJc w:val="left"/>
      <w:pPr>
        <w:ind w:left="787" w:hanging="217"/>
      </w:pPr>
      <w:rPr>
        <w:rFonts w:hint="default"/>
        <w:lang w:val="en-GB" w:eastAsia="en-GB" w:bidi="en-GB"/>
      </w:rPr>
    </w:lvl>
    <w:lvl w:ilvl="6" w:tplc="3AC89A0C">
      <w:numFmt w:val="bullet"/>
      <w:lvlText w:val="•"/>
      <w:lvlJc w:val="left"/>
      <w:pPr>
        <w:ind w:left="888" w:hanging="217"/>
      </w:pPr>
      <w:rPr>
        <w:rFonts w:hint="default"/>
        <w:lang w:val="en-GB" w:eastAsia="en-GB" w:bidi="en-GB"/>
      </w:rPr>
    </w:lvl>
    <w:lvl w:ilvl="7" w:tplc="2F145CFC">
      <w:numFmt w:val="bullet"/>
      <w:lvlText w:val="•"/>
      <w:lvlJc w:val="left"/>
      <w:pPr>
        <w:ind w:left="989" w:hanging="217"/>
      </w:pPr>
      <w:rPr>
        <w:rFonts w:hint="default"/>
        <w:lang w:val="en-GB" w:eastAsia="en-GB" w:bidi="en-GB"/>
      </w:rPr>
    </w:lvl>
    <w:lvl w:ilvl="8" w:tplc="8C7AA446">
      <w:numFmt w:val="bullet"/>
      <w:lvlText w:val="•"/>
      <w:lvlJc w:val="left"/>
      <w:pPr>
        <w:ind w:left="1091" w:hanging="217"/>
      </w:pPr>
      <w:rPr>
        <w:rFonts w:hint="default"/>
        <w:lang w:val="en-GB" w:eastAsia="en-GB" w:bidi="en-GB"/>
      </w:rPr>
    </w:lvl>
  </w:abstractNum>
  <w:abstractNum w:abstractNumId="71" w15:restartNumberingAfterBreak="0">
    <w:nsid w:val="06230D82"/>
    <w:multiLevelType w:val="hybridMultilevel"/>
    <w:tmpl w:val="E8B89F5A"/>
    <w:lvl w:ilvl="0" w:tplc="B212143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9467D8C">
      <w:numFmt w:val="bullet"/>
      <w:lvlText w:val="•"/>
      <w:lvlJc w:val="left"/>
      <w:pPr>
        <w:ind w:left="439" w:hanging="217"/>
      </w:pPr>
      <w:rPr>
        <w:rFonts w:hint="default"/>
        <w:lang w:val="en-GB" w:eastAsia="en-GB" w:bidi="en-GB"/>
      </w:rPr>
    </w:lvl>
    <w:lvl w:ilvl="2" w:tplc="D75459C2">
      <w:numFmt w:val="bullet"/>
      <w:lvlText w:val="•"/>
      <w:lvlJc w:val="left"/>
      <w:pPr>
        <w:ind w:left="578" w:hanging="217"/>
      </w:pPr>
      <w:rPr>
        <w:rFonts w:hint="default"/>
        <w:lang w:val="en-GB" w:eastAsia="en-GB" w:bidi="en-GB"/>
      </w:rPr>
    </w:lvl>
    <w:lvl w:ilvl="3" w:tplc="DEEEF7D8">
      <w:numFmt w:val="bullet"/>
      <w:lvlText w:val="•"/>
      <w:lvlJc w:val="left"/>
      <w:pPr>
        <w:ind w:left="717" w:hanging="217"/>
      </w:pPr>
      <w:rPr>
        <w:rFonts w:hint="default"/>
        <w:lang w:val="en-GB" w:eastAsia="en-GB" w:bidi="en-GB"/>
      </w:rPr>
    </w:lvl>
    <w:lvl w:ilvl="4" w:tplc="A5009150">
      <w:numFmt w:val="bullet"/>
      <w:lvlText w:val="•"/>
      <w:lvlJc w:val="left"/>
      <w:pPr>
        <w:ind w:left="856" w:hanging="217"/>
      </w:pPr>
      <w:rPr>
        <w:rFonts w:hint="default"/>
        <w:lang w:val="en-GB" w:eastAsia="en-GB" w:bidi="en-GB"/>
      </w:rPr>
    </w:lvl>
    <w:lvl w:ilvl="5" w:tplc="2A324622">
      <w:numFmt w:val="bullet"/>
      <w:lvlText w:val="•"/>
      <w:lvlJc w:val="left"/>
      <w:pPr>
        <w:ind w:left="995" w:hanging="217"/>
      </w:pPr>
      <w:rPr>
        <w:rFonts w:hint="default"/>
        <w:lang w:val="en-GB" w:eastAsia="en-GB" w:bidi="en-GB"/>
      </w:rPr>
    </w:lvl>
    <w:lvl w:ilvl="6" w:tplc="023AE984">
      <w:numFmt w:val="bullet"/>
      <w:lvlText w:val="•"/>
      <w:lvlJc w:val="left"/>
      <w:pPr>
        <w:ind w:left="1134" w:hanging="217"/>
      </w:pPr>
      <w:rPr>
        <w:rFonts w:hint="default"/>
        <w:lang w:val="en-GB" w:eastAsia="en-GB" w:bidi="en-GB"/>
      </w:rPr>
    </w:lvl>
    <w:lvl w:ilvl="7" w:tplc="15D6274C">
      <w:numFmt w:val="bullet"/>
      <w:lvlText w:val="•"/>
      <w:lvlJc w:val="left"/>
      <w:pPr>
        <w:ind w:left="1273" w:hanging="217"/>
      </w:pPr>
      <w:rPr>
        <w:rFonts w:hint="default"/>
        <w:lang w:val="en-GB" w:eastAsia="en-GB" w:bidi="en-GB"/>
      </w:rPr>
    </w:lvl>
    <w:lvl w:ilvl="8" w:tplc="15A22C36">
      <w:numFmt w:val="bullet"/>
      <w:lvlText w:val="•"/>
      <w:lvlJc w:val="left"/>
      <w:pPr>
        <w:ind w:left="1412" w:hanging="217"/>
      </w:pPr>
      <w:rPr>
        <w:rFonts w:hint="default"/>
        <w:lang w:val="en-GB" w:eastAsia="en-GB" w:bidi="en-GB"/>
      </w:rPr>
    </w:lvl>
  </w:abstractNum>
  <w:abstractNum w:abstractNumId="72" w15:restartNumberingAfterBreak="0">
    <w:nsid w:val="06273C93"/>
    <w:multiLevelType w:val="hybridMultilevel"/>
    <w:tmpl w:val="191E02A0"/>
    <w:lvl w:ilvl="0" w:tplc="2AE8642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4B091A6">
      <w:numFmt w:val="bullet"/>
      <w:lvlText w:val="•"/>
      <w:lvlJc w:val="left"/>
      <w:pPr>
        <w:ind w:left="892" w:hanging="217"/>
      </w:pPr>
      <w:rPr>
        <w:rFonts w:hint="default"/>
        <w:lang w:val="en-GB" w:eastAsia="en-GB" w:bidi="en-GB"/>
      </w:rPr>
    </w:lvl>
    <w:lvl w:ilvl="2" w:tplc="2D56C062">
      <w:numFmt w:val="bullet"/>
      <w:lvlText w:val="•"/>
      <w:lvlJc w:val="left"/>
      <w:pPr>
        <w:ind w:left="1485" w:hanging="217"/>
      </w:pPr>
      <w:rPr>
        <w:rFonts w:hint="default"/>
        <w:lang w:val="en-GB" w:eastAsia="en-GB" w:bidi="en-GB"/>
      </w:rPr>
    </w:lvl>
    <w:lvl w:ilvl="3" w:tplc="15D8655C">
      <w:numFmt w:val="bullet"/>
      <w:lvlText w:val="•"/>
      <w:lvlJc w:val="left"/>
      <w:pPr>
        <w:ind w:left="2077" w:hanging="217"/>
      </w:pPr>
      <w:rPr>
        <w:rFonts w:hint="default"/>
        <w:lang w:val="en-GB" w:eastAsia="en-GB" w:bidi="en-GB"/>
      </w:rPr>
    </w:lvl>
    <w:lvl w:ilvl="4" w:tplc="E83617E2">
      <w:numFmt w:val="bullet"/>
      <w:lvlText w:val="•"/>
      <w:lvlJc w:val="left"/>
      <w:pPr>
        <w:ind w:left="2670" w:hanging="217"/>
      </w:pPr>
      <w:rPr>
        <w:rFonts w:hint="default"/>
        <w:lang w:val="en-GB" w:eastAsia="en-GB" w:bidi="en-GB"/>
      </w:rPr>
    </w:lvl>
    <w:lvl w:ilvl="5" w:tplc="A23AF398">
      <w:numFmt w:val="bullet"/>
      <w:lvlText w:val="•"/>
      <w:lvlJc w:val="left"/>
      <w:pPr>
        <w:ind w:left="3263" w:hanging="217"/>
      </w:pPr>
      <w:rPr>
        <w:rFonts w:hint="default"/>
        <w:lang w:val="en-GB" w:eastAsia="en-GB" w:bidi="en-GB"/>
      </w:rPr>
    </w:lvl>
    <w:lvl w:ilvl="6" w:tplc="B7A023B0">
      <w:numFmt w:val="bullet"/>
      <w:lvlText w:val="•"/>
      <w:lvlJc w:val="left"/>
      <w:pPr>
        <w:ind w:left="3855" w:hanging="217"/>
      </w:pPr>
      <w:rPr>
        <w:rFonts w:hint="default"/>
        <w:lang w:val="en-GB" w:eastAsia="en-GB" w:bidi="en-GB"/>
      </w:rPr>
    </w:lvl>
    <w:lvl w:ilvl="7" w:tplc="5B7E6D22">
      <w:numFmt w:val="bullet"/>
      <w:lvlText w:val="•"/>
      <w:lvlJc w:val="left"/>
      <w:pPr>
        <w:ind w:left="4448" w:hanging="217"/>
      </w:pPr>
      <w:rPr>
        <w:rFonts w:hint="default"/>
        <w:lang w:val="en-GB" w:eastAsia="en-GB" w:bidi="en-GB"/>
      </w:rPr>
    </w:lvl>
    <w:lvl w:ilvl="8" w:tplc="4C68B1FC">
      <w:numFmt w:val="bullet"/>
      <w:lvlText w:val="•"/>
      <w:lvlJc w:val="left"/>
      <w:pPr>
        <w:ind w:left="5040" w:hanging="217"/>
      </w:pPr>
      <w:rPr>
        <w:rFonts w:hint="default"/>
        <w:lang w:val="en-GB" w:eastAsia="en-GB" w:bidi="en-GB"/>
      </w:rPr>
    </w:lvl>
  </w:abstractNum>
  <w:abstractNum w:abstractNumId="73" w15:restartNumberingAfterBreak="0">
    <w:nsid w:val="065064CB"/>
    <w:multiLevelType w:val="hybridMultilevel"/>
    <w:tmpl w:val="07246468"/>
    <w:lvl w:ilvl="0" w:tplc="64D6FC6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BE85208">
      <w:numFmt w:val="bullet"/>
      <w:lvlText w:val="•"/>
      <w:lvlJc w:val="left"/>
      <w:pPr>
        <w:ind w:left="439" w:hanging="217"/>
      </w:pPr>
      <w:rPr>
        <w:rFonts w:hint="default"/>
        <w:lang w:val="en-GB" w:eastAsia="en-GB" w:bidi="en-GB"/>
      </w:rPr>
    </w:lvl>
    <w:lvl w:ilvl="2" w:tplc="6A42DDA4">
      <w:numFmt w:val="bullet"/>
      <w:lvlText w:val="•"/>
      <w:lvlJc w:val="left"/>
      <w:pPr>
        <w:ind w:left="578" w:hanging="217"/>
      </w:pPr>
      <w:rPr>
        <w:rFonts w:hint="default"/>
        <w:lang w:val="en-GB" w:eastAsia="en-GB" w:bidi="en-GB"/>
      </w:rPr>
    </w:lvl>
    <w:lvl w:ilvl="3" w:tplc="879862DA">
      <w:numFmt w:val="bullet"/>
      <w:lvlText w:val="•"/>
      <w:lvlJc w:val="left"/>
      <w:pPr>
        <w:ind w:left="717" w:hanging="217"/>
      </w:pPr>
      <w:rPr>
        <w:rFonts w:hint="default"/>
        <w:lang w:val="en-GB" w:eastAsia="en-GB" w:bidi="en-GB"/>
      </w:rPr>
    </w:lvl>
    <w:lvl w:ilvl="4" w:tplc="9C620772">
      <w:numFmt w:val="bullet"/>
      <w:lvlText w:val="•"/>
      <w:lvlJc w:val="left"/>
      <w:pPr>
        <w:ind w:left="856" w:hanging="217"/>
      </w:pPr>
      <w:rPr>
        <w:rFonts w:hint="default"/>
        <w:lang w:val="en-GB" w:eastAsia="en-GB" w:bidi="en-GB"/>
      </w:rPr>
    </w:lvl>
    <w:lvl w:ilvl="5" w:tplc="FCCA7C94">
      <w:numFmt w:val="bullet"/>
      <w:lvlText w:val="•"/>
      <w:lvlJc w:val="left"/>
      <w:pPr>
        <w:ind w:left="995" w:hanging="217"/>
      </w:pPr>
      <w:rPr>
        <w:rFonts w:hint="default"/>
        <w:lang w:val="en-GB" w:eastAsia="en-GB" w:bidi="en-GB"/>
      </w:rPr>
    </w:lvl>
    <w:lvl w:ilvl="6" w:tplc="CC2082FC">
      <w:numFmt w:val="bullet"/>
      <w:lvlText w:val="•"/>
      <w:lvlJc w:val="left"/>
      <w:pPr>
        <w:ind w:left="1134" w:hanging="217"/>
      </w:pPr>
      <w:rPr>
        <w:rFonts w:hint="default"/>
        <w:lang w:val="en-GB" w:eastAsia="en-GB" w:bidi="en-GB"/>
      </w:rPr>
    </w:lvl>
    <w:lvl w:ilvl="7" w:tplc="5E52FE4E">
      <w:numFmt w:val="bullet"/>
      <w:lvlText w:val="•"/>
      <w:lvlJc w:val="left"/>
      <w:pPr>
        <w:ind w:left="1273" w:hanging="217"/>
      </w:pPr>
      <w:rPr>
        <w:rFonts w:hint="default"/>
        <w:lang w:val="en-GB" w:eastAsia="en-GB" w:bidi="en-GB"/>
      </w:rPr>
    </w:lvl>
    <w:lvl w:ilvl="8" w:tplc="9E8CD6C6">
      <w:numFmt w:val="bullet"/>
      <w:lvlText w:val="•"/>
      <w:lvlJc w:val="left"/>
      <w:pPr>
        <w:ind w:left="1412" w:hanging="217"/>
      </w:pPr>
      <w:rPr>
        <w:rFonts w:hint="default"/>
        <w:lang w:val="en-GB" w:eastAsia="en-GB" w:bidi="en-GB"/>
      </w:rPr>
    </w:lvl>
  </w:abstractNum>
  <w:abstractNum w:abstractNumId="74" w15:restartNumberingAfterBreak="0">
    <w:nsid w:val="06A50D02"/>
    <w:multiLevelType w:val="hybridMultilevel"/>
    <w:tmpl w:val="8208D980"/>
    <w:lvl w:ilvl="0" w:tplc="A2E6E1E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E9AC1690">
      <w:numFmt w:val="bullet"/>
      <w:lvlText w:val="•"/>
      <w:lvlJc w:val="left"/>
      <w:pPr>
        <w:ind w:left="441" w:hanging="217"/>
      </w:pPr>
      <w:rPr>
        <w:rFonts w:hint="default"/>
        <w:lang w:val="en-GB" w:eastAsia="en-GB" w:bidi="en-GB"/>
      </w:rPr>
    </w:lvl>
    <w:lvl w:ilvl="2" w:tplc="EBBE8078">
      <w:numFmt w:val="bullet"/>
      <w:lvlText w:val="•"/>
      <w:lvlJc w:val="left"/>
      <w:pPr>
        <w:ind w:left="583" w:hanging="217"/>
      </w:pPr>
      <w:rPr>
        <w:rFonts w:hint="default"/>
        <w:lang w:val="en-GB" w:eastAsia="en-GB" w:bidi="en-GB"/>
      </w:rPr>
    </w:lvl>
    <w:lvl w:ilvl="3" w:tplc="DEF02416">
      <w:numFmt w:val="bullet"/>
      <w:lvlText w:val="•"/>
      <w:lvlJc w:val="left"/>
      <w:pPr>
        <w:ind w:left="725" w:hanging="217"/>
      </w:pPr>
      <w:rPr>
        <w:rFonts w:hint="default"/>
        <w:lang w:val="en-GB" w:eastAsia="en-GB" w:bidi="en-GB"/>
      </w:rPr>
    </w:lvl>
    <w:lvl w:ilvl="4" w:tplc="C0C6F168">
      <w:numFmt w:val="bullet"/>
      <w:lvlText w:val="•"/>
      <w:lvlJc w:val="left"/>
      <w:pPr>
        <w:ind w:left="867" w:hanging="217"/>
      </w:pPr>
      <w:rPr>
        <w:rFonts w:hint="default"/>
        <w:lang w:val="en-GB" w:eastAsia="en-GB" w:bidi="en-GB"/>
      </w:rPr>
    </w:lvl>
    <w:lvl w:ilvl="5" w:tplc="B6127BF2">
      <w:numFmt w:val="bullet"/>
      <w:lvlText w:val="•"/>
      <w:lvlJc w:val="left"/>
      <w:pPr>
        <w:ind w:left="1009" w:hanging="217"/>
      </w:pPr>
      <w:rPr>
        <w:rFonts w:hint="default"/>
        <w:lang w:val="en-GB" w:eastAsia="en-GB" w:bidi="en-GB"/>
      </w:rPr>
    </w:lvl>
    <w:lvl w:ilvl="6" w:tplc="5360ED40">
      <w:numFmt w:val="bullet"/>
      <w:lvlText w:val="•"/>
      <w:lvlJc w:val="left"/>
      <w:pPr>
        <w:ind w:left="1151" w:hanging="217"/>
      </w:pPr>
      <w:rPr>
        <w:rFonts w:hint="default"/>
        <w:lang w:val="en-GB" w:eastAsia="en-GB" w:bidi="en-GB"/>
      </w:rPr>
    </w:lvl>
    <w:lvl w:ilvl="7" w:tplc="62D63B92">
      <w:numFmt w:val="bullet"/>
      <w:lvlText w:val="•"/>
      <w:lvlJc w:val="left"/>
      <w:pPr>
        <w:ind w:left="1293" w:hanging="217"/>
      </w:pPr>
      <w:rPr>
        <w:rFonts w:hint="default"/>
        <w:lang w:val="en-GB" w:eastAsia="en-GB" w:bidi="en-GB"/>
      </w:rPr>
    </w:lvl>
    <w:lvl w:ilvl="8" w:tplc="BCA6C876">
      <w:numFmt w:val="bullet"/>
      <w:lvlText w:val="•"/>
      <w:lvlJc w:val="left"/>
      <w:pPr>
        <w:ind w:left="1435" w:hanging="217"/>
      </w:pPr>
      <w:rPr>
        <w:rFonts w:hint="default"/>
        <w:lang w:val="en-GB" w:eastAsia="en-GB" w:bidi="en-GB"/>
      </w:rPr>
    </w:lvl>
  </w:abstractNum>
  <w:abstractNum w:abstractNumId="75" w15:restartNumberingAfterBreak="0">
    <w:nsid w:val="06A521A7"/>
    <w:multiLevelType w:val="hybridMultilevel"/>
    <w:tmpl w:val="94889A22"/>
    <w:lvl w:ilvl="0" w:tplc="880C9E2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1F0D49E">
      <w:numFmt w:val="bullet"/>
      <w:lvlText w:val="•"/>
      <w:lvlJc w:val="left"/>
      <w:pPr>
        <w:ind w:left="441" w:hanging="217"/>
      </w:pPr>
      <w:rPr>
        <w:rFonts w:hint="default"/>
        <w:lang w:val="en-GB" w:eastAsia="en-GB" w:bidi="en-GB"/>
      </w:rPr>
    </w:lvl>
    <w:lvl w:ilvl="2" w:tplc="5F50EC9A">
      <w:numFmt w:val="bullet"/>
      <w:lvlText w:val="•"/>
      <w:lvlJc w:val="left"/>
      <w:pPr>
        <w:ind w:left="583" w:hanging="217"/>
      </w:pPr>
      <w:rPr>
        <w:rFonts w:hint="default"/>
        <w:lang w:val="en-GB" w:eastAsia="en-GB" w:bidi="en-GB"/>
      </w:rPr>
    </w:lvl>
    <w:lvl w:ilvl="3" w:tplc="97BA4514">
      <w:numFmt w:val="bullet"/>
      <w:lvlText w:val="•"/>
      <w:lvlJc w:val="left"/>
      <w:pPr>
        <w:ind w:left="725" w:hanging="217"/>
      </w:pPr>
      <w:rPr>
        <w:rFonts w:hint="default"/>
        <w:lang w:val="en-GB" w:eastAsia="en-GB" w:bidi="en-GB"/>
      </w:rPr>
    </w:lvl>
    <w:lvl w:ilvl="4" w:tplc="A2CE3272">
      <w:numFmt w:val="bullet"/>
      <w:lvlText w:val="•"/>
      <w:lvlJc w:val="left"/>
      <w:pPr>
        <w:ind w:left="867" w:hanging="217"/>
      </w:pPr>
      <w:rPr>
        <w:rFonts w:hint="default"/>
        <w:lang w:val="en-GB" w:eastAsia="en-GB" w:bidi="en-GB"/>
      </w:rPr>
    </w:lvl>
    <w:lvl w:ilvl="5" w:tplc="AE7C3B20">
      <w:numFmt w:val="bullet"/>
      <w:lvlText w:val="•"/>
      <w:lvlJc w:val="left"/>
      <w:pPr>
        <w:ind w:left="1009" w:hanging="217"/>
      </w:pPr>
      <w:rPr>
        <w:rFonts w:hint="default"/>
        <w:lang w:val="en-GB" w:eastAsia="en-GB" w:bidi="en-GB"/>
      </w:rPr>
    </w:lvl>
    <w:lvl w:ilvl="6" w:tplc="A866E6FC">
      <w:numFmt w:val="bullet"/>
      <w:lvlText w:val="•"/>
      <w:lvlJc w:val="left"/>
      <w:pPr>
        <w:ind w:left="1151" w:hanging="217"/>
      </w:pPr>
      <w:rPr>
        <w:rFonts w:hint="default"/>
        <w:lang w:val="en-GB" w:eastAsia="en-GB" w:bidi="en-GB"/>
      </w:rPr>
    </w:lvl>
    <w:lvl w:ilvl="7" w:tplc="DF0EDF30">
      <w:numFmt w:val="bullet"/>
      <w:lvlText w:val="•"/>
      <w:lvlJc w:val="left"/>
      <w:pPr>
        <w:ind w:left="1293" w:hanging="217"/>
      </w:pPr>
      <w:rPr>
        <w:rFonts w:hint="default"/>
        <w:lang w:val="en-GB" w:eastAsia="en-GB" w:bidi="en-GB"/>
      </w:rPr>
    </w:lvl>
    <w:lvl w:ilvl="8" w:tplc="AE1284B4">
      <w:numFmt w:val="bullet"/>
      <w:lvlText w:val="•"/>
      <w:lvlJc w:val="left"/>
      <w:pPr>
        <w:ind w:left="1435" w:hanging="217"/>
      </w:pPr>
      <w:rPr>
        <w:rFonts w:hint="default"/>
        <w:lang w:val="en-GB" w:eastAsia="en-GB" w:bidi="en-GB"/>
      </w:rPr>
    </w:lvl>
  </w:abstractNum>
  <w:abstractNum w:abstractNumId="76" w15:restartNumberingAfterBreak="0">
    <w:nsid w:val="06BD223A"/>
    <w:multiLevelType w:val="hybridMultilevel"/>
    <w:tmpl w:val="7BE0A30E"/>
    <w:lvl w:ilvl="0" w:tplc="C6BE071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8FE02D44">
      <w:numFmt w:val="bullet"/>
      <w:lvlText w:val="•"/>
      <w:lvlJc w:val="left"/>
      <w:pPr>
        <w:ind w:left="892" w:hanging="217"/>
      </w:pPr>
      <w:rPr>
        <w:rFonts w:hint="default"/>
        <w:lang w:val="en-GB" w:eastAsia="en-GB" w:bidi="en-GB"/>
      </w:rPr>
    </w:lvl>
    <w:lvl w:ilvl="2" w:tplc="0C10FF70">
      <w:numFmt w:val="bullet"/>
      <w:lvlText w:val="•"/>
      <w:lvlJc w:val="left"/>
      <w:pPr>
        <w:ind w:left="1485" w:hanging="217"/>
      </w:pPr>
      <w:rPr>
        <w:rFonts w:hint="default"/>
        <w:lang w:val="en-GB" w:eastAsia="en-GB" w:bidi="en-GB"/>
      </w:rPr>
    </w:lvl>
    <w:lvl w:ilvl="3" w:tplc="31E2F372">
      <w:numFmt w:val="bullet"/>
      <w:lvlText w:val="•"/>
      <w:lvlJc w:val="left"/>
      <w:pPr>
        <w:ind w:left="2077" w:hanging="217"/>
      </w:pPr>
      <w:rPr>
        <w:rFonts w:hint="default"/>
        <w:lang w:val="en-GB" w:eastAsia="en-GB" w:bidi="en-GB"/>
      </w:rPr>
    </w:lvl>
    <w:lvl w:ilvl="4" w:tplc="0AFEF7FC">
      <w:numFmt w:val="bullet"/>
      <w:lvlText w:val="•"/>
      <w:lvlJc w:val="left"/>
      <w:pPr>
        <w:ind w:left="2670" w:hanging="217"/>
      </w:pPr>
      <w:rPr>
        <w:rFonts w:hint="default"/>
        <w:lang w:val="en-GB" w:eastAsia="en-GB" w:bidi="en-GB"/>
      </w:rPr>
    </w:lvl>
    <w:lvl w:ilvl="5" w:tplc="3FC4C0C6">
      <w:numFmt w:val="bullet"/>
      <w:lvlText w:val="•"/>
      <w:lvlJc w:val="left"/>
      <w:pPr>
        <w:ind w:left="3263" w:hanging="217"/>
      </w:pPr>
      <w:rPr>
        <w:rFonts w:hint="default"/>
        <w:lang w:val="en-GB" w:eastAsia="en-GB" w:bidi="en-GB"/>
      </w:rPr>
    </w:lvl>
    <w:lvl w:ilvl="6" w:tplc="E0221892">
      <w:numFmt w:val="bullet"/>
      <w:lvlText w:val="•"/>
      <w:lvlJc w:val="left"/>
      <w:pPr>
        <w:ind w:left="3855" w:hanging="217"/>
      </w:pPr>
      <w:rPr>
        <w:rFonts w:hint="default"/>
        <w:lang w:val="en-GB" w:eastAsia="en-GB" w:bidi="en-GB"/>
      </w:rPr>
    </w:lvl>
    <w:lvl w:ilvl="7" w:tplc="EEE42028">
      <w:numFmt w:val="bullet"/>
      <w:lvlText w:val="•"/>
      <w:lvlJc w:val="left"/>
      <w:pPr>
        <w:ind w:left="4448" w:hanging="217"/>
      </w:pPr>
      <w:rPr>
        <w:rFonts w:hint="default"/>
        <w:lang w:val="en-GB" w:eastAsia="en-GB" w:bidi="en-GB"/>
      </w:rPr>
    </w:lvl>
    <w:lvl w:ilvl="8" w:tplc="E9621240">
      <w:numFmt w:val="bullet"/>
      <w:lvlText w:val="•"/>
      <w:lvlJc w:val="left"/>
      <w:pPr>
        <w:ind w:left="5040" w:hanging="217"/>
      </w:pPr>
      <w:rPr>
        <w:rFonts w:hint="default"/>
        <w:lang w:val="en-GB" w:eastAsia="en-GB" w:bidi="en-GB"/>
      </w:rPr>
    </w:lvl>
  </w:abstractNum>
  <w:abstractNum w:abstractNumId="77" w15:restartNumberingAfterBreak="0">
    <w:nsid w:val="06ED6250"/>
    <w:multiLevelType w:val="hybridMultilevel"/>
    <w:tmpl w:val="D0D865EA"/>
    <w:lvl w:ilvl="0" w:tplc="3B9E8B9A">
      <w:numFmt w:val="bullet"/>
      <w:lvlText w:val="•"/>
      <w:lvlJc w:val="left"/>
      <w:pPr>
        <w:ind w:left="300" w:hanging="217"/>
      </w:pPr>
      <w:rPr>
        <w:rFonts w:ascii="Arial" w:eastAsia="Arial" w:hAnsi="Arial" w:cs="Arial" w:hint="default"/>
        <w:color w:val="231F20"/>
        <w:w w:val="102"/>
        <w:sz w:val="17"/>
        <w:szCs w:val="17"/>
        <w:lang w:val="en-GB" w:eastAsia="en-GB" w:bidi="en-GB"/>
      </w:rPr>
    </w:lvl>
    <w:lvl w:ilvl="1" w:tplc="15FA5DD6">
      <w:numFmt w:val="bullet"/>
      <w:lvlText w:val="•"/>
      <w:lvlJc w:val="left"/>
      <w:pPr>
        <w:ind w:left="892" w:hanging="217"/>
      </w:pPr>
      <w:rPr>
        <w:rFonts w:hint="default"/>
        <w:lang w:val="en-GB" w:eastAsia="en-GB" w:bidi="en-GB"/>
      </w:rPr>
    </w:lvl>
    <w:lvl w:ilvl="2" w:tplc="67721198">
      <w:numFmt w:val="bullet"/>
      <w:lvlText w:val="•"/>
      <w:lvlJc w:val="left"/>
      <w:pPr>
        <w:ind w:left="1484" w:hanging="217"/>
      </w:pPr>
      <w:rPr>
        <w:rFonts w:hint="default"/>
        <w:lang w:val="en-GB" w:eastAsia="en-GB" w:bidi="en-GB"/>
      </w:rPr>
    </w:lvl>
    <w:lvl w:ilvl="3" w:tplc="4976876A">
      <w:numFmt w:val="bullet"/>
      <w:lvlText w:val="•"/>
      <w:lvlJc w:val="left"/>
      <w:pPr>
        <w:ind w:left="2076" w:hanging="217"/>
      </w:pPr>
      <w:rPr>
        <w:rFonts w:hint="default"/>
        <w:lang w:val="en-GB" w:eastAsia="en-GB" w:bidi="en-GB"/>
      </w:rPr>
    </w:lvl>
    <w:lvl w:ilvl="4" w:tplc="8DB6F47A">
      <w:numFmt w:val="bullet"/>
      <w:lvlText w:val="•"/>
      <w:lvlJc w:val="left"/>
      <w:pPr>
        <w:ind w:left="2668" w:hanging="217"/>
      </w:pPr>
      <w:rPr>
        <w:rFonts w:hint="default"/>
        <w:lang w:val="en-GB" w:eastAsia="en-GB" w:bidi="en-GB"/>
      </w:rPr>
    </w:lvl>
    <w:lvl w:ilvl="5" w:tplc="9174AD44">
      <w:numFmt w:val="bullet"/>
      <w:lvlText w:val="•"/>
      <w:lvlJc w:val="left"/>
      <w:pPr>
        <w:ind w:left="3260" w:hanging="217"/>
      </w:pPr>
      <w:rPr>
        <w:rFonts w:hint="default"/>
        <w:lang w:val="en-GB" w:eastAsia="en-GB" w:bidi="en-GB"/>
      </w:rPr>
    </w:lvl>
    <w:lvl w:ilvl="6" w:tplc="9A24E976">
      <w:numFmt w:val="bullet"/>
      <w:lvlText w:val="•"/>
      <w:lvlJc w:val="left"/>
      <w:pPr>
        <w:ind w:left="3852" w:hanging="217"/>
      </w:pPr>
      <w:rPr>
        <w:rFonts w:hint="default"/>
        <w:lang w:val="en-GB" w:eastAsia="en-GB" w:bidi="en-GB"/>
      </w:rPr>
    </w:lvl>
    <w:lvl w:ilvl="7" w:tplc="0E8A0794">
      <w:numFmt w:val="bullet"/>
      <w:lvlText w:val="•"/>
      <w:lvlJc w:val="left"/>
      <w:pPr>
        <w:ind w:left="4444" w:hanging="217"/>
      </w:pPr>
      <w:rPr>
        <w:rFonts w:hint="default"/>
        <w:lang w:val="en-GB" w:eastAsia="en-GB" w:bidi="en-GB"/>
      </w:rPr>
    </w:lvl>
    <w:lvl w:ilvl="8" w:tplc="170C6D7E">
      <w:numFmt w:val="bullet"/>
      <w:lvlText w:val="•"/>
      <w:lvlJc w:val="left"/>
      <w:pPr>
        <w:ind w:left="5036" w:hanging="217"/>
      </w:pPr>
      <w:rPr>
        <w:rFonts w:hint="default"/>
        <w:lang w:val="en-GB" w:eastAsia="en-GB" w:bidi="en-GB"/>
      </w:rPr>
    </w:lvl>
  </w:abstractNum>
  <w:abstractNum w:abstractNumId="78" w15:restartNumberingAfterBreak="0">
    <w:nsid w:val="06F91E5F"/>
    <w:multiLevelType w:val="hybridMultilevel"/>
    <w:tmpl w:val="8F0A0C84"/>
    <w:lvl w:ilvl="0" w:tplc="7B200D4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D907436">
      <w:numFmt w:val="bullet"/>
      <w:lvlText w:val="•"/>
      <w:lvlJc w:val="left"/>
      <w:pPr>
        <w:ind w:left="1061" w:hanging="217"/>
      </w:pPr>
      <w:rPr>
        <w:rFonts w:hint="default"/>
        <w:lang w:val="en-GB" w:eastAsia="en-GB" w:bidi="en-GB"/>
      </w:rPr>
    </w:lvl>
    <w:lvl w:ilvl="2" w:tplc="D3BA41FA">
      <w:numFmt w:val="bullet"/>
      <w:lvlText w:val="•"/>
      <w:lvlJc w:val="left"/>
      <w:pPr>
        <w:ind w:left="1823" w:hanging="217"/>
      </w:pPr>
      <w:rPr>
        <w:rFonts w:hint="default"/>
        <w:lang w:val="en-GB" w:eastAsia="en-GB" w:bidi="en-GB"/>
      </w:rPr>
    </w:lvl>
    <w:lvl w:ilvl="3" w:tplc="8D42C18A">
      <w:numFmt w:val="bullet"/>
      <w:lvlText w:val="•"/>
      <w:lvlJc w:val="left"/>
      <w:pPr>
        <w:ind w:left="2585" w:hanging="217"/>
      </w:pPr>
      <w:rPr>
        <w:rFonts w:hint="default"/>
        <w:lang w:val="en-GB" w:eastAsia="en-GB" w:bidi="en-GB"/>
      </w:rPr>
    </w:lvl>
    <w:lvl w:ilvl="4" w:tplc="6C94F444">
      <w:numFmt w:val="bullet"/>
      <w:lvlText w:val="•"/>
      <w:lvlJc w:val="left"/>
      <w:pPr>
        <w:ind w:left="3346" w:hanging="217"/>
      </w:pPr>
      <w:rPr>
        <w:rFonts w:hint="default"/>
        <w:lang w:val="en-GB" w:eastAsia="en-GB" w:bidi="en-GB"/>
      </w:rPr>
    </w:lvl>
    <w:lvl w:ilvl="5" w:tplc="9D9A96CC">
      <w:numFmt w:val="bullet"/>
      <w:lvlText w:val="•"/>
      <w:lvlJc w:val="left"/>
      <w:pPr>
        <w:ind w:left="4108" w:hanging="217"/>
      </w:pPr>
      <w:rPr>
        <w:rFonts w:hint="default"/>
        <w:lang w:val="en-GB" w:eastAsia="en-GB" w:bidi="en-GB"/>
      </w:rPr>
    </w:lvl>
    <w:lvl w:ilvl="6" w:tplc="80B08680">
      <w:numFmt w:val="bullet"/>
      <w:lvlText w:val="•"/>
      <w:lvlJc w:val="left"/>
      <w:pPr>
        <w:ind w:left="4870" w:hanging="217"/>
      </w:pPr>
      <w:rPr>
        <w:rFonts w:hint="default"/>
        <w:lang w:val="en-GB" w:eastAsia="en-GB" w:bidi="en-GB"/>
      </w:rPr>
    </w:lvl>
    <w:lvl w:ilvl="7" w:tplc="432A03EC">
      <w:numFmt w:val="bullet"/>
      <w:lvlText w:val="•"/>
      <w:lvlJc w:val="left"/>
      <w:pPr>
        <w:ind w:left="5631" w:hanging="217"/>
      </w:pPr>
      <w:rPr>
        <w:rFonts w:hint="default"/>
        <w:lang w:val="en-GB" w:eastAsia="en-GB" w:bidi="en-GB"/>
      </w:rPr>
    </w:lvl>
    <w:lvl w:ilvl="8" w:tplc="BBC89718">
      <w:numFmt w:val="bullet"/>
      <w:lvlText w:val="•"/>
      <w:lvlJc w:val="left"/>
      <w:pPr>
        <w:ind w:left="6393" w:hanging="217"/>
      </w:pPr>
      <w:rPr>
        <w:rFonts w:hint="default"/>
        <w:lang w:val="en-GB" w:eastAsia="en-GB" w:bidi="en-GB"/>
      </w:rPr>
    </w:lvl>
  </w:abstractNum>
  <w:abstractNum w:abstractNumId="79" w15:restartNumberingAfterBreak="0">
    <w:nsid w:val="070F7D1C"/>
    <w:multiLevelType w:val="hybridMultilevel"/>
    <w:tmpl w:val="032283EC"/>
    <w:lvl w:ilvl="0" w:tplc="69C8A57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D9028FE">
      <w:numFmt w:val="bullet"/>
      <w:lvlText w:val="•"/>
      <w:lvlJc w:val="left"/>
      <w:pPr>
        <w:ind w:left="892" w:hanging="217"/>
      </w:pPr>
      <w:rPr>
        <w:rFonts w:hint="default"/>
        <w:lang w:val="en-GB" w:eastAsia="en-GB" w:bidi="en-GB"/>
      </w:rPr>
    </w:lvl>
    <w:lvl w:ilvl="2" w:tplc="04D22CEA">
      <w:numFmt w:val="bullet"/>
      <w:lvlText w:val="•"/>
      <w:lvlJc w:val="left"/>
      <w:pPr>
        <w:ind w:left="1485" w:hanging="217"/>
      </w:pPr>
      <w:rPr>
        <w:rFonts w:hint="default"/>
        <w:lang w:val="en-GB" w:eastAsia="en-GB" w:bidi="en-GB"/>
      </w:rPr>
    </w:lvl>
    <w:lvl w:ilvl="3" w:tplc="761A4082">
      <w:numFmt w:val="bullet"/>
      <w:lvlText w:val="•"/>
      <w:lvlJc w:val="left"/>
      <w:pPr>
        <w:ind w:left="2077" w:hanging="217"/>
      </w:pPr>
      <w:rPr>
        <w:rFonts w:hint="default"/>
        <w:lang w:val="en-GB" w:eastAsia="en-GB" w:bidi="en-GB"/>
      </w:rPr>
    </w:lvl>
    <w:lvl w:ilvl="4" w:tplc="40BA7162">
      <w:numFmt w:val="bullet"/>
      <w:lvlText w:val="•"/>
      <w:lvlJc w:val="left"/>
      <w:pPr>
        <w:ind w:left="2670" w:hanging="217"/>
      </w:pPr>
      <w:rPr>
        <w:rFonts w:hint="default"/>
        <w:lang w:val="en-GB" w:eastAsia="en-GB" w:bidi="en-GB"/>
      </w:rPr>
    </w:lvl>
    <w:lvl w:ilvl="5" w:tplc="4518385A">
      <w:numFmt w:val="bullet"/>
      <w:lvlText w:val="•"/>
      <w:lvlJc w:val="left"/>
      <w:pPr>
        <w:ind w:left="3263" w:hanging="217"/>
      </w:pPr>
      <w:rPr>
        <w:rFonts w:hint="default"/>
        <w:lang w:val="en-GB" w:eastAsia="en-GB" w:bidi="en-GB"/>
      </w:rPr>
    </w:lvl>
    <w:lvl w:ilvl="6" w:tplc="2976D8DA">
      <w:numFmt w:val="bullet"/>
      <w:lvlText w:val="•"/>
      <w:lvlJc w:val="left"/>
      <w:pPr>
        <w:ind w:left="3855" w:hanging="217"/>
      </w:pPr>
      <w:rPr>
        <w:rFonts w:hint="default"/>
        <w:lang w:val="en-GB" w:eastAsia="en-GB" w:bidi="en-GB"/>
      </w:rPr>
    </w:lvl>
    <w:lvl w:ilvl="7" w:tplc="D5ACE732">
      <w:numFmt w:val="bullet"/>
      <w:lvlText w:val="•"/>
      <w:lvlJc w:val="left"/>
      <w:pPr>
        <w:ind w:left="4448" w:hanging="217"/>
      </w:pPr>
      <w:rPr>
        <w:rFonts w:hint="default"/>
        <w:lang w:val="en-GB" w:eastAsia="en-GB" w:bidi="en-GB"/>
      </w:rPr>
    </w:lvl>
    <w:lvl w:ilvl="8" w:tplc="02CC90FC">
      <w:numFmt w:val="bullet"/>
      <w:lvlText w:val="•"/>
      <w:lvlJc w:val="left"/>
      <w:pPr>
        <w:ind w:left="5040" w:hanging="217"/>
      </w:pPr>
      <w:rPr>
        <w:rFonts w:hint="default"/>
        <w:lang w:val="en-GB" w:eastAsia="en-GB" w:bidi="en-GB"/>
      </w:rPr>
    </w:lvl>
  </w:abstractNum>
  <w:abstractNum w:abstractNumId="80" w15:restartNumberingAfterBreak="0">
    <w:nsid w:val="07242B1C"/>
    <w:multiLevelType w:val="hybridMultilevel"/>
    <w:tmpl w:val="09EE3ABC"/>
    <w:lvl w:ilvl="0" w:tplc="B2527856">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D67E270E">
      <w:numFmt w:val="bullet"/>
      <w:lvlText w:val="•"/>
      <w:lvlJc w:val="left"/>
      <w:pPr>
        <w:ind w:left="467" w:hanging="217"/>
      </w:pPr>
      <w:rPr>
        <w:rFonts w:hint="default"/>
        <w:lang w:val="en-GB" w:eastAsia="en-GB" w:bidi="en-GB"/>
      </w:rPr>
    </w:lvl>
    <w:lvl w:ilvl="2" w:tplc="91805FF4">
      <w:numFmt w:val="bullet"/>
      <w:lvlText w:val="•"/>
      <w:lvlJc w:val="left"/>
      <w:pPr>
        <w:ind w:left="634" w:hanging="217"/>
      </w:pPr>
      <w:rPr>
        <w:rFonts w:hint="default"/>
        <w:lang w:val="en-GB" w:eastAsia="en-GB" w:bidi="en-GB"/>
      </w:rPr>
    </w:lvl>
    <w:lvl w:ilvl="3" w:tplc="81C28338">
      <w:numFmt w:val="bullet"/>
      <w:lvlText w:val="•"/>
      <w:lvlJc w:val="left"/>
      <w:pPr>
        <w:ind w:left="802" w:hanging="217"/>
      </w:pPr>
      <w:rPr>
        <w:rFonts w:hint="default"/>
        <w:lang w:val="en-GB" w:eastAsia="en-GB" w:bidi="en-GB"/>
      </w:rPr>
    </w:lvl>
    <w:lvl w:ilvl="4" w:tplc="875A32D2">
      <w:numFmt w:val="bullet"/>
      <w:lvlText w:val="•"/>
      <w:lvlJc w:val="left"/>
      <w:pPr>
        <w:ind w:left="969" w:hanging="217"/>
      </w:pPr>
      <w:rPr>
        <w:rFonts w:hint="default"/>
        <w:lang w:val="en-GB" w:eastAsia="en-GB" w:bidi="en-GB"/>
      </w:rPr>
    </w:lvl>
    <w:lvl w:ilvl="5" w:tplc="0D024510">
      <w:numFmt w:val="bullet"/>
      <w:lvlText w:val="•"/>
      <w:lvlJc w:val="left"/>
      <w:pPr>
        <w:ind w:left="1137" w:hanging="217"/>
      </w:pPr>
      <w:rPr>
        <w:rFonts w:hint="default"/>
        <w:lang w:val="en-GB" w:eastAsia="en-GB" w:bidi="en-GB"/>
      </w:rPr>
    </w:lvl>
    <w:lvl w:ilvl="6" w:tplc="C5F84192">
      <w:numFmt w:val="bullet"/>
      <w:lvlText w:val="•"/>
      <w:lvlJc w:val="left"/>
      <w:pPr>
        <w:ind w:left="1304" w:hanging="217"/>
      </w:pPr>
      <w:rPr>
        <w:rFonts w:hint="default"/>
        <w:lang w:val="en-GB" w:eastAsia="en-GB" w:bidi="en-GB"/>
      </w:rPr>
    </w:lvl>
    <w:lvl w:ilvl="7" w:tplc="F0929AA6">
      <w:numFmt w:val="bullet"/>
      <w:lvlText w:val="•"/>
      <w:lvlJc w:val="left"/>
      <w:pPr>
        <w:ind w:left="1471" w:hanging="217"/>
      </w:pPr>
      <w:rPr>
        <w:rFonts w:hint="default"/>
        <w:lang w:val="en-GB" w:eastAsia="en-GB" w:bidi="en-GB"/>
      </w:rPr>
    </w:lvl>
    <w:lvl w:ilvl="8" w:tplc="616E414A">
      <w:numFmt w:val="bullet"/>
      <w:lvlText w:val="•"/>
      <w:lvlJc w:val="left"/>
      <w:pPr>
        <w:ind w:left="1639" w:hanging="217"/>
      </w:pPr>
      <w:rPr>
        <w:rFonts w:hint="default"/>
        <w:lang w:val="en-GB" w:eastAsia="en-GB" w:bidi="en-GB"/>
      </w:rPr>
    </w:lvl>
  </w:abstractNum>
  <w:abstractNum w:abstractNumId="81" w15:restartNumberingAfterBreak="0">
    <w:nsid w:val="07352FD9"/>
    <w:multiLevelType w:val="hybridMultilevel"/>
    <w:tmpl w:val="84CA9E62"/>
    <w:lvl w:ilvl="0" w:tplc="8F3EB26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9CC6AE0">
      <w:numFmt w:val="bullet"/>
      <w:lvlText w:val="•"/>
      <w:lvlJc w:val="left"/>
      <w:pPr>
        <w:ind w:left="892" w:hanging="217"/>
      </w:pPr>
      <w:rPr>
        <w:rFonts w:hint="default"/>
        <w:lang w:val="en-GB" w:eastAsia="en-GB" w:bidi="en-GB"/>
      </w:rPr>
    </w:lvl>
    <w:lvl w:ilvl="2" w:tplc="A208863A">
      <w:numFmt w:val="bullet"/>
      <w:lvlText w:val="•"/>
      <w:lvlJc w:val="left"/>
      <w:pPr>
        <w:ind w:left="1485" w:hanging="217"/>
      </w:pPr>
      <w:rPr>
        <w:rFonts w:hint="default"/>
        <w:lang w:val="en-GB" w:eastAsia="en-GB" w:bidi="en-GB"/>
      </w:rPr>
    </w:lvl>
    <w:lvl w:ilvl="3" w:tplc="03EE3398">
      <w:numFmt w:val="bullet"/>
      <w:lvlText w:val="•"/>
      <w:lvlJc w:val="left"/>
      <w:pPr>
        <w:ind w:left="2077" w:hanging="217"/>
      </w:pPr>
      <w:rPr>
        <w:rFonts w:hint="default"/>
        <w:lang w:val="en-GB" w:eastAsia="en-GB" w:bidi="en-GB"/>
      </w:rPr>
    </w:lvl>
    <w:lvl w:ilvl="4" w:tplc="D6ECA4D0">
      <w:numFmt w:val="bullet"/>
      <w:lvlText w:val="•"/>
      <w:lvlJc w:val="left"/>
      <w:pPr>
        <w:ind w:left="2670" w:hanging="217"/>
      </w:pPr>
      <w:rPr>
        <w:rFonts w:hint="default"/>
        <w:lang w:val="en-GB" w:eastAsia="en-GB" w:bidi="en-GB"/>
      </w:rPr>
    </w:lvl>
    <w:lvl w:ilvl="5" w:tplc="39C226A0">
      <w:numFmt w:val="bullet"/>
      <w:lvlText w:val="•"/>
      <w:lvlJc w:val="left"/>
      <w:pPr>
        <w:ind w:left="3263" w:hanging="217"/>
      </w:pPr>
      <w:rPr>
        <w:rFonts w:hint="default"/>
        <w:lang w:val="en-GB" w:eastAsia="en-GB" w:bidi="en-GB"/>
      </w:rPr>
    </w:lvl>
    <w:lvl w:ilvl="6" w:tplc="313057FC">
      <w:numFmt w:val="bullet"/>
      <w:lvlText w:val="•"/>
      <w:lvlJc w:val="left"/>
      <w:pPr>
        <w:ind w:left="3855" w:hanging="217"/>
      </w:pPr>
      <w:rPr>
        <w:rFonts w:hint="default"/>
        <w:lang w:val="en-GB" w:eastAsia="en-GB" w:bidi="en-GB"/>
      </w:rPr>
    </w:lvl>
    <w:lvl w:ilvl="7" w:tplc="C65C2944">
      <w:numFmt w:val="bullet"/>
      <w:lvlText w:val="•"/>
      <w:lvlJc w:val="left"/>
      <w:pPr>
        <w:ind w:left="4448" w:hanging="217"/>
      </w:pPr>
      <w:rPr>
        <w:rFonts w:hint="default"/>
        <w:lang w:val="en-GB" w:eastAsia="en-GB" w:bidi="en-GB"/>
      </w:rPr>
    </w:lvl>
    <w:lvl w:ilvl="8" w:tplc="9956FF78">
      <w:numFmt w:val="bullet"/>
      <w:lvlText w:val="•"/>
      <w:lvlJc w:val="left"/>
      <w:pPr>
        <w:ind w:left="5040" w:hanging="217"/>
      </w:pPr>
      <w:rPr>
        <w:rFonts w:hint="default"/>
        <w:lang w:val="en-GB" w:eastAsia="en-GB" w:bidi="en-GB"/>
      </w:rPr>
    </w:lvl>
  </w:abstractNum>
  <w:abstractNum w:abstractNumId="82" w15:restartNumberingAfterBreak="0">
    <w:nsid w:val="07464665"/>
    <w:multiLevelType w:val="hybridMultilevel"/>
    <w:tmpl w:val="98B6E9DE"/>
    <w:lvl w:ilvl="0" w:tplc="7B807E2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77CE574">
      <w:numFmt w:val="bullet"/>
      <w:lvlText w:val="•"/>
      <w:lvlJc w:val="left"/>
      <w:pPr>
        <w:ind w:left="1061" w:hanging="217"/>
      </w:pPr>
      <w:rPr>
        <w:rFonts w:hint="default"/>
        <w:lang w:val="en-GB" w:eastAsia="en-GB" w:bidi="en-GB"/>
      </w:rPr>
    </w:lvl>
    <w:lvl w:ilvl="2" w:tplc="563CA0E6">
      <w:numFmt w:val="bullet"/>
      <w:lvlText w:val="•"/>
      <w:lvlJc w:val="left"/>
      <w:pPr>
        <w:ind w:left="1823" w:hanging="217"/>
      </w:pPr>
      <w:rPr>
        <w:rFonts w:hint="default"/>
        <w:lang w:val="en-GB" w:eastAsia="en-GB" w:bidi="en-GB"/>
      </w:rPr>
    </w:lvl>
    <w:lvl w:ilvl="3" w:tplc="122A56D6">
      <w:numFmt w:val="bullet"/>
      <w:lvlText w:val="•"/>
      <w:lvlJc w:val="left"/>
      <w:pPr>
        <w:ind w:left="2585" w:hanging="217"/>
      </w:pPr>
      <w:rPr>
        <w:rFonts w:hint="default"/>
        <w:lang w:val="en-GB" w:eastAsia="en-GB" w:bidi="en-GB"/>
      </w:rPr>
    </w:lvl>
    <w:lvl w:ilvl="4" w:tplc="C2364760">
      <w:numFmt w:val="bullet"/>
      <w:lvlText w:val="•"/>
      <w:lvlJc w:val="left"/>
      <w:pPr>
        <w:ind w:left="3346" w:hanging="217"/>
      </w:pPr>
      <w:rPr>
        <w:rFonts w:hint="default"/>
        <w:lang w:val="en-GB" w:eastAsia="en-GB" w:bidi="en-GB"/>
      </w:rPr>
    </w:lvl>
    <w:lvl w:ilvl="5" w:tplc="A5345C04">
      <w:numFmt w:val="bullet"/>
      <w:lvlText w:val="•"/>
      <w:lvlJc w:val="left"/>
      <w:pPr>
        <w:ind w:left="4108" w:hanging="217"/>
      </w:pPr>
      <w:rPr>
        <w:rFonts w:hint="default"/>
        <w:lang w:val="en-GB" w:eastAsia="en-GB" w:bidi="en-GB"/>
      </w:rPr>
    </w:lvl>
    <w:lvl w:ilvl="6" w:tplc="634842F4">
      <w:numFmt w:val="bullet"/>
      <w:lvlText w:val="•"/>
      <w:lvlJc w:val="left"/>
      <w:pPr>
        <w:ind w:left="4870" w:hanging="217"/>
      </w:pPr>
      <w:rPr>
        <w:rFonts w:hint="default"/>
        <w:lang w:val="en-GB" w:eastAsia="en-GB" w:bidi="en-GB"/>
      </w:rPr>
    </w:lvl>
    <w:lvl w:ilvl="7" w:tplc="EEAC0530">
      <w:numFmt w:val="bullet"/>
      <w:lvlText w:val="•"/>
      <w:lvlJc w:val="left"/>
      <w:pPr>
        <w:ind w:left="5631" w:hanging="217"/>
      </w:pPr>
      <w:rPr>
        <w:rFonts w:hint="default"/>
        <w:lang w:val="en-GB" w:eastAsia="en-GB" w:bidi="en-GB"/>
      </w:rPr>
    </w:lvl>
    <w:lvl w:ilvl="8" w:tplc="50960ED8">
      <w:numFmt w:val="bullet"/>
      <w:lvlText w:val="•"/>
      <w:lvlJc w:val="left"/>
      <w:pPr>
        <w:ind w:left="6393" w:hanging="217"/>
      </w:pPr>
      <w:rPr>
        <w:rFonts w:hint="default"/>
        <w:lang w:val="en-GB" w:eastAsia="en-GB" w:bidi="en-GB"/>
      </w:rPr>
    </w:lvl>
  </w:abstractNum>
  <w:abstractNum w:abstractNumId="83" w15:restartNumberingAfterBreak="0">
    <w:nsid w:val="075034FB"/>
    <w:multiLevelType w:val="hybridMultilevel"/>
    <w:tmpl w:val="93A6E5AA"/>
    <w:lvl w:ilvl="0" w:tplc="44AC0D6A">
      <w:numFmt w:val="bullet"/>
      <w:lvlText w:val="•"/>
      <w:lvlJc w:val="left"/>
      <w:pPr>
        <w:ind w:left="4006" w:hanging="217"/>
      </w:pPr>
      <w:rPr>
        <w:rFonts w:ascii="Arial" w:eastAsia="Arial" w:hAnsi="Arial" w:cs="Arial" w:hint="default"/>
        <w:color w:val="231F20"/>
        <w:spacing w:val="-1"/>
        <w:w w:val="100"/>
        <w:sz w:val="18"/>
        <w:szCs w:val="18"/>
        <w:lang w:val="en-GB" w:eastAsia="en-GB" w:bidi="en-GB"/>
      </w:rPr>
    </w:lvl>
    <w:lvl w:ilvl="1" w:tplc="D8025650">
      <w:numFmt w:val="bullet"/>
      <w:lvlText w:val="•"/>
      <w:lvlJc w:val="left"/>
      <w:pPr>
        <w:ind w:left="4415" w:hanging="217"/>
      </w:pPr>
      <w:rPr>
        <w:rFonts w:hint="default"/>
        <w:lang w:val="en-GB" w:eastAsia="en-GB" w:bidi="en-GB"/>
      </w:rPr>
    </w:lvl>
    <w:lvl w:ilvl="2" w:tplc="9E662D4C">
      <w:numFmt w:val="bullet"/>
      <w:lvlText w:val="•"/>
      <w:lvlJc w:val="left"/>
      <w:pPr>
        <w:ind w:left="4830" w:hanging="217"/>
      </w:pPr>
      <w:rPr>
        <w:rFonts w:hint="default"/>
        <w:lang w:val="en-GB" w:eastAsia="en-GB" w:bidi="en-GB"/>
      </w:rPr>
    </w:lvl>
    <w:lvl w:ilvl="3" w:tplc="2A7E77F6">
      <w:numFmt w:val="bullet"/>
      <w:lvlText w:val="•"/>
      <w:lvlJc w:val="left"/>
      <w:pPr>
        <w:ind w:left="5246" w:hanging="217"/>
      </w:pPr>
      <w:rPr>
        <w:rFonts w:hint="default"/>
        <w:lang w:val="en-GB" w:eastAsia="en-GB" w:bidi="en-GB"/>
      </w:rPr>
    </w:lvl>
    <w:lvl w:ilvl="4" w:tplc="B474535C">
      <w:numFmt w:val="bullet"/>
      <w:lvlText w:val="•"/>
      <w:lvlJc w:val="left"/>
      <w:pPr>
        <w:ind w:left="5661" w:hanging="217"/>
      </w:pPr>
      <w:rPr>
        <w:rFonts w:hint="default"/>
        <w:lang w:val="en-GB" w:eastAsia="en-GB" w:bidi="en-GB"/>
      </w:rPr>
    </w:lvl>
    <w:lvl w:ilvl="5" w:tplc="87321E58">
      <w:numFmt w:val="bullet"/>
      <w:lvlText w:val="•"/>
      <w:lvlJc w:val="left"/>
      <w:pPr>
        <w:ind w:left="6077" w:hanging="217"/>
      </w:pPr>
      <w:rPr>
        <w:rFonts w:hint="default"/>
        <w:lang w:val="en-GB" w:eastAsia="en-GB" w:bidi="en-GB"/>
      </w:rPr>
    </w:lvl>
    <w:lvl w:ilvl="6" w:tplc="730AA2F4">
      <w:numFmt w:val="bullet"/>
      <w:lvlText w:val="•"/>
      <w:lvlJc w:val="left"/>
      <w:pPr>
        <w:ind w:left="6492" w:hanging="217"/>
      </w:pPr>
      <w:rPr>
        <w:rFonts w:hint="default"/>
        <w:lang w:val="en-GB" w:eastAsia="en-GB" w:bidi="en-GB"/>
      </w:rPr>
    </w:lvl>
    <w:lvl w:ilvl="7" w:tplc="D96238DE">
      <w:numFmt w:val="bullet"/>
      <w:lvlText w:val="•"/>
      <w:lvlJc w:val="left"/>
      <w:pPr>
        <w:ind w:left="6907" w:hanging="217"/>
      </w:pPr>
      <w:rPr>
        <w:rFonts w:hint="default"/>
        <w:lang w:val="en-GB" w:eastAsia="en-GB" w:bidi="en-GB"/>
      </w:rPr>
    </w:lvl>
    <w:lvl w:ilvl="8" w:tplc="EA6CE2A6">
      <w:numFmt w:val="bullet"/>
      <w:lvlText w:val="•"/>
      <w:lvlJc w:val="left"/>
      <w:pPr>
        <w:ind w:left="7323" w:hanging="217"/>
      </w:pPr>
      <w:rPr>
        <w:rFonts w:hint="default"/>
        <w:lang w:val="en-GB" w:eastAsia="en-GB" w:bidi="en-GB"/>
      </w:rPr>
    </w:lvl>
  </w:abstractNum>
  <w:abstractNum w:abstractNumId="84" w15:restartNumberingAfterBreak="0">
    <w:nsid w:val="0754464C"/>
    <w:multiLevelType w:val="hybridMultilevel"/>
    <w:tmpl w:val="29283572"/>
    <w:lvl w:ilvl="0" w:tplc="BF9A2D2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2DEA2F4">
      <w:numFmt w:val="bullet"/>
      <w:lvlText w:val="•"/>
      <w:lvlJc w:val="left"/>
      <w:pPr>
        <w:ind w:left="473" w:hanging="217"/>
      </w:pPr>
      <w:rPr>
        <w:rFonts w:hint="default"/>
        <w:lang w:val="en-GB" w:eastAsia="en-GB" w:bidi="en-GB"/>
      </w:rPr>
    </w:lvl>
    <w:lvl w:ilvl="2" w:tplc="0B6C9CB2">
      <w:numFmt w:val="bullet"/>
      <w:lvlText w:val="•"/>
      <w:lvlJc w:val="left"/>
      <w:pPr>
        <w:ind w:left="646" w:hanging="217"/>
      </w:pPr>
      <w:rPr>
        <w:rFonts w:hint="default"/>
        <w:lang w:val="en-GB" w:eastAsia="en-GB" w:bidi="en-GB"/>
      </w:rPr>
    </w:lvl>
    <w:lvl w:ilvl="3" w:tplc="C89A3D58">
      <w:numFmt w:val="bullet"/>
      <w:lvlText w:val="•"/>
      <w:lvlJc w:val="left"/>
      <w:pPr>
        <w:ind w:left="819" w:hanging="217"/>
      </w:pPr>
      <w:rPr>
        <w:rFonts w:hint="default"/>
        <w:lang w:val="en-GB" w:eastAsia="en-GB" w:bidi="en-GB"/>
      </w:rPr>
    </w:lvl>
    <w:lvl w:ilvl="4" w:tplc="DBD4FCAA">
      <w:numFmt w:val="bullet"/>
      <w:lvlText w:val="•"/>
      <w:lvlJc w:val="left"/>
      <w:pPr>
        <w:ind w:left="992" w:hanging="217"/>
      </w:pPr>
      <w:rPr>
        <w:rFonts w:hint="default"/>
        <w:lang w:val="en-GB" w:eastAsia="en-GB" w:bidi="en-GB"/>
      </w:rPr>
    </w:lvl>
    <w:lvl w:ilvl="5" w:tplc="AF780F0A">
      <w:numFmt w:val="bullet"/>
      <w:lvlText w:val="•"/>
      <w:lvlJc w:val="left"/>
      <w:pPr>
        <w:ind w:left="1165" w:hanging="217"/>
      </w:pPr>
      <w:rPr>
        <w:rFonts w:hint="default"/>
        <w:lang w:val="en-GB" w:eastAsia="en-GB" w:bidi="en-GB"/>
      </w:rPr>
    </w:lvl>
    <w:lvl w:ilvl="6" w:tplc="5B867860">
      <w:numFmt w:val="bullet"/>
      <w:lvlText w:val="•"/>
      <w:lvlJc w:val="left"/>
      <w:pPr>
        <w:ind w:left="1338" w:hanging="217"/>
      </w:pPr>
      <w:rPr>
        <w:rFonts w:hint="default"/>
        <w:lang w:val="en-GB" w:eastAsia="en-GB" w:bidi="en-GB"/>
      </w:rPr>
    </w:lvl>
    <w:lvl w:ilvl="7" w:tplc="98D841D6">
      <w:numFmt w:val="bullet"/>
      <w:lvlText w:val="•"/>
      <w:lvlJc w:val="left"/>
      <w:pPr>
        <w:ind w:left="1511" w:hanging="217"/>
      </w:pPr>
      <w:rPr>
        <w:rFonts w:hint="default"/>
        <w:lang w:val="en-GB" w:eastAsia="en-GB" w:bidi="en-GB"/>
      </w:rPr>
    </w:lvl>
    <w:lvl w:ilvl="8" w:tplc="1DC8C2AC">
      <w:numFmt w:val="bullet"/>
      <w:lvlText w:val="•"/>
      <w:lvlJc w:val="left"/>
      <w:pPr>
        <w:ind w:left="1684" w:hanging="217"/>
      </w:pPr>
      <w:rPr>
        <w:rFonts w:hint="default"/>
        <w:lang w:val="en-GB" w:eastAsia="en-GB" w:bidi="en-GB"/>
      </w:rPr>
    </w:lvl>
  </w:abstractNum>
  <w:abstractNum w:abstractNumId="85" w15:restartNumberingAfterBreak="0">
    <w:nsid w:val="0782300A"/>
    <w:multiLevelType w:val="hybridMultilevel"/>
    <w:tmpl w:val="459E4A1E"/>
    <w:lvl w:ilvl="0" w:tplc="F244B0D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AC618CC">
      <w:numFmt w:val="bullet"/>
      <w:lvlText w:val="•"/>
      <w:lvlJc w:val="left"/>
      <w:pPr>
        <w:ind w:left="473" w:hanging="217"/>
      </w:pPr>
      <w:rPr>
        <w:rFonts w:hint="default"/>
        <w:lang w:val="en-GB" w:eastAsia="en-GB" w:bidi="en-GB"/>
      </w:rPr>
    </w:lvl>
    <w:lvl w:ilvl="2" w:tplc="B0007CB2">
      <w:numFmt w:val="bullet"/>
      <w:lvlText w:val="•"/>
      <w:lvlJc w:val="left"/>
      <w:pPr>
        <w:ind w:left="646" w:hanging="217"/>
      </w:pPr>
      <w:rPr>
        <w:rFonts w:hint="default"/>
        <w:lang w:val="en-GB" w:eastAsia="en-GB" w:bidi="en-GB"/>
      </w:rPr>
    </w:lvl>
    <w:lvl w:ilvl="3" w:tplc="3B98ABCC">
      <w:numFmt w:val="bullet"/>
      <w:lvlText w:val="•"/>
      <w:lvlJc w:val="left"/>
      <w:pPr>
        <w:ind w:left="819" w:hanging="217"/>
      </w:pPr>
      <w:rPr>
        <w:rFonts w:hint="default"/>
        <w:lang w:val="en-GB" w:eastAsia="en-GB" w:bidi="en-GB"/>
      </w:rPr>
    </w:lvl>
    <w:lvl w:ilvl="4" w:tplc="2084B038">
      <w:numFmt w:val="bullet"/>
      <w:lvlText w:val="•"/>
      <w:lvlJc w:val="left"/>
      <w:pPr>
        <w:ind w:left="992" w:hanging="217"/>
      </w:pPr>
      <w:rPr>
        <w:rFonts w:hint="default"/>
        <w:lang w:val="en-GB" w:eastAsia="en-GB" w:bidi="en-GB"/>
      </w:rPr>
    </w:lvl>
    <w:lvl w:ilvl="5" w:tplc="C62AF22C">
      <w:numFmt w:val="bullet"/>
      <w:lvlText w:val="•"/>
      <w:lvlJc w:val="left"/>
      <w:pPr>
        <w:ind w:left="1165" w:hanging="217"/>
      </w:pPr>
      <w:rPr>
        <w:rFonts w:hint="default"/>
        <w:lang w:val="en-GB" w:eastAsia="en-GB" w:bidi="en-GB"/>
      </w:rPr>
    </w:lvl>
    <w:lvl w:ilvl="6" w:tplc="37949C90">
      <w:numFmt w:val="bullet"/>
      <w:lvlText w:val="•"/>
      <w:lvlJc w:val="left"/>
      <w:pPr>
        <w:ind w:left="1338" w:hanging="217"/>
      </w:pPr>
      <w:rPr>
        <w:rFonts w:hint="default"/>
        <w:lang w:val="en-GB" w:eastAsia="en-GB" w:bidi="en-GB"/>
      </w:rPr>
    </w:lvl>
    <w:lvl w:ilvl="7" w:tplc="BFE09F7C">
      <w:numFmt w:val="bullet"/>
      <w:lvlText w:val="•"/>
      <w:lvlJc w:val="left"/>
      <w:pPr>
        <w:ind w:left="1511" w:hanging="217"/>
      </w:pPr>
      <w:rPr>
        <w:rFonts w:hint="default"/>
        <w:lang w:val="en-GB" w:eastAsia="en-GB" w:bidi="en-GB"/>
      </w:rPr>
    </w:lvl>
    <w:lvl w:ilvl="8" w:tplc="CD2E040C">
      <w:numFmt w:val="bullet"/>
      <w:lvlText w:val="•"/>
      <w:lvlJc w:val="left"/>
      <w:pPr>
        <w:ind w:left="1684" w:hanging="217"/>
      </w:pPr>
      <w:rPr>
        <w:rFonts w:hint="default"/>
        <w:lang w:val="en-GB" w:eastAsia="en-GB" w:bidi="en-GB"/>
      </w:rPr>
    </w:lvl>
  </w:abstractNum>
  <w:abstractNum w:abstractNumId="86" w15:restartNumberingAfterBreak="0">
    <w:nsid w:val="07877FEF"/>
    <w:multiLevelType w:val="hybridMultilevel"/>
    <w:tmpl w:val="AC4C661E"/>
    <w:lvl w:ilvl="0" w:tplc="FFE4679A">
      <w:numFmt w:val="bullet"/>
      <w:lvlText w:val="•"/>
      <w:lvlJc w:val="left"/>
      <w:pPr>
        <w:ind w:left="304" w:hanging="217"/>
      </w:pPr>
      <w:rPr>
        <w:rFonts w:ascii="Arial" w:eastAsia="Arial" w:hAnsi="Arial" w:cs="Arial" w:hint="default"/>
        <w:color w:val="231F20"/>
        <w:w w:val="100"/>
        <w:sz w:val="18"/>
        <w:szCs w:val="18"/>
        <w:lang w:val="en-GB" w:eastAsia="en-GB" w:bidi="en-GB"/>
      </w:rPr>
    </w:lvl>
    <w:lvl w:ilvl="1" w:tplc="E22AEFBC">
      <w:numFmt w:val="bullet"/>
      <w:lvlText w:val="•"/>
      <w:lvlJc w:val="left"/>
      <w:pPr>
        <w:ind w:left="473" w:hanging="217"/>
      </w:pPr>
      <w:rPr>
        <w:rFonts w:hint="default"/>
        <w:lang w:val="en-GB" w:eastAsia="en-GB" w:bidi="en-GB"/>
      </w:rPr>
    </w:lvl>
    <w:lvl w:ilvl="2" w:tplc="9C54E5C6">
      <w:numFmt w:val="bullet"/>
      <w:lvlText w:val="•"/>
      <w:lvlJc w:val="left"/>
      <w:pPr>
        <w:ind w:left="646" w:hanging="217"/>
      </w:pPr>
      <w:rPr>
        <w:rFonts w:hint="default"/>
        <w:lang w:val="en-GB" w:eastAsia="en-GB" w:bidi="en-GB"/>
      </w:rPr>
    </w:lvl>
    <w:lvl w:ilvl="3" w:tplc="6CBCC3DC">
      <w:numFmt w:val="bullet"/>
      <w:lvlText w:val="•"/>
      <w:lvlJc w:val="left"/>
      <w:pPr>
        <w:ind w:left="819" w:hanging="217"/>
      </w:pPr>
      <w:rPr>
        <w:rFonts w:hint="default"/>
        <w:lang w:val="en-GB" w:eastAsia="en-GB" w:bidi="en-GB"/>
      </w:rPr>
    </w:lvl>
    <w:lvl w:ilvl="4" w:tplc="531492CA">
      <w:numFmt w:val="bullet"/>
      <w:lvlText w:val="•"/>
      <w:lvlJc w:val="left"/>
      <w:pPr>
        <w:ind w:left="992" w:hanging="217"/>
      </w:pPr>
      <w:rPr>
        <w:rFonts w:hint="default"/>
        <w:lang w:val="en-GB" w:eastAsia="en-GB" w:bidi="en-GB"/>
      </w:rPr>
    </w:lvl>
    <w:lvl w:ilvl="5" w:tplc="B3148D34">
      <w:numFmt w:val="bullet"/>
      <w:lvlText w:val="•"/>
      <w:lvlJc w:val="left"/>
      <w:pPr>
        <w:ind w:left="1165" w:hanging="217"/>
      </w:pPr>
      <w:rPr>
        <w:rFonts w:hint="default"/>
        <w:lang w:val="en-GB" w:eastAsia="en-GB" w:bidi="en-GB"/>
      </w:rPr>
    </w:lvl>
    <w:lvl w:ilvl="6" w:tplc="9AB47318">
      <w:numFmt w:val="bullet"/>
      <w:lvlText w:val="•"/>
      <w:lvlJc w:val="left"/>
      <w:pPr>
        <w:ind w:left="1338" w:hanging="217"/>
      </w:pPr>
      <w:rPr>
        <w:rFonts w:hint="default"/>
        <w:lang w:val="en-GB" w:eastAsia="en-GB" w:bidi="en-GB"/>
      </w:rPr>
    </w:lvl>
    <w:lvl w:ilvl="7" w:tplc="D3A8796C">
      <w:numFmt w:val="bullet"/>
      <w:lvlText w:val="•"/>
      <w:lvlJc w:val="left"/>
      <w:pPr>
        <w:ind w:left="1511" w:hanging="217"/>
      </w:pPr>
      <w:rPr>
        <w:rFonts w:hint="default"/>
        <w:lang w:val="en-GB" w:eastAsia="en-GB" w:bidi="en-GB"/>
      </w:rPr>
    </w:lvl>
    <w:lvl w:ilvl="8" w:tplc="92707F80">
      <w:numFmt w:val="bullet"/>
      <w:lvlText w:val="•"/>
      <w:lvlJc w:val="left"/>
      <w:pPr>
        <w:ind w:left="1684" w:hanging="217"/>
      </w:pPr>
      <w:rPr>
        <w:rFonts w:hint="default"/>
        <w:lang w:val="en-GB" w:eastAsia="en-GB" w:bidi="en-GB"/>
      </w:rPr>
    </w:lvl>
  </w:abstractNum>
  <w:abstractNum w:abstractNumId="87" w15:restartNumberingAfterBreak="0">
    <w:nsid w:val="07B1439E"/>
    <w:multiLevelType w:val="hybridMultilevel"/>
    <w:tmpl w:val="A1DCECE2"/>
    <w:lvl w:ilvl="0" w:tplc="2290672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67E0138">
      <w:numFmt w:val="bullet"/>
      <w:lvlText w:val="•"/>
      <w:lvlJc w:val="left"/>
      <w:pPr>
        <w:ind w:left="439" w:hanging="217"/>
      </w:pPr>
      <w:rPr>
        <w:rFonts w:hint="default"/>
        <w:lang w:val="en-GB" w:eastAsia="en-GB" w:bidi="en-GB"/>
      </w:rPr>
    </w:lvl>
    <w:lvl w:ilvl="2" w:tplc="29786828">
      <w:numFmt w:val="bullet"/>
      <w:lvlText w:val="•"/>
      <w:lvlJc w:val="left"/>
      <w:pPr>
        <w:ind w:left="578" w:hanging="217"/>
      </w:pPr>
      <w:rPr>
        <w:rFonts w:hint="default"/>
        <w:lang w:val="en-GB" w:eastAsia="en-GB" w:bidi="en-GB"/>
      </w:rPr>
    </w:lvl>
    <w:lvl w:ilvl="3" w:tplc="2B38922C">
      <w:numFmt w:val="bullet"/>
      <w:lvlText w:val="•"/>
      <w:lvlJc w:val="left"/>
      <w:pPr>
        <w:ind w:left="717" w:hanging="217"/>
      </w:pPr>
      <w:rPr>
        <w:rFonts w:hint="default"/>
        <w:lang w:val="en-GB" w:eastAsia="en-GB" w:bidi="en-GB"/>
      </w:rPr>
    </w:lvl>
    <w:lvl w:ilvl="4" w:tplc="2088444E">
      <w:numFmt w:val="bullet"/>
      <w:lvlText w:val="•"/>
      <w:lvlJc w:val="left"/>
      <w:pPr>
        <w:ind w:left="856" w:hanging="217"/>
      </w:pPr>
      <w:rPr>
        <w:rFonts w:hint="default"/>
        <w:lang w:val="en-GB" w:eastAsia="en-GB" w:bidi="en-GB"/>
      </w:rPr>
    </w:lvl>
    <w:lvl w:ilvl="5" w:tplc="DC3C728C">
      <w:numFmt w:val="bullet"/>
      <w:lvlText w:val="•"/>
      <w:lvlJc w:val="left"/>
      <w:pPr>
        <w:ind w:left="995" w:hanging="217"/>
      </w:pPr>
      <w:rPr>
        <w:rFonts w:hint="default"/>
        <w:lang w:val="en-GB" w:eastAsia="en-GB" w:bidi="en-GB"/>
      </w:rPr>
    </w:lvl>
    <w:lvl w:ilvl="6" w:tplc="CE702374">
      <w:numFmt w:val="bullet"/>
      <w:lvlText w:val="•"/>
      <w:lvlJc w:val="left"/>
      <w:pPr>
        <w:ind w:left="1134" w:hanging="217"/>
      </w:pPr>
      <w:rPr>
        <w:rFonts w:hint="default"/>
        <w:lang w:val="en-GB" w:eastAsia="en-GB" w:bidi="en-GB"/>
      </w:rPr>
    </w:lvl>
    <w:lvl w:ilvl="7" w:tplc="6332E430">
      <w:numFmt w:val="bullet"/>
      <w:lvlText w:val="•"/>
      <w:lvlJc w:val="left"/>
      <w:pPr>
        <w:ind w:left="1273" w:hanging="217"/>
      </w:pPr>
      <w:rPr>
        <w:rFonts w:hint="default"/>
        <w:lang w:val="en-GB" w:eastAsia="en-GB" w:bidi="en-GB"/>
      </w:rPr>
    </w:lvl>
    <w:lvl w:ilvl="8" w:tplc="CC8CA32E">
      <w:numFmt w:val="bullet"/>
      <w:lvlText w:val="•"/>
      <w:lvlJc w:val="left"/>
      <w:pPr>
        <w:ind w:left="1412" w:hanging="217"/>
      </w:pPr>
      <w:rPr>
        <w:rFonts w:hint="default"/>
        <w:lang w:val="en-GB" w:eastAsia="en-GB" w:bidi="en-GB"/>
      </w:rPr>
    </w:lvl>
  </w:abstractNum>
  <w:abstractNum w:abstractNumId="88" w15:restartNumberingAfterBreak="0">
    <w:nsid w:val="07B71B7F"/>
    <w:multiLevelType w:val="hybridMultilevel"/>
    <w:tmpl w:val="042A379A"/>
    <w:lvl w:ilvl="0" w:tplc="5BE283D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A60C8F8">
      <w:numFmt w:val="bullet"/>
      <w:lvlText w:val="•"/>
      <w:lvlJc w:val="left"/>
      <w:pPr>
        <w:ind w:left="1061" w:hanging="217"/>
      </w:pPr>
      <w:rPr>
        <w:rFonts w:hint="default"/>
        <w:lang w:val="en-GB" w:eastAsia="en-GB" w:bidi="en-GB"/>
      </w:rPr>
    </w:lvl>
    <w:lvl w:ilvl="2" w:tplc="6C0EB8B8">
      <w:numFmt w:val="bullet"/>
      <w:lvlText w:val="•"/>
      <w:lvlJc w:val="left"/>
      <w:pPr>
        <w:ind w:left="1823" w:hanging="217"/>
      </w:pPr>
      <w:rPr>
        <w:rFonts w:hint="default"/>
        <w:lang w:val="en-GB" w:eastAsia="en-GB" w:bidi="en-GB"/>
      </w:rPr>
    </w:lvl>
    <w:lvl w:ilvl="3" w:tplc="17323D74">
      <w:numFmt w:val="bullet"/>
      <w:lvlText w:val="•"/>
      <w:lvlJc w:val="left"/>
      <w:pPr>
        <w:ind w:left="2585" w:hanging="217"/>
      </w:pPr>
      <w:rPr>
        <w:rFonts w:hint="default"/>
        <w:lang w:val="en-GB" w:eastAsia="en-GB" w:bidi="en-GB"/>
      </w:rPr>
    </w:lvl>
    <w:lvl w:ilvl="4" w:tplc="D700C72A">
      <w:numFmt w:val="bullet"/>
      <w:lvlText w:val="•"/>
      <w:lvlJc w:val="left"/>
      <w:pPr>
        <w:ind w:left="3346" w:hanging="217"/>
      </w:pPr>
      <w:rPr>
        <w:rFonts w:hint="default"/>
        <w:lang w:val="en-GB" w:eastAsia="en-GB" w:bidi="en-GB"/>
      </w:rPr>
    </w:lvl>
    <w:lvl w:ilvl="5" w:tplc="2744BE0E">
      <w:numFmt w:val="bullet"/>
      <w:lvlText w:val="•"/>
      <w:lvlJc w:val="left"/>
      <w:pPr>
        <w:ind w:left="4108" w:hanging="217"/>
      </w:pPr>
      <w:rPr>
        <w:rFonts w:hint="default"/>
        <w:lang w:val="en-GB" w:eastAsia="en-GB" w:bidi="en-GB"/>
      </w:rPr>
    </w:lvl>
    <w:lvl w:ilvl="6" w:tplc="D6840BEC">
      <w:numFmt w:val="bullet"/>
      <w:lvlText w:val="•"/>
      <w:lvlJc w:val="left"/>
      <w:pPr>
        <w:ind w:left="4870" w:hanging="217"/>
      </w:pPr>
      <w:rPr>
        <w:rFonts w:hint="default"/>
        <w:lang w:val="en-GB" w:eastAsia="en-GB" w:bidi="en-GB"/>
      </w:rPr>
    </w:lvl>
    <w:lvl w:ilvl="7" w:tplc="A162DA74">
      <w:numFmt w:val="bullet"/>
      <w:lvlText w:val="•"/>
      <w:lvlJc w:val="left"/>
      <w:pPr>
        <w:ind w:left="5631" w:hanging="217"/>
      </w:pPr>
      <w:rPr>
        <w:rFonts w:hint="default"/>
        <w:lang w:val="en-GB" w:eastAsia="en-GB" w:bidi="en-GB"/>
      </w:rPr>
    </w:lvl>
    <w:lvl w:ilvl="8" w:tplc="1FD69E7E">
      <w:numFmt w:val="bullet"/>
      <w:lvlText w:val="•"/>
      <w:lvlJc w:val="left"/>
      <w:pPr>
        <w:ind w:left="6393" w:hanging="217"/>
      </w:pPr>
      <w:rPr>
        <w:rFonts w:hint="default"/>
        <w:lang w:val="en-GB" w:eastAsia="en-GB" w:bidi="en-GB"/>
      </w:rPr>
    </w:lvl>
  </w:abstractNum>
  <w:abstractNum w:abstractNumId="89" w15:restartNumberingAfterBreak="0">
    <w:nsid w:val="07B84BB6"/>
    <w:multiLevelType w:val="hybridMultilevel"/>
    <w:tmpl w:val="AB380366"/>
    <w:lvl w:ilvl="0" w:tplc="C4BE2990">
      <w:numFmt w:val="bullet"/>
      <w:lvlText w:val="•"/>
      <w:lvlJc w:val="left"/>
      <w:pPr>
        <w:ind w:left="305" w:hanging="217"/>
      </w:pPr>
      <w:rPr>
        <w:rFonts w:ascii="Arial" w:eastAsia="Arial" w:hAnsi="Arial" w:cs="Arial" w:hint="default"/>
        <w:color w:val="231F20"/>
        <w:w w:val="100"/>
        <w:sz w:val="18"/>
        <w:szCs w:val="18"/>
        <w:lang w:val="en-GB" w:eastAsia="en-GB" w:bidi="en-GB"/>
      </w:rPr>
    </w:lvl>
    <w:lvl w:ilvl="1" w:tplc="E2AC7E36">
      <w:numFmt w:val="bullet"/>
      <w:lvlText w:val="•"/>
      <w:lvlJc w:val="left"/>
      <w:pPr>
        <w:ind w:left="444" w:hanging="217"/>
      </w:pPr>
      <w:rPr>
        <w:rFonts w:hint="default"/>
        <w:lang w:val="en-GB" w:eastAsia="en-GB" w:bidi="en-GB"/>
      </w:rPr>
    </w:lvl>
    <w:lvl w:ilvl="2" w:tplc="6C0CA036">
      <w:numFmt w:val="bullet"/>
      <w:lvlText w:val="•"/>
      <w:lvlJc w:val="left"/>
      <w:pPr>
        <w:ind w:left="589" w:hanging="217"/>
      </w:pPr>
      <w:rPr>
        <w:rFonts w:hint="default"/>
        <w:lang w:val="en-GB" w:eastAsia="en-GB" w:bidi="en-GB"/>
      </w:rPr>
    </w:lvl>
    <w:lvl w:ilvl="3" w:tplc="BF18A52E">
      <w:numFmt w:val="bullet"/>
      <w:lvlText w:val="•"/>
      <w:lvlJc w:val="left"/>
      <w:pPr>
        <w:ind w:left="734" w:hanging="217"/>
      </w:pPr>
      <w:rPr>
        <w:rFonts w:hint="default"/>
        <w:lang w:val="en-GB" w:eastAsia="en-GB" w:bidi="en-GB"/>
      </w:rPr>
    </w:lvl>
    <w:lvl w:ilvl="4" w:tplc="82C2D076">
      <w:numFmt w:val="bullet"/>
      <w:lvlText w:val="•"/>
      <w:lvlJc w:val="left"/>
      <w:pPr>
        <w:ind w:left="878" w:hanging="217"/>
      </w:pPr>
      <w:rPr>
        <w:rFonts w:hint="default"/>
        <w:lang w:val="en-GB" w:eastAsia="en-GB" w:bidi="en-GB"/>
      </w:rPr>
    </w:lvl>
    <w:lvl w:ilvl="5" w:tplc="B4CCA74E">
      <w:numFmt w:val="bullet"/>
      <w:lvlText w:val="•"/>
      <w:lvlJc w:val="left"/>
      <w:pPr>
        <w:ind w:left="1023" w:hanging="217"/>
      </w:pPr>
      <w:rPr>
        <w:rFonts w:hint="default"/>
        <w:lang w:val="en-GB" w:eastAsia="en-GB" w:bidi="en-GB"/>
      </w:rPr>
    </w:lvl>
    <w:lvl w:ilvl="6" w:tplc="0198A1DC">
      <w:numFmt w:val="bullet"/>
      <w:lvlText w:val="•"/>
      <w:lvlJc w:val="left"/>
      <w:pPr>
        <w:ind w:left="1168" w:hanging="217"/>
      </w:pPr>
      <w:rPr>
        <w:rFonts w:hint="default"/>
        <w:lang w:val="en-GB" w:eastAsia="en-GB" w:bidi="en-GB"/>
      </w:rPr>
    </w:lvl>
    <w:lvl w:ilvl="7" w:tplc="13B8E526">
      <w:numFmt w:val="bullet"/>
      <w:lvlText w:val="•"/>
      <w:lvlJc w:val="left"/>
      <w:pPr>
        <w:ind w:left="1312" w:hanging="217"/>
      </w:pPr>
      <w:rPr>
        <w:rFonts w:hint="default"/>
        <w:lang w:val="en-GB" w:eastAsia="en-GB" w:bidi="en-GB"/>
      </w:rPr>
    </w:lvl>
    <w:lvl w:ilvl="8" w:tplc="5DC2610A">
      <w:numFmt w:val="bullet"/>
      <w:lvlText w:val="•"/>
      <w:lvlJc w:val="left"/>
      <w:pPr>
        <w:ind w:left="1457" w:hanging="217"/>
      </w:pPr>
      <w:rPr>
        <w:rFonts w:hint="default"/>
        <w:lang w:val="en-GB" w:eastAsia="en-GB" w:bidi="en-GB"/>
      </w:rPr>
    </w:lvl>
  </w:abstractNum>
  <w:abstractNum w:abstractNumId="90" w15:restartNumberingAfterBreak="0">
    <w:nsid w:val="08277EDA"/>
    <w:multiLevelType w:val="hybridMultilevel"/>
    <w:tmpl w:val="AC805D92"/>
    <w:lvl w:ilvl="0" w:tplc="1F1845A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4DE49304">
      <w:numFmt w:val="bullet"/>
      <w:lvlText w:val="•"/>
      <w:lvlJc w:val="left"/>
      <w:pPr>
        <w:ind w:left="473" w:hanging="217"/>
      </w:pPr>
      <w:rPr>
        <w:rFonts w:hint="default"/>
        <w:lang w:val="en-GB" w:eastAsia="en-GB" w:bidi="en-GB"/>
      </w:rPr>
    </w:lvl>
    <w:lvl w:ilvl="2" w:tplc="7F7C4468">
      <w:numFmt w:val="bullet"/>
      <w:lvlText w:val="•"/>
      <w:lvlJc w:val="left"/>
      <w:pPr>
        <w:ind w:left="646" w:hanging="217"/>
      </w:pPr>
      <w:rPr>
        <w:rFonts w:hint="default"/>
        <w:lang w:val="en-GB" w:eastAsia="en-GB" w:bidi="en-GB"/>
      </w:rPr>
    </w:lvl>
    <w:lvl w:ilvl="3" w:tplc="D6A65690">
      <w:numFmt w:val="bullet"/>
      <w:lvlText w:val="•"/>
      <w:lvlJc w:val="left"/>
      <w:pPr>
        <w:ind w:left="819" w:hanging="217"/>
      </w:pPr>
      <w:rPr>
        <w:rFonts w:hint="default"/>
        <w:lang w:val="en-GB" w:eastAsia="en-GB" w:bidi="en-GB"/>
      </w:rPr>
    </w:lvl>
    <w:lvl w:ilvl="4" w:tplc="61160E9A">
      <w:numFmt w:val="bullet"/>
      <w:lvlText w:val="•"/>
      <w:lvlJc w:val="left"/>
      <w:pPr>
        <w:ind w:left="992" w:hanging="217"/>
      </w:pPr>
      <w:rPr>
        <w:rFonts w:hint="default"/>
        <w:lang w:val="en-GB" w:eastAsia="en-GB" w:bidi="en-GB"/>
      </w:rPr>
    </w:lvl>
    <w:lvl w:ilvl="5" w:tplc="9BAE06F0">
      <w:numFmt w:val="bullet"/>
      <w:lvlText w:val="•"/>
      <w:lvlJc w:val="left"/>
      <w:pPr>
        <w:ind w:left="1165" w:hanging="217"/>
      </w:pPr>
      <w:rPr>
        <w:rFonts w:hint="default"/>
        <w:lang w:val="en-GB" w:eastAsia="en-GB" w:bidi="en-GB"/>
      </w:rPr>
    </w:lvl>
    <w:lvl w:ilvl="6" w:tplc="764A8DB2">
      <w:numFmt w:val="bullet"/>
      <w:lvlText w:val="•"/>
      <w:lvlJc w:val="left"/>
      <w:pPr>
        <w:ind w:left="1338" w:hanging="217"/>
      </w:pPr>
      <w:rPr>
        <w:rFonts w:hint="default"/>
        <w:lang w:val="en-GB" w:eastAsia="en-GB" w:bidi="en-GB"/>
      </w:rPr>
    </w:lvl>
    <w:lvl w:ilvl="7" w:tplc="5D286296">
      <w:numFmt w:val="bullet"/>
      <w:lvlText w:val="•"/>
      <w:lvlJc w:val="left"/>
      <w:pPr>
        <w:ind w:left="1511" w:hanging="217"/>
      </w:pPr>
      <w:rPr>
        <w:rFonts w:hint="default"/>
        <w:lang w:val="en-GB" w:eastAsia="en-GB" w:bidi="en-GB"/>
      </w:rPr>
    </w:lvl>
    <w:lvl w:ilvl="8" w:tplc="98268DBC">
      <w:numFmt w:val="bullet"/>
      <w:lvlText w:val="•"/>
      <w:lvlJc w:val="left"/>
      <w:pPr>
        <w:ind w:left="1684" w:hanging="217"/>
      </w:pPr>
      <w:rPr>
        <w:rFonts w:hint="default"/>
        <w:lang w:val="en-GB" w:eastAsia="en-GB" w:bidi="en-GB"/>
      </w:rPr>
    </w:lvl>
  </w:abstractNum>
  <w:abstractNum w:abstractNumId="91" w15:restartNumberingAfterBreak="0">
    <w:nsid w:val="0836273D"/>
    <w:multiLevelType w:val="hybridMultilevel"/>
    <w:tmpl w:val="F2682D96"/>
    <w:lvl w:ilvl="0" w:tplc="33CA2FA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F406D7E">
      <w:numFmt w:val="bullet"/>
      <w:lvlText w:val="•"/>
      <w:lvlJc w:val="left"/>
      <w:pPr>
        <w:ind w:left="439" w:hanging="217"/>
      </w:pPr>
      <w:rPr>
        <w:rFonts w:hint="default"/>
        <w:lang w:val="en-GB" w:eastAsia="en-GB" w:bidi="en-GB"/>
      </w:rPr>
    </w:lvl>
    <w:lvl w:ilvl="2" w:tplc="0296ABB4">
      <w:numFmt w:val="bullet"/>
      <w:lvlText w:val="•"/>
      <w:lvlJc w:val="left"/>
      <w:pPr>
        <w:ind w:left="578" w:hanging="217"/>
      </w:pPr>
      <w:rPr>
        <w:rFonts w:hint="default"/>
        <w:lang w:val="en-GB" w:eastAsia="en-GB" w:bidi="en-GB"/>
      </w:rPr>
    </w:lvl>
    <w:lvl w:ilvl="3" w:tplc="986027BA">
      <w:numFmt w:val="bullet"/>
      <w:lvlText w:val="•"/>
      <w:lvlJc w:val="left"/>
      <w:pPr>
        <w:ind w:left="717" w:hanging="217"/>
      </w:pPr>
      <w:rPr>
        <w:rFonts w:hint="default"/>
        <w:lang w:val="en-GB" w:eastAsia="en-GB" w:bidi="en-GB"/>
      </w:rPr>
    </w:lvl>
    <w:lvl w:ilvl="4" w:tplc="77C8C398">
      <w:numFmt w:val="bullet"/>
      <w:lvlText w:val="•"/>
      <w:lvlJc w:val="left"/>
      <w:pPr>
        <w:ind w:left="856" w:hanging="217"/>
      </w:pPr>
      <w:rPr>
        <w:rFonts w:hint="default"/>
        <w:lang w:val="en-GB" w:eastAsia="en-GB" w:bidi="en-GB"/>
      </w:rPr>
    </w:lvl>
    <w:lvl w:ilvl="5" w:tplc="37BCB61A">
      <w:numFmt w:val="bullet"/>
      <w:lvlText w:val="•"/>
      <w:lvlJc w:val="left"/>
      <w:pPr>
        <w:ind w:left="995" w:hanging="217"/>
      </w:pPr>
      <w:rPr>
        <w:rFonts w:hint="default"/>
        <w:lang w:val="en-GB" w:eastAsia="en-GB" w:bidi="en-GB"/>
      </w:rPr>
    </w:lvl>
    <w:lvl w:ilvl="6" w:tplc="8294D8DE">
      <w:numFmt w:val="bullet"/>
      <w:lvlText w:val="•"/>
      <w:lvlJc w:val="left"/>
      <w:pPr>
        <w:ind w:left="1134" w:hanging="217"/>
      </w:pPr>
      <w:rPr>
        <w:rFonts w:hint="default"/>
        <w:lang w:val="en-GB" w:eastAsia="en-GB" w:bidi="en-GB"/>
      </w:rPr>
    </w:lvl>
    <w:lvl w:ilvl="7" w:tplc="43CAFE74">
      <w:numFmt w:val="bullet"/>
      <w:lvlText w:val="•"/>
      <w:lvlJc w:val="left"/>
      <w:pPr>
        <w:ind w:left="1273" w:hanging="217"/>
      </w:pPr>
      <w:rPr>
        <w:rFonts w:hint="default"/>
        <w:lang w:val="en-GB" w:eastAsia="en-GB" w:bidi="en-GB"/>
      </w:rPr>
    </w:lvl>
    <w:lvl w:ilvl="8" w:tplc="2AF207A2">
      <w:numFmt w:val="bullet"/>
      <w:lvlText w:val="•"/>
      <w:lvlJc w:val="left"/>
      <w:pPr>
        <w:ind w:left="1412" w:hanging="217"/>
      </w:pPr>
      <w:rPr>
        <w:rFonts w:hint="default"/>
        <w:lang w:val="en-GB" w:eastAsia="en-GB" w:bidi="en-GB"/>
      </w:rPr>
    </w:lvl>
  </w:abstractNum>
  <w:abstractNum w:abstractNumId="92" w15:restartNumberingAfterBreak="0">
    <w:nsid w:val="0853136F"/>
    <w:multiLevelType w:val="hybridMultilevel"/>
    <w:tmpl w:val="88E8ADBA"/>
    <w:lvl w:ilvl="0" w:tplc="6EBCA3D2">
      <w:numFmt w:val="bullet"/>
      <w:lvlText w:val="•"/>
      <w:lvlJc w:val="left"/>
      <w:pPr>
        <w:ind w:left="299" w:hanging="217"/>
      </w:pPr>
      <w:rPr>
        <w:rFonts w:ascii="Arial" w:eastAsia="Arial" w:hAnsi="Arial" w:cs="Arial" w:hint="default"/>
        <w:color w:val="231F20"/>
        <w:w w:val="102"/>
        <w:sz w:val="17"/>
        <w:szCs w:val="17"/>
        <w:lang w:val="en-GB" w:eastAsia="en-GB" w:bidi="en-GB"/>
      </w:rPr>
    </w:lvl>
    <w:lvl w:ilvl="1" w:tplc="20EA34FA">
      <w:numFmt w:val="bullet"/>
      <w:lvlText w:val="•"/>
      <w:lvlJc w:val="left"/>
      <w:pPr>
        <w:ind w:left="790" w:hanging="217"/>
      </w:pPr>
      <w:rPr>
        <w:rFonts w:hint="default"/>
        <w:lang w:val="en-GB" w:eastAsia="en-GB" w:bidi="en-GB"/>
      </w:rPr>
    </w:lvl>
    <w:lvl w:ilvl="2" w:tplc="C116DB3C">
      <w:numFmt w:val="bullet"/>
      <w:lvlText w:val="•"/>
      <w:lvlJc w:val="left"/>
      <w:pPr>
        <w:ind w:left="1280" w:hanging="217"/>
      </w:pPr>
      <w:rPr>
        <w:rFonts w:hint="default"/>
        <w:lang w:val="en-GB" w:eastAsia="en-GB" w:bidi="en-GB"/>
      </w:rPr>
    </w:lvl>
    <w:lvl w:ilvl="3" w:tplc="2C4A71A6">
      <w:numFmt w:val="bullet"/>
      <w:lvlText w:val="•"/>
      <w:lvlJc w:val="left"/>
      <w:pPr>
        <w:ind w:left="1770" w:hanging="217"/>
      </w:pPr>
      <w:rPr>
        <w:rFonts w:hint="default"/>
        <w:lang w:val="en-GB" w:eastAsia="en-GB" w:bidi="en-GB"/>
      </w:rPr>
    </w:lvl>
    <w:lvl w:ilvl="4" w:tplc="550658A6">
      <w:numFmt w:val="bullet"/>
      <w:lvlText w:val="•"/>
      <w:lvlJc w:val="left"/>
      <w:pPr>
        <w:ind w:left="2260" w:hanging="217"/>
      </w:pPr>
      <w:rPr>
        <w:rFonts w:hint="default"/>
        <w:lang w:val="en-GB" w:eastAsia="en-GB" w:bidi="en-GB"/>
      </w:rPr>
    </w:lvl>
    <w:lvl w:ilvl="5" w:tplc="52643B34">
      <w:numFmt w:val="bullet"/>
      <w:lvlText w:val="•"/>
      <w:lvlJc w:val="left"/>
      <w:pPr>
        <w:ind w:left="2750" w:hanging="217"/>
      </w:pPr>
      <w:rPr>
        <w:rFonts w:hint="default"/>
        <w:lang w:val="en-GB" w:eastAsia="en-GB" w:bidi="en-GB"/>
      </w:rPr>
    </w:lvl>
    <w:lvl w:ilvl="6" w:tplc="939EB8E4">
      <w:numFmt w:val="bullet"/>
      <w:lvlText w:val="•"/>
      <w:lvlJc w:val="left"/>
      <w:pPr>
        <w:ind w:left="3240" w:hanging="217"/>
      </w:pPr>
      <w:rPr>
        <w:rFonts w:hint="default"/>
        <w:lang w:val="en-GB" w:eastAsia="en-GB" w:bidi="en-GB"/>
      </w:rPr>
    </w:lvl>
    <w:lvl w:ilvl="7" w:tplc="9634C7EC">
      <w:numFmt w:val="bullet"/>
      <w:lvlText w:val="•"/>
      <w:lvlJc w:val="left"/>
      <w:pPr>
        <w:ind w:left="3730" w:hanging="217"/>
      </w:pPr>
      <w:rPr>
        <w:rFonts w:hint="default"/>
        <w:lang w:val="en-GB" w:eastAsia="en-GB" w:bidi="en-GB"/>
      </w:rPr>
    </w:lvl>
    <w:lvl w:ilvl="8" w:tplc="606A47C0">
      <w:numFmt w:val="bullet"/>
      <w:lvlText w:val="•"/>
      <w:lvlJc w:val="left"/>
      <w:pPr>
        <w:ind w:left="4220" w:hanging="217"/>
      </w:pPr>
      <w:rPr>
        <w:rFonts w:hint="default"/>
        <w:lang w:val="en-GB" w:eastAsia="en-GB" w:bidi="en-GB"/>
      </w:rPr>
    </w:lvl>
  </w:abstractNum>
  <w:abstractNum w:abstractNumId="93" w15:restartNumberingAfterBreak="0">
    <w:nsid w:val="08781713"/>
    <w:multiLevelType w:val="hybridMultilevel"/>
    <w:tmpl w:val="F816F6E0"/>
    <w:lvl w:ilvl="0" w:tplc="712C13D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8523F9A">
      <w:numFmt w:val="bullet"/>
      <w:lvlText w:val="•"/>
      <w:lvlJc w:val="left"/>
      <w:pPr>
        <w:ind w:left="439" w:hanging="217"/>
      </w:pPr>
      <w:rPr>
        <w:rFonts w:hint="default"/>
        <w:lang w:val="en-GB" w:eastAsia="en-GB" w:bidi="en-GB"/>
      </w:rPr>
    </w:lvl>
    <w:lvl w:ilvl="2" w:tplc="4ECEB216">
      <w:numFmt w:val="bullet"/>
      <w:lvlText w:val="•"/>
      <w:lvlJc w:val="left"/>
      <w:pPr>
        <w:ind w:left="578" w:hanging="217"/>
      </w:pPr>
      <w:rPr>
        <w:rFonts w:hint="default"/>
        <w:lang w:val="en-GB" w:eastAsia="en-GB" w:bidi="en-GB"/>
      </w:rPr>
    </w:lvl>
    <w:lvl w:ilvl="3" w:tplc="77C661C4">
      <w:numFmt w:val="bullet"/>
      <w:lvlText w:val="•"/>
      <w:lvlJc w:val="left"/>
      <w:pPr>
        <w:ind w:left="717" w:hanging="217"/>
      </w:pPr>
      <w:rPr>
        <w:rFonts w:hint="default"/>
        <w:lang w:val="en-GB" w:eastAsia="en-GB" w:bidi="en-GB"/>
      </w:rPr>
    </w:lvl>
    <w:lvl w:ilvl="4" w:tplc="26B0A016">
      <w:numFmt w:val="bullet"/>
      <w:lvlText w:val="•"/>
      <w:lvlJc w:val="left"/>
      <w:pPr>
        <w:ind w:left="856" w:hanging="217"/>
      </w:pPr>
      <w:rPr>
        <w:rFonts w:hint="default"/>
        <w:lang w:val="en-GB" w:eastAsia="en-GB" w:bidi="en-GB"/>
      </w:rPr>
    </w:lvl>
    <w:lvl w:ilvl="5" w:tplc="04CC63E8">
      <w:numFmt w:val="bullet"/>
      <w:lvlText w:val="•"/>
      <w:lvlJc w:val="left"/>
      <w:pPr>
        <w:ind w:left="995" w:hanging="217"/>
      </w:pPr>
      <w:rPr>
        <w:rFonts w:hint="default"/>
        <w:lang w:val="en-GB" w:eastAsia="en-GB" w:bidi="en-GB"/>
      </w:rPr>
    </w:lvl>
    <w:lvl w:ilvl="6" w:tplc="2A8A4672">
      <w:numFmt w:val="bullet"/>
      <w:lvlText w:val="•"/>
      <w:lvlJc w:val="left"/>
      <w:pPr>
        <w:ind w:left="1134" w:hanging="217"/>
      </w:pPr>
      <w:rPr>
        <w:rFonts w:hint="default"/>
        <w:lang w:val="en-GB" w:eastAsia="en-GB" w:bidi="en-GB"/>
      </w:rPr>
    </w:lvl>
    <w:lvl w:ilvl="7" w:tplc="E7427C60">
      <w:numFmt w:val="bullet"/>
      <w:lvlText w:val="•"/>
      <w:lvlJc w:val="left"/>
      <w:pPr>
        <w:ind w:left="1273" w:hanging="217"/>
      </w:pPr>
      <w:rPr>
        <w:rFonts w:hint="default"/>
        <w:lang w:val="en-GB" w:eastAsia="en-GB" w:bidi="en-GB"/>
      </w:rPr>
    </w:lvl>
    <w:lvl w:ilvl="8" w:tplc="F97A7ABA">
      <w:numFmt w:val="bullet"/>
      <w:lvlText w:val="•"/>
      <w:lvlJc w:val="left"/>
      <w:pPr>
        <w:ind w:left="1412" w:hanging="217"/>
      </w:pPr>
      <w:rPr>
        <w:rFonts w:hint="default"/>
        <w:lang w:val="en-GB" w:eastAsia="en-GB" w:bidi="en-GB"/>
      </w:rPr>
    </w:lvl>
  </w:abstractNum>
  <w:abstractNum w:abstractNumId="94" w15:restartNumberingAfterBreak="0">
    <w:nsid w:val="088D2BD6"/>
    <w:multiLevelType w:val="hybridMultilevel"/>
    <w:tmpl w:val="C98209C8"/>
    <w:lvl w:ilvl="0" w:tplc="B6EAA9C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3623B88">
      <w:numFmt w:val="bullet"/>
      <w:lvlText w:val="•"/>
      <w:lvlJc w:val="left"/>
      <w:pPr>
        <w:ind w:left="473" w:hanging="217"/>
      </w:pPr>
      <w:rPr>
        <w:rFonts w:hint="default"/>
        <w:lang w:val="en-GB" w:eastAsia="en-GB" w:bidi="en-GB"/>
      </w:rPr>
    </w:lvl>
    <w:lvl w:ilvl="2" w:tplc="40DA3EA6">
      <w:numFmt w:val="bullet"/>
      <w:lvlText w:val="•"/>
      <w:lvlJc w:val="left"/>
      <w:pPr>
        <w:ind w:left="646" w:hanging="217"/>
      </w:pPr>
      <w:rPr>
        <w:rFonts w:hint="default"/>
        <w:lang w:val="en-GB" w:eastAsia="en-GB" w:bidi="en-GB"/>
      </w:rPr>
    </w:lvl>
    <w:lvl w:ilvl="3" w:tplc="D39A3886">
      <w:numFmt w:val="bullet"/>
      <w:lvlText w:val="•"/>
      <w:lvlJc w:val="left"/>
      <w:pPr>
        <w:ind w:left="819" w:hanging="217"/>
      </w:pPr>
      <w:rPr>
        <w:rFonts w:hint="default"/>
        <w:lang w:val="en-GB" w:eastAsia="en-GB" w:bidi="en-GB"/>
      </w:rPr>
    </w:lvl>
    <w:lvl w:ilvl="4" w:tplc="F702ADFA">
      <w:numFmt w:val="bullet"/>
      <w:lvlText w:val="•"/>
      <w:lvlJc w:val="left"/>
      <w:pPr>
        <w:ind w:left="992" w:hanging="217"/>
      </w:pPr>
      <w:rPr>
        <w:rFonts w:hint="default"/>
        <w:lang w:val="en-GB" w:eastAsia="en-GB" w:bidi="en-GB"/>
      </w:rPr>
    </w:lvl>
    <w:lvl w:ilvl="5" w:tplc="DCF2E222">
      <w:numFmt w:val="bullet"/>
      <w:lvlText w:val="•"/>
      <w:lvlJc w:val="left"/>
      <w:pPr>
        <w:ind w:left="1165" w:hanging="217"/>
      </w:pPr>
      <w:rPr>
        <w:rFonts w:hint="default"/>
        <w:lang w:val="en-GB" w:eastAsia="en-GB" w:bidi="en-GB"/>
      </w:rPr>
    </w:lvl>
    <w:lvl w:ilvl="6" w:tplc="D85E2A88">
      <w:numFmt w:val="bullet"/>
      <w:lvlText w:val="•"/>
      <w:lvlJc w:val="left"/>
      <w:pPr>
        <w:ind w:left="1338" w:hanging="217"/>
      </w:pPr>
      <w:rPr>
        <w:rFonts w:hint="default"/>
        <w:lang w:val="en-GB" w:eastAsia="en-GB" w:bidi="en-GB"/>
      </w:rPr>
    </w:lvl>
    <w:lvl w:ilvl="7" w:tplc="FA704EBA">
      <w:numFmt w:val="bullet"/>
      <w:lvlText w:val="•"/>
      <w:lvlJc w:val="left"/>
      <w:pPr>
        <w:ind w:left="1511" w:hanging="217"/>
      </w:pPr>
      <w:rPr>
        <w:rFonts w:hint="default"/>
        <w:lang w:val="en-GB" w:eastAsia="en-GB" w:bidi="en-GB"/>
      </w:rPr>
    </w:lvl>
    <w:lvl w:ilvl="8" w:tplc="A21A3FEC">
      <w:numFmt w:val="bullet"/>
      <w:lvlText w:val="•"/>
      <w:lvlJc w:val="left"/>
      <w:pPr>
        <w:ind w:left="1684" w:hanging="217"/>
      </w:pPr>
      <w:rPr>
        <w:rFonts w:hint="default"/>
        <w:lang w:val="en-GB" w:eastAsia="en-GB" w:bidi="en-GB"/>
      </w:rPr>
    </w:lvl>
  </w:abstractNum>
  <w:abstractNum w:abstractNumId="95" w15:restartNumberingAfterBreak="0">
    <w:nsid w:val="08A13C51"/>
    <w:multiLevelType w:val="hybridMultilevel"/>
    <w:tmpl w:val="52284196"/>
    <w:lvl w:ilvl="0" w:tplc="6D00F59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164D136">
      <w:numFmt w:val="bullet"/>
      <w:lvlText w:val="•"/>
      <w:lvlJc w:val="left"/>
      <w:pPr>
        <w:ind w:left="439" w:hanging="217"/>
      </w:pPr>
      <w:rPr>
        <w:rFonts w:hint="default"/>
        <w:lang w:val="en-GB" w:eastAsia="en-GB" w:bidi="en-GB"/>
      </w:rPr>
    </w:lvl>
    <w:lvl w:ilvl="2" w:tplc="B942C028">
      <w:numFmt w:val="bullet"/>
      <w:lvlText w:val="•"/>
      <w:lvlJc w:val="left"/>
      <w:pPr>
        <w:ind w:left="578" w:hanging="217"/>
      </w:pPr>
      <w:rPr>
        <w:rFonts w:hint="default"/>
        <w:lang w:val="en-GB" w:eastAsia="en-GB" w:bidi="en-GB"/>
      </w:rPr>
    </w:lvl>
    <w:lvl w:ilvl="3" w:tplc="678CC022">
      <w:numFmt w:val="bullet"/>
      <w:lvlText w:val="•"/>
      <w:lvlJc w:val="left"/>
      <w:pPr>
        <w:ind w:left="717" w:hanging="217"/>
      </w:pPr>
      <w:rPr>
        <w:rFonts w:hint="default"/>
        <w:lang w:val="en-GB" w:eastAsia="en-GB" w:bidi="en-GB"/>
      </w:rPr>
    </w:lvl>
    <w:lvl w:ilvl="4" w:tplc="6F082230">
      <w:numFmt w:val="bullet"/>
      <w:lvlText w:val="•"/>
      <w:lvlJc w:val="left"/>
      <w:pPr>
        <w:ind w:left="856" w:hanging="217"/>
      </w:pPr>
      <w:rPr>
        <w:rFonts w:hint="default"/>
        <w:lang w:val="en-GB" w:eastAsia="en-GB" w:bidi="en-GB"/>
      </w:rPr>
    </w:lvl>
    <w:lvl w:ilvl="5" w:tplc="E2EAD97E">
      <w:numFmt w:val="bullet"/>
      <w:lvlText w:val="•"/>
      <w:lvlJc w:val="left"/>
      <w:pPr>
        <w:ind w:left="995" w:hanging="217"/>
      </w:pPr>
      <w:rPr>
        <w:rFonts w:hint="default"/>
        <w:lang w:val="en-GB" w:eastAsia="en-GB" w:bidi="en-GB"/>
      </w:rPr>
    </w:lvl>
    <w:lvl w:ilvl="6" w:tplc="3F8E91E2">
      <w:numFmt w:val="bullet"/>
      <w:lvlText w:val="•"/>
      <w:lvlJc w:val="left"/>
      <w:pPr>
        <w:ind w:left="1134" w:hanging="217"/>
      </w:pPr>
      <w:rPr>
        <w:rFonts w:hint="default"/>
        <w:lang w:val="en-GB" w:eastAsia="en-GB" w:bidi="en-GB"/>
      </w:rPr>
    </w:lvl>
    <w:lvl w:ilvl="7" w:tplc="37F4160C">
      <w:numFmt w:val="bullet"/>
      <w:lvlText w:val="•"/>
      <w:lvlJc w:val="left"/>
      <w:pPr>
        <w:ind w:left="1273" w:hanging="217"/>
      </w:pPr>
      <w:rPr>
        <w:rFonts w:hint="default"/>
        <w:lang w:val="en-GB" w:eastAsia="en-GB" w:bidi="en-GB"/>
      </w:rPr>
    </w:lvl>
    <w:lvl w:ilvl="8" w:tplc="4A4CDA8E">
      <w:numFmt w:val="bullet"/>
      <w:lvlText w:val="•"/>
      <w:lvlJc w:val="left"/>
      <w:pPr>
        <w:ind w:left="1412" w:hanging="217"/>
      </w:pPr>
      <w:rPr>
        <w:rFonts w:hint="default"/>
        <w:lang w:val="en-GB" w:eastAsia="en-GB" w:bidi="en-GB"/>
      </w:rPr>
    </w:lvl>
  </w:abstractNum>
  <w:abstractNum w:abstractNumId="96" w15:restartNumberingAfterBreak="0">
    <w:nsid w:val="08A97F0D"/>
    <w:multiLevelType w:val="hybridMultilevel"/>
    <w:tmpl w:val="EDAC617A"/>
    <w:lvl w:ilvl="0" w:tplc="2158AFE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750D2C6">
      <w:numFmt w:val="bullet"/>
      <w:lvlText w:val="•"/>
      <w:lvlJc w:val="left"/>
      <w:pPr>
        <w:ind w:left="439" w:hanging="217"/>
      </w:pPr>
      <w:rPr>
        <w:rFonts w:hint="default"/>
        <w:lang w:val="en-GB" w:eastAsia="en-GB" w:bidi="en-GB"/>
      </w:rPr>
    </w:lvl>
    <w:lvl w:ilvl="2" w:tplc="821616F2">
      <w:numFmt w:val="bullet"/>
      <w:lvlText w:val="•"/>
      <w:lvlJc w:val="left"/>
      <w:pPr>
        <w:ind w:left="578" w:hanging="217"/>
      </w:pPr>
      <w:rPr>
        <w:rFonts w:hint="default"/>
        <w:lang w:val="en-GB" w:eastAsia="en-GB" w:bidi="en-GB"/>
      </w:rPr>
    </w:lvl>
    <w:lvl w:ilvl="3" w:tplc="B010F594">
      <w:numFmt w:val="bullet"/>
      <w:lvlText w:val="•"/>
      <w:lvlJc w:val="left"/>
      <w:pPr>
        <w:ind w:left="717" w:hanging="217"/>
      </w:pPr>
      <w:rPr>
        <w:rFonts w:hint="default"/>
        <w:lang w:val="en-GB" w:eastAsia="en-GB" w:bidi="en-GB"/>
      </w:rPr>
    </w:lvl>
    <w:lvl w:ilvl="4" w:tplc="E6EEB962">
      <w:numFmt w:val="bullet"/>
      <w:lvlText w:val="•"/>
      <w:lvlJc w:val="left"/>
      <w:pPr>
        <w:ind w:left="856" w:hanging="217"/>
      </w:pPr>
      <w:rPr>
        <w:rFonts w:hint="default"/>
        <w:lang w:val="en-GB" w:eastAsia="en-GB" w:bidi="en-GB"/>
      </w:rPr>
    </w:lvl>
    <w:lvl w:ilvl="5" w:tplc="6C0452A8">
      <w:numFmt w:val="bullet"/>
      <w:lvlText w:val="•"/>
      <w:lvlJc w:val="left"/>
      <w:pPr>
        <w:ind w:left="995" w:hanging="217"/>
      </w:pPr>
      <w:rPr>
        <w:rFonts w:hint="default"/>
        <w:lang w:val="en-GB" w:eastAsia="en-GB" w:bidi="en-GB"/>
      </w:rPr>
    </w:lvl>
    <w:lvl w:ilvl="6" w:tplc="484C026A">
      <w:numFmt w:val="bullet"/>
      <w:lvlText w:val="•"/>
      <w:lvlJc w:val="left"/>
      <w:pPr>
        <w:ind w:left="1134" w:hanging="217"/>
      </w:pPr>
      <w:rPr>
        <w:rFonts w:hint="default"/>
        <w:lang w:val="en-GB" w:eastAsia="en-GB" w:bidi="en-GB"/>
      </w:rPr>
    </w:lvl>
    <w:lvl w:ilvl="7" w:tplc="DBEEE924">
      <w:numFmt w:val="bullet"/>
      <w:lvlText w:val="•"/>
      <w:lvlJc w:val="left"/>
      <w:pPr>
        <w:ind w:left="1273" w:hanging="217"/>
      </w:pPr>
      <w:rPr>
        <w:rFonts w:hint="default"/>
        <w:lang w:val="en-GB" w:eastAsia="en-GB" w:bidi="en-GB"/>
      </w:rPr>
    </w:lvl>
    <w:lvl w:ilvl="8" w:tplc="C79C454A">
      <w:numFmt w:val="bullet"/>
      <w:lvlText w:val="•"/>
      <w:lvlJc w:val="left"/>
      <w:pPr>
        <w:ind w:left="1412" w:hanging="217"/>
      </w:pPr>
      <w:rPr>
        <w:rFonts w:hint="default"/>
        <w:lang w:val="en-GB" w:eastAsia="en-GB" w:bidi="en-GB"/>
      </w:rPr>
    </w:lvl>
  </w:abstractNum>
  <w:abstractNum w:abstractNumId="97" w15:restartNumberingAfterBreak="0">
    <w:nsid w:val="08AC6EBB"/>
    <w:multiLevelType w:val="hybridMultilevel"/>
    <w:tmpl w:val="A1084D58"/>
    <w:lvl w:ilvl="0" w:tplc="9518224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4F2215C">
      <w:numFmt w:val="bullet"/>
      <w:lvlText w:val="•"/>
      <w:lvlJc w:val="left"/>
      <w:pPr>
        <w:ind w:left="892" w:hanging="217"/>
      </w:pPr>
      <w:rPr>
        <w:rFonts w:hint="default"/>
        <w:lang w:val="en-GB" w:eastAsia="en-GB" w:bidi="en-GB"/>
      </w:rPr>
    </w:lvl>
    <w:lvl w:ilvl="2" w:tplc="2578F800">
      <w:numFmt w:val="bullet"/>
      <w:lvlText w:val="•"/>
      <w:lvlJc w:val="left"/>
      <w:pPr>
        <w:ind w:left="1485" w:hanging="217"/>
      </w:pPr>
      <w:rPr>
        <w:rFonts w:hint="default"/>
        <w:lang w:val="en-GB" w:eastAsia="en-GB" w:bidi="en-GB"/>
      </w:rPr>
    </w:lvl>
    <w:lvl w:ilvl="3" w:tplc="DE1ECC8E">
      <w:numFmt w:val="bullet"/>
      <w:lvlText w:val="•"/>
      <w:lvlJc w:val="left"/>
      <w:pPr>
        <w:ind w:left="2077" w:hanging="217"/>
      </w:pPr>
      <w:rPr>
        <w:rFonts w:hint="default"/>
        <w:lang w:val="en-GB" w:eastAsia="en-GB" w:bidi="en-GB"/>
      </w:rPr>
    </w:lvl>
    <w:lvl w:ilvl="4" w:tplc="E176210E">
      <w:numFmt w:val="bullet"/>
      <w:lvlText w:val="•"/>
      <w:lvlJc w:val="left"/>
      <w:pPr>
        <w:ind w:left="2670" w:hanging="217"/>
      </w:pPr>
      <w:rPr>
        <w:rFonts w:hint="default"/>
        <w:lang w:val="en-GB" w:eastAsia="en-GB" w:bidi="en-GB"/>
      </w:rPr>
    </w:lvl>
    <w:lvl w:ilvl="5" w:tplc="753AB8AC">
      <w:numFmt w:val="bullet"/>
      <w:lvlText w:val="•"/>
      <w:lvlJc w:val="left"/>
      <w:pPr>
        <w:ind w:left="3263" w:hanging="217"/>
      </w:pPr>
      <w:rPr>
        <w:rFonts w:hint="default"/>
        <w:lang w:val="en-GB" w:eastAsia="en-GB" w:bidi="en-GB"/>
      </w:rPr>
    </w:lvl>
    <w:lvl w:ilvl="6" w:tplc="2CB20CCC">
      <w:numFmt w:val="bullet"/>
      <w:lvlText w:val="•"/>
      <w:lvlJc w:val="left"/>
      <w:pPr>
        <w:ind w:left="3855" w:hanging="217"/>
      </w:pPr>
      <w:rPr>
        <w:rFonts w:hint="default"/>
        <w:lang w:val="en-GB" w:eastAsia="en-GB" w:bidi="en-GB"/>
      </w:rPr>
    </w:lvl>
    <w:lvl w:ilvl="7" w:tplc="4E92913C">
      <w:numFmt w:val="bullet"/>
      <w:lvlText w:val="•"/>
      <w:lvlJc w:val="left"/>
      <w:pPr>
        <w:ind w:left="4448" w:hanging="217"/>
      </w:pPr>
      <w:rPr>
        <w:rFonts w:hint="default"/>
        <w:lang w:val="en-GB" w:eastAsia="en-GB" w:bidi="en-GB"/>
      </w:rPr>
    </w:lvl>
    <w:lvl w:ilvl="8" w:tplc="2A1AA9B2">
      <w:numFmt w:val="bullet"/>
      <w:lvlText w:val="•"/>
      <w:lvlJc w:val="left"/>
      <w:pPr>
        <w:ind w:left="5040" w:hanging="217"/>
      </w:pPr>
      <w:rPr>
        <w:rFonts w:hint="default"/>
        <w:lang w:val="en-GB" w:eastAsia="en-GB" w:bidi="en-GB"/>
      </w:rPr>
    </w:lvl>
  </w:abstractNum>
  <w:abstractNum w:abstractNumId="98" w15:restartNumberingAfterBreak="0">
    <w:nsid w:val="08D34AAA"/>
    <w:multiLevelType w:val="hybridMultilevel"/>
    <w:tmpl w:val="5A3E897E"/>
    <w:lvl w:ilvl="0" w:tplc="19DA14E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A1E96AC">
      <w:numFmt w:val="bullet"/>
      <w:lvlText w:val="•"/>
      <w:lvlJc w:val="left"/>
      <w:pPr>
        <w:ind w:left="473" w:hanging="217"/>
      </w:pPr>
      <w:rPr>
        <w:rFonts w:hint="default"/>
        <w:lang w:val="en-GB" w:eastAsia="en-GB" w:bidi="en-GB"/>
      </w:rPr>
    </w:lvl>
    <w:lvl w:ilvl="2" w:tplc="F176C492">
      <w:numFmt w:val="bullet"/>
      <w:lvlText w:val="•"/>
      <w:lvlJc w:val="left"/>
      <w:pPr>
        <w:ind w:left="646" w:hanging="217"/>
      </w:pPr>
      <w:rPr>
        <w:rFonts w:hint="default"/>
        <w:lang w:val="en-GB" w:eastAsia="en-GB" w:bidi="en-GB"/>
      </w:rPr>
    </w:lvl>
    <w:lvl w:ilvl="3" w:tplc="C88E9FEC">
      <w:numFmt w:val="bullet"/>
      <w:lvlText w:val="•"/>
      <w:lvlJc w:val="left"/>
      <w:pPr>
        <w:ind w:left="819" w:hanging="217"/>
      </w:pPr>
      <w:rPr>
        <w:rFonts w:hint="default"/>
        <w:lang w:val="en-GB" w:eastAsia="en-GB" w:bidi="en-GB"/>
      </w:rPr>
    </w:lvl>
    <w:lvl w:ilvl="4" w:tplc="8D521FA6">
      <w:numFmt w:val="bullet"/>
      <w:lvlText w:val="•"/>
      <w:lvlJc w:val="left"/>
      <w:pPr>
        <w:ind w:left="992" w:hanging="217"/>
      </w:pPr>
      <w:rPr>
        <w:rFonts w:hint="default"/>
        <w:lang w:val="en-GB" w:eastAsia="en-GB" w:bidi="en-GB"/>
      </w:rPr>
    </w:lvl>
    <w:lvl w:ilvl="5" w:tplc="6982183E">
      <w:numFmt w:val="bullet"/>
      <w:lvlText w:val="•"/>
      <w:lvlJc w:val="left"/>
      <w:pPr>
        <w:ind w:left="1165" w:hanging="217"/>
      </w:pPr>
      <w:rPr>
        <w:rFonts w:hint="default"/>
        <w:lang w:val="en-GB" w:eastAsia="en-GB" w:bidi="en-GB"/>
      </w:rPr>
    </w:lvl>
    <w:lvl w:ilvl="6" w:tplc="66F072CA">
      <w:numFmt w:val="bullet"/>
      <w:lvlText w:val="•"/>
      <w:lvlJc w:val="left"/>
      <w:pPr>
        <w:ind w:left="1338" w:hanging="217"/>
      </w:pPr>
      <w:rPr>
        <w:rFonts w:hint="default"/>
        <w:lang w:val="en-GB" w:eastAsia="en-GB" w:bidi="en-GB"/>
      </w:rPr>
    </w:lvl>
    <w:lvl w:ilvl="7" w:tplc="3ECA154A">
      <w:numFmt w:val="bullet"/>
      <w:lvlText w:val="•"/>
      <w:lvlJc w:val="left"/>
      <w:pPr>
        <w:ind w:left="1511" w:hanging="217"/>
      </w:pPr>
      <w:rPr>
        <w:rFonts w:hint="default"/>
        <w:lang w:val="en-GB" w:eastAsia="en-GB" w:bidi="en-GB"/>
      </w:rPr>
    </w:lvl>
    <w:lvl w:ilvl="8" w:tplc="19529DB2">
      <w:numFmt w:val="bullet"/>
      <w:lvlText w:val="•"/>
      <w:lvlJc w:val="left"/>
      <w:pPr>
        <w:ind w:left="1684" w:hanging="217"/>
      </w:pPr>
      <w:rPr>
        <w:rFonts w:hint="default"/>
        <w:lang w:val="en-GB" w:eastAsia="en-GB" w:bidi="en-GB"/>
      </w:rPr>
    </w:lvl>
  </w:abstractNum>
  <w:abstractNum w:abstractNumId="99" w15:restartNumberingAfterBreak="0">
    <w:nsid w:val="08DA3B66"/>
    <w:multiLevelType w:val="hybridMultilevel"/>
    <w:tmpl w:val="FC387CE2"/>
    <w:lvl w:ilvl="0" w:tplc="7B2E05A0">
      <w:numFmt w:val="bullet"/>
      <w:lvlText w:val="•"/>
      <w:lvlJc w:val="left"/>
      <w:pPr>
        <w:ind w:left="301" w:hanging="217"/>
      </w:pPr>
      <w:rPr>
        <w:rFonts w:ascii="Arial" w:eastAsia="Arial" w:hAnsi="Arial" w:cs="Arial" w:hint="default"/>
        <w:color w:val="231F20"/>
        <w:w w:val="102"/>
        <w:sz w:val="17"/>
        <w:szCs w:val="17"/>
        <w:lang w:val="en-GB" w:eastAsia="en-GB" w:bidi="en-GB"/>
      </w:rPr>
    </w:lvl>
    <w:lvl w:ilvl="1" w:tplc="2B9094C8">
      <w:numFmt w:val="bullet"/>
      <w:lvlText w:val="•"/>
      <w:lvlJc w:val="left"/>
      <w:pPr>
        <w:ind w:left="790" w:hanging="217"/>
      </w:pPr>
      <w:rPr>
        <w:rFonts w:hint="default"/>
        <w:lang w:val="en-GB" w:eastAsia="en-GB" w:bidi="en-GB"/>
      </w:rPr>
    </w:lvl>
    <w:lvl w:ilvl="2" w:tplc="29E45FD0">
      <w:numFmt w:val="bullet"/>
      <w:lvlText w:val="•"/>
      <w:lvlJc w:val="left"/>
      <w:pPr>
        <w:ind w:left="1280" w:hanging="217"/>
      </w:pPr>
      <w:rPr>
        <w:rFonts w:hint="default"/>
        <w:lang w:val="en-GB" w:eastAsia="en-GB" w:bidi="en-GB"/>
      </w:rPr>
    </w:lvl>
    <w:lvl w:ilvl="3" w:tplc="48E61996">
      <w:numFmt w:val="bullet"/>
      <w:lvlText w:val="•"/>
      <w:lvlJc w:val="left"/>
      <w:pPr>
        <w:ind w:left="1770" w:hanging="217"/>
      </w:pPr>
      <w:rPr>
        <w:rFonts w:hint="default"/>
        <w:lang w:val="en-GB" w:eastAsia="en-GB" w:bidi="en-GB"/>
      </w:rPr>
    </w:lvl>
    <w:lvl w:ilvl="4" w:tplc="0DB098D0">
      <w:numFmt w:val="bullet"/>
      <w:lvlText w:val="•"/>
      <w:lvlJc w:val="left"/>
      <w:pPr>
        <w:ind w:left="2260" w:hanging="217"/>
      </w:pPr>
      <w:rPr>
        <w:rFonts w:hint="default"/>
        <w:lang w:val="en-GB" w:eastAsia="en-GB" w:bidi="en-GB"/>
      </w:rPr>
    </w:lvl>
    <w:lvl w:ilvl="5" w:tplc="13E80ABE">
      <w:numFmt w:val="bullet"/>
      <w:lvlText w:val="•"/>
      <w:lvlJc w:val="left"/>
      <w:pPr>
        <w:ind w:left="2751" w:hanging="217"/>
      </w:pPr>
      <w:rPr>
        <w:rFonts w:hint="default"/>
        <w:lang w:val="en-GB" w:eastAsia="en-GB" w:bidi="en-GB"/>
      </w:rPr>
    </w:lvl>
    <w:lvl w:ilvl="6" w:tplc="96D6F5D2">
      <w:numFmt w:val="bullet"/>
      <w:lvlText w:val="•"/>
      <w:lvlJc w:val="left"/>
      <w:pPr>
        <w:ind w:left="3241" w:hanging="217"/>
      </w:pPr>
      <w:rPr>
        <w:rFonts w:hint="default"/>
        <w:lang w:val="en-GB" w:eastAsia="en-GB" w:bidi="en-GB"/>
      </w:rPr>
    </w:lvl>
    <w:lvl w:ilvl="7" w:tplc="03F633EA">
      <w:numFmt w:val="bullet"/>
      <w:lvlText w:val="•"/>
      <w:lvlJc w:val="left"/>
      <w:pPr>
        <w:ind w:left="3731" w:hanging="217"/>
      </w:pPr>
      <w:rPr>
        <w:rFonts w:hint="default"/>
        <w:lang w:val="en-GB" w:eastAsia="en-GB" w:bidi="en-GB"/>
      </w:rPr>
    </w:lvl>
    <w:lvl w:ilvl="8" w:tplc="1150A31C">
      <w:numFmt w:val="bullet"/>
      <w:lvlText w:val="•"/>
      <w:lvlJc w:val="left"/>
      <w:pPr>
        <w:ind w:left="4221" w:hanging="217"/>
      </w:pPr>
      <w:rPr>
        <w:rFonts w:hint="default"/>
        <w:lang w:val="en-GB" w:eastAsia="en-GB" w:bidi="en-GB"/>
      </w:rPr>
    </w:lvl>
  </w:abstractNum>
  <w:abstractNum w:abstractNumId="100" w15:restartNumberingAfterBreak="0">
    <w:nsid w:val="08F2659B"/>
    <w:multiLevelType w:val="hybridMultilevel"/>
    <w:tmpl w:val="962EFD8E"/>
    <w:lvl w:ilvl="0" w:tplc="E032813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50E0582">
      <w:numFmt w:val="bullet"/>
      <w:lvlText w:val="•"/>
      <w:lvlJc w:val="left"/>
      <w:pPr>
        <w:ind w:left="892" w:hanging="217"/>
      </w:pPr>
      <w:rPr>
        <w:rFonts w:hint="default"/>
        <w:lang w:val="en-GB" w:eastAsia="en-GB" w:bidi="en-GB"/>
      </w:rPr>
    </w:lvl>
    <w:lvl w:ilvl="2" w:tplc="A7561016">
      <w:numFmt w:val="bullet"/>
      <w:lvlText w:val="•"/>
      <w:lvlJc w:val="left"/>
      <w:pPr>
        <w:ind w:left="1485" w:hanging="217"/>
      </w:pPr>
      <w:rPr>
        <w:rFonts w:hint="default"/>
        <w:lang w:val="en-GB" w:eastAsia="en-GB" w:bidi="en-GB"/>
      </w:rPr>
    </w:lvl>
    <w:lvl w:ilvl="3" w:tplc="5B3C83E8">
      <w:numFmt w:val="bullet"/>
      <w:lvlText w:val="•"/>
      <w:lvlJc w:val="left"/>
      <w:pPr>
        <w:ind w:left="2077" w:hanging="217"/>
      </w:pPr>
      <w:rPr>
        <w:rFonts w:hint="default"/>
        <w:lang w:val="en-GB" w:eastAsia="en-GB" w:bidi="en-GB"/>
      </w:rPr>
    </w:lvl>
    <w:lvl w:ilvl="4" w:tplc="F9C8F106">
      <w:numFmt w:val="bullet"/>
      <w:lvlText w:val="•"/>
      <w:lvlJc w:val="left"/>
      <w:pPr>
        <w:ind w:left="2670" w:hanging="217"/>
      </w:pPr>
      <w:rPr>
        <w:rFonts w:hint="default"/>
        <w:lang w:val="en-GB" w:eastAsia="en-GB" w:bidi="en-GB"/>
      </w:rPr>
    </w:lvl>
    <w:lvl w:ilvl="5" w:tplc="316448E4">
      <w:numFmt w:val="bullet"/>
      <w:lvlText w:val="•"/>
      <w:lvlJc w:val="left"/>
      <w:pPr>
        <w:ind w:left="3263" w:hanging="217"/>
      </w:pPr>
      <w:rPr>
        <w:rFonts w:hint="default"/>
        <w:lang w:val="en-GB" w:eastAsia="en-GB" w:bidi="en-GB"/>
      </w:rPr>
    </w:lvl>
    <w:lvl w:ilvl="6" w:tplc="BC56D276">
      <w:numFmt w:val="bullet"/>
      <w:lvlText w:val="•"/>
      <w:lvlJc w:val="left"/>
      <w:pPr>
        <w:ind w:left="3855" w:hanging="217"/>
      </w:pPr>
      <w:rPr>
        <w:rFonts w:hint="default"/>
        <w:lang w:val="en-GB" w:eastAsia="en-GB" w:bidi="en-GB"/>
      </w:rPr>
    </w:lvl>
    <w:lvl w:ilvl="7" w:tplc="8DA2F000">
      <w:numFmt w:val="bullet"/>
      <w:lvlText w:val="•"/>
      <w:lvlJc w:val="left"/>
      <w:pPr>
        <w:ind w:left="4448" w:hanging="217"/>
      </w:pPr>
      <w:rPr>
        <w:rFonts w:hint="default"/>
        <w:lang w:val="en-GB" w:eastAsia="en-GB" w:bidi="en-GB"/>
      </w:rPr>
    </w:lvl>
    <w:lvl w:ilvl="8" w:tplc="C994C736">
      <w:numFmt w:val="bullet"/>
      <w:lvlText w:val="•"/>
      <w:lvlJc w:val="left"/>
      <w:pPr>
        <w:ind w:left="5040" w:hanging="217"/>
      </w:pPr>
      <w:rPr>
        <w:rFonts w:hint="default"/>
        <w:lang w:val="en-GB" w:eastAsia="en-GB" w:bidi="en-GB"/>
      </w:rPr>
    </w:lvl>
  </w:abstractNum>
  <w:abstractNum w:abstractNumId="101" w15:restartNumberingAfterBreak="0">
    <w:nsid w:val="091B709E"/>
    <w:multiLevelType w:val="hybridMultilevel"/>
    <w:tmpl w:val="7E66B1E4"/>
    <w:lvl w:ilvl="0" w:tplc="EC6A5F0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B12C0CC">
      <w:numFmt w:val="bullet"/>
      <w:lvlText w:val="•"/>
      <w:lvlJc w:val="left"/>
      <w:pPr>
        <w:ind w:left="892" w:hanging="217"/>
      </w:pPr>
      <w:rPr>
        <w:rFonts w:hint="default"/>
        <w:lang w:val="en-GB" w:eastAsia="en-GB" w:bidi="en-GB"/>
      </w:rPr>
    </w:lvl>
    <w:lvl w:ilvl="2" w:tplc="E8F230E2">
      <w:numFmt w:val="bullet"/>
      <w:lvlText w:val="•"/>
      <w:lvlJc w:val="left"/>
      <w:pPr>
        <w:ind w:left="1485" w:hanging="217"/>
      </w:pPr>
      <w:rPr>
        <w:rFonts w:hint="default"/>
        <w:lang w:val="en-GB" w:eastAsia="en-GB" w:bidi="en-GB"/>
      </w:rPr>
    </w:lvl>
    <w:lvl w:ilvl="3" w:tplc="C5026E6E">
      <w:numFmt w:val="bullet"/>
      <w:lvlText w:val="•"/>
      <w:lvlJc w:val="left"/>
      <w:pPr>
        <w:ind w:left="2077" w:hanging="217"/>
      </w:pPr>
      <w:rPr>
        <w:rFonts w:hint="default"/>
        <w:lang w:val="en-GB" w:eastAsia="en-GB" w:bidi="en-GB"/>
      </w:rPr>
    </w:lvl>
    <w:lvl w:ilvl="4" w:tplc="F070B46C">
      <w:numFmt w:val="bullet"/>
      <w:lvlText w:val="•"/>
      <w:lvlJc w:val="left"/>
      <w:pPr>
        <w:ind w:left="2670" w:hanging="217"/>
      </w:pPr>
      <w:rPr>
        <w:rFonts w:hint="default"/>
        <w:lang w:val="en-GB" w:eastAsia="en-GB" w:bidi="en-GB"/>
      </w:rPr>
    </w:lvl>
    <w:lvl w:ilvl="5" w:tplc="282A1912">
      <w:numFmt w:val="bullet"/>
      <w:lvlText w:val="•"/>
      <w:lvlJc w:val="left"/>
      <w:pPr>
        <w:ind w:left="3263" w:hanging="217"/>
      </w:pPr>
      <w:rPr>
        <w:rFonts w:hint="default"/>
        <w:lang w:val="en-GB" w:eastAsia="en-GB" w:bidi="en-GB"/>
      </w:rPr>
    </w:lvl>
    <w:lvl w:ilvl="6" w:tplc="077C5934">
      <w:numFmt w:val="bullet"/>
      <w:lvlText w:val="•"/>
      <w:lvlJc w:val="left"/>
      <w:pPr>
        <w:ind w:left="3855" w:hanging="217"/>
      </w:pPr>
      <w:rPr>
        <w:rFonts w:hint="default"/>
        <w:lang w:val="en-GB" w:eastAsia="en-GB" w:bidi="en-GB"/>
      </w:rPr>
    </w:lvl>
    <w:lvl w:ilvl="7" w:tplc="7F6A970A">
      <w:numFmt w:val="bullet"/>
      <w:lvlText w:val="•"/>
      <w:lvlJc w:val="left"/>
      <w:pPr>
        <w:ind w:left="4448" w:hanging="217"/>
      </w:pPr>
      <w:rPr>
        <w:rFonts w:hint="default"/>
        <w:lang w:val="en-GB" w:eastAsia="en-GB" w:bidi="en-GB"/>
      </w:rPr>
    </w:lvl>
    <w:lvl w:ilvl="8" w:tplc="D0525B64">
      <w:numFmt w:val="bullet"/>
      <w:lvlText w:val="•"/>
      <w:lvlJc w:val="left"/>
      <w:pPr>
        <w:ind w:left="5040" w:hanging="217"/>
      </w:pPr>
      <w:rPr>
        <w:rFonts w:hint="default"/>
        <w:lang w:val="en-GB" w:eastAsia="en-GB" w:bidi="en-GB"/>
      </w:rPr>
    </w:lvl>
  </w:abstractNum>
  <w:abstractNum w:abstractNumId="102" w15:restartNumberingAfterBreak="0">
    <w:nsid w:val="095F251E"/>
    <w:multiLevelType w:val="hybridMultilevel"/>
    <w:tmpl w:val="57105AC0"/>
    <w:lvl w:ilvl="0" w:tplc="06705194">
      <w:numFmt w:val="bullet"/>
      <w:lvlText w:val="•"/>
      <w:lvlJc w:val="left"/>
      <w:pPr>
        <w:ind w:left="305" w:hanging="217"/>
      </w:pPr>
      <w:rPr>
        <w:rFonts w:ascii="Arial" w:eastAsia="Arial" w:hAnsi="Arial" w:cs="Arial" w:hint="default"/>
        <w:color w:val="231F20"/>
        <w:w w:val="102"/>
        <w:sz w:val="17"/>
        <w:szCs w:val="17"/>
        <w:lang w:val="en-GB" w:eastAsia="en-GB" w:bidi="en-GB"/>
      </w:rPr>
    </w:lvl>
    <w:lvl w:ilvl="1" w:tplc="EBAA5F42">
      <w:numFmt w:val="bullet"/>
      <w:lvlText w:val="•"/>
      <w:lvlJc w:val="left"/>
      <w:pPr>
        <w:ind w:left="892" w:hanging="217"/>
      </w:pPr>
      <w:rPr>
        <w:rFonts w:hint="default"/>
        <w:lang w:val="en-GB" w:eastAsia="en-GB" w:bidi="en-GB"/>
      </w:rPr>
    </w:lvl>
    <w:lvl w:ilvl="2" w:tplc="F1DAEA14">
      <w:numFmt w:val="bullet"/>
      <w:lvlText w:val="•"/>
      <w:lvlJc w:val="left"/>
      <w:pPr>
        <w:ind w:left="1485" w:hanging="217"/>
      </w:pPr>
      <w:rPr>
        <w:rFonts w:hint="default"/>
        <w:lang w:val="en-GB" w:eastAsia="en-GB" w:bidi="en-GB"/>
      </w:rPr>
    </w:lvl>
    <w:lvl w:ilvl="3" w:tplc="8828D642">
      <w:numFmt w:val="bullet"/>
      <w:lvlText w:val="•"/>
      <w:lvlJc w:val="left"/>
      <w:pPr>
        <w:ind w:left="2077" w:hanging="217"/>
      </w:pPr>
      <w:rPr>
        <w:rFonts w:hint="default"/>
        <w:lang w:val="en-GB" w:eastAsia="en-GB" w:bidi="en-GB"/>
      </w:rPr>
    </w:lvl>
    <w:lvl w:ilvl="4" w:tplc="3BC08BC6">
      <w:numFmt w:val="bullet"/>
      <w:lvlText w:val="•"/>
      <w:lvlJc w:val="left"/>
      <w:pPr>
        <w:ind w:left="2670" w:hanging="217"/>
      </w:pPr>
      <w:rPr>
        <w:rFonts w:hint="default"/>
        <w:lang w:val="en-GB" w:eastAsia="en-GB" w:bidi="en-GB"/>
      </w:rPr>
    </w:lvl>
    <w:lvl w:ilvl="5" w:tplc="C0E24FE4">
      <w:numFmt w:val="bullet"/>
      <w:lvlText w:val="•"/>
      <w:lvlJc w:val="left"/>
      <w:pPr>
        <w:ind w:left="3263" w:hanging="217"/>
      </w:pPr>
      <w:rPr>
        <w:rFonts w:hint="default"/>
        <w:lang w:val="en-GB" w:eastAsia="en-GB" w:bidi="en-GB"/>
      </w:rPr>
    </w:lvl>
    <w:lvl w:ilvl="6" w:tplc="4B14A754">
      <w:numFmt w:val="bullet"/>
      <w:lvlText w:val="•"/>
      <w:lvlJc w:val="left"/>
      <w:pPr>
        <w:ind w:left="3855" w:hanging="217"/>
      </w:pPr>
      <w:rPr>
        <w:rFonts w:hint="default"/>
        <w:lang w:val="en-GB" w:eastAsia="en-GB" w:bidi="en-GB"/>
      </w:rPr>
    </w:lvl>
    <w:lvl w:ilvl="7" w:tplc="EDCAF736">
      <w:numFmt w:val="bullet"/>
      <w:lvlText w:val="•"/>
      <w:lvlJc w:val="left"/>
      <w:pPr>
        <w:ind w:left="4448" w:hanging="217"/>
      </w:pPr>
      <w:rPr>
        <w:rFonts w:hint="default"/>
        <w:lang w:val="en-GB" w:eastAsia="en-GB" w:bidi="en-GB"/>
      </w:rPr>
    </w:lvl>
    <w:lvl w:ilvl="8" w:tplc="845C4DF6">
      <w:numFmt w:val="bullet"/>
      <w:lvlText w:val="•"/>
      <w:lvlJc w:val="left"/>
      <w:pPr>
        <w:ind w:left="5040" w:hanging="217"/>
      </w:pPr>
      <w:rPr>
        <w:rFonts w:hint="default"/>
        <w:lang w:val="en-GB" w:eastAsia="en-GB" w:bidi="en-GB"/>
      </w:rPr>
    </w:lvl>
  </w:abstractNum>
  <w:abstractNum w:abstractNumId="103" w15:restartNumberingAfterBreak="0">
    <w:nsid w:val="096E69E8"/>
    <w:multiLevelType w:val="hybridMultilevel"/>
    <w:tmpl w:val="6158EFFA"/>
    <w:lvl w:ilvl="0" w:tplc="F1D4163C">
      <w:numFmt w:val="bullet"/>
      <w:lvlText w:val="•"/>
      <w:lvlJc w:val="left"/>
      <w:pPr>
        <w:ind w:left="304" w:hanging="217"/>
      </w:pPr>
      <w:rPr>
        <w:rFonts w:ascii="Arial" w:eastAsia="Arial" w:hAnsi="Arial" w:cs="Arial" w:hint="default"/>
        <w:color w:val="231F20"/>
        <w:spacing w:val="-17"/>
        <w:w w:val="100"/>
        <w:sz w:val="18"/>
        <w:szCs w:val="18"/>
        <w:lang w:val="en-GB" w:eastAsia="en-GB" w:bidi="en-GB"/>
      </w:rPr>
    </w:lvl>
    <w:lvl w:ilvl="1" w:tplc="5A889F4A">
      <w:numFmt w:val="bullet"/>
      <w:lvlText w:val="•"/>
      <w:lvlJc w:val="left"/>
      <w:pPr>
        <w:ind w:left="473" w:hanging="217"/>
      </w:pPr>
      <w:rPr>
        <w:rFonts w:hint="default"/>
        <w:lang w:val="en-GB" w:eastAsia="en-GB" w:bidi="en-GB"/>
      </w:rPr>
    </w:lvl>
    <w:lvl w:ilvl="2" w:tplc="724A0B34">
      <w:numFmt w:val="bullet"/>
      <w:lvlText w:val="•"/>
      <w:lvlJc w:val="left"/>
      <w:pPr>
        <w:ind w:left="646" w:hanging="217"/>
      </w:pPr>
      <w:rPr>
        <w:rFonts w:hint="default"/>
        <w:lang w:val="en-GB" w:eastAsia="en-GB" w:bidi="en-GB"/>
      </w:rPr>
    </w:lvl>
    <w:lvl w:ilvl="3" w:tplc="3B00EC82">
      <w:numFmt w:val="bullet"/>
      <w:lvlText w:val="•"/>
      <w:lvlJc w:val="left"/>
      <w:pPr>
        <w:ind w:left="819" w:hanging="217"/>
      </w:pPr>
      <w:rPr>
        <w:rFonts w:hint="default"/>
        <w:lang w:val="en-GB" w:eastAsia="en-GB" w:bidi="en-GB"/>
      </w:rPr>
    </w:lvl>
    <w:lvl w:ilvl="4" w:tplc="E54C12F8">
      <w:numFmt w:val="bullet"/>
      <w:lvlText w:val="•"/>
      <w:lvlJc w:val="left"/>
      <w:pPr>
        <w:ind w:left="992" w:hanging="217"/>
      </w:pPr>
      <w:rPr>
        <w:rFonts w:hint="default"/>
        <w:lang w:val="en-GB" w:eastAsia="en-GB" w:bidi="en-GB"/>
      </w:rPr>
    </w:lvl>
    <w:lvl w:ilvl="5" w:tplc="055278F4">
      <w:numFmt w:val="bullet"/>
      <w:lvlText w:val="•"/>
      <w:lvlJc w:val="left"/>
      <w:pPr>
        <w:ind w:left="1165" w:hanging="217"/>
      </w:pPr>
      <w:rPr>
        <w:rFonts w:hint="default"/>
        <w:lang w:val="en-GB" w:eastAsia="en-GB" w:bidi="en-GB"/>
      </w:rPr>
    </w:lvl>
    <w:lvl w:ilvl="6" w:tplc="9C90AB96">
      <w:numFmt w:val="bullet"/>
      <w:lvlText w:val="•"/>
      <w:lvlJc w:val="left"/>
      <w:pPr>
        <w:ind w:left="1338" w:hanging="217"/>
      </w:pPr>
      <w:rPr>
        <w:rFonts w:hint="default"/>
        <w:lang w:val="en-GB" w:eastAsia="en-GB" w:bidi="en-GB"/>
      </w:rPr>
    </w:lvl>
    <w:lvl w:ilvl="7" w:tplc="2C148A38">
      <w:numFmt w:val="bullet"/>
      <w:lvlText w:val="•"/>
      <w:lvlJc w:val="left"/>
      <w:pPr>
        <w:ind w:left="1511" w:hanging="217"/>
      </w:pPr>
      <w:rPr>
        <w:rFonts w:hint="default"/>
        <w:lang w:val="en-GB" w:eastAsia="en-GB" w:bidi="en-GB"/>
      </w:rPr>
    </w:lvl>
    <w:lvl w:ilvl="8" w:tplc="EECEE9B0">
      <w:numFmt w:val="bullet"/>
      <w:lvlText w:val="•"/>
      <w:lvlJc w:val="left"/>
      <w:pPr>
        <w:ind w:left="1684" w:hanging="217"/>
      </w:pPr>
      <w:rPr>
        <w:rFonts w:hint="default"/>
        <w:lang w:val="en-GB" w:eastAsia="en-GB" w:bidi="en-GB"/>
      </w:rPr>
    </w:lvl>
  </w:abstractNum>
  <w:abstractNum w:abstractNumId="104" w15:restartNumberingAfterBreak="0">
    <w:nsid w:val="096E767E"/>
    <w:multiLevelType w:val="hybridMultilevel"/>
    <w:tmpl w:val="FF90E488"/>
    <w:lvl w:ilvl="0" w:tplc="E1C85B24">
      <w:numFmt w:val="bullet"/>
      <w:lvlText w:val="•"/>
      <w:lvlJc w:val="left"/>
      <w:pPr>
        <w:ind w:left="276" w:hanging="217"/>
      </w:pPr>
      <w:rPr>
        <w:rFonts w:ascii="Arial" w:eastAsia="Arial" w:hAnsi="Arial" w:cs="Arial" w:hint="default"/>
        <w:color w:val="231F20"/>
        <w:w w:val="97"/>
        <w:sz w:val="16"/>
        <w:szCs w:val="16"/>
        <w:lang w:val="en-GB" w:eastAsia="en-GB" w:bidi="en-GB"/>
      </w:rPr>
    </w:lvl>
    <w:lvl w:ilvl="1" w:tplc="D1A40058">
      <w:numFmt w:val="bullet"/>
      <w:lvlText w:val="•"/>
      <w:lvlJc w:val="left"/>
      <w:pPr>
        <w:ind w:left="381" w:hanging="217"/>
      </w:pPr>
      <w:rPr>
        <w:rFonts w:hint="default"/>
        <w:lang w:val="en-GB" w:eastAsia="en-GB" w:bidi="en-GB"/>
      </w:rPr>
    </w:lvl>
    <w:lvl w:ilvl="2" w:tplc="75ACB55A">
      <w:numFmt w:val="bullet"/>
      <w:lvlText w:val="•"/>
      <w:lvlJc w:val="left"/>
      <w:pPr>
        <w:ind w:left="482" w:hanging="217"/>
      </w:pPr>
      <w:rPr>
        <w:rFonts w:hint="default"/>
        <w:lang w:val="en-GB" w:eastAsia="en-GB" w:bidi="en-GB"/>
      </w:rPr>
    </w:lvl>
    <w:lvl w:ilvl="3" w:tplc="EA5EBF2E">
      <w:numFmt w:val="bullet"/>
      <w:lvlText w:val="•"/>
      <w:lvlJc w:val="left"/>
      <w:pPr>
        <w:ind w:left="584" w:hanging="217"/>
      </w:pPr>
      <w:rPr>
        <w:rFonts w:hint="default"/>
        <w:lang w:val="en-GB" w:eastAsia="en-GB" w:bidi="en-GB"/>
      </w:rPr>
    </w:lvl>
    <w:lvl w:ilvl="4" w:tplc="E88E2B48">
      <w:numFmt w:val="bullet"/>
      <w:lvlText w:val="•"/>
      <w:lvlJc w:val="left"/>
      <w:pPr>
        <w:ind w:left="685" w:hanging="217"/>
      </w:pPr>
      <w:rPr>
        <w:rFonts w:hint="default"/>
        <w:lang w:val="en-GB" w:eastAsia="en-GB" w:bidi="en-GB"/>
      </w:rPr>
    </w:lvl>
    <w:lvl w:ilvl="5" w:tplc="C9B6C95A">
      <w:numFmt w:val="bullet"/>
      <w:lvlText w:val="•"/>
      <w:lvlJc w:val="left"/>
      <w:pPr>
        <w:ind w:left="787" w:hanging="217"/>
      </w:pPr>
      <w:rPr>
        <w:rFonts w:hint="default"/>
        <w:lang w:val="en-GB" w:eastAsia="en-GB" w:bidi="en-GB"/>
      </w:rPr>
    </w:lvl>
    <w:lvl w:ilvl="6" w:tplc="FF423156">
      <w:numFmt w:val="bullet"/>
      <w:lvlText w:val="•"/>
      <w:lvlJc w:val="left"/>
      <w:pPr>
        <w:ind w:left="888" w:hanging="217"/>
      </w:pPr>
      <w:rPr>
        <w:rFonts w:hint="default"/>
        <w:lang w:val="en-GB" w:eastAsia="en-GB" w:bidi="en-GB"/>
      </w:rPr>
    </w:lvl>
    <w:lvl w:ilvl="7" w:tplc="384E6D10">
      <w:numFmt w:val="bullet"/>
      <w:lvlText w:val="•"/>
      <w:lvlJc w:val="left"/>
      <w:pPr>
        <w:ind w:left="989" w:hanging="217"/>
      </w:pPr>
      <w:rPr>
        <w:rFonts w:hint="default"/>
        <w:lang w:val="en-GB" w:eastAsia="en-GB" w:bidi="en-GB"/>
      </w:rPr>
    </w:lvl>
    <w:lvl w:ilvl="8" w:tplc="668ECF46">
      <w:numFmt w:val="bullet"/>
      <w:lvlText w:val="•"/>
      <w:lvlJc w:val="left"/>
      <w:pPr>
        <w:ind w:left="1091" w:hanging="217"/>
      </w:pPr>
      <w:rPr>
        <w:rFonts w:hint="default"/>
        <w:lang w:val="en-GB" w:eastAsia="en-GB" w:bidi="en-GB"/>
      </w:rPr>
    </w:lvl>
  </w:abstractNum>
  <w:abstractNum w:abstractNumId="105" w15:restartNumberingAfterBreak="0">
    <w:nsid w:val="099077EC"/>
    <w:multiLevelType w:val="hybridMultilevel"/>
    <w:tmpl w:val="C756AD5C"/>
    <w:lvl w:ilvl="0" w:tplc="0FC2F2A8">
      <w:numFmt w:val="bullet"/>
      <w:lvlText w:val="•"/>
      <w:lvlJc w:val="left"/>
      <w:pPr>
        <w:ind w:left="276" w:hanging="217"/>
      </w:pPr>
      <w:rPr>
        <w:rFonts w:ascii="Arial" w:eastAsia="Arial" w:hAnsi="Arial" w:cs="Arial" w:hint="default"/>
        <w:color w:val="231F20"/>
        <w:w w:val="97"/>
        <w:sz w:val="16"/>
        <w:szCs w:val="16"/>
        <w:lang w:val="en-GB" w:eastAsia="en-GB" w:bidi="en-GB"/>
      </w:rPr>
    </w:lvl>
    <w:lvl w:ilvl="1" w:tplc="D074A62E">
      <w:numFmt w:val="bullet"/>
      <w:lvlText w:val="•"/>
      <w:lvlJc w:val="left"/>
      <w:pPr>
        <w:ind w:left="381" w:hanging="217"/>
      </w:pPr>
      <w:rPr>
        <w:rFonts w:hint="default"/>
        <w:lang w:val="en-GB" w:eastAsia="en-GB" w:bidi="en-GB"/>
      </w:rPr>
    </w:lvl>
    <w:lvl w:ilvl="2" w:tplc="D42C2A8E">
      <w:numFmt w:val="bullet"/>
      <w:lvlText w:val="•"/>
      <w:lvlJc w:val="left"/>
      <w:pPr>
        <w:ind w:left="482" w:hanging="217"/>
      </w:pPr>
      <w:rPr>
        <w:rFonts w:hint="default"/>
        <w:lang w:val="en-GB" w:eastAsia="en-GB" w:bidi="en-GB"/>
      </w:rPr>
    </w:lvl>
    <w:lvl w:ilvl="3" w:tplc="EF40F66A">
      <w:numFmt w:val="bullet"/>
      <w:lvlText w:val="•"/>
      <w:lvlJc w:val="left"/>
      <w:pPr>
        <w:ind w:left="584" w:hanging="217"/>
      </w:pPr>
      <w:rPr>
        <w:rFonts w:hint="default"/>
        <w:lang w:val="en-GB" w:eastAsia="en-GB" w:bidi="en-GB"/>
      </w:rPr>
    </w:lvl>
    <w:lvl w:ilvl="4" w:tplc="D212A50A">
      <w:numFmt w:val="bullet"/>
      <w:lvlText w:val="•"/>
      <w:lvlJc w:val="left"/>
      <w:pPr>
        <w:ind w:left="685" w:hanging="217"/>
      </w:pPr>
      <w:rPr>
        <w:rFonts w:hint="default"/>
        <w:lang w:val="en-GB" w:eastAsia="en-GB" w:bidi="en-GB"/>
      </w:rPr>
    </w:lvl>
    <w:lvl w:ilvl="5" w:tplc="E51016A8">
      <w:numFmt w:val="bullet"/>
      <w:lvlText w:val="•"/>
      <w:lvlJc w:val="left"/>
      <w:pPr>
        <w:ind w:left="787" w:hanging="217"/>
      </w:pPr>
      <w:rPr>
        <w:rFonts w:hint="default"/>
        <w:lang w:val="en-GB" w:eastAsia="en-GB" w:bidi="en-GB"/>
      </w:rPr>
    </w:lvl>
    <w:lvl w:ilvl="6" w:tplc="B49EAC66">
      <w:numFmt w:val="bullet"/>
      <w:lvlText w:val="•"/>
      <w:lvlJc w:val="left"/>
      <w:pPr>
        <w:ind w:left="888" w:hanging="217"/>
      </w:pPr>
      <w:rPr>
        <w:rFonts w:hint="default"/>
        <w:lang w:val="en-GB" w:eastAsia="en-GB" w:bidi="en-GB"/>
      </w:rPr>
    </w:lvl>
    <w:lvl w:ilvl="7" w:tplc="5016D320">
      <w:numFmt w:val="bullet"/>
      <w:lvlText w:val="•"/>
      <w:lvlJc w:val="left"/>
      <w:pPr>
        <w:ind w:left="989" w:hanging="217"/>
      </w:pPr>
      <w:rPr>
        <w:rFonts w:hint="default"/>
        <w:lang w:val="en-GB" w:eastAsia="en-GB" w:bidi="en-GB"/>
      </w:rPr>
    </w:lvl>
    <w:lvl w:ilvl="8" w:tplc="10AA9054">
      <w:numFmt w:val="bullet"/>
      <w:lvlText w:val="•"/>
      <w:lvlJc w:val="left"/>
      <w:pPr>
        <w:ind w:left="1091" w:hanging="217"/>
      </w:pPr>
      <w:rPr>
        <w:rFonts w:hint="default"/>
        <w:lang w:val="en-GB" w:eastAsia="en-GB" w:bidi="en-GB"/>
      </w:rPr>
    </w:lvl>
  </w:abstractNum>
  <w:abstractNum w:abstractNumId="106" w15:restartNumberingAfterBreak="0">
    <w:nsid w:val="09942D23"/>
    <w:multiLevelType w:val="hybridMultilevel"/>
    <w:tmpl w:val="9DAA27AE"/>
    <w:lvl w:ilvl="0" w:tplc="C832C462">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7A4889EC">
      <w:numFmt w:val="bullet"/>
      <w:lvlText w:val="•"/>
      <w:lvlJc w:val="left"/>
      <w:pPr>
        <w:ind w:left="473" w:hanging="217"/>
      </w:pPr>
      <w:rPr>
        <w:rFonts w:hint="default"/>
        <w:lang w:val="en-GB" w:eastAsia="en-GB" w:bidi="en-GB"/>
      </w:rPr>
    </w:lvl>
    <w:lvl w:ilvl="2" w:tplc="C0E6B504">
      <w:numFmt w:val="bullet"/>
      <w:lvlText w:val="•"/>
      <w:lvlJc w:val="left"/>
      <w:pPr>
        <w:ind w:left="646" w:hanging="217"/>
      </w:pPr>
      <w:rPr>
        <w:rFonts w:hint="default"/>
        <w:lang w:val="en-GB" w:eastAsia="en-GB" w:bidi="en-GB"/>
      </w:rPr>
    </w:lvl>
    <w:lvl w:ilvl="3" w:tplc="F070958E">
      <w:numFmt w:val="bullet"/>
      <w:lvlText w:val="•"/>
      <w:lvlJc w:val="left"/>
      <w:pPr>
        <w:ind w:left="819" w:hanging="217"/>
      </w:pPr>
      <w:rPr>
        <w:rFonts w:hint="default"/>
        <w:lang w:val="en-GB" w:eastAsia="en-GB" w:bidi="en-GB"/>
      </w:rPr>
    </w:lvl>
    <w:lvl w:ilvl="4" w:tplc="0AE66786">
      <w:numFmt w:val="bullet"/>
      <w:lvlText w:val="•"/>
      <w:lvlJc w:val="left"/>
      <w:pPr>
        <w:ind w:left="992" w:hanging="217"/>
      </w:pPr>
      <w:rPr>
        <w:rFonts w:hint="default"/>
        <w:lang w:val="en-GB" w:eastAsia="en-GB" w:bidi="en-GB"/>
      </w:rPr>
    </w:lvl>
    <w:lvl w:ilvl="5" w:tplc="1AA48C7A">
      <w:numFmt w:val="bullet"/>
      <w:lvlText w:val="•"/>
      <w:lvlJc w:val="left"/>
      <w:pPr>
        <w:ind w:left="1165" w:hanging="217"/>
      </w:pPr>
      <w:rPr>
        <w:rFonts w:hint="default"/>
        <w:lang w:val="en-GB" w:eastAsia="en-GB" w:bidi="en-GB"/>
      </w:rPr>
    </w:lvl>
    <w:lvl w:ilvl="6" w:tplc="A2F88F86">
      <w:numFmt w:val="bullet"/>
      <w:lvlText w:val="•"/>
      <w:lvlJc w:val="left"/>
      <w:pPr>
        <w:ind w:left="1338" w:hanging="217"/>
      </w:pPr>
      <w:rPr>
        <w:rFonts w:hint="default"/>
        <w:lang w:val="en-GB" w:eastAsia="en-GB" w:bidi="en-GB"/>
      </w:rPr>
    </w:lvl>
    <w:lvl w:ilvl="7" w:tplc="6BDEC3A2">
      <w:numFmt w:val="bullet"/>
      <w:lvlText w:val="•"/>
      <w:lvlJc w:val="left"/>
      <w:pPr>
        <w:ind w:left="1511" w:hanging="217"/>
      </w:pPr>
      <w:rPr>
        <w:rFonts w:hint="default"/>
        <w:lang w:val="en-GB" w:eastAsia="en-GB" w:bidi="en-GB"/>
      </w:rPr>
    </w:lvl>
    <w:lvl w:ilvl="8" w:tplc="93FA447C">
      <w:numFmt w:val="bullet"/>
      <w:lvlText w:val="•"/>
      <w:lvlJc w:val="left"/>
      <w:pPr>
        <w:ind w:left="1684" w:hanging="217"/>
      </w:pPr>
      <w:rPr>
        <w:rFonts w:hint="default"/>
        <w:lang w:val="en-GB" w:eastAsia="en-GB" w:bidi="en-GB"/>
      </w:rPr>
    </w:lvl>
  </w:abstractNum>
  <w:abstractNum w:abstractNumId="107" w15:restartNumberingAfterBreak="0">
    <w:nsid w:val="09C33C25"/>
    <w:multiLevelType w:val="hybridMultilevel"/>
    <w:tmpl w:val="1D405F20"/>
    <w:lvl w:ilvl="0" w:tplc="C1E05CE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965CECB8">
      <w:numFmt w:val="bullet"/>
      <w:lvlText w:val="•"/>
      <w:lvlJc w:val="left"/>
      <w:pPr>
        <w:ind w:left="473" w:hanging="217"/>
      </w:pPr>
      <w:rPr>
        <w:rFonts w:hint="default"/>
        <w:lang w:val="en-GB" w:eastAsia="en-GB" w:bidi="en-GB"/>
      </w:rPr>
    </w:lvl>
    <w:lvl w:ilvl="2" w:tplc="067E7E0C">
      <w:numFmt w:val="bullet"/>
      <w:lvlText w:val="•"/>
      <w:lvlJc w:val="left"/>
      <w:pPr>
        <w:ind w:left="646" w:hanging="217"/>
      </w:pPr>
      <w:rPr>
        <w:rFonts w:hint="default"/>
        <w:lang w:val="en-GB" w:eastAsia="en-GB" w:bidi="en-GB"/>
      </w:rPr>
    </w:lvl>
    <w:lvl w:ilvl="3" w:tplc="2050F800">
      <w:numFmt w:val="bullet"/>
      <w:lvlText w:val="•"/>
      <w:lvlJc w:val="left"/>
      <w:pPr>
        <w:ind w:left="819" w:hanging="217"/>
      </w:pPr>
      <w:rPr>
        <w:rFonts w:hint="default"/>
        <w:lang w:val="en-GB" w:eastAsia="en-GB" w:bidi="en-GB"/>
      </w:rPr>
    </w:lvl>
    <w:lvl w:ilvl="4" w:tplc="BBEE2B90">
      <w:numFmt w:val="bullet"/>
      <w:lvlText w:val="•"/>
      <w:lvlJc w:val="left"/>
      <w:pPr>
        <w:ind w:left="992" w:hanging="217"/>
      </w:pPr>
      <w:rPr>
        <w:rFonts w:hint="default"/>
        <w:lang w:val="en-GB" w:eastAsia="en-GB" w:bidi="en-GB"/>
      </w:rPr>
    </w:lvl>
    <w:lvl w:ilvl="5" w:tplc="A30EBF5C">
      <w:numFmt w:val="bullet"/>
      <w:lvlText w:val="•"/>
      <w:lvlJc w:val="left"/>
      <w:pPr>
        <w:ind w:left="1165" w:hanging="217"/>
      </w:pPr>
      <w:rPr>
        <w:rFonts w:hint="default"/>
        <w:lang w:val="en-GB" w:eastAsia="en-GB" w:bidi="en-GB"/>
      </w:rPr>
    </w:lvl>
    <w:lvl w:ilvl="6" w:tplc="C6E25090">
      <w:numFmt w:val="bullet"/>
      <w:lvlText w:val="•"/>
      <w:lvlJc w:val="left"/>
      <w:pPr>
        <w:ind w:left="1338" w:hanging="217"/>
      </w:pPr>
      <w:rPr>
        <w:rFonts w:hint="default"/>
        <w:lang w:val="en-GB" w:eastAsia="en-GB" w:bidi="en-GB"/>
      </w:rPr>
    </w:lvl>
    <w:lvl w:ilvl="7" w:tplc="1ACC6E7C">
      <w:numFmt w:val="bullet"/>
      <w:lvlText w:val="•"/>
      <w:lvlJc w:val="left"/>
      <w:pPr>
        <w:ind w:left="1511" w:hanging="217"/>
      </w:pPr>
      <w:rPr>
        <w:rFonts w:hint="default"/>
        <w:lang w:val="en-GB" w:eastAsia="en-GB" w:bidi="en-GB"/>
      </w:rPr>
    </w:lvl>
    <w:lvl w:ilvl="8" w:tplc="2B5CCBB2">
      <w:numFmt w:val="bullet"/>
      <w:lvlText w:val="•"/>
      <w:lvlJc w:val="left"/>
      <w:pPr>
        <w:ind w:left="1684" w:hanging="217"/>
      </w:pPr>
      <w:rPr>
        <w:rFonts w:hint="default"/>
        <w:lang w:val="en-GB" w:eastAsia="en-GB" w:bidi="en-GB"/>
      </w:rPr>
    </w:lvl>
  </w:abstractNum>
  <w:abstractNum w:abstractNumId="108" w15:restartNumberingAfterBreak="0">
    <w:nsid w:val="09C44953"/>
    <w:multiLevelType w:val="hybridMultilevel"/>
    <w:tmpl w:val="92A2F472"/>
    <w:lvl w:ilvl="0" w:tplc="3C04DA44">
      <w:numFmt w:val="bullet"/>
      <w:lvlText w:val="•"/>
      <w:lvlJc w:val="left"/>
      <w:pPr>
        <w:ind w:left="304" w:hanging="217"/>
      </w:pPr>
      <w:rPr>
        <w:rFonts w:ascii="Arial" w:eastAsia="Arial" w:hAnsi="Arial" w:cs="Arial" w:hint="default"/>
        <w:color w:val="231F20"/>
        <w:spacing w:val="-14"/>
        <w:w w:val="100"/>
        <w:sz w:val="18"/>
        <w:szCs w:val="18"/>
        <w:lang w:val="en-GB" w:eastAsia="en-GB" w:bidi="en-GB"/>
      </w:rPr>
    </w:lvl>
    <w:lvl w:ilvl="1" w:tplc="15EC6D22">
      <w:numFmt w:val="bullet"/>
      <w:lvlText w:val="•"/>
      <w:lvlJc w:val="left"/>
      <w:pPr>
        <w:ind w:left="473" w:hanging="217"/>
      </w:pPr>
      <w:rPr>
        <w:rFonts w:hint="default"/>
        <w:lang w:val="en-GB" w:eastAsia="en-GB" w:bidi="en-GB"/>
      </w:rPr>
    </w:lvl>
    <w:lvl w:ilvl="2" w:tplc="19DA3FB2">
      <w:numFmt w:val="bullet"/>
      <w:lvlText w:val="•"/>
      <w:lvlJc w:val="left"/>
      <w:pPr>
        <w:ind w:left="646" w:hanging="217"/>
      </w:pPr>
      <w:rPr>
        <w:rFonts w:hint="default"/>
        <w:lang w:val="en-GB" w:eastAsia="en-GB" w:bidi="en-GB"/>
      </w:rPr>
    </w:lvl>
    <w:lvl w:ilvl="3" w:tplc="21202B5A">
      <w:numFmt w:val="bullet"/>
      <w:lvlText w:val="•"/>
      <w:lvlJc w:val="left"/>
      <w:pPr>
        <w:ind w:left="819" w:hanging="217"/>
      </w:pPr>
      <w:rPr>
        <w:rFonts w:hint="default"/>
        <w:lang w:val="en-GB" w:eastAsia="en-GB" w:bidi="en-GB"/>
      </w:rPr>
    </w:lvl>
    <w:lvl w:ilvl="4" w:tplc="60BC86CA">
      <w:numFmt w:val="bullet"/>
      <w:lvlText w:val="•"/>
      <w:lvlJc w:val="left"/>
      <w:pPr>
        <w:ind w:left="992" w:hanging="217"/>
      </w:pPr>
      <w:rPr>
        <w:rFonts w:hint="default"/>
        <w:lang w:val="en-GB" w:eastAsia="en-GB" w:bidi="en-GB"/>
      </w:rPr>
    </w:lvl>
    <w:lvl w:ilvl="5" w:tplc="7D96483A">
      <w:numFmt w:val="bullet"/>
      <w:lvlText w:val="•"/>
      <w:lvlJc w:val="left"/>
      <w:pPr>
        <w:ind w:left="1165" w:hanging="217"/>
      </w:pPr>
      <w:rPr>
        <w:rFonts w:hint="default"/>
        <w:lang w:val="en-GB" w:eastAsia="en-GB" w:bidi="en-GB"/>
      </w:rPr>
    </w:lvl>
    <w:lvl w:ilvl="6" w:tplc="637E6EC2">
      <w:numFmt w:val="bullet"/>
      <w:lvlText w:val="•"/>
      <w:lvlJc w:val="left"/>
      <w:pPr>
        <w:ind w:left="1338" w:hanging="217"/>
      </w:pPr>
      <w:rPr>
        <w:rFonts w:hint="default"/>
        <w:lang w:val="en-GB" w:eastAsia="en-GB" w:bidi="en-GB"/>
      </w:rPr>
    </w:lvl>
    <w:lvl w:ilvl="7" w:tplc="AB02DDE6">
      <w:numFmt w:val="bullet"/>
      <w:lvlText w:val="•"/>
      <w:lvlJc w:val="left"/>
      <w:pPr>
        <w:ind w:left="1511" w:hanging="217"/>
      </w:pPr>
      <w:rPr>
        <w:rFonts w:hint="default"/>
        <w:lang w:val="en-GB" w:eastAsia="en-GB" w:bidi="en-GB"/>
      </w:rPr>
    </w:lvl>
    <w:lvl w:ilvl="8" w:tplc="6D5E463E">
      <w:numFmt w:val="bullet"/>
      <w:lvlText w:val="•"/>
      <w:lvlJc w:val="left"/>
      <w:pPr>
        <w:ind w:left="1684" w:hanging="217"/>
      </w:pPr>
      <w:rPr>
        <w:rFonts w:hint="default"/>
        <w:lang w:val="en-GB" w:eastAsia="en-GB" w:bidi="en-GB"/>
      </w:rPr>
    </w:lvl>
  </w:abstractNum>
  <w:abstractNum w:abstractNumId="109" w15:restartNumberingAfterBreak="0">
    <w:nsid w:val="09F40B50"/>
    <w:multiLevelType w:val="hybridMultilevel"/>
    <w:tmpl w:val="78F60394"/>
    <w:lvl w:ilvl="0" w:tplc="B52267D2">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5E94C656">
      <w:numFmt w:val="bullet"/>
      <w:lvlText w:val="•"/>
      <w:lvlJc w:val="left"/>
      <w:pPr>
        <w:ind w:left="467" w:hanging="217"/>
      </w:pPr>
      <w:rPr>
        <w:rFonts w:hint="default"/>
        <w:lang w:val="en-GB" w:eastAsia="en-GB" w:bidi="en-GB"/>
      </w:rPr>
    </w:lvl>
    <w:lvl w:ilvl="2" w:tplc="513853F2">
      <w:numFmt w:val="bullet"/>
      <w:lvlText w:val="•"/>
      <w:lvlJc w:val="left"/>
      <w:pPr>
        <w:ind w:left="634" w:hanging="217"/>
      </w:pPr>
      <w:rPr>
        <w:rFonts w:hint="default"/>
        <w:lang w:val="en-GB" w:eastAsia="en-GB" w:bidi="en-GB"/>
      </w:rPr>
    </w:lvl>
    <w:lvl w:ilvl="3" w:tplc="DAF2149E">
      <w:numFmt w:val="bullet"/>
      <w:lvlText w:val="•"/>
      <w:lvlJc w:val="left"/>
      <w:pPr>
        <w:ind w:left="802" w:hanging="217"/>
      </w:pPr>
      <w:rPr>
        <w:rFonts w:hint="default"/>
        <w:lang w:val="en-GB" w:eastAsia="en-GB" w:bidi="en-GB"/>
      </w:rPr>
    </w:lvl>
    <w:lvl w:ilvl="4" w:tplc="57CA5D7C">
      <w:numFmt w:val="bullet"/>
      <w:lvlText w:val="•"/>
      <w:lvlJc w:val="left"/>
      <w:pPr>
        <w:ind w:left="969" w:hanging="217"/>
      </w:pPr>
      <w:rPr>
        <w:rFonts w:hint="default"/>
        <w:lang w:val="en-GB" w:eastAsia="en-GB" w:bidi="en-GB"/>
      </w:rPr>
    </w:lvl>
    <w:lvl w:ilvl="5" w:tplc="D850003E">
      <w:numFmt w:val="bullet"/>
      <w:lvlText w:val="•"/>
      <w:lvlJc w:val="left"/>
      <w:pPr>
        <w:ind w:left="1137" w:hanging="217"/>
      </w:pPr>
      <w:rPr>
        <w:rFonts w:hint="default"/>
        <w:lang w:val="en-GB" w:eastAsia="en-GB" w:bidi="en-GB"/>
      </w:rPr>
    </w:lvl>
    <w:lvl w:ilvl="6" w:tplc="9E862214">
      <w:numFmt w:val="bullet"/>
      <w:lvlText w:val="•"/>
      <w:lvlJc w:val="left"/>
      <w:pPr>
        <w:ind w:left="1304" w:hanging="217"/>
      </w:pPr>
      <w:rPr>
        <w:rFonts w:hint="default"/>
        <w:lang w:val="en-GB" w:eastAsia="en-GB" w:bidi="en-GB"/>
      </w:rPr>
    </w:lvl>
    <w:lvl w:ilvl="7" w:tplc="9D2E7822">
      <w:numFmt w:val="bullet"/>
      <w:lvlText w:val="•"/>
      <w:lvlJc w:val="left"/>
      <w:pPr>
        <w:ind w:left="1471" w:hanging="217"/>
      </w:pPr>
      <w:rPr>
        <w:rFonts w:hint="default"/>
        <w:lang w:val="en-GB" w:eastAsia="en-GB" w:bidi="en-GB"/>
      </w:rPr>
    </w:lvl>
    <w:lvl w:ilvl="8" w:tplc="52560188">
      <w:numFmt w:val="bullet"/>
      <w:lvlText w:val="•"/>
      <w:lvlJc w:val="left"/>
      <w:pPr>
        <w:ind w:left="1639" w:hanging="217"/>
      </w:pPr>
      <w:rPr>
        <w:rFonts w:hint="default"/>
        <w:lang w:val="en-GB" w:eastAsia="en-GB" w:bidi="en-GB"/>
      </w:rPr>
    </w:lvl>
  </w:abstractNum>
  <w:abstractNum w:abstractNumId="110" w15:restartNumberingAfterBreak="0">
    <w:nsid w:val="0A07646A"/>
    <w:multiLevelType w:val="hybridMultilevel"/>
    <w:tmpl w:val="EAB609B8"/>
    <w:lvl w:ilvl="0" w:tplc="3A56511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7D8B65A">
      <w:numFmt w:val="bullet"/>
      <w:lvlText w:val="•"/>
      <w:lvlJc w:val="left"/>
      <w:pPr>
        <w:ind w:left="1085" w:hanging="217"/>
      </w:pPr>
      <w:rPr>
        <w:rFonts w:hint="default"/>
        <w:lang w:val="en-GB" w:eastAsia="en-GB" w:bidi="en-GB"/>
      </w:rPr>
    </w:lvl>
    <w:lvl w:ilvl="2" w:tplc="257446AA">
      <w:numFmt w:val="bullet"/>
      <w:lvlText w:val="•"/>
      <w:lvlJc w:val="left"/>
      <w:pPr>
        <w:ind w:left="1870" w:hanging="217"/>
      </w:pPr>
      <w:rPr>
        <w:rFonts w:hint="default"/>
        <w:lang w:val="en-GB" w:eastAsia="en-GB" w:bidi="en-GB"/>
      </w:rPr>
    </w:lvl>
    <w:lvl w:ilvl="3" w:tplc="4B928AA4">
      <w:numFmt w:val="bullet"/>
      <w:lvlText w:val="•"/>
      <w:lvlJc w:val="left"/>
      <w:pPr>
        <w:ind w:left="2656" w:hanging="217"/>
      </w:pPr>
      <w:rPr>
        <w:rFonts w:hint="default"/>
        <w:lang w:val="en-GB" w:eastAsia="en-GB" w:bidi="en-GB"/>
      </w:rPr>
    </w:lvl>
    <w:lvl w:ilvl="4" w:tplc="1C426918">
      <w:numFmt w:val="bullet"/>
      <w:lvlText w:val="•"/>
      <w:lvlJc w:val="left"/>
      <w:pPr>
        <w:ind w:left="3441" w:hanging="217"/>
      </w:pPr>
      <w:rPr>
        <w:rFonts w:hint="default"/>
        <w:lang w:val="en-GB" w:eastAsia="en-GB" w:bidi="en-GB"/>
      </w:rPr>
    </w:lvl>
    <w:lvl w:ilvl="5" w:tplc="5A54B9C0">
      <w:numFmt w:val="bullet"/>
      <w:lvlText w:val="•"/>
      <w:lvlJc w:val="left"/>
      <w:pPr>
        <w:ind w:left="4227" w:hanging="217"/>
      </w:pPr>
      <w:rPr>
        <w:rFonts w:hint="default"/>
        <w:lang w:val="en-GB" w:eastAsia="en-GB" w:bidi="en-GB"/>
      </w:rPr>
    </w:lvl>
    <w:lvl w:ilvl="6" w:tplc="7D6ACB04">
      <w:numFmt w:val="bullet"/>
      <w:lvlText w:val="•"/>
      <w:lvlJc w:val="left"/>
      <w:pPr>
        <w:ind w:left="5012" w:hanging="217"/>
      </w:pPr>
      <w:rPr>
        <w:rFonts w:hint="default"/>
        <w:lang w:val="en-GB" w:eastAsia="en-GB" w:bidi="en-GB"/>
      </w:rPr>
    </w:lvl>
    <w:lvl w:ilvl="7" w:tplc="FE5A6D78">
      <w:numFmt w:val="bullet"/>
      <w:lvlText w:val="•"/>
      <w:lvlJc w:val="left"/>
      <w:pPr>
        <w:ind w:left="5797" w:hanging="217"/>
      </w:pPr>
      <w:rPr>
        <w:rFonts w:hint="default"/>
        <w:lang w:val="en-GB" w:eastAsia="en-GB" w:bidi="en-GB"/>
      </w:rPr>
    </w:lvl>
    <w:lvl w:ilvl="8" w:tplc="170C8456">
      <w:numFmt w:val="bullet"/>
      <w:lvlText w:val="•"/>
      <w:lvlJc w:val="left"/>
      <w:pPr>
        <w:ind w:left="6583" w:hanging="217"/>
      </w:pPr>
      <w:rPr>
        <w:rFonts w:hint="default"/>
        <w:lang w:val="en-GB" w:eastAsia="en-GB" w:bidi="en-GB"/>
      </w:rPr>
    </w:lvl>
  </w:abstractNum>
  <w:abstractNum w:abstractNumId="111" w15:restartNumberingAfterBreak="0">
    <w:nsid w:val="0A2E29E9"/>
    <w:multiLevelType w:val="hybridMultilevel"/>
    <w:tmpl w:val="1B921E5C"/>
    <w:lvl w:ilvl="0" w:tplc="30E0602C">
      <w:numFmt w:val="bullet"/>
      <w:lvlText w:val="•"/>
      <w:lvlJc w:val="left"/>
      <w:pPr>
        <w:ind w:left="276" w:hanging="217"/>
      </w:pPr>
      <w:rPr>
        <w:rFonts w:ascii="Arial" w:eastAsia="Arial" w:hAnsi="Arial" w:cs="Arial" w:hint="default"/>
        <w:color w:val="231F20"/>
        <w:w w:val="97"/>
        <w:sz w:val="16"/>
        <w:szCs w:val="16"/>
        <w:lang w:val="en-GB" w:eastAsia="en-GB" w:bidi="en-GB"/>
      </w:rPr>
    </w:lvl>
    <w:lvl w:ilvl="1" w:tplc="D2549A04">
      <w:numFmt w:val="bullet"/>
      <w:lvlText w:val="•"/>
      <w:lvlJc w:val="left"/>
      <w:pPr>
        <w:ind w:left="381" w:hanging="217"/>
      </w:pPr>
      <w:rPr>
        <w:rFonts w:hint="default"/>
        <w:lang w:val="en-GB" w:eastAsia="en-GB" w:bidi="en-GB"/>
      </w:rPr>
    </w:lvl>
    <w:lvl w:ilvl="2" w:tplc="35C07EBA">
      <w:numFmt w:val="bullet"/>
      <w:lvlText w:val="•"/>
      <w:lvlJc w:val="left"/>
      <w:pPr>
        <w:ind w:left="482" w:hanging="217"/>
      </w:pPr>
      <w:rPr>
        <w:rFonts w:hint="default"/>
        <w:lang w:val="en-GB" w:eastAsia="en-GB" w:bidi="en-GB"/>
      </w:rPr>
    </w:lvl>
    <w:lvl w:ilvl="3" w:tplc="20EA1432">
      <w:numFmt w:val="bullet"/>
      <w:lvlText w:val="•"/>
      <w:lvlJc w:val="left"/>
      <w:pPr>
        <w:ind w:left="584" w:hanging="217"/>
      </w:pPr>
      <w:rPr>
        <w:rFonts w:hint="default"/>
        <w:lang w:val="en-GB" w:eastAsia="en-GB" w:bidi="en-GB"/>
      </w:rPr>
    </w:lvl>
    <w:lvl w:ilvl="4" w:tplc="1348F39C">
      <w:numFmt w:val="bullet"/>
      <w:lvlText w:val="•"/>
      <w:lvlJc w:val="left"/>
      <w:pPr>
        <w:ind w:left="685" w:hanging="217"/>
      </w:pPr>
      <w:rPr>
        <w:rFonts w:hint="default"/>
        <w:lang w:val="en-GB" w:eastAsia="en-GB" w:bidi="en-GB"/>
      </w:rPr>
    </w:lvl>
    <w:lvl w:ilvl="5" w:tplc="6B2AC0E8">
      <w:numFmt w:val="bullet"/>
      <w:lvlText w:val="•"/>
      <w:lvlJc w:val="left"/>
      <w:pPr>
        <w:ind w:left="787" w:hanging="217"/>
      </w:pPr>
      <w:rPr>
        <w:rFonts w:hint="default"/>
        <w:lang w:val="en-GB" w:eastAsia="en-GB" w:bidi="en-GB"/>
      </w:rPr>
    </w:lvl>
    <w:lvl w:ilvl="6" w:tplc="10EA68E6">
      <w:numFmt w:val="bullet"/>
      <w:lvlText w:val="•"/>
      <w:lvlJc w:val="left"/>
      <w:pPr>
        <w:ind w:left="888" w:hanging="217"/>
      </w:pPr>
      <w:rPr>
        <w:rFonts w:hint="default"/>
        <w:lang w:val="en-GB" w:eastAsia="en-GB" w:bidi="en-GB"/>
      </w:rPr>
    </w:lvl>
    <w:lvl w:ilvl="7" w:tplc="9DD6B1CE">
      <w:numFmt w:val="bullet"/>
      <w:lvlText w:val="•"/>
      <w:lvlJc w:val="left"/>
      <w:pPr>
        <w:ind w:left="989" w:hanging="217"/>
      </w:pPr>
      <w:rPr>
        <w:rFonts w:hint="default"/>
        <w:lang w:val="en-GB" w:eastAsia="en-GB" w:bidi="en-GB"/>
      </w:rPr>
    </w:lvl>
    <w:lvl w:ilvl="8" w:tplc="C2CED098">
      <w:numFmt w:val="bullet"/>
      <w:lvlText w:val="•"/>
      <w:lvlJc w:val="left"/>
      <w:pPr>
        <w:ind w:left="1091" w:hanging="217"/>
      </w:pPr>
      <w:rPr>
        <w:rFonts w:hint="default"/>
        <w:lang w:val="en-GB" w:eastAsia="en-GB" w:bidi="en-GB"/>
      </w:rPr>
    </w:lvl>
  </w:abstractNum>
  <w:abstractNum w:abstractNumId="112" w15:restartNumberingAfterBreak="0">
    <w:nsid w:val="0A3B3526"/>
    <w:multiLevelType w:val="hybridMultilevel"/>
    <w:tmpl w:val="3D9ACF4C"/>
    <w:lvl w:ilvl="0" w:tplc="39A4A3D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2E67D24">
      <w:numFmt w:val="bullet"/>
      <w:lvlText w:val="•"/>
      <w:lvlJc w:val="left"/>
      <w:pPr>
        <w:ind w:left="473" w:hanging="217"/>
      </w:pPr>
      <w:rPr>
        <w:rFonts w:hint="default"/>
        <w:lang w:val="en-GB" w:eastAsia="en-GB" w:bidi="en-GB"/>
      </w:rPr>
    </w:lvl>
    <w:lvl w:ilvl="2" w:tplc="47B2DDF6">
      <w:numFmt w:val="bullet"/>
      <w:lvlText w:val="•"/>
      <w:lvlJc w:val="left"/>
      <w:pPr>
        <w:ind w:left="646" w:hanging="217"/>
      </w:pPr>
      <w:rPr>
        <w:rFonts w:hint="default"/>
        <w:lang w:val="en-GB" w:eastAsia="en-GB" w:bidi="en-GB"/>
      </w:rPr>
    </w:lvl>
    <w:lvl w:ilvl="3" w:tplc="A76C7AB4">
      <w:numFmt w:val="bullet"/>
      <w:lvlText w:val="•"/>
      <w:lvlJc w:val="left"/>
      <w:pPr>
        <w:ind w:left="819" w:hanging="217"/>
      </w:pPr>
      <w:rPr>
        <w:rFonts w:hint="default"/>
        <w:lang w:val="en-GB" w:eastAsia="en-GB" w:bidi="en-GB"/>
      </w:rPr>
    </w:lvl>
    <w:lvl w:ilvl="4" w:tplc="E3027F88">
      <w:numFmt w:val="bullet"/>
      <w:lvlText w:val="•"/>
      <w:lvlJc w:val="left"/>
      <w:pPr>
        <w:ind w:left="992" w:hanging="217"/>
      </w:pPr>
      <w:rPr>
        <w:rFonts w:hint="default"/>
        <w:lang w:val="en-GB" w:eastAsia="en-GB" w:bidi="en-GB"/>
      </w:rPr>
    </w:lvl>
    <w:lvl w:ilvl="5" w:tplc="0F661A04">
      <w:numFmt w:val="bullet"/>
      <w:lvlText w:val="•"/>
      <w:lvlJc w:val="left"/>
      <w:pPr>
        <w:ind w:left="1165" w:hanging="217"/>
      </w:pPr>
      <w:rPr>
        <w:rFonts w:hint="default"/>
        <w:lang w:val="en-GB" w:eastAsia="en-GB" w:bidi="en-GB"/>
      </w:rPr>
    </w:lvl>
    <w:lvl w:ilvl="6" w:tplc="922E8FE8">
      <w:numFmt w:val="bullet"/>
      <w:lvlText w:val="•"/>
      <w:lvlJc w:val="left"/>
      <w:pPr>
        <w:ind w:left="1338" w:hanging="217"/>
      </w:pPr>
      <w:rPr>
        <w:rFonts w:hint="default"/>
        <w:lang w:val="en-GB" w:eastAsia="en-GB" w:bidi="en-GB"/>
      </w:rPr>
    </w:lvl>
    <w:lvl w:ilvl="7" w:tplc="21B46F02">
      <w:numFmt w:val="bullet"/>
      <w:lvlText w:val="•"/>
      <w:lvlJc w:val="left"/>
      <w:pPr>
        <w:ind w:left="1511" w:hanging="217"/>
      </w:pPr>
      <w:rPr>
        <w:rFonts w:hint="default"/>
        <w:lang w:val="en-GB" w:eastAsia="en-GB" w:bidi="en-GB"/>
      </w:rPr>
    </w:lvl>
    <w:lvl w:ilvl="8" w:tplc="05D88E80">
      <w:numFmt w:val="bullet"/>
      <w:lvlText w:val="•"/>
      <w:lvlJc w:val="left"/>
      <w:pPr>
        <w:ind w:left="1684" w:hanging="217"/>
      </w:pPr>
      <w:rPr>
        <w:rFonts w:hint="default"/>
        <w:lang w:val="en-GB" w:eastAsia="en-GB" w:bidi="en-GB"/>
      </w:rPr>
    </w:lvl>
  </w:abstractNum>
  <w:abstractNum w:abstractNumId="113" w15:restartNumberingAfterBreak="0">
    <w:nsid w:val="0A436377"/>
    <w:multiLevelType w:val="hybridMultilevel"/>
    <w:tmpl w:val="17D6BE8C"/>
    <w:lvl w:ilvl="0" w:tplc="8D9C28B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56272D2">
      <w:numFmt w:val="bullet"/>
      <w:lvlText w:val="•"/>
      <w:lvlJc w:val="left"/>
      <w:pPr>
        <w:ind w:left="473" w:hanging="217"/>
      </w:pPr>
      <w:rPr>
        <w:rFonts w:hint="default"/>
        <w:lang w:val="en-GB" w:eastAsia="en-GB" w:bidi="en-GB"/>
      </w:rPr>
    </w:lvl>
    <w:lvl w:ilvl="2" w:tplc="5550335A">
      <w:numFmt w:val="bullet"/>
      <w:lvlText w:val="•"/>
      <w:lvlJc w:val="left"/>
      <w:pPr>
        <w:ind w:left="646" w:hanging="217"/>
      </w:pPr>
      <w:rPr>
        <w:rFonts w:hint="default"/>
        <w:lang w:val="en-GB" w:eastAsia="en-GB" w:bidi="en-GB"/>
      </w:rPr>
    </w:lvl>
    <w:lvl w:ilvl="3" w:tplc="8E2A4A80">
      <w:numFmt w:val="bullet"/>
      <w:lvlText w:val="•"/>
      <w:lvlJc w:val="left"/>
      <w:pPr>
        <w:ind w:left="819" w:hanging="217"/>
      </w:pPr>
      <w:rPr>
        <w:rFonts w:hint="default"/>
        <w:lang w:val="en-GB" w:eastAsia="en-GB" w:bidi="en-GB"/>
      </w:rPr>
    </w:lvl>
    <w:lvl w:ilvl="4" w:tplc="7B748EDC">
      <w:numFmt w:val="bullet"/>
      <w:lvlText w:val="•"/>
      <w:lvlJc w:val="left"/>
      <w:pPr>
        <w:ind w:left="992" w:hanging="217"/>
      </w:pPr>
      <w:rPr>
        <w:rFonts w:hint="default"/>
        <w:lang w:val="en-GB" w:eastAsia="en-GB" w:bidi="en-GB"/>
      </w:rPr>
    </w:lvl>
    <w:lvl w:ilvl="5" w:tplc="F5602DEC">
      <w:numFmt w:val="bullet"/>
      <w:lvlText w:val="•"/>
      <w:lvlJc w:val="left"/>
      <w:pPr>
        <w:ind w:left="1165" w:hanging="217"/>
      </w:pPr>
      <w:rPr>
        <w:rFonts w:hint="default"/>
        <w:lang w:val="en-GB" w:eastAsia="en-GB" w:bidi="en-GB"/>
      </w:rPr>
    </w:lvl>
    <w:lvl w:ilvl="6" w:tplc="33989568">
      <w:numFmt w:val="bullet"/>
      <w:lvlText w:val="•"/>
      <w:lvlJc w:val="left"/>
      <w:pPr>
        <w:ind w:left="1338" w:hanging="217"/>
      </w:pPr>
      <w:rPr>
        <w:rFonts w:hint="default"/>
        <w:lang w:val="en-GB" w:eastAsia="en-GB" w:bidi="en-GB"/>
      </w:rPr>
    </w:lvl>
    <w:lvl w:ilvl="7" w:tplc="576E7A44">
      <w:numFmt w:val="bullet"/>
      <w:lvlText w:val="•"/>
      <w:lvlJc w:val="left"/>
      <w:pPr>
        <w:ind w:left="1511" w:hanging="217"/>
      </w:pPr>
      <w:rPr>
        <w:rFonts w:hint="default"/>
        <w:lang w:val="en-GB" w:eastAsia="en-GB" w:bidi="en-GB"/>
      </w:rPr>
    </w:lvl>
    <w:lvl w:ilvl="8" w:tplc="F02C7B64">
      <w:numFmt w:val="bullet"/>
      <w:lvlText w:val="•"/>
      <w:lvlJc w:val="left"/>
      <w:pPr>
        <w:ind w:left="1684" w:hanging="217"/>
      </w:pPr>
      <w:rPr>
        <w:rFonts w:hint="default"/>
        <w:lang w:val="en-GB" w:eastAsia="en-GB" w:bidi="en-GB"/>
      </w:rPr>
    </w:lvl>
  </w:abstractNum>
  <w:abstractNum w:abstractNumId="114" w15:restartNumberingAfterBreak="0">
    <w:nsid w:val="0A576C68"/>
    <w:multiLevelType w:val="hybridMultilevel"/>
    <w:tmpl w:val="24A4101E"/>
    <w:lvl w:ilvl="0" w:tplc="A98610DC">
      <w:numFmt w:val="bullet"/>
      <w:lvlText w:val="•"/>
      <w:lvlJc w:val="left"/>
      <w:pPr>
        <w:ind w:left="276" w:hanging="217"/>
      </w:pPr>
      <w:rPr>
        <w:rFonts w:ascii="Arial" w:eastAsia="Arial" w:hAnsi="Arial" w:cs="Arial" w:hint="default"/>
        <w:color w:val="231F20"/>
        <w:w w:val="97"/>
        <w:sz w:val="16"/>
        <w:szCs w:val="16"/>
        <w:lang w:val="en-GB" w:eastAsia="en-GB" w:bidi="en-GB"/>
      </w:rPr>
    </w:lvl>
    <w:lvl w:ilvl="1" w:tplc="265E52D2">
      <w:numFmt w:val="bullet"/>
      <w:lvlText w:val="•"/>
      <w:lvlJc w:val="left"/>
      <w:pPr>
        <w:ind w:left="381" w:hanging="217"/>
      </w:pPr>
      <w:rPr>
        <w:rFonts w:hint="default"/>
        <w:lang w:val="en-GB" w:eastAsia="en-GB" w:bidi="en-GB"/>
      </w:rPr>
    </w:lvl>
    <w:lvl w:ilvl="2" w:tplc="D28E4674">
      <w:numFmt w:val="bullet"/>
      <w:lvlText w:val="•"/>
      <w:lvlJc w:val="left"/>
      <w:pPr>
        <w:ind w:left="482" w:hanging="217"/>
      </w:pPr>
      <w:rPr>
        <w:rFonts w:hint="default"/>
        <w:lang w:val="en-GB" w:eastAsia="en-GB" w:bidi="en-GB"/>
      </w:rPr>
    </w:lvl>
    <w:lvl w:ilvl="3" w:tplc="39F6247A">
      <w:numFmt w:val="bullet"/>
      <w:lvlText w:val="•"/>
      <w:lvlJc w:val="left"/>
      <w:pPr>
        <w:ind w:left="584" w:hanging="217"/>
      </w:pPr>
      <w:rPr>
        <w:rFonts w:hint="default"/>
        <w:lang w:val="en-GB" w:eastAsia="en-GB" w:bidi="en-GB"/>
      </w:rPr>
    </w:lvl>
    <w:lvl w:ilvl="4" w:tplc="D2049702">
      <w:numFmt w:val="bullet"/>
      <w:lvlText w:val="•"/>
      <w:lvlJc w:val="left"/>
      <w:pPr>
        <w:ind w:left="685" w:hanging="217"/>
      </w:pPr>
      <w:rPr>
        <w:rFonts w:hint="default"/>
        <w:lang w:val="en-GB" w:eastAsia="en-GB" w:bidi="en-GB"/>
      </w:rPr>
    </w:lvl>
    <w:lvl w:ilvl="5" w:tplc="C29C88AA">
      <w:numFmt w:val="bullet"/>
      <w:lvlText w:val="•"/>
      <w:lvlJc w:val="left"/>
      <w:pPr>
        <w:ind w:left="787" w:hanging="217"/>
      </w:pPr>
      <w:rPr>
        <w:rFonts w:hint="default"/>
        <w:lang w:val="en-GB" w:eastAsia="en-GB" w:bidi="en-GB"/>
      </w:rPr>
    </w:lvl>
    <w:lvl w:ilvl="6" w:tplc="8730BE0C">
      <w:numFmt w:val="bullet"/>
      <w:lvlText w:val="•"/>
      <w:lvlJc w:val="left"/>
      <w:pPr>
        <w:ind w:left="888" w:hanging="217"/>
      </w:pPr>
      <w:rPr>
        <w:rFonts w:hint="default"/>
        <w:lang w:val="en-GB" w:eastAsia="en-GB" w:bidi="en-GB"/>
      </w:rPr>
    </w:lvl>
    <w:lvl w:ilvl="7" w:tplc="5D4EE5DC">
      <w:numFmt w:val="bullet"/>
      <w:lvlText w:val="•"/>
      <w:lvlJc w:val="left"/>
      <w:pPr>
        <w:ind w:left="989" w:hanging="217"/>
      </w:pPr>
      <w:rPr>
        <w:rFonts w:hint="default"/>
        <w:lang w:val="en-GB" w:eastAsia="en-GB" w:bidi="en-GB"/>
      </w:rPr>
    </w:lvl>
    <w:lvl w:ilvl="8" w:tplc="CE98388E">
      <w:numFmt w:val="bullet"/>
      <w:lvlText w:val="•"/>
      <w:lvlJc w:val="left"/>
      <w:pPr>
        <w:ind w:left="1091" w:hanging="217"/>
      </w:pPr>
      <w:rPr>
        <w:rFonts w:hint="default"/>
        <w:lang w:val="en-GB" w:eastAsia="en-GB" w:bidi="en-GB"/>
      </w:rPr>
    </w:lvl>
  </w:abstractNum>
  <w:abstractNum w:abstractNumId="115" w15:restartNumberingAfterBreak="0">
    <w:nsid w:val="0A8255CF"/>
    <w:multiLevelType w:val="hybridMultilevel"/>
    <w:tmpl w:val="664AC20A"/>
    <w:lvl w:ilvl="0" w:tplc="9208C35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66A1184">
      <w:numFmt w:val="bullet"/>
      <w:lvlText w:val="•"/>
      <w:lvlJc w:val="left"/>
      <w:pPr>
        <w:ind w:left="473" w:hanging="217"/>
      </w:pPr>
      <w:rPr>
        <w:rFonts w:hint="default"/>
        <w:lang w:val="en-GB" w:eastAsia="en-GB" w:bidi="en-GB"/>
      </w:rPr>
    </w:lvl>
    <w:lvl w:ilvl="2" w:tplc="3736746C">
      <w:numFmt w:val="bullet"/>
      <w:lvlText w:val="•"/>
      <w:lvlJc w:val="left"/>
      <w:pPr>
        <w:ind w:left="646" w:hanging="217"/>
      </w:pPr>
      <w:rPr>
        <w:rFonts w:hint="default"/>
        <w:lang w:val="en-GB" w:eastAsia="en-GB" w:bidi="en-GB"/>
      </w:rPr>
    </w:lvl>
    <w:lvl w:ilvl="3" w:tplc="E7C4D832">
      <w:numFmt w:val="bullet"/>
      <w:lvlText w:val="•"/>
      <w:lvlJc w:val="left"/>
      <w:pPr>
        <w:ind w:left="819" w:hanging="217"/>
      </w:pPr>
      <w:rPr>
        <w:rFonts w:hint="default"/>
        <w:lang w:val="en-GB" w:eastAsia="en-GB" w:bidi="en-GB"/>
      </w:rPr>
    </w:lvl>
    <w:lvl w:ilvl="4" w:tplc="A1A83862">
      <w:numFmt w:val="bullet"/>
      <w:lvlText w:val="•"/>
      <w:lvlJc w:val="left"/>
      <w:pPr>
        <w:ind w:left="992" w:hanging="217"/>
      </w:pPr>
      <w:rPr>
        <w:rFonts w:hint="default"/>
        <w:lang w:val="en-GB" w:eastAsia="en-GB" w:bidi="en-GB"/>
      </w:rPr>
    </w:lvl>
    <w:lvl w:ilvl="5" w:tplc="566C0072">
      <w:numFmt w:val="bullet"/>
      <w:lvlText w:val="•"/>
      <w:lvlJc w:val="left"/>
      <w:pPr>
        <w:ind w:left="1165" w:hanging="217"/>
      </w:pPr>
      <w:rPr>
        <w:rFonts w:hint="default"/>
        <w:lang w:val="en-GB" w:eastAsia="en-GB" w:bidi="en-GB"/>
      </w:rPr>
    </w:lvl>
    <w:lvl w:ilvl="6" w:tplc="52BC68DE">
      <w:numFmt w:val="bullet"/>
      <w:lvlText w:val="•"/>
      <w:lvlJc w:val="left"/>
      <w:pPr>
        <w:ind w:left="1338" w:hanging="217"/>
      </w:pPr>
      <w:rPr>
        <w:rFonts w:hint="default"/>
        <w:lang w:val="en-GB" w:eastAsia="en-GB" w:bidi="en-GB"/>
      </w:rPr>
    </w:lvl>
    <w:lvl w:ilvl="7" w:tplc="80BAC17A">
      <w:numFmt w:val="bullet"/>
      <w:lvlText w:val="•"/>
      <w:lvlJc w:val="left"/>
      <w:pPr>
        <w:ind w:left="1511" w:hanging="217"/>
      </w:pPr>
      <w:rPr>
        <w:rFonts w:hint="default"/>
        <w:lang w:val="en-GB" w:eastAsia="en-GB" w:bidi="en-GB"/>
      </w:rPr>
    </w:lvl>
    <w:lvl w:ilvl="8" w:tplc="093EFE20">
      <w:numFmt w:val="bullet"/>
      <w:lvlText w:val="•"/>
      <w:lvlJc w:val="left"/>
      <w:pPr>
        <w:ind w:left="1684" w:hanging="217"/>
      </w:pPr>
      <w:rPr>
        <w:rFonts w:hint="default"/>
        <w:lang w:val="en-GB" w:eastAsia="en-GB" w:bidi="en-GB"/>
      </w:rPr>
    </w:lvl>
  </w:abstractNum>
  <w:abstractNum w:abstractNumId="116" w15:restartNumberingAfterBreak="0">
    <w:nsid w:val="0A8305CA"/>
    <w:multiLevelType w:val="hybridMultilevel"/>
    <w:tmpl w:val="8856F21A"/>
    <w:lvl w:ilvl="0" w:tplc="4EA223C2">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2E501694">
      <w:numFmt w:val="bullet"/>
      <w:lvlText w:val="•"/>
      <w:lvlJc w:val="left"/>
      <w:pPr>
        <w:ind w:left="892" w:hanging="217"/>
      </w:pPr>
      <w:rPr>
        <w:rFonts w:hint="default"/>
        <w:lang w:val="en-GB" w:eastAsia="en-GB" w:bidi="en-GB"/>
      </w:rPr>
    </w:lvl>
    <w:lvl w:ilvl="2" w:tplc="79D2D26E">
      <w:numFmt w:val="bullet"/>
      <w:lvlText w:val="•"/>
      <w:lvlJc w:val="left"/>
      <w:pPr>
        <w:ind w:left="1485" w:hanging="217"/>
      </w:pPr>
      <w:rPr>
        <w:rFonts w:hint="default"/>
        <w:lang w:val="en-GB" w:eastAsia="en-GB" w:bidi="en-GB"/>
      </w:rPr>
    </w:lvl>
    <w:lvl w:ilvl="3" w:tplc="4AECCBD4">
      <w:numFmt w:val="bullet"/>
      <w:lvlText w:val="•"/>
      <w:lvlJc w:val="left"/>
      <w:pPr>
        <w:ind w:left="2077" w:hanging="217"/>
      </w:pPr>
      <w:rPr>
        <w:rFonts w:hint="default"/>
        <w:lang w:val="en-GB" w:eastAsia="en-GB" w:bidi="en-GB"/>
      </w:rPr>
    </w:lvl>
    <w:lvl w:ilvl="4" w:tplc="355EDE8C">
      <w:numFmt w:val="bullet"/>
      <w:lvlText w:val="•"/>
      <w:lvlJc w:val="left"/>
      <w:pPr>
        <w:ind w:left="2670" w:hanging="217"/>
      </w:pPr>
      <w:rPr>
        <w:rFonts w:hint="default"/>
        <w:lang w:val="en-GB" w:eastAsia="en-GB" w:bidi="en-GB"/>
      </w:rPr>
    </w:lvl>
    <w:lvl w:ilvl="5" w:tplc="3F0E5D72">
      <w:numFmt w:val="bullet"/>
      <w:lvlText w:val="•"/>
      <w:lvlJc w:val="left"/>
      <w:pPr>
        <w:ind w:left="3263" w:hanging="217"/>
      </w:pPr>
      <w:rPr>
        <w:rFonts w:hint="default"/>
        <w:lang w:val="en-GB" w:eastAsia="en-GB" w:bidi="en-GB"/>
      </w:rPr>
    </w:lvl>
    <w:lvl w:ilvl="6" w:tplc="692EA914">
      <w:numFmt w:val="bullet"/>
      <w:lvlText w:val="•"/>
      <w:lvlJc w:val="left"/>
      <w:pPr>
        <w:ind w:left="3855" w:hanging="217"/>
      </w:pPr>
      <w:rPr>
        <w:rFonts w:hint="default"/>
        <w:lang w:val="en-GB" w:eastAsia="en-GB" w:bidi="en-GB"/>
      </w:rPr>
    </w:lvl>
    <w:lvl w:ilvl="7" w:tplc="D48EF436">
      <w:numFmt w:val="bullet"/>
      <w:lvlText w:val="•"/>
      <w:lvlJc w:val="left"/>
      <w:pPr>
        <w:ind w:left="4448" w:hanging="217"/>
      </w:pPr>
      <w:rPr>
        <w:rFonts w:hint="default"/>
        <w:lang w:val="en-GB" w:eastAsia="en-GB" w:bidi="en-GB"/>
      </w:rPr>
    </w:lvl>
    <w:lvl w:ilvl="8" w:tplc="74020BD4">
      <w:numFmt w:val="bullet"/>
      <w:lvlText w:val="•"/>
      <w:lvlJc w:val="left"/>
      <w:pPr>
        <w:ind w:left="5040" w:hanging="217"/>
      </w:pPr>
      <w:rPr>
        <w:rFonts w:hint="default"/>
        <w:lang w:val="en-GB" w:eastAsia="en-GB" w:bidi="en-GB"/>
      </w:rPr>
    </w:lvl>
  </w:abstractNum>
  <w:abstractNum w:abstractNumId="117" w15:restartNumberingAfterBreak="0">
    <w:nsid w:val="0A9947FE"/>
    <w:multiLevelType w:val="hybridMultilevel"/>
    <w:tmpl w:val="2B664DC0"/>
    <w:lvl w:ilvl="0" w:tplc="3F7AA80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F88C12E">
      <w:numFmt w:val="bullet"/>
      <w:lvlText w:val="•"/>
      <w:lvlJc w:val="left"/>
      <w:pPr>
        <w:ind w:left="439" w:hanging="217"/>
      </w:pPr>
      <w:rPr>
        <w:rFonts w:hint="default"/>
        <w:lang w:val="en-GB" w:eastAsia="en-GB" w:bidi="en-GB"/>
      </w:rPr>
    </w:lvl>
    <w:lvl w:ilvl="2" w:tplc="A7F4BD6C">
      <w:numFmt w:val="bullet"/>
      <w:lvlText w:val="•"/>
      <w:lvlJc w:val="left"/>
      <w:pPr>
        <w:ind w:left="578" w:hanging="217"/>
      </w:pPr>
      <w:rPr>
        <w:rFonts w:hint="default"/>
        <w:lang w:val="en-GB" w:eastAsia="en-GB" w:bidi="en-GB"/>
      </w:rPr>
    </w:lvl>
    <w:lvl w:ilvl="3" w:tplc="4F70D2E6">
      <w:numFmt w:val="bullet"/>
      <w:lvlText w:val="•"/>
      <w:lvlJc w:val="left"/>
      <w:pPr>
        <w:ind w:left="717" w:hanging="217"/>
      </w:pPr>
      <w:rPr>
        <w:rFonts w:hint="default"/>
        <w:lang w:val="en-GB" w:eastAsia="en-GB" w:bidi="en-GB"/>
      </w:rPr>
    </w:lvl>
    <w:lvl w:ilvl="4" w:tplc="7FC047C0">
      <w:numFmt w:val="bullet"/>
      <w:lvlText w:val="•"/>
      <w:lvlJc w:val="left"/>
      <w:pPr>
        <w:ind w:left="856" w:hanging="217"/>
      </w:pPr>
      <w:rPr>
        <w:rFonts w:hint="default"/>
        <w:lang w:val="en-GB" w:eastAsia="en-GB" w:bidi="en-GB"/>
      </w:rPr>
    </w:lvl>
    <w:lvl w:ilvl="5" w:tplc="252A117C">
      <w:numFmt w:val="bullet"/>
      <w:lvlText w:val="•"/>
      <w:lvlJc w:val="left"/>
      <w:pPr>
        <w:ind w:left="995" w:hanging="217"/>
      </w:pPr>
      <w:rPr>
        <w:rFonts w:hint="default"/>
        <w:lang w:val="en-GB" w:eastAsia="en-GB" w:bidi="en-GB"/>
      </w:rPr>
    </w:lvl>
    <w:lvl w:ilvl="6" w:tplc="3738E830">
      <w:numFmt w:val="bullet"/>
      <w:lvlText w:val="•"/>
      <w:lvlJc w:val="left"/>
      <w:pPr>
        <w:ind w:left="1134" w:hanging="217"/>
      </w:pPr>
      <w:rPr>
        <w:rFonts w:hint="default"/>
        <w:lang w:val="en-GB" w:eastAsia="en-GB" w:bidi="en-GB"/>
      </w:rPr>
    </w:lvl>
    <w:lvl w:ilvl="7" w:tplc="2F5E968C">
      <w:numFmt w:val="bullet"/>
      <w:lvlText w:val="•"/>
      <w:lvlJc w:val="left"/>
      <w:pPr>
        <w:ind w:left="1273" w:hanging="217"/>
      </w:pPr>
      <w:rPr>
        <w:rFonts w:hint="default"/>
        <w:lang w:val="en-GB" w:eastAsia="en-GB" w:bidi="en-GB"/>
      </w:rPr>
    </w:lvl>
    <w:lvl w:ilvl="8" w:tplc="0F8E0B28">
      <w:numFmt w:val="bullet"/>
      <w:lvlText w:val="•"/>
      <w:lvlJc w:val="left"/>
      <w:pPr>
        <w:ind w:left="1412" w:hanging="217"/>
      </w:pPr>
      <w:rPr>
        <w:rFonts w:hint="default"/>
        <w:lang w:val="en-GB" w:eastAsia="en-GB" w:bidi="en-GB"/>
      </w:rPr>
    </w:lvl>
  </w:abstractNum>
  <w:abstractNum w:abstractNumId="118" w15:restartNumberingAfterBreak="0">
    <w:nsid w:val="0ABB6A19"/>
    <w:multiLevelType w:val="hybridMultilevel"/>
    <w:tmpl w:val="416AE66E"/>
    <w:lvl w:ilvl="0" w:tplc="C98451C4">
      <w:numFmt w:val="bullet"/>
      <w:lvlText w:val="•"/>
      <w:lvlJc w:val="left"/>
      <w:pPr>
        <w:ind w:left="299" w:hanging="217"/>
      </w:pPr>
      <w:rPr>
        <w:rFonts w:ascii="Arial" w:eastAsia="Arial" w:hAnsi="Arial" w:cs="Arial" w:hint="default"/>
        <w:color w:val="231F20"/>
        <w:spacing w:val="-6"/>
        <w:w w:val="100"/>
        <w:sz w:val="18"/>
        <w:szCs w:val="18"/>
        <w:lang w:val="en-GB" w:eastAsia="en-GB" w:bidi="en-GB"/>
      </w:rPr>
    </w:lvl>
    <w:lvl w:ilvl="1" w:tplc="2CEEEFD2">
      <w:numFmt w:val="bullet"/>
      <w:lvlText w:val="•"/>
      <w:lvlJc w:val="left"/>
      <w:pPr>
        <w:ind w:left="473" w:hanging="217"/>
      </w:pPr>
      <w:rPr>
        <w:rFonts w:hint="default"/>
        <w:lang w:val="en-GB" w:eastAsia="en-GB" w:bidi="en-GB"/>
      </w:rPr>
    </w:lvl>
    <w:lvl w:ilvl="2" w:tplc="097E9450">
      <w:numFmt w:val="bullet"/>
      <w:lvlText w:val="•"/>
      <w:lvlJc w:val="left"/>
      <w:pPr>
        <w:ind w:left="646" w:hanging="217"/>
      </w:pPr>
      <w:rPr>
        <w:rFonts w:hint="default"/>
        <w:lang w:val="en-GB" w:eastAsia="en-GB" w:bidi="en-GB"/>
      </w:rPr>
    </w:lvl>
    <w:lvl w:ilvl="3" w:tplc="5168591A">
      <w:numFmt w:val="bullet"/>
      <w:lvlText w:val="•"/>
      <w:lvlJc w:val="left"/>
      <w:pPr>
        <w:ind w:left="819" w:hanging="217"/>
      </w:pPr>
      <w:rPr>
        <w:rFonts w:hint="default"/>
        <w:lang w:val="en-GB" w:eastAsia="en-GB" w:bidi="en-GB"/>
      </w:rPr>
    </w:lvl>
    <w:lvl w:ilvl="4" w:tplc="C06A2A0A">
      <w:numFmt w:val="bullet"/>
      <w:lvlText w:val="•"/>
      <w:lvlJc w:val="left"/>
      <w:pPr>
        <w:ind w:left="992" w:hanging="217"/>
      </w:pPr>
      <w:rPr>
        <w:rFonts w:hint="default"/>
        <w:lang w:val="en-GB" w:eastAsia="en-GB" w:bidi="en-GB"/>
      </w:rPr>
    </w:lvl>
    <w:lvl w:ilvl="5" w:tplc="358E18AC">
      <w:numFmt w:val="bullet"/>
      <w:lvlText w:val="•"/>
      <w:lvlJc w:val="left"/>
      <w:pPr>
        <w:ind w:left="1165" w:hanging="217"/>
      </w:pPr>
      <w:rPr>
        <w:rFonts w:hint="default"/>
        <w:lang w:val="en-GB" w:eastAsia="en-GB" w:bidi="en-GB"/>
      </w:rPr>
    </w:lvl>
    <w:lvl w:ilvl="6" w:tplc="D43CB576">
      <w:numFmt w:val="bullet"/>
      <w:lvlText w:val="•"/>
      <w:lvlJc w:val="left"/>
      <w:pPr>
        <w:ind w:left="1338" w:hanging="217"/>
      </w:pPr>
      <w:rPr>
        <w:rFonts w:hint="default"/>
        <w:lang w:val="en-GB" w:eastAsia="en-GB" w:bidi="en-GB"/>
      </w:rPr>
    </w:lvl>
    <w:lvl w:ilvl="7" w:tplc="FEA83C80">
      <w:numFmt w:val="bullet"/>
      <w:lvlText w:val="•"/>
      <w:lvlJc w:val="left"/>
      <w:pPr>
        <w:ind w:left="1511" w:hanging="217"/>
      </w:pPr>
      <w:rPr>
        <w:rFonts w:hint="default"/>
        <w:lang w:val="en-GB" w:eastAsia="en-GB" w:bidi="en-GB"/>
      </w:rPr>
    </w:lvl>
    <w:lvl w:ilvl="8" w:tplc="777AF840">
      <w:numFmt w:val="bullet"/>
      <w:lvlText w:val="•"/>
      <w:lvlJc w:val="left"/>
      <w:pPr>
        <w:ind w:left="1684" w:hanging="217"/>
      </w:pPr>
      <w:rPr>
        <w:rFonts w:hint="default"/>
        <w:lang w:val="en-GB" w:eastAsia="en-GB" w:bidi="en-GB"/>
      </w:rPr>
    </w:lvl>
  </w:abstractNum>
  <w:abstractNum w:abstractNumId="119" w15:restartNumberingAfterBreak="0">
    <w:nsid w:val="0B160873"/>
    <w:multiLevelType w:val="hybridMultilevel"/>
    <w:tmpl w:val="C16AB3F0"/>
    <w:lvl w:ilvl="0" w:tplc="A490DA8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31635A2">
      <w:numFmt w:val="bullet"/>
      <w:lvlText w:val="•"/>
      <w:lvlJc w:val="left"/>
      <w:pPr>
        <w:ind w:left="439" w:hanging="217"/>
      </w:pPr>
      <w:rPr>
        <w:rFonts w:hint="default"/>
        <w:lang w:val="en-GB" w:eastAsia="en-GB" w:bidi="en-GB"/>
      </w:rPr>
    </w:lvl>
    <w:lvl w:ilvl="2" w:tplc="180CE738">
      <w:numFmt w:val="bullet"/>
      <w:lvlText w:val="•"/>
      <w:lvlJc w:val="left"/>
      <w:pPr>
        <w:ind w:left="578" w:hanging="217"/>
      </w:pPr>
      <w:rPr>
        <w:rFonts w:hint="default"/>
        <w:lang w:val="en-GB" w:eastAsia="en-GB" w:bidi="en-GB"/>
      </w:rPr>
    </w:lvl>
    <w:lvl w:ilvl="3" w:tplc="DFCE9C7E">
      <w:numFmt w:val="bullet"/>
      <w:lvlText w:val="•"/>
      <w:lvlJc w:val="left"/>
      <w:pPr>
        <w:ind w:left="717" w:hanging="217"/>
      </w:pPr>
      <w:rPr>
        <w:rFonts w:hint="default"/>
        <w:lang w:val="en-GB" w:eastAsia="en-GB" w:bidi="en-GB"/>
      </w:rPr>
    </w:lvl>
    <w:lvl w:ilvl="4" w:tplc="2542AE5C">
      <w:numFmt w:val="bullet"/>
      <w:lvlText w:val="•"/>
      <w:lvlJc w:val="left"/>
      <w:pPr>
        <w:ind w:left="856" w:hanging="217"/>
      </w:pPr>
      <w:rPr>
        <w:rFonts w:hint="default"/>
        <w:lang w:val="en-GB" w:eastAsia="en-GB" w:bidi="en-GB"/>
      </w:rPr>
    </w:lvl>
    <w:lvl w:ilvl="5" w:tplc="71F0766C">
      <w:numFmt w:val="bullet"/>
      <w:lvlText w:val="•"/>
      <w:lvlJc w:val="left"/>
      <w:pPr>
        <w:ind w:left="995" w:hanging="217"/>
      </w:pPr>
      <w:rPr>
        <w:rFonts w:hint="default"/>
        <w:lang w:val="en-GB" w:eastAsia="en-GB" w:bidi="en-GB"/>
      </w:rPr>
    </w:lvl>
    <w:lvl w:ilvl="6" w:tplc="ADD675B2">
      <w:numFmt w:val="bullet"/>
      <w:lvlText w:val="•"/>
      <w:lvlJc w:val="left"/>
      <w:pPr>
        <w:ind w:left="1134" w:hanging="217"/>
      </w:pPr>
      <w:rPr>
        <w:rFonts w:hint="default"/>
        <w:lang w:val="en-GB" w:eastAsia="en-GB" w:bidi="en-GB"/>
      </w:rPr>
    </w:lvl>
    <w:lvl w:ilvl="7" w:tplc="AB8E167E">
      <w:numFmt w:val="bullet"/>
      <w:lvlText w:val="•"/>
      <w:lvlJc w:val="left"/>
      <w:pPr>
        <w:ind w:left="1273" w:hanging="217"/>
      </w:pPr>
      <w:rPr>
        <w:rFonts w:hint="default"/>
        <w:lang w:val="en-GB" w:eastAsia="en-GB" w:bidi="en-GB"/>
      </w:rPr>
    </w:lvl>
    <w:lvl w:ilvl="8" w:tplc="38884CBC">
      <w:numFmt w:val="bullet"/>
      <w:lvlText w:val="•"/>
      <w:lvlJc w:val="left"/>
      <w:pPr>
        <w:ind w:left="1412" w:hanging="217"/>
      </w:pPr>
      <w:rPr>
        <w:rFonts w:hint="default"/>
        <w:lang w:val="en-GB" w:eastAsia="en-GB" w:bidi="en-GB"/>
      </w:rPr>
    </w:lvl>
  </w:abstractNum>
  <w:abstractNum w:abstractNumId="120" w15:restartNumberingAfterBreak="0">
    <w:nsid w:val="0B1855F7"/>
    <w:multiLevelType w:val="hybridMultilevel"/>
    <w:tmpl w:val="35C2BD6C"/>
    <w:lvl w:ilvl="0" w:tplc="754A0E9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FC69992">
      <w:numFmt w:val="bullet"/>
      <w:lvlText w:val="•"/>
      <w:lvlJc w:val="left"/>
      <w:pPr>
        <w:ind w:left="1061" w:hanging="217"/>
      </w:pPr>
      <w:rPr>
        <w:rFonts w:hint="default"/>
        <w:lang w:val="en-GB" w:eastAsia="en-GB" w:bidi="en-GB"/>
      </w:rPr>
    </w:lvl>
    <w:lvl w:ilvl="2" w:tplc="F5F0BDAA">
      <w:numFmt w:val="bullet"/>
      <w:lvlText w:val="•"/>
      <w:lvlJc w:val="left"/>
      <w:pPr>
        <w:ind w:left="1823" w:hanging="217"/>
      </w:pPr>
      <w:rPr>
        <w:rFonts w:hint="default"/>
        <w:lang w:val="en-GB" w:eastAsia="en-GB" w:bidi="en-GB"/>
      </w:rPr>
    </w:lvl>
    <w:lvl w:ilvl="3" w:tplc="A666126A">
      <w:numFmt w:val="bullet"/>
      <w:lvlText w:val="•"/>
      <w:lvlJc w:val="left"/>
      <w:pPr>
        <w:ind w:left="2585" w:hanging="217"/>
      </w:pPr>
      <w:rPr>
        <w:rFonts w:hint="default"/>
        <w:lang w:val="en-GB" w:eastAsia="en-GB" w:bidi="en-GB"/>
      </w:rPr>
    </w:lvl>
    <w:lvl w:ilvl="4" w:tplc="CCE6304E">
      <w:numFmt w:val="bullet"/>
      <w:lvlText w:val="•"/>
      <w:lvlJc w:val="left"/>
      <w:pPr>
        <w:ind w:left="3346" w:hanging="217"/>
      </w:pPr>
      <w:rPr>
        <w:rFonts w:hint="default"/>
        <w:lang w:val="en-GB" w:eastAsia="en-GB" w:bidi="en-GB"/>
      </w:rPr>
    </w:lvl>
    <w:lvl w:ilvl="5" w:tplc="68EEDFBE">
      <w:numFmt w:val="bullet"/>
      <w:lvlText w:val="•"/>
      <w:lvlJc w:val="left"/>
      <w:pPr>
        <w:ind w:left="4108" w:hanging="217"/>
      </w:pPr>
      <w:rPr>
        <w:rFonts w:hint="default"/>
        <w:lang w:val="en-GB" w:eastAsia="en-GB" w:bidi="en-GB"/>
      </w:rPr>
    </w:lvl>
    <w:lvl w:ilvl="6" w:tplc="20A493A0">
      <w:numFmt w:val="bullet"/>
      <w:lvlText w:val="•"/>
      <w:lvlJc w:val="left"/>
      <w:pPr>
        <w:ind w:left="4870" w:hanging="217"/>
      </w:pPr>
      <w:rPr>
        <w:rFonts w:hint="default"/>
        <w:lang w:val="en-GB" w:eastAsia="en-GB" w:bidi="en-GB"/>
      </w:rPr>
    </w:lvl>
    <w:lvl w:ilvl="7" w:tplc="E326E7EA">
      <w:numFmt w:val="bullet"/>
      <w:lvlText w:val="•"/>
      <w:lvlJc w:val="left"/>
      <w:pPr>
        <w:ind w:left="5631" w:hanging="217"/>
      </w:pPr>
      <w:rPr>
        <w:rFonts w:hint="default"/>
        <w:lang w:val="en-GB" w:eastAsia="en-GB" w:bidi="en-GB"/>
      </w:rPr>
    </w:lvl>
    <w:lvl w:ilvl="8" w:tplc="B33CA87C">
      <w:numFmt w:val="bullet"/>
      <w:lvlText w:val="•"/>
      <w:lvlJc w:val="left"/>
      <w:pPr>
        <w:ind w:left="6393" w:hanging="217"/>
      </w:pPr>
      <w:rPr>
        <w:rFonts w:hint="default"/>
        <w:lang w:val="en-GB" w:eastAsia="en-GB" w:bidi="en-GB"/>
      </w:rPr>
    </w:lvl>
  </w:abstractNum>
  <w:abstractNum w:abstractNumId="121" w15:restartNumberingAfterBreak="0">
    <w:nsid w:val="0B3646A3"/>
    <w:multiLevelType w:val="hybridMultilevel"/>
    <w:tmpl w:val="387AFDA8"/>
    <w:lvl w:ilvl="0" w:tplc="CEE82E2C">
      <w:numFmt w:val="bullet"/>
      <w:lvlText w:val="•"/>
      <w:lvlJc w:val="left"/>
      <w:pPr>
        <w:ind w:left="2634" w:hanging="217"/>
      </w:pPr>
      <w:rPr>
        <w:rFonts w:ascii="Arial" w:eastAsia="Arial" w:hAnsi="Arial" w:cs="Arial" w:hint="default"/>
        <w:color w:val="231F20"/>
        <w:spacing w:val="-1"/>
        <w:w w:val="100"/>
        <w:sz w:val="18"/>
        <w:szCs w:val="18"/>
        <w:lang w:val="en-GB" w:eastAsia="en-GB" w:bidi="en-GB"/>
      </w:rPr>
    </w:lvl>
    <w:lvl w:ilvl="1" w:tplc="92E4A116">
      <w:numFmt w:val="bullet"/>
      <w:lvlText w:val="•"/>
      <w:lvlJc w:val="left"/>
      <w:pPr>
        <w:ind w:left="2987" w:hanging="217"/>
      </w:pPr>
      <w:rPr>
        <w:rFonts w:hint="default"/>
        <w:lang w:val="en-GB" w:eastAsia="en-GB" w:bidi="en-GB"/>
      </w:rPr>
    </w:lvl>
    <w:lvl w:ilvl="2" w:tplc="5FA22D56">
      <w:numFmt w:val="bullet"/>
      <w:lvlText w:val="•"/>
      <w:lvlJc w:val="left"/>
      <w:pPr>
        <w:ind w:left="3334" w:hanging="217"/>
      </w:pPr>
      <w:rPr>
        <w:rFonts w:hint="default"/>
        <w:lang w:val="en-GB" w:eastAsia="en-GB" w:bidi="en-GB"/>
      </w:rPr>
    </w:lvl>
    <w:lvl w:ilvl="3" w:tplc="B2FE5812">
      <w:numFmt w:val="bullet"/>
      <w:lvlText w:val="•"/>
      <w:lvlJc w:val="left"/>
      <w:pPr>
        <w:ind w:left="3681" w:hanging="217"/>
      </w:pPr>
      <w:rPr>
        <w:rFonts w:hint="default"/>
        <w:lang w:val="en-GB" w:eastAsia="en-GB" w:bidi="en-GB"/>
      </w:rPr>
    </w:lvl>
    <w:lvl w:ilvl="4" w:tplc="1D8CD556">
      <w:numFmt w:val="bullet"/>
      <w:lvlText w:val="•"/>
      <w:lvlJc w:val="left"/>
      <w:pPr>
        <w:ind w:left="4029" w:hanging="217"/>
      </w:pPr>
      <w:rPr>
        <w:rFonts w:hint="default"/>
        <w:lang w:val="en-GB" w:eastAsia="en-GB" w:bidi="en-GB"/>
      </w:rPr>
    </w:lvl>
    <w:lvl w:ilvl="5" w:tplc="C804C292">
      <w:numFmt w:val="bullet"/>
      <w:lvlText w:val="•"/>
      <w:lvlJc w:val="left"/>
      <w:pPr>
        <w:ind w:left="4376" w:hanging="217"/>
      </w:pPr>
      <w:rPr>
        <w:rFonts w:hint="default"/>
        <w:lang w:val="en-GB" w:eastAsia="en-GB" w:bidi="en-GB"/>
      </w:rPr>
    </w:lvl>
    <w:lvl w:ilvl="6" w:tplc="13EEE74A">
      <w:numFmt w:val="bullet"/>
      <w:lvlText w:val="•"/>
      <w:lvlJc w:val="left"/>
      <w:pPr>
        <w:ind w:left="4723" w:hanging="217"/>
      </w:pPr>
      <w:rPr>
        <w:rFonts w:hint="default"/>
        <w:lang w:val="en-GB" w:eastAsia="en-GB" w:bidi="en-GB"/>
      </w:rPr>
    </w:lvl>
    <w:lvl w:ilvl="7" w:tplc="A258AF8C">
      <w:numFmt w:val="bullet"/>
      <w:lvlText w:val="•"/>
      <w:lvlJc w:val="left"/>
      <w:pPr>
        <w:ind w:left="5071" w:hanging="217"/>
      </w:pPr>
      <w:rPr>
        <w:rFonts w:hint="default"/>
        <w:lang w:val="en-GB" w:eastAsia="en-GB" w:bidi="en-GB"/>
      </w:rPr>
    </w:lvl>
    <w:lvl w:ilvl="8" w:tplc="395E3A5E">
      <w:numFmt w:val="bullet"/>
      <w:lvlText w:val="•"/>
      <w:lvlJc w:val="left"/>
      <w:pPr>
        <w:ind w:left="5418" w:hanging="217"/>
      </w:pPr>
      <w:rPr>
        <w:rFonts w:hint="default"/>
        <w:lang w:val="en-GB" w:eastAsia="en-GB" w:bidi="en-GB"/>
      </w:rPr>
    </w:lvl>
  </w:abstractNum>
  <w:abstractNum w:abstractNumId="122" w15:restartNumberingAfterBreak="0">
    <w:nsid w:val="0B3B1445"/>
    <w:multiLevelType w:val="hybridMultilevel"/>
    <w:tmpl w:val="8662BCD8"/>
    <w:lvl w:ilvl="0" w:tplc="2614135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2F2718A">
      <w:numFmt w:val="bullet"/>
      <w:lvlText w:val="•"/>
      <w:lvlJc w:val="left"/>
      <w:pPr>
        <w:ind w:left="473" w:hanging="217"/>
      </w:pPr>
      <w:rPr>
        <w:rFonts w:hint="default"/>
        <w:lang w:val="en-GB" w:eastAsia="en-GB" w:bidi="en-GB"/>
      </w:rPr>
    </w:lvl>
    <w:lvl w:ilvl="2" w:tplc="2BA85B04">
      <w:numFmt w:val="bullet"/>
      <w:lvlText w:val="•"/>
      <w:lvlJc w:val="left"/>
      <w:pPr>
        <w:ind w:left="646" w:hanging="217"/>
      </w:pPr>
      <w:rPr>
        <w:rFonts w:hint="default"/>
        <w:lang w:val="en-GB" w:eastAsia="en-GB" w:bidi="en-GB"/>
      </w:rPr>
    </w:lvl>
    <w:lvl w:ilvl="3" w:tplc="2AEAC25C">
      <w:numFmt w:val="bullet"/>
      <w:lvlText w:val="•"/>
      <w:lvlJc w:val="left"/>
      <w:pPr>
        <w:ind w:left="819" w:hanging="217"/>
      </w:pPr>
      <w:rPr>
        <w:rFonts w:hint="default"/>
        <w:lang w:val="en-GB" w:eastAsia="en-GB" w:bidi="en-GB"/>
      </w:rPr>
    </w:lvl>
    <w:lvl w:ilvl="4" w:tplc="F21809E6">
      <w:numFmt w:val="bullet"/>
      <w:lvlText w:val="•"/>
      <w:lvlJc w:val="left"/>
      <w:pPr>
        <w:ind w:left="992" w:hanging="217"/>
      </w:pPr>
      <w:rPr>
        <w:rFonts w:hint="default"/>
        <w:lang w:val="en-GB" w:eastAsia="en-GB" w:bidi="en-GB"/>
      </w:rPr>
    </w:lvl>
    <w:lvl w:ilvl="5" w:tplc="0FAC9C28">
      <w:numFmt w:val="bullet"/>
      <w:lvlText w:val="•"/>
      <w:lvlJc w:val="left"/>
      <w:pPr>
        <w:ind w:left="1165" w:hanging="217"/>
      </w:pPr>
      <w:rPr>
        <w:rFonts w:hint="default"/>
        <w:lang w:val="en-GB" w:eastAsia="en-GB" w:bidi="en-GB"/>
      </w:rPr>
    </w:lvl>
    <w:lvl w:ilvl="6" w:tplc="1B364C08">
      <w:numFmt w:val="bullet"/>
      <w:lvlText w:val="•"/>
      <w:lvlJc w:val="left"/>
      <w:pPr>
        <w:ind w:left="1338" w:hanging="217"/>
      </w:pPr>
      <w:rPr>
        <w:rFonts w:hint="default"/>
        <w:lang w:val="en-GB" w:eastAsia="en-GB" w:bidi="en-GB"/>
      </w:rPr>
    </w:lvl>
    <w:lvl w:ilvl="7" w:tplc="67A2192C">
      <w:numFmt w:val="bullet"/>
      <w:lvlText w:val="•"/>
      <w:lvlJc w:val="left"/>
      <w:pPr>
        <w:ind w:left="1511" w:hanging="217"/>
      </w:pPr>
      <w:rPr>
        <w:rFonts w:hint="default"/>
        <w:lang w:val="en-GB" w:eastAsia="en-GB" w:bidi="en-GB"/>
      </w:rPr>
    </w:lvl>
    <w:lvl w:ilvl="8" w:tplc="0C929C1C">
      <w:numFmt w:val="bullet"/>
      <w:lvlText w:val="•"/>
      <w:lvlJc w:val="left"/>
      <w:pPr>
        <w:ind w:left="1684" w:hanging="217"/>
      </w:pPr>
      <w:rPr>
        <w:rFonts w:hint="default"/>
        <w:lang w:val="en-GB" w:eastAsia="en-GB" w:bidi="en-GB"/>
      </w:rPr>
    </w:lvl>
  </w:abstractNum>
  <w:abstractNum w:abstractNumId="123" w15:restartNumberingAfterBreak="0">
    <w:nsid w:val="0B4333D8"/>
    <w:multiLevelType w:val="hybridMultilevel"/>
    <w:tmpl w:val="526418D6"/>
    <w:lvl w:ilvl="0" w:tplc="478AE18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F6E8FEC">
      <w:numFmt w:val="bullet"/>
      <w:lvlText w:val="•"/>
      <w:lvlJc w:val="left"/>
      <w:pPr>
        <w:ind w:left="439" w:hanging="217"/>
      </w:pPr>
      <w:rPr>
        <w:rFonts w:hint="default"/>
        <w:lang w:val="en-GB" w:eastAsia="en-GB" w:bidi="en-GB"/>
      </w:rPr>
    </w:lvl>
    <w:lvl w:ilvl="2" w:tplc="B74084B2">
      <w:numFmt w:val="bullet"/>
      <w:lvlText w:val="•"/>
      <w:lvlJc w:val="left"/>
      <w:pPr>
        <w:ind w:left="578" w:hanging="217"/>
      </w:pPr>
      <w:rPr>
        <w:rFonts w:hint="default"/>
        <w:lang w:val="en-GB" w:eastAsia="en-GB" w:bidi="en-GB"/>
      </w:rPr>
    </w:lvl>
    <w:lvl w:ilvl="3" w:tplc="07AA5B76">
      <w:numFmt w:val="bullet"/>
      <w:lvlText w:val="•"/>
      <w:lvlJc w:val="left"/>
      <w:pPr>
        <w:ind w:left="717" w:hanging="217"/>
      </w:pPr>
      <w:rPr>
        <w:rFonts w:hint="default"/>
        <w:lang w:val="en-GB" w:eastAsia="en-GB" w:bidi="en-GB"/>
      </w:rPr>
    </w:lvl>
    <w:lvl w:ilvl="4" w:tplc="40AA1AC0">
      <w:numFmt w:val="bullet"/>
      <w:lvlText w:val="•"/>
      <w:lvlJc w:val="left"/>
      <w:pPr>
        <w:ind w:left="856" w:hanging="217"/>
      </w:pPr>
      <w:rPr>
        <w:rFonts w:hint="default"/>
        <w:lang w:val="en-GB" w:eastAsia="en-GB" w:bidi="en-GB"/>
      </w:rPr>
    </w:lvl>
    <w:lvl w:ilvl="5" w:tplc="8E9A392C">
      <w:numFmt w:val="bullet"/>
      <w:lvlText w:val="•"/>
      <w:lvlJc w:val="left"/>
      <w:pPr>
        <w:ind w:left="995" w:hanging="217"/>
      </w:pPr>
      <w:rPr>
        <w:rFonts w:hint="default"/>
        <w:lang w:val="en-GB" w:eastAsia="en-GB" w:bidi="en-GB"/>
      </w:rPr>
    </w:lvl>
    <w:lvl w:ilvl="6" w:tplc="C518E406">
      <w:numFmt w:val="bullet"/>
      <w:lvlText w:val="•"/>
      <w:lvlJc w:val="left"/>
      <w:pPr>
        <w:ind w:left="1134" w:hanging="217"/>
      </w:pPr>
      <w:rPr>
        <w:rFonts w:hint="default"/>
        <w:lang w:val="en-GB" w:eastAsia="en-GB" w:bidi="en-GB"/>
      </w:rPr>
    </w:lvl>
    <w:lvl w:ilvl="7" w:tplc="4316228A">
      <w:numFmt w:val="bullet"/>
      <w:lvlText w:val="•"/>
      <w:lvlJc w:val="left"/>
      <w:pPr>
        <w:ind w:left="1273" w:hanging="217"/>
      </w:pPr>
      <w:rPr>
        <w:rFonts w:hint="default"/>
        <w:lang w:val="en-GB" w:eastAsia="en-GB" w:bidi="en-GB"/>
      </w:rPr>
    </w:lvl>
    <w:lvl w:ilvl="8" w:tplc="52529CAA">
      <w:numFmt w:val="bullet"/>
      <w:lvlText w:val="•"/>
      <w:lvlJc w:val="left"/>
      <w:pPr>
        <w:ind w:left="1412" w:hanging="217"/>
      </w:pPr>
      <w:rPr>
        <w:rFonts w:hint="default"/>
        <w:lang w:val="en-GB" w:eastAsia="en-GB" w:bidi="en-GB"/>
      </w:rPr>
    </w:lvl>
  </w:abstractNum>
  <w:abstractNum w:abstractNumId="124" w15:restartNumberingAfterBreak="0">
    <w:nsid w:val="0B474EE1"/>
    <w:multiLevelType w:val="hybridMultilevel"/>
    <w:tmpl w:val="BFD28008"/>
    <w:lvl w:ilvl="0" w:tplc="3DB46E80">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9C002636">
      <w:numFmt w:val="bullet"/>
      <w:lvlText w:val="•"/>
      <w:lvlJc w:val="left"/>
      <w:pPr>
        <w:ind w:left="1085" w:hanging="217"/>
      </w:pPr>
      <w:rPr>
        <w:rFonts w:hint="default"/>
        <w:lang w:val="en-GB" w:eastAsia="en-GB" w:bidi="en-GB"/>
      </w:rPr>
    </w:lvl>
    <w:lvl w:ilvl="2" w:tplc="571650E4">
      <w:numFmt w:val="bullet"/>
      <w:lvlText w:val="•"/>
      <w:lvlJc w:val="left"/>
      <w:pPr>
        <w:ind w:left="1870" w:hanging="217"/>
      </w:pPr>
      <w:rPr>
        <w:rFonts w:hint="default"/>
        <w:lang w:val="en-GB" w:eastAsia="en-GB" w:bidi="en-GB"/>
      </w:rPr>
    </w:lvl>
    <w:lvl w:ilvl="3" w:tplc="8C7CF550">
      <w:numFmt w:val="bullet"/>
      <w:lvlText w:val="•"/>
      <w:lvlJc w:val="left"/>
      <w:pPr>
        <w:ind w:left="2656" w:hanging="217"/>
      </w:pPr>
      <w:rPr>
        <w:rFonts w:hint="default"/>
        <w:lang w:val="en-GB" w:eastAsia="en-GB" w:bidi="en-GB"/>
      </w:rPr>
    </w:lvl>
    <w:lvl w:ilvl="4" w:tplc="BBDEBE48">
      <w:numFmt w:val="bullet"/>
      <w:lvlText w:val="•"/>
      <w:lvlJc w:val="left"/>
      <w:pPr>
        <w:ind w:left="3441" w:hanging="217"/>
      </w:pPr>
      <w:rPr>
        <w:rFonts w:hint="default"/>
        <w:lang w:val="en-GB" w:eastAsia="en-GB" w:bidi="en-GB"/>
      </w:rPr>
    </w:lvl>
    <w:lvl w:ilvl="5" w:tplc="736A108E">
      <w:numFmt w:val="bullet"/>
      <w:lvlText w:val="•"/>
      <w:lvlJc w:val="left"/>
      <w:pPr>
        <w:ind w:left="4227" w:hanging="217"/>
      </w:pPr>
      <w:rPr>
        <w:rFonts w:hint="default"/>
        <w:lang w:val="en-GB" w:eastAsia="en-GB" w:bidi="en-GB"/>
      </w:rPr>
    </w:lvl>
    <w:lvl w:ilvl="6" w:tplc="632E7322">
      <w:numFmt w:val="bullet"/>
      <w:lvlText w:val="•"/>
      <w:lvlJc w:val="left"/>
      <w:pPr>
        <w:ind w:left="5012" w:hanging="217"/>
      </w:pPr>
      <w:rPr>
        <w:rFonts w:hint="default"/>
        <w:lang w:val="en-GB" w:eastAsia="en-GB" w:bidi="en-GB"/>
      </w:rPr>
    </w:lvl>
    <w:lvl w:ilvl="7" w:tplc="7BE69CAE">
      <w:numFmt w:val="bullet"/>
      <w:lvlText w:val="•"/>
      <w:lvlJc w:val="left"/>
      <w:pPr>
        <w:ind w:left="5797" w:hanging="217"/>
      </w:pPr>
      <w:rPr>
        <w:rFonts w:hint="default"/>
        <w:lang w:val="en-GB" w:eastAsia="en-GB" w:bidi="en-GB"/>
      </w:rPr>
    </w:lvl>
    <w:lvl w:ilvl="8" w:tplc="47785B4A">
      <w:numFmt w:val="bullet"/>
      <w:lvlText w:val="•"/>
      <w:lvlJc w:val="left"/>
      <w:pPr>
        <w:ind w:left="6583" w:hanging="217"/>
      </w:pPr>
      <w:rPr>
        <w:rFonts w:hint="default"/>
        <w:lang w:val="en-GB" w:eastAsia="en-GB" w:bidi="en-GB"/>
      </w:rPr>
    </w:lvl>
  </w:abstractNum>
  <w:abstractNum w:abstractNumId="125" w15:restartNumberingAfterBreak="0">
    <w:nsid w:val="0B765089"/>
    <w:multiLevelType w:val="hybridMultilevel"/>
    <w:tmpl w:val="C71E54B4"/>
    <w:lvl w:ilvl="0" w:tplc="FD6CDAF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6C8F95A">
      <w:numFmt w:val="bullet"/>
      <w:lvlText w:val="•"/>
      <w:lvlJc w:val="left"/>
      <w:pPr>
        <w:ind w:left="473" w:hanging="217"/>
      </w:pPr>
      <w:rPr>
        <w:rFonts w:hint="default"/>
        <w:lang w:val="en-GB" w:eastAsia="en-GB" w:bidi="en-GB"/>
      </w:rPr>
    </w:lvl>
    <w:lvl w:ilvl="2" w:tplc="930CDE96">
      <w:numFmt w:val="bullet"/>
      <w:lvlText w:val="•"/>
      <w:lvlJc w:val="left"/>
      <w:pPr>
        <w:ind w:left="646" w:hanging="217"/>
      </w:pPr>
      <w:rPr>
        <w:rFonts w:hint="default"/>
        <w:lang w:val="en-GB" w:eastAsia="en-GB" w:bidi="en-GB"/>
      </w:rPr>
    </w:lvl>
    <w:lvl w:ilvl="3" w:tplc="D464B5DC">
      <w:numFmt w:val="bullet"/>
      <w:lvlText w:val="•"/>
      <w:lvlJc w:val="left"/>
      <w:pPr>
        <w:ind w:left="819" w:hanging="217"/>
      </w:pPr>
      <w:rPr>
        <w:rFonts w:hint="default"/>
        <w:lang w:val="en-GB" w:eastAsia="en-GB" w:bidi="en-GB"/>
      </w:rPr>
    </w:lvl>
    <w:lvl w:ilvl="4" w:tplc="5A0E4D8E">
      <w:numFmt w:val="bullet"/>
      <w:lvlText w:val="•"/>
      <w:lvlJc w:val="left"/>
      <w:pPr>
        <w:ind w:left="992" w:hanging="217"/>
      </w:pPr>
      <w:rPr>
        <w:rFonts w:hint="default"/>
        <w:lang w:val="en-GB" w:eastAsia="en-GB" w:bidi="en-GB"/>
      </w:rPr>
    </w:lvl>
    <w:lvl w:ilvl="5" w:tplc="BA827B8E">
      <w:numFmt w:val="bullet"/>
      <w:lvlText w:val="•"/>
      <w:lvlJc w:val="left"/>
      <w:pPr>
        <w:ind w:left="1165" w:hanging="217"/>
      </w:pPr>
      <w:rPr>
        <w:rFonts w:hint="default"/>
        <w:lang w:val="en-GB" w:eastAsia="en-GB" w:bidi="en-GB"/>
      </w:rPr>
    </w:lvl>
    <w:lvl w:ilvl="6" w:tplc="6E7ACC38">
      <w:numFmt w:val="bullet"/>
      <w:lvlText w:val="•"/>
      <w:lvlJc w:val="left"/>
      <w:pPr>
        <w:ind w:left="1338" w:hanging="217"/>
      </w:pPr>
      <w:rPr>
        <w:rFonts w:hint="default"/>
        <w:lang w:val="en-GB" w:eastAsia="en-GB" w:bidi="en-GB"/>
      </w:rPr>
    </w:lvl>
    <w:lvl w:ilvl="7" w:tplc="3580E09C">
      <w:numFmt w:val="bullet"/>
      <w:lvlText w:val="•"/>
      <w:lvlJc w:val="left"/>
      <w:pPr>
        <w:ind w:left="1511" w:hanging="217"/>
      </w:pPr>
      <w:rPr>
        <w:rFonts w:hint="default"/>
        <w:lang w:val="en-GB" w:eastAsia="en-GB" w:bidi="en-GB"/>
      </w:rPr>
    </w:lvl>
    <w:lvl w:ilvl="8" w:tplc="80C0A74C">
      <w:numFmt w:val="bullet"/>
      <w:lvlText w:val="•"/>
      <w:lvlJc w:val="left"/>
      <w:pPr>
        <w:ind w:left="1684" w:hanging="217"/>
      </w:pPr>
      <w:rPr>
        <w:rFonts w:hint="default"/>
        <w:lang w:val="en-GB" w:eastAsia="en-GB" w:bidi="en-GB"/>
      </w:rPr>
    </w:lvl>
  </w:abstractNum>
  <w:abstractNum w:abstractNumId="126" w15:restartNumberingAfterBreak="0">
    <w:nsid w:val="0B7F398E"/>
    <w:multiLevelType w:val="hybridMultilevel"/>
    <w:tmpl w:val="6D0E2706"/>
    <w:lvl w:ilvl="0" w:tplc="530C4984">
      <w:numFmt w:val="bullet"/>
      <w:lvlText w:val="•"/>
      <w:lvlJc w:val="left"/>
      <w:pPr>
        <w:ind w:left="306" w:hanging="217"/>
      </w:pPr>
      <w:rPr>
        <w:rFonts w:ascii="Arial" w:eastAsia="Arial" w:hAnsi="Arial" w:cs="Arial" w:hint="default"/>
        <w:color w:val="231F20"/>
        <w:spacing w:val="-17"/>
        <w:w w:val="100"/>
        <w:sz w:val="18"/>
        <w:szCs w:val="18"/>
        <w:lang w:val="en-GB" w:eastAsia="en-GB" w:bidi="en-GB"/>
      </w:rPr>
    </w:lvl>
    <w:lvl w:ilvl="1" w:tplc="A31AA978">
      <w:numFmt w:val="bullet"/>
      <w:lvlText w:val="•"/>
      <w:lvlJc w:val="left"/>
      <w:pPr>
        <w:ind w:left="444" w:hanging="217"/>
      </w:pPr>
      <w:rPr>
        <w:rFonts w:hint="default"/>
        <w:lang w:val="en-GB" w:eastAsia="en-GB" w:bidi="en-GB"/>
      </w:rPr>
    </w:lvl>
    <w:lvl w:ilvl="2" w:tplc="F68E646E">
      <w:numFmt w:val="bullet"/>
      <w:lvlText w:val="•"/>
      <w:lvlJc w:val="left"/>
      <w:pPr>
        <w:ind w:left="589" w:hanging="217"/>
      </w:pPr>
      <w:rPr>
        <w:rFonts w:hint="default"/>
        <w:lang w:val="en-GB" w:eastAsia="en-GB" w:bidi="en-GB"/>
      </w:rPr>
    </w:lvl>
    <w:lvl w:ilvl="3" w:tplc="4EE28746">
      <w:numFmt w:val="bullet"/>
      <w:lvlText w:val="•"/>
      <w:lvlJc w:val="left"/>
      <w:pPr>
        <w:ind w:left="734" w:hanging="217"/>
      </w:pPr>
      <w:rPr>
        <w:rFonts w:hint="default"/>
        <w:lang w:val="en-GB" w:eastAsia="en-GB" w:bidi="en-GB"/>
      </w:rPr>
    </w:lvl>
    <w:lvl w:ilvl="4" w:tplc="07EADE42">
      <w:numFmt w:val="bullet"/>
      <w:lvlText w:val="•"/>
      <w:lvlJc w:val="left"/>
      <w:pPr>
        <w:ind w:left="878" w:hanging="217"/>
      </w:pPr>
      <w:rPr>
        <w:rFonts w:hint="default"/>
        <w:lang w:val="en-GB" w:eastAsia="en-GB" w:bidi="en-GB"/>
      </w:rPr>
    </w:lvl>
    <w:lvl w:ilvl="5" w:tplc="4B5A394C">
      <w:numFmt w:val="bullet"/>
      <w:lvlText w:val="•"/>
      <w:lvlJc w:val="left"/>
      <w:pPr>
        <w:ind w:left="1023" w:hanging="217"/>
      </w:pPr>
      <w:rPr>
        <w:rFonts w:hint="default"/>
        <w:lang w:val="en-GB" w:eastAsia="en-GB" w:bidi="en-GB"/>
      </w:rPr>
    </w:lvl>
    <w:lvl w:ilvl="6" w:tplc="A9B4F4E6">
      <w:numFmt w:val="bullet"/>
      <w:lvlText w:val="•"/>
      <w:lvlJc w:val="left"/>
      <w:pPr>
        <w:ind w:left="1168" w:hanging="217"/>
      </w:pPr>
      <w:rPr>
        <w:rFonts w:hint="default"/>
        <w:lang w:val="en-GB" w:eastAsia="en-GB" w:bidi="en-GB"/>
      </w:rPr>
    </w:lvl>
    <w:lvl w:ilvl="7" w:tplc="BD2E1CF0">
      <w:numFmt w:val="bullet"/>
      <w:lvlText w:val="•"/>
      <w:lvlJc w:val="left"/>
      <w:pPr>
        <w:ind w:left="1312" w:hanging="217"/>
      </w:pPr>
      <w:rPr>
        <w:rFonts w:hint="default"/>
        <w:lang w:val="en-GB" w:eastAsia="en-GB" w:bidi="en-GB"/>
      </w:rPr>
    </w:lvl>
    <w:lvl w:ilvl="8" w:tplc="AE64B880">
      <w:numFmt w:val="bullet"/>
      <w:lvlText w:val="•"/>
      <w:lvlJc w:val="left"/>
      <w:pPr>
        <w:ind w:left="1457" w:hanging="217"/>
      </w:pPr>
      <w:rPr>
        <w:rFonts w:hint="default"/>
        <w:lang w:val="en-GB" w:eastAsia="en-GB" w:bidi="en-GB"/>
      </w:rPr>
    </w:lvl>
  </w:abstractNum>
  <w:abstractNum w:abstractNumId="127" w15:restartNumberingAfterBreak="0">
    <w:nsid w:val="0B877201"/>
    <w:multiLevelType w:val="multilevel"/>
    <w:tmpl w:val="CD302646"/>
    <w:lvl w:ilvl="0">
      <w:start w:val="2"/>
      <w:numFmt w:val="decimal"/>
      <w:lvlText w:val="%1"/>
      <w:lvlJc w:val="left"/>
      <w:pPr>
        <w:ind w:left="903" w:hanging="693"/>
      </w:pPr>
      <w:rPr>
        <w:rFonts w:hint="default"/>
        <w:lang w:val="en-GB" w:eastAsia="en-GB" w:bidi="en-GB"/>
      </w:rPr>
    </w:lvl>
    <w:lvl w:ilvl="1">
      <w:start w:val="3"/>
      <w:numFmt w:val="decimal"/>
      <w:lvlText w:val="%1.%2"/>
      <w:lvlJc w:val="left"/>
      <w:pPr>
        <w:ind w:left="903" w:hanging="693"/>
      </w:pPr>
      <w:rPr>
        <w:rFonts w:ascii="Arial" w:eastAsia="Arial" w:hAnsi="Arial" w:cs="Arial" w:hint="default"/>
        <w:color w:val="231F20"/>
        <w:spacing w:val="-1"/>
        <w:w w:val="100"/>
        <w:sz w:val="42"/>
        <w:szCs w:val="42"/>
        <w:lang w:val="en-GB" w:eastAsia="en-GB" w:bidi="en-GB"/>
      </w:rPr>
    </w:lvl>
    <w:lvl w:ilvl="2">
      <w:numFmt w:val="bullet"/>
      <w:lvlText w:val="•"/>
      <w:lvlJc w:val="left"/>
      <w:pPr>
        <w:ind w:left="2841" w:hanging="693"/>
      </w:pPr>
      <w:rPr>
        <w:rFonts w:hint="default"/>
        <w:lang w:val="en-GB" w:eastAsia="en-GB" w:bidi="en-GB"/>
      </w:rPr>
    </w:lvl>
    <w:lvl w:ilvl="3">
      <w:numFmt w:val="bullet"/>
      <w:lvlText w:val="•"/>
      <w:lvlJc w:val="left"/>
      <w:pPr>
        <w:ind w:left="3811" w:hanging="693"/>
      </w:pPr>
      <w:rPr>
        <w:rFonts w:hint="default"/>
        <w:lang w:val="en-GB" w:eastAsia="en-GB" w:bidi="en-GB"/>
      </w:rPr>
    </w:lvl>
    <w:lvl w:ilvl="4">
      <w:numFmt w:val="bullet"/>
      <w:lvlText w:val="•"/>
      <w:lvlJc w:val="left"/>
      <w:pPr>
        <w:ind w:left="4782" w:hanging="693"/>
      </w:pPr>
      <w:rPr>
        <w:rFonts w:hint="default"/>
        <w:lang w:val="en-GB" w:eastAsia="en-GB" w:bidi="en-GB"/>
      </w:rPr>
    </w:lvl>
    <w:lvl w:ilvl="5">
      <w:numFmt w:val="bullet"/>
      <w:lvlText w:val="•"/>
      <w:lvlJc w:val="left"/>
      <w:pPr>
        <w:ind w:left="5752" w:hanging="693"/>
      </w:pPr>
      <w:rPr>
        <w:rFonts w:hint="default"/>
        <w:lang w:val="en-GB" w:eastAsia="en-GB" w:bidi="en-GB"/>
      </w:rPr>
    </w:lvl>
    <w:lvl w:ilvl="6">
      <w:numFmt w:val="bullet"/>
      <w:lvlText w:val="•"/>
      <w:lvlJc w:val="left"/>
      <w:pPr>
        <w:ind w:left="6723" w:hanging="693"/>
      </w:pPr>
      <w:rPr>
        <w:rFonts w:hint="default"/>
        <w:lang w:val="en-GB" w:eastAsia="en-GB" w:bidi="en-GB"/>
      </w:rPr>
    </w:lvl>
    <w:lvl w:ilvl="7">
      <w:numFmt w:val="bullet"/>
      <w:lvlText w:val="•"/>
      <w:lvlJc w:val="left"/>
      <w:pPr>
        <w:ind w:left="7693" w:hanging="693"/>
      </w:pPr>
      <w:rPr>
        <w:rFonts w:hint="default"/>
        <w:lang w:val="en-GB" w:eastAsia="en-GB" w:bidi="en-GB"/>
      </w:rPr>
    </w:lvl>
    <w:lvl w:ilvl="8">
      <w:numFmt w:val="bullet"/>
      <w:lvlText w:val="•"/>
      <w:lvlJc w:val="left"/>
      <w:pPr>
        <w:ind w:left="8664" w:hanging="693"/>
      </w:pPr>
      <w:rPr>
        <w:rFonts w:hint="default"/>
        <w:lang w:val="en-GB" w:eastAsia="en-GB" w:bidi="en-GB"/>
      </w:rPr>
    </w:lvl>
  </w:abstractNum>
  <w:abstractNum w:abstractNumId="128" w15:restartNumberingAfterBreak="0">
    <w:nsid w:val="0B974138"/>
    <w:multiLevelType w:val="hybridMultilevel"/>
    <w:tmpl w:val="98E891AC"/>
    <w:lvl w:ilvl="0" w:tplc="03A4FD3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D5C015E">
      <w:numFmt w:val="bullet"/>
      <w:lvlText w:val="•"/>
      <w:lvlJc w:val="left"/>
      <w:pPr>
        <w:ind w:left="439" w:hanging="217"/>
      </w:pPr>
      <w:rPr>
        <w:rFonts w:hint="default"/>
        <w:lang w:val="en-GB" w:eastAsia="en-GB" w:bidi="en-GB"/>
      </w:rPr>
    </w:lvl>
    <w:lvl w:ilvl="2" w:tplc="B822677C">
      <w:numFmt w:val="bullet"/>
      <w:lvlText w:val="•"/>
      <w:lvlJc w:val="left"/>
      <w:pPr>
        <w:ind w:left="578" w:hanging="217"/>
      </w:pPr>
      <w:rPr>
        <w:rFonts w:hint="default"/>
        <w:lang w:val="en-GB" w:eastAsia="en-GB" w:bidi="en-GB"/>
      </w:rPr>
    </w:lvl>
    <w:lvl w:ilvl="3" w:tplc="5CCC88D6">
      <w:numFmt w:val="bullet"/>
      <w:lvlText w:val="•"/>
      <w:lvlJc w:val="left"/>
      <w:pPr>
        <w:ind w:left="717" w:hanging="217"/>
      </w:pPr>
      <w:rPr>
        <w:rFonts w:hint="default"/>
        <w:lang w:val="en-GB" w:eastAsia="en-GB" w:bidi="en-GB"/>
      </w:rPr>
    </w:lvl>
    <w:lvl w:ilvl="4" w:tplc="0CB24BA4">
      <w:numFmt w:val="bullet"/>
      <w:lvlText w:val="•"/>
      <w:lvlJc w:val="left"/>
      <w:pPr>
        <w:ind w:left="856" w:hanging="217"/>
      </w:pPr>
      <w:rPr>
        <w:rFonts w:hint="default"/>
        <w:lang w:val="en-GB" w:eastAsia="en-GB" w:bidi="en-GB"/>
      </w:rPr>
    </w:lvl>
    <w:lvl w:ilvl="5" w:tplc="3828B16A">
      <w:numFmt w:val="bullet"/>
      <w:lvlText w:val="•"/>
      <w:lvlJc w:val="left"/>
      <w:pPr>
        <w:ind w:left="995" w:hanging="217"/>
      </w:pPr>
      <w:rPr>
        <w:rFonts w:hint="default"/>
        <w:lang w:val="en-GB" w:eastAsia="en-GB" w:bidi="en-GB"/>
      </w:rPr>
    </w:lvl>
    <w:lvl w:ilvl="6" w:tplc="D1EA9906">
      <w:numFmt w:val="bullet"/>
      <w:lvlText w:val="•"/>
      <w:lvlJc w:val="left"/>
      <w:pPr>
        <w:ind w:left="1134" w:hanging="217"/>
      </w:pPr>
      <w:rPr>
        <w:rFonts w:hint="default"/>
        <w:lang w:val="en-GB" w:eastAsia="en-GB" w:bidi="en-GB"/>
      </w:rPr>
    </w:lvl>
    <w:lvl w:ilvl="7" w:tplc="072C9C24">
      <w:numFmt w:val="bullet"/>
      <w:lvlText w:val="•"/>
      <w:lvlJc w:val="left"/>
      <w:pPr>
        <w:ind w:left="1273" w:hanging="217"/>
      </w:pPr>
      <w:rPr>
        <w:rFonts w:hint="default"/>
        <w:lang w:val="en-GB" w:eastAsia="en-GB" w:bidi="en-GB"/>
      </w:rPr>
    </w:lvl>
    <w:lvl w:ilvl="8" w:tplc="BB288FE0">
      <w:numFmt w:val="bullet"/>
      <w:lvlText w:val="•"/>
      <w:lvlJc w:val="left"/>
      <w:pPr>
        <w:ind w:left="1412" w:hanging="217"/>
      </w:pPr>
      <w:rPr>
        <w:rFonts w:hint="default"/>
        <w:lang w:val="en-GB" w:eastAsia="en-GB" w:bidi="en-GB"/>
      </w:rPr>
    </w:lvl>
  </w:abstractNum>
  <w:abstractNum w:abstractNumId="129" w15:restartNumberingAfterBreak="0">
    <w:nsid w:val="0BFE51C1"/>
    <w:multiLevelType w:val="hybridMultilevel"/>
    <w:tmpl w:val="45DA1D6E"/>
    <w:lvl w:ilvl="0" w:tplc="6B34447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3F4101A">
      <w:numFmt w:val="bullet"/>
      <w:lvlText w:val="•"/>
      <w:lvlJc w:val="left"/>
      <w:pPr>
        <w:ind w:left="1061" w:hanging="217"/>
      </w:pPr>
      <w:rPr>
        <w:rFonts w:hint="default"/>
        <w:lang w:val="en-GB" w:eastAsia="en-GB" w:bidi="en-GB"/>
      </w:rPr>
    </w:lvl>
    <w:lvl w:ilvl="2" w:tplc="F14ED0D4">
      <w:numFmt w:val="bullet"/>
      <w:lvlText w:val="•"/>
      <w:lvlJc w:val="left"/>
      <w:pPr>
        <w:ind w:left="1823" w:hanging="217"/>
      </w:pPr>
      <w:rPr>
        <w:rFonts w:hint="default"/>
        <w:lang w:val="en-GB" w:eastAsia="en-GB" w:bidi="en-GB"/>
      </w:rPr>
    </w:lvl>
    <w:lvl w:ilvl="3" w:tplc="0B1803AE">
      <w:numFmt w:val="bullet"/>
      <w:lvlText w:val="•"/>
      <w:lvlJc w:val="left"/>
      <w:pPr>
        <w:ind w:left="2585" w:hanging="217"/>
      </w:pPr>
      <w:rPr>
        <w:rFonts w:hint="default"/>
        <w:lang w:val="en-GB" w:eastAsia="en-GB" w:bidi="en-GB"/>
      </w:rPr>
    </w:lvl>
    <w:lvl w:ilvl="4" w:tplc="69AA35F6">
      <w:numFmt w:val="bullet"/>
      <w:lvlText w:val="•"/>
      <w:lvlJc w:val="left"/>
      <w:pPr>
        <w:ind w:left="3346" w:hanging="217"/>
      </w:pPr>
      <w:rPr>
        <w:rFonts w:hint="default"/>
        <w:lang w:val="en-GB" w:eastAsia="en-GB" w:bidi="en-GB"/>
      </w:rPr>
    </w:lvl>
    <w:lvl w:ilvl="5" w:tplc="7414B704">
      <w:numFmt w:val="bullet"/>
      <w:lvlText w:val="•"/>
      <w:lvlJc w:val="left"/>
      <w:pPr>
        <w:ind w:left="4108" w:hanging="217"/>
      </w:pPr>
      <w:rPr>
        <w:rFonts w:hint="default"/>
        <w:lang w:val="en-GB" w:eastAsia="en-GB" w:bidi="en-GB"/>
      </w:rPr>
    </w:lvl>
    <w:lvl w:ilvl="6" w:tplc="BDF023E0">
      <w:numFmt w:val="bullet"/>
      <w:lvlText w:val="•"/>
      <w:lvlJc w:val="left"/>
      <w:pPr>
        <w:ind w:left="4870" w:hanging="217"/>
      </w:pPr>
      <w:rPr>
        <w:rFonts w:hint="default"/>
        <w:lang w:val="en-GB" w:eastAsia="en-GB" w:bidi="en-GB"/>
      </w:rPr>
    </w:lvl>
    <w:lvl w:ilvl="7" w:tplc="B95CB54E">
      <w:numFmt w:val="bullet"/>
      <w:lvlText w:val="•"/>
      <w:lvlJc w:val="left"/>
      <w:pPr>
        <w:ind w:left="5631" w:hanging="217"/>
      </w:pPr>
      <w:rPr>
        <w:rFonts w:hint="default"/>
        <w:lang w:val="en-GB" w:eastAsia="en-GB" w:bidi="en-GB"/>
      </w:rPr>
    </w:lvl>
    <w:lvl w:ilvl="8" w:tplc="E20EB4EE">
      <w:numFmt w:val="bullet"/>
      <w:lvlText w:val="•"/>
      <w:lvlJc w:val="left"/>
      <w:pPr>
        <w:ind w:left="6393" w:hanging="217"/>
      </w:pPr>
      <w:rPr>
        <w:rFonts w:hint="default"/>
        <w:lang w:val="en-GB" w:eastAsia="en-GB" w:bidi="en-GB"/>
      </w:rPr>
    </w:lvl>
  </w:abstractNum>
  <w:abstractNum w:abstractNumId="130" w15:restartNumberingAfterBreak="0">
    <w:nsid w:val="0C2F1180"/>
    <w:multiLevelType w:val="hybridMultilevel"/>
    <w:tmpl w:val="1FDED6EE"/>
    <w:lvl w:ilvl="0" w:tplc="ED7C36F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DD684D4">
      <w:numFmt w:val="bullet"/>
      <w:lvlText w:val="•"/>
      <w:lvlJc w:val="left"/>
      <w:pPr>
        <w:ind w:left="892" w:hanging="217"/>
      </w:pPr>
      <w:rPr>
        <w:rFonts w:hint="default"/>
        <w:lang w:val="en-GB" w:eastAsia="en-GB" w:bidi="en-GB"/>
      </w:rPr>
    </w:lvl>
    <w:lvl w:ilvl="2" w:tplc="582AAD26">
      <w:numFmt w:val="bullet"/>
      <w:lvlText w:val="•"/>
      <w:lvlJc w:val="left"/>
      <w:pPr>
        <w:ind w:left="1485" w:hanging="217"/>
      </w:pPr>
      <w:rPr>
        <w:rFonts w:hint="default"/>
        <w:lang w:val="en-GB" w:eastAsia="en-GB" w:bidi="en-GB"/>
      </w:rPr>
    </w:lvl>
    <w:lvl w:ilvl="3" w:tplc="F7BC8760">
      <w:numFmt w:val="bullet"/>
      <w:lvlText w:val="•"/>
      <w:lvlJc w:val="left"/>
      <w:pPr>
        <w:ind w:left="2077" w:hanging="217"/>
      </w:pPr>
      <w:rPr>
        <w:rFonts w:hint="default"/>
        <w:lang w:val="en-GB" w:eastAsia="en-GB" w:bidi="en-GB"/>
      </w:rPr>
    </w:lvl>
    <w:lvl w:ilvl="4" w:tplc="EC5E66D4">
      <w:numFmt w:val="bullet"/>
      <w:lvlText w:val="•"/>
      <w:lvlJc w:val="left"/>
      <w:pPr>
        <w:ind w:left="2670" w:hanging="217"/>
      </w:pPr>
      <w:rPr>
        <w:rFonts w:hint="default"/>
        <w:lang w:val="en-GB" w:eastAsia="en-GB" w:bidi="en-GB"/>
      </w:rPr>
    </w:lvl>
    <w:lvl w:ilvl="5" w:tplc="4F2015B6">
      <w:numFmt w:val="bullet"/>
      <w:lvlText w:val="•"/>
      <w:lvlJc w:val="left"/>
      <w:pPr>
        <w:ind w:left="3263" w:hanging="217"/>
      </w:pPr>
      <w:rPr>
        <w:rFonts w:hint="default"/>
        <w:lang w:val="en-GB" w:eastAsia="en-GB" w:bidi="en-GB"/>
      </w:rPr>
    </w:lvl>
    <w:lvl w:ilvl="6" w:tplc="599ABBB4">
      <w:numFmt w:val="bullet"/>
      <w:lvlText w:val="•"/>
      <w:lvlJc w:val="left"/>
      <w:pPr>
        <w:ind w:left="3855" w:hanging="217"/>
      </w:pPr>
      <w:rPr>
        <w:rFonts w:hint="default"/>
        <w:lang w:val="en-GB" w:eastAsia="en-GB" w:bidi="en-GB"/>
      </w:rPr>
    </w:lvl>
    <w:lvl w:ilvl="7" w:tplc="9196CCAA">
      <w:numFmt w:val="bullet"/>
      <w:lvlText w:val="•"/>
      <w:lvlJc w:val="left"/>
      <w:pPr>
        <w:ind w:left="4448" w:hanging="217"/>
      </w:pPr>
      <w:rPr>
        <w:rFonts w:hint="default"/>
        <w:lang w:val="en-GB" w:eastAsia="en-GB" w:bidi="en-GB"/>
      </w:rPr>
    </w:lvl>
    <w:lvl w:ilvl="8" w:tplc="2BD88832">
      <w:numFmt w:val="bullet"/>
      <w:lvlText w:val="•"/>
      <w:lvlJc w:val="left"/>
      <w:pPr>
        <w:ind w:left="5040" w:hanging="217"/>
      </w:pPr>
      <w:rPr>
        <w:rFonts w:hint="default"/>
        <w:lang w:val="en-GB" w:eastAsia="en-GB" w:bidi="en-GB"/>
      </w:rPr>
    </w:lvl>
  </w:abstractNum>
  <w:abstractNum w:abstractNumId="131" w15:restartNumberingAfterBreak="0">
    <w:nsid w:val="0C3E5313"/>
    <w:multiLevelType w:val="hybridMultilevel"/>
    <w:tmpl w:val="7996F2CA"/>
    <w:lvl w:ilvl="0" w:tplc="B83EBD9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5EC119E">
      <w:numFmt w:val="bullet"/>
      <w:lvlText w:val="•"/>
      <w:lvlJc w:val="left"/>
      <w:pPr>
        <w:ind w:left="893" w:hanging="217"/>
      </w:pPr>
      <w:rPr>
        <w:rFonts w:hint="default"/>
        <w:lang w:val="en-GB" w:eastAsia="en-GB" w:bidi="en-GB"/>
      </w:rPr>
    </w:lvl>
    <w:lvl w:ilvl="2" w:tplc="2B606512">
      <w:numFmt w:val="bullet"/>
      <w:lvlText w:val="•"/>
      <w:lvlJc w:val="left"/>
      <w:pPr>
        <w:ind w:left="1486" w:hanging="217"/>
      </w:pPr>
      <w:rPr>
        <w:rFonts w:hint="default"/>
        <w:lang w:val="en-GB" w:eastAsia="en-GB" w:bidi="en-GB"/>
      </w:rPr>
    </w:lvl>
    <w:lvl w:ilvl="3" w:tplc="FD540FC8">
      <w:numFmt w:val="bullet"/>
      <w:lvlText w:val="•"/>
      <w:lvlJc w:val="left"/>
      <w:pPr>
        <w:ind w:left="2079" w:hanging="217"/>
      </w:pPr>
      <w:rPr>
        <w:rFonts w:hint="default"/>
        <w:lang w:val="en-GB" w:eastAsia="en-GB" w:bidi="en-GB"/>
      </w:rPr>
    </w:lvl>
    <w:lvl w:ilvl="4" w:tplc="DC009C26">
      <w:numFmt w:val="bullet"/>
      <w:lvlText w:val="•"/>
      <w:lvlJc w:val="left"/>
      <w:pPr>
        <w:ind w:left="2672" w:hanging="217"/>
      </w:pPr>
      <w:rPr>
        <w:rFonts w:hint="default"/>
        <w:lang w:val="en-GB" w:eastAsia="en-GB" w:bidi="en-GB"/>
      </w:rPr>
    </w:lvl>
    <w:lvl w:ilvl="5" w:tplc="E6282D36">
      <w:numFmt w:val="bullet"/>
      <w:lvlText w:val="•"/>
      <w:lvlJc w:val="left"/>
      <w:pPr>
        <w:ind w:left="3265" w:hanging="217"/>
      </w:pPr>
      <w:rPr>
        <w:rFonts w:hint="default"/>
        <w:lang w:val="en-GB" w:eastAsia="en-GB" w:bidi="en-GB"/>
      </w:rPr>
    </w:lvl>
    <w:lvl w:ilvl="6" w:tplc="EE90BAB4">
      <w:numFmt w:val="bullet"/>
      <w:lvlText w:val="•"/>
      <w:lvlJc w:val="left"/>
      <w:pPr>
        <w:ind w:left="3858" w:hanging="217"/>
      </w:pPr>
      <w:rPr>
        <w:rFonts w:hint="default"/>
        <w:lang w:val="en-GB" w:eastAsia="en-GB" w:bidi="en-GB"/>
      </w:rPr>
    </w:lvl>
    <w:lvl w:ilvl="7" w:tplc="16900752">
      <w:numFmt w:val="bullet"/>
      <w:lvlText w:val="•"/>
      <w:lvlJc w:val="left"/>
      <w:pPr>
        <w:ind w:left="4451" w:hanging="217"/>
      </w:pPr>
      <w:rPr>
        <w:rFonts w:hint="default"/>
        <w:lang w:val="en-GB" w:eastAsia="en-GB" w:bidi="en-GB"/>
      </w:rPr>
    </w:lvl>
    <w:lvl w:ilvl="8" w:tplc="4AECC8EC">
      <w:numFmt w:val="bullet"/>
      <w:lvlText w:val="•"/>
      <w:lvlJc w:val="left"/>
      <w:pPr>
        <w:ind w:left="5044" w:hanging="217"/>
      </w:pPr>
      <w:rPr>
        <w:rFonts w:hint="default"/>
        <w:lang w:val="en-GB" w:eastAsia="en-GB" w:bidi="en-GB"/>
      </w:rPr>
    </w:lvl>
  </w:abstractNum>
  <w:abstractNum w:abstractNumId="132" w15:restartNumberingAfterBreak="0">
    <w:nsid w:val="0C402A2B"/>
    <w:multiLevelType w:val="hybridMultilevel"/>
    <w:tmpl w:val="F06CE188"/>
    <w:lvl w:ilvl="0" w:tplc="DDCA1C24">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D6A4C8B8">
      <w:numFmt w:val="bullet"/>
      <w:lvlText w:val="•"/>
      <w:lvlJc w:val="left"/>
      <w:pPr>
        <w:ind w:left="893" w:hanging="217"/>
      </w:pPr>
      <w:rPr>
        <w:rFonts w:hint="default"/>
        <w:lang w:val="en-GB" w:eastAsia="en-GB" w:bidi="en-GB"/>
      </w:rPr>
    </w:lvl>
    <w:lvl w:ilvl="2" w:tplc="C98C8918">
      <w:numFmt w:val="bullet"/>
      <w:lvlText w:val="•"/>
      <w:lvlJc w:val="left"/>
      <w:pPr>
        <w:ind w:left="1486" w:hanging="217"/>
      </w:pPr>
      <w:rPr>
        <w:rFonts w:hint="default"/>
        <w:lang w:val="en-GB" w:eastAsia="en-GB" w:bidi="en-GB"/>
      </w:rPr>
    </w:lvl>
    <w:lvl w:ilvl="3" w:tplc="CBCE2D1A">
      <w:numFmt w:val="bullet"/>
      <w:lvlText w:val="•"/>
      <w:lvlJc w:val="left"/>
      <w:pPr>
        <w:ind w:left="2079" w:hanging="217"/>
      </w:pPr>
      <w:rPr>
        <w:rFonts w:hint="default"/>
        <w:lang w:val="en-GB" w:eastAsia="en-GB" w:bidi="en-GB"/>
      </w:rPr>
    </w:lvl>
    <w:lvl w:ilvl="4" w:tplc="9148FE54">
      <w:numFmt w:val="bullet"/>
      <w:lvlText w:val="•"/>
      <w:lvlJc w:val="left"/>
      <w:pPr>
        <w:ind w:left="2672" w:hanging="217"/>
      </w:pPr>
      <w:rPr>
        <w:rFonts w:hint="default"/>
        <w:lang w:val="en-GB" w:eastAsia="en-GB" w:bidi="en-GB"/>
      </w:rPr>
    </w:lvl>
    <w:lvl w:ilvl="5" w:tplc="8BB2A3CA">
      <w:numFmt w:val="bullet"/>
      <w:lvlText w:val="•"/>
      <w:lvlJc w:val="left"/>
      <w:pPr>
        <w:ind w:left="3265" w:hanging="217"/>
      </w:pPr>
      <w:rPr>
        <w:rFonts w:hint="default"/>
        <w:lang w:val="en-GB" w:eastAsia="en-GB" w:bidi="en-GB"/>
      </w:rPr>
    </w:lvl>
    <w:lvl w:ilvl="6" w:tplc="1E121FAA">
      <w:numFmt w:val="bullet"/>
      <w:lvlText w:val="•"/>
      <w:lvlJc w:val="left"/>
      <w:pPr>
        <w:ind w:left="3858" w:hanging="217"/>
      </w:pPr>
      <w:rPr>
        <w:rFonts w:hint="default"/>
        <w:lang w:val="en-GB" w:eastAsia="en-GB" w:bidi="en-GB"/>
      </w:rPr>
    </w:lvl>
    <w:lvl w:ilvl="7" w:tplc="3E52354A">
      <w:numFmt w:val="bullet"/>
      <w:lvlText w:val="•"/>
      <w:lvlJc w:val="left"/>
      <w:pPr>
        <w:ind w:left="4451" w:hanging="217"/>
      </w:pPr>
      <w:rPr>
        <w:rFonts w:hint="default"/>
        <w:lang w:val="en-GB" w:eastAsia="en-GB" w:bidi="en-GB"/>
      </w:rPr>
    </w:lvl>
    <w:lvl w:ilvl="8" w:tplc="CA08364A">
      <w:numFmt w:val="bullet"/>
      <w:lvlText w:val="•"/>
      <w:lvlJc w:val="left"/>
      <w:pPr>
        <w:ind w:left="5044" w:hanging="217"/>
      </w:pPr>
      <w:rPr>
        <w:rFonts w:hint="default"/>
        <w:lang w:val="en-GB" w:eastAsia="en-GB" w:bidi="en-GB"/>
      </w:rPr>
    </w:lvl>
  </w:abstractNum>
  <w:abstractNum w:abstractNumId="133" w15:restartNumberingAfterBreak="0">
    <w:nsid w:val="0C4B552F"/>
    <w:multiLevelType w:val="hybridMultilevel"/>
    <w:tmpl w:val="5B6A5F06"/>
    <w:lvl w:ilvl="0" w:tplc="05BC5F6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F64B53A">
      <w:numFmt w:val="bullet"/>
      <w:lvlText w:val="•"/>
      <w:lvlJc w:val="left"/>
      <w:pPr>
        <w:ind w:left="473" w:hanging="217"/>
      </w:pPr>
      <w:rPr>
        <w:rFonts w:hint="default"/>
        <w:lang w:val="en-GB" w:eastAsia="en-GB" w:bidi="en-GB"/>
      </w:rPr>
    </w:lvl>
    <w:lvl w:ilvl="2" w:tplc="1236206E">
      <w:numFmt w:val="bullet"/>
      <w:lvlText w:val="•"/>
      <w:lvlJc w:val="left"/>
      <w:pPr>
        <w:ind w:left="646" w:hanging="217"/>
      </w:pPr>
      <w:rPr>
        <w:rFonts w:hint="default"/>
        <w:lang w:val="en-GB" w:eastAsia="en-GB" w:bidi="en-GB"/>
      </w:rPr>
    </w:lvl>
    <w:lvl w:ilvl="3" w:tplc="A20C5736">
      <w:numFmt w:val="bullet"/>
      <w:lvlText w:val="•"/>
      <w:lvlJc w:val="left"/>
      <w:pPr>
        <w:ind w:left="819" w:hanging="217"/>
      </w:pPr>
      <w:rPr>
        <w:rFonts w:hint="default"/>
        <w:lang w:val="en-GB" w:eastAsia="en-GB" w:bidi="en-GB"/>
      </w:rPr>
    </w:lvl>
    <w:lvl w:ilvl="4" w:tplc="2ACE89C8">
      <w:numFmt w:val="bullet"/>
      <w:lvlText w:val="•"/>
      <w:lvlJc w:val="left"/>
      <w:pPr>
        <w:ind w:left="992" w:hanging="217"/>
      </w:pPr>
      <w:rPr>
        <w:rFonts w:hint="default"/>
        <w:lang w:val="en-GB" w:eastAsia="en-GB" w:bidi="en-GB"/>
      </w:rPr>
    </w:lvl>
    <w:lvl w:ilvl="5" w:tplc="2F30AA5C">
      <w:numFmt w:val="bullet"/>
      <w:lvlText w:val="•"/>
      <w:lvlJc w:val="left"/>
      <w:pPr>
        <w:ind w:left="1165" w:hanging="217"/>
      </w:pPr>
      <w:rPr>
        <w:rFonts w:hint="default"/>
        <w:lang w:val="en-GB" w:eastAsia="en-GB" w:bidi="en-GB"/>
      </w:rPr>
    </w:lvl>
    <w:lvl w:ilvl="6" w:tplc="1908B3DA">
      <w:numFmt w:val="bullet"/>
      <w:lvlText w:val="•"/>
      <w:lvlJc w:val="left"/>
      <w:pPr>
        <w:ind w:left="1338" w:hanging="217"/>
      </w:pPr>
      <w:rPr>
        <w:rFonts w:hint="default"/>
        <w:lang w:val="en-GB" w:eastAsia="en-GB" w:bidi="en-GB"/>
      </w:rPr>
    </w:lvl>
    <w:lvl w:ilvl="7" w:tplc="5D8416EE">
      <w:numFmt w:val="bullet"/>
      <w:lvlText w:val="•"/>
      <w:lvlJc w:val="left"/>
      <w:pPr>
        <w:ind w:left="1511" w:hanging="217"/>
      </w:pPr>
      <w:rPr>
        <w:rFonts w:hint="default"/>
        <w:lang w:val="en-GB" w:eastAsia="en-GB" w:bidi="en-GB"/>
      </w:rPr>
    </w:lvl>
    <w:lvl w:ilvl="8" w:tplc="16BEB878">
      <w:numFmt w:val="bullet"/>
      <w:lvlText w:val="•"/>
      <w:lvlJc w:val="left"/>
      <w:pPr>
        <w:ind w:left="1684" w:hanging="217"/>
      </w:pPr>
      <w:rPr>
        <w:rFonts w:hint="default"/>
        <w:lang w:val="en-GB" w:eastAsia="en-GB" w:bidi="en-GB"/>
      </w:rPr>
    </w:lvl>
  </w:abstractNum>
  <w:abstractNum w:abstractNumId="134" w15:restartNumberingAfterBreak="0">
    <w:nsid w:val="0C606791"/>
    <w:multiLevelType w:val="hybridMultilevel"/>
    <w:tmpl w:val="EAC635F6"/>
    <w:lvl w:ilvl="0" w:tplc="67CC5314">
      <w:numFmt w:val="bullet"/>
      <w:lvlText w:val="•"/>
      <w:lvlJc w:val="left"/>
      <w:pPr>
        <w:ind w:left="300" w:hanging="217"/>
      </w:pPr>
      <w:rPr>
        <w:rFonts w:ascii="Arial" w:eastAsia="Arial" w:hAnsi="Arial" w:cs="Arial" w:hint="default"/>
        <w:color w:val="231F20"/>
        <w:spacing w:val="-7"/>
        <w:w w:val="100"/>
        <w:sz w:val="18"/>
        <w:szCs w:val="18"/>
        <w:lang w:val="en-GB" w:eastAsia="en-GB" w:bidi="en-GB"/>
      </w:rPr>
    </w:lvl>
    <w:lvl w:ilvl="1" w:tplc="ABA69E76">
      <w:numFmt w:val="bullet"/>
      <w:lvlText w:val="•"/>
      <w:lvlJc w:val="left"/>
      <w:pPr>
        <w:ind w:left="529" w:hanging="217"/>
      </w:pPr>
      <w:rPr>
        <w:rFonts w:hint="default"/>
        <w:lang w:val="en-GB" w:eastAsia="en-GB" w:bidi="en-GB"/>
      </w:rPr>
    </w:lvl>
    <w:lvl w:ilvl="2" w:tplc="8C1A5C52">
      <w:numFmt w:val="bullet"/>
      <w:lvlText w:val="•"/>
      <w:lvlJc w:val="left"/>
      <w:pPr>
        <w:ind w:left="759" w:hanging="217"/>
      </w:pPr>
      <w:rPr>
        <w:rFonts w:hint="default"/>
        <w:lang w:val="en-GB" w:eastAsia="en-GB" w:bidi="en-GB"/>
      </w:rPr>
    </w:lvl>
    <w:lvl w:ilvl="3" w:tplc="102CC8E4">
      <w:numFmt w:val="bullet"/>
      <w:lvlText w:val="•"/>
      <w:lvlJc w:val="left"/>
      <w:pPr>
        <w:ind w:left="989" w:hanging="217"/>
      </w:pPr>
      <w:rPr>
        <w:rFonts w:hint="default"/>
        <w:lang w:val="en-GB" w:eastAsia="en-GB" w:bidi="en-GB"/>
      </w:rPr>
    </w:lvl>
    <w:lvl w:ilvl="4" w:tplc="85CA2898">
      <w:numFmt w:val="bullet"/>
      <w:lvlText w:val="•"/>
      <w:lvlJc w:val="left"/>
      <w:pPr>
        <w:ind w:left="1219" w:hanging="217"/>
      </w:pPr>
      <w:rPr>
        <w:rFonts w:hint="default"/>
        <w:lang w:val="en-GB" w:eastAsia="en-GB" w:bidi="en-GB"/>
      </w:rPr>
    </w:lvl>
    <w:lvl w:ilvl="5" w:tplc="CCF0B412">
      <w:numFmt w:val="bullet"/>
      <w:lvlText w:val="•"/>
      <w:lvlJc w:val="left"/>
      <w:pPr>
        <w:ind w:left="1449" w:hanging="217"/>
      </w:pPr>
      <w:rPr>
        <w:rFonts w:hint="default"/>
        <w:lang w:val="en-GB" w:eastAsia="en-GB" w:bidi="en-GB"/>
      </w:rPr>
    </w:lvl>
    <w:lvl w:ilvl="6" w:tplc="9A3EEC74">
      <w:numFmt w:val="bullet"/>
      <w:lvlText w:val="•"/>
      <w:lvlJc w:val="left"/>
      <w:pPr>
        <w:ind w:left="1678" w:hanging="217"/>
      </w:pPr>
      <w:rPr>
        <w:rFonts w:hint="default"/>
        <w:lang w:val="en-GB" w:eastAsia="en-GB" w:bidi="en-GB"/>
      </w:rPr>
    </w:lvl>
    <w:lvl w:ilvl="7" w:tplc="B8CACAC6">
      <w:numFmt w:val="bullet"/>
      <w:lvlText w:val="•"/>
      <w:lvlJc w:val="left"/>
      <w:pPr>
        <w:ind w:left="1908" w:hanging="217"/>
      </w:pPr>
      <w:rPr>
        <w:rFonts w:hint="default"/>
        <w:lang w:val="en-GB" w:eastAsia="en-GB" w:bidi="en-GB"/>
      </w:rPr>
    </w:lvl>
    <w:lvl w:ilvl="8" w:tplc="86C48782">
      <w:numFmt w:val="bullet"/>
      <w:lvlText w:val="•"/>
      <w:lvlJc w:val="left"/>
      <w:pPr>
        <w:ind w:left="2138" w:hanging="217"/>
      </w:pPr>
      <w:rPr>
        <w:rFonts w:hint="default"/>
        <w:lang w:val="en-GB" w:eastAsia="en-GB" w:bidi="en-GB"/>
      </w:rPr>
    </w:lvl>
  </w:abstractNum>
  <w:abstractNum w:abstractNumId="135" w15:restartNumberingAfterBreak="0">
    <w:nsid w:val="0C624194"/>
    <w:multiLevelType w:val="hybridMultilevel"/>
    <w:tmpl w:val="27B6E130"/>
    <w:lvl w:ilvl="0" w:tplc="B2B07BD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5C2A2B3C">
      <w:numFmt w:val="bullet"/>
      <w:lvlText w:val="•"/>
      <w:lvlJc w:val="left"/>
      <w:pPr>
        <w:ind w:left="473" w:hanging="217"/>
      </w:pPr>
      <w:rPr>
        <w:rFonts w:hint="default"/>
        <w:lang w:val="en-GB" w:eastAsia="en-GB" w:bidi="en-GB"/>
      </w:rPr>
    </w:lvl>
    <w:lvl w:ilvl="2" w:tplc="1F78AECC">
      <w:numFmt w:val="bullet"/>
      <w:lvlText w:val="•"/>
      <w:lvlJc w:val="left"/>
      <w:pPr>
        <w:ind w:left="646" w:hanging="217"/>
      </w:pPr>
      <w:rPr>
        <w:rFonts w:hint="default"/>
        <w:lang w:val="en-GB" w:eastAsia="en-GB" w:bidi="en-GB"/>
      </w:rPr>
    </w:lvl>
    <w:lvl w:ilvl="3" w:tplc="5A52704E">
      <w:numFmt w:val="bullet"/>
      <w:lvlText w:val="•"/>
      <w:lvlJc w:val="left"/>
      <w:pPr>
        <w:ind w:left="819" w:hanging="217"/>
      </w:pPr>
      <w:rPr>
        <w:rFonts w:hint="default"/>
        <w:lang w:val="en-GB" w:eastAsia="en-GB" w:bidi="en-GB"/>
      </w:rPr>
    </w:lvl>
    <w:lvl w:ilvl="4" w:tplc="D7905270">
      <w:numFmt w:val="bullet"/>
      <w:lvlText w:val="•"/>
      <w:lvlJc w:val="left"/>
      <w:pPr>
        <w:ind w:left="992" w:hanging="217"/>
      </w:pPr>
      <w:rPr>
        <w:rFonts w:hint="default"/>
        <w:lang w:val="en-GB" w:eastAsia="en-GB" w:bidi="en-GB"/>
      </w:rPr>
    </w:lvl>
    <w:lvl w:ilvl="5" w:tplc="201E7274">
      <w:numFmt w:val="bullet"/>
      <w:lvlText w:val="•"/>
      <w:lvlJc w:val="left"/>
      <w:pPr>
        <w:ind w:left="1165" w:hanging="217"/>
      </w:pPr>
      <w:rPr>
        <w:rFonts w:hint="default"/>
        <w:lang w:val="en-GB" w:eastAsia="en-GB" w:bidi="en-GB"/>
      </w:rPr>
    </w:lvl>
    <w:lvl w:ilvl="6" w:tplc="64069962">
      <w:numFmt w:val="bullet"/>
      <w:lvlText w:val="•"/>
      <w:lvlJc w:val="left"/>
      <w:pPr>
        <w:ind w:left="1338" w:hanging="217"/>
      </w:pPr>
      <w:rPr>
        <w:rFonts w:hint="default"/>
        <w:lang w:val="en-GB" w:eastAsia="en-GB" w:bidi="en-GB"/>
      </w:rPr>
    </w:lvl>
    <w:lvl w:ilvl="7" w:tplc="E4A08252">
      <w:numFmt w:val="bullet"/>
      <w:lvlText w:val="•"/>
      <w:lvlJc w:val="left"/>
      <w:pPr>
        <w:ind w:left="1511" w:hanging="217"/>
      </w:pPr>
      <w:rPr>
        <w:rFonts w:hint="default"/>
        <w:lang w:val="en-GB" w:eastAsia="en-GB" w:bidi="en-GB"/>
      </w:rPr>
    </w:lvl>
    <w:lvl w:ilvl="8" w:tplc="F206728A">
      <w:numFmt w:val="bullet"/>
      <w:lvlText w:val="•"/>
      <w:lvlJc w:val="left"/>
      <w:pPr>
        <w:ind w:left="1684" w:hanging="217"/>
      </w:pPr>
      <w:rPr>
        <w:rFonts w:hint="default"/>
        <w:lang w:val="en-GB" w:eastAsia="en-GB" w:bidi="en-GB"/>
      </w:rPr>
    </w:lvl>
  </w:abstractNum>
  <w:abstractNum w:abstractNumId="136" w15:restartNumberingAfterBreak="0">
    <w:nsid w:val="0C647D73"/>
    <w:multiLevelType w:val="hybridMultilevel"/>
    <w:tmpl w:val="CF4C4F88"/>
    <w:lvl w:ilvl="0" w:tplc="972AB080">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9808E43C">
      <w:numFmt w:val="bullet"/>
      <w:lvlText w:val="•"/>
      <w:lvlJc w:val="left"/>
      <w:pPr>
        <w:ind w:left="473" w:hanging="217"/>
      </w:pPr>
      <w:rPr>
        <w:rFonts w:hint="default"/>
        <w:lang w:val="en-GB" w:eastAsia="en-GB" w:bidi="en-GB"/>
      </w:rPr>
    </w:lvl>
    <w:lvl w:ilvl="2" w:tplc="7410E57E">
      <w:numFmt w:val="bullet"/>
      <w:lvlText w:val="•"/>
      <w:lvlJc w:val="left"/>
      <w:pPr>
        <w:ind w:left="646" w:hanging="217"/>
      </w:pPr>
      <w:rPr>
        <w:rFonts w:hint="default"/>
        <w:lang w:val="en-GB" w:eastAsia="en-GB" w:bidi="en-GB"/>
      </w:rPr>
    </w:lvl>
    <w:lvl w:ilvl="3" w:tplc="BB040BDC">
      <w:numFmt w:val="bullet"/>
      <w:lvlText w:val="•"/>
      <w:lvlJc w:val="left"/>
      <w:pPr>
        <w:ind w:left="819" w:hanging="217"/>
      </w:pPr>
      <w:rPr>
        <w:rFonts w:hint="default"/>
        <w:lang w:val="en-GB" w:eastAsia="en-GB" w:bidi="en-GB"/>
      </w:rPr>
    </w:lvl>
    <w:lvl w:ilvl="4" w:tplc="6352D078">
      <w:numFmt w:val="bullet"/>
      <w:lvlText w:val="•"/>
      <w:lvlJc w:val="left"/>
      <w:pPr>
        <w:ind w:left="992" w:hanging="217"/>
      </w:pPr>
      <w:rPr>
        <w:rFonts w:hint="default"/>
        <w:lang w:val="en-GB" w:eastAsia="en-GB" w:bidi="en-GB"/>
      </w:rPr>
    </w:lvl>
    <w:lvl w:ilvl="5" w:tplc="12A6DC32">
      <w:numFmt w:val="bullet"/>
      <w:lvlText w:val="•"/>
      <w:lvlJc w:val="left"/>
      <w:pPr>
        <w:ind w:left="1165" w:hanging="217"/>
      </w:pPr>
      <w:rPr>
        <w:rFonts w:hint="default"/>
        <w:lang w:val="en-GB" w:eastAsia="en-GB" w:bidi="en-GB"/>
      </w:rPr>
    </w:lvl>
    <w:lvl w:ilvl="6" w:tplc="0A1632B0">
      <w:numFmt w:val="bullet"/>
      <w:lvlText w:val="•"/>
      <w:lvlJc w:val="left"/>
      <w:pPr>
        <w:ind w:left="1338" w:hanging="217"/>
      </w:pPr>
      <w:rPr>
        <w:rFonts w:hint="default"/>
        <w:lang w:val="en-GB" w:eastAsia="en-GB" w:bidi="en-GB"/>
      </w:rPr>
    </w:lvl>
    <w:lvl w:ilvl="7" w:tplc="D7520894">
      <w:numFmt w:val="bullet"/>
      <w:lvlText w:val="•"/>
      <w:lvlJc w:val="left"/>
      <w:pPr>
        <w:ind w:left="1511" w:hanging="217"/>
      </w:pPr>
      <w:rPr>
        <w:rFonts w:hint="default"/>
        <w:lang w:val="en-GB" w:eastAsia="en-GB" w:bidi="en-GB"/>
      </w:rPr>
    </w:lvl>
    <w:lvl w:ilvl="8" w:tplc="89900290">
      <w:numFmt w:val="bullet"/>
      <w:lvlText w:val="•"/>
      <w:lvlJc w:val="left"/>
      <w:pPr>
        <w:ind w:left="1684" w:hanging="217"/>
      </w:pPr>
      <w:rPr>
        <w:rFonts w:hint="default"/>
        <w:lang w:val="en-GB" w:eastAsia="en-GB" w:bidi="en-GB"/>
      </w:rPr>
    </w:lvl>
  </w:abstractNum>
  <w:abstractNum w:abstractNumId="137" w15:restartNumberingAfterBreak="0">
    <w:nsid w:val="0C716C14"/>
    <w:multiLevelType w:val="hybridMultilevel"/>
    <w:tmpl w:val="09F69146"/>
    <w:lvl w:ilvl="0" w:tplc="BE289DF4">
      <w:numFmt w:val="bullet"/>
      <w:lvlText w:val="•"/>
      <w:lvlJc w:val="left"/>
      <w:pPr>
        <w:ind w:left="305" w:hanging="217"/>
      </w:pPr>
      <w:rPr>
        <w:rFonts w:ascii="Arial" w:eastAsia="Arial" w:hAnsi="Arial" w:cs="Arial" w:hint="default"/>
        <w:color w:val="231F20"/>
        <w:spacing w:val="-17"/>
        <w:w w:val="100"/>
        <w:sz w:val="18"/>
        <w:szCs w:val="18"/>
        <w:lang w:val="en-GB" w:eastAsia="en-GB" w:bidi="en-GB"/>
      </w:rPr>
    </w:lvl>
    <w:lvl w:ilvl="1" w:tplc="29F025E2">
      <w:numFmt w:val="bullet"/>
      <w:lvlText w:val="•"/>
      <w:lvlJc w:val="left"/>
      <w:pPr>
        <w:ind w:left="441" w:hanging="217"/>
      </w:pPr>
      <w:rPr>
        <w:rFonts w:hint="default"/>
        <w:lang w:val="en-GB" w:eastAsia="en-GB" w:bidi="en-GB"/>
      </w:rPr>
    </w:lvl>
    <w:lvl w:ilvl="2" w:tplc="A64653D0">
      <w:numFmt w:val="bullet"/>
      <w:lvlText w:val="•"/>
      <w:lvlJc w:val="left"/>
      <w:pPr>
        <w:ind w:left="583" w:hanging="217"/>
      </w:pPr>
      <w:rPr>
        <w:rFonts w:hint="default"/>
        <w:lang w:val="en-GB" w:eastAsia="en-GB" w:bidi="en-GB"/>
      </w:rPr>
    </w:lvl>
    <w:lvl w:ilvl="3" w:tplc="E8742EE6">
      <w:numFmt w:val="bullet"/>
      <w:lvlText w:val="•"/>
      <w:lvlJc w:val="left"/>
      <w:pPr>
        <w:ind w:left="725" w:hanging="217"/>
      </w:pPr>
      <w:rPr>
        <w:rFonts w:hint="default"/>
        <w:lang w:val="en-GB" w:eastAsia="en-GB" w:bidi="en-GB"/>
      </w:rPr>
    </w:lvl>
    <w:lvl w:ilvl="4" w:tplc="A03E0E46">
      <w:numFmt w:val="bullet"/>
      <w:lvlText w:val="•"/>
      <w:lvlJc w:val="left"/>
      <w:pPr>
        <w:ind w:left="867" w:hanging="217"/>
      </w:pPr>
      <w:rPr>
        <w:rFonts w:hint="default"/>
        <w:lang w:val="en-GB" w:eastAsia="en-GB" w:bidi="en-GB"/>
      </w:rPr>
    </w:lvl>
    <w:lvl w:ilvl="5" w:tplc="1A46782A">
      <w:numFmt w:val="bullet"/>
      <w:lvlText w:val="•"/>
      <w:lvlJc w:val="left"/>
      <w:pPr>
        <w:ind w:left="1009" w:hanging="217"/>
      </w:pPr>
      <w:rPr>
        <w:rFonts w:hint="default"/>
        <w:lang w:val="en-GB" w:eastAsia="en-GB" w:bidi="en-GB"/>
      </w:rPr>
    </w:lvl>
    <w:lvl w:ilvl="6" w:tplc="8056D828">
      <w:numFmt w:val="bullet"/>
      <w:lvlText w:val="•"/>
      <w:lvlJc w:val="left"/>
      <w:pPr>
        <w:ind w:left="1151" w:hanging="217"/>
      </w:pPr>
      <w:rPr>
        <w:rFonts w:hint="default"/>
        <w:lang w:val="en-GB" w:eastAsia="en-GB" w:bidi="en-GB"/>
      </w:rPr>
    </w:lvl>
    <w:lvl w:ilvl="7" w:tplc="14A0929C">
      <w:numFmt w:val="bullet"/>
      <w:lvlText w:val="•"/>
      <w:lvlJc w:val="left"/>
      <w:pPr>
        <w:ind w:left="1293" w:hanging="217"/>
      </w:pPr>
      <w:rPr>
        <w:rFonts w:hint="default"/>
        <w:lang w:val="en-GB" w:eastAsia="en-GB" w:bidi="en-GB"/>
      </w:rPr>
    </w:lvl>
    <w:lvl w:ilvl="8" w:tplc="1078248E">
      <w:numFmt w:val="bullet"/>
      <w:lvlText w:val="•"/>
      <w:lvlJc w:val="left"/>
      <w:pPr>
        <w:ind w:left="1435" w:hanging="217"/>
      </w:pPr>
      <w:rPr>
        <w:rFonts w:hint="default"/>
        <w:lang w:val="en-GB" w:eastAsia="en-GB" w:bidi="en-GB"/>
      </w:rPr>
    </w:lvl>
  </w:abstractNum>
  <w:abstractNum w:abstractNumId="138" w15:restartNumberingAfterBreak="0">
    <w:nsid w:val="0C8B632A"/>
    <w:multiLevelType w:val="hybridMultilevel"/>
    <w:tmpl w:val="F6467D2C"/>
    <w:lvl w:ilvl="0" w:tplc="665A104E">
      <w:numFmt w:val="bullet"/>
      <w:lvlText w:val="•"/>
      <w:lvlJc w:val="left"/>
      <w:pPr>
        <w:ind w:left="3819" w:hanging="217"/>
      </w:pPr>
      <w:rPr>
        <w:rFonts w:ascii="Arial" w:eastAsia="Arial" w:hAnsi="Arial" w:cs="Arial" w:hint="default"/>
        <w:color w:val="231F20"/>
        <w:spacing w:val="-1"/>
        <w:w w:val="100"/>
        <w:sz w:val="18"/>
        <w:szCs w:val="18"/>
        <w:lang w:val="en-GB" w:eastAsia="en-GB" w:bidi="en-GB"/>
      </w:rPr>
    </w:lvl>
    <w:lvl w:ilvl="1" w:tplc="CDA6DCFC">
      <w:numFmt w:val="bullet"/>
      <w:lvlText w:val="•"/>
      <w:lvlJc w:val="left"/>
      <w:pPr>
        <w:ind w:left="4253" w:hanging="217"/>
      </w:pPr>
      <w:rPr>
        <w:rFonts w:hint="default"/>
        <w:lang w:val="en-GB" w:eastAsia="en-GB" w:bidi="en-GB"/>
      </w:rPr>
    </w:lvl>
    <w:lvl w:ilvl="2" w:tplc="53C65F7C">
      <w:numFmt w:val="bullet"/>
      <w:lvlText w:val="•"/>
      <w:lvlJc w:val="left"/>
      <w:pPr>
        <w:ind w:left="4686" w:hanging="217"/>
      </w:pPr>
      <w:rPr>
        <w:rFonts w:hint="default"/>
        <w:lang w:val="en-GB" w:eastAsia="en-GB" w:bidi="en-GB"/>
      </w:rPr>
    </w:lvl>
    <w:lvl w:ilvl="3" w:tplc="B0FAFEC2">
      <w:numFmt w:val="bullet"/>
      <w:lvlText w:val="•"/>
      <w:lvlJc w:val="left"/>
      <w:pPr>
        <w:ind w:left="5119" w:hanging="217"/>
      </w:pPr>
      <w:rPr>
        <w:rFonts w:hint="default"/>
        <w:lang w:val="en-GB" w:eastAsia="en-GB" w:bidi="en-GB"/>
      </w:rPr>
    </w:lvl>
    <w:lvl w:ilvl="4" w:tplc="23E0D402">
      <w:numFmt w:val="bullet"/>
      <w:lvlText w:val="•"/>
      <w:lvlJc w:val="left"/>
      <w:pPr>
        <w:ind w:left="5553" w:hanging="217"/>
      </w:pPr>
      <w:rPr>
        <w:rFonts w:hint="default"/>
        <w:lang w:val="en-GB" w:eastAsia="en-GB" w:bidi="en-GB"/>
      </w:rPr>
    </w:lvl>
    <w:lvl w:ilvl="5" w:tplc="D6E6E788">
      <w:numFmt w:val="bullet"/>
      <w:lvlText w:val="•"/>
      <w:lvlJc w:val="left"/>
      <w:pPr>
        <w:ind w:left="5986" w:hanging="217"/>
      </w:pPr>
      <w:rPr>
        <w:rFonts w:hint="default"/>
        <w:lang w:val="en-GB" w:eastAsia="en-GB" w:bidi="en-GB"/>
      </w:rPr>
    </w:lvl>
    <w:lvl w:ilvl="6" w:tplc="06DA5C56">
      <w:numFmt w:val="bullet"/>
      <w:lvlText w:val="•"/>
      <w:lvlJc w:val="left"/>
      <w:pPr>
        <w:ind w:left="6419" w:hanging="217"/>
      </w:pPr>
      <w:rPr>
        <w:rFonts w:hint="default"/>
        <w:lang w:val="en-GB" w:eastAsia="en-GB" w:bidi="en-GB"/>
      </w:rPr>
    </w:lvl>
    <w:lvl w:ilvl="7" w:tplc="C05E589A">
      <w:numFmt w:val="bullet"/>
      <w:lvlText w:val="•"/>
      <w:lvlJc w:val="left"/>
      <w:pPr>
        <w:ind w:left="6853" w:hanging="217"/>
      </w:pPr>
      <w:rPr>
        <w:rFonts w:hint="default"/>
        <w:lang w:val="en-GB" w:eastAsia="en-GB" w:bidi="en-GB"/>
      </w:rPr>
    </w:lvl>
    <w:lvl w:ilvl="8" w:tplc="5EDCB8B4">
      <w:numFmt w:val="bullet"/>
      <w:lvlText w:val="•"/>
      <w:lvlJc w:val="left"/>
      <w:pPr>
        <w:ind w:left="7286" w:hanging="217"/>
      </w:pPr>
      <w:rPr>
        <w:rFonts w:hint="default"/>
        <w:lang w:val="en-GB" w:eastAsia="en-GB" w:bidi="en-GB"/>
      </w:rPr>
    </w:lvl>
  </w:abstractNum>
  <w:abstractNum w:abstractNumId="139" w15:restartNumberingAfterBreak="0">
    <w:nsid w:val="0C9D0EB6"/>
    <w:multiLevelType w:val="hybridMultilevel"/>
    <w:tmpl w:val="F7BA2C00"/>
    <w:lvl w:ilvl="0" w:tplc="64E2B1D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D0A40F8">
      <w:numFmt w:val="bullet"/>
      <w:lvlText w:val="•"/>
      <w:lvlJc w:val="left"/>
      <w:pPr>
        <w:ind w:left="473" w:hanging="217"/>
      </w:pPr>
      <w:rPr>
        <w:rFonts w:hint="default"/>
        <w:lang w:val="en-GB" w:eastAsia="en-GB" w:bidi="en-GB"/>
      </w:rPr>
    </w:lvl>
    <w:lvl w:ilvl="2" w:tplc="F5EA991E">
      <w:numFmt w:val="bullet"/>
      <w:lvlText w:val="•"/>
      <w:lvlJc w:val="left"/>
      <w:pPr>
        <w:ind w:left="646" w:hanging="217"/>
      </w:pPr>
      <w:rPr>
        <w:rFonts w:hint="default"/>
        <w:lang w:val="en-GB" w:eastAsia="en-GB" w:bidi="en-GB"/>
      </w:rPr>
    </w:lvl>
    <w:lvl w:ilvl="3" w:tplc="A3BE4F8A">
      <w:numFmt w:val="bullet"/>
      <w:lvlText w:val="•"/>
      <w:lvlJc w:val="left"/>
      <w:pPr>
        <w:ind w:left="819" w:hanging="217"/>
      </w:pPr>
      <w:rPr>
        <w:rFonts w:hint="default"/>
        <w:lang w:val="en-GB" w:eastAsia="en-GB" w:bidi="en-GB"/>
      </w:rPr>
    </w:lvl>
    <w:lvl w:ilvl="4" w:tplc="F5D6CF76">
      <w:numFmt w:val="bullet"/>
      <w:lvlText w:val="•"/>
      <w:lvlJc w:val="left"/>
      <w:pPr>
        <w:ind w:left="992" w:hanging="217"/>
      </w:pPr>
      <w:rPr>
        <w:rFonts w:hint="default"/>
        <w:lang w:val="en-GB" w:eastAsia="en-GB" w:bidi="en-GB"/>
      </w:rPr>
    </w:lvl>
    <w:lvl w:ilvl="5" w:tplc="9EC687B4">
      <w:numFmt w:val="bullet"/>
      <w:lvlText w:val="•"/>
      <w:lvlJc w:val="left"/>
      <w:pPr>
        <w:ind w:left="1165" w:hanging="217"/>
      </w:pPr>
      <w:rPr>
        <w:rFonts w:hint="default"/>
        <w:lang w:val="en-GB" w:eastAsia="en-GB" w:bidi="en-GB"/>
      </w:rPr>
    </w:lvl>
    <w:lvl w:ilvl="6" w:tplc="9146CDC0">
      <w:numFmt w:val="bullet"/>
      <w:lvlText w:val="•"/>
      <w:lvlJc w:val="left"/>
      <w:pPr>
        <w:ind w:left="1338" w:hanging="217"/>
      </w:pPr>
      <w:rPr>
        <w:rFonts w:hint="default"/>
        <w:lang w:val="en-GB" w:eastAsia="en-GB" w:bidi="en-GB"/>
      </w:rPr>
    </w:lvl>
    <w:lvl w:ilvl="7" w:tplc="EBBE9FCA">
      <w:numFmt w:val="bullet"/>
      <w:lvlText w:val="•"/>
      <w:lvlJc w:val="left"/>
      <w:pPr>
        <w:ind w:left="1511" w:hanging="217"/>
      </w:pPr>
      <w:rPr>
        <w:rFonts w:hint="default"/>
        <w:lang w:val="en-GB" w:eastAsia="en-GB" w:bidi="en-GB"/>
      </w:rPr>
    </w:lvl>
    <w:lvl w:ilvl="8" w:tplc="6F880D36">
      <w:numFmt w:val="bullet"/>
      <w:lvlText w:val="•"/>
      <w:lvlJc w:val="left"/>
      <w:pPr>
        <w:ind w:left="1684" w:hanging="217"/>
      </w:pPr>
      <w:rPr>
        <w:rFonts w:hint="default"/>
        <w:lang w:val="en-GB" w:eastAsia="en-GB" w:bidi="en-GB"/>
      </w:rPr>
    </w:lvl>
  </w:abstractNum>
  <w:abstractNum w:abstractNumId="140" w15:restartNumberingAfterBreak="0">
    <w:nsid w:val="0CBF38A0"/>
    <w:multiLevelType w:val="hybridMultilevel"/>
    <w:tmpl w:val="26144FF4"/>
    <w:lvl w:ilvl="0" w:tplc="9BAECB8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8F4CF9E">
      <w:numFmt w:val="bullet"/>
      <w:lvlText w:val="•"/>
      <w:lvlJc w:val="left"/>
      <w:pPr>
        <w:ind w:left="544" w:hanging="217"/>
      </w:pPr>
      <w:rPr>
        <w:rFonts w:hint="default"/>
        <w:lang w:val="en-GB" w:eastAsia="en-GB" w:bidi="en-GB"/>
      </w:rPr>
    </w:lvl>
    <w:lvl w:ilvl="2" w:tplc="98E61F20">
      <w:numFmt w:val="bullet"/>
      <w:lvlText w:val="•"/>
      <w:lvlJc w:val="left"/>
      <w:pPr>
        <w:ind w:left="788" w:hanging="217"/>
      </w:pPr>
      <w:rPr>
        <w:rFonts w:hint="default"/>
        <w:lang w:val="en-GB" w:eastAsia="en-GB" w:bidi="en-GB"/>
      </w:rPr>
    </w:lvl>
    <w:lvl w:ilvl="3" w:tplc="734E0528">
      <w:numFmt w:val="bullet"/>
      <w:lvlText w:val="•"/>
      <w:lvlJc w:val="left"/>
      <w:pPr>
        <w:ind w:left="1032" w:hanging="217"/>
      </w:pPr>
      <w:rPr>
        <w:rFonts w:hint="default"/>
        <w:lang w:val="en-GB" w:eastAsia="en-GB" w:bidi="en-GB"/>
      </w:rPr>
    </w:lvl>
    <w:lvl w:ilvl="4" w:tplc="492EBC08">
      <w:numFmt w:val="bullet"/>
      <w:lvlText w:val="•"/>
      <w:lvlJc w:val="left"/>
      <w:pPr>
        <w:ind w:left="1276" w:hanging="217"/>
      </w:pPr>
      <w:rPr>
        <w:rFonts w:hint="default"/>
        <w:lang w:val="en-GB" w:eastAsia="en-GB" w:bidi="en-GB"/>
      </w:rPr>
    </w:lvl>
    <w:lvl w:ilvl="5" w:tplc="2038607C">
      <w:numFmt w:val="bullet"/>
      <w:lvlText w:val="•"/>
      <w:lvlJc w:val="left"/>
      <w:pPr>
        <w:ind w:left="1520" w:hanging="217"/>
      </w:pPr>
      <w:rPr>
        <w:rFonts w:hint="default"/>
        <w:lang w:val="en-GB" w:eastAsia="en-GB" w:bidi="en-GB"/>
      </w:rPr>
    </w:lvl>
    <w:lvl w:ilvl="6" w:tplc="DECE042C">
      <w:numFmt w:val="bullet"/>
      <w:lvlText w:val="•"/>
      <w:lvlJc w:val="left"/>
      <w:pPr>
        <w:ind w:left="1764" w:hanging="217"/>
      </w:pPr>
      <w:rPr>
        <w:rFonts w:hint="default"/>
        <w:lang w:val="en-GB" w:eastAsia="en-GB" w:bidi="en-GB"/>
      </w:rPr>
    </w:lvl>
    <w:lvl w:ilvl="7" w:tplc="503A3F4C">
      <w:numFmt w:val="bullet"/>
      <w:lvlText w:val="•"/>
      <w:lvlJc w:val="left"/>
      <w:pPr>
        <w:ind w:left="2008" w:hanging="217"/>
      </w:pPr>
      <w:rPr>
        <w:rFonts w:hint="default"/>
        <w:lang w:val="en-GB" w:eastAsia="en-GB" w:bidi="en-GB"/>
      </w:rPr>
    </w:lvl>
    <w:lvl w:ilvl="8" w:tplc="C4BAAED8">
      <w:numFmt w:val="bullet"/>
      <w:lvlText w:val="•"/>
      <w:lvlJc w:val="left"/>
      <w:pPr>
        <w:ind w:left="2252" w:hanging="217"/>
      </w:pPr>
      <w:rPr>
        <w:rFonts w:hint="default"/>
        <w:lang w:val="en-GB" w:eastAsia="en-GB" w:bidi="en-GB"/>
      </w:rPr>
    </w:lvl>
  </w:abstractNum>
  <w:abstractNum w:abstractNumId="141" w15:restartNumberingAfterBreak="0">
    <w:nsid w:val="0CCC2684"/>
    <w:multiLevelType w:val="hybridMultilevel"/>
    <w:tmpl w:val="BE7AE85E"/>
    <w:lvl w:ilvl="0" w:tplc="F2E8407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562E2D0">
      <w:numFmt w:val="bullet"/>
      <w:lvlText w:val="•"/>
      <w:lvlJc w:val="left"/>
      <w:pPr>
        <w:ind w:left="473" w:hanging="217"/>
      </w:pPr>
      <w:rPr>
        <w:rFonts w:hint="default"/>
        <w:lang w:val="en-GB" w:eastAsia="en-GB" w:bidi="en-GB"/>
      </w:rPr>
    </w:lvl>
    <w:lvl w:ilvl="2" w:tplc="00EE2810">
      <w:numFmt w:val="bullet"/>
      <w:lvlText w:val="•"/>
      <w:lvlJc w:val="left"/>
      <w:pPr>
        <w:ind w:left="646" w:hanging="217"/>
      </w:pPr>
      <w:rPr>
        <w:rFonts w:hint="default"/>
        <w:lang w:val="en-GB" w:eastAsia="en-GB" w:bidi="en-GB"/>
      </w:rPr>
    </w:lvl>
    <w:lvl w:ilvl="3" w:tplc="354C0D8C">
      <w:numFmt w:val="bullet"/>
      <w:lvlText w:val="•"/>
      <w:lvlJc w:val="left"/>
      <w:pPr>
        <w:ind w:left="819" w:hanging="217"/>
      </w:pPr>
      <w:rPr>
        <w:rFonts w:hint="default"/>
        <w:lang w:val="en-GB" w:eastAsia="en-GB" w:bidi="en-GB"/>
      </w:rPr>
    </w:lvl>
    <w:lvl w:ilvl="4" w:tplc="1420665A">
      <w:numFmt w:val="bullet"/>
      <w:lvlText w:val="•"/>
      <w:lvlJc w:val="left"/>
      <w:pPr>
        <w:ind w:left="992" w:hanging="217"/>
      </w:pPr>
      <w:rPr>
        <w:rFonts w:hint="default"/>
        <w:lang w:val="en-GB" w:eastAsia="en-GB" w:bidi="en-GB"/>
      </w:rPr>
    </w:lvl>
    <w:lvl w:ilvl="5" w:tplc="03843520">
      <w:numFmt w:val="bullet"/>
      <w:lvlText w:val="•"/>
      <w:lvlJc w:val="left"/>
      <w:pPr>
        <w:ind w:left="1165" w:hanging="217"/>
      </w:pPr>
      <w:rPr>
        <w:rFonts w:hint="default"/>
        <w:lang w:val="en-GB" w:eastAsia="en-GB" w:bidi="en-GB"/>
      </w:rPr>
    </w:lvl>
    <w:lvl w:ilvl="6" w:tplc="5BF42DBC">
      <w:numFmt w:val="bullet"/>
      <w:lvlText w:val="•"/>
      <w:lvlJc w:val="left"/>
      <w:pPr>
        <w:ind w:left="1338" w:hanging="217"/>
      </w:pPr>
      <w:rPr>
        <w:rFonts w:hint="default"/>
        <w:lang w:val="en-GB" w:eastAsia="en-GB" w:bidi="en-GB"/>
      </w:rPr>
    </w:lvl>
    <w:lvl w:ilvl="7" w:tplc="154C7F32">
      <w:numFmt w:val="bullet"/>
      <w:lvlText w:val="•"/>
      <w:lvlJc w:val="left"/>
      <w:pPr>
        <w:ind w:left="1511" w:hanging="217"/>
      </w:pPr>
      <w:rPr>
        <w:rFonts w:hint="default"/>
        <w:lang w:val="en-GB" w:eastAsia="en-GB" w:bidi="en-GB"/>
      </w:rPr>
    </w:lvl>
    <w:lvl w:ilvl="8" w:tplc="2C288262">
      <w:numFmt w:val="bullet"/>
      <w:lvlText w:val="•"/>
      <w:lvlJc w:val="left"/>
      <w:pPr>
        <w:ind w:left="1684" w:hanging="217"/>
      </w:pPr>
      <w:rPr>
        <w:rFonts w:hint="default"/>
        <w:lang w:val="en-GB" w:eastAsia="en-GB" w:bidi="en-GB"/>
      </w:rPr>
    </w:lvl>
  </w:abstractNum>
  <w:abstractNum w:abstractNumId="142" w15:restartNumberingAfterBreak="0">
    <w:nsid w:val="0CE273E0"/>
    <w:multiLevelType w:val="hybridMultilevel"/>
    <w:tmpl w:val="67CA3D7E"/>
    <w:lvl w:ilvl="0" w:tplc="5A20E46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A6C300A">
      <w:numFmt w:val="bullet"/>
      <w:lvlText w:val="•"/>
      <w:lvlJc w:val="left"/>
      <w:pPr>
        <w:ind w:left="892" w:hanging="217"/>
      </w:pPr>
      <w:rPr>
        <w:rFonts w:hint="default"/>
        <w:lang w:val="en-GB" w:eastAsia="en-GB" w:bidi="en-GB"/>
      </w:rPr>
    </w:lvl>
    <w:lvl w:ilvl="2" w:tplc="39A6DCFC">
      <w:numFmt w:val="bullet"/>
      <w:lvlText w:val="•"/>
      <w:lvlJc w:val="left"/>
      <w:pPr>
        <w:ind w:left="1485" w:hanging="217"/>
      </w:pPr>
      <w:rPr>
        <w:rFonts w:hint="default"/>
        <w:lang w:val="en-GB" w:eastAsia="en-GB" w:bidi="en-GB"/>
      </w:rPr>
    </w:lvl>
    <w:lvl w:ilvl="3" w:tplc="6E38F442">
      <w:numFmt w:val="bullet"/>
      <w:lvlText w:val="•"/>
      <w:lvlJc w:val="left"/>
      <w:pPr>
        <w:ind w:left="2077" w:hanging="217"/>
      </w:pPr>
      <w:rPr>
        <w:rFonts w:hint="default"/>
        <w:lang w:val="en-GB" w:eastAsia="en-GB" w:bidi="en-GB"/>
      </w:rPr>
    </w:lvl>
    <w:lvl w:ilvl="4" w:tplc="13E0CA98">
      <w:numFmt w:val="bullet"/>
      <w:lvlText w:val="•"/>
      <w:lvlJc w:val="left"/>
      <w:pPr>
        <w:ind w:left="2670" w:hanging="217"/>
      </w:pPr>
      <w:rPr>
        <w:rFonts w:hint="default"/>
        <w:lang w:val="en-GB" w:eastAsia="en-GB" w:bidi="en-GB"/>
      </w:rPr>
    </w:lvl>
    <w:lvl w:ilvl="5" w:tplc="E3ACD5A6">
      <w:numFmt w:val="bullet"/>
      <w:lvlText w:val="•"/>
      <w:lvlJc w:val="left"/>
      <w:pPr>
        <w:ind w:left="3263" w:hanging="217"/>
      </w:pPr>
      <w:rPr>
        <w:rFonts w:hint="default"/>
        <w:lang w:val="en-GB" w:eastAsia="en-GB" w:bidi="en-GB"/>
      </w:rPr>
    </w:lvl>
    <w:lvl w:ilvl="6" w:tplc="E6447562">
      <w:numFmt w:val="bullet"/>
      <w:lvlText w:val="•"/>
      <w:lvlJc w:val="left"/>
      <w:pPr>
        <w:ind w:left="3855" w:hanging="217"/>
      </w:pPr>
      <w:rPr>
        <w:rFonts w:hint="default"/>
        <w:lang w:val="en-GB" w:eastAsia="en-GB" w:bidi="en-GB"/>
      </w:rPr>
    </w:lvl>
    <w:lvl w:ilvl="7" w:tplc="9482E0DC">
      <w:numFmt w:val="bullet"/>
      <w:lvlText w:val="•"/>
      <w:lvlJc w:val="left"/>
      <w:pPr>
        <w:ind w:left="4448" w:hanging="217"/>
      </w:pPr>
      <w:rPr>
        <w:rFonts w:hint="default"/>
        <w:lang w:val="en-GB" w:eastAsia="en-GB" w:bidi="en-GB"/>
      </w:rPr>
    </w:lvl>
    <w:lvl w:ilvl="8" w:tplc="FBF8221A">
      <w:numFmt w:val="bullet"/>
      <w:lvlText w:val="•"/>
      <w:lvlJc w:val="left"/>
      <w:pPr>
        <w:ind w:left="5040" w:hanging="217"/>
      </w:pPr>
      <w:rPr>
        <w:rFonts w:hint="default"/>
        <w:lang w:val="en-GB" w:eastAsia="en-GB" w:bidi="en-GB"/>
      </w:rPr>
    </w:lvl>
  </w:abstractNum>
  <w:abstractNum w:abstractNumId="143" w15:restartNumberingAfterBreak="0">
    <w:nsid w:val="0D11053C"/>
    <w:multiLevelType w:val="hybridMultilevel"/>
    <w:tmpl w:val="22E61AF4"/>
    <w:lvl w:ilvl="0" w:tplc="4544946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8D8D6CE">
      <w:numFmt w:val="bullet"/>
      <w:lvlText w:val="•"/>
      <w:lvlJc w:val="left"/>
      <w:pPr>
        <w:ind w:left="439" w:hanging="217"/>
      </w:pPr>
      <w:rPr>
        <w:rFonts w:hint="default"/>
        <w:lang w:val="en-GB" w:eastAsia="en-GB" w:bidi="en-GB"/>
      </w:rPr>
    </w:lvl>
    <w:lvl w:ilvl="2" w:tplc="2918DCA8">
      <w:numFmt w:val="bullet"/>
      <w:lvlText w:val="•"/>
      <w:lvlJc w:val="left"/>
      <w:pPr>
        <w:ind w:left="578" w:hanging="217"/>
      </w:pPr>
      <w:rPr>
        <w:rFonts w:hint="default"/>
        <w:lang w:val="en-GB" w:eastAsia="en-GB" w:bidi="en-GB"/>
      </w:rPr>
    </w:lvl>
    <w:lvl w:ilvl="3" w:tplc="D8AA8718">
      <w:numFmt w:val="bullet"/>
      <w:lvlText w:val="•"/>
      <w:lvlJc w:val="left"/>
      <w:pPr>
        <w:ind w:left="717" w:hanging="217"/>
      </w:pPr>
      <w:rPr>
        <w:rFonts w:hint="default"/>
        <w:lang w:val="en-GB" w:eastAsia="en-GB" w:bidi="en-GB"/>
      </w:rPr>
    </w:lvl>
    <w:lvl w:ilvl="4" w:tplc="33EC50CA">
      <w:numFmt w:val="bullet"/>
      <w:lvlText w:val="•"/>
      <w:lvlJc w:val="left"/>
      <w:pPr>
        <w:ind w:left="856" w:hanging="217"/>
      </w:pPr>
      <w:rPr>
        <w:rFonts w:hint="default"/>
        <w:lang w:val="en-GB" w:eastAsia="en-GB" w:bidi="en-GB"/>
      </w:rPr>
    </w:lvl>
    <w:lvl w:ilvl="5" w:tplc="D7D22CE2">
      <w:numFmt w:val="bullet"/>
      <w:lvlText w:val="•"/>
      <w:lvlJc w:val="left"/>
      <w:pPr>
        <w:ind w:left="995" w:hanging="217"/>
      </w:pPr>
      <w:rPr>
        <w:rFonts w:hint="default"/>
        <w:lang w:val="en-GB" w:eastAsia="en-GB" w:bidi="en-GB"/>
      </w:rPr>
    </w:lvl>
    <w:lvl w:ilvl="6" w:tplc="5720B6F6">
      <w:numFmt w:val="bullet"/>
      <w:lvlText w:val="•"/>
      <w:lvlJc w:val="left"/>
      <w:pPr>
        <w:ind w:left="1134" w:hanging="217"/>
      </w:pPr>
      <w:rPr>
        <w:rFonts w:hint="default"/>
        <w:lang w:val="en-GB" w:eastAsia="en-GB" w:bidi="en-GB"/>
      </w:rPr>
    </w:lvl>
    <w:lvl w:ilvl="7" w:tplc="9FB8CE54">
      <w:numFmt w:val="bullet"/>
      <w:lvlText w:val="•"/>
      <w:lvlJc w:val="left"/>
      <w:pPr>
        <w:ind w:left="1273" w:hanging="217"/>
      </w:pPr>
      <w:rPr>
        <w:rFonts w:hint="default"/>
        <w:lang w:val="en-GB" w:eastAsia="en-GB" w:bidi="en-GB"/>
      </w:rPr>
    </w:lvl>
    <w:lvl w:ilvl="8" w:tplc="1F2C300E">
      <w:numFmt w:val="bullet"/>
      <w:lvlText w:val="•"/>
      <w:lvlJc w:val="left"/>
      <w:pPr>
        <w:ind w:left="1412" w:hanging="217"/>
      </w:pPr>
      <w:rPr>
        <w:rFonts w:hint="default"/>
        <w:lang w:val="en-GB" w:eastAsia="en-GB" w:bidi="en-GB"/>
      </w:rPr>
    </w:lvl>
  </w:abstractNum>
  <w:abstractNum w:abstractNumId="144" w15:restartNumberingAfterBreak="0">
    <w:nsid w:val="0D117431"/>
    <w:multiLevelType w:val="hybridMultilevel"/>
    <w:tmpl w:val="B928D614"/>
    <w:lvl w:ilvl="0" w:tplc="55C01EB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127EEF1E">
      <w:numFmt w:val="bullet"/>
      <w:lvlText w:val="•"/>
      <w:lvlJc w:val="left"/>
      <w:pPr>
        <w:ind w:left="544" w:hanging="217"/>
      </w:pPr>
      <w:rPr>
        <w:rFonts w:hint="default"/>
        <w:lang w:val="en-GB" w:eastAsia="en-GB" w:bidi="en-GB"/>
      </w:rPr>
    </w:lvl>
    <w:lvl w:ilvl="2" w:tplc="F0EE8A48">
      <w:numFmt w:val="bullet"/>
      <w:lvlText w:val="•"/>
      <w:lvlJc w:val="left"/>
      <w:pPr>
        <w:ind w:left="788" w:hanging="217"/>
      </w:pPr>
      <w:rPr>
        <w:rFonts w:hint="default"/>
        <w:lang w:val="en-GB" w:eastAsia="en-GB" w:bidi="en-GB"/>
      </w:rPr>
    </w:lvl>
    <w:lvl w:ilvl="3" w:tplc="67CECFD6">
      <w:numFmt w:val="bullet"/>
      <w:lvlText w:val="•"/>
      <w:lvlJc w:val="left"/>
      <w:pPr>
        <w:ind w:left="1032" w:hanging="217"/>
      </w:pPr>
      <w:rPr>
        <w:rFonts w:hint="default"/>
        <w:lang w:val="en-GB" w:eastAsia="en-GB" w:bidi="en-GB"/>
      </w:rPr>
    </w:lvl>
    <w:lvl w:ilvl="4" w:tplc="EE4EC6CA">
      <w:numFmt w:val="bullet"/>
      <w:lvlText w:val="•"/>
      <w:lvlJc w:val="left"/>
      <w:pPr>
        <w:ind w:left="1276" w:hanging="217"/>
      </w:pPr>
      <w:rPr>
        <w:rFonts w:hint="default"/>
        <w:lang w:val="en-GB" w:eastAsia="en-GB" w:bidi="en-GB"/>
      </w:rPr>
    </w:lvl>
    <w:lvl w:ilvl="5" w:tplc="B518CE2A">
      <w:numFmt w:val="bullet"/>
      <w:lvlText w:val="•"/>
      <w:lvlJc w:val="left"/>
      <w:pPr>
        <w:ind w:left="1520" w:hanging="217"/>
      </w:pPr>
      <w:rPr>
        <w:rFonts w:hint="default"/>
        <w:lang w:val="en-GB" w:eastAsia="en-GB" w:bidi="en-GB"/>
      </w:rPr>
    </w:lvl>
    <w:lvl w:ilvl="6" w:tplc="A63250A6">
      <w:numFmt w:val="bullet"/>
      <w:lvlText w:val="•"/>
      <w:lvlJc w:val="left"/>
      <w:pPr>
        <w:ind w:left="1764" w:hanging="217"/>
      </w:pPr>
      <w:rPr>
        <w:rFonts w:hint="default"/>
        <w:lang w:val="en-GB" w:eastAsia="en-GB" w:bidi="en-GB"/>
      </w:rPr>
    </w:lvl>
    <w:lvl w:ilvl="7" w:tplc="52F62FE6">
      <w:numFmt w:val="bullet"/>
      <w:lvlText w:val="•"/>
      <w:lvlJc w:val="left"/>
      <w:pPr>
        <w:ind w:left="2008" w:hanging="217"/>
      </w:pPr>
      <w:rPr>
        <w:rFonts w:hint="default"/>
        <w:lang w:val="en-GB" w:eastAsia="en-GB" w:bidi="en-GB"/>
      </w:rPr>
    </w:lvl>
    <w:lvl w:ilvl="8" w:tplc="06425714">
      <w:numFmt w:val="bullet"/>
      <w:lvlText w:val="•"/>
      <w:lvlJc w:val="left"/>
      <w:pPr>
        <w:ind w:left="2252" w:hanging="217"/>
      </w:pPr>
      <w:rPr>
        <w:rFonts w:hint="default"/>
        <w:lang w:val="en-GB" w:eastAsia="en-GB" w:bidi="en-GB"/>
      </w:rPr>
    </w:lvl>
  </w:abstractNum>
  <w:abstractNum w:abstractNumId="145" w15:restartNumberingAfterBreak="0">
    <w:nsid w:val="0D31371A"/>
    <w:multiLevelType w:val="hybridMultilevel"/>
    <w:tmpl w:val="4754DFA8"/>
    <w:lvl w:ilvl="0" w:tplc="C2C205D0">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386875CE">
      <w:numFmt w:val="bullet"/>
      <w:lvlText w:val="•"/>
      <w:lvlJc w:val="left"/>
      <w:pPr>
        <w:ind w:left="473" w:hanging="217"/>
      </w:pPr>
      <w:rPr>
        <w:rFonts w:hint="default"/>
        <w:lang w:val="en-GB" w:eastAsia="en-GB" w:bidi="en-GB"/>
      </w:rPr>
    </w:lvl>
    <w:lvl w:ilvl="2" w:tplc="F8C44254">
      <w:numFmt w:val="bullet"/>
      <w:lvlText w:val="•"/>
      <w:lvlJc w:val="left"/>
      <w:pPr>
        <w:ind w:left="646" w:hanging="217"/>
      </w:pPr>
      <w:rPr>
        <w:rFonts w:hint="default"/>
        <w:lang w:val="en-GB" w:eastAsia="en-GB" w:bidi="en-GB"/>
      </w:rPr>
    </w:lvl>
    <w:lvl w:ilvl="3" w:tplc="0D2CC3BC">
      <w:numFmt w:val="bullet"/>
      <w:lvlText w:val="•"/>
      <w:lvlJc w:val="left"/>
      <w:pPr>
        <w:ind w:left="819" w:hanging="217"/>
      </w:pPr>
      <w:rPr>
        <w:rFonts w:hint="default"/>
        <w:lang w:val="en-GB" w:eastAsia="en-GB" w:bidi="en-GB"/>
      </w:rPr>
    </w:lvl>
    <w:lvl w:ilvl="4" w:tplc="759A1660">
      <w:numFmt w:val="bullet"/>
      <w:lvlText w:val="•"/>
      <w:lvlJc w:val="left"/>
      <w:pPr>
        <w:ind w:left="992" w:hanging="217"/>
      </w:pPr>
      <w:rPr>
        <w:rFonts w:hint="default"/>
        <w:lang w:val="en-GB" w:eastAsia="en-GB" w:bidi="en-GB"/>
      </w:rPr>
    </w:lvl>
    <w:lvl w:ilvl="5" w:tplc="A25C0E12">
      <w:numFmt w:val="bullet"/>
      <w:lvlText w:val="•"/>
      <w:lvlJc w:val="left"/>
      <w:pPr>
        <w:ind w:left="1165" w:hanging="217"/>
      </w:pPr>
      <w:rPr>
        <w:rFonts w:hint="default"/>
        <w:lang w:val="en-GB" w:eastAsia="en-GB" w:bidi="en-GB"/>
      </w:rPr>
    </w:lvl>
    <w:lvl w:ilvl="6" w:tplc="0A942674">
      <w:numFmt w:val="bullet"/>
      <w:lvlText w:val="•"/>
      <w:lvlJc w:val="left"/>
      <w:pPr>
        <w:ind w:left="1338" w:hanging="217"/>
      </w:pPr>
      <w:rPr>
        <w:rFonts w:hint="default"/>
        <w:lang w:val="en-GB" w:eastAsia="en-GB" w:bidi="en-GB"/>
      </w:rPr>
    </w:lvl>
    <w:lvl w:ilvl="7" w:tplc="A44C77C4">
      <w:numFmt w:val="bullet"/>
      <w:lvlText w:val="•"/>
      <w:lvlJc w:val="left"/>
      <w:pPr>
        <w:ind w:left="1511" w:hanging="217"/>
      </w:pPr>
      <w:rPr>
        <w:rFonts w:hint="default"/>
        <w:lang w:val="en-GB" w:eastAsia="en-GB" w:bidi="en-GB"/>
      </w:rPr>
    </w:lvl>
    <w:lvl w:ilvl="8" w:tplc="391A2A5C">
      <w:numFmt w:val="bullet"/>
      <w:lvlText w:val="•"/>
      <w:lvlJc w:val="left"/>
      <w:pPr>
        <w:ind w:left="1684" w:hanging="217"/>
      </w:pPr>
      <w:rPr>
        <w:rFonts w:hint="default"/>
        <w:lang w:val="en-GB" w:eastAsia="en-GB" w:bidi="en-GB"/>
      </w:rPr>
    </w:lvl>
  </w:abstractNum>
  <w:abstractNum w:abstractNumId="146" w15:restartNumberingAfterBreak="0">
    <w:nsid w:val="0D3C6286"/>
    <w:multiLevelType w:val="hybridMultilevel"/>
    <w:tmpl w:val="F0D82D24"/>
    <w:lvl w:ilvl="0" w:tplc="28FE0FC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4BCE3D2">
      <w:numFmt w:val="bullet"/>
      <w:lvlText w:val="•"/>
      <w:lvlJc w:val="left"/>
      <w:pPr>
        <w:ind w:left="473" w:hanging="217"/>
      </w:pPr>
      <w:rPr>
        <w:rFonts w:hint="default"/>
        <w:lang w:val="en-GB" w:eastAsia="en-GB" w:bidi="en-GB"/>
      </w:rPr>
    </w:lvl>
    <w:lvl w:ilvl="2" w:tplc="7F52CA3A">
      <w:numFmt w:val="bullet"/>
      <w:lvlText w:val="•"/>
      <w:lvlJc w:val="left"/>
      <w:pPr>
        <w:ind w:left="646" w:hanging="217"/>
      </w:pPr>
      <w:rPr>
        <w:rFonts w:hint="default"/>
        <w:lang w:val="en-GB" w:eastAsia="en-GB" w:bidi="en-GB"/>
      </w:rPr>
    </w:lvl>
    <w:lvl w:ilvl="3" w:tplc="AC9A11F8">
      <w:numFmt w:val="bullet"/>
      <w:lvlText w:val="•"/>
      <w:lvlJc w:val="left"/>
      <w:pPr>
        <w:ind w:left="819" w:hanging="217"/>
      </w:pPr>
      <w:rPr>
        <w:rFonts w:hint="default"/>
        <w:lang w:val="en-GB" w:eastAsia="en-GB" w:bidi="en-GB"/>
      </w:rPr>
    </w:lvl>
    <w:lvl w:ilvl="4" w:tplc="C99AD7B4">
      <w:numFmt w:val="bullet"/>
      <w:lvlText w:val="•"/>
      <w:lvlJc w:val="left"/>
      <w:pPr>
        <w:ind w:left="992" w:hanging="217"/>
      </w:pPr>
      <w:rPr>
        <w:rFonts w:hint="default"/>
        <w:lang w:val="en-GB" w:eastAsia="en-GB" w:bidi="en-GB"/>
      </w:rPr>
    </w:lvl>
    <w:lvl w:ilvl="5" w:tplc="BEEE50B0">
      <w:numFmt w:val="bullet"/>
      <w:lvlText w:val="•"/>
      <w:lvlJc w:val="left"/>
      <w:pPr>
        <w:ind w:left="1165" w:hanging="217"/>
      </w:pPr>
      <w:rPr>
        <w:rFonts w:hint="default"/>
        <w:lang w:val="en-GB" w:eastAsia="en-GB" w:bidi="en-GB"/>
      </w:rPr>
    </w:lvl>
    <w:lvl w:ilvl="6" w:tplc="FBB632A2">
      <w:numFmt w:val="bullet"/>
      <w:lvlText w:val="•"/>
      <w:lvlJc w:val="left"/>
      <w:pPr>
        <w:ind w:left="1338" w:hanging="217"/>
      </w:pPr>
      <w:rPr>
        <w:rFonts w:hint="default"/>
        <w:lang w:val="en-GB" w:eastAsia="en-GB" w:bidi="en-GB"/>
      </w:rPr>
    </w:lvl>
    <w:lvl w:ilvl="7" w:tplc="EE106546">
      <w:numFmt w:val="bullet"/>
      <w:lvlText w:val="•"/>
      <w:lvlJc w:val="left"/>
      <w:pPr>
        <w:ind w:left="1511" w:hanging="217"/>
      </w:pPr>
      <w:rPr>
        <w:rFonts w:hint="default"/>
        <w:lang w:val="en-GB" w:eastAsia="en-GB" w:bidi="en-GB"/>
      </w:rPr>
    </w:lvl>
    <w:lvl w:ilvl="8" w:tplc="AF9217D2">
      <w:numFmt w:val="bullet"/>
      <w:lvlText w:val="•"/>
      <w:lvlJc w:val="left"/>
      <w:pPr>
        <w:ind w:left="1684" w:hanging="217"/>
      </w:pPr>
      <w:rPr>
        <w:rFonts w:hint="default"/>
        <w:lang w:val="en-GB" w:eastAsia="en-GB" w:bidi="en-GB"/>
      </w:rPr>
    </w:lvl>
  </w:abstractNum>
  <w:abstractNum w:abstractNumId="147" w15:restartNumberingAfterBreak="0">
    <w:nsid w:val="0D4F4A10"/>
    <w:multiLevelType w:val="hybridMultilevel"/>
    <w:tmpl w:val="346679C4"/>
    <w:lvl w:ilvl="0" w:tplc="D948396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592D882">
      <w:numFmt w:val="bullet"/>
      <w:lvlText w:val="•"/>
      <w:lvlJc w:val="left"/>
      <w:pPr>
        <w:ind w:left="473" w:hanging="217"/>
      </w:pPr>
      <w:rPr>
        <w:rFonts w:hint="default"/>
        <w:lang w:val="en-GB" w:eastAsia="en-GB" w:bidi="en-GB"/>
      </w:rPr>
    </w:lvl>
    <w:lvl w:ilvl="2" w:tplc="B5340340">
      <w:numFmt w:val="bullet"/>
      <w:lvlText w:val="•"/>
      <w:lvlJc w:val="left"/>
      <w:pPr>
        <w:ind w:left="646" w:hanging="217"/>
      </w:pPr>
      <w:rPr>
        <w:rFonts w:hint="default"/>
        <w:lang w:val="en-GB" w:eastAsia="en-GB" w:bidi="en-GB"/>
      </w:rPr>
    </w:lvl>
    <w:lvl w:ilvl="3" w:tplc="04F46BE2">
      <w:numFmt w:val="bullet"/>
      <w:lvlText w:val="•"/>
      <w:lvlJc w:val="left"/>
      <w:pPr>
        <w:ind w:left="819" w:hanging="217"/>
      </w:pPr>
      <w:rPr>
        <w:rFonts w:hint="default"/>
        <w:lang w:val="en-GB" w:eastAsia="en-GB" w:bidi="en-GB"/>
      </w:rPr>
    </w:lvl>
    <w:lvl w:ilvl="4" w:tplc="1DB2B3FA">
      <w:numFmt w:val="bullet"/>
      <w:lvlText w:val="•"/>
      <w:lvlJc w:val="left"/>
      <w:pPr>
        <w:ind w:left="992" w:hanging="217"/>
      </w:pPr>
      <w:rPr>
        <w:rFonts w:hint="default"/>
        <w:lang w:val="en-GB" w:eastAsia="en-GB" w:bidi="en-GB"/>
      </w:rPr>
    </w:lvl>
    <w:lvl w:ilvl="5" w:tplc="F8C89862">
      <w:numFmt w:val="bullet"/>
      <w:lvlText w:val="•"/>
      <w:lvlJc w:val="left"/>
      <w:pPr>
        <w:ind w:left="1165" w:hanging="217"/>
      </w:pPr>
      <w:rPr>
        <w:rFonts w:hint="default"/>
        <w:lang w:val="en-GB" w:eastAsia="en-GB" w:bidi="en-GB"/>
      </w:rPr>
    </w:lvl>
    <w:lvl w:ilvl="6" w:tplc="859077B2">
      <w:numFmt w:val="bullet"/>
      <w:lvlText w:val="•"/>
      <w:lvlJc w:val="left"/>
      <w:pPr>
        <w:ind w:left="1338" w:hanging="217"/>
      </w:pPr>
      <w:rPr>
        <w:rFonts w:hint="default"/>
        <w:lang w:val="en-GB" w:eastAsia="en-GB" w:bidi="en-GB"/>
      </w:rPr>
    </w:lvl>
    <w:lvl w:ilvl="7" w:tplc="76620022">
      <w:numFmt w:val="bullet"/>
      <w:lvlText w:val="•"/>
      <w:lvlJc w:val="left"/>
      <w:pPr>
        <w:ind w:left="1511" w:hanging="217"/>
      </w:pPr>
      <w:rPr>
        <w:rFonts w:hint="default"/>
        <w:lang w:val="en-GB" w:eastAsia="en-GB" w:bidi="en-GB"/>
      </w:rPr>
    </w:lvl>
    <w:lvl w:ilvl="8" w:tplc="516AA042">
      <w:numFmt w:val="bullet"/>
      <w:lvlText w:val="•"/>
      <w:lvlJc w:val="left"/>
      <w:pPr>
        <w:ind w:left="1684" w:hanging="217"/>
      </w:pPr>
      <w:rPr>
        <w:rFonts w:hint="default"/>
        <w:lang w:val="en-GB" w:eastAsia="en-GB" w:bidi="en-GB"/>
      </w:rPr>
    </w:lvl>
  </w:abstractNum>
  <w:abstractNum w:abstractNumId="148" w15:restartNumberingAfterBreak="0">
    <w:nsid w:val="0D6D34CB"/>
    <w:multiLevelType w:val="hybridMultilevel"/>
    <w:tmpl w:val="35F20C02"/>
    <w:lvl w:ilvl="0" w:tplc="E5C6948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AB46268A">
      <w:numFmt w:val="bullet"/>
      <w:lvlText w:val="•"/>
      <w:lvlJc w:val="left"/>
      <w:pPr>
        <w:ind w:left="473" w:hanging="217"/>
      </w:pPr>
      <w:rPr>
        <w:rFonts w:hint="default"/>
        <w:lang w:val="en-GB" w:eastAsia="en-GB" w:bidi="en-GB"/>
      </w:rPr>
    </w:lvl>
    <w:lvl w:ilvl="2" w:tplc="F06E6552">
      <w:numFmt w:val="bullet"/>
      <w:lvlText w:val="•"/>
      <w:lvlJc w:val="left"/>
      <w:pPr>
        <w:ind w:left="646" w:hanging="217"/>
      </w:pPr>
      <w:rPr>
        <w:rFonts w:hint="default"/>
        <w:lang w:val="en-GB" w:eastAsia="en-GB" w:bidi="en-GB"/>
      </w:rPr>
    </w:lvl>
    <w:lvl w:ilvl="3" w:tplc="91A85264">
      <w:numFmt w:val="bullet"/>
      <w:lvlText w:val="•"/>
      <w:lvlJc w:val="left"/>
      <w:pPr>
        <w:ind w:left="819" w:hanging="217"/>
      </w:pPr>
      <w:rPr>
        <w:rFonts w:hint="default"/>
        <w:lang w:val="en-GB" w:eastAsia="en-GB" w:bidi="en-GB"/>
      </w:rPr>
    </w:lvl>
    <w:lvl w:ilvl="4" w:tplc="44E09D5E">
      <w:numFmt w:val="bullet"/>
      <w:lvlText w:val="•"/>
      <w:lvlJc w:val="left"/>
      <w:pPr>
        <w:ind w:left="992" w:hanging="217"/>
      </w:pPr>
      <w:rPr>
        <w:rFonts w:hint="default"/>
        <w:lang w:val="en-GB" w:eastAsia="en-GB" w:bidi="en-GB"/>
      </w:rPr>
    </w:lvl>
    <w:lvl w:ilvl="5" w:tplc="C42A0BAC">
      <w:numFmt w:val="bullet"/>
      <w:lvlText w:val="•"/>
      <w:lvlJc w:val="left"/>
      <w:pPr>
        <w:ind w:left="1165" w:hanging="217"/>
      </w:pPr>
      <w:rPr>
        <w:rFonts w:hint="default"/>
        <w:lang w:val="en-GB" w:eastAsia="en-GB" w:bidi="en-GB"/>
      </w:rPr>
    </w:lvl>
    <w:lvl w:ilvl="6" w:tplc="0C22D620">
      <w:numFmt w:val="bullet"/>
      <w:lvlText w:val="•"/>
      <w:lvlJc w:val="left"/>
      <w:pPr>
        <w:ind w:left="1338" w:hanging="217"/>
      </w:pPr>
      <w:rPr>
        <w:rFonts w:hint="default"/>
        <w:lang w:val="en-GB" w:eastAsia="en-GB" w:bidi="en-GB"/>
      </w:rPr>
    </w:lvl>
    <w:lvl w:ilvl="7" w:tplc="1D7EF28C">
      <w:numFmt w:val="bullet"/>
      <w:lvlText w:val="•"/>
      <w:lvlJc w:val="left"/>
      <w:pPr>
        <w:ind w:left="1511" w:hanging="217"/>
      </w:pPr>
      <w:rPr>
        <w:rFonts w:hint="default"/>
        <w:lang w:val="en-GB" w:eastAsia="en-GB" w:bidi="en-GB"/>
      </w:rPr>
    </w:lvl>
    <w:lvl w:ilvl="8" w:tplc="84D4495A">
      <w:numFmt w:val="bullet"/>
      <w:lvlText w:val="•"/>
      <w:lvlJc w:val="left"/>
      <w:pPr>
        <w:ind w:left="1684" w:hanging="217"/>
      </w:pPr>
      <w:rPr>
        <w:rFonts w:hint="default"/>
        <w:lang w:val="en-GB" w:eastAsia="en-GB" w:bidi="en-GB"/>
      </w:rPr>
    </w:lvl>
  </w:abstractNum>
  <w:abstractNum w:abstractNumId="149" w15:restartNumberingAfterBreak="0">
    <w:nsid w:val="0D745DD6"/>
    <w:multiLevelType w:val="hybridMultilevel"/>
    <w:tmpl w:val="6B8EA810"/>
    <w:lvl w:ilvl="0" w:tplc="1FBA82D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566D37A">
      <w:numFmt w:val="bullet"/>
      <w:lvlText w:val="•"/>
      <w:lvlJc w:val="left"/>
      <w:pPr>
        <w:ind w:left="892" w:hanging="217"/>
      </w:pPr>
      <w:rPr>
        <w:rFonts w:hint="default"/>
        <w:lang w:val="en-GB" w:eastAsia="en-GB" w:bidi="en-GB"/>
      </w:rPr>
    </w:lvl>
    <w:lvl w:ilvl="2" w:tplc="A24CC3AA">
      <w:numFmt w:val="bullet"/>
      <w:lvlText w:val="•"/>
      <w:lvlJc w:val="left"/>
      <w:pPr>
        <w:ind w:left="1485" w:hanging="217"/>
      </w:pPr>
      <w:rPr>
        <w:rFonts w:hint="default"/>
        <w:lang w:val="en-GB" w:eastAsia="en-GB" w:bidi="en-GB"/>
      </w:rPr>
    </w:lvl>
    <w:lvl w:ilvl="3" w:tplc="E724D1CE">
      <w:numFmt w:val="bullet"/>
      <w:lvlText w:val="•"/>
      <w:lvlJc w:val="left"/>
      <w:pPr>
        <w:ind w:left="2077" w:hanging="217"/>
      </w:pPr>
      <w:rPr>
        <w:rFonts w:hint="default"/>
        <w:lang w:val="en-GB" w:eastAsia="en-GB" w:bidi="en-GB"/>
      </w:rPr>
    </w:lvl>
    <w:lvl w:ilvl="4" w:tplc="6178B7EE">
      <w:numFmt w:val="bullet"/>
      <w:lvlText w:val="•"/>
      <w:lvlJc w:val="left"/>
      <w:pPr>
        <w:ind w:left="2670" w:hanging="217"/>
      </w:pPr>
      <w:rPr>
        <w:rFonts w:hint="default"/>
        <w:lang w:val="en-GB" w:eastAsia="en-GB" w:bidi="en-GB"/>
      </w:rPr>
    </w:lvl>
    <w:lvl w:ilvl="5" w:tplc="CE38CAD8">
      <w:numFmt w:val="bullet"/>
      <w:lvlText w:val="•"/>
      <w:lvlJc w:val="left"/>
      <w:pPr>
        <w:ind w:left="3263" w:hanging="217"/>
      </w:pPr>
      <w:rPr>
        <w:rFonts w:hint="default"/>
        <w:lang w:val="en-GB" w:eastAsia="en-GB" w:bidi="en-GB"/>
      </w:rPr>
    </w:lvl>
    <w:lvl w:ilvl="6" w:tplc="73003290">
      <w:numFmt w:val="bullet"/>
      <w:lvlText w:val="•"/>
      <w:lvlJc w:val="left"/>
      <w:pPr>
        <w:ind w:left="3855" w:hanging="217"/>
      </w:pPr>
      <w:rPr>
        <w:rFonts w:hint="default"/>
        <w:lang w:val="en-GB" w:eastAsia="en-GB" w:bidi="en-GB"/>
      </w:rPr>
    </w:lvl>
    <w:lvl w:ilvl="7" w:tplc="3FCE48F0">
      <w:numFmt w:val="bullet"/>
      <w:lvlText w:val="•"/>
      <w:lvlJc w:val="left"/>
      <w:pPr>
        <w:ind w:left="4448" w:hanging="217"/>
      </w:pPr>
      <w:rPr>
        <w:rFonts w:hint="default"/>
        <w:lang w:val="en-GB" w:eastAsia="en-GB" w:bidi="en-GB"/>
      </w:rPr>
    </w:lvl>
    <w:lvl w:ilvl="8" w:tplc="B0426F7E">
      <w:numFmt w:val="bullet"/>
      <w:lvlText w:val="•"/>
      <w:lvlJc w:val="left"/>
      <w:pPr>
        <w:ind w:left="5040" w:hanging="217"/>
      </w:pPr>
      <w:rPr>
        <w:rFonts w:hint="default"/>
        <w:lang w:val="en-GB" w:eastAsia="en-GB" w:bidi="en-GB"/>
      </w:rPr>
    </w:lvl>
  </w:abstractNum>
  <w:abstractNum w:abstractNumId="150" w15:restartNumberingAfterBreak="0">
    <w:nsid w:val="0D7A3002"/>
    <w:multiLevelType w:val="hybridMultilevel"/>
    <w:tmpl w:val="D196E228"/>
    <w:lvl w:ilvl="0" w:tplc="B8DEB3A6">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5E8A3A64">
      <w:numFmt w:val="bullet"/>
      <w:lvlText w:val="•"/>
      <w:lvlJc w:val="left"/>
      <w:pPr>
        <w:ind w:left="1348" w:hanging="114"/>
      </w:pPr>
      <w:rPr>
        <w:rFonts w:hint="default"/>
        <w:lang w:val="en-GB" w:eastAsia="en-GB" w:bidi="en-GB"/>
      </w:rPr>
    </w:lvl>
    <w:lvl w:ilvl="2" w:tplc="6D340632">
      <w:numFmt w:val="bullet"/>
      <w:lvlText w:val="•"/>
      <w:lvlJc w:val="left"/>
      <w:pPr>
        <w:ind w:left="2377" w:hanging="114"/>
      </w:pPr>
      <w:rPr>
        <w:rFonts w:hint="default"/>
        <w:lang w:val="en-GB" w:eastAsia="en-GB" w:bidi="en-GB"/>
      </w:rPr>
    </w:lvl>
    <w:lvl w:ilvl="3" w:tplc="0F16FA6A">
      <w:numFmt w:val="bullet"/>
      <w:lvlText w:val="•"/>
      <w:lvlJc w:val="left"/>
      <w:pPr>
        <w:ind w:left="3405" w:hanging="114"/>
      </w:pPr>
      <w:rPr>
        <w:rFonts w:hint="default"/>
        <w:lang w:val="en-GB" w:eastAsia="en-GB" w:bidi="en-GB"/>
      </w:rPr>
    </w:lvl>
    <w:lvl w:ilvl="4" w:tplc="640C9536">
      <w:numFmt w:val="bullet"/>
      <w:lvlText w:val="•"/>
      <w:lvlJc w:val="left"/>
      <w:pPr>
        <w:ind w:left="4434" w:hanging="114"/>
      </w:pPr>
      <w:rPr>
        <w:rFonts w:hint="default"/>
        <w:lang w:val="en-GB" w:eastAsia="en-GB" w:bidi="en-GB"/>
      </w:rPr>
    </w:lvl>
    <w:lvl w:ilvl="5" w:tplc="DF8C9DD8">
      <w:numFmt w:val="bullet"/>
      <w:lvlText w:val="•"/>
      <w:lvlJc w:val="left"/>
      <w:pPr>
        <w:ind w:left="5462" w:hanging="114"/>
      </w:pPr>
      <w:rPr>
        <w:rFonts w:hint="default"/>
        <w:lang w:val="en-GB" w:eastAsia="en-GB" w:bidi="en-GB"/>
      </w:rPr>
    </w:lvl>
    <w:lvl w:ilvl="6" w:tplc="1310C0B4">
      <w:numFmt w:val="bullet"/>
      <w:lvlText w:val="•"/>
      <w:lvlJc w:val="left"/>
      <w:pPr>
        <w:ind w:left="6491" w:hanging="114"/>
      </w:pPr>
      <w:rPr>
        <w:rFonts w:hint="default"/>
        <w:lang w:val="en-GB" w:eastAsia="en-GB" w:bidi="en-GB"/>
      </w:rPr>
    </w:lvl>
    <w:lvl w:ilvl="7" w:tplc="742660CE">
      <w:numFmt w:val="bullet"/>
      <w:lvlText w:val="•"/>
      <w:lvlJc w:val="left"/>
      <w:pPr>
        <w:ind w:left="7519" w:hanging="114"/>
      </w:pPr>
      <w:rPr>
        <w:rFonts w:hint="default"/>
        <w:lang w:val="en-GB" w:eastAsia="en-GB" w:bidi="en-GB"/>
      </w:rPr>
    </w:lvl>
    <w:lvl w:ilvl="8" w:tplc="3280D862">
      <w:numFmt w:val="bullet"/>
      <w:lvlText w:val="•"/>
      <w:lvlJc w:val="left"/>
      <w:pPr>
        <w:ind w:left="8548" w:hanging="114"/>
      </w:pPr>
      <w:rPr>
        <w:rFonts w:hint="default"/>
        <w:lang w:val="en-GB" w:eastAsia="en-GB" w:bidi="en-GB"/>
      </w:rPr>
    </w:lvl>
  </w:abstractNum>
  <w:abstractNum w:abstractNumId="151" w15:restartNumberingAfterBreak="0">
    <w:nsid w:val="0D896761"/>
    <w:multiLevelType w:val="hybridMultilevel"/>
    <w:tmpl w:val="67964B90"/>
    <w:lvl w:ilvl="0" w:tplc="5E60F5D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996E1C4">
      <w:numFmt w:val="bullet"/>
      <w:lvlText w:val="•"/>
      <w:lvlJc w:val="left"/>
      <w:pPr>
        <w:ind w:left="1061" w:hanging="217"/>
      </w:pPr>
      <w:rPr>
        <w:rFonts w:hint="default"/>
        <w:lang w:val="en-GB" w:eastAsia="en-GB" w:bidi="en-GB"/>
      </w:rPr>
    </w:lvl>
    <w:lvl w:ilvl="2" w:tplc="D42064B4">
      <w:numFmt w:val="bullet"/>
      <w:lvlText w:val="•"/>
      <w:lvlJc w:val="left"/>
      <w:pPr>
        <w:ind w:left="1823" w:hanging="217"/>
      </w:pPr>
      <w:rPr>
        <w:rFonts w:hint="default"/>
        <w:lang w:val="en-GB" w:eastAsia="en-GB" w:bidi="en-GB"/>
      </w:rPr>
    </w:lvl>
    <w:lvl w:ilvl="3" w:tplc="E270697C">
      <w:numFmt w:val="bullet"/>
      <w:lvlText w:val="•"/>
      <w:lvlJc w:val="left"/>
      <w:pPr>
        <w:ind w:left="2585" w:hanging="217"/>
      </w:pPr>
      <w:rPr>
        <w:rFonts w:hint="default"/>
        <w:lang w:val="en-GB" w:eastAsia="en-GB" w:bidi="en-GB"/>
      </w:rPr>
    </w:lvl>
    <w:lvl w:ilvl="4" w:tplc="354E4DEE">
      <w:numFmt w:val="bullet"/>
      <w:lvlText w:val="•"/>
      <w:lvlJc w:val="left"/>
      <w:pPr>
        <w:ind w:left="3346" w:hanging="217"/>
      </w:pPr>
      <w:rPr>
        <w:rFonts w:hint="default"/>
        <w:lang w:val="en-GB" w:eastAsia="en-GB" w:bidi="en-GB"/>
      </w:rPr>
    </w:lvl>
    <w:lvl w:ilvl="5" w:tplc="253CBC6A">
      <w:numFmt w:val="bullet"/>
      <w:lvlText w:val="•"/>
      <w:lvlJc w:val="left"/>
      <w:pPr>
        <w:ind w:left="4108" w:hanging="217"/>
      </w:pPr>
      <w:rPr>
        <w:rFonts w:hint="default"/>
        <w:lang w:val="en-GB" w:eastAsia="en-GB" w:bidi="en-GB"/>
      </w:rPr>
    </w:lvl>
    <w:lvl w:ilvl="6" w:tplc="DED2DA14">
      <w:numFmt w:val="bullet"/>
      <w:lvlText w:val="•"/>
      <w:lvlJc w:val="left"/>
      <w:pPr>
        <w:ind w:left="4870" w:hanging="217"/>
      </w:pPr>
      <w:rPr>
        <w:rFonts w:hint="default"/>
        <w:lang w:val="en-GB" w:eastAsia="en-GB" w:bidi="en-GB"/>
      </w:rPr>
    </w:lvl>
    <w:lvl w:ilvl="7" w:tplc="BC92C9E0">
      <w:numFmt w:val="bullet"/>
      <w:lvlText w:val="•"/>
      <w:lvlJc w:val="left"/>
      <w:pPr>
        <w:ind w:left="5631" w:hanging="217"/>
      </w:pPr>
      <w:rPr>
        <w:rFonts w:hint="default"/>
        <w:lang w:val="en-GB" w:eastAsia="en-GB" w:bidi="en-GB"/>
      </w:rPr>
    </w:lvl>
    <w:lvl w:ilvl="8" w:tplc="470028DA">
      <w:numFmt w:val="bullet"/>
      <w:lvlText w:val="•"/>
      <w:lvlJc w:val="left"/>
      <w:pPr>
        <w:ind w:left="6393" w:hanging="217"/>
      </w:pPr>
      <w:rPr>
        <w:rFonts w:hint="default"/>
        <w:lang w:val="en-GB" w:eastAsia="en-GB" w:bidi="en-GB"/>
      </w:rPr>
    </w:lvl>
  </w:abstractNum>
  <w:abstractNum w:abstractNumId="152" w15:restartNumberingAfterBreak="0">
    <w:nsid w:val="0D8B4CCB"/>
    <w:multiLevelType w:val="hybridMultilevel"/>
    <w:tmpl w:val="79F04C76"/>
    <w:lvl w:ilvl="0" w:tplc="E084A44C">
      <w:numFmt w:val="bullet"/>
      <w:lvlText w:val="•"/>
      <w:lvlJc w:val="left"/>
      <w:pPr>
        <w:ind w:left="303" w:hanging="217"/>
      </w:pPr>
      <w:rPr>
        <w:rFonts w:ascii="Arial" w:eastAsia="Arial" w:hAnsi="Arial" w:cs="Arial" w:hint="default"/>
        <w:color w:val="231F20"/>
        <w:w w:val="102"/>
        <w:sz w:val="17"/>
        <w:szCs w:val="17"/>
        <w:lang w:val="en-GB" w:eastAsia="en-GB" w:bidi="en-GB"/>
      </w:rPr>
    </w:lvl>
    <w:lvl w:ilvl="1" w:tplc="A9362894">
      <w:numFmt w:val="bullet"/>
      <w:lvlText w:val="•"/>
      <w:lvlJc w:val="left"/>
      <w:pPr>
        <w:ind w:left="439" w:hanging="217"/>
      </w:pPr>
      <w:rPr>
        <w:rFonts w:hint="default"/>
        <w:lang w:val="en-GB" w:eastAsia="en-GB" w:bidi="en-GB"/>
      </w:rPr>
    </w:lvl>
    <w:lvl w:ilvl="2" w:tplc="0CAC62E8">
      <w:numFmt w:val="bullet"/>
      <w:lvlText w:val="•"/>
      <w:lvlJc w:val="left"/>
      <w:pPr>
        <w:ind w:left="578" w:hanging="217"/>
      </w:pPr>
      <w:rPr>
        <w:rFonts w:hint="default"/>
        <w:lang w:val="en-GB" w:eastAsia="en-GB" w:bidi="en-GB"/>
      </w:rPr>
    </w:lvl>
    <w:lvl w:ilvl="3" w:tplc="C8424AB6">
      <w:numFmt w:val="bullet"/>
      <w:lvlText w:val="•"/>
      <w:lvlJc w:val="left"/>
      <w:pPr>
        <w:ind w:left="717" w:hanging="217"/>
      </w:pPr>
      <w:rPr>
        <w:rFonts w:hint="default"/>
        <w:lang w:val="en-GB" w:eastAsia="en-GB" w:bidi="en-GB"/>
      </w:rPr>
    </w:lvl>
    <w:lvl w:ilvl="4" w:tplc="7F3A5BBC">
      <w:numFmt w:val="bullet"/>
      <w:lvlText w:val="•"/>
      <w:lvlJc w:val="left"/>
      <w:pPr>
        <w:ind w:left="856" w:hanging="217"/>
      </w:pPr>
      <w:rPr>
        <w:rFonts w:hint="default"/>
        <w:lang w:val="en-GB" w:eastAsia="en-GB" w:bidi="en-GB"/>
      </w:rPr>
    </w:lvl>
    <w:lvl w:ilvl="5" w:tplc="A6EE7308">
      <w:numFmt w:val="bullet"/>
      <w:lvlText w:val="•"/>
      <w:lvlJc w:val="left"/>
      <w:pPr>
        <w:ind w:left="995" w:hanging="217"/>
      </w:pPr>
      <w:rPr>
        <w:rFonts w:hint="default"/>
        <w:lang w:val="en-GB" w:eastAsia="en-GB" w:bidi="en-GB"/>
      </w:rPr>
    </w:lvl>
    <w:lvl w:ilvl="6" w:tplc="5A68B098">
      <w:numFmt w:val="bullet"/>
      <w:lvlText w:val="•"/>
      <w:lvlJc w:val="left"/>
      <w:pPr>
        <w:ind w:left="1134" w:hanging="217"/>
      </w:pPr>
      <w:rPr>
        <w:rFonts w:hint="default"/>
        <w:lang w:val="en-GB" w:eastAsia="en-GB" w:bidi="en-GB"/>
      </w:rPr>
    </w:lvl>
    <w:lvl w:ilvl="7" w:tplc="4CDE35A8">
      <w:numFmt w:val="bullet"/>
      <w:lvlText w:val="•"/>
      <w:lvlJc w:val="left"/>
      <w:pPr>
        <w:ind w:left="1273" w:hanging="217"/>
      </w:pPr>
      <w:rPr>
        <w:rFonts w:hint="default"/>
        <w:lang w:val="en-GB" w:eastAsia="en-GB" w:bidi="en-GB"/>
      </w:rPr>
    </w:lvl>
    <w:lvl w:ilvl="8" w:tplc="CA1871C0">
      <w:numFmt w:val="bullet"/>
      <w:lvlText w:val="•"/>
      <w:lvlJc w:val="left"/>
      <w:pPr>
        <w:ind w:left="1412" w:hanging="217"/>
      </w:pPr>
      <w:rPr>
        <w:rFonts w:hint="default"/>
        <w:lang w:val="en-GB" w:eastAsia="en-GB" w:bidi="en-GB"/>
      </w:rPr>
    </w:lvl>
  </w:abstractNum>
  <w:abstractNum w:abstractNumId="153" w15:restartNumberingAfterBreak="0">
    <w:nsid w:val="0DEB303A"/>
    <w:multiLevelType w:val="hybridMultilevel"/>
    <w:tmpl w:val="9586AF00"/>
    <w:lvl w:ilvl="0" w:tplc="119E383A">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71786884">
      <w:numFmt w:val="bullet"/>
      <w:lvlText w:val="•"/>
      <w:lvlJc w:val="left"/>
      <w:pPr>
        <w:ind w:left="473" w:hanging="217"/>
      </w:pPr>
      <w:rPr>
        <w:rFonts w:hint="default"/>
        <w:lang w:val="en-GB" w:eastAsia="en-GB" w:bidi="en-GB"/>
      </w:rPr>
    </w:lvl>
    <w:lvl w:ilvl="2" w:tplc="199CF6F8">
      <w:numFmt w:val="bullet"/>
      <w:lvlText w:val="•"/>
      <w:lvlJc w:val="left"/>
      <w:pPr>
        <w:ind w:left="646" w:hanging="217"/>
      </w:pPr>
      <w:rPr>
        <w:rFonts w:hint="default"/>
        <w:lang w:val="en-GB" w:eastAsia="en-GB" w:bidi="en-GB"/>
      </w:rPr>
    </w:lvl>
    <w:lvl w:ilvl="3" w:tplc="334AFC2A">
      <w:numFmt w:val="bullet"/>
      <w:lvlText w:val="•"/>
      <w:lvlJc w:val="left"/>
      <w:pPr>
        <w:ind w:left="819" w:hanging="217"/>
      </w:pPr>
      <w:rPr>
        <w:rFonts w:hint="default"/>
        <w:lang w:val="en-GB" w:eastAsia="en-GB" w:bidi="en-GB"/>
      </w:rPr>
    </w:lvl>
    <w:lvl w:ilvl="4" w:tplc="762882BE">
      <w:numFmt w:val="bullet"/>
      <w:lvlText w:val="•"/>
      <w:lvlJc w:val="left"/>
      <w:pPr>
        <w:ind w:left="992" w:hanging="217"/>
      </w:pPr>
      <w:rPr>
        <w:rFonts w:hint="default"/>
        <w:lang w:val="en-GB" w:eastAsia="en-GB" w:bidi="en-GB"/>
      </w:rPr>
    </w:lvl>
    <w:lvl w:ilvl="5" w:tplc="465A6C32">
      <w:numFmt w:val="bullet"/>
      <w:lvlText w:val="•"/>
      <w:lvlJc w:val="left"/>
      <w:pPr>
        <w:ind w:left="1165" w:hanging="217"/>
      </w:pPr>
      <w:rPr>
        <w:rFonts w:hint="default"/>
        <w:lang w:val="en-GB" w:eastAsia="en-GB" w:bidi="en-GB"/>
      </w:rPr>
    </w:lvl>
    <w:lvl w:ilvl="6" w:tplc="29006842">
      <w:numFmt w:val="bullet"/>
      <w:lvlText w:val="•"/>
      <w:lvlJc w:val="left"/>
      <w:pPr>
        <w:ind w:left="1338" w:hanging="217"/>
      </w:pPr>
      <w:rPr>
        <w:rFonts w:hint="default"/>
        <w:lang w:val="en-GB" w:eastAsia="en-GB" w:bidi="en-GB"/>
      </w:rPr>
    </w:lvl>
    <w:lvl w:ilvl="7" w:tplc="0E204CD4">
      <w:numFmt w:val="bullet"/>
      <w:lvlText w:val="•"/>
      <w:lvlJc w:val="left"/>
      <w:pPr>
        <w:ind w:left="1511" w:hanging="217"/>
      </w:pPr>
      <w:rPr>
        <w:rFonts w:hint="default"/>
        <w:lang w:val="en-GB" w:eastAsia="en-GB" w:bidi="en-GB"/>
      </w:rPr>
    </w:lvl>
    <w:lvl w:ilvl="8" w:tplc="DAC08DD6">
      <w:numFmt w:val="bullet"/>
      <w:lvlText w:val="•"/>
      <w:lvlJc w:val="left"/>
      <w:pPr>
        <w:ind w:left="1684" w:hanging="217"/>
      </w:pPr>
      <w:rPr>
        <w:rFonts w:hint="default"/>
        <w:lang w:val="en-GB" w:eastAsia="en-GB" w:bidi="en-GB"/>
      </w:rPr>
    </w:lvl>
  </w:abstractNum>
  <w:abstractNum w:abstractNumId="154" w15:restartNumberingAfterBreak="0">
    <w:nsid w:val="0DFE0B17"/>
    <w:multiLevelType w:val="hybridMultilevel"/>
    <w:tmpl w:val="49C8EC0A"/>
    <w:lvl w:ilvl="0" w:tplc="DFAA3E74">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3A702F0E">
      <w:numFmt w:val="bullet"/>
      <w:lvlText w:val="•"/>
      <w:lvlJc w:val="left"/>
      <w:pPr>
        <w:ind w:left="441" w:hanging="217"/>
      </w:pPr>
      <w:rPr>
        <w:rFonts w:hint="default"/>
        <w:lang w:val="en-GB" w:eastAsia="en-GB" w:bidi="en-GB"/>
      </w:rPr>
    </w:lvl>
    <w:lvl w:ilvl="2" w:tplc="A0B26878">
      <w:numFmt w:val="bullet"/>
      <w:lvlText w:val="•"/>
      <w:lvlJc w:val="left"/>
      <w:pPr>
        <w:ind w:left="583" w:hanging="217"/>
      </w:pPr>
      <w:rPr>
        <w:rFonts w:hint="default"/>
        <w:lang w:val="en-GB" w:eastAsia="en-GB" w:bidi="en-GB"/>
      </w:rPr>
    </w:lvl>
    <w:lvl w:ilvl="3" w:tplc="640ED04E">
      <w:numFmt w:val="bullet"/>
      <w:lvlText w:val="•"/>
      <w:lvlJc w:val="left"/>
      <w:pPr>
        <w:ind w:left="725" w:hanging="217"/>
      </w:pPr>
      <w:rPr>
        <w:rFonts w:hint="default"/>
        <w:lang w:val="en-GB" w:eastAsia="en-GB" w:bidi="en-GB"/>
      </w:rPr>
    </w:lvl>
    <w:lvl w:ilvl="4" w:tplc="E1A6560E">
      <w:numFmt w:val="bullet"/>
      <w:lvlText w:val="•"/>
      <w:lvlJc w:val="left"/>
      <w:pPr>
        <w:ind w:left="867" w:hanging="217"/>
      </w:pPr>
      <w:rPr>
        <w:rFonts w:hint="default"/>
        <w:lang w:val="en-GB" w:eastAsia="en-GB" w:bidi="en-GB"/>
      </w:rPr>
    </w:lvl>
    <w:lvl w:ilvl="5" w:tplc="E0CEFE08">
      <w:numFmt w:val="bullet"/>
      <w:lvlText w:val="•"/>
      <w:lvlJc w:val="left"/>
      <w:pPr>
        <w:ind w:left="1009" w:hanging="217"/>
      </w:pPr>
      <w:rPr>
        <w:rFonts w:hint="default"/>
        <w:lang w:val="en-GB" w:eastAsia="en-GB" w:bidi="en-GB"/>
      </w:rPr>
    </w:lvl>
    <w:lvl w:ilvl="6" w:tplc="0B24B8DE">
      <w:numFmt w:val="bullet"/>
      <w:lvlText w:val="•"/>
      <w:lvlJc w:val="left"/>
      <w:pPr>
        <w:ind w:left="1151" w:hanging="217"/>
      </w:pPr>
      <w:rPr>
        <w:rFonts w:hint="default"/>
        <w:lang w:val="en-GB" w:eastAsia="en-GB" w:bidi="en-GB"/>
      </w:rPr>
    </w:lvl>
    <w:lvl w:ilvl="7" w:tplc="8D0EB592">
      <w:numFmt w:val="bullet"/>
      <w:lvlText w:val="•"/>
      <w:lvlJc w:val="left"/>
      <w:pPr>
        <w:ind w:left="1293" w:hanging="217"/>
      </w:pPr>
      <w:rPr>
        <w:rFonts w:hint="default"/>
        <w:lang w:val="en-GB" w:eastAsia="en-GB" w:bidi="en-GB"/>
      </w:rPr>
    </w:lvl>
    <w:lvl w:ilvl="8" w:tplc="2D966094">
      <w:numFmt w:val="bullet"/>
      <w:lvlText w:val="•"/>
      <w:lvlJc w:val="left"/>
      <w:pPr>
        <w:ind w:left="1435" w:hanging="217"/>
      </w:pPr>
      <w:rPr>
        <w:rFonts w:hint="default"/>
        <w:lang w:val="en-GB" w:eastAsia="en-GB" w:bidi="en-GB"/>
      </w:rPr>
    </w:lvl>
  </w:abstractNum>
  <w:abstractNum w:abstractNumId="155" w15:restartNumberingAfterBreak="0">
    <w:nsid w:val="0E2C5327"/>
    <w:multiLevelType w:val="hybridMultilevel"/>
    <w:tmpl w:val="8500D1B6"/>
    <w:lvl w:ilvl="0" w:tplc="E3A03574">
      <w:numFmt w:val="bullet"/>
      <w:lvlText w:val="•"/>
      <w:lvlJc w:val="left"/>
      <w:pPr>
        <w:ind w:left="299" w:hanging="217"/>
      </w:pPr>
      <w:rPr>
        <w:rFonts w:ascii="Arial" w:eastAsia="Arial" w:hAnsi="Arial" w:cs="Arial" w:hint="default"/>
        <w:color w:val="231F20"/>
        <w:spacing w:val="-4"/>
        <w:w w:val="100"/>
        <w:sz w:val="18"/>
        <w:szCs w:val="18"/>
        <w:lang w:val="en-GB" w:eastAsia="en-GB" w:bidi="en-GB"/>
      </w:rPr>
    </w:lvl>
    <w:lvl w:ilvl="1" w:tplc="F77261B8">
      <w:numFmt w:val="bullet"/>
      <w:lvlText w:val="•"/>
      <w:lvlJc w:val="left"/>
      <w:pPr>
        <w:ind w:left="529" w:hanging="217"/>
      </w:pPr>
      <w:rPr>
        <w:rFonts w:hint="default"/>
        <w:lang w:val="en-GB" w:eastAsia="en-GB" w:bidi="en-GB"/>
      </w:rPr>
    </w:lvl>
    <w:lvl w:ilvl="2" w:tplc="6E86966E">
      <w:numFmt w:val="bullet"/>
      <w:lvlText w:val="•"/>
      <w:lvlJc w:val="left"/>
      <w:pPr>
        <w:ind w:left="759" w:hanging="217"/>
      </w:pPr>
      <w:rPr>
        <w:rFonts w:hint="default"/>
        <w:lang w:val="en-GB" w:eastAsia="en-GB" w:bidi="en-GB"/>
      </w:rPr>
    </w:lvl>
    <w:lvl w:ilvl="3" w:tplc="A41C7276">
      <w:numFmt w:val="bullet"/>
      <w:lvlText w:val="•"/>
      <w:lvlJc w:val="left"/>
      <w:pPr>
        <w:ind w:left="989" w:hanging="217"/>
      </w:pPr>
      <w:rPr>
        <w:rFonts w:hint="default"/>
        <w:lang w:val="en-GB" w:eastAsia="en-GB" w:bidi="en-GB"/>
      </w:rPr>
    </w:lvl>
    <w:lvl w:ilvl="4" w:tplc="8A042F1C">
      <w:numFmt w:val="bullet"/>
      <w:lvlText w:val="•"/>
      <w:lvlJc w:val="left"/>
      <w:pPr>
        <w:ind w:left="1219" w:hanging="217"/>
      </w:pPr>
      <w:rPr>
        <w:rFonts w:hint="default"/>
        <w:lang w:val="en-GB" w:eastAsia="en-GB" w:bidi="en-GB"/>
      </w:rPr>
    </w:lvl>
    <w:lvl w:ilvl="5" w:tplc="AD8EC8F6">
      <w:numFmt w:val="bullet"/>
      <w:lvlText w:val="•"/>
      <w:lvlJc w:val="left"/>
      <w:pPr>
        <w:ind w:left="1449" w:hanging="217"/>
      </w:pPr>
      <w:rPr>
        <w:rFonts w:hint="default"/>
        <w:lang w:val="en-GB" w:eastAsia="en-GB" w:bidi="en-GB"/>
      </w:rPr>
    </w:lvl>
    <w:lvl w:ilvl="6" w:tplc="F7CA82FE">
      <w:numFmt w:val="bullet"/>
      <w:lvlText w:val="•"/>
      <w:lvlJc w:val="left"/>
      <w:pPr>
        <w:ind w:left="1678" w:hanging="217"/>
      </w:pPr>
      <w:rPr>
        <w:rFonts w:hint="default"/>
        <w:lang w:val="en-GB" w:eastAsia="en-GB" w:bidi="en-GB"/>
      </w:rPr>
    </w:lvl>
    <w:lvl w:ilvl="7" w:tplc="F20E8696">
      <w:numFmt w:val="bullet"/>
      <w:lvlText w:val="•"/>
      <w:lvlJc w:val="left"/>
      <w:pPr>
        <w:ind w:left="1908" w:hanging="217"/>
      </w:pPr>
      <w:rPr>
        <w:rFonts w:hint="default"/>
        <w:lang w:val="en-GB" w:eastAsia="en-GB" w:bidi="en-GB"/>
      </w:rPr>
    </w:lvl>
    <w:lvl w:ilvl="8" w:tplc="CB0E5062">
      <w:numFmt w:val="bullet"/>
      <w:lvlText w:val="•"/>
      <w:lvlJc w:val="left"/>
      <w:pPr>
        <w:ind w:left="2138" w:hanging="217"/>
      </w:pPr>
      <w:rPr>
        <w:rFonts w:hint="default"/>
        <w:lang w:val="en-GB" w:eastAsia="en-GB" w:bidi="en-GB"/>
      </w:rPr>
    </w:lvl>
  </w:abstractNum>
  <w:abstractNum w:abstractNumId="156" w15:restartNumberingAfterBreak="0">
    <w:nsid w:val="0E3E0C42"/>
    <w:multiLevelType w:val="hybridMultilevel"/>
    <w:tmpl w:val="FE8CEA7E"/>
    <w:lvl w:ilvl="0" w:tplc="839C8B0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FB45442">
      <w:numFmt w:val="bullet"/>
      <w:lvlText w:val="•"/>
      <w:lvlJc w:val="left"/>
      <w:pPr>
        <w:ind w:left="439" w:hanging="217"/>
      </w:pPr>
      <w:rPr>
        <w:rFonts w:hint="default"/>
        <w:lang w:val="en-GB" w:eastAsia="en-GB" w:bidi="en-GB"/>
      </w:rPr>
    </w:lvl>
    <w:lvl w:ilvl="2" w:tplc="D498506A">
      <w:numFmt w:val="bullet"/>
      <w:lvlText w:val="•"/>
      <w:lvlJc w:val="left"/>
      <w:pPr>
        <w:ind w:left="578" w:hanging="217"/>
      </w:pPr>
      <w:rPr>
        <w:rFonts w:hint="default"/>
        <w:lang w:val="en-GB" w:eastAsia="en-GB" w:bidi="en-GB"/>
      </w:rPr>
    </w:lvl>
    <w:lvl w:ilvl="3" w:tplc="85AEEA4A">
      <w:numFmt w:val="bullet"/>
      <w:lvlText w:val="•"/>
      <w:lvlJc w:val="left"/>
      <w:pPr>
        <w:ind w:left="717" w:hanging="217"/>
      </w:pPr>
      <w:rPr>
        <w:rFonts w:hint="default"/>
        <w:lang w:val="en-GB" w:eastAsia="en-GB" w:bidi="en-GB"/>
      </w:rPr>
    </w:lvl>
    <w:lvl w:ilvl="4" w:tplc="A7B41BEE">
      <w:numFmt w:val="bullet"/>
      <w:lvlText w:val="•"/>
      <w:lvlJc w:val="left"/>
      <w:pPr>
        <w:ind w:left="856" w:hanging="217"/>
      </w:pPr>
      <w:rPr>
        <w:rFonts w:hint="default"/>
        <w:lang w:val="en-GB" w:eastAsia="en-GB" w:bidi="en-GB"/>
      </w:rPr>
    </w:lvl>
    <w:lvl w:ilvl="5" w:tplc="DE948604">
      <w:numFmt w:val="bullet"/>
      <w:lvlText w:val="•"/>
      <w:lvlJc w:val="left"/>
      <w:pPr>
        <w:ind w:left="995" w:hanging="217"/>
      </w:pPr>
      <w:rPr>
        <w:rFonts w:hint="default"/>
        <w:lang w:val="en-GB" w:eastAsia="en-GB" w:bidi="en-GB"/>
      </w:rPr>
    </w:lvl>
    <w:lvl w:ilvl="6" w:tplc="E95AAFC0">
      <w:numFmt w:val="bullet"/>
      <w:lvlText w:val="•"/>
      <w:lvlJc w:val="left"/>
      <w:pPr>
        <w:ind w:left="1134" w:hanging="217"/>
      </w:pPr>
      <w:rPr>
        <w:rFonts w:hint="default"/>
        <w:lang w:val="en-GB" w:eastAsia="en-GB" w:bidi="en-GB"/>
      </w:rPr>
    </w:lvl>
    <w:lvl w:ilvl="7" w:tplc="09AA18E8">
      <w:numFmt w:val="bullet"/>
      <w:lvlText w:val="•"/>
      <w:lvlJc w:val="left"/>
      <w:pPr>
        <w:ind w:left="1273" w:hanging="217"/>
      </w:pPr>
      <w:rPr>
        <w:rFonts w:hint="default"/>
        <w:lang w:val="en-GB" w:eastAsia="en-GB" w:bidi="en-GB"/>
      </w:rPr>
    </w:lvl>
    <w:lvl w:ilvl="8" w:tplc="BE50974C">
      <w:numFmt w:val="bullet"/>
      <w:lvlText w:val="•"/>
      <w:lvlJc w:val="left"/>
      <w:pPr>
        <w:ind w:left="1412" w:hanging="217"/>
      </w:pPr>
      <w:rPr>
        <w:rFonts w:hint="default"/>
        <w:lang w:val="en-GB" w:eastAsia="en-GB" w:bidi="en-GB"/>
      </w:rPr>
    </w:lvl>
  </w:abstractNum>
  <w:abstractNum w:abstractNumId="157" w15:restartNumberingAfterBreak="0">
    <w:nsid w:val="0E6D180E"/>
    <w:multiLevelType w:val="hybridMultilevel"/>
    <w:tmpl w:val="F6E8B950"/>
    <w:lvl w:ilvl="0" w:tplc="CC403AE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0642772">
      <w:numFmt w:val="bullet"/>
      <w:lvlText w:val="•"/>
      <w:lvlJc w:val="left"/>
      <w:pPr>
        <w:ind w:left="473" w:hanging="217"/>
      </w:pPr>
      <w:rPr>
        <w:rFonts w:hint="default"/>
        <w:lang w:val="en-GB" w:eastAsia="en-GB" w:bidi="en-GB"/>
      </w:rPr>
    </w:lvl>
    <w:lvl w:ilvl="2" w:tplc="CA7A46B4">
      <w:numFmt w:val="bullet"/>
      <w:lvlText w:val="•"/>
      <w:lvlJc w:val="left"/>
      <w:pPr>
        <w:ind w:left="646" w:hanging="217"/>
      </w:pPr>
      <w:rPr>
        <w:rFonts w:hint="default"/>
        <w:lang w:val="en-GB" w:eastAsia="en-GB" w:bidi="en-GB"/>
      </w:rPr>
    </w:lvl>
    <w:lvl w:ilvl="3" w:tplc="C6F06DBE">
      <w:numFmt w:val="bullet"/>
      <w:lvlText w:val="•"/>
      <w:lvlJc w:val="left"/>
      <w:pPr>
        <w:ind w:left="819" w:hanging="217"/>
      </w:pPr>
      <w:rPr>
        <w:rFonts w:hint="default"/>
        <w:lang w:val="en-GB" w:eastAsia="en-GB" w:bidi="en-GB"/>
      </w:rPr>
    </w:lvl>
    <w:lvl w:ilvl="4" w:tplc="765E8D70">
      <w:numFmt w:val="bullet"/>
      <w:lvlText w:val="•"/>
      <w:lvlJc w:val="left"/>
      <w:pPr>
        <w:ind w:left="992" w:hanging="217"/>
      </w:pPr>
      <w:rPr>
        <w:rFonts w:hint="default"/>
        <w:lang w:val="en-GB" w:eastAsia="en-GB" w:bidi="en-GB"/>
      </w:rPr>
    </w:lvl>
    <w:lvl w:ilvl="5" w:tplc="950435EA">
      <w:numFmt w:val="bullet"/>
      <w:lvlText w:val="•"/>
      <w:lvlJc w:val="left"/>
      <w:pPr>
        <w:ind w:left="1165" w:hanging="217"/>
      </w:pPr>
      <w:rPr>
        <w:rFonts w:hint="default"/>
        <w:lang w:val="en-GB" w:eastAsia="en-GB" w:bidi="en-GB"/>
      </w:rPr>
    </w:lvl>
    <w:lvl w:ilvl="6" w:tplc="AE80D332">
      <w:numFmt w:val="bullet"/>
      <w:lvlText w:val="•"/>
      <w:lvlJc w:val="left"/>
      <w:pPr>
        <w:ind w:left="1338" w:hanging="217"/>
      </w:pPr>
      <w:rPr>
        <w:rFonts w:hint="default"/>
        <w:lang w:val="en-GB" w:eastAsia="en-GB" w:bidi="en-GB"/>
      </w:rPr>
    </w:lvl>
    <w:lvl w:ilvl="7" w:tplc="BEE4D14C">
      <w:numFmt w:val="bullet"/>
      <w:lvlText w:val="•"/>
      <w:lvlJc w:val="left"/>
      <w:pPr>
        <w:ind w:left="1511" w:hanging="217"/>
      </w:pPr>
      <w:rPr>
        <w:rFonts w:hint="default"/>
        <w:lang w:val="en-GB" w:eastAsia="en-GB" w:bidi="en-GB"/>
      </w:rPr>
    </w:lvl>
    <w:lvl w:ilvl="8" w:tplc="FFBEB8D6">
      <w:numFmt w:val="bullet"/>
      <w:lvlText w:val="•"/>
      <w:lvlJc w:val="left"/>
      <w:pPr>
        <w:ind w:left="1684" w:hanging="217"/>
      </w:pPr>
      <w:rPr>
        <w:rFonts w:hint="default"/>
        <w:lang w:val="en-GB" w:eastAsia="en-GB" w:bidi="en-GB"/>
      </w:rPr>
    </w:lvl>
  </w:abstractNum>
  <w:abstractNum w:abstractNumId="158" w15:restartNumberingAfterBreak="0">
    <w:nsid w:val="0E7B35F9"/>
    <w:multiLevelType w:val="hybridMultilevel"/>
    <w:tmpl w:val="845EA3B0"/>
    <w:lvl w:ilvl="0" w:tplc="2952908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185826C2">
      <w:numFmt w:val="bullet"/>
      <w:lvlText w:val="•"/>
      <w:lvlJc w:val="left"/>
      <w:pPr>
        <w:ind w:left="892" w:hanging="217"/>
      </w:pPr>
      <w:rPr>
        <w:rFonts w:hint="default"/>
        <w:lang w:val="en-GB" w:eastAsia="en-GB" w:bidi="en-GB"/>
      </w:rPr>
    </w:lvl>
    <w:lvl w:ilvl="2" w:tplc="3DB81298">
      <w:numFmt w:val="bullet"/>
      <w:lvlText w:val="•"/>
      <w:lvlJc w:val="left"/>
      <w:pPr>
        <w:ind w:left="1485" w:hanging="217"/>
      </w:pPr>
      <w:rPr>
        <w:rFonts w:hint="default"/>
        <w:lang w:val="en-GB" w:eastAsia="en-GB" w:bidi="en-GB"/>
      </w:rPr>
    </w:lvl>
    <w:lvl w:ilvl="3" w:tplc="9BCA14BE">
      <w:numFmt w:val="bullet"/>
      <w:lvlText w:val="•"/>
      <w:lvlJc w:val="left"/>
      <w:pPr>
        <w:ind w:left="2077" w:hanging="217"/>
      </w:pPr>
      <w:rPr>
        <w:rFonts w:hint="default"/>
        <w:lang w:val="en-GB" w:eastAsia="en-GB" w:bidi="en-GB"/>
      </w:rPr>
    </w:lvl>
    <w:lvl w:ilvl="4" w:tplc="0336716A">
      <w:numFmt w:val="bullet"/>
      <w:lvlText w:val="•"/>
      <w:lvlJc w:val="left"/>
      <w:pPr>
        <w:ind w:left="2670" w:hanging="217"/>
      </w:pPr>
      <w:rPr>
        <w:rFonts w:hint="default"/>
        <w:lang w:val="en-GB" w:eastAsia="en-GB" w:bidi="en-GB"/>
      </w:rPr>
    </w:lvl>
    <w:lvl w:ilvl="5" w:tplc="55C61294">
      <w:numFmt w:val="bullet"/>
      <w:lvlText w:val="•"/>
      <w:lvlJc w:val="left"/>
      <w:pPr>
        <w:ind w:left="3263" w:hanging="217"/>
      </w:pPr>
      <w:rPr>
        <w:rFonts w:hint="default"/>
        <w:lang w:val="en-GB" w:eastAsia="en-GB" w:bidi="en-GB"/>
      </w:rPr>
    </w:lvl>
    <w:lvl w:ilvl="6" w:tplc="3934EC5C">
      <w:numFmt w:val="bullet"/>
      <w:lvlText w:val="•"/>
      <w:lvlJc w:val="left"/>
      <w:pPr>
        <w:ind w:left="3855" w:hanging="217"/>
      </w:pPr>
      <w:rPr>
        <w:rFonts w:hint="default"/>
        <w:lang w:val="en-GB" w:eastAsia="en-GB" w:bidi="en-GB"/>
      </w:rPr>
    </w:lvl>
    <w:lvl w:ilvl="7" w:tplc="37922502">
      <w:numFmt w:val="bullet"/>
      <w:lvlText w:val="•"/>
      <w:lvlJc w:val="left"/>
      <w:pPr>
        <w:ind w:left="4448" w:hanging="217"/>
      </w:pPr>
      <w:rPr>
        <w:rFonts w:hint="default"/>
        <w:lang w:val="en-GB" w:eastAsia="en-GB" w:bidi="en-GB"/>
      </w:rPr>
    </w:lvl>
    <w:lvl w:ilvl="8" w:tplc="20B6484A">
      <w:numFmt w:val="bullet"/>
      <w:lvlText w:val="•"/>
      <w:lvlJc w:val="left"/>
      <w:pPr>
        <w:ind w:left="5040" w:hanging="217"/>
      </w:pPr>
      <w:rPr>
        <w:rFonts w:hint="default"/>
        <w:lang w:val="en-GB" w:eastAsia="en-GB" w:bidi="en-GB"/>
      </w:rPr>
    </w:lvl>
  </w:abstractNum>
  <w:abstractNum w:abstractNumId="159" w15:restartNumberingAfterBreak="0">
    <w:nsid w:val="0E8411A0"/>
    <w:multiLevelType w:val="hybridMultilevel"/>
    <w:tmpl w:val="B8A8B6D8"/>
    <w:lvl w:ilvl="0" w:tplc="28CED20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C30FF18">
      <w:numFmt w:val="bullet"/>
      <w:lvlText w:val="•"/>
      <w:lvlJc w:val="left"/>
      <w:pPr>
        <w:ind w:left="473" w:hanging="217"/>
      </w:pPr>
      <w:rPr>
        <w:rFonts w:hint="default"/>
        <w:lang w:val="en-GB" w:eastAsia="en-GB" w:bidi="en-GB"/>
      </w:rPr>
    </w:lvl>
    <w:lvl w:ilvl="2" w:tplc="07C2E23A">
      <w:numFmt w:val="bullet"/>
      <w:lvlText w:val="•"/>
      <w:lvlJc w:val="left"/>
      <w:pPr>
        <w:ind w:left="646" w:hanging="217"/>
      </w:pPr>
      <w:rPr>
        <w:rFonts w:hint="default"/>
        <w:lang w:val="en-GB" w:eastAsia="en-GB" w:bidi="en-GB"/>
      </w:rPr>
    </w:lvl>
    <w:lvl w:ilvl="3" w:tplc="72D256EA">
      <w:numFmt w:val="bullet"/>
      <w:lvlText w:val="•"/>
      <w:lvlJc w:val="left"/>
      <w:pPr>
        <w:ind w:left="819" w:hanging="217"/>
      </w:pPr>
      <w:rPr>
        <w:rFonts w:hint="default"/>
        <w:lang w:val="en-GB" w:eastAsia="en-GB" w:bidi="en-GB"/>
      </w:rPr>
    </w:lvl>
    <w:lvl w:ilvl="4" w:tplc="C0CAB882">
      <w:numFmt w:val="bullet"/>
      <w:lvlText w:val="•"/>
      <w:lvlJc w:val="left"/>
      <w:pPr>
        <w:ind w:left="992" w:hanging="217"/>
      </w:pPr>
      <w:rPr>
        <w:rFonts w:hint="default"/>
        <w:lang w:val="en-GB" w:eastAsia="en-GB" w:bidi="en-GB"/>
      </w:rPr>
    </w:lvl>
    <w:lvl w:ilvl="5" w:tplc="D9A88138">
      <w:numFmt w:val="bullet"/>
      <w:lvlText w:val="•"/>
      <w:lvlJc w:val="left"/>
      <w:pPr>
        <w:ind w:left="1165" w:hanging="217"/>
      </w:pPr>
      <w:rPr>
        <w:rFonts w:hint="default"/>
        <w:lang w:val="en-GB" w:eastAsia="en-GB" w:bidi="en-GB"/>
      </w:rPr>
    </w:lvl>
    <w:lvl w:ilvl="6" w:tplc="D06C3C52">
      <w:numFmt w:val="bullet"/>
      <w:lvlText w:val="•"/>
      <w:lvlJc w:val="left"/>
      <w:pPr>
        <w:ind w:left="1338" w:hanging="217"/>
      </w:pPr>
      <w:rPr>
        <w:rFonts w:hint="default"/>
        <w:lang w:val="en-GB" w:eastAsia="en-GB" w:bidi="en-GB"/>
      </w:rPr>
    </w:lvl>
    <w:lvl w:ilvl="7" w:tplc="A484F9AA">
      <w:numFmt w:val="bullet"/>
      <w:lvlText w:val="•"/>
      <w:lvlJc w:val="left"/>
      <w:pPr>
        <w:ind w:left="1511" w:hanging="217"/>
      </w:pPr>
      <w:rPr>
        <w:rFonts w:hint="default"/>
        <w:lang w:val="en-GB" w:eastAsia="en-GB" w:bidi="en-GB"/>
      </w:rPr>
    </w:lvl>
    <w:lvl w:ilvl="8" w:tplc="B21A1E96">
      <w:numFmt w:val="bullet"/>
      <w:lvlText w:val="•"/>
      <w:lvlJc w:val="left"/>
      <w:pPr>
        <w:ind w:left="1684" w:hanging="217"/>
      </w:pPr>
      <w:rPr>
        <w:rFonts w:hint="default"/>
        <w:lang w:val="en-GB" w:eastAsia="en-GB" w:bidi="en-GB"/>
      </w:rPr>
    </w:lvl>
  </w:abstractNum>
  <w:abstractNum w:abstractNumId="160" w15:restartNumberingAfterBreak="0">
    <w:nsid w:val="0E8A0089"/>
    <w:multiLevelType w:val="hybridMultilevel"/>
    <w:tmpl w:val="4CD84F78"/>
    <w:lvl w:ilvl="0" w:tplc="187CA43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E91EC0A2">
      <w:numFmt w:val="bullet"/>
      <w:lvlText w:val="•"/>
      <w:lvlJc w:val="left"/>
      <w:pPr>
        <w:ind w:left="892" w:hanging="217"/>
      </w:pPr>
      <w:rPr>
        <w:rFonts w:hint="default"/>
        <w:lang w:val="en-GB" w:eastAsia="en-GB" w:bidi="en-GB"/>
      </w:rPr>
    </w:lvl>
    <w:lvl w:ilvl="2" w:tplc="7B0A99B8">
      <w:numFmt w:val="bullet"/>
      <w:lvlText w:val="•"/>
      <w:lvlJc w:val="left"/>
      <w:pPr>
        <w:ind w:left="1485" w:hanging="217"/>
      </w:pPr>
      <w:rPr>
        <w:rFonts w:hint="default"/>
        <w:lang w:val="en-GB" w:eastAsia="en-GB" w:bidi="en-GB"/>
      </w:rPr>
    </w:lvl>
    <w:lvl w:ilvl="3" w:tplc="A5C28050">
      <w:numFmt w:val="bullet"/>
      <w:lvlText w:val="•"/>
      <w:lvlJc w:val="left"/>
      <w:pPr>
        <w:ind w:left="2077" w:hanging="217"/>
      </w:pPr>
      <w:rPr>
        <w:rFonts w:hint="default"/>
        <w:lang w:val="en-GB" w:eastAsia="en-GB" w:bidi="en-GB"/>
      </w:rPr>
    </w:lvl>
    <w:lvl w:ilvl="4" w:tplc="204EA2E6">
      <w:numFmt w:val="bullet"/>
      <w:lvlText w:val="•"/>
      <w:lvlJc w:val="left"/>
      <w:pPr>
        <w:ind w:left="2670" w:hanging="217"/>
      </w:pPr>
      <w:rPr>
        <w:rFonts w:hint="default"/>
        <w:lang w:val="en-GB" w:eastAsia="en-GB" w:bidi="en-GB"/>
      </w:rPr>
    </w:lvl>
    <w:lvl w:ilvl="5" w:tplc="ECC2841E">
      <w:numFmt w:val="bullet"/>
      <w:lvlText w:val="•"/>
      <w:lvlJc w:val="left"/>
      <w:pPr>
        <w:ind w:left="3263" w:hanging="217"/>
      </w:pPr>
      <w:rPr>
        <w:rFonts w:hint="default"/>
        <w:lang w:val="en-GB" w:eastAsia="en-GB" w:bidi="en-GB"/>
      </w:rPr>
    </w:lvl>
    <w:lvl w:ilvl="6" w:tplc="ED2653DA">
      <w:numFmt w:val="bullet"/>
      <w:lvlText w:val="•"/>
      <w:lvlJc w:val="left"/>
      <w:pPr>
        <w:ind w:left="3855" w:hanging="217"/>
      </w:pPr>
      <w:rPr>
        <w:rFonts w:hint="default"/>
        <w:lang w:val="en-GB" w:eastAsia="en-GB" w:bidi="en-GB"/>
      </w:rPr>
    </w:lvl>
    <w:lvl w:ilvl="7" w:tplc="4C8E57E0">
      <w:numFmt w:val="bullet"/>
      <w:lvlText w:val="•"/>
      <w:lvlJc w:val="left"/>
      <w:pPr>
        <w:ind w:left="4448" w:hanging="217"/>
      </w:pPr>
      <w:rPr>
        <w:rFonts w:hint="default"/>
        <w:lang w:val="en-GB" w:eastAsia="en-GB" w:bidi="en-GB"/>
      </w:rPr>
    </w:lvl>
    <w:lvl w:ilvl="8" w:tplc="97A03AC0">
      <w:numFmt w:val="bullet"/>
      <w:lvlText w:val="•"/>
      <w:lvlJc w:val="left"/>
      <w:pPr>
        <w:ind w:left="5040" w:hanging="217"/>
      </w:pPr>
      <w:rPr>
        <w:rFonts w:hint="default"/>
        <w:lang w:val="en-GB" w:eastAsia="en-GB" w:bidi="en-GB"/>
      </w:rPr>
    </w:lvl>
  </w:abstractNum>
  <w:abstractNum w:abstractNumId="161" w15:restartNumberingAfterBreak="0">
    <w:nsid w:val="0E946C30"/>
    <w:multiLevelType w:val="hybridMultilevel"/>
    <w:tmpl w:val="8C6EDB0E"/>
    <w:lvl w:ilvl="0" w:tplc="573ADEB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ED6042BC">
      <w:numFmt w:val="bullet"/>
      <w:lvlText w:val="•"/>
      <w:lvlJc w:val="left"/>
      <w:pPr>
        <w:ind w:left="892" w:hanging="217"/>
      </w:pPr>
      <w:rPr>
        <w:rFonts w:hint="default"/>
        <w:lang w:val="en-GB" w:eastAsia="en-GB" w:bidi="en-GB"/>
      </w:rPr>
    </w:lvl>
    <w:lvl w:ilvl="2" w:tplc="B1E298A8">
      <w:numFmt w:val="bullet"/>
      <w:lvlText w:val="•"/>
      <w:lvlJc w:val="left"/>
      <w:pPr>
        <w:ind w:left="1485" w:hanging="217"/>
      </w:pPr>
      <w:rPr>
        <w:rFonts w:hint="default"/>
        <w:lang w:val="en-GB" w:eastAsia="en-GB" w:bidi="en-GB"/>
      </w:rPr>
    </w:lvl>
    <w:lvl w:ilvl="3" w:tplc="E9BA48FA">
      <w:numFmt w:val="bullet"/>
      <w:lvlText w:val="•"/>
      <w:lvlJc w:val="left"/>
      <w:pPr>
        <w:ind w:left="2077" w:hanging="217"/>
      </w:pPr>
      <w:rPr>
        <w:rFonts w:hint="default"/>
        <w:lang w:val="en-GB" w:eastAsia="en-GB" w:bidi="en-GB"/>
      </w:rPr>
    </w:lvl>
    <w:lvl w:ilvl="4" w:tplc="2D0C81E0">
      <w:numFmt w:val="bullet"/>
      <w:lvlText w:val="•"/>
      <w:lvlJc w:val="left"/>
      <w:pPr>
        <w:ind w:left="2670" w:hanging="217"/>
      </w:pPr>
      <w:rPr>
        <w:rFonts w:hint="default"/>
        <w:lang w:val="en-GB" w:eastAsia="en-GB" w:bidi="en-GB"/>
      </w:rPr>
    </w:lvl>
    <w:lvl w:ilvl="5" w:tplc="CC7A16A0">
      <w:numFmt w:val="bullet"/>
      <w:lvlText w:val="•"/>
      <w:lvlJc w:val="left"/>
      <w:pPr>
        <w:ind w:left="3263" w:hanging="217"/>
      </w:pPr>
      <w:rPr>
        <w:rFonts w:hint="default"/>
        <w:lang w:val="en-GB" w:eastAsia="en-GB" w:bidi="en-GB"/>
      </w:rPr>
    </w:lvl>
    <w:lvl w:ilvl="6" w:tplc="527E457C">
      <w:numFmt w:val="bullet"/>
      <w:lvlText w:val="•"/>
      <w:lvlJc w:val="left"/>
      <w:pPr>
        <w:ind w:left="3855" w:hanging="217"/>
      </w:pPr>
      <w:rPr>
        <w:rFonts w:hint="default"/>
        <w:lang w:val="en-GB" w:eastAsia="en-GB" w:bidi="en-GB"/>
      </w:rPr>
    </w:lvl>
    <w:lvl w:ilvl="7" w:tplc="19A8BE3C">
      <w:numFmt w:val="bullet"/>
      <w:lvlText w:val="•"/>
      <w:lvlJc w:val="left"/>
      <w:pPr>
        <w:ind w:left="4448" w:hanging="217"/>
      </w:pPr>
      <w:rPr>
        <w:rFonts w:hint="default"/>
        <w:lang w:val="en-GB" w:eastAsia="en-GB" w:bidi="en-GB"/>
      </w:rPr>
    </w:lvl>
    <w:lvl w:ilvl="8" w:tplc="AEDCD726">
      <w:numFmt w:val="bullet"/>
      <w:lvlText w:val="•"/>
      <w:lvlJc w:val="left"/>
      <w:pPr>
        <w:ind w:left="5040" w:hanging="217"/>
      </w:pPr>
      <w:rPr>
        <w:rFonts w:hint="default"/>
        <w:lang w:val="en-GB" w:eastAsia="en-GB" w:bidi="en-GB"/>
      </w:rPr>
    </w:lvl>
  </w:abstractNum>
  <w:abstractNum w:abstractNumId="162" w15:restartNumberingAfterBreak="0">
    <w:nsid w:val="0EB43DD7"/>
    <w:multiLevelType w:val="hybridMultilevel"/>
    <w:tmpl w:val="3B76887A"/>
    <w:lvl w:ilvl="0" w:tplc="59A2306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6D98D5C8">
      <w:numFmt w:val="bullet"/>
      <w:lvlText w:val="•"/>
      <w:lvlJc w:val="left"/>
      <w:pPr>
        <w:ind w:left="473" w:hanging="217"/>
      </w:pPr>
      <w:rPr>
        <w:rFonts w:hint="default"/>
        <w:lang w:val="en-GB" w:eastAsia="en-GB" w:bidi="en-GB"/>
      </w:rPr>
    </w:lvl>
    <w:lvl w:ilvl="2" w:tplc="16F87FA8">
      <w:numFmt w:val="bullet"/>
      <w:lvlText w:val="•"/>
      <w:lvlJc w:val="left"/>
      <w:pPr>
        <w:ind w:left="646" w:hanging="217"/>
      </w:pPr>
      <w:rPr>
        <w:rFonts w:hint="default"/>
        <w:lang w:val="en-GB" w:eastAsia="en-GB" w:bidi="en-GB"/>
      </w:rPr>
    </w:lvl>
    <w:lvl w:ilvl="3" w:tplc="EA94E59E">
      <w:numFmt w:val="bullet"/>
      <w:lvlText w:val="•"/>
      <w:lvlJc w:val="left"/>
      <w:pPr>
        <w:ind w:left="819" w:hanging="217"/>
      </w:pPr>
      <w:rPr>
        <w:rFonts w:hint="default"/>
        <w:lang w:val="en-GB" w:eastAsia="en-GB" w:bidi="en-GB"/>
      </w:rPr>
    </w:lvl>
    <w:lvl w:ilvl="4" w:tplc="609E0A7E">
      <w:numFmt w:val="bullet"/>
      <w:lvlText w:val="•"/>
      <w:lvlJc w:val="left"/>
      <w:pPr>
        <w:ind w:left="992" w:hanging="217"/>
      </w:pPr>
      <w:rPr>
        <w:rFonts w:hint="default"/>
        <w:lang w:val="en-GB" w:eastAsia="en-GB" w:bidi="en-GB"/>
      </w:rPr>
    </w:lvl>
    <w:lvl w:ilvl="5" w:tplc="EB40BCC6">
      <w:numFmt w:val="bullet"/>
      <w:lvlText w:val="•"/>
      <w:lvlJc w:val="left"/>
      <w:pPr>
        <w:ind w:left="1165" w:hanging="217"/>
      </w:pPr>
      <w:rPr>
        <w:rFonts w:hint="default"/>
        <w:lang w:val="en-GB" w:eastAsia="en-GB" w:bidi="en-GB"/>
      </w:rPr>
    </w:lvl>
    <w:lvl w:ilvl="6" w:tplc="89FAC21C">
      <w:numFmt w:val="bullet"/>
      <w:lvlText w:val="•"/>
      <w:lvlJc w:val="left"/>
      <w:pPr>
        <w:ind w:left="1338" w:hanging="217"/>
      </w:pPr>
      <w:rPr>
        <w:rFonts w:hint="default"/>
        <w:lang w:val="en-GB" w:eastAsia="en-GB" w:bidi="en-GB"/>
      </w:rPr>
    </w:lvl>
    <w:lvl w:ilvl="7" w:tplc="478A0326">
      <w:numFmt w:val="bullet"/>
      <w:lvlText w:val="•"/>
      <w:lvlJc w:val="left"/>
      <w:pPr>
        <w:ind w:left="1511" w:hanging="217"/>
      </w:pPr>
      <w:rPr>
        <w:rFonts w:hint="default"/>
        <w:lang w:val="en-GB" w:eastAsia="en-GB" w:bidi="en-GB"/>
      </w:rPr>
    </w:lvl>
    <w:lvl w:ilvl="8" w:tplc="41F22F1C">
      <w:numFmt w:val="bullet"/>
      <w:lvlText w:val="•"/>
      <w:lvlJc w:val="left"/>
      <w:pPr>
        <w:ind w:left="1684" w:hanging="217"/>
      </w:pPr>
      <w:rPr>
        <w:rFonts w:hint="default"/>
        <w:lang w:val="en-GB" w:eastAsia="en-GB" w:bidi="en-GB"/>
      </w:rPr>
    </w:lvl>
  </w:abstractNum>
  <w:abstractNum w:abstractNumId="163" w15:restartNumberingAfterBreak="0">
    <w:nsid w:val="0EEB0B89"/>
    <w:multiLevelType w:val="hybridMultilevel"/>
    <w:tmpl w:val="53BEF516"/>
    <w:lvl w:ilvl="0" w:tplc="1416CE46">
      <w:numFmt w:val="bullet"/>
      <w:lvlText w:val="•"/>
      <w:lvlJc w:val="left"/>
      <w:pPr>
        <w:ind w:left="303" w:hanging="217"/>
      </w:pPr>
      <w:rPr>
        <w:rFonts w:ascii="Arial" w:eastAsia="Arial" w:hAnsi="Arial" w:cs="Arial" w:hint="default"/>
        <w:color w:val="231F20"/>
        <w:w w:val="102"/>
        <w:sz w:val="17"/>
        <w:szCs w:val="17"/>
        <w:lang w:val="en-GB" w:eastAsia="en-GB" w:bidi="en-GB"/>
      </w:rPr>
    </w:lvl>
    <w:lvl w:ilvl="1" w:tplc="0A92C044">
      <w:numFmt w:val="bullet"/>
      <w:lvlText w:val="•"/>
      <w:lvlJc w:val="left"/>
      <w:pPr>
        <w:ind w:left="439" w:hanging="217"/>
      </w:pPr>
      <w:rPr>
        <w:rFonts w:hint="default"/>
        <w:lang w:val="en-GB" w:eastAsia="en-GB" w:bidi="en-GB"/>
      </w:rPr>
    </w:lvl>
    <w:lvl w:ilvl="2" w:tplc="8B84EF52">
      <w:numFmt w:val="bullet"/>
      <w:lvlText w:val="•"/>
      <w:lvlJc w:val="left"/>
      <w:pPr>
        <w:ind w:left="578" w:hanging="217"/>
      </w:pPr>
      <w:rPr>
        <w:rFonts w:hint="default"/>
        <w:lang w:val="en-GB" w:eastAsia="en-GB" w:bidi="en-GB"/>
      </w:rPr>
    </w:lvl>
    <w:lvl w:ilvl="3" w:tplc="A82C38CE">
      <w:numFmt w:val="bullet"/>
      <w:lvlText w:val="•"/>
      <w:lvlJc w:val="left"/>
      <w:pPr>
        <w:ind w:left="717" w:hanging="217"/>
      </w:pPr>
      <w:rPr>
        <w:rFonts w:hint="default"/>
        <w:lang w:val="en-GB" w:eastAsia="en-GB" w:bidi="en-GB"/>
      </w:rPr>
    </w:lvl>
    <w:lvl w:ilvl="4" w:tplc="BDB207FE">
      <w:numFmt w:val="bullet"/>
      <w:lvlText w:val="•"/>
      <w:lvlJc w:val="left"/>
      <w:pPr>
        <w:ind w:left="856" w:hanging="217"/>
      </w:pPr>
      <w:rPr>
        <w:rFonts w:hint="default"/>
        <w:lang w:val="en-GB" w:eastAsia="en-GB" w:bidi="en-GB"/>
      </w:rPr>
    </w:lvl>
    <w:lvl w:ilvl="5" w:tplc="EAAA112C">
      <w:numFmt w:val="bullet"/>
      <w:lvlText w:val="•"/>
      <w:lvlJc w:val="left"/>
      <w:pPr>
        <w:ind w:left="995" w:hanging="217"/>
      </w:pPr>
      <w:rPr>
        <w:rFonts w:hint="default"/>
        <w:lang w:val="en-GB" w:eastAsia="en-GB" w:bidi="en-GB"/>
      </w:rPr>
    </w:lvl>
    <w:lvl w:ilvl="6" w:tplc="11DCA482">
      <w:numFmt w:val="bullet"/>
      <w:lvlText w:val="•"/>
      <w:lvlJc w:val="left"/>
      <w:pPr>
        <w:ind w:left="1134" w:hanging="217"/>
      </w:pPr>
      <w:rPr>
        <w:rFonts w:hint="default"/>
        <w:lang w:val="en-GB" w:eastAsia="en-GB" w:bidi="en-GB"/>
      </w:rPr>
    </w:lvl>
    <w:lvl w:ilvl="7" w:tplc="A01CD3BC">
      <w:numFmt w:val="bullet"/>
      <w:lvlText w:val="•"/>
      <w:lvlJc w:val="left"/>
      <w:pPr>
        <w:ind w:left="1273" w:hanging="217"/>
      </w:pPr>
      <w:rPr>
        <w:rFonts w:hint="default"/>
        <w:lang w:val="en-GB" w:eastAsia="en-GB" w:bidi="en-GB"/>
      </w:rPr>
    </w:lvl>
    <w:lvl w:ilvl="8" w:tplc="5DC26DBC">
      <w:numFmt w:val="bullet"/>
      <w:lvlText w:val="•"/>
      <w:lvlJc w:val="left"/>
      <w:pPr>
        <w:ind w:left="1412" w:hanging="217"/>
      </w:pPr>
      <w:rPr>
        <w:rFonts w:hint="default"/>
        <w:lang w:val="en-GB" w:eastAsia="en-GB" w:bidi="en-GB"/>
      </w:rPr>
    </w:lvl>
  </w:abstractNum>
  <w:abstractNum w:abstractNumId="164" w15:restartNumberingAfterBreak="0">
    <w:nsid w:val="0F2C2ECB"/>
    <w:multiLevelType w:val="hybridMultilevel"/>
    <w:tmpl w:val="ADC4D85E"/>
    <w:lvl w:ilvl="0" w:tplc="4CD03B4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1EA776A">
      <w:numFmt w:val="bullet"/>
      <w:lvlText w:val="•"/>
      <w:lvlJc w:val="left"/>
      <w:pPr>
        <w:ind w:left="473" w:hanging="217"/>
      </w:pPr>
      <w:rPr>
        <w:rFonts w:hint="default"/>
        <w:lang w:val="en-GB" w:eastAsia="en-GB" w:bidi="en-GB"/>
      </w:rPr>
    </w:lvl>
    <w:lvl w:ilvl="2" w:tplc="A2120E54">
      <w:numFmt w:val="bullet"/>
      <w:lvlText w:val="•"/>
      <w:lvlJc w:val="left"/>
      <w:pPr>
        <w:ind w:left="646" w:hanging="217"/>
      </w:pPr>
      <w:rPr>
        <w:rFonts w:hint="default"/>
        <w:lang w:val="en-GB" w:eastAsia="en-GB" w:bidi="en-GB"/>
      </w:rPr>
    </w:lvl>
    <w:lvl w:ilvl="3" w:tplc="EB6068FC">
      <w:numFmt w:val="bullet"/>
      <w:lvlText w:val="•"/>
      <w:lvlJc w:val="left"/>
      <w:pPr>
        <w:ind w:left="819" w:hanging="217"/>
      </w:pPr>
      <w:rPr>
        <w:rFonts w:hint="default"/>
        <w:lang w:val="en-GB" w:eastAsia="en-GB" w:bidi="en-GB"/>
      </w:rPr>
    </w:lvl>
    <w:lvl w:ilvl="4" w:tplc="2996E284">
      <w:numFmt w:val="bullet"/>
      <w:lvlText w:val="•"/>
      <w:lvlJc w:val="left"/>
      <w:pPr>
        <w:ind w:left="992" w:hanging="217"/>
      </w:pPr>
      <w:rPr>
        <w:rFonts w:hint="default"/>
        <w:lang w:val="en-GB" w:eastAsia="en-GB" w:bidi="en-GB"/>
      </w:rPr>
    </w:lvl>
    <w:lvl w:ilvl="5" w:tplc="640EF9BC">
      <w:numFmt w:val="bullet"/>
      <w:lvlText w:val="•"/>
      <w:lvlJc w:val="left"/>
      <w:pPr>
        <w:ind w:left="1165" w:hanging="217"/>
      </w:pPr>
      <w:rPr>
        <w:rFonts w:hint="default"/>
        <w:lang w:val="en-GB" w:eastAsia="en-GB" w:bidi="en-GB"/>
      </w:rPr>
    </w:lvl>
    <w:lvl w:ilvl="6" w:tplc="58901930">
      <w:numFmt w:val="bullet"/>
      <w:lvlText w:val="•"/>
      <w:lvlJc w:val="left"/>
      <w:pPr>
        <w:ind w:left="1338" w:hanging="217"/>
      </w:pPr>
      <w:rPr>
        <w:rFonts w:hint="default"/>
        <w:lang w:val="en-GB" w:eastAsia="en-GB" w:bidi="en-GB"/>
      </w:rPr>
    </w:lvl>
    <w:lvl w:ilvl="7" w:tplc="9BAC879C">
      <w:numFmt w:val="bullet"/>
      <w:lvlText w:val="•"/>
      <w:lvlJc w:val="left"/>
      <w:pPr>
        <w:ind w:left="1511" w:hanging="217"/>
      </w:pPr>
      <w:rPr>
        <w:rFonts w:hint="default"/>
        <w:lang w:val="en-GB" w:eastAsia="en-GB" w:bidi="en-GB"/>
      </w:rPr>
    </w:lvl>
    <w:lvl w:ilvl="8" w:tplc="05365C64">
      <w:numFmt w:val="bullet"/>
      <w:lvlText w:val="•"/>
      <w:lvlJc w:val="left"/>
      <w:pPr>
        <w:ind w:left="1684" w:hanging="217"/>
      </w:pPr>
      <w:rPr>
        <w:rFonts w:hint="default"/>
        <w:lang w:val="en-GB" w:eastAsia="en-GB" w:bidi="en-GB"/>
      </w:rPr>
    </w:lvl>
  </w:abstractNum>
  <w:abstractNum w:abstractNumId="165" w15:restartNumberingAfterBreak="0">
    <w:nsid w:val="0F4210C6"/>
    <w:multiLevelType w:val="hybridMultilevel"/>
    <w:tmpl w:val="4A5E8798"/>
    <w:lvl w:ilvl="0" w:tplc="55BA27B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B9E0616">
      <w:numFmt w:val="bullet"/>
      <w:lvlText w:val="•"/>
      <w:lvlJc w:val="left"/>
      <w:pPr>
        <w:ind w:left="439" w:hanging="217"/>
      </w:pPr>
      <w:rPr>
        <w:rFonts w:hint="default"/>
        <w:lang w:val="en-GB" w:eastAsia="en-GB" w:bidi="en-GB"/>
      </w:rPr>
    </w:lvl>
    <w:lvl w:ilvl="2" w:tplc="C9D8F57A">
      <w:numFmt w:val="bullet"/>
      <w:lvlText w:val="•"/>
      <w:lvlJc w:val="left"/>
      <w:pPr>
        <w:ind w:left="578" w:hanging="217"/>
      </w:pPr>
      <w:rPr>
        <w:rFonts w:hint="default"/>
        <w:lang w:val="en-GB" w:eastAsia="en-GB" w:bidi="en-GB"/>
      </w:rPr>
    </w:lvl>
    <w:lvl w:ilvl="3" w:tplc="CF2ED7DC">
      <w:numFmt w:val="bullet"/>
      <w:lvlText w:val="•"/>
      <w:lvlJc w:val="left"/>
      <w:pPr>
        <w:ind w:left="717" w:hanging="217"/>
      </w:pPr>
      <w:rPr>
        <w:rFonts w:hint="default"/>
        <w:lang w:val="en-GB" w:eastAsia="en-GB" w:bidi="en-GB"/>
      </w:rPr>
    </w:lvl>
    <w:lvl w:ilvl="4" w:tplc="C194BF48">
      <w:numFmt w:val="bullet"/>
      <w:lvlText w:val="•"/>
      <w:lvlJc w:val="left"/>
      <w:pPr>
        <w:ind w:left="856" w:hanging="217"/>
      </w:pPr>
      <w:rPr>
        <w:rFonts w:hint="default"/>
        <w:lang w:val="en-GB" w:eastAsia="en-GB" w:bidi="en-GB"/>
      </w:rPr>
    </w:lvl>
    <w:lvl w:ilvl="5" w:tplc="C3263060">
      <w:numFmt w:val="bullet"/>
      <w:lvlText w:val="•"/>
      <w:lvlJc w:val="left"/>
      <w:pPr>
        <w:ind w:left="995" w:hanging="217"/>
      </w:pPr>
      <w:rPr>
        <w:rFonts w:hint="default"/>
        <w:lang w:val="en-GB" w:eastAsia="en-GB" w:bidi="en-GB"/>
      </w:rPr>
    </w:lvl>
    <w:lvl w:ilvl="6" w:tplc="47CA740A">
      <w:numFmt w:val="bullet"/>
      <w:lvlText w:val="•"/>
      <w:lvlJc w:val="left"/>
      <w:pPr>
        <w:ind w:left="1134" w:hanging="217"/>
      </w:pPr>
      <w:rPr>
        <w:rFonts w:hint="default"/>
        <w:lang w:val="en-GB" w:eastAsia="en-GB" w:bidi="en-GB"/>
      </w:rPr>
    </w:lvl>
    <w:lvl w:ilvl="7" w:tplc="2370C34C">
      <w:numFmt w:val="bullet"/>
      <w:lvlText w:val="•"/>
      <w:lvlJc w:val="left"/>
      <w:pPr>
        <w:ind w:left="1273" w:hanging="217"/>
      </w:pPr>
      <w:rPr>
        <w:rFonts w:hint="default"/>
        <w:lang w:val="en-GB" w:eastAsia="en-GB" w:bidi="en-GB"/>
      </w:rPr>
    </w:lvl>
    <w:lvl w:ilvl="8" w:tplc="DBA84F0A">
      <w:numFmt w:val="bullet"/>
      <w:lvlText w:val="•"/>
      <w:lvlJc w:val="left"/>
      <w:pPr>
        <w:ind w:left="1412" w:hanging="217"/>
      </w:pPr>
      <w:rPr>
        <w:rFonts w:hint="default"/>
        <w:lang w:val="en-GB" w:eastAsia="en-GB" w:bidi="en-GB"/>
      </w:rPr>
    </w:lvl>
  </w:abstractNum>
  <w:abstractNum w:abstractNumId="166" w15:restartNumberingAfterBreak="0">
    <w:nsid w:val="0F432189"/>
    <w:multiLevelType w:val="hybridMultilevel"/>
    <w:tmpl w:val="5C908598"/>
    <w:lvl w:ilvl="0" w:tplc="96F6FC30">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5F862ACE">
      <w:numFmt w:val="bullet"/>
      <w:lvlText w:val="•"/>
      <w:lvlJc w:val="left"/>
      <w:pPr>
        <w:ind w:left="892" w:hanging="217"/>
      </w:pPr>
      <w:rPr>
        <w:rFonts w:hint="default"/>
        <w:lang w:val="en-GB" w:eastAsia="en-GB" w:bidi="en-GB"/>
      </w:rPr>
    </w:lvl>
    <w:lvl w:ilvl="2" w:tplc="A880C11E">
      <w:numFmt w:val="bullet"/>
      <w:lvlText w:val="•"/>
      <w:lvlJc w:val="left"/>
      <w:pPr>
        <w:ind w:left="1485" w:hanging="217"/>
      </w:pPr>
      <w:rPr>
        <w:rFonts w:hint="default"/>
        <w:lang w:val="en-GB" w:eastAsia="en-GB" w:bidi="en-GB"/>
      </w:rPr>
    </w:lvl>
    <w:lvl w:ilvl="3" w:tplc="541288FC">
      <w:numFmt w:val="bullet"/>
      <w:lvlText w:val="•"/>
      <w:lvlJc w:val="left"/>
      <w:pPr>
        <w:ind w:left="2077" w:hanging="217"/>
      </w:pPr>
      <w:rPr>
        <w:rFonts w:hint="default"/>
        <w:lang w:val="en-GB" w:eastAsia="en-GB" w:bidi="en-GB"/>
      </w:rPr>
    </w:lvl>
    <w:lvl w:ilvl="4" w:tplc="AEAEDCD2">
      <w:numFmt w:val="bullet"/>
      <w:lvlText w:val="•"/>
      <w:lvlJc w:val="left"/>
      <w:pPr>
        <w:ind w:left="2670" w:hanging="217"/>
      </w:pPr>
      <w:rPr>
        <w:rFonts w:hint="default"/>
        <w:lang w:val="en-GB" w:eastAsia="en-GB" w:bidi="en-GB"/>
      </w:rPr>
    </w:lvl>
    <w:lvl w:ilvl="5" w:tplc="EC82D32C">
      <w:numFmt w:val="bullet"/>
      <w:lvlText w:val="•"/>
      <w:lvlJc w:val="left"/>
      <w:pPr>
        <w:ind w:left="3263" w:hanging="217"/>
      </w:pPr>
      <w:rPr>
        <w:rFonts w:hint="default"/>
        <w:lang w:val="en-GB" w:eastAsia="en-GB" w:bidi="en-GB"/>
      </w:rPr>
    </w:lvl>
    <w:lvl w:ilvl="6" w:tplc="C29C740E">
      <w:numFmt w:val="bullet"/>
      <w:lvlText w:val="•"/>
      <w:lvlJc w:val="left"/>
      <w:pPr>
        <w:ind w:left="3855" w:hanging="217"/>
      </w:pPr>
      <w:rPr>
        <w:rFonts w:hint="default"/>
        <w:lang w:val="en-GB" w:eastAsia="en-GB" w:bidi="en-GB"/>
      </w:rPr>
    </w:lvl>
    <w:lvl w:ilvl="7" w:tplc="D90E70BA">
      <w:numFmt w:val="bullet"/>
      <w:lvlText w:val="•"/>
      <w:lvlJc w:val="left"/>
      <w:pPr>
        <w:ind w:left="4448" w:hanging="217"/>
      </w:pPr>
      <w:rPr>
        <w:rFonts w:hint="default"/>
        <w:lang w:val="en-GB" w:eastAsia="en-GB" w:bidi="en-GB"/>
      </w:rPr>
    </w:lvl>
    <w:lvl w:ilvl="8" w:tplc="3028F298">
      <w:numFmt w:val="bullet"/>
      <w:lvlText w:val="•"/>
      <w:lvlJc w:val="left"/>
      <w:pPr>
        <w:ind w:left="5040" w:hanging="217"/>
      </w:pPr>
      <w:rPr>
        <w:rFonts w:hint="default"/>
        <w:lang w:val="en-GB" w:eastAsia="en-GB" w:bidi="en-GB"/>
      </w:rPr>
    </w:lvl>
  </w:abstractNum>
  <w:abstractNum w:abstractNumId="167" w15:restartNumberingAfterBreak="0">
    <w:nsid w:val="0F4A3F8A"/>
    <w:multiLevelType w:val="hybridMultilevel"/>
    <w:tmpl w:val="98547B20"/>
    <w:lvl w:ilvl="0" w:tplc="21C0119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3E4524A">
      <w:numFmt w:val="bullet"/>
      <w:lvlText w:val="•"/>
      <w:lvlJc w:val="left"/>
      <w:pPr>
        <w:ind w:left="439" w:hanging="217"/>
      </w:pPr>
      <w:rPr>
        <w:rFonts w:hint="default"/>
        <w:lang w:val="en-GB" w:eastAsia="en-GB" w:bidi="en-GB"/>
      </w:rPr>
    </w:lvl>
    <w:lvl w:ilvl="2" w:tplc="3A204642">
      <w:numFmt w:val="bullet"/>
      <w:lvlText w:val="•"/>
      <w:lvlJc w:val="left"/>
      <w:pPr>
        <w:ind w:left="578" w:hanging="217"/>
      </w:pPr>
      <w:rPr>
        <w:rFonts w:hint="default"/>
        <w:lang w:val="en-GB" w:eastAsia="en-GB" w:bidi="en-GB"/>
      </w:rPr>
    </w:lvl>
    <w:lvl w:ilvl="3" w:tplc="AA88B77C">
      <w:numFmt w:val="bullet"/>
      <w:lvlText w:val="•"/>
      <w:lvlJc w:val="left"/>
      <w:pPr>
        <w:ind w:left="717" w:hanging="217"/>
      </w:pPr>
      <w:rPr>
        <w:rFonts w:hint="default"/>
        <w:lang w:val="en-GB" w:eastAsia="en-GB" w:bidi="en-GB"/>
      </w:rPr>
    </w:lvl>
    <w:lvl w:ilvl="4" w:tplc="9B40953C">
      <w:numFmt w:val="bullet"/>
      <w:lvlText w:val="•"/>
      <w:lvlJc w:val="left"/>
      <w:pPr>
        <w:ind w:left="856" w:hanging="217"/>
      </w:pPr>
      <w:rPr>
        <w:rFonts w:hint="default"/>
        <w:lang w:val="en-GB" w:eastAsia="en-GB" w:bidi="en-GB"/>
      </w:rPr>
    </w:lvl>
    <w:lvl w:ilvl="5" w:tplc="84F6473A">
      <w:numFmt w:val="bullet"/>
      <w:lvlText w:val="•"/>
      <w:lvlJc w:val="left"/>
      <w:pPr>
        <w:ind w:left="995" w:hanging="217"/>
      </w:pPr>
      <w:rPr>
        <w:rFonts w:hint="default"/>
        <w:lang w:val="en-GB" w:eastAsia="en-GB" w:bidi="en-GB"/>
      </w:rPr>
    </w:lvl>
    <w:lvl w:ilvl="6" w:tplc="E09C4ACE">
      <w:numFmt w:val="bullet"/>
      <w:lvlText w:val="•"/>
      <w:lvlJc w:val="left"/>
      <w:pPr>
        <w:ind w:left="1134" w:hanging="217"/>
      </w:pPr>
      <w:rPr>
        <w:rFonts w:hint="default"/>
        <w:lang w:val="en-GB" w:eastAsia="en-GB" w:bidi="en-GB"/>
      </w:rPr>
    </w:lvl>
    <w:lvl w:ilvl="7" w:tplc="3C7819FA">
      <w:numFmt w:val="bullet"/>
      <w:lvlText w:val="•"/>
      <w:lvlJc w:val="left"/>
      <w:pPr>
        <w:ind w:left="1273" w:hanging="217"/>
      </w:pPr>
      <w:rPr>
        <w:rFonts w:hint="default"/>
        <w:lang w:val="en-GB" w:eastAsia="en-GB" w:bidi="en-GB"/>
      </w:rPr>
    </w:lvl>
    <w:lvl w:ilvl="8" w:tplc="F15A91B6">
      <w:numFmt w:val="bullet"/>
      <w:lvlText w:val="•"/>
      <w:lvlJc w:val="left"/>
      <w:pPr>
        <w:ind w:left="1412" w:hanging="217"/>
      </w:pPr>
      <w:rPr>
        <w:rFonts w:hint="default"/>
        <w:lang w:val="en-GB" w:eastAsia="en-GB" w:bidi="en-GB"/>
      </w:rPr>
    </w:lvl>
  </w:abstractNum>
  <w:abstractNum w:abstractNumId="168" w15:restartNumberingAfterBreak="0">
    <w:nsid w:val="0FA60674"/>
    <w:multiLevelType w:val="hybridMultilevel"/>
    <w:tmpl w:val="803264C2"/>
    <w:lvl w:ilvl="0" w:tplc="D5BAE5D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BA4FB22">
      <w:numFmt w:val="bullet"/>
      <w:lvlText w:val="•"/>
      <w:lvlJc w:val="left"/>
      <w:pPr>
        <w:ind w:left="473" w:hanging="217"/>
      </w:pPr>
      <w:rPr>
        <w:rFonts w:hint="default"/>
        <w:lang w:val="en-GB" w:eastAsia="en-GB" w:bidi="en-GB"/>
      </w:rPr>
    </w:lvl>
    <w:lvl w:ilvl="2" w:tplc="D90C43DC">
      <w:numFmt w:val="bullet"/>
      <w:lvlText w:val="•"/>
      <w:lvlJc w:val="left"/>
      <w:pPr>
        <w:ind w:left="646" w:hanging="217"/>
      </w:pPr>
      <w:rPr>
        <w:rFonts w:hint="default"/>
        <w:lang w:val="en-GB" w:eastAsia="en-GB" w:bidi="en-GB"/>
      </w:rPr>
    </w:lvl>
    <w:lvl w:ilvl="3" w:tplc="BD16849C">
      <w:numFmt w:val="bullet"/>
      <w:lvlText w:val="•"/>
      <w:lvlJc w:val="left"/>
      <w:pPr>
        <w:ind w:left="819" w:hanging="217"/>
      </w:pPr>
      <w:rPr>
        <w:rFonts w:hint="default"/>
        <w:lang w:val="en-GB" w:eastAsia="en-GB" w:bidi="en-GB"/>
      </w:rPr>
    </w:lvl>
    <w:lvl w:ilvl="4" w:tplc="F2D81394">
      <w:numFmt w:val="bullet"/>
      <w:lvlText w:val="•"/>
      <w:lvlJc w:val="left"/>
      <w:pPr>
        <w:ind w:left="992" w:hanging="217"/>
      </w:pPr>
      <w:rPr>
        <w:rFonts w:hint="default"/>
        <w:lang w:val="en-GB" w:eastAsia="en-GB" w:bidi="en-GB"/>
      </w:rPr>
    </w:lvl>
    <w:lvl w:ilvl="5" w:tplc="73502D82">
      <w:numFmt w:val="bullet"/>
      <w:lvlText w:val="•"/>
      <w:lvlJc w:val="left"/>
      <w:pPr>
        <w:ind w:left="1165" w:hanging="217"/>
      </w:pPr>
      <w:rPr>
        <w:rFonts w:hint="default"/>
        <w:lang w:val="en-GB" w:eastAsia="en-GB" w:bidi="en-GB"/>
      </w:rPr>
    </w:lvl>
    <w:lvl w:ilvl="6" w:tplc="5582F676">
      <w:numFmt w:val="bullet"/>
      <w:lvlText w:val="•"/>
      <w:lvlJc w:val="left"/>
      <w:pPr>
        <w:ind w:left="1338" w:hanging="217"/>
      </w:pPr>
      <w:rPr>
        <w:rFonts w:hint="default"/>
        <w:lang w:val="en-GB" w:eastAsia="en-GB" w:bidi="en-GB"/>
      </w:rPr>
    </w:lvl>
    <w:lvl w:ilvl="7" w:tplc="D172BAFC">
      <w:numFmt w:val="bullet"/>
      <w:lvlText w:val="•"/>
      <w:lvlJc w:val="left"/>
      <w:pPr>
        <w:ind w:left="1511" w:hanging="217"/>
      </w:pPr>
      <w:rPr>
        <w:rFonts w:hint="default"/>
        <w:lang w:val="en-GB" w:eastAsia="en-GB" w:bidi="en-GB"/>
      </w:rPr>
    </w:lvl>
    <w:lvl w:ilvl="8" w:tplc="E7D20624">
      <w:numFmt w:val="bullet"/>
      <w:lvlText w:val="•"/>
      <w:lvlJc w:val="left"/>
      <w:pPr>
        <w:ind w:left="1684" w:hanging="217"/>
      </w:pPr>
      <w:rPr>
        <w:rFonts w:hint="default"/>
        <w:lang w:val="en-GB" w:eastAsia="en-GB" w:bidi="en-GB"/>
      </w:rPr>
    </w:lvl>
  </w:abstractNum>
  <w:abstractNum w:abstractNumId="169" w15:restartNumberingAfterBreak="0">
    <w:nsid w:val="0FBE2F41"/>
    <w:multiLevelType w:val="hybridMultilevel"/>
    <w:tmpl w:val="355C8650"/>
    <w:lvl w:ilvl="0" w:tplc="0E4AB21E">
      <w:numFmt w:val="bullet"/>
      <w:lvlText w:val="•"/>
      <w:lvlJc w:val="left"/>
      <w:pPr>
        <w:ind w:left="304" w:hanging="217"/>
      </w:pPr>
      <w:rPr>
        <w:rFonts w:ascii="Arial" w:eastAsia="Arial" w:hAnsi="Arial" w:cs="Arial" w:hint="default"/>
        <w:color w:val="231F20"/>
        <w:w w:val="100"/>
        <w:sz w:val="18"/>
        <w:szCs w:val="18"/>
        <w:lang w:val="en-GB" w:eastAsia="en-GB" w:bidi="en-GB"/>
      </w:rPr>
    </w:lvl>
    <w:lvl w:ilvl="1" w:tplc="A0E03610">
      <w:numFmt w:val="bullet"/>
      <w:lvlText w:val="•"/>
      <w:lvlJc w:val="left"/>
      <w:pPr>
        <w:ind w:left="544" w:hanging="217"/>
      </w:pPr>
      <w:rPr>
        <w:rFonts w:hint="default"/>
        <w:lang w:val="en-GB" w:eastAsia="en-GB" w:bidi="en-GB"/>
      </w:rPr>
    </w:lvl>
    <w:lvl w:ilvl="2" w:tplc="56E0260A">
      <w:numFmt w:val="bullet"/>
      <w:lvlText w:val="•"/>
      <w:lvlJc w:val="left"/>
      <w:pPr>
        <w:ind w:left="788" w:hanging="217"/>
      </w:pPr>
      <w:rPr>
        <w:rFonts w:hint="default"/>
        <w:lang w:val="en-GB" w:eastAsia="en-GB" w:bidi="en-GB"/>
      </w:rPr>
    </w:lvl>
    <w:lvl w:ilvl="3" w:tplc="A9603CB2">
      <w:numFmt w:val="bullet"/>
      <w:lvlText w:val="•"/>
      <w:lvlJc w:val="left"/>
      <w:pPr>
        <w:ind w:left="1032" w:hanging="217"/>
      </w:pPr>
      <w:rPr>
        <w:rFonts w:hint="default"/>
        <w:lang w:val="en-GB" w:eastAsia="en-GB" w:bidi="en-GB"/>
      </w:rPr>
    </w:lvl>
    <w:lvl w:ilvl="4" w:tplc="FA0E8AF4">
      <w:numFmt w:val="bullet"/>
      <w:lvlText w:val="•"/>
      <w:lvlJc w:val="left"/>
      <w:pPr>
        <w:ind w:left="1276" w:hanging="217"/>
      </w:pPr>
      <w:rPr>
        <w:rFonts w:hint="default"/>
        <w:lang w:val="en-GB" w:eastAsia="en-GB" w:bidi="en-GB"/>
      </w:rPr>
    </w:lvl>
    <w:lvl w:ilvl="5" w:tplc="442A5E2A">
      <w:numFmt w:val="bullet"/>
      <w:lvlText w:val="•"/>
      <w:lvlJc w:val="left"/>
      <w:pPr>
        <w:ind w:left="1520" w:hanging="217"/>
      </w:pPr>
      <w:rPr>
        <w:rFonts w:hint="default"/>
        <w:lang w:val="en-GB" w:eastAsia="en-GB" w:bidi="en-GB"/>
      </w:rPr>
    </w:lvl>
    <w:lvl w:ilvl="6" w:tplc="FB906A30">
      <w:numFmt w:val="bullet"/>
      <w:lvlText w:val="•"/>
      <w:lvlJc w:val="left"/>
      <w:pPr>
        <w:ind w:left="1764" w:hanging="217"/>
      </w:pPr>
      <w:rPr>
        <w:rFonts w:hint="default"/>
        <w:lang w:val="en-GB" w:eastAsia="en-GB" w:bidi="en-GB"/>
      </w:rPr>
    </w:lvl>
    <w:lvl w:ilvl="7" w:tplc="39F836A8">
      <w:numFmt w:val="bullet"/>
      <w:lvlText w:val="•"/>
      <w:lvlJc w:val="left"/>
      <w:pPr>
        <w:ind w:left="2008" w:hanging="217"/>
      </w:pPr>
      <w:rPr>
        <w:rFonts w:hint="default"/>
        <w:lang w:val="en-GB" w:eastAsia="en-GB" w:bidi="en-GB"/>
      </w:rPr>
    </w:lvl>
    <w:lvl w:ilvl="8" w:tplc="136A43C8">
      <w:numFmt w:val="bullet"/>
      <w:lvlText w:val="•"/>
      <w:lvlJc w:val="left"/>
      <w:pPr>
        <w:ind w:left="2252" w:hanging="217"/>
      </w:pPr>
      <w:rPr>
        <w:rFonts w:hint="default"/>
        <w:lang w:val="en-GB" w:eastAsia="en-GB" w:bidi="en-GB"/>
      </w:rPr>
    </w:lvl>
  </w:abstractNum>
  <w:abstractNum w:abstractNumId="170" w15:restartNumberingAfterBreak="0">
    <w:nsid w:val="0FBF403F"/>
    <w:multiLevelType w:val="hybridMultilevel"/>
    <w:tmpl w:val="CFF6B472"/>
    <w:lvl w:ilvl="0" w:tplc="29C255F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1E49E0A">
      <w:numFmt w:val="bullet"/>
      <w:lvlText w:val="•"/>
      <w:lvlJc w:val="left"/>
      <w:pPr>
        <w:ind w:left="444" w:hanging="217"/>
      </w:pPr>
      <w:rPr>
        <w:rFonts w:hint="default"/>
        <w:lang w:val="en-GB" w:eastAsia="en-GB" w:bidi="en-GB"/>
      </w:rPr>
    </w:lvl>
    <w:lvl w:ilvl="2" w:tplc="6428C52E">
      <w:numFmt w:val="bullet"/>
      <w:lvlText w:val="•"/>
      <w:lvlJc w:val="left"/>
      <w:pPr>
        <w:ind w:left="589" w:hanging="217"/>
      </w:pPr>
      <w:rPr>
        <w:rFonts w:hint="default"/>
        <w:lang w:val="en-GB" w:eastAsia="en-GB" w:bidi="en-GB"/>
      </w:rPr>
    </w:lvl>
    <w:lvl w:ilvl="3" w:tplc="F0CA12DA">
      <w:numFmt w:val="bullet"/>
      <w:lvlText w:val="•"/>
      <w:lvlJc w:val="left"/>
      <w:pPr>
        <w:ind w:left="734" w:hanging="217"/>
      </w:pPr>
      <w:rPr>
        <w:rFonts w:hint="default"/>
        <w:lang w:val="en-GB" w:eastAsia="en-GB" w:bidi="en-GB"/>
      </w:rPr>
    </w:lvl>
    <w:lvl w:ilvl="4" w:tplc="AC7EE0C6">
      <w:numFmt w:val="bullet"/>
      <w:lvlText w:val="•"/>
      <w:lvlJc w:val="left"/>
      <w:pPr>
        <w:ind w:left="878" w:hanging="217"/>
      </w:pPr>
      <w:rPr>
        <w:rFonts w:hint="default"/>
        <w:lang w:val="en-GB" w:eastAsia="en-GB" w:bidi="en-GB"/>
      </w:rPr>
    </w:lvl>
    <w:lvl w:ilvl="5" w:tplc="B16CECA4">
      <w:numFmt w:val="bullet"/>
      <w:lvlText w:val="•"/>
      <w:lvlJc w:val="left"/>
      <w:pPr>
        <w:ind w:left="1023" w:hanging="217"/>
      </w:pPr>
      <w:rPr>
        <w:rFonts w:hint="default"/>
        <w:lang w:val="en-GB" w:eastAsia="en-GB" w:bidi="en-GB"/>
      </w:rPr>
    </w:lvl>
    <w:lvl w:ilvl="6" w:tplc="108E7E74">
      <w:numFmt w:val="bullet"/>
      <w:lvlText w:val="•"/>
      <w:lvlJc w:val="left"/>
      <w:pPr>
        <w:ind w:left="1168" w:hanging="217"/>
      </w:pPr>
      <w:rPr>
        <w:rFonts w:hint="default"/>
        <w:lang w:val="en-GB" w:eastAsia="en-GB" w:bidi="en-GB"/>
      </w:rPr>
    </w:lvl>
    <w:lvl w:ilvl="7" w:tplc="B27A795E">
      <w:numFmt w:val="bullet"/>
      <w:lvlText w:val="•"/>
      <w:lvlJc w:val="left"/>
      <w:pPr>
        <w:ind w:left="1312" w:hanging="217"/>
      </w:pPr>
      <w:rPr>
        <w:rFonts w:hint="default"/>
        <w:lang w:val="en-GB" w:eastAsia="en-GB" w:bidi="en-GB"/>
      </w:rPr>
    </w:lvl>
    <w:lvl w:ilvl="8" w:tplc="79AAF5E2">
      <w:numFmt w:val="bullet"/>
      <w:lvlText w:val="•"/>
      <w:lvlJc w:val="left"/>
      <w:pPr>
        <w:ind w:left="1457" w:hanging="217"/>
      </w:pPr>
      <w:rPr>
        <w:rFonts w:hint="default"/>
        <w:lang w:val="en-GB" w:eastAsia="en-GB" w:bidi="en-GB"/>
      </w:rPr>
    </w:lvl>
  </w:abstractNum>
  <w:abstractNum w:abstractNumId="171" w15:restartNumberingAfterBreak="0">
    <w:nsid w:val="0FD34F2C"/>
    <w:multiLevelType w:val="hybridMultilevel"/>
    <w:tmpl w:val="0DAAB216"/>
    <w:lvl w:ilvl="0" w:tplc="8314FE60">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5C18970C">
      <w:numFmt w:val="bullet"/>
      <w:lvlText w:val="•"/>
      <w:lvlJc w:val="left"/>
      <w:pPr>
        <w:ind w:left="473" w:hanging="217"/>
      </w:pPr>
      <w:rPr>
        <w:rFonts w:hint="default"/>
        <w:lang w:val="en-GB" w:eastAsia="en-GB" w:bidi="en-GB"/>
      </w:rPr>
    </w:lvl>
    <w:lvl w:ilvl="2" w:tplc="1E92387A">
      <w:numFmt w:val="bullet"/>
      <w:lvlText w:val="•"/>
      <w:lvlJc w:val="left"/>
      <w:pPr>
        <w:ind w:left="646" w:hanging="217"/>
      </w:pPr>
      <w:rPr>
        <w:rFonts w:hint="default"/>
        <w:lang w:val="en-GB" w:eastAsia="en-GB" w:bidi="en-GB"/>
      </w:rPr>
    </w:lvl>
    <w:lvl w:ilvl="3" w:tplc="F98E7058">
      <w:numFmt w:val="bullet"/>
      <w:lvlText w:val="•"/>
      <w:lvlJc w:val="left"/>
      <w:pPr>
        <w:ind w:left="819" w:hanging="217"/>
      </w:pPr>
      <w:rPr>
        <w:rFonts w:hint="default"/>
        <w:lang w:val="en-GB" w:eastAsia="en-GB" w:bidi="en-GB"/>
      </w:rPr>
    </w:lvl>
    <w:lvl w:ilvl="4" w:tplc="7E6A205E">
      <w:numFmt w:val="bullet"/>
      <w:lvlText w:val="•"/>
      <w:lvlJc w:val="left"/>
      <w:pPr>
        <w:ind w:left="992" w:hanging="217"/>
      </w:pPr>
      <w:rPr>
        <w:rFonts w:hint="default"/>
        <w:lang w:val="en-GB" w:eastAsia="en-GB" w:bidi="en-GB"/>
      </w:rPr>
    </w:lvl>
    <w:lvl w:ilvl="5" w:tplc="2508EDCA">
      <w:numFmt w:val="bullet"/>
      <w:lvlText w:val="•"/>
      <w:lvlJc w:val="left"/>
      <w:pPr>
        <w:ind w:left="1165" w:hanging="217"/>
      </w:pPr>
      <w:rPr>
        <w:rFonts w:hint="default"/>
        <w:lang w:val="en-GB" w:eastAsia="en-GB" w:bidi="en-GB"/>
      </w:rPr>
    </w:lvl>
    <w:lvl w:ilvl="6" w:tplc="FEA47984">
      <w:numFmt w:val="bullet"/>
      <w:lvlText w:val="•"/>
      <w:lvlJc w:val="left"/>
      <w:pPr>
        <w:ind w:left="1338" w:hanging="217"/>
      </w:pPr>
      <w:rPr>
        <w:rFonts w:hint="default"/>
        <w:lang w:val="en-GB" w:eastAsia="en-GB" w:bidi="en-GB"/>
      </w:rPr>
    </w:lvl>
    <w:lvl w:ilvl="7" w:tplc="38B4D344">
      <w:numFmt w:val="bullet"/>
      <w:lvlText w:val="•"/>
      <w:lvlJc w:val="left"/>
      <w:pPr>
        <w:ind w:left="1511" w:hanging="217"/>
      </w:pPr>
      <w:rPr>
        <w:rFonts w:hint="default"/>
        <w:lang w:val="en-GB" w:eastAsia="en-GB" w:bidi="en-GB"/>
      </w:rPr>
    </w:lvl>
    <w:lvl w:ilvl="8" w:tplc="66CAEDC8">
      <w:numFmt w:val="bullet"/>
      <w:lvlText w:val="•"/>
      <w:lvlJc w:val="left"/>
      <w:pPr>
        <w:ind w:left="1684" w:hanging="217"/>
      </w:pPr>
      <w:rPr>
        <w:rFonts w:hint="default"/>
        <w:lang w:val="en-GB" w:eastAsia="en-GB" w:bidi="en-GB"/>
      </w:rPr>
    </w:lvl>
  </w:abstractNum>
  <w:abstractNum w:abstractNumId="172" w15:restartNumberingAfterBreak="0">
    <w:nsid w:val="0FD92F20"/>
    <w:multiLevelType w:val="hybridMultilevel"/>
    <w:tmpl w:val="19B0B8CA"/>
    <w:lvl w:ilvl="0" w:tplc="BA9EF54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DA2F202">
      <w:numFmt w:val="bullet"/>
      <w:lvlText w:val="•"/>
      <w:lvlJc w:val="left"/>
      <w:pPr>
        <w:ind w:left="439" w:hanging="217"/>
      </w:pPr>
      <w:rPr>
        <w:rFonts w:hint="default"/>
        <w:lang w:val="en-GB" w:eastAsia="en-GB" w:bidi="en-GB"/>
      </w:rPr>
    </w:lvl>
    <w:lvl w:ilvl="2" w:tplc="B93A5BD4">
      <w:numFmt w:val="bullet"/>
      <w:lvlText w:val="•"/>
      <w:lvlJc w:val="left"/>
      <w:pPr>
        <w:ind w:left="578" w:hanging="217"/>
      </w:pPr>
      <w:rPr>
        <w:rFonts w:hint="default"/>
        <w:lang w:val="en-GB" w:eastAsia="en-GB" w:bidi="en-GB"/>
      </w:rPr>
    </w:lvl>
    <w:lvl w:ilvl="3" w:tplc="475ABD1E">
      <w:numFmt w:val="bullet"/>
      <w:lvlText w:val="•"/>
      <w:lvlJc w:val="left"/>
      <w:pPr>
        <w:ind w:left="717" w:hanging="217"/>
      </w:pPr>
      <w:rPr>
        <w:rFonts w:hint="default"/>
        <w:lang w:val="en-GB" w:eastAsia="en-GB" w:bidi="en-GB"/>
      </w:rPr>
    </w:lvl>
    <w:lvl w:ilvl="4" w:tplc="CE28890A">
      <w:numFmt w:val="bullet"/>
      <w:lvlText w:val="•"/>
      <w:lvlJc w:val="left"/>
      <w:pPr>
        <w:ind w:left="856" w:hanging="217"/>
      </w:pPr>
      <w:rPr>
        <w:rFonts w:hint="default"/>
        <w:lang w:val="en-GB" w:eastAsia="en-GB" w:bidi="en-GB"/>
      </w:rPr>
    </w:lvl>
    <w:lvl w:ilvl="5" w:tplc="B4B05678">
      <w:numFmt w:val="bullet"/>
      <w:lvlText w:val="•"/>
      <w:lvlJc w:val="left"/>
      <w:pPr>
        <w:ind w:left="995" w:hanging="217"/>
      </w:pPr>
      <w:rPr>
        <w:rFonts w:hint="default"/>
        <w:lang w:val="en-GB" w:eastAsia="en-GB" w:bidi="en-GB"/>
      </w:rPr>
    </w:lvl>
    <w:lvl w:ilvl="6" w:tplc="CDB081F0">
      <w:numFmt w:val="bullet"/>
      <w:lvlText w:val="•"/>
      <w:lvlJc w:val="left"/>
      <w:pPr>
        <w:ind w:left="1134" w:hanging="217"/>
      </w:pPr>
      <w:rPr>
        <w:rFonts w:hint="default"/>
        <w:lang w:val="en-GB" w:eastAsia="en-GB" w:bidi="en-GB"/>
      </w:rPr>
    </w:lvl>
    <w:lvl w:ilvl="7" w:tplc="79CAB4DE">
      <w:numFmt w:val="bullet"/>
      <w:lvlText w:val="•"/>
      <w:lvlJc w:val="left"/>
      <w:pPr>
        <w:ind w:left="1273" w:hanging="217"/>
      </w:pPr>
      <w:rPr>
        <w:rFonts w:hint="default"/>
        <w:lang w:val="en-GB" w:eastAsia="en-GB" w:bidi="en-GB"/>
      </w:rPr>
    </w:lvl>
    <w:lvl w:ilvl="8" w:tplc="420C2236">
      <w:numFmt w:val="bullet"/>
      <w:lvlText w:val="•"/>
      <w:lvlJc w:val="left"/>
      <w:pPr>
        <w:ind w:left="1412" w:hanging="217"/>
      </w:pPr>
      <w:rPr>
        <w:rFonts w:hint="default"/>
        <w:lang w:val="en-GB" w:eastAsia="en-GB" w:bidi="en-GB"/>
      </w:rPr>
    </w:lvl>
  </w:abstractNum>
  <w:abstractNum w:abstractNumId="173" w15:restartNumberingAfterBreak="0">
    <w:nsid w:val="0FE15352"/>
    <w:multiLevelType w:val="hybridMultilevel"/>
    <w:tmpl w:val="7E86768A"/>
    <w:lvl w:ilvl="0" w:tplc="279AB7A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A0A588E">
      <w:numFmt w:val="bullet"/>
      <w:lvlText w:val="•"/>
      <w:lvlJc w:val="left"/>
      <w:pPr>
        <w:ind w:left="439" w:hanging="217"/>
      </w:pPr>
      <w:rPr>
        <w:rFonts w:hint="default"/>
        <w:lang w:val="en-GB" w:eastAsia="en-GB" w:bidi="en-GB"/>
      </w:rPr>
    </w:lvl>
    <w:lvl w:ilvl="2" w:tplc="9C0C118E">
      <w:numFmt w:val="bullet"/>
      <w:lvlText w:val="•"/>
      <w:lvlJc w:val="left"/>
      <w:pPr>
        <w:ind w:left="578" w:hanging="217"/>
      </w:pPr>
      <w:rPr>
        <w:rFonts w:hint="default"/>
        <w:lang w:val="en-GB" w:eastAsia="en-GB" w:bidi="en-GB"/>
      </w:rPr>
    </w:lvl>
    <w:lvl w:ilvl="3" w:tplc="F724B590">
      <w:numFmt w:val="bullet"/>
      <w:lvlText w:val="•"/>
      <w:lvlJc w:val="left"/>
      <w:pPr>
        <w:ind w:left="717" w:hanging="217"/>
      </w:pPr>
      <w:rPr>
        <w:rFonts w:hint="default"/>
        <w:lang w:val="en-GB" w:eastAsia="en-GB" w:bidi="en-GB"/>
      </w:rPr>
    </w:lvl>
    <w:lvl w:ilvl="4" w:tplc="CEB0BC74">
      <w:numFmt w:val="bullet"/>
      <w:lvlText w:val="•"/>
      <w:lvlJc w:val="left"/>
      <w:pPr>
        <w:ind w:left="856" w:hanging="217"/>
      </w:pPr>
      <w:rPr>
        <w:rFonts w:hint="default"/>
        <w:lang w:val="en-GB" w:eastAsia="en-GB" w:bidi="en-GB"/>
      </w:rPr>
    </w:lvl>
    <w:lvl w:ilvl="5" w:tplc="1E68EC26">
      <w:numFmt w:val="bullet"/>
      <w:lvlText w:val="•"/>
      <w:lvlJc w:val="left"/>
      <w:pPr>
        <w:ind w:left="995" w:hanging="217"/>
      </w:pPr>
      <w:rPr>
        <w:rFonts w:hint="default"/>
        <w:lang w:val="en-GB" w:eastAsia="en-GB" w:bidi="en-GB"/>
      </w:rPr>
    </w:lvl>
    <w:lvl w:ilvl="6" w:tplc="1848D6B2">
      <w:numFmt w:val="bullet"/>
      <w:lvlText w:val="•"/>
      <w:lvlJc w:val="left"/>
      <w:pPr>
        <w:ind w:left="1134" w:hanging="217"/>
      </w:pPr>
      <w:rPr>
        <w:rFonts w:hint="default"/>
        <w:lang w:val="en-GB" w:eastAsia="en-GB" w:bidi="en-GB"/>
      </w:rPr>
    </w:lvl>
    <w:lvl w:ilvl="7" w:tplc="1400CA18">
      <w:numFmt w:val="bullet"/>
      <w:lvlText w:val="•"/>
      <w:lvlJc w:val="left"/>
      <w:pPr>
        <w:ind w:left="1273" w:hanging="217"/>
      </w:pPr>
      <w:rPr>
        <w:rFonts w:hint="default"/>
        <w:lang w:val="en-GB" w:eastAsia="en-GB" w:bidi="en-GB"/>
      </w:rPr>
    </w:lvl>
    <w:lvl w:ilvl="8" w:tplc="A4806F16">
      <w:numFmt w:val="bullet"/>
      <w:lvlText w:val="•"/>
      <w:lvlJc w:val="left"/>
      <w:pPr>
        <w:ind w:left="1412" w:hanging="217"/>
      </w:pPr>
      <w:rPr>
        <w:rFonts w:hint="default"/>
        <w:lang w:val="en-GB" w:eastAsia="en-GB" w:bidi="en-GB"/>
      </w:rPr>
    </w:lvl>
  </w:abstractNum>
  <w:abstractNum w:abstractNumId="174" w15:restartNumberingAfterBreak="0">
    <w:nsid w:val="0FEC0250"/>
    <w:multiLevelType w:val="hybridMultilevel"/>
    <w:tmpl w:val="C8A64302"/>
    <w:lvl w:ilvl="0" w:tplc="F9A4985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BC4E360">
      <w:numFmt w:val="bullet"/>
      <w:lvlText w:val="•"/>
      <w:lvlJc w:val="left"/>
      <w:pPr>
        <w:ind w:left="892" w:hanging="217"/>
      </w:pPr>
      <w:rPr>
        <w:rFonts w:hint="default"/>
        <w:lang w:val="en-GB" w:eastAsia="en-GB" w:bidi="en-GB"/>
      </w:rPr>
    </w:lvl>
    <w:lvl w:ilvl="2" w:tplc="6066B5D8">
      <w:numFmt w:val="bullet"/>
      <w:lvlText w:val="•"/>
      <w:lvlJc w:val="left"/>
      <w:pPr>
        <w:ind w:left="1485" w:hanging="217"/>
      </w:pPr>
      <w:rPr>
        <w:rFonts w:hint="default"/>
        <w:lang w:val="en-GB" w:eastAsia="en-GB" w:bidi="en-GB"/>
      </w:rPr>
    </w:lvl>
    <w:lvl w:ilvl="3" w:tplc="C9F66CE4">
      <w:numFmt w:val="bullet"/>
      <w:lvlText w:val="•"/>
      <w:lvlJc w:val="left"/>
      <w:pPr>
        <w:ind w:left="2077" w:hanging="217"/>
      </w:pPr>
      <w:rPr>
        <w:rFonts w:hint="default"/>
        <w:lang w:val="en-GB" w:eastAsia="en-GB" w:bidi="en-GB"/>
      </w:rPr>
    </w:lvl>
    <w:lvl w:ilvl="4" w:tplc="F9C836F2">
      <w:numFmt w:val="bullet"/>
      <w:lvlText w:val="•"/>
      <w:lvlJc w:val="left"/>
      <w:pPr>
        <w:ind w:left="2670" w:hanging="217"/>
      </w:pPr>
      <w:rPr>
        <w:rFonts w:hint="default"/>
        <w:lang w:val="en-GB" w:eastAsia="en-GB" w:bidi="en-GB"/>
      </w:rPr>
    </w:lvl>
    <w:lvl w:ilvl="5" w:tplc="629E9EBA">
      <w:numFmt w:val="bullet"/>
      <w:lvlText w:val="•"/>
      <w:lvlJc w:val="left"/>
      <w:pPr>
        <w:ind w:left="3263" w:hanging="217"/>
      </w:pPr>
      <w:rPr>
        <w:rFonts w:hint="default"/>
        <w:lang w:val="en-GB" w:eastAsia="en-GB" w:bidi="en-GB"/>
      </w:rPr>
    </w:lvl>
    <w:lvl w:ilvl="6" w:tplc="CEFC3F50">
      <w:numFmt w:val="bullet"/>
      <w:lvlText w:val="•"/>
      <w:lvlJc w:val="left"/>
      <w:pPr>
        <w:ind w:left="3855" w:hanging="217"/>
      </w:pPr>
      <w:rPr>
        <w:rFonts w:hint="default"/>
        <w:lang w:val="en-GB" w:eastAsia="en-GB" w:bidi="en-GB"/>
      </w:rPr>
    </w:lvl>
    <w:lvl w:ilvl="7" w:tplc="432EC436">
      <w:numFmt w:val="bullet"/>
      <w:lvlText w:val="•"/>
      <w:lvlJc w:val="left"/>
      <w:pPr>
        <w:ind w:left="4448" w:hanging="217"/>
      </w:pPr>
      <w:rPr>
        <w:rFonts w:hint="default"/>
        <w:lang w:val="en-GB" w:eastAsia="en-GB" w:bidi="en-GB"/>
      </w:rPr>
    </w:lvl>
    <w:lvl w:ilvl="8" w:tplc="C0F2862E">
      <w:numFmt w:val="bullet"/>
      <w:lvlText w:val="•"/>
      <w:lvlJc w:val="left"/>
      <w:pPr>
        <w:ind w:left="5040" w:hanging="217"/>
      </w:pPr>
      <w:rPr>
        <w:rFonts w:hint="default"/>
        <w:lang w:val="en-GB" w:eastAsia="en-GB" w:bidi="en-GB"/>
      </w:rPr>
    </w:lvl>
  </w:abstractNum>
  <w:abstractNum w:abstractNumId="175" w15:restartNumberingAfterBreak="0">
    <w:nsid w:val="102F1A51"/>
    <w:multiLevelType w:val="hybridMultilevel"/>
    <w:tmpl w:val="7AA69D32"/>
    <w:lvl w:ilvl="0" w:tplc="1D4A0808">
      <w:numFmt w:val="bullet"/>
      <w:lvlText w:val="*"/>
      <w:lvlJc w:val="left"/>
      <w:pPr>
        <w:ind w:left="303" w:hanging="94"/>
      </w:pPr>
      <w:rPr>
        <w:rFonts w:ascii="Arial" w:eastAsia="Arial" w:hAnsi="Arial" w:cs="Arial" w:hint="default"/>
        <w:color w:val="231F20"/>
        <w:w w:val="100"/>
        <w:sz w:val="14"/>
        <w:szCs w:val="14"/>
        <w:lang w:val="en-GB" w:eastAsia="en-GB" w:bidi="en-GB"/>
      </w:rPr>
    </w:lvl>
    <w:lvl w:ilvl="1" w:tplc="832492C4">
      <w:numFmt w:val="bullet"/>
      <w:lvlText w:val="•"/>
      <w:lvlJc w:val="left"/>
      <w:pPr>
        <w:ind w:left="1330" w:hanging="94"/>
      </w:pPr>
      <w:rPr>
        <w:rFonts w:hint="default"/>
        <w:lang w:val="en-GB" w:eastAsia="en-GB" w:bidi="en-GB"/>
      </w:rPr>
    </w:lvl>
    <w:lvl w:ilvl="2" w:tplc="E0C0A1B2">
      <w:numFmt w:val="bullet"/>
      <w:lvlText w:val="•"/>
      <w:lvlJc w:val="left"/>
      <w:pPr>
        <w:ind w:left="2361" w:hanging="94"/>
      </w:pPr>
      <w:rPr>
        <w:rFonts w:hint="default"/>
        <w:lang w:val="en-GB" w:eastAsia="en-GB" w:bidi="en-GB"/>
      </w:rPr>
    </w:lvl>
    <w:lvl w:ilvl="3" w:tplc="BFF47A62">
      <w:numFmt w:val="bullet"/>
      <w:lvlText w:val="•"/>
      <w:lvlJc w:val="left"/>
      <w:pPr>
        <w:ind w:left="3391" w:hanging="94"/>
      </w:pPr>
      <w:rPr>
        <w:rFonts w:hint="default"/>
        <w:lang w:val="en-GB" w:eastAsia="en-GB" w:bidi="en-GB"/>
      </w:rPr>
    </w:lvl>
    <w:lvl w:ilvl="4" w:tplc="787C8DDE">
      <w:numFmt w:val="bullet"/>
      <w:lvlText w:val="•"/>
      <w:lvlJc w:val="left"/>
      <w:pPr>
        <w:ind w:left="4422" w:hanging="94"/>
      </w:pPr>
      <w:rPr>
        <w:rFonts w:hint="default"/>
        <w:lang w:val="en-GB" w:eastAsia="en-GB" w:bidi="en-GB"/>
      </w:rPr>
    </w:lvl>
    <w:lvl w:ilvl="5" w:tplc="FC862BCE">
      <w:numFmt w:val="bullet"/>
      <w:lvlText w:val="•"/>
      <w:lvlJc w:val="left"/>
      <w:pPr>
        <w:ind w:left="5452" w:hanging="94"/>
      </w:pPr>
      <w:rPr>
        <w:rFonts w:hint="default"/>
        <w:lang w:val="en-GB" w:eastAsia="en-GB" w:bidi="en-GB"/>
      </w:rPr>
    </w:lvl>
    <w:lvl w:ilvl="6" w:tplc="04C8C26C">
      <w:numFmt w:val="bullet"/>
      <w:lvlText w:val="•"/>
      <w:lvlJc w:val="left"/>
      <w:pPr>
        <w:ind w:left="6483" w:hanging="94"/>
      </w:pPr>
      <w:rPr>
        <w:rFonts w:hint="default"/>
        <w:lang w:val="en-GB" w:eastAsia="en-GB" w:bidi="en-GB"/>
      </w:rPr>
    </w:lvl>
    <w:lvl w:ilvl="7" w:tplc="1CC89F88">
      <w:numFmt w:val="bullet"/>
      <w:lvlText w:val="•"/>
      <w:lvlJc w:val="left"/>
      <w:pPr>
        <w:ind w:left="7513" w:hanging="94"/>
      </w:pPr>
      <w:rPr>
        <w:rFonts w:hint="default"/>
        <w:lang w:val="en-GB" w:eastAsia="en-GB" w:bidi="en-GB"/>
      </w:rPr>
    </w:lvl>
    <w:lvl w:ilvl="8" w:tplc="C9EC18EE">
      <w:numFmt w:val="bullet"/>
      <w:lvlText w:val="•"/>
      <w:lvlJc w:val="left"/>
      <w:pPr>
        <w:ind w:left="8544" w:hanging="94"/>
      </w:pPr>
      <w:rPr>
        <w:rFonts w:hint="default"/>
        <w:lang w:val="en-GB" w:eastAsia="en-GB" w:bidi="en-GB"/>
      </w:rPr>
    </w:lvl>
  </w:abstractNum>
  <w:abstractNum w:abstractNumId="176" w15:restartNumberingAfterBreak="0">
    <w:nsid w:val="10524E85"/>
    <w:multiLevelType w:val="hybridMultilevel"/>
    <w:tmpl w:val="02141800"/>
    <w:lvl w:ilvl="0" w:tplc="30C6A55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94A05F12">
      <w:numFmt w:val="bullet"/>
      <w:lvlText w:val="•"/>
      <w:lvlJc w:val="left"/>
      <w:pPr>
        <w:ind w:left="544" w:hanging="217"/>
      </w:pPr>
      <w:rPr>
        <w:rFonts w:hint="default"/>
        <w:lang w:val="en-GB" w:eastAsia="en-GB" w:bidi="en-GB"/>
      </w:rPr>
    </w:lvl>
    <w:lvl w:ilvl="2" w:tplc="9142FB36">
      <w:numFmt w:val="bullet"/>
      <w:lvlText w:val="•"/>
      <w:lvlJc w:val="left"/>
      <w:pPr>
        <w:ind w:left="788" w:hanging="217"/>
      </w:pPr>
      <w:rPr>
        <w:rFonts w:hint="default"/>
        <w:lang w:val="en-GB" w:eastAsia="en-GB" w:bidi="en-GB"/>
      </w:rPr>
    </w:lvl>
    <w:lvl w:ilvl="3" w:tplc="F18414A8">
      <w:numFmt w:val="bullet"/>
      <w:lvlText w:val="•"/>
      <w:lvlJc w:val="left"/>
      <w:pPr>
        <w:ind w:left="1032" w:hanging="217"/>
      </w:pPr>
      <w:rPr>
        <w:rFonts w:hint="default"/>
        <w:lang w:val="en-GB" w:eastAsia="en-GB" w:bidi="en-GB"/>
      </w:rPr>
    </w:lvl>
    <w:lvl w:ilvl="4" w:tplc="C4E04750">
      <w:numFmt w:val="bullet"/>
      <w:lvlText w:val="•"/>
      <w:lvlJc w:val="left"/>
      <w:pPr>
        <w:ind w:left="1276" w:hanging="217"/>
      </w:pPr>
      <w:rPr>
        <w:rFonts w:hint="default"/>
        <w:lang w:val="en-GB" w:eastAsia="en-GB" w:bidi="en-GB"/>
      </w:rPr>
    </w:lvl>
    <w:lvl w:ilvl="5" w:tplc="27CC1E88">
      <w:numFmt w:val="bullet"/>
      <w:lvlText w:val="•"/>
      <w:lvlJc w:val="left"/>
      <w:pPr>
        <w:ind w:left="1520" w:hanging="217"/>
      </w:pPr>
      <w:rPr>
        <w:rFonts w:hint="default"/>
        <w:lang w:val="en-GB" w:eastAsia="en-GB" w:bidi="en-GB"/>
      </w:rPr>
    </w:lvl>
    <w:lvl w:ilvl="6" w:tplc="CEC4B93C">
      <w:numFmt w:val="bullet"/>
      <w:lvlText w:val="•"/>
      <w:lvlJc w:val="left"/>
      <w:pPr>
        <w:ind w:left="1764" w:hanging="217"/>
      </w:pPr>
      <w:rPr>
        <w:rFonts w:hint="default"/>
        <w:lang w:val="en-GB" w:eastAsia="en-GB" w:bidi="en-GB"/>
      </w:rPr>
    </w:lvl>
    <w:lvl w:ilvl="7" w:tplc="A4EC7B04">
      <w:numFmt w:val="bullet"/>
      <w:lvlText w:val="•"/>
      <w:lvlJc w:val="left"/>
      <w:pPr>
        <w:ind w:left="2008" w:hanging="217"/>
      </w:pPr>
      <w:rPr>
        <w:rFonts w:hint="default"/>
        <w:lang w:val="en-GB" w:eastAsia="en-GB" w:bidi="en-GB"/>
      </w:rPr>
    </w:lvl>
    <w:lvl w:ilvl="8" w:tplc="B1EC39D6">
      <w:numFmt w:val="bullet"/>
      <w:lvlText w:val="•"/>
      <w:lvlJc w:val="left"/>
      <w:pPr>
        <w:ind w:left="2252" w:hanging="217"/>
      </w:pPr>
      <w:rPr>
        <w:rFonts w:hint="default"/>
        <w:lang w:val="en-GB" w:eastAsia="en-GB" w:bidi="en-GB"/>
      </w:rPr>
    </w:lvl>
  </w:abstractNum>
  <w:abstractNum w:abstractNumId="177" w15:restartNumberingAfterBreak="0">
    <w:nsid w:val="105C4E98"/>
    <w:multiLevelType w:val="hybridMultilevel"/>
    <w:tmpl w:val="D7F8DF56"/>
    <w:lvl w:ilvl="0" w:tplc="7EC6FBB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E2ED44A">
      <w:numFmt w:val="bullet"/>
      <w:lvlText w:val="•"/>
      <w:lvlJc w:val="left"/>
      <w:pPr>
        <w:ind w:left="439" w:hanging="217"/>
      </w:pPr>
      <w:rPr>
        <w:rFonts w:hint="default"/>
        <w:lang w:val="en-GB" w:eastAsia="en-GB" w:bidi="en-GB"/>
      </w:rPr>
    </w:lvl>
    <w:lvl w:ilvl="2" w:tplc="94AE80E8">
      <w:numFmt w:val="bullet"/>
      <w:lvlText w:val="•"/>
      <w:lvlJc w:val="left"/>
      <w:pPr>
        <w:ind w:left="578" w:hanging="217"/>
      </w:pPr>
      <w:rPr>
        <w:rFonts w:hint="default"/>
        <w:lang w:val="en-GB" w:eastAsia="en-GB" w:bidi="en-GB"/>
      </w:rPr>
    </w:lvl>
    <w:lvl w:ilvl="3" w:tplc="BE820452">
      <w:numFmt w:val="bullet"/>
      <w:lvlText w:val="•"/>
      <w:lvlJc w:val="left"/>
      <w:pPr>
        <w:ind w:left="717" w:hanging="217"/>
      </w:pPr>
      <w:rPr>
        <w:rFonts w:hint="default"/>
        <w:lang w:val="en-GB" w:eastAsia="en-GB" w:bidi="en-GB"/>
      </w:rPr>
    </w:lvl>
    <w:lvl w:ilvl="4" w:tplc="20220FBA">
      <w:numFmt w:val="bullet"/>
      <w:lvlText w:val="•"/>
      <w:lvlJc w:val="left"/>
      <w:pPr>
        <w:ind w:left="856" w:hanging="217"/>
      </w:pPr>
      <w:rPr>
        <w:rFonts w:hint="default"/>
        <w:lang w:val="en-GB" w:eastAsia="en-GB" w:bidi="en-GB"/>
      </w:rPr>
    </w:lvl>
    <w:lvl w:ilvl="5" w:tplc="BCAC8392">
      <w:numFmt w:val="bullet"/>
      <w:lvlText w:val="•"/>
      <w:lvlJc w:val="left"/>
      <w:pPr>
        <w:ind w:left="995" w:hanging="217"/>
      </w:pPr>
      <w:rPr>
        <w:rFonts w:hint="default"/>
        <w:lang w:val="en-GB" w:eastAsia="en-GB" w:bidi="en-GB"/>
      </w:rPr>
    </w:lvl>
    <w:lvl w:ilvl="6" w:tplc="D92E6344">
      <w:numFmt w:val="bullet"/>
      <w:lvlText w:val="•"/>
      <w:lvlJc w:val="left"/>
      <w:pPr>
        <w:ind w:left="1134" w:hanging="217"/>
      </w:pPr>
      <w:rPr>
        <w:rFonts w:hint="default"/>
        <w:lang w:val="en-GB" w:eastAsia="en-GB" w:bidi="en-GB"/>
      </w:rPr>
    </w:lvl>
    <w:lvl w:ilvl="7" w:tplc="97E84278">
      <w:numFmt w:val="bullet"/>
      <w:lvlText w:val="•"/>
      <w:lvlJc w:val="left"/>
      <w:pPr>
        <w:ind w:left="1273" w:hanging="217"/>
      </w:pPr>
      <w:rPr>
        <w:rFonts w:hint="default"/>
        <w:lang w:val="en-GB" w:eastAsia="en-GB" w:bidi="en-GB"/>
      </w:rPr>
    </w:lvl>
    <w:lvl w:ilvl="8" w:tplc="732CBFD6">
      <w:numFmt w:val="bullet"/>
      <w:lvlText w:val="•"/>
      <w:lvlJc w:val="left"/>
      <w:pPr>
        <w:ind w:left="1412" w:hanging="217"/>
      </w:pPr>
      <w:rPr>
        <w:rFonts w:hint="default"/>
        <w:lang w:val="en-GB" w:eastAsia="en-GB" w:bidi="en-GB"/>
      </w:rPr>
    </w:lvl>
  </w:abstractNum>
  <w:abstractNum w:abstractNumId="178" w15:restartNumberingAfterBreak="0">
    <w:nsid w:val="106D4C9D"/>
    <w:multiLevelType w:val="hybridMultilevel"/>
    <w:tmpl w:val="DC6E058A"/>
    <w:lvl w:ilvl="0" w:tplc="B8D2DAB6">
      <w:numFmt w:val="bullet"/>
      <w:lvlText w:val="•"/>
      <w:lvlJc w:val="left"/>
      <w:pPr>
        <w:ind w:left="305" w:hanging="217"/>
      </w:pPr>
      <w:rPr>
        <w:rFonts w:ascii="Arial" w:eastAsia="Arial" w:hAnsi="Arial" w:cs="Arial" w:hint="default"/>
        <w:color w:val="231F20"/>
        <w:w w:val="100"/>
        <w:sz w:val="18"/>
        <w:szCs w:val="18"/>
        <w:lang w:val="en-GB" w:eastAsia="en-GB" w:bidi="en-GB"/>
      </w:rPr>
    </w:lvl>
    <w:lvl w:ilvl="1" w:tplc="F9B66160">
      <w:numFmt w:val="bullet"/>
      <w:lvlText w:val="•"/>
      <w:lvlJc w:val="left"/>
      <w:pPr>
        <w:ind w:left="524" w:hanging="217"/>
      </w:pPr>
      <w:rPr>
        <w:rFonts w:hint="default"/>
        <w:lang w:val="en-GB" w:eastAsia="en-GB" w:bidi="en-GB"/>
      </w:rPr>
    </w:lvl>
    <w:lvl w:ilvl="2" w:tplc="098A2E2E">
      <w:numFmt w:val="bullet"/>
      <w:lvlText w:val="•"/>
      <w:lvlJc w:val="left"/>
      <w:pPr>
        <w:ind w:left="748" w:hanging="217"/>
      </w:pPr>
      <w:rPr>
        <w:rFonts w:hint="default"/>
        <w:lang w:val="en-GB" w:eastAsia="en-GB" w:bidi="en-GB"/>
      </w:rPr>
    </w:lvl>
    <w:lvl w:ilvl="3" w:tplc="F1FCF4D8">
      <w:numFmt w:val="bullet"/>
      <w:lvlText w:val="•"/>
      <w:lvlJc w:val="left"/>
      <w:pPr>
        <w:ind w:left="972" w:hanging="217"/>
      </w:pPr>
      <w:rPr>
        <w:rFonts w:hint="default"/>
        <w:lang w:val="en-GB" w:eastAsia="en-GB" w:bidi="en-GB"/>
      </w:rPr>
    </w:lvl>
    <w:lvl w:ilvl="4" w:tplc="C34000BC">
      <w:numFmt w:val="bullet"/>
      <w:lvlText w:val="•"/>
      <w:lvlJc w:val="left"/>
      <w:pPr>
        <w:ind w:left="1196" w:hanging="217"/>
      </w:pPr>
      <w:rPr>
        <w:rFonts w:hint="default"/>
        <w:lang w:val="en-GB" w:eastAsia="en-GB" w:bidi="en-GB"/>
      </w:rPr>
    </w:lvl>
    <w:lvl w:ilvl="5" w:tplc="807A27F8">
      <w:numFmt w:val="bullet"/>
      <w:lvlText w:val="•"/>
      <w:lvlJc w:val="left"/>
      <w:pPr>
        <w:ind w:left="1420" w:hanging="217"/>
      </w:pPr>
      <w:rPr>
        <w:rFonts w:hint="default"/>
        <w:lang w:val="en-GB" w:eastAsia="en-GB" w:bidi="en-GB"/>
      </w:rPr>
    </w:lvl>
    <w:lvl w:ilvl="6" w:tplc="C286048E">
      <w:numFmt w:val="bullet"/>
      <w:lvlText w:val="•"/>
      <w:lvlJc w:val="left"/>
      <w:pPr>
        <w:ind w:left="1644" w:hanging="217"/>
      </w:pPr>
      <w:rPr>
        <w:rFonts w:hint="default"/>
        <w:lang w:val="en-GB" w:eastAsia="en-GB" w:bidi="en-GB"/>
      </w:rPr>
    </w:lvl>
    <w:lvl w:ilvl="7" w:tplc="1C38E1C6">
      <w:numFmt w:val="bullet"/>
      <w:lvlText w:val="•"/>
      <w:lvlJc w:val="left"/>
      <w:pPr>
        <w:ind w:left="1868" w:hanging="217"/>
      </w:pPr>
      <w:rPr>
        <w:rFonts w:hint="default"/>
        <w:lang w:val="en-GB" w:eastAsia="en-GB" w:bidi="en-GB"/>
      </w:rPr>
    </w:lvl>
    <w:lvl w:ilvl="8" w:tplc="031CB2A6">
      <w:numFmt w:val="bullet"/>
      <w:lvlText w:val="•"/>
      <w:lvlJc w:val="left"/>
      <w:pPr>
        <w:ind w:left="2092" w:hanging="217"/>
      </w:pPr>
      <w:rPr>
        <w:rFonts w:hint="default"/>
        <w:lang w:val="en-GB" w:eastAsia="en-GB" w:bidi="en-GB"/>
      </w:rPr>
    </w:lvl>
  </w:abstractNum>
  <w:abstractNum w:abstractNumId="179" w15:restartNumberingAfterBreak="0">
    <w:nsid w:val="108739E4"/>
    <w:multiLevelType w:val="hybridMultilevel"/>
    <w:tmpl w:val="631EFD32"/>
    <w:lvl w:ilvl="0" w:tplc="F7B2023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7BA83EE">
      <w:numFmt w:val="bullet"/>
      <w:lvlText w:val="•"/>
      <w:lvlJc w:val="left"/>
      <w:pPr>
        <w:ind w:left="473" w:hanging="217"/>
      </w:pPr>
      <w:rPr>
        <w:rFonts w:hint="default"/>
        <w:lang w:val="en-GB" w:eastAsia="en-GB" w:bidi="en-GB"/>
      </w:rPr>
    </w:lvl>
    <w:lvl w:ilvl="2" w:tplc="A66E3C00">
      <w:numFmt w:val="bullet"/>
      <w:lvlText w:val="•"/>
      <w:lvlJc w:val="left"/>
      <w:pPr>
        <w:ind w:left="646" w:hanging="217"/>
      </w:pPr>
      <w:rPr>
        <w:rFonts w:hint="default"/>
        <w:lang w:val="en-GB" w:eastAsia="en-GB" w:bidi="en-GB"/>
      </w:rPr>
    </w:lvl>
    <w:lvl w:ilvl="3" w:tplc="29E24672">
      <w:numFmt w:val="bullet"/>
      <w:lvlText w:val="•"/>
      <w:lvlJc w:val="left"/>
      <w:pPr>
        <w:ind w:left="819" w:hanging="217"/>
      </w:pPr>
      <w:rPr>
        <w:rFonts w:hint="default"/>
        <w:lang w:val="en-GB" w:eastAsia="en-GB" w:bidi="en-GB"/>
      </w:rPr>
    </w:lvl>
    <w:lvl w:ilvl="4" w:tplc="D4E847B8">
      <w:numFmt w:val="bullet"/>
      <w:lvlText w:val="•"/>
      <w:lvlJc w:val="left"/>
      <w:pPr>
        <w:ind w:left="992" w:hanging="217"/>
      </w:pPr>
      <w:rPr>
        <w:rFonts w:hint="default"/>
        <w:lang w:val="en-GB" w:eastAsia="en-GB" w:bidi="en-GB"/>
      </w:rPr>
    </w:lvl>
    <w:lvl w:ilvl="5" w:tplc="C3C61874">
      <w:numFmt w:val="bullet"/>
      <w:lvlText w:val="•"/>
      <w:lvlJc w:val="left"/>
      <w:pPr>
        <w:ind w:left="1165" w:hanging="217"/>
      </w:pPr>
      <w:rPr>
        <w:rFonts w:hint="default"/>
        <w:lang w:val="en-GB" w:eastAsia="en-GB" w:bidi="en-GB"/>
      </w:rPr>
    </w:lvl>
    <w:lvl w:ilvl="6" w:tplc="83DE399E">
      <w:numFmt w:val="bullet"/>
      <w:lvlText w:val="•"/>
      <w:lvlJc w:val="left"/>
      <w:pPr>
        <w:ind w:left="1338" w:hanging="217"/>
      </w:pPr>
      <w:rPr>
        <w:rFonts w:hint="default"/>
        <w:lang w:val="en-GB" w:eastAsia="en-GB" w:bidi="en-GB"/>
      </w:rPr>
    </w:lvl>
    <w:lvl w:ilvl="7" w:tplc="D8DACF22">
      <w:numFmt w:val="bullet"/>
      <w:lvlText w:val="•"/>
      <w:lvlJc w:val="left"/>
      <w:pPr>
        <w:ind w:left="1511" w:hanging="217"/>
      </w:pPr>
      <w:rPr>
        <w:rFonts w:hint="default"/>
        <w:lang w:val="en-GB" w:eastAsia="en-GB" w:bidi="en-GB"/>
      </w:rPr>
    </w:lvl>
    <w:lvl w:ilvl="8" w:tplc="DCA2C8CA">
      <w:numFmt w:val="bullet"/>
      <w:lvlText w:val="•"/>
      <w:lvlJc w:val="left"/>
      <w:pPr>
        <w:ind w:left="1684" w:hanging="217"/>
      </w:pPr>
      <w:rPr>
        <w:rFonts w:hint="default"/>
        <w:lang w:val="en-GB" w:eastAsia="en-GB" w:bidi="en-GB"/>
      </w:rPr>
    </w:lvl>
  </w:abstractNum>
  <w:abstractNum w:abstractNumId="180" w15:restartNumberingAfterBreak="0">
    <w:nsid w:val="10930FD0"/>
    <w:multiLevelType w:val="hybridMultilevel"/>
    <w:tmpl w:val="C2D62AA6"/>
    <w:lvl w:ilvl="0" w:tplc="876CCC9E">
      <w:numFmt w:val="bullet"/>
      <w:lvlText w:val="•"/>
      <w:lvlJc w:val="left"/>
      <w:pPr>
        <w:ind w:left="304" w:hanging="217"/>
      </w:pPr>
      <w:rPr>
        <w:rFonts w:ascii="Arial" w:eastAsia="Arial" w:hAnsi="Arial" w:cs="Arial" w:hint="default"/>
        <w:color w:val="231F20"/>
        <w:w w:val="100"/>
        <w:sz w:val="18"/>
        <w:szCs w:val="18"/>
        <w:lang w:val="en-GB" w:eastAsia="en-GB" w:bidi="en-GB"/>
      </w:rPr>
    </w:lvl>
    <w:lvl w:ilvl="1" w:tplc="72582BF2">
      <w:numFmt w:val="bullet"/>
      <w:lvlText w:val="•"/>
      <w:lvlJc w:val="left"/>
      <w:pPr>
        <w:ind w:left="473" w:hanging="217"/>
      </w:pPr>
      <w:rPr>
        <w:rFonts w:hint="default"/>
        <w:lang w:val="en-GB" w:eastAsia="en-GB" w:bidi="en-GB"/>
      </w:rPr>
    </w:lvl>
    <w:lvl w:ilvl="2" w:tplc="7260649C">
      <w:numFmt w:val="bullet"/>
      <w:lvlText w:val="•"/>
      <w:lvlJc w:val="left"/>
      <w:pPr>
        <w:ind w:left="646" w:hanging="217"/>
      </w:pPr>
      <w:rPr>
        <w:rFonts w:hint="default"/>
        <w:lang w:val="en-GB" w:eastAsia="en-GB" w:bidi="en-GB"/>
      </w:rPr>
    </w:lvl>
    <w:lvl w:ilvl="3" w:tplc="361E6870">
      <w:numFmt w:val="bullet"/>
      <w:lvlText w:val="•"/>
      <w:lvlJc w:val="left"/>
      <w:pPr>
        <w:ind w:left="819" w:hanging="217"/>
      </w:pPr>
      <w:rPr>
        <w:rFonts w:hint="default"/>
        <w:lang w:val="en-GB" w:eastAsia="en-GB" w:bidi="en-GB"/>
      </w:rPr>
    </w:lvl>
    <w:lvl w:ilvl="4" w:tplc="0A6E941E">
      <w:numFmt w:val="bullet"/>
      <w:lvlText w:val="•"/>
      <w:lvlJc w:val="left"/>
      <w:pPr>
        <w:ind w:left="992" w:hanging="217"/>
      </w:pPr>
      <w:rPr>
        <w:rFonts w:hint="default"/>
        <w:lang w:val="en-GB" w:eastAsia="en-GB" w:bidi="en-GB"/>
      </w:rPr>
    </w:lvl>
    <w:lvl w:ilvl="5" w:tplc="EC68E466">
      <w:numFmt w:val="bullet"/>
      <w:lvlText w:val="•"/>
      <w:lvlJc w:val="left"/>
      <w:pPr>
        <w:ind w:left="1165" w:hanging="217"/>
      </w:pPr>
      <w:rPr>
        <w:rFonts w:hint="default"/>
        <w:lang w:val="en-GB" w:eastAsia="en-GB" w:bidi="en-GB"/>
      </w:rPr>
    </w:lvl>
    <w:lvl w:ilvl="6" w:tplc="E348EB06">
      <w:numFmt w:val="bullet"/>
      <w:lvlText w:val="•"/>
      <w:lvlJc w:val="left"/>
      <w:pPr>
        <w:ind w:left="1338" w:hanging="217"/>
      </w:pPr>
      <w:rPr>
        <w:rFonts w:hint="default"/>
        <w:lang w:val="en-GB" w:eastAsia="en-GB" w:bidi="en-GB"/>
      </w:rPr>
    </w:lvl>
    <w:lvl w:ilvl="7" w:tplc="E2A2093A">
      <w:numFmt w:val="bullet"/>
      <w:lvlText w:val="•"/>
      <w:lvlJc w:val="left"/>
      <w:pPr>
        <w:ind w:left="1511" w:hanging="217"/>
      </w:pPr>
      <w:rPr>
        <w:rFonts w:hint="default"/>
        <w:lang w:val="en-GB" w:eastAsia="en-GB" w:bidi="en-GB"/>
      </w:rPr>
    </w:lvl>
    <w:lvl w:ilvl="8" w:tplc="470E5D4E">
      <w:numFmt w:val="bullet"/>
      <w:lvlText w:val="•"/>
      <w:lvlJc w:val="left"/>
      <w:pPr>
        <w:ind w:left="1684" w:hanging="217"/>
      </w:pPr>
      <w:rPr>
        <w:rFonts w:hint="default"/>
        <w:lang w:val="en-GB" w:eastAsia="en-GB" w:bidi="en-GB"/>
      </w:rPr>
    </w:lvl>
  </w:abstractNum>
  <w:abstractNum w:abstractNumId="181" w15:restartNumberingAfterBreak="0">
    <w:nsid w:val="109729F5"/>
    <w:multiLevelType w:val="hybridMultilevel"/>
    <w:tmpl w:val="9362A82C"/>
    <w:lvl w:ilvl="0" w:tplc="1F78888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20887592">
      <w:numFmt w:val="bullet"/>
      <w:lvlText w:val="•"/>
      <w:lvlJc w:val="left"/>
      <w:pPr>
        <w:ind w:left="892" w:hanging="217"/>
      </w:pPr>
      <w:rPr>
        <w:rFonts w:hint="default"/>
        <w:lang w:val="en-GB" w:eastAsia="en-GB" w:bidi="en-GB"/>
      </w:rPr>
    </w:lvl>
    <w:lvl w:ilvl="2" w:tplc="C99E30D8">
      <w:numFmt w:val="bullet"/>
      <w:lvlText w:val="•"/>
      <w:lvlJc w:val="left"/>
      <w:pPr>
        <w:ind w:left="1485" w:hanging="217"/>
      </w:pPr>
      <w:rPr>
        <w:rFonts w:hint="default"/>
        <w:lang w:val="en-GB" w:eastAsia="en-GB" w:bidi="en-GB"/>
      </w:rPr>
    </w:lvl>
    <w:lvl w:ilvl="3" w:tplc="3510F456">
      <w:numFmt w:val="bullet"/>
      <w:lvlText w:val="•"/>
      <w:lvlJc w:val="left"/>
      <w:pPr>
        <w:ind w:left="2077" w:hanging="217"/>
      </w:pPr>
      <w:rPr>
        <w:rFonts w:hint="default"/>
        <w:lang w:val="en-GB" w:eastAsia="en-GB" w:bidi="en-GB"/>
      </w:rPr>
    </w:lvl>
    <w:lvl w:ilvl="4" w:tplc="06D6A9AC">
      <w:numFmt w:val="bullet"/>
      <w:lvlText w:val="•"/>
      <w:lvlJc w:val="left"/>
      <w:pPr>
        <w:ind w:left="2670" w:hanging="217"/>
      </w:pPr>
      <w:rPr>
        <w:rFonts w:hint="default"/>
        <w:lang w:val="en-GB" w:eastAsia="en-GB" w:bidi="en-GB"/>
      </w:rPr>
    </w:lvl>
    <w:lvl w:ilvl="5" w:tplc="A566B02A">
      <w:numFmt w:val="bullet"/>
      <w:lvlText w:val="•"/>
      <w:lvlJc w:val="left"/>
      <w:pPr>
        <w:ind w:left="3263" w:hanging="217"/>
      </w:pPr>
      <w:rPr>
        <w:rFonts w:hint="default"/>
        <w:lang w:val="en-GB" w:eastAsia="en-GB" w:bidi="en-GB"/>
      </w:rPr>
    </w:lvl>
    <w:lvl w:ilvl="6" w:tplc="CA3CF862">
      <w:numFmt w:val="bullet"/>
      <w:lvlText w:val="•"/>
      <w:lvlJc w:val="left"/>
      <w:pPr>
        <w:ind w:left="3855" w:hanging="217"/>
      </w:pPr>
      <w:rPr>
        <w:rFonts w:hint="default"/>
        <w:lang w:val="en-GB" w:eastAsia="en-GB" w:bidi="en-GB"/>
      </w:rPr>
    </w:lvl>
    <w:lvl w:ilvl="7" w:tplc="8B98CADE">
      <w:numFmt w:val="bullet"/>
      <w:lvlText w:val="•"/>
      <w:lvlJc w:val="left"/>
      <w:pPr>
        <w:ind w:left="4448" w:hanging="217"/>
      </w:pPr>
      <w:rPr>
        <w:rFonts w:hint="default"/>
        <w:lang w:val="en-GB" w:eastAsia="en-GB" w:bidi="en-GB"/>
      </w:rPr>
    </w:lvl>
    <w:lvl w:ilvl="8" w:tplc="4B90534C">
      <w:numFmt w:val="bullet"/>
      <w:lvlText w:val="•"/>
      <w:lvlJc w:val="left"/>
      <w:pPr>
        <w:ind w:left="5040" w:hanging="217"/>
      </w:pPr>
      <w:rPr>
        <w:rFonts w:hint="default"/>
        <w:lang w:val="en-GB" w:eastAsia="en-GB" w:bidi="en-GB"/>
      </w:rPr>
    </w:lvl>
  </w:abstractNum>
  <w:abstractNum w:abstractNumId="182" w15:restartNumberingAfterBreak="0">
    <w:nsid w:val="109E4134"/>
    <w:multiLevelType w:val="hybridMultilevel"/>
    <w:tmpl w:val="55727A4A"/>
    <w:lvl w:ilvl="0" w:tplc="0E60B4A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A1AA696">
      <w:numFmt w:val="bullet"/>
      <w:lvlText w:val="•"/>
      <w:lvlJc w:val="left"/>
      <w:pPr>
        <w:ind w:left="439" w:hanging="217"/>
      </w:pPr>
      <w:rPr>
        <w:rFonts w:hint="default"/>
        <w:lang w:val="en-GB" w:eastAsia="en-GB" w:bidi="en-GB"/>
      </w:rPr>
    </w:lvl>
    <w:lvl w:ilvl="2" w:tplc="4C6C4890">
      <w:numFmt w:val="bullet"/>
      <w:lvlText w:val="•"/>
      <w:lvlJc w:val="left"/>
      <w:pPr>
        <w:ind w:left="578" w:hanging="217"/>
      </w:pPr>
      <w:rPr>
        <w:rFonts w:hint="default"/>
        <w:lang w:val="en-GB" w:eastAsia="en-GB" w:bidi="en-GB"/>
      </w:rPr>
    </w:lvl>
    <w:lvl w:ilvl="3" w:tplc="3716CD28">
      <w:numFmt w:val="bullet"/>
      <w:lvlText w:val="•"/>
      <w:lvlJc w:val="left"/>
      <w:pPr>
        <w:ind w:left="717" w:hanging="217"/>
      </w:pPr>
      <w:rPr>
        <w:rFonts w:hint="default"/>
        <w:lang w:val="en-GB" w:eastAsia="en-GB" w:bidi="en-GB"/>
      </w:rPr>
    </w:lvl>
    <w:lvl w:ilvl="4" w:tplc="125A875E">
      <w:numFmt w:val="bullet"/>
      <w:lvlText w:val="•"/>
      <w:lvlJc w:val="left"/>
      <w:pPr>
        <w:ind w:left="856" w:hanging="217"/>
      </w:pPr>
      <w:rPr>
        <w:rFonts w:hint="default"/>
        <w:lang w:val="en-GB" w:eastAsia="en-GB" w:bidi="en-GB"/>
      </w:rPr>
    </w:lvl>
    <w:lvl w:ilvl="5" w:tplc="AFC0F812">
      <w:numFmt w:val="bullet"/>
      <w:lvlText w:val="•"/>
      <w:lvlJc w:val="left"/>
      <w:pPr>
        <w:ind w:left="995" w:hanging="217"/>
      </w:pPr>
      <w:rPr>
        <w:rFonts w:hint="default"/>
        <w:lang w:val="en-GB" w:eastAsia="en-GB" w:bidi="en-GB"/>
      </w:rPr>
    </w:lvl>
    <w:lvl w:ilvl="6" w:tplc="80D28690">
      <w:numFmt w:val="bullet"/>
      <w:lvlText w:val="•"/>
      <w:lvlJc w:val="left"/>
      <w:pPr>
        <w:ind w:left="1134" w:hanging="217"/>
      </w:pPr>
      <w:rPr>
        <w:rFonts w:hint="default"/>
        <w:lang w:val="en-GB" w:eastAsia="en-GB" w:bidi="en-GB"/>
      </w:rPr>
    </w:lvl>
    <w:lvl w:ilvl="7" w:tplc="E9864E8A">
      <w:numFmt w:val="bullet"/>
      <w:lvlText w:val="•"/>
      <w:lvlJc w:val="left"/>
      <w:pPr>
        <w:ind w:left="1273" w:hanging="217"/>
      </w:pPr>
      <w:rPr>
        <w:rFonts w:hint="default"/>
        <w:lang w:val="en-GB" w:eastAsia="en-GB" w:bidi="en-GB"/>
      </w:rPr>
    </w:lvl>
    <w:lvl w:ilvl="8" w:tplc="7EF87096">
      <w:numFmt w:val="bullet"/>
      <w:lvlText w:val="•"/>
      <w:lvlJc w:val="left"/>
      <w:pPr>
        <w:ind w:left="1412" w:hanging="217"/>
      </w:pPr>
      <w:rPr>
        <w:rFonts w:hint="default"/>
        <w:lang w:val="en-GB" w:eastAsia="en-GB" w:bidi="en-GB"/>
      </w:rPr>
    </w:lvl>
  </w:abstractNum>
  <w:abstractNum w:abstractNumId="183" w15:restartNumberingAfterBreak="0">
    <w:nsid w:val="10BF3572"/>
    <w:multiLevelType w:val="hybridMultilevel"/>
    <w:tmpl w:val="3EC09BD8"/>
    <w:lvl w:ilvl="0" w:tplc="329A834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BCE7EAA">
      <w:numFmt w:val="bullet"/>
      <w:lvlText w:val="•"/>
      <w:lvlJc w:val="left"/>
      <w:pPr>
        <w:ind w:left="473" w:hanging="217"/>
      </w:pPr>
      <w:rPr>
        <w:rFonts w:hint="default"/>
        <w:lang w:val="en-GB" w:eastAsia="en-GB" w:bidi="en-GB"/>
      </w:rPr>
    </w:lvl>
    <w:lvl w:ilvl="2" w:tplc="B100C5FE">
      <w:numFmt w:val="bullet"/>
      <w:lvlText w:val="•"/>
      <w:lvlJc w:val="left"/>
      <w:pPr>
        <w:ind w:left="646" w:hanging="217"/>
      </w:pPr>
      <w:rPr>
        <w:rFonts w:hint="default"/>
        <w:lang w:val="en-GB" w:eastAsia="en-GB" w:bidi="en-GB"/>
      </w:rPr>
    </w:lvl>
    <w:lvl w:ilvl="3" w:tplc="335232D0">
      <w:numFmt w:val="bullet"/>
      <w:lvlText w:val="•"/>
      <w:lvlJc w:val="left"/>
      <w:pPr>
        <w:ind w:left="819" w:hanging="217"/>
      </w:pPr>
      <w:rPr>
        <w:rFonts w:hint="default"/>
        <w:lang w:val="en-GB" w:eastAsia="en-GB" w:bidi="en-GB"/>
      </w:rPr>
    </w:lvl>
    <w:lvl w:ilvl="4" w:tplc="D9367502">
      <w:numFmt w:val="bullet"/>
      <w:lvlText w:val="•"/>
      <w:lvlJc w:val="left"/>
      <w:pPr>
        <w:ind w:left="992" w:hanging="217"/>
      </w:pPr>
      <w:rPr>
        <w:rFonts w:hint="default"/>
        <w:lang w:val="en-GB" w:eastAsia="en-GB" w:bidi="en-GB"/>
      </w:rPr>
    </w:lvl>
    <w:lvl w:ilvl="5" w:tplc="496C1B5A">
      <w:numFmt w:val="bullet"/>
      <w:lvlText w:val="•"/>
      <w:lvlJc w:val="left"/>
      <w:pPr>
        <w:ind w:left="1165" w:hanging="217"/>
      </w:pPr>
      <w:rPr>
        <w:rFonts w:hint="default"/>
        <w:lang w:val="en-GB" w:eastAsia="en-GB" w:bidi="en-GB"/>
      </w:rPr>
    </w:lvl>
    <w:lvl w:ilvl="6" w:tplc="9C2E0054">
      <w:numFmt w:val="bullet"/>
      <w:lvlText w:val="•"/>
      <w:lvlJc w:val="left"/>
      <w:pPr>
        <w:ind w:left="1338" w:hanging="217"/>
      </w:pPr>
      <w:rPr>
        <w:rFonts w:hint="default"/>
        <w:lang w:val="en-GB" w:eastAsia="en-GB" w:bidi="en-GB"/>
      </w:rPr>
    </w:lvl>
    <w:lvl w:ilvl="7" w:tplc="E9FAC8D0">
      <w:numFmt w:val="bullet"/>
      <w:lvlText w:val="•"/>
      <w:lvlJc w:val="left"/>
      <w:pPr>
        <w:ind w:left="1511" w:hanging="217"/>
      </w:pPr>
      <w:rPr>
        <w:rFonts w:hint="default"/>
        <w:lang w:val="en-GB" w:eastAsia="en-GB" w:bidi="en-GB"/>
      </w:rPr>
    </w:lvl>
    <w:lvl w:ilvl="8" w:tplc="61BA81F2">
      <w:numFmt w:val="bullet"/>
      <w:lvlText w:val="•"/>
      <w:lvlJc w:val="left"/>
      <w:pPr>
        <w:ind w:left="1684" w:hanging="217"/>
      </w:pPr>
      <w:rPr>
        <w:rFonts w:hint="default"/>
        <w:lang w:val="en-GB" w:eastAsia="en-GB" w:bidi="en-GB"/>
      </w:rPr>
    </w:lvl>
  </w:abstractNum>
  <w:abstractNum w:abstractNumId="184" w15:restartNumberingAfterBreak="0">
    <w:nsid w:val="10DA29A4"/>
    <w:multiLevelType w:val="hybridMultilevel"/>
    <w:tmpl w:val="81E82E38"/>
    <w:lvl w:ilvl="0" w:tplc="5EB240B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396B7D0">
      <w:numFmt w:val="bullet"/>
      <w:lvlText w:val="•"/>
      <w:lvlJc w:val="left"/>
      <w:pPr>
        <w:ind w:left="439" w:hanging="217"/>
      </w:pPr>
      <w:rPr>
        <w:rFonts w:hint="default"/>
        <w:lang w:val="en-GB" w:eastAsia="en-GB" w:bidi="en-GB"/>
      </w:rPr>
    </w:lvl>
    <w:lvl w:ilvl="2" w:tplc="1C86A0B6">
      <w:numFmt w:val="bullet"/>
      <w:lvlText w:val="•"/>
      <w:lvlJc w:val="left"/>
      <w:pPr>
        <w:ind w:left="578" w:hanging="217"/>
      </w:pPr>
      <w:rPr>
        <w:rFonts w:hint="default"/>
        <w:lang w:val="en-GB" w:eastAsia="en-GB" w:bidi="en-GB"/>
      </w:rPr>
    </w:lvl>
    <w:lvl w:ilvl="3" w:tplc="E004B950">
      <w:numFmt w:val="bullet"/>
      <w:lvlText w:val="•"/>
      <w:lvlJc w:val="left"/>
      <w:pPr>
        <w:ind w:left="717" w:hanging="217"/>
      </w:pPr>
      <w:rPr>
        <w:rFonts w:hint="default"/>
        <w:lang w:val="en-GB" w:eastAsia="en-GB" w:bidi="en-GB"/>
      </w:rPr>
    </w:lvl>
    <w:lvl w:ilvl="4" w:tplc="E11A3BA6">
      <w:numFmt w:val="bullet"/>
      <w:lvlText w:val="•"/>
      <w:lvlJc w:val="left"/>
      <w:pPr>
        <w:ind w:left="856" w:hanging="217"/>
      </w:pPr>
      <w:rPr>
        <w:rFonts w:hint="default"/>
        <w:lang w:val="en-GB" w:eastAsia="en-GB" w:bidi="en-GB"/>
      </w:rPr>
    </w:lvl>
    <w:lvl w:ilvl="5" w:tplc="D046A788">
      <w:numFmt w:val="bullet"/>
      <w:lvlText w:val="•"/>
      <w:lvlJc w:val="left"/>
      <w:pPr>
        <w:ind w:left="995" w:hanging="217"/>
      </w:pPr>
      <w:rPr>
        <w:rFonts w:hint="default"/>
        <w:lang w:val="en-GB" w:eastAsia="en-GB" w:bidi="en-GB"/>
      </w:rPr>
    </w:lvl>
    <w:lvl w:ilvl="6" w:tplc="C118440E">
      <w:numFmt w:val="bullet"/>
      <w:lvlText w:val="•"/>
      <w:lvlJc w:val="left"/>
      <w:pPr>
        <w:ind w:left="1134" w:hanging="217"/>
      </w:pPr>
      <w:rPr>
        <w:rFonts w:hint="default"/>
        <w:lang w:val="en-GB" w:eastAsia="en-GB" w:bidi="en-GB"/>
      </w:rPr>
    </w:lvl>
    <w:lvl w:ilvl="7" w:tplc="2F5C6724">
      <w:numFmt w:val="bullet"/>
      <w:lvlText w:val="•"/>
      <w:lvlJc w:val="left"/>
      <w:pPr>
        <w:ind w:left="1273" w:hanging="217"/>
      </w:pPr>
      <w:rPr>
        <w:rFonts w:hint="default"/>
        <w:lang w:val="en-GB" w:eastAsia="en-GB" w:bidi="en-GB"/>
      </w:rPr>
    </w:lvl>
    <w:lvl w:ilvl="8" w:tplc="4DAAC596">
      <w:numFmt w:val="bullet"/>
      <w:lvlText w:val="•"/>
      <w:lvlJc w:val="left"/>
      <w:pPr>
        <w:ind w:left="1412" w:hanging="217"/>
      </w:pPr>
      <w:rPr>
        <w:rFonts w:hint="default"/>
        <w:lang w:val="en-GB" w:eastAsia="en-GB" w:bidi="en-GB"/>
      </w:rPr>
    </w:lvl>
  </w:abstractNum>
  <w:abstractNum w:abstractNumId="185" w15:restartNumberingAfterBreak="0">
    <w:nsid w:val="110530DD"/>
    <w:multiLevelType w:val="hybridMultilevel"/>
    <w:tmpl w:val="A948AF90"/>
    <w:lvl w:ilvl="0" w:tplc="C1B23C6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DAD6CADA">
      <w:numFmt w:val="bullet"/>
      <w:lvlText w:val="•"/>
      <w:lvlJc w:val="left"/>
      <w:pPr>
        <w:ind w:left="473" w:hanging="217"/>
      </w:pPr>
      <w:rPr>
        <w:rFonts w:hint="default"/>
        <w:lang w:val="en-GB" w:eastAsia="en-GB" w:bidi="en-GB"/>
      </w:rPr>
    </w:lvl>
    <w:lvl w:ilvl="2" w:tplc="A4003AA4">
      <w:numFmt w:val="bullet"/>
      <w:lvlText w:val="•"/>
      <w:lvlJc w:val="left"/>
      <w:pPr>
        <w:ind w:left="646" w:hanging="217"/>
      </w:pPr>
      <w:rPr>
        <w:rFonts w:hint="default"/>
        <w:lang w:val="en-GB" w:eastAsia="en-GB" w:bidi="en-GB"/>
      </w:rPr>
    </w:lvl>
    <w:lvl w:ilvl="3" w:tplc="123C0E4C">
      <w:numFmt w:val="bullet"/>
      <w:lvlText w:val="•"/>
      <w:lvlJc w:val="left"/>
      <w:pPr>
        <w:ind w:left="819" w:hanging="217"/>
      </w:pPr>
      <w:rPr>
        <w:rFonts w:hint="default"/>
        <w:lang w:val="en-GB" w:eastAsia="en-GB" w:bidi="en-GB"/>
      </w:rPr>
    </w:lvl>
    <w:lvl w:ilvl="4" w:tplc="F6F817BA">
      <w:numFmt w:val="bullet"/>
      <w:lvlText w:val="•"/>
      <w:lvlJc w:val="left"/>
      <w:pPr>
        <w:ind w:left="992" w:hanging="217"/>
      </w:pPr>
      <w:rPr>
        <w:rFonts w:hint="default"/>
        <w:lang w:val="en-GB" w:eastAsia="en-GB" w:bidi="en-GB"/>
      </w:rPr>
    </w:lvl>
    <w:lvl w:ilvl="5" w:tplc="875689C6">
      <w:numFmt w:val="bullet"/>
      <w:lvlText w:val="•"/>
      <w:lvlJc w:val="left"/>
      <w:pPr>
        <w:ind w:left="1165" w:hanging="217"/>
      </w:pPr>
      <w:rPr>
        <w:rFonts w:hint="default"/>
        <w:lang w:val="en-GB" w:eastAsia="en-GB" w:bidi="en-GB"/>
      </w:rPr>
    </w:lvl>
    <w:lvl w:ilvl="6" w:tplc="0486E802">
      <w:numFmt w:val="bullet"/>
      <w:lvlText w:val="•"/>
      <w:lvlJc w:val="left"/>
      <w:pPr>
        <w:ind w:left="1338" w:hanging="217"/>
      </w:pPr>
      <w:rPr>
        <w:rFonts w:hint="default"/>
        <w:lang w:val="en-GB" w:eastAsia="en-GB" w:bidi="en-GB"/>
      </w:rPr>
    </w:lvl>
    <w:lvl w:ilvl="7" w:tplc="3A064DAC">
      <w:numFmt w:val="bullet"/>
      <w:lvlText w:val="•"/>
      <w:lvlJc w:val="left"/>
      <w:pPr>
        <w:ind w:left="1511" w:hanging="217"/>
      </w:pPr>
      <w:rPr>
        <w:rFonts w:hint="default"/>
        <w:lang w:val="en-GB" w:eastAsia="en-GB" w:bidi="en-GB"/>
      </w:rPr>
    </w:lvl>
    <w:lvl w:ilvl="8" w:tplc="14AC6FB6">
      <w:numFmt w:val="bullet"/>
      <w:lvlText w:val="•"/>
      <w:lvlJc w:val="left"/>
      <w:pPr>
        <w:ind w:left="1684" w:hanging="217"/>
      </w:pPr>
      <w:rPr>
        <w:rFonts w:hint="default"/>
        <w:lang w:val="en-GB" w:eastAsia="en-GB" w:bidi="en-GB"/>
      </w:rPr>
    </w:lvl>
  </w:abstractNum>
  <w:abstractNum w:abstractNumId="186" w15:restartNumberingAfterBreak="0">
    <w:nsid w:val="110F2DE0"/>
    <w:multiLevelType w:val="hybridMultilevel"/>
    <w:tmpl w:val="6034087C"/>
    <w:lvl w:ilvl="0" w:tplc="F4666F0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414A890">
      <w:numFmt w:val="bullet"/>
      <w:lvlText w:val="•"/>
      <w:lvlJc w:val="left"/>
      <w:pPr>
        <w:ind w:left="473" w:hanging="217"/>
      </w:pPr>
      <w:rPr>
        <w:rFonts w:hint="default"/>
        <w:lang w:val="en-GB" w:eastAsia="en-GB" w:bidi="en-GB"/>
      </w:rPr>
    </w:lvl>
    <w:lvl w:ilvl="2" w:tplc="513012AC">
      <w:numFmt w:val="bullet"/>
      <w:lvlText w:val="•"/>
      <w:lvlJc w:val="left"/>
      <w:pPr>
        <w:ind w:left="646" w:hanging="217"/>
      </w:pPr>
      <w:rPr>
        <w:rFonts w:hint="default"/>
        <w:lang w:val="en-GB" w:eastAsia="en-GB" w:bidi="en-GB"/>
      </w:rPr>
    </w:lvl>
    <w:lvl w:ilvl="3" w:tplc="98EE50E6">
      <w:numFmt w:val="bullet"/>
      <w:lvlText w:val="•"/>
      <w:lvlJc w:val="left"/>
      <w:pPr>
        <w:ind w:left="819" w:hanging="217"/>
      </w:pPr>
      <w:rPr>
        <w:rFonts w:hint="default"/>
        <w:lang w:val="en-GB" w:eastAsia="en-GB" w:bidi="en-GB"/>
      </w:rPr>
    </w:lvl>
    <w:lvl w:ilvl="4" w:tplc="1A5EE49A">
      <w:numFmt w:val="bullet"/>
      <w:lvlText w:val="•"/>
      <w:lvlJc w:val="left"/>
      <w:pPr>
        <w:ind w:left="992" w:hanging="217"/>
      </w:pPr>
      <w:rPr>
        <w:rFonts w:hint="default"/>
        <w:lang w:val="en-GB" w:eastAsia="en-GB" w:bidi="en-GB"/>
      </w:rPr>
    </w:lvl>
    <w:lvl w:ilvl="5" w:tplc="99D6199C">
      <w:numFmt w:val="bullet"/>
      <w:lvlText w:val="•"/>
      <w:lvlJc w:val="left"/>
      <w:pPr>
        <w:ind w:left="1165" w:hanging="217"/>
      </w:pPr>
      <w:rPr>
        <w:rFonts w:hint="default"/>
        <w:lang w:val="en-GB" w:eastAsia="en-GB" w:bidi="en-GB"/>
      </w:rPr>
    </w:lvl>
    <w:lvl w:ilvl="6" w:tplc="ED00DD52">
      <w:numFmt w:val="bullet"/>
      <w:lvlText w:val="•"/>
      <w:lvlJc w:val="left"/>
      <w:pPr>
        <w:ind w:left="1338" w:hanging="217"/>
      </w:pPr>
      <w:rPr>
        <w:rFonts w:hint="default"/>
        <w:lang w:val="en-GB" w:eastAsia="en-GB" w:bidi="en-GB"/>
      </w:rPr>
    </w:lvl>
    <w:lvl w:ilvl="7" w:tplc="253A9306">
      <w:numFmt w:val="bullet"/>
      <w:lvlText w:val="•"/>
      <w:lvlJc w:val="left"/>
      <w:pPr>
        <w:ind w:left="1511" w:hanging="217"/>
      </w:pPr>
      <w:rPr>
        <w:rFonts w:hint="default"/>
        <w:lang w:val="en-GB" w:eastAsia="en-GB" w:bidi="en-GB"/>
      </w:rPr>
    </w:lvl>
    <w:lvl w:ilvl="8" w:tplc="F664F80A">
      <w:numFmt w:val="bullet"/>
      <w:lvlText w:val="•"/>
      <w:lvlJc w:val="left"/>
      <w:pPr>
        <w:ind w:left="1684" w:hanging="217"/>
      </w:pPr>
      <w:rPr>
        <w:rFonts w:hint="default"/>
        <w:lang w:val="en-GB" w:eastAsia="en-GB" w:bidi="en-GB"/>
      </w:rPr>
    </w:lvl>
  </w:abstractNum>
  <w:abstractNum w:abstractNumId="187" w15:restartNumberingAfterBreak="0">
    <w:nsid w:val="111A4A9A"/>
    <w:multiLevelType w:val="hybridMultilevel"/>
    <w:tmpl w:val="918ADB10"/>
    <w:lvl w:ilvl="0" w:tplc="7CAEAB0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E2AFB96">
      <w:numFmt w:val="bullet"/>
      <w:lvlText w:val="•"/>
      <w:lvlJc w:val="left"/>
      <w:pPr>
        <w:ind w:left="892" w:hanging="217"/>
      </w:pPr>
      <w:rPr>
        <w:rFonts w:hint="default"/>
        <w:lang w:val="en-GB" w:eastAsia="en-GB" w:bidi="en-GB"/>
      </w:rPr>
    </w:lvl>
    <w:lvl w:ilvl="2" w:tplc="34B0924C">
      <w:numFmt w:val="bullet"/>
      <w:lvlText w:val="•"/>
      <w:lvlJc w:val="left"/>
      <w:pPr>
        <w:ind w:left="1485" w:hanging="217"/>
      </w:pPr>
      <w:rPr>
        <w:rFonts w:hint="default"/>
        <w:lang w:val="en-GB" w:eastAsia="en-GB" w:bidi="en-GB"/>
      </w:rPr>
    </w:lvl>
    <w:lvl w:ilvl="3" w:tplc="0F327266">
      <w:numFmt w:val="bullet"/>
      <w:lvlText w:val="•"/>
      <w:lvlJc w:val="left"/>
      <w:pPr>
        <w:ind w:left="2077" w:hanging="217"/>
      </w:pPr>
      <w:rPr>
        <w:rFonts w:hint="default"/>
        <w:lang w:val="en-GB" w:eastAsia="en-GB" w:bidi="en-GB"/>
      </w:rPr>
    </w:lvl>
    <w:lvl w:ilvl="4" w:tplc="4D320A82">
      <w:numFmt w:val="bullet"/>
      <w:lvlText w:val="•"/>
      <w:lvlJc w:val="left"/>
      <w:pPr>
        <w:ind w:left="2670" w:hanging="217"/>
      </w:pPr>
      <w:rPr>
        <w:rFonts w:hint="default"/>
        <w:lang w:val="en-GB" w:eastAsia="en-GB" w:bidi="en-GB"/>
      </w:rPr>
    </w:lvl>
    <w:lvl w:ilvl="5" w:tplc="7B3C52FA">
      <w:numFmt w:val="bullet"/>
      <w:lvlText w:val="•"/>
      <w:lvlJc w:val="left"/>
      <w:pPr>
        <w:ind w:left="3263" w:hanging="217"/>
      </w:pPr>
      <w:rPr>
        <w:rFonts w:hint="default"/>
        <w:lang w:val="en-GB" w:eastAsia="en-GB" w:bidi="en-GB"/>
      </w:rPr>
    </w:lvl>
    <w:lvl w:ilvl="6" w:tplc="B6C8B04A">
      <w:numFmt w:val="bullet"/>
      <w:lvlText w:val="•"/>
      <w:lvlJc w:val="left"/>
      <w:pPr>
        <w:ind w:left="3855" w:hanging="217"/>
      </w:pPr>
      <w:rPr>
        <w:rFonts w:hint="default"/>
        <w:lang w:val="en-GB" w:eastAsia="en-GB" w:bidi="en-GB"/>
      </w:rPr>
    </w:lvl>
    <w:lvl w:ilvl="7" w:tplc="86DE63DA">
      <w:numFmt w:val="bullet"/>
      <w:lvlText w:val="•"/>
      <w:lvlJc w:val="left"/>
      <w:pPr>
        <w:ind w:left="4448" w:hanging="217"/>
      </w:pPr>
      <w:rPr>
        <w:rFonts w:hint="default"/>
        <w:lang w:val="en-GB" w:eastAsia="en-GB" w:bidi="en-GB"/>
      </w:rPr>
    </w:lvl>
    <w:lvl w:ilvl="8" w:tplc="321853FA">
      <w:numFmt w:val="bullet"/>
      <w:lvlText w:val="•"/>
      <w:lvlJc w:val="left"/>
      <w:pPr>
        <w:ind w:left="5040" w:hanging="217"/>
      </w:pPr>
      <w:rPr>
        <w:rFonts w:hint="default"/>
        <w:lang w:val="en-GB" w:eastAsia="en-GB" w:bidi="en-GB"/>
      </w:rPr>
    </w:lvl>
  </w:abstractNum>
  <w:abstractNum w:abstractNumId="188" w15:restartNumberingAfterBreak="0">
    <w:nsid w:val="112E4F78"/>
    <w:multiLevelType w:val="hybridMultilevel"/>
    <w:tmpl w:val="02F4B142"/>
    <w:lvl w:ilvl="0" w:tplc="D9CAB828">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528AD152">
      <w:numFmt w:val="bullet"/>
      <w:lvlText w:val="•"/>
      <w:lvlJc w:val="left"/>
      <w:pPr>
        <w:ind w:left="473" w:hanging="217"/>
      </w:pPr>
      <w:rPr>
        <w:rFonts w:hint="default"/>
        <w:lang w:val="en-GB" w:eastAsia="en-GB" w:bidi="en-GB"/>
      </w:rPr>
    </w:lvl>
    <w:lvl w:ilvl="2" w:tplc="C29C7974">
      <w:numFmt w:val="bullet"/>
      <w:lvlText w:val="•"/>
      <w:lvlJc w:val="left"/>
      <w:pPr>
        <w:ind w:left="646" w:hanging="217"/>
      </w:pPr>
      <w:rPr>
        <w:rFonts w:hint="default"/>
        <w:lang w:val="en-GB" w:eastAsia="en-GB" w:bidi="en-GB"/>
      </w:rPr>
    </w:lvl>
    <w:lvl w:ilvl="3" w:tplc="D150875E">
      <w:numFmt w:val="bullet"/>
      <w:lvlText w:val="•"/>
      <w:lvlJc w:val="left"/>
      <w:pPr>
        <w:ind w:left="819" w:hanging="217"/>
      </w:pPr>
      <w:rPr>
        <w:rFonts w:hint="default"/>
        <w:lang w:val="en-GB" w:eastAsia="en-GB" w:bidi="en-GB"/>
      </w:rPr>
    </w:lvl>
    <w:lvl w:ilvl="4" w:tplc="8C7E2520">
      <w:numFmt w:val="bullet"/>
      <w:lvlText w:val="•"/>
      <w:lvlJc w:val="left"/>
      <w:pPr>
        <w:ind w:left="992" w:hanging="217"/>
      </w:pPr>
      <w:rPr>
        <w:rFonts w:hint="default"/>
        <w:lang w:val="en-GB" w:eastAsia="en-GB" w:bidi="en-GB"/>
      </w:rPr>
    </w:lvl>
    <w:lvl w:ilvl="5" w:tplc="A08233CA">
      <w:numFmt w:val="bullet"/>
      <w:lvlText w:val="•"/>
      <w:lvlJc w:val="left"/>
      <w:pPr>
        <w:ind w:left="1165" w:hanging="217"/>
      </w:pPr>
      <w:rPr>
        <w:rFonts w:hint="default"/>
        <w:lang w:val="en-GB" w:eastAsia="en-GB" w:bidi="en-GB"/>
      </w:rPr>
    </w:lvl>
    <w:lvl w:ilvl="6" w:tplc="2DDA8A54">
      <w:numFmt w:val="bullet"/>
      <w:lvlText w:val="•"/>
      <w:lvlJc w:val="left"/>
      <w:pPr>
        <w:ind w:left="1338" w:hanging="217"/>
      </w:pPr>
      <w:rPr>
        <w:rFonts w:hint="default"/>
        <w:lang w:val="en-GB" w:eastAsia="en-GB" w:bidi="en-GB"/>
      </w:rPr>
    </w:lvl>
    <w:lvl w:ilvl="7" w:tplc="40206C8C">
      <w:numFmt w:val="bullet"/>
      <w:lvlText w:val="•"/>
      <w:lvlJc w:val="left"/>
      <w:pPr>
        <w:ind w:left="1511" w:hanging="217"/>
      </w:pPr>
      <w:rPr>
        <w:rFonts w:hint="default"/>
        <w:lang w:val="en-GB" w:eastAsia="en-GB" w:bidi="en-GB"/>
      </w:rPr>
    </w:lvl>
    <w:lvl w:ilvl="8" w:tplc="D3C85B96">
      <w:numFmt w:val="bullet"/>
      <w:lvlText w:val="•"/>
      <w:lvlJc w:val="left"/>
      <w:pPr>
        <w:ind w:left="1684" w:hanging="217"/>
      </w:pPr>
      <w:rPr>
        <w:rFonts w:hint="default"/>
        <w:lang w:val="en-GB" w:eastAsia="en-GB" w:bidi="en-GB"/>
      </w:rPr>
    </w:lvl>
  </w:abstractNum>
  <w:abstractNum w:abstractNumId="189" w15:restartNumberingAfterBreak="0">
    <w:nsid w:val="11481B71"/>
    <w:multiLevelType w:val="hybridMultilevel"/>
    <w:tmpl w:val="CF44D98E"/>
    <w:lvl w:ilvl="0" w:tplc="D71AA0F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5CC5E6C">
      <w:numFmt w:val="bullet"/>
      <w:lvlText w:val="•"/>
      <w:lvlJc w:val="left"/>
      <w:pPr>
        <w:ind w:left="439" w:hanging="217"/>
      </w:pPr>
      <w:rPr>
        <w:rFonts w:hint="default"/>
        <w:lang w:val="en-GB" w:eastAsia="en-GB" w:bidi="en-GB"/>
      </w:rPr>
    </w:lvl>
    <w:lvl w:ilvl="2" w:tplc="C62AED9A">
      <w:numFmt w:val="bullet"/>
      <w:lvlText w:val="•"/>
      <w:lvlJc w:val="left"/>
      <w:pPr>
        <w:ind w:left="578" w:hanging="217"/>
      </w:pPr>
      <w:rPr>
        <w:rFonts w:hint="default"/>
        <w:lang w:val="en-GB" w:eastAsia="en-GB" w:bidi="en-GB"/>
      </w:rPr>
    </w:lvl>
    <w:lvl w:ilvl="3" w:tplc="D846B132">
      <w:numFmt w:val="bullet"/>
      <w:lvlText w:val="•"/>
      <w:lvlJc w:val="left"/>
      <w:pPr>
        <w:ind w:left="717" w:hanging="217"/>
      </w:pPr>
      <w:rPr>
        <w:rFonts w:hint="default"/>
        <w:lang w:val="en-GB" w:eastAsia="en-GB" w:bidi="en-GB"/>
      </w:rPr>
    </w:lvl>
    <w:lvl w:ilvl="4" w:tplc="64BABBE4">
      <w:numFmt w:val="bullet"/>
      <w:lvlText w:val="•"/>
      <w:lvlJc w:val="left"/>
      <w:pPr>
        <w:ind w:left="856" w:hanging="217"/>
      </w:pPr>
      <w:rPr>
        <w:rFonts w:hint="default"/>
        <w:lang w:val="en-GB" w:eastAsia="en-GB" w:bidi="en-GB"/>
      </w:rPr>
    </w:lvl>
    <w:lvl w:ilvl="5" w:tplc="B8CA8D58">
      <w:numFmt w:val="bullet"/>
      <w:lvlText w:val="•"/>
      <w:lvlJc w:val="left"/>
      <w:pPr>
        <w:ind w:left="995" w:hanging="217"/>
      </w:pPr>
      <w:rPr>
        <w:rFonts w:hint="default"/>
        <w:lang w:val="en-GB" w:eastAsia="en-GB" w:bidi="en-GB"/>
      </w:rPr>
    </w:lvl>
    <w:lvl w:ilvl="6" w:tplc="EBF01568">
      <w:numFmt w:val="bullet"/>
      <w:lvlText w:val="•"/>
      <w:lvlJc w:val="left"/>
      <w:pPr>
        <w:ind w:left="1134" w:hanging="217"/>
      </w:pPr>
      <w:rPr>
        <w:rFonts w:hint="default"/>
        <w:lang w:val="en-GB" w:eastAsia="en-GB" w:bidi="en-GB"/>
      </w:rPr>
    </w:lvl>
    <w:lvl w:ilvl="7" w:tplc="7D06B984">
      <w:numFmt w:val="bullet"/>
      <w:lvlText w:val="•"/>
      <w:lvlJc w:val="left"/>
      <w:pPr>
        <w:ind w:left="1273" w:hanging="217"/>
      </w:pPr>
      <w:rPr>
        <w:rFonts w:hint="default"/>
        <w:lang w:val="en-GB" w:eastAsia="en-GB" w:bidi="en-GB"/>
      </w:rPr>
    </w:lvl>
    <w:lvl w:ilvl="8" w:tplc="822E9DEE">
      <w:numFmt w:val="bullet"/>
      <w:lvlText w:val="•"/>
      <w:lvlJc w:val="left"/>
      <w:pPr>
        <w:ind w:left="1412" w:hanging="217"/>
      </w:pPr>
      <w:rPr>
        <w:rFonts w:hint="default"/>
        <w:lang w:val="en-GB" w:eastAsia="en-GB" w:bidi="en-GB"/>
      </w:rPr>
    </w:lvl>
  </w:abstractNum>
  <w:abstractNum w:abstractNumId="190" w15:restartNumberingAfterBreak="0">
    <w:nsid w:val="11505B6D"/>
    <w:multiLevelType w:val="hybridMultilevel"/>
    <w:tmpl w:val="72209D2A"/>
    <w:lvl w:ilvl="0" w:tplc="D2F800F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6A941F58">
      <w:numFmt w:val="bullet"/>
      <w:lvlText w:val="•"/>
      <w:lvlJc w:val="left"/>
      <w:pPr>
        <w:ind w:left="892" w:hanging="217"/>
      </w:pPr>
      <w:rPr>
        <w:rFonts w:hint="default"/>
        <w:lang w:val="en-GB" w:eastAsia="en-GB" w:bidi="en-GB"/>
      </w:rPr>
    </w:lvl>
    <w:lvl w:ilvl="2" w:tplc="FD3A390C">
      <w:numFmt w:val="bullet"/>
      <w:lvlText w:val="•"/>
      <w:lvlJc w:val="left"/>
      <w:pPr>
        <w:ind w:left="1485" w:hanging="217"/>
      </w:pPr>
      <w:rPr>
        <w:rFonts w:hint="default"/>
        <w:lang w:val="en-GB" w:eastAsia="en-GB" w:bidi="en-GB"/>
      </w:rPr>
    </w:lvl>
    <w:lvl w:ilvl="3" w:tplc="DF50AAA0">
      <w:numFmt w:val="bullet"/>
      <w:lvlText w:val="•"/>
      <w:lvlJc w:val="left"/>
      <w:pPr>
        <w:ind w:left="2077" w:hanging="217"/>
      </w:pPr>
      <w:rPr>
        <w:rFonts w:hint="default"/>
        <w:lang w:val="en-GB" w:eastAsia="en-GB" w:bidi="en-GB"/>
      </w:rPr>
    </w:lvl>
    <w:lvl w:ilvl="4" w:tplc="3A68008E">
      <w:numFmt w:val="bullet"/>
      <w:lvlText w:val="•"/>
      <w:lvlJc w:val="left"/>
      <w:pPr>
        <w:ind w:left="2670" w:hanging="217"/>
      </w:pPr>
      <w:rPr>
        <w:rFonts w:hint="default"/>
        <w:lang w:val="en-GB" w:eastAsia="en-GB" w:bidi="en-GB"/>
      </w:rPr>
    </w:lvl>
    <w:lvl w:ilvl="5" w:tplc="9978F838">
      <w:numFmt w:val="bullet"/>
      <w:lvlText w:val="•"/>
      <w:lvlJc w:val="left"/>
      <w:pPr>
        <w:ind w:left="3263" w:hanging="217"/>
      </w:pPr>
      <w:rPr>
        <w:rFonts w:hint="default"/>
        <w:lang w:val="en-GB" w:eastAsia="en-GB" w:bidi="en-GB"/>
      </w:rPr>
    </w:lvl>
    <w:lvl w:ilvl="6" w:tplc="2DEAAE16">
      <w:numFmt w:val="bullet"/>
      <w:lvlText w:val="•"/>
      <w:lvlJc w:val="left"/>
      <w:pPr>
        <w:ind w:left="3855" w:hanging="217"/>
      </w:pPr>
      <w:rPr>
        <w:rFonts w:hint="default"/>
        <w:lang w:val="en-GB" w:eastAsia="en-GB" w:bidi="en-GB"/>
      </w:rPr>
    </w:lvl>
    <w:lvl w:ilvl="7" w:tplc="11C0657A">
      <w:numFmt w:val="bullet"/>
      <w:lvlText w:val="•"/>
      <w:lvlJc w:val="left"/>
      <w:pPr>
        <w:ind w:left="4448" w:hanging="217"/>
      </w:pPr>
      <w:rPr>
        <w:rFonts w:hint="default"/>
        <w:lang w:val="en-GB" w:eastAsia="en-GB" w:bidi="en-GB"/>
      </w:rPr>
    </w:lvl>
    <w:lvl w:ilvl="8" w:tplc="971EF438">
      <w:numFmt w:val="bullet"/>
      <w:lvlText w:val="•"/>
      <w:lvlJc w:val="left"/>
      <w:pPr>
        <w:ind w:left="5040" w:hanging="217"/>
      </w:pPr>
      <w:rPr>
        <w:rFonts w:hint="default"/>
        <w:lang w:val="en-GB" w:eastAsia="en-GB" w:bidi="en-GB"/>
      </w:rPr>
    </w:lvl>
  </w:abstractNum>
  <w:abstractNum w:abstractNumId="191" w15:restartNumberingAfterBreak="0">
    <w:nsid w:val="115D60CE"/>
    <w:multiLevelType w:val="hybridMultilevel"/>
    <w:tmpl w:val="1E5AE3B2"/>
    <w:lvl w:ilvl="0" w:tplc="CEBCB43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F5E124C">
      <w:numFmt w:val="bullet"/>
      <w:lvlText w:val="•"/>
      <w:lvlJc w:val="left"/>
      <w:pPr>
        <w:ind w:left="892" w:hanging="217"/>
      </w:pPr>
      <w:rPr>
        <w:rFonts w:hint="default"/>
        <w:lang w:val="en-GB" w:eastAsia="en-GB" w:bidi="en-GB"/>
      </w:rPr>
    </w:lvl>
    <w:lvl w:ilvl="2" w:tplc="2CB23870">
      <w:numFmt w:val="bullet"/>
      <w:lvlText w:val="•"/>
      <w:lvlJc w:val="left"/>
      <w:pPr>
        <w:ind w:left="1485" w:hanging="217"/>
      </w:pPr>
      <w:rPr>
        <w:rFonts w:hint="default"/>
        <w:lang w:val="en-GB" w:eastAsia="en-GB" w:bidi="en-GB"/>
      </w:rPr>
    </w:lvl>
    <w:lvl w:ilvl="3" w:tplc="82FA185E">
      <w:numFmt w:val="bullet"/>
      <w:lvlText w:val="•"/>
      <w:lvlJc w:val="left"/>
      <w:pPr>
        <w:ind w:left="2077" w:hanging="217"/>
      </w:pPr>
      <w:rPr>
        <w:rFonts w:hint="default"/>
        <w:lang w:val="en-GB" w:eastAsia="en-GB" w:bidi="en-GB"/>
      </w:rPr>
    </w:lvl>
    <w:lvl w:ilvl="4" w:tplc="48FC6DC4">
      <w:numFmt w:val="bullet"/>
      <w:lvlText w:val="•"/>
      <w:lvlJc w:val="left"/>
      <w:pPr>
        <w:ind w:left="2670" w:hanging="217"/>
      </w:pPr>
      <w:rPr>
        <w:rFonts w:hint="default"/>
        <w:lang w:val="en-GB" w:eastAsia="en-GB" w:bidi="en-GB"/>
      </w:rPr>
    </w:lvl>
    <w:lvl w:ilvl="5" w:tplc="789ECD7C">
      <w:numFmt w:val="bullet"/>
      <w:lvlText w:val="•"/>
      <w:lvlJc w:val="left"/>
      <w:pPr>
        <w:ind w:left="3263" w:hanging="217"/>
      </w:pPr>
      <w:rPr>
        <w:rFonts w:hint="default"/>
        <w:lang w:val="en-GB" w:eastAsia="en-GB" w:bidi="en-GB"/>
      </w:rPr>
    </w:lvl>
    <w:lvl w:ilvl="6" w:tplc="A2343362">
      <w:numFmt w:val="bullet"/>
      <w:lvlText w:val="•"/>
      <w:lvlJc w:val="left"/>
      <w:pPr>
        <w:ind w:left="3855" w:hanging="217"/>
      </w:pPr>
      <w:rPr>
        <w:rFonts w:hint="default"/>
        <w:lang w:val="en-GB" w:eastAsia="en-GB" w:bidi="en-GB"/>
      </w:rPr>
    </w:lvl>
    <w:lvl w:ilvl="7" w:tplc="7F4052E6">
      <w:numFmt w:val="bullet"/>
      <w:lvlText w:val="•"/>
      <w:lvlJc w:val="left"/>
      <w:pPr>
        <w:ind w:left="4448" w:hanging="217"/>
      </w:pPr>
      <w:rPr>
        <w:rFonts w:hint="default"/>
        <w:lang w:val="en-GB" w:eastAsia="en-GB" w:bidi="en-GB"/>
      </w:rPr>
    </w:lvl>
    <w:lvl w:ilvl="8" w:tplc="9EA21EE0">
      <w:numFmt w:val="bullet"/>
      <w:lvlText w:val="•"/>
      <w:lvlJc w:val="left"/>
      <w:pPr>
        <w:ind w:left="5040" w:hanging="217"/>
      </w:pPr>
      <w:rPr>
        <w:rFonts w:hint="default"/>
        <w:lang w:val="en-GB" w:eastAsia="en-GB" w:bidi="en-GB"/>
      </w:rPr>
    </w:lvl>
  </w:abstractNum>
  <w:abstractNum w:abstractNumId="192" w15:restartNumberingAfterBreak="0">
    <w:nsid w:val="11604343"/>
    <w:multiLevelType w:val="hybridMultilevel"/>
    <w:tmpl w:val="3C840E34"/>
    <w:lvl w:ilvl="0" w:tplc="1CC86462">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64928F5E">
      <w:numFmt w:val="bullet"/>
      <w:lvlText w:val="•"/>
      <w:lvlJc w:val="left"/>
      <w:pPr>
        <w:ind w:left="892" w:hanging="217"/>
      </w:pPr>
      <w:rPr>
        <w:rFonts w:hint="default"/>
        <w:lang w:val="en-GB" w:eastAsia="en-GB" w:bidi="en-GB"/>
      </w:rPr>
    </w:lvl>
    <w:lvl w:ilvl="2" w:tplc="9670D9B4">
      <w:numFmt w:val="bullet"/>
      <w:lvlText w:val="•"/>
      <w:lvlJc w:val="left"/>
      <w:pPr>
        <w:ind w:left="1485" w:hanging="217"/>
      </w:pPr>
      <w:rPr>
        <w:rFonts w:hint="default"/>
        <w:lang w:val="en-GB" w:eastAsia="en-GB" w:bidi="en-GB"/>
      </w:rPr>
    </w:lvl>
    <w:lvl w:ilvl="3" w:tplc="54444EFE">
      <w:numFmt w:val="bullet"/>
      <w:lvlText w:val="•"/>
      <w:lvlJc w:val="left"/>
      <w:pPr>
        <w:ind w:left="2077" w:hanging="217"/>
      </w:pPr>
      <w:rPr>
        <w:rFonts w:hint="default"/>
        <w:lang w:val="en-GB" w:eastAsia="en-GB" w:bidi="en-GB"/>
      </w:rPr>
    </w:lvl>
    <w:lvl w:ilvl="4" w:tplc="CA162AB8">
      <w:numFmt w:val="bullet"/>
      <w:lvlText w:val="•"/>
      <w:lvlJc w:val="left"/>
      <w:pPr>
        <w:ind w:left="2670" w:hanging="217"/>
      </w:pPr>
      <w:rPr>
        <w:rFonts w:hint="default"/>
        <w:lang w:val="en-GB" w:eastAsia="en-GB" w:bidi="en-GB"/>
      </w:rPr>
    </w:lvl>
    <w:lvl w:ilvl="5" w:tplc="25D6CCCE">
      <w:numFmt w:val="bullet"/>
      <w:lvlText w:val="•"/>
      <w:lvlJc w:val="left"/>
      <w:pPr>
        <w:ind w:left="3263" w:hanging="217"/>
      </w:pPr>
      <w:rPr>
        <w:rFonts w:hint="default"/>
        <w:lang w:val="en-GB" w:eastAsia="en-GB" w:bidi="en-GB"/>
      </w:rPr>
    </w:lvl>
    <w:lvl w:ilvl="6" w:tplc="8A263EAE">
      <w:numFmt w:val="bullet"/>
      <w:lvlText w:val="•"/>
      <w:lvlJc w:val="left"/>
      <w:pPr>
        <w:ind w:left="3855" w:hanging="217"/>
      </w:pPr>
      <w:rPr>
        <w:rFonts w:hint="default"/>
        <w:lang w:val="en-GB" w:eastAsia="en-GB" w:bidi="en-GB"/>
      </w:rPr>
    </w:lvl>
    <w:lvl w:ilvl="7" w:tplc="152224AE">
      <w:numFmt w:val="bullet"/>
      <w:lvlText w:val="•"/>
      <w:lvlJc w:val="left"/>
      <w:pPr>
        <w:ind w:left="4448" w:hanging="217"/>
      </w:pPr>
      <w:rPr>
        <w:rFonts w:hint="default"/>
        <w:lang w:val="en-GB" w:eastAsia="en-GB" w:bidi="en-GB"/>
      </w:rPr>
    </w:lvl>
    <w:lvl w:ilvl="8" w:tplc="8910A7AE">
      <w:numFmt w:val="bullet"/>
      <w:lvlText w:val="•"/>
      <w:lvlJc w:val="left"/>
      <w:pPr>
        <w:ind w:left="5040" w:hanging="217"/>
      </w:pPr>
      <w:rPr>
        <w:rFonts w:hint="default"/>
        <w:lang w:val="en-GB" w:eastAsia="en-GB" w:bidi="en-GB"/>
      </w:rPr>
    </w:lvl>
  </w:abstractNum>
  <w:abstractNum w:abstractNumId="193" w15:restartNumberingAfterBreak="0">
    <w:nsid w:val="11615B67"/>
    <w:multiLevelType w:val="hybridMultilevel"/>
    <w:tmpl w:val="A06A929C"/>
    <w:lvl w:ilvl="0" w:tplc="EADCBE56">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82E86F4C">
      <w:numFmt w:val="bullet"/>
      <w:lvlText w:val="•"/>
      <w:lvlJc w:val="left"/>
      <w:pPr>
        <w:ind w:left="892" w:hanging="217"/>
      </w:pPr>
      <w:rPr>
        <w:rFonts w:hint="default"/>
        <w:lang w:val="en-GB" w:eastAsia="en-GB" w:bidi="en-GB"/>
      </w:rPr>
    </w:lvl>
    <w:lvl w:ilvl="2" w:tplc="49047598">
      <w:numFmt w:val="bullet"/>
      <w:lvlText w:val="•"/>
      <w:lvlJc w:val="left"/>
      <w:pPr>
        <w:ind w:left="1485" w:hanging="217"/>
      </w:pPr>
      <w:rPr>
        <w:rFonts w:hint="default"/>
        <w:lang w:val="en-GB" w:eastAsia="en-GB" w:bidi="en-GB"/>
      </w:rPr>
    </w:lvl>
    <w:lvl w:ilvl="3" w:tplc="C9E01D56">
      <w:numFmt w:val="bullet"/>
      <w:lvlText w:val="•"/>
      <w:lvlJc w:val="left"/>
      <w:pPr>
        <w:ind w:left="2077" w:hanging="217"/>
      </w:pPr>
      <w:rPr>
        <w:rFonts w:hint="default"/>
        <w:lang w:val="en-GB" w:eastAsia="en-GB" w:bidi="en-GB"/>
      </w:rPr>
    </w:lvl>
    <w:lvl w:ilvl="4" w:tplc="B128E96E">
      <w:numFmt w:val="bullet"/>
      <w:lvlText w:val="•"/>
      <w:lvlJc w:val="left"/>
      <w:pPr>
        <w:ind w:left="2670" w:hanging="217"/>
      </w:pPr>
      <w:rPr>
        <w:rFonts w:hint="default"/>
        <w:lang w:val="en-GB" w:eastAsia="en-GB" w:bidi="en-GB"/>
      </w:rPr>
    </w:lvl>
    <w:lvl w:ilvl="5" w:tplc="A6E6516E">
      <w:numFmt w:val="bullet"/>
      <w:lvlText w:val="•"/>
      <w:lvlJc w:val="left"/>
      <w:pPr>
        <w:ind w:left="3263" w:hanging="217"/>
      </w:pPr>
      <w:rPr>
        <w:rFonts w:hint="default"/>
        <w:lang w:val="en-GB" w:eastAsia="en-GB" w:bidi="en-GB"/>
      </w:rPr>
    </w:lvl>
    <w:lvl w:ilvl="6" w:tplc="57A26F3A">
      <w:numFmt w:val="bullet"/>
      <w:lvlText w:val="•"/>
      <w:lvlJc w:val="left"/>
      <w:pPr>
        <w:ind w:left="3855" w:hanging="217"/>
      </w:pPr>
      <w:rPr>
        <w:rFonts w:hint="default"/>
        <w:lang w:val="en-GB" w:eastAsia="en-GB" w:bidi="en-GB"/>
      </w:rPr>
    </w:lvl>
    <w:lvl w:ilvl="7" w:tplc="7ACC7F1E">
      <w:numFmt w:val="bullet"/>
      <w:lvlText w:val="•"/>
      <w:lvlJc w:val="left"/>
      <w:pPr>
        <w:ind w:left="4448" w:hanging="217"/>
      </w:pPr>
      <w:rPr>
        <w:rFonts w:hint="default"/>
        <w:lang w:val="en-GB" w:eastAsia="en-GB" w:bidi="en-GB"/>
      </w:rPr>
    </w:lvl>
    <w:lvl w:ilvl="8" w:tplc="14320F86">
      <w:numFmt w:val="bullet"/>
      <w:lvlText w:val="•"/>
      <w:lvlJc w:val="left"/>
      <w:pPr>
        <w:ind w:left="5040" w:hanging="217"/>
      </w:pPr>
      <w:rPr>
        <w:rFonts w:hint="default"/>
        <w:lang w:val="en-GB" w:eastAsia="en-GB" w:bidi="en-GB"/>
      </w:rPr>
    </w:lvl>
  </w:abstractNum>
  <w:abstractNum w:abstractNumId="194" w15:restartNumberingAfterBreak="0">
    <w:nsid w:val="116579CD"/>
    <w:multiLevelType w:val="hybridMultilevel"/>
    <w:tmpl w:val="2310955C"/>
    <w:lvl w:ilvl="0" w:tplc="7806052A">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6722EC8A">
      <w:numFmt w:val="bullet"/>
      <w:lvlText w:val="•"/>
      <w:lvlJc w:val="left"/>
      <w:pPr>
        <w:ind w:left="441" w:hanging="217"/>
      </w:pPr>
      <w:rPr>
        <w:rFonts w:hint="default"/>
        <w:lang w:val="en-GB" w:eastAsia="en-GB" w:bidi="en-GB"/>
      </w:rPr>
    </w:lvl>
    <w:lvl w:ilvl="2" w:tplc="0CF2FA5C">
      <w:numFmt w:val="bullet"/>
      <w:lvlText w:val="•"/>
      <w:lvlJc w:val="left"/>
      <w:pPr>
        <w:ind w:left="583" w:hanging="217"/>
      </w:pPr>
      <w:rPr>
        <w:rFonts w:hint="default"/>
        <w:lang w:val="en-GB" w:eastAsia="en-GB" w:bidi="en-GB"/>
      </w:rPr>
    </w:lvl>
    <w:lvl w:ilvl="3" w:tplc="36D84602">
      <w:numFmt w:val="bullet"/>
      <w:lvlText w:val="•"/>
      <w:lvlJc w:val="left"/>
      <w:pPr>
        <w:ind w:left="725" w:hanging="217"/>
      </w:pPr>
      <w:rPr>
        <w:rFonts w:hint="default"/>
        <w:lang w:val="en-GB" w:eastAsia="en-GB" w:bidi="en-GB"/>
      </w:rPr>
    </w:lvl>
    <w:lvl w:ilvl="4" w:tplc="20301C56">
      <w:numFmt w:val="bullet"/>
      <w:lvlText w:val="•"/>
      <w:lvlJc w:val="left"/>
      <w:pPr>
        <w:ind w:left="867" w:hanging="217"/>
      </w:pPr>
      <w:rPr>
        <w:rFonts w:hint="default"/>
        <w:lang w:val="en-GB" w:eastAsia="en-GB" w:bidi="en-GB"/>
      </w:rPr>
    </w:lvl>
    <w:lvl w:ilvl="5" w:tplc="81AAF8BE">
      <w:numFmt w:val="bullet"/>
      <w:lvlText w:val="•"/>
      <w:lvlJc w:val="left"/>
      <w:pPr>
        <w:ind w:left="1009" w:hanging="217"/>
      </w:pPr>
      <w:rPr>
        <w:rFonts w:hint="default"/>
        <w:lang w:val="en-GB" w:eastAsia="en-GB" w:bidi="en-GB"/>
      </w:rPr>
    </w:lvl>
    <w:lvl w:ilvl="6" w:tplc="1F6E36D0">
      <w:numFmt w:val="bullet"/>
      <w:lvlText w:val="•"/>
      <w:lvlJc w:val="left"/>
      <w:pPr>
        <w:ind w:left="1151" w:hanging="217"/>
      </w:pPr>
      <w:rPr>
        <w:rFonts w:hint="default"/>
        <w:lang w:val="en-GB" w:eastAsia="en-GB" w:bidi="en-GB"/>
      </w:rPr>
    </w:lvl>
    <w:lvl w:ilvl="7" w:tplc="194E4CB6">
      <w:numFmt w:val="bullet"/>
      <w:lvlText w:val="•"/>
      <w:lvlJc w:val="left"/>
      <w:pPr>
        <w:ind w:left="1293" w:hanging="217"/>
      </w:pPr>
      <w:rPr>
        <w:rFonts w:hint="default"/>
        <w:lang w:val="en-GB" w:eastAsia="en-GB" w:bidi="en-GB"/>
      </w:rPr>
    </w:lvl>
    <w:lvl w:ilvl="8" w:tplc="4D60C2E6">
      <w:numFmt w:val="bullet"/>
      <w:lvlText w:val="•"/>
      <w:lvlJc w:val="left"/>
      <w:pPr>
        <w:ind w:left="1435" w:hanging="217"/>
      </w:pPr>
      <w:rPr>
        <w:rFonts w:hint="default"/>
        <w:lang w:val="en-GB" w:eastAsia="en-GB" w:bidi="en-GB"/>
      </w:rPr>
    </w:lvl>
  </w:abstractNum>
  <w:abstractNum w:abstractNumId="195" w15:restartNumberingAfterBreak="0">
    <w:nsid w:val="116740AA"/>
    <w:multiLevelType w:val="hybridMultilevel"/>
    <w:tmpl w:val="125CCDB0"/>
    <w:lvl w:ilvl="0" w:tplc="7B38A8F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0642078">
      <w:numFmt w:val="bullet"/>
      <w:lvlText w:val="•"/>
      <w:lvlJc w:val="left"/>
      <w:pPr>
        <w:ind w:left="473" w:hanging="217"/>
      </w:pPr>
      <w:rPr>
        <w:rFonts w:hint="default"/>
        <w:lang w:val="en-GB" w:eastAsia="en-GB" w:bidi="en-GB"/>
      </w:rPr>
    </w:lvl>
    <w:lvl w:ilvl="2" w:tplc="16983964">
      <w:numFmt w:val="bullet"/>
      <w:lvlText w:val="•"/>
      <w:lvlJc w:val="left"/>
      <w:pPr>
        <w:ind w:left="646" w:hanging="217"/>
      </w:pPr>
      <w:rPr>
        <w:rFonts w:hint="default"/>
        <w:lang w:val="en-GB" w:eastAsia="en-GB" w:bidi="en-GB"/>
      </w:rPr>
    </w:lvl>
    <w:lvl w:ilvl="3" w:tplc="1A5A7614">
      <w:numFmt w:val="bullet"/>
      <w:lvlText w:val="•"/>
      <w:lvlJc w:val="left"/>
      <w:pPr>
        <w:ind w:left="819" w:hanging="217"/>
      </w:pPr>
      <w:rPr>
        <w:rFonts w:hint="default"/>
        <w:lang w:val="en-GB" w:eastAsia="en-GB" w:bidi="en-GB"/>
      </w:rPr>
    </w:lvl>
    <w:lvl w:ilvl="4" w:tplc="397CC346">
      <w:numFmt w:val="bullet"/>
      <w:lvlText w:val="•"/>
      <w:lvlJc w:val="left"/>
      <w:pPr>
        <w:ind w:left="992" w:hanging="217"/>
      </w:pPr>
      <w:rPr>
        <w:rFonts w:hint="default"/>
        <w:lang w:val="en-GB" w:eastAsia="en-GB" w:bidi="en-GB"/>
      </w:rPr>
    </w:lvl>
    <w:lvl w:ilvl="5" w:tplc="FB6C034E">
      <w:numFmt w:val="bullet"/>
      <w:lvlText w:val="•"/>
      <w:lvlJc w:val="left"/>
      <w:pPr>
        <w:ind w:left="1165" w:hanging="217"/>
      </w:pPr>
      <w:rPr>
        <w:rFonts w:hint="default"/>
        <w:lang w:val="en-GB" w:eastAsia="en-GB" w:bidi="en-GB"/>
      </w:rPr>
    </w:lvl>
    <w:lvl w:ilvl="6" w:tplc="35C2E45A">
      <w:numFmt w:val="bullet"/>
      <w:lvlText w:val="•"/>
      <w:lvlJc w:val="left"/>
      <w:pPr>
        <w:ind w:left="1338" w:hanging="217"/>
      </w:pPr>
      <w:rPr>
        <w:rFonts w:hint="default"/>
        <w:lang w:val="en-GB" w:eastAsia="en-GB" w:bidi="en-GB"/>
      </w:rPr>
    </w:lvl>
    <w:lvl w:ilvl="7" w:tplc="164CCE90">
      <w:numFmt w:val="bullet"/>
      <w:lvlText w:val="•"/>
      <w:lvlJc w:val="left"/>
      <w:pPr>
        <w:ind w:left="1511" w:hanging="217"/>
      </w:pPr>
      <w:rPr>
        <w:rFonts w:hint="default"/>
        <w:lang w:val="en-GB" w:eastAsia="en-GB" w:bidi="en-GB"/>
      </w:rPr>
    </w:lvl>
    <w:lvl w:ilvl="8" w:tplc="08BC87FE">
      <w:numFmt w:val="bullet"/>
      <w:lvlText w:val="•"/>
      <w:lvlJc w:val="left"/>
      <w:pPr>
        <w:ind w:left="1684" w:hanging="217"/>
      </w:pPr>
      <w:rPr>
        <w:rFonts w:hint="default"/>
        <w:lang w:val="en-GB" w:eastAsia="en-GB" w:bidi="en-GB"/>
      </w:rPr>
    </w:lvl>
  </w:abstractNum>
  <w:abstractNum w:abstractNumId="196" w15:restartNumberingAfterBreak="0">
    <w:nsid w:val="116B7A37"/>
    <w:multiLevelType w:val="hybridMultilevel"/>
    <w:tmpl w:val="E196D55C"/>
    <w:lvl w:ilvl="0" w:tplc="BEC4DA7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47EBC40">
      <w:numFmt w:val="bullet"/>
      <w:lvlText w:val="•"/>
      <w:lvlJc w:val="left"/>
      <w:pPr>
        <w:ind w:left="473" w:hanging="217"/>
      </w:pPr>
      <w:rPr>
        <w:rFonts w:hint="default"/>
        <w:lang w:val="en-GB" w:eastAsia="en-GB" w:bidi="en-GB"/>
      </w:rPr>
    </w:lvl>
    <w:lvl w:ilvl="2" w:tplc="665654B2">
      <w:numFmt w:val="bullet"/>
      <w:lvlText w:val="•"/>
      <w:lvlJc w:val="left"/>
      <w:pPr>
        <w:ind w:left="646" w:hanging="217"/>
      </w:pPr>
      <w:rPr>
        <w:rFonts w:hint="default"/>
        <w:lang w:val="en-GB" w:eastAsia="en-GB" w:bidi="en-GB"/>
      </w:rPr>
    </w:lvl>
    <w:lvl w:ilvl="3" w:tplc="B43A9564">
      <w:numFmt w:val="bullet"/>
      <w:lvlText w:val="•"/>
      <w:lvlJc w:val="left"/>
      <w:pPr>
        <w:ind w:left="819" w:hanging="217"/>
      </w:pPr>
      <w:rPr>
        <w:rFonts w:hint="default"/>
        <w:lang w:val="en-GB" w:eastAsia="en-GB" w:bidi="en-GB"/>
      </w:rPr>
    </w:lvl>
    <w:lvl w:ilvl="4" w:tplc="92B011E8">
      <w:numFmt w:val="bullet"/>
      <w:lvlText w:val="•"/>
      <w:lvlJc w:val="left"/>
      <w:pPr>
        <w:ind w:left="992" w:hanging="217"/>
      </w:pPr>
      <w:rPr>
        <w:rFonts w:hint="default"/>
        <w:lang w:val="en-GB" w:eastAsia="en-GB" w:bidi="en-GB"/>
      </w:rPr>
    </w:lvl>
    <w:lvl w:ilvl="5" w:tplc="50FA204C">
      <w:numFmt w:val="bullet"/>
      <w:lvlText w:val="•"/>
      <w:lvlJc w:val="left"/>
      <w:pPr>
        <w:ind w:left="1165" w:hanging="217"/>
      </w:pPr>
      <w:rPr>
        <w:rFonts w:hint="default"/>
        <w:lang w:val="en-GB" w:eastAsia="en-GB" w:bidi="en-GB"/>
      </w:rPr>
    </w:lvl>
    <w:lvl w:ilvl="6" w:tplc="77546C98">
      <w:numFmt w:val="bullet"/>
      <w:lvlText w:val="•"/>
      <w:lvlJc w:val="left"/>
      <w:pPr>
        <w:ind w:left="1338" w:hanging="217"/>
      </w:pPr>
      <w:rPr>
        <w:rFonts w:hint="default"/>
        <w:lang w:val="en-GB" w:eastAsia="en-GB" w:bidi="en-GB"/>
      </w:rPr>
    </w:lvl>
    <w:lvl w:ilvl="7" w:tplc="76040E10">
      <w:numFmt w:val="bullet"/>
      <w:lvlText w:val="•"/>
      <w:lvlJc w:val="left"/>
      <w:pPr>
        <w:ind w:left="1511" w:hanging="217"/>
      </w:pPr>
      <w:rPr>
        <w:rFonts w:hint="default"/>
        <w:lang w:val="en-GB" w:eastAsia="en-GB" w:bidi="en-GB"/>
      </w:rPr>
    </w:lvl>
    <w:lvl w:ilvl="8" w:tplc="C9A2D708">
      <w:numFmt w:val="bullet"/>
      <w:lvlText w:val="•"/>
      <w:lvlJc w:val="left"/>
      <w:pPr>
        <w:ind w:left="1684" w:hanging="217"/>
      </w:pPr>
      <w:rPr>
        <w:rFonts w:hint="default"/>
        <w:lang w:val="en-GB" w:eastAsia="en-GB" w:bidi="en-GB"/>
      </w:rPr>
    </w:lvl>
  </w:abstractNum>
  <w:abstractNum w:abstractNumId="197" w15:restartNumberingAfterBreak="0">
    <w:nsid w:val="1173280E"/>
    <w:multiLevelType w:val="hybridMultilevel"/>
    <w:tmpl w:val="DBA86E88"/>
    <w:lvl w:ilvl="0" w:tplc="C1847E5A">
      <w:numFmt w:val="bullet"/>
      <w:lvlText w:val="•"/>
      <w:lvlJc w:val="left"/>
      <w:pPr>
        <w:ind w:left="307" w:hanging="217"/>
      </w:pPr>
      <w:rPr>
        <w:rFonts w:ascii="Arial" w:eastAsia="Arial" w:hAnsi="Arial" w:cs="Arial" w:hint="default"/>
        <w:color w:val="231F20"/>
        <w:spacing w:val="-1"/>
        <w:w w:val="100"/>
        <w:sz w:val="18"/>
        <w:szCs w:val="18"/>
        <w:lang w:val="en-GB" w:eastAsia="en-GB" w:bidi="en-GB"/>
      </w:rPr>
    </w:lvl>
    <w:lvl w:ilvl="1" w:tplc="E65CF6D2">
      <w:numFmt w:val="bullet"/>
      <w:lvlText w:val="•"/>
      <w:lvlJc w:val="left"/>
      <w:pPr>
        <w:ind w:left="444" w:hanging="217"/>
      </w:pPr>
      <w:rPr>
        <w:rFonts w:hint="default"/>
        <w:lang w:val="en-GB" w:eastAsia="en-GB" w:bidi="en-GB"/>
      </w:rPr>
    </w:lvl>
    <w:lvl w:ilvl="2" w:tplc="89E0E88A">
      <w:numFmt w:val="bullet"/>
      <w:lvlText w:val="•"/>
      <w:lvlJc w:val="left"/>
      <w:pPr>
        <w:ind w:left="589" w:hanging="217"/>
      </w:pPr>
      <w:rPr>
        <w:rFonts w:hint="default"/>
        <w:lang w:val="en-GB" w:eastAsia="en-GB" w:bidi="en-GB"/>
      </w:rPr>
    </w:lvl>
    <w:lvl w:ilvl="3" w:tplc="8108723A">
      <w:numFmt w:val="bullet"/>
      <w:lvlText w:val="•"/>
      <w:lvlJc w:val="left"/>
      <w:pPr>
        <w:ind w:left="734" w:hanging="217"/>
      </w:pPr>
      <w:rPr>
        <w:rFonts w:hint="default"/>
        <w:lang w:val="en-GB" w:eastAsia="en-GB" w:bidi="en-GB"/>
      </w:rPr>
    </w:lvl>
    <w:lvl w:ilvl="4" w:tplc="B42C6BCC">
      <w:numFmt w:val="bullet"/>
      <w:lvlText w:val="•"/>
      <w:lvlJc w:val="left"/>
      <w:pPr>
        <w:ind w:left="878" w:hanging="217"/>
      </w:pPr>
      <w:rPr>
        <w:rFonts w:hint="default"/>
        <w:lang w:val="en-GB" w:eastAsia="en-GB" w:bidi="en-GB"/>
      </w:rPr>
    </w:lvl>
    <w:lvl w:ilvl="5" w:tplc="D74E42EA">
      <w:numFmt w:val="bullet"/>
      <w:lvlText w:val="•"/>
      <w:lvlJc w:val="left"/>
      <w:pPr>
        <w:ind w:left="1023" w:hanging="217"/>
      </w:pPr>
      <w:rPr>
        <w:rFonts w:hint="default"/>
        <w:lang w:val="en-GB" w:eastAsia="en-GB" w:bidi="en-GB"/>
      </w:rPr>
    </w:lvl>
    <w:lvl w:ilvl="6" w:tplc="7D8A81EE">
      <w:numFmt w:val="bullet"/>
      <w:lvlText w:val="•"/>
      <w:lvlJc w:val="left"/>
      <w:pPr>
        <w:ind w:left="1168" w:hanging="217"/>
      </w:pPr>
      <w:rPr>
        <w:rFonts w:hint="default"/>
        <w:lang w:val="en-GB" w:eastAsia="en-GB" w:bidi="en-GB"/>
      </w:rPr>
    </w:lvl>
    <w:lvl w:ilvl="7" w:tplc="2568681A">
      <w:numFmt w:val="bullet"/>
      <w:lvlText w:val="•"/>
      <w:lvlJc w:val="left"/>
      <w:pPr>
        <w:ind w:left="1312" w:hanging="217"/>
      </w:pPr>
      <w:rPr>
        <w:rFonts w:hint="default"/>
        <w:lang w:val="en-GB" w:eastAsia="en-GB" w:bidi="en-GB"/>
      </w:rPr>
    </w:lvl>
    <w:lvl w:ilvl="8" w:tplc="2D42A2EA">
      <w:numFmt w:val="bullet"/>
      <w:lvlText w:val="•"/>
      <w:lvlJc w:val="left"/>
      <w:pPr>
        <w:ind w:left="1457" w:hanging="217"/>
      </w:pPr>
      <w:rPr>
        <w:rFonts w:hint="default"/>
        <w:lang w:val="en-GB" w:eastAsia="en-GB" w:bidi="en-GB"/>
      </w:rPr>
    </w:lvl>
  </w:abstractNum>
  <w:abstractNum w:abstractNumId="198" w15:restartNumberingAfterBreak="0">
    <w:nsid w:val="11744C7D"/>
    <w:multiLevelType w:val="hybridMultilevel"/>
    <w:tmpl w:val="40A08816"/>
    <w:lvl w:ilvl="0" w:tplc="345C0A1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8B6A33A">
      <w:numFmt w:val="bullet"/>
      <w:lvlText w:val="•"/>
      <w:lvlJc w:val="left"/>
      <w:pPr>
        <w:ind w:left="473" w:hanging="217"/>
      </w:pPr>
      <w:rPr>
        <w:rFonts w:hint="default"/>
        <w:lang w:val="en-GB" w:eastAsia="en-GB" w:bidi="en-GB"/>
      </w:rPr>
    </w:lvl>
    <w:lvl w:ilvl="2" w:tplc="5F386200">
      <w:numFmt w:val="bullet"/>
      <w:lvlText w:val="•"/>
      <w:lvlJc w:val="left"/>
      <w:pPr>
        <w:ind w:left="646" w:hanging="217"/>
      </w:pPr>
      <w:rPr>
        <w:rFonts w:hint="default"/>
        <w:lang w:val="en-GB" w:eastAsia="en-GB" w:bidi="en-GB"/>
      </w:rPr>
    </w:lvl>
    <w:lvl w:ilvl="3" w:tplc="347E3512">
      <w:numFmt w:val="bullet"/>
      <w:lvlText w:val="•"/>
      <w:lvlJc w:val="left"/>
      <w:pPr>
        <w:ind w:left="819" w:hanging="217"/>
      </w:pPr>
      <w:rPr>
        <w:rFonts w:hint="default"/>
        <w:lang w:val="en-GB" w:eastAsia="en-GB" w:bidi="en-GB"/>
      </w:rPr>
    </w:lvl>
    <w:lvl w:ilvl="4" w:tplc="6F8E0C66">
      <w:numFmt w:val="bullet"/>
      <w:lvlText w:val="•"/>
      <w:lvlJc w:val="left"/>
      <w:pPr>
        <w:ind w:left="992" w:hanging="217"/>
      </w:pPr>
      <w:rPr>
        <w:rFonts w:hint="default"/>
        <w:lang w:val="en-GB" w:eastAsia="en-GB" w:bidi="en-GB"/>
      </w:rPr>
    </w:lvl>
    <w:lvl w:ilvl="5" w:tplc="11D2E320">
      <w:numFmt w:val="bullet"/>
      <w:lvlText w:val="•"/>
      <w:lvlJc w:val="left"/>
      <w:pPr>
        <w:ind w:left="1165" w:hanging="217"/>
      </w:pPr>
      <w:rPr>
        <w:rFonts w:hint="default"/>
        <w:lang w:val="en-GB" w:eastAsia="en-GB" w:bidi="en-GB"/>
      </w:rPr>
    </w:lvl>
    <w:lvl w:ilvl="6" w:tplc="00DE7FBA">
      <w:numFmt w:val="bullet"/>
      <w:lvlText w:val="•"/>
      <w:lvlJc w:val="left"/>
      <w:pPr>
        <w:ind w:left="1338" w:hanging="217"/>
      </w:pPr>
      <w:rPr>
        <w:rFonts w:hint="default"/>
        <w:lang w:val="en-GB" w:eastAsia="en-GB" w:bidi="en-GB"/>
      </w:rPr>
    </w:lvl>
    <w:lvl w:ilvl="7" w:tplc="934EA2F8">
      <w:numFmt w:val="bullet"/>
      <w:lvlText w:val="•"/>
      <w:lvlJc w:val="left"/>
      <w:pPr>
        <w:ind w:left="1511" w:hanging="217"/>
      </w:pPr>
      <w:rPr>
        <w:rFonts w:hint="default"/>
        <w:lang w:val="en-GB" w:eastAsia="en-GB" w:bidi="en-GB"/>
      </w:rPr>
    </w:lvl>
    <w:lvl w:ilvl="8" w:tplc="8D92A98C">
      <w:numFmt w:val="bullet"/>
      <w:lvlText w:val="•"/>
      <w:lvlJc w:val="left"/>
      <w:pPr>
        <w:ind w:left="1684" w:hanging="217"/>
      </w:pPr>
      <w:rPr>
        <w:rFonts w:hint="default"/>
        <w:lang w:val="en-GB" w:eastAsia="en-GB" w:bidi="en-GB"/>
      </w:rPr>
    </w:lvl>
  </w:abstractNum>
  <w:abstractNum w:abstractNumId="199" w15:restartNumberingAfterBreak="0">
    <w:nsid w:val="11762030"/>
    <w:multiLevelType w:val="hybridMultilevel"/>
    <w:tmpl w:val="1E8C2308"/>
    <w:lvl w:ilvl="0" w:tplc="31805C4C">
      <w:numFmt w:val="bullet"/>
      <w:lvlText w:val="•"/>
      <w:lvlJc w:val="left"/>
      <w:pPr>
        <w:ind w:left="305" w:hanging="217"/>
      </w:pPr>
      <w:rPr>
        <w:rFonts w:ascii="Arial" w:eastAsia="Arial" w:hAnsi="Arial" w:cs="Arial" w:hint="default"/>
        <w:color w:val="231F20"/>
        <w:spacing w:val="-20"/>
        <w:w w:val="100"/>
        <w:sz w:val="18"/>
        <w:szCs w:val="18"/>
        <w:lang w:val="en-GB" w:eastAsia="en-GB" w:bidi="en-GB"/>
      </w:rPr>
    </w:lvl>
    <w:lvl w:ilvl="1" w:tplc="4114F5E0">
      <w:numFmt w:val="bullet"/>
      <w:lvlText w:val="•"/>
      <w:lvlJc w:val="left"/>
      <w:pPr>
        <w:ind w:left="441" w:hanging="217"/>
      </w:pPr>
      <w:rPr>
        <w:rFonts w:hint="default"/>
        <w:lang w:val="en-GB" w:eastAsia="en-GB" w:bidi="en-GB"/>
      </w:rPr>
    </w:lvl>
    <w:lvl w:ilvl="2" w:tplc="3016490A">
      <w:numFmt w:val="bullet"/>
      <w:lvlText w:val="•"/>
      <w:lvlJc w:val="left"/>
      <w:pPr>
        <w:ind w:left="583" w:hanging="217"/>
      </w:pPr>
      <w:rPr>
        <w:rFonts w:hint="default"/>
        <w:lang w:val="en-GB" w:eastAsia="en-GB" w:bidi="en-GB"/>
      </w:rPr>
    </w:lvl>
    <w:lvl w:ilvl="3" w:tplc="6B448C52">
      <w:numFmt w:val="bullet"/>
      <w:lvlText w:val="•"/>
      <w:lvlJc w:val="left"/>
      <w:pPr>
        <w:ind w:left="725" w:hanging="217"/>
      </w:pPr>
      <w:rPr>
        <w:rFonts w:hint="default"/>
        <w:lang w:val="en-GB" w:eastAsia="en-GB" w:bidi="en-GB"/>
      </w:rPr>
    </w:lvl>
    <w:lvl w:ilvl="4" w:tplc="96DABB90">
      <w:numFmt w:val="bullet"/>
      <w:lvlText w:val="•"/>
      <w:lvlJc w:val="left"/>
      <w:pPr>
        <w:ind w:left="867" w:hanging="217"/>
      </w:pPr>
      <w:rPr>
        <w:rFonts w:hint="default"/>
        <w:lang w:val="en-GB" w:eastAsia="en-GB" w:bidi="en-GB"/>
      </w:rPr>
    </w:lvl>
    <w:lvl w:ilvl="5" w:tplc="F8BE4846">
      <w:numFmt w:val="bullet"/>
      <w:lvlText w:val="•"/>
      <w:lvlJc w:val="left"/>
      <w:pPr>
        <w:ind w:left="1009" w:hanging="217"/>
      </w:pPr>
      <w:rPr>
        <w:rFonts w:hint="default"/>
        <w:lang w:val="en-GB" w:eastAsia="en-GB" w:bidi="en-GB"/>
      </w:rPr>
    </w:lvl>
    <w:lvl w:ilvl="6" w:tplc="21B0D4BA">
      <w:numFmt w:val="bullet"/>
      <w:lvlText w:val="•"/>
      <w:lvlJc w:val="left"/>
      <w:pPr>
        <w:ind w:left="1151" w:hanging="217"/>
      </w:pPr>
      <w:rPr>
        <w:rFonts w:hint="default"/>
        <w:lang w:val="en-GB" w:eastAsia="en-GB" w:bidi="en-GB"/>
      </w:rPr>
    </w:lvl>
    <w:lvl w:ilvl="7" w:tplc="88B06372">
      <w:numFmt w:val="bullet"/>
      <w:lvlText w:val="•"/>
      <w:lvlJc w:val="left"/>
      <w:pPr>
        <w:ind w:left="1293" w:hanging="217"/>
      </w:pPr>
      <w:rPr>
        <w:rFonts w:hint="default"/>
        <w:lang w:val="en-GB" w:eastAsia="en-GB" w:bidi="en-GB"/>
      </w:rPr>
    </w:lvl>
    <w:lvl w:ilvl="8" w:tplc="6422CD98">
      <w:numFmt w:val="bullet"/>
      <w:lvlText w:val="•"/>
      <w:lvlJc w:val="left"/>
      <w:pPr>
        <w:ind w:left="1435" w:hanging="217"/>
      </w:pPr>
      <w:rPr>
        <w:rFonts w:hint="default"/>
        <w:lang w:val="en-GB" w:eastAsia="en-GB" w:bidi="en-GB"/>
      </w:rPr>
    </w:lvl>
  </w:abstractNum>
  <w:abstractNum w:abstractNumId="200" w15:restartNumberingAfterBreak="0">
    <w:nsid w:val="117C0229"/>
    <w:multiLevelType w:val="hybridMultilevel"/>
    <w:tmpl w:val="26B8C87C"/>
    <w:lvl w:ilvl="0" w:tplc="BEBCE73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A404B3E">
      <w:numFmt w:val="bullet"/>
      <w:lvlText w:val="•"/>
      <w:lvlJc w:val="left"/>
      <w:pPr>
        <w:ind w:left="473" w:hanging="217"/>
      </w:pPr>
      <w:rPr>
        <w:rFonts w:hint="default"/>
        <w:lang w:val="en-GB" w:eastAsia="en-GB" w:bidi="en-GB"/>
      </w:rPr>
    </w:lvl>
    <w:lvl w:ilvl="2" w:tplc="111EF236">
      <w:numFmt w:val="bullet"/>
      <w:lvlText w:val="•"/>
      <w:lvlJc w:val="left"/>
      <w:pPr>
        <w:ind w:left="646" w:hanging="217"/>
      </w:pPr>
      <w:rPr>
        <w:rFonts w:hint="default"/>
        <w:lang w:val="en-GB" w:eastAsia="en-GB" w:bidi="en-GB"/>
      </w:rPr>
    </w:lvl>
    <w:lvl w:ilvl="3" w:tplc="B59A6850">
      <w:numFmt w:val="bullet"/>
      <w:lvlText w:val="•"/>
      <w:lvlJc w:val="left"/>
      <w:pPr>
        <w:ind w:left="819" w:hanging="217"/>
      </w:pPr>
      <w:rPr>
        <w:rFonts w:hint="default"/>
        <w:lang w:val="en-GB" w:eastAsia="en-GB" w:bidi="en-GB"/>
      </w:rPr>
    </w:lvl>
    <w:lvl w:ilvl="4" w:tplc="258E001E">
      <w:numFmt w:val="bullet"/>
      <w:lvlText w:val="•"/>
      <w:lvlJc w:val="left"/>
      <w:pPr>
        <w:ind w:left="992" w:hanging="217"/>
      </w:pPr>
      <w:rPr>
        <w:rFonts w:hint="default"/>
        <w:lang w:val="en-GB" w:eastAsia="en-GB" w:bidi="en-GB"/>
      </w:rPr>
    </w:lvl>
    <w:lvl w:ilvl="5" w:tplc="BC4C32AA">
      <w:numFmt w:val="bullet"/>
      <w:lvlText w:val="•"/>
      <w:lvlJc w:val="left"/>
      <w:pPr>
        <w:ind w:left="1165" w:hanging="217"/>
      </w:pPr>
      <w:rPr>
        <w:rFonts w:hint="default"/>
        <w:lang w:val="en-GB" w:eastAsia="en-GB" w:bidi="en-GB"/>
      </w:rPr>
    </w:lvl>
    <w:lvl w:ilvl="6" w:tplc="0DCEEFF8">
      <w:numFmt w:val="bullet"/>
      <w:lvlText w:val="•"/>
      <w:lvlJc w:val="left"/>
      <w:pPr>
        <w:ind w:left="1338" w:hanging="217"/>
      </w:pPr>
      <w:rPr>
        <w:rFonts w:hint="default"/>
        <w:lang w:val="en-GB" w:eastAsia="en-GB" w:bidi="en-GB"/>
      </w:rPr>
    </w:lvl>
    <w:lvl w:ilvl="7" w:tplc="AC5A9E2A">
      <w:numFmt w:val="bullet"/>
      <w:lvlText w:val="•"/>
      <w:lvlJc w:val="left"/>
      <w:pPr>
        <w:ind w:left="1511" w:hanging="217"/>
      </w:pPr>
      <w:rPr>
        <w:rFonts w:hint="default"/>
        <w:lang w:val="en-GB" w:eastAsia="en-GB" w:bidi="en-GB"/>
      </w:rPr>
    </w:lvl>
    <w:lvl w:ilvl="8" w:tplc="33E89A84">
      <w:numFmt w:val="bullet"/>
      <w:lvlText w:val="•"/>
      <w:lvlJc w:val="left"/>
      <w:pPr>
        <w:ind w:left="1684" w:hanging="217"/>
      </w:pPr>
      <w:rPr>
        <w:rFonts w:hint="default"/>
        <w:lang w:val="en-GB" w:eastAsia="en-GB" w:bidi="en-GB"/>
      </w:rPr>
    </w:lvl>
  </w:abstractNum>
  <w:abstractNum w:abstractNumId="201" w15:restartNumberingAfterBreak="0">
    <w:nsid w:val="119666D0"/>
    <w:multiLevelType w:val="hybridMultilevel"/>
    <w:tmpl w:val="2C563F4E"/>
    <w:lvl w:ilvl="0" w:tplc="E7647334">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2EF60A3C">
      <w:numFmt w:val="bullet"/>
      <w:lvlText w:val="•"/>
      <w:lvlJc w:val="left"/>
      <w:pPr>
        <w:ind w:left="473" w:hanging="217"/>
      </w:pPr>
      <w:rPr>
        <w:rFonts w:hint="default"/>
        <w:lang w:val="en-GB" w:eastAsia="en-GB" w:bidi="en-GB"/>
      </w:rPr>
    </w:lvl>
    <w:lvl w:ilvl="2" w:tplc="EBF6BE70">
      <w:numFmt w:val="bullet"/>
      <w:lvlText w:val="•"/>
      <w:lvlJc w:val="left"/>
      <w:pPr>
        <w:ind w:left="646" w:hanging="217"/>
      </w:pPr>
      <w:rPr>
        <w:rFonts w:hint="default"/>
        <w:lang w:val="en-GB" w:eastAsia="en-GB" w:bidi="en-GB"/>
      </w:rPr>
    </w:lvl>
    <w:lvl w:ilvl="3" w:tplc="605067A2">
      <w:numFmt w:val="bullet"/>
      <w:lvlText w:val="•"/>
      <w:lvlJc w:val="left"/>
      <w:pPr>
        <w:ind w:left="819" w:hanging="217"/>
      </w:pPr>
      <w:rPr>
        <w:rFonts w:hint="default"/>
        <w:lang w:val="en-GB" w:eastAsia="en-GB" w:bidi="en-GB"/>
      </w:rPr>
    </w:lvl>
    <w:lvl w:ilvl="4" w:tplc="1BEEDE24">
      <w:numFmt w:val="bullet"/>
      <w:lvlText w:val="•"/>
      <w:lvlJc w:val="left"/>
      <w:pPr>
        <w:ind w:left="992" w:hanging="217"/>
      </w:pPr>
      <w:rPr>
        <w:rFonts w:hint="default"/>
        <w:lang w:val="en-GB" w:eastAsia="en-GB" w:bidi="en-GB"/>
      </w:rPr>
    </w:lvl>
    <w:lvl w:ilvl="5" w:tplc="A2762B8C">
      <w:numFmt w:val="bullet"/>
      <w:lvlText w:val="•"/>
      <w:lvlJc w:val="left"/>
      <w:pPr>
        <w:ind w:left="1165" w:hanging="217"/>
      </w:pPr>
      <w:rPr>
        <w:rFonts w:hint="default"/>
        <w:lang w:val="en-GB" w:eastAsia="en-GB" w:bidi="en-GB"/>
      </w:rPr>
    </w:lvl>
    <w:lvl w:ilvl="6" w:tplc="FC365EC6">
      <w:numFmt w:val="bullet"/>
      <w:lvlText w:val="•"/>
      <w:lvlJc w:val="left"/>
      <w:pPr>
        <w:ind w:left="1338" w:hanging="217"/>
      </w:pPr>
      <w:rPr>
        <w:rFonts w:hint="default"/>
        <w:lang w:val="en-GB" w:eastAsia="en-GB" w:bidi="en-GB"/>
      </w:rPr>
    </w:lvl>
    <w:lvl w:ilvl="7" w:tplc="64A45F2A">
      <w:numFmt w:val="bullet"/>
      <w:lvlText w:val="•"/>
      <w:lvlJc w:val="left"/>
      <w:pPr>
        <w:ind w:left="1511" w:hanging="217"/>
      </w:pPr>
      <w:rPr>
        <w:rFonts w:hint="default"/>
        <w:lang w:val="en-GB" w:eastAsia="en-GB" w:bidi="en-GB"/>
      </w:rPr>
    </w:lvl>
    <w:lvl w:ilvl="8" w:tplc="26363CFA">
      <w:numFmt w:val="bullet"/>
      <w:lvlText w:val="•"/>
      <w:lvlJc w:val="left"/>
      <w:pPr>
        <w:ind w:left="1684" w:hanging="217"/>
      </w:pPr>
      <w:rPr>
        <w:rFonts w:hint="default"/>
        <w:lang w:val="en-GB" w:eastAsia="en-GB" w:bidi="en-GB"/>
      </w:rPr>
    </w:lvl>
  </w:abstractNum>
  <w:abstractNum w:abstractNumId="202" w15:restartNumberingAfterBreak="0">
    <w:nsid w:val="11D304DD"/>
    <w:multiLevelType w:val="hybridMultilevel"/>
    <w:tmpl w:val="8146F6E8"/>
    <w:lvl w:ilvl="0" w:tplc="E1D8DDC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59C417A6">
      <w:numFmt w:val="bullet"/>
      <w:lvlText w:val="•"/>
      <w:lvlJc w:val="left"/>
      <w:pPr>
        <w:ind w:left="473" w:hanging="217"/>
      </w:pPr>
      <w:rPr>
        <w:rFonts w:hint="default"/>
        <w:lang w:val="en-GB" w:eastAsia="en-GB" w:bidi="en-GB"/>
      </w:rPr>
    </w:lvl>
    <w:lvl w:ilvl="2" w:tplc="86782982">
      <w:numFmt w:val="bullet"/>
      <w:lvlText w:val="•"/>
      <w:lvlJc w:val="left"/>
      <w:pPr>
        <w:ind w:left="646" w:hanging="217"/>
      </w:pPr>
      <w:rPr>
        <w:rFonts w:hint="default"/>
        <w:lang w:val="en-GB" w:eastAsia="en-GB" w:bidi="en-GB"/>
      </w:rPr>
    </w:lvl>
    <w:lvl w:ilvl="3" w:tplc="D33C3DC8">
      <w:numFmt w:val="bullet"/>
      <w:lvlText w:val="•"/>
      <w:lvlJc w:val="left"/>
      <w:pPr>
        <w:ind w:left="819" w:hanging="217"/>
      </w:pPr>
      <w:rPr>
        <w:rFonts w:hint="default"/>
        <w:lang w:val="en-GB" w:eastAsia="en-GB" w:bidi="en-GB"/>
      </w:rPr>
    </w:lvl>
    <w:lvl w:ilvl="4" w:tplc="76BED94E">
      <w:numFmt w:val="bullet"/>
      <w:lvlText w:val="•"/>
      <w:lvlJc w:val="left"/>
      <w:pPr>
        <w:ind w:left="992" w:hanging="217"/>
      </w:pPr>
      <w:rPr>
        <w:rFonts w:hint="default"/>
        <w:lang w:val="en-GB" w:eastAsia="en-GB" w:bidi="en-GB"/>
      </w:rPr>
    </w:lvl>
    <w:lvl w:ilvl="5" w:tplc="198A4AFC">
      <w:numFmt w:val="bullet"/>
      <w:lvlText w:val="•"/>
      <w:lvlJc w:val="left"/>
      <w:pPr>
        <w:ind w:left="1165" w:hanging="217"/>
      </w:pPr>
      <w:rPr>
        <w:rFonts w:hint="default"/>
        <w:lang w:val="en-GB" w:eastAsia="en-GB" w:bidi="en-GB"/>
      </w:rPr>
    </w:lvl>
    <w:lvl w:ilvl="6" w:tplc="04B60CEC">
      <w:numFmt w:val="bullet"/>
      <w:lvlText w:val="•"/>
      <w:lvlJc w:val="left"/>
      <w:pPr>
        <w:ind w:left="1338" w:hanging="217"/>
      </w:pPr>
      <w:rPr>
        <w:rFonts w:hint="default"/>
        <w:lang w:val="en-GB" w:eastAsia="en-GB" w:bidi="en-GB"/>
      </w:rPr>
    </w:lvl>
    <w:lvl w:ilvl="7" w:tplc="03D8B3B2">
      <w:numFmt w:val="bullet"/>
      <w:lvlText w:val="•"/>
      <w:lvlJc w:val="left"/>
      <w:pPr>
        <w:ind w:left="1511" w:hanging="217"/>
      </w:pPr>
      <w:rPr>
        <w:rFonts w:hint="default"/>
        <w:lang w:val="en-GB" w:eastAsia="en-GB" w:bidi="en-GB"/>
      </w:rPr>
    </w:lvl>
    <w:lvl w:ilvl="8" w:tplc="3FC02498">
      <w:numFmt w:val="bullet"/>
      <w:lvlText w:val="•"/>
      <w:lvlJc w:val="left"/>
      <w:pPr>
        <w:ind w:left="1684" w:hanging="217"/>
      </w:pPr>
      <w:rPr>
        <w:rFonts w:hint="default"/>
        <w:lang w:val="en-GB" w:eastAsia="en-GB" w:bidi="en-GB"/>
      </w:rPr>
    </w:lvl>
  </w:abstractNum>
  <w:abstractNum w:abstractNumId="203" w15:restartNumberingAfterBreak="0">
    <w:nsid w:val="11DE203B"/>
    <w:multiLevelType w:val="hybridMultilevel"/>
    <w:tmpl w:val="49F24FE8"/>
    <w:lvl w:ilvl="0" w:tplc="D636911C">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703ACACC">
      <w:numFmt w:val="bullet"/>
      <w:lvlText w:val="•"/>
      <w:lvlJc w:val="left"/>
      <w:pPr>
        <w:ind w:left="892" w:hanging="217"/>
      </w:pPr>
      <w:rPr>
        <w:rFonts w:hint="default"/>
        <w:lang w:val="en-GB" w:eastAsia="en-GB" w:bidi="en-GB"/>
      </w:rPr>
    </w:lvl>
    <w:lvl w:ilvl="2" w:tplc="A9DCF216">
      <w:numFmt w:val="bullet"/>
      <w:lvlText w:val="•"/>
      <w:lvlJc w:val="left"/>
      <w:pPr>
        <w:ind w:left="1485" w:hanging="217"/>
      </w:pPr>
      <w:rPr>
        <w:rFonts w:hint="default"/>
        <w:lang w:val="en-GB" w:eastAsia="en-GB" w:bidi="en-GB"/>
      </w:rPr>
    </w:lvl>
    <w:lvl w:ilvl="3" w:tplc="DA50F2E0">
      <w:numFmt w:val="bullet"/>
      <w:lvlText w:val="•"/>
      <w:lvlJc w:val="left"/>
      <w:pPr>
        <w:ind w:left="2077" w:hanging="217"/>
      </w:pPr>
      <w:rPr>
        <w:rFonts w:hint="default"/>
        <w:lang w:val="en-GB" w:eastAsia="en-GB" w:bidi="en-GB"/>
      </w:rPr>
    </w:lvl>
    <w:lvl w:ilvl="4" w:tplc="3E1E7DC4">
      <w:numFmt w:val="bullet"/>
      <w:lvlText w:val="•"/>
      <w:lvlJc w:val="left"/>
      <w:pPr>
        <w:ind w:left="2670" w:hanging="217"/>
      </w:pPr>
      <w:rPr>
        <w:rFonts w:hint="default"/>
        <w:lang w:val="en-GB" w:eastAsia="en-GB" w:bidi="en-GB"/>
      </w:rPr>
    </w:lvl>
    <w:lvl w:ilvl="5" w:tplc="242AC79E">
      <w:numFmt w:val="bullet"/>
      <w:lvlText w:val="•"/>
      <w:lvlJc w:val="left"/>
      <w:pPr>
        <w:ind w:left="3263" w:hanging="217"/>
      </w:pPr>
      <w:rPr>
        <w:rFonts w:hint="default"/>
        <w:lang w:val="en-GB" w:eastAsia="en-GB" w:bidi="en-GB"/>
      </w:rPr>
    </w:lvl>
    <w:lvl w:ilvl="6" w:tplc="8952A428">
      <w:numFmt w:val="bullet"/>
      <w:lvlText w:val="•"/>
      <w:lvlJc w:val="left"/>
      <w:pPr>
        <w:ind w:left="3855" w:hanging="217"/>
      </w:pPr>
      <w:rPr>
        <w:rFonts w:hint="default"/>
        <w:lang w:val="en-GB" w:eastAsia="en-GB" w:bidi="en-GB"/>
      </w:rPr>
    </w:lvl>
    <w:lvl w:ilvl="7" w:tplc="33F8404A">
      <w:numFmt w:val="bullet"/>
      <w:lvlText w:val="•"/>
      <w:lvlJc w:val="left"/>
      <w:pPr>
        <w:ind w:left="4448" w:hanging="217"/>
      </w:pPr>
      <w:rPr>
        <w:rFonts w:hint="default"/>
        <w:lang w:val="en-GB" w:eastAsia="en-GB" w:bidi="en-GB"/>
      </w:rPr>
    </w:lvl>
    <w:lvl w:ilvl="8" w:tplc="B5F28330">
      <w:numFmt w:val="bullet"/>
      <w:lvlText w:val="•"/>
      <w:lvlJc w:val="left"/>
      <w:pPr>
        <w:ind w:left="5040" w:hanging="217"/>
      </w:pPr>
      <w:rPr>
        <w:rFonts w:hint="default"/>
        <w:lang w:val="en-GB" w:eastAsia="en-GB" w:bidi="en-GB"/>
      </w:rPr>
    </w:lvl>
  </w:abstractNum>
  <w:abstractNum w:abstractNumId="204" w15:restartNumberingAfterBreak="0">
    <w:nsid w:val="11DE260B"/>
    <w:multiLevelType w:val="hybridMultilevel"/>
    <w:tmpl w:val="51FA584C"/>
    <w:lvl w:ilvl="0" w:tplc="C1A211E0">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00BED066">
      <w:numFmt w:val="bullet"/>
      <w:lvlText w:val="•"/>
      <w:lvlJc w:val="left"/>
      <w:pPr>
        <w:ind w:left="541" w:hanging="217"/>
      </w:pPr>
      <w:rPr>
        <w:rFonts w:hint="default"/>
        <w:lang w:val="en-GB" w:eastAsia="en-GB" w:bidi="en-GB"/>
      </w:rPr>
    </w:lvl>
    <w:lvl w:ilvl="2" w:tplc="7302A7FE">
      <w:numFmt w:val="bullet"/>
      <w:lvlText w:val="•"/>
      <w:lvlJc w:val="left"/>
      <w:pPr>
        <w:ind w:left="782" w:hanging="217"/>
      </w:pPr>
      <w:rPr>
        <w:rFonts w:hint="default"/>
        <w:lang w:val="en-GB" w:eastAsia="en-GB" w:bidi="en-GB"/>
      </w:rPr>
    </w:lvl>
    <w:lvl w:ilvl="3" w:tplc="6C78BE08">
      <w:numFmt w:val="bullet"/>
      <w:lvlText w:val="•"/>
      <w:lvlJc w:val="left"/>
      <w:pPr>
        <w:ind w:left="1023" w:hanging="217"/>
      </w:pPr>
      <w:rPr>
        <w:rFonts w:hint="default"/>
        <w:lang w:val="en-GB" w:eastAsia="en-GB" w:bidi="en-GB"/>
      </w:rPr>
    </w:lvl>
    <w:lvl w:ilvl="4" w:tplc="AA563ABA">
      <w:numFmt w:val="bullet"/>
      <w:lvlText w:val="•"/>
      <w:lvlJc w:val="left"/>
      <w:pPr>
        <w:ind w:left="1264" w:hanging="217"/>
      </w:pPr>
      <w:rPr>
        <w:rFonts w:hint="default"/>
        <w:lang w:val="en-GB" w:eastAsia="en-GB" w:bidi="en-GB"/>
      </w:rPr>
    </w:lvl>
    <w:lvl w:ilvl="5" w:tplc="61E03E24">
      <w:numFmt w:val="bullet"/>
      <w:lvlText w:val="•"/>
      <w:lvlJc w:val="left"/>
      <w:pPr>
        <w:ind w:left="1505" w:hanging="217"/>
      </w:pPr>
      <w:rPr>
        <w:rFonts w:hint="default"/>
        <w:lang w:val="en-GB" w:eastAsia="en-GB" w:bidi="en-GB"/>
      </w:rPr>
    </w:lvl>
    <w:lvl w:ilvl="6" w:tplc="66429098">
      <w:numFmt w:val="bullet"/>
      <w:lvlText w:val="•"/>
      <w:lvlJc w:val="left"/>
      <w:pPr>
        <w:ind w:left="1746" w:hanging="217"/>
      </w:pPr>
      <w:rPr>
        <w:rFonts w:hint="default"/>
        <w:lang w:val="en-GB" w:eastAsia="en-GB" w:bidi="en-GB"/>
      </w:rPr>
    </w:lvl>
    <w:lvl w:ilvl="7" w:tplc="9AE25CB6">
      <w:numFmt w:val="bullet"/>
      <w:lvlText w:val="•"/>
      <w:lvlJc w:val="left"/>
      <w:pPr>
        <w:ind w:left="1987" w:hanging="217"/>
      </w:pPr>
      <w:rPr>
        <w:rFonts w:hint="default"/>
        <w:lang w:val="en-GB" w:eastAsia="en-GB" w:bidi="en-GB"/>
      </w:rPr>
    </w:lvl>
    <w:lvl w:ilvl="8" w:tplc="20A00B84">
      <w:numFmt w:val="bullet"/>
      <w:lvlText w:val="•"/>
      <w:lvlJc w:val="left"/>
      <w:pPr>
        <w:ind w:left="2228" w:hanging="217"/>
      </w:pPr>
      <w:rPr>
        <w:rFonts w:hint="default"/>
        <w:lang w:val="en-GB" w:eastAsia="en-GB" w:bidi="en-GB"/>
      </w:rPr>
    </w:lvl>
  </w:abstractNum>
  <w:abstractNum w:abstractNumId="205" w15:restartNumberingAfterBreak="0">
    <w:nsid w:val="12087094"/>
    <w:multiLevelType w:val="hybridMultilevel"/>
    <w:tmpl w:val="6CA42DBE"/>
    <w:lvl w:ilvl="0" w:tplc="3B3014B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258E1E5A">
      <w:numFmt w:val="bullet"/>
      <w:lvlText w:val="•"/>
      <w:lvlJc w:val="left"/>
      <w:pPr>
        <w:ind w:left="541" w:hanging="217"/>
      </w:pPr>
      <w:rPr>
        <w:rFonts w:hint="default"/>
        <w:lang w:val="en-GB" w:eastAsia="en-GB" w:bidi="en-GB"/>
      </w:rPr>
    </w:lvl>
    <w:lvl w:ilvl="2" w:tplc="CE1A3400">
      <w:numFmt w:val="bullet"/>
      <w:lvlText w:val="•"/>
      <w:lvlJc w:val="left"/>
      <w:pPr>
        <w:ind w:left="782" w:hanging="217"/>
      </w:pPr>
      <w:rPr>
        <w:rFonts w:hint="default"/>
        <w:lang w:val="en-GB" w:eastAsia="en-GB" w:bidi="en-GB"/>
      </w:rPr>
    </w:lvl>
    <w:lvl w:ilvl="3" w:tplc="68E0DE12">
      <w:numFmt w:val="bullet"/>
      <w:lvlText w:val="•"/>
      <w:lvlJc w:val="left"/>
      <w:pPr>
        <w:ind w:left="1023" w:hanging="217"/>
      </w:pPr>
      <w:rPr>
        <w:rFonts w:hint="default"/>
        <w:lang w:val="en-GB" w:eastAsia="en-GB" w:bidi="en-GB"/>
      </w:rPr>
    </w:lvl>
    <w:lvl w:ilvl="4" w:tplc="159669B4">
      <w:numFmt w:val="bullet"/>
      <w:lvlText w:val="•"/>
      <w:lvlJc w:val="left"/>
      <w:pPr>
        <w:ind w:left="1264" w:hanging="217"/>
      </w:pPr>
      <w:rPr>
        <w:rFonts w:hint="default"/>
        <w:lang w:val="en-GB" w:eastAsia="en-GB" w:bidi="en-GB"/>
      </w:rPr>
    </w:lvl>
    <w:lvl w:ilvl="5" w:tplc="940AB42A">
      <w:numFmt w:val="bullet"/>
      <w:lvlText w:val="•"/>
      <w:lvlJc w:val="left"/>
      <w:pPr>
        <w:ind w:left="1505" w:hanging="217"/>
      </w:pPr>
      <w:rPr>
        <w:rFonts w:hint="default"/>
        <w:lang w:val="en-GB" w:eastAsia="en-GB" w:bidi="en-GB"/>
      </w:rPr>
    </w:lvl>
    <w:lvl w:ilvl="6" w:tplc="660C49EA">
      <w:numFmt w:val="bullet"/>
      <w:lvlText w:val="•"/>
      <w:lvlJc w:val="left"/>
      <w:pPr>
        <w:ind w:left="1746" w:hanging="217"/>
      </w:pPr>
      <w:rPr>
        <w:rFonts w:hint="default"/>
        <w:lang w:val="en-GB" w:eastAsia="en-GB" w:bidi="en-GB"/>
      </w:rPr>
    </w:lvl>
    <w:lvl w:ilvl="7" w:tplc="208A96F2">
      <w:numFmt w:val="bullet"/>
      <w:lvlText w:val="•"/>
      <w:lvlJc w:val="left"/>
      <w:pPr>
        <w:ind w:left="1987" w:hanging="217"/>
      </w:pPr>
      <w:rPr>
        <w:rFonts w:hint="default"/>
        <w:lang w:val="en-GB" w:eastAsia="en-GB" w:bidi="en-GB"/>
      </w:rPr>
    </w:lvl>
    <w:lvl w:ilvl="8" w:tplc="69FAFB60">
      <w:numFmt w:val="bullet"/>
      <w:lvlText w:val="•"/>
      <w:lvlJc w:val="left"/>
      <w:pPr>
        <w:ind w:left="2228" w:hanging="217"/>
      </w:pPr>
      <w:rPr>
        <w:rFonts w:hint="default"/>
        <w:lang w:val="en-GB" w:eastAsia="en-GB" w:bidi="en-GB"/>
      </w:rPr>
    </w:lvl>
  </w:abstractNum>
  <w:abstractNum w:abstractNumId="206" w15:restartNumberingAfterBreak="0">
    <w:nsid w:val="120B5CB4"/>
    <w:multiLevelType w:val="hybridMultilevel"/>
    <w:tmpl w:val="73DC2716"/>
    <w:lvl w:ilvl="0" w:tplc="C15091C0">
      <w:numFmt w:val="bullet"/>
      <w:lvlText w:val="•"/>
      <w:lvlJc w:val="left"/>
      <w:pPr>
        <w:ind w:left="305" w:hanging="217"/>
      </w:pPr>
      <w:rPr>
        <w:rFonts w:ascii="Arial" w:eastAsia="Arial" w:hAnsi="Arial" w:cs="Arial" w:hint="default"/>
        <w:color w:val="231F20"/>
        <w:spacing w:val="-3"/>
        <w:w w:val="100"/>
        <w:sz w:val="18"/>
        <w:szCs w:val="18"/>
        <w:lang w:val="en-GB" w:eastAsia="en-GB" w:bidi="en-GB"/>
      </w:rPr>
    </w:lvl>
    <w:lvl w:ilvl="1" w:tplc="09A2DB44">
      <w:numFmt w:val="bullet"/>
      <w:lvlText w:val="•"/>
      <w:lvlJc w:val="left"/>
      <w:pPr>
        <w:ind w:left="541" w:hanging="217"/>
      </w:pPr>
      <w:rPr>
        <w:rFonts w:hint="default"/>
        <w:lang w:val="en-GB" w:eastAsia="en-GB" w:bidi="en-GB"/>
      </w:rPr>
    </w:lvl>
    <w:lvl w:ilvl="2" w:tplc="4F0E3C20">
      <w:numFmt w:val="bullet"/>
      <w:lvlText w:val="•"/>
      <w:lvlJc w:val="left"/>
      <w:pPr>
        <w:ind w:left="782" w:hanging="217"/>
      </w:pPr>
      <w:rPr>
        <w:rFonts w:hint="default"/>
        <w:lang w:val="en-GB" w:eastAsia="en-GB" w:bidi="en-GB"/>
      </w:rPr>
    </w:lvl>
    <w:lvl w:ilvl="3" w:tplc="1D746188">
      <w:numFmt w:val="bullet"/>
      <w:lvlText w:val="•"/>
      <w:lvlJc w:val="left"/>
      <w:pPr>
        <w:ind w:left="1023" w:hanging="217"/>
      </w:pPr>
      <w:rPr>
        <w:rFonts w:hint="default"/>
        <w:lang w:val="en-GB" w:eastAsia="en-GB" w:bidi="en-GB"/>
      </w:rPr>
    </w:lvl>
    <w:lvl w:ilvl="4" w:tplc="21F2961C">
      <w:numFmt w:val="bullet"/>
      <w:lvlText w:val="•"/>
      <w:lvlJc w:val="left"/>
      <w:pPr>
        <w:ind w:left="1264" w:hanging="217"/>
      </w:pPr>
      <w:rPr>
        <w:rFonts w:hint="default"/>
        <w:lang w:val="en-GB" w:eastAsia="en-GB" w:bidi="en-GB"/>
      </w:rPr>
    </w:lvl>
    <w:lvl w:ilvl="5" w:tplc="441412E4">
      <w:numFmt w:val="bullet"/>
      <w:lvlText w:val="•"/>
      <w:lvlJc w:val="left"/>
      <w:pPr>
        <w:ind w:left="1505" w:hanging="217"/>
      </w:pPr>
      <w:rPr>
        <w:rFonts w:hint="default"/>
        <w:lang w:val="en-GB" w:eastAsia="en-GB" w:bidi="en-GB"/>
      </w:rPr>
    </w:lvl>
    <w:lvl w:ilvl="6" w:tplc="269CA660">
      <w:numFmt w:val="bullet"/>
      <w:lvlText w:val="•"/>
      <w:lvlJc w:val="left"/>
      <w:pPr>
        <w:ind w:left="1746" w:hanging="217"/>
      </w:pPr>
      <w:rPr>
        <w:rFonts w:hint="default"/>
        <w:lang w:val="en-GB" w:eastAsia="en-GB" w:bidi="en-GB"/>
      </w:rPr>
    </w:lvl>
    <w:lvl w:ilvl="7" w:tplc="3DF660C8">
      <w:numFmt w:val="bullet"/>
      <w:lvlText w:val="•"/>
      <w:lvlJc w:val="left"/>
      <w:pPr>
        <w:ind w:left="1987" w:hanging="217"/>
      </w:pPr>
      <w:rPr>
        <w:rFonts w:hint="default"/>
        <w:lang w:val="en-GB" w:eastAsia="en-GB" w:bidi="en-GB"/>
      </w:rPr>
    </w:lvl>
    <w:lvl w:ilvl="8" w:tplc="69FA15C8">
      <w:numFmt w:val="bullet"/>
      <w:lvlText w:val="•"/>
      <w:lvlJc w:val="left"/>
      <w:pPr>
        <w:ind w:left="2228" w:hanging="217"/>
      </w:pPr>
      <w:rPr>
        <w:rFonts w:hint="default"/>
        <w:lang w:val="en-GB" w:eastAsia="en-GB" w:bidi="en-GB"/>
      </w:rPr>
    </w:lvl>
  </w:abstractNum>
  <w:abstractNum w:abstractNumId="207" w15:restartNumberingAfterBreak="0">
    <w:nsid w:val="12207BDF"/>
    <w:multiLevelType w:val="hybridMultilevel"/>
    <w:tmpl w:val="BD68F45C"/>
    <w:lvl w:ilvl="0" w:tplc="0DCEED1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88CF144">
      <w:numFmt w:val="bullet"/>
      <w:lvlText w:val="•"/>
      <w:lvlJc w:val="left"/>
      <w:pPr>
        <w:ind w:left="439" w:hanging="217"/>
      </w:pPr>
      <w:rPr>
        <w:rFonts w:hint="default"/>
        <w:lang w:val="en-GB" w:eastAsia="en-GB" w:bidi="en-GB"/>
      </w:rPr>
    </w:lvl>
    <w:lvl w:ilvl="2" w:tplc="6E8C6080">
      <w:numFmt w:val="bullet"/>
      <w:lvlText w:val="•"/>
      <w:lvlJc w:val="left"/>
      <w:pPr>
        <w:ind w:left="578" w:hanging="217"/>
      </w:pPr>
      <w:rPr>
        <w:rFonts w:hint="default"/>
        <w:lang w:val="en-GB" w:eastAsia="en-GB" w:bidi="en-GB"/>
      </w:rPr>
    </w:lvl>
    <w:lvl w:ilvl="3" w:tplc="A1246AB2">
      <w:numFmt w:val="bullet"/>
      <w:lvlText w:val="•"/>
      <w:lvlJc w:val="left"/>
      <w:pPr>
        <w:ind w:left="717" w:hanging="217"/>
      </w:pPr>
      <w:rPr>
        <w:rFonts w:hint="default"/>
        <w:lang w:val="en-GB" w:eastAsia="en-GB" w:bidi="en-GB"/>
      </w:rPr>
    </w:lvl>
    <w:lvl w:ilvl="4" w:tplc="8898B944">
      <w:numFmt w:val="bullet"/>
      <w:lvlText w:val="•"/>
      <w:lvlJc w:val="left"/>
      <w:pPr>
        <w:ind w:left="856" w:hanging="217"/>
      </w:pPr>
      <w:rPr>
        <w:rFonts w:hint="default"/>
        <w:lang w:val="en-GB" w:eastAsia="en-GB" w:bidi="en-GB"/>
      </w:rPr>
    </w:lvl>
    <w:lvl w:ilvl="5" w:tplc="F6B2C6E6">
      <w:numFmt w:val="bullet"/>
      <w:lvlText w:val="•"/>
      <w:lvlJc w:val="left"/>
      <w:pPr>
        <w:ind w:left="995" w:hanging="217"/>
      </w:pPr>
      <w:rPr>
        <w:rFonts w:hint="default"/>
        <w:lang w:val="en-GB" w:eastAsia="en-GB" w:bidi="en-GB"/>
      </w:rPr>
    </w:lvl>
    <w:lvl w:ilvl="6" w:tplc="E7AC3754">
      <w:numFmt w:val="bullet"/>
      <w:lvlText w:val="•"/>
      <w:lvlJc w:val="left"/>
      <w:pPr>
        <w:ind w:left="1134" w:hanging="217"/>
      </w:pPr>
      <w:rPr>
        <w:rFonts w:hint="default"/>
        <w:lang w:val="en-GB" w:eastAsia="en-GB" w:bidi="en-GB"/>
      </w:rPr>
    </w:lvl>
    <w:lvl w:ilvl="7" w:tplc="1EA85FD0">
      <w:numFmt w:val="bullet"/>
      <w:lvlText w:val="•"/>
      <w:lvlJc w:val="left"/>
      <w:pPr>
        <w:ind w:left="1273" w:hanging="217"/>
      </w:pPr>
      <w:rPr>
        <w:rFonts w:hint="default"/>
        <w:lang w:val="en-GB" w:eastAsia="en-GB" w:bidi="en-GB"/>
      </w:rPr>
    </w:lvl>
    <w:lvl w:ilvl="8" w:tplc="212E2FC2">
      <w:numFmt w:val="bullet"/>
      <w:lvlText w:val="•"/>
      <w:lvlJc w:val="left"/>
      <w:pPr>
        <w:ind w:left="1412" w:hanging="217"/>
      </w:pPr>
      <w:rPr>
        <w:rFonts w:hint="default"/>
        <w:lang w:val="en-GB" w:eastAsia="en-GB" w:bidi="en-GB"/>
      </w:rPr>
    </w:lvl>
  </w:abstractNum>
  <w:abstractNum w:abstractNumId="208" w15:restartNumberingAfterBreak="0">
    <w:nsid w:val="123E792D"/>
    <w:multiLevelType w:val="hybridMultilevel"/>
    <w:tmpl w:val="F3F00682"/>
    <w:lvl w:ilvl="0" w:tplc="27F67812">
      <w:numFmt w:val="bullet"/>
      <w:lvlText w:val="•"/>
      <w:lvlJc w:val="left"/>
      <w:pPr>
        <w:ind w:left="3638" w:hanging="217"/>
      </w:pPr>
      <w:rPr>
        <w:rFonts w:ascii="Arial" w:eastAsia="Arial" w:hAnsi="Arial" w:cs="Arial" w:hint="default"/>
        <w:color w:val="231F20"/>
        <w:w w:val="102"/>
        <w:sz w:val="17"/>
        <w:szCs w:val="17"/>
        <w:lang w:val="en-GB" w:eastAsia="en-GB" w:bidi="en-GB"/>
      </w:rPr>
    </w:lvl>
    <w:lvl w:ilvl="1" w:tplc="B94C31A6">
      <w:numFmt w:val="bullet"/>
      <w:lvlText w:val="•"/>
      <w:lvlJc w:val="left"/>
      <w:pPr>
        <w:ind w:left="4091" w:hanging="217"/>
      </w:pPr>
      <w:rPr>
        <w:rFonts w:hint="default"/>
        <w:lang w:val="en-GB" w:eastAsia="en-GB" w:bidi="en-GB"/>
      </w:rPr>
    </w:lvl>
    <w:lvl w:ilvl="2" w:tplc="242AC754">
      <w:numFmt w:val="bullet"/>
      <w:lvlText w:val="•"/>
      <w:lvlJc w:val="left"/>
      <w:pPr>
        <w:ind w:left="4542" w:hanging="217"/>
      </w:pPr>
      <w:rPr>
        <w:rFonts w:hint="default"/>
        <w:lang w:val="en-GB" w:eastAsia="en-GB" w:bidi="en-GB"/>
      </w:rPr>
    </w:lvl>
    <w:lvl w:ilvl="3" w:tplc="57F25DDE">
      <w:numFmt w:val="bullet"/>
      <w:lvlText w:val="•"/>
      <w:lvlJc w:val="left"/>
      <w:pPr>
        <w:ind w:left="4994" w:hanging="217"/>
      </w:pPr>
      <w:rPr>
        <w:rFonts w:hint="default"/>
        <w:lang w:val="en-GB" w:eastAsia="en-GB" w:bidi="en-GB"/>
      </w:rPr>
    </w:lvl>
    <w:lvl w:ilvl="4" w:tplc="90BCFD2A">
      <w:numFmt w:val="bullet"/>
      <w:lvlText w:val="•"/>
      <w:lvlJc w:val="left"/>
      <w:pPr>
        <w:ind w:left="5445" w:hanging="217"/>
      </w:pPr>
      <w:rPr>
        <w:rFonts w:hint="default"/>
        <w:lang w:val="en-GB" w:eastAsia="en-GB" w:bidi="en-GB"/>
      </w:rPr>
    </w:lvl>
    <w:lvl w:ilvl="5" w:tplc="E4F2DA66">
      <w:numFmt w:val="bullet"/>
      <w:lvlText w:val="•"/>
      <w:lvlJc w:val="left"/>
      <w:pPr>
        <w:ind w:left="5897" w:hanging="217"/>
      </w:pPr>
      <w:rPr>
        <w:rFonts w:hint="default"/>
        <w:lang w:val="en-GB" w:eastAsia="en-GB" w:bidi="en-GB"/>
      </w:rPr>
    </w:lvl>
    <w:lvl w:ilvl="6" w:tplc="101430F0">
      <w:numFmt w:val="bullet"/>
      <w:lvlText w:val="•"/>
      <w:lvlJc w:val="left"/>
      <w:pPr>
        <w:ind w:left="6348" w:hanging="217"/>
      </w:pPr>
      <w:rPr>
        <w:rFonts w:hint="default"/>
        <w:lang w:val="en-GB" w:eastAsia="en-GB" w:bidi="en-GB"/>
      </w:rPr>
    </w:lvl>
    <w:lvl w:ilvl="7" w:tplc="D9E22C3E">
      <w:numFmt w:val="bullet"/>
      <w:lvlText w:val="•"/>
      <w:lvlJc w:val="left"/>
      <w:pPr>
        <w:ind w:left="6799" w:hanging="217"/>
      </w:pPr>
      <w:rPr>
        <w:rFonts w:hint="default"/>
        <w:lang w:val="en-GB" w:eastAsia="en-GB" w:bidi="en-GB"/>
      </w:rPr>
    </w:lvl>
    <w:lvl w:ilvl="8" w:tplc="9C144BFA">
      <w:numFmt w:val="bullet"/>
      <w:lvlText w:val="•"/>
      <w:lvlJc w:val="left"/>
      <w:pPr>
        <w:ind w:left="7251" w:hanging="217"/>
      </w:pPr>
      <w:rPr>
        <w:rFonts w:hint="default"/>
        <w:lang w:val="en-GB" w:eastAsia="en-GB" w:bidi="en-GB"/>
      </w:rPr>
    </w:lvl>
  </w:abstractNum>
  <w:abstractNum w:abstractNumId="209" w15:restartNumberingAfterBreak="0">
    <w:nsid w:val="124B04D7"/>
    <w:multiLevelType w:val="hybridMultilevel"/>
    <w:tmpl w:val="C06C85EA"/>
    <w:lvl w:ilvl="0" w:tplc="FA66A93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6C4E6B2">
      <w:numFmt w:val="bullet"/>
      <w:lvlText w:val="•"/>
      <w:lvlJc w:val="left"/>
      <w:pPr>
        <w:ind w:left="473" w:hanging="217"/>
      </w:pPr>
      <w:rPr>
        <w:rFonts w:hint="default"/>
        <w:lang w:val="en-GB" w:eastAsia="en-GB" w:bidi="en-GB"/>
      </w:rPr>
    </w:lvl>
    <w:lvl w:ilvl="2" w:tplc="BB6EE400">
      <w:numFmt w:val="bullet"/>
      <w:lvlText w:val="•"/>
      <w:lvlJc w:val="left"/>
      <w:pPr>
        <w:ind w:left="646" w:hanging="217"/>
      </w:pPr>
      <w:rPr>
        <w:rFonts w:hint="default"/>
        <w:lang w:val="en-GB" w:eastAsia="en-GB" w:bidi="en-GB"/>
      </w:rPr>
    </w:lvl>
    <w:lvl w:ilvl="3" w:tplc="6B88CA5E">
      <w:numFmt w:val="bullet"/>
      <w:lvlText w:val="•"/>
      <w:lvlJc w:val="left"/>
      <w:pPr>
        <w:ind w:left="819" w:hanging="217"/>
      </w:pPr>
      <w:rPr>
        <w:rFonts w:hint="default"/>
        <w:lang w:val="en-GB" w:eastAsia="en-GB" w:bidi="en-GB"/>
      </w:rPr>
    </w:lvl>
    <w:lvl w:ilvl="4" w:tplc="1E96D048">
      <w:numFmt w:val="bullet"/>
      <w:lvlText w:val="•"/>
      <w:lvlJc w:val="left"/>
      <w:pPr>
        <w:ind w:left="992" w:hanging="217"/>
      </w:pPr>
      <w:rPr>
        <w:rFonts w:hint="default"/>
        <w:lang w:val="en-GB" w:eastAsia="en-GB" w:bidi="en-GB"/>
      </w:rPr>
    </w:lvl>
    <w:lvl w:ilvl="5" w:tplc="F814D5C0">
      <w:numFmt w:val="bullet"/>
      <w:lvlText w:val="•"/>
      <w:lvlJc w:val="left"/>
      <w:pPr>
        <w:ind w:left="1165" w:hanging="217"/>
      </w:pPr>
      <w:rPr>
        <w:rFonts w:hint="default"/>
        <w:lang w:val="en-GB" w:eastAsia="en-GB" w:bidi="en-GB"/>
      </w:rPr>
    </w:lvl>
    <w:lvl w:ilvl="6" w:tplc="DCD09D02">
      <w:numFmt w:val="bullet"/>
      <w:lvlText w:val="•"/>
      <w:lvlJc w:val="left"/>
      <w:pPr>
        <w:ind w:left="1338" w:hanging="217"/>
      </w:pPr>
      <w:rPr>
        <w:rFonts w:hint="default"/>
        <w:lang w:val="en-GB" w:eastAsia="en-GB" w:bidi="en-GB"/>
      </w:rPr>
    </w:lvl>
    <w:lvl w:ilvl="7" w:tplc="EBCA3A12">
      <w:numFmt w:val="bullet"/>
      <w:lvlText w:val="•"/>
      <w:lvlJc w:val="left"/>
      <w:pPr>
        <w:ind w:left="1511" w:hanging="217"/>
      </w:pPr>
      <w:rPr>
        <w:rFonts w:hint="default"/>
        <w:lang w:val="en-GB" w:eastAsia="en-GB" w:bidi="en-GB"/>
      </w:rPr>
    </w:lvl>
    <w:lvl w:ilvl="8" w:tplc="25C416D8">
      <w:numFmt w:val="bullet"/>
      <w:lvlText w:val="•"/>
      <w:lvlJc w:val="left"/>
      <w:pPr>
        <w:ind w:left="1684" w:hanging="217"/>
      </w:pPr>
      <w:rPr>
        <w:rFonts w:hint="default"/>
        <w:lang w:val="en-GB" w:eastAsia="en-GB" w:bidi="en-GB"/>
      </w:rPr>
    </w:lvl>
  </w:abstractNum>
  <w:abstractNum w:abstractNumId="210" w15:restartNumberingAfterBreak="0">
    <w:nsid w:val="124E706E"/>
    <w:multiLevelType w:val="hybridMultilevel"/>
    <w:tmpl w:val="03B4785A"/>
    <w:lvl w:ilvl="0" w:tplc="A6C2CF80">
      <w:numFmt w:val="bullet"/>
      <w:lvlText w:val="•"/>
      <w:lvlJc w:val="left"/>
      <w:pPr>
        <w:ind w:left="303" w:hanging="217"/>
      </w:pPr>
      <w:rPr>
        <w:rFonts w:ascii="Arial" w:eastAsia="Arial" w:hAnsi="Arial" w:cs="Arial" w:hint="default"/>
        <w:color w:val="231F20"/>
        <w:w w:val="102"/>
        <w:sz w:val="17"/>
        <w:szCs w:val="17"/>
        <w:lang w:val="en-GB" w:eastAsia="en-GB" w:bidi="en-GB"/>
      </w:rPr>
    </w:lvl>
    <w:lvl w:ilvl="1" w:tplc="D94A8E04">
      <w:numFmt w:val="bullet"/>
      <w:lvlText w:val="•"/>
      <w:lvlJc w:val="left"/>
      <w:pPr>
        <w:ind w:left="439" w:hanging="217"/>
      </w:pPr>
      <w:rPr>
        <w:rFonts w:hint="default"/>
        <w:lang w:val="en-GB" w:eastAsia="en-GB" w:bidi="en-GB"/>
      </w:rPr>
    </w:lvl>
    <w:lvl w:ilvl="2" w:tplc="B3568DB2">
      <w:numFmt w:val="bullet"/>
      <w:lvlText w:val="•"/>
      <w:lvlJc w:val="left"/>
      <w:pPr>
        <w:ind w:left="578" w:hanging="217"/>
      </w:pPr>
      <w:rPr>
        <w:rFonts w:hint="default"/>
        <w:lang w:val="en-GB" w:eastAsia="en-GB" w:bidi="en-GB"/>
      </w:rPr>
    </w:lvl>
    <w:lvl w:ilvl="3" w:tplc="4D228A42">
      <w:numFmt w:val="bullet"/>
      <w:lvlText w:val="•"/>
      <w:lvlJc w:val="left"/>
      <w:pPr>
        <w:ind w:left="717" w:hanging="217"/>
      </w:pPr>
      <w:rPr>
        <w:rFonts w:hint="default"/>
        <w:lang w:val="en-GB" w:eastAsia="en-GB" w:bidi="en-GB"/>
      </w:rPr>
    </w:lvl>
    <w:lvl w:ilvl="4" w:tplc="791CB3E0">
      <w:numFmt w:val="bullet"/>
      <w:lvlText w:val="•"/>
      <w:lvlJc w:val="left"/>
      <w:pPr>
        <w:ind w:left="856" w:hanging="217"/>
      </w:pPr>
      <w:rPr>
        <w:rFonts w:hint="default"/>
        <w:lang w:val="en-GB" w:eastAsia="en-GB" w:bidi="en-GB"/>
      </w:rPr>
    </w:lvl>
    <w:lvl w:ilvl="5" w:tplc="29B689AC">
      <w:numFmt w:val="bullet"/>
      <w:lvlText w:val="•"/>
      <w:lvlJc w:val="left"/>
      <w:pPr>
        <w:ind w:left="995" w:hanging="217"/>
      </w:pPr>
      <w:rPr>
        <w:rFonts w:hint="default"/>
        <w:lang w:val="en-GB" w:eastAsia="en-GB" w:bidi="en-GB"/>
      </w:rPr>
    </w:lvl>
    <w:lvl w:ilvl="6" w:tplc="23BE9250">
      <w:numFmt w:val="bullet"/>
      <w:lvlText w:val="•"/>
      <w:lvlJc w:val="left"/>
      <w:pPr>
        <w:ind w:left="1134" w:hanging="217"/>
      </w:pPr>
      <w:rPr>
        <w:rFonts w:hint="default"/>
        <w:lang w:val="en-GB" w:eastAsia="en-GB" w:bidi="en-GB"/>
      </w:rPr>
    </w:lvl>
    <w:lvl w:ilvl="7" w:tplc="73E82356">
      <w:numFmt w:val="bullet"/>
      <w:lvlText w:val="•"/>
      <w:lvlJc w:val="left"/>
      <w:pPr>
        <w:ind w:left="1273" w:hanging="217"/>
      </w:pPr>
      <w:rPr>
        <w:rFonts w:hint="default"/>
        <w:lang w:val="en-GB" w:eastAsia="en-GB" w:bidi="en-GB"/>
      </w:rPr>
    </w:lvl>
    <w:lvl w:ilvl="8" w:tplc="FF24D060">
      <w:numFmt w:val="bullet"/>
      <w:lvlText w:val="•"/>
      <w:lvlJc w:val="left"/>
      <w:pPr>
        <w:ind w:left="1412" w:hanging="217"/>
      </w:pPr>
      <w:rPr>
        <w:rFonts w:hint="default"/>
        <w:lang w:val="en-GB" w:eastAsia="en-GB" w:bidi="en-GB"/>
      </w:rPr>
    </w:lvl>
  </w:abstractNum>
  <w:abstractNum w:abstractNumId="211" w15:restartNumberingAfterBreak="0">
    <w:nsid w:val="12655DAF"/>
    <w:multiLevelType w:val="hybridMultilevel"/>
    <w:tmpl w:val="A1A25B4C"/>
    <w:lvl w:ilvl="0" w:tplc="08F26F2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80CCC78">
      <w:numFmt w:val="bullet"/>
      <w:lvlText w:val="•"/>
      <w:lvlJc w:val="left"/>
      <w:pPr>
        <w:ind w:left="439" w:hanging="217"/>
      </w:pPr>
      <w:rPr>
        <w:rFonts w:hint="default"/>
        <w:lang w:val="en-GB" w:eastAsia="en-GB" w:bidi="en-GB"/>
      </w:rPr>
    </w:lvl>
    <w:lvl w:ilvl="2" w:tplc="CE926424">
      <w:numFmt w:val="bullet"/>
      <w:lvlText w:val="•"/>
      <w:lvlJc w:val="left"/>
      <w:pPr>
        <w:ind w:left="578" w:hanging="217"/>
      </w:pPr>
      <w:rPr>
        <w:rFonts w:hint="default"/>
        <w:lang w:val="en-GB" w:eastAsia="en-GB" w:bidi="en-GB"/>
      </w:rPr>
    </w:lvl>
    <w:lvl w:ilvl="3" w:tplc="358A3BD2">
      <w:numFmt w:val="bullet"/>
      <w:lvlText w:val="•"/>
      <w:lvlJc w:val="left"/>
      <w:pPr>
        <w:ind w:left="717" w:hanging="217"/>
      </w:pPr>
      <w:rPr>
        <w:rFonts w:hint="default"/>
        <w:lang w:val="en-GB" w:eastAsia="en-GB" w:bidi="en-GB"/>
      </w:rPr>
    </w:lvl>
    <w:lvl w:ilvl="4" w:tplc="46E2DE68">
      <w:numFmt w:val="bullet"/>
      <w:lvlText w:val="•"/>
      <w:lvlJc w:val="left"/>
      <w:pPr>
        <w:ind w:left="856" w:hanging="217"/>
      </w:pPr>
      <w:rPr>
        <w:rFonts w:hint="default"/>
        <w:lang w:val="en-GB" w:eastAsia="en-GB" w:bidi="en-GB"/>
      </w:rPr>
    </w:lvl>
    <w:lvl w:ilvl="5" w:tplc="D3E221BC">
      <w:numFmt w:val="bullet"/>
      <w:lvlText w:val="•"/>
      <w:lvlJc w:val="left"/>
      <w:pPr>
        <w:ind w:left="995" w:hanging="217"/>
      </w:pPr>
      <w:rPr>
        <w:rFonts w:hint="default"/>
        <w:lang w:val="en-GB" w:eastAsia="en-GB" w:bidi="en-GB"/>
      </w:rPr>
    </w:lvl>
    <w:lvl w:ilvl="6" w:tplc="92E616EA">
      <w:numFmt w:val="bullet"/>
      <w:lvlText w:val="•"/>
      <w:lvlJc w:val="left"/>
      <w:pPr>
        <w:ind w:left="1134" w:hanging="217"/>
      </w:pPr>
      <w:rPr>
        <w:rFonts w:hint="default"/>
        <w:lang w:val="en-GB" w:eastAsia="en-GB" w:bidi="en-GB"/>
      </w:rPr>
    </w:lvl>
    <w:lvl w:ilvl="7" w:tplc="98406000">
      <w:numFmt w:val="bullet"/>
      <w:lvlText w:val="•"/>
      <w:lvlJc w:val="left"/>
      <w:pPr>
        <w:ind w:left="1273" w:hanging="217"/>
      </w:pPr>
      <w:rPr>
        <w:rFonts w:hint="default"/>
        <w:lang w:val="en-GB" w:eastAsia="en-GB" w:bidi="en-GB"/>
      </w:rPr>
    </w:lvl>
    <w:lvl w:ilvl="8" w:tplc="48765A2A">
      <w:numFmt w:val="bullet"/>
      <w:lvlText w:val="•"/>
      <w:lvlJc w:val="left"/>
      <w:pPr>
        <w:ind w:left="1412" w:hanging="217"/>
      </w:pPr>
      <w:rPr>
        <w:rFonts w:hint="default"/>
        <w:lang w:val="en-GB" w:eastAsia="en-GB" w:bidi="en-GB"/>
      </w:rPr>
    </w:lvl>
  </w:abstractNum>
  <w:abstractNum w:abstractNumId="212" w15:restartNumberingAfterBreak="0">
    <w:nsid w:val="12672977"/>
    <w:multiLevelType w:val="hybridMultilevel"/>
    <w:tmpl w:val="E0FCB2EC"/>
    <w:lvl w:ilvl="0" w:tplc="866C4F4E">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FC7E1872">
      <w:numFmt w:val="bullet"/>
      <w:lvlText w:val="•"/>
      <w:lvlJc w:val="left"/>
      <w:pPr>
        <w:ind w:left="473" w:hanging="217"/>
      </w:pPr>
      <w:rPr>
        <w:rFonts w:hint="default"/>
        <w:lang w:val="en-GB" w:eastAsia="en-GB" w:bidi="en-GB"/>
      </w:rPr>
    </w:lvl>
    <w:lvl w:ilvl="2" w:tplc="0AE08F94">
      <w:numFmt w:val="bullet"/>
      <w:lvlText w:val="•"/>
      <w:lvlJc w:val="left"/>
      <w:pPr>
        <w:ind w:left="646" w:hanging="217"/>
      </w:pPr>
      <w:rPr>
        <w:rFonts w:hint="default"/>
        <w:lang w:val="en-GB" w:eastAsia="en-GB" w:bidi="en-GB"/>
      </w:rPr>
    </w:lvl>
    <w:lvl w:ilvl="3" w:tplc="BFD046EA">
      <w:numFmt w:val="bullet"/>
      <w:lvlText w:val="•"/>
      <w:lvlJc w:val="left"/>
      <w:pPr>
        <w:ind w:left="819" w:hanging="217"/>
      </w:pPr>
      <w:rPr>
        <w:rFonts w:hint="default"/>
        <w:lang w:val="en-GB" w:eastAsia="en-GB" w:bidi="en-GB"/>
      </w:rPr>
    </w:lvl>
    <w:lvl w:ilvl="4" w:tplc="E6062488">
      <w:numFmt w:val="bullet"/>
      <w:lvlText w:val="•"/>
      <w:lvlJc w:val="left"/>
      <w:pPr>
        <w:ind w:left="992" w:hanging="217"/>
      </w:pPr>
      <w:rPr>
        <w:rFonts w:hint="default"/>
        <w:lang w:val="en-GB" w:eastAsia="en-GB" w:bidi="en-GB"/>
      </w:rPr>
    </w:lvl>
    <w:lvl w:ilvl="5" w:tplc="CAA81E5A">
      <w:numFmt w:val="bullet"/>
      <w:lvlText w:val="•"/>
      <w:lvlJc w:val="left"/>
      <w:pPr>
        <w:ind w:left="1165" w:hanging="217"/>
      </w:pPr>
      <w:rPr>
        <w:rFonts w:hint="default"/>
        <w:lang w:val="en-GB" w:eastAsia="en-GB" w:bidi="en-GB"/>
      </w:rPr>
    </w:lvl>
    <w:lvl w:ilvl="6" w:tplc="C3F2961C">
      <w:numFmt w:val="bullet"/>
      <w:lvlText w:val="•"/>
      <w:lvlJc w:val="left"/>
      <w:pPr>
        <w:ind w:left="1338" w:hanging="217"/>
      </w:pPr>
      <w:rPr>
        <w:rFonts w:hint="default"/>
        <w:lang w:val="en-GB" w:eastAsia="en-GB" w:bidi="en-GB"/>
      </w:rPr>
    </w:lvl>
    <w:lvl w:ilvl="7" w:tplc="17185E86">
      <w:numFmt w:val="bullet"/>
      <w:lvlText w:val="•"/>
      <w:lvlJc w:val="left"/>
      <w:pPr>
        <w:ind w:left="1511" w:hanging="217"/>
      </w:pPr>
      <w:rPr>
        <w:rFonts w:hint="default"/>
        <w:lang w:val="en-GB" w:eastAsia="en-GB" w:bidi="en-GB"/>
      </w:rPr>
    </w:lvl>
    <w:lvl w:ilvl="8" w:tplc="A522B232">
      <w:numFmt w:val="bullet"/>
      <w:lvlText w:val="•"/>
      <w:lvlJc w:val="left"/>
      <w:pPr>
        <w:ind w:left="1684" w:hanging="217"/>
      </w:pPr>
      <w:rPr>
        <w:rFonts w:hint="default"/>
        <w:lang w:val="en-GB" w:eastAsia="en-GB" w:bidi="en-GB"/>
      </w:rPr>
    </w:lvl>
  </w:abstractNum>
  <w:abstractNum w:abstractNumId="213" w15:restartNumberingAfterBreak="0">
    <w:nsid w:val="12696C57"/>
    <w:multiLevelType w:val="hybridMultilevel"/>
    <w:tmpl w:val="27485F60"/>
    <w:lvl w:ilvl="0" w:tplc="4252BDD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2D2F1AA">
      <w:numFmt w:val="bullet"/>
      <w:lvlText w:val="•"/>
      <w:lvlJc w:val="left"/>
      <w:pPr>
        <w:ind w:left="1061" w:hanging="217"/>
      </w:pPr>
      <w:rPr>
        <w:rFonts w:hint="default"/>
        <w:lang w:val="en-GB" w:eastAsia="en-GB" w:bidi="en-GB"/>
      </w:rPr>
    </w:lvl>
    <w:lvl w:ilvl="2" w:tplc="A0D20F06">
      <w:numFmt w:val="bullet"/>
      <w:lvlText w:val="•"/>
      <w:lvlJc w:val="left"/>
      <w:pPr>
        <w:ind w:left="1823" w:hanging="217"/>
      </w:pPr>
      <w:rPr>
        <w:rFonts w:hint="default"/>
        <w:lang w:val="en-GB" w:eastAsia="en-GB" w:bidi="en-GB"/>
      </w:rPr>
    </w:lvl>
    <w:lvl w:ilvl="3" w:tplc="AFCA6C40">
      <w:numFmt w:val="bullet"/>
      <w:lvlText w:val="•"/>
      <w:lvlJc w:val="left"/>
      <w:pPr>
        <w:ind w:left="2585" w:hanging="217"/>
      </w:pPr>
      <w:rPr>
        <w:rFonts w:hint="default"/>
        <w:lang w:val="en-GB" w:eastAsia="en-GB" w:bidi="en-GB"/>
      </w:rPr>
    </w:lvl>
    <w:lvl w:ilvl="4" w:tplc="43CEC450">
      <w:numFmt w:val="bullet"/>
      <w:lvlText w:val="•"/>
      <w:lvlJc w:val="left"/>
      <w:pPr>
        <w:ind w:left="3346" w:hanging="217"/>
      </w:pPr>
      <w:rPr>
        <w:rFonts w:hint="default"/>
        <w:lang w:val="en-GB" w:eastAsia="en-GB" w:bidi="en-GB"/>
      </w:rPr>
    </w:lvl>
    <w:lvl w:ilvl="5" w:tplc="E21E3978">
      <w:numFmt w:val="bullet"/>
      <w:lvlText w:val="•"/>
      <w:lvlJc w:val="left"/>
      <w:pPr>
        <w:ind w:left="4108" w:hanging="217"/>
      </w:pPr>
      <w:rPr>
        <w:rFonts w:hint="default"/>
        <w:lang w:val="en-GB" w:eastAsia="en-GB" w:bidi="en-GB"/>
      </w:rPr>
    </w:lvl>
    <w:lvl w:ilvl="6" w:tplc="3D44BA1C">
      <w:numFmt w:val="bullet"/>
      <w:lvlText w:val="•"/>
      <w:lvlJc w:val="left"/>
      <w:pPr>
        <w:ind w:left="4870" w:hanging="217"/>
      </w:pPr>
      <w:rPr>
        <w:rFonts w:hint="default"/>
        <w:lang w:val="en-GB" w:eastAsia="en-GB" w:bidi="en-GB"/>
      </w:rPr>
    </w:lvl>
    <w:lvl w:ilvl="7" w:tplc="5308EE18">
      <w:numFmt w:val="bullet"/>
      <w:lvlText w:val="•"/>
      <w:lvlJc w:val="left"/>
      <w:pPr>
        <w:ind w:left="5631" w:hanging="217"/>
      </w:pPr>
      <w:rPr>
        <w:rFonts w:hint="default"/>
        <w:lang w:val="en-GB" w:eastAsia="en-GB" w:bidi="en-GB"/>
      </w:rPr>
    </w:lvl>
    <w:lvl w:ilvl="8" w:tplc="B516BA0E">
      <w:numFmt w:val="bullet"/>
      <w:lvlText w:val="•"/>
      <w:lvlJc w:val="left"/>
      <w:pPr>
        <w:ind w:left="6393" w:hanging="217"/>
      </w:pPr>
      <w:rPr>
        <w:rFonts w:hint="default"/>
        <w:lang w:val="en-GB" w:eastAsia="en-GB" w:bidi="en-GB"/>
      </w:rPr>
    </w:lvl>
  </w:abstractNum>
  <w:abstractNum w:abstractNumId="214" w15:restartNumberingAfterBreak="0">
    <w:nsid w:val="126D1FA2"/>
    <w:multiLevelType w:val="hybridMultilevel"/>
    <w:tmpl w:val="7B480792"/>
    <w:lvl w:ilvl="0" w:tplc="C0A88E8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A0C2416">
      <w:numFmt w:val="bullet"/>
      <w:lvlText w:val="•"/>
      <w:lvlJc w:val="left"/>
      <w:pPr>
        <w:ind w:left="892" w:hanging="217"/>
      </w:pPr>
      <w:rPr>
        <w:rFonts w:hint="default"/>
        <w:lang w:val="en-GB" w:eastAsia="en-GB" w:bidi="en-GB"/>
      </w:rPr>
    </w:lvl>
    <w:lvl w:ilvl="2" w:tplc="CC42AA2E">
      <w:numFmt w:val="bullet"/>
      <w:lvlText w:val="•"/>
      <w:lvlJc w:val="left"/>
      <w:pPr>
        <w:ind w:left="1485" w:hanging="217"/>
      </w:pPr>
      <w:rPr>
        <w:rFonts w:hint="default"/>
        <w:lang w:val="en-GB" w:eastAsia="en-GB" w:bidi="en-GB"/>
      </w:rPr>
    </w:lvl>
    <w:lvl w:ilvl="3" w:tplc="4A2CD74E">
      <w:numFmt w:val="bullet"/>
      <w:lvlText w:val="•"/>
      <w:lvlJc w:val="left"/>
      <w:pPr>
        <w:ind w:left="2077" w:hanging="217"/>
      </w:pPr>
      <w:rPr>
        <w:rFonts w:hint="default"/>
        <w:lang w:val="en-GB" w:eastAsia="en-GB" w:bidi="en-GB"/>
      </w:rPr>
    </w:lvl>
    <w:lvl w:ilvl="4" w:tplc="878A4D2E">
      <w:numFmt w:val="bullet"/>
      <w:lvlText w:val="•"/>
      <w:lvlJc w:val="left"/>
      <w:pPr>
        <w:ind w:left="2670" w:hanging="217"/>
      </w:pPr>
      <w:rPr>
        <w:rFonts w:hint="default"/>
        <w:lang w:val="en-GB" w:eastAsia="en-GB" w:bidi="en-GB"/>
      </w:rPr>
    </w:lvl>
    <w:lvl w:ilvl="5" w:tplc="639CB224">
      <w:numFmt w:val="bullet"/>
      <w:lvlText w:val="•"/>
      <w:lvlJc w:val="left"/>
      <w:pPr>
        <w:ind w:left="3263" w:hanging="217"/>
      </w:pPr>
      <w:rPr>
        <w:rFonts w:hint="default"/>
        <w:lang w:val="en-GB" w:eastAsia="en-GB" w:bidi="en-GB"/>
      </w:rPr>
    </w:lvl>
    <w:lvl w:ilvl="6" w:tplc="86A867F2">
      <w:numFmt w:val="bullet"/>
      <w:lvlText w:val="•"/>
      <w:lvlJc w:val="left"/>
      <w:pPr>
        <w:ind w:left="3855" w:hanging="217"/>
      </w:pPr>
      <w:rPr>
        <w:rFonts w:hint="default"/>
        <w:lang w:val="en-GB" w:eastAsia="en-GB" w:bidi="en-GB"/>
      </w:rPr>
    </w:lvl>
    <w:lvl w:ilvl="7" w:tplc="42785218">
      <w:numFmt w:val="bullet"/>
      <w:lvlText w:val="•"/>
      <w:lvlJc w:val="left"/>
      <w:pPr>
        <w:ind w:left="4448" w:hanging="217"/>
      </w:pPr>
      <w:rPr>
        <w:rFonts w:hint="default"/>
        <w:lang w:val="en-GB" w:eastAsia="en-GB" w:bidi="en-GB"/>
      </w:rPr>
    </w:lvl>
    <w:lvl w:ilvl="8" w:tplc="FA18F99E">
      <w:numFmt w:val="bullet"/>
      <w:lvlText w:val="•"/>
      <w:lvlJc w:val="left"/>
      <w:pPr>
        <w:ind w:left="5040" w:hanging="217"/>
      </w:pPr>
      <w:rPr>
        <w:rFonts w:hint="default"/>
        <w:lang w:val="en-GB" w:eastAsia="en-GB" w:bidi="en-GB"/>
      </w:rPr>
    </w:lvl>
  </w:abstractNum>
  <w:abstractNum w:abstractNumId="215" w15:restartNumberingAfterBreak="0">
    <w:nsid w:val="129A4F33"/>
    <w:multiLevelType w:val="hybridMultilevel"/>
    <w:tmpl w:val="4D9A95F6"/>
    <w:lvl w:ilvl="0" w:tplc="A11C496E">
      <w:numFmt w:val="bullet"/>
      <w:lvlText w:val="•"/>
      <w:lvlJc w:val="left"/>
      <w:pPr>
        <w:ind w:left="305" w:hanging="217"/>
      </w:pPr>
      <w:rPr>
        <w:rFonts w:ascii="Arial" w:eastAsia="Arial" w:hAnsi="Arial" w:cs="Arial" w:hint="default"/>
        <w:color w:val="231F20"/>
        <w:w w:val="100"/>
        <w:sz w:val="18"/>
        <w:szCs w:val="18"/>
        <w:lang w:val="en-GB" w:eastAsia="en-GB" w:bidi="en-GB"/>
      </w:rPr>
    </w:lvl>
    <w:lvl w:ilvl="1" w:tplc="7D8E17F2">
      <w:numFmt w:val="bullet"/>
      <w:lvlText w:val="•"/>
      <w:lvlJc w:val="left"/>
      <w:pPr>
        <w:ind w:left="441" w:hanging="217"/>
      </w:pPr>
      <w:rPr>
        <w:rFonts w:hint="default"/>
        <w:lang w:val="en-GB" w:eastAsia="en-GB" w:bidi="en-GB"/>
      </w:rPr>
    </w:lvl>
    <w:lvl w:ilvl="2" w:tplc="16260276">
      <w:numFmt w:val="bullet"/>
      <w:lvlText w:val="•"/>
      <w:lvlJc w:val="left"/>
      <w:pPr>
        <w:ind w:left="583" w:hanging="217"/>
      </w:pPr>
      <w:rPr>
        <w:rFonts w:hint="default"/>
        <w:lang w:val="en-GB" w:eastAsia="en-GB" w:bidi="en-GB"/>
      </w:rPr>
    </w:lvl>
    <w:lvl w:ilvl="3" w:tplc="A672FDC2">
      <w:numFmt w:val="bullet"/>
      <w:lvlText w:val="•"/>
      <w:lvlJc w:val="left"/>
      <w:pPr>
        <w:ind w:left="725" w:hanging="217"/>
      </w:pPr>
      <w:rPr>
        <w:rFonts w:hint="default"/>
        <w:lang w:val="en-GB" w:eastAsia="en-GB" w:bidi="en-GB"/>
      </w:rPr>
    </w:lvl>
    <w:lvl w:ilvl="4" w:tplc="8474BFD2">
      <w:numFmt w:val="bullet"/>
      <w:lvlText w:val="•"/>
      <w:lvlJc w:val="left"/>
      <w:pPr>
        <w:ind w:left="867" w:hanging="217"/>
      </w:pPr>
      <w:rPr>
        <w:rFonts w:hint="default"/>
        <w:lang w:val="en-GB" w:eastAsia="en-GB" w:bidi="en-GB"/>
      </w:rPr>
    </w:lvl>
    <w:lvl w:ilvl="5" w:tplc="6EF87B86">
      <w:numFmt w:val="bullet"/>
      <w:lvlText w:val="•"/>
      <w:lvlJc w:val="left"/>
      <w:pPr>
        <w:ind w:left="1009" w:hanging="217"/>
      </w:pPr>
      <w:rPr>
        <w:rFonts w:hint="default"/>
        <w:lang w:val="en-GB" w:eastAsia="en-GB" w:bidi="en-GB"/>
      </w:rPr>
    </w:lvl>
    <w:lvl w:ilvl="6" w:tplc="673026A0">
      <w:numFmt w:val="bullet"/>
      <w:lvlText w:val="•"/>
      <w:lvlJc w:val="left"/>
      <w:pPr>
        <w:ind w:left="1151" w:hanging="217"/>
      </w:pPr>
      <w:rPr>
        <w:rFonts w:hint="default"/>
        <w:lang w:val="en-GB" w:eastAsia="en-GB" w:bidi="en-GB"/>
      </w:rPr>
    </w:lvl>
    <w:lvl w:ilvl="7" w:tplc="120248AE">
      <w:numFmt w:val="bullet"/>
      <w:lvlText w:val="•"/>
      <w:lvlJc w:val="left"/>
      <w:pPr>
        <w:ind w:left="1293" w:hanging="217"/>
      </w:pPr>
      <w:rPr>
        <w:rFonts w:hint="default"/>
        <w:lang w:val="en-GB" w:eastAsia="en-GB" w:bidi="en-GB"/>
      </w:rPr>
    </w:lvl>
    <w:lvl w:ilvl="8" w:tplc="CB2A8C6A">
      <w:numFmt w:val="bullet"/>
      <w:lvlText w:val="•"/>
      <w:lvlJc w:val="left"/>
      <w:pPr>
        <w:ind w:left="1435" w:hanging="217"/>
      </w:pPr>
      <w:rPr>
        <w:rFonts w:hint="default"/>
        <w:lang w:val="en-GB" w:eastAsia="en-GB" w:bidi="en-GB"/>
      </w:rPr>
    </w:lvl>
  </w:abstractNum>
  <w:abstractNum w:abstractNumId="216" w15:restartNumberingAfterBreak="0">
    <w:nsid w:val="12B02E5E"/>
    <w:multiLevelType w:val="hybridMultilevel"/>
    <w:tmpl w:val="09EE6356"/>
    <w:lvl w:ilvl="0" w:tplc="4AF28A0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5AACD92">
      <w:numFmt w:val="bullet"/>
      <w:lvlText w:val="•"/>
      <w:lvlJc w:val="left"/>
      <w:pPr>
        <w:ind w:left="1061" w:hanging="217"/>
      </w:pPr>
      <w:rPr>
        <w:rFonts w:hint="default"/>
        <w:lang w:val="en-GB" w:eastAsia="en-GB" w:bidi="en-GB"/>
      </w:rPr>
    </w:lvl>
    <w:lvl w:ilvl="2" w:tplc="F3E2AD5E">
      <w:numFmt w:val="bullet"/>
      <w:lvlText w:val="•"/>
      <w:lvlJc w:val="left"/>
      <w:pPr>
        <w:ind w:left="1823" w:hanging="217"/>
      </w:pPr>
      <w:rPr>
        <w:rFonts w:hint="default"/>
        <w:lang w:val="en-GB" w:eastAsia="en-GB" w:bidi="en-GB"/>
      </w:rPr>
    </w:lvl>
    <w:lvl w:ilvl="3" w:tplc="6DE8F7F8">
      <w:numFmt w:val="bullet"/>
      <w:lvlText w:val="•"/>
      <w:lvlJc w:val="left"/>
      <w:pPr>
        <w:ind w:left="2585" w:hanging="217"/>
      </w:pPr>
      <w:rPr>
        <w:rFonts w:hint="default"/>
        <w:lang w:val="en-GB" w:eastAsia="en-GB" w:bidi="en-GB"/>
      </w:rPr>
    </w:lvl>
    <w:lvl w:ilvl="4" w:tplc="6F185482">
      <w:numFmt w:val="bullet"/>
      <w:lvlText w:val="•"/>
      <w:lvlJc w:val="left"/>
      <w:pPr>
        <w:ind w:left="3346" w:hanging="217"/>
      </w:pPr>
      <w:rPr>
        <w:rFonts w:hint="default"/>
        <w:lang w:val="en-GB" w:eastAsia="en-GB" w:bidi="en-GB"/>
      </w:rPr>
    </w:lvl>
    <w:lvl w:ilvl="5" w:tplc="95ECFC5A">
      <w:numFmt w:val="bullet"/>
      <w:lvlText w:val="•"/>
      <w:lvlJc w:val="left"/>
      <w:pPr>
        <w:ind w:left="4108" w:hanging="217"/>
      </w:pPr>
      <w:rPr>
        <w:rFonts w:hint="default"/>
        <w:lang w:val="en-GB" w:eastAsia="en-GB" w:bidi="en-GB"/>
      </w:rPr>
    </w:lvl>
    <w:lvl w:ilvl="6" w:tplc="98C67FE0">
      <w:numFmt w:val="bullet"/>
      <w:lvlText w:val="•"/>
      <w:lvlJc w:val="left"/>
      <w:pPr>
        <w:ind w:left="4870" w:hanging="217"/>
      </w:pPr>
      <w:rPr>
        <w:rFonts w:hint="default"/>
        <w:lang w:val="en-GB" w:eastAsia="en-GB" w:bidi="en-GB"/>
      </w:rPr>
    </w:lvl>
    <w:lvl w:ilvl="7" w:tplc="436A98D0">
      <w:numFmt w:val="bullet"/>
      <w:lvlText w:val="•"/>
      <w:lvlJc w:val="left"/>
      <w:pPr>
        <w:ind w:left="5631" w:hanging="217"/>
      </w:pPr>
      <w:rPr>
        <w:rFonts w:hint="default"/>
        <w:lang w:val="en-GB" w:eastAsia="en-GB" w:bidi="en-GB"/>
      </w:rPr>
    </w:lvl>
    <w:lvl w:ilvl="8" w:tplc="12E4236E">
      <w:numFmt w:val="bullet"/>
      <w:lvlText w:val="•"/>
      <w:lvlJc w:val="left"/>
      <w:pPr>
        <w:ind w:left="6393" w:hanging="217"/>
      </w:pPr>
      <w:rPr>
        <w:rFonts w:hint="default"/>
        <w:lang w:val="en-GB" w:eastAsia="en-GB" w:bidi="en-GB"/>
      </w:rPr>
    </w:lvl>
  </w:abstractNum>
  <w:abstractNum w:abstractNumId="217" w15:restartNumberingAfterBreak="0">
    <w:nsid w:val="12E86FFC"/>
    <w:multiLevelType w:val="hybridMultilevel"/>
    <w:tmpl w:val="E0FE25F2"/>
    <w:lvl w:ilvl="0" w:tplc="1C3A4B10">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19228F00">
      <w:numFmt w:val="bullet"/>
      <w:lvlText w:val="•"/>
      <w:lvlJc w:val="left"/>
      <w:pPr>
        <w:ind w:left="892" w:hanging="217"/>
      </w:pPr>
      <w:rPr>
        <w:rFonts w:hint="default"/>
        <w:lang w:val="en-GB" w:eastAsia="en-GB" w:bidi="en-GB"/>
      </w:rPr>
    </w:lvl>
    <w:lvl w:ilvl="2" w:tplc="7A268410">
      <w:numFmt w:val="bullet"/>
      <w:lvlText w:val="•"/>
      <w:lvlJc w:val="left"/>
      <w:pPr>
        <w:ind w:left="1485" w:hanging="217"/>
      </w:pPr>
      <w:rPr>
        <w:rFonts w:hint="default"/>
        <w:lang w:val="en-GB" w:eastAsia="en-GB" w:bidi="en-GB"/>
      </w:rPr>
    </w:lvl>
    <w:lvl w:ilvl="3" w:tplc="00A05ACA">
      <w:numFmt w:val="bullet"/>
      <w:lvlText w:val="•"/>
      <w:lvlJc w:val="left"/>
      <w:pPr>
        <w:ind w:left="2077" w:hanging="217"/>
      </w:pPr>
      <w:rPr>
        <w:rFonts w:hint="default"/>
        <w:lang w:val="en-GB" w:eastAsia="en-GB" w:bidi="en-GB"/>
      </w:rPr>
    </w:lvl>
    <w:lvl w:ilvl="4" w:tplc="519C4CDC">
      <w:numFmt w:val="bullet"/>
      <w:lvlText w:val="•"/>
      <w:lvlJc w:val="left"/>
      <w:pPr>
        <w:ind w:left="2670" w:hanging="217"/>
      </w:pPr>
      <w:rPr>
        <w:rFonts w:hint="default"/>
        <w:lang w:val="en-GB" w:eastAsia="en-GB" w:bidi="en-GB"/>
      </w:rPr>
    </w:lvl>
    <w:lvl w:ilvl="5" w:tplc="F21CAA7C">
      <w:numFmt w:val="bullet"/>
      <w:lvlText w:val="•"/>
      <w:lvlJc w:val="left"/>
      <w:pPr>
        <w:ind w:left="3263" w:hanging="217"/>
      </w:pPr>
      <w:rPr>
        <w:rFonts w:hint="default"/>
        <w:lang w:val="en-GB" w:eastAsia="en-GB" w:bidi="en-GB"/>
      </w:rPr>
    </w:lvl>
    <w:lvl w:ilvl="6" w:tplc="CA407468">
      <w:numFmt w:val="bullet"/>
      <w:lvlText w:val="•"/>
      <w:lvlJc w:val="left"/>
      <w:pPr>
        <w:ind w:left="3855" w:hanging="217"/>
      </w:pPr>
      <w:rPr>
        <w:rFonts w:hint="default"/>
        <w:lang w:val="en-GB" w:eastAsia="en-GB" w:bidi="en-GB"/>
      </w:rPr>
    </w:lvl>
    <w:lvl w:ilvl="7" w:tplc="407059E0">
      <w:numFmt w:val="bullet"/>
      <w:lvlText w:val="•"/>
      <w:lvlJc w:val="left"/>
      <w:pPr>
        <w:ind w:left="4448" w:hanging="217"/>
      </w:pPr>
      <w:rPr>
        <w:rFonts w:hint="default"/>
        <w:lang w:val="en-GB" w:eastAsia="en-GB" w:bidi="en-GB"/>
      </w:rPr>
    </w:lvl>
    <w:lvl w:ilvl="8" w:tplc="6A665DEA">
      <w:numFmt w:val="bullet"/>
      <w:lvlText w:val="•"/>
      <w:lvlJc w:val="left"/>
      <w:pPr>
        <w:ind w:left="5040" w:hanging="217"/>
      </w:pPr>
      <w:rPr>
        <w:rFonts w:hint="default"/>
        <w:lang w:val="en-GB" w:eastAsia="en-GB" w:bidi="en-GB"/>
      </w:rPr>
    </w:lvl>
  </w:abstractNum>
  <w:abstractNum w:abstractNumId="218" w15:restartNumberingAfterBreak="0">
    <w:nsid w:val="132226A0"/>
    <w:multiLevelType w:val="hybridMultilevel"/>
    <w:tmpl w:val="FBA80712"/>
    <w:lvl w:ilvl="0" w:tplc="B8029E20">
      <w:numFmt w:val="bullet"/>
      <w:lvlText w:val="•"/>
      <w:lvlJc w:val="left"/>
      <w:pPr>
        <w:ind w:left="276" w:hanging="217"/>
      </w:pPr>
      <w:rPr>
        <w:rFonts w:ascii="Arial" w:eastAsia="Arial" w:hAnsi="Arial" w:cs="Arial" w:hint="default"/>
        <w:color w:val="231F20"/>
        <w:w w:val="97"/>
        <w:sz w:val="16"/>
        <w:szCs w:val="16"/>
        <w:lang w:val="en-GB" w:eastAsia="en-GB" w:bidi="en-GB"/>
      </w:rPr>
    </w:lvl>
    <w:lvl w:ilvl="1" w:tplc="ADD668BA">
      <w:numFmt w:val="bullet"/>
      <w:lvlText w:val="•"/>
      <w:lvlJc w:val="left"/>
      <w:pPr>
        <w:ind w:left="381" w:hanging="217"/>
      </w:pPr>
      <w:rPr>
        <w:rFonts w:hint="default"/>
        <w:lang w:val="en-GB" w:eastAsia="en-GB" w:bidi="en-GB"/>
      </w:rPr>
    </w:lvl>
    <w:lvl w:ilvl="2" w:tplc="109816EC">
      <w:numFmt w:val="bullet"/>
      <w:lvlText w:val="•"/>
      <w:lvlJc w:val="left"/>
      <w:pPr>
        <w:ind w:left="482" w:hanging="217"/>
      </w:pPr>
      <w:rPr>
        <w:rFonts w:hint="default"/>
        <w:lang w:val="en-GB" w:eastAsia="en-GB" w:bidi="en-GB"/>
      </w:rPr>
    </w:lvl>
    <w:lvl w:ilvl="3" w:tplc="B2063298">
      <w:numFmt w:val="bullet"/>
      <w:lvlText w:val="•"/>
      <w:lvlJc w:val="left"/>
      <w:pPr>
        <w:ind w:left="584" w:hanging="217"/>
      </w:pPr>
      <w:rPr>
        <w:rFonts w:hint="default"/>
        <w:lang w:val="en-GB" w:eastAsia="en-GB" w:bidi="en-GB"/>
      </w:rPr>
    </w:lvl>
    <w:lvl w:ilvl="4" w:tplc="404C117A">
      <w:numFmt w:val="bullet"/>
      <w:lvlText w:val="•"/>
      <w:lvlJc w:val="left"/>
      <w:pPr>
        <w:ind w:left="685" w:hanging="217"/>
      </w:pPr>
      <w:rPr>
        <w:rFonts w:hint="default"/>
        <w:lang w:val="en-GB" w:eastAsia="en-GB" w:bidi="en-GB"/>
      </w:rPr>
    </w:lvl>
    <w:lvl w:ilvl="5" w:tplc="C65EAB90">
      <w:numFmt w:val="bullet"/>
      <w:lvlText w:val="•"/>
      <w:lvlJc w:val="left"/>
      <w:pPr>
        <w:ind w:left="787" w:hanging="217"/>
      </w:pPr>
      <w:rPr>
        <w:rFonts w:hint="default"/>
        <w:lang w:val="en-GB" w:eastAsia="en-GB" w:bidi="en-GB"/>
      </w:rPr>
    </w:lvl>
    <w:lvl w:ilvl="6" w:tplc="2B14081E">
      <w:numFmt w:val="bullet"/>
      <w:lvlText w:val="•"/>
      <w:lvlJc w:val="left"/>
      <w:pPr>
        <w:ind w:left="888" w:hanging="217"/>
      </w:pPr>
      <w:rPr>
        <w:rFonts w:hint="default"/>
        <w:lang w:val="en-GB" w:eastAsia="en-GB" w:bidi="en-GB"/>
      </w:rPr>
    </w:lvl>
    <w:lvl w:ilvl="7" w:tplc="E67EF99C">
      <w:numFmt w:val="bullet"/>
      <w:lvlText w:val="•"/>
      <w:lvlJc w:val="left"/>
      <w:pPr>
        <w:ind w:left="989" w:hanging="217"/>
      </w:pPr>
      <w:rPr>
        <w:rFonts w:hint="default"/>
        <w:lang w:val="en-GB" w:eastAsia="en-GB" w:bidi="en-GB"/>
      </w:rPr>
    </w:lvl>
    <w:lvl w:ilvl="8" w:tplc="8202EBA4">
      <w:numFmt w:val="bullet"/>
      <w:lvlText w:val="•"/>
      <w:lvlJc w:val="left"/>
      <w:pPr>
        <w:ind w:left="1091" w:hanging="217"/>
      </w:pPr>
      <w:rPr>
        <w:rFonts w:hint="default"/>
        <w:lang w:val="en-GB" w:eastAsia="en-GB" w:bidi="en-GB"/>
      </w:rPr>
    </w:lvl>
  </w:abstractNum>
  <w:abstractNum w:abstractNumId="219" w15:restartNumberingAfterBreak="0">
    <w:nsid w:val="132C2F3B"/>
    <w:multiLevelType w:val="hybridMultilevel"/>
    <w:tmpl w:val="61ECFD06"/>
    <w:lvl w:ilvl="0" w:tplc="9376A212">
      <w:numFmt w:val="bullet"/>
      <w:lvlText w:val="•"/>
      <w:lvlJc w:val="left"/>
      <w:pPr>
        <w:ind w:left="304" w:hanging="217"/>
      </w:pPr>
      <w:rPr>
        <w:rFonts w:ascii="Arial" w:eastAsia="Arial" w:hAnsi="Arial" w:cs="Arial" w:hint="default"/>
        <w:color w:val="231F20"/>
        <w:w w:val="100"/>
        <w:sz w:val="18"/>
        <w:szCs w:val="18"/>
        <w:lang w:val="en-GB" w:eastAsia="en-GB" w:bidi="en-GB"/>
      </w:rPr>
    </w:lvl>
    <w:lvl w:ilvl="1" w:tplc="17081242">
      <w:numFmt w:val="bullet"/>
      <w:lvlText w:val="•"/>
      <w:lvlJc w:val="left"/>
      <w:pPr>
        <w:ind w:left="473" w:hanging="217"/>
      </w:pPr>
      <w:rPr>
        <w:rFonts w:hint="default"/>
        <w:lang w:val="en-GB" w:eastAsia="en-GB" w:bidi="en-GB"/>
      </w:rPr>
    </w:lvl>
    <w:lvl w:ilvl="2" w:tplc="DF9E2FB6">
      <w:numFmt w:val="bullet"/>
      <w:lvlText w:val="•"/>
      <w:lvlJc w:val="left"/>
      <w:pPr>
        <w:ind w:left="646" w:hanging="217"/>
      </w:pPr>
      <w:rPr>
        <w:rFonts w:hint="default"/>
        <w:lang w:val="en-GB" w:eastAsia="en-GB" w:bidi="en-GB"/>
      </w:rPr>
    </w:lvl>
    <w:lvl w:ilvl="3" w:tplc="DE46CF1A">
      <w:numFmt w:val="bullet"/>
      <w:lvlText w:val="•"/>
      <w:lvlJc w:val="left"/>
      <w:pPr>
        <w:ind w:left="819" w:hanging="217"/>
      </w:pPr>
      <w:rPr>
        <w:rFonts w:hint="default"/>
        <w:lang w:val="en-GB" w:eastAsia="en-GB" w:bidi="en-GB"/>
      </w:rPr>
    </w:lvl>
    <w:lvl w:ilvl="4" w:tplc="A4920EDA">
      <w:numFmt w:val="bullet"/>
      <w:lvlText w:val="•"/>
      <w:lvlJc w:val="left"/>
      <w:pPr>
        <w:ind w:left="992" w:hanging="217"/>
      </w:pPr>
      <w:rPr>
        <w:rFonts w:hint="default"/>
        <w:lang w:val="en-GB" w:eastAsia="en-GB" w:bidi="en-GB"/>
      </w:rPr>
    </w:lvl>
    <w:lvl w:ilvl="5" w:tplc="18B2C96C">
      <w:numFmt w:val="bullet"/>
      <w:lvlText w:val="•"/>
      <w:lvlJc w:val="left"/>
      <w:pPr>
        <w:ind w:left="1165" w:hanging="217"/>
      </w:pPr>
      <w:rPr>
        <w:rFonts w:hint="default"/>
        <w:lang w:val="en-GB" w:eastAsia="en-GB" w:bidi="en-GB"/>
      </w:rPr>
    </w:lvl>
    <w:lvl w:ilvl="6" w:tplc="EB76B25C">
      <w:numFmt w:val="bullet"/>
      <w:lvlText w:val="•"/>
      <w:lvlJc w:val="left"/>
      <w:pPr>
        <w:ind w:left="1338" w:hanging="217"/>
      </w:pPr>
      <w:rPr>
        <w:rFonts w:hint="default"/>
        <w:lang w:val="en-GB" w:eastAsia="en-GB" w:bidi="en-GB"/>
      </w:rPr>
    </w:lvl>
    <w:lvl w:ilvl="7" w:tplc="134E1D9A">
      <w:numFmt w:val="bullet"/>
      <w:lvlText w:val="•"/>
      <w:lvlJc w:val="left"/>
      <w:pPr>
        <w:ind w:left="1511" w:hanging="217"/>
      </w:pPr>
      <w:rPr>
        <w:rFonts w:hint="default"/>
        <w:lang w:val="en-GB" w:eastAsia="en-GB" w:bidi="en-GB"/>
      </w:rPr>
    </w:lvl>
    <w:lvl w:ilvl="8" w:tplc="12F21FD2">
      <w:numFmt w:val="bullet"/>
      <w:lvlText w:val="•"/>
      <w:lvlJc w:val="left"/>
      <w:pPr>
        <w:ind w:left="1684" w:hanging="217"/>
      </w:pPr>
      <w:rPr>
        <w:rFonts w:hint="default"/>
        <w:lang w:val="en-GB" w:eastAsia="en-GB" w:bidi="en-GB"/>
      </w:rPr>
    </w:lvl>
  </w:abstractNum>
  <w:abstractNum w:abstractNumId="220" w15:restartNumberingAfterBreak="0">
    <w:nsid w:val="133C277E"/>
    <w:multiLevelType w:val="hybridMultilevel"/>
    <w:tmpl w:val="8B5E361C"/>
    <w:lvl w:ilvl="0" w:tplc="3272987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A8CFFA0">
      <w:numFmt w:val="bullet"/>
      <w:lvlText w:val="•"/>
      <w:lvlJc w:val="left"/>
      <w:pPr>
        <w:ind w:left="473" w:hanging="217"/>
      </w:pPr>
      <w:rPr>
        <w:rFonts w:hint="default"/>
        <w:lang w:val="en-GB" w:eastAsia="en-GB" w:bidi="en-GB"/>
      </w:rPr>
    </w:lvl>
    <w:lvl w:ilvl="2" w:tplc="49B07B62">
      <w:numFmt w:val="bullet"/>
      <w:lvlText w:val="•"/>
      <w:lvlJc w:val="left"/>
      <w:pPr>
        <w:ind w:left="646" w:hanging="217"/>
      </w:pPr>
      <w:rPr>
        <w:rFonts w:hint="default"/>
        <w:lang w:val="en-GB" w:eastAsia="en-GB" w:bidi="en-GB"/>
      </w:rPr>
    </w:lvl>
    <w:lvl w:ilvl="3" w:tplc="F8BE319E">
      <w:numFmt w:val="bullet"/>
      <w:lvlText w:val="•"/>
      <w:lvlJc w:val="left"/>
      <w:pPr>
        <w:ind w:left="819" w:hanging="217"/>
      </w:pPr>
      <w:rPr>
        <w:rFonts w:hint="default"/>
        <w:lang w:val="en-GB" w:eastAsia="en-GB" w:bidi="en-GB"/>
      </w:rPr>
    </w:lvl>
    <w:lvl w:ilvl="4" w:tplc="D4B8407E">
      <w:numFmt w:val="bullet"/>
      <w:lvlText w:val="•"/>
      <w:lvlJc w:val="left"/>
      <w:pPr>
        <w:ind w:left="992" w:hanging="217"/>
      </w:pPr>
      <w:rPr>
        <w:rFonts w:hint="default"/>
        <w:lang w:val="en-GB" w:eastAsia="en-GB" w:bidi="en-GB"/>
      </w:rPr>
    </w:lvl>
    <w:lvl w:ilvl="5" w:tplc="82020EDC">
      <w:numFmt w:val="bullet"/>
      <w:lvlText w:val="•"/>
      <w:lvlJc w:val="left"/>
      <w:pPr>
        <w:ind w:left="1165" w:hanging="217"/>
      </w:pPr>
      <w:rPr>
        <w:rFonts w:hint="default"/>
        <w:lang w:val="en-GB" w:eastAsia="en-GB" w:bidi="en-GB"/>
      </w:rPr>
    </w:lvl>
    <w:lvl w:ilvl="6" w:tplc="68723764">
      <w:numFmt w:val="bullet"/>
      <w:lvlText w:val="•"/>
      <w:lvlJc w:val="left"/>
      <w:pPr>
        <w:ind w:left="1338" w:hanging="217"/>
      </w:pPr>
      <w:rPr>
        <w:rFonts w:hint="default"/>
        <w:lang w:val="en-GB" w:eastAsia="en-GB" w:bidi="en-GB"/>
      </w:rPr>
    </w:lvl>
    <w:lvl w:ilvl="7" w:tplc="77821698">
      <w:numFmt w:val="bullet"/>
      <w:lvlText w:val="•"/>
      <w:lvlJc w:val="left"/>
      <w:pPr>
        <w:ind w:left="1511" w:hanging="217"/>
      </w:pPr>
      <w:rPr>
        <w:rFonts w:hint="default"/>
        <w:lang w:val="en-GB" w:eastAsia="en-GB" w:bidi="en-GB"/>
      </w:rPr>
    </w:lvl>
    <w:lvl w:ilvl="8" w:tplc="10609944">
      <w:numFmt w:val="bullet"/>
      <w:lvlText w:val="•"/>
      <w:lvlJc w:val="left"/>
      <w:pPr>
        <w:ind w:left="1684" w:hanging="217"/>
      </w:pPr>
      <w:rPr>
        <w:rFonts w:hint="default"/>
        <w:lang w:val="en-GB" w:eastAsia="en-GB" w:bidi="en-GB"/>
      </w:rPr>
    </w:lvl>
  </w:abstractNum>
  <w:abstractNum w:abstractNumId="221" w15:restartNumberingAfterBreak="0">
    <w:nsid w:val="137C2AA6"/>
    <w:multiLevelType w:val="hybridMultilevel"/>
    <w:tmpl w:val="B9A69578"/>
    <w:lvl w:ilvl="0" w:tplc="92401A4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C86A980">
      <w:numFmt w:val="bullet"/>
      <w:lvlText w:val="•"/>
      <w:lvlJc w:val="left"/>
      <w:pPr>
        <w:ind w:left="439" w:hanging="217"/>
      </w:pPr>
      <w:rPr>
        <w:rFonts w:hint="default"/>
        <w:lang w:val="en-GB" w:eastAsia="en-GB" w:bidi="en-GB"/>
      </w:rPr>
    </w:lvl>
    <w:lvl w:ilvl="2" w:tplc="19AEA506">
      <w:numFmt w:val="bullet"/>
      <w:lvlText w:val="•"/>
      <w:lvlJc w:val="left"/>
      <w:pPr>
        <w:ind w:left="578" w:hanging="217"/>
      </w:pPr>
      <w:rPr>
        <w:rFonts w:hint="default"/>
        <w:lang w:val="en-GB" w:eastAsia="en-GB" w:bidi="en-GB"/>
      </w:rPr>
    </w:lvl>
    <w:lvl w:ilvl="3" w:tplc="5F606198">
      <w:numFmt w:val="bullet"/>
      <w:lvlText w:val="•"/>
      <w:lvlJc w:val="left"/>
      <w:pPr>
        <w:ind w:left="717" w:hanging="217"/>
      </w:pPr>
      <w:rPr>
        <w:rFonts w:hint="default"/>
        <w:lang w:val="en-GB" w:eastAsia="en-GB" w:bidi="en-GB"/>
      </w:rPr>
    </w:lvl>
    <w:lvl w:ilvl="4" w:tplc="639604D2">
      <w:numFmt w:val="bullet"/>
      <w:lvlText w:val="•"/>
      <w:lvlJc w:val="left"/>
      <w:pPr>
        <w:ind w:left="856" w:hanging="217"/>
      </w:pPr>
      <w:rPr>
        <w:rFonts w:hint="default"/>
        <w:lang w:val="en-GB" w:eastAsia="en-GB" w:bidi="en-GB"/>
      </w:rPr>
    </w:lvl>
    <w:lvl w:ilvl="5" w:tplc="6068D55A">
      <w:numFmt w:val="bullet"/>
      <w:lvlText w:val="•"/>
      <w:lvlJc w:val="left"/>
      <w:pPr>
        <w:ind w:left="995" w:hanging="217"/>
      </w:pPr>
      <w:rPr>
        <w:rFonts w:hint="default"/>
        <w:lang w:val="en-GB" w:eastAsia="en-GB" w:bidi="en-GB"/>
      </w:rPr>
    </w:lvl>
    <w:lvl w:ilvl="6" w:tplc="85440012">
      <w:numFmt w:val="bullet"/>
      <w:lvlText w:val="•"/>
      <w:lvlJc w:val="left"/>
      <w:pPr>
        <w:ind w:left="1134" w:hanging="217"/>
      </w:pPr>
      <w:rPr>
        <w:rFonts w:hint="default"/>
        <w:lang w:val="en-GB" w:eastAsia="en-GB" w:bidi="en-GB"/>
      </w:rPr>
    </w:lvl>
    <w:lvl w:ilvl="7" w:tplc="22A6C4E2">
      <w:numFmt w:val="bullet"/>
      <w:lvlText w:val="•"/>
      <w:lvlJc w:val="left"/>
      <w:pPr>
        <w:ind w:left="1273" w:hanging="217"/>
      </w:pPr>
      <w:rPr>
        <w:rFonts w:hint="default"/>
        <w:lang w:val="en-GB" w:eastAsia="en-GB" w:bidi="en-GB"/>
      </w:rPr>
    </w:lvl>
    <w:lvl w:ilvl="8" w:tplc="9A76072E">
      <w:numFmt w:val="bullet"/>
      <w:lvlText w:val="•"/>
      <w:lvlJc w:val="left"/>
      <w:pPr>
        <w:ind w:left="1412" w:hanging="217"/>
      </w:pPr>
      <w:rPr>
        <w:rFonts w:hint="default"/>
        <w:lang w:val="en-GB" w:eastAsia="en-GB" w:bidi="en-GB"/>
      </w:rPr>
    </w:lvl>
  </w:abstractNum>
  <w:abstractNum w:abstractNumId="222" w15:restartNumberingAfterBreak="0">
    <w:nsid w:val="138D45BD"/>
    <w:multiLevelType w:val="hybridMultilevel"/>
    <w:tmpl w:val="3B360AAC"/>
    <w:lvl w:ilvl="0" w:tplc="DED062B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582CE3E">
      <w:numFmt w:val="bullet"/>
      <w:lvlText w:val="•"/>
      <w:lvlJc w:val="left"/>
      <w:pPr>
        <w:ind w:left="473" w:hanging="217"/>
      </w:pPr>
      <w:rPr>
        <w:rFonts w:hint="default"/>
        <w:lang w:val="en-GB" w:eastAsia="en-GB" w:bidi="en-GB"/>
      </w:rPr>
    </w:lvl>
    <w:lvl w:ilvl="2" w:tplc="A7DE7F06">
      <w:numFmt w:val="bullet"/>
      <w:lvlText w:val="•"/>
      <w:lvlJc w:val="left"/>
      <w:pPr>
        <w:ind w:left="646" w:hanging="217"/>
      </w:pPr>
      <w:rPr>
        <w:rFonts w:hint="default"/>
        <w:lang w:val="en-GB" w:eastAsia="en-GB" w:bidi="en-GB"/>
      </w:rPr>
    </w:lvl>
    <w:lvl w:ilvl="3" w:tplc="914C98BE">
      <w:numFmt w:val="bullet"/>
      <w:lvlText w:val="•"/>
      <w:lvlJc w:val="left"/>
      <w:pPr>
        <w:ind w:left="819" w:hanging="217"/>
      </w:pPr>
      <w:rPr>
        <w:rFonts w:hint="default"/>
        <w:lang w:val="en-GB" w:eastAsia="en-GB" w:bidi="en-GB"/>
      </w:rPr>
    </w:lvl>
    <w:lvl w:ilvl="4" w:tplc="3EDCE8D4">
      <w:numFmt w:val="bullet"/>
      <w:lvlText w:val="•"/>
      <w:lvlJc w:val="left"/>
      <w:pPr>
        <w:ind w:left="992" w:hanging="217"/>
      </w:pPr>
      <w:rPr>
        <w:rFonts w:hint="default"/>
        <w:lang w:val="en-GB" w:eastAsia="en-GB" w:bidi="en-GB"/>
      </w:rPr>
    </w:lvl>
    <w:lvl w:ilvl="5" w:tplc="993AE95C">
      <w:numFmt w:val="bullet"/>
      <w:lvlText w:val="•"/>
      <w:lvlJc w:val="left"/>
      <w:pPr>
        <w:ind w:left="1165" w:hanging="217"/>
      </w:pPr>
      <w:rPr>
        <w:rFonts w:hint="default"/>
        <w:lang w:val="en-GB" w:eastAsia="en-GB" w:bidi="en-GB"/>
      </w:rPr>
    </w:lvl>
    <w:lvl w:ilvl="6" w:tplc="2020E0C4">
      <w:numFmt w:val="bullet"/>
      <w:lvlText w:val="•"/>
      <w:lvlJc w:val="left"/>
      <w:pPr>
        <w:ind w:left="1338" w:hanging="217"/>
      </w:pPr>
      <w:rPr>
        <w:rFonts w:hint="default"/>
        <w:lang w:val="en-GB" w:eastAsia="en-GB" w:bidi="en-GB"/>
      </w:rPr>
    </w:lvl>
    <w:lvl w:ilvl="7" w:tplc="5CBE7976">
      <w:numFmt w:val="bullet"/>
      <w:lvlText w:val="•"/>
      <w:lvlJc w:val="left"/>
      <w:pPr>
        <w:ind w:left="1511" w:hanging="217"/>
      </w:pPr>
      <w:rPr>
        <w:rFonts w:hint="default"/>
        <w:lang w:val="en-GB" w:eastAsia="en-GB" w:bidi="en-GB"/>
      </w:rPr>
    </w:lvl>
    <w:lvl w:ilvl="8" w:tplc="21F2CB6A">
      <w:numFmt w:val="bullet"/>
      <w:lvlText w:val="•"/>
      <w:lvlJc w:val="left"/>
      <w:pPr>
        <w:ind w:left="1684" w:hanging="217"/>
      </w:pPr>
      <w:rPr>
        <w:rFonts w:hint="default"/>
        <w:lang w:val="en-GB" w:eastAsia="en-GB" w:bidi="en-GB"/>
      </w:rPr>
    </w:lvl>
  </w:abstractNum>
  <w:abstractNum w:abstractNumId="223" w15:restartNumberingAfterBreak="0">
    <w:nsid w:val="139C08DF"/>
    <w:multiLevelType w:val="hybridMultilevel"/>
    <w:tmpl w:val="24C2ABDE"/>
    <w:lvl w:ilvl="0" w:tplc="0CE05EAA">
      <w:numFmt w:val="bullet"/>
      <w:lvlText w:val="•"/>
      <w:lvlJc w:val="left"/>
      <w:pPr>
        <w:ind w:left="305" w:hanging="217"/>
      </w:pPr>
      <w:rPr>
        <w:rFonts w:ascii="Arial" w:eastAsia="Arial" w:hAnsi="Arial" w:cs="Arial" w:hint="default"/>
        <w:color w:val="231F20"/>
        <w:w w:val="102"/>
        <w:sz w:val="17"/>
        <w:szCs w:val="17"/>
        <w:lang w:val="en-GB" w:eastAsia="en-GB" w:bidi="en-GB"/>
      </w:rPr>
    </w:lvl>
    <w:lvl w:ilvl="1" w:tplc="23AE1AEA">
      <w:numFmt w:val="bullet"/>
      <w:lvlText w:val="•"/>
      <w:lvlJc w:val="left"/>
      <w:pPr>
        <w:ind w:left="892" w:hanging="217"/>
      </w:pPr>
      <w:rPr>
        <w:rFonts w:hint="default"/>
        <w:lang w:val="en-GB" w:eastAsia="en-GB" w:bidi="en-GB"/>
      </w:rPr>
    </w:lvl>
    <w:lvl w:ilvl="2" w:tplc="C2B2E3A2">
      <w:numFmt w:val="bullet"/>
      <w:lvlText w:val="•"/>
      <w:lvlJc w:val="left"/>
      <w:pPr>
        <w:ind w:left="1485" w:hanging="217"/>
      </w:pPr>
      <w:rPr>
        <w:rFonts w:hint="default"/>
        <w:lang w:val="en-GB" w:eastAsia="en-GB" w:bidi="en-GB"/>
      </w:rPr>
    </w:lvl>
    <w:lvl w:ilvl="3" w:tplc="565A23FA">
      <w:numFmt w:val="bullet"/>
      <w:lvlText w:val="•"/>
      <w:lvlJc w:val="left"/>
      <w:pPr>
        <w:ind w:left="2077" w:hanging="217"/>
      </w:pPr>
      <w:rPr>
        <w:rFonts w:hint="default"/>
        <w:lang w:val="en-GB" w:eastAsia="en-GB" w:bidi="en-GB"/>
      </w:rPr>
    </w:lvl>
    <w:lvl w:ilvl="4" w:tplc="A15A7B68">
      <w:numFmt w:val="bullet"/>
      <w:lvlText w:val="•"/>
      <w:lvlJc w:val="left"/>
      <w:pPr>
        <w:ind w:left="2670" w:hanging="217"/>
      </w:pPr>
      <w:rPr>
        <w:rFonts w:hint="default"/>
        <w:lang w:val="en-GB" w:eastAsia="en-GB" w:bidi="en-GB"/>
      </w:rPr>
    </w:lvl>
    <w:lvl w:ilvl="5" w:tplc="B7282866">
      <w:numFmt w:val="bullet"/>
      <w:lvlText w:val="•"/>
      <w:lvlJc w:val="left"/>
      <w:pPr>
        <w:ind w:left="3263" w:hanging="217"/>
      </w:pPr>
      <w:rPr>
        <w:rFonts w:hint="default"/>
        <w:lang w:val="en-GB" w:eastAsia="en-GB" w:bidi="en-GB"/>
      </w:rPr>
    </w:lvl>
    <w:lvl w:ilvl="6" w:tplc="515CA6AC">
      <w:numFmt w:val="bullet"/>
      <w:lvlText w:val="•"/>
      <w:lvlJc w:val="left"/>
      <w:pPr>
        <w:ind w:left="3855" w:hanging="217"/>
      </w:pPr>
      <w:rPr>
        <w:rFonts w:hint="default"/>
        <w:lang w:val="en-GB" w:eastAsia="en-GB" w:bidi="en-GB"/>
      </w:rPr>
    </w:lvl>
    <w:lvl w:ilvl="7" w:tplc="7E76ED26">
      <w:numFmt w:val="bullet"/>
      <w:lvlText w:val="•"/>
      <w:lvlJc w:val="left"/>
      <w:pPr>
        <w:ind w:left="4448" w:hanging="217"/>
      </w:pPr>
      <w:rPr>
        <w:rFonts w:hint="default"/>
        <w:lang w:val="en-GB" w:eastAsia="en-GB" w:bidi="en-GB"/>
      </w:rPr>
    </w:lvl>
    <w:lvl w:ilvl="8" w:tplc="5860B67A">
      <w:numFmt w:val="bullet"/>
      <w:lvlText w:val="•"/>
      <w:lvlJc w:val="left"/>
      <w:pPr>
        <w:ind w:left="5040" w:hanging="217"/>
      </w:pPr>
      <w:rPr>
        <w:rFonts w:hint="default"/>
        <w:lang w:val="en-GB" w:eastAsia="en-GB" w:bidi="en-GB"/>
      </w:rPr>
    </w:lvl>
  </w:abstractNum>
  <w:abstractNum w:abstractNumId="224" w15:restartNumberingAfterBreak="0">
    <w:nsid w:val="13A970F9"/>
    <w:multiLevelType w:val="hybridMultilevel"/>
    <w:tmpl w:val="AAF4D894"/>
    <w:lvl w:ilvl="0" w:tplc="3F5656C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2C29BC4">
      <w:numFmt w:val="bullet"/>
      <w:lvlText w:val="•"/>
      <w:lvlJc w:val="left"/>
      <w:pPr>
        <w:ind w:left="473" w:hanging="217"/>
      </w:pPr>
      <w:rPr>
        <w:rFonts w:hint="default"/>
        <w:lang w:val="en-GB" w:eastAsia="en-GB" w:bidi="en-GB"/>
      </w:rPr>
    </w:lvl>
    <w:lvl w:ilvl="2" w:tplc="3F4A4C46">
      <w:numFmt w:val="bullet"/>
      <w:lvlText w:val="•"/>
      <w:lvlJc w:val="left"/>
      <w:pPr>
        <w:ind w:left="646" w:hanging="217"/>
      </w:pPr>
      <w:rPr>
        <w:rFonts w:hint="default"/>
        <w:lang w:val="en-GB" w:eastAsia="en-GB" w:bidi="en-GB"/>
      </w:rPr>
    </w:lvl>
    <w:lvl w:ilvl="3" w:tplc="9556976E">
      <w:numFmt w:val="bullet"/>
      <w:lvlText w:val="•"/>
      <w:lvlJc w:val="left"/>
      <w:pPr>
        <w:ind w:left="819" w:hanging="217"/>
      </w:pPr>
      <w:rPr>
        <w:rFonts w:hint="default"/>
        <w:lang w:val="en-GB" w:eastAsia="en-GB" w:bidi="en-GB"/>
      </w:rPr>
    </w:lvl>
    <w:lvl w:ilvl="4" w:tplc="F6969536">
      <w:numFmt w:val="bullet"/>
      <w:lvlText w:val="•"/>
      <w:lvlJc w:val="left"/>
      <w:pPr>
        <w:ind w:left="992" w:hanging="217"/>
      </w:pPr>
      <w:rPr>
        <w:rFonts w:hint="default"/>
        <w:lang w:val="en-GB" w:eastAsia="en-GB" w:bidi="en-GB"/>
      </w:rPr>
    </w:lvl>
    <w:lvl w:ilvl="5" w:tplc="B6E4C13A">
      <w:numFmt w:val="bullet"/>
      <w:lvlText w:val="•"/>
      <w:lvlJc w:val="left"/>
      <w:pPr>
        <w:ind w:left="1165" w:hanging="217"/>
      </w:pPr>
      <w:rPr>
        <w:rFonts w:hint="default"/>
        <w:lang w:val="en-GB" w:eastAsia="en-GB" w:bidi="en-GB"/>
      </w:rPr>
    </w:lvl>
    <w:lvl w:ilvl="6" w:tplc="6DC81986">
      <w:numFmt w:val="bullet"/>
      <w:lvlText w:val="•"/>
      <w:lvlJc w:val="left"/>
      <w:pPr>
        <w:ind w:left="1338" w:hanging="217"/>
      </w:pPr>
      <w:rPr>
        <w:rFonts w:hint="default"/>
        <w:lang w:val="en-GB" w:eastAsia="en-GB" w:bidi="en-GB"/>
      </w:rPr>
    </w:lvl>
    <w:lvl w:ilvl="7" w:tplc="8794AE32">
      <w:numFmt w:val="bullet"/>
      <w:lvlText w:val="•"/>
      <w:lvlJc w:val="left"/>
      <w:pPr>
        <w:ind w:left="1511" w:hanging="217"/>
      </w:pPr>
      <w:rPr>
        <w:rFonts w:hint="default"/>
        <w:lang w:val="en-GB" w:eastAsia="en-GB" w:bidi="en-GB"/>
      </w:rPr>
    </w:lvl>
    <w:lvl w:ilvl="8" w:tplc="5AE228E4">
      <w:numFmt w:val="bullet"/>
      <w:lvlText w:val="•"/>
      <w:lvlJc w:val="left"/>
      <w:pPr>
        <w:ind w:left="1684" w:hanging="217"/>
      </w:pPr>
      <w:rPr>
        <w:rFonts w:hint="default"/>
        <w:lang w:val="en-GB" w:eastAsia="en-GB" w:bidi="en-GB"/>
      </w:rPr>
    </w:lvl>
  </w:abstractNum>
  <w:abstractNum w:abstractNumId="225" w15:restartNumberingAfterBreak="0">
    <w:nsid w:val="13BD7522"/>
    <w:multiLevelType w:val="hybridMultilevel"/>
    <w:tmpl w:val="DCB001C0"/>
    <w:lvl w:ilvl="0" w:tplc="9B28BF2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6AB6586E">
      <w:numFmt w:val="bullet"/>
      <w:lvlText w:val="•"/>
      <w:lvlJc w:val="left"/>
      <w:pPr>
        <w:ind w:left="467" w:hanging="217"/>
      </w:pPr>
      <w:rPr>
        <w:rFonts w:hint="default"/>
        <w:lang w:val="en-GB" w:eastAsia="en-GB" w:bidi="en-GB"/>
      </w:rPr>
    </w:lvl>
    <w:lvl w:ilvl="2" w:tplc="0B446E1C">
      <w:numFmt w:val="bullet"/>
      <w:lvlText w:val="•"/>
      <w:lvlJc w:val="left"/>
      <w:pPr>
        <w:ind w:left="634" w:hanging="217"/>
      </w:pPr>
      <w:rPr>
        <w:rFonts w:hint="default"/>
        <w:lang w:val="en-GB" w:eastAsia="en-GB" w:bidi="en-GB"/>
      </w:rPr>
    </w:lvl>
    <w:lvl w:ilvl="3" w:tplc="A87ABCEE">
      <w:numFmt w:val="bullet"/>
      <w:lvlText w:val="•"/>
      <w:lvlJc w:val="left"/>
      <w:pPr>
        <w:ind w:left="802" w:hanging="217"/>
      </w:pPr>
      <w:rPr>
        <w:rFonts w:hint="default"/>
        <w:lang w:val="en-GB" w:eastAsia="en-GB" w:bidi="en-GB"/>
      </w:rPr>
    </w:lvl>
    <w:lvl w:ilvl="4" w:tplc="79E6E426">
      <w:numFmt w:val="bullet"/>
      <w:lvlText w:val="•"/>
      <w:lvlJc w:val="left"/>
      <w:pPr>
        <w:ind w:left="969" w:hanging="217"/>
      </w:pPr>
      <w:rPr>
        <w:rFonts w:hint="default"/>
        <w:lang w:val="en-GB" w:eastAsia="en-GB" w:bidi="en-GB"/>
      </w:rPr>
    </w:lvl>
    <w:lvl w:ilvl="5" w:tplc="264EC3D2">
      <w:numFmt w:val="bullet"/>
      <w:lvlText w:val="•"/>
      <w:lvlJc w:val="left"/>
      <w:pPr>
        <w:ind w:left="1137" w:hanging="217"/>
      </w:pPr>
      <w:rPr>
        <w:rFonts w:hint="default"/>
        <w:lang w:val="en-GB" w:eastAsia="en-GB" w:bidi="en-GB"/>
      </w:rPr>
    </w:lvl>
    <w:lvl w:ilvl="6" w:tplc="FD3817B0">
      <w:numFmt w:val="bullet"/>
      <w:lvlText w:val="•"/>
      <w:lvlJc w:val="left"/>
      <w:pPr>
        <w:ind w:left="1304" w:hanging="217"/>
      </w:pPr>
      <w:rPr>
        <w:rFonts w:hint="default"/>
        <w:lang w:val="en-GB" w:eastAsia="en-GB" w:bidi="en-GB"/>
      </w:rPr>
    </w:lvl>
    <w:lvl w:ilvl="7" w:tplc="446A2AB2">
      <w:numFmt w:val="bullet"/>
      <w:lvlText w:val="•"/>
      <w:lvlJc w:val="left"/>
      <w:pPr>
        <w:ind w:left="1471" w:hanging="217"/>
      </w:pPr>
      <w:rPr>
        <w:rFonts w:hint="default"/>
        <w:lang w:val="en-GB" w:eastAsia="en-GB" w:bidi="en-GB"/>
      </w:rPr>
    </w:lvl>
    <w:lvl w:ilvl="8" w:tplc="45509818">
      <w:numFmt w:val="bullet"/>
      <w:lvlText w:val="•"/>
      <w:lvlJc w:val="left"/>
      <w:pPr>
        <w:ind w:left="1639" w:hanging="217"/>
      </w:pPr>
      <w:rPr>
        <w:rFonts w:hint="default"/>
        <w:lang w:val="en-GB" w:eastAsia="en-GB" w:bidi="en-GB"/>
      </w:rPr>
    </w:lvl>
  </w:abstractNum>
  <w:abstractNum w:abstractNumId="226" w15:restartNumberingAfterBreak="0">
    <w:nsid w:val="13F53F92"/>
    <w:multiLevelType w:val="hybridMultilevel"/>
    <w:tmpl w:val="09484C06"/>
    <w:lvl w:ilvl="0" w:tplc="EF54159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5E4E8C2">
      <w:numFmt w:val="bullet"/>
      <w:lvlText w:val="•"/>
      <w:lvlJc w:val="left"/>
      <w:pPr>
        <w:ind w:left="1061" w:hanging="217"/>
      </w:pPr>
      <w:rPr>
        <w:rFonts w:hint="default"/>
        <w:lang w:val="en-GB" w:eastAsia="en-GB" w:bidi="en-GB"/>
      </w:rPr>
    </w:lvl>
    <w:lvl w:ilvl="2" w:tplc="155E3CFA">
      <w:numFmt w:val="bullet"/>
      <w:lvlText w:val="•"/>
      <w:lvlJc w:val="left"/>
      <w:pPr>
        <w:ind w:left="1823" w:hanging="217"/>
      </w:pPr>
      <w:rPr>
        <w:rFonts w:hint="default"/>
        <w:lang w:val="en-GB" w:eastAsia="en-GB" w:bidi="en-GB"/>
      </w:rPr>
    </w:lvl>
    <w:lvl w:ilvl="3" w:tplc="CB8EAD96">
      <w:numFmt w:val="bullet"/>
      <w:lvlText w:val="•"/>
      <w:lvlJc w:val="left"/>
      <w:pPr>
        <w:ind w:left="2585" w:hanging="217"/>
      </w:pPr>
      <w:rPr>
        <w:rFonts w:hint="default"/>
        <w:lang w:val="en-GB" w:eastAsia="en-GB" w:bidi="en-GB"/>
      </w:rPr>
    </w:lvl>
    <w:lvl w:ilvl="4" w:tplc="F0D23918">
      <w:numFmt w:val="bullet"/>
      <w:lvlText w:val="•"/>
      <w:lvlJc w:val="left"/>
      <w:pPr>
        <w:ind w:left="3346" w:hanging="217"/>
      </w:pPr>
      <w:rPr>
        <w:rFonts w:hint="default"/>
        <w:lang w:val="en-GB" w:eastAsia="en-GB" w:bidi="en-GB"/>
      </w:rPr>
    </w:lvl>
    <w:lvl w:ilvl="5" w:tplc="C6A8B52A">
      <w:numFmt w:val="bullet"/>
      <w:lvlText w:val="•"/>
      <w:lvlJc w:val="left"/>
      <w:pPr>
        <w:ind w:left="4108" w:hanging="217"/>
      </w:pPr>
      <w:rPr>
        <w:rFonts w:hint="default"/>
        <w:lang w:val="en-GB" w:eastAsia="en-GB" w:bidi="en-GB"/>
      </w:rPr>
    </w:lvl>
    <w:lvl w:ilvl="6" w:tplc="8CF8A8C6">
      <w:numFmt w:val="bullet"/>
      <w:lvlText w:val="•"/>
      <w:lvlJc w:val="left"/>
      <w:pPr>
        <w:ind w:left="4870" w:hanging="217"/>
      </w:pPr>
      <w:rPr>
        <w:rFonts w:hint="default"/>
        <w:lang w:val="en-GB" w:eastAsia="en-GB" w:bidi="en-GB"/>
      </w:rPr>
    </w:lvl>
    <w:lvl w:ilvl="7" w:tplc="4368507A">
      <w:numFmt w:val="bullet"/>
      <w:lvlText w:val="•"/>
      <w:lvlJc w:val="left"/>
      <w:pPr>
        <w:ind w:left="5631" w:hanging="217"/>
      </w:pPr>
      <w:rPr>
        <w:rFonts w:hint="default"/>
        <w:lang w:val="en-GB" w:eastAsia="en-GB" w:bidi="en-GB"/>
      </w:rPr>
    </w:lvl>
    <w:lvl w:ilvl="8" w:tplc="EA88F9F0">
      <w:numFmt w:val="bullet"/>
      <w:lvlText w:val="•"/>
      <w:lvlJc w:val="left"/>
      <w:pPr>
        <w:ind w:left="6393" w:hanging="217"/>
      </w:pPr>
      <w:rPr>
        <w:rFonts w:hint="default"/>
        <w:lang w:val="en-GB" w:eastAsia="en-GB" w:bidi="en-GB"/>
      </w:rPr>
    </w:lvl>
  </w:abstractNum>
  <w:abstractNum w:abstractNumId="227" w15:restartNumberingAfterBreak="0">
    <w:nsid w:val="14177323"/>
    <w:multiLevelType w:val="hybridMultilevel"/>
    <w:tmpl w:val="A83C8562"/>
    <w:lvl w:ilvl="0" w:tplc="7234A950">
      <w:numFmt w:val="bullet"/>
      <w:lvlText w:val="•"/>
      <w:lvlJc w:val="left"/>
      <w:pPr>
        <w:ind w:left="307" w:hanging="217"/>
      </w:pPr>
      <w:rPr>
        <w:rFonts w:ascii="Arial" w:eastAsia="Arial" w:hAnsi="Arial" w:cs="Arial" w:hint="default"/>
        <w:color w:val="231F20"/>
        <w:spacing w:val="-1"/>
        <w:w w:val="100"/>
        <w:sz w:val="18"/>
        <w:szCs w:val="18"/>
        <w:lang w:val="en-GB" w:eastAsia="en-GB" w:bidi="en-GB"/>
      </w:rPr>
    </w:lvl>
    <w:lvl w:ilvl="1" w:tplc="DDA00236">
      <w:numFmt w:val="bullet"/>
      <w:lvlText w:val="•"/>
      <w:lvlJc w:val="left"/>
      <w:pPr>
        <w:ind w:left="444" w:hanging="217"/>
      </w:pPr>
      <w:rPr>
        <w:rFonts w:hint="default"/>
        <w:lang w:val="en-GB" w:eastAsia="en-GB" w:bidi="en-GB"/>
      </w:rPr>
    </w:lvl>
    <w:lvl w:ilvl="2" w:tplc="213072FC">
      <w:numFmt w:val="bullet"/>
      <w:lvlText w:val="•"/>
      <w:lvlJc w:val="left"/>
      <w:pPr>
        <w:ind w:left="589" w:hanging="217"/>
      </w:pPr>
      <w:rPr>
        <w:rFonts w:hint="default"/>
        <w:lang w:val="en-GB" w:eastAsia="en-GB" w:bidi="en-GB"/>
      </w:rPr>
    </w:lvl>
    <w:lvl w:ilvl="3" w:tplc="A07E7526">
      <w:numFmt w:val="bullet"/>
      <w:lvlText w:val="•"/>
      <w:lvlJc w:val="left"/>
      <w:pPr>
        <w:ind w:left="734" w:hanging="217"/>
      </w:pPr>
      <w:rPr>
        <w:rFonts w:hint="default"/>
        <w:lang w:val="en-GB" w:eastAsia="en-GB" w:bidi="en-GB"/>
      </w:rPr>
    </w:lvl>
    <w:lvl w:ilvl="4" w:tplc="8EEC6EFC">
      <w:numFmt w:val="bullet"/>
      <w:lvlText w:val="•"/>
      <w:lvlJc w:val="left"/>
      <w:pPr>
        <w:ind w:left="878" w:hanging="217"/>
      </w:pPr>
      <w:rPr>
        <w:rFonts w:hint="default"/>
        <w:lang w:val="en-GB" w:eastAsia="en-GB" w:bidi="en-GB"/>
      </w:rPr>
    </w:lvl>
    <w:lvl w:ilvl="5" w:tplc="1EC25FF2">
      <w:numFmt w:val="bullet"/>
      <w:lvlText w:val="•"/>
      <w:lvlJc w:val="left"/>
      <w:pPr>
        <w:ind w:left="1023" w:hanging="217"/>
      </w:pPr>
      <w:rPr>
        <w:rFonts w:hint="default"/>
        <w:lang w:val="en-GB" w:eastAsia="en-GB" w:bidi="en-GB"/>
      </w:rPr>
    </w:lvl>
    <w:lvl w:ilvl="6" w:tplc="3698B854">
      <w:numFmt w:val="bullet"/>
      <w:lvlText w:val="•"/>
      <w:lvlJc w:val="left"/>
      <w:pPr>
        <w:ind w:left="1168" w:hanging="217"/>
      </w:pPr>
      <w:rPr>
        <w:rFonts w:hint="default"/>
        <w:lang w:val="en-GB" w:eastAsia="en-GB" w:bidi="en-GB"/>
      </w:rPr>
    </w:lvl>
    <w:lvl w:ilvl="7" w:tplc="FAE6ED10">
      <w:numFmt w:val="bullet"/>
      <w:lvlText w:val="•"/>
      <w:lvlJc w:val="left"/>
      <w:pPr>
        <w:ind w:left="1312" w:hanging="217"/>
      </w:pPr>
      <w:rPr>
        <w:rFonts w:hint="default"/>
        <w:lang w:val="en-GB" w:eastAsia="en-GB" w:bidi="en-GB"/>
      </w:rPr>
    </w:lvl>
    <w:lvl w:ilvl="8" w:tplc="3BE2C578">
      <w:numFmt w:val="bullet"/>
      <w:lvlText w:val="•"/>
      <w:lvlJc w:val="left"/>
      <w:pPr>
        <w:ind w:left="1457" w:hanging="217"/>
      </w:pPr>
      <w:rPr>
        <w:rFonts w:hint="default"/>
        <w:lang w:val="en-GB" w:eastAsia="en-GB" w:bidi="en-GB"/>
      </w:rPr>
    </w:lvl>
  </w:abstractNum>
  <w:abstractNum w:abstractNumId="228" w15:restartNumberingAfterBreak="0">
    <w:nsid w:val="14566296"/>
    <w:multiLevelType w:val="hybridMultilevel"/>
    <w:tmpl w:val="C870EEDE"/>
    <w:lvl w:ilvl="0" w:tplc="42CC0DB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EC4CC6E8">
      <w:numFmt w:val="bullet"/>
      <w:lvlText w:val="•"/>
      <w:lvlJc w:val="left"/>
      <w:pPr>
        <w:ind w:left="541" w:hanging="217"/>
      </w:pPr>
      <w:rPr>
        <w:rFonts w:hint="default"/>
        <w:lang w:val="en-GB" w:eastAsia="en-GB" w:bidi="en-GB"/>
      </w:rPr>
    </w:lvl>
    <w:lvl w:ilvl="2" w:tplc="6C1E13CC">
      <w:numFmt w:val="bullet"/>
      <w:lvlText w:val="•"/>
      <w:lvlJc w:val="left"/>
      <w:pPr>
        <w:ind w:left="782" w:hanging="217"/>
      </w:pPr>
      <w:rPr>
        <w:rFonts w:hint="default"/>
        <w:lang w:val="en-GB" w:eastAsia="en-GB" w:bidi="en-GB"/>
      </w:rPr>
    </w:lvl>
    <w:lvl w:ilvl="3" w:tplc="C9D4644C">
      <w:numFmt w:val="bullet"/>
      <w:lvlText w:val="•"/>
      <w:lvlJc w:val="left"/>
      <w:pPr>
        <w:ind w:left="1023" w:hanging="217"/>
      </w:pPr>
      <w:rPr>
        <w:rFonts w:hint="default"/>
        <w:lang w:val="en-GB" w:eastAsia="en-GB" w:bidi="en-GB"/>
      </w:rPr>
    </w:lvl>
    <w:lvl w:ilvl="4" w:tplc="323C71B8">
      <w:numFmt w:val="bullet"/>
      <w:lvlText w:val="•"/>
      <w:lvlJc w:val="left"/>
      <w:pPr>
        <w:ind w:left="1264" w:hanging="217"/>
      </w:pPr>
      <w:rPr>
        <w:rFonts w:hint="default"/>
        <w:lang w:val="en-GB" w:eastAsia="en-GB" w:bidi="en-GB"/>
      </w:rPr>
    </w:lvl>
    <w:lvl w:ilvl="5" w:tplc="32EC0E18">
      <w:numFmt w:val="bullet"/>
      <w:lvlText w:val="•"/>
      <w:lvlJc w:val="left"/>
      <w:pPr>
        <w:ind w:left="1505" w:hanging="217"/>
      </w:pPr>
      <w:rPr>
        <w:rFonts w:hint="default"/>
        <w:lang w:val="en-GB" w:eastAsia="en-GB" w:bidi="en-GB"/>
      </w:rPr>
    </w:lvl>
    <w:lvl w:ilvl="6" w:tplc="F7029842">
      <w:numFmt w:val="bullet"/>
      <w:lvlText w:val="•"/>
      <w:lvlJc w:val="left"/>
      <w:pPr>
        <w:ind w:left="1746" w:hanging="217"/>
      </w:pPr>
      <w:rPr>
        <w:rFonts w:hint="default"/>
        <w:lang w:val="en-GB" w:eastAsia="en-GB" w:bidi="en-GB"/>
      </w:rPr>
    </w:lvl>
    <w:lvl w:ilvl="7" w:tplc="88A80D70">
      <w:numFmt w:val="bullet"/>
      <w:lvlText w:val="•"/>
      <w:lvlJc w:val="left"/>
      <w:pPr>
        <w:ind w:left="1987" w:hanging="217"/>
      </w:pPr>
      <w:rPr>
        <w:rFonts w:hint="default"/>
        <w:lang w:val="en-GB" w:eastAsia="en-GB" w:bidi="en-GB"/>
      </w:rPr>
    </w:lvl>
    <w:lvl w:ilvl="8" w:tplc="D02E0454">
      <w:numFmt w:val="bullet"/>
      <w:lvlText w:val="•"/>
      <w:lvlJc w:val="left"/>
      <w:pPr>
        <w:ind w:left="2228" w:hanging="217"/>
      </w:pPr>
      <w:rPr>
        <w:rFonts w:hint="default"/>
        <w:lang w:val="en-GB" w:eastAsia="en-GB" w:bidi="en-GB"/>
      </w:rPr>
    </w:lvl>
  </w:abstractNum>
  <w:abstractNum w:abstractNumId="229" w15:restartNumberingAfterBreak="0">
    <w:nsid w:val="147574A4"/>
    <w:multiLevelType w:val="hybridMultilevel"/>
    <w:tmpl w:val="0B66ACA0"/>
    <w:lvl w:ilvl="0" w:tplc="18028518">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58449AC2">
      <w:numFmt w:val="bullet"/>
      <w:lvlText w:val="•"/>
      <w:lvlJc w:val="left"/>
      <w:pPr>
        <w:ind w:left="541" w:hanging="217"/>
      </w:pPr>
      <w:rPr>
        <w:rFonts w:hint="default"/>
        <w:lang w:val="en-GB" w:eastAsia="en-GB" w:bidi="en-GB"/>
      </w:rPr>
    </w:lvl>
    <w:lvl w:ilvl="2" w:tplc="A0103232">
      <w:numFmt w:val="bullet"/>
      <w:lvlText w:val="•"/>
      <w:lvlJc w:val="left"/>
      <w:pPr>
        <w:ind w:left="782" w:hanging="217"/>
      </w:pPr>
      <w:rPr>
        <w:rFonts w:hint="default"/>
        <w:lang w:val="en-GB" w:eastAsia="en-GB" w:bidi="en-GB"/>
      </w:rPr>
    </w:lvl>
    <w:lvl w:ilvl="3" w:tplc="FCC8360E">
      <w:numFmt w:val="bullet"/>
      <w:lvlText w:val="•"/>
      <w:lvlJc w:val="left"/>
      <w:pPr>
        <w:ind w:left="1023" w:hanging="217"/>
      </w:pPr>
      <w:rPr>
        <w:rFonts w:hint="default"/>
        <w:lang w:val="en-GB" w:eastAsia="en-GB" w:bidi="en-GB"/>
      </w:rPr>
    </w:lvl>
    <w:lvl w:ilvl="4" w:tplc="381A883E">
      <w:numFmt w:val="bullet"/>
      <w:lvlText w:val="•"/>
      <w:lvlJc w:val="left"/>
      <w:pPr>
        <w:ind w:left="1264" w:hanging="217"/>
      </w:pPr>
      <w:rPr>
        <w:rFonts w:hint="default"/>
        <w:lang w:val="en-GB" w:eastAsia="en-GB" w:bidi="en-GB"/>
      </w:rPr>
    </w:lvl>
    <w:lvl w:ilvl="5" w:tplc="3B56BF3C">
      <w:numFmt w:val="bullet"/>
      <w:lvlText w:val="•"/>
      <w:lvlJc w:val="left"/>
      <w:pPr>
        <w:ind w:left="1505" w:hanging="217"/>
      </w:pPr>
      <w:rPr>
        <w:rFonts w:hint="default"/>
        <w:lang w:val="en-GB" w:eastAsia="en-GB" w:bidi="en-GB"/>
      </w:rPr>
    </w:lvl>
    <w:lvl w:ilvl="6" w:tplc="0B2ACF50">
      <w:numFmt w:val="bullet"/>
      <w:lvlText w:val="•"/>
      <w:lvlJc w:val="left"/>
      <w:pPr>
        <w:ind w:left="1746" w:hanging="217"/>
      </w:pPr>
      <w:rPr>
        <w:rFonts w:hint="default"/>
        <w:lang w:val="en-GB" w:eastAsia="en-GB" w:bidi="en-GB"/>
      </w:rPr>
    </w:lvl>
    <w:lvl w:ilvl="7" w:tplc="DEF04EFA">
      <w:numFmt w:val="bullet"/>
      <w:lvlText w:val="•"/>
      <w:lvlJc w:val="left"/>
      <w:pPr>
        <w:ind w:left="1987" w:hanging="217"/>
      </w:pPr>
      <w:rPr>
        <w:rFonts w:hint="default"/>
        <w:lang w:val="en-GB" w:eastAsia="en-GB" w:bidi="en-GB"/>
      </w:rPr>
    </w:lvl>
    <w:lvl w:ilvl="8" w:tplc="230E1DC0">
      <w:numFmt w:val="bullet"/>
      <w:lvlText w:val="•"/>
      <w:lvlJc w:val="left"/>
      <w:pPr>
        <w:ind w:left="2228" w:hanging="217"/>
      </w:pPr>
      <w:rPr>
        <w:rFonts w:hint="default"/>
        <w:lang w:val="en-GB" w:eastAsia="en-GB" w:bidi="en-GB"/>
      </w:rPr>
    </w:lvl>
  </w:abstractNum>
  <w:abstractNum w:abstractNumId="230" w15:restartNumberingAfterBreak="0">
    <w:nsid w:val="149B39E0"/>
    <w:multiLevelType w:val="hybridMultilevel"/>
    <w:tmpl w:val="136ED1D6"/>
    <w:lvl w:ilvl="0" w:tplc="B4F467F4">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9A6EDA7C">
      <w:numFmt w:val="bullet"/>
      <w:lvlText w:val="•"/>
      <w:lvlJc w:val="left"/>
      <w:pPr>
        <w:ind w:left="473" w:hanging="217"/>
      </w:pPr>
      <w:rPr>
        <w:rFonts w:hint="default"/>
        <w:lang w:val="en-GB" w:eastAsia="en-GB" w:bidi="en-GB"/>
      </w:rPr>
    </w:lvl>
    <w:lvl w:ilvl="2" w:tplc="8756520E">
      <w:numFmt w:val="bullet"/>
      <w:lvlText w:val="•"/>
      <w:lvlJc w:val="left"/>
      <w:pPr>
        <w:ind w:left="646" w:hanging="217"/>
      </w:pPr>
      <w:rPr>
        <w:rFonts w:hint="default"/>
        <w:lang w:val="en-GB" w:eastAsia="en-GB" w:bidi="en-GB"/>
      </w:rPr>
    </w:lvl>
    <w:lvl w:ilvl="3" w:tplc="4D54F6CE">
      <w:numFmt w:val="bullet"/>
      <w:lvlText w:val="•"/>
      <w:lvlJc w:val="left"/>
      <w:pPr>
        <w:ind w:left="819" w:hanging="217"/>
      </w:pPr>
      <w:rPr>
        <w:rFonts w:hint="default"/>
        <w:lang w:val="en-GB" w:eastAsia="en-GB" w:bidi="en-GB"/>
      </w:rPr>
    </w:lvl>
    <w:lvl w:ilvl="4" w:tplc="FFFAB574">
      <w:numFmt w:val="bullet"/>
      <w:lvlText w:val="•"/>
      <w:lvlJc w:val="left"/>
      <w:pPr>
        <w:ind w:left="992" w:hanging="217"/>
      </w:pPr>
      <w:rPr>
        <w:rFonts w:hint="default"/>
        <w:lang w:val="en-GB" w:eastAsia="en-GB" w:bidi="en-GB"/>
      </w:rPr>
    </w:lvl>
    <w:lvl w:ilvl="5" w:tplc="BDC47CF4">
      <w:numFmt w:val="bullet"/>
      <w:lvlText w:val="•"/>
      <w:lvlJc w:val="left"/>
      <w:pPr>
        <w:ind w:left="1165" w:hanging="217"/>
      </w:pPr>
      <w:rPr>
        <w:rFonts w:hint="default"/>
        <w:lang w:val="en-GB" w:eastAsia="en-GB" w:bidi="en-GB"/>
      </w:rPr>
    </w:lvl>
    <w:lvl w:ilvl="6" w:tplc="11C8AD52">
      <w:numFmt w:val="bullet"/>
      <w:lvlText w:val="•"/>
      <w:lvlJc w:val="left"/>
      <w:pPr>
        <w:ind w:left="1338" w:hanging="217"/>
      </w:pPr>
      <w:rPr>
        <w:rFonts w:hint="default"/>
        <w:lang w:val="en-GB" w:eastAsia="en-GB" w:bidi="en-GB"/>
      </w:rPr>
    </w:lvl>
    <w:lvl w:ilvl="7" w:tplc="C9CC1E4A">
      <w:numFmt w:val="bullet"/>
      <w:lvlText w:val="•"/>
      <w:lvlJc w:val="left"/>
      <w:pPr>
        <w:ind w:left="1511" w:hanging="217"/>
      </w:pPr>
      <w:rPr>
        <w:rFonts w:hint="default"/>
        <w:lang w:val="en-GB" w:eastAsia="en-GB" w:bidi="en-GB"/>
      </w:rPr>
    </w:lvl>
    <w:lvl w:ilvl="8" w:tplc="42AE9070">
      <w:numFmt w:val="bullet"/>
      <w:lvlText w:val="•"/>
      <w:lvlJc w:val="left"/>
      <w:pPr>
        <w:ind w:left="1684" w:hanging="217"/>
      </w:pPr>
      <w:rPr>
        <w:rFonts w:hint="default"/>
        <w:lang w:val="en-GB" w:eastAsia="en-GB" w:bidi="en-GB"/>
      </w:rPr>
    </w:lvl>
  </w:abstractNum>
  <w:abstractNum w:abstractNumId="231" w15:restartNumberingAfterBreak="0">
    <w:nsid w:val="149E2ED5"/>
    <w:multiLevelType w:val="hybridMultilevel"/>
    <w:tmpl w:val="C50E44EA"/>
    <w:lvl w:ilvl="0" w:tplc="1EC0291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2400F90">
      <w:numFmt w:val="bullet"/>
      <w:lvlText w:val="•"/>
      <w:lvlJc w:val="left"/>
      <w:pPr>
        <w:ind w:left="473" w:hanging="217"/>
      </w:pPr>
      <w:rPr>
        <w:rFonts w:hint="default"/>
        <w:lang w:val="en-GB" w:eastAsia="en-GB" w:bidi="en-GB"/>
      </w:rPr>
    </w:lvl>
    <w:lvl w:ilvl="2" w:tplc="8C9A8C36">
      <w:numFmt w:val="bullet"/>
      <w:lvlText w:val="•"/>
      <w:lvlJc w:val="left"/>
      <w:pPr>
        <w:ind w:left="646" w:hanging="217"/>
      </w:pPr>
      <w:rPr>
        <w:rFonts w:hint="default"/>
        <w:lang w:val="en-GB" w:eastAsia="en-GB" w:bidi="en-GB"/>
      </w:rPr>
    </w:lvl>
    <w:lvl w:ilvl="3" w:tplc="59BE6922">
      <w:numFmt w:val="bullet"/>
      <w:lvlText w:val="•"/>
      <w:lvlJc w:val="left"/>
      <w:pPr>
        <w:ind w:left="819" w:hanging="217"/>
      </w:pPr>
      <w:rPr>
        <w:rFonts w:hint="default"/>
        <w:lang w:val="en-GB" w:eastAsia="en-GB" w:bidi="en-GB"/>
      </w:rPr>
    </w:lvl>
    <w:lvl w:ilvl="4" w:tplc="DEA61728">
      <w:numFmt w:val="bullet"/>
      <w:lvlText w:val="•"/>
      <w:lvlJc w:val="left"/>
      <w:pPr>
        <w:ind w:left="992" w:hanging="217"/>
      </w:pPr>
      <w:rPr>
        <w:rFonts w:hint="default"/>
        <w:lang w:val="en-GB" w:eastAsia="en-GB" w:bidi="en-GB"/>
      </w:rPr>
    </w:lvl>
    <w:lvl w:ilvl="5" w:tplc="C48835E6">
      <w:numFmt w:val="bullet"/>
      <w:lvlText w:val="•"/>
      <w:lvlJc w:val="left"/>
      <w:pPr>
        <w:ind w:left="1165" w:hanging="217"/>
      </w:pPr>
      <w:rPr>
        <w:rFonts w:hint="default"/>
        <w:lang w:val="en-GB" w:eastAsia="en-GB" w:bidi="en-GB"/>
      </w:rPr>
    </w:lvl>
    <w:lvl w:ilvl="6" w:tplc="156AF40A">
      <w:numFmt w:val="bullet"/>
      <w:lvlText w:val="•"/>
      <w:lvlJc w:val="left"/>
      <w:pPr>
        <w:ind w:left="1338" w:hanging="217"/>
      </w:pPr>
      <w:rPr>
        <w:rFonts w:hint="default"/>
        <w:lang w:val="en-GB" w:eastAsia="en-GB" w:bidi="en-GB"/>
      </w:rPr>
    </w:lvl>
    <w:lvl w:ilvl="7" w:tplc="C408E054">
      <w:numFmt w:val="bullet"/>
      <w:lvlText w:val="•"/>
      <w:lvlJc w:val="left"/>
      <w:pPr>
        <w:ind w:left="1511" w:hanging="217"/>
      </w:pPr>
      <w:rPr>
        <w:rFonts w:hint="default"/>
        <w:lang w:val="en-GB" w:eastAsia="en-GB" w:bidi="en-GB"/>
      </w:rPr>
    </w:lvl>
    <w:lvl w:ilvl="8" w:tplc="AF861894">
      <w:numFmt w:val="bullet"/>
      <w:lvlText w:val="•"/>
      <w:lvlJc w:val="left"/>
      <w:pPr>
        <w:ind w:left="1684" w:hanging="217"/>
      </w:pPr>
      <w:rPr>
        <w:rFonts w:hint="default"/>
        <w:lang w:val="en-GB" w:eastAsia="en-GB" w:bidi="en-GB"/>
      </w:rPr>
    </w:lvl>
  </w:abstractNum>
  <w:abstractNum w:abstractNumId="232" w15:restartNumberingAfterBreak="0">
    <w:nsid w:val="14CB6840"/>
    <w:multiLevelType w:val="hybridMultilevel"/>
    <w:tmpl w:val="43E400C6"/>
    <w:lvl w:ilvl="0" w:tplc="E986472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1FAEDC34">
      <w:numFmt w:val="bullet"/>
      <w:lvlText w:val="•"/>
      <w:lvlJc w:val="left"/>
      <w:pPr>
        <w:ind w:left="473" w:hanging="217"/>
      </w:pPr>
      <w:rPr>
        <w:rFonts w:hint="default"/>
        <w:lang w:val="en-GB" w:eastAsia="en-GB" w:bidi="en-GB"/>
      </w:rPr>
    </w:lvl>
    <w:lvl w:ilvl="2" w:tplc="629462B6">
      <w:numFmt w:val="bullet"/>
      <w:lvlText w:val="•"/>
      <w:lvlJc w:val="left"/>
      <w:pPr>
        <w:ind w:left="646" w:hanging="217"/>
      </w:pPr>
      <w:rPr>
        <w:rFonts w:hint="default"/>
        <w:lang w:val="en-GB" w:eastAsia="en-GB" w:bidi="en-GB"/>
      </w:rPr>
    </w:lvl>
    <w:lvl w:ilvl="3" w:tplc="5A6C5EC2">
      <w:numFmt w:val="bullet"/>
      <w:lvlText w:val="•"/>
      <w:lvlJc w:val="left"/>
      <w:pPr>
        <w:ind w:left="819" w:hanging="217"/>
      </w:pPr>
      <w:rPr>
        <w:rFonts w:hint="default"/>
        <w:lang w:val="en-GB" w:eastAsia="en-GB" w:bidi="en-GB"/>
      </w:rPr>
    </w:lvl>
    <w:lvl w:ilvl="4" w:tplc="A3AA3CBC">
      <w:numFmt w:val="bullet"/>
      <w:lvlText w:val="•"/>
      <w:lvlJc w:val="left"/>
      <w:pPr>
        <w:ind w:left="992" w:hanging="217"/>
      </w:pPr>
      <w:rPr>
        <w:rFonts w:hint="default"/>
        <w:lang w:val="en-GB" w:eastAsia="en-GB" w:bidi="en-GB"/>
      </w:rPr>
    </w:lvl>
    <w:lvl w:ilvl="5" w:tplc="74CEA374">
      <w:numFmt w:val="bullet"/>
      <w:lvlText w:val="•"/>
      <w:lvlJc w:val="left"/>
      <w:pPr>
        <w:ind w:left="1165" w:hanging="217"/>
      </w:pPr>
      <w:rPr>
        <w:rFonts w:hint="default"/>
        <w:lang w:val="en-GB" w:eastAsia="en-GB" w:bidi="en-GB"/>
      </w:rPr>
    </w:lvl>
    <w:lvl w:ilvl="6" w:tplc="02CA5A8C">
      <w:numFmt w:val="bullet"/>
      <w:lvlText w:val="•"/>
      <w:lvlJc w:val="left"/>
      <w:pPr>
        <w:ind w:left="1338" w:hanging="217"/>
      </w:pPr>
      <w:rPr>
        <w:rFonts w:hint="default"/>
        <w:lang w:val="en-GB" w:eastAsia="en-GB" w:bidi="en-GB"/>
      </w:rPr>
    </w:lvl>
    <w:lvl w:ilvl="7" w:tplc="0C28BBEC">
      <w:numFmt w:val="bullet"/>
      <w:lvlText w:val="•"/>
      <w:lvlJc w:val="left"/>
      <w:pPr>
        <w:ind w:left="1511" w:hanging="217"/>
      </w:pPr>
      <w:rPr>
        <w:rFonts w:hint="default"/>
        <w:lang w:val="en-GB" w:eastAsia="en-GB" w:bidi="en-GB"/>
      </w:rPr>
    </w:lvl>
    <w:lvl w:ilvl="8" w:tplc="D9F4E692">
      <w:numFmt w:val="bullet"/>
      <w:lvlText w:val="•"/>
      <w:lvlJc w:val="left"/>
      <w:pPr>
        <w:ind w:left="1684" w:hanging="217"/>
      </w:pPr>
      <w:rPr>
        <w:rFonts w:hint="default"/>
        <w:lang w:val="en-GB" w:eastAsia="en-GB" w:bidi="en-GB"/>
      </w:rPr>
    </w:lvl>
  </w:abstractNum>
  <w:abstractNum w:abstractNumId="233" w15:restartNumberingAfterBreak="0">
    <w:nsid w:val="1500641A"/>
    <w:multiLevelType w:val="hybridMultilevel"/>
    <w:tmpl w:val="F3DCE23C"/>
    <w:lvl w:ilvl="0" w:tplc="A96AB66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20A451E">
      <w:numFmt w:val="bullet"/>
      <w:lvlText w:val="•"/>
      <w:lvlJc w:val="left"/>
      <w:pPr>
        <w:ind w:left="892" w:hanging="217"/>
      </w:pPr>
      <w:rPr>
        <w:rFonts w:hint="default"/>
        <w:lang w:val="en-GB" w:eastAsia="en-GB" w:bidi="en-GB"/>
      </w:rPr>
    </w:lvl>
    <w:lvl w:ilvl="2" w:tplc="EC5E765C">
      <w:numFmt w:val="bullet"/>
      <w:lvlText w:val="•"/>
      <w:lvlJc w:val="left"/>
      <w:pPr>
        <w:ind w:left="1485" w:hanging="217"/>
      </w:pPr>
      <w:rPr>
        <w:rFonts w:hint="default"/>
        <w:lang w:val="en-GB" w:eastAsia="en-GB" w:bidi="en-GB"/>
      </w:rPr>
    </w:lvl>
    <w:lvl w:ilvl="3" w:tplc="0F3A727E">
      <w:numFmt w:val="bullet"/>
      <w:lvlText w:val="•"/>
      <w:lvlJc w:val="left"/>
      <w:pPr>
        <w:ind w:left="2077" w:hanging="217"/>
      </w:pPr>
      <w:rPr>
        <w:rFonts w:hint="default"/>
        <w:lang w:val="en-GB" w:eastAsia="en-GB" w:bidi="en-GB"/>
      </w:rPr>
    </w:lvl>
    <w:lvl w:ilvl="4" w:tplc="BDFABE6E">
      <w:numFmt w:val="bullet"/>
      <w:lvlText w:val="•"/>
      <w:lvlJc w:val="left"/>
      <w:pPr>
        <w:ind w:left="2670" w:hanging="217"/>
      </w:pPr>
      <w:rPr>
        <w:rFonts w:hint="default"/>
        <w:lang w:val="en-GB" w:eastAsia="en-GB" w:bidi="en-GB"/>
      </w:rPr>
    </w:lvl>
    <w:lvl w:ilvl="5" w:tplc="25C2D6CA">
      <w:numFmt w:val="bullet"/>
      <w:lvlText w:val="•"/>
      <w:lvlJc w:val="left"/>
      <w:pPr>
        <w:ind w:left="3263" w:hanging="217"/>
      </w:pPr>
      <w:rPr>
        <w:rFonts w:hint="default"/>
        <w:lang w:val="en-GB" w:eastAsia="en-GB" w:bidi="en-GB"/>
      </w:rPr>
    </w:lvl>
    <w:lvl w:ilvl="6" w:tplc="99CA894C">
      <w:numFmt w:val="bullet"/>
      <w:lvlText w:val="•"/>
      <w:lvlJc w:val="left"/>
      <w:pPr>
        <w:ind w:left="3855" w:hanging="217"/>
      </w:pPr>
      <w:rPr>
        <w:rFonts w:hint="default"/>
        <w:lang w:val="en-GB" w:eastAsia="en-GB" w:bidi="en-GB"/>
      </w:rPr>
    </w:lvl>
    <w:lvl w:ilvl="7" w:tplc="C2860424">
      <w:numFmt w:val="bullet"/>
      <w:lvlText w:val="•"/>
      <w:lvlJc w:val="left"/>
      <w:pPr>
        <w:ind w:left="4448" w:hanging="217"/>
      </w:pPr>
      <w:rPr>
        <w:rFonts w:hint="default"/>
        <w:lang w:val="en-GB" w:eastAsia="en-GB" w:bidi="en-GB"/>
      </w:rPr>
    </w:lvl>
    <w:lvl w:ilvl="8" w:tplc="48704D5C">
      <w:numFmt w:val="bullet"/>
      <w:lvlText w:val="•"/>
      <w:lvlJc w:val="left"/>
      <w:pPr>
        <w:ind w:left="5040" w:hanging="217"/>
      </w:pPr>
      <w:rPr>
        <w:rFonts w:hint="default"/>
        <w:lang w:val="en-GB" w:eastAsia="en-GB" w:bidi="en-GB"/>
      </w:rPr>
    </w:lvl>
  </w:abstractNum>
  <w:abstractNum w:abstractNumId="234" w15:restartNumberingAfterBreak="0">
    <w:nsid w:val="15145070"/>
    <w:multiLevelType w:val="hybridMultilevel"/>
    <w:tmpl w:val="509AB384"/>
    <w:lvl w:ilvl="0" w:tplc="59FED34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4100060">
      <w:numFmt w:val="bullet"/>
      <w:lvlText w:val="•"/>
      <w:lvlJc w:val="left"/>
      <w:pPr>
        <w:ind w:left="473" w:hanging="217"/>
      </w:pPr>
      <w:rPr>
        <w:rFonts w:hint="default"/>
        <w:lang w:val="en-GB" w:eastAsia="en-GB" w:bidi="en-GB"/>
      </w:rPr>
    </w:lvl>
    <w:lvl w:ilvl="2" w:tplc="DAEE56D6">
      <w:numFmt w:val="bullet"/>
      <w:lvlText w:val="•"/>
      <w:lvlJc w:val="left"/>
      <w:pPr>
        <w:ind w:left="646" w:hanging="217"/>
      </w:pPr>
      <w:rPr>
        <w:rFonts w:hint="default"/>
        <w:lang w:val="en-GB" w:eastAsia="en-GB" w:bidi="en-GB"/>
      </w:rPr>
    </w:lvl>
    <w:lvl w:ilvl="3" w:tplc="D09A1E44">
      <w:numFmt w:val="bullet"/>
      <w:lvlText w:val="•"/>
      <w:lvlJc w:val="left"/>
      <w:pPr>
        <w:ind w:left="819" w:hanging="217"/>
      </w:pPr>
      <w:rPr>
        <w:rFonts w:hint="default"/>
        <w:lang w:val="en-GB" w:eastAsia="en-GB" w:bidi="en-GB"/>
      </w:rPr>
    </w:lvl>
    <w:lvl w:ilvl="4" w:tplc="7562D4B2">
      <w:numFmt w:val="bullet"/>
      <w:lvlText w:val="•"/>
      <w:lvlJc w:val="left"/>
      <w:pPr>
        <w:ind w:left="992" w:hanging="217"/>
      </w:pPr>
      <w:rPr>
        <w:rFonts w:hint="default"/>
        <w:lang w:val="en-GB" w:eastAsia="en-GB" w:bidi="en-GB"/>
      </w:rPr>
    </w:lvl>
    <w:lvl w:ilvl="5" w:tplc="5F1E5DC6">
      <w:numFmt w:val="bullet"/>
      <w:lvlText w:val="•"/>
      <w:lvlJc w:val="left"/>
      <w:pPr>
        <w:ind w:left="1165" w:hanging="217"/>
      </w:pPr>
      <w:rPr>
        <w:rFonts w:hint="default"/>
        <w:lang w:val="en-GB" w:eastAsia="en-GB" w:bidi="en-GB"/>
      </w:rPr>
    </w:lvl>
    <w:lvl w:ilvl="6" w:tplc="E8CC8FA2">
      <w:numFmt w:val="bullet"/>
      <w:lvlText w:val="•"/>
      <w:lvlJc w:val="left"/>
      <w:pPr>
        <w:ind w:left="1338" w:hanging="217"/>
      </w:pPr>
      <w:rPr>
        <w:rFonts w:hint="default"/>
        <w:lang w:val="en-GB" w:eastAsia="en-GB" w:bidi="en-GB"/>
      </w:rPr>
    </w:lvl>
    <w:lvl w:ilvl="7" w:tplc="AB964F26">
      <w:numFmt w:val="bullet"/>
      <w:lvlText w:val="•"/>
      <w:lvlJc w:val="left"/>
      <w:pPr>
        <w:ind w:left="1511" w:hanging="217"/>
      </w:pPr>
      <w:rPr>
        <w:rFonts w:hint="default"/>
        <w:lang w:val="en-GB" w:eastAsia="en-GB" w:bidi="en-GB"/>
      </w:rPr>
    </w:lvl>
    <w:lvl w:ilvl="8" w:tplc="D23A8AC2">
      <w:numFmt w:val="bullet"/>
      <w:lvlText w:val="•"/>
      <w:lvlJc w:val="left"/>
      <w:pPr>
        <w:ind w:left="1684" w:hanging="217"/>
      </w:pPr>
      <w:rPr>
        <w:rFonts w:hint="default"/>
        <w:lang w:val="en-GB" w:eastAsia="en-GB" w:bidi="en-GB"/>
      </w:rPr>
    </w:lvl>
  </w:abstractNum>
  <w:abstractNum w:abstractNumId="235" w15:restartNumberingAfterBreak="0">
    <w:nsid w:val="151C1432"/>
    <w:multiLevelType w:val="hybridMultilevel"/>
    <w:tmpl w:val="06CC08F6"/>
    <w:lvl w:ilvl="0" w:tplc="4540300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D43A5A44">
      <w:numFmt w:val="bullet"/>
      <w:lvlText w:val="•"/>
      <w:lvlJc w:val="left"/>
      <w:pPr>
        <w:ind w:left="544" w:hanging="217"/>
      </w:pPr>
      <w:rPr>
        <w:rFonts w:hint="default"/>
        <w:lang w:val="en-GB" w:eastAsia="en-GB" w:bidi="en-GB"/>
      </w:rPr>
    </w:lvl>
    <w:lvl w:ilvl="2" w:tplc="4F748340">
      <w:numFmt w:val="bullet"/>
      <w:lvlText w:val="•"/>
      <w:lvlJc w:val="left"/>
      <w:pPr>
        <w:ind w:left="788" w:hanging="217"/>
      </w:pPr>
      <w:rPr>
        <w:rFonts w:hint="default"/>
        <w:lang w:val="en-GB" w:eastAsia="en-GB" w:bidi="en-GB"/>
      </w:rPr>
    </w:lvl>
    <w:lvl w:ilvl="3" w:tplc="9580B362">
      <w:numFmt w:val="bullet"/>
      <w:lvlText w:val="•"/>
      <w:lvlJc w:val="left"/>
      <w:pPr>
        <w:ind w:left="1032" w:hanging="217"/>
      </w:pPr>
      <w:rPr>
        <w:rFonts w:hint="default"/>
        <w:lang w:val="en-GB" w:eastAsia="en-GB" w:bidi="en-GB"/>
      </w:rPr>
    </w:lvl>
    <w:lvl w:ilvl="4" w:tplc="240C3F86">
      <w:numFmt w:val="bullet"/>
      <w:lvlText w:val="•"/>
      <w:lvlJc w:val="left"/>
      <w:pPr>
        <w:ind w:left="1276" w:hanging="217"/>
      </w:pPr>
      <w:rPr>
        <w:rFonts w:hint="default"/>
        <w:lang w:val="en-GB" w:eastAsia="en-GB" w:bidi="en-GB"/>
      </w:rPr>
    </w:lvl>
    <w:lvl w:ilvl="5" w:tplc="70025C60">
      <w:numFmt w:val="bullet"/>
      <w:lvlText w:val="•"/>
      <w:lvlJc w:val="left"/>
      <w:pPr>
        <w:ind w:left="1520" w:hanging="217"/>
      </w:pPr>
      <w:rPr>
        <w:rFonts w:hint="default"/>
        <w:lang w:val="en-GB" w:eastAsia="en-GB" w:bidi="en-GB"/>
      </w:rPr>
    </w:lvl>
    <w:lvl w:ilvl="6" w:tplc="68027468">
      <w:numFmt w:val="bullet"/>
      <w:lvlText w:val="•"/>
      <w:lvlJc w:val="left"/>
      <w:pPr>
        <w:ind w:left="1764" w:hanging="217"/>
      </w:pPr>
      <w:rPr>
        <w:rFonts w:hint="default"/>
        <w:lang w:val="en-GB" w:eastAsia="en-GB" w:bidi="en-GB"/>
      </w:rPr>
    </w:lvl>
    <w:lvl w:ilvl="7" w:tplc="1CD45580">
      <w:numFmt w:val="bullet"/>
      <w:lvlText w:val="•"/>
      <w:lvlJc w:val="left"/>
      <w:pPr>
        <w:ind w:left="2008" w:hanging="217"/>
      </w:pPr>
      <w:rPr>
        <w:rFonts w:hint="default"/>
        <w:lang w:val="en-GB" w:eastAsia="en-GB" w:bidi="en-GB"/>
      </w:rPr>
    </w:lvl>
    <w:lvl w:ilvl="8" w:tplc="A8D0E7FE">
      <w:numFmt w:val="bullet"/>
      <w:lvlText w:val="•"/>
      <w:lvlJc w:val="left"/>
      <w:pPr>
        <w:ind w:left="2252" w:hanging="217"/>
      </w:pPr>
      <w:rPr>
        <w:rFonts w:hint="default"/>
        <w:lang w:val="en-GB" w:eastAsia="en-GB" w:bidi="en-GB"/>
      </w:rPr>
    </w:lvl>
  </w:abstractNum>
  <w:abstractNum w:abstractNumId="236" w15:restartNumberingAfterBreak="0">
    <w:nsid w:val="15580CAE"/>
    <w:multiLevelType w:val="hybridMultilevel"/>
    <w:tmpl w:val="2CB68D12"/>
    <w:lvl w:ilvl="0" w:tplc="883A7F02">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FB881FEC">
      <w:numFmt w:val="bullet"/>
      <w:lvlText w:val="•"/>
      <w:lvlJc w:val="left"/>
      <w:pPr>
        <w:ind w:left="473" w:hanging="217"/>
      </w:pPr>
      <w:rPr>
        <w:rFonts w:hint="default"/>
        <w:lang w:val="en-GB" w:eastAsia="en-GB" w:bidi="en-GB"/>
      </w:rPr>
    </w:lvl>
    <w:lvl w:ilvl="2" w:tplc="14CE8ED8">
      <w:numFmt w:val="bullet"/>
      <w:lvlText w:val="•"/>
      <w:lvlJc w:val="left"/>
      <w:pPr>
        <w:ind w:left="646" w:hanging="217"/>
      </w:pPr>
      <w:rPr>
        <w:rFonts w:hint="default"/>
        <w:lang w:val="en-GB" w:eastAsia="en-GB" w:bidi="en-GB"/>
      </w:rPr>
    </w:lvl>
    <w:lvl w:ilvl="3" w:tplc="685A9FA4">
      <w:numFmt w:val="bullet"/>
      <w:lvlText w:val="•"/>
      <w:lvlJc w:val="left"/>
      <w:pPr>
        <w:ind w:left="819" w:hanging="217"/>
      </w:pPr>
      <w:rPr>
        <w:rFonts w:hint="default"/>
        <w:lang w:val="en-GB" w:eastAsia="en-GB" w:bidi="en-GB"/>
      </w:rPr>
    </w:lvl>
    <w:lvl w:ilvl="4" w:tplc="F53CC232">
      <w:numFmt w:val="bullet"/>
      <w:lvlText w:val="•"/>
      <w:lvlJc w:val="left"/>
      <w:pPr>
        <w:ind w:left="992" w:hanging="217"/>
      </w:pPr>
      <w:rPr>
        <w:rFonts w:hint="default"/>
        <w:lang w:val="en-GB" w:eastAsia="en-GB" w:bidi="en-GB"/>
      </w:rPr>
    </w:lvl>
    <w:lvl w:ilvl="5" w:tplc="764CB286">
      <w:numFmt w:val="bullet"/>
      <w:lvlText w:val="•"/>
      <w:lvlJc w:val="left"/>
      <w:pPr>
        <w:ind w:left="1165" w:hanging="217"/>
      </w:pPr>
      <w:rPr>
        <w:rFonts w:hint="default"/>
        <w:lang w:val="en-GB" w:eastAsia="en-GB" w:bidi="en-GB"/>
      </w:rPr>
    </w:lvl>
    <w:lvl w:ilvl="6" w:tplc="7084072C">
      <w:numFmt w:val="bullet"/>
      <w:lvlText w:val="•"/>
      <w:lvlJc w:val="left"/>
      <w:pPr>
        <w:ind w:left="1338" w:hanging="217"/>
      </w:pPr>
      <w:rPr>
        <w:rFonts w:hint="default"/>
        <w:lang w:val="en-GB" w:eastAsia="en-GB" w:bidi="en-GB"/>
      </w:rPr>
    </w:lvl>
    <w:lvl w:ilvl="7" w:tplc="5C7C5C30">
      <w:numFmt w:val="bullet"/>
      <w:lvlText w:val="•"/>
      <w:lvlJc w:val="left"/>
      <w:pPr>
        <w:ind w:left="1511" w:hanging="217"/>
      </w:pPr>
      <w:rPr>
        <w:rFonts w:hint="default"/>
        <w:lang w:val="en-GB" w:eastAsia="en-GB" w:bidi="en-GB"/>
      </w:rPr>
    </w:lvl>
    <w:lvl w:ilvl="8" w:tplc="F7B8CF22">
      <w:numFmt w:val="bullet"/>
      <w:lvlText w:val="•"/>
      <w:lvlJc w:val="left"/>
      <w:pPr>
        <w:ind w:left="1684" w:hanging="217"/>
      </w:pPr>
      <w:rPr>
        <w:rFonts w:hint="default"/>
        <w:lang w:val="en-GB" w:eastAsia="en-GB" w:bidi="en-GB"/>
      </w:rPr>
    </w:lvl>
  </w:abstractNum>
  <w:abstractNum w:abstractNumId="237" w15:restartNumberingAfterBreak="0">
    <w:nsid w:val="15941079"/>
    <w:multiLevelType w:val="hybridMultilevel"/>
    <w:tmpl w:val="5DE45126"/>
    <w:lvl w:ilvl="0" w:tplc="B758563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A0AFB7E">
      <w:numFmt w:val="bullet"/>
      <w:lvlText w:val="•"/>
      <w:lvlJc w:val="left"/>
      <w:pPr>
        <w:ind w:left="439" w:hanging="217"/>
      </w:pPr>
      <w:rPr>
        <w:rFonts w:hint="default"/>
        <w:lang w:val="en-GB" w:eastAsia="en-GB" w:bidi="en-GB"/>
      </w:rPr>
    </w:lvl>
    <w:lvl w:ilvl="2" w:tplc="B85AC758">
      <w:numFmt w:val="bullet"/>
      <w:lvlText w:val="•"/>
      <w:lvlJc w:val="left"/>
      <w:pPr>
        <w:ind w:left="578" w:hanging="217"/>
      </w:pPr>
      <w:rPr>
        <w:rFonts w:hint="default"/>
        <w:lang w:val="en-GB" w:eastAsia="en-GB" w:bidi="en-GB"/>
      </w:rPr>
    </w:lvl>
    <w:lvl w:ilvl="3" w:tplc="1DF0D8D0">
      <w:numFmt w:val="bullet"/>
      <w:lvlText w:val="•"/>
      <w:lvlJc w:val="left"/>
      <w:pPr>
        <w:ind w:left="717" w:hanging="217"/>
      </w:pPr>
      <w:rPr>
        <w:rFonts w:hint="default"/>
        <w:lang w:val="en-GB" w:eastAsia="en-GB" w:bidi="en-GB"/>
      </w:rPr>
    </w:lvl>
    <w:lvl w:ilvl="4" w:tplc="4A2A82B8">
      <w:numFmt w:val="bullet"/>
      <w:lvlText w:val="•"/>
      <w:lvlJc w:val="left"/>
      <w:pPr>
        <w:ind w:left="856" w:hanging="217"/>
      </w:pPr>
      <w:rPr>
        <w:rFonts w:hint="default"/>
        <w:lang w:val="en-GB" w:eastAsia="en-GB" w:bidi="en-GB"/>
      </w:rPr>
    </w:lvl>
    <w:lvl w:ilvl="5" w:tplc="38AEB52A">
      <w:numFmt w:val="bullet"/>
      <w:lvlText w:val="•"/>
      <w:lvlJc w:val="left"/>
      <w:pPr>
        <w:ind w:left="995" w:hanging="217"/>
      </w:pPr>
      <w:rPr>
        <w:rFonts w:hint="default"/>
        <w:lang w:val="en-GB" w:eastAsia="en-GB" w:bidi="en-GB"/>
      </w:rPr>
    </w:lvl>
    <w:lvl w:ilvl="6" w:tplc="AD6800FE">
      <w:numFmt w:val="bullet"/>
      <w:lvlText w:val="•"/>
      <w:lvlJc w:val="left"/>
      <w:pPr>
        <w:ind w:left="1134" w:hanging="217"/>
      </w:pPr>
      <w:rPr>
        <w:rFonts w:hint="default"/>
        <w:lang w:val="en-GB" w:eastAsia="en-GB" w:bidi="en-GB"/>
      </w:rPr>
    </w:lvl>
    <w:lvl w:ilvl="7" w:tplc="5F886BFC">
      <w:numFmt w:val="bullet"/>
      <w:lvlText w:val="•"/>
      <w:lvlJc w:val="left"/>
      <w:pPr>
        <w:ind w:left="1273" w:hanging="217"/>
      </w:pPr>
      <w:rPr>
        <w:rFonts w:hint="default"/>
        <w:lang w:val="en-GB" w:eastAsia="en-GB" w:bidi="en-GB"/>
      </w:rPr>
    </w:lvl>
    <w:lvl w:ilvl="8" w:tplc="34B68154">
      <w:numFmt w:val="bullet"/>
      <w:lvlText w:val="•"/>
      <w:lvlJc w:val="left"/>
      <w:pPr>
        <w:ind w:left="1412" w:hanging="217"/>
      </w:pPr>
      <w:rPr>
        <w:rFonts w:hint="default"/>
        <w:lang w:val="en-GB" w:eastAsia="en-GB" w:bidi="en-GB"/>
      </w:rPr>
    </w:lvl>
  </w:abstractNum>
  <w:abstractNum w:abstractNumId="238" w15:restartNumberingAfterBreak="0">
    <w:nsid w:val="15947DDC"/>
    <w:multiLevelType w:val="hybridMultilevel"/>
    <w:tmpl w:val="7AB61830"/>
    <w:lvl w:ilvl="0" w:tplc="5846DA8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FD6551A">
      <w:numFmt w:val="bullet"/>
      <w:lvlText w:val="•"/>
      <w:lvlJc w:val="left"/>
      <w:pPr>
        <w:ind w:left="473" w:hanging="217"/>
      </w:pPr>
      <w:rPr>
        <w:rFonts w:hint="default"/>
        <w:lang w:val="en-GB" w:eastAsia="en-GB" w:bidi="en-GB"/>
      </w:rPr>
    </w:lvl>
    <w:lvl w:ilvl="2" w:tplc="1E96A97E">
      <w:numFmt w:val="bullet"/>
      <w:lvlText w:val="•"/>
      <w:lvlJc w:val="left"/>
      <w:pPr>
        <w:ind w:left="646" w:hanging="217"/>
      </w:pPr>
      <w:rPr>
        <w:rFonts w:hint="default"/>
        <w:lang w:val="en-GB" w:eastAsia="en-GB" w:bidi="en-GB"/>
      </w:rPr>
    </w:lvl>
    <w:lvl w:ilvl="3" w:tplc="D52CB106">
      <w:numFmt w:val="bullet"/>
      <w:lvlText w:val="•"/>
      <w:lvlJc w:val="left"/>
      <w:pPr>
        <w:ind w:left="819" w:hanging="217"/>
      </w:pPr>
      <w:rPr>
        <w:rFonts w:hint="default"/>
        <w:lang w:val="en-GB" w:eastAsia="en-GB" w:bidi="en-GB"/>
      </w:rPr>
    </w:lvl>
    <w:lvl w:ilvl="4" w:tplc="D20CBFAE">
      <w:numFmt w:val="bullet"/>
      <w:lvlText w:val="•"/>
      <w:lvlJc w:val="left"/>
      <w:pPr>
        <w:ind w:left="992" w:hanging="217"/>
      </w:pPr>
      <w:rPr>
        <w:rFonts w:hint="default"/>
        <w:lang w:val="en-GB" w:eastAsia="en-GB" w:bidi="en-GB"/>
      </w:rPr>
    </w:lvl>
    <w:lvl w:ilvl="5" w:tplc="FCC24D58">
      <w:numFmt w:val="bullet"/>
      <w:lvlText w:val="•"/>
      <w:lvlJc w:val="left"/>
      <w:pPr>
        <w:ind w:left="1165" w:hanging="217"/>
      </w:pPr>
      <w:rPr>
        <w:rFonts w:hint="default"/>
        <w:lang w:val="en-GB" w:eastAsia="en-GB" w:bidi="en-GB"/>
      </w:rPr>
    </w:lvl>
    <w:lvl w:ilvl="6" w:tplc="9490FF80">
      <w:numFmt w:val="bullet"/>
      <w:lvlText w:val="•"/>
      <w:lvlJc w:val="left"/>
      <w:pPr>
        <w:ind w:left="1338" w:hanging="217"/>
      </w:pPr>
      <w:rPr>
        <w:rFonts w:hint="default"/>
        <w:lang w:val="en-GB" w:eastAsia="en-GB" w:bidi="en-GB"/>
      </w:rPr>
    </w:lvl>
    <w:lvl w:ilvl="7" w:tplc="620CBCC2">
      <w:numFmt w:val="bullet"/>
      <w:lvlText w:val="•"/>
      <w:lvlJc w:val="left"/>
      <w:pPr>
        <w:ind w:left="1511" w:hanging="217"/>
      </w:pPr>
      <w:rPr>
        <w:rFonts w:hint="default"/>
        <w:lang w:val="en-GB" w:eastAsia="en-GB" w:bidi="en-GB"/>
      </w:rPr>
    </w:lvl>
    <w:lvl w:ilvl="8" w:tplc="D116CDFC">
      <w:numFmt w:val="bullet"/>
      <w:lvlText w:val="•"/>
      <w:lvlJc w:val="left"/>
      <w:pPr>
        <w:ind w:left="1684" w:hanging="217"/>
      </w:pPr>
      <w:rPr>
        <w:rFonts w:hint="default"/>
        <w:lang w:val="en-GB" w:eastAsia="en-GB" w:bidi="en-GB"/>
      </w:rPr>
    </w:lvl>
  </w:abstractNum>
  <w:abstractNum w:abstractNumId="239" w15:restartNumberingAfterBreak="0">
    <w:nsid w:val="15B74808"/>
    <w:multiLevelType w:val="hybridMultilevel"/>
    <w:tmpl w:val="6170656E"/>
    <w:lvl w:ilvl="0" w:tplc="BB8EAB5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984693A">
      <w:numFmt w:val="bullet"/>
      <w:lvlText w:val="•"/>
      <w:lvlJc w:val="left"/>
      <w:pPr>
        <w:ind w:left="473" w:hanging="217"/>
      </w:pPr>
      <w:rPr>
        <w:rFonts w:hint="default"/>
        <w:lang w:val="en-GB" w:eastAsia="en-GB" w:bidi="en-GB"/>
      </w:rPr>
    </w:lvl>
    <w:lvl w:ilvl="2" w:tplc="38AA1E82">
      <w:numFmt w:val="bullet"/>
      <w:lvlText w:val="•"/>
      <w:lvlJc w:val="left"/>
      <w:pPr>
        <w:ind w:left="646" w:hanging="217"/>
      </w:pPr>
      <w:rPr>
        <w:rFonts w:hint="default"/>
        <w:lang w:val="en-GB" w:eastAsia="en-GB" w:bidi="en-GB"/>
      </w:rPr>
    </w:lvl>
    <w:lvl w:ilvl="3" w:tplc="B8B216F6">
      <w:numFmt w:val="bullet"/>
      <w:lvlText w:val="•"/>
      <w:lvlJc w:val="left"/>
      <w:pPr>
        <w:ind w:left="819" w:hanging="217"/>
      </w:pPr>
      <w:rPr>
        <w:rFonts w:hint="default"/>
        <w:lang w:val="en-GB" w:eastAsia="en-GB" w:bidi="en-GB"/>
      </w:rPr>
    </w:lvl>
    <w:lvl w:ilvl="4" w:tplc="330E2D60">
      <w:numFmt w:val="bullet"/>
      <w:lvlText w:val="•"/>
      <w:lvlJc w:val="left"/>
      <w:pPr>
        <w:ind w:left="992" w:hanging="217"/>
      </w:pPr>
      <w:rPr>
        <w:rFonts w:hint="default"/>
        <w:lang w:val="en-GB" w:eastAsia="en-GB" w:bidi="en-GB"/>
      </w:rPr>
    </w:lvl>
    <w:lvl w:ilvl="5" w:tplc="3C98E25E">
      <w:numFmt w:val="bullet"/>
      <w:lvlText w:val="•"/>
      <w:lvlJc w:val="left"/>
      <w:pPr>
        <w:ind w:left="1165" w:hanging="217"/>
      </w:pPr>
      <w:rPr>
        <w:rFonts w:hint="default"/>
        <w:lang w:val="en-GB" w:eastAsia="en-GB" w:bidi="en-GB"/>
      </w:rPr>
    </w:lvl>
    <w:lvl w:ilvl="6" w:tplc="C1C65FEA">
      <w:numFmt w:val="bullet"/>
      <w:lvlText w:val="•"/>
      <w:lvlJc w:val="left"/>
      <w:pPr>
        <w:ind w:left="1338" w:hanging="217"/>
      </w:pPr>
      <w:rPr>
        <w:rFonts w:hint="default"/>
        <w:lang w:val="en-GB" w:eastAsia="en-GB" w:bidi="en-GB"/>
      </w:rPr>
    </w:lvl>
    <w:lvl w:ilvl="7" w:tplc="2BCA3526">
      <w:numFmt w:val="bullet"/>
      <w:lvlText w:val="•"/>
      <w:lvlJc w:val="left"/>
      <w:pPr>
        <w:ind w:left="1511" w:hanging="217"/>
      </w:pPr>
      <w:rPr>
        <w:rFonts w:hint="default"/>
        <w:lang w:val="en-GB" w:eastAsia="en-GB" w:bidi="en-GB"/>
      </w:rPr>
    </w:lvl>
    <w:lvl w:ilvl="8" w:tplc="50B0D796">
      <w:numFmt w:val="bullet"/>
      <w:lvlText w:val="•"/>
      <w:lvlJc w:val="left"/>
      <w:pPr>
        <w:ind w:left="1684" w:hanging="217"/>
      </w:pPr>
      <w:rPr>
        <w:rFonts w:hint="default"/>
        <w:lang w:val="en-GB" w:eastAsia="en-GB" w:bidi="en-GB"/>
      </w:rPr>
    </w:lvl>
  </w:abstractNum>
  <w:abstractNum w:abstractNumId="240" w15:restartNumberingAfterBreak="0">
    <w:nsid w:val="15C6719F"/>
    <w:multiLevelType w:val="hybridMultilevel"/>
    <w:tmpl w:val="622ED80C"/>
    <w:lvl w:ilvl="0" w:tplc="F4DE74B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C9C4EF6">
      <w:numFmt w:val="bullet"/>
      <w:lvlText w:val="•"/>
      <w:lvlJc w:val="left"/>
      <w:pPr>
        <w:ind w:left="1061" w:hanging="217"/>
      </w:pPr>
      <w:rPr>
        <w:rFonts w:hint="default"/>
        <w:lang w:val="en-GB" w:eastAsia="en-GB" w:bidi="en-GB"/>
      </w:rPr>
    </w:lvl>
    <w:lvl w:ilvl="2" w:tplc="BC5CBD36">
      <w:numFmt w:val="bullet"/>
      <w:lvlText w:val="•"/>
      <w:lvlJc w:val="left"/>
      <w:pPr>
        <w:ind w:left="1823" w:hanging="217"/>
      </w:pPr>
      <w:rPr>
        <w:rFonts w:hint="default"/>
        <w:lang w:val="en-GB" w:eastAsia="en-GB" w:bidi="en-GB"/>
      </w:rPr>
    </w:lvl>
    <w:lvl w:ilvl="3" w:tplc="69684EC8">
      <w:numFmt w:val="bullet"/>
      <w:lvlText w:val="•"/>
      <w:lvlJc w:val="left"/>
      <w:pPr>
        <w:ind w:left="2585" w:hanging="217"/>
      </w:pPr>
      <w:rPr>
        <w:rFonts w:hint="default"/>
        <w:lang w:val="en-GB" w:eastAsia="en-GB" w:bidi="en-GB"/>
      </w:rPr>
    </w:lvl>
    <w:lvl w:ilvl="4" w:tplc="C8FA9EFC">
      <w:numFmt w:val="bullet"/>
      <w:lvlText w:val="•"/>
      <w:lvlJc w:val="left"/>
      <w:pPr>
        <w:ind w:left="3346" w:hanging="217"/>
      </w:pPr>
      <w:rPr>
        <w:rFonts w:hint="default"/>
        <w:lang w:val="en-GB" w:eastAsia="en-GB" w:bidi="en-GB"/>
      </w:rPr>
    </w:lvl>
    <w:lvl w:ilvl="5" w:tplc="C3CE4F9A">
      <w:numFmt w:val="bullet"/>
      <w:lvlText w:val="•"/>
      <w:lvlJc w:val="left"/>
      <w:pPr>
        <w:ind w:left="4108" w:hanging="217"/>
      </w:pPr>
      <w:rPr>
        <w:rFonts w:hint="default"/>
        <w:lang w:val="en-GB" w:eastAsia="en-GB" w:bidi="en-GB"/>
      </w:rPr>
    </w:lvl>
    <w:lvl w:ilvl="6" w:tplc="2BE8F27A">
      <w:numFmt w:val="bullet"/>
      <w:lvlText w:val="•"/>
      <w:lvlJc w:val="left"/>
      <w:pPr>
        <w:ind w:left="4870" w:hanging="217"/>
      </w:pPr>
      <w:rPr>
        <w:rFonts w:hint="default"/>
        <w:lang w:val="en-GB" w:eastAsia="en-GB" w:bidi="en-GB"/>
      </w:rPr>
    </w:lvl>
    <w:lvl w:ilvl="7" w:tplc="CF1E2F1E">
      <w:numFmt w:val="bullet"/>
      <w:lvlText w:val="•"/>
      <w:lvlJc w:val="left"/>
      <w:pPr>
        <w:ind w:left="5631" w:hanging="217"/>
      </w:pPr>
      <w:rPr>
        <w:rFonts w:hint="default"/>
        <w:lang w:val="en-GB" w:eastAsia="en-GB" w:bidi="en-GB"/>
      </w:rPr>
    </w:lvl>
    <w:lvl w:ilvl="8" w:tplc="05BECBF4">
      <w:numFmt w:val="bullet"/>
      <w:lvlText w:val="•"/>
      <w:lvlJc w:val="left"/>
      <w:pPr>
        <w:ind w:left="6393" w:hanging="217"/>
      </w:pPr>
      <w:rPr>
        <w:rFonts w:hint="default"/>
        <w:lang w:val="en-GB" w:eastAsia="en-GB" w:bidi="en-GB"/>
      </w:rPr>
    </w:lvl>
  </w:abstractNum>
  <w:abstractNum w:abstractNumId="241" w15:restartNumberingAfterBreak="0">
    <w:nsid w:val="15D6750D"/>
    <w:multiLevelType w:val="hybridMultilevel"/>
    <w:tmpl w:val="810C48AE"/>
    <w:lvl w:ilvl="0" w:tplc="B218E81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F7CD60A">
      <w:numFmt w:val="bullet"/>
      <w:lvlText w:val="•"/>
      <w:lvlJc w:val="left"/>
      <w:pPr>
        <w:ind w:left="439" w:hanging="217"/>
      </w:pPr>
      <w:rPr>
        <w:rFonts w:hint="default"/>
        <w:lang w:val="en-GB" w:eastAsia="en-GB" w:bidi="en-GB"/>
      </w:rPr>
    </w:lvl>
    <w:lvl w:ilvl="2" w:tplc="E9727EE4">
      <w:numFmt w:val="bullet"/>
      <w:lvlText w:val="•"/>
      <w:lvlJc w:val="left"/>
      <w:pPr>
        <w:ind w:left="578" w:hanging="217"/>
      </w:pPr>
      <w:rPr>
        <w:rFonts w:hint="default"/>
        <w:lang w:val="en-GB" w:eastAsia="en-GB" w:bidi="en-GB"/>
      </w:rPr>
    </w:lvl>
    <w:lvl w:ilvl="3" w:tplc="70E47D26">
      <w:numFmt w:val="bullet"/>
      <w:lvlText w:val="•"/>
      <w:lvlJc w:val="left"/>
      <w:pPr>
        <w:ind w:left="717" w:hanging="217"/>
      </w:pPr>
      <w:rPr>
        <w:rFonts w:hint="default"/>
        <w:lang w:val="en-GB" w:eastAsia="en-GB" w:bidi="en-GB"/>
      </w:rPr>
    </w:lvl>
    <w:lvl w:ilvl="4" w:tplc="8520A544">
      <w:numFmt w:val="bullet"/>
      <w:lvlText w:val="•"/>
      <w:lvlJc w:val="left"/>
      <w:pPr>
        <w:ind w:left="856" w:hanging="217"/>
      </w:pPr>
      <w:rPr>
        <w:rFonts w:hint="default"/>
        <w:lang w:val="en-GB" w:eastAsia="en-GB" w:bidi="en-GB"/>
      </w:rPr>
    </w:lvl>
    <w:lvl w:ilvl="5" w:tplc="C74C2518">
      <w:numFmt w:val="bullet"/>
      <w:lvlText w:val="•"/>
      <w:lvlJc w:val="left"/>
      <w:pPr>
        <w:ind w:left="995" w:hanging="217"/>
      </w:pPr>
      <w:rPr>
        <w:rFonts w:hint="default"/>
        <w:lang w:val="en-GB" w:eastAsia="en-GB" w:bidi="en-GB"/>
      </w:rPr>
    </w:lvl>
    <w:lvl w:ilvl="6" w:tplc="650E2476">
      <w:numFmt w:val="bullet"/>
      <w:lvlText w:val="•"/>
      <w:lvlJc w:val="left"/>
      <w:pPr>
        <w:ind w:left="1134" w:hanging="217"/>
      </w:pPr>
      <w:rPr>
        <w:rFonts w:hint="default"/>
        <w:lang w:val="en-GB" w:eastAsia="en-GB" w:bidi="en-GB"/>
      </w:rPr>
    </w:lvl>
    <w:lvl w:ilvl="7" w:tplc="1BBC50D0">
      <w:numFmt w:val="bullet"/>
      <w:lvlText w:val="•"/>
      <w:lvlJc w:val="left"/>
      <w:pPr>
        <w:ind w:left="1273" w:hanging="217"/>
      </w:pPr>
      <w:rPr>
        <w:rFonts w:hint="default"/>
        <w:lang w:val="en-GB" w:eastAsia="en-GB" w:bidi="en-GB"/>
      </w:rPr>
    </w:lvl>
    <w:lvl w:ilvl="8" w:tplc="A96E776E">
      <w:numFmt w:val="bullet"/>
      <w:lvlText w:val="•"/>
      <w:lvlJc w:val="left"/>
      <w:pPr>
        <w:ind w:left="1412" w:hanging="217"/>
      </w:pPr>
      <w:rPr>
        <w:rFonts w:hint="default"/>
        <w:lang w:val="en-GB" w:eastAsia="en-GB" w:bidi="en-GB"/>
      </w:rPr>
    </w:lvl>
  </w:abstractNum>
  <w:abstractNum w:abstractNumId="242" w15:restartNumberingAfterBreak="0">
    <w:nsid w:val="15DB255F"/>
    <w:multiLevelType w:val="hybridMultilevel"/>
    <w:tmpl w:val="C4D48CB8"/>
    <w:lvl w:ilvl="0" w:tplc="17A6A1F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EA2C599E">
      <w:numFmt w:val="bullet"/>
      <w:lvlText w:val="•"/>
      <w:lvlJc w:val="left"/>
      <w:pPr>
        <w:ind w:left="473" w:hanging="217"/>
      </w:pPr>
      <w:rPr>
        <w:rFonts w:hint="default"/>
        <w:lang w:val="en-GB" w:eastAsia="en-GB" w:bidi="en-GB"/>
      </w:rPr>
    </w:lvl>
    <w:lvl w:ilvl="2" w:tplc="930A8880">
      <w:numFmt w:val="bullet"/>
      <w:lvlText w:val="•"/>
      <w:lvlJc w:val="left"/>
      <w:pPr>
        <w:ind w:left="646" w:hanging="217"/>
      </w:pPr>
      <w:rPr>
        <w:rFonts w:hint="default"/>
        <w:lang w:val="en-GB" w:eastAsia="en-GB" w:bidi="en-GB"/>
      </w:rPr>
    </w:lvl>
    <w:lvl w:ilvl="3" w:tplc="36629542">
      <w:numFmt w:val="bullet"/>
      <w:lvlText w:val="•"/>
      <w:lvlJc w:val="left"/>
      <w:pPr>
        <w:ind w:left="819" w:hanging="217"/>
      </w:pPr>
      <w:rPr>
        <w:rFonts w:hint="default"/>
        <w:lang w:val="en-GB" w:eastAsia="en-GB" w:bidi="en-GB"/>
      </w:rPr>
    </w:lvl>
    <w:lvl w:ilvl="4" w:tplc="73F29902">
      <w:numFmt w:val="bullet"/>
      <w:lvlText w:val="•"/>
      <w:lvlJc w:val="left"/>
      <w:pPr>
        <w:ind w:left="992" w:hanging="217"/>
      </w:pPr>
      <w:rPr>
        <w:rFonts w:hint="default"/>
        <w:lang w:val="en-GB" w:eastAsia="en-GB" w:bidi="en-GB"/>
      </w:rPr>
    </w:lvl>
    <w:lvl w:ilvl="5" w:tplc="806C4534">
      <w:numFmt w:val="bullet"/>
      <w:lvlText w:val="•"/>
      <w:lvlJc w:val="left"/>
      <w:pPr>
        <w:ind w:left="1165" w:hanging="217"/>
      </w:pPr>
      <w:rPr>
        <w:rFonts w:hint="default"/>
        <w:lang w:val="en-GB" w:eastAsia="en-GB" w:bidi="en-GB"/>
      </w:rPr>
    </w:lvl>
    <w:lvl w:ilvl="6" w:tplc="51BC24F6">
      <w:numFmt w:val="bullet"/>
      <w:lvlText w:val="•"/>
      <w:lvlJc w:val="left"/>
      <w:pPr>
        <w:ind w:left="1338" w:hanging="217"/>
      </w:pPr>
      <w:rPr>
        <w:rFonts w:hint="default"/>
        <w:lang w:val="en-GB" w:eastAsia="en-GB" w:bidi="en-GB"/>
      </w:rPr>
    </w:lvl>
    <w:lvl w:ilvl="7" w:tplc="776CF3D6">
      <w:numFmt w:val="bullet"/>
      <w:lvlText w:val="•"/>
      <w:lvlJc w:val="left"/>
      <w:pPr>
        <w:ind w:left="1511" w:hanging="217"/>
      </w:pPr>
      <w:rPr>
        <w:rFonts w:hint="default"/>
        <w:lang w:val="en-GB" w:eastAsia="en-GB" w:bidi="en-GB"/>
      </w:rPr>
    </w:lvl>
    <w:lvl w:ilvl="8" w:tplc="FA1CCB04">
      <w:numFmt w:val="bullet"/>
      <w:lvlText w:val="•"/>
      <w:lvlJc w:val="left"/>
      <w:pPr>
        <w:ind w:left="1684" w:hanging="217"/>
      </w:pPr>
      <w:rPr>
        <w:rFonts w:hint="default"/>
        <w:lang w:val="en-GB" w:eastAsia="en-GB" w:bidi="en-GB"/>
      </w:rPr>
    </w:lvl>
  </w:abstractNum>
  <w:abstractNum w:abstractNumId="243" w15:restartNumberingAfterBreak="0">
    <w:nsid w:val="15DB36C0"/>
    <w:multiLevelType w:val="hybridMultilevel"/>
    <w:tmpl w:val="5C1275A0"/>
    <w:lvl w:ilvl="0" w:tplc="1B82C8C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6863832">
      <w:numFmt w:val="bullet"/>
      <w:lvlText w:val="•"/>
      <w:lvlJc w:val="left"/>
      <w:pPr>
        <w:ind w:left="473" w:hanging="217"/>
      </w:pPr>
      <w:rPr>
        <w:rFonts w:hint="default"/>
        <w:lang w:val="en-GB" w:eastAsia="en-GB" w:bidi="en-GB"/>
      </w:rPr>
    </w:lvl>
    <w:lvl w:ilvl="2" w:tplc="454AB43A">
      <w:numFmt w:val="bullet"/>
      <w:lvlText w:val="•"/>
      <w:lvlJc w:val="left"/>
      <w:pPr>
        <w:ind w:left="646" w:hanging="217"/>
      </w:pPr>
      <w:rPr>
        <w:rFonts w:hint="default"/>
        <w:lang w:val="en-GB" w:eastAsia="en-GB" w:bidi="en-GB"/>
      </w:rPr>
    </w:lvl>
    <w:lvl w:ilvl="3" w:tplc="A2148402">
      <w:numFmt w:val="bullet"/>
      <w:lvlText w:val="•"/>
      <w:lvlJc w:val="left"/>
      <w:pPr>
        <w:ind w:left="819" w:hanging="217"/>
      </w:pPr>
      <w:rPr>
        <w:rFonts w:hint="default"/>
        <w:lang w:val="en-GB" w:eastAsia="en-GB" w:bidi="en-GB"/>
      </w:rPr>
    </w:lvl>
    <w:lvl w:ilvl="4" w:tplc="D806EFAA">
      <w:numFmt w:val="bullet"/>
      <w:lvlText w:val="•"/>
      <w:lvlJc w:val="left"/>
      <w:pPr>
        <w:ind w:left="992" w:hanging="217"/>
      </w:pPr>
      <w:rPr>
        <w:rFonts w:hint="default"/>
        <w:lang w:val="en-GB" w:eastAsia="en-GB" w:bidi="en-GB"/>
      </w:rPr>
    </w:lvl>
    <w:lvl w:ilvl="5" w:tplc="F20A2788">
      <w:numFmt w:val="bullet"/>
      <w:lvlText w:val="•"/>
      <w:lvlJc w:val="left"/>
      <w:pPr>
        <w:ind w:left="1165" w:hanging="217"/>
      </w:pPr>
      <w:rPr>
        <w:rFonts w:hint="default"/>
        <w:lang w:val="en-GB" w:eastAsia="en-GB" w:bidi="en-GB"/>
      </w:rPr>
    </w:lvl>
    <w:lvl w:ilvl="6" w:tplc="E2A46176">
      <w:numFmt w:val="bullet"/>
      <w:lvlText w:val="•"/>
      <w:lvlJc w:val="left"/>
      <w:pPr>
        <w:ind w:left="1338" w:hanging="217"/>
      </w:pPr>
      <w:rPr>
        <w:rFonts w:hint="default"/>
        <w:lang w:val="en-GB" w:eastAsia="en-GB" w:bidi="en-GB"/>
      </w:rPr>
    </w:lvl>
    <w:lvl w:ilvl="7" w:tplc="82FA360E">
      <w:numFmt w:val="bullet"/>
      <w:lvlText w:val="•"/>
      <w:lvlJc w:val="left"/>
      <w:pPr>
        <w:ind w:left="1511" w:hanging="217"/>
      </w:pPr>
      <w:rPr>
        <w:rFonts w:hint="default"/>
        <w:lang w:val="en-GB" w:eastAsia="en-GB" w:bidi="en-GB"/>
      </w:rPr>
    </w:lvl>
    <w:lvl w:ilvl="8" w:tplc="4552C2A6">
      <w:numFmt w:val="bullet"/>
      <w:lvlText w:val="•"/>
      <w:lvlJc w:val="left"/>
      <w:pPr>
        <w:ind w:left="1684" w:hanging="217"/>
      </w:pPr>
      <w:rPr>
        <w:rFonts w:hint="default"/>
        <w:lang w:val="en-GB" w:eastAsia="en-GB" w:bidi="en-GB"/>
      </w:rPr>
    </w:lvl>
  </w:abstractNum>
  <w:abstractNum w:abstractNumId="244" w15:restartNumberingAfterBreak="0">
    <w:nsid w:val="15E34EBF"/>
    <w:multiLevelType w:val="hybridMultilevel"/>
    <w:tmpl w:val="5F7ED694"/>
    <w:lvl w:ilvl="0" w:tplc="683C502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1F40B5C">
      <w:numFmt w:val="bullet"/>
      <w:lvlText w:val="•"/>
      <w:lvlJc w:val="left"/>
      <w:pPr>
        <w:ind w:left="892" w:hanging="217"/>
      </w:pPr>
      <w:rPr>
        <w:rFonts w:hint="default"/>
        <w:lang w:val="en-GB" w:eastAsia="en-GB" w:bidi="en-GB"/>
      </w:rPr>
    </w:lvl>
    <w:lvl w:ilvl="2" w:tplc="3DB0D872">
      <w:numFmt w:val="bullet"/>
      <w:lvlText w:val="•"/>
      <w:lvlJc w:val="left"/>
      <w:pPr>
        <w:ind w:left="1485" w:hanging="217"/>
      </w:pPr>
      <w:rPr>
        <w:rFonts w:hint="default"/>
        <w:lang w:val="en-GB" w:eastAsia="en-GB" w:bidi="en-GB"/>
      </w:rPr>
    </w:lvl>
    <w:lvl w:ilvl="3" w:tplc="362453D6">
      <w:numFmt w:val="bullet"/>
      <w:lvlText w:val="•"/>
      <w:lvlJc w:val="left"/>
      <w:pPr>
        <w:ind w:left="2077" w:hanging="217"/>
      </w:pPr>
      <w:rPr>
        <w:rFonts w:hint="default"/>
        <w:lang w:val="en-GB" w:eastAsia="en-GB" w:bidi="en-GB"/>
      </w:rPr>
    </w:lvl>
    <w:lvl w:ilvl="4" w:tplc="C2109416">
      <w:numFmt w:val="bullet"/>
      <w:lvlText w:val="•"/>
      <w:lvlJc w:val="left"/>
      <w:pPr>
        <w:ind w:left="2670" w:hanging="217"/>
      </w:pPr>
      <w:rPr>
        <w:rFonts w:hint="default"/>
        <w:lang w:val="en-GB" w:eastAsia="en-GB" w:bidi="en-GB"/>
      </w:rPr>
    </w:lvl>
    <w:lvl w:ilvl="5" w:tplc="9A4823B6">
      <w:numFmt w:val="bullet"/>
      <w:lvlText w:val="•"/>
      <w:lvlJc w:val="left"/>
      <w:pPr>
        <w:ind w:left="3263" w:hanging="217"/>
      </w:pPr>
      <w:rPr>
        <w:rFonts w:hint="default"/>
        <w:lang w:val="en-GB" w:eastAsia="en-GB" w:bidi="en-GB"/>
      </w:rPr>
    </w:lvl>
    <w:lvl w:ilvl="6" w:tplc="5D66773A">
      <w:numFmt w:val="bullet"/>
      <w:lvlText w:val="•"/>
      <w:lvlJc w:val="left"/>
      <w:pPr>
        <w:ind w:left="3855" w:hanging="217"/>
      </w:pPr>
      <w:rPr>
        <w:rFonts w:hint="default"/>
        <w:lang w:val="en-GB" w:eastAsia="en-GB" w:bidi="en-GB"/>
      </w:rPr>
    </w:lvl>
    <w:lvl w:ilvl="7" w:tplc="713457E2">
      <w:numFmt w:val="bullet"/>
      <w:lvlText w:val="•"/>
      <w:lvlJc w:val="left"/>
      <w:pPr>
        <w:ind w:left="4448" w:hanging="217"/>
      </w:pPr>
      <w:rPr>
        <w:rFonts w:hint="default"/>
        <w:lang w:val="en-GB" w:eastAsia="en-GB" w:bidi="en-GB"/>
      </w:rPr>
    </w:lvl>
    <w:lvl w:ilvl="8" w:tplc="E19A54F0">
      <w:numFmt w:val="bullet"/>
      <w:lvlText w:val="•"/>
      <w:lvlJc w:val="left"/>
      <w:pPr>
        <w:ind w:left="5040" w:hanging="217"/>
      </w:pPr>
      <w:rPr>
        <w:rFonts w:hint="default"/>
        <w:lang w:val="en-GB" w:eastAsia="en-GB" w:bidi="en-GB"/>
      </w:rPr>
    </w:lvl>
  </w:abstractNum>
  <w:abstractNum w:abstractNumId="245" w15:restartNumberingAfterBreak="0">
    <w:nsid w:val="15F22AE9"/>
    <w:multiLevelType w:val="hybridMultilevel"/>
    <w:tmpl w:val="EB6630AA"/>
    <w:lvl w:ilvl="0" w:tplc="6980B738">
      <w:numFmt w:val="bullet"/>
      <w:lvlText w:val="•"/>
      <w:lvlJc w:val="left"/>
      <w:pPr>
        <w:ind w:left="304" w:hanging="217"/>
      </w:pPr>
      <w:rPr>
        <w:rFonts w:ascii="Arial" w:eastAsia="Arial" w:hAnsi="Arial" w:cs="Arial" w:hint="default"/>
        <w:color w:val="231F20"/>
        <w:spacing w:val="-20"/>
        <w:w w:val="100"/>
        <w:sz w:val="18"/>
        <w:szCs w:val="18"/>
        <w:lang w:val="en-GB" w:eastAsia="en-GB" w:bidi="en-GB"/>
      </w:rPr>
    </w:lvl>
    <w:lvl w:ilvl="1" w:tplc="7D60405C">
      <w:numFmt w:val="bullet"/>
      <w:lvlText w:val="•"/>
      <w:lvlJc w:val="left"/>
      <w:pPr>
        <w:ind w:left="473" w:hanging="217"/>
      </w:pPr>
      <w:rPr>
        <w:rFonts w:hint="default"/>
        <w:lang w:val="en-GB" w:eastAsia="en-GB" w:bidi="en-GB"/>
      </w:rPr>
    </w:lvl>
    <w:lvl w:ilvl="2" w:tplc="8F9845C8">
      <w:numFmt w:val="bullet"/>
      <w:lvlText w:val="•"/>
      <w:lvlJc w:val="left"/>
      <w:pPr>
        <w:ind w:left="646" w:hanging="217"/>
      </w:pPr>
      <w:rPr>
        <w:rFonts w:hint="default"/>
        <w:lang w:val="en-GB" w:eastAsia="en-GB" w:bidi="en-GB"/>
      </w:rPr>
    </w:lvl>
    <w:lvl w:ilvl="3" w:tplc="6360F1B0">
      <w:numFmt w:val="bullet"/>
      <w:lvlText w:val="•"/>
      <w:lvlJc w:val="left"/>
      <w:pPr>
        <w:ind w:left="819" w:hanging="217"/>
      </w:pPr>
      <w:rPr>
        <w:rFonts w:hint="default"/>
        <w:lang w:val="en-GB" w:eastAsia="en-GB" w:bidi="en-GB"/>
      </w:rPr>
    </w:lvl>
    <w:lvl w:ilvl="4" w:tplc="B11E634C">
      <w:numFmt w:val="bullet"/>
      <w:lvlText w:val="•"/>
      <w:lvlJc w:val="left"/>
      <w:pPr>
        <w:ind w:left="992" w:hanging="217"/>
      </w:pPr>
      <w:rPr>
        <w:rFonts w:hint="default"/>
        <w:lang w:val="en-GB" w:eastAsia="en-GB" w:bidi="en-GB"/>
      </w:rPr>
    </w:lvl>
    <w:lvl w:ilvl="5" w:tplc="B50AB042">
      <w:numFmt w:val="bullet"/>
      <w:lvlText w:val="•"/>
      <w:lvlJc w:val="left"/>
      <w:pPr>
        <w:ind w:left="1165" w:hanging="217"/>
      </w:pPr>
      <w:rPr>
        <w:rFonts w:hint="default"/>
        <w:lang w:val="en-GB" w:eastAsia="en-GB" w:bidi="en-GB"/>
      </w:rPr>
    </w:lvl>
    <w:lvl w:ilvl="6" w:tplc="822E8742">
      <w:numFmt w:val="bullet"/>
      <w:lvlText w:val="•"/>
      <w:lvlJc w:val="left"/>
      <w:pPr>
        <w:ind w:left="1338" w:hanging="217"/>
      </w:pPr>
      <w:rPr>
        <w:rFonts w:hint="default"/>
        <w:lang w:val="en-GB" w:eastAsia="en-GB" w:bidi="en-GB"/>
      </w:rPr>
    </w:lvl>
    <w:lvl w:ilvl="7" w:tplc="552E3792">
      <w:numFmt w:val="bullet"/>
      <w:lvlText w:val="•"/>
      <w:lvlJc w:val="left"/>
      <w:pPr>
        <w:ind w:left="1511" w:hanging="217"/>
      </w:pPr>
      <w:rPr>
        <w:rFonts w:hint="default"/>
        <w:lang w:val="en-GB" w:eastAsia="en-GB" w:bidi="en-GB"/>
      </w:rPr>
    </w:lvl>
    <w:lvl w:ilvl="8" w:tplc="5A48E06C">
      <w:numFmt w:val="bullet"/>
      <w:lvlText w:val="•"/>
      <w:lvlJc w:val="left"/>
      <w:pPr>
        <w:ind w:left="1684" w:hanging="217"/>
      </w:pPr>
      <w:rPr>
        <w:rFonts w:hint="default"/>
        <w:lang w:val="en-GB" w:eastAsia="en-GB" w:bidi="en-GB"/>
      </w:rPr>
    </w:lvl>
  </w:abstractNum>
  <w:abstractNum w:abstractNumId="246" w15:restartNumberingAfterBreak="0">
    <w:nsid w:val="1620791F"/>
    <w:multiLevelType w:val="hybridMultilevel"/>
    <w:tmpl w:val="D3249A92"/>
    <w:lvl w:ilvl="0" w:tplc="39C838B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97810DE">
      <w:numFmt w:val="bullet"/>
      <w:lvlText w:val="•"/>
      <w:lvlJc w:val="left"/>
      <w:pPr>
        <w:ind w:left="544" w:hanging="217"/>
      </w:pPr>
      <w:rPr>
        <w:rFonts w:hint="default"/>
        <w:lang w:val="en-GB" w:eastAsia="en-GB" w:bidi="en-GB"/>
      </w:rPr>
    </w:lvl>
    <w:lvl w:ilvl="2" w:tplc="9544C6D8">
      <w:numFmt w:val="bullet"/>
      <w:lvlText w:val="•"/>
      <w:lvlJc w:val="left"/>
      <w:pPr>
        <w:ind w:left="788" w:hanging="217"/>
      </w:pPr>
      <w:rPr>
        <w:rFonts w:hint="default"/>
        <w:lang w:val="en-GB" w:eastAsia="en-GB" w:bidi="en-GB"/>
      </w:rPr>
    </w:lvl>
    <w:lvl w:ilvl="3" w:tplc="E47CF3D6">
      <w:numFmt w:val="bullet"/>
      <w:lvlText w:val="•"/>
      <w:lvlJc w:val="left"/>
      <w:pPr>
        <w:ind w:left="1032" w:hanging="217"/>
      </w:pPr>
      <w:rPr>
        <w:rFonts w:hint="default"/>
        <w:lang w:val="en-GB" w:eastAsia="en-GB" w:bidi="en-GB"/>
      </w:rPr>
    </w:lvl>
    <w:lvl w:ilvl="4" w:tplc="E9A0378E">
      <w:numFmt w:val="bullet"/>
      <w:lvlText w:val="•"/>
      <w:lvlJc w:val="left"/>
      <w:pPr>
        <w:ind w:left="1276" w:hanging="217"/>
      </w:pPr>
      <w:rPr>
        <w:rFonts w:hint="default"/>
        <w:lang w:val="en-GB" w:eastAsia="en-GB" w:bidi="en-GB"/>
      </w:rPr>
    </w:lvl>
    <w:lvl w:ilvl="5" w:tplc="926E14D2">
      <w:numFmt w:val="bullet"/>
      <w:lvlText w:val="•"/>
      <w:lvlJc w:val="left"/>
      <w:pPr>
        <w:ind w:left="1520" w:hanging="217"/>
      </w:pPr>
      <w:rPr>
        <w:rFonts w:hint="default"/>
        <w:lang w:val="en-GB" w:eastAsia="en-GB" w:bidi="en-GB"/>
      </w:rPr>
    </w:lvl>
    <w:lvl w:ilvl="6" w:tplc="15CED542">
      <w:numFmt w:val="bullet"/>
      <w:lvlText w:val="•"/>
      <w:lvlJc w:val="left"/>
      <w:pPr>
        <w:ind w:left="1764" w:hanging="217"/>
      </w:pPr>
      <w:rPr>
        <w:rFonts w:hint="default"/>
        <w:lang w:val="en-GB" w:eastAsia="en-GB" w:bidi="en-GB"/>
      </w:rPr>
    </w:lvl>
    <w:lvl w:ilvl="7" w:tplc="FF2264AC">
      <w:numFmt w:val="bullet"/>
      <w:lvlText w:val="•"/>
      <w:lvlJc w:val="left"/>
      <w:pPr>
        <w:ind w:left="2008" w:hanging="217"/>
      </w:pPr>
      <w:rPr>
        <w:rFonts w:hint="default"/>
        <w:lang w:val="en-GB" w:eastAsia="en-GB" w:bidi="en-GB"/>
      </w:rPr>
    </w:lvl>
    <w:lvl w:ilvl="8" w:tplc="9EFEF8C0">
      <w:numFmt w:val="bullet"/>
      <w:lvlText w:val="•"/>
      <w:lvlJc w:val="left"/>
      <w:pPr>
        <w:ind w:left="2252" w:hanging="217"/>
      </w:pPr>
      <w:rPr>
        <w:rFonts w:hint="default"/>
        <w:lang w:val="en-GB" w:eastAsia="en-GB" w:bidi="en-GB"/>
      </w:rPr>
    </w:lvl>
  </w:abstractNum>
  <w:abstractNum w:abstractNumId="247" w15:restartNumberingAfterBreak="0">
    <w:nsid w:val="164935C4"/>
    <w:multiLevelType w:val="hybridMultilevel"/>
    <w:tmpl w:val="B93A6EB6"/>
    <w:lvl w:ilvl="0" w:tplc="AC38533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4241F60">
      <w:numFmt w:val="bullet"/>
      <w:lvlText w:val="•"/>
      <w:lvlJc w:val="left"/>
      <w:pPr>
        <w:ind w:left="892" w:hanging="217"/>
      </w:pPr>
      <w:rPr>
        <w:rFonts w:hint="default"/>
        <w:lang w:val="en-GB" w:eastAsia="en-GB" w:bidi="en-GB"/>
      </w:rPr>
    </w:lvl>
    <w:lvl w:ilvl="2" w:tplc="034026CA">
      <w:numFmt w:val="bullet"/>
      <w:lvlText w:val="•"/>
      <w:lvlJc w:val="left"/>
      <w:pPr>
        <w:ind w:left="1485" w:hanging="217"/>
      </w:pPr>
      <w:rPr>
        <w:rFonts w:hint="default"/>
        <w:lang w:val="en-GB" w:eastAsia="en-GB" w:bidi="en-GB"/>
      </w:rPr>
    </w:lvl>
    <w:lvl w:ilvl="3" w:tplc="8CF8743C">
      <w:numFmt w:val="bullet"/>
      <w:lvlText w:val="•"/>
      <w:lvlJc w:val="left"/>
      <w:pPr>
        <w:ind w:left="2077" w:hanging="217"/>
      </w:pPr>
      <w:rPr>
        <w:rFonts w:hint="default"/>
        <w:lang w:val="en-GB" w:eastAsia="en-GB" w:bidi="en-GB"/>
      </w:rPr>
    </w:lvl>
    <w:lvl w:ilvl="4" w:tplc="C158E21E">
      <w:numFmt w:val="bullet"/>
      <w:lvlText w:val="•"/>
      <w:lvlJc w:val="left"/>
      <w:pPr>
        <w:ind w:left="2670" w:hanging="217"/>
      </w:pPr>
      <w:rPr>
        <w:rFonts w:hint="default"/>
        <w:lang w:val="en-GB" w:eastAsia="en-GB" w:bidi="en-GB"/>
      </w:rPr>
    </w:lvl>
    <w:lvl w:ilvl="5" w:tplc="22B02B34">
      <w:numFmt w:val="bullet"/>
      <w:lvlText w:val="•"/>
      <w:lvlJc w:val="left"/>
      <w:pPr>
        <w:ind w:left="3263" w:hanging="217"/>
      </w:pPr>
      <w:rPr>
        <w:rFonts w:hint="default"/>
        <w:lang w:val="en-GB" w:eastAsia="en-GB" w:bidi="en-GB"/>
      </w:rPr>
    </w:lvl>
    <w:lvl w:ilvl="6" w:tplc="C9D81CAA">
      <w:numFmt w:val="bullet"/>
      <w:lvlText w:val="•"/>
      <w:lvlJc w:val="left"/>
      <w:pPr>
        <w:ind w:left="3855" w:hanging="217"/>
      </w:pPr>
      <w:rPr>
        <w:rFonts w:hint="default"/>
        <w:lang w:val="en-GB" w:eastAsia="en-GB" w:bidi="en-GB"/>
      </w:rPr>
    </w:lvl>
    <w:lvl w:ilvl="7" w:tplc="E5FA2590">
      <w:numFmt w:val="bullet"/>
      <w:lvlText w:val="•"/>
      <w:lvlJc w:val="left"/>
      <w:pPr>
        <w:ind w:left="4448" w:hanging="217"/>
      </w:pPr>
      <w:rPr>
        <w:rFonts w:hint="default"/>
        <w:lang w:val="en-GB" w:eastAsia="en-GB" w:bidi="en-GB"/>
      </w:rPr>
    </w:lvl>
    <w:lvl w:ilvl="8" w:tplc="4BB48AD8">
      <w:numFmt w:val="bullet"/>
      <w:lvlText w:val="•"/>
      <w:lvlJc w:val="left"/>
      <w:pPr>
        <w:ind w:left="5040" w:hanging="217"/>
      </w:pPr>
      <w:rPr>
        <w:rFonts w:hint="default"/>
        <w:lang w:val="en-GB" w:eastAsia="en-GB" w:bidi="en-GB"/>
      </w:rPr>
    </w:lvl>
  </w:abstractNum>
  <w:abstractNum w:abstractNumId="248" w15:restartNumberingAfterBreak="0">
    <w:nsid w:val="166F43A3"/>
    <w:multiLevelType w:val="hybridMultilevel"/>
    <w:tmpl w:val="3342BE60"/>
    <w:lvl w:ilvl="0" w:tplc="E0C6A3DC">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A4A8752C">
      <w:numFmt w:val="bullet"/>
      <w:lvlText w:val="•"/>
      <w:lvlJc w:val="left"/>
      <w:pPr>
        <w:ind w:left="544" w:hanging="217"/>
      </w:pPr>
      <w:rPr>
        <w:rFonts w:hint="default"/>
        <w:lang w:val="en-GB" w:eastAsia="en-GB" w:bidi="en-GB"/>
      </w:rPr>
    </w:lvl>
    <w:lvl w:ilvl="2" w:tplc="9F4CCC04">
      <w:numFmt w:val="bullet"/>
      <w:lvlText w:val="•"/>
      <w:lvlJc w:val="left"/>
      <w:pPr>
        <w:ind w:left="788" w:hanging="217"/>
      </w:pPr>
      <w:rPr>
        <w:rFonts w:hint="default"/>
        <w:lang w:val="en-GB" w:eastAsia="en-GB" w:bidi="en-GB"/>
      </w:rPr>
    </w:lvl>
    <w:lvl w:ilvl="3" w:tplc="639E034A">
      <w:numFmt w:val="bullet"/>
      <w:lvlText w:val="•"/>
      <w:lvlJc w:val="left"/>
      <w:pPr>
        <w:ind w:left="1032" w:hanging="217"/>
      </w:pPr>
      <w:rPr>
        <w:rFonts w:hint="default"/>
        <w:lang w:val="en-GB" w:eastAsia="en-GB" w:bidi="en-GB"/>
      </w:rPr>
    </w:lvl>
    <w:lvl w:ilvl="4" w:tplc="91F4AFBE">
      <w:numFmt w:val="bullet"/>
      <w:lvlText w:val="•"/>
      <w:lvlJc w:val="left"/>
      <w:pPr>
        <w:ind w:left="1276" w:hanging="217"/>
      </w:pPr>
      <w:rPr>
        <w:rFonts w:hint="default"/>
        <w:lang w:val="en-GB" w:eastAsia="en-GB" w:bidi="en-GB"/>
      </w:rPr>
    </w:lvl>
    <w:lvl w:ilvl="5" w:tplc="A2868260">
      <w:numFmt w:val="bullet"/>
      <w:lvlText w:val="•"/>
      <w:lvlJc w:val="left"/>
      <w:pPr>
        <w:ind w:left="1520" w:hanging="217"/>
      </w:pPr>
      <w:rPr>
        <w:rFonts w:hint="default"/>
        <w:lang w:val="en-GB" w:eastAsia="en-GB" w:bidi="en-GB"/>
      </w:rPr>
    </w:lvl>
    <w:lvl w:ilvl="6" w:tplc="125C9DB4">
      <w:numFmt w:val="bullet"/>
      <w:lvlText w:val="•"/>
      <w:lvlJc w:val="left"/>
      <w:pPr>
        <w:ind w:left="1764" w:hanging="217"/>
      </w:pPr>
      <w:rPr>
        <w:rFonts w:hint="default"/>
        <w:lang w:val="en-GB" w:eastAsia="en-GB" w:bidi="en-GB"/>
      </w:rPr>
    </w:lvl>
    <w:lvl w:ilvl="7" w:tplc="9AFA0A70">
      <w:numFmt w:val="bullet"/>
      <w:lvlText w:val="•"/>
      <w:lvlJc w:val="left"/>
      <w:pPr>
        <w:ind w:left="2008" w:hanging="217"/>
      </w:pPr>
      <w:rPr>
        <w:rFonts w:hint="default"/>
        <w:lang w:val="en-GB" w:eastAsia="en-GB" w:bidi="en-GB"/>
      </w:rPr>
    </w:lvl>
    <w:lvl w:ilvl="8" w:tplc="AE00C5B4">
      <w:numFmt w:val="bullet"/>
      <w:lvlText w:val="•"/>
      <w:lvlJc w:val="left"/>
      <w:pPr>
        <w:ind w:left="2252" w:hanging="217"/>
      </w:pPr>
      <w:rPr>
        <w:rFonts w:hint="default"/>
        <w:lang w:val="en-GB" w:eastAsia="en-GB" w:bidi="en-GB"/>
      </w:rPr>
    </w:lvl>
  </w:abstractNum>
  <w:abstractNum w:abstractNumId="249" w15:restartNumberingAfterBreak="0">
    <w:nsid w:val="167C433E"/>
    <w:multiLevelType w:val="hybridMultilevel"/>
    <w:tmpl w:val="AEFEC652"/>
    <w:lvl w:ilvl="0" w:tplc="B222779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3726482">
      <w:numFmt w:val="bullet"/>
      <w:lvlText w:val="•"/>
      <w:lvlJc w:val="left"/>
      <w:pPr>
        <w:ind w:left="439" w:hanging="217"/>
      </w:pPr>
      <w:rPr>
        <w:rFonts w:hint="default"/>
        <w:lang w:val="en-GB" w:eastAsia="en-GB" w:bidi="en-GB"/>
      </w:rPr>
    </w:lvl>
    <w:lvl w:ilvl="2" w:tplc="46905AE6">
      <w:numFmt w:val="bullet"/>
      <w:lvlText w:val="•"/>
      <w:lvlJc w:val="left"/>
      <w:pPr>
        <w:ind w:left="578" w:hanging="217"/>
      </w:pPr>
      <w:rPr>
        <w:rFonts w:hint="default"/>
        <w:lang w:val="en-GB" w:eastAsia="en-GB" w:bidi="en-GB"/>
      </w:rPr>
    </w:lvl>
    <w:lvl w:ilvl="3" w:tplc="8806AD6E">
      <w:numFmt w:val="bullet"/>
      <w:lvlText w:val="•"/>
      <w:lvlJc w:val="left"/>
      <w:pPr>
        <w:ind w:left="717" w:hanging="217"/>
      </w:pPr>
      <w:rPr>
        <w:rFonts w:hint="default"/>
        <w:lang w:val="en-GB" w:eastAsia="en-GB" w:bidi="en-GB"/>
      </w:rPr>
    </w:lvl>
    <w:lvl w:ilvl="4" w:tplc="D56C260E">
      <w:numFmt w:val="bullet"/>
      <w:lvlText w:val="•"/>
      <w:lvlJc w:val="left"/>
      <w:pPr>
        <w:ind w:left="856" w:hanging="217"/>
      </w:pPr>
      <w:rPr>
        <w:rFonts w:hint="default"/>
        <w:lang w:val="en-GB" w:eastAsia="en-GB" w:bidi="en-GB"/>
      </w:rPr>
    </w:lvl>
    <w:lvl w:ilvl="5" w:tplc="51D4877E">
      <w:numFmt w:val="bullet"/>
      <w:lvlText w:val="•"/>
      <w:lvlJc w:val="left"/>
      <w:pPr>
        <w:ind w:left="995" w:hanging="217"/>
      </w:pPr>
      <w:rPr>
        <w:rFonts w:hint="default"/>
        <w:lang w:val="en-GB" w:eastAsia="en-GB" w:bidi="en-GB"/>
      </w:rPr>
    </w:lvl>
    <w:lvl w:ilvl="6" w:tplc="7B247C6E">
      <w:numFmt w:val="bullet"/>
      <w:lvlText w:val="•"/>
      <w:lvlJc w:val="left"/>
      <w:pPr>
        <w:ind w:left="1134" w:hanging="217"/>
      </w:pPr>
      <w:rPr>
        <w:rFonts w:hint="default"/>
        <w:lang w:val="en-GB" w:eastAsia="en-GB" w:bidi="en-GB"/>
      </w:rPr>
    </w:lvl>
    <w:lvl w:ilvl="7" w:tplc="05F86C24">
      <w:numFmt w:val="bullet"/>
      <w:lvlText w:val="•"/>
      <w:lvlJc w:val="left"/>
      <w:pPr>
        <w:ind w:left="1273" w:hanging="217"/>
      </w:pPr>
      <w:rPr>
        <w:rFonts w:hint="default"/>
        <w:lang w:val="en-GB" w:eastAsia="en-GB" w:bidi="en-GB"/>
      </w:rPr>
    </w:lvl>
    <w:lvl w:ilvl="8" w:tplc="0EDED1FC">
      <w:numFmt w:val="bullet"/>
      <w:lvlText w:val="•"/>
      <w:lvlJc w:val="left"/>
      <w:pPr>
        <w:ind w:left="1412" w:hanging="217"/>
      </w:pPr>
      <w:rPr>
        <w:rFonts w:hint="default"/>
        <w:lang w:val="en-GB" w:eastAsia="en-GB" w:bidi="en-GB"/>
      </w:rPr>
    </w:lvl>
  </w:abstractNum>
  <w:abstractNum w:abstractNumId="250" w15:restartNumberingAfterBreak="0">
    <w:nsid w:val="16D478E5"/>
    <w:multiLevelType w:val="hybridMultilevel"/>
    <w:tmpl w:val="6A84A814"/>
    <w:lvl w:ilvl="0" w:tplc="7A9AE5C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AAA7DEC">
      <w:numFmt w:val="bullet"/>
      <w:lvlText w:val="•"/>
      <w:lvlJc w:val="left"/>
      <w:pPr>
        <w:ind w:left="473" w:hanging="217"/>
      </w:pPr>
      <w:rPr>
        <w:rFonts w:hint="default"/>
        <w:lang w:val="en-GB" w:eastAsia="en-GB" w:bidi="en-GB"/>
      </w:rPr>
    </w:lvl>
    <w:lvl w:ilvl="2" w:tplc="52FE3B6C">
      <w:numFmt w:val="bullet"/>
      <w:lvlText w:val="•"/>
      <w:lvlJc w:val="left"/>
      <w:pPr>
        <w:ind w:left="646" w:hanging="217"/>
      </w:pPr>
      <w:rPr>
        <w:rFonts w:hint="default"/>
        <w:lang w:val="en-GB" w:eastAsia="en-GB" w:bidi="en-GB"/>
      </w:rPr>
    </w:lvl>
    <w:lvl w:ilvl="3" w:tplc="FA288F04">
      <w:numFmt w:val="bullet"/>
      <w:lvlText w:val="•"/>
      <w:lvlJc w:val="left"/>
      <w:pPr>
        <w:ind w:left="819" w:hanging="217"/>
      </w:pPr>
      <w:rPr>
        <w:rFonts w:hint="default"/>
        <w:lang w:val="en-GB" w:eastAsia="en-GB" w:bidi="en-GB"/>
      </w:rPr>
    </w:lvl>
    <w:lvl w:ilvl="4" w:tplc="05CCB7EA">
      <w:numFmt w:val="bullet"/>
      <w:lvlText w:val="•"/>
      <w:lvlJc w:val="left"/>
      <w:pPr>
        <w:ind w:left="992" w:hanging="217"/>
      </w:pPr>
      <w:rPr>
        <w:rFonts w:hint="default"/>
        <w:lang w:val="en-GB" w:eastAsia="en-GB" w:bidi="en-GB"/>
      </w:rPr>
    </w:lvl>
    <w:lvl w:ilvl="5" w:tplc="FDFAF43C">
      <w:numFmt w:val="bullet"/>
      <w:lvlText w:val="•"/>
      <w:lvlJc w:val="left"/>
      <w:pPr>
        <w:ind w:left="1165" w:hanging="217"/>
      </w:pPr>
      <w:rPr>
        <w:rFonts w:hint="default"/>
        <w:lang w:val="en-GB" w:eastAsia="en-GB" w:bidi="en-GB"/>
      </w:rPr>
    </w:lvl>
    <w:lvl w:ilvl="6" w:tplc="4D30C122">
      <w:numFmt w:val="bullet"/>
      <w:lvlText w:val="•"/>
      <w:lvlJc w:val="left"/>
      <w:pPr>
        <w:ind w:left="1338" w:hanging="217"/>
      </w:pPr>
      <w:rPr>
        <w:rFonts w:hint="default"/>
        <w:lang w:val="en-GB" w:eastAsia="en-GB" w:bidi="en-GB"/>
      </w:rPr>
    </w:lvl>
    <w:lvl w:ilvl="7" w:tplc="BDBA0FAE">
      <w:numFmt w:val="bullet"/>
      <w:lvlText w:val="•"/>
      <w:lvlJc w:val="left"/>
      <w:pPr>
        <w:ind w:left="1511" w:hanging="217"/>
      </w:pPr>
      <w:rPr>
        <w:rFonts w:hint="default"/>
        <w:lang w:val="en-GB" w:eastAsia="en-GB" w:bidi="en-GB"/>
      </w:rPr>
    </w:lvl>
    <w:lvl w:ilvl="8" w:tplc="DF82125A">
      <w:numFmt w:val="bullet"/>
      <w:lvlText w:val="•"/>
      <w:lvlJc w:val="left"/>
      <w:pPr>
        <w:ind w:left="1684" w:hanging="217"/>
      </w:pPr>
      <w:rPr>
        <w:rFonts w:hint="default"/>
        <w:lang w:val="en-GB" w:eastAsia="en-GB" w:bidi="en-GB"/>
      </w:rPr>
    </w:lvl>
  </w:abstractNum>
  <w:abstractNum w:abstractNumId="251" w15:restartNumberingAfterBreak="0">
    <w:nsid w:val="16F02D23"/>
    <w:multiLevelType w:val="hybridMultilevel"/>
    <w:tmpl w:val="A9B61DE2"/>
    <w:lvl w:ilvl="0" w:tplc="AF62D6B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F5A44F0">
      <w:numFmt w:val="bullet"/>
      <w:lvlText w:val="•"/>
      <w:lvlJc w:val="left"/>
      <w:pPr>
        <w:ind w:left="473" w:hanging="217"/>
      </w:pPr>
      <w:rPr>
        <w:rFonts w:hint="default"/>
        <w:lang w:val="en-GB" w:eastAsia="en-GB" w:bidi="en-GB"/>
      </w:rPr>
    </w:lvl>
    <w:lvl w:ilvl="2" w:tplc="104EC0BA">
      <w:numFmt w:val="bullet"/>
      <w:lvlText w:val="•"/>
      <w:lvlJc w:val="left"/>
      <w:pPr>
        <w:ind w:left="646" w:hanging="217"/>
      </w:pPr>
      <w:rPr>
        <w:rFonts w:hint="default"/>
        <w:lang w:val="en-GB" w:eastAsia="en-GB" w:bidi="en-GB"/>
      </w:rPr>
    </w:lvl>
    <w:lvl w:ilvl="3" w:tplc="595A55A6">
      <w:numFmt w:val="bullet"/>
      <w:lvlText w:val="•"/>
      <w:lvlJc w:val="left"/>
      <w:pPr>
        <w:ind w:left="819" w:hanging="217"/>
      </w:pPr>
      <w:rPr>
        <w:rFonts w:hint="default"/>
        <w:lang w:val="en-GB" w:eastAsia="en-GB" w:bidi="en-GB"/>
      </w:rPr>
    </w:lvl>
    <w:lvl w:ilvl="4" w:tplc="112400FE">
      <w:numFmt w:val="bullet"/>
      <w:lvlText w:val="•"/>
      <w:lvlJc w:val="left"/>
      <w:pPr>
        <w:ind w:left="992" w:hanging="217"/>
      </w:pPr>
      <w:rPr>
        <w:rFonts w:hint="default"/>
        <w:lang w:val="en-GB" w:eastAsia="en-GB" w:bidi="en-GB"/>
      </w:rPr>
    </w:lvl>
    <w:lvl w:ilvl="5" w:tplc="824E5FDC">
      <w:numFmt w:val="bullet"/>
      <w:lvlText w:val="•"/>
      <w:lvlJc w:val="left"/>
      <w:pPr>
        <w:ind w:left="1165" w:hanging="217"/>
      </w:pPr>
      <w:rPr>
        <w:rFonts w:hint="default"/>
        <w:lang w:val="en-GB" w:eastAsia="en-GB" w:bidi="en-GB"/>
      </w:rPr>
    </w:lvl>
    <w:lvl w:ilvl="6" w:tplc="E6CCCE7E">
      <w:numFmt w:val="bullet"/>
      <w:lvlText w:val="•"/>
      <w:lvlJc w:val="left"/>
      <w:pPr>
        <w:ind w:left="1338" w:hanging="217"/>
      </w:pPr>
      <w:rPr>
        <w:rFonts w:hint="default"/>
        <w:lang w:val="en-GB" w:eastAsia="en-GB" w:bidi="en-GB"/>
      </w:rPr>
    </w:lvl>
    <w:lvl w:ilvl="7" w:tplc="44A86C6A">
      <w:numFmt w:val="bullet"/>
      <w:lvlText w:val="•"/>
      <w:lvlJc w:val="left"/>
      <w:pPr>
        <w:ind w:left="1511" w:hanging="217"/>
      </w:pPr>
      <w:rPr>
        <w:rFonts w:hint="default"/>
        <w:lang w:val="en-GB" w:eastAsia="en-GB" w:bidi="en-GB"/>
      </w:rPr>
    </w:lvl>
    <w:lvl w:ilvl="8" w:tplc="BB483928">
      <w:numFmt w:val="bullet"/>
      <w:lvlText w:val="•"/>
      <w:lvlJc w:val="left"/>
      <w:pPr>
        <w:ind w:left="1684" w:hanging="217"/>
      </w:pPr>
      <w:rPr>
        <w:rFonts w:hint="default"/>
        <w:lang w:val="en-GB" w:eastAsia="en-GB" w:bidi="en-GB"/>
      </w:rPr>
    </w:lvl>
  </w:abstractNum>
  <w:abstractNum w:abstractNumId="252" w15:restartNumberingAfterBreak="0">
    <w:nsid w:val="170433F4"/>
    <w:multiLevelType w:val="hybridMultilevel"/>
    <w:tmpl w:val="D0444FDE"/>
    <w:lvl w:ilvl="0" w:tplc="85629A0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F243D1A">
      <w:numFmt w:val="bullet"/>
      <w:lvlText w:val="•"/>
      <w:lvlJc w:val="left"/>
      <w:pPr>
        <w:ind w:left="677" w:hanging="217"/>
      </w:pPr>
      <w:rPr>
        <w:rFonts w:hint="default"/>
        <w:lang w:val="en-GB" w:eastAsia="en-GB" w:bidi="en-GB"/>
      </w:rPr>
    </w:lvl>
    <w:lvl w:ilvl="2" w:tplc="70721D90">
      <w:numFmt w:val="bullet"/>
      <w:lvlText w:val="•"/>
      <w:lvlJc w:val="left"/>
      <w:pPr>
        <w:ind w:left="1054" w:hanging="217"/>
      </w:pPr>
      <w:rPr>
        <w:rFonts w:hint="default"/>
        <w:lang w:val="en-GB" w:eastAsia="en-GB" w:bidi="en-GB"/>
      </w:rPr>
    </w:lvl>
    <w:lvl w:ilvl="3" w:tplc="81C4B9D6">
      <w:numFmt w:val="bullet"/>
      <w:lvlText w:val="•"/>
      <w:lvlJc w:val="left"/>
      <w:pPr>
        <w:ind w:left="1431" w:hanging="217"/>
      </w:pPr>
      <w:rPr>
        <w:rFonts w:hint="default"/>
        <w:lang w:val="en-GB" w:eastAsia="en-GB" w:bidi="en-GB"/>
      </w:rPr>
    </w:lvl>
    <w:lvl w:ilvl="4" w:tplc="F3A0FBC2">
      <w:numFmt w:val="bullet"/>
      <w:lvlText w:val="•"/>
      <w:lvlJc w:val="left"/>
      <w:pPr>
        <w:ind w:left="1808" w:hanging="217"/>
      </w:pPr>
      <w:rPr>
        <w:rFonts w:hint="default"/>
        <w:lang w:val="en-GB" w:eastAsia="en-GB" w:bidi="en-GB"/>
      </w:rPr>
    </w:lvl>
    <w:lvl w:ilvl="5" w:tplc="D5721D0E">
      <w:numFmt w:val="bullet"/>
      <w:lvlText w:val="•"/>
      <w:lvlJc w:val="left"/>
      <w:pPr>
        <w:ind w:left="2186" w:hanging="217"/>
      </w:pPr>
      <w:rPr>
        <w:rFonts w:hint="default"/>
        <w:lang w:val="en-GB" w:eastAsia="en-GB" w:bidi="en-GB"/>
      </w:rPr>
    </w:lvl>
    <w:lvl w:ilvl="6" w:tplc="FE5E0880">
      <w:numFmt w:val="bullet"/>
      <w:lvlText w:val="•"/>
      <w:lvlJc w:val="left"/>
      <w:pPr>
        <w:ind w:left="2563" w:hanging="217"/>
      </w:pPr>
      <w:rPr>
        <w:rFonts w:hint="default"/>
        <w:lang w:val="en-GB" w:eastAsia="en-GB" w:bidi="en-GB"/>
      </w:rPr>
    </w:lvl>
    <w:lvl w:ilvl="7" w:tplc="6A6AD63E">
      <w:numFmt w:val="bullet"/>
      <w:lvlText w:val="•"/>
      <w:lvlJc w:val="left"/>
      <w:pPr>
        <w:ind w:left="2940" w:hanging="217"/>
      </w:pPr>
      <w:rPr>
        <w:rFonts w:hint="default"/>
        <w:lang w:val="en-GB" w:eastAsia="en-GB" w:bidi="en-GB"/>
      </w:rPr>
    </w:lvl>
    <w:lvl w:ilvl="8" w:tplc="819CD07E">
      <w:numFmt w:val="bullet"/>
      <w:lvlText w:val="•"/>
      <w:lvlJc w:val="left"/>
      <w:pPr>
        <w:ind w:left="3317" w:hanging="217"/>
      </w:pPr>
      <w:rPr>
        <w:rFonts w:hint="default"/>
        <w:lang w:val="en-GB" w:eastAsia="en-GB" w:bidi="en-GB"/>
      </w:rPr>
    </w:lvl>
  </w:abstractNum>
  <w:abstractNum w:abstractNumId="253" w15:restartNumberingAfterBreak="0">
    <w:nsid w:val="172A4AFB"/>
    <w:multiLevelType w:val="hybridMultilevel"/>
    <w:tmpl w:val="A264688A"/>
    <w:lvl w:ilvl="0" w:tplc="D5665922">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F986471E">
      <w:numFmt w:val="bullet"/>
      <w:lvlText w:val="•"/>
      <w:lvlJc w:val="left"/>
      <w:pPr>
        <w:ind w:left="473" w:hanging="217"/>
      </w:pPr>
      <w:rPr>
        <w:rFonts w:hint="default"/>
        <w:lang w:val="en-GB" w:eastAsia="en-GB" w:bidi="en-GB"/>
      </w:rPr>
    </w:lvl>
    <w:lvl w:ilvl="2" w:tplc="A880C594">
      <w:numFmt w:val="bullet"/>
      <w:lvlText w:val="•"/>
      <w:lvlJc w:val="left"/>
      <w:pPr>
        <w:ind w:left="646" w:hanging="217"/>
      </w:pPr>
      <w:rPr>
        <w:rFonts w:hint="default"/>
        <w:lang w:val="en-GB" w:eastAsia="en-GB" w:bidi="en-GB"/>
      </w:rPr>
    </w:lvl>
    <w:lvl w:ilvl="3" w:tplc="4588FA04">
      <w:numFmt w:val="bullet"/>
      <w:lvlText w:val="•"/>
      <w:lvlJc w:val="left"/>
      <w:pPr>
        <w:ind w:left="819" w:hanging="217"/>
      </w:pPr>
      <w:rPr>
        <w:rFonts w:hint="default"/>
        <w:lang w:val="en-GB" w:eastAsia="en-GB" w:bidi="en-GB"/>
      </w:rPr>
    </w:lvl>
    <w:lvl w:ilvl="4" w:tplc="1E6A4158">
      <w:numFmt w:val="bullet"/>
      <w:lvlText w:val="•"/>
      <w:lvlJc w:val="left"/>
      <w:pPr>
        <w:ind w:left="992" w:hanging="217"/>
      </w:pPr>
      <w:rPr>
        <w:rFonts w:hint="default"/>
        <w:lang w:val="en-GB" w:eastAsia="en-GB" w:bidi="en-GB"/>
      </w:rPr>
    </w:lvl>
    <w:lvl w:ilvl="5" w:tplc="3CF86E0A">
      <w:numFmt w:val="bullet"/>
      <w:lvlText w:val="•"/>
      <w:lvlJc w:val="left"/>
      <w:pPr>
        <w:ind w:left="1165" w:hanging="217"/>
      </w:pPr>
      <w:rPr>
        <w:rFonts w:hint="default"/>
        <w:lang w:val="en-GB" w:eastAsia="en-GB" w:bidi="en-GB"/>
      </w:rPr>
    </w:lvl>
    <w:lvl w:ilvl="6" w:tplc="178C9F10">
      <w:numFmt w:val="bullet"/>
      <w:lvlText w:val="•"/>
      <w:lvlJc w:val="left"/>
      <w:pPr>
        <w:ind w:left="1338" w:hanging="217"/>
      </w:pPr>
      <w:rPr>
        <w:rFonts w:hint="default"/>
        <w:lang w:val="en-GB" w:eastAsia="en-GB" w:bidi="en-GB"/>
      </w:rPr>
    </w:lvl>
    <w:lvl w:ilvl="7" w:tplc="9E08FFAC">
      <w:numFmt w:val="bullet"/>
      <w:lvlText w:val="•"/>
      <w:lvlJc w:val="left"/>
      <w:pPr>
        <w:ind w:left="1511" w:hanging="217"/>
      </w:pPr>
      <w:rPr>
        <w:rFonts w:hint="default"/>
        <w:lang w:val="en-GB" w:eastAsia="en-GB" w:bidi="en-GB"/>
      </w:rPr>
    </w:lvl>
    <w:lvl w:ilvl="8" w:tplc="0562D166">
      <w:numFmt w:val="bullet"/>
      <w:lvlText w:val="•"/>
      <w:lvlJc w:val="left"/>
      <w:pPr>
        <w:ind w:left="1684" w:hanging="217"/>
      </w:pPr>
      <w:rPr>
        <w:rFonts w:hint="default"/>
        <w:lang w:val="en-GB" w:eastAsia="en-GB" w:bidi="en-GB"/>
      </w:rPr>
    </w:lvl>
  </w:abstractNum>
  <w:abstractNum w:abstractNumId="254" w15:restartNumberingAfterBreak="0">
    <w:nsid w:val="17596B76"/>
    <w:multiLevelType w:val="hybridMultilevel"/>
    <w:tmpl w:val="CDC0D914"/>
    <w:lvl w:ilvl="0" w:tplc="7B4A5E1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8160A8A6">
      <w:numFmt w:val="bullet"/>
      <w:lvlText w:val="•"/>
      <w:lvlJc w:val="left"/>
      <w:pPr>
        <w:ind w:left="473" w:hanging="217"/>
      </w:pPr>
      <w:rPr>
        <w:rFonts w:hint="default"/>
        <w:lang w:val="en-GB" w:eastAsia="en-GB" w:bidi="en-GB"/>
      </w:rPr>
    </w:lvl>
    <w:lvl w:ilvl="2" w:tplc="9B8012F8">
      <w:numFmt w:val="bullet"/>
      <w:lvlText w:val="•"/>
      <w:lvlJc w:val="left"/>
      <w:pPr>
        <w:ind w:left="646" w:hanging="217"/>
      </w:pPr>
      <w:rPr>
        <w:rFonts w:hint="default"/>
        <w:lang w:val="en-GB" w:eastAsia="en-GB" w:bidi="en-GB"/>
      </w:rPr>
    </w:lvl>
    <w:lvl w:ilvl="3" w:tplc="20522CF8">
      <w:numFmt w:val="bullet"/>
      <w:lvlText w:val="•"/>
      <w:lvlJc w:val="left"/>
      <w:pPr>
        <w:ind w:left="819" w:hanging="217"/>
      </w:pPr>
      <w:rPr>
        <w:rFonts w:hint="default"/>
        <w:lang w:val="en-GB" w:eastAsia="en-GB" w:bidi="en-GB"/>
      </w:rPr>
    </w:lvl>
    <w:lvl w:ilvl="4" w:tplc="6F3A699E">
      <w:numFmt w:val="bullet"/>
      <w:lvlText w:val="•"/>
      <w:lvlJc w:val="left"/>
      <w:pPr>
        <w:ind w:left="992" w:hanging="217"/>
      </w:pPr>
      <w:rPr>
        <w:rFonts w:hint="default"/>
        <w:lang w:val="en-GB" w:eastAsia="en-GB" w:bidi="en-GB"/>
      </w:rPr>
    </w:lvl>
    <w:lvl w:ilvl="5" w:tplc="7396AFEC">
      <w:numFmt w:val="bullet"/>
      <w:lvlText w:val="•"/>
      <w:lvlJc w:val="left"/>
      <w:pPr>
        <w:ind w:left="1165" w:hanging="217"/>
      </w:pPr>
      <w:rPr>
        <w:rFonts w:hint="default"/>
        <w:lang w:val="en-GB" w:eastAsia="en-GB" w:bidi="en-GB"/>
      </w:rPr>
    </w:lvl>
    <w:lvl w:ilvl="6" w:tplc="86F289CA">
      <w:numFmt w:val="bullet"/>
      <w:lvlText w:val="•"/>
      <w:lvlJc w:val="left"/>
      <w:pPr>
        <w:ind w:left="1338" w:hanging="217"/>
      </w:pPr>
      <w:rPr>
        <w:rFonts w:hint="default"/>
        <w:lang w:val="en-GB" w:eastAsia="en-GB" w:bidi="en-GB"/>
      </w:rPr>
    </w:lvl>
    <w:lvl w:ilvl="7" w:tplc="9468D46E">
      <w:numFmt w:val="bullet"/>
      <w:lvlText w:val="•"/>
      <w:lvlJc w:val="left"/>
      <w:pPr>
        <w:ind w:left="1511" w:hanging="217"/>
      </w:pPr>
      <w:rPr>
        <w:rFonts w:hint="default"/>
        <w:lang w:val="en-GB" w:eastAsia="en-GB" w:bidi="en-GB"/>
      </w:rPr>
    </w:lvl>
    <w:lvl w:ilvl="8" w:tplc="06EE4140">
      <w:numFmt w:val="bullet"/>
      <w:lvlText w:val="•"/>
      <w:lvlJc w:val="left"/>
      <w:pPr>
        <w:ind w:left="1684" w:hanging="217"/>
      </w:pPr>
      <w:rPr>
        <w:rFonts w:hint="default"/>
        <w:lang w:val="en-GB" w:eastAsia="en-GB" w:bidi="en-GB"/>
      </w:rPr>
    </w:lvl>
  </w:abstractNum>
  <w:abstractNum w:abstractNumId="255" w15:restartNumberingAfterBreak="0">
    <w:nsid w:val="177C1756"/>
    <w:multiLevelType w:val="hybridMultilevel"/>
    <w:tmpl w:val="D716FCDC"/>
    <w:lvl w:ilvl="0" w:tplc="18A4CD2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7D81A3C">
      <w:numFmt w:val="bullet"/>
      <w:lvlText w:val="•"/>
      <w:lvlJc w:val="left"/>
      <w:pPr>
        <w:ind w:left="439" w:hanging="217"/>
      </w:pPr>
      <w:rPr>
        <w:rFonts w:hint="default"/>
        <w:lang w:val="en-GB" w:eastAsia="en-GB" w:bidi="en-GB"/>
      </w:rPr>
    </w:lvl>
    <w:lvl w:ilvl="2" w:tplc="C264037A">
      <w:numFmt w:val="bullet"/>
      <w:lvlText w:val="•"/>
      <w:lvlJc w:val="left"/>
      <w:pPr>
        <w:ind w:left="578" w:hanging="217"/>
      </w:pPr>
      <w:rPr>
        <w:rFonts w:hint="default"/>
        <w:lang w:val="en-GB" w:eastAsia="en-GB" w:bidi="en-GB"/>
      </w:rPr>
    </w:lvl>
    <w:lvl w:ilvl="3" w:tplc="9B28B8DE">
      <w:numFmt w:val="bullet"/>
      <w:lvlText w:val="•"/>
      <w:lvlJc w:val="left"/>
      <w:pPr>
        <w:ind w:left="717" w:hanging="217"/>
      </w:pPr>
      <w:rPr>
        <w:rFonts w:hint="default"/>
        <w:lang w:val="en-GB" w:eastAsia="en-GB" w:bidi="en-GB"/>
      </w:rPr>
    </w:lvl>
    <w:lvl w:ilvl="4" w:tplc="BEE4CD90">
      <w:numFmt w:val="bullet"/>
      <w:lvlText w:val="•"/>
      <w:lvlJc w:val="left"/>
      <w:pPr>
        <w:ind w:left="856" w:hanging="217"/>
      </w:pPr>
      <w:rPr>
        <w:rFonts w:hint="default"/>
        <w:lang w:val="en-GB" w:eastAsia="en-GB" w:bidi="en-GB"/>
      </w:rPr>
    </w:lvl>
    <w:lvl w:ilvl="5" w:tplc="A934A32C">
      <w:numFmt w:val="bullet"/>
      <w:lvlText w:val="•"/>
      <w:lvlJc w:val="left"/>
      <w:pPr>
        <w:ind w:left="995" w:hanging="217"/>
      </w:pPr>
      <w:rPr>
        <w:rFonts w:hint="default"/>
        <w:lang w:val="en-GB" w:eastAsia="en-GB" w:bidi="en-GB"/>
      </w:rPr>
    </w:lvl>
    <w:lvl w:ilvl="6" w:tplc="647C5E3E">
      <w:numFmt w:val="bullet"/>
      <w:lvlText w:val="•"/>
      <w:lvlJc w:val="left"/>
      <w:pPr>
        <w:ind w:left="1134" w:hanging="217"/>
      </w:pPr>
      <w:rPr>
        <w:rFonts w:hint="default"/>
        <w:lang w:val="en-GB" w:eastAsia="en-GB" w:bidi="en-GB"/>
      </w:rPr>
    </w:lvl>
    <w:lvl w:ilvl="7" w:tplc="E51E54C4">
      <w:numFmt w:val="bullet"/>
      <w:lvlText w:val="•"/>
      <w:lvlJc w:val="left"/>
      <w:pPr>
        <w:ind w:left="1273" w:hanging="217"/>
      </w:pPr>
      <w:rPr>
        <w:rFonts w:hint="default"/>
        <w:lang w:val="en-GB" w:eastAsia="en-GB" w:bidi="en-GB"/>
      </w:rPr>
    </w:lvl>
    <w:lvl w:ilvl="8" w:tplc="36CEF8FC">
      <w:numFmt w:val="bullet"/>
      <w:lvlText w:val="•"/>
      <w:lvlJc w:val="left"/>
      <w:pPr>
        <w:ind w:left="1412" w:hanging="217"/>
      </w:pPr>
      <w:rPr>
        <w:rFonts w:hint="default"/>
        <w:lang w:val="en-GB" w:eastAsia="en-GB" w:bidi="en-GB"/>
      </w:rPr>
    </w:lvl>
  </w:abstractNum>
  <w:abstractNum w:abstractNumId="256" w15:restartNumberingAfterBreak="0">
    <w:nsid w:val="178F7637"/>
    <w:multiLevelType w:val="hybridMultilevel"/>
    <w:tmpl w:val="BDB698AA"/>
    <w:lvl w:ilvl="0" w:tplc="3DB6FD5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BE4412A">
      <w:numFmt w:val="bullet"/>
      <w:lvlText w:val="•"/>
      <w:lvlJc w:val="left"/>
      <w:pPr>
        <w:ind w:left="473" w:hanging="217"/>
      </w:pPr>
      <w:rPr>
        <w:rFonts w:hint="default"/>
        <w:lang w:val="en-GB" w:eastAsia="en-GB" w:bidi="en-GB"/>
      </w:rPr>
    </w:lvl>
    <w:lvl w:ilvl="2" w:tplc="3F1CA29A">
      <w:numFmt w:val="bullet"/>
      <w:lvlText w:val="•"/>
      <w:lvlJc w:val="left"/>
      <w:pPr>
        <w:ind w:left="646" w:hanging="217"/>
      </w:pPr>
      <w:rPr>
        <w:rFonts w:hint="default"/>
        <w:lang w:val="en-GB" w:eastAsia="en-GB" w:bidi="en-GB"/>
      </w:rPr>
    </w:lvl>
    <w:lvl w:ilvl="3" w:tplc="692AD6DE">
      <w:numFmt w:val="bullet"/>
      <w:lvlText w:val="•"/>
      <w:lvlJc w:val="left"/>
      <w:pPr>
        <w:ind w:left="819" w:hanging="217"/>
      </w:pPr>
      <w:rPr>
        <w:rFonts w:hint="default"/>
        <w:lang w:val="en-GB" w:eastAsia="en-GB" w:bidi="en-GB"/>
      </w:rPr>
    </w:lvl>
    <w:lvl w:ilvl="4" w:tplc="86B2C2F8">
      <w:numFmt w:val="bullet"/>
      <w:lvlText w:val="•"/>
      <w:lvlJc w:val="left"/>
      <w:pPr>
        <w:ind w:left="992" w:hanging="217"/>
      </w:pPr>
      <w:rPr>
        <w:rFonts w:hint="default"/>
        <w:lang w:val="en-GB" w:eastAsia="en-GB" w:bidi="en-GB"/>
      </w:rPr>
    </w:lvl>
    <w:lvl w:ilvl="5" w:tplc="420C4B88">
      <w:numFmt w:val="bullet"/>
      <w:lvlText w:val="•"/>
      <w:lvlJc w:val="left"/>
      <w:pPr>
        <w:ind w:left="1165" w:hanging="217"/>
      </w:pPr>
      <w:rPr>
        <w:rFonts w:hint="default"/>
        <w:lang w:val="en-GB" w:eastAsia="en-GB" w:bidi="en-GB"/>
      </w:rPr>
    </w:lvl>
    <w:lvl w:ilvl="6" w:tplc="1424ECD0">
      <w:numFmt w:val="bullet"/>
      <w:lvlText w:val="•"/>
      <w:lvlJc w:val="left"/>
      <w:pPr>
        <w:ind w:left="1338" w:hanging="217"/>
      </w:pPr>
      <w:rPr>
        <w:rFonts w:hint="default"/>
        <w:lang w:val="en-GB" w:eastAsia="en-GB" w:bidi="en-GB"/>
      </w:rPr>
    </w:lvl>
    <w:lvl w:ilvl="7" w:tplc="81B45940">
      <w:numFmt w:val="bullet"/>
      <w:lvlText w:val="•"/>
      <w:lvlJc w:val="left"/>
      <w:pPr>
        <w:ind w:left="1511" w:hanging="217"/>
      </w:pPr>
      <w:rPr>
        <w:rFonts w:hint="default"/>
        <w:lang w:val="en-GB" w:eastAsia="en-GB" w:bidi="en-GB"/>
      </w:rPr>
    </w:lvl>
    <w:lvl w:ilvl="8" w:tplc="5394B900">
      <w:numFmt w:val="bullet"/>
      <w:lvlText w:val="•"/>
      <w:lvlJc w:val="left"/>
      <w:pPr>
        <w:ind w:left="1684" w:hanging="217"/>
      </w:pPr>
      <w:rPr>
        <w:rFonts w:hint="default"/>
        <w:lang w:val="en-GB" w:eastAsia="en-GB" w:bidi="en-GB"/>
      </w:rPr>
    </w:lvl>
  </w:abstractNum>
  <w:abstractNum w:abstractNumId="257" w15:restartNumberingAfterBreak="0">
    <w:nsid w:val="17997DDA"/>
    <w:multiLevelType w:val="hybridMultilevel"/>
    <w:tmpl w:val="BAB8A090"/>
    <w:lvl w:ilvl="0" w:tplc="611839C2">
      <w:numFmt w:val="bullet"/>
      <w:lvlText w:val="•"/>
      <w:lvlJc w:val="left"/>
      <w:pPr>
        <w:ind w:left="306" w:hanging="217"/>
      </w:pPr>
      <w:rPr>
        <w:rFonts w:ascii="Arial" w:eastAsia="Arial" w:hAnsi="Arial" w:cs="Arial" w:hint="default"/>
        <w:color w:val="231F20"/>
        <w:spacing w:val="-1"/>
        <w:w w:val="100"/>
        <w:sz w:val="18"/>
        <w:szCs w:val="18"/>
        <w:lang w:val="en-GB" w:eastAsia="en-GB" w:bidi="en-GB"/>
      </w:rPr>
    </w:lvl>
    <w:lvl w:ilvl="1" w:tplc="2C58853A">
      <w:numFmt w:val="bullet"/>
      <w:lvlText w:val="•"/>
      <w:lvlJc w:val="left"/>
      <w:pPr>
        <w:ind w:left="444" w:hanging="217"/>
      </w:pPr>
      <w:rPr>
        <w:rFonts w:hint="default"/>
        <w:lang w:val="en-GB" w:eastAsia="en-GB" w:bidi="en-GB"/>
      </w:rPr>
    </w:lvl>
    <w:lvl w:ilvl="2" w:tplc="A2BA2834">
      <w:numFmt w:val="bullet"/>
      <w:lvlText w:val="•"/>
      <w:lvlJc w:val="left"/>
      <w:pPr>
        <w:ind w:left="589" w:hanging="217"/>
      </w:pPr>
      <w:rPr>
        <w:rFonts w:hint="default"/>
        <w:lang w:val="en-GB" w:eastAsia="en-GB" w:bidi="en-GB"/>
      </w:rPr>
    </w:lvl>
    <w:lvl w:ilvl="3" w:tplc="B83ECB86">
      <w:numFmt w:val="bullet"/>
      <w:lvlText w:val="•"/>
      <w:lvlJc w:val="left"/>
      <w:pPr>
        <w:ind w:left="734" w:hanging="217"/>
      </w:pPr>
      <w:rPr>
        <w:rFonts w:hint="default"/>
        <w:lang w:val="en-GB" w:eastAsia="en-GB" w:bidi="en-GB"/>
      </w:rPr>
    </w:lvl>
    <w:lvl w:ilvl="4" w:tplc="5CE64250">
      <w:numFmt w:val="bullet"/>
      <w:lvlText w:val="•"/>
      <w:lvlJc w:val="left"/>
      <w:pPr>
        <w:ind w:left="878" w:hanging="217"/>
      </w:pPr>
      <w:rPr>
        <w:rFonts w:hint="default"/>
        <w:lang w:val="en-GB" w:eastAsia="en-GB" w:bidi="en-GB"/>
      </w:rPr>
    </w:lvl>
    <w:lvl w:ilvl="5" w:tplc="50621B5E">
      <w:numFmt w:val="bullet"/>
      <w:lvlText w:val="•"/>
      <w:lvlJc w:val="left"/>
      <w:pPr>
        <w:ind w:left="1023" w:hanging="217"/>
      </w:pPr>
      <w:rPr>
        <w:rFonts w:hint="default"/>
        <w:lang w:val="en-GB" w:eastAsia="en-GB" w:bidi="en-GB"/>
      </w:rPr>
    </w:lvl>
    <w:lvl w:ilvl="6" w:tplc="3662A872">
      <w:numFmt w:val="bullet"/>
      <w:lvlText w:val="•"/>
      <w:lvlJc w:val="left"/>
      <w:pPr>
        <w:ind w:left="1168" w:hanging="217"/>
      </w:pPr>
      <w:rPr>
        <w:rFonts w:hint="default"/>
        <w:lang w:val="en-GB" w:eastAsia="en-GB" w:bidi="en-GB"/>
      </w:rPr>
    </w:lvl>
    <w:lvl w:ilvl="7" w:tplc="C8DACBD4">
      <w:numFmt w:val="bullet"/>
      <w:lvlText w:val="•"/>
      <w:lvlJc w:val="left"/>
      <w:pPr>
        <w:ind w:left="1312" w:hanging="217"/>
      </w:pPr>
      <w:rPr>
        <w:rFonts w:hint="default"/>
        <w:lang w:val="en-GB" w:eastAsia="en-GB" w:bidi="en-GB"/>
      </w:rPr>
    </w:lvl>
    <w:lvl w:ilvl="8" w:tplc="1B5AC2F4">
      <w:numFmt w:val="bullet"/>
      <w:lvlText w:val="•"/>
      <w:lvlJc w:val="left"/>
      <w:pPr>
        <w:ind w:left="1457" w:hanging="217"/>
      </w:pPr>
      <w:rPr>
        <w:rFonts w:hint="default"/>
        <w:lang w:val="en-GB" w:eastAsia="en-GB" w:bidi="en-GB"/>
      </w:rPr>
    </w:lvl>
  </w:abstractNum>
  <w:abstractNum w:abstractNumId="258" w15:restartNumberingAfterBreak="0">
    <w:nsid w:val="17A12246"/>
    <w:multiLevelType w:val="hybridMultilevel"/>
    <w:tmpl w:val="223E2E94"/>
    <w:lvl w:ilvl="0" w:tplc="37F06C9E">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604E07A4">
      <w:numFmt w:val="bullet"/>
      <w:lvlText w:val="•"/>
      <w:lvlJc w:val="left"/>
      <w:pPr>
        <w:ind w:left="892" w:hanging="217"/>
      </w:pPr>
      <w:rPr>
        <w:rFonts w:hint="default"/>
        <w:lang w:val="en-GB" w:eastAsia="en-GB" w:bidi="en-GB"/>
      </w:rPr>
    </w:lvl>
    <w:lvl w:ilvl="2" w:tplc="98F2F89A">
      <w:numFmt w:val="bullet"/>
      <w:lvlText w:val="•"/>
      <w:lvlJc w:val="left"/>
      <w:pPr>
        <w:ind w:left="1485" w:hanging="217"/>
      </w:pPr>
      <w:rPr>
        <w:rFonts w:hint="default"/>
        <w:lang w:val="en-GB" w:eastAsia="en-GB" w:bidi="en-GB"/>
      </w:rPr>
    </w:lvl>
    <w:lvl w:ilvl="3" w:tplc="F404F6D8">
      <w:numFmt w:val="bullet"/>
      <w:lvlText w:val="•"/>
      <w:lvlJc w:val="left"/>
      <w:pPr>
        <w:ind w:left="2077" w:hanging="217"/>
      </w:pPr>
      <w:rPr>
        <w:rFonts w:hint="default"/>
        <w:lang w:val="en-GB" w:eastAsia="en-GB" w:bidi="en-GB"/>
      </w:rPr>
    </w:lvl>
    <w:lvl w:ilvl="4" w:tplc="688C4DF4">
      <w:numFmt w:val="bullet"/>
      <w:lvlText w:val="•"/>
      <w:lvlJc w:val="left"/>
      <w:pPr>
        <w:ind w:left="2670" w:hanging="217"/>
      </w:pPr>
      <w:rPr>
        <w:rFonts w:hint="default"/>
        <w:lang w:val="en-GB" w:eastAsia="en-GB" w:bidi="en-GB"/>
      </w:rPr>
    </w:lvl>
    <w:lvl w:ilvl="5" w:tplc="E1F2962A">
      <w:numFmt w:val="bullet"/>
      <w:lvlText w:val="•"/>
      <w:lvlJc w:val="left"/>
      <w:pPr>
        <w:ind w:left="3263" w:hanging="217"/>
      </w:pPr>
      <w:rPr>
        <w:rFonts w:hint="default"/>
        <w:lang w:val="en-GB" w:eastAsia="en-GB" w:bidi="en-GB"/>
      </w:rPr>
    </w:lvl>
    <w:lvl w:ilvl="6" w:tplc="5AA4C1B2">
      <w:numFmt w:val="bullet"/>
      <w:lvlText w:val="•"/>
      <w:lvlJc w:val="left"/>
      <w:pPr>
        <w:ind w:left="3855" w:hanging="217"/>
      </w:pPr>
      <w:rPr>
        <w:rFonts w:hint="default"/>
        <w:lang w:val="en-GB" w:eastAsia="en-GB" w:bidi="en-GB"/>
      </w:rPr>
    </w:lvl>
    <w:lvl w:ilvl="7" w:tplc="60503560">
      <w:numFmt w:val="bullet"/>
      <w:lvlText w:val="•"/>
      <w:lvlJc w:val="left"/>
      <w:pPr>
        <w:ind w:left="4448" w:hanging="217"/>
      </w:pPr>
      <w:rPr>
        <w:rFonts w:hint="default"/>
        <w:lang w:val="en-GB" w:eastAsia="en-GB" w:bidi="en-GB"/>
      </w:rPr>
    </w:lvl>
    <w:lvl w:ilvl="8" w:tplc="FFCCF1BA">
      <w:numFmt w:val="bullet"/>
      <w:lvlText w:val="•"/>
      <w:lvlJc w:val="left"/>
      <w:pPr>
        <w:ind w:left="5040" w:hanging="217"/>
      </w:pPr>
      <w:rPr>
        <w:rFonts w:hint="default"/>
        <w:lang w:val="en-GB" w:eastAsia="en-GB" w:bidi="en-GB"/>
      </w:rPr>
    </w:lvl>
  </w:abstractNum>
  <w:abstractNum w:abstractNumId="259" w15:restartNumberingAfterBreak="0">
    <w:nsid w:val="17A42D20"/>
    <w:multiLevelType w:val="hybridMultilevel"/>
    <w:tmpl w:val="B950B03C"/>
    <w:lvl w:ilvl="0" w:tplc="8084B57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AC6B86C">
      <w:numFmt w:val="bullet"/>
      <w:lvlText w:val="•"/>
      <w:lvlJc w:val="left"/>
      <w:pPr>
        <w:ind w:left="473" w:hanging="217"/>
      </w:pPr>
      <w:rPr>
        <w:rFonts w:hint="default"/>
        <w:lang w:val="en-GB" w:eastAsia="en-GB" w:bidi="en-GB"/>
      </w:rPr>
    </w:lvl>
    <w:lvl w:ilvl="2" w:tplc="A0602C90">
      <w:numFmt w:val="bullet"/>
      <w:lvlText w:val="•"/>
      <w:lvlJc w:val="left"/>
      <w:pPr>
        <w:ind w:left="646" w:hanging="217"/>
      </w:pPr>
      <w:rPr>
        <w:rFonts w:hint="default"/>
        <w:lang w:val="en-GB" w:eastAsia="en-GB" w:bidi="en-GB"/>
      </w:rPr>
    </w:lvl>
    <w:lvl w:ilvl="3" w:tplc="D56040FA">
      <w:numFmt w:val="bullet"/>
      <w:lvlText w:val="•"/>
      <w:lvlJc w:val="left"/>
      <w:pPr>
        <w:ind w:left="819" w:hanging="217"/>
      </w:pPr>
      <w:rPr>
        <w:rFonts w:hint="default"/>
        <w:lang w:val="en-GB" w:eastAsia="en-GB" w:bidi="en-GB"/>
      </w:rPr>
    </w:lvl>
    <w:lvl w:ilvl="4" w:tplc="420C1780">
      <w:numFmt w:val="bullet"/>
      <w:lvlText w:val="•"/>
      <w:lvlJc w:val="left"/>
      <w:pPr>
        <w:ind w:left="992" w:hanging="217"/>
      </w:pPr>
      <w:rPr>
        <w:rFonts w:hint="default"/>
        <w:lang w:val="en-GB" w:eastAsia="en-GB" w:bidi="en-GB"/>
      </w:rPr>
    </w:lvl>
    <w:lvl w:ilvl="5" w:tplc="F41EA69A">
      <w:numFmt w:val="bullet"/>
      <w:lvlText w:val="•"/>
      <w:lvlJc w:val="left"/>
      <w:pPr>
        <w:ind w:left="1165" w:hanging="217"/>
      </w:pPr>
      <w:rPr>
        <w:rFonts w:hint="default"/>
        <w:lang w:val="en-GB" w:eastAsia="en-GB" w:bidi="en-GB"/>
      </w:rPr>
    </w:lvl>
    <w:lvl w:ilvl="6" w:tplc="12EAFA5A">
      <w:numFmt w:val="bullet"/>
      <w:lvlText w:val="•"/>
      <w:lvlJc w:val="left"/>
      <w:pPr>
        <w:ind w:left="1338" w:hanging="217"/>
      </w:pPr>
      <w:rPr>
        <w:rFonts w:hint="default"/>
        <w:lang w:val="en-GB" w:eastAsia="en-GB" w:bidi="en-GB"/>
      </w:rPr>
    </w:lvl>
    <w:lvl w:ilvl="7" w:tplc="F48A0A40">
      <w:numFmt w:val="bullet"/>
      <w:lvlText w:val="•"/>
      <w:lvlJc w:val="left"/>
      <w:pPr>
        <w:ind w:left="1511" w:hanging="217"/>
      </w:pPr>
      <w:rPr>
        <w:rFonts w:hint="default"/>
        <w:lang w:val="en-GB" w:eastAsia="en-GB" w:bidi="en-GB"/>
      </w:rPr>
    </w:lvl>
    <w:lvl w:ilvl="8" w:tplc="BE28B38E">
      <w:numFmt w:val="bullet"/>
      <w:lvlText w:val="•"/>
      <w:lvlJc w:val="left"/>
      <w:pPr>
        <w:ind w:left="1684" w:hanging="217"/>
      </w:pPr>
      <w:rPr>
        <w:rFonts w:hint="default"/>
        <w:lang w:val="en-GB" w:eastAsia="en-GB" w:bidi="en-GB"/>
      </w:rPr>
    </w:lvl>
  </w:abstractNum>
  <w:abstractNum w:abstractNumId="260" w15:restartNumberingAfterBreak="0">
    <w:nsid w:val="17C354C1"/>
    <w:multiLevelType w:val="hybridMultilevel"/>
    <w:tmpl w:val="6D4EE5BE"/>
    <w:lvl w:ilvl="0" w:tplc="3AB0018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668BCCC">
      <w:numFmt w:val="bullet"/>
      <w:lvlText w:val="•"/>
      <w:lvlJc w:val="left"/>
      <w:pPr>
        <w:ind w:left="439" w:hanging="217"/>
      </w:pPr>
      <w:rPr>
        <w:rFonts w:hint="default"/>
        <w:lang w:val="en-GB" w:eastAsia="en-GB" w:bidi="en-GB"/>
      </w:rPr>
    </w:lvl>
    <w:lvl w:ilvl="2" w:tplc="690A297A">
      <w:numFmt w:val="bullet"/>
      <w:lvlText w:val="•"/>
      <w:lvlJc w:val="left"/>
      <w:pPr>
        <w:ind w:left="578" w:hanging="217"/>
      </w:pPr>
      <w:rPr>
        <w:rFonts w:hint="default"/>
        <w:lang w:val="en-GB" w:eastAsia="en-GB" w:bidi="en-GB"/>
      </w:rPr>
    </w:lvl>
    <w:lvl w:ilvl="3" w:tplc="96F25998">
      <w:numFmt w:val="bullet"/>
      <w:lvlText w:val="•"/>
      <w:lvlJc w:val="left"/>
      <w:pPr>
        <w:ind w:left="717" w:hanging="217"/>
      </w:pPr>
      <w:rPr>
        <w:rFonts w:hint="default"/>
        <w:lang w:val="en-GB" w:eastAsia="en-GB" w:bidi="en-GB"/>
      </w:rPr>
    </w:lvl>
    <w:lvl w:ilvl="4" w:tplc="8A38E68C">
      <w:numFmt w:val="bullet"/>
      <w:lvlText w:val="•"/>
      <w:lvlJc w:val="left"/>
      <w:pPr>
        <w:ind w:left="856" w:hanging="217"/>
      </w:pPr>
      <w:rPr>
        <w:rFonts w:hint="default"/>
        <w:lang w:val="en-GB" w:eastAsia="en-GB" w:bidi="en-GB"/>
      </w:rPr>
    </w:lvl>
    <w:lvl w:ilvl="5" w:tplc="18A85AE8">
      <w:numFmt w:val="bullet"/>
      <w:lvlText w:val="•"/>
      <w:lvlJc w:val="left"/>
      <w:pPr>
        <w:ind w:left="995" w:hanging="217"/>
      </w:pPr>
      <w:rPr>
        <w:rFonts w:hint="default"/>
        <w:lang w:val="en-GB" w:eastAsia="en-GB" w:bidi="en-GB"/>
      </w:rPr>
    </w:lvl>
    <w:lvl w:ilvl="6" w:tplc="E7EE296C">
      <w:numFmt w:val="bullet"/>
      <w:lvlText w:val="•"/>
      <w:lvlJc w:val="left"/>
      <w:pPr>
        <w:ind w:left="1134" w:hanging="217"/>
      </w:pPr>
      <w:rPr>
        <w:rFonts w:hint="default"/>
        <w:lang w:val="en-GB" w:eastAsia="en-GB" w:bidi="en-GB"/>
      </w:rPr>
    </w:lvl>
    <w:lvl w:ilvl="7" w:tplc="8AC8A1BC">
      <w:numFmt w:val="bullet"/>
      <w:lvlText w:val="•"/>
      <w:lvlJc w:val="left"/>
      <w:pPr>
        <w:ind w:left="1273" w:hanging="217"/>
      </w:pPr>
      <w:rPr>
        <w:rFonts w:hint="default"/>
        <w:lang w:val="en-GB" w:eastAsia="en-GB" w:bidi="en-GB"/>
      </w:rPr>
    </w:lvl>
    <w:lvl w:ilvl="8" w:tplc="56C08F1E">
      <w:numFmt w:val="bullet"/>
      <w:lvlText w:val="•"/>
      <w:lvlJc w:val="left"/>
      <w:pPr>
        <w:ind w:left="1412" w:hanging="217"/>
      </w:pPr>
      <w:rPr>
        <w:rFonts w:hint="default"/>
        <w:lang w:val="en-GB" w:eastAsia="en-GB" w:bidi="en-GB"/>
      </w:rPr>
    </w:lvl>
  </w:abstractNum>
  <w:abstractNum w:abstractNumId="261" w15:restartNumberingAfterBreak="0">
    <w:nsid w:val="17CB727D"/>
    <w:multiLevelType w:val="hybridMultilevel"/>
    <w:tmpl w:val="0A5CEBCA"/>
    <w:lvl w:ilvl="0" w:tplc="25E2C6CE">
      <w:numFmt w:val="bullet"/>
      <w:lvlText w:val="•"/>
      <w:lvlJc w:val="left"/>
      <w:pPr>
        <w:ind w:left="303" w:hanging="217"/>
      </w:pPr>
      <w:rPr>
        <w:rFonts w:ascii="Arial" w:eastAsia="Arial" w:hAnsi="Arial" w:cs="Arial" w:hint="default"/>
        <w:color w:val="231F20"/>
        <w:w w:val="102"/>
        <w:sz w:val="17"/>
        <w:szCs w:val="17"/>
        <w:lang w:val="en-GB" w:eastAsia="en-GB" w:bidi="en-GB"/>
      </w:rPr>
    </w:lvl>
    <w:lvl w:ilvl="1" w:tplc="70BC5C10">
      <w:numFmt w:val="bullet"/>
      <w:lvlText w:val="•"/>
      <w:lvlJc w:val="left"/>
      <w:pPr>
        <w:ind w:left="439" w:hanging="217"/>
      </w:pPr>
      <w:rPr>
        <w:rFonts w:hint="default"/>
        <w:lang w:val="en-GB" w:eastAsia="en-GB" w:bidi="en-GB"/>
      </w:rPr>
    </w:lvl>
    <w:lvl w:ilvl="2" w:tplc="29DE6E44">
      <w:numFmt w:val="bullet"/>
      <w:lvlText w:val="•"/>
      <w:lvlJc w:val="left"/>
      <w:pPr>
        <w:ind w:left="578" w:hanging="217"/>
      </w:pPr>
      <w:rPr>
        <w:rFonts w:hint="default"/>
        <w:lang w:val="en-GB" w:eastAsia="en-GB" w:bidi="en-GB"/>
      </w:rPr>
    </w:lvl>
    <w:lvl w:ilvl="3" w:tplc="820EF2B4">
      <w:numFmt w:val="bullet"/>
      <w:lvlText w:val="•"/>
      <w:lvlJc w:val="left"/>
      <w:pPr>
        <w:ind w:left="717" w:hanging="217"/>
      </w:pPr>
      <w:rPr>
        <w:rFonts w:hint="default"/>
        <w:lang w:val="en-GB" w:eastAsia="en-GB" w:bidi="en-GB"/>
      </w:rPr>
    </w:lvl>
    <w:lvl w:ilvl="4" w:tplc="A4FE483A">
      <w:numFmt w:val="bullet"/>
      <w:lvlText w:val="•"/>
      <w:lvlJc w:val="left"/>
      <w:pPr>
        <w:ind w:left="856" w:hanging="217"/>
      </w:pPr>
      <w:rPr>
        <w:rFonts w:hint="default"/>
        <w:lang w:val="en-GB" w:eastAsia="en-GB" w:bidi="en-GB"/>
      </w:rPr>
    </w:lvl>
    <w:lvl w:ilvl="5" w:tplc="409A9F94">
      <w:numFmt w:val="bullet"/>
      <w:lvlText w:val="•"/>
      <w:lvlJc w:val="left"/>
      <w:pPr>
        <w:ind w:left="995" w:hanging="217"/>
      </w:pPr>
      <w:rPr>
        <w:rFonts w:hint="default"/>
        <w:lang w:val="en-GB" w:eastAsia="en-GB" w:bidi="en-GB"/>
      </w:rPr>
    </w:lvl>
    <w:lvl w:ilvl="6" w:tplc="90D008D8">
      <w:numFmt w:val="bullet"/>
      <w:lvlText w:val="•"/>
      <w:lvlJc w:val="left"/>
      <w:pPr>
        <w:ind w:left="1134" w:hanging="217"/>
      </w:pPr>
      <w:rPr>
        <w:rFonts w:hint="default"/>
        <w:lang w:val="en-GB" w:eastAsia="en-GB" w:bidi="en-GB"/>
      </w:rPr>
    </w:lvl>
    <w:lvl w:ilvl="7" w:tplc="BA421322">
      <w:numFmt w:val="bullet"/>
      <w:lvlText w:val="•"/>
      <w:lvlJc w:val="left"/>
      <w:pPr>
        <w:ind w:left="1273" w:hanging="217"/>
      </w:pPr>
      <w:rPr>
        <w:rFonts w:hint="default"/>
        <w:lang w:val="en-GB" w:eastAsia="en-GB" w:bidi="en-GB"/>
      </w:rPr>
    </w:lvl>
    <w:lvl w:ilvl="8" w:tplc="7F24EC46">
      <w:numFmt w:val="bullet"/>
      <w:lvlText w:val="•"/>
      <w:lvlJc w:val="left"/>
      <w:pPr>
        <w:ind w:left="1412" w:hanging="217"/>
      </w:pPr>
      <w:rPr>
        <w:rFonts w:hint="default"/>
        <w:lang w:val="en-GB" w:eastAsia="en-GB" w:bidi="en-GB"/>
      </w:rPr>
    </w:lvl>
  </w:abstractNum>
  <w:abstractNum w:abstractNumId="262" w15:restartNumberingAfterBreak="0">
    <w:nsid w:val="17D32F0D"/>
    <w:multiLevelType w:val="hybridMultilevel"/>
    <w:tmpl w:val="640A5FEC"/>
    <w:lvl w:ilvl="0" w:tplc="490E2E8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DEC55FE">
      <w:numFmt w:val="bullet"/>
      <w:lvlText w:val="•"/>
      <w:lvlJc w:val="left"/>
      <w:pPr>
        <w:ind w:left="439" w:hanging="217"/>
      </w:pPr>
      <w:rPr>
        <w:rFonts w:hint="default"/>
        <w:lang w:val="en-GB" w:eastAsia="en-GB" w:bidi="en-GB"/>
      </w:rPr>
    </w:lvl>
    <w:lvl w:ilvl="2" w:tplc="5678CB36">
      <w:numFmt w:val="bullet"/>
      <w:lvlText w:val="•"/>
      <w:lvlJc w:val="left"/>
      <w:pPr>
        <w:ind w:left="578" w:hanging="217"/>
      </w:pPr>
      <w:rPr>
        <w:rFonts w:hint="default"/>
        <w:lang w:val="en-GB" w:eastAsia="en-GB" w:bidi="en-GB"/>
      </w:rPr>
    </w:lvl>
    <w:lvl w:ilvl="3" w:tplc="934C6C36">
      <w:numFmt w:val="bullet"/>
      <w:lvlText w:val="•"/>
      <w:lvlJc w:val="left"/>
      <w:pPr>
        <w:ind w:left="717" w:hanging="217"/>
      </w:pPr>
      <w:rPr>
        <w:rFonts w:hint="default"/>
        <w:lang w:val="en-GB" w:eastAsia="en-GB" w:bidi="en-GB"/>
      </w:rPr>
    </w:lvl>
    <w:lvl w:ilvl="4" w:tplc="AC2EE4D4">
      <w:numFmt w:val="bullet"/>
      <w:lvlText w:val="•"/>
      <w:lvlJc w:val="left"/>
      <w:pPr>
        <w:ind w:left="856" w:hanging="217"/>
      </w:pPr>
      <w:rPr>
        <w:rFonts w:hint="default"/>
        <w:lang w:val="en-GB" w:eastAsia="en-GB" w:bidi="en-GB"/>
      </w:rPr>
    </w:lvl>
    <w:lvl w:ilvl="5" w:tplc="419C76BE">
      <w:numFmt w:val="bullet"/>
      <w:lvlText w:val="•"/>
      <w:lvlJc w:val="left"/>
      <w:pPr>
        <w:ind w:left="995" w:hanging="217"/>
      </w:pPr>
      <w:rPr>
        <w:rFonts w:hint="default"/>
        <w:lang w:val="en-GB" w:eastAsia="en-GB" w:bidi="en-GB"/>
      </w:rPr>
    </w:lvl>
    <w:lvl w:ilvl="6" w:tplc="F828AA78">
      <w:numFmt w:val="bullet"/>
      <w:lvlText w:val="•"/>
      <w:lvlJc w:val="left"/>
      <w:pPr>
        <w:ind w:left="1134" w:hanging="217"/>
      </w:pPr>
      <w:rPr>
        <w:rFonts w:hint="default"/>
        <w:lang w:val="en-GB" w:eastAsia="en-GB" w:bidi="en-GB"/>
      </w:rPr>
    </w:lvl>
    <w:lvl w:ilvl="7" w:tplc="52E8EDEC">
      <w:numFmt w:val="bullet"/>
      <w:lvlText w:val="•"/>
      <w:lvlJc w:val="left"/>
      <w:pPr>
        <w:ind w:left="1273" w:hanging="217"/>
      </w:pPr>
      <w:rPr>
        <w:rFonts w:hint="default"/>
        <w:lang w:val="en-GB" w:eastAsia="en-GB" w:bidi="en-GB"/>
      </w:rPr>
    </w:lvl>
    <w:lvl w:ilvl="8" w:tplc="1DDE5672">
      <w:numFmt w:val="bullet"/>
      <w:lvlText w:val="•"/>
      <w:lvlJc w:val="left"/>
      <w:pPr>
        <w:ind w:left="1412" w:hanging="217"/>
      </w:pPr>
      <w:rPr>
        <w:rFonts w:hint="default"/>
        <w:lang w:val="en-GB" w:eastAsia="en-GB" w:bidi="en-GB"/>
      </w:rPr>
    </w:lvl>
  </w:abstractNum>
  <w:abstractNum w:abstractNumId="263" w15:restartNumberingAfterBreak="0">
    <w:nsid w:val="181A4337"/>
    <w:multiLevelType w:val="hybridMultilevel"/>
    <w:tmpl w:val="90CA3F5C"/>
    <w:lvl w:ilvl="0" w:tplc="4060F8B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EBE9454">
      <w:numFmt w:val="bullet"/>
      <w:lvlText w:val="•"/>
      <w:lvlJc w:val="left"/>
      <w:pPr>
        <w:ind w:left="439" w:hanging="217"/>
      </w:pPr>
      <w:rPr>
        <w:rFonts w:hint="default"/>
        <w:lang w:val="en-GB" w:eastAsia="en-GB" w:bidi="en-GB"/>
      </w:rPr>
    </w:lvl>
    <w:lvl w:ilvl="2" w:tplc="F75AF2DE">
      <w:numFmt w:val="bullet"/>
      <w:lvlText w:val="•"/>
      <w:lvlJc w:val="left"/>
      <w:pPr>
        <w:ind w:left="578" w:hanging="217"/>
      </w:pPr>
      <w:rPr>
        <w:rFonts w:hint="default"/>
        <w:lang w:val="en-GB" w:eastAsia="en-GB" w:bidi="en-GB"/>
      </w:rPr>
    </w:lvl>
    <w:lvl w:ilvl="3" w:tplc="DA300A24">
      <w:numFmt w:val="bullet"/>
      <w:lvlText w:val="•"/>
      <w:lvlJc w:val="left"/>
      <w:pPr>
        <w:ind w:left="717" w:hanging="217"/>
      </w:pPr>
      <w:rPr>
        <w:rFonts w:hint="default"/>
        <w:lang w:val="en-GB" w:eastAsia="en-GB" w:bidi="en-GB"/>
      </w:rPr>
    </w:lvl>
    <w:lvl w:ilvl="4" w:tplc="5D481F36">
      <w:numFmt w:val="bullet"/>
      <w:lvlText w:val="•"/>
      <w:lvlJc w:val="left"/>
      <w:pPr>
        <w:ind w:left="856" w:hanging="217"/>
      </w:pPr>
      <w:rPr>
        <w:rFonts w:hint="default"/>
        <w:lang w:val="en-GB" w:eastAsia="en-GB" w:bidi="en-GB"/>
      </w:rPr>
    </w:lvl>
    <w:lvl w:ilvl="5" w:tplc="E2602616">
      <w:numFmt w:val="bullet"/>
      <w:lvlText w:val="•"/>
      <w:lvlJc w:val="left"/>
      <w:pPr>
        <w:ind w:left="995" w:hanging="217"/>
      </w:pPr>
      <w:rPr>
        <w:rFonts w:hint="default"/>
        <w:lang w:val="en-GB" w:eastAsia="en-GB" w:bidi="en-GB"/>
      </w:rPr>
    </w:lvl>
    <w:lvl w:ilvl="6" w:tplc="5D2A676A">
      <w:numFmt w:val="bullet"/>
      <w:lvlText w:val="•"/>
      <w:lvlJc w:val="left"/>
      <w:pPr>
        <w:ind w:left="1134" w:hanging="217"/>
      </w:pPr>
      <w:rPr>
        <w:rFonts w:hint="default"/>
        <w:lang w:val="en-GB" w:eastAsia="en-GB" w:bidi="en-GB"/>
      </w:rPr>
    </w:lvl>
    <w:lvl w:ilvl="7" w:tplc="ECA07DE4">
      <w:numFmt w:val="bullet"/>
      <w:lvlText w:val="•"/>
      <w:lvlJc w:val="left"/>
      <w:pPr>
        <w:ind w:left="1273" w:hanging="217"/>
      </w:pPr>
      <w:rPr>
        <w:rFonts w:hint="default"/>
        <w:lang w:val="en-GB" w:eastAsia="en-GB" w:bidi="en-GB"/>
      </w:rPr>
    </w:lvl>
    <w:lvl w:ilvl="8" w:tplc="2A5C724E">
      <w:numFmt w:val="bullet"/>
      <w:lvlText w:val="•"/>
      <w:lvlJc w:val="left"/>
      <w:pPr>
        <w:ind w:left="1412" w:hanging="217"/>
      </w:pPr>
      <w:rPr>
        <w:rFonts w:hint="default"/>
        <w:lang w:val="en-GB" w:eastAsia="en-GB" w:bidi="en-GB"/>
      </w:rPr>
    </w:lvl>
  </w:abstractNum>
  <w:abstractNum w:abstractNumId="264" w15:restartNumberingAfterBreak="0">
    <w:nsid w:val="181B7037"/>
    <w:multiLevelType w:val="hybridMultilevel"/>
    <w:tmpl w:val="74789CCE"/>
    <w:lvl w:ilvl="0" w:tplc="F0FED7FC">
      <w:numFmt w:val="bullet"/>
      <w:lvlText w:val="•"/>
      <w:lvlJc w:val="left"/>
      <w:pPr>
        <w:ind w:left="305" w:hanging="217"/>
      </w:pPr>
      <w:rPr>
        <w:rFonts w:ascii="Arial" w:eastAsia="Arial" w:hAnsi="Arial" w:cs="Arial" w:hint="default"/>
        <w:color w:val="231F20"/>
        <w:w w:val="100"/>
        <w:sz w:val="18"/>
        <w:szCs w:val="18"/>
        <w:lang w:val="en-GB" w:eastAsia="en-GB" w:bidi="en-GB"/>
      </w:rPr>
    </w:lvl>
    <w:lvl w:ilvl="1" w:tplc="705006E2">
      <w:numFmt w:val="bullet"/>
      <w:lvlText w:val="•"/>
      <w:lvlJc w:val="left"/>
      <w:pPr>
        <w:ind w:left="524" w:hanging="217"/>
      </w:pPr>
      <w:rPr>
        <w:rFonts w:hint="default"/>
        <w:lang w:val="en-GB" w:eastAsia="en-GB" w:bidi="en-GB"/>
      </w:rPr>
    </w:lvl>
    <w:lvl w:ilvl="2" w:tplc="78689534">
      <w:numFmt w:val="bullet"/>
      <w:lvlText w:val="•"/>
      <w:lvlJc w:val="left"/>
      <w:pPr>
        <w:ind w:left="748" w:hanging="217"/>
      </w:pPr>
      <w:rPr>
        <w:rFonts w:hint="default"/>
        <w:lang w:val="en-GB" w:eastAsia="en-GB" w:bidi="en-GB"/>
      </w:rPr>
    </w:lvl>
    <w:lvl w:ilvl="3" w:tplc="559C9D9C">
      <w:numFmt w:val="bullet"/>
      <w:lvlText w:val="•"/>
      <w:lvlJc w:val="left"/>
      <w:pPr>
        <w:ind w:left="972" w:hanging="217"/>
      </w:pPr>
      <w:rPr>
        <w:rFonts w:hint="default"/>
        <w:lang w:val="en-GB" w:eastAsia="en-GB" w:bidi="en-GB"/>
      </w:rPr>
    </w:lvl>
    <w:lvl w:ilvl="4" w:tplc="EB608B04">
      <w:numFmt w:val="bullet"/>
      <w:lvlText w:val="•"/>
      <w:lvlJc w:val="left"/>
      <w:pPr>
        <w:ind w:left="1196" w:hanging="217"/>
      </w:pPr>
      <w:rPr>
        <w:rFonts w:hint="default"/>
        <w:lang w:val="en-GB" w:eastAsia="en-GB" w:bidi="en-GB"/>
      </w:rPr>
    </w:lvl>
    <w:lvl w:ilvl="5" w:tplc="BF9655C4">
      <w:numFmt w:val="bullet"/>
      <w:lvlText w:val="•"/>
      <w:lvlJc w:val="left"/>
      <w:pPr>
        <w:ind w:left="1420" w:hanging="217"/>
      </w:pPr>
      <w:rPr>
        <w:rFonts w:hint="default"/>
        <w:lang w:val="en-GB" w:eastAsia="en-GB" w:bidi="en-GB"/>
      </w:rPr>
    </w:lvl>
    <w:lvl w:ilvl="6" w:tplc="AA029C9E">
      <w:numFmt w:val="bullet"/>
      <w:lvlText w:val="•"/>
      <w:lvlJc w:val="left"/>
      <w:pPr>
        <w:ind w:left="1644" w:hanging="217"/>
      </w:pPr>
      <w:rPr>
        <w:rFonts w:hint="default"/>
        <w:lang w:val="en-GB" w:eastAsia="en-GB" w:bidi="en-GB"/>
      </w:rPr>
    </w:lvl>
    <w:lvl w:ilvl="7" w:tplc="DC485F6C">
      <w:numFmt w:val="bullet"/>
      <w:lvlText w:val="•"/>
      <w:lvlJc w:val="left"/>
      <w:pPr>
        <w:ind w:left="1868" w:hanging="217"/>
      </w:pPr>
      <w:rPr>
        <w:rFonts w:hint="default"/>
        <w:lang w:val="en-GB" w:eastAsia="en-GB" w:bidi="en-GB"/>
      </w:rPr>
    </w:lvl>
    <w:lvl w:ilvl="8" w:tplc="1D48CE48">
      <w:numFmt w:val="bullet"/>
      <w:lvlText w:val="•"/>
      <w:lvlJc w:val="left"/>
      <w:pPr>
        <w:ind w:left="2092" w:hanging="217"/>
      </w:pPr>
      <w:rPr>
        <w:rFonts w:hint="default"/>
        <w:lang w:val="en-GB" w:eastAsia="en-GB" w:bidi="en-GB"/>
      </w:rPr>
    </w:lvl>
  </w:abstractNum>
  <w:abstractNum w:abstractNumId="265" w15:restartNumberingAfterBreak="0">
    <w:nsid w:val="18217227"/>
    <w:multiLevelType w:val="hybridMultilevel"/>
    <w:tmpl w:val="0DBC2C36"/>
    <w:lvl w:ilvl="0" w:tplc="6096F0F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63C9A86">
      <w:numFmt w:val="bullet"/>
      <w:lvlText w:val="•"/>
      <w:lvlJc w:val="left"/>
      <w:pPr>
        <w:ind w:left="1061" w:hanging="217"/>
      </w:pPr>
      <w:rPr>
        <w:rFonts w:hint="default"/>
        <w:lang w:val="en-GB" w:eastAsia="en-GB" w:bidi="en-GB"/>
      </w:rPr>
    </w:lvl>
    <w:lvl w:ilvl="2" w:tplc="A1F00368">
      <w:numFmt w:val="bullet"/>
      <w:lvlText w:val="•"/>
      <w:lvlJc w:val="left"/>
      <w:pPr>
        <w:ind w:left="1823" w:hanging="217"/>
      </w:pPr>
      <w:rPr>
        <w:rFonts w:hint="default"/>
        <w:lang w:val="en-GB" w:eastAsia="en-GB" w:bidi="en-GB"/>
      </w:rPr>
    </w:lvl>
    <w:lvl w:ilvl="3" w:tplc="E662020C">
      <w:numFmt w:val="bullet"/>
      <w:lvlText w:val="•"/>
      <w:lvlJc w:val="left"/>
      <w:pPr>
        <w:ind w:left="2585" w:hanging="217"/>
      </w:pPr>
      <w:rPr>
        <w:rFonts w:hint="default"/>
        <w:lang w:val="en-GB" w:eastAsia="en-GB" w:bidi="en-GB"/>
      </w:rPr>
    </w:lvl>
    <w:lvl w:ilvl="4" w:tplc="E5DE294C">
      <w:numFmt w:val="bullet"/>
      <w:lvlText w:val="•"/>
      <w:lvlJc w:val="left"/>
      <w:pPr>
        <w:ind w:left="3346" w:hanging="217"/>
      </w:pPr>
      <w:rPr>
        <w:rFonts w:hint="default"/>
        <w:lang w:val="en-GB" w:eastAsia="en-GB" w:bidi="en-GB"/>
      </w:rPr>
    </w:lvl>
    <w:lvl w:ilvl="5" w:tplc="B9463300">
      <w:numFmt w:val="bullet"/>
      <w:lvlText w:val="•"/>
      <w:lvlJc w:val="left"/>
      <w:pPr>
        <w:ind w:left="4108" w:hanging="217"/>
      </w:pPr>
      <w:rPr>
        <w:rFonts w:hint="default"/>
        <w:lang w:val="en-GB" w:eastAsia="en-GB" w:bidi="en-GB"/>
      </w:rPr>
    </w:lvl>
    <w:lvl w:ilvl="6" w:tplc="138AE68A">
      <w:numFmt w:val="bullet"/>
      <w:lvlText w:val="•"/>
      <w:lvlJc w:val="left"/>
      <w:pPr>
        <w:ind w:left="4870" w:hanging="217"/>
      </w:pPr>
      <w:rPr>
        <w:rFonts w:hint="default"/>
        <w:lang w:val="en-GB" w:eastAsia="en-GB" w:bidi="en-GB"/>
      </w:rPr>
    </w:lvl>
    <w:lvl w:ilvl="7" w:tplc="EBEE9784">
      <w:numFmt w:val="bullet"/>
      <w:lvlText w:val="•"/>
      <w:lvlJc w:val="left"/>
      <w:pPr>
        <w:ind w:left="5631" w:hanging="217"/>
      </w:pPr>
      <w:rPr>
        <w:rFonts w:hint="default"/>
        <w:lang w:val="en-GB" w:eastAsia="en-GB" w:bidi="en-GB"/>
      </w:rPr>
    </w:lvl>
    <w:lvl w:ilvl="8" w:tplc="50623C8C">
      <w:numFmt w:val="bullet"/>
      <w:lvlText w:val="•"/>
      <w:lvlJc w:val="left"/>
      <w:pPr>
        <w:ind w:left="6393" w:hanging="217"/>
      </w:pPr>
      <w:rPr>
        <w:rFonts w:hint="default"/>
        <w:lang w:val="en-GB" w:eastAsia="en-GB" w:bidi="en-GB"/>
      </w:rPr>
    </w:lvl>
  </w:abstractNum>
  <w:abstractNum w:abstractNumId="266" w15:restartNumberingAfterBreak="0">
    <w:nsid w:val="18360789"/>
    <w:multiLevelType w:val="hybridMultilevel"/>
    <w:tmpl w:val="80C205C2"/>
    <w:lvl w:ilvl="0" w:tplc="2F46FE90">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71543E0C">
      <w:numFmt w:val="bullet"/>
      <w:lvlText w:val="•"/>
      <w:lvlJc w:val="left"/>
      <w:pPr>
        <w:ind w:left="473" w:hanging="217"/>
      </w:pPr>
      <w:rPr>
        <w:rFonts w:hint="default"/>
        <w:lang w:val="en-GB" w:eastAsia="en-GB" w:bidi="en-GB"/>
      </w:rPr>
    </w:lvl>
    <w:lvl w:ilvl="2" w:tplc="C2828292">
      <w:numFmt w:val="bullet"/>
      <w:lvlText w:val="•"/>
      <w:lvlJc w:val="left"/>
      <w:pPr>
        <w:ind w:left="646" w:hanging="217"/>
      </w:pPr>
      <w:rPr>
        <w:rFonts w:hint="default"/>
        <w:lang w:val="en-GB" w:eastAsia="en-GB" w:bidi="en-GB"/>
      </w:rPr>
    </w:lvl>
    <w:lvl w:ilvl="3" w:tplc="817A885C">
      <w:numFmt w:val="bullet"/>
      <w:lvlText w:val="•"/>
      <w:lvlJc w:val="left"/>
      <w:pPr>
        <w:ind w:left="819" w:hanging="217"/>
      </w:pPr>
      <w:rPr>
        <w:rFonts w:hint="default"/>
        <w:lang w:val="en-GB" w:eastAsia="en-GB" w:bidi="en-GB"/>
      </w:rPr>
    </w:lvl>
    <w:lvl w:ilvl="4" w:tplc="A0963C4E">
      <w:numFmt w:val="bullet"/>
      <w:lvlText w:val="•"/>
      <w:lvlJc w:val="left"/>
      <w:pPr>
        <w:ind w:left="992" w:hanging="217"/>
      </w:pPr>
      <w:rPr>
        <w:rFonts w:hint="default"/>
        <w:lang w:val="en-GB" w:eastAsia="en-GB" w:bidi="en-GB"/>
      </w:rPr>
    </w:lvl>
    <w:lvl w:ilvl="5" w:tplc="0A48A91C">
      <w:numFmt w:val="bullet"/>
      <w:lvlText w:val="•"/>
      <w:lvlJc w:val="left"/>
      <w:pPr>
        <w:ind w:left="1165" w:hanging="217"/>
      </w:pPr>
      <w:rPr>
        <w:rFonts w:hint="default"/>
        <w:lang w:val="en-GB" w:eastAsia="en-GB" w:bidi="en-GB"/>
      </w:rPr>
    </w:lvl>
    <w:lvl w:ilvl="6" w:tplc="063A1F6E">
      <w:numFmt w:val="bullet"/>
      <w:lvlText w:val="•"/>
      <w:lvlJc w:val="left"/>
      <w:pPr>
        <w:ind w:left="1338" w:hanging="217"/>
      </w:pPr>
      <w:rPr>
        <w:rFonts w:hint="default"/>
        <w:lang w:val="en-GB" w:eastAsia="en-GB" w:bidi="en-GB"/>
      </w:rPr>
    </w:lvl>
    <w:lvl w:ilvl="7" w:tplc="41DE5D0A">
      <w:numFmt w:val="bullet"/>
      <w:lvlText w:val="•"/>
      <w:lvlJc w:val="left"/>
      <w:pPr>
        <w:ind w:left="1511" w:hanging="217"/>
      </w:pPr>
      <w:rPr>
        <w:rFonts w:hint="default"/>
        <w:lang w:val="en-GB" w:eastAsia="en-GB" w:bidi="en-GB"/>
      </w:rPr>
    </w:lvl>
    <w:lvl w:ilvl="8" w:tplc="B8F63DFA">
      <w:numFmt w:val="bullet"/>
      <w:lvlText w:val="•"/>
      <w:lvlJc w:val="left"/>
      <w:pPr>
        <w:ind w:left="1684" w:hanging="217"/>
      </w:pPr>
      <w:rPr>
        <w:rFonts w:hint="default"/>
        <w:lang w:val="en-GB" w:eastAsia="en-GB" w:bidi="en-GB"/>
      </w:rPr>
    </w:lvl>
  </w:abstractNum>
  <w:abstractNum w:abstractNumId="267" w15:restartNumberingAfterBreak="0">
    <w:nsid w:val="186058C0"/>
    <w:multiLevelType w:val="hybridMultilevel"/>
    <w:tmpl w:val="289C49EC"/>
    <w:lvl w:ilvl="0" w:tplc="43741DCE">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EB7C8EBE">
      <w:numFmt w:val="bullet"/>
      <w:lvlText w:val="•"/>
      <w:lvlJc w:val="left"/>
      <w:pPr>
        <w:ind w:left="892" w:hanging="217"/>
      </w:pPr>
      <w:rPr>
        <w:rFonts w:hint="default"/>
        <w:lang w:val="en-GB" w:eastAsia="en-GB" w:bidi="en-GB"/>
      </w:rPr>
    </w:lvl>
    <w:lvl w:ilvl="2" w:tplc="74B826A4">
      <w:numFmt w:val="bullet"/>
      <w:lvlText w:val="•"/>
      <w:lvlJc w:val="left"/>
      <w:pPr>
        <w:ind w:left="1485" w:hanging="217"/>
      </w:pPr>
      <w:rPr>
        <w:rFonts w:hint="default"/>
        <w:lang w:val="en-GB" w:eastAsia="en-GB" w:bidi="en-GB"/>
      </w:rPr>
    </w:lvl>
    <w:lvl w:ilvl="3" w:tplc="C1FC54D8">
      <w:numFmt w:val="bullet"/>
      <w:lvlText w:val="•"/>
      <w:lvlJc w:val="left"/>
      <w:pPr>
        <w:ind w:left="2077" w:hanging="217"/>
      </w:pPr>
      <w:rPr>
        <w:rFonts w:hint="default"/>
        <w:lang w:val="en-GB" w:eastAsia="en-GB" w:bidi="en-GB"/>
      </w:rPr>
    </w:lvl>
    <w:lvl w:ilvl="4" w:tplc="4E32612A">
      <w:numFmt w:val="bullet"/>
      <w:lvlText w:val="•"/>
      <w:lvlJc w:val="left"/>
      <w:pPr>
        <w:ind w:left="2670" w:hanging="217"/>
      </w:pPr>
      <w:rPr>
        <w:rFonts w:hint="default"/>
        <w:lang w:val="en-GB" w:eastAsia="en-GB" w:bidi="en-GB"/>
      </w:rPr>
    </w:lvl>
    <w:lvl w:ilvl="5" w:tplc="0568E170">
      <w:numFmt w:val="bullet"/>
      <w:lvlText w:val="•"/>
      <w:lvlJc w:val="left"/>
      <w:pPr>
        <w:ind w:left="3263" w:hanging="217"/>
      </w:pPr>
      <w:rPr>
        <w:rFonts w:hint="default"/>
        <w:lang w:val="en-GB" w:eastAsia="en-GB" w:bidi="en-GB"/>
      </w:rPr>
    </w:lvl>
    <w:lvl w:ilvl="6" w:tplc="11A68C16">
      <w:numFmt w:val="bullet"/>
      <w:lvlText w:val="•"/>
      <w:lvlJc w:val="left"/>
      <w:pPr>
        <w:ind w:left="3855" w:hanging="217"/>
      </w:pPr>
      <w:rPr>
        <w:rFonts w:hint="default"/>
        <w:lang w:val="en-GB" w:eastAsia="en-GB" w:bidi="en-GB"/>
      </w:rPr>
    </w:lvl>
    <w:lvl w:ilvl="7" w:tplc="C7E422B8">
      <w:numFmt w:val="bullet"/>
      <w:lvlText w:val="•"/>
      <w:lvlJc w:val="left"/>
      <w:pPr>
        <w:ind w:left="4448" w:hanging="217"/>
      </w:pPr>
      <w:rPr>
        <w:rFonts w:hint="default"/>
        <w:lang w:val="en-GB" w:eastAsia="en-GB" w:bidi="en-GB"/>
      </w:rPr>
    </w:lvl>
    <w:lvl w:ilvl="8" w:tplc="40A217F4">
      <w:numFmt w:val="bullet"/>
      <w:lvlText w:val="•"/>
      <w:lvlJc w:val="left"/>
      <w:pPr>
        <w:ind w:left="5040" w:hanging="217"/>
      </w:pPr>
      <w:rPr>
        <w:rFonts w:hint="default"/>
        <w:lang w:val="en-GB" w:eastAsia="en-GB" w:bidi="en-GB"/>
      </w:rPr>
    </w:lvl>
  </w:abstractNum>
  <w:abstractNum w:abstractNumId="268" w15:restartNumberingAfterBreak="0">
    <w:nsid w:val="186457F7"/>
    <w:multiLevelType w:val="hybridMultilevel"/>
    <w:tmpl w:val="EE8C3588"/>
    <w:lvl w:ilvl="0" w:tplc="31AE366E">
      <w:numFmt w:val="bullet"/>
      <w:lvlText w:val="•"/>
      <w:lvlJc w:val="left"/>
      <w:pPr>
        <w:ind w:left="276" w:hanging="217"/>
      </w:pPr>
      <w:rPr>
        <w:rFonts w:ascii="Arial" w:eastAsia="Arial" w:hAnsi="Arial" w:cs="Arial" w:hint="default"/>
        <w:color w:val="231F20"/>
        <w:w w:val="97"/>
        <w:sz w:val="16"/>
        <w:szCs w:val="16"/>
        <w:lang w:val="en-GB" w:eastAsia="en-GB" w:bidi="en-GB"/>
      </w:rPr>
    </w:lvl>
    <w:lvl w:ilvl="1" w:tplc="6D329B2E">
      <w:numFmt w:val="bullet"/>
      <w:lvlText w:val="•"/>
      <w:lvlJc w:val="left"/>
      <w:pPr>
        <w:ind w:left="381" w:hanging="217"/>
      </w:pPr>
      <w:rPr>
        <w:rFonts w:hint="default"/>
        <w:lang w:val="en-GB" w:eastAsia="en-GB" w:bidi="en-GB"/>
      </w:rPr>
    </w:lvl>
    <w:lvl w:ilvl="2" w:tplc="D32E22F4">
      <w:numFmt w:val="bullet"/>
      <w:lvlText w:val="•"/>
      <w:lvlJc w:val="left"/>
      <w:pPr>
        <w:ind w:left="482" w:hanging="217"/>
      </w:pPr>
      <w:rPr>
        <w:rFonts w:hint="default"/>
        <w:lang w:val="en-GB" w:eastAsia="en-GB" w:bidi="en-GB"/>
      </w:rPr>
    </w:lvl>
    <w:lvl w:ilvl="3" w:tplc="41A26488">
      <w:numFmt w:val="bullet"/>
      <w:lvlText w:val="•"/>
      <w:lvlJc w:val="left"/>
      <w:pPr>
        <w:ind w:left="584" w:hanging="217"/>
      </w:pPr>
      <w:rPr>
        <w:rFonts w:hint="default"/>
        <w:lang w:val="en-GB" w:eastAsia="en-GB" w:bidi="en-GB"/>
      </w:rPr>
    </w:lvl>
    <w:lvl w:ilvl="4" w:tplc="24A66BB2">
      <w:numFmt w:val="bullet"/>
      <w:lvlText w:val="•"/>
      <w:lvlJc w:val="left"/>
      <w:pPr>
        <w:ind w:left="685" w:hanging="217"/>
      </w:pPr>
      <w:rPr>
        <w:rFonts w:hint="default"/>
        <w:lang w:val="en-GB" w:eastAsia="en-GB" w:bidi="en-GB"/>
      </w:rPr>
    </w:lvl>
    <w:lvl w:ilvl="5" w:tplc="1EECC680">
      <w:numFmt w:val="bullet"/>
      <w:lvlText w:val="•"/>
      <w:lvlJc w:val="left"/>
      <w:pPr>
        <w:ind w:left="787" w:hanging="217"/>
      </w:pPr>
      <w:rPr>
        <w:rFonts w:hint="default"/>
        <w:lang w:val="en-GB" w:eastAsia="en-GB" w:bidi="en-GB"/>
      </w:rPr>
    </w:lvl>
    <w:lvl w:ilvl="6" w:tplc="9558EA5C">
      <w:numFmt w:val="bullet"/>
      <w:lvlText w:val="•"/>
      <w:lvlJc w:val="left"/>
      <w:pPr>
        <w:ind w:left="888" w:hanging="217"/>
      </w:pPr>
      <w:rPr>
        <w:rFonts w:hint="default"/>
        <w:lang w:val="en-GB" w:eastAsia="en-GB" w:bidi="en-GB"/>
      </w:rPr>
    </w:lvl>
    <w:lvl w:ilvl="7" w:tplc="8408B380">
      <w:numFmt w:val="bullet"/>
      <w:lvlText w:val="•"/>
      <w:lvlJc w:val="left"/>
      <w:pPr>
        <w:ind w:left="989" w:hanging="217"/>
      </w:pPr>
      <w:rPr>
        <w:rFonts w:hint="default"/>
        <w:lang w:val="en-GB" w:eastAsia="en-GB" w:bidi="en-GB"/>
      </w:rPr>
    </w:lvl>
    <w:lvl w:ilvl="8" w:tplc="C506EF06">
      <w:numFmt w:val="bullet"/>
      <w:lvlText w:val="•"/>
      <w:lvlJc w:val="left"/>
      <w:pPr>
        <w:ind w:left="1091" w:hanging="217"/>
      </w:pPr>
      <w:rPr>
        <w:rFonts w:hint="default"/>
        <w:lang w:val="en-GB" w:eastAsia="en-GB" w:bidi="en-GB"/>
      </w:rPr>
    </w:lvl>
  </w:abstractNum>
  <w:abstractNum w:abstractNumId="269" w15:restartNumberingAfterBreak="0">
    <w:nsid w:val="186648B4"/>
    <w:multiLevelType w:val="hybridMultilevel"/>
    <w:tmpl w:val="F0B630D6"/>
    <w:lvl w:ilvl="0" w:tplc="D9786D3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69ADFB0">
      <w:numFmt w:val="bullet"/>
      <w:lvlText w:val="•"/>
      <w:lvlJc w:val="left"/>
      <w:pPr>
        <w:ind w:left="439" w:hanging="217"/>
      </w:pPr>
      <w:rPr>
        <w:rFonts w:hint="default"/>
        <w:lang w:val="en-GB" w:eastAsia="en-GB" w:bidi="en-GB"/>
      </w:rPr>
    </w:lvl>
    <w:lvl w:ilvl="2" w:tplc="252A278E">
      <w:numFmt w:val="bullet"/>
      <w:lvlText w:val="•"/>
      <w:lvlJc w:val="left"/>
      <w:pPr>
        <w:ind w:left="578" w:hanging="217"/>
      </w:pPr>
      <w:rPr>
        <w:rFonts w:hint="default"/>
        <w:lang w:val="en-GB" w:eastAsia="en-GB" w:bidi="en-GB"/>
      </w:rPr>
    </w:lvl>
    <w:lvl w:ilvl="3" w:tplc="B9220528">
      <w:numFmt w:val="bullet"/>
      <w:lvlText w:val="•"/>
      <w:lvlJc w:val="left"/>
      <w:pPr>
        <w:ind w:left="717" w:hanging="217"/>
      </w:pPr>
      <w:rPr>
        <w:rFonts w:hint="default"/>
        <w:lang w:val="en-GB" w:eastAsia="en-GB" w:bidi="en-GB"/>
      </w:rPr>
    </w:lvl>
    <w:lvl w:ilvl="4" w:tplc="46D6E960">
      <w:numFmt w:val="bullet"/>
      <w:lvlText w:val="•"/>
      <w:lvlJc w:val="left"/>
      <w:pPr>
        <w:ind w:left="856" w:hanging="217"/>
      </w:pPr>
      <w:rPr>
        <w:rFonts w:hint="default"/>
        <w:lang w:val="en-GB" w:eastAsia="en-GB" w:bidi="en-GB"/>
      </w:rPr>
    </w:lvl>
    <w:lvl w:ilvl="5" w:tplc="AB0A14BA">
      <w:numFmt w:val="bullet"/>
      <w:lvlText w:val="•"/>
      <w:lvlJc w:val="left"/>
      <w:pPr>
        <w:ind w:left="995" w:hanging="217"/>
      </w:pPr>
      <w:rPr>
        <w:rFonts w:hint="default"/>
        <w:lang w:val="en-GB" w:eastAsia="en-GB" w:bidi="en-GB"/>
      </w:rPr>
    </w:lvl>
    <w:lvl w:ilvl="6" w:tplc="956E043A">
      <w:numFmt w:val="bullet"/>
      <w:lvlText w:val="•"/>
      <w:lvlJc w:val="left"/>
      <w:pPr>
        <w:ind w:left="1134" w:hanging="217"/>
      </w:pPr>
      <w:rPr>
        <w:rFonts w:hint="default"/>
        <w:lang w:val="en-GB" w:eastAsia="en-GB" w:bidi="en-GB"/>
      </w:rPr>
    </w:lvl>
    <w:lvl w:ilvl="7" w:tplc="A76673C4">
      <w:numFmt w:val="bullet"/>
      <w:lvlText w:val="•"/>
      <w:lvlJc w:val="left"/>
      <w:pPr>
        <w:ind w:left="1273" w:hanging="217"/>
      </w:pPr>
      <w:rPr>
        <w:rFonts w:hint="default"/>
        <w:lang w:val="en-GB" w:eastAsia="en-GB" w:bidi="en-GB"/>
      </w:rPr>
    </w:lvl>
    <w:lvl w:ilvl="8" w:tplc="99562190">
      <w:numFmt w:val="bullet"/>
      <w:lvlText w:val="•"/>
      <w:lvlJc w:val="left"/>
      <w:pPr>
        <w:ind w:left="1412" w:hanging="217"/>
      </w:pPr>
      <w:rPr>
        <w:rFonts w:hint="default"/>
        <w:lang w:val="en-GB" w:eastAsia="en-GB" w:bidi="en-GB"/>
      </w:rPr>
    </w:lvl>
  </w:abstractNum>
  <w:abstractNum w:abstractNumId="270" w15:restartNumberingAfterBreak="0">
    <w:nsid w:val="187B52A2"/>
    <w:multiLevelType w:val="hybridMultilevel"/>
    <w:tmpl w:val="AAF86258"/>
    <w:lvl w:ilvl="0" w:tplc="65B07B2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0D642978">
      <w:numFmt w:val="bullet"/>
      <w:lvlText w:val="•"/>
      <w:lvlJc w:val="left"/>
      <w:pPr>
        <w:ind w:left="892" w:hanging="217"/>
      </w:pPr>
      <w:rPr>
        <w:rFonts w:hint="default"/>
        <w:lang w:val="en-GB" w:eastAsia="en-GB" w:bidi="en-GB"/>
      </w:rPr>
    </w:lvl>
    <w:lvl w:ilvl="2" w:tplc="485AF6F2">
      <w:numFmt w:val="bullet"/>
      <w:lvlText w:val="•"/>
      <w:lvlJc w:val="left"/>
      <w:pPr>
        <w:ind w:left="1485" w:hanging="217"/>
      </w:pPr>
      <w:rPr>
        <w:rFonts w:hint="default"/>
        <w:lang w:val="en-GB" w:eastAsia="en-GB" w:bidi="en-GB"/>
      </w:rPr>
    </w:lvl>
    <w:lvl w:ilvl="3" w:tplc="326A6E32">
      <w:numFmt w:val="bullet"/>
      <w:lvlText w:val="•"/>
      <w:lvlJc w:val="left"/>
      <w:pPr>
        <w:ind w:left="2077" w:hanging="217"/>
      </w:pPr>
      <w:rPr>
        <w:rFonts w:hint="default"/>
        <w:lang w:val="en-GB" w:eastAsia="en-GB" w:bidi="en-GB"/>
      </w:rPr>
    </w:lvl>
    <w:lvl w:ilvl="4" w:tplc="D1D09358">
      <w:numFmt w:val="bullet"/>
      <w:lvlText w:val="•"/>
      <w:lvlJc w:val="left"/>
      <w:pPr>
        <w:ind w:left="2670" w:hanging="217"/>
      </w:pPr>
      <w:rPr>
        <w:rFonts w:hint="default"/>
        <w:lang w:val="en-GB" w:eastAsia="en-GB" w:bidi="en-GB"/>
      </w:rPr>
    </w:lvl>
    <w:lvl w:ilvl="5" w:tplc="297A8E52">
      <w:numFmt w:val="bullet"/>
      <w:lvlText w:val="•"/>
      <w:lvlJc w:val="left"/>
      <w:pPr>
        <w:ind w:left="3263" w:hanging="217"/>
      </w:pPr>
      <w:rPr>
        <w:rFonts w:hint="default"/>
        <w:lang w:val="en-GB" w:eastAsia="en-GB" w:bidi="en-GB"/>
      </w:rPr>
    </w:lvl>
    <w:lvl w:ilvl="6" w:tplc="85241F92">
      <w:numFmt w:val="bullet"/>
      <w:lvlText w:val="•"/>
      <w:lvlJc w:val="left"/>
      <w:pPr>
        <w:ind w:left="3855" w:hanging="217"/>
      </w:pPr>
      <w:rPr>
        <w:rFonts w:hint="default"/>
        <w:lang w:val="en-GB" w:eastAsia="en-GB" w:bidi="en-GB"/>
      </w:rPr>
    </w:lvl>
    <w:lvl w:ilvl="7" w:tplc="9FD41A04">
      <w:numFmt w:val="bullet"/>
      <w:lvlText w:val="•"/>
      <w:lvlJc w:val="left"/>
      <w:pPr>
        <w:ind w:left="4448" w:hanging="217"/>
      </w:pPr>
      <w:rPr>
        <w:rFonts w:hint="default"/>
        <w:lang w:val="en-GB" w:eastAsia="en-GB" w:bidi="en-GB"/>
      </w:rPr>
    </w:lvl>
    <w:lvl w:ilvl="8" w:tplc="9182CC20">
      <w:numFmt w:val="bullet"/>
      <w:lvlText w:val="•"/>
      <w:lvlJc w:val="left"/>
      <w:pPr>
        <w:ind w:left="5040" w:hanging="217"/>
      </w:pPr>
      <w:rPr>
        <w:rFonts w:hint="default"/>
        <w:lang w:val="en-GB" w:eastAsia="en-GB" w:bidi="en-GB"/>
      </w:rPr>
    </w:lvl>
  </w:abstractNum>
  <w:abstractNum w:abstractNumId="271" w15:restartNumberingAfterBreak="0">
    <w:nsid w:val="187C7982"/>
    <w:multiLevelType w:val="hybridMultilevel"/>
    <w:tmpl w:val="A4D40B18"/>
    <w:lvl w:ilvl="0" w:tplc="E892E0E4">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0E7E6A54">
      <w:numFmt w:val="bullet"/>
      <w:lvlText w:val="•"/>
      <w:lvlJc w:val="left"/>
      <w:pPr>
        <w:ind w:left="473" w:hanging="217"/>
      </w:pPr>
      <w:rPr>
        <w:rFonts w:hint="default"/>
        <w:lang w:val="en-GB" w:eastAsia="en-GB" w:bidi="en-GB"/>
      </w:rPr>
    </w:lvl>
    <w:lvl w:ilvl="2" w:tplc="B4022684">
      <w:numFmt w:val="bullet"/>
      <w:lvlText w:val="•"/>
      <w:lvlJc w:val="left"/>
      <w:pPr>
        <w:ind w:left="646" w:hanging="217"/>
      </w:pPr>
      <w:rPr>
        <w:rFonts w:hint="default"/>
        <w:lang w:val="en-GB" w:eastAsia="en-GB" w:bidi="en-GB"/>
      </w:rPr>
    </w:lvl>
    <w:lvl w:ilvl="3" w:tplc="1F846164">
      <w:numFmt w:val="bullet"/>
      <w:lvlText w:val="•"/>
      <w:lvlJc w:val="left"/>
      <w:pPr>
        <w:ind w:left="819" w:hanging="217"/>
      </w:pPr>
      <w:rPr>
        <w:rFonts w:hint="default"/>
        <w:lang w:val="en-GB" w:eastAsia="en-GB" w:bidi="en-GB"/>
      </w:rPr>
    </w:lvl>
    <w:lvl w:ilvl="4" w:tplc="A5508486">
      <w:numFmt w:val="bullet"/>
      <w:lvlText w:val="•"/>
      <w:lvlJc w:val="left"/>
      <w:pPr>
        <w:ind w:left="992" w:hanging="217"/>
      </w:pPr>
      <w:rPr>
        <w:rFonts w:hint="default"/>
        <w:lang w:val="en-GB" w:eastAsia="en-GB" w:bidi="en-GB"/>
      </w:rPr>
    </w:lvl>
    <w:lvl w:ilvl="5" w:tplc="6F2668D2">
      <w:numFmt w:val="bullet"/>
      <w:lvlText w:val="•"/>
      <w:lvlJc w:val="left"/>
      <w:pPr>
        <w:ind w:left="1165" w:hanging="217"/>
      </w:pPr>
      <w:rPr>
        <w:rFonts w:hint="default"/>
        <w:lang w:val="en-GB" w:eastAsia="en-GB" w:bidi="en-GB"/>
      </w:rPr>
    </w:lvl>
    <w:lvl w:ilvl="6" w:tplc="C8504262">
      <w:numFmt w:val="bullet"/>
      <w:lvlText w:val="•"/>
      <w:lvlJc w:val="left"/>
      <w:pPr>
        <w:ind w:left="1338" w:hanging="217"/>
      </w:pPr>
      <w:rPr>
        <w:rFonts w:hint="default"/>
        <w:lang w:val="en-GB" w:eastAsia="en-GB" w:bidi="en-GB"/>
      </w:rPr>
    </w:lvl>
    <w:lvl w:ilvl="7" w:tplc="FCC6C316">
      <w:numFmt w:val="bullet"/>
      <w:lvlText w:val="•"/>
      <w:lvlJc w:val="left"/>
      <w:pPr>
        <w:ind w:left="1511" w:hanging="217"/>
      </w:pPr>
      <w:rPr>
        <w:rFonts w:hint="default"/>
        <w:lang w:val="en-GB" w:eastAsia="en-GB" w:bidi="en-GB"/>
      </w:rPr>
    </w:lvl>
    <w:lvl w:ilvl="8" w:tplc="9DD2FCE4">
      <w:numFmt w:val="bullet"/>
      <w:lvlText w:val="•"/>
      <w:lvlJc w:val="left"/>
      <w:pPr>
        <w:ind w:left="1684" w:hanging="217"/>
      </w:pPr>
      <w:rPr>
        <w:rFonts w:hint="default"/>
        <w:lang w:val="en-GB" w:eastAsia="en-GB" w:bidi="en-GB"/>
      </w:rPr>
    </w:lvl>
  </w:abstractNum>
  <w:abstractNum w:abstractNumId="272" w15:restartNumberingAfterBreak="0">
    <w:nsid w:val="18A81B5D"/>
    <w:multiLevelType w:val="hybridMultilevel"/>
    <w:tmpl w:val="E6EEBA00"/>
    <w:lvl w:ilvl="0" w:tplc="477CEF4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6883A3E">
      <w:numFmt w:val="bullet"/>
      <w:lvlText w:val="•"/>
      <w:lvlJc w:val="left"/>
      <w:pPr>
        <w:ind w:left="439" w:hanging="217"/>
      </w:pPr>
      <w:rPr>
        <w:rFonts w:hint="default"/>
        <w:lang w:val="en-GB" w:eastAsia="en-GB" w:bidi="en-GB"/>
      </w:rPr>
    </w:lvl>
    <w:lvl w:ilvl="2" w:tplc="D5060188">
      <w:numFmt w:val="bullet"/>
      <w:lvlText w:val="•"/>
      <w:lvlJc w:val="left"/>
      <w:pPr>
        <w:ind w:left="578" w:hanging="217"/>
      </w:pPr>
      <w:rPr>
        <w:rFonts w:hint="default"/>
        <w:lang w:val="en-GB" w:eastAsia="en-GB" w:bidi="en-GB"/>
      </w:rPr>
    </w:lvl>
    <w:lvl w:ilvl="3" w:tplc="303CF9DA">
      <w:numFmt w:val="bullet"/>
      <w:lvlText w:val="•"/>
      <w:lvlJc w:val="left"/>
      <w:pPr>
        <w:ind w:left="717" w:hanging="217"/>
      </w:pPr>
      <w:rPr>
        <w:rFonts w:hint="default"/>
        <w:lang w:val="en-GB" w:eastAsia="en-GB" w:bidi="en-GB"/>
      </w:rPr>
    </w:lvl>
    <w:lvl w:ilvl="4" w:tplc="CEBCC252">
      <w:numFmt w:val="bullet"/>
      <w:lvlText w:val="•"/>
      <w:lvlJc w:val="left"/>
      <w:pPr>
        <w:ind w:left="856" w:hanging="217"/>
      </w:pPr>
      <w:rPr>
        <w:rFonts w:hint="default"/>
        <w:lang w:val="en-GB" w:eastAsia="en-GB" w:bidi="en-GB"/>
      </w:rPr>
    </w:lvl>
    <w:lvl w:ilvl="5" w:tplc="80723434">
      <w:numFmt w:val="bullet"/>
      <w:lvlText w:val="•"/>
      <w:lvlJc w:val="left"/>
      <w:pPr>
        <w:ind w:left="995" w:hanging="217"/>
      </w:pPr>
      <w:rPr>
        <w:rFonts w:hint="default"/>
        <w:lang w:val="en-GB" w:eastAsia="en-GB" w:bidi="en-GB"/>
      </w:rPr>
    </w:lvl>
    <w:lvl w:ilvl="6" w:tplc="10609324">
      <w:numFmt w:val="bullet"/>
      <w:lvlText w:val="•"/>
      <w:lvlJc w:val="left"/>
      <w:pPr>
        <w:ind w:left="1134" w:hanging="217"/>
      </w:pPr>
      <w:rPr>
        <w:rFonts w:hint="default"/>
        <w:lang w:val="en-GB" w:eastAsia="en-GB" w:bidi="en-GB"/>
      </w:rPr>
    </w:lvl>
    <w:lvl w:ilvl="7" w:tplc="559807B8">
      <w:numFmt w:val="bullet"/>
      <w:lvlText w:val="•"/>
      <w:lvlJc w:val="left"/>
      <w:pPr>
        <w:ind w:left="1273" w:hanging="217"/>
      </w:pPr>
      <w:rPr>
        <w:rFonts w:hint="default"/>
        <w:lang w:val="en-GB" w:eastAsia="en-GB" w:bidi="en-GB"/>
      </w:rPr>
    </w:lvl>
    <w:lvl w:ilvl="8" w:tplc="9580C5F4">
      <w:numFmt w:val="bullet"/>
      <w:lvlText w:val="•"/>
      <w:lvlJc w:val="left"/>
      <w:pPr>
        <w:ind w:left="1412" w:hanging="217"/>
      </w:pPr>
      <w:rPr>
        <w:rFonts w:hint="default"/>
        <w:lang w:val="en-GB" w:eastAsia="en-GB" w:bidi="en-GB"/>
      </w:rPr>
    </w:lvl>
  </w:abstractNum>
  <w:abstractNum w:abstractNumId="273" w15:restartNumberingAfterBreak="0">
    <w:nsid w:val="18BB7227"/>
    <w:multiLevelType w:val="hybridMultilevel"/>
    <w:tmpl w:val="49DCC9EE"/>
    <w:lvl w:ilvl="0" w:tplc="510C9BB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E6A2F66">
      <w:numFmt w:val="bullet"/>
      <w:lvlText w:val="•"/>
      <w:lvlJc w:val="left"/>
      <w:pPr>
        <w:ind w:left="439" w:hanging="217"/>
      </w:pPr>
      <w:rPr>
        <w:rFonts w:hint="default"/>
        <w:lang w:val="en-GB" w:eastAsia="en-GB" w:bidi="en-GB"/>
      </w:rPr>
    </w:lvl>
    <w:lvl w:ilvl="2" w:tplc="B32C167E">
      <w:numFmt w:val="bullet"/>
      <w:lvlText w:val="•"/>
      <w:lvlJc w:val="left"/>
      <w:pPr>
        <w:ind w:left="578" w:hanging="217"/>
      </w:pPr>
      <w:rPr>
        <w:rFonts w:hint="default"/>
        <w:lang w:val="en-GB" w:eastAsia="en-GB" w:bidi="en-GB"/>
      </w:rPr>
    </w:lvl>
    <w:lvl w:ilvl="3" w:tplc="260274AA">
      <w:numFmt w:val="bullet"/>
      <w:lvlText w:val="•"/>
      <w:lvlJc w:val="left"/>
      <w:pPr>
        <w:ind w:left="717" w:hanging="217"/>
      </w:pPr>
      <w:rPr>
        <w:rFonts w:hint="default"/>
        <w:lang w:val="en-GB" w:eastAsia="en-GB" w:bidi="en-GB"/>
      </w:rPr>
    </w:lvl>
    <w:lvl w:ilvl="4" w:tplc="FA508076">
      <w:numFmt w:val="bullet"/>
      <w:lvlText w:val="•"/>
      <w:lvlJc w:val="left"/>
      <w:pPr>
        <w:ind w:left="856" w:hanging="217"/>
      </w:pPr>
      <w:rPr>
        <w:rFonts w:hint="default"/>
        <w:lang w:val="en-GB" w:eastAsia="en-GB" w:bidi="en-GB"/>
      </w:rPr>
    </w:lvl>
    <w:lvl w:ilvl="5" w:tplc="BA8618A8">
      <w:numFmt w:val="bullet"/>
      <w:lvlText w:val="•"/>
      <w:lvlJc w:val="left"/>
      <w:pPr>
        <w:ind w:left="995" w:hanging="217"/>
      </w:pPr>
      <w:rPr>
        <w:rFonts w:hint="default"/>
        <w:lang w:val="en-GB" w:eastAsia="en-GB" w:bidi="en-GB"/>
      </w:rPr>
    </w:lvl>
    <w:lvl w:ilvl="6" w:tplc="25F8E1C2">
      <w:numFmt w:val="bullet"/>
      <w:lvlText w:val="•"/>
      <w:lvlJc w:val="left"/>
      <w:pPr>
        <w:ind w:left="1134" w:hanging="217"/>
      </w:pPr>
      <w:rPr>
        <w:rFonts w:hint="default"/>
        <w:lang w:val="en-GB" w:eastAsia="en-GB" w:bidi="en-GB"/>
      </w:rPr>
    </w:lvl>
    <w:lvl w:ilvl="7" w:tplc="68225C50">
      <w:numFmt w:val="bullet"/>
      <w:lvlText w:val="•"/>
      <w:lvlJc w:val="left"/>
      <w:pPr>
        <w:ind w:left="1273" w:hanging="217"/>
      </w:pPr>
      <w:rPr>
        <w:rFonts w:hint="default"/>
        <w:lang w:val="en-GB" w:eastAsia="en-GB" w:bidi="en-GB"/>
      </w:rPr>
    </w:lvl>
    <w:lvl w:ilvl="8" w:tplc="078CEEF0">
      <w:numFmt w:val="bullet"/>
      <w:lvlText w:val="•"/>
      <w:lvlJc w:val="left"/>
      <w:pPr>
        <w:ind w:left="1412" w:hanging="217"/>
      </w:pPr>
      <w:rPr>
        <w:rFonts w:hint="default"/>
        <w:lang w:val="en-GB" w:eastAsia="en-GB" w:bidi="en-GB"/>
      </w:rPr>
    </w:lvl>
  </w:abstractNum>
  <w:abstractNum w:abstractNumId="274" w15:restartNumberingAfterBreak="0">
    <w:nsid w:val="18C15FE4"/>
    <w:multiLevelType w:val="hybridMultilevel"/>
    <w:tmpl w:val="D1A2F30C"/>
    <w:lvl w:ilvl="0" w:tplc="B618454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AD367FAC">
      <w:numFmt w:val="bullet"/>
      <w:lvlText w:val="•"/>
      <w:lvlJc w:val="left"/>
      <w:pPr>
        <w:ind w:left="473" w:hanging="217"/>
      </w:pPr>
      <w:rPr>
        <w:rFonts w:hint="default"/>
        <w:lang w:val="en-GB" w:eastAsia="en-GB" w:bidi="en-GB"/>
      </w:rPr>
    </w:lvl>
    <w:lvl w:ilvl="2" w:tplc="8C622046">
      <w:numFmt w:val="bullet"/>
      <w:lvlText w:val="•"/>
      <w:lvlJc w:val="left"/>
      <w:pPr>
        <w:ind w:left="646" w:hanging="217"/>
      </w:pPr>
      <w:rPr>
        <w:rFonts w:hint="default"/>
        <w:lang w:val="en-GB" w:eastAsia="en-GB" w:bidi="en-GB"/>
      </w:rPr>
    </w:lvl>
    <w:lvl w:ilvl="3" w:tplc="5F026074">
      <w:numFmt w:val="bullet"/>
      <w:lvlText w:val="•"/>
      <w:lvlJc w:val="left"/>
      <w:pPr>
        <w:ind w:left="819" w:hanging="217"/>
      </w:pPr>
      <w:rPr>
        <w:rFonts w:hint="default"/>
        <w:lang w:val="en-GB" w:eastAsia="en-GB" w:bidi="en-GB"/>
      </w:rPr>
    </w:lvl>
    <w:lvl w:ilvl="4" w:tplc="AEDCDDE0">
      <w:numFmt w:val="bullet"/>
      <w:lvlText w:val="•"/>
      <w:lvlJc w:val="left"/>
      <w:pPr>
        <w:ind w:left="992" w:hanging="217"/>
      </w:pPr>
      <w:rPr>
        <w:rFonts w:hint="default"/>
        <w:lang w:val="en-GB" w:eastAsia="en-GB" w:bidi="en-GB"/>
      </w:rPr>
    </w:lvl>
    <w:lvl w:ilvl="5" w:tplc="9B987CFC">
      <w:numFmt w:val="bullet"/>
      <w:lvlText w:val="•"/>
      <w:lvlJc w:val="left"/>
      <w:pPr>
        <w:ind w:left="1165" w:hanging="217"/>
      </w:pPr>
      <w:rPr>
        <w:rFonts w:hint="default"/>
        <w:lang w:val="en-GB" w:eastAsia="en-GB" w:bidi="en-GB"/>
      </w:rPr>
    </w:lvl>
    <w:lvl w:ilvl="6" w:tplc="467A33BE">
      <w:numFmt w:val="bullet"/>
      <w:lvlText w:val="•"/>
      <w:lvlJc w:val="left"/>
      <w:pPr>
        <w:ind w:left="1338" w:hanging="217"/>
      </w:pPr>
      <w:rPr>
        <w:rFonts w:hint="default"/>
        <w:lang w:val="en-GB" w:eastAsia="en-GB" w:bidi="en-GB"/>
      </w:rPr>
    </w:lvl>
    <w:lvl w:ilvl="7" w:tplc="4F00448C">
      <w:numFmt w:val="bullet"/>
      <w:lvlText w:val="•"/>
      <w:lvlJc w:val="left"/>
      <w:pPr>
        <w:ind w:left="1511" w:hanging="217"/>
      </w:pPr>
      <w:rPr>
        <w:rFonts w:hint="default"/>
        <w:lang w:val="en-GB" w:eastAsia="en-GB" w:bidi="en-GB"/>
      </w:rPr>
    </w:lvl>
    <w:lvl w:ilvl="8" w:tplc="00B4663C">
      <w:numFmt w:val="bullet"/>
      <w:lvlText w:val="•"/>
      <w:lvlJc w:val="left"/>
      <w:pPr>
        <w:ind w:left="1684" w:hanging="217"/>
      </w:pPr>
      <w:rPr>
        <w:rFonts w:hint="default"/>
        <w:lang w:val="en-GB" w:eastAsia="en-GB" w:bidi="en-GB"/>
      </w:rPr>
    </w:lvl>
  </w:abstractNum>
  <w:abstractNum w:abstractNumId="275" w15:restartNumberingAfterBreak="0">
    <w:nsid w:val="18D83CC7"/>
    <w:multiLevelType w:val="hybridMultilevel"/>
    <w:tmpl w:val="ADC60EAA"/>
    <w:lvl w:ilvl="0" w:tplc="DB40BA74">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AE3E359E">
      <w:numFmt w:val="bullet"/>
      <w:lvlText w:val="•"/>
      <w:lvlJc w:val="left"/>
      <w:pPr>
        <w:ind w:left="892" w:hanging="217"/>
      </w:pPr>
      <w:rPr>
        <w:rFonts w:hint="default"/>
        <w:lang w:val="en-GB" w:eastAsia="en-GB" w:bidi="en-GB"/>
      </w:rPr>
    </w:lvl>
    <w:lvl w:ilvl="2" w:tplc="64E07A48">
      <w:numFmt w:val="bullet"/>
      <w:lvlText w:val="•"/>
      <w:lvlJc w:val="left"/>
      <w:pPr>
        <w:ind w:left="1485" w:hanging="217"/>
      </w:pPr>
      <w:rPr>
        <w:rFonts w:hint="default"/>
        <w:lang w:val="en-GB" w:eastAsia="en-GB" w:bidi="en-GB"/>
      </w:rPr>
    </w:lvl>
    <w:lvl w:ilvl="3" w:tplc="7AD2301E">
      <w:numFmt w:val="bullet"/>
      <w:lvlText w:val="•"/>
      <w:lvlJc w:val="left"/>
      <w:pPr>
        <w:ind w:left="2077" w:hanging="217"/>
      </w:pPr>
      <w:rPr>
        <w:rFonts w:hint="default"/>
        <w:lang w:val="en-GB" w:eastAsia="en-GB" w:bidi="en-GB"/>
      </w:rPr>
    </w:lvl>
    <w:lvl w:ilvl="4" w:tplc="7EDE95F6">
      <w:numFmt w:val="bullet"/>
      <w:lvlText w:val="•"/>
      <w:lvlJc w:val="left"/>
      <w:pPr>
        <w:ind w:left="2670" w:hanging="217"/>
      </w:pPr>
      <w:rPr>
        <w:rFonts w:hint="default"/>
        <w:lang w:val="en-GB" w:eastAsia="en-GB" w:bidi="en-GB"/>
      </w:rPr>
    </w:lvl>
    <w:lvl w:ilvl="5" w:tplc="99DE71A0">
      <w:numFmt w:val="bullet"/>
      <w:lvlText w:val="•"/>
      <w:lvlJc w:val="left"/>
      <w:pPr>
        <w:ind w:left="3263" w:hanging="217"/>
      </w:pPr>
      <w:rPr>
        <w:rFonts w:hint="default"/>
        <w:lang w:val="en-GB" w:eastAsia="en-GB" w:bidi="en-GB"/>
      </w:rPr>
    </w:lvl>
    <w:lvl w:ilvl="6" w:tplc="9AA67144">
      <w:numFmt w:val="bullet"/>
      <w:lvlText w:val="•"/>
      <w:lvlJc w:val="left"/>
      <w:pPr>
        <w:ind w:left="3855" w:hanging="217"/>
      </w:pPr>
      <w:rPr>
        <w:rFonts w:hint="default"/>
        <w:lang w:val="en-GB" w:eastAsia="en-GB" w:bidi="en-GB"/>
      </w:rPr>
    </w:lvl>
    <w:lvl w:ilvl="7" w:tplc="C4800132">
      <w:numFmt w:val="bullet"/>
      <w:lvlText w:val="•"/>
      <w:lvlJc w:val="left"/>
      <w:pPr>
        <w:ind w:left="4448" w:hanging="217"/>
      </w:pPr>
      <w:rPr>
        <w:rFonts w:hint="default"/>
        <w:lang w:val="en-GB" w:eastAsia="en-GB" w:bidi="en-GB"/>
      </w:rPr>
    </w:lvl>
    <w:lvl w:ilvl="8" w:tplc="341ED88E">
      <w:numFmt w:val="bullet"/>
      <w:lvlText w:val="•"/>
      <w:lvlJc w:val="left"/>
      <w:pPr>
        <w:ind w:left="5040" w:hanging="217"/>
      </w:pPr>
      <w:rPr>
        <w:rFonts w:hint="default"/>
        <w:lang w:val="en-GB" w:eastAsia="en-GB" w:bidi="en-GB"/>
      </w:rPr>
    </w:lvl>
  </w:abstractNum>
  <w:abstractNum w:abstractNumId="276" w15:restartNumberingAfterBreak="0">
    <w:nsid w:val="18DC5E42"/>
    <w:multiLevelType w:val="hybridMultilevel"/>
    <w:tmpl w:val="AEA0BB7E"/>
    <w:lvl w:ilvl="0" w:tplc="803C09D0">
      <w:numFmt w:val="bullet"/>
      <w:lvlText w:val="•"/>
      <w:lvlJc w:val="left"/>
      <w:pPr>
        <w:ind w:left="305" w:hanging="217"/>
      </w:pPr>
      <w:rPr>
        <w:rFonts w:ascii="Arial" w:eastAsia="Arial" w:hAnsi="Arial" w:cs="Arial" w:hint="default"/>
        <w:color w:val="231F20"/>
        <w:spacing w:val="-14"/>
        <w:w w:val="100"/>
        <w:sz w:val="18"/>
        <w:szCs w:val="18"/>
        <w:lang w:val="en-GB" w:eastAsia="en-GB" w:bidi="en-GB"/>
      </w:rPr>
    </w:lvl>
    <w:lvl w:ilvl="1" w:tplc="C8B69D26">
      <w:numFmt w:val="bullet"/>
      <w:lvlText w:val="•"/>
      <w:lvlJc w:val="left"/>
      <w:pPr>
        <w:ind w:left="892" w:hanging="217"/>
      </w:pPr>
      <w:rPr>
        <w:rFonts w:hint="default"/>
        <w:lang w:val="en-GB" w:eastAsia="en-GB" w:bidi="en-GB"/>
      </w:rPr>
    </w:lvl>
    <w:lvl w:ilvl="2" w:tplc="47948D58">
      <w:numFmt w:val="bullet"/>
      <w:lvlText w:val="•"/>
      <w:lvlJc w:val="left"/>
      <w:pPr>
        <w:ind w:left="1485" w:hanging="217"/>
      </w:pPr>
      <w:rPr>
        <w:rFonts w:hint="default"/>
        <w:lang w:val="en-GB" w:eastAsia="en-GB" w:bidi="en-GB"/>
      </w:rPr>
    </w:lvl>
    <w:lvl w:ilvl="3" w:tplc="F8DC9CD4">
      <w:numFmt w:val="bullet"/>
      <w:lvlText w:val="•"/>
      <w:lvlJc w:val="left"/>
      <w:pPr>
        <w:ind w:left="2077" w:hanging="217"/>
      </w:pPr>
      <w:rPr>
        <w:rFonts w:hint="default"/>
        <w:lang w:val="en-GB" w:eastAsia="en-GB" w:bidi="en-GB"/>
      </w:rPr>
    </w:lvl>
    <w:lvl w:ilvl="4" w:tplc="142062A6">
      <w:numFmt w:val="bullet"/>
      <w:lvlText w:val="•"/>
      <w:lvlJc w:val="left"/>
      <w:pPr>
        <w:ind w:left="2670" w:hanging="217"/>
      </w:pPr>
      <w:rPr>
        <w:rFonts w:hint="default"/>
        <w:lang w:val="en-GB" w:eastAsia="en-GB" w:bidi="en-GB"/>
      </w:rPr>
    </w:lvl>
    <w:lvl w:ilvl="5" w:tplc="CF0EDB74">
      <w:numFmt w:val="bullet"/>
      <w:lvlText w:val="•"/>
      <w:lvlJc w:val="left"/>
      <w:pPr>
        <w:ind w:left="3263" w:hanging="217"/>
      </w:pPr>
      <w:rPr>
        <w:rFonts w:hint="default"/>
        <w:lang w:val="en-GB" w:eastAsia="en-GB" w:bidi="en-GB"/>
      </w:rPr>
    </w:lvl>
    <w:lvl w:ilvl="6" w:tplc="9C3C4A08">
      <w:numFmt w:val="bullet"/>
      <w:lvlText w:val="•"/>
      <w:lvlJc w:val="left"/>
      <w:pPr>
        <w:ind w:left="3855" w:hanging="217"/>
      </w:pPr>
      <w:rPr>
        <w:rFonts w:hint="default"/>
        <w:lang w:val="en-GB" w:eastAsia="en-GB" w:bidi="en-GB"/>
      </w:rPr>
    </w:lvl>
    <w:lvl w:ilvl="7" w:tplc="A6BC08DA">
      <w:numFmt w:val="bullet"/>
      <w:lvlText w:val="•"/>
      <w:lvlJc w:val="left"/>
      <w:pPr>
        <w:ind w:left="4448" w:hanging="217"/>
      </w:pPr>
      <w:rPr>
        <w:rFonts w:hint="default"/>
        <w:lang w:val="en-GB" w:eastAsia="en-GB" w:bidi="en-GB"/>
      </w:rPr>
    </w:lvl>
    <w:lvl w:ilvl="8" w:tplc="F6526E30">
      <w:numFmt w:val="bullet"/>
      <w:lvlText w:val="•"/>
      <w:lvlJc w:val="left"/>
      <w:pPr>
        <w:ind w:left="5040" w:hanging="217"/>
      </w:pPr>
      <w:rPr>
        <w:rFonts w:hint="default"/>
        <w:lang w:val="en-GB" w:eastAsia="en-GB" w:bidi="en-GB"/>
      </w:rPr>
    </w:lvl>
  </w:abstractNum>
  <w:abstractNum w:abstractNumId="277" w15:restartNumberingAfterBreak="0">
    <w:nsid w:val="18DD153A"/>
    <w:multiLevelType w:val="hybridMultilevel"/>
    <w:tmpl w:val="F04090DA"/>
    <w:lvl w:ilvl="0" w:tplc="8126138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D369AAC">
      <w:numFmt w:val="bullet"/>
      <w:lvlText w:val="•"/>
      <w:lvlJc w:val="left"/>
      <w:pPr>
        <w:ind w:left="473" w:hanging="217"/>
      </w:pPr>
      <w:rPr>
        <w:rFonts w:hint="default"/>
        <w:lang w:val="en-GB" w:eastAsia="en-GB" w:bidi="en-GB"/>
      </w:rPr>
    </w:lvl>
    <w:lvl w:ilvl="2" w:tplc="2F042126">
      <w:numFmt w:val="bullet"/>
      <w:lvlText w:val="•"/>
      <w:lvlJc w:val="left"/>
      <w:pPr>
        <w:ind w:left="646" w:hanging="217"/>
      </w:pPr>
      <w:rPr>
        <w:rFonts w:hint="default"/>
        <w:lang w:val="en-GB" w:eastAsia="en-GB" w:bidi="en-GB"/>
      </w:rPr>
    </w:lvl>
    <w:lvl w:ilvl="3" w:tplc="2B969A44">
      <w:numFmt w:val="bullet"/>
      <w:lvlText w:val="•"/>
      <w:lvlJc w:val="left"/>
      <w:pPr>
        <w:ind w:left="819" w:hanging="217"/>
      </w:pPr>
      <w:rPr>
        <w:rFonts w:hint="default"/>
        <w:lang w:val="en-GB" w:eastAsia="en-GB" w:bidi="en-GB"/>
      </w:rPr>
    </w:lvl>
    <w:lvl w:ilvl="4" w:tplc="87181D94">
      <w:numFmt w:val="bullet"/>
      <w:lvlText w:val="•"/>
      <w:lvlJc w:val="left"/>
      <w:pPr>
        <w:ind w:left="992" w:hanging="217"/>
      </w:pPr>
      <w:rPr>
        <w:rFonts w:hint="default"/>
        <w:lang w:val="en-GB" w:eastAsia="en-GB" w:bidi="en-GB"/>
      </w:rPr>
    </w:lvl>
    <w:lvl w:ilvl="5" w:tplc="3EAC9CAE">
      <w:numFmt w:val="bullet"/>
      <w:lvlText w:val="•"/>
      <w:lvlJc w:val="left"/>
      <w:pPr>
        <w:ind w:left="1165" w:hanging="217"/>
      </w:pPr>
      <w:rPr>
        <w:rFonts w:hint="default"/>
        <w:lang w:val="en-GB" w:eastAsia="en-GB" w:bidi="en-GB"/>
      </w:rPr>
    </w:lvl>
    <w:lvl w:ilvl="6" w:tplc="5F166798">
      <w:numFmt w:val="bullet"/>
      <w:lvlText w:val="•"/>
      <w:lvlJc w:val="left"/>
      <w:pPr>
        <w:ind w:left="1338" w:hanging="217"/>
      </w:pPr>
      <w:rPr>
        <w:rFonts w:hint="default"/>
        <w:lang w:val="en-GB" w:eastAsia="en-GB" w:bidi="en-GB"/>
      </w:rPr>
    </w:lvl>
    <w:lvl w:ilvl="7" w:tplc="C0446CA6">
      <w:numFmt w:val="bullet"/>
      <w:lvlText w:val="•"/>
      <w:lvlJc w:val="left"/>
      <w:pPr>
        <w:ind w:left="1511" w:hanging="217"/>
      </w:pPr>
      <w:rPr>
        <w:rFonts w:hint="default"/>
        <w:lang w:val="en-GB" w:eastAsia="en-GB" w:bidi="en-GB"/>
      </w:rPr>
    </w:lvl>
    <w:lvl w:ilvl="8" w:tplc="B33EF3E4">
      <w:numFmt w:val="bullet"/>
      <w:lvlText w:val="•"/>
      <w:lvlJc w:val="left"/>
      <w:pPr>
        <w:ind w:left="1684" w:hanging="217"/>
      </w:pPr>
      <w:rPr>
        <w:rFonts w:hint="default"/>
        <w:lang w:val="en-GB" w:eastAsia="en-GB" w:bidi="en-GB"/>
      </w:rPr>
    </w:lvl>
  </w:abstractNum>
  <w:abstractNum w:abstractNumId="278" w15:restartNumberingAfterBreak="0">
    <w:nsid w:val="18F23D8C"/>
    <w:multiLevelType w:val="hybridMultilevel"/>
    <w:tmpl w:val="AD4A609C"/>
    <w:lvl w:ilvl="0" w:tplc="CEB809A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96801DEC">
      <w:numFmt w:val="bullet"/>
      <w:lvlText w:val="•"/>
      <w:lvlJc w:val="left"/>
      <w:pPr>
        <w:ind w:left="544" w:hanging="217"/>
      </w:pPr>
      <w:rPr>
        <w:rFonts w:hint="default"/>
        <w:lang w:val="en-GB" w:eastAsia="en-GB" w:bidi="en-GB"/>
      </w:rPr>
    </w:lvl>
    <w:lvl w:ilvl="2" w:tplc="57781488">
      <w:numFmt w:val="bullet"/>
      <w:lvlText w:val="•"/>
      <w:lvlJc w:val="left"/>
      <w:pPr>
        <w:ind w:left="788" w:hanging="217"/>
      </w:pPr>
      <w:rPr>
        <w:rFonts w:hint="default"/>
        <w:lang w:val="en-GB" w:eastAsia="en-GB" w:bidi="en-GB"/>
      </w:rPr>
    </w:lvl>
    <w:lvl w:ilvl="3" w:tplc="0D8643E6">
      <w:numFmt w:val="bullet"/>
      <w:lvlText w:val="•"/>
      <w:lvlJc w:val="left"/>
      <w:pPr>
        <w:ind w:left="1032" w:hanging="217"/>
      </w:pPr>
      <w:rPr>
        <w:rFonts w:hint="default"/>
        <w:lang w:val="en-GB" w:eastAsia="en-GB" w:bidi="en-GB"/>
      </w:rPr>
    </w:lvl>
    <w:lvl w:ilvl="4" w:tplc="1F649390">
      <w:numFmt w:val="bullet"/>
      <w:lvlText w:val="•"/>
      <w:lvlJc w:val="left"/>
      <w:pPr>
        <w:ind w:left="1276" w:hanging="217"/>
      </w:pPr>
      <w:rPr>
        <w:rFonts w:hint="default"/>
        <w:lang w:val="en-GB" w:eastAsia="en-GB" w:bidi="en-GB"/>
      </w:rPr>
    </w:lvl>
    <w:lvl w:ilvl="5" w:tplc="975C4FF0">
      <w:numFmt w:val="bullet"/>
      <w:lvlText w:val="•"/>
      <w:lvlJc w:val="left"/>
      <w:pPr>
        <w:ind w:left="1520" w:hanging="217"/>
      </w:pPr>
      <w:rPr>
        <w:rFonts w:hint="default"/>
        <w:lang w:val="en-GB" w:eastAsia="en-GB" w:bidi="en-GB"/>
      </w:rPr>
    </w:lvl>
    <w:lvl w:ilvl="6" w:tplc="29D4347E">
      <w:numFmt w:val="bullet"/>
      <w:lvlText w:val="•"/>
      <w:lvlJc w:val="left"/>
      <w:pPr>
        <w:ind w:left="1764" w:hanging="217"/>
      </w:pPr>
      <w:rPr>
        <w:rFonts w:hint="default"/>
        <w:lang w:val="en-GB" w:eastAsia="en-GB" w:bidi="en-GB"/>
      </w:rPr>
    </w:lvl>
    <w:lvl w:ilvl="7" w:tplc="55B2FAD4">
      <w:numFmt w:val="bullet"/>
      <w:lvlText w:val="•"/>
      <w:lvlJc w:val="left"/>
      <w:pPr>
        <w:ind w:left="2008" w:hanging="217"/>
      </w:pPr>
      <w:rPr>
        <w:rFonts w:hint="default"/>
        <w:lang w:val="en-GB" w:eastAsia="en-GB" w:bidi="en-GB"/>
      </w:rPr>
    </w:lvl>
    <w:lvl w:ilvl="8" w:tplc="4852D9DA">
      <w:numFmt w:val="bullet"/>
      <w:lvlText w:val="•"/>
      <w:lvlJc w:val="left"/>
      <w:pPr>
        <w:ind w:left="2252" w:hanging="217"/>
      </w:pPr>
      <w:rPr>
        <w:rFonts w:hint="default"/>
        <w:lang w:val="en-GB" w:eastAsia="en-GB" w:bidi="en-GB"/>
      </w:rPr>
    </w:lvl>
  </w:abstractNum>
  <w:abstractNum w:abstractNumId="279" w15:restartNumberingAfterBreak="0">
    <w:nsid w:val="19297C97"/>
    <w:multiLevelType w:val="hybridMultilevel"/>
    <w:tmpl w:val="208A9F84"/>
    <w:lvl w:ilvl="0" w:tplc="1C0E85EE">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9954D75E">
      <w:numFmt w:val="bullet"/>
      <w:lvlText w:val="•"/>
      <w:lvlJc w:val="left"/>
      <w:pPr>
        <w:ind w:left="473" w:hanging="217"/>
      </w:pPr>
      <w:rPr>
        <w:rFonts w:hint="default"/>
        <w:lang w:val="en-GB" w:eastAsia="en-GB" w:bidi="en-GB"/>
      </w:rPr>
    </w:lvl>
    <w:lvl w:ilvl="2" w:tplc="D41E1602">
      <w:numFmt w:val="bullet"/>
      <w:lvlText w:val="•"/>
      <w:lvlJc w:val="left"/>
      <w:pPr>
        <w:ind w:left="646" w:hanging="217"/>
      </w:pPr>
      <w:rPr>
        <w:rFonts w:hint="default"/>
        <w:lang w:val="en-GB" w:eastAsia="en-GB" w:bidi="en-GB"/>
      </w:rPr>
    </w:lvl>
    <w:lvl w:ilvl="3" w:tplc="B2C01A1E">
      <w:numFmt w:val="bullet"/>
      <w:lvlText w:val="•"/>
      <w:lvlJc w:val="left"/>
      <w:pPr>
        <w:ind w:left="819" w:hanging="217"/>
      </w:pPr>
      <w:rPr>
        <w:rFonts w:hint="default"/>
        <w:lang w:val="en-GB" w:eastAsia="en-GB" w:bidi="en-GB"/>
      </w:rPr>
    </w:lvl>
    <w:lvl w:ilvl="4" w:tplc="4E4C4D08">
      <w:numFmt w:val="bullet"/>
      <w:lvlText w:val="•"/>
      <w:lvlJc w:val="left"/>
      <w:pPr>
        <w:ind w:left="992" w:hanging="217"/>
      </w:pPr>
      <w:rPr>
        <w:rFonts w:hint="default"/>
        <w:lang w:val="en-GB" w:eastAsia="en-GB" w:bidi="en-GB"/>
      </w:rPr>
    </w:lvl>
    <w:lvl w:ilvl="5" w:tplc="B8DA1126">
      <w:numFmt w:val="bullet"/>
      <w:lvlText w:val="•"/>
      <w:lvlJc w:val="left"/>
      <w:pPr>
        <w:ind w:left="1165" w:hanging="217"/>
      </w:pPr>
      <w:rPr>
        <w:rFonts w:hint="default"/>
        <w:lang w:val="en-GB" w:eastAsia="en-GB" w:bidi="en-GB"/>
      </w:rPr>
    </w:lvl>
    <w:lvl w:ilvl="6" w:tplc="42C043A8">
      <w:numFmt w:val="bullet"/>
      <w:lvlText w:val="•"/>
      <w:lvlJc w:val="left"/>
      <w:pPr>
        <w:ind w:left="1338" w:hanging="217"/>
      </w:pPr>
      <w:rPr>
        <w:rFonts w:hint="default"/>
        <w:lang w:val="en-GB" w:eastAsia="en-GB" w:bidi="en-GB"/>
      </w:rPr>
    </w:lvl>
    <w:lvl w:ilvl="7" w:tplc="E7EE3698">
      <w:numFmt w:val="bullet"/>
      <w:lvlText w:val="•"/>
      <w:lvlJc w:val="left"/>
      <w:pPr>
        <w:ind w:left="1511" w:hanging="217"/>
      </w:pPr>
      <w:rPr>
        <w:rFonts w:hint="default"/>
        <w:lang w:val="en-GB" w:eastAsia="en-GB" w:bidi="en-GB"/>
      </w:rPr>
    </w:lvl>
    <w:lvl w:ilvl="8" w:tplc="EB8616F4">
      <w:numFmt w:val="bullet"/>
      <w:lvlText w:val="•"/>
      <w:lvlJc w:val="left"/>
      <w:pPr>
        <w:ind w:left="1684" w:hanging="217"/>
      </w:pPr>
      <w:rPr>
        <w:rFonts w:hint="default"/>
        <w:lang w:val="en-GB" w:eastAsia="en-GB" w:bidi="en-GB"/>
      </w:rPr>
    </w:lvl>
  </w:abstractNum>
  <w:abstractNum w:abstractNumId="280" w15:restartNumberingAfterBreak="0">
    <w:nsid w:val="19690C2F"/>
    <w:multiLevelType w:val="hybridMultilevel"/>
    <w:tmpl w:val="3964F9F8"/>
    <w:lvl w:ilvl="0" w:tplc="4FFCEB1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9D30E284">
      <w:numFmt w:val="bullet"/>
      <w:lvlText w:val="•"/>
      <w:lvlJc w:val="left"/>
      <w:pPr>
        <w:ind w:left="473" w:hanging="217"/>
      </w:pPr>
      <w:rPr>
        <w:rFonts w:hint="default"/>
        <w:lang w:val="en-GB" w:eastAsia="en-GB" w:bidi="en-GB"/>
      </w:rPr>
    </w:lvl>
    <w:lvl w:ilvl="2" w:tplc="8D1875DA">
      <w:numFmt w:val="bullet"/>
      <w:lvlText w:val="•"/>
      <w:lvlJc w:val="left"/>
      <w:pPr>
        <w:ind w:left="646" w:hanging="217"/>
      </w:pPr>
      <w:rPr>
        <w:rFonts w:hint="default"/>
        <w:lang w:val="en-GB" w:eastAsia="en-GB" w:bidi="en-GB"/>
      </w:rPr>
    </w:lvl>
    <w:lvl w:ilvl="3" w:tplc="926CC4A6">
      <w:numFmt w:val="bullet"/>
      <w:lvlText w:val="•"/>
      <w:lvlJc w:val="left"/>
      <w:pPr>
        <w:ind w:left="819" w:hanging="217"/>
      </w:pPr>
      <w:rPr>
        <w:rFonts w:hint="default"/>
        <w:lang w:val="en-GB" w:eastAsia="en-GB" w:bidi="en-GB"/>
      </w:rPr>
    </w:lvl>
    <w:lvl w:ilvl="4" w:tplc="CBDC4004">
      <w:numFmt w:val="bullet"/>
      <w:lvlText w:val="•"/>
      <w:lvlJc w:val="left"/>
      <w:pPr>
        <w:ind w:left="992" w:hanging="217"/>
      </w:pPr>
      <w:rPr>
        <w:rFonts w:hint="default"/>
        <w:lang w:val="en-GB" w:eastAsia="en-GB" w:bidi="en-GB"/>
      </w:rPr>
    </w:lvl>
    <w:lvl w:ilvl="5" w:tplc="52F2851C">
      <w:numFmt w:val="bullet"/>
      <w:lvlText w:val="•"/>
      <w:lvlJc w:val="left"/>
      <w:pPr>
        <w:ind w:left="1165" w:hanging="217"/>
      </w:pPr>
      <w:rPr>
        <w:rFonts w:hint="default"/>
        <w:lang w:val="en-GB" w:eastAsia="en-GB" w:bidi="en-GB"/>
      </w:rPr>
    </w:lvl>
    <w:lvl w:ilvl="6" w:tplc="1FE88EC8">
      <w:numFmt w:val="bullet"/>
      <w:lvlText w:val="•"/>
      <w:lvlJc w:val="left"/>
      <w:pPr>
        <w:ind w:left="1338" w:hanging="217"/>
      </w:pPr>
      <w:rPr>
        <w:rFonts w:hint="default"/>
        <w:lang w:val="en-GB" w:eastAsia="en-GB" w:bidi="en-GB"/>
      </w:rPr>
    </w:lvl>
    <w:lvl w:ilvl="7" w:tplc="FEC45ADA">
      <w:numFmt w:val="bullet"/>
      <w:lvlText w:val="•"/>
      <w:lvlJc w:val="left"/>
      <w:pPr>
        <w:ind w:left="1511" w:hanging="217"/>
      </w:pPr>
      <w:rPr>
        <w:rFonts w:hint="default"/>
        <w:lang w:val="en-GB" w:eastAsia="en-GB" w:bidi="en-GB"/>
      </w:rPr>
    </w:lvl>
    <w:lvl w:ilvl="8" w:tplc="FB1C2B32">
      <w:numFmt w:val="bullet"/>
      <w:lvlText w:val="•"/>
      <w:lvlJc w:val="left"/>
      <w:pPr>
        <w:ind w:left="1684" w:hanging="217"/>
      </w:pPr>
      <w:rPr>
        <w:rFonts w:hint="default"/>
        <w:lang w:val="en-GB" w:eastAsia="en-GB" w:bidi="en-GB"/>
      </w:rPr>
    </w:lvl>
  </w:abstractNum>
  <w:abstractNum w:abstractNumId="281" w15:restartNumberingAfterBreak="0">
    <w:nsid w:val="19737CB5"/>
    <w:multiLevelType w:val="hybridMultilevel"/>
    <w:tmpl w:val="0150DBAA"/>
    <w:lvl w:ilvl="0" w:tplc="B5B6AA3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436F6E4">
      <w:numFmt w:val="bullet"/>
      <w:lvlText w:val="•"/>
      <w:lvlJc w:val="left"/>
      <w:pPr>
        <w:ind w:left="473" w:hanging="217"/>
      </w:pPr>
      <w:rPr>
        <w:rFonts w:hint="default"/>
        <w:lang w:val="en-GB" w:eastAsia="en-GB" w:bidi="en-GB"/>
      </w:rPr>
    </w:lvl>
    <w:lvl w:ilvl="2" w:tplc="13169C64">
      <w:numFmt w:val="bullet"/>
      <w:lvlText w:val="•"/>
      <w:lvlJc w:val="left"/>
      <w:pPr>
        <w:ind w:left="646" w:hanging="217"/>
      </w:pPr>
      <w:rPr>
        <w:rFonts w:hint="default"/>
        <w:lang w:val="en-GB" w:eastAsia="en-GB" w:bidi="en-GB"/>
      </w:rPr>
    </w:lvl>
    <w:lvl w:ilvl="3" w:tplc="4AC600AA">
      <w:numFmt w:val="bullet"/>
      <w:lvlText w:val="•"/>
      <w:lvlJc w:val="left"/>
      <w:pPr>
        <w:ind w:left="819" w:hanging="217"/>
      </w:pPr>
      <w:rPr>
        <w:rFonts w:hint="default"/>
        <w:lang w:val="en-GB" w:eastAsia="en-GB" w:bidi="en-GB"/>
      </w:rPr>
    </w:lvl>
    <w:lvl w:ilvl="4" w:tplc="C4A2F982">
      <w:numFmt w:val="bullet"/>
      <w:lvlText w:val="•"/>
      <w:lvlJc w:val="left"/>
      <w:pPr>
        <w:ind w:left="992" w:hanging="217"/>
      </w:pPr>
      <w:rPr>
        <w:rFonts w:hint="default"/>
        <w:lang w:val="en-GB" w:eastAsia="en-GB" w:bidi="en-GB"/>
      </w:rPr>
    </w:lvl>
    <w:lvl w:ilvl="5" w:tplc="94586D3E">
      <w:numFmt w:val="bullet"/>
      <w:lvlText w:val="•"/>
      <w:lvlJc w:val="left"/>
      <w:pPr>
        <w:ind w:left="1165" w:hanging="217"/>
      </w:pPr>
      <w:rPr>
        <w:rFonts w:hint="default"/>
        <w:lang w:val="en-GB" w:eastAsia="en-GB" w:bidi="en-GB"/>
      </w:rPr>
    </w:lvl>
    <w:lvl w:ilvl="6" w:tplc="7A627742">
      <w:numFmt w:val="bullet"/>
      <w:lvlText w:val="•"/>
      <w:lvlJc w:val="left"/>
      <w:pPr>
        <w:ind w:left="1338" w:hanging="217"/>
      </w:pPr>
      <w:rPr>
        <w:rFonts w:hint="default"/>
        <w:lang w:val="en-GB" w:eastAsia="en-GB" w:bidi="en-GB"/>
      </w:rPr>
    </w:lvl>
    <w:lvl w:ilvl="7" w:tplc="96C0E64A">
      <w:numFmt w:val="bullet"/>
      <w:lvlText w:val="•"/>
      <w:lvlJc w:val="left"/>
      <w:pPr>
        <w:ind w:left="1511" w:hanging="217"/>
      </w:pPr>
      <w:rPr>
        <w:rFonts w:hint="default"/>
        <w:lang w:val="en-GB" w:eastAsia="en-GB" w:bidi="en-GB"/>
      </w:rPr>
    </w:lvl>
    <w:lvl w:ilvl="8" w:tplc="4128F7F0">
      <w:numFmt w:val="bullet"/>
      <w:lvlText w:val="•"/>
      <w:lvlJc w:val="left"/>
      <w:pPr>
        <w:ind w:left="1684" w:hanging="217"/>
      </w:pPr>
      <w:rPr>
        <w:rFonts w:hint="default"/>
        <w:lang w:val="en-GB" w:eastAsia="en-GB" w:bidi="en-GB"/>
      </w:rPr>
    </w:lvl>
  </w:abstractNum>
  <w:abstractNum w:abstractNumId="282" w15:restartNumberingAfterBreak="0">
    <w:nsid w:val="19AC0BEE"/>
    <w:multiLevelType w:val="hybridMultilevel"/>
    <w:tmpl w:val="AEBCDA9C"/>
    <w:lvl w:ilvl="0" w:tplc="2834C4E2">
      <w:numFmt w:val="bullet"/>
      <w:lvlText w:val="•"/>
      <w:lvlJc w:val="left"/>
      <w:pPr>
        <w:ind w:left="306" w:hanging="217"/>
      </w:pPr>
      <w:rPr>
        <w:rFonts w:ascii="Arial" w:eastAsia="Arial" w:hAnsi="Arial" w:cs="Arial" w:hint="default"/>
        <w:color w:val="231F20"/>
        <w:spacing w:val="-1"/>
        <w:w w:val="100"/>
        <w:sz w:val="18"/>
        <w:szCs w:val="18"/>
        <w:lang w:val="en-GB" w:eastAsia="en-GB" w:bidi="en-GB"/>
      </w:rPr>
    </w:lvl>
    <w:lvl w:ilvl="1" w:tplc="B9F8FAB8">
      <w:numFmt w:val="bullet"/>
      <w:lvlText w:val="•"/>
      <w:lvlJc w:val="left"/>
      <w:pPr>
        <w:ind w:left="444" w:hanging="217"/>
      </w:pPr>
      <w:rPr>
        <w:rFonts w:hint="default"/>
        <w:lang w:val="en-GB" w:eastAsia="en-GB" w:bidi="en-GB"/>
      </w:rPr>
    </w:lvl>
    <w:lvl w:ilvl="2" w:tplc="21FAE4B0">
      <w:numFmt w:val="bullet"/>
      <w:lvlText w:val="•"/>
      <w:lvlJc w:val="left"/>
      <w:pPr>
        <w:ind w:left="589" w:hanging="217"/>
      </w:pPr>
      <w:rPr>
        <w:rFonts w:hint="default"/>
        <w:lang w:val="en-GB" w:eastAsia="en-GB" w:bidi="en-GB"/>
      </w:rPr>
    </w:lvl>
    <w:lvl w:ilvl="3" w:tplc="CECABD9E">
      <w:numFmt w:val="bullet"/>
      <w:lvlText w:val="•"/>
      <w:lvlJc w:val="left"/>
      <w:pPr>
        <w:ind w:left="734" w:hanging="217"/>
      </w:pPr>
      <w:rPr>
        <w:rFonts w:hint="default"/>
        <w:lang w:val="en-GB" w:eastAsia="en-GB" w:bidi="en-GB"/>
      </w:rPr>
    </w:lvl>
    <w:lvl w:ilvl="4" w:tplc="F59E442A">
      <w:numFmt w:val="bullet"/>
      <w:lvlText w:val="•"/>
      <w:lvlJc w:val="left"/>
      <w:pPr>
        <w:ind w:left="878" w:hanging="217"/>
      </w:pPr>
      <w:rPr>
        <w:rFonts w:hint="default"/>
        <w:lang w:val="en-GB" w:eastAsia="en-GB" w:bidi="en-GB"/>
      </w:rPr>
    </w:lvl>
    <w:lvl w:ilvl="5" w:tplc="4DD2CDC2">
      <w:numFmt w:val="bullet"/>
      <w:lvlText w:val="•"/>
      <w:lvlJc w:val="left"/>
      <w:pPr>
        <w:ind w:left="1023" w:hanging="217"/>
      </w:pPr>
      <w:rPr>
        <w:rFonts w:hint="default"/>
        <w:lang w:val="en-GB" w:eastAsia="en-GB" w:bidi="en-GB"/>
      </w:rPr>
    </w:lvl>
    <w:lvl w:ilvl="6" w:tplc="2DA09820">
      <w:numFmt w:val="bullet"/>
      <w:lvlText w:val="•"/>
      <w:lvlJc w:val="left"/>
      <w:pPr>
        <w:ind w:left="1168" w:hanging="217"/>
      </w:pPr>
      <w:rPr>
        <w:rFonts w:hint="default"/>
        <w:lang w:val="en-GB" w:eastAsia="en-GB" w:bidi="en-GB"/>
      </w:rPr>
    </w:lvl>
    <w:lvl w:ilvl="7" w:tplc="9A925C78">
      <w:numFmt w:val="bullet"/>
      <w:lvlText w:val="•"/>
      <w:lvlJc w:val="left"/>
      <w:pPr>
        <w:ind w:left="1312" w:hanging="217"/>
      </w:pPr>
      <w:rPr>
        <w:rFonts w:hint="default"/>
        <w:lang w:val="en-GB" w:eastAsia="en-GB" w:bidi="en-GB"/>
      </w:rPr>
    </w:lvl>
    <w:lvl w:ilvl="8" w:tplc="C7EAE458">
      <w:numFmt w:val="bullet"/>
      <w:lvlText w:val="•"/>
      <w:lvlJc w:val="left"/>
      <w:pPr>
        <w:ind w:left="1457" w:hanging="217"/>
      </w:pPr>
      <w:rPr>
        <w:rFonts w:hint="default"/>
        <w:lang w:val="en-GB" w:eastAsia="en-GB" w:bidi="en-GB"/>
      </w:rPr>
    </w:lvl>
  </w:abstractNum>
  <w:abstractNum w:abstractNumId="283" w15:restartNumberingAfterBreak="0">
    <w:nsid w:val="19E51235"/>
    <w:multiLevelType w:val="hybridMultilevel"/>
    <w:tmpl w:val="4F107298"/>
    <w:lvl w:ilvl="0" w:tplc="ADF6282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1EE1F26">
      <w:numFmt w:val="bullet"/>
      <w:lvlText w:val="•"/>
      <w:lvlJc w:val="left"/>
      <w:pPr>
        <w:ind w:left="892" w:hanging="217"/>
      </w:pPr>
      <w:rPr>
        <w:rFonts w:hint="default"/>
        <w:lang w:val="en-GB" w:eastAsia="en-GB" w:bidi="en-GB"/>
      </w:rPr>
    </w:lvl>
    <w:lvl w:ilvl="2" w:tplc="350C6C0A">
      <w:numFmt w:val="bullet"/>
      <w:lvlText w:val="•"/>
      <w:lvlJc w:val="left"/>
      <w:pPr>
        <w:ind w:left="1485" w:hanging="217"/>
      </w:pPr>
      <w:rPr>
        <w:rFonts w:hint="default"/>
        <w:lang w:val="en-GB" w:eastAsia="en-GB" w:bidi="en-GB"/>
      </w:rPr>
    </w:lvl>
    <w:lvl w:ilvl="3" w:tplc="59EAEE8A">
      <w:numFmt w:val="bullet"/>
      <w:lvlText w:val="•"/>
      <w:lvlJc w:val="left"/>
      <w:pPr>
        <w:ind w:left="2077" w:hanging="217"/>
      </w:pPr>
      <w:rPr>
        <w:rFonts w:hint="default"/>
        <w:lang w:val="en-GB" w:eastAsia="en-GB" w:bidi="en-GB"/>
      </w:rPr>
    </w:lvl>
    <w:lvl w:ilvl="4" w:tplc="C2A27682">
      <w:numFmt w:val="bullet"/>
      <w:lvlText w:val="•"/>
      <w:lvlJc w:val="left"/>
      <w:pPr>
        <w:ind w:left="2670" w:hanging="217"/>
      </w:pPr>
      <w:rPr>
        <w:rFonts w:hint="default"/>
        <w:lang w:val="en-GB" w:eastAsia="en-GB" w:bidi="en-GB"/>
      </w:rPr>
    </w:lvl>
    <w:lvl w:ilvl="5" w:tplc="CA441290">
      <w:numFmt w:val="bullet"/>
      <w:lvlText w:val="•"/>
      <w:lvlJc w:val="left"/>
      <w:pPr>
        <w:ind w:left="3263" w:hanging="217"/>
      </w:pPr>
      <w:rPr>
        <w:rFonts w:hint="default"/>
        <w:lang w:val="en-GB" w:eastAsia="en-GB" w:bidi="en-GB"/>
      </w:rPr>
    </w:lvl>
    <w:lvl w:ilvl="6" w:tplc="87CE732C">
      <w:numFmt w:val="bullet"/>
      <w:lvlText w:val="•"/>
      <w:lvlJc w:val="left"/>
      <w:pPr>
        <w:ind w:left="3855" w:hanging="217"/>
      </w:pPr>
      <w:rPr>
        <w:rFonts w:hint="default"/>
        <w:lang w:val="en-GB" w:eastAsia="en-GB" w:bidi="en-GB"/>
      </w:rPr>
    </w:lvl>
    <w:lvl w:ilvl="7" w:tplc="BCD60432">
      <w:numFmt w:val="bullet"/>
      <w:lvlText w:val="•"/>
      <w:lvlJc w:val="left"/>
      <w:pPr>
        <w:ind w:left="4448" w:hanging="217"/>
      </w:pPr>
      <w:rPr>
        <w:rFonts w:hint="default"/>
        <w:lang w:val="en-GB" w:eastAsia="en-GB" w:bidi="en-GB"/>
      </w:rPr>
    </w:lvl>
    <w:lvl w:ilvl="8" w:tplc="42D42CDC">
      <w:numFmt w:val="bullet"/>
      <w:lvlText w:val="•"/>
      <w:lvlJc w:val="left"/>
      <w:pPr>
        <w:ind w:left="5040" w:hanging="217"/>
      </w:pPr>
      <w:rPr>
        <w:rFonts w:hint="default"/>
        <w:lang w:val="en-GB" w:eastAsia="en-GB" w:bidi="en-GB"/>
      </w:rPr>
    </w:lvl>
  </w:abstractNum>
  <w:abstractNum w:abstractNumId="284" w15:restartNumberingAfterBreak="0">
    <w:nsid w:val="19EA6112"/>
    <w:multiLevelType w:val="hybridMultilevel"/>
    <w:tmpl w:val="93C2FB0A"/>
    <w:lvl w:ilvl="0" w:tplc="683C36A8">
      <w:numFmt w:val="bullet"/>
      <w:lvlText w:val="•"/>
      <w:lvlJc w:val="left"/>
      <w:pPr>
        <w:ind w:left="303" w:hanging="217"/>
      </w:pPr>
      <w:rPr>
        <w:rFonts w:ascii="Arial" w:eastAsia="Arial" w:hAnsi="Arial" w:cs="Arial" w:hint="default"/>
        <w:color w:val="231F20"/>
        <w:w w:val="102"/>
        <w:sz w:val="17"/>
        <w:szCs w:val="17"/>
        <w:lang w:val="en-GB" w:eastAsia="en-GB" w:bidi="en-GB"/>
      </w:rPr>
    </w:lvl>
    <w:lvl w:ilvl="1" w:tplc="24B0D83C">
      <w:numFmt w:val="bullet"/>
      <w:lvlText w:val="•"/>
      <w:lvlJc w:val="left"/>
      <w:pPr>
        <w:ind w:left="439" w:hanging="217"/>
      </w:pPr>
      <w:rPr>
        <w:rFonts w:hint="default"/>
        <w:lang w:val="en-GB" w:eastAsia="en-GB" w:bidi="en-GB"/>
      </w:rPr>
    </w:lvl>
    <w:lvl w:ilvl="2" w:tplc="077EC89E">
      <w:numFmt w:val="bullet"/>
      <w:lvlText w:val="•"/>
      <w:lvlJc w:val="left"/>
      <w:pPr>
        <w:ind w:left="578" w:hanging="217"/>
      </w:pPr>
      <w:rPr>
        <w:rFonts w:hint="default"/>
        <w:lang w:val="en-GB" w:eastAsia="en-GB" w:bidi="en-GB"/>
      </w:rPr>
    </w:lvl>
    <w:lvl w:ilvl="3" w:tplc="03ECB414">
      <w:numFmt w:val="bullet"/>
      <w:lvlText w:val="•"/>
      <w:lvlJc w:val="left"/>
      <w:pPr>
        <w:ind w:left="717" w:hanging="217"/>
      </w:pPr>
      <w:rPr>
        <w:rFonts w:hint="default"/>
        <w:lang w:val="en-GB" w:eastAsia="en-GB" w:bidi="en-GB"/>
      </w:rPr>
    </w:lvl>
    <w:lvl w:ilvl="4" w:tplc="E900389E">
      <w:numFmt w:val="bullet"/>
      <w:lvlText w:val="•"/>
      <w:lvlJc w:val="left"/>
      <w:pPr>
        <w:ind w:left="856" w:hanging="217"/>
      </w:pPr>
      <w:rPr>
        <w:rFonts w:hint="default"/>
        <w:lang w:val="en-GB" w:eastAsia="en-GB" w:bidi="en-GB"/>
      </w:rPr>
    </w:lvl>
    <w:lvl w:ilvl="5" w:tplc="5A7A4D64">
      <w:numFmt w:val="bullet"/>
      <w:lvlText w:val="•"/>
      <w:lvlJc w:val="left"/>
      <w:pPr>
        <w:ind w:left="995" w:hanging="217"/>
      </w:pPr>
      <w:rPr>
        <w:rFonts w:hint="default"/>
        <w:lang w:val="en-GB" w:eastAsia="en-GB" w:bidi="en-GB"/>
      </w:rPr>
    </w:lvl>
    <w:lvl w:ilvl="6" w:tplc="6FAEF946">
      <w:numFmt w:val="bullet"/>
      <w:lvlText w:val="•"/>
      <w:lvlJc w:val="left"/>
      <w:pPr>
        <w:ind w:left="1134" w:hanging="217"/>
      </w:pPr>
      <w:rPr>
        <w:rFonts w:hint="default"/>
        <w:lang w:val="en-GB" w:eastAsia="en-GB" w:bidi="en-GB"/>
      </w:rPr>
    </w:lvl>
    <w:lvl w:ilvl="7" w:tplc="99CCC298">
      <w:numFmt w:val="bullet"/>
      <w:lvlText w:val="•"/>
      <w:lvlJc w:val="left"/>
      <w:pPr>
        <w:ind w:left="1273" w:hanging="217"/>
      </w:pPr>
      <w:rPr>
        <w:rFonts w:hint="default"/>
        <w:lang w:val="en-GB" w:eastAsia="en-GB" w:bidi="en-GB"/>
      </w:rPr>
    </w:lvl>
    <w:lvl w:ilvl="8" w:tplc="B8B472F4">
      <w:numFmt w:val="bullet"/>
      <w:lvlText w:val="•"/>
      <w:lvlJc w:val="left"/>
      <w:pPr>
        <w:ind w:left="1412" w:hanging="217"/>
      </w:pPr>
      <w:rPr>
        <w:rFonts w:hint="default"/>
        <w:lang w:val="en-GB" w:eastAsia="en-GB" w:bidi="en-GB"/>
      </w:rPr>
    </w:lvl>
  </w:abstractNum>
  <w:abstractNum w:abstractNumId="285" w15:restartNumberingAfterBreak="0">
    <w:nsid w:val="1A073866"/>
    <w:multiLevelType w:val="hybridMultilevel"/>
    <w:tmpl w:val="D0CCE1FC"/>
    <w:lvl w:ilvl="0" w:tplc="FFBA1228">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02E8C9A0">
      <w:numFmt w:val="bullet"/>
      <w:lvlText w:val="•"/>
      <w:lvlJc w:val="left"/>
      <w:pPr>
        <w:ind w:left="473" w:hanging="217"/>
      </w:pPr>
      <w:rPr>
        <w:rFonts w:hint="default"/>
        <w:lang w:val="en-GB" w:eastAsia="en-GB" w:bidi="en-GB"/>
      </w:rPr>
    </w:lvl>
    <w:lvl w:ilvl="2" w:tplc="7B2E1162">
      <w:numFmt w:val="bullet"/>
      <w:lvlText w:val="•"/>
      <w:lvlJc w:val="left"/>
      <w:pPr>
        <w:ind w:left="646" w:hanging="217"/>
      </w:pPr>
      <w:rPr>
        <w:rFonts w:hint="default"/>
        <w:lang w:val="en-GB" w:eastAsia="en-GB" w:bidi="en-GB"/>
      </w:rPr>
    </w:lvl>
    <w:lvl w:ilvl="3" w:tplc="37F4E2DC">
      <w:numFmt w:val="bullet"/>
      <w:lvlText w:val="•"/>
      <w:lvlJc w:val="left"/>
      <w:pPr>
        <w:ind w:left="819" w:hanging="217"/>
      </w:pPr>
      <w:rPr>
        <w:rFonts w:hint="default"/>
        <w:lang w:val="en-GB" w:eastAsia="en-GB" w:bidi="en-GB"/>
      </w:rPr>
    </w:lvl>
    <w:lvl w:ilvl="4" w:tplc="B70A7394">
      <w:numFmt w:val="bullet"/>
      <w:lvlText w:val="•"/>
      <w:lvlJc w:val="left"/>
      <w:pPr>
        <w:ind w:left="992" w:hanging="217"/>
      </w:pPr>
      <w:rPr>
        <w:rFonts w:hint="default"/>
        <w:lang w:val="en-GB" w:eastAsia="en-GB" w:bidi="en-GB"/>
      </w:rPr>
    </w:lvl>
    <w:lvl w:ilvl="5" w:tplc="582E5DCE">
      <w:numFmt w:val="bullet"/>
      <w:lvlText w:val="•"/>
      <w:lvlJc w:val="left"/>
      <w:pPr>
        <w:ind w:left="1165" w:hanging="217"/>
      </w:pPr>
      <w:rPr>
        <w:rFonts w:hint="default"/>
        <w:lang w:val="en-GB" w:eastAsia="en-GB" w:bidi="en-GB"/>
      </w:rPr>
    </w:lvl>
    <w:lvl w:ilvl="6" w:tplc="19A053E2">
      <w:numFmt w:val="bullet"/>
      <w:lvlText w:val="•"/>
      <w:lvlJc w:val="left"/>
      <w:pPr>
        <w:ind w:left="1338" w:hanging="217"/>
      </w:pPr>
      <w:rPr>
        <w:rFonts w:hint="default"/>
        <w:lang w:val="en-GB" w:eastAsia="en-GB" w:bidi="en-GB"/>
      </w:rPr>
    </w:lvl>
    <w:lvl w:ilvl="7" w:tplc="8C0C4442">
      <w:numFmt w:val="bullet"/>
      <w:lvlText w:val="•"/>
      <w:lvlJc w:val="left"/>
      <w:pPr>
        <w:ind w:left="1511" w:hanging="217"/>
      </w:pPr>
      <w:rPr>
        <w:rFonts w:hint="default"/>
        <w:lang w:val="en-GB" w:eastAsia="en-GB" w:bidi="en-GB"/>
      </w:rPr>
    </w:lvl>
    <w:lvl w:ilvl="8" w:tplc="0F28DBC8">
      <w:numFmt w:val="bullet"/>
      <w:lvlText w:val="•"/>
      <w:lvlJc w:val="left"/>
      <w:pPr>
        <w:ind w:left="1684" w:hanging="217"/>
      </w:pPr>
      <w:rPr>
        <w:rFonts w:hint="default"/>
        <w:lang w:val="en-GB" w:eastAsia="en-GB" w:bidi="en-GB"/>
      </w:rPr>
    </w:lvl>
  </w:abstractNum>
  <w:abstractNum w:abstractNumId="286" w15:restartNumberingAfterBreak="0">
    <w:nsid w:val="1A197913"/>
    <w:multiLevelType w:val="hybridMultilevel"/>
    <w:tmpl w:val="4FBE9848"/>
    <w:lvl w:ilvl="0" w:tplc="7E564D9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CA845A6">
      <w:numFmt w:val="bullet"/>
      <w:lvlText w:val="•"/>
      <w:lvlJc w:val="left"/>
      <w:pPr>
        <w:ind w:left="892" w:hanging="217"/>
      </w:pPr>
      <w:rPr>
        <w:rFonts w:hint="default"/>
        <w:lang w:val="en-GB" w:eastAsia="en-GB" w:bidi="en-GB"/>
      </w:rPr>
    </w:lvl>
    <w:lvl w:ilvl="2" w:tplc="61B6DE3E">
      <w:numFmt w:val="bullet"/>
      <w:lvlText w:val="•"/>
      <w:lvlJc w:val="left"/>
      <w:pPr>
        <w:ind w:left="1485" w:hanging="217"/>
      </w:pPr>
      <w:rPr>
        <w:rFonts w:hint="default"/>
        <w:lang w:val="en-GB" w:eastAsia="en-GB" w:bidi="en-GB"/>
      </w:rPr>
    </w:lvl>
    <w:lvl w:ilvl="3" w:tplc="B0DA3214">
      <w:numFmt w:val="bullet"/>
      <w:lvlText w:val="•"/>
      <w:lvlJc w:val="left"/>
      <w:pPr>
        <w:ind w:left="2077" w:hanging="217"/>
      </w:pPr>
      <w:rPr>
        <w:rFonts w:hint="default"/>
        <w:lang w:val="en-GB" w:eastAsia="en-GB" w:bidi="en-GB"/>
      </w:rPr>
    </w:lvl>
    <w:lvl w:ilvl="4" w:tplc="7482FC3C">
      <w:numFmt w:val="bullet"/>
      <w:lvlText w:val="•"/>
      <w:lvlJc w:val="left"/>
      <w:pPr>
        <w:ind w:left="2670" w:hanging="217"/>
      </w:pPr>
      <w:rPr>
        <w:rFonts w:hint="default"/>
        <w:lang w:val="en-GB" w:eastAsia="en-GB" w:bidi="en-GB"/>
      </w:rPr>
    </w:lvl>
    <w:lvl w:ilvl="5" w:tplc="4B765EC8">
      <w:numFmt w:val="bullet"/>
      <w:lvlText w:val="•"/>
      <w:lvlJc w:val="left"/>
      <w:pPr>
        <w:ind w:left="3263" w:hanging="217"/>
      </w:pPr>
      <w:rPr>
        <w:rFonts w:hint="default"/>
        <w:lang w:val="en-GB" w:eastAsia="en-GB" w:bidi="en-GB"/>
      </w:rPr>
    </w:lvl>
    <w:lvl w:ilvl="6" w:tplc="79ECD452">
      <w:numFmt w:val="bullet"/>
      <w:lvlText w:val="•"/>
      <w:lvlJc w:val="left"/>
      <w:pPr>
        <w:ind w:left="3855" w:hanging="217"/>
      </w:pPr>
      <w:rPr>
        <w:rFonts w:hint="default"/>
        <w:lang w:val="en-GB" w:eastAsia="en-GB" w:bidi="en-GB"/>
      </w:rPr>
    </w:lvl>
    <w:lvl w:ilvl="7" w:tplc="F56CEBFA">
      <w:numFmt w:val="bullet"/>
      <w:lvlText w:val="•"/>
      <w:lvlJc w:val="left"/>
      <w:pPr>
        <w:ind w:left="4448" w:hanging="217"/>
      </w:pPr>
      <w:rPr>
        <w:rFonts w:hint="default"/>
        <w:lang w:val="en-GB" w:eastAsia="en-GB" w:bidi="en-GB"/>
      </w:rPr>
    </w:lvl>
    <w:lvl w:ilvl="8" w:tplc="710066A6">
      <w:numFmt w:val="bullet"/>
      <w:lvlText w:val="•"/>
      <w:lvlJc w:val="left"/>
      <w:pPr>
        <w:ind w:left="5040" w:hanging="217"/>
      </w:pPr>
      <w:rPr>
        <w:rFonts w:hint="default"/>
        <w:lang w:val="en-GB" w:eastAsia="en-GB" w:bidi="en-GB"/>
      </w:rPr>
    </w:lvl>
  </w:abstractNum>
  <w:abstractNum w:abstractNumId="287" w15:restartNumberingAfterBreak="0">
    <w:nsid w:val="1A321865"/>
    <w:multiLevelType w:val="hybridMultilevel"/>
    <w:tmpl w:val="1B283FA4"/>
    <w:lvl w:ilvl="0" w:tplc="DBD071B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4CA3670">
      <w:numFmt w:val="bullet"/>
      <w:lvlText w:val="•"/>
      <w:lvlJc w:val="left"/>
      <w:pPr>
        <w:ind w:left="473" w:hanging="217"/>
      </w:pPr>
      <w:rPr>
        <w:rFonts w:hint="default"/>
        <w:lang w:val="en-GB" w:eastAsia="en-GB" w:bidi="en-GB"/>
      </w:rPr>
    </w:lvl>
    <w:lvl w:ilvl="2" w:tplc="F26CD452">
      <w:numFmt w:val="bullet"/>
      <w:lvlText w:val="•"/>
      <w:lvlJc w:val="left"/>
      <w:pPr>
        <w:ind w:left="646" w:hanging="217"/>
      </w:pPr>
      <w:rPr>
        <w:rFonts w:hint="default"/>
        <w:lang w:val="en-GB" w:eastAsia="en-GB" w:bidi="en-GB"/>
      </w:rPr>
    </w:lvl>
    <w:lvl w:ilvl="3" w:tplc="F5EE43D0">
      <w:numFmt w:val="bullet"/>
      <w:lvlText w:val="•"/>
      <w:lvlJc w:val="left"/>
      <w:pPr>
        <w:ind w:left="819" w:hanging="217"/>
      </w:pPr>
      <w:rPr>
        <w:rFonts w:hint="default"/>
        <w:lang w:val="en-GB" w:eastAsia="en-GB" w:bidi="en-GB"/>
      </w:rPr>
    </w:lvl>
    <w:lvl w:ilvl="4" w:tplc="0924F808">
      <w:numFmt w:val="bullet"/>
      <w:lvlText w:val="•"/>
      <w:lvlJc w:val="left"/>
      <w:pPr>
        <w:ind w:left="992" w:hanging="217"/>
      </w:pPr>
      <w:rPr>
        <w:rFonts w:hint="default"/>
        <w:lang w:val="en-GB" w:eastAsia="en-GB" w:bidi="en-GB"/>
      </w:rPr>
    </w:lvl>
    <w:lvl w:ilvl="5" w:tplc="D5467E48">
      <w:numFmt w:val="bullet"/>
      <w:lvlText w:val="•"/>
      <w:lvlJc w:val="left"/>
      <w:pPr>
        <w:ind w:left="1165" w:hanging="217"/>
      </w:pPr>
      <w:rPr>
        <w:rFonts w:hint="default"/>
        <w:lang w:val="en-GB" w:eastAsia="en-GB" w:bidi="en-GB"/>
      </w:rPr>
    </w:lvl>
    <w:lvl w:ilvl="6" w:tplc="0B3438B4">
      <w:numFmt w:val="bullet"/>
      <w:lvlText w:val="•"/>
      <w:lvlJc w:val="left"/>
      <w:pPr>
        <w:ind w:left="1338" w:hanging="217"/>
      </w:pPr>
      <w:rPr>
        <w:rFonts w:hint="default"/>
        <w:lang w:val="en-GB" w:eastAsia="en-GB" w:bidi="en-GB"/>
      </w:rPr>
    </w:lvl>
    <w:lvl w:ilvl="7" w:tplc="C51ECA72">
      <w:numFmt w:val="bullet"/>
      <w:lvlText w:val="•"/>
      <w:lvlJc w:val="left"/>
      <w:pPr>
        <w:ind w:left="1511" w:hanging="217"/>
      </w:pPr>
      <w:rPr>
        <w:rFonts w:hint="default"/>
        <w:lang w:val="en-GB" w:eastAsia="en-GB" w:bidi="en-GB"/>
      </w:rPr>
    </w:lvl>
    <w:lvl w:ilvl="8" w:tplc="0278F770">
      <w:numFmt w:val="bullet"/>
      <w:lvlText w:val="•"/>
      <w:lvlJc w:val="left"/>
      <w:pPr>
        <w:ind w:left="1684" w:hanging="217"/>
      </w:pPr>
      <w:rPr>
        <w:rFonts w:hint="default"/>
        <w:lang w:val="en-GB" w:eastAsia="en-GB" w:bidi="en-GB"/>
      </w:rPr>
    </w:lvl>
  </w:abstractNum>
  <w:abstractNum w:abstractNumId="288" w15:restartNumberingAfterBreak="0">
    <w:nsid w:val="1A363010"/>
    <w:multiLevelType w:val="hybridMultilevel"/>
    <w:tmpl w:val="20969B0A"/>
    <w:lvl w:ilvl="0" w:tplc="3ACE57D0">
      <w:numFmt w:val="bullet"/>
      <w:lvlText w:val="•"/>
      <w:lvlJc w:val="left"/>
      <w:pPr>
        <w:ind w:left="305" w:hanging="217"/>
      </w:pPr>
      <w:rPr>
        <w:rFonts w:ascii="Arial" w:eastAsia="Arial" w:hAnsi="Arial" w:cs="Arial" w:hint="default"/>
        <w:color w:val="231F20"/>
        <w:w w:val="100"/>
        <w:sz w:val="18"/>
        <w:szCs w:val="18"/>
        <w:lang w:val="en-GB" w:eastAsia="en-GB" w:bidi="en-GB"/>
      </w:rPr>
    </w:lvl>
    <w:lvl w:ilvl="1" w:tplc="381A95FE">
      <w:numFmt w:val="bullet"/>
      <w:lvlText w:val="•"/>
      <w:lvlJc w:val="left"/>
      <w:pPr>
        <w:ind w:left="467" w:hanging="217"/>
      </w:pPr>
      <w:rPr>
        <w:rFonts w:hint="default"/>
        <w:lang w:val="en-GB" w:eastAsia="en-GB" w:bidi="en-GB"/>
      </w:rPr>
    </w:lvl>
    <w:lvl w:ilvl="2" w:tplc="BB08D042">
      <w:numFmt w:val="bullet"/>
      <w:lvlText w:val="•"/>
      <w:lvlJc w:val="left"/>
      <w:pPr>
        <w:ind w:left="634" w:hanging="217"/>
      </w:pPr>
      <w:rPr>
        <w:rFonts w:hint="default"/>
        <w:lang w:val="en-GB" w:eastAsia="en-GB" w:bidi="en-GB"/>
      </w:rPr>
    </w:lvl>
    <w:lvl w:ilvl="3" w:tplc="0FB85374">
      <w:numFmt w:val="bullet"/>
      <w:lvlText w:val="•"/>
      <w:lvlJc w:val="left"/>
      <w:pPr>
        <w:ind w:left="802" w:hanging="217"/>
      </w:pPr>
      <w:rPr>
        <w:rFonts w:hint="default"/>
        <w:lang w:val="en-GB" w:eastAsia="en-GB" w:bidi="en-GB"/>
      </w:rPr>
    </w:lvl>
    <w:lvl w:ilvl="4" w:tplc="0CB852FA">
      <w:numFmt w:val="bullet"/>
      <w:lvlText w:val="•"/>
      <w:lvlJc w:val="left"/>
      <w:pPr>
        <w:ind w:left="969" w:hanging="217"/>
      </w:pPr>
      <w:rPr>
        <w:rFonts w:hint="default"/>
        <w:lang w:val="en-GB" w:eastAsia="en-GB" w:bidi="en-GB"/>
      </w:rPr>
    </w:lvl>
    <w:lvl w:ilvl="5" w:tplc="B0FAD5E0">
      <w:numFmt w:val="bullet"/>
      <w:lvlText w:val="•"/>
      <w:lvlJc w:val="left"/>
      <w:pPr>
        <w:ind w:left="1137" w:hanging="217"/>
      </w:pPr>
      <w:rPr>
        <w:rFonts w:hint="default"/>
        <w:lang w:val="en-GB" w:eastAsia="en-GB" w:bidi="en-GB"/>
      </w:rPr>
    </w:lvl>
    <w:lvl w:ilvl="6" w:tplc="7BBEA998">
      <w:numFmt w:val="bullet"/>
      <w:lvlText w:val="•"/>
      <w:lvlJc w:val="left"/>
      <w:pPr>
        <w:ind w:left="1304" w:hanging="217"/>
      </w:pPr>
      <w:rPr>
        <w:rFonts w:hint="default"/>
        <w:lang w:val="en-GB" w:eastAsia="en-GB" w:bidi="en-GB"/>
      </w:rPr>
    </w:lvl>
    <w:lvl w:ilvl="7" w:tplc="DF845BB6">
      <w:numFmt w:val="bullet"/>
      <w:lvlText w:val="•"/>
      <w:lvlJc w:val="left"/>
      <w:pPr>
        <w:ind w:left="1471" w:hanging="217"/>
      </w:pPr>
      <w:rPr>
        <w:rFonts w:hint="default"/>
        <w:lang w:val="en-GB" w:eastAsia="en-GB" w:bidi="en-GB"/>
      </w:rPr>
    </w:lvl>
    <w:lvl w:ilvl="8" w:tplc="BB0C5812">
      <w:numFmt w:val="bullet"/>
      <w:lvlText w:val="•"/>
      <w:lvlJc w:val="left"/>
      <w:pPr>
        <w:ind w:left="1639" w:hanging="217"/>
      </w:pPr>
      <w:rPr>
        <w:rFonts w:hint="default"/>
        <w:lang w:val="en-GB" w:eastAsia="en-GB" w:bidi="en-GB"/>
      </w:rPr>
    </w:lvl>
  </w:abstractNum>
  <w:abstractNum w:abstractNumId="289" w15:restartNumberingAfterBreak="0">
    <w:nsid w:val="1A526BF9"/>
    <w:multiLevelType w:val="hybridMultilevel"/>
    <w:tmpl w:val="E668C510"/>
    <w:lvl w:ilvl="0" w:tplc="AC12A3C4">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372CDF74">
      <w:numFmt w:val="bullet"/>
      <w:lvlText w:val="•"/>
      <w:lvlJc w:val="left"/>
      <w:pPr>
        <w:ind w:left="892" w:hanging="217"/>
      </w:pPr>
      <w:rPr>
        <w:rFonts w:hint="default"/>
        <w:lang w:val="en-GB" w:eastAsia="en-GB" w:bidi="en-GB"/>
      </w:rPr>
    </w:lvl>
    <w:lvl w:ilvl="2" w:tplc="0BFE661E">
      <w:numFmt w:val="bullet"/>
      <w:lvlText w:val="•"/>
      <w:lvlJc w:val="left"/>
      <w:pPr>
        <w:ind w:left="1485" w:hanging="217"/>
      </w:pPr>
      <w:rPr>
        <w:rFonts w:hint="default"/>
        <w:lang w:val="en-GB" w:eastAsia="en-GB" w:bidi="en-GB"/>
      </w:rPr>
    </w:lvl>
    <w:lvl w:ilvl="3" w:tplc="27AAEA5A">
      <w:numFmt w:val="bullet"/>
      <w:lvlText w:val="•"/>
      <w:lvlJc w:val="left"/>
      <w:pPr>
        <w:ind w:left="2077" w:hanging="217"/>
      </w:pPr>
      <w:rPr>
        <w:rFonts w:hint="default"/>
        <w:lang w:val="en-GB" w:eastAsia="en-GB" w:bidi="en-GB"/>
      </w:rPr>
    </w:lvl>
    <w:lvl w:ilvl="4" w:tplc="FCE0CDA6">
      <w:numFmt w:val="bullet"/>
      <w:lvlText w:val="•"/>
      <w:lvlJc w:val="left"/>
      <w:pPr>
        <w:ind w:left="2670" w:hanging="217"/>
      </w:pPr>
      <w:rPr>
        <w:rFonts w:hint="default"/>
        <w:lang w:val="en-GB" w:eastAsia="en-GB" w:bidi="en-GB"/>
      </w:rPr>
    </w:lvl>
    <w:lvl w:ilvl="5" w:tplc="1256CDC4">
      <w:numFmt w:val="bullet"/>
      <w:lvlText w:val="•"/>
      <w:lvlJc w:val="left"/>
      <w:pPr>
        <w:ind w:left="3263" w:hanging="217"/>
      </w:pPr>
      <w:rPr>
        <w:rFonts w:hint="default"/>
        <w:lang w:val="en-GB" w:eastAsia="en-GB" w:bidi="en-GB"/>
      </w:rPr>
    </w:lvl>
    <w:lvl w:ilvl="6" w:tplc="6A98A63A">
      <w:numFmt w:val="bullet"/>
      <w:lvlText w:val="•"/>
      <w:lvlJc w:val="left"/>
      <w:pPr>
        <w:ind w:left="3855" w:hanging="217"/>
      </w:pPr>
      <w:rPr>
        <w:rFonts w:hint="default"/>
        <w:lang w:val="en-GB" w:eastAsia="en-GB" w:bidi="en-GB"/>
      </w:rPr>
    </w:lvl>
    <w:lvl w:ilvl="7" w:tplc="72EC2F18">
      <w:numFmt w:val="bullet"/>
      <w:lvlText w:val="•"/>
      <w:lvlJc w:val="left"/>
      <w:pPr>
        <w:ind w:left="4448" w:hanging="217"/>
      </w:pPr>
      <w:rPr>
        <w:rFonts w:hint="default"/>
        <w:lang w:val="en-GB" w:eastAsia="en-GB" w:bidi="en-GB"/>
      </w:rPr>
    </w:lvl>
    <w:lvl w:ilvl="8" w:tplc="F40E60AC">
      <w:numFmt w:val="bullet"/>
      <w:lvlText w:val="•"/>
      <w:lvlJc w:val="left"/>
      <w:pPr>
        <w:ind w:left="5040" w:hanging="217"/>
      </w:pPr>
      <w:rPr>
        <w:rFonts w:hint="default"/>
        <w:lang w:val="en-GB" w:eastAsia="en-GB" w:bidi="en-GB"/>
      </w:rPr>
    </w:lvl>
  </w:abstractNum>
  <w:abstractNum w:abstractNumId="290" w15:restartNumberingAfterBreak="0">
    <w:nsid w:val="1A543C09"/>
    <w:multiLevelType w:val="hybridMultilevel"/>
    <w:tmpl w:val="AA5C182E"/>
    <w:lvl w:ilvl="0" w:tplc="DA5CAA9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238ACCE">
      <w:numFmt w:val="bullet"/>
      <w:lvlText w:val="•"/>
      <w:lvlJc w:val="left"/>
      <w:pPr>
        <w:ind w:left="473" w:hanging="217"/>
      </w:pPr>
      <w:rPr>
        <w:rFonts w:hint="default"/>
        <w:lang w:val="en-GB" w:eastAsia="en-GB" w:bidi="en-GB"/>
      </w:rPr>
    </w:lvl>
    <w:lvl w:ilvl="2" w:tplc="DE6217DC">
      <w:numFmt w:val="bullet"/>
      <w:lvlText w:val="•"/>
      <w:lvlJc w:val="left"/>
      <w:pPr>
        <w:ind w:left="646" w:hanging="217"/>
      </w:pPr>
      <w:rPr>
        <w:rFonts w:hint="default"/>
        <w:lang w:val="en-GB" w:eastAsia="en-GB" w:bidi="en-GB"/>
      </w:rPr>
    </w:lvl>
    <w:lvl w:ilvl="3" w:tplc="CF78DB60">
      <w:numFmt w:val="bullet"/>
      <w:lvlText w:val="•"/>
      <w:lvlJc w:val="left"/>
      <w:pPr>
        <w:ind w:left="819" w:hanging="217"/>
      </w:pPr>
      <w:rPr>
        <w:rFonts w:hint="default"/>
        <w:lang w:val="en-GB" w:eastAsia="en-GB" w:bidi="en-GB"/>
      </w:rPr>
    </w:lvl>
    <w:lvl w:ilvl="4" w:tplc="A60A41A8">
      <w:numFmt w:val="bullet"/>
      <w:lvlText w:val="•"/>
      <w:lvlJc w:val="left"/>
      <w:pPr>
        <w:ind w:left="992" w:hanging="217"/>
      </w:pPr>
      <w:rPr>
        <w:rFonts w:hint="default"/>
        <w:lang w:val="en-GB" w:eastAsia="en-GB" w:bidi="en-GB"/>
      </w:rPr>
    </w:lvl>
    <w:lvl w:ilvl="5" w:tplc="17E40F82">
      <w:numFmt w:val="bullet"/>
      <w:lvlText w:val="•"/>
      <w:lvlJc w:val="left"/>
      <w:pPr>
        <w:ind w:left="1165" w:hanging="217"/>
      </w:pPr>
      <w:rPr>
        <w:rFonts w:hint="default"/>
        <w:lang w:val="en-GB" w:eastAsia="en-GB" w:bidi="en-GB"/>
      </w:rPr>
    </w:lvl>
    <w:lvl w:ilvl="6" w:tplc="65FE18F6">
      <w:numFmt w:val="bullet"/>
      <w:lvlText w:val="•"/>
      <w:lvlJc w:val="left"/>
      <w:pPr>
        <w:ind w:left="1338" w:hanging="217"/>
      </w:pPr>
      <w:rPr>
        <w:rFonts w:hint="default"/>
        <w:lang w:val="en-GB" w:eastAsia="en-GB" w:bidi="en-GB"/>
      </w:rPr>
    </w:lvl>
    <w:lvl w:ilvl="7" w:tplc="F12E17DC">
      <w:numFmt w:val="bullet"/>
      <w:lvlText w:val="•"/>
      <w:lvlJc w:val="left"/>
      <w:pPr>
        <w:ind w:left="1511" w:hanging="217"/>
      </w:pPr>
      <w:rPr>
        <w:rFonts w:hint="default"/>
        <w:lang w:val="en-GB" w:eastAsia="en-GB" w:bidi="en-GB"/>
      </w:rPr>
    </w:lvl>
    <w:lvl w:ilvl="8" w:tplc="DC7AB7FA">
      <w:numFmt w:val="bullet"/>
      <w:lvlText w:val="•"/>
      <w:lvlJc w:val="left"/>
      <w:pPr>
        <w:ind w:left="1684" w:hanging="217"/>
      </w:pPr>
      <w:rPr>
        <w:rFonts w:hint="default"/>
        <w:lang w:val="en-GB" w:eastAsia="en-GB" w:bidi="en-GB"/>
      </w:rPr>
    </w:lvl>
  </w:abstractNum>
  <w:abstractNum w:abstractNumId="291" w15:restartNumberingAfterBreak="0">
    <w:nsid w:val="1A5560E9"/>
    <w:multiLevelType w:val="hybridMultilevel"/>
    <w:tmpl w:val="06822C3C"/>
    <w:lvl w:ilvl="0" w:tplc="61DA815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CB2A836">
      <w:numFmt w:val="bullet"/>
      <w:lvlText w:val="•"/>
      <w:lvlJc w:val="left"/>
      <w:pPr>
        <w:ind w:left="439" w:hanging="217"/>
      </w:pPr>
      <w:rPr>
        <w:rFonts w:hint="default"/>
        <w:lang w:val="en-GB" w:eastAsia="en-GB" w:bidi="en-GB"/>
      </w:rPr>
    </w:lvl>
    <w:lvl w:ilvl="2" w:tplc="CF5EC49A">
      <w:numFmt w:val="bullet"/>
      <w:lvlText w:val="•"/>
      <w:lvlJc w:val="left"/>
      <w:pPr>
        <w:ind w:left="578" w:hanging="217"/>
      </w:pPr>
      <w:rPr>
        <w:rFonts w:hint="default"/>
        <w:lang w:val="en-GB" w:eastAsia="en-GB" w:bidi="en-GB"/>
      </w:rPr>
    </w:lvl>
    <w:lvl w:ilvl="3" w:tplc="E40C25B2">
      <w:numFmt w:val="bullet"/>
      <w:lvlText w:val="•"/>
      <w:lvlJc w:val="left"/>
      <w:pPr>
        <w:ind w:left="717" w:hanging="217"/>
      </w:pPr>
      <w:rPr>
        <w:rFonts w:hint="default"/>
        <w:lang w:val="en-GB" w:eastAsia="en-GB" w:bidi="en-GB"/>
      </w:rPr>
    </w:lvl>
    <w:lvl w:ilvl="4" w:tplc="8C30B0D4">
      <w:numFmt w:val="bullet"/>
      <w:lvlText w:val="•"/>
      <w:lvlJc w:val="left"/>
      <w:pPr>
        <w:ind w:left="856" w:hanging="217"/>
      </w:pPr>
      <w:rPr>
        <w:rFonts w:hint="default"/>
        <w:lang w:val="en-GB" w:eastAsia="en-GB" w:bidi="en-GB"/>
      </w:rPr>
    </w:lvl>
    <w:lvl w:ilvl="5" w:tplc="3912C6BC">
      <w:numFmt w:val="bullet"/>
      <w:lvlText w:val="•"/>
      <w:lvlJc w:val="left"/>
      <w:pPr>
        <w:ind w:left="995" w:hanging="217"/>
      </w:pPr>
      <w:rPr>
        <w:rFonts w:hint="default"/>
        <w:lang w:val="en-GB" w:eastAsia="en-GB" w:bidi="en-GB"/>
      </w:rPr>
    </w:lvl>
    <w:lvl w:ilvl="6" w:tplc="C02C136C">
      <w:numFmt w:val="bullet"/>
      <w:lvlText w:val="•"/>
      <w:lvlJc w:val="left"/>
      <w:pPr>
        <w:ind w:left="1134" w:hanging="217"/>
      </w:pPr>
      <w:rPr>
        <w:rFonts w:hint="default"/>
        <w:lang w:val="en-GB" w:eastAsia="en-GB" w:bidi="en-GB"/>
      </w:rPr>
    </w:lvl>
    <w:lvl w:ilvl="7" w:tplc="633A10DE">
      <w:numFmt w:val="bullet"/>
      <w:lvlText w:val="•"/>
      <w:lvlJc w:val="left"/>
      <w:pPr>
        <w:ind w:left="1273" w:hanging="217"/>
      </w:pPr>
      <w:rPr>
        <w:rFonts w:hint="default"/>
        <w:lang w:val="en-GB" w:eastAsia="en-GB" w:bidi="en-GB"/>
      </w:rPr>
    </w:lvl>
    <w:lvl w:ilvl="8" w:tplc="756AC360">
      <w:numFmt w:val="bullet"/>
      <w:lvlText w:val="•"/>
      <w:lvlJc w:val="left"/>
      <w:pPr>
        <w:ind w:left="1412" w:hanging="217"/>
      </w:pPr>
      <w:rPr>
        <w:rFonts w:hint="default"/>
        <w:lang w:val="en-GB" w:eastAsia="en-GB" w:bidi="en-GB"/>
      </w:rPr>
    </w:lvl>
  </w:abstractNum>
  <w:abstractNum w:abstractNumId="292" w15:restartNumberingAfterBreak="0">
    <w:nsid w:val="1A586906"/>
    <w:multiLevelType w:val="hybridMultilevel"/>
    <w:tmpl w:val="96A6C2F2"/>
    <w:lvl w:ilvl="0" w:tplc="4B6CD59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33ED7A6">
      <w:numFmt w:val="bullet"/>
      <w:lvlText w:val="•"/>
      <w:lvlJc w:val="left"/>
      <w:pPr>
        <w:ind w:left="473" w:hanging="217"/>
      </w:pPr>
      <w:rPr>
        <w:rFonts w:hint="default"/>
        <w:lang w:val="en-GB" w:eastAsia="en-GB" w:bidi="en-GB"/>
      </w:rPr>
    </w:lvl>
    <w:lvl w:ilvl="2" w:tplc="7AA4495A">
      <w:numFmt w:val="bullet"/>
      <w:lvlText w:val="•"/>
      <w:lvlJc w:val="left"/>
      <w:pPr>
        <w:ind w:left="646" w:hanging="217"/>
      </w:pPr>
      <w:rPr>
        <w:rFonts w:hint="default"/>
        <w:lang w:val="en-GB" w:eastAsia="en-GB" w:bidi="en-GB"/>
      </w:rPr>
    </w:lvl>
    <w:lvl w:ilvl="3" w:tplc="6FDE0224">
      <w:numFmt w:val="bullet"/>
      <w:lvlText w:val="•"/>
      <w:lvlJc w:val="left"/>
      <w:pPr>
        <w:ind w:left="819" w:hanging="217"/>
      </w:pPr>
      <w:rPr>
        <w:rFonts w:hint="default"/>
        <w:lang w:val="en-GB" w:eastAsia="en-GB" w:bidi="en-GB"/>
      </w:rPr>
    </w:lvl>
    <w:lvl w:ilvl="4" w:tplc="5C26AE8A">
      <w:numFmt w:val="bullet"/>
      <w:lvlText w:val="•"/>
      <w:lvlJc w:val="left"/>
      <w:pPr>
        <w:ind w:left="992" w:hanging="217"/>
      </w:pPr>
      <w:rPr>
        <w:rFonts w:hint="default"/>
        <w:lang w:val="en-GB" w:eastAsia="en-GB" w:bidi="en-GB"/>
      </w:rPr>
    </w:lvl>
    <w:lvl w:ilvl="5" w:tplc="5C4C4AC0">
      <w:numFmt w:val="bullet"/>
      <w:lvlText w:val="•"/>
      <w:lvlJc w:val="left"/>
      <w:pPr>
        <w:ind w:left="1165" w:hanging="217"/>
      </w:pPr>
      <w:rPr>
        <w:rFonts w:hint="default"/>
        <w:lang w:val="en-GB" w:eastAsia="en-GB" w:bidi="en-GB"/>
      </w:rPr>
    </w:lvl>
    <w:lvl w:ilvl="6" w:tplc="29169ADC">
      <w:numFmt w:val="bullet"/>
      <w:lvlText w:val="•"/>
      <w:lvlJc w:val="left"/>
      <w:pPr>
        <w:ind w:left="1338" w:hanging="217"/>
      </w:pPr>
      <w:rPr>
        <w:rFonts w:hint="default"/>
        <w:lang w:val="en-GB" w:eastAsia="en-GB" w:bidi="en-GB"/>
      </w:rPr>
    </w:lvl>
    <w:lvl w:ilvl="7" w:tplc="4F14470E">
      <w:numFmt w:val="bullet"/>
      <w:lvlText w:val="•"/>
      <w:lvlJc w:val="left"/>
      <w:pPr>
        <w:ind w:left="1511" w:hanging="217"/>
      </w:pPr>
      <w:rPr>
        <w:rFonts w:hint="default"/>
        <w:lang w:val="en-GB" w:eastAsia="en-GB" w:bidi="en-GB"/>
      </w:rPr>
    </w:lvl>
    <w:lvl w:ilvl="8" w:tplc="6BBC6EAC">
      <w:numFmt w:val="bullet"/>
      <w:lvlText w:val="•"/>
      <w:lvlJc w:val="left"/>
      <w:pPr>
        <w:ind w:left="1684" w:hanging="217"/>
      </w:pPr>
      <w:rPr>
        <w:rFonts w:hint="default"/>
        <w:lang w:val="en-GB" w:eastAsia="en-GB" w:bidi="en-GB"/>
      </w:rPr>
    </w:lvl>
  </w:abstractNum>
  <w:abstractNum w:abstractNumId="293" w15:restartNumberingAfterBreak="0">
    <w:nsid w:val="1A626194"/>
    <w:multiLevelType w:val="hybridMultilevel"/>
    <w:tmpl w:val="59EC4084"/>
    <w:lvl w:ilvl="0" w:tplc="7316B848">
      <w:numFmt w:val="bullet"/>
      <w:lvlText w:val="•"/>
      <w:lvlJc w:val="left"/>
      <w:pPr>
        <w:ind w:left="300" w:hanging="217"/>
      </w:pPr>
      <w:rPr>
        <w:rFonts w:ascii="Arial" w:eastAsia="Arial" w:hAnsi="Arial" w:cs="Arial" w:hint="default"/>
        <w:color w:val="231F20"/>
        <w:w w:val="102"/>
        <w:sz w:val="17"/>
        <w:szCs w:val="17"/>
        <w:lang w:val="en-GB" w:eastAsia="en-GB" w:bidi="en-GB"/>
      </w:rPr>
    </w:lvl>
    <w:lvl w:ilvl="1" w:tplc="2938D016">
      <w:numFmt w:val="bullet"/>
      <w:lvlText w:val="•"/>
      <w:lvlJc w:val="left"/>
      <w:pPr>
        <w:ind w:left="892" w:hanging="217"/>
      </w:pPr>
      <w:rPr>
        <w:rFonts w:hint="default"/>
        <w:lang w:val="en-GB" w:eastAsia="en-GB" w:bidi="en-GB"/>
      </w:rPr>
    </w:lvl>
    <w:lvl w:ilvl="2" w:tplc="635C17FA">
      <w:numFmt w:val="bullet"/>
      <w:lvlText w:val="•"/>
      <w:lvlJc w:val="left"/>
      <w:pPr>
        <w:ind w:left="1484" w:hanging="217"/>
      </w:pPr>
      <w:rPr>
        <w:rFonts w:hint="default"/>
        <w:lang w:val="en-GB" w:eastAsia="en-GB" w:bidi="en-GB"/>
      </w:rPr>
    </w:lvl>
    <w:lvl w:ilvl="3" w:tplc="32A69214">
      <w:numFmt w:val="bullet"/>
      <w:lvlText w:val="•"/>
      <w:lvlJc w:val="left"/>
      <w:pPr>
        <w:ind w:left="2076" w:hanging="217"/>
      </w:pPr>
      <w:rPr>
        <w:rFonts w:hint="default"/>
        <w:lang w:val="en-GB" w:eastAsia="en-GB" w:bidi="en-GB"/>
      </w:rPr>
    </w:lvl>
    <w:lvl w:ilvl="4" w:tplc="B6D22BF2">
      <w:numFmt w:val="bullet"/>
      <w:lvlText w:val="•"/>
      <w:lvlJc w:val="left"/>
      <w:pPr>
        <w:ind w:left="2668" w:hanging="217"/>
      </w:pPr>
      <w:rPr>
        <w:rFonts w:hint="default"/>
        <w:lang w:val="en-GB" w:eastAsia="en-GB" w:bidi="en-GB"/>
      </w:rPr>
    </w:lvl>
    <w:lvl w:ilvl="5" w:tplc="65560D42">
      <w:numFmt w:val="bullet"/>
      <w:lvlText w:val="•"/>
      <w:lvlJc w:val="left"/>
      <w:pPr>
        <w:ind w:left="3260" w:hanging="217"/>
      </w:pPr>
      <w:rPr>
        <w:rFonts w:hint="default"/>
        <w:lang w:val="en-GB" w:eastAsia="en-GB" w:bidi="en-GB"/>
      </w:rPr>
    </w:lvl>
    <w:lvl w:ilvl="6" w:tplc="01D247B8">
      <w:numFmt w:val="bullet"/>
      <w:lvlText w:val="•"/>
      <w:lvlJc w:val="left"/>
      <w:pPr>
        <w:ind w:left="3852" w:hanging="217"/>
      </w:pPr>
      <w:rPr>
        <w:rFonts w:hint="default"/>
        <w:lang w:val="en-GB" w:eastAsia="en-GB" w:bidi="en-GB"/>
      </w:rPr>
    </w:lvl>
    <w:lvl w:ilvl="7" w:tplc="EA4C1B04">
      <w:numFmt w:val="bullet"/>
      <w:lvlText w:val="•"/>
      <w:lvlJc w:val="left"/>
      <w:pPr>
        <w:ind w:left="4444" w:hanging="217"/>
      </w:pPr>
      <w:rPr>
        <w:rFonts w:hint="default"/>
        <w:lang w:val="en-GB" w:eastAsia="en-GB" w:bidi="en-GB"/>
      </w:rPr>
    </w:lvl>
    <w:lvl w:ilvl="8" w:tplc="CDF0242A">
      <w:numFmt w:val="bullet"/>
      <w:lvlText w:val="•"/>
      <w:lvlJc w:val="left"/>
      <w:pPr>
        <w:ind w:left="5036" w:hanging="217"/>
      </w:pPr>
      <w:rPr>
        <w:rFonts w:hint="default"/>
        <w:lang w:val="en-GB" w:eastAsia="en-GB" w:bidi="en-GB"/>
      </w:rPr>
    </w:lvl>
  </w:abstractNum>
  <w:abstractNum w:abstractNumId="294" w15:restartNumberingAfterBreak="0">
    <w:nsid w:val="1A782221"/>
    <w:multiLevelType w:val="hybridMultilevel"/>
    <w:tmpl w:val="102A7FFA"/>
    <w:lvl w:ilvl="0" w:tplc="39002D1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0E643D6">
      <w:numFmt w:val="bullet"/>
      <w:lvlText w:val="•"/>
      <w:lvlJc w:val="left"/>
      <w:pPr>
        <w:ind w:left="473" w:hanging="217"/>
      </w:pPr>
      <w:rPr>
        <w:rFonts w:hint="default"/>
        <w:lang w:val="en-GB" w:eastAsia="en-GB" w:bidi="en-GB"/>
      </w:rPr>
    </w:lvl>
    <w:lvl w:ilvl="2" w:tplc="BD060C74">
      <w:numFmt w:val="bullet"/>
      <w:lvlText w:val="•"/>
      <w:lvlJc w:val="left"/>
      <w:pPr>
        <w:ind w:left="646" w:hanging="217"/>
      </w:pPr>
      <w:rPr>
        <w:rFonts w:hint="default"/>
        <w:lang w:val="en-GB" w:eastAsia="en-GB" w:bidi="en-GB"/>
      </w:rPr>
    </w:lvl>
    <w:lvl w:ilvl="3" w:tplc="2D28AB90">
      <w:numFmt w:val="bullet"/>
      <w:lvlText w:val="•"/>
      <w:lvlJc w:val="left"/>
      <w:pPr>
        <w:ind w:left="819" w:hanging="217"/>
      </w:pPr>
      <w:rPr>
        <w:rFonts w:hint="default"/>
        <w:lang w:val="en-GB" w:eastAsia="en-GB" w:bidi="en-GB"/>
      </w:rPr>
    </w:lvl>
    <w:lvl w:ilvl="4" w:tplc="3B02474E">
      <w:numFmt w:val="bullet"/>
      <w:lvlText w:val="•"/>
      <w:lvlJc w:val="left"/>
      <w:pPr>
        <w:ind w:left="992" w:hanging="217"/>
      </w:pPr>
      <w:rPr>
        <w:rFonts w:hint="default"/>
        <w:lang w:val="en-GB" w:eastAsia="en-GB" w:bidi="en-GB"/>
      </w:rPr>
    </w:lvl>
    <w:lvl w:ilvl="5" w:tplc="0944F0A2">
      <w:numFmt w:val="bullet"/>
      <w:lvlText w:val="•"/>
      <w:lvlJc w:val="left"/>
      <w:pPr>
        <w:ind w:left="1165" w:hanging="217"/>
      </w:pPr>
      <w:rPr>
        <w:rFonts w:hint="default"/>
        <w:lang w:val="en-GB" w:eastAsia="en-GB" w:bidi="en-GB"/>
      </w:rPr>
    </w:lvl>
    <w:lvl w:ilvl="6" w:tplc="40A4281E">
      <w:numFmt w:val="bullet"/>
      <w:lvlText w:val="•"/>
      <w:lvlJc w:val="left"/>
      <w:pPr>
        <w:ind w:left="1338" w:hanging="217"/>
      </w:pPr>
      <w:rPr>
        <w:rFonts w:hint="default"/>
        <w:lang w:val="en-GB" w:eastAsia="en-GB" w:bidi="en-GB"/>
      </w:rPr>
    </w:lvl>
    <w:lvl w:ilvl="7" w:tplc="86DE869A">
      <w:numFmt w:val="bullet"/>
      <w:lvlText w:val="•"/>
      <w:lvlJc w:val="left"/>
      <w:pPr>
        <w:ind w:left="1511" w:hanging="217"/>
      </w:pPr>
      <w:rPr>
        <w:rFonts w:hint="default"/>
        <w:lang w:val="en-GB" w:eastAsia="en-GB" w:bidi="en-GB"/>
      </w:rPr>
    </w:lvl>
    <w:lvl w:ilvl="8" w:tplc="2560408E">
      <w:numFmt w:val="bullet"/>
      <w:lvlText w:val="•"/>
      <w:lvlJc w:val="left"/>
      <w:pPr>
        <w:ind w:left="1684" w:hanging="217"/>
      </w:pPr>
      <w:rPr>
        <w:rFonts w:hint="default"/>
        <w:lang w:val="en-GB" w:eastAsia="en-GB" w:bidi="en-GB"/>
      </w:rPr>
    </w:lvl>
  </w:abstractNum>
  <w:abstractNum w:abstractNumId="295" w15:restartNumberingAfterBreak="0">
    <w:nsid w:val="1A7D707C"/>
    <w:multiLevelType w:val="hybridMultilevel"/>
    <w:tmpl w:val="0F1E47CA"/>
    <w:lvl w:ilvl="0" w:tplc="9E30326A">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77F0AA62">
      <w:numFmt w:val="bullet"/>
      <w:lvlText w:val="•"/>
      <w:lvlJc w:val="left"/>
      <w:pPr>
        <w:ind w:left="473" w:hanging="217"/>
      </w:pPr>
      <w:rPr>
        <w:rFonts w:hint="default"/>
        <w:lang w:val="en-GB" w:eastAsia="en-GB" w:bidi="en-GB"/>
      </w:rPr>
    </w:lvl>
    <w:lvl w:ilvl="2" w:tplc="22FC60A0">
      <w:numFmt w:val="bullet"/>
      <w:lvlText w:val="•"/>
      <w:lvlJc w:val="left"/>
      <w:pPr>
        <w:ind w:left="646" w:hanging="217"/>
      </w:pPr>
      <w:rPr>
        <w:rFonts w:hint="default"/>
        <w:lang w:val="en-GB" w:eastAsia="en-GB" w:bidi="en-GB"/>
      </w:rPr>
    </w:lvl>
    <w:lvl w:ilvl="3" w:tplc="5C28EF60">
      <w:numFmt w:val="bullet"/>
      <w:lvlText w:val="•"/>
      <w:lvlJc w:val="left"/>
      <w:pPr>
        <w:ind w:left="819" w:hanging="217"/>
      </w:pPr>
      <w:rPr>
        <w:rFonts w:hint="default"/>
        <w:lang w:val="en-GB" w:eastAsia="en-GB" w:bidi="en-GB"/>
      </w:rPr>
    </w:lvl>
    <w:lvl w:ilvl="4" w:tplc="E06C338A">
      <w:numFmt w:val="bullet"/>
      <w:lvlText w:val="•"/>
      <w:lvlJc w:val="left"/>
      <w:pPr>
        <w:ind w:left="992" w:hanging="217"/>
      </w:pPr>
      <w:rPr>
        <w:rFonts w:hint="default"/>
        <w:lang w:val="en-GB" w:eastAsia="en-GB" w:bidi="en-GB"/>
      </w:rPr>
    </w:lvl>
    <w:lvl w:ilvl="5" w:tplc="9550B618">
      <w:numFmt w:val="bullet"/>
      <w:lvlText w:val="•"/>
      <w:lvlJc w:val="left"/>
      <w:pPr>
        <w:ind w:left="1165" w:hanging="217"/>
      </w:pPr>
      <w:rPr>
        <w:rFonts w:hint="default"/>
        <w:lang w:val="en-GB" w:eastAsia="en-GB" w:bidi="en-GB"/>
      </w:rPr>
    </w:lvl>
    <w:lvl w:ilvl="6" w:tplc="48CE7BA2">
      <w:numFmt w:val="bullet"/>
      <w:lvlText w:val="•"/>
      <w:lvlJc w:val="left"/>
      <w:pPr>
        <w:ind w:left="1338" w:hanging="217"/>
      </w:pPr>
      <w:rPr>
        <w:rFonts w:hint="default"/>
        <w:lang w:val="en-GB" w:eastAsia="en-GB" w:bidi="en-GB"/>
      </w:rPr>
    </w:lvl>
    <w:lvl w:ilvl="7" w:tplc="7F14A580">
      <w:numFmt w:val="bullet"/>
      <w:lvlText w:val="•"/>
      <w:lvlJc w:val="left"/>
      <w:pPr>
        <w:ind w:left="1511" w:hanging="217"/>
      </w:pPr>
      <w:rPr>
        <w:rFonts w:hint="default"/>
        <w:lang w:val="en-GB" w:eastAsia="en-GB" w:bidi="en-GB"/>
      </w:rPr>
    </w:lvl>
    <w:lvl w:ilvl="8" w:tplc="920409A8">
      <w:numFmt w:val="bullet"/>
      <w:lvlText w:val="•"/>
      <w:lvlJc w:val="left"/>
      <w:pPr>
        <w:ind w:left="1684" w:hanging="217"/>
      </w:pPr>
      <w:rPr>
        <w:rFonts w:hint="default"/>
        <w:lang w:val="en-GB" w:eastAsia="en-GB" w:bidi="en-GB"/>
      </w:rPr>
    </w:lvl>
  </w:abstractNum>
  <w:abstractNum w:abstractNumId="296" w15:restartNumberingAfterBreak="0">
    <w:nsid w:val="1A821885"/>
    <w:multiLevelType w:val="hybridMultilevel"/>
    <w:tmpl w:val="CE42447E"/>
    <w:lvl w:ilvl="0" w:tplc="F38CC210">
      <w:numFmt w:val="bullet"/>
      <w:lvlText w:val="•"/>
      <w:lvlJc w:val="left"/>
      <w:pPr>
        <w:ind w:left="305" w:hanging="217"/>
      </w:pPr>
      <w:rPr>
        <w:rFonts w:ascii="Arial" w:eastAsia="Arial" w:hAnsi="Arial" w:cs="Arial" w:hint="default"/>
        <w:color w:val="231F20"/>
        <w:spacing w:val="-3"/>
        <w:w w:val="100"/>
        <w:sz w:val="18"/>
        <w:szCs w:val="18"/>
        <w:lang w:val="en-GB" w:eastAsia="en-GB" w:bidi="en-GB"/>
      </w:rPr>
    </w:lvl>
    <w:lvl w:ilvl="1" w:tplc="69A8D7CA">
      <w:numFmt w:val="bullet"/>
      <w:lvlText w:val="•"/>
      <w:lvlJc w:val="left"/>
      <w:pPr>
        <w:ind w:left="892" w:hanging="217"/>
      </w:pPr>
      <w:rPr>
        <w:rFonts w:hint="default"/>
        <w:lang w:val="en-GB" w:eastAsia="en-GB" w:bidi="en-GB"/>
      </w:rPr>
    </w:lvl>
    <w:lvl w:ilvl="2" w:tplc="0022571E">
      <w:numFmt w:val="bullet"/>
      <w:lvlText w:val="•"/>
      <w:lvlJc w:val="left"/>
      <w:pPr>
        <w:ind w:left="1485" w:hanging="217"/>
      </w:pPr>
      <w:rPr>
        <w:rFonts w:hint="default"/>
        <w:lang w:val="en-GB" w:eastAsia="en-GB" w:bidi="en-GB"/>
      </w:rPr>
    </w:lvl>
    <w:lvl w:ilvl="3" w:tplc="9F483288">
      <w:numFmt w:val="bullet"/>
      <w:lvlText w:val="•"/>
      <w:lvlJc w:val="left"/>
      <w:pPr>
        <w:ind w:left="2077" w:hanging="217"/>
      </w:pPr>
      <w:rPr>
        <w:rFonts w:hint="default"/>
        <w:lang w:val="en-GB" w:eastAsia="en-GB" w:bidi="en-GB"/>
      </w:rPr>
    </w:lvl>
    <w:lvl w:ilvl="4" w:tplc="18C49DBE">
      <w:numFmt w:val="bullet"/>
      <w:lvlText w:val="•"/>
      <w:lvlJc w:val="left"/>
      <w:pPr>
        <w:ind w:left="2670" w:hanging="217"/>
      </w:pPr>
      <w:rPr>
        <w:rFonts w:hint="default"/>
        <w:lang w:val="en-GB" w:eastAsia="en-GB" w:bidi="en-GB"/>
      </w:rPr>
    </w:lvl>
    <w:lvl w:ilvl="5" w:tplc="2E0267DE">
      <w:numFmt w:val="bullet"/>
      <w:lvlText w:val="•"/>
      <w:lvlJc w:val="left"/>
      <w:pPr>
        <w:ind w:left="3263" w:hanging="217"/>
      </w:pPr>
      <w:rPr>
        <w:rFonts w:hint="default"/>
        <w:lang w:val="en-GB" w:eastAsia="en-GB" w:bidi="en-GB"/>
      </w:rPr>
    </w:lvl>
    <w:lvl w:ilvl="6" w:tplc="3CEC9450">
      <w:numFmt w:val="bullet"/>
      <w:lvlText w:val="•"/>
      <w:lvlJc w:val="left"/>
      <w:pPr>
        <w:ind w:left="3855" w:hanging="217"/>
      </w:pPr>
      <w:rPr>
        <w:rFonts w:hint="default"/>
        <w:lang w:val="en-GB" w:eastAsia="en-GB" w:bidi="en-GB"/>
      </w:rPr>
    </w:lvl>
    <w:lvl w:ilvl="7" w:tplc="292617EC">
      <w:numFmt w:val="bullet"/>
      <w:lvlText w:val="•"/>
      <w:lvlJc w:val="left"/>
      <w:pPr>
        <w:ind w:left="4448" w:hanging="217"/>
      </w:pPr>
      <w:rPr>
        <w:rFonts w:hint="default"/>
        <w:lang w:val="en-GB" w:eastAsia="en-GB" w:bidi="en-GB"/>
      </w:rPr>
    </w:lvl>
    <w:lvl w:ilvl="8" w:tplc="1F58BD5E">
      <w:numFmt w:val="bullet"/>
      <w:lvlText w:val="•"/>
      <w:lvlJc w:val="left"/>
      <w:pPr>
        <w:ind w:left="5040" w:hanging="217"/>
      </w:pPr>
      <w:rPr>
        <w:rFonts w:hint="default"/>
        <w:lang w:val="en-GB" w:eastAsia="en-GB" w:bidi="en-GB"/>
      </w:rPr>
    </w:lvl>
  </w:abstractNum>
  <w:abstractNum w:abstractNumId="297" w15:restartNumberingAfterBreak="0">
    <w:nsid w:val="1A990EFC"/>
    <w:multiLevelType w:val="hybridMultilevel"/>
    <w:tmpl w:val="03DEB470"/>
    <w:lvl w:ilvl="0" w:tplc="C5528BC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8945286">
      <w:numFmt w:val="bullet"/>
      <w:lvlText w:val="•"/>
      <w:lvlJc w:val="left"/>
      <w:pPr>
        <w:ind w:left="541" w:hanging="217"/>
      </w:pPr>
      <w:rPr>
        <w:rFonts w:hint="default"/>
        <w:lang w:val="en-GB" w:eastAsia="en-GB" w:bidi="en-GB"/>
      </w:rPr>
    </w:lvl>
    <w:lvl w:ilvl="2" w:tplc="460CBF74">
      <w:numFmt w:val="bullet"/>
      <w:lvlText w:val="•"/>
      <w:lvlJc w:val="left"/>
      <w:pPr>
        <w:ind w:left="782" w:hanging="217"/>
      </w:pPr>
      <w:rPr>
        <w:rFonts w:hint="default"/>
        <w:lang w:val="en-GB" w:eastAsia="en-GB" w:bidi="en-GB"/>
      </w:rPr>
    </w:lvl>
    <w:lvl w:ilvl="3" w:tplc="4E6E3DFA">
      <w:numFmt w:val="bullet"/>
      <w:lvlText w:val="•"/>
      <w:lvlJc w:val="left"/>
      <w:pPr>
        <w:ind w:left="1023" w:hanging="217"/>
      </w:pPr>
      <w:rPr>
        <w:rFonts w:hint="default"/>
        <w:lang w:val="en-GB" w:eastAsia="en-GB" w:bidi="en-GB"/>
      </w:rPr>
    </w:lvl>
    <w:lvl w:ilvl="4" w:tplc="2C5E8780">
      <w:numFmt w:val="bullet"/>
      <w:lvlText w:val="•"/>
      <w:lvlJc w:val="left"/>
      <w:pPr>
        <w:ind w:left="1264" w:hanging="217"/>
      </w:pPr>
      <w:rPr>
        <w:rFonts w:hint="default"/>
        <w:lang w:val="en-GB" w:eastAsia="en-GB" w:bidi="en-GB"/>
      </w:rPr>
    </w:lvl>
    <w:lvl w:ilvl="5" w:tplc="B6B268BE">
      <w:numFmt w:val="bullet"/>
      <w:lvlText w:val="•"/>
      <w:lvlJc w:val="left"/>
      <w:pPr>
        <w:ind w:left="1505" w:hanging="217"/>
      </w:pPr>
      <w:rPr>
        <w:rFonts w:hint="default"/>
        <w:lang w:val="en-GB" w:eastAsia="en-GB" w:bidi="en-GB"/>
      </w:rPr>
    </w:lvl>
    <w:lvl w:ilvl="6" w:tplc="DE064A8E">
      <w:numFmt w:val="bullet"/>
      <w:lvlText w:val="•"/>
      <w:lvlJc w:val="left"/>
      <w:pPr>
        <w:ind w:left="1746" w:hanging="217"/>
      </w:pPr>
      <w:rPr>
        <w:rFonts w:hint="default"/>
        <w:lang w:val="en-GB" w:eastAsia="en-GB" w:bidi="en-GB"/>
      </w:rPr>
    </w:lvl>
    <w:lvl w:ilvl="7" w:tplc="9FF879F0">
      <w:numFmt w:val="bullet"/>
      <w:lvlText w:val="•"/>
      <w:lvlJc w:val="left"/>
      <w:pPr>
        <w:ind w:left="1987" w:hanging="217"/>
      </w:pPr>
      <w:rPr>
        <w:rFonts w:hint="default"/>
        <w:lang w:val="en-GB" w:eastAsia="en-GB" w:bidi="en-GB"/>
      </w:rPr>
    </w:lvl>
    <w:lvl w:ilvl="8" w:tplc="7C343284">
      <w:numFmt w:val="bullet"/>
      <w:lvlText w:val="•"/>
      <w:lvlJc w:val="left"/>
      <w:pPr>
        <w:ind w:left="2228" w:hanging="217"/>
      </w:pPr>
      <w:rPr>
        <w:rFonts w:hint="default"/>
        <w:lang w:val="en-GB" w:eastAsia="en-GB" w:bidi="en-GB"/>
      </w:rPr>
    </w:lvl>
  </w:abstractNum>
  <w:abstractNum w:abstractNumId="298" w15:restartNumberingAfterBreak="0">
    <w:nsid w:val="1AAB3F87"/>
    <w:multiLevelType w:val="hybridMultilevel"/>
    <w:tmpl w:val="D4F0795A"/>
    <w:lvl w:ilvl="0" w:tplc="F7446E16">
      <w:numFmt w:val="bullet"/>
      <w:lvlText w:val="•"/>
      <w:lvlJc w:val="left"/>
      <w:pPr>
        <w:ind w:left="300" w:hanging="217"/>
      </w:pPr>
      <w:rPr>
        <w:rFonts w:ascii="Arial" w:eastAsia="Arial" w:hAnsi="Arial" w:cs="Arial" w:hint="default"/>
        <w:color w:val="231F20"/>
        <w:w w:val="102"/>
        <w:sz w:val="17"/>
        <w:szCs w:val="17"/>
        <w:lang w:val="en-GB" w:eastAsia="en-GB" w:bidi="en-GB"/>
      </w:rPr>
    </w:lvl>
    <w:lvl w:ilvl="1" w:tplc="9A6C8EC4">
      <w:numFmt w:val="bullet"/>
      <w:lvlText w:val="•"/>
      <w:lvlJc w:val="left"/>
      <w:pPr>
        <w:ind w:left="892" w:hanging="217"/>
      </w:pPr>
      <w:rPr>
        <w:rFonts w:hint="default"/>
        <w:lang w:val="en-GB" w:eastAsia="en-GB" w:bidi="en-GB"/>
      </w:rPr>
    </w:lvl>
    <w:lvl w:ilvl="2" w:tplc="924AA27E">
      <w:numFmt w:val="bullet"/>
      <w:lvlText w:val="•"/>
      <w:lvlJc w:val="left"/>
      <w:pPr>
        <w:ind w:left="1484" w:hanging="217"/>
      </w:pPr>
      <w:rPr>
        <w:rFonts w:hint="default"/>
        <w:lang w:val="en-GB" w:eastAsia="en-GB" w:bidi="en-GB"/>
      </w:rPr>
    </w:lvl>
    <w:lvl w:ilvl="3" w:tplc="6C289666">
      <w:numFmt w:val="bullet"/>
      <w:lvlText w:val="•"/>
      <w:lvlJc w:val="left"/>
      <w:pPr>
        <w:ind w:left="2076" w:hanging="217"/>
      </w:pPr>
      <w:rPr>
        <w:rFonts w:hint="default"/>
        <w:lang w:val="en-GB" w:eastAsia="en-GB" w:bidi="en-GB"/>
      </w:rPr>
    </w:lvl>
    <w:lvl w:ilvl="4" w:tplc="48B0EA54">
      <w:numFmt w:val="bullet"/>
      <w:lvlText w:val="•"/>
      <w:lvlJc w:val="left"/>
      <w:pPr>
        <w:ind w:left="2668" w:hanging="217"/>
      </w:pPr>
      <w:rPr>
        <w:rFonts w:hint="default"/>
        <w:lang w:val="en-GB" w:eastAsia="en-GB" w:bidi="en-GB"/>
      </w:rPr>
    </w:lvl>
    <w:lvl w:ilvl="5" w:tplc="170685FA">
      <w:numFmt w:val="bullet"/>
      <w:lvlText w:val="•"/>
      <w:lvlJc w:val="left"/>
      <w:pPr>
        <w:ind w:left="3260" w:hanging="217"/>
      </w:pPr>
      <w:rPr>
        <w:rFonts w:hint="default"/>
        <w:lang w:val="en-GB" w:eastAsia="en-GB" w:bidi="en-GB"/>
      </w:rPr>
    </w:lvl>
    <w:lvl w:ilvl="6" w:tplc="38105090">
      <w:numFmt w:val="bullet"/>
      <w:lvlText w:val="•"/>
      <w:lvlJc w:val="left"/>
      <w:pPr>
        <w:ind w:left="3852" w:hanging="217"/>
      </w:pPr>
      <w:rPr>
        <w:rFonts w:hint="default"/>
        <w:lang w:val="en-GB" w:eastAsia="en-GB" w:bidi="en-GB"/>
      </w:rPr>
    </w:lvl>
    <w:lvl w:ilvl="7" w:tplc="17849EDA">
      <w:numFmt w:val="bullet"/>
      <w:lvlText w:val="•"/>
      <w:lvlJc w:val="left"/>
      <w:pPr>
        <w:ind w:left="4444" w:hanging="217"/>
      </w:pPr>
      <w:rPr>
        <w:rFonts w:hint="default"/>
        <w:lang w:val="en-GB" w:eastAsia="en-GB" w:bidi="en-GB"/>
      </w:rPr>
    </w:lvl>
    <w:lvl w:ilvl="8" w:tplc="8CFAD5E0">
      <w:numFmt w:val="bullet"/>
      <w:lvlText w:val="•"/>
      <w:lvlJc w:val="left"/>
      <w:pPr>
        <w:ind w:left="5036" w:hanging="217"/>
      </w:pPr>
      <w:rPr>
        <w:rFonts w:hint="default"/>
        <w:lang w:val="en-GB" w:eastAsia="en-GB" w:bidi="en-GB"/>
      </w:rPr>
    </w:lvl>
  </w:abstractNum>
  <w:abstractNum w:abstractNumId="299" w15:restartNumberingAfterBreak="0">
    <w:nsid w:val="1AD93A8B"/>
    <w:multiLevelType w:val="hybridMultilevel"/>
    <w:tmpl w:val="69A42BBA"/>
    <w:lvl w:ilvl="0" w:tplc="CD9A22E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5588D14">
      <w:numFmt w:val="bullet"/>
      <w:lvlText w:val="•"/>
      <w:lvlJc w:val="left"/>
      <w:pPr>
        <w:ind w:left="892" w:hanging="217"/>
      </w:pPr>
      <w:rPr>
        <w:rFonts w:hint="default"/>
        <w:lang w:val="en-GB" w:eastAsia="en-GB" w:bidi="en-GB"/>
      </w:rPr>
    </w:lvl>
    <w:lvl w:ilvl="2" w:tplc="B40EF582">
      <w:numFmt w:val="bullet"/>
      <w:lvlText w:val="•"/>
      <w:lvlJc w:val="left"/>
      <w:pPr>
        <w:ind w:left="1485" w:hanging="217"/>
      </w:pPr>
      <w:rPr>
        <w:rFonts w:hint="default"/>
        <w:lang w:val="en-GB" w:eastAsia="en-GB" w:bidi="en-GB"/>
      </w:rPr>
    </w:lvl>
    <w:lvl w:ilvl="3" w:tplc="FE7A2832">
      <w:numFmt w:val="bullet"/>
      <w:lvlText w:val="•"/>
      <w:lvlJc w:val="left"/>
      <w:pPr>
        <w:ind w:left="2077" w:hanging="217"/>
      </w:pPr>
      <w:rPr>
        <w:rFonts w:hint="default"/>
        <w:lang w:val="en-GB" w:eastAsia="en-GB" w:bidi="en-GB"/>
      </w:rPr>
    </w:lvl>
    <w:lvl w:ilvl="4" w:tplc="69B499E6">
      <w:numFmt w:val="bullet"/>
      <w:lvlText w:val="•"/>
      <w:lvlJc w:val="left"/>
      <w:pPr>
        <w:ind w:left="2670" w:hanging="217"/>
      </w:pPr>
      <w:rPr>
        <w:rFonts w:hint="default"/>
        <w:lang w:val="en-GB" w:eastAsia="en-GB" w:bidi="en-GB"/>
      </w:rPr>
    </w:lvl>
    <w:lvl w:ilvl="5" w:tplc="9BDA7C28">
      <w:numFmt w:val="bullet"/>
      <w:lvlText w:val="•"/>
      <w:lvlJc w:val="left"/>
      <w:pPr>
        <w:ind w:left="3263" w:hanging="217"/>
      </w:pPr>
      <w:rPr>
        <w:rFonts w:hint="default"/>
        <w:lang w:val="en-GB" w:eastAsia="en-GB" w:bidi="en-GB"/>
      </w:rPr>
    </w:lvl>
    <w:lvl w:ilvl="6" w:tplc="B13AAA58">
      <w:numFmt w:val="bullet"/>
      <w:lvlText w:val="•"/>
      <w:lvlJc w:val="left"/>
      <w:pPr>
        <w:ind w:left="3855" w:hanging="217"/>
      </w:pPr>
      <w:rPr>
        <w:rFonts w:hint="default"/>
        <w:lang w:val="en-GB" w:eastAsia="en-GB" w:bidi="en-GB"/>
      </w:rPr>
    </w:lvl>
    <w:lvl w:ilvl="7" w:tplc="6DE0C150">
      <w:numFmt w:val="bullet"/>
      <w:lvlText w:val="•"/>
      <w:lvlJc w:val="left"/>
      <w:pPr>
        <w:ind w:left="4448" w:hanging="217"/>
      </w:pPr>
      <w:rPr>
        <w:rFonts w:hint="default"/>
        <w:lang w:val="en-GB" w:eastAsia="en-GB" w:bidi="en-GB"/>
      </w:rPr>
    </w:lvl>
    <w:lvl w:ilvl="8" w:tplc="BCD0ED78">
      <w:numFmt w:val="bullet"/>
      <w:lvlText w:val="•"/>
      <w:lvlJc w:val="left"/>
      <w:pPr>
        <w:ind w:left="5040" w:hanging="217"/>
      </w:pPr>
      <w:rPr>
        <w:rFonts w:hint="default"/>
        <w:lang w:val="en-GB" w:eastAsia="en-GB" w:bidi="en-GB"/>
      </w:rPr>
    </w:lvl>
  </w:abstractNum>
  <w:abstractNum w:abstractNumId="300" w15:restartNumberingAfterBreak="0">
    <w:nsid w:val="1AEB65F3"/>
    <w:multiLevelType w:val="hybridMultilevel"/>
    <w:tmpl w:val="D6DE85E8"/>
    <w:lvl w:ilvl="0" w:tplc="7916E2E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3A867F2">
      <w:numFmt w:val="bullet"/>
      <w:lvlText w:val="•"/>
      <w:lvlJc w:val="left"/>
      <w:pPr>
        <w:ind w:left="473" w:hanging="217"/>
      </w:pPr>
      <w:rPr>
        <w:rFonts w:hint="default"/>
        <w:lang w:val="en-GB" w:eastAsia="en-GB" w:bidi="en-GB"/>
      </w:rPr>
    </w:lvl>
    <w:lvl w:ilvl="2" w:tplc="07FC8936">
      <w:numFmt w:val="bullet"/>
      <w:lvlText w:val="•"/>
      <w:lvlJc w:val="left"/>
      <w:pPr>
        <w:ind w:left="646" w:hanging="217"/>
      </w:pPr>
      <w:rPr>
        <w:rFonts w:hint="default"/>
        <w:lang w:val="en-GB" w:eastAsia="en-GB" w:bidi="en-GB"/>
      </w:rPr>
    </w:lvl>
    <w:lvl w:ilvl="3" w:tplc="5BFE8408">
      <w:numFmt w:val="bullet"/>
      <w:lvlText w:val="•"/>
      <w:lvlJc w:val="left"/>
      <w:pPr>
        <w:ind w:left="819" w:hanging="217"/>
      </w:pPr>
      <w:rPr>
        <w:rFonts w:hint="default"/>
        <w:lang w:val="en-GB" w:eastAsia="en-GB" w:bidi="en-GB"/>
      </w:rPr>
    </w:lvl>
    <w:lvl w:ilvl="4" w:tplc="B94E7CAC">
      <w:numFmt w:val="bullet"/>
      <w:lvlText w:val="•"/>
      <w:lvlJc w:val="left"/>
      <w:pPr>
        <w:ind w:left="992" w:hanging="217"/>
      </w:pPr>
      <w:rPr>
        <w:rFonts w:hint="default"/>
        <w:lang w:val="en-GB" w:eastAsia="en-GB" w:bidi="en-GB"/>
      </w:rPr>
    </w:lvl>
    <w:lvl w:ilvl="5" w:tplc="56964E24">
      <w:numFmt w:val="bullet"/>
      <w:lvlText w:val="•"/>
      <w:lvlJc w:val="left"/>
      <w:pPr>
        <w:ind w:left="1165" w:hanging="217"/>
      </w:pPr>
      <w:rPr>
        <w:rFonts w:hint="default"/>
        <w:lang w:val="en-GB" w:eastAsia="en-GB" w:bidi="en-GB"/>
      </w:rPr>
    </w:lvl>
    <w:lvl w:ilvl="6" w:tplc="0E0A1200">
      <w:numFmt w:val="bullet"/>
      <w:lvlText w:val="•"/>
      <w:lvlJc w:val="left"/>
      <w:pPr>
        <w:ind w:left="1338" w:hanging="217"/>
      </w:pPr>
      <w:rPr>
        <w:rFonts w:hint="default"/>
        <w:lang w:val="en-GB" w:eastAsia="en-GB" w:bidi="en-GB"/>
      </w:rPr>
    </w:lvl>
    <w:lvl w:ilvl="7" w:tplc="CFDCC354">
      <w:numFmt w:val="bullet"/>
      <w:lvlText w:val="•"/>
      <w:lvlJc w:val="left"/>
      <w:pPr>
        <w:ind w:left="1511" w:hanging="217"/>
      </w:pPr>
      <w:rPr>
        <w:rFonts w:hint="default"/>
        <w:lang w:val="en-GB" w:eastAsia="en-GB" w:bidi="en-GB"/>
      </w:rPr>
    </w:lvl>
    <w:lvl w:ilvl="8" w:tplc="E26E359A">
      <w:numFmt w:val="bullet"/>
      <w:lvlText w:val="•"/>
      <w:lvlJc w:val="left"/>
      <w:pPr>
        <w:ind w:left="1684" w:hanging="217"/>
      </w:pPr>
      <w:rPr>
        <w:rFonts w:hint="default"/>
        <w:lang w:val="en-GB" w:eastAsia="en-GB" w:bidi="en-GB"/>
      </w:rPr>
    </w:lvl>
  </w:abstractNum>
  <w:abstractNum w:abstractNumId="301" w15:restartNumberingAfterBreak="0">
    <w:nsid w:val="1AF73661"/>
    <w:multiLevelType w:val="hybridMultilevel"/>
    <w:tmpl w:val="ABB8405A"/>
    <w:lvl w:ilvl="0" w:tplc="23B43518">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6546B71E">
      <w:numFmt w:val="bullet"/>
      <w:lvlText w:val="•"/>
      <w:lvlJc w:val="left"/>
      <w:pPr>
        <w:ind w:left="1056" w:hanging="217"/>
      </w:pPr>
      <w:rPr>
        <w:rFonts w:hint="default"/>
        <w:lang w:val="en-GB" w:eastAsia="en-GB" w:bidi="en-GB"/>
      </w:rPr>
    </w:lvl>
    <w:lvl w:ilvl="2" w:tplc="A84E2AA8">
      <w:numFmt w:val="bullet"/>
      <w:lvlText w:val="•"/>
      <w:lvlJc w:val="left"/>
      <w:pPr>
        <w:ind w:left="1812" w:hanging="217"/>
      </w:pPr>
      <w:rPr>
        <w:rFonts w:hint="default"/>
        <w:lang w:val="en-GB" w:eastAsia="en-GB" w:bidi="en-GB"/>
      </w:rPr>
    </w:lvl>
    <w:lvl w:ilvl="3" w:tplc="FDD46BF4">
      <w:numFmt w:val="bullet"/>
      <w:lvlText w:val="•"/>
      <w:lvlJc w:val="left"/>
      <w:pPr>
        <w:ind w:left="2568" w:hanging="217"/>
      </w:pPr>
      <w:rPr>
        <w:rFonts w:hint="default"/>
        <w:lang w:val="en-GB" w:eastAsia="en-GB" w:bidi="en-GB"/>
      </w:rPr>
    </w:lvl>
    <w:lvl w:ilvl="4" w:tplc="D26890D0">
      <w:numFmt w:val="bullet"/>
      <w:lvlText w:val="•"/>
      <w:lvlJc w:val="left"/>
      <w:pPr>
        <w:ind w:left="3324" w:hanging="217"/>
      </w:pPr>
      <w:rPr>
        <w:rFonts w:hint="default"/>
        <w:lang w:val="en-GB" w:eastAsia="en-GB" w:bidi="en-GB"/>
      </w:rPr>
    </w:lvl>
    <w:lvl w:ilvl="5" w:tplc="17DEF49E">
      <w:numFmt w:val="bullet"/>
      <w:lvlText w:val="•"/>
      <w:lvlJc w:val="left"/>
      <w:pPr>
        <w:ind w:left="4080" w:hanging="217"/>
      </w:pPr>
      <w:rPr>
        <w:rFonts w:hint="default"/>
        <w:lang w:val="en-GB" w:eastAsia="en-GB" w:bidi="en-GB"/>
      </w:rPr>
    </w:lvl>
    <w:lvl w:ilvl="6" w:tplc="E3608416">
      <w:numFmt w:val="bullet"/>
      <w:lvlText w:val="•"/>
      <w:lvlJc w:val="left"/>
      <w:pPr>
        <w:ind w:left="4836" w:hanging="217"/>
      </w:pPr>
      <w:rPr>
        <w:rFonts w:hint="default"/>
        <w:lang w:val="en-GB" w:eastAsia="en-GB" w:bidi="en-GB"/>
      </w:rPr>
    </w:lvl>
    <w:lvl w:ilvl="7" w:tplc="B32C47E8">
      <w:numFmt w:val="bullet"/>
      <w:lvlText w:val="•"/>
      <w:lvlJc w:val="left"/>
      <w:pPr>
        <w:ind w:left="5592" w:hanging="217"/>
      </w:pPr>
      <w:rPr>
        <w:rFonts w:hint="default"/>
        <w:lang w:val="en-GB" w:eastAsia="en-GB" w:bidi="en-GB"/>
      </w:rPr>
    </w:lvl>
    <w:lvl w:ilvl="8" w:tplc="FAF65EA0">
      <w:numFmt w:val="bullet"/>
      <w:lvlText w:val="•"/>
      <w:lvlJc w:val="left"/>
      <w:pPr>
        <w:ind w:left="6348" w:hanging="217"/>
      </w:pPr>
      <w:rPr>
        <w:rFonts w:hint="default"/>
        <w:lang w:val="en-GB" w:eastAsia="en-GB" w:bidi="en-GB"/>
      </w:rPr>
    </w:lvl>
  </w:abstractNum>
  <w:abstractNum w:abstractNumId="302" w15:restartNumberingAfterBreak="0">
    <w:nsid w:val="1AFB44E9"/>
    <w:multiLevelType w:val="hybridMultilevel"/>
    <w:tmpl w:val="C48A6BE0"/>
    <w:lvl w:ilvl="0" w:tplc="F866EE8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C38B93E">
      <w:numFmt w:val="bullet"/>
      <w:lvlText w:val="•"/>
      <w:lvlJc w:val="left"/>
      <w:pPr>
        <w:ind w:left="1061" w:hanging="217"/>
      </w:pPr>
      <w:rPr>
        <w:rFonts w:hint="default"/>
        <w:lang w:val="en-GB" w:eastAsia="en-GB" w:bidi="en-GB"/>
      </w:rPr>
    </w:lvl>
    <w:lvl w:ilvl="2" w:tplc="F104CFBE">
      <w:numFmt w:val="bullet"/>
      <w:lvlText w:val="•"/>
      <w:lvlJc w:val="left"/>
      <w:pPr>
        <w:ind w:left="1823" w:hanging="217"/>
      </w:pPr>
      <w:rPr>
        <w:rFonts w:hint="default"/>
        <w:lang w:val="en-GB" w:eastAsia="en-GB" w:bidi="en-GB"/>
      </w:rPr>
    </w:lvl>
    <w:lvl w:ilvl="3" w:tplc="5F300EF8">
      <w:numFmt w:val="bullet"/>
      <w:lvlText w:val="•"/>
      <w:lvlJc w:val="left"/>
      <w:pPr>
        <w:ind w:left="2585" w:hanging="217"/>
      </w:pPr>
      <w:rPr>
        <w:rFonts w:hint="default"/>
        <w:lang w:val="en-GB" w:eastAsia="en-GB" w:bidi="en-GB"/>
      </w:rPr>
    </w:lvl>
    <w:lvl w:ilvl="4" w:tplc="8E00FCE6">
      <w:numFmt w:val="bullet"/>
      <w:lvlText w:val="•"/>
      <w:lvlJc w:val="left"/>
      <w:pPr>
        <w:ind w:left="3346" w:hanging="217"/>
      </w:pPr>
      <w:rPr>
        <w:rFonts w:hint="default"/>
        <w:lang w:val="en-GB" w:eastAsia="en-GB" w:bidi="en-GB"/>
      </w:rPr>
    </w:lvl>
    <w:lvl w:ilvl="5" w:tplc="A59E33D0">
      <w:numFmt w:val="bullet"/>
      <w:lvlText w:val="•"/>
      <w:lvlJc w:val="left"/>
      <w:pPr>
        <w:ind w:left="4108" w:hanging="217"/>
      </w:pPr>
      <w:rPr>
        <w:rFonts w:hint="default"/>
        <w:lang w:val="en-GB" w:eastAsia="en-GB" w:bidi="en-GB"/>
      </w:rPr>
    </w:lvl>
    <w:lvl w:ilvl="6" w:tplc="1D941580">
      <w:numFmt w:val="bullet"/>
      <w:lvlText w:val="•"/>
      <w:lvlJc w:val="left"/>
      <w:pPr>
        <w:ind w:left="4870" w:hanging="217"/>
      </w:pPr>
      <w:rPr>
        <w:rFonts w:hint="default"/>
        <w:lang w:val="en-GB" w:eastAsia="en-GB" w:bidi="en-GB"/>
      </w:rPr>
    </w:lvl>
    <w:lvl w:ilvl="7" w:tplc="24DC8F5A">
      <w:numFmt w:val="bullet"/>
      <w:lvlText w:val="•"/>
      <w:lvlJc w:val="left"/>
      <w:pPr>
        <w:ind w:left="5631" w:hanging="217"/>
      </w:pPr>
      <w:rPr>
        <w:rFonts w:hint="default"/>
        <w:lang w:val="en-GB" w:eastAsia="en-GB" w:bidi="en-GB"/>
      </w:rPr>
    </w:lvl>
    <w:lvl w:ilvl="8" w:tplc="E27AEC82">
      <w:numFmt w:val="bullet"/>
      <w:lvlText w:val="•"/>
      <w:lvlJc w:val="left"/>
      <w:pPr>
        <w:ind w:left="6393" w:hanging="217"/>
      </w:pPr>
      <w:rPr>
        <w:rFonts w:hint="default"/>
        <w:lang w:val="en-GB" w:eastAsia="en-GB" w:bidi="en-GB"/>
      </w:rPr>
    </w:lvl>
  </w:abstractNum>
  <w:abstractNum w:abstractNumId="303" w15:restartNumberingAfterBreak="0">
    <w:nsid w:val="1B2810CE"/>
    <w:multiLevelType w:val="hybridMultilevel"/>
    <w:tmpl w:val="E348D72E"/>
    <w:lvl w:ilvl="0" w:tplc="B286312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CF0F870">
      <w:numFmt w:val="bullet"/>
      <w:lvlText w:val="•"/>
      <w:lvlJc w:val="left"/>
      <w:pPr>
        <w:ind w:left="473" w:hanging="217"/>
      </w:pPr>
      <w:rPr>
        <w:rFonts w:hint="default"/>
        <w:lang w:val="en-GB" w:eastAsia="en-GB" w:bidi="en-GB"/>
      </w:rPr>
    </w:lvl>
    <w:lvl w:ilvl="2" w:tplc="81680064">
      <w:numFmt w:val="bullet"/>
      <w:lvlText w:val="•"/>
      <w:lvlJc w:val="left"/>
      <w:pPr>
        <w:ind w:left="646" w:hanging="217"/>
      </w:pPr>
      <w:rPr>
        <w:rFonts w:hint="default"/>
        <w:lang w:val="en-GB" w:eastAsia="en-GB" w:bidi="en-GB"/>
      </w:rPr>
    </w:lvl>
    <w:lvl w:ilvl="3" w:tplc="3B021BBE">
      <w:numFmt w:val="bullet"/>
      <w:lvlText w:val="•"/>
      <w:lvlJc w:val="left"/>
      <w:pPr>
        <w:ind w:left="819" w:hanging="217"/>
      </w:pPr>
      <w:rPr>
        <w:rFonts w:hint="default"/>
        <w:lang w:val="en-GB" w:eastAsia="en-GB" w:bidi="en-GB"/>
      </w:rPr>
    </w:lvl>
    <w:lvl w:ilvl="4" w:tplc="89CA9BE8">
      <w:numFmt w:val="bullet"/>
      <w:lvlText w:val="•"/>
      <w:lvlJc w:val="left"/>
      <w:pPr>
        <w:ind w:left="992" w:hanging="217"/>
      </w:pPr>
      <w:rPr>
        <w:rFonts w:hint="default"/>
        <w:lang w:val="en-GB" w:eastAsia="en-GB" w:bidi="en-GB"/>
      </w:rPr>
    </w:lvl>
    <w:lvl w:ilvl="5" w:tplc="97A62B54">
      <w:numFmt w:val="bullet"/>
      <w:lvlText w:val="•"/>
      <w:lvlJc w:val="left"/>
      <w:pPr>
        <w:ind w:left="1165" w:hanging="217"/>
      </w:pPr>
      <w:rPr>
        <w:rFonts w:hint="default"/>
        <w:lang w:val="en-GB" w:eastAsia="en-GB" w:bidi="en-GB"/>
      </w:rPr>
    </w:lvl>
    <w:lvl w:ilvl="6" w:tplc="8B5CAE0C">
      <w:numFmt w:val="bullet"/>
      <w:lvlText w:val="•"/>
      <w:lvlJc w:val="left"/>
      <w:pPr>
        <w:ind w:left="1338" w:hanging="217"/>
      </w:pPr>
      <w:rPr>
        <w:rFonts w:hint="default"/>
        <w:lang w:val="en-GB" w:eastAsia="en-GB" w:bidi="en-GB"/>
      </w:rPr>
    </w:lvl>
    <w:lvl w:ilvl="7" w:tplc="6E24EB5E">
      <w:numFmt w:val="bullet"/>
      <w:lvlText w:val="•"/>
      <w:lvlJc w:val="left"/>
      <w:pPr>
        <w:ind w:left="1511" w:hanging="217"/>
      </w:pPr>
      <w:rPr>
        <w:rFonts w:hint="default"/>
        <w:lang w:val="en-GB" w:eastAsia="en-GB" w:bidi="en-GB"/>
      </w:rPr>
    </w:lvl>
    <w:lvl w:ilvl="8" w:tplc="3CA2A532">
      <w:numFmt w:val="bullet"/>
      <w:lvlText w:val="•"/>
      <w:lvlJc w:val="left"/>
      <w:pPr>
        <w:ind w:left="1684" w:hanging="217"/>
      </w:pPr>
      <w:rPr>
        <w:rFonts w:hint="default"/>
        <w:lang w:val="en-GB" w:eastAsia="en-GB" w:bidi="en-GB"/>
      </w:rPr>
    </w:lvl>
  </w:abstractNum>
  <w:abstractNum w:abstractNumId="304" w15:restartNumberingAfterBreak="0">
    <w:nsid w:val="1B89100C"/>
    <w:multiLevelType w:val="hybridMultilevel"/>
    <w:tmpl w:val="7D7C5CE6"/>
    <w:lvl w:ilvl="0" w:tplc="49D4A58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6E5AEE92">
      <w:numFmt w:val="bullet"/>
      <w:lvlText w:val="•"/>
      <w:lvlJc w:val="left"/>
      <w:pPr>
        <w:ind w:left="677" w:hanging="217"/>
      </w:pPr>
      <w:rPr>
        <w:rFonts w:hint="default"/>
        <w:lang w:val="en-GB" w:eastAsia="en-GB" w:bidi="en-GB"/>
      </w:rPr>
    </w:lvl>
    <w:lvl w:ilvl="2" w:tplc="17440632">
      <w:numFmt w:val="bullet"/>
      <w:lvlText w:val="•"/>
      <w:lvlJc w:val="left"/>
      <w:pPr>
        <w:ind w:left="1054" w:hanging="217"/>
      </w:pPr>
      <w:rPr>
        <w:rFonts w:hint="default"/>
        <w:lang w:val="en-GB" w:eastAsia="en-GB" w:bidi="en-GB"/>
      </w:rPr>
    </w:lvl>
    <w:lvl w:ilvl="3" w:tplc="FD461A84">
      <w:numFmt w:val="bullet"/>
      <w:lvlText w:val="•"/>
      <w:lvlJc w:val="left"/>
      <w:pPr>
        <w:ind w:left="1431" w:hanging="217"/>
      </w:pPr>
      <w:rPr>
        <w:rFonts w:hint="default"/>
        <w:lang w:val="en-GB" w:eastAsia="en-GB" w:bidi="en-GB"/>
      </w:rPr>
    </w:lvl>
    <w:lvl w:ilvl="4" w:tplc="A0FEAF5A">
      <w:numFmt w:val="bullet"/>
      <w:lvlText w:val="•"/>
      <w:lvlJc w:val="left"/>
      <w:pPr>
        <w:ind w:left="1808" w:hanging="217"/>
      </w:pPr>
      <w:rPr>
        <w:rFonts w:hint="default"/>
        <w:lang w:val="en-GB" w:eastAsia="en-GB" w:bidi="en-GB"/>
      </w:rPr>
    </w:lvl>
    <w:lvl w:ilvl="5" w:tplc="AC526800">
      <w:numFmt w:val="bullet"/>
      <w:lvlText w:val="•"/>
      <w:lvlJc w:val="left"/>
      <w:pPr>
        <w:ind w:left="2186" w:hanging="217"/>
      </w:pPr>
      <w:rPr>
        <w:rFonts w:hint="default"/>
        <w:lang w:val="en-GB" w:eastAsia="en-GB" w:bidi="en-GB"/>
      </w:rPr>
    </w:lvl>
    <w:lvl w:ilvl="6" w:tplc="335EF706">
      <w:numFmt w:val="bullet"/>
      <w:lvlText w:val="•"/>
      <w:lvlJc w:val="left"/>
      <w:pPr>
        <w:ind w:left="2563" w:hanging="217"/>
      </w:pPr>
      <w:rPr>
        <w:rFonts w:hint="default"/>
        <w:lang w:val="en-GB" w:eastAsia="en-GB" w:bidi="en-GB"/>
      </w:rPr>
    </w:lvl>
    <w:lvl w:ilvl="7" w:tplc="48346B5A">
      <w:numFmt w:val="bullet"/>
      <w:lvlText w:val="•"/>
      <w:lvlJc w:val="left"/>
      <w:pPr>
        <w:ind w:left="2940" w:hanging="217"/>
      </w:pPr>
      <w:rPr>
        <w:rFonts w:hint="default"/>
        <w:lang w:val="en-GB" w:eastAsia="en-GB" w:bidi="en-GB"/>
      </w:rPr>
    </w:lvl>
    <w:lvl w:ilvl="8" w:tplc="D1C63440">
      <w:numFmt w:val="bullet"/>
      <w:lvlText w:val="•"/>
      <w:lvlJc w:val="left"/>
      <w:pPr>
        <w:ind w:left="3317" w:hanging="217"/>
      </w:pPr>
      <w:rPr>
        <w:rFonts w:hint="default"/>
        <w:lang w:val="en-GB" w:eastAsia="en-GB" w:bidi="en-GB"/>
      </w:rPr>
    </w:lvl>
  </w:abstractNum>
  <w:abstractNum w:abstractNumId="305" w15:restartNumberingAfterBreak="0">
    <w:nsid w:val="1B9149D1"/>
    <w:multiLevelType w:val="hybridMultilevel"/>
    <w:tmpl w:val="59462712"/>
    <w:lvl w:ilvl="0" w:tplc="6298B79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314BE70">
      <w:numFmt w:val="bullet"/>
      <w:lvlText w:val="•"/>
      <w:lvlJc w:val="left"/>
      <w:pPr>
        <w:ind w:left="439" w:hanging="217"/>
      </w:pPr>
      <w:rPr>
        <w:rFonts w:hint="default"/>
        <w:lang w:val="en-GB" w:eastAsia="en-GB" w:bidi="en-GB"/>
      </w:rPr>
    </w:lvl>
    <w:lvl w:ilvl="2" w:tplc="4CA25E0C">
      <w:numFmt w:val="bullet"/>
      <w:lvlText w:val="•"/>
      <w:lvlJc w:val="left"/>
      <w:pPr>
        <w:ind w:left="578" w:hanging="217"/>
      </w:pPr>
      <w:rPr>
        <w:rFonts w:hint="default"/>
        <w:lang w:val="en-GB" w:eastAsia="en-GB" w:bidi="en-GB"/>
      </w:rPr>
    </w:lvl>
    <w:lvl w:ilvl="3" w:tplc="497EE33C">
      <w:numFmt w:val="bullet"/>
      <w:lvlText w:val="•"/>
      <w:lvlJc w:val="left"/>
      <w:pPr>
        <w:ind w:left="717" w:hanging="217"/>
      </w:pPr>
      <w:rPr>
        <w:rFonts w:hint="default"/>
        <w:lang w:val="en-GB" w:eastAsia="en-GB" w:bidi="en-GB"/>
      </w:rPr>
    </w:lvl>
    <w:lvl w:ilvl="4" w:tplc="EFB215C4">
      <w:numFmt w:val="bullet"/>
      <w:lvlText w:val="•"/>
      <w:lvlJc w:val="left"/>
      <w:pPr>
        <w:ind w:left="856" w:hanging="217"/>
      </w:pPr>
      <w:rPr>
        <w:rFonts w:hint="default"/>
        <w:lang w:val="en-GB" w:eastAsia="en-GB" w:bidi="en-GB"/>
      </w:rPr>
    </w:lvl>
    <w:lvl w:ilvl="5" w:tplc="59E88B5A">
      <w:numFmt w:val="bullet"/>
      <w:lvlText w:val="•"/>
      <w:lvlJc w:val="left"/>
      <w:pPr>
        <w:ind w:left="995" w:hanging="217"/>
      </w:pPr>
      <w:rPr>
        <w:rFonts w:hint="default"/>
        <w:lang w:val="en-GB" w:eastAsia="en-GB" w:bidi="en-GB"/>
      </w:rPr>
    </w:lvl>
    <w:lvl w:ilvl="6" w:tplc="9D6E3400">
      <w:numFmt w:val="bullet"/>
      <w:lvlText w:val="•"/>
      <w:lvlJc w:val="left"/>
      <w:pPr>
        <w:ind w:left="1134" w:hanging="217"/>
      </w:pPr>
      <w:rPr>
        <w:rFonts w:hint="default"/>
        <w:lang w:val="en-GB" w:eastAsia="en-GB" w:bidi="en-GB"/>
      </w:rPr>
    </w:lvl>
    <w:lvl w:ilvl="7" w:tplc="6EDA3158">
      <w:numFmt w:val="bullet"/>
      <w:lvlText w:val="•"/>
      <w:lvlJc w:val="left"/>
      <w:pPr>
        <w:ind w:left="1273" w:hanging="217"/>
      </w:pPr>
      <w:rPr>
        <w:rFonts w:hint="default"/>
        <w:lang w:val="en-GB" w:eastAsia="en-GB" w:bidi="en-GB"/>
      </w:rPr>
    </w:lvl>
    <w:lvl w:ilvl="8" w:tplc="7F0428D2">
      <w:numFmt w:val="bullet"/>
      <w:lvlText w:val="•"/>
      <w:lvlJc w:val="left"/>
      <w:pPr>
        <w:ind w:left="1412" w:hanging="217"/>
      </w:pPr>
      <w:rPr>
        <w:rFonts w:hint="default"/>
        <w:lang w:val="en-GB" w:eastAsia="en-GB" w:bidi="en-GB"/>
      </w:rPr>
    </w:lvl>
  </w:abstractNum>
  <w:abstractNum w:abstractNumId="306" w15:restartNumberingAfterBreak="0">
    <w:nsid w:val="1BAA6CA8"/>
    <w:multiLevelType w:val="hybridMultilevel"/>
    <w:tmpl w:val="7ED672A2"/>
    <w:lvl w:ilvl="0" w:tplc="284A014A">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BC92C8CE">
      <w:numFmt w:val="bullet"/>
      <w:lvlText w:val="•"/>
      <w:lvlJc w:val="left"/>
      <w:pPr>
        <w:ind w:left="892" w:hanging="217"/>
      </w:pPr>
      <w:rPr>
        <w:rFonts w:hint="default"/>
        <w:lang w:val="en-GB" w:eastAsia="en-GB" w:bidi="en-GB"/>
      </w:rPr>
    </w:lvl>
    <w:lvl w:ilvl="2" w:tplc="0E1A546E">
      <w:numFmt w:val="bullet"/>
      <w:lvlText w:val="•"/>
      <w:lvlJc w:val="left"/>
      <w:pPr>
        <w:ind w:left="1485" w:hanging="217"/>
      </w:pPr>
      <w:rPr>
        <w:rFonts w:hint="default"/>
        <w:lang w:val="en-GB" w:eastAsia="en-GB" w:bidi="en-GB"/>
      </w:rPr>
    </w:lvl>
    <w:lvl w:ilvl="3" w:tplc="7FECDDBE">
      <w:numFmt w:val="bullet"/>
      <w:lvlText w:val="•"/>
      <w:lvlJc w:val="left"/>
      <w:pPr>
        <w:ind w:left="2077" w:hanging="217"/>
      </w:pPr>
      <w:rPr>
        <w:rFonts w:hint="default"/>
        <w:lang w:val="en-GB" w:eastAsia="en-GB" w:bidi="en-GB"/>
      </w:rPr>
    </w:lvl>
    <w:lvl w:ilvl="4" w:tplc="65AA8C5A">
      <w:numFmt w:val="bullet"/>
      <w:lvlText w:val="•"/>
      <w:lvlJc w:val="left"/>
      <w:pPr>
        <w:ind w:left="2670" w:hanging="217"/>
      </w:pPr>
      <w:rPr>
        <w:rFonts w:hint="default"/>
        <w:lang w:val="en-GB" w:eastAsia="en-GB" w:bidi="en-GB"/>
      </w:rPr>
    </w:lvl>
    <w:lvl w:ilvl="5" w:tplc="FE5CDDF8">
      <w:numFmt w:val="bullet"/>
      <w:lvlText w:val="•"/>
      <w:lvlJc w:val="left"/>
      <w:pPr>
        <w:ind w:left="3263" w:hanging="217"/>
      </w:pPr>
      <w:rPr>
        <w:rFonts w:hint="default"/>
        <w:lang w:val="en-GB" w:eastAsia="en-GB" w:bidi="en-GB"/>
      </w:rPr>
    </w:lvl>
    <w:lvl w:ilvl="6" w:tplc="FD380036">
      <w:numFmt w:val="bullet"/>
      <w:lvlText w:val="•"/>
      <w:lvlJc w:val="left"/>
      <w:pPr>
        <w:ind w:left="3855" w:hanging="217"/>
      </w:pPr>
      <w:rPr>
        <w:rFonts w:hint="default"/>
        <w:lang w:val="en-GB" w:eastAsia="en-GB" w:bidi="en-GB"/>
      </w:rPr>
    </w:lvl>
    <w:lvl w:ilvl="7" w:tplc="724C4860">
      <w:numFmt w:val="bullet"/>
      <w:lvlText w:val="•"/>
      <w:lvlJc w:val="left"/>
      <w:pPr>
        <w:ind w:left="4448" w:hanging="217"/>
      </w:pPr>
      <w:rPr>
        <w:rFonts w:hint="default"/>
        <w:lang w:val="en-GB" w:eastAsia="en-GB" w:bidi="en-GB"/>
      </w:rPr>
    </w:lvl>
    <w:lvl w:ilvl="8" w:tplc="F74CA532">
      <w:numFmt w:val="bullet"/>
      <w:lvlText w:val="•"/>
      <w:lvlJc w:val="left"/>
      <w:pPr>
        <w:ind w:left="5040" w:hanging="217"/>
      </w:pPr>
      <w:rPr>
        <w:rFonts w:hint="default"/>
        <w:lang w:val="en-GB" w:eastAsia="en-GB" w:bidi="en-GB"/>
      </w:rPr>
    </w:lvl>
  </w:abstractNum>
  <w:abstractNum w:abstractNumId="307" w15:restartNumberingAfterBreak="0">
    <w:nsid w:val="1BAE0A95"/>
    <w:multiLevelType w:val="hybridMultilevel"/>
    <w:tmpl w:val="31EEC9D4"/>
    <w:lvl w:ilvl="0" w:tplc="6ED6885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E1BA38A6">
      <w:numFmt w:val="bullet"/>
      <w:lvlText w:val="•"/>
      <w:lvlJc w:val="left"/>
      <w:pPr>
        <w:ind w:left="892" w:hanging="217"/>
      </w:pPr>
      <w:rPr>
        <w:rFonts w:hint="default"/>
        <w:lang w:val="en-GB" w:eastAsia="en-GB" w:bidi="en-GB"/>
      </w:rPr>
    </w:lvl>
    <w:lvl w:ilvl="2" w:tplc="9BA22664">
      <w:numFmt w:val="bullet"/>
      <w:lvlText w:val="•"/>
      <w:lvlJc w:val="left"/>
      <w:pPr>
        <w:ind w:left="1485" w:hanging="217"/>
      </w:pPr>
      <w:rPr>
        <w:rFonts w:hint="default"/>
        <w:lang w:val="en-GB" w:eastAsia="en-GB" w:bidi="en-GB"/>
      </w:rPr>
    </w:lvl>
    <w:lvl w:ilvl="3" w:tplc="16CCCEDE">
      <w:numFmt w:val="bullet"/>
      <w:lvlText w:val="•"/>
      <w:lvlJc w:val="left"/>
      <w:pPr>
        <w:ind w:left="2077" w:hanging="217"/>
      </w:pPr>
      <w:rPr>
        <w:rFonts w:hint="default"/>
        <w:lang w:val="en-GB" w:eastAsia="en-GB" w:bidi="en-GB"/>
      </w:rPr>
    </w:lvl>
    <w:lvl w:ilvl="4" w:tplc="A8788EFA">
      <w:numFmt w:val="bullet"/>
      <w:lvlText w:val="•"/>
      <w:lvlJc w:val="left"/>
      <w:pPr>
        <w:ind w:left="2670" w:hanging="217"/>
      </w:pPr>
      <w:rPr>
        <w:rFonts w:hint="default"/>
        <w:lang w:val="en-GB" w:eastAsia="en-GB" w:bidi="en-GB"/>
      </w:rPr>
    </w:lvl>
    <w:lvl w:ilvl="5" w:tplc="A06E2BC6">
      <w:numFmt w:val="bullet"/>
      <w:lvlText w:val="•"/>
      <w:lvlJc w:val="left"/>
      <w:pPr>
        <w:ind w:left="3263" w:hanging="217"/>
      </w:pPr>
      <w:rPr>
        <w:rFonts w:hint="default"/>
        <w:lang w:val="en-GB" w:eastAsia="en-GB" w:bidi="en-GB"/>
      </w:rPr>
    </w:lvl>
    <w:lvl w:ilvl="6" w:tplc="C6982A22">
      <w:numFmt w:val="bullet"/>
      <w:lvlText w:val="•"/>
      <w:lvlJc w:val="left"/>
      <w:pPr>
        <w:ind w:left="3855" w:hanging="217"/>
      </w:pPr>
      <w:rPr>
        <w:rFonts w:hint="default"/>
        <w:lang w:val="en-GB" w:eastAsia="en-GB" w:bidi="en-GB"/>
      </w:rPr>
    </w:lvl>
    <w:lvl w:ilvl="7" w:tplc="B204C4C4">
      <w:numFmt w:val="bullet"/>
      <w:lvlText w:val="•"/>
      <w:lvlJc w:val="left"/>
      <w:pPr>
        <w:ind w:left="4448" w:hanging="217"/>
      </w:pPr>
      <w:rPr>
        <w:rFonts w:hint="default"/>
        <w:lang w:val="en-GB" w:eastAsia="en-GB" w:bidi="en-GB"/>
      </w:rPr>
    </w:lvl>
    <w:lvl w:ilvl="8" w:tplc="2CA6667E">
      <w:numFmt w:val="bullet"/>
      <w:lvlText w:val="•"/>
      <w:lvlJc w:val="left"/>
      <w:pPr>
        <w:ind w:left="5040" w:hanging="217"/>
      </w:pPr>
      <w:rPr>
        <w:rFonts w:hint="default"/>
        <w:lang w:val="en-GB" w:eastAsia="en-GB" w:bidi="en-GB"/>
      </w:rPr>
    </w:lvl>
  </w:abstractNum>
  <w:abstractNum w:abstractNumId="308" w15:restartNumberingAfterBreak="0">
    <w:nsid w:val="1BC50157"/>
    <w:multiLevelType w:val="hybridMultilevel"/>
    <w:tmpl w:val="21F629FC"/>
    <w:lvl w:ilvl="0" w:tplc="1EA4056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926F578">
      <w:numFmt w:val="bullet"/>
      <w:lvlText w:val="•"/>
      <w:lvlJc w:val="left"/>
      <w:pPr>
        <w:ind w:left="439" w:hanging="217"/>
      </w:pPr>
      <w:rPr>
        <w:rFonts w:hint="default"/>
        <w:lang w:val="en-GB" w:eastAsia="en-GB" w:bidi="en-GB"/>
      </w:rPr>
    </w:lvl>
    <w:lvl w:ilvl="2" w:tplc="9508C9D2">
      <w:numFmt w:val="bullet"/>
      <w:lvlText w:val="•"/>
      <w:lvlJc w:val="left"/>
      <w:pPr>
        <w:ind w:left="578" w:hanging="217"/>
      </w:pPr>
      <w:rPr>
        <w:rFonts w:hint="default"/>
        <w:lang w:val="en-GB" w:eastAsia="en-GB" w:bidi="en-GB"/>
      </w:rPr>
    </w:lvl>
    <w:lvl w:ilvl="3" w:tplc="2C2E60E8">
      <w:numFmt w:val="bullet"/>
      <w:lvlText w:val="•"/>
      <w:lvlJc w:val="left"/>
      <w:pPr>
        <w:ind w:left="717" w:hanging="217"/>
      </w:pPr>
      <w:rPr>
        <w:rFonts w:hint="default"/>
        <w:lang w:val="en-GB" w:eastAsia="en-GB" w:bidi="en-GB"/>
      </w:rPr>
    </w:lvl>
    <w:lvl w:ilvl="4" w:tplc="23D61B4C">
      <w:numFmt w:val="bullet"/>
      <w:lvlText w:val="•"/>
      <w:lvlJc w:val="left"/>
      <w:pPr>
        <w:ind w:left="856" w:hanging="217"/>
      </w:pPr>
      <w:rPr>
        <w:rFonts w:hint="default"/>
        <w:lang w:val="en-GB" w:eastAsia="en-GB" w:bidi="en-GB"/>
      </w:rPr>
    </w:lvl>
    <w:lvl w:ilvl="5" w:tplc="921E13E0">
      <w:numFmt w:val="bullet"/>
      <w:lvlText w:val="•"/>
      <w:lvlJc w:val="left"/>
      <w:pPr>
        <w:ind w:left="995" w:hanging="217"/>
      </w:pPr>
      <w:rPr>
        <w:rFonts w:hint="default"/>
        <w:lang w:val="en-GB" w:eastAsia="en-GB" w:bidi="en-GB"/>
      </w:rPr>
    </w:lvl>
    <w:lvl w:ilvl="6" w:tplc="FF46E314">
      <w:numFmt w:val="bullet"/>
      <w:lvlText w:val="•"/>
      <w:lvlJc w:val="left"/>
      <w:pPr>
        <w:ind w:left="1134" w:hanging="217"/>
      </w:pPr>
      <w:rPr>
        <w:rFonts w:hint="default"/>
        <w:lang w:val="en-GB" w:eastAsia="en-GB" w:bidi="en-GB"/>
      </w:rPr>
    </w:lvl>
    <w:lvl w:ilvl="7" w:tplc="FF6A0F2A">
      <w:numFmt w:val="bullet"/>
      <w:lvlText w:val="•"/>
      <w:lvlJc w:val="left"/>
      <w:pPr>
        <w:ind w:left="1273" w:hanging="217"/>
      </w:pPr>
      <w:rPr>
        <w:rFonts w:hint="default"/>
        <w:lang w:val="en-GB" w:eastAsia="en-GB" w:bidi="en-GB"/>
      </w:rPr>
    </w:lvl>
    <w:lvl w:ilvl="8" w:tplc="39A84120">
      <w:numFmt w:val="bullet"/>
      <w:lvlText w:val="•"/>
      <w:lvlJc w:val="left"/>
      <w:pPr>
        <w:ind w:left="1412" w:hanging="217"/>
      </w:pPr>
      <w:rPr>
        <w:rFonts w:hint="default"/>
        <w:lang w:val="en-GB" w:eastAsia="en-GB" w:bidi="en-GB"/>
      </w:rPr>
    </w:lvl>
  </w:abstractNum>
  <w:abstractNum w:abstractNumId="309" w15:restartNumberingAfterBreak="0">
    <w:nsid w:val="1BCB6A51"/>
    <w:multiLevelType w:val="hybridMultilevel"/>
    <w:tmpl w:val="0A18A0B8"/>
    <w:lvl w:ilvl="0" w:tplc="2570A38C">
      <w:numFmt w:val="bullet"/>
      <w:lvlText w:val="•"/>
      <w:lvlJc w:val="left"/>
      <w:pPr>
        <w:ind w:left="303" w:hanging="217"/>
      </w:pPr>
      <w:rPr>
        <w:rFonts w:ascii="Arial" w:eastAsia="Arial" w:hAnsi="Arial" w:cs="Arial" w:hint="default"/>
        <w:color w:val="231F20"/>
        <w:w w:val="102"/>
        <w:sz w:val="17"/>
        <w:szCs w:val="17"/>
        <w:lang w:val="en-GB" w:eastAsia="en-GB" w:bidi="en-GB"/>
      </w:rPr>
    </w:lvl>
    <w:lvl w:ilvl="1" w:tplc="C362101C">
      <w:numFmt w:val="bullet"/>
      <w:lvlText w:val="•"/>
      <w:lvlJc w:val="left"/>
      <w:pPr>
        <w:ind w:left="439" w:hanging="217"/>
      </w:pPr>
      <w:rPr>
        <w:rFonts w:hint="default"/>
        <w:lang w:val="en-GB" w:eastAsia="en-GB" w:bidi="en-GB"/>
      </w:rPr>
    </w:lvl>
    <w:lvl w:ilvl="2" w:tplc="86168744">
      <w:numFmt w:val="bullet"/>
      <w:lvlText w:val="•"/>
      <w:lvlJc w:val="left"/>
      <w:pPr>
        <w:ind w:left="578" w:hanging="217"/>
      </w:pPr>
      <w:rPr>
        <w:rFonts w:hint="default"/>
        <w:lang w:val="en-GB" w:eastAsia="en-GB" w:bidi="en-GB"/>
      </w:rPr>
    </w:lvl>
    <w:lvl w:ilvl="3" w:tplc="DA66190A">
      <w:numFmt w:val="bullet"/>
      <w:lvlText w:val="•"/>
      <w:lvlJc w:val="left"/>
      <w:pPr>
        <w:ind w:left="717" w:hanging="217"/>
      </w:pPr>
      <w:rPr>
        <w:rFonts w:hint="default"/>
        <w:lang w:val="en-GB" w:eastAsia="en-GB" w:bidi="en-GB"/>
      </w:rPr>
    </w:lvl>
    <w:lvl w:ilvl="4" w:tplc="196A69B6">
      <w:numFmt w:val="bullet"/>
      <w:lvlText w:val="•"/>
      <w:lvlJc w:val="left"/>
      <w:pPr>
        <w:ind w:left="856" w:hanging="217"/>
      </w:pPr>
      <w:rPr>
        <w:rFonts w:hint="default"/>
        <w:lang w:val="en-GB" w:eastAsia="en-GB" w:bidi="en-GB"/>
      </w:rPr>
    </w:lvl>
    <w:lvl w:ilvl="5" w:tplc="DBAACC18">
      <w:numFmt w:val="bullet"/>
      <w:lvlText w:val="•"/>
      <w:lvlJc w:val="left"/>
      <w:pPr>
        <w:ind w:left="995" w:hanging="217"/>
      </w:pPr>
      <w:rPr>
        <w:rFonts w:hint="default"/>
        <w:lang w:val="en-GB" w:eastAsia="en-GB" w:bidi="en-GB"/>
      </w:rPr>
    </w:lvl>
    <w:lvl w:ilvl="6" w:tplc="38AA3D0C">
      <w:numFmt w:val="bullet"/>
      <w:lvlText w:val="•"/>
      <w:lvlJc w:val="left"/>
      <w:pPr>
        <w:ind w:left="1134" w:hanging="217"/>
      </w:pPr>
      <w:rPr>
        <w:rFonts w:hint="default"/>
        <w:lang w:val="en-GB" w:eastAsia="en-GB" w:bidi="en-GB"/>
      </w:rPr>
    </w:lvl>
    <w:lvl w:ilvl="7" w:tplc="7FC4195E">
      <w:numFmt w:val="bullet"/>
      <w:lvlText w:val="•"/>
      <w:lvlJc w:val="left"/>
      <w:pPr>
        <w:ind w:left="1273" w:hanging="217"/>
      </w:pPr>
      <w:rPr>
        <w:rFonts w:hint="default"/>
        <w:lang w:val="en-GB" w:eastAsia="en-GB" w:bidi="en-GB"/>
      </w:rPr>
    </w:lvl>
    <w:lvl w:ilvl="8" w:tplc="84D68288">
      <w:numFmt w:val="bullet"/>
      <w:lvlText w:val="•"/>
      <w:lvlJc w:val="left"/>
      <w:pPr>
        <w:ind w:left="1412" w:hanging="217"/>
      </w:pPr>
      <w:rPr>
        <w:rFonts w:hint="default"/>
        <w:lang w:val="en-GB" w:eastAsia="en-GB" w:bidi="en-GB"/>
      </w:rPr>
    </w:lvl>
  </w:abstractNum>
  <w:abstractNum w:abstractNumId="310" w15:restartNumberingAfterBreak="0">
    <w:nsid w:val="1BD44EF5"/>
    <w:multiLevelType w:val="hybridMultilevel"/>
    <w:tmpl w:val="B19E91D0"/>
    <w:lvl w:ilvl="0" w:tplc="7090CA0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146D170">
      <w:numFmt w:val="bullet"/>
      <w:lvlText w:val="•"/>
      <w:lvlJc w:val="left"/>
      <w:pPr>
        <w:ind w:left="473" w:hanging="217"/>
      </w:pPr>
      <w:rPr>
        <w:rFonts w:hint="default"/>
        <w:lang w:val="en-GB" w:eastAsia="en-GB" w:bidi="en-GB"/>
      </w:rPr>
    </w:lvl>
    <w:lvl w:ilvl="2" w:tplc="3350CC50">
      <w:numFmt w:val="bullet"/>
      <w:lvlText w:val="•"/>
      <w:lvlJc w:val="left"/>
      <w:pPr>
        <w:ind w:left="646" w:hanging="217"/>
      </w:pPr>
      <w:rPr>
        <w:rFonts w:hint="default"/>
        <w:lang w:val="en-GB" w:eastAsia="en-GB" w:bidi="en-GB"/>
      </w:rPr>
    </w:lvl>
    <w:lvl w:ilvl="3" w:tplc="9960941A">
      <w:numFmt w:val="bullet"/>
      <w:lvlText w:val="•"/>
      <w:lvlJc w:val="left"/>
      <w:pPr>
        <w:ind w:left="819" w:hanging="217"/>
      </w:pPr>
      <w:rPr>
        <w:rFonts w:hint="default"/>
        <w:lang w:val="en-GB" w:eastAsia="en-GB" w:bidi="en-GB"/>
      </w:rPr>
    </w:lvl>
    <w:lvl w:ilvl="4" w:tplc="32DA63C0">
      <w:numFmt w:val="bullet"/>
      <w:lvlText w:val="•"/>
      <w:lvlJc w:val="left"/>
      <w:pPr>
        <w:ind w:left="992" w:hanging="217"/>
      </w:pPr>
      <w:rPr>
        <w:rFonts w:hint="default"/>
        <w:lang w:val="en-GB" w:eastAsia="en-GB" w:bidi="en-GB"/>
      </w:rPr>
    </w:lvl>
    <w:lvl w:ilvl="5" w:tplc="46160E82">
      <w:numFmt w:val="bullet"/>
      <w:lvlText w:val="•"/>
      <w:lvlJc w:val="left"/>
      <w:pPr>
        <w:ind w:left="1165" w:hanging="217"/>
      </w:pPr>
      <w:rPr>
        <w:rFonts w:hint="default"/>
        <w:lang w:val="en-GB" w:eastAsia="en-GB" w:bidi="en-GB"/>
      </w:rPr>
    </w:lvl>
    <w:lvl w:ilvl="6" w:tplc="FB127960">
      <w:numFmt w:val="bullet"/>
      <w:lvlText w:val="•"/>
      <w:lvlJc w:val="left"/>
      <w:pPr>
        <w:ind w:left="1338" w:hanging="217"/>
      </w:pPr>
      <w:rPr>
        <w:rFonts w:hint="default"/>
        <w:lang w:val="en-GB" w:eastAsia="en-GB" w:bidi="en-GB"/>
      </w:rPr>
    </w:lvl>
    <w:lvl w:ilvl="7" w:tplc="F9283980">
      <w:numFmt w:val="bullet"/>
      <w:lvlText w:val="•"/>
      <w:lvlJc w:val="left"/>
      <w:pPr>
        <w:ind w:left="1511" w:hanging="217"/>
      </w:pPr>
      <w:rPr>
        <w:rFonts w:hint="default"/>
        <w:lang w:val="en-GB" w:eastAsia="en-GB" w:bidi="en-GB"/>
      </w:rPr>
    </w:lvl>
    <w:lvl w:ilvl="8" w:tplc="3BE04AB4">
      <w:numFmt w:val="bullet"/>
      <w:lvlText w:val="•"/>
      <w:lvlJc w:val="left"/>
      <w:pPr>
        <w:ind w:left="1684" w:hanging="217"/>
      </w:pPr>
      <w:rPr>
        <w:rFonts w:hint="default"/>
        <w:lang w:val="en-GB" w:eastAsia="en-GB" w:bidi="en-GB"/>
      </w:rPr>
    </w:lvl>
  </w:abstractNum>
  <w:abstractNum w:abstractNumId="311" w15:restartNumberingAfterBreak="0">
    <w:nsid w:val="1BDF7C11"/>
    <w:multiLevelType w:val="hybridMultilevel"/>
    <w:tmpl w:val="EDB4C5B0"/>
    <w:lvl w:ilvl="0" w:tplc="A2FE936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99E9B52">
      <w:numFmt w:val="bullet"/>
      <w:lvlText w:val="•"/>
      <w:lvlJc w:val="left"/>
      <w:pPr>
        <w:ind w:left="524" w:hanging="217"/>
      </w:pPr>
      <w:rPr>
        <w:rFonts w:hint="default"/>
        <w:lang w:val="en-GB" w:eastAsia="en-GB" w:bidi="en-GB"/>
      </w:rPr>
    </w:lvl>
    <w:lvl w:ilvl="2" w:tplc="3AF4355E">
      <w:numFmt w:val="bullet"/>
      <w:lvlText w:val="•"/>
      <w:lvlJc w:val="left"/>
      <w:pPr>
        <w:ind w:left="748" w:hanging="217"/>
      </w:pPr>
      <w:rPr>
        <w:rFonts w:hint="default"/>
        <w:lang w:val="en-GB" w:eastAsia="en-GB" w:bidi="en-GB"/>
      </w:rPr>
    </w:lvl>
    <w:lvl w:ilvl="3" w:tplc="A52E5C4A">
      <w:numFmt w:val="bullet"/>
      <w:lvlText w:val="•"/>
      <w:lvlJc w:val="left"/>
      <w:pPr>
        <w:ind w:left="972" w:hanging="217"/>
      </w:pPr>
      <w:rPr>
        <w:rFonts w:hint="default"/>
        <w:lang w:val="en-GB" w:eastAsia="en-GB" w:bidi="en-GB"/>
      </w:rPr>
    </w:lvl>
    <w:lvl w:ilvl="4" w:tplc="E5627776">
      <w:numFmt w:val="bullet"/>
      <w:lvlText w:val="•"/>
      <w:lvlJc w:val="left"/>
      <w:pPr>
        <w:ind w:left="1196" w:hanging="217"/>
      </w:pPr>
      <w:rPr>
        <w:rFonts w:hint="default"/>
        <w:lang w:val="en-GB" w:eastAsia="en-GB" w:bidi="en-GB"/>
      </w:rPr>
    </w:lvl>
    <w:lvl w:ilvl="5" w:tplc="618C98F8">
      <w:numFmt w:val="bullet"/>
      <w:lvlText w:val="•"/>
      <w:lvlJc w:val="left"/>
      <w:pPr>
        <w:ind w:left="1420" w:hanging="217"/>
      </w:pPr>
      <w:rPr>
        <w:rFonts w:hint="default"/>
        <w:lang w:val="en-GB" w:eastAsia="en-GB" w:bidi="en-GB"/>
      </w:rPr>
    </w:lvl>
    <w:lvl w:ilvl="6" w:tplc="C9569392">
      <w:numFmt w:val="bullet"/>
      <w:lvlText w:val="•"/>
      <w:lvlJc w:val="left"/>
      <w:pPr>
        <w:ind w:left="1644" w:hanging="217"/>
      </w:pPr>
      <w:rPr>
        <w:rFonts w:hint="default"/>
        <w:lang w:val="en-GB" w:eastAsia="en-GB" w:bidi="en-GB"/>
      </w:rPr>
    </w:lvl>
    <w:lvl w:ilvl="7" w:tplc="DB5CF4A2">
      <w:numFmt w:val="bullet"/>
      <w:lvlText w:val="•"/>
      <w:lvlJc w:val="left"/>
      <w:pPr>
        <w:ind w:left="1868" w:hanging="217"/>
      </w:pPr>
      <w:rPr>
        <w:rFonts w:hint="default"/>
        <w:lang w:val="en-GB" w:eastAsia="en-GB" w:bidi="en-GB"/>
      </w:rPr>
    </w:lvl>
    <w:lvl w:ilvl="8" w:tplc="800E0FA6">
      <w:numFmt w:val="bullet"/>
      <w:lvlText w:val="•"/>
      <w:lvlJc w:val="left"/>
      <w:pPr>
        <w:ind w:left="2092" w:hanging="217"/>
      </w:pPr>
      <w:rPr>
        <w:rFonts w:hint="default"/>
        <w:lang w:val="en-GB" w:eastAsia="en-GB" w:bidi="en-GB"/>
      </w:rPr>
    </w:lvl>
  </w:abstractNum>
  <w:abstractNum w:abstractNumId="312" w15:restartNumberingAfterBreak="0">
    <w:nsid w:val="1C0D5E92"/>
    <w:multiLevelType w:val="hybridMultilevel"/>
    <w:tmpl w:val="986AB790"/>
    <w:lvl w:ilvl="0" w:tplc="7E3433DA">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A40E4310">
      <w:numFmt w:val="bullet"/>
      <w:lvlText w:val="•"/>
      <w:lvlJc w:val="left"/>
      <w:pPr>
        <w:ind w:left="541" w:hanging="217"/>
      </w:pPr>
      <w:rPr>
        <w:rFonts w:hint="default"/>
        <w:lang w:val="en-GB" w:eastAsia="en-GB" w:bidi="en-GB"/>
      </w:rPr>
    </w:lvl>
    <w:lvl w:ilvl="2" w:tplc="3B4054FC">
      <w:numFmt w:val="bullet"/>
      <w:lvlText w:val="•"/>
      <w:lvlJc w:val="left"/>
      <w:pPr>
        <w:ind w:left="782" w:hanging="217"/>
      </w:pPr>
      <w:rPr>
        <w:rFonts w:hint="default"/>
        <w:lang w:val="en-GB" w:eastAsia="en-GB" w:bidi="en-GB"/>
      </w:rPr>
    </w:lvl>
    <w:lvl w:ilvl="3" w:tplc="9FA2A288">
      <w:numFmt w:val="bullet"/>
      <w:lvlText w:val="•"/>
      <w:lvlJc w:val="left"/>
      <w:pPr>
        <w:ind w:left="1023" w:hanging="217"/>
      </w:pPr>
      <w:rPr>
        <w:rFonts w:hint="default"/>
        <w:lang w:val="en-GB" w:eastAsia="en-GB" w:bidi="en-GB"/>
      </w:rPr>
    </w:lvl>
    <w:lvl w:ilvl="4" w:tplc="E004B72E">
      <w:numFmt w:val="bullet"/>
      <w:lvlText w:val="•"/>
      <w:lvlJc w:val="left"/>
      <w:pPr>
        <w:ind w:left="1264" w:hanging="217"/>
      </w:pPr>
      <w:rPr>
        <w:rFonts w:hint="default"/>
        <w:lang w:val="en-GB" w:eastAsia="en-GB" w:bidi="en-GB"/>
      </w:rPr>
    </w:lvl>
    <w:lvl w:ilvl="5" w:tplc="F468CC6E">
      <w:numFmt w:val="bullet"/>
      <w:lvlText w:val="•"/>
      <w:lvlJc w:val="left"/>
      <w:pPr>
        <w:ind w:left="1505" w:hanging="217"/>
      </w:pPr>
      <w:rPr>
        <w:rFonts w:hint="default"/>
        <w:lang w:val="en-GB" w:eastAsia="en-GB" w:bidi="en-GB"/>
      </w:rPr>
    </w:lvl>
    <w:lvl w:ilvl="6" w:tplc="4EEAD2C0">
      <w:numFmt w:val="bullet"/>
      <w:lvlText w:val="•"/>
      <w:lvlJc w:val="left"/>
      <w:pPr>
        <w:ind w:left="1746" w:hanging="217"/>
      </w:pPr>
      <w:rPr>
        <w:rFonts w:hint="default"/>
        <w:lang w:val="en-GB" w:eastAsia="en-GB" w:bidi="en-GB"/>
      </w:rPr>
    </w:lvl>
    <w:lvl w:ilvl="7" w:tplc="BDF017B2">
      <w:numFmt w:val="bullet"/>
      <w:lvlText w:val="•"/>
      <w:lvlJc w:val="left"/>
      <w:pPr>
        <w:ind w:left="1987" w:hanging="217"/>
      </w:pPr>
      <w:rPr>
        <w:rFonts w:hint="default"/>
        <w:lang w:val="en-GB" w:eastAsia="en-GB" w:bidi="en-GB"/>
      </w:rPr>
    </w:lvl>
    <w:lvl w:ilvl="8" w:tplc="6D222BB0">
      <w:numFmt w:val="bullet"/>
      <w:lvlText w:val="•"/>
      <w:lvlJc w:val="left"/>
      <w:pPr>
        <w:ind w:left="2228" w:hanging="217"/>
      </w:pPr>
      <w:rPr>
        <w:rFonts w:hint="default"/>
        <w:lang w:val="en-GB" w:eastAsia="en-GB" w:bidi="en-GB"/>
      </w:rPr>
    </w:lvl>
  </w:abstractNum>
  <w:abstractNum w:abstractNumId="313" w15:restartNumberingAfterBreak="0">
    <w:nsid w:val="1C145E29"/>
    <w:multiLevelType w:val="hybridMultilevel"/>
    <w:tmpl w:val="1FDA7A7E"/>
    <w:lvl w:ilvl="0" w:tplc="D570A5B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60A1B4A">
      <w:numFmt w:val="bullet"/>
      <w:lvlText w:val="•"/>
      <w:lvlJc w:val="left"/>
      <w:pPr>
        <w:ind w:left="439" w:hanging="217"/>
      </w:pPr>
      <w:rPr>
        <w:rFonts w:hint="default"/>
        <w:lang w:val="en-GB" w:eastAsia="en-GB" w:bidi="en-GB"/>
      </w:rPr>
    </w:lvl>
    <w:lvl w:ilvl="2" w:tplc="6F52F718">
      <w:numFmt w:val="bullet"/>
      <w:lvlText w:val="•"/>
      <w:lvlJc w:val="left"/>
      <w:pPr>
        <w:ind w:left="578" w:hanging="217"/>
      </w:pPr>
      <w:rPr>
        <w:rFonts w:hint="default"/>
        <w:lang w:val="en-GB" w:eastAsia="en-GB" w:bidi="en-GB"/>
      </w:rPr>
    </w:lvl>
    <w:lvl w:ilvl="3" w:tplc="183AED92">
      <w:numFmt w:val="bullet"/>
      <w:lvlText w:val="•"/>
      <w:lvlJc w:val="left"/>
      <w:pPr>
        <w:ind w:left="717" w:hanging="217"/>
      </w:pPr>
      <w:rPr>
        <w:rFonts w:hint="default"/>
        <w:lang w:val="en-GB" w:eastAsia="en-GB" w:bidi="en-GB"/>
      </w:rPr>
    </w:lvl>
    <w:lvl w:ilvl="4" w:tplc="9C10AD54">
      <w:numFmt w:val="bullet"/>
      <w:lvlText w:val="•"/>
      <w:lvlJc w:val="left"/>
      <w:pPr>
        <w:ind w:left="856" w:hanging="217"/>
      </w:pPr>
      <w:rPr>
        <w:rFonts w:hint="default"/>
        <w:lang w:val="en-GB" w:eastAsia="en-GB" w:bidi="en-GB"/>
      </w:rPr>
    </w:lvl>
    <w:lvl w:ilvl="5" w:tplc="1D1E79CA">
      <w:numFmt w:val="bullet"/>
      <w:lvlText w:val="•"/>
      <w:lvlJc w:val="left"/>
      <w:pPr>
        <w:ind w:left="995" w:hanging="217"/>
      </w:pPr>
      <w:rPr>
        <w:rFonts w:hint="default"/>
        <w:lang w:val="en-GB" w:eastAsia="en-GB" w:bidi="en-GB"/>
      </w:rPr>
    </w:lvl>
    <w:lvl w:ilvl="6" w:tplc="C27236D0">
      <w:numFmt w:val="bullet"/>
      <w:lvlText w:val="•"/>
      <w:lvlJc w:val="left"/>
      <w:pPr>
        <w:ind w:left="1134" w:hanging="217"/>
      </w:pPr>
      <w:rPr>
        <w:rFonts w:hint="default"/>
        <w:lang w:val="en-GB" w:eastAsia="en-GB" w:bidi="en-GB"/>
      </w:rPr>
    </w:lvl>
    <w:lvl w:ilvl="7" w:tplc="4E162218">
      <w:numFmt w:val="bullet"/>
      <w:lvlText w:val="•"/>
      <w:lvlJc w:val="left"/>
      <w:pPr>
        <w:ind w:left="1273" w:hanging="217"/>
      </w:pPr>
      <w:rPr>
        <w:rFonts w:hint="default"/>
        <w:lang w:val="en-GB" w:eastAsia="en-GB" w:bidi="en-GB"/>
      </w:rPr>
    </w:lvl>
    <w:lvl w:ilvl="8" w:tplc="51A49BB4">
      <w:numFmt w:val="bullet"/>
      <w:lvlText w:val="•"/>
      <w:lvlJc w:val="left"/>
      <w:pPr>
        <w:ind w:left="1412" w:hanging="217"/>
      </w:pPr>
      <w:rPr>
        <w:rFonts w:hint="default"/>
        <w:lang w:val="en-GB" w:eastAsia="en-GB" w:bidi="en-GB"/>
      </w:rPr>
    </w:lvl>
  </w:abstractNum>
  <w:abstractNum w:abstractNumId="314" w15:restartNumberingAfterBreak="0">
    <w:nsid w:val="1C1A598D"/>
    <w:multiLevelType w:val="hybridMultilevel"/>
    <w:tmpl w:val="883004F6"/>
    <w:lvl w:ilvl="0" w:tplc="C7ACBF7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CB4EC04">
      <w:numFmt w:val="bullet"/>
      <w:lvlText w:val="•"/>
      <w:lvlJc w:val="left"/>
      <w:pPr>
        <w:ind w:left="1061" w:hanging="217"/>
      </w:pPr>
      <w:rPr>
        <w:rFonts w:hint="default"/>
        <w:lang w:val="en-GB" w:eastAsia="en-GB" w:bidi="en-GB"/>
      </w:rPr>
    </w:lvl>
    <w:lvl w:ilvl="2" w:tplc="0C489798">
      <w:numFmt w:val="bullet"/>
      <w:lvlText w:val="•"/>
      <w:lvlJc w:val="left"/>
      <w:pPr>
        <w:ind w:left="1823" w:hanging="217"/>
      </w:pPr>
      <w:rPr>
        <w:rFonts w:hint="default"/>
        <w:lang w:val="en-GB" w:eastAsia="en-GB" w:bidi="en-GB"/>
      </w:rPr>
    </w:lvl>
    <w:lvl w:ilvl="3" w:tplc="4F7E1768">
      <w:numFmt w:val="bullet"/>
      <w:lvlText w:val="•"/>
      <w:lvlJc w:val="left"/>
      <w:pPr>
        <w:ind w:left="2585" w:hanging="217"/>
      </w:pPr>
      <w:rPr>
        <w:rFonts w:hint="default"/>
        <w:lang w:val="en-GB" w:eastAsia="en-GB" w:bidi="en-GB"/>
      </w:rPr>
    </w:lvl>
    <w:lvl w:ilvl="4" w:tplc="34F89FEE">
      <w:numFmt w:val="bullet"/>
      <w:lvlText w:val="•"/>
      <w:lvlJc w:val="left"/>
      <w:pPr>
        <w:ind w:left="3346" w:hanging="217"/>
      </w:pPr>
      <w:rPr>
        <w:rFonts w:hint="default"/>
        <w:lang w:val="en-GB" w:eastAsia="en-GB" w:bidi="en-GB"/>
      </w:rPr>
    </w:lvl>
    <w:lvl w:ilvl="5" w:tplc="ECCAC3C2">
      <w:numFmt w:val="bullet"/>
      <w:lvlText w:val="•"/>
      <w:lvlJc w:val="left"/>
      <w:pPr>
        <w:ind w:left="4108" w:hanging="217"/>
      </w:pPr>
      <w:rPr>
        <w:rFonts w:hint="default"/>
        <w:lang w:val="en-GB" w:eastAsia="en-GB" w:bidi="en-GB"/>
      </w:rPr>
    </w:lvl>
    <w:lvl w:ilvl="6" w:tplc="5F1C466A">
      <w:numFmt w:val="bullet"/>
      <w:lvlText w:val="•"/>
      <w:lvlJc w:val="left"/>
      <w:pPr>
        <w:ind w:left="4870" w:hanging="217"/>
      </w:pPr>
      <w:rPr>
        <w:rFonts w:hint="default"/>
        <w:lang w:val="en-GB" w:eastAsia="en-GB" w:bidi="en-GB"/>
      </w:rPr>
    </w:lvl>
    <w:lvl w:ilvl="7" w:tplc="AE64E596">
      <w:numFmt w:val="bullet"/>
      <w:lvlText w:val="•"/>
      <w:lvlJc w:val="left"/>
      <w:pPr>
        <w:ind w:left="5631" w:hanging="217"/>
      </w:pPr>
      <w:rPr>
        <w:rFonts w:hint="default"/>
        <w:lang w:val="en-GB" w:eastAsia="en-GB" w:bidi="en-GB"/>
      </w:rPr>
    </w:lvl>
    <w:lvl w:ilvl="8" w:tplc="56E86A8A">
      <w:numFmt w:val="bullet"/>
      <w:lvlText w:val="•"/>
      <w:lvlJc w:val="left"/>
      <w:pPr>
        <w:ind w:left="6393" w:hanging="217"/>
      </w:pPr>
      <w:rPr>
        <w:rFonts w:hint="default"/>
        <w:lang w:val="en-GB" w:eastAsia="en-GB" w:bidi="en-GB"/>
      </w:rPr>
    </w:lvl>
  </w:abstractNum>
  <w:abstractNum w:abstractNumId="315" w15:restartNumberingAfterBreak="0">
    <w:nsid w:val="1C3E1A23"/>
    <w:multiLevelType w:val="hybridMultilevel"/>
    <w:tmpl w:val="E75AE58E"/>
    <w:lvl w:ilvl="0" w:tplc="2BB07132">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147C4E94">
      <w:numFmt w:val="bullet"/>
      <w:lvlText w:val="•"/>
      <w:lvlJc w:val="left"/>
      <w:pPr>
        <w:ind w:left="544" w:hanging="217"/>
      </w:pPr>
      <w:rPr>
        <w:rFonts w:hint="default"/>
        <w:lang w:val="en-GB" w:eastAsia="en-GB" w:bidi="en-GB"/>
      </w:rPr>
    </w:lvl>
    <w:lvl w:ilvl="2" w:tplc="F412220C">
      <w:numFmt w:val="bullet"/>
      <w:lvlText w:val="•"/>
      <w:lvlJc w:val="left"/>
      <w:pPr>
        <w:ind w:left="788" w:hanging="217"/>
      </w:pPr>
      <w:rPr>
        <w:rFonts w:hint="default"/>
        <w:lang w:val="en-GB" w:eastAsia="en-GB" w:bidi="en-GB"/>
      </w:rPr>
    </w:lvl>
    <w:lvl w:ilvl="3" w:tplc="6CB4BD0E">
      <w:numFmt w:val="bullet"/>
      <w:lvlText w:val="•"/>
      <w:lvlJc w:val="left"/>
      <w:pPr>
        <w:ind w:left="1032" w:hanging="217"/>
      </w:pPr>
      <w:rPr>
        <w:rFonts w:hint="default"/>
        <w:lang w:val="en-GB" w:eastAsia="en-GB" w:bidi="en-GB"/>
      </w:rPr>
    </w:lvl>
    <w:lvl w:ilvl="4" w:tplc="795A032C">
      <w:numFmt w:val="bullet"/>
      <w:lvlText w:val="•"/>
      <w:lvlJc w:val="left"/>
      <w:pPr>
        <w:ind w:left="1276" w:hanging="217"/>
      </w:pPr>
      <w:rPr>
        <w:rFonts w:hint="default"/>
        <w:lang w:val="en-GB" w:eastAsia="en-GB" w:bidi="en-GB"/>
      </w:rPr>
    </w:lvl>
    <w:lvl w:ilvl="5" w:tplc="19008AAE">
      <w:numFmt w:val="bullet"/>
      <w:lvlText w:val="•"/>
      <w:lvlJc w:val="left"/>
      <w:pPr>
        <w:ind w:left="1520" w:hanging="217"/>
      </w:pPr>
      <w:rPr>
        <w:rFonts w:hint="default"/>
        <w:lang w:val="en-GB" w:eastAsia="en-GB" w:bidi="en-GB"/>
      </w:rPr>
    </w:lvl>
    <w:lvl w:ilvl="6" w:tplc="A088EC1A">
      <w:numFmt w:val="bullet"/>
      <w:lvlText w:val="•"/>
      <w:lvlJc w:val="left"/>
      <w:pPr>
        <w:ind w:left="1764" w:hanging="217"/>
      </w:pPr>
      <w:rPr>
        <w:rFonts w:hint="default"/>
        <w:lang w:val="en-GB" w:eastAsia="en-GB" w:bidi="en-GB"/>
      </w:rPr>
    </w:lvl>
    <w:lvl w:ilvl="7" w:tplc="5EBCC57A">
      <w:numFmt w:val="bullet"/>
      <w:lvlText w:val="•"/>
      <w:lvlJc w:val="left"/>
      <w:pPr>
        <w:ind w:left="2008" w:hanging="217"/>
      </w:pPr>
      <w:rPr>
        <w:rFonts w:hint="default"/>
        <w:lang w:val="en-GB" w:eastAsia="en-GB" w:bidi="en-GB"/>
      </w:rPr>
    </w:lvl>
    <w:lvl w:ilvl="8" w:tplc="783AB2DC">
      <w:numFmt w:val="bullet"/>
      <w:lvlText w:val="•"/>
      <w:lvlJc w:val="left"/>
      <w:pPr>
        <w:ind w:left="2252" w:hanging="217"/>
      </w:pPr>
      <w:rPr>
        <w:rFonts w:hint="default"/>
        <w:lang w:val="en-GB" w:eastAsia="en-GB" w:bidi="en-GB"/>
      </w:rPr>
    </w:lvl>
  </w:abstractNum>
  <w:abstractNum w:abstractNumId="316" w15:restartNumberingAfterBreak="0">
    <w:nsid w:val="1C5B1728"/>
    <w:multiLevelType w:val="hybridMultilevel"/>
    <w:tmpl w:val="302EAE46"/>
    <w:lvl w:ilvl="0" w:tplc="4AC837AE">
      <w:numFmt w:val="bullet"/>
      <w:lvlText w:val="•"/>
      <w:lvlJc w:val="left"/>
      <w:pPr>
        <w:ind w:left="305" w:hanging="217"/>
      </w:pPr>
      <w:rPr>
        <w:rFonts w:ascii="Arial" w:eastAsia="Arial" w:hAnsi="Arial" w:cs="Arial" w:hint="default"/>
        <w:color w:val="231F20"/>
        <w:spacing w:val="-2"/>
        <w:w w:val="100"/>
        <w:sz w:val="18"/>
        <w:szCs w:val="18"/>
        <w:lang w:val="en-GB" w:eastAsia="en-GB" w:bidi="en-GB"/>
      </w:rPr>
    </w:lvl>
    <w:lvl w:ilvl="1" w:tplc="94AC0EF2">
      <w:numFmt w:val="bullet"/>
      <w:lvlText w:val="•"/>
      <w:lvlJc w:val="left"/>
      <w:pPr>
        <w:ind w:left="441" w:hanging="217"/>
      </w:pPr>
      <w:rPr>
        <w:rFonts w:hint="default"/>
        <w:lang w:val="en-GB" w:eastAsia="en-GB" w:bidi="en-GB"/>
      </w:rPr>
    </w:lvl>
    <w:lvl w:ilvl="2" w:tplc="B750F0F6">
      <w:numFmt w:val="bullet"/>
      <w:lvlText w:val="•"/>
      <w:lvlJc w:val="left"/>
      <w:pPr>
        <w:ind w:left="583" w:hanging="217"/>
      </w:pPr>
      <w:rPr>
        <w:rFonts w:hint="default"/>
        <w:lang w:val="en-GB" w:eastAsia="en-GB" w:bidi="en-GB"/>
      </w:rPr>
    </w:lvl>
    <w:lvl w:ilvl="3" w:tplc="AB50D01C">
      <w:numFmt w:val="bullet"/>
      <w:lvlText w:val="•"/>
      <w:lvlJc w:val="left"/>
      <w:pPr>
        <w:ind w:left="725" w:hanging="217"/>
      </w:pPr>
      <w:rPr>
        <w:rFonts w:hint="default"/>
        <w:lang w:val="en-GB" w:eastAsia="en-GB" w:bidi="en-GB"/>
      </w:rPr>
    </w:lvl>
    <w:lvl w:ilvl="4" w:tplc="73064964">
      <w:numFmt w:val="bullet"/>
      <w:lvlText w:val="•"/>
      <w:lvlJc w:val="left"/>
      <w:pPr>
        <w:ind w:left="867" w:hanging="217"/>
      </w:pPr>
      <w:rPr>
        <w:rFonts w:hint="default"/>
        <w:lang w:val="en-GB" w:eastAsia="en-GB" w:bidi="en-GB"/>
      </w:rPr>
    </w:lvl>
    <w:lvl w:ilvl="5" w:tplc="D2768E8C">
      <w:numFmt w:val="bullet"/>
      <w:lvlText w:val="•"/>
      <w:lvlJc w:val="left"/>
      <w:pPr>
        <w:ind w:left="1009" w:hanging="217"/>
      </w:pPr>
      <w:rPr>
        <w:rFonts w:hint="default"/>
        <w:lang w:val="en-GB" w:eastAsia="en-GB" w:bidi="en-GB"/>
      </w:rPr>
    </w:lvl>
    <w:lvl w:ilvl="6" w:tplc="1EB8DA0E">
      <w:numFmt w:val="bullet"/>
      <w:lvlText w:val="•"/>
      <w:lvlJc w:val="left"/>
      <w:pPr>
        <w:ind w:left="1151" w:hanging="217"/>
      </w:pPr>
      <w:rPr>
        <w:rFonts w:hint="default"/>
        <w:lang w:val="en-GB" w:eastAsia="en-GB" w:bidi="en-GB"/>
      </w:rPr>
    </w:lvl>
    <w:lvl w:ilvl="7" w:tplc="C7327204">
      <w:numFmt w:val="bullet"/>
      <w:lvlText w:val="•"/>
      <w:lvlJc w:val="left"/>
      <w:pPr>
        <w:ind w:left="1293" w:hanging="217"/>
      </w:pPr>
      <w:rPr>
        <w:rFonts w:hint="default"/>
        <w:lang w:val="en-GB" w:eastAsia="en-GB" w:bidi="en-GB"/>
      </w:rPr>
    </w:lvl>
    <w:lvl w:ilvl="8" w:tplc="60E83EC0">
      <w:numFmt w:val="bullet"/>
      <w:lvlText w:val="•"/>
      <w:lvlJc w:val="left"/>
      <w:pPr>
        <w:ind w:left="1435" w:hanging="217"/>
      </w:pPr>
      <w:rPr>
        <w:rFonts w:hint="default"/>
        <w:lang w:val="en-GB" w:eastAsia="en-GB" w:bidi="en-GB"/>
      </w:rPr>
    </w:lvl>
  </w:abstractNum>
  <w:abstractNum w:abstractNumId="317" w15:restartNumberingAfterBreak="0">
    <w:nsid w:val="1C6B72D6"/>
    <w:multiLevelType w:val="hybridMultilevel"/>
    <w:tmpl w:val="8670E006"/>
    <w:lvl w:ilvl="0" w:tplc="E3282FA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E6899B6">
      <w:numFmt w:val="bullet"/>
      <w:lvlText w:val="•"/>
      <w:lvlJc w:val="left"/>
      <w:pPr>
        <w:ind w:left="439" w:hanging="217"/>
      </w:pPr>
      <w:rPr>
        <w:rFonts w:hint="default"/>
        <w:lang w:val="en-GB" w:eastAsia="en-GB" w:bidi="en-GB"/>
      </w:rPr>
    </w:lvl>
    <w:lvl w:ilvl="2" w:tplc="52F27FF8">
      <w:numFmt w:val="bullet"/>
      <w:lvlText w:val="•"/>
      <w:lvlJc w:val="left"/>
      <w:pPr>
        <w:ind w:left="578" w:hanging="217"/>
      </w:pPr>
      <w:rPr>
        <w:rFonts w:hint="default"/>
        <w:lang w:val="en-GB" w:eastAsia="en-GB" w:bidi="en-GB"/>
      </w:rPr>
    </w:lvl>
    <w:lvl w:ilvl="3" w:tplc="BA165E1E">
      <w:numFmt w:val="bullet"/>
      <w:lvlText w:val="•"/>
      <w:lvlJc w:val="left"/>
      <w:pPr>
        <w:ind w:left="717" w:hanging="217"/>
      </w:pPr>
      <w:rPr>
        <w:rFonts w:hint="default"/>
        <w:lang w:val="en-GB" w:eastAsia="en-GB" w:bidi="en-GB"/>
      </w:rPr>
    </w:lvl>
    <w:lvl w:ilvl="4" w:tplc="2FBC9DC0">
      <w:numFmt w:val="bullet"/>
      <w:lvlText w:val="•"/>
      <w:lvlJc w:val="left"/>
      <w:pPr>
        <w:ind w:left="856" w:hanging="217"/>
      </w:pPr>
      <w:rPr>
        <w:rFonts w:hint="default"/>
        <w:lang w:val="en-GB" w:eastAsia="en-GB" w:bidi="en-GB"/>
      </w:rPr>
    </w:lvl>
    <w:lvl w:ilvl="5" w:tplc="6956881C">
      <w:numFmt w:val="bullet"/>
      <w:lvlText w:val="•"/>
      <w:lvlJc w:val="left"/>
      <w:pPr>
        <w:ind w:left="995" w:hanging="217"/>
      </w:pPr>
      <w:rPr>
        <w:rFonts w:hint="default"/>
        <w:lang w:val="en-GB" w:eastAsia="en-GB" w:bidi="en-GB"/>
      </w:rPr>
    </w:lvl>
    <w:lvl w:ilvl="6" w:tplc="061A7DA6">
      <w:numFmt w:val="bullet"/>
      <w:lvlText w:val="•"/>
      <w:lvlJc w:val="left"/>
      <w:pPr>
        <w:ind w:left="1134" w:hanging="217"/>
      </w:pPr>
      <w:rPr>
        <w:rFonts w:hint="default"/>
        <w:lang w:val="en-GB" w:eastAsia="en-GB" w:bidi="en-GB"/>
      </w:rPr>
    </w:lvl>
    <w:lvl w:ilvl="7" w:tplc="AC220946">
      <w:numFmt w:val="bullet"/>
      <w:lvlText w:val="•"/>
      <w:lvlJc w:val="left"/>
      <w:pPr>
        <w:ind w:left="1273" w:hanging="217"/>
      </w:pPr>
      <w:rPr>
        <w:rFonts w:hint="default"/>
        <w:lang w:val="en-GB" w:eastAsia="en-GB" w:bidi="en-GB"/>
      </w:rPr>
    </w:lvl>
    <w:lvl w:ilvl="8" w:tplc="42AACDAA">
      <w:numFmt w:val="bullet"/>
      <w:lvlText w:val="•"/>
      <w:lvlJc w:val="left"/>
      <w:pPr>
        <w:ind w:left="1412" w:hanging="217"/>
      </w:pPr>
      <w:rPr>
        <w:rFonts w:hint="default"/>
        <w:lang w:val="en-GB" w:eastAsia="en-GB" w:bidi="en-GB"/>
      </w:rPr>
    </w:lvl>
  </w:abstractNum>
  <w:abstractNum w:abstractNumId="318" w15:restartNumberingAfterBreak="0">
    <w:nsid w:val="1D527863"/>
    <w:multiLevelType w:val="hybridMultilevel"/>
    <w:tmpl w:val="6AC471C6"/>
    <w:lvl w:ilvl="0" w:tplc="43407FD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D649FA2">
      <w:numFmt w:val="bullet"/>
      <w:lvlText w:val="•"/>
      <w:lvlJc w:val="left"/>
      <w:pPr>
        <w:ind w:left="439" w:hanging="217"/>
      </w:pPr>
      <w:rPr>
        <w:rFonts w:hint="default"/>
        <w:lang w:val="en-GB" w:eastAsia="en-GB" w:bidi="en-GB"/>
      </w:rPr>
    </w:lvl>
    <w:lvl w:ilvl="2" w:tplc="89C49BA2">
      <w:numFmt w:val="bullet"/>
      <w:lvlText w:val="•"/>
      <w:lvlJc w:val="left"/>
      <w:pPr>
        <w:ind w:left="578" w:hanging="217"/>
      </w:pPr>
      <w:rPr>
        <w:rFonts w:hint="default"/>
        <w:lang w:val="en-GB" w:eastAsia="en-GB" w:bidi="en-GB"/>
      </w:rPr>
    </w:lvl>
    <w:lvl w:ilvl="3" w:tplc="43F8FB7A">
      <w:numFmt w:val="bullet"/>
      <w:lvlText w:val="•"/>
      <w:lvlJc w:val="left"/>
      <w:pPr>
        <w:ind w:left="717" w:hanging="217"/>
      </w:pPr>
      <w:rPr>
        <w:rFonts w:hint="default"/>
        <w:lang w:val="en-GB" w:eastAsia="en-GB" w:bidi="en-GB"/>
      </w:rPr>
    </w:lvl>
    <w:lvl w:ilvl="4" w:tplc="30BC1C08">
      <w:numFmt w:val="bullet"/>
      <w:lvlText w:val="•"/>
      <w:lvlJc w:val="left"/>
      <w:pPr>
        <w:ind w:left="856" w:hanging="217"/>
      </w:pPr>
      <w:rPr>
        <w:rFonts w:hint="default"/>
        <w:lang w:val="en-GB" w:eastAsia="en-GB" w:bidi="en-GB"/>
      </w:rPr>
    </w:lvl>
    <w:lvl w:ilvl="5" w:tplc="BF688758">
      <w:numFmt w:val="bullet"/>
      <w:lvlText w:val="•"/>
      <w:lvlJc w:val="left"/>
      <w:pPr>
        <w:ind w:left="995" w:hanging="217"/>
      </w:pPr>
      <w:rPr>
        <w:rFonts w:hint="default"/>
        <w:lang w:val="en-GB" w:eastAsia="en-GB" w:bidi="en-GB"/>
      </w:rPr>
    </w:lvl>
    <w:lvl w:ilvl="6" w:tplc="D2967EDC">
      <w:numFmt w:val="bullet"/>
      <w:lvlText w:val="•"/>
      <w:lvlJc w:val="left"/>
      <w:pPr>
        <w:ind w:left="1134" w:hanging="217"/>
      </w:pPr>
      <w:rPr>
        <w:rFonts w:hint="default"/>
        <w:lang w:val="en-GB" w:eastAsia="en-GB" w:bidi="en-GB"/>
      </w:rPr>
    </w:lvl>
    <w:lvl w:ilvl="7" w:tplc="4B64C1BA">
      <w:numFmt w:val="bullet"/>
      <w:lvlText w:val="•"/>
      <w:lvlJc w:val="left"/>
      <w:pPr>
        <w:ind w:left="1273" w:hanging="217"/>
      </w:pPr>
      <w:rPr>
        <w:rFonts w:hint="default"/>
        <w:lang w:val="en-GB" w:eastAsia="en-GB" w:bidi="en-GB"/>
      </w:rPr>
    </w:lvl>
    <w:lvl w:ilvl="8" w:tplc="890AD230">
      <w:numFmt w:val="bullet"/>
      <w:lvlText w:val="•"/>
      <w:lvlJc w:val="left"/>
      <w:pPr>
        <w:ind w:left="1412" w:hanging="217"/>
      </w:pPr>
      <w:rPr>
        <w:rFonts w:hint="default"/>
        <w:lang w:val="en-GB" w:eastAsia="en-GB" w:bidi="en-GB"/>
      </w:rPr>
    </w:lvl>
  </w:abstractNum>
  <w:abstractNum w:abstractNumId="319" w15:restartNumberingAfterBreak="0">
    <w:nsid w:val="1D5D384F"/>
    <w:multiLevelType w:val="hybridMultilevel"/>
    <w:tmpl w:val="B9104F74"/>
    <w:lvl w:ilvl="0" w:tplc="AF68DE7C">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EE4C6554">
      <w:numFmt w:val="bullet"/>
      <w:lvlText w:val="•"/>
      <w:lvlJc w:val="left"/>
      <w:pPr>
        <w:ind w:left="473" w:hanging="217"/>
      </w:pPr>
      <w:rPr>
        <w:rFonts w:hint="default"/>
        <w:lang w:val="en-GB" w:eastAsia="en-GB" w:bidi="en-GB"/>
      </w:rPr>
    </w:lvl>
    <w:lvl w:ilvl="2" w:tplc="AB24FFB4">
      <w:numFmt w:val="bullet"/>
      <w:lvlText w:val="•"/>
      <w:lvlJc w:val="left"/>
      <w:pPr>
        <w:ind w:left="646" w:hanging="217"/>
      </w:pPr>
      <w:rPr>
        <w:rFonts w:hint="default"/>
        <w:lang w:val="en-GB" w:eastAsia="en-GB" w:bidi="en-GB"/>
      </w:rPr>
    </w:lvl>
    <w:lvl w:ilvl="3" w:tplc="52EC94CA">
      <w:numFmt w:val="bullet"/>
      <w:lvlText w:val="•"/>
      <w:lvlJc w:val="left"/>
      <w:pPr>
        <w:ind w:left="819" w:hanging="217"/>
      </w:pPr>
      <w:rPr>
        <w:rFonts w:hint="default"/>
        <w:lang w:val="en-GB" w:eastAsia="en-GB" w:bidi="en-GB"/>
      </w:rPr>
    </w:lvl>
    <w:lvl w:ilvl="4" w:tplc="B1C6ACE6">
      <w:numFmt w:val="bullet"/>
      <w:lvlText w:val="•"/>
      <w:lvlJc w:val="left"/>
      <w:pPr>
        <w:ind w:left="992" w:hanging="217"/>
      </w:pPr>
      <w:rPr>
        <w:rFonts w:hint="default"/>
        <w:lang w:val="en-GB" w:eastAsia="en-GB" w:bidi="en-GB"/>
      </w:rPr>
    </w:lvl>
    <w:lvl w:ilvl="5" w:tplc="7BCE242A">
      <w:numFmt w:val="bullet"/>
      <w:lvlText w:val="•"/>
      <w:lvlJc w:val="left"/>
      <w:pPr>
        <w:ind w:left="1165" w:hanging="217"/>
      </w:pPr>
      <w:rPr>
        <w:rFonts w:hint="default"/>
        <w:lang w:val="en-GB" w:eastAsia="en-GB" w:bidi="en-GB"/>
      </w:rPr>
    </w:lvl>
    <w:lvl w:ilvl="6" w:tplc="A73055DA">
      <w:numFmt w:val="bullet"/>
      <w:lvlText w:val="•"/>
      <w:lvlJc w:val="left"/>
      <w:pPr>
        <w:ind w:left="1338" w:hanging="217"/>
      </w:pPr>
      <w:rPr>
        <w:rFonts w:hint="default"/>
        <w:lang w:val="en-GB" w:eastAsia="en-GB" w:bidi="en-GB"/>
      </w:rPr>
    </w:lvl>
    <w:lvl w:ilvl="7" w:tplc="FC003FD8">
      <w:numFmt w:val="bullet"/>
      <w:lvlText w:val="•"/>
      <w:lvlJc w:val="left"/>
      <w:pPr>
        <w:ind w:left="1511" w:hanging="217"/>
      </w:pPr>
      <w:rPr>
        <w:rFonts w:hint="default"/>
        <w:lang w:val="en-GB" w:eastAsia="en-GB" w:bidi="en-GB"/>
      </w:rPr>
    </w:lvl>
    <w:lvl w:ilvl="8" w:tplc="ADDE8D0E">
      <w:numFmt w:val="bullet"/>
      <w:lvlText w:val="•"/>
      <w:lvlJc w:val="left"/>
      <w:pPr>
        <w:ind w:left="1684" w:hanging="217"/>
      </w:pPr>
      <w:rPr>
        <w:rFonts w:hint="default"/>
        <w:lang w:val="en-GB" w:eastAsia="en-GB" w:bidi="en-GB"/>
      </w:rPr>
    </w:lvl>
  </w:abstractNum>
  <w:abstractNum w:abstractNumId="320" w15:restartNumberingAfterBreak="0">
    <w:nsid w:val="1D5E5BD4"/>
    <w:multiLevelType w:val="hybridMultilevel"/>
    <w:tmpl w:val="3FAAC890"/>
    <w:lvl w:ilvl="0" w:tplc="EB8E515C">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B5C6E264">
      <w:numFmt w:val="bullet"/>
      <w:lvlText w:val="•"/>
      <w:lvlJc w:val="left"/>
      <w:pPr>
        <w:ind w:left="473" w:hanging="217"/>
      </w:pPr>
      <w:rPr>
        <w:rFonts w:hint="default"/>
        <w:lang w:val="en-GB" w:eastAsia="en-GB" w:bidi="en-GB"/>
      </w:rPr>
    </w:lvl>
    <w:lvl w:ilvl="2" w:tplc="ACBC3E3E">
      <w:numFmt w:val="bullet"/>
      <w:lvlText w:val="•"/>
      <w:lvlJc w:val="left"/>
      <w:pPr>
        <w:ind w:left="646" w:hanging="217"/>
      </w:pPr>
      <w:rPr>
        <w:rFonts w:hint="default"/>
        <w:lang w:val="en-GB" w:eastAsia="en-GB" w:bidi="en-GB"/>
      </w:rPr>
    </w:lvl>
    <w:lvl w:ilvl="3" w:tplc="48D0CBE4">
      <w:numFmt w:val="bullet"/>
      <w:lvlText w:val="•"/>
      <w:lvlJc w:val="left"/>
      <w:pPr>
        <w:ind w:left="819" w:hanging="217"/>
      </w:pPr>
      <w:rPr>
        <w:rFonts w:hint="default"/>
        <w:lang w:val="en-GB" w:eastAsia="en-GB" w:bidi="en-GB"/>
      </w:rPr>
    </w:lvl>
    <w:lvl w:ilvl="4" w:tplc="88B29700">
      <w:numFmt w:val="bullet"/>
      <w:lvlText w:val="•"/>
      <w:lvlJc w:val="left"/>
      <w:pPr>
        <w:ind w:left="992" w:hanging="217"/>
      </w:pPr>
      <w:rPr>
        <w:rFonts w:hint="default"/>
        <w:lang w:val="en-GB" w:eastAsia="en-GB" w:bidi="en-GB"/>
      </w:rPr>
    </w:lvl>
    <w:lvl w:ilvl="5" w:tplc="581ED394">
      <w:numFmt w:val="bullet"/>
      <w:lvlText w:val="•"/>
      <w:lvlJc w:val="left"/>
      <w:pPr>
        <w:ind w:left="1165" w:hanging="217"/>
      </w:pPr>
      <w:rPr>
        <w:rFonts w:hint="default"/>
        <w:lang w:val="en-GB" w:eastAsia="en-GB" w:bidi="en-GB"/>
      </w:rPr>
    </w:lvl>
    <w:lvl w:ilvl="6" w:tplc="96AE143E">
      <w:numFmt w:val="bullet"/>
      <w:lvlText w:val="•"/>
      <w:lvlJc w:val="left"/>
      <w:pPr>
        <w:ind w:left="1338" w:hanging="217"/>
      </w:pPr>
      <w:rPr>
        <w:rFonts w:hint="default"/>
        <w:lang w:val="en-GB" w:eastAsia="en-GB" w:bidi="en-GB"/>
      </w:rPr>
    </w:lvl>
    <w:lvl w:ilvl="7" w:tplc="F246E72C">
      <w:numFmt w:val="bullet"/>
      <w:lvlText w:val="•"/>
      <w:lvlJc w:val="left"/>
      <w:pPr>
        <w:ind w:left="1511" w:hanging="217"/>
      </w:pPr>
      <w:rPr>
        <w:rFonts w:hint="default"/>
        <w:lang w:val="en-GB" w:eastAsia="en-GB" w:bidi="en-GB"/>
      </w:rPr>
    </w:lvl>
    <w:lvl w:ilvl="8" w:tplc="4648CAB2">
      <w:numFmt w:val="bullet"/>
      <w:lvlText w:val="•"/>
      <w:lvlJc w:val="left"/>
      <w:pPr>
        <w:ind w:left="1684" w:hanging="217"/>
      </w:pPr>
      <w:rPr>
        <w:rFonts w:hint="default"/>
        <w:lang w:val="en-GB" w:eastAsia="en-GB" w:bidi="en-GB"/>
      </w:rPr>
    </w:lvl>
  </w:abstractNum>
  <w:abstractNum w:abstractNumId="321" w15:restartNumberingAfterBreak="0">
    <w:nsid w:val="1D9813AA"/>
    <w:multiLevelType w:val="hybridMultilevel"/>
    <w:tmpl w:val="27C62120"/>
    <w:lvl w:ilvl="0" w:tplc="4B7E86E6">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84202FF8">
      <w:numFmt w:val="bullet"/>
      <w:lvlText w:val="•"/>
      <w:lvlJc w:val="left"/>
      <w:pPr>
        <w:ind w:left="473" w:hanging="217"/>
      </w:pPr>
      <w:rPr>
        <w:rFonts w:hint="default"/>
        <w:lang w:val="en-GB" w:eastAsia="en-GB" w:bidi="en-GB"/>
      </w:rPr>
    </w:lvl>
    <w:lvl w:ilvl="2" w:tplc="C1961E7A">
      <w:numFmt w:val="bullet"/>
      <w:lvlText w:val="•"/>
      <w:lvlJc w:val="left"/>
      <w:pPr>
        <w:ind w:left="646" w:hanging="217"/>
      </w:pPr>
      <w:rPr>
        <w:rFonts w:hint="default"/>
        <w:lang w:val="en-GB" w:eastAsia="en-GB" w:bidi="en-GB"/>
      </w:rPr>
    </w:lvl>
    <w:lvl w:ilvl="3" w:tplc="7A00E028">
      <w:numFmt w:val="bullet"/>
      <w:lvlText w:val="•"/>
      <w:lvlJc w:val="left"/>
      <w:pPr>
        <w:ind w:left="819" w:hanging="217"/>
      </w:pPr>
      <w:rPr>
        <w:rFonts w:hint="default"/>
        <w:lang w:val="en-GB" w:eastAsia="en-GB" w:bidi="en-GB"/>
      </w:rPr>
    </w:lvl>
    <w:lvl w:ilvl="4" w:tplc="F8F6AB04">
      <w:numFmt w:val="bullet"/>
      <w:lvlText w:val="•"/>
      <w:lvlJc w:val="left"/>
      <w:pPr>
        <w:ind w:left="992" w:hanging="217"/>
      </w:pPr>
      <w:rPr>
        <w:rFonts w:hint="default"/>
        <w:lang w:val="en-GB" w:eastAsia="en-GB" w:bidi="en-GB"/>
      </w:rPr>
    </w:lvl>
    <w:lvl w:ilvl="5" w:tplc="45CE5032">
      <w:numFmt w:val="bullet"/>
      <w:lvlText w:val="•"/>
      <w:lvlJc w:val="left"/>
      <w:pPr>
        <w:ind w:left="1165" w:hanging="217"/>
      </w:pPr>
      <w:rPr>
        <w:rFonts w:hint="default"/>
        <w:lang w:val="en-GB" w:eastAsia="en-GB" w:bidi="en-GB"/>
      </w:rPr>
    </w:lvl>
    <w:lvl w:ilvl="6" w:tplc="FD88D05C">
      <w:numFmt w:val="bullet"/>
      <w:lvlText w:val="•"/>
      <w:lvlJc w:val="left"/>
      <w:pPr>
        <w:ind w:left="1338" w:hanging="217"/>
      </w:pPr>
      <w:rPr>
        <w:rFonts w:hint="default"/>
        <w:lang w:val="en-GB" w:eastAsia="en-GB" w:bidi="en-GB"/>
      </w:rPr>
    </w:lvl>
    <w:lvl w:ilvl="7" w:tplc="DDD4D05C">
      <w:numFmt w:val="bullet"/>
      <w:lvlText w:val="•"/>
      <w:lvlJc w:val="left"/>
      <w:pPr>
        <w:ind w:left="1511" w:hanging="217"/>
      </w:pPr>
      <w:rPr>
        <w:rFonts w:hint="default"/>
        <w:lang w:val="en-GB" w:eastAsia="en-GB" w:bidi="en-GB"/>
      </w:rPr>
    </w:lvl>
    <w:lvl w:ilvl="8" w:tplc="F3C8CD4C">
      <w:numFmt w:val="bullet"/>
      <w:lvlText w:val="•"/>
      <w:lvlJc w:val="left"/>
      <w:pPr>
        <w:ind w:left="1684" w:hanging="217"/>
      </w:pPr>
      <w:rPr>
        <w:rFonts w:hint="default"/>
        <w:lang w:val="en-GB" w:eastAsia="en-GB" w:bidi="en-GB"/>
      </w:rPr>
    </w:lvl>
  </w:abstractNum>
  <w:abstractNum w:abstractNumId="322" w15:restartNumberingAfterBreak="0">
    <w:nsid w:val="1D9B6B27"/>
    <w:multiLevelType w:val="hybridMultilevel"/>
    <w:tmpl w:val="23A4AFFC"/>
    <w:lvl w:ilvl="0" w:tplc="DAC8A9E8">
      <w:numFmt w:val="bullet"/>
      <w:lvlText w:val="•"/>
      <w:lvlJc w:val="left"/>
      <w:pPr>
        <w:ind w:left="300" w:hanging="217"/>
      </w:pPr>
      <w:rPr>
        <w:rFonts w:ascii="Arial" w:eastAsia="Arial" w:hAnsi="Arial" w:cs="Arial" w:hint="default"/>
        <w:color w:val="231F20"/>
        <w:w w:val="102"/>
        <w:sz w:val="17"/>
        <w:szCs w:val="17"/>
        <w:lang w:val="en-GB" w:eastAsia="en-GB" w:bidi="en-GB"/>
      </w:rPr>
    </w:lvl>
    <w:lvl w:ilvl="1" w:tplc="A56E0646">
      <w:numFmt w:val="bullet"/>
      <w:lvlText w:val="•"/>
      <w:lvlJc w:val="left"/>
      <w:pPr>
        <w:ind w:left="892" w:hanging="217"/>
      </w:pPr>
      <w:rPr>
        <w:rFonts w:hint="default"/>
        <w:lang w:val="en-GB" w:eastAsia="en-GB" w:bidi="en-GB"/>
      </w:rPr>
    </w:lvl>
    <w:lvl w:ilvl="2" w:tplc="FCEA42E8">
      <w:numFmt w:val="bullet"/>
      <w:lvlText w:val="•"/>
      <w:lvlJc w:val="left"/>
      <w:pPr>
        <w:ind w:left="1484" w:hanging="217"/>
      </w:pPr>
      <w:rPr>
        <w:rFonts w:hint="default"/>
        <w:lang w:val="en-GB" w:eastAsia="en-GB" w:bidi="en-GB"/>
      </w:rPr>
    </w:lvl>
    <w:lvl w:ilvl="3" w:tplc="198A1F88">
      <w:numFmt w:val="bullet"/>
      <w:lvlText w:val="•"/>
      <w:lvlJc w:val="left"/>
      <w:pPr>
        <w:ind w:left="2076" w:hanging="217"/>
      </w:pPr>
      <w:rPr>
        <w:rFonts w:hint="default"/>
        <w:lang w:val="en-GB" w:eastAsia="en-GB" w:bidi="en-GB"/>
      </w:rPr>
    </w:lvl>
    <w:lvl w:ilvl="4" w:tplc="E75C5398">
      <w:numFmt w:val="bullet"/>
      <w:lvlText w:val="•"/>
      <w:lvlJc w:val="left"/>
      <w:pPr>
        <w:ind w:left="2668" w:hanging="217"/>
      </w:pPr>
      <w:rPr>
        <w:rFonts w:hint="default"/>
        <w:lang w:val="en-GB" w:eastAsia="en-GB" w:bidi="en-GB"/>
      </w:rPr>
    </w:lvl>
    <w:lvl w:ilvl="5" w:tplc="700848E6">
      <w:numFmt w:val="bullet"/>
      <w:lvlText w:val="•"/>
      <w:lvlJc w:val="left"/>
      <w:pPr>
        <w:ind w:left="3260" w:hanging="217"/>
      </w:pPr>
      <w:rPr>
        <w:rFonts w:hint="default"/>
        <w:lang w:val="en-GB" w:eastAsia="en-GB" w:bidi="en-GB"/>
      </w:rPr>
    </w:lvl>
    <w:lvl w:ilvl="6" w:tplc="F57AFF96">
      <w:numFmt w:val="bullet"/>
      <w:lvlText w:val="•"/>
      <w:lvlJc w:val="left"/>
      <w:pPr>
        <w:ind w:left="3852" w:hanging="217"/>
      </w:pPr>
      <w:rPr>
        <w:rFonts w:hint="default"/>
        <w:lang w:val="en-GB" w:eastAsia="en-GB" w:bidi="en-GB"/>
      </w:rPr>
    </w:lvl>
    <w:lvl w:ilvl="7" w:tplc="A05EAA34">
      <w:numFmt w:val="bullet"/>
      <w:lvlText w:val="•"/>
      <w:lvlJc w:val="left"/>
      <w:pPr>
        <w:ind w:left="4444" w:hanging="217"/>
      </w:pPr>
      <w:rPr>
        <w:rFonts w:hint="default"/>
        <w:lang w:val="en-GB" w:eastAsia="en-GB" w:bidi="en-GB"/>
      </w:rPr>
    </w:lvl>
    <w:lvl w:ilvl="8" w:tplc="053C29B6">
      <w:numFmt w:val="bullet"/>
      <w:lvlText w:val="•"/>
      <w:lvlJc w:val="left"/>
      <w:pPr>
        <w:ind w:left="5036" w:hanging="217"/>
      </w:pPr>
      <w:rPr>
        <w:rFonts w:hint="default"/>
        <w:lang w:val="en-GB" w:eastAsia="en-GB" w:bidi="en-GB"/>
      </w:rPr>
    </w:lvl>
  </w:abstractNum>
  <w:abstractNum w:abstractNumId="323" w15:restartNumberingAfterBreak="0">
    <w:nsid w:val="1DFD283C"/>
    <w:multiLevelType w:val="hybridMultilevel"/>
    <w:tmpl w:val="7E9C9252"/>
    <w:lvl w:ilvl="0" w:tplc="D298A7A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7F8B5E4">
      <w:numFmt w:val="bullet"/>
      <w:lvlText w:val="•"/>
      <w:lvlJc w:val="left"/>
      <w:pPr>
        <w:ind w:left="892" w:hanging="217"/>
      </w:pPr>
      <w:rPr>
        <w:rFonts w:hint="default"/>
        <w:lang w:val="en-GB" w:eastAsia="en-GB" w:bidi="en-GB"/>
      </w:rPr>
    </w:lvl>
    <w:lvl w:ilvl="2" w:tplc="6786ECD4">
      <w:numFmt w:val="bullet"/>
      <w:lvlText w:val="•"/>
      <w:lvlJc w:val="left"/>
      <w:pPr>
        <w:ind w:left="1485" w:hanging="217"/>
      </w:pPr>
      <w:rPr>
        <w:rFonts w:hint="default"/>
        <w:lang w:val="en-GB" w:eastAsia="en-GB" w:bidi="en-GB"/>
      </w:rPr>
    </w:lvl>
    <w:lvl w:ilvl="3" w:tplc="3092D534">
      <w:numFmt w:val="bullet"/>
      <w:lvlText w:val="•"/>
      <w:lvlJc w:val="left"/>
      <w:pPr>
        <w:ind w:left="2077" w:hanging="217"/>
      </w:pPr>
      <w:rPr>
        <w:rFonts w:hint="default"/>
        <w:lang w:val="en-GB" w:eastAsia="en-GB" w:bidi="en-GB"/>
      </w:rPr>
    </w:lvl>
    <w:lvl w:ilvl="4" w:tplc="E1449EE4">
      <w:numFmt w:val="bullet"/>
      <w:lvlText w:val="•"/>
      <w:lvlJc w:val="left"/>
      <w:pPr>
        <w:ind w:left="2670" w:hanging="217"/>
      </w:pPr>
      <w:rPr>
        <w:rFonts w:hint="default"/>
        <w:lang w:val="en-GB" w:eastAsia="en-GB" w:bidi="en-GB"/>
      </w:rPr>
    </w:lvl>
    <w:lvl w:ilvl="5" w:tplc="2910D53E">
      <w:numFmt w:val="bullet"/>
      <w:lvlText w:val="•"/>
      <w:lvlJc w:val="left"/>
      <w:pPr>
        <w:ind w:left="3263" w:hanging="217"/>
      </w:pPr>
      <w:rPr>
        <w:rFonts w:hint="default"/>
        <w:lang w:val="en-GB" w:eastAsia="en-GB" w:bidi="en-GB"/>
      </w:rPr>
    </w:lvl>
    <w:lvl w:ilvl="6" w:tplc="6700F506">
      <w:numFmt w:val="bullet"/>
      <w:lvlText w:val="•"/>
      <w:lvlJc w:val="left"/>
      <w:pPr>
        <w:ind w:left="3855" w:hanging="217"/>
      </w:pPr>
      <w:rPr>
        <w:rFonts w:hint="default"/>
        <w:lang w:val="en-GB" w:eastAsia="en-GB" w:bidi="en-GB"/>
      </w:rPr>
    </w:lvl>
    <w:lvl w:ilvl="7" w:tplc="92E01A6A">
      <w:numFmt w:val="bullet"/>
      <w:lvlText w:val="•"/>
      <w:lvlJc w:val="left"/>
      <w:pPr>
        <w:ind w:left="4448" w:hanging="217"/>
      </w:pPr>
      <w:rPr>
        <w:rFonts w:hint="default"/>
        <w:lang w:val="en-GB" w:eastAsia="en-GB" w:bidi="en-GB"/>
      </w:rPr>
    </w:lvl>
    <w:lvl w:ilvl="8" w:tplc="DA742456">
      <w:numFmt w:val="bullet"/>
      <w:lvlText w:val="•"/>
      <w:lvlJc w:val="left"/>
      <w:pPr>
        <w:ind w:left="5040" w:hanging="217"/>
      </w:pPr>
      <w:rPr>
        <w:rFonts w:hint="default"/>
        <w:lang w:val="en-GB" w:eastAsia="en-GB" w:bidi="en-GB"/>
      </w:rPr>
    </w:lvl>
  </w:abstractNum>
  <w:abstractNum w:abstractNumId="324" w15:restartNumberingAfterBreak="0">
    <w:nsid w:val="1E0979D5"/>
    <w:multiLevelType w:val="hybridMultilevel"/>
    <w:tmpl w:val="750E0392"/>
    <w:lvl w:ilvl="0" w:tplc="5AA6013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802C854">
      <w:numFmt w:val="bullet"/>
      <w:lvlText w:val="•"/>
      <w:lvlJc w:val="left"/>
      <w:pPr>
        <w:ind w:left="439" w:hanging="217"/>
      </w:pPr>
      <w:rPr>
        <w:rFonts w:hint="default"/>
        <w:lang w:val="en-GB" w:eastAsia="en-GB" w:bidi="en-GB"/>
      </w:rPr>
    </w:lvl>
    <w:lvl w:ilvl="2" w:tplc="CCD0DE96">
      <w:numFmt w:val="bullet"/>
      <w:lvlText w:val="•"/>
      <w:lvlJc w:val="left"/>
      <w:pPr>
        <w:ind w:left="578" w:hanging="217"/>
      </w:pPr>
      <w:rPr>
        <w:rFonts w:hint="default"/>
        <w:lang w:val="en-GB" w:eastAsia="en-GB" w:bidi="en-GB"/>
      </w:rPr>
    </w:lvl>
    <w:lvl w:ilvl="3" w:tplc="BA0AB544">
      <w:numFmt w:val="bullet"/>
      <w:lvlText w:val="•"/>
      <w:lvlJc w:val="left"/>
      <w:pPr>
        <w:ind w:left="717" w:hanging="217"/>
      </w:pPr>
      <w:rPr>
        <w:rFonts w:hint="default"/>
        <w:lang w:val="en-GB" w:eastAsia="en-GB" w:bidi="en-GB"/>
      </w:rPr>
    </w:lvl>
    <w:lvl w:ilvl="4" w:tplc="8DCA1D26">
      <w:numFmt w:val="bullet"/>
      <w:lvlText w:val="•"/>
      <w:lvlJc w:val="left"/>
      <w:pPr>
        <w:ind w:left="856" w:hanging="217"/>
      </w:pPr>
      <w:rPr>
        <w:rFonts w:hint="default"/>
        <w:lang w:val="en-GB" w:eastAsia="en-GB" w:bidi="en-GB"/>
      </w:rPr>
    </w:lvl>
    <w:lvl w:ilvl="5" w:tplc="835AACA6">
      <w:numFmt w:val="bullet"/>
      <w:lvlText w:val="•"/>
      <w:lvlJc w:val="left"/>
      <w:pPr>
        <w:ind w:left="995" w:hanging="217"/>
      </w:pPr>
      <w:rPr>
        <w:rFonts w:hint="default"/>
        <w:lang w:val="en-GB" w:eastAsia="en-GB" w:bidi="en-GB"/>
      </w:rPr>
    </w:lvl>
    <w:lvl w:ilvl="6" w:tplc="EDA0BF86">
      <w:numFmt w:val="bullet"/>
      <w:lvlText w:val="•"/>
      <w:lvlJc w:val="left"/>
      <w:pPr>
        <w:ind w:left="1134" w:hanging="217"/>
      </w:pPr>
      <w:rPr>
        <w:rFonts w:hint="default"/>
        <w:lang w:val="en-GB" w:eastAsia="en-GB" w:bidi="en-GB"/>
      </w:rPr>
    </w:lvl>
    <w:lvl w:ilvl="7" w:tplc="EF649496">
      <w:numFmt w:val="bullet"/>
      <w:lvlText w:val="•"/>
      <w:lvlJc w:val="left"/>
      <w:pPr>
        <w:ind w:left="1273" w:hanging="217"/>
      </w:pPr>
      <w:rPr>
        <w:rFonts w:hint="default"/>
        <w:lang w:val="en-GB" w:eastAsia="en-GB" w:bidi="en-GB"/>
      </w:rPr>
    </w:lvl>
    <w:lvl w:ilvl="8" w:tplc="ACE2E350">
      <w:numFmt w:val="bullet"/>
      <w:lvlText w:val="•"/>
      <w:lvlJc w:val="left"/>
      <w:pPr>
        <w:ind w:left="1412" w:hanging="217"/>
      </w:pPr>
      <w:rPr>
        <w:rFonts w:hint="default"/>
        <w:lang w:val="en-GB" w:eastAsia="en-GB" w:bidi="en-GB"/>
      </w:rPr>
    </w:lvl>
  </w:abstractNum>
  <w:abstractNum w:abstractNumId="325" w15:restartNumberingAfterBreak="0">
    <w:nsid w:val="1E1D0300"/>
    <w:multiLevelType w:val="hybridMultilevel"/>
    <w:tmpl w:val="9E244884"/>
    <w:lvl w:ilvl="0" w:tplc="400EB02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F00BCA2">
      <w:numFmt w:val="bullet"/>
      <w:lvlText w:val="•"/>
      <w:lvlJc w:val="left"/>
      <w:pPr>
        <w:ind w:left="473" w:hanging="217"/>
      </w:pPr>
      <w:rPr>
        <w:rFonts w:hint="default"/>
        <w:lang w:val="en-GB" w:eastAsia="en-GB" w:bidi="en-GB"/>
      </w:rPr>
    </w:lvl>
    <w:lvl w:ilvl="2" w:tplc="2856F7A8">
      <w:numFmt w:val="bullet"/>
      <w:lvlText w:val="•"/>
      <w:lvlJc w:val="left"/>
      <w:pPr>
        <w:ind w:left="646" w:hanging="217"/>
      </w:pPr>
      <w:rPr>
        <w:rFonts w:hint="default"/>
        <w:lang w:val="en-GB" w:eastAsia="en-GB" w:bidi="en-GB"/>
      </w:rPr>
    </w:lvl>
    <w:lvl w:ilvl="3" w:tplc="9A5C2CC0">
      <w:numFmt w:val="bullet"/>
      <w:lvlText w:val="•"/>
      <w:lvlJc w:val="left"/>
      <w:pPr>
        <w:ind w:left="819" w:hanging="217"/>
      </w:pPr>
      <w:rPr>
        <w:rFonts w:hint="default"/>
        <w:lang w:val="en-GB" w:eastAsia="en-GB" w:bidi="en-GB"/>
      </w:rPr>
    </w:lvl>
    <w:lvl w:ilvl="4" w:tplc="26304C8E">
      <w:numFmt w:val="bullet"/>
      <w:lvlText w:val="•"/>
      <w:lvlJc w:val="left"/>
      <w:pPr>
        <w:ind w:left="992" w:hanging="217"/>
      </w:pPr>
      <w:rPr>
        <w:rFonts w:hint="default"/>
        <w:lang w:val="en-GB" w:eastAsia="en-GB" w:bidi="en-GB"/>
      </w:rPr>
    </w:lvl>
    <w:lvl w:ilvl="5" w:tplc="33EAF3BE">
      <w:numFmt w:val="bullet"/>
      <w:lvlText w:val="•"/>
      <w:lvlJc w:val="left"/>
      <w:pPr>
        <w:ind w:left="1165" w:hanging="217"/>
      </w:pPr>
      <w:rPr>
        <w:rFonts w:hint="default"/>
        <w:lang w:val="en-GB" w:eastAsia="en-GB" w:bidi="en-GB"/>
      </w:rPr>
    </w:lvl>
    <w:lvl w:ilvl="6" w:tplc="67466742">
      <w:numFmt w:val="bullet"/>
      <w:lvlText w:val="•"/>
      <w:lvlJc w:val="left"/>
      <w:pPr>
        <w:ind w:left="1338" w:hanging="217"/>
      </w:pPr>
      <w:rPr>
        <w:rFonts w:hint="default"/>
        <w:lang w:val="en-GB" w:eastAsia="en-GB" w:bidi="en-GB"/>
      </w:rPr>
    </w:lvl>
    <w:lvl w:ilvl="7" w:tplc="D2BAB230">
      <w:numFmt w:val="bullet"/>
      <w:lvlText w:val="•"/>
      <w:lvlJc w:val="left"/>
      <w:pPr>
        <w:ind w:left="1511" w:hanging="217"/>
      </w:pPr>
      <w:rPr>
        <w:rFonts w:hint="default"/>
        <w:lang w:val="en-GB" w:eastAsia="en-GB" w:bidi="en-GB"/>
      </w:rPr>
    </w:lvl>
    <w:lvl w:ilvl="8" w:tplc="6EAE7D12">
      <w:numFmt w:val="bullet"/>
      <w:lvlText w:val="•"/>
      <w:lvlJc w:val="left"/>
      <w:pPr>
        <w:ind w:left="1684" w:hanging="217"/>
      </w:pPr>
      <w:rPr>
        <w:rFonts w:hint="default"/>
        <w:lang w:val="en-GB" w:eastAsia="en-GB" w:bidi="en-GB"/>
      </w:rPr>
    </w:lvl>
  </w:abstractNum>
  <w:abstractNum w:abstractNumId="326" w15:restartNumberingAfterBreak="0">
    <w:nsid w:val="1E222D33"/>
    <w:multiLevelType w:val="hybridMultilevel"/>
    <w:tmpl w:val="4D1A39F2"/>
    <w:lvl w:ilvl="0" w:tplc="8162347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E1B8DE3A">
      <w:numFmt w:val="bullet"/>
      <w:lvlText w:val="•"/>
      <w:lvlJc w:val="left"/>
      <w:pPr>
        <w:ind w:left="892" w:hanging="217"/>
      </w:pPr>
      <w:rPr>
        <w:rFonts w:hint="default"/>
        <w:lang w:val="en-GB" w:eastAsia="en-GB" w:bidi="en-GB"/>
      </w:rPr>
    </w:lvl>
    <w:lvl w:ilvl="2" w:tplc="1728DD44">
      <w:numFmt w:val="bullet"/>
      <w:lvlText w:val="•"/>
      <w:lvlJc w:val="left"/>
      <w:pPr>
        <w:ind w:left="1485" w:hanging="217"/>
      </w:pPr>
      <w:rPr>
        <w:rFonts w:hint="default"/>
        <w:lang w:val="en-GB" w:eastAsia="en-GB" w:bidi="en-GB"/>
      </w:rPr>
    </w:lvl>
    <w:lvl w:ilvl="3" w:tplc="033A394C">
      <w:numFmt w:val="bullet"/>
      <w:lvlText w:val="•"/>
      <w:lvlJc w:val="left"/>
      <w:pPr>
        <w:ind w:left="2077" w:hanging="217"/>
      </w:pPr>
      <w:rPr>
        <w:rFonts w:hint="default"/>
        <w:lang w:val="en-GB" w:eastAsia="en-GB" w:bidi="en-GB"/>
      </w:rPr>
    </w:lvl>
    <w:lvl w:ilvl="4" w:tplc="99DE89B0">
      <w:numFmt w:val="bullet"/>
      <w:lvlText w:val="•"/>
      <w:lvlJc w:val="left"/>
      <w:pPr>
        <w:ind w:left="2670" w:hanging="217"/>
      </w:pPr>
      <w:rPr>
        <w:rFonts w:hint="default"/>
        <w:lang w:val="en-GB" w:eastAsia="en-GB" w:bidi="en-GB"/>
      </w:rPr>
    </w:lvl>
    <w:lvl w:ilvl="5" w:tplc="CB68C93C">
      <w:numFmt w:val="bullet"/>
      <w:lvlText w:val="•"/>
      <w:lvlJc w:val="left"/>
      <w:pPr>
        <w:ind w:left="3263" w:hanging="217"/>
      </w:pPr>
      <w:rPr>
        <w:rFonts w:hint="default"/>
        <w:lang w:val="en-GB" w:eastAsia="en-GB" w:bidi="en-GB"/>
      </w:rPr>
    </w:lvl>
    <w:lvl w:ilvl="6" w:tplc="8CDE8158">
      <w:numFmt w:val="bullet"/>
      <w:lvlText w:val="•"/>
      <w:lvlJc w:val="left"/>
      <w:pPr>
        <w:ind w:left="3855" w:hanging="217"/>
      </w:pPr>
      <w:rPr>
        <w:rFonts w:hint="default"/>
        <w:lang w:val="en-GB" w:eastAsia="en-GB" w:bidi="en-GB"/>
      </w:rPr>
    </w:lvl>
    <w:lvl w:ilvl="7" w:tplc="A56A582C">
      <w:numFmt w:val="bullet"/>
      <w:lvlText w:val="•"/>
      <w:lvlJc w:val="left"/>
      <w:pPr>
        <w:ind w:left="4448" w:hanging="217"/>
      </w:pPr>
      <w:rPr>
        <w:rFonts w:hint="default"/>
        <w:lang w:val="en-GB" w:eastAsia="en-GB" w:bidi="en-GB"/>
      </w:rPr>
    </w:lvl>
    <w:lvl w:ilvl="8" w:tplc="E41CC88A">
      <w:numFmt w:val="bullet"/>
      <w:lvlText w:val="•"/>
      <w:lvlJc w:val="left"/>
      <w:pPr>
        <w:ind w:left="5040" w:hanging="217"/>
      </w:pPr>
      <w:rPr>
        <w:rFonts w:hint="default"/>
        <w:lang w:val="en-GB" w:eastAsia="en-GB" w:bidi="en-GB"/>
      </w:rPr>
    </w:lvl>
  </w:abstractNum>
  <w:abstractNum w:abstractNumId="327" w15:restartNumberingAfterBreak="0">
    <w:nsid w:val="1E3C0856"/>
    <w:multiLevelType w:val="hybridMultilevel"/>
    <w:tmpl w:val="10249D14"/>
    <w:lvl w:ilvl="0" w:tplc="AC5CC4E4">
      <w:numFmt w:val="bullet"/>
      <w:lvlText w:val="•"/>
      <w:lvlJc w:val="left"/>
      <w:pPr>
        <w:ind w:left="307" w:hanging="217"/>
      </w:pPr>
      <w:rPr>
        <w:rFonts w:ascii="Arial" w:eastAsia="Arial" w:hAnsi="Arial" w:cs="Arial" w:hint="default"/>
        <w:color w:val="231F20"/>
        <w:spacing w:val="-4"/>
        <w:w w:val="100"/>
        <w:sz w:val="18"/>
        <w:szCs w:val="18"/>
        <w:lang w:val="en-GB" w:eastAsia="en-GB" w:bidi="en-GB"/>
      </w:rPr>
    </w:lvl>
    <w:lvl w:ilvl="1" w:tplc="E56C07E2">
      <w:numFmt w:val="bullet"/>
      <w:lvlText w:val="•"/>
      <w:lvlJc w:val="left"/>
      <w:pPr>
        <w:ind w:left="444" w:hanging="217"/>
      </w:pPr>
      <w:rPr>
        <w:rFonts w:hint="default"/>
        <w:lang w:val="en-GB" w:eastAsia="en-GB" w:bidi="en-GB"/>
      </w:rPr>
    </w:lvl>
    <w:lvl w:ilvl="2" w:tplc="B2ACE4A8">
      <w:numFmt w:val="bullet"/>
      <w:lvlText w:val="•"/>
      <w:lvlJc w:val="left"/>
      <w:pPr>
        <w:ind w:left="589" w:hanging="217"/>
      </w:pPr>
      <w:rPr>
        <w:rFonts w:hint="default"/>
        <w:lang w:val="en-GB" w:eastAsia="en-GB" w:bidi="en-GB"/>
      </w:rPr>
    </w:lvl>
    <w:lvl w:ilvl="3" w:tplc="C0283794">
      <w:numFmt w:val="bullet"/>
      <w:lvlText w:val="•"/>
      <w:lvlJc w:val="left"/>
      <w:pPr>
        <w:ind w:left="734" w:hanging="217"/>
      </w:pPr>
      <w:rPr>
        <w:rFonts w:hint="default"/>
        <w:lang w:val="en-GB" w:eastAsia="en-GB" w:bidi="en-GB"/>
      </w:rPr>
    </w:lvl>
    <w:lvl w:ilvl="4" w:tplc="7BA8580C">
      <w:numFmt w:val="bullet"/>
      <w:lvlText w:val="•"/>
      <w:lvlJc w:val="left"/>
      <w:pPr>
        <w:ind w:left="878" w:hanging="217"/>
      </w:pPr>
      <w:rPr>
        <w:rFonts w:hint="default"/>
        <w:lang w:val="en-GB" w:eastAsia="en-GB" w:bidi="en-GB"/>
      </w:rPr>
    </w:lvl>
    <w:lvl w:ilvl="5" w:tplc="1706B3BE">
      <w:numFmt w:val="bullet"/>
      <w:lvlText w:val="•"/>
      <w:lvlJc w:val="left"/>
      <w:pPr>
        <w:ind w:left="1023" w:hanging="217"/>
      </w:pPr>
      <w:rPr>
        <w:rFonts w:hint="default"/>
        <w:lang w:val="en-GB" w:eastAsia="en-GB" w:bidi="en-GB"/>
      </w:rPr>
    </w:lvl>
    <w:lvl w:ilvl="6" w:tplc="20ACAEDC">
      <w:numFmt w:val="bullet"/>
      <w:lvlText w:val="•"/>
      <w:lvlJc w:val="left"/>
      <w:pPr>
        <w:ind w:left="1168" w:hanging="217"/>
      </w:pPr>
      <w:rPr>
        <w:rFonts w:hint="default"/>
        <w:lang w:val="en-GB" w:eastAsia="en-GB" w:bidi="en-GB"/>
      </w:rPr>
    </w:lvl>
    <w:lvl w:ilvl="7" w:tplc="C046F4C2">
      <w:numFmt w:val="bullet"/>
      <w:lvlText w:val="•"/>
      <w:lvlJc w:val="left"/>
      <w:pPr>
        <w:ind w:left="1312" w:hanging="217"/>
      </w:pPr>
      <w:rPr>
        <w:rFonts w:hint="default"/>
        <w:lang w:val="en-GB" w:eastAsia="en-GB" w:bidi="en-GB"/>
      </w:rPr>
    </w:lvl>
    <w:lvl w:ilvl="8" w:tplc="3B7212C0">
      <w:numFmt w:val="bullet"/>
      <w:lvlText w:val="•"/>
      <w:lvlJc w:val="left"/>
      <w:pPr>
        <w:ind w:left="1457" w:hanging="217"/>
      </w:pPr>
      <w:rPr>
        <w:rFonts w:hint="default"/>
        <w:lang w:val="en-GB" w:eastAsia="en-GB" w:bidi="en-GB"/>
      </w:rPr>
    </w:lvl>
  </w:abstractNum>
  <w:abstractNum w:abstractNumId="328" w15:restartNumberingAfterBreak="0">
    <w:nsid w:val="1E3E5C97"/>
    <w:multiLevelType w:val="hybridMultilevel"/>
    <w:tmpl w:val="A73898C0"/>
    <w:lvl w:ilvl="0" w:tplc="97D40BE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3D84678">
      <w:numFmt w:val="bullet"/>
      <w:lvlText w:val="•"/>
      <w:lvlJc w:val="left"/>
      <w:pPr>
        <w:ind w:left="473" w:hanging="217"/>
      </w:pPr>
      <w:rPr>
        <w:rFonts w:hint="default"/>
        <w:lang w:val="en-GB" w:eastAsia="en-GB" w:bidi="en-GB"/>
      </w:rPr>
    </w:lvl>
    <w:lvl w:ilvl="2" w:tplc="E12615D6">
      <w:numFmt w:val="bullet"/>
      <w:lvlText w:val="•"/>
      <w:lvlJc w:val="left"/>
      <w:pPr>
        <w:ind w:left="646" w:hanging="217"/>
      </w:pPr>
      <w:rPr>
        <w:rFonts w:hint="default"/>
        <w:lang w:val="en-GB" w:eastAsia="en-GB" w:bidi="en-GB"/>
      </w:rPr>
    </w:lvl>
    <w:lvl w:ilvl="3" w:tplc="1D4A1314">
      <w:numFmt w:val="bullet"/>
      <w:lvlText w:val="•"/>
      <w:lvlJc w:val="left"/>
      <w:pPr>
        <w:ind w:left="819" w:hanging="217"/>
      </w:pPr>
      <w:rPr>
        <w:rFonts w:hint="default"/>
        <w:lang w:val="en-GB" w:eastAsia="en-GB" w:bidi="en-GB"/>
      </w:rPr>
    </w:lvl>
    <w:lvl w:ilvl="4" w:tplc="267EF742">
      <w:numFmt w:val="bullet"/>
      <w:lvlText w:val="•"/>
      <w:lvlJc w:val="left"/>
      <w:pPr>
        <w:ind w:left="992" w:hanging="217"/>
      </w:pPr>
      <w:rPr>
        <w:rFonts w:hint="default"/>
        <w:lang w:val="en-GB" w:eastAsia="en-GB" w:bidi="en-GB"/>
      </w:rPr>
    </w:lvl>
    <w:lvl w:ilvl="5" w:tplc="4E6E2828">
      <w:numFmt w:val="bullet"/>
      <w:lvlText w:val="•"/>
      <w:lvlJc w:val="left"/>
      <w:pPr>
        <w:ind w:left="1165" w:hanging="217"/>
      </w:pPr>
      <w:rPr>
        <w:rFonts w:hint="default"/>
        <w:lang w:val="en-GB" w:eastAsia="en-GB" w:bidi="en-GB"/>
      </w:rPr>
    </w:lvl>
    <w:lvl w:ilvl="6" w:tplc="09CC5906">
      <w:numFmt w:val="bullet"/>
      <w:lvlText w:val="•"/>
      <w:lvlJc w:val="left"/>
      <w:pPr>
        <w:ind w:left="1338" w:hanging="217"/>
      </w:pPr>
      <w:rPr>
        <w:rFonts w:hint="default"/>
        <w:lang w:val="en-GB" w:eastAsia="en-GB" w:bidi="en-GB"/>
      </w:rPr>
    </w:lvl>
    <w:lvl w:ilvl="7" w:tplc="8E2CBCA4">
      <w:numFmt w:val="bullet"/>
      <w:lvlText w:val="•"/>
      <w:lvlJc w:val="left"/>
      <w:pPr>
        <w:ind w:left="1511" w:hanging="217"/>
      </w:pPr>
      <w:rPr>
        <w:rFonts w:hint="default"/>
        <w:lang w:val="en-GB" w:eastAsia="en-GB" w:bidi="en-GB"/>
      </w:rPr>
    </w:lvl>
    <w:lvl w:ilvl="8" w:tplc="505EB35E">
      <w:numFmt w:val="bullet"/>
      <w:lvlText w:val="•"/>
      <w:lvlJc w:val="left"/>
      <w:pPr>
        <w:ind w:left="1684" w:hanging="217"/>
      </w:pPr>
      <w:rPr>
        <w:rFonts w:hint="default"/>
        <w:lang w:val="en-GB" w:eastAsia="en-GB" w:bidi="en-GB"/>
      </w:rPr>
    </w:lvl>
  </w:abstractNum>
  <w:abstractNum w:abstractNumId="329" w15:restartNumberingAfterBreak="0">
    <w:nsid w:val="1E4A320D"/>
    <w:multiLevelType w:val="hybridMultilevel"/>
    <w:tmpl w:val="C43EF420"/>
    <w:lvl w:ilvl="0" w:tplc="38F434AE">
      <w:numFmt w:val="bullet"/>
      <w:lvlText w:val="•"/>
      <w:lvlJc w:val="left"/>
      <w:pPr>
        <w:ind w:left="3571" w:hanging="217"/>
      </w:pPr>
      <w:rPr>
        <w:rFonts w:ascii="Arial" w:eastAsia="Arial" w:hAnsi="Arial" w:cs="Arial" w:hint="default"/>
        <w:color w:val="231F20"/>
        <w:w w:val="100"/>
        <w:sz w:val="18"/>
        <w:szCs w:val="18"/>
        <w:lang w:val="en-GB" w:eastAsia="en-GB" w:bidi="en-GB"/>
      </w:rPr>
    </w:lvl>
    <w:lvl w:ilvl="1" w:tplc="65EA5798">
      <w:numFmt w:val="bullet"/>
      <w:lvlText w:val="•"/>
      <w:lvlJc w:val="left"/>
      <w:pPr>
        <w:ind w:left="4037" w:hanging="217"/>
      </w:pPr>
      <w:rPr>
        <w:rFonts w:hint="default"/>
        <w:lang w:val="en-GB" w:eastAsia="en-GB" w:bidi="en-GB"/>
      </w:rPr>
    </w:lvl>
    <w:lvl w:ilvl="2" w:tplc="D2245436">
      <w:numFmt w:val="bullet"/>
      <w:lvlText w:val="•"/>
      <w:lvlJc w:val="left"/>
      <w:pPr>
        <w:ind w:left="4494" w:hanging="217"/>
      </w:pPr>
      <w:rPr>
        <w:rFonts w:hint="default"/>
        <w:lang w:val="en-GB" w:eastAsia="en-GB" w:bidi="en-GB"/>
      </w:rPr>
    </w:lvl>
    <w:lvl w:ilvl="3" w:tplc="16AC0B2E">
      <w:numFmt w:val="bullet"/>
      <w:lvlText w:val="•"/>
      <w:lvlJc w:val="left"/>
      <w:pPr>
        <w:ind w:left="4952" w:hanging="217"/>
      </w:pPr>
      <w:rPr>
        <w:rFonts w:hint="default"/>
        <w:lang w:val="en-GB" w:eastAsia="en-GB" w:bidi="en-GB"/>
      </w:rPr>
    </w:lvl>
    <w:lvl w:ilvl="4" w:tplc="2B72338E">
      <w:numFmt w:val="bullet"/>
      <w:lvlText w:val="•"/>
      <w:lvlJc w:val="left"/>
      <w:pPr>
        <w:ind w:left="5409" w:hanging="217"/>
      </w:pPr>
      <w:rPr>
        <w:rFonts w:hint="default"/>
        <w:lang w:val="en-GB" w:eastAsia="en-GB" w:bidi="en-GB"/>
      </w:rPr>
    </w:lvl>
    <w:lvl w:ilvl="5" w:tplc="400431EC">
      <w:numFmt w:val="bullet"/>
      <w:lvlText w:val="•"/>
      <w:lvlJc w:val="left"/>
      <w:pPr>
        <w:ind w:left="5867" w:hanging="217"/>
      </w:pPr>
      <w:rPr>
        <w:rFonts w:hint="default"/>
        <w:lang w:val="en-GB" w:eastAsia="en-GB" w:bidi="en-GB"/>
      </w:rPr>
    </w:lvl>
    <w:lvl w:ilvl="6" w:tplc="9ADA18AC">
      <w:numFmt w:val="bullet"/>
      <w:lvlText w:val="•"/>
      <w:lvlJc w:val="left"/>
      <w:pPr>
        <w:ind w:left="6324" w:hanging="217"/>
      </w:pPr>
      <w:rPr>
        <w:rFonts w:hint="default"/>
        <w:lang w:val="en-GB" w:eastAsia="en-GB" w:bidi="en-GB"/>
      </w:rPr>
    </w:lvl>
    <w:lvl w:ilvl="7" w:tplc="E9342006">
      <w:numFmt w:val="bullet"/>
      <w:lvlText w:val="•"/>
      <w:lvlJc w:val="left"/>
      <w:pPr>
        <w:ind w:left="6781" w:hanging="217"/>
      </w:pPr>
      <w:rPr>
        <w:rFonts w:hint="default"/>
        <w:lang w:val="en-GB" w:eastAsia="en-GB" w:bidi="en-GB"/>
      </w:rPr>
    </w:lvl>
    <w:lvl w:ilvl="8" w:tplc="026A0B46">
      <w:numFmt w:val="bullet"/>
      <w:lvlText w:val="•"/>
      <w:lvlJc w:val="left"/>
      <w:pPr>
        <w:ind w:left="7239" w:hanging="217"/>
      </w:pPr>
      <w:rPr>
        <w:rFonts w:hint="default"/>
        <w:lang w:val="en-GB" w:eastAsia="en-GB" w:bidi="en-GB"/>
      </w:rPr>
    </w:lvl>
  </w:abstractNum>
  <w:abstractNum w:abstractNumId="330" w15:restartNumberingAfterBreak="0">
    <w:nsid w:val="1E531401"/>
    <w:multiLevelType w:val="hybridMultilevel"/>
    <w:tmpl w:val="194A937A"/>
    <w:lvl w:ilvl="0" w:tplc="5CE06CA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43232A0">
      <w:numFmt w:val="bullet"/>
      <w:lvlText w:val="•"/>
      <w:lvlJc w:val="left"/>
      <w:pPr>
        <w:ind w:left="544" w:hanging="217"/>
      </w:pPr>
      <w:rPr>
        <w:rFonts w:hint="default"/>
        <w:lang w:val="en-GB" w:eastAsia="en-GB" w:bidi="en-GB"/>
      </w:rPr>
    </w:lvl>
    <w:lvl w:ilvl="2" w:tplc="B5C4A554">
      <w:numFmt w:val="bullet"/>
      <w:lvlText w:val="•"/>
      <w:lvlJc w:val="left"/>
      <w:pPr>
        <w:ind w:left="788" w:hanging="217"/>
      </w:pPr>
      <w:rPr>
        <w:rFonts w:hint="default"/>
        <w:lang w:val="en-GB" w:eastAsia="en-GB" w:bidi="en-GB"/>
      </w:rPr>
    </w:lvl>
    <w:lvl w:ilvl="3" w:tplc="2E9EDCDE">
      <w:numFmt w:val="bullet"/>
      <w:lvlText w:val="•"/>
      <w:lvlJc w:val="left"/>
      <w:pPr>
        <w:ind w:left="1032" w:hanging="217"/>
      </w:pPr>
      <w:rPr>
        <w:rFonts w:hint="default"/>
        <w:lang w:val="en-GB" w:eastAsia="en-GB" w:bidi="en-GB"/>
      </w:rPr>
    </w:lvl>
    <w:lvl w:ilvl="4" w:tplc="C0F885E4">
      <w:numFmt w:val="bullet"/>
      <w:lvlText w:val="•"/>
      <w:lvlJc w:val="left"/>
      <w:pPr>
        <w:ind w:left="1276" w:hanging="217"/>
      </w:pPr>
      <w:rPr>
        <w:rFonts w:hint="default"/>
        <w:lang w:val="en-GB" w:eastAsia="en-GB" w:bidi="en-GB"/>
      </w:rPr>
    </w:lvl>
    <w:lvl w:ilvl="5" w:tplc="0AACDEAC">
      <w:numFmt w:val="bullet"/>
      <w:lvlText w:val="•"/>
      <w:lvlJc w:val="left"/>
      <w:pPr>
        <w:ind w:left="1520" w:hanging="217"/>
      </w:pPr>
      <w:rPr>
        <w:rFonts w:hint="default"/>
        <w:lang w:val="en-GB" w:eastAsia="en-GB" w:bidi="en-GB"/>
      </w:rPr>
    </w:lvl>
    <w:lvl w:ilvl="6" w:tplc="262E1400">
      <w:numFmt w:val="bullet"/>
      <w:lvlText w:val="•"/>
      <w:lvlJc w:val="left"/>
      <w:pPr>
        <w:ind w:left="1764" w:hanging="217"/>
      </w:pPr>
      <w:rPr>
        <w:rFonts w:hint="default"/>
        <w:lang w:val="en-GB" w:eastAsia="en-GB" w:bidi="en-GB"/>
      </w:rPr>
    </w:lvl>
    <w:lvl w:ilvl="7" w:tplc="BB66AEBC">
      <w:numFmt w:val="bullet"/>
      <w:lvlText w:val="•"/>
      <w:lvlJc w:val="left"/>
      <w:pPr>
        <w:ind w:left="2008" w:hanging="217"/>
      </w:pPr>
      <w:rPr>
        <w:rFonts w:hint="default"/>
        <w:lang w:val="en-GB" w:eastAsia="en-GB" w:bidi="en-GB"/>
      </w:rPr>
    </w:lvl>
    <w:lvl w:ilvl="8" w:tplc="DEAE7212">
      <w:numFmt w:val="bullet"/>
      <w:lvlText w:val="•"/>
      <w:lvlJc w:val="left"/>
      <w:pPr>
        <w:ind w:left="2252" w:hanging="217"/>
      </w:pPr>
      <w:rPr>
        <w:rFonts w:hint="default"/>
        <w:lang w:val="en-GB" w:eastAsia="en-GB" w:bidi="en-GB"/>
      </w:rPr>
    </w:lvl>
  </w:abstractNum>
  <w:abstractNum w:abstractNumId="331" w15:restartNumberingAfterBreak="0">
    <w:nsid w:val="1E764F63"/>
    <w:multiLevelType w:val="hybridMultilevel"/>
    <w:tmpl w:val="A84847E2"/>
    <w:lvl w:ilvl="0" w:tplc="08F4F524">
      <w:numFmt w:val="bullet"/>
      <w:lvlText w:val="•"/>
      <w:lvlJc w:val="left"/>
      <w:pPr>
        <w:ind w:left="303" w:hanging="217"/>
      </w:pPr>
      <w:rPr>
        <w:rFonts w:ascii="Arial" w:eastAsia="Arial" w:hAnsi="Arial" w:cs="Arial" w:hint="default"/>
        <w:color w:val="231F20"/>
        <w:w w:val="102"/>
        <w:sz w:val="17"/>
        <w:szCs w:val="17"/>
        <w:lang w:val="en-GB" w:eastAsia="en-GB" w:bidi="en-GB"/>
      </w:rPr>
    </w:lvl>
    <w:lvl w:ilvl="1" w:tplc="1D7681FA">
      <w:numFmt w:val="bullet"/>
      <w:lvlText w:val="•"/>
      <w:lvlJc w:val="left"/>
      <w:pPr>
        <w:ind w:left="439" w:hanging="217"/>
      </w:pPr>
      <w:rPr>
        <w:rFonts w:hint="default"/>
        <w:lang w:val="en-GB" w:eastAsia="en-GB" w:bidi="en-GB"/>
      </w:rPr>
    </w:lvl>
    <w:lvl w:ilvl="2" w:tplc="B1A4858E">
      <w:numFmt w:val="bullet"/>
      <w:lvlText w:val="•"/>
      <w:lvlJc w:val="left"/>
      <w:pPr>
        <w:ind w:left="578" w:hanging="217"/>
      </w:pPr>
      <w:rPr>
        <w:rFonts w:hint="default"/>
        <w:lang w:val="en-GB" w:eastAsia="en-GB" w:bidi="en-GB"/>
      </w:rPr>
    </w:lvl>
    <w:lvl w:ilvl="3" w:tplc="0ACA520E">
      <w:numFmt w:val="bullet"/>
      <w:lvlText w:val="•"/>
      <w:lvlJc w:val="left"/>
      <w:pPr>
        <w:ind w:left="717" w:hanging="217"/>
      </w:pPr>
      <w:rPr>
        <w:rFonts w:hint="default"/>
        <w:lang w:val="en-GB" w:eastAsia="en-GB" w:bidi="en-GB"/>
      </w:rPr>
    </w:lvl>
    <w:lvl w:ilvl="4" w:tplc="50AC3DDA">
      <w:numFmt w:val="bullet"/>
      <w:lvlText w:val="•"/>
      <w:lvlJc w:val="left"/>
      <w:pPr>
        <w:ind w:left="856" w:hanging="217"/>
      </w:pPr>
      <w:rPr>
        <w:rFonts w:hint="default"/>
        <w:lang w:val="en-GB" w:eastAsia="en-GB" w:bidi="en-GB"/>
      </w:rPr>
    </w:lvl>
    <w:lvl w:ilvl="5" w:tplc="39281DF8">
      <w:numFmt w:val="bullet"/>
      <w:lvlText w:val="•"/>
      <w:lvlJc w:val="left"/>
      <w:pPr>
        <w:ind w:left="995" w:hanging="217"/>
      </w:pPr>
      <w:rPr>
        <w:rFonts w:hint="default"/>
        <w:lang w:val="en-GB" w:eastAsia="en-GB" w:bidi="en-GB"/>
      </w:rPr>
    </w:lvl>
    <w:lvl w:ilvl="6" w:tplc="25D84364">
      <w:numFmt w:val="bullet"/>
      <w:lvlText w:val="•"/>
      <w:lvlJc w:val="left"/>
      <w:pPr>
        <w:ind w:left="1134" w:hanging="217"/>
      </w:pPr>
      <w:rPr>
        <w:rFonts w:hint="default"/>
        <w:lang w:val="en-GB" w:eastAsia="en-GB" w:bidi="en-GB"/>
      </w:rPr>
    </w:lvl>
    <w:lvl w:ilvl="7" w:tplc="D1F647D4">
      <w:numFmt w:val="bullet"/>
      <w:lvlText w:val="•"/>
      <w:lvlJc w:val="left"/>
      <w:pPr>
        <w:ind w:left="1273" w:hanging="217"/>
      </w:pPr>
      <w:rPr>
        <w:rFonts w:hint="default"/>
        <w:lang w:val="en-GB" w:eastAsia="en-GB" w:bidi="en-GB"/>
      </w:rPr>
    </w:lvl>
    <w:lvl w:ilvl="8" w:tplc="25662806">
      <w:numFmt w:val="bullet"/>
      <w:lvlText w:val="•"/>
      <w:lvlJc w:val="left"/>
      <w:pPr>
        <w:ind w:left="1412" w:hanging="217"/>
      </w:pPr>
      <w:rPr>
        <w:rFonts w:hint="default"/>
        <w:lang w:val="en-GB" w:eastAsia="en-GB" w:bidi="en-GB"/>
      </w:rPr>
    </w:lvl>
  </w:abstractNum>
  <w:abstractNum w:abstractNumId="332" w15:restartNumberingAfterBreak="0">
    <w:nsid w:val="1EA143CA"/>
    <w:multiLevelType w:val="hybridMultilevel"/>
    <w:tmpl w:val="A954AFDE"/>
    <w:lvl w:ilvl="0" w:tplc="65F4D172">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7A52022A">
      <w:numFmt w:val="bullet"/>
      <w:lvlText w:val="•"/>
      <w:lvlJc w:val="left"/>
      <w:pPr>
        <w:ind w:left="892" w:hanging="217"/>
      </w:pPr>
      <w:rPr>
        <w:rFonts w:hint="default"/>
        <w:lang w:val="en-GB" w:eastAsia="en-GB" w:bidi="en-GB"/>
      </w:rPr>
    </w:lvl>
    <w:lvl w:ilvl="2" w:tplc="85A47244">
      <w:numFmt w:val="bullet"/>
      <w:lvlText w:val="•"/>
      <w:lvlJc w:val="left"/>
      <w:pPr>
        <w:ind w:left="1485" w:hanging="217"/>
      </w:pPr>
      <w:rPr>
        <w:rFonts w:hint="default"/>
        <w:lang w:val="en-GB" w:eastAsia="en-GB" w:bidi="en-GB"/>
      </w:rPr>
    </w:lvl>
    <w:lvl w:ilvl="3" w:tplc="276CB2E6">
      <w:numFmt w:val="bullet"/>
      <w:lvlText w:val="•"/>
      <w:lvlJc w:val="left"/>
      <w:pPr>
        <w:ind w:left="2077" w:hanging="217"/>
      </w:pPr>
      <w:rPr>
        <w:rFonts w:hint="default"/>
        <w:lang w:val="en-GB" w:eastAsia="en-GB" w:bidi="en-GB"/>
      </w:rPr>
    </w:lvl>
    <w:lvl w:ilvl="4" w:tplc="D26AB302">
      <w:numFmt w:val="bullet"/>
      <w:lvlText w:val="•"/>
      <w:lvlJc w:val="left"/>
      <w:pPr>
        <w:ind w:left="2670" w:hanging="217"/>
      </w:pPr>
      <w:rPr>
        <w:rFonts w:hint="default"/>
        <w:lang w:val="en-GB" w:eastAsia="en-GB" w:bidi="en-GB"/>
      </w:rPr>
    </w:lvl>
    <w:lvl w:ilvl="5" w:tplc="CC2A1C26">
      <w:numFmt w:val="bullet"/>
      <w:lvlText w:val="•"/>
      <w:lvlJc w:val="left"/>
      <w:pPr>
        <w:ind w:left="3263" w:hanging="217"/>
      </w:pPr>
      <w:rPr>
        <w:rFonts w:hint="default"/>
        <w:lang w:val="en-GB" w:eastAsia="en-GB" w:bidi="en-GB"/>
      </w:rPr>
    </w:lvl>
    <w:lvl w:ilvl="6" w:tplc="4A54E520">
      <w:numFmt w:val="bullet"/>
      <w:lvlText w:val="•"/>
      <w:lvlJc w:val="left"/>
      <w:pPr>
        <w:ind w:left="3855" w:hanging="217"/>
      </w:pPr>
      <w:rPr>
        <w:rFonts w:hint="default"/>
        <w:lang w:val="en-GB" w:eastAsia="en-GB" w:bidi="en-GB"/>
      </w:rPr>
    </w:lvl>
    <w:lvl w:ilvl="7" w:tplc="90F23B18">
      <w:numFmt w:val="bullet"/>
      <w:lvlText w:val="•"/>
      <w:lvlJc w:val="left"/>
      <w:pPr>
        <w:ind w:left="4448" w:hanging="217"/>
      </w:pPr>
      <w:rPr>
        <w:rFonts w:hint="default"/>
        <w:lang w:val="en-GB" w:eastAsia="en-GB" w:bidi="en-GB"/>
      </w:rPr>
    </w:lvl>
    <w:lvl w:ilvl="8" w:tplc="5F9EA396">
      <w:numFmt w:val="bullet"/>
      <w:lvlText w:val="•"/>
      <w:lvlJc w:val="left"/>
      <w:pPr>
        <w:ind w:left="5040" w:hanging="217"/>
      </w:pPr>
      <w:rPr>
        <w:rFonts w:hint="default"/>
        <w:lang w:val="en-GB" w:eastAsia="en-GB" w:bidi="en-GB"/>
      </w:rPr>
    </w:lvl>
  </w:abstractNum>
  <w:abstractNum w:abstractNumId="333" w15:restartNumberingAfterBreak="0">
    <w:nsid w:val="1EA85180"/>
    <w:multiLevelType w:val="hybridMultilevel"/>
    <w:tmpl w:val="A300A0F2"/>
    <w:lvl w:ilvl="0" w:tplc="D7C2BB56">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49603E28">
      <w:numFmt w:val="bullet"/>
      <w:lvlText w:val="•"/>
      <w:lvlJc w:val="left"/>
      <w:pPr>
        <w:ind w:left="892" w:hanging="217"/>
      </w:pPr>
      <w:rPr>
        <w:rFonts w:hint="default"/>
        <w:lang w:val="en-GB" w:eastAsia="en-GB" w:bidi="en-GB"/>
      </w:rPr>
    </w:lvl>
    <w:lvl w:ilvl="2" w:tplc="16FE5A46">
      <w:numFmt w:val="bullet"/>
      <w:lvlText w:val="•"/>
      <w:lvlJc w:val="left"/>
      <w:pPr>
        <w:ind w:left="1485" w:hanging="217"/>
      </w:pPr>
      <w:rPr>
        <w:rFonts w:hint="default"/>
        <w:lang w:val="en-GB" w:eastAsia="en-GB" w:bidi="en-GB"/>
      </w:rPr>
    </w:lvl>
    <w:lvl w:ilvl="3" w:tplc="97AAF5E2">
      <w:numFmt w:val="bullet"/>
      <w:lvlText w:val="•"/>
      <w:lvlJc w:val="left"/>
      <w:pPr>
        <w:ind w:left="2077" w:hanging="217"/>
      </w:pPr>
      <w:rPr>
        <w:rFonts w:hint="default"/>
        <w:lang w:val="en-GB" w:eastAsia="en-GB" w:bidi="en-GB"/>
      </w:rPr>
    </w:lvl>
    <w:lvl w:ilvl="4" w:tplc="87C2B38C">
      <w:numFmt w:val="bullet"/>
      <w:lvlText w:val="•"/>
      <w:lvlJc w:val="left"/>
      <w:pPr>
        <w:ind w:left="2670" w:hanging="217"/>
      </w:pPr>
      <w:rPr>
        <w:rFonts w:hint="default"/>
        <w:lang w:val="en-GB" w:eastAsia="en-GB" w:bidi="en-GB"/>
      </w:rPr>
    </w:lvl>
    <w:lvl w:ilvl="5" w:tplc="7FAEC276">
      <w:numFmt w:val="bullet"/>
      <w:lvlText w:val="•"/>
      <w:lvlJc w:val="left"/>
      <w:pPr>
        <w:ind w:left="3263" w:hanging="217"/>
      </w:pPr>
      <w:rPr>
        <w:rFonts w:hint="default"/>
        <w:lang w:val="en-GB" w:eastAsia="en-GB" w:bidi="en-GB"/>
      </w:rPr>
    </w:lvl>
    <w:lvl w:ilvl="6" w:tplc="A4FE4C78">
      <w:numFmt w:val="bullet"/>
      <w:lvlText w:val="•"/>
      <w:lvlJc w:val="left"/>
      <w:pPr>
        <w:ind w:left="3855" w:hanging="217"/>
      </w:pPr>
      <w:rPr>
        <w:rFonts w:hint="default"/>
        <w:lang w:val="en-GB" w:eastAsia="en-GB" w:bidi="en-GB"/>
      </w:rPr>
    </w:lvl>
    <w:lvl w:ilvl="7" w:tplc="F9D06B16">
      <w:numFmt w:val="bullet"/>
      <w:lvlText w:val="•"/>
      <w:lvlJc w:val="left"/>
      <w:pPr>
        <w:ind w:left="4448" w:hanging="217"/>
      </w:pPr>
      <w:rPr>
        <w:rFonts w:hint="default"/>
        <w:lang w:val="en-GB" w:eastAsia="en-GB" w:bidi="en-GB"/>
      </w:rPr>
    </w:lvl>
    <w:lvl w:ilvl="8" w:tplc="AA3C4348">
      <w:numFmt w:val="bullet"/>
      <w:lvlText w:val="•"/>
      <w:lvlJc w:val="left"/>
      <w:pPr>
        <w:ind w:left="5040" w:hanging="217"/>
      </w:pPr>
      <w:rPr>
        <w:rFonts w:hint="default"/>
        <w:lang w:val="en-GB" w:eastAsia="en-GB" w:bidi="en-GB"/>
      </w:rPr>
    </w:lvl>
  </w:abstractNum>
  <w:abstractNum w:abstractNumId="334" w15:restartNumberingAfterBreak="0">
    <w:nsid w:val="1EC63D9B"/>
    <w:multiLevelType w:val="hybridMultilevel"/>
    <w:tmpl w:val="6504BE58"/>
    <w:lvl w:ilvl="0" w:tplc="ED5C600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94622CC">
      <w:numFmt w:val="bullet"/>
      <w:lvlText w:val="•"/>
      <w:lvlJc w:val="left"/>
      <w:pPr>
        <w:ind w:left="473" w:hanging="217"/>
      </w:pPr>
      <w:rPr>
        <w:rFonts w:hint="default"/>
        <w:lang w:val="en-GB" w:eastAsia="en-GB" w:bidi="en-GB"/>
      </w:rPr>
    </w:lvl>
    <w:lvl w:ilvl="2" w:tplc="2F06603C">
      <w:numFmt w:val="bullet"/>
      <w:lvlText w:val="•"/>
      <w:lvlJc w:val="left"/>
      <w:pPr>
        <w:ind w:left="646" w:hanging="217"/>
      </w:pPr>
      <w:rPr>
        <w:rFonts w:hint="default"/>
        <w:lang w:val="en-GB" w:eastAsia="en-GB" w:bidi="en-GB"/>
      </w:rPr>
    </w:lvl>
    <w:lvl w:ilvl="3" w:tplc="442CC0A0">
      <w:numFmt w:val="bullet"/>
      <w:lvlText w:val="•"/>
      <w:lvlJc w:val="left"/>
      <w:pPr>
        <w:ind w:left="819" w:hanging="217"/>
      </w:pPr>
      <w:rPr>
        <w:rFonts w:hint="default"/>
        <w:lang w:val="en-GB" w:eastAsia="en-GB" w:bidi="en-GB"/>
      </w:rPr>
    </w:lvl>
    <w:lvl w:ilvl="4" w:tplc="2C2287A6">
      <w:numFmt w:val="bullet"/>
      <w:lvlText w:val="•"/>
      <w:lvlJc w:val="left"/>
      <w:pPr>
        <w:ind w:left="992" w:hanging="217"/>
      </w:pPr>
      <w:rPr>
        <w:rFonts w:hint="default"/>
        <w:lang w:val="en-GB" w:eastAsia="en-GB" w:bidi="en-GB"/>
      </w:rPr>
    </w:lvl>
    <w:lvl w:ilvl="5" w:tplc="4BEAC444">
      <w:numFmt w:val="bullet"/>
      <w:lvlText w:val="•"/>
      <w:lvlJc w:val="left"/>
      <w:pPr>
        <w:ind w:left="1165" w:hanging="217"/>
      </w:pPr>
      <w:rPr>
        <w:rFonts w:hint="default"/>
        <w:lang w:val="en-GB" w:eastAsia="en-GB" w:bidi="en-GB"/>
      </w:rPr>
    </w:lvl>
    <w:lvl w:ilvl="6" w:tplc="ED323608">
      <w:numFmt w:val="bullet"/>
      <w:lvlText w:val="•"/>
      <w:lvlJc w:val="left"/>
      <w:pPr>
        <w:ind w:left="1338" w:hanging="217"/>
      </w:pPr>
      <w:rPr>
        <w:rFonts w:hint="default"/>
        <w:lang w:val="en-GB" w:eastAsia="en-GB" w:bidi="en-GB"/>
      </w:rPr>
    </w:lvl>
    <w:lvl w:ilvl="7" w:tplc="399A126C">
      <w:numFmt w:val="bullet"/>
      <w:lvlText w:val="•"/>
      <w:lvlJc w:val="left"/>
      <w:pPr>
        <w:ind w:left="1511" w:hanging="217"/>
      </w:pPr>
      <w:rPr>
        <w:rFonts w:hint="default"/>
        <w:lang w:val="en-GB" w:eastAsia="en-GB" w:bidi="en-GB"/>
      </w:rPr>
    </w:lvl>
    <w:lvl w:ilvl="8" w:tplc="F96890E2">
      <w:numFmt w:val="bullet"/>
      <w:lvlText w:val="•"/>
      <w:lvlJc w:val="left"/>
      <w:pPr>
        <w:ind w:left="1684" w:hanging="217"/>
      </w:pPr>
      <w:rPr>
        <w:rFonts w:hint="default"/>
        <w:lang w:val="en-GB" w:eastAsia="en-GB" w:bidi="en-GB"/>
      </w:rPr>
    </w:lvl>
  </w:abstractNum>
  <w:abstractNum w:abstractNumId="335" w15:restartNumberingAfterBreak="0">
    <w:nsid w:val="1ED47329"/>
    <w:multiLevelType w:val="hybridMultilevel"/>
    <w:tmpl w:val="58286096"/>
    <w:lvl w:ilvl="0" w:tplc="D452F4B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D881014">
      <w:numFmt w:val="bullet"/>
      <w:lvlText w:val="•"/>
      <w:lvlJc w:val="left"/>
      <w:pPr>
        <w:ind w:left="541" w:hanging="217"/>
      </w:pPr>
      <w:rPr>
        <w:rFonts w:hint="default"/>
        <w:lang w:val="en-GB" w:eastAsia="en-GB" w:bidi="en-GB"/>
      </w:rPr>
    </w:lvl>
    <w:lvl w:ilvl="2" w:tplc="130ADF2C">
      <w:numFmt w:val="bullet"/>
      <w:lvlText w:val="•"/>
      <w:lvlJc w:val="left"/>
      <w:pPr>
        <w:ind w:left="782" w:hanging="217"/>
      </w:pPr>
      <w:rPr>
        <w:rFonts w:hint="default"/>
        <w:lang w:val="en-GB" w:eastAsia="en-GB" w:bidi="en-GB"/>
      </w:rPr>
    </w:lvl>
    <w:lvl w:ilvl="3" w:tplc="57723166">
      <w:numFmt w:val="bullet"/>
      <w:lvlText w:val="•"/>
      <w:lvlJc w:val="left"/>
      <w:pPr>
        <w:ind w:left="1023" w:hanging="217"/>
      </w:pPr>
      <w:rPr>
        <w:rFonts w:hint="default"/>
        <w:lang w:val="en-GB" w:eastAsia="en-GB" w:bidi="en-GB"/>
      </w:rPr>
    </w:lvl>
    <w:lvl w:ilvl="4" w:tplc="A34ACFBE">
      <w:numFmt w:val="bullet"/>
      <w:lvlText w:val="•"/>
      <w:lvlJc w:val="left"/>
      <w:pPr>
        <w:ind w:left="1264" w:hanging="217"/>
      </w:pPr>
      <w:rPr>
        <w:rFonts w:hint="default"/>
        <w:lang w:val="en-GB" w:eastAsia="en-GB" w:bidi="en-GB"/>
      </w:rPr>
    </w:lvl>
    <w:lvl w:ilvl="5" w:tplc="55CCE55C">
      <w:numFmt w:val="bullet"/>
      <w:lvlText w:val="•"/>
      <w:lvlJc w:val="left"/>
      <w:pPr>
        <w:ind w:left="1505" w:hanging="217"/>
      </w:pPr>
      <w:rPr>
        <w:rFonts w:hint="default"/>
        <w:lang w:val="en-GB" w:eastAsia="en-GB" w:bidi="en-GB"/>
      </w:rPr>
    </w:lvl>
    <w:lvl w:ilvl="6" w:tplc="A748F83A">
      <w:numFmt w:val="bullet"/>
      <w:lvlText w:val="•"/>
      <w:lvlJc w:val="left"/>
      <w:pPr>
        <w:ind w:left="1746" w:hanging="217"/>
      </w:pPr>
      <w:rPr>
        <w:rFonts w:hint="default"/>
        <w:lang w:val="en-GB" w:eastAsia="en-GB" w:bidi="en-GB"/>
      </w:rPr>
    </w:lvl>
    <w:lvl w:ilvl="7" w:tplc="578E6E82">
      <w:numFmt w:val="bullet"/>
      <w:lvlText w:val="•"/>
      <w:lvlJc w:val="left"/>
      <w:pPr>
        <w:ind w:left="1987" w:hanging="217"/>
      </w:pPr>
      <w:rPr>
        <w:rFonts w:hint="default"/>
        <w:lang w:val="en-GB" w:eastAsia="en-GB" w:bidi="en-GB"/>
      </w:rPr>
    </w:lvl>
    <w:lvl w:ilvl="8" w:tplc="FD7623A2">
      <w:numFmt w:val="bullet"/>
      <w:lvlText w:val="•"/>
      <w:lvlJc w:val="left"/>
      <w:pPr>
        <w:ind w:left="2228" w:hanging="217"/>
      </w:pPr>
      <w:rPr>
        <w:rFonts w:hint="default"/>
        <w:lang w:val="en-GB" w:eastAsia="en-GB" w:bidi="en-GB"/>
      </w:rPr>
    </w:lvl>
  </w:abstractNum>
  <w:abstractNum w:abstractNumId="336" w15:restartNumberingAfterBreak="0">
    <w:nsid w:val="1EF313C4"/>
    <w:multiLevelType w:val="hybridMultilevel"/>
    <w:tmpl w:val="1718699C"/>
    <w:lvl w:ilvl="0" w:tplc="E800DD50">
      <w:numFmt w:val="bullet"/>
      <w:lvlText w:val="•"/>
      <w:lvlJc w:val="left"/>
      <w:pPr>
        <w:ind w:left="304" w:hanging="217"/>
      </w:pPr>
      <w:rPr>
        <w:rFonts w:ascii="Arial" w:eastAsia="Arial" w:hAnsi="Arial" w:cs="Arial" w:hint="default"/>
        <w:color w:val="231F20"/>
        <w:w w:val="100"/>
        <w:sz w:val="18"/>
        <w:szCs w:val="18"/>
        <w:lang w:val="en-GB" w:eastAsia="en-GB" w:bidi="en-GB"/>
      </w:rPr>
    </w:lvl>
    <w:lvl w:ilvl="1" w:tplc="D16EF4A0">
      <w:numFmt w:val="bullet"/>
      <w:lvlText w:val="•"/>
      <w:lvlJc w:val="left"/>
      <w:pPr>
        <w:ind w:left="473" w:hanging="217"/>
      </w:pPr>
      <w:rPr>
        <w:rFonts w:hint="default"/>
        <w:lang w:val="en-GB" w:eastAsia="en-GB" w:bidi="en-GB"/>
      </w:rPr>
    </w:lvl>
    <w:lvl w:ilvl="2" w:tplc="2E66809E">
      <w:numFmt w:val="bullet"/>
      <w:lvlText w:val="•"/>
      <w:lvlJc w:val="left"/>
      <w:pPr>
        <w:ind w:left="646" w:hanging="217"/>
      </w:pPr>
      <w:rPr>
        <w:rFonts w:hint="default"/>
        <w:lang w:val="en-GB" w:eastAsia="en-GB" w:bidi="en-GB"/>
      </w:rPr>
    </w:lvl>
    <w:lvl w:ilvl="3" w:tplc="91C003A8">
      <w:numFmt w:val="bullet"/>
      <w:lvlText w:val="•"/>
      <w:lvlJc w:val="left"/>
      <w:pPr>
        <w:ind w:left="819" w:hanging="217"/>
      </w:pPr>
      <w:rPr>
        <w:rFonts w:hint="default"/>
        <w:lang w:val="en-GB" w:eastAsia="en-GB" w:bidi="en-GB"/>
      </w:rPr>
    </w:lvl>
    <w:lvl w:ilvl="4" w:tplc="915E2704">
      <w:numFmt w:val="bullet"/>
      <w:lvlText w:val="•"/>
      <w:lvlJc w:val="left"/>
      <w:pPr>
        <w:ind w:left="992" w:hanging="217"/>
      </w:pPr>
      <w:rPr>
        <w:rFonts w:hint="default"/>
        <w:lang w:val="en-GB" w:eastAsia="en-GB" w:bidi="en-GB"/>
      </w:rPr>
    </w:lvl>
    <w:lvl w:ilvl="5" w:tplc="3BA0E112">
      <w:numFmt w:val="bullet"/>
      <w:lvlText w:val="•"/>
      <w:lvlJc w:val="left"/>
      <w:pPr>
        <w:ind w:left="1165" w:hanging="217"/>
      </w:pPr>
      <w:rPr>
        <w:rFonts w:hint="default"/>
        <w:lang w:val="en-GB" w:eastAsia="en-GB" w:bidi="en-GB"/>
      </w:rPr>
    </w:lvl>
    <w:lvl w:ilvl="6" w:tplc="F7760FE0">
      <w:numFmt w:val="bullet"/>
      <w:lvlText w:val="•"/>
      <w:lvlJc w:val="left"/>
      <w:pPr>
        <w:ind w:left="1338" w:hanging="217"/>
      </w:pPr>
      <w:rPr>
        <w:rFonts w:hint="default"/>
        <w:lang w:val="en-GB" w:eastAsia="en-GB" w:bidi="en-GB"/>
      </w:rPr>
    </w:lvl>
    <w:lvl w:ilvl="7" w:tplc="4D6813EE">
      <w:numFmt w:val="bullet"/>
      <w:lvlText w:val="•"/>
      <w:lvlJc w:val="left"/>
      <w:pPr>
        <w:ind w:left="1511" w:hanging="217"/>
      </w:pPr>
      <w:rPr>
        <w:rFonts w:hint="default"/>
        <w:lang w:val="en-GB" w:eastAsia="en-GB" w:bidi="en-GB"/>
      </w:rPr>
    </w:lvl>
    <w:lvl w:ilvl="8" w:tplc="DA941778">
      <w:numFmt w:val="bullet"/>
      <w:lvlText w:val="•"/>
      <w:lvlJc w:val="left"/>
      <w:pPr>
        <w:ind w:left="1684" w:hanging="217"/>
      </w:pPr>
      <w:rPr>
        <w:rFonts w:hint="default"/>
        <w:lang w:val="en-GB" w:eastAsia="en-GB" w:bidi="en-GB"/>
      </w:rPr>
    </w:lvl>
  </w:abstractNum>
  <w:abstractNum w:abstractNumId="337" w15:restartNumberingAfterBreak="0">
    <w:nsid w:val="1F204700"/>
    <w:multiLevelType w:val="hybridMultilevel"/>
    <w:tmpl w:val="339EB63E"/>
    <w:lvl w:ilvl="0" w:tplc="DF86A456">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F6085AC0">
      <w:numFmt w:val="bullet"/>
      <w:lvlText w:val="•"/>
      <w:lvlJc w:val="left"/>
      <w:pPr>
        <w:ind w:left="467" w:hanging="217"/>
      </w:pPr>
      <w:rPr>
        <w:rFonts w:hint="default"/>
        <w:lang w:val="en-GB" w:eastAsia="en-GB" w:bidi="en-GB"/>
      </w:rPr>
    </w:lvl>
    <w:lvl w:ilvl="2" w:tplc="CAEAF8A0">
      <w:numFmt w:val="bullet"/>
      <w:lvlText w:val="•"/>
      <w:lvlJc w:val="left"/>
      <w:pPr>
        <w:ind w:left="634" w:hanging="217"/>
      </w:pPr>
      <w:rPr>
        <w:rFonts w:hint="default"/>
        <w:lang w:val="en-GB" w:eastAsia="en-GB" w:bidi="en-GB"/>
      </w:rPr>
    </w:lvl>
    <w:lvl w:ilvl="3" w:tplc="C49C51BE">
      <w:numFmt w:val="bullet"/>
      <w:lvlText w:val="•"/>
      <w:lvlJc w:val="left"/>
      <w:pPr>
        <w:ind w:left="802" w:hanging="217"/>
      </w:pPr>
      <w:rPr>
        <w:rFonts w:hint="default"/>
        <w:lang w:val="en-GB" w:eastAsia="en-GB" w:bidi="en-GB"/>
      </w:rPr>
    </w:lvl>
    <w:lvl w:ilvl="4" w:tplc="7C704FEC">
      <w:numFmt w:val="bullet"/>
      <w:lvlText w:val="•"/>
      <w:lvlJc w:val="left"/>
      <w:pPr>
        <w:ind w:left="969" w:hanging="217"/>
      </w:pPr>
      <w:rPr>
        <w:rFonts w:hint="default"/>
        <w:lang w:val="en-GB" w:eastAsia="en-GB" w:bidi="en-GB"/>
      </w:rPr>
    </w:lvl>
    <w:lvl w:ilvl="5" w:tplc="62A26F8E">
      <w:numFmt w:val="bullet"/>
      <w:lvlText w:val="•"/>
      <w:lvlJc w:val="left"/>
      <w:pPr>
        <w:ind w:left="1137" w:hanging="217"/>
      </w:pPr>
      <w:rPr>
        <w:rFonts w:hint="default"/>
        <w:lang w:val="en-GB" w:eastAsia="en-GB" w:bidi="en-GB"/>
      </w:rPr>
    </w:lvl>
    <w:lvl w:ilvl="6" w:tplc="02D02CB8">
      <w:numFmt w:val="bullet"/>
      <w:lvlText w:val="•"/>
      <w:lvlJc w:val="left"/>
      <w:pPr>
        <w:ind w:left="1304" w:hanging="217"/>
      </w:pPr>
      <w:rPr>
        <w:rFonts w:hint="default"/>
        <w:lang w:val="en-GB" w:eastAsia="en-GB" w:bidi="en-GB"/>
      </w:rPr>
    </w:lvl>
    <w:lvl w:ilvl="7" w:tplc="1ABAC7C0">
      <w:numFmt w:val="bullet"/>
      <w:lvlText w:val="•"/>
      <w:lvlJc w:val="left"/>
      <w:pPr>
        <w:ind w:left="1471" w:hanging="217"/>
      </w:pPr>
      <w:rPr>
        <w:rFonts w:hint="default"/>
        <w:lang w:val="en-GB" w:eastAsia="en-GB" w:bidi="en-GB"/>
      </w:rPr>
    </w:lvl>
    <w:lvl w:ilvl="8" w:tplc="B3381E06">
      <w:numFmt w:val="bullet"/>
      <w:lvlText w:val="•"/>
      <w:lvlJc w:val="left"/>
      <w:pPr>
        <w:ind w:left="1639" w:hanging="217"/>
      </w:pPr>
      <w:rPr>
        <w:rFonts w:hint="default"/>
        <w:lang w:val="en-GB" w:eastAsia="en-GB" w:bidi="en-GB"/>
      </w:rPr>
    </w:lvl>
  </w:abstractNum>
  <w:abstractNum w:abstractNumId="338" w15:restartNumberingAfterBreak="0">
    <w:nsid w:val="1F3E5717"/>
    <w:multiLevelType w:val="hybridMultilevel"/>
    <w:tmpl w:val="C32CF2CC"/>
    <w:lvl w:ilvl="0" w:tplc="FE8E2708">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DD0A8234">
      <w:numFmt w:val="bullet"/>
      <w:lvlText w:val="•"/>
      <w:lvlJc w:val="left"/>
      <w:pPr>
        <w:ind w:left="892" w:hanging="217"/>
      </w:pPr>
      <w:rPr>
        <w:rFonts w:hint="default"/>
        <w:lang w:val="en-GB" w:eastAsia="en-GB" w:bidi="en-GB"/>
      </w:rPr>
    </w:lvl>
    <w:lvl w:ilvl="2" w:tplc="8BA018BC">
      <w:numFmt w:val="bullet"/>
      <w:lvlText w:val="•"/>
      <w:lvlJc w:val="left"/>
      <w:pPr>
        <w:ind w:left="1485" w:hanging="217"/>
      </w:pPr>
      <w:rPr>
        <w:rFonts w:hint="default"/>
        <w:lang w:val="en-GB" w:eastAsia="en-GB" w:bidi="en-GB"/>
      </w:rPr>
    </w:lvl>
    <w:lvl w:ilvl="3" w:tplc="534C0512">
      <w:numFmt w:val="bullet"/>
      <w:lvlText w:val="•"/>
      <w:lvlJc w:val="left"/>
      <w:pPr>
        <w:ind w:left="2077" w:hanging="217"/>
      </w:pPr>
      <w:rPr>
        <w:rFonts w:hint="default"/>
        <w:lang w:val="en-GB" w:eastAsia="en-GB" w:bidi="en-GB"/>
      </w:rPr>
    </w:lvl>
    <w:lvl w:ilvl="4" w:tplc="FEC44C5E">
      <w:numFmt w:val="bullet"/>
      <w:lvlText w:val="•"/>
      <w:lvlJc w:val="left"/>
      <w:pPr>
        <w:ind w:left="2670" w:hanging="217"/>
      </w:pPr>
      <w:rPr>
        <w:rFonts w:hint="default"/>
        <w:lang w:val="en-GB" w:eastAsia="en-GB" w:bidi="en-GB"/>
      </w:rPr>
    </w:lvl>
    <w:lvl w:ilvl="5" w:tplc="0BC28E8A">
      <w:numFmt w:val="bullet"/>
      <w:lvlText w:val="•"/>
      <w:lvlJc w:val="left"/>
      <w:pPr>
        <w:ind w:left="3263" w:hanging="217"/>
      </w:pPr>
      <w:rPr>
        <w:rFonts w:hint="default"/>
        <w:lang w:val="en-GB" w:eastAsia="en-GB" w:bidi="en-GB"/>
      </w:rPr>
    </w:lvl>
    <w:lvl w:ilvl="6" w:tplc="A9A0F1C2">
      <w:numFmt w:val="bullet"/>
      <w:lvlText w:val="•"/>
      <w:lvlJc w:val="left"/>
      <w:pPr>
        <w:ind w:left="3855" w:hanging="217"/>
      </w:pPr>
      <w:rPr>
        <w:rFonts w:hint="default"/>
        <w:lang w:val="en-GB" w:eastAsia="en-GB" w:bidi="en-GB"/>
      </w:rPr>
    </w:lvl>
    <w:lvl w:ilvl="7" w:tplc="53AC5A44">
      <w:numFmt w:val="bullet"/>
      <w:lvlText w:val="•"/>
      <w:lvlJc w:val="left"/>
      <w:pPr>
        <w:ind w:left="4448" w:hanging="217"/>
      </w:pPr>
      <w:rPr>
        <w:rFonts w:hint="default"/>
        <w:lang w:val="en-GB" w:eastAsia="en-GB" w:bidi="en-GB"/>
      </w:rPr>
    </w:lvl>
    <w:lvl w:ilvl="8" w:tplc="446E972C">
      <w:numFmt w:val="bullet"/>
      <w:lvlText w:val="•"/>
      <w:lvlJc w:val="left"/>
      <w:pPr>
        <w:ind w:left="5040" w:hanging="217"/>
      </w:pPr>
      <w:rPr>
        <w:rFonts w:hint="default"/>
        <w:lang w:val="en-GB" w:eastAsia="en-GB" w:bidi="en-GB"/>
      </w:rPr>
    </w:lvl>
  </w:abstractNum>
  <w:abstractNum w:abstractNumId="339" w15:restartNumberingAfterBreak="0">
    <w:nsid w:val="1F4969FA"/>
    <w:multiLevelType w:val="hybridMultilevel"/>
    <w:tmpl w:val="F5EC1880"/>
    <w:lvl w:ilvl="0" w:tplc="2C121012">
      <w:numFmt w:val="bullet"/>
      <w:lvlText w:val="•"/>
      <w:lvlJc w:val="left"/>
      <w:pPr>
        <w:ind w:left="276" w:hanging="217"/>
      </w:pPr>
      <w:rPr>
        <w:rFonts w:ascii="Arial" w:eastAsia="Arial" w:hAnsi="Arial" w:cs="Arial" w:hint="default"/>
        <w:color w:val="231F20"/>
        <w:w w:val="97"/>
        <w:sz w:val="16"/>
        <w:szCs w:val="16"/>
        <w:lang w:val="en-GB" w:eastAsia="en-GB" w:bidi="en-GB"/>
      </w:rPr>
    </w:lvl>
    <w:lvl w:ilvl="1" w:tplc="C54ECF44">
      <w:numFmt w:val="bullet"/>
      <w:lvlText w:val="•"/>
      <w:lvlJc w:val="left"/>
      <w:pPr>
        <w:ind w:left="381" w:hanging="217"/>
      </w:pPr>
      <w:rPr>
        <w:rFonts w:hint="default"/>
        <w:lang w:val="en-GB" w:eastAsia="en-GB" w:bidi="en-GB"/>
      </w:rPr>
    </w:lvl>
    <w:lvl w:ilvl="2" w:tplc="109C9AA0">
      <w:numFmt w:val="bullet"/>
      <w:lvlText w:val="•"/>
      <w:lvlJc w:val="left"/>
      <w:pPr>
        <w:ind w:left="482" w:hanging="217"/>
      </w:pPr>
      <w:rPr>
        <w:rFonts w:hint="default"/>
        <w:lang w:val="en-GB" w:eastAsia="en-GB" w:bidi="en-GB"/>
      </w:rPr>
    </w:lvl>
    <w:lvl w:ilvl="3" w:tplc="5AA864B8">
      <w:numFmt w:val="bullet"/>
      <w:lvlText w:val="•"/>
      <w:lvlJc w:val="left"/>
      <w:pPr>
        <w:ind w:left="584" w:hanging="217"/>
      </w:pPr>
      <w:rPr>
        <w:rFonts w:hint="default"/>
        <w:lang w:val="en-GB" w:eastAsia="en-GB" w:bidi="en-GB"/>
      </w:rPr>
    </w:lvl>
    <w:lvl w:ilvl="4" w:tplc="79A4F37A">
      <w:numFmt w:val="bullet"/>
      <w:lvlText w:val="•"/>
      <w:lvlJc w:val="left"/>
      <w:pPr>
        <w:ind w:left="685" w:hanging="217"/>
      </w:pPr>
      <w:rPr>
        <w:rFonts w:hint="default"/>
        <w:lang w:val="en-GB" w:eastAsia="en-GB" w:bidi="en-GB"/>
      </w:rPr>
    </w:lvl>
    <w:lvl w:ilvl="5" w:tplc="37C84798">
      <w:numFmt w:val="bullet"/>
      <w:lvlText w:val="•"/>
      <w:lvlJc w:val="left"/>
      <w:pPr>
        <w:ind w:left="787" w:hanging="217"/>
      </w:pPr>
      <w:rPr>
        <w:rFonts w:hint="default"/>
        <w:lang w:val="en-GB" w:eastAsia="en-GB" w:bidi="en-GB"/>
      </w:rPr>
    </w:lvl>
    <w:lvl w:ilvl="6" w:tplc="F43C3B8A">
      <w:numFmt w:val="bullet"/>
      <w:lvlText w:val="•"/>
      <w:lvlJc w:val="left"/>
      <w:pPr>
        <w:ind w:left="888" w:hanging="217"/>
      </w:pPr>
      <w:rPr>
        <w:rFonts w:hint="default"/>
        <w:lang w:val="en-GB" w:eastAsia="en-GB" w:bidi="en-GB"/>
      </w:rPr>
    </w:lvl>
    <w:lvl w:ilvl="7" w:tplc="73F8500A">
      <w:numFmt w:val="bullet"/>
      <w:lvlText w:val="•"/>
      <w:lvlJc w:val="left"/>
      <w:pPr>
        <w:ind w:left="989" w:hanging="217"/>
      </w:pPr>
      <w:rPr>
        <w:rFonts w:hint="default"/>
        <w:lang w:val="en-GB" w:eastAsia="en-GB" w:bidi="en-GB"/>
      </w:rPr>
    </w:lvl>
    <w:lvl w:ilvl="8" w:tplc="2770794C">
      <w:numFmt w:val="bullet"/>
      <w:lvlText w:val="•"/>
      <w:lvlJc w:val="left"/>
      <w:pPr>
        <w:ind w:left="1091" w:hanging="217"/>
      </w:pPr>
      <w:rPr>
        <w:rFonts w:hint="default"/>
        <w:lang w:val="en-GB" w:eastAsia="en-GB" w:bidi="en-GB"/>
      </w:rPr>
    </w:lvl>
  </w:abstractNum>
  <w:abstractNum w:abstractNumId="340" w15:restartNumberingAfterBreak="0">
    <w:nsid w:val="1F496DE2"/>
    <w:multiLevelType w:val="hybridMultilevel"/>
    <w:tmpl w:val="B144FFA0"/>
    <w:lvl w:ilvl="0" w:tplc="21C869F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54BE4D76">
      <w:numFmt w:val="bullet"/>
      <w:lvlText w:val="•"/>
      <w:lvlJc w:val="left"/>
      <w:pPr>
        <w:ind w:left="473" w:hanging="217"/>
      </w:pPr>
      <w:rPr>
        <w:rFonts w:hint="default"/>
        <w:lang w:val="en-GB" w:eastAsia="en-GB" w:bidi="en-GB"/>
      </w:rPr>
    </w:lvl>
    <w:lvl w:ilvl="2" w:tplc="F91A2402">
      <w:numFmt w:val="bullet"/>
      <w:lvlText w:val="•"/>
      <w:lvlJc w:val="left"/>
      <w:pPr>
        <w:ind w:left="646" w:hanging="217"/>
      </w:pPr>
      <w:rPr>
        <w:rFonts w:hint="default"/>
        <w:lang w:val="en-GB" w:eastAsia="en-GB" w:bidi="en-GB"/>
      </w:rPr>
    </w:lvl>
    <w:lvl w:ilvl="3" w:tplc="D35860B4">
      <w:numFmt w:val="bullet"/>
      <w:lvlText w:val="•"/>
      <w:lvlJc w:val="left"/>
      <w:pPr>
        <w:ind w:left="819" w:hanging="217"/>
      </w:pPr>
      <w:rPr>
        <w:rFonts w:hint="default"/>
        <w:lang w:val="en-GB" w:eastAsia="en-GB" w:bidi="en-GB"/>
      </w:rPr>
    </w:lvl>
    <w:lvl w:ilvl="4" w:tplc="4306B08E">
      <w:numFmt w:val="bullet"/>
      <w:lvlText w:val="•"/>
      <w:lvlJc w:val="left"/>
      <w:pPr>
        <w:ind w:left="992" w:hanging="217"/>
      </w:pPr>
      <w:rPr>
        <w:rFonts w:hint="default"/>
        <w:lang w:val="en-GB" w:eastAsia="en-GB" w:bidi="en-GB"/>
      </w:rPr>
    </w:lvl>
    <w:lvl w:ilvl="5" w:tplc="AC8AB40E">
      <w:numFmt w:val="bullet"/>
      <w:lvlText w:val="•"/>
      <w:lvlJc w:val="left"/>
      <w:pPr>
        <w:ind w:left="1165" w:hanging="217"/>
      </w:pPr>
      <w:rPr>
        <w:rFonts w:hint="default"/>
        <w:lang w:val="en-GB" w:eastAsia="en-GB" w:bidi="en-GB"/>
      </w:rPr>
    </w:lvl>
    <w:lvl w:ilvl="6" w:tplc="0730FD9E">
      <w:numFmt w:val="bullet"/>
      <w:lvlText w:val="•"/>
      <w:lvlJc w:val="left"/>
      <w:pPr>
        <w:ind w:left="1338" w:hanging="217"/>
      </w:pPr>
      <w:rPr>
        <w:rFonts w:hint="default"/>
        <w:lang w:val="en-GB" w:eastAsia="en-GB" w:bidi="en-GB"/>
      </w:rPr>
    </w:lvl>
    <w:lvl w:ilvl="7" w:tplc="297A84C8">
      <w:numFmt w:val="bullet"/>
      <w:lvlText w:val="•"/>
      <w:lvlJc w:val="left"/>
      <w:pPr>
        <w:ind w:left="1511" w:hanging="217"/>
      </w:pPr>
      <w:rPr>
        <w:rFonts w:hint="default"/>
        <w:lang w:val="en-GB" w:eastAsia="en-GB" w:bidi="en-GB"/>
      </w:rPr>
    </w:lvl>
    <w:lvl w:ilvl="8" w:tplc="85E668B8">
      <w:numFmt w:val="bullet"/>
      <w:lvlText w:val="•"/>
      <w:lvlJc w:val="left"/>
      <w:pPr>
        <w:ind w:left="1684" w:hanging="217"/>
      </w:pPr>
      <w:rPr>
        <w:rFonts w:hint="default"/>
        <w:lang w:val="en-GB" w:eastAsia="en-GB" w:bidi="en-GB"/>
      </w:rPr>
    </w:lvl>
  </w:abstractNum>
  <w:abstractNum w:abstractNumId="341" w15:restartNumberingAfterBreak="0">
    <w:nsid w:val="1F5838B9"/>
    <w:multiLevelType w:val="hybridMultilevel"/>
    <w:tmpl w:val="C0006F3C"/>
    <w:lvl w:ilvl="0" w:tplc="EEC225B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9CA8978">
      <w:numFmt w:val="bullet"/>
      <w:lvlText w:val="•"/>
      <w:lvlJc w:val="left"/>
      <w:pPr>
        <w:ind w:left="467" w:hanging="217"/>
      </w:pPr>
      <w:rPr>
        <w:rFonts w:hint="default"/>
        <w:lang w:val="en-GB" w:eastAsia="en-GB" w:bidi="en-GB"/>
      </w:rPr>
    </w:lvl>
    <w:lvl w:ilvl="2" w:tplc="46E65CA0">
      <w:numFmt w:val="bullet"/>
      <w:lvlText w:val="•"/>
      <w:lvlJc w:val="left"/>
      <w:pPr>
        <w:ind w:left="634" w:hanging="217"/>
      </w:pPr>
      <w:rPr>
        <w:rFonts w:hint="default"/>
        <w:lang w:val="en-GB" w:eastAsia="en-GB" w:bidi="en-GB"/>
      </w:rPr>
    </w:lvl>
    <w:lvl w:ilvl="3" w:tplc="0284F62A">
      <w:numFmt w:val="bullet"/>
      <w:lvlText w:val="•"/>
      <w:lvlJc w:val="left"/>
      <w:pPr>
        <w:ind w:left="802" w:hanging="217"/>
      </w:pPr>
      <w:rPr>
        <w:rFonts w:hint="default"/>
        <w:lang w:val="en-GB" w:eastAsia="en-GB" w:bidi="en-GB"/>
      </w:rPr>
    </w:lvl>
    <w:lvl w:ilvl="4" w:tplc="664CD11A">
      <w:numFmt w:val="bullet"/>
      <w:lvlText w:val="•"/>
      <w:lvlJc w:val="left"/>
      <w:pPr>
        <w:ind w:left="969" w:hanging="217"/>
      </w:pPr>
      <w:rPr>
        <w:rFonts w:hint="default"/>
        <w:lang w:val="en-GB" w:eastAsia="en-GB" w:bidi="en-GB"/>
      </w:rPr>
    </w:lvl>
    <w:lvl w:ilvl="5" w:tplc="5BDC5CE6">
      <w:numFmt w:val="bullet"/>
      <w:lvlText w:val="•"/>
      <w:lvlJc w:val="left"/>
      <w:pPr>
        <w:ind w:left="1137" w:hanging="217"/>
      </w:pPr>
      <w:rPr>
        <w:rFonts w:hint="default"/>
        <w:lang w:val="en-GB" w:eastAsia="en-GB" w:bidi="en-GB"/>
      </w:rPr>
    </w:lvl>
    <w:lvl w:ilvl="6" w:tplc="4088F84A">
      <w:numFmt w:val="bullet"/>
      <w:lvlText w:val="•"/>
      <w:lvlJc w:val="left"/>
      <w:pPr>
        <w:ind w:left="1304" w:hanging="217"/>
      </w:pPr>
      <w:rPr>
        <w:rFonts w:hint="default"/>
        <w:lang w:val="en-GB" w:eastAsia="en-GB" w:bidi="en-GB"/>
      </w:rPr>
    </w:lvl>
    <w:lvl w:ilvl="7" w:tplc="E738CB02">
      <w:numFmt w:val="bullet"/>
      <w:lvlText w:val="•"/>
      <w:lvlJc w:val="left"/>
      <w:pPr>
        <w:ind w:left="1471" w:hanging="217"/>
      </w:pPr>
      <w:rPr>
        <w:rFonts w:hint="default"/>
        <w:lang w:val="en-GB" w:eastAsia="en-GB" w:bidi="en-GB"/>
      </w:rPr>
    </w:lvl>
    <w:lvl w:ilvl="8" w:tplc="81A05378">
      <w:numFmt w:val="bullet"/>
      <w:lvlText w:val="•"/>
      <w:lvlJc w:val="left"/>
      <w:pPr>
        <w:ind w:left="1639" w:hanging="217"/>
      </w:pPr>
      <w:rPr>
        <w:rFonts w:hint="default"/>
        <w:lang w:val="en-GB" w:eastAsia="en-GB" w:bidi="en-GB"/>
      </w:rPr>
    </w:lvl>
  </w:abstractNum>
  <w:abstractNum w:abstractNumId="342" w15:restartNumberingAfterBreak="0">
    <w:nsid w:val="1F651B2D"/>
    <w:multiLevelType w:val="hybridMultilevel"/>
    <w:tmpl w:val="81A89C72"/>
    <w:lvl w:ilvl="0" w:tplc="5A34155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A548F00">
      <w:numFmt w:val="bullet"/>
      <w:lvlText w:val="•"/>
      <w:lvlJc w:val="left"/>
      <w:pPr>
        <w:ind w:left="473" w:hanging="217"/>
      </w:pPr>
      <w:rPr>
        <w:rFonts w:hint="default"/>
        <w:lang w:val="en-GB" w:eastAsia="en-GB" w:bidi="en-GB"/>
      </w:rPr>
    </w:lvl>
    <w:lvl w:ilvl="2" w:tplc="7D8CE840">
      <w:numFmt w:val="bullet"/>
      <w:lvlText w:val="•"/>
      <w:lvlJc w:val="left"/>
      <w:pPr>
        <w:ind w:left="646" w:hanging="217"/>
      </w:pPr>
      <w:rPr>
        <w:rFonts w:hint="default"/>
        <w:lang w:val="en-GB" w:eastAsia="en-GB" w:bidi="en-GB"/>
      </w:rPr>
    </w:lvl>
    <w:lvl w:ilvl="3" w:tplc="5DB6A7DE">
      <w:numFmt w:val="bullet"/>
      <w:lvlText w:val="•"/>
      <w:lvlJc w:val="left"/>
      <w:pPr>
        <w:ind w:left="819" w:hanging="217"/>
      </w:pPr>
      <w:rPr>
        <w:rFonts w:hint="default"/>
        <w:lang w:val="en-GB" w:eastAsia="en-GB" w:bidi="en-GB"/>
      </w:rPr>
    </w:lvl>
    <w:lvl w:ilvl="4" w:tplc="8D5C8FEA">
      <w:numFmt w:val="bullet"/>
      <w:lvlText w:val="•"/>
      <w:lvlJc w:val="left"/>
      <w:pPr>
        <w:ind w:left="992" w:hanging="217"/>
      </w:pPr>
      <w:rPr>
        <w:rFonts w:hint="default"/>
        <w:lang w:val="en-GB" w:eastAsia="en-GB" w:bidi="en-GB"/>
      </w:rPr>
    </w:lvl>
    <w:lvl w:ilvl="5" w:tplc="902ED982">
      <w:numFmt w:val="bullet"/>
      <w:lvlText w:val="•"/>
      <w:lvlJc w:val="left"/>
      <w:pPr>
        <w:ind w:left="1165" w:hanging="217"/>
      </w:pPr>
      <w:rPr>
        <w:rFonts w:hint="default"/>
        <w:lang w:val="en-GB" w:eastAsia="en-GB" w:bidi="en-GB"/>
      </w:rPr>
    </w:lvl>
    <w:lvl w:ilvl="6" w:tplc="E2F0B2D4">
      <w:numFmt w:val="bullet"/>
      <w:lvlText w:val="•"/>
      <w:lvlJc w:val="left"/>
      <w:pPr>
        <w:ind w:left="1338" w:hanging="217"/>
      </w:pPr>
      <w:rPr>
        <w:rFonts w:hint="default"/>
        <w:lang w:val="en-GB" w:eastAsia="en-GB" w:bidi="en-GB"/>
      </w:rPr>
    </w:lvl>
    <w:lvl w:ilvl="7" w:tplc="0E461044">
      <w:numFmt w:val="bullet"/>
      <w:lvlText w:val="•"/>
      <w:lvlJc w:val="left"/>
      <w:pPr>
        <w:ind w:left="1511" w:hanging="217"/>
      </w:pPr>
      <w:rPr>
        <w:rFonts w:hint="default"/>
        <w:lang w:val="en-GB" w:eastAsia="en-GB" w:bidi="en-GB"/>
      </w:rPr>
    </w:lvl>
    <w:lvl w:ilvl="8" w:tplc="66BA49E4">
      <w:numFmt w:val="bullet"/>
      <w:lvlText w:val="•"/>
      <w:lvlJc w:val="left"/>
      <w:pPr>
        <w:ind w:left="1684" w:hanging="217"/>
      </w:pPr>
      <w:rPr>
        <w:rFonts w:hint="default"/>
        <w:lang w:val="en-GB" w:eastAsia="en-GB" w:bidi="en-GB"/>
      </w:rPr>
    </w:lvl>
  </w:abstractNum>
  <w:abstractNum w:abstractNumId="343" w15:restartNumberingAfterBreak="0">
    <w:nsid w:val="1F6A65C0"/>
    <w:multiLevelType w:val="hybridMultilevel"/>
    <w:tmpl w:val="A3FA1F44"/>
    <w:lvl w:ilvl="0" w:tplc="D7AA117E">
      <w:numFmt w:val="bullet"/>
      <w:lvlText w:val="•"/>
      <w:lvlJc w:val="left"/>
      <w:pPr>
        <w:ind w:left="303" w:hanging="217"/>
      </w:pPr>
      <w:rPr>
        <w:rFonts w:ascii="Arial" w:eastAsia="Arial" w:hAnsi="Arial" w:cs="Arial" w:hint="default"/>
        <w:color w:val="231F20"/>
        <w:w w:val="102"/>
        <w:sz w:val="17"/>
        <w:szCs w:val="17"/>
        <w:lang w:val="en-GB" w:eastAsia="en-GB" w:bidi="en-GB"/>
      </w:rPr>
    </w:lvl>
    <w:lvl w:ilvl="1" w:tplc="95EAA6BE">
      <w:numFmt w:val="bullet"/>
      <w:lvlText w:val="•"/>
      <w:lvlJc w:val="left"/>
      <w:pPr>
        <w:ind w:left="439" w:hanging="217"/>
      </w:pPr>
      <w:rPr>
        <w:rFonts w:hint="default"/>
        <w:lang w:val="en-GB" w:eastAsia="en-GB" w:bidi="en-GB"/>
      </w:rPr>
    </w:lvl>
    <w:lvl w:ilvl="2" w:tplc="332A5298">
      <w:numFmt w:val="bullet"/>
      <w:lvlText w:val="•"/>
      <w:lvlJc w:val="left"/>
      <w:pPr>
        <w:ind w:left="578" w:hanging="217"/>
      </w:pPr>
      <w:rPr>
        <w:rFonts w:hint="default"/>
        <w:lang w:val="en-GB" w:eastAsia="en-GB" w:bidi="en-GB"/>
      </w:rPr>
    </w:lvl>
    <w:lvl w:ilvl="3" w:tplc="25EE876A">
      <w:numFmt w:val="bullet"/>
      <w:lvlText w:val="•"/>
      <w:lvlJc w:val="left"/>
      <w:pPr>
        <w:ind w:left="717" w:hanging="217"/>
      </w:pPr>
      <w:rPr>
        <w:rFonts w:hint="default"/>
        <w:lang w:val="en-GB" w:eastAsia="en-GB" w:bidi="en-GB"/>
      </w:rPr>
    </w:lvl>
    <w:lvl w:ilvl="4" w:tplc="8B0604D2">
      <w:numFmt w:val="bullet"/>
      <w:lvlText w:val="•"/>
      <w:lvlJc w:val="left"/>
      <w:pPr>
        <w:ind w:left="856" w:hanging="217"/>
      </w:pPr>
      <w:rPr>
        <w:rFonts w:hint="default"/>
        <w:lang w:val="en-GB" w:eastAsia="en-GB" w:bidi="en-GB"/>
      </w:rPr>
    </w:lvl>
    <w:lvl w:ilvl="5" w:tplc="5B0EAA50">
      <w:numFmt w:val="bullet"/>
      <w:lvlText w:val="•"/>
      <w:lvlJc w:val="left"/>
      <w:pPr>
        <w:ind w:left="995" w:hanging="217"/>
      </w:pPr>
      <w:rPr>
        <w:rFonts w:hint="default"/>
        <w:lang w:val="en-GB" w:eastAsia="en-GB" w:bidi="en-GB"/>
      </w:rPr>
    </w:lvl>
    <w:lvl w:ilvl="6" w:tplc="68B8D470">
      <w:numFmt w:val="bullet"/>
      <w:lvlText w:val="•"/>
      <w:lvlJc w:val="left"/>
      <w:pPr>
        <w:ind w:left="1134" w:hanging="217"/>
      </w:pPr>
      <w:rPr>
        <w:rFonts w:hint="default"/>
        <w:lang w:val="en-GB" w:eastAsia="en-GB" w:bidi="en-GB"/>
      </w:rPr>
    </w:lvl>
    <w:lvl w:ilvl="7" w:tplc="779C13DA">
      <w:numFmt w:val="bullet"/>
      <w:lvlText w:val="•"/>
      <w:lvlJc w:val="left"/>
      <w:pPr>
        <w:ind w:left="1273" w:hanging="217"/>
      </w:pPr>
      <w:rPr>
        <w:rFonts w:hint="default"/>
        <w:lang w:val="en-GB" w:eastAsia="en-GB" w:bidi="en-GB"/>
      </w:rPr>
    </w:lvl>
    <w:lvl w:ilvl="8" w:tplc="FD7C233A">
      <w:numFmt w:val="bullet"/>
      <w:lvlText w:val="•"/>
      <w:lvlJc w:val="left"/>
      <w:pPr>
        <w:ind w:left="1412" w:hanging="217"/>
      </w:pPr>
      <w:rPr>
        <w:rFonts w:hint="default"/>
        <w:lang w:val="en-GB" w:eastAsia="en-GB" w:bidi="en-GB"/>
      </w:rPr>
    </w:lvl>
  </w:abstractNum>
  <w:abstractNum w:abstractNumId="344" w15:restartNumberingAfterBreak="0">
    <w:nsid w:val="1F6E70AF"/>
    <w:multiLevelType w:val="hybridMultilevel"/>
    <w:tmpl w:val="617C3458"/>
    <w:lvl w:ilvl="0" w:tplc="9514B3F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23E286A">
      <w:numFmt w:val="bullet"/>
      <w:lvlText w:val="•"/>
      <w:lvlJc w:val="left"/>
      <w:pPr>
        <w:ind w:left="473" w:hanging="217"/>
      </w:pPr>
      <w:rPr>
        <w:rFonts w:hint="default"/>
        <w:lang w:val="en-GB" w:eastAsia="en-GB" w:bidi="en-GB"/>
      </w:rPr>
    </w:lvl>
    <w:lvl w:ilvl="2" w:tplc="F6B8A89E">
      <w:numFmt w:val="bullet"/>
      <w:lvlText w:val="•"/>
      <w:lvlJc w:val="left"/>
      <w:pPr>
        <w:ind w:left="646" w:hanging="217"/>
      </w:pPr>
      <w:rPr>
        <w:rFonts w:hint="default"/>
        <w:lang w:val="en-GB" w:eastAsia="en-GB" w:bidi="en-GB"/>
      </w:rPr>
    </w:lvl>
    <w:lvl w:ilvl="3" w:tplc="43C0A3FC">
      <w:numFmt w:val="bullet"/>
      <w:lvlText w:val="•"/>
      <w:lvlJc w:val="left"/>
      <w:pPr>
        <w:ind w:left="819" w:hanging="217"/>
      </w:pPr>
      <w:rPr>
        <w:rFonts w:hint="default"/>
        <w:lang w:val="en-GB" w:eastAsia="en-GB" w:bidi="en-GB"/>
      </w:rPr>
    </w:lvl>
    <w:lvl w:ilvl="4" w:tplc="791CB538">
      <w:numFmt w:val="bullet"/>
      <w:lvlText w:val="•"/>
      <w:lvlJc w:val="left"/>
      <w:pPr>
        <w:ind w:left="992" w:hanging="217"/>
      </w:pPr>
      <w:rPr>
        <w:rFonts w:hint="default"/>
        <w:lang w:val="en-GB" w:eastAsia="en-GB" w:bidi="en-GB"/>
      </w:rPr>
    </w:lvl>
    <w:lvl w:ilvl="5" w:tplc="971EE5A0">
      <w:numFmt w:val="bullet"/>
      <w:lvlText w:val="•"/>
      <w:lvlJc w:val="left"/>
      <w:pPr>
        <w:ind w:left="1165" w:hanging="217"/>
      </w:pPr>
      <w:rPr>
        <w:rFonts w:hint="default"/>
        <w:lang w:val="en-GB" w:eastAsia="en-GB" w:bidi="en-GB"/>
      </w:rPr>
    </w:lvl>
    <w:lvl w:ilvl="6" w:tplc="B094A3F6">
      <w:numFmt w:val="bullet"/>
      <w:lvlText w:val="•"/>
      <w:lvlJc w:val="left"/>
      <w:pPr>
        <w:ind w:left="1338" w:hanging="217"/>
      </w:pPr>
      <w:rPr>
        <w:rFonts w:hint="default"/>
        <w:lang w:val="en-GB" w:eastAsia="en-GB" w:bidi="en-GB"/>
      </w:rPr>
    </w:lvl>
    <w:lvl w:ilvl="7" w:tplc="A0EADB44">
      <w:numFmt w:val="bullet"/>
      <w:lvlText w:val="•"/>
      <w:lvlJc w:val="left"/>
      <w:pPr>
        <w:ind w:left="1511" w:hanging="217"/>
      </w:pPr>
      <w:rPr>
        <w:rFonts w:hint="default"/>
        <w:lang w:val="en-GB" w:eastAsia="en-GB" w:bidi="en-GB"/>
      </w:rPr>
    </w:lvl>
    <w:lvl w:ilvl="8" w:tplc="54ACC41E">
      <w:numFmt w:val="bullet"/>
      <w:lvlText w:val="•"/>
      <w:lvlJc w:val="left"/>
      <w:pPr>
        <w:ind w:left="1684" w:hanging="217"/>
      </w:pPr>
      <w:rPr>
        <w:rFonts w:hint="default"/>
        <w:lang w:val="en-GB" w:eastAsia="en-GB" w:bidi="en-GB"/>
      </w:rPr>
    </w:lvl>
  </w:abstractNum>
  <w:abstractNum w:abstractNumId="345" w15:restartNumberingAfterBreak="0">
    <w:nsid w:val="1F815E69"/>
    <w:multiLevelType w:val="hybridMultilevel"/>
    <w:tmpl w:val="721E7BF4"/>
    <w:lvl w:ilvl="0" w:tplc="9D86931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C28B6DE">
      <w:numFmt w:val="bullet"/>
      <w:lvlText w:val="•"/>
      <w:lvlJc w:val="left"/>
      <w:pPr>
        <w:ind w:left="892" w:hanging="217"/>
      </w:pPr>
      <w:rPr>
        <w:rFonts w:hint="default"/>
        <w:lang w:val="en-GB" w:eastAsia="en-GB" w:bidi="en-GB"/>
      </w:rPr>
    </w:lvl>
    <w:lvl w:ilvl="2" w:tplc="1ADA78C0">
      <w:numFmt w:val="bullet"/>
      <w:lvlText w:val="•"/>
      <w:lvlJc w:val="left"/>
      <w:pPr>
        <w:ind w:left="1485" w:hanging="217"/>
      </w:pPr>
      <w:rPr>
        <w:rFonts w:hint="default"/>
        <w:lang w:val="en-GB" w:eastAsia="en-GB" w:bidi="en-GB"/>
      </w:rPr>
    </w:lvl>
    <w:lvl w:ilvl="3" w:tplc="D8885444">
      <w:numFmt w:val="bullet"/>
      <w:lvlText w:val="•"/>
      <w:lvlJc w:val="left"/>
      <w:pPr>
        <w:ind w:left="2077" w:hanging="217"/>
      </w:pPr>
      <w:rPr>
        <w:rFonts w:hint="default"/>
        <w:lang w:val="en-GB" w:eastAsia="en-GB" w:bidi="en-GB"/>
      </w:rPr>
    </w:lvl>
    <w:lvl w:ilvl="4" w:tplc="21C03D4E">
      <w:numFmt w:val="bullet"/>
      <w:lvlText w:val="•"/>
      <w:lvlJc w:val="left"/>
      <w:pPr>
        <w:ind w:left="2670" w:hanging="217"/>
      </w:pPr>
      <w:rPr>
        <w:rFonts w:hint="default"/>
        <w:lang w:val="en-GB" w:eastAsia="en-GB" w:bidi="en-GB"/>
      </w:rPr>
    </w:lvl>
    <w:lvl w:ilvl="5" w:tplc="41245A9A">
      <w:numFmt w:val="bullet"/>
      <w:lvlText w:val="•"/>
      <w:lvlJc w:val="left"/>
      <w:pPr>
        <w:ind w:left="3263" w:hanging="217"/>
      </w:pPr>
      <w:rPr>
        <w:rFonts w:hint="default"/>
        <w:lang w:val="en-GB" w:eastAsia="en-GB" w:bidi="en-GB"/>
      </w:rPr>
    </w:lvl>
    <w:lvl w:ilvl="6" w:tplc="6042204C">
      <w:numFmt w:val="bullet"/>
      <w:lvlText w:val="•"/>
      <w:lvlJc w:val="left"/>
      <w:pPr>
        <w:ind w:left="3855" w:hanging="217"/>
      </w:pPr>
      <w:rPr>
        <w:rFonts w:hint="default"/>
        <w:lang w:val="en-GB" w:eastAsia="en-GB" w:bidi="en-GB"/>
      </w:rPr>
    </w:lvl>
    <w:lvl w:ilvl="7" w:tplc="59406BF0">
      <w:numFmt w:val="bullet"/>
      <w:lvlText w:val="•"/>
      <w:lvlJc w:val="left"/>
      <w:pPr>
        <w:ind w:left="4448" w:hanging="217"/>
      </w:pPr>
      <w:rPr>
        <w:rFonts w:hint="default"/>
        <w:lang w:val="en-GB" w:eastAsia="en-GB" w:bidi="en-GB"/>
      </w:rPr>
    </w:lvl>
    <w:lvl w:ilvl="8" w:tplc="4E9ABA9A">
      <w:numFmt w:val="bullet"/>
      <w:lvlText w:val="•"/>
      <w:lvlJc w:val="left"/>
      <w:pPr>
        <w:ind w:left="5040" w:hanging="217"/>
      </w:pPr>
      <w:rPr>
        <w:rFonts w:hint="default"/>
        <w:lang w:val="en-GB" w:eastAsia="en-GB" w:bidi="en-GB"/>
      </w:rPr>
    </w:lvl>
  </w:abstractNum>
  <w:abstractNum w:abstractNumId="346" w15:restartNumberingAfterBreak="0">
    <w:nsid w:val="1F8269B6"/>
    <w:multiLevelType w:val="hybridMultilevel"/>
    <w:tmpl w:val="530C63C0"/>
    <w:lvl w:ilvl="0" w:tplc="3B3029BC">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9DC0551C">
      <w:numFmt w:val="bullet"/>
      <w:lvlText w:val="•"/>
      <w:lvlJc w:val="left"/>
      <w:pPr>
        <w:ind w:left="473" w:hanging="217"/>
      </w:pPr>
      <w:rPr>
        <w:rFonts w:hint="default"/>
        <w:lang w:val="en-GB" w:eastAsia="en-GB" w:bidi="en-GB"/>
      </w:rPr>
    </w:lvl>
    <w:lvl w:ilvl="2" w:tplc="701A0BF2">
      <w:numFmt w:val="bullet"/>
      <w:lvlText w:val="•"/>
      <w:lvlJc w:val="left"/>
      <w:pPr>
        <w:ind w:left="646" w:hanging="217"/>
      </w:pPr>
      <w:rPr>
        <w:rFonts w:hint="default"/>
        <w:lang w:val="en-GB" w:eastAsia="en-GB" w:bidi="en-GB"/>
      </w:rPr>
    </w:lvl>
    <w:lvl w:ilvl="3" w:tplc="B9A43A7E">
      <w:numFmt w:val="bullet"/>
      <w:lvlText w:val="•"/>
      <w:lvlJc w:val="left"/>
      <w:pPr>
        <w:ind w:left="819" w:hanging="217"/>
      </w:pPr>
      <w:rPr>
        <w:rFonts w:hint="default"/>
        <w:lang w:val="en-GB" w:eastAsia="en-GB" w:bidi="en-GB"/>
      </w:rPr>
    </w:lvl>
    <w:lvl w:ilvl="4" w:tplc="4D18E2B2">
      <w:numFmt w:val="bullet"/>
      <w:lvlText w:val="•"/>
      <w:lvlJc w:val="left"/>
      <w:pPr>
        <w:ind w:left="992" w:hanging="217"/>
      </w:pPr>
      <w:rPr>
        <w:rFonts w:hint="default"/>
        <w:lang w:val="en-GB" w:eastAsia="en-GB" w:bidi="en-GB"/>
      </w:rPr>
    </w:lvl>
    <w:lvl w:ilvl="5" w:tplc="773A69D4">
      <w:numFmt w:val="bullet"/>
      <w:lvlText w:val="•"/>
      <w:lvlJc w:val="left"/>
      <w:pPr>
        <w:ind w:left="1165" w:hanging="217"/>
      </w:pPr>
      <w:rPr>
        <w:rFonts w:hint="default"/>
        <w:lang w:val="en-GB" w:eastAsia="en-GB" w:bidi="en-GB"/>
      </w:rPr>
    </w:lvl>
    <w:lvl w:ilvl="6" w:tplc="7854A1F2">
      <w:numFmt w:val="bullet"/>
      <w:lvlText w:val="•"/>
      <w:lvlJc w:val="left"/>
      <w:pPr>
        <w:ind w:left="1338" w:hanging="217"/>
      </w:pPr>
      <w:rPr>
        <w:rFonts w:hint="default"/>
        <w:lang w:val="en-GB" w:eastAsia="en-GB" w:bidi="en-GB"/>
      </w:rPr>
    </w:lvl>
    <w:lvl w:ilvl="7" w:tplc="2882479E">
      <w:numFmt w:val="bullet"/>
      <w:lvlText w:val="•"/>
      <w:lvlJc w:val="left"/>
      <w:pPr>
        <w:ind w:left="1511" w:hanging="217"/>
      </w:pPr>
      <w:rPr>
        <w:rFonts w:hint="default"/>
        <w:lang w:val="en-GB" w:eastAsia="en-GB" w:bidi="en-GB"/>
      </w:rPr>
    </w:lvl>
    <w:lvl w:ilvl="8" w:tplc="D3C8435C">
      <w:numFmt w:val="bullet"/>
      <w:lvlText w:val="•"/>
      <w:lvlJc w:val="left"/>
      <w:pPr>
        <w:ind w:left="1684" w:hanging="217"/>
      </w:pPr>
      <w:rPr>
        <w:rFonts w:hint="default"/>
        <w:lang w:val="en-GB" w:eastAsia="en-GB" w:bidi="en-GB"/>
      </w:rPr>
    </w:lvl>
  </w:abstractNum>
  <w:abstractNum w:abstractNumId="347" w15:restartNumberingAfterBreak="0">
    <w:nsid w:val="1FB10671"/>
    <w:multiLevelType w:val="hybridMultilevel"/>
    <w:tmpl w:val="7F24F8EA"/>
    <w:lvl w:ilvl="0" w:tplc="B0B20BE6">
      <w:numFmt w:val="bullet"/>
      <w:lvlText w:val="•"/>
      <w:lvlJc w:val="left"/>
      <w:pPr>
        <w:ind w:left="304" w:hanging="217"/>
      </w:pPr>
      <w:rPr>
        <w:rFonts w:ascii="Arial" w:eastAsia="Arial" w:hAnsi="Arial" w:cs="Arial" w:hint="default"/>
        <w:color w:val="231F20"/>
        <w:spacing w:val="-5"/>
        <w:w w:val="100"/>
        <w:sz w:val="18"/>
        <w:szCs w:val="18"/>
        <w:lang w:val="en-GB" w:eastAsia="en-GB" w:bidi="en-GB"/>
      </w:rPr>
    </w:lvl>
    <w:lvl w:ilvl="1" w:tplc="CA1E769C">
      <w:numFmt w:val="bullet"/>
      <w:lvlText w:val="•"/>
      <w:lvlJc w:val="left"/>
      <w:pPr>
        <w:ind w:left="473" w:hanging="217"/>
      </w:pPr>
      <w:rPr>
        <w:rFonts w:hint="default"/>
        <w:lang w:val="en-GB" w:eastAsia="en-GB" w:bidi="en-GB"/>
      </w:rPr>
    </w:lvl>
    <w:lvl w:ilvl="2" w:tplc="B6A4664A">
      <w:numFmt w:val="bullet"/>
      <w:lvlText w:val="•"/>
      <w:lvlJc w:val="left"/>
      <w:pPr>
        <w:ind w:left="646" w:hanging="217"/>
      </w:pPr>
      <w:rPr>
        <w:rFonts w:hint="default"/>
        <w:lang w:val="en-GB" w:eastAsia="en-GB" w:bidi="en-GB"/>
      </w:rPr>
    </w:lvl>
    <w:lvl w:ilvl="3" w:tplc="964C54F6">
      <w:numFmt w:val="bullet"/>
      <w:lvlText w:val="•"/>
      <w:lvlJc w:val="left"/>
      <w:pPr>
        <w:ind w:left="819" w:hanging="217"/>
      </w:pPr>
      <w:rPr>
        <w:rFonts w:hint="default"/>
        <w:lang w:val="en-GB" w:eastAsia="en-GB" w:bidi="en-GB"/>
      </w:rPr>
    </w:lvl>
    <w:lvl w:ilvl="4" w:tplc="EC1EEFFC">
      <w:numFmt w:val="bullet"/>
      <w:lvlText w:val="•"/>
      <w:lvlJc w:val="left"/>
      <w:pPr>
        <w:ind w:left="992" w:hanging="217"/>
      </w:pPr>
      <w:rPr>
        <w:rFonts w:hint="default"/>
        <w:lang w:val="en-GB" w:eastAsia="en-GB" w:bidi="en-GB"/>
      </w:rPr>
    </w:lvl>
    <w:lvl w:ilvl="5" w:tplc="1738FDB4">
      <w:numFmt w:val="bullet"/>
      <w:lvlText w:val="•"/>
      <w:lvlJc w:val="left"/>
      <w:pPr>
        <w:ind w:left="1165" w:hanging="217"/>
      </w:pPr>
      <w:rPr>
        <w:rFonts w:hint="default"/>
        <w:lang w:val="en-GB" w:eastAsia="en-GB" w:bidi="en-GB"/>
      </w:rPr>
    </w:lvl>
    <w:lvl w:ilvl="6" w:tplc="A2BA6C6A">
      <w:numFmt w:val="bullet"/>
      <w:lvlText w:val="•"/>
      <w:lvlJc w:val="left"/>
      <w:pPr>
        <w:ind w:left="1338" w:hanging="217"/>
      </w:pPr>
      <w:rPr>
        <w:rFonts w:hint="default"/>
        <w:lang w:val="en-GB" w:eastAsia="en-GB" w:bidi="en-GB"/>
      </w:rPr>
    </w:lvl>
    <w:lvl w:ilvl="7" w:tplc="AE72FE26">
      <w:numFmt w:val="bullet"/>
      <w:lvlText w:val="•"/>
      <w:lvlJc w:val="left"/>
      <w:pPr>
        <w:ind w:left="1511" w:hanging="217"/>
      </w:pPr>
      <w:rPr>
        <w:rFonts w:hint="default"/>
        <w:lang w:val="en-GB" w:eastAsia="en-GB" w:bidi="en-GB"/>
      </w:rPr>
    </w:lvl>
    <w:lvl w:ilvl="8" w:tplc="8B08585E">
      <w:numFmt w:val="bullet"/>
      <w:lvlText w:val="•"/>
      <w:lvlJc w:val="left"/>
      <w:pPr>
        <w:ind w:left="1684" w:hanging="217"/>
      </w:pPr>
      <w:rPr>
        <w:rFonts w:hint="default"/>
        <w:lang w:val="en-GB" w:eastAsia="en-GB" w:bidi="en-GB"/>
      </w:rPr>
    </w:lvl>
  </w:abstractNum>
  <w:abstractNum w:abstractNumId="348" w15:restartNumberingAfterBreak="0">
    <w:nsid w:val="1FCF7A73"/>
    <w:multiLevelType w:val="hybridMultilevel"/>
    <w:tmpl w:val="ABFEE386"/>
    <w:lvl w:ilvl="0" w:tplc="32428BE6">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76EE0114">
      <w:numFmt w:val="bullet"/>
      <w:lvlText w:val="•"/>
      <w:lvlJc w:val="left"/>
      <w:pPr>
        <w:ind w:left="524" w:hanging="217"/>
      </w:pPr>
      <w:rPr>
        <w:rFonts w:hint="default"/>
        <w:lang w:val="en-GB" w:eastAsia="en-GB" w:bidi="en-GB"/>
      </w:rPr>
    </w:lvl>
    <w:lvl w:ilvl="2" w:tplc="C8608F82">
      <w:numFmt w:val="bullet"/>
      <w:lvlText w:val="•"/>
      <w:lvlJc w:val="left"/>
      <w:pPr>
        <w:ind w:left="748" w:hanging="217"/>
      </w:pPr>
      <w:rPr>
        <w:rFonts w:hint="default"/>
        <w:lang w:val="en-GB" w:eastAsia="en-GB" w:bidi="en-GB"/>
      </w:rPr>
    </w:lvl>
    <w:lvl w:ilvl="3" w:tplc="10ECB14C">
      <w:numFmt w:val="bullet"/>
      <w:lvlText w:val="•"/>
      <w:lvlJc w:val="left"/>
      <w:pPr>
        <w:ind w:left="972" w:hanging="217"/>
      </w:pPr>
      <w:rPr>
        <w:rFonts w:hint="default"/>
        <w:lang w:val="en-GB" w:eastAsia="en-GB" w:bidi="en-GB"/>
      </w:rPr>
    </w:lvl>
    <w:lvl w:ilvl="4" w:tplc="5C7EEB08">
      <w:numFmt w:val="bullet"/>
      <w:lvlText w:val="•"/>
      <w:lvlJc w:val="left"/>
      <w:pPr>
        <w:ind w:left="1196" w:hanging="217"/>
      </w:pPr>
      <w:rPr>
        <w:rFonts w:hint="default"/>
        <w:lang w:val="en-GB" w:eastAsia="en-GB" w:bidi="en-GB"/>
      </w:rPr>
    </w:lvl>
    <w:lvl w:ilvl="5" w:tplc="0FE2A06C">
      <w:numFmt w:val="bullet"/>
      <w:lvlText w:val="•"/>
      <w:lvlJc w:val="left"/>
      <w:pPr>
        <w:ind w:left="1420" w:hanging="217"/>
      </w:pPr>
      <w:rPr>
        <w:rFonts w:hint="default"/>
        <w:lang w:val="en-GB" w:eastAsia="en-GB" w:bidi="en-GB"/>
      </w:rPr>
    </w:lvl>
    <w:lvl w:ilvl="6" w:tplc="EFE01D24">
      <w:numFmt w:val="bullet"/>
      <w:lvlText w:val="•"/>
      <w:lvlJc w:val="left"/>
      <w:pPr>
        <w:ind w:left="1644" w:hanging="217"/>
      </w:pPr>
      <w:rPr>
        <w:rFonts w:hint="default"/>
        <w:lang w:val="en-GB" w:eastAsia="en-GB" w:bidi="en-GB"/>
      </w:rPr>
    </w:lvl>
    <w:lvl w:ilvl="7" w:tplc="69401B9A">
      <w:numFmt w:val="bullet"/>
      <w:lvlText w:val="•"/>
      <w:lvlJc w:val="left"/>
      <w:pPr>
        <w:ind w:left="1868" w:hanging="217"/>
      </w:pPr>
      <w:rPr>
        <w:rFonts w:hint="default"/>
        <w:lang w:val="en-GB" w:eastAsia="en-GB" w:bidi="en-GB"/>
      </w:rPr>
    </w:lvl>
    <w:lvl w:ilvl="8" w:tplc="3886CB02">
      <w:numFmt w:val="bullet"/>
      <w:lvlText w:val="•"/>
      <w:lvlJc w:val="left"/>
      <w:pPr>
        <w:ind w:left="2092" w:hanging="217"/>
      </w:pPr>
      <w:rPr>
        <w:rFonts w:hint="default"/>
        <w:lang w:val="en-GB" w:eastAsia="en-GB" w:bidi="en-GB"/>
      </w:rPr>
    </w:lvl>
  </w:abstractNum>
  <w:abstractNum w:abstractNumId="349" w15:restartNumberingAfterBreak="0">
    <w:nsid w:val="1FE25177"/>
    <w:multiLevelType w:val="hybridMultilevel"/>
    <w:tmpl w:val="0E4E1EDA"/>
    <w:lvl w:ilvl="0" w:tplc="DBFE530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7CCAF1DC">
      <w:numFmt w:val="bullet"/>
      <w:lvlText w:val="•"/>
      <w:lvlJc w:val="left"/>
      <w:pPr>
        <w:ind w:left="473" w:hanging="217"/>
      </w:pPr>
      <w:rPr>
        <w:rFonts w:hint="default"/>
        <w:lang w:val="en-GB" w:eastAsia="en-GB" w:bidi="en-GB"/>
      </w:rPr>
    </w:lvl>
    <w:lvl w:ilvl="2" w:tplc="4E30E5D0">
      <w:numFmt w:val="bullet"/>
      <w:lvlText w:val="•"/>
      <w:lvlJc w:val="left"/>
      <w:pPr>
        <w:ind w:left="646" w:hanging="217"/>
      </w:pPr>
      <w:rPr>
        <w:rFonts w:hint="default"/>
        <w:lang w:val="en-GB" w:eastAsia="en-GB" w:bidi="en-GB"/>
      </w:rPr>
    </w:lvl>
    <w:lvl w:ilvl="3" w:tplc="0FF8E94C">
      <w:numFmt w:val="bullet"/>
      <w:lvlText w:val="•"/>
      <w:lvlJc w:val="left"/>
      <w:pPr>
        <w:ind w:left="819" w:hanging="217"/>
      </w:pPr>
      <w:rPr>
        <w:rFonts w:hint="default"/>
        <w:lang w:val="en-GB" w:eastAsia="en-GB" w:bidi="en-GB"/>
      </w:rPr>
    </w:lvl>
    <w:lvl w:ilvl="4" w:tplc="B1F49498">
      <w:numFmt w:val="bullet"/>
      <w:lvlText w:val="•"/>
      <w:lvlJc w:val="left"/>
      <w:pPr>
        <w:ind w:left="992" w:hanging="217"/>
      </w:pPr>
      <w:rPr>
        <w:rFonts w:hint="default"/>
        <w:lang w:val="en-GB" w:eastAsia="en-GB" w:bidi="en-GB"/>
      </w:rPr>
    </w:lvl>
    <w:lvl w:ilvl="5" w:tplc="F5B4AAC0">
      <w:numFmt w:val="bullet"/>
      <w:lvlText w:val="•"/>
      <w:lvlJc w:val="left"/>
      <w:pPr>
        <w:ind w:left="1165" w:hanging="217"/>
      </w:pPr>
      <w:rPr>
        <w:rFonts w:hint="default"/>
        <w:lang w:val="en-GB" w:eastAsia="en-GB" w:bidi="en-GB"/>
      </w:rPr>
    </w:lvl>
    <w:lvl w:ilvl="6" w:tplc="F2B46BD8">
      <w:numFmt w:val="bullet"/>
      <w:lvlText w:val="•"/>
      <w:lvlJc w:val="left"/>
      <w:pPr>
        <w:ind w:left="1338" w:hanging="217"/>
      </w:pPr>
      <w:rPr>
        <w:rFonts w:hint="default"/>
        <w:lang w:val="en-GB" w:eastAsia="en-GB" w:bidi="en-GB"/>
      </w:rPr>
    </w:lvl>
    <w:lvl w:ilvl="7" w:tplc="A594D326">
      <w:numFmt w:val="bullet"/>
      <w:lvlText w:val="•"/>
      <w:lvlJc w:val="left"/>
      <w:pPr>
        <w:ind w:left="1511" w:hanging="217"/>
      </w:pPr>
      <w:rPr>
        <w:rFonts w:hint="default"/>
        <w:lang w:val="en-GB" w:eastAsia="en-GB" w:bidi="en-GB"/>
      </w:rPr>
    </w:lvl>
    <w:lvl w:ilvl="8" w:tplc="0F7C598A">
      <w:numFmt w:val="bullet"/>
      <w:lvlText w:val="•"/>
      <w:lvlJc w:val="left"/>
      <w:pPr>
        <w:ind w:left="1684" w:hanging="217"/>
      </w:pPr>
      <w:rPr>
        <w:rFonts w:hint="default"/>
        <w:lang w:val="en-GB" w:eastAsia="en-GB" w:bidi="en-GB"/>
      </w:rPr>
    </w:lvl>
  </w:abstractNum>
  <w:abstractNum w:abstractNumId="350" w15:restartNumberingAfterBreak="0">
    <w:nsid w:val="1FEC4A36"/>
    <w:multiLevelType w:val="hybridMultilevel"/>
    <w:tmpl w:val="59C2EDF4"/>
    <w:lvl w:ilvl="0" w:tplc="6C928EF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DC0AA54">
      <w:numFmt w:val="bullet"/>
      <w:lvlText w:val="•"/>
      <w:lvlJc w:val="left"/>
      <w:pPr>
        <w:ind w:left="439" w:hanging="217"/>
      </w:pPr>
      <w:rPr>
        <w:rFonts w:hint="default"/>
        <w:lang w:val="en-GB" w:eastAsia="en-GB" w:bidi="en-GB"/>
      </w:rPr>
    </w:lvl>
    <w:lvl w:ilvl="2" w:tplc="DC3EF8A0">
      <w:numFmt w:val="bullet"/>
      <w:lvlText w:val="•"/>
      <w:lvlJc w:val="left"/>
      <w:pPr>
        <w:ind w:left="578" w:hanging="217"/>
      </w:pPr>
      <w:rPr>
        <w:rFonts w:hint="default"/>
        <w:lang w:val="en-GB" w:eastAsia="en-GB" w:bidi="en-GB"/>
      </w:rPr>
    </w:lvl>
    <w:lvl w:ilvl="3" w:tplc="AFB65808">
      <w:numFmt w:val="bullet"/>
      <w:lvlText w:val="•"/>
      <w:lvlJc w:val="left"/>
      <w:pPr>
        <w:ind w:left="717" w:hanging="217"/>
      </w:pPr>
      <w:rPr>
        <w:rFonts w:hint="default"/>
        <w:lang w:val="en-GB" w:eastAsia="en-GB" w:bidi="en-GB"/>
      </w:rPr>
    </w:lvl>
    <w:lvl w:ilvl="4" w:tplc="82DA6DC6">
      <w:numFmt w:val="bullet"/>
      <w:lvlText w:val="•"/>
      <w:lvlJc w:val="left"/>
      <w:pPr>
        <w:ind w:left="856" w:hanging="217"/>
      </w:pPr>
      <w:rPr>
        <w:rFonts w:hint="default"/>
        <w:lang w:val="en-GB" w:eastAsia="en-GB" w:bidi="en-GB"/>
      </w:rPr>
    </w:lvl>
    <w:lvl w:ilvl="5" w:tplc="BDD4F2F2">
      <w:numFmt w:val="bullet"/>
      <w:lvlText w:val="•"/>
      <w:lvlJc w:val="left"/>
      <w:pPr>
        <w:ind w:left="995" w:hanging="217"/>
      </w:pPr>
      <w:rPr>
        <w:rFonts w:hint="default"/>
        <w:lang w:val="en-GB" w:eastAsia="en-GB" w:bidi="en-GB"/>
      </w:rPr>
    </w:lvl>
    <w:lvl w:ilvl="6" w:tplc="D3982F2E">
      <w:numFmt w:val="bullet"/>
      <w:lvlText w:val="•"/>
      <w:lvlJc w:val="left"/>
      <w:pPr>
        <w:ind w:left="1134" w:hanging="217"/>
      </w:pPr>
      <w:rPr>
        <w:rFonts w:hint="default"/>
        <w:lang w:val="en-GB" w:eastAsia="en-GB" w:bidi="en-GB"/>
      </w:rPr>
    </w:lvl>
    <w:lvl w:ilvl="7" w:tplc="504E1C80">
      <w:numFmt w:val="bullet"/>
      <w:lvlText w:val="•"/>
      <w:lvlJc w:val="left"/>
      <w:pPr>
        <w:ind w:left="1273" w:hanging="217"/>
      </w:pPr>
      <w:rPr>
        <w:rFonts w:hint="default"/>
        <w:lang w:val="en-GB" w:eastAsia="en-GB" w:bidi="en-GB"/>
      </w:rPr>
    </w:lvl>
    <w:lvl w:ilvl="8" w:tplc="BF92B436">
      <w:numFmt w:val="bullet"/>
      <w:lvlText w:val="•"/>
      <w:lvlJc w:val="left"/>
      <w:pPr>
        <w:ind w:left="1412" w:hanging="217"/>
      </w:pPr>
      <w:rPr>
        <w:rFonts w:hint="default"/>
        <w:lang w:val="en-GB" w:eastAsia="en-GB" w:bidi="en-GB"/>
      </w:rPr>
    </w:lvl>
  </w:abstractNum>
  <w:abstractNum w:abstractNumId="351" w15:restartNumberingAfterBreak="0">
    <w:nsid w:val="200B712F"/>
    <w:multiLevelType w:val="hybridMultilevel"/>
    <w:tmpl w:val="E8768120"/>
    <w:lvl w:ilvl="0" w:tplc="12FE1E4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F0AE16C">
      <w:numFmt w:val="bullet"/>
      <w:lvlText w:val="•"/>
      <w:lvlJc w:val="left"/>
      <w:pPr>
        <w:ind w:left="473" w:hanging="217"/>
      </w:pPr>
      <w:rPr>
        <w:rFonts w:hint="default"/>
        <w:lang w:val="en-GB" w:eastAsia="en-GB" w:bidi="en-GB"/>
      </w:rPr>
    </w:lvl>
    <w:lvl w:ilvl="2" w:tplc="90605D16">
      <w:numFmt w:val="bullet"/>
      <w:lvlText w:val="•"/>
      <w:lvlJc w:val="left"/>
      <w:pPr>
        <w:ind w:left="646" w:hanging="217"/>
      </w:pPr>
      <w:rPr>
        <w:rFonts w:hint="default"/>
        <w:lang w:val="en-GB" w:eastAsia="en-GB" w:bidi="en-GB"/>
      </w:rPr>
    </w:lvl>
    <w:lvl w:ilvl="3" w:tplc="B33456E4">
      <w:numFmt w:val="bullet"/>
      <w:lvlText w:val="•"/>
      <w:lvlJc w:val="left"/>
      <w:pPr>
        <w:ind w:left="819" w:hanging="217"/>
      </w:pPr>
      <w:rPr>
        <w:rFonts w:hint="default"/>
        <w:lang w:val="en-GB" w:eastAsia="en-GB" w:bidi="en-GB"/>
      </w:rPr>
    </w:lvl>
    <w:lvl w:ilvl="4" w:tplc="B9BAB8A0">
      <w:numFmt w:val="bullet"/>
      <w:lvlText w:val="•"/>
      <w:lvlJc w:val="left"/>
      <w:pPr>
        <w:ind w:left="992" w:hanging="217"/>
      </w:pPr>
      <w:rPr>
        <w:rFonts w:hint="default"/>
        <w:lang w:val="en-GB" w:eastAsia="en-GB" w:bidi="en-GB"/>
      </w:rPr>
    </w:lvl>
    <w:lvl w:ilvl="5" w:tplc="4978DC0E">
      <w:numFmt w:val="bullet"/>
      <w:lvlText w:val="•"/>
      <w:lvlJc w:val="left"/>
      <w:pPr>
        <w:ind w:left="1165" w:hanging="217"/>
      </w:pPr>
      <w:rPr>
        <w:rFonts w:hint="default"/>
        <w:lang w:val="en-GB" w:eastAsia="en-GB" w:bidi="en-GB"/>
      </w:rPr>
    </w:lvl>
    <w:lvl w:ilvl="6" w:tplc="B6BCC370">
      <w:numFmt w:val="bullet"/>
      <w:lvlText w:val="•"/>
      <w:lvlJc w:val="left"/>
      <w:pPr>
        <w:ind w:left="1338" w:hanging="217"/>
      </w:pPr>
      <w:rPr>
        <w:rFonts w:hint="default"/>
        <w:lang w:val="en-GB" w:eastAsia="en-GB" w:bidi="en-GB"/>
      </w:rPr>
    </w:lvl>
    <w:lvl w:ilvl="7" w:tplc="4FC0DD24">
      <w:numFmt w:val="bullet"/>
      <w:lvlText w:val="•"/>
      <w:lvlJc w:val="left"/>
      <w:pPr>
        <w:ind w:left="1511" w:hanging="217"/>
      </w:pPr>
      <w:rPr>
        <w:rFonts w:hint="default"/>
        <w:lang w:val="en-GB" w:eastAsia="en-GB" w:bidi="en-GB"/>
      </w:rPr>
    </w:lvl>
    <w:lvl w:ilvl="8" w:tplc="3EFC9680">
      <w:numFmt w:val="bullet"/>
      <w:lvlText w:val="•"/>
      <w:lvlJc w:val="left"/>
      <w:pPr>
        <w:ind w:left="1684" w:hanging="217"/>
      </w:pPr>
      <w:rPr>
        <w:rFonts w:hint="default"/>
        <w:lang w:val="en-GB" w:eastAsia="en-GB" w:bidi="en-GB"/>
      </w:rPr>
    </w:lvl>
  </w:abstractNum>
  <w:abstractNum w:abstractNumId="352" w15:restartNumberingAfterBreak="0">
    <w:nsid w:val="205A471C"/>
    <w:multiLevelType w:val="hybridMultilevel"/>
    <w:tmpl w:val="8A08C526"/>
    <w:lvl w:ilvl="0" w:tplc="E77E7752">
      <w:numFmt w:val="bullet"/>
      <w:lvlText w:val="•"/>
      <w:lvlJc w:val="left"/>
      <w:pPr>
        <w:ind w:left="276" w:hanging="217"/>
      </w:pPr>
      <w:rPr>
        <w:rFonts w:ascii="Arial" w:eastAsia="Arial" w:hAnsi="Arial" w:cs="Arial" w:hint="default"/>
        <w:color w:val="231F20"/>
        <w:w w:val="97"/>
        <w:sz w:val="16"/>
        <w:szCs w:val="16"/>
        <w:lang w:val="en-GB" w:eastAsia="en-GB" w:bidi="en-GB"/>
      </w:rPr>
    </w:lvl>
    <w:lvl w:ilvl="1" w:tplc="26A6F5F6">
      <w:numFmt w:val="bullet"/>
      <w:lvlText w:val="•"/>
      <w:lvlJc w:val="left"/>
      <w:pPr>
        <w:ind w:left="381" w:hanging="217"/>
      </w:pPr>
      <w:rPr>
        <w:rFonts w:hint="default"/>
        <w:lang w:val="en-GB" w:eastAsia="en-GB" w:bidi="en-GB"/>
      </w:rPr>
    </w:lvl>
    <w:lvl w:ilvl="2" w:tplc="662289A8">
      <w:numFmt w:val="bullet"/>
      <w:lvlText w:val="•"/>
      <w:lvlJc w:val="left"/>
      <w:pPr>
        <w:ind w:left="482" w:hanging="217"/>
      </w:pPr>
      <w:rPr>
        <w:rFonts w:hint="default"/>
        <w:lang w:val="en-GB" w:eastAsia="en-GB" w:bidi="en-GB"/>
      </w:rPr>
    </w:lvl>
    <w:lvl w:ilvl="3" w:tplc="762AABF6">
      <w:numFmt w:val="bullet"/>
      <w:lvlText w:val="•"/>
      <w:lvlJc w:val="left"/>
      <w:pPr>
        <w:ind w:left="584" w:hanging="217"/>
      </w:pPr>
      <w:rPr>
        <w:rFonts w:hint="default"/>
        <w:lang w:val="en-GB" w:eastAsia="en-GB" w:bidi="en-GB"/>
      </w:rPr>
    </w:lvl>
    <w:lvl w:ilvl="4" w:tplc="80FA76C6">
      <w:numFmt w:val="bullet"/>
      <w:lvlText w:val="•"/>
      <w:lvlJc w:val="left"/>
      <w:pPr>
        <w:ind w:left="685" w:hanging="217"/>
      </w:pPr>
      <w:rPr>
        <w:rFonts w:hint="default"/>
        <w:lang w:val="en-GB" w:eastAsia="en-GB" w:bidi="en-GB"/>
      </w:rPr>
    </w:lvl>
    <w:lvl w:ilvl="5" w:tplc="EA30BC72">
      <w:numFmt w:val="bullet"/>
      <w:lvlText w:val="•"/>
      <w:lvlJc w:val="left"/>
      <w:pPr>
        <w:ind w:left="787" w:hanging="217"/>
      </w:pPr>
      <w:rPr>
        <w:rFonts w:hint="default"/>
        <w:lang w:val="en-GB" w:eastAsia="en-GB" w:bidi="en-GB"/>
      </w:rPr>
    </w:lvl>
    <w:lvl w:ilvl="6" w:tplc="EFE49C78">
      <w:numFmt w:val="bullet"/>
      <w:lvlText w:val="•"/>
      <w:lvlJc w:val="left"/>
      <w:pPr>
        <w:ind w:left="888" w:hanging="217"/>
      </w:pPr>
      <w:rPr>
        <w:rFonts w:hint="default"/>
        <w:lang w:val="en-GB" w:eastAsia="en-GB" w:bidi="en-GB"/>
      </w:rPr>
    </w:lvl>
    <w:lvl w:ilvl="7" w:tplc="41969650">
      <w:numFmt w:val="bullet"/>
      <w:lvlText w:val="•"/>
      <w:lvlJc w:val="left"/>
      <w:pPr>
        <w:ind w:left="989" w:hanging="217"/>
      </w:pPr>
      <w:rPr>
        <w:rFonts w:hint="default"/>
        <w:lang w:val="en-GB" w:eastAsia="en-GB" w:bidi="en-GB"/>
      </w:rPr>
    </w:lvl>
    <w:lvl w:ilvl="8" w:tplc="1CA2BC94">
      <w:numFmt w:val="bullet"/>
      <w:lvlText w:val="•"/>
      <w:lvlJc w:val="left"/>
      <w:pPr>
        <w:ind w:left="1091" w:hanging="217"/>
      </w:pPr>
      <w:rPr>
        <w:rFonts w:hint="default"/>
        <w:lang w:val="en-GB" w:eastAsia="en-GB" w:bidi="en-GB"/>
      </w:rPr>
    </w:lvl>
  </w:abstractNum>
  <w:abstractNum w:abstractNumId="353" w15:restartNumberingAfterBreak="0">
    <w:nsid w:val="20656CF3"/>
    <w:multiLevelType w:val="hybridMultilevel"/>
    <w:tmpl w:val="CC9C0AF4"/>
    <w:lvl w:ilvl="0" w:tplc="8DCC71FC">
      <w:numFmt w:val="bullet"/>
      <w:lvlText w:val="•"/>
      <w:lvlJc w:val="left"/>
      <w:pPr>
        <w:ind w:left="276" w:hanging="217"/>
      </w:pPr>
      <w:rPr>
        <w:rFonts w:ascii="Arial" w:eastAsia="Arial" w:hAnsi="Arial" w:cs="Arial" w:hint="default"/>
        <w:color w:val="231F20"/>
        <w:w w:val="97"/>
        <w:sz w:val="16"/>
        <w:szCs w:val="16"/>
        <w:lang w:val="en-GB" w:eastAsia="en-GB" w:bidi="en-GB"/>
      </w:rPr>
    </w:lvl>
    <w:lvl w:ilvl="1" w:tplc="6AC48044">
      <w:numFmt w:val="bullet"/>
      <w:lvlText w:val="•"/>
      <w:lvlJc w:val="left"/>
      <w:pPr>
        <w:ind w:left="381" w:hanging="217"/>
      </w:pPr>
      <w:rPr>
        <w:rFonts w:hint="default"/>
        <w:lang w:val="en-GB" w:eastAsia="en-GB" w:bidi="en-GB"/>
      </w:rPr>
    </w:lvl>
    <w:lvl w:ilvl="2" w:tplc="33441F58">
      <w:numFmt w:val="bullet"/>
      <w:lvlText w:val="•"/>
      <w:lvlJc w:val="left"/>
      <w:pPr>
        <w:ind w:left="482" w:hanging="217"/>
      </w:pPr>
      <w:rPr>
        <w:rFonts w:hint="default"/>
        <w:lang w:val="en-GB" w:eastAsia="en-GB" w:bidi="en-GB"/>
      </w:rPr>
    </w:lvl>
    <w:lvl w:ilvl="3" w:tplc="C0A4C6C4">
      <w:numFmt w:val="bullet"/>
      <w:lvlText w:val="•"/>
      <w:lvlJc w:val="left"/>
      <w:pPr>
        <w:ind w:left="584" w:hanging="217"/>
      </w:pPr>
      <w:rPr>
        <w:rFonts w:hint="default"/>
        <w:lang w:val="en-GB" w:eastAsia="en-GB" w:bidi="en-GB"/>
      </w:rPr>
    </w:lvl>
    <w:lvl w:ilvl="4" w:tplc="BF94493E">
      <w:numFmt w:val="bullet"/>
      <w:lvlText w:val="•"/>
      <w:lvlJc w:val="left"/>
      <w:pPr>
        <w:ind w:left="685" w:hanging="217"/>
      </w:pPr>
      <w:rPr>
        <w:rFonts w:hint="default"/>
        <w:lang w:val="en-GB" w:eastAsia="en-GB" w:bidi="en-GB"/>
      </w:rPr>
    </w:lvl>
    <w:lvl w:ilvl="5" w:tplc="659A37F4">
      <w:numFmt w:val="bullet"/>
      <w:lvlText w:val="•"/>
      <w:lvlJc w:val="left"/>
      <w:pPr>
        <w:ind w:left="787" w:hanging="217"/>
      </w:pPr>
      <w:rPr>
        <w:rFonts w:hint="default"/>
        <w:lang w:val="en-GB" w:eastAsia="en-GB" w:bidi="en-GB"/>
      </w:rPr>
    </w:lvl>
    <w:lvl w:ilvl="6" w:tplc="FC701F12">
      <w:numFmt w:val="bullet"/>
      <w:lvlText w:val="•"/>
      <w:lvlJc w:val="left"/>
      <w:pPr>
        <w:ind w:left="888" w:hanging="217"/>
      </w:pPr>
      <w:rPr>
        <w:rFonts w:hint="default"/>
        <w:lang w:val="en-GB" w:eastAsia="en-GB" w:bidi="en-GB"/>
      </w:rPr>
    </w:lvl>
    <w:lvl w:ilvl="7" w:tplc="784EB7C6">
      <w:numFmt w:val="bullet"/>
      <w:lvlText w:val="•"/>
      <w:lvlJc w:val="left"/>
      <w:pPr>
        <w:ind w:left="989" w:hanging="217"/>
      </w:pPr>
      <w:rPr>
        <w:rFonts w:hint="default"/>
        <w:lang w:val="en-GB" w:eastAsia="en-GB" w:bidi="en-GB"/>
      </w:rPr>
    </w:lvl>
    <w:lvl w:ilvl="8" w:tplc="A09C2140">
      <w:numFmt w:val="bullet"/>
      <w:lvlText w:val="•"/>
      <w:lvlJc w:val="left"/>
      <w:pPr>
        <w:ind w:left="1091" w:hanging="217"/>
      </w:pPr>
      <w:rPr>
        <w:rFonts w:hint="default"/>
        <w:lang w:val="en-GB" w:eastAsia="en-GB" w:bidi="en-GB"/>
      </w:rPr>
    </w:lvl>
  </w:abstractNum>
  <w:abstractNum w:abstractNumId="354" w15:restartNumberingAfterBreak="0">
    <w:nsid w:val="2067398D"/>
    <w:multiLevelType w:val="hybridMultilevel"/>
    <w:tmpl w:val="2FBEF68A"/>
    <w:lvl w:ilvl="0" w:tplc="D1FE9734">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2EAA77E2">
      <w:numFmt w:val="bullet"/>
      <w:lvlText w:val="•"/>
      <w:lvlJc w:val="left"/>
      <w:pPr>
        <w:ind w:left="473" w:hanging="217"/>
      </w:pPr>
      <w:rPr>
        <w:rFonts w:hint="default"/>
        <w:lang w:val="en-GB" w:eastAsia="en-GB" w:bidi="en-GB"/>
      </w:rPr>
    </w:lvl>
    <w:lvl w:ilvl="2" w:tplc="7D3A865A">
      <w:numFmt w:val="bullet"/>
      <w:lvlText w:val="•"/>
      <w:lvlJc w:val="left"/>
      <w:pPr>
        <w:ind w:left="646" w:hanging="217"/>
      </w:pPr>
      <w:rPr>
        <w:rFonts w:hint="default"/>
        <w:lang w:val="en-GB" w:eastAsia="en-GB" w:bidi="en-GB"/>
      </w:rPr>
    </w:lvl>
    <w:lvl w:ilvl="3" w:tplc="BB5C6548">
      <w:numFmt w:val="bullet"/>
      <w:lvlText w:val="•"/>
      <w:lvlJc w:val="left"/>
      <w:pPr>
        <w:ind w:left="819" w:hanging="217"/>
      </w:pPr>
      <w:rPr>
        <w:rFonts w:hint="default"/>
        <w:lang w:val="en-GB" w:eastAsia="en-GB" w:bidi="en-GB"/>
      </w:rPr>
    </w:lvl>
    <w:lvl w:ilvl="4" w:tplc="DDA4734E">
      <w:numFmt w:val="bullet"/>
      <w:lvlText w:val="•"/>
      <w:lvlJc w:val="left"/>
      <w:pPr>
        <w:ind w:left="992" w:hanging="217"/>
      </w:pPr>
      <w:rPr>
        <w:rFonts w:hint="default"/>
        <w:lang w:val="en-GB" w:eastAsia="en-GB" w:bidi="en-GB"/>
      </w:rPr>
    </w:lvl>
    <w:lvl w:ilvl="5" w:tplc="0854EAF4">
      <w:numFmt w:val="bullet"/>
      <w:lvlText w:val="•"/>
      <w:lvlJc w:val="left"/>
      <w:pPr>
        <w:ind w:left="1165" w:hanging="217"/>
      </w:pPr>
      <w:rPr>
        <w:rFonts w:hint="default"/>
        <w:lang w:val="en-GB" w:eastAsia="en-GB" w:bidi="en-GB"/>
      </w:rPr>
    </w:lvl>
    <w:lvl w:ilvl="6" w:tplc="5B58932E">
      <w:numFmt w:val="bullet"/>
      <w:lvlText w:val="•"/>
      <w:lvlJc w:val="left"/>
      <w:pPr>
        <w:ind w:left="1338" w:hanging="217"/>
      </w:pPr>
      <w:rPr>
        <w:rFonts w:hint="default"/>
        <w:lang w:val="en-GB" w:eastAsia="en-GB" w:bidi="en-GB"/>
      </w:rPr>
    </w:lvl>
    <w:lvl w:ilvl="7" w:tplc="D8C6DA30">
      <w:numFmt w:val="bullet"/>
      <w:lvlText w:val="•"/>
      <w:lvlJc w:val="left"/>
      <w:pPr>
        <w:ind w:left="1511" w:hanging="217"/>
      </w:pPr>
      <w:rPr>
        <w:rFonts w:hint="default"/>
        <w:lang w:val="en-GB" w:eastAsia="en-GB" w:bidi="en-GB"/>
      </w:rPr>
    </w:lvl>
    <w:lvl w:ilvl="8" w:tplc="FD569368">
      <w:numFmt w:val="bullet"/>
      <w:lvlText w:val="•"/>
      <w:lvlJc w:val="left"/>
      <w:pPr>
        <w:ind w:left="1684" w:hanging="217"/>
      </w:pPr>
      <w:rPr>
        <w:rFonts w:hint="default"/>
        <w:lang w:val="en-GB" w:eastAsia="en-GB" w:bidi="en-GB"/>
      </w:rPr>
    </w:lvl>
  </w:abstractNum>
  <w:abstractNum w:abstractNumId="355" w15:restartNumberingAfterBreak="0">
    <w:nsid w:val="20702FA5"/>
    <w:multiLevelType w:val="hybridMultilevel"/>
    <w:tmpl w:val="02F49FBA"/>
    <w:lvl w:ilvl="0" w:tplc="13ECBC9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DCEA326">
      <w:numFmt w:val="bullet"/>
      <w:lvlText w:val="•"/>
      <w:lvlJc w:val="left"/>
      <w:pPr>
        <w:ind w:left="473" w:hanging="217"/>
      </w:pPr>
      <w:rPr>
        <w:rFonts w:hint="default"/>
        <w:lang w:val="en-GB" w:eastAsia="en-GB" w:bidi="en-GB"/>
      </w:rPr>
    </w:lvl>
    <w:lvl w:ilvl="2" w:tplc="850CAA78">
      <w:numFmt w:val="bullet"/>
      <w:lvlText w:val="•"/>
      <w:lvlJc w:val="left"/>
      <w:pPr>
        <w:ind w:left="646" w:hanging="217"/>
      </w:pPr>
      <w:rPr>
        <w:rFonts w:hint="default"/>
        <w:lang w:val="en-GB" w:eastAsia="en-GB" w:bidi="en-GB"/>
      </w:rPr>
    </w:lvl>
    <w:lvl w:ilvl="3" w:tplc="36443AEC">
      <w:numFmt w:val="bullet"/>
      <w:lvlText w:val="•"/>
      <w:lvlJc w:val="left"/>
      <w:pPr>
        <w:ind w:left="819" w:hanging="217"/>
      </w:pPr>
      <w:rPr>
        <w:rFonts w:hint="default"/>
        <w:lang w:val="en-GB" w:eastAsia="en-GB" w:bidi="en-GB"/>
      </w:rPr>
    </w:lvl>
    <w:lvl w:ilvl="4" w:tplc="E44E063C">
      <w:numFmt w:val="bullet"/>
      <w:lvlText w:val="•"/>
      <w:lvlJc w:val="left"/>
      <w:pPr>
        <w:ind w:left="992" w:hanging="217"/>
      </w:pPr>
      <w:rPr>
        <w:rFonts w:hint="default"/>
        <w:lang w:val="en-GB" w:eastAsia="en-GB" w:bidi="en-GB"/>
      </w:rPr>
    </w:lvl>
    <w:lvl w:ilvl="5" w:tplc="7318EBB6">
      <w:numFmt w:val="bullet"/>
      <w:lvlText w:val="•"/>
      <w:lvlJc w:val="left"/>
      <w:pPr>
        <w:ind w:left="1165" w:hanging="217"/>
      </w:pPr>
      <w:rPr>
        <w:rFonts w:hint="default"/>
        <w:lang w:val="en-GB" w:eastAsia="en-GB" w:bidi="en-GB"/>
      </w:rPr>
    </w:lvl>
    <w:lvl w:ilvl="6" w:tplc="629EB260">
      <w:numFmt w:val="bullet"/>
      <w:lvlText w:val="•"/>
      <w:lvlJc w:val="left"/>
      <w:pPr>
        <w:ind w:left="1338" w:hanging="217"/>
      </w:pPr>
      <w:rPr>
        <w:rFonts w:hint="default"/>
        <w:lang w:val="en-GB" w:eastAsia="en-GB" w:bidi="en-GB"/>
      </w:rPr>
    </w:lvl>
    <w:lvl w:ilvl="7" w:tplc="BBB0C718">
      <w:numFmt w:val="bullet"/>
      <w:lvlText w:val="•"/>
      <w:lvlJc w:val="left"/>
      <w:pPr>
        <w:ind w:left="1511" w:hanging="217"/>
      </w:pPr>
      <w:rPr>
        <w:rFonts w:hint="default"/>
        <w:lang w:val="en-GB" w:eastAsia="en-GB" w:bidi="en-GB"/>
      </w:rPr>
    </w:lvl>
    <w:lvl w:ilvl="8" w:tplc="5EBA8A18">
      <w:numFmt w:val="bullet"/>
      <w:lvlText w:val="•"/>
      <w:lvlJc w:val="left"/>
      <w:pPr>
        <w:ind w:left="1684" w:hanging="217"/>
      </w:pPr>
      <w:rPr>
        <w:rFonts w:hint="default"/>
        <w:lang w:val="en-GB" w:eastAsia="en-GB" w:bidi="en-GB"/>
      </w:rPr>
    </w:lvl>
  </w:abstractNum>
  <w:abstractNum w:abstractNumId="356" w15:restartNumberingAfterBreak="0">
    <w:nsid w:val="208B19AF"/>
    <w:multiLevelType w:val="hybridMultilevel"/>
    <w:tmpl w:val="1394812C"/>
    <w:lvl w:ilvl="0" w:tplc="DE8AEED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C48537E">
      <w:numFmt w:val="bullet"/>
      <w:lvlText w:val="•"/>
      <w:lvlJc w:val="left"/>
      <w:pPr>
        <w:ind w:left="892" w:hanging="217"/>
      </w:pPr>
      <w:rPr>
        <w:rFonts w:hint="default"/>
        <w:lang w:val="en-GB" w:eastAsia="en-GB" w:bidi="en-GB"/>
      </w:rPr>
    </w:lvl>
    <w:lvl w:ilvl="2" w:tplc="9D901532">
      <w:numFmt w:val="bullet"/>
      <w:lvlText w:val="•"/>
      <w:lvlJc w:val="left"/>
      <w:pPr>
        <w:ind w:left="1485" w:hanging="217"/>
      </w:pPr>
      <w:rPr>
        <w:rFonts w:hint="default"/>
        <w:lang w:val="en-GB" w:eastAsia="en-GB" w:bidi="en-GB"/>
      </w:rPr>
    </w:lvl>
    <w:lvl w:ilvl="3" w:tplc="8A904EDC">
      <w:numFmt w:val="bullet"/>
      <w:lvlText w:val="•"/>
      <w:lvlJc w:val="left"/>
      <w:pPr>
        <w:ind w:left="2077" w:hanging="217"/>
      </w:pPr>
      <w:rPr>
        <w:rFonts w:hint="default"/>
        <w:lang w:val="en-GB" w:eastAsia="en-GB" w:bidi="en-GB"/>
      </w:rPr>
    </w:lvl>
    <w:lvl w:ilvl="4" w:tplc="D348F8CA">
      <w:numFmt w:val="bullet"/>
      <w:lvlText w:val="•"/>
      <w:lvlJc w:val="left"/>
      <w:pPr>
        <w:ind w:left="2670" w:hanging="217"/>
      </w:pPr>
      <w:rPr>
        <w:rFonts w:hint="default"/>
        <w:lang w:val="en-GB" w:eastAsia="en-GB" w:bidi="en-GB"/>
      </w:rPr>
    </w:lvl>
    <w:lvl w:ilvl="5" w:tplc="14764D5A">
      <w:numFmt w:val="bullet"/>
      <w:lvlText w:val="•"/>
      <w:lvlJc w:val="left"/>
      <w:pPr>
        <w:ind w:left="3263" w:hanging="217"/>
      </w:pPr>
      <w:rPr>
        <w:rFonts w:hint="default"/>
        <w:lang w:val="en-GB" w:eastAsia="en-GB" w:bidi="en-GB"/>
      </w:rPr>
    </w:lvl>
    <w:lvl w:ilvl="6" w:tplc="08D40E12">
      <w:numFmt w:val="bullet"/>
      <w:lvlText w:val="•"/>
      <w:lvlJc w:val="left"/>
      <w:pPr>
        <w:ind w:left="3855" w:hanging="217"/>
      </w:pPr>
      <w:rPr>
        <w:rFonts w:hint="default"/>
        <w:lang w:val="en-GB" w:eastAsia="en-GB" w:bidi="en-GB"/>
      </w:rPr>
    </w:lvl>
    <w:lvl w:ilvl="7" w:tplc="07CC83E4">
      <w:numFmt w:val="bullet"/>
      <w:lvlText w:val="•"/>
      <w:lvlJc w:val="left"/>
      <w:pPr>
        <w:ind w:left="4448" w:hanging="217"/>
      </w:pPr>
      <w:rPr>
        <w:rFonts w:hint="default"/>
        <w:lang w:val="en-GB" w:eastAsia="en-GB" w:bidi="en-GB"/>
      </w:rPr>
    </w:lvl>
    <w:lvl w:ilvl="8" w:tplc="46A80426">
      <w:numFmt w:val="bullet"/>
      <w:lvlText w:val="•"/>
      <w:lvlJc w:val="left"/>
      <w:pPr>
        <w:ind w:left="5040" w:hanging="217"/>
      </w:pPr>
      <w:rPr>
        <w:rFonts w:hint="default"/>
        <w:lang w:val="en-GB" w:eastAsia="en-GB" w:bidi="en-GB"/>
      </w:rPr>
    </w:lvl>
  </w:abstractNum>
  <w:abstractNum w:abstractNumId="357" w15:restartNumberingAfterBreak="0">
    <w:nsid w:val="20A75491"/>
    <w:multiLevelType w:val="hybridMultilevel"/>
    <w:tmpl w:val="FCCA56F0"/>
    <w:lvl w:ilvl="0" w:tplc="942264B0">
      <w:numFmt w:val="bullet"/>
      <w:lvlText w:val="•"/>
      <w:lvlJc w:val="left"/>
      <w:pPr>
        <w:ind w:left="304" w:hanging="217"/>
      </w:pPr>
      <w:rPr>
        <w:rFonts w:ascii="Arial" w:eastAsia="Arial" w:hAnsi="Arial" w:cs="Arial" w:hint="default"/>
        <w:color w:val="231F20"/>
        <w:spacing w:val="-5"/>
        <w:w w:val="100"/>
        <w:sz w:val="18"/>
        <w:szCs w:val="18"/>
        <w:lang w:val="en-GB" w:eastAsia="en-GB" w:bidi="en-GB"/>
      </w:rPr>
    </w:lvl>
    <w:lvl w:ilvl="1" w:tplc="111E1DFE">
      <w:numFmt w:val="bullet"/>
      <w:lvlText w:val="•"/>
      <w:lvlJc w:val="left"/>
      <w:pPr>
        <w:ind w:left="473" w:hanging="217"/>
      </w:pPr>
      <w:rPr>
        <w:rFonts w:hint="default"/>
        <w:lang w:val="en-GB" w:eastAsia="en-GB" w:bidi="en-GB"/>
      </w:rPr>
    </w:lvl>
    <w:lvl w:ilvl="2" w:tplc="0F688258">
      <w:numFmt w:val="bullet"/>
      <w:lvlText w:val="•"/>
      <w:lvlJc w:val="left"/>
      <w:pPr>
        <w:ind w:left="646" w:hanging="217"/>
      </w:pPr>
      <w:rPr>
        <w:rFonts w:hint="default"/>
        <w:lang w:val="en-GB" w:eastAsia="en-GB" w:bidi="en-GB"/>
      </w:rPr>
    </w:lvl>
    <w:lvl w:ilvl="3" w:tplc="CD26ADF0">
      <w:numFmt w:val="bullet"/>
      <w:lvlText w:val="•"/>
      <w:lvlJc w:val="left"/>
      <w:pPr>
        <w:ind w:left="819" w:hanging="217"/>
      </w:pPr>
      <w:rPr>
        <w:rFonts w:hint="default"/>
        <w:lang w:val="en-GB" w:eastAsia="en-GB" w:bidi="en-GB"/>
      </w:rPr>
    </w:lvl>
    <w:lvl w:ilvl="4" w:tplc="70B09518">
      <w:numFmt w:val="bullet"/>
      <w:lvlText w:val="•"/>
      <w:lvlJc w:val="left"/>
      <w:pPr>
        <w:ind w:left="992" w:hanging="217"/>
      </w:pPr>
      <w:rPr>
        <w:rFonts w:hint="default"/>
        <w:lang w:val="en-GB" w:eastAsia="en-GB" w:bidi="en-GB"/>
      </w:rPr>
    </w:lvl>
    <w:lvl w:ilvl="5" w:tplc="29AE6EBA">
      <w:numFmt w:val="bullet"/>
      <w:lvlText w:val="•"/>
      <w:lvlJc w:val="left"/>
      <w:pPr>
        <w:ind w:left="1165" w:hanging="217"/>
      </w:pPr>
      <w:rPr>
        <w:rFonts w:hint="default"/>
        <w:lang w:val="en-GB" w:eastAsia="en-GB" w:bidi="en-GB"/>
      </w:rPr>
    </w:lvl>
    <w:lvl w:ilvl="6" w:tplc="2D9E6DD0">
      <w:numFmt w:val="bullet"/>
      <w:lvlText w:val="•"/>
      <w:lvlJc w:val="left"/>
      <w:pPr>
        <w:ind w:left="1338" w:hanging="217"/>
      </w:pPr>
      <w:rPr>
        <w:rFonts w:hint="default"/>
        <w:lang w:val="en-GB" w:eastAsia="en-GB" w:bidi="en-GB"/>
      </w:rPr>
    </w:lvl>
    <w:lvl w:ilvl="7" w:tplc="38547A66">
      <w:numFmt w:val="bullet"/>
      <w:lvlText w:val="•"/>
      <w:lvlJc w:val="left"/>
      <w:pPr>
        <w:ind w:left="1511" w:hanging="217"/>
      </w:pPr>
      <w:rPr>
        <w:rFonts w:hint="default"/>
        <w:lang w:val="en-GB" w:eastAsia="en-GB" w:bidi="en-GB"/>
      </w:rPr>
    </w:lvl>
    <w:lvl w:ilvl="8" w:tplc="165C3740">
      <w:numFmt w:val="bullet"/>
      <w:lvlText w:val="•"/>
      <w:lvlJc w:val="left"/>
      <w:pPr>
        <w:ind w:left="1684" w:hanging="217"/>
      </w:pPr>
      <w:rPr>
        <w:rFonts w:hint="default"/>
        <w:lang w:val="en-GB" w:eastAsia="en-GB" w:bidi="en-GB"/>
      </w:rPr>
    </w:lvl>
  </w:abstractNum>
  <w:abstractNum w:abstractNumId="358" w15:restartNumberingAfterBreak="0">
    <w:nsid w:val="20B62F88"/>
    <w:multiLevelType w:val="hybridMultilevel"/>
    <w:tmpl w:val="3BA22F56"/>
    <w:lvl w:ilvl="0" w:tplc="630EA02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A1E19CE">
      <w:numFmt w:val="bullet"/>
      <w:lvlText w:val="•"/>
      <w:lvlJc w:val="left"/>
      <w:pPr>
        <w:ind w:left="467" w:hanging="217"/>
      </w:pPr>
      <w:rPr>
        <w:rFonts w:hint="default"/>
        <w:lang w:val="en-GB" w:eastAsia="en-GB" w:bidi="en-GB"/>
      </w:rPr>
    </w:lvl>
    <w:lvl w:ilvl="2" w:tplc="424A723C">
      <w:numFmt w:val="bullet"/>
      <w:lvlText w:val="•"/>
      <w:lvlJc w:val="left"/>
      <w:pPr>
        <w:ind w:left="634" w:hanging="217"/>
      </w:pPr>
      <w:rPr>
        <w:rFonts w:hint="default"/>
        <w:lang w:val="en-GB" w:eastAsia="en-GB" w:bidi="en-GB"/>
      </w:rPr>
    </w:lvl>
    <w:lvl w:ilvl="3" w:tplc="04802112">
      <w:numFmt w:val="bullet"/>
      <w:lvlText w:val="•"/>
      <w:lvlJc w:val="left"/>
      <w:pPr>
        <w:ind w:left="802" w:hanging="217"/>
      </w:pPr>
      <w:rPr>
        <w:rFonts w:hint="default"/>
        <w:lang w:val="en-GB" w:eastAsia="en-GB" w:bidi="en-GB"/>
      </w:rPr>
    </w:lvl>
    <w:lvl w:ilvl="4" w:tplc="27B4710E">
      <w:numFmt w:val="bullet"/>
      <w:lvlText w:val="•"/>
      <w:lvlJc w:val="left"/>
      <w:pPr>
        <w:ind w:left="969" w:hanging="217"/>
      </w:pPr>
      <w:rPr>
        <w:rFonts w:hint="default"/>
        <w:lang w:val="en-GB" w:eastAsia="en-GB" w:bidi="en-GB"/>
      </w:rPr>
    </w:lvl>
    <w:lvl w:ilvl="5" w:tplc="C032EC36">
      <w:numFmt w:val="bullet"/>
      <w:lvlText w:val="•"/>
      <w:lvlJc w:val="left"/>
      <w:pPr>
        <w:ind w:left="1137" w:hanging="217"/>
      </w:pPr>
      <w:rPr>
        <w:rFonts w:hint="default"/>
        <w:lang w:val="en-GB" w:eastAsia="en-GB" w:bidi="en-GB"/>
      </w:rPr>
    </w:lvl>
    <w:lvl w:ilvl="6" w:tplc="78D85560">
      <w:numFmt w:val="bullet"/>
      <w:lvlText w:val="•"/>
      <w:lvlJc w:val="left"/>
      <w:pPr>
        <w:ind w:left="1304" w:hanging="217"/>
      </w:pPr>
      <w:rPr>
        <w:rFonts w:hint="default"/>
        <w:lang w:val="en-GB" w:eastAsia="en-GB" w:bidi="en-GB"/>
      </w:rPr>
    </w:lvl>
    <w:lvl w:ilvl="7" w:tplc="BE14AB28">
      <w:numFmt w:val="bullet"/>
      <w:lvlText w:val="•"/>
      <w:lvlJc w:val="left"/>
      <w:pPr>
        <w:ind w:left="1471" w:hanging="217"/>
      </w:pPr>
      <w:rPr>
        <w:rFonts w:hint="default"/>
        <w:lang w:val="en-GB" w:eastAsia="en-GB" w:bidi="en-GB"/>
      </w:rPr>
    </w:lvl>
    <w:lvl w:ilvl="8" w:tplc="C48CA2C6">
      <w:numFmt w:val="bullet"/>
      <w:lvlText w:val="•"/>
      <w:lvlJc w:val="left"/>
      <w:pPr>
        <w:ind w:left="1639" w:hanging="217"/>
      </w:pPr>
      <w:rPr>
        <w:rFonts w:hint="default"/>
        <w:lang w:val="en-GB" w:eastAsia="en-GB" w:bidi="en-GB"/>
      </w:rPr>
    </w:lvl>
  </w:abstractNum>
  <w:abstractNum w:abstractNumId="359" w15:restartNumberingAfterBreak="0">
    <w:nsid w:val="20E34DD2"/>
    <w:multiLevelType w:val="hybridMultilevel"/>
    <w:tmpl w:val="6BDC3EA4"/>
    <w:lvl w:ilvl="0" w:tplc="9884A39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96C26F2">
      <w:numFmt w:val="bullet"/>
      <w:lvlText w:val="•"/>
      <w:lvlJc w:val="left"/>
      <w:pPr>
        <w:ind w:left="439" w:hanging="217"/>
      </w:pPr>
      <w:rPr>
        <w:rFonts w:hint="default"/>
        <w:lang w:val="en-GB" w:eastAsia="en-GB" w:bidi="en-GB"/>
      </w:rPr>
    </w:lvl>
    <w:lvl w:ilvl="2" w:tplc="65107AEA">
      <w:numFmt w:val="bullet"/>
      <w:lvlText w:val="•"/>
      <w:lvlJc w:val="left"/>
      <w:pPr>
        <w:ind w:left="578" w:hanging="217"/>
      </w:pPr>
      <w:rPr>
        <w:rFonts w:hint="default"/>
        <w:lang w:val="en-GB" w:eastAsia="en-GB" w:bidi="en-GB"/>
      </w:rPr>
    </w:lvl>
    <w:lvl w:ilvl="3" w:tplc="C5689CA0">
      <w:numFmt w:val="bullet"/>
      <w:lvlText w:val="•"/>
      <w:lvlJc w:val="left"/>
      <w:pPr>
        <w:ind w:left="717" w:hanging="217"/>
      </w:pPr>
      <w:rPr>
        <w:rFonts w:hint="default"/>
        <w:lang w:val="en-GB" w:eastAsia="en-GB" w:bidi="en-GB"/>
      </w:rPr>
    </w:lvl>
    <w:lvl w:ilvl="4" w:tplc="187CA878">
      <w:numFmt w:val="bullet"/>
      <w:lvlText w:val="•"/>
      <w:lvlJc w:val="left"/>
      <w:pPr>
        <w:ind w:left="856" w:hanging="217"/>
      </w:pPr>
      <w:rPr>
        <w:rFonts w:hint="default"/>
        <w:lang w:val="en-GB" w:eastAsia="en-GB" w:bidi="en-GB"/>
      </w:rPr>
    </w:lvl>
    <w:lvl w:ilvl="5" w:tplc="80607E1A">
      <w:numFmt w:val="bullet"/>
      <w:lvlText w:val="•"/>
      <w:lvlJc w:val="left"/>
      <w:pPr>
        <w:ind w:left="995" w:hanging="217"/>
      </w:pPr>
      <w:rPr>
        <w:rFonts w:hint="default"/>
        <w:lang w:val="en-GB" w:eastAsia="en-GB" w:bidi="en-GB"/>
      </w:rPr>
    </w:lvl>
    <w:lvl w:ilvl="6" w:tplc="1BBAEFD8">
      <w:numFmt w:val="bullet"/>
      <w:lvlText w:val="•"/>
      <w:lvlJc w:val="left"/>
      <w:pPr>
        <w:ind w:left="1134" w:hanging="217"/>
      </w:pPr>
      <w:rPr>
        <w:rFonts w:hint="default"/>
        <w:lang w:val="en-GB" w:eastAsia="en-GB" w:bidi="en-GB"/>
      </w:rPr>
    </w:lvl>
    <w:lvl w:ilvl="7" w:tplc="BDD2C0D0">
      <w:numFmt w:val="bullet"/>
      <w:lvlText w:val="•"/>
      <w:lvlJc w:val="left"/>
      <w:pPr>
        <w:ind w:left="1273" w:hanging="217"/>
      </w:pPr>
      <w:rPr>
        <w:rFonts w:hint="default"/>
        <w:lang w:val="en-GB" w:eastAsia="en-GB" w:bidi="en-GB"/>
      </w:rPr>
    </w:lvl>
    <w:lvl w:ilvl="8" w:tplc="81CE5AFA">
      <w:numFmt w:val="bullet"/>
      <w:lvlText w:val="•"/>
      <w:lvlJc w:val="left"/>
      <w:pPr>
        <w:ind w:left="1412" w:hanging="217"/>
      </w:pPr>
      <w:rPr>
        <w:rFonts w:hint="default"/>
        <w:lang w:val="en-GB" w:eastAsia="en-GB" w:bidi="en-GB"/>
      </w:rPr>
    </w:lvl>
  </w:abstractNum>
  <w:abstractNum w:abstractNumId="360" w15:restartNumberingAfterBreak="0">
    <w:nsid w:val="20FA4AFD"/>
    <w:multiLevelType w:val="hybridMultilevel"/>
    <w:tmpl w:val="FBCC81C0"/>
    <w:lvl w:ilvl="0" w:tplc="21DEC610">
      <w:numFmt w:val="bullet"/>
      <w:lvlText w:val="•"/>
      <w:lvlJc w:val="left"/>
      <w:pPr>
        <w:ind w:left="305" w:hanging="217"/>
      </w:pPr>
      <w:rPr>
        <w:rFonts w:ascii="Arial" w:eastAsia="Arial" w:hAnsi="Arial" w:cs="Arial" w:hint="default"/>
        <w:color w:val="231F20"/>
        <w:w w:val="102"/>
        <w:sz w:val="17"/>
        <w:szCs w:val="17"/>
        <w:lang w:val="en-GB" w:eastAsia="en-GB" w:bidi="en-GB"/>
      </w:rPr>
    </w:lvl>
    <w:lvl w:ilvl="1" w:tplc="0C3E23E4">
      <w:numFmt w:val="bullet"/>
      <w:lvlText w:val="•"/>
      <w:lvlJc w:val="left"/>
      <w:pPr>
        <w:ind w:left="892" w:hanging="217"/>
      </w:pPr>
      <w:rPr>
        <w:rFonts w:hint="default"/>
        <w:lang w:val="en-GB" w:eastAsia="en-GB" w:bidi="en-GB"/>
      </w:rPr>
    </w:lvl>
    <w:lvl w:ilvl="2" w:tplc="4E129DD0">
      <w:numFmt w:val="bullet"/>
      <w:lvlText w:val="•"/>
      <w:lvlJc w:val="left"/>
      <w:pPr>
        <w:ind w:left="1485" w:hanging="217"/>
      </w:pPr>
      <w:rPr>
        <w:rFonts w:hint="default"/>
        <w:lang w:val="en-GB" w:eastAsia="en-GB" w:bidi="en-GB"/>
      </w:rPr>
    </w:lvl>
    <w:lvl w:ilvl="3" w:tplc="A9E671D0">
      <w:numFmt w:val="bullet"/>
      <w:lvlText w:val="•"/>
      <w:lvlJc w:val="left"/>
      <w:pPr>
        <w:ind w:left="2077" w:hanging="217"/>
      </w:pPr>
      <w:rPr>
        <w:rFonts w:hint="default"/>
        <w:lang w:val="en-GB" w:eastAsia="en-GB" w:bidi="en-GB"/>
      </w:rPr>
    </w:lvl>
    <w:lvl w:ilvl="4" w:tplc="9642E2CE">
      <w:numFmt w:val="bullet"/>
      <w:lvlText w:val="•"/>
      <w:lvlJc w:val="left"/>
      <w:pPr>
        <w:ind w:left="2670" w:hanging="217"/>
      </w:pPr>
      <w:rPr>
        <w:rFonts w:hint="default"/>
        <w:lang w:val="en-GB" w:eastAsia="en-GB" w:bidi="en-GB"/>
      </w:rPr>
    </w:lvl>
    <w:lvl w:ilvl="5" w:tplc="A8B838BE">
      <w:numFmt w:val="bullet"/>
      <w:lvlText w:val="•"/>
      <w:lvlJc w:val="left"/>
      <w:pPr>
        <w:ind w:left="3263" w:hanging="217"/>
      </w:pPr>
      <w:rPr>
        <w:rFonts w:hint="default"/>
        <w:lang w:val="en-GB" w:eastAsia="en-GB" w:bidi="en-GB"/>
      </w:rPr>
    </w:lvl>
    <w:lvl w:ilvl="6" w:tplc="64301742">
      <w:numFmt w:val="bullet"/>
      <w:lvlText w:val="•"/>
      <w:lvlJc w:val="left"/>
      <w:pPr>
        <w:ind w:left="3855" w:hanging="217"/>
      </w:pPr>
      <w:rPr>
        <w:rFonts w:hint="default"/>
        <w:lang w:val="en-GB" w:eastAsia="en-GB" w:bidi="en-GB"/>
      </w:rPr>
    </w:lvl>
    <w:lvl w:ilvl="7" w:tplc="9156031C">
      <w:numFmt w:val="bullet"/>
      <w:lvlText w:val="•"/>
      <w:lvlJc w:val="left"/>
      <w:pPr>
        <w:ind w:left="4448" w:hanging="217"/>
      </w:pPr>
      <w:rPr>
        <w:rFonts w:hint="default"/>
        <w:lang w:val="en-GB" w:eastAsia="en-GB" w:bidi="en-GB"/>
      </w:rPr>
    </w:lvl>
    <w:lvl w:ilvl="8" w:tplc="C7D48E28">
      <w:numFmt w:val="bullet"/>
      <w:lvlText w:val="•"/>
      <w:lvlJc w:val="left"/>
      <w:pPr>
        <w:ind w:left="5040" w:hanging="217"/>
      </w:pPr>
      <w:rPr>
        <w:rFonts w:hint="default"/>
        <w:lang w:val="en-GB" w:eastAsia="en-GB" w:bidi="en-GB"/>
      </w:rPr>
    </w:lvl>
  </w:abstractNum>
  <w:abstractNum w:abstractNumId="361" w15:restartNumberingAfterBreak="0">
    <w:nsid w:val="21027B6A"/>
    <w:multiLevelType w:val="hybridMultilevel"/>
    <w:tmpl w:val="DAA20000"/>
    <w:lvl w:ilvl="0" w:tplc="5218BFC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AD0E1CC">
      <w:numFmt w:val="bullet"/>
      <w:lvlText w:val="•"/>
      <w:lvlJc w:val="left"/>
      <w:pPr>
        <w:ind w:left="473" w:hanging="217"/>
      </w:pPr>
      <w:rPr>
        <w:rFonts w:hint="default"/>
        <w:lang w:val="en-GB" w:eastAsia="en-GB" w:bidi="en-GB"/>
      </w:rPr>
    </w:lvl>
    <w:lvl w:ilvl="2" w:tplc="F7947148">
      <w:numFmt w:val="bullet"/>
      <w:lvlText w:val="•"/>
      <w:lvlJc w:val="left"/>
      <w:pPr>
        <w:ind w:left="646" w:hanging="217"/>
      </w:pPr>
      <w:rPr>
        <w:rFonts w:hint="default"/>
        <w:lang w:val="en-GB" w:eastAsia="en-GB" w:bidi="en-GB"/>
      </w:rPr>
    </w:lvl>
    <w:lvl w:ilvl="3" w:tplc="535A276A">
      <w:numFmt w:val="bullet"/>
      <w:lvlText w:val="•"/>
      <w:lvlJc w:val="left"/>
      <w:pPr>
        <w:ind w:left="819" w:hanging="217"/>
      </w:pPr>
      <w:rPr>
        <w:rFonts w:hint="default"/>
        <w:lang w:val="en-GB" w:eastAsia="en-GB" w:bidi="en-GB"/>
      </w:rPr>
    </w:lvl>
    <w:lvl w:ilvl="4" w:tplc="55C614CA">
      <w:numFmt w:val="bullet"/>
      <w:lvlText w:val="•"/>
      <w:lvlJc w:val="left"/>
      <w:pPr>
        <w:ind w:left="992" w:hanging="217"/>
      </w:pPr>
      <w:rPr>
        <w:rFonts w:hint="default"/>
        <w:lang w:val="en-GB" w:eastAsia="en-GB" w:bidi="en-GB"/>
      </w:rPr>
    </w:lvl>
    <w:lvl w:ilvl="5" w:tplc="EC52AA38">
      <w:numFmt w:val="bullet"/>
      <w:lvlText w:val="•"/>
      <w:lvlJc w:val="left"/>
      <w:pPr>
        <w:ind w:left="1165" w:hanging="217"/>
      </w:pPr>
      <w:rPr>
        <w:rFonts w:hint="default"/>
        <w:lang w:val="en-GB" w:eastAsia="en-GB" w:bidi="en-GB"/>
      </w:rPr>
    </w:lvl>
    <w:lvl w:ilvl="6" w:tplc="B4302C1A">
      <w:numFmt w:val="bullet"/>
      <w:lvlText w:val="•"/>
      <w:lvlJc w:val="left"/>
      <w:pPr>
        <w:ind w:left="1338" w:hanging="217"/>
      </w:pPr>
      <w:rPr>
        <w:rFonts w:hint="default"/>
        <w:lang w:val="en-GB" w:eastAsia="en-GB" w:bidi="en-GB"/>
      </w:rPr>
    </w:lvl>
    <w:lvl w:ilvl="7" w:tplc="53F08090">
      <w:numFmt w:val="bullet"/>
      <w:lvlText w:val="•"/>
      <w:lvlJc w:val="left"/>
      <w:pPr>
        <w:ind w:left="1511" w:hanging="217"/>
      </w:pPr>
      <w:rPr>
        <w:rFonts w:hint="default"/>
        <w:lang w:val="en-GB" w:eastAsia="en-GB" w:bidi="en-GB"/>
      </w:rPr>
    </w:lvl>
    <w:lvl w:ilvl="8" w:tplc="B79443E0">
      <w:numFmt w:val="bullet"/>
      <w:lvlText w:val="•"/>
      <w:lvlJc w:val="left"/>
      <w:pPr>
        <w:ind w:left="1684" w:hanging="217"/>
      </w:pPr>
      <w:rPr>
        <w:rFonts w:hint="default"/>
        <w:lang w:val="en-GB" w:eastAsia="en-GB" w:bidi="en-GB"/>
      </w:rPr>
    </w:lvl>
  </w:abstractNum>
  <w:abstractNum w:abstractNumId="362" w15:restartNumberingAfterBreak="0">
    <w:nsid w:val="219A582D"/>
    <w:multiLevelType w:val="hybridMultilevel"/>
    <w:tmpl w:val="0024C1FE"/>
    <w:lvl w:ilvl="0" w:tplc="BD54EFF0">
      <w:numFmt w:val="bullet"/>
      <w:lvlText w:val="•"/>
      <w:lvlJc w:val="left"/>
      <w:pPr>
        <w:ind w:left="305" w:hanging="217"/>
      </w:pPr>
      <w:rPr>
        <w:rFonts w:ascii="Arial" w:eastAsia="Arial" w:hAnsi="Arial" w:cs="Arial" w:hint="default"/>
        <w:color w:val="231F20"/>
        <w:w w:val="102"/>
        <w:sz w:val="17"/>
        <w:szCs w:val="17"/>
        <w:lang w:val="en-GB" w:eastAsia="en-GB" w:bidi="en-GB"/>
      </w:rPr>
    </w:lvl>
    <w:lvl w:ilvl="1" w:tplc="5AC46770">
      <w:numFmt w:val="bullet"/>
      <w:lvlText w:val="•"/>
      <w:lvlJc w:val="left"/>
      <w:pPr>
        <w:ind w:left="892" w:hanging="217"/>
      </w:pPr>
      <w:rPr>
        <w:rFonts w:hint="default"/>
        <w:lang w:val="en-GB" w:eastAsia="en-GB" w:bidi="en-GB"/>
      </w:rPr>
    </w:lvl>
    <w:lvl w:ilvl="2" w:tplc="91283E58">
      <w:numFmt w:val="bullet"/>
      <w:lvlText w:val="•"/>
      <w:lvlJc w:val="left"/>
      <w:pPr>
        <w:ind w:left="1485" w:hanging="217"/>
      </w:pPr>
      <w:rPr>
        <w:rFonts w:hint="default"/>
        <w:lang w:val="en-GB" w:eastAsia="en-GB" w:bidi="en-GB"/>
      </w:rPr>
    </w:lvl>
    <w:lvl w:ilvl="3" w:tplc="07D4C778">
      <w:numFmt w:val="bullet"/>
      <w:lvlText w:val="•"/>
      <w:lvlJc w:val="left"/>
      <w:pPr>
        <w:ind w:left="2077" w:hanging="217"/>
      </w:pPr>
      <w:rPr>
        <w:rFonts w:hint="default"/>
        <w:lang w:val="en-GB" w:eastAsia="en-GB" w:bidi="en-GB"/>
      </w:rPr>
    </w:lvl>
    <w:lvl w:ilvl="4" w:tplc="F41670FC">
      <w:numFmt w:val="bullet"/>
      <w:lvlText w:val="•"/>
      <w:lvlJc w:val="left"/>
      <w:pPr>
        <w:ind w:left="2670" w:hanging="217"/>
      </w:pPr>
      <w:rPr>
        <w:rFonts w:hint="default"/>
        <w:lang w:val="en-GB" w:eastAsia="en-GB" w:bidi="en-GB"/>
      </w:rPr>
    </w:lvl>
    <w:lvl w:ilvl="5" w:tplc="EE20E58C">
      <w:numFmt w:val="bullet"/>
      <w:lvlText w:val="•"/>
      <w:lvlJc w:val="left"/>
      <w:pPr>
        <w:ind w:left="3263" w:hanging="217"/>
      </w:pPr>
      <w:rPr>
        <w:rFonts w:hint="default"/>
        <w:lang w:val="en-GB" w:eastAsia="en-GB" w:bidi="en-GB"/>
      </w:rPr>
    </w:lvl>
    <w:lvl w:ilvl="6" w:tplc="B200494A">
      <w:numFmt w:val="bullet"/>
      <w:lvlText w:val="•"/>
      <w:lvlJc w:val="left"/>
      <w:pPr>
        <w:ind w:left="3855" w:hanging="217"/>
      </w:pPr>
      <w:rPr>
        <w:rFonts w:hint="default"/>
        <w:lang w:val="en-GB" w:eastAsia="en-GB" w:bidi="en-GB"/>
      </w:rPr>
    </w:lvl>
    <w:lvl w:ilvl="7" w:tplc="F2927A42">
      <w:numFmt w:val="bullet"/>
      <w:lvlText w:val="•"/>
      <w:lvlJc w:val="left"/>
      <w:pPr>
        <w:ind w:left="4448" w:hanging="217"/>
      </w:pPr>
      <w:rPr>
        <w:rFonts w:hint="default"/>
        <w:lang w:val="en-GB" w:eastAsia="en-GB" w:bidi="en-GB"/>
      </w:rPr>
    </w:lvl>
    <w:lvl w:ilvl="8" w:tplc="B01A69B6">
      <w:numFmt w:val="bullet"/>
      <w:lvlText w:val="•"/>
      <w:lvlJc w:val="left"/>
      <w:pPr>
        <w:ind w:left="5040" w:hanging="217"/>
      </w:pPr>
      <w:rPr>
        <w:rFonts w:hint="default"/>
        <w:lang w:val="en-GB" w:eastAsia="en-GB" w:bidi="en-GB"/>
      </w:rPr>
    </w:lvl>
  </w:abstractNum>
  <w:abstractNum w:abstractNumId="363" w15:restartNumberingAfterBreak="0">
    <w:nsid w:val="21A45511"/>
    <w:multiLevelType w:val="hybridMultilevel"/>
    <w:tmpl w:val="887C6744"/>
    <w:lvl w:ilvl="0" w:tplc="F808F51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94ADC90">
      <w:numFmt w:val="bullet"/>
      <w:lvlText w:val="•"/>
      <w:lvlJc w:val="left"/>
      <w:pPr>
        <w:ind w:left="1061" w:hanging="217"/>
      </w:pPr>
      <w:rPr>
        <w:rFonts w:hint="default"/>
        <w:lang w:val="en-GB" w:eastAsia="en-GB" w:bidi="en-GB"/>
      </w:rPr>
    </w:lvl>
    <w:lvl w:ilvl="2" w:tplc="44062F38">
      <w:numFmt w:val="bullet"/>
      <w:lvlText w:val="•"/>
      <w:lvlJc w:val="left"/>
      <w:pPr>
        <w:ind w:left="1823" w:hanging="217"/>
      </w:pPr>
      <w:rPr>
        <w:rFonts w:hint="default"/>
        <w:lang w:val="en-GB" w:eastAsia="en-GB" w:bidi="en-GB"/>
      </w:rPr>
    </w:lvl>
    <w:lvl w:ilvl="3" w:tplc="E408B6F6">
      <w:numFmt w:val="bullet"/>
      <w:lvlText w:val="•"/>
      <w:lvlJc w:val="left"/>
      <w:pPr>
        <w:ind w:left="2585" w:hanging="217"/>
      </w:pPr>
      <w:rPr>
        <w:rFonts w:hint="default"/>
        <w:lang w:val="en-GB" w:eastAsia="en-GB" w:bidi="en-GB"/>
      </w:rPr>
    </w:lvl>
    <w:lvl w:ilvl="4" w:tplc="A1DC21C6">
      <w:numFmt w:val="bullet"/>
      <w:lvlText w:val="•"/>
      <w:lvlJc w:val="left"/>
      <w:pPr>
        <w:ind w:left="3346" w:hanging="217"/>
      </w:pPr>
      <w:rPr>
        <w:rFonts w:hint="default"/>
        <w:lang w:val="en-GB" w:eastAsia="en-GB" w:bidi="en-GB"/>
      </w:rPr>
    </w:lvl>
    <w:lvl w:ilvl="5" w:tplc="07246F92">
      <w:numFmt w:val="bullet"/>
      <w:lvlText w:val="•"/>
      <w:lvlJc w:val="left"/>
      <w:pPr>
        <w:ind w:left="4108" w:hanging="217"/>
      </w:pPr>
      <w:rPr>
        <w:rFonts w:hint="default"/>
        <w:lang w:val="en-GB" w:eastAsia="en-GB" w:bidi="en-GB"/>
      </w:rPr>
    </w:lvl>
    <w:lvl w:ilvl="6" w:tplc="C65686FA">
      <w:numFmt w:val="bullet"/>
      <w:lvlText w:val="•"/>
      <w:lvlJc w:val="left"/>
      <w:pPr>
        <w:ind w:left="4870" w:hanging="217"/>
      </w:pPr>
      <w:rPr>
        <w:rFonts w:hint="default"/>
        <w:lang w:val="en-GB" w:eastAsia="en-GB" w:bidi="en-GB"/>
      </w:rPr>
    </w:lvl>
    <w:lvl w:ilvl="7" w:tplc="CF989256">
      <w:numFmt w:val="bullet"/>
      <w:lvlText w:val="•"/>
      <w:lvlJc w:val="left"/>
      <w:pPr>
        <w:ind w:left="5631" w:hanging="217"/>
      </w:pPr>
      <w:rPr>
        <w:rFonts w:hint="default"/>
        <w:lang w:val="en-GB" w:eastAsia="en-GB" w:bidi="en-GB"/>
      </w:rPr>
    </w:lvl>
    <w:lvl w:ilvl="8" w:tplc="8E446F84">
      <w:numFmt w:val="bullet"/>
      <w:lvlText w:val="•"/>
      <w:lvlJc w:val="left"/>
      <w:pPr>
        <w:ind w:left="6393" w:hanging="217"/>
      </w:pPr>
      <w:rPr>
        <w:rFonts w:hint="default"/>
        <w:lang w:val="en-GB" w:eastAsia="en-GB" w:bidi="en-GB"/>
      </w:rPr>
    </w:lvl>
  </w:abstractNum>
  <w:abstractNum w:abstractNumId="364" w15:restartNumberingAfterBreak="0">
    <w:nsid w:val="21F55EBB"/>
    <w:multiLevelType w:val="hybridMultilevel"/>
    <w:tmpl w:val="04801DD0"/>
    <w:lvl w:ilvl="0" w:tplc="2494B87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1F40D8A">
      <w:numFmt w:val="bullet"/>
      <w:lvlText w:val="•"/>
      <w:lvlJc w:val="left"/>
      <w:pPr>
        <w:ind w:left="1061" w:hanging="217"/>
      </w:pPr>
      <w:rPr>
        <w:rFonts w:hint="default"/>
        <w:lang w:val="en-GB" w:eastAsia="en-GB" w:bidi="en-GB"/>
      </w:rPr>
    </w:lvl>
    <w:lvl w:ilvl="2" w:tplc="CC764506">
      <w:numFmt w:val="bullet"/>
      <w:lvlText w:val="•"/>
      <w:lvlJc w:val="left"/>
      <w:pPr>
        <w:ind w:left="1823" w:hanging="217"/>
      </w:pPr>
      <w:rPr>
        <w:rFonts w:hint="default"/>
        <w:lang w:val="en-GB" w:eastAsia="en-GB" w:bidi="en-GB"/>
      </w:rPr>
    </w:lvl>
    <w:lvl w:ilvl="3" w:tplc="45763CD4">
      <w:numFmt w:val="bullet"/>
      <w:lvlText w:val="•"/>
      <w:lvlJc w:val="left"/>
      <w:pPr>
        <w:ind w:left="2585" w:hanging="217"/>
      </w:pPr>
      <w:rPr>
        <w:rFonts w:hint="default"/>
        <w:lang w:val="en-GB" w:eastAsia="en-GB" w:bidi="en-GB"/>
      </w:rPr>
    </w:lvl>
    <w:lvl w:ilvl="4" w:tplc="FBEAE152">
      <w:numFmt w:val="bullet"/>
      <w:lvlText w:val="•"/>
      <w:lvlJc w:val="left"/>
      <w:pPr>
        <w:ind w:left="3346" w:hanging="217"/>
      </w:pPr>
      <w:rPr>
        <w:rFonts w:hint="default"/>
        <w:lang w:val="en-GB" w:eastAsia="en-GB" w:bidi="en-GB"/>
      </w:rPr>
    </w:lvl>
    <w:lvl w:ilvl="5" w:tplc="A0986CD6">
      <w:numFmt w:val="bullet"/>
      <w:lvlText w:val="•"/>
      <w:lvlJc w:val="left"/>
      <w:pPr>
        <w:ind w:left="4108" w:hanging="217"/>
      </w:pPr>
      <w:rPr>
        <w:rFonts w:hint="default"/>
        <w:lang w:val="en-GB" w:eastAsia="en-GB" w:bidi="en-GB"/>
      </w:rPr>
    </w:lvl>
    <w:lvl w:ilvl="6" w:tplc="B7688226">
      <w:numFmt w:val="bullet"/>
      <w:lvlText w:val="•"/>
      <w:lvlJc w:val="left"/>
      <w:pPr>
        <w:ind w:left="4870" w:hanging="217"/>
      </w:pPr>
      <w:rPr>
        <w:rFonts w:hint="default"/>
        <w:lang w:val="en-GB" w:eastAsia="en-GB" w:bidi="en-GB"/>
      </w:rPr>
    </w:lvl>
    <w:lvl w:ilvl="7" w:tplc="62001E64">
      <w:numFmt w:val="bullet"/>
      <w:lvlText w:val="•"/>
      <w:lvlJc w:val="left"/>
      <w:pPr>
        <w:ind w:left="5631" w:hanging="217"/>
      </w:pPr>
      <w:rPr>
        <w:rFonts w:hint="default"/>
        <w:lang w:val="en-GB" w:eastAsia="en-GB" w:bidi="en-GB"/>
      </w:rPr>
    </w:lvl>
    <w:lvl w:ilvl="8" w:tplc="4B243BD6">
      <w:numFmt w:val="bullet"/>
      <w:lvlText w:val="•"/>
      <w:lvlJc w:val="left"/>
      <w:pPr>
        <w:ind w:left="6393" w:hanging="217"/>
      </w:pPr>
      <w:rPr>
        <w:rFonts w:hint="default"/>
        <w:lang w:val="en-GB" w:eastAsia="en-GB" w:bidi="en-GB"/>
      </w:rPr>
    </w:lvl>
  </w:abstractNum>
  <w:abstractNum w:abstractNumId="365" w15:restartNumberingAfterBreak="0">
    <w:nsid w:val="220549BD"/>
    <w:multiLevelType w:val="hybridMultilevel"/>
    <w:tmpl w:val="2612E9B2"/>
    <w:lvl w:ilvl="0" w:tplc="D2CA4F3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5F02B6E">
      <w:numFmt w:val="bullet"/>
      <w:lvlText w:val="•"/>
      <w:lvlJc w:val="left"/>
      <w:pPr>
        <w:ind w:left="473" w:hanging="217"/>
      </w:pPr>
      <w:rPr>
        <w:rFonts w:hint="default"/>
        <w:lang w:val="en-GB" w:eastAsia="en-GB" w:bidi="en-GB"/>
      </w:rPr>
    </w:lvl>
    <w:lvl w:ilvl="2" w:tplc="A4E2F4E0">
      <w:numFmt w:val="bullet"/>
      <w:lvlText w:val="•"/>
      <w:lvlJc w:val="left"/>
      <w:pPr>
        <w:ind w:left="646" w:hanging="217"/>
      </w:pPr>
      <w:rPr>
        <w:rFonts w:hint="default"/>
        <w:lang w:val="en-GB" w:eastAsia="en-GB" w:bidi="en-GB"/>
      </w:rPr>
    </w:lvl>
    <w:lvl w:ilvl="3" w:tplc="BCBC1742">
      <w:numFmt w:val="bullet"/>
      <w:lvlText w:val="•"/>
      <w:lvlJc w:val="left"/>
      <w:pPr>
        <w:ind w:left="819" w:hanging="217"/>
      </w:pPr>
      <w:rPr>
        <w:rFonts w:hint="default"/>
        <w:lang w:val="en-GB" w:eastAsia="en-GB" w:bidi="en-GB"/>
      </w:rPr>
    </w:lvl>
    <w:lvl w:ilvl="4" w:tplc="8C447ECC">
      <w:numFmt w:val="bullet"/>
      <w:lvlText w:val="•"/>
      <w:lvlJc w:val="left"/>
      <w:pPr>
        <w:ind w:left="992" w:hanging="217"/>
      </w:pPr>
      <w:rPr>
        <w:rFonts w:hint="default"/>
        <w:lang w:val="en-GB" w:eastAsia="en-GB" w:bidi="en-GB"/>
      </w:rPr>
    </w:lvl>
    <w:lvl w:ilvl="5" w:tplc="E536F0D6">
      <w:numFmt w:val="bullet"/>
      <w:lvlText w:val="•"/>
      <w:lvlJc w:val="left"/>
      <w:pPr>
        <w:ind w:left="1165" w:hanging="217"/>
      </w:pPr>
      <w:rPr>
        <w:rFonts w:hint="default"/>
        <w:lang w:val="en-GB" w:eastAsia="en-GB" w:bidi="en-GB"/>
      </w:rPr>
    </w:lvl>
    <w:lvl w:ilvl="6" w:tplc="FD14919E">
      <w:numFmt w:val="bullet"/>
      <w:lvlText w:val="•"/>
      <w:lvlJc w:val="left"/>
      <w:pPr>
        <w:ind w:left="1338" w:hanging="217"/>
      </w:pPr>
      <w:rPr>
        <w:rFonts w:hint="default"/>
        <w:lang w:val="en-GB" w:eastAsia="en-GB" w:bidi="en-GB"/>
      </w:rPr>
    </w:lvl>
    <w:lvl w:ilvl="7" w:tplc="D542FC38">
      <w:numFmt w:val="bullet"/>
      <w:lvlText w:val="•"/>
      <w:lvlJc w:val="left"/>
      <w:pPr>
        <w:ind w:left="1511" w:hanging="217"/>
      </w:pPr>
      <w:rPr>
        <w:rFonts w:hint="default"/>
        <w:lang w:val="en-GB" w:eastAsia="en-GB" w:bidi="en-GB"/>
      </w:rPr>
    </w:lvl>
    <w:lvl w:ilvl="8" w:tplc="84427B62">
      <w:numFmt w:val="bullet"/>
      <w:lvlText w:val="•"/>
      <w:lvlJc w:val="left"/>
      <w:pPr>
        <w:ind w:left="1684" w:hanging="217"/>
      </w:pPr>
      <w:rPr>
        <w:rFonts w:hint="default"/>
        <w:lang w:val="en-GB" w:eastAsia="en-GB" w:bidi="en-GB"/>
      </w:rPr>
    </w:lvl>
  </w:abstractNum>
  <w:abstractNum w:abstractNumId="366" w15:restartNumberingAfterBreak="0">
    <w:nsid w:val="22204E76"/>
    <w:multiLevelType w:val="hybridMultilevel"/>
    <w:tmpl w:val="7A1AD826"/>
    <w:lvl w:ilvl="0" w:tplc="ABFA4466">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772A09C8">
      <w:numFmt w:val="bullet"/>
      <w:lvlText w:val="•"/>
      <w:lvlJc w:val="left"/>
      <w:pPr>
        <w:ind w:left="473" w:hanging="217"/>
      </w:pPr>
      <w:rPr>
        <w:rFonts w:hint="default"/>
        <w:lang w:val="en-GB" w:eastAsia="en-GB" w:bidi="en-GB"/>
      </w:rPr>
    </w:lvl>
    <w:lvl w:ilvl="2" w:tplc="83A25864">
      <w:numFmt w:val="bullet"/>
      <w:lvlText w:val="•"/>
      <w:lvlJc w:val="left"/>
      <w:pPr>
        <w:ind w:left="646" w:hanging="217"/>
      </w:pPr>
      <w:rPr>
        <w:rFonts w:hint="default"/>
        <w:lang w:val="en-GB" w:eastAsia="en-GB" w:bidi="en-GB"/>
      </w:rPr>
    </w:lvl>
    <w:lvl w:ilvl="3" w:tplc="621C3378">
      <w:numFmt w:val="bullet"/>
      <w:lvlText w:val="•"/>
      <w:lvlJc w:val="left"/>
      <w:pPr>
        <w:ind w:left="819" w:hanging="217"/>
      </w:pPr>
      <w:rPr>
        <w:rFonts w:hint="default"/>
        <w:lang w:val="en-GB" w:eastAsia="en-GB" w:bidi="en-GB"/>
      </w:rPr>
    </w:lvl>
    <w:lvl w:ilvl="4" w:tplc="028AA69C">
      <w:numFmt w:val="bullet"/>
      <w:lvlText w:val="•"/>
      <w:lvlJc w:val="left"/>
      <w:pPr>
        <w:ind w:left="992" w:hanging="217"/>
      </w:pPr>
      <w:rPr>
        <w:rFonts w:hint="default"/>
        <w:lang w:val="en-GB" w:eastAsia="en-GB" w:bidi="en-GB"/>
      </w:rPr>
    </w:lvl>
    <w:lvl w:ilvl="5" w:tplc="19D68EE0">
      <w:numFmt w:val="bullet"/>
      <w:lvlText w:val="•"/>
      <w:lvlJc w:val="left"/>
      <w:pPr>
        <w:ind w:left="1165" w:hanging="217"/>
      </w:pPr>
      <w:rPr>
        <w:rFonts w:hint="default"/>
        <w:lang w:val="en-GB" w:eastAsia="en-GB" w:bidi="en-GB"/>
      </w:rPr>
    </w:lvl>
    <w:lvl w:ilvl="6" w:tplc="92F0980A">
      <w:numFmt w:val="bullet"/>
      <w:lvlText w:val="•"/>
      <w:lvlJc w:val="left"/>
      <w:pPr>
        <w:ind w:left="1338" w:hanging="217"/>
      </w:pPr>
      <w:rPr>
        <w:rFonts w:hint="default"/>
        <w:lang w:val="en-GB" w:eastAsia="en-GB" w:bidi="en-GB"/>
      </w:rPr>
    </w:lvl>
    <w:lvl w:ilvl="7" w:tplc="23781320">
      <w:numFmt w:val="bullet"/>
      <w:lvlText w:val="•"/>
      <w:lvlJc w:val="left"/>
      <w:pPr>
        <w:ind w:left="1511" w:hanging="217"/>
      </w:pPr>
      <w:rPr>
        <w:rFonts w:hint="default"/>
        <w:lang w:val="en-GB" w:eastAsia="en-GB" w:bidi="en-GB"/>
      </w:rPr>
    </w:lvl>
    <w:lvl w:ilvl="8" w:tplc="FCDC4C1C">
      <w:numFmt w:val="bullet"/>
      <w:lvlText w:val="•"/>
      <w:lvlJc w:val="left"/>
      <w:pPr>
        <w:ind w:left="1684" w:hanging="217"/>
      </w:pPr>
      <w:rPr>
        <w:rFonts w:hint="default"/>
        <w:lang w:val="en-GB" w:eastAsia="en-GB" w:bidi="en-GB"/>
      </w:rPr>
    </w:lvl>
  </w:abstractNum>
  <w:abstractNum w:abstractNumId="367" w15:restartNumberingAfterBreak="0">
    <w:nsid w:val="222102B1"/>
    <w:multiLevelType w:val="hybridMultilevel"/>
    <w:tmpl w:val="ED6AA960"/>
    <w:lvl w:ilvl="0" w:tplc="42E6EC3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D022768">
      <w:numFmt w:val="bullet"/>
      <w:lvlText w:val="•"/>
      <w:lvlJc w:val="left"/>
      <w:pPr>
        <w:ind w:left="892" w:hanging="217"/>
      </w:pPr>
      <w:rPr>
        <w:rFonts w:hint="default"/>
        <w:lang w:val="en-GB" w:eastAsia="en-GB" w:bidi="en-GB"/>
      </w:rPr>
    </w:lvl>
    <w:lvl w:ilvl="2" w:tplc="24902312">
      <w:numFmt w:val="bullet"/>
      <w:lvlText w:val="•"/>
      <w:lvlJc w:val="left"/>
      <w:pPr>
        <w:ind w:left="1485" w:hanging="217"/>
      </w:pPr>
      <w:rPr>
        <w:rFonts w:hint="default"/>
        <w:lang w:val="en-GB" w:eastAsia="en-GB" w:bidi="en-GB"/>
      </w:rPr>
    </w:lvl>
    <w:lvl w:ilvl="3" w:tplc="C9BCBD3E">
      <w:numFmt w:val="bullet"/>
      <w:lvlText w:val="•"/>
      <w:lvlJc w:val="left"/>
      <w:pPr>
        <w:ind w:left="2077" w:hanging="217"/>
      </w:pPr>
      <w:rPr>
        <w:rFonts w:hint="default"/>
        <w:lang w:val="en-GB" w:eastAsia="en-GB" w:bidi="en-GB"/>
      </w:rPr>
    </w:lvl>
    <w:lvl w:ilvl="4" w:tplc="8162F4BA">
      <w:numFmt w:val="bullet"/>
      <w:lvlText w:val="•"/>
      <w:lvlJc w:val="left"/>
      <w:pPr>
        <w:ind w:left="2670" w:hanging="217"/>
      </w:pPr>
      <w:rPr>
        <w:rFonts w:hint="default"/>
        <w:lang w:val="en-GB" w:eastAsia="en-GB" w:bidi="en-GB"/>
      </w:rPr>
    </w:lvl>
    <w:lvl w:ilvl="5" w:tplc="1A1C1EF6">
      <w:numFmt w:val="bullet"/>
      <w:lvlText w:val="•"/>
      <w:lvlJc w:val="left"/>
      <w:pPr>
        <w:ind w:left="3263" w:hanging="217"/>
      </w:pPr>
      <w:rPr>
        <w:rFonts w:hint="default"/>
        <w:lang w:val="en-GB" w:eastAsia="en-GB" w:bidi="en-GB"/>
      </w:rPr>
    </w:lvl>
    <w:lvl w:ilvl="6" w:tplc="46BAA432">
      <w:numFmt w:val="bullet"/>
      <w:lvlText w:val="•"/>
      <w:lvlJc w:val="left"/>
      <w:pPr>
        <w:ind w:left="3855" w:hanging="217"/>
      </w:pPr>
      <w:rPr>
        <w:rFonts w:hint="default"/>
        <w:lang w:val="en-GB" w:eastAsia="en-GB" w:bidi="en-GB"/>
      </w:rPr>
    </w:lvl>
    <w:lvl w:ilvl="7" w:tplc="C5F4DB72">
      <w:numFmt w:val="bullet"/>
      <w:lvlText w:val="•"/>
      <w:lvlJc w:val="left"/>
      <w:pPr>
        <w:ind w:left="4448" w:hanging="217"/>
      </w:pPr>
      <w:rPr>
        <w:rFonts w:hint="default"/>
        <w:lang w:val="en-GB" w:eastAsia="en-GB" w:bidi="en-GB"/>
      </w:rPr>
    </w:lvl>
    <w:lvl w:ilvl="8" w:tplc="5DE21CC6">
      <w:numFmt w:val="bullet"/>
      <w:lvlText w:val="•"/>
      <w:lvlJc w:val="left"/>
      <w:pPr>
        <w:ind w:left="5040" w:hanging="217"/>
      </w:pPr>
      <w:rPr>
        <w:rFonts w:hint="default"/>
        <w:lang w:val="en-GB" w:eastAsia="en-GB" w:bidi="en-GB"/>
      </w:rPr>
    </w:lvl>
  </w:abstractNum>
  <w:abstractNum w:abstractNumId="368" w15:restartNumberingAfterBreak="0">
    <w:nsid w:val="223D3F03"/>
    <w:multiLevelType w:val="hybridMultilevel"/>
    <w:tmpl w:val="1F96259E"/>
    <w:lvl w:ilvl="0" w:tplc="82B49B64">
      <w:numFmt w:val="bullet"/>
      <w:lvlText w:val="•"/>
      <w:lvlJc w:val="left"/>
      <w:pPr>
        <w:ind w:left="300" w:hanging="217"/>
      </w:pPr>
      <w:rPr>
        <w:rFonts w:ascii="Arial" w:eastAsia="Arial" w:hAnsi="Arial" w:cs="Arial" w:hint="default"/>
        <w:color w:val="231F20"/>
        <w:spacing w:val="-10"/>
        <w:w w:val="100"/>
        <w:sz w:val="18"/>
        <w:szCs w:val="18"/>
        <w:lang w:val="en-GB" w:eastAsia="en-GB" w:bidi="en-GB"/>
      </w:rPr>
    </w:lvl>
    <w:lvl w:ilvl="1" w:tplc="B770BA4A">
      <w:numFmt w:val="bullet"/>
      <w:lvlText w:val="•"/>
      <w:lvlJc w:val="left"/>
      <w:pPr>
        <w:ind w:left="529" w:hanging="217"/>
      </w:pPr>
      <w:rPr>
        <w:rFonts w:hint="default"/>
        <w:lang w:val="en-GB" w:eastAsia="en-GB" w:bidi="en-GB"/>
      </w:rPr>
    </w:lvl>
    <w:lvl w:ilvl="2" w:tplc="20ACBE8E">
      <w:numFmt w:val="bullet"/>
      <w:lvlText w:val="•"/>
      <w:lvlJc w:val="left"/>
      <w:pPr>
        <w:ind w:left="759" w:hanging="217"/>
      </w:pPr>
      <w:rPr>
        <w:rFonts w:hint="default"/>
        <w:lang w:val="en-GB" w:eastAsia="en-GB" w:bidi="en-GB"/>
      </w:rPr>
    </w:lvl>
    <w:lvl w:ilvl="3" w:tplc="CB08884E">
      <w:numFmt w:val="bullet"/>
      <w:lvlText w:val="•"/>
      <w:lvlJc w:val="left"/>
      <w:pPr>
        <w:ind w:left="989" w:hanging="217"/>
      </w:pPr>
      <w:rPr>
        <w:rFonts w:hint="default"/>
        <w:lang w:val="en-GB" w:eastAsia="en-GB" w:bidi="en-GB"/>
      </w:rPr>
    </w:lvl>
    <w:lvl w:ilvl="4" w:tplc="80DC1FF8">
      <w:numFmt w:val="bullet"/>
      <w:lvlText w:val="•"/>
      <w:lvlJc w:val="left"/>
      <w:pPr>
        <w:ind w:left="1219" w:hanging="217"/>
      </w:pPr>
      <w:rPr>
        <w:rFonts w:hint="default"/>
        <w:lang w:val="en-GB" w:eastAsia="en-GB" w:bidi="en-GB"/>
      </w:rPr>
    </w:lvl>
    <w:lvl w:ilvl="5" w:tplc="B484AB6E">
      <w:numFmt w:val="bullet"/>
      <w:lvlText w:val="•"/>
      <w:lvlJc w:val="left"/>
      <w:pPr>
        <w:ind w:left="1449" w:hanging="217"/>
      </w:pPr>
      <w:rPr>
        <w:rFonts w:hint="default"/>
        <w:lang w:val="en-GB" w:eastAsia="en-GB" w:bidi="en-GB"/>
      </w:rPr>
    </w:lvl>
    <w:lvl w:ilvl="6" w:tplc="18747D08">
      <w:numFmt w:val="bullet"/>
      <w:lvlText w:val="•"/>
      <w:lvlJc w:val="left"/>
      <w:pPr>
        <w:ind w:left="1678" w:hanging="217"/>
      </w:pPr>
      <w:rPr>
        <w:rFonts w:hint="default"/>
        <w:lang w:val="en-GB" w:eastAsia="en-GB" w:bidi="en-GB"/>
      </w:rPr>
    </w:lvl>
    <w:lvl w:ilvl="7" w:tplc="087CBD36">
      <w:numFmt w:val="bullet"/>
      <w:lvlText w:val="•"/>
      <w:lvlJc w:val="left"/>
      <w:pPr>
        <w:ind w:left="1908" w:hanging="217"/>
      </w:pPr>
      <w:rPr>
        <w:rFonts w:hint="default"/>
        <w:lang w:val="en-GB" w:eastAsia="en-GB" w:bidi="en-GB"/>
      </w:rPr>
    </w:lvl>
    <w:lvl w:ilvl="8" w:tplc="450E7E62">
      <w:numFmt w:val="bullet"/>
      <w:lvlText w:val="•"/>
      <w:lvlJc w:val="left"/>
      <w:pPr>
        <w:ind w:left="2138" w:hanging="217"/>
      </w:pPr>
      <w:rPr>
        <w:rFonts w:hint="default"/>
        <w:lang w:val="en-GB" w:eastAsia="en-GB" w:bidi="en-GB"/>
      </w:rPr>
    </w:lvl>
  </w:abstractNum>
  <w:abstractNum w:abstractNumId="369" w15:restartNumberingAfterBreak="0">
    <w:nsid w:val="22705B0E"/>
    <w:multiLevelType w:val="hybridMultilevel"/>
    <w:tmpl w:val="EB301CAE"/>
    <w:lvl w:ilvl="0" w:tplc="9B2C6E9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5165E82">
      <w:numFmt w:val="bullet"/>
      <w:lvlText w:val="•"/>
      <w:lvlJc w:val="left"/>
      <w:pPr>
        <w:ind w:left="439" w:hanging="217"/>
      </w:pPr>
      <w:rPr>
        <w:rFonts w:hint="default"/>
        <w:lang w:val="en-GB" w:eastAsia="en-GB" w:bidi="en-GB"/>
      </w:rPr>
    </w:lvl>
    <w:lvl w:ilvl="2" w:tplc="3280AC6E">
      <w:numFmt w:val="bullet"/>
      <w:lvlText w:val="•"/>
      <w:lvlJc w:val="left"/>
      <w:pPr>
        <w:ind w:left="578" w:hanging="217"/>
      </w:pPr>
      <w:rPr>
        <w:rFonts w:hint="default"/>
        <w:lang w:val="en-GB" w:eastAsia="en-GB" w:bidi="en-GB"/>
      </w:rPr>
    </w:lvl>
    <w:lvl w:ilvl="3" w:tplc="80A498B2">
      <w:numFmt w:val="bullet"/>
      <w:lvlText w:val="•"/>
      <w:lvlJc w:val="left"/>
      <w:pPr>
        <w:ind w:left="717" w:hanging="217"/>
      </w:pPr>
      <w:rPr>
        <w:rFonts w:hint="default"/>
        <w:lang w:val="en-GB" w:eastAsia="en-GB" w:bidi="en-GB"/>
      </w:rPr>
    </w:lvl>
    <w:lvl w:ilvl="4" w:tplc="7FA2C678">
      <w:numFmt w:val="bullet"/>
      <w:lvlText w:val="•"/>
      <w:lvlJc w:val="left"/>
      <w:pPr>
        <w:ind w:left="856" w:hanging="217"/>
      </w:pPr>
      <w:rPr>
        <w:rFonts w:hint="default"/>
        <w:lang w:val="en-GB" w:eastAsia="en-GB" w:bidi="en-GB"/>
      </w:rPr>
    </w:lvl>
    <w:lvl w:ilvl="5" w:tplc="8CB2EF02">
      <w:numFmt w:val="bullet"/>
      <w:lvlText w:val="•"/>
      <w:lvlJc w:val="left"/>
      <w:pPr>
        <w:ind w:left="995" w:hanging="217"/>
      </w:pPr>
      <w:rPr>
        <w:rFonts w:hint="default"/>
        <w:lang w:val="en-GB" w:eastAsia="en-GB" w:bidi="en-GB"/>
      </w:rPr>
    </w:lvl>
    <w:lvl w:ilvl="6" w:tplc="B130FA76">
      <w:numFmt w:val="bullet"/>
      <w:lvlText w:val="•"/>
      <w:lvlJc w:val="left"/>
      <w:pPr>
        <w:ind w:left="1134" w:hanging="217"/>
      </w:pPr>
      <w:rPr>
        <w:rFonts w:hint="default"/>
        <w:lang w:val="en-GB" w:eastAsia="en-GB" w:bidi="en-GB"/>
      </w:rPr>
    </w:lvl>
    <w:lvl w:ilvl="7" w:tplc="3D4ABD90">
      <w:numFmt w:val="bullet"/>
      <w:lvlText w:val="•"/>
      <w:lvlJc w:val="left"/>
      <w:pPr>
        <w:ind w:left="1273" w:hanging="217"/>
      </w:pPr>
      <w:rPr>
        <w:rFonts w:hint="default"/>
        <w:lang w:val="en-GB" w:eastAsia="en-GB" w:bidi="en-GB"/>
      </w:rPr>
    </w:lvl>
    <w:lvl w:ilvl="8" w:tplc="ED70A1C6">
      <w:numFmt w:val="bullet"/>
      <w:lvlText w:val="•"/>
      <w:lvlJc w:val="left"/>
      <w:pPr>
        <w:ind w:left="1412" w:hanging="217"/>
      </w:pPr>
      <w:rPr>
        <w:rFonts w:hint="default"/>
        <w:lang w:val="en-GB" w:eastAsia="en-GB" w:bidi="en-GB"/>
      </w:rPr>
    </w:lvl>
  </w:abstractNum>
  <w:abstractNum w:abstractNumId="370" w15:restartNumberingAfterBreak="0">
    <w:nsid w:val="22B22DD5"/>
    <w:multiLevelType w:val="hybridMultilevel"/>
    <w:tmpl w:val="1B40D5A6"/>
    <w:lvl w:ilvl="0" w:tplc="F07A1CD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718B040">
      <w:numFmt w:val="bullet"/>
      <w:lvlText w:val="•"/>
      <w:lvlJc w:val="left"/>
      <w:pPr>
        <w:ind w:left="473" w:hanging="217"/>
      </w:pPr>
      <w:rPr>
        <w:rFonts w:hint="default"/>
        <w:lang w:val="en-GB" w:eastAsia="en-GB" w:bidi="en-GB"/>
      </w:rPr>
    </w:lvl>
    <w:lvl w:ilvl="2" w:tplc="2C2C0282">
      <w:numFmt w:val="bullet"/>
      <w:lvlText w:val="•"/>
      <w:lvlJc w:val="left"/>
      <w:pPr>
        <w:ind w:left="646" w:hanging="217"/>
      </w:pPr>
      <w:rPr>
        <w:rFonts w:hint="default"/>
        <w:lang w:val="en-GB" w:eastAsia="en-GB" w:bidi="en-GB"/>
      </w:rPr>
    </w:lvl>
    <w:lvl w:ilvl="3" w:tplc="AC887D98">
      <w:numFmt w:val="bullet"/>
      <w:lvlText w:val="•"/>
      <w:lvlJc w:val="left"/>
      <w:pPr>
        <w:ind w:left="819" w:hanging="217"/>
      </w:pPr>
      <w:rPr>
        <w:rFonts w:hint="default"/>
        <w:lang w:val="en-GB" w:eastAsia="en-GB" w:bidi="en-GB"/>
      </w:rPr>
    </w:lvl>
    <w:lvl w:ilvl="4" w:tplc="9200B3E8">
      <w:numFmt w:val="bullet"/>
      <w:lvlText w:val="•"/>
      <w:lvlJc w:val="left"/>
      <w:pPr>
        <w:ind w:left="992" w:hanging="217"/>
      </w:pPr>
      <w:rPr>
        <w:rFonts w:hint="default"/>
        <w:lang w:val="en-GB" w:eastAsia="en-GB" w:bidi="en-GB"/>
      </w:rPr>
    </w:lvl>
    <w:lvl w:ilvl="5" w:tplc="553AF238">
      <w:numFmt w:val="bullet"/>
      <w:lvlText w:val="•"/>
      <w:lvlJc w:val="left"/>
      <w:pPr>
        <w:ind w:left="1165" w:hanging="217"/>
      </w:pPr>
      <w:rPr>
        <w:rFonts w:hint="default"/>
        <w:lang w:val="en-GB" w:eastAsia="en-GB" w:bidi="en-GB"/>
      </w:rPr>
    </w:lvl>
    <w:lvl w:ilvl="6" w:tplc="DD72F88A">
      <w:numFmt w:val="bullet"/>
      <w:lvlText w:val="•"/>
      <w:lvlJc w:val="left"/>
      <w:pPr>
        <w:ind w:left="1338" w:hanging="217"/>
      </w:pPr>
      <w:rPr>
        <w:rFonts w:hint="default"/>
        <w:lang w:val="en-GB" w:eastAsia="en-GB" w:bidi="en-GB"/>
      </w:rPr>
    </w:lvl>
    <w:lvl w:ilvl="7" w:tplc="6B725FB4">
      <w:numFmt w:val="bullet"/>
      <w:lvlText w:val="•"/>
      <w:lvlJc w:val="left"/>
      <w:pPr>
        <w:ind w:left="1511" w:hanging="217"/>
      </w:pPr>
      <w:rPr>
        <w:rFonts w:hint="default"/>
        <w:lang w:val="en-GB" w:eastAsia="en-GB" w:bidi="en-GB"/>
      </w:rPr>
    </w:lvl>
    <w:lvl w:ilvl="8" w:tplc="F57C1B24">
      <w:numFmt w:val="bullet"/>
      <w:lvlText w:val="•"/>
      <w:lvlJc w:val="left"/>
      <w:pPr>
        <w:ind w:left="1684" w:hanging="217"/>
      </w:pPr>
      <w:rPr>
        <w:rFonts w:hint="default"/>
        <w:lang w:val="en-GB" w:eastAsia="en-GB" w:bidi="en-GB"/>
      </w:rPr>
    </w:lvl>
  </w:abstractNum>
  <w:abstractNum w:abstractNumId="371" w15:restartNumberingAfterBreak="0">
    <w:nsid w:val="22BA668E"/>
    <w:multiLevelType w:val="hybridMultilevel"/>
    <w:tmpl w:val="3300EB80"/>
    <w:lvl w:ilvl="0" w:tplc="0B1A62E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5143FEA">
      <w:numFmt w:val="bullet"/>
      <w:lvlText w:val="•"/>
      <w:lvlJc w:val="left"/>
      <w:pPr>
        <w:ind w:left="473" w:hanging="217"/>
      </w:pPr>
      <w:rPr>
        <w:rFonts w:hint="default"/>
        <w:lang w:val="en-GB" w:eastAsia="en-GB" w:bidi="en-GB"/>
      </w:rPr>
    </w:lvl>
    <w:lvl w:ilvl="2" w:tplc="53C2C842">
      <w:numFmt w:val="bullet"/>
      <w:lvlText w:val="•"/>
      <w:lvlJc w:val="left"/>
      <w:pPr>
        <w:ind w:left="646" w:hanging="217"/>
      </w:pPr>
      <w:rPr>
        <w:rFonts w:hint="default"/>
        <w:lang w:val="en-GB" w:eastAsia="en-GB" w:bidi="en-GB"/>
      </w:rPr>
    </w:lvl>
    <w:lvl w:ilvl="3" w:tplc="0BDEC118">
      <w:numFmt w:val="bullet"/>
      <w:lvlText w:val="•"/>
      <w:lvlJc w:val="left"/>
      <w:pPr>
        <w:ind w:left="819" w:hanging="217"/>
      </w:pPr>
      <w:rPr>
        <w:rFonts w:hint="default"/>
        <w:lang w:val="en-GB" w:eastAsia="en-GB" w:bidi="en-GB"/>
      </w:rPr>
    </w:lvl>
    <w:lvl w:ilvl="4" w:tplc="53EE52DE">
      <w:numFmt w:val="bullet"/>
      <w:lvlText w:val="•"/>
      <w:lvlJc w:val="left"/>
      <w:pPr>
        <w:ind w:left="992" w:hanging="217"/>
      </w:pPr>
      <w:rPr>
        <w:rFonts w:hint="default"/>
        <w:lang w:val="en-GB" w:eastAsia="en-GB" w:bidi="en-GB"/>
      </w:rPr>
    </w:lvl>
    <w:lvl w:ilvl="5" w:tplc="65C00CDE">
      <w:numFmt w:val="bullet"/>
      <w:lvlText w:val="•"/>
      <w:lvlJc w:val="left"/>
      <w:pPr>
        <w:ind w:left="1165" w:hanging="217"/>
      </w:pPr>
      <w:rPr>
        <w:rFonts w:hint="default"/>
        <w:lang w:val="en-GB" w:eastAsia="en-GB" w:bidi="en-GB"/>
      </w:rPr>
    </w:lvl>
    <w:lvl w:ilvl="6" w:tplc="0E44C06E">
      <w:numFmt w:val="bullet"/>
      <w:lvlText w:val="•"/>
      <w:lvlJc w:val="left"/>
      <w:pPr>
        <w:ind w:left="1338" w:hanging="217"/>
      </w:pPr>
      <w:rPr>
        <w:rFonts w:hint="default"/>
        <w:lang w:val="en-GB" w:eastAsia="en-GB" w:bidi="en-GB"/>
      </w:rPr>
    </w:lvl>
    <w:lvl w:ilvl="7" w:tplc="AEF6851A">
      <w:numFmt w:val="bullet"/>
      <w:lvlText w:val="•"/>
      <w:lvlJc w:val="left"/>
      <w:pPr>
        <w:ind w:left="1511" w:hanging="217"/>
      </w:pPr>
      <w:rPr>
        <w:rFonts w:hint="default"/>
        <w:lang w:val="en-GB" w:eastAsia="en-GB" w:bidi="en-GB"/>
      </w:rPr>
    </w:lvl>
    <w:lvl w:ilvl="8" w:tplc="E09AF536">
      <w:numFmt w:val="bullet"/>
      <w:lvlText w:val="•"/>
      <w:lvlJc w:val="left"/>
      <w:pPr>
        <w:ind w:left="1684" w:hanging="217"/>
      </w:pPr>
      <w:rPr>
        <w:rFonts w:hint="default"/>
        <w:lang w:val="en-GB" w:eastAsia="en-GB" w:bidi="en-GB"/>
      </w:rPr>
    </w:lvl>
  </w:abstractNum>
  <w:abstractNum w:abstractNumId="372" w15:restartNumberingAfterBreak="0">
    <w:nsid w:val="22C462AA"/>
    <w:multiLevelType w:val="hybridMultilevel"/>
    <w:tmpl w:val="B6846BF0"/>
    <w:lvl w:ilvl="0" w:tplc="2FF8B6F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59281E4">
      <w:numFmt w:val="bullet"/>
      <w:lvlText w:val="•"/>
      <w:lvlJc w:val="left"/>
      <w:pPr>
        <w:ind w:left="439" w:hanging="217"/>
      </w:pPr>
      <w:rPr>
        <w:rFonts w:hint="default"/>
        <w:lang w:val="en-GB" w:eastAsia="en-GB" w:bidi="en-GB"/>
      </w:rPr>
    </w:lvl>
    <w:lvl w:ilvl="2" w:tplc="AC6A0FDC">
      <w:numFmt w:val="bullet"/>
      <w:lvlText w:val="•"/>
      <w:lvlJc w:val="left"/>
      <w:pPr>
        <w:ind w:left="578" w:hanging="217"/>
      </w:pPr>
      <w:rPr>
        <w:rFonts w:hint="default"/>
        <w:lang w:val="en-GB" w:eastAsia="en-GB" w:bidi="en-GB"/>
      </w:rPr>
    </w:lvl>
    <w:lvl w:ilvl="3" w:tplc="DF80DCFE">
      <w:numFmt w:val="bullet"/>
      <w:lvlText w:val="•"/>
      <w:lvlJc w:val="left"/>
      <w:pPr>
        <w:ind w:left="717" w:hanging="217"/>
      </w:pPr>
      <w:rPr>
        <w:rFonts w:hint="default"/>
        <w:lang w:val="en-GB" w:eastAsia="en-GB" w:bidi="en-GB"/>
      </w:rPr>
    </w:lvl>
    <w:lvl w:ilvl="4" w:tplc="7A4C1700">
      <w:numFmt w:val="bullet"/>
      <w:lvlText w:val="•"/>
      <w:lvlJc w:val="left"/>
      <w:pPr>
        <w:ind w:left="856" w:hanging="217"/>
      </w:pPr>
      <w:rPr>
        <w:rFonts w:hint="default"/>
        <w:lang w:val="en-GB" w:eastAsia="en-GB" w:bidi="en-GB"/>
      </w:rPr>
    </w:lvl>
    <w:lvl w:ilvl="5" w:tplc="C1288E5E">
      <w:numFmt w:val="bullet"/>
      <w:lvlText w:val="•"/>
      <w:lvlJc w:val="left"/>
      <w:pPr>
        <w:ind w:left="995" w:hanging="217"/>
      </w:pPr>
      <w:rPr>
        <w:rFonts w:hint="default"/>
        <w:lang w:val="en-GB" w:eastAsia="en-GB" w:bidi="en-GB"/>
      </w:rPr>
    </w:lvl>
    <w:lvl w:ilvl="6" w:tplc="440498B8">
      <w:numFmt w:val="bullet"/>
      <w:lvlText w:val="•"/>
      <w:lvlJc w:val="left"/>
      <w:pPr>
        <w:ind w:left="1134" w:hanging="217"/>
      </w:pPr>
      <w:rPr>
        <w:rFonts w:hint="default"/>
        <w:lang w:val="en-GB" w:eastAsia="en-GB" w:bidi="en-GB"/>
      </w:rPr>
    </w:lvl>
    <w:lvl w:ilvl="7" w:tplc="6CD4811E">
      <w:numFmt w:val="bullet"/>
      <w:lvlText w:val="•"/>
      <w:lvlJc w:val="left"/>
      <w:pPr>
        <w:ind w:left="1273" w:hanging="217"/>
      </w:pPr>
      <w:rPr>
        <w:rFonts w:hint="default"/>
        <w:lang w:val="en-GB" w:eastAsia="en-GB" w:bidi="en-GB"/>
      </w:rPr>
    </w:lvl>
    <w:lvl w:ilvl="8" w:tplc="CFAA23EA">
      <w:numFmt w:val="bullet"/>
      <w:lvlText w:val="•"/>
      <w:lvlJc w:val="left"/>
      <w:pPr>
        <w:ind w:left="1412" w:hanging="217"/>
      </w:pPr>
      <w:rPr>
        <w:rFonts w:hint="default"/>
        <w:lang w:val="en-GB" w:eastAsia="en-GB" w:bidi="en-GB"/>
      </w:rPr>
    </w:lvl>
  </w:abstractNum>
  <w:abstractNum w:abstractNumId="373" w15:restartNumberingAfterBreak="0">
    <w:nsid w:val="22C92E6A"/>
    <w:multiLevelType w:val="hybridMultilevel"/>
    <w:tmpl w:val="8DD82DCA"/>
    <w:lvl w:ilvl="0" w:tplc="F632A1C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F100318">
      <w:numFmt w:val="bullet"/>
      <w:lvlText w:val="•"/>
      <w:lvlJc w:val="left"/>
      <w:pPr>
        <w:ind w:left="1061" w:hanging="217"/>
      </w:pPr>
      <w:rPr>
        <w:rFonts w:hint="default"/>
        <w:lang w:val="en-GB" w:eastAsia="en-GB" w:bidi="en-GB"/>
      </w:rPr>
    </w:lvl>
    <w:lvl w:ilvl="2" w:tplc="05AE45EE">
      <w:numFmt w:val="bullet"/>
      <w:lvlText w:val="•"/>
      <w:lvlJc w:val="left"/>
      <w:pPr>
        <w:ind w:left="1823" w:hanging="217"/>
      </w:pPr>
      <w:rPr>
        <w:rFonts w:hint="default"/>
        <w:lang w:val="en-GB" w:eastAsia="en-GB" w:bidi="en-GB"/>
      </w:rPr>
    </w:lvl>
    <w:lvl w:ilvl="3" w:tplc="19AAF6A0">
      <w:numFmt w:val="bullet"/>
      <w:lvlText w:val="•"/>
      <w:lvlJc w:val="left"/>
      <w:pPr>
        <w:ind w:left="2585" w:hanging="217"/>
      </w:pPr>
      <w:rPr>
        <w:rFonts w:hint="default"/>
        <w:lang w:val="en-GB" w:eastAsia="en-GB" w:bidi="en-GB"/>
      </w:rPr>
    </w:lvl>
    <w:lvl w:ilvl="4" w:tplc="FC1203A6">
      <w:numFmt w:val="bullet"/>
      <w:lvlText w:val="•"/>
      <w:lvlJc w:val="left"/>
      <w:pPr>
        <w:ind w:left="3346" w:hanging="217"/>
      </w:pPr>
      <w:rPr>
        <w:rFonts w:hint="default"/>
        <w:lang w:val="en-GB" w:eastAsia="en-GB" w:bidi="en-GB"/>
      </w:rPr>
    </w:lvl>
    <w:lvl w:ilvl="5" w:tplc="5A9CA8D0">
      <w:numFmt w:val="bullet"/>
      <w:lvlText w:val="•"/>
      <w:lvlJc w:val="left"/>
      <w:pPr>
        <w:ind w:left="4108" w:hanging="217"/>
      </w:pPr>
      <w:rPr>
        <w:rFonts w:hint="default"/>
        <w:lang w:val="en-GB" w:eastAsia="en-GB" w:bidi="en-GB"/>
      </w:rPr>
    </w:lvl>
    <w:lvl w:ilvl="6" w:tplc="D0BAE6C8">
      <w:numFmt w:val="bullet"/>
      <w:lvlText w:val="•"/>
      <w:lvlJc w:val="left"/>
      <w:pPr>
        <w:ind w:left="4870" w:hanging="217"/>
      </w:pPr>
      <w:rPr>
        <w:rFonts w:hint="default"/>
        <w:lang w:val="en-GB" w:eastAsia="en-GB" w:bidi="en-GB"/>
      </w:rPr>
    </w:lvl>
    <w:lvl w:ilvl="7" w:tplc="3EA215D8">
      <w:numFmt w:val="bullet"/>
      <w:lvlText w:val="•"/>
      <w:lvlJc w:val="left"/>
      <w:pPr>
        <w:ind w:left="5631" w:hanging="217"/>
      </w:pPr>
      <w:rPr>
        <w:rFonts w:hint="default"/>
        <w:lang w:val="en-GB" w:eastAsia="en-GB" w:bidi="en-GB"/>
      </w:rPr>
    </w:lvl>
    <w:lvl w:ilvl="8" w:tplc="781A0C80">
      <w:numFmt w:val="bullet"/>
      <w:lvlText w:val="•"/>
      <w:lvlJc w:val="left"/>
      <w:pPr>
        <w:ind w:left="6393" w:hanging="217"/>
      </w:pPr>
      <w:rPr>
        <w:rFonts w:hint="default"/>
        <w:lang w:val="en-GB" w:eastAsia="en-GB" w:bidi="en-GB"/>
      </w:rPr>
    </w:lvl>
  </w:abstractNum>
  <w:abstractNum w:abstractNumId="374" w15:restartNumberingAfterBreak="0">
    <w:nsid w:val="22D465B0"/>
    <w:multiLevelType w:val="hybridMultilevel"/>
    <w:tmpl w:val="A964CE68"/>
    <w:lvl w:ilvl="0" w:tplc="F0CED56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1CA8A10">
      <w:numFmt w:val="bullet"/>
      <w:lvlText w:val="•"/>
      <w:lvlJc w:val="left"/>
      <w:pPr>
        <w:ind w:left="439" w:hanging="217"/>
      </w:pPr>
      <w:rPr>
        <w:rFonts w:hint="default"/>
        <w:lang w:val="en-GB" w:eastAsia="en-GB" w:bidi="en-GB"/>
      </w:rPr>
    </w:lvl>
    <w:lvl w:ilvl="2" w:tplc="149C2346">
      <w:numFmt w:val="bullet"/>
      <w:lvlText w:val="•"/>
      <w:lvlJc w:val="left"/>
      <w:pPr>
        <w:ind w:left="578" w:hanging="217"/>
      </w:pPr>
      <w:rPr>
        <w:rFonts w:hint="default"/>
        <w:lang w:val="en-GB" w:eastAsia="en-GB" w:bidi="en-GB"/>
      </w:rPr>
    </w:lvl>
    <w:lvl w:ilvl="3" w:tplc="99780F38">
      <w:numFmt w:val="bullet"/>
      <w:lvlText w:val="•"/>
      <w:lvlJc w:val="left"/>
      <w:pPr>
        <w:ind w:left="717" w:hanging="217"/>
      </w:pPr>
      <w:rPr>
        <w:rFonts w:hint="default"/>
        <w:lang w:val="en-GB" w:eastAsia="en-GB" w:bidi="en-GB"/>
      </w:rPr>
    </w:lvl>
    <w:lvl w:ilvl="4" w:tplc="5670843C">
      <w:numFmt w:val="bullet"/>
      <w:lvlText w:val="•"/>
      <w:lvlJc w:val="left"/>
      <w:pPr>
        <w:ind w:left="856" w:hanging="217"/>
      </w:pPr>
      <w:rPr>
        <w:rFonts w:hint="default"/>
        <w:lang w:val="en-GB" w:eastAsia="en-GB" w:bidi="en-GB"/>
      </w:rPr>
    </w:lvl>
    <w:lvl w:ilvl="5" w:tplc="50AAED64">
      <w:numFmt w:val="bullet"/>
      <w:lvlText w:val="•"/>
      <w:lvlJc w:val="left"/>
      <w:pPr>
        <w:ind w:left="995" w:hanging="217"/>
      </w:pPr>
      <w:rPr>
        <w:rFonts w:hint="default"/>
        <w:lang w:val="en-GB" w:eastAsia="en-GB" w:bidi="en-GB"/>
      </w:rPr>
    </w:lvl>
    <w:lvl w:ilvl="6" w:tplc="C5C83D2A">
      <w:numFmt w:val="bullet"/>
      <w:lvlText w:val="•"/>
      <w:lvlJc w:val="left"/>
      <w:pPr>
        <w:ind w:left="1134" w:hanging="217"/>
      </w:pPr>
      <w:rPr>
        <w:rFonts w:hint="default"/>
        <w:lang w:val="en-GB" w:eastAsia="en-GB" w:bidi="en-GB"/>
      </w:rPr>
    </w:lvl>
    <w:lvl w:ilvl="7" w:tplc="F57C5218">
      <w:numFmt w:val="bullet"/>
      <w:lvlText w:val="•"/>
      <w:lvlJc w:val="left"/>
      <w:pPr>
        <w:ind w:left="1273" w:hanging="217"/>
      </w:pPr>
      <w:rPr>
        <w:rFonts w:hint="default"/>
        <w:lang w:val="en-GB" w:eastAsia="en-GB" w:bidi="en-GB"/>
      </w:rPr>
    </w:lvl>
    <w:lvl w:ilvl="8" w:tplc="C34AA7C8">
      <w:numFmt w:val="bullet"/>
      <w:lvlText w:val="•"/>
      <w:lvlJc w:val="left"/>
      <w:pPr>
        <w:ind w:left="1412" w:hanging="217"/>
      </w:pPr>
      <w:rPr>
        <w:rFonts w:hint="default"/>
        <w:lang w:val="en-GB" w:eastAsia="en-GB" w:bidi="en-GB"/>
      </w:rPr>
    </w:lvl>
  </w:abstractNum>
  <w:abstractNum w:abstractNumId="375" w15:restartNumberingAfterBreak="0">
    <w:nsid w:val="22D864D1"/>
    <w:multiLevelType w:val="hybridMultilevel"/>
    <w:tmpl w:val="F9721454"/>
    <w:lvl w:ilvl="0" w:tplc="40E03B44">
      <w:numFmt w:val="bullet"/>
      <w:lvlText w:val="•"/>
      <w:lvlJc w:val="left"/>
      <w:pPr>
        <w:ind w:left="299" w:hanging="217"/>
      </w:pPr>
      <w:rPr>
        <w:rFonts w:ascii="Arial" w:eastAsia="Arial" w:hAnsi="Arial" w:cs="Arial" w:hint="default"/>
        <w:color w:val="231F20"/>
        <w:w w:val="102"/>
        <w:sz w:val="17"/>
        <w:szCs w:val="17"/>
        <w:lang w:val="en-GB" w:eastAsia="en-GB" w:bidi="en-GB"/>
      </w:rPr>
    </w:lvl>
    <w:lvl w:ilvl="1" w:tplc="FA38CFD6">
      <w:numFmt w:val="bullet"/>
      <w:lvlText w:val="•"/>
      <w:lvlJc w:val="left"/>
      <w:pPr>
        <w:ind w:left="790" w:hanging="217"/>
      </w:pPr>
      <w:rPr>
        <w:rFonts w:hint="default"/>
        <w:lang w:val="en-GB" w:eastAsia="en-GB" w:bidi="en-GB"/>
      </w:rPr>
    </w:lvl>
    <w:lvl w:ilvl="2" w:tplc="021408F0">
      <w:numFmt w:val="bullet"/>
      <w:lvlText w:val="•"/>
      <w:lvlJc w:val="left"/>
      <w:pPr>
        <w:ind w:left="1280" w:hanging="217"/>
      </w:pPr>
      <w:rPr>
        <w:rFonts w:hint="default"/>
        <w:lang w:val="en-GB" w:eastAsia="en-GB" w:bidi="en-GB"/>
      </w:rPr>
    </w:lvl>
    <w:lvl w:ilvl="3" w:tplc="19CAD9A8">
      <w:numFmt w:val="bullet"/>
      <w:lvlText w:val="•"/>
      <w:lvlJc w:val="left"/>
      <w:pPr>
        <w:ind w:left="1770" w:hanging="217"/>
      </w:pPr>
      <w:rPr>
        <w:rFonts w:hint="default"/>
        <w:lang w:val="en-GB" w:eastAsia="en-GB" w:bidi="en-GB"/>
      </w:rPr>
    </w:lvl>
    <w:lvl w:ilvl="4" w:tplc="B1FC7CEA">
      <w:numFmt w:val="bullet"/>
      <w:lvlText w:val="•"/>
      <w:lvlJc w:val="left"/>
      <w:pPr>
        <w:ind w:left="2260" w:hanging="217"/>
      </w:pPr>
      <w:rPr>
        <w:rFonts w:hint="default"/>
        <w:lang w:val="en-GB" w:eastAsia="en-GB" w:bidi="en-GB"/>
      </w:rPr>
    </w:lvl>
    <w:lvl w:ilvl="5" w:tplc="A588E808">
      <w:numFmt w:val="bullet"/>
      <w:lvlText w:val="•"/>
      <w:lvlJc w:val="left"/>
      <w:pPr>
        <w:ind w:left="2750" w:hanging="217"/>
      </w:pPr>
      <w:rPr>
        <w:rFonts w:hint="default"/>
        <w:lang w:val="en-GB" w:eastAsia="en-GB" w:bidi="en-GB"/>
      </w:rPr>
    </w:lvl>
    <w:lvl w:ilvl="6" w:tplc="0480248A">
      <w:numFmt w:val="bullet"/>
      <w:lvlText w:val="•"/>
      <w:lvlJc w:val="left"/>
      <w:pPr>
        <w:ind w:left="3240" w:hanging="217"/>
      </w:pPr>
      <w:rPr>
        <w:rFonts w:hint="default"/>
        <w:lang w:val="en-GB" w:eastAsia="en-GB" w:bidi="en-GB"/>
      </w:rPr>
    </w:lvl>
    <w:lvl w:ilvl="7" w:tplc="37007FD6">
      <w:numFmt w:val="bullet"/>
      <w:lvlText w:val="•"/>
      <w:lvlJc w:val="left"/>
      <w:pPr>
        <w:ind w:left="3730" w:hanging="217"/>
      </w:pPr>
      <w:rPr>
        <w:rFonts w:hint="default"/>
        <w:lang w:val="en-GB" w:eastAsia="en-GB" w:bidi="en-GB"/>
      </w:rPr>
    </w:lvl>
    <w:lvl w:ilvl="8" w:tplc="D7045B9A">
      <w:numFmt w:val="bullet"/>
      <w:lvlText w:val="•"/>
      <w:lvlJc w:val="left"/>
      <w:pPr>
        <w:ind w:left="4220" w:hanging="217"/>
      </w:pPr>
      <w:rPr>
        <w:rFonts w:hint="default"/>
        <w:lang w:val="en-GB" w:eastAsia="en-GB" w:bidi="en-GB"/>
      </w:rPr>
    </w:lvl>
  </w:abstractNum>
  <w:abstractNum w:abstractNumId="376" w15:restartNumberingAfterBreak="0">
    <w:nsid w:val="22D923ED"/>
    <w:multiLevelType w:val="hybridMultilevel"/>
    <w:tmpl w:val="DABAD232"/>
    <w:lvl w:ilvl="0" w:tplc="56FC7A52">
      <w:numFmt w:val="bullet"/>
      <w:lvlText w:val="•"/>
      <w:lvlJc w:val="left"/>
      <w:pPr>
        <w:ind w:left="304" w:hanging="217"/>
      </w:pPr>
      <w:rPr>
        <w:rFonts w:ascii="Arial" w:eastAsia="Arial" w:hAnsi="Arial" w:cs="Arial" w:hint="default"/>
        <w:color w:val="231F20"/>
        <w:w w:val="100"/>
        <w:sz w:val="18"/>
        <w:szCs w:val="18"/>
        <w:lang w:val="en-GB" w:eastAsia="en-GB" w:bidi="en-GB"/>
      </w:rPr>
    </w:lvl>
    <w:lvl w:ilvl="1" w:tplc="08609D38">
      <w:numFmt w:val="bullet"/>
      <w:lvlText w:val="•"/>
      <w:lvlJc w:val="left"/>
      <w:pPr>
        <w:ind w:left="677" w:hanging="217"/>
      </w:pPr>
      <w:rPr>
        <w:rFonts w:hint="default"/>
        <w:lang w:val="en-GB" w:eastAsia="en-GB" w:bidi="en-GB"/>
      </w:rPr>
    </w:lvl>
    <w:lvl w:ilvl="2" w:tplc="D43EF154">
      <w:numFmt w:val="bullet"/>
      <w:lvlText w:val="•"/>
      <w:lvlJc w:val="left"/>
      <w:pPr>
        <w:ind w:left="1054" w:hanging="217"/>
      </w:pPr>
      <w:rPr>
        <w:rFonts w:hint="default"/>
        <w:lang w:val="en-GB" w:eastAsia="en-GB" w:bidi="en-GB"/>
      </w:rPr>
    </w:lvl>
    <w:lvl w:ilvl="3" w:tplc="AE0EEBF2">
      <w:numFmt w:val="bullet"/>
      <w:lvlText w:val="•"/>
      <w:lvlJc w:val="left"/>
      <w:pPr>
        <w:ind w:left="1431" w:hanging="217"/>
      </w:pPr>
      <w:rPr>
        <w:rFonts w:hint="default"/>
        <w:lang w:val="en-GB" w:eastAsia="en-GB" w:bidi="en-GB"/>
      </w:rPr>
    </w:lvl>
    <w:lvl w:ilvl="4" w:tplc="2548A1A6">
      <w:numFmt w:val="bullet"/>
      <w:lvlText w:val="•"/>
      <w:lvlJc w:val="left"/>
      <w:pPr>
        <w:ind w:left="1808" w:hanging="217"/>
      </w:pPr>
      <w:rPr>
        <w:rFonts w:hint="default"/>
        <w:lang w:val="en-GB" w:eastAsia="en-GB" w:bidi="en-GB"/>
      </w:rPr>
    </w:lvl>
    <w:lvl w:ilvl="5" w:tplc="CBA28B32">
      <w:numFmt w:val="bullet"/>
      <w:lvlText w:val="•"/>
      <w:lvlJc w:val="left"/>
      <w:pPr>
        <w:ind w:left="2186" w:hanging="217"/>
      </w:pPr>
      <w:rPr>
        <w:rFonts w:hint="default"/>
        <w:lang w:val="en-GB" w:eastAsia="en-GB" w:bidi="en-GB"/>
      </w:rPr>
    </w:lvl>
    <w:lvl w:ilvl="6" w:tplc="7D70D502">
      <w:numFmt w:val="bullet"/>
      <w:lvlText w:val="•"/>
      <w:lvlJc w:val="left"/>
      <w:pPr>
        <w:ind w:left="2563" w:hanging="217"/>
      </w:pPr>
      <w:rPr>
        <w:rFonts w:hint="default"/>
        <w:lang w:val="en-GB" w:eastAsia="en-GB" w:bidi="en-GB"/>
      </w:rPr>
    </w:lvl>
    <w:lvl w:ilvl="7" w:tplc="51A221D0">
      <w:numFmt w:val="bullet"/>
      <w:lvlText w:val="•"/>
      <w:lvlJc w:val="left"/>
      <w:pPr>
        <w:ind w:left="2940" w:hanging="217"/>
      </w:pPr>
      <w:rPr>
        <w:rFonts w:hint="default"/>
        <w:lang w:val="en-GB" w:eastAsia="en-GB" w:bidi="en-GB"/>
      </w:rPr>
    </w:lvl>
    <w:lvl w:ilvl="8" w:tplc="B45A8F24">
      <w:numFmt w:val="bullet"/>
      <w:lvlText w:val="•"/>
      <w:lvlJc w:val="left"/>
      <w:pPr>
        <w:ind w:left="3317" w:hanging="217"/>
      </w:pPr>
      <w:rPr>
        <w:rFonts w:hint="default"/>
        <w:lang w:val="en-GB" w:eastAsia="en-GB" w:bidi="en-GB"/>
      </w:rPr>
    </w:lvl>
  </w:abstractNum>
  <w:abstractNum w:abstractNumId="377" w15:restartNumberingAfterBreak="0">
    <w:nsid w:val="22DE4EC9"/>
    <w:multiLevelType w:val="hybridMultilevel"/>
    <w:tmpl w:val="8EA4C5A8"/>
    <w:lvl w:ilvl="0" w:tplc="47D4214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E90696A">
      <w:numFmt w:val="bullet"/>
      <w:lvlText w:val="•"/>
      <w:lvlJc w:val="left"/>
      <w:pPr>
        <w:ind w:left="473" w:hanging="217"/>
      </w:pPr>
      <w:rPr>
        <w:rFonts w:hint="default"/>
        <w:lang w:val="en-GB" w:eastAsia="en-GB" w:bidi="en-GB"/>
      </w:rPr>
    </w:lvl>
    <w:lvl w:ilvl="2" w:tplc="869C8F14">
      <w:numFmt w:val="bullet"/>
      <w:lvlText w:val="•"/>
      <w:lvlJc w:val="left"/>
      <w:pPr>
        <w:ind w:left="646" w:hanging="217"/>
      </w:pPr>
      <w:rPr>
        <w:rFonts w:hint="default"/>
        <w:lang w:val="en-GB" w:eastAsia="en-GB" w:bidi="en-GB"/>
      </w:rPr>
    </w:lvl>
    <w:lvl w:ilvl="3" w:tplc="6138FF22">
      <w:numFmt w:val="bullet"/>
      <w:lvlText w:val="•"/>
      <w:lvlJc w:val="left"/>
      <w:pPr>
        <w:ind w:left="819" w:hanging="217"/>
      </w:pPr>
      <w:rPr>
        <w:rFonts w:hint="default"/>
        <w:lang w:val="en-GB" w:eastAsia="en-GB" w:bidi="en-GB"/>
      </w:rPr>
    </w:lvl>
    <w:lvl w:ilvl="4" w:tplc="835E3B68">
      <w:numFmt w:val="bullet"/>
      <w:lvlText w:val="•"/>
      <w:lvlJc w:val="left"/>
      <w:pPr>
        <w:ind w:left="992" w:hanging="217"/>
      </w:pPr>
      <w:rPr>
        <w:rFonts w:hint="default"/>
        <w:lang w:val="en-GB" w:eastAsia="en-GB" w:bidi="en-GB"/>
      </w:rPr>
    </w:lvl>
    <w:lvl w:ilvl="5" w:tplc="98207D8C">
      <w:numFmt w:val="bullet"/>
      <w:lvlText w:val="•"/>
      <w:lvlJc w:val="left"/>
      <w:pPr>
        <w:ind w:left="1165" w:hanging="217"/>
      </w:pPr>
      <w:rPr>
        <w:rFonts w:hint="default"/>
        <w:lang w:val="en-GB" w:eastAsia="en-GB" w:bidi="en-GB"/>
      </w:rPr>
    </w:lvl>
    <w:lvl w:ilvl="6" w:tplc="09D0F1F0">
      <w:numFmt w:val="bullet"/>
      <w:lvlText w:val="•"/>
      <w:lvlJc w:val="left"/>
      <w:pPr>
        <w:ind w:left="1338" w:hanging="217"/>
      </w:pPr>
      <w:rPr>
        <w:rFonts w:hint="default"/>
        <w:lang w:val="en-GB" w:eastAsia="en-GB" w:bidi="en-GB"/>
      </w:rPr>
    </w:lvl>
    <w:lvl w:ilvl="7" w:tplc="3E34BB30">
      <w:numFmt w:val="bullet"/>
      <w:lvlText w:val="•"/>
      <w:lvlJc w:val="left"/>
      <w:pPr>
        <w:ind w:left="1511" w:hanging="217"/>
      </w:pPr>
      <w:rPr>
        <w:rFonts w:hint="default"/>
        <w:lang w:val="en-GB" w:eastAsia="en-GB" w:bidi="en-GB"/>
      </w:rPr>
    </w:lvl>
    <w:lvl w:ilvl="8" w:tplc="D3D63562">
      <w:numFmt w:val="bullet"/>
      <w:lvlText w:val="•"/>
      <w:lvlJc w:val="left"/>
      <w:pPr>
        <w:ind w:left="1684" w:hanging="217"/>
      </w:pPr>
      <w:rPr>
        <w:rFonts w:hint="default"/>
        <w:lang w:val="en-GB" w:eastAsia="en-GB" w:bidi="en-GB"/>
      </w:rPr>
    </w:lvl>
  </w:abstractNum>
  <w:abstractNum w:abstractNumId="378" w15:restartNumberingAfterBreak="0">
    <w:nsid w:val="22EA1A82"/>
    <w:multiLevelType w:val="hybridMultilevel"/>
    <w:tmpl w:val="4308DE10"/>
    <w:lvl w:ilvl="0" w:tplc="ADC4E3E0">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AFD405C0">
      <w:numFmt w:val="bullet"/>
      <w:lvlText w:val="•"/>
      <w:lvlJc w:val="left"/>
      <w:pPr>
        <w:ind w:left="473" w:hanging="217"/>
      </w:pPr>
      <w:rPr>
        <w:rFonts w:hint="default"/>
        <w:lang w:val="en-GB" w:eastAsia="en-GB" w:bidi="en-GB"/>
      </w:rPr>
    </w:lvl>
    <w:lvl w:ilvl="2" w:tplc="D3121A3C">
      <w:numFmt w:val="bullet"/>
      <w:lvlText w:val="•"/>
      <w:lvlJc w:val="left"/>
      <w:pPr>
        <w:ind w:left="646" w:hanging="217"/>
      </w:pPr>
      <w:rPr>
        <w:rFonts w:hint="default"/>
        <w:lang w:val="en-GB" w:eastAsia="en-GB" w:bidi="en-GB"/>
      </w:rPr>
    </w:lvl>
    <w:lvl w:ilvl="3" w:tplc="DDBAD4CC">
      <w:numFmt w:val="bullet"/>
      <w:lvlText w:val="•"/>
      <w:lvlJc w:val="left"/>
      <w:pPr>
        <w:ind w:left="819" w:hanging="217"/>
      </w:pPr>
      <w:rPr>
        <w:rFonts w:hint="default"/>
        <w:lang w:val="en-GB" w:eastAsia="en-GB" w:bidi="en-GB"/>
      </w:rPr>
    </w:lvl>
    <w:lvl w:ilvl="4" w:tplc="3EBE8A7E">
      <w:numFmt w:val="bullet"/>
      <w:lvlText w:val="•"/>
      <w:lvlJc w:val="left"/>
      <w:pPr>
        <w:ind w:left="992" w:hanging="217"/>
      </w:pPr>
      <w:rPr>
        <w:rFonts w:hint="default"/>
        <w:lang w:val="en-GB" w:eastAsia="en-GB" w:bidi="en-GB"/>
      </w:rPr>
    </w:lvl>
    <w:lvl w:ilvl="5" w:tplc="67FCC484">
      <w:numFmt w:val="bullet"/>
      <w:lvlText w:val="•"/>
      <w:lvlJc w:val="left"/>
      <w:pPr>
        <w:ind w:left="1165" w:hanging="217"/>
      </w:pPr>
      <w:rPr>
        <w:rFonts w:hint="default"/>
        <w:lang w:val="en-GB" w:eastAsia="en-GB" w:bidi="en-GB"/>
      </w:rPr>
    </w:lvl>
    <w:lvl w:ilvl="6" w:tplc="9C108E12">
      <w:numFmt w:val="bullet"/>
      <w:lvlText w:val="•"/>
      <w:lvlJc w:val="left"/>
      <w:pPr>
        <w:ind w:left="1338" w:hanging="217"/>
      </w:pPr>
      <w:rPr>
        <w:rFonts w:hint="default"/>
        <w:lang w:val="en-GB" w:eastAsia="en-GB" w:bidi="en-GB"/>
      </w:rPr>
    </w:lvl>
    <w:lvl w:ilvl="7" w:tplc="F2068906">
      <w:numFmt w:val="bullet"/>
      <w:lvlText w:val="•"/>
      <w:lvlJc w:val="left"/>
      <w:pPr>
        <w:ind w:left="1511" w:hanging="217"/>
      </w:pPr>
      <w:rPr>
        <w:rFonts w:hint="default"/>
        <w:lang w:val="en-GB" w:eastAsia="en-GB" w:bidi="en-GB"/>
      </w:rPr>
    </w:lvl>
    <w:lvl w:ilvl="8" w:tplc="16BEE6EE">
      <w:numFmt w:val="bullet"/>
      <w:lvlText w:val="•"/>
      <w:lvlJc w:val="left"/>
      <w:pPr>
        <w:ind w:left="1684" w:hanging="217"/>
      </w:pPr>
      <w:rPr>
        <w:rFonts w:hint="default"/>
        <w:lang w:val="en-GB" w:eastAsia="en-GB" w:bidi="en-GB"/>
      </w:rPr>
    </w:lvl>
  </w:abstractNum>
  <w:abstractNum w:abstractNumId="379" w15:restartNumberingAfterBreak="0">
    <w:nsid w:val="23232543"/>
    <w:multiLevelType w:val="hybridMultilevel"/>
    <w:tmpl w:val="6A0EF2B6"/>
    <w:lvl w:ilvl="0" w:tplc="B31E000C">
      <w:numFmt w:val="bullet"/>
      <w:lvlText w:val="•"/>
      <w:lvlJc w:val="left"/>
      <w:pPr>
        <w:ind w:left="303" w:hanging="217"/>
      </w:pPr>
      <w:rPr>
        <w:rFonts w:ascii="Arial" w:eastAsia="Arial" w:hAnsi="Arial" w:cs="Arial" w:hint="default"/>
        <w:color w:val="231F20"/>
        <w:w w:val="102"/>
        <w:sz w:val="17"/>
        <w:szCs w:val="17"/>
        <w:lang w:val="en-GB" w:eastAsia="en-GB" w:bidi="en-GB"/>
      </w:rPr>
    </w:lvl>
    <w:lvl w:ilvl="1" w:tplc="4E0A3196">
      <w:numFmt w:val="bullet"/>
      <w:lvlText w:val="•"/>
      <w:lvlJc w:val="left"/>
      <w:pPr>
        <w:ind w:left="439" w:hanging="217"/>
      </w:pPr>
      <w:rPr>
        <w:rFonts w:hint="default"/>
        <w:lang w:val="en-GB" w:eastAsia="en-GB" w:bidi="en-GB"/>
      </w:rPr>
    </w:lvl>
    <w:lvl w:ilvl="2" w:tplc="D2906588">
      <w:numFmt w:val="bullet"/>
      <w:lvlText w:val="•"/>
      <w:lvlJc w:val="left"/>
      <w:pPr>
        <w:ind w:left="578" w:hanging="217"/>
      </w:pPr>
      <w:rPr>
        <w:rFonts w:hint="default"/>
        <w:lang w:val="en-GB" w:eastAsia="en-GB" w:bidi="en-GB"/>
      </w:rPr>
    </w:lvl>
    <w:lvl w:ilvl="3" w:tplc="6DF23A3C">
      <w:numFmt w:val="bullet"/>
      <w:lvlText w:val="•"/>
      <w:lvlJc w:val="left"/>
      <w:pPr>
        <w:ind w:left="717" w:hanging="217"/>
      </w:pPr>
      <w:rPr>
        <w:rFonts w:hint="default"/>
        <w:lang w:val="en-GB" w:eastAsia="en-GB" w:bidi="en-GB"/>
      </w:rPr>
    </w:lvl>
    <w:lvl w:ilvl="4" w:tplc="9D0C3DC6">
      <w:numFmt w:val="bullet"/>
      <w:lvlText w:val="•"/>
      <w:lvlJc w:val="left"/>
      <w:pPr>
        <w:ind w:left="856" w:hanging="217"/>
      </w:pPr>
      <w:rPr>
        <w:rFonts w:hint="default"/>
        <w:lang w:val="en-GB" w:eastAsia="en-GB" w:bidi="en-GB"/>
      </w:rPr>
    </w:lvl>
    <w:lvl w:ilvl="5" w:tplc="61961468">
      <w:numFmt w:val="bullet"/>
      <w:lvlText w:val="•"/>
      <w:lvlJc w:val="left"/>
      <w:pPr>
        <w:ind w:left="995" w:hanging="217"/>
      </w:pPr>
      <w:rPr>
        <w:rFonts w:hint="default"/>
        <w:lang w:val="en-GB" w:eastAsia="en-GB" w:bidi="en-GB"/>
      </w:rPr>
    </w:lvl>
    <w:lvl w:ilvl="6" w:tplc="27DEBEF4">
      <w:numFmt w:val="bullet"/>
      <w:lvlText w:val="•"/>
      <w:lvlJc w:val="left"/>
      <w:pPr>
        <w:ind w:left="1134" w:hanging="217"/>
      </w:pPr>
      <w:rPr>
        <w:rFonts w:hint="default"/>
        <w:lang w:val="en-GB" w:eastAsia="en-GB" w:bidi="en-GB"/>
      </w:rPr>
    </w:lvl>
    <w:lvl w:ilvl="7" w:tplc="0F1E660C">
      <w:numFmt w:val="bullet"/>
      <w:lvlText w:val="•"/>
      <w:lvlJc w:val="left"/>
      <w:pPr>
        <w:ind w:left="1273" w:hanging="217"/>
      </w:pPr>
      <w:rPr>
        <w:rFonts w:hint="default"/>
        <w:lang w:val="en-GB" w:eastAsia="en-GB" w:bidi="en-GB"/>
      </w:rPr>
    </w:lvl>
    <w:lvl w:ilvl="8" w:tplc="3992E5B4">
      <w:numFmt w:val="bullet"/>
      <w:lvlText w:val="•"/>
      <w:lvlJc w:val="left"/>
      <w:pPr>
        <w:ind w:left="1412" w:hanging="217"/>
      </w:pPr>
      <w:rPr>
        <w:rFonts w:hint="default"/>
        <w:lang w:val="en-GB" w:eastAsia="en-GB" w:bidi="en-GB"/>
      </w:rPr>
    </w:lvl>
  </w:abstractNum>
  <w:abstractNum w:abstractNumId="380" w15:restartNumberingAfterBreak="0">
    <w:nsid w:val="232A4AC5"/>
    <w:multiLevelType w:val="hybridMultilevel"/>
    <w:tmpl w:val="48F43814"/>
    <w:lvl w:ilvl="0" w:tplc="C00C268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B600C50">
      <w:numFmt w:val="bullet"/>
      <w:lvlText w:val="•"/>
      <w:lvlJc w:val="left"/>
      <w:pPr>
        <w:ind w:left="473" w:hanging="217"/>
      </w:pPr>
      <w:rPr>
        <w:rFonts w:hint="default"/>
        <w:lang w:val="en-GB" w:eastAsia="en-GB" w:bidi="en-GB"/>
      </w:rPr>
    </w:lvl>
    <w:lvl w:ilvl="2" w:tplc="C37C26B6">
      <w:numFmt w:val="bullet"/>
      <w:lvlText w:val="•"/>
      <w:lvlJc w:val="left"/>
      <w:pPr>
        <w:ind w:left="646" w:hanging="217"/>
      </w:pPr>
      <w:rPr>
        <w:rFonts w:hint="default"/>
        <w:lang w:val="en-GB" w:eastAsia="en-GB" w:bidi="en-GB"/>
      </w:rPr>
    </w:lvl>
    <w:lvl w:ilvl="3" w:tplc="71BCBED2">
      <w:numFmt w:val="bullet"/>
      <w:lvlText w:val="•"/>
      <w:lvlJc w:val="left"/>
      <w:pPr>
        <w:ind w:left="819" w:hanging="217"/>
      </w:pPr>
      <w:rPr>
        <w:rFonts w:hint="default"/>
        <w:lang w:val="en-GB" w:eastAsia="en-GB" w:bidi="en-GB"/>
      </w:rPr>
    </w:lvl>
    <w:lvl w:ilvl="4" w:tplc="1D407F70">
      <w:numFmt w:val="bullet"/>
      <w:lvlText w:val="•"/>
      <w:lvlJc w:val="left"/>
      <w:pPr>
        <w:ind w:left="992" w:hanging="217"/>
      </w:pPr>
      <w:rPr>
        <w:rFonts w:hint="default"/>
        <w:lang w:val="en-GB" w:eastAsia="en-GB" w:bidi="en-GB"/>
      </w:rPr>
    </w:lvl>
    <w:lvl w:ilvl="5" w:tplc="5BAAFC58">
      <w:numFmt w:val="bullet"/>
      <w:lvlText w:val="•"/>
      <w:lvlJc w:val="left"/>
      <w:pPr>
        <w:ind w:left="1165" w:hanging="217"/>
      </w:pPr>
      <w:rPr>
        <w:rFonts w:hint="default"/>
        <w:lang w:val="en-GB" w:eastAsia="en-GB" w:bidi="en-GB"/>
      </w:rPr>
    </w:lvl>
    <w:lvl w:ilvl="6" w:tplc="4CB2DDF6">
      <w:numFmt w:val="bullet"/>
      <w:lvlText w:val="•"/>
      <w:lvlJc w:val="left"/>
      <w:pPr>
        <w:ind w:left="1338" w:hanging="217"/>
      </w:pPr>
      <w:rPr>
        <w:rFonts w:hint="default"/>
        <w:lang w:val="en-GB" w:eastAsia="en-GB" w:bidi="en-GB"/>
      </w:rPr>
    </w:lvl>
    <w:lvl w:ilvl="7" w:tplc="E69A3822">
      <w:numFmt w:val="bullet"/>
      <w:lvlText w:val="•"/>
      <w:lvlJc w:val="left"/>
      <w:pPr>
        <w:ind w:left="1511" w:hanging="217"/>
      </w:pPr>
      <w:rPr>
        <w:rFonts w:hint="default"/>
        <w:lang w:val="en-GB" w:eastAsia="en-GB" w:bidi="en-GB"/>
      </w:rPr>
    </w:lvl>
    <w:lvl w:ilvl="8" w:tplc="E0445098">
      <w:numFmt w:val="bullet"/>
      <w:lvlText w:val="•"/>
      <w:lvlJc w:val="left"/>
      <w:pPr>
        <w:ind w:left="1684" w:hanging="217"/>
      </w:pPr>
      <w:rPr>
        <w:rFonts w:hint="default"/>
        <w:lang w:val="en-GB" w:eastAsia="en-GB" w:bidi="en-GB"/>
      </w:rPr>
    </w:lvl>
  </w:abstractNum>
  <w:abstractNum w:abstractNumId="381" w15:restartNumberingAfterBreak="0">
    <w:nsid w:val="23315A05"/>
    <w:multiLevelType w:val="hybridMultilevel"/>
    <w:tmpl w:val="85B8581E"/>
    <w:lvl w:ilvl="0" w:tplc="D3E44C6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3C2664E">
      <w:numFmt w:val="bullet"/>
      <w:lvlText w:val="•"/>
      <w:lvlJc w:val="left"/>
      <w:pPr>
        <w:ind w:left="473" w:hanging="217"/>
      </w:pPr>
      <w:rPr>
        <w:rFonts w:hint="default"/>
        <w:lang w:val="en-GB" w:eastAsia="en-GB" w:bidi="en-GB"/>
      </w:rPr>
    </w:lvl>
    <w:lvl w:ilvl="2" w:tplc="4606BA7E">
      <w:numFmt w:val="bullet"/>
      <w:lvlText w:val="•"/>
      <w:lvlJc w:val="left"/>
      <w:pPr>
        <w:ind w:left="646" w:hanging="217"/>
      </w:pPr>
      <w:rPr>
        <w:rFonts w:hint="default"/>
        <w:lang w:val="en-GB" w:eastAsia="en-GB" w:bidi="en-GB"/>
      </w:rPr>
    </w:lvl>
    <w:lvl w:ilvl="3" w:tplc="06A40D76">
      <w:numFmt w:val="bullet"/>
      <w:lvlText w:val="•"/>
      <w:lvlJc w:val="left"/>
      <w:pPr>
        <w:ind w:left="819" w:hanging="217"/>
      </w:pPr>
      <w:rPr>
        <w:rFonts w:hint="default"/>
        <w:lang w:val="en-GB" w:eastAsia="en-GB" w:bidi="en-GB"/>
      </w:rPr>
    </w:lvl>
    <w:lvl w:ilvl="4" w:tplc="D02CAD5E">
      <w:numFmt w:val="bullet"/>
      <w:lvlText w:val="•"/>
      <w:lvlJc w:val="left"/>
      <w:pPr>
        <w:ind w:left="992" w:hanging="217"/>
      </w:pPr>
      <w:rPr>
        <w:rFonts w:hint="default"/>
        <w:lang w:val="en-GB" w:eastAsia="en-GB" w:bidi="en-GB"/>
      </w:rPr>
    </w:lvl>
    <w:lvl w:ilvl="5" w:tplc="926E2738">
      <w:numFmt w:val="bullet"/>
      <w:lvlText w:val="•"/>
      <w:lvlJc w:val="left"/>
      <w:pPr>
        <w:ind w:left="1165" w:hanging="217"/>
      </w:pPr>
      <w:rPr>
        <w:rFonts w:hint="default"/>
        <w:lang w:val="en-GB" w:eastAsia="en-GB" w:bidi="en-GB"/>
      </w:rPr>
    </w:lvl>
    <w:lvl w:ilvl="6" w:tplc="EF146278">
      <w:numFmt w:val="bullet"/>
      <w:lvlText w:val="•"/>
      <w:lvlJc w:val="left"/>
      <w:pPr>
        <w:ind w:left="1338" w:hanging="217"/>
      </w:pPr>
      <w:rPr>
        <w:rFonts w:hint="default"/>
        <w:lang w:val="en-GB" w:eastAsia="en-GB" w:bidi="en-GB"/>
      </w:rPr>
    </w:lvl>
    <w:lvl w:ilvl="7" w:tplc="FC2A898A">
      <w:numFmt w:val="bullet"/>
      <w:lvlText w:val="•"/>
      <w:lvlJc w:val="left"/>
      <w:pPr>
        <w:ind w:left="1511" w:hanging="217"/>
      </w:pPr>
      <w:rPr>
        <w:rFonts w:hint="default"/>
        <w:lang w:val="en-GB" w:eastAsia="en-GB" w:bidi="en-GB"/>
      </w:rPr>
    </w:lvl>
    <w:lvl w:ilvl="8" w:tplc="08B20F76">
      <w:numFmt w:val="bullet"/>
      <w:lvlText w:val="•"/>
      <w:lvlJc w:val="left"/>
      <w:pPr>
        <w:ind w:left="1684" w:hanging="217"/>
      </w:pPr>
      <w:rPr>
        <w:rFonts w:hint="default"/>
        <w:lang w:val="en-GB" w:eastAsia="en-GB" w:bidi="en-GB"/>
      </w:rPr>
    </w:lvl>
  </w:abstractNum>
  <w:abstractNum w:abstractNumId="382" w15:restartNumberingAfterBreak="0">
    <w:nsid w:val="23437AF6"/>
    <w:multiLevelType w:val="hybridMultilevel"/>
    <w:tmpl w:val="F3DA7206"/>
    <w:lvl w:ilvl="0" w:tplc="B81C8ED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97A6660">
      <w:numFmt w:val="bullet"/>
      <w:lvlText w:val="•"/>
      <w:lvlJc w:val="left"/>
      <w:pPr>
        <w:ind w:left="1061" w:hanging="217"/>
      </w:pPr>
      <w:rPr>
        <w:rFonts w:hint="default"/>
        <w:lang w:val="en-GB" w:eastAsia="en-GB" w:bidi="en-GB"/>
      </w:rPr>
    </w:lvl>
    <w:lvl w:ilvl="2" w:tplc="E1CE4E36">
      <w:numFmt w:val="bullet"/>
      <w:lvlText w:val="•"/>
      <w:lvlJc w:val="left"/>
      <w:pPr>
        <w:ind w:left="1823" w:hanging="217"/>
      </w:pPr>
      <w:rPr>
        <w:rFonts w:hint="default"/>
        <w:lang w:val="en-GB" w:eastAsia="en-GB" w:bidi="en-GB"/>
      </w:rPr>
    </w:lvl>
    <w:lvl w:ilvl="3" w:tplc="CFA216FC">
      <w:numFmt w:val="bullet"/>
      <w:lvlText w:val="•"/>
      <w:lvlJc w:val="left"/>
      <w:pPr>
        <w:ind w:left="2585" w:hanging="217"/>
      </w:pPr>
      <w:rPr>
        <w:rFonts w:hint="default"/>
        <w:lang w:val="en-GB" w:eastAsia="en-GB" w:bidi="en-GB"/>
      </w:rPr>
    </w:lvl>
    <w:lvl w:ilvl="4" w:tplc="1C1E2D0A">
      <w:numFmt w:val="bullet"/>
      <w:lvlText w:val="•"/>
      <w:lvlJc w:val="left"/>
      <w:pPr>
        <w:ind w:left="3346" w:hanging="217"/>
      </w:pPr>
      <w:rPr>
        <w:rFonts w:hint="default"/>
        <w:lang w:val="en-GB" w:eastAsia="en-GB" w:bidi="en-GB"/>
      </w:rPr>
    </w:lvl>
    <w:lvl w:ilvl="5" w:tplc="44E8E0C4">
      <w:numFmt w:val="bullet"/>
      <w:lvlText w:val="•"/>
      <w:lvlJc w:val="left"/>
      <w:pPr>
        <w:ind w:left="4108" w:hanging="217"/>
      </w:pPr>
      <w:rPr>
        <w:rFonts w:hint="default"/>
        <w:lang w:val="en-GB" w:eastAsia="en-GB" w:bidi="en-GB"/>
      </w:rPr>
    </w:lvl>
    <w:lvl w:ilvl="6" w:tplc="3C7CF2A6">
      <w:numFmt w:val="bullet"/>
      <w:lvlText w:val="•"/>
      <w:lvlJc w:val="left"/>
      <w:pPr>
        <w:ind w:left="4870" w:hanging="217"/>
      </w:pPr>
      <w:rPr>
        <w:rFonts w:hint="default"/>
        <w:lang w:val="en-GB" w:eastAsia="en-GB" w:bidi="en-GB"/>
      </w:rPr>
    </w:lvl>
    <w:lvl w:ilvl="7" w:tplc="612C7108">
      <w:numFmt w:val="bullet"/>
      <w:lvlText w:val="•"/>
      <w:lvlJc w:val="left"/>
      <w:pPr>
        <w:ind w:left="5631" w:hanging="217"/>
      </w:pPr>
      <w:rPr>
        <w:rFonts w:hint="default"/>
        <w:lang w:val="en-GB" w:eastAsia="en-GB" w:bidi="en-GB"/>
      </w:rPr>
    </w:lvl>
    <w:lvl w:ilvl="8" w:tplc="9DA2BC4E">
      <w:numFmt w:val="bullet"/>
      <w:lvlText w:val="•"/>
      <w:lvlJc w:val="left"/>
      <w:pPr>
        <w:ind w:left="6393" w:hanging="217"/>
      </w:pPr>
      <w:rPr>
        <w:rFonts w:hint="default"/>
        <w:lang w:val="en-GB" w:eastAsia="en-GB" w:bidi="en-GB"/>
      </w:rPr>
    </w:lvl>
  </w:abstractNum>
  <w:abstractNum w:abstractNumId="383" w15:restartNumberingAfterBreak="0">
    <w:nsid w:val="235B0536"/>
    <w:multiLevelType w:val="hybridMultilevel"/>
    <w:tmpl w:val="1D24331C"/>
    <w:lvl w:ilvl="0" w:tplc="2AA8BA38">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93DCDDE8">
      <w:numFmt w:val="bullet"/>
      <w:lvlText w:val="•"/>
      <w:lvlJc w:val="left"/>
      <w:pPr>
        <w:ind w:left="892" w:hanging="217"/>
      </w:pPr>
      <w:rPr>
        <w:rFonts w:hint="default"/>
        <w:lang w:val="en-GB" w:eastAsia="en-GB" w:bidi="en-GB"/>
      </w:rPr>
    </w:lvl>
    <w:lvl w:ilvl="2" w:tplc="A1388FA0">
      <w:numFmt w:val="bullet"/>
      <w:lvlText w:val="•"/>
      <w:lvlJc w:val="left"/>
      <w:pPr>
        <w:ind w:left="1485" w:hanging="217"/>
      </w:pPr>
      <w:rPr>
        <w:rFonts w:hint="default"/>
        <w:lang w:val="en-GB" w:eastAsia="en-GB" w:bidi="en-GB"/>
      </w:rPr>
    </w:lvl>
    <w:lvl w:ilvl="3" w:tplc="6E669696">
      <w:numFmt w:val="bullet"/>
      <w:lvlText w:val="•"/>
      <w:lvlJc w:val="left"/>
      <w:pPr>
        <w:ind w:left="2077" w:hanging="217"/>
      </w:pPr>
      <w:rPr>
        <w:rFonts w:hint="default"/>
        <w:lang w:val="en-GB" w:eastAsia="en-GB" w:bidi="en-GB"/>
      </w:rPr>
    </w:lvl>
    <w:lvl w:ilvl="4" w:tplc="9E825590">
      <w:numFmt w:val="bullet"/>
      <w:lvlText w:val="•"/>
      <w:lvlJc w:val="left"/>
      <w:pPr>
        <w:ind w:left="2670" w:hanging="217"/>
      </w:pPr>
      <w:rPr>
        <w:rFonts w:hint="default"/>
        <w:lang w:val="en-GB" w:eastAsia="en-GB" w:bidi="en-GB"/>
      </w:rPr>
    </w:lvl>
    <w:lvl w:ilvl="5" w:tplc="07DA7FD6">
      <w:numFmt w:val="bullet"/>
      <w:lvlText w:val="•"/>
      <w:lvlJc w:val="left"/>
      <w:pPr>
        <w:ind w:left="3263" w:hanging="217"/>
      </w:pPr>
      <w:rPr>
        <w:rFonts w:hint="default"/>
        <w:lang w:val="en-GB" w:eastAsia="en-GB" w:bidi="en-GB"/>
      </w:rPr>
    </w:lvl>
    <w:lvl w:ilvl="6" w:tplc="A9E08AE0">
      <w:numFmt w:val="bullet"/>
      <w:lvlText w:val="•"/>
      <w:lvlJc w:val="left"/>
      <w:pPr>
        <w:ind w:left="3855" w:hanging="217"/>
      </w:pPr>
      <w:rPr>
        <w:rFonts w:hint="default"/>
        <w:lang w:val="en-GB" w:eastAsia="en-GB" w:bidi="en-GB"/>
      </w:rPr>
    </w:lvl>
    <w:lvl w:ilvl="7" w:tplc="5F28189C">
      <w:numFmt w:val="bullet"/>
      <w:lvlText w:val="•"/>
      <w:lvlJc w:val="left"/>
      <w:pPr>
        <w:ind w:left="4448" w:hanging="217"/>
      </w:pPr>
      <w:rPr>
        <w:rFonts w:hint="default"/>
        <w:lang w:val="en-GB" w:eastAsia="en-GB" w:bidi="en-GB"/>
      </w:rPr>
    </w:lvl>
    <w:lvl w:ilvl="8" w:tplc="92F44796">
      <w:numFmt w:val="bullet"/>
      <w:lvlText w:val="•"/>
      <w:lvlJc w:val="left"/>
      <w:pPr>
        <w:ind w:left="5040" w:hanging="217"/>
      </w:pPr>
      <w:rPr>
        <w:rFonts w:hint="default"/>
        <w:lang w:val="en-GB" w:eastAsia="en-GB" w:bidi="en-GB"/>
      </w:rPr>
    </w:lvl>
  </w:abstractNum>
  <w:abstractNum w:abstractNumId="384" w15:restartNumberingAfterBreak="0">
    <w:nsid w:val="235C2893"/>
    <w:multiLevelType w:val="hybridMultilevel"/>
    <w:tmpl w:val="B74EC416"/>
    <w:lvl w:ilvl="0" w:tplc="27D69BF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C2AC5F0">
      <w:numFmt w:val="bullet"/>
      <w:lvlText w:val="•"/>
      <w:lvlJc w:val="left"/>
      <w:pPr>
        <w:ind w:left="892" w:hanging="217"/>
      </w:pPr>
      <w:rPr>
        <w:rFonts w:hint="default"/>
        <w:lang w:val="en-GB" w:eastAsia="en-GB" w:bidi="en-GB"/>
      </w:rPr>
    </w:lvl>
    <w:lvl w:ilvl="2" w:tplc="3B1A9F6A">
      <w:numFmt w:val="bullet"/>
      <w:lvlText w:val="•"/>
      <w:lvlJc w:val="left"/>
      <w:pPr>
        <w:ind w:left="1485" w:hanging="217"/>
      </w:pPr>
      <w:rPr>
        <w:rFonts w:hint="default"/>
        <w:lang w:val="en-GB" w:eastAsia="en-GB" w:bidi="en-GB"/>
      </w:rPr>
    </w:lvl>
    <w:lvl w:ilvl="3" w:tplc="200E2DAE">
      <w:numFmt w:val="bullet"/>
      <w:lvlText w:val="•"/>
      <w:lvlJc w:val="left"/>
      <w:pPr>
        <w:ind w:left="2077" w:hanging="217"/>
      </w:pPr>
      <w:rPr>
        <w:rFonts w:hint="default"/>
        <w:lang w:val="en-GB" w:eastAsia="en-GB" w:bidi="en-GB"/>
      </w:rPr>
    </w:lvl>
    <w:lvl w:ilvl="4" w:tplc="DCC402AC">
      <w:numFmt w:val="bullet"/>
      <w:lvlText w:val="•"/>
      <w:lvlJc w:val="left"/>
      <w:pPr>
        <w:ind w:left="2670" w:hanging="217"/>
      </w:pPr>
      <w:rPr>
        <w:rFonts w:hint="default"/>
        <w:lang w:val="en-GB" w:eastAsia="en-GB" w:bidi="en-GB"/>
      </w:rPr>
    </w:lvl>
    <w:lvl w:ilvl="5" w:tplc="E1366C56">
      <w:numFmt w:val="bullet"/>
      <w:lvlText w:val="•"/>
      <w:lvlJc w:val="left"/>
      <w:pPr>
        <w:ind w:left="3263" w:hanging="217"/>
      </w:pPr>
      <w:rPr>
        <w:rFonts w:hint="default"/>
        <w:lang w:val="en-GB" w:eastAsia="en-GB" w:bidi="en-GB"/>
      </w:rPr>
    </w:lvl>
    <w:lvl w:ilvl="6" w:tplc="99584350">
      <w:numFmt w:val="bullet"/>
      <w:lvlText w:val="•"/>
      <w:lvlJc w:val="left"/>
      <w:pPr>
        <w:ind w:left="3855" w:hanging="217"/>
      </w:pPr>
      <w:rPr>
        <w:rFonts w:hint="default"/>
        <w:lang w:val="en-GB" w:eastAsia="en-GB" w:bidi="en-GB"/>
      </w:rPr>
    </w:lvl>
    <w:lvl w:ilvl="7" w:tplc="D1148AFE">
      <w:numFmt w:val="bullet"/>
      <w:lvlText w:val="•"/>
      <w:lvlJc w:val="left"/>
      <w:pPr>
        <w:ind w:left="4448" w:hanging="217"/>
      </w:pPr>
      <w:rPr>
        <w:rFonts w:hint="default"/>
        <w:lang w:val="en-GB" w:eastAsia="en-GB" w:bidi="en-GB"/>
      </w:rPr>
    </w:lvl>
    <w:lvl w:ilvl="8" w:tplc="C0924842">
      <w:numFmt w:val="bullet"/>
      <w:lvlText w:val="•"/>
      <w:lvlJc w:val="left"/>
      <w:pPr>
        <w:ind w:left="5040" w:hanging="217"/>
      </w:pPr>
      <w:rPr>
        <w:rFonts w:hint="default"/>
        <w:lang w:val="en-GB" w:eastAsia="en-GB" w:bidi="en-GB"/>
      </w:rPr>
    </w:lvl>
  </w:abstractNum>
  <w:abstractNum w:abstractNumId="385" w15:restartNumberingAfterBreak="0">
    <w:nsid w:val="236337C2"/>
    <w:multiLevelType w:val="hybridMultilevel"/>
    <w:tmpl w:val="94A04734"/>
    <w:lvl w:ilvl="0" w:tplc="17C41F42">
      <w:numFmt w:val="bullet"/>
      <w:lvlText w:val="•"/>
      <w:lvlJc w:val="left"/>
      <w:pPr>
        <w:ind w:left="3512" w:hanging="217"/>
      </w:pPr>
      <w:rPr>
        <w:rFonts w:ascii="Arial" w:eastAsia="Arial" w:hAnsi="Arial" w:cs="Arial" w:hint="default"/>
        <w:color w:val="231F20"/>
        <w:spacing w:val="-1"/>
        <w:w w:val="100"/>
        <w:sz w:val="18"/>
        <w:szCs w:val="18"/>
        <w:lang w:val="en-GB" w:eastAsia="en-GB" w:bidi="en-GB"/>
      </w:rPr>
    </w:lvl>
    <w:lvl w:ilvl="1" w:tplc="707CD6C6">
      <w:numFmt w:val="bullet"/>
      <w:lvlText w:val="•"/>
      <w:lvlJc w:val="left"/>
      <w:pPr>
        <w:ind w:left="3983" w:hanging="217"/>
      </w:pPr>
      <w:rPr>
        <w:rFonts w:hint="default"/>
        <w:lang w:val="en-GB" w:eastAsia="en-GB" w:bidi="en-GB"/>
      </w:rPr>
    </w:lvl>
    <w:lvl w:ilvl="2" w:tplc="F0E88FAC">
      <w:numFmt w:val="bullet"/>
      <w:lvlText w:val="•"/>
      <w:lvlJc w:val="left"/>
      <w:pPr>
        <w:ind w:left="4446" w:hanging="217"/>
      </w:pPr>
      <w:rPr>
        <w:rFonts w:hint="default"/>
        <w:lang w:val="en-GB" w:eastAsia="en-GB" w:bidi="en-GB"/>
      </w:rPr>
    </w:lvl>
    <w:lvl w:ilvl="3" w:tplc="5F4EBB92">
      <w:numFmt w:val="bullet"/>
      <w:lvlText w:val="•"/>
      <w:lvlJc w:val="left"/>
      <w:pPr>
        <w:ind w:left="4910" w:hanging="217"/>
      </w:pPr>
      <w:rPr>
        <w:rFonts w:hint="default"/>
        <w:lang w:val="en-GB" w:eastAsia="en-GB" w:bidi="en-GB"/>
      </w:rPr>
    </w:lvl>
    <w:lvl w:ilvl="4" w:tplc="5552B2CE">
      <w:numFmt w:val="bullet"/>
      <w:lvlText w:val="•"/>
      <w:lvlJc w:val="left"/>
      <w:pPr>
        <w:ind w:left="5373" w:hanging="217"/>
      </w:pPr>
      <w:rPr>
        <w:rFonts w:hint="default"/>
        <w:lang w:val="en-GB" w:eastAsia="en-GB" w:bidi="en-GB"/>
      </w:rPr>
    </w:lvl>
    <w:lvl w:ilvl="5" w:tplc="366E6264">
      <w:numFmt w:val="bullet"/>
      <w:lvlText w:val="•"/>
      <w:lvlJc w:val="left"/>
      <w:pPr>
        <w:ind w:left="5837" w:hanging="217"/>
      </w:pPr>
      <w:rPr>
        <w:rFonts w:hint="default"/>
        <w:lang w:val="en-GB" w:eastAsia="en-GB" w:bidi="en-GB"/>
      </w:rPr>
    </w:lvl>
    <w:lvl w:ilvl="6" w:tplc="FA9E29A2">
      <w:numFmt w:val="bullet"/>
      <w:lvlText w:val="•"/>
      <w:lvlJc w:val="left"/>
      <w:pPr>
        <w:ind w:left="6300" w:hanging="217"/>
      </w:pPr>
      <w:rPr>
        <w:rFonts w:hint="default"/>
        <w:lang w:val="en-GB" w:eastAsia="en-GB" w:bidi="en-GB"/>
      </w:rPr>
    </w:lvl>
    <w:lvl w:ilvl="7" w:tplc="6EB0EE4E">
      <w:numFmt w:val="bullet"/>
      <w:lvlText w:val="•"/>
      <w:lvlJc w:val="left"/>
      <w:pPr>
        <w:ind w:left="6763" w:hanging="217"/>
      </w:pPr>
      <w:rPr>
        <w:rFonts w:hint="default"/>
        <w:lang w:val="en-GB" w:eastAsia="en-GB" w:bidi="en-GB"/>
      </w:rPr>
    </w:lvl>
    <w:lvl w:ilvl="8" w:tplc="AB72AEE6">
      <w:numFmt w:val="bullet"/>
      <w:lvlText w:val="•"/>
      <w:lvlJc w:val="left"/>
      <w:pPr>
        <w:ind w:left="7227" w:hanging="217"/>
      </w:pPr>
      <w:rPr>
        <w:rFonts w:hint="default"/>
        <w:lang w:val="en-GB" w:eastAsia="en-GB" w:bidi="en-GB"/>
      </w:rPr>
    </w:lvl>
  </w:abstractNum>
  <w:abstractNum w:abstractNumId="386" w15:restartNumberingAfterBreak="0">
    <w:nsid w:val="23745D5A"/>
    <w:multiLevelType w:val="hybridMultilevel"/>
    <w:tmpl w:val="0C6613F0"/>
    <w:lvl w:ilvl="0" w:tplc="26E231A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674DD7C">
      <w:numFmt w:val="bullet"/>
      <w:lvlText w:val="•"/>
      <w:lvlJc w:val="left"/>
      <w:pPr>
        <w:ind w:left="473" w:hanging="217"/>
      </w:pPr>
      <w:rPr>
        <w:rFonts w:hint="default"/>
        <w:lang w:val="en-GB" w:eastAsia="en-GB" w:bidi="en-GB"/>
      </w:rPr>
    </w:lvl>
    <w:lvl w:ilvl="2" w:tplc="892261B6">
      <w:numFmt w:val="bullet"/>
      <w:lvlText w:val="•"/>
      <w:lvlJc w:val="left"/>
      <w:pPr>
        <w:ind w:left="646" w:hanging="217"/>
      </w:pPr>
      <w:rPr>
        <w:rFonts w:hint="default"/>
        <w:lang w:val="en-GB" w:eastAsia="en-GB" w:bidi="en-GB"/>
      </w:rPr>
    </w:lvl>
    <w:lvl w:ilvl="3" w:tplc="FD5E84A0">
      <w:numFmt w:val="bullet"/>
      <w:lvlText w:val="•"/>
      <w:lvlJc w:val="left"/>
      <w:pPr>
        <w:ind w:left="819" w:hanging="217"/>
      </w:pPr>
      <w:rPr>
        <w:rFonts w:hint="default"/>
        <w:lang w:val="en-GB" w:eastAsia="en-GB" w:bidi="en-GB"/>
      </w:rPr>
    </w:lvl>
    <w:lvl w:ilvl="4" w:tplc="650E5026">
      <w:numFmt w:val="bullet"/>
      <w:lvlText w:val="•"/>
      <w:lvlJc w:val="left"/>
      <w:pPr>
        <w:ind w:left="992" w:hanging="217"/>
      </w:pPr>
      <w:rPr>
        <w:rFonts w:hint="default"/>
        <w:lang w:val="en-GB" w:eastAsia="en-GB" w:bidi="en-GB"/>
      </w:rPr>
    </w:lvl>
    <w:lvl w:ilvl="5" w:tplc="450068F8">
      <w:numFmt w:val="bullet"/>
      <w:lvlText w:val="•"/>
      <w:lvlJc w:val="left"/>
      <w:pPr>
        <w:ind w:left="1165" w:hanging="217"/>
      </w:pPr>
      <w:rPr>
        <w:rFonts w:hint="default"/>
        <w:lang w:val="en-GB" w:eastAsia="en-GB" w:bidi="en-GB"/>
      </w:rPr>
    </w:lvl>
    <w:lvl w:ilvl="6" w:tplc="735028D4">
      <w:numFmt w:val="bullet"/>
      <w:lvlText w:val="•"/>
      <w:lvlJc w:val="left"/>
      <w:pPr>
        <w:ind w:left="1338" w:hanging="217"/>
      </w:pPr>
      <w:rPr>
        <w:rFonts w:hint="default"/>
        <w:lang w:val="en-GB" w:eastAsia="en-GB" w:bidi="en-GB"/>
      </w:rPr>
    </w:lvl>
    <w:lvl w:ilvl="7" w:tplc="D8E420E8">
      <w:numFmt w:val="bullet"/>
      <w:lvlText w:val="•"/>
      <w:lvlJc w:val="left"/>
      <w:pPr>
        <w:ind w:left="1511" w:hanging="217"/>
      </w:pPr>
      <w:rPr>
        <w:rFonts w:hint="default"/>
        <w:lang w:val="en-GB" w:eastAsia="en-GB" w:bidi="en-GB"/>
      </w:rPr>
    </w:lvl>
    <w:lvl w:ilvl="8" w:tplc="EA3EFD18">
      <w:numFmt w:val="bullet"/>
      <w:lvlText w:val="•"/>
      <w:lvlJc w:val="left"/>
      <w:pPr>
        <w:ind w:left="1684" w:hanging="217"/>
      </w:pPr>
      <w:rPr>
        <w:rFonts w:hint="default"/>
        <w:lang w:val="en-GB" w:eastAsia="en-GB" w:bidi="en-GB"/>
      </w:rPr>
    </w:lvl>
  </w:abstractNum>
  <w:abstractNum w:abstractNumId="387" w15:restartNumberingAfterBreak="0">
    <w:nsid w:val="2375658A"/>
    <w:multiLevelType w:val="hybridMultilevel"/>
    <w:tmpl w:val="560440C0"/>
    <w:lvl w:ilvl="0" w:tplc="6B783E4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E1CAE26">
      <w:numFmt w:val="bullet"/>
      <w:lvlText w:val="•"/>
      <w:lvlJc w:val="left"/>
      <w:pPr>
        <w:ind w:left="677" w:hanging="217"/>
      </w:pPr>
      <w:rPr>
        <w:rFonts w:hint="default"/>
        <w:lang w:val="en-GB" w:eastAsia="en-GB" w:bidi="en-GB"/>
      </w:rPr>
    </w:lvl>
    <w:lvl w:ilvl="2" w:tplc="70A021A4">
      <w:numFmt w:val="bullet"/>
      <w:lvlText w:val="•"/>
      <w:lvlJc w:val="left"/>
      <w:pPr>
        <w:ind w:left="1054" w:hanging="217"/>
      </w:pPr>
      <w:rPr>
        <w:rFonts w:hint="default"/>
        <w:lang w:val="en-GB" w:eastAsia="en-GB" w:bidi="en-GB"/>
      </w:rPr>
    </w:lvl>
    <w:lvl w:ilvl="3" w:tplc="0DDC33F4">
      <w:numFmt w:val="bullet"/>
      <w:lvlText w:val="•"/>
      <w:lvlJc w:val="left"/>
      <w:pPr>
        <w:ind w:left="1431" w:hanging="217"/>
      </w:pPr>
      <w:rPr>
        <w:rFonts w:hint="default"/>
        <w:lang w:val="en-GB" w:eastAsia="en-GB" w:bidi="en-GB"/>
      </w:rPr>
    </w:lvl>
    <w:lvl w:ilvl="4" w:tplc="8482F26A">
      <w:numFmt w:val="bullet"/>
      <w:lvlText w:val="•"/>
      <w:lvlJc w:val="left"/>
      <w:pPr>
        <w:ind w:left="1808" w:hanging="217"/>
      </w:pPr>
      <w:rPr>
        <w:rFonts w:hint="default"/>
        <w:lang w:val="en-GB" w:eastAsia="en-GB" w:bidi="en-GB"/>
      </w:rPr>
    </w:lvl>
    <w:lvl w:ilvl="5" w:tplc="8AE4EE6C">
      <w:numFmt w:val="bullet"/>
      <w:lvlText w:val="•"/>
      <w:lvlJc w:val="left"/>
      <w:pPr>
        <w:ind w:left="2186" w:hanging="217"/>
      </w:pPr>
      <w:rPr>
        <w:rFonts w:hint="default"/>
        <w:lang w:val="en-GB" w:eastAsia="en-GB" w:bidi="en-GB"/>
      </w:rPr>
    </w:lvl>
    <w:lvl w:ilvl="6" w:tplc="65FE1F96">
      <w:numFmt w:val="bullet"/>
      <w:lvlText w:val="•"/>
      <w:lvlJc w:val="left"/>
      <w:pPr>
        <w:ind w:left="2563" w:hanging="217"/>
      </w:pPr>
      <w:rPr>
        <w:rFonts w:hint="default"/>
        <w:lang w:val="en-GB" w:eastAsia="en-GB" w:bidi="en-GB"/>
      </w:rPr>
    </w:lvl>
    <w:lvl w:ilvl="7" w:tplc="0FE65C5A">
      <w:numFmt w:val="bullet"/>
      <w:lvlText w:val="•"/>
      <w:lvlJc w:val="left"/>
      <w:pPr>
        <w:ind w:left="2940" w:hanging="217"/>
      </w:pPr>
      <w:rPr>
        <w:rFonts w:hint="default"/>
        <w:lang w:val="en-GB" w:eastAsia="en-GB" w:bidi="en-GB"/>
      </w:rPr>
    </w:lvl>
    <w:lvl w:ilvl="8" w:tplc="7440202C">
      <w:numFmt w:val="bullet"/>
      <w:lvlText w:val="•"/>
      <w:lvlJc w:val="left"/>
      <w:pPr>
        <w:ind w:left="3317" w:hanging="217"/>
      </w:pPr>
      <w:rPr>
        <w:rFonts w:hint="default"/>
        <w:lang w:val="en-GB" w:eastAsia="en-GB" w:bidi="en-GB"/>
      </w:rPr>
    </w:lvl>
  </w:abstractNum>
  <w:abstractNum w:abstractNumId="388" w15:restartNumberingAfterBreak="0">
    <w:nsid w:val="23786D64"/>
    <w:multiLevelType w:val="hybridMultilevel"/>
    <w:tmpl w:val="C5DE4912"/>
    <w:lvl w:ilvl="0" w:tplc="C608CCEE">
      <w:numFmt w:val="bullet"/>
      <w:lvlText w:val="•"/>
      <w:lvlJc w:val="left"/>
      <w:pPr>
        <w:ind w:left="300" w:hanging="217"/>
      </w:pPr>
      <w:rPr>
        <w:rFonts w:ascii="Arial" w:eastAsia="Arial" w:hAnsi="Arial" w:cs="Arial" w:hint="default"/>
        <w:color w:val="231F20"/>
        <w:w w:val="102"/>
        <w:sz w:val="17"/>
        <w:szCs w:val="17"/>
        <w:lang w:val="en-GB" w:eastAsia="en-GB" w:bidi="en-GB"/>
      </w:rPr>
    </w:lvl>
    <w:lvl w:ilvl="1" w:tplc="4374300C">
      <w:numFmt w:val="bullet"/>
      <w:lvlText w:val="•"/>
      <w:lvlJc w:val="left"/>
      <w:pPr>
        <w:ind w:left="892" w:hanging="217"/>
      </w:pPr>
      <w:rPr>
        <w:rFonts w:hint="default"/>
        <w:lang w:val="en-GB" w:eastAsia="en-GB" w:bidi="en-GB"/>
      </w:rPr>
    </w:lvl>
    <w:lvl w:ilvl="2" w:tplc="C6BA6A2A">
      <w:numFmt w:val="bullet"/>
      <w:lvlText w:val="•"/>
      <w:lvlJc w:val="left"/>
      <w:pPr>
        <w:ind w:left="1484" w:hanging="217"/>
      </w:pPr>
      <w:rPr>
        <w:rFonts w:hint="default"/>
        <w:lang w:val="en-GB" w:eastAsia="en-GB" w:bidi="en-GB"/>
      </w:rPr>
    </w:lvl>
    <w:lvl w:ilvl="3" w:tplc="577EF6F6">
      <w:numFmt w:val="bullet"/>
      <w:lvlText w:val="•"/>
      <w:lvlJc w:val="left"/>
      <w:pPr>
        <w:ind w:left="2076" w:hanging="217"/>
      </w:pPr>
      <w:rPr>
        <w:rFonts w:hint="default"/>
        <w:lang w:val="en-GB" w:eastAsia="en-GB" w:bidi="en-GB"/>
      </w:rPr>
    </w:lvl>
    <w:lvl w:ilvl="4" w:tplc="080871BC">
      <w:numFmt w:val="bullet"/>
      <w:lvlText w:val="•"/>
      <w:lvlJc w:val="left"/>
      <w:pPr>
        <w:ind w:left="2668" w:hanging="217"/>
      </w:pPr>
      <w:rPr>
        <w:rFonts w:hint="default"/>
        <w:lang w:val="en-GB" w:eastAsia="en-GB" w:bidi="en-GB"/>
      </w:rPr>
    </w:lvl>
    <w:lvl w:ilvl="5" w:tplc="D87C940A">
      <w:numFmt w:val="bullet"/>
      <w:lvlText w:val="•"/>
      <w:lvlJc w:val="left"/>
      <w:pPr>
        <w:ind w:left="3260" w:hanging="217"/>
      </w:pPr>
      <w:rPr>
        <w:rFonts w:hint="default"/>
        <w:lang w:val="en-GB" w:eastAsia="en-GB" w:bidi="en-GB"/>
      </w:rPr>
    </w:lvl>
    <w:lvl w:ilvl="6" w:tplc="CAACD850">
      <w:numFmt w:val="bullet"/>
      <w:lvlText w:val="•"/>
      <w:lvlJc w:val="left"/>
      <w:pPr>
        <w:ind w:left="3852" w:hanging="217"/>
      </w:pPr>
      <w:rPr>
        <w:rFonts w:hint="default"/>
        <w:lang w:val="en-GB" w:eastAsia="en-GB" w:bidi="en-GB"/>
      </w:rPr>
    </w:lvl>
    <w:lvl w:ilvl="7" w:tplc="36409B60">
      <w:numFmt w:val="bullet"/>
      <w:lvlText w:val="•"/>
      <w:lvlJc w:val="left"/>
      <w:pPr>
        <w:ind w:left="4444" w:hanging="217"/>
      </w:pPr>
      <w:rPr>
        <w:rFonts w:hint="default"/>
        <w:lang w:val="en-GB" w:eastAsia="en-GB" w:bidi="en-GB"/>
      </w:rPr>
    </w:lvl>
    <w:lvl w:ilvl="8" w:tplc="18F0FDB2">
      <w:numFmt w:val="bullet"/>
      <w:lvlText w:val="•"/>
      <w:lvlJc w:val="left"/>
      <w:pPr>
        <w:ind w:left="5036" w:hanging="217"/>
      </w:pPr>
      <w:rPr>
        <w:rFonts w:hint="default"/>
        <w:lang w:val="en-GB" w:eastAsia="en-GB" w:bidi="en-GB"/>
      </w:rPr>
    </w:lvl>
  </w:abstractNum>
  <w:abstractNum w:abstractNumId="389" w15:restartNumberingAfterBreak="0">
    <w:nsid w:val="23966BF1"/>
    <w:multiLevelType w:val="hybridMultilevel"/>
    <w:tmpl w:val="B0A8D1BC"/>
    <w:lvl w:ilvl="0" w:tplc="A778200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BE8B9A6">
      <w:numFmt w:val="bullet"/>
      <w:lvlText w:val="•"/>
      <w:lvlJc w:val="left"/>
      <w:pPr>
        <w:ind w:left="473" w:hanging="217"/>
      </w:pPr>
      <w:rPr>
        <w:rFonts w:hint="default"/>
        <w:lang w:val="en-GB" w:eastAsia="en-GB" w:bidi="en-GB"/>
      </w:rPr>
    </w:lvl>
    <w:lvl w:ilvl="2" w:tplc="971ED1BC">
      <w:numFmt w:val="bullet"/>
      <w:lvlText w:val="•"/>
      <w:lvlJc w:val="left"/>
      <w:pPr>
        <w:ind w:left="646" w:hanging="217"/>
      </w:pPr>
      <w:rPr>
        <w:rFonts w:hint="default"/>
        <w:lang w:val="en-GB" w:eastAsia="en-GB" w:bidi="en-GB"/>
      </w:rPr>
    </w:lvl>
    <w:lvl w:ilvl="3" w:tplc="CD166EFE">
      <w:numFmt w:val="bullet"/>
      <w:lvlText w:val="•"/>
      <w:lvlJc w:val="left"/>
      <w:pPr>
        <w:ind w:left="819" w:hanging="217"/>
      </w:pPr>
      <w:rPr>
        <w:rFonts w:hint="default"/>
        <w:lang w:val="en-GB" w:eastAsia="en-GB" w:bidi="en-GB"/>
      </w:rPr>
    </w:lvl>
    <w:lvl w:ilvl="4" w:tplc="8E4EACB4">
      <w:numFmt w:val="bullet"/>
      <w:lvlText w:val="•"/>
      <w:lvlJc w:val="left"/>
      <w:pPr>
        <w:ind w:left="992" w:hanging="217"/>
      </w:pPr>
      <w:rPr>
        <w:rFonts w:hint="default"/>
        <w:lang w:val="en-GB" w:eastAsia="en-GB" w:bidi="en-GB"/>
      </w:rPr>
    </w:lvl>
    <w:lvl w:ilvl="5" w:tplc="293E7F52">
      <w:numFmt w:val="bullet"/>
      <w:lvlText w:val="•"/>
      <w:lvlJc w:val="left"/>
      <w:pPr>
        <w:ind w:left="1165" w:hanging="217"/>
      </w:pPr>
      <w:rPr>
        <w:rFonts w:hint="default"/>
        <w:lang w:val="en-GB" w:eastAsia="en-GB" w:bidi="en-GB"/>
      </w:rPr>
    </w:lvl>
    <w:lvl w:ilvl="6" w:tplc="DF6EFE1E">
      <w:numFmt w:val="bullet"/>
      <w:lvlText w:val="•"/>
      <w:lvlJc w:val="left"/>
      <w:pPr>
        <w:ind w:left="1338" w:hanging="217"/>
      </w:pPr>
      <w:rPr>
        <w:rFonts w:hint="default"/>
        <w:lang w:val="en-GB" w:eastAsia="en-GB" w:bidi="en-GB"/>
      </w:rPr>
    </w:lvl>
    <w:lvl w:ilvl="7" w:tplc="6314651A">
      <w:numFmt w:val="bullet"/>
      <w:lvlText w:val="•"/>
      <w:lvlJc w:val="left"/>
      <w:pPr>
        <w:ind w:left="1511" w:hanging="217"/>
      </w:pPr>
      <w:rPr>
        <w:rFonts w:hint="default"/>
        <w:lang w:val="en-GB" w:eastAsia="en-GB" w:bidi="en-GB"/>
      </w:rPr>
    </w:lvl>
    <w:lvl w:ilvl="8" w:tplc="3634B69E">
      <w:numFmt w:val="bullet"/>
      <w:lvlText w:val="•"/>
      <w:lvlJc w:val="left"/>
      <w:pPr>
        <w:ind w:left="1684" w:hanging="217"/>
      </w:pPr>
      <w:rPr>
        <w:rFonts w:hint="default"/>
        <w:lang w:val="en-GB" w:eastAsia="en-GB" w:bidi="en-GB"/>
      </w:rPr>
    </w:lvl>
  </w:abstractNum>
  <w:abstractNum w:abstractNumId="390" w15:restartNumberingAfterBreak="0">
    <w:nsid w:val="23E40CA8"/>
    <w:multiLevelType w:val="hybridMultilevel"/>
    <w:tmpl w:val="63AAE614"/>
    <w:lvl w:ilvl="0" w:tplc="0B446EB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5E544C20">
      <w:numFmt w:val="bullet"/>
      <w:lvlText w:val="•"/>
      <w:lvlJc w:val="left"/>
      <w:pPr>
        <w:ind w:left="544" w:hanging="217"/>
      </w:pPr>
      <w:rPr>
        <w:rFonts w:hint="default"/>
        <w:lang w:val="en-GB" w:eastAsia="en-GB" w:bidi="en-GB"/>
      </w:rPr>
    </w:lvl>
    <w:lvl w:ilvl="2" w:tplc="D2F458A2">
      <w:numFmt w:val="bullet"/>
      <w:lvlText w:val="•"/>
      <w:lvlJc w:val="left"/>
      <w:pPr>
        <w:ind w:left="788" w:hanging="217"/>
      </w:pPr>
      <w:rPr>
        <w:rFonts w:hint="default"/>
        <w:lang w:val="en-GB" w:eastAsia="en-GB" w:bidi="en-GB"/>
      </w:rPr>
    </w:lvl>
    <w:lvl w:ilvl="3" w:tplc="A7EECD50">
      <w:numFmt w:val="bullet"/>
      <w:lvlText w:val="•"/>
      <w:lvlJc w:val="left"/>
      <w:pPr>
        <w:ind w:left="1032" w:hanging="217"/>
      </w:pPr>
      <w:rPr>
        <w:rFonts w:hint="default"/>
        <w:lang w:val="en-GB" w:eastAsia="en-GB" w:bidi="en-GB"/>
      </w:rPr>
    </w:lvl>
    <w:lvl w:ilvl="4" w:tplc="29ECA396">
      <w:numFmt w:val="bullet"/>
      <w:lvlText w:val="•"/>
      <w:lvlJc w:val="left"/>
      <w:pPr>
        <w:ind w:left="1276" w:hanging="217"/>
      </w:pPr>
      <w:rPr>
        <w:rFonts w:hint="default"/>
        <w:lang w:val="en-GB" w:eastAsia="en-GB" w:bidi="en-GB"/>
      </w:rPr>
    </w:lvl>
    <w:lvl w:ilvl="5" w:tplc="1BBAFB32">
      <w:numFmt w:val="bullet"/>
      <w:lvlText w:val="•"/>
      <w:lvlJc w:val="left"/>
      <w:pPr>
        <w:ind w:left="1520" w:hanging="217"/>
      </w:pPr>
      <w:rPr>
        <w:rFonts w:hint="default"/>
        <w:lang w:val="en-GB" w:eastAsia="en-GB" w:bidi="en-GB"/>
      </w:rPr>
    </w:lvl>
    <w:lvl w:ilvl="6" w:tplc="62F25C98">
      <w:numFmt w:val="bullet"/>
      <w:lvlText w:val="•"/>
      <w:lvlJc w:val="left"/>
      <w:pPr>
        <w:ind w:left="1764" w:hanging="217"/>
      </w:pPr>
      <w:rPr>
        <w:rFonts w:hint="default"/>
        <w:lang w:val="en-GB" w:eastAsia="en-GB" w:bidi="en-GB"/>
      </w:rPr>
    </w:lvl>
    <w:lvl w:ilvl="7" w:tplc="AF68D4FE">
      <w:numFmt w:val="bullet"/>
      <w:lvlText w:val="•"/>
      <w:lvlJc w:val="left"/>
      <w:pPr>
        <w:ind w:left="2008" w:hanging="217"/>
      </w:pPr>
      <w:rPr>
        <w:rFonts w:hint="default"/>
        <w:lang w:val="en-GB" w:eastAsia="en-GB" w:bidi="en-GB"/>
      </w:rPr>
    </w:lvl>
    <w:lvl w:ilvl="8" w:tplc="CB04D16E">
      <w:numFmt w:val="bullet"/>
      <w:lvlText w:val="•"/>
      <w:lvlJc w:val="left"/>
      <w:pPr>
        <w:ind w:left="2252" w:hanging="217"/>
      </w:pPr>
      <w:rPr>
        <w:rFonts w:hint="default"/>
        <w:lang w:val="en-GB" w:eastAsia="en-GB" w:bidi="en-GB"/>
      </w:rPr>
    </w:lvl>
  </w:abstractNum>
  <w:abstractNum w:abstractNumId="391" w15:restartNumberingAfterBreak="0">
    <w:nsid w:val="24005C11"/>
    <w:multiLevelType w:val="hybridMultilevel"/>
    <w:tmpl w:val="A98E32C0"/>
    <w:lvl w:ilvl="0" w:tplc="39C0E3E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002B2C4">
      <w:numFmt w:val="bullet"/>
      <w:lvlText w:val="•"/>
      <w:lvlJc w:val="left"/>
      <w:pPr>
        <w:ind w:left="892" w:hanging="217"/>
      </w:pPr>
      <w:rPr>
        <w:rFonts w:hint="default"/>
        <w:lang w:val="en-GB" w:eastAsia="en-GB" w:bidi="en-GB"/>
      </w:rPr>
    </w:lvl>
    <w:lvl w:ilvl="2" w:tplc="833E40F6">
      <w:numFmt w:val="bullet"/>
      <w:lvlText w:val="•"/>
      <w:lvlJc w:val="left"/>
      <w:pPr>
        <w:ind w:left="1485" w:hanging="217"/>
      </w:pPr>
      <w:rPr>
        <w:rFonts w:hint="default"/>
        <w:lang w:val="en-GB" w:eastAsia="en-GB" w:bidi="en-GB"/>
      </w:rPr>
    </w:lvl>
    <w:lvl w:ilvl="3" w:tplc="A4389290">
      <w:numFmt w:val="bullet"/>
      <w:lvlText w:val="•"/>
      <w:lvlJc w:val="left"/>
      <w:pPr>
        <w:ind w:left="2077" w:hanging="217"/>
      </w:pPr>
      <w:rPr>
        <w:rFonts w:hint="default"/>
        <w:lang w:val="en-GB" w:eastAsia="en-GB" w:bidi="en-GB"/>
      </w:rPr>
    </w:lvl>
    <w:lvl w:ilvl="4" w:tplc="157820E6">
      <w:numFmt w:val="bullet"/>
      <w:lvlText w:val="•"/>
      <w:lvlJc w:val="left"/>
      <w:pPr>
        <w:ind w:left="2670" w:hanging="217"/>
      </w:pPr>
      <w:rPr>
        <w:rFonts w:hint="default"/>
        <w:lang w:val="en-GB" w:eastAsia="en-GB" w:bidi="en-GB"/>
      </w:rPr>
    </w:lvl>
    <w:lvl w:ilvl="5" w:tplc="7CE24D42">
      <w:numFmt w:val="bullet"/>
      <w:lvlText w:val="•"/>
      <w:lvlJc w:val="left"/>
      <w:pPr>
        <w:ind w:left="3263" w:hanging="217"/>
      </w:pPr>
      <w:rPr>
        <w:rFonts w:hint="default"/>
        <w:lang w:val="en-GB" w:eastAsia="en-GB" w:bidi="en-GB"/>
      </w:rPr>
    </w:lvl>
    <w:lvl w:ilvl="6" w:tplc="52F4AC6E">
      <w:numFmt w:val="bullet"/>
      <w:lvlText w:val="•"/>
      <w:lvlJc w:val="left"/>
      <w:pPr>
        <w:ind w:left="3855" w:hanging="217"/>
      </w:pPr>
      <w:rPr>
        <w:rFonts w:hint="default"/>
        <w:lang w:val="en-GB" w:eastAsia="en-GB" w:bidi="en-GB"/>
      </w:rPr>
    </w:lvl>
    <w:lvl w:ilvl="7" w:tplc="715C5338">
      <w:numFmt w:val="bullet"/>
      <w:lvlText w:val="•"/>
      <w:lvlJc w:val="left"/>
      <w:pPr>
        <w:ind w:left="4448" w:hanging="217"/>
      </w:pPr>
      <w:rPr>
        <w:rFonts w:hint="default"/>
        <w:lang w:val="en-GB" w:eastAsia="en-GB" w:bidi="en-GB"/>
      </w:rPr>
    </w:lvl>
    <w:lvl w:ilvl="8" w:tplc="F522BC44">
      <w:numFmt w:val="bullet"/>
      <w:lvlText w:val="•"/>
      <w:lvlJc w:val="left"/>
      <w:pPr>
        <w:ind w:left="5040" w:hanging="217"/>
      </w:pPr>
      <w:rPr>
        <w:rFonts w:hint="default"/>
        <w:lang w:val="en-GB" w:eastAsia="en-GB" w:bidi="en-GB"/>
      </w:rPr>
    </w:lvl>
  </w:abstractNum>
  <w:abstractNum w:abstractNumId="392" w15:restartNumberingAfterBreak="0">
    <w:nsid w:val="24144C83"/>
    <w:multiLevelType w:val="hybridMultilevel"/>
    <w:tmpl w:val="20CC9AE0"/>
    <w:lvl w:ilvl="0" w:tplc="F250909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270C38A">
      <w:numFmt w:val="bullet"/>
      <w:lvlText w:val="•"/>
      <w:lvlJc w:val="left"/>
      <w:pPr>
        <w:ind w:left="1061" w:hanging="217"/>
      </w:pPr>
      <w:rPr>
        <w:rFonts w:hint="default"/>
        <w:lang w:val="en-GB" w:eastAsia="en-GB" w:bidi="en-GB"/>
      </w:rPr>
    </w:lvl>
    <w:lvl w:ilvl="2" w:tplc="F782F176">
      <w:numFmt w:val="bullet"/>
      <w:lvlText w:val="•"/>
      <w:lvlJc w:val="left"/>
      <w:pPr>
        <w:ind w:left="1823" w:hanging="217"/>
      </w:pPr>
      <w:rPr>
        <w:rFonts w:hint="default"/>
        <w:lang w:val="en-GB" w:eastAsia="en-GB" w:bidi="en-GB"/>
      </w:rPr>
    </w:lvl>
    <w:lvl w:ilvl="3" w:tplc="FD206AEE">
      <w:numFmt w:val="bullet"/>
      <w:lvlText w:val="•"/>
      <w:lvlJc w:val="left"/>
      <w:pPr>
        <w:ind w:left="2585" w:hanging="217"/>
      </w:pPr>
      <w:rPr>
        <w:rFonts w:hint="default"/>
        <w:lang w:val="en-GB" w:eastAsia="en-GB" w:bidi="en-GB"/>
      </w:rPr>
    </w:lvl>
    <w:lvl w:ilvl="4" w:tplc="C6541D40">
      <w:numFmt w:val="bullet"/>
      <w:lvlText w:val="•"/>
      <w:lvlJc w:val="left"/>
      <w:pPr>
        <w:ind w:left="3346" w:hanging="217"/>
      </w:pPr>
      <w:rPr>
        <w:rFonts w:hint="default"/>
        <w:lang w:val="en-GB" w:eastAsia="en-GB" w:bidi="en-GB"/>
      </w:rPr>
    </w:lvl>
    <w:lvl w:ilvl="5" w:tplc="77A2F530">
      <w:numFmt w:val="bullet"/>
      <w:lvlText w:val="•"/>
      <w:lvlJc w:val="left"/>
      <w:pPr>
        <w:ind w:left="4108" w:hanging="217"/>
      </w:pPr>
      <w:rPr>
        <w:rFonts w:hint="default"/>
        <w:lang w:val="en-GB" w:eastAsia="en-GB" w:bidi="en-GB"/>
      </w:rPr>
    </w:lvl>
    <w:lvl w:ilvl="6" w:tplc="C810B60A">
      <w:numFmt w:val="bullet"/>
      <w:lvlText w:val="•"/>
      <w:lvlJc w:val="left"/>
      <w:pPr>
        <w:ind w:left="4870" w:hanging="217"/>
      </w:pPr>
      <w:rPr>
        <w:rFonts w:hint="default"/>
        <w:lang w:val="en-GB" w:eastAsia="en-GB" w:bidi="en-GB"/>
      </w:rPr>
    </w:lvl>
    <w:lvl w:ilvl="7" w:tplc="1130D8E0">
      <w:numFmt w:val="bullet"/>
      <w:lvlText w:val="•"/>
      <w:lvlJc w:val="left"/>
      <w:pPr>
        <w:ind w:left="5631" w:hanging="217"/>
      </w:pPr>
      <w:rPr>
        <w:rFonts w:hint="default"/>
        <w:lang w:val="en-GB" w:eastAsia="en-GB" w:bidi="en-GB"/>
      </w:rPr>
    </w:lvl>
    <w:lvl w:ilvl="8" w:tplc="8DD49952">
      <w:numFmt w:val="bullet"/>
      <w:lvlText w:val="•"/>
      <w:lvlJc w:val="left"/>
      <w:pPr>
        <w:ind w:left="6393" w:hanging="217"/>
      </w:pPr>
      <w:rPr>
        <w:rFonts w:hint="default"/>
        <w:lang w:val="en-GB" w:eastAsia="en-GB" w:bidi="en-GB"/>
      </w:rPr>
    </w:lvl>
  </w:abstractNum>
  <w:abstractNum w:abstractNumId="393" w15:restartNumberingAfterBreak="0">
    <w:nsid w:val="24226822"/>
    <w:multiLevelType w:val="hybridMultilevel"/>
    <w:tmpl w:val="6802B096"/>
    <w:lvl w:ilvl="0" w:tplc="F8EE780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A7A878A">
      <w:numFmt w:val="bullet"/>
      <w:lvlText w:val="•"/>
      <w:lvlJc w:val="left"/>
      <w:pPr>
        <w:ind w:left="892" w:hanging="217"/>
      </w:pPr>
      <w:rPr>
        <w:rFonts w:hint="default"/>
        <w:lang w:val="en-GB" w:eastAsia="en-GB" w:bidi="en-GB"/>
      </w:rPr>
    </w:lvl>
    <w:lvl w:ilvl="2" w:tplc="19CAC6B2">
      <w:numFmt w:val="bullet"/>
      <w:lvlText w:val="•"/>
      <w:lvlJc w:val="left"/>
      <w:pPr>
        <w:ind w:left="1485" w:hanging="217"/>
      </w:pPr>
      <w:rPr>
        <w:rFonts w:hint="default"/>
        <w:lang w:val="en-GB" w:eastAsia="en-GB" w:bidi="en-GB"/>
      </w:rPr>
    </w:lvl>
    <w:lvl w:ilvl="3" w:tplc="4F1AF22A">
      <w:numFmt w:val="bullet"/>
      <w:lvlText w:val="•"/>
      <w:lvlJc w:val="left"/>
      <w:pPr>
        <w:ind w:left="2077" w:hanging="217"/>
      </w:pPr>
      <w:rPr>
        <w:rFonts w:hint="default"/>
        <w:lang w:val="en-GB" w:eastAsia="en-GB" w:bidi="en-GB"/>
      </w:rPr>
    </w:lvl>
    <w:lvl w:ilvl="4" w:tplc="CA944EAA">
      <w:numFmt w:val="bullet"/>
      <w:lvlText w:val="•"/>
      <w:lvlJc w:val="left"/>
      <w:pPr>
        <w:ind w:left="2670" w:hanging="217"/>
      </w:pPr>
      <w:rPr>
        <w:rFonts w:hint="default"/>
        <w:lang w:val="en-GB" w:eastAsia="en-GB" w:bidi="en-GB"/>
      </w:rPr>
    </w:lvl>
    <w:lvl w:ilvl="5" w:tplc="2116AB00">
      <w:numFmt w:val="bullet"/>
      <w:lvlText w:val="•"/>
      <w:lvlJc w:val="left"/>
      <w:pPr>
        <w:ind w:left="3263" w:hanging="217"/>
      </w:pPr>
      <w:rPr>
        <w:rFonts w:hint="default"/>
        <w:lang w:val="en-GB" w:eastAsia="en-GB" w:bidi="en-GB"/>
      </w:rPr>
    </w:lvl>
    <w:lvl w:ilvl="6" w:tplc="9AA2DE90">
      <w:numFmt w:val="bullet"/>
      <w:lvlText w:val="•"/>
      <w:lvlJc w:val="left"/>
      <w:pPr>
        <w:ind w:left="3855" w:hanging="217"/>
      </w:pPr>
      <w:rPr>
        <w:rFonts w:hint="default"/>
        <w:lang w:val="en-GB" w:eastAsia="en-GB" w:bidi="en-GB"/>
      </w:rPr>
    </w:lvl>
    <w:lvl w:ilvl="7" w:tplc="FFC6D704">
      <w:numFmt w:val="bullet"/>
      <w:lvlText w:val="•"/>
      <w:lvlJc w:val="left"/>
      <w:pPr>
        <w:ind w:left="4448" w:hanging="217"/>
      </w:pPr>
      <w:rPr>
        <w:rFonts w:hint="default"/>
        <w:lang w:val="en-GB" w:eastAsia="en-GB" w:bidi="en-GB"/>
      </w:rPr>
    </w:lvl>
    <w:lvl w:ilvl="8" w:tplc="678E453A">
      <w:numFmt w:val="bullet"/>
      <w:lvlText w:val="•"/>
      <w:lvlJc w:val="left"/>
      <w:pPr>
        <w:ind w:left="5040" w:hanging="217"/>
      </w:pPr>
      <w:rPr>
        <w:rFonts w:hint="default"/>
        <w:lang w:val="en-GB" w:eastAsia="en-GB" w:bidi="en-GB"/>
      </w:rPr>
    </w:lvl>
  </w:abstractNum>
  <w:abstractNum w:abstractNumId="394" w15:restartNumberingAfterBreak="0">
    <w:nsid w:val="24395C44"/>
    <w:multiLevelType w:val="hybridMultilevel"/>
    <w:tmpl w:val="EECA4C28"/>
    <w:lvl w:ilvl="0" w:tplc="03120F26">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93886718">
      <w:numFmt w:val="bullet"/>
      <w:lvlText w:val="•"/>
      <w:lvlJc w:val="left"/>
      <w:pPr>
        <w:ind w:left="473" w:hanging="217"/>
      </w:pPr>
      <w:rPr>
        <w:rFonts w:hint="default"/>
        <w:lang w:val="en-GB" w:eastAsia="en-GB" w:bidi="en-GB"/>
      </w:rPr>
    </w:lvl>
    <w:lvl w:ilvl="2" w:tplc="6352C118">
      <w:numFmt w:val="bullet"/>
      <w:lvlText w:val="•"/>
      <w:lvlJc w:val="left"/>
      <w:pPr>
        <w:ind w:left="646" w:hanging="217"/>
      </w:pPr>
      <w:rPr>
        <w:rFonts w:hint="default"/>
        <w:lang w:val="en-GB" w:eastAsia="en-GB" w:bidi="en-GB"/>
      </w:rPr>
    </w:lvl>
    <w:lvl w:ilvl="3" w:tplc="3EC800F0">
      <w:numFmt w:val="bullet"/>
      <w:lvlText w:val="•"/>
      <w:lvlJc w:val="left"/>
      <w:pPr>
        <w:ind w:left="819" w:hanging="217"/>
      </w:pPr>
      <w:rPr>
        <w:rFonts w:hint="default"/>
        <w:lang w:val="en-GB" w:eastAsia="en-GB" w:bidi="en-GB"/>
      </w:rPr>
    </w:lvl>
    <w:lvl w:ilvl="4" w:tplc="749E6D5E">
      <w:numFmt w:val="bullet"/>
      <w:lvlText w:val="•"/>
      <w:lvlJc w:val="left"/>
      <w:pPr>
        <w:ind w:left="992" w:hanging="217"/>
      </w:pPr>
      <w:rPr>
        <w:rFonts w:hint="default"/>
        <w:lang w:val="en-GB" w:eastAsia="en-GB" w:bidi="en-GB"/>
      </w:rPr>
    </w:lvl>
    <w:lvl w:ilvl="5" w:tplc="3A541772">
      <w:numFmt w:val="bullet"/>
      <w:lvlText w:val="•"/>
      <w:lvlJc w:val="left"/>
      <w:pPr>
        <w:ind w:left="1165" w:hanging="217"/>
      </w:pPr>
      <w:rPr>
        <w:rFonts w:hint="default"/>
        <w:lang w:val="en-GB" w:eastAsia="en-GB" w:bidi="en-GB"/>
      </w:rPr>
    </w:lvl>
    <w:lvl w:ilvl="6" w:tplc="F2E01B5A">
      <w:numFmt w:val="bullet"/>
      <w:lvlText w:val="•"/>
      <w:lvlJc w:val="left"/>
      <w:pPr>
        <w:ind w:left="1338" w:hanging="217"/>
      </w:pPr>
      <w:rPr>
        <w:rFonts w:hint="default"/>
        <w:lang w:val="en-GB" w:eastAsia="en-GB" w:bidi="en-GB"/>
      </w:rPr>
    </w:lvl>
    <w:lvl w:ilvl="7" w:tplc="C338EA82">
      <w:numFmt w:val="bullet"/>
      <w:lvlText w:val="•"/>
      <w:lvlJc w:val="left"/>
      <w:pPr>
        <w:ind w:left="1511" w:hanging="217"/>
      </w:pPr>
      <w:rPr>
        <w:rFonts w:hint="default"/>
        <w:lang w:val="en-GB" w:eastAsia="en-GB" w:bidi="en-GB"/>
      </w:rPr>
    </w:lvl>
    <w:lvl w:ilvl="8" w:tplc="1F1601BA">
      <w:numFmt w:val="bullet"/>
      <w:lvlText w:val="•"/>
      <w:lvlJc w:val="left"/>
      <w:pPr>
        <w:ind w:left="1684" w:hanging="217"/>
      </w:pPr>
      <w:rPr>
        <w:rFonts w:hint="default"/>
        <w:lang w:val="en-GB" w:eastAsia="en-GB" w:bidi="en-GB"/>
      </w:rPr>
    </w:lvl>
  </w:abstractNum>
  <w:abstractNum w:abstractNumId="395" w15:restartNumberingAfterBreak="0">
    <w:nsid w:val="244652C4"/>
    <w:multiLevelType w:val="hybridMultilevel"/>
    <w:tmpl w:val="FFC83760"/>
    <w:lvl w:ilvl="0" w:tplc="BEA8C994">
      <w:numFmt w:val="bullet"/>
      <w:lvlText w:val="•"/>
      <w:lvlJc w:val="left"/>
      <w:pPr>
        <w:ind w:left="305" w:hanging="217"/>
      </w:pPr>
      <w:rPr>
        <w:rFonts w:ascii="Arial" w:eastAsia="Arial" w:hAnsi="Arial" w:cs="Arial" w:hint="default"/>
        <w:color w:val="231F20"/>
        <w:w w:val="100"/>
        <w:sz w:val="18"/>
        <w:szCs w:val="18"/>
        <w:lang w:val="en-GB" w:eastAsia="en-GB" w:bidi="en-GB"/>
      </w:rPr>
    </w:lvl>
    <w:lvl w:ilvl="1" w:tplc="A89A9678">
      <w:numFmt w:val="bullet"/>
      <w:lvlText w:val="•"/>
      <w:lvlJc w:val="left"/>
      <w:pPr>
        <w:ind w:left="524" w:hanging="217"/>
      </w:pPr>
      <w:rPr>
        <w:rFonts w:hint="default"/>
        <w:lang w:val="en-GB" w:eastAsia="en-GB" w:bidi="en-GB"/>
      </w:rPr>
    </w:lvl>
    <w:lvl w:ilvl="2" w:tplc="E1DAF21A">
      <w:numFmt w:val="bullet"/>
      <w:lvlText w:val="•"/>
      <w:lvlJc w:val="left"/>
      <w:pPr>
        <w:ind w:left="748" w:hanging="217"/>
      </w:pPr>
      <w:rPr>
        <w:rFonts w:hint="default"/>
        <w:lang w:val="en-GB" w:eastAsia="en-GB" w:bidi="en-GB"/>
      </w:rPr>
    </w:lvl>
    <w:lvl w:ilvl="3" w:tplc="92846CF8">
      <w:numFmt w:val="bullet"/>
      <w:lvlText w:val="•"/>
      <w:lvlJc w:val="left"/>
      <w:pPr>
        <w:ind w:left="972" w:hanging="217"/>
      </w:pPr>
      <w:rPr>
        <w:rFonts w:hint="default"/>
        <w:lang w:val="en-GB" w:eastAsia="en-GB" w:bidi="en-GB"/>
      </w:rPr>
    </w:lvl>
    <w:lvl w:ilvl="4" w:tplc="E7A4135C">
      <w:numFmt w:val="bullet"/>
      <w:lvlText w:val="•"/>
      <w:lvlJc w:val="left"/>
      <w:pPr>
        <w:ind w:left="1196" w:hanging="217"/>
      </w:pPr>
      <w:rPr>
        <w:rFonts w:hint="default"/>
        <w:lang w:val="en-GB" w:eastAsia="en-GB" w:bidi="en-GB"/>
      </w:rPr>
    </w:lvl>
    <w:lvl w:ilvl="5" w:tplc="F3A6E22A">
      <w:numFmt w:val="bullet"/>
      <w:lvlText w:val="•"/>
      <w:lvlJc w:val="left"/>
      <w:pPr>
        <w:ind w:left="1420" w:hanging="217"/>
      </w:pPr>
      <w:rPr>
        <w:rFonts w:hint="default"/>
        <w:lang w:val="en-GB" w:eastAsia="en-GB" w:bidi="en-GB"/>
      </w:rPr>
    </w:lvl>
    <w:lvl w:ilvl="6" w:tplc="F7BC95F2">
      <w:numFmt w:val="bullet"/>
      <w:lvlText w:val="•"/>
      <w:lvlJc w:val="left"/>
      <w:pPr>
        <w:ind w:left="1644" w:hanging="217"/>
      </w:pPr>
      <w:rPr>
        <w:rFonts w:hint="default"/>
        <w:lang w:val="en-GB" w:eastAsia="en-GB" w:bidi="en-GB"/>
      </w:rPr>
    </w:lvl>
    <w:lvl w:ilvl="7" w:tplc="D338C702">
      <w:numFmt w:val="bullet"/>
      <w:lvlText w:val="•"/>
      <w:lvlJc w:val="left"/>
      <w:pPr>
        <w:ind w:left="1868" w:hanging="217"/>
      </w:pPr>
      <w:rPr>
        <w:rFonts w:hint="default"/>
        <w:lang w:val="en-GB" w:eastAsia="en-GB" w:bidi="en-GB"/>
      </w:rPr>
    </w:lvl>
    <w:lvl w:ilvl="8" w:tplc="0B0C143C">
      <w:numFmt w:val="bullet"/>
      <w:lvlText w:val="•"/>
      <w:lvlJc w:val="left"/>
      <w:pPr>
        <w:ind w:left="2092" w:hanging="217"/>
      </w:pPr>
      <w:rPr>
        <w:rFonts w:hint="default"/>
        <w:lang w:val="en-GB" w:eastAsia="en-GB" w:bidi="en-GB"/>
      </w:rPr>
    </w:lvl>
  </w:abstractNum>
  <w:abstractNum w:abstractNumId="396" w15:restartNumberingAfterBreak="0">
    <w:nsid w:val="246D1304"/>
    <w:multiLevelType w:val="hybridMultilevel"/>
    <w:tmpl w:val="7B54BDFC"/>
    <w:lvl w:ilvl="0" w:tplc="E8E66510">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B314926A">
      <w:numFmt w:val="bullet"/>
      <w:lvlText w:val="•"/>
      <w:lvlJc w:val="left"/>
      <w:pPr>
        <w:ind w:left="892" w:hanging="217"/>
      </w:pPr>
      <w:rPr>
        <w:rFonts w:hint="default"/>
        <w:lang w:val="en-GB" w:eastAsia="en-GB" w:bidi="en-GB"/>
      </w:rPr>
    </w:lvl>
    <w:lvl w:ilvl="2" w:tplc="62C6B058">
      <w:numFmt w:val="bullet"/>
      <w:lvlText w:val="•"/>
      <w:lvlJc w:val="left"/>
      <w:pPr>
        <w:ind w:left="1485" w:hanging="217"/>
      </w:pPr>
      <w:rPr>
        <w:rFonts w:hint="default"/>
        <w:lang w:val="en-GB" w:eastAsia="en-GB" w:bidi="en-GB"/>
      </w:rPr>
    </w:lvl>
    <w:lvl w:ilvl="3" w:tplc="CFC660A0">
      <w:numFmt w:val="bullet"/>
      <w:lvlText w:val="•"/>
      <w:lvlJc w:val="left"/>
      <w:pPr>
        <w:ind w:left="2077" w:hanging="217"/>
      </w:pPr>
      <w:rPr>
        <w:rFonts w:hint="default"/>
        <w:lang w:val="en-GB" w:eastAsia="en-GB" w:bidi="en-GB"/>
      </w:rPr>
    </w:lvl>
    <w:lvl w:ilvl="4" w:tplc="51FEDBDA">
      <w:numFmt w:val="bullet"/>
      <w:lvlText w:val="•"/>
      <w:lvlJc w:val="left"/>
      <w:pPr>
        <w:ind w:left="2670" w:hanging="217"/>
      </w:pPr>
      <w:rPr>
        <w:rFonts w:hint="default"/>
        <w:lang w:val="en-GB" w:eastAsia="en-GB" w:bidi="en-GB"/>
      </w:rPr>
    </w:lvl>
    <w:lvl w:ilvl="5" w:tplc="E52EBD18">
      <w:numFmt w:val="bullet"/>
      <w:lvlText w:val="•"/>
      <w:lvlJc w:val="left"/>
      <w:pPr>
        <w:ind w:left="3263" w:hanging="217"/>
      </w:pPr>
      <w:rPr>
        <w:rFonts w:hint="default"/>
        <w:lang w:val="en-GB" w:eastAsia="en-GB" w:bidi="en-GB"/>
      </w:rPr>
    </w:lvl>
    <w:lvl w:ilvl="6" w:tplc="E6F6226A">
      <w:numFmt w:val="bullet"/>
      <w:lvlText w:val="•"/>
      <w:lvlJc w:val="left"/>
      <w:pPr>
        <w:ind w:left="3855" w:hanging="217"/>
      </w:pPr>
      <w:rPr>
        <w:rFonts w:hint="default"/>
        <w:lang w:val="en-GB" w:eastAsia="en-GB" w:bidi="en-GB"/>
      </w:rPr>
    </w:lvl>
    <w:lvl w:ilvl="7" w:tplc="A884770E">
      <w:numFmt w:val="bullet"/>
      <w:lvlText w:val="•"/>
      <w:lvlJc w:val="left"/>
      <w:pPr>
        <w:ind w:left="4448" w:hanging="217"/>
      </w:pPr>
      <w:rPr>
        <w:rFonts w:hint="default"/>
        <w:lang w:val="en-GB" w:eastAsia="en-GB" w:bidi="en-GB"/>
      </w:rPr>
    </w:lvl>
    <w:lvl w:ilvl="8" w:tplc="E67A9B86">
      <w:numFmt w:val="bullet"/>
      <w:lvlText w:val="•"/>
      <w:lvlJc w:val="left"/>
      <w:pPr>
        <w:ind w:left="5040" w:hanging="217"/>
      </w:pPr>
      <w:rPr>
        <w:rFonts w:hint="default"/>
        <w:lang w:val="en-GB" w:eastAsia="en-GB" w:bidi="en-GB"/>
      </w:rPr>
    </w:lvl>
  </w:abstractNum>
  <w:abstractNum w:abstractNumId="397" w15:restartNumberingAfterBreak="0">
    <w:nsid w:val="246E3E5E"/>
    <w:multiLevelType w:val="hybridMultilevel"/>
    <w:tmpl w:val="9C5CF056"/>
    <w:lvl w:ilvl="0" w:tplc="D23A981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0DE953E">
      <w:numFmt w:val="bullet"/>
      <w:lvlText w:val="•"/>
      <w:lvlJc w:val="left"/>
      <w:pPr>
        <w:ind w:left="541" w:hanging="217"/>
      </w:pPr>
      <w:rPr>
        <w:rFonts w:hint="default"/>
        <w:lang w:val="en-GB" w:eastAsia="en-GB" w:bidi="en-GB"/>
      </w:rPr>
    </w:lvl>
    <w:lvl w:ilvl="2" w:tplc="0F72CBD0">
      <w:numFmt w:val="bullet"/>
      <w:lvlText w:val="•"/>
      <w:lvlJc w:val="left"/>
      <w:pPr>
        <w:ind w:left="782" w:hanging="217"/>
      </w:pPr>
      <w:rPr>
        <w:rFonts w:hint="default"/>
        <w:lang w:val="en-GB" w:eastAsia="en-GB" w:bidi="en-GB"/>
      </w:rPr>
    </w:lvl>
    <w:lvl w:ilvl="3" w:tplc="89F4E024">
      <w:numFmt w:val="bullet"/>
      <w:lvlText w:val="•"/>
      <w:lvlJc w:val="left"/>
      <w:pPr>
        <w:ind w:left="1023" w:hanging="217"/>
      </w:pPr>
      <w:rPr>
        <w:rFonts w:hint="default"/>
        <w:lang w:val="en-GB" w:eastAsia="en-GB" w:bidi="en-GB"/>
      </w:rPr>
    </w:lvl>
    <w:lvl w:ilvl="4" w:tplc="75F2550E">
      <w:numFmt w:val="bullet"/>
      <w:lvlText w:val="•"/>
      <w:lvlJc w:val="left"/>
      <w:pPr>
        <w:ind w:left="1264" w:hanging="217"/>
      </w:pPr>
      <w:rPr>
        <w:rFonts w:hint="default"/>
        <w:lang w:val="en-GB" w:eastAsia="en-GB" w:bidi="en-GB"/>
      </w:rPr>
    </w:lvl>
    <w:lvl w:ilvl="5" w:tplc="8A1616BE">
      <w:numFmt w:val="bullet"/>
      <w:lvlText w:val="•"/>
      <w:lvlJc w:val="left"/>
      <w:pPr>
        <w:ind w:left="1505" w:hanging="217"/>
      </w:pPr>
      <w:rPr>
        <w:rFonts w:hint="default"/>
        <w:lang w:val="en-GB" w:eastAsia="en-GB" w:bidi="en-GB"/>
      </w:rPr>
    </w:lvl>
    <w:lvl w:ilvl="6" w:tplc="DD8010D2">
      <w:numFmt w:val="bullet"/>
      <w:lvlText w:val="•"/>
      <w:lvlJc w:val="left"/>
      <w:pPr>
        <w:ind w:left="1746" w:hanging="217"/>
      </w:pPr>
      <w:rPr>
        <w:rFonts w:hint="default"/>
        <w:lang w:val="en-GB" w:eastAsia="en-GB" w:bidi="en-GB"/>
      </w:rPr>
    </w:lvl>
    <w:lvl w:ilvl="7" w:tplc="9C865A1A">
      <w:numFmt w:val="bullet"/>
      <w:lvlText w:val="•"/>
      <w:lvlJc w:val="left"/>
      <w:pPr>
        <w:ind w:left="1987" w:hanging="217"/>
      </w:pPr>
      <w:rPr>
        <w:rFonts w:hint="default"/>
        <w:lang w:val="en-GB" w:eastAsia="en-GB" w:bidi="en-GB"/>
      </w:rPr>
    </w:lvl>
    <w:lvl w:ilvl="8" w:tplc="2ABA82E0">
      <w:numFmt w:val="bullet"/>
      <w:lvlText w:val="•"/>
      <w:lvlJc w:val="left"/>
      <w:pPr>
        <w:ind w:left="2228" w:hanging="217"/>
      </w:pPr>
      <w:rPr>
        <w:rFonts w:hint="default"/>
        <w:lang w:val="en-GB" w:eastAsia="en-GB" w:bidi="en-GB"/>
      </w:rPr>
    </w:lvl>
  </w:abstractNum>
  <w:abstractNum w:abstractNumId="398" w15:restartNumberingAfterBreak="0">
    <w:nsid w:val="24A76239"/>
    <w:multiLevelType w:val="hybridMultilevel"/>
    <w:tmpl w:val="F0881882"/>
    <w:lvl w:ilvl="0" w:tplc="895AB31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2DACE0A">
      <w:numFmt w:val="bullet"/>
      <w:lvlText w:val="•"/>
      <w:lvlJc w:val="left"/>
      <w:pPr>
        <w:ind w:left="473" w:hanging="217"/>
      </w:pPr>
      <w:rPr>
        <w:rFonts w:hint="default"/>
        <w:lang w:val="en-GB" w:eastAsia="en-GB" w:bidi="en-GB"/>
      </w:rPr>
    </w:lvl>
    <w:lvl w:ilvl="2" w:tplc="0BD65B4A">
      <w:numFmt w:val="bullet"/>
      <w:lvlText w:val="•"/>
      <w:lvlJc w:val="left"/>
      <w:pPr>
        <w:ind w:left="646" w:hanging="217"/>
      </w:pPr>
      <w:rPr>
        <w:rFonts w:hint="default"/>
        <w:lang w:val="en-GB" w:eastAsia="en-GB" w:bidi="en-GB"/>
      </w:rPr>
    </w:lvl>
    <w:lvl w:ilvl="3" w:tplc="ACB8ADCE">
      <w:numFmt w:val="bullet"/>
      <w:lvlText w:val="•"/>
      <w:lvlJc w:val="left"/>
      <w:pPr>
        <w:ind w:left="819" w:hanging="217"/>
      </w:pPr>
      <w:rPr>
        <w:rFonts w:hint="default"/>
        <w:lang w:val="en-GB" w:eastAsia="en-GB" w:bidi="en-GB"/>
      </w:rPr>
    </w:lvl>
    <w:lvl w:ilvl="4" w:tplc="364ECB74">
      <w:numFmt w:val="bullet"/>
      <w:lvlText w:val="•"/>
      <w:lvlJc w:val="left"/>
      <w:pPr>
        <w:ind w:left="992" w:hanging="217"/>
      </w:pPr>
      <w:rPr>
        <w:rFonts w:hint="default"/>
        <w:lang w:val="en-GB" w:eastAsia="en-GB" w:bidi="en-GB"/>
      </w:rPr>
    </w:lvl>
    <w:lvl w:ilvl="5" w:tplc="A39E9508">
      <w:numFmt w:val="bullet"/>
      <w:lvlText w:val="•"/>
      <w:lvlJc w:val="left"/>
      <w:pPr>
        <w:ind w:left="1165" w:hanging="217"/>
      </w:pPr>
      <w:rPr>
        <w:rFonts w:hint="default"/>
        <w:lang w:val="en-GB" w:eastAsia="en-GB" w:bidi="en-GB"/>
      </w:rPr>
    </w:lvl>
    <w:lvl w:ilvl="6" w:tplc="E250DC4A">
      <w:numFmt w:val="bullet"/>
      <w:lvlText w:val="•"/>
      <w:lvlJc w:val="left"/>
      <w:pPr>
        <w:ind w:left="1338" w:hanging="217"/>
      </w:pPr>
      <w:rPr>
        <w:rFonts w:hint="default"/>
        <w:lang w:val="en-GB" w:eastAsia="en-GB" w:bidi="en-GB"/>
      </w:rPr>
    </w:lvl>
    <w:lvl w:ilvl="7" w:tplc="C65EBC8A">
      <w:numFmt w:val="bullet"/>
      <w:lvlText w:val="•"/>
      <w:lvlJc w:val="left"/>
      <w:pPr>
        <w:ind w:left="1511" w:hanging="217"/>
      </w:pPr>
      <w:rPr>
        <w:rFonts w:hint="default"/>
        <w:lang w:val="en-GB" w:eastAsia="en-GB" w:bidi="en-GB"/>
      </w:rPr>
    </w:lvl>
    <w:lvl w:ilvl="8" w:tplc="97680FD4">
      <w:numFmt w:val="bullet"/>
      <w:lvlText w:val="•"/>
      <w:lvlJc w:val="left"/>
      <w:pPr>
        <w:ind w:left="1684" w:hanging="217"/>
      </w:pPr>
      <w:rPr>
        <w:rFonts w:hint="default"/>
        <w:lang w:val="en-GB" w:eastAsia="en-GB" w:bidi="en-GB"/>
      </w:rPr>
    </w:lvl>
  </w:abstractNum>
  <w:abstractNum w:abstractNumId="399" w15:restartNumberingAfterBreak="0">
    <w:nsid w:val="24AE6E0F"/>
    <w:multiLevelType w:val="hybridMultilevel"/>
    <w:tmpl w:val="21202E60"/>
    <w:lvl w:ilvl="0" w:tplc="7C72B6FC">
      <w:numFmt w:val="bullet"/>
      <w:lvlText w:val="•"/>
      <w:lvlJc w:val="left"/>
      <w:pPr>
        <w:ind w:left="305" w:hanging="217"/>
      </w:pPr>
      <w:rPr>
        <w:rFonts w:ascii="Arial" w:eastAsia="Arial" w:hAnsi="Arial" w:cs="Arial" w:hint="default"/>
        <w:color w:val="231F20"/>
        <w:spacing w:val="-16"/>
        <w:w w:val="100"/>
        <w:sz w:val="18"/>
        <w:szCs w:val="18"/>
        <w:lang w:val="en-GB" w:eastAsia="en-GB" w:bidi="en-GB"/>
      </w:rPr>
    </w:lvl>
    <w:lvl w:ilvl="1" w:tplc="7B2E138A">
      <w:numFmt w:val="bullet"/>
      <w:lvlText w:val="•"/>
      <w:lvlJc w:val="left"/>
      <w:pPr>
        <w:ind w:left="441" w:hanging="217"/>
      </w:pPr>
      <w:rPr>
        <w:rFonts w:hint="default"/>
        <w:lang w:val="en-GB" w:eastAsia="en-GB" w:bidi="en-GB"/>
      </w:rPr>
    </w:lvl>
    <w:lvl w:ilvl="2" w:tplc="FD041A60">
      <w:numFmt w:val="bullet"/>
      <w:lvlText w:val="•"/>
      <w:lvlJc w:val="left"/>
      <w:pPr>
        <w:ind w:left="583" w:hanging="217"/>
      </w:pPr>
      <w:rPr>
        <w:rFonts w:hint="default"/>
        <w:lang w:val="en-GB" w:eastAsia="en-GB" w:bidi="en-GB"/>
      </w:rPr>
    </w:lvl>
    <w:lvl w:ilvl="3" w:tplc="57523E0E">
      <w:numFmt w:val="bullet"/>
      <w:lvlText w:val="•"/>
      <w:lvlJc w:val="left"/>
      <w:pPr>
        <w:ind w:left="725" w:hanging="217"/>
      </w:pPr>
      <w:rPr>
        <w:rFonts w:hint="default"/>
        <w:lang w:val="en-GB" w:eastAsia="en-GB" w:bidi="en-GB"/>
      </w:rPr>
    </w:lvl>
    <w:lvl w:ilvl="4" w:tplc="06B6DD86">
      <w:numFmt w:val="bullet"/>
      <w:lvlText w:val="•"/>
      <w:lvlJc w:val="left"/>
      <w:pPr>
        <w:ind w:left="867" w:hanging="217"/>
      </w:pPr>
      <w:rPr>
        <w:rFonts w:hint="default"/>
        <w:lang w:val="en-GB" w:eastAsia="en-GB" w:bidi="en-GB"/>
      </w:rPr>
    </w:lvl>
    <w:lvl w:ilvl="5" w:tplc="FD3696FC">
      <w:numFmt w:val="bullet"/>
      <w:lvlText w:val="•"/>
      <w:lvlJc w:val="left"/>
      <w:pPr>
        <w:ind w:left="1009" w:hanging="217"/>
      </w:pPr>
      <w:rPr>
        <w:rFonts w:hint="default"/>
        <w:lang w:val="en-GB" w:eastAsia="en-GB" w:bidi="en-GB"/>
      </w:rPr>
    </w:lvl>
    <w:lvl w:ilvl="6" w:tplc="BBFA1790">
      <w:numFmt w:val="bullet"/>
      <w:lvlText w:val="•"/>
      <w:lvlJc w:val="left"/>
      <w:pPr>
        <w:ind w:left="1151" w:hanging="217"/>
      </w:pPr>
      <w:rPr>
        <w:rFonts w:hint="default"/>
        <w:lang w:val="en-GB" w:eastAsia="en-GB" w:bidi="en-GB"/>
      </w:rPr>
    </w:lvl>
    <w:lvl w:ilvl="7" w:tplc="742887C8">
      <w:numFmt w:val="bullet"/>
      <w:lvlText w:val="•"/>
      <w:lvlJc w:val="left"/>
      <w:pPr>
        <w:ind w:left="1293" w:hanging="217"/>
      </w:pPr>
      <w:rPr>
        <w:rFonts w:hint="default"/>
        <w:lang w:val="en-GB" w:eastAsia="en-GB" w:bidi="en-GB"/>
      </w:rPr>
    </w:lvl>
    <w:lvl w:ilvl="8" w:tplc="72F0E95A">
      <w:numFmt w:val="bullet"/>
      <w:lvlText w:val="•"/>
      <w:lvlJc w:val="left"/>
      <w:pPr>
        <w:ind w:left="1435" w:hanging="217"/>
      </w:pPr>
      <w:rPr>
        <w:rFonts w:hint="default"/>
        <w:lang w:val="en-GB" w:eastAsia="en-GB" w:bidi="en-GB"/>
      </w:rPr>
    </w:lvl>
  </w:abstractNum>
  <w:abstractNum w:abstractNumId="400" w15:restartNumberingAfterBreak="0">
    <w:nsid w:val="24AF04F1"/>
    <w:multiLevelType w:val="hybridMultilevel"/>
    <w:tmpl w:val="A330D4E2"/>
    <w:lvl w:ilvl="0" w:tplc="7EFA9B6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9CCC830">
      <w:numFmt w:val="bullet"/>
      <w:lvlText w:val="•"/>
      <w:lvlJc w:val="left"/>
      <w:pPr>
        <w:ind w:left="892" w:hanging="217"/>
      </w:pPr>
      <w:rPr>
        <w:rFonts w:hint="default"/>
        <w:lang w:val="en-GB" w:eastAsia="en-GB" w:bidi="en-GB"/>
      </w:rPr>
    </w:lvl>
    <w:lvl w:ilvl="2" w:tplc="78A4D1AA">
      <w:numFmt w:val="bullet"/>
      <w:lvlText w:val="•"/>
      <w:lvlJc w:val="left"/>
      <w:pPr>
        <w:ind w:left="1485" w:hanging="217"/>
      </w:pPr>
      <w:rPr>
        <w:rFonts w:hint="default"/>
        <w:lang w:val="en-GB" w:eastAsia="en-GB" w:bidi="en-GB"/>
      </w:rPr>
    </w:lvl>
    <w:lvl w:ilvl="3" w:tplc="1BB8D88C">
      <w:numFmt w:val="bullet"/>
      <w:lvlText w:val="•"/>
      <w:lvlJc w:val="left"/>
      <w:pPr>
        <w:ind w:left="2077" w:hanging="217"/>
      </w:pPr>
      <w:rPr>
        <w:rFonts w:hint="default"/>
        <w:lang w:val="en-GB" w:eastAsia="en-GB" w:bidi="en-GB"/>
      </w:rPr>
    </w:lvl>
    <w:lvl w:ilvl="4" w:tplc="219A8B9A">
      <w:numFmt w:val="bullet"/>
      <w:lvlText w:val="•"/>
      <w:lvlJc w:val="left"/>
      <w:pPr>
        <w:ind w:left="2670" w:hanging="217"/>
      </w:pPr>
      <w:rPr>
        <w:rFonts w:hint="default"/>
        <w:lang w:val="en-GB" w:eastAsia="en-GB" w:bidi="en-GB"/>
      </w:rPr>
    </w:lvl>
    <w:lvl w:ilvl="5" w:tplc="1F6CF9B6">
      <w:numFmt w:val="bullet"/>
      <w:lvlText w:val="•"/>
      <w:lvlJc w:val="left"/>
      <w:pPr>
        <w:ind w:left="3263" w:hanging="217"/>
      </w:pPr>
      <w:rPr>
        <w:rFonts w:hint="default"/>
        <w:lang w:val="en-GB" w:eastAsia="en-GB" w:bidi="en-GB"/>
      </w:rPr>
    </w:lvl>
    <w:lvl w:ilvl="6" w:tplc="7B88A906">
      <w:numFmt w:val="bullet"/>
      <w:lvlText w:val="•"/>
      <w:lvlJc w:val="left"/>
      <w:pPr>
        <w:ind w:left="3855" w:hanging="217"/>
      </w:pPr>
      <w:rPr>
        <w:rFonts w:hint="default"/>
        <w:lang w:val="en-GB" w:eastAsia="en-GB" w:bidi="en-GB"/>
      </w:rPr>
    </w:lvl>
    <w:lvl w:ilvl="7" w:tplc="BADC0E04">
      <w:numFmt w:val="bullet"/>
      <w:lvlText w:val="•"/>
      <w:lvlJc w:val="left"/>
      <w:pPr>
        <w:ind w:left="4448" w:hanging="217"/>
      </w:pPr>
      <w:rPr>
        <w:rFonts w:hint="default"/>
        <w:lang w:val="en-GB" w:eastAsia="en-GB" w:bidi="en-GB"/>
      </w:rPr>
    </w:lvl>
    <w:lvl w:ilvl="8" w:tplc="0414D4B4">
      <w:numFmt w:val="bullet"/>
      <w:lvlText w:val="•"/>
      <w:lvlJc w:val="left"/>
      <w:pPr>
        <w:ind w:left="5040" w:hanging="217"/>
      </w:pPr>
      <w:rPr>
        <w:rFonts w:hint="default"/>
        <w:lang w:val="en-GB" w:eastAsia="en-GB" w:bidi="en-GB"/>
      </w:rPr>
    </w:lvl>
  </w:abstractNum>
  <w:abstractNum w:abstractNumId="401" w15:restartNumberingAfterBreak="0">
    <w:nsid w:val="24B97FCB"/>
    <w:multiLevelType w:val="hybridMultilevel"/>
    <w:tmpl w:val="AA76001C"/>
    <w:lvl w:ilvl="0" w:tplc="697E9B2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F7CF23C">
      <w:numFmt w:val="bullet"/>
      <w:lvlText w:val="•"/>
      <w:lvlJc w:val="left"/>
      <w:pPr>
        <w:ind w:left="473" w:hanging="217"/>
      </w:pPr>
      <w:rPr>
        <w:rFonts w:hint="default"/>
        <w:lang w:val="en-GB" w:eastAsia="en-GB" w:bidi="en-GB"/>
      </w:rPr>
    </w:lvl>
    <w:lvl w:ilvl="2" w:tplc="A9000926">
      <w:numFmt w:val="bullet"/>
      <w:lvlText w:val="•"/>
      <w:lvlJc w:val="left"/>
      <w:pPr>
        <w:ind w:left="646" w:hanging="217"/>
      </w:pPr>
      <w:rPr>
        <w:rFonts w:hint="default"/>
        <w:lang w:val="en-GB" w:eastAsia="en-GB" w:bidi="en-GB"/>
      </w:rPr>
    </w:lvl>
    <w:lvl w:ilvl="3" w:tplc="4CD63270">
      <w:numFmt w:val="bullet"/>
      <w:lvlText w:val="•"/>
      <w:lvlJc w:val="left"/>
      <w:pPr>
        <w:ind w:left="819" w:hanging="217"/>
      </w:pPr>
      <w:rPr>
        <w:rFonts w:hint="default"/>
        <w:lang w:val="en-GB" w:eastAsia="en-GB" w:bidi="en-GB"/>
      </w:rPr>
    </w:lvl>
    <w:lvl w:ilvl="4" w:tplc="683AF5F6">
      <w:numFmt w:val="bullet"/>
      <w:lvlText w:val="•"/>
      <w:lvlJc w:val="left"/>
      <w:pPr>
        <w:ind w:left="992" w:hanging="217"/>
      </w:pPr>
      <w:rPr>
        <w:rFonts w:hint="default"/>
        <w:lang w:val="en-GB" w:eastAsia="en-GB" w:bidi="en-GB"/>
      </w:rPr>
    </w:lvl>
    <w:lvl w:ilvl="5" w:tplc="9F9485FC">
      <w:numFmt w:val="bullet"/>
      <w:lvlText w:val="•"/>
      <w:lvlJc w:val="left"/>
      <w:pPr>
        <w:ind w:left="1165" w:hanging="217"/>
      </w:pPr>
      <w:rPr>
        <w:rFonts w:hint="default"/>
        <w:lang w:val="en-GB" w:eastAsia="en-GB" w:bidi="en-GB"/>
      </w:rPr>
    </w:lvl>
    <w:lvl w:ilvl="6" w:tplc="995CFC06">
      <w:numFmt w:val="bullet"/>
      <w:lvlText w:val="•"/>
      <w:lvlJc w:val="left"/>
      <w:pPr>
        <w:ind w:left="1338" w:hanging="217"/>
      </w:pPr>
      <w:rPr>
        <w:rFonts w:hint="default"/>
        <w:lang w:val="en-GB" w:eastAsia="en-GB" w:bidi="en-GB"/>
      </w:rPr>
    </w:lvl>
    <w:lvl w:ilvl="7" w:tplc="F58209C2">
      <w:numFmt w:val="bullet"/>
      <w:lvlText w:val="•"/>
      <w:lvlJc w:val="left"/>
      <w:pPr>
        <w:ind w:left="1511" w:hanging="217"/>
      </w:pPr>
      <w:rPr>
        <w:rFonts w:hint="default"/>
        <w:lang w:val="en-GB" w:eastAsia="en-GB" w:bidi="en-GB"/>
      </w:rPr>
    </w:lvl>
    <w:lvl w:ilvl="8" w:tplc="91FA9F02">
      <w:numFmt w:val="bullet"/>
      <w:lvlText w:val="•"/>
      <w:lvlJc w:val="left"/>
      <w:pPr>
        <w:ind w:left="1684" w:hanging="217"/>
      </w:pPr>
      <w:rPr>
        <w:rFonts w:hint="default"/>
        <w:lang w:val="en-GB" w:eastAsia="en-GB" w:bidi="en-GB"/>
      </w:rPr>
    </w:lvl>
  </w:abstractNum>
  <w:abstractNum w:abstractNumId="402" w15:restartNumberingAfterBreak="0">
    <w:nsid w:val="24C42690"/>
    <w:multiLevelType w:val="hybridMultilevel"/>
    <w:tmpl w:val="5E044CA8"/>
    <w:lvl w:ilvl="0" w:tplc="370E78D4">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FDAE8A6C">
      <w:numFmt w:val="bullet"/>
      <w:lvlText w:val="•"/>
      <w:lvlJc w:val="left"/>
      <w:pPr>
        <w:ind w:left="473" w:hanging="217"/>
      </w:pPr>
      <w:rPr>
        <w:rFonts w:hint="default"/>
        <w:lang w:val="en-GB" w:eastAsia="en-GB" w:bidi="en-GB"/>
      </w:rPr>
    </w:lvl>
    <w:lvl w:ilvl="2" w:tplc="EB6AE7B6">
      <w:numFmt w:val="bullet"/>
      <w:lvlText w:val="•"/>
      <w:lvlJc w:val="left"/>
      <w:pPr>
        <w:ind w:left="646" w:hanging="217"/>
      </w:pPr>
      <w:rPr>
        <w:rFonts w:hint="default"/>
        <w:lang w:val="en-GB" w:eastAsia="en-GB" w:bidi="en-GB"/>
      </w:rPr>
    </w:lvl>
    <w:lvl w:ilvl="3" w:tplc="BAEA2992">
      <w:numFmt w:val="bullet"/>
      <w:lvlText w:val="•"/>
      <w:lvlJc w:val="left"/>
      <w:pPr>
        <w:ind w:left="819" w:hanging="217"/>
      </w:pPr>
      <w:rPr>
        <w:rFonts w:hint="default"/>
        <w:lang w:val="en-GB" w:eastAsia="en-GB" w:bidi="en-GB"/>
      </w:rPr>
    </w:lvl>
    <w:lvl w:ilvl="4" w:tplc="3304719A">
      <w:numFmt w:val="bullet"/>
      <w:lvlText w:val="•"/>
      <w:lvlJc w:val="left"/>
      <w:pPr>
        <w:ind w:left="992" w:hanging="217"/>
      </w:pPr>
      <w:rPr>
        <w:rFonts w:hint="default"/>
        <w:lang w:val="en-GB" w:eastAsia="en-GB" w:bidi="en-GB"/>
      </w:rPr>
    </w:lvl>
    <w:lvl w:ilvl="5" w:tplc="B60A136C">
      <w:numFmt w:val="bullet"/>
      <w:lvlText w:val="•"/>
      <w:lvlJc w:val="left"/>
      <w:pPr>
        <w:ind w:left="1165" w:hanging="217"/>
      </w:pPr>
      <w:rPr>
        <w:rFonts w:hint="default"/>
        <w:lang w:val="en-GB" w:eastAsia="en-GB" w:bidi="en-GB"/>
      </w:rPr>
    </w:lvl>
    <w:lvl w:ilvl="6" w:tplc="5A000DD2">
      <w:numFmt w:val="bullet"/>
      <w:lvlText w:val="•"/>
      <w:lvlJc w:val="left"/>
      <w:pPr>
        <w:ind w:left="1338" w:hanging="217"/>
      </w:pPr>
      <w:rPr>
        <w:rFonts w:hint="default"/>
        <w:lang w:val="en-GB" w:eastAsia="en-GB" w:bidi="en-GB"/>
      </w:rPr>
    </w:lvl>
    <w:lvl w:ilvl="7" w:tplc="70DE5480">
      <w:numFmt w:val="bullet"/>
      <w:lvlText w:val="•"/>
      <w:lvlJc w:val="left"/>
      <w:pPr>
        <w:ind w:left="1511" w:hanging="217"/>
      </w:pPr>
      <w:rPr>
        <w:rFonts w:hint="default"/>
        <w:lang w:val="en-GB" w:eastAsia="en-GB" w:bidi="en-GB"/>
      </w:rPr>
    </w:lvl>
    <w:lvl w:ilvl="8" w:tplc="2EE67BA0">
      <w:numFmt w:val="bullet"/>
      <w:lvlText w:val="•"/>
      <w:lvlJc w:val="left"/>
      <w:pPr>
        <w:ind w:left="1684" w:hanging="217"/>
      </w:pPr>
      <w:rPr>
        <w:rFonts w:hint="default"/>
        <w:lang w:val="en-GB" w:eastAsia="en-GB" w:bidi="en-GB"/>
      </w:rPr>
    </w:lvl>
  </w:abstractNum>
  <w:abstractNum w:abstractNumId="403" w15:restartNumberingAfterBreak="0">
    <w:nsid w:val="24ED48F3"/>
    <w:multiLevelType w:val="hybridMultilevel"/>
    <w:tmpl w:val="ADA08352"/>
    <w:lvl w:ilvl="0" w:tplc="40C67D6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B2EB302">
      <w:numFmt w:val="bullet"/>
      <w:lvlText w:val="•"/>
      <w:lvlJc w:val="left"/>
      <w:pPr>
        <w:ind w:left="892" w:hanging="217"/>
      </w:pPr>
      <w:rPr>
        <w:rFonts w:hint="default"/>
        <w:lang w:val="en-GB" w:eastAsia="en-GB" w:bidi="en-GB"/>
      </w:rPr>
    </w:lvl>
    <w:lvl w:ilvl="2" w:tplc="F8EAB678">
      <w:numFmt w:val="bullet"/>
      <w:lvlText w:val="•"/>
      <w:lvlJc w:val="left"/>
      <w:pPr>
        <w:ind w:left="1485" w:hanging="217"/>
      </w:pPr>
      <w:rPr>
        <w:rFonts w:hint="default"/>
        <w:lang w:val="en-GB" w:eastAsia="en-GB" w:bidi="en-GB"/>
      </w:rPr>
    </w:lvl>
    <w:lvl w:ilvl="3" w:tplc="86F26E46">
      <w:numFmt w:val="bullet"/>
      <w:lvlText w:val="•"/>
      <w:lvlJc w:val="left"/>
      <w:pPr>
        <w:ind w:left="2077" w:hanging="217"/>
      </w:pPr>
      <w:rPr>
        <w:rFonts w:hint="default"/>
        <w:lang w:val="en-GB" w:eastAsia="en-GB" w:bidi="en-GB"/>
      </w:rPr>
    </w:lvl>
    <w:lvl w:ilvl="4" w:tplc="0CC2D4E4">
      <w:numFmt w:val="bullet"/>
      <w:lvlText w:val="•"/>
      <w:lvlJc w:val="left"/>
      <w:pPr>
        <w:ind w:left="2670" w:hanging="217"/>
      </w:pPr>
      <w:rPr>
        <w:rFonts w:hint="default"/>
        <w:lang w:val="en-GB" w:eastAsia="en-GB" w:bidi="en-GB"/>
      </w:rPr>
    </w:lvl>
    <w:lvl w:ilvl="5" w:tplc="AAB20D5C">
      <w:numFmt w:val="bullet"/>
      <w:lvlText w:val="•"/>
      <w:lvlJc w:val="left"/>
      <w:pPr>
        <w:ind w:left="3263" w:hanging="217"/>
      </w:pPr>
      <w:rPr>
        <w:rFonts w:hint="default"/>
        <w:lang w:val="en-GB" w:eastAsia="en-GB" w:bidi="en-GB"/>
      </w:rPr>
    </w:lvl>
    <w:lvl w:ilvl="6" w:tplc="C1DCB69C">
      <w:numFmt w:val="bullet"/>
      <w:lvlText w:val="•"/>
      <w:lvlJc w:val="left"/>
      <w:pPr>
        <w:ind w:left="3855" w:hanging="217"/>
      </w:pPr>
      <w:rPr>
        <w:rFonts w:hint="default"/>
        <w:lang w:val="en-GB" w:eastAsia="en-GB" w:bidi="en-GB"/>
      </w:rPr>
    </w:lvl>
    <w:lvl w:ilvl="7" w:tplc="1E8091CA">
      <w:numFmt w:val="bullet"/>
      <w:lvlText w:val="•"/>
      <w:lvlJc w:val="left"/>
      <w:pPr>
        <w:ind w:left="4448" w:hanging="217"/>
      </w:pPr>
      <w:rPr>
        <w:rFonts w:hint="default"/>
        <w:lang w:val="en-GB" w:eastAsia="en-GB" w:bidi="en-GB"/>
      </w:rPr>
    </w:lvl>
    <w:lvl w:ilvl="8" w:tplc="57CECEEE">
      <w:numFmt w:val="bullet"/>
      <w:lvlText w:val="•"/>
      <w:lvlJc w:val="left"/>
      <w:pPr>
        <w:ind w:left="5040" w:hanging="217"/>
      </w:pPr>
      <w:rPr>
        <w:rFonts w:hint="default"/>
        <w:lang w:val="en-GB" w:eastAsia="en-GB" w:bidi="en-GB"/>
      </w:rPr>
    </w:lvl>
  </w:abstractNum>
  <w:abstractNum w:abstractNumId="404" w15:restartNumberingAfterBreak="0">
    <w:nsid w:val="252663F0"/>
    <w:multiLevelType w:val="hybridMultilevel"/>
    <w:tmpl w:val="8144AE9A"/>
    <w:lvl w:ilvl="0" w:tplc="F2CAD2D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B4EE916">
      <w:numFmt w:val="bullet"/>
      <w:lvlText w:val="•"/>
      <w:lvlJc w:val="left"/>
      <w:pPr>
        <w:ind w:left="473" w:hanging="217"/>
      </w:pPr>
      <w:rPr>
        <w:rFonts w:hint="default"/>
        <w:lang w:val="en-GB" w:eastAsia="en-GB" w:bidi="en-GB"/>
      </w:rPr>
    </w:lvl>
    <w:lvl w:ilvl="2" w:tplc="ABE64250">
      <w:numFmt w:val="bullet"/>
      <w:lvlText w:val="•"/>
      <w:lvlJc w:val="left"/>
      <w:pPr>
        <w:ind w:left="646" w:hanging="217"/>
      </w:pPr>
      <w:rPr>
        <w:rFonts w:hint="default"/>
        <w:lang w:val="en-GB" w:eastAsia="en-GB" w:bidi="en-GB"/>
      </w:rPr>
    </w:lvl>
    <w:lvl w:ilvl="3" w:tplc="553652F6">
      <w:numFmt w:val="bullet"/>
      <w:lvlText w:val="•"/>
      <w:lvlJc w:val="left"/>
      <w:pPr>
        <w:ind w:left="819" w:hanging="217"/>
      </w:pPr>
      <w:rPr>
        <w:rFonts w:hint="default"/>
        <w:lang w:val="en-GB" w:eastAsia="en-GB" w:bidi="en-GB"/>
      </w:rPr>
    </w:lvl>
    <w:lvl w:ilvl="4" w:tplc="3B1AB9AA">
      <w:numFmt w:val="bullet"/>
      <w:lvlText w:val="•"/>
      <w:lvlJc w:val="left"/>
      <w:pPr>
        <w:ind w:left="992" w:hanging="217"/>
      </w:pPr>
      <w:rPr>
        <w:rFonts w:hint="default"/>
        <w:lang w:val="en-GB" w:eastAsia="en-GB" w:bidi="en-GB"/>
      </w:rPr>
    </w:lvl>
    <w:lvl w:ilvl="5" w:tplc="3B16399E">
      <w:numFmt w:val="bullet"/>
      <w:lvlText w:val="•"/>
      <w:lvlJc w:val="left"/>
      <w:pPr>
        <w:ind w:left="1165" w:hanging="217"/>
      </w:pPr>
      <w:rPr>
        <w:rFonts w:hint="default"/>
        <w:lang w:val="en-GB" w:eastAsia="en-GB" w:bidi="en-GB"/>
      </w:rPr>
    </w:lvl>
    <w:lvl w:ilvl="6" w:tplc="C262E66A">
      <w:numFmt w:val="bullet"/>
      <w:lvlText w:val="•"/>
      <w:lvlJc w:val="left"/>
      <w:pPr>
        <w:ind w:left="1338" w:hanging="217"/>
      </w:pPr>
      <w:rPr>
        <w:rFonts w:hint="default"/>
        <w:lang w:val="en-GB" w:eastAsia="en-GB" w:bidi="en-GB"/>
      </w:rPr>
    </w:lvl>
    <w:lvl w:ilvl="7" w:tplc="24ECDC50">
      <w:numFmt w:val="bullet"/>
      <w:lvlText w:val="•"/>
      <w:lvlJc w:val="left"/>
      <w:pPr>
        <w:ind w:left="1511" w:hanging="217"/>
      </w:pPr>
      <w:rPr>
        <w:rFonts w:hint="default"/>
        <w:lang w:val="en-GB" w:eastAsia="en-GB" w:bidi="en-GB"/>
      </w:rPr>
    </w:lvl>
    <w:lvl w:ilvl="8" w:tplc="8BB87A98">
      <w:numFmt w:val="bullet"/>
      <w:lvlText w:val="•"/>
      <w:lvlJc w:val="left"/>
      <w:pPr>
        <w:ind w:left="1684" w:hanging="217"/>
      </w:pPr>
      <w:rPr>
        <w:rFonts w:hint="default"/>
        <w:lang w:val="en-GB" w:eastAsia="en-GB" w:bidi="en-GB"/>
      </w:rPr>
    </w:lvl>
  </w:abstractNum>
  <w:abstractNum w:abstractNumId="405" w15:restartNumberingAfterBreak="0">
    <w:nsid w:val="252C5546"/>
    <w:multiLevelType w:val="hybridMultilevel"/>
    <w:tmpl w:val="56E0278E"/>
    <w:lvl w:ilvl="0" w:tplc="F2E009E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85CFA16">
      <w:numFmt w:val="bullet"/>
      <w:lvlText w:val="•"/>
      <w:lvlJc w:val="left"/>
      <w:pPr>
        <w:ind w:left="473" w:hanging="217"/>
      </w:pPr>
      <w:rPr>
        <w:rFonts w:hint="default"/>
        <w:lang w:val="en-GB" w:eastAsia="en-GB" w:bidi="en-GB"/>
      </w:rPr>
    </w:lvl>
    <w:lvl w:ilvl="2" w:tplc="B7642920">
      <w:numFmt w:val="bullet"/>
      <w:lvlText w:val="•"/>
      <w:lvlJc w:val="left"/>
      <w:pPr>
        <w:ind w:left="646" w:hanging="217"/>
      </w:pPr>
      <w:rPr>
        <w:rFonts w:hint="default"/>
        <w:lang w:val="en-GB" w:eastAsia="en-GB" w:bidi="en-GB"/>
      </w:rPr>
    </w:lvl>
    <w:lvl w:ilvl="3" w:tplc="07B888A2">
      <w:numFmt w:val="bullet"/>
      <w:lvlText w:val="•"/>
      <w:lvlJc w:val="left"/>
      <w:pPr>
        <w:ind w:left="819" w:hanging="217"/>
      </w:pPr>
      <w:rPr>
        <w:rFonts w:hint="default"/>
        <w:lang w:val="en-GB" w:eastAsia="en-GB" w:bidi="en-GB"/>
      </w:rPr>
    </w:lvl>
    <w:lvl w:ilvl="4" w:tplc="18B07B0A">
      <w:numFmt w:val="bullet"/>
      <w:lvlText w:val="•"/>
      <w:lvlJc w:val="left"/>
      <w:pPr>
        <w:ind w:left="992" w:hanging="217"/>
      </w:pPr>
      <w:rPr>
        <w:rFonts w:hint="default"/>
        <w:lang w:val="en-GB" w:eastAsia="en-GB" w:bidi="en-GB"/>
      </w:rPr>
    </w:lvl>
    <w:lvl w:ilvl="5" w:tplc="AC6C428C">
      <w:numFmt w:val="bullet"/>
      <w:lvlText w:val="•"/>
      <w:lvlJc w:val="left"/>
      <w:pPr>
        <w:ind w:left="1165" w:hanging="217"/>
      </w:pPr>
      <w:rPr>
        <w:rFonts w:hint="default"/>
        <w:lang w:val="en-GB" w:eastAsia="en-GB" w:bidi="en-GB"/>
      </w:rPr>
    </w:lvl>
    <w:lvl w:ilvl="6" w:tplc="435A6A06">
      <w:numFmt w:val="bullet"/>
      <w:lvlText w:val="•"/>
      <w:lvlJc w:val="left"/>
      <w:pPr>
        <w:ind w:left="1338" w:hanging="217"/>
      </w:pPr>
      <w:rPr>
        <w:rFonts w:hint="default"/>
        <w:lang w:val="en-GB" w:eastAsia="en-GB" w:bidi="en-GB"/>
      </w:rPr>
    </w:lvl>
    <w:lvl w:ilvl="7" w:tplc="FF60C976">
      <w:numFmt w:val="bullet"/>
      <w:lvlText w:val="•"/>
      <w:lvlJc w:val="left"/>
      <w:pPr>
        <w:ind w:left="1511" w:hanging="217"/>
      </w:pPr>
      <w:rPr>
        <w:rFonts w:hint="default"/>
        <w:lang w:val="en-GB" w:eastAsia="en-GB" w:bidi="en-GB"/>
      </w:rPr>
    </w:lvl>
    <w:lvl w:ilvl="8" w:tplc="2DE2982C">
      <w:numFmt w:val="bullet"/>
      <w:lvlText w:val="•"/>
      <w:lvlJc w:val="left"/>
      <w:pPr>
        <w:ind w:left="1684" w:hanging="217"/>
      </w:pPr>
      <w:rPr>
        <w:rFonts w:hint="default"/>
        <w:lang w:val="en-GB" w:eastAsia="en-GB" w:bidi="en-GB"/>
      </w:rPr>
    </w:lvl>
  </w:abstractNum>
  <w:abstractNum w:abstractNumId="406" w15:restartNumberingAfterBreak="0">
    <w:nsid w:val="25335DC6"/>
    <w:multiLevelType w:val="hybridMultilevel"/>
    <w:tmpl w:val="58BED2D2"/>
    <w:lvl w:ilvl="0" w:tplc="7C681D0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D084E108">
      <w:numFmt w:val="bullet"/>
      <w:lvlText w:val="•"/>
      <w:lvlJc w:val="left"/>
      <w:pPr>
        <w:ind w:left="892" w:hanging="217"/>
      </w:pPr>
      <w:rPr>
        <w:rFonts w:hint="default"/>
        <w:lang w:val="en-GB" w:eastAsia="en-GB" w:bidi="en-GB"/>
      </w:rPr>
    </w:lvl>
    <w:lvl w:ilvl="2" w:tplc="8312CA48">
      <w:numFmt w:val="bullet"/>
      <w:lvlText w:val="•"/>
      <w:lvlJc w:val="left"/>
      <w:pPr>
        <w:ind w:left="1485" w:hanging="217"/>
      </w:pPr>
      <w:rPr>
        <w:rFonts w:hint="default"/>
        <w:lang w:val="en-GB" w:eastAsia="en-GB" w:bidi="en-GB"/>
      </w:rPr>
    </w:lvl>
    <w:lvl w:ilvl="3" w:tplc="E8B2986A">
      <w:numFmt w:val="bullet"/>
      <w:lvlText w:val="•"/>
      <w:lvlJc w:val="left"/>
      <w:pPr>
        <w:ind w:left="2077" w:hanging="217"/>
      </w:pPr>
      <w:rPr>
        <w:rFonts w:hint="default"/>
        <w:lang w:val="en-GB" w:eastAsia="en-GB" w:bidi="en-GB"/>
      </w:rPr>
    </w:lvl>
    <w:lvl w:ilvl="4" w:tplc="91563E3C">
      <w:numFmt w:val="bullet"/>
      <w:lvlText w:val="•"/>
      <w:lvlJc w:val="left"/>
      <w:pPr>
        <w:ind w:left="2670" w:hanging="217"/>
      </w:pPr>
      <w:rPr>
        <w:rFonts w:hint="default"/>
        <w:lang w:val="en-GB" w:eastAsia="en-GB" w:bidi="en-GB"/>
      </w:rPr>
    </w:lvl>
    <w:lvl w:ilvl="5" w:tplc="D0803636">
      <w:numFmt w:val="bullet"/>
      <w:lvlText w:val="•"/>
      <w:lvlJc w:val="left"/>
      <w:pPr>
        <w:ind w:left="3263" w:hanging="217"/>
      </w:pPr>
      <w:rPr>
        <w:rFonts w:hint="default"/>
        <w:lang w:val="en-GB" w:eastAsia="en-GB" w:bidi="en-GB"/>
      </w:rPr>
    </w:lvl>
    <w:lvl w:ilvl="6" w:tplc="2B944758">
      <w:numFmt w:val="bullet"/>
      <w:lvlText w:val="•"/>
      <w:lvlJc w:val="left"/>
      <w:pPr>
        <w:ind w:left="3855" w:hanging="217"/>
      </w:pPr>
      <w:rPr>
        <w:rFonts w:hint="default"/>
        <w:lang w:val="en-GB" w:eastAsia="en-GB" w:bidi="en-GB"/>
      </w:rPr>
    </w:lvl>
    <w:lvl w:ilvl="7" w:tplc="5A3E694C">
      <w:numFmt w:val="bullet"/>
      <w:lvlText w:val="•"/>
      <w:lvlJc w:val="left"/>
      <w:pPr>
        <w:ind w:left="4448" w:hanging="217"/>
      </w:pPr>
      <w:rPr>
        <w:rFonts w:hint="default"/>
        <w:lang w:val="en-GB" w:eastAsia="en-GB" w:bidi="en-GB"/>
      </w:rPr>
    </w:lvl>
    <w:lvl w:ilvl="8" w:tplc="02CE03EE">
      <w:numFmt w:val="bullet"/>
      <w:lvlText w:val="•"/>
      <w:lvlJc w:val="left"/>
      <w:pPr>
        <w:ind w:left="5040" w:hanging="217"/>
      </w:pPr>
      <w:rPr>
        <w:rFonts w:hint="default"/>
        <w:lang w:val="en-GB" w:eastAsia="en-GB" w:bidi="en-GB"/>
      </w:rPr>
    </w:lvl>
  </w:abstractNum>
  <w:abstractNum w:abstractNumId="407" w15:restartNumberingAfterBreak="0">
    <w:nsid w:val="254D243F"/>
    <w:multiLevelType w:val="hybridMultilevel"/>
    <w:tmpl w:val="7FB0EEFE"/>
    <w:lvl w:ilvl="0" w:tplc="2D1872E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BFE8B9E">
      <w:numFmt w:val="bullet"/>
      <w:lvlText w:val="•"/>
      <w:lvlJc w:val="left"/>
      <w:pPr>
        <w:ind w:left="439" w:hanging="217"/>
      </w:pPr>
      <w:rPr>
        <w:rFonts w:hint="default"/>
        <w:lang w:val="en-GB" w:eastAsia="en-GB" w:bidi="en-GB"/>
      </w:rPr>
    </w:lvl>
    <w:lvl w:ilvl="2" w:tplc="9AB24D4C">
      <w:numFmt w:val="bullet"/>
      <w:lvlText w:val="•"/>
      <w:lvlJc w:val="left"/>
      <w:pPr>
        <w:ind w:left="578" w:hanging="217"/>
      </w:pPr>
      <w:rPr>
        <w:rFonts w:hint="default"/>
        <w:lang w:val="en-GB" w:eastAsia="en-GB" w:bidi="en-GB"/>
      </w:rPr>
    </w:lvl>
    <w:lvl w:ilvl="3" w:tplc="B4A0DCA6">
      <w:numFmt w:val="bullet"/>
      <w:lvlText w:val="•"/>
      <w:lvlJc w:val="left"/>
      <w:pPr>
        <w:ind w:left="717" w:hanging="217"/>
      </w:pPr>
      <w:rPr>
        <w:rFonts w:hint="default"/>
        <w:lang w:val="en-GB" w:eastAsia="en-GB" w:bidi="en-GB"/>
      </w:rPr>
    </w:lvl>
    <w:lvl w:ilvl="4" w:tplc="8D7C5172">
      <w:numFmt w:val="bullet"/>
      <w:lvlText w:val="•"/>
      <w:lvlJc w:val="left"/>
      <w:pPr>
        <w:ind w:left="856" w:hanging="217"/>
      </w:pPr>
      <w:rPr>
        <w:rFonts w:hint="default"/>
        <w:lang w:val="en-GB" w:eastAsia="en-GB" w:bidi="en-GB"/>
      </w:rPr>
    </w:lvl>
    <w:lvl w:ilvl="5" w:tplc="F8428CB2">
      <w:numFmt w:val="bullet"/>
      <w:lvlText w:val="•"/>
      <w:lvlJc w:val="left"/>
      <w:pPr>
        <w:ind w:left="995" w:hanging="217"/>
      </w:pPr>
      <w:rPr>
        <w:rFonts w:hint="default"/>
        <w:lang w:val="en-GB" w:eastAsia="en-GB" w:bidi="en-GB"/>
      </w:rPr>
    </w:lvl>
    <w:lvl w:ilvl="6" w:tplc="FC68B0A0">
      <w:numFmt w:val="bullet"/>
      <w:lvlText w:val="•"/>
      <w:lvlJc w:val="left"/>
      <w:pPr>
        <w:ind w:left="1134" w:hanging="217"/>
      </w:pPr>
      <w:rPr>
        <w:rFonts w:hint="default"/>
        <w:lang w:val="en-GB" w:eastAsia="en-GB" w:bidi="en-GB"/>
      </w:rPr>
    </w:lvl>
    <w:lvl w:ilvl="7" w:tplc="5ACCA76E">
      <w:numFmt w:val="bullet"/>
      <w:lvlText w:val="•"/>
      <w:lvlJc w:val="left"/>
      <w:pPr>
        <w:ind w:left="1273" w:hanging="217"/>
      </w:pPr>
      <w:rPr>
        <w:rFonts w:hint="default"/>
        <w:lang w:val="en-GB" w:eastAsia="en-GB" w:bidi="en-GB"/>
      </w:rPr>
    </w:lvl>
    <w:lvl w:ilvl="8" w:tplc="9B1AA67C">
      <w:numFmt w:val="bullet"/>
      <w:lvlText w:val="•"/>
      <w:lvlJc w:val="left"/>
      <w:pPr>
        <w:ind w:left="1412" w:hanging="217"/>
      </w:pPr>
      <w:rPr>
        <w:rFonts w:hint="default"/>
        <w:lang w:val="en-GB" w:eastAsia="en-GB" w:bidi="en-GB"/>
      </w:rPr>
    </w:lvl>
  </w:abstractNum>
  <w:abstractNum w:abstractNumId="408" w15:restartNumberingAfterBreak="0">
    <w:nsid w:val="25515709"/>
    <w:multiLevelType w:val="hybridMultilevel"/>
    <w:tmpl w:val="8542CCDE"/>
    <w:lvl w:ilvl="0" w:tplc="1A48851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86000F6A">
      <w:numFmt w:val="bullet"/>
      <w:lvlText w:val="•"/>
      <w:lvlJc w:val="left"/>
      <w:pPr>
        <w:ind w:left="473" w:hanging="217"/>
      </w:pPr>
      <w:rPr>
        <w:rFonts w:hint="default"/>
        <w:lang w:val="en-GB" w:eastAsia="en-GB" w:bidi="en-GB"/>
      </w:rPr>
    </w:lvl>
    <w:lvl w:ilvl="2" w:tplc="92F41624">
      <w:numFmt w:val="bullet"/>
      <w:lvlText w:val="•"/>
      <w:lvlJc w:val="left"/>
      <w:pPr>
        <w:ind w:left="646" w:hanging="217"/>
      </w:pPr>
      <w:rPr>
        <w:rFonts w:hint="default"/>
        <w:lang w:val="en-GB" w:eastAsia="en-GB" w:bidi="en-GB"/>
      </w:rPr>
    </w:lvl>
    <w:lvl w:ilvl="3" w:tplc="A2148410">
      <w:numFmt w:val="bullet"/>
      <w:lvlText w:val="•"/>
      <w:lvlJc w:val="left"/>
      <w:pPr>
        <w:ind w:left="819" w:hanging="217"/>
      </w:pPr>
      <w:rPr>
        <w:rFonts w:hint="default"/>
        <w:lang w:val="en-GB" w:eastAsia="en-GB" w:bidi="en-GB"/>
      </w:rPr>
    </w:lvl>
    <w:lvl w:ilvl="4" w:tplc="F5DEC8A2">
      <w:numFmt w:val="bullet"/>
      <w:lvlText w:val="•"/>
      <w:lvlJc w:val="left"/>
      <w:pPr>
        <w:ind w:left="992" w:hanging="217"/>
      </w:pPr>
      <w:rPr>
        <w:rFonts w:hint="default"/>
        <w:lang w:val="en-GB" w:eastAsia="en-GB" w:bidi="en-GB"/>
      </w:rPr>
    </w:lvl>
    <w:lvl w:ilvl="5" w:tplc="A31A961C">
      <w:numFmt w:val="bullet"/>
      <w:lvlText w:val="•"/>
      <w:lvlJc w:val="left"/>
      <w:pPr>
        <w:ind w:left="1165" w:hanging="217"/>
      </w:pPr>
      <w:rPr>
        <w:rFonts w:hint="default"/>
        <w:lang w:val="en-GB" w:eastAsia="en-GB" w:bidi="en-GB"/>
      </w:rPr>
    </w:lvl>
    <w:lvl w:ilvl="6" w:tplc="2EE44C62">
      <w:numFmt w:val="bullet"/>
      <w:lvlText w:val="•"/>
      <w:lvlJc w:val="left"/>
      <w:pPr>
        <w:ind w:left="1338" w:hanging="217"/>
      </w:pPr>
      <w:rPr>
        <w:rFonts w:hint="default"/>
        <w:lang w:val="en-GB" w:eastAsia="en-GB" w:bidi="en-GB"/>
      </w:rPr>
    </w:lvl>
    <w:lvl w:ilvl="7" w:tplc="AAA8895E">
      <w:numFmt w:val="bullet"/>
      <w:lvlText w:val="•"/>
      <w:lvlJc w:val="left"/>
      <w:pPr>
        <w:ind w:left="1511" w:hanging="217"/>
      </w:pPr>
      <w:rPr>
        <w:rFonts w:hint="default"/>
        <w:lang w:val="en-GB" w:eastAsia="en-GB" w:bidi="en-GB"/>
      </w:rPr>
    </w:lvl>
    <w:lvl w:ilvl="8" w:tplc="463A7D88">
      <w:numFmt w:val="bullet"/>
      <w:lvlText w:val="•"/>
      <w:lvlJc w:val="left"/>
      <w:pPr>
        <w:ind w:left="1684" w:hanging="217"/>
      </w:pPr>
      <w:rPr>
        <w:rFonts w:hint="default"/>
        <w:lang w:val="en-GB" w:eastAsia="en-GB" w:bidi="en-GB"/>
      </w:rPr>
    </w:lvl>
  </w:abstractNum>
  <w:abstractNum w:abstractNumId="409" w15:restartNumberingAfterBreak="0">
    <w:nsid w:val="25654487"/>
    <w:multiLevelType w:val="hybridMultilevel"/>
    <w:tmpl w:val="4D869606"/>
    <w:lvl w:ilvl="0" w:tplc="0838CC3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C40E61C">
      <w:numFmt w:val="bullet"/>
      <w:lvlText w:val="•"/>
      <w:lvlJc w:val="left"/>
      <w:pPr>
        <w:ind w:left="473" w:hanging="217"/>
      </w:pPr>
      <w:rPr>
        <w:rFonts w:hint="default"/>
        <w:lang w:val="en-GB" w:eastAsia="en-GB" w:bidi="en-GB"/>
      </w:rPr>
    </w:lvl>
    <w:lvl w:ilvl="2" w:tplc="6A663090">
      <w:numFmt w:val="bullet"/>
      <w:lvlText w:val="•"/>
      <w:lvlJc w:val="left"/>
      <w:pPr>
        <w:ind w:left="646" w:hanging="217"/>
      </w:pPr>
      <w:rPr>
        <w:rFonts w:hint="default"/>
        <w:lang w:val="en-GB" w:eastAsia="en-GB" w:bidi="en-GB"/>
      </w:rPr>
    </w:lvl>
    <w:lvl w:ilvl="3" w:tplc="55703930">
      <w:numFmt w:val="bullet"/>
      <w:lvlText w:val="•"/>
      <w:lvlJc w:val="left"/>
      <w:pPr>
        <w:ind w:left="819" w:hanging="217"/>
      </w:pPr>
      <w:rPr>
        <w:rFonts w:hint="default"/>
        <w:lang w:val="en-GB" w:eastAsia="en-GB" w:bidi="en-GB"/>
      </w:rPr>
    </w:lvl>
    <w:lvl w:ilvl="4" w:tplc="439627D2">
      <w:numFmt w:val="bullet"/>
      <w:lvlText w:val="•"/>
      <w:lvlJc w:val="left"/>
      <w:pPr>
        <w:ind w:left="992" w:hanging="217"/>
      </w:pPr>
      <w:rPr>
        <w:rFonts w:hint="default"/>
        <w:lang w:val="en-GB" w:eastAsia="en-GB" w:bidi="en-GB"/>
      </w:rPr>
    </w:lvl>
    <w:lvl w:ilvl="5" w:tplc="EBAA7FB6">
      <w:numFmt w:val="bullet"/>
      <w:lvlText w:val="•"/>
      <w:lvlJc w:val="left"/>
      <w:pPr>
        <w:ind w:left="1165" w:hanging="217"/>
      </w:pPr>
      <w:rPr>
        <w:rFonts w:hint="default"/>
        <w:lang w:val="en-GB" w:eastAsia="en-GB" w:bidi="en-GB"/>
      </w:rPr>
    </w:lvl>
    <w:lvl w:ilvl="6" w:tplc="CCF2FC34">
      <w:numFmt w:val="bullet"/>
      <w:lvlText w:val="•"/>
      <w:lvlJc w:val="left"/>
      <w:pPr>
        <w:ind w:left="1338" w:hanging="217"/>
      </w:pPr>
      <w:rPr>
        <w:rFonts w:hint="default"/>
        <w:lang w:val="en-GB" w:eastAsia="en-GB" w:bidi="en-GB"/>
      </w:rPr>
    </w:lvl>
    <w:lvl w:ilvl="7" w:tplc="F1C0E518">
      <w:numFmt w:val="bullet"/>
      <w:lvlText w:val="•"/>
      <w:lvlJc w:val="left"/>
      <w:pPr>
        <w:ind w:left="1511" w:hanging="217"/>
      </w:pPr>
      <w:rPr>
        <w:rFonts w:hint="default"/>
        <w:lang w:val="en-GB" w:eastAsia="en-GB" w:bidi="en-GB"/>
      </w:rPr>
    </w:lvl>
    <w:lvl w:ilvl="8" w:tplc="696A837E">
      <w:numFmt w:val="bullet"/>
      <w:lvlText w:val="•"/>
      <w:lvlJc w:val="left"/>
      <w:pPr>
        <w:ind w:left="1684" w:hanging="217"/>
      </w:pPr>
      <w:rPr>
        <w:rFonts w:hint="default"/>
        <w:lang w:val="en-GB" w:eastAsia="en-GB" w:bidi="en-GB"/>
      </w:rPr>
    </w:lvl>
  </w:abstractNum>
  <w:abstractNum w:abstractNumId="410" w15:restartNumberingAfterBreak="0">
    <w:nsid w:val="25752224"/>
    <w:multiLevelType w:val="hybridMultilevel"/>
    <w:tmpl w:val="F6EA0CCC"/>
    <w:lvl w:ilvl="0" w:tplc="6E1C87C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C3A0482">
      <w:numFmt w:val="bullet"/>
      <w:lvlText w:val="•"/>
      <w:lvlJc w:val="left"/>
      <w:pPr>
        <w:ind w:left="1061" w:hanging="217"/>
      </w:pPr>
      <w:rPr>
        <w:rFonts w:hint="default"/>
        <w:lang w:val="en-GB" w:eastAsia="en-GB" w:bidi="en-GB"/>
      </w:rPr>
    </w:lvl>
    <w:lvl w:ilvl="2" w:tplc="47E8EE5E">
      <w:numFmt w:val="bullet"/>
      <w:lvlText w:val="•"/>
      <w:lvlJc w:val="left"/>
      <w:pPr>
        <w:ind w:left="1823" w:hanging="217"/>
      </w:pPr>
      <w:rPr>
        <w:rFonts w:hint="default"/>
        <w:lang w:val="en-GB" w:eastAsia="en-GB" w:bidi="en-GB"/>
      </w:rPr>
    </w:lvl>
    <w:lvl w:ilvl="3" w:tplc="30626B16">
      <w:numFmt w:val="bullet"/>
      <w:lvlText w:val="•"/>
      <w:lvlJc w:val="left"/>
      <w:pPr>
        <w:ind w:left="2585" w:hanging="217"/>
      </w:pPr>
      <w:rPr>
        <w:rFonts w:hint="default"/>
        <w:lang w:val="en-GB" w:eastAsia="en-GB" w:bidi="en-GB"/>
      </w:rPr>
    </w:lvl>
    <w:lvl w:ilvl="4" w:tplc="B96020A8">
      <w:numFmt w:val="bullet"/>
      <w:lvlText w:val="•"/>
      <w:lvlJc w:val="left"/>
      <w:pPr>
        <w:ind w:left="3346" w:hanging="217"/>
      </w:pPr>
      <w:rPr>
        <w:rFonts w:hint="default"/>
        <w:lang w:val="en-GB" w:eastAsia="en-GB" w:bidi="en-GB"/>
      </w:rPr>
    </w:lvl>
    <w:lvl w:ilvl="5" w:tplc="0D2CA7F6">
      <w:numFmt w:val="bullet"/>
      <w:lvlText w:val="•"/>
      <w:lvlJc w:val="left"/>
      <w:pPr>
        <w:ind w:left="4108" w:hanging="217"/>
      </w:pPr>
      <w:rPr>
        <w:rFonts w:hint="default"/>
        <w:lang w:val="en-GB" w:eastAsia="en-GB" w:bidi="en-GB"/>
      </w:rPr>
    </w:lvl>
    <w:lvl w:ilvl="6" w:tplc="FF3C3078">
      <w:numFmt w:val="bullet"/>
      <w:lvlText w:val="•"/>
      <w:lvlJc w:val="left"/>
      <w:pPr>
        <w:ind w:left="4870" w:hanging="217"/>
      </w:pPr>
      <w:rPr>
        <w:rFonts w:hint="default"/>
        <w:lang w:val="en-GB" w:eastAsia="en-GB" w:bidi="en-GB"/>
      </w:rPr>
    </w:lvl>
    <w:lvl w:ilvl="7" w:tplc="D90E9D82">
      <w:numFmt w:val="bullet"/>
      <w:lvlText w:val="•"/>
      <w:lvlJc w:val="left"/>
      <w:pPr>
        <w:ind w:left="5631" w:hanging="217"/>
      </w:pPr>
      <w:rPr>
        <w:rFonts w:hint="default"/>
        <w:lang w:val="en-GB" w:eastAsia="en-GB" w:bidi="en-GB"/>
      </w:rPr>
    </w:lvl>
    <w:lvl w:ilvl="8" w:tplc="F2647BF8">
      <w:numFmt w:val="bullet"/>
      <w:lvlText w:val="•"/>
      <w:lvlJc w:val="left"/>
      <w:pPr>
        <w:ind w:left="6393" w:hanging="217"/>
      </w:pPr>
      <w:rPr>
        <w:rFonts w:hint="default"/>
        <w:lang w:val="en-GB" w:eastAsia="en-GB" w:bidi="en-GB"/>
      </w:rPr>
    </w:lvl>
  </w:abstractNum>
  <w:abstractNum w:abstractNumId="411" w15:restartNumberingAfterBreak="0">
    <w:nsid w:val="257655A6"/>
    <w:multiLevelType w:val="hybridMultilevel"/>
    <w:tmpl w:val="1E62DC2C"/>
    <w:lvl w:ilvl="0" w:tplc="117C3B2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846F256">
      <w:numFmt w:val="bullet"/>
      <w:lvlText w:val="•"/>
      <w:lvlJc w:val="left"/>
      <w:pPr>
        <w:ind w:left="444" w:hanging="217"/>
      </w:pPr>
      <w:rPr>
        <w:rFonts w:hint="default"/>
        <w:lang w:val="en-GB" w:eastAsia="en-GB" w:bidi="en-GB"/>
      </w:rPr>
    </w:lvl>
    <w:lvl w:ilvl="2" w:tplc="6ADE516A">
      <w:numFmt w:val="bullet"/>
      <w:lvlText w:val="•"/>
      <w:lvlJc w:val="left"/>
      <w:pPr>
        <w:ind w:left="589" w:hanging="217"/>
      </w:pPr>
      <w:rPr>
        <w:rFonts w:hint="default"/>
        <w:lang w:val="en-GB" w:eastAsia="en-GB" w:bidi="en-GB"/>
      </w:rPr>
    </w:lvl>
    <w:lvl w:ilvl="3" w:tplc="DF5A278C">
      <w:numFmt w:val="bullet"/>
      <w:lvlText w:val="•"/>
      <w:lvlJc w:val="left"/>
      <w:pPr>
        <w:ind w:left="734" w:hanging="217"/>
      </w:pPr>
      <w:rPr>
        <w:rFonts w:hint="default"/>
        <w:lang w:val="en-GB" w:eastAsia="en-GB" w:bidi="en-GB"/>
      </w:rPr>
    </w:lvl>
    <w:lvl w:ilvl="4" w:tplc="8F6A68BA">
      <w:numFmt w:val="bullet"/>
      <w:lvlText w:val="•"/>
      <w:lvlJc w:val="left"/>
      <w:pPr>
        <w:ind w:left="878" w:hanging="217"/>
      </w:pPr>
      <w:rPr>
        <w:rFonts w:hint="default"/>
        <w:lang w:val="en-GB" w:eastAsia="en-GB" w:bidi="en-GB"/>
      </w:rPr>
    </w:lvl>
    <w:lvl w:ilvl="5" w:tplc="1FE02620">
      <w:numFmt w:val="bullet"/>
      <w:lvlText w:val="•"/>
      <w:lvlJc w:val="left"/>
      <w:pPr>
        <w:ind w:left="1023" w:hanging="217"/>
      </w:pPr>
      <w:rPr>
        <w:rFonts w:hint="default"/>
        <w:lang w:val="en-GB" w:eastAsia="en-GB" w:bidi="en-GB"/>
      </w:rPr>
    </w:lvl>
    <w:lvl w:ilvl="6" w:tplc="EEE8F5C8">
      <w:numFmt w:val="bullet"/>
      <w:lvlText w:val="•"/>
      <w:lvlJc w:val="left"/>
      <w:pPr>
        <w:ind w:left="1168" w:hanging="217"/>
      </w:pPr>
      <w:rPr>
        <w:rFonts w:hint="default"/>
        <w:lang w:val="en-GB" w:eastAsia="en-GB" w:bidi="en-GB"/>
      </w:rPr>
    </w:lvl>
    <w:lvl w:ilvl="7" w:tplc="9C48E026">
      <w:numFmt w:val="bullet"/>
      <w:lvlText w:val="•"/>
      <w:lvlJc w:val="left"/>
      <w:pPr>
        <w:ind w:left="1312" w:hanging="217"/>
      </w:pPr>
      <w:rPr>
        <w:rFonts w:hint="default"/>
        <w:lang w:val="en-GB" w:eastAsia="en-GB" w:bidi="en-GB"/>
      </w:rPr>
    </w:lvl>
    <w:lvl w:ilvl="8" w:tplc="C616CD2E">
      <w:numFmt w:val="bullet"/>
      <w:lvlText w:val="•"/>
      <w:lvlJc w:val="left"/>
      <w:pPr>
        <w:ind w:left="1457" w:hanging="217"/>
      </w:pPr>
      <w:rPr>
        <w:rFonts w:hint="default"/>
        <w:lang w:val="en-GB" w:eastAsia="en-GB" w:bidi="en-GB"/>
      </w:rPr>
    </w:lvl>
  </w:abstractNum>
  <w:abstractNum w:abstractNumId="412" w15:restartNumberingAfterBreak="0">
    <w:nsid w:val="25A45058"/>
    <w:multiLevelType w:val="hybridMultilevel"/>
    <w:tmpl w:val="0074AF5A"/>
    <w:lvl w:ilvl="0" w:tplc="87F89B88">
      <w:numFmt w:val="bullet"/>
      <w:lvlText w:val="•"/>
      <w:lvlJc w:val="left"/>
      <w:pPr>
        <w:ind w:left="276" w:hanging="217"/>
      </w:pPr>
      <w:rPr>
        <w:rFonts w:ascii="Arial" w:eastAsia="Arial" w:hAnsi="Arial" w:cs="Arial" w:hint="default"/>
        <w:color w:val="231F20"/>
        <w:w w:val="97"/>
        <w:sz w:val="16"/>
        <w:szCs w:val="16"/>
        <w:lang w:val="en-GB" w:eastAsia="en-GB" w:bidi="en-GB"/>
      </w:rPr>
    </w:lvl>
    <w:lvl w:ilvl="1" w:tplc="353E037E">
      <w:numFmt w:val="bullet"/>
      <w:lvlText w:val="•"/>
      <w:lvlJc w:val="left"/>
      <w:pPr>
        <w:ind w:left="381" w:hanging="217"/>
      </w:pPr>
      <w:rPr>
        <w:rFonts w:hint="default"/>
        <w:lang w:val="en-GB" w:eastAsia="en-GB" w:bidi="en-GB"/>
      </w:rPr>
    </w:lvl>
    <w:lvl w:ilvl="2" w:tplc="75DCE0D8">
      <w:numFmt w:val="bullet"/>
      <w:lvlText w:val="•"/>
      <w:lvlJc w:val="left"/>
      <w:pPr>
        <w:ind w:left="482" w:hanging="217"/>
      </w:pPr>
      <w:rPr>
        <w:rFonts w:hint="default"/>
        <w:lang w:val="en-GB" w:eastAsia="en-GB" w:bidi="en-GB"/>
      </w:rPr>
    </w:lvl>
    <w:lvl w:ilvl="3" w:tplc="52702278">
      <w:numFmt w:val="bullet"/>
      <w:lvlText w:val="•"/>
      <w:lvlJc w:val="left"/>
      <w:pPr>
        <w:ind w:left="584" w:hanging="217"/>
      </w:pPr>
      <w:rPr>
        <w:rFonts w:hint="default"/>
        <w:lang w:val="en-GB" w:eastAsia="en-GB" w:bidi="en-GB"/>
      </w:rPr>
    </w:lvl>
    <w:lvl w:ilvl="4" w:tplc="9FCAAE86">
      <w:numFmt w:val="bullet"/>
      <w:lvlText w:val="•"/>
      <w:lvlJc w:val="left"/>
      <w:pPr>
        <w:ind w:left="685" w:hanging="217"/>
      </w:pPr>
      <w:rPr>
        <w:rFonts w:hint="default"/>
        <w:lang w:val="en-GB" w:eastAsia="en-GB" w:bidi="en-GB"/>
      </w:rPr>
    </w:lvl>
    <w:lvl w:ilvl="5" w:tplc="F0964812">
      <w:numFmt w:val="bullet"/>
      <w:lvlText w:val="•"/>
      <w:lvlJc w:val="left"/>
      <w:pPr>
        <w:ind w:left="787" w:hanging="217"/>
      </w:pPr>
      <w:rPr>
        <w:rFonts w:hint="default"/>
        <w:lang w:val="en-GB" w:eastAsia="en-GB" w:bidi="en-GB"/>
      </w:rPr>
    </w:lvl>
    <w:lvl w:ilvl="6" w:tplc="58D67418">
      <w:numFmt w:val="bullet"/>
      <w:lvlText w:val="•"/>
      <w:lvlJc w:val="left"/>
      <w:pPr>
        <w:ind w:left="888" w:hanging="217"/>
      </w:pPr>
      <w:rPr>
        <w:rFonts w:hint="default"/>
        <w:lang w:val="en-GB" w:eastAsia="en-GB" w:bidi="en-GB"/>
      </w:rPr>
    </w:lvl>
    <w:lvl w:ilvl="7" w:tplc="1A4E9CF0">
      <w:numFmt w:val="bullet"/>
      <w:lvlText w:val="•"/>
      <w:lvlJc w:val="left"/>
      <w:pPr>
        <w:ind w:left="989" w:hanging="217"/>
      </w:pPr>
      <w:rPr>
        <w:rFonts w:hint="default"/>
        <w:lang w:val="en-GB" w:eastAsia="en-GB" w:bidi="en-GB"/>
      </w:rPr>
    </w:lvl>
    <w:lvl w:ilvl="8" w:tplc="0A826E76">
      <w:numFmt w:val="bullet"/>
      <w:lvlText w:val="•"/>
      <w:lvlJc w:val="left"/>
      <w:pPr>
        <w:ind w:left="1091" w:hanging="217"/>
      </w:pPr>
      <w:rPr>
        <w:rFonts w:hint="default"/>
        <w:lang w:val="en-GB" w:eastAsia="en-GB" w:bidi="en-GB"/>
      </w:rPr>
    </w:lvl>
  </w:abstractNum>
  <w:abstractNum w:abstractNumId="413" w15:restartNumberingAfterBreak="0">
    <w:nsid w:val="2603798D"/>
    <w:multiLevelType w:val="hybridMultilevel"/>
    <w:tmpl w:val="CB340BEC"/>
    <w:lvl w:ilvl="0" w:tplc="D3C4BF0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9B2178A">
      <w:numFmt w:val="bullet"/>
      <w:lvlText w:val="•"/>
      <w:lvlJc w:val="left"/>
      <w:pPr>
        <w:ind w:left="473" w:hanging="217"/>
      </w:pPr>
      <w:rPr>
        <w:rFonts w:hint="default"/>
        <w:lang w:val="en-GB" w:eastAsia="en-GB" w:bidi="en-GB"/>
      </w:rPr>
    </w:lvl>
    <w:lvl w:ilvl="2" w:tplc="833278B8">
      <w:numFmt w:val="bullet"/>
      <w:lvlText w:val="•"/>
      <w:lvlJc w:val="left"/>
      <w:pPr>
        <w:ind w:left="646" w:hanging="217"/>
      </w:pPr>
      <w:rPr>
        <w:rFonts w:hint="default"/>
        <w:lang w:val="en-GB" w:eastAsia="en-GB" w:bidi="en-GB"/>
      </w:rPr>
    </w:lvl>
    <w:lvl w:ilvl="3" w:tplc="935A5458">
      <w:numFmt w:val="bullet"/>
      <w:lvlText w:val="•"/>
      <w:lvlJc w:val="left"/>
      <w:pPr>
        <w:ind w:left="819" w:hanging="217"/>
      </w:pPr>
      <w:rPr>
        <w:rFonts w:hint="default"/>
        <w:lang w:val="en-GB" w:eastAsia="en-GB" w:bidi="en-GB"/>
      </w:rPr>
    </w:lvl>
    <w:lvl w:ilvl="4" w:tplc="0A9AF754">
      <w:numFmt w:val="bullet"/>
      <w:lvlText w:val="•"/>
      <w:lvlJc w:val="left"/>
      <w:pPr>
        <w:ind w:left="992" w:hanging="217"/>
      </w:pPr>
      <w:rPr>
        <w:rFonts w:hint="default"/>
        <w:lang w:val="en-GB" w:eastAsia="en-GB" w:bidi="en-GB"/>
      </w:rPr>
    </w:lvl>
    <w:lvl w:ilvl="5" w:tplc="EC74D174">
      <w:numFmt w:val="bullet"/>
      <w:lvlText w:val="•"/>
      <w:lvlJc w:val="left"/>
      <w:pPr>
        <w:ind w:left="1165" w:hanging="217"/>
      </w:pPr>
      <w:rPr>
        <w:rFonts w:hint="default"/>
        <w:lang w:val="en-GB" w:eastAsia="en-GB" w:bidi="en-GB"/>
      </w:rPr>
    </w:lvl>
    <w:lvl w:ilvl="6" w:tplc="DB889186">
      <w:numFmt w:val="bullet"/>
      <w:lvlText w:val="•"/>
      <w:lvlJc w:val="left"/>
      <w:pPr>
        <w:ind w:left="1338" w:hanging="217"/>
      </w:pPr>
      <w:rPr>
        <w:rFonts w:hint="default"/>
        <w:lang w:val="en-GB" w:eastAsia="en-GB" w:bidi="en-GB"/>
      </w:rPr>
    </w:lvl>
    <w:lvl w:ilvl="7" w:tplc="5E5C71F6">
      <w:numFmt w:val="bullet"/>
      <w:lvlText w:val="•"/>
      <w:lvlJc w:val="left"/>
      <w:pPr>
        <w:ind w:left="1511" w:hanging="217"/>
      </w:pPr>
      <w:rPr>
        <w:rFonts w:hint="default"/>
        <w:lang w:val="en-GB" w:eastAsia="en-GB" w:bidi="en-GB"/>
      </w:rPr>
    </w:lvl>
    <w:lvl w:ilvl="8" w:tplc="72EC36FA">
      <w:numFmt w:val="bullet"/>
      <w:lvlText w:val="•"/>
      <w:lvlJc w:val="left"/>
      <w:pPr>
        <w:ind w:left="1684" w:hanging="217"/>
      </w:pPr>
      <w:rPr>
        <w:rFonts w:hint="default"/>
        <w:lang w:val="en-GB" w:eastAsia="en-GB" w:bidi="en-GB"/>
      </w:rPr>
    </w:lvl>
  </w:abstractNum>
  <w:abstractNum w:abstractNumId="414" w15:restartNumberingAfterBreak="0">
    <w:nsid w:val="26053DA1"/>
    <w:multiLevelType w:val="hybridMultilevel"/>
    <w:tmpl w:val="EFC85462"/>
    <w:lvl w:ilvl="0" w:tplc="A6F209E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35C9224">
      <w:numFmt w:val="bullet"/>
      <w:lvlText w:val="•"/>
      <w:lvlJc w:val="left"/>
      <w:pPr>
        <w:ind w:left="892" w:hanging="217"/>
      </w:pPr>
      <w:rPr>
        <w:rFonts w:hint="default"/>
        <w:lang w:val="en-GB" w:eastAsia="en-GB" w:bidi="en-GB"/>
      </w:rPr>
    </w:lvl>
    <w:lvl w:ilvl="2" w:tplc="F11A3150">
      <w:numFmt w:val="bullet"/>
      <w:lvlText w:val="•"/>
      <w:lvlJc w:val="left"/>
      <w:pPr>
        <w:ind w:left="1485" w:hanging="217"/>
      </w:pPr>
      <w:rPr>
        <w:rFonts w:hint="default"/>
        <w:lang w:val="en-GB" w:eastAsia="en-GB" w:bidi="en-GB"/>
      </w:rPr>
    </w:lvl>
    <w:lvl w:ilvl="3" w:tplc="51C445AC">
      <w:numFmt w:val="bullet"/>
      <w:lvlText w:val="•"/>
      <w:lvlJc w:val="left"/>
      <w:pPr>
        <w:ind w:left="2077" w:hanging="217"/>
      </w:pPr>
      <w:rPr>
        <w:rFonts w:hint="default"/>
        <w:lang w:val="en-GB" w:eastAsia="en-GB" w:bidi="en-GB"/>
      </w:rPr>
    </w:lvl>
    <w:lvl w:ilvl="4" w:tplc="39CCA276">
      <w:numFmt w:val="bullet"/>
      <w:lvlText w:val="•"/>
      <w:lvlJc w:val="left"/>
      <w:pPr>
        <w:ind w:left="2670" w:hanging="217"/>
      </w:pPr>
      <w:rPr>
        <w:rFonts w:hint="default"/>
        <w:lang w:val="en-GB" w:eastAsia="en-GB" w:bidi="en-GB"/>
      </w:rPr>
    </w:lvl>
    <w:lvl w:ilvl="5" w:tplc="3B0A7D0A">
      <w:numFmt w:val="bullet"/>
      <w:lvlText w:val="•"/>
      <w:lvlJc w:val="left"/>
      <w:pPr>
        <w:ind w:left="3263" w:hanging="217"/>
      </w:pPr>
      <w:rPr>
        <w:rFonts w:hint="default"/>
        <w:lang w:val="en-GB" w:eastAsia="en-GB" w:bidi="en-GB"/>
      </w:rPr>
    </w:lvl>
    <w:lvl w:ilvl="6" w:tplc="72B6536E">
      <w:numFmt w:val="bullet"/>
      <w:lvlText w:val="•"/>
      <w:lvlJc w:val="left"/>
      <w:pPr>
        <w:ind w:left="3855" w:hanging="217"/>
      </w:pPr>
      <w:rPr>
        <w:rFonts w:hint="default"/>
        <w:lang w:val="en-GB" w:eastAsia="en-GB" w:bidi="en-GB"/>
      </w:rPr>
    </w:lvl>
    <w:lvl w:ilvl="7" w:tplc="33C67CE0">
      <w:numFmt w:val="bullet"/>
      <w:lvlText w:val="•"/>
      <w:lvlJc w:val="left"/>
      <w:pPr>
        <w:ind w:left="4448" w:hanging="217"/>
      </w:pPr>
      <w:rPr>
        <w:rFonts w:hint="default"/>
        <w:lang w:val="en-GB" w:eastAsia="en-GB" w:bidi="en-GB"/>
      </w:rPr>
    </w:lvl>
    <w:lvl w:ilvl="8" w:tplc="2A881326">
      <w:numFmt w:val="bullet"/>
      <w:lvlText w:val="•"/>
      <w:lvlJc w:val="left"/>
      <w:pPr>
        <w:ind w:left="5040" w:hanging="217"/>
      </w:pPr>
      <w:rPr>
        <w:rFonts w:hint="default"/>
        <w:lang w:val="en-GB" w:eastAsia="en-GB" w:bidi="en-GB"/>
      </w:rPr>
    </w:lvl>
  </w:abstractNum>
  <w:abstractNum w:abstractNumId="415" w15:restartNumberingAfterBreak="0">
    <w:nsid w:val="260952FB"/>
    <w:multiLevelType w:val="hybridMultilevel"/>
    <w:tmpl w:val="82AC8F18"/>
    <w:lvl w:ilvl="0" w:tplc="23200EE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60082DA">
      <w:numFmt w:val="bullet"/>
      <w:lvlText w:val="•"/>
      <w:lvlJc w:val="left"/>
      <w:pPr>
        <w:ind w:left="473" w:hanging="217"/>
      </w:pPr>
      <w:rPr>
        <w:rFonts w:hint="default"/>
        <w:lang w:val="en-GB" w:eastAsia="en-GB" w:bidi="en-GB"/>
      </w:rPr>
    </w:lvl>
    <w:lvl w:ilvl="2" w:tplc="6C7C687E">
      <w:numFmt w:val="bullet"/>
      <w:lvlText w:val="•"/>
      <w:lvlJc w:val="left"/>
      <w:pPr>
        <w:ind w:left="646" w:hanging="217"/>
      </w:pPr>
      <w:rPr>
        <w:rFonts w:hint="default"/>
        <w:lang w:val="en-GB" w:eastAsia="en-GB" w:bidi="en-GB"/>
      </w:rPr>
    </w:lvl>
    <w:lvl w:ilvl="3" w:tplc="0D7ED57A">
      <w:numFmt w:val="bullet"/>
      <w:lvlText w:val="•"/>
      <w:lvlJc w:val="left"/>
      <w:pPr>
        <w:ind w:left="819" w:hanging="217"/>
      </w:pPr>
      <w:rPr>
        <w:rFonts w:hint="default"/>
        <w:lang w:val="en-GB" w:eastAsia="en-GB" w:bidi="en-GB"/>
      </w:rPr>
    </w:lvl>
    <w:lvl w:ilvl="4" w:tplc="2634F7FA">
      <w:numFmt w:val="bullet"/>
      <w:lvlText w:val="•"/>
      <w:lvlJc w:val="left"/>
      <w:pPr>
        <w:ind w:left="992" w:hanging="217"/>
      </w:pPr>
      <w:rPr>
        <w:rFonts w:hint="default"/>
        <w:lang w:val="en-GB" w:eastAsia="en-GB" w:bidi="en-GB"/>
      </w:rPr>
    </w:lvl>
    <w:lvl w:ilvl="5" w:tplc="D51AEC92">
      <w:numFmt w:val="bullet"/>
      <w:lvlText w:val="•"/>
      <w:lvlJc w:val="left"/>
      <w:pPr>
        <w:ind w:left="1165" w:hanging="217"/>
      </w:pPr>
      <w:rPr>
        <w:rFonts w:hint="default"/>
        <w:lang w:val="en-GB" w:eastAsia="en-GB" w:bidi="en-GB"/>
      </w:rPr>
    </w:lvl>
    <w:lvl w:ilvl="6" w:tplc="378683C0">
      <w:numFmt w:val="bullet"/>
      <w:lvlText w:val="•"/>
      <w:lvlJc w:val="left"/>
      <w:pPr>
        <w:ind w:left="1338" w:hanging="217"/>
      </w:pPr>
      <w:rPr>
        <w:rFonts w:hint="default"/>
        <w:lang w:val="en-GB" w:eastAsia="en-GB" w:bidi="en-GB"/>
      </w:rPr>
    </w:lvl>
    <w:lvl w:ilvl="7" w:tplc="E1E8167A">
      <w:numFmt w:val="bullet"/>
      <w:lvlText w:val="•"/>
      <w:lvlJc w:val="left"/>
      <w:pPr>
        <w:ind w:left="1511" w:hanging="217"/>
      </w:pPr>
      <w:rPr>
        <w:rFonts w:hint="default"/>
        <w:lang w:val="en-GB" w:eastAsia="en-GB" w:bidi="en-GB"/>
      </w:rPr>
    </w:lvl>
    <w:lvl w:ilvl="8" w:tplc="B61CE632">
      <w:numFmt w:val="bullet"/>
      <w:lvlText w:val="•"/>
      <w:lvlJc w:val="left"/>
      <w:pPr>
        <w:ind w:left="1684" w:hanging="217"/>
      </w:pPr>
      <w:rPr>
        <w:rFonts w:hint="default"/>
        <w:lang w:val="en-GB" w:eastAsia="en-GB" w:bidi="en-GB"/>
      </w:rPr>
    </w:lvl>
  </w:abstractNum>
  <w:abstractNum w:abstractNumId="416" w15:restartNumberingAfterBreak="0">
    <w:nsid w:val="26217C44"/>
    <w:multiLevelType w:val="hybridMultilevel"/>
    <w:tmpl w:val="1D3009CE"/>
    <w:lvl w:ilvl="0" w:tplc="A0A68EE0">
      <w:numFmt w:val="bullet"/>
      <w:lvlText w:val="•"/>
      <w:lvlJc w:val="left"/>
      <w:pPr>
        <w:ind w:left="276" w:hanging="217"/>
      </w:pPr>
      <w:rPr>
        <w:rFonts w:ascii="Arial" w:eastAsia="Arial" w:hAnsi="Arial" w:cs="Arial" w:hint="default"/>
        <w:color w:val="231F20"/>
        <w:w w:val="97"/>
        <w:sz w:val="16"/>
        <w:szCs w:val="16"/>
        <w:lang w:val="en-GB" w:eastAsia="en-GB" w:bidi="en-GB"/>
      </w:rPr>
    </w:lvl>
    <w:lvl w:ilvl="1" w:tplc="BE729F08">
      <w:numFmt w:val="bullet"/>
      <w:lvlText w:val="•"/>
      <w:lvlJc w:val="left"/>
      <w:pPr>
        <w:ind w:left="381" w:hanging="217"/>
      </w:pPr>
      <w:rPr>
        <w:rFonts w:hint="default"/>
        <w:lang w:val="en-GB" w:eastAsia="en-GB" w:bidi="en-GB"/>
      </w:rPr>
    </w:lvl>
    <w:lvl w:ilvl="2" w:tplc="8750766C">
      <w:numFmt w:val="bullet"/>
      <w:lvlText w:val="•"/>
      <w:lvlJc w:val="left"/>
      <w:pPr>
        <w:ind w:left="482" w:hanging="217"/>
      </w:pPr>
      <w:rPr>
        <w:rFonts w:hint="default"/>
        <w:lang w:val="en-GB" w:eastAsia="en-GB" w:bidi="en-GB"/>
      </w:rPr>
    </w:lvl>
    <w:lvl w:ilvl="3" w:tplc="7E06142C">
      <w:numFmt w:val="bullet"/>
      <w:lvlText w:val="•"/>
      <w:lvlJc w:val="left"/>
      <w:pPr>
        <w:ind w:left="584" w:hanging="217"/>
      </w:pPr>
      <w:rPr>
        <w:rFonts w:hint="default"/>
        <w:lang w:val="en-GB" w:eastAsia="en-GB" w:bidi="en-GB"/>
      </w:rPr>
    </w:lvl>
    <w:lvl w:ilvl="4" w:tplc="46EA1292">
      <w:numFmt w:val="bullet"/>
      <w:lvlText w:val="•"/>
      <w:lvlJc w:val="left"/>
      <w:pPr>
        <w:ind w:left="685" w:hanging="217"/>
      </w:pPr>
      <w:rPr>
        <w:rFonts w:hint="default"/>
        <w:lang w:val="en-GB" w:eastAsia="en-GB" w:bidi="en-GB"/>
      </w:rPr>
    </w:lvl>
    <w:lvl w:ilvl="5" w:tplc="EA66FE6A">
      <w:numFmt w:val="bullet"/>
      <w:lvlText w:val="•"/>
      <w:lvlJc w:val="left"/>
      <w:pPr>
        <w:ind w:left="787" w:hanging="217"/>
      </w:pPr>
      <w:rPr>
        <w:rFonts w:hint="default"/>
        <w:lang w:val="en-GB" w:eastAsia="en-GB" w:bidi="en-GB"/>
      </w:rPr>
    </w:lvl>
    <w:lvl w:ilvl="6" w:tplc="D298C3AC">
      <w:numFmt w:val="bullet"/>
      <w:lvlText w:val="•"/>
      <w:lvlJc w:val="left"/>
      <w:pPr>
        <w:ind w:left="888" w:hanging="217"/>
      </w:pPr>
      <w:rPr>
        <w:rFonts w:hint="default"/>
        <w:lang w:val="en-GB" w:eastAsia="en-GB" w:bidi="en-GB"/>
      </w:rPr>
    </w:lvl>
    <w:lvl w:ilvl="7" w:tplc="552E247A">
      <w:numFmt w:val="bullet"/>
      <w:lvlText w:val="•"/>
      <w:lvlJc w:val="left"/>
      <w:pPr>
        <w:ind w:left="989" w:hanging="217"/>
      </w:pPr>
      <w:rPr>
        <w:rFonts w:hint="default"/>
        <w:lang w:val="en-GB" w:eastAsia="en-GB" w:bidi="en-GB"/>
      </w:rPr>
    </w:lvl>
    <w:lvl w:ilvl="8" w:tplc="E01C2CBC">
      <w:numFmt w:val="bullet"/>
      <w:lvlText w:val="•"/>
      <w:lvlJc w:val="left"/>
      <w:pPr>
        <w:ind w:left="1091" w:hanging="217"/>
      </w:pPr>
      <w:rPr>
        <w:rFonts w:hint="default"/>
        <w:lang w:val="en-GB" w:eastAsia="en-GB" w:bidi="en-GB"/>
      </w:rPr>
    </w:lvl>
  </w:abstractNum>
  <w:abstractNum w:abstractNumId="417" w15:restartNumberingAfterBreak="0">
    <w:nsid w:val="26387785"/>
    <w:multiLevelType w:val="hybridMultilevel"/>
    <w:tmpl w:val="012E961A"/>
    <w:lvl w:ilvl="0" w:tplc="E72C2700">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8CDEC7EA">
      <w:numFmt w:val="bullet"/>
      <w:lvlText w:val="•"/>
      <w:lvlJc w:val="left"/>
      <w:pPr>
        <w:ind w:left="467" w:hanging="217"/>
      </w:pPr>
      <w:rPr>
        <w:rFonts w:hint="default"/>
        <w:lang w:val="en-GB" w:eastAsia="en-GB" w:bidi="en-GB"/>
      </w:rPr>
    </w:lvl>
    <w:lvl w:ilvl="2" w:tplc="E1FE6EAC">
      <w:numFmt w:val="bullet"/>
      <w:lvlText w:val="•"/>
      <w:lvlJc w:val="left"/>
      <w:pPr>
        <w:ind w:left="634" w:hanging="217"/>
      </w:pPr>
      <w:rPr>
        <w:rFonts w:hint="default"/>
        <w:lang w:val="en-GB" w:eastAsia="en-GB" w:bidi="en-GB"/>
      </w:rPr>
    </w:lvl>
    <w:lvl w:ilvl="3" w:tplc="2438FF1E">
      <w:numFmt w:val="bullet"/>
      <w:lvlText w:val="•"/>
      <w:lvlJc w:val="left"/>
      <w:pPr>
        <w:ind w:left="802" w:hanging="217"/>
      </w:pPr>
      <w:rPr>
        <w:rFonts w:hint="default"/>
        <w:lang w:val="en-GB" w:eastAsia="en-GB" w:bidi="en-GB"/>
      </w:rPr>
    </w:lvl>
    <w:lvl w:ilvl="4" w:tplc="A8880322">
      <w:numFmt w:val="bullet"/>
      <w:lvlText w:val="•"/>
      <w:lvlJc w:val="left"/>
      <w:pPr>
        <w:ind w:left="969" w:hanging="217"/>
      </w:pPr>
      <w:rPr>
        <w:rFonts w:hint="default"/>
        <w:lang w:val="en-GB" w:eastAsia="en-GB" w:bidi="en-GB"/>
      </w:rPr>
    </w:lvl>
    <w:lvl w:ilvl="5" w:tplc="6A3AD1BE">
      <w:numFmt w:val="bullet"/>
      <w:lvlText w:val="•"/>
      <w:lvlJc w:val="left"/>
      <w:pPr>
        <w:ind w:left="1137" w:hanging="217"/>
      </w:pPr>
      <w:rPr>
        <w:rFonts w:hint="default"/>
        <w:lang w:val="en-GB" w:eastAsia="en-GB" w:bidi="en-GB"/>
      </w:rPr>
    </w:lvl>
    <w:lvl w:ilvl="6" w:tplc="ECD8E1E8">
      <w:numFmt w:val="bullet"/>
      <w:lvlText w:val="•"/>
      <w:lvlJc w:val="left"/>
      <w:pPr>
        <w:ind w:left="1304" w:hanging="217"/>
      </w:pPr>
      <w:rPr>
        <w:rFonts w:hint="default"/>
        <w:lang w:val="en-GB" w:eastAsia="en-GB" w:bidi="en-GB"/>
      </w:rPr>
    </w:lvl>
    <w:lvl w:ilvl="7" w:tplc="41409FB6">
      <w:numFmt w:val="bullet"/>
      <w:lvlText w:val="•"/>
      <w:lvlJc w:val="left"/>
      <w:pPr>
        <w:ind w:left="1471" w:hanging="217"/>
      </w:pPr>
      <w:rPr>
        <w:rFonts w:hint="default"/>
        <w:lang w:val="en-GB" w:eastAsia="en-GB" w:bidi="en-GB"/>
      </w:rPr>
    </w:lvl>
    <w:lvl w:ilvl="8" w:tplc="7A8CE154">
      <w:numFmt w:val="bullet"/>
      <w:lvlText w:val="•"/>
      <w:lvlJc w:val="left"/>
      <w:pPr>
        <w:ind w:left="1639" w:hanging="217"/>
      </w:pPr>
      <w:rPr>
        <w:rFonts w:hint="default"/>
        <w:lang w:val="en-GB" w:eastAsia="en-GB" w:bidi="en-GB"/>
      </w:rPr>
    </w:lvl>
  </w:abstractNum>
  <w:abstractNum w:abstractNumId="418" w15:restartNumberingAfterBreak="0">
    <w:nsid w:val="2639175C"/>
    <w:multiLevelType w:val="hybridMultilevel"/>
    <w:tmpl w:val="CE58ADA2"/>
    <w:lvl w:ilvl="0" w:tplc="B734EDB2">
      <w:numFmt w:val="bullet"/>
      <w:lvlText w:val="•"/>
      <w:lvlJc w:val="left"/>
      <w:pPr>
        <w:ind w:left="299" w:hanging="217"/>
      </w:pPr>
      <w:rPr>
        <w:rFonts w:ascii="Arial" w:eastAsia="Arial" w:hAnsi="Arial" w:cs="Arial" w:hint="default"/>
        <w:color w:val="231F20"/>
        <w:spacing w:val="-7"/>
        <w:w w:val="100"/>
        <w:sz w:val="18"/>
        <w:szCs w:val="18"/>
        <w:lang w:val="en-GB" w:eastAsia="en-GB" w:bidi="en-GB"/>
      </w:rPr>
    </w:lvl>
    <w:lvl w:ilvl="1" w:tplc="51545A64">
      <w:numFmt w:val="bullet"/>
      <w:lvlText w:val="•"/>
      <w:lvlJc w:val="left"/>
      <w:pPr>
        <w:ind w:left="529" w:hanging="217"/>
      </w:pPr>
      <w:rPr>
        <w:rFonts w:hint="default"/>
        <w:lang w:val="en-GB" w:eastAsia="en-GB" w:bidi="en-GB"/>
      </w:rPr>
    </w:lvl>
    <w:lvl w:ilvl="2" w:tplc="1FE601E6">
      <w:numFmt w:val="bullet"/>
      <w:lvlText w:val="•"/>
      <w:lvlJc w:val="left"/>
      <w:pPr>
        <w:ind w:left="759" w:hanging="217"/>
      </w:pPr>
      <w:rPr>
        <w:rFonts w:hint="default"/>
        <w:lang w:val="en-GB" w:eastAsia="en-GB" w:bidi="en-GB"/>
      </w:rPr>
    </w:lvl>
    <w:lvl w:ilvl="3" w:tplc="104EDA08">
      <w:numFmt w:val="bullet"/>
      <w:lvlText w:val="•"/>
      <w:lvlJc w:val="left"/>
      <w:pPr>
        <w:ind w:left="989" w:hanging="217"/>
      </w:pPr>
      <w:rPr>
        <w:rFonts w:hint="default"/>
        <w:lang w:val="en-GB" w:eastAsia="en-GB" w:bidi="en-GB"/>
      </w:rPr>
    </w:lvl>
    <w:lvl w:ilvl="4" w:tplc="24845962">
      <w:numFmt w:val="bullet"/>
      <w:lvlText w:val="•"/>
      <w:lvlJc w:val="left"/>
      <w:pPr>
        <w:ind w:left="1219" w:hanging="217"/>
      </w:pPr>
      <w:rPr>
        <w:rFonts w:hint="default"/>
        <w:lang w:val="en-GB" w:eastAsia="en-GB" w:bidi="en-GB"/>
      </w:rPr>
    </w:lvl>
    <w:lvl w:ilvl="5" w:tplc="709478A4">
      <w:numFmt w:val="bullet"/>
      <w:lvlText w:val="•"/>
      <w:lvlJc w:val="left"/>
      <w:pPr>
        <w:ind w:left="1449" w:hanging="217"/>
      </w:pPr>
      <w:rPr>
        <w:rFonts w:hint="default"/>
        <w:lang w:val="en-GB" w:eastAsia="en-GB" w:bidi="en-GB"/>
      </w:rPr>
    </w:lvl>
    <w:lvl w:ilvl="6" w:tplc="9BC41970">
      <w:numFmt w:val="bullet"/>
      <w:lvlText w:val="•"/>
      <w:lvlJc w:val="left"/>
      <w:pPr>
        <w:ind w:left="1678" w:hanging="217"/>
      </w:pPr>
      <w:rPr>
        <w:rFonts w:hint="default"/>
        <w:lang w:val="en-GB" w:eastAsia="en-GB" w:bidi="en-GB"/>
      </w:rPr>
    </w:lvl>
    <w:lvl w:ilvl="7" w:tplc="284E8DAC">
      <w:numFmt w:val="bullet"/>
      <w:lvlText w:val="•"/>
      <w:lvlJc w:val="left"/>
      <w:pPr>
        <w:ind w:left="1908" w:hanging="217"/>
      </w:pPr>
      <w:rPr>
        <w:rFonts w:hint="default"/>
        <w:lang w:val="en-GB" w:eastAsia="en-GB" w:bidi="en-GB"/>
      </w:rPr>
    </w:lvl>
    <w:lvl w:ilvl="8" w:tplc="749AC77E">
      <w:numFmt w:val="bullet"/>
      <w:lvlText w:val="•"/>
      <w:lvlJc w:val="left"/>
      <w:pPr>
        <w:ind w:left="2138" w:hanging="217"/>
      </w:pPr>
      <w:rPr>
        <w:rFonts w:hint="default"/>
        <w:lang w:val="en-GB" w:eastAsia="en-GB" w:bidi="en-GB"/>
      </w:rPr>
    </w:lvl>
  </w:abstractNum>
  <w:abstractNum w:abstractNumId="419" w15:restartNumberingAfterBreak="0">
    <w:nsid w:val="263F6E0B"/>
    <w:multiLevelType w:val="hybridMultilevel"/>
    <w:tmpl w:val="DA86C7A2"/>
    <w:lvl w:ilvl="0" w:tplc="1208013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30E25D6">
      <w:numFmt w:val="bullet"/>
      <w:lvlText w:val="•"/>
      <w:lvlJc w:val="left"/>
      <w:pPr>
        <w:ind w:left="1061" w:hanging="217"/>
      </w:pPr>
      <w:rPr>
        <w:rFonts w:hint="default"/>
        <w:lang w:val="en-GB" w:eastAsia="en-GB" w:bidi="en-GB"/>
      </w:rPr>
    </w:lvl>
    <w:lvl w:ilvl="2" w:tplc="CA860352">
      <w:numFmt w:val="bullet"/>
      <w:lvlText w:val="•"/>
      <w:lvlJc w:val="left"/>
      <w:pPr>
        <w:ind w:left="1823" w:hanging="217"/>
      </w:pPr>
      <w:rPr>
        <w:rFonts w:hint="default"/>
        <w:lang w:val="en-GB" w:eastAsia="en-GB" w:bidi="en-GB"/>
      </w:rPr>
    </w:lvl>
    <w:lvl w:ilvl="3" w:tplc="9AD0BC22">
      <w:numFmt w:val="bullet"/>
      <w:lvlText w:val="•"/>
      <w:lvlJc w:val="left"/>
      <w:pPr>
        <w:ind w:left="2585" w:hanging="217"/>
      </w:pPr>
      <w:rPr>
        <w:rFonts w:hint="default"/>
        <w:lang w:val="en-GB" w:eastAsia="en-GB" w:bidi="en-GB"/>
      </w:rPr>
    </w:lvl>
    <w:lvl w:ilvl="4" w:tplc="E26A94C2">
      <w:numFmt w:val="bullet"/>
      <w:lvlText w:val="•"/>
      <w:lvlJc w:val="left"/>
      <w:pPr>
        <w:ind w:left="3346" w:hanging="217"/>
      </w:pPr>
      <w:rPr>
        <w:rFonts w:hint="default"/>
        <w:lang w:val="en-GB" w:eastAsia="en-GB" w:bidi="en-GB"/>
      </w:rPr>
    </w:lvl>
    <w:lvl w:ilvl="5" w:tplc="5A387790">
      <w:numFmt w:val="bullet"/>
      <w:lvlText w:val="•"/>
      <w:lvlJc w:val="left"/>
      <w:pPr>
        <w:ind w:left="4108" w:hanging="217"/>
      </w:pPr>
      <w:rPr>
        <w:rFonts w:hint="default"/>
        <w:lang w:val="en-GB" w:eastAsia="en-GB" w:bidi="en-GB"/>
      </w:rPr>
    </w:lvl>
    <w:lvl w:ilvl="6" w:tplc="6194E5A0">
      <w:numFmt w:val="bullet"/>
      <w:lvlText w:val="•"/>
      <w:lvlJc w:val="left"/>
      <w:pPr>
        <w:ind w:left="4870" w:hanging="217"/>
      </w:pPr>
      <w:rPr>
        <w:rFonts w:hint="default"/>
        <w:lang w:val="en-GB" w:eastAsia="en-GB" w:bidi="en-GB"/>
      </w:rPr>
    </w:lvl>
    <w:lvl w:ilvl="7" w:tplc="E76C9BD6">
      <w:numFmt w:val="bullet"/>
      <w:lvlText w:val="•"/>
      <w:lvlJc w:val="left"/>
      <w:pPr>
        <w:ind w:left="5631" w:hanging="217"/>
      </w:pPr>
      <w:rPr>
        <w:rFonts w:hint="default"/>
        <w:lang w:val="en-GB" w:eastAsia="en-GB" w:bidi="en-GB"/>
      </w:rPr>
    </w:lvl>
    <w:lvl w:ilvl="8" w:tplc="09649F22">
      <w:numFmt w:val="bullet"/>
      <w:lvlText w:val="•"/>
      <w:lvlJc w:val="left"/>
      <w:pPr>
        <w:ind w:left="6393" w:hanging="217"/>
      </w:pPr>
      <w:rPr>
        <w:rFonts w:hint="default"/>
        <w:lang w:val="en-GB" w:eastAsia="en-GB" w:bidi="en-GB"/>
      </w:rPr>
    </w:lvl>
  </w:abstractNum>
  <w:abstractNum w:abstractNumId="420" w15:restartNumberingAfterBreak="0">
    <w:nsid w:val="264A28F6"/>
    <w:multiLevelType w:val="hybridMultilevel"/>
    <w:tmpl w:val="3E6AC2F4"/>
    <w:lvl w:ilvl="0" w:tplc="8D789EF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9450547C">
      <w:numFmt w:val="bullet"/>
      <w:lvlText w:val="•"/>
      <w:lvlJc w:val="left"/>
      <w:pPr>
        <w:ind w:left="473" w:hanging="217"/>
      </w:pPr>
      <w:rPr>
        <w:rFonts w:hint="default"/>
        <w:lang w:val="en-GB" w:eastAsia="en-GB" w:bidi="en-GB"/>
      </w:rPr>
    </w:lvl>
    <w:lvl w:ilvl="2" w:tplc="7B922414">
      <w:numFmt w:val="bullet"/>
      <w:lvlText w:val="•"/>
      <w:lvlJc w:val="left"/>
      <w:pPr>
        <w:ind w:left="646" w:hanging="217"/>
      </w:pPr>
      <w:rPr>
        <w:rFonts w:hint="default"/>
        <w:lang w:val="en-GB" w:eastAsia="en-GB" w:bidi="en-GB"/>
      </w:rPr>
    </w:lvl>
    <w:lvl w:ilvl="3" w:tplc="5BCC33B2">
      <w:numFmt w:val="bullet"/>
      <w:lvlText w:val="•"/>
      <w:lvlJc w:val="left"/>
      <w:pPr>
        <w:ind w:left="819" w:hanging="217"/>
      </w:pPr>
      <w:rPr>
        <w:rFonts w:hint="default"/>
        <w:lang w:val="en-GB" w:eastAsia="en-GB" w:bidi="en-GB"/>
      </w:rPr>
    </w:lvl>
    <w:lvl w:ilvl="4" w:tplc="892CC8B0">
      <w:numFmt w:val="bullet"/>
      <w:lvlText w:val="•"/>
      <w:lvlJc w:val="left"/>
      <w:pPr>
        <w:ind w:left="992" w:hanging="217"/>
      </w:pPr>
      <w:rPr>
        <w:rFonts w:hint="default"/>
        <w:lang w:val="en-GB" w:eastAsia="en-GB" w:bidi="en-GB"/>
      </w:rPr>
    </w:lvl>
    <w:lvl w:ilvl="5" w:tplc="96B41BEA">
      <w:numFmt w:val="bullet"/>
      <w:lvlText w:val="•"/>
      <w:lvlJc w:val="left"/>
      <w:pPr>
        <w:ind w:left="1165" w:hanging="217"/>
      </w:pPr>
      <w:rPr>
        <w:rFonts w:hint="default"/>
        <w:lang w:val="en-GB" w:eastAsia="en-GB" w:bidi="en-GB"/>
      </w:rPr>
    </w:lvl>
    <w:lvl w:ilvl="6" w:tplc="541882D0">
      <w:numFmt w:val="bullet"/>
      <w:lvlText w:val="•"/>
      <w:lvlJc w:val="left"/>
      <w:pPr>
        <w:ind w:left="1338" w:hanging="217"/>
      </w:pPr>
      <w:rPr>
        <w:rFonts w:hint="default"/>
        <w:lang w:val="en-GB" w:eastAsia="en-GB" w:bidi="en-GB"/>
      </w:rPr>
    </w:lvl>
    <w:lvl w:ilvl="7" w:tplc="FA82D506">
      <w:numFmt w:val="bullet"/>
      <w:lvlText w:val="•"/>
      <w:lvlJc w:val="left"/>
      <w:pPr>
        <w:ind w:left="1511" w:hanging="217"/>
      </w:pPr>
      <w:rPr>
        <w:rFonts w:hint="default"/>
        <w:lang w:val="en-GB" w:eastAsia="en-GB" w:bidi="en-GB"/>
      </w:rPr>
    </w:lvl>
    <w:lvl w:ilvl="8" w:tplc="FF12DEEC">
      <w:numFmt w:val="bullet"/>
      <w:lvlText w:val="•"/>
      <w:lvlJc w:val="left"/>
      <w:pPr>
        <w:ind w:left="1684" w:hanging="217"/>
      </w:pPr>
      <w:rPr>
        <w:rFonts w:hint="default"/>
        <w:lang w:val="en-GB" w:eastAsia="en-GB" w:bidi="en-GB"/>
      </w:rPr>
    </w:lvl>
  </w:abstractNum>
  <w:abstractNum w:abstractNumId="421" w15:restartNumberingAfterBreak="0">
    <w:nsid w:val="265364C7"/>
    <w:multiLevelType w:val="hybridMultilevel"/>
    <w:tmpl w:val="FC42F316"/>
    <w:lvl w:ilvl="0" w:tplc="3F6A3A2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3AA362A">
      <w:numFmt w:val="bullet"/>
      <w:lvlText w:val="•"/>
      <w:lvlJc w:val="left"/>
      <w:pPr>
        <w:ind w:left="892" w:hanging="217"/>
      </w:pPr>
      <w:rPr>
        <w:rFonts w:hint="default"/>
        <w:lang w:val="en-GB" w:eastAsia="en-GB" w:bidi="en-GB"/>
      </w:rPr>
    </w:lvl>
    <w:lvl w:ilvl="2" w:tplc="56880B94">
      <w:numFmt w:val="bullet"/>
      <w:lvlText w:val="•"/>
      <w:lvlJc w:val="left"/>
      <w:pPr>
        <w:ind w:left="1485" w:hanging="217"/>
      </w:pPr>
      <w:rPr>
        <w:rFonts w:hint="default"/>
        <w:lang w:val="en-GB" w:eastAsia="en-GB" w:bidi="en-GB"/>
      </w:rPr>
    </w:lvl>
    <w:lvl w:ilvl="3" w:tplc="9FAAC9AA">
      <w:numFmt w:val="bullet"/>
      <w:lvlText w:val="•"/>
      <w:lvlJc w:val="left"/>
      <w:pPr>
        <w:ind w:left="2077" w:hanging="217"/>
      </w:pPr>
      <w:rPr>
        <w:rFonts w:hint="default"/>
        <w:lang w:val="en-GB" w:eastAsia="en-GB" w:bidi="en-GB"/>
      </w:rPr>
    </w:lvl>
    <w:lvl w:ilvl="4" w:tplc="087255EC">
      <w:numFmt w:val="bullet"/>
      <w:lvlText w:val="•"/>
      <w:lvlJc w:val="left"/>
      <w:pPr>
        <w:ind w:left="2670" w:hanging="217"/>
      </w:pPr>
      <w:rPr>
        <w:rFonts w:hint="default"/>
        <w:lang w:val="en-GB" w:eastAsia="en-GB" w:bidi="en-GB"/>
      </w:rPr>
    </w:lvl>
    <w:lvl w:ilvl="5" w:tplc="D7CAEB20">
      <w:numFmt w:val="bullet"/>
      <w:lvlText w:val="•"/>
      <w:lvlJc w:val="left"/>
      <w:pPr>
        <w:ind w:left="3263" w:hanging="217"/>
      </w:pPr>
      <w:rPr>
        <w:rFonts w:hint="default"/>
        <w:lang w:val="en-GB" w:eastAsia="en-GB" w:bidi="en-GB"/>
      </w:rPr>
    </w:lvl>
    <w:lvl w:ilvl="6" w:tplc="F0B87AA4">
      <w:numFmt w:val="bullet"/>
      <w:lvlText w:val="•"/>
      <w:lvlJc w:val="left"/>
      <w:pPr>
        <w:ind w:left="3855" w:hanging="217"/>
      </w:pPr>
      <w:rPr>
        <w:rFonts w:hint="default"/>
        <w:lang w:val="en-GB" w:eastAsia="en-GB" w:bidi="en-GB"/>
      </w:rPr>
    </w:lvl>
    <w:lvl w:ilvl="7" w:tplc="720CC65E">
      <w:numFmt w:val="bullet"/>
      <w:lvlText w:val="•"/>
      <w:lvlJc w:val="left"/>
      <w:pPr>
        <w:ind w:left="4448" w:hanging="217"/>
      </w:pPr>
      <w:rPr>
        <w:rFonts w:hint="default"/>
        <w:lang w:val="en-GB" w:eastAsia="en-GB" w:bidi="en-GB"/>
      </w:rPr>
    </w:lvl>
    <w:lvl w:ilvl="8" w:tplc="840E9588">
      <w:numFmt w:val="bullet"/>
      <w:lvlText w:val="•"/>
      <w:lvlJc w:val="left"/>
      <w:pPr>
        <w:ind w:left="5040" w:hanging="217"/>
      </w:pPr>
      <w:rPr>
        <w:rFonts w:hint="default"/>
        <w:lang w:val="en-GB" w:eastAsia="en-GB" w:bidi="en-GB"/>
      </w:rPr>
    </w:lvl>
  </w:abstractNum>
  <w:abstractNum w:abstractNumId="422" w15:restartNumberingAfterBreak="0">
    <w:nsid w:val="267E5CE0"/>
    <w:multiLevelType w:val="hybridMultilevel"/>
    <w:tmpl w:val="8DBCF760"/>
    <w:lvl w:ilvl="0" w:tplc="B880AC7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DC8F474">
      <w:numFmt w:val="bullet"/>
      <w:lvlText w:val="•"/>
      <w:lvlJc w:val="left"/>
      <w:pPr>
        <w:ind w:left="473" w:hanging="217"/>
      </w:pPr>
      <w:rPr>
        <w:rFonts w:hint="default"/>
        <w:lang w:val="en-GB" w:eastAsia="en-GB" w:bidi="en-GB"/>
      </w:rPr>
    </w:lvl>
    <w:lvl w:ilvl="2" w:tplc="B0F2B65A">
      <w:numFmt w:val="bullet"/>
      <w:lvlText w:val="•"/>
      <w:lvlJc w:val="left"/>
      <w:pPr>
        <w:ind w:left="646" w:hanging="217"/>
      </w:pPr>
      <w:rPr>
        <w:rFonts w:hint="default"/>
        <w:lang w:val="en-GB" w:eastAsia="en-GB" w:bidi="en-GB"/>
      </w:rPr>
    </w:lvl>
    <w:lvl w:ilvl="3" w:tplc="388E286C">
      <w:numFmt w:val="bullet"/>
      <w:lvlText w:val="•"/>
      <w:lvlJc w:val="left"/>
      <w:pPr>
        <w:ind w:left="819" w:hanging="217"/>
      </w:pPr>
      <w:rPr>
        <w:rFonts w:hint="default"/>
        <w:lang w:val="en-GB" w:eastAsia="en-GB" w:bidi="en-GB"/>
      </w:rPr>
    </w:lvl>
    <w:lvl w:ilvl="4" w:tplc="34E6DB7E">
      <w:numFmt w:val="bullet"/>
      <w:lvlText w:val="•"/>
      <w:lvlJc w:val="left"/>
      <w:pPr>
        <w:ind w:left="992" w:hanging="217"/>
      </w:pPr>
      <w:rPr>
        <w:rFonts w:hint="default"/>
        <w:lang w:val="en-GB" w:eastAsia="en-GB" w:bidi="en-GB"/>
      </w:rPr>
    </w:lvl>
    <w:lvl w:ilvl="5" w:tplc="2A0A0D40">
      <w:numFmt w:val="bullet"/>
      <w:lvlText w:val="•"/>
      <w:lvlJc w:val="left"/>
      <w:pPr>
        <w:ind w:left="1165" w:hanging="217"/>
      </w:pPr>
      <w:rPr>
        <w:rFonts w:hint="default"/>
        <w:lang w:val="en-GB" w:eastAsia="en-GB" w:bidi="en-GB"/>
      </w:rPr>
    </w:lvl>
    <w:lvl w:ilvl="6" w:tplc="D48698AC">
      <w:numFmt w:val="bullet"/>
      <w:lvlText w:val="•"/>
      <w:lvlJc w:val="left"/>
      <w:pPr>
        <w:ind w:left="1338" w:hanging="217"/>
      </w:pPr>
      <w:rPr>
        <w:rFonts w:hint="default"/>
        <w:lang w:val="en-GB" w:eastAsia="en-GB" w:bidi="en-GB"/>
      </w:rPr>
    </w:lvl>
    <w:lvl w:ilvl="7" w:tplc="6F628B48">
      <w:numFmt w:val="bullet"/>
      <w:lvlText w:val="•"/>
      <w:lvlJc w:val="left"/>
      <w:pPr>
        <w:ind w:left="1511" w:hanging="217"/>
      </w:pPr>
      <w:rPr>
        <w:rFonts w:hint="default"/>
        <w:lang w:val="en-GB" w:eastAsia="en-GB" w:bidi="en-GB"/>
      </w:rPr>
    </w:lvl>
    <w:lvl w:ilvl="8" w:tplc="BBD0C234">
      <w:numFmt w:val="bullet"/>
      <w:lvlText w:val="•"/>
      <w:lvlJc w:val="left"/>
      <w:pPr>
        <w:ind w:left="1684" w:hanging="217"/>
      </w:pPr>
      <w:rPr>
        <w:rFonts w:hint="default"/>
        <w:lang w:val="en-GB" w:eastAsia="en-GB" w:bidi="en-GB"/>
      </w:rPr>
    </w:lvl>
  </w:abstractNum>
  <w:abstractNum w:abstractNumId="423" w15:restartNumberingAfterBreak="0">
    <w:nsid w:val="268508D1"/>
    <w:multiLevelType w:val="hybridMultilevel"/>
    <w:tmpl w:val="D24C369A"/>
    <w:lvl w:ilvl="0" w:tplc="3B28C4D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9FA0026">
      <w:numFmt w:val="bullet"/>
      <w:lvlText w:val="•"/>
      <w:lvlJc w:val="left"/>
      <w:pPr>
        <w:ind w:left="892" w:hanging="217"/>
      </w:pPr>
      <w:rPr>
        <w:rFonts w:hint="default"/>
        <w:lang w:val="en-GB" w:eastAsia="en-GB" w:bidi="en-GB"/>
      </w:rPr>
    </w:lvl>
    <w:lvl w:ilvl="2" w:tplc="F2426B10">
      <w:numFmt w:val="bullet"/>
      <w:lvlText w:val="•"/>
      <w:lvlJc w:val="left"/>
      <w:pPr>
        <w:ind w:left="1485" w:hanging="217"/>
      </w:pPr>
      <w:rPr>
        <w:rFonts w:hint="default"/>
        <w:lang w:val="en-GB" w:eastAsia="en-GB" w:bidi="en-GB"/>
      </w:rPr>
    </w:lvl>
    <w:lvl w:ilvl="3" w:tplc="C5E22486">
      <w:numFmt w:val="bullet"/>
      <w:lvlText w:val="•"/>
      <w:lvlJc w:val="left"/>
      <w:pPr>
        <w:ind w:left="2077" w:hanging="217"/>
      </w:pPr>
      <w:rPr>
        <w:rFonts w:hint="default"/>
        <w:lang w:val="en-GB" w:eastAsia="en-GB" w:bidi="en-GB"/>
      </w:rPr>
    </w:lvl>
    <w:lvl w:ilvl="4" w:tplc="8CA06548">
      <w:numFmt w:val="bullet"/>
      <w:lvlText w:val="•"/>
      <w:lvlJc w:val="left"/>
      <w:pPr>
        <w:ind w:left="2670" w:hanging="217"/>
      </w:pPr>
      <w:rPr>
        <w:rFonts w:hint="default"/>
        <w:lang w:val="en-GB" w:eastAsia="en-GB" w:bidi="en-GB"/>
      </w:rPr>
    </w:lvl>
    <w:lvl w:ilvl="5" w:tplc="E86890AA">
      <w:numFmt w:val="bullet"/>
      <w:lvlText w:val="•"/>
      <w:lvlJc w:val="left"/>
      <w:pPr>
        <w:ind w:left="3263" w:hanging="217"/>
      </w:pPr>
      <w:rPr>
        <w:rFonts w:hint="default"/>
        <w:lang w:val="en-GB" w:eastAsia="en-GB" w:bidi="en-GB"/>
      </w:rPr>
    </w:lvl>
    <w:lvl w:ilvl="6" w:tplc="4CF25B9A">
      <w:numFmt w:val="bullet"/>
      <w:lvlText w:val="•"/>
      <w:lvlJc w:val="left"/>
      <w:pPr>
        <w:ind w:left="3855" w:hanging="217"/>
      </w:pPr>
      <w:rPr>
        <w:rFonts w:hint="default"/>
        <w:lang w:val="en-GB" w:eastAsia="en-GB" w:bidi="en-GB"/>
      </w:rPr>
    </w:lvl>
    <w:lvl w:ilvl="7" w:tplc="B164E3F0">
      <w:numFmt w:val="bullet"/>
      <w:lvlText w:val="•"/>
      <w:lvlJc w:val="left"/>
      <w:pPr>
        <w:ind w:left="4448" w:hanging="217"/>
      </w:pPr>
      <w:rPr>
        <w:rFonts w:hint="default"/>
        <w:lang w:val="en-GB" w:eastAsia="en-GB" w:bidi="en-GB"/>
      </w:rPr>
    </w:lvl>
    <w:lvl w:ilvl="8" w:tplc="F496DAF8">
      <w:numFmt w:val="bullet"/>
      <w:lvlText w:val="•"/>
      <w:lvlJc w:val="left"/>
      <w:pPr>
        <w:ind w:left="5040" w:hanging="217"/>
      </w:pPr>
      <w:rPr>
        <w:rFonts w:hint="default"/>
        <w:lang w:val="en-GB" w:eastAsia="en-GB" w:bidi="en-GB"/>
      </w:rPr>
    </w:lvl>
  </w:abstractNum>
  <w:abstractNum w:abstractNumId="424" w15:restartNumberingAfterBreak="0">
    <w:nsid w:val="26B81755"/>
    <w:multiLevelType w:val="hybridMultilevel"/>
    <w:tmpl w:val="8BEAFEEC"/>
    <w:lvl w:ilvl="0" w:tplc="4DCCF63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5FCEC0E">
      <w:numFmt w:val="bullet"/>
      <w:lvlText w:val="•"/>
      <w:lvlJc w:val="left"/>
      <w:pPr>
        <w:ind w:left="439" w:hanging="217"/>
      </w:pPr>
      <w:rPr>
        <w:rFonts w:hint="default"/>
        <w:lang w:val="en-GB" w:eastAsia="en-GB" w:bidi="en-GB"/>
      </w:rPr>
    </w:lvl>
    <w:lvl w:ilvl="2" w:tplc="91B8D32C">
      <w:numFmt w:val="bullet"/>
      <w:lvlText w:val="•"/>
      <w:lvlJc w:val="left"/>
      <w:pPr>
        <w:ind w:left="578" w:hanging="217"/>
      </w:pPr>
      <w:rPr>
        <w:rFonts w:hint="default"/>
        <w:lang w:val="en-GB" w:eastAsia="en-GB" w:bidi="en-GB"/>
      </w:rPr>
    </w:lvl>
    <w:lvl w:ilvl="3" w:tplc="C1F0C3A4">
      <w:numFmt w:val="bullet"/>
      <w:lvlText w:val="•"/>
      <w:lvlJc w:val="left"/>
      <w:pPr>
        <w:ind w:left="717" w:hanging="217"/>
      </w:pPr>
      <w:rPr>
        <w:rFonts w:hint="default"/>
        <w:lang w:val="en-GB" w:eastAsia="en-GB" w:bidi="en-GB"/>
      </w:rPr>
    </w:lvl>
    <w:lvl w:ilvl="4" w:tplc="E51CE13E">
      <w:numFmt w:val="bullet"/>
      <w:lvlText w:val="•"/>
      <w:lvlJc w:val="left"/>
      <w:pPr>
        <w:ind w:left="856" w:hanging="217"/>
      </w:pPr>
      <w:rPr>
        <w:rFonts w:hint="default"/>
        <w:lang w:val="en-GB" w:eastAsia="en-GB" w:bidi="en-GB"/>
      </w:rPr>
    </w:lvl>
    <w:lvl w:ilvl="5" w:tplc="A72CBBD2">
      <w:numFmt w:val="bullet"/>
      <w:lvlText w:val="•"/>
      <w:lvlJc w:val="left"/>
      <w:pPr>
        <w:ind w:left="995" w:hanging="217"/>
      </w:pPr>
      <w:rPr>
        <w:rFonts w:hint="default"/>
        <w:lang w:val="en-GB" w:eastAsia="en-GB" w:bidi="en-GB"/>
      </w:rPr>
    </w:lvl>
    <w:lvl w:ilvl="6" w:tplc="E398C74A">
      <w:numFmt w:val="bullet"/>
      <w:lvlText w:val="•"/>
      <w:lvlJc w:val="left"/>
      <w:pPr>
        <w:ind w:left="1134" w:hanging="217"/>
      </w:pPr>
      <w:rPr>
        <w:rFonts w:hint="default"/>
        <w:lang w:val="en-GB" w:eastAsia="en-GB" w:bidi="en-GB"/>
      </w:rPr>
    </w:lvl>
    <w:lvl w:ilvl="7" w:tplc="EAA4134A">
      <w:numFmt w:val="bullet"/>
      <w:lvlText w:val="•"/>
      <w:lvlJc w:val="left"/>
      <w:pPr>
        <w:ind w:left="1273" w:hanging="217"/>
      </w:pPr>
      <w:rPr>
        <w:rFonts w:hint="default"/>
        <w:lang w:val="en-GB" w:eastAsia="en-GB" w:bidi="en-GB"/>
      </w:rPr>
    </w:lvl>
    <w:lvl w:ilvl="8" w:tplc="6B540D06">
      <w:numFmt w:val="bullet"/>
      <w:lvlText w:val="•"/>
      <w:lvlJc w:val="left"/>
      <w:pPr>
        <w:ind w:left="1412" w:hanging="217"/>
      </w:pPr>
      <w:rPr>
        <w:rFonts w:hint="default"/>
        <w:lang w:val="en-GB" w:eastAsia="en-GB" w:bidi="en-GB"/>
      </w:rPr>
    </w:lvl>
  </w:abstractNum>
  <w:abstractNum w:abstractNumId="425" w15:restartNumberingAfterBreak="0">
    <w:nsid w:val="26DF6AFD"/>
    <w:multiLevelType w:val="hybridMultilevel"/>
    <w:tmpl w:val="68F03E14"/>
    <w:lvl w:ilvl="0" w:tplc="087608D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16EF9EE">
      <w:numFmt w:val="bullet"/>
      <w:lvlText w:val="•"/>
      <w:lvlJc w:val="left"/>
      <w:pPr>
        <w:ind w:left="439" w:hanging="217"/>
      </w:pPr>
      <w:rPr>
        <w:rFonts w:hint="default"/>
        <w:lang w:val="en-GB" w:eastAsia="en-GB" w:bidi="en-GB"/>
      </w:rPr>
    </w:lvl>
    <w:lvl w:ilvl="2" w:tplc="D0142980">
      <w:numFmt w:val="bullet"/>
      <w:lvlText w:val="•"/>
      <w:lvlJc w:val="left"/>
      <w:pPr>
        <w:ind w:left="578" w:hanging="217"/>
      </w:pPr>
      <w:rPr>
        <w:rFonts w:hint="default"/>
        <w:lang w:val="en-GB" w:eastAsia="en-GB" w:bidi="en-GB"/>
      </w:rPr>
    </w:lvl>
    <w:lvl w:ilvl="3" w:tplc="6A62A490">
      <w:numFmt w:val="bullet"/>
      <w:lvlText w:val="•"/>
      <w:lvlJc w:val="left"/>
      <w:pPr>
        <w:ind w:left="717" w:hanging="217"/>
      </w:pPr>
      <w:rPr>
        <w:rFonts w:hint="default"/>
        <w:lang w:val="en-GB" w:eastAsia="en-GB" w:bidi="en-GB"/>
      </w:rPr>
    </w:lvl>
    <w:lvl w:ilvl="4" w:tplc="D892E464">
      <w:numFmt w:val="bullet"/>
      <w:lvlText w:val="•"/>
      <w:lvlJc w:val="left"/>
      <w:pPr>
        <w:ind w:left="856" w:hanging="217"/>
      </w:pPr>
      <w:rPr>
        <w:rFonts w:hint="default"/>
        <w:lang w:val="en-GB" w:eastAsia="en-GB" w:bidi="en-GB"/>
      </w:rPr>
    </w:lvl>
    <w:lvl w:ilvl="5" w:tplc="7264CC44">
      <w:numFmt w:val="bullet"/>
      <w:lvlText w:val="•"/>
      <w:lvlJc w:val="left"/>
      <w:pPr>
        <w:ind w:left="995" w:hanging="217"/>
      </w:pPr>
      <w:rPr>
        <w:rFonts w:hint="default"/>
        <w:lang w:val="en-GB" w:eastAsia="en-GB" w:bidi="en-GB"/>
      </w:rPr>
    </w:lvl>
    <w:lvl w:ilvl="6" w:tplc="D01C4D00">
      <w:numFmt w:val="bullet"/>
      <w:lvlText w:val="•"/>
      <w:lvlJc w:val="left"/>
      <w:pPr>
        <w:ind w:left="1134" w:hanging="217"/>
      </w:pPr>
      <w:rPr>
        <w:rFonts w:hint="default"/>
        <w:lang w:val="en-GB" w:eastAsia="en-GB" w:bidi="en-GB"/>
      </w:rPr>
    </w:lvl>
    <w:lvl w:ilvl="7" w:tplc="841ED1BE">
      <w:numFmt w:val="bullet"/>
      <w:lvlText w:val="•"/>
      <w:lvlJc w:val="left"/>
      <w:pPr>
        <w:ind w:left="1273" w:hanging="217"/>
      </w:pPr>
      <w:rPr>
        <w:rFonts w:hint="default"/>
        <w:lang w:val="en-GB" w:eastAsia="en-GB" w:bidi="en-GB"/>
      </w:rPr>
    </w:lvl>
    <w:lvl w:ilvl="8" w:tplc="FF1A23DE">
      <w:numFmt w:val="bullet"/>
      <w:lvlText w:val="•"/>
      <w:lvlJc w:val="left"/>
      <w:pPr>
        <w:ind w:left="1412" w:hanging="217"/>
      </w:pPr>
      <w:rPr>
        <w:rFonts w:hint="default"/>
        <w:lang w:val="en-GB" w:eastAsia="en-GB" w:bidi="en-GB"/>
      </w:rPr>
    </w:lvl>
  </w:abstractNum>
  <w:abstractNum w:abstractNumId="426" w15:restartNumberingAfterBreak="0">
    <w:nsid w:val="274E12E4"/>
    <w:multiLevelType w:val="hybridMultilevel"/>
    <w:tmpl w:val="F5D80F6E"/>
    <w:lvl w:ilvl="0" w:tplc="38903D3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3FA607A">
      <w:numFmt w:val="bullet"/>
      <w:lvlText w:val="•"/>
      <w:lvlJc w:val="left"/>
      <w:pPr>
        <w:ind w:left="893" w:hanging="217"/>
      </w:pPr>
      <w:rPr>
        <w:rFonts w:hint="default"/>
        <w:lang w:val="en-GB" w:eastAsia="en-GB" w:bidi="en-GB"/>
      </w:rPr>
    </w:lvl>
    <w:lvl w:ilvl="2" w:tplc="A7BEB7DC">
      <w:numFmt w:val="bullet"/>
      <w:lvlText w:val="•"/>
      <w:lvlJc w:val="left"/>
      <w:pPr>
        <w:ind w:left="1486" w:hanging="217"/>
      </w:pPr>
      <w:rPr>
        <w:rFonts w:hint="default"/>
        <w:lang w:val="en-GB" w:eastAsia="en-GB" w:bidi="en-GB"/>
      </w:rPr>
    </w:lvl>
    <w:lvl w:ilvl="3" w:tplc="0BD8CEDE">
      <w:numFmt w:val="bullet"/>
      <w:lvlText w:val="•"/>
      <w:lvlJc w:val="left"/>
      <w:pPr>
        <w:ind w:left="2079" w:hanging="217"/>
      </w:pPr>
      <w:rPr>
        <w:rFonts w:hint="default"/>
        <w:lang w:val="en-GB" w:eastAsia="en-GB" w:bidi="en-GB"/>
      </w:rPr>
    </w:lvl>
    <w:lvl w:ilvl="4" w:tplc="AA0E581A">
      <w:numFmt w:val="bullet"/>
      <w:lvlText w:val="•"/>
      <w:lvlJc w:val="left"/>
      <w:pPr>
        <w:ind w:left="2672" w:hanging="217"/>
      </w:pPr>
      <w:rPr>
        <w:rFonts w:hint="default"/>
        <w:lang w:val="en-GB" w:eastAsia="en-GB" w:bidi="en-GB"/>
      </w:rPr>
    </w:lvl>
    <w:lvl w:ilvl="5" w:tplc="59C07AF8">
      <w:numFmt w:val="bullet"/>
      <w:lvlText w:val="•"/>
      <w:lvlJc w:val="left"/>
      <w:pPr>
        <w:ind w:left="3265" w:hanging="217"/>
      </w:pPr>
      <w:rPr>
        <w:rFonts w:hint="default"/>
        <w:lang w:val="en-GB" w:eastAsia="en-GB" w:bidi="en-GB"/>
      </w:rPr>
    </w:lvl>
    <w:lvl w:ilvl="6" w:tplc="1B68C390">
      <w:numFmt w:val="bullet"/>
      <w:lvlText w:val="•"/>
      <w:lvlJc w:val="left"/>
      <w:pPr>
        <w:ind w:left="3858" w:hanging="217"/>
      </w:pPr>
      <w:rPr>
        <w:rFonts w:hint="default"/>
        <w:lang w:val="en-GB" w:eastAsia="en-GB" w:bidi="en-GB"/>
      </w:rPr>
    </w:lvl>
    <w:lvl w:ilvl="7" w:tplc="EBBAEC3A">
      <w:numFmt w:val="bullet"/>
      <w:lvlText w:val="•"/>
      <w:lvlJc w:val="left"/>
      <w:pPr>
        <w:ind w:left="4451" w:hanging="217"/>
      </w:pPr>
      <w:rPr>
        <w:rFonts w:hint="default"/>
        <w:lang w:val="en-GB" w:eastAsia="en-GB" w:bidi="en-GB"/>
      </w:rPr>
    </w:lvl>
    <w:lvl w:ilvl="8" w:tplc="03866E68">
      <w:numFmt w:val="bullet"/>
      <w:lvlText w:val="•"/>
      <w:lvlJc w:val="left"/>
      <w:pPr>
        <w:ind w:left="5044" w:hanging="217"/>
      </w:pPr>
      <w:rPr>
        <w:rFonts w:hint="default"/>
        <w:lang w:val="en-GB" w:eastAsia="en-GB" w:bidi="en-GB"/>
      </w:rPr>
    </w:lvl>
  </w:abstractNum>
  <w:abstractNum w:abstractNumId="427" w15:restartNumberingAfterBreak="0">
    <w:nsid w:val="27582174"/>
    <w:multiLevelType w:val="hybridMultilevel"/>
    <w:tmpl w:val="488EDF68"/>
    <w:lvl w:ilvl="0" w:tplc="17101A42">
      <w:numFmt w:val="bullet"/>
      <w:lvlText w:val="•"/>
      <w:lvlJc w:val="left"/>
      <w:pPr>
        <w:ind w:left="304" w:hanging="217"/>
      </w:pPr>
      <w:rPr>
        <w:rFonts w:ascii="Arial" w:eastAsia="Arial" w:hAnsi="Arial" w:cs="Arial" w:hint="default"/>
        <w:color w:val="231F20"/>
        <w:spacing w:val="-17"/>
        <w:w w:val="100"/>
        <w:sz w:val="18"/>
        <w:szCs w:val="18"/>
        <w:lang w:val="en-GB" w:eastAsia="en-GB" w:bidi="en-GB"/>
      </w:rPr>
    </w:lvl>
    <w:lvl w:ilvl="1" w:tplc="B9E629F2">
      <w:numFmt w:val="bullet"/>
      <w:lvlText w:val="•"/>
      <w:lvlJc w:val="left"/>
      <w:pPr>
        <w:ind w:left="473" w:hanging="217"/>
      </w:pPr>
      <w:rPr>
        <w:rFonts w:hint="default"/>
        <w:lang w:val="en-GB" w:eastAsia="en-GB" w:bidi="en-GB"/>
      </w:rPr>
    </w:lvl>
    <w:lvl w:ilvl="2" w:tplc="7F5C5688">
      <w:numFmt w:val="bullet"/>
      <w:lvlText w:val="•"/>
      <w:lvlJc w:val="left"/>
      <w:pPr>
        <w:ind w:left="646" w:hanging="217"/>
      </w:pPr>
      <w:rPr>
        <w:rFonts w:hint="default"/>
        <w:lang w:val="en-GB" w:eastAsia="en-GB" w:bidi="en-GB"/>
      </w:rPr>
    </w:lvl>
    <w:lvl w:ilvl="3" w:tplc="1E2E1614">
      <w:numFmt w:val="bullet"/>
      <w:lvlText w:val="•"/>
      <w:lvlJc w:val="left"/>
      <w:pPr>
        <w:ind w:left="819" w:hanging="217"/>
      </w:pPr>
      <w:rPr>
        <w:rFonts w:hint="default"/>
        <w:lang w:val="en-GB" w:eastAsia="en-GB" w:bidi="en-GB"/>
      </w:rPr>
    </w:lvl>
    <w:lvl w:ilvl="4" w:tplc="70D063DA">
      <w:numFmt w:val="bullet"/>
      <w:lvlText w:val="•"/>
      <w:lvlJc w:val="left"/>
      <w:pPr>
        <w:ind w:left="992" w:hanging="217"/>
      </w:pPr>
      <w:rPr>
        <w:rFonts w:hint="default"/>
        <w:lang w:val="en-GB" w:eastAsia="en-GB" w:bidi="en-GB"/>
      </w:rPr>
    </w:lvl>
    <w:lvl w:ilvl="5" w:tplc="F9BAE220">
      <w:numFmt w:val="bullet"/>
      <w:lvlText w:val="•"/>
      <w:lvlJc w:val="left"/>
      <w:pPr>
        <w:ind w:left="1165" w:hanging="217"/>
      </w:pPr>
      <w:rPr>
        <w:rFonts w:hint="default"/>
        <w:lang w:val="en-GB" w:eastAsia="en-GB" w:bidi="en-GB"/>
      </w:rPr>
    </w:lvl>
    <w:lvl w:ilvl="6" w:tplc="8DC40850">
      <w:numFmt w:val="bullet"/>
      <w:lvlText w:val="•"/>
      <w:lvlJc w:val="left"/>
      <w:pPr>
        <w:ind w:left="1338" w:hanging="217"/>
      </w:pPr>
      <w:rPr>
        <w:rFonts w:hint="default"/>
        <w:lang w:val="en-GB" w:eastAsia="en-GB" w:bidi="en-GB"/>
      </w:rPr>
    </w:lvl>
    <w:lvl w:ilvl="7" w:tplc="6464CF54">
      <w:numFmt w:val="bullet"/>
      <w:lvlText w:val="•"/>
      <w:lvlJc w:val="left"/>
      <w:pPr>
        <w:ind w:left="1511" w:hanging="217"/>
      </w:pPr>
      <w:rPr>
        <w:rFonts w:hint="default"/>
        <w:lang w:val="en-GB" w:eastAsia="en-GB" w:bidi="en-GB"/>
      </w:rPr>
    </w:lvl>
    <w:lvl w:ilvl="8" w:tplc="66B49FCE">
      <w:numFmt w:val="bullet"/>
      <w:lvlText w:val="•"/>
      <w:lvlJc w:val="left"/>
      <w:pPr>
        <w:ind w:left="1684" w:hanging="217"/>
      </w:pPr>
      <w:rPr>
        <w:rFonts w:hint="default"/>
        <w:lang w:val="en-GB" w:eastAsia="en-GB" w:bidi="en-GB"/>
      </w:rPr>
    </w:lvl>
  </w:abstractNum>
  <w:abstractNum w:abstractNumId="428" w15:restartNumberingAfterBreak="0">
    <w:nsid w:val="27686FB8"/>
    <w:multiLevelType w:val="hybridMultilevel"/>
    <w:tmpl w:val="668EBFC4"/>
    <w:lvl w:ilvl="0" w:tplc="492A1E12">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00BA5622">
      <w:numFmt w:val="bullet"/>
      <w:lvlText w:val="•"/>
      <w:lvlJc w:val="left"/>
      <w:pPr>
        <w:ind w:left="529" w:hanging="217"/>
      </w:pPr>
      <w:rPr>
        <w:rFonts w:hint="default"/>
        <w:lang w:val="en-GB" w:eastAsia="en-GB" w:bidi="en-GB"/>
      </w:rPr>
    </w:lvl>
    <w:lvl w:ilvl="2" w:tplc="E71A9740">
      <w:numFmt w:val="bullet"/>
      <w:lvlText w:val="•"/>
      <w:lvlJc w:val="left"/>
      <w:pPr>
        <w:ind w:left="759" w:hanging="217"/>
      </w:pPr>
      <w:rPr>
        <w:rFonts w:hint="default"/>
        <w:lang w:val="en-GB" w:eastAsia="en-GB" w:bidi="en-GB"/>
      </w:rPr>
    </w:lvl>
    <w:lvl w:ilvl="3" w:tplc="E6E21ABC">
      <w:numFmt w:val="bullet"/>
      <w:lvlText w:val="•"/>
      <w:lvlJc w:val="left"/>
      <w:pPr>
        <w:ind w:left="989" w:hanging="217"/>
      </w:pPr>
      <w:rPr>
        <w:rFonts w:hint="default"/>
        <w:lang w:val="en-GB" w:eastAsia="en-GB" w:bidi="en-GB"/>
      </w:rPr>
    </w:lvl>
    <w:lvl w:ilvl="4" w:tplc="109CB1C4">
      <w:numFmt w:val="bullet"/>
      <w:lvlText w:val="•"/>
      <w:lvlJc w:val="left"/>
      <w:pPr>
        <w:ind w:left="1219" w:hanging="217"/>
      </w:pPr>
      <w:rPr>
        <w:rFonts w:hint="default"/>
        <w:lang w:val="en-GB" w:eastAsia="en-GB" w:bidi="en-GB"/>
      </w:rPr>
    </w:lvl>
    <w:lvl w:ilvl="5" w:tplc="3CD2BD54">
      <w:numFmt w:val="bullet"/>
      <w:lvlText w:val="•"/>
      <w:lvlJc w:val="left"/>
      <w:pPr>
        <w:ind w:left="1449" w:hanging="217"/>
      </w:pPr>
      <w:rPr>
        <w:rFonts w:hint="default"/>
        <w:lang w:val="en-GB" w:eastAsia="en-GB" w:bidi="en-GB"/>
      </w:rPr>
    </w:lvl>
    <w:lvl w:ilvl="6" w:tplc="C06EE35E">
      <w:numFmt w:val="bullet"/>
      <w:lvlText w:val="•"/>
      <w:lvlJc w:val="left"/>
      <w:pPr>
        <w:ind w:left="1678" w:hanging="217"/>
      </w:pPr>
      <w:rPr>
        <w:rFonts w:hint="default"/>
        <w:lang w:val="en-GB" w:eastAsia="en-GB" w:bidi="en-GB"/>
      </w:rPr>
    </w:lvl>
    <w:lvl w:ilvl="7" w:tplc="0AD02B66">
      <w:numFmt w:val="bullet"/>
      <w:lvlText w:val="•"/>
      <w:lvlJc w:val="left"/>
      <w:pPr>
        <w:ind w:left="1908" w:hanging="217"/>
      </w:pPr>
      <w:rPr>
        <w:rFonts w:hint="default"/>
        <w:lang w:val="en-GB" w:eastAsia="en-GB" w:bidi="en-GB"/>
      </w:rPr>
    </w:lvl>
    <w:lvl w:ilvl="8" w:tplc="392CC3BE">
      <w:numFmt w:val="bullet"/>
      <w:lvlText w:val="•"/>
      <w:lvlJc w:val="left"/>
      <w:pPr>
        <w:ind w:left="2138" w:hanging="217"/>
      </w:pPr>
      <w:rPr>
        <w:rFonts w:hint="default"/>
        <w:lang w:val="en-GB" w:eastAsia="en-GB" w:bidi="en-GB"/>
      </w:rPr>
    </w:lvl>
  </w:abstractNum>
  <w:abstractNum w:abstractNumId="429" w15:restartNumberingAfterBreak="0">
    <w:nsid w:val="27702D41"/>
    <w:multiLevelType w:val="hybridMultilevel"/>
    <w:tmpl w:val="9F3A16B8"/>
    <w:lvl w:ilvl="0" w:tplc="FDC89FF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FD4082A">
      <w:numFmt w:val="bullet"/>
      <w:lvlText w:val="•"/>
      <w:lvlJc w:val="left"/>
      <w:pPr>
        <w:ind w:left="892" w:hanging="217"/>
      </w:pPr>
      <w:rPr>
        <w:rFonts w:hint="default"/>
        <w:lang w:val="en-GB" w:eastAsia="en-GB" w:bidi="en-GB"/>
      </w:rPr>
    </w:lvl>
    <w:lvl w:ilvl="2" w:tplc="94308E8E">
      <w:numFmt w:val="bullet"/>
      <w:lvlText w:val="•"/>
      <w:lvlJc w:val="left"/>
      <w:pPr>
        <w:ind w:left="1485" w:hanging="217"/>
      </w:pPr>
      <w:rPr>
        <w:rFonts w:hint="default"/>
        <w:lang w:val="en-GB" w:eastAsia="en-GB" w:bidi="en-GB"/>
      </w:rPr>
    </w:lvl>
    <w:lvl w:ilvl="3" w:tplc="71FAE81C">
      <w:numFmt w:val="bullet"/>
      <w:lvlText w:val="•"/>
      <w:lvlJc w:val="left"/>
      <w:pPr>
        <w:ind w:left="2077" w:hanging="217"/>
      </w:pPr>
      <w:rPr>
        <w:rFonts w:hint="default"/>
        <w:lang w:val="en-GB" w:eastAsia="en-GB" w:bidi="en-GB"/>
      </w:rPr>
    </w:lvl>
    <w:lvl w:ilvl="4" w:tplc="FFC4C764">
      <w:numFmt w:val="bullet"/>
      <w:lvlText w:val="•"/>
      <w:lvlJc w:val="left"/>
      <w:pPr>
        <w:ind w:left="2670" w:hanging="217"/>
      </w:pPr>
      <w:rPr>
        <w:rFonts w:hint="default"/>
        <w:lang w:val="en-GB" w:eastAsia="en-GB" w:bidi="en-GB"/>
      </w:rPr>
    </w:lvl>
    <w:lvl w:ilvl="5" w:tplc="FB62A86A">
      <w:numFmt w:val="bullet"/>
      <w:lvlText w:val="•"/>
      <w:lvlJc w:val="left"/>
      <w:pPr>
        <w:ind w:left="3263" w:hanging="217"/>
      </w:pPr>
      <w:rPr>
        <w:rFonts w:hint="default"/>
        <w:lang w:val="en-GB" w:eastAsia="en-GB" w:bidi="en-GB"/>
      </w:rPr>
    </w:lvl>
    <w:lvl w:ilvl="6" w:tplc="70A87660">
      <w:numFmt w:val="bullet"/>
      <w:lvlText w:val="•"/>
      <w:lvlJc w:val="left"/>
      <w:pPr>
        <w:ind w:left="3855" w:hanging="217"/>
      </w:pPr>
      <w:rPr>
        <w:rFonts w:hint="default"/>
        <w:lang w:val="en-GB" w:eastAsia="en-GB" w:bidi="en-GB"/>
      </w:rPr>
    </w:lvl>
    <w:lvl w:ilvl="7" w:tplc="B6D23E2A">
      <w:numFmt w:val="bullet"/>
      <w:lvlText w:val="•"/>
      <w:lvlJc w:val="left"/>
      <w:pPr>
        <w:ind w:left="4448" w:hanging="217"/>
      </w:pPr>
      <w:rPr>
        <w:rFonts w:hint="default"/>
        <w:lang w:val="en-GB" w:eastAsia="en-GB" w:bidi="en-GB"/>
      </w:rPr>
    </w:lvl>
    <w:lvl w:ilvl="8" w:tplc="51C09A4C">
      <w:numFmt w:val="bullet"/>
      <w:lvlText w:val="•"/>
      <w:lvlJc w:val="left"/>
      <w:pPr>
        <w:ind w:left="5040" w:hanging="217"/>
      </w:pPr>
      <w:rPr>
        <w:rFonts w:hint="default"/>
        <w:lang w:val="en-GB" w:eastAsia="en-GB" w:bidi="en-GB"/>
      </w:rPr>
    </w:lvl>
  </w:abstractNum>
  <w:abstractNum w:abstractNumId="430" w15:restartNumberingAfterBreak="0">
    <w:nsid w:val="27A341DB"/>
    <w:multiLevelType w:val="hybridMultilevel"/>
    <w:tmpl w:val="54247A12"/>
    <w:lvl w:ilvl="0" w:tplc="9E2475C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CDA49D8">
      <w:numFmt w:val="bullet"/>
      <w:lvlText w:val="•"/>
      <w:lvlJc w:val="left"/>
      <w:pPr>
        <w:ind w:left="473" w:hanging="217"/>
      </w:pPr>
      <w:rPr>
        <w:rFonts w:hint="default"/>
        <w:lang w:val="en-GB" w:eastAsia="en-GB" w:bidi="en-GB"/>
      </w:rPr>
    </w:lvl>
    <w:lvl w:ilvl="2" w:tplc="492A2A50">
      <w:numFmt w:val="bullet"/>
      <w:lvlText w:val="•"/>
      <w:lvlJc w:val="left"/>
      <w:pPr>
        <w:ind w:left="646" w:hanging="217"/>
      </w:pPr>
      <w:rPr>
        <w:rFonts w:hint="default"/>
        <w:lang w:val="en-GB" w:eastAsia="en-GB" w:bidi="en-GB"/>
      </w:rPr>
    </w:lvl>
    <w:lvl w:ilvl="3" w:tplc="C4FC99F2">
      <w:numFmt w:val="bullet"/>
      <w:lvlText w:val="•"/>
      <w:lvlJc w:val="left"/>
      <w:pPr>
        <w:ind w:left="819" w:hanging="217"/>
      </w:pPr>
      <w:rPr>
        <w:rFonts w:hint="default"/>
        <w:lang w:val="en-GB" w:eastAsia="en-GB" w:bidi="en-GB"/>
      </w:rPr>
    </w:lvl>
    <w:lvl w:ilvl="4" w:tplc="7CE8415A">
      <w:numFmt w:val="bullet"/>
      <w:lvlText w:val="•"/>
      <w:lvlJc w:val="left"/>
      <w:pPr>
        <w:ind w:left="992" w:hanging="217"/>
      </w:pPr>
      <w:rPr>
        <w:rFonts w:hint="default"/>
        <w:lang w:val="en-GB" w:eastAsia="en-GB" w:bidi="en-GB"/>
      </w:rPr>
    </w:lvl>
    <w:lvl w:ilvl="5" w:tplc="979CD63E">
      <w:numFmt w:val="bullet"/>
      <w:lvlText w:val="•"/>
      <w:lvlJc w:val="left"/>
      <w:pPr>
        <w:ind w:left="1165" w:hanging="217"/>
      </w:pPr>
      <w:rPr>
        <w:rFonts w:hint="default"/>
        <w:lang w:val="en-GB" w:eastAsia="en-GB" w:bidi="en-GB"/>
      </w:rPr>
    </w:lvl>
    <w:lvl w:ilvl="6" w:tplc="9ECEC986">
      <w:numFmt w:val="bullet"/>
      <w:lvlText w:val="•"/>
      <w:lvlJc w:val="left"/>
      <w:pPr>
        <w:ind w:left="1338" w:hanging="217"/>
      </w:pPr>
      <w:rPr>
        <w:rFonts w:hint="default"/>
        <w:lang w:val="en-GB" w:eastAsia="en-GB" w:bidi="en-GB"/>
      </w:rPr>
    </w:lvl>
    <w:lvl w:ilvl="7" w:tplc="A5764142">
      <w:numFmt w:val="bullet"/>
      <w:lvlText w:val="•"/>
      <w:lvlJc w:val="left"/>
      <w:pPr>
        <w:ind w:left="1511" w:hanging="217"/>
      </w:pPr>
      <w:rPr>
        <w:rFonts w:hint="default"/>
        <w:lang w:val="en-GB" w:eastAsia="en-GB" w:bidi="en-GB"/>
      </w:rPr>
    </w:lvl>
    <w:lvl w:ilvl="8" w:tplc="D0ACE822">
      <w:numFmt w:val="bullet"/>
      <w:lvlText w:val="•"/>
      <w:lvlJc w:val="left"/>
      <w:pPr>
        <w:ind w:left="1684" w:hanging="217"/>
      </w:pPr>
      <w:rPr>
        <w:rFonts w:hint="default"/>
        <w:lang w:val="en-GB" w:eastAsia="en-GB" w:bidi="en-GB"/>
      </w:rPr>
    </w:lvl>
  </w:abstractNum>
  <w:abstractNum w:abstractNumId="431" w15:restartNumberingAfterBreak="0">
    <w:nsid w:val="27BF7A31"/>
    <w:multiLevelType w:val="hybridMultilevel"/>
    <w:tmpl w:val="1DEA0518"/>
    <w:lvl w:ilvl="0" w:tplc="B7E8F1B6">
      <w:numFmt w:val="bullet"/>
      <w:lvlText w:val="•"/>
      <w:lvlJc w:val="left"/>
      <w:pPr>
        <w:ind w:left="276" w:hanging="217"/>
      </w:pPr>
      <w:rPr>
        <w:rFonts w:ascii="Arial" w:eastAsia="Arial" w:hAnsi="Arial" w:cs="Arial" w:hint="default"/>
        <w:color w:val="231F20"/>
        <w:w w:val="97"/>
        <w:sz w:val="16"/>
        <w:szCs w:val="16"/>
        <w:lang w:val="en-GB" w:eastAsia="en-GB" w:bidi="en-GB"/>
      </w:rPr>
    </w:lvl>
    <w:lvl w:ilvl="1" w:tplc="7842E8F4">
      <w:numFmt w:val="bullet"/>
      <w:lvlText w:val="•"/>
      <w:lvlJc w:val="left"/>
      <w:pPr>
        <w:ind w:left="381" w:hanging="217"/>
      </w:pPr>
      <w:rPr>
        <w:rFonts w:hint="default"/>
        <w:lang w:val="en-GB" w:eastAsia="en-GB" w:bidi="en-GB"/>
      </w:rPr>
    </w:lvl>
    <w:lvl w:ilvl="2" w:tplc="5FD86F96">
      <w:numFmt w:val="bullet"/>
      <w:lvlText w:val="•"/>
      <w:lvlJc w:val="left"/>
      <w:pPr>
        <w:ind w:left="482" w:hanging="217"/>
      </w:pPr>
      <w:rPr>
        <w:rFonts w:hint="default"/>
        <w:lang w:val="en-GB" w:eastAsia="en-GB" w:bidi="en-GB"/>
      </w:rPr>
    </w:lvl>
    <w:lvl w:ilvl="3" w:tplc="26281782">
      <w:numFmt w:val="bullet"/>
      <w:lvlText w:val="•"/>
      <w:lvlJc w:val="left"/>
      <w:pPr>
        <w:ind w:left="584" w:hanging="217"/>
      </w:pPr>
      <w:rPr>
        <w:rFonts w:hint="default"/>
        <w:lang w:val="en-GB" w:eastAsia="en-GB" w:bidi="en-GB"/>
      </w:rPr>
    </w:lvl>
    <w:lvl w:ilvl="4" w:tplc="3000B582">
      <w:numFmt w:val="bullet"/>
      <w:lvlText w:val="•"/>
      <w:lvlJc w:val="left"/>
      <w:pPr>
        <w:ind w:left="685" w:hanging="217"/>
      </w:pPr>
      <w:rPr>
        <w:rFonts w:hint="default"/>
        <w:lang w:val="en-GB" w:eastAsia="en-GB" w:bidi="en-GB"/>
      </w:rPr>
    </w:lvl>
    <w:lvl w:ilvl="5" w:tplc="D1F43DBE">
      <w:numFmt w:val="bullet"/>
      <w:lvlText w:val="•"/>
      <w:lvlJc w:val="left"/>
      <w:pPr>
        <w:ind w:left="787" w:hanging="217"/>
      </w:pPr>
      <w:rPr>
        <w:rFonts w:hint="default"/>
        <w:lang w:val="en-GB" w:eastAsia="en-GB" w:bidi="en-GB"/>
      </w:rPr>
    </w:lvl>
    <w:lvl w:ilvl="6" w:tplc="2110D1BC">
      <w:numFmt w:val="bullet"/>
      <w:lvlText w:val="•"/>
      <w:lvlJc w:val="left"/>
      <w:pPr>
        <w:ind w:left="888" w:hanging="217"/>
      </w:pPr>
      <w:rPr>
        <w:rFonts w:hint="default"/>
        <w:lang w:val="en-GB" w:eastAsia="en-GB" w:bidi="en-GB"/>
      </w:rPr>
    </w:lvl>
    <w:lvl w:ilvl="7" w:tplc="DACED202">
      <w:numFmt w:val="bullet"/>
      <w:lvlText w:val="•"/>
      <w:lvlJc w:val="left"/>
      <w:pPr>
        <w:ind w:left="989" w:hanging="217"/>
      </w:pPr>
      <w:rPr>
        <w:rFonts w:hint="default"/>
        <w:lang w:val="en-GB" w:eastAsia="en-GB" w:bidi="en-GB"/>
      </w:rPr>
    </w:lvl>
    <w:lvl w:ilvl="8" w:tplc="15A00D4A">
      <w:numFmt w:val="bullet"/>
      <w:lvlText w:val="•"/>
      <w:lvlJc w:val="left"/>
      <w:pPr>
        <w:ind w:left="1091" w:hanging="217"/>
      </w:pPr>
      <w:rPr>
        <w:rFonts w:hint="default"/>
        <w:lang w:val="en-GB" w:eastAsia="en-GB" w:bidi="en-GB"/>
      </w:rPr>
    </w:lvl>
  </w:abstractNum>
  <w:abstractNum w:abstractNumId="432" w15:restartNumberingAfterBreak="0">
    <w:nsid w:val="28033FE9"/>
    <w:multiLevelType w:val="hybridMultilevel"/>
    <w:tmpl w:val="22206D46"/>
    <w:lvl w:ilvl="0" w:tplc="9226287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FF88420">
      <w:numFmt w:val="bullet"/>
      <w:lvlText w:val="•"/>
      <w:lvlJc w:val="left"/>
      <w:pPr>
        <w:ind w:left="473" w:hanging="217"/>
      </w:pPr>
      <w:rPr>
        <w:rFonts w:hint="default"/>
        <w:lang w:val="en-GB" w:eastAsia="en-GB" w:bidi="en-GB"/>
      </w:rPr>
    </w:lvl>
    <w:lvl w:ilvl="2" w:tplc="432E99B4">
      <w:numFmt w:val="bullet"/>
      <w:lvlText w:val="•"/>
      <w:lvlJc w:val="left"/>
      <w:pPr>
        <w:ind w:left="646" w:hanging="217"/>
      </w:pPr>
      <w:rPr>
        <w:rFonts w:hint="default"/>
        <w:lang w:val="en-GB" w:eastAsia="en-GB" w:bidi="en-GB"/>
      </w:rPr>
    </w:lvl>
    <w:lvl w:ilvl="3" w:tplc="3390A282">
      <w:numFmt w:val="bullet"/>
      <w:lvlText w:val="•"/>
      <w:lvlJc w:val="left"/>
      <w:pPr>
        <w:ind w:left="819" w:hanging="217"/>
      </w:pPr>
      <w:rPr>
        <w:rFonts w:hint="default"/>
        <w:lang w:val="en-GB" w:eastAsia="en-GB" w:bidi="en-GB"/>
      </w:rPr>
    </w:lvl>
    <w:lvl w:ilvl="4" w:tplc="F0102366">
      <w:numFmt w:val="bullet"/>
      <w:lvlText w:val="•"/>
      <w:lvlJc w:val="left"/>
      <w:pPr>
        <w:ind w:left="992" w:hanging="217"/>
      </w:pPr>
      <w:rPr>
        <w:rFonts w:hint="default"/>
        <w:lang w:val="en-GB" w:eastAsia="en-GB" w:bidi="en-GB"/>
      </w:rPr>
    </w:lvl>
    <w:lvl w:ilvl="5" w:tplc="55B43D30">
      <w:numFmt w:val="bullet"/>
      <w:lvlText w:val="•"/>
      <w:lvlJc w:val="left"/>
      <w:pPr>
        <w:ind w:left="1165" w:hanging="217"/>
      </w:pPr>
      <w:rPr>
        <w:rFonts w:hint="default"/>
        <w:lang w:val="en-GB" w:eastAsia="en-GB" w:bidi="en-GB"/>
      </w:rPr>
    </w:lvl>
    <w:lvl w:ilvl="6" w:tplc="B9D49ABA">
      <w:numFmt w:val="bullet"/>
      <w:lvlText w:val="•"/>
      <w:lvlJc w:val="left"/>
      <w:pPr>
        <w:ind w:left="1338" w:hanging="217"/>
      </w:pPr>
      <w:rPr>
        <w:rFonts w:hint="default"/>
        <w:lang w:val="en-GB" w:eastAsia="en-GB" w:bidi="en-GB"/>
      </w:rPr>
    </w:lvl>
    <w:lvl w:ilvl="7" w:tplc="80D4BACE">
      <w:numFmt w:val="bullet"/>
      <w:lvlText w:val="•"/>
      <w:lvlJc w:val="left"/>
      <w:pPr>
        <w:ind w:left="1511" w:hanging="217"/>
      </w:pPr>
      <w:rPr>
        <w:rFonts w:hint="default"/>
        <w:lang w:val="en-GB" w:eastAsia="en-GB" w:bidi="en-GB"/>
      </w:rPr>
    </w:lvl>
    <w:lvl w:ilvl="8" w:tplc="15C6A412">
      <w:numFmt w:val="bullet"/>
      <w:lvlText w:val="•"/>
      <w:lvlJc w:val="left"/>
      <w:pPr>
        <w:ind w:left="1684" w:hanging="217"/>
      </w:pPr>
      <w:rPr>
        <w:rFonts w:hint="default"/>
        <w:lang w:val="en-GB" w:eastAsia="en-GB" w:bidi="en-GB"/>
      </w:rPr>
    </w:lvl>
  </w:abstractNum>
  <w:abstractNum w:abstractNumId="433" w15:restartNumberingAfterBreak="0">
    <w:nsid w:val="28144F95"/>
    <w:multiLevelType w:val="hybridMultilevel"/>
    <w:tmpl w:val="AB4AC916"/>
    <w:lvl w:ilvl="0" w:tplc="CC88F5D4">
      <w:numFmt w:val="bullet"/>
      <w:lvlText w:val="•"/>
      <w:lvlJc w:val="left"/>
      <w:pPr>
        <w:ind w:left="303" w:hanging="217"/>
      </w:pPr>
      <w:rPr>
        <w:rFonts w:ascii="Arial" w:eastAsia="Arial" w:hAnsi="Arial" w:cs="Arial" w:hint="default"/>
        <w:color w:val="231F20"/>
        <w:w w:val="102"/>
        <w:sz w:val="17"/>
        <w:szCs w:val="17"/>
        <w:lang w:val="en-GB" w:eastAsia="en-GB" w:bidi="en-GB"/>
      </w:rPr>
    </w:lvl>
    <w:lvl w:ilvl="1" w:tplc="76D2E2F2">
      <w:numFmt w:val="bullet"/>
      <w:lvlText w:val="•"/>
      <w:lvlJc w:val="left"/>
      <w:pPr>
        <w:ind w:left="439" w:hanging="217"/>
      </w:pPr>
      <w:rPr>
        <w:rFonts w:hint="default"/>
        <w:lang w:val="en-GB" w:eastAsia="en-GB" w:bidi="en-GB"/>
      </w:rPr>
    </w:lvl>
    <w:lvl w:ilvl="2" w:tplc="E5325726">
      <w:numFmt w:val="bullet"/>
      <w:lvlText w:val="•"/>
      <w:lvlJc w:val="left"/>
      <w:pPr>
        <w:ind w:left="578" w:hanging="217"/>
      </w:pPr>
      <w:rPr>
        <w:rFonts w:hint="default"/>
        <w:lang w:val="en-GB" w:eastAsia="en-GB" w:bidi="en-GB"/>
      </w:rPr>
    </w:lvl>
    <w:lvl w:ilvl="3" w:tplc="C4D21F80">
      <w:numFmt w:val="bullet"/>
      <w:lvlText w:val="•"/>
      <w:lvlJc w:val="left"/>
      <w:pPr>
        <w:ind w:left="717" w:hanging="217"/>
      </w:pPr>
      <w:rPr>
        <w:rFonts w:hint="default"/>
        <w:lang w:val="en-GB" w:eastAsia="en-GB" w:bidi="en-GB"/>
      </w:rPr>
    </w:lvl>
    <w:lvl w:ilvl="4" w:tplc="F5823892">
      <w:numFmt w:val="bullet"/>
      <w:lvlText w:val="•"/>
      <w:lvlJc w:val="left"/>
      <w:pPr>
        <w:ind w:left="856" w:hanging="217"/>
      </w:pPr>
      <w:rPr>
        <w:rFonts w:hint="default"/>
        <w:lang w:val="en-GB" w:eastAsia="en-GB" w:bidi="en-GB"/>
      </w:rPr>
    </w:lvl>
    <w:lvl w:ilvl="5" w:tplc="A6324CD2">
      <w:numFmt w:val="bullet"/>
      <w:lvlText w:val="•"/>
      <w:lvlJc w:val="left"/>
      <w:pPr>
        <w:ind w:left="995" w:hanging="217"/>
      </w:pPr>
      <w:rPr>
        <w:rFonts w:hint="default"/>
        <w:lang w:val="en-GB" w:eastAsia="en-GB" w:bidi="en-GB"/>
      </w:rPr>
    </w:lvl>
    <w:lvl w:ilvl="6" w:tplc="64FC97C6">
      <w:numFmt w:val="bullet"/>
      <w:lvlText w:val="•"/>
      <w:lvlJc w:val="left"/>
      <w:pPr>
        <w:ind w:left="1134" w:hanging="217"/>
      </w:pPr>
      <w:rPr>
        <w:rFonts w:hint="default"/>
        <w:lang w:val="en-GB" w:eastAsia="en-GB" w:bidi="en-GB"/>
      </w:rPr>
    </w:lvl>
    <w:lvl w:ilvl="7" w:tplc="02A26B02">
      <w:numFmt w:val="bullet"/>
      <w:lvlText w:val="•"/>
      <w:lvlJc w:val="left"/>
      <w:pPr>
        <w:ind w:left="1273" w:hanging="217"/>
      </w:pPr>
      <w:rPr>
        <w:rFonts w:hint="default"/>
        <w:lang w:val="en-GB" w:eastAsia="en-GB" w:bidi="en-GB"/>
      </w:rPr>
    </w:lvl>
    <w:lvl w:ilvl="8" w:tplc="8BFCC408">
      <w:numFmt w:val="bullet"/>
      <w:lvlText w:val="•"/>
      <w:lvlJc w:val="left"/>
      <w:pPr>
        <w:ind w:left="1412" w:hanging="217"/>
      </w:pPr>
      <w:rPr>
        <w:rFonts w:hint="default"/>
        <w:lang w:val="en-GB" w:eastAsia="en-GB" w:bidi="en-GB"/>
      </w:rPr>
    </w:lvl>
  </w:abstractNum>
  <w:abstractNum w:abstractNumId="434" w15:restartNumberingAfterBreak="0">
    <w:nsid w:val="28155F4B"/>
    <w:multiLevelType w:val="hybridMultilevel"/>
    <w:tmpl w:val="0AE67A30"/>
    <w:lvl w:ilvl="0" w:tplc="14E03AA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0C4C800">
      <w:numFmt w:val="bullet"/>
      <w:lvlText w:val="•"/>
      <w:lvlJc w:val="left"/>
      <w:pPr>
        <w:ind w:left="439" w:hanging="217"/>
      </w:pPr>
      <w:rPr>
        <w:rFonts w:hint="default"/>
        <w:lang w:val="en-GB" w:eastAsia="en-GB" w:bidi="en-GB"/>
      </w:rPr>
    </w:lvl>
    <w:lvl w:ilvl="2" w:tplc="3E5CABEA">
      <w:numFmt w:val="bullet"/>
      <w:lvlText w:val="•"/>
      <w:lvlJc w:val="left"/>
      <w:pPr>
        <w:ind w:left="578" w:hanging="217"/>
      </w:pPr>
      <w:rPr>
        <w:rFonts w:hint="default"/>
        <w:lang w:val="en-GB" w:eastAsia="en-GB" w:bidi="en-GB"/>
      </w:rPr>
    </w:lvl>
    <w:lvl w:ilvl="3" w:tplc="A07A0896">
      <w:numFmt w:val="bullet"/>
      <w:lvlText w:val="•"/>
      <w:lvlJc w:val="left"/>
      <w:pPr>
        <w:ind w:left="717" w:hanging="217"/>
      </w:pPr>
      <w:rPr>
        <w:rFonts w:hint="default"/>
        <w:lang w:val="en-GB" w:eastAsia="en-GB" w:bidi="en-GB"/>
      </w:rPr>
    </w:lvl>
    <w:lvl w:ilvl="4" w:tplc="9D78A08E">
      <w:numFmt w:val="bullet"/>
      <w:lvlText w:val="•"/>
      <w:lvlJc w:val="left"/>
      <w:pPr>
        <w:ind w:left="856" w:hanging="217"/>
      </w:pPr>
      <w:rPr>
        <w:rFonts w:hint="default"/>
        <w:lang w:val="en-GB" w:eastAsia="en-GB" w:bidi="en-GB"/>
      </w:rPr>
    </w:lvl>
    <w:lvl w:ilvl="5" w:tplc="DB1450BE">
      <w:numFmt w:val="bullet"/>
      <w:lvlText w:val="•"/>
      <w:lvlJc w:val="left"/>
      <w:pPr>
        <w:ind w:left="995" w:hanging="217"/>
      </w:pPr>
      <w:rPr>
        <w:rFonts w:hint="default"/>
        <w:lang w:val="en-GB" w:eastAsia="en-GB" w:bidi="en-GB"/>
      </w:rPr>
    </w:lvl>
    <w:lvl w:ilvl="6" w:tplc="FF168DD0">
      <w:numFmt w:val="bullet"/>
      <w:lvlText w:val="•"/>
      <w:lvlJc w:val="left"/>
      <w:pPr>
        <w:ind w:left="1134" w:hanging="217"/>
      </w:pPr>
      <w:rPr>
        <w:rFonts w:hint="default"/>
        <w:lang w:val="en-GB" w:eastAsia="en-GB" w:bidi="en-GB"/>
      </w:rPr>
    </w:lvl>
    <w:lvl w:ilvl="7" w:tplc="104ED158">
      <w:numFmt w:val="bullet"/>
      <w:lvlText w:val="•"/>
      <w:lvlJc w:val="left"/>
      <w:pPr>
        <w:ind w:left="1273" w:hanging="217"/>
      </w:pPr>
      <w:rPr>
        <w:rFonts w:hint="default"/>
        <w:lang w:val="en-GB" w:eastAsia="en-GB" w:bidi="en-GB"/>
      </w:rPr>
    </w:lvl>
    <w:lvl w:ilvl="8" w:tplc="C3D8AE8A">
      <w:numFmt w:val="bullet"/>
      <w:lvlText w:val="•"/>
      <w:lvlJc w:val="left"/>
      <w:pPr>
        <w:ind w:left="1412" w:hanging="217"/>
      </w:pPr>
      <w:rPr>
        <w:rFonts w:hint="default"/>
        <w:lang w:val="en-GB" w:eastAsia="en-GB" w:bidi="en-GB"/>
      </w:rPr>
    </w:lvl>
  </w:abstractNum>
  <w:abstractNum w:abstractNumId="435" w15:restartNumberingAfterBreak="0">
    <w:nsid w:val="28160ABB"/>
    <w:multiLevelType w:val="hybridMultilevel"/>
    <w:tmpl w:val="CC48767E"/>
    <w:lvl w:ilvl="0" w:tplc="55C60CA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B1E1016">
      <w:numFmt w:val="bullet"/>
      <w:lvlText w:val="•"/>
      <w:lvlJc w:val="left"/>
      <w:pPr>
        <w:ind w:left="892" w:hanging="217"/>
      </w:pPr>
      <w:rPr>
        <w:rFonts w:hint="default"/>
        <w:lang w:val="en-GB" w:eastAsia="en-GB" w:bidi="en-GB"/>
      </w:rPr>
    </w:lvl>
    <w:lvl w:ilvl="2" w:tplc="6FB84766">
      <w:numFmt w:val="bullet"/>
      <w:lvlText w:val="•"/>
      <w:lvlJc w:val="left"/>
      <w:pPr>
        <w:ind w:left="1485" w:hanging="217"/>
      </w:pPr>
      <w:rPr>
        <w:rFonts w:hint="default"/>
        <w:lang w:val="en-GB" w:eastAsia="en-GB" w:bidi="en-GB"/>
      </w:rPr>
    </w:lvl>
    <w:lvl w:ilvl="3" w:tplc="7348FD16">
      <w:numFmt w:val="bullet"/>
      <w:lvlText w:val="•"/>
      <w:lvlJc w:val="left"/>
      <w:pPr>
        <w:ind w:left="2077" w:hanging="217"/>
      </w:pPr>
      <w:rPr>
        <w:rFonts w:hint="default"/>
        <w:lang w:val="en-GB" w:eastAsia="en-GB" w:bidi="en-GB"/>
      </w:rPr>
    </w:lvl>
    <w:lvl w:ilvl="4" w:tplc="D58A8740">
      <w:numFmt w:val="bullet"/>
      <w:lvlText w:val="•"/>
      <w:lvlJc w:val="left"/>
      <w:pPr>
        <w:ind w:left="2670" w:hanging="217"/>
      </w:pPr>
      <w:rPr>
        <w:rFonts w:hint="default"/>
        <w:lang w:val="en-GB" w:eastAsia="en-GB" w:bidi="en-GB"/>
      </w:rPr>
    </w:lvl>
    <w:lvl w:ilvl="5" w:tplc="16FE946E">
      <w:numFmt w:val="bullet"/>
      <w:lvlText w:val="•"/>
      <w:lvlJc w:val="left"/>
      <w:pPr>
        <w:ind w:left="3263" w:hanging="217"/>
      </w:pPr>
      <w:rPr>
        <w:rFonts w:hint="default"/>
        <w:lang w:val="en-GB" w:eastAsia="en-GB" w:bidi="en-GB"/>
      </w:rPr>
    </w:lvl>
    <w:lvl w:ilvl="6" w:tplc="B202A8BE">
      <w:numFmt w:val="bullet"/>
      <w:lvlText w:val="•"/>
      <w:lvlJc w:val="left"/>
      <w:pPr>
        <w:ind w:left="3855" w:hanging="217"/>
      </w:pPr>
      <w:rPr>
        <w:rFonts w:hint="default"/>
        <w:lang w:val="en-GB" w:eastAsia="en-GB" w:bidi="en-GB"/>
      </w:rPr>
    </w:lvl>
    <w:lvl w:ilvl="7" w:tplc="04DCB378">
      <w:numFmt w:val="bullet"/>
      <w:lvlText w:val="•"/>
      <w:lvlJc w:val="left"/>
      <w:pPr>
        <w:ind w:left="4448" w:hanging="217"/>
      </w:pPr>
      <w:rPr>
        <w:rFonts w:hint="default"/>
        <w:lang w:val="en-GB" w:eastAsia="en-GB" w:bidi="en-GB"/>
      </w:rPr>
    </w:lvl>
    <w:lvl w:ilvl="8" w:tplc="8A8C8C6A">
      <w:numFmt w:val="bullet"/>
      <w:lvlText w:val="•"/>
      <w:lvlJc w:val="left"/>
      <w:pPr>
        <w:ind w:left="5040" w:hanging="217"/>
      </w:pPr>
      <w:rPr>
        <w:rFonts w:hint="default"/>
        <w:lang w:val="en-GB" w:eastAsia="en-GB" w:bidi="en-GB"/>
      </w:rPr>
    </w:lvl>
  </w:abstractNum>
  <w:abstractNum w:abstractNumId="436" w15:restartNumberingAfterBreak="0">
    <w:nsid w:val="287715A3"/>
    <w:multiLevelType w:val="hybridMultilevel"/>
    <w:tmpl w:val="A91E74EC"/>
    <w:lvl w:ilvl="0" w:tplc="F9EA11D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B702BD4">
      <w:numFmt w:val="bullet"/>
      <w:lvlText w:val="•"/>
      <w:lvlJc w:val="left"/>
      <w:pPr>
        <w:ind w:left="473" w:hanging="217"/>
      </w:pPr>
      <w:rPr>
        <w:rFonts w:hint="default"/>
        <w:lang w:val="en-GB" w:eastAsia="en-GB" w:bidi="en-GB"/>
      </w:rPr>
    </w:lvl>
    <w:lvl w:ilvl="2" w:tplc="D6C84B0C">
      <w:numFmt w:val="bullet"/>
      <w:lvlText w:val="•"/>
      <w:lvlJc w:val="left"/>
      <w:pPr>
        <w:ind w:left="646" w:hanging="217"/>
      </w:pPr>
      <w:rPr>
        <w:rFonts w:hint="default"/>
        <w:lang w:val="en-GB" w:eastAsia="en-GB" w:bidi="en-GB"/>
      </w:rPr>
    </w:lvl>
    <w:lvl w:ilvl="3" w:tplc="85966E5C">
      <w:numFmt w:val="bullet"/>
      <w:lvlText w:val="•"/>
      <w:lvlJc w:val="left"/>
      <w:pPr>
        <w:ind w:left="819" w:hanging="217"/>
      </w:pPr>
      <w:rPr>
        <w:rFonts w:hint="default"/>
        <w:lang w:val="en-GB" w:eastAsia="en-GB" w:bidi="en-GB"/>
      </w:rPr>
    </w:lvl>
    <w:lvl w:ilvl="4" w:tplc="413C08BC">
      <w:numFmt w:val="bullet"/>
      <w:lvlText w:val="•"/>
      <w:lvlJc w:val="left"/>
      <w:pPr>
        <w:ind w:left="992" w:hanging="217"/>
      </w:pPr>
      <w:rPr>
        <w:rFonts w:hint="default"/>
        <w:lang w:val="en-GB" w:eastAsia="en-GB" w:bidi="en-GB"/>
      </w:rPr>
    </w:lvl>
    <w:lvl w:ilvl="5" w:tplc="960CD4A8">
      <w:numFmt w:val="bullet"/>
      <w:lvlText w:val="•"/>
      <w:lvlJc w:val="left"/>
      <w:pPr>
        <w:ind w:left="1165" w:hanging="217"/>
      </w:pPr>
      <w:rPr>
        <w:rFonts w:hint="default"/>
        <w:lang w:val="en-GB" w:eastAsia="en-GB" w:bidi="en-GB"/>
      </w:rPr>
    </w:lvl>
    <w:lvl w:ilvl="6" w:tplc="ACA4C228">
      <w:numFmt w:val="bullet"/>
      <w:lvlText w:val="•"/>
      <w:lvlJc w:val="left"/>
      <w:pPr>
        <w:ind w:left="1338" w:hanging="217"/>
      </w:pPr>
      <w:rPr>
        <w:rFonts w:hint="default"/>
        <w:lang w:val="en-GB" w:eastAsia="en-GB" w:bidi="en-GB"/>
      </w:rPr>
    </w:lvl>
    <w:lvl w:ilvl="7" w:tplc="18AE19C6">
      <w:numFmt w:val="bullet"/>
      <w:lvlText w:val="•"/>
      <w:lvlJc w:val="left"/>
      <w:pPr>
        <w:ind w:left="1511" w:hanging="217"/>
      </w:pPr>
      <w:rPr>
        <w:rFonts w:hint="default"/>
        <w:lang w:val="en-GB" w:eastAsia="en-GB" w:bidi="en-GB"/>
      </w:rPr>
    </w:lvl>
    <w:lvl w:ilvl="8" w:tplc="3C3C537E">
      <w:numFmt w:val="bullet"/>
      <w:lvlText w:val="•"/>
      <w:lvlJc w:val="left"/>
      <w:pPr>
        <w:ind w:left="1684" w:hanging="217"/>
      </w:pPr>
      <w:rPr>
        <w:rFonts w:hint="default"/>
        <w:lang w:val="en-GB" w:eastAsia="en-GB" w:bidi="en-GB"/>
      </w:rPr>
    </w:lvl>
  </w:abstractNum>
  <w:abstractNum w:abstractNumId="437" w15:restartNumberingAfterBreak="0">
    <w:nsid w:val="28866124"/>
    <w:multiLevelType w:val="hybridMultilevel"/>
    <w:tmpl w:val="E7F06E24"/>
    <w:lvl w:ilvl="0" w:tplc="F58A501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ACA4A64">
      <w:numFmt w:val="bullet"/>
      <w:lvlText w:val="•"/>
      <w:lvlJc w:val="left"/>
      <w:pPr>
        <w:ind w:left="677" w:hanging="217"/>
      </w:pPr>
      <w:rPr>
        <w:rFonts w:hint="default"/>
        <w:lang w:val="en-GB" w:eastAsia="en-GB" w:bidi="en-GB"/>
      </w:rPr>
    </w:lvl>
    <w:lvl w:ilvl="2" w:tplc="4A343040">
      <w:numFmt w:val="bullet"/>
      <w:lvlText w:val="•"/>
      <w:lvlJc w:val="left"/>
      <w:pPr>
        <w:ind w:left="1054" w:hanging="217"/>
      </w:pPr>
      <w:rPr>
        <w:rFonts w:hint="default"/>
        <w:lang w:val="en-GB" w:eastAsia="en-GB" w:bidi="en-GB"/>
      </w:rPr>
    </w:lvl>
    <w:lvl w:ilvl="3" w:tplc="6B503F22">
      <w:numFmt w:val="bullet"/>
      <w:lvlText w:val="•"/>
      <w:lvlJc w:val="left"/>
      <w:pPr>
        <w:ind w:left="1431" w:hanging="217"/>
      </w:pPr>
      <w:rPr>
        <w:rFonts w:hint="default"/>
        <w:lang w:val="en-GB" w:eastAsia="en-GB" w:bidi="en-GB"/>
      </w:rPr>
    </w:lvl>
    <w:lvl w:ilvl="4" w:tplc="8398E5B6">
      <w:numFmt w:val="bullet"/>
      <w:lvlText w:val="•"/>
      <w:lvlJc w:val="left"/>
      <w:pPr>
        <w:ind w:left="1808" w:hanging="217"/>
      </w:pPr>
      <w:rPr>
        <w:rFonts w:hint="default"/>
        <w:lang w:val="en-GB" w:eastAsia="en-GB" w:bidi="en-GB"/>
      </w:rPr>
    </w:lvl>
    <w:lvl w:ilvl="5" w:tplc="F392D022">
      <w:numFmt w:val="bullet"/>
      <w:lvlText w:val="•"/>
      <w:lvlJc w:val="left"/>
      <w:pPr>
        <w:ind w:left="2186" w:hanging="217"/>
      </w:pPr>
      <w:rPr>
        <w:rFonts w:hint="default"/>
        <w:lang w:val="en-GB" w:eastAsia="en-GB" w:bidi="en-GB"/>
      </w:rPr>
    </w:lvl>
    <w:lvl w:ilvl="6" w:tplc="4E881B18">
      <w:numFmt w:val="bullet"/>
      <w:lvlText w:val="•"/>
      <w:lvlJc w:val="left"/>
      <w:pPr>
        <w:ind w:left="2563" w:hanging="217"/>
      </w:pPr>
      <w:rPr>
        <w:rFonts w:hint="default"/>
        <w:lang w:val="en-GB" w:eastAsia="en-GB" w:bidi="en-GB"/>
      </w:rPr>
    </w:lvl>
    <w:lvl w:ilvl="7" w:tplc="C0FE6756">
      <w:numFmt w:val="bullet"/>
      <w:lvlText w:val="•"/>
      <w:lvlJc w:val="left"/>
      <w:pPr>
        <w:ind w:left="2940" w:hanging="217"/>
      </w:pPr>
      <w:rPr>
        <w:rFonts w:hint="default"/>
        <w:lang w:val="en-GB" w:eastAsia="en-GB" w:bidi="en-GB"/>
      </w:rPr>
    </w:lvl>
    <w:lvl w:ilvl="8" w:tplc="BDEEF23C">
      <w:numFmt w:val="bullet"/>
      <w:lvlText w:val="•"/>
      <w:lvlJc w:val="left"/>
      <w:pPr>
        <w:ind w:left="3317" w:hanging="217"/>
      </w:pPr>
      <w:rPr>
        <w:rFonts w:hint="default"/>
        <w:lang w:val="en-GB" w:eastAsia="en-GB" w:bidi="en-GB"/>
      </w:rPr>
    </w:lvl>
  </w:abstractNum>
  <w:abstractNum w:abstractNumId="438" w15:restartNumberingAfterBreak="0">
    <w:nsid w:val="289D3C8A"/>
    <w:multiLevelType w:val="hybridMultilevel"/>
    <w:tmpl w:val="643A5E6A"/>
    <w:lvl w:ilvl="0" w:tplc="62F27A1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458C036">
      <w:numFmt w:val="bullet"/>
      <w:lvlText w:val="•"/>
      <w:lvlJc w:val="left"/>
      <w:pPr>
        <w:ind w:left="439" w:hanging="217"/>
      </w:pPr>
      <w:rPr>
        <w:rFonts w:hint="default"/>
        <w:lang w:val="en-GB" w:eastAsia="en-GB" w:bidi="en-GB"/>
      </w:rPr>
    </w:lvl>
    <w:lvl w:ilvl="2" w:tplc="797277A6">
      <w:numFmt w:val="bullet"/>
      <w:lvlText w:val="•"/>
      <w:lvlJc w:val="left"/>
      <w:pPr>
        <w:ind w:left="578" w:hanging="217"/>
      </w:pPr>
      <w:rPr>
        <w:rFonts w:hint="default"/>
        <w:lang w:val="en-GB" w:eastAsia="en-GB" w:bidi="en-GB"/>
      </w:rPr>
    </w:lvl>
    <w:lvl w:ilvl="3" w:tplc="B128C398">
      <w:numFmt w:val="bullet"/>
      <w:lvlText w:val="•"/>
      <w:lvlJc w:val="left"/>
      <w:pPr>
        <w:ind w:left="717" w:hanging="217"/>
      </w:pPr>
      <w:rPr>
        <w:rFonts w:hint="default"/>
        <w:lang w:val="en-GB" w:eastAsia="en-GB" w:bidi="en-GB"/>
      </w:rPr>
    </w:lvl>
    <w:lvl w:ilvl="4" w:tplc="5726B044">
      <w:numFmt w:val="bullet"/>
      <w:lvlText w:val="•"/>
      <w:lvlJc w:val="left"/>
      <w:pPr>
        <w:ind w:left="856" w:hanging="217"/>
      </w:pPr>
      <w:rPr>
        <w:rFonts w:hint="default"/>
        <w:lang w:val="en-GB" w:eastAsia="en-GB" w:bidi="en-GB"/>
      </w:rPr>
    </w:lvl>
    <w:lvl w:ilvl="5" w:tplc="B2D8BE2E">
      <w:numFmt w:val="bullet"/>
      <w:lvlText w:val="•"/>
      <w:lvlJc w:val="left"/>
      <w:pPr>
        <w:ind w:left="995" w:hanging="217"/>
      </w:pPr>
      <w:rPr>
        <w:rFonts w:hint="default"/>
        <w:lang w:val="en-GB" w:eastAsia="en-GB" w:bidi="en-GB"/>
      </w:rPr>
    </w:lvl>
    <w:lvl w:ilvl="6" w:tplc="A0A44FB0">
      <w:numFmt w:val="bullet"/>
      <w:lvlText w:val="•"/>
      <w:lvlJc w:val="left"/>
      <w:pPr>
        <w:ind w:left="1134" w:hanging="217"/>
      </w:pPr>
      <w:rPr>
        <w:rFonts w:hint="default"/>
        <w:lang w:val="en-GB" w:eastAsia="en-GB" w:bidi="en-GB"/>
      </w:rPr>
    </w:lvl>
    <w:lvl w:ilvl="7" w:tplc="A5B0D082">
      <w:numFmt w:val="bullet"/>
      <w:lvlText w:val="•"/>
      <w:lvlJc w:val="left"/>
      <w:pPr>
        <w:ind w:left="1273" w:hanging="217"/>
      </w:pPr>
      <w:rPr>
        <w:rFonts w:hint="default"/>
        <w:lang w:val="en-GB" w:eastAsia="en-GB" w:bidi="en-GB"/>
      </w:rPr>
    </w:lvl>
    <w:lvl w:ilvl="8" w:tplc="C816691C">
      <w:numFmt w:val="bullet"/>
      <w:lvlText w:val="•"/>
      <w:lvlJc w:val="left"/>
      <w:pPr>
        <w:ind w:left="1412" w:hanging="217"/>
      </w:pPr>
      <w:rPr>
        <w:rFonts w:hint="default"/>
        <w:lang w:val="en-GB" w:eastAsia="en-GB" w:bidi="en-GB"/>
      </w:rPr>
    </w:lvl>
  </w:abstractNum>
  <w:abstractNum w:abstractNumId="439" w15:restartNumberingAfterBreak="0">
    <w:nsid w:val="289F1EF9"/>
    <w:multiLevelType w:val="hybridMultilevel"/>
    <w:tmpl w:val="E8F817EA"/>
    <w:lvl w:ilvl="0" w:tplc="F1B419B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D94E506">
      <w:numFmt w:val="bullet"/>
      <w:lvlText w:val="•"/>
      <w:lvlJc w:val="left"/>
      <w:pPr>
        <w:ind w:left="892" w:hanging="217"/>
      </w:pPr>
      <w:rPr>
        <w:rFonts w:hint="default"/>
        <w:lang w:val="en-GB" w:eastAsia="en-GB" w:bidi="en-GB"/>
      </w:rPr>
    </w:lvl>
    <w:lvl w:ilvl="2" w:tplc="C4244860">
      <w:numFmt w:val="bullet"/>
      <w:lvlText w:val="•"/>
      <w:lvlJc w:val="left"/>
      <w:pPr>
        <w:ind w:left="1485" w:hanging="217"/>
      </w:pPr>
      <w:rPr>
        <w:rFonts w:hint="default"/>
        <w:lang w:val="en-GB" w:eastAsia="en-GB" w:bidi="en-GB"/>
      </w:rPr>
    </w:lvl>
    <w:lvl w:ilvl="3" w:tplc="EE8ADE5E">
      <w:numFmt w:val="bullet"/>
      <w:lvlText w:val="•"/>
      <w:lvlJc w:val="left"/>
      <w:pPr>
        <w:ind w:left="2077" w:hanging="217"/>
      </w:pPr>
      <w:rPr>
        <w:rFonts w:hint="default"/>
        <w:lang w:val="en-GB" w:eastAsia="en-GB" w:bidi="en-GB"/>
      </w:rPr>
    </w:lvl>
    <w:lvl w:ilvl="4" w:tplc="7952C6A8">
      <w:numFmt w:val="bullet"/>
      <w:lvlText w:val="•"/>
      <w:lvlJc w:val="left"/>
      <w:pPr>
        <w:ind w:left="2670" w:hanging="217"/>
      </w:pPr>
      <w:rPr>
        <w:rFonts w:hint="default"/>
        <w:lang w:val="en-GB" w:eastAsia="en-GB" w:bidi="en-GB"/>
      </w:rPr>
    </w:lvl>
    <w:lvl w:ilvl="5" w:tplc="8DCA12F2">
      <w:numFmt w:val="bullet"/>
      <w:lvlText w:val="•"/>
      <w:lvlJc w:val="left"/>
      <w:pPr>
        <w:ind w:left="3263" w:hanging="217"/>
      </w:pPr>
      <w:rPr>
        <w:rFonts w:hint="default"/>
        <w:lang w:val="en-GB" w:eastAsia="en-GB" w:bidi="en-GB"/>
      </w:rPr>
    </w:lvl>
    <w:lvl w:ilvl="6" w:tplc="3C6C4B00">
      <w:numFmt w:val="bullet"/>
      <w:lvlText w:val="•"/>
      <w:lvlJc w:val="left"/>
      <w:pPr>
        <w:ind w:left="3855" w:hanging="217"/>
      </w:pPr>
      <w:rPr>
        <w:rFonts w:hint="default"/>
        <w:lang w:val="en-GB" w:eastAsia="en-GB" w:bidi="en-GB"/>
      </w:rPr>
    </w:lvl>
    <w:lvl w:ilvl="7" w:tplc="BFD833EE">
      <w:numFmt w:val="bullet"/>
      <w:lvlText w:val="•"/>
      <w:lvlJc w:val="left"/>
      <w:pPr>
        <w:ind w:left="4448" w:hanging="217"/>
      </w:pPr>
      <w:rPr>
        <w:rFonts w:hint="default"/>
        <w:lang w:val="en-GB" w:eastAsia="en-GB" w:bidi="en-GB"/>
      </w:rPr>
    </w:lvl>
    <w:lvl w:ilvl="8" w:tplc="B6CAFC80">
      <w:numFmt w:val="bullet"/>
      <w:lvlText w:val="•"/>
      <w:lvlJc w:val="left"/>
      <w:pPr>
        <w:ind w:left="5040" w:hanging="217"/>
      </w:pPr>
      <w:rPr>
        <w:rFonts w:hint="default"/>
        <w:lang w:val="en-GB" w:eastAsia="en-GB" w:bidi="en-GB"/>
      </w:rPr>
    </w:lvl>
  </w:abstractNum>
  <w:abstractNum w:abstractNumId="440" w15:restartNumberingAfterBreak="0">
    <w:nsid w:val="28B67E1D"/>
    <w:multiLevelType w:val="hybridMultilevel"/>
    <w:tmpl w:val="DD3258A0"/>
    <w:lvl w:ilvl="0" w:tplc="4AC4A14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E724137C">
      <w:numFmt w:val="bullet"/>
      <w:lvlText w:val="•"/>
      <w:lvlJc w:val="left"/>
      <w:pPr>
        <w:ind w:left="892" w:hanging="217"/>
      </w:pPr>
      <w:rPr>
        <w:rFonts w:hint="default"/>
        <w:lang w:val="en-GB" w:eastAsia="en-GB" w:bidi="en-GB"/>
      </w:rPr>
    </w:lvl>
    <w:lvl w:ilvl="2" w:tplc="C044A100">
      <w:numFmt w:val="bullet"/>
      <w:lvlText w:val="•"/>
      <w:lvlJc w:val="left"/>
      <w:pPr>
        <w:ind w:left="1485" w:hanging="217"/>
      </w:pPr>
      <w:rPr>
        <w:rFonts w:hint="default"/>
        <w:lang w:val="en-GB" w:eastAsia="en-GB" w:bidi="en-GB"/>
      </w:rPr>
    </w:lvl>
    <w:lvl w:ilvl="3" w:tplc="2570B2C2">
      <w:numFmt w:val="bullet"/>
      <w:lvlText w:val="•"/>
      <w:lvlJc w:val="left"/>
      <w:pPr>
        <w:ind w:left="2077" w:hanging="217"/>
      </w:pPr>
      <w:rPr>
        <w:rFonts w:hint="default"/>
        <w:lang w:val="en-GB" w:eastAsia="en-GB" w:bidi="en-GB"/>
      </w:rPr>
    </w:lvl>
    <w:lvl w:ilvl="4" w:tplc="5F1E7678">
      <w:numFmt w:val="bullet"/>
      <w:lvlText w:val="•"/>
      <w:lvlJc w:val="left"/>
      <w:pPr>
        <w:ind w:left="2670" w:hanging="217"/>
      </w:pPr>
      <w:rPr>
        <w:rFonts w:hint="default"/>
        <w:lang w:val="en-GB" w:eastAsia="en-GB" w:bidi="en-GB"/>
      </w:rPr>
    </w:lvl>
    <w:lvl w:ilvl="5" w:tplc="58EE015C">
      <w:numFmt w:val="bullet"/>
      <w:lvlText w:val="•"/>
      <w:lvlJc w:val="left"/>
      <w:pPr>
        <w:ind w:left="3263" w:hanging="217"/>
      </w:pPr>
      <w:rPr>
        <w:rFonts w:hint="default"/>
        <w:lang w:val="en-GB" w:eastAsia="en-GB" w:bidi="en-GB"/>
      </w:rPr>
    </w:lvl>
    <w:lvl w:ilvl="6" w:tplc="A68CD91A">
      <w:numFmt w:val="bullet"/>
      <w:lvlText w:val="•"/>
      <w:lvlJc w:val="left"/>
      <w:pPr>
        <w:ind w:left="3855" w:hanging="217"/>
      </w:pPr>
      <w:rPr>
        <w:rFonts w:hint="default"/>
        <w:lang w:val="en-GB" w:eastAsia="en-GB" w:bidi="en-GB"/>
      </w:rPr>
    </w:lvl>
    <w:lvl w:ilvl="7" w:tplc="52B2FC9A">
      <w:numFmt w:val="bullet"/>
      <w:lvlText w:val="•"/>
      <w:lvlJc w:val="left"/>
      <w:pPr>
        <w:ind w:left="4448" w:hanging="217"/>
      </w:pPr>
      <w:rPr>
        <w:rFonts w:hint="default"/>
        <w:lang w:val="en-GB" w:eastAsia="en-GB" w:bidi="en-GB"/>
      </w:rPr>
    </w:lvl>
    <w:lvl w:ilvl="8" w:tplc="36F6D6CA">
      <w:numFmt w:val="bullet"/>
      <w:lvlText w:val="•"/>
      <w:lvlJc w:val="left"/>
      <w:pPr>
        <w:ind w:left="5040" w:hanging="217"/>
      </w:pPr>
      <w:rPr>
        <w:rFonts w:hint="default"/>
        <w:lang w:val="en-GB" w:eastAsia="en-GB" w:bidi="en-GB"/>
      </w:rPr>
    </w:lvl>
  </w:abstractNum>
  <w:abstractNum w:abstractNumId="441" w15:restartNumberingAfterBreak="0">
    <w:nsid w:val="28E47571"/>
    <w:multiLevelType w:val="hybridMultilevel"/>
    <w:tmpl w:val="80C81526"/>
    <w:lvl w:ilvl="0" w:tplc="CE7AD33E">
      <w:numFmt w:val="bullet"/>
      <w:lvlText w:val="•"/>
      <w:lvlJc w:val="left"/>
      <w:pPr>
        <w:ind w:left="307" w:hanging="217"/>
      </w:pPr>
      <w:rPr>
        <w:rFonts w:ascii="Arial" w:eastAsia="Arial" w:hAnsi="Arial" w:cs="Arial" w:hint="default"/>
        <w:color w:val="231F20"/>
        <w:spacing w:val="-7"/>
        <w:w w:val="100"/>
        <w:sz w:val="18"/>
        <w:szCs w:val="18"/>
        <w:lang w:val="en-GB" w:eastAsia="en-GB" w:bidi="en-GB"/>
      </w:rPr>
    </w:lvl>
    <w:lvl w:ilvl="1" w:tplc="6C686684">
      <w:numFmt w:val="bullet"/>
      <w:lvlText w:val="•"/>
      <w:lvlJc w:val="left"/>
      <w:pPr>
        <w:ind w:left="444" w:hanging="217"/>
      </w:pPr>
      <w:rPr>
        <w:rFonts w:hint="default"/>
        <w:lang w:val="en-GB" w:eastAsia="en-GB" w:bidi="en-GB"/>
      </w:rPr>
    </w:lvl>
    <w:lvl w:ilvl="2" w:tplc="4178EFAC">
      <w:numFmt w:val="bullet"/>
      <w:lvlText w:val="•"/>
      <w:lvlJc w:val="left"/>
      <w:pPr>
        <w:ind w:left="589" w:hanging="217"/>
      </w:pPr>
      <w:rPr>
        <w:rFonts w:hint="default"/>
        <w:lang w:val="en-GB" w:eastAsia="en-GB" w:bidi="en-GB"/>
      </w:rPr>
    </w:lvl>
    <w:lvl w:ilvl="3" w:tplc="5EBCBF5A">
      <w:numFmt w:val="bullet"/>
      <w:lvlText w:val="•"/>
      <w:lvlJc w:val="left"/>
      <w:pPr>
        <w:ind w:left="734" w:hanging="217"/>
      </w:pPr>
      <w:rPr>
        <w:rFonts w:hint="default"/>
        <w:lang w:val="en-GB" w:eastAsia="en-GB" w:bidi="en-GB"/>
      </w:rPr>
    </w:lvl>
    <w:lvl w:ilvl="4" w:tplc="7C8C9534">
      <w:numFmt w:val="bullet"/>
      <w:lvlText w:val="•"/>
      <w:lvlJc w:val="left"/>
      <w:pPr>
        <w:ind w:left="878" w:hanging="217"/>
      </w:pPr>
      <w:rPr>
        <w:rFonts w:hint="default"/>
        <w:lang w:val="en-GB" w:eastAsia="en-GB" w:bidi="en-GB"/>
      </w:rPr>
    </w:lvl>
    <w:lvl w:ilvl="5" w:tplc="922C35D8">
      <w:numFmt w:val="bullet"/>
      <w:lvlText w:val="•"/>
      <w:lvlJc w:val="left"/>
      <w:pPr>
        <w:ind w:left="1023" w:hanging="217"/>
      </w:pPr>
      <w:rPr>
        <w:rFonts w:hint="default"/>
        <w:lang w:val="en-GB" w:eastAsia="en-GB" w:bidi="en-GB"/>
      </w:rPr>
    </w:lvl>
    <w:lvl w:ilvl="6" w:tplc="13DC3E96">
      <w:numFmt w:val="bullet"/>
      <w:lvlText w:val="•"/>
      <w:lvlJc w:val="left"/>
      <w:pPr>
        <w:ind w:left="1168" w:hanging="217"/>
      </w:pPr>
      <w:rPr>
        <w:rFonts w:hint="default"/>
        <w:lang w:val="en-GB" w:eastAsia="en-GB" w:bidi="en-GB"/>
      </w:rPr>
    </w:lvl>
    <w:lvl w:ilvl="7" w:tplc="7EDEAF5C">
      <w:numFmt w:val="bullet"/>
      <w:lvlText w:val="•"/>
      <w:lvlJc w:val="left"/>
      <w:pPr>
        <w:ind w:left="1312" w:hanging="217"/>
      </w:pPr>
      <w:rPr>
        <w:rFonts w:hint="default"/>
        <w:lang w:val="en-GB" w:eastAsia="en-GB" w:bidi="en-GB"/>
      </w:rPr>
    </w:lvl>
    <w:lvl w:ilvl="8" w:tplc="F78C47E8">
      <w:numFmt w:val="bullet"/>
      <w:lvlText w:val="•"/>
      <w:lvlJc w:val="left"/>
      <w:pPr>
        <w:ind w:left="1457" w:hanging="217"/>
      </w:pPr>
      <w:rPr>
        <w:rFonts w:hint="default"/>
        <w:lang w:val="en-GB" w:eastAsia="en-GB" w:bidi="en-GB"/>
      </w:rPr>
    </w:lvl>
  </w:abstractNum>
  <w:abstractNum w:abstractNumId="442" w15:restartNumberingAfterBreak="0">
    <w:nsid w:val="28E47C44"/>
    <w:multiLevelType w:val="hybridMultilevel"/>
    <w:tmpl w:val="1DA0C7E6"/>
    <w:lvl w:ilvl="0" w:tplc="58D68ED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FC2CC430">
      <w:numFmt w:val="bullet"/>
      <w:lvlText w:val="•"/>
      <w:lvlJc w:val="left"/>
      <w:pPr>
        <w:ind w:left="473" w:hanging="217"/>
      </w:pPr>
      <w:rPr>
        <w:rFonts w:hint="default"/>
        <w:lang w:val="en-GB" w:eastAsia="en-GB" w:bidi="en-GB"/>
      </w:rPr>
    </w:lvl>
    <w:lvl w:ilvl="2" w:tplc="DE7AB37C">
      <w:numFmt w:val="bullet"/>
      <w:lvlText w:val="•"/>
      <w:lvlJc w:val="left"/>
      <w:pPr>
        <w:ind w:left="646" w:hanging="217"/>
      </w:pPr>
      <w:rPr>
        <w:rFonts w:hint="default"/>
        <w:lang w:val="en-GB" w:eastAsia="en-GB" w:bidi="en-GB"/>
      </w:rPr>
    </w:lvl>
    <w:lvl w:ilvl="3" w:tplc="23FAAE70">
      <w:numFmt w:val="bullet"/>
      <w:lvlText w:val="•"/>
      <w:lvlJc w:val="left"/>
      <w:pPr>
        <w:ind w:left="819" w:hanging="217"/>
      </w:pPr>
      <w:rPr>
        <w:rFonts w:hint="default"/>
        <w:lang w:val="en-GB" w:eastAsia="en-GB" w:bidi="en-GB"/>
      </w:rPr>
    </w:lvl>
    <w:lvl w:ilvl="4" w:tplc="9D3ECA6E">
      <w:numFmt w:val="bullet"/>
      <w:lvlText w:val="•"/>
      <w:lvlJc w:val="left"/>
      <w:pPr>
        <w:ind w:left="992" w:hanging="217"/>
      </w:pPr>
      <w:rPr>
        <w:rFonts w:hint="default"/>
        <w:lang w:val="en-GB" w:eastAsia="en-GB" w:bidi="en-GB"/>
      </w:rPr>
    </w:lvl>
    <w:lvl w:ilvl="5" w:tplc="5516A7AA">
      <w:numFmt w:val="bullet"/>
      <w:lvlText w:val="•"/>
      <w:lvlJc w:val="left"/>
      <w:pPr>
        <w:ind w:left="1165" w:hanging="217"/>
      </w:pPr>
      <w:rPr>
        <w:rFonts w:hint="default"/>
        <w:lang w:val="en-GB" w:eastAsia="en-GB" w:bidi="en-GB"/>
      </w:rPr>
    </w:lvl>
    <w:lvl w:ilvl="6" w:tplc="D6760E18">
      <w:numFmt w:val="bullet"/>
      <w:lvlText w:val="•"/>
      <w:lvlJc w:val="left"/>
      <w:pPr>
        <w:ind w:left="1338" w:hanging="217"/>
      </w:pPr>
      <w:rPr>
        <w:rFonts w:hint="default"/>
        <w:lang w:val="en-GB" w:eastAsia="en-GB" w:bidi="en-GB"/>
      </w:rPr>
    </w:lvl>
    <w:lvl w:ilvl="7" w:tplc="30161462">
      <w:numFmt w:val="bullet"/>
      <w:lvlText w:val="•"/>
      <w:lvlJc w:val="left"/>
      <w:pPr>
        <w:ind w:left="1511" w:hanging="217"/>
      </w:pPr>
      <w:rPr>
        <w:rFonts w:hint="default"/>
        <w:lang w:val="en-GB" w:eastAsia="en-GB" w:bidi="en-GB"/>
      </w:rPr>
    </w:lvl>
    <w:lvl w:ilvl="8" w:tplc="31923DB2">
      <w:numFmt w:val="bullet"/>
      <w:lvlText w:val="•"/>
      <w:lvlJc w:val="left"/>
      <w:pPr>
        <w:ind w:left="1684" w:hanging="217"/>
      </w:pPr>
      <w:rPr>
        <w:rFonts w:hint="default"/>
        <w:lang w:val="en-GB" w:eastAsia="en-GB" w:bidi="en-GB"/>
      </w:rPr>
    </w:lvl>
  </w:abstractNum>
  <w:abstractNum w:abstractNumId="443" w15:restartNumberingAfterBreak="0">
    <w:nsid w:val="29096D85"/>
    <w:multiLevelType w:val="hybridMultilevel"/>
    <w:tmpl w:val="CE9E10E6"/>
    <w:lvl w:ilvl="0" w:tplc="C5083732">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E2849B96">
      <w:numFmt w:val="bullet"/>
      <w:lvlText w:val="•"/>
      <w:lvlJc w:val="left"/>
      <w:pPr>
        <w:ind w:left="473" w:hanging="217"/>
      </w:pPr>
      <w:rPr>
        <w:rFonts w:hint="default"/>
        <w:lang w:val="en-GB" w:eastAsia="en-GB" w:bidi="en-GB"/>
      </w:rPr>
    </w:lvl>
    <w:lvl w:ilvl="2" w:tplc="4C48EB56">
      <w:numFmt w:val="bullet"/>
      <w:lvlText w:val="•"/>
      <w:lvlJc w:val="left"/>
      <w:pPr>
        <w:ind w:left="646" w:hanging="217"/>
      </w:pPr>
      <w:rPr>
        <w:rFonts w:hint="default"/>
        <w:lang w:val="en-GB" w:eastAsia="en-GB" w:bidi="en-GB"/>
      </w:rPr>
    </w:lvl>
    <w:lvl w:ilvl="3" w:tplc="C248F128">
      <w:numFmt w:val="bullet"/>
      <w:lvlText w:val="•"/>
      <w:lvlJc w:val="left"/>
      <w:pPr>
        <w:ind w:left="819" w:hanging="217"/>
      </w:pPr>
      <w:rPr>
        <w:rFonts w:hint="default"/>
        <w:lang w:val="en-GB" w:eastAsia="en-GB" w:bidi="en-GB"/>
      </w:rPr>
    </w:lvl>
    <w:lvl w:ilvl="4" w:tplc="2AA211A8">
      <w:numFmt w:val="bullet"/>
      <w:lvlText w:val="•"/>
      <w:lvlJc w:val="left"/>
      <w:pPr>
        <w:ind w:left="992" w:hanging="217"/>
      </w:pPr>
      <w:rPr>
        <w:rFonts w:hint="default"/>
        <w:lang w:val="en-GB" w:eastAsia="en-GB" w:bidi="en-GB"/>
      </w:rPr>
    </w:lvl>
    <w:lvl w:ilvl="5" w:tplc="C9B008DE">
      <w:numFmt w:val="bullet"/>
      <w:lvlText w:val="•"/>
      <w:lvlJc w:val="left"/>
      <w:pPr>
        <w:ind w:left="1165" w:hanging="217"/>
      </w:pPr>
      <w:rPr>
        <w:rFonts w:hint="default"/>
        <w:lang w:val="en-GB" w:eastAsia="en-GB" w:bidi="en-GB"/>
      </w:rPr>
    </w:lvl>
    <w:lvl w:ilvl="6" w:tplc="A4B2DD58">
      <w:numFmt w:val="bullet"/>
      <w:lvlText w:val="•"/>
      <w:lvlJc w:val="left"/>
      <w:pPr>
        <w:ind w:left="1338" w:hanging="217"/>
      </w:pPr>
      <w:rPr>
        <w:rFonts w:hint="default"/>
        <w:lang w:val="en-GB" w:eastAsia="en-GB" w:bidi="en-GB"/>
      </w:rPr>
    </w:lvl>
    <w:lvl w:ilvl="7" w:tplc="FFE80E9A">
      <w:numFmt w:val="bullet"/>
      <w:lvlText w:val="•"/>
      <w:lvlJc w:val="left"/>
      <w:pPr>
        <w:ind w:left="1511" w:hanging="217"/>
      </w:pPr>
      <w:rPr>
        <w:rFonts w:hint="default"/>
        <w:lang w:val="en-GB" w:eastAsia="en-GB" w:bidi="en-GB"/>
      </w:rPr>
    </w:lvl>
    <w:lvl w:ilvl="8" w:tplc="9ECA5A82">
      <w:numFmt w:val="bullet"/>
      <w:lvlText w:val="•"/>
      <w:lvlJc w:val="left"/>
      <w:pPr>
        <w:ind w:left="1684" w:hanging="217"/>
      </w:pPr>
      <w:rPr>
        <w:rFonts w:hint="default"/>
        <w:lang w:val="en-GB" w:eastAsia="en-GB" w:bidi="en-GB"/>
      </w:rPr>
    </w:lvl>
  </w:abstractNum>
  <w:abstractNum w:abstractNumId="444" w15:restartNumberingAfterBreak="0">
    <w:nsid w:val="2918378D"/>
    <w:multiLevelType w:val="hybridMultilevel"/>
    <w:tmpl w:val="D65AE86E"/>
    <w:lvl w:ilvl="0" w:tplc="89A87BD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8167EF8">
      <w:numFmt w:val="bullet"/>
      <w:lvlText w:val="•"/>
      <w:lvlJc w:val="left"/>
      <w:pPr>
        <w:ind w:left="473" w:hanging="217"/>
      </w:pPr>
      <w:rPr>
        <w:rFonts w:hint="default"/>
        <w:lang w:val="en-GB" w:eastAsia="en-GB" w:bidi="en-GB"/>
      </w:rPr>
    </w:lvl>
    <w:lvl w:ilvl="2" w:tplc="52841F56">
      <w:numFmt w:val="bullet"/>
      <w:lvlText w:val="•"/>
      <w:lvlJc w:val="left"/>
      <w:pPr>
        <w:ind w:left="646" w:hanging="217"/>
      </w:pPr>
      <w:rPr>
        <w:rFonts w:hint="default"/>
        <w:lang w:val="en-GB" w:eastAsia="en-GB" w:bidi="en-GB"/>
      </w:rPr>
    </w:lvl>
    <w:lvl w:ilvl="3" w:tplc="9BDCB5BC">
      <w:numFmt w:val="bullet"/>
      <w:lvlText w:val="•"/>
      <w:lvlJc w:val="left"/>
      <w:pPr>
        <w:ind w:left="819" w:hanging="217"/>
      </w:pPr>
      <w:rPr>
        <w:rFonts w:hint="default"/>
        <w:lang w:val="en-GB" w:eastAsia="en-GB" w:bidi="en-GB"/>
      </w:rPr>
    </w:lvl>
    <w:lvl w:ilvl="4" w:tplc="9618A5A0">
      <w:numFmt w:val="bullet"/>
      <w:lvlText w:val="•"/>
      <w:lvlJc w:val="left"/>
      <w:pPr>
        <w:ind w:left="992" w:hanging="217"/>
      </w:pPr>
      <w:rPr>
        <w:rFonts w:hint="default"/>
        <w:lang w:val="en-GB" w:eastAsia="en-GB" w:bidi="en-GB"/>
      </w:rPr>
    </w:lvl>
    <w:lvl w:ilvl="5" w:tplc="966EA042">
      <w:numFmt w:val="bullet"/>
      <w:lvlText w:val="•"/>
      <w:lvlJc w:val="left"/>
      <w:pPr>
        <w:ind w:left="1165" w:hanging="217"/>
      </w:pPr>
      <w:rPr>
        <w:rFonts w:hint="default"/>
        <w:lang w:val="en-GB" w:eastAsia="en-GB" w:bidi="en-GB"/>
      </w:rPr>
    </w:lvl>
    <w:lvl w:ilvl="6" w:tplc="7054C93A">
      <w:numFmt w:val="bullet"/>
      <w:lvlText w:val="•"/>
      <w:lvlJc w:val="left"/>
      <w:pPr>
        <w:ind w:left="1338" w:hanging="217"/>
      </w:pPr>
      <w:rPr>
        <w:rFonts w:hint="default"/>
        <w:lang w:val="en-GB" w:eastAsia="en-GB" w:bidi="en-GB"/>
      </w:rPr>
    </w:lvl>
    <w:lvl w:ilvl="7" w:tplc="520CF96A">
      <w:numFmt w:val="bullet"/>
      <w:lvlText w:val="•"/>
      <w:lvlJc w:val="left"/>
      <w:pPr>
        <w:ind w:left="1511" w:hanging="217"/>
      </w:pPr>
      <w:rPr>
        <w:rFonts w:hint="default"/>
        <w:lang w:val="en-GB" w:eastAsia="en-GB" w:bidi="en-GB"/>
      </w:rPr>
    </w:lvl>
    <w:lvl w:ilvl="8" w:tplc="E3BAF9DE">
      <w:numFmt w:val="bullet"/>
      <w:lvlText w:val="•"/>
      <w:lvlJc w:val="left"/>
      <w:pPr>
        <w:ind w:left="1684" w:hanging="217"/>
      </w:pPr>
      <w:rPr>
        <w:rFonts w:hint="default"/>
        <w:lang w:val="en-GB" w:eastAsia="en-GB" w:bidi="en-GB"/>
      </w:rPr>
    </w:lvl>
  </w:abstractNum>
  <w:abstractNum w:abstractNumId="445" w15:restartNumberingAfterBreak="0">
    <w:nsid w:val="29667441"/>
    <w:multiLevelType w:val="hybridMultilevel"/>
    <w:tmpl w:val="89E21406"/>
    <w:lvl w:ilvl="0" w:tplc="8C424AD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974A86A">
      <w:numFmt w:val="bullet"/>
      <w:lvlText w:val="•"/>
      <w:lvlJc w:val="left"/>
      <w:pPr>
        <w:ind w:left="473" w:hanging="217"/>
      </w:pPr>
      <w:rPr>
        <w:rFonts w:hint="default"/>
        <w:lang w:val="en-GB" w:eastAsia="en-GB" w:bidi="en-GB"/>
      </w:rPr>
    </w:lvl>
    <w:lvl w:ilvl="2" w:tplc="6584E48C">
      <w:numFmt w:val="bullet"/>
      <w:lvlText w:val="•"/>
      <w:lvlJc w:val="left"/>
      <w:pPr>
        <w:ind w:left="646" w:hanging="217"/>
      </w:pPr>
      <w:rPr>
        <w:rFonts w:hint="default"/>
        <w:lang w:val="en-GB" w:eastAsia="en-GB" w:bidi="en-GB"/>
      </w:rPr>
    </w:lvl>
    <w:lvl w:ilvl="3" w:tplc="8BA6041C">
      <w:numFmt w:val="bullet"/>
      <w:lvlText w:val="•"/>
      <w:lvlJc w:val="left"/>
      <w:pPr>
        <w:ind w:left="819" w:hanging="217"/>
      </w:pPr>
      <w:rPr>
        <w:rFonts w:hint="default"/>
        <w:lang w:val="en-GB" w:eastAsia="en-GB" w:bidi="en-GB"/>
      </w:rPr>
    </w:lvl>
    <w:lvl w:ilvl="4" w:tplc="F63852A0">
      <w:numFmt w:val="bullet"/>
      <w:lvlText w:val="•"/>
      <w:lvlJc w:val="left"/>
      <w:pPr>
        <w:ind w:left="992" w:hanging="217"/>
      </w:pPr>
      <w:rPr>
        <w:rFonts w:hint="default"/>
        <w:lang w:val="en-GB" w:eastAsia="en-GB" w:bidi="en-GB"/>
      </w:rPr>
    </w:lvl>
    <w:lvl w:ilvl="5" w:tplc="2E4C7F12">
      <w:numFmt w:val="bullet"/>
      <w:lvlText w:val="•"/>
      <w:lvlJc w:val="left"/>
      <w:pPr>
        <w:ind w:left="1165" w:hanging="217"/>
      </w:pPr>
      <w:rPr>
        <w:rFonts w:hint="default"/>
        <w:lang w:val="en-GB" w:eastAsia="en-GB" w:bidi="en-GB"/>
      </w:rPr>
    </w:lvl>
    <w:lvl w:ilvl="6" w:tplc="6E808348">
      <w:numFmt w:val="bullet"/>
      <w:lvlText w:val="•"/>
      <w:lvlJc w:val="left"/>
      <w:pPr>
        <w:ind w:left="1338" w:hanging="217"/>
      </w:pPr>
      <w:rPr>
        <w:rFonts w:hint="default"/>
        <w:lang w:val="en-GB" w:eastAsia="en-GB" w:bidi="en-GB"/>
      </w:rPr>
    </w:lvl>
    <w:lvl w:ilvl="7" w:tplc="F38A83C8">
      <w:numFmt w:val="bullet"/>
      <w:lvlText w:val="•"/>
      <w:lvlJc w:val="left"/>
      <w:pPr>
        <w:ind w:left="1511" w:hanging="217"/>
      </w:pPr>
      <w:rPr>
        <w:rFonts w:hint="default"/>
        <w:lang w:val="en-GB" w:eastAsia="en-GB" w:bidi="en-GB"/>
      </w:rPr>
    </w:lvl>
    <w:lvl w:ilvl="8" w:tplc="1F1268E2">
      <w:numFmt w:val="bullet"/>
      <w:lvlText w:val="•"/>
      <w:lvlJc w:val="left"/>
      <w:pPr>
        <w:ind w:left="1684" w:hanging="217"/>
      </w:pPr>
      <w:rPr>
        <w:rFonts w:hint="default"/>
        <w:lang w:val="en-GB" w:eastAsia="en-GB" w:bidi="en-GB"/>
      </w:rPr>
    </w:lvl>
  </w:abstractNum>
  <w:abstractNum w:abstractNumId="446" w15:restartNumberingAfterBreak="0">
    <w:nsid w:val="29734E89"/>
    <w:multiLevelType w:val="hybridMultilevel"/>
    <w:tmpl w:val="2BBE9BEE"/>
    <w:lvl w:ilvl="0" w:tplc="69E4EE82">
      <w:numFmt w:val="bullet"/>
      <w:lvlText w:val="•"/>
      <w:lvlJc w:val="left"/>
      <w:pPr>
        <w:ind w:left="303" w:hanging="217"/>
      </w:pPr>
      <w:rPr>
        <w:rFonts w:ascii="Arial" w:eastAsia="Arial" w:hAnsi="Arial" w:cs="Arial" w:hint="default"/>
        <w:color w:val="231F20"/>
        <w:w w:val="102"/>
        <w:sz w:val="17"/>
        <w:szCs w:val="17"/>
        <w:lang w:val="en-GB" w:eastAsia="en-GB" w:bidi="en-GB"/>
      </w:rPr>
    </w:lvl>
    <w:lvl w:ilvl="1" w:tplc="B592373E">
      <w:numFmt w:val="bullet"/>
      <w:lvlText w:val="•"/>
      <w:lvlJc w:val="left"/>
      <w:pPr>
        <w:ind w:left="439" w:hanging="217"/>
      </w:pPr>
      <w:rPr>
        <w:rFonts w:hint="default"/>
        <w:lang w:val="en-GB" w:eastAsia="en-GB" w:bidi="en-GB"/>
      </w:rPr>
    </w:lvl>
    <w:lvl w:ilvl="2" w:tplc="C0D8A26A">
      <w:numFmt w:val="bullet"/>
      <w:lvlText w:val="•"/>
      <w:lvlJc w:val="left"/>
      <w:pPr>
        <w:ind w:left="578" w:hanging="217"/>
      </w:pPr>
      <w:rPr>
        <w:rFonts w:hint="default"/>
        <w:lang w:val="en-GB" w:eastAsia="en-GB" w:bidi="en-GB"/>
      </w:rPr>
    </w:lvl>
    <w:lvl w:ilvl="3" w:tplc="25DE3036">
      <w:numFmt w:val="bullet"/>
      <w:lvlText w:val="•"/>
      <w:lvlJc w:val="left"/>
      <w:pPr>
        <w:ind w:left="717" w:hanging="217"/>
      </w:pPr>
      <w:rPr>
        <w:rFonts w:hint="default"/>
        <w:lang w:val="en-GB" w:eastAsia="en-GB" w:bidi="en-GB"/>
      </w:rPr>
    </w:lvl>
    <w:lvl w:ilvl="4" w:tplc="F2D6A684">
      <w:numFmt w:val="bullet"/>
      <w:lvlText w:val="•"/>
      <w:lvlJc w:val="left"/>
      <w:pPr>
        <w:ind w:left="856" w:hanging="217"/>
      </w:pPr>
      <w:rPr>
        <w:rFonts w:hint="default"/>
        <w:lang w:val="en-GB" w:eastAsia="en-GB" w:bidi="en-GB"/>
      </w:rPr>
    </w:lvl>
    <w:lvl w:ilvl="5" w:tplc="C492C8CC">
      <w:numFmt w:val="bullet"/>
      <w:lvlText w:val="•"/>
      <w:lvlJc w:val="left"/>
      <w:pPr>
        <w:ind w:left="995" w:hanging="217"/>
      </w:pPr>
      <w:rPr>
        <w:rFonts w:hint="default"/>
        <w:lang w:val="en-GB" w:eastAsia="en-GB" w:bidi="en-GB"/>
      </w:rPr>
    </w:lvl>
    <w:lvl w:ilvl="6" w:tplc="B010E394">
      <w:numFmt w:val="bullet"/>
      <w:lvlText w:val="•"/>
      <w:lvlJc w:val="left"/>
      <w:pPr>
        <w:ind w:left="1134" w:hanging="217"/>
      </w:pPr>
      <w:rPr>
        <w:rFonts w:hint="default"/>
        <w:lang w:val="en-GB" w:eastAsia="en-GB" w:bidi="en-GB"/>
      </w:rPr>
    </w:lvl>
    <w:lvl w:ilvl="7" w:tplc="2DCC6C4C">
      <w:numFmt w:val="bullet"/>
      <w:lvlText w:val="•"/>
      <w:lvlJc w:val="left"/>
      <w:pPr>
        <w:ind w:left="1273" w:hanging="217"/>
      </w:pPr>
      <w:rPr>
        <w:rFonts w:hint="default"/>
        <w:lang w:val="en-GB" w:eastAsia="en-GB" w:bidi="en-GB"/>
      </w:rPr>
    </w:lvl>
    <w:lvl w:ilvl="8" w:tplc="345AF24C">
      <w:numFmt w:val="bullet"/>
      <w:lvlText w:val="•"/>
      <w:lvlJc w:val="left"/>
      <w:pPr>
        <w:ind w:left="1412" w:hanging="217"/>
      </w:pPr>
      <w:rPr>
        <w:rFonts w:hint="default"/>
        <w:lang w:val="en-GB" w:eastAsia="en-GB" w:bidi="en-GB"/>
      </w:rPr>
    </w:lvl>
  </w:abstractNum>
  <w:abstractNum w:abstractNumId="447" w15:restartNumberingAfterBreak="0">
    <w:nsid w:val="2979429E"/>
    <w:multiLevelType w:val="hybridMultilevel"/>
    <w:tmpl w:val="B5DE9426"/>
    <w:lvl w:ilvl="0" w:tplc="F5986370">
      <w:numFmt w:val="bullet"/>
      <w:lvlText w:val="•"/>
      <w:lvlJc w:val="left"/>
      <w:pPr>
        <w:ind w:left="305" w:hanging="217"/>
      </w:pPr>
      <w:rPr>
        <w:rFonts w:ascii="Arial" w:eastAsia="Arial" w:hAnsi="Arial" w:cs="Arial" w:hint="default"/>
        <w:color w:val="231F20"/>
        <w:spacing w:val="-2"/>
        <w:w w:val="100"/>
        <w:sz w:val="18"/>
        <w:szCs w:val="18"/>
        <w:lang w:val="en-GB" w:eastAsia="en-GB" w:bidi="en-GB"/>
      </w:rPr>
    </w:lvl>
    <w:lvl w:ilvl="1" w:tplc="5F4C3DE0">
      <w:numFmt w:val="bullet"/>
      <w:lvlText w:val="•"/>
      <w:lvlJc w:val="left"/>
      <w:pPr>
        <w:ind w:left="444" w:hanging="217"/>
      </w:pPr>
      <w:rPr>
        <w:rFonts w:hint="default"/>
        <w:lang w:val="en-GB" w:eastAsia="en-GB" w:bidi="en-GB"/>
      </w:rPr>
    </w:lvl>
    <w:lvl w:ilvl="2" w:tplc="1AACA366">
      <w:numFmt w:val="bullet"/>
      <w:lvlText w:val="•"/>
      <w:lvlJc w:val="left"/>
      <w:pPr>
        <w:ind w:left="589" w:hanging="217"/>
      </w:pPr>
      <w:rPr>
        <w:rFonts w:hint="default"/>
        <w:lang w:val="en-GB" w:eastAsia="en-GB" w:bidi="en-GB"/>
      </w:rPr>
    </w:lvl>
    <w:lvl w:ilvl="3" w:tplc="1BBC429E">
      <w:numFmt w:val="bullet"/>
      <w:lvlText w:val="•"/>
      <w:lvlJc w:val="left"/>
      <w:pPr>
        <w:ind w:left="734" w:hanging="217"/>
      </w:pPr>
      <w:rPr>
        <w:rFonts w:hint="default"/>
        <w:lang w:val="en-GB" w:eastAsia="en-GB" w:bidi="en-GB"/>
      </w:rPr>
    </w:lvl>
    <w:lvl w:ilvl="4" w:tplc="0A54B290">
      <w:numFmt w:val="bullet"/>
      <w:lvlText w:val="•"/>
      <w:lvlJc w:val="left"/>
      <w:pPr>
        <w:ind w:left="878" w:hanging="217"/>
      </w:pPr>
      <w:rPr>
        <w:rFonts w:hint="default"/>
        <w:lang w:val="en-GB" w:eastAsia="en-GB" w:bidi="en-GB"/>
      </w:rPr>
    </w:lvl>
    <w:lvl w:ilvl="5" w:tplc="B39037E8">
      <w:numFmt w:val="bullet"/>
      <w:lvlText w:val="•"/>
      <w:lvlJc w:val="left"/>
      <w:pPr>
        <w:ind w:left="1023" w:hanging="217"/>
      </w:pPr>
      <w:rPr>
        <w:rFonts w:hint="default"/>
        <w:lang w:val="en-GB" w:eastAsia="en-GB" w:bidi="en-GB"/>
      </w:rPr>
    </w:lvl>
    <w:lvl w:ilvl="6" w:tplc="0F3E1FA0">
      <w:numFmt w:val="bullet"/>
      <w:lvlText w:val="•"/>
      <w:lvlJc w:val="left"/>
      <w:pPr>
        <w:ind w:left="1168" w:hanging="217"/>
      </w:pPr>
      <w:rPr>
        <w:rFonts w:hint="default"/>
        <w:lang w:val="en-GB" w:eastAsia="en-GB" w:bidi="en-GB"/>
      </w:rPr>
    </w:lvl>
    <w:lvl w:ilvl="7" w:tplc="9F9A7B0C">
      <w:numFmt w:val="bullet"/>
      <w:lvlText w:val="•"/>
      <w:lvlJc w:val="left"/>
      <w:pPr>
        <w:ind w:left="1312" w:hanging="217"/>
      </w:pPr>
      <w:rPr>
        <w:rFonts w:hint="default"/>
        <w:lang w:val="en-GB" w:eastAsia="en-GB" w:bidi="en-GB"/>
      </w:rPr>
    </w:lvl>
    <w:lvl w:ilvl="8" w:tplc="1032C4E8">
      <w:numFmt w:val="bullet"/>
      <w:lvlText w:val="•"/>
      <w:lvlJc w:val="left"/>
      <w:pPr>
        <w:ind w:left="1457" w:hanging="217"/>
      </w:pPr>
      <w:rPr>
        <w:rFonts w:hint="default"/>
        <w:lang w:val="en-GB" w:eastAsia="en-GB" w:bidi="en-GB"/>
      </w:rPr>
    </w:lvl>
  </w:abstractNum>
  <w:abstractNum w:abstractNumId="448" w15:restartNumberingAfterBreak="0">
    <w:nsid w:val="298519FD"/>
    <w:multiLevelType w:val="hybridMultilevel"/>
    <w:tmpl w:val="803C1074"/>
    <w:lvl w:ilvl="0" w:tplc="727C6FE6">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6B029A42">
      <w:numFmt w:val="bullet"/>
      <w:lvlText w:val="•"/>
      <w:lvlJc w:val="left"/>
      <w:pPr>
        <w:ind w:left="892" w:hanging="217"/>
      </w:pPr>
      <w:rPr>
        <w:rFonts w:hint="default"/>
        <w:lang w:val="en-GB" w:eastAsia="en-GB" w:bidi="en-GB"/>
      </w:rPr>
    </w:lvl>
    <w:lvl w:ilvl="2" w:tplc="58589A22">
      <w:numFmt w:val="bullet"/>
      <w:lvlText w:val="•"/>
      <w:lvlJc w:val="left"/>
      <w:pPr>
        <w:ind w:left="1485" w:hanging="217"/>
      </w:pPr>
      <w:rPr>
        <w:rFonts w:hint="default"/>
        <w:lang w:val="en-GB" w:eastAsia="en-GB" w:bidi="en-GB"/>
      </w:rPr>
    </w:lvl>
    <w:lvl w:ilvl="3" w:tplc="B1407088">
      <w:numFmt w:val="bullet"/>
      <w:lvlText w:val="•"/>
      <w:lvlJc w:val="left"/>
      <w:pPr>
        <w:ind w:left="2077" w:hanging="217"/>
      </w:pPr>
      <w:rPr>
        <w:rFonts w:hint="default"/>
        <w:lang w:val="en-GB" w:eastAsia="en-GB" w:bidi="en-GB"/>
      </w:rPr>
    </w:lvl>
    <w:lvl w:ilvl="4" w:tplc="8AECFA42">
      <w:numFmt w:val="bullet"/>
      <w:lvlText w:val="•"/>
      <w:lvlJc w:val="left"/>
      <w:pPr>
        <w:ind w:left="2670" w:hanging="217"/>
      </w:pPr>
      <w:rPr>
        <w:rFonts w:hint="default"/>
        <w:lang w:val="en-GB" w:eastAsia="en-GB" w:bidi="en-GB"/>
      </w:rPr>
    </w:lvl>
    <w:lvl w:ilvl="5" w:tplc="527E31D0">
      <w:numFmt w:val="bullet"/>
      <w:lvlText w:val="•"/>
      <w:lvlJc w:val="left"/>
      <w:pPr>
        <w:ind w:left="3263" w:hanging="217"/>
      </w:pPr>
      <w:rPr>
        <w:rFonts w:hint="default"/>
        <w:lang w:val="en-GB" w:eastAsia="en-GB" w:bidi="en-GB"/>
      </w:rPr>
    </w:lvl>
    <w:lvl w:ilvl="6" w:tplc="4ADC63FC">
      <w:numFmt w:val="bullet"/>
      <w:lvlText w:val="•"/>
      <w:lvlJc w:val="left"/>
      <w:pPr>
        <w:ind w:left="3855" w:hanging="217"/>
      </w:pPr>
      <w:rPr>
        <w:rFonts w:hint="default"/>
        <w:lang w:val="en-GB" w:eastAsia="en-GB" w:bidi="en-GB"/>
      </w:rPr>
    </w:lvl>
    <w:lvl w:ilvl="7" w:tplc="28CEB616">
      <w:numFmt w:val="bullet"/>
      <w:lvlText w:val="•"/>
      <w:lvlJc w:val="left"/>
      <w:pPr>
        <w:ind w:left="4448" w:hanging="217"/>
      </w:pPr>
      <w:rPr>
        <w:rFonts w:hint="default"/>
        <w:lang w:val="en-GB" w:eastAsia="en-GB" w:bidi="en-GB"/>
      </w:rPr>
    </w:lvl>
    <w:lvl w:ilvl="8" w:tplc="10B2BA80">
      <w:numFmt w:val="bullet"/>
      <w:lvlText w:val="•"/>
      <w:lvlJc w:val="left"/>
      <w:pPr>
        <w:ind w:left="5040" w:hanging="217"/>
      </w:pPr>
      <w:rPr>
        <w:rFonts w:hint="default"/>
        <w:lang w:val="en-GB" w:eastAsia="en-GB" w:bidi="en-GB"/>
      </w:rPr>
    </w:lvl>
  </w:abstractNum>
  <w:abstractNum w:abstractNumId="449" w15:restartNumberingAfterBreak="0">
    <w:nsid w:val="298A3AEA"/>
    <w:multiLevelType w:val="hybridMultilevel"/>
    <w:tmpl w:val="D85822B0"/>
    <w:lvl w:ilvl="0" w:tplc="FEF4A51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0860BA4">
      <w:numFmt w:val="bullet"/>
      <w:lvlText w:val="•"/>
      <w:lvlJc w:val="left"/>
      <w:pPr>
        <w:ind w:left="473" w:hanging="217"/>
      </w:pPr>
      <w:rPr>
        <w:rFonts w:hint="default"/>
        <w:lang w:val="en-GB" w:eastAsia="en-GB" w:bidi="en-GB"/>
      </w:rPr>
    </w:lvl>
    <w:lvl w:ilvl="2" w:tplc="15ACC19A">
      <w:numFmt w:val="bullet"/>
      <w:lvlText w:val="•"/>
      <w:lvlJc w:val="left"/>
      <w:pPr>
        <w:ind w:left="646" w:hanging="217"/>
      </w:pPr>
      <w:rPr>
        <w:rFonts w:hint="default"/>
        <w:lang w:val="en-GB" w:eastAsia="en-GB" w:bidi="en-GB"/>
      </w:rPr>
    </w:lvl>
    <w:lvl w:ilvl="3" w:tplc="D00CF538">
      <w:numFmt w:val="bullet"/>
      <w:lvlText w:val="•"/>
      <w:lvlJc w:val="left"/>
      <w:pPr>
        <w:ind w:left="819" w:hanging="217"/>
      </w:pPr>
      <w:rPr>
        <w:rFonts w:hint="default"/>
        <w:lang w:val="en-GB" w:eastAsia="en-GB" w:bidi="en-GB"/>
      </w:rPr>
    </w:lvl>
    <w:lvl w:ilvl="4" w:tplc="E93E8038">
      <w:numFmt w:val="bullet"/>
      <w:lvlText w:val="•"/>
      <w:lvlJc w:val="left"/>
      <w:pPr>
        <w:ind w:left="992" w:hanging="217"/>
      </w:pPr>
      <w:rPr>
        <w:rFonts w:hint="default"/>
        <w:lang w:val="en-GB" w:eastAsia="en-GB" w:bidi="en-GB"/>
      </w:rPr>
    </w:lvl>
    <w:lvl w:ilvl="5" w:tplc="5CB62048">
      <w:numFmt w:val="bullet"/>
      <w:lvlText w:val="•"/>
      <w:lvlJc w:val="left"/>
      <w:pPr>
        <w:ind w:left="1165" w:hanging="217"/>
      </w:pPr>
      <w:rPr>
        <w:rFonts w:hint="default"/>
        <w:lang w:val="en-GB" w:eastAsia="en-GB" w:bidi="en-GB"/>
      </w:rPr>
    </w:lvl>
    <w:lvl w:ilvl="6" w:tplc="B052B3B6">
      <w:numFmt w:val="bullet"/>
      <w:lvlText w:val="•"/>
      <w:lvlJc w:val="left"/>
      <w:pPr>
        <w:ind w:left="1338" w:hanging="217"/>
      </w:pPr>
      <w:rPr>
        <w:rFonts w:hint="default"/>
        <w:lang w:val="en-GB" w:eastAsia="en-GB" w:bidi="en-GB"/>
      </w:rPr>
    </w:lvl>
    <w:lvl w:ilvl="7" w:tplc="CB622AE2">
      <w:numFmt w:val="bullet"/>
      <w:lvlText w:val="•"/>
      <w:lvlJc w:val="left"/>
      <w:pPr>
        <w:ind w:left="1511" w:hanging="217"/>
      </w:pPr>
      <w:rPr>
        <w:rFonts w:hint="default"/>
        <w:lang w:val="en-GB" w:eastAsia="en-GB" w:bidi="en-GB"/>
      </w:rPr>
    </w:lvl>
    <w:lvl w:ilvl="8" w:tplc="958A591E">
      <w:numFmt w:val="bullet"/>
      <w:lvlText w:val="•"/>
      <w:lvlJc w:val="left"/>
      <w:pPr>
        <w:ind w:left="1684" w:hanging="217"/>
      </w:pPr>
      <w:rPr>
        <w:rFonts w:hint="default"/>
        <w:lang w:val="en-GB" w:eastAsia="en-GB" w:bidi="en-GB"/>
      </w:rPr>
    </w:lvl>
  </w:abstractNum>
  <w:abstractNum w:abstractNumId="450" w15:restartNumberingAfterBreak="0">
    <w:nsid w:val="29B12F4E"/>
    <w:multiLevelType w:val="hybridMultilevel"/>
    <w:tmpl w:val="EE40A64E"/>
    <w:lvl w:ilvl="0" w:tplc="7A20C3FE">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7A22CE5C">
      <w:numFmt w:val="bullet"/>
      <w:lvlText w:val="•"/>
      <w:lvlJc w:val="left"/>
      <w:pPr>
        <w:ind w:left="473" w:hanging="217"/>
      </w:pPr>
      <w:rPr>
        <w:rFonts w:hint="default"/>
        <w:lang w:val="en-GB" w:eastAsia="en-GB" w:bidi="en-GB"/>
      </w:rPr>
    </w:lvl>
    <w:lvl w:ilvl="2" w:tplc="4F529694">
      <w:numFmt w:val="bullet"/>
      <w:lvlText w:val="•"/>
      <w:lvlJc w:val="left"/>
      <w:pPr>
        <w:ind w:left="646" w:hanging="217"/>
      </w:pPr>
      <w:rPr>
        <w:rFonts w:hint="default"/>
        <w:lang w:val="en-GB" w:eastAsia="en-GB" w:bidi="en-GB"/>
      </w:rPr>
    </w:lvl>
    <w:lvl w:ilvl="3" w:tplc="1026045A">
      <w:numFmt w:val="bullet"/>
      <w:lvlText w:val="•"/>
      <w:lvlJc w:val="left"/>
      <w:pPr>
        <w:ind w:left="819" w:hanging="217"/>
      </w:pPr>
      <w:rPr>
        <w:rFonts w:hint="default"/>
        <w:lang w:val="en-GB" w:eastAsia="en-GB" w:bidi="en-GB"/>
      </w:rPr>
    </w:lvl>
    <w:lvl w:ilvl="4" w:tplc="4168B784">
      <w:numFmt w:val="bullet"/>
      <w:lvlText w:val="•"/>
      <w:lvlJc w:val="left"/>
      <w:pPr>
        <w:ind w:left="992" w:hanging="217"/>
      </w:pPr>
      <w:rPr>
        <w:rFonts w:hint="default"/>
        <w:lang w:val="en-GB" w:eastAsia="en-GB" w:bidi="en-GB"/>
      </w:rPr>
    </w:lvl>
    <w:lvl w:ilvl="5" w:tplc="CDBC3D96">
      <w:numFmt w:val="bullet"/>
      <w:lvlText w:val="•"/>
      <w:lvlJc w:val="left"/>
      <w:pPr>
        <w:ind w:left="1165" w:hanging="217"/>
      </w:pPr>
      <w:rPr>
        <w:rFonts w:hint="default"/>
        <w:lang w:val="en-GB" w:eastAsia="en-GB" w:bidi="en-GB"/>
      </w:rPr>
    </w:lvl>
    <w:lvl w:ilvl="6" w:tplc="1082ACEE">
      <w:numFmt w:val="bullet"/>
      <w:lvlText w:val="•"/>
      <w:lvlJc w:val="left"/>
      <w:pPr>
        <w:ind w:left="1338" w:hanging="217"/>
      </w:pPr>
      <w:rPr>
        <w:rFonts w:hint="default"/>
        <w:lang w:val="en-GB" w:eastAsia="en-GB" w:bidi="en-GB"/>
      </w:rPr>
    </w:lvl>
    <w:lvl w:ilvl="7" w:tplc="95042EEC">
      <w:numFmt w:val="bullet"/>
      <w:lvlText w:val="•"/>
      <w:lvlJc w:val="left"/>
      <w:pPr>
        <w:ind w:left="1511" w:hanging="217"/>
      </w:pPr>
      <w:rPr>
        <w:rFonts w:hint="default"/>
        <w:lang w:val="en-GB" w:eastAsia="en-GB" w:bidi="en-GB"/>
      </w:rPr>
    </w:lvl>
    <w:lvl w:ilvl="8" w:tplc="99D29EE6">
      <w:numFmt w:val="bullet"/>
      <w:lvlText w:val="•"/>
      <w:lvlJc w:val="left"/>
      <w:pPr>
        <w:ind w:left="1684" w:hanging="217"/>
      </w:pPr>
      <w:rPr>
        <w:rFonts w:hint="default"/>
        <w:lang w:val="en-GB" w:eastAsia="en-GB" w:bidi="en-GB"/>
      </w:rPr>
    </w:lvl>
  </w:abstractNum>
  <w:abstractNum w:abstractNumId="451" w15:restartNumberingAfterBreak="0">
    <w:nsid w:val="29C77143"/>
    <w:multiLevelType w:val="hybridMultilevel"/>
    <w:tmpl w:val="AC9C7236"/>
    <w:lvl w:ilvl="0" w:tplc="F45C15D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50E2C94">
      <w:numFmt w:val="bullet"/>
      <w:lvlText w:val="•"/>
      <w:lvlJc w:val="left"/>
      <w:pPr>
        <w:ind w:left="473" w:hanging="217"/>
      </w:pPr>
      <w:rPr>
        <w:rFonts w:hint="default"/>
        <w:lang w:val="en-GB" w:eastAsia="en-GB" w:bidi="en-GB"/>
      </w:rPr>
    </w:lvl>
    <w:lvl w:ilvl="2" w:tplc="9A3EE9D6">
      <w:numFmt w:val="bullet"/>
      <w:lvlText w:val="•"/>
      <w:lvlJc w:val="left"/>
      <w:pPr>
        <w:ind w:left="646" w:hanging="217"/>
      </w:pPr>
      <w:rPr>
        <w:rFonts w:hint="default"/>
        <w:lang w:val="en-GB" w:eastAsia="en-GB" w:bidi="en-GB"/>
      </w:rPr>
    </w:lvl>
    <w:lvl w:ilvl="3" w:tplc="501E14F2">
      <w:numFmt w:val="bullet"/>
      <w:lvlText w:val="•"/>
      <w:lvlJc w:val="left"/>
      <w:pPr>
        <w:ind w:left="819" w:hanging="217"/>
      </w:pPr>
      <w:rPr>
        <w:rFonts w:hint="default"/>
        <w:lang w:val="en-GB" w:eastAsia="en-GB" w:bidi="en-GB"/>
      </w:rPr>
    </w:lvl>
    <w:lvl w:ilvl="4" w:tplc="D84437F6">
      <w:numFmt w:val="bullet"/>
      <w:lvlText w:val="•"/>
      <w:lvlJc w:val="left"/>
      <w:pPr>
        <w:ind w:left="992" w:hanging="217"/>
      </w:pPr>
      <w:rPr>
        <w:rFonts w:hint="default"/>
        <w:lang w:val="en-GB" w:eastAsia="en-GB" w:bidi="en-GB"/>
      </w:rPr>
    </w:lvl>
    <w:lvl w:ilvl="5" w:tplc="65C473A0">
      <w:numFmt w:val="bullet"/>
      <w:lvlText w:val="•"/>
      <w:lvlJc w:val="left"/>
      <w:pPr>
        <w:ind w:left="1165" w:hanging="217"/>
      </w:pPr>
      <w:rPr>
        <w:rFonts w:hint="default"/>
        <w:lang w:val="en-GB" w:eastAsia="en-GB" w:bidi="en-GB"/>
      </w:rPr>
    </w:lvl>
    <w:lvl w:ilvl="6" w:tplc="3642F710">
      <w:numFmt w:val="bullet"/>
      <w:lvlText w:val="•"/>
      <w:lvlJc w:val="left"/>
      <w:pPr>
        <w:ind w:left="1338" w:hanging="217"/>
      </w:pPr>
      <w:rPr>
        <w:rFonts w:hint="default"/>
        <w:lang w:val="en-GB" w:eastAsia="en-GB" w:bidi="en-GB"/>
      </w:rPr>
    </w:lvl>
    <w:lvl w:ilvl="7" w:tplc="AC805A72">
      <w:numFmt w:val="bullet"/>
      <w:lvlText w:val="•"/>
      <w:lvlJc w:val="left"/>
      <w:pPr>
        <w:ind w:left="1511" w:hanging="217"/>
      </w:pPr>
      <w:rPr>
        <w:rFonts w:hint="default"/>
        <w:lang w:val="en-GB" w:eastAsia="en-GB" w:bidi="en-GB"/>
      </w:rPr>
    </w:lvl>
    <w:lvl w:ilvl="8" w:tplc="2B0CC52E">
      <w:numFmt w:val="bullet"/>
      <w:lvlText w:val="•"/>
      <w:lvlJc w:val="left"/>
      <w:pPr>
        <w:ind w:left="1684" w:hanging="217"/>
      </w:pPr>
      <w:rPr>
        <w:rFonts w:hint="default"/>
        <w:lang w:val="en-GB" w:eastAsia="en-GB" w:bidi="en-GB"/>
      </w:rPr>
    </w:lvl>
  </w:abstractNum>
  <w:abstractNum w:abstractNumId="452" w15:restartNumberingAfterBreak="0">
    <w:nsid w:val="29DE55E4"/>
    <w:multiLevelType w:val="hybridMultilevel"/>
    <w:tmpl w:val="90EE8696"/>
    <w:lvl w:ilvl="0" w:tplc="9D7E783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8582D36">
      <w:numFmt w:val="bullet"/>
      <w:lvlText w:val="•"/>
      <w:lvlJc w:val="left"/>
      <w:pPr>
        <w:ind w:left="892" w:hanging="217"/>
      </w:pPr>
      <w:rPr>
        <w:rFonts w:hint="default"/>
        <w:lang w:val="en-GB" w:eastAsia="en-GB" w:bidi="en-GB"/>
      </w:rPr>
    </w:lvl>
    <w:lvl w:ilvl="2" w:tplc="D2A461FE">
      <w:numFmt w:val="bullet"/>
      <w:lvlText w:val="•"/>
      <w:lvlJc w:val="left"/>
      <w:pPr>
        <w:ind w:left="1485" w:hanging="217"/>
      </w:pPr>
      <w:rPr>
        <w:rFonts w:hint="default"/>
        <w:lang w:val="en-GB" w:eastAsia="en-GB" w:bidi="en-GB"/>
      </w:rPr>
    </w:lvl>
    <w:lvl w:ilvl="3" w:tplc="C12AE8D4">
      <w:numFmt w:val="bullet"/>
      <w:lvlText w:val="•"/>
      <w:lvlJc w:val="left"/>
      <w:pPr>
        <w:ind w:left="2077" w:hanging="217"/>
      </w:pPr>
      <w:rPr>
        <w:rFonts w:hint="default"/>
        <w:lang w:val="en-GB" w:eastAsia="en-GB" w:bidi="en-GB"/>
      </w:rPr>
    </w:lvl>
    <w:lvl w:ilvl="4" w:tplc="A620A20E">
      <w:numFmt w:val="bullet"/>
      <w:lvlText w:val="•"/>
      <w:lvlJc w:val="left"/>
      <w:pPr>
        <w:ind w:left="2670" w:hanging="217"/>
      </w:pPr>
      <w:rPr>
        <w:rFonts w:hint="default"/>
        <w:lang w:val="en-GB" w:eastAsia="en-GB" w:bidi="en-GB"/>
      </w:rPr>
    </w:lvl>
    <w:lvl w:ilvl="5" w:tplc="86F631D4">
      <w:numFmt w:val="bullet"/>
      <w:lvlText w:val="•"/>
      <w:lvlJc w:val="left"/>
      <w:pPr>
        <w:ind w:left="3263" w:hanging="217"/>
      </w:pPr>
      <w:rPr>
        <w:rFonts w:hint="default"/>
        <w:lang w:val="en-GB" w:eastAsia="en-GB" w:bidi="en-GB"/>
      </w:rPr>
    </w:lvl>
    <w:lvl w:ilvl="6" w:tplc="1B9EE9B6">
      <w:numFmt w:val="bullet"/>
      <w:lvlText w:val="•"/>
      <w:lvlJc w:val="left"/>
      <w:pPr>
        <w:ind w:left="3855" w:hanging="217"/>
      </w:pPr>
      <w:rPr>
        <w:rFonts w:hint="default"/>
        <w:lang w:val="en-GB" w:eastAsia="en-GB" w:bidi="en-GB"/>
      </w:rPr>
    </w:lvl>
    <w:lvl w:ilvl="7" w:tplc="ABE85D34">
      <w:numFmt w:val="bullet"/>
      <w:lvlText w:val="•"/>
      <w:lvlJc w:val="left"/>
      <w:pPr>
        <w:ind w:left="4448" w:hanging="217"/>
      </w:pPr>
      <w:rPr>
        <w:rFonts w:hint="default"/>
        <w:lang w:val="en-GB" w:eastAsia="en-GB" w:bidi="en-GB"/>
      </w:rPr>
    </w:lvl>
    <w:lvl w:ilvl="8" w:tplc="0ABC1ABA">
      <w:numFmt w:val="bullet"/>
      <w:lvlText w:val="•"/>
      <w:lvlJc w:val="left"/>
      <w:pPr>
        <w:ind w:left="5040" w:hanging="217"/>
      </w:pPr>
      <w:rPr>
        <w:rFonts w:hint="default"/>
        <w:lang w:val="en-GB" w:eastAsia="en-GB" w:bidi="en-GB"/>
      </w:rPr>
    </w:lvl>
  </w:abstractNum>
  <w:abstractNum w:abstractNumId="453" w15:restartNumberingAfterBreak="0">
    <w:nsid w:val="2A1A74F5"/>
    <w:multiLevelType w:val="hybridMultilevel"/>
    <w:tmpl w:val="7974E584"/>
    <w:lvl w:ilvl="0" w:tplc="88D02F2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DE6BFA0">
      <w:numFmt w:val="bullet"/>
      <w:lvlText w:val="•"/>
      <w:lvlJc w:val="left"/>
      <w:pPr>
        <w:ind w:left="473" w:hanging="217"/>
      </w:pPr>
      <w:rPr>
        <w:rFonts w:hint="default"/>
        <w:lang w:val="en-GB" w:eastAsia="en-GB" w:bidi="en-GB"/>
      </w:rPr>
    </w:lvl>
    <w:lvl w:ilvl="2" w:tplc="FA34340E">
      <w:numFmt w:val="bullet"/>
      <w:lvlText w:val="•"/>
      <w:lvlJc w:val="left"/>
      <w:pPr>
        <w:ind w:left="646" w:hanging="217"/>
      </w:pPr>
      <w:rPr>
        <w:rFonts w:hint="default"/>
        <w:lang w:val="en-GB" w:eastAsia="en-GB" w:bidi="en-GB"/>
      </w:rPr>
    </w:lvl>
    <w:lvl w:ilvl="3" w:tplc="7CD6AF2C">
      <w:numFmt w:val="bullet"/>
      <w:lvlText w:val="•"/>
      <w:lvlJc w:val="left"/>
      <w:pPr>
        <w:ind w:left="819" w:hanging="217"/>
      </w:pPr>
      <w:rPr>
        <w:rFonts w:hint="default"/>
        <w:lang w:val="en-GB" w:eastAsia="en-GB" w:bidi="en-GB"/>
      </w:rPr>
    </w:lvl>
    <w:lvl w:ilvl="4" w:tplc="B582BB78">
      <w:numFmt w:val="bullet"/>
      <w:lvlText w:val="•"/>
      <w:lvlJc w:val="left"/>
      <w:pPr>
        <w:ind w:left="992" w:hanging="217"/>
      </w:pPr>
      <w:rPr>
        <w:rFonts w:hint="default"/>
        <w:lang w:val="en-GB" w:eastAsia="en-GB" w:bidi="en-GB"/>
      </w:rPr>
    </w:lvl>
    <w:lvl w:ilvl="5" w:tplc="76029E3C">
      <w:numFmt w:val="bullet"/>
      <w:lvlText w:val="•"/>
      <w:lvlJc w:val="left"/>
      <w:pPr>
        <w:ind w:left="1165" w:hanging="217"/>
      </w:pPr>
      <w:rPr>
        <w:rFonts w:hint="default"/>
        <w:lang w:val="en-GB" w:eastAsia="en-GB" w:bidi="en-GB"/>
      </w:rPr>
    </w:lvl>
    <w:lvl w:ilvl="6" w:tplc="026E9742">
      <w:numFmt w:val="bullet"/>
      <w:lvlText w:val="•"/>
      <w:lvlJc w:val="left"/>
      <w:pPr>
        <w:ind w:left="1338" w:hanging="217"/>
      </w:pPr>
      <w:rPr>
        <w:rFonts w:hint="default"/>
        <w:lang w:val="en-GB" w:eastAsia="en-GB" w:bidi="en-GB"/>
      </w:rPr>
    </w:lvl>
    <w:lvl w:ilvl="7" w:tplc="6DCE0D5E">
      <w:numFmt w:val="bullet"/>
      <w:lvlText w:val="•"/>
      <w:lvlJc w:val="left"/>
      <w:pPr>
        <w:ind w:left="1511" w:hanging="217"/>
      </w:pPr>
      <w:rPr>
        <w:rFonts w:hint="default"/>
        <w:lang w:val="en-GB" w:eastAsia="en-GB" w:bidi="en-GB"/>
      </w:rPr>
    </w:lvl>
    <w:lvl w:ilvl="8" w:tplc="1500E86A">
      <w:numFmt w:val="bullet"/>
      <w:lvlText w:val="•"/>
      <w:lvlJc w:val="left"/>
      <w:pPr>
        <w:ind w:left="1684" w:hanging="217"/>
      </w:pPr>
      <w:rPr>
        <w:rFonts w:hint="default"/>
        <w:lang w:val="en-GB" w:eastAsia="en-GB" w:bidi="en-GB"/>
      </w:rPr>
    </w:lvl>
  </w:abstractNum>
  <w:abstractNum w:abstractNumId="454" w15:restartNumberingAfterBreak="0">
    <w:nsid w:val="2A287D90"/>
    <w:multiLevelType w:val="hybridMultilevel"/>
    <w:tmpl w:val="C21C3B32"/>
    <w:lvl w:ilvl="0" w:tplc="451225A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9D8001C">
      <w:numFmt w:val="bullet"/>
      <w:lvlText w:val="•"/>
      <w:lvlJc w:val="left"/>
      <w:pPr>
        <w:ind w:left="444" w:hanging="217"/>
      </w:pPr>
      <w:rPr>
        <w:rFonts w:hint="default"/>
        <w:lang w:val="en-GB" w:eastAsia="en-GB" w:bidi="en-GB"/>
      </w:rPr>
    </w:lvl>
    <w:lvl w:ilvl="2" w:tplc="A6F215D6">
      <w:numFmt w:val="bullet"/>
      <w:lvlText w:val="•"/>
      <w:lvlJc w:val="left"/>
      <w:pPr>
        <w:ind w:left="589" w:hanging="217"/>
      </w:pPr>
      <w:rPr>
        <w:rFonts w:hint="default"/>
        <w:lang w:val="en-GB" w:eastAsia="en-GB" w:bidi="en-GB"/>
      </w:rPr>
    </w:lvl>
    <w:lvl w:ilvl="3" w:tplc="399C6F0E">
      <w:numFmt w:val="bullet"/>
      <w:lvlText w:val="•"/>
      <w:lvlJc w:val="left"/>
      <w:pPr>
        <w:ind w:left="734" w:hanging="217"/>
      </w:pPr>
      <w:rPr>
        <w:rFonts w:hint="default"/>
        <w:lang w:val="en-GB" w:eastAsia="en-GB" w:bidi="en-GB"/>
      </w:rPr>
    </w:lvl>
    <w:lvl w:ilvl="4" w:tplc="D090B85E">
      <w:numFmt w:val="bullet"/>
      <w:lvlText w:val="•"/>
      <w:lvlJc w:val="left"/>
      <w:pPr>
        <w:ind w:left="878" w:hanging="217"/>
      </w:pPr>
      <w:rPr>
        <w:rFonts w:hint="default"/>
        <w:lang w:val="en-GB" w:eastAsia="en-GB" w:bidi="en-GB"/>
      </w:rPr>
    </w:lvl>
    <w:lvl w:ilvl="5" w:tplc="66B007AA">
      <w:numFmt w:val="bullet"/>
      <w:lvlText w:val="•"/>
      <w:lvlJc w:val="left"/>
      <w:pPr>
        <w:ind w:left="1023" w:hanging="217"/>
      </w:pPr>
      <w:rPr>
        <w:rFonts w:hint="default"/>
        <w:lang w:val="en-GB" w:eastAsia="en-GB" w:bidi="en-GB"/>
      </w:rPr>
    </w:lvl>
    <w:lvl w:ilvl="6" w:tplc="45068C8C">
      <w:numFmt w:val="bullet"/>
      <w:lvlText w:val="•"/>
      <w:lvlJc w:val="left"/>
      <w:pPr>
        <w:ind w:left="1168" w:hanging="217"/>
      </w:pPr>
      <w:rPr>
        <w:rFonts w:hint="default"/>
        <w:lang w:val="en-GB" w:eastAsia="en-GB" w:bidi="en-GB"/>
      </w:rPr>
    </w:lvl>
    <w:lvl w:ilvl="7" w:tplc="7298B712">
      <w:numFmt w:val="bullet"/>
      <w:lvlText w:val="•"/>
      <w:lvlJc w:val="left"/>
      <w:pPr>
        <w:ind w:left="1312" w:hanging="217"/>
      </w:pPr>
      <w:rPr>
        <w:rFonts w:hint="default"/>
        <w:lang w:val="en-GB" w:eastAsia="en-GB" w:bidi="en-GB"/>
      </w:rPr>
    </w:lvl>
    <w:lvl w:ilvl="8" w:tplc="D47651A8">
      <w:numFmt w:val="bullet"/>
      <w:lvlText w:val="•"/>
      <w:lvlJc w:val="left"/>
      <w:pPr>
        <w:ind w:left="1457" w:hanging="217"/>
      </w:pPr>
      <w:rPr>
        <w:rFonts w:hint="default"/>
        <w:lang w:val="en-GB" w:eastAsia="en-GB" w:bidi="en-GB"/>
      </w:rPr>
    </w:lvl>
  </w:abstractNum>
  <w:abstractNum w:abstractNumId="455" w15:restartNumberingAfterBreak="0">
    <w:nsid w:val="2A303DBB"/>
    <w:multiLevelType w:val="hybridMultilevel"/>
    <w:tmpl w:val="D4984BDC"/>
    <w:lvl w:ilvl="0" w:tplc="C388F092">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9CBE99CE">
      <w:numFmt w:val="bullet"/>
      <w:lvlText w:val="•"/>
      <w:lvlJc w:val="left"/>
      <w:pPr>
        <w:ind w:left="541" w:hanging="217"/>
      </w:pPr>
      <w:rPr>
        <w:rFonts w:hint="default"/>
        <w:lang w:val="en-GB" w:eastAsia="en-GB" w:bidi="en-GB"/>
      </w:rPr>
    </w:lvl>
    <w:lvl w:ilvl="2" w:tplc="2482D44A">
      <w:numFmt w:val="bullet"/>
      <w:lvlText w:val="•"/>
      <w:lvlJc w:val="left"/>
      <w:pPr>
        <w:ind w:left="782" w:hanging="217"/>
      </w:pPr>
      <w:rPr>
        <w:rFonts w:hint="default"/>
        <w:lang w:val="en-GB" w:eastAsia="en-GB" w:bidi="en-GB"/>
      </w:rPr>
    </w:lvl>
    <w:lvl w:ilvl="3" w:tplc="D80E173A">
      <w:numFmt w:val="bullet"/>
      <w:lvlText w:val="•"/>
      <w:lvlJc w:val="left"/>
      <w:pPr>
        <w:ind w:left="1023" w:hanging="217"/>
      </w:pPr>
      <w:rPr>
        <w:rFonts w:hint="default"/>
        <w:lang w:val="en-GB" w:eastAsia="en-GB" w:bidi="en-GB"/>
      </w:rPr>
    </w:lvl>
    <w:lvl w:ilvl="4" w:tplc="6506F42E">
      <w:numFmt w:val="bullet"/>
      <w:lvlText w:val="•"/>
      <w:lvlJc w:val="left"/>
      <w:pPr>
        <w:ind w:left="1264" w:hanging="217"/>
      </w:pPr>
      <w:rPr>
        <w:rFonts w:hint="default"/>
        <w:lang w:val="en-GB" w:eastAsia="en-GB" w:bidi="en-GB"/>
      </w:rPr>
    </w:lvl>
    <w:lvl w:ilvl="5" w:tplc="111A7ADE">
      <w:numFmt w:val="bullet"/>
      <w:lvlText w:val="•"/>
      <w:lvlJc w:val="left"/>
      <w:pPr>
        <w:ind w:left="1505" w:hanging="217"/>
      </w:pPr>
      <w:rPr>
        <w:rFonts w:hint="default"/>
        <w:lang w:val="en-GB" w:eastAsia="en-GB" w:bidi="en-GB"/>
      </w:rPr>
    </w:lvl>
    <w:lvl w:ilvl="6" w:tplc="32344D1C">
      <w:numFmt w:val="bullet"/>
      <w:lvlText w:val="•"/>
      <w:lvlJc w:val="left"/>
      <w:pPr>
        <w:ind w:left="1746" w:hanging="217"/>
      </w:pPr>
      <w:rPr>
        <w:rFonts w:hint="default"/>
        <w:lang w:val="en-GB" w:eastAsia="en-GB" w:bidi="en-GB"/>
      </w:rPr>
    </w:lvl>
    <w:lvl w:ilvl="7" w:tplc="A9C6BEBA">
      <w:numFmt w:val="bullet"/>
      <w:lvlText w:val="•"/>
      <w:lvlJc w:val="left"/>
      <w:pPr>
        <w:ind w:left="1987" w:hanging="217"/>
      </w:pPr>
      <w:rPr>
        <w:rFonts w:hint="default"/>
        <w:lang w:val="en-GB" w:eastAsia="en-GB" w:bidi="en-GB"/>
      </w:rPr>
    </w:lvl>
    <w:lvl w:ilvl="8" w:tplc="8010729E">
      <w:numFmt w:val="bullet"/>
      <w:lvlText w:val="•"/>
      <w:lvlJc w:val="left"/>
      <w:pPr>
        <w:ind w:left="2228" w:hanging="217"/>
      </w:pPr>
      <w:rPr>
        <w:rFonts w:hint="default"/>
        <w:lang w:val="en-GB" w:eastAsia="en-GB" w:bidi="en-GB"/>
      </w:rPr>
    </w:lvl>
  </w:abstractNum>
  <w:abstractNum w:abstractNumId="456" w15:restartNumberingAfterBreak="0">
    <w:nsid w:val="2A3B4BA7"/>
    <w:multiLevelType w:val="hybridMultilevel"/>
    <w:tmpl w:val="018CC128"/>
    <w:lvl w:ilvl="0" w:tplc="C060964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17CBB72">
      <w:numFmt w:val="bullet"/>
      <w:lvlText w:val="•"/>
      <w:lvlJc w:val="left"/>
      <w:pPr>
        <w:ind w:left="473" w:hanging="217"/>
      </w:pPr>
      <w:rPr>
        <w:rFonts w:hint="default"/>
        <w:lang w:val="en-GB" w:eastAsia="en-GB" w:bidi="en-GB"/>
      </w:rPr>
    </w:lvl>
    <w:lvl w:ilvl="2" w:tplc="97E011C2">
      <w:numFmt w:val="bullet"/>
      <w:lvlText w:val="•"/>
      <w:lvlJc w:val="left"/>
      <w:pPr>
        <w:ind w:left="646" w:hanging="217"/>
      </w:pPr>
      <w:rPr>
        <w:rFonts w:hint="default"/>
        <w:lang w:val="en-GB" w:eastAsia="en-GB" w:bidi="en-GB"/>
      </w:rPr>
    </w:lvl>
    <w:lvl w:ilvl="3" w:tplc="A2E0DC46">
      <w:numFmt w:val="bullet"/>
      <w:lvlText w:val="•"/>
      <w:lvlJc w:val="left"/>
      <w:pPr>
        <w:ind w:left="819" w:hanging="217"/>
      </w:pPr>
      <w:rPr>
        <w:rFonts w:hint="default"/>
        <w:lang w:val="en-GB" w:eastAsia="en-GB" w:bidi="en-GB"/>
      </w:rPr>
    </w:lvl>
    <w:lvl w:ilvl="4" w:tplc="2D0455C4">
      <w:numFmt w:val="bullet"/>
      <w:lvlText w:val="•"/>
      <w:lvlJc w:val="left"/>
      <w:pPr>
        <w:ind w:left="992" w:hanging="217"/>
      </w:pPr>
      <w:rPr>
        <w:rFonts w:hint="default"/>
        <w:lang w:val="en-GB" w:eastAsia="en-GB" w:bidi="en-GB"/>
      </w:rPr>
    </w:lvl>
    <w:lvl w:ilvl="5" w:tplc="98881CD6">
      <w:numFmt w:val="bullet"/>
      <w:lvlText w:val="•"/>
      <w:lvlJc w:val="left"/>
      <w:pPr>
        <w:ind w:left="1165" w:hanging="217"/>
      </w:pPr>
      <w:rPr>
        <w:rFonts w:hint="default"/>
        <w:lang w:val="en-GB" w:eastAsia="en-GB" w:bidi="en-GB"/>
      </w:rPr>
    </w:lvl>
    <w:lvl w:ilvl="6" w:tplc="93827822">
      <w:numFmt w:val="bullet"/>
      <w:lvlText w:val="•"/>
      <w:lvlJc w:val="left"/>
      <w:pPr>
        <w:ind w:left="1338" w:hanging="217"/>
      </w:pPr>
      <w:rPr>
        <w:rFonts w:hint="default"/>
        <w:lang w:val="en-GB" w:eastAsia="en-GB" w:bidi="en-GB"/>
      </w:rPr>
    </w:lvl>
    <w:lvl w:ilvl="7" w:tplc="297A74A6">
      <w:numFmt w:val="bullet"/>
      <w:lvlText w:val="•"/>
      <w:lvlJc w:val="left"/>
      <w:pPr>
        <w:ind w:left="1511" w:hanging="217"/>
      </w:pPr>
      <w:rPr>
        <w:rFonts w:hint="default"/>
        <w:lang w:val="en-GB" w:eastAsia="en-GB" w:bidi="en-GB"/>
      </w:rPr>
    </w:lvl>
    <w:lvl w:ilvl="8" w:tplc="6390F0C4">
      <w:numFmt w:val="bullet"/>
      <w:lvlText w:val="•"/>
      <w:lvlJc w:val="left"/>
      <w:pPr>
        <w:ind w:left="1684" w:hanging="217"/>
      </w:pPr>
      <w:rPr>
        <w:rFonts w:hint="default"/>
        <w:lang w:val="en-GB" w:eastAsia="en-GB" w:bidi="en-GB"/>
      </w:rPr>
    </w:lvl>
  </w:abstractNum>
  <w:abstractNum w:abstractNumId="457" w15:restartNumberingAfterBreak="0">
    <w:nsid w:val="2A3B5A99"/>
    <w:multiLevelType w:val="hybridMultilevel"/>
    <w:tmpl w:val="EA0EC05E"/>
    <w:lvl w:ilvl="0" w:tplc="4C224D2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80E1576">
      <w:numFmt w:val="bullet"/>
      <w:lvlText w:val="•"/>
      <w:lvlJc w:val="left"/>
      <w:pPr>
        <w:ind w:left="439" w:hanging="217"/>
      </w:pPr>
      <w:rPr>
        <w:rFonts w:hint="default"/>
        <w:lang w:val="en-GB" w:eastAsia="en-GB" w:bidi="en-GB"/>
      </w:rPr>
    </w:lvl>
    <w:lvl w:ilvl="2" w:tplc="C50CF212">
      <w:numFmt w:val="bullet"/>
      <w:lvlText w:val="•"/>
      <w:lvlJc w:val="left"/>
      <w:pPr>
        <w:ind w:left="578" w:hanging="217"/>
      </w:pPr>
      <w:rPr>
        <w:rFonts w:hint="default"/>
        <w:lang w:val="en-GB" w:eastAsia="en-GB" w:bidi="en-GB"/>
      </w:rPr>
    </w:lvl>
    <w:lvl w:ilvl="3" w:tplc="496C11A8">
      <w:numFmt w:val="bullet"/>
      <w:lvlText w:val="•"/>
      <w:lvlJc w:val="left"/>
      <w:pPr>
        <w:ind w:left="717" w:hanging="217"/>
      </w:pPr>
      <w:rPr>
        <w:rFonts w:hint="default"/>
        <w:lang w:val="en-GB" w:eastAsia="en-GB" w:bidi="en-GB"/>
      </w:rPr>
    </w:lvl>
    <w:lvl w:ilvl="4" w:tplc="9F2611C0">
      <w:numFmt w:val="bullet"/>
      <w:lvlText w:val="•"/>
      <w:lvlJc w:val="left"/>
      <w:pPr>
        <w:ind w:left="856" w:hanging="217"/>
      </w:pPr>
      <w:rPr>
        <w:rFonts w:hint="default"/>
        <w:lang w:val="en-GB" w:eastAsia="en-GB" w:bidi="en-GB"/>
      </w:rPr>
    </w:lvl>
    <w:lvl w:ilvl="5" w:tplc="53EA8C2A">
      <w:numFmt w:val="bullet"/>
      <w:lvlText w:val="•"/>
      <w:lvlJc w:val="left"/>
      <w:pPr>
        <w:ind w:left="995" w:hanging="217"/>
      </w:pPr>
      <w:rPr>
        <w:rFonts w:hint="default"/>
        <w:lang w:val="en-GB" w:eastAsia="en-GB" w:bidi="en-GB"/>
      </w:rPr>
    </w:lvl>
    <w:lvl w:ilvl="6" w:tplc="8D58F5B4">
      <w:numFmt w:val="bullet"/>
      <w:lvlText w:val="•"/>
      <w:lvlJc w:val="left"/>
      <w:pPr>
        <w:ind w:left="1134" w:hanging="217"/>
      </w:pPr>
      <w:rPr>
        <w:rFonts w:hint="default"/>
        <w:lang w:val="en-GB" w:eastAsia="en-GB" w:bidi="en-GB"/>
      </w:rPr>
    </w:lvl>
    <w:lvl w:ilvl="7" w:tplc="B4E090F2">
      <w:numFmt w:val="bullet"/>
      <w:lvlText w:val="•"/>
      <w:lvlJc w:val="left"/>
      <w:pPr>
        <w:ind w:left="1273" w:hanging="217"/>
      </w:pPr>
      <w:rPr>
        <w:rFonts w:hint="default"/>
        <w:lang w:val="en-GB" w:eastAsia="en-GB" w:bidi="en-GB"/>
      </w:rPr>
    </w:lvl>
    <w:lvl w:ilvl="8" w:tplc="2732F578">
      <w:numFmt w:val="bullet"/>
      <w:lvlText w:val="•"/>
      <w:lvlJc w:val="left"/>
      <w:pPr>
        <w:ind w:left="1412" w:hanging="217"/>
      </w:pPr>
      <w:rPr>
        <w:rFonts w:hint="default"/>
        <w:lang w:val="en-GB" w:eastAsia="en-GB" w:bidi="en-GB"/>
      </w:rPr>
    </w:lvl>
  </w:abstractNum>
  <w:abstractNum w:abstractNumId="458" w15:restartNumberingAfterBreak="0">
    <w:nsid w:val="2A483B11"/>
    <w:multiLevelType w:val="hybridMultilevel"/>
    <w:tmpl w:val="7F4C2930"/>
    <w:lvl w:ilvl="0" w:tplc="7076CD54">
      <w:numFmt w:val="bullet"/>
      <w:lvlText w:val="•"/>
      <w:lvlJc w:val="left"/>
      <w:pPr>
        <w:ind w:left="304" w:hanging="217"/>
      </w:pPr>
      <w:rPr>
        <w:rFonts w:ascii="Arial" w:eastAsia="Arial" w:hAnsi="Arial" w:cs="Arial" w:hint="default"/>
        <w:color w:val="231F20"/>
        <w:spacing w:val="-20"/>
        <w:w w:val="100"/>
        <w:sz w:val="18"/>
        <w:szCs w:val="18"/>
        <w:lang w:val="en-GB" w:eastAsia="en-GB" w:bidi="en-GB"/>
      </w:rPr>
    </w:lvl>
    <w:lvl w:ilvl="1" w:tplc="C972BF24">
      <w:numFmt w:val="bullet"/>
      <w:lvlText w:val="•"/>
      <w:lvlJc w:val="left"/>
      <w:pPr>
        <w:ind w:left="544" w:hanging="217"/>
      </w:pPr>
      <w:rPr>
        <w:rFonts w:hint="default"/>
        <w:lang w:val="en-GB" w:eastAsia="en-GB" w:bidi="en-GB"/>
      </w:rPr>
    </w:lvl>
    <w:lvl w:ilvl="2" w:tplc="45787F56">
      <w:numFmt w:val="bullet"/>
      <w:lvlText w:val="•"/>
      <w:lvlJc w:val="left"/>
      <w:pPr>
        <w:ind w:left="788" w:hanging="217"/>
      </w:pPr>
      <w:rPr>
        <w:rFonts w:hint="default"/>
        <w:lang w:val="en-GB" w:eastAsia="en-GB" w:bidi="en-GB"/>
      </w:rPr>
    </w:lvl>
    <w:lvl w:ilvl="3" w:tplc="65E0CF00">
      <w:numFmt w:val="bullet"/>
      <w:lvlText w:val="•"/>
      <w:lvlJc w:val="left"/>
      <w:pPr>
        <w:ind w:left="1032" w:hanging="217"/>
      </w:pPr>
      <w:rPr>
        <w:rFonts w:hint="default"/>
        <w:lang w:val="en-GB" w:eastAsia="en-GB" w:bidi="en-GB"/>
      </w:rPr>
    </w:lvl>
    <w:lvl w:ilvl="4" w:tplc="B7C20282">
      <w:numFmt w:val="bullet"/>
      <w:lvlText w:val="•"/>
      <w:lvlJc w:val="left"/>
      <w:pPr>
        <w:ind w:left="1276" w:hanging="217"/>
      </w:pPr>
      <w:rPr>
        <w:rFonts w:hint="default"/>
        <w:lang w:val="en-GB" w:eastAsia="en-GB" w:bidi="en-GB"/>
      </w:rPr>
    </w:lvl>
    <w:lvl w:ilvl="5" w:tplc="88327806">
      <w:numFmt w:val="bullet"/>
      <w:lvlText w:val="•"/>
      <w:lvlJc w:val="left"/>
      <w:pPr>
        <w:ind w:left="1520" w:hanging="217"/>
      </w:pPr>
      <w:rPr>
        <w:rFonts w:hint="default"/>
        <w:lang w:val="en-GB" w:eastAsia="en-GB" w:bidi="en-GB"/>
      </w:rPr>
    </w:lvl>
    <w:lvl w:ilvl="6" w:tplc="13DE8D46">
      <w:numFmt w:val="bullet"/>
      <w:lvlText w:val="•"/>
      <w:lvlJc w:val="left"/>
      <w:pPr>
        <w:ind w:left="1764" w:hanging="217"/>
      </w:pPr>
      <w:rPr>
        <w:rFonts w:hint="default"/>
        <w:lang w:val="en-GB" w:eastAsia="en-GB" w:bidi="en-GB"/>
      </w:rPr>
    </w:lvl>
    <w:lvl w:ilvl="7" w:tplc="35E02A76">
      <w:numFmt w:val="bullet"/>
      <w:lvlText w:val="•"/>
      <w:lvlJc w:val="left"/>
      <w:pPr>
        <w:ind w:left="2008" w:hanging="217"/>
      </w:pPr>
      <w:rPr>
        <w:rFonts w:hint="default"/>
        <w:lang w:val="en-GB" w:eastAsia="en-GB" w:bidi="en-GB"/>
      </w:rPr>
    </w:lvl>
    <w:lvl w:ilvl="8" w:tplc="6696FFF4">
      <w:numFmt w:val="bullet"/>
      <w:lvlText w:val="•"/>
      <w:lvlJc w:val="left"/>
      <w:pPr>
        <w:ind w:left="2252" w:hanging="217"/>
      </w:pPr>
      <w:rPr>
        <w:rFonts w:hint="default"/>
        <w:lang w:val="en-GB" w:eastAsia="en-GB" w:bidi="en-GB"/>
      </w:rPr>
    </w:lvl>
  </w:abstractNum>
  <w:abstractNum w:abstractNumId="459" w15:restartNumberingAfterBreak="0">
    <w:nsid w:val="2A7510DD"/>
    <w:multiLevelType w:val="hybridMultilevel"/>
    <w:tmpl w:val="4A4E0BA8"/>
    <w:lvl w:ilvl="0" w:tplc="B1C41A8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BBE1002">
      <w:numFmt w:val="bullet"/>
      <w:lvlText w:val="•"/>
      <w:lvlJc w:val="left"/>
      <w:pPr>
        <w:ind w:left="541" w:hanging="217"/>
      </w:pPr>
      <w:rPr>
        <w:rFonts w:hint="default"/>
        <w:lang w:val="en-GB" w:eastAsia="en-GB" w:bidi="en-GB"/>
      </w:rPr>
    </w:lvl>
    <w:lvl w:ilvl="2" w:tplc="8E6654C6">
      <w:numFmt w:val="bullet"/>
      <w:lvlText w:val="•"/>
      <w:lvlJc w:val="left"/>
      <w:pPr>
        <w:ind w:left="782" w:hanging="217"/>
      </w:pPr>
      <w:rPr>
        <w:rFonts w:hint="default"/>
        <w:lang w:val="en-GB" w:eastAsia="en-GB" w:bidi="en-GB"/>
      </w:rPr>
    </w:lvl>
    <w:lvl w:ilvl="3" w:tplc="89E457E4">
      <w:numFmt w:val="bullet"/>
      <w:lvlText w:val="•"/>
      <w:lvlJc w:val="left"/>
      <w:pPr>
        <w:ind w:left="1023" w:hanging="217"/>
      </w:pPr>
      <w:rPr>
        <w:rFonts w:hint="default"/>
        <w:lang w:val="en-GB" w:eastAsia="en-GB" w:bidi="en-GB"/>
      </w:rPr>
    </w:lvl>
    <w:lvl w:ilvl="4" w:tplc="428A10D2">
      <w:numFmt w:val="bullet"/>
      <w:lvlText w:val="•"/>
      <w:lvlJc w:val="left"/>
      <w:pPr>
        <w:ind w:left="1264" w:hanging="217"/>
      </w:pPr>
      <w:rPr>
        <w:rFonts w:hint="default"/>
        <w:lang w:val="en-GB" w:eastAsia="en-GB" w:bidi="en-GB"/>
      </w:rPr>
    </w:lvl>
    <w:lvl w:ilvl="5" w:tplc="9F505080">
      <w:numFmt w:val="bullet"/>
      <w:lvlText w:val="•"/>
      <w:lvlJc w:val="left"/>
      <w:pPr>
        <w:ind w:left="1505" w:hanging="217"/>
      </w:pPr>
      <w:rPr>
        <w:rFonts w:hint="default"/>
        <w:lang w:val="en-GB" w:eastAsia="en-GB" w:bidi="en-GB"/>
      </w:rPr>
    </w:lvl>
    <w:lvl w:ilvl="6" w:tplc="99EA261C">
      <w:numFmt w:val="bullet"/>
      <w:lvlText w:val="•"/>
      <w:lvlJc w:val="left"/>
      <w:pPr>
        <w:ind w:left="1746" w:hanging="217"/>
      </w:pPr>
      <w:rPr>
        <w:rFonts w:hint="default"/>
        <w:lang w:val="en-GB" w:eastAsia="en-GB" w:bidi="en-GB"/>
      </w:rPr>
    </w:lvl>
    <w:lvl w:ilvl="7" w:tplc="63E23804">
      <w:numFmt w:val="bullet"/>
      <w:lvlText w:val="•"/>
      <w:lvlJc w:val="left"/>
      <w:pPr>
        <w:ind w:left="1987" w:hanging="217"/>
      </w:pPr>
      <w:rPr>
        <w:rFonts w:hint="default"/>
        <w:lang w:val="en-GB" w:eastAsia="en-GB" w:bidi="en-GB"/>
      </w:rPr>
    </w:lvl>
    <w:lvl w:ilvl="8" w:tplc="73D0728E">
      <w:numFmt w:val="bullet"/>
      <w:lvlText w:val="•"/>
      <w:lvlJc w:val="left"/>
      <w:pPr>
        <w:ind w:left="2228" w:hanging="217"/>
      </w:pPr>
      <w:rPr>
        <w:rFonts w:hint="default"/>
        <w:lang w:val="en-GB" w:eastAsia="en-GB" w:bidi="en-GB"/>
      </w:rPr>
    </w:lvl>
  </w:abstractNum>
  <w:abstractNum w:abstractNumId="460" w15:restartNumberingAfterBreak="0">
    <w:nsid w:val="2A774E97"/>
    <w:multiLevelType w:val="hybridMultilevel"/>
    <w:tmpl w:val="7F402B42"/>
    <w:lvl w:ilvl="0" w:tplc="D4F675E4">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449EE53C">
      <w:numFmt w:val="bullet"/>
      <w:lvlText w:val="•"/>
      <w:lvlJc w:val="left"/>
      <w:pPr>
        <w:ind w:left="473" w:hanging="217"/>
      </w:pPr>
      <w:rPr>
        <w:rFonts w:hint="default"/>
        <w:lang w:val="en-GB" w:eastAsia="en-GB" w:bidi="en-GB"/>
      </w:rPr>
    </w:lvl>
    <w:lvl w:ilvl="2" w:tplc="E88E4BC4">
      <w:numFmt w:val="bullet"/>
      <w:lvlText w:val="•"/>
      <w:lvlJc w:val="left"/>
      <w:pPr>
        <w:ind w:left="646" w:hanging="217"/>
      </w:pPr>
      <w:rPr>
        <w:rFonts w:hint="default"/>
        <w:lang w:val="en-GB" w:eastAsia="en-GB" w:bidi="en-GB"/>
      </w:rPr>
    </w:lvl>
    <w:lvl w:ilvl="3" w:tplc="FA8C8700">
      <w:numFmt w:val="bullet"/>
      <w:lvlText w:val="•"/>
      <w:lvlJc w:val="left"/>
      <w:pPr>
        <w:ind w:left="819" w:hanging="217"/>
      </w:pPr>
      <w:rPr>
        <w:rFonts w:hint="default"/>
        <w:lang w:val="en-GB" w:eastAsia="en-GB" w:bidi="en-GB"/>
      </w:rPr>
    </w:lvl>
    <w:lvl w:ilvl="4" w:tplc="85CC4ACA">
      <w:numFmt w:val="bullet"/>
      <w:lvlText w:val="•"/>
      <w:lvlJc w:val="left"/>
      <w:pPr>
        <w:ind w:left="992" w:hanging="217"/>
      </w:pPr>
      <w:rPr>
        <w:rFonts w:hint="default"/>
        <w:lang w:val="en-GB" w:eastAsia="en-GB" w:bidi="en-GB"/>
      </w:rPr>
    </w:lvl>
    <w:lvl w:ilvl="5" w:tplc="7616AE32">
      <w:numFmt w:val="bullet"/>
      <w:lvlText w:val="•"/>
      <w:lvlJc w:val="left"/>
      <w:pPr>
        <w:ind w:left="1165" w:hanging="217"/>
      </w:pPr>
      <w:rPr>
        <w:rFonts w:hint="default"/>
        <w:lang w:val="en-GB" w:eastAsia="en-GB" w:bidi="en-GB"/>
      </w:rPr>
    </w:lvl>
    <w:lvl w:ilvl="6" w:tplc="32E290FC">
      <w:numFmt w:val="bullet"/>
      <w:lvlText w:val="•"/>
      <w:lvlJc w:val="left"/>
      <w:pPr>
        <w:ind w:left="1338" w:hanging="217"/>
      </w:pPr>
      <w:rPr>
        <w:rFonts w:hint="default"/>
        <w:lang w:val="en-GB" w:eastAsia="en-GB" w:bidi="en-GB"/>
      </w:rPr>
    </w:lvl>
    <w:lvl w:ilvl="7" w:tplc="7988B3F6">
      <w:numFmt w:val="bullet"/>
      <w:lvlText w:val="•"/>
      <w:lvlJc w:val="left"/>
      <w:pPr>
        <w:ind w:left="1511" w:hanging="217"/>
      </w:pPr>
      <w:rPr>
        <w:rFonts w:hint="default"/>
        <w:lang w:val="en-GB" w:eastAsia="en-GB" w:bidi="en-GB"/>
      </w:rPr>
    </w:lvl>
    <w:lvl w:ilvl="8" w:tplc="5BAC6B12">
      <w:numFmt w:val="bullet"/>
      <w:lvlText w:val="•"/>
      <w:lvlJc w:val="left"/>
      <w:pPr>
        <w:ind w:left="1684" w:hanging="217"/>
      </w:pPr>
      <w:rPr>
        <w:rFonts w:hint="default"/>
        <w:lang w:val="en-GB" w:eastAsia="en-GB" w:bidi="en-GB"/>
      </w:rPr>
    </w:lvl>
  </w:abstractNum>
  <w:abstractNum w:abstractNumId="461" w15:restartNumberingAfterBreak="0">
    <w:nsid w:val="2A912BCB"/>
    <w:multiLevelType w:val="hybridMultilevel"/>
    <w:tmpl w:val="90CA2ADC"/>
    <w:lvl w:ilvl="0" w:tplc="C2A004A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DD4722C">
      <w:numFmt w:val="bullet"/>
      <w:lvlText w:val="•"/>
      <w:lvlJc w:val="left"/>
      <w:pPr>
        <w:ind w:left="473" w:hanging="217"/>
      </w:pPr>
      <w:rPr>
        <w:rFonts w:hint="default"/>
        <w:lang w:val="en-GB" w:eastAsia="en-GB" w:bidi="en-GB"/>
      </w:rPr>
    </w:lvl>
    <w:lvl w:ilvl="2" w:tplc="76BCA164">
      <w:numFmt w:val="bullet"/>
      <w:lvlText w:val="•"/>
      <w:lvlJc w:val="left"/>
      <w:pPr>
        <w:ind w:left="646" w:hanging="217"/>
      </w:pPr>
      <w:rPr>
        <w:rFonts w:hint="default"/>
        <w:lang w:val="en-GB" w:eastAsia="en-GB" w:bidi="en-GB"/>
      </w:rPr>
    </w:lvl>
    <w:lvl w:ilvl="3" w:tplc="131EE026">
      <w:numFmt w:val="bullet"/>
      <w:lvlText w:val="•"/>
      <w:lvlJc w:val="left"/>
      <w:pPr>
        <w:ind w:left="819" w:hanging="217"/>
      </w:pPr>
      <w:rPr>
        <w:rFonts w:hint="default"/>
        <w:lang w:val="en-GB" w:eastAsia="en-GB" w:bidi="en-GB"/>
      </w:rPr>
    </w:lvl>
    <w:lvl w:ilvl="4" w:tplc="CE8098CC">
      <w:numFmt w:val="bullet"/>
      <w:lvlText w:val="•"/>
      <w:lvlJc w:val="left"/>
      <w:pPr>
        <w:ind w:left="992" w:hanging="217"/>
      </w:pPr>
      <w:rPr>
        <w:rFonts w:hint="default"/>
        <w:lang w:val="en-GB" w:eastAsia="en-GB" w:bidi="en-GB"/>
      </w:rPr>
    </w:lvl>
    <w:lvl w:ilvl="5" w:tplc="5A2014BE">
      <w:numFmt w:val="bullet"/>
      <w:lvlText w:val="•"/>
      <w:lvlJc w:val="left"/>
      <w:pPr>
        <w:ind w:left="1165" w:hanging="217"/>
      </w:pPr>
      <w:rPr>
        <w:rFonts w:hint="default"/>
        <w:lang w:val="en-GB" w:eastAsia="en-GB" w:bidi="en-GB"/>
      </w:rPr>
    </w:lvl>
    <w:lvl w:ilvl="6" w:tplc="1F42A6BC">
      <w:numFmt w:val="bullet"/>
      <w:lvlText w:val="•"/>
      <w:lvlJc w:val="left"/>
      <w:pPr>
        <w:ind w:left="1338" w:hanging="217"/>
      </w:pPr>
      <w:rPr>
        <w:rFonts w:hint="default"/>
        <w:lang w:val="en-GB" w:eastAsia="en-GB" w:bidi="en-GB"/>
      </w:rPr>
    </w:lvl>
    <w:lvl w:ilvl="7" w:tplc="0B2E377C">
      <w:numFmt w:val="bullet"/>
      <w:lvlText w:val="•"/>
      <w:lvlJc w:val="left"/>
      <w:pPr>
        <w:ind w:left="1511" w:hanging="217"/>
      </w:pPr>
      <w:rPr>
        <w:rFonts w:hint="default"/>
        <w:lang w:val="en-GB" w:eastAsia="en-GB" w:bidi="en-GB"/>
      </w:rPr>
    </w:lvl>
    <w:lvl w:ilvl="8" w:tplc="133A0B72">
      <w:numFmt w:val="bullet"/>
      <w:lvlText w:val="•"/>
      <w:lvlJc w:val="left"/>
      <w:pPr>
        <w:ind w:left="1684" w:hanging="217"/>
      </w:pPr>
      <w:rPr>
        <w:rFonts w:hint="default"/>
        <w:lang w:val="en-GB" w:eastAsia="en-GB" w:bidi="en-GB"/>
      </w:rPr>
    </w:lvl>
  </w:abstractNum>
  <w:abstractNum w:abstractNumId="462" w15:restartNumberingAfterBreak="0">
    <w:nsid w:val="2AA94069"/>
    <w:multiLevelType w:val="hybridMultilevel"/>
    <w:tmpl w:val="954293C0"/>
    <w:lvl w:ilvl="0" w:tplc="B4606EA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5EAE22C">
      <w:numFmt w:val="bullet"/>
      <w:lvlText w:val="•"/>
      <w:lvlJc w:val="left"/>
      <w:pPr>
        <w:ind w:left="544" w:hanging="217"/>
      </w:pPr>
      <w:rPr>
        <w:rFonts w:hint="default"/>
        <w:lang w:val="en-GB" w:eastAsia="en-GB" w:bidi="en-GB"/>
      </w:rPr>
    </w:lvl>
    <w:lvl w:ilvl="2" w:tplc="34FCFA58">
      <w:numFmt w:val="bullet"/>
      <w:lvlText w:val="•"/>
      <w:lvlJc w:val="left"/>
      <w:pPr>
        <w:ind w:left="788" w:hanging="217"/>
      </w:pPr>
      <w:rPr>
        <w:rFonts w:hint="default"/>
        <w:lang w:val="en-GB" w:eastAsia="en-GB" w:bidi="en-GB"/>
      </w:rPr>
    </w:lvl>
    <w:lvl w:ilvl="3" w:tplc="C78E0664">
      <w:numFmt w:val="bullet"/>
      <w:lvlText w:val="•"/>
      <w:lvlJc w:val="left"/>
      <w:pPr>
        <w:ind w:left="1032" w:hanging="217"/>
      </w:pPr>
      <w:rPr>
        <w:rFonts w:hint="default"/>
        <w:lang w:val="en-GB" w:eastAsia="en-GB" w:bidi="en-GB"/>
      </w:rPr>
    </w:lvl>
    <w:lvl w:ilvl="4" w:tplc="7156655C">
      <w:numFmt w:val="bullet"/>
      <w:lvlText w:val="•"/>
      <w:lvlJc w:val="left"/>
      <w:pPr>
        <w:ind w:left="1276" w:hanging="217"/>
      </w:pPr>
      <w:rPr>
        <w:rFonts w:hint="default"/>
        <w:lang w:val="en-GB" w:eastAsia="en-GB" w:bidi="en-GB"/>
      </w:rPr>
    </w:lvl>
    <w:lvl w:ilvl="5" w:tplc="11AC6DCA">
      <w:numFmt w:val="bullet"/>
      <w:lvlText w:val="•"/>
      <w:lvlJc w:val="left"/>
      <w:pPr>
        <w:ind w:left="1520" w:hanging="217"/>
      </w:pPr>
      <w:rPr>
        <w:rFonts w:hint="default"/>
        <w:lang w:val="en-GB" w:eastAsia="en-GB" w:bidi="en-GB"/>
      </w:rPr>
    </w:lvl>
    <w:lvl w:ilvl="6" w:tplc="53EA8AA2">
      <w:numFmt w:val="bullet"/>
      <w:lvlText w:val="•"/>
      <w:lvlJc w:val="left"/>
      <w:pPr>
        <w:ind w:left="1764" w:hanging="217"/>
      </w:pPr>
      <w:rPr>
        <w:rFonts w:hint="default"/>
        <w:lang w:val="en-GB" w:eastAsia="en-GB" w:bidi="en-GB"/>
      </w:rPr>
    </w:lvl>
    <w:lvl w:ilvl="7" w:tplc="E152A736">
      <w:numFmt w:val="bullet"/>
      <w:lvlText w:val="•"/>
      <w:lvlJc w:val="left"/>
      <w:pPr>
        <w:ind w:left="2008" w:hanging="217"/>
      </w:pPr>
      <w:rPr>
        <w:rFonts w:hint="default"/>
        <w:lang w:val="en-GB" w:eastAsia="en-GB" w:bidi="en-GB"/>
      </w:rPr>
    </w:lvl>
    <w:lvl w:ilvl="8" w:tplc="3D10F54C">
      <w:numFmt w:val="bullet"/>
      <w:lvlText w:val="•"/>
      <w:lvlJc w:val="left"/>
      <w:pPr>
        <w:ind w:left="2252" w:hanging="217"/>
      </w:pPr>
      <w:rPr>
        <w:rFonts w:hint="default"/>
        <w:lang w:val="en-GB" w:eastAsia="en-GB" w:bidi="en-GB"/>
      </w:rPr>
    </w:lvl>
  </w:abstractNum>
  <w:abstractNum w:abstractNumId="463" w15:restartNumberingAfterBreak="0">
    <w:nsid w:val="2B0176C6"/>
    <w:multiLevelType w:val="hybridMultilevel"/>
    <w:tmpl w:val="A858CF4C"/>
    <w:lvl w:ilvl="0" w:tplc="26F859FA">
      <w:numFmt w:val="bullet"/>
      <w:lvlText w:val="•"/>
      <w:lvlJc w:val="left"/>
      <w:pPr>
        <w:ind w:left="304" w:hanging="217"/>
      </w:pPr>
      <w:rPr>
        <w:rFonts w:ascii="Arial" w:eastAsia="Arial" w:hAnsi="Arial" w:cs="Arial" w:hint="default"/>
        <w:color w:val="231F20"/>
        <w:spacing w:val="-14"/>
        <w:w w:val="100"/>
        <w:sz w:val="18"/>
        <w:szCs w:val="18"/>
        <w:lang w:val="en-GB" w:eastAsia="en-GB" w:bidi="en-GB"/>
      </w:rPr>
    </w:lvl>
    <w:lvl w:ilvl="1" w:tplc="41860AA2">
      <w:numFmt w:val="bullet"/>
      <w:lvlText w:val="•"/>
      <w:lvlJc w:val="left"/>
      <w:pPr>
        <w:ind w:left="473" w:hanging="217"/>
      </w:pPr>
      <w:rPr>
        <w:rFonts w:hint="default"/>
        <w:lang w:val="en-GB" w:eastAsia="en-GB" w:bidi="en-GB"/>
      </w:rPr>
    </w:lvl>
    <w:lvl w:ilvl="2" w:tplc="6226C9B8">
      <w:numFmt w:val="bullet"/>
      <w:lvlText w:val="•"/>
      <w:lvlJc w:val="left"/>
      <w:pPr>
        <w:ind w:left="646" w:hanging="217"/>
      </w:pPr>
      <w:rPr>
        <w:rFonts w:hint="default"/>
        <w:lang w:val="en-GB" w:eastAsia="en-GB" w:bidi="en-GB"/>
      </w:rPr>
    </w:lvl>
    <w:lvl w:ilvl="3" w:tplc="0E2269D2">
      <w:numFmt w:val="bullet"/>
      <w:lvlText w:val="•"/>
      <w:lvlJc w:val="left"/>
      <w:pPr>
        <w:ind w:left="819" w:hanging="217"/>
      </w:pPr>
      <w:rPr>
        <w:rFonts w:hint="default"/>
        <w:lang w:val="en-GB" w:eastAsia="en-GB" w:bidi="en-GB"/>
      </w:rPr>
    </w:lvl>
    <w:lvl w:ilvl="4" w:tplc="009E23AE">
      <w:numFmt w:val="bullet"/>
      <w:lvlText w:val="•"/>
      <w:lvlJc w:val="left"/>
      <w:pPr>
        <w:ind w:left="992" w:hanging="217"/>
      </w:pPr>
      <w:rPr>
        <w:rFonts w:hint="default"/>
        <w:lang w:val="en-GB" w:eastAsia="en-GB" w:bidi="en-GB"/>
      </w:rPr>
    </w:lvl>
    <w:lvl w:ilvl="5" w:tplc="4D9488D6">
      <w:numFmt w:val="bullet"/>
      <w:lvlText w:val="•"/>
      <w:lvlJc w:val="left"/>
      <w:pPr>
        <w:ind w:left="1165" w:hanging="217"/>
      </w:pPr>
      <w:rPr>
        <w:rFonts w:hint="default"/>
        <w:lang w:val="en-GB" w:eastAsia="en-GB" w:bidi="en-GB"/>
      </w:rPr>
    </w:lvl>
    <w:lvl w:ilvl="6" w:tplc="F99218D6">
      <w:numFmt w:val="bullet"/>
      <w:lvlText w:val="•"/>
      <w:lvlJc w:val="left"/>
      <w:pPr>
        <w:ind w:left="1338" w:hanging="217"/>
      </w:pPr>
      <w:rPr>
        <w:rFonts w:hint="default"/>
        <w:lang w:val="en-GB" w:eastAsia="en-GB" w:bidi="en-GB"/>
      </w:rPr>
    </w:lvl>
    <w:lvl w:ilvl="7" w:tplc="117E62EE">
      <w:numFmt w:val="bullet"/>
      <w:lvlText w:val="•"/>
      <w:lvlJc w:val="left"/>
      <w:pPr>
        <w:ind w:left="1511" w:hanging="217"/>
      </w:pPr>
      <w:rPr>
        <w:rFonts w:hint="default"/>
        <w:lang w:val="en-GB" w:eastAsia="en-GB" w:bidi="en-GB"/>
      </w:rPr>
    </w:lvl>
    <w:lvl w:ilvl="8" w:tplc="9A44AEC6">
      <w:numFmt w:val="bullet"/>
      <w:lvlText w:val="•"/>
      <w:lvlJc w:val="left"/>
      <w:pPr>
        <w:ind w:left="1684" w:hanging="217"/>
      </w:pPr>
      <w:rPr>
        <w:rFonts w:hint="default"/>
        <w:lang w:val="en-GB" w:eastAsia="en-GB" w:bidi="en-GB"/>
      </w:rPr>
    </w:lvl>
  </w:abstractNum>
  <w:abstractNum w:abstractNumId="464" w15:restartNumberingAfterBreak="0">
    <w:nsid w:val="2B0806BC"/>
    <w:multiLevelType w:val="hybridMultilevel"/>
    <w:tmpl w:val="F62819CC"/>
    <w:lvl w:ilvl="0" w:tplc="FCD2AA2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10E0AC4">
      <w:numFmt w:val="bullet"/>
      <w:lvlText w:val="•"/>
      <w:lvlJc w:val="left"/>
      <w:pPr>
        <w:ind w:left="544" w:hanging="217"/>
      </w:pPr>
      <w:rPr>
        <w:rFonts w:hint="default"/>
        <w:lang w:val="en-GB" w:eastAsia="en-GB" w:bidi="en-GB"/>
      </w:rPr>
    </w:lvl>
    <w:lvl w:ilvl="2" w:tplc="51A4571E">
      <w:numFmt w:val="bullet"/>
      <w:lvlText w:val="•"/>
      <w:lvlJc w:val="left"/>
      <w:pPr>
        <w:ind w:left="788" w:hanging="217"/>
      </w:pPr>
      <w:rPr>
        <w:rFonts w:hint="default"/>
        <w:lang w:val="en-GB" w:eastAsia="en-GB" w:bidi="en-GB"/>
      </w:rPr>
    </w:lvl>
    <w:lvl w:ilvl="3" w:tplc="B3F2ECF2">
      <w:numFmt w:val="bullet"/>
      <w:lvlText w:val="•"/>
      <w:lvlJc w:val="left"/>
      <w:pPr>
        <w:ind w:left="1032" w:hanging="217"/>
      </w:pPr>
      <w:rPr>
        <w:rFonts w:hint="default"/>
        <w:lang w:val="en-GB" w:eastAsia="en-GB" w:bidi="en-GB"/>
      </w:rPr>
    </w:lvl>
    <w:lvl w:ilvl="4" w:tplc="84C8899A">
      <w:numFmt w:val="bullet"/>
      <w:lvlText w:val="•"/>
      <w:lvlJc w:val="left"/>
      <w:pPr>
        <w:ind w:left="1276" w:hanging="217"/>
      </w:pPr>
      <w:rPr>
        <w:rFonts w:hint="default"/>
        <w:lang w:val="en-GB" w:eastAsia="en-GB" w:bidi="en-GB"/>
      </w:rPr>
    </w:lvl>
    <w:lvl w:ilvl="5" w:tplc="60BC6A82">
      <w:numFmt w:val="bullet"/>
      <w:lvlText w:val="•"/>
      <w:lvlJc w:val="left"/>
      <w:pPr>
        <w:ind w:left="1520" w:hanging="217"/>
      </w:pPr>
      <w:rPr>
        <w:rFonts w:hint="default"/>
        <w:lang w:val="en-GB" w:eastAsia="en-GB" w:bidi="en-GB"/>
      </w:rPr>
    </w:lvl>
    <w:lvl w:ilvl="6" w:tplc="861095FE">
      <w:numFmt w:val="bullet"/>
      <w:lvlText w:val="•"/>
      <w:lvlJc w:val="left"/>
      <w:pPr>
        <w:ind w:left="1764" w:hanging="217"/>
      </w:pPr>
      <w:rPr>
        <w:rFonts w:hint="default"/>
        <w:lang w:val="en-GB" w:eastAsia="en-GB" w:bidi="en-GB"/>
      </w:rPr>
    </w:lvl>
    <w:lvl w:ilvl="7" w:tplc="9FD64C12">
      <w:numFmt w:val="bullet"/>
      <w:lvlText w:val="•"/>
      <w:lvlJc w:val="left"/>
      <w:pPr>
        <w:ind w:left="2008" w:hanging="217"/>
      </w:pPr>
      <w:rPr>
        <w:rFonts w:hint="default"/>
        <w:lang w:val="en-GB" w:eastAsia="en-GB" w:bidi="en-GB"/>
      </w:rPr>
    </w:lvl>
    <w:lvl w:ilvl="8" w:tplc="E4B6A5E4">
      <w:numFmt w:val="bullet"/>
      <w:lvlText w:val="•"/>
      <w:lvlJc w:val="left"/>
      <w:pPr>
        <w:ind w:left="2252" w:hanging="217"/>
      </w:pPr>
      <w:rPr>
        <w:rFonts w:hint="default"/>
        <w:lang w:val="en-GB" w:eastAsia="en-GB" w:bidi="en-GB"/>
      </w:rPr>
    </w:lvl>
  </w:abstractNum>
  <w:abstractNum w:abstractNumId="465" w15:restartNumberingAfterBreak="0">
    <w:nsid w:val="2B093E78"/>
    <w:multiLevelType w:val="hybridMultilevel"/>
    <w:tmpl w:val="8DC0644E"/>
    <w:lvl w:ilvl="0" w:tplc="6EFC280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1625D56">
      <w:numFmt w:val="bullet"/>
      <w:lvlText w:val="•"/>
      <w:lvlJc w:val="left"/>
      <w:pPr>
        <w:ind w:left="892" w:hanging="217"/>
      </w:pPr>
      <w:rPr>
        <w:rFonts w:hint="default"/>
        <w:lang w:val="en-GB" w:eastAsia="en-GB" w:bidi="en-GB"/>
      </w:rPr>
    </w:lvl>
    <w:lvl w:ilvl="2" w:tplc="44D2B796">
      <w:numFmt w:val="bullet"/>
      <w:lvlText w:val="•"/>
      <w:lvlJc w:val="left"/>
      <w:pPr>
        <w:ind w:left="1485" w:hanging="217"/>
      </w:pPr>
      <w:rPr>
        <w:rFonts w:hint="default"/>
        <w:lang w:val="en-GB" w:eastAsia="en-GB" w:bidi="en-GB"/>
      </w:rPr>
    </w:lvl>
    <w:lvl w:ilvl="3" w:tplc="AA32C5BC">
      <w:numFmt w:val="bullet"/>
      <w:lvlText w:val="•"/>
      <w:lvlJc w:val="left"/>
      <w:pPr>
        <w:ind w:left="2077" w:hanging="217"/>
      </w:pPr>
      <w:rPr>
        <w:rFonts w:hint="default"/>
        <w:lang w:val="en-GB" w:eastAsia="en-GB" w:bidi="en-GB"/>
      </w:rPr>
    </w:lvl>
    <w:lvl w:ilvl="4" w:tplc="3BF827E0">
      <w:numFmt w:val="bullet"/>
      <w:lvlText w:val="•"/>
      <w:lvlJc w:val="left"/>
      <w:pPr>
        <w:ind w:left="2670" w:hanging="217"/>
      </w:pPr>
      <w:rPr>
        <w:rFonts w:hint="default"/>
        <w:lang w:val="en-GB" w:eastAsia="en-GB" w:bidi="en-GB"/>
      </w:rPr>
    </w:lvl>
    <w:lvl w:ilvl="5" w:tplc="16B80260">
      <w:numFmt w:val="bullet"/>
      <w:lvlText w:val="•"/>
      <w:lvlJc w:val="left"/>
      <w:pPr>
        <w:ind w:left="3263" w:hanging="217"/>
      </w:pPr>
      <w:rPr>
        <w:rFonts w:hint="default"/>
        <w:lang w:val="en-GB" w:eastAsia="en-GB" w:bidi="en-GB"/>
      </w:rPr>
    </w:lvl>
    <w:lvl w:ilvl="6" w:tplc="8D2C5FDE">
      <w:numFmt w:val="bullet"/>
      <w:lvlText w:val="•"/>
      <w:lvlJc w:val="left"/>
      <w:pPr>
        <w:ind w:left="3855" w:hanging="217"/>
      </w:pPr>
      <w:rPr>
        <w:rFonts w:hint="default"/>
        <w:lang w:val="en-GB" w:eastAsia="en-GB" w:bidi="en-GB"/>
      </w:rPr>
    </w:lvl>
    <w:lvl w:ilvl="7" w:tplc="3B3E07AE">
      <w:numFmt w:val="bullet"/>
      <w:lvlText w:val="•"/>
      <w:lvlJc w:val="left"/>
      <w:pPr>
        <w:ind w:left="4448" w:hanging="217"/>
      </w:pPr>
      <w:rPr>
        <w:rFonts w:hint="default"/>
        <w:lang w:val="en-GB" w:eastAsia="en-GB" w:bidi="en-GB"/>
      </w:rPr>
    </w:lvl>
    <w:lvl w:ilvl="8" w:tplc="FBA0E688">
      <w:numFmt w:val="bullet"/>
      <w:lvlText w:val="•"/>
      <w:lvlJc w:val="left"/>
      <w:pPr>
        <w:ind w:left="5040" w:hanging="217"/>
      </w:pPr>
      <w:rPr>
        <w:rFonts w:hint="default"/>
        <w:lang w:val="en-GB" w:eastAsia="en-GB" w:bidi="en-GB"/>
      </w:rPr>
    </w:lvl>
  </w:abstractNum>
  <w:abstractNum w:abstractNumId="466" w15:restartNumberingAfterBreak="0">
    <w:nsid w:val="2B0C1749"/>
    <w:multiLevelType w:val="hybridMultilevel"/>
    <w:tmpl w:val="E8E4149C"/>
    <w:lvl w:ilvl="0" w:tplc="1A766CF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34EF9D8">
      <w:numFmt w:val="bullet"/>
      <w:lvlText w:val="•"/>
      <w:lvlJc w:val="left"/>
      <w:pPr>
        <w:ind w:left="892" w:hanging="217"/>
      </w:pPr>
      <w:rPr>
        <w:rFonts w:hint="default"/>
        <w:lang w:val="en-GB" w:eastAsia="en-GB" w:bidi="en-GB"/>
      </w:rPr>
    </w:lvl>
    <w:lvl w:ilvl="2" w:tplc="5D1C745A">
      <w:numFmt w:val="bullet"/>
      <w:lvlText w:val="•"/>
      <w:lvlJc w:val="left"/>
      <w:pPr>
        <w:ind w:left="1485" w:hanging="217"/>
      </w:pPr>
      <w:rPr>
        <w:rFonts w:hint="default"/>
        <w:lang w:val="en-GB" w:eastAsia="en-GB" w:bidi="en-GB"/>
      </w:rPr>
    </w:lvl>
    <w:lvl w:ilvl="3" w:tplc="FFEEE6A6">
      <w:numFmt w:val="bullet"/>
      <w:lvlText w:val="•"/>
      <w:lvlJc w:val="left"/>
      <w:pPr>
        <w:ind w:left="2077" w:hanging="217"/>
      </w:pPr>
      <w:rPr>
        <w:rFonts w:hint="default"/>
        <w:lang w:val="en-GB" w:eastAsia="en-GB" w:bidi="en-GB"/>
      </w:rPr>
    </w:lvl>
    <w:lvl w:ilvl="4" w:tplc="227C5D06">
      <w:numFmt w:val="bullet"/>
      <w:lvlText w:val="•"/>
      <w:lvlJc w:val="left"/>
      <w:pPr>
        <w:ind w:left="2670" w:hanging="217"/>
      </w:pPr>
      <w:rPr>
        <w:rFonts w:hint="default"/>
        <w:lang w:val="en-GB" w:eastAsia="en-GB" w:bidi="en-GB"/>
      </w:rPr>
    </w:lvl>
    <w:lvl w:ilvl="5" w:tplc="0B2A8F18">
      <w:numFmt w:val="bullet"/>
      <w:lvlText w:val="•"/>
      <w:lvlJc w:val="left"/>
      <w:pPr>
        <w:ind w:left="3263" w:hanging="217"/>
      </w:pPr>
      <w:rPr>
        <w:rFonts w:hint="default"/>
        <w:lang w:val="en-GB" w:eastAsia="en-GB" w:bidi="en-GB"/>
      </w:rPr>
    </w:lvl>
    <w:lvl w:ilvl="6" w:tplc="25F0CEE2">
      <w:numFmt w:val="bullet"/>
      <w:lvlText w:val="•"/>
      <w:lvlJc w:val="left"/>
      <w:pPr>
        <w:ind w:left="3855" w:hanging="217"/>
      </w:pPr>
      <w:rPr>
        <w:rFonts w:hint="default"/>
        <w:lang w:val="en-GB" w:eastAsia="en-GB" w:bidi="en-GB"/>
      </w:rPr>
    </w:lvl>
    <w:lvl w:ilvl="7" w:tplc="380C7ABE">
      <w:numFmt w:val="bullet"/>
      <w:lvlText w:val="•"/>
      <w:lvlJc w:val="left"/>
      <w:pPr>
        <w:ind w:left="4448" w:hanging="217"/>
      </w:pPr>
      <w:rPr>
        <w:rFonts w:hint="default"/>
        <w:lang w:val="en-GB" w:eastAsia="en-GB" w:bidi="en-GB"/>
      </w:rPr>
    </w:lvl>
    <w:lvl w:ilvl="8" w:tplc="4990A938">
      <w:numFmt w:val="bullet"/>
      <w:lvlText w:val="•"/>
      <w:lvlJc w:val="left"/>
      <w:pPr>
        <w:ind w:left="5040" w:hanging="217"/>
      </w:pPr>
      <w:rPr>
        <w:rFonts w:hint="default"/>
        <w:lang w:val="en-GB" w:eastAsia="en-GB" w:bidi="en-GB"/>
      </w:rPr>
    </w:lvl>
  </w:abstractNum>
  <w:abstractNum w:abstractNumId="467" w15:restartNumberingAfterBreak="0">
    <w:nsid w:val="2B1322AB"/>
    <w:multiLevelType w:val="hybridMultilevel"/>
    <w:tmpl w:val="54DCE9CE"/>
    <w:lvl w:ilvl="0" w:tplc="491E9C9A">
      <w:numFmt w:val="bullet"/>
      <w:lvlText w:val="•"/>
      <w:lvlJc w:val="left"/>
      <w:pPr>
        <w:ind w:left="303" w:hanging="217"/>
      </w:pPr>
      <w:rPr>
        <w:rFonts w:ascii="Arial" w:eastAsia="Arial" w:hAnsi="Arial" w:cs="Arial" w:hint="default"/>
        <w:color w:val="231F20"/>
        <w:w w:val="102"/>
        <w:sz w:val="17"/>
        <w:szCs w:val="17"/>
        <w:lang w:val="en-GB" w:eastAsia="en-GB" w:bidi="en-GB"/>
      </w:rPr>
    </w:lvl>
    <w:lvl w:ilvl="1" w:tplc="526C68B6">
      <w:numFmt w:val="bullet"/>
      <w:lvlText w:val="•"/>
      <w:lvlJc w:val="left"/>
      <w:pPr>
        <w:ind w:left="439" w:hanging="217"/>
      </w:pPr>
      <w:rPr>
        <w:rFonts w:hint="default"/>
        <w:lang w:val="en-GB" w:eastAsia="en-GB" w:bidi="en-GB"/>
      </w:rPr>
    </w:lvl>
    <w:lvl w:ilvl="2" w:tplc="7FF0B4C4">
      <w:numFmt w:val="bullet"/>
      <w:lvlText w:val="•"/>
      <w:lvlJc w:val="left"/>
      <w:pPr>
        <w:ind w:left="578" w:hanging="217"/>
      </w:pPr>
      <w:rPr>
        <w:rFonts w:hint="default"/>
        <w:lang w:val="en-GB" w:eastAsia="en-GB" w:bidi="en-GB"/>
      </w:rPr>
    </w:lvl>
    <w:lvl w:ilvl="3" w:tplc="56D81DF8">
      <w:numFmt w:val="bullet"/>
      <w:lvlText w:val="•"/>
      <w:lvlJc w:val="left"/>
      <w:pPr>
        <w:ind w:left="717" w:hanging="217"/>
      </w:pPr>
      <w:rPr>
        <w:rFonts w:hint="default"/>
        <w:lang w:val="en-GB" w:eastAsia="en-GB" w:bidi="en-GB"/>
      </w:rPr>
    </w:lvl>
    <w:lvl w:ilvl="4" w:tplc="1EE0FFE6">
      <w:numFmt w:val="bullet"/>
      <w:lvlText w:val="•"/>
      <w:lvlJc w:val="left"/>
      <w:pPr>
        <w:ind w:left="856" w:hanging="217"/>
      </w:pPr>
      <w:rPr>
        <w:rFonts w:hint="default"/>
        <w:lang w:val="en-GB" w:eastAsia="en-GB" w:bidi="en-GB"/>
      </w:rPr>
    </w:lvl>
    <w:lvl w:ilvl="5" w:tplc="B5E80E96">
      <w:numFmt w:val="bullet"/>
      <w:lvlText w:val="•"/>
      <w:lvlJc w:val="left"/>
      <w:pPr>
        <w:ind w:left="995" w:hanging="217"/>
      </w:pPr>
      <w:rPr>
        <w:rFonts w:hint="default"/>
        <w:lang w:val="en-GB" w:eastAsia="en-GB" w:bidi="en-GB"/>
      </w:rPr>
    </w:lvl>
    <w:lvl w:ilvl="6" w:tplc="EA72BD38">
      <w:numFmt w:val="bullet"/>
      <w:lvlText w:val="•"/>
      <w:lvlJc w:val="left"/>
      <w:pPr>
        <w:ind w:left="1134" w:hanging="217"/>
      </w:pPr>
      <w:rPr>
        <w:rFonts w:hint="default"/>
        <w:lang w:val="en-GB" w:eastAsia="en-GB" w:bidi="en-GB"/>
      </w:rPr>
    </w:lvl>
    <w:lvl w:ilvl="7" w:tplc="C0AE43FE">
      <w:numFmt w:val="bullet"/>
      <w:lvlText w:val="•"/>
      <w:lvlJc w:val="left"/>
      <w:pPr>
        <w:ind w:left="1273" w:hanging="217"/>
      </w:pPr>
      <w:rPr>
        <w:rFonts w:hint="default"/>
        <w:lang w:val="en-GB" w:eastAsia="en-GB" w:bidi="en-GB"/>
      </w:rPr>
    </w:lvl>
    <w:lvl w:ilvl="8" w:tplc="B74A3788">
      <w:numFmt w:val="bullet"/>
      <w:lvlText w:val="•"/>
      <w:lvlJc w:val="left"/>
      <w:pPr>
        <w:ind w:left="1412" w:hanging="217"/>
      </w:pPr>
      <w:rPr>
        <w:rFonts w:hint="default"/>
        <w:lang w:val="en-GB" w:eastAsia="en-GB" w:bidi="en-GB"/>
      </w:rPr>
    </w:lvl>
  </w:abstractNum>
  <w:abstractNum w:abstractNumId="468" w15:restartNumberingAfterBreak="0">
    <w:nsid w:val="2B3D736C"/>
    <w:multiLevelType w:val="hybridMultilevel"/>
    <w:tmpl w:val="94981654"/>
    <w:lvl w:ilvl="0" w:tplc="FE4EBDD0">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46B285D6">
      <w:numFmt w:val="bullet"/>
      <w:lvlText w:val="•"/>
      <w:lvlJc w:val="left"/>
      <w:pPr>
        <w:ind w:left="892" w:hanging="217"/>
      </w:pPr>
      <w:rPr>
        <w:rFonts w:hint="default"/>
        <w:lang w:val="en-GB" w:eastAsia="en-GB" w:bidi="en-GB"/>
      </w:rPr>
    </w:lvl>
    <w:lvl w:ilvl="2" w:tplc="EED40060">
      <w:numFmt w:val="bullet"/>
      <w:lvlText w:val="•"/>
      <w:lvlJc w:val="left"/>
      <w:pPr>
        <w:ind w:left="1485" w:hanging="217"/>
      </w:pPr>
      <w:rPr>
        <w:rFonts w:hint="default"/>
        <w:lang w:val="en-GB" w:eastAsia="en-GB" w:bidi="en-GB"/>
      </w:rPr>
    </w:lvl>
    <w:lvl w:ilvl="3" w:tplc="9F8C6824">
      <w:numFmt w:val="bullet"/>
      <w:lvlText w:val="•"/>
      <w:lvlJc w:val="left"/>
      <w:pPr>
        <w:ind w:left="2077" w:hanging="217"/>
      </w:pPr>
      <w:rPr>
        <w:rFonts w:hint="default"/>
        <w:lang w:val="en-GB" w:eastAsia="en-GB" w:bidi="en-GB"/>
      </w:rPr>
    </w:lvl>
    <w:lvl w:ilvl="4" w:tplc="AB14996E">
      <w:numFmt w:val="bullet"/>
      <w:lvlText w:val="•"/>
      <w:lvlJc w:val="left"/>
      <w:pPr>
        <w:ind w:left="2670" w:hanging="217"/>
      </w:pPr>
      <w:rPr>
        <w:rFonts w:hint="default"/>
        <w:lang w:val="en-GB" w:eastAsia="en-GB" w:bidi="en-GB"/>
      </w:rPr>
    </w:lvl>
    <w:lvl w:ilvl="5" w:tplc="91CE0F42">
      <w:numFmt w:val="bullet"/>
      <w:lvlText w:val="•"/>
      <w:lvlJc w:val="left"/>
      <w:pPr>
        <w:ind w:left="3263" w:hanging="217"/>
      </w:pPr>
      <w:rPr>
        <w:rFonts w:hint="default"/>
        <w:lang w:val="en-GB" w:eastAsia="en-GB" w:bidi="en-GB"/>
      </w:rPr>
    </w:lvl>
    <w:lvl w:ilvl="6" w:tplc="A244BA6E">
      <w:numFmt w:val="bullet"/>
      <w:lvlText w:val="•"/>
      <w:lvlJc w:val="left"/>
      <w:pPr>
        <w:ind w:left="3855" w:hanging="217"/>
      </w:pPr>
      <w:rPr>
        <w:rFonts w:hint="default"/>
        <w:lang w:val="en-GB" w:eastAsia="en-GB" w:bidi="en-GB"/>
      </w:rPr>
    </w:lvl>
    <w:lvl w:ilvl="7" w:tplc="C8948F2E">
      <w:numFmt w:val="bullet"/>
      <w:lvlText w:val="•"/>
      <w:lvlJc w:val="left"/>
      <w:pPr>
        <w:ind w:left="4448" w:hanging="217"/>
      </w:pPr>
      <w:rPr>
        <w:rFonts w:hint="default"/>
        <w:lang w:val="en-GB" w:eastAsia="en-GB" w:bidi="en-GB"/>
      </w:rPr>
    </w:lvl>
    <w:lvl w:ilvl="8" w:tplc="4D343606">
      <w:numFmt w:val="bullet"/>
      <w:lvlText w:val="•"/>
      <w:lvlJc w:val="left"/>
      <w:pPr>
        <w:ind w:left="5040" w:hanging="217"/>
      </w:pPr>
      <w:rPr>
        <w:rFonts w:hint="default"/>
        <w:lang w:val="en-GB" w:eastAsia="en-GB" w:bidi="en-GB"/>
      </w:rPr>
    </w:lvl>
  </w:abstractNum>
  <w:abstractNum w:abstractNumId="469" w15:restartNumberingAfterBreak="0">
    <w:nsid w:val="2B4F3325"/>
    <w:multiLevelType w:val="hybridMultilevel"/>
    <w:tmpl w:val="B1C41D84"/>
    <w:lvl w:ilvl="0" w:tplc="D7965084">
      <w:numFmt w:val="bullet"/>
      <w:lvlText w:val="•"/>
      <w:lvlJc w:val="left"/>
      <w:pPr>
        <w:ind w:left="306" w:hanging="217"/>
      </w:pPr>
      <w:rPr>
        <w:rFonts w:ascii="Arial" w:eastAsia="Arial" w:hAnsi="Arial" w:cs="Arial" w:hint="default"/>
        <w:color w:val="231F20"/>
        <w:spacing w:val="-1"/>
        <w:w w:val="100"/>
        <w:sz w:val="18"/>
        <w:szCs w:val="18"/>
        <w:lang w:val="en-GB" w:eastAsia="en-GB" w:bidi="en-GB"/>
      </w:rPr>
    </w:lvl>
    <w:lvl w:ilvl="1" w:tplc="560206A8">
      <w:numFmt w:val="bullet"/>
      <w:lvlText w:val="•"/>
      <w:lvlJc w:val="left"/>
      <w:pPr>
        <w:ind w:left="444" w:hanging="217"/>
      </w:pPr>
      <w:rPr>
        <w:rFonts w:hint="default"/>
        <w:lang w:val="en-GB" w:eastAsia="en-GB" w:bidi="en-GB"/>
      </w:rPr>
    </w:lvl>
    <w:lvl w:ilvl="2" w:tplc="9ABA8090">
      <w:numFmt w:val="bullet"/>
      <w:lvlText w:val="•"/>
      <w:lvlJc w:val="left"/>
      <w:pPr>
        <w:ind w:left="589" w:hanging="217"/>
      </w:pPr>
      <w:rPr>
        <w:rFonts w:hint="default"/>
        <w:lang w:val="en-GB" w:eastAsia="en-GB" w:bidi="en-GB"/>
      </w:rPr>
    </w:lvl>
    <w:lvl w:ilvl="3" w:tplc="7A0E10C4">
      <w:numFmt w:val="bullet"/>
      <w:lvlText w:val="•"/>
      <w:lvlJc w:val="left"/>
      <w:pPr>
        <w:ind w:left="734" w:hanging="217"/>
      </w:pPr>
      <w:rPr>
        <w:rFonts w:hint="default"/>
        <w:lang w:val="en-GB" w:eastAsia="en-GB" w:bidi="en-GB"/>
      </w:rPr>
    </w:lvl>
    <w:lvl w:ilvl="4" w:tplc="93FA459E">
      <w:numFmt w:val="bullet"/>
      <w:lvlText w:val="•"/>
      <w:lvlJc w:val="left"/>
      <w:pPr>
        <w:ind w:left="878" w:hanging="217"/>
      </w:pPr>
      <w:rPr>
        <w:rFonts w:hint="default"/>
        <w:lang w:val="en-GB" w:eastAsia="en-GB" w:bidi="en-GB"/>
      </w:rPr>
    </w:lvl>
    <w:lvl w:ilvl="5" w:tplc="2FDEC510">
      <w:numFmt w:val="bullet"/>
      <w:lvlText w:val="•"/>
      <w:lvlJc w:val="left"/>
      <w:pPr>
        <w:ind w:left="1023" w:hanging="217"/>
      </w:pPr>
      <w:rPr>
        <w:rFonts w:hint="default"/>
        <w:lang w:val="en-GB" w:eastAsia="en-GB" w:bidi="en-GB"/>
      </w:rPr>
    </w:lvl>
    <w:lvl w:ilvl="6" w:tplc="ABE27CD4">
      <w:numFmt w:val="bullet"/>
      <w:lvlText w:val="•"/>
      <w:lvlJc w:val="left"/>
      <w:pPr>
        <w:ind w:left="1168" w:hanging="217"/>
      </w:pPr>
      <w:rPr>
        <w:rFonts w:hint="default"/>
        <w:lang w:val="en-GB" w:eastAsia="en-GB" w:bidi="en-GB"/>
      </w:rPr>
    </w:lvl>
    <w:lvl w:ilvl="7" w:tplc="506E1CE0">
      <w:numFmt w:val="bullet"/>
      <w:lvlText w:val="•"/>
      <w:lvlJc w:val="left"/>
      <w:pPr>
        <w:ind w:left="1312" w:hanging="217"/>
      </w:pPr>
      <w:rPr>
        <w:rFonts w:hint="default"/>
        <w:lang w:val="en-GB" w:eastAsia="en-GB" w:bidi="en-GB"/>
      </w:rPr>
    </w:lvl>
    <w:lvl w:ilvl="8" w:tplc="1660C5A2">
      <w:numFmt w:val="bullet"/>
      <w:lvlText w:val="•"/>
      <w:lvlJc w:val="left"/>
      <w:pPr>
        <w:ind w:left="1457" w:hanging="217"/>
      </w:pPr>
      <w:rPr>
        <w:rFonts w:hint="default"/>
        <w:lang w:val="en-GB" w:eastAsia="en-GB" w:bidi="en-GB"/>
      </w:rPr>
    </w:lvl>
  </w:abstractNum>
  <w:abstractNum w:abstractNumId="470" w15:restartNumberingAfterBreak="0">
    <w:nsid w:val="2B7B4A34"/>
    <w:multiLevelType w:val="hybridMultilevel"/>
    <w:tmpl w:val="06F89654"/>
    <w:lvl w:ilvl="0" w:tplc="A74EDF6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D5469AE">
      <w:numFmt w:val="bullet"/>
      <w:lvlText w:val="•"/>
      <w:lvlJc w:val="left"/>
      <w:pPr>
        <w:ind w:left="892" w:hanging="217"/>
      </w:pPr>
      <w:rPr>
        <w:rFonts w:hint="default"/>
        <w:lang w:val="en-GB" w:eastAsia="en-GB" w:bidi="en-GB"/>
      </w:rPr>
    </w:lvl>
    <w:lvl w:ilvl="2" w:tplc="99D896D4">
      <w:numFmt w:val="bullet"/>
      <w:lvlText w:val="•"/>
      <w:lvlJc w:val="left"/>
      <w:pPr>
        <w:ind w:left="1485" w:hanging="217"/>
      </w:pPr>
      <w:rPr>
        <w:rFonts w:hint="default"/>
        <w:lang w:val="en-GB" w:eastAsia="en-GB" w:bidi="en-GB"/>
      </w:rPr>
    </w:lvl>
    <w:lvl w:ilvl="3" w:tplc="BEDA63EC">
      <w:numFmt w:val="bullet"/>
      <w:lvlText w:val="•"/>
      <w:lvlJc w:val="left"/>
      <w:pPr>
        <w:ind w:left="2077" w:hanging="217"/>
      </w:pPr>
      <w:rPr>
        <w:rFonts w:hint="default"/>
        <w:lang w:val="en-GB" w:eastAsia="en-GB" w:bidi="en-GB"/>
      </w:rPr>
    </w:lvl>
    <w:lvl w:ilvl="4" w:tplc="F07C77B8">
      <w:numFmt w:val="bullet"/>
      <w:lvlText w:val="•"/>
      <w:lvlJc w:val="left"/>
      <w:pPr>
        <w:ind w:left="2670" w:hanging="217"/>
      </w:pPr>
      <w:rPr>
        <w:rFonts w:hint="default"/>
        <w:lang w:val="en-GB" w:eastAsia="en-GB" w:bidi="en-GB"/>
      </w:rPr>
    </w:lvl>
    <w:lvl w:ilvl="5" w:tplc="6E3A44E8">
      <w:numFmt w:val="bullet"/>
      <w:lvlText w:val="•"/>
      <w:lvlJc w:val="left"/>
      <w:pPr>
        <w:ind w:left="3263" w:hanging="217"/>
      </w:pPr>
      <w:rPr>
        <w:rFonts w:hint="default"/>
        <w:lang w:val="en-GB" w:eastAsia="en-GB" w:bidi="en-GB"/>
      </w:rPr>
    </w:lvl>
    <w:lvl w:ilvl="6" w:tplc="EEBE73B2">
      <w:numFmt w:val="bullet"/>
      <w:lvlText w:val="•"/>
      <w:lvlJc w:val="left"/>
      <w:pPr>
        <w:ind w:left="3855" w:hanging="217"/>
      </w:pPr>
      <w:rPr>
        <w:rFonts w:hint="default"/>
        <w:lang w:val="en-GB" w:eastAsia="en-GB" w:bidi="en-GB"/>
      </w:rPr>
    </w:lvl>
    <w:lvl w:ilvl="7" w:tplc="EAA8C0AA">
      <w:numFmt w:val="bullet"/>
      <w:lvlText w:val="•"/>
      <w:lvlJc w:val="left"/>
      <w:pPr>
        <w:ind w:left="4448" w:hanging="217"/>
      </w:pPr>
      <w:rPr>
        <w:rFonts w:hint="default"/>
        <w:lang w:val="en-GB" w:eastAsia="en-GB" w:bidi="en-GB"/>
      </w:rPr>
    </w:lvl>
    <w:lvl w:ilvl="8" w:tplc="B7B65F9E">
      <w:numFmt w:val="bullet"/>
      <w:lvlText w:val="•"/>
      <w:lvlJc w:val="left"/>
      <w:pPr>
        <w:ind w:left="5040" w:hanging="217"/>
      </w:pPr>
      <w:rPr>
        <w:rFonts w:hint="default"/>
        <w:lang w:val="en-GB" w:eastAsia="en-GB" w:bidi="en-GB"/>
      </w:rPr>
    </w:lvl>
  </w:abstractNum>
  <w:abstractNum w:abstractNumId="471" w15:restartNumberingAfterBreak="0">
    <w:nsid w:val="2B825A23"/>
    <w:multiLevelType w:val="hybridMultilevel"/>
    <w:tmpl w:val="71203D2E"/>
    <w:lvl w:ilvl="0" w:tplc="8EE0C95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A0A216F8">
      <w:numFmt w:val="bullet"/>
      <w:lvlText w:val="•"/>
      <w:lvlJc w:val="left"/>
      <w:pPr>
        <w:ind w:left="473" w:hanging="217"/>
      </w:pPr>
      <w:rPr>
        <w:rFonts w:hint="default"/>
        <w:lang w:val="en-GB" w:eastAsia="en-GB" w:bidi="en-GB"/>
      </w:rPr>
    </w:lvl>
    <w:lvl w:ilvl="2" w:tplc="B0368486">
      <w:numFmt w:val="bullet"/>
      <w:lvlText w:val="•"/>
      <w:lvlJc w:val="left"/>
      <w:pPr>
        <w:ind w:left="646" w:hanging="217"/>
      </w:pPr>
      <w:rPr>
        <w:rFonts w:hint="default"/>
        <w:lang w:val="en-GB" w:eastAsia="en-GB" w:bidi="en-GB"/>
      </w:rPr>
    </w:lvl>
    <w:lvl w:ilvl="3" w:tplc="8388714E">
      <w:numFmt w:val="bullet"/>
      <w:lvlText w:val="•"/>
      <w:lvlJc w:val="left"/>
      <w:pPr>
        <w:ind w:left="819" w:hanging="217"/>
      </w:pPr>
      <w:rPr>
        <w:rFonts w:hint="default"/>
        <w:lang w:val="en-GB" w:eastAsia="en-GB" w:bidi="en-GB"/>
      </w:rPr>
    </w:lvl>
    <w:lvl w:ilvl="4" w:tplc="17FC908A">
      <w:numFmt w:val="bullet"/>
      <w:lvlText w:val="•"/>
      <w:lvlJc w:val="left"/>
      <w:pPr>
        <w:ind w:left="992" w:hanging="217"/>
      </w:pPr>
      <w:rPr>
        <w:rFonts w:hint="default"/>
        <w:lang w:val="en-GB" w:eastAsia="en-GB" w:bidi="en-GB"/>
      </w:rPr>
    </w:lvl>
    <w:lvl w:ilvl="5" w:tplc="7BEC6ABC">
      <w:numFmt w:val="bullet"/>
      <w:lvlText w:val="•"/>
      <w:lvlJc w:val="left"/>
      <w:pPr>
        <w:ind w:left="1165" w:hanging="217"/>
      </w:pPr>
      <w:rPr>
        <w:rFonts w:hint="default"/>
        <w:lang w:val="en-GB" w:eastAsia="en-GB" w:bidi="en-GB"/>
      </w:rPr>
    </w:lvl>
    <w:lvl w:ilvl="6" w:tplc="12FCB608">
      <w:numFmt w:val="bullet"/>
      <w:lvlText w:val="•"/>
      <w:lvlJc w:val="left"/>
      <w:pPr>
        <w:ind w:left="1338" w:hanging="217"/>
      </w:pPr>
      <w:rPr>
        <w:rFonts w:hint="default"/>
        <w:lang w:val="en-GB" w:eastAsia="en-GB" w:bidi="en-GB"/>
      </w:rPr>
    </w:lvl>
    <w:lvl w:ilvl="7" w:tplc="C01C6C20">
      <w:numFmt w:val="bullet"/>
      <w:lvlText w:val="•"/>
      <w:lvlJc w:val="left"/>
      <w:pPr>
        <w:ind w:left="1511" w:hanging="217"/>
      </w:pPr>
      <w:rPr>
        <w:rFonts w:hint="default"/>
        <w:lang w:val="en-GB" w:eastAsia="en-GB" w:bidi="en-GB"/>
      </w:rPr>
    </w:lvl>
    <w:lvl w:ilvl="8" w:tplc="83AA9520">
      <w:numFmt w:val="bullet"/>
      <w:lvlText w:val="•"/>
      <w:lvlJc w:val="left"/>
      <w:pPr>
        <w:ind w:left="1684" w:hanging="217"/>
      </w:pPr>
      <w:rPr>
        <w:rFonts w:hint="default"/>
        <w:lang w:val="en-GB" w:eastAsia="en-GB" w:bidi="en-GB"/>
      </w:rPr>
    </w:lvl>
  </w:abstractNum>
  <w:abstractNum w:abstractNumId="472" w15:restartNumberingAfterBreak="0">
    <w:nsid w:val="2B9705D8"/>
    <w:multiLevelType w:val="hybridMultilevel"/>
    <w:tmpl w:val="DF6CC266"/>
    <w:lvl w:ilvl="0" w:tplc="3D14A634">
      <w:numFmt w:val="bullet"/>
      <w:lvlText w:val="•"/>
      <w:lvlJc w:val="left"/>
      <w:pPr>
        <w:ind w:left="304" w:hanging="217"/>
      </w:pPr>
      <w:rPr>
        <w:rFonts w:ascii="Arial" w:eastAsia="Arial" w:hAnsi="Arial" w:cs="Arial" w:hint="default"/>
        <w:color w:val="231F20"/>
        <w:w w:val="100"/>
        <w:sz w:val="18"/>
        <w:szCs w:val="18"/>
        <w:lang w:val="en-GB" w:eastAsia="en-GB" w:bidi="en-GB"/>
      </w:rPr>
    </w:lvl>
    <w:lvl w:ilvl="1" w:tplc="AA8C71A4">
      <w:numFmt w:val="bullet"/>
      <w:lvlText w:val="•"/>
      <w:lvlJc w:val="left"/>
      <w:pPr>
        <w:ind w:left="473" w:hanging="217"/>
      </w:pPr>
      <w:rPr>
        <w:rFonts w:hint="default"/>
        <w:lang w:val="en-GB" w:eastAsia="en-GB" w:bidi="en-GB"/>
      </w:rPr>
    </w:lvl>
    <w:lvl w:ilvl="2" w:tplc="02B681A6">
      <w:numFmt w:val="bullet"/>
      <w:lvlText w:val="•"/>
      <w:lvlJc w:val="left"/>
      <w:pPr>
        <w:ind w:left="646" w:hanging="217"/>
      </w:pPr>
      <w:rPr>
        <w:rFonts w:hint="default"/>
        <w:lang w:val="en-GB" w:eastAsia="en-GB" w:bidi="en-GB"/>
      </w:rPr>
    </w:lvl>
    <w:lvl w:ilvl="3" w:tplc="299831A6">
      <w:numFmt w:val="bullet"/>
      <w:lvlText w:val="•"/>
      <w:lvlJc w:val="left"/>
      <w:pPr>
        <w:ind w:left="819" w:hanging="217"/>
      </w:pPr>
      <w:rPr>
        <w:rFonts w:hint="default"/>
        <w:lang w:val="en-GB" w:eastAsia="en-GB" w:bidi="en-GB"/>
      </w:rPr>
    </w:lvl>
    <w:lvl w:ilvl="4" w:tplc="12F0E07E">
      <w:numFmt w:val="bullet"/>
      <w:lvlText w:val="•"/>
      <w:lvlJc w:val="left"/>
      <w:pPr>
        <w:ind w:left="992" w:hanging="217"/>
      </w:pPr>
      <w:rPr>
        <w:rFonts w:hint="default"/>
        <w:lang w:val="en-GB" w:eastAsia="en-GB" w:bidi="en-GB"/>
      </w:rPr>
    </w:lvl>
    <w:lvl w:ilvl="5" w:tplc="CCAC7CC6">
      <w:numFmt w:val="bullet"/>
      <w:lvlText w:val="•"/>
      <w:lvlJc w:val="left"/>
      <w:pPr>
        <w:ind w:left="1165" w:hanging="217"/>
      </w:pPr>
      <w:rPr>
        <w:rFonts w:hint="default"/>
        <w:lang w:val="en-GB" w:eastAsia="en-GB" w:bidi="en-GB"/>
      </w:rPr>
    </w:lvl>
    <w:lvl w:ilvl="6" w:tplc="16CE3BBA">
      <w:numFmt w:val="bullet"/>
      <w:lvlText w:val="•"/>
      <w:lvlJc w:val="left"/>
      <w:pPr>
        <w:ind w:left="1338" w:hanging="217"/>
      </w:pPr>
      <w:rPr>
        <w:rFonts w:hint="default"/>
        <w:lang w:val="en-GB" w:eastAsia="en-GB" w:bidi="en-GB"/>
      </w:rPr>
    </w:lvl>
    <w:lvl w:ilvl="7" w:tplc="9F9240A4">
      <w:numFmt w:val="bullet"/>
      <w:lvlText w:val="•"/>
      <w:lvlJc w:val="left"/>
      <w:pPr>
        <w:ind w:left="1511" w:hanging="217"/>
      </w:pPr>
      <w:rPr>
        <w:rFonts w:hint="default"/>
        <w:lang w:val="en-GB" w:eastAsia="en-GB" w:bidi="en-GB"/>
      </w:rPr>
    </w:lvl>
    <w:lvl w:ilvl="8" w:tplc="5C8AAB8C">
      <w:numFmt w:val="bullet"/>
      <w:lvlText w:val="•"/>
      <w:lvlJc w:val="left"/>
      <w:pPr>
        <w:ind w:left="1684" w:hanging="217"/>
      </w:pPr>
      <w:rPr>
        <w:rFonts w:hint="default"/>
        <w:lang w:val="en-GB" w:eastAsia="en-GB" w:bidi="en-GB"/>
      </w:rPr>
    </w:lvl>
  </w:abstractNum>
  <w:abstractNum w:abstractNumId="473" w15:restartNumberingAfterBreak="0">
    <w:nsid w:val="2BA5040E"/>
    <w:multiLevelType w:val="hybridMultilevel"/>
    <w:tmpl w:val="9C82A884"/>
    <w:lvl w:ilvl="0" w:tplc="5EFA0D1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318B838">
      <w:numFmt w:val="bullet"/>
      <w:lvlText w:val="•"/>
      <w:lvlJc w:val="left"/>
      <w:pPr>
        <w:ind w:left="473" w:hanging="217"/>
      </w:pPr>
      <w:rPr>
        <w:rFonts w:hint="default"/>
        <w:lang w:val="en-GB" w:eastAsia="en-GB" w:bidi="en-GB"/>
      </w:rPr>
    </w:lvl>
    <w:lvl w:ilvl="2" w:tplc="EB06EAB8">
      <w:numFmt w:val="bullet"/>
      <w:lvlText w:val="•"/>
      <w:lvlJc w:val="left"/>
      <w:pPr>
        <w:ind w:left="646" w:hanging="217"/>
      </w:pPr>
      <w:rPr>
        <w:rFonts w:hint="default"/>
        <w:lang w:val="en-GB" w:eastAsia="en-GB" w:bidi="en-GB"/>
      </w:rPr>
    </w:lvl>
    <w:lvl w:ilvl="3" w:tplc="586CBA02">
      <w:numFmt w:val="bullet"/>
      <w:lvlText w:val="•"/>
      <w:lvlJc w:val="left"/>
      <w:pPr>
        <w:ind w:left="819" w:hanging="217"/>
      </w:pPr>
      <w:rPr>
        <w:rFonts w:hint="default"/>
        <w:lang w:val="en-GB" w:eastAsia="en-GB" w:bidi="en-GB"/>
      </w:rPr>
    </w:lvl>
    <w:lvl w:ilvl="4" w:tplc="5FF25682">
      <w:numFmt w:val="bullet"/>
      <w:lvlText w:val="•"/>
      <w:lvlJc w:val="left"/>
      <w:pPr>
        <w:ind w:left="992" w:hanging="217"/>
      </w:pPr>
      <w:rPr>
        <w:rFonts w:hint="default"/>
        <w:lang w:val="en-GB" w:eastAsia="en-GB" w:bidi="en-GB"/>
      </w:rPr>
    </w:lvl>
    <w:lvl w:ilvl="5" w:tplc="2B247306">
      <w:numFmt w:val="bullet"/>
      <w:lvlText w:val="•"/>
      <w:lvlJc w:val="left"/>
      <w:pPr>
        <w:ind w:left="1165" w:hanging="217"/>
      </w:pPr>
      <w:rPr>
        <w:rFonts w:hint="default"/>
        <w:lang w:val="en-GB" w:eastAsia="en-GB" w:bidi="en-GB"/>
      </w:rPr>
    </w:lvl>
    <w:lvl w:ilvl="6" w:tplc="08CAAA9A">
      <w:numFmt w:val="bullet"/>
      <w:lvlText w:val="•"/>
      <w:lvlJc w:val="left"/>
      <w:pPr>
        <w:ind w:left="1338" w:hanging="217"/>
      </w:pPr>
      <w:rPr>
        <w:rFonts w:hint="default"/>
        <w:lang w:val="en-GB" w:eastAsia="en-GB" w:bidi="en-GB"/>
      </w:rPr>
    </w:lvl>
    <w:lvl w:ilvl="7" w:tplc="896EDB50">
      <w:numFmt w:val="bullet"/>
      <w:lvlText w:val="•"/>
      <w:lvlJc w:val="left"/>
      <w:pPr>
        <w:ind w:left="1511" w:hanging="217"/>
      </w:pPr>
      <w:rPr>
        <w:rFonts w:hint="default"/>
        <w:lang w:val="en-GB" w:eastAsia="en-GB" w:bidi="en-GB"/>
      </w:rPr>
    </w:lvl>
    <w:lvl w:ilvl="8" w:tplc="472CCADC">
      <w:numFmt w:val="bullet"/>
      <w:lvlText w:val="•"/>
      <w:lvlJc w:val="left"/>
      <w:pPr>
        <w:ind w:left="1684" w:hanging="217"/>
      </w:pPr>
      <w:rPr>
        <w:rFonts w:hint="default"/>
        <w:lang w:val="en-GB" w:eastAsia="en-GB" w:bidi="en-GB"/>
      </w:rPr>
    </w:lvl>
  </w:abstractNum>
  <w:abstractNum w:abstractNumId="474" w15:restartNumberingAfterBreak="0">
    <w:nsid w:val="2BBB570B"/>
    <w:multiLevelType w:val="hybridMultilevel"/>
    <w:tmpl w:val="EE00007A"/>
    <w:lvl w:ilvl="0" w:tplc="8F74FCD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E84FCF0">
      <w:numFmt w:val="bullet"/>
      <w:lvlText w:val="•"/>
      <w:lvlJc w:val="left"/>
      <w:pPr>
        <w:ind w:left="473" w:hanging="217"/>
      </w:pPr>
      <w:rPr>
        <w:rFonts w:hint="default"/>
        <w:lang w:val="en-GB" w:eastAsia="en-GB" w:bidi="en-GB"/>
      </w:rPr>
    </w:lvl>
    <w:lvl w:ilvl="2" w:tplc="4B602CB8">
      <w:numFmt w:val="bullet"/>
      <w:lvlText w:val="•"/>
      <w:lvlJc w:val="left"/>
      <w:pPr>
        <w:ind w:left="646" w:hanging="217"/>
      </w:pPr>
      <w:rPr>
        <w:rFonts w:hint="default"/>
        <w:lang w:val="en-GB" w:eastAsia="en-GB" w:bidi="en-GB"/>
      </w:rPr>
    </w:lvl>
    <w:lvl w:ilvl="3" w:tplc="FA4488C0">
      <w:numFmt w:val="bullet"/>
      <w:lvlText w:val="•"/>
      <w:lvlJc w:val="left"/>
      <w:pPr>
        <w:ind w:left="819" w:hanging="217"/>
      </w:pPr>
      <w:rPr>
        <w:rFonts w:hint="default"/>
        <w:lang w:val="en-GB" w:eastAsia="en-GB" w:bidi="en-GB"/>
      </w:rPr>
    </w:lvl>
    <w:lvl w:ilvl="4" w:tplc="B234F6F8">
      <w:numFmt w:val="bullet"/>
      <w:lvlText w:val="•"/>
      <w:lvlJc w:val="left"/>
      <w:pPr>
        <w:ind w:left="992" w:hanging="217"/>
      </w:pPr>
      <w:rPr>
        <w:rFonts w:hint="default"/>
        <w:lang w:val="en-GB" w:eastAsia="en-GB" w:bidi="en-GB"/>
      </w:rPr>
    </w:lvl>
    <w:lvl w:ilvl="5" w:tplc="3C840AA2">
      <w:numFmt w:val="bullet"/>
      <w:lvlText w:val="•"/>
      <w:lvlJc w:val="left"/>
      <w:pPr>
        <w:ind w:left="1165" w:hanging="217"/>
      </w:pPr>
      <w:rPr>
        <w:rFonts w:hint="default"/>
        <w:lang w:val="en-GB" w:eastAsia="en-GB" w:bidi="en-GB"/>
      </w:rPr>
    </w:lvl>
    <w:lvl w:ilvl="6" w:tplc="2230E508">
      <w:numFmt w:val="bullet"/>
      <w:lvlText w:val="•"/>
      <w:lvlJc w:val="left"/>
      <w:pPr>
        <w:ind w:left="1338" w:hanging="217"/>
      </w:pPr>
      <w:rPr>
        <w:rFonts w:hint="default"/>
        <w:lang w:val="en-GB" w:eastAsia="en-GB" w:bidi="en-GB"/>
      </w:rPr>
    </w:lvl>
    <w:lvl w:ilvl="7" w:tplc="2A06A558">
      <w:numFmt w:val="bullet"/>
      <w:lvlText w:val="•"/>
      <w:lvlJc w:val="left"/>
      <w:pPr>
        <w:ind w:left="1511" w:hanging="217"/>
      </w:pPr>
      <w:rPr>
        <w:rFonts w:hint="default"/>
        <w:lang w:val="en-GB" w:eastAsia="en-GB" w:bidi="en-GB"/>
      </w:rPr>
    </w:lvl>
    <w:lvl w:ilvl="8" w:tplc="C1D21C8E">
      <w:numFmt w:val="bullet"/>
      <w:lvlText w:val="•"/>
      <w:lvlJc w:val="left"/>
      <w:pPr>
        <w:ind w:left="1684" w:hanging="217"/>
      </w:pPr>
      <w:rPr>
        <w:rFonts w:hint="default"/>
        <w:lang w:val="en-GB" w:eastAsia="en-GB" w:bidi="en-GB"/>
      </w:rPr>
    </w:lvl>
  </w:abstractNum>
  <w:abstractNum w:abstractNumId="475" w15:restartNumberingAfterBreak="0">
    <w:nsid w:val="2BD41BD4"/>
    <w:multiLevelType w:val="hybridMultilevel"/>
    <w:tmpl w:val="B310FEDE"/>
    <w:lvl w:ilvl="0" w:tplc="5086B40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89A2784">
      <w:numFmt w:val="bullet"/>
      <w:lvlText w:val="•"/>
      <w:lvlJc w:val="left"/>
      <w:pPr>
        <w:ind w:left="473" w:hanging="217"/>
      </w:pPr>
      <w:rPr>
        <w:rFonts w:hint="default"/>
        <w:lang w:val="en-GB" w:eastAsia="en-GB" w:bidi="en-GB"/>
      </w:rPr>
    </w:lvl>
    <w:lvl w:ilvl="2" w:tplc="5BF894D4">
      <w:numFmt w:val="bullet"/>
      <w:lvlText w:val="•"/>
      <w:lvlJc w:val="left"/>
      <w:pPr>
        <w:ind w:left="646" w:hanging="217"/>
      </w:pPr>
      <w:rPr>
        <w:rFonts w:hint="default"/>
        <w:lang w:val="en-GB" w:eastAsia="en-GB" w:bidi="en-GB"/>
      </w:rPr>
    </w:lvl>
    <w:lvl w:ilvl="3" w:tplc="1B8AEFC8">
      <w:numFmt w:val="bullet"/>
      <w:lvlText w:val="•"/>
      <w:lvlJc w:val="left"/>
      <w:pPr>
        <w:ind w:left="819" w:hanging="217"/>
      </w:pPr>
      <w:rPr>
        <w:rFonts w:hint="default"/>
        <w:lang w:val="en-GB" w:eastAsia="en-GB" w:bidi="en-GB"/>
      </w:rPr>
    </w:lvl>
    <w:lvl w:ilvl="4" w:tplc="5FD28A3C">
      <w:numFmt w:val="bullet"/>
      <w:lvlText w:val="•"/>
      <w:lvlJc w:val="left"/>
      <w:pPr>
        <w:ind w:left="992" w:hanging="217"/>
      </w:pPr>
      <w:rPr>
        <w:rFonts w:hint="default"/>
        <w:lang w:val="en-GB" w:eastAsia="en-GB" w:bidi="en-GB"/>
      </w:rPr>
    </w:lvl>
    <w:lvl w:ilvl="5" w:tplc="997A52A0">
      <w:numFmt w:val="bullet"/>
      <w:lvlText w:val="•"/>
      <w:lvlJc w:val="left"/>
      <w:pPr>
        <w:ind w:left="1165" w:hanging="217"/>
      </w:pPr>
      <w:rPr>
        <w:rFonts w:hint="default"/>
        <w:lang w:val="en-GB" w:eastAsia="en-GB" w:bidi="en-GB"/>
      </w:rPr>
    </w:lvl>
    <w:lvl w:ilvl="6" w:tplc="306E4F6E">
      <w:numFmt w:val="bullet"/>
      <w:lvlText w:val="•"/>
      <w:lvlJc w:val="left"/>
      <w:pPr>
        <w:ind w:left="1338" w:hanging="217"/>
      </w:pPr>
      <w:rPr>
        <w:rFonts w:hint="default"/>
        <w:lang w:val="en-GB" w:eastAsia="en-GB" w:bidi="en-GB"/>
      </w:rPr>
    </w:lvl>
    <w:lvl w:ilvl="7" w:tplc="9F805CCC">
      <w:numFmt w:val="bullet"/>
      <w:lvlText w:val="•"/>
      <w:lvlJc w:val="left"/>
      <w:pPr>
        <w:ind w:left="1511" w:hanging="217"/>
      </w:pPr>
      <w:rPr>
        <w:rFonts w:hint="default"/>
        <w:lang w:val="en-GB" w:eastAsia="en-GB" w:bidi="en-GB"/>
      </w:rPr>
    </w:lvl>
    <w:lvl w:ilvl="8" w:tplc="7520C3F6">
      <w:numFmt w:val="bullet"/>
      <w:lvlText w:val="•"/>
      <w:lvlJc w:val="left"/>
      <w:pPr>
        <w:ind w:left="1684" w:hanging="217"/>
      </w:pPr>
      <w:rPr>
        <w:rFonts w:hint="default"/>
        <w:lang w:val="en-GB" w:eastAsia="en-GB" w:bidi="en-GB"/>
      </w:rPr>
    </w:lvl>
  </w:abstractNum>
  <w:abstractNum w:abstractNumId="476" w15:restartNumberingAfterBreak="0">
    <w:nsid w:val="2BD833A6"/>
    <w:multiLevelType w:val="hybridMultilevel"/>
    <w:tmpl w:val="503C73F4"/>
    <w:lvl w:ilvl="0" w:tplc="C436E4B2">
      <w:numFmt w:val="bullet"/>
      <w:lvlText w:val="•"/>
      <w:lvlJc w:val="left"/>
      <w:pPr>
        <w:ind w:left="303" w:hanging="217"/>
      </w:pPr>
      <w:rPr>
        <w:rFonts w:ascii="Arial" w:eastAsia="Arial" w:hAnsi="Arial" w:cs="Arial" w:hint="default"/>
        <w:color w:val="231F20"/>
        <w:w w:val="102"/>
        <w:sz w:val="17"/>
        <w:szCs w:val="17"/>
        <w:lang w:val="en-GB" w:eastAsia="en-GB" w:bidi="en-GB"/>
      </w:rPr>
    </w:lvl>
    <w:lvl w:ilvl="1" w:tplc="465E06CC">
      <w:numFmt w:val="bullet"/>
      <w:lvlText w:val="•"/>
      <w:lvlJc w:val="left"/>
      <w:pPr>
        <w:ind w:left="439" w:hanging="217"/>
      </w:pPr>
      <w:rPr>
        <w:rFonts w:hint="default"/>
        <w:lang w:val="en-GB" w:eastAsia="en-GB" w:bidi="en-GB"/>
      </w:rPr>
    </w:lvl>
    <w:lvl w:ilvl="2" w:tplc="0914BE5A">
      <w:numFmt w:val="bullet"/>
      <w:lvlText w:val="•"/>
      <w:lvlJc w:val="left"/>
      <w:pPr>
        <w:ind w:left="578" w:hanging="217"/>
      </w:pPr>
      <w:rPr>
        <w:rFonts w:hint="default"/>
        <w:lang w:val="en-GB" w:eastAsia="en-GB" w:bidi="en-GB"/>
      </w:rPr>
    </w:lvl>
    <w:lvl w:ilvl="3" w:tplc="267CAEF0">
      <w:numFmt w:val="bullet"/>
      <w:lvlText w:val="•"/>
      <w:lvlJc w:val="left"/>
      <w:pPr>
        <w:ind w:left="717" w:hanging="217"/>
      </w:pPr>
      <w:rPr>
        <w:rFonts w:hint="default"/>
        <w:lang w:val="en-GB" w:eastAsia="en-GB" w:bidi="en-GB"/>
      </w:rPr>
    </w:lvl>
    <w:lvl w:ilvl="4" w:tplc="D826E104">
      <w:numFmt w:val="bullet"/>
      <w:lvlText w:val="•"/>
      <w:lvlJc w:val="left"/>
      <w:pPr>
        <w:ind w:left="856" w:hanging="217"/>
      </w:pPr>
      <w:rPr>
        <w:rFonts w:hint="default"/>
        <w:lang w:val="en-GB" w:eastAsia="en-GB" w:bidi="en-GB"/>
      </w:rPr>
    </w:lvl>
    <w:lvl w:ilvl="5" w:tplc="F79A841E">
      <w:numFmt w:val="bullet"/>
      <w:lvlText w:val="•"/>
      <w:lvlJc w:val="left"/>
      <w:pPr>
        <w:ind w:left="995" w:hanging="217"/>
      </w:pPr>
      <w:rPr>
        <w:rFonts w:hint="default"/>
        <w:lang w:val="en-GB" w:eastAsia="en-GB" w:bidi="en-GB"/>
      </w:rPr>
    </w:lvl>
    <w:lvl w:ilvl="6" w:tplc="EF54E9D0">
      <w:numFmt w:val="bullet"/>
      <w:lvlText w:val="•"/>
      <w:lvlJc w:val="left"/>
      <w:pPr>
        <w:ind w:left="1134" w:hanging="217"/>
      </w:pPr>
      <w:rPr>
        <w:rFonts w:hint="default"/>
        <w:lang w:val="en-GB" w:eastAsia="en-GB" w:bidi="en-GB"/>
      </w:rPr>
    </w:lvl>
    <w:lvl w:ilvl="7" w:tplc="6928A5F0">
      <w:numFmt w:val="bullet"/>
      <w:lvlText w:val="•"/>
      <w:lvlJc w:val="left"/>
      <w:pPr>
        <w:ind w:left="1273" w:hanging="217"/>
      </w:pPr>
      <w:rPr>
        <w:rFonts w:hint="default"/>
        <w:lang w:val="en-GB" w:eastAsia="en-GB" w:bidi="en-GB"/>
      </w:rPr>
    </w:lvl>
    <w:lvl w:ilvl="8" w:tplc="59A4439C">
      <w:numFmt w:val="bullet"/>
      <w:lvlText w:val="•"/>
      <w:lvlJc w:val="left"/>
      <w:pPr>
        <w:ind w:left="1412" w:hanging="217"/>
      </w:pPr>
      <w:rPr>
        <w:rFonts w:hint="default"/>
        <w:lang w:val="en-GB" w:eastAsia="en-GB" w:bidi="en-GB"/>
      </w:rPr>
    </w:lvl>
  </w:abstractNum>
  <w:abstractNum w:abstractNumId="477" w15:restartNumberingAfterBreak="0">
    <w:nsid w:val="2C1131FF"/>
    <w:multiLevelType w:val="hybridMultilevel"/>
    <w:tmpl w:val="775803AE"/>
    <w:lvl w:ilvl="0" w:tplc="6A9E94EA">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7166CC4A">
      <w:numFmt w:val="bullet"/>
      <w:lvlText w:val="•"/>
      <w:lvlJc w:val="left"/>
      <w:pPr>
        <w:ind w:left="524" w:hanging="217"/>
      </w:pPr>
      <w:rPr>
        <w:rFonts w:hint="default"/>
        <w:lang w:val="en-GB" w:eastAsia="en-GB" w:bidi="en-GB"/>
      </w:rPr>
    </w:lvl>
    <w:lvl w:ilvl="2" w:tplc="D93EDD2C">
      <w:numFmt w:val="bullet"/>
      <w:lvlText w:val="•"/>
      <w:lvlJc w:val="left"/>
      <w:pPr>
        <w:ind w:left="748" w:hanging="217"/>
      </w:pPr>
      <w:rPr>
        <w:rFonts w:hint="default"/>
        <w:lang w:val="en-GB" w:eastAsia="en-GB" w:bidi="en-GB"/>
      </w:rPr>
    </w:lvl>
    <w:lvl w:ilvl="3" w:tplc="75FA5ACE">
      <w:numFmt w:val="bullet"/>
      <w:lvlText w:val="•"/>
      <w:lvlJc w:val="left"/>
      <w:pPr>
        <w:ind w:left="972" w:hanging="217"/>
      </w:pPr>
      <w:rPr>
        <w:rFonts w:hint="default"/>
        <w:lang w:val="en-GB" w:eastAsia="en-GB" w:bidi="en-GB"/>
      </w:rPr>
    </w:lvl>
    <w:lvl w:ilvl="4" w:tplc="F9E678D4">
      <w:numFmt w:val="bullet"/>
      <w:lvlText w:val="•"/>
      <w:lvlJc w:val="left"/>
      <w:pPr>
        <w:ind w:left="1196" w:hanging="217"/>
      </w:pPr>
      <w:rPr>
        <w:rFonts w:hint="default"/>
        <w:lang w:val="en-GB" w:eastAsia="en-GB" w:bidi="en-GB"/>
      </w:rPr>
    </w:lvl>
    <w:lvl w:ilvl="5" w:tplc="E9F279A8">
      <w:numFmt w:val="bullet"/>
      <w:lvlText w:val="•"/>
      <w:lvlJc w:val="left"/>
      <w:pPr>
        <w:ind w:left="1420" w:hanging="217"/>
      </w:pPr>
      <w:rPr>
        <w:rFonts w:hint="default"/>
        <w:lang w:val="en-GB" w:eastAsia="en-GB" w:bidi="en-GB"/>
      </w:rPr>
    </w:lvl>
    <w:lvl w:ilvl="6" w:tplc="87123B50">
      <w:numFmt w:val="bullet"/>
      <w:lvlText w:val="•"/>
      <w:lvlJc w:val="left"/>
      <w:pPr>
        <w:ind w:left="1644" w:hanging="217"/>
      </w:pPr>
      <w:rPr>
        <w:rFonts w:hint="default"/>
        <w:lang w:val="en-GB" w:eastAsia="en-GB" w:bidi="en-GB"/>
      </w:rPr>
    </w:lvl>
    <w:lvl w:ilvl="7" w:tplc="D9727D96">
      <w:numFmt w:val="bullet"/>
      <w:lvlText w:val="•"/>
      <w:lvlJc w:val="left"/>
      <w:pPr>
        <w:ind w:left="1868" w:hanging="217"/>
      </w:pPr>
      <w:rPr>
        <w:rFonts w:hint="default"/>
        <w:lang w:val="en-GB" w:eastAsia="en-GB" w:bidi="en-GB"/>
      </w:rPr>
    </w:lvl>
    <w:lvl w:ilvl="8" w:tplc="49A47E9C">
      <w:numFmt w:val="bullet"/>
      <w:lvlText w:val="•"/>
      <w:lvlJc w:val="left"/>
      <w:pPr>
        <w:ind w:left="2092" w:hanging="217"/>
      </w:pPr>
      <w:rPr>
        <w:rFonts w:hint="default"/>
        <w:lang w:val="en-GB" w:eastAsia="en-GB" w:bidi="en-GB"/>
      </w:rPr>
    </w:lvl>
  </w:abstractNum>
  <w:abstractNum w:abstractNumId="478" w15:restartNumberingAfterBreak="0">
    <w:nsid w:val="2C1B50E5"/>
    <w:multiLevelType w:val="hybridMultilevel"/>
    <w:tmpl w:val="63C4E046"/>
    <w:lvl w:ilvl="0" w:tplc="9856A7D8">
      <w:numFmt w:val="bullet"/>
      <w:lvlText w:val="•"/>
      <w:lvlJc w:val="left"/>
      <w:pPr>
        <w:ind w:left="777" w:hanging="284"/>
      </w:pPr>
      <w:rPr>
        <w:rFonts w:ascii="Arial" w:eastAsia="Arial" w:hAnsi="Arial" w:cs="Arial" w:hint="default"/>
        <w:color w:val="231F20"/>
        <w:spacing w:val="-1"/>
        <w:w w:val="100"/>
        <w:sz w:val="20"/>
        <w:szCs w:val="20"/>
        <w:lang w:val="en-GB" w:eastAsia="en-GB" w:bidi="en-GB"/>
      </w:rPr>
    </w:lvl>
    <w:lvl w:ilvl="1" w:tplc="BA2A90C6">
      <w:numFmt w:val="bullet"/>
      <w:lvlText w:val="•"/>
      <w:lvlJc w:val="left"/>
      <w:pPr>
        <w:ind w:left="1762" w:hanging="284"/>
      </w:pPr>
      <w:rPr>
        <w:rFonts w:hint="default"/>
        <w:lang w:val="en-GB" w:eastAsia="en-GB" w:bidi="en-GB"/>
      </w:rPr>
    </w:lvl>
    <w:lvl w:ilvl="2" w:tplc="86446684">
      <w:numFmt w:val="bullet"/>
      <w:lvlText w:val="•"/>
      <w:lvlJc w:val="left"/>
      <w:pPr>
        <w:ind w:left="2745" w:hanging="284"/>
      </w:pPr>
      <w:rPr>
        <w:rFonts w:hint="default"/>
        <w:lang w:val="en-GB" w:eastAsia="en-GB" w:bidi="en-GB"/>
      </w:rPr>
    </w:lvl>
    <w:lvl w:ilvl="3" w:tplc="2FF8C91A">
      <w:numFmt w:val="bullet"/>
      <w:lvlText w:val="•"/>
      <w:lvlJc w:val="left"/>
      <w:pPr>
        <w:ind w:left="3727" w:hanging="284"/>
      </w:pPr>
      <w:rPr>
        <w:rFonts w:hint="default"/>
        <w:lang w:val="en-GB" w:eastAsia="en-GB" w:bidi="en-GB"/>
      </w:rPr>
    </w:lvl>
    <w:lvl w:ilvl="4" w:tplc="8C507A1C">
      <w:numFmt w:val="bullet"/>
      <w:lvlText w:val="•"/>
      <w:lvlJc w:val="left"/>
      <w:pPr>
        <w:ind w:left="4710" w:hanging="284"/>
      </w:pPr>
      <w:rPr>
        <w:rFonts w:hint="default"/>
        <w:lang w:val="en-GB" w:eastAsia="en-GB" w:bidi="en-GB"/>
      </w:rPr>
    </w:lvl>
    <w:lvl w:ilvl="5" w:tplc="F02C5E04">
      <w:numFmt w:val="bullet"/>
      <w:lvlText w:val="•"/>
      <w:lvlJc w:val="left"/>
      <w:pPr>
        <w:ind w:left="5692" w:hanging="284"/>
      </w:pPr>
      <w:rPr>
        <w:rFonts w:hint="default"/>
        <w:lang w:val="en-GB" w:eastAsia="en-GB" w:bidi="en-GB"/>
      </w:rPr>
    </w:lvl>
    <w:lvl w:ilvl="6" w:tplc="172C318E">
      <w:numFmt w:val="bullet"/>
      <w:lvlText w:val="•"/>
      <w:lvlJc w:val="left"/>
      <w:pPr>
        <w:ind w:left="6675" w:hanging="284"/>
      </w:pPr>
      <w:rPr>
        <w:rFonts w:hint="default"/>
        <w:lang w:val="en-GB" w:eastAsia="en-GB" w:bidi="en-GB"/>
      </w:rPr>
    </w:lvl>
    <w:lvl w:ilvl="7" w:tplc="817E56C4">
      <w:numFmt w:val="bullet"/>
      <w:lvlText w:val="•"/>
      <w:lvlJc w:val="left"/>
      <w:pPr>
        <w:ind w:left="7657" w:hanging="284"/>
      </w:pPr>
      <w:rPr>
        <w:rFonts w:hint="default"/>
        <w:lang w:val="en-GB" w:eastAsia="en-GB" w:bidi="en-GB"/>
      </w:rPr>
    </w:lvl>
    <w:lvl w:ilvl="8" w:tplc="FDC4F612">
      <w:numFmt w:val="bullet"/>
      <w:lvlText w:val="•"/>
      <w:lvlJc w:val="left"/>
      <w:pPr>
        <w:ind w:left="8640" w:hanging="284"/>
      </w:pPr>
      <w:rPr>
        <w:rFonts w:hint="default"/>
        <w:lang w:val="en-GB" w:eastAsia="en-GB" w:bidi="en-GB"/>
      </w:rPr>
    </w:lvl>
  </w:abstractNum>
  <w:abstractNum w:abstractNumId="479" w15:restartNumberingAfterBreak="0">
    <w:nsid w:val="2C1D1FF0"/>
    <w:multiLevelType w:val="hybridMultilevel"/>
    <w:tmpl w:val="CA303548"/>
    <w:lvl w:ilvl="0" w:tplc="5DF6FA7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3ACC0EC4">
      <w:numFmt w:val="bullet"/>
      <w:lvlText w:val="•"/>
      <w:lvlJc w:val="left"/>
      <w:pPr>
        <w:ind w:left="473" w:hanging="217"/>
      </w:pPr>
      <w:rPr>
        <w:rFonts w:hint="default"/>
        <w:lang w:val="en-GB" w:eastAsia="en-GB" w:bidi="en-GB"/>
      </w:rPr>
    </w:lvl>
    <w:lvl w:ilvl="2" w:tplc="F0602BD4">
      <w:numFmt w:val="bullet"/>
      <w:lvlText w:val="•"/>
      <w:lvlJc w:val="left"/>
      <w:pPr>
        <w:ind w:left="646" w:hanging="217"/>
      </w:pPr>
      <w:rPr>
        <w:rFonts w:hint="default"/>
        <w:lang w:val="en-GB" w:eastAsia="en-GB" w:bidi="en-GB"/>
      </w:rPr>
    </w:lvl>
    <w:lvl w:ilvl="3" w:tplc="BFAA85E8">
      <w:numFmt w:val="bullet"/>
      <w:lvlText w:val="•"/>
      <w:lvlJc w:val="left"/>
      <w:pPr>
        <w:ind w:left="819" w:hanging="217"/>
      </w:pPr>
      <w:rPr>
        <w:rFonts w:hint="default"/>
        <w:lang w:val="en-GB" w:eastAsia="en-GB" w:bidi="en-GB"/>
      </w:rPr>
    </w:lvl>
    <w:lvl w:ilvl="4" w:tplc="A2EE2E82">
      <w:numFmt w:val="bullet"/>
      <w:lvlText w:val="•"/>
      <w:lvlJc w:val="left"/>
      <w:pPr>
        <w:ind w:left="992" w:hanging="217"/>
      </w:pPr>
      <w:rPr>
        <w:rFonts w:hint="default"/>
        <w:lang w:val="en-GB" w:eastAsia="en-GB" w:bidi="en-GB"/>
      </w:rPr>
    </w:lvl>
    <w:lvl w:ilvl="5" w:tplc="8DC4118E">
      <w:numFmt w:val="bullet"/>
      <w:lvlText w:val="•"/>
      <w:lvlJc w:val="left"/>
      <w:pPr>
        <w:ind w:left="1165" w:hanging="217"/>
      </w:pPr>
      <w:rPr>
        <w:rFonts w:hint="default"/>
        <w:lang w:val="en-GB" w:eastAsia="en-GB" w:bidi="en-GB"/>
      </w:rPr>
    </w:lvl>
    <w:lvl w:ilvl="6" w:tplc="F3CC5A0C">
      <w:numFmt w:val="bullet"/>
      <w:lvlText w:val="•"/>
      <w:lvlJc w:val="left"/>
      <w:pPr>
        <w:ind w:left="1338" w:hanging="217"/>
      </w:pPr>
      <w:rPr>
        <w:rFonts w:hint="default"/>
        <w:lang w:val="en-GB" w:eastAsia="en-GB" w:bidi="en-GB"/>
      </w:rPr>
    </w:lvl>
    <w:lvl w:ilvl="7" w:tplc="DFD0D434">
      <w:numFmt w:val="bullet"/>
      <w:lvlText w:val="•"/>
      <w:lvlJc w:val="left"/>
      <w:pPr>
        <w:ind w:left="1511" w:hanging="217"/>
      </w:pPr>
      <w:rPr>
        <w:rFonts w:hint="default"/>
        <w:lang w:val="en-GB" w:eastAsia="en-GB" w:bidi="en-GB"/>
      </w:rPr>
    </w:lvl>
    <w:lvl w:ilvl="8" w:tplc="7C564D20">
      <w:numFmt w:val="bullet"/>
      <w:lvlText w:val="•"/>
      <w:lvlJc w:val="left"/>
      <w:pPr>
        <w:ind w:left="1684" w:hanging="217"/>
      </w:pPr>
      <w:rPr>
        <w:rFonts w:hint="default"/>
        <w:lang w:val="en-GB" w:eastAsia="en-GB" w:bidi="en-GB"/>
      </w:rPr>
    </w:lvl>
  </w:abstractNum>
  <w:abstractNum w:abstractNumId="480" w15:restartNumberingAfterBreak="0">
    <w:nsid w:val="2C241EB4"/>
    <w:multiLevelType w:val="multilevel"/>
    <w:tmpl w:val="99AA8E90"/>
    <w:lvl w:ilvl="0">
      <w:start w:val="4"/>
      <w:numFmt w:val="decimal"/>
      <w:lvlText w:val="%1"/>
      <w:lvlJc w:val="left"/>
      <w:pPr>
        <w:ind w:left="910" w:hanging="701"/>
      </w:pPr>
      <w:rPr>
        <w:rFonts w:hint="default"/>
        <w:lang w:val="en-GB" w:eastAsia="en-GB" w:bidi="en-GB"/>
      </w:rPr>
    </w:lvl>
    <w:lvl w:ilvl="1">
      <w:start w:val="1"/>
      <w:numFmt w:val="decimal"/>
      <w:lvlText w:val="%1.%2"/>
      <w:lvlJc w:val="left"/>
      <w:pPr>
        <w:ind w:left="910" w:hanging="701"/>
      </w:pPr>
      <w:rPr>
        <w:rFonts w:ascii="Arial" w:eastAsia="Arial" w:hAnsi="Arial" w:cs="Arial" w:hint="default"/>
        <w:color w:val="231F20"/>
        <w:spacing w:val="-1"/>
        <w:w w:val="100"/>
        <w:sz w:val="42"/>
        <w:szCs w:val="42"/>
        <w:lang w:val="en-GB" w:eastAsia="en-GB" w:bidi="en-GB"/>
      </w:rPr>
    </w:lvl>
    <w:lvl w:ilvl="2">
      <w:numFmt w:val="bullet"/>
      <w:lvlText w:val="•"/>
      <w:lvlJc w:val="left"/>
      <w:pPr>
        <w:ind w:left="2857" w:hanging="701"/>
      </w:pPr>
      <w:rPr>
        <w:rFonts w:hint="default"/>
        <w:lang w:val="en-GB" w:eastAsia="en-GB" w:bidi="en-GB"/>
      </w:rPr>
    </w:lvl>
    <w:lvl w:ilvl="3">
      <w:numFmt w:val="bullet"/>
      <w:lvlText w:val="•"/>
      <w:lvlJc w:val="left"/>
      <w:pPr>
        <w:ind w:left="3825" w:hanging="701"/>
      </w:pPr>
      <w:rPr>
        <w:rFonts w:hint="default"/>
        <w:lang w:val="en-GB" w:eastAsia="en-GB" w:bidi="en-GB"/>
      </w:rPr>
    </w:lvl>
    <w:lvl w:ilvl="4">
      <w:numFmt w:val="bullet"/>
      <w:lvlText w:val="•"/>
      <w:lvlJc w:val="left"/>
      <w:pPr>
        <w:ind w:left="4794" w:hanging="701"/>
      </w:pPr>
      <w:rPr>
        <w:rFonts w:hint="default"/>
        <w:lang w:val="en-GB" w:eastAsia="en-GB" w:bidi="en-GB"/>
      </w:rPr>
    </w:lvl>
    <w:lvl w:ilvl="5">
      <w:numFmt w:val="bullet"/>
      <w:lvlText w:val="•"/>
      <w:lvlJc w:val="left"/>
      <w:pPr>
        <w:ind w:left="5762" w:hanging="701"/>
      </w:pPr>
      <w:rPr>
        <w:rFonts w:hint="default"/>
        <w:lang w:val="en-GB" w:eastAsia="en-GB" w:bidi="en-GB"/>
      </w:rPr>
    </w:lvl>
    <w:lvl w:ilvl="6">
      <w:numFmt w:val="bullet"/>
      <w:lvlText w:val="•"/>
      <w:lvlJc w:val="left"/>
      <w:pPr>
        <w:ind w:left="6731" w:hanging="701"/>
      </w:pPr>
      <w:rPr>
        <w:rFonts w:hint="default"/>
        <w:lang w:val="en-GB" w:eastAsia="en-GB" w:bidi="en-GB"/>
      </w:rPr>
    </w:lvl>
    <w:lvl w:ilvl="7">
      <w:numFmt w:val="bullet"/>
      <w:lvlText w:val="•"/>
      <w:lvlJc w:val="left"/>
      <w:pPr>
        <w:ind w:left="7699" w:hanging="701"/>
      </w:pPr>
      <w:rPr>
        <w:rFonts w:hint="default"/>
        <w:lang w:val="en-GB" w:eastAsia="en-GB" w:bidi="en-GB"/>
      </w:rPr>
    </w:lvl>
    <w:lvl w:ilvl="8">
      <w:numFmt w:val="bullet"/>
      <w:lvlText w:val="•"/>
      <w:lvlJc w:val="left"/>
      <w:pPr>
        <w:ind w:left="8668" w:hanging="701"/>
      </w:pPr>
      <w:rPr>
        <w:rFonts w:hint="default"/>
        <w:lang w:val="en-GB" w:eastAsia="en-GB" w:bidi="en-GB"/>
      </w:rPr>
    </w:lvl>
  </w:abstractNum>
  <w:abstractNum w:abstractNumId="481" w15:restartNumberingAfterBreak="0">
    <w:nsid w:val="2C3B1BFA"/>
    <w:multiLevelType w:val="hybridMultilevel"/>
    <w:tmpl w:val="D76C0B16"/>
    <w:lvl w:ilvl="0" w:tplc="AF7825F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7B66BD4">
      <w:numFmt w:val="bullet"/>
      <w:lvlText w:val="•"/>
      <w:lvlJc w:val="left"/>
      <w:pPr>
        <w:ind w:left="677" w:hanging="217"/>
      </w:pPr>
      <w:rPr>
        <w:rFonts w:hint="default"/>
        <w:lang w:val="en-GB" w:eastAsia="en-GB" w:bidi="en-GB"/>
      </w:rPr>
    </w:lvl>
    <w:lvl w:ilvl="2" w:tplc="35266EC6">
      <w:numFmt w:val="bullet"/>
      <w:lvlText w:val="•"/>
      <w:lvlJc w:val="left"/>
      <w:pPr>
        <w:ind w:left="1054" w:hanging="217"/>
      </w:pPr>
      <w:rPr>
        <w:rFonts w:hint="default"/>
        <w:lang w:val="en-GB" w:eastAsia="en-GB" w:bidi="en-GB"/>
      </w:rPr>
    </w:lvl>
    <w:lvl w:ilvl="3" w:tplc="1116CC1A">
      <w:numFmt w:val="bullet"/>
      <w:lvlText w:val="•"/>
      <w:lvlJc w:val="left"/>
      <w:pPr>
        <w:ind w:left="1431" w:hanging="217"/>
      </w:pPr>
      <w:rPr>
        <w:rFonts w:hint="default"/>
        <w:lang w:val="en-GB" w:eastAsia="en-GB" w:bidi="en-GB"/>
      </w:rPr>
    </w:lvl>
    <w:lvl w:ilvl="4" w:tplc="BF0E175E">
      <w:numFmt w:val="bullet"/>
      <w:lvlText w:val="•"/>
      <w:lvlJc w:val="left"/>
      <w:pPr>
        <w:ind w:left="1808" w:hanging="217"/>
      </w:pPr>
      <w:rPr>
        <w:rFonts w:hint="default"/>
        <w:lang w:val="en-GB" w:eastAsia="en-GB" w:bidi="en-GB"/>
      </w:rPr>
    </w:lvl>
    <w:lvl w:ilvl="5" w:tplc="C99C167C">
      <w:numFmt w:val="bullet"/>
      <w:lvlText w:val="•"/>
      <w:lvlJc w:val="left"/>
      <w:pPr>
        <w:ind w:left="2186" w:hanging="217"/>
      </w:pPr>
      <w:rPr>
        <w:rFonts w:hint="default"/>
        <w:lang w:val="en-GB" w:eastAsia="en-GB" w:bidi="en-GB"/>
      </w:rPr>
    </w:lvl>
    <w:lvl w:ilvl="6" w:tplc="D6922020">
      <w:numFmt w:val="bullet"/>
      <w:lvlText w:val="•"/>
      <w:lvlJc w:val="left"/>
      <w:pPr>
        <w:ind w:left="2563" w:hanging="217"/>
      </w:pPr>
      <w:rPr>
        <w:rFonts w:hint="default"/>
        <w:lang w:val="en-GB" w:eastAsia="en-GB" w:bidi="en-GB"/>
      </w:rPr>
    </w:lvl>
    <w:lvl w:ilvl="7" w:tplc="D4D2FE06">
      <w:numFmt w:val="bullet"/>
      <w:lvlText w:val="•"/>
      <w:lvlJc w:val="left"/>
      <w:pPr>
        <w:ind w:left="2940" w:hanging="217"/>
      </w:pPr>
      <w:rPr>
        <w:rFonts w:hint="default"/>
        <w:lang w:val="en-GB" w:eastAsia="en-GB" w:bidi="en-GB"/>
      </w:rPr>
    </w:lvl>
    <w:lvl w:ilvl="8" w:tplc="CDD60A50">
      <w:numFmt w:val="bullet"/>
      <w:lvlText w:val="•"/>
      <w:lvlJc w:val="left"/>
      <w:pPr>
        <w:ind w:left="3317" w:hanging="217"/>
      </w:pPr>
      <w:rPr>
        <w:rFonts w:hint="default"/>
        <w:lang w:val="en-GB" w:eastAsia="en-GB" w:bidi="en-GB"/>
      </w:rPr>
    </w:lvl>
  </w:abstractNum>
  <w:abstractNum w:abstractNumId="482" w15:restartNumberingAfterBreak="0">
    <w:nsid w:val="2C4B6E03"/>
    <w:multiLevelType w:val="hybridMultilevel"/>
    <w:tmpl w:val="824C0E76"/>
    <w:lvl w:ilvl="0" w:tplc="4396671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DAA3654">
      <w:numFmt w:val="bullet"/>
      <w:lvlText w:val="•"/>
      <w:lvlJc w:val="left"/>
      <w:pPr>
        <w:ind w:left="439" w:hanging="217"/>
      </w:pPr>
      <w:rPr>
        <w:rFonts w:hint="default"/>
        <w:lang w:val="en-GB" w:eastAsia="en-GB" w:bidi="en-GB"/>
      </w:rPr>
    </w:lvl>
    <w:lvl w:ilvl="2" w:tplc="AC96A518">
      <w:numFmt w:val="bullet"/>
      <w:lvlText w:val="•"/>
      <w:lvlJc w:val="left"/>
      <w:pPr>
        <w:ind w:left="578" w:hanging="217"/>
      </w:pPr>
      <w:rPr>
        <w:rFonts w:hint="default"/>
        <w:lang w:val="en-GB" w:eastAsia="en-GB" w:bidi="en-GB"/>
      </w:rPr>
    </w:lvl>
    <w:lvl w:ilvl="3" w:tplc="30CC50BA">
      <w:numFmt w:val="bullet"/>
      <w:lvlText w:val="•"/>
      <w:lvlJc w:val="left"/>
      <w:pPr>
        <w:ind w:left="717" w:hanging="217"/>
      </w:pPr>
      <w:rPr>
        <w:rFonts w:hint="default"/>
        <w:lang w:val="en-GB" w:eastAsia="en-GB" w:bidi="en-GB"/>
      </w:rPr>
    </w:lvl>
    <w:lvl w:ilvl="4" w:tplc="779AEC56">
      <w:numFmt w:val="bullet"/>
      <w:lvlText w:val="•"/>
      <w:lvlJc w:val="left"/>
      <w:pPr>
        <w:ind w:left="856" w:hanging="217"/>
      </w:pPr>
      <w:rPr>
        <w:rFonts w:hint="default"/>
        <w:lang w:val="en-GB" w:eastAsia="en-GB" w:bidi="en-GB"/>
      </w:rPr>
    </w:lvl>
    <w:lvl w:ilvl="5" w:tplc="2DAC8E7C">
      <w:numFmt w:val="bullet"/>
      <w:lvlText w:val="•"/>
      <w:lvlJc w:val="left"/>
      <w:pPr>
        <w:ind w:left="995" w:hanging="217"/>
      </w:pPr>
      <w:rPr>
        <w:rFonts w:hint="default"/>
        <w:lang w:val="en-GB" w:eastAsia="en-GB" w:bidi="en-GB"/>
      </w:rPr>
    </w:lvl>
    <w:lvl w:ilvl="6" w:tplc="C92047EE">
      <w:numFmt w:val="bullet"/>
      <w:lvlText w:val="•"/>
      <w:lvlJc w:val="left"/>
      <w:pPr>
        <w:ind w:left="1134" w:hanging="217"/>
      </w:pPr>
      <w:rPr>
        <w:rFonts w:hint="default"/>
        <w:lang w:val="en-GB" w:eastAsia="en-GB" w:bidi="en-GB"/>
      </w:rPr>
    </w:lvl>
    <w:lvl w:ilvl="7" w:tplc="D1DECEDE">
      <w:numFmt w:val="bullet"/>
      <w:lvlText w:val="•"/>
      <w:lvlJc w:val="left"/>
      <w:pPr>
        <w:ind w:left="1273" w:hanging="217"/>
      </w:pPr>
      <w:rPr>
        <w:rFonts w:hint="default"/>
        <w:lang w:val="en-GB" w:eastAsia="en-GB" w:bidi="en-GB"/>
      </w:rPr>
    </w:lvl>
    <w:lvl w:ilvl="8" w:tplc="A6242500">
      <w:numFmt w:val="bullet"/>
      <w:lvlText w:val="•"/>
      <w:lvlJc w:val="left"/>
      <w:pPr>
        <w:ind w:left="1412" w:hanging="217"/>
      </w:pPr>
      <w:rPr>
        <w:rFonts w:hint="default"/>
        <w:lang w:val="en-GB" w:eastAsia="en-GB" w:bidi="en-GB"/>
      </w:rPr>
    </w:lvl>
  </w:abstractNum>
  <w:abstractNum w:abstractNumId="483" w15:restartNumberingAfterBreak="0">
    <w:nsid w:val="2C6E29C2"/>
    <w:multiLevelType w:val="hybridMultilevel"/>
    <w:tmpl w:val="44C6F070"/>
    <w:lvl w:ilvl="0" w:tplc="9B30264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14C0404">
      <w:numFmt w:val="bullet"/>
      <w:lvlText w:val="•"/>
      <w:lvlJc w:val="left"/>
      <w:pPr>
        <w:ind w:left="473" w:hanging="217"/>
      </w:pPr>
      <w:rPr>
        <w:rFonts w:hint="default"/>
        <w:lang w:val="en-GB" w:eastAsia="en-GB" w:bidi="en-GB"/>
      </w:rPr>
    </w:lvl>
    <w:lvl w:ilvl="2" w:tplc="90CA35DA">
      <w:numFmt w:val="bullet"/>
      <w:lvlText w:val="•"/>
      <w:lvlJc w:val="left"/>
      <w:pPr>
        <w:ind w:left="646" w:hanging="217"/>
      </w:pPr>
      <w:rPr>
        <w:rFonts w:hint="default"/>
        <w:lang w:val="en-GB" w:eastAsia="en-GB" w:bidi="en-GB"/>
      </w:rPr>
    </w:lvl>
    <w:lvl w:ilvl="3" w:tplc="4164220C">
      <w:numFmt w:val="bullet"/>
      <w:lvlText w:val="•"/>
      <w:lvlJc w:val="left"/>
      <w:pPr>
        <w:ind w:left="819" w:hanging="217"/>
      </w:pPr>
      <w:rPr>
        <w:rFonts w:hint="default"/>
        <w:lang w:val="en-GB" w:eastAsia="en-GB" w:bidi="en-GB"/>
      </w:rPr>
    </w:lvl>
    <w:lvl w:ilvl="4" w:tplc="AC78EA1A">
      <w:numFmt w:val="bullet"/>
      <w:lvlText w:val="•"/>
      <w:lvlJc w:val="left"/>
      <w:pPr>
        <w:ind w:left="992" w:hanging="217"/>
      </w:pPr>
      <w:rPr>
        <w:rFonts w:hint="default"/>
        <w:lang w:val="en-GB" w:eastAsia="en-GB" w:bidi="en-GB"/>
      </w:rPr>
    </w:lvl>
    <w:lvl w:ilvl="5" w:tplc="AA6201C2">
      <w:numFmt w:val="bullet"/>
      <w:lvlText w:val="•"/>
      <w:lvlJc w:val="left"/>
      <w:pPr>
        <w:ind w:left="1165" w:hanging="217"/>
      </w:pPr>
      <w:rPr>
        <w:rFonts w:hint="default"/>
        <w:lang w:val="en-GB" w:eastAsia="en-GB" w:bidi="en-GB"/>
      </w:rPr>
    </w:lvl>
    <w:lvl w:ilvl="6" w:tplc="BE1A8272">
      <w:numFmt w:val="bullet"/>
      <w:lvlText w:val="•"/>
      <w:lvlJc w:val="left"/>
      <w:pPr>
        <w:ind w:left="1338" w:hanging="217"/>
      </w:pPr>
      <w:rPr>
        <w:rFonts w:hint="default"/>
        <w:lang w:val="en-GB" w:eastAsia="en-GB" w:bidi="en-GB"/>
      </w:rPr>
    </w:lvl>
    <w:lvl w:ilvl="7" w:tplc="CB3AF836">
      <w:numFmt w:val="bullet"/>
      <w:lvlText w:val="•"/>
      <w:lvlJc w:val="left"/>
      <w:pPr>
        <w:ind w:left="1511" w:hanging="217"/>
      </w:pPr>
      <w:rPr>
        <w:rFonts w:hint="default"/>
        <w:lang w:val="en-GB" w:eastAsia="en-GB" w:bidi="en-GB"/>
      </w:rPr>
    </w:lvl>
    <w:lvl w:ilvl="8" w:tplc="E8FA704C">
      <w:numFmt w:val="bullet"/>
      <w:lvlText w:val="•"/>
      <w:lvlJc w:val="left"/>
      <w:pPr>
        <w:ind w:left="1684" w:hanging="217"/>
      </w:pPr>
      <w:rPr>
        <w:rFonts w:hint="default"/>
        <w:lang w:val="en-GB" w:eastAsia="en-GB" w:bidi="en-GB"/>
      </w:rPr>
    </w:lvl>
  </w:abstractNum>
  <w:abstractNum w:abstractNumId="484" w15:restartNumberingAfterBreak="0">
    <w:nsid w:val="2C7406EB"/>
    <w:multiLevelType w:val="hybridMultilevel"/>
    <w:tmpl w:val="21227A8C"/>
    <w:lvl w:ilvl="0" w:tplc="D0CEFFF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F84A342">
      <w:numFmt w:val="bullet"/>
      <w:lvlText w:val="•"/>
      <w:lvlJc w:val="left"/>
      <w:pPr>
        <w:ind w:left="892" w:hanging="217"/>
      </w:pPr>
      <w:rPr>
        <w:rFonts w:hint="default"/>
        <w:lang w:val="en-GB" w:eastAsia="en-GB" w:bidi="en-GB"/>
      </w:rPr>
    </w:lvl>
    <w:lvl w:ilvl="2" w:tplc="84D44B62">
      <w:numFmt w:val="bullet"/>
      <w:lvlText w:val="•"/>
      <w:lvlJc w:val="left"/>
      <w:pPr>
        <w:ind w:left="1485" w:hanging="217"/>
      </w:pPr>
      <w:rPr>
        <w:rFonts w:hint="default"/>
        <w:lang w:val="en-GB" w:eastAsia="en-GB" w:bidi="en-GB"/>
      </w:rPr>
    </w:lvl>
    <w:lvl w:ilvl="3" w:tplc="7E66ABFA">
      <w:numFmt w:val="bullet"/>
      <w:lvlText w:val="•"/>
      <w:lvlJc w:val="left"/>
      <w:pPr>
        <w:ind w:left="2077" w:hanging="217"/>
      </w:pPr>
      <w:rPr>
        <w:rFonts w:hint="default"/>
        <w:lang w:val="en-GB" w:eastAsia="en-GB" w:bidi="en-GB"/>
      </w:rPr>
    </w:lvl>
    <w:lvl w:ilvl="4" w:tplc="40BA885E">
      <w:numFmt w:val="bullet"/>
      <w:lvlText w:val="•"/>
      <w:lvlJc w:val="left"/>
      <w:pPr>
        <w:ind w:left="2670" w:hanging="217"/>
      </w:pPr>
      <w:rPr>
        <w:rFonts w:hint="default"/>
        <w:lang w:val="en-GB" w:eastAsia="en-GB" w:bidi="en-GB"/>
      </w:rPr>
    </w:lvl>
    <w:lvl w:ilvl="5" w:tplc="137CEAAC">
      <w:numFmt w:val="bullet"/>
      <w:lvlText w:val="•"/>
      <w:lvlJc w:val="left"/>
      <w:pPr>
        <w:ind w:left="3263" w:hanging="217"/>
      </w:pPr>
      <w:rPr>
        <w:rFonts w:hint="default"/>
        <w:lang w:val="en-GB" w:eastAsia="en-GB" w:bidi="en-GB"/>
      </w:rPr>
    </w:lvl>
    <w:lvl w:ilvl="6" w:tplc="64E053EA">
      <w:numFmt w:val="bullet"/>
      <w:lvlText w:val="•"/>
      <w:lvlJc w:val="left"/>
      <w:pPr>
        <w:ind w:left="3855" w:hanging="217"/>
      </w:pPr>
      <w:rPr>
        <w:rFonts w:hint="default"/>
        <w:lang w:val="en-GB" w:eastAsia="en-GB" w:bidi="en-GB"/>
      </w:rPr>
    </w:lvl>
    <w:lvl w:ilvl="7" w:tplc="9566D128">
      <w:numFmt w:val="bullet"/>
      <w:lvlText w:val="•"/>
      <w:lvlJc w:val="left"/>
      <w:pPr>
        <w:ind w:left="4448" w:hanging="217"/>
      </w:pPr>
      <w:rPr>
        <w:rFonts w:hint="default"/>
        <w:lang w:val="en-GB" w:eastAsia="en-GB" w:bidi="en-GB"/>
      </w:rPr>
    </w:lvl>
    <w:lvl w:ilvl="8" w:tplc="9CC47330">
      <w:numFmt w:val="bullet"/>
      <w:lvlText w:val="•"/>
      <w:lvlJc w:val="left"/>
      <w:pPr>
        <w:ind w:left="5040" w:hanging="217"/>
      </w:pPr>
      <w:rPr>
        <w:rFonts w:hint="default"/>
        <w:lang w:val="en-GB" w:eastAsia="en-GB" w:bidi="en-GB"/>
      </w:rPr>
    </w:lvl>
  </w:abstractNum>
  <w:abstractNum w:abstractNumId="485" w15:restartNumberingAfterBreak="0">
    <w:nsid w:val="2C8077D9"/>
    <w:multiLevelType w:val="hybridMultilevel"/>
    <w:tmpl w:val="46EADFD4"/>
    <w:lvl w:ilvl="0" w:tplc="7B8E69F4">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3AAA14E0">
      <w:numFmt w:val="bullet"/>
      <w:lvlText w:val="•"/>
      <w:lvlJc w:val="left"/>
      <w:pPr>
        <w:ind w:left="473" w:hanging="217"/>
      </w:pPr>
      <w:rPr>
        <w:rFonts w:hint="default"/>
        <w:lang w:val="en-GB" w:eastAsia="en-GB" w:bidi="en-GB"/>
      </w:rPr>
    </w:lvl>
    <w:lvl w:ilvl="2" w:tplc="4DE25586">
      <w:numFmt w:val="bullet"/>
      <w:lvlText w:val="•"/>
      <w:lvlJc w:val="left"/>
      <w:pPr>
        <w:ind w:left="646" w:hanging="217"/>
      </w:pPr>
      <w:rPr>
        <w:rFonts w:hint="default"/>
        <w:lang w:val="en-GB" w:eastAsia="en-GB" w:bidi="en-GB"/>
      </w:rPr>
    </w:lvl>
    <w:lvl w:ilvl="3" w:tplc="70E2EC10">
      <w:numFmt w:val="bullet"/>
      <w:lvlText w:val="•"/>
      <w:lvlJc w:val="left"/>
      <w:pPr>
        <w:ind w:left="819" w:hanging="217"/>
      </w:pPr>
      <w:rPr>
        <w:rFonts w:hint="default"/>
        <w:lang w:val="en-GB" w:eastAsia="en-GB" w:bidi="en-GB"/>
      </w:rPr>
    </w:lvl>
    <w:lvl w:ilvl="4" w:tplc="EAA2CE4A">
      <w:numFmt w:val="bullet"/>
      <w:lvlText w:val="•"/>
      <w:lvlJc w:val="left"/>
      <w:pPr>
        <w:ind w:left="992" w:hanging="217"/>
      </w:pPr>
      <w:rPr>
        <w:rFonts w:hint="default"/>
        <w:lang w:val="en-GB" w:eastAsia="en-GB" w:bidi="en-GB"/>
      </w:rPr>
    </w:lvl>
    <w:lvl w:ilvl="5" w:tplc="708C24EC">
      <w:numFmt w:val="bullet"/>
      <w:lvlText w:val="•"/>
      <w:lvlJc w:val="left"/>
      <w:pPr>
        <w:ind w:left="1165" w:hanging="217"/>
      </w:pPr>
      <w:rPr>
        <w:rFonts w:hint="default"/>
        <w:lang w:val="en-GB" w:eastAsia="en-GB" w:bidi="en-GB"/>
      </w:rPr>
    </w:lvl>
    <w:lvl w:ilvl="6" w:tplc="C6B6BF5E">
      <w:numFmt w:val="bullet"/>
      <w:lvlText w:val="•"/>
      <w:lvlJc w:val="left"/>
      <w:pPr>
        <w:ind w:left="1338" w:hanging="217"/>
      </w:pPr>
      <w:rPr>
        <w:rFonts w:hint="default"/>
        <w:lang w:val="en-GB" w:eastAsia="en-GB" w:bidi="en-GB"/>
      </w:rPr>
    </w:lvl>
    <w:lvl w:ilvl="7" w:tplc="140C4DEE">
      <w:numFmt w:val="bullet"/>
      <w:lvlText w:val="•"/>
      <w:lvlJc w:val="left"/>
      <w:pPr>
        <w:ind w:left="1511" w:hanging="217"/>
      </w:pPr>
      <w:rPr>
        <w:rFonts w:hint="default"/>
        <w:lang w:val="en-GB" w:eastAsia="en-GB" w:bidi="en-GB"/>
      </w:rPr>
    </w:lvl>
    <w:lvl w:ilvl="8" w:tplc="3208C868">
      <w:numFmt w:val="bullet"/>
      <w:lvlText w:val="•"/>
      <w:lvlJc w:val="left"/>
      <w:pPr>
        <w:ind w:left="1684" w:hanging="217"/>
      </w:pPr>
      <w:rPr>
        <w:rFonts w:hint="default"/>
        <w:lang w:val="en-GB" w:eastAsia="en-GB" w:bidi="en-GB"/>
      </w:rPr>
    </w:lvl>
  </w:abstractNum>
  <w:abstractNum w:abstractNumId="486" w15:restartNumberingAfterBreak="0">
    <w:nsid w:val="2CA01EC3"/>
    <w:multiLevelType w:val="hybridMultilevel"/>
    <w:tmpl w:val="A8845F6A"/>
    <w:lvl w:ilvl="0" w:tplc="C2ACDA48">
      <w:numFmt w:val="bullet"/>
      <w:lvlText w:val="•"/>
      <w:lvlJc w:val="left"/>
      <w:pPr>
        <w:ind w:left="305" w:hanging="217"/>
      </w:pPr>
      <w:rPr>
        <w:rFonts w:ascii="Arial" w:eastAsia="Arial" w:hAnsi="Arial" w:cs="Arial" w:hint="default"/>
        <w:color w:val="231F20"/>
        <w:spacing w:val="-2"/>
        <w:w w:val="100"/>
        <w:sz w:val="18"/>
        <w:szCs w:val="18"/>
        <w:lang w:val="en-GB" w:eastAsia="en-GB" w:bidi="en-GB"/>
      </w:rPr>
    </w:lvl>
    <w:lvl w:ilvl="1" w:tplc="A6C08874">
      <w:numFmt w:val="bullet"/>
      <w:lvlText w:val="•"/>
      <w:lvlJc w:val="left"/>
      <w:pPr>
        <w:ind w:left="524" w:hanging="217"/>
      </w:pPr>
      <w:rPr>
        <w:rFonts w:hint="default"/>
        <w:lang w:val="en-GB" w:eastAsia="en-GB" w:bidi="en-GB"/>
      </w:rPr>
    </w:lvl>
    <w:lvl w:ilvl="2" w:tplc="3ACE6B98">
      <w:numFmt w:val="bullet"/>
      <w:lvlText w:val="•"/>
      <w:lvlJc w:val="left"/>
      <w:pPr>
        <w:ind w:left="748" w:hanging="217"/>
      </w:pPr>
      <w:rPr>
        <w:rFonts w:hint="default"/>
        <w:lang w:val="en-GB" w:eastAsia="en-GB" w:bidi="en-GB"/>
      </w:rPr>
    </w:lvl>
    <w:lvl w:ilvl="3" w:tplc="0CD801CA">
      <w:numFmt w:val="bullet"/>
      <w:lvlText w:val="•"/>
      <w:lvlJc w:val="left"/>
      <w:pPr>
        <w:ind w:left="972" w:hanging="217"/>
      </w:pPr>
      <w:rPr>
        <w:rFonts w:hint="default"/>
        <w:lang w:val="en-GB" w:eastAsia="en-GB" w:bidi="en-GB"/>
      </w:rPr>
    </w:lvl>
    <w:lvl w:ilvl="4" w:tplc="FA82E380">
      <w:numFmt w:val="bullet"/>
      <w:lvlText w:val="•"/>
      <w:lvlJc w:val="left"/>
      <w:pPr>
        <w:ind w:left="1196" w:hanging="217"/>
      </w:pPr>
      <w:rPr>
        <w:rFonts w:hint="default"/>
        <w:lang w:val="en-GB" w:eastAsia="en-GB" w:bidi="en-GB"/>
      </w:rPr>
    </w:lvl>
    <w:lvl w:ilvl="5" w:tplc="6AA819E6">
      <w:numFmt w:val="bullet"/>
      <w:lvlText w:val="•"/>
      <w:lvlJc w:val="left"/>
      <w:pPr>
        <w:ind w:left="1420" w:hanging="217"/>
      </w:pPr>
      <w:rPr>
        <w:rFonts w:hint="default"/>
        <w:lang w:val="en-GB" w:eastAsia="en-GB" w:bidi="en-GB"/>
      </w:rPr>
    </w:lvl>
    <w:lvl w:ilvl="6" w:tplc="D3FCE1E6">
      <w:numFmt w:val="bullet"/>
      <w:lvlText w:val="•"/>
      <w:lvlJc w:val="left"/>
      <w:pPr>
        <w:ind w:left="1644" w:hanging="217"/>
      </w:pPr>
      <w:rPr>
        <w:rFonts w:hint="default"/>
        <w:lang w:val="en-GB" w:eastAsia="en-GB" w:bidi="en-GB"/>
      </w:rPr>
    </w:lvl>
    <w:lvl w:ilvl="7" w:tplc="DEAC01B8">
      <w:numFmt w:val="bullet"/>
      <w:lvlText w:val="•"/>
      <w:lvlJc w:val="left"/>
      <w:pPr>
        <w:ind w:left="1868" w:hanging="217"/>
      </w:pPr>
      <w:rPr>
        <w:rFonts w:hint="default"/>
        <w:lang w:val="en-GB" w:eastAsia="en-GB" w:bidi="en-GB"/>
      </w:rPr>
    </w:lvl>
    <w:lvl w:ilvl="8" w:tplc="64A47E2A">
      <w:numFmt w:val="bullet"/>
      <w:lvlText w:val="•"/>
      <w:lvlJc w:val="left"/>
      <w:pPr>
        <w:ind w:left="2092" w:hanging="217"/>
      </w:pPr>
      <w:rPr>
        <w:rFonts w:hint="default"/>
        <w:lang w:val="en-GB" w:eastAsia="en-GB" w:bidi="en-GB"/>
      </w:rPr>
    </w:lvl>
  </w:abstractNum>
  <w:abstractNum w:abstractNumId="487" w15:restartNumberingAfterBreak="0">
    <w:nsid w:val="2CAA376E"/>
    <w:multiLevelType w:val="hybridMultilevel"/>
    <w:tmpl w:val="6F9C197A"/>
    <w:lvl w:ilvl="0" w:tplc="A948DD98">
      <w:numFmt w:val="bullet"/>
      <w:lvlText w:val="•"/>
      <w:lvlJc w:val="left"/>
      <w:pPr>
        <w:ind w:left="307" w:hanging="217"/>
      </w:pPr>
      <w:rPr>
        <w:rFonts w:ascii="Arial" w:eastAsia="Arial" w:hAnsi="Arial" w:cs="Arial" w:hint="default"/>
        <w:color w:val="231F20"/>
        <w:spacing w:val="-1"/>
        <w:w w:val="100"/>
        <w:sz w:val="18"/>
        <w:szCs w:val="18"/>
        <w:lang w:val="en-GB" w:eastAsia="en-GB" w:bidi="en-GB"/>
      </w:rPr>
    </w:lvl>
    <w:lvl w:ilvl="1" w:tplc="9878D3DC">
      <w:numFmt w:val="bullet"/>
      <w:lvlText w:val="•"/>
      <w:lvlJc w:val="left"/>
      <w:pPr>
        <w:ind w:left="473" w:hanging="217"/>
      </w:pPr>
      <w:rPr>
        <w:rFonts w:hint="default"/>
        <w:lang w:val="en-GB" w:eastAsia="en-GB" w:bidi="en-GB"/>
      </w:rPr>
    </w:lvl>
    <w:lvl w:ilvl="2" w:tplc="5262FBD4">
      <w:numFmt w:val="bullet"/>
      <w:lvlText w:val="•"/>
      <w:lvlJc w:val="left"/>
      <w:pPr>
        <w:ind w:left="646" w:hanging="217"/>
      </w:pPr>
      <w:rPr>
        <w:rFonts w:hint="default"/>
        <w:lang w:val="en-GB" w:eastAsia="en-GB" w:bidi="en-GB"/>
      </w:rPr>
    </w:lvl>
    <w:lvl w:ilvl="3" w:tplc="C00C4068">
      <w:numFmt w:val="bullet"/>
      <w:lvlText w:val="•"/>
      <w:lvlJc w:val="left"/>
      <w:pPr>
        <w:ind w:left="819" w:hanging="217"/>
      </w:pPr>
      <w:rPr>
        <w:rFonts w:hint="default"/>
        <w:lang w:val="en-GB" w:eastAsia="en-GB" w:bidi="en-GB"/>
      </w:rPr>
    </w:lvl>
    <w:lvl w:ilvl="4" w:tplc="2522D47E">
      <w:numFmt w:val="bullet"/>
      <w:lvlText w:val="•"/>
      <w:lvlJc w:val="left"/>
      <w:pPr>
        <w:ind w:left="993" w:hanging="217"/>
      </w:pPr>
      <w:rPr>
        <w:rFonts w:hint="default"/>
        <w:lang w:val="en-GB" w:eastAsia="en-GB" w:bidi="en-GB"/>
      </w:rPr>
    </w:lvl>
    <w:lvl w:ilvl="5" w:tplc="8342F88E">
      <w:numFmt w:val="bullet"/>
      <w:lvlText w:val="•"/>
      <w:lvlJc w:val="left"/>
      <w:pPr>
        <w:ind w:left="1166" w:hanging="217"/>
      </w:pPr>
      <w:rPr>
        <w:rFonts w:hint="default"/>
        <w:lang w:val="en-GB" w:eastAsia="en-GB" w:bidi="en-GB"/>
      </w:rPr>
    </w:lvl>
    <w:lvl w:ilvl="6" w:tplc="F82C6D94">
      <w:numFmt w:val="bullet"/>
      <w:lvlText w:val="•"/>
      <w:lvlJc w:val="left"/>
      <w:pPr>
        <w:ind w:left="1339" w:hanging="217"/>
      </w:pPr>
      <w:rPr>
        <w:rFonts w:hint="default"/>
        <w:lang w:val="en-GB" w:eastAsia="en-GB" w:bidi="en-GB"/>
      </w:rPr>
    </w:lvl>
    <w:lvl w:ilvl="7" w:tplc="39BE7BAC">
      <w:numFmt w:val="bullet"/>
      <w:lvlText w:val="•"/>
      <w:lvlJc w:val="left"/>
      <w:pPr>
        <w:ind w:left="1513" w:hanging="217"/>
      </w:pPr>
      <w:rPr>
        <w:rFonts w:hint="default"/>
        <w:lang w:val="en-GB" w:eastAsia="en-GB" w:bidi="en-GB"/>
      </w:rPr>
    </w:lvl>
    <w:lvl w:ilvl="8" w:tplc="DBBA1820">
      <w:numFmt w:val="bullet"/>
      <w:lvlText w:val="•"/>
      <w:lvlJc w:val="left"/>
      <w:pPr>
        <w:ind w:left="1686" w:hanging="217"/>
      </w:pPr>
      <w:rPr>
        <w:rFonts w:hint="default"/>
        <w:lang w:val="en-GB" w:eastAsia="en-GB" w:bidi="en-GB"/>
      </w:rPr>
    </w:lvl>
  </w:abstractNum>
  <w:abstractNum w:abstractNumId="488" w15:restartNumberingAfterBreak="0">
    <w:nsid w:val="2CB2591E"/>
    <w:multiLevelType w:val="hybridMultilevel"/>
    <w:tmpl w:val="3530025C"/>
    <w:lvl w:ilvl="0" w:tplc="003AFAA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8208448">
      <w:numFmt w:val="bullet"/>
      <w:lvlText w:val="•"/>
      <w:lvlJc w:val="left"/>
      <w:pPr>
        <w:ind w:left="524" w:hanging="217"/>
      </w:pPr>
      <w:rPr>
        <w:rFonts w:hint="default"/>
        <w:lang w:val="en-GB" w:eastAsia="en-GB" w:bidi="en-GB"/>
      </w:rPr>
    </w:lvl>
    <w:lvl w:ilvl="2" w:tplc="2A905C4E">
      <w:numFmt w:val="bullet"/>
      <w:lvlText w:val="•"/>
      <w:lvlJc w:val="left"/>
      <w:pPr>
        <w:ind w:left="748" w:hanging="217"/>
      </w:pPr>
      <w:rPr>
        <w:rFonts w:hint="default"/>
        <w:lang w:val="en-GB" w:eastAsia="en-GB" w:bidi="en-GB"/>
      </w:rPr>
    </w:lvl>
    <w:lvl w:ilvl="3" w:tplc="72D48A06">
      <w:numFmt w:val="bullet"/>
      <w:lvlText w:val="•"/>
      <w:lvlJc w:val="left"/>
      <w:pPr>
        <w:ind w:left="972" w:hanging="217"/>
      </w:pPr>
      <w:rPr>
        <w:rFonts w:hint="default"/>
        <w:lang w:val="en-GB" w:eastAsia="en-GB" w:bidi="en-GB"/>
      </w:rPr>
    </w:lvl>
    <w:lvl w:ilvl="4" w:tplc="68F01600">
      <w:numFmt w:val="bullet"/>
      <w:lvlText w:val="•"/>
      <w:lvlJc w:val="left"/>
      <w:pPr>
        <w:ind w:left="1196" w:hanging="217"/>
      </w:pPr>
      <w:rPr>
        <w:rFonts w:hint="default"/>
        <w:lang w:val="en-GB" w:eastAsia="en-GB" w:bidi="en-GB"/>
      </w:rPr>
    </w:lvl>
    <w:lvl w:ilvl="5" w:tplc="560C9EF4">
      <w:numFmt w:val="bullet"/>
      <w:lvlText w:val="•"/>
      <w:lvlJc w:val="left"/>
      <w:pPr>
        <w:ind w:left="1420" w:hanging="217"/>
      </w:pPr>
      <w:rPr>
        <w:rFonts w:hint="default"/>
        <w:lang w:val="en-GB" w:eastAsia="en-GB" w:bidi="en-GB"/>
      </w:rPr>
    </w:lvl>
    <w:lvl w:ilvl="6" w:tplc="8F820C1A">
      <w:numFmt w:val="bullet"/>
      <w:lvlText w:val="•"/>
      <w:lvlJc w:val="left"/>
      <w:pPr>
        <w:ind w:left="1644" w:hanging="217"/>
      </w:pPr>
      <w:rPr>
        <w:rFonts w:hint="default"/>
        <w:lang w:val="en-GB" w:eastAsia="en-GB" w:bidi="en-GB"/>
      </w:rPr>
    </w:lvl>
    <w:lvl w:ilvl="7" w:tplc="8A627482">
      <w:numFmt w:val="bullet"/>
      <w:lvlText w:val="•"/>
      <w:lvlJc w:val="left"/>
      <w:pPr>
        <w:ind w:left="1868" w:hanging="217"/>
      </w:pPr>
      <w:rPr>
        <w:rFonts w:hint="default"/>
        <w:lang w:val="en-GB" w:eastAsia="en-GB" w:bidi="en-GB"/>
      </w:rPr>
    </w:lvl>
    <w:lvl w:ilvl="8" w:tplc="FECA1748">
      <w:numFmt w:val="bullet"/>
      <w:lvlText w:val="•"/>
      <w:lvlJc w:val="left"/>
      <w:pPr>
        <w:ind w:left="2092" w:hanging="217"/>
      </w:pPr>
      <w:rPr>
        <w:rFonts w:hint="default"/>
        <w:lang w:val="en-GB" w:eastAsia="en-GB" w:bidi="en-GB"/>
      </w:rPr>
    </w:lvl>
  </w:abstractNum>
  <w:abstractNum w:abstractNumId="489" w15:restartNumberingAfterBreak="0">
    <w:nsid w:val="2CC25382"/>
    <w:multiLevelType w:val="hybridMultilevel"/>
    <w:tmpl w:val="B5946A38"/>
    <w:lvl w:ilvl="0" w:tplc="66EA9A5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156FC36">
      <w:numFmt w:val="bullet"/>
      <w:lvlText w:val="•"/>
      <w:lvlJc w:val="left"/>
      <w:pPr>
        <w:ind w:left="473" w:hanging="217"/>
      </w:pPr>
      <w:rPr>
        <w:rFonts w:hint="default"/>
        <w:lang w:val="en-GB" w:eastAsia="en-GB" w:bidi="en-GB"/>
      </w:rPr>
    </w:lvl>
    <w:lvl w:ilvl="2" w:tplc="67C4633A">
      <w:numFmt w:val="bullet"/>
      <w:lvlText w:val="•"/>
      <w:lvlJc w:val="left"/>
      <w:pPr>
        <w:ind w:left="646" w:hanging="217"/>
      </w:pPr>
      <w:rPr>
        <w:rFonts w:hint="default"/>
        <w:lang w:val="en-GB" w:eastAsia="en-GB" w:bidi="en-GB"/>
      </w:rPr>
    </w:lvl>
    <w:lvl w:ilvl="3" w:tplc="0B82ECF2">
      <w:numFmt w:val="bullet"/>
      <w:lvlText w:val="•"/>
      <w:lvlJc w:val="left"/>
      <w:pPr>
        <w:ind w:left="819" w:hanging="217"/>
      </w:pPr>
      <w:rPr>
        <w:rFonts w:hint="default"/>
        <w:lang w:val="en-GB" w:eastAsia="en-GB" w:bidi="en-GB"/>
      </w:rPr>
    </w:lvl>
    <w:lvl w:ilvl="4" w:tplc="B66261DE">
      <w:numFmt w:val="bullet"/>
      <w:lvlText w:val="•"/>
      <w:lvlJc w:val="left"/>
      <w:pPr>
        <w:ind w:left="992" w:hanging="217"/>
      </w:pPr>
      <w:rPr>
        <w:rFonts w:hint="default"/>
        <w:lang w:val="en-GB" w:eastAsia="en-GB" w:bidi="en-GB"/>
      </w:rPr>
    </w:lvl>
    <w:lvl w:ilvl="5" w:tplc="F46EE228">
      <w:numFmt w:val="bullet"/>
      <w:lvlText w:val="•"/>
      <w:lvlJc w:val="left"/>
      <w:pPr>
        <w:ind w:left="1165" w:hanging="217"/>
      </w:pPr>
      <w:rPr>
        <w:rFonts w:hint="default"/>
        <w:lang w:val="en-GB" w:eastAsia="en-GB" w:bidi="en-GB"/>
      </w:rPr>
    </w:lvl>
    <w:lvl w:ilvl="6" w:tplc="B0E0329C">
      <w:numFmt w:val="bullet"/>
      <w:lvlText w:val="•"/>
      <w:lvlJc w:val="left"/>
      <w:pPr>
        <w:ind w:left="1338" w:hanging="217"/>
      </w:pPr>
      <w:rPr>
        <w:rFonts w:hint="default"/>
        <w:lang w:val="en-GB" w:eastAsia="en-GB" w:bidi="en-GB"/>
      </w:rPr>
    </w:lvl>
    <w:lvl w:ilvl="7" w:tplc="F6A013A6">
      <w:numFmt w:val="bullet"/>
      <w:lvlText w:val="•"/>
      <w:lvlJc w:val="left"/>
      <w:pPr>
        <w:ind w:left="1511" w:hanging="217"/>
      </w:pPr>
      <w:rPr>
        <w:rFonts w:hint="default"/>
        <w:lang w:val="en-GB" w:eastAsia="en-GB" w:bidi="en-GB"/>
      </w:rPr>
    </w:lvl>
    <w:lvl w:ilvl="8" w:tplc="332A23A8">
      <w:numFmt w:val="bullet"/>
      <w:lvlText w:val="•"/>
      <w:lvlJc w:val="left"/>
      <w:pPr>
        <w:ind w:left="1684" w:hanging="217"/>
      </w:pPr>
      <w:rPr>
        <w:rFonts w:hint="default"/>
        <w:lang w:val="en-GB" w:eastAsia="en-GB" w:bidi="en-GB"/>
      </w:rPr>
    </w:lvl>
  </w:abstractNum>
  <w:abstractNum w:abstractNumId="490" w15:restartNumberingAfterBreak="0">
    <w:nsid w:val="2CCC46B7"/>
    <w:multiLevelType w:val="hybridMultilevel"/>
    <w:tmpl w:val="328C946E"/>
    <w:lvl w:ilvl="0" w:tplc="D31A3392">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D33A0690">
      <w:numFmt w:val="bullet"/>
      <w:lvlText w:val="•"/>
      <w:lvlJc w:val="left"/>
      <w:pPr>
        <w:ind w:left="473" w:hanging="217"/>
      </w:pPr>
      <w:rPr>
        <w:rFonts w:hint="default"/>
        <w:lang w:val="en-GB" w:eastAsia="en-GB" w:bidi="en-GB"/>
      </w:rPr>
    </w:lvl>
    <w:lvl w:ilvl="2" w:tplc="4662AB9E">
      <w:numFmt w:val="bullet"/>
      <w:lvlText w:val="•"/>
      <w:lvlJc w:val="left"/>
      <w:pPr>
        <w:ind w:left="646" w:hanging="217"/>
      </w:pPr>
      <w:rPr>
        <w:rFonts w:hint="default"/>
        <w:lang w:val="en-GB" w:eastAsia="en-GB" w:bidi="en-GB"/>
      </w:rPr>
    </w:lvl>
    <w:lvl w:ilvl="3" w:tplc="5EB485B0">
      <w:numFmt w:val="bullet"/>
      <w:lvlText w:val="•"/>
      <w:lvlJc w:val="left"/>
      <w:pPr>
        <w:ind w:left="819" w:hanging="217"/>
      </w:pPr>
      <w:rPr>
        <w:rFonts w:hint="default"/>
        <w:lang w:val="en-GB" w:eastAsia="en-GB" w:bidi="en-GB"/>
      </w:rPr>
    </w:lvl>
    <w:lvl w:ilvl="4" w:tplc="1D464E00">
      <w:numFmt w:val="bullet"/>
      <w:lvlText w:val="•"/>
      <w:lvlJc w:val="left"/>
      <w:pPr>
        <w:ind w:left="992" w:hanging="217"/>
      </w:pPr>
      <w:rPr>
        <w:rFonts w:hint="default"/>
        <w:lang w:val="en-GB" w:eastAsia="en-GB" w:bidi="en-GB"/>
      </w:rPr>
    </w:lvl>
    <w:lvl w:ilvl="5" w:tplc="B1569C04">
      <w:numFmt w:val="bullet"/>
      <w:lvlText w:val="•"/>
      <w:lvlJc w:val="left"/>
      <w:pPr>
        <w:ind w:left="1165" w:hanging="217"/>
      </w:pPr>
      <w:rPr>
        <w:rFonts w:hint="default"/>
        <w:lang w:val="en-GB" w:eastAsia="en-GB" w:bidi="en-GB"/>
      </w:rPr>
    </w:lvl>
    <w:lvl w:ilvl="6" w:tplc="D6980646">
      <w:numFmt w:val="bullet"/>
      <w:lvlText w:val="•"/>
      <w:lvlJc w:val="left"/>
      <w:pPr>
        <w:ind w:left="1338" w:hanging="217"/>
      </w:pPr>
      <w:rPr>
        <w:rFonts w:hint="default"/>
        <w:lang w:val="en-GB" w:eastAsia="en-GB" w:bidi="en-GB"/>
      </w:rPr>
    </w:lvl>
    <w:lvl w:ilvl="7" w:tplc="0A105144">
      <w:numFmt w:val="bullet"/>
      <w:lvlText w:val="•"/>
      <w:lvlJc w:val="left"/>
      <w:pPr>
        <w:ind w:left="1511" w:hanging="217"/>
      </w:pPr>
      <w:rPr>
        <w:rFonts w:hint="default"/>
        <w:lang w:val="en-GB" w:eastAsia="en-GB" w:bidi="en-GB"/>
      </w:rPr>
    </w:lvl>
    <w:lvl w:ilvl="8" w:tplc="1DBE67FE">
      <w:numFmt w:val="bullet"/>
      <w:lvlText w:val="•"/>
      <w:lvlJc w:val="left"/>
      <w:pPr>
        <w:ind w:left="1684" w:hanging="217"/>
      </w:pPr>
      <w:rPr>
        <w:rFonts w:hint="default"/>
        <w:lang w:val="en-GB" w:eastAsia="en-GB" w:bidi="en-GB"/>
      </w:rPr>
    </w:lvl>
  </w:abstractNum>
  <w:abstractNum w:abstractNumId="491" w15:restartNumberingAfterBreak="0">
    <w:nsid w:val="2CE910DE"/>
    <w:multiLevelType w:val="hybridMultilevel"/>
    <w:tmpl w:val="6C08F68A"/>
    <w:lvl w:ilvl="0" w:tplc="8C980F4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3A087D4">
      <w:numFmt w:val="bullet"/>
      <w:lvlText w:val="•"/>
      <w:lvlJc w:val="left"/>
      <w:pPr>
        <w:ind w:left="892" w:hanging="217"/>
      </w:pPr>
      <w:rPr>
        <w:rFonts w:hint="default"/>
        <w:lang w:val="en-GB" w:eastAsia="en-GB" w:bidi="en-GB"/>
      </w:rPr>
    </w:lvl>
    <w:lvl w:ilvl="2" w:tplc="5B94C160">
      <w:numFmt w:val="bullet"/>
      <w:lvlText w:val="•"/>
      <w:lvlJc w:val="left"/>
      <w:pPr>
        <w:ind w:left="1485" w:hanging="217"/>
      </w:pPr>
      <w:rPr>
        <w:rFonts w:hint="default"/>
        <w:lang w:val="en-GB" w:eastAsia="en-GB" w:bidi="en-GB"/>
      </w:rPr>
    </w:lvl>
    <w:lvl w:ilvl="3" w:tplc="2D92B4D6">
      <w:numFmt w:val="bullet"/>
      <w:lvlText w:val="•"/>
      <w:lvlJc w:val="left"/>
      <w:pPr>
        <w:ind w:left="2077" w:hanging="217"/>
      </w:pPr>
      <w:rPr>
        <w:rFonts w:hint="default"/>
        <w:lang w:val="en-GB" w:eastAsia="en-GB" w:bidi="en-GB"/>
      </w:rPr>
    </w:lvl>
    <w:lvl w:ilvl="4" w:tplc="2AE608D0">
      <w:numFmt w:val="bullet"/>
      <w:lvlText w:val="•"/>
      <w:lvlJc w:val="left"/>
      <w:pPr>
        <w:ind w:left="2670" w:hanging="217"/>
      </w:pPr>
      <w:rPr>
        <w:rFonts w:hint="default"/>
        <w:lang w:val="en-GB" w:eastAsia="en-GB" w:bidi="en-GB"/>
      </w:rPr>
    </w:lvl>
    <w:lvl w:ilvl="5" w:tplc="4E46473A">
      <w:numFmt w:val="bullet"/>
      <w:lvlText w:val="•"/>
      <w:lvlJc w:val="left"/>
      <w:pPr>
        <w:ind w:left="3263" w:hanging="217"/>
      </w:pPr>
      <w:rPr>
        <w:rFonts w:hint="default"/>
        <w:lang w:val="en-GB" w:eastAsia="en-GB" w:bidi="en-GB"/>
      </w:rPr>
    </w:lvl>
    <w:lvl w:ilvl="6" w:tplc="D9809CCC">
      <w:numFmt w:val="bullet"/>
      <w:lvlText w:val="•"/>
      <w:lvlJc w:val="left"/>
      <w:pPr>
        <w:ind w:left="3855" w:hanging="217"/>
      </w:pPr>
      <w:rPr>
        <w:rFonts w:hint="default"/>
        <w:lang w:val="en-GB" w:eastAsia="en-GB" w:bidi="en-GB"/>
      </w:rPr>
    </w:lvl>
    <w:lvl w:ilvl="7" w:tplc="C84808DE">
      <w:numFmt w:val="bullet"/>
      <w:lvlText w:val="•"/>
      <w:lvlJc w:val="left"/>
      <w:pPr>
        <w:ind w:left="4448" w:hanging="217"/>
      </w:pPr>
      <w:rPr>
        <w:rFonts w:hint="default"/>
        <w:lang w:val="en-GB" w:eastAsia="en-GB" w:bidi="en-GB"/>
      </w:rPr>
    </w:lvl>
    <w:lvl w:ilvl="8" w:tplc="AFC4694C">
      <w:numFmt w:val="bullet"/>
      <w:lvlText w:val="•"/>
      <w:lvlJc w:val="left"/>
      <w:pPr>
        <w:ind w:left="5040" w:hanging="217"/>
      </w:pPr>
      <w:rPr>
        <w:rFonts w:hint="default"/>
        <w:lang w:val="en-GB" w:eastAsia="en-GB" w:bidi="en-GB"/>
      </w:rPr>
    </w:lvl>
  </w:abstractNum>
  <w:abstractNum w:abstractNumId="492" w15:restartNumberingAfterBreak="0">
    <w:nsid w:val="2D597A74"/>
    <w:multiLevelType w:val="hybridMultilevel"/>
    <w:tmpl w:val="122A2138"/>
    <w:lvl w:ilvl="0" w:tplc="B3E298E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BEAE766">
      <w:numFmt w:val="bullet"/>
      <w:lvlText w:val="•"/>
      <w:lvlJc w:val="left"/>
      <w:pPr>
        <w:ind w:left="439" w:hanging="217"/>
      </w:pPr>
      <w:rPr>
        <w:rFonts w:hint="default"/>
        <w:lang w:val="en-GB" w:eastAsia="en-GB" w:bidi="en-GB"/>
      </w:rPr>
    </w:lvl>
    <w:lvl w:ilvl="2" w:tplc="E34EB086">
      <w:numFmt w:val="bullet"/>
      <w:lvlText w:val="•"/>
      <w:lvlJc w:val="left"/>
      <w:pPr>
        <w:ind w:left="578" w:hanging="217"/>
      </w:pPr>
      <w:rPr>
        <w:rFonts w:hint="default"/>
        <w:lang w:val="en-GB" w:eastAsia="en-GB" w:bidi="en-GB"/>
      </w:rPr>
    </w:lvl>
    <w:lvl w:ilvl="3" w:tplc="7CC06186">
      <w:numFmt w:val="bullet"/>
      <w:lvlText w:val="•"/>
      <w:lvlJc w:val="left"/>
      <w:pPr>
        <w:ind w:left="717" w:hanging="217"/>
      </w:pPr>
      <w:rPr>
        <w:rFonts w:hint="default"/>
        <w:lang w:val="en-GB" w:eastAsia="en-GB" w:bidi="en-GB"/>
      </w:rPr>
    </w:lvl>
    <w:lvl w:ilvl="4" w:tplc="C478D0F8">
      <w:numFmt w:val="bullet"/>
      <w:lvlText w:val="•"/>
      <w:lvlJc w:val="left"/>
      <w:pPr>
        <w:ind w:left="856" w:hanging="217"/>
      </w:pPr>
      <w:rPr>
        <w:rFonts w:hint="default"/>
        <w:lang w:val="en-GB" w:eastAsia="en-GB" w:bidi="en-GB"/>
      </w:rPr>
    </w:lvl>
    <w:lvl w:ilvl="5" w:tplc="36A0E24E">
      <w:numFmt w:val="bullet"/>
      <w:lvlText w:val="•"/>
      <w:lvlJc w:val="left"/>
      <w:pPr>
        <w:ind w:left="995" w:hanging="217"/>
      </w:pPr>
      <w:rPr>
        <w:rFonts w:hint="default"/>
        <w:lang w:val="en-GB" w:eastAsia="en-GB" w:bidi="en-GB"/>
      </w:rPr>
    </w:lvl>
    <w:lvl w:ilvl="6" w:tplc="653071CA">
      <w:numFmt w:val="bullet"/>
      <w:lvlText w:val="•"/>
      <w:lvlJc w:val="left"/>
      <w:pPr>
        <w:ind w:left="1134" w:hanging="217"/>
      </w:pPr>
      <w:rPr>
        <w:rFonts w:hint="default"/>
        <w:lang w:val="en-GB" w:eastAsia="en-GB" w:bidi="en-GB"/>
      </w:rPr>
    </w:lvl>
    <w:lvl w:ilvl="7" w:tplc="CF0A5C34">
      <w:numFmt w:val="bullet"/>
      <w:lvlText w:val="•"/>
      <w:lvlJc w:val="left"/>
      <w:pPr>
        <w:ind w:left="1273" w:hanging="217"/>
      </w:pPr>
      <w:rPr>
        <w:rFonts w:hint="default"/>
        <w:lang w:val="en-GB" w:eastAsia="en-GB" w:bidi="en-GB"/>
      </w:rPr>
    </w:lvl>
    <w:lvl w:ilvl="8" w:tplc="8DB83506">
      <w:numFmt w:val="bullet"/>
      <w:lvlText w:val="•"/>
      <w:lvlJc w:val="left"/>
      <w:pPr>
        <w:ind w:left="1412" w:hanging="217"/>
      </w:pPr>
      <w:rPr>
        <w:rFonts w:hint="default"/>
        <w:lang w:val="en-GB" w:eastAsia="en-GB" w:bidi="en-GB"/>
      </w:rPr>
    </w:lvl>
  </w:abstractNum>
  <w:abstractNum w:abstractNumId="493" w15:restartNumberingAfterBreak="0">
    <w:nsid w:val="2D7342BF"/>
    <w:multiLevelType w:val="hybridMultilevel"/>
    <w:tmpl w:val="9BF6ACC0"/>
    <w:lvl w:ilvl="0" w:tplc="B3F4071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944D210">
      <w:numFmt w:val="bullet"/>
      <w:lvlText w:val="•"/>
      <w:lvlJc w:val="left"/>
      <w:pPr>
        <w:ind w:left="473" w:hanging="217"/>
      </w:pPr>
      <w:rPr>
        <w:rFonts w:hint="default"/>
        <w:lang w:val="en-GB" w:eastAsia="en-GB" w:bidi="en-GB"/>
      </w:rPr>
    </w:lvl>
    <w:lvl w:ilvl="2" w:tplc="34D67B38">
      <w:numFmt w:val="bullet"/>
      <w:lvlText w:val="•"/>
      <w:lvlJc w:val="left"/>
      <w:pPr>
        <w:ind w:left="646" w:hanging="217"/>
      </w:pPr>
      <w:rPr>
        <w:rFonts w:hint="default"/>
        <w:lang w:val="en-GB" w:eastAsia="en-GB" w:bidi="en-GB"/>
      </w:rPr>
    </w:lvl>
    <w:lvl w:ilvl="3" w:tplc="A5506BCC">
      <w:numFmt w:val="bullet"/>
      <w:lvlText w:val="•"/>
      <w:lvlJc w:val="left"/>
      <w:pPr>
        <w:ind w:left="819" w:hanging="217"/>
      </w:pPr>
      <w:rPr>
        <w:rFonts w:hint="default"/>
        <w:lang w:val="en-GB" w:eastAsia="en-GB" w:bidi="en-GB"/>
      </w:rPr>
    </w:lvl>
    <w:lvl w:ilvl="4" w:tplc="FF3C3562">
      <w:numFmt w:val="bullet"/>
      <w:lvlText w:val="•"/>
      <w:lvlJc w:val="left"/>
      <w:pPr>
        <w:ind w:left="992" w:hanging="217"/>
      </w:pPr>
      <w:rPr>
        <w:rFonts w:hint="default"/>
        <w:lang w:val="en-GB" w:eastAsia="en-GB" w:bidi="en-GB"/>
      </w:rPr>
    </w:lvl>
    <w:lvl w:ilvl="5" w:tplc="52ACE814">
      <w:numFmt w:val="bullet"/>
      <w:lvlText w:val="•"/>
      <w:lvlJc w:val="left"/>
      <w:pPr>
        <w:ind w:left="1165" w:hanging="217"/>
      </w:pPr>
      <w:rPr>
        <w:rFonts w:hint="default"/>
        <w:lang w:val="en-GB" w:eastAsia="en-GB" w:bidi="en-GB"/>
      </w:rPr>
    </w:lvl>
    <w:lvl w:ilvl="6" w:tplc="ED3010CC">
      <w:numFmt w:val="bullet"/>
      <w:lvlText w:val="•"/>
      <w:lvlJc w:val="left"/>
      <w:pPr>
        <w:ind w:left="1338" w:hanging="217"/>
      </w:pPr>
      <w:rPr>
        <w:rFonts w:hint="default"/>
        <w:lang w:val="en-GB" w:eastAsia="en-GB" w:bidi="en-GB"/>
      </w:rPr>
    </w:lvl>
    <w:lvl w:ilvl="7" w:tplc="BA804A16">
      <w:numFmt w:val="bullet"/>
      <w:lvlText w:val="•"/>
      <w:lvlJc w:val="left"/>
      <w:pPr>
        <w:ind w:left="1511" w:hanging="217"/>
      </w:pPr>
      <w:rPr>
        <w:rFonts w:hint="default"/>
        <w:lang w:val="en-GB" w:eastAsia="en-GB" w:bidi="en-GB"/>
      </w:rPr>
    </w:lvl>
    <w:lvl w:ilvl="8" w:tplc="9174B6E4">
      <w:numFmt w:val="bullet"/>
      <w:lvlText w:val="•"/>
      <w:lvlJc w:val="left"/>
      <w:pPr>
        <w:ind w:left="1684" w:hanging="217"/>
      </w:pPr>
      <w:rPr>
        <w:rFonts w:hint="default"/>
        <w:lang w:val="en-GB" w:eastAsia="en-GB" w:bidi="en-GB"/>
      </w:rPr>
    </w:lvl>
  </w:abstractNum>
  <w:abstractNum w:abstractNumId="494" w15:restartNumberingAfterBreak="0">
    <w:nsid w:val="2D747C36"/>
    <w:multiLevelType w:val="hybridMultilevel"/>
    <w:tmpl w:val="CD385C96"/>
    <w:lvl w:ilvl="0" w:tplc="460CB66E">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45A410AC">
      <w:numFmt w:val="bullet"/>
      <w:lvlText w:val="•"/>
      <w:lvlJc w:val="left"/>
      <w:pPr>
        <w:ind w:left="892" w:hanging="217"/>
      </w:pPr>
      <w:rPr>
        <w:rFonts w:hint="default"/>
        <w:lang w:val="en-GB" w:eastAsia="en-GB" w:bidi="en-GB"/>
      </w:rPr>
    </w:lvl>
    <w:lvl w:ilvl="2" w:tplc="F64A36B0">
      <w:numFmt w:val="bullet"/>
      <w:lvlText w:val="•"/>
      <w:lvlJc w:val="left"/>
      <w:pPr>
        <w:ind w:left="1485" w:hanging="217"/>
      </w:pPr>
      <w:rPr>
        <w:rFonts w:hint="default"/>
        <w:lang w:val="en-GB" w:eastAsia="en-GB" w:bidi="en-GB"/>
      </w:rPr>
    </w:lvl>
    <w:lvl w:ilvl="3" w:tplc="45D802BA">
      <w:numFmt w:val="bullet"/>
      <w:lvlText w:val="•"/>
      <w:lvlJc w:val="left"/>
      <w:pPr>
        <w:ind w:left="2077" w:hanging="217"/>
      </w:pPr>
      <w:rPr>
        <w:rFonts w:hint="default"/>
        <w:lang w:val="en-GB" w:eastAsia="en-GB" w:bidi="en-GB"/>
      </w:rPr>
    </w:lvl>
    <w:lvl w:ilvl="4" w:tplc="0734D670">
      <w:numFmt w:val="bullet"/>
      <w:lvlText w:val="•"/>
      <w:lvlJc w:val="left"/>
      <w:pPr>
        <w:ind w:left="2670" w:hanging="217"/>
      </w:pPr>
      <w:rPr>
        <w:rFonts w:hint="default"/>
        <w:lang w:val="en-GB" w:eastAsia="en-GB" w:bidi="en-GB"/>
      </w:rPr>
    </w:lvl>
    <w:lvl w:ilvl="5" w:tplc="0E5EAA38">
      <w:numFmt w:val="bullet"/>
      <w:lvlText w:val="•"/>
      <w:lvlJc w:val="left"/>
      <w:pPr>
        <w:ind w:left="3263" w:hanging="217"/>
      </w:pPr>
      <w:rPr>
        <w:rFonts w:hint="default"/>
        <w:lang w:val="en-GB" w:eastAsia="en-GB" w:bidi="en-GB"/>
      </w:rPr>
    </w:lvl>
    <w:lvl w:ilvl="6" w:tplc="D21E5326">
      <w:numFmt w:val="bullet"/>
      <w:lvlText w:val="•"/>
      <w:lvlJc w:val="left"/>
      <w:pPr>
        <w:ind w:left="3855" w:hanging="217"/>
      </w:pPr>
      <w:rPr>
        <w:rFonts w:hint="default"/>
        <w:lang w:val="en-GB" w:eastAsia="en-GB" w:bidi="en-GB"/>
      </w:rPr>
    </w:lvl>
    <w:lvl w:ilvl="7" w:tplc="2DDA84CC">
      <w:numFmt w:val="bullet"/>
      <w:lvlText w:val="•"/>
      <w:lvlJc w:val="left"/>
      <w:pPr>
        <w:ind w:left="4448" w:hanging="217"/>
      </w:pPr>
      <w:rPr>
        <w:rFonts w:hint="default"/>
        <w:lang w:val="en-GB" w:eastAsia="en-GB" w:bidi="en-GB"/>
      </w:rPr>
    </w:lvl>
    <w:lvl w:ilvl="8" w:tplc="EDA4752A">
      <w:numFmt w:val="bullet"/>
      <w:lvlText w:val="•"/>
      <w:lvlJc w:val="left"/>
      <w:pPr>
        <w:ind w:left="5040" w:hanging="217"/>
      </w:pPr>
      <w:rPr>
        <w:rFonts w:hint="default"/>
        <w:lang w:val="en-GB" w:eastAsia="en-GB" w:bidi="en-GB"/>
      </w:rPr>
    </w:lvl>
  </w:abstractNum>
  <w:abstractNum w:abstractNumId="495" w15:restartNumberingAfterBreak="0">
    <w:nsid w:val="2D7B0343"/>
    <w:multiLevelType w:val="hybridMultilevel"/>
    <w:tmpl w:val="AB3E1B7E"/>
    <w:lvl w:ilvl="0" w:tplc="203AD46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09EBA8C">
      <w:numFmt w:val="bullet"/>
      <w:lvlText w:val="•"/>
      <w:lvlJc w:val="left"/>
      <w:pPr>
        <w:ind w:left="439" w:hanging="217"/>
      </w:pPr>
      <w:rPr>
        <w:rFonts w:hint="default"/>
        <w:lang w:val="en-GB" w:eastAsia="en-GB" w:bidi="en-GB"/>
      </w:rPr>
    </w:lvl>
    <w:lvl w:ilvl="2" w:tplc="17E4F3E4">
      <w:numFmt w:val="bullet"/>
      <w:lvlText w:val="•"/>
      <w:lvlJc w:val="left"/>
      <w:pPr>
        <w:ind w:left="578" w:hanging="217"/>
      </w:pPr>
      <w:rPr>
        <w:rFonts w:hint="default"/>
        <w:lang w:val="en-GB" w:eastAsia="en-GB" w:bidi="en-GB"/>
      </w:rPr>
    </w:lvl>
    <w:lvl w:ilvl="3" w:tplc="F928FE7C">
      <w:numFmt w:val="bullet"/>
      <w:lvlText w:val="•"/>
      <w:lvlJc w:val="left"/>
      <w:pPr>
        <w:ind w:left="717" w:hanging="217"/>
      </w:pPr>
      <w:rPr>
        <w:rFonts w:hint="default"/>
        <w:lang w:val="en-GB" w:eastAsia="en-GB" w:bidi="en-GB"/>
      </w:rPr>
    </w:lvl>
    <w:lvl w:ilvl="4" w:tplc="736C5BB0">
      <w:numFmt w:val="bullet"/>
      <w:lvlText w:val="•"/>
      <w:lvlJc w:val="left"/>
      <w:pPr>
        <w:ind w:left="856" w:hanging="217"/>
      </w:pPr>
      <w:rPr>
        <w:rFonts w:hint="default"/>
        <w:lang w:val="en-GB" w:eastAsia="en-GB" w:bidi="en-GB"/>
      </w:rPr>
    </w:lvl>
    <w:lvl w:ilvl="5" w:tplc="F1F6304A">
      <w:numFmt w:val="bullet"/>
      <w:lvlText w:val="•"/>
      <w:lvlJc w:val="left"/>
      <w:pPr>
        <w:ind w:left="995" w:hanging="217"/>
      </w:pPr>
      <w:rPr>
        <w:rFonts w:hint="default"/>
        <w:lang w:val="en-GB" w:eastAsia="en-GB" w:bidi="en-GB"/>
      </w:rPr>
    </w:lvl>
    <w:lvl w:ilvl="6" w:tplc="1192864E">
      <w:numFmt w:val="bullet"/>
      <w:lvlText w:val="•"/>
      <w:lvlJc w:val="left"/>
      <w:pPr>
        <w:ind w:left="1134" w:hanging="217"/>
      </w:pPr>
      <w:rPr>
        <w:rFonts w:hint="default"/>
        <w:lang w:val="en-GB" w:eastAsia="en-GB" w:bidi="en-GB"/>
      </w:rPr>
    </w:lvl>
    <w:lvl w:ilvl="7" w:tplc="F61ACCE4">
      <w:numFmt w:val="bullet"/>
      <w:lvlText w:val="•"/>
      <w:lvlJc w:val="left"/>
      <w:pPr>
        <w:ind w:left="1273" w:hanging="217"/>
      </w:pPr>
      <w:rPr>
        <w:rFonts w:hint="default"/>
        <w:lang w:val="en-GB" w:eastAsia="en-GB" w:bidi="en-GB"/>
      </w:rPr>
    </w:lvl>
    <w:lvl w:ilvl="8" w:tplc="E23A6436">
      <w:numFmt w:val="bullet"/>
      <w:lvlText w:val="•"/>
      <w:lvlJc w:val="left"/>
      <w:pPr>
        <w:ind w:left="1412" w:hanging="217"/>
      </w:pPr>
      <w:rPr>
        <w:rFonts w:hint="default"/>
        <w:lang w:val="en-GB" w:eastAsia="en-GB" w:bidi="en-GB"/>
      </w:rPr>
    </w:lvl>
  </w:abstractNum>
  <w:abstractNum w:abstractNumId="496" w15:restartNumberingAfterBreak="0">
    <w:nsid w:val="2DA13455"/>
    <w:multiLevelType w:val="hybridMultilevel"/>
    <w:tmpl w:val="CB783BF6"/>
    <w:lvl w:ilvl="0" w:tplc="AE06B3A4">
      <w:numFmt w:val="bullet"/>
      <w:lvlText w:val="•"/>
      <w:lvlJc w:val="left"/>
      <w:pPr>
        <w:ind w:left="304" w:hanging="217"/>
      </w:pPr>
      <w:rPr>
        <w:rFonts w:ascii="Arial" w:eastAsia="Arial" w:hAnsi="Arial" w:cs="Arial" w:hint="default"/>
        <w:color w:val="231F20"/>
        <w:spacing w:val="-14"/>
        <w:w w:val="100"/>
        <w:sz w:val="18"/>
        <w:szCs w:val="18"/>
        <w:lang w:val="en-GB" w:eastAsia="en-GB" w:bidi="en-GB"/>
      </w:rPr>
    </w:lvl>
    <w:lvl w:ilvl="1" w:tplc="1D4E7BC0">
      <w:numFmt w:val="bullet"/>
      <w:lvlText w:val="•"/>
      <w:lvlJc w:val="left"/>
      <w:pPr>
        <w:ind w:left="473" w:hanging="217"/>
      </w:pPr>
      <w:rPr>
        <w:rFonts w:hint="default"/>
        <w:lang w:val="en-GB" w:eastAsia="en-GB" w:bidi="en-GB"/>
      </w:rPr>
    </w:lvl>
    <w:lvl w:ilvl="2" w:tplc="D308563A">
      <w:numFmt w:val="bullet"/>
      <w:lvlText w:val="•"/>
      <w:lvlJc w:val="left"/>
      <w:pPr>
        <w:ind w:left="646" w:hanging="217"/>
      </w:pPr>
      <w:rPr>
        <w:rFonts w:hint="default"/>
        <w:lang w:val="en-GB" w:eastAsia="en-GB" w:bidi="en-GB"/>
      </w:rPr>
    </w:lvl>
    <w:lvl w:ilvl="3" w:tplc="5DE23A80">
      <w:numFmt w:val="bullet"/>
      <w:lvlText w:val="•"/>
      <w:lvlJc w:val="left"/>
      <w:pPr>
        <w:ind w:left="819" w:hanging="217"/>
      </w:pPr>
      <w:rPr>
        <w:rFonts w:hint="default"/>
        <w:lang w:val="en-GB" w:eastAsia="en-GB" w:bidi="en-GB"/>
      </w:rPr>
    </w:lvl>
    <w:lvl w:ilvl="4" w:tplc="B1360100">
      <w:numFmt w:val="bullet"/>
      <w:lvlText w:val="•"/>
      <w:lvlJc w:val="left"/>
      <w:pPr>
        <w:ind w:left="992" w:hanging="217"/>
      </w:pPr>
      <w:rPr>
        <w:rFonts w:hint="default"/>
        <w:lang w:val="en-GB" w:eastAsia="en-GB" w:bidi="en-GB"/>
      </w:rPr>
    </w:lvl>
    <w:lvl w:ilvl="5" w:tplc="D7C4FA22">
      <w:numFmt w:val="bullet"/>
      <w:lvlText w:val="•"/>
      <w:lvlJc w:val="left"/>
      <w:pPr>
        <w:ind w:left="1165" w:hanging="217"/>
      </w:pPr>
      <w:rPr>
        <w:rFonts w:hint="default"/>
        <w:lang w:val="en-GB" w:eastAsia="en-GB" w:bidi="en-GB"/>
      </w:rPr>
    </w:lvl>
    <w:lvl w:ilvl="6" w:tplc="B472FFE8">
      <w:numFmt w:val="bullet"/>
      <w:lvlText w:val="•"/>
      <w:lvlJc w:val="left"/>
      <w:pPr>
        <w:ind w:left="1338" w:hanging="217"/>
      </w:pPr>
      <w:rPr>
        <w:rFonts w:hint="default"/>
        <w:lang w:val="en-GB" w:eastAsia="en-GB" w:bidi="en-GB"/>
      </w:rPr>
    </w:lvl>
    <w:lvl w:ilvl="7" w:tplc="1268682E">
      <w:numFmt w:val="bullet"/>
      <w:lvlText w:val="•"/>
      <w:lvlJc w:val="left"/>
      <w:pPr>
        <w:ind w:left="1511" w:hanging="217"/>
      </w:pPr>
      <w:rPr>
        <w:rFonts w:hint="default"/>
        <w:lang w:val="en-GB" w:eastAsia="en-GB" w:bidi="en-GB"/>
      </w:rPr>
    </w:lvl>
    <w:lvl w:ilvl="8" w:tplc="2746F4E8">
      <w:numFmt w:val="bullet"/>
      <w:lvlText w:val="•"/>
      <w:lvlJc w:val="left"/>
      <w:pPr>
        <w:ind w:left="1684" w:hanging="217"/>
      </w:pPr>
      <w:rPr>
        <w:rFonts w:hint="default"/>
        <w:lang w:val="en-GB" w:eastAsia="en-GB" w:bidi="en-GB"/>
      </w:rPr>
    </w:lvl>
  </w:abstractNum>
  <w:abstractNum w:abstractNumId="497" w15:restartNumberingAfterBreak="0">
    <w:nsid w:val="2DD20957"/>
    <w:multiLevelType w:val="hybridMultilevel"/>
    <w:tmpl w:val="1980B2BA"/>
    <w:lvl w:ilvl="0" w:tplc="14E4C8D4">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7FA575C">
      <w:numFmt w:val="bullet"/>
      <w:lvlText w:val="•"/>
      <w:lvlJc w:val="left"/>
      <w:pPr>
        <w:ind w:left="892" w:hanging="217"/>
      </w:pPr>
      <w:rPr>
        <w:rFonts w:hint="default"/>
        <w:lang w:val="en-GB" w:eastAsia="en-GB" w:bidi="en-GB"/>
      </w:rPr>
    </w:lvl>
    <w:lvl w:ilvl="2" w:tplc="E8386472">
      <w:numFmt w:val="bullet"/>
      <w:lvlText w:val="•"/>
      <w:lvlJc w:val="left"/>
      <w:pPr>
        <w:ind w:left="1485" w:hanging="217"/>
      </w:pPr>
      <w:rPr>
        <w:rFonts w:hint="default"/>
        <w:lang w:val="en-GB" w:eastAsia="en-GB" w:bidi="en-GB"/>
      </w:rPr>
    </w:lvl>
    <w:lvl w:ilvl="3" w:tplc="EF4AA6BA">
      <w:numFmt w:val="bullet"/>
      <w:lvlText w:val="•"/>
      <w:lvlJc w:val="left"/>
      <w:pPr>
        <w:ind w:left="2077" w:hanging="217"/>
      </w:pPr>
      <w:rPr>
        <w:rFonts w:hint="default"/>
        <w:lang w:val="en-GB" w:eastAsia="en-GB" w:bidi="en-GB"/>
      </w:rPr>
    </w:lvl>
    <w:lvl w:ilvl="4" w:tplc="D268896C">
      <w:numFmt w:val="bullet"/>
      <w:lvlText w:val="•"/>
      <w:lvlJc w:val="left"/>
      <w:pPr>
        <w:ind w:left="2670" w:hanging="217"/>
      </w:pPr>
      <w:rPr>
        <w:rFonts w:hint="default"/>
        <w:lang w:val="en-GB" w:eastAsia="en-GB" w:bidi="en-GB"/>
      </w:rPr>
    </w:lvl>
    <w:lvl w:ilvl="5" w:tplc="8AB24416">
      <w:numFmt w:val="bullet"/>
      <w:lvlText w:val="•"/>
      <w:lvlJc w:val="left"/>
      <w:pPr>
        <w:ind w:left="3263" w:hanging="217"/>
      </w:pPr>
      <w:rPr>
        <w:rFonts w:hint="default"/>
        <w:lang w:val="en-GB" w:eastAsia="en-GB" w:bidi="en-GB"/>
      </w:rPr>
    </w:lvl>
    <w:lvl w:ilvl="6" w:tplc="83BE703E">
      <w:numFmt w:val="bullet"/>
      <w:lvlText w:val="•"/>
      <w:lvlJc w:val="left"/>
      <w:pPr>
        <w:ind w:left="3855" w:hanging="217"/>
      </w:pPr>
      <w:rPr>
        <w:rFonts w:hint="default"/>
        <w:lang w:val="en-GB" w:eastAsia="en-GB" w:bidi="en-GB"/>
      </w:rPr>
    </w:lvl>
    <w:lvl w:ilvl="7" w:tplc="7D2EB796">
      <w:numFmt w:val="bullet"/>
      <w:lvlText w:val="•"/>
      <w:lvlJc w:val="left"/>
      <w:pPr>
        <w:ind w:left="4448" w:hanging="217"/>
      </w:pPr>
      <w:rPr>
        <w:rFonts w:hint="default"/>
        <w:lang w:val="en-GB" w:eastAsia="en-GB" w:bidi="en-GB"/>
      </w:rPr>
    </w:lvl>
    <w:lvl w:ilvl="8" w:tplc="855A40FE">
      <w:numFmt w:val="bullet"/>
      <w:lvlText w:val="•"/>
      <w:lvlJc w:val="left"/>
      <w:pPr>
        <w:ind w:left="5040" w:hanging="217"/>
      </w:pPr>
      <w:rPr>
        <w:rFonts w:hint="default"/>
        <w:lang w:val="en-GB" w:eastAsia="en-GB" w:bidi="en-GB"/>
      </w:rPr>
    </w:lvl>
  </w:abstractNum>
  <w:abstractNum w:abstractNumId="498" w15:restartNumberingAfterBreak="0">
    <w:nsid w:val="2DF53E5A"/>
    <w:multiLevelType w:val="hybridMultilevel"/>
    <w:tmpl w:val="9EBE689C"/>
    <w:lvl w:ilvl="0" w:tplc="A6E88BD4">
      <w:numFmt w:val="bullet"/>
      <w:lvlText w:val="•"/>
      <w:lvlJc w:val="left"/>
      <w:pPr>
        <w:ind w:left="307" w:hanging="217"/>
      </w:pPr>
      <w:rPr>
        <w:rFonts w:ascii="Arial" w:eastAsia="Arial" w:hAnsi="Arial" w:cs="Arial" w:hint="default"/>
        <w:color w:val="231F20"/>
        <w:spacing w:val="-1"/>
        <w:w w:val="100"/>
        <w:sz w:val="18"/>
        <w:szCs w:val="18"/>
        <w:lang w:val="en-GB" w:eastAsia="en-GB" w:bidi="en-GB"/>
      </w:rPr>
    </w:lvl>
    <w:lvl w:ilvl="1" w:tplc="C55CDF5A">
      <w:numFmt w:val="bullet"/>
      <w:lvlText w:val="•"/>
      <w:lvlJc w:val="left"/>
      <w:pPr>
        <w:ind w:left="444" w:hanging="217"/>
      </w:pPr>
      <w:rPr>
        <w:rFonts w:hint="default"/>
        <w:lang w:val="en-GB" w:eastAsia="en-GB" w:bidi="en-GB"/>
      </w:rPr>
    </w:lvl>
    <w:lvl w:ilvl="2" w:tplc="2B108C02">
      <w:numFmt w:val="bullet"/>
      <w:lvlText w:val="•"/>
      <w:lvlJc w:val="left"/>
      <w:pPr>
        <w:ind w:left="589" w:hanging="217"/>
      </w:pPr>
      <w:rPr>
        <w:rFonts w:hint="default"/>
        <w:lang w:val="en-GB" w:eastAsia="en-GB" w:bidi="en-GB"/>
      </w:rPr>
    </w:lvl>
    <w:lvl w:ilvl="3" w:tplc="B32632C4">
      <w:numFmt w:val="bullet"/>
      <w:lvlText w:val="•"/>
      <w:lvlJc w:val="left"/>
      <w:pPr>
        <w:ind w:left="734" w:hanging="217"/>
      </w:pPr>
      <w:rPr>
        <w:rFonts w:hint="default"/>
        <w:lang w:val="en-GB" w:eastAsia="en-GB" w:bidi="en-GB"/>
      </w:rPr>
    </w:lvl>
    <w:lvl w:ilvl="4" w:tplc="0F628422">
      <w:numFmt w:val="bullet"/>
      <w:lvlText w:val="•"/>
      <w:lvlJc w:val="left"/>
      <w:pPr>
        <w:ind w:left="878" w:hanging="217"/>
      </w:pPr>
      <w:rPr>
        <w:rFonts w:hint="default"/>
        <w:lang w:val="en-GB" w:eastAsia="en-GB" w:bidi="en-GB"/>
      </w:rPr>
    </w:lvl>
    <w:lvl w:ilvl="5" w:tplc="6D527FBA">
      <w:numFmt w:val="bullet"/>
      <w:lvlText w:val="•"/>
      <w:lvlJc w:val="left"/>
      <w:pPr>
        <w:ind w:left="1023" w:hanging="217"/>
      </w:pPr>
      <w:rPr>
        <w:rFonts w:hint="default"/>
        <w:lang w:val="en-GB" w:eastAsia="en-GB" w:bidi="en-GB"/>
      </w:rPr>
    </w:lvl>
    <w:lvl w:ilvl="6" w:tplc="7CCE71C6">
      <w:numFmt w:val="bullet"/>
      <w:lvlText w:val="•"/>
      <w:lvlJc w:val="left"/>
      <w:pPr>
        <w:ind w:left="1168" w:hanging="217"/>
      </w:pPr>
      <w:rPr>
        <w:rFonts w:hint="default"/>
        <w:lang w:val="en-GB" w:eastAsia="en-GB" w:bidi="en-GB"/>
      </w:rPr>
    </w:lvl>
    <w:lvl w:ilvl="7" w:tplc="50040A54">
      <w:numFmt w:val="bullet"/>
      <w:lvlText w:val="•"/>
      <w:lvlJc w:val="left"/>
      <w:pPr>
        <w:ind w:left="1312" w:hanging="217"/>
      </w:pPr>
      <w:rPr>
        <w:rFonts w:hint="default"/>
        <w:lang w:val="en-GB" w:eastAsia="en-GB" w:bidi="en-GB"/>
      </w:rPr>
    </w:lvl>
    <w:lvl w:ilvl="8" w:tplc="A9AA71B2">
      <w:numFmt w:val="bullet"/>
      <w:lvlText w:val="•"/>
      <w:lvlJc w:val="left"/>
      <w:pPr>
        <w:ind w:left="1457" w:hanging="217"/>
      </w:pPr>
      <w:rPr>
        <w:rFonts w:hint="default"/>
        <w:lang w:val="en-GB" w:eastAsia="en-GB" w:bidi="en-GB"/>
      </w:rPr>
    </w:lvl>
  </w:abstractNum>
  <w:abstractNum w:abstractNumId="499" w15:restartNumberingAfterBreak="0">
    <w:nsid w:val="2E022F47"/>
    <w:multiLevelType w:val="hybridMultilevel"/>
    <w:tmpl w:val="DAD0ECEE"/>
    <w:lvl w:ilvl="0" w:tplc="2B02301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C2A15BE">
      <w:numFmt w:val="bullet"/>
      <w:lvlText w:val="•"/>
      <w:lvlJc w:val="left"/>
      <w:pPr>
        <w:ind w:left="439" w:hanging="217"/>
      </w:pPr>
      <w:rPr>
        <w:rFonts w:hint="default"/>
        <w:lang w:val="en-GB" w:eastAsia="en-GB" w:bidi="en-GB"/>
      </w:rPr>
    </w:lvl>
    <w:lvl w:ilvl="2" w:tplc="A2B44994">
      <w:numFmt w:val="bullet"/>
      <w:lvlText w:val="•"/>
      <w:lvlJc w:val="left"/>
      <w:pPr>
        <w:ind w:left="578" w:hanging="217"/>
      </w:pPr>
      <w:rPr>
        <w:rFonts w:hint="default"/>
        <w:lang w:val="en-GB" w:eastAsia="en-GB" w:bidi="en-GB"/>
      </w:rPr>
    </w:lvl>
    <w:lvl w:ilvl="3" w:tplc="2460CE50">
      <w:numFmt w:val="bullet"/>
      <w:lvlText w:val="•"/>
      <w:lvlJc w:val="left"/>
      <w:pPr>
        <w:ind w:left="717" w:hanging="217"/>
      </w:pPr>
      <w:rPr>
        <w:rFonts w:hint="default"/>
        <w:lang w:val="en-GB" w:eastAsia="en-GB" w:bidi="en-GB"/>
      </w:rPr>
    </w:lvl>
    <w:lvl w:ilvl="4" w:tplc="5C22148C">
      <w:numFmt w:val="bullet"/>
      <w:lvlText w:val="•"/>
      <w:lvlJc w:val="left"/>
      <w:pPr>
        <w:ind w:left="856" w:hanging="217"/>
      </w:pPr>
      <w:rPr>
        <w:rFonts w:hint="default"/>
        <w:lang w:val="en-GB" w:eastAsia="en-GB" w:bidi="en-GB"/>
      </w:rPr>
    </w:lvl>
    <w:lvl w:ilvl="5" w:tplc="92F2BE56">
      <w:numFmt w:val="bullet"/>
      <w:lvlText w:val="•"/>
      <w:lvlJc w:val="left"/>
      <w:pPr>
        <w:ind w:left="995" w:hanging="217"/>
      </w:pPr>
      <w:rPr>
        <w:rFonts w:hint="default"/>
        <w:lang w:val="en-GB" w:eastAsia="en-GB" w:bidi="en-GB"/>
      </w:rPr>
    </w:lvl>
    <w:lvl w:ilvl="6" w:tplc="96B2B6E8">
      <w:numFmt w:val="bullet"/>
      <w:lvlText w:val="•"/>
      <w:lvlJc w:val="left"/>
      <w:pPr>
        <w:ind w:left="1134" w:hanging="217"/>
      </w:pPr>
      <w:rPr>
        <w:rFonts w:hint="default"/>
        <w:lang w:val="en-GB" w:eastAsia="en-GB" w:bidi="en-GB"/>
      </w:rPr>
    </w:lvl>
    <w:lvl w:ilvl="7" w:tplc="669A809E">
      <w:numFmt w:val="bullet"/>
      <w:lvlText w:val="•"/>
      <w:lvlJc w:val="left"/>
      <w:pPr>
        <w:ind w:left="1273" w:hanging="217"/>
      </w:pPr>
      <w:rPr>
        <w:rFonts w:hint="default"/>
        <w:lang w:val="en-GB" w:eastAsia="en-GB" w:bidi="en-GB"/>
      </w:rPr>
    </w:lvl>
    <w:lvl w:ilvl="8" w:tplc="BC7E9EBA">
      <w:numFmt w:val="bullet"/>
      <w:lvlText w:val="•"/>
      <w:lvlJc w:val="left"/>
      <w:pPr>
        <w:ind w:left="1412" w:hanging="217"/>
      </w:pPr>
      <w:rPr>
        <w:rFonts w:hint="default"/>
        <w:lang w:val="en-GB" w:eastAsia="en-GB" w:bidi="en-GB"/>
      </w:rPr>
    </w:lvl>
  </w:abstractNum>
  <w:abstractNum w:abstractNumId="500" w15:restartNumberingAfterBreak="0">
    <w:nsid w:val="2E08205D"/>
    <w:multiLevelType w:val="hybridMultilevel"/>
    <w:tmpl w:val="91B68538"/>
    <w:lvl w:ilvl="0" w:tplc="2674B9D2">
      <w:numFmt w:val="bullet"/>
      <w:lvlText w:val="•"/>
      <w:lvlJc w:val="left"/>
      <w:pPr>
        <w:ind w:left="304" w:hanging="217"/>
      </w:pPr>
      <w:rPr>
        <w:rFonts w:ascii="Arial" w:eastAsia="Arial" w:hAnsi="Arial" w:cs="Arial" w:hint="default"/>
        <w:color w:val="231F20"/>
        <w:spacing w:val="-17"/>
        <w:w w:val="100"/>
        <w:sz w:val="18"/>
        <w:szCs w:val="18"/>
        <w:lang w:val="en-GB" w:eastAsia="en-GB" w:bidi="en-GB"/>
      </w:rPr>
    </w:lvl>
    <w:lvl w:ilvl="1" w:tplc="5988435E">
      <w:numFmt w:val="bullet"/>
      <w:lvlText w:val="•"/>
      <w:lvlJc w:val="left"/>
      <w:pPr>
        <w:ind w:left="473" w:hanging="217"/>
      </w:pPr>
      <w:rPr>
        <w:rFonts w:hint="default"/>
        <w:lang w:val="en-GB" w:eastAsia="en-GB" w:bidi="en-GB"/>
      </w:rPr>
    </w:lvl>
    <w:lvl w:ilvl="2" w:tplc="FC0E57C8">
      <w:numFmt w:val="bullet"/>
      <w:lvlText w:val="•"/>
      <w:lvlJc w:val="left"/>
      <w:pPr>
        <w:ind w:left="646" w:hanging="217"/>
      </w:pPr>
      <w:rPr>
        <w:rFonts w:hint="default"/>
        <w:lang w:val="en-GB" w:eastAsia="en-GB" w:bidi="en-GB"/>
      </w:rPr>
    </w:lvl>
    <w:lvl w:ilvl="3" w:tplc="239C8AA0">
      <w:numFmt w:val="bullet"/>
      <w:lvlText w:val="•"/>
      <w:lvlJc w:val="left"/>
      <w:pPr>
        <w:ind w:left="819" w:hanging="217"/>
      </w:pPr>
      <w:rPr>
        <w:rFonts w:hint="default"/>
        <w:lang w:val="en-GB" w:eastAsia="en-GB" w:bidi="en-GB"/>
      </w:rPr>
    </w:lvl>
    <w:lvl w:ilvl="4" w:tplc="A47234BA">
      <w:numFmt w:val="bullet"/>
      <w:lvlText w:val="•"/>
      <w:lvlJc w:val="left"/>
      <w:pPr>
        <w:ind w:left="992" w:hanging="217"/>
      </w:pPr>
      <w:rPr>
        <w:rFonts w:hint="default"/>
        <w:lang w:val="en-GB" w:eastAsia="en-GB" w:bidi="en-GB"/>
      </w:rPr>
    </w:lvl>
    <w:lvl w:ilvl="5" w:tplc="257EDB0A">
      <w:numFmt w:val="bullet"/>
      <w:lvlText w:val="•"/>
      <w:lvlJc w:val="left"/>
      <w:pPr>
        <w:ind w:left="1165" w:hanging="217"/>
      </w:pPr>
      <w:rPr>
        <w:rFonts w:hint="default"/>
        <w:lang w:val="en-GB" w:eastAsia="en-GB" w:bidi="en-GB"/>
      </w:rPr>
    </w:lvl>
    <w:lvl w:ilvl="6" w:tplc="C3D4256E">
      <w:numFmt w:val="bullet"/>
      <w:lvlText w:val="•"/>
      <w:lvlJc w:val="left"/>
      <w:pPr>
        <w:ind w:left="1338" w:hanging="217"/>
      </w:pPr>
      <w:rPr>
        <w:rFonts w:hint="default"/>
        <w:lang w:val="en-GB" w:eastAsia="en-GB" w:bidi="en-GB"/>
      </w:rPr>
    </w:lvl>
    <w:lvl w:ilvl="7" w:tplc="6F8E273A">
      <w:numFmt w:val="bullet"/>
      <w:lvlText w:val="•"/>
      <w:lvlJc w:val="left"/>
      <w:pPr>
        <w:ind w:left="1511" w:hanging="217"/>
      </w:pPr>
      <w:rPr>
        <w:rFonts w:hint="default"/>
        <w:lang w:val="en-GB" w:eastAsia="en-GB" w:bidi="en-GB"/>
      </w:rPr>
    </w:lvl>
    <w:lvl w:ilvl="8" w:tplc="2ACC1A3A">
      <w:numFmt w:val="bullet"/>
      <w:lvlText w:val="•"/>
      <w:lvlJc w:val="left"/>
      <w:pPr>
        <w:ind w:left="1684" w:hanging="217"/>
      </w:pPr>
      <w:rPr>
        <w:rFonts w:hint="default"/>
        <w:lang w:val="en-GB" w:eastAsia="en-GB" w:bidi="en-GB"/>
      </w:rPr>
    </w:lvl>
  </w:abstractNum>
  <w:abstractNum w:abstractNumId="501" w15:restartNumberingAfterBreak="0">
    <w:nsid w:val="2E203527"/>
    <w:multiLevelType w:val="hybridMultilevel"/>
    <w:tmpl w:val="8D08F4B2"/>
    <w:lvl w:ilvl="0" w:tplc="087610EE">
      <w:numFmt w:val="bullet"/>
      <w:lvlText w:val="•"/>
      <w:lvlJc w:val="left"/>
      <w:pPr>
        <w:ind w:left="306" w:hanging="217"/>
      </w:pPr>
      <w:rPr>
        <w:rFonts w:ascii="Arial" w:eastAsia="Arial" w:hAnsi="Arial" w:cs="Arial" w:hint="default"/>
        <w:color w:val="231F20"/>
        <w:spacing w:val="-1"/>
        <w:w w:val="100"/>
        <w:sz w:val="18"/>
        <w:szCs w:val="18"/>
        <w:lang w:val="en-GB" w:eastAsia="en-GB" w:bidi="en-GB"/>
      </w:rPr>
    </w:lvl>
    <w:lvl w:ilvl="1" w:tplc="B72A3846">
      <w:numFmt w:val="bullet"/>
      <w:lvlText w:val="•"/>
      <w:lvlJc w:val="left"/>
      <w:pPr>
        <w:ind w:left="444" w:hanging="217"/>
      </w:pPr>
      <w:rPr>
        <w:rFonts w:hint="default"/>
        <w:lang w:val="en-GB" w:eastAsia="en-GB" w:bidi="en-GB"/>
      </w:rPr>
    </w:lvl>
    <w:lvl w:ilvl="2" w:tplc="6598CF34">
      <w:numFmt w:val="bullet"/>
      <w:lvlText w:val="•"/>
      <w:lvlJc w:val="left"/>
      <w:pPr>
        <w:ind w:left="589" w:hanging="217"/>
      </w:pPr>
      <w:rPr>
        <w:rFonts w:hint="default"/>
        <w:lang w:val="en-GB" w:eastAsia="en-GB" w:bidi="en-GB"/>
      </w:rPr>
    </w:lvl>
    <w:lvl w:ilvl="3" w:tplc="B840FF5C">
      <w:numFmt w:val="bullet"/>
      <w:lvlText w:val="•"/>
      <w:lvlJc w:val="left"/>
      <w:pPr>
        <w:ind w:left="734" w:hanging="217"/>
      </w:pPr>
      <w:rPr>
        <w:rFonts w:hint="default"/>
        <w:lang w:val="en-GB" w:eastAsia="en-GB" w:bidi="en-GB"/>
      </w:rPr>
    </w:lvl>
    <w:lvl w:ilvl="4" w:tplc="F602572E">
      <w:numFmt w:val="bullet"/>
      <w:lvlText w:val="•"/>
      <w:lvlJc w:val="left"/>
      <w:pPr>
        <w:ind w:left="878" w:hanging="217"/>
      </w:pPr>
      <w:rPr>
        <w:rFonts w:hint="default"/>
        <w:lang w:val="en-GB" w:eastAsia="en-GB" w:bidi="en-GB"/>
      </w:rPr>
    </w:lvl>
    <w:lvl w:ilvl="5" w:tplc="E314F872">
      <w:numFmt w:val="bullet"/>
      <w:lvlText w:val="•"/>
      <w:lvlJc w:val="left"/>
      <w:pPr>
        <w:ind w:left="1023" w:hanging="217"/>
      </w:pPr>
      <w:rPr>
        <w:rFonts w:hint="default"/>
        <w:lang w:val="en-GB" w:eastAsia="en-GB" w:bidi="en-GB"/>
      </w:rPr>
    </w:lvl>
    <w:lvl w:ilvl="6" w:tplc="D56627D2">
      <w:numFmt w:val="bullet"/>
      <w:lvlText w:val="•"/>
      <w:lvlJc w:val="left"/>
      <w:pPr>
        <w:ind w:left="1168" w:hanging="217"/>
      </w:pPr>
      <w:rPr>
        <w:rFonts w:hint="default"/>
        <w:lang w:val="en-GB" w:eastAsia="en-GB" w:bidi="en-GB"/>
      </w:rPr>
    </w:lvl>
    <w:lvl w:ilvl="7" w:tplc="0C940564">
      <w:numFmt w:val="bullet"/>
      <w:lvlText w:val="•"/>
      <w:lvlJc w:val="left"/>
      <w:pPr>
        <w:ind w:left="1312" w:hanging="217"/>
      </w:pPr>
      <w:rPr>
        <w:rFonts w:hint="default"/>
        <w:lang w:val="en-GB" w:eastAsia="en-GB" w:bidi="en-GB"/>
      </w:rPr>
    </w:lvl>
    <w:lvl w:ilvl="8" w:tplc="4C8053F8">
      <w:numFmt w:val="bullet"/>
      <w:lvlText w:val="•"/>
      <w:lvlJc w:val="left"/>
      <w:pPr>
        <w:ind w:left="1457" w:hanging="217"/>
      </w:pPr>
      <w:rPr>
        <w:rFonts w:hint="default"/>
        <w:lang w:val="en-GB" w:eastAsia="en-GB" w:bidi="en-GB"/>
      </w:rPr>
    </w:lvl>
  </w:abstractNum>
  <w:abstractNum w:abstractNumId="502" w15:restartNumberingAfterBreak="0">
    <w:nsid w:val="2E32707D"/>
    <w:multiLevelType w:val="hybridMultilevel"/>
    <w:tmpl w:val="80AE015E"/>
    <w:lvl w:ilvl="0" w:tplc="DB70D800">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0FE05F3E">
      <w:numFmt w:val="bullet"/>
      <w:lvlText w:val="•"/>
      <w:lvlJc w:val="left"/>
      <w:pPr>
        <w:ind w:left="473" w:hanging="217"/>
      </w:pPr>
      <w:rPr>
        <w:rFonts w:hint="default"/>
        <w:lang w:val="en-GB" w:eastAsia="en-GB" w:bidi="en-GB"/>
      </w:rPr>
    </w:lvl>
    <w:lvl w:ilvl="2" w:tplc="268295E4">
      <w:numFmt w:val="bullet"/>
      <w:lvlText w:val="•"/>
      <w:lvlJc w:val="left"/>
      <w:pPr>
        <w:ind w:left="646" w:hanging="217"/>
      </w:pPr>
      <w:rPr>
        <w:rFonts w:hint="default"/>
        <w:lang w:val="en-GB" w:eastAsia="en-GB" w:bidi="en-GB"/>
      </w:rPr>
    </w:lvl>
    <w:lvl w:ilvl="3" w:tplc="DB004656">
      <w:numFmt w:val="bullet"/>
      <w:lvlText w:val="•"/>
      <w:lvlJc w:val="left"/>
      <w:pPr>
        <w:ind w:left="819" w:hanging="217"/>
      </w:pPr>
      <w:rPr>
        <w:rFonts w:hint="default"/>
        <w:lang w:val="en-GB" w:eastAsia="en-GB" w:bidi="en-GB"/>
      </w:rPr>
    </w:lvl>
    <w:lvl w:ilvl="4" w:tplc="D4AC4A28">
      <w:numFmt w:val="bullet"/>
      <w:lvlText w:val="•"/>
      <w:lvlJc w:val="left"/>
      <w:pPr>
        <w:ind w:left="992" w:hanging="217"/>
      </w:pPr>
      <w:rPr>
        <w:rFonts w:hint="default"/>
        <w:lang w:val="en-GB" w:eastAsia="en-GB" w:bidi="en-GB"/>
      </w:rPr>
    </w:lvl>
    <w:lvl w:ilvl="5" w:tplc="67A80528">
      <w:numFmt w:val="bullet"/>
      <w:lvlText w:val="•"/>
      <w:lvlJc w:val="left"/>
      <w:pPr>
        <w:ind w:left="1165" w:hanging="217"/>
      </w:pPr>
      <w:rPr>
        <w:rFonts w:hint="default"/>
        <w:lang w:val="en-GB" w:eastAsia="en-GB" w:bidi="en-GB"/>
      </w:rPr>
    </w:lvl>
    <w:lvl w:ilvl="6" w:tplc="45202F76">
      <w:numFmt w:val="bullet"/>
      <w:lvlText w:val="•"/>
      <w:lvlJc w:val="left"/>
      <w:pPr>
        <w:ind w:left="1338" w:hanging="217"/>
      </w:pPr>
      <w:rPr>
        <w:rFonts w:hint="default"/>
        <w:lang w:val="en-GB" w:eastAsia="en-GB" w:bidi="en-GB"/>
      </w:rPr>
    </w:lvl>
    <w:lvl w:ilvl="7" w:tplc="0F2E9514">
      <w:numFmt w:val="bullet"/>
      <w:lvlText w:val="•"/>
      <w:lvlJc w:val="left"/>
      <w:pPr>
        <w:ind w:left="1511" w:hanging="217"/>
      </w:pPr>
      <w:rPr>
        <w:rFonts w:hint="default"/>
        <w:lang w:val="en-GB" w:eastAsia="en-GB" w:bidi="en-GB"/>
      </w:rPr>
    </w:lvl>
    <w:lvl w:ilvl="8" w:tplc="C12C3A74">
      <w:numFmt w:val="bullet"/>
      <w:lvlText w:val="•"/>
      <w:lvlJc w:val="left"/>
      <w:pPr>
        <w:ind w:left="1684" w:hanging="217"/>
      </w:pPr>
      <w:rPr>
        <w:rFonts w:hint="default"/>
        <w:lang w:val="en-GB" w:eastAsia="en-GB" w:bidi="en-GB"/>
      </w:rPr>
    </w:lvl>
  </w:abstractNum>
  <w:abstractNum w:abstractNumId="503" w15:restartNumberingAfterBreak="0">
    <w:nsid w:val="2E714E1A"/>
    <w:multiLevelType w:val="hybridMultilevel"/>
    <w:tmpl w:val="032E4B44"/>
    <w:lvl w:ilvl="0" w:tplc="D496329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2524FCC">
      <w:numFmt w:val="bullet"/>
      <w:lvlText w:val="•"/>
      <w:lvlJc w:val="left"/>
      <w:pPr>
        <w:ind w:left="439" w:hanging="217"/>
      </w:pPr>
      <w:rPr>
        <w:rFonts w:hint="default"/>
        <w:lang w:val="en-GB" w:eastAsia="en-GB" w:bidi="en-GB"/>
      </w:rPr>
    </w:lvl>
    <w:lvl w:ilvl="2" w:tplc="C616F438">
      <w:numFmt w:val="bullet"/>
      <w:lvlText w:val="•"/>
      <w:lvlJc w:val="left"/>
      <w:pPr>
        <w:ind w:left="578" w:hanging="217"/>
      </w:pPr>
      <w:rPr>
        <w:rFonts w:hint="default"/>
        <w:lang w:val="en-GB" w:eastAsia="en-GB" w:bidi="en-GB"/>
      </w:rPr>
    </w:lvl>
    <w:lvl w:ilvl="3" w:tplc="A434E4D8">
      <w:numFmt w:val="bullet"/>
      <w:lvlText w:val="•"/>
      <w:lvlJc w:val="left"/>
      <w:pPr>
        <w:ind w:left="717" w:hanging="217"/>
      </w:pPr>
      <w:rPr>
        <w:rFonts w:hint="default"/>
        <w:lang w:val="en-GB" w:eastAsia="en-GB" w:bidi="en-GB"/>
      </w:rPr>
    </w:lvl>
    <w:lvl w:ilvl="4" w:tplc="BD26CF32">
      <w:numFmt w:val="bullet"/>
      <w:lvlText w:val="•"/>
      <w:lvlJc w:val="left"/>
      <w:pPr>
        <w:ind w:left="856" w:hanging="217"/>
      </w:pPr>
      <w:rPr>
        <w:rFonts w:hint="default"/>
        <w:lang w:val="en-GB" w:eastAsia="en-GB" w:bidi="en-GB"/>
      </w:rPr>
    </w:lvl>
    <w:lvl w:ilvl="5" w:tplc="6A96962C">
      <w:numFmt w:val="bullet"/>
      <w:lvlText w:val="•"/>
      <w:lvlJc w:val="left"/>
      <w:pPr>
        <w:ind w:left="995" w:hanging="217"/>
      </w:pPr>
      <w:rPr>
        <w:rFonts w:hint="default"/>
        <w:lang w:val="en-GB" w:eastAsia="en-GB" w:bidi="en-GB"/>
      </w:rPr>
    </w:lvl>
    <w:lvl w:ilvl="6" w:tplc="850C7D48">
      <w:numFmt w:val="bullet"/>
      <w:lvlText w:val="•"/>
      <w:lvlJc w:val="left"/>
      <w:pPr>
        <w:ind w:left="1134" w:hanging="217"/>
      </w:pPr>
      <w:rPr>
        <w:rFonts w:hint="default"/>
        <w:lang w:val="en-GB" w:eastAsia="en-GB" w:bidi="en-GB"/>
      </w:rPr>
    </w:lvl>
    <w:lvl w:ilvl="7" w:tplc="A7CA95F6">
      <w:numFmt w:val="bullet"/>
      <w:lvlText w:val="•"/>
      <w:lvlJc w:val="left"/>
      <w:pPr>
        <w:ind w:left="1273" w:hanging="217"/>
      </w:pPr>
      <w:rPr>
        <w:rFonts w:hint="default"/>
        <w:lang w:val="en-GB" w:eastAsia="en-GB" w:bidi="en-GB"/>
      </w:rPr>
    </w:lvl>
    <w:lvl w:ilvl="8" w:tplc="9D125408">
      <w:numFmt w:val="bullet"/>
      <w:lvlText w:val="•"/>
      <w:lvlJc w:val="left"/>
      <w:pPr>
        <w:ind w:left="1412" w:hanging="217"/>
      </w:pPr>
      <w:rPr>
        <w:rFonts w:hint="default"/>
        <w:lang w:val="en-GB" w:eastAsia="en-GB" w:bidi="en-GB"/>
      </w:rPr>
    </w:lvl>
  </w:abstractNum>
  <w:abstractNum w:abstractNumId="504" w15:restartNumberingAfterBreak="0">
    <w:nsid w:val="2E7E66F6"/>
    <w:multiLevelType w:val="hybridMultilevel"/>
    <w:tmpl w:val="7F844B22"/>
    <w:lvl w:ilvl="0" w:tplc="EFB800F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BAE3460">
      <w:numFmt w:val="bullet"/>
      <w:lvlText w:val="•"/>
      <w:lvlJc w:val="left"/>
      <w:pPr>
        <w:ind w:left="473" w:hanging="217"/>
      </w:pPr>
      <w:rPr>
        <w:rFonts w:hint="default"/>
        <w:lang w:val="en-GB" w:eastAsia="en-GB" w:bidi="en-GB"/>
      </w:rPr>
    </w:lvl>
    <w:lvl w:ilvl="2" w:tplc="ACE66364">
      <w:numFmt w:val="bullet"/>
      <w:lvlText w:val="•"/>
      <w:lvlJc w:val="left"/>
      <w:pPr>
        <w:ind w:left="646" w:hanging="217"/>
      </w:pPr>
      <w:rPr>
        <w:rFonts w:hint="default"/>
        <w:lang w:val="en-GB" w:eastAsia="en-GB" w:bidi="en-GB"/>
      </w:rPr>
    </w:lvl>
    <w:lvl w:ilvl="3" w:tplc="5DE22FDC">
      <w:numFmt w:val="bullet"/>
      <w:lvlText w:val="•"/>
      <w:lvlJc w:val="left"/>
      <w:pPr>
        <w:ind w:left="819" w:hanging="217"/>
      </w:pPr>
      <w:rPr>
        <w:rFonts w:hint="default"/>
        <w:lang w:val="en-GB" w:eastAsia="en-GB" w:bidi="en-GB"/>
      </w:rPr>
    </w:lvl>
    <w:lvl w:ilvl="4" w:tplc="7E1431C0">
      <w:numFmt w:val="bullet"/>
      <w:lvlText w:val="•"/>
      <w:lvlJc w:val="left"/>
      <w:pPr>
        <w:ind w:left="992" w:hanging="217"/>
      </w:pPr>
      <w:rPr>
        <w:rFonts w:hint="default"/>
        <w:lang w:val="en-GB" w:eastAsia="en-GB" w:bidi="en-GB"/>
      </w:rPr>
    </w:lvl>
    <w:lvl w:ilvl="5" w:tplc="0AE8D3E2">
      <w:numFmt w:val="bullet"/>
      <w:lvlText w:val="•"/>
      <w:lvlJc w:val="left"/>
      <w:pPr>
        <w:ind w:left="1165" w:hanging="217"/>
      </w:pPr>
      <w:rPr>
        <w:rFonts w:hint="default"/>
        <w:lang w:val="en-GB" w:eastAsia="en-GB" w:bidi="en-GB"/>
      </w:rPr>
    </w:lvl>
    <w:lvl w:ilvl="6" w:tplc="0400D0CC">
      <w:numFmt w:val="bullet"/>
      <w:lvlText w:val="•"/>
      <w:lvlJc w:val="left"/>
      <w:pPr>
        <w:ind w:left="1338" w:hanging="217"/>
      </w:pPr>
      <w:rPr>
        <w:rFonts w:hint="default"/>
        <w:lang w:val="en-GB" w:eastAsia="en-GB" w:bidi="en-GB"/>
      </w:rPr>
    </w:lvl>
    <w:lvl w:ilvl="7" w:tplc="CE947AB6">
      <w:numFmt w:val="bullet"/>
      <w:lvlText w:val="•"/>
      <w:lvlJc w:val="left"/>
      <w:pPr>
        <w:ind w:left="1511" w:hanging="217"/>
      </w:pPr>
      <w:rPr>
        <w:rFonts w:hint="default"/>
        <w:lang w:val="en-GB" w:eastAsia="en-GB" w:bidi="en-GB"/>
      </w:rPr>
    </w:lvl>
    <w:lvl w:ilvl="8" w:tplc="1FD8E258">
      <w:numFmt w:val="bullet"/>
      <w:lvlText w:val="•"/>
      <w:lvlJc w:val="left"/>
      <w:pPr>
        <w:ind w:left="1684" w:hanging="217"/>
      </w:pPr>
      <w:rPr>
        <w:rFonts w:hint="default"/>
        <w:lang w:val="en-GB" w:eastAsia="en-GB" w:bidi="en-GB"/>
      </w:rPr>
    </w:lvl>
  </w:abstractNum>
  <w:abstractNum w:abstractNumId="505" w15:restartNumberingAfterBreak="0">
    <w:nsid w:val="2E814CA6"/>
    <w:multiLevelType w:val="hybridMultilevel"/>
    <w:tmpl w:val="76EA8676"/>
    <w:lvl w:ilvl="0" w:tplc="C4C40BAA">
      <w:numFmt w:val="bullet"/>
      <w:lvlText w:val="•"/>
      <w:lvlJc w:val="left"/>
      <w:pPr>
        <w:ind w:left="305" w:hanging="217"/>
      </w:pPr>
      <w:rPr>
        <w:rFonts w:ascii="Arial" w:eastAsia="Arial" w:hAnsi="Arial" w:cs="Arial" w:hint="default"/>
        <w:color w:val="231F20"/>
        <w:w w:val="102"/>
        <w:sz w:val="17"/>
        <w:szCs w:val="17"/>
        <w:lang w:val="en-GB" w:eastAsia="en-GB" w:bidi="en-GB"/>
      </w:rPr>
    </w:lvl>
    <w:lvl w:ilvl="1" w:tplc="C21AFB3E">
      <w:numFmt w:val="bullet"/>
      <w:lvlText w:val="•"/>
      <w:lvlJc w:val="left"/>
      <w:pPr>
        <w:ind w:left="892" w:hanging="217"/>
      </w:pPr>
      <w:rPr>
        <w:rFonts w:hint="default"/>
        <w:lang w:val="en-GB" w:eastAsia="en-GB" w:bidi="en-GB"/>
      </w:rPr>
    </w:lvl>
    <w:lvl w:ilvl="2" w:tplc="285843B2">
      <w:numFmt w:val="bullet"/>
      <w:lvlText w:val="•"/>
      <w:lvlJc w:val="left"/>
      <w:pPr>
        <w:ind w:left="1485" w:hanging="217"/>
      </w:pPr>
      <w:rPr>
        <w:rFonts w:hint="default"/>
        <w:lang w:val="en-GB" w:eastAsia="en-GB" w:bidi="en-GB"/>
      </w:rPr>
    </w:lvl>
    <w:lvl w:ilvl="3" w:tplc="71F68EF0">
      <w:numFmt w:val="bullet"/>
      <w:lvlText w:val="•"/>
      <w:lvlJc w:val="left"/>
      <w:pPr>
        <w:ind w:left="2077" w:hanging="217"/>
      </w:pPr>
      <w:rPr>
        <w:rFonts w:hint="default"/>
        <w:lang w:val="en-GB" w:eastAsia="en-GB" w:bidi="en-GB"/>
      </w:rPr>
    </w:lvl>
    <w:lvl w:ilvl="4" w:tplc="F690A5E2">
      <w:numFmt w:val="bullet"/>
      <w:lvlText w:val="•"/>
      <w:lvlJc w:val="left"/>
      <w:pPr>
        <w:ind w:left="2670" w:hanging="217"/>
      </w:pPr>
      <w:rPr>
        <w:rFonts w:hint="default"/>
        <w:lang w:val="en-GB" w:eastAsia="en-GB" w:bidi="en-GB"/>
      </w:rPr>
    </w:lvl>
    <w:lvl w:ilvl="5" w:tplc="750E2582">
      <w:numFmt w:val="bullet"/>
      <w:lvlText w:val="•"/>
      <w:lvlJc w:val="left"/>
      <w:pPr>
        <w:ind w:left="3263" w:hanging="217"/>
      </w:pPr>
      <w:rPr>
        <w:rFonts w:hint="default"/>
        <w:lang w:val="en-GB" w:eastAsia="en-GB" w:bidi="en-GB"/>
      </w:rPr>
    </w:lvl>
    <w:lvl w:ilvl="6" w:tplc="51C8C7E6">
      <w:numFmt w:val="bullet"/>
      <w:lvlText w:val="•"/>
      <w:lvlJc w:val="left"/>
      <w:pPr>
        <w:ind w:left="3855" w:hanging="217"/>
      </w:pPr>
      <w:rPr>
        <w:rFonts w:hint="default"/>
        <w:lang w:val="en-GB" w:eastAsia="en-GB" w:bidi="en-GB"/>
      </w:rPr>
    </w:lvl>
    <w:lvl w:ilvl="7" w:tplc="791821CC">
      <w:numFmt w:val="bullet"/>
      <w:lvlText w:val="•"/>
      <w:lvlJc w:val="left"/>
      <w:pPr>
        <w:ind w:left="4448" w:hanging="217"/>
      </w:pPr>
      <w:rPr>
        <w:rFonts w:hint="default"/>
        <w:lang w:val="en-GB" w:eastAsia="en-GB" w:bidi="en-GB"/>
      </w:rPr>
    </w:lvl>
    <w:lvl w:ilvl="8" w:tplc="F5FA2BFA">
      <w:numFmt w:val="bullet"/>
      <w:lvlText w:val="•"/>
      <w:lvlJc w:val="left"/>
      <w:pPr>
        <w:ind w:left="5040" w:hanging="217"/>
      </w:pPr>
      <w:rPr>
        <w:rFonts w:hint="default"/>
        <w:lang w:val="en-GB" w:eastAsia="en-GB" w:bidi="en-GB"/>
      </w:rPr>
    </w:lvl>
  </w:abstractNum>
  <w:abstractNum w:abstractNumId="506" w15:restartNumberingAfterBreak="0">
    <w:nsid w:val="2E8C63D1"/>
    <w:multiLevelType w:val="hybridMultilevel"/>
    <w:tmpl w:val="18F60AB2"/>
    <w:lvl w:ilvl="0" w:tplc="B26A0DD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19A7FB4">
      <w:numFmt w:val="bullet"/>
      <w:lvlText w:val="•"/>
      <w:lvlJc w:val="left"/>
      <w:pPr>
        <w:ind w:left="439" w:hanging="217"/>
      </w:pPr>
      <w:rPr>
        <w:rFonts w:hint="default"/>
        <w:lang w:val="en-GB" w:eastAsia="en-GB" w:bidi="en-GB"/>
      </w:rPr>
    </w:lvl>
    <w:lvl w:ilvl="2" w:tplc="C4BE3B0A">
      <w:numFmt w:val="bullet"/>
      <w:lvlText w:val="•"/>
      <w:lvlJc w:val="left"/>
      <w:pPr>
        <w:ind w:left="578" w:hanging="217"/>
      </w:pPr>
      <w:rPr>
        <w:rFonts w:hint="default"/>
        <w:lang w:val="en-GB" w:eastAsia="en-GB" w:bidi="en-GB"/>
      </w:rPr>
    </w:lvl>
    <w:lvl w:ilvl="3" w:tplc="7F3A5CC8">
      <w:numFmt w:val="bullet"/>
      <w:lvlText w:val="•"/>
      <w:lvlJc w:val="left"/>
      <w:pPr>
        <w:ind w:left="717" w:hanging="217"/>
      </w:pPr>
      <w:rPr>
        <w:rFonts w:hint="default"/>
        <w:lang w:val="en-GB" w:eastAsia="en-GB" w:bidi="en-GB"/>
      </w:rPr>
    </w:lvl>
    <w:lvl w:ilvl="4" w:tplc="D82E00A4">
      <w:numFmt w:val="bullet"/>
      <w:lvlText w:val="•"/>
      <w:lvlJc w:val="left"/>
      <w:pPr>
        <w:ind w:left="856" w:hanging="217"/>
      </w:pPr>
      <w:rPr>
        <w:rFonts w:hint="default"/>
        <w:lang w:val="en-GB" w:eastAsia="en-GB" w:bidi="en-GB"/>
      </w:rPr>
    </w:lvl>
    <w:lvl w:ilvl="5" w:tplc="E5D4A406">
      <w:numFmt w:val="bullet"/>
      <w:lvlText w:val="•"/>
      <w:lvlJc w:val="left"/>
      <w:pPr>
        <w:ind w:left="995" w:hanging="217"/>
      </w:pPr>
      <w:rPr>
        <w:rFonts w:hint="default"/>
        <w:lang w:val="en-GB" w:eastAsia="en-GB" w:bidi="en-GB"/>
      </w:rPr>
    </w:lvl>
    <w:lvl w:ilvl="6" w:tplc="E27AEBF0">
      <w:numFmt w:val="bullet"/>
      <w:lvlText w:val="•"/>
      <w:lvlJc w:val="left"/>
      <w:pPr>
        <w:ind w:left="1134" w:hanging="217"/>
      </w:pPr>
      <w:rPr>
        <w:rFonts w:hint="default"/>
        <w:lang w:val="en-GB" w:eastAsia="en-GB" w:bidi="en-GB"/>
      </w:rPr>
    </w:lvl>
    <w:lvl w:ilvl="7" w:tplc="FC9C74F2">
      <w:numFmt w:val="bullet"/>
      <w:lvlText w:val="•"/>
      <w:lvlJc w:val="left"/>
      <w:pPr>
        <w:ind w:left="1273" w:hanging="217"/>
      </w:pPr>
      <w:rPr>
        <w:rFonts w:hint="default"/>
        <w:lang w:val="en-GB" w:eastAsia="en-GB" w:bidi="en-GB"/>
      </w:rPr>
    </w:lvl>
    <w:lvl w:ilvl="8" w:tplc="F4B2DE8E">
      <w:numFmt w:val="bullet"/>
      <w:lvlText w:val="•"/>
      <w:lvlJc w:val="left"/>
      <w:pPr>
        <w:ind w:left="1412" w:hanging="217"/>
      </w:pPr>
      <w:rPr>
        <w:rFonts w:hint="default"/>
        <w:lang w:val="en-GB" w:eastAsia="en-GB" w:bidi="en-GB"/>
      </w:rPr>
    </w:lvl>
  </w:abstractNum>
  <w:abstractNum w:abstractNumId="507" w15:restartNumberingAfterBreak="0">
    <w:nsid w:val="2EA657A3"/>
    <w:multiLevelType w:val="hybridMultilevel"/>
    <w:tmpl w:val="93A6B6DC"/>
    <w:lvl w:ilvl="0" w:tplc="8724DAFC">
      <w:numFmt w:val="bullet"/>
      <w:lvlText w:val="•"/>
      <w:lvlJc w:val="left"/>
      <w:pPr>
        <w:ind w:left="305" w:hanging="217"/>
      </w:pPr>
      <w:rPr>
        <w:rFonts w:ascii="Arial" w:eastAsia="Arial" w:hAnsi="Arial" w:cs="Arial" w:hint="default"/>
        <w:color w:val="231F20"/>
        <w:spacing w:val="-3"/>
        <w:w w:val="100"/>
        <w:sz w:val="18"/>
        <w:szCs w:val="18"/>
        <w:lang w:val="en-GB" w:eastAsia="en-GB" w:bidi="en-GB"/>
      </w:rPr>
    </w:lvl>
    <w:lvl w:ilvl="1" w:tplc="90C8EECA">
      <w:numFmt w:val="bullet"/>
      <w:lvlText w:val="•"/>
      <w:lvlJc w:val="left"/>
      <w:pPr>
        <w:ind w:left="441" w:hanging="217"/>
      </w:pPr>
      <w:rPr>
        <w:rFonts w:hint="default"/>
        <w:lang w:val="en-GB" w:eastAsia="en-GB" w:bidi="en-GB"/>
      </w:rPr>
    </w:lvl>
    <w:lvl w:ilvl="2" w:tplc="57C82CA0">
      <w:numFmt w:val="bullet"/>
      <w:lvlText w:val="•"/>
      <w:lvlJc w:val="left"/>
      <w:pPr>
        <w:ind w:left="583" w:hanging="217"/>
      </w:pPr>
      <w:rPr>
        <w:rFonts w:hint="default"/>
        <w:lang w:val="en-GB" w:eastAsia="en-GB" w:bidi="en-GB"/>
      </w:rPr>
    </w:lvl>
    <w:lvl w:ilvl="3" w:tplc="58CE3DFA">
      <w:numFmt w:val="bullet"/>
      <w:lvlText w:val="•"/>
      <w:lvlJc w:val="left"/>
      <w:pPr>
        <w:ind w:left="725" w:hanging="217"/>
      </w:pPr>
      <w:rPr>
        <w:rFonts w:hint="default"/>
        <w:lang w:val="en-GB" w:eastAsia="en-GB" w:bidi="en-GB"/>
      </w:rPr>
    </w:lvl>
    <w:lvl w:ilvl="4" w:tplc="2AB84EA8">
      <w:numFmt w:val="bullet"/>
      <w:lvlText w:val="•"/>
      <w:lvlJc w:val="left"/>
      <w:pPr>
        <w:ind w:left="867" w:hanging="217"/>
      </w:pPr>
      <w:rPr>
        <w:rFonts w:hint="default"/>
        <w:lang w:val="en-GB" w:eastAsia="en-GB" w:bidi="en-GB"/>
      </w:rPr>
    </w:lvl>
    <w:lvl w:ilvl="5" w:tplc="06BA76C2">
      <w:numFmt w:val="bullet"/>
      <w:lvlText w:val="•"/>
      <w:lvlJc w:val="left"/>
      <w:pPr>
        <w:ind w:left="1009" w:hanging="217"/>
      </w:pPr>
      <w:rPr>
        <w:rFonts w:hint="default"/>
        <w:lang w:val="en-GB" w:eastAsia="en-GB" w:bidi="en-GB"/>
      </w:rPr>
    </w:lvl>
    <w:lvl w:ilvl="6" w:tplc="4D2C2402">
      <w:numFmt w:val="bullet"/>
      <w:lvlText w:val="•"/>
      <w:lvlJc w:val="left"/>
      <w:pPr>
        <w:ind w:left="1151" w:hanging="217"/>
      </w:pPr>
      <w:rPr>
        <w:rFonts w:hint="default"/>
        <w:lang w:val="en-GB" w:eastAsia="en-GB" w:bidi="en-GB"/>
      </w:rPr>
    </w:lvl>
    <w:lvl w:ilvl="7" w:tplc="BBB23520">
      <w:numFmt w:val="bullet"/>
      <w:lvlText w:val="•"/>
      <w:lvlJc w:val="left"/>
      <w:pPr>
        <w:ind w:left="1293" w:hanging="217"/>
      </w:pPr>
      <w:rPr>
        <w:rFonts w:hint="default"/>
        <w:lang w:val="en-GB" w:eastAsia="en-GB" w:bidi="en-GB"/>
      </w:rPr>
    </w:lvl>
    <w:lvl w:ilvl="8" w:tplc="6B726328">
      <w:numFmt w:val="bullet"/>
      <w:lvlText w:val="•"/>
      <w:lvlJc w:val="left"/>
      <w:pPr>
        <w:ind w:left="1435" w:hanging="217"/>
      </w:pPr>
      <w:rPr>
        <w:rFonts w:hint="default"/>
        <w:lang w:val="en-GB" w:eastAsia="en-GB" w:bidi="en-GB"/>
      </w:rPr>
    </w:lvl>
  </w:abstractNum>
  <w:abstractNum w:abstractNumId="508" w15:restartNumberingAfterBreak="0">
    <w:nsid w:val="2ECA3A77"/>
    <w:multiLevelType w:val="hybridMultilevel"/>
    <w:tmpl w:val="4170E1CC"/>
    <w:lvl w:ilvl="0" w:tplc="CEA89E22">
      <w:numFmt w:val="bullet"/>
      <w:lvlText w:val="•"/>
      <w:lvlJc w:val="left"/>
      <w:pPr>
        <w:ind w:left="276" w:hanging="217"/>
      </w:pPr>
      <w:rPr>
        <w:rFonts w:ascii="Arial" w:eastAsia="Arial" w:hAnsi="Arial" w:cs="Arial" w:hint="default"/>
        <w:color w:val="231F20"/>
        <w:w w:val="97"/>
        <w:sz w:val="16"/>
        <w:szCs w:val="16"/>
        <w:lang w:val="en-GB" w:eastAsia="en-GB" w:bidi="en-GB"/>
      </w:rPr>
    </w:lvl>
    <w:lvl w:ilvl="1" w:tplc="F84AF838">
      <w:numFmt w:val="bullet"/>
      <w:lvlText w:val="•"/>
      <w:lvlJc w:val="left"/>
      <w:pPr>
        <w:ind w:left="381" w:hanging="217"/>
      </w:pPr>
      <w:rPr>
        <w:rFonts w:hint="default"/>
        <w:lang w:val="en-GB" w:eastAsia="en-GB" w:bidi="en-GB"/>
      </w:rPr>
    </w:lvl>
    <w:lvl w:ilvl="2" w:tplc="2DD49F48">
      <w:numFmt w:val="bullet"/>
      <w:lvlText w:val="•"/>
      <w:lvlJc w:val="left"/>
      <w:pPr>
        <w:ind w:left="482" w:hanging="217"/>
      </w:pPr>
      <w:rPr>
        <w:rFonts w:hint="default"/>
        <w:lang w:val="en-GB" w:eastAsia="en-GB" w:bidi="en-GB"/>
      </w:rPr>
    </w:lvl>
    <w:lvl w:ilvl="3" w:tplc="12243B3A">
      <w:numFmt w:val="bullet"/>
      <w:lvlText w:val="•"/>
      <w:lvlJc w:val="left"/>
      <w:pPr>
        <w:ind w:left="584" w:hanging="217"/>
      </w:pPr>
      <w:rPr>
        <w:rFonts w:hint="default"/>
        <w:lang w:val="en-GB" w:eastAsia="en-GB" w:bidi="en-GB"/>
      </w:rPr>
    </w:lvl>
    <w:lvl w:ilvl="4" w:tplc="85848B94">
      <w:numFmt w:val="bullet"/>
      <w:lvlText w:val="•"/>
      <w:lvlJc w:val="left"/>
      <w:pPr>
        <w:ind w:left="685" w:hanging="217"/>
      </w:pPr>
      <w:rPr>
        <w:rFonts w:hint="default"/>
        <w:lang w:val="en-GB" w:eastAsia="en-GB" w:bidi="en-GB"/>
      </w:rPr>
    </w:lvl>
    <w:lvl w:ilvl="5" w:tplc="4A063852">
      <w:numFmt w:val="bullet"/>
      <w:lvlText w:val="•"/>
      <w:lvlJc w:val="left"/>
      <w:pPr>
        <w:ind w:left="787" w:hanging="217"/>
      </w:pPr>
      <w:rPr>
        <w:rFonts w:hint="default"/>
        <w:lang w:val="en-GB" w:eastAsia="en-GB" w:bidi="en-GB"/>
      </w:rPr>
    </w:lvl>
    <w:lvl w:ilvl="6" w:tplc="08FE5B90">
      <w:numFmt w:val="bullet"/>
      <w:lvlText w:val="•"/>
      <w:lvlJc w:val="left"/>
      <w:pPr>
        <w:ind w:left="888" w:hanging="217"/>
      </w:pPr>
      <w:rPr>
        <w:rFonts w:hint="default"/>
        <w:lang w:val="en-GB" w:eastAsia="en-GB" w:bidi="en-GB"/>
      </w:rPr>
    </w:lvl>
    <w:lvl w:ilvl="7" w:tplc="19EA6FAA">
      <w:numFmt w:val="bullet"/>
      <w:lvlText w:val="•"/>
      <w:lvlJc w:val="left"/>
      <w:pPr>
        <w:ind w:left="989" w:hanging="217"/>
      </w:pPr>
      <w:rPr>
        <w:rFonts w:hint="default"/>
        <w:lang w:val="en-GB" w:eastAsia="en-GB" w:bidi="en-GB"/>
      </w:rPr>
    </w:lvl>
    <w:lvl w:ilvl="8" w:tplc="6142BC92">
      <w:numFmt w:val="bullet"/>
      <w:lvlText w:val="•"/>
      <w:lvlJc w:val="left"/>
      <w:pPr>
        <w:ind w:left="1091" w:hanging="217"/>
      </w:pPr>
      <w:rPr>
        <w:rFonts w:hint="default"/>
        <w:lang w:val="en-GB" w:eastAsia="en-GB" w:bidi="en-GB"/>
      </w:rPr>
    </w:lvl>
  </w:abstractNum>
  <w:abstractNum w:abstractNumId="509" w15:restartNumberingAfterBreak="0">
    <w:nsid w:val="2EF05EB2"/>
    <w:multiLevelType w:val="hybridMultilevel"/>
    <w:tmpl w:val="54743A6A"/>
    <w:lvl w:ilvl="0" w:tplc="4A7E4E6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29821D4">
      <w:numFmt w:val="bullet"/>
      <w:lvlText w:val="•"/>
      <w:lvlJc w:val="left"/>
      <w:pPr>
        <w:ind w:left="441" w:hanging="217"/>
      </w:pPr>
      <w:rPr>
        <w:rFonts w:hint="default"/>
        <w:lang w:val="en-GB" w:eastAsia="en-GB" w:bidi="en-GB"/>
      </w:rPr>
    </w:lvl>
    <w:lvl w:ilvl="2" w:tplc="4788AEBE">
      <w:numFmt w:val="bullet"/>
      <w:lvlText w:val="•"/>
      <w:lvlJc w:val="left"/>
      <w:pPr>
        <w:ind w:left="583" w:hanging="217"/>
      </w:pPr>
      <w:rPr>
        <w:rFonts w:hint="default"/>
        <w:lang w:val="en-GB" w:eastAsia="en-GB" w:bidi="en-GB"/>
      </w:rPr>
    </w:lvl>
    <w:lvl w:ilvl="3" w:tplc="475CE87E">
      <w:numFmt w:val="bullet"/>
      <w:lvlText w:val="•"/>
      <w:lvlJc w:val="left"/>
      <w:pPr>
        <w:ind w:left="725" w:hanging="217"/>
      </w:pPr>
      <w:rPr>
        <w:rFonts w:hint="default"/>
        <w:lang w:val="en-GB" w:eastAsia="en-GB" w:bidi="en-GB"/>
      </w:rPr>
    </w:lvl>
    <w:lvl w:ilvl="4" w:tplc="B7FAAB52">
      <w:numFmt w:val="bullet"/>
      <w:lvlText w:val="•"/>
      <w:lvlJc w:val="left"/>
      <w:pPr>
        <w:ind w:left="867" w:hanging="217"/>
      </w:pPr>
      <w:rPr>
        <w:rFonts w:hint="default"/>
        <w:lang w:val="en-GB" w:eastAsia="en-GB" w:bidi="en-GB"/>
      </w:rPr>
    </w:lvl>
    <w:lvl w:ilvl="5" w:tplc="FD80BE50">
      <w:numFmt w:val="bullet"/>
      <w:lvlText w:val="•"/>
      <w:lvlJc w:val="left"/>
      <w:pPr>
        <w:ind w:left="1009" w:hanging="217"/>
      </w:pPr>
      <w:rPr>
        <w:rFonts w:hint="default"/>
        <w:lang w:val="en-GB" w:eastAsia="en-GB" w:bidi="en-GB"/>
      </w:rPr>
    </w:lvl>
    <w:lvl w:ilvl="6" w:tplc="A47CD352">
      <w:numFmt w:val="bullet"/>
      <w:lvlText w:val="•"/>
      <w:lvlJc w:val="left"/>
      <w:pPr>
        <w:ind w:left="1151" w:hanging="217"/>
      </w:pPr>
      <w:rPr>
        <w:rFonts w:hint="default"/>
        <w:lang w:val="en-GB" w:eastAsia="en-GB" w:bidi="en-GB"/>
      </w:rPr>
    </w:lvl>
    <w:lvl w:ilvl="7" w:tplc="AD46F908">
      <w:numFmt w:val="bullet"/>
      <w:lvlText w:val="•"/>
      <w:lvlJc w:val="left"/>
      <w:pPr>
        <w:ind w:left="1293" w:hanging="217"/>
      </w:pPr>
      <w:rPr>
        <w:rFonts w:hint="default"/>
        <w:lang w:val="en-GB" w:eastAsia="en-GB" w:bidi="en-GB"/>
      </w:rPr>
    </w:lvl>
    <w:lvl w:ilvl="8" w:tplc="6A221A4E">
      <w:numFmt w:val="bullet"/>
      <w:lvlText w:val="•"/>
      <w:lvlJc w:val="left"/>
      <w:pPr>
        <w:ind w:left="1435" w:hanging="217"/>
      </w:pPr>
      <w:rPr>
        <w:rFonts w:hint="default"/>
        <w:lang w:val="en-GB" w:eastAsia="en-GB" w:bidi="en-GB"/>
      </w:rPr>
    </w:lvl>
  </w:abstractNum>
  <w:abstractNum w:abstractNumId="510" w15:restartNumberingAfterBreak="0">
    <w:nsid w:val="2EF06015"/>
    <w:multiLevelType w:val="hybridMultilevel"/>
    <w:tmpl w:val="A52C3378"/>
    <w:lvl w:ilvl="0" w:tplc="D9924038">
      <w:numFmt w:val="bullet"/>
      <w:lvlText w:val="•"/>
      <w:lvlJc w:val="left"/>
      <w:pPr>
        <w:ind w:left="276" w:hanging="217"/>
      </w:pPr>
      <w:rPr>
        <w:rFonts w:ascii="Arial" w:eastAsia="Arial" w:hAnsi="Arial" w:cs="Arial" w:hint="default"/>
        <w:color w:val="231F20"/>
        <w:w w:val="97"/>
        <w:sz w:val="16"/>
        <w:szCs w:val="16"/>
        <w:lang w:val="en-GB" w:eastAsia="en-GB" w:bidi="en-GB"/>
      </w:rPr>
    </w:lvl>
    <w:lvl w:ilvl="1" w:tplc="390CD9E0">
      <w:numFmt w:val="bullet"/>
      <w:lvlText w:val="•"/>
      <w:lvlJc w:val="left"/>
      <w:pPr>
        <w:ind w:left="381" w:hanging="217"/>
      </w:pPr>
      <w:rPr>
        <w:rFonts w:hint="default"/>
        <w:lang w:val="en-GB" w:eastAsia="en-GB" w:bidi="en-GB"/>
      </w:rPr>
    </w:lvl>
    <w:lvl w:ilvl="2" w:tplc="239A0F88">
      <w:numFmt w:val="bullet"/>
      <w:lvlText w:val="•"/>
      <w:lvlJc w:val="left"/>
      <w:pPr>
        <w:ind w:left="482" w:hanging="217"/>
      </w:pPr>
      <w:rPr>
        <w:rFonts w:hint="default"/>
        <w:lang w:val="en-GB" w:eastAsia="en-GB" w:bidi="en-GB"/>
      </w:rPr>
    </w:lvl>
    <w:lvl w:ilvl="3" w:tplc="1B90BE88">
      <w:numFmt w:val="bullet"/>
      <w:lvlText w:val="•"/>
      <w:lvlJc w:val="left"/>
      <w:pPr>
        <w:ind w:left="584" w:hanging="217"/>
      </w:pPr>
      <w:rPr>
        <w:rFonts w:hint="default"/>
        <w:lang w:val="en-GB" w:eastAsia="en-GB" w:bidi="en-GB"/>
      </w:rPr>
    </w:lvl>
    <w:lvl w:ilvl="4" w:tplc="DB44440A">
      <w:numFmt w:val="bullet"/>
      <w:lvlText w:val="•"/>
      <w:lvlJc w:val="left"/>
      <w:pPr>
        <w:ind w:left="685" w:hanging="217"/>
      </w:pPr>
      <w:rPr>
        <w:rFonts w:hint="default"/>
        <w:lang w:val="en-GB" w:eastAsia="en-GB" w:bidi="en-GB"/>
      </w:rPr>
    </w:lvl>
    <w:lvl w:ilvl="5" w:tplc="8EEEE2AC">
      <w:numFmt w:val="bullet"/>
      <w:lvlText w:val="•"/>
      <w:lvlJc w:val="left"/>
      <w:pPr>
        <w:ind w:left="787" w:hanging="217"/>
      </w:pPr>
      <w:rPr>
        <w:rFonts w:hint="default"/>
        <w:lang w:val="en-GB" w:eastAsia="en-GB" w:bidi="en-GB"/>
      </w:rPr>
    </w:lvl>
    <w:lvl w:ilvl="6" w:tplc="60C834C6">
      <w:numFmt w:val="bullet"/>
      <w:lvlText w:val="•"/>
      <w:lvlJc w:val="left"/>
      <w:pPr>
        <w:ind w:left="888" w:hanging="217"/>
      </w:pPr>
      <w:rPr>
        <w:rFonts w:hint="default"/>
        <w:lang w:val="en-GB" w:eastAsia="en-GB" w:bidi="en-GB"/>
      </w:rPr>
    </w:lvl>
    <w:lvl w:ilvl="7" w:tplc="113EE572">
      <w:numFmt w:val="bullet"/>
      <w:lvlText w:val="•"/>
      <w:lvlJc w:val="left"/>
      <w:pPr>
        <w:ind w:left="989" w:hanging="217"/>
      </w:pPr>
      <w:rPr>
        <w:rFonts w:hint="default"/>
        <w:lang w:val="en-GB" w:eastAsia="en-GB" w:bidi="en-GB"/>
      </w:rPr>
    </w:lvl>
    <w:lvl w:ilvl="8" w:tplc="E22C4ED8">
      <w:numFmt w:val="bullet"/>
      <w:lvlText w:val="•"/>
      <w:lvlJc w:val="left"/>
      <w:pPr>
        <w:ind w:left="1091" w:hanging="217"/>
      </w:pPr>
      <w:rPr>
        <w:rFonts w:hint="default"/>
        <w:lang w:val="en-GB" w:eastAsia="en-GB" w:bidi="en-GB"/>
      </w:rPr>
    </w:lvl>
  </w:abstractNum>
  <w:abstractNum w:abstractNumId="511" w15:restartNumberingAfterBreak="0">
    <w:nsid w:val="2F3D0627"/>
    <w:multiLevelType w:val="hybridMultilevel"/>
    <w:tmpl w:val="5D8E8F08"/>
    <w:lvl w:ilvl="0" w:tplc="B694D6EC">
      <w:numFmt w:val="bullet"/>
      <w:lvlText w:val="•"/>
      <w:lvlJc w:val="left"/>
      <w:pPr>
        <w:ind w:left="305" w:hanging="217"/>
      </w:pPr>
      <w:rPr>
        <w:rFonts w:ascii="Arial" w:eastAsia="Arial" w:hAnsi="Arial" w:cs="Arial" w:hint="default"/>
        <w:color w:val="231F20"/>
        <w:w w:val="102"/>
        <w:sz w:val="17"/>
        <w:szCs w:val="17"/>
        <w:lang w:val="en-GB" w:eastAsia="en-GB" w:bidi="en-GB"/>
      </w:rPr>
    </w:lvl>
    <w:lvl w:ilvl="1" w:tplc="A70CE9AC">
      <w:numFmt w:val="bullet"/>
      <w:lvlText w:val="•"/>
      <w:lvlJc w:val="left"/>
      <w:pPr>
        <w:ind w:left="892" w:hanging="217"/>
      </w:pPr>
      <w:rPr>
        <w:rFonts w:hint="default"/>
        <w:lang w:val="en-GB" w:eastAsia="en-GB" w:bidi="en-GB"/>
      </w:rPr>
    </w:lvl>
    <w:lvl w:ilvl="2" w:tplc="110E97C2">
      <w:numFmt w:val="bullet"/>
      <w:lvlText w:val="•"/>
      <w:lvlJc w:val="left"/>
      <w:pPr>
        <w:ind w:left="1485" w:hanging="217"/>
      </w:pPr>
      <w:rPr>
        <w:rFonts w:hint="default"/>
        <w:lang w:val="en-GB" w:eastAsia="en-GB" w:bidi="en-GB"/>
      </w:rPr>
    </w:lvl>
    <w:lvl w:ilvl="3" w:tplc="52EA3846">
      <w:numFmt w:val="bullet"/>
      <w:lvlText w:val="•"/>
      <w:lvlJc w:val="left"/>
      <w:pPr>
        <w:ind w:left="2077" w:hanging="217"/>
      </w:pPr>
      <w:rPr>
        <w:rFonts w:hint="default"/>
        <w:lang w:val="en-GB" w:eastAsia="en-GB" w:bidi="en-GB"/>
      </w:rPr>
    </w:lvl>
    <w:lvl w:ilvl="4" w:tplc="35D0EF28">
      <w:numFmt w:val="bullet"/>
      <w:lvlText w:val="•"/>
      <w:lvlJc w:val="left"/>
      <w:pPr>
        <w:ind w:left="2670" w:hanging="217"/>
      </w:pPr>
      <w:rPr>
        <w:rFonts w:hint="default"/>
        <w:lang w:val="en-GB" w:eastAsia="en-GB" w:bidi="en-GB"/>
      </w:rPr>
    </w:lvl>
    <w:lvl w:ilvl="5" w:tplc="6230432C">
      <w:numFmt w:val="bullet"/>
      <w:lvlText w:val="•"/>
      <w:lvlJc w:val="left"/>
      <w:pPr>
        <w:ind w:left="3263" w:hanging="217"/>
      </w:pPr>
      <w:rPr>
        <w:rFonts w:hint="default"/>
        <w:lang w:val="en-GB" w:eastAsia="en-GB" w:bidi="en-GB"/>
      </w:rPr>
    </w:lvl>
    <w:lvl w:ilvl="6" w:tplc="84FEA35E">
      <w:numFmt w:val="bullet"/>
      <w:lvlText w:val="•"/>
      <w:lvlJc w:val="left"/>
      <w:pPr>
        <w:ind w:left="3855" w:hanging="217"/>
      </w:pPr>
      <w:rPr>
        <w:rFonts w:hint="default"/>
        <w:lang w:val="en-GB" w:eastAsia="en-GB" w:bidi="en-GB"/>
      </w:rPr>
    </w:lvl>
    <w:lvl w:ilvl="7" w:tplc="FABA363C">
      <w:numFmt w:val="bullet"/>
      <w:lvlText w:val="•"/>
      <w:lvlJc w:val="left"/>
      <w:pPr>
        <w:ind w:left="4448" w:hanging="217"/>
      </w:pPr>
      <w:rPr>
        <w:rFonts w:hint="default"/>
        <w:lang w:val="en-GB" w:eastAsia="en-GB" w:bidi="en-GB"/>
      </w:rPr>
    </w:lvl>
    <w:lvl w:ilvl="8" w:tplc="FDF08A66">
      <w:numFmt w:val="bullet"/>
      <w:lvlText w:val="•"/>
      <w:lvlJc w:val="left"/>
      <w:pPr>
        <w:ind w:left="5040" w:hanging="217"/>
      </w:pPr>
      <w:rPr>
        <w:rFonts w:hint="default"/>
        <w:lang w:val="en-GB" w:eastAsia="en-GB" w:bidi="en-GB"/>
      </w:rPr>
    </w:lvl>
  </w:abstractNum>
  <w:abstractNum w:abstractNumId="512" w15:restartNumberingAfterBreak="0">
    <w:nsid w:val="2F603029"/>
    <w:multiLevelType w:val="hybridMultilevel"/>
    <w:tmpl w:val="C11AAB0A"/>
    <w:lvl w:ilvl="0" w:tplc="0C8CC81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EC2E498">
      <w:numFmt w:val="bullet"/>
      <w:lvlText w:val="•"/>
      <w:lvlJc w:val="left"/>
      <w:pPr>
        <w:ind w:left="439" w:hanging="217"/>
      </w:pPr>
      <w:rPr>
        <w:rFonts w:hint="default"/>
        <w:lang w:val="en-GB" w:eastAsia="en-GB" w:bidi="en-GB"/>
      </w:rPr>
    </w:lvl>
    <w:lvl w:ilvl="2" w:tplc="266C75B0">
      <w:numFmt w:val="bullet"/>
      <w:lvlText w:val="•"/>
      <w:lvlJc w:val="left"/>
      <w:pPr>
        <w:ind w:left="578" w:hanging="217"/>
      </w:pPr>
      <w:rPr>
        <w:rFonts w:hint="default"/>
        <w:lang w:val="en-GB" w:eastAsia="en-GB" w:bidi="en-GB"/>
      </w:rPr>
    </w:lvl>
    <w:lvl w:ilvl="3" w:tplc="7EDEAC10">
      <w:numFmt w:val="bullet"/>
      <w:lvlText w:val="•"/>
      <w:lvlJc w:val="left"/>
      <w:pPr>
        <w:ind w:left="717" w:hanging="217"/>
      </w:pPr>
      <w:rPr>
        <w:rFonts w:hint="default"/>
        <w:lang w:val="en-GB" w:eastAsia="en-GB" w:bidi="en-GB"/>
      </w:rPr>
    </w:lvl>
    <w:lvl w:ilvl="4" w:tplc="7F2C2C08">
      <w:numFmt w:val="bullet"/>
      <w:lvlText w:val="•"/>
      <w:lvlJc w:val="left"/>
      <w:pPr>
        <w:ind w:left="856" w:hanging="217"/>
      </w:pPr>
      <w:rPr>
        <w:rFonts w:hint="default"/>
        <w:lang w:val="en-GB" w:eastAsia="en-GB" w:bidi="en-GB"/>
      </w:rPr>
    </w:lvl>
    <w:lvl w:ilvl="5" w:tplc="72F23D5C">
      <w:numFmt w:val="bullet"/>
      <w:lvlText w:val="•"/>
      <w:lvlJc w:val="left"/>
      <w:pPr>
        <w:ind w:left="995" w:hanging="217"/>
      </w:pPr>
      <w:rPr>
        <w:rFonts w:hint="default"/>
        <w:lang w:val="en-GB" w:eastAsia="en-GB" w:bidi="en-GB"/>
      </w:rPr>
    </w:lvl>
    <w:lvl w:ilvl="6" w:tplc="52E6986C">
      <w:numFmt w:val="bullet"/>
      <w:lvlText w:val="•"/>
      <w:lvlJc w:val="left"/>
      <w:pPr>
        <w:ind w:left="1134" w:hanging="217"/>
      </w:pPr>
      <w:rPr>
        <w:rFonts w:hint="default"/>
        <w:lang w:val="en-GB" w:eastAsia="en-GB" w:bidi="en-GB"/>
      </w:rPr>
    </w:lvl>
    <w:lvl w:ilvl="7" w:tplc="E6607ED8">
      <w:numFmt w:val="bullet"/>
      <w:lvlText w:val="•"/>
      <w:lvlJc w:val="left"/>
      <w:pPr>
        <w:ind w:left="1273" w:hanging="217"/>
      </w:pPr>
      <w:rPr>
        <w:rFonts w:hint="default"/>
        <w:lang w:val="en-GB" w:eastAsia="en-GB" w:bidi="en-GB"/>
      </w:rPr>
    </w:lvl>
    <w:lvl w:ilvl="8" w:tplc="A1FCE8BE">
      <w:numFmt w:val="bullet"/>
      <w:lvlText w:val="•"/>
      <w:lvlJc w:val="left"/>
      <w:pPr>
        <w:ind w:left="1412" w:hanging="217"/>
      </w:pPr>
      <w:rPr>
        <w:rFonts w:hint="default"/>
        <w:lang w:val="en-GB" w:eastAsia="en-GB" w:bidi="en-GB"/>
      </w:rPr>
    </w:lvl>
  </w:abstractNum>
  <w:abstractNum w:abstractNumId="513" w15:restartNumberingAfterBreak="0">
    <w:nsid w:val="2F6C0AA5"/>
    <w:multiLevelType w:val="hybridMultilevel"/>
    <w:tmpl w:val="0308B078"/>
    <w:lvl w:ilvl="0" w:tplc="737E25BE">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6E2E3584">
      <w:numFmt w:val="bullet"/>
      <w:lvlText w:val="•"/>
      <w:lvlJc w:val="left"/>
      <w:pPr>
        <w:ind w:left="892" w:hanging="217"/>
      </w:pPr>
      <w:rPr>
        <w:rFonts w:hint="default"/>
        <w:lang w:val="en-GB" w:eastAsia="en-GB" w:bidi="en-GB"/>
      </w:rPr>
    </w:lvl>
    <w:lvl w:ilvl="2" w:tplc="6E761052">
      <w:numFmt w:val="bullet"/>
      <w:lvlText w:val="•"/>
      <w:lvlJc w:val="left"/>
      <w:pPr>
        <w:ind w:left="1485" w:hanging="217"/>
      </w:pPr>
      <w:rPr>
        <w:rFonts w:hint="default"/>
        <w:lang w:val="en-GB" w:eastAsia="en-GB" w:bidi="en-GB"/>
      </w:rPr>
    </w:lvl>
    <w:lvl w:ilvl="3" w:tplc="557E5BD2">
      <w:numFmt w:val="bullet"/>
      <w:lvlText w:val="•"/>
      <w:lvlJc w:val="left"/>
      <w:pPr>
        <w:ind w:left="2077" w:hanging="217"/>
      </w:pPr>
      <w:rPr>
        <w:rFonts w:hint="default"/>
        <w:lang w:val="en-GB" w:eastAsia="en-GB" w:bidi="en-GB"/>
      </w:rPr>
    </w:lvl>
    <w:lvl w:ilvl="4" w:tplc="EB4A09EE">
      <w:numFmt w:val="bullet"/>
      <w:lvlText w:val="•"/>
      <w:lvlJc w:val="left"/>
      <w:pPr>
        <w:ind w:left="2670" w:hanging="217"/>
      </w:pPr>
      <w:rPr>
        <w:rFonts w:hint="default"/>
        <w:lang w:val="en-GB" w:eastAsia="en-GB" w:bidi="en-GB"/>
      </w:rPr>
    </w:lvl>
    <w:lvl w:ilvl="5" w:tplc="612A2264">
      <w:numFmt w:val="bullet"/>
      <w:lvlText w:val="•"/>
      <w:lvlJc w:val="left"/>
      <w:pPr>
        <w:ind w:left="3263" w:hanging="217"/>
      </w:pPr>
      <w:rPr>
        <w:rFonts w:hint="default"/>
        <w:lang w:val="en-GB" w:eastAsia="en-GB" w:bidi="en-GB"/>
      </w:rPr>
    </w:lvl>
    <w:lvl w:ilvl="6" w:tplc="C586403C">
      <w:numFmt w:val="bullet"/>
      <w:lvlText w:val="•"/>
      <w:lvlJc w:val="left"/>
      <w:pPr>
        <w:ind w:left="3855" w:hanging="217"/>
      </w:pPr>
      <w:rPr>
        <w:rFonts w:hint="default"/>
        <w:lang w:val="en-GB" w:eastAsia="en-GB" w:bidi="en-GB"/>
      </w:rPr>
    </w:lvl>
    <w:lvl w:ilvl="7" w:tplc="9C806EB4">
      <w:numFmt w:val="bullet"/>
      <w:lvlText w:val="•"/>
      <w:lvlJc w:val="left"/>
      <w:pPr>
        <w:ind w:left="4448" w:hanging="217"/>
      </w:pPr>
      <w:rPr>
        <w:rFonts w:hint="default"/>
        <w:lang w:val="en-GB" w:eastAsia="en-GB" w:bidi="en-GB"/>
      </w:rPr>
    </w:lvl>
    <w:lvl w:ilvl="8" w:tplc="7212BE28">
      <w:numFmt w:val="bullet"/>
      <w:lvlText w:val="•"/>
      <w:lvlJc w:val="left"/>
      <w:pPr>
        <w:ind w:left="5040" w:hanging="217"/>
      </w:pPr>
      <w:rPr>
        <w:rFonts w:hint="default"/>
        <w:lang w:val="en-GB" w:eastAsia="en-GB" w:bidi="en-GB"/>
      </w:rPr>
    </w:lvl>
  </w:abstractNum>
  <w:abstractNum w:abstractNumId="514" w15:restartNumberingAfterBreak="0">
    <w:nsid w:val="2FA749F4"/>
    <w:multiLevelType w:val="hybridMultilevel"/>
    <w:tmpl w:val="A35C6F88"/>
    <w:lvl w:ilvl="0" w:tplc="14B26FB8">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49BE765A">
      <w:numFmt w:val="bullet"/>
      <w:lvlText w:val="•"/>
      <w:lvlJc w:val="left"/>
      <w:pPr>
        <w:ind w:left="473" w:hanging="217"/>
      </w:pPr>
      <w:rPr>
        <w:rFonts w:hint="default"/>
        <w:lang w:val="en-GB" w:eastAsia="en-GB" w:bidi="en-GB"/>
      </w:rPr>
    </w:lvl>
    <w:lvl w:ilvl="2" w:tplc="E44AAEB2">
      <w:numFmt w:val="bullet"/>
      <w:lvlText w:val="•"/>
      <w:lvlJc w:val="left"/>
      <w:pPr>
        <w:ind w:left="646" w:hanging="217"/>
      </w:pPr>
      <w:rPr>
        <w:rFonts w:hint="default"/>
        <w:lang w:val="en-GB" w:eastAsia="en-GB" w:bidi="en-GB"/>
      </w:rPr>
    </w:lvl>
    <w:lvl w:ilvl="3" w:tplc="75D26DFE">
      <w:numFmt w:val="bullet"/>
      <w:lvlText w:val="•"/>
      <w:lvlJc w:val="left"/>
      <w:pPr>
        <w:ind w:left="819" w:hanging="217"/>
      </w:pPr>
      <w:rPr>
        <w:rFonts w:hint="default"/>
        <w:lang w:val="en-GB" w:eastAsia="en-GB" w:bidi="en-GB"/>
      </w:rPr>
    </w:lvl>
    <w:lvl w:ilvl="4" w:tplc="22740B70">
      <w:numFmt w:val="bullet"/>
      <w:lvlText w:val="•"/>
      <w:lvlJc w:val="left"/>
      <w:pPr>
        <w:ind w:left="992" w:hanging="217"/>
      </w:pPr>
      <w:rPr>
        <w:rFonts w:hint="default"/>
        <w:lang w:val="en-GB" w:eastAsia="en-GB" w:bidi="en-GB"/>
      </w:rPr>
    </w:lvl>
    <w:lvl w:ilvl="5" w:tplc="1C7E8DB0">
      <w:numFmt w:val="bullet"/>
      <w:lvlText w:val="•"/>
      <w:lvlJc w:val="left"/>
      <w:pPr>
        <w:ind w:left="1165" w:hanging="217"/>
      </w:pPr>
      <w:rPr>
        <w:rFonts w:hint="default"/>
        <w:lang w:val="en-GB" w:eastAsia="en-GB" w:bidi="en-GB"/>
      </w:rPr>
    </w:lvl>
    <w:lvl w:ilvl="6" w:tplc="3210DD6C">
      <w:numFmt w:val="bullet"/>
      <w:lvlText w:val="•"/>
      <w:lvlJc w:val="left"/>
      <w:pPr>
        <w:ind w:left="1338" w:hanging="217"/>
      </w:pPr>
      <w:rPr>
        <w:rFonts w:hint="default"/>
        <w:lang w:val="en-GB" w:eastAsia="en-GB" w:bidi="en-GB"/>
      </w:rPr>
    </w:lvl>
    <w:lvl w:ilvl="7" w:tplc="15640544">
      <w:numFmt w:val="bullet"/>
      <w:lvlText w:val="•"/>
      <w:lvlJc w:val="left"/>
      <w:pPr>
        <w:ind w:left="1511" w:hanging="217"/>
      </w:pPr>
      <w:rPr>
        <w:rFonts w:hint="default"/>
        <w:lang w:val="en-GB" w:eastAsia="en-GB" w:bidi="en-GB"/>
      </w:rPr>
    </w:lvl>
    <w:lvl w:ilvl="8" w:tplc="7BE81922">
      <w:numFmt w:val="bullet"/>
      <w:lvlText w:val="•"/>
      <w:lvlJc w:val="left"/>
      <w:pPr>
        <w:ind w:left="1684" w:hanging="217"/>
      </w:pPr>
      <w:rPr>
        <w:rFonts w:hint="default"/>
        <w:lang w:val="en-GB" w:eastAsia="en-GB" w:bidi="en-GB"/>
      </w:rPr>
    </w:lvl>
  </w:abstractNum>
  <w:abstractNum w:abstractNumId="515" w15:restartNumberingAfterBreak="0">
    <w:nsid w:val="2FC71E31"/>
    <w:multiLevelType w:val="hybridMultilevel"/>
    <w:tmpl w:val="04B6067E"/>
    <w:lvl w:ilvl="0" w:tplc="6572335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76ED8EC">
      <w:numFmt w:val="bullet"/>
      <w:lvlText w:val="•"/>
      <w:lvlJc w:val="left"/>
      <w:pPr>
        <w:ind w:left="439" w:hanging="217"/>
      </w:pPr>
      <w:rPr>
        <w:rFonts w:hint="default"/>
        <w:lang w:val="en-GB" w:eastAsia="en-GB" w:bidi="en-GB"/>
      </w:rPr>
    </w:lvl>
    <w:lvl w:ilvl="2" w:tplc="7D26C1E2">
      <w:numFmt w:val="bullet"/>
      <w:lvlText w:val="•"/>
      <w:lvlJc w:val="left"/>
      <w:pPr>
        <w:ind w:left="578" w:hanging="217"/>
      </w:pPr>
      <w:rPr>
        <w:rFonts w:hint="default"/>
        <w:lang w:val="en-GB" w:eastAsia="en-GB" w:bidi="en-GB"/>
      </w:rPr>
    </w:lvl>
    <w:lvl w:ilvl="3" w:tplc="8FFC552A">
      <w:numFmt w:val="bullet"/>
      <w:lvlText w:val="•"/>
      <w:lvlJc w:val="left"/>
      <w:pPr>
        <w:ind w:left="717" w:hanging="217"/>
      </w:pPr>
      <w:rPr>
        <w:rFonts w:hint="default"/>
        <w:lang w:val="en-GB" w:eastAsia="en-GB" w:bidi="en-GB"/>
      </w:rPr>
    </w:lvl>
    <w:lvl w:ilvl="4" w:tplc="91448272">
      <w:numFmt w:val="bullet"/>
      <w:lvlText w:val="•"/>
      <w:lvlJc w:val="left"/>
      <w:pPr>
        <w:ind w:left="856" w:hanging="217"/>
      </w:pPr>
      <w:rPr>
        <w:rFonts w:hint="default"/>
        <w:lang w:val="en-GB" w:eastAsia="en-GB" w:bidi="en-GB"/>
      </w:rPr>
    </w:lvl>
    <w:lvl w:ilvl="5" w:tplc="DBAA957C">
      <w:numFmt w:val="bullet"/>
      <w:lvlText w:val="•"/>
      <w:lvlJc w:val="left"/>
      <w:pPr>
        <w:ind w:left="995" w:hanging="217"/>
      </w:pPr>
      <w:rPr>
        <w:rFonts w:hint="default"/>
        <w:lang w:val="en-GB" w:eastAsia="en-GB" w:bidi="en-GB"/>
      </w:rPr>
    </w:lvl>
    <w:lvl w:ilvl="6" w:tplc="24D42274">
      <w:numFmt w:val="bullet"/>
      <w:lvlText w:val="•"/>
      <w:lvlJc w:val="left"/>
      <w:pPr>
        <w:ind w:left="1134" w:hanging="217"/>
      </w:pPr>
      <w:rPr>
        <w:rFonts w:hint="default"/>
        <w:lang w:val="en-GB" w:eastAsia="en-GB" w:bidi="en-GB"/>
      </w:rPr>
    </w:lvl>
    <w:lvl w:ilvl="7" w:tplc="0BB43460">
      <w:numFmt w:val="bullet"/>
      <w:lvlText w:val="•"/>
      <w:lvlJc w:val="left"/>
      <w:pPr>
        <w:ind w:left="1273" w:hanging="217"/>
      </w:pPr>
      <w:rPr>
        <w:rFonts w:hint="default"/>
        <w:lang w:val="en-GB" w:eastAsia="en-GB" w:bidi="en-GB"/>
      </w:rPr>
    </w:lvl>
    <w:lvl w:ilvl="8" w:tplc="A066D9F4">
      <w:numFmt w:val="bullet"/>
      <w:lvlText w:val="•"/>
      <w:lvlJc w:val="left"/>
      <w:pPr>
        <w:ind w:left="1412" w:hanging="217"/>
      </w:pPr>
      <w:rPr>
        <w:rFonts w:hint="default"/>
        <w:lang w:val="en-GB" w:eastAsia="en-GB" w:bidi="en-GB"/>
      </w:rPr>
    </w:lvl>
  </w:abstractNum>
  <w:abstractNum w:abstractNumId="516" w15:restartNumberingAfterBreak="0">
    <w:nsid w:val="2FD655F8"/>
    <w:multiLevelType w:val="hybridMultilevel"/>
    <w:tmpl w:val="A01A886A"/>
    <w:lvl w:ilvl="0" w:tplc="BC827F8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22C4FB0">
      <w:numFmt w:val="bullet"/>
      <w:lvlText w:val="•"/>
      <w:lvlJc w:val="left"/>
      <w:pPr>
        <w:ind w:left="473" w:hanging="217"/>
      </w:pPr>
      <w:rPr>
        <w:rFonts w:hint="default"/>
        <w:lang w:val="en-GB" w:eastAsia="en-GB" w:bidi="en-GB"/>
      </w:rPr>
    </w:lvl>
    <w:lvl w:ilvl="2" w:tplc="7834D6BA">
      <w:numFmt w:val="bullet"/>
      <w:lvlText w:val="•"/>
      <w:lvlJc w:val="left"/>
      <w:pPr>
        <w:ind w:left="646" w:hanging="217"/>
      </w:pPr>
      <w:rPr>
        <w:rFonts w:hint="default"/>
        <w:lang w:val="en-GB" w:eastAsia="en-GB" w:bidi="en-GB"/>
      </w:rPr>
    </w:lvl>
    <w:lvl w:ilvl="3" w:tplc="21900474">
      <w:numFmt w:val="bullet"/>
      <w:lvlText w:val="•"/>
      <w:lvlJc w:val="left"/>
      <w:pPr>
        <w:ind w:left="819" w:hanging="217"/>
      </w:pPr>
      <w:rPr>
        <w:rFonts w:hint="default"/>
        <w:lang w:val="en-GB" w:eastAsia="en-GB" w:bidi="en-GB"/>
      </w:rPr>
    </w:lvl>
    <w:lvl w:ilvl="4" w:tplc="2E1A29C0">
      <w:numFmt w:val="bullet"/>
      <w:lvlText w:val="•"/>
      <w:lvlJc w:val="left"/>
      <w:pPr>
        <w:ind w:left="992" w:hanging="217"/>
      </w:pPr>
      <w:rPr>
        <w:rFonts w:hint="default"/>
        <w:lang w:val="en-GB" w:eastAsia="en-GB" w:bidi="en-GB"/>
      </w:rPr>
    </w:lvl>
    <w:lvl w:ilvl="5" w:tplc="F716D3DC">
      <w:numFmt w:val="bullet"/>
      <w:lvlText w:val="•"/>
      <w:lvlJc w:val="left"/>
      <w:pPr>
        <w:ind w:left="1165" w:hanging="217"/>
      </w:pPr>
      <w:rPr>
        <w:rFonts w:hint="default"/>
        <w:lang w:val="en-GB" w:eastAsia="en-GB" w:bidi="en-GB"/>
      </w:rPr>
    </w:lvl>
    <w:lvl w:ilvl="6" w:tplc="4B0ECD86">
      <w:numFmt w:val="bullet"/>
      <w:lvlText w:val="•"/>
      <w:lvlJc w:val="left"/>
      <w:pPr>
        <w:ind w:left="1338" w:hanging="217"/>
      </w:pPr>
      <w:rPr>
        <w:rFonts w:hint="default"/>
        <w:lang w:val="en-GB" w:eastAsia="en-GB" w:bidi="en-GB"/>
      </w:rPr>
    </w:lvl>
    <w:lvl w:ilvl="7" w:tplc="050E29D0">
      <w:numFmt w:val="bullet"/>
      <w:lvlText w:val="•"/>
      <w:lvlJc w:val="left"/>
      <w:pPr>
        <w:ind w:left="1511" w:hanging="217"/>
      </w:pPr>
      <w:rPr>
        <w:rFonts w:hint="default"/>
        <w:lang w:val="en-GB" w:eastAsia="en-GB" w:bidi="en-GB"/>
      </w:rPr>
    </w:lvl>
    <w:lvl w:ilvl="8" w:tplc="699AAA8C">
      <w:numFmt w:val="bullet"/>
      <w:lvlText w:val="•"/>
      <w:lvlJc w:val="left"/>
      <w:pPr>
        <w:ind w:left="1684" w:hanging="217"/>
      </w:pPr>
      <w:rPr>
        <w:rFonts w:hint="default"/>
        <w:lang w:val="en-GB" w:eastAsia="en-GB" w:bidi="en-GB"/>
      </w:rPr>
    </w:lvl>
  </w:abstractNum>
  <w:abstractNum w:abstractNumId="517" w15:restartNumberingAfterBreak="0">
    <w:nsid w:val="30015EF9"/>
    <w:multiLevelType w:val="hybridMultilevel"/>
    <w:tmpl w:val="A7304AA2"/>
    <w:lvl w:ilvl="0" w:tplc="82686924">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11BE1FD4">
      <w:numFmt w:val="bullet"/>
      <w:lvlText w:val="•"/>
      <w:lvlJc w:val="left"/>
      <w:pPr>
        <w:ind w:left="892" w:hanging="217"/>
      </w:pPr>
      <w:rPr>
        <w:rFonts w:hint="default"/>
        <w:lang w:val="en-GB" w:eastAsia="en-GB" w:bidi="en-GB"/>
      </w:rPr>
    </w:lvl>
    <w:lvl w:ilvl="2" w:tplc="73B8BAA4">
      <w:numFmt w:val="bullet"/>
      <w:lvlText w:val="•"/>
      <w:lvlJc w:val="left"/>
      <w:pPr>
        <w:ind w:left="1485" w:hanging="217"/>
      </w:pPr>
      <w:rPr>
        <w:rFonts w:hint="default"/>
        <w:lang w:val="en-GB" w:eastAsia="en-GB" w:bidi="en-GB"/>
      </w:rPr>
    </w:lvl>
    <w:lvl w:ilvl="3" w:tplc="C3202CD6">
      <w:numFmt w:val="bullet"/>
      <w:lvlText w:val="•"/>
      <w:lvlJc w:val="left"/>
      <w:pPr>
        <w:ind w:left="2077" w:hanging="217"/>
      </w:pPr>
      <w:rPr>
        <w:rFonts w:hint="default"/>
        <w:lang w:val="en-GB" w:eastAsia="en-GB" w:bidi="en-GB"/>
      </w:rPr>
    </w:lvl>
    <w:lvl w:ilvl="4" w:tplc="5C245D88">
      <w:numFmt w:val="bullet"/>
      <w:lvlText w:val="•"/>
      <w:lvlJc w:val="left"/>
      <w:pPr>
        <w:ind w:left="2670" w:hanging="217"/>
      </w:pPr>
      <w:rPr>
        <w:rFonts w:hint="default"/>
        <w:lang w:val="en-GB" w:eastAsia="en-GB" w:bidi="en-GB"/>
      </w:rPr>
    </w:lvl>
    <w:lvl w:ilvl="5" w:tplc="B2F61A0C">
      <w:numFmt w:val="bullet"/>
      <w:lvlText w:val="•"/>
      <w:lvlJc w:val="left"/>
      <w:pPr>
        <w:ind w:left="3263" w:hanging="217"/>
      </w:pPr>
      <w:rPr>
        <w:rFonts w:hint="default"/>
        <w:lang w:val="en-GB" w:eastAsia="en-GB" w:bidi="en-GB"/>
      </w:rPr>
    </w:lvl>
    <w:lvl w:ilvl="6" w:tplc="9146D710">
      <w:numFmt w:val="bullet"/>
      <w:lvlText w:val="•"/>
      <w:lvlJc w:val="left"/>
      <w:pPr>
        <w:ind w:left="3855" w:hanging="217"/>
      </w:pPr>
      <w:rPr>
        <w:rFonts w:hint="default"/>
        <w:lang w:val="en-GB" w:eastAsia="en-GB" w:bidi="en-GB"/>
      </w:rPr>
    </w:lvl>
    <w:lvl w:ilvl="7" w:tplc="14F0C382">
      <w:numFmt w:val="bullet"/>
      <w:lvlText w:val="•"/>
      <w:lvlJc w:val="left"/>
      <w:pPr>
        <w:ind w:left="4448" w:hanging="217"/>
      </w:pPr>
      <w:rPr>
        <w:rFonts w:hint="default"/>
        <w:lang w:val="en-GB" w:eastAsia="en-GB" w:bidi="en-GB"/>
      </w:rPr>
    </w:lvl>
    <w:lvl w:ilvl="8" w:tplc="CE2057AE">
      <w:numFmt w:val="bullet"/>
      <w:lvlText w:val="•"/>
      <w:lvlJc w:val="left"/>
      <w:pPr>
        <w:ind w:left="5040" w:hanging="217"/>
      </w:pPr>
      <w:rPr>
        <w:rFonts w:hint="default"/>
        <w:lang w:val="en-GB" w:eastAsia="en-GB" w:bidi="en-GB"/>
      </w:rPr>
    </w:lvl>
  </w:abstractNum>
  <w:abstractNum w:abstractNumId="518" w15:restartNumberingAfterBreak="0">
    <w:nsid w:val="302D5AD1"/>
    <w:multiLevelType w:val="hybridMultilevel"/>
    <w:tmpl w:val="AB765562"/>
    <w:lvl w:ilvl="0" w:tplc="00A05D4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17C46C6">
      <w:numFmt w:val="bullet"/>
      <w:lvlText w:val="•"/>
      <w:lvlJc w:val="left"/>
      <w:pPr>
        <w:ind w:left="892" w:hanging="217"/>
      </w:pPr>
      <w:rPr>
        <w:rFonts w:hint="default"/>
        <w:lang w:val="en-GB" w:eastAsia="en-GB" w:bidi="en-GB"/>
      </w:rPr>
    </w:lvl>
    <w:lvl w:ilvl="2" w:tplc="6924E82C">
      <w:numFmt w:val="bullet"/>
      <w:lvlText w:val="•"/>
      <w:lvlJc w:val="left"/>
      <w:pPr>
        <w:ind w:left="1485" w:hanging="217"/>
      </w:pPr>
      <w:rPr>
        <w:rFonts w:hint="default"/>
        <w:lang w:val="en-GB" w:eastAsia="en-GB" w:bidi="en-GB"/>
      </w:rPr>
    </w:lvl>
    <w:lvl w:ilvl="3" w:tplc="5BD45F60">
      <w:numFmt w:val="bullet"/>
      <w:lvlText w:val="•"/>
      <w:lvlJc w:val="left"/>
      <w:pPr>
        <w:ind w:left="2077" w:hanging="217"/>
      </w:pPr>
      <w:rPr>
        <w:rFonts w:hint="default"/>
        <w:lang w:val="en-GB" w:eastAsia="en-GB" w:bidi="en-GB"/>
      </w:rPr>
    </w:lvl>
    <w:lvl w:ilvl="4" w:tplc="6C58F02A">
      <w:numFmt w:val="bullet"/>
      <w:lvlText w:val="•"/>
      <w:lvlJc w:val="left"/>
      <w:pPr>
        <w:ind w:left="2670" w:hanging="217"/>
      </w:pPr>
      <w:rPr>
        <w:rFonts w:hint="default"/>
        <w:lang w:val="en-GB" w:eastAsia="en-GB" w:bidi="en-GB"/>
      </w:rPr>
    </w:lvl>
    <w:lvl w:ilvl="5" w:tplc="0AE8B356">
      <w:numFmt w:val="bullet"/>
      <w:lvlText w:val="•"/>
      <w:lvlJc w:val="left"/>
      <w:pPr>
        <w:ind w:left="3263" w:hanging="217"/>
      </w:pPr>
      <w:rPr>
        <w:rFonts w:hint="default"/>
        <w:lang w:val="en-GB" w:eastAsia="en-GB" w:bidi="en-GB"/>
      </w:rPr>
    </w:lvl>
    <w:lvl w:ilvl="6" w:tplc="75BC40D0">
      <w:numFmt w:val="bullet"/>
      <w:lvlText w:val="•"/>
      <w:lvlJc w:val="left"/>
      <w:pPr>
        <w:ind w:left="3855" w:hanging="217"/>
      </w:pPr>
      <w:rPr>
        <w:rFonts w:hint="default"/>
        <w:lang w:val="en-GB" w:eastAsia="en-GB" w:bidi="en-GB"/>
      </w:rPr>
    </w:lvl>
    <w:lvl w:ilvl="7" w:tplc="C89A52C6">
      <w:numFmt w:val="bullet"/>
      <w:lvlText w:val="•"/>
      <w:lvlJc w:val="left"/>
      <w:pPr>
        <w:ind w:left="4448" w:hanging="217"/>
      </w:pPr>
      <w:rPr>
        <w:rFonts w:hint="default"/>
        <w:lang w:val="en-GB" w:eastAsia="en-GB" w:bidi="en-GB"/>
      </w:rPr>
    </w:lvl>
    <w:lvl w:ilvl="8" w:tplc="F500A44A">
      <w:numFmt w:val="bullet"/>
      <w:lvlText w:val="•"/>
      <w:lvlJc w:val="left"/>
      <w:pPr>
        <w:ind w:left="5040" w:hanging="217"/>
      </w:pPr>
      <w:rPr>
        <w:rFonts w:hint="default"/>
        <w:lang w:val="en-GB" w:eastAsia="en-GB" w:bidi="en-GB"/>
      </w:rPr>
    </w:lvl>
  </w:abstractNum>
  <w:abstractNum w:abstractNumId="519" w15:restartNumberingAfterBreak="0">
    <w:nsid w:val="304916FB"/>
    <w:multiLevelType w:val="hybridMultilevel"/>
    <w:tmpl w:val="B74A0AC6"/>
    <w:lvl w:ilvl="0" w:tplc="8DDEF58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1D384990">
      <w:numFmt w:val="bullet"/>
      <w:lvlText w:val="•"/>
      <w:lvlJc w:val="left"/>
      <w:pPr>
        <w:ind w:left="892" w:hanging="217"/>
      </w:pPr>
      <w:rPr>
        <w:rFonts w:hint="default"/>
        <w:lang w:val="en-GB" w:eastAsia="en-GB" w:bidi="en-GB"/>
      </w:rPr>
    </w:lvl>
    <w:lvl w:ilvl="2" w:tplc="811ED43E">
      <w:numFmt w:val="bullet"/>
      <w:lvlText w:val="•"/>
      <w:lvlJc w:val="left"/>
      <w:pPr>
        <w:ind w:left="1485" w:hanging="217"/>
      </w:pPr>
      <w:rPr>
        <w:rFonts w:hint="default"/>
        <w:lang w:val="en-GB" w:eastAsia="en-GB" w:bidi="en-GB"/>
      </w:rPr>
    </w:lvl>
    <w:lvl w:ilvl="3" w:tplc="F50A32FE">
      <w:numFmt w:val="bullet"/>
      <w:lvlText w:val="•"/>
      <w:lvlJc w:val="left"/>
      <w:pPr>
        <w:ind w:left="2077" w:hanging="217"/>
      </w:pPr>
      <w:rPr>
        <w:rFonts w:hint="default"/>
        <w:lang w:val="en-GB" w:eastAsia="en-GB" w:bidi="en-GB"/>
      </w:rPr>
    </w:lvl>
    <w:lvl w:ilvl="4" w:tplc="8AEABA78">
      <w:numFmt w:val="bullet"/>
      <w:lvlText w:val="•"/>
      <w:lvlJc w:val="left"/>
      <w:pPr>
        <w:ind w:left="2670" w:hanging="217"/>
      </w:pPr>
      <w:rPr>
        <w:rFonts w:hint="default"/>
        <w:lang w:val="en-GB" w:eastAsia="en-GB" w:bidi="en-GB"/>
      </w:rPr>
    </w:lvl>
    <w:lvl w:ilvl="5" w:tplc="16481A3E">
      <w:numFmt w:val="bullet"/>
      <w:lvlText w:val="•"/>
      <w:lvlJc w:val="left"/>
      <w:pPr>
        <w:ind w:left="3263" w:hanging="217"/>
      </w:pPr>
      <w:rPr>
        <w:rFonts w:hint="default"/>
        <w:lang w:val="en-GB" w:eastAsia="en-GB" w:bidi="en-GB"/>
      </w:rPr>
    </w:lvl>
    <w:lvl w:ilvl="6" w:tplc="2B26BCB0">
      <w:numFmt w:val="bullet"/>
      <w:lvlText w:val="•"/>
      <w:lvlJc w:val="left"/>
      <w:pPr>
        <w:ind w:left="3855" w:hanging="217"/>
      </w:pPr>
      <w:rPr>
        <w:rFonts w:hint="default"/>
        <w:lang w:val="en-GB" w:eastAsia="en-GB" w:bidi="en-GB"/>
      </w:rPr>
    </w:lvl>
    <w:lvl w:ilvl="7" w:tplc="21787FF2">
      <w:numFmt w:val="bullet"/>
      <w:lvlText w:val="•"/>
      <w:lvlJc w:val="left"/>
      <w:pPr>
        <w:ind w:left="4448" w:hanging="217"/>
      </w:pPr>
      <w:rPr>
        <w:rFonts w:hint="default"/>
        <w:lang w:val="en-GB" w:eastAsia="en-GB" w:bidi="en-GB"/>
      </w:rPr>
    </w:lvl>
    <w:lvl w:ilvl="8" w:tplc="F7761ADC">
      <w:numFmt w:val="bullet"/>
      <w:lvlText w:val="•"/>
      <w:lvlJc w:val="left"/>
      <w:pPr>
        <w:ind w:left="5040" w:hanging="217"/>
      </w:pPr>
      <w:rPr>
        <w:rFonts w:hint="default"/>
        <w:lang w:val="en-GB" w:eastAsia="en-GB" w:bidi="en-GB"/>
      </w:rPr>
    </w:lvl>
  </w:abstractNum>
  <w:abstractNum w:abstractNumId="520" w15:restartNumberingAfterBreak="0">
    <w:nsid w:val="304C7D5A"/>
    <w:multiLevelType w:val="hybridMultilevel"/>
    <w:tmpl w:val="7910DA24"/>
    <w:lvl w:ilvl="0" w:tplc="521C74E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C3C9886">
      <w:numFmt w:val="bullet"/>
      <w:lvlText w:val="•"/>
      <w:lvlJc w:val="left"/>
      <w:pPr>
        <w:ind w:left="473" w:hanging="217"/>
      </w:pPr>
      <w:rPr>
        <w:rFonts w:hint="default"/>
        <w:lang w:val="en-GB" w:eastAsia="en-GB" w:bidi="en-GB"/>
      </w:rPr>
    </w:lvl>
    <w:lvl w:ilvl="2" w:tplc="CB4242F0">
      <w:numFmt w:val="bullet"/>
      <w:lvlText w:val="•"/>
      <w:lvlJc w:val="left"/>
      <w:pPr>
        <w:ind w:left="646" w:hanging="217"/>
      </w:pPr>
      <w:rPr>
        <w:rFonts w:hint="default"/>
        <w:lang w:val="en-GB" w:eastAsia="en-GB" w:bidi="en-GB"/>
      </w:rPr>
    </w:lvl>
    <w:lvl w:ilvl="3" w:tplc="77AEAFE0">
      <w:numFmt w:val="bullet"/>
      <w:lvlText w:val="•"/>
      <w:lvlJc w:val="left"/>
      <w:pPr>
        <w:ind w:left="819" w:hanging="217"/>
      </w:pPr>
      <w:rPr>
        <w:rFonts w:hint="default"/>
        <w:lang w:val="en-GB" w:eastAsia="en-GB" w:bidi="en-GB"/>
      </w:rPr>
    </w:lvl>
    <w:lvl w:ilvl="4" w:tplc="953EE5F8">
      <w:numFmt w:val="bullet"/>
      <w:lvlText w:val="•"/>
      <w:lvlJc w:val="left"/>
      <w:pPr>
        <w:ind w:left="992" w:hanging="217"/>
      </w:pPr>
      <w:rPr>
        <w:rFonts w:hint="default"/>
        <w:lang w:val="en-GB" w:eastAsia="en-GB" w:bidi="en-GB"/>
      </w:rPr>
    </w:lvl>
    <w:lvl w:ilvl="5" w:tplc="05502A0A">
      <w:numFmt w:val="bullet"/>
      <w:lvlText w:val="•"/>
      <w:lvlJc w:val="left"/>
      <w:pPr>
        <w:ind w:left="1165" w:hanging="217"/>
      </w:pPr>
      <w:rPr>
        <w:rFonts w:hint="default"/>
        <w:lang w:val="en-GB" w:eastAsia="en-GB" w:bidi="en-GB"/>
      </w:rPr>
    </w:lvl>
    <w:lvl w:ilvl="6" w:tplc="17CE845A">
      <w:numFmt w:val="bullet"/>
      <w:lvlText w:val="•"/>
      <w:lvlJc w:val="left"/>
      <w:pPr>
        <w:ind w:left="1338" w:hanging="217"/>
      </w:pPr>
      <w:rPr>
        <w:rFonts w:hint="default"/>
        <w:lang w:val="en-GB" w:eastAsia="en-GB" w:bidi="en-GB"/>
      </w:rPr>
    </w:lvl>
    <w:lvl w:ilvl="7" w:tplc="D93EE1CC">
      <w:numFmt w:val="bullet"/>
      <w:lvlText w:val="•"/>
      <w:lvlJc w:val="left"/>
      <w:pPr>
        <w:ind w:left="1511" w:hanging="217"/>
      </w:pPr>
      <w:rPr>
        <w:rFonts w:hint="default"/>
        <w:lang w:val="en-GB" w:eastAsia="en-GB" w:bidi="en-GB"/>
      </w:rPr>
    </w:lvl>
    <w:lvl w:ilvl="8" w:tplc="E1DC78A8">
      <w:numFmt w:val="bullet"/>
      <w:lvlText w:val="•"/>
      <w:lvlJc w:val="left"/>
      <w:pPr>
        <w:ind w:left="1684" w:hanging="217"/>
      </w:pPr>
      <w:rPr>
        <w:rFonts w:hint="default"/>
        <w:lang w:val="en-GB" w:eastAsia="en-GB" w:bidi="en-GB"/>
      </w:rPr>
    </w:lvl>
  </w:abstractNum>
  <w:abstractNum w:abstractNumId="521" w15:restartNumberingAfterBreak="0">
    <w:nsid w:val="305453D9"/>
    <w:multiLevelType w:val="hybridMultilevel"/>
    <w:tmpl w:val="077A420C"/>
    <w:lvl w:ilvl="0" w:tplc="4DA047C2">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2B6ACBB2">
      <w:numFmt w:val="bullet"/>
      <w:lvlText w:val="•"/>
      <w:lvlJc w:val="left"/>
      <w:pPr>
        <w:ind w:left="473" w:hanging="217"/>
      </w:pPr>
      <w:rPr>
        <w:rFonts w:hint="default"/>
        <w:lang w:val="en-GB" w:eastAsia="en-GB" w:bidi="en-GB"/>
      </w:rPr>
    </w:lvl>
    <w:lvl w:ilvl="2" w:tplc="204A086C">
      <w:numFmt w:val="bullet"/>
      <w:lvlText w:val="•"/>
      <w:lvlJc w:val="left"/>
      <w:pPr>
        <w:ind w:left="646" w:hanging="217"/>
      </w:pPr>
      <w:rPr>
        <w:rFonts w:hint="default"/>
        <w:lang w:val="en-GB" w:eastAsia="en-GB" w:bidi="en-GB"/>
      </w:rPr>
    </w:lvl>
    <w:lvl w:ilvl="3" w:tplc="86FACDA6">
      <w:numFmt w:val="bullet"/>
      <w:lvlText w:val="•"/>
      <w:lvlJc w:val="left"/>
      <w:pPr>
        <w:ind w:left="819" w:hanging="217"/>
      </w:pPr>
      <w:rPr>
        <w:rFonts w:hint="default"/>
        <w:lang w:val="en-GB" w:eastAsia="en-GB" w:bidi="en-GB"/>
      </w:rPr>
    </w:lvl>
    <w:lvl w:ilvl="4" w:tplc="0D1C2E3A">
      <w:numFmt w:val="bullet"/>
      <w:lvlText w:val="•"/>
      <w:lvlJc w:val="left"/>
      <w:pPr>
        <w:ind w:left="992" w:hanging="217"/>
      </w:pPr>
      <w:rPr>
        <w:rFonts w:hint="default"/>
        <w:lang w:val="en-GB" w:eastAsia="en-GB" w:bidi="en-GB"/>
      </w:rPr>
    </w:lvl>
    <w:lvl w:ilvl="5" w:tplc="DB106F98">
      <w:numFmt w:val="bullet"/>
      <w:lvlText w:val="•"/>
      <w:lvlJc w:val="left"/>
      <w:pPr>
        <w:ind w:left="1165" w:hanging="217"/>
      </w:pPr>
      <w:rPr>
        <w:rFonts w:hint="default"/>
        <w:lang w:val="en-GB" w:eastAsia="en-GB" w:bidi="en-GB"/>
      </w:rPr>
    </w:lvl>
    <w:lvl w:ilvl="6" w:tplc="AEE64DFC">
      <w:numFmt w:val="bullet"/>
      <w:lvlText w:val="•"/>
      <w:lvlJc w:val="left"/>
      <w:pPr>
        <w:ind w:left="1338" w:hanging="217"/>
      </w:pPr>
      <w:rPr>
        <w:rFonts w:hint="default"/>
        <w:lang w:val="en-GB" w:eastAsia="en-GB" w:bidi="en-GB"/>
      </w:rPr>
    </w:lvl>
    <w:lvl w:ilvl="7" w:tplc="0B52C2E6">
      <w:numFmt w:val="bullet"/>
      <w:lvlText w:val="•"/>
      <w:lvlJc w:val="left"/>
      <w:pPr>
        <w:ind w:left="1511" w:hanging="217"/>
      </w:pPr>
      <w:rPr>
        <w:rFonts w:hint="default"/>
        <w:lang w:val="en-GB" w:eastAsia="en-GB" w:bidi="en-GB"/>
      </w:rPr>
    </w:lvl>
    <w:lvl w:ilvl="8" w:tplc="7F160398">
      <w:numFmt w:val="bullet"/>
      <w:lvlText w:val="•"/>
      <w:lvlJc w:val="left"/>
      <w:pPr>
        <w:ind w:left="1684" w:hanging="217"/>
      </w:pPr>
      <w:rPr>
        <w:rFonts w:hint="default"/>
        <w:lang w:val="en-GB" w:eastAsia="en-GB" w:bidi="en-GB"/>
      </w:rPr>
    </w:lvl>
  </w:abstractNum>
  <w:abstractNum w:abstractNumId="522" w15:restartNumberingAfterBreak="0">
    <w:nsid w:val="30557A10"/>
    <w:multiLevelType w:val="hybridMultilevel"/>
    <w:tmpl w:val="3684F6B6"/>
    <w:lvl w:ilvl="0" w:tplc="5338E34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4C4F02E">
      <w:numFmt w:val="bullet"/>
      <w:lvlText w:val="•"/>
      <w:lvlJc w:val="left"/>
      <w:pPr>
        <w:ind w:left="439" w:hanging="217"/>
      </w:pPr>
      <w:rPr>
        <w:rFonts w:hint="default"/>
        <w:lang w:val="en-GB" w:eastAsia="en-GB" w:bidi="en-GB"/>
      </w:rPr>
    </w:lvl>
    <w:lvl w:ilvl="2" w:tplc="BEF65494">
      <w:numFmt w:val="bullet"/>
      <w:lvlText w:val="•"/>
      <w:lvlJc w:val="left"/>
      <w:pPr>
        <w:ind w:left="578" w:hanging="217"/>
      </w:pPr>
      <w:rPr>
        <w:rFonts w:hint="default"/>
        <w:lang w:val="en-GB" w:eastAsia="en-GB" w:bidi="en-GB"/>
      </w:rPr>
    </w:lvl>
    <w:lvl w:ilvl="3" w:tplc="11041414">
      <w:numFmt w:val="bullet"/>
      <w:lvlText w:val="•"/>
      <w:lvlJc w:val="left"/>
      <w:pPr>
        <w:ind w:left="717" w:hanging="217"/>
      </w:pPr>
      <w:rPr>
        <w:rFonts w:hint="default"/>
        <w:lang w:val="en-GB" w:eastAsia="en-GB" w:bidi="en-GB"/>
      </w:rPr>
    </w:lvl>
    <w:lvl w:ilvl="4" w:tplc="97621DF6">
      <w:numFmt w:val="bullet"/>
      <w:lvlText w:val="•"/>
      <w:lvlJc w:val="left"/>
      <w:pPr>
        <w:ind w:left="856" w:hanging="217"/>
      </w:pPr>
      <w:rPr>
        <w:rFonts w:hint="default"/>
        <w:lang w:val="en-GB" w:eastAsia="en-GB" w:bidi="en-GB"/>
      </w:rPr>
    </w:lvl>
    <w:lvl w:ilvl="5" w:tplc="F2124442">
      <w:numFmt w:val="bullet"/>
      <w:lvlText w:val="•"/>
      <w:lvlJc w:val="left"/>
      <w:pPr>
        <w:ind w:left="995" w:hanging="217"/>
      </w:pPr>
      <w:rPr>
        <w:rFonts w:hint="default"/>
        <w:lang w:val="en-GB" w:eastAsia="en-GB" w:bidi="en-GB"/>
      </w:rPr>
    </w:lvl>
    <w:lvl w:ilvl="6" w:tplc="170ED608">
      <w:numFmt w:val="bullet"/>
      <w:lvlText w:val="•"/>
      <w:lvlJc w:val="left"/>
      <w:pPr>
        <w:ind w:left="1134" w:hanging="217"/>
      </w:pPr>
      <w:rPr>
        <w:rFonts w:hint="default"/>
        <w:lang w:val="en-GB" w:eastAsia="en-GB" w:bidi="en-GB"/>
      </w:rPr>
    </w:lvl>
    <w:lvl w:ilvl="7" w:tplc="8EE68604">
      <w:numFmt w:val="bullet"/>
      <w:lvlText w:val="•"/>
      <w:lvlJc w:val="left"/>
      <w:pPr>
        <w:ind w:left="1273" w:hanging="217"/>
      </w:pPr>
      <w:rPr>
        <w:rFonts w:hint="default"/>
        <w:lang w:val="en-GB" w:eastAsia="en-GB" w:bidi="en-GB"/>
      </w:rPr>
    </w:lvl>
    <w:lvl w:ilvl="8" w:tplc="BD945ED2">
      <w:numFmt w:val="bullet"/>
      <w:lvlText w:val="•"/>
      <w:lvlJc w:val="left"/>
      <w:pPr>
        <w:ind w:left="1412" w:hanging="217"/>
      </w:pPr>
      <w:rPr>
        <w:rFonts w:hint="default"/>
        <w:lang w:val="en-GB" w:eastAsia="en-GB" w:bidi="en-GB"/>
      </w:rPr>
    </w:lvl>
  </w:abstractNum>
  <w:abstractNum w:abstractNumId="523" w15:restartNumberingAfterBreak="0">
    <w:nsid w:val="30BA7B14"/>
    <w:multiLevelType w:val="hybridMultilevel"/>
    <w:tmpl w:val="06CE868A"/>
    <w:lvl w:ilvl="0" w:tplc="C56C6390">
      <w:numFmt w:val="bullet"/>
      <w:lvlText w:val="•"/>
      <w:lvlJc w:val="left"/>
      <w:pPr>
        <w:ind w:left="3619" w:hanging="217"/>
      </w:pPr>
      <w:rPr>
        <w:rFonts w:ascii="Arial" w:eastAsia="Arial" w:hAnsi="Arial" w:cs="Arial" w:hint="default"/>
        <w:color w:val="231F20"/>
        <w:spacing w:val="-1"/>
        <w:w w:val="100"/>
        <w:sz w:val="18"/>
        <w:szCs w:val="18"/>
        <w:lang w:val="en-GB" w:eastAsia="en-GB" w:bidi="en-GB"/>
      </w:rPr>
    </w:lvl>
    <w:lvl w:ilvl="1" w:tplc="12B03E44">
      <w:numFmt w:val="bullet"/>
      <w:lvlText w:val="•"/>
      <w:lvlJc w:val="left"/>
      <w:pPr>
        <w:ind w:left="4073" w:hanging="217"/>
      </w:pPr>
      <w:rPr>
        <w:rFonts w:hint="default"/>
        <w:lang w:val="en-GB" w:eastAsia="en-GB" w:bidi="en-GB"/>
      </w:rPr>
    </w:lvl>
    <w:lvl w:ilvl="2" w:tplc="2888640A">
      <w:numFmt w:val="bullet"/>
      <w:lvlText w:val="•"/>
      <w:lvlJc w:val="left"/>
      <w:pPr>
        <w:ind w:left="4526" w:hanging="217"/>
      </w:pPr>
      <w:rPr>
        <w:rFonts w:hint="default"/>
        <w:lang w:val="en-GB" w:eastAsia="en-GB" w:bidi="en-GB"/>
      </w:rPr>
    </w:lvl>
    <w:lvl w:ilvl="3" w:tplc="5388F9B6">
      <w:numFmt w:val="bullet"/>
      <w:lvlText w:val="•"/>
      <w:lvlJc w:val="left"/>
      <w:pPr>
        <w:ind w:left="4980" w:hanging="217"/>
      </w:pPr>
      <w:rPr>
        <w:rFonts w:hint="default"/>
        <w:lang w:val="en-GB" w:eastAsia="en-GB" w:bidi="en-GB"/>
      </w:rPr>
    </w:lvl>
    <w:lvl w:ilvl="4" w:tplc="5CF213D0">
      <w:numFmt w:val="bullet"/>
      <w:lvlText w:val="•"/>
      <w:lvlJc w:val="left"/>
      <w:pPr>
        <w:ind w:left="5433" w:hanging="217"/>
      </w:pPr>
      <w:rPr>
        <w:rFonts w:hint="default"/>
        <w:lang w:val="en-GB" w:eastAsia="en-GB" w:bidi="en-GB"/>
      </w:rPr>
    </w:lvl>
    <w:lvl w:ilvl="5" w:tplc="6BDC362E">
      <w:numFmt w:val="bullet"/>
      <w:lvlText w:val="•"/>
      <w:lvlJc w:val="left"/>
      <w:pPr>
        <w:ind w:left="5887" w:hanging="217"/>
      </w:pPr>
      <w:rPr>
        <w:rFonts w:hint="default"/>
        <w:lang w:val="en-GB" w:eastAsia="en-GB" w:bidi="en-GB"/>
      </w:rPr>
    </w:lvl>
    <w:lvl w:ilvl="6" w:tplc="151C1BF0">
      <w:numFmt w:val="bullet"/>
      <w:lvlText w:val="•"/>
      <w:lvlJc w:val="left"/>
      <w:pPr>
        <w:ind w:left="6340" w:hanging="217"/>
      </w:pPr>
      <w:rPr>
        <w:rFonts w:hint="default"/>
        <w:lang w:val="en-GB" w:eastAsia="en-GB" w:bidi="en-GB"/>
      </w:rPr>
    </w:lvl>
    <w:lvl w:ilvl="7" w:tplc="0882E110">
      <w:numFmt w:val="bullet"/>
      <w:lvlText w:val="•"/>
      <w:lvlJc w:val="left"/>
      <w:pPr>
        <w:ind w:left="6793" w:hanging="217"/>
      </w:pPr>
      <w:rPr>
        <w:rFonts w:hint="default"/>
        <w:lang w:val="en-GB" w:eastAsia="en-GB" w:bidi="en-GB"/>
      </w:rPr>
    </w:lvl>
    <w:lvl w:ilvl="8" w:tplc="B2783C4C">
      <w:numFmt w:val="bullet"/>
      <w:lvlText w:val="•"/>
      <w:lvlJc w:val="left"/>
      <w:pPr>
        <w:ind w:left="7247" w:hanging="217"/>
      </w:pPr>
      <w:rPr>
        <w:rFonts w:hint="default"/>
        <w:lang w:val="en-GB" w:eastAsia="en-GB" w:bidi="en-GB"/>
      </w:rPr>
    </w:lvl>
  </w:abstractNum>
  <w:abstractNum w:abstractNumId="524" w15:restartNumberingAfterBreak="0">
    <w:nsid w:val="30D4608B"/>
    <w:multiLevelType w:val="hybridMultilevel"/>
    <w:tmpl w:val="F5D21BD6"/>
    <w:lvl w:ilvl="0" w:tplc="3F10C54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FA41F7A">
      <w:numFmt w:val="bullet"/>
      <w:lvlText w:val="•"/>
      <w:lvlJc w:val="left"/>
      <w:pPr>
        <w:ind w:left="473" w:hanging="217"/>
      </w:pPr>
      <w:rPr>
        <w:rFonts w:hint="default"/>
        <w:lang w:val="en-GB" w:eastAsia="en-GB" w:bidi="en-GB"/>
      </w:rPr>
    </w:lvl>
    <w:lvl w:ilvl="2" w:tplc="0868F8A2">
      <w:numFmt w:val="bullet"/>
      <w:lvlText w:val="•"/>
      <w:lvlJc w:val="left"/>
      <w:pPr>
        <w:ind w:left="646" w:hanging="217"/>
      </w:pPr>
      <w:rPr>
        <w:rFonts w:hint="default"/>
        <w:lang w:val="en-GB" w:eastAsia="en-GB" w:bidi="en-GB"/>
      </w:rPr>
    </w:lvl>
    <w:lvl w:ilvl="3" w:tplc="021A10E6">
      <w:numFmt w:val="bullet"/>
      <w:lvlText w:val="•"/>
      <w:lvlJc w:val="left"/>
      <w:pPr>
        <w:ind w:left="819" w:hanging="217"/>
      </w:pPr>
      <w:rPr>
        <w:rFonts w:hint="default"/>
        <w:lang w:val="en-GB" w:eastAsia="en-GB" w:bidi="en-GB"/>
      </w:rPr>
    </w:lvl>
    <w:lvl w:ilvl="4" w:tplc="C27E1298">
      <w:numFmt w:val="bullet"/>
      <w:lvlText w:val="•"/>
      <w:lvlJc w:val="left"/>
      <w:pPr>
        <w:ind w:left="992" w:hanging="217"/>
      </w:pPr>
      <w:rPr>
        <w:rFonts w:hint="default"/>
        <w:lang w:val="en-GB" w:eastAsia="en-GB" w:bidi="en-GB"/>
      </w:rPr>
    </w:lvl>
    <w:lvl w:ilvl="5" w:tplc="B89A73FA">
      <w:numFmt w:val="bullet"/>
      <w:lvlText w:val="•"/>
      <w:lvlJc w:val="left"/>
      <w:pPr>
        <w:ind w:left="1165" w:hanging="217"/>
      </w:pPr>
      <w:rPr>
        <w:rFonts w:hint="default"/>
        <w:lang w:val="en-GB" w:eastAsia="en-GB" w:bidi="en-GB"/>
      </w:rPr>
    </w:lvl>
    <w:lvl w:ilvl="6" w:tplc="C5B8BA98">
      <w:numFmt w:val="bullet"/>
      <w:lvlText w:val="•"/>
      <w:lvlJc w:val="left"/>
      <w:pPr>
        <w:ind w:left="1338" w:hanging="217"/>
      </w:pPr>
      <w:rPr>
        <w:rFonts w:hint="default"/>
        <w:lang w:val="en-GB" w:eastAsia="en-GB" w:bidi="en-GB"/>
      </w:rPr>
    </w:lvl>
    <w:lvl w:ilvl="7" w:tplc="D3CCE4EA">
      <w:numFmt w:val="bullet"/>
      <w:lvlText w:val="•"/>
      <w:lvlJc w:val="left"/>
      <w:pPr>
        <w:ind w:left="1511" w:hanging="217"/>
      </w:pPr>
      <w:rPr>
        <w:rFonts w:hint="default"/>
        <w:lang w:val="en-GB" w:eastAsia="en-GB" w:bidi="en-GB"/>
      </w:rPr>
    </w:lvl>
    <w:lvl w:ilvl="8" w:tplc="672430EA">
      <w:numFmt w:val="bullet"/>
      <w:lvlText w:val="•"/>
      <w:lvlJc w:val="left"/>
      <w:pPr>
        <w:ind w:left="1684" w:hanging="217"/>
      </w:pPr>
      <w:rPr>
        <w:rFonts w:hint="default"/>
        <w:lang w:val="en-GB" w:eastAsia="en-GB" w:bidi="en-GB"/>
      </w:rPr>
    </w:lvl>
  </w:abstractNum>
  <w:abstractNum w:abstractNumId="525" w15:restartNumberingAfterBreak="0">
    <w:nsid w:val="30E2180F"/>
    <w:multiLevelType w:val="hybridMultilevel"/>
    <w:tmpl w:val="6AE072D6"/>
    <w:lvl w:ilvl="0" w:tplc="122473F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E52274A">
      <w:numFmt w:val="bullet"/>
      <w:lvlText w:val="•"/>
      <w:lvlJc w:val="left"/>
      <w:pPr>
        <w:ind w:left="473" w:hanging="217"/>
      </w:pPr>
      <w:rPr>
        <w:rFonts w:hint="default"/>
        <w:lang w:val="en-GB" w:eastAsia="en-GB" w:bidi="en-GB"/>
      </w:rPr>
    </w:lvl>
    <w:lvl w:ilvl="2" w:tplc="C172CD66">
      <w:numFmt w:val="bullet"/>
      <w:lvlText w:val="•"/>
      <w:lvlJc w:val="left"/>
      <w:pPr>
        <w:ind w:left="646" w:hanging="217"/>
      </w:pPr>
      <w:rPr>
        <w:rFonts w:hint="default"/>
        <w:lang w:val="en-GB" w:eastAsia="en-GB" w:bidi="en-GB"/>
      </w:rPr>
    </w:lvl>
    <w:lvl w:ilvl="3" w:tplc="3FD89BD4">
      <w:numFmt w:val="bullet"/>
      <w:lvlText w:val="•"/>
      <w:lvlJc w:val="left"/>
      <w:pPr>
        <w:ind w:left="819" w:hanging="217"/>
      </w:pPr>
      <w:rPr>
        <w:rFonts w:hint="default"/>
        <w:lang w:val="en-GB" w:eastAsia="en-GB" w:bidi="en-GB"/>
      </w:rPr>
    </w:lvl>
    <w:lvl w:ilvl="4" w:tplc="922ABD0E">
      <w:numFmt w:val="bullet"/>
      <w:lvlText w:val="•"/>
      <w:lvlJc w:val="left"/>
      <w:pPr>
        <w:ind w:left="992" w:hanging="217"/>
      </w:pPr>
      <w:rPr>
        <w:rFonts w:hint="default"/>
        <w:lang w:val="en-GB" w:eastAsia="en-GB" w:bidi="en-GB"/>
      </w:rPr>
    </w:lvl>
    <w:lvl w:ilvl="5" w:tplc="44387C30">
      <w:numFmt w:val="bullet"/>
      <w:lvlText w:val="•"/>
      <w:lvlJc w:val="left"/>
      <w:pPr>
        <w:ind w:left="1165" w:hanging="217"/>
      </w:pPr>
      <w:rPr>
        <w:rFonts w:hint="default"/>
        <w:lang w:val="en-GB" w:eastAsia="en-GB" w:bidi="en-GB"/>
      </w:rPr>
    </w:lvl>
    <w:lvl w:ilvl="6" w:tplc="9F727BA4">
      <w:numFmt w:val="bullet"/>
      <w:lvlText w:val="•"/>
      <w:lvlJc w:val="left"/>
      <w:pPr>
        <w:ind w:left="1338" w:hanging="217"/>
      </w:pPr>
      <w:rPr>
        <w:rFonts w:hint="default"/>
        <w:lang w:val="en-GB" w:eastAsia="en-GB" w:bidi="en-GB"/>
      </w:rPr>
    </w:lvl>
    <w:lvl w:ilvl="7" w:tplc="D3EA431A">
      <w:numFmt w:val="bullet"/>
      <w:lvlText w:val="•"/>
      <w:lvlJc w:val="left"/>
      <w:pPr>
        <w:ind w:left="1511" w:hanging="217"/>
      </w:pPr>
      <w:rPr>
        <w:rFonts w:hint="default"/>
        <w:lang w:val="en-GB" w:eastAsia="en-GB" w:bidi="en-GB"/>
      </w:rPr>
    </w:lvl>
    <w:lvl w:ilvl="8" w:tplc="916E9D96">
      <w:numFmt w:val="bullet"/>
      <w:lvlText w:val="•"/>
      <w:lvlJc w:val="left"/>
      <w:pPr>
        <w:ind w:left="1684" w:hanging="217"/>
      </w:pPr>
      <w:rPr>
        <w:rFonts w:hint="default"/>
        <w:lang w:val="en-GB" w:eastAsia="en-GB" w:bidi="en-GB"/>
      </w:rPr>
    </w:lvl>
  </w:abstractNum>
  <w:abstractNum w:abstractNumId="526" w15:restartNumberingAfterBreak="0">
    <w:nsid w:val="30FF74E9"/>
    <w:multiLevelType w:val="hybridMultilevel"/>
    <w:tmpl w:val="CE9CCBD8"/>
    <w:lvl w:ilvl="0" w:tplc="CC7E943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DD63EC8">
      <w:numFmt w:val="bullet"/>
      <w:lvlText w:val="•"/>
      <w:lvlJc w:val="left"/>
      <w:pPr>
        <w:ind w:left="473" w:hanging="217"/>
      </w:pPr>
      <w:rPr>
        <w:rFonts w:hint="default"/>
        <w:lang w:val="en-GB" w:eastAsia="en-GB" w:bidi="en-GB"/>
      </w:rPr>
    </w:lvl>
    <w:lvl w:ilvl="2" w:tplc="CDEC8014">
      <w:numFmt w:val="bullet"/>
      <w:lvlText w:val="•"/>
      <w:lvlJc w:val="left"/>
      <w:pPr>
        <w:ind w:left="646" w:hanging="217"/>
      </w:pPr>
      <w:rPr>
        <w:rFonts w:hint="default"/>
        <w:lang w:val="en-GB" w:eastAsia="en-GB" w:bidi="en-GB"/>
      </w:rPr>
    </w:lvl>
    <w:lvl w:ilvl="3" w:tplc="EC2CFB16">
      <w:numFmt w:val="bullet"/>
      <w:lvlText w:val="•"/>
      <w:lvlJc w:val="left"/>
      <w:pPr>
        <w:ind w:left="819" w:hanging="217"/>
      </w:pPr>
      <w:rPr>
        <w:rFonts w:hint="default"/>
        <w:lang w:val="en-GB" w:eastAsia="en-GB" w:bidi="en-GB"/>
      </w:rPr>
    </w:lvl>
    <w:lvl w:ilvl="4" w:tplc="049C52BE">
      <w:numFmt w:val="bullet"/>
      <w:lvlText w:val="•"/>
      <w:lvlJc w:val="left"/>
      <w:pPr>
        <w:ind w:left="992" w:hanging="217"/>
      </w:pPr>
      <w:rPr>
        <w:rFonts w:hint="default"/>
        <w:lang w:val="en-GB" w:eastAsia="en-GB" w:bidi="en-GB"/>
      </w:rPr>
    </w:lvl>
    <w:lvl w:ilvl="5" w:tplc="A77A5F38">
      <w:numFmt w:val="bullet"/>
      <w:lvlText w:val="•"/>
      <w:lvlJc w:val="left"/>
      <w:pPr>
        <w:ind w:left="1165" w:hanging="217"/>
      </w:pPr>
      <w:rPr>
        <w:rFonts w:hint="default"/>
        <w:lang w:val="en-GB" w:eastAsia="en-GB" w:bidi="en-GB"/>
      </w:rPr>
    </w:lvl>
    <w:lvl w:ilvl="6" w:tplc="59D80A34">
      <w:numFmt w:val="bullet"/>
      <w:lvlText w:val="•"/>
      <w:lvlJc w:val="left"/>
      <w:pPr>
        <w:ind w:left="1338" w:hanging="217"/>
      </w:pPr>
      <w:rPr>
        <w:rFonts w:hint="default"/>
        <w:lang w:val="en-GB" w:eastAsia="en-GB" w:bidi="en-GB"/>
      </w:rPr>
    </w:lvl>
    <w:lvl w:ilvl="7" w:tplc="D960BD24">
      <w:numFmt w:val="bullet"/>
      <w:lvlText w:val="•"/>
      <w:lvlJc w:val="left"/>
      <w:pPr>
        <w:ind w:left="1511" w:hanging="217"/>
      </w:pPr>
      <w:rPr>
        <w:rFonts w:hint="default"/>
        <w:lang w:val="en-GB" w:eastAsia="en-GB" w:bidi="en-GB"/>
      </w:rPr>
    </w:lvl>
    <w:lvl w:ilvl="8" w:tplc="B1C4564E">
      <w:numFmt w:val="bullet"/>
      <w:lvlText w:val="•"/>
      <w:lvlJc w:val="left"/>
      <w:pPr>
        <w:ind w:left="1684" w:hanging="217"/>
      </w:pPr>
      <w:rPr>
        <w:rFonts w:hint="default"/>
        <w:lang w:val="en-GB" w:eastAsia="en-GB" w:bidi="en-GB"/>
      </w:rPr>
    </w:lvl>
  </w:abstractNum>
  <w:abstractNum w:abstractNumId="527" w15:restartNumberingAfterBreak="0">
    <w:nsid w:val="317D4CBF"/>
    <w:multiLevelType w:val="hybridMultilevel"/>
    <w:tmpl w:val="0B507A92"/>
    <w:lvl w:ilvl="0" w:tplc="CB26FDDA">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5DA4C818">
      <w:numFmt w:val="bullet"/>
      <w:lvlText w:val="•"/>
      <w:lvlJc w:val="left"/>
      <w:pPr>
        <w:ind w:left="892" w:hanging="217"/>
      </w:pPr>
      <w:rPr>
        <w:rFonts w:hint="default"/>
        <w:lang w:val="en-GB" w:eastAsia="en-GB" w:bidi="en-GB"/>
      </w:rPr>
    </w:lvl>
    <w:lvl w:ilvl="2" w:tplc="FE3A9B64">
      <w:numFmt w:val="bullet"/>
      <w:lvlText w:val="•"/>
      <w:lvlJc w:val="left"/>
      <w:pPr>
        <w:ind w:left="1485" w:hanging="217"/>
      </w:pPr>
      <w:rPr>
        <w:rFonts w:hint="default"/>
        <w:lang w:val="en-GB" w:eastAsia="en-GB" w:bidi="en-GB"/>
      </w:rPr>
    </w:lvl>
    <w:lvl w:ilvl="3" w:tplc="E5BCF46C">
      <w:numFmt w:val="bullet"/>
      <w:lvlText w:val="•"/>
      <w:lvlJc w:val="left"/>
      <w:pPr>
        <w:ind w:left="2077" w:hanging="217"/>
      </w:pPr>
      <w:rPr>
        <w:rFonts w:hint="default"/>
        <w:lang w:val="en-GB" w:eastAsia="en-GB" w:bidi="en-GB"/>
      </w:rPr>
    </w:lvl>
    <w:lvl w:ilvl="4" w:tplc="5FBE77CC">
      <w:numFmt w:val="bullet"/>
      <w:lvlText w:val="•"/>
      <w:lvlJc w:val="left"/>
      <w:pPr>
        <w:ind w:left="2670" w:hanging="217"/>
      </w:pPr>
      <w:rPr>
        <w:rFonts w:hint="default"/>
        <w:lang w:val="en-GB" w:eastAsia="en-GB" w:bidi="en-GB"/>
      </w:rPr>
    </w:lvl>
    <w:lvl w:ilvl="5" w:tplc="52D04A0A">
      <w:numFmt w:val="bullet"/>
      <w:lvlText w:val="•"/>
      <w:lvlJc w:val="left"/>
      <w:pPr>
        <w:ind w:left="3263" w:hanging="217"/>
      </w:pPr>
      <w:rPr>
        <w:rFonts w:hint="default"/>
        <w:lang w:val="en-GB" w:eastAsia="en-GB" w:bidi="en-GB"/>
      </w:rPr>
    </w:lvl>
    <w:lvl w:ilvl="6" w:tplc="B5840D8A">
      <w:numFmt w:val="bullet"/>
      <w:lvlText w:val="•"/>
      <w:lvlJc w:val="left"/>
      <w:pPr>
        <w:ind w:left="3855" w:hanging="217"/>
      </w:pPr>
      <w:rPr>
        <w:rFonts w:hint="default"/>
        <w:lang w:val="en-GB" w:eastAsia="en-GB" w:bidi="en-GB"/>
      </w:rPr>
    </w:lvl>
    <w:lvl w:ilvl="7" w:tplc="D51656BC">
      <w:numFmt w:val="bullet"/>
      <w:lvlText w:val="•"/>
      <w:lvlJc w:val="left"/>
      <w:pPr>
        <w:ind w:left="4448" w:hanging="217"/>
      </w:pPr>
      <w:rPr>
        <w:rFonts w:hint="default"/>
        <w:lang w:val="en-GB" w:eastAsia="en-GB" w:bidi="en-GB"/>
      </w:rPr>
    </w:lvl>
    <w:lvl w:ilvl="8" w:tplc="ECCCCDF8">
      <w:numFmt w:val="bullet"/>
      <w:lvlText w:val="•"/>
      <w:lvlJc w:val="left"/>
      <w:pPr>
        <w:ind w:left="5040" w:hanging="217"/>
      </w:pPr>
      <w:rPr>
        <w:rFonts w:hint="default"/>
        <w:lang w:val="en-GB" w:eastAsia="en-GB" w:bidi="en-GB"/>
      </w:rPr>
    </w:lvl>
  </w:abstractNum>
  <w:abstractNum w:abstractNumId="528" w15:restartNumberingAfterBreak="0">
    <w:nsid w:val="3197394E"/>
    <w:multiLevelType w:val="hybridMultilevel"/>
    <w:tmpl w:val="459CC32E"/>
    <w:lvl w:ilvl="0" w:tplc="782EF9A8">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68062B46">
      <w:numFmt w:val="bullet"/>
      <w:lvlText w:val="•"/>
      <w:lvlJc w:val="left"/>
      <w:pPr>
        <w:ind w:left="473" w:hanging="217"/>
      </w:pPr>
      <w:rPr>
        <w:rFonts w:hint="default"/>
        <w:lang w:val="en-GB" w:eastAsia="en-GB" w:bidi="en-GB"/>
      </w:rPr>
    </w:lvl>
    <w:lvl w:ilvl="2" w:tplc="83329034">
      <w:numFmt w:val="bullet"/>
      <w:lvlText w:val="•"/>
      <w:lvlJc w:val="left"/>
      <w:pPr>
        <w:ind w:left="646" w:hanging="217"/>
      </w:pPr>
      <w:rPr>
        <w:rFonts w:hint="default"/>
        <w:lang w:val="en-GB" w:eastAsia="en-GB" w:bidi="en-GB"/>
      </w:rPr>
    </w:lvl>
    <w:lvl w:ilvl="3" w:tplc="9ACE552A">
      <w:numFmt w:val="bullet"/>
      <w:lvlText w:val="•"/>
      <w:lvlJc w:val="left"/>
      <w:pPr>
        <w:ind w:left="819" w:hanging="217"/>
      </w:pPr>
      <w:rPr>
        <w:rFonts w:hint="default"/>
        <w:lang w:val="en-GB" w:eastAsia="en-GB" w:bidi="en-GB"/>
      </w:rPr>
    </w:lvl>
    <w:lvl w:ilvl="4" w:tplc="8A94EAE4">
      <w:numFmt w:val="bullet"/>
      <w:lvlText w:val="•"/>
      <w:lvlJc w:val="left"/>
      <w:pPr>
        <w:ind w:left="992" w:hanging="217"/>
      </w:pPr>
      <w:rPr>
        <w:rFonts w:hint="default"/>
        <w:lang w:val="en-GB" w:eastAsia="en-GB" w:bidi="en-GB"/>
      </w:rPr>
    </w:lvl>
    <w:lvl w:ilvl="5" w:tplc="D92CE4DC">
      <w:numFmt w:val="bullet"/>
      <w:lvlText w:val="•"/>
      <w:lvlJc w:val="left"/>
      <w:pPr>
        <w:ind w:left="1165" w:hanging="217"/>
      </w:pPr>
      <w:rPr>
        <w:rFonts w:hint="default"/>
        <w:lang w:val="en-GB" w:eastAsia="en-GB" w:bidi="en-GB"/>
      </w:rPr>
    </w:lvl>
    <w:lvl w:ilvl="6" w:tplc="7A64E462">
      <w:numFmt w:val="bullet"/>
      <w:lvlText w:val="•"/>
      <w:lvlJc w:val="left"/>
      <w:pPr>
        <w:ind w:left="1338" w:hanging="217"/>
      </w:pPr>
      <w:rPr>
        <w:rFonts w:hint="default"/>
        <w:lang w:val="en-GB" w:eastAsia="en-GB" w:bidi="en-GB"/>
      </w:rPr>
    </w:lvl>
    <w:lvl w:ilvl="7" w:tplc="09DA570A">
      <w:numFmt w:val="bullet"/>
      <w:lvlText w:val="•"/>
      <w:lvlJc w:val="left"/>
      <w:pPr>
        <w:ind w:left="1511" w:hanging="217"/>
      </w:pPr>
      <w:rPr>
        <w:rFonts w:hint="default"/>
        <w:lang w:val="en-GB" w:eastAsia="en-GB" w:bidi="en-GB"/>
      </w:rPr>
    </w:lvl>
    <w:lvl w:ilvl="8" w:tplc="830E329A">
      <w:numFmt w:val="bullet"/>
      <w:lvlText w:val="•"/>
      <w:lvlJc w:val="left"/>
      <w:pPr>
        <w:ind w:left="1684" w:hanging="217"/>
      </w:pPr>
      <w:rPr>
        <w:rFonts w:hint="default"/>
        <w:lang w:val="en-GB" w:eastAsia="en-GB" w:bidi="en-GB"/>
      </w:rPr>
    </w:lvl>
  </w:abstractNum>
  <w:abstractNum w:abstractNumId="529" w15:restartNumberingAfterBreak="0">
    <w:nsid w:val="31B5223D"/>
    <w:multiLevelType w:val="hybridMultilevel"/>
    <w:tmpl w:val="7ED66A8E"/>
    <w:lvl w:ilvl="0" w:tplc="3E5E074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23CC90A">
      <w:numFmt w:val="bullet"/>
      <w:lvlText w:val="•"/>
      <w:lvlJc w:val="left"/>
      <w:pPr>
        <w:ind w:left="439" w:hanging="217"/>
      </w:pPr>
      <w:rPr>
        <w:rFonts w:hint="default"/>
        <w:lang w:val="en-GB" w:eastAsia="en-GB" w:bidi="en-GB"/>
      </w:rPr>
    </w:lvl>
    <w:lvl w:ilvl="2" w:tplc="0E7054E4">
      <w:numFmt w:val="bullet"/>
      <w:lvlText w:val="•"/>
      <w:lvlJc w:val="left"/>
      <w:pPr>
        <w:ind w:left="578" w:hanging="217"/>
      </w:pPr>
      <w:rPr>
        <w:rFonts w:hint="default"/>
        <w:lang w:val="en-GB" w:eastAsia="en-GB" w:bidi="en-GB"/>
      </w:rPr>
    </w:lvl>
    <w:lvl w:ilvl="3" w:tplc="00529936">
      <w:numFmt w:val="bullet"/>
      <w:lvlText w:val="•"/>
      <w:lvlJc w:val="left"/>
      <w:pPr>
        <w:ind w:left="717" w:hanging="217"/>
      </w:pPr>
      <w:rPr>
        <w:rFonts w:hint="default"/>
        <w:lang w:val="en-GB" w:eastAsia="en-GB" w:bidi="en-GB"/>
      </w:rPr>
    </w:lvl>
    <w:lvl w:ilvl="4" w:tplc="2BE0AADA">
      <w:numFmt w:val="bullet"/>
      <w:lvlText w:val="•"/>
      <w:lvlJc w:val="left"/>
      <w:pPr>
        <w:ind w:left="856" w:hanging="217"/>
      </w:pPr>
      <w:rPr>
        <w:rFonts w:hint="default"/>
        <w:lang w:val="en-GB" w:eastAsia="en-GB" w:bidi="en-GB"/>
      </w:rPr>
    </w:lvl>
    <w:lvl w:ilvl="5" w:tplc="E928604A">
      <w:numFmt w:val="bullet"/>
      <w:lvlText w:val="•"/>
      <w:lvlJc w:val="left"/>
      <w:pPr>
        <w:ind w:left="995" w:hanging="217"/>
      </w:pPr>
      <w:rPr>
        <w:rFonts w:hint="default"/>
        <w:lang w:val="en-GB" w:eastAsia="en-GB" w:bidi="en-GB"/>
      </w:rPr>
    </w:lvl>
    <w:lvl w:ilvl="6" w:tplc="52144444">
      <w:numFmt w:val="bullet"/>
      <w:lvlText w:val="•"/>
      <w:lvlJc w:val="left"/>
      <w:pPr>
        <w:ind w:left="1134" w:hanging="217"/>
      </w:pPr>
      <w:rPr>
        <w:rFonts w:hint="default"/>
        <w:lang w:val="en-GB" w:eastAsia="en-GB" w:bidi="en-GB"/>
      </w:rPr>
    </w:lvl>
    <w:lvl w:ilvl="7" w:tplc="4402975A">
      <w:numFmt w:val="bullet"/>
      <w:lvlText w:val="•"/>
      <w:lvlJc w:val="left"/>
      <w:pPr>
        <w:ind w:left="1273" w:hanging="217"/>
      </w:pPr>
      <w:rPr>
        <w:rFonts w:hint="default"/>
        <w:lang w:val="en-GB" w:eastAsia="en-GB" w:bidi="en-GB"/>
      </w:rPr>
    </w:lvl>
    <w:lvl w:ilvl="8" w:tplc="CA909B8C">
      <w:numFmt w:val="bullet"/>
      <w:lvlText w:val="•"/>
      <w:lvlJc w:val="left"/>
      <w:pPr>
        <w:ind w:left="1412" w:hanging="217"/>
      </w:pPr>
      <w:rPr>
        <w:rFonts w:hint="default"/>
        <w:lang w:val="en-GB" w:eastAsia="en-GB" w:bidi="en-GB"/>
      </w:rPr>
    </w:lvl>
  </w:abstractNum>
  <w:abstractNum w:abstractNumId="530" w15:restartNumberingAfterBreak="0">
    <w:nsid w:val="31B52F79"/>
    <w:multiLevelType w:val="hybridMultilevel"/>
    <w:tmpl w:val="D996FF34"/>
    <w:lvl w:ilvl="0" w:tplc="0ED4539A">
      <w:numFmt w:val="bullet"/>
      <w:lvlText w:val="•"/>
      <w:lvlJc w:val="left"/>
      <w:pPr>
        <w:ind w:left="303" w:hanging="217"/>
      </w:pPr>
      <w:rPr>
        <w:rFonts w:ascii="Arial" w:eastAsia="Arial" w:hAnsi="Arial" w:cs="Arial" w:hint="default"/>
        <w:color w:val="231F20"/>
        <w:w w:val="102"/>
        <w:sz w:val="17"/>
        <w:szCs w:val="17"/>
        <w:lang w:val="en-GB" w:eastAsia="en-GB" w:bidi="en-GB"/>
      </w:rPr>
    </w:lvl>
    <w:lvl w:ilvl="1" w:tplc="C7DA7468">
      <w:numFmt w:val="bullet"/>
      <w:lvlText w:val="•"/>
      <w:lvlJc w:val="left"/>
      <w:pPr>
        <w:ind w:left="439" w:hanging="217"/>
      </w:pPr>
      <w:rPr>
        <w:rFonts w:hint="default"/>
        <w:lang w:val="en-GB" w:eastAsia="en-GB" w:bidi="en-GB"/>
      </w:rPr>
    </w:lvl>
    <w:lvl w:ilvl="2" w:tplc="1C822412">
      <w:numFmt w:val="bullet"/>
      <w:lvlText w:val="•"/>
      <w:lvlJc w:val="left"/>
      <w:pPr>
        <w:ind w:left="578" w:hanging="217"/>
      </w:pPr>
      <w:rPr>
        <w:rFonts w:hint="default"/>
        <w:lang w:val="en-GB" w:eastAsia="en-GB" w:bidi="en-GB"/>
      </w:rPr>
    </w:lvl>
    <w:lvl w:ilvl="3" w:tplc="4A367AEA">
      <w:numFmt w:val="bullet"/>
      <w:lvlText w:val="•"/>
      <w:lvlJc w:val="left"/>
      <w:pPr>
        <w:ind w:left="717" w:hanging="217"/>
      </w:pPr>
      <w:rPr>
        <w:rFonts w:hint="default"/>
        <w:lang w:val="en-GB" w:eastAsia="en-GB" w:bidi="en-GB"/>
      </w:rPr>
    </w:lvl>
    <w:lvl w:ilvl="4" w:tplc="F07696D6">
      <w:numFmt w:val="bullet"/>
      <w:lvlText w:val="•"/>
      <w:lvlJc w:val="left"/>
      <w:pPr>
        <w:ind w:left="856" w:hanging="217"/>
      </w:pPr>
      <w:rPr>
        <w:rFonts w:hint="default"/>
        <w:lang w:val="en-GB" w:eastAsia="en-GB" w:bidi="en-GB"/>
      </w:rPr>
    </w:lvl>
    <w:lvl w:ilvl="5" w:tplc="FC8409A4">
      <w:numFmt w:val="bullet"/>
      <w:lvlText w:val="•"/>
      <w:lvlJc w:val="left"/>
      <w:pPr>
        <w:ind w:left="995" w:hanging="217"/>
      </w:pPr>
      <w:rPr>
        <w:rFonts w:hint="default"/>
        <w:lang w:val="en-GB" w:eastAsia="en-GB" w:bidi="en-GB"/>
      </w:rPr>
    </w:lvl>
    <w:lvl w:ilvl="6" w:tplc="20221DBC">
      <w:numFmt w:val="bullet"/>
      <w:lvlText w:val="•"/>
      <w:lvlJc w:val="left"/>
      <w:pPr>
        <w:ind w:left="1134" w:hanging="217"/>
      </w:pPr>
      <w:rPr>
        <w:rFonts w:hint="default"/>
        <w:lang w:val="en-GB" w:eastAsia="en-GB" w:bidi="en-GB"/>
      </w:rPr>
    </w:lvl>
    <w:lvl w:ilvl="7" w:tplc="F8DE1606">
      <w:numFmt w:val="bullet"/>
      <w:lvlText w:val="•"/>
      <w:lvlJc w:val="left"/>
      <w:pPr>
        <w:ind w:left="1273" w:hanging="217"/>
      </w:pPr>
      <w:rPr>
        <w:rFonts w:hint="default"/>
        <w:lang w:val="en-GB" w:eastAsia="en-GB" w:bidi="en-GB"/>
      </w:rPr>
    </w:lvl>
    <w:lvl w:ilvl="8" w:tplc="30D2715A">
      <w:numFmt w:val="bullet"/>
      <w:lvlText w:val="•"/>
      <w:lvlJc w:val="left"/>
      <w:pPr>
        <w:ind w:left="1412" w:hanging="217"/>
      </w:pPr>
      <w:rPr>
        <w:rFonts w:hint="default"/>
        <w:lang w:val="en-GB" w:eastAsia="en-GB" w:bidi="en-GB"/>
      </w:rPr>
    </w:lvl>
  </w:abstractNum>
  <w:abstractNum w:abstractNumId="531" w15:restartNumberingAfterBreak="0">
    <w:nsid w:val="31DB523A"/>
    <w:multiLevelType w:val="hybridMultilevel"/>
    <w:tmpl w:val="9AD8B89C"/>
    <w:lvl w:ilvl="0" w:tplc="B760857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3440A48">
      <w:numFmt w:val="bullet"/>
      <w:lvlText w:val="•"/>
      <w:lvlJc w:val="left"/>
      <w:pPr>
        <w:ind w:left="473" w:hanging="217"/>
      </w:pPr>
      <w:rPr>
        <w:rFonts w:hint="default"/>
        <w:lang w:val="en-GB" w:eastAsia="en-GB" w:bidi="en-GB"/>
      </w:rPr>
    </w:lvl>
    <w:lvl w:ilvl="2" w:tplc="D8A27158">
      <w:numFmt w:val="bullet"/>
      <w:lvlText w:val="•"/>
      <w:lvlJc w:val="left"/>
      <w:pPr>
        <w:ind w:left="646" w:hanging="217"/>
      </w:pPr>
      <w:rPr>
        <w:rFonts w:hint="default"/>
        <w:lang w:val="en-GB" w:eastAsia="en-GB" w:bidi="en-GB"/>
      </w:rPr>
    </w:lvl>
    <w:lvl w:ilvl="3" w:tplc="9A5C4C30">
      <w:numFmt w:val="bullet"/>
      <w:lvlText w:val="•"/>
      <w:lvlJc w:val="left"/>
      <w:pPr>
        <w:ind w:left="819" w:hanging="217"/>
      </w:pPr>
      <w:rPr>
        <w:rFonts w:hint="default"/>
        <w:lang w:val="en-GB" w:eastAsia="en-GB" w:bidi="en-GB"/>
      </w:rPr>
    </w:lvl>
    <w:lvl w:ilvl="4" w:tplc="405C87F0">
      <w:numFmt w:val="bullet"/>
      <w:lvlText w:val="•"/>
      <w:lvlJc w:val="left"/>
      <w:pPr>
        <w:ind w:left="992" w:hanging="217"/>
      </w:pPr>
      <w:rPr>
        <w:rFonts w:hint="default"/>
        <w:lang w:val="en-GB" w:eastAsia="en-GB" w:bidi="en-GB"/>
      </w:rPr>
    </w:lvl>
    <w:lvl w:ilvl="5" w:tplc="8D767026">
      <w:numFmt w:val="bullet"/>
      <w:lvlText w:val="•"/>
      <w:lvlJc w:val="left"/>
      <w:pPr>
        <w:ind w:left="1165" w:hanging="217"/>
      </w:pPr>
      <w:rPr>
        <w:rFonts w:hint="default"/>
        <w:lang w:val="en-GB" w:eastAsia="en-GB" w:bidi="en-GB"/>
      </w:rPr>
    </w:lvl>
    <w:lvl w:ilvl="6" w:tplc="CE9E072A">
      <w:numFmt w:val="bullet"/>
      <w:lvlText w:val="•"/>
      <w:lvlJc w:val="left"/>
      <w:pPr>
        <w:ind w:left="1338" w:hanging="217"/>
      </w:pPr>
      <w:rPr>
        <w:rFonts w:hint="default"/>
        <w:lang w:val="en-GB" w:eastAsia="en-GB" w:bidi="en-GB"/>
      </w:rPr>
    </w:lvl>
    <w:lvl w:ilvl="7" w:tplc="1D489B7E">
      <w:numFmt w:val="bullet"/>
      <w:lvlText w:val="•"/>
      <w:lvlJc w:val="left"/>
      <w:pPr>
        <w:ind w:left="1511" w:hanging="217"/>
      </w:pPr>
      <w:rPr>
        <w:rFonts w:hint="default"/>
        <w:lang w:val="en-GB" w:eastAsia="en-GB" w:bidi="en-GB"/>
      </w:rPr>
    </w:lvl>
    <w:lvl w:ilvl="8" w:tplc="AF80618A">
      <w:numFmt w:val="bullet"/>
      <w:lvlText w:val="•"/>
      <w:lvlJc w:val="left"/>
      <w:pPr>
        <w:ind w:left="1684" w:hanging="217"/>
      </w:pPr>
      <w:rPr>
        <w:rFonts w:hint="default"/>
        <w:lang w:val="en-GB" w:eastAsia="en-GB" w:bidi="en-GB"/>
      </w:rPr>
    </w:lvl>
  </w:abstractNum>
  <w:abstractNum w:abstractNumId="532" w15:restartNumberingAfterBreak="0">
    <w:nsid w:val="31EA2C7A"/>
    <w:multiLevelType w:val="hybridMultilevel"/>
    <w:tmpl w:val="EF16D1AC"/>
    <w:lvl w:ilvl="0" w:tplc="2AE619B0">
      <w:numFmt w:val="bullet"/>
      <w:lvlText w:val="•"/>
      <w:lvlJc w:val="left"/>
      <w:pPr>
        <w:ind w:left="305" w:hanging="217"/>
      </w:pPr>
      <w:rPr>
        <w:rFonts w:ascii="Arial" w:eastAsia="Arial" w:hAnsi="Arial" w:cs="Arial" w:hint="default"/>
        <w:color w:val="231F20"/>
        <w:spacing w:val="-2"/>
        <w:w w:val="100"/>
        <w:sz w:val="18"/>
        <w:szCs w:val="18"/>
        <w:lang w:val="en-GB" w:eastAsia="en-GB" w:bidi="en-GB"/>
      </w:rPr>
    </w:lvl>
    <w:lvl w:ilvl="1" w:tplc="C59EB0BA">
      <w:numFmt w:val="bullet"/>
      <w:lvlText w:val="•"/>
      <w:lvlJc w:val="left"/>
      <w:pPr>
        <w:ind w:left="467" w:hanging="217"/>
      </w:pPr>
      <w:rPr>
        <w:rFonts w:hint="default"/>
        <w:lang w:val="en-GB" w:eastAsia="en-GB" w:bidi="en-GB"/>
      </w:rPr>
    </w:lvl>
    <w:lvl w:ilvl="2" w:tplc="5F92FB60">
      <w:numFmt w:val="bullet"/>
      <w:lvlText w:val="•"/>
      <w:lvlJc w:val="left"/>
      <w:pPr>
        <w:ind w:left="634" w:hanging="217"/>
      </w:pPr>
      <w:rPr>
        <w:rFonts w:hint="default"/>
        <w:lang w:val="en-GB" w:eastAsia="en-GB" w:bidi="en-GB"/>
      </w:rPr>
    </w:lvl>
    <w:lvl w:ilvl="3" w:tplc="59882430">
      <w:numFmt w:val="bullet"/>
      <w:lvlText w:val="•"/>
      <w:lvlJc w:val="left"/>
      <w:pPr>
        <w:ind w:left="802" w:hanging="217"/>
      </w:pPr>
      <w:rPr>
        <w:rFonts w:hint="default"/>
        <w:lang w:val="en-GB" w:eastAsia="en-GB" w:bidi="en-GB"/>
      </w:rPr>
    </w:lvl>
    <w:lvl w:ilvl="4" w:tplc="A8F08F44">
      <w:numFmt w:val="bullet"/>
      <w:lvlText w:val="•"/>
      <w:lvlJc w:val="left"/>
      <w:pPr>
        <w:ind w:left="969" w:hanging="217"/>
      </w:pPr>
      <w:rPr>
        <w:rFonts w:hint="default"/>
        <w:lang w:val="en-GB" w:eastAsia="en-GB" w:bidi="en-GB"/>
      </w:rPr>
    </w:lvl>
    <w:lvl w:ilvl="5" w:tplc="B63ED7CC">
      <w:numFmt w:val="bullet"/>
      <w:lvlText w:val="•"/>
      <w:lvlJc w:val="left"/>
      <w:pPr>
        <w:ind w:left="1137" w:hanging="217"/>
      </w:pPr>
      <w:rPr>
        <w:rFonts w:hint="default"/>
        <w:lang w:val="en-GB" w:eastAsia="en-GB" w:bidi="en-GB"/>
      </w:rPr>
    </w:lvl>
    <w:lvl w:ilvl="6" w:tplc="54604210">
      <w:numFmt w:val="bullet"/>
      <w:lvlText w:val="•"/>
      <w:lvlJc w:val="left"/>
      <w:pPr>
        <w:ind w:left="1304" w:hanging="217"/>
      </w:pPr>
      <w:rPr>
        <w:rFonts w:hint="default"/>
        <w:lang w:val="en-GB" w:eastAsia="en-GB" w:bidi="en-GB"/>
      </w:rPr>
    </w:lvl>
    <w:lvl w:ilvl="7" w:tplc="C4D0F62A">
      <w:numFmt w:val="bullet"/>
      <w:lvlText w:val="•"/>
      <w:lvlJc w:val="left"/>
      <w:pPr>
        <w:ind w:left="1471" w:hanging="217"/>
      </w:pPr>
      <w:rPr>
        <w:rFonts w:hint="default"/>
        <w:lang w:val="en-GB" w:eastAsia="en-GB" w:bidi="en-GB"/>
      </w:rPr>
    </w:lvl>
    <w:lvl w:ilvl="8" w:tplc="726E470A">
      <w:numFmt w:val="bullet"/>
      <w:lvlText w:val="•"/>
      <w:lvlJc w:val="left"/>
      <w:pPr>
        <w:ind w:left="1639" w:hanging="217"/>
      </w:pPr>
      <w:rPr>
        <w:rFonts w:hint="default"/>
        <w:lang w:val="en-GB" w:eastAsia="en-GB" w:bidi="en-GB"/>
      </w:rPr>
    </w:lvl>
  </w:abstractNum>
  <w:abstractNum w:abstractNumId="533" w15:restartNumberingAfterBreak="0">
    <w:nsid w:val="31FD05EA"/>
    <w:multiLevelType w:val="hybridMultilevel"/>
    <w:tmpl w:val="447EEE8C"/>
    <w:lvl w:ilvl="0" w:tplc="0582AA1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E68D508">
      <w:numFmt w:val="bullet"/>
      <w:lvlText w:val="•"/>
      <w:lvlJc w:val="left"/>
      <w:pPr>
        <w:ind w:left="524" w:hanging="217"/>
      </w:pPr>
      <w:rPr>
        <w:rFonts w:hint="default"/>
        <w:lang w:val="en-GB" w:eastAsia="en-GB" w:bidi="en-GB"/>
      </w:rPr>
    </w:lvl>
    <w:lvl w:ilvl="2" w:tplc="2F868BA0">
      <w:numFmt w:val="bullet"/>
      <w:lvlText w:val="•"/>
      <w:lvlJc w:val="left"/>
      <w:pPr>
        <w:ind w:left="748" w:hanging="217"/>
      </w:pPr>
      <w:rPr>
        <w:rFonts w:hint="default"/>
        <w:lang w:val="en-GB" w:eastAsia="en-GB" w:bidi="en-GB"/>
      </w:rPr>
    </w:lvl>
    <w:lvl w:ilvl="3" w:tplc="FBD0FA1A">
      <w:numFmt w:val="bullet"/>
      <w:lvlText w:val="•"/>
      <w:lvlJc w:val="left"/>
      <w:pPr>
        <w:ind w:left="972" w:hanging="217"/>
      </w:pPr>
      <w:rPr>
        <w:rFonts w:hint="default"/>
        <w:lang w:val="en-GB" w:eastAsia="en-GB" w:bidi="en-GB"/>
      </w:rPr>
    </w:lvl>
    <w:lvl w:ilvl="4" w:tplc="3EC6BE8C">
      <w:numFmt w:val="bullet"/>
      <w:lvlText w:val="•"/>
      <w:lvlJc w:val="left"/>
      <w:pPr>
        <w:ind w:left="1196" w:hanging="217"/>
      </w:pPr>
      <w:rPr>
        <w:rFonts w:hint="default"/>
        <w:lang w:val="en-GB" w:eastAsia="en-GB" w:bidi="en-GB"/>
      </w:rPr>
    </w:lvl>
    <w:lvl w:ilvl="5" w:tplc="832E0FE0">
      <w:numFmt w:val="bullet"/>
      <w:lvlText w:val="•"/>
      <w:lvlJc w:val="left"/>
      <w:pPr>
        <w:ind w:left="1420" w:hanging="217"/>
      </w:pPr>
      <w:rPr>
        <w:rFonts w:hint="default"/>
        <w:lang w:val="en-GB" w:eastAsia="en-GB" w:bidi="en-GB"/>
      </w:rPr>
    </w:lvl>
    <w:lvl w:ilvl="6" w:tplc="5260A38A">
      <w:numFmt w:val="bullet"/>
      <w:lvlText w:val="•"/>
      <w:lvlJc w:val="left"/>
      <w:pPr>
        <w:ind w:left="1644" w:hanging="217"/>
      </w:pPr>
      <w:rPr>
        <w:rFonts w:hint="default"/>
        <w:lang w:val="en-GB" w:eastAsia="en-GB" w:bidi="en-GB"/>
      </w:rPr>
    </w:lvl>
    <w:lvl w:ilvl="7" w:tplc="5224C540">
      <w:numFmt w:val="bullet"/>
      <w:lvlText w:val="•"/>
      <w:lvlJc w:val="left"/>
      <w:pPr>
        <w:ind w:left="1868" w:hanging="217"/>
      </w:pPr>
      <w:rPr>
        <w:rFonts w:hint="default"/>
        <w:lang w:val="en-GB" w:eastAsia="en-GB" w:bidi="en-GB"/>
      </w:rPr>
    </w:lvl>
    <w:lvl w:ilvl="8" w:tplc="C0AAC33A">
      <w:numFmt w:val="bullet"/>
      <w:lvlText w:val="•"/>
      <w:lvlJc w:val="left"/>
      <w:pPr>
        <w:ind w:left="2092" w:hanging="217"/>
      </w:pPr>
      <w:rPr>
        <w:rFonts w:hint="default"/>
        <w:lang w:val="en-GB" w:eastAsia="en-GB" w:bidi="en-GB"/>
      </w:rPr>
    </w:lvl>
  </w:abstractNum>
  <w:abstractNum w:abstractNumId="534" w15:restartNumberingAfterBreak="0">
    <w:nsid w:val="3248296C"/>
    <w:multiLevelType w:val="hybridMultilevel"/>
    <w:tmpl w:val="87401532"/>
    <w:lvl w:ilvl="0" w:tplc="975AE03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EF1A69F2">
      <w:numFmt w:val="bullet"/>
      <w:lvlText w:val="•"/>
      <w:lvlJc w:val="left"/>
      <w:pPr>
        <w:ind w:left="473" w:hanging="217"/>
      </w:pPr>
      <w:rPr>
        <w:rFonts w:hint="default"/>
        <w:lang w:val="en-GB" w:eastAsia="en-GB" w:bidi="en-GB"/>
      </w:rPr>
    </w:lvl>
    <w:lvl w:ilvl="2" w:tplc="E752D590">
      <w:numFmt w:val="bullet"/>
      <w:lvlText w:val="•"/>
      <w:lvlJc w:val="left"/>
      <w:pPr>
        <w:ind w:left="646" w:hanging="217"/>
      </w:pPr>
      <w:rPr>
        <w:rFonts w:hint="default"/>
        <w:lang w:val="en-GB" w:eastAsia="en-GB" w:bidi="en-GB"/>
      </w:rPr>
    </w:lvl>
    <w:lvl w:ilvl="3" w:tplc="81D64F5C">
      <w:numFmt w:val="bullet"/>
      <w:lvlText w:val="•"/>
      <w:lvlJc w:val="left"/>
      <w:pPr>
        <w:ind w:left="819" w:hanging="217"/>
      </w:pPr>
      <w:rPr>
        <w:rFonts w:hint="default"/>
        <w:lang w:val="en-GB" w:eastAsia="en-GB" w:bidi="en-GB"/>
      </w:rPr>
    </w:lvl>
    <w:lvl w:ilvl="4" w:tplc="0E507D70">
      <w:numFmt w:val="bullet"/>
      <w:lvlText w:val="•"/>
      <w:lvlJc w:val="left"/>
      <w:pPr>
        <w:ind w:left="992" w:hanging="217"/>
      </w:pPr>
      <w:rPr>
        <w:rFonts w:hint="default"/>
        <w:lang w:val="en-GB" w:eastAsia="en-GB" w:bidi="en-GB"/>
      </w:rPr>
    </w:lvl>
    <w:lvl w:ilvl="5" w:tplc="CECE572A">
      <w:numFmt w:val="bullet"/>
      <w:lvlText w:val="•"/>
      <w:lvlJc w:val="left"/>
      <w:pPr>
        <w:ind w:left="1165" w:hanging="217"/>
      </w:pPr>
      <w:rPr>
        <w:rFonts w:hint="default"/>
        <w:lang w:val="en-GB" w:eastAsia="en-GB" w:bidi="en-GB"/>
      </w:rPr>
    </w:lvl>
    <w:lvl w:ilvl="6" w:tplc="48C64F1E">
      <w:numFmt w:val="bullet"/>
      <w:lvlText w:val="•"/>
      <w:lvlJc w:val="left"/>
      <w:pPr>
        <w:ind w:left="1338" w:hanging="217"/>
      </w:pPr>
      <w:rPr>
        <w:rFonts w:hint="default"/>
        <w:lang w:val="en-GB" w:eastAsia="en-GB" w:bidi="en-GB"/>
      </w:rPr>
    </w:lvl>
    <w:lvl w:ilvl="7" w:tplc="AD10DB24">
      <w:numFmt w:val="bullet"/>
      <w:lvlText w:val="•"/>
      <w:lvlJc w:val="left"/>
      <w:pPr>
        <w:ind w:left="1511" w:hanging="217"/>
      </w:pPr>
      <w:rPr>
        <w:rFonts w:hint="default"/>
        <w:lang w:val="en-GB" w:eastAsia="en-GB" w:bidi="en-GB"/>
      </w:rPr>
    </w:lvl>
    <w:lvl w:ilvl="8" w:tplc="94C61E2E">
      <w:numFmt w:val="bullet"/>
      <w:lvlText w:val="•"/>
      <w:lvlJc w:val="left"/>
      <w:pPr>
        <w:ind w:left="1684" w:hanging="217"/>
      </w:pPr>
      <w:rPr>
        <w:rFonts w:hint="default"/>
        <w:lang w:val="en-GB" w:eastAsia="en-GB" w:bidi="en-GB"/>
      </w:rPr>
    </w:lvl>
  </w:abstractNum>
  <w:abstractNum w:abstractNumId="535" w15:restartNumberingAfterBreak="0">
    <w:nsid w:val="3253650F"/>
    <w:multiLevelType w:val="hybridMultilevel"/>
    <w:tmpl w:val="9CD4151A"/>
    <w:lvl w:ilvl="0" w:tplc="E022FB2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19E6C2E">
      <w:numFmt w:val="bullet"/>
      <w:lvlText w:val="•"/>
      <w:lvlJc w:val="left"/>
      <w:pPr>
        <w:ind w:left="892" w:hanging="217"/>
      </w:pPr>
      <w:rPr>
        <w:rFonts w:hint="default"/>
        <w:lang w:val="en-GB" w:eastAsia="en-GB" w:bidi="en-GB"/>
      </w:rPr>
    </w:lvl>
    <w:lvl w:ilvl="2" w:tplc="A148F4E0">
      <w:numFmt w:val="bullet"/>
      <w:lvlText w:val="•"/>
      <w:lvlJc w:val="left"/>
      <w:pPr>
        <w:ind w:left="1485" w:hanging="217"/>
      </w:pPr>
      <w:rPr>
        <w:rFonts w:hint="default"/>
        <w:lang w:val="en-GB" w:eastAsia="en-GB" w:bidi="en-GB"/>
      </w:rPr>
    </w:lvl>
    <w:lvl w:ilvl="3" w:tplc="FA206884">
      <w:numFmt w:val="bullet"/>
      <w:lvlText w:val="•"/>
      <w:lvlJc w:val="left"/>
      <w:pPr>
        <w:ind w:left="2077" w:hanging="217"/>
      </w:pPr>
      <w:rPr>
        <w:rFonts w:hint="default"/>
        <w:lang w:val="en-GB" w:eastAsia="en-GB" w:bidi="en-GB"/>
      </w:rPr>
    </w:lvl>
    <w:lvl w:ilvl="4" w:tplc="218445D6">
      <w:numFmt w:val="bullet"/>
      <w:lvlText w:val="•"/>
      <w:lvlJc w:val="left"/>
      <w:pPr>
        <w:ind w:left="2670" w:hanging="217"/>
      </w:pPr>
      <w:rPr>
        <w:rFonts w:hint="default"/>
        <w:lang w:val="en-GB" w:eastAsia="en-GB" w:bidi="en-GB"/>
      </w:rPr>
    </w:lvl>
    <w:lvl w:ilvl="5" w:tplc="B52863A4">
      <w:numFmt w:val="bullet"/>
      <w:lvlText w:val="•"/>
      <w:lvlJc w:val="left"/>
      <w:pPr>
        <w:ind w:left="3263" w:hanging="217"/>
      </w:pPr>
      <w:rPr>
        <w:rFonts w:hint="default"/>
        <w:lang w:val="en-GB" w:eastAsia="en-GB" w:bidi="en-GB"/>
      </w:rPr>
    </w:lvl>
    <w:lvl w:ilvl="6" w:tplc="0F802260">
      <w:numFmt w:val="bullet"/>
      <w:lvlText w:val="•"/>
      <w:lvlJc w:val="left"/>
      <w:pPr>
        <w:ind w:left="3855" w:hanging="217"/>
      </w:pPr>
      <w:rPr>
        <w:rFonts w:hint="default"/>
        <w:lang w:val="en-GB" w:eastAsia="en-GB" w:bidi="en-GB"/>
      </w:rPr>
    </w:lvl>
    <w:lvl w:ilvl="7" w:tplc="0EE818B2">
      <w:numFmt w:val="bullet"/>
      <w:lvlText w:val="•"/>
      <w:lvlJc w:val="left"/>
      <w:pPr>
        <w:ind w:left="4448" w:hanging="217"/>
      </w:pPr>
      <w:rPr>
        <w:rFonts w:hint="default"/>
        <w:lang w:val="en-GB" w:eastAsia="en-GB" w:bidi="en-GB"/>
      </w:rPr>
    </w:lvl>
    <w:lvl w:ilvl="8" w:tplc="D3BA1C5E">
      <w:numFmt w:val="bullet"/>
      <w:lvlText w:val="•"/>
      <w:lvlJc w:val="left"/>
      <w:pPr>
        <w:ind w:left="5040" w:hanging="217"/>
      </w:pPr>
      <w:rPr>
        <w:rFonts w:hint="default"/>
        <w:lang w:val="en-GB" w:eastAsia="en-GB" w:bidi="en-GB"/>
      </w:rPr>
    </w:lvl>
  </w:abstractNum>
  <w:abstractNum w:abstractNumId="536" w15:restartNumberingAfterBreak="0">
    <w:nsid w:val="32551A57"/>
    <w:multiLevelType w:val="hybridMultilevel"/>
    <w:tmpl w:val="46CC732E"/>
    <w:lvl w:ilvl="0" w:tplc="3B8860CE">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4B58D442">
      <w:numFmt w:val="bullet"/>
      <w:lvlText w:val="•"/>
      <w:lvlJc w:val="left"/>
      <w:pPr>
        <w:ind w:left="473" w:hanging="217"/>
      </w:pPr>
      <w:rPr>
        <w:rFonts w:hint="default"/>
        <w:lang w:val="en-GB" w:eastAsia="en-GB" w:bidi="en-GB"/>
      </w:rPr>
    </w:lvl>
    <w:lvl w:ilvl="2" w:tplc="9E0A8CB2">
      <w:numFmt w:val="bullet"/>
      <w:lvlText w:val="•"/>
      <w:lvlJc w:val="left"/>
      <w:pPr>
        <w:ind w:left="646" w:hanging="217"/>
      </w:pPr>
      <w:rPr>
        <w:rFonts w:hint="default"/>
        <w:lang w:val="en-GB" w:eastAsia="en-GB" w:bidi="en-GB"/>
      </w:rPr>
    </w:lvl>
    <w:lvl w:ilvl="3" w:tplc="27D20624">
      <w:numFmt w:val="bullet"/>
      <w:lvlText w:val="•"/>
      <w:lvlJc w:val="left"/>
      <w:pPr>
        <w:ind w:left="819" w:hanging="217"/>
      </w:pPr>
      <w:rPr>
        <w:rFonts w:hint="default"/>
        <w:lang w:val="en-GB" w:eastAsia="en-GB" w:bidi="en-GB"/>
      </w:rPr>
    </w:lvl>
    <w:lvl w:ilvl="4" w:tplc="DE0E399E">
      <w:numFmt w:val="bullet"/>
      <w:lvlText w:val="•"/>
      <w:lvlJc w:val="left"/>
      <w:pPr>
        <w:ind w:left="992" w:hanging="217"/>
      </w:pPr>
      <w:rPr>
        <w:rFonts w:hint="default"/>
        <w:lang w:val="en-GB" w:eastAsia="en-GB" w:bidi="en-GB"/>
      </w:rPr>
    </w:lvl>
    <w:lvl w:ilvl="5" w:tplc="EC08B170">
      <w:numFmt w:val="bullet"/>
      <w:lvlText w:val="•"/>
      <w:lvlJc w:val="left"/>
      <w:pPr>
        <w:ind w:left="1165" w:hanging="217"/>
      </w:pPr>
      <w:rPr>
        <w:rFonts w:hint="default"/>
        <w:lang w:val="en-GB" w:eastAsia="en-GB" w:bidi="en-GB"/>
      </w:rPr>
    </w:lvl>
    <w:lvl w:ilvl="6" w:tplc="B442E752">
      <w:numFmt w:val="bullet"/>
      <w:lvlText w:val="•"/>
      <w:lvlJc w:val="left"/>
      <w:pPr>
        <w:ind w:left="1338" w:hanging="217"/>
      </w:pPr>
      <w:rPr>
        <w:rFonts w:hint="default"/>
        <w:lang w:val="en-GB" w:eastAsia="en-GB" w:bidi="en-GB"/>
      </w:rPr>
    </w:lvl>
    <w:lvl w:ilvl="7" w:tplc="C9B4923E">
      <w:numFmt w:val="bullet"/>
      <w:lvlText w:val="•"/>
      <w:lvlJc w:val="left"/>
      <w:pPr>
        <w:ind w:left="1511" w:hanging="217"/>
      </w:pPr>
      <w:rPr>
        <w:rFonts w:hint="default"/>
        <w:lang w:val="en-GB" w:eastAsia="en-GB" w:bidi="en-GB"/>
      </w:rPr>
    </w:lvl>
    <w:lvl w:ilvl="8" w:tplc="B6BCC77E">
      <w:numFmt w:val="bullet"/>
      <w:lvlText w:val="•"/>
      <w:lvlJc w:val="left"/>
      <w:pPr>
        <w:ind w:left="1684" w:hanging="217"/>
      </w:pPr>
      <w:rPr>
        <w:rFonts w:hint="default"/>
        <w:lang w:val="en-GB" w:eastAsia="en-GB" w:bidi="en-GB"/>
      </w:rPr>
    </w:lvl>
  </w:abstractNum>
  <w:abstractNum w:abstractNumId="537" w15:restartNumberingAfterBreak="0">
    <w:nsid w:val="325826F8"/>
    <w:multiLevelType w:val="hybridMultilevel"/>
    <w:tmpl w:val="3F02A94E"/>
    <w:lvl w:ilvl="0" w:tplc="AED6BD8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76ED878">
      <w:numFmt w:val="bullet"/>
      <w:lvlText w:val="•"/>
      <w:lvlJc w:val="left"/>
      <w:pPr>
        <w:ind w:left="467" w:hanging="217"/>
      </w:pPr>
      <w:rPr>
        <w:rFonts w:hint="default"/>
        <w:lang w:val="en-GB" w:eastAsia="en-GB" w:bidi="en-GB"/>
      </w:rPr>
    </w:lvl>
    <w:lvl w:ilvl="2" w:tplc="0F4C503C">
      <w:numFmt w:val="bullet"/>
      <w:lvlText w:val="•"/>
      <w:lvlJc w:val="left"/>
      <w:pPr>
        <w:ind w:left="634" w:hanging="217"/>
      </w:pPr>
      <w:rPr>
        <w:rFonts w:hint="default"/>
        <w:lang w:val="en-GB" w:eastAsia="en-GB" w:bidi="en-GB"/>
      </w:rPr>
    </w:lvl>
    <w:lvl w:ilvl="3" w:tplc="9288F350">
      <w:numFmt w:val="bullet"/>
      <w:lvlText w:val="•"/>
      <w:lvlJc w:val="left"/>
      <w:pPr>
        <w:ind w:left="802" w:hanging="217"/>
      </w:pPr>
      <w:rPr>
        <w:rFonts w:hint="default"/>
        <w:lang w:val="en-GB" w:eastAsia="en-GB" w:bidi="en-GB"/>
      </w:rPr>
    </w:lvl>
    <w:lvl w:ilvl="4" w:tplc="DA6AAE62">
      <w:numFmt w:val="bullet"/>
      <w:lvlText w:val="•"/>
      <w:lvlJc w:val="left"/>
      <w:pPr>
        <w:ind w:left="969" w:hanging="217"/>
      </w:pPr>
      <w:rPr>
        <w:rFonts w:hint="default"/>
        <w:lang w:val="en-GB" w:eastAsia="en-GB" w:bidi="en-GB"/>
      </w:rPr>
    </w:lvl>
    <w:lvl w:ilvl="5" w:tplc="8D52FBB4">
      <w:numFmt w:val="bullet"/>
      <w:lvlText w:val="•"/>
      <w:lvlJc w:val="left"/>
      <w:pPr>
        <w:ind w:left="1137" w:hanging="217"/>
      </w:pPr>
      <w:rPr>
        <w:rFonts w:hint="default"/>
        <w:lang w:val="en-GB" w:eastAsia="en-GB" w:bidi="en-GB"/>
      </w:rPr>
    </w:lvl>
    <w:lvl w:ilvl="6" w:tplc="F4D8904E">
      <w:numFmt w:val="bullet"/>
      <w:lvlText w:val="•"/>
      <w:lvlJc w:val="left"/>
      <w:pPr>
        <w:ind w:left="1304" w:hanging="217"/>
      </w:pPr>
      <w:rPr>
        <w:rFonts w:hint="default"/>
        <w:lang w:val="en-GB" w:eastAsia="en-GB" w:bidi="en-GB"/>
      </w:rPr>
    </w:lvl>
    <w:lvl w:ilvl="7" w:tplc="6534F5C8">
      <w:numFmt w:val="bullet"/>
      <w:lvlText w:val="•"/>
      <w:lvlJc w:val="left"/>
      <w:pPr>
        <w:ind w:left="1471" w:hanging="217"/>
      </w:pPr>
      <w:rPr>
        <w:rFonts w:hint="default"/>
        <w:lang w:val="en-GB" w:eastAsia="en-GB" w:bidi="en-GB"/>
      </w:rPr>
    </w:lvl>
    <w:lvl w:ilvl="8" w:tplc="7EC494C6">
      <w:numFmt w:val="bullet"/>
      <w:lvlText w:val="•"/>
      <w:lvlJc w:val="left"/>
      <w:pPr>
        <w:ind w:left="1639" w:hanging="217"/>
      </w:pPr>
      <w:rPr>
        <w:rFonts w:hint="default"/>
        <w:lang w:val="en-GB" w:eastAsia="en-GB" w:bidi="en-GB"/>
      </w:rPr>
    </w:lvl>
  </w:abstractNum>
  <w:abstractNum w:abstractNumId="538" w15:restartNumberingAfterBreak="0">
    <w:nsid w:val="32687FB7"/>
    <w:multiLevelType w:val="hybridMultilevel"/>
    <w:tmpl w:val="B3FC4DBA"/>
    <w:lvl w:ilvl="0" w:tplc="37CC114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74C51B8">
      <w:numFmt w:val="bullet"/>
      <w:lvlText w:val="•"/>
      <w:lvlJc w:val="left"/>
      <w:pPr>
        <w:ind w:left="892" w:hanging="217"/>
      </w:pPr>
      <w:rPr>
        <w:rFonts w:hint="default"/>
        <w:lang w:val="en-GB" w:eastAsia="en-GB" w:bidi="en-GB"/>
      </w:rPr>
    </w:lvl>
    <w:lvl w:ilvl="2" w:tplc="8FDC5170">
      <w:numFmt w:val="bullet"/>
      <w:lvlText w:val="•"/>
      <w:lvlJc w:val="left"/>
      <w:pPr>
        <w:ind w:left="1485" w:hanging="217"/>
      </w:pPr>
      <w:rPr>
        <w:rFonts w:hint="default"/>
        <w:lang w:val="en-GB" w:eastAsia="en-GB" w:bidi="en-GB"/>
      </w:rPr>
    </w:lvl>
    <w:lvl w:ilvl="3" w:tplc="C570D13C">
      <w:numFmt w:val="bullet"/>
      <w:lvlText w:val="•"/>
      <w:lvlJc w:val="left"/>
      <w:pPr>
        <w:ind w:left="2077" w:hanging="217"/>
      </w:pPr>
      <w:rPr>
        <w:rFonts w:hint="default"/>
        <w:lang w:val="en-GB" w:eastAsia="en-GB" w:bidi="en-GB"/>
      </w:rPr>
    </w:lvl>
    <w:lvl w:ilvl="4" w:tplc="7E7005AE">
      <w:numFmt w:val="bullet"/>
      <w:lvlText w:val="•"/>
      <w:lvlJc w:val="left"/>
      <w:pPr>
        <w:ind w:left="2670" w:hanging="217"/>
      </w:pPr>
      <w:rPr>
        <w:rFonts w:hint="default"/>
        <w:lang w:val="en-GB" w:eastAsia="en-GB" w:bidi="en-GB"/>
      </w:rPr>
    </w:lvl>
    <w:lvl w:ilvl="5" w:tplc="3BC676DA">
      <w:numFmt w:val="bullet"/>
      <w:lvlText w:val="•"/>
      <w:lvlJc w:val="left"/>
      <w:pPr>
        <w:ind w:left="3263" w:hanging="217"/>
      </w:pPr>
      <w:rPr>
        <w:rFonts w:hint="default"/>
        <w:lang w:val="en-GB" w:eastAsia="en-GB" w:bidi="en-GB"/>
      </w:rPr>
    </w:lvl>
    <w:lvl w:ilvl="6" w:tplc="F4ECA74C">
      <w:numFmt w:val="bullet"/>
      <w:lvlText w:val="•"/>
      <w:lvlJc w:val="left"/>
      <w:pPr>
        <w:ind w:left="3855" w:hanging="217"/>
      </w:pPr>
      <w:rPr>
        <w:rFonts w:hint="default"/>
        <w:lang w:val="en-GB" w:eastAsia="en-GB" w:bidi="en-GB"/>
      </w:rPr>
    </w:lvl>
    <w:lvl w:ilvl="7" w:tplc="C142A350">
      <w:numFmt w:val="bullet"/>
      <w:lvlText w:val="•"/>
      <w:lvlJc w:val="left"/>
      <w:pPr>
        <w:ind w:left="4448" w:hanging="217"/>
      </w:pPr>
      <w:rPr>
        <w:rFonts w:hint="default"/>
        <w:lang w:val="en-GB" w:eastAsia="en-GB" w:bidi="en-GB"/>
      </w:rPr>
    </w:lvl>
    <w:lvl w:ilvl="8" w:tplc="AC30484C">
      <w:numFmt w:val="bullet"/>
      <w:lvlText w:val="•"/>
      <w:lvlJc w:val="left"/>
      <w:pPr>
        <w:ind w:left="5040" w:hanging="217"/>
      </w:pPr>
      <w:rPr>
        <w:rFonts w:hint="default"/>
        <w:lang w:val="en-GB" w:eastAsia="en-GB" w:bidi="en-GB"/>
      </w:rPr>
    </w:lvl>
  </w:abstractNum>
  <w:abstractNum w:abstractNumId="539" w15:restartNumberingAfterBreak="0">
    <w:nsid w:val="32AF0FE3"/>
    <w:multiLevelType w:val="hybridMultilevel"/>
    <w:tmpl w:val="76449A1E"/>
    <w:lvl w:ilvl="0" w:tplc="ED86CFC0">
      <w:numFmt w:val="bullet"/>
      <w:lvlText w:val="•"/>
      <w:lvlJc w:val="left"/>
      <w:pPr>
        <w:ind w:left="305" w:hanging="217"/>
      </w:pPr>
      <w:rPr>
        <w:rFonts w:ascii="Arial" w:eastAsia="Arial" w:hAnsi="Arial" w:cs="Arial" w:hint="default"/>
        <w:color w:val="231F20"/>
        <w:w w:val="102"/>
        <w:sz w:val="17"/>
        <w:szCs w:val="17"/>
        <w:lang w:val="en-GB" w:eastAsia="en-GB" w:bidi="en-GB"/>
      </w:rPr>
    </w:lvl>
    <w:lvl w:ilvl="1" w:tplc="A1DE32DC">
      <w:numFmt w:val="bullet"/>
      <w:lvlText w:val="•"/>
      <w:lvlJc w:val="left"/>
      <w:pPr>
        <w:ind w:left="892" w:hanging="217"/>
      </w:pPr>
      <w:rPr>
        <w:rFonts w:hint="default"/>
        <w:lang w:val="en-GB" w:eastAsia="en-GB" w:bidi="en-GB"/>
      </w:rPr>
    </w:lvl>
    <w:lvl w:ilvl="2" w:tplc="8C32C4B4">
      <w:numFmt w:val="bullet"/>
      <w:lvlText w:val="•"/>
      <w:lvlJc w:val="left"/>
      <w:pPr>
        <w:ind w:left="1485" w:hanging="217"/>
      </w:pPr>
      <w:rPr>
        <w:rFonts w:hint="default"/>
        <w:lang w:val="en-GB" w:eastAsia="en-GB" w:bidi="en-GB"/>
      </w:rPr>
    </w:lvl>
    <w:lvl w:ilvl="3" w:tplc="D586FBB8">
      <w:numFmt w:val="bullet"/>
      <w:lvlText w:val="•"/>
      <w:lvlJc w:val="left"/>
      <w:pPr>
        <w:ind w:left="2077" w:hanging="217"/>
      </w:pPr>
      <w:rPr>
        <w:rFonts w:hint="default"/>
        <w:lang w:val="en-GB" w:eastAsia="en-GB" w:bidi="en-GB"/>
      </w:rPr>
    </w:lvl>
    <w:lvl w:ilvl="4" w:tplc="53009AE2">
      <w:numFmt w:val="bullet"/>
      <w:lvlText w:val="•"/>
      <w:lvlJc w:val="left"/>
      <w:pPr>
        <w:ind w:left="2670" w:hanging="217"/>
      </w:pPr>
      <w:rPr>
        <w:rFonts w:hint="default"/>
        <w:lang w:val="en-GB" w:eastAsia="en-GB" w:bidi="en-GB"/>
      </w:rPr>
    </w:lvl>
    <w:lvl w:ilvl="5" w:tplc="791CB230">
      <w:numFmt w:val="bullet"/>
      <w:lvlText w:val="•"/>
      <w:lvlJc w:val="left"/>
      <w:pPr>
        <w:ind w:left="3263" w:hanging="217"/>
      </w:pPr>
      <w:rPr>
        <w:rFonts w:hint="default"/>
        <w:lang w:val="en-GB" w:eastAsia="en-GB" w:bidi="en-GB"/>
      </w:rPr>
    </w:lvl>
    <w:lvl w:ilvl="6" w:tplc="8F3C6F2C">
      <w:numFmt w:val="bullet"/>
      <w:lvlText w:val="•"/>
      <w:lvlJc w:val="left"/>
      <w:pPr>
        <w:ind w:left="3855" w:hanging="217"/>
      </w:pPr>
      <w:rPr>
        <w:rFonts w:hint="default"/>
        <w:lang w:val="en-GB" w:eastAsia="en-GB" w:bidi="en-GB"/>
      </w:rPr>
    </w:lvl>
    <w:lvl w:ilvl="7" w:tplc="736C9234">
      <w:numFmt w:val="bullet"/>
      <w:lvlText w:val="•"/>
      <w:lvlJc w:val="left"/>
      <w:pPr>
        <w:ind w:left="4448" w:hanging="217"/>
      </w:pPr>
      <w:rPr>
        <w:rFonts w:hint="default"/>
        <w:lang w:val="en-GB" w:eastAsia="en-GB" w:bidi="en-GB"/>
      </w:rPr>
    </w:lvl>
    <w:lvl w:ilvl="8" w:tplc="78D06440">
      <w:numFmt w:val="bullet"/>
      <w:lvlText w:val="•"/>
      <w:lvlJc w:val="left"/>
      <w:pPr>
        <w:ind w:left="5040" w:hanging="217"/>
      </w:pPr>
      <w:rPr>
        <w:rFonts w:hint="default"/>
        <w:lang w:val="en-GB" w:eastAsia="en-GB" w:bidi="en-GB"/>
      </w:rPr>
    </w:lvl>
  </w:abstractNum>
  <w:abstractNum w:abstractNumId="540" w15:restartNumberingAfterBreak="0">
    <w:nsid w:val="32B046AC"/>
    <w:multiLevelType w:val="hybridMultilevel"/>
    <w:tmpl w:val="E46ECCA2"/>
    <w:lvl w:ilvl="0" w:tplc="DD2433D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BBC08D8">
      <w:numFmt w:val="bullet"/>
      <w:lvlText w:val="•"/>
      <w:lvlJc w:val="left"/>
      <w:pPr>
        <w:ind w:left="473" w:hanging="217"/>
      </w:pPr>
      <w:rPr>
        <w:rFonts w:hint="default"/>
        <w:lang w:val="en-GB" w:eastAsia="en-GB" w:bidi="en-GB"/>
      </w:rPr>
    </w:lvl>
    <w:lvl w:ilvl="2" w:tplc="AB22EA18">
      <w:numFmt w:val="bullet"/>
      <w:lvlText w:val="•"/>
      <w:lvlJc w:val="left"/>
      <w:pPr>
        <w:ind w:left="646" w:hanging="217"/>
      </w:pPr>
      <w:rPr>
        <w:rFonts w:hint="default"/>
        <w:lang w:val="en-GB" w:eastAsia="en-GB" w:bidi="en-GB"/>
      </w:rPr>
    </w:lvl>
    <w:lvl w:ilvl="3" w:tplc="2744DF94">
      <w:numFmt w:val="bullet"/>
      <w:lvlText w:val="•"/>
      <w:lvlJc w:val="left"/>
      <w:pPr>
        <w:ind w:left="819" w:hanging="217"/>
      </w:pPr>
      <w:rPr>
        <w:rFonts w:hint="default"/>
        <w:lang w:val="en-GB" w:eastAsia="en-GB" w:bidi="en-GB"/>
      </w:rPr>
    </w:lvl>
    <w:lvl w:ilvl="4" w:tplc="EB388786">
      <w:numFmt w:val="bullet"/>
      <w:lvlText w:val="•"/>
      <w:lvlJc w:val="left"/>
      <w:pPr>
        <w:ind w:left="992" w:hanging="217"/>
      </w:pPr>
      <w:rPr>
        <w:rFonts w:hint="default"/>
        <w:lang w:val="en-GB" w:eastAsia="en-GB" w:bidi="en-GB"/>
      </w:rPr>
    </w:lvl>
    <w:lvl w:ilvl="5" w:tplc="C57234C4">
      <w:numFmt w:val="bullet"/>
      <w:lvlText w:val="•"/>
      <w:lvlJc w:val="left"/>
      <w:pPr>
        <w:ind w:left="1165" w:hanging="217"/>
      </w:pPr>
      <w:rPr>
        <w:rFonts w:hint="default"/>
        <w:lang w:val="en-GB" w:eastAsia="en-GB" w:bidi="en-GB"/>
      </w:rPr>
    </w:lvl>
    <w:lvl w:ilvl="6" w:tplc="9DDC894A">
      <w:numFmt w:val="bullet"/>
      <w:lvlText w:val="•"/>
      <w:lvlJc w:val="left"/>
      <w:pPr>
        <w:ind w:left="1338" w:hanging="217"/>
      </w:pPr>
      <w:rPr>
        <w:rFonts w:hint="default"/>
        <w:lang w:val="en-GB" w:eastAsia="en-GB" w:bidi="en-GB"/>
      </w:rPr>
    </w:lvl>
    <w:lvl w:ilvl="7" w:tplc="64D82D16">
      <w:numFmt w:val="bullet"/>
      <w:lvlText w:val="•"/>
      <w:lvlJc w:val="left"/>
      <w:pPr>
        <w:ind w:left="1511" w:hanging="217"/>
      </w:pPr>
      <w:rPr>
        <w:rFonts w:hint="default"/>
        <w:lang w:val="en-GB" w:eastAsia="en-GB" w:bidi="en-GB"/>
      </w:rPr>
    </w:lvl>
    <w:lvl w:ilvl="8" w:tplc="347CC22C">
      <w:numFmt w:val="bullet"/>
      <w:lvlText w:val="•"/>
      <w:lvlJc w:val="left"/>
      <w:pPr>
        <w:ind w:left="1684" w:hanging="217"/>
      </w:pPr>
      <w:rPr>
        <w:rFonts w:hint="default"/>
        <w:lang w:val="en-GB" w:eastAsia="en-GB" w:bidi="en-GB"/>
      </w:rPr>
    </w:lvl>
  </w:abstractNum>
  <w:abstractNum w:abstractNumId="541" w15:restartNumberingAfterBreak="0">
    <w:nsid w:val="32BB5EDE"/>
    <w:multiLevelType w:val="hybridMultilevel"/>
    <w:tmpl w:val="6CB83D22"/>
    <w:lvl w:ilvl="0" w:tplc="943C433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C348FC0">
      <w:numFmt w:val="bullet"/>
      <w:lvlText w:val="•"/>
      <w:lvlJc w:val="left"/>
      <w:pPr>
        <w:ind w:left="439" w:hanging="217"/>
      </w:pPr>
      <w:rPr>
        <w:rFonts w:hint="default"/>
        <w:lang w:val="en-GB" w:eastAsia="en-GB" w:bidi="en-GB"/>
      </w:rPr>
    </w:lvl>
    <w:lvl w:ilvl="2" w:tplc="2384C12A">
      <w:numFmt w:val="bullet"/>
      <w:lvlText w:val="•"/>
      <w:lvlJc w:val="left"/>
      <w:pPr>
        <w:ind w:left="578" w:hanging="217"/>
      </w:pPr>
      <w:rPr>
        <w:rFonts w:hint="default"/>
        <w:lang w:val="en-GB" w:eastAsia="en-GB" w:bidi="en-GB"/>
      </w:rPr>
    </w:lvl>
    <w:lvl w:ilvl="3" w:tplc="0A38643C">
      <w:numFmt w:val="bullet"/>
      <w:lvlText w:val="•"/>
      <w:lvlJc w:val="left"/>
      <w:pPr>
        <w:ind w:left="717" w:hanging="217"/>
      </w:pPr>
      <w:rPr>
        <w:rFonts w:hint="default"/>
        <w:lang w:val="en-GB" w:eastAsia="en-GB" w:bidi="en-GB"/>
      </w:rPr>
    </w:lvl>
    <w:lvl w:ilvl="4" w:tplc="F17CADF2">
      <w:numFmt w:val="bullet"/>
      <w:lvlText w:val="•"/>
      <w:lvlJc w:val="left"/>
      <w:pPr>
        <w:ind w:left="856" w:hanging="217"/>
      </w:pPr>
      <w:rPr>
        <w:rFonts w:hint="default"/>
        <w:lang w:val="en-GB" w:eastAsia="en-GB" w:bidi="en-GB"/>
      </w:rPr>
    </w:lvl>
    <w:lvl w:ilvl="5" w:tplc="BB0A192C">
      <w:numFmt w:val="bullet"/>
      <w:lvlText w:val="•"/>
      <w:lvlJc w:val="left"/>
      <w:pPr>
        <w:ind w:left="995" w:hanging="217"/>
      </w:pPr>
      <w:rPr>
        <w:rFonts w:hint="default"/>
        <w:lang w:val="en-GB" w:eastAsia="en-GB" w:bidi="en-GB"/>
      </w:rPr>
    </w:lvl>
    <w:lvl w:ilvl="6" w:tplc="FF26F42E">
      <w:numFmt w:val="bullet"/>
      <w:lvlText w:val="•"/>
      <w:lvlJc w:val="left"/>
      <w:pPr>
        <w:ind w:left="1134" w:hanging="217"/>
      </w:pPr>
      <w:rPr>
        <w:rFonts w:hint="default"/>
        <w:lang w:val="en-GB" w:eastAsia="en-GB" w:bidi="en-GB"/>
      </w:rPr>
    </w:lvl>
    <w:lvl w:ilvl="7" w:tplc="1C5C7FA4">
      <w:numFmt w:val="bullet"/>
      <w:lvlText w:val="•"/>
      <w:lvlJc w:val="left"/>
      <w:pPr>
        <w:ind w:left="1273" w:hanging="217"/>
      </w:pPr>
      <w:rPr>
        <w:rFonts w:hint="default"/>
        <w:lang w:val="en-GB" w:eastAsia="en-GB" w:bidi="en-GB"/>
      </w:rPr>
    </w:lvl>
    <w:lvl w:ilvl="8" w:tplc="45205286">
      <w:numFmt w:val="bullet"/>
      <w:lvlText w:val="•"/>
      <w:lvlJc w:val="left"/>
      <w:pPr>
        <w:ind w:left="1412" w:hanging="217"/>
      </w:pPr>
      <w:rPr>
        <w:rFonts w:hint="default"/>
        <w:lang w:val="en-GB" w:eastAsia="en-GB" w:bidi="en-GB"/>
      </w:rPr>
    </w:lvl>
  </w:abstractNum>
  <w:abstractNum w:abstractNumId="542" w15:restartNumberingAfterBreak="0">
    <w:nsid w:val="330809CD"/>
    <w:multiLevelType w:val="hybridMultilevel"/>
    <w:tmpl w:val="6D40B298"/>
    <w:lvl w:ilvl="0" w:tplc="F43EA2C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229E83E8">
      <w:numFmt w:val="bullet"/>
      <w:lvlText w:val="•"/>
      <w:lvlJc w:val="left"/>
      <w:pPr>
        <w:ind w:left="473" w:hanging="217"/>
      </w:pPr>
      <w:rPr>
        <w:rFonts w:hint="default"/>
        <w:lang w:val="en-GB" w:eastAsia="en-GB" w:bidi="en-GB"/>
      </w:rPr>
    </w:lvl>
    <w:lvl w:ilvl="2" w:tplc="FCB41402">
      <w:numFmt w:val="bullet"/>
      <w:lvlText w:val="•"/>
      <w:lvlJc w:val="left"/>
      <w:pPr>
        <w:ind w:left="646" w:hanging="217"/>
      </w:pPr>
      <w:rPr>
        <w:rFonts w:hint="default"/>
        <w:lang w:val="en-GB" w:eastAsia="en-GB" w:bidi="en-GB"/>
      </w:rPr>
    </w:lvl>
    <w:lvl w:ilvl="3" w:tplc="E382B39E">
      <w:numFmt w:val="bullet"/>
      <w:lvlText w:val="•"/>
      <w:lvlJc w:val="left"/>
      <w:pPr>
        <w:ind w:left="819" w:hanging="217"/>
      </w:pPr>
      <w:rPr>
        <w:rFonts w:hint="default"/>
        <w:lang w:val="en-GB" w:eastAsia="en-GB" w:bidi="en-GB"/>
      </w:rPr>
    </w:lvl>
    <w:lvl w:ilvl="4" w:tplc="2BC20DEE">
      <w:numFmt w:val="bullet"/>
      <w:lvlText w:val="•"/>
      <w:lvlJc w:val="left"/>
      <w:pPr>
        <w:ind w:left="992" w:hanging="217"/>
      </w:pPr>
      <w:rPr>
        <w:rFonts w:hint="default"/>
        <w:lang w:val="en-GB" w:eastAsia="en-GB" w:bidi="en-GB"/>
      </w:rPr>
    </w:lvl>
    <w:lvl w:ilvl="5" w:tplc="C0C610DE">
      <w:numFmt w:val="bullet"/>
      <w:lvlText w:val="•"/>
      <w:lvlJc w:val="left"/>
      <w:pPr>
        <w:ind w:left="1165" w:hanging="217"/>
      </w:pPr>
      <w:rPr>
        <w:rFonts w:hint="default"/>
        <w:lang w:val="en-GB" w:eastAsia="en-GB" w:bidi="en-GB"/>
      </w:rPr>
    </w:lvl>
    <w:lvl w:ilvl="6" w:tplc="52588618">
      <w:numFmt w:val="bullet"/>
      <w:lvlText w:val="•"/>
      <w:lvlJc w:val="left"/>
      <w:pPr>
        <w:ind w:left="1338" w:hanging="217"/>
      </w:pPr>
      <w:rPr>
        <w:rFonts w:hint="default"/>
        <w:lang w:val="en-GB" w:eastAsia="en-GB" w:bidi="en-GB"/>
      </w:rPr>
    </w:lvl>
    <w:lvl w:ilvl="7" w:tplc="F0AC886E">
      <w:numFmt w:val="bullet"/>
      <w:lvlText w:val="•"/>
      <w:lvlJc w:val="left"/>
      <w:pPr>
        <w:ind w:left="1511" w:hanging="217"/>
      </w:pPr>
      <w:rPr>
        <w:rFonts w:hint="default"/>
        <w:lang w:val="en-GB" w:eastAsia="en-GB" w:bidi="en-GB"/>
      </w:rPr>
    </w:lvl>
    <w:lvl w:ilvl="8" w:tplc="67B62F58">
      <w:numFmt w:val="bullet"/>
      <w:lvlText w:val="•"/>
      <w:lvlJc w:val="left"/>
      <w:pPr>
        <w:ind w:left="1684" w:hanging="217"/>
      </w:pPr>
      <w:rPr>
        <w:rFonts w:hint="default"/>
        <w:lang w:val="en-GB" w:eastAsia="en-GB" w:bidi="en-GB"/>
      </w:rPr>
    </w:lvl>
  </w:abstractNum>
  <w:abstractNum w:abstractNumId="543" w15:restartNumberingAfterBreak="0">
    <w:nsid w:val="332C5278"/>
    <w:multiLevelType w:val="hybridMultilevel"/>
    <w:tmpl w:val="3516D8BE"/>
    <w:lvl w:ilvl="0" w:tplc="6DF27F4E">
      <w:numFmt w:val="bullet"/>
      <w:lvlText w:val="•"/>
      <w:lvlJc w:val="left"/>
      <w:pPr>
        <w:ind w:left="276" w:hanging="217"/>
      </w:pPr>
      <w:rPr>
        <w:rFonts w:ascii="Arial" w:eastAsia="Arial" w:hAnsi="Arial" w:cs="Arial" w:hint="default"/>
        <w:color w:val="231F20"/>
        <w:w w:val="97"/>
        <w:sz w:val="16"/>
        <w:szCs w:val="16"/>
        <w:lang w:val="en-GB" w:eastAsia="en-GB" w:bidi="en-GB"/>
      </w:rPr>
    </w:lvl>
    <w:lvl w:ilvl="1" w:tplc="6B98334A">
      <w:numFmt w:val="bullet"/>
      <w:lvlText w:val="•"/>
      <w:lvlJc w:val="left"/>
      <w:pPr>
        <w:ind w:left="381" w:hanging="217"/>
      </w:pPr>
      <w:rPr>
        <w:rFonts w:hint="default"/>
        <w:lang w:val="en-GB" w:eastAsia="en-GB" w:bidi="en-GB"/>
      </w:rPr>
    </w:lvl>
    <w:lvl w:ilvl="2" w:tplc="0408F058">
      <w:numFmt w:val="bullet"/>
      <w:lvlText w:val="•"/>
      <w:lvlJc w:val="left"/>
      <w:pPr>
        <w:ind w:left="482" w:hanging="217"/>
      </w:pPr>
      <w:rPr>
        <w:rFonts w:hint="default"/>
        <w:lang w:val="en-GB" w:eastAsia="en-GB" w:bidi="en-GB"/>
      </w:rPr>
    </w:lvl>
    <w:lvl w:ilvl="3" w:tplc="03E6EF22">
      <w:numFmt w:val="bullet"/>
      <w:lvlText w:val="•"/>
      <w:lvlJc w:val="left"/>
      <w:pPr>
        <w:ind w:left="584" w:hanging="217"/>
      </w:pPr>
      <w:rPr>
        <w:rFonts w:hint="default"/>
        <w:lang w:val="en-GB" w:eastAsia="en-GB" w:bidi="en-GB"/>
      </w:rPr>
    </w:lvl>
    <w:lvl w:ilvl="4" w:tplc="9AAE9378">
      <w:numFmt w:val="bullet"/>
      <w:lvlText w:val="•"/>
      <w:lvlJc w:val="left"/>
      <w:pPr>
        <w:ind w:left="685" w:hanging="217"/>
      </w:pPr>
      <w:rPr>
        <w:rFonts w:hint="default"/>
        <w:lang w:val="en-GB" w:eastAsia="en-GB" w:bidi="en-GB"/>
      </w:rPr>
    </w:lvl>
    <w:lvl w:ilvl="5" w:tplc="11901EC0">
      <w:numFmt w:val="bullet"/>
      <w:lvlText w:val="•"/>
      <w:lvlJc w:val="left"/>
      <w:pPr>
        <w:ind w:left="787" w:hanging="217"/>
      </w:pPr>
      <w:rPr>
        <w:rFonts w:hint="default"/>
        <w:lang w:val="en-GB" w:eastAsia="en-GB" w:bidi="en-GB"/>
      </w:rPr>
    </w:lvl>
    <w:lvl w:ilvl="6" w:tplc="F372F896">
      <w:numFmt w:val="bullet"/>
      <w:lvlText w:val="•"/>
      <w:lvlJc w:val="left"/>
      <w:pPr>
        <w:ind w:left="888" w:hanging="217"/>
      </w:pPr>
      <w:rPr>
        <w:rFonts w:hint="default"/>
        <w:lang w:val="en-GB" w:eastAsia="en-GB" w:bidi="en-GB"/>
      </w:rPr>
    </w:lvl>
    <w:lvl w:ilvl="7" w:tplc="3BAE102E">
      <w:numFmt w:val="bullet"/>
      <w:lvlText w:val="•"/>
      <w:lvlJc w:val="left"/>
      <w:pPr>
        <w:ind w:left="989" w:hanging="217"/>
      </w:pPr>
      <w:rPr>
        <w:rFonts w:hint="default"/>
        <w:lang w:val="en-GB" w:eastAsia="en-GB" w:bidi="en-GB"/>
      </w:rPr>
    </w:lvl>
    <w:lvl w:ilvl="8" w:tplc="24505E2E">
      <w:numFmt w:val="bullet"/>
      <w:lvlText w:val="•"/>
      <w:lvlJc w:val="left"/>
      <w:pPr>
        <w:ind w:left="1091" w:hanging="217"/>
      </w:pPr>
      <w:rPr>
        <w:rFonts w:hint="default"/>
        <w:lang w:val="en-GB" w:eastAsia="en-GB" w:bidi="en-GB"/>
      </w:rPr>
    </w:lvl>
  </w:abstractNum>
  <w:abstractNum w:abstractNumId="544" w15:restartNumberingAfterBreak="0">
    <w:nsid w:val="333B2257"/>
    <w:multiLevelType w:val="hybridMultilevel"/>
    <w:tmpl w:val="38A2EF4A"/>
    <w:lvl w:ilvl="0" w:tplc="8C60B5B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592DE22">
      <w:numFmt w:val="bullet"/>
      <w:lvlText w:val="•"/>
      <w:lvlJc w:val="left"/>
      <w:pPr>
        <w:ind w:left="439" w:hanging="217"/>
      </w:pPr>
      <w:rPr>
        <w:rFonts w:hint="default"/>
        <w:lang w:val="en-GB" w:eastAsia="en-GB" w:bidi="en-GB"/>
      </w:rPr>
    </w:lvl>
    <w:lvl w:ilvl="2" w:tplc="5F6AC8B8">
      <w:numFmt w:val="bullet"/>
      <w:lvlText w:val="•"/>
      <w:lvlJc w:val="left"/>
      <w:pPr>
        <w:ind w:left="578" w:hanging="217"/>
      </w:pPr>
      <w:rPr>
        <w:rFonts w:hint="default"/>
        <w:lang w:val="en-GB" w:eastAsia="en-GB" w:bidi="en-GB"/>
      </w:rPr>
    </w:lvl>
    <w:lvl w:ilvl="3" w:tplc="F6EA3ADE">
      <w:numFmt w:val="bullet"/>
      <w:lvlText w:val="•"/>
      <w:lvlJc w:val="left"/>
      <w:pPr>
        <w:ind w:left="717" w:hanging="217"/>
      </w:pPr>
      <w:rPr>
        <w:rFonts w:hint="default"/>
        <w:lang w:val="en-GB" w:eastAsia="en-GB" w:bidi="en-GB"/>
      </w:rPr>
    </w:lvl>
    <w:lvl w:ilvl="4" w:tplc="C6600A5C">
      <w:numFmt w:val="bullet"/>
      <w:lvlText w:val="•"/>
      <w:lvlJc w:val="left"/>
      <w:pPr>
        <w:ind w:left="856" w:hanging="217"/>
      </w:pPr>
      <w:rPr>
        <w:rFonts w:hint="default"/>
        <w:lang w:val="en-GB" w:eastAsia="en-GB" w:bidi="en-GB"/>
      </w:rPr>
    </w:lvl>
    <w:lvl w:ilvl="5" w:tplc="B2144342">
      <w:numFmt w:val="bullet"/>
      <w:lvlText w:val="•"/>
      <w:lvlJc w:val="left"/>
      <w:pPr>
        <w:ind w:left="995" w:hanging="217"/>
      </w:pPr>
      <w:rPr>
        <w:rFonts w:hint="default"/>
        <w:lang w:val="en-GB" w:eastAsia="en-GB" w:bidi="en-GB"/>
      </w:rPr>
    </w:lvl>
    <w:lvl w:ilvl="6" w:tplc="CF8E39BA">
      <w:numFmt w:val="bullet"/>
      <w:lvlText w:val="•"/>
      <w:lvlJc w:val="left"/>
      <w:pPr>
        <w:ind w:left="1134" w:hanging="217"/>
      </w:pPr>
      <w:rPr>
        <w:rFonts w:hint="default"/>
        <w:lang w:val="en-GB" w:eastAsia="en-GB" w:bidi="en-GB"/>
      </w:rPr>
    </w:lvl>
    <w:lvl w:ilvl="7" w:tplc="1CA8C592">
      <w:numFmt w:val="bullet"/>
      <w:lvlText w:val="•"/>
      <w:lvlJc w:val="left"/>
      <w:pPr>
        <w:ind w:left="1273" w:hanging="217"/>
      </w:pPr>
      <w:rPr>
        <w:rFonts w:hint="default"/>
        <w:lang w:val="en-GB" w:eastAsia="en-GB" w:bidi="en-GB"/>
      </w:rPr>
    </w:lvl>
    <w:lvl w:ilvl="8" w:tplc="1E8AF76A">
      <w:numFmt w:val="bullet"/>
      <w:lvlText w:val="•"/>
      <w:lvlJc w:val="left"/>
      <w:pPr>
        <w:ind w:left="1412" w:hanging="217"/>
      </w:pPr>
      <w:rPr>
        <w:rFonts w:hint="default"/>
        <w:lang w:val="en-GB" w:eastAsia="en-GB" w:bidi="en-GB"/>
      </w:rPr>
    </w:lvl>
  </w:abstractNum>
  <w:abstractNum w:abstractNumId="545" w15:restartNumberingAfterBreak="0">
    <w:nsid w:val="3355074E"/>
    <w:multiLevelType w:val="hybridMultilevel"/>
    <w:tmpl w:val="C88052B8"/>
    <w:lvl w:ilvl="0" w:tplc="C600A7F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2CEDA70">
      <w:numFmt w:val="bullet"/>
      <w:lvlText w:val="•"/>
      <w:lvlJc w:val="left"/>
      <w:pPr>
        <w:ind w:left="439" w:hanging="217"/>
      </w:pPr>
      <w:rPr>
        <w:rFonts w:hint="default"/>
        <w:lang w:val="en-GB" w:eastAsia="en-GB" w:bidi="en-GB"/>
      </w:rPr>
    </w:lvl>
    <w:lvl w:ilvl="2" w:tplc="797E7728">
      <w:numFmt w:val="bullet"/>
      <w:lvlText w:val="•"/>
      <w:lvlJc w:val="left"/>
      <w:pPr>
        <w:ind w:left="578" w:hanging="217"/>
      </w:pPr>
      <w:rPr>
        <w:rFonts w:hint="default"/>
        <w:lang w:val="en-GB" w:eastAsia="en-GB" w:bidi="en-GB"/>
      </w:rPr>
    </w:lvl>
    <w:lvl w:ilvl="3" w:tplc="94CE1918">
      <w:numFmt w:val="bullet"/>
      <w:lvlText w:val="•"/>
      <w:lvlJc w:val="left"/>
      <w:pPr>
        <w:ind w:left="717" w:hanging="217"/>
      </w:pPr>
      <w:rPr>
        <w:rFonts w:hint="default"/>
        <w:lang w:val="en-GB" w:eastAsia="en-GB" w:bidi="en-GB"/>
      </w:rPr>
    </w:lvl>
    <w:lvl w:ilvl="4" w:tplc="31387A7C">
      <w:numFmt w:val="bullet"/>
      <w:lvlText w:val="•"/>
      <w:lvlJc w:val="left"/>
      <w:pPr>
        <w:ind w:left="856" w:hanging="217"/>
      </w:pPr>
      <w:rPr>
        <w:rFonts w:hint="default"/>
        <w:lang w:val="en-GB" w:eastAsia="en-GB" w:bidi="en-GB"/>
      </w:rPr>
    </w:lvl>
    <w:lvl w:ilvl="5" w:tplc="4D02DE72">
      <w:numFmt w:val="bullet"/>
      <w:lvlText w:val="•"/>
      <w:lvlJc w:val="left"/>
      <w:pPr>
        <w:ind w:left="995" w:hanging="217"/>
      </w:pPr>
      <w:rPr>
        <w:rFonts w:hint="default"/>
        <w:lang w:val="en-GB" w:eastAsia="en-GB" w:bidi="en-GB"/>
      </w:rPr>
    </w:lvl>
    <w:lvl w:ilvl="6" w:tplc="6A1C5686">
      <w:numFmt w:val="bullet"/>
      <w:lvlText w:val="•"/>
      <w:lvlJc w:val="left"/>
      <w:pPr>
        <w:ind w:left="1134" w:hanging="217"/>
      </w:pPr>
      <w:rPr>
        <w:rFonts w:hint="default"/>
        <w:lang w:val="en-GB" w:eastAsia="en-GB" w:bidi="en-GB"/>
      </w:rPr>
    </w:lvl>
    <w:lvl w:ilvl="7" w:tplc="DC50AC84">
      <w:numFmt w:val="bullet"/>
      <w:lvlText w:val="•"/>
      <w:lvlJc w:val="left"/>
      <w:pPr>
        <w:ind w:left="1273" w:hanging="217"/>
      </w:pPr>
      <w:rPr>
        <w:rFonts w:hint="default"/>
        <w:lang w:val="en-GB" w:eastAsia="en-GB" w:bidi="en-GB"/>
      </w:rPr>
    </w:lvl>
    <w:lvl w:ilvl="8" w:tplc="D758E732">
      <w:numFmt w:val="bullet"/>
      <w:lvlText w:val="•"/>
      <w:lvlJc w:val="left"/>
      <w:pPr>
        <w:ind w:left="1412" w:hanging="217"/>
      </w:pPr>
      <w:rPr>
        <w:rFonts w:hint="default"/>
        <w:lang w:val="en-GB" w:eastAsia="en-GB" w:bidi="en-GB"/>
      </w:rPr>
    </w:lvl>
  </w:abstractNum>
  <w:abstractNum w:abstractNumId="546" w15:restartNumberingAfterBreak="0">
    <w:nsid w:val="33686383"/>
    <w:multiLevelType w:val="hybridMultilevel"/>
    <w:tmpl w:val="BCD27CB6"/>
    <w:lvl w:ilvl="0" w:tplc="D59431C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1728B7A0">
      <w:numFmt w:val="bullet"/>
      <w:lvlText w:val="•"/>
      <w:lvlJc w:val="left"/>
      <w:pPr>
        <w:ind w:left="892" w:hanging="217"/>
      </w:pPr>
      <w:rPr>
        <w:rFonts w:hint="default"/>
        <w:lang w:val="en-GB" w:eastAsia="en-GB" w:bidi="en-GB"/>
      </w:rPr>
    </w:lvl>
    <w:lvl w:ilvl="2" w:tplc="03449B84">
      <w:numFmt w:val="bullet"/>
      <w:lvlText w:val="•"/>
      <w:lvlJc w:val="left"/>
      <w:pPr>
        <w:ind w:left="1485" w:hanging="217"/>
      </w:pPr>
      <w:rPr>
        <w:rFonts w:hint="default"/>
        <w:lang w:val="en-GB" w:eastAsia="en-GB" w:bidi="en-GB"/>
      </w:rPr>
    </w:lvl>
    <w:lvl w:ilvl="3" w:tplc="962EDC84">
      <w:numFmt w:val="bullet"/>
      <w:lvlText w:val="•"/>
      <w:lvlJc w:val="left"/>
      <w:pPr>
        <w:ind w:left="2077" w:hanging="217"/>
      </w:pPr>
      <w:rPr>
        <w:rFonts w:hint="default"/>
        <w:lang w:val="en-GB" w:eastAsia="en-GB" w:bidi="en-GB"/>
      </w:rPr>
    </w:lvl>
    <w:lvl w:ilvl="4" w:tplc="758E24FE">
      <w:numFmt w:val="bullet"/>
      <w:lvlText w:val="•"/>
      <w:lvlJc w:val="left"/>
      <w:pPr>
        <w:ind w:left="2670" w:hanging="217"/>
      </w:pPr>
      <w:rPr>
        <w:rFonts w:hint="default"/>
        <w:lang w:val="en-GB" w:eastAsia="en-GB" w:bidi="en-GB"/>
      </w:rPr>
    </w:lvl>
    <w:lvl w:ilvl="5" w:tplc="8110D402">
      <w:numFmt w:val="bullet"/>
      <w:lvlText w:val="•"/>
      <w:lvlJc w:val="left"/>
      <w:pPr>
        <w:ind w:left="3263" w:hanging="217"/>
      </w:pPr>
      <w:rPr>
        <w:rFonts w:hint="default"/>
        <w:lang w:val="en-GB" w:eastAsia="en-GB" w:bidi="en-GB"/>
      </w:rPr>
    </w:lvl>
    <w:lvl w:ilvl="6" w:tplc="D820E750">
      <w:numFmt w:val="bullet"/>
      <w:lvlText w:val="•"/>
      <w:lvlJc w:val="left"/>
      <w:pPr>
        <w:ind w:left="3855" w:hanging="217"/>
      </w:pPr>
      <w:rPr>
        <w:rFonts w:hint="default"/>
        <w:lang w:val="en-GB" w:eastAsia="en-GB" w:bidi="en-GB"/>
      </w:rPr>
    </w:lvl>
    <w:lvl w:ilvl="7" w:tplc="A96C3920">
      <w:numFmt w:val="bullet"/>
      <w:lvlText w:val="•"/>
      <w:lvlJc w:val="left"/>
      <w:pPr>
        <w:ind w:left="4448" w:hanging="217"/>
      </w:pPr>
      <w:rPr>
        <w:rFonts w:hint="default"/>
        <w:lang w:val="en-GB" w:eastAsia="en-GB" w:bidi="en-GB"/>
      </w:rPr>
    </w:lvl>
    <w:lvl w:ilvl="8" w:tplc="CA3CFC42">
      <w:numFmt w:val="bullet"/>
      <w:lvlText w:val="•"/>
      <w:lvlJc w:val="left"/>
      <w:pPr>
        <w:ind w:left="5040" w:hanging="217"/>
      </w:pPr>
      <w:rPr>
        <w:rFonts w:hint="default"/>
        <w:lang w:val="en-GB" w:eastAsia="en-GB" w:bidi="en-GB"/>
      </w:rPr>
    </w:lvl>
  </w:abstractNum>
  <w:abstractNum w:abstractNumId="547" w15:restartNumberingAfterBreak="0">
    <w:nsid w:val="33A44C1C"/>
    <w:multiLevelType w:val="hybridMultilevel"/>
    <w:tmpl w:val="29B42B44"/>
    <w:lvl w:ilvl="0" w:tplc="45C6118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5FAFEE0">
      <w:numFmt w:val="bullet"/>
      <w:lvlText w:val="•"/>
      <w:lvlJc w:val="left"/>
      <w:pPr>
        <w:ind w:left="892" w:hanging="217"/>
      </w:pPr>
      <w:rPr>
        <w:rFonts w:hint="default"/>
        <w:lang w:val="en-GB" w:eastAsia="en-GB" w:bidi="en-GB"/>
      </w:rPr>
    </w:lvl>
    <w:lvl w:ilvl="2" w:tplc="8046A11E">
      <w:numFmt w:val="bullet"/>
      <w:lvlText w:val="•"/>
      <w:lvlJc w:val="left"/>
      <w:pPr>
        <w:ind w:left="1485" w:hanging="217"/>
      </w:pPr>
      <w:rPr>
        <w:rFonts w:hint="default"/>
        <w:lang w:val="en-GB" w:eastAsia="en-GB" w:bidi="en-GB"/>
      </w:rPr>
    </w:lvl>
    <w:lvl w:ilvl="3" w:tplc="7E90D1F0">
      <w:numFmt w:val="bullet"/>
      <w:lvlText w:val="•"/>
      <w:lvlJc w:val="left"/>
      <w:pPr>
        <w:ind w:left="2077" w:hanging="217"/>
      </w:pPr>
      <w:rPr>
        <w:rFonts w:hint="default"/>
        <w:lang w:val="en-GB" w:eastAsia="en-GB" w:bidi="en-GB"/>
      </w:rPr>
    </w:lvl>
    <w:lvl w:ilvl="4" w:tplc="8E1A17F2">
      <w:numFmt w:val="bullet"/>
      <w:lvlText w:val="•"/>
      <w:lvlJc w:val="left"/>
      <w:pPr>
        <w:ind w:left="2670" w:hanging="217"/>
      </w:pPr>
      <w:rPr>
        <w:rFonts w:hint="default"/>
        <w:lang w:val="en-GB" w:eastAsia="en-GB" w:bidi="en-GB"/>
      </w:rPr>
    </w:lvl>
    <w:lvl w:ilvl="5" w:tplc="2404F40C">
      <w:numFmt w:val="bullet"/>
      <w:lvlText w:val="•"/>
      <w:lvlJc w:val="left"/>
      <w:pPr>
        <w:ind w:left="3263" w:hanging="217"/>
      </w:pPr>
      <w:rPr>
        <w:rFonts w:hint="default"/>
        <w:lang w:val="en-GB" w:eastAsia="en-GB" w:bidi="en-GB"/>
      </w:rPr>
    </w:lvl>
    <w:lvl w:ilvl="6" w:tplc="215E97A4">
      <w:numFmt w:val="bullet"/>
      <w:lvlText w:val="•"/>
      <w:lvlJc w:val="left"/>
      <w:pPr>
        <w:ind w:left="3855" w:hanging="217"/>
      </w:pPr>
      <w:rPr>
        <w:rFonts w:hint="default"/>
        <w:lang w:val="en-GB" w:eastAsia="en-GB" w:bidi="en-GB"/>
      </w:rPr>
    </w:lvl>
    <w:lvl w:ilvl="7" w:tplc="E71EEB46">
      <w:numFmt w:val="bullet"/>
      <w:lvlText w:val="•"/>
      <w:lvlJc w:val="left"/>
      <w:pPr>
        <w:ind w:left="4448" w:hanging="217"/>
      </w:pPr>
      <w:rPr>
        <w:rFonts w:hint="default"/>
        <w:lang w:val="en-GB" w:eastAsia="en-GB" w:bidi="en-GB"/>
      </w:rPr>
    </w:lvl>
    <w:lvl w:ilvl="8" w:tplc="6D141072">
      <w:numFmt w:val="bullet"/>
      <w:lvlText w:val="•"/>
      <w:lvlJc w:val="left"/>
      <w:pPr>
        <w:ind w:left="5040" w:hanging="217"/>
      </w:pPr>
      <w:rPr>
        <w:rFonts w:hint="default"/>
        <w:lang w:val="en-GB" w:eastAsia="en-GB" w:bidi="en-GB"/>
      </w:rPr>
    </w:lvl>
  </w:abstractNum>
  <w:abstractNum w:abstractNumId="548" w15:restartNumberingAfterBreak="0">
    <w:nsid w:val="33D93938"/>
    <w:multiLevelType w:val="hybridMultilevel"/>
    <w:tmpl w:val="AAEEFCEC"/>
    <w:lvl w:ilvl="0" w:tplc="83DACEA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D803A10">
      <w:numFmt w:val="bullet"/>
      <w:lvlText w:val="•"/>
      <w:lvlJc w:val="left"/>
      <w:pPr>
        <w:ind w:left="473" w:hanging="217"/>
      </w:pPr>
      <w:rPr>
        <w:rFonts w:hint="default"/>
        <w:lang w:val="en-GB" w:eastAsia="en-GB" w:bidi="en-GB"/>
      </w:rPr>
    </w:lvl>
    <w:lvl w:ilvl="2" w:tplc="D0500412">
      <w:numFmt w:val="bullet"/>
      <w:lvlText w:val="•"/>
      <w:lvlJc w:val="left"/>
      <w:pPr>
        <w:ind w:left="646" w:hanging="217"/>
      </w:pPr>
      <w:rPr>
        <w:rFonts w:hint="default"/>
        <w:lang w:val="en-GB" w:eastAsia="en-GB" w:bidi="en-GB"/>
      </w:rPr>
    </w:lvl>
    <w:lvl w:ilvl="3" w:tplc="6D8AE9AC">
      <w:numFmt w:val="bullet"/>
      <w:lvlText w:val="•"/>
      <w:lvlJc w:val="left"/>
      <w:pPr>
        <w:ind w:left="819" w:hanging="217"/>
      </w:pPr>
      <w:rPr>
        <w:rFonts w:hint="default"/>
        <w:lang w:val="en-GB" w:eastAsia="en-GB" w:bidi="en-GB"/>
      </w:rPr>
    </w:lvl>
    <w:lvl w:ilvl="4" w:tplc="FF389FBE">
      <w:numFmt w:val="bullet"/>
      <w:lvlText w:val="•"/>
      <w:lvlJc w:val="left"/>
      <w:pPr>
        <w:ind w:left="992" w:hanging="217"/>
      </w:pPr>
      <w:rPr>
        <w:rFonts w:hint="default"/>
        <w:lang w:val="en-GB" w:eastAsia="en-GB" w:bidi="en-GB"/>
      </w:rPr>
    </w:lvl>
    <w:lvl w:ilvl="5" w:tplc="C65A1382">
      <w:numFmt w:val="bullet"/>
      <w:lvlText w:val="•"/>
      <w:lvlJc w:val="left"/>
      <w:pPr>
        <w:ind w:left="1165" w:hanging="217"/>
      </w:pPr>
      <w:rPr>
        <w:rFonts w:hint="default"/>
        <w:lang w:val="en-GB" w:eastAsia="en-GB" w:bidi="en-GB"/>
      </w:rPr>
    </w:lvl>
    <w:lvl w:ilvl="6" w:tplc="D7C09EC6">
      <w:numFmt w:val="bullet"/>
      <w:lvlText w:val="•"/>
      <w:lvlJc w:val="left"/>
      <w:pPr>
        <w:ind w:left="1338" w:hanging="217"/>
      </w:pPr>
      <w:rPr>
        <w:rFonts w:hint="default"/>
        <w:lang w:val="en-GB" w:eastAsia="en-GB" w:bidi="en-GB"/>
      </w:rPr>
    </w:lvl>
    <w:lvl w:ilvl="7" w:tplc="B55C2CE2">
      <w:numFmt w:val="bullet"/>
      <w:lvlText w:val="•"/>
      <w:lvlJc w:val="left"/>
      <w:pPr>
        <w:ind w:left="1511" w:hanging="217"/>
      </w:pPr>
      <w:rPr>
        <w:rFonts w:hint="default"/>
        <w:lang w:val="en-GB" w:eastAsia="en-GB" w:bidi="en-GB"/>
      </w:rPr>
    </w:lvl>
    <w:lvl w:ilvl="8" w:tplc="3DFC54BC">
      <w:numFmt w:val="bullet"/>
      <w:lvlText w:val="•"/>
      <w:lvlJc w:val="left"/>
      <w:pPr>
        <w:ind w:left="1684" w:hanging="217"/>
      </w:pPr>
      <w:rPr>
        <w:rFonts w:hint="default"/>
        <w:lang w:val="en-GB" w:eastAsia="en-GB" w:bidi="en-GB"/>
      </w:rPr>
    </w:lvl>
  </w:abstractNum>
  <w:abstractNum w:abstractNumId="549" w15:restartNumberingAfterBreak="0">
    <w:nsid w:val="33F03CB3"/>
    <w:multiLevelType w:val="hybridMultilevel"/>
    <w:tmpl w:val="E006DA50"/>
    <w:lvl w:ilvl="0" w:tplc="D2E07FF4">
      <w:numFmt w:val="bullet"/>
      <w:lvlText w:val="•"/>
      <w:lvlJc w:val="left"/>
      <w:pPr>
        <w:ind w:left="305" w:hanging="217"/>
      </w:pPr>
      <w:rPr>
        <w:rFonts w:ascii="Arial" w:eastAsia="Arial" w:hAnsi="Arial" w:cs="Arial" w:hint="default"/>
        <w:color w:val="231F20"/>
        <w:w w:val="102"/>
        <w:sz w:val="17"/>
        <w:szCs w:val="17"/>
        <w:lang w:val="en-GB" w:eastAsia="en-GB" w:bidi="en-GB"/>
      </w:rPr>
    </w:lvl>
    <w:lvl w:ilvl="1" w:tplc="5AF266D0">
      <w:numFmt w:val="bullet"/>
      <w:lvlText w:val="•"/>
      <w:lvlJc w:val="left"/>
      <w:pPr>
        <w:ind w:left="892" w:hanging="217"/>
      </w:pPr>
      <w:rPr>
        <w:rFonts w:hint="default"/>
        <w:lang w:val="en-GB" w:eastAsia="en-GB" w:bidi="en-GB"/>
      </w:rPr>
    </w:lvl>
    <w:lvl w:ilvl="2" w:tplc="CF046C32">
      <w:numFmt w:val="bullet"/>
      <w:lvlText w:val="•"/>
      <w:lvlJc w:val="left"/>
      <w:pPr>
        <w:ind w:left="1485" w:hanging="217"/>
      </w:pPr>
      <w:rPr>
        <w:rFonts w:hint="default"/>
        <w:lang w:val="en-GB" w:eastAsia="en-GB" w:bidi="en-GB"/>
      </w:rPr>
    </w:lvl>
    <w:lvl w:ilvl="3" w:tplc="3098A764">
      <w:numFmt w:val="bullet"/>
      <w:lvlText w:val="•"/>
      <w:lvlJc w:val="left"/>
      <w:pPr>
        <w:ind w:left="2077" w:hanging="217"/>
      </w:pPr>
      <w:rPr>
        <w:rFonts w:hint="default"/>
        <w:lang w:val="en-GB" w:eastAsia="en-GB" w:bidi="en-GB"/>
      </w:rPr>
    </w:lvl>
    <w:lvl w:ilvl="4" w:tplc="571AF41C">
      <w:numFmt w:val="bullet"/>
      <w:lvlText w:val="•"/>
      <w:lvlJc w:val="left"/>
      <w:pPr>
        <w:ind w:left="2670" w:hanging="217"/>
      </w:pPr>
      <w:rPr>
        <w:rFonts w:hint="default"/>
        <w:lang w:val="en-GB" w:eastAsia="en-GB" w:bidi="en-GB"/>
      </w:rPr>
    </w:lvl>
    <w:lvl w:ilvl="5" w:tplc="7BA62666">
      <w:numFmt w:val="bullet"/>
      <w:lvlText w:val="•"/>
      <w:lvlJc w:val="left"/>
      <w:pPr>
        <w:ind w:left="3263" w:hanging="217"/>
      </w:pPr>
      <w:rPr>
        <w:rFonts w:hint="default"/>
        <w:lang w:val="en-GB" w:eastAsia="en-GB" w:bidi="en-GB"/>
      </w:rPr>
    </w:lvl>
    <w:lvl w:ilvl="6" w:tplc="61AA0D0E">
      <w:numFmt w:val="bullet"/>
      <w:lvlText w:val="•"/>
      <w:lvlJc w:val="left"/>
      <w:pPr>
        <w:ind w:left="3855" w:hanging="217"/>
      </w:pPr>
      <w:rPr>
        <w:rFonts w:hint="default"/>
        <w:lang w:val="en-GB" w:eastAsia="en-GB" w:bidi="en-GB"/>
      </w:rPr>
    </w:lvl>
    <w:lvl w:ilvl="7" w:tplc="1D5A66C2">
      <w:numFmt w:val="bullet"/>
      <w:lvlText w:val="•"/>
      <w:lvlJc w:val="left"/>
      <w:pPr>
        <w:ind w:left="4448" w:hanging="217"/>
      </w:pPr>
      <w:rPr>
        <w:rFonts w:hint="default"/>
        <w:lang w:val="en-GB" w:eastAsia="en-GB" w:bidi="en-GB"/>
      </w:rPr>
    </w:lvl>
    <w:lvl w:ilvl="8" w:tplc="93F47938">
      <w:numFmt w:val="bullet"/>
      <w:lvlText w:val="•"/>
      <w:lvlJc w:val="left"/>
      <w:pPr>
        <w:ind w:left="5040" w:hanging="217"/>
      </w:pPr>
      <w:rPr>
        <w:rFonts w:hint="default"/>
        <w:lang w:val="en-GB" w:eastAsia="en-GB" w:bidi="en-GB"/>
      </w:rPr>
    </w:lvl>
  </w:abstractNum>
  <w:abstractNum w:abstractNumId="550" w15:restartNumberingAfterBreak="0">
    <w:nsid w:val="340316CF"/>
    <w:multiLevelType w:val="hybridMultilevel"/>
    <w:tmpl w:val="8C10BD56"/>
    <w:lvl w:ilvl="0" w:tplc="19CA9FE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FA8D5A8">
      <w:numFmt w:val="bullet"/>
      <w:lvlText w:val="•"/>
      <w:lvlJc w:val="left"/>
      <w:pPr>
        <w:ind w:left="473" w:hanging="217"/>
      </w:pPr>
      <w:rPr>
        <w:rFonts w:hint="default"/>
        <w:lang w:val="en-GB" w:eastAsia="en-GB" w:bidi="en-GB"/>
      </w:rPr>
    </w:lvl>
    <w:lvl w:ilvl="2" w:tplc="4D8C5FF2">
      <w:numFmt w:val="bullet"/>
      <w:lvlText w:val="•"/>
      <w:lvlJc w:val="left"/>
      <w:pPr>
        <w:ind w:left="646" w:hanging="217"/>
      </w:pPr>
      <w:rPr>
        <w:rFonts w:hint="default"/>
        <w:lang w:val="en-GB" w:eastAsia="en-GB" w:bidi="en-GB"/>
      </w:rPr>
    </w:lvl>
    <w:lvl w:ilvl="3" w:tplc="35EC0AEC">
      <w:numFmt w:val="bullet"/>
      <w:lvlText w:val="•"/>
      <w:lvlJc w:val="left"/>
      <w:pPr>
        <w:ind w:left="819" w:hanging="217"/>
      </w:pPr>
      <w:rPr>
        <w:rFonts w:hint="default"/>
        <w:lang w:val="en-GB" w:eastAsia="en-GB" w:bidi="en-GB"/>
      </w:rPr>
    </w:lvl>
    <w:lvl w:ilvl="4" w:tplc="78ACD178">
      <w:numFmt w:val="bullet"/>
      <w:lvlText w:val="•"/>
      <w:lvlJc w:val="left"/>
      <w:pPr>
        <w:ind w:left="992" w:hanging="217"/>
      </w:pPr>
      <w:rPr>
        <w:rFonts w:hint="default"/>
        <w:lang w:val="en-GB" w:eastAsia="en-GB" w:bidi="en-GB"/>
      </w:rPr>
    </w:lvl>
    <w:lvl w:ilvl="5" w:tplc="A34659AE">
      <w:numFmt w:val="bullet"/>
      <w:lvlText w:val="•"/>
      <w:lvlJc w:val="left"/>
      <w:pPr>
        <w:ind w:left="1165" w:hanging="217"/>
      </w:pPr>
      <w:rPr>
        <w:rFonts w:hint="default"/>
        <w:lang w:val="en-GB" w:eastAsia="en-GB" w:bidi="en-GB"/>
      </w:rPr>
    </w:lvl>
    <w:lvl w:ilvl="6" w:tplc="F2762DAC">
      <w:numFmt w:val="bullet"/>
      <w:lvlText w:val="•"/>
      <w:lvlJc w:val="left"/>
      <w:pPr>
        <w:ind w:left="1338" w:hanging="217"/>
      </w:pPr>
      <w:rPr>
        <w:rFonts w:hint="default"/>
        <w:lang w:val="en-GB" w:eastAsia="en-GB" w:bidi="en-GB"/>
      </w:rPr>
    </w:lvl>
    <w:lvl w:ilvl="7" w:tplc="885CB0D6">
      <w:numFmt w:val="bullet"/>
      <w:lvlText w:val="•"/>
      <w:lvlJc w:val="left"/>
      <w:pPr>
        <w:ind w:left="1511" w:hanging="217"/>
      </w:pPr>
      <w:rPr>
        <w:rFonts w:hint="default"/>
        <w:lang w:val="en-GB" w:eastAsia="en-GB" w:bidi="en-GB"/>
      </w:rPr>
    </w:lvl>
    <w:lvl w:ilvl="8" w:tplc="9570643E">
      <w:numFmt w:val="bullet"/>
      <w:lvlText w:val="•"/>
      <w:lvlJc w:val="left"/>
      <w:pPr>
        <w:ind w:left="1684" w:hanging="217"/>
      </w:pPr>
      <w:rPr>
        <w:rFonts w:hint="default"/>
        <w:lang w:val="en-GB" w:eastAsia="en-GB" w:bidi="en-GB"/>
      </w:rPr>
    </w:lvl>
  </w:abstractNum>
  <w:abstractNum w:abstractNumId="551" w15:restartNumberingAfterBreak="0">
    <w:nsid w:val="34334209"/>
    <w:multiLevelType w:val="hybridMultilevel"/>
    <w:tmpl w:val="1DFA870C"/>
    <w:lvl w:ilvl="0" w:tplc="79F05702">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5F90A328">
      <w:numFmt w:val="bullet"/>
      <w:lvlText w:val="•"/>
      <w:lvlJc w:val="left"/>
      <w:pPr>
        <w:ind w:left="444" w:hanging="217"/>
      </w:pPr>
      <w:rPr>
        <w:rFonts w:hint="default"/>
        <w:lang w:val="en-GB" w:eastAsia="en-GB" w:bidi="en-GB"/>
      </w:rPr>
    </w:lvl>
    <w:lvl w:ilvl="2" w:tplc="A7CE1CD0">
      <w:numFmt w:val="bullet"/>
      <w:lvlText w:val="•"/>
      <w:lvlJc w:val="left"/>
      <w:pPr>
        <w:ind w:left="589" w:hanging="217"/>
      </w:pPr>
      <w:rPr>
        <w:rFonts w:hint="default"/>
        <w:lang w:val="en-GB" w:eastAsia="en-GB" w:bidi="en-GB"/>
      </w:rPr>
    </w:lvl>
    <w:lvl w:ilvl="3" w:tplc="A358E93A">
      <w:numFmt w:val="bullet"/>
      <w:lvlText w:val="•"/>
      <w:lvlJc w:val="left"/>
      <w:pPr>
        <w:ind w:left="734" w:hanging="217"/>
      </w:pPr>
      <w:rPr>
        <w:rFonts w:hint="default"/>
        <w:lang w:val="en-GB" w:eastAsia="en-GB" w:bidi="en-GB"/>
      </w:rPr>
    </w:lvl>
    <w:lvl w:ilvl="4" w:tplc="F69EB1F4">
      <w:numFmt w:val="bullet"/>
      <w:lvlText w:val="•"/>
      <w:lvlJc w:val="left"/>
      <w:pPr>
        <w:ind w:left="878" w:hanging="217"/>
      </w:pPr>
      <w:rPr>
        <w:rFonts w:hint="default"/>
        <w:lang w:val="en-GB" w:eastAsia="en-GB" w:bidi="en-GB"/>
      </w:rPr>
    </w:lvl>
    <w:lvl w:ilvl="5" w:tplc="755022C2">
      <w:numFmt w:val="bullet"/>
      <w:lvlText w:val="•"/>
      <w:lvlJc w:val="left"/>
      <w:pPr>
        <w:ind w:left="1023" w:hanging="217"/>
      </w:pPr>
      <w:rPr>
        <w:rFonts w:hint="default"/>
        <w:lang w:val="en-GB" w:eastAsia="en-GB" w:bidi="en-GB"/>
      </w:rPr>
    </w:lvl>
    <w:lvl w:ilvl="6" w:tplc="D5EEAC6A">
      <w:numFmt w:val="bullet"/>
      <w:lvlText w:val="•"/>
      <w:lvlJc w:val="left"/>
      <w:pPr>
        <w:ind w:left="1168" w:hanging="217"/>
      </w:pPr>
      <w:rPr>
        <w:rFonts w:hint="default"/>
        <w:lang w:val="en-GB" w:eastAsia="en-GB" w:bidi="en-GB"/>
      </w:rPr>
    </w:lvl>
    <w:lvl w:ilvl="7" w:tplc="07104B5E">
      <w:numFmt w:val="bullet"/>
      <w:lvlText w:val="•"/>
      <w:lvlJc w:val="left"/>
      <w:pPr>
        <w:ind w:left="1312" w:hanging="217"/>
      </w:pPr>
      <w:rPr>
        <w:rFonts w:hint="default"/>
        <w:lang w:val="en-GB" w:eastAsia="en-GB" w:bidi="en-GB"/>
      </w:rPr>
    </w:lvl>
    <w:lvl w:ilvl="8" w:tplc="D500EA4E">
      <w:numFmt w:val="bullet"/>
      <w:lvlText w:val="•"/>
      <w:lvlJc w:val="left"/>
      <w:pPr>
        <w:ind w:left="1457" w:hanging="217"/>
      </w:pPr>
      <w:rPr>
        <w:rFonts w:hint="default"/>
        <w:lang w:val="en-GB" w:eastAsia="en-GB" w:bidi="en-GB"/>
      </w:rPr>
    </w:lvl>
  </w:abstractNum>
  <w:abstractNum w:abstractNumId="552" w15:restartNumberingAfterBreak="0">
    <w:nsid w:val="34392BF4"/>
    <w:multiLevelType w:val="hybridMultilevel"/>
    <w:tmpl w:val="DDF0CC06"/>
    <w:lvl w:ilvl="0" w:tplc="AAA29C6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DB0711A">
      <w:numFmt w:val="bullet"/>
      <w:lvlText w:val="•"/>
      <w:lvlJc w:val="left"/>
      <w:pPr>
        <w:ind w:left="439" w:hanging="217"/>
      </w:pPr>
      <w:rPr>
        <w:rFonts w:hint="default"/>
        <w:lang w:val="en-GB" w:eastAsia="en-GB" w:bidi="en-GB"/>
      </w:rPr>
    </w:lvl>
    <w:lvl w:ilvl="2" w:tplc="7924D5DE">
      <w:numFmt w:val="bullet"/>
      <w:lvlText w:val="•"/>
      <w:lvlJc w:val="left"/>
      <w:pPr>
        <w:ind w:left="578" w:hanging="217"/>
      </w:pPr>
      <w:rPr>
        <w:rFonts w:hint="default"/>
        <w:lang w:val="en-GB" w:eastAsia="en-GB" w:bidi="en-GB"/>
      </w:rPr>
    </w:lvl>
    <w:lvl w:ilvl="3" w:tplc="22E65510">
      <w:numFmt w:val="bullet"/>
      <w:lvlText w:val="•"/>
      <w:lvlJc w:val="left"/>
      <w:pPr>
        <w:ind w:left="717" w:hanging="217"/>
      </w:pPr>
      <w:rPr>
        <w:rFonts w:hint="default"/>
        <w:lang w:val="en-GB" w:eastAsia="en-GB" w:bidi="en-GB"/>
      </w:rPr>
    </w:lvl>
    <w:lvl w:ilvl="4" w:tplc="DB74B334">
      <w:numFmt w:val="bullet"/>
      <w:lvlText w:val="•"/>
      <w:lvlJc w:val="left"/>
      <w:pPr>
        <w:ind w:left="856" w:hanging="217"/>
      </w:pPr>
      <w:rPr>
        <w:rFonts w:hint="default"/>
        <w:lang w:val="en-GB" w:eastAsia="en-GB" w:bidi="en-GB"/>
      </w:rPr>
    </w:lvl>
    <w:lvl w:ilvl="5" w:tplc="6D40D026">
      <w:numFmt w:val="bullet"/>
      <w:lvlText w:val="•"/>
      <w:lvlJc w:val="left"/>
      <w:pPr>
        <w:ind w:left="995" w:hanging="217"/>
      </w:pPr>
      <w:rPr>
        <w:rFonts w:hint="default"/>
        <w:lang w:val="en-GB" w:eastAsia="en-GB" w:bidi="en-GB"/>
      </w:rPr>
    </w:lvl>
    <w:lvl w:ilvl="6" w:tplc="E00CBFC8">
      <w:numFmt w:val="bullet"/>
      <w:lvlText w:val="•"/>
      <w:lvlJc w:val="left"/>
      <w:pPr>
        <w:ind w:left="1134" w:hanging="217"/>
      </w:pPr>
      <w:rPr>
        <w:rFonts w:hint="default"/>
        <w:lang w:val="en-GB" w:eastAsia="en-GB" w:bidi="en-GB"/>
      </w:rPr>
    </w:lvl>
    <w:lvl w:ilvl="7" w:tplc="0486C9B8">
      <w:numFmt w:val="bullet"/>
      <w:lvlText w:val="•"/>
      <w:lvlJc w:val="left"/>
      <w:pPr>
        <w:ind w:left="1273" w:hanging="217"/>
      </w:pPr>
      <w:rPr>
        <w:rFonts w:hint="default"/>
        <w:lang w:val="en-GB" w:eastAsia="en-GB" w:bidi="en-GB"/>
      </w:rPr>
    </w:lvl>
    <w:lvl w:ilvl="8" w:tplc="40AE9D84">
      <w:numFmt w:val="bullet"/>
      <w:lvlText w:val="•"/>
      <w:lvlJc w:val="left"/>
      <w:pPr>
        <w:ind w:left="1412" w:hanging="217"/>
      </w:pPr>
      <w:rPr>
        <w:rFonts w:hint="default"/>
        <w:lang w:val="en-GB" w:eastAsia="en-GB" w:bidi="en-GB"/>
      </w:rPr>
    </w:lvl>
  </w:abstractNum>
  <w:abstractNum w:abstractNumId="553" w15:restartNumberingAfterBreak="0">
    <w:nsid w:val="343D35F0"/>
    <w:multiLevelType w:val="hybridMultilevel"/>
    <w:tmpl w:val="000056E4"/>
    <w:lvl w:ilvl="0" w:tplc="CAA4A880">
      <w:numFmt w:val="bullet"/>
      <w:lvlText w:val="•"/>
      <w:lvlJc w:val="left"/>
      <w:pPr>
        <w:ind w:left="307" w:hanging="217"/>
      </w:pPr>
      <w:rPr>
        <w:rFonts w:ascii="Arial" w:eastAsia="Arial" w:hAnsi="Arial" w:cs="Arial" w:hint="default"/>
        <w:color w:val="231F20"/>
        <w:spacing w:val="-4"/>
        <w:w w:val="100"/>
        <w:sz w:val="18"/>
        <w:szCs w:val="18"/>
        <w:lang w:val="en-GB" w:eastAsia="en-GB" w:bidi="en-GB"/>
      </w:rPr>
    </w:lvl>
    <w:lvl w:ilvl="1" w:tplc="E2BCEDCA">
      <w:numFmt w:val="bullet"/>
      <w:lvlText w:val="•"/>
      <w:lvlJc w:val="left"/>
      <w:pPr>
        <w:ind w:left="473" w:hanging="217"/>
      </w:pPr>
      <w:rPr>
        <w:rFonts w:hint="default"/>
        <w:lang w:val="en-GB" w:eastAsia="en-GB" w:bidi="en-GB"/>
      </w:rPr>
    </w:lvl>
    <w:lvl w:ilvl="2" w:tplc="13FA9F5C">
      <w:numFmt w:val="bullet"/>
      <w:lvlText w:val="•"/>
      <w:lvlJc w:val="left"/>
      <w:pPr>
        <w:ind w:left="646" w:hanging="217"/>
      </w:pPr>
      <w:rPr>
        <w:rFonts w:hint="default"/>
        <w:lang w:val="en-GB" w:eastAsia="en-GB" w:bidi="en-GB"/>
      </w:rPr>
    </w:lvl>
    <w:lvl w:ilvl="3" w:tplc="02D4F32E">
      <w:numFmt w:val="bullet"/>
      <w:lvlText w:val="•"/>
      <w:lvlJc w:val="left"/>
      <w:pPr>
        <w:ind w:left="819" w:hanging="217"/>
      </w:pPr>
      <w:rPr>
        <w:rFonts w:hint="default"/>
        <w:lang w:val="en-GB" w:eastAsia="en-GB" w:bidi="en-GB"/>
      </w:rPr>
    </w:lvl>
    <w:lvl w:ilvl="4" w:tplc="E23E1A80">
      <w:numFmt w:val="bullet"/>
      <w:lvlText w:val="•"/>
      <w:lvlJc w:val="left"/>
      <w:pPr>
        <w:ind w:left="993" w:hanging="217"/>
      </w:pPr>
      <w:rPr>
        <w:rFonts w:hint="default"/>
        <w:lang w:val="en-GB" w:eastAsia="en-GB" w:bidi="en-GB"/>
      </w:rPr>
    </w:lvl>
    <w:lvl w:ilvl="5" w:tplc="24CC038C">
      <w:numFmt w:val="bullet"/>
      <w:lvlText w:val="•"/>
      <w:lvlJc w:val="left"/>
      <w:pPr>
        <w:ind w:left="1166" w:hanging="217"/>
      </w:pPr>
      <w:rPr>
        <w:rFonts w:hint="default"/>
        <w:lang w:val="en-GB" w:eastAsia="en-GB" w:bidi="en-GB"/>
      </w:rPr>
    </w:lvl>
    <w:lvl w:ilvl="6" w:tplc="6D9C9002">
      <w:numFmt w:val="bullet"/>
      <w:lvlText w:val="•"/>
      <w:lvlJc w:val="left"/>
      <w:pPr>
        <w:ind w:left="1339" w:hanging="217"/>
      </w:pPr>
      <w:rPr>
        <w:rFonts w:hint="default"/>
        <w:lang w:val="en-GB" w:eastAsia="en-GB" w:bidi="en-GB"/>
      </w:rPr>
    </w:lvl>
    <w:lvl w:ilvl="7" w:tplc="161233B8">
      <w:numFmt w:val="bullet"/>
      <w:lvlText w:val="•"/>
      <w:lvlJc w:val="left"/>
      <w:pPr>
        <w:ind w:left="1513" w:hanging="217"/>
      </w:pPr>
      <w:rPr>
        <w:rFonts w:hint="default"/>
        <w:lang w:val="en-GB" w:eastAsia="en-GB" w:bidi="en-GB"/>
      </w:rPr>
    </w:lvl>
    <w:lvl w:ilvl="8" w:tplc="7EE82AC2">
      <w:numFmt w:val="bullet"/>
      <w:lvlText w:val="•"/>
      <w:lvlJc w:val="left"/>
      <w:pPr>
        <w:ind w:left="1686" w:hanging="217"/>
      </w:pPr>
      <w:rPr>
        <w:rFonts w:hint="default"/>
        <w:lang w:val="en-GB" w:eastAsia="en-GB" w:bidi="en-GB"/>
      </w:rPr>
    </w:lvl>
  </w:abstractNum>
  <w:abstractNum w:abstractNumId="554" w15:restartNumberingAfterBreak="0">
    <w:nsid w:val="34A60033"/>
    <w:multiLevelType w:val="hybridMultilevel"/>
    <w:tmpl w:val="89DC3C2A"/>
    <w:lvl w:ilvl="0" w:tplc="85465C38">
      <w:numFmt w:val="bullet"/>
      <w:lvlText w:val="•"/>
      <w:lvlJc w:val="left"/>
      <w:pPr>
        <w:ind w:left="305" w:hanging="217"/>
      </w:pPr>
      <w:rPr>
        <w:rFonts w:ascii="Arial" w:eastAsia="Arial" w:hAnsi="Arial" w:cs="Arial" w:hint="default"/>
        <w:color w:val="231F20"/>
        <w:w w:val="100"/>
        <w:sz w:val="18"/>
        <w:szCs w:val="18"/>
        <w:lang w:val="en-GB" w:eastAsia="en-GB" w:bidi="en-GB"/>
      </w:rPr>
    </w:lvl>
    <w:lvl w:ilvl="1" w:tplc="451A7034">
      <w:numFmt w:val="bullet"/>
      <w:lvlText w:val="•"/>
      <w:lvlJc w:val="left"/>
      <w:pPr>
        <w:ind w:left="444" w:hanging="217"/>
      </w:pPr>
      <w:rPr>
        <w:rFonts w:hint="default"/>
        <w:lang w:val="en-GB" w:eastAsia="en-GB" w:bidi="en-GB"/>
      </w:rPr>
    </w:lvl>
    <w:lvl w:ilvl="2" w:tplc="D61225EE">
      <w:numFmt w:val="bullet"/>
      <w:lvlText w:val="•"/>
      <w:lvlJc w:val="left"/>
      <w:pPr>
        <w:ind w:left="589" w:hanging="217"/>
      </w:pPr>
      <w:rPr>
        <w:rFonts w:hint="default"/>
        <w:lang w:val="en-GB" w:eastAsia="en-GB" w:bidi="en-GB"/>
      </w:rPr>
    </w:lvl>
    <w:lvl w:ilvl="3" w:tplc="8EFAA9B4">
      <w:numFmt w:val="bullet"/>
      <w:lvlText w:val="•"/>
      <w:lvlJc w:val="left"/>
      <w:pPr>
        <w:ind w:left="734" w:hanging="217"/>
      </w:pPr>
      <w:rPr>
        <w:rFonts w:hint="default"/>
        <w:lang w:val="en-GB" w:eastAsia="en-GB" w:bidi="en-GB"/>
      </w:rPr>
    </w:lvl>
    <w:lvl w:ilvl="4" w:tplc="07AE0A30">
      <w:numFmt w:val="bullet"/>
      <w:lvlText w:val="•"/>
      <w:lvlJc w:val="left"/>
      <w:pPr>
        <w:ind w:left="878" w:hanging="217"/>
      </w:pPr>
      <w:rPr>
        <w:rFonts w:hint="default"/>
        <w:lang w:val="en-GB" w:eastAsia="en-GB" w:bidi="en-GB"/>
      </w:rPr>
    </w:lvl>
    <w:lvl w:ilvl="5" w:tplc="228C9B30">
      <w:numFmt w:val="bullet"/>
      <w:lvlText w:val="•"/>
      <w:lvlJc w:val="left"/>
      <w:pPr>
        <w:ind w:left="1023" w:hanging="217"/>
      </w:pPr>
      <w:rPr>
        <w:rFonts w:hint="default"/>
        <w:lang w:val="en-GB" w:eastAsia="en-GB" w:bidi="en-GB"/>
      </w:rPr>
    </w:lvl>
    <w:lvl w:ilvl="6" w:tplc="09EA9CFC">
      <w:numFmt w:val="bullet"/>
      <w:lvlText w:val="•"/>
      <w:lvlJc w:val="left"/>
      <w:pPr>
        <w:ind w:left="1168" w:hanging="217"/>
      </w:pPr>
      <w:rPr>
        <w:rFonts w:hint="default"/>
        <w:lang w:val="en-GB" w:eastAsia="en-GB" w:bidi="en-GB"/>
      </w:rPr>
    </w:lvl>
    <w:lvl w:ilvl="7" w:tplc="EB8CDDDC">
      <w:numFmt w:val="bullet"/>
      <w:lvlText w:val="•"/>
      <w:lvlJc w:val="left"/>
      <w:pPr>
        <w:ind w:left="1312" w:hanging="217"/>
      </w:pPr>
      <w:rPr>
        <w:rFonts w:hint="default"/>
        <w:lang w:val="en-GB" w:eastAsia="en-GB" w:bidi="en-GB"/>
      </w:rPr>
    </w:lvl>
    <w:lvl w:ilvl="8" w:tplc="F416AE46">
      <w:numFmt w:val="bullet"/>
      <w:lvlText w:val="•"/>
      <w:lvlJc w:val="left"/>
      <w:pPr>
        <w:ind w:left="1457" w:hanging="217"/>
      </w:pPr>
      <w:rPr>
        <w:rFonts w:hint="default"/>
        <w:lang w:val="en-GB" w:eastAsia="en-GB" w:bidi="en-GB"/>
      </w:rPr>
    </w:lvl>
  </w:abstractNum>
  <w:abstractNum w:abstractNumId="555" w15:restartNumberingAfterBreak="0">
    <w:nsid w:val="34A67509"/>
    <w:multiLevelType w:val="hybridMultilevel"/>
    <w:tmpl w:val="74F0AF78"/>
    <w:lvl w:ilvl="0" w:tplc="3BA8FD56">
      <w:numFmt w:val="bullet"/>
      <w:lvlText w:val="•"/>
      <w:lvlJc w:val="left"/>
      <w:pPr>
        <w:ind w:left="299" w:hanging="217"/>
      </w:pPr>
      <w:rPr>
        <w:rFonts w:ascii="Arial" w:eastAsia="Arial" w:hAnsi="Arial" w:cs="Arial" w:hint="default"/>
        <w:color w:val="231F20"/>
        <w:spacing w:val="-10"/>
        <w:w w:val="100"/>
        <w:sz w:val="18"/>
        <w:szCs w:val="18"/>
        <w:lang w:val="en-GB" w:eastAsia="en-GB" w:bidi="en-GB"/>
      </w:rPr>
    </w:lvl>
    <w:lvl w:ilvl="1" w:tplc="51C41B04">
      <w:numFmt w:val="bullet"/>
      <w:lvlText w:val="•"/>
      <w:lvlJc w:val="left"/>
      <w:pPr>
        <w:ind w:left="473" w:hanging="217"/>
      </w:pPr>
      <w:rPr>
        <w:rFonts w:hint="default"/>
        <w:lang w:val="en-GB" w:eastAsia="en-GB" w:bidi="en-GB"/>
      </w:rPr>
    </w:lvl>
    <w:lvl w:ilvl="2" w:tplc="C21C5490">
      <w:numFmt w:val="bullet"/>
      <w:lvlText w:val="•"/>
      <w:lvlJc w:val="left"/>
      <w:pPr>
        <w:ind w:left="646" w:hanging="217"/>
      </w:pPr>
      <w:rPr>
        <w:rFonts w:hint="default"/>
        <w:lang w:val="en-GB" w:eastAsia="en-GB" w:bidi="en-GB"/>
      </w:rPr>
    </w:lvl>
    <w:lvl w:ilvl="3" w:tplc="81365B68">
      <w:numFmt w:val="bullet"/>
      <w:lvlText w:val="•"/>
      <w:lvlJc w:val="left"/>
      <w:pPr>
        <w:ind w:left="819" w:hanging="217"/>
      </w:pPr>
      <w:rPr>
        <w:rFonts w:hint="default"/>
        <w:lang w:val="en-GB" w:eastAsia="en-GB" w:bidi="en-GB"/>
      </w:rPr>
    </w:lvl>
    <w:lvl w:ilvl="4" w:tplc="FF02B760">
      <w:numFmt w:val="bullet"/>
      <w:lvlText w:val="•"/>
      <w:lvlJc w:val="left"/>
      <w:pPr>
        <w:ind w:left="992" w:hanging="217"/>
      </w:pPr>
      <w:rPr>
        <w:rFonts w:hint="default"/>
        <w:lang w:val="en-GB" w:eastAsia="en-GB" w:bidi="en-GB"/>
      </w:rPr>
    </w:lvl>
    <w:lvl w:ilvl="5" w:tplc="841479CE">
      <w:numFmt w:val="bullet"/>
      <w:lvlText w:val="•"/>
      <w:lvlJc w:val="left"/>
      <w:pPr>
        <w:ind w:left="1165" w:hanging="217"/>
      </w:pPr>
      <w:rPr>
        <w:rFonts w:hint="default"/>
        <w:lang w:val="en-GB" w:eastAsia="en-GB" w:bidi="en-GB"/>
      </w:rPr>
    </w:lvl>
    <w:lvl w:ilvl="6" w:tplc="69903B46">
      <w:numFmt w:val="bullet"/>
      <w:lvlText w:val="•"/>
      <w:lvlJc w:val="left"/>
      <w:pPr>
        <w:ind w:left="1338" w:hanging="217"/>
      </w:pPr>
      <w:rPr>
        <w:rFonts w:hint="default"/>
        <w:lang w:val="en-GB" w:eastAsia="en-GB" w:bidi="en-GB"/>
      </w:rPr>
    </w:lvl>
    <w:lvl w:ilvl="7" w:tplc="80665C1C">
      <w:numFmt w:val="bullet"/>
      <w:lvlText w:val="•"/>
      <w:lvlJc w:val="left"/>
      <w:pPr>
        <w:ind w:left="1511" w:hanging="217"/>
      </w:pPr>
      <w:rPr>
        <w:rFonts w:hint="default"/>
        <w:lang w:val="en-GB" w:eastAsia="en-GB" w:bidi="en-GB"/>
      </w:rPr>
    </w:lvl>
    <w:lvl w:ilvl="8" w:tplc="1C3CAAD4">
      <w:numFmt w:val="bullet"/>
      <w:lvlText w:val="•"/>
      <w:lvlJc w:val="left"/>
      <w:pPr>
        <w:ind w:left="1684" w:hanging="217"/>
      </w:pPr>
      <w:rPr>
        <w:rFonts w:hint="default"/>
        <w:lang w:val="en-GB" w:eastAsia="en-GB" w:bidi="en-GB"/>
      </w:rPr>
    </w:lvl>
  </w:abstractNum>
  <w:abstractNum w:abstractNumId="556" w15:restartNumberingAfterBreak="0">
    <w:nsid w:val="34B37D8A"/>
    <w:multiLevelType w:val="hybridMultilevel"/>
    <w:tmpl w:val="DB469052"/>
    <w:lvl w:ilvl="0" w:tplc="36ACC5F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6364358">
      <w:numFmt w:val="bullet"/>
      <w:lvlText w:val="•"/>
      <w:lvlJc w:val="left"/>
      <w:pPr>
        <w:ind w:left="524" w:hanging="217"/>
      </w:pPr>
      <w:rPr>
        <w:rFonts w:hint="default"/>
        <w:lang w:val="en-GB" w:eastAsia="en-GB" w:bidi="en-GB"/>
      </w:rPr>
    </w:lvl>
    <w:lvl w:ilvl="2" w:tplc="EC64615E">
      <w:numFmt w:val="bullet"/>
      <w:lvlText w:val="•"/>
      <w:lvlJc w:val="left"/>
      <w:pPr>
        <w:ind w:left="748" w:hanging="217"/>
      </w:pPr>
      <w:rPr>
        <w:rFonts w:hint="default"/>
        <w:lang w:val="en-GB" w:eastAsia="en-GB" w:bidi="en-GB"/>
      </w:rPr>
    </w:lvl>
    <w:lvl w:ilvl="3" w:tplc="BCEC3E6C">
      <w:numFmt w:val="bullet"/>
      <w:lvlText w:val="•"/>
      <w:lvlJc w:val="left"/>
      <w:pPr>
        <w:ind w:left="972" w:hanging="217"/>
      </w:pPr>
      <w:rPr>
        <w:rFonts w:hint="default"/>
        <w:lang w:val="en-GB" w:eastAsia="en-GB" w:bidi="en-GB"/>
      </w:rPr>
    </w:lvl>
    <w:lvl w:ilvl="4" w:tplc="FEAA7690">
      <w:numFmt w:val="bullet"/>
      <w:lvlText w:val="•"/>
      <w:lvlJc w:val="left"/>
      <w:pPr>
        <w:ind w:left="1196" w:hanging="217"/>
      </w:pPr>
      <w:rPr>
        <w:rFonts w:hint="default"/>
        <w:lang w:val="en-GB" w:eastAsia="en-GB" w:bidi="en-GB"/>
      </w:rPr>
    </w:lvl>
    <w:lvl w:ilvl="5" w:tplc="EA041B9A">
      <w:numFmt w:val="bullet"/>
      <w:lvlText w:val="•"/>
      <w:lvlJc w:val="left"/>
      <w:pPr>
        <w:ind w:left="1420" w:hanging="217"/>
      </w:pPr>
      <w:rPr>
        <w:rFonts w:hint="default"/>
        <w:lang w:val="en-GB" w:eastAsia="en-GB" w:bidi="en-GB"/>
      </w:rPr>
    </w:lvl>
    <w:lvl w:ilvl="6" w:tplc="53B004D2">
      <w:numFmt w:val="bullet"/>
      <w:lvlText w:val="•"/>
      <w:lvlJc w:val="left"/>
      <w:pPr>
        <w:ind w:left="1644" w:hanging="217"/>
      </w:pPr>
      <w:rPr>
        <w:rFonts w:hint="default"/>
        <w:lang w:val="en-GB" w:eastAsia="en-GB" w:bidi="en-GB"/>
      </w:rPr>
    </w:lvl>
    <w:lvl w:ilvl="7" w:tplc="2FFC585E">
      <w:numFmt w:val="bullet"/>
      <w:lvlText w:val="•"/>
      <w:lvlJc w:val="left"/>
      <w:pPr>
        <w:ind w:left="1868" w:hanging="217"/>
      </w:pPr>
      <w:rPr>
        <w:rFonts w:hint="default"/>
        <w:lang w:val="en-GB" w:eastAsia="en-GB" w:bidi="en-GB"/>
      </w:rPr>
    </w:lvl>
    <w:lvl w:ilvl="8" w:tplc="8B6AC7F4">
      <w:numFmt w:val="bullet"/>
      <w:lvlText w:val="•"/>
      <w:lvlJc w:val="left"/>
      <w:pPr>
        <w:ind w:left="2092" w:hanging="217"/>
      </w:pPr>
      <w:rPr>
        <w:rFonts w:hint="default"/>
        <w:lang w:val="en-GB" w:eastAsia="en-GB" w:bidi="en-GB"/>
      </w:rPr>
    </w:lvl>
  </w:abstractNum>
  <w:abstractNum w:abstractNumId="557" w15:restartNumberingAfterBreak="0">
    <w:nsid w:val="34EF790E"/>
    <w:multiLevelType w:val="hybridMultilevel"/>
    <w:tmpl w:val="9D06545C"/>
    <w:lvl w:ilvl="0" w:tplc="A86A552C">
      <w:numFmt w:val="bullet"/>
      <w:lvlText w:val="•"/>
      <w:lvlJc w:val="left"/>
      <w:pPr>
        <w:ind w:left="3514" w:hanging="217"/>
      </w:pPr>
      <w:rPr>
        <w:rFonts w:ascii="Arial" w:eastAsia="Arial" w:hAnsi="Arial" w:cs="Arial" w:hint="default"/>
        <w:color w:val="231F20"/>
        <w:spacing w:val="-1"/>
        <w:w w:val="100"/>
        <w:sz w:val="18"/>
        <w:szCs w:val="18"/>
        <w:lang w:val="en-GB" w:eastAsia="en-GB" w:bidi="en-GB"/>
      </w:rPr>
    </w:lvl>
    <w:lvl w:ilvl="1" w:tplc="E15E7B30">
      <w:numFmt w:val="bullet"/>
      <w:lvlText w:val="•"/>
      <w:lvlJc w:val="left"/>
      <w:pPr>
        <w:ind w:left="3983" w:hanging="217"/>
      </w:pPr>
      <w:rPr>
        <w:rFonts w:hint="default"/>
        <w:lang w:val="en-GB" w:eastAsia="en-GB" w:bidi="en-GB"/>
      </w:rPr>
    </w:lvl>
    <w:lvl w:ilvl="2" w:tplc="49DAA324">
      <w:numFmt w:val="bullet"/>
      <w:lvlText w:val="•"/>
      <w:lvlJc w:val="left"/>
      <w:pPr>
        <w:ind w:left="4446" w:hanging="217"/>
      </w:pPr>
      <w:rPr>
        <w:rFonts w:hint="default"/>
        <w:lang w:val="en-GB" w:eastAsia="en-GB" w:bidi="en-GB"/>
      </w:rPr>
    </w:lvl>
    <w:lvl w:ilvl="3" w:tplc="0492C8B8">
      <w:numFmt w:val="bullet"/>
      <w:lvlText w:val="•"/>
      <w:lvlJc w:val="left"/>
      <w:pPr>
        <w:ind w:left="4909" w:hanging="217"/>
      </w:pPr>
      <w:rPr>
        <w:rFonts w:hint="default"/>
        <w:lang w:val="en-GB" w:eastAsia="en-GB" w:bidi="en-GB"/>
      </w:rPr>
    </w:lvl>
    <w:lvl w:ilvl="4" w:tplc="C216782C">
      <w:numFmt w:val="bullet"/>
      <w:lvlText w:val="•"/>
      <w:lvlJc w:val="left"/>
      <w:pPr>
        <w:ind w:left="5373" w:hanging="217"/>
      </w:pPr>
      <w:rPr>
        <w:rFonts w:hint="default"/>
        <w:lang w:val="en-GB" w:eastAsia="en-GB" w:bidi="en-GB"/>
      </w:rPr>
    </w:lvl>
    <w:lvl w:ilvl="5" w:tplc="B0D0ABBC">
      <w:numFmt w:val="bullet"/>
      <w:lvlText w:val="•"/>
      <w:lvlJc w:val="left"/>
      <w:pPr>
        <w:ind w:left="5836" w:hanging="217"/>
      </w:pPr>
      <w:rPr>
        <w:rFonts w:hint="default"/>
        <w:lang w:val="en-GB" w:eastAsia="en-GB" w:bidi="en-GB"/>
      </w:rPr>
    </w:lvl>
    <w:lvl w:ilvl="6" w:tplc="F9909860">
      <w:numFmt w:val="bullet"/>
      <w:lvlText w:val="•"/>
      <w:lvlJc w:val="left"/>
      <w:pPr>
        <w:ind w:left="6299" w:hanging="217"/>
      </w:pPr>
      <w:rPr>
        <w:rFonts w:hint="default"/>
        <w:lang w:val="en-GB" w:eastAsia="en-GB" w:bidi="en-GB"/>
      </w:rPr>
    </w:lvl>
    <w:lvl w:ilvl="7" w:tplc="1A0E128C">
      <w:numFmt w:val="bullet"/>
      <w:lvlText w:val="•"/>
      <w:lvlJc w:val="left"/>
      <w:pPr>
        <w:ind w:left="6763" w:hanging="217"/>
      </w:pPr>
      <w:rPr>
        <w:rFonts w:hint="default"/>
        <w:lang w:val="en-GB" w:eastAsia="en-GB" w:bidi="en-GB"/>
      </w:rPr>
    </w:lvl>
    <w:lvl w:ilvl="8" w:tplc="D3B0BCDE">
      <w:numFmt w:val="bullet"/>
      <w:lvlText w:val="•"/>
      <w:lvlJc w:val="left"/>
      <w:pPr>
        <w:ind w:left="7226" w:hanging="217"/>
      </w:pPr>
      <w:rPr>
        <w:rFonts w:hint="default"/>
        <w:lang w:val="en-GB" w:eastAsia="en-GB" w:bidi="en-GB"/>
      </w:rPr>
    </w:lvl>
  </w:abstractNum>
  <w:abstractNum w:abstractNumId="558" w15:restartNumberingAfterBreak="0">
    <w:nsid w:val="34F0068D"/>
    <w:multiLevelType w:val="hybridMultilevel"/>
    <w:tmpl w:val="EC948E64"/>
    <w:lvl w:ilvl="0" w:tplc="25A2266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7D0D3F6">
      <w:numFmt w:val="bullet"/>
      <w:lvlText w:val="•"/>
      <w:lvlJc w:val="left"/>
      <w:pPr>
        <w:ind w:left="473" w:hanging="217"/>
      </w:pPr>
      <w:rPr>
        <w:rFonts w:hint="default"/>
        <w:lang w:val="en-GB" w:eastAsia="en-GB" w:bidi="en-GB"/>
      </w:rPr>
    </w:lvl>
    <w:lvl w:ilvl="2" w:tplc="3522C00E">
      <w:numFmt w:val="bullet"/>
      <w:lvlText w:val="•"/>
      <w:lvlJc w:val="left"/>
      <w:pPr>
        <w:ind w:left="646" w:hanging="217"/>
      </w:pPr>
      <w:rPr>
        <w:rFonts w:hint="default"/>
        <w:lang w:val="en-GB" w:eastAsia="en-GB" w:bidi="en-GB"/>
      </w:rPr>
    </w:lvl>
    <w:lvl w:ilvl="3" w:tplc="68B6A87C">
      <w:numFmt w:val="bullet"/>
      <w:lvlText w:val="•"/>
      <w:lvlJc w:val="left"/>
      <w:pPr>
        <w:ind w:left="819" w:hanging="217"/>
      </w:pPr>
      <w:rPr>
        <w:rFonts w:hint="default"/>
        <w:lang w:val="en-GB" w:eastAsia="en-GB" w:bidi="en-GB"/>
      </w:rPr>
    </w:lvl>
    <w:lvl w:ilvl="4" w:tplc="409E51A2">
      <w:numFmt w:val="bullet"/>
      <w:lvlText w:val="•"/>
      <w:lvlJc w:val="left"/>
      <w:pPr>
        <w:ind w:left="992" w:hanging="217"/>
      </w:pPr>
      <w:rPr>
        <w:rFonts w:hint="default"/>
        <w:lang w:val="en-GB" w:eastAsia="en-GB" w:bidi="en-GB"/>
      </w:rPr>
    </w:lvl>
    <w:lvl w:ilvl="5" w:tplc="3132B1D0">
      <w:numFmt w:val="bullet"/>
      <w:lvlText w:val="•"/>
      <w:lvlJc w:val="left"/>
      <w:pPr>
        <w:ind w:left="1165" w:hanging="217"/>
      </w:pPr>
      <w:rPr>
        <w:rFonts w:hint="default"/>
        <w:lang w:val="en-GB" w:eastAsia="en-GB" w:bidi="en-GB"/>
      </w:rPr>
    </w:lvl>
    <w:lvl w:ilvl="6" w:tplc="F5320710">
      <w:numFmt w:val="bullet"/>
      <w:lvlText w:val="•"/>
      <w:lvlJc w:val="left"/>
      <w:pPr>
        <w:ind w:left="1338" w:hanging="217"/>
      </w:pPr>
      <w:rPr>
        <w:rFonts w:hint="default"/>
        <w:lang w:val="en-GB" w:eastAsia="en-GB" w:bidi="en-GB"/>
      </w:rPr>
    </w:lvl>
    <w:lvl w:ilvl="7" w:tplc="72A2293E">
      <w:numFmt w:val="bullet"/>
      <w:lvlText w:val="•"/>
      <w:lvlJc w:val="left"/>
      <w:pPr>
        <w:ind w:left="1511" w:hanging="217"/>
      </w:pPr>
      <w:rPr>
        <w:rFonts w:hint="default"/>
        <w:lang w:val="en-GB" w:eastAsia="en-GB" w:bidi="en-GB"/>
      </w:rPr>
    </w:lvl>
    <w:lvl w:ilvl="8" w:tplc="A114F20C">
      <w:numFmt w:val="bullet"/>
      <w:lvlText w:val="•"/>
      <w:lvlJc w:val="left"/>
      <w:pPr>
        <w:ind w:left="1684" w:hanging="217"/>
      </w:pPr>
      <w:rPr>
        <w:rFonts w:hint="default"/>
        <w:lang w:val="en-GB" w:eastAsia="en-GB" w:bidi="en-GB"/>
      </w:rPr>
    </w:lvl>
  </w:abstractNum>
  <w:abstractNum w:abstractNumId="559" w15:restartNumberingAfterBreak="0">
    <w:nsid w:val="34F85A3A"/>
    <w:multiLevelType w:val="hybridMultilevel"/>
    <w:tmpl w:val="49688082"/>
    <w:lvl w:ilvl="0" w:tplc="75468476">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05BC4C28">
      <w:numFmt w:val="bullet"/>
      <w:lvlText w:val="•"/>
      <w:lvlJc w:val="left"/>
      <w:pPr>
        <w:ind w:left="1056" w:hanging="217"/>
      </w:pPr>
      <w:rPr>
        <w:rFonts w:hint="default"/>
        <w:lang w:val="en-GB" w:eastAsia="en-GB" w:bidi="en-GB"/>
      </w:rPr>
    </w:lvl>
    <w:lvl w:ilvl="2" w:tplc="FEDE0EE4">
      <w:numFmt w:val="bullet"/>
      <w:lvlText w:val="•"/>
      <w:lvlJc w:val="left"/>
      <w:pPr>
        <w:ind w:left="1812" w:hanging="217"/>
      </w:pPr>
      <w:rPr>
        <w:rFonts w:hint="default"/>
        <w:lang w:val="en-GB" w:eastAsia="en-GB" w:bidi="en-GB"/>
      </w:rPr>
    </w:lvl>
    <w:lvl w:ilvl="3" w:tplc="B0D0BD82">
      <w:numFmt w:val="bullet"/>
      <w:lvlText w:val="•"/>
      <w:lvlJc w:val="left"/>
      <w:pPr>
        <w:ind w:left="2568" w:hanging="217"/>
      </w:pPr>
      <w:rPr>
        <w:rFonts w:hint="default"/>
        <w:lang w:val="en-GB" w:eastAsia="en-GB" w:bidi="en-GB"/>
      </w:rPr>
    </w:lvl>
    <w:lvl w:ilvl="4" w:tplc="BD18E16E">
      <w:numFmt w:val="bullet"/>
      <w:lvlText w:val="•"/>
      <w:lvlJc w:val="left"/>
      <w:pPr>
        <w:ind w:left="3324" w:hanging="217"/>
      </w:pPr>
      <w:rPr>
        <w:rFonts w:hint="default"/>
        <w:lang w:val="en-GB" w:eastAsia="en-GB" w:bidi="en-GB"/>
      </w:rPr>
    </w:lvl>
    <w:lvl w:ilvl="5" w:tplc="B844A552">
      <w:numFmt w:val="bullet"/>
      <w:lvlText w:val="•"/>
      <w:lvlJc w:val="left"/>
      <w:pPr>
        <w:ind w:left="4080" w:hanging="217"/>
      </w:pPr>
      <w:rPr>
        <w:rFonts w:hint="default"/>
        <w:lang w:val="en-GB" w:eastAsia="en-GB" w:bidi="en-GB"/>
      </w:rPr>
    </w:lvl>
    <w:lvl w:ilvl="6" w:tplc="CF50B134">
      <w:numFmt w:val="bullet"/>
      <w:lvlText w:val="•"/>
      <w:lvlJc w:val="left"/>
      <w:pPr>
        <w:ind w:left="4836" w:hanging="217"/>
      </w:pPr>
      <w:rPr>
        <w:rFonts w:hint="default"/>
        <w:lang w:val="en-GB" w:eastAsia="en-GB" w:bidi="en-GB"/>
      </w:rPr>
    </w:lvl>
    <w:lvl w:ilvl="7" w:tplc="A7C6E5DE">
      <w:numFmt w:val="bullet"/>
      <w:lvlText w:val="•"/>
      <w:lvlJc w:val="left"/>
      <w:pPr>
        <w:ind w:left="5592" w:hanging="217"/>
      </w:pPr>
      <w:rPr>
        <w:rFonts w:hint="default"/>
        <w:lang w:val="en-GB" w:eastAsia="en-GB" w:bidi="en-GB"/>
      </w:rPr>
    </w:lvl>
    <w:lvl w:ilvl="8" w:tplc="39C47A48">
      <w:numFmt w:val="bullet"/>
      <w:lvlText w:val="•"/>
      <w:lvlJc w:val="left"/>
      <w:pPr>
        <w:ind w:left="6348" w:hanging="217"/>
      </w:pPr>
      <w:rPr>
        <w:rFonts w:hint="default"/>
        <w:lang w:val="en-GB" w:eastAsia="en-GB" w:bidi="en-GB"/>
      </w:rPr>
    </w:lvl>
  </w:abstractNum>
  <w:abstractNum w:abstractNumId="560" w15:restartNumberingAfterBreak="0">
    <w:nsid w:val="354A1E0C"/>
    <w:multiLevelType w:val="hybridMultilevel"/>
    <w:tmpl w:val="D12C0DEE"/>
    <w:lvl w:ilvl="0" w:tplc="A322E0FC">
      <w:numFmt w:val="bullet"/>
      <w:lvlText w:val="•"/>
      <w:lvlJc w:val="left"/>
      <w:pPr>
        <w:ind w:left="305" w:hanging="217"/>
      </w:pPr>
      <w:rPr>
        <w:rFonts w:ascii="Arial" w:eastAsia="Arial" w:hAnsi="Arial" w:cs="Arial" w:hint="default"/>
        <w:color w:val="231F20"/>
        <w:w w:val="102"/>
        <w:sz w:val="17"/>
        <w:szCs w:val="17"/>
        <w:lang w:val="en-GB" w:eastAsia="en-GB" w:bidi="en-GB"/>
      </w:rPr>
    </w:lvl>
    <w:lvl w:ilvl="1" w:tplc="ACD85BC4">
      <w:numFmt w:val="bullet"/>
      <w:lvlText w:val="•"/>
      <w:lvlJc w:val="left"/>
      <w:pPr>
        <w:ind w:left="892" w:hanging="217"/>
      </w:pPr>
      <w:rPr>
        <w:rFonts w:hint="default"/>
        <w:lang w:val="en-GB" w:eastAsia="en-GB" w:bidi="en-GB"/>
      </w:rPr>
    </w:lvl>
    <w:lvl w:ilvl="2" w:tplc="C4BACA70">
      <w:numFmt w:val="bullet"/>
      <w:lvlText w:val="•"/>
      <w:lvlJc w:val="left"/>
      <w:pPr>
        <w:ind w:left="1485" w:hanging="217"/>
      </w:pPr>
      <w:rPr>
        <w:rFonts w:hint="default"/>
        <w:lang w:val="en-GB" w:eastAsia="en-GB" w:bidi="en-GB"/>
      </w:rPr>
    </w:lvl>
    <w:lvl w:ilvl="3" w:tplc="AA7AA802">
      <w:numFmt w:val="bullet"/>
      <w:lvlText w:val="•"/>
      <w:lvlJc w:val="left"/>
      <w:pPr>
        <w:ind w:left="2077" w:hanging="217"/>
      </w:pPr>
      <w:rPr>
        <w:rFonts w:hint="default"/>
        <w:lang w:val="en-GB" w:eastAsia="en-GB" w:bidi="en-GB"/>
      </w:rPr>
    </w:lvl>
    <w:lvl w:ilvl="4" w:tplc="03402BD8">
      <w:numFmt w:val="bullet"/>
      <w:lvlText w:val="•"/>
      <w:lvlJc w:val="left"/>
      <w:pPr>
        <w:ind w:left="2670" w:hanging="217"/>
      </w:pPr>
      <w:rPr>
        <w:rFonts w:hint="default"/>
        <w:lang w:val="en-GB" w:eastAsia="en-GB" w:bidi="en-GB"/>
      </w:rPr>
    </w:lvl>
    <w:lvl w:ilvl="5" w:tplc="8ADA41EA">
      <w:numFmt w:val="bullet"/>
      <w:lvlText w:val="•"/>
      <w:lvlJc w:val="left"/>
      <w:pPr>
        <w:ind w:left="3263" w:hanging="217"/>
      </w:pPr>
      <w:rPr>
        <w:rFonts w:hint="default"/>
        <w:lang w:val="en-GB" w:eastAsia="en-GB" w:bidi="en-GB"/>
      </w:rPr>
    </w:lvl>
    <w:lvl w:ilvl="6" w:tplc="21D40648">
      <w:numFmt w:val="bullet"/>
      <w:lvlText w:val="•"/>
      <w:lvlJc w:val="left"/>
      <w:pPr>
        <w:ind w:left="3855" w:hanging="217"/>
      </w:pPr>
      <w:rPr>
        <w:rFonts w:hint="default"/>
        <w:lang w:val="en-GB" w:eastAsia="en-GB" w:bidi="en-GB"/>
      </w:rPr>
    </w:lvl>
    <w:lvl w:ilvl="7" w:tplc="58ECE5DC">
      <w:numFmt w:val="bullet"/>
      <w:lvlText w:val="•"/>
      <w:lvlJc w:val="left"/>
      <w:pPr>
        <w:ind w:left="4448" w:hanging="217"/>
      </w:pPr>
      <w:rPr>
        <w:rFonts w:hint="default"/>
        <w:lang w:val="en-GB" w:eastAsia="en-GB" w:bidi="en-GB"/>
      </w:rPr>
    </w:lvl>
    <w:lvl w:ilvl="8" w:tplc="C2EC7270">
      <w:numFmt w:val="bullet"/>
      <w:lvlText w:val="•"/>
      <w:lvlJc w:val="left"/>
      <w:pPr>
        <w:ind w:left="5040" w:hanging="217"/>
      </w:pPr>
      <w:rPr>
        <w:rFonts w:hint="default"/>
        <w:lang w:val="en-GB" w:eastAsia="en-GB" w:bidi="en-GB"/>
      </w:rPr>
    </w:lvl>
  </w:abstractNum>
  <w:abstractNum w:abstractNumId="561" w15:restartNumberingAfterBreak="0">
    <w:nsid w:val="354D1008"/>
    <w:multiLevelType w:val="hybridMultilevel"/>
    <w:tmpl w:val="46520C96"/>
    <w:lvl w:ilvl="0" w:tplc="2B049DF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AE09336">
      <w:numFmt w:val="bullet"/>
      <w:lvlText w:val="•"/>
      <w:lvlJc w:val="left"/>
      <w:pPr>
        <w:ind w:left="541" w:hanging="217"/>
      </w:pPr>
      <w:rPr>
        <w:rFonts w:hint="default"/>
        <w:lang w:val="en-GB" w:eastAsia="en-GB" w:bidi="en-GB"/>
      </w:rPr>
    </w:lvl>
    <w:lvl w:ilvl="2" w:tplc="E3EE9D46">
      <w:numFmt w:val="bullet"/>
      <w:lvlText w:val="•"/>
      <w:lvlJc w:val="left"/>
      <w:pPr>
        <w:ind w:left="782" w:hanging="217"/>
      </w:pPr>
      <w:rPr>
        <w:rFonts w:hint="default"/>
        <w:lang w:val="en-GB" w:eastAsia="en-GB" w:bidi="en-GB"/>
      </w:rPr>
    </w:lvl>
    <w:lvl w:ilvl="3" w:tplc="37A66A8C">
      <w:numFmt w:val="bullet"/>
      <w:lvlText w:val="•"/>
      <w:lvlJc w:val="left"/>
      <w:pPr>
        <w:ind w:left="1023" w:hanging="217"/>
      </w:pPr>
      <w:rPr>
        <w:rFonts w:hint="default"/>
        <w:lang w:val="en-GB" w:eastAsia="en-GB" w:bidi="en-GB"/>
      </w:rPr>
    </w:lvl>
    <w:lvl w:ilvl="4" w:tplc="0AFCA73E">
      <w:numFmt w:val="bullet"/>
      <w:lvlText w:val="•"/>
      <w:lvlJc w:val="left"/>
      <w:pPr>
        <w:ind w:left="1264" w:hanging="217"/>
      </w:pPr>
      <w:rPr>
        <w:rFonts w:hint="default"/>
        <w:lang w:val="en-GB" w:eastAsia="en-GB" w:bidi="en-GB"/>
      </w:rPr>
    </w:lvl>
    <w:lvl w:ilvl="5" w:tplc="69FA0840">
      <w:numFmt w:val="bullet"/>
      <w:lvlText w:val="•"/>
      <w:lvlJc w:val="left"/>
      <w:pPr>
        <w:ind w:left="1505" w:hanging="217"/>
      </w:pPr>
      <w:rPr>
        <w:rFonts w:hint="default"/>
        <w:lang w:val="en-GB" w:eastAsia="en-GB" w:bidi="en-GB"/>
      </w:rPr>
    </w:lvl>
    <w:lvl w:ilvl="6" w:tplc="C6623626">
      <w:numFmt w:val="bullet"/>
      <w:lvlText w:val="•"/>
      <w:lvlJc w:val="left"/>
      <w:pPr>
        <w:ind w:left="1746" w:hanging="217"/>
      </w:pPr>
      <w:rPr>
        <w:rFonts w:hint="default"/>
        <w:lang w:val="en-GB" w:eastAsia="en-GB" w:bidi="en-GB"/>
      </w:rPr>
    </w:lvl>
    <w:lvl w:ilvl="7" w:tplc="AA9C9D72">
      <w:numFmt w:val="bullet"/>
      <w:lvlText w:val="•"/>
      <w:lvlJc w:val="left"/>
      <w:pPr>
        <w:ind w:left="1987" w:hanging="217"/>
      </w:pPr>
      <w:rPr>
        <w:rFonts w:hint="default"/>
        <w:lang w:val="en-GB" w:eastAsia="en-GB" w:bidi="en-GB"/>
      </w:rPr>
    </w:lvl>
    <w:lvl w:ilvl="8" w:tplc="951CC590">
      <w:numFmt w:val="bullet"/>
      <w:lvlText w:val="•"/>
      <w:lvlJc w:val="left"/>
      <w:pPr>
        <w:ind w:left="2228" w:hanging="217"/>
      </w:pPr>
      <w:rPr>
        <w:rFonts w:hint="default"/>
        <w:lang w:val="en-GB" w:eastAsia="en-GB" w:bidi="en-GB"/>
      </w:rPr>
    </w:lvl>
  </w:abstractNum>
  <w:abstractNum w:abstractNumId="562" w15:restartNumberingAfterBreak="0">
    <w:nsid w:val="354F55E8"/>
    <w:multiLevelType w:val="hybridMultilevel"/>
    <w:tmpl w:val="DEB8B512"/>
    <w:lvl w:ilvl="0" w:tplc="0BA8AEC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1E648C0">
      <w:numFmt w:val="bullet"/>
      <w:lvlText w:val="•"/>
      <w:lvlJc w:val="left"/>
      <w:pPr>
        <w:ind w:left="439" w:hanging="217"/>
      </w:pPr>
      <w:rPr>
        <w:rFonts w:hint="default"/>
        <w:lang w:val="en-GB" w:eastAsia="en-GB" w:bidi="en-GB"/>
      </w:rPr>
    </w:lvl>
    <w:lvl w:ilvl="2" w:tplc="60E244CA">
      <w:numFmt w:val="bullet"/>
      <w:lvlText w:val="•"/>
      <w:lvlJc w:val="left"/>
      <w:pPr>
        <w:ind w:left="578" w:hanging="217"/>
      </w:pPr>
      <w:rPr>
        <w:rFonts w:hint="default"/>
        <w:lang w:val="en-GB" w:eastAsia="en-GB" w:bidi="en-GB"/>
      </w:rPr>
    </w:lvl>
    <w:lvl w:ilvl="3" w:tplc="6EBED8C2">
      <w:numFmt w:val="bullet"/>
      <w:lvlText w:val="•"/>
      <w:lvlJc w:val="left"/>
      <w:pPr>
        <w:ind w:left="717" w:hanging="217"/>
      </w:pPr>
      <w:rPr>
        <w:rFonts w:hint="default"/>
        <w:lang w:val="en-GB" w:eastAsia="en-GB" w:bidi="en-GB"/>
      </w:rPr>
    </w:lvl>
    <w:lvl w:ilvl="4" w:tplc="25A0F680">
      <w:numFmt w:val="bullet"/>
      <w:lvlText w:val="•"/>
      <w:lvlJc w:val="left"/>
      <w:pPr>
        <w:ind w:left="856" w:hanging="217"/>
      </w:pPr>
      <w:rPr>
        <w:rFonts w:hint="default"/>
        <w:lang w:val="en-GB" w:eastAsia="en-GB" w:bidi="en-GB"/>
      </w:rPr>
    </w:lvl>
    <w:lvl w:ilvl="5" w:tplc="42D2F44E">
      <w:numFmt w:val="bullet"/>
      <w:lvlText w:val="•"/>
      <w:lvlJc w:val="left"/>
      <w:pPr>
        <w:ind w:left="995" w:hanging="217"/>
      </w:pPr>
      <w:rPr>
        <w:rFonts w:hint="default"/>
        <w:lang w:val="en-GB" w:eastAsia="en-GB" w:bidi="en-GB"/>
      </w:rPr>
    </w:lvl>
    <w:lvl w:ilvl="6" w:tplc="D6CE3E36">
      <w:numFmt w:val="bullet"/>
      <w:lvlText w:val="•"/>
      <w:lvlJc w:val="left"/>
      <w:pPr>
        <w:ind w:left="1134" w:hanging="217"/>
      </w:pPr>
      <w:rPr>
        <w:rFonts w:hint="default"/>
        <w:lang w:val="en-GB" w:eastAsia="en-GB" w:bidi="en-GB"/>
      </w:rPr>
    </w:lvl>
    <w:lvl w:ilvl="7" w:tplc="31641B60">
      <w:numFmt w:val="bullet"/>
      <w:lvlText w:val="•"/>
      <w:lvlJc w:val="left"/>
      <w:pPr>
        <w:ind w:left="1273" w:hanging="217"/>
      </w:pPr>
      <w:rPr>
        <w:rFonts w:hint="default"/>
        <w:lang w:val="en-GB" w:eastAsia="en-GB" w:bidi="en-GB"/>
      </w:rPr>
    </w:lvl>
    <w:lvl w:ilvl="8" w:tplc="7F04328E">
      <w:numFmt w:val="bullet"/>
      <w:lvlText w:val="•"/>
      <w:lvlJc w:val="left"/>
      <w:pPr>
        <w:ind w:left="1412" w:hanging="217"/>
      </w:pPr>
      <w:rPr>
        <w:rFonts w:hint="default"/>
        <w:lang w:val="en-GB" w:eastAsia="en-GB" w:bidi="en-GB"/>
      </w:rPr>
    </w:lvl>
  </w:abstractNum>
  <w:abstractNum w:abstractNumId="563" w15:restartNumberingAfterBreak="0">
    <w:nsid w:val="35567267"/>
    <w:multiLevelType w:val="hybridMultilevel"/>
    <w:tmpl w:val="404E67A0"/>
    <w:lvl w:ilvl="0" w:tplc="C890F01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57CA1BA">
      <w:numFmt w:val="bullet"/>
      <w:lvlText w:val="•"/>
      <w:lvlJc w:val="left"/>
      <w:pPr>
        <w:ind w:left="893" w:hanging="217"/>
      </w:pPr>
      <w:rPr>
        <w:rFonts w:hint="default"/>
        <w:lang w:val="en-GB" w:eastAsia="en-GB" w:bidi="en-GB"/>
      </w:rPr>
    </w:lvl>
    <w:lvl w:ilvl="2" w:tplc="E5E639C8">
      <w:numFmt w:val="bullet"/>
      <w:lvlText w:val="•"/>
      <w:lvlJc w:val="left"/>
      <w:pPr>
        <w:ind w:left="1486" w:hanging="217"/>
      </w:pPr>
      <w:rPr>
        <w:rFonts w:hint="default"/>
        <w:lang w:val="en-GB" w:eastAsia="en-GB" w:bidi="en-GB"/>
      </w:rPr>
    </w:lvl>
    <w:lvl w:ilvl="3" w:tplc="3CBC496A">
      <w:numFmt w:val="bullet"/>
      <w:lvlText w:val="•"/>
      <w:lvlJc w:val="left"/>
      <w:pPr>
        <w:ind w:left="2079" w:hanging="217"/>
      </w:pPr>
      <w:rPr>
        <w:rFonts w:hint="default"/>
        <w:lang w:val="en-GB" w:eastAsia="en-GB" w:bidi="en-GB"/>
      </w:rPr>
    </w:lvl>
    <w:lvl w:ilvl="4" w:tplc="E23823E2">
      <w:numFmt w:val="bullet"/>
      <w:lvlText w:val="•"/>
      <w:lvlJc w:val="left"/>
      <w:pPr>
        <w:ind w:left="2672" w:hanging="217"/>
      </w:pPr>
      <w:rPr>
        <w:rFonts w:hint="default"/>
        <w:lang w:val="en-GB" w:eastAsia="en-GB" w:bidi="en-GB"/>
      </w:rPr>
    </w:lvl>
    <w:lvl w:ilvl="5" w:tplc="EB0CA868">
      <w:numFmt w:val="bullet"/>
      <w:lvlText w:val="•"/>
      <w:lvlJc w:val="left"/>
      <w:pPr>
        <w:ind w:left="3265" w:hanging="217"/>
      </w:pPr>
      <w:rPr>
        <w:rFonts w:hint="default"/>
        <w:lang w:val="en-GB" w:eastAsia="en-GB" w:bidi="en-GB"/>
      </w:rPr>
    </w:lvl>
    <w:lvl w:ilvl="6" w:tplc="3C3649E6">
      <w:numFmt w:val="bullet"/>
      <w:lvlText w:val="•"/>
      <w:lvlJc w:val="left"/>
      <w:pPr>
        <w:ind w:left="3858" w:hanging="217"/>
      </w:pPr>
      <w:rPr>
        <w:rFonts w:hint="default"/>
        <w:lang w:val="en-GB" w:eastAsia="en-GB" w:bidi="en-GB"/>
      </w:rPr>
    </w:lvl>
    <w:lvl w:ilvl="7" w:tplc="5FBAE636">
      <w:numFmt w:val="bullet"/>
      <w:lvlText w:val="•"/>
      <w:lvlJc w:val="left"/>
      <w:pPr>
        <w:ind w:left="4451" w:hanging="217"/>
      </w:pPr>
      <w:rPr>
        <w:rFonts w:hint="default"/>
        <w:lang w:val="en-GB" w:eastAsia="en-GB" w:bidi="en-GB"/>
      </w:rPr>
    </w:lvl>
    <w:lvl w:ilvl="8" w:tplc="43662E88">
      <w:numFmt w:val="bullet"/>
      <w:lvlText w:val="•"/>
      <w:lvlJc w:val="left"/>
      <w:pPr>
        <w:ind w:left="5044" w:hanging="217"/>
      </w:pPr>
      <w:rPr>
        <w:rFonts w:hint="default"/>
        <w:lang w:val="en-GB" w:eastAsia="en-GB" w:bidi="en-GB"/>
      </w:rPr>
    </w:lvl>
  </w:abstractNum>
  <w:abstractNum w:abstractNumId="564" w15:restartNumberingAfterBreak="0">
    <w:nsid w:val="356355B9"/>
    <w:multiLevelType w:val="hybridMultilevel"/>
    <w:tmpl w:val="D98EA29A"/>
    <w:lvl w:ilvl="0" w:tplc="79DE944C">
      <w:numFmt w:val="bullet"/>
      <w:lvlText w:val="•"/>
      <w:lvlJc w:val="left"/>
      <w:pPr>
        <w:ind w:left="305" w:hanging="217"/>
      </w:pPr>
      <w:rPr>
        <w:rFonts w:ascii="Arial" w:eastAsia="Arial" w:hAnsi="Arial" w:cs="Arial" w:hint="default"/>
        <w:color w:val="231F20"/>
        <w:w w:val="102"/>
        <w:sz w:val="17"/>
        <w:szCs w:val="17"/>
        <w:lang w:val="en-GB" w:eastAsia="en-GB" w:bidi="en-GB"/>
      </w:rPr>
    </w:lvl>
    <w:lvl w:ilvl="1" w:tplc="BC3A9EFE">
      <w:numFmt w:val="bullet"/>
      <w:lvlText w:val="•"/>
      <w:lvlJc w:val="left"/>
      <w:pPr>
        <w:ind w:left="892" w:hanging="217"/>
      </w:pPr>
      <w:rPr>
        <w:rFonts w:hint="default"/>
        <w:lang w:val="en-GB" w:eastAsia="en-GB" w:bidi="en-GB"/>
      </w:rPr>
    </w:lvl>
    <w:lvl w:ilvl="2" w:tplc="13A299EE">
      <w:numFmt w:val="bullet"/>
      <w:lvlText w:val="•"/>
      <w:lvlJc w:val="left"/>
      <w:pPr>
        <w:ind w:left="1485" w:hanging="217"/>
      </w:pPr>
      <w:rPr>
        <w:rFonts w:hint="default"/>
        <w:lang w:val="en-GB" w:eastAsia="en-GB" w:bidi="en-GB"/>
      </w:rPr>
    </w:lvl>
    <w:lvl w:ilvl="3" w:tplc="BC06A1E6">
      <w:numFmt w:val="bullet"/>
      <w:lvlText w:val="•"/>
      <w:lvlJc w:val="left"/>
      <w:pPr>
        <w:ind w:left="2077" w:hanging="217"/>
      </w:pPr>
      <w:rPr>
        <w:rFonts w:hint="default"/>
        <w:lang w:val="en-GB" w:eastAsia="en-GB" w:bidi="en-GB"/>
      </w:rPr>
    </w:lvl>
    <w:lvl w:ilvl="4" w:tplc="8F86B11A">
      <w:numFmt w:val="bullet"/>
      <w:lvlText w:val="•"/>
      <w:lvlJc w:val="left"/>
      <w:pPr>
        <w:ind w:left="2670" w:hanging="217"/>
      </w:pPr>
      <w:rPr>
        <w:rFonts w:hint="default"/>
        <w:lang w:val="en-GB" w:eastAsia="en-GB" w:bidi="en-GB"/>
      </w:rPr>
    </w:lvl>
    <w:lvl w:ilvl="5" w:tplc="C4127D76">
      <w:numFmt w:val="bullet"/>
      <w:lvlText w:val="•"/>
      <w:lvlJc w:val="left"/>
      <w:pPr>
        <w:ind w:left="3263" w:hanging="217"/>
      </w:pPr>
      <w:rPr>
        <w:rFonts w:hint="default"/>
        <w:lang w:val="en-GB" w:eastAsia="en-GB" w:bidi="en-GB"/>
      </w:rPr>
    </w:lvl>
    <w:lvl w:ilvl="6" w:tplc="7FCE8CD8">
      <w:numFmt w:val="bullet"/>
      <w:lvlText w:val="•"/>
      <w:lvlJc w:val="left"/>
      <w:pPr>
        <w:ind w:left="3855" w:hanging="217"/>
      </w:pPr>
      <w:rPr>
        <w:rFonts w:hint="default"/>
        <w:lang w:val="en-GB" w:eastAsia="en-GB" w:bidi="en-GB"/>
      </w:rPr>
    </w:lvl>
    <w:lvl w:ilvl="7" w:tplc="9CF6158E">
      <w:numFmt w:val="bullet"/>
      <w:lvlText w:val="•"/>
      <w:lvlJc w:val="left"/>
      <w:pPr>
        <w:ind w:left="4448" w:hanging="217"/>
      </w:pPr>
      <w:rPr>
        <w:rFonts w:hint="default"/>
        <w:lang w:val="en-GB" w:eastAsia="en-GB" w:bidi="en-GB"/>
      </w:rPr>
    </w:lvl>
    <w:lvl w:ilvl="8" w:tplc="374E1680">
      <w:numFmt w:val="bullet"/>
      <w:lvlText w:val="•"/>
      <w:lvlJc w:val="left"/>
      <w:pPr>
        <w:ind w:left="5040" w:hanging="217"/>
      </w:pPr>
      <w:rPr>
        <w:rFonts w:hint="default"/>
        <w:lang w:val="en-GB" w:eastAsia="en-GB" w:bidi="en-GB"/>
      </w:rPr>
    </w:lvl>
  </w:abstractNum>
  <w:abstractNum w:abstractNumId="565" w15:restartNumberingAfterBreak="0">
    <w:nsid w:val="357168B6"/>
    <w:multiLevelType w:val="hybridMultilevel"/>
    <w:tmpl w:val="BC2468B0"/>
    <w:lvl w:ilvl="0" w:tplc="916EA2C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ECA5FC0">
      <w:numFmt w:val="bullet"/>
      <w:lvlText w:val="•"/>
      <w:lvlJc w:val="left"/>
      <w:pPr>
        <w:ind w:left="473" w:hanging="217"/>
      </w:pPr>
      <w:rPr>
        <w:rFonts w:hint="default"/>
        <w:lang w:val="en-GB" w:eastAsia="en-GB" w:bidi="en-GB"/>
      </w:rPr>
    </w:lvl>
    <w:lvl w:ilvl="2" w:tplc="A8E62D22">
      <w:numFmt w:val="bullet"/>
      <w:lvlText w:val="•"/>
      <w:lvlJc w:val="left"/>
      <w:pPr>
        <w:ind w:left="646" w:hanging="217"/>
      </w:pPr>
      <w:rPr>
        <w:rFonts w:hint="default"/>
        <w:lang w:val="en-GB" w:eastAsia="en-GB" w:bidi="en-GB"/>
      </w:rPr>
    </w:lvl>
    <w:lvl w:ilvl="3" w:tplc="F3A6E3D6">
      <w:numFmt w:val="bullet"/>
      <w:lvlText w:val="•"/>
      <w:lvlJc w:val="left"/>
      <w:pPr>
        <w:ind w:left="819" w:hanging="217"/>
      </w:pPr>
      <w:rPr>
        <w:rFonts w:hint="default"/>
        <w:lang w:val="en-GB" w:eastAsia="en-GB" w:bidi="en-GB"/>
      </w:rPr>
    </w:lvl>
    <w:lvl w:ilvl="4" w:tplc="11CE7EF6">
      <w:numFmt w:val="bullet"/>
      <w:lvlText w:val="•"/>
      <w:lvlJc w:val="left"/>
      <w:pPr>
        <w:ind w:left="992" w:hanging="217"/>
      </w:pPr>
      <w:rPr>
        <w:rFonts w:hint="default"/>
        <w:lang w:val="en-GB" w:eastAsia="en-GB" w:bidi="en-GB"/>
      </w:rPr>
    </w:lvl>
    <w:lvl w:ilvl="5" w:tplc="0B08B49A">
      <w:numFmt w:val="bullet"/>
      <w:lvlText w:val="•"/>
      <w:lvlJc w:val="left"/>
      <w:pPr>
        <w:ind w:left="1165" w:hanging="217"/>
      </w:pPr>
      <w:rPr>
        <w:rFonts w:hint="default"/>
        <w:lang w:val="en-GB" w:eastAsia="en-GB" w:bidi="en-GB"/>
      </w:rPr>
    </w:lvl>
    <w:lvl w:ilvl="6" w:tplc="FEA21A8E">
      <w:numFmt w:val="bullet"/>
      <w:lvlText w:val="•"/>
      <w:lvlJc w:val="left"/>
      <w:pPr>
        <w:ind w:left="1338" w:hanging="217"/>
      </w:pPr>
      <w:rPr>
        <w:rFonts w:hint="default"/>
        <w:lang w:val="en-GB" w:eastAsia="en-GB" w:bidi="en-GB"/>
      </w:rPr>
    </w:lvl>
    <w:lvl w:ilvl="7" w:tplc="1FAC7526">
      <w:numFmt w:val="bullet"/>
      <w:lvlText w:val="•"/>
      <w:lvlJc w:val="left"/>
      <w:pPr>
        <w:ind w:left="1511" w:hanging="217"/>
      </w:pPr>
      <w:rPr>
        <w:rFonts w:hint="default"/>
        <w:lang w:val="en-GB" w:eastAsia="en-GB" w:bidi="en-GB"/>
      </w:rPr>
    </w:lvl>
    <w:lvl w:ilvl="8" w:tplc="96861864">
      <w:numFmt w:val="bullet"/>
      <w:lvlText w:val="•"/>
      <w:lvlJc w:val="left"/>
      <w:pPr>
        <w:ind w:left="1684" w:hanging="217"/>
      </w:pPr>
      <w:rPr>
        <w:rFonts w:hint="default"/>
        <w:lang w:val="en-GB" w:eastAsia="en-GB" w:bidi="en-GB"/>
      </w:rPr>
    </w:lvl>
  </w:abstractNum>
  <w:abstractNum w:abstractNumId="566" w15:restartNumberingAfterBreak="0">
    <w:nsid w:val="35792396"/>
    <w:multiLevelType w:val="hybridMultilevel"/>
    <w:tmpl w:val="D578005C"/>
    <w:lvl w:ilvl="0" w:tplc="3D22987C">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668C72BA">
      <w:numFmt w:val="bullet"/>
      <w:lvlText w:val="•"/>
      <w:lvlJc w:val="left"/>
      <w:pPr>
        <w:ind w:left="473" w:hanging="217"/>
      </w:pPr>
      <w:rPr>
        <w:rFonts w:hint="default"/>
        <w:lang w:val="en-GB" w:eastAsia="en-GB" w:bidi="en-GB"/>
      </w:rPr>
    </w:lvl>
    <w:lvl w:ilvl="2" w:tplc="CB3AF072">
      <w:numFmt w:val="bullet"/>
      <w:lvlText w:val="•"/>
      <w:lvlJc w:val="left"/>
      <w:pPr>
        <w:ind w:left="646" w:hanging="217"/>
      </w:pPr>
      <w:rPr>
        <w:rFonts w:hint="default"/>
        <w:lang w:val="en-GB" w:eastAsia="en-GB" w:bidi="en-GB"/>
      </w:rPr>
    </w:lvl>
    <w:lvl w:ilvl="3" w:tplc="C5A4B380">
      <w:numFmt w:val="bullet"/>
      <w:lvlText w:val="•"/>
      <w:lvlJc w:val="left"/>
      <w:pPr>
        <w:ind w:left="819" w:hanging="217"/>
      </w:pPr>
      <w:rPr>
        <w:rFonts w:hint="default"/>
        <w:lang w:val="en-GB" w:eastAsia="en-GB" w:bidi="en-GB"/>
      </w:rPr>
    </w:lvl>
    <w:lvl w:ilvl="4" w:tplc="CB32EFAA">
      <w:numFmt w:val="bullet"/>
      <w:lvlText w:val="•"/>
      <w:lvlJc w:val="left"/>
      <w:pPr>
        <w:ind w:left="992" w:hanging="217"/>
      </w:pPr>
      <w:rPr>
        <w:rFonts w:hint="default"/>
        <w:lang w:val="en-GB" w:eastAsia="en-GB" w:bidi="en-GB"/>
      </w:rPr>
    </w:lvl>
    <w:lvl w:ilvl="5" w:tplc="DBE6A32C">
      <w:numFmt w:val="bullet"/>
      <w:lvlText w:val="•"/>
      <w:lvlJc w:val="left"/>
      <w:pPr>
        <w:ind w:left="1165" w:hanging="217"/>
      </w:pPr>
      <w:rPr>
        <w:rFonts w:hint="default"/>
        <w:lang w:val="en-GB" w:eastAsia="en-GB" w:bidi="en-GB"/>
      </w:rPr>
    </w:lvl>
    <w:lvl w:ilvl="6" w:tplc="792875B2">
      <w:numFmt w:val="bullet"/>
      <w:lvlText w:val="•"/>
      <w:lvlJc w:val="left"/>
      <w:pPr>
        <w:ind w:left="1338" w:hanging="217"/>
      </w:pPr>
      <w:rPr>
        <w:rFonts w:hint="default"/>
        <w:lang w:val="en-GB" w:eastAsia="en-GB" w:bidi="en-GB"/>
      </w:rPr>
    </w:lvl>
    <w:lvl w:ilvl="7" w:tplc="A050CCC8">
      <w:numFmt w:val="bullet"/>
      <w:lvlText w:val="•"/>
      <w:lvlJc w:val="left"/>
      <w:pPr>
        <w:ind w:left="1511" w:hanging="217"/>
      </w:pPr>
      <w:rPr>
        <w:rFonts w:hint="default"/>
        <w:lang w:val="en-GB" w:eastAsia="en-GB" w:bidi="en-GB"/>
      </w:rPr>
    </w:lvl>
    <w:lvl w:ilvl="8" w:tplc="A3FEE9A4">
      <w:numFmt w:val="bullet"/>
      <w:lvlText w:val="•"/>
      <w:lvlJc w:val="left"/>
      <w:pPr>
        <w:ind w:left="1684" w:hanging="217"/>
      </w:pPr>
      <w:rPr>
        <w:rFonts w:hint="default"/>
        <w:lang w:val="en-GB" w:eastAsia="en-GB" w:bidi="en-GB"/>
      </w:rPr>
    </w:lvl>
  </w:abstractNum>
  <w:abstractNum w:abstractNumId="567" w15:restartNumberingAfterBreak="0">
    <w:nsid w:val="357E539D"/>
    <w:multiLevelType w:val="hybridMultilevel"/>
    <w:tmpl w:val="FDCC0E68"/>
    <w:lvl w:ilvl="0" w:tplc="2B2235B6">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E7D09D22">
      <w:numFmt w:val="bullet"/>
      <w:lvlText w:val="•"/>
      <w:lvlJc w:val="left"/>
      <w:pPr>
        <w:ind w:left="473" w:hanging="217"/>
      </w:pPr>
      <w:rPr>
        <w:rFonts w:hint="default"/>
        <w:lang w:val="en-GB" w:eastAsia="en-GB" w:bidi="en-GB"/>
      </w:rPr>
    </w:lvl>
    <w:lvl w:ilvl="2" w:tplc="9E8021E4">
      <w:numFmt w:val="bullet"/>
      <w:lvlText w:val="•"/>
      <w:lvlJc w:val="left"/>
      <w:pPr>
        <w:ind w:left="646" w:hanging="217"/>
      </w:pPr>
      <w:rPr>
        <w:rFonts w:hint="default"/>
        <w:lang w:val="en-GB" w:eastAsia="en-GB" w:bidi="en-GB"/>
      </w:rPr>
    </w:lvl>
    <w:lvl w:ilvl="3" w:tplc="8048C6C8">
      <w:numFmt w:val="bullet"/>
      <w:lvlText w:val="•"/>
      <w:lvlJc w:val="left"/>
      <w:pPr>
        <w:ind w:left="819" w:hanging="217"/>
      </w:pPr>
      <w:rPr>
        <w:rFonts w:hint="default"/>
        <w:lang w:val="en-GB" w:eastAsia="en-GB" w:bidi="en-GB"/>
      </w:rPr>
    </w:lvl>
    <w:lvl w:ilvl="4" w:tplc="9594BB58">
      <w:numFmt w:val="bullet"/>
      <w:lvlText w:val="•"/>
      <w:lvlJc w:val="left"/>
      <w:pPr>
        <w:ind w:left="992" w:hanging="217"/>
      </w:pPr>
      <w:rPr>
        <w:rFonts w:hint="default"/>
        <w:lang w:val="en-GB" w:eastAsia="en-GB" w:bidi="en-GB"/>
      </w:rPr>
    </w:lvl>
    <w:lvl w:ilvl="5" w:tplc="BE263B4A">
      <w:numFmt w:val="bullet"/>
      <w:lvlText w:val="•"/>
      <w:lvlJc w:val="left"/>
      <w:pPr>
        <w:ind w:left="1165" w:hanging="217"/>
      </w:pPr>
      <w:rPr>
        <w:rFonts w:hint="default"/>
        <w:lang w:val="en-GB" w:eastAsia="en-GB" w:bidi="en-GB"/>
      </w:rPr>
    </w:lvl>
    <w:lvl w:ilvl="6" w:tplc="E130A470">
      <w:numFmt w:val="bullet"/>
      <w:lvlText w:val="•"/>
      <w:lvlJc w:val="left"/>
      <w:pPr>
        <w:ind w:left="1338" w:hanging="217"/>
      </w:pPr>
      <w:rPr>
        <w:rFonts w:hint="default"/>
        <w:lang w:val="en-GB" w:eastAsia="en-GB" w:bidi="en-GB"/>
      </w:rPr>
    </w:lvl>
    <w:lvl w:ilvl="7" w:tplc="09648E86">
      <w:numFmt w:val="bullet"/>
      <w:lvlText w:val="•"/>
      <w:lvlJc w:val="left"/>
      <w:pPr>
        <w:ind w:left="1511" w:hanging="217"/>
      </w:pPr>
      <w:rPr>
        <w:rFonts w:hint="default"/>
        <w:lang w:val="en-GB" w:eastAsia="en-GB" w:bidi="en-GB"/>
      </w:rPr>
    </w:lvl>
    <w:lvl w:ilvl="8" w:tplc="41524516">
      <w:numFmt w:val="bullet"/>
      <w:lvlText w:val="•"/>
      <w:lvlJc w:val="left"/>
      <w:pPr>
        <w:ind w:left="1684" w:hanging="217"/>
      </w:pPr>
      <w:rPr>
        <w:rFonts w:hint="default"/>
        <w:lang w:val="en-GB" w:eastAsia="en-GB" w:bidi="en-GB"/>
      </w:rPr>
    </w:lvl>
  </w:abstractNum>
  <w:abstractNum w:abstractNumId="568" w15:restartNumberingAfterBreak="0">
    <w:nsid w:val="359B46AD"/>
    <w:multiLevelType w:val="hybridMultilevel"/>
    <w:tmpl w:val="374A9122"/>
    <w:lvl w:ilvl="0" w:tplc="2F344074">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F498248E">
      <w:numFmt w:val="bullet"/>
      <w:lvlText w:val="•"/>
      <w:lvlJc w:val="left"/>
      <w:pPr>
        <w:ind w:left="892" w:hanging="217"/>
      </w:pPr>
      <w:rPr>
        <w:rFonts w:hint="default"/>
        <w:lang w:val="en-GB" w:eastAsia="en-GB" w:bidi="en-GB"/>
      </w:rPr>
    </w:lvl>
    <w:lvl w:ilvl="2" w:tplc="B9DA8E66">
      <w:numFmt w:val="bullet"/>
      <w:lvlText w:val="•"/>
      <w:lvlJc w:val="left"/>
      <w:pPr>
        <w:ind w:left="1485" w:hanging="217"/>
      </w:pPr>
      <w:rPr>
        <w:rFonts w:hint="default"/>
        <w:lang w:val="en-GB" w:eastAsia="en-GB" w:bidi="en-GB"/>
      </w:rPr>
    </w:lvl>
    <w:lvl w:ilvl="3" w:tplc="40D21704">
      <w:numFmt w:val="bullet"/>
      <w:lvlText w:val="•"/>
      <w:lvlJc w:val="left"/>
      <w:pPr>
        <w:ind w:left="2077" w:hanging="217"/>
      </w:pPr>
      <w:rPr>
        <w:rFonts w:hint="default"/>
        <w:lang w:val="en-GB" w:eastAsia="en-GB" w:bidi="en-GB"/>
      </w:rPr>
    </w:lvl>
    <w:lvl w:ilvl="4" w:tplc="6C9C3884">
      <w:numFmt w:val="bullet"/>
      <w:lvlText w:val="•"/>
      <w:lvlJc w:val="left"/>
      <w:pPr>
        <w:ind w:left="2670" w:hanging="217"/>
      </w:pPr>
      <w:rPr>
        <w:rFonts w:hint="default"/>
        <w:lang w:val="en-GB" w:eastAsia="en-GB" w:bidi="en-GB"/>
      </w:rPr>
    </w:lvl>
    <w:lvl w:ilvl="5" w:tplc="7EFE66E4">
      <w:numFmt w:val="bullet"/>
      <w:lvlText w:val="•"/>
      <w:lvlJc w:val="left"/>
      <w:pPr>
        <w:ind w:left="3263" w:hanging="217"/>
      </w:pPr>
      <w:rPr>
        <w:rFonts w:hint="default"/>
        <w:lang w:val="en-GB" w:eastAsia="en-GB" w:bidi="en-GB"/>
      </w:rPr>
    </w:lvl>
    <w:lvl w:ilvl="6" w:tplc="9DD0BB52">
      <w:numFmt w:val="bullet"/>
      <w:lvlText w:val="•"/>
      <w:lvlJc w:val="left"/>
      <w:pPr>
        <w:ind w:left="3855" w:hanging="217"/>
      </w:pPr>
      <w:rPr>
        <w:rFonts w:hint="default"/>
        <w:lang w:val="en-GB" w:eastAsia="en-GB" w:bidi="en-GB"/>
      </w:rPr>
    </w:lvl>
    <w:lvl w:ilvl="7" w:tplc="C3506362">
      <w:numFmt w:val="bullet"/>
      <w:lvlText w:val="•"/>
      <w:lvlJc w:val="left"/>
      <w:pPr>
        <w:ind w:left="4448" w:hanging="217"/>
      </w:pPr>
      <w:rPr>
        <w:rFonts w:hint="default"/>
        <w:lang w:val="en-GB" w:eastAsia="en-GB" w:bidi="en-GB"/>
      </w:rPr>
    </w:lvl>
    <w:lvl w:ilvl="8" w:tplc="3CA04624">
      <w:numFmt w:val="bullet"/>
      <w:lvlText w:val="•"/>
      <w:lvlJc w:val="left"/>
      <w:pPr>
        <w:ind w:left="5040" w:hanging="217"/>
      </w:pPr>
      <w:rPr>
        <w:rFonts w:hint="default"/>
        <w:lang w:val="en-GB" w:eastAsia="en-GB" w:bidi="en-GB"/>
      </w:rPr>
    </w:lvl>
  </w:abstractNum>
  <w:abstractNum w:abstractNumId="569" w15:restartNumberingAfterBreak="0">
    <w:nsid w:val="35A23F30"/>
    <w:multiLevelType w:val="hybridMultilevel"/>
    <w:tmpl w:val="D01EA5B4"/>
    <w:lvl w:ilvl="0" w:tplc="5FA6CEE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DC6E7B8">
      <w:numFmt w:val="bullet"/>
      <w:lvlText w:val="•"/>
      <w:lvlJc w:val="left"/>
      <w:pPr>
        <w:ind w:left="677" w:hanging="217"/>
      </w:pPr>
      <w:rPr>
        <w:rFonts w:hint="default"/>
        <w:lang w:val="en-GB" w:eastAsia="en-GB" w:bidi="en-GB"/>
      </w:rPr>
    </w:lvl>
    <w:lvl w:ilvl="2" w:tplc="0E8C736E">
      <w:numFmt w:val="bullet"/>
      <w:lvlText w:val="•"/>
      <w:lvlJc w:val="left"/>
      <w:pPr>
        <w:ind w:left="1054" w:hanging="217"/>
      </w:pPr>
      <w:rPr>
        <w:rFonts w:hint="default"/>
        <w:lang w:val="en-GB" w:eastAsia="en-GB" w:bidi="en-GB"/>
      </w:rPr>
    </w:lvl>
    <w:lvl w:ilvl="3" w:tplc="B2388E38">
      <w:numFmt w:val="bullet"/>
      <w:lvlText w:val="•"/>
      <w:lvlJc w:val="left"/>
      <w:pPr>
        <w:ind w:left="1431" w:hanging="217"/>
      </w:pPr>
      <w:rPr>
        <w:rFonts w:hint="default"/>
        <w:lang w:val="en-GB" w:eastAsia="en-GB" w:bidi="en-GB"/>
      </w:rPr>
    </w:lvl>
    <w:lvl w:ilvl="4" w:tplc="8C3C4774">
      <w:numFmt w:val="bullet"/>
      <w:lvlText w:val="•"/>
      <w:lvlJc w:val="left"/>
      <w:pPr>
        <w:ind w:left="1808" w:hanging="217"/>
      </w:pPr>
      <w:rPr>
        <w:rFonts w:hint="default"/>
        <w:lang w:val="en-GB" w:eastAsia="en-GB" w:bidi="en-GB"/>
      </w:rPr>
    </w:lvl>
    <w:lvl w:ilvl="5" w:tplc="B16CEFD0">
      <w:numFmt w:val="bullet"/>
      <w:lvlText w:val="•"/>
      <w:lvlJc w:val="left"/>
      <w:pPr>
        <w:ind w:left="2186" w:hanging="217"/>
      </w:pPr>
      <w:rPr>
        <w:rFonts w:hint="default"/>
        <w:lang w:val="en-GB" w:eastAsia="en-GB" w:bidi="en-GB"/>
      </w:rPr>
    </w:lvl>
    <w:lvl w:ilvl="6" w:tplc="99E8C73E">
      <w:numFmt w:val="bullet"/>
      <w:lvlText w:val="•"/>
      <w:lvlJc w:val="left"/>
      <w:pPr>
        <w:ind w:left="2563" w:hanging="217"/>
      </w:pPr>
      <w:rPr>
        <w:rFonts w:hint="default"/>
        <w:lang w:val="en-GB" w:eastAsia="en-GB" w:bidi="en-GB"/>
      </w:rPr>
    </w:lvl>
    <w:lvl w:ilvl="7" w:tplc="1CC8A162">
      <w:numFmt w:val="bullet"/>
      <w:lvlText w:val="•"/>
      <w:lvlJc w:val="left"/>
      <w:pPr>
        <w:ind w:left="2940" w:hanging="217"/>
      </w:pPr>
      <w:rPr>
        <w:rFonts w:hint="default"/>
        <w:lang w:val="en-GB" w:eastAsia="en-GB" w:bidi="en-GB"/>
      </w:rPr>
    </w:lvl>
    <w:lvl w:ilvl="8" w:tplc="B028A120">
      <w:numFmt w:val="bullet"/>
      <w:lvlText w:val="•"/>
      <w:lvlJc w:val="left"/>
      <w:pPr>
        <w:ind w:left="3317" w:hanging="217"/>
      </w:pPr>
      <w:rPr>
        <w:rFonts w:hint="default"/>
        <w:lang w:val="en-GB" w:eastAsia="en-GB" w:bidi="en-GB"/>
      </w:rPr>
    </w:lvl>
  </w:abstractNum>
  <w:abstractNum w:abstractNumId="570" w15:restartNumberingAfterBreak="0">
    <w:nsid w:val="35A94E9C"/>
    <w:multiLevelType w:val="hybridMultilevel"/>
    <w:tmpl w:val="E63AC17E"/>
    <w:lvl w:ilvl="0" w:tplc="8856D6B2">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0B00763E">
      <w:numFmt w:val="bullet"/>
      <w:lvlText w:val="•"/>
      <w:lvlJc w:val="left"/>
      <w:pPr>
        <w:ind w:left="473" w:hanging="217"/>
      </w:pPr>
      <w:rPr>
        <w:rFonts w:hint="default"/>
        <w:lang w:val="en-GB" w:eastAsia="en-GB" w:bidi="en-GB"/>
      </w:rPr>
    </w:lvl>
    <w:lvl w:ilvl="2" w:tplc="C360F606">
      <w:numFmt w:val="bullet"/>
      <w:lvlText w:val="•"/>
      <w:lvlJc w:val="left"/>
      <w:pPr>
        <w:ind w:left="646" w:hanging="217"/>
      </w:pPr>
      <w:rPr>
        <w:rFonts w:hint="default"/>
        <w:lang w:val="en-GB" w:eastAsia="en-GB" w:bidi="en-GB"/>
      </w:rPr>
    </w:lvl>
    <w:lvl w:ilvl="3" w:tplc="F02A3E00">
      <w:numFmt w:val="bullet"/>
      <w:lvlText w:val="•"/>
      <w:lvlJc w:val="left"/>
      <w:pPr>
        <w:ind w:left="819" w:hanging="217"/>
      </w:pPr>
      <w:rPr>
        <w:rFonts w:hint="default"/>
        <w:lang w:val="en-GB" w:eastAsia="en-GB" w:bidi="en-GB"/>
      </w:rPr>
    </w:lvl>
    <w:lvl w:ilvl="4" w:tplc="0B38BD2A">
      <w:numFmt w:val="bullet"/>
      <w:lvlText w:val="•"/>
      <w:lvlJc w:val="left"/>
      <w:pPr>
        <w:ind w:left="992" w:hanging="217"/>
      </w:pPr>
      <w:rPr>
        <w:rFonts w:hint="default"/>
        <w:lang w:val="en-GB" w:eastAsia="en-GB" w:bidi="en-GB"/>
      </w:rPr>
    </w:lvl>
    <w:lvl w:ilvl="5" w:tplc="82F0D9F2">
      <w:numFmt w:val="bullet"/>
      <w:lvlText w:val="•"/>
      <w:lvlJc w:val="left"/>
      <w:pPr>
        <w:ind w:left="1165" w:hanging="217"/>
      </w:pPr>
      <w:rPr>
        <w:rFonts w:hint="default"/>
        <w:lang w:val="en-GB" w:eastAsia="en-GB" w:bidi="en-GB"/>
      </w:rPr>
    </w:lvl>
    <w:lvl w:ilvl="6" w:tplc="97CAAE34">
      <w:numFmt w:val="bullet"/>
      <w:lvlText w:val="•"/>
      <w:lvlJc w:val="left"/>
      <w:pPr>
        <w:ind w:left="1338" w:hanging="217"/>
      </w:pPr>
      <w:rPr>
        <w:rFonts w:hint="default"/>
        <w:lang w:val="en-GB" w:eastAsia="en-GB" w:bidi="en-GB"/>
      </w:rPr>
    </w:lvl>
    <w:lvl w:ilvl="7" w:tplc="8334DECC">
      <w:numFmt w:val="bullet"/>
      <w:lvlText w:val="•"/>
      <w:lvlJc w:val="left"/>
      <w:pPr>
        <w:ind w:left="1511" w:hanging="217"/>
      </w:pPr>
      <w:rPr>
        <w:rFonts w:hint="default"/>
        <w:lang w:val="en-GB" w:eastAsia="en-GB" w:bidi="en-GB"/>
      </w:rPr>
    </w:lvl>
    <w:lvl w:ilvl="8" w:tplc="BF942D6C">
      <w:numFmt w:val="bullet"/>
      <w:lvlText w:val="•"/>
      <w:lvlJc w:val="left"/>
      <w:pPr>
        <w:ind w:left="1684" w:hanging="217"/>
      </w:pPr>
      <w:rPr>
        <w:rFonts w:hint="default"/>
        <w:lang w:val="en-GB" w:eastAsia="en-GB" w:bidi="en-GB"/>
      </w:rPr>
    </w:lvl>
  </w:abstractNum>
  <w:abstractNum w:abstractNumId="571" w15:restartNumberingAfterBreak="0">
    <w:nsid w:val="35AE0F09"/>
    <w:multiLevelType w:val="hybridMultilevel"/>
    <w:tmpl w:val="0FE8958E"/>
    <w:lvl w:ilvl="0" w:tplc="1152C71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33AB60A">
      <w:numFmt w:val="bullet"/>
      <w:lvlText w:val="•"/>
      <w:lvlJc w:val="left"/>
      <w:pPr>
        <w:ind w:left="473" w:hanging="217"/>
      </w:pPr>
      <w:rPr>
        <w:rFonts w:hint="default"/>
        <w:lang w:val="en-GB" w:eastAsia="en-GB" w:bidi="en-GB"/>
      </w:rPr>
    </w:lvl>
    <w:lvl w:ilvl="2" w:tplc="0B44A3C4">
      <w:numFmt w:val="bullet"/>
      <w:lvlText w:val="•"/>
      <w:lvlJc w:val="left"/>
      <w:pPr>
        <w:ind w:left="646" w:hanging="217"/>
      </w:pPr>
      <w:rPr>
        <w:rFonts w:hint="default"/>
        <w:lang w:val="en-GB" w:eastAsia="en-GB" w:bidi="en-GB"/>
      </w:rPr>
    </w:lvl>
    <w:lvl w:ilvl="3" w:tplc="0D12E79A">
      <w:numFmt w:val="bullet"/>
      <w:lvlText w:val="•"/>
      <w:lvlJc w:val="left"/>
      <w:pPr>
        <w:ind w:left="819" w:hanging="217"/>
      </w:pPr>
      <w:rPr>
        <w:rFonts w:hint="default"/>
        <w:lang w:val="en-GB" w:eastAsia="en-GB" w:bidi="en-GB"/>
      </w:rPr>
    </w:lvl>
    <w:lvl w:ilvl="4" w:tplc="97D6942E">
      <w:numFmt w:val="bullet"/>
      <w:lvlText w:val="•"/>
      <w:lvlJc w:val="left"/>
      <w:pPr>
        <w:ind w:left="992" w:hanging="217"/>
      </w:pPr>
      <w:rPr>
        <w:rFonts w:hint="default"/>
        <w:lang w:val="en-GB" w:eastAsia="en-GB" w:bidi="en-GB"/>
      </w:rPr>
    </w:lvl>
    <w:lvl w:ilvl="5" w:tplc="46967F96">
      <w:numFmt w:val="bullet"/>
      <w:lvlText w:val="•"/>
      <w:lvlJc w:val="left"/>
      <w:pPr>
        <w:ind w:left="1165" w:hanging="217"/>
      </w:pPr>
      <w:rPr>
        <w:rFonts w:hint="default"/>
        <w:lang w:val="en-GB" w:eastAsia="en-GB" w:bidi="en-GB"/>
      </w:rPr>
    </w:lvl>
    <w:lvl w:ilvl="6" w:tplc="063CADFA">
      <w:numFmt w:val="bullet"/>
      <w:lvlText w:val="•"/>
      <w:lvlJc w:val="left"/>
      <w:pPr>
        <w:ind w:left="1338" w:hanging="217"/>
      </w:pPr>
      <w:rPr>
        <w:rFonts w:hint="default"/>
        <w:lang w:val="en-GB" w:eastAsia="en-GB" w:bidi="en-GB"/>
      </w:rPr>
    </w:lvl>
    <w:lvl w:ilvl="7" w:tplc="EF620544">
      <w:numFmt w:val="bullet"/>
      <w:lvlText w:val="•"/>
      <w:lvlJc w:val="left"/>
      <w:pPr>
        <w:ind w:left="1511" w:hanging="217"/>
      </w:pPr>
      <w:rPr>
        <w:rFonts w:hint="default"/>
        <w:lang w:val="en-GB" w:eastAsia="en-GB" w:bidi="en-GB"/>
      </w:rPr>
    </w:lvl>
    <w:lvl w:ilvl="8" w:tplc="7C6E195A">
      <w:numFmt w:val="bullet"/>
      <w:lvlText w:val="•"/>
      <w:lvlJc w:val="left"/>
      <w:pPr>
        <w:ind w:left="1684" w:hanging="217"/>
      </w:pPr>
      <w:rPr>
        <w:rFonts w:hint="default"/>
        <w:lang w:val="en-GB" w:eastAsia="en-GB" w:bidi="en-GB"/>
      </w:rPr>
    </w:lvl>
  </w:abstractNum>
  <w:abstractNum w:abstractNumId="572" w15:restartNumberingAfterBreak="0">
    <w:nsid w:val="35D8559E"/>
    <w:multiLevelType w:val="hybridMultilevel"/>
    <w:tmpl w:val="A7145C3C"/>
    <w:lvl w:ilvl="0" w:tplc="C47AFFD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1F4384E">
      <w:numFmt w:val="bullet"/>
      <w:lvlText w:val="•"/>
      <w:lvlJc w:val="left"/>
      <w:pPr>
        <w:ind w:left="473" w:hanging="217"/>
      </w:pPr>
      <w:rPr>
        <w:rFonts w:hint="default"/>
        <w:lang w:val="en-GB" w:eastAsia="en-GB" w:bidi="en-GB"/>
      </w:rPr>
    </w:lvl>
    <w:lvl w:ilvl="2" w:tplc="770C69C6">
      <w:numFmt w:val="bullet"/>
      <w:lvlText w:val="•"/>
      <w:lvlJc w:val="left"/>
      <w:pPr>
        <w:ind w:left="646" w:hanging="217"/>
      </w:pPr>
      <w:rPr>
        <w:rFonts w:hint="default"/>
        <w:lang w:val="en-GB" w:eastAsia="en-GB" w:bidi="en-GB"/>
      </w:rPr>
    </w:lvl>
    <w:lvl w:ilvl="3" w:tplc="4E4AFC4E">
      <w:numFmt w:val="bullet"/>
      <w:lvlText w:val="•"/>
      <w:lvlJc w:val="left"/>
      <w:pPr>
        <w:ind w:left="819" w:hanging="217"/>
      </w:pPr>
      <w:rPr>
        <w:rFonts w:hint="default"/>
        <w:lang w:val="en-GB" w:eastAsia="en-GB" w:bidi="en-GB"/>
      </w:rPr>
    </w:lvl>
    <w:lvl w:ilvl="4" w:tplc="DFC412F8">
      <w:numFmt w:val="bullet"/>
      <w:lvlText w:val="•"/>
      <w:lvlJc w:val="left"/>
      <w:pPr>
        <w:ind w:left="992" w:hanging="217"/>
      </w:pPr>
      <w:rPr>
        <w:rFonts w:hint="default"/>
        <w:lang w:val="en-GB" w:eastAsia="en-GB" w:bidi="en-GB"/>
      </w:rPr>
    </w:lvl>
    <w:lvl w:ilvl="5" w:tplc="1C10D290">
      <w:numFmt w:val="bullet"/>
      <w:lvlText w:val="•"/>
      <w:lvlJc w:val="left"/>
      <w:pPr>
        <w:ind w:left="1165" w:hanging="217"/>
      </w:pPr>
      <w:rPr>
        <w:rFonts w:hint="default"/>
        <w:lang w:val="en-GB" w:eastAsia="en-GB" w:bidi="en-GB"/>
      </w:rPr>
    </w:lvl>
    <w:lvl w:ilvl="6" w:tplc="7B9A634A">
      <w:numFmt w:val="bullet"/>
      <w:lvlText w:val="•"/>
      <w:lvlJc w:val="left"/>
      <w:pPr>
        <w:ind w:left="1338" w:hanging="217"/>
      </w:pPr>
      <w:rPr>
        <w:rFonts w:hint="default"/>
        <w:lang w:val="en-GB" w:eastAsia="en-GB" w:bidi="en-GB"/>
      </w:rPr>
    </w:lvl>
    <w:lvl w:ilvl="7" w:tplc="92BE24F8">
      <w:numFmt w:val="bullet"/>
      <w:lvlText w:val="•"/>
      <w:lvlJc w:val="left"/>
      <w:pPr>
        <w:ind w:left="1511" w:hanging="217"/>
      </w:pPr>
      <w:rPr>
        <w:rFonts w:hint="default"/>
        <w:lang w:val="en-GB" w:eastAsia="en-GB" w:bidi="en-GB"/>
      </w:rPr>
    </w:lvl>
    <w:lvl w:ilvl="8" w:tplc="BB62478C">
      <w:numFmt w:val="bullet"/>
      <w:lvlText w:val="•"/>
      <w:lvlJc w:val="left"/>
      <w:pPr>
        <w:ind w:left="1684" w:hanging="217"/>
      </w:pPr>
      <w:rPr>
        <w:rFonts w:hint="default"/>
        <w:lang w:val="en-GB" w:eastAsia="en-GB" w:bidi="en-GB"/>
      </w:rPr>
    </w:lvl>
  </w:abstractNum>
  <w:abstractNum w:abstractNumId="573" w15:restartNumberingAfterBreak="0">
    <w:nsid w:val="35D97BB7"/>
    <w:multiLevelType w:val="hybridMultilevel"/>
    <w:tmpl w:val="C7DE18DA"/>
    <w:lvl w:ilvl="0" w:tplc="E604CEB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8E0C7C4">
      <w:numFmt w:val="bullet"/>
      <w:lvlText w:val="•"/>
      <w:lvlJc w:val="left"/>
      <w:pPr>
        <w:ind w:left="1061" w:hanging="217"/>
      </w:pPr>
      <w:rPr>
        <w:rFonts w:hint="default"/>
        <w:lang w:val="en-GB" w:eastAsia="en-GB" w:bidi="en-GB"/>
      </w:rPr>
    </w:lvl>
    <w:lvl w:ilvl="2" w:tplc="29A8894C">
      <w:numFmt w:val="bullet"/>
      <w:lvlText w:val="•"/>
      <w:lvlJc w:val="left"/>
      <w:pPr>
        <w:ind w:left="1823" w:hanging="217"/>
      </w:pPr>
      <w:rPr>
        <w:rFonts w:hint="default"/>
        <w:lang w:val="en-GB" w:eastAsia="en-GB" w:bidi="en-GB"/>
      </w:rPr>
    </w:lvl>
    <w:lvl w:ilvl="3" w:tplc="9A4E418E">
      <w:numFmt w:val="bullet"/>
      <w:lvlText w:val="•"/>
      <w:lvlJc w:val="left"/>
      <w:pPr>
        <w:ind w:left="2585" w:hanging="217"/>
      </w:pPr>
      <w:rPr>
        <w:rFonts w:hint="default"/>
        <w:lang w:val="en-GB" w:eastAsia="en-GB" w:bidi="en-GB"/>
      </w:rPr>
    </w:lvl>
    <w:lvl w:ilvl="4" w:tplc="6F86DC1A">
      <w:numFmt w:val="bullet"/>
      <w:lvlText w:val="•"/>
      <w:lvlJc w:val="left"/>
      <w:pPr>
        <w:ind w:left="3346" w:hanging="217"/>
      </w:pPr>
      <w:rPr>
        <w:rFonts w:hint="default"/>
        <w:lang w:val="en-GB" w:eastAsia="en-GB" w:bidi="en-GB"/>
      </w:rPr>
    </w:lvl>
    <w:lvl w:ilvl="5" w:tplc="5E10EA56">
      <w:numFmt w:val="bullet"/>
      <w:lvlText w:val="•"/>
      <w:lvlJc w:val="left"/>
      <w:pPr>
        <w:ind w:left="4108" w:hanging="217"/>
      </w:pPr>
      <w:rPr>
        <w:rFonts w:hint="default"/>
        <w:lang w:val="en-GB" w:eastAsia="en-GB" w:bidi="en-GB"/>
      </w:rPr>
    </w:lvl>
    <w:lvl w:ilvl="6" w:tplc="7DAA5A2A">
      <w:numFmt w:val="bullet"/>
      <w:lvlText w:val="•"/>
      <w:lvlJc w:val="left"/>
      <w:pPr>
        <w:ind w:left="4870" w:hanging="217"/>
      </w:pPr>
      <w:rPr>
        <w:rFonts w:hint="default"/>
        <w:lang w:val="en-GB" w:eastAsia="en-GB" w:bidi="en-GB"/>
      </w:rPr>
    </w:lvl>
    <w:lvl w:ilvl="7" w:tplc="75EC6322">
      <w:numFmt w:val="bullet"/>
      <w:lvlText w:val="•"/>
      <w:lvlJc w:val="left"/>
      <w:pPr>
        <w:ind w:left="5631" w:hanging="217"/>
      </w:pPr>
      <w:rPr>
        <w:rFonts w:hint="default"/>
        <w:lang w:val="en-GB" w:eastAsia="en-GB" w:bidi="en-GB"/>
      </w:rPr>
    </w:lvl>
    <w:lvl w:ilvl="8" w:tplc="6B88C972">
      <w:numFmt w:val="bullet"/>
      <w:lvlText w:val="•"/>
      <w:lvlJc w:val="left"/>
      <w:pPr>
        <w:ind w:left="6393" w:hanging="217"/>
      </w:pPr>
      <w:rPr>
        <w:rFonts w:hint="default"/>
        <w:lang w:val="en-GB" w:eastAsia="en-GB" w:bidi="en-GB"/>
      </w:rPr>
    </w:lvl>
  </w:abstractNum>
  <w:abstractNum w:abstractNumId="574" w15:restartNumberingAfterBreak="0">
    <w:nsid w:val="35D97E0F"/>
    <w:multiLevelType w:val="hybridMultilevel"/>
    <w:tmpl w:val="BDC6058A"/>
    <w:lvl w:ilvl="0" w:tplc="F7425EC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E943410">
      <w:numFmt w:val="bullet"/>
      <w:lvlText w:val="•"/>
      <w:lvlJc w:val="left"/>
      <w:pPr>
        <w:ind w:left="439" w:hanging="217"/>
      </w:pPr>
      <w:rPr>
        <w:rFonts w:hint="default"/>
        <w:lang w:val="en-GB" w:eastAsia="en-GB" w:bidi="en-GB"/>
      </w:rPr>
    </w:lvl>
    <w:lvl w:ilvl="2" w:tplc="90349882">
      <w:numFmt w:val="bullet"/>
      <w:lvlText w:val="•"/>
      <w:lvlJc w:val="left"/>
      <w:pPr>
        <w:ind w:left="578" w:hanging="217"/>
      </w:pPr>
      <w:rPr>
        <w:rFonts w:hint="default"/>
        <w:lang w:val="en-GB" w:eastAsia="en-GB" w:bidi="en-GB"/>
      </w:rPr>
    </w:lvl>
    <w:lvl w:ilvl="3" w:tplc="3A2CFF62">
      <w:numFmt w:val="bullet"/>
      <w:lvlText w:val="•"/>
      <w:lvlJc w:val="left"/>
      <w:pPr>
        <w:ind w:left="717" w:hanging="217"/>
      </w:pPr>
      <w:rPr>
        <w:rFonts w:hint="default"/>
        <w:lang w:val="en-GB" w:eastAsia="en-GB" w:bidi="en-GB"/>
      </w:rPr>
    </w:lvl>
    <w:lvl w:ilvl="4" w:tplc="138060F2">
      <w:numFmt w:val="bullet"/>
      <w:lvlText w:val="•"/>
      <w:lvlJc w:val="left"/>
      <w:pPr>
        <w:ind w:left="856" w:hanging="217"/>
      </w:pPr>
      <w:rPr>
        <w:rFonts w:hint="default"/>
        <w:lang w:val="en-GB" w:eastAsia="en-GB" w:bidi="en-GB"/>
      </w:rPr>
    </w:lvl>
    <w:lvl w:ilvl="5" w:tplc="C1964964">
      <w:numFmt w:val="bullet"/>
      <w:lvlText w:val="•"/>
      <w:lvlJc w:val="left"/>
      <w:pPr>
        <w:ind w:left="995" w:hanging="217"/>
      </w:pPr>
      <w:rPr>
        <w:rFonts w:hint="default"/>
        <w:lang w:val="en-GB" w:eastAsia="en-GB" w:bidi="en-GB"/>
      </w:rPr>
    </w:lvl>
    <w:lvl w:ilvl="6" w:tplc="EBD2986E">
      <w:numFmt w:val="bullet"/>
      <w:lvlText w:val="•"/>
      <w:lvlJc w:val="left"/>
      <w:pPr>
        <w:ind w:left="1134" w:hanging="217"/>
      </w:pPr>
      <w:rPr>
        <w:rFonts w:hint="default"/>
        <w:lang w:val="en-GB" w:eastAsia="en-GB" w:bidi="en-GB"/>
      </w:rPr>
    </w:lvl>
    <w:lvl w:ilvl="7" w:tplc="3D5664F4">
      <w:numFmt w:val="bullet"/>
      <w:lvlText w:val="•"/>
      <w:lvlJc w:val="left"/>
      <w:pPr>
        <w:ind w:left="1273" w:hanging="217"/>
      </w:pPr>
      <w:rPr>
        <w:rFonts w:hint="default"/>
        <w:lang w:val="en-GB" w:eastAsia="en-GB" w:bidi="en-GB"/>
      </w:rPr>
    </w:lvl>
    <w:lvl w:ilvl="8" w:tplc="76D079C4">
      <w:numFmt w:val="bullet"/>
      <w:lvlText w:val="•"/>
      <w:lvlJc w:val="left"/>
      <w:pPr>
        <w:ind w:left="1412" w:hanging="217"/>
      </w:pPr>
      <w:rPr>
        <w:rFonts w:hint="default"/>
        <w:lang w:val="en-GB" w:eastAsia="en-GB" w:bidi="en-GB"/>
      </w:rPr>
    </w:lvl>
  </w:abstractNum>
  <w:abstractNum w:abstractNumId="575" w15:restartNumberingAfterBreak="0">
    <w:nsid w:val="35E2606D"/>
    <w:multiLevelType w:val="hybridMultilevel"/>
    <w:tmpl w:val="24B241EE"/>
    <w:lvl w:ilvl="0" w:tplc="D64CB30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27CDAC8">
      <w:numFmt w:val="bullet"/>
      <w:lvlText w:val="•"/>
      <w:lvlJc w:val="left"/>
      <w:pPr>
        <w:ind w:left="439" w:hanging="217"/>
      </w:pPr>
      <w:rPr>
        <w:rFonts w:hint="default"/>
        <w:lang w:val="en-GB" w:eastAsia="en-GB" w:bidi="en-GB"/>
      </w:rPr>
    </w:lvl>
    <w:lvl w:ilvl="2" w:tplc="CD8628E4">
      <w:numFmt w:val="bullet"/>
      <w:lvlText w:val="•"/>
      <w:lvlJc w:val="left"/>
      <w:pPr>
        <w:ind w:left="578" w:hanging="217"/>
      </w:pPr>
      <w:rPr>
        <w:rFonts w:hint="default"/>
        <w:lang w:val="en-GB" w:eastAsia="en-GB" w:bidi="en-GB"/>
      </w:rPr>
    </w:lvl>
    <w:lvl w:ilvl="3" w:tplc="24E842B8">
      <w:numFmt w:val="bullet"/>
      <w:lvlText w:val="•"/>
      <w:lvlJc w:val="left"/>
      <w:pPr>
        <w:ind w:left="717" w:hanging="217"/>
      </w:pPr>
      <w:rPr>
        <w:rFonts w:hint="default"/>
        <w:lang w:val="en-GB" w:eastAsia="en-GB" w:bidi="en-GB"/>
      </w:rPr>
    </w:lvl>
    <w:lvl w:ilvl="4" w:tplc="03BA635C">
      <w:numFmt w:val="bullet"/>
      <w:lvlText w:val="•"/>
      <w:lvlJc w:val="left"/>
      <w:pPr>
        <w:ind w:left="856" w:hanging="217"/>
      </w:pPr>
      <w:rPr>
        <w:rFonts w:hint="default"/>
        <w:lang w:val="en-GB" w:eastAsia="en-GB" w:bidi="en-GB"/>
      </w:rPr>
    </w:lvl>
    <w:lvl w:ilvl="5" w:tplc="476A0FCC">
      <w:numFmt w:val="bullet"/>
      <w:lvlText w:val="•"/>
      <w:lvlJc w:val="left"/>
      <w:pPr>
        <w:ind w:left="995" w:hanging="217"/>
      </w:pPr>
      <w:rPr>
        <w:rFonts w:hint="default"/>
        <w:lang w:val="en-GB" w:eastAsia="en-GB" w:bidi="en-GB"/>
      </w:rPr>
    </w:lvl>
    <w:lvl w:ilvl="6" w:tplc="450C297C">
      <w:numFmt w:val="bullet"/>
      <w:lvlText w:val="•"/>
      <w:lvlJc w:val="left"/>
      <w:pPr>
        <w:ind w:left="1134" w:hanging="217"/>
      </w:pPr>
      <w:rPr>
        <w:rFonts w:hint="default"/>
        <w:lang w:val="en-GB" w:eastAsia="en-GB" w:bidi="en-GB"/>
      </w:rPr>
    </w:lvl>
    <w:lvl w:ilvl="7" w:tplc="CA2C9578">
      <w:numFmt w:val="bullet"/>
      <w:lvlText w:val="•"/>
      <w:lvlJc w:val="left"/>
      <w:pPr>
        <w:ind w:left="1273" w:hanging="217"/>
      </w:pPr>
      <w:rPr>
        <w:rFonts w:hint="default"/>
        <w:lang w:val="en-GB" w:eastAsia="en-GB" w:bidi="en-GB"/>
      </w:rPr>
    </w:lvl>
    <w:lvl w:ilvl="8" w:tplc="A29CCCBE">
      <w:numFmt w:val="bullet"/>
      <w:lvlText w:val="•"/>
      <w:lvlJc w:val="left"/>
      <w:pPr>
        <w:ind w:left="1412" w:hanging="217"/>
      </w:pPr>
      <w:rPr>
        <w:rFonts w:hint="default"/>
        <w:lang w:val="en-GB" w:eastAsia="en-GB" w:bidi="en-GB"/>
      </w:rPr>
    </w:lvl>
  </w:abstractNum>
  <w:abstractNum w:abstractNumId="576" w15:restartNumberingAfterBreak="0">
    <w:nsid w:val="36023ADC"/>
    <w:multiLevelType w:val="hybridMultilevel"/>
    <w:tmpl w:val="79F66700"/>
    <w:lvl w:ilvl="0" w:tplc="0C0C9160">
      <w:numFmt w:val="bullet"/>
      <w:lvlText w:val="•"/>
      <w:lvlJc w:val="left"/>
      <w:pPr>
        <w:ind w:left="305" w:hanging="217"/>
      </w:pPr>
      <w:rPr>
        <w:rFonts w:ascii="Arial" w:eastAsia="Arial" w:hAnsi="Arial" w:cs="Arial" w:hint="default"/>
        <w:color w:val="231F20"/>
        <w:w w:val="102"/>
        <w:sz w:val="17"/>
        <w:szCs w:val="17"/>
        <w:lang w:val="en-GB" w:eastAsia="en-GB" w:bidi="en-GB"/>
      </w:rPr>
    </w:lvl>
    <w:lvl w:ilvl="1" w:tplc="8E480390">
      <w:numFmt w:val="bullet"/>
      <w:lvlText w:val="•"/>
      <w:lvlJc w:val="left"/>
      <w:pPr>
        <w:ind w:left="892" w:hanging="217"/>
      </w:pPr>
      <w:rPr>
        <w:rFonts w:hint="default"/>
        <w:lang w:val="en-GB" w:eastAsia="en-GB" w:bidi="en-GB"/>
      </w:rPr>
    </w:lvl>
    <w:lvl w:ilvl="2" w:tplc="0358C5E0">
      <w:numFmt w:val="bullet"/>
      <w:lvlText w:val="•"/>
      <w:lvlJc w:val="left"/>
      <w:pPr>
        <w:ind w:left="1485" w:hanging="217"/>
      </w:pPr>
      <w:rPr>
        <w:rFonts w:hint="default"/>
        <w:lang w:val="en-GB" w:eastAsia="en-GB" w:bidi="en-GB"/>
      </w:rPr>
    </w:lvl>
    <w:lvl w:ilvl="3" w:tplc="AD0A01D0">
      <w:numFmt w:val="bullet"/>
      <w:lvlText w:val="•"/>
      <w:lvlJc w:val="left"/>
      <w:pPr>
        <w:ind w:left="2077" w:hanging="217"/>
      </w:pPr>
      <w:rPr>
        <w:rFonts w:hint="default"/>
        <w:lang w:val="en-GB" w:eastAsia="en-GB" w:bidi="en-GB"/>
      </w:rPr>
    </w:lvl>
    <w:lvl w:ilvl="4" w:tplc="CBC85016">
      <w:numFmt w:val="bullet"/>
      <w:lvlText w:val="•"/>
      <w:lvlJc w:val="left"/>
      <w:pPr>
        <w:ind w:left="2670" w:hanging="217"/>
      </w:pPr>
      <w:rPr>
        <w:rFonts w:hint="default"/>
        <w:lang w:val="en-GB" w:eastAsia="en-GB" w:bidi="en-GB"/>
      </w:rPr>
    </w:lvl>
    <w:lvl w:ilvl="5" w:tplc="B4FA66E8">
      <w:numFmt w:val="bullet"/>
      <w:lvlText w:val="•"/>
      <w:lvlJc w:val="left"/>
      <w:pPr>
        <w:ind w:left="3263" w:hanging="217"/>
      </w:pPr>
      <w:rPr>
        <w:rFonts w:hint="default"/>
        <w:lang w:val="en-GB" w:eastAsia="en-GB" w:bidi="en-GB"/>
      </w:rPr>
    </w:lvl>
    <w:lvl w:ilvl="6" w:tplc="40BA9258">
      <w:numFmt w:val="bullet"/>
      <w:lvlText w:val="•"/>
      <w:lvlJc w:val="left"/>
      <w:pPr>
        <w:ind w:left="3855" w:hanging="217"/>
      </w:pPr>
      <w:rPr>
        <w:rFonts w:hint="default"/>
        <w:lang w:val="en-GB" w:eastAsia="en-GB" w:bidi="en-GB"/>
      </w:rPr>
    </w:lvl>
    <w:lvl w:ilvl="7" w:tplc="A9349F5E">
      <w:numFmt w:val="bullet"/>
      <w:lvlText w:val="•"/>
      <w:lvlJc w:val="left"/>
      <w:pPr>
        <w:ind w:left="4448" w:hanging="217"/>
      </w:pPr>
      <w:rPr>
        <w:rFonts w:hint="default"/>
        <w:lang w:val="en-GB" w:eastAsia="en-GB" w:bidi="en-GB"/>
      </w:rPr>
    </w:lvl>
    <w:lvl w:ilvl="8" w:tplc="6EA2C03E">
      <w:numFmt w:val="bullet"/>
      <w:lvlText w:val="•"/>
      <w:lvlJc w:val="left"/>
      <w:pPr>
        <w:ind w:left="5040" w:hanging="217"/>
      </w:pPr>
      <w:rPr>
        <w:rFonts w:hint="default"/>
        <w:lang w:val="en-GB" w:eastAsia="en-GB" w:bidi="en-GB"/>
      </w:rPr>
    </w:lvl>
  </w:abstractNum>
  <w:abstractNum w:abstractNumId="577" w15:restartNumberingAfterBreak="0">
    <w:nsid w:val="361F7FCA"/>
    <w:multiLevelType w:val="hybridMultilevel"/>
    <w:tmpl w:val="825EC3FC"/>
    <w:lvl w:ilvl="0" w:tplc="225C7CCA">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C1BE3840">
      <w:numFmt w:val="bullet"/>
      <w:lvlText w:val="•"/>
      <w:lvlJc w:val="left"/>
      <w:pPr>
        <w:ind w:left="473" w:hanging="217"/>
      </w:pPr>
      <w:rPr>
        <w:rFonts w:hint="default"/>
        <w:lang w:val="en-GB" w:eastAsia="en-GB" w:bidi="en-GB"/>
      </w:rPr>
    </w:lvl>
    <w:lvl w:ilvl="2" w:tplc="3D040FFA">
      <w:numFmt w:val="bullet"/>
      <w:lvlText w:val="•"/>
      <w:lvlJc w:val="left"/>
      <w:pPr>
        <w:ind w:left="646" w:hanging="217"/>
      </w:pPr>
      <w:rPr>
        <w:rFonts w:hint="default"/>
        <w:lang w:val="en-GB" w:eastAsia="en-GB" w:bidi="en-GB"/>
      </w:rPr>
    </w:lvl>
    <w:lvl w:ilvl="3" w:tplc="53682656">
      <w:numFmt w:val="bullet"/>
      <w:lvlText w:val="•"/>
      <w:lvlJc w:val="left"/>
      <w:pPr>
        <w:ind w:left="819" w:hanging="217"/>
      </w:pPr>
      <w:rPr>
        <w:rFonts w:hint="default"/>
        <w:lang w:val="en-GB" w:eastAsia="en-GB" w:bidi="en-GB"/>
      </w:rPr>
    </w:lvl>
    <w:lvl w:ilvl="4" w:tplc="0F547D9E">
      <w:numFmt w:val="bullet"/>
      <w:lvlText w:val="•"/>
      <w:lvlJc w:val="left"/>
      <w:pPr>
        <w:ind w:left="992" w:hanging="217"/>
      </w:pPr>
      <w:rPr>
        <w:rFonts w:hint="default"/>
        <w:lang w:val="en-GB" w:eastAsia="en-GB" w:bidi="en-GB"/>
      </w:rPr>
    </w:lvl>
    <w:lvl w:ilvl="5" w:tplc="82209488">
      <w:numFmt w:val="bullet"/>
      <w:lvlText w:val="•"/>
      <w:lvlJc w:val="left"/>
      <w:pPr>
        <w:ind w:left="1165" w:hanging="217"/>
      </w:pPr>
      <w:rPr>
        <w:rFonts w:hint="default"/>
        <w:lang w:val="en-GB" w:eastAsia="en-GB" w:bidi="en-GB"/>
      </w:rPr>
    </w:lvl>
    <w:lvl w:ilvl="6" w:tplc="BC0805C4">
      <w:numFmt w:val="bullet"/>
      <w:lvlText w:val="•"/>
      <w:lvlJc w:val="left"/>
      <w:pPr>
        <w:ind w:left="1338" w:hanging="217"/>
      </w:pPr>
      <w:rPr>
        <w:rFonts w:hint="default"/>
        <w:lang w:val="en-GB" w:eastAsia="en-GB" w:bidi="en-GB"/>
      </w:rPr>
    </w:lvl>
    <w:lvl w:ilvl="7" w:tplc="9FC27B56">
      <w:numFmt w:val="bullet"/>
      <w:lvlText w:val="•"/>
      <w:lvlJc w:val="left"/>
      <w:pPr>
        <w:ind w:left="1511" w:hanging="217"/>
      </w:pPr>
      <w:rPr>
        <w:rFonts w:hint="default"/>
        <w:lang w:val="en-GB" w:eastAsia="en-GB" w:bidi="en-GB"/>
      </w:rPr>
    </w:lvl>
    <w:lvl w:ilvl="8" w:tplc="EF0639AA">
      <w:numFmt w:val="bullet"/>
      <w:lvlText w:val="•"/>
      <w:lvlJc w:val="left"/>
      <w:pPr>
        <w:ind w:left="1684" w:hanging="217"/>
      </w:pPr>
      <w:rPr>
        <w:rFonts w:hint="default"/>
        <w:lang w:val="en-GB" w:eastAsia="en-GB" w:bidi="en-GB"/>
      </w:rPr>
    </w:lvl>
  </w:abstractNum>
  <w:abstractNum w:abstractNumId="578" w15:restartNumberingAfterBreak="0">
    <w:nsid w:val="362C7DE4"/>
    <w:multiLevelType w:val="hybridMultilevel"/>
    <w:tmpl w:val="B48ABFA0"/>
    <w:lvl w:ilvl="0" w:tplc="1562D54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878F78A">
      <w:numFmt w:val="bullet"/>
      <w:lvlText w:val="•"/>
      <w:lvlJc w:val="left"/>
      <w:pPr>
        <w:ind w:left="439" w:hanging="217"/>
      </w:pPr>
      <w:rPr>
        <w:rFonts w:hint="default"/>
        <w:lang w:val="en-GB" w:eastAsia="en-GB" w:bidi="en-GB"/>
      </w:rPr>
    </w:lvl>
    <w:lvl w:ilvl="2" w:tplc="079652BC">
      <w:numFmt w:val="bullet"/>
      <w:lvlText w:val="•"/>
      <w:lvlJc w:val="left"/>
      <w:pPr>
        <w:ind w:left="578" w:hanging="217"/>
      </w:pPr>
      <w:rPr>
        <w:rFonts w:hint="default"/>
        <w:lang w:val="en-GB" w:eastAsia="en-GB" w:bidi="en-GB"/>
      </w:rPr>
    </w:lvl>
    <w:lvl w:ilvl="3" w:tplc="80A84856">
      <w:numFmt w:val="bullet"/>
      <w:lvlText w:val="•"/>
      <w:lvlJc w:val="left"/>
      <w:pPr>
        <w:ind w:left="717" w:hanging="217"/>
      </w:pPr>
      <w:rPr>
        <w:rFonts w:hint="default"/>
        <w:lang w:val="en-GB" w:eastAsia="en-GB" w:bidi="en-GB"/>
      </w:rPr>
    </w:lvl>
    <w:lvl w:ilvl="4" w:tplc="95DC9578">
      <w:numFmt w:val="bullet"/>
      <w:lvlText w:val="•"/>
      <w:lvlJc w:val="left"/>
      <w:pPr>
        <w:ind w:left="856" w:hanging="217"/>
      </w:pPr>
      <w:rPr>
        <w:rFonts w:hint="default"/>
        <w:lang w:val="en-GB" w:eastAsia="en-GB" w:bidi="en-GB"/>
      </w:rPr>
    </w:lvl>
    <w:lvl w:ilvl="5" w:tplc="7FA2DD7C">
      <w:numFmt w:val="bullet"/>
      <w:lvlText w:val="•"/>
      <w:lvlJc w:val="left"/>
      <w:pPr>
        <w:ind w:left="995" w:hanging="217"/>
      </w:pPr>
      <w:rPr>
        <w:rFonts w:hint="default"/>
        <w:lang w:val="en-GB" w:eastAsia="en-GB" w:bidi="en-GB"/>
      </w:rPr>
    </w:lvl>
    <w:lvl w:ilvl="6" w:tplc="81BCAF48">
      <w:numFmt w:val="bullet"/>
      <w:lvlText w:val="•"/>
      <w:lvlJc w:val="left"/>
      <w:pPr>
        <w:ind w:left="1134" w:hanging="217"/>
      </w:pPr>
      <w:rPr>
        <w:rFonts w:hint="default"/>
        <w:lang w:val="en-GB" w:eastAsia="en-GB" w:bidi="en-GB"/>
      </w:rPr>
    </w:lvl>
    <w:lvl w:ilvl="7" w:tplc="0152E902">
      <w:numFmt w:val="bullet"/>
      <w:lvlText w:val="•"/>
      <w:lvlJc w:val="left"/>
      <w:pPr>
        <w:ind w:left="1273" w:hanging="217"/>
      </w:pPr>
      <w:rPr>
        <w:rFonts w:hint="default"/>
        <w:lang w:val="en-GB" w:eastAsia="en-GB" w:bidi="en-GB"/>
      </w:rPr>
    </w:lvl>
    <w:lvl w:ilvl="8" w:tplc="7F86D6FA">
      <w:numFmt w:val="bullet"/>
      <w:lvlText w:val="•"/>
      <w:lvlJc w:val="left"/>
      <w:pPr>
        <w:ind w:left="1412" w:hanging="217"/>
      </w:pPr>
      <w:rPr>
        <w:rFonts w:hint="default"/>
        <w:lang w:val="en-GB" w:eastAsia="en-GB" w:bidi="en-GB"/>
      </w:rPr>
    </w:lvl>
  </w:abstractNum>
  <w:abstractNum w:abstractNumId="579" w15:restartNumberingAfterBreak="0">
    <w:nsid w:val="36494745"/>
    <w:multiLevelType w:val="hybridMultilevel"/>
    <w:tmpl w:val="ABCA1794"/>
    <w:lvl w:ilvl="0" w:tplc="FD0AFAF4">
      <w:numFmt w:val="bullet"/>
      <w:lvlText w:val="•"/>
      <w:lvlJc w:val="left"/>
      <w:pPr>
        <w:ind w:left="305" w:hanging="217"/>
      </w:pPr>
      <w:rPr>
        <w:rFonts w:ascii="Arial" w:eastAsia="Arial" w:hAnsi="Arial" w:cs="Arial" w:hint="default"/>
        <w:color w:val="231F20"/>
        <w:w w:val="102"/>
        <w:sz w:val="17"/>
        <w:szCs w:val="17"/>
        <w:lang w:val="en-GB" w:eastAsia="en-GB" w:bidi="en-GB"/>
      </w:rPr>
    </w:lvl>
    <w:lvl w:ilvl="1" w:tplc="242E3E56">
      <w:numFmt w:val="bullet"/>
      <w:lvlText w:val="•"/>
      <w:lvlJc w:val="left"/>
      <w:pPr>
        <w:ind w:left="892" w:hanging="217"/>
      </w:pPr>
      <w:rPr>
        <w:rFonts w:hint="default"/>
        <w:lang w:val="en-GB" w:eastAsia="en-GB" w:bidi="en-GB"/>
      </w:rPr>
    </w:lvl>
    <w:lvl w:ilvl="2" w:tplc="FB5C7A7C">
      <w:numFmt w:val="bullet"/>
      <w:lvlText w:val="•"/>
      <w:lvlJc w:val="left"/>
      <w:pPr>
        <w:ind w:left="1485" w:hanging="217"/>
      </w:pPr>
      <w:rPr>
        <w:rFonts w:hint="default"/>
        <w:lang w:val="en-GB" w:eastAsia="en-GB" w:bidi="en-GB"/>
      </w:rPr>
    </w:lvl>
    <w:lvl w:ilvl="3" w:tplc="57282C22">
      <w:numFmt w:val="bullet"/>
      <w:lvlText w:val="•"/>
      <w:lvlJc w:val="left"/>
      <w:pPr>
        <w:ind w:left="2077" w:hanging="217"/>
      </w:pPr>
      <w:rPr>
        <w:rFonts w:hint="default"/>
        <w:lang w:val="en-GB" w:eastAsia="en-GB" w:bidi="en-GB"/>
      </w:rPr>
    </w:lvl>
    <w:lvl w:ilvl="4" w:tplc="5EEACC76">
      <w:numFmt w:val="bullet"/>
      <w:lvlText w:val="•"/>
      <w:lvlJc w:val="left"/>
      <w:pPr>
        <w:ind w:left="2670" w:hanging="217"/>
      </w:pPr>
      <w:rPr>
        <w:rFonts w:hint="default"/>
        <w:lang w:val="en-GB" w:eastAsia="en-GB" w:bidi="en-GB"/>
      </w:rPr>
    </w:lvl>
    <w:lvl w:ilvl="5" w:tplc="544AFE4A">
      <w:numFmt w:val="bullet"/>
      <w:lvlText w:val="•"/>
      <w:lvlJc w:val="left"/>
      <w:pPr>
        <w:ind w:left="3263" w:hanging="217"/>
      </w:pPr>
      <w:rPr>
        <w:rFonts w:hint="default"/>
        <w:lang w:val="en-GB" w:eastAsia="en-GB" w:bidi="en-GB"/>
      </w:rPr>
    </w:lvl>
    <w:lvl w:ilvl="6" w:tplc="0E02A622">
      <w:numFmt w:val="bullet"/>
      <w:lvlText w:val="•"/>
      <w:lvlJc w:val="left"/>
      <w:pPr>
        <w:ind w:left="3855" w:hanging="217"/>
      </w:pPr>
      <w:rPr>
        <w:rFonts w:hint="default"/>
        <w:lang w:val="en-GB" w:eastAsia="en-GB" w:bidi="en-GB"/>
      </w:rPr>
    </w:lvl>
    <w:lvl w:ilvl="7" w:tplc="148EEB30">
      <w:numFmt w:val="bullet"/>
      <w:lvlText w:val="•"/>
      <w:lvlJc w:val="left"/>
      <w:pPr>
        <w:ind w:left="4448" w:hanging="217"/>
      </w:pPr>
      <w:rPr>
        <w:rFonts w:hint="default"/>
        <w:lang w:val="en-GB" w:eastAsia="en-GB" w:bidi="en-GB"/>
      </w:rPr>
    </w:lvl>
    <w:lvl w:ilvl="8" w:tplc="3F9CD228">
      <w:numFmt w:val="bullet"/>
      <w:lvlText w:val="•"/>
      <w:lvlJc w:val="left"/>
      <w:pPr>
        <w:ind w:left="5040" w:hanging="217"/>
      </w:pPr>
      <w:rPr>
        <w:rFonts w:hint="default"/>
        <w:lang w:val="en-GB" w:eastAsia="en-GB" w:bidi="en-GB"/>
      </w:rPr>
    </w:lvl>
  </w:abstractNum>
  <w:abstractNum w:abstractNumId="580" w15:restartNumberingAfterBreak="0">
    <w:nsid w:val="36494C6A"/>
    <w:multiLevelType w:val="hybridMultilevel"/>
    <w:tmpl w:val="96CE0566"/>
    <w:lvl w:ilvl="0" w:tplc="9A02CC98">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73D2DBD6">
      <w:numFmt w:val="bullet"/>
      <w:lvlText w:val="•"/>
      <w:lvlJc w:val="left"/>
      <w:pPr>
        <w:ind w:left="473" w:hanging="217"/>
      </w:pPr>
      <w:rPr>
        <w:rFonts w:hint="default"/>
        <w:lang w:val="en-GB" w:eastAsia="en-GB" w:bidi="en-GB"/>
      </w:rPr>
    </w:lvl>
    <w:lvl w:ilvl="2" w:tplc="2D6AC336">
      <w:numFmt w:val="bullet"/>
      <w:lvlText w:val="•"/>
      <w:lvlJc w:val="left"/>
      <w:pPr>
        <w:ind w:left="646" w:hanging="217"/>
      </w:pPr>
      <w:rPr>
        <w:rFonts w:hint="default"/>
        <w:lang w:val="en-GB" w:eastAsia="en-GB" w:bidi="en-GB"/>
      </w:rPr>
    </w:lvl>
    <w:lvl w:ilvl="3" w:tplc="999442BC">
      <w:numFmt w:val="bullet"/>
      <w:lvlText w:val="•"/>
      <w:lvlJc w:val="left"/>
      <w:pPr>
        <w:ind w:left="819" w:hanging="217"/>
      </w:pPr>
      <w:rPr>
        <w:rFonts w:hint="default"/>
        <w:lang w:val="en-GB" w:eastAsia="en-GB" w:bidi="en-GB"/>
      </w:rPr>
    </w:lvl>
    <w:lvl w:ilvl="4" w:tplc="B3B6D898">
      <w:numFmt w:val="bullet"/>
      <w:lvlText w:val="•"/>
      <w:lvlJc w:val="left"/>
      <w:pPr>
        <w:ind w:left="992" w:hanging="217"/>
      </w:pPr>
      <w:rPr>
        <w:rFonts w:hint="default"/>
        <w:lang w:val="en-GB" w:eastAsia="en-GB" w:bidi="en-GB"/>
      </w:rPr>
    </w:lvl>
    <w:lvl w:ilvl="5" w:tplc="DC647426">
      <w:numFmt w:val="bullet"/>
      <w:lvlText w:val="•"/>
      <w:lvlJc w:val="left"/>
      <w:pPr>
        <w:ind w:left="1165" w:hanging="217"/>
      </w:pPr>
      <w:rPr>
        <w:rFonts w:hint="default"/>
        <w:lang w:val="en-GB" w:eastAsia="en-GB" w:bidi="en-GB"/>
      </w:rPr>
    </w:lvl>
    <w:lvl w:ilvl="6" w:tplc="45BEF52A">
      <w:numFmt w:val="bullet"/>
      <w:lvlText w:val="•"/>
      <w:lvlJc w:val="left"/>
      <w:pPr>
        <w:ind w:left="1338" w:hanging="217"/>
      </w:pPr>
      <w:rPr>
        <w:rFonts w:hint="default"/>
        <w:lang w:val="en-GB" w:eastAsia="en-GB" w:bidi="en-GB"/>
      </w:rPr>
    </w:lvl>
    <w:lvl w:ilvl="7" w:tplc="EBF0058C">
      <w:numFmt w:val="bullet"/>
      <w:lvlText w:val="•"/>
      <w:lvlJc w:val="left"/>
      <w:pPr>
        <w:ind w:left="1511" w:hanging="217"/>
      </w:pPr>
      <w:rPr>
        <w:rFonts w:hint="default"/>
        <w:lang w:val="en-GB" w:eastAsia="en-GB" w:bidi="en-GB"/>
      </w:rPr>
    </w:lvl>
    <w:lvl w:ilvl="8" w:tplc="04A0AE30">
      <w:numFmt w:val="bullet"/>
      <w:lvlText w:val="•"/>
      <w:lvlJc w:val="left"/>
      <w:pPr>
        <w:ind w:left="1684" w:hanging="217"/>
      </w:pPr>
      <w:rPr>
        <w:rFonts w:hint="default"/>
        <w:lang w:val="en-GB" w:eastAsia="en-GB" w:bidi="en-GB"/>
      </w:rPr>
    </w:lvl>
  </w:abstractNum>
  <w:abstractNum w:abstractNumId="581" w15:restartNumberingAfterBreak="0">
    <w:nsid w:val="364E11B1"/>
    <w:multiLevelType w:val="hybridMultilevel"/>
    <w:tmpl w:val="EF34556E"/>
    <w:lvl w:ilvl="0" w:tplc="BE72927A">
      <w:numFmt w:val="bullet"/>
      <w:lvlText w:val="•"/>
      <w:lvlJc w:val="left"/>
      <w:pPr>
        <w:ind w:left="304" w:hanging="217"/>
      </w:pPr>
      <w:rPr>
        <w:rFonts w:ascii="Arial" w:eastAsia="Arial" w:hAnsi="Arial" w:cs="Arial" w:hint="default"/>
        <w:color w:val="231F20"/>
        <w:w w:val="100"/>
        <w:sz w:val="18"/>
        <w:szCs w:val="18"/>
        <w:lang w:val="en-GB" w:eastAsia="en-GB" w:bidi="en-GB"/>
      </w:rPr>
    </w:lvl>
    <w:lvl w:ilvl="1" w:tplc="BE14A536">
      <w:numFmt w:val="bullet"/>
      <w:lvlText w:val="•"/>
      <w:lvlJc w:val="left"/>
      <w:pPr>
        <w:ind w:left="473" w:hanging="217"/>
      </w:pPr>
      <w:rPr>
        <w:rFonts w:hint="default"/>
        <w:lang w:val="en-GB" w:eastAsia="en-GB" w:bidi="en-GB"/>
      </w:rPr>
    </w:lvl>
    <w:lvl w:ilvl="2" w:tplc="7F9E3F86">
      <w:numFmt w:val="bullet"/>
      <w:lvlText w:val="•"/>
      <w:lvlJc w:val="left"/>
      <w:pPr>
        <w:ind w:left="646" w:hanging="217"/>
      </w:pPr>
      <w:rPr>
        <w:rFonts w:hint="default"/>
        <w:lang w:val="en-GB" w:eastAsia="en-GB" w:bidi="en-GB"/>
      </w:rPr>
    </w:lvl>
    <w:lvl w:ilvl="3" w:tplc="797E5932">
      <w:numFmt w:val="bullet"/>
      <w:lvlText w:val="•"/>
      <w:lvlJc w:val="left"/>
      <w:pPr>
        <w:ind w:left="819" w:hanging="217"/>
      </w:pPr>
      <w:rPr>
        <w:rFonts w:hint="default"/>
        <w:lang w:val="en-GB" w:eastAsia="en-GB" w:bidi="en-GB"/>
      </w:rPr>
    </w:lvl>
    <w:lvl w:ilvl="4" w:tplc="3192FDAC">
      <w:numFmt w:val="bullet"/>
      <w:lvlText w:val="•"/>
      <w:lvlJc w:val="left"/>
      <w:pPr>
        <w:ind w:left="992" w:hanging="217"/>
      </w:pPr>
      <w:rPr>
        <w:rFonts w:hint="default"/>
        <w:lang w:val="en-GB" w:eastAsia="en-GB" w:bidi="en-GB"/>
      </w:rPr>
    </w:lvl>
    <w:lvl w:ilvl="5" w:tplc="628627E0">
      <w:numFmt w:val="bullet"/>
      <w:lvlText w:val="•"/>
      <w:lvlJc w:val="left"/>
      <w:pPr>
        <w:ind w:left="1165" w:hanging="217"/>
      </w:pPr>
      <w:rPr>
        <w:rFonts w:hint="default"/>
        <w:lang w:val="en-GB" w:eastAsia="en-GB" w:bidi="en-GB"/>
      </w:rPr>
    </w:lvl>
    <w:lvl w:ilvl="6" w:tplc="2AFEC16C">
      <w:numFmt w:val="bullet"/>
      <w:lvlText w:val="•"/>
      <w:lvlJc w:val="left"/>
      <w:pPr>
        <w:ind w:left="1338" w:hanging="217"/>
      </w:pPr>
      <w:rPr>
        <w:rFonts w:hint="default"/>
        <w:lang w:val="en-GB" w:eastAsia="en-GB" w:bidi="en-GB"/>
      </w:rPr>
    </w:lvl>
    <w:lvl w:ilvl="7" w:tplc="EA3C870A">
      <w:numFmt w:val="bullet"/>
      <w:lvlText w:val="•"/>
      <w:lvlJc w:val="left"/>
      <w:pPr>
        <w:ind w:left="1511" w:hanging="217"/>
      </w:pPr>
      <w:rPr>
        <w:rFonts w:hint="default"/>
        <w:lang w:val="en-GB" w:eastAsia="en-GB" w:bidi="en-GB"/>
      </w:rPr>
    </w:lvl>
    <w:lvl w:ilvl="8" w:tplc="2C32EA70">
      <w:numFmt w:val="bullet"/>
      <w:lvlText w:val="•"/>
      <w:lvlJc w:val="left"/>
      <w:pPr>
        <w:ind w:left="1684" w:hanging="217"/>
      </w:pPr>
      <w:rPr>
        <w:rFonts w:hint="default"/>
        <w:lang w:val="en-GB" w:eastAsia="en-GB" w:bidi="en-GB"/>
      </w:rPr>
    </w:lvl>
  </w:abstractNum>
  <w:abstractNum w:abstractNumId="582" w15:restartNumberingAfterBreak="0">
    <w:nsid w:val="36505CD5"/>
    <w:multiLevelType w:val="hybridMultilevel"/>
    <w:tmpl w:val="3B50E38E"/>
    <w:lvl w:ilvl="0" w:tplc="4D1CB14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7D188DA2">
      <w:numFmt w:val="bullet"/>
      <w:lvlText w:val="•"/>
      <w:lvlJc w:val="left"/>
      <w:pPr>
        <w:ind w:left="677" w:hanging="217"/>
      </w:pPr>
      <w:rPr>
        <w:rFonts w:hint="default"/>
        <w:lang w:val="en-GB" w:eastAsia="en-GB" w:bidi="en-GB"/>
      </w:rPr>
    </w:lvl>
    <w:lvl w:ilvl="2" w:tplc="2BF25C36">
      <w:numFmt w:val="bullet"/>
      <w:lvlText w:val="•"/>
      <w:lvlJc w:val="left"/>
      <w:pPr>
        <w:ind w:left="1054" w:hanging="217"/>
      </w:pPr>
      <w:rPr>
        <w:rFonts w:hint="default"/>
        <w:lang w:val="en-GB" w:eastAsia="en-GB" w:bidi="en-GB"/>
      </w:rPr>
    </w:lvl>
    <w:lvl w:ilvl="3" w:tplc="1B12C228">
      <w:numFmt w:val="bullet"/>
      <w:lvlText w:val="•"/>
      <w:lvlJc w:val="left"/>
      <w:pPr>
        <w:ind w:left="1431" w:hanging="217"/>
      </w:pPr>
      <w:rPr>
        <w:rFonts w:hint="default"/>
        <w:lang w:val="en-GB" w:eastAsia="en-GB" w:bidi="en-GB"/>
      </w:rPr>
    </w:lvl>
    <w:lvl w:ilvl="4" w:tplc="18027866">
      <w:numFmt w:val="bullet"/>
      <w:lvlText w:val="•"/>
      <w:lvlJc w:val="left"/>
      <w:pPr>
        <w:ind w:left="1808" w:hanging="217"/>
      </w:pPr>
      <w:rPr>
        <w:rFonts w:hint="default"/>
        <w:lang w:val="en-GB" w:eastAsia="en-GB" w:bidi="en-GB"/>
      </w:rPr>
    </w:lvl>
    <w:lvl w:ilvl="5" w:tplc="80DC0776">
      <w:numFmt w:val="bullet"/>
      <w:lvlText w:val="•"/>
      <w:lvlJc w:val="left"/>
      <w:pPr>
        <w:ind w:left="2186" w:hanging="217"/>
      </w:pPr>
      <w:rPr>
        <w:rFonts w:hint="default"/>
        <w:lang w:val="en-GB" w:eastAsia="en-GB" w:bidi="en-GB"/>
      </w:rPr>
    </w:lvl>
    <w:lvl w:ilvl="6" w:tplc="BD642288">
      <w:numFmt w:val="bullet"/>
      <w:lvlText w:val="•"/>
      <w:lvlJc w:val="left"/>
      <w:pPr>
        <w:ind w:left="2563" w:hanging="217"/>
      </w:pPr>
      <w:rPr>
        <w:rFonts w:hint="default"/>
        <w:lang w:val="en-GB" w:eastAsia="en-GB" w:bidi="en-GB"/>
      </w:rPr>
    </w:lvl>
    <w:lvl w:ilvl="7" w:tplc="06962034">
      <w:numFmt w:val="bullet"/>
      <w:lvlText w:val="•"/>
      <w:lvlJc w:val="left"/>
      <w:pPr>
        <w:ind w:left="2940" w:hanging="217"/>
      </w:pPr>
      <w:rPr>
        <w:rFonts w:hint="default"/>
        <w:lang w:val="en-GB" w:eastAsia="en-GB" w:bidi="en-GB"/>
      </w:rPr>
    </w:lvl>
    <w:lvl w:ilvl="8" w:tplc="EFBCB67E">
      <w:numFmt w:val="bullet"/>
      <w:lvlText w:val="•"/>
      <w:lvlJc w:val="left"/>
      <w:pPr>
        <w:ind w:left="3317" w:hanging="217"/>
      </w:pPr>
      <w:rPr>
        <w:rFonts w:hint="default"/>
        <w:lang w:val="en-GB" w:eastAsia="en-GB" w:bidi="en-GB"/>
      </w:rPr>
    </w:lvl>
  </w:abstractNum>
  <w:abstractNum w:abstractNumId="583" w15:restartNumberingAfterBreak="0">
    <w:nsid w:val="366911C5"/>
    <w:multiLevelType w:val="hybridMultilevel"/>
    <w:tmpl w:val="F120F086"/>
    <w:lvl w:ilvl="0" w:tplc="FCD407DE">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1CAC5DE0">
      <w:numFmt w:val="bullet"/>
      <w:lvlText w:val="•"/>
      <w:lvlJc w:val="left"/>
      <w:pPr>
        <w:ind w:left="892" w:hanging="217"/>
      </w:pPr>
      <w:rPr>
        <w:rFonts w:hint="default"/>
        <w:lang w:val="en-GB" w:eastAsia="en-GB" w:bidi="en-GB"/>
      </w:rPr>
    </w:lvl>
    <w:lvl w:ilvl="2" w:tplc="D1344F3E">
      <w:numFmt w:val="bullet"/>
      <w:lvlText w:val="•"/>
      <w:lvlJc w:val="left"/>
      <w:pPr>
        <w:ind w:left="1485" w:hanging="217"/>
      </w:pPr>
      <w:rPr>
        <w:rFonts w:hint="default"/>
        <w:lang w:val="en-GB" w:eastAsia="en-GB" w:bidi="en-GB"/>
      </w:rPr>
    </w:lvl>
    <w:lvl w:ilvl="3" w:tplc="714CEC94">
      <w:numFmt w:val="bullet"/>
      <w:lvlText w:val="•"/>
      <w:lvlJc w:val="left"/>
      <w:pPr>
        <w:ind w:left="2077" w:hanging="217"/>
      </w:pPr>
      <w:rPr>
        <w:rFonts w:hint="default"/>
        <w:lang w:val="en-GB" w:eastAsia="en-GB" w:bidi="en-GB"/>
      </w:rPr>
    </w:lvl>
    <w:lvl w:ilvl="4" w:tplc="6F324A8E">
      <w:numFmt w:val="bullet"/>
      <w:lvlText w:val="•"/>
      <w:lvlJc w:val="left"/>
      <w:pPr>
        <w:ind w:left="2670" w:hanging="217"/>
      </w:pPr>
      <w:rPr>
        <w:rFonts w:hint="default"/>
        <w:lang w:val="en-GB" w:eastAsia="en-GB" w:bidi="en-GB"/>
      </w:rPr>
    </w:lvl>
    <w:lvl w:ilvl="5" w:tplc="B388E99C">
      <w:numFmt w:val="bullet"/>
      <w:lvlText w:val="•"/>
      <w:lvlJc w:val="left"/>
      <w:pPr>
        <w:ind w:left="3263" w:hanging="217"/>
      </w:pPr>
      <w:rPr>
        <w:rFonts w:hint="default"/>
        <w:lang w:val="en-GB" w:eastAsia="en-GB" w:bidi="en-GB"/>
      </w:rPr>
    </w:lvl>
    <w:lvl w:ilvl="6" w:tplc="A872ADAA">
      <w:numFmt w:val="bullet"/>
      <w:lvlText w:val="•"/>
      <w:lvlJc w:val="left"/>
      <w:pPr>
        <w:ind w:left="3855" w:hanging="217"/>
      </w:pPr>
      <w:rPr>
        <w:rFonts w:hint="default"/>
        <w:lang w:val="en-GB" w:eastAsia="en-GB" w:bidi="en-GB"/>
      </w:rPr>
    </w:lvl>
    <w:lvl w:ilvl="7" w:tplc="04CE8DE6">
      <w:numFmt w:val="bullet"/>
      <w:lvlText w:val="•"/>
      <w:lvlJc w:val="left"/>
      <w:pPr>
        <w:ind w:left="4448" w:hanging="217"/>
      </w:pPr>
      <w:rPr>
        <w:rFonts w:hint="default"/>
        <w:lang w:val="en-GB" w:eastAsia="en-GB" w:bidi="en-GB"/>
      </w:rPr>
    </w:lvl>
    <w:lvl w:ilvl="8" w:tplc="1D2A3AA8">
      <w:numFmt w:val="bullet"/>
      <w:lvlText w:val="•"/>
      <w:lvlJc w:val="left"/>
      <w:pPr>
        <w:ind w:left="5040" w:hanging="217"/>
      </w:pPr>
      <w:rPr>
        <w:rFonts w:hint="default"/>
        <w:lang w:val="en-GB" w:eastAsia="en-GB" w:bidi="en-GB"/>
      </w:rPr>
    </w:lvl>
  </w:abstractNum>
  <w:abstractNum w:abstractNumId="584" w15:restartNumberingAfterBreak="0">
    <w:nsid w:val="366C0C3A"/>
    <w:multiLevelType w:val="hybridMultilevel"/>
    <w:tmpl w:val="89B8F296"/>
    <w:lvl w:ilvl="0" w:tplc="F6BE9E5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0CCFE8A">
      <w:numFmt w:val="bullet"/>
      <w:lvlText w:val="•"/>
      <w:lvlJc w:val="left"/>
      <w:pPr>
        <w:ind w:left="473" w:hanging="217"/>
      </w:pPr>
      <w:rPr>
        <w:rFonts w:hint="default"/>
        <w:lang w:val="en-GB" w:eastAsia="en-GB" w:bidi="en-GB"/>
      </w:rPr>
    </w:lvl>
    <w:lvl w:ilvl="2" w:tplc="B588C750">
      <w:numFmt w:val="bullet"/>
      <w:lvlText w:val="•"/>
      <w:lvlJc w:val="left"/>
      <w:pPr>
        <w:ind w:left="646" w:hanging="217"/>
      </w:pPr>
      <w:rPr>
        <w:rFonts w:hint="default"/>
        <w:lang w:val="en-GB" w:eastAsia="en-GB" w:bidi="en-GB"/>
      </w:rPr>
    </w:lvl>
    <w:lvl w:ilvl="3" w:tplc="D4647A0E">
      <w:numFmt w:val="bullet"/>
      <w:lvlText w:val="•"/>
      <w:lvlJc w:val="left"/>
      <w:pPr>
        <w:ind w:left="819" w:hanging="217"/>
      </w:pPr>
      <w:rPr>
        <w:rFonts w:hint="default"/>
        <w:lang w:val="en-GB" w:eastAsia="en-GB" w:bidi="en-GB"/>
      </w:rPr>
    </w:lvl>
    <w:lvl w:ilvl="4" w:tplc="E6B436FA">
      <w:numFmt w:val="bullet"/>
      <w:lvlText w:val="•"/>
      <w:lvlJc w:val="left"/>
      <w:pPr>
        <w:ind w:left="992" w:hanging="217"/>
      </w:pPr>
      <w:rPr>
        <w:rFonts w:hint="default"/>
        <w:lang w:val="en-GB" w:eastAsia="en-GB" w:bidi="en-GB"/>
      </w:rPr>
    </w:lvl>
    <w:lvl w:ilvl="5" w:tplc="65AAC362">
      <w:numFmt w:val="bullet"/>
      <w:lvlText w:val="•"/>
      <w:lvlJc w:val="left"/>
      <w:pPr>
        <w:ind w:left="1165" w:hanging="217"/>
      </w:pPr>
      <w:rPr>
        <w:rFonts w:hint="default"/>
        <w:lang w:val="en-GB" w:eastAsia="en-GB" w:bidi="en-GB"/>
      </w:rPr>
    </w:lvl>
    <w:lvl w:ilvl="6" w:tplc="218C4FE6">
      <w:numFmt w:val="bullet"/>
      <w:lvlText w:val="•"/>
      <w:lvlJc w:val="left"/>
      <w:pPr>
        <w:ind w:left="1338" w:hanging="217"/>
      </w:pPr>
      <w:rPr>
        <w:rFonts w:hint="default"/>
        <w:lang w:val="en-GB" w:eastAsia="en-GB" w:bidi="en-GB"/>
      </w:rPr>
    </w:lvl>
    <w:lvl w:ilvl="7" w:tplc="83503C0C">
      <w:numFmt w:val="bullet"/>
      <w:lvlText w:val="•"/>
      <w:lvlJc w:val="left"/>
      <w:pPr>
        <w:ind w:left="1511" w:hanging="217"/>
      </w:pPr>
      <w:rPr>
        <w:rFonts w:hint="default"/>
        <w:lang w:val="en-GB" w:eastAsia="en-GB" w:bidi="en-GB"/>
      </w:rPr>
    </w:lvl>
    <w:lvl w:ilvl="8" w:tplc="1DEA25C8">
      <w:numFmt w:val="bullet"/>
      <w:lvlText w:val="•"/>
      <w:lvlJc w:val="left"/>
      <w:pPr>
        <w:ind w:left="1684" w:hanging="217"/>
      </w:pPr>
      <w:rPr>
        <w:rFonts w:hint="default"/>
        <w:lang w:val="en-GB" w:eastAsia="en-GB" w:bidi="en-GB"/>
      </w:rPr>
    </w:lvl>
  </w:abstractNum>
  <w:abstractNum w:abstractNumId="585" w15:restartNumberingAfterBreak="0">
    <w:nsid w:val="36756B24"/>
    <w:multiLevelType w:val="hybridMultilevel"/>
    <w:tmpl w:val="2BBE5DC2"/>
    <w:lvl w:ilvl="0" w:tplc="4E0EF4A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BFA2092">
      <w:numFmt w:val="bullet"/>
      <w:lvlText w:val="•"/>
      <w:lvlJc w:val="left"/>
      <w:pPr>
        <w:ind w:left="892" w:hanging="217"/>
      </w:pPr>
      <w:rPr>
        <w:rFonts w:hint="default"/>
        <w:lang w:val="en-GB" w:eastAsia="en-GB" w:bidi="en-GB"/>
      </w:rPr>
    </w:lvl>
    <w:lvl w:ilvl="2" w:tplc="E38AA350">
      <w:numFmt w:val="bullet"/>
      <w:lvlText w:val="•"/>
      <w:lvlJc w:val="left"/>
      <w:pPr>
        <w:ind w:left="1485" w:hanging="217"/>
      </w:pPr>
      <w:rPr>
        <w:rFonts w:hint="default"/>
        <w:lang w:val="en-GB" w:eastAsia="en-GB" w:bidi="en-GB"/>
      </w:rPr>
    </w:lvl>
    <w:lvl w:ilvl="3" w:tplc="A6627E8C">
      <w:numFmt w:val="bullet"/>
      <w:lvlText w:val="•"/>
      <w:lvlJc w:val="left"/>
      <w:pPr>
        <w:ind w:left="2077" w:hanging="217"/>
      </w:pPr>
      <w:rPr>
        <w:rFonts w:hint="default"/>
        <w:lang w:val="en-GB" w:eastAsia="en-GB" w:bidi="en-GB"/>
      </w:rPr>
    </w:lvl>
    <w:lvl w:ilvl="4" w:tplc="5394A730">
      <w:numFmt w:val="bullet"/>
      <w:lvlText w:val="•"/>
      <w:lvlJc w:val="left"/>
      <w:pPr>
        <w:ind w:left="2670" w:hanging="217"/>
      </w:pPr>
      <w:rPr>
        <w:rFonts w:hint="default"/>
        <w:lang w:val="en-GB" w:eastAsia="en-GB" w:bidi="en-GB"/>
      </w:rPr>
    </w:lvl>
    <w:lvl w:ilvl="5" w:tplc="765C3E20">
      <w:numFmt w:val="bullet"/>
      <w:lvlText w:val="•"/>
      <w:lvlJc w:val="left"/>
      <w:pPr>
        <w:ind w:left="3263" w:hanging="217"/>
      </w:pPr>
      <w:rPr>
        <w:rFonts w:hint="default"/>
        <w:lang w:val="en-GB" w:eastAsia="en-GB" w:bidi="en-GB"/>
      </w:rPr>
    </w:lvl>
    <w:lvl w:ilvl="6" w:tplc="DFC29E14">
      <w:numFmt w:val="bullet"/>
      <w:lvlText w:val="•"/>
      <w:lvlJc w:val="left"/>
      <w:pPr>
        <w:ind w:left="3855" w:hanging="217"/>
      </w:pPr>
      <w:rPr>
        <w:rFonts w:hint="default"/>
        <w:lang w:val="en-GB" w:eastAsia="en-GB" w:bidi="en-GB"/>
      </w:rPr>
    </w:lvl>
    <w:lvl w:ilvl="7" w:tplc="D444B384">
      <w:numFmt w:val="bullet"/>
      <w:lvlText w:val="•"/>
      <w:lvlJc w:val="left"/>
      <w:pPr>
        <w:ind w:left="4448" w:hanging="217"/>
      </w:pPr>
      <w:rPr>
        <w:rFonts w:hint="default"/>
        <w:lang w:val="en-GB" w:eastAsia="en-GB" w:bidi="en-GB"/>
      </w:rPr>
    </w:lvl>
    <w:lvl w:ilvl="8" w:tplc="7C3690DE">
      <w:numFmt w:val="bullet"/>
      <w:lvlText w:val="•"/>
      <w:lvlJc w:val="left"/>
      <w:pPr>
        <w:ind w:left="5040" w:hanging="217"/>
      </w:pPr>
      <w:rPr>
        <w:rFonts w:hint="default"/>
        <w:lang w:val="en-GB" w:eastAsia="en-GB" w:bidi="en-GB"/>
      </w:rPr>
    </w:lvl>
  </w:abstractNum>
  <w:abstractNum w:abstractNumId="586" w15:restartNumberingAfterBreak="0">
    <w:nsid w:val="36936EF5"/>
    <w:multiLevelType w:val="multilevel"/>
    <w:tmpl w:val="FE6041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7" w15:restartNumberingAfterBreak="0">
    <w:nsid w:val="36A5038B"/>
    <w:multiLevelType w:val="hybridMultilevel"/>
    <w:tmpl w:val="3098955E"/>
    <w:lvl w:ilvl="0" w:tplc="C68EEA68">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1D441106">
      <w:numFmt w:val="bullet"/>
      <w:lvlText w:val="•"/>
      <w:lvlJc w:val="left"/>
      <w:pPr>
        <w:ind w:left="524" w:hanging="217"/>
      </w:pPr>
      <w:rPr>
        <w:rFonts w:hint="default"/>
        <w:lang w:val="en-GB" w:eastAsia="en-GB" w:bidi="en-GB"/>
      </w:rPr>
    </w:lvl>
    <w:lvl w:ilvl="2" w:tplc="8E7CB75E">
      <w:numFmt w:val="bullet"/>
      <w:lvlText w:val="•"/>
      <w:lvlJc w:val="left"/>
      <w:pPr>
        <w:ind w:left="748" w:hanging="217"/>
      </w:pPr>
      <w:rPr>
        <w:rFonts w:hint="default"/>
        <w:lang w:val="en-GB" w:eastAsia="en-GB" w:bidi="en-GB"/>
      </w:rPr>
    </w:lvl>
    <w:lvl w:ilvl="3" w:tplc="3516010E">
      <w:numFmt w:val="bullet"/>
      <w:lvlText w:val="•"/>
      <w:lvlJc w:val="left"/>
      <w:pPr>
        <w:ind w:left="972" w:hanging="217"/>
      </w:pPr>
      <w:rPr>
        <w:rFonts w:hint="default"/>
        <w:lang w:val="en-GB" w:eastAsia="en-GB" w:bidi="en-GB"/>
      </w:rPr>
    </w:lvl>
    <w:lvl w:ilvl="4" w:tplc="EB88820C">
      <w:numFmt w:val="bullet"/>
      <w:lvlText w:val="•"/>
      <w:lvlJc w:val="left"/>
      <w:pPr>
        <w:ind w:left="1196" w:hanging="217"/>
      </w:pPr>
      <w:rPr>
        <w:rFonts w:hint="default"/>
        <w:lang w:val="en-GB" w:eastAsia="en-GB" w:bidi="en-GB"/>
      </w:rPr>
    </w:lvl>
    <w:lvl w:ilvl="5" w:tplc="9ABA43EA">
      <w:numFmt w:val="bullet"/>
      <w:lvlText w:val="•"/>
      <w:lvlJc w:val="left"/>
      <w:pPr>
        <w:ind w:left="1420" w:hanging="217"/>
      </w:pPr>
      <w:rPr>
        <w:rFonts w:hint="default"/>
        <w:lang w:val="en-GB" w:eastAsia="en-GB" w:bidi="en-GB"/>
      </w:rPr>
    </w:lvl>
    <w:lvl w:ilvl="6" w:tplc="E3024976">
      <w:numFmt w:val="bullet"/>
      <w:lvlText w:val="•"/>
      <w:lvlJc w:val="left"/>
      <w:pPr>
        <w:ind w:left="1644" w:hanging="217"/>
      </w:pPr>
      <w:rPr>
        <w:rFonts w:hint="default"/>
        <w:lang w:val="en-GB" w:eastAsia="en-GB" w:bidi="en-GB"/>
      </w:rPr>
    </w:lvl>
    <w:lvl w:ilvl="7" w:tplc="91C26A60">
      <w:numFmt w:val="bullet"/>
      <w:lvlText w:val="•"/>
      <w:lvlJc w:val="left"/>
      <w:pPr>
        <w:ind w:left="1868" w:hanging="217"/>
      </w:pPr>
      <w:rPr>
        <w:rFonts w:hint="default"/>
        <w:lang w:val="en-GB" w:eastAsia="en-GB" w:bidi="en-GB"/>
      </w:rPr>
    </w:lvl>
    <w:lvl w:ilvl="8" w:tplc="40AA2A2A">
      <w:numFmt w:val="bullet"/>
      <w:lvlText w:val="•"/>
      <w:lvlJc w:val="left"/>
      <w:pPr>
        <w:ind w:left="2092" w:hanging="217"/>
      </w:pPr>
      <w:rPr>
        <w:rFonts w:hint="default"/>
        <w:lang w:val="en-GB" w:eastAsia="en-GB" w:bidi="en-GB"/>
      </w:rPr>
    </w:lvl>
  </w:abstractNum>
  <w:abstractNum w:abstractNumId="588" w15:restartNumberingAfterBreak="0">
    <w:nsid w:val="36CB3A7E"/>
    <w:multiLevelType w:val="hybridMultilevel"/>
    <w:tmpl w:val="8612FD1C"/>
    <w:lvl w:ilvl="0" w:tplc="C6982A28">
      <w:numFmt w:val="bullet"/>
      <w:lvlText w:val="•"/>
      <w:lvlJc w:val="left"/>
      <w:pPr>
        <w:ind w:left="304" w:hanging="217"/>
      </w:pPr>
      <w:rPr>
        <w:rFonts w:ascii="Arial" w:eastAsia="Arial" w:hAnsi="Arial" w:cs="Arial" w:hint="default"/>
        <w:color w:val="231F20"/>
        <w:spacing w:val="-14"/>
        <w:w w:val="100"/>
        <w:sz w:val="18"/>
        <w:szCs w:val="18"/>
        <w:lang w:val="en-GB" w:eastAsia="en-GB" w:bidi="en-GB"/>
      </w:rPr>
    </w:lvl>
    <w:lvl w:ilvl="1" w:tplc="A112B0A6">
      <w:numFmt w:val="bullet"/>
      <w:lvlText w:val="•"/>
      <w:lvlJc w:val="left"/>
      <w:pPr>
        <w:ind w:left="473" w:hanging="217"/>
      </w:pPr>
      <w:rPr>
        <w:rFonts w:hint="default"/>
        <w:lang w:val="en-GB" w:eastAsia="en-GB" w:bidi="en-GB"/>
      </w:rPr>
    </w:lvl>
    <w:lvl w:ilvl="2" w:tplc="752CA2B4">
      <w:numFmt w:val="bullet"/>
      <w:lvlText w:val="•"/>
      <w:lvlJc w:val="left"/>
      <w:pPr>
        <w:ind w:left="646" w:hanging="217"/>
      </w:pPr>
      <w:rPr>
        <w:rFonts w:hint="default"/>
        <w:lang w:val="en-GB" w:eastAsia="en-GB" w:bidi="en-GB"/>
      </w:rPr>
    </w:lvl>
    <w:lvl w:ilvl="3" w:tplc="785CD432">
      <w:numFmt w:val="bullet"/>
      <w:lvlText w:val="•"/>
      <w:lvlJc w:val="left"/>
      <w:pPr>
        <w:ind w:left="819" w:hanging="217"/>
      </w:pPr>
      <w:rPr>
        <w:rFonts w:hint="default"/>
        <w:lang w:val="en-GB" w:eastAsia="en-GB" w:bidi="en-GB"/>
      </w:rPr>
    </w:lvl>
    <w:lvl w:ilvl="4" w:tplc="19F42F08">
      <w:numFmt w:val="bullet"/>
      <w:lvlText w:val="•"/>
      <w:lvlJc w:val="left"/>
      <w:pPr>
        <w:ind w:left="992" w:hanging="217"/>
      </w:pPr>
      <w:rPr>
        <w:rFonts w:hint="default"/>
        <w:lang w:val="en-GB" w:eastAsia="en-GB" w:bidi="en-GB"/>
      </w:rPr>
    </w:lvl>
    <w:lvl w:ilvl="5" w:tplc="90A0BE96">
      <w:numFmt w:val="bullet"/>
      <w:lvlText w:val="•"/>
      <w:lvlJc w:val="left"/>
      <w:pPr>
        <w:ind w:left="1165" w:hanging="217"/>
      </w:pPr>
      <w:rPr>
        <w:rFonts w:hint="default"/>
        <w:lang w:val="en-GB" w:eastAsia="en-GB" w:bidi="en-GB"/>
      </w:rPr>
    </w:lvl>
    <w:lvl w:ilvl="6" w:tplc="248EB7A0">
      <w:numFmt w:val="bullet"/>
      <w:lvlText w:val="•"/>
      <w:lvlJc w:val="left"/>
      <w:pPr>
        <w:ind w:left="1338" w:hanging="217"/>
      </w:pPr>
      <w:rPr>
        <w:rFonts w:hint="default"/>
        <w:lang w:val="en-GB" w:eastAsia="en-GB" w:bidi="en-GB"/>
      </w:rPr>
    </w:lvl>
    <w:lvl w:ilvl="7" w:tplc="0B24E892">
      <w:numFmt w:val="bullet"/>
      <w:lvlText w:val="•"/>
      <w:lvlJc w:val="left"/>
      <w:pPr>
        <w:ind w:left="1511" w:hanging="217"/>
      </w:pPr>
      <w:rPr>
        <w:rFonts w:hint="default"/>
        <w:lang w:val="en-GB" w:eastAsia="en-GB" w:bidi="en-GB"/>
      </w:rPr>
    </w:lvl>
    <w:lvl w:ilvl="8" w:tplc="CCD477A6">
      <w:numFmt w:val="bullet"/>
      <w:lvlText w:val="•"/>
      <w:lvlJc w:val="left"/>
      <w:pPr>
        <w:ind w:left="1684" w:hanging="217"/>
      </w:pPr>
      <w:rPr>
        <w:rFonts w:hint="default"/>
        <w:lang w:val="en-GB" w:eastAsia="en-GB" w:bidi="en-GB"/>
      </w:rPr>
    </w:lvl>
  </w:abstractNum>
  <w:abstractNum w:abstractNumId="589" w15:restartNumberingAfterBreak="0">
    <w:nsid w:val="36CC01E4"/>
    <w:multiLevelType w:val="hybridMultilevel"/>
    <w:tmpl w:val="478E711E"/>
    <w:lvl w:ilvl="0" w:tplc="F992DCD4">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40B85708">
      <w:numFmt w:val="bullet"/>
      <w:lvlText w:val="•"/>
      <w:lvlJc w:val="left"/>
      <w:pPr>
        <w:ind w:left="529" w:hanging="217"/>
      </w:pPr>
      <w:rPr>
        <w:rFonts w:hint="default"/>
        <w:lang w:val="en-GB" w:eastAsia="en-GB" w:bidi="en-GB"/>
      </w:rPr>
    </w:lvl>
    <w:lvl w:ilvl="2" w:tplc="23F0367A">
      <w:numFmt w:val="bullet"/>
      <w:lvlText w:val="•"/>
      <w:lvlJc w:val="left"/>
      <w:pPr>
        <w:ind w:left="759" w:hanging="217"/>
      </w:pPr>
      <w:rPr>
        <w:rFonts w:hint="default"/>
        <w:lang w:val="en-GB" w:eastAsia="en-GB" w:bidi="en-GB"/>
      </w:rPr>
    </w:lvl>
    <w:lvl w:ilvl="3" w:tplc="55A898DE">
      <w:numFmt w:val="bullet"/>
      <w:lvlText w:val="•"/>
      <w:lvlJc w:val="left"/>
      <w:pPr>
        <w:ind w:left="989" w:hanging="217"/>
      </w:pPr>
      <w:rPr>
        <w:rFonts w:hint="default"/>
        <w:lang w:val="en-GB" w:eastAsia="en-GB" w:bidi="en-GB"/>
      </w:rPr>
    </w:lvl>
    <w:lvl w:ilvl="4" w:tplc="FADA40E2">
      <w:numFmt w:val="bullet"/>
      <w:lvlText w:val="•"/>
      <w:lvlJc w:val="left"/>
      <w:pPr>
        <w:ind w:left="1219" w:hanging="217"/>
      </w:pPr>
      <w:rPr>
        <w:rFonts w:hint="default"/>
        <w:lang w:val="en-GB" w:eastAsia="en-GB" w:bidi="en-GB"/>
      </w:rPr>
    </w:lvl>
    <w:lvl w:ilvl="5" w:tplc="94CCC1AC">
      <w:numFmt w:val="bullet"/>
      <w:lvlText w:val="•"/>
      <w:lvlJc w:val="left"/>
      <w:pPr>
        <w:ind w:left="1449" w:hanging="217"/>
      </w:pPr>
      <w:rPr>
        <w:rFonts w:hint="default"/>
        <w:lang w:val="en-GB" w:eastAsia="en-GB" w:bidi="en-GB"/>
      </w:rPr>
    </w:lvl>
    <w:lvl w:ilvl="6" w:tplc="70584048">
      <w:numFmt w:val="bullet"/>
      <w:lvlText w:val="•"/>
      <w:lvlJc w:val="left"/>
      <w:pPr>
        <w:ind w:left="1678" w:hanging="217"/>
      </w:pPr>
      <w:rPr>
        <w:rFonts w:hint="default"/>
        <w:lang w:val="en-GB" w:eastAsia="en-GB" w:bidi="en-GB"/>
      </w:rPr>
    </w:lvl>
    <w:lvl w:ilvl="7" w:tplc="657CBD2C">
      <w:numFmt w:val="bullet"/>
      <w:lvlText w:val="•"/>
      <w:lvlJc w:val="left"/>
      <w:pPr>
        <w:ind w:left="1908" w:hanging="217"/>
      </w:pPr>
      <w:rPr>
        <w:rFonts w:hint="default"/>
        <w:lang w:val="en-GB" w:eastAsia="en-GB" w:bidi="en-GB"/>
      </w:rPr>
    </w:lvl>
    <w:lvl w:ilvl="8" w:tplc="ECA2C984">
      <w:numFmt w:val="bullet"/>
      <w:lvlText w:val="•"/>
      <w:lvlJc w:val="left"/>
      <w:pPr>
        <w:ind w:left="2138" w:hanging="217"/>
      </w:pPr>
      <w:rPr>
        <w:rFonts w:hint="default"/>
        <w:lang w:val="en-GB" w:eastAsia="en-GB" w:bidi="en-GB"/>
      </w:rPr>
    </w:lvl>
  </w:abstractNum>
  <w:abstractNum w:abstractNumId="590" w15:restartNumberingAfterBreak="0">
    <w:nsid w:val="36CE31F2"/>
    <w:multiLevelType w:val="hybridMultilevel"/>
    <w:tmpl w:val="876A615A"/>
    <w:lvl w:ilvl="0" w:tplc="460CD0D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42E1BE4">
      <w:numFmt w:val="bullet"/>
      <w:lvlText w:val="•"/>
      <w:lvlJc w:val="left"/>
      <w:pPr>
        <w:ind w:left="1061" w:hanging="217"/>
      </w:pPr>
      <w:rPr>
        <w:rFonts w:hint="default"/>
        <w:lang w:val="en-GB" w:eastAsia="en-GB" w:bidi="en-GB"/>
      </w:rPr>
    </w:lvl>
    <w:lvl w:ilvl="2" w:tplc="76761AB2">
      <w:numFmt w:val="bullet"/>
      <w:lvlText w:val="•"/>
      <w:lvlJc w:val="left"/>
      <w:pPr>
        <w:ind w:left="1823" w:hanging="217"/>
      </w:pPr>
      <w:rPr>
        <w:rFonts w:hint="default"/>
        <w:lang w:val="en-GB" w:eastAsia="en-GB" w:bidi="en-GB"/>
      </w:rPr>
    </w:lvl>
    <w:lvl w:ilvl="3" w:tplc="96409CEC">
      <w:numFmt w:val="bullet"/>
      <w:lvlText w:val="•"/>
      <w:lvlJc w:val="left"/>
      <w:pPr>
        <w:ind w:left="2585" w:hanging="217"/>
      </w:pPr>
      <w:rPr>
        <w:rFonts w:hint="default"/>
        <w:lang w:val="en-GB" w:eastAsia="en-GB" w:bidi="en-GB"/>
      </w:rPr>
    </w:lvl>
    <w:lvl w:ilvl="4" w:tplc="783AD3B8">
      <w:numFmt w:val="bullet"/>
      <w:lvlText w:val="•"/>
      <w:lvlJc w:val="left"/>
      <w:pPr>
        <w:ind w:left="3346" w:hanging="217"/>
      </w:pPr>
      <w:rPr>
        <w:rFonts w:hint="default"/>
        <w:lang w:val="en-GB" w:eastAsia="en-GB" w:bidi="en-GB"/>
      </w:rPr>
    </w:lvl>
    <w:lvl w:ilvl="5" w:tplc="E13AEE70">
      <w:numFmt w:val="bullet"/>
      <w:lvlText w:val="•"/>
      <w:lvlJc w:val="left"/>
      <w:pPr>
        <w:ind w:left="4108" w:hanging="217"/>
      </w:pPr>
      <w:rPr>
        <w:rFonts w:hint="default"/>
        <w:lang w:val="en-GB" w:eastAsia="en-GB" w:bidi="en-GB"/>
      </w:rPr>
    </w:lvl>
    <w:lvl w:ilvl="6" w:tplc="FBCEC1AC">
      <w:numFmt w:val="bullet"/>
      <w:lvlText w:val="•"/>
      <w:lvlJc w:val="left"/>
      <w:pPr>
        <w:ind w:left="4870" w:hanging="217"/>
      </w:pPr>
      <w:rPr>
        <w:rFonts w:hint="default"/>
        <w:lang w:val="en-GB" w:eastAsia="en-GB" w:bidi="en-GB"/>
      </w:rPr>
    </w:lvl>
    <w:lvl w:ilvl="7" w:tplc="96E8A85A">
      <w:numFmt w:val="bullet"/>
      <w:lvlText w:val="•"/>
      <w:lvlJc w:val="left"/>
      <w:pPr>
        <w:ind w:left="5631" w:hanging="217"/>
      </w:pPr>
      <w:rPr>
        <w:rFonts w:hint="default"/>
        <w:lang w:val="en-GB" w:eastAsia="en-GB" w:bidi="en-GB"/>
      </w:rPr>
    </w:lvl>
    <w:lvl w:ilvl="8" w:tplc="21D09CBC">
      <w:numFmt w:val="bullet"/>
      <w:lvlText w:val="•"/>
      <w:lvlJc w:val="left"/>
      <w:pPr>
        <w:ind w:left="6393" w:hanging="217"/>
      </w:pPr>
      <w:rPr>
        <w:rFonts w:hint="default"/>
        <w:lang w:val="en-GB" w:eastAsia="en-GB" w:bidi="en-GB"/>
      </w:rPr>
    </w:lvl>
  </w:abstractNum>
  <w:abstractNum w:abstractNumId="591" w15:restartNumberingAfterBreak="0">
    <w:nsid w:val="36CF585B"/>
    <w:multiLevelType w:val="hybridMultilevel"/>
    <w:tmpl w:val="DE421DBA"/>
    <w:lvl w:ilvl="0" w:tplc="DA50D96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3B449AC">
      <w:numFmt w:val="bullet"/>
      <w:lvlText w:val="•"/>
      <w:lvlJc w:val="left"/>
      <w:pPr>
        <w:ind w:left="473" w:hanging="217"/>
      </w:pPr>
      <w:rPr>
        <w:rFonts w:hint="default"/>
        <w:lang w:val="en-GB" w:eastAsia="en-GB" w:bidi="en-GB"/>
      </w:rPr>
    </w:lvl>
    <w:lvl w:ilvl="2" w:tplc="CEEA6BB0">
      <w:numFmt w:val="bullet"/>
      <w:lvlText w:val="•"/>
      <w:lvlJc w:val="left"/>
      <w:pPr>
        <w:ind w:left="646" w:hanging="217"/>
      </w:pPr>
      <w:rPr>
        <w:rFonts w:hint="default"/>
        <w:lang w:val="en-GB" w:eastAsia="en-GB" w:bidi="en-GB"/>
      </w:rPr>
    </w:lvl>
    <w:lvl w:ilvl="3" w:tplc="C7021752">
      <w:numFmt w:val="bullet"/>
      <w:lvlText w:val="•"/>
      <w:lvlJc w:val="left"/>
      <w:pPr>
        <w:ind w:left="819" w:hanging="217"/>
      </w:pPr>
      <w:rPr>
        <w:rFonts w:hint="default"/>
        <w:lang w:val="en-GB" w:eastAsia="en-GB" w:bidi="en-GB"/>
      </w:rPr>
    </w:lvl>
    <w:lvl w:ilvl="4" w:tplc="0FF48504">
      <w:numFmt w:val="bullet"/>
      <w:lvlText w:val="•"/>
      <w:lvlJc w:val="left"/>
      <w:pPr>
        <w:ind w:left="992" w:hanging="217"/>
      </w:pPr>
      <w:rPr>
        <w:rFonts w:hint="default"/>
        <w:lang w:val="en-GB" w:eastAsia="en-GB" w:bidi="en-GB"/>
      </w:rPr>
    </w:lvl>
    <w:lvl w:ilvl="5" w:tplc="4D62FC94">
      <w:numFmt w:val="bullet"/>
      <w:lvlText w:val="•"/>
      <w:lvlJc w:val="left"/>
      <w:pPr>
        <w:ind w:left="1165" w:hanging="217"/>
      </w:pPr>
      <w:rPr>
        <w:rFonts w:hint="default"/>
        <w:lang w:val="en-GB" w:eastAsia="en-GB" w:bidi="en-GB"/>
      </w:rPr>
    </w:lvl>
    <w:lvl w:ilvl="6" w:tplc="6720CA9E">
      <w:numFmt w:val="bullet"/>
      <w:lvlText w:val="•"/>
      <w:lvlJc w:val="left"/>
      <w:pPr>
        <w:ind w:left="1338" w:hanging="217"/>
      </w:pPr>
      <w:rPr>
        <w:rFonts w:hint="default"/>
        <w:lang w:val="en-GB" w:eastAsia="en-GB" w:bidi="en-GB"/>
      </w:rPr>
    </w:lvl>
    <w:lvl w:ilvl="7" w:tplc="A9D27A84">
      <w:numFmt w:val="bullet"/>
      <w:lvlText w:val="•"/>
      <w:lvlJc w:val="left"/>
      <w:pPr>
        <w:ind w:left="1511" w:hanging="217"/>
      </w:pPr>
      <w:rPr>
        <w:rFonts w:hint="default"/>
        <w:lang w:val="en-GB" w:eastAsia="en-GB" w:bidi="en-GB"/>
      </w:rPr>
    </w:lvl>
    <w:lvl w:ilvl="8" w:tplc="BC626E22">
      <w:numFmt w:val="bullet"/>
      <w:lvlText w:val="•"/>
      <w:lvlJc w:val="left"/>
      <w:pPr>
        <w:ind w:left="1684" w:hanging="217"/>
      </w:pPr>
      <w:rPr>
        <w:rFonts w:hint="default"/>
        <w:lang w:val="en-GB" w:eastAsia="en-GB" w:bidi="en-GB"/>
      </w:rPr>
    </w:lvl>
  </w:abstractNum>
  <w:abstractNum w:abstractNumId="592" w15:restartNumberingAfterBreak="0">
    <w:nsid w:val="36D37964"/>
    <w:multiLevelType w:val="hybridMultilevel"/>
    <w:tmpl w:val="6D3E47F0"/>
    <w:lvl w:ilvl="0" w:tplc="2AC4EC8E">
      <w:numFmt w:val="bullet"/>
      <w:lvlText w:val="•"/>
      <w:lvlJc w:val="left"/>
      <w:pPr>
        <w:ind w:left="304" w:hanging="217"/>
      </w:pPr>
      <w:rPr>
        <w:rFonts w:ascii="Arial" w:eastAsia="Arial" w:hAnsi="Arial" w:cs="Arial" w:hint="default"/>
        <w:color w:val="231F20"/>
        <w:spacing w:val="-17"/>
        <w:w w:val="100"/>
        <w:sz w:val="18"/>
        <w:szCs w:val="18"/>
        <w:lang w:val="en-GB" w:eastAsia="en-GB" w:bidi="en-GB"/>
      </w:rPr>
    </w:lvl>
    <w:lvl w:ilvl="1" w:tplc="B4BC30D8">
      <w:numFmt w:val="bullet"/>
      <w:lvlText w:val="•"/>
      <w:lvlJc w:val="left"/>
      <w:pPr>
        <w:ind w:left="473" w:hanging="217"/>
      </w:pPr>
      <w:rPr>
        <w:rFonts w:hint="default"/>
        <w:lang w:val="en-GB" w:eastAsia="en-GB" w:bidi="en-GB"/>
      </w:rPr>
    </w:lvl>
    <w:lvl w:ilvl="2" w:tplc="37BEE59C">
      <w:numFmt w:val="bullet"/>
      <w:lvlText w:val="•"/>
      <w:lvlJc w:val="left"/>
      <w:pPr>
        <w:ind w:left="646" w:hanging="217"/>
      </w:pPr>
      <w:rPr>
        <w:rFonts w:hint="default"/>
        <w:lang w:val="en-GB" w:eastAsia="en-GB" w:bidi="en-GB"/>
      </w:rPr>
    </w:lvl>
    <w:lvl w:ilvl="3" w:tplc="44D8878C">
      <w:numFmt w:val="bullet"/>
      <w:lvlText w:val="•"/>
      <w:lvlJc w:val="left"/>
      <w:pPr>
        <w:ind w:left="819" w:hanging="217"/>
      </w:pPr>
      <w:rPr>
        <w:rFonts w:hint="default"/>
        <w:lang w:val="en-GB" w:eastAsia="en-GB" w:bidi="en-GB"/>
      </w:rPr>
    </w:lvl>
    <w:lvl w:ilvl="4" w:tplc="9146A90E">
      <w:numFmt w:val="bullet"/>
      <w:lvlText w:val="•"/>
      <w:lvlJc w:val="left"/>
      <w:pPr>
        <w:ind w:left="992" w:hanging="217"/>
      </w:pPr>
      <w:rPr>
        <w:rFonts w:hint="default"/>
        <w:lang w:val="en-GB" w:eastAsia="en-GB" w:bidi="en-GB"/>
      </w:rPr>
    </w:lvl>
    <w:lvl w:ilvl="5" w:tplc="132000B6">
      <w:numFmt w:val="bullet"/>
      <w:lvlText w:val="•"/>
      <w:lvlJc w:val="left"/>
      <w:pPr>
        <w:ind w:left="1165" w:hanging="217"/>
      </w:pPr>
      <w:rPr>
        <w:rFonts w:hint="default"/>
        <w:lang w:val="en-GB" w:eastAsia="en-GB" w:bidi="en-GB"/>
      </w:rPr>
    </w:lvl>
    <w:lvl w:ilvl="6" w:tplc="AE5236C8">
      <w:numFmt w:val="bullet"/>
      <w:lvlText w:val="•"/>
      <w:lvlJc w:val="left"/>
      <w:pPr>
        <w:ind w:left="1338" w:hanging="217"/>
      </w:pPr>
      <w:rPr>
        <w:rFonts w:hint="default"/>
        <w:lang w:val="en-GB" w:eastAsia="en-GB" w:bidi="en-GB"/>
      </w:rPr>
    </w:lvl>
    <w:lvl w:ilvl="7" w:tplc="F5729BC2">
      <w:numFmt w:val="bullet"/>
      <w:lvlText w:val="•"/>
      <w:lvlJc w:val="left"/>
      <w:pPr>
        <w:ind w:left="1511" w:hanging="217"/>
      </w:pPr>
      <w:rPr>
        <w:rFonts w:hint="default"/>
        <w:lang w:val="en-GB" w:eastAsia="en-GB" w:bidi="en-GB"/>
      </w:rPr>
    </w:lvl>
    <w:lvl w:ilvl="8" w:tplc="F54AACB0">
      <w:numFmt w:val="bullet"/>
      <w:lvlText w:val="•"/>
      <w:lvlJc w:val="left"/>
      <w:pPr>
        <w:ind w:left="1684" w:hanging="217"/>
      </w:pPr>
      <w:rPr>
        <w:rFonts w:hint="default"/>
        <w:lang w:val="en-GB" w:eastAsia="en-GB" w:bidi="en-GB"/>
      </w:rPr>
    </w:lvl>
  </w:abstractNum>
  <w:abstractNum w:abstractNumId="593" w15:restartNumberingAfterBreak="0">
    <w:nsid w:val="375043FB"/>
    <w:multiLevelType w:val="hybridMultilevel"/>
    <w:tmpl w:val="563A8786"/>
    <w:lvl w:ilvl="0" w:tplc="B382F790">
      <w:numFmt w:val="bullet"/>
      <w:lvlText w:val="•"/>
      <w:lvlJc w:val="left"/>
      <w:pPr>
        <w:ind w:left="306" w:hanging="217"/>
      </w:pPr>
      <w:rPr>
        <w:rFonts w:ascii="Arial" w:eastAsia="Arial" w:hAnsi="Arial" w:cs="Arial" w:hint="default"/>
        <w:color w:val="231F20"/>
        <w:spacing w:val="-4"/>
        <w:w w:val="100"/>
        <w:sz w:val="18"/>
        <w:szCs w:val="18"/>
        <w:lang w:val="en-GB" w:eastAsia="en-GB" w:bidi="en-GB"/>
      </w:rPr>
    </w:lvl>
    <w:lvl w:ilvl="1" w:tplc="F2B0F8C0">
      <w:numFmt w:val="bullet"/>
      <w:lvlText w:val="•"/>
      <w:lvlJc w:val="left"/>
      <w:pPr>
        <w:ind w:left="444" w:hanging="217"/>
      </w:pPr>
      <w:rPr>
        <w:rFonts w:hint="default"/>
        <w:lang w:val="en-GB" w:eastAsia="en-GB" w:bidi="en-GB"/>
      </w:rPr>
    </w:lvl>
    <w:lvl w:ilvl="2" w:tplc="6C2AE576">
      <w:numFmt w:val="bullet"/>
      <w:lvlText w:val="•"/>
      <w:lvlJc w:val="left"/>
      <w:pPr>
        <w:ind w:left="589" w:hanging="217"/>
      </w:pPr>
      <w:rPr>
        <w:rFonts w:hint="default"/>
        <w:lang w:val="en-GB" w:eastAsia="en-GB" w:bidi="en-GB"/>
      </w:rPr>
    </w:lvl>
    <w:lvl w:ilvl="3" w:tplc="A0D0DE24">
      <w:numFmt w:val="bullet"/>
      <w:lvlText w:val="•"/>
      <w:lvlJc w:val="left"/>
      <w:pPr>
        <w:ind w:left="734" w:hanging="217"/>
      </w:pPr>
      <w:rPr>
        <w:rFonts w:hint="default"/>
        <w:lang w:val="en-GB" w:eastAsia="en-GB" w:bidi="en-GB"/>
      </w:rPr>
    </w:lvl>
    <w:lvl w:ilvl="4" w:tplc="8F541F60">
      <w:numFmt w:val="bullet"/>
      <w:lvlText w:val="•"/>
      <w:lvlJc w:val="left"/>
      <w:pPr>
        <w:ind w:left="878" w:hanging="217"/>
      </w:pPr>
      <w:rPr>
        <w:rFonts w:hint="default"/>
        <w:lang w:val="en-GB" w:eastAsia="en-GB" w:bidi="en-GB"/>
      </w:rPr>
    </w:lvl>
    <w:lvl w:ilvl="5" w:tplc="25188830">
      <w:numFmt w:val="bullet"/>
      <w:lvlText w:val="•"/>
      <w:lvlJc w:val="left"/>
      <w:pPr>
        <w:ind w:left="1023" w:hanging="217"/>
      </w:pPr>
      <w:rPr>
        <w:rFonts w:hint="default"/>
        <w:lang w:val="en-GB" w:eastAsia="en-GB" w:bidi="en-GB"/>
      </w:rPr>
    </w:lvl>
    <w:lvl w:ilvl="6" w:tplc="4420D03C">
      <w:numFmt w:val="bullet"/>
      <w:lvlText w:val="•"/>
      <w:lvlJc w:val="left"/>
      <w:pPr>
        <w:ind w:left="1168" w:hanging="217"/>
      </w:pPr>
      <w:rPr>
        <w:rFonts w:hint="default"/>
        <w:lang w:val="en-GB" w:eastAsia="en-GB" w:bidi="en-GB"/>
      </w:rPr>
    </w:lvl>
    <w:lvl w:ilvl="7" w:tplc="0622BB6A">
      <w:numFmt w:val="bullet"/>
      <w:lvlText w:val="•"/>
      <w:lvlJc w:val="left"/>
      <w:pPr>
        <w:ind w:left="1312" w:hanging="217"/>
      </w:pPr>
      <w:rPr>
        <w:rFonts w:hint="default"/>
        <w:lang w:val="en-GB" w:eastAsia="en-GB" w:bidi="en-GB"/>
      </w:rPr>
    </w:lvl>
    <w:lvl w:ilvl="8" w:tplc="47866C60">
      <w:numFmt w:val="bullet"/>
      <w:lvlText w:val="•"/>
      <w:lvlJc w:val="left"/>
      <w:pPr>
        <w:ind w:left="1457" w:hanging="217"/>
      </w:pPr>
      <w:rPr>
        <w:rFonts w:hint="default"/>
        <w:lang w:val="en-GB" w:eastAsia="en-GB" w:bidi="en-GB"/>
      </w:rPr>
    </w:lvl>
  </w:abstractNum>
  <w:abstractNum w:abstractNumId="594" w15:restartNumberingAfterBreak="0">
    <w:nsid w:val="37A43BB1"/>
    <w:multiLevelType w:val="hybridMultilevel"/>
    <w:tmpl w:val="74AE9B10"/>
    <w:lvl w:ilvl="0" w:tplc="2CE475D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6EE9400">
      <w:numFmt w:val="bullet"/>
      <w:lvlText w:val="•"/>
      <w:lvlJc w:val="left"/>
      <w:pPr>
        <w:ind w:left="439" w:hanging="217"/>
      </w:pPr>
      <w:rPr>
        <w:rFonts w:hint="default"/>
        <w:lang w:val="en-GB" w:eastAsia="en-GB" w:bidi="en-GB"/>
      </w:rPr>
    </w:lvl>
    <w:lvl w:ilvl="2" w:tplc="5764F466">
      <w:numFmt w:val="bullet"/>
      <w:lvlText w:val="•"/>
      <w:lvlJc w:val="left"/>
      <w:pPr>
        <w:ind w:left="578" w:hanging="217"/>
      </w:pPr>
      <w:rPr>
        <w:rFonts w:hint="default"/>
        <w:lang w:val="en-GB" w:eastAsia="en-GB" w:bidi="en-GB"/>
      </w:rPr>
    </w:lvl>
    <w:lvl w:ilvl="3" w:tplc="B31487FA">
      <w:numFmt w:val="bullet"/>
      <w:lvlText w:val="•"/>
      <w:lvlJc w:val="left"/>
      <w:pPr>
        <w:ind w:left="717" w:hanging="217"/>
      </w:pPr>
      <w:rPr>
        <w:rFonts w:hint="default"/>
        <w:lang w:val="en-GB" w:eastAsia="en-GB" w:bidi="en-GB"/>
      </w:rPr>
    </w:lvl>
    <w:lvl w:ilvl="4" w:tplc="E7FA25C6">
      <w:numFmt w:val="bullet"/>
      <w:lvlText w:val="•"/>
      <w:lvlJc w:val="left"/>
      <w:pPr>
        <w:ind w:left="856" w:hanging="217"/>
      </w:pPr>
      <w:rPr>
        <w:rFonts w:hint="default"/>
        <w:lang w:val="en-GB" w:eastAsia="en-GB" w:bidi="en-GB"/>
      </w:rPr>
    </w:lvl>
    <w:lvl w:ilvl="5" w:tplc="9BE07C50">
      <w:numFmt w:val="bullet"/>
      <w:lvlText w:val="•"/>
      <w:lvlJc w:val="left"/>
      <w:pPr>
        <w:ind w:left="995" w:hanging="217"/>
      </w:pPr>
      <w:rPr>
        <w:rFonts w:hint="default"/>
        <w:lang w:val="en-GB" w:eastAsia="en-GB" w:bidi="en-GB"/>
      </w:rPr>
    </w:lvl>
    <w:lvl w:ilvl="6" w:tplc="8390B5D0">
      <w:numFmt w:val="bullet"/>
      <w:lvlText w:val="•"/>
      <w:lvlJc w:val="left"/>
      <w:pPr>
        <w:ind w:left="1134" w:hanging="217"/>
      </w:pPr>
      <w:rPr>
        <w:rFonts w:hint="default"/>
        <w:lang w:val="en-GB" w:eastAsia="en-GB" w:bidi="en-GB"/>
      </w:rPr>
    </w:lvl>
    <w:lvl w:ilvl="7" w:tplc="78FCD448">
      <w:numFmt w:val="bullet"/>
      <w:lvlText w:val="•"/>
      <w:lvlJc w:val="left"/>
      <w:pPr>
        <w:ind w:left="1273" w:hanging="217"/>
      </w:pPr>
      <w:rPr>
        <w:rFonts w:hint="default"/>
        <w:lang w:val="en-GB" w:eastAsia="en-GB" w:bidi="en-GB"/>
      </w:rPr>
    </w:lvl>
    <w:lvl w:ilvl="8" w:tplc="44D2B0BE">
      <w:numFmt w:val="bullet"/>
      <w:lvlText w:val="•"/>
      <w:lvlJc w:val="left"/>
      <w:pPr>
        <w:ind w:left="1412" w:hanging="217"/>
      </w:pPr>
      <w:rPr>
        <w:rFonts w:hint="default"/>
        <w:lang w:val="en-GB" w:eastAsia="en-GB" w:bidi="en-GB"/>
      </w:rPr>
    </w:lvl>
  </w:abstractNum>
  <w:abstractNum w:abstractNumId="595" w15:restartNumberingAfterBreak="0">
    <w:nsid w:val="37A44DDC"/>
    <w:multiLevelType w:val="hybridMultilevel"/>
    <w:tmpl w:val="5428F438"/>
    <w:lvl w:ilvl="0" w:tplc="A05EC21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3BE1478">
      <w:numFmt w:val="bullet"/>
      <w:lvlText w:val="•"/>
      <w:lvlJc w:val="left"/>
      <w:pPr>
        <w:ind w:left="439" w:hanging="217"/>
      </w:pPr>
      <w:rPr>
        <w:rFonts w:hint="default"/>
        <w:lang w:val="en-GB" w:eastAsia="en-GB" w:bidi="en-GB"/>
      </w:rPr>
    </w:lvl>
    <w:lvl w:ilvl="2" w:tplc="C6DEAF20">
      <w:numFmt w:val="bullet"/>
      <w:lvlText w:val="•"/>
      <w:lvlJc w:val="left"/>
      <w:pPr>
        <w:ind w:left="578" w:hanging="217"/>
      </w:pPr>
      <w:rPr>
        <w:rFonts w:hint="default"/>
        <w:lang w:val="en-GB" w:eastAsia="en-GB" w:bidi="en-GB"/>
      </w:rPr>
    </w:lvl>
    <w:lvl w:ilvl="3" w:tplc="D31ECABC">
      <w:numFmt w:val="bullet"/>
      <w:lvlText w:val="•"/>
      <w:lvlJc w:val="left"/>
      <w:pPr>
        <w:ind w:left="717" w:hanging="217"/>
      </w:pPr>
      <w:rPr>
        <w:rFonts w:hint="default"/>
        <w:lang w:val="en-GB" w:eastAsia="en-GB" w:bidi="en-GB"/>
      </w:rPr>
    </w:lvl>
    <w:lvl w:ilvl="4" w:tplc="0D247824">
      <w:numFmt w:val="bullet"/>
      <w:lvlText w:val="•"/>
      <w:lvlJc w:val="left"/>
      <w:pPr>
        <w:ind w:left="856" w:hanging="217"/>
      </w:pPr>
      <w:rPr>
        <w:rFonts w:hint="default"/>
        <w:lang w:val="en-GB" w:eastAsia="en-GB" w:bidi="en-GB"/>
      </w:rPr>
    </w:lvl>
    <w:lvl w:ilvl="5" w:tplc="A160594A">
      <w:numFmt w:val="bullet"/>
      <w:lvlText w:val="•"/>
      <w:lvlJc w:val="left"/>
      <w:pPr>
        <w:ind w:left="995" w:hanging="217"/>
      </w:pPr>
      <w:rPr>
        <w:rFonts w:hint="default"/>
        <w:lang w:val="en-GB" w:eastAsia="en-GB" w:bidi="en-GB"/>
      </w:rPr>
    </w:lvl>
    <w:lvl w:ilvl="6" w:tplc="F3443C64">
      <w:numFmt w:val="bullet"/>
      <w:lvlText w:val="•"/>
      <w:lvlJc w:val="left"/>
      <w:pPr>
        <w:ind w:left="1134" w:hanging="217"/>
      </w:pPr>
      <w:rPr>
        <w:rFonts w:hint="default"/>
        <w:lang w:val="en-GB" w:eastAsia="en-GB" w:bidi="en-GB"/>
      </w:rPr>
    </w:lvl>
    <w:lvl w:ilvl="7" w:tplc="4D10CAE4">
      <w:numFmt w:val="bullet"/>
      <w:lvlText w:val="•"/>
      <w:lvlJc w:val="left"/>
      <w:pPr>
        <w:ind w:left="1273" w:hanging="217"/>
      </w:pPr>
      <w:rPr>
        <w:rFonts w:hint="default"/>
        <w:lang w:val="en-GB" w:eastAsia="en-GB" w:bidi="en-GB"/>
      </w:rPr>
    </w:lvl>
    <w:lvl w:ilvl="8" w:tplc="499EA65A">
      <w:numFmt w:val="bullet"/>
      <w:lvlText w:val="•"/>
      <w:lvlJc w:val="left"/>
      <w:pPr>
        <w:ind w:left="1412" w:hanging="217"/>
      </w:pPr>
      <w:rPr>
        <w:rFonts w:hint="default"/>
        <w:lang w:val="en-GB" w:eastAsia="en-GB" w:bidi="en-GB"/>
      </w:rPr>
    </w:lvl>
  </w:abstractNum>
  <w:abstractNum w:abstractNumId="596" w15:restartNumberingAfterBreak="0">
    <w:nsid w:val="37AD384F"/>
    <w:multiLevelType w:val="hybridMultilevel"/>
    <w:tmpl w:val="D2A47FBA"/>
    <w:lvl w:ilvl="0" w:tplc="8A3A43B4">
      <w:numFmt w:val="bullet"/>
      <w:lvlText w:val="•"/>
      <w:lvlJc w:val="left"/>
      <w:pPr>
        <w:ind w:left="305" w:hanging="217"/>
      </w:pPr>
      <w:rPr>
        <w:rFonts w:ascii="Arial" w:eastAsia="Arial" w:hAnsi="Arial" w:cs="Arial" w:hint="default"/>
        <w:color w:val="231F20"/>
        <w:spacing w:val="-20"/>
        <w:w w:val="100"/>
        <w:sz w:val="18"/>
        <w:szCs w:val="18"/>
        <w:lang w:val="en-GB" w:eastAsia="en-GB" w:bidi="en-GB"/>
      </w:rPr>
    </w:lvl>
    <w:lvl w:ilvl="1" w:tplc="C07CF6A6">
      <w:numFmt w:val="bullet"/>
      <w:lvlText w:val="•"/>
      <w:lvlJc w:val="left"/>
      <w:pPr>
        <w:ind w:left="893" w:hanging="217"/>
      </w:pPr>
      <w:rPr>
        <w:rFonts w:hint="default"/>
        <w:lang w:val="en-GB" w:eastAsia="en-GB" w:bidi="en-GB"/>
      </w:rPr>
    </w:lvl>
    <w:lvl w:ilvl="2" w:tplc="C19AC19E">
      <w:numFmt w:val="bullet"/>
      <w:lvlText w:val="•"/>
      <w:lvlJc w:val="left"/>
      <w:pPr>
        <w:ind w:left="1486" w:hanging="217"/>
      </w:pPr>
      <w:rPr>
        <w:rFonts w:hint="default"/>
        <w:lang w:val="en-GB" w:eastAsia="en-GB" w:bidi="en-GB"/>
      </w:rPr>
    </w:lvl>
    <w:lvl w:ilvl="3" w:tplc="7E68D08A">
      <w:numFmt w:val="bullet"/>
      <w:lvlText w:val="•"/>
      <w:lvlJc w:val="left"/>
      <w:pPr>
        <w:ind w:left="2079" w:hanging="217"/>
      </w:pPr>
      <w:rPr>
        <w:rFonts w:hint="default"/>
        <w:lang w:val="en-GB" w:eastAsia="en-GB" w:bidi="en-GB"/>
      </w:rPr>
    </w:lvl>
    <w:lvl w:ilvl="4" w:tplc="CF5A4BE0">
      <w:numFmt w:val="bullet"/>
      <w:lvlText w:val="•"/>
      <w:lvlJc w:val="left"/>
      <w:pPr>
        <w:ind w:left="2672" w:hanging="217"/>
      </w:pPr>
      <w:rPr>
        <w:rFonts w:hint="default"/>
        <w:lang w:val="en-GB" w:eastAsia="en-GB" w:bidi="en-GB"/>
      </w:rPr>
    </w:lvl>
    <w:lvl w:ilvl="5" w:tplc="4C249288">
      <w:numFmt w:val="bullet"/>
      <w:lvlText w:val="•"/>
      <w:lvlJc w:val="left"/>
      <w:pPr>
        <w:ind w:left="3265" w:hanging="217"/>
      </w:pPr>
      <w:rPr>
        <w:rFonts w:hint="default"/>
        <w:lang w:val="en-GB" w:eastAsia="en-GB" w:bidi="en-GB"/>
      </w:rPr>
    </w:lvl>
    <w:lvl w:ilvl="6" w:tplc="133EA07A">
      <w:numFmt w:val="bullet"/>
      <w:lvlText w:val="•"/>
      <w:lvlJc w:val="left"/>
      <w:pPr>
        <w:ind w:left="3858" w:hanging="217"/>
      </w:pPr>
      <w:rPr>
        <w:rFonts w:hint="default"/>
        <w:lang w:val="en-GB" w:eastAsia="en-GB" w:bidi="en-GB"/>
      </w:rPr>
    </w:lvl>
    <w:lvl w:ilvl="7" w:tplc="D1C02D26">
      <w:numFmt w:val="bullet"/>
      <w:lvlText w:val="•"/>
      <w:lvlJc w:val="left"/>
      <w:pPr>
        <w:ind w:left="4451" w:hanging="217"/>
      </w:pPr>
      <w:rPr>
        <w:rFonts w:hint="default"/>
        <w:lang w:val="en-GB" w:eastAsia="en-GB" w:bidi="en-GB"/>
      </w:rPr>
    </w:lvl>
    <w:lvl w:ilvl="8" w:tplc="60889DE4">
      <w:numFmt w:val="bullet"/>
      <w:lvlText w:val="•"/>
      <w:lvlJc w:val="left"/>
      <w:pPr>
        <w:ind w:left="5044" w:hanging="217"/>
      </w:pPr>
      <w:rPr>
        <w:rFonts w:hint="default"/>
        <w:lang w:val="en-GB" w:eastAsia="en-GB" w:bidi="en-GB"/>
      </w:rPr>
    </w:lvl>
  </w:abstractNum>
  <w:abstractNum w:abstractNumId="597" w15:restartNumberingAfterBreak="0">
    <w:nsid w:val="37AF6906"/>
    <w:multiLevelType w:val="hybridMultilevel"/>
    <w:tmpl w:val="9388657E"/>
    <w:lvl w:ilvl="0" w:tplc="2BF83D9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46C018A">
      <w:numFmt w:val="bullet"/>
      <w:lvlText w:val="•"/>
      <w:lvlJc w:val="left"/>
      <w:pPr>
        <w:ind w:left="892" w:hanging="217"/>
      </w:pPr>
      <w:rPr>
        <w:rFonts w:hint="default"/>
        <w:lang w:val="en-GB" w:eastAsia="en-GB" w:bidi="en-GB"/>
      </w:rPr>
    </w:lvl>
    <w:lvl w:ilvl="2" w:tplc="88549D50">
      <w:numFmt w:val="bullet"/>
      <w:lvlText w:val="•"/>
      <w:lvlJc w:val="left"/>
      <w:pPr>
        <w:ind w:left="1485" w:hanging="217"/>
      </w:pPr>
      <w:rPr>
        <w:rFonts w:hint="default"/>
        <w:lang w:val="en-GB" w:eastAsia="en-GB" w:bidi="en-GB"/>
      </w:rPr>
    </w:lvl>
    <w:lvl w:ilvl="3" w:tplc="A1D4C93A">
      <w:numFmt w:val="bullet"/>
      <w:lvlText w:val="•"/>
      <w:lvlJc w:val="left"/>
      <w:pPr>
        <w:ind w:left="2077" w:hanging="217"/>
      </w:pPr>
      <w:rPr>
        <w:rFonts w:hint="default"/>
        <w:lang w:val="en-GB" w:eastAsia="en-GB" w:bidi="en-GB"/>
      </w:rPr>
    </w:lvl>
    <w:lvl w:ilvl="4" w:tplc="6B9A8FAE">
      <w:numFmt w:val="bullet"/>
      <w:lvlText w:val="•"/>
      <w:lvlJc w:val="left"/>
      <w:pPr>
        <w:ind w:left="2670" w:hanging="217"/>
      </w:pPr>
      <w:rPr>
        <w:rFonts w:hint="default"/>
        <w:lang w:val="en-GB" w:eastAsia="en-GB" w:bidi="en-GB"/>
      </w:rPr>
    </w:lvl>
    <w:lvl w:ilvl="5" w:tplc="69EAAA5C">
      <w:numFmt w:val="bullet"/>
      <w:lvlText w:val="•"/>
      <w:lvlJc w:val="left"/>
      <w:pPr>
        <w:ind w:left="3263" w:hanging="217"/>
      </w:pPr>
      <w:rPr>
        <w:rFonts w:hint="default"/>
        <w:lang w:val="en-GB" w:eastAsia="en-GB" w:bidi="en-GB"/>
      </w:rPr>
    </w:lvl>
    <w:lvl w:ilvl="6" w:tplc="27625ACA">
      <w:numFmt w:val="bullet"/>
      <w:lvlText w:val="•"/>
      <w:lvlJc w:val="left"/>
      <w:pPr>
        <w:ind w:left="3855" w:hanging="217"/>
      </w:pPr>
      <w:rPr>
        <w:rFonts w:hint="default"/>
        <w:lang w:val="en-GB" w:eastAsia="en-GB" w:bidi="en-GB"/>
      </w:rPr>
    </w:lvl>
    <w:lvl w:ilvl="7" w:tplc="7402D014">
      <w:numFmt w:val="bullet"/>
      <w:lvlText w:val="•"/>
      <w:lvlJc w:val="left"/>
      <w:pPr>
        <w:ind w:left="4448" w:hanging="217"/>
      </w:pPr>
      <w:rPr>
        <w:rFonts w:hint="default"/>
        <w:lang w:val="en-GB" w:eastAsia="en-GB" w:bidi="en-GB"/>
      </w:rPr>
    </w:lvl>
    <w:lvl w:ilvl="8" w:tplc="2EDC25F4">
      <w:numFmt w:val="bullet"/>
      <w:lvlText w:val="•"/>
      <w:lvlJc w:val="left"/>
      <w:pPr>
        <w:ind w:left="5040" w:hanging="217"/>
      </w:pPr>
      <w:rPr>
        <w:rFonts w:hint="default"/>
        <w:lang w:val="en-GB" w:eastAsia="en-GB" w:bidi="en-GB"/>
      </w:rPr>
    </w:lvl>
  </w:abstractNum>
  <w:abstractNum w:abstractNumId="598" w15:restartNumberingAfterBreak="0">
    <w:nsid w:val="37B96F5B"/>
    <w:multiLevelType w:val="hybridMultilevel"/>
    <w:tmpl w:val="9272825E"/>
    <w:lvl w:ilvl="0" w:tplc="EA7E605A">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D856E558">
      <w:numFmt w:val="bullet"/>
      <w:lvlText w:val="•"/>
      <w:lvlJc w:val="left"/>
      <w:pPr>
        <w:ind w:left="473" w:hanging="217"/>
      </w:pPr>
      <w:rPr>
        <w:rFonts w:hint="default"/>
        <w:lang w:val="en-GB" w:eastAsia="en-GB" w:bidi="en-GB"/>
      </w:rPr>
    </w:lvl>
    <w:lvl w:ilvl="2" w:tplc="019E7562">
      <w:numFmt w:val="bullet"/>
      <w:lvlText w:val="•"/>
      <w:lvlJc w:val="left"/>
      <w:pPr>
        <w:ind w:left="646" w:hanging="217"/>
      </w:pPr>
      <w:rPr>
        <w:rFonts w:hint="default"/>
        <w:lang w:val="en-GB" w:eastAsia="en-GB" w:bidi="en-GB"/>
      </w:rPr>
    </w:lvl>
    <w:lvl w:ilvl="3" w:tplc="A406FAC6">
      <w:numFmt w:val="bullet"/>
      <w:lvlText w:val="•"/>
      <w:lvlJc w:val="left"/>
      <w:pPr>
        <w:ind w:left="819" w:hanging="217"/>
      </w:pPr>
      <w:rPr>
        <w:rFonts w:hint="default"/>
        <w:lang w:val="en-GB" w:eastAsia="en-GB" w:bidi="en-GB"/>
      </w:rPr>
    </w:lvl>
    <w:lvl w:ilvl="4" w:tplc="156E8756">
      <w:numFmt w:val="bullet"/>
      <w:lvlText w:val="•"/>
      <w:lvlJc w:val="left"/>
      <w:pPr>
        <w:ind w:left="992" w:hanging="217"/>
      </w:pPr>
      <w:rPr>
        <w:rFonts w:hint="default"/>
        <w:lang w:val="en-GB" w:eastAsia="en-GB" w:bidi="en-GB"/>
      </w:rPr>
    </w:lvl>
    <w:lvl w:ilvl="5" w:tplc="80ACD4E4">
      <w:numFmt w:val="bullet"/>
      <w:lvlText w:val="•"/>
      <w:lvlJc w:val="left"/>
      <w:pPr>
        <w:ind w:left="1165" w:hanging="217"/>
      </w:pPr>
      <w:rPr>
        <w:rFonts w:hint="default"/>
        <w:lang w:val="en-GB" w:eastAsia="en-GB" w:bidi="en-GB"/>
      </w:rPr>
    </w:lvl>
    <w:lvl w:ilvl="6" w:tplc="E67847C4">
      <w:numFmt w:val="bullet"/>
      <w:lvlText w:val="•"/>
      <w:lvlJc w:val="left"/>
      <w:pPr>
        <w:ind w:left="1338" w:hanging="217"/>
      </w:pPr>
      <w:rPr>
        <w:rFonts w:hint="default"/>
        <w:lang w:val="en-GB" w:eastAsia="en-GB" w:bidi="en-GB"/>
      </w:rPr>
    </w:lvl>
    <w:lvl w:ilvl="7" w:tplc="82B6FD74">
      <w:numFmt w:val="bullet"/>
      <w:lvlText w:val="•"/>
      <w:lvlJc w:val="left"/>
      <w:pPr>
        <w:ind w:left="1511" w:hanging="217"/>
      </w:pPr>
      <w:rPr>
        <w:rFonts w:hint="default"/>
        <w:lang w:val="en-GB" w:eastAsia="en-GB" w:bidi="en-GB"/>
      </w:rPr>
    </w:lvl>
    <w:lvl w:ilvl="8" w:tplc="18E8D4F6">
      <w:numFmt w:val="bullet"/>
      <w:lvlText w:val="•"/>
      <w:lvlJc w:val="left"/>
      <w:pPr>
        <w:ind w:left="1684" w:hanging="217"/>
      </w:pPr>
      <w:rPr>
        <w:rFonts w:hint="default"/>
        <w:lang w:val="en-GB" w:eastAsia="en-GB" w:bidi="en-GB"/>
      </w:rPr>
    </w:lvl>
  </w:abstractNum>
  <w:abstractNum w:abstractNumId="599" w15:restartNumberingAfterBreak="0">
    <w:nsid w:val="37C77C5C"/>
    <w:multiLevelType w:val="hybridMultilevel"/>
    <w:tmpl w:val="5238C94C"/>
    <w:lvl w:ilvl="0" w:tplc="EC6C6D5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35F460D2">
      <w:numFmt w:val="bullet"/>
      <w:lvlText w:val="•"/>
      <w:lvlJc w:val="left"/>
      <w:pPr>
        <w:ind w:left="473" w:hanging="217"/>
      </w:pPr>
      <w:rPr>
        <w:rFonts w:hint="default"/>
        <w:lang w:val="en-GB" w:eastAsia="en-GB" w:bidi="en-GB"/>
      </w:rPr>
    </w:lvl>
    <w:lvl w:ilvl="2" w:tplc="F4365D04">
      <w:numFmt w:val="bullet"/>
      <w:lvlText w:val="•"/>
      <w:lvlJc w:val="left"/>
      <w:pPr>
        <w:ind w:left="646" w:hanging="217"/>
      </w:pPr>
      <w:rPr>
        <w:rFonts w:hint="default"/>
        <w:lang w:val="en-GB" w:eastAsia="en-GB" w:bidi="en-GB"/>
      </w:rPr>
    </w:lvl>
    <w:lvl w:ilvl="3" w:tplc="FC723166">
      <w:numFmt w:val="bullet"/>
      <w:lvlText w:val="•"/>
      <w:lvlJc w:val="left"/>
      <w:pPr>
        <w:ind w:left="819" w:hanging="217"/>
      </w:pPr>
      <w:rPr>
        <w:rFonts w:hint="default"/>
        <w:lang w:val="en-GB" w:eastAsia="en-GB" w:bidi="en-GB"/>
      </w:rPr>
    </w:lvl>
    <w:lvl w:ilvl="4" w:tplc="73A4F26A">
      <w:numFmt w:val="bullet"/>
      <w:lvlText w:val="•"/>
      <w:lvlJc w:val="left"/>
      <w:pPr>
        <w:ind w:left="992" w:hanging="217"/>
      </w:pPr>
      <w:rPr>
        <w:rFonts w:hint="default"/>
        <w:lang w:val="en-GB" w:eastAsia="en-GB" w:bidi="en-GB"/>
      </w:rPr>
    </w:lvl>
    <w:lvl w:ilvl="5" w:tplc="6144E962">
      <w:numFmt w:val="bullet"/>
      <w:lvlText w:val="•"/>
      <w:lvlJc w:val="left"/>
      <w:pPr>
        <w:ind w:left="1165" w:hanging="217"/>
      </w:pPr>
      <w:rPr>
        <w:rFonts w:hint="default"/>
        <w:lang w:val="en-GB" w:eastAsia="en-GB" w:bidi="en-GB"/>
      </w:rPr>
    </w:lvl>
    <w:lvl w:ilvl="6" w:tplc="086A1934">
      <w:numFmt w:val="bullet"/>
      <w:lvlText w:val="•"/>
      <w:lvlJc w:val="left"/>
      <w:pPr>
        <w:ind w:left="1338" w:hanging="217"/>
      </w:pPr>
      <w:rPr>
        <w:rFonts w:hint="default"/>
        <w:lang w:val="en-GB" w:eastAsia="en-GB" w:bidi="en-GB"/>
      </w:rPr>
    </w:lvl>
    <w:lvl w:ilvl="7" w:tplc="5E681C1E">
      <w:numFmt w:val="bullet"/>
      <w:lvlText w:val="•"/>
      <w:lvlJc w:val="left"/>
      <w:pPr>
        <w:ind w:left="1511" w:hanging="217"/>
      </w:pPr>
      <w:rPr>
        <w:rFonts w:hint="default"/>
        <w:lang w:val="en-GB" w:eastAsia="en-GB" w:bidi="en-GB"/>
      </w:rPr>
    </w:lvl>
    <w:lvl w:ilvl="8" w:tplc="30907B08">
      <w:numFmt w:val="bullet"/>
      <w:lvlText w:val="•"/>
      <w:lvlJc w:val="left"/>
      <w:pPr>
        <w:ind w:left="1684" w:hanging="217"/>
      </w:pPr>
      <w:rPr>
        <w:rFonts w:hint="default"/>
        <w:lang w:val="en-GB" w:eastAsia="en-GB" w:bidi="en-GB"/>
      </w:rPr>
    </w:lvl>
  </w:abstractNum>
  <w:abstractNum w:abstractNumId="600" w15:restartNumberingAfterBreak="0">
    <w:nsid w:val="37EE7485"/>
    <w:multiLevelType w:val="hybridMultilevel"/>
    <w:tmpl w:val="AE487FA6"/>
    <w:lvl w:ilvl="0" w:tplc="A634953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A940348">
      <w:numFmt w:val="bullet"/>
      <w:lvlText w:val="•"/>
      <w:lvlJc w:val="left"/>
      <w:pPr>
        <w:ind w:left="439" w:hanging="217"/>
      </w:pPr>
      <w:rPr>
        <w:rFonts w:hint="default"/>
        <w:lang w:val="en-GB" w:eastAsia="en-GB" w:bidi="en-GB"/>
      </w:rPr>
    </w:lvl>
    <w:lvl w:ilvl="2" w:tplc="1F30DB44">
      <w:numFmt w:val="bullet"/>
      <w:lvlText w:val="•"/>
      <w:lvlJc w:val="left"/>
      <w:pPr>
        <w:ind w:left="578" w:hanging="217"/>
      </w:pPr>
      <w:rPr>
        <w:rFonts w:hint="default"/>
        <w:lang w:val="en-GB" w:eastAsia="en-GB" w:bidi="en-GB"/>
      </w:rPr>
    </w:lvl>
    <w:lvl w:ilvl="3" w:tplc="695EBFE8">
      <w:numFmt w:val="bullet"/>
      <w:lvlText w:val="•"/>
      <w:lvlJc w:val="left"/>
      <w:pPr>
        <w:ind w:left="717" w:hanging="217"/>
      </w:pPr>
      <w:rPr>
        <w:rFonts w:hint="default"/>
        <w:lang w:val="en-GB" w:eastAsia="en-GB" w:bidi="en-GB"/>
      </w:rPr>
    </w:lvl>
    <w:lvl w:ilvl="4" w:tplc="9F3AFB8A">
      <w:numFmt w:val="bullet"/>
      <w:lvlText w:val="•"/>
      <w:lvlJc w:val="left"/>
      <w:pPr>
        <w:ind w:left="856" w:hanging="217"/>
      </w:pPr>
      <w:rPr>
        <w:rFonts w:hint="default"/>
        <w:lang w:val="en-GB" w:eastAsia="en-GB" w:bidi="en-GB"/>
      </w:rPr>
    </w:lvl>
    <w:lvl w:ilvl="5" w:tplc="AA46C03E">
      <w:numFmt w:val="bullet"/>
      <w:lvlText w:val="•"/>
      <w:lvlJc w:val="left"/>
      <w:pPr>
        <w:ind w:left="995" w:hanging="217"/>
      </w:pPr>
      <w:rPr>
        <w:rFonts w:hint="default"/>
        <w:lang w:val="en-GB" w:eastAsia="en-GB" w:bidi="en-GB"/>
      </w:rPr>
    </w:lvl>
    <w:lvl w:ilvl="6" w:tplc="84ECCB96">
      <w:numFmt w:val="bullet"/>
      <w:lvlText w:val="•"/>
      <w:lvlJc w:val="left"/>
      <w:pPr>
        <w:ind w:left="1134" w:hanging="217"/>
      </w:pPr>
      <w:rPr>
        <w:rFonts w:hint="default"/>
        <w:lang w:val="en-GB" w:eastAsia="en-GB" w:bidi="en-GB"/>
      </w:rPr>
    </w:lvl>
    <w:lvl w:ilvl="7" w:tplc="E7788318">
      <w:numFmt w:val="bullet"/>
      <w:lvlText w:val="•"/>
      <w:lvlJc w:val="left"/>
      <w:pPr>
        <w:ind w:left="1273" w:hanging="217"/>
      </w:pPr>
      <w:rPr>
        <w:rFonts w:hint="default"/>
        <w:lang w:val="en-GB" w:eastAsia="en-GB" w:bidi="en-GB"/>
      </w:rPr>
    </w:lvl>
    <w:lvl w:ilvl="8" w:tplc="8D1CF652">
      <w:numFmt w:val="bullet"/>
      <w:lvlText w:val="•"/>
      <w:lvlJc w:val="left"/>
      <w:pPr>
        <w:ind w:left="1412" w:hanging="217"/>
      </w:pPr>
      <w:rPr>
        <w:rFonts w:hint="default"/>
        <w:lang w:val="en-GB" w:eastAsia="en-GB" w:bidi="en-GB"/>
      </w:rPr>
    </w:lvl>
  </w:abstractNum>
  <w:abstractNum w:abstractNumId="601" w15:restartNumberingAfterBreak="0">
    <w:nsid w:val="37F2743F"/>
    <w:multiLevelType w:val="hybridMultilevel"/>
    <w:tmpl w:val="B4501148"/>
    <w:lvl w:ilvl="0" w:tplc="6B4A86DC">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8B05EF6">
      <w:numFmt w:val="bullet"/>
      <w:lvlText w:val="•"/>
      <w:lvlJc w:val="left"/>
      <w:pPr>
        <w:ind w:left="892" w:hanging="217"/>
      </w:pPr>
      <w:rPr>
        <w:rFonts w:hint="default"/>
        <w:lang w:val="en-GB" w:eastAsia="en-GB" w:bidi="en-GB"/>
      </w:rPr>
    </w:lvl>
    <w:lvl w:ilvl="2" w:tplc="99A033FE">
      <w:numFmt w:val="bullet"/>
      <w:lvlText w:val="•"/>
      <w:lvlJc w:val="left"/>
      <w:pPr>
        <w:ind w:left="1485" w:hanging="217"/>
      </w:pPr>
      <w:rPr>
        <w:rFonts w:hint="default"/>
        <w:lang w:val="en-GB" w:eastAsia="en-GB" w:bidi="en-GB"/>
      </w:rPr>
    </w:lvl>
    <w:lvl w:ilvl="3" w:tplc="02C0DC3E">
      <w:numFmt w:val="bullet"/>
      <w:lvlText w:val="•"/>
      <w:lvlJc w:val="left"/>
      <w:pPr>
        <w:ind w:left="2077" w:hanging="217"/>
      </w:pPr>
      <w:rPr>
        <w:rFonts w:hint="default"/>
        <w:lang w:val="en-GB" w:eastAsia="en-GB" w:bidi="en-GB"/>
      </w:rPr>
    </w:lvl>
    <w:lvl w:ilvl="4" w:tplc="E938A0CC">
      <w:numFmt w:val="bullet"/>
      <w:lvlText w:val="•"/>
      <w:lvlJc w:val="left"/>
      <w:pPr>
        <w:ind w:left="2670" w:hanging="217"/>
      </w:pPr>
      <w:rPr>
        <w:rFonts w:hint="default"/>
        <w:lang w:val="en-GB" w:eastAsia="en-GB" w:bidi="en-GB"/>
      </w:rPr>
    </w:lvl>
    <w:lvl w:ilvl="5" w:tplc="2EC24382">
      <w:numFmt w:val="bullet"/>
      <w:lvlText w:val="•"/>
      <w:lvlJc w:val="left"/>
      <w:pPr>
        <w:ind w:left="3263" w:hanging="217"/>
      </w:pPr>
      <w:rPr>
        <w:rFonts w:hint="default"/>
        <w:lang w:val="en-GB" w:eastAsia="en-GB" w:bidi="en-GB"/>
      </w:rPr>
    </w:lvl>
    <w:lvl w:ilvl="6" w:tplc="213AF520">
      <w:numFmt w:val="bullet"/>
      <w:lvlText w:val="•"/>
      <w:lvlJc w:val="left"/>
      <w:pPr>
        <w:ind w:left="3855" w:hanging="217"/>
      </w:pPr>
      <w:rPr>
        <w:rFonts w:hint="default"/>
        <w:lang w:val="en-GB" w:eastAsia="en-GB" w:bidi="en-GB"/>
      </w:rPr>
    </w:lvl>
    <w:lvl w:ilvl="7" w:tplc="616CC4AE">
      <w:numFmt w:val="bullet"/>
      <w:lvlText w:val="•"/>
      <w:lvlJc w:val="left"/>
      <w:pPr>
        <w:ind w:left="4448" w:hanging="217"/>
      </w:pPr>
      <w:rPr>
        <w:rFonts w:hint="default"/>
        <w:lang w:val="en-GB" w:eastAsia="en-GB" w:bidi="en-GB"/>
      </w:rPr>
    </w:lvl>
    <w:lvl w:ilvl="8" w:tplc="F4504734">
      <w:numFmt w:val="bullet"/>
      <w:lvlText w:val="•"/>
      <w:lvlJc w:val="left"/>
      <w:pPr>
        <w:ind w:left="5040" w:hanging="217"/>
      </w:pPr>
      <w:rPr>
        <w:rFonts w:hint="default"/>
        <w:lang w:val="en-GB" w:eastAsia="en-GB" w:bidi="en-GB"/>
      </w:rPr>
    </w:lvl>
  </w:abstractNum>
  <w:abstractNum w:abstractNumId="602" w15:restartNumberingAfterBreak="0">
    <w:nsid w:val="37F333CB"/>
    <w:multiLevelType w:val="hybridMultilevel"/>
    <w:tmpl w:val="697E7FC8"/>
    <w:lvl w:ilvl="0" w:tplc="91B0B62A">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8720CE0">
      <w:numFmt w:val="bullet"/>
      <w:lvlText w:val="•"/>
      <w:lvlJc w:val="left"/>
      <w:pPr>
        <w:ind w:left="892" w:hanging="217"/>
      </w:pPr>
      <w:rPr>
        <w:rFonts w:hint="default"/>
        <w:lang w:val="en-GB" w:eastAsia="en-GB" w:bidi="en-GB"/>
      </w:rPr>
    </w:lvl>
    <w:lvl w:ilvl="2" w:tplc="3C7A753A">
      <w:numFmt w:val="bullet"/>
      <w:lvlText w:val="•"/>
      <w:lvlJc w:val="left"/>
      <w:pPr>
        <w:ind w:left="1485" w:hanging="217"/>
      </w:pPr>
      <w:rPr>
        <w:rFonts w:hint="default"/>
        <w:lang w:val="en-GB" w:eastAsia="en-GB" w:bidi="en-GB"/>
      </w:rPr>
    </w:lvl>
    <w:lvl w:ilvl="3" w:tplc="CEF4155E">
      <w:numFmt w:val="bullet"/>
      <w:lvlText w:val="•"/>
      <w:lvlJc w:val="left"/>
      <w:pPr>
        <w:ind w:left="2077" w:hanging="217"/>
      </w:pPr>
      <w:rPr>
        <w:rFonts w:hint="default"/>
        <w:lang w:val="en-GB" w:eastAsia="en-GB" w:bidi="en-GB"/>
      </w:rPr>
    </w:lvl>
    <w:lvl w:ilvl="4" w:tplc="06901912">
      <w:numFmt w:val="bullet"/>
      <w:lvlText w:val="•"/>
      <w:lvlJc w:val="left"/>
      <w:pPr>
        <w:ind w:left="2670" w:hanging="217"/>
      </w:pPr>
      <w:rPr>
        <w:rFonts w:hint="default"/>
        <w:lang w:val="en-GB" w:eastAsia="en-GB" w:bidi="en-GB"/>
      </w:rPr>
    </w:lvl>
    <w:lvl w:ilvl="5" w:tplc="4C886780">
      <w:numFmt w:val="bullet"/>
      <w:lvlText w:val="•"/>
      <w:lvlJc w:val="left"/>
      <w:pPr>
        <w:ind w:left="3263" w:hanging="217"/>
      </w:pPr>
      <w:rPr>
        <w:rFonts w:hint="default"/>
        <w:lang w:val="en-GB" w:eastAsia="en-GB" w:bidi="en-GB"/>
      </w:rPr>
    </w:lvl>
    <w:lvl w:ilvl="6" w:tplc="FA5A04C2">
      <w:numFmt w:val="bullet"/>
      <w:lvlText w:val="•"/>
      <w:lvlJc w:val="left"/>
      <w:pPr>
        <w:ind w:left="3855" w:hanging="217"/>
      </w:pPr>
      <w:rPr>
        <w:rFonts w:hint="default"/>
        <w:lang w:val="en-GB" w:eastAsia="en-GB" w:bidi="en-GB"/>
      </w:rPr>
    </w:lvl>
    <w:lvl w:ilvl="7" w:tplc="BE86B4DE">
      <w:numFmt w:val="bullet"/>
      <w:lvlText w:val="•"/>
      <w:lvlJc w:val="left"/>
      <w:pPr>
        <w:ind w:left="4448" w:hanging="217"/>
      </w:pPr>
      <w:rPr>
        <w:rFonts w:hint="default"/>
        <w:lang w:val="en-GB" w:eastAsia="en-GB" w:bidi="en-GB"/>
      </w:rPr>
    </w:lvl>
    <w:lvl w:ilvl="8" w:tplc="32425532">
      <w:numFmt w:val="bullet"/>
      <w:lvlText w:val="•"/>
      <w:lvlJc w:val="left"/>
      <w:pPr>
        <w:ind w:left="5040" w:hanging="217"/>
      </w:pPr>
      <w:rPr>
        <w:rFonts w:hint="default"/>
        <w:lang w:val="en-GB" w:eastAsia="en-GB" w:bidi="en-GB"/>
      </w:rPr>
    </w:lvl>
  </w:abstractNum>
  <w:abstractNum w:abstractNumId="603" w15:restartNumberingAfterBreak="0">
    <w:nsid w:val="38013FE5"/>
    <w:multiLevelType w:val="hybridMultilevel"/>
    <w:tmpl w:val="C8088F74"/>
    <w:lvl w:ilvl="0" w:tplc="EEFCED10">
      <w:numFmt w:val="bullet"/>
      <w:lvlText w:val="•"/>
      <w:lvlJc w:val="left"/>
      <w:pPr>
        <w:ind w:left="304" w:hanging="217"/>
      </w:pPr>
      <w:rPr>
        <w:rFonts w:ascii="Arial" w:eastAsia="Arial" w:hAnsi="Arial" w:cs="Arial" w:hint="default"/>
        <w:color w:val="231F20"/>
        <w:w w:val="100"/>
        <w:sz w:val="18"/>
        <w:szCs w:val="18"/>
        <w:lang w:val="en-GB" w:eastAsia="en-GB" w:bidi="en-GB"/>
      </w:rPr>
    </w:lvl>
    <w:lvl w:ilvl="1" w:tplc="0BF052DA">
      <w:numFmt w:val="bullet"/>
      <w:lvlText w:val="•"/>
      <w:lvlJc w:val="left"/>
      <w:pPr>
        <w:ind w:left="473" w:hanging="217"/>
      </w:pPr>
      <w:rPr>
        <w:rFonts w:hint="default"/>
        <w:lang w:val="en-GB" w:eastAsia="en-GB" w:bidi="en-GB"/>
      </w:rPr>
    </w:lvl>
    <w:lvl w:ilvl="2" w:tplc="DBEA367C">
      <w:numFmt w:val="bullet"/>
      <w:lvlText w:val="•"/>
      <w:lvlJc w:val="left"/>
      <w:pPr>
        <w:ind w:left="646" w:hanging="217"/>
      </w:pPr>
      <w:rPr>
        <w:rFonts w:hint="default"/>
        <w:lang w:val="en-GB" w:eastAsia="en-GB" w:bidi="en-GB"/>
      </w:rPr>
    </w:lvl>
    <w:lvl w:ilvl="3" w:tplc="8BBE7784">
      <w:numFmt w:val="bullet"/>
      <w:lvlText w:val="•"/>
      <w:lvlJc w:val="left"/>
      <w:pPr>
        <w:ind w:left="819" w:hanging="217"/>
      </w:pPr>
      <w:rPr>
        <w:rFonts w:hint="default"/>
        <w:lang w:val="en-GB" w:eastAsia="en-GB" w:bidi="en-GB"/>
      </w:rPr>
    </w:lvl>
    <w:lvl w:ilvl="4" w:tplc="72F0056E">
      <w:numFmt w:val="bullet"/>
      <w:lvlText w:val="•"/>
      <w:lvlJc w:val="left"/>
      <w:pPr>
        <w:ind w:left="992" w:hanging="217"/>
      </w:pPr>
      <w:rPr>
        <w:rFonts w:hint="default"/>
        <w:lang w:val="en-GB" w:eastAsia="en-GB" w:bidi="en-GB"/>
      </w:rPr>
    </w:lvl>
    <w:lvl w:ilvl="5" w:tplc="A8544CDE">
      <w:numFmt w:val="bullet"/>
      <w:lvlText w:val="•"/>
      <w:lvlJc w:val="left"/>
      <w:pPr>
        <w:ind w:left="1165" w:hanging="217"/>
      </w:pPr>
      <w:rPr>
        <w:rFonts w:hint="default"/>
        <w:lang w:val="en-GB" w:eastAsia="en-GB" w:bidi="en-GB"/>
      </w:rPr>
    </w:lvl>
    <w:lvl w:ilvl="6" w:tplc="5C909554">
      <w:numFmt w:val="bullet"/>
      <w:lvlText w:val="•"/>
      <w:lvlJc w:val="left"/>
      <w:pPr>
        <w:ind w:left="1338" w:hanging="217"/>
      </w:pPr>
      <w:rPr>
        <w:rFonts w:hint="default"/>
        <w:lang w:val="en-GB" w:eastAsia="en-GB" w:bidi="en-GB"/>
      </w:rPr>
    </w:lvl>
    <w:lvl w:ilvl="7" w:tplc="55D65ACE">
      <w:numFmt w:val="bullet"/>
      <w:lvlText w:val="•"/>
      <w:lvlJc w:val="left"/>
      <w:pPr>
        <w:ind w:left="1511" w:hanging="217"/>
      </w:pPr>
      <w:rPr>
        <w:rFonts w:hint="default"/>
        <w:lang w:val="en-GB" w:eastAsia="en-GB" w:bidi="en-GB"/>
      </w:rPr>
    </w:lvl>
    <w:lvl w:ilvl="8" w:tplc="071ADAA8">
      <w:numFmt w:val="bullet"/>
      <w:lvlText w:val="•"/>
      <w:lvlJc w:val="left"/>
      <w:pPr>
        <w:ind w:left="1684" w:hanging="217"/>
      </w:pPr>
      <w:rPr>
        <w:rFonts w:hint="default"/>
        <w:lang w:val="en-GB" w:eastAsia="en-GB" w:bidi="en-GB"/>
      </w:rPr>
    </w:lvl>
  </w:abstractNum>
  <w:abstractNum w:abstractNumId="604" w15:restartNumberingAfterBreak="0">
    <w:nsid w:val="381B173E"/>
    <w:multiLevelType w:val="hybridMultilevel"/>
    <w:tmpl w:val="97D427CE"/>
    <w:lvl w:ilvl="0" w:tplc="89A4F426">
      <w:numFmt w:val="bullet"/>
      <w:lvlText w:val="•"/>
      <w:lvlJc w:val="left"/>
      <w:pPr>
        <w:ind w:left="300" w:hanging="217"/>
      </w:pPr>
      <w:rPr>
        <w:rFonts w:ascii="Arial" w:eastAsia="Arial" w:hAnsi="Arial" w:cs="Arial" w:hint="default"/>
        <w:color w:val="231F20"/>
        <w:w w:val="102"/>
        <w:sz w:val="17"/>
        <w:szCs w:val="17"/>
        <w:lang w:val="en-GB" w:eastAsia="en-GB" w:bidi="en-GB"/>
      </w:rPr>
    </w:lvl>
    <w:lvl w:ilvl="1" w:tplc="1542DB5C">
      <w:numFmt w:val="bullet"/>
      <w:lvlText w:val="•"/>
      <w:lvlJc w:val="left"/>
      <w:pPr>
        <w:ind w:left="892" w:hanging="217"/>
      </w:pPr>
      <w:rPr>
        <w:rFonts w:hint="default"/>
        <w:lang w:val="en-GB" w:eastAsia="en-GB" w:bidi="en-GB"/>
      </w:rPr>
    </w:lvl>
    <w:lvl w:ilvl="2" w:tplc="FAF0548C">
      <w:numFmt w:val="bullet"/>
      <w:lvlText w:val="•"/>
      <w:lvlJc w:val="left"/>
      <w:pPr>
        <w:ind w:left="1484" w:hanging="217"/>
      </w:pPr>
      <w:rPr>
        <w:rFonts w:hint="default"/>
        <w:lang w:val="en-GB" w:eastAsia="en-GB" w:bidi="en-GB"/>
      </w:rPr>
    </w:lvl>
    <w:lvl w:ilvl="3" w:tplc="D62AB882">
      <w:numFmt w:val="bullet"/>
      <w:lvlText w:val="•"/>
      <w:lvlJc w:val="left"/>
      <w:pPr>
        <w:ind w:left="2076" w:hanging="217"/>
      </w:pPr>
      <w:rPr>
        <w:rFonts w:hint="default"/>
        <w:lang w:val="en-GB" w:eastAsia="en-GB" w:bidi="en-GB"/>
      </w:rPr>
    </w:lvl>
    <w:lvl w:ilvl="4" w:tplc="F54AD818">
      <w:numFmt w:val="bullet"/>
      <w:lvlText w:val="•"/>
      <w:lvlJc w:val="left"/>
      <w:pPr>
        <w:ind w:left="2668" w:hanging="217"/>
      </w:pPr>
      <w:rPr>
        <w:rFonts w:hint="default"/>
        <w:lang w:val="en-GB" w:eastAsia="en-GB" w:bidi="en-GB"/>
      </w:rPr>
    </w:lvl>
    <w:lvl w:ilvl="5" w:tplc="B81A43B4">
      <w:numFmt w:val="bullet"/>
      <w:lvlText w:val="•"/>
      <w:lvlJc w:val="left"/>
      <w:pPr>
        <w:ind w:left="3260" w:hanging="217"/>
      </w:pPr>
      <w:rPr>
        <w:rFonts w:hint="default"/>
        <w:lang w:val="en-GB" w:eastAsia="en-GB" w:bidi="en-GB"/>
      </w:rPr>
    </w:lvl>
    <w:lvl w:ilvl="6" w:tplc="C9D690CE">
      <w:numFmt w:val="bullet"/>
      <w:lvlText w:val="•"/>
      <w:lvlJc w:val="left"/>
      <w:pPr>
        <w:ind w:left="3852" w:hanging="217"/>
      </w:pPr>
      <w:rPr>
        <w:rFonts w:hint="default"/>
        <w:lang w:val="en-GB" w:eastAsia="en-GB" w:bidi="en-GB"/>
      </w:rPr>
    </w:lvl>
    <w:lvl w:ilvl="7" w:tplc="BB9277BA">
      <w:numFmt w:val="bullet"/>
      <w:lvlText w:val="•"/>
      <w:lvlJc w:val="left"/>
      <w:pPr>
        <w:ind w:left="4444" w:hanging="217"/>
      </w:pPr>
      <w:rPr>
        <w:rFonts w:hint="default"/>
        <w:lang w:val="en-GB" w:eastAsia="en-GB" w:bidi="en-GB"/>
      </w:rPr>
    </w:lvl>
    <w:lvl w:ilvl="8" w:tplc="B9D0E382">
      <w:numFmt w:val="bullet"/>
      <w:lvlText w:val="•"/>
      <w:lvlJc w:val="left"/>
      <w:pPr>
        <w:ind w:left="5036" w:hanging="217"/>
      </w:pPr>
      <w:rPr>
        <w:rFonts w:hint="default"/>
        <w:lang w:val="en-GB" w:eastAsia="en-GB" w:bidi="en-GB"/>
      </w:rPr>
    </w:lvl>
  </w:abstractNum>
  <w:abstractNum w:abstractNumId="605" w15:restartNumberingAfterBreak="0">
    <w:nsid w:val="38280DFC"/>
    <w:multiLevelType w:val="hybridMultilevel"/>
    <w:tmpl w:val="39E4522C"/>
    <w:lvl w:ilvl="0" w:tplc="C7A6C2AC">
      <w:numFmt w:val="bullet"/>
      <w:lvlText w:val="•"/>
      <w:lvlJc w:val="left"/>
      <w:pPr>
        <w:ind w:left="3769" w:hanging="217"/>
      </w:pPr>
      <w:rPr>
        <w:rFonts w:ascii="Arial" w:eastAsia="Arial" w:hAnsi="Arial" w:cs="Arial" w:hint="default"/>
        <w:color w:val="231F20"/>
        <w:spacing w:val="-1"/>
        <w:w w:val="100"/>
        <w:sz w:val="18"/>
        <w:szCs w:val="18"/>
        <w:lang w:val="en-GB" w:eastAsia="en-GB" w:bidi="en-GB"/>
      </w:rPr>
    </w:lvl>
    <w:lvl w:ilvl="1" w:tplc="EEA86A82">
      <w:numFmt w:val="bullet"/>
      <w:lvlText w:val="•"/>
      <w:lvlJc w:val="left"/>
      <w:pPr>
        <w:ind w:left="4199" w:hanging="217"/>
      </w:pPr>
      <w:rPr>
        <w:rFonts w:hint="default"/>
        <w:lang w:val="en-GB" w:eastAsia="en-GB" w:bidi="en-GB"/>
      </w:rPr>
    </w:lvl>
    <w:lvl w:ilvl="2" w:tplc="94CAB09A">
      <w:numFmt w:val="bullet"/>
      <w:lvlText w:val="•"/>
      <w:lvlJc w:val="left"/>
      <w:pPr>
        <w:ind w:left="4638" w:hanging="217"/>
      </w:pPr>
      <w:rPr>
        <w:rFonts w:hint="default"/>
        <w:lang w:val="en-GB" w:eastAsia="en-GB" w:bidi="en-GB"/>
      </w:rPr>
    </w:lvl>
    <w:lvl w:ilvl="3" w:tplc="75A0E7CC">
      <w:numFmt w:val="bullet"/>
      <w:lvlText w:val="•"/>
      <w:lvlJc w:val="left"/>
      <w:pPr>
        <w:ind w:left="5077" w:hanging="217"/>
      </w:pPr>
      <w:rPr>
        <w:rFonts w:hint="default"/>
        <w:lang w:val="en-GB" w:eastAsia="en-GB" w:bidi="en-GB"/>
      </w:rPr>
    </w:lvl>
    <w:lvl w:ilvl="4" w:tplc="0EE244EC">
      <w:numFmt w:val="bullet"/>
      <w:lvlText w:val="•"/>
      <w:lvlJc w:val="left"/>
      <w:pPr>
        <w:ind w:left="5517" w:hanging="217"/>
      </w:pPr>
      <w:rPr>
        <w:rFonts w:hint="default"/>
        <w:lang w:val="en-GB" w:eastAsia="en-GB" w:bidi="en-GB"/>
      </w:rPr>
    </w:lvl>
    <w:lvl w:ilvl="5" w:tplc="A296E424">
      <w:numFmt w:val="bullet"/>
      <w:lvlText w:val="•"/>
      <w:lvlJc w:val="left"/>
      <w:pPr>
        <w:ind w:left="5956" w:hanging="217"/>
      </w:pPr>
      <w:rPr>
        <w:rFonts w:hint="default"/>
        <w:lang w:val="en-GB" w:eastAsia="en-GB" w:bidi="en-GB"/>
      </w:rPr>
    </w:lvl>
    <w:lvl w:ilvl="6" w:tplc="E6FC1276">
      <w:numFmt w:val="bullet"/>
      <w:lvlText w:val="•"/>
      <w:lvlJc w:val="left"/>
      <w:pPr>
        <w:ind w:left="6395" w:hanging="217"/>
      </w:pPr>
      <w:rPr>
        <w:rFonts w:hint="default"/>
        <w:lang w:val="en-GB" w:eastAsia="en-GB" w:bidi="en-GB"/>
      </w:rPr>
    </w:lvl>
    <w:lvl w:ilvl="7" w:tplc="80629E34">
      <w:numFmt w:val="bullet"/>
      <w:lvlText w:val="•"/>
      <w:lvlJc w:val="left"/>
      <w:pPr>
        <w:ind w:left="6835" w:hanging="217"/>
      </w:pPr>
      <w:rPr>
        <w:rFonts w:hint="default"/>
        <w:lang w:val="en-GB" w:eastAsia="en-GB" w:bidi="en-GB"/>
      </w:rPr>
    </w:lvl>
    <w:lvl w:ilvl="8" w:tplc="E19833A8">
      <w:numFmt w:val="bullet"/>
      <w:lvlText w:val="•"/>
      <w:lvlJc w:val="left"/>
      <w:pPr>
        <w:ind w:left="7274" w:hanging="217"/>
      </w:pPr>
      <w:rPr>
        <w:rFonts w:hint="default"/>
        <w:lang w:val="en-GB" w:eastAsia="en-GB" w:bidi="en-GB"/>
      </w:rPr>
    </w:lvl>
  </w:abstractNum>
  <w:abstractNum w:abstractNumId="606" w15:restartNumberingAfterBreak="0">
    <w:nsid w:val="382C4146"/>
    <w:multiLevelType w:val="hybridMultilevel"/>
    <w:tmpl w:val="D16C9488"/>
    <w:lvl w:ilvl="0" w:tplc="C0C6267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ED41BAA">
      <w:numFmt w:val="bullet"/>
      <w:lvlText w:val="•"/>
      <w:lvlJc w:val="left"/>
      <w:pPr>
        <w:ind w:left="1061" w:hanging="217"/>
      </w:pPr>
      <w:rPr>
        <w:rFonts w:hint="default"/>
        <w:lang w:val="en-GB" w:eastAsia="en-GB" w:bidi="en-GB"/>
      </w:rPr>
    </w:lvl>
    <w:lvl w:ilvl="2" w:tplc="AB48984C">
      <w:numFmt w:val="bullet"/>
      <w:lvlText w:val="•"/>
      <w:lvlJc w:val="left"/>
      <w:pPr>
        <w:ind w:left="1823" w:hanging="217"/>
      </w:pPr>
      <w:rPr>
        <w:rFonts w:hint="default"/>
        <w:lang w:val="en-GB" w:eastAsia="en-GB" w:bidi="en-GB"/>
      </w:rPr>
    </w:lvl>
    <w:lvl w:ilvl="3" w:tplc="0BAE6BDC">
      <w:numFmt w:val="bullet"/>
      <w:lvlText w:val="•"/>
      <w:lvlJc w:val="left"/>
      <w:pPr>
        <w:ind w:left="2585" w:hanging="217"/>
      </w:pPr>
      <w:rPr>
        <w:rFonts w:hint="default"/>
        <w:lang w:val="en-GB" w:eastAsia="en-GB" w:bidi="en-GB"/>
      </w:rPr>
    </w:lvl>
    <w:lvl w:ilvl="4" w:tplc="3770507A">
      <w:numFmt w:val="bullet"/>
      <w:lvlText w:val="•"/>
      <w:lvlJc w:val="left"/>
      <w:pPr>
        <w:ind w:left="3346" w:hanging="217"/>
      </w:pPr>
      <w:rPr>
        <w:rFonts w:hint="default"/>
        <w:lang w:val="en-GB" w:eastAsia="en-GB" w:bidi="en-GB"/>
      </w:rPr>
    </w:lvl>
    <w:lvl w:ilvl="5" w:tplc="BD26FDA8">
      <w:numFmt w:val="bullet"/>
      <w:lvlText w:val="•"/>
      <w:lvlJc w:val="left"/>
      <w:pPr>
        <w:ind w:left="4108" w:hanging="217"/>
      </w:pPr>
      <w:rPr>
        <w:rFonts w:hint="default"/>
        <w:lang w:val="en-GB" w:eastAsia="en-GB" w:bidi="en-GB"/>
      </w:rPr>
    </w:lvl>
    <w:lvl w:ilvl="6" w:tplc="A18C0152">
      <w:numFmt w:val="bullet"/>
      <w:lvlText w:val="•"/>
      <w:lvlJc w:val="left"/>
      <w:pPr>
        <w:ind w:left="4870" w:hanging="217"/>
      </w:pPr>
      <w:rPr>
        <w:rFonts w:hint="default"/>
        <w:lang w:val="en-GB" w:eastAsia="en-GB" w:bidi="en-GB"/>
      </w:rPr>
    </w:lvl>
    <w:lvl w:ilvl="7" w:tplc="F4588DA6">
      <w:numFmt w:val="bullet"/>
      <w:lvlText w:val="•"/>
      <w:lvlJc w:val="left"/>
      <w:pPr>
        <w:ind w:left="5631" w:hanging="217"/>
      </w:pPr>
      <w:rPr>
        <w:rFonts w:hint="default"/>
        <w:lang w:val="en-GB" w:eastAsia="en-GB" w:bidi="en-GB"/>
      </w:rPr>
    </w:lvl>
    <w:lvl w:ilvl="8" w:tplc="8FD8C0C2">
      <w:numFmt w:val="bullet"/>
      <w:lvlText w:val="•"/>
      <w:lvlJc w:val="left"/>
      <w:pPr>
        <w:ind w:left="6393" w:hanging="217"/>
      </w:pPr>
      <w:rPr>
        <w:rFonts w:hint="default"/>
        <w:lang w:val="en-GB" w:eastAsia="en-GB" w:bidi="en-GB"/>
      </w:rPr>
    </w:lvl>
  </w:abstractNum>
  <w:abstractNum w:abstractNumId="607" w15:restartNumberingAfterBreak="0">
    <w:nsid w:val="38624B9C"/>
    <w:multiLevelType w:val="hybridMultilevel"/>
    <w:tmpl w:val="A36E371E"/>
    <w:lvl w:ilvl="0" w:tplc="EB56CD66">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75F82416">
      <w:numFmt w:val="bullet"/>
      <w:lvlText w:val="•"/>
      <w:lvlJc w:val="left"/>
      <w:pPr>
        <w:ind w:left="473" w:hanging="217"/>
      </w:pPr>
      <w:rPr>
        <w:rFonts w:hint="default"/>
        <w:lang w:val="en-GB" w:eastAsia="en-GB" w:bidi="en-GB"/>
      </w:rPr>
    </w:lvl>
    <w:lvl w:ilvl="2" w:tplc="A3DCD4BC">
      <w:numFmt w:val="bullet"/>
      <w:lvlText w:val="•"/>
      <w:lvlJc w:val="left"/>
      <w:pPr>
        <w:ind w:left="646" w:hanging="217"/>
      </w:pPr>
      <w:rPr>
        <w:rFonts w:hint="default"/>
        <w:lang w:val="en-GB" w:eastAsia="en-GB" w:bidi="en-GB"/>
      </w:rPr>
    </w:lvl>
    <w:lvl w:ilvl="3" w:tplc="BE50AC78">
      <w:numFmt w:val="bullet"/>
      <w:lvlText w:val="•"/>
      <w:lvlJc w:val="left"/>
      <w:pPr>
        <w:ind w:left="819" w:hanging="217"/>
      </w:pPr>
      <w:rPr>
        <w:rFonts w:hint="default"/>
        <w:lang w:val="en-GB" w:eastAsia="en-GB" w:bidi="en-GB"/>
      </w:rPr>
    </w:lvl>
    <w:lvl w:ilvl="4" w:tplc="189C915A">
      <w:numFmt w:val="bullet"/>
      <w:lvlText w:val="•"/>
      <w:lvlJc w:val="left"/>
      <w:pPr>
        <w:ind w:left="992" w:hanging="217"/>
      </w:pPr>
      <w:rPr>
        <w:rFonts w:hint="default"/>
        <w:lang w:val="en-GB" w:eastAsia="en-GB" w:bidi="en-GB"/>
      </w:rPr>
    </w:lvl>
    <w:lvl w:ilvl="5" w:tplc="8F4CD870">
      <w:numFmt w:val="bullet"/>
      <w:lvlText w:val="•"/>
      <w:lvlJc w:val="left"/>
      <w:pPr>
        <w:ind w:left="1165" w:hanging="217"/>
      </w:pPr>
      <w:rPr>
        <w:rFonts w:hint="default"/>
        <w:lang w:val="en-GB" w:eastAsia="en-GB" w:bidi="en-GB"/>
      </w:rPr>
    </w:lvl>
    <w:lvl w:ilvl="6" w:tplc="DEF28572">
      <w:numFmt w:val="bullet"/>
      <w:lvlText w:val="•"/>
      <w:lvlJc w:val="left"/>
      <w:pPr>
        <w:ind w:left="1338" w:hanging="217"/>
      </w:pPr>
      <w:rPr>
        <w:rFonts w:hint="default"/>
        <w:lang w:val="en-GB" w:eastAsia="en-GB" w:bidi="en-GB"/>
      </w:rPr>
    </w:lvl>
    <w:lvl w:ilvl="7" w:tplc="CB728DB6">
      <w:numFmt w:val="bullet"/>
      <w:lvlText w:val="•"/>
      <w:lvlJc w:val="left"/>
      <w:pPr>
        <w:ind w:left="1511" w:hanging="217"/>
      </w:pPr>
      <w:rPr>
        <w:rFonts w:hint="default"/>
        <w:lang w:val="en-GB" w:eastAsia="en-GB" w:bidi="en-GB"/>
      </w:rPr>
    </w:lvl>
    <w:lvl w:ilvl="8" w:tplc="F702A6CE">
      <w:numFmt w:val="bullet"/>
      <w:lvlText w:val="•"/>
      <w:lvlJc w:val="left"/>
      <w:pPr>
        <w:ind w:left="1684" w:hanging="217"/>
      </w:pPr>
      <w:rPr>
        <w:rFonts w:hint="default"/>
        <w:lang w:val="en-GB" w:eastAsia="en-GB" w:bidi="en-GB"/>
      </w:rPr>
    </w:lvl>
  </w:abstractNum>
  <w:abstractNum w:abstractNumId="608" w15:restartNumberingAfterBreak="0">
    <w:nsid w:val="38640EFD"/>
    <w:multiLevelType w:val="hybridMultilevel"/>
    <w:tmpl w:val="71FA1A68"/>
    <w:lvl w:ilvl="0" w:tplc="919A522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F42E166">
      <w:numFmt w:val="bullet"/>
      <w:lvlText w:val="•"/>
      <w:lvlJc w:val="left"/>
      <w:pPr>
        <w:ind w:left="473" w:hanging="217"/>
      </w:pPr>
      <w:rPr>
        <w:rFonts w:hint="default"/>
        <w:lang w:val="en-GB" w:eastAsia="en-GB" w:bidi="en-GB"/>
      </w:rPr>
    </w:lvl>
    <w:lvl w:ilvl="2" w:tplc="9C76C054">
      <w:numFmt w:val="bullet"/>
      <w:lvlText w:val="•"/>
      <w:lvlJc w:val="left"/>
      <w:pPr>
        <w:ind w:left="646" w:hanging="217"/>
      </w:pPr>
      <w:rPr>
        <w:rFonts w:hint="default"/>
        <w:lang w:val="en-GB" w:eastAsia="en-GB" w:bidi="en-GB"/>
      </w:rPr>
    </w:lvl>
    <w:lvl w:ilvl="3" w:tplc="CC3005E4">
      <w:numFmt w:val="bullet"/>
      <w:lvlText w:val="•"/>
      <w:lvlJc w:val="left"/>
      <w:pPr>
        <w:ind w:left="819" w:hanging="217"/>
      </w:pPr>
      <w:rPr>
        <w:rFonts w:hint="default"/>
        <w:lang w:val="en-GB" w:eastAsia="en-GB" w:bidi="en-GB"/>
      </w:rPr>
    </w:lvl>
    <w:lvl w:ilvl="4" w:tplc="4F34FE96">
      <w:numFmt w:val="bullet"/>
      <w:lvlText w:val="•"/>
      <w:lvlJc w:val="left"/>
      <w:pPr>
        <w:ind w:left="992" w:hanging="217"/>
      </w:pPr>
      <w:rPr>
        <w:rFonts w:hint="default"/>
        <w:lang w:val="en-GB" w:eastAsia="en-GB" w:bidi="en-GB"/>
      </w:rPr>
    </w:lvl>
    <w:lvl w:ilvl="5" w:tplc="6A12CE7E">
      <w:numFmt w:val="bullet"/>
      <w:lvlText w:val="•"/>
      <w:lvlJc w:val="left"/>
      <w:pPr>
        <w:ind w:left="1165" w:hanging="217"/>
      </w:pPr>
      <w:rPr>
        <w:rFonts w:hint="default"/>
        <w:lang w:val="en-GB" w:eastAsia="en-GB" w:bidi="en-GB"/>
      </w:rPr>
    </w:lvl>
    <w:lvl w:ilvl="6" w:tplc="6EC4B2FA">
      <w:numFmt w:val="bullet"/>
      <w:lvlText w:val="•"/>
      <w:lvlJc w:val="left"/>
      <w:pPr>
        <w:ind w:left="1338" w:hanging="217"/>
      </w:pPr>
      <w:rPr>
        <w:rFonts w:hint="default"/>
        <w:lang w:val="en-GB" w:eastAsia="en-GB" w:bidi="en-GB"/>
      </w:rPr>
    </w:lvl>
    <w:lvl w:ilvl="7" w:tplc="D38C5AC4">
      <w:numFmt w:val="bullet"/>
      <w:lvlText w:val="•"/>
      <w:lvlJc w:val="left"/>
      <w:pPr>
        <w:ind w:left="1511" w:hanging="217"/>
      </w:pPr>
      <w:rPr>
        <w:rFonts w:hint="default"/>
        <w:lang w:val="en-GB" w:eastAsia="en-GB" w:bidi="en-GB"/>
      </w:rPr>
    </w:lvl>
    <w:lvl w:ilvl="8" w:tplc="7E620E38">
      <w:numFmt w:val="bullet"/>
      <w:lvlText w:val="•"/>
      <w:lvlJc w:val="left"/>
      <w:pPr>
        <w:ind w:left="1684" w:hanging="217"/>
      </w:pPr>
      <w:rPr>
        <w:rFonts w:hint="default"/>
        <w:lang w:val="en-GB" w:eastAsia="en-GB" w:bidi="en-GB"/>
      </w:rPr>
    </w:lvl>
  </w:abstractNum>
  <w:abstractNum w:abstractNumId="609" w15:restartNumberingAfterBreak="0">
    <w:nsid w:val="38833E0C"/>
    <w:multiLevelType w:val="hybridMultilevel"/>
    <w:tmpl w:val="4AC48DE0"/>
    <w:lvl w:ilvl="0" w:tplc="35A8CBB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D47077B0">
      <w:numFmt w:val="bullet"/>
      <w:lvlText w:val="•"/>
      <w:lvlJc w:val="left"/>
      <w:pPr>
        <w:ind w:left="473" w:hanging="217"/>
      </w:pPr>
      <w:rPr>
        <w:rFonts w:hint="default"/>
        <w:lang w:val="en-GB" w:eastAsia="en-GB" w:bidi="en-GB"/>
      </w:rPr>
    </w:lvl>
    <w:lvl w:ilvl="2" w:tplc="01FC78B2">
      <w:numFmt w:val="bullet"/>
      <w:lvlText w:val="•"/>
      <w:lvlJc w:val="left"/>
      <w:pPr>
        <w:ind w:left="646" w:hanging="217"/>
      </w:pPr>
      <w:rPr>
        <w:rFonts w:hint="default"/>
        <w:lang w:val="en-GB" w:eastAsia="en-GB" w:bidi="en-GB"/>
      </w:rPr>
    </w:lvl>
    <w:lvl w:ilvl="3" w:tplc="D0028A52">
      <w:numFmt w:val="bullet"/>
      <w:lvlText w:val="•"/>
      <w:lvlJc w:val="left"/>
      <w:pPr>
        <w:ind w:left="819" w:hanging="217"/>
      </w:pPr>
      <w:rPr>
        <w:rFonts w:hint="default"/>
        <w:lang w:val="en-GB" w:eastAsia="en-GB" w:bidi="en-GB"/>
      </w:rPr>
    </w:lvl>
    <w:lvl w:ilvl="4" w:tplc="EF589112">
      <w:numFmt w:val="bullet"/>
      <w:lvlText w:val="•"/>
      <w:lvlJc w:val="left"/>
      <w:pPr>
        <w:ind w:left="992" w:hanging="217"/>
      </w:pPr>
      <w:rPr>
        <w:rFonts w:hint="default"/>
        <w:lang w:val="en-GB" w:eastAsia="en-GB" w:bidi="en-GB"/>
      </w:rPr>
    </w:lvl>
    <w:lvl w:ilvl="5" w:tplc="C4DE0070">
      <w:numFmt w:val="bullet"/>
      <w:lvlText w:val="•"/>
      <w:lvlJc w:val="left"/>
      <w:pPr>
        <w:ind w:left="1165" w:hanging="217"/>
      </w:pPr>
      <w:rPr>
        <w:rFonts w:hint="default"/>
        <w:lang w:val="en-GB" w:eastAsia="en-GB" w:bidi="en-GB"/>
      </w:rPr>
    </w:lvl>
    <w:lvl w:ilvl="6" w:tplc="0908FABE">
      <w:numFmt w:val="bullet"/>
      <w:lvlText w:val="•"/>
      <w:lvlJc w:val="left"/>
      <w:pPr>
        <w:ind w:left="1338" w:hanging="217"/>
      </w:pPr>
      <w:rPr>
        <w:rFonts w:hint="default"/>
        <w:lang w:val="en-GB" w:eastAsia="en-GB" w:bidi="en-GB"/>
      </w:rPr>
    </w:lvl>
    <w:lvl w:ilvl="7" w:tplc="0F9292DA">
      <w:numFmt w:val="bullet"/>
      <w:lvlText w:val="•"/>
      <w:lvlJc w:val="left"/>
      <w:pPr>
        <w:ind w:left="1511" w:hanging="217"/>
      </w:pPr>
      <w:rPr>
        <w:rFonts w:hint="default"/>
        <w:lang w:val="en-GB" w:eastAsia="en-GB" w:bidi="en-GB"/>
      </w:rPr>
    </w:lvl>
    <w:lvl w:ilvl="8" w:tplc="4F6EBB66">
      <w:numFmt w:val="bullet"/>
      <w:lvlText w:val="•"/>
      <w:lvlJc w:val="left"/>
      <w:pPr>
        <w:ind w:left="1684" w:hanging="217"/>
      </w:pPr>
      <w:rPr>
        <w:rFonts w:hint="default"/>
        <w:lang w:val="en-GB" w:eastAsia="en-GB" w:bidi="en-GB"/>
      </w:rPr>
    </w:lvl>
  </w:abstractNum>
  <w:abstractNum w:abstractNumId="610" w15:restartNumberingAfterBreak="0">
    <w:nsid w:val="38A607F8"/>
    <w:multiLevelType w:val="hybridMultilevel"/>
    <w:tmpl w:val="AF4C6D7A"/>
    <w:lvl w:ilvl="0" w:tplc="6F2C652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E68D6AC">
      <w:numFmt w:val="bullet"/>
      <w:lvlText w:val="•"/>
      <w:lvlJc w:val="left"/>
      <w:pPr>
        <w:ind w:left="473" w:hanging="217"/>
      </w:pPr>
      <w:rPr>
        <w:rFonts w:hint="default"/>
        <w:lang w:val="en-GB" w:eastAsia="en-GB" w:bidi="en-GB"/>
      </w:rPr>
    </w:lvl>
    <w:lvl w:ilvl="2" w:tplc="3C107A30">
      <w:numFmt w:val="bullet"/>
      <w:lvlText w:val="•"/>
      <w:lvlJc w:val="left"/>
      <w:pPr>
        <w:ind w:left="646" w:hanging="217"/>
      </w:pPr>
      <w:rPr>
        <w:rFonts w:hint="default"/>
        <w:lang w:val="en-GB" w:eastAsia="en-GB" w:bidi="en-GB"/>
      </w:rPr>
    </w:lvl>
    <w:lvl w:ilvl="3" w:tplc="12407ECC">
      <w:numFmt w:val="bullet"/>
      <w:lvlText w:val="•"/>
      <w:lvlJc w:val="left"/>
      <w:pPr>
        <w:ind w:left="819" w:hanging="217"/>
      </w:pPr>
      <w:rPr>
        <w:rFonts w:hint="default"/>
        <w:lang w:val="en-GB" w:eastAsia="en-GB" w:bidi="en-GB"/>
      </w:rPr>
    </w:lvl>
    <w:lvl w:ilvl="4" w:tplc="C1E2AFC8">
      <w:numFmt w:val="bullet"/>
      <w:lvlText w:val="•"/>
      <w:lvlJc w:val="left"/>
      <w:pPr>
        <w:ind w:left="992" w:hanging="217"/>
      </w:pPr>
      <w:rPr>
        <w:rFonts w:hint="default"/>
        <w:lang w:val="en-GB" w:eastAsia="en-GB" w:bidi="en-GB"/>
      </w:rPr>
    </w:lvl>
    <w:lvl w:ilvl="5" w:tplc="2DB876F2">
      <w:numFmt w:val="bullet"/>
      <w:lvlText w:val="•"/>
      <w:lvlJc w:val="left"/>
      <w:pPr>
        <w:ind w:left="1165" w:hanging="217"/>
      </w:pPr>
      <w:rPr>
        <w:rFonts w:hint="default"/>
        <w:lang w:val="en-GB" w:eastAsia="en-GB" w:bidi="en-GB"/>
      </w:rPr>
    </w:lvl>
    <w:lvl w:ilvl="6" w:tplc="BB785DCC">
      <w:numFmt w:val="bullet"/>
      <w:lvlText w:val="•"/>
      <w:lvlJc w:val="left"/>
      <w:pPr>
        <w:ind w:left="1338" w:hanging="217"/>
      </w:pPr>
      <w:rPr>
        <w:rFonts w:hint="default"/>
        <w:lang w:val="en-GB" w:eastAsia="en-GB" w:bidi="en-GB"/>
      </w:rPr>
    </w:lvl>
    <w:lvl w:ilvl="7" w:tplc="ECB8FB76">
      <w:numFmt w:val="bullet"/>
      <w:lvlText w:val="•"/>
      <w:lvlJc w:val="left"/>
      <w:pPr>
        <w:ind w:left="1511" w:hanging="217"/>
      </w:pPr>
      <w:rPr>
        <w:rFonts w:hint="default"/>
        <w:lang w:val="en-GB" w:eastAsia="en-GB" w:bidi="en-GB"/>
      </w:rPr>
    </w:lvl>
    <w:lvl w:ilvl="8" w:tplc="5FCEFC4A">
      <w:numFmt w:val="bullet"/>
      <w:lvlText w:val="•"/>
      <w:lvlJc w:val="left"/>
      <w:pPr>
        <w:ind w:left="1684" w:hanging="217"/>
      </w:pPr>
      <w:rPr>
        <w:rFonts w:hint="default"/>
        <w:lang w:val="en-GB" w:eastAsia="en-GB" w:bidi="en-GB"/>
      </w:rPr>
    </w:lvl>
  </w:abstractNum>
  <w:abstractNum w:abstractNumId="611" w15:restartNumberingAfterBreak="0">
    <w:nsid w:val="38FD7C65"/>
    <w:multiLevelType w:val="hybridMultilevel"/>
    <w:tmpl w:val="E5CC4050"/>
    <w:lvl w:ilvl="0" w:tplc="B0AAE87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25CBB32">
      <w:numFmt w:val="bullet"/>
      <w:lvlText w:val="•"/>
      <w:lvlJc w:val="left"/>
      <w:pPr>
        <w:ind w:left="473" w:hanging="217"/>
      </w:pPr>
      <w:rPr>
        <w:rFonts w:hint="default"/>
        <w:lang w:val="en-GB" w:eastAsia="en-GB" w:bidi="en-GB"/>
      </w:rPr>
    </w:lvl>
    <w:lvl w:ilvl="2" w:tplc="0EF8A274">
      <w:numFmt w:val="bullet"/>
      <w:lvlText w:val="•"/>
      <w:lvlJc w:val="left"/>
      <w:pPr>
        <w:ind w:left="646" w:hanging="217"/>
      </w:pPr>
      <w:rPr>
        <w:rFonts w:hint="default"/>
        <w:lang w:val="en-GB" w:eastAsia="en-GB" w:bidi="en-GB"/>
      </w:rPr>
    </w:lvl>
    <w:lvl w:ilvl="3" w:tplc="E2AA4BEA">
      <w:numFmt w:val="bullet"/>
      <w:lvlText w:val="•"/>
      <w:lvlJc w:val="left"/>
      <w:pPr>
        <w:ind w:left="819" w:hanging="217"/>
      </w:pPr>
      <w:rPr>
        <w:rFonts w:hint="default"/>
        <w:lang w:val="en-GB" w:eastAsia="en-GB" w:bidi="en-GB"/>
      </w:rPr>
    </w:lvl>
    <w:lvl w:ilvl="4" w:tplc="DB9C7F9A">
      <w:numFmt w:val="bullet"/>
      <w:lvlText w:val="•"/>
      <w:lvlJc w:val="left"/>
      <w:pPr>
        <w:ind w:left="992" w:hanging="217"/>
      </w:pPr>
      <w:rPr>
        <w:rFonts w:hint="default"/>
        <w:lang w:val="en-GB" w:eastAsia="en-GB" w:bidi="en-GB"/>
      </w:rPr>
    </w:lvl>
    <w:lvl w:ilvl="5" w:tplc="D0B8CC2C">
      <w:numFmt w:val="bullet"/>
      <w:lvlText w:val="•"/>
      <w:lvlJc w:val="left"/>
      <w:pPr>
        <w:ind w:left="1165" w:hanging="217"/>
      </w:pPr>
      <w:rPr>
        <w:rFonts w:hint="default"/>
        <w:lang w:val="en-GB" w:eastAsia="en-GB" w:bidi="en-GB"/>
      </w:rPr>
    </w:lvl>
    <w:lvl w:ilvl="6" w:tplc="4BB4AEB2">
      <w:numFmt w:val="bullet"/>
      <w:lvlText w:val="•"/>
      <w:lvlJc w:val="left"/>
      <w:pPr>
        <w:ind w:left="1338" w:hanging="217"/>
      </w:pPr>
      <w:rPr>
        <w:rFonts w:hint="default"/>
        <w:lang w:val="en-GB" w:eastAsia="en-GB" w:bidi="en-GB"/>
      </w:rPr>
    </w:lvl>
    <w:lvl w:ilvl="7" w:tplc="6DB09672">
      <w:numFmt w:val="bullet"/>
      <w:lvlText w:val="•"/>
      <w:lvlJc w:val="left"/>
      <w:pPr>
        <w:ind w:left="1511" w:hanging="217"/>
      </w:pPr>
      <w:rPr>
        <w:rFonts w:hint="default"/>
        <w:lang w:val="en-GB" w:eastAsia="en-GB" w:bidi="en-GB"/>
      </w:rPr>
    </w:lvl>
    <w:lvl w:ilvl="8" w:tplc="00900212">
      <w:numFmt w:val="bullet"/>
      <w:lvlText w:val="•"/>
      <w:lvlJc w:val="left"/>
      <w:pPr>
        <w:ind w:left="1684" w:hanging="217"/>
      </w:pPr>
      <w:rPr>
        <w:rFonts w:hint="default"/>
        <w:lang w:val="en-GB" w:eastAsia="en-GB" w:bidi="en-GB"/>
      </w:rPr>
    </w:lvl>
  </w:abstractNum>
  <w:abstractNum w:abstractNumId="612" w15:restartNumberingAfterBreak="0">
    <w:nsid w:val="390C407F"/>
    <w:multiLevelType w:val="hybridMultilevel"/>
    <w:tmpl w:val="25C2FA94"/>
    <w:lvl w:ilvl="0" w:tplc="BA1A0C12">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5AE44FEA">
      <w:numFmt w:val="bullet"/>
      <w:lvlText w:val="•"/>
      <w:lvlJc w:val="left"/>
      <w:pPr>
        <w:ind w:left="473" w:hanging="217"/>
      </w:pPr>
      <w:rPr>
        <w:rFonts w:hint="default"/>
        <w:lang w:val="en-GB" w:eastAsia="en-GB" w:bidi="en-GB"/>
      </w:rPr>
    </w:lvl>
    <w:lvl w:ilvl="2" w:tplc="32369CA4">
      <w:numFmt w:val="bullet"/>
      <w:lvlText w:val="•"/>
      <w:lvlJc w:val="left"/>
      <w:pPr>
        <w:ind w:left="646" w:hanging="217"/>
      </w:pPr>
      <w:rPr>
        <w:rFonts w:hint="default"/>
        <w:lang w:val="en-GB" w:eastAsia="en-GB" w:bidi="en-GB"/>
      </w:rPr>
    </w:lvl>
    <w:lvl w:ilvl="3" w:tplc="D83E5F8E">
      <w:numFmt w:val="bullet"/>
      <w:lvlText w:val="•"/>
      <w:lvlJc w:val="left"/>
      <w:pPr>
        <w:ind w:left="819" w:hanging="217"/>
      </w:pPr>
      <w:rPr>
        <w:rFonts w:hint="default"/>
        <w:lang w:val="en-GB" w:eastAsia="en-GB" w:bidi="en-GB"/>
      </w:rPr>
    </w:lvl>
    <w:lvl w:ilvl="4" w:tplc="3B688BBA">
      <w:numFmt w:val="bullet"/>
      <w:lvlText w:val="•"/>
      <w:lvlJc w:val="left"/>
      <w:pPr>
        <w:ind w:left="992" w:hanging="217"/>
      </w:pPr>
      <w:rPr>
        <w:rFonts w:hint="default"/>
        <w:lang w:val="en-GB" w:eastAsia="en-GB" w:bidi="en-GB"/>
      </w:rPr>
    </w:lvl>
    <w:lvl w:ilvl="5" w:tplc="04F0BD1E">
      <w:numFmt w:val="bullet"/>
      <w:lvlText w:val="•"/>
      <w:lvlJc w:val="left"/>
      <w:pPr>
        <w:ind w:left="1165" w:hanging="217"/>
      </w:pPr>
      <w:rPr>
        <w:rFonts w:hint="default"/>
        <w:lang w:val="en-GB" w:eastAsia="en-GB" w:bidi="en-GB"/>
      </w:rPr>
    </w:lvl>
    <w:lvl w:ilvl="6" w:tplc="CC022672">
      <w:numFmt w:val="bullet"/>
      <w:lvlText w:val="•"/>
      <w:lvlJc w:val="left"/>
      <w:pPr>
        <w:ind w:left="1338" w:hanging="217"/>
      </w:pPr>
      <w:rPr>
        <w:rFonts w:hint="default"/>
        <w:lang w:val="en-GB" w:eastAsia="en-GB" w:bidi="en-GB"/>
      </w:rPr>
    </w:lvl>
    <w:lvl w:ilvl="7" w:tplc="4C4A2F68">
      <w:numFmt w:val="bullet"/>
      <w:lvlText w:val="•"/>
      <w:lvlJc w:val="left"/>
      <w:pPr>
        <w:ind w:left="1511" w:hanging="217"/>
      </w:pPr>
      <w:rPr>
        <w:rFonts w:hint="default"/>
        <w:lang w:val="en-GB" w:eastAsia="en-GB" w:bidi="en-GB"/>
      </w:rPr>
    </w:lvl>
    <w:lvl w:ilvl="8" w:tplc="FE56D4FA">
      <w:numFmt w:val="bullet"/>
      <w:lvlText w:val="•"/>
      <w:lvlJc w:val="left"/>
      <w:pPr>
        <w:ind w:left="1684" w:hanging="217"/>
      </w:pPr>
      <w:rPr>
        <w:rFonts w:hint="default"/>
        <w:lang w:val="en-GB" w:eastAsia="en-GB" w:bidi="en-GB"/>
      </w:rPr>
    </w:lvl>
  </w:abstractNum>
  <w:abstractNum w:abstractNumId="613" w15:restartNumberingAfterBreak="0">
    <w:nsid w:val="39215D97"/>
    <w:multiLevelType w:val="hybridMultilevel"/>
    <w:tmpl w:val="63DEB62E"/>
    <w:lvl w:ilvl="0" w:tplc="7DE4F556">
      <w:numFmt w:val="bullet"/>
      <w:lvlText w:val="•"/>
      <w:lvlJc w:val="left"/>
      <w:pPr>
        <w:ind w:left="276" w:hanging="217"/>
      </w:pPr>
      <w:rPr>
        <w:rFonts w:ascii="Arial" w:eastAsia="Arial" w:hAnsi="Arial" w:cs="Arial" w:hint="default"/>
        <w:color w:val="231F20"/>
        <w:w w:val="97"/>
        <w:sz w:val="16"/>
        <w:szCs w:val="16"/>
        <w:lang w:val="en-GB" w:eastAsia="en-GB" w:bidi="en-GB"/>
      </w:rPr>
    </w:lvl>
    <w:lvl w:ilvl="1" w:tplc="8E3E469E">
      <w:numFmt w:val="bullet"/>
      <w:lvlText w:val="•"/>
      <w:lvlJc w:val="left"/>
      <w:pPr>
        <w:ind w:left="381" w:hanging="217"/>
      </w:pPr>
      <w:rPr>
        <w:rFonts w:hint="default"/>
        <w:lang w:val="en-GB" w:eastAsia="en-GB" w:bidi="en-GB"/>
      </w:rPr>
    </w:lvl>
    <w:lvl w:ilvl="2" w:tplc="B2BED6A2">
      <w:numFmt w:val="bullet"/>
      <w:lvlText w:val="•"/>
      <w:lvlJc w:val="left"/>
      <w:pPr>
        <w:ind w:left="482" w:hanging="217"/>
      </w:pPr>
      <w:rPr>
        <w:rFonts w:hint="default"/>
        <w:lang w:val="en-GB" w:eastAsia="en-GB" w:bidi="en-GB"/>
      </w:rPr>
    </w:lvl>
    <w:lvl w:ilvl="3" w:tplc="83E42684">
      <w:numFmt w:val="bullet"/>
      <w:lvlText w:val="•"/>
      <w:lvlJc w:val="left"/>
      <w:pPr>
        <w:ind w:left="584" w:hanging="217"/>
      </w:pPr>
      <w:rPr>
        <w:rFonts w:hint="default"/>
        <w:lang w:val="en-GB" w:eastAsia="en-GB" w:bidi="en-GB"/>
      </w:rPr>
    </w:lvl>
    <w:lvl w:ilvl="4" w:tplc="1C6CA048">
      <w:numFmt w:val="bullet"/>
      <w:lvlText w:val="•"/>
      <w:lvlJc w:val="left"/>
      <w:pPr>
        <w:ind w:left="685" w:hanging="217"/>
      </w:pPr>
      <w:rPr>
        <w:rFonts w:hint="default"/>
        <w:lang w:val="en-GB" w:eastAsia="en-GB" w:bidi="en-GB"/>
      </w:rPr>
    </w:lvl>
    <w:lvl w:ilvl="5" w:tplc="73B44F38">
      <w:numFmt w:val="bullet"/>
      <w:lvlText w:val="•"/>
      <w:lvlJc w:val="left"/>
      <w:pPr>
        <w:ind w:left="787" w:hanging="217"/>
      </w:pPr>
      <w:rPr>
        <w:rFonts w:hint="default"/>
        <w:lang w:val="en-GB" w:eastAsia="en-GB" w:bidi="en-GB"/>
      </w:rPr>
    </w:lvl>
    <w:lvl w:ilvl="6" w:tplc="A4946CC6">
      <w:numFmt w:val="bullet"/>
      <w:lvlText w:val="•"/>
      <w:lvlJc w:val="left"/>
      <w:pPr>
        <w:ind w:left="888" w:hanging="217"/>
      </w:pPr>
      <w:rPr>
        <w:rFonts w:hint="default"/>
        <w:lang w:val="en-GB" w:eastAsia="en-GB" w:bidi="en-GB"/>
      </w:rPr>
    </w:lvl>
    <w:lvl w:ilvl="7" w:tplc="4AB2F00A">
      <w:numFmt w:val="bullet"/>
      <w:lvlText w:val="•"/>
      <w:lvlJc w:val="left"/>
      <w:pPr>
        <w:ind w:left="989" w:hanging="217"/>
      </w:pPr>
      <w:rPr>
        <w:rFonts w:hint="default"/>
        <w:lang w:val="en-GB" w:eastAsia="en-GB" w:bidi="en-GB"/>
      </w:rPr>
    </w:lvl>
    <w:lvl w:ilvl="8" w:tplc="58BCB95A">
      <w:numFmt w:val="bullet"/>
      <w:lvlText w:val="•"/>
      <w:lvlJc w:val="left"/>
      <w:pPr>
        <w:ind w:left="1091" w:hanging="217"/>
      </w:pPr>
      <w:rPr>
        <w:rFonts w:hint="default"/>
        <w:lang w:val="en-GB" w:eastAsia="en-GB" w:bidi="en-GB"/>
      </w:rPr>
    </w:lvl>
  </w:abstractNum>
  <w:abstractNum w:abstractNumId="614" w15:restartNumberingAfterBreak="0">
    <w:nsid w:val="39663157"/>
    <w:multiLevelType w:val="hybridMultilevel"/>
    <w:tmpl w:val="3C82B944"/>
    <w:lvl w:ilvl="0" w:tplc="0B1EC8E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820D66A">
      <w:numFmt w:val="bullet"/>
      <w:lvlText w:val="•"/>
      <w:lvlJc w:val="left"/>
      <w:pPr>
        <w:ind w:left="892" w:hanging="217"/>
      </w:pPr>
      <w:rPr>
        <w:rFonts w:hint="default"/>
        <w:lang w:val="en-GB" w:eastAsia="en-GB" w:bidi="en-GB"/>
      </w:rPr>
    </w:lvl>
    <w:lvl w:ilvl="2" w:tplc="2C482E6E">
      <w:numFmt w:val="bullet"/>
      <w:lvlText w:val="•"/>
      <w:lvlJc w:val="left"/>
      <w:pPr>
        <w:ind w:left="1485" w:hanging="217"/>
      </w:pPr>
      <w:rPr>
        <w:rFonts w:hint="default"/>
        <w:lang w:val="en-GB" w:eastAsia="en-GB" w:bidi="en-GB"/>
      </w:rPr>
    </w:lvl>
    <w:lvl w:ilvl="3" w:tplc="828A520A">
      <w:numFmt w:val="bullet"/>
      <w:lvlText w:val="•"/>
      <w:lvlJc w:val="left"/>
      <w:pPr>
        <w:ind w:left="2077" w:hanging="217"/>
      </w:pPr>
      <w:rPr>
        <w:rFonts w:hint="default"/>
        <w:lang w:val="en-GB" w:eastAsia="en-GB" w:bidi="en-GB"/>
      </w:rPr>
    </w:lvl>
    <w:lvl w:ilvl="4" w:tplc="B3764236">
      <w:numFmt w:val="bullet"/>
      <w:lvlText w:val="•"/>
      <w:lvlJc w:val="left"/>
      <w:pPr>
        <w:ind w:left="2670" w:hanging="217"/>
      </w:pPr>
      <w:rPr>
        <w:rFonts w:hint="default"/>
        <w:lang w:val="en-GB" w:eastAsia="en-GB" w:bidi="en-GB"/>
      </w:rPr>
    </w:lvl>
    <w:lvl w:ilvl="5" w:tplc="A64AD274">
      <w:numFmt w:val="bullet"/>
      <w:lvlText w:val="•"/>
      <w:lvlJc w:val="left"/>
      <w:pPr>
        <w:ind w:left="3263" w:hanging="217"/>
      </w:pPr>
      <w:rPr>
        <w:rFonts w:hint="default"/>
        <w:lang w:val="en-GB" w:eastAsia="en-GB" w:bidi="en-GB"/>
      </w:rPr>
    </w:lvl>
    <w:lvl w:ilvl="6" w:tplc="4740E6E4">
      <w:numFmt w:val="bullet"/>
      <w:lvlText w:val="•"/>
      <w:lvlJc w:val="left"/>
      <w:pPr>
        <w:ind w:left="3855" w:hanging="217"/>
      </w:pPr>
      <w:rPr>
        <w:rFonts w:hint="default"/>
        <w:lang w:val="en-GB" w:eastAsia="en-GB" w:bidi="en-GB"/>
      </w:rPr>
    </w:lvl>
    <w:lvl w:ilvl="7" w:tplc="54C6AA5E">
      <w:numFmt w:val="bullet"/>
      <w:lvlText w:val="•"/>
      <w:lvlJc w:val="left"/>
      <w:pPr>
        <w:ind w:left="4448" w:hanging="217"/>
      </w:pPr>
      <w:rPr>
        <w:rFonts w:hint="default"/>
        <w:lang w:val="en-GB" w:eastAsia="en-GB" w:bidi="en-GB"/>
      </w:rPr>
    </w:lvl>
    <w:lvl w:ilvl="8" w:tplc="8B0003C6">
      <w:numFmt w:val="bullet"/>
      <w:lvlText w:val="•"/>
      <w:lvlJc w:val="left"/>
      <w:pPr>
        <w:ind w:left="5040" w:hanging="217"/>
      </w:pPr>
      <w:rPr>
        <w:rFonts w:hint="default"/>
        <w:lang w:val="en-GB" w:eastAsia="en-GB" w:bidi="en-GB"/>
      </w:rPr>
    </w:lvl>
  </w:abstractNum>
  <w:abstractNum w:abstractNumId="615" w15:restartNumberingAfterBreak="0">
    <w:nsid w:val="39681A77"/>
    <w:multiLevelType w:val="hybridMultilevel"/>
    <w:tmpl w:val="F0326FEA"/>
    <w:lvl w:ilvl="0" w:tplc="CCEE609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B5C3D32">
      <w:numFmt w:val="bullet"/>
      <w:lvlText w:val="•"/>
      <w:lvlJc w:val="left"/>
      <w:pPr>
        <w:ind w:left="892" w:hanging="217"/>
      </w:pPr>
      <w:rPr>
        <w:rFonts w:hint="default"/>
        <w:lang w:val="en-GB" w:eastAsia="en-GB" w:bidi="en-GB"/>
      </w:rPr>
    </w:lvl>
    <w:lvl w:ilvl="2" w:tplc="098A5400">
      <w:numFmt w:val="bullet"/>
      <w:lvlText w:val="•"/>
      <w:lvlJc w:val="left"/>
      <w:pPr>
        <w:ind w:left="1485" w:hanging="217"/>
      </w:pPr>
      <w:rPr>
        <w:rFonts w:hint="default"/>
        <w:lang w:val="en-GB" w:eastAsia="en-GB" w:bidi="en-GB"/>
      </w:rPr>
    </w:lvl>
    <w:lvl w:ilvl="3" w:tplc="DB7E1160">
      <w:numFmt w:val="bullet"/>
      <w:lvlText w:val="•"/>
      <w:lvlJc w:val="left"/>
      <w:pPr>
        <w:ind w:left="2077" w:hanging="217"/>
      </w:pPr>
      <w:rPr>
        <w:rFonts w:hint="default"/>
        <w:lang w:val="en-GB" w:eastAsia="en-GB" w:bidi="en-GB"/>
      </w:rPr>
    </w:lvl>
    <w:lvl w:ilvl="4" w:tplc="1788100C">
      <w:numFmt w:val="bullet"/>
      <w:lvlText w:val="•"/>
      <w:lvlJc w:val="left"/>
      <w:pPr>
        <w:ind w:left="2670" w:hanging="217"/>
      </w:pPr>
      <w:rPr>
        <w:rFonts w:hint="default"/>
        <w:lang w:val="en-GB" w:eastAsia="en-GB" w:bidi="en-GB"/>
      </w:rPr>
    </w:lvl>
    <w:lvl w:ilvl="5" w:tplc="0E8C657C">
      <w:numFmt w:val="bullet"/>
      <w:lvlText w:val="•"/>
      <w:lvlJc w:val="left"/>
      <w:pPr>
        <w:ind w:left="3263" w:hanging="217"/>
      </w:pPr>
      <w:rPr>
        <w:rFonts w:hint="default"/>
        <w:lang w:val="en-GB" w:eastAsia="en-GB" w:bidi="en-GB"/>
      </w:rPr>
    </w:lvl>
    <w:lvl w:ilvl="6" w:tplc="A60CA36E">
      <w:numFmt w:val="bullet"/>
      <w:lvlText w:val="•"/>
      <w:lvlJc w:val="left"/>
      <w:pPr>
        <w:ind w:left="3855" w:hanging="217"/>
      </w:pPr>
      <w:rPr>
        <w:rFonts w:hint="default"/>
        <w:lang w:val="en-GB" w:eastAsia="en-GB" w:bidi="en-GB"/>
      </w:rPr>
    </w:lvl>
    <w:lvl w:ilvl="7" w:tplc="47B0B0BC">
      <w:numFmt w:val="bullet"/>
      <w:lvlText w:val="•"/>
      <w:lvlJc w:val="left"/>
      <w:pPr>
        <w:ind w:left="4448" w:hanging="217"/>
      </w:pPr>
      <w:rPr>
        <w:rFonts w:hint="default"/>
        <w:lang w:val="en-GB" w:eastAsia="en-GB" w:bidi="en-GB"/>
      </w:rPr>
    </w:lvl>
    <w:lvl w:ilvl="8" w:tplc="B742D592">
      <w:numFmt w:val="bullet"/>
      <w:lvlText w:val="•"/>
      <w:lvlJc w:val="left"/>
      <w:pPr>
        <w:ind w:left="5040" w:hanging="217"/>
      </w:pPr>
      <w:rPr>
        <w:rFonts w:hint="default"/>
        <w:lang w:val="en-GB" w:eastAsia="en-GB" w:bidi="en-GB"/>
      </w:rPr>
    </w:lvl>
  </w:abstractNum>
  <w:abstractNum w:abstractNumId="616" w15:restartNumberingAfterBreak="0">
    <w:nsid w:val="39761614"/>
    <w:multiLevelType w:val="hybridMultilevel"/>
    <w:tmpl w:val="83E0C346"/>
    <w:lvl w:ilvl="0" w:tplc="FCDAB9F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D42AD60">
      <w:numFmt w:val="bullet"/>
      <w:lvlText w:val="•"/>
      <w:lvlJc w:val="left"/>
      <w:pPr>
        <w:ind w:left="473" w:hanging="217"/>
      </w:pPr>
      <w:rPr>
        <w:rFonts w:hint="default"/>
        <w:lang w:val="en-GB" w:eastAsia="en-GB" w:bidi="en-GB"/>
      </w:rPr>
    </w:lvl>
    <w:lvl w:ilvl="2" w:tplc="E0F6B6EC">
      <w:numFmt w:val="bullet"/>
      <w:lvlText w:val="•"/>
      <w:lvlJc w:val="left"/>
      <w:pPr>
        <w:ind w:left="646" w:hanging="217"/>
      </w:pPr>
      <w:rPr>
        <w:rFonts w:hint="default"/>
        <w:lang w:val="en-GB" w:eastAsia="en-GB" w:bidi="en-GB"/>
      </w:rPr>
    </w:lvl>
    <w:lvl w:ilvl="3" w:tplc="19DC6208">
      <w:numFmt w:val="bullet"/>
      <w:lvlText w:val="•"/>
      <w:lvlJc w:val="left"/>
      <w:pPr>
        <w:ind w:left="819" w:hanging="217"/>
      </w:pPr>
      <w:rPr>
        <w:rFonts w:hint="default"/>
        <w:lang w:val="en-GB" w:eastAsia="en-GB" w:bidi="en-GB"/>
      </w:rPr>
    </w:lvl>
    <w:lvl w:ilvl="4" w:tplc="3F6EDA58">
      <w:numFmt w:val="bullet"/>
      <w:lvlText w:val="•"/>
      <w:lvlJc w:val="left"/>
      <w:pPr>
        <w:ind w:left="992" w:hanging="217"/>
      </w:pPr>
      <w:rPr>
        <w:rFonts w:hint="default"/>
        <w:lang w:val="en-GB" w:eastAsia="en-GB" w:bidi="en-GB"/>
      </w:rPr>
    </w:lvl>
    <w:lvl w:ilvl="5" w:tplc="07CEE0FA">
      <w:numFmt w:val="bullet"/>
      <w:lvlText w:val="•"/>
      <w:lvlJc w:val="left"/>
      <w:pPr>
        <w:ind w:left="1165" w:hanging="217"/>
      </w:pPr>
      <w:rPr>
        <w:rFonts w:hint="default"/>
        <w:lang w:val="en-GB" w:eastAsia="en-GB" w:bidi="en-GB"/>
      </w:rPr>
    </w:lvl>
    <w:lvl w:ilvl="6" w:tplc="56F42DE6">
      <w:numFmt w:val="bullet"/>
      <w:lvlText w:val="•"/>
      <w:lvlJc w:val="left"/>
      <w:pPr>
        <w:ind w:left="1338" w:hanging="217"/>
      </w:pPr>
      <w:rPr>
        <w:rFonts w:hint="default"/>
        <w:lang w:val="en-GB" w:eastAsia="en-GB" w:bidi="en-GB"/>
      </w:rPr>
    </w:lvl>
    <w:lvl w:ilvl="7" w:tplc="1C36A690">
      <w:numFmt w:val="bullet"/>
      <w:lvlText w:val="•"/>
      <w:lvlJc w:val="left"/>
      <w:pPr>
        <w:ind w:left="1511" w:hanging="217"/>
      </w:pPr>
      <w:rPr>
        <w:rFonts w:hint="default"/>
        <w:lang w:val="en-GB" w:eastAsia="en-GB" w:bidi="en-GB"/>
      </w:rPr>
    </w:lvl>
    <w:lvl w:ilvl="8" w:tplc="75140816">
      <w:numFmt w:val="bullet"/>
      <w:lvlText w:val="•"/>
      <w:lvlJc w:val="left"/>
      <w:pPr>
        <w:ind w:left="1684" w:hanging="217"/>
      </w:pPr>
      <w:rPr>
        <w:rFonts w:hint="default"/>
        <w:lang w:val="en-GB" w:eastAsia="en-GB" w:bidi="en-GB"/>
      </w:rPr>
    </w:lvl>
  </w:abstractNum>
  <w:abstractNum w:abstractNumId="617" w15:restartNumberingAfterBreak="0">
    <w:nsid w:val="397E5E3C"/>
    <w:multiLevelType w:val="hybridMultilevel"/>
    <w:tmpl w:val="B694CE00"/>
    <w:lvl w:ilvl="0" w:tplc="5CE67750">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C56A1668">
      <w:numFmt w:val="bullet"/>
      <w:lvlText w:val="•"/>
      <w:lvlJc w:val="left"/>
      <w:pPr>
        <w:ind w:left="473" w:hanging="217"/>
      </w:pPr>
      <w:rPr>
        <w:rFonts w:hint="default"/>
        <w:lang w:val="en-GB" w:eastAsia="en-GB" w:bidi="en-GB"/>
      </w:rPr>
    </w:lvl>
    <w:lvl w:ilvl="2" w:tplc="0CFC86F0">
      <w:numFmt w:val="bullet"/>
      <w:lvlText w:val="•"/>
      <w:lvlJc w:val="left"/>
      <w:pPr>
        <w:ind w:left="646" w:hanging="217"/>
      </w:pPr>
      <w:rPr>
        <w:rFonts w:hint="default"/>
        <w:lang w:val="en-GB" w:eastAsia="en-GB" w:bidi="en-GB"/>
      </w:rPr>
    </w:lvl>
    <w:lvl w:ilvl="3" w:tplc="3F6C72FA">
      <w:numFmt w:val="bullet"/>
      <w:lvlText w:val="•"/>
      <w:lvlJc w:val="left"/>
      <w:pPr>
        <w:ind w:left="819" w:hanging="217"/>
      </w:pPr>
      <w:rPr>
        <w:rFonts w:hint="default"/>
        <w:lang w:val="en-GB" w:eastAsia="en-GB" w:bidi="en-GB"/>
      </w:rPr>
    </w:lvl>
    <w:lvl w:ilvl="4" w:tplc="4C5CF5E8">
      <w:numFmt w:val="bullet"/>
      <w:lvlText w:val="•"/>
      <w:lvlJc w:val="left"/>
      <w:pPr>
        <w:ind w:left="992" w:hanging="217"/>
      </w:pPr>
      <w:rPr>
        <w:rFonts w:hint="default"/>
        <w:lang w:val="en-GB" w:eastAsia="en-GB" w:bidi="en-GB"/>
      </w:rPr>
    </w:lvl>
    <w:lvl w:ilvl="5" w:tplc="79B45C98">
      <w:numFmt w:val="bullet"/>
      <w:lvlText w:val="•"/>
      <w:lvlJc w:val="left"/>
      <w:pPr>
        <w:ind w:left="1165" w:hanging="217"/>
      </w:pPr>
      <w:rPr>
        <w:rFonts w:hint="default"/>
        <w:lang w:val="en-GB" w:eastAsia="en-GB" w:bidi="en-GB"/>
      </w:rPr>
    </w:lvl>
    <w:lvl w:ilvl="6" w:tplc="D180BCC2">
      <w:numFmt w:val="bullet"/>
      <w:lvlText w:val="•"/>
      <w:lvlJc w:val="left"/>
      <w:pPr>
        <w:ind w:left="1338" w:hanging="217"/>
      </w:pPr>
      <w:rPr>
        <w:rFonts w:hint="default"/>
        <w:lang w:val="en-GB" w:eastAsia="en-GB" w:bidi="en-GB"/>
      </w:rPr>
    </w:lvl>
    <w:lvl w:ilvl="7" w:tplc="EF145ADA">
      <w:numFmt w:val="bullet"/>
      <w:lvlText w:val="•"/>
      <w:lvlJc w:val="left"/>
      <w:pPr>
        <w:ind w:left="1511" w:hanging="217"/>
      </w:pPr>
      <w:rPr>
        <w:rFonts w:hint="default"/>
        <w:lang w:val="en-GB" w:eastAsia="en-GB" w:bidi="en-GB"/>
      </w:rPr>
    </w:lvl>
    <w:lvl w:ilvl="8" w:tplc="C930D382">
      <w:numFmt w:val="bullet"/>
      <w:lvlText w:val="•"/>
      <w:lvlJc w:val="left"/>
      <w:pPr>
        <w:ind w:left="1684" w:hanging="217"/>
      </w:pPr>
      <w:rPr>
        <w:rFonts w:hint="default"/>
        <w:lang w:val="en-GB" w:eastAsia="en-GB" w:bidi="en-GB"/>
      </w:rPr>
    </w:lvl>
  </w:abstractNum>
  <w:abstractNum w:abstractNumId="618" w15:restartNumberingAfterBreak="0">
    <w:nsid w:val="399141BF"/>
    <w:multiLevelType w:val="hybridMultilevel"/>
    <w:tmpl w:val="F1F02A4E"/>
    <w:lvl w:ilvl="0" w:tplc="63D4284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1DCCB22">
      <w:numFmt w:val="bullet"/>
      <w:lvlText w:val="•"/>
      <w:lvlJc w:val="left"/>
      <w:pPr>
        <w:ind w:left="473" w:hanging="217"/>
      </w:pPr>
      <w:rPr>
        <w:rFonts w:hint="default"/>
        <w:lang w:val="en-GB" w:eastAsia="en-GB" w:bidi="en-GB"/>
      </w:rPr>
    </w:lvl>
    <w:lvl w:ilvl="2" w:tplc="6B283636">
      <w:numFmt w:val="bullet"/>
      <w:lvlText w:val="•"/>
      <w:lvlJc w:val="left"/>
      <w:pPr>
        <w:ind w:left="646" w:hanging="217"/>
      </w:pPr>
      <w:rPr>
        <w:rFonts w:hint="default"/>
        <w:lang w:val="en-GB" w:eastAsia="en-GB" w:bidi="en-GB"/>
      </w:rPr>
    </w:lvl>
    <w:lvl w:ilvl="3" w:tplc="3836F356">
      <w:numFmt w:val="bullet"/>
      <w:lvlText w:val="•"/>
      <w:lvlJc w:val="left"/>
      <w:pPr>
        <w:ind w:left="819" w:hanging="217"/>
      </w:pPr>
      <w:rPr>
        <w:rFonts w:hint="default"/>
        <w:lang w:val="en-GB" w:eastAsia="en-GB" w:bidi="en-GB"/>
      </w:rPr>
    </w:lvl>
    <w:lvl w:ilvl="4" w:tplc="B84E0AD2">
      <w:numFmt w:val="bullet"/>
      <w:lvlText w:val="•"/>
      <w:lvlJc w:val="left"/>
      <w:pPr>
        <w:ind w:left="992" w:hanging="217"/>
      </w:pPr>
      <w:rPr>
        <w:rFonts w:hint="default"/>
        <w:lang w:val="en-GB" w:eastAsia="en-GB" w:bidi="en-GB"/>
      </w:rPr>
    </w:lvl>
    <w:lvl w:ilvl="5" w:tplc="5CF0E7DE">
      <w:numFmt w:val="bullet"/>
      <w:lvlText w:val="•"/>
      <w:lvlJc w:val="left"/>
      <w:pPr>
        <w:ind w:left="1165" w:hanging="217"/>
      </w:pPr>
      <w:rPr>
        <w:rFonts w:hint="default"/>
        <w:lang w:val="en-GB" w:eastAsia="en-GB" w:bidi="en-GB"/>
      </w:rPr>
    </w:lvl>
    <w:lvl w:ilvl="6" w:tplc="C74E7336">
      <w:numFmt w:val="bullet"/>
      <w:lvlText w:val="•"/>
      <w:lvlJc w:val="left"/>
      <w:pPr>
        <w:ind w:left="1338" w:hanging="217"/>
      </w:pPr>
      <w:rPr>
        <w:rFonts w:hint="default"/>
        <w:lang w:val="en-GB" w:eastAsia="en-GB" w:bidi="en-GB"/>
      </w:rPr>
    </w:lvl>
    <w:lvl w:ilvl="7" w:tplc="4EA811BC">
      <w:numFmt w:val="bullet"/>
      <w:lvlText w:val="•"/>
      <w:lvlJc w:val="left"/>
      <w:pPr>
        <w:ind w:left="1511" w:hanging="217"/>
      </w:pPr>
      <w:rPr>
        <w:rFonts w:hint="default"/>
        <w:lang w:val="en-GB" w:eastAsia="en-GB" w:bidi="en-GB"/>
      </w:rPr>
    </w:lvl>
    <w:lvl w:ilvl="8" w:tplc="A39AEC18">
      <w:numFmt w:val="bullet"/>
      <w:lvlText w:val="•"/>
      <w:lvlJc w:val="left"/>
      <w:pPr>
        <w:ind w:left="1684" w:hanging="217"/>
      </w:pPr>
      <w:rPr>
        <w:rFonts w:hint="default"/>
        <w:lang w:val="en-GB" w:eastAsia="en-GB" w:bidi="en-GB"/>
      </w:rPr>
    </w:lvl>
  </w:abstractNum>
  <w:abstractNum w:abstractNumId="619" w15:restartNumberingAfterBreak="0">
    <w:nsid w:val="399B2D81"/>
    <w:multiLevelType w:val="hybridMultilevel"/>
    <w:tmpl w:val="E33CF7BC"/>
    <w:lvl w:ilvl="0" w:tplc="9B105430">
      <w:numFmt w:val="bullet"/>
      <w:lvlText w:val="•"/>
      <w:lvlJc w:val="left"/>
      <w:pPr>
        <w:ind w:left="276" w:hanging="217"/>
      </w:pPr>
      <w:rPr>
        <w:rFonts w:ascii="Arial" w:eastAsia="Arial" w:hAnsi="Arial" w:cs="Arial" w:hint="default"/>
        <w:color w:val="231F20"/>
        <w:w w:val="97"/>
        <w:sz w:val="16"/>
        <w:szCs w:val="16"/>
        <w:lang w:val="en-GB" w:eastAsia="en-GB" w:bidi="en-GB"/>
      </w:rPr>
    </w:lvl>
    <w:lvl w:ilvl="1" w:tplc="2D88443C">
      <w:numFmt w:val="bullet"/>
      <w:lvlText w:val="•"/>
      <w:lvlJc w:val="left"/>
      <w:pPr>
        <w:ind w:left="381" w:hanging="217"/>
      </w:pPr>
      <w:rPr>
        <w:rFonts w:hint="default"/>
        <w:lang w:val="en-GB" w:eastAsia="en-GB" w:bidi="en-GB"/>
      </w:rPr>
    </w:lvl>
    <w:lvl w:ilvl="2" w:tplc="179C1BCC">
      <w:numFmt w:val="bullet"/>
      <w:lvlText w:val="•"/>
      <w:lvlJc w:val="left"/>
      <w:pPr>
        <w:ind w:left="482" w:hanging="217"/>
      </w:pPr>
      <w:rPr>
        <w:rFonts w:hint="default"/>
        <w:lang w:val="en-GB" w:eastAsia="en-GB" w:bidi="en-GB"/>
      </w:rPr>
    </w:lvl>
    <w:lvl w:ilvl="3" w:tplc="A1E0B718">
      <w:numFmt w:val="bullet"/>
      <w:lvlText w:val="•"/>
      <w:lvlJc w:val="left"/>
      <w:pPr>
        <w:ind w:left="584" w:hanging="217"/>
      </w:pPr>
      <w:rPr>
        <w:rFonts w:hint="default"/>
        <w:lang w:val="en-GB" w:eastAsia="en-GB" w:bidi="en-GB"/>
      </w:rPr>
    </w:lvl>
    <w:lvl w:ilvl="4" w:tplc="90D82C84">
      <w:numFmt w:val="bullet"/>
      <w:lvlText w:val="•"/>
      <w:lvlJc w:val="left"/>
      <w:pPr>
        <w:ind w:left="685" w:hanging="217"/>
      </w:pPr>
      <w:rPr>
        <w:rFonts w:hint="default"/>
        <w:lang w:val="en-GB" w:eastAsia="en-GB" w:bidi="en-GB"/>
      </w:rPr>
    </w:lvl>
    <w:lvl w:ilvl="5" w:tplc="27C63E66">
      <w:numFmt w:val="bullet"/>
      <w:lvlText w:val="•"/>
      <w:lvlJc w:val="left"/>
      <w:pPr>
        <w:ind w:left="787" w:hanging="217"/>
      </w:pPr>
      <w:rPr>
        <w:rFonts w:hint="default"/>
        <w:lang w:val="en-GB" w:eastAsia="en-GB" w:bidi="en-GB"/>
      </w:rPr>
    </w:lvl>
    <w:lvl w:ilvl="6" w:tplc="203635D0">
      <w:numFmt w:val="bullet"/>
      <w:lvlText w:val="•"/>
      <w:lvlJc w:val="left"/>
      <w:pPr>
        <w:ind w:left="888" w:hanging="217"/>
      </w:pPr>
      <w:rPr>
        <w:rFonts w:hint="default"/>
        <w:lang w:val="en-GB" w:eastAsia="en-GB" w:bidi="en-GB"/>
      </w:rPr>
    </w:lvl>
    <w:lvl w:ilvl="7" w:tplc="EEEED616">
      <w:numFmt w:val="bullet"/>
      <w:lvlText w:val="•"/>
      <w:lvlJc w:val="left"/>
      <w:pPr>
        <w:ind w:left="989" w:hanging="217"/>
      </w:pPr>
      <w:rPr>
        <w:rFonts w:hint="default"/>
        <w:lang w:val="en-GB" w:eastAsia="en-GB" w:bidi="en-GB"/>
      </w:rPr>
    </w:lvl>
    <w:lvl w:ilvl="8" w:tplc="AF8AF874">
      <w:numFmt w:val="bullet"/>
      <w:lvlText w:val="•"/>
      <w:lvlJc w:val="left"/>
      <w:pPr>
        <w:ind w:left="1091" w:hanging="217"/>
      </w:pPr>
      <w:rPr>
        <w:rFonts w:hint="default"/>
        <w:lang w:val="en-GB" w:eastAsia="en-GB" w:bidi="en-GB"/>
      </w:rPr>
    </w:lvl>
  </w:abstractNum>
  <w:abstractNum w:abstractNumId="620" w15:restartNumberingAfterBreak="0">
    <w:nsid w:val="399C5A50"/>
    <w:multiLevelType w:val="hybridMultilevel"/>
    <w:tmpl w:val="CF2AF6B4"/>
    <w:lvl w:ilvl="0" w:tplc="E0DABAE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2FFE869A">
      <w:numFmt w:val="bullet"/>
      <w:lvlText w:val="•"/>
      <w:lvlJc w:val="left"/>
      <w:pPr>
        <w:ind w:left="444" w:hanging="217"/>
      </w:pPr>
      <w:rPr>
        <w:rFonts w:hint="default"/>
        <w:lang w:val="en-GB" w:eastAsia="en-GB" w:bidi="en-GB"/>
      </w:rPr>
    </w:lvl>
    <w:lvl w:ilvl="2" w:tplc="35882A6C">
      <w:numFmt w:val="bullet"/>
      <w:lvlText w:val="•"/>
      <w:lvlJc w:val="left"/>
      <w:pPr>
        <w:ind w:left="589" w:hanging="217"/>
      </w:pPr>
      <w:rPr>
        <w:rFonts w:hint="default"/>
        <w:lang w:val="en-GB" w:eastAsia="en-GB" w:bidi="en-GB"/>
      </w:rPr>
    </w:lvl>
    <w:lvl w:ilvl="3" w:tplc="EF368538">
      <w:numFmt w:val="bullet"/>
      <w:lvlText w:val="•"/>
      <w:lvlJc w:val="left"/>
      <w:pPr>
        <w:ind w:left="734" w:hanging="217"/>
      </w:pPr>
      <w:rPr>
        <w:rFonts w:hint="default"/>
        <w:lang w:val="en-GB" w:eastAsia="en-GB" w:bidi="en-GB"/>
      </w:rPr>
    </w:lvl>
    <w:lvl w:ilvl="4" w:tplc="20C69BBA">
      <w:numFmt w:val="bullet"/>
      <w:lvlText w:val="•"/>
      <w:lvlJc w:val="left"/>
      <w:pPr>
        <w:ind w:left="878" w:hanging="217"/>
      </w:pPr>
      <w:rPr>
        <w:rFonts w:hint="default"/>
        <w:lang w:val="en-GB" w:eastAsia="en-GB" w:bidi="en-GB"/>
      </w:rPr>
    </w:lvl>
    <w:lvl w:ilvl="5" w:tplc="CF5C823E">
      <w:numFmt w:val="bullet"/>
      <w:lvlText w:val="•"/>
      <w:lvlJc w:val="left"/>
      <w:pPr>
        <w:ind w:left="1023" w:hanging="217"/>
      </w:pPr>
      <w:rPr>
        <w:rFonts w:hint="default"/>
        <w:lang w:val="en-GB" w:eastAsia="en-GB" w:bidi="en-GB"/>
      </w:rPr>
    </w:lvl>
    <w:lvl w:ilvl="6" w:tplc="244CD83E">
      <w:numFmt w:val="bullet"/>
      <w:lvlText w:val="•"/>
      <w:lvlJc w:val="left"/>
      <w:pPr>
        <w:ind w:left="1168" w:hanging="217"/>
      </w:pPr>
      <w:rPr>
        <w:rFonts w:hint="default"/>
        <w:lang w:val="en-GB" w:eastAsia="en-GB" w:bidi="en-GB"/>
      </w:rPr>
    </w:lvl>
    <w:lvl w:ilvl="7" w:tplc="5FAE20C8">
      <w:numFmt w:val="bullet"/>
      <w:lvlText w:val="•"/>
      <w:lvlJc w:val="left"/>
      <w:pPr>
        <w:ind w:left="1312" w:hanging="217"/>
      </w:pPr>
      <w:rPr>
        <w:rFonts w:hint="default"/>
        <w:lang w:val="en-GB" w:eastAsia="en-GB" w:bidi="en-GB"/>
      </w:rPr>
    </w:lvl>
    <w:lvl w:ilvl="8" w:tplc="EA4617EA">
      <w:numFmt w:val="bullet"/>
      <w:lvlText w:val="•"/>
      <w:lvlJc w:val="left"/>
      <w:pPr>
        <w:ind w:left="1457" w:hanging="217"/>
      </w:pPr>
      <w:rPr>
        <w:rFonts w:hint="default"/>
        <w:lang w:val="en-GB" w:eastAsia="en-GB" w:bidi="en-GB"/>
      </w:rPr>
    </w:lvl>
  </w:abstractNum>
  <w:abstractNum w:abstractNumId="621" w15:restartNumberingAfterBreak="0">
    <w:nsid w:val="399D7D4D"/>
    <w:multiLevelType w:val="hybridMultilevel"/>
    <w:tmpl w:val="82127B4A"/>
    <w:lvl w:ilvl="0" w:tplc="3348AD9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8569B30">
      <w:numFmt w:val="bullet"/>
      <w:lvlText w:val="•"/>
      <w:lvlJc w:val="left"/>
      <w:pPr>
        <w:ind w:left="473" w:hanging="217"/>
      </w:pPr>
      <w:rPr>
        <w:rFonts w:hint="default"/>
        <w:lang w:val="en-GB" w:eastAsia="en-GB" w:bidi="en-GB"/>
      </w:rPr>
    </w:lvl>
    <w:lvl w:ilvl="2" w:tplc="1344606A">
      <w:numFmt w:val="bullet"/>
      <w:lvlText w:val="•"/>
      <w:lvlJc w:val="left"/>
      <w:pPr>
        <w:ind w:left="646" w:hanging="217"/>
      </w:pPr>
      <w:rPr>
        <w:rFonts w:hint="default"/>
        <w:lang w:val="en-GB" w:eastAsia="en-GB" w:bidi="en-GB"/>
      </w:rPr>
    </w:lvl>
    <w:lvl w:ilvl="3" w:tplc="609EEFC8">
      <w:numFmt w:val="bullet"/>
      <w:lvlText w:val="•"/>
      <w:lvlJc w:val="left"/>
      <w:pPr>
        <w:ind w:left="819" w:hanging="217"/>
      </w:pPr>
      <w:rPr>
        <w:rFonts w:hint="default"/>
        <w:lang w:val="en-GB" w:eastAsia="en-GB" w:bidi="en-GB"/>
      </w:rPr>
    </w:lvl>
    <w:lvl w:ilvl="4" w:tplc="5D2016C0">
      <w:numFmt w:val="bullet"/>
      <w:lvlText w:val="•"/>
      <w:lvlJc w:val="left"/>
      <w:pPr>
        <w:ind w:left="992" w:hanging="217"/>
      </w:pPr>
      <w:rPr>
        <w:rFonts w:hint="default"/>
        <w:lang w:val="en-GB" w:eastAsia="en-GB" w:bidi="en-GB"/>
      </w:rPr>
    </w:lvl>
    <w:lvl w:ilvl="5" w:tplc="3DF40FFE">
      <w:numFmt w:val="bullet"/>
      <w:lvlText w:val="•"/>
      <w:lvlJc w:val="left"/>
      <w:pPr>
        <w:ind w:left="1165" w:hanging="217"/>
      </w:pPr>
      <w:rPr>
        <w:rFonts w:hint="default"/>
        <w:lang w:val="en-GB" w:eastAsia="en-GB" w:bidi="en-GB"/>
      </w:rPr>
    </w:lvl>
    <w:lvl w:ilvl="6" w:tplc="06F2DE6A">
      <w:numFmt w:val="bullet"/>
      <w:lvlText w:val="•"/>
      <w:lvlJc w:val="left"/>
      <w:pPr>
        <w:ind w:left="1338" w:hanging="217"/>
      </w:pPr>
      <w:rPr>
        <w:rFonts w:hint="default"/>
        <w:lang w:val="en-GB" w:eastAsia="en-GB" w:bidi="en-GB"/>
      </w:rPr>
    </w:lvl>
    <w:lvl w:ilvl="7" w:tplc="26AE4A6E">
      <w:numFmt w:val="bullet"/>
      <w:lvlText w:val="•"/>
      <w:lvlJc w:val="left"/>
      <w:pPr>
        <w:ind w:left="1511" w:hanging="217"/>
      </w:pPr>
      <w:rPr>
        <w:rFonts w:hint="default"/>
        <w:lang w:val="en-GB" w:eastAsia="en-GB" w:bidi="en-GB"/>
      </w:rPr>
    </w:lvl>
    <w:lvl w:ilvl="8" w:tplc="C276C8F6">
      <w:numFmt w:val="bullet"/>
      <w:lvlText w:val="•"/>
      <w:lvlJc w:val="left"/>
      <w:pPr>
        <w:ind w:left="1684" w:hanging="217"/>
      </w:pPr>
      <w:rPr>
        <w:rFonts w:hint="default"/>
        <w:lang w:val="en-GB" w:eastAsia="en-GB" w:bidi="en-GB"/>
      </w:rPr>
    </w:lvl>
  </w:abstractNum>
  <w:abstractNum w:abstractNumId="622" w15:restartNumberingAfterBreak="0">
    <w:nsid w:val="39E008D3"/>
    <w:multiLevelType w:val="hybridMultilevel"/>
    <w:tmpl w:val="76308558"/>
    <w:lvl w:ilvl="0" w:tplc="E3CA37C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CF497A0">
      <w:numFmt w:val="bullet"/>
      <w:lvlText w:val="•"/>
      <w:lvlJc w:val="left"/>
      <w:pPr>
        <w:ind w:left="544" w:hanging="217"/>
      </w:pPr>
      <w:rPr>
        <w:rFonts w:hint="default"/>
        <w:lang w:val="en-GB" w:eastAsia="en-GB" w:bidi="en-GB"/>
      </w:rPr>
    </w:lvl>
    <w:lvl w:ilvl="2" w:tplc="6FBE63BA">
      <w:numFmt w:val="bullet"/>
      <w:lvlText w:val="•"/>
      <w:lvlJc w:val="left"/>
      <w:pPr>
        <w:ind w:left="788" w:hanging="217"/>
      </w:pPr>
      <w:rPr>
        <w:rFonts w:hint="default"/>
        <w:lang w:val="en-GB" w:eastAsia="en-GB" w:bidi="en-GB"/>
      </w:rPr>
    </w:lvl>
    <w:lvl w:ilvl="3" w:tplc="6D721A52">
      <w:numFmt w:val="bullet"/>
      <w:lvlText w:val="•"/>
      <w:lvlJc w:val="left"/>
      <w:pPr>
        <w:ind w:left="1032" w:hanging="217"/>
      </w:pPr>
      <w:rPr>
        <w:rFonts w:hint="default"/>
        <w:lang w:val="en-GB" w:eastAsia="en-GB" w:bidi="en-GB"/>
      </w:rPr>
    </w:lvl>
    <w:lvl w:ilvl="4" w:tplc="2B50E698">
      <w:numFmt w:val="bullet"/>
      <w:lvlText w:val="•"/>
      <w:lvlJc w:val="left"/>
      <w:pPr>
        <w:ind w:left="1276" w:hanging="217"/>
      </w:pPr>
      <w:rPr>
        <w:rFonts w:hint="default"/>
        <w:lang w:val="en-GB" w:eastAsia="en-GB" w:bidi="en-GB"/>
      </w:rPr>
    </w:lvl>
    <w:lvl w:ilvl="5" w:tplc="DEC23254">
      <w:numFmt w:val="bullet"/>
      <w:lvlText w:val="•"/>
      <w:lvlJc w:val="left"/>
      <w:pPr>
        <w:ind w:left="1520" w:hanging="217"/>
      </w:pPr>
      <w:rPr>
        <w:rFonts w:hint="default"/>
        <w:lang w:val="en-GB" w:eastAsia="en-GB" w:bidi="en-GB"/>
      </w:rPr>
    </w:lvl>
    <w:lvl w:ilvl="6" w:tplc="06A8C498">
      <w:numFmt w:val="bullet"/>
      <w:lvlText w:val="•"/>
      <w:lvlJc w:val="left"/>
      <w:pPr>
        <w:ind w:left="1764" w:hanging="217"/>
      </w:pPr>
      <w:rPr>
        <w:rFonts w:hint="default"/>
        <w:lang w:val="en-GB" w:eastAsia="en-GB" w:bidi="en-GB"/>
      </w:rPr>
    </w:lvl>
    <w:lvl w:ilvl="7" w:tplc="B68EDD9E">
      <w:numFmt w:val="bullet"/>
      <w:lvlText w:val="•"/>
      <w:lvlJc w:val="left"/>
      <w:pPr>
        <w:ind w:left="2008" w:hanging="217"/>
      </w:pPr>
      <w:rPr>
        <w:rFonts w:hint="default"/>
        <w:lang w:val="en-GB" w:eastAsia="en-GB" w:bidi="en-GB"/>
      </w:rPr>
    </w:lvl>
    <w:lvl w:ilvl="8" w:tplc="A6E4F6A8">
      <w:numFmt w:val="bullet"/>
      <w:lvlText w:val="•"/>
      <w:lvlJc w:val="left"/>
      <w:pPr>
        <w:ind w:left="2252" w:hanging="217"/>
      </w:pPr>
      <w:rPr>
        <w:rFonts w:hint="default"/>
        <w:lang w:val="en-GB" w:eastAsia="en-GB" w:bidi="en-GB"/>
      </w:rPr>
    </w:lvl>
  </w:abstractNum>
  <w:abstractNum w:abstractNumId="623" w15:restartNumberingAfterBreak="0">
    <w:nsid w:val="39FE045D"/>
    <w:multiLevelType w:val="hybridMultilevel"/>
    <w:tmpl w:val="46A0DCAA"/>
    <w:lvl w:ilvl="0" w:tplc="DE226E9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93EC72A">
      <w:numFmt w:val="bullet"/>
      <w:lvlText w:val="•"/>
      <w:lvlJc w:val="left"/>
      <w:pPr>
        <w:ind w:left="892" w:hanging="217"/>
      </w:pPr>
      <w:rPr>
        <w:rFonts w:hint="default"/>
        <w:lang w:val="en-GB" w:eastAsia="en-GB" w:bidi="en-GB"/>
      </w:rPr>
    </w:lvl>
    <w:lvl w:ilvl="2" w:tplc="53E03EFA">
      <w:numFmt w:val="bullet"/>
      <w:lvlText w:val="•"/>
      <w:lvlJc w:val="left"/>
      <w:pPr>
        <w:ind w:left="1485" w:hanging="217"/>
      </w:pPr>
      <w:rPr>
        <w:rFonts w:hint="default"/>
        <w:lang w:val="en-GB" w:eastAsia="en-GB" w:bidi="en-GB"/>
      </w:rPr>
    </w:lvl>
    <w:lvl w:ilvl="3" w:tplc="8DFECEA6">
      <w:numFmt w:val="bullet"/>
      <w:lvlText w:val="•"/>
      <w:lvlJc w:val="left"/>
      <w:pPr>
        <w:ind w:left="2077" w:hanging="217"/>
      </w:pPr>
      <w:rPr>
        <w:rFonts w:hint="default"/>
        <w:lang w:val="en-GB" w:eastAsia="en-GB" w:bidi="en-GB"/>
      </w:rPr>
    </w:lvl>
    <w:lvl w:ilvl="4" w:tplc="44CA6EC8">
      <w:numFmt w:val="bullet"/>
      <w:lvlText w:val="•"/>
      <w:lvlJc w:val="left"/>
      <w:pPr>
        <w:ind w:left="2670" w:hanging="217"/>
      </w:pPr>
      <w:rPr>
        <w:rFonts w:hint="default"/>
        <w:lang w:val="en-GB" w:eastAsia="en-GB" w:bidi="en-GB"/>
      </w:rPr>
    </w:lvl>
    <w:lvl w:ilvl="5" w:tplc="71C614B8">
      <w:numFmt w:val="bullet"/>
      <w:lvlText w:val="•"/>
      <w:lvlJc w:val="left"/>
      <w:pPr>
        <w:ind w:left="3263" w:hanging="217"/>
      </w:pPr>
      <w:rPr>
        <w:rFonts w:hint="default"/>
        <w:lang w:val="en-GB" w:eastAsia="en-GB" w:bidi="en-GB"/>
      </w:rPr>
    </w:lvl>
    <w:lvl w:ilvl="6" w:tplc="3F0E64C2">
      <w:numFmt w:val="bullet"/>
      <w:lvlText w:val="•"/>
      <w:lvlJc w:val="left"/>
      <w:pPr>
        <w:ind w:left="3855" w:hanging="217"/>
      </w:pPr>
      <w:rPr>
        <w:rFonts w:hint="default"/>
        <w:lang w:val="en-GB" w:eastAsia="en-GB" w:bidi="en-GB"/>
      </w:rPr>
    </w:lvl>
    <w:lvl w:ilvl="7" w:tplc="BE6CE6C0">
      <w:numFmt w:val="bullet"/>
      <w:lvlText w:val="•"/>
      <w:lvlJc w:val="left"/>
      <w:pPr>
        <w:ind w:left="4448" w:hanging="217"/>
      </w:pPr>
      <w:rPr>
        <w:rFonts w:hint="default"/>
        <w:lang w:val="en-GB" w:eastAsia="en-GB" w:bidi="en-GB"/>
      </w:rPr>
    </w:lvl>
    <w:lvl w:ilvl="8" w:tplc="DC4E25AC">
      <w:numFmt w:val="bullet"/>
      <w:lvlText w:val="•"/>
      <w:lvlJc w:val="left"/>
      <w:pPr>
        <w:ind w:left="5040" w:hanging="217"/>
      </w:pPr>
      <w:rPr>
        <w:rFonts w:hint="default"/>
        <w:lang w:val="en-GB" w:eastAsia="en-GB" w:bidi="en-GB"/>
      </w:rPr>
    </w:lvl>
  </w:abstractNum>
  <w:abstractNum w:abstractNumId="624" w15:restartNumberingAfterBreak="0">
    <w:nsid w:val="3A1E5DA8"/>
    <w:multiLevelType w:val="hybridMultilevel"/>
    <w:tmpl w:val="8B384642"/>
    <w:lvl w:ilvl="0" w:tplc="CCCAEE66">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44144A60">
      <w:numFmt w:val="bullet"/>
      <w:lvlText w:val="•"/>
      <w:lvlJc w:val="left"/>
      <w:pPr>
        <w:ind w:left="524" w:hanging="217"/>
      </w:pPr>
      <w:rPr>
        <w:rFonts w:hint="default"/>
        <w:lang w:val="en-GB" w:eastAsia="en-GB" w:bidi="en-GB"/>
      </w:rPr>
    </w:lvl>
    <w:lvl w:ilvl="2" w:tplc="AED83E94">
      <w:numFmt w:val="bullet"/>
      <w:lvlText w:val="•"/>
      <w:lvlJc w:val="left"/>
      <w:pPr>
        <w:ind w:left="748" w:hanging="217"/>
      </w:pPr>
      <w:rPr>
        <w:rFonts w:hint="default"/>
        <w:lang w:val="en-GB" w:eastAsia="en-GB" w:bidi="en-GB"/>
      </w:rPr>
    </w:lvl>
    <w:lvl w:ilvl="3" w:tplc="0FDCEA2E">
      <w:numFmt w:val="bullet"/>
      <w:lvlText w:val="•"/>
      <w:lvlJc w:val="left"/>
      <w:pPr>
        <w:ind w:left="972" w:hanging="217"/>
      </w:pPr>
      <w:rPr>
        <w:rFonts w:hint="default"/>
        <w:lang w:val="en-GB" w:eastAsia="en-GB" w:bidi="en-GB"/>
      </w:rPr>
    </w:lvl>
    <w:lvl w:ilvl="4" w:tplc="95C89670">
      <w:numFmt w:val="bullet"/>
      <w:lvlText w:val="•"/>
      <w:lvlJc w:val="left"/>
      <w:pPr>
        <w:ind w:left="1196" w:hanging="217"/>
      </w:pPr>
      <w:rPr>
        <w:rFonts w:hint="default"/>
        <w:lang w:val="en-GB" w:eastAsia="en-GB" w:bidi="en-GB"/>
      </w:rPr>
    </w:lvl>
    <w:lvl w:ilvl="5" w:tplc="F67A662E">
      <w:numFmt w:val="bullet"/>
      <w:lvlText w:val="•"/>
      <w:lvlJc w:val="left"/>
      <w:pPr>
        <w:ind w:left="1420" w:hanging="217"/>
      </w:pPr>
      <w:rPr>
        <w:rFonts w:hint="default"/>
        <w:lang w:val="en-GB" w:eastAsia="en-GB" w:bidi="en-GB"/>
      </w:rPr>
    </w:lvl>
    <w:lvl w:ilvl="6" w:tplc="78469FEE">
      <w:numFmt w:val="bullet"/>
      <w:lvlText w:val="•"/>
      <w:lvlJc w:val="left"/>
      <w:pPr>
        <w:ind w:left="1644" w:hanging="217"/>
      </w:pPr>
      <w:rPr>
        <w:rFonts w:hint="default"/>
        <w:lang w:val="en-GB" w:eastAsia="en-GB" w:bidi="en-GB"/>
      </w:rPr>
    </w:lvl>
    <w:lvl w:ilvl="7" w:tplc="E5FC7C70">
      <w:numFmt w:val="bullet"/>
      <w:lvlText w:val="•"/>
      <w:lvlJc w:val="left"/>
      <w:pPr>
        <w:ind w:left="1868" w:hanging="217"/>
      </w:pPr>
      <w:rPr>
        <w:rFonts w:hint="default"/>
        <w:lang w:val="en-GB" w:eastAsia="en-GB" w:bidi="en-GB"/>
      </w:rPr>
    </w:lvl>
    <w:lvl w:ilvl="8" w:tplc="732C03F6">
      <w:numFmt w:val="bullet"/>
      <w:lvlText w:val="•"/>
      <w:lvlJc w:val="left"/>
      <w:pPr>
        <w:ind w:left="2092" w:hanging="217"/>
      </w:pPr>
      <w:rPr>
        <w:rFonts w:hint="default"/>
        <w:lang w:val="en-GB" w:eastAsia="en-GB" w:bidi="en-GB"/>
      </w:rPr>
    </w:lvl>
  </w:abstractNum>
  <w:abstractNum w:abstractNumId="625" w15:restartNumberingAfterBreak="0">
    <w:nsid w:val="3A480B69"/>
    <w:multiLevelType w:val="hybridMultilevel"/>
    <w:tmpl w:val="D92C2056"/>
    <w:lvl w:ilvl="0" w:tplc="D744EDD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38662FA">
      <w:numFmt w:val="bullet"/>
      <w:lvlText w:val="•"/>
      <w:lvlJc w:val="left"/>
      <w:pPr>
        <w:ind w:left="473" w:hanging="217"/>
      </w:pPr>
      <w:rPr>
        <w:rFonts w:hint="default"/>
        <w:lang w:val="en-GB" w:eastAsia="en-GB" w:bidi="en-GB"/>
      </w:rPr>
    </w:lvl>
    <w:lvl w:ilvl="2" w:tplc="A1E2DD18">
      <w:numFmt w:val="bullet"/>
      <w:lvlText w:val="•"/>
      <w:lvlJc w:val="left"/>
      <w:pPr>
        <w:ind w:left="646" w:hanging="217"/>
      </w:pPr>
      <w:rPr>
        <w:rFonts w:hint="default"/>
        <w:lang w:val="en-GB" w:eastAsia="en-GB" w:bidi="en-GB"/>
      </w:rPr>
    </w:lvl>
    <w:lvl w:ilvl="3" w:tplc="7FECF650">
      <w:numFmt w:val="bullet"/>
      <w:lvlText w:val="•"/>
      <w:lvlJc w:val="left"/>
      <w:pPr>
        <w:ind w:left="819" w:hanging="217"/>
      </w:pPr>
      <w:rPr>
        <w:rFonts w:hint="default"/>
        <w:lang w:val="en-GB" w:eastAsia="en-GB" w:bidi="en-GB"/>
      </w:rPr>
    </w:lvl>
    <w:lvl w:ilvl="4" w:tplc="F4B42C9C">
      <w:numFmt w:val="bullet"/>
      <w:lvlText w:val="•"/>
      <w:lvlJc w:val="left"/>
      <w:pPr>
        <w:ind w:left="992" w:hanging="217"/>
      </w:pPr>
      <w:rPr>
        <w:rFonts w:hint="default"/>
        <w:lang w:val="en-GB" w:eastAsia="en-GB" w:bidi="en-GB"/>
      </w:rPr>
    </w:lvl>
    <w:lvl w:ilvl="5" w:tplc="D23C04AE">
      <w:numFmt w:val="bullet"/>
      <w:lvlText w:val="•"/>
      <w:lvlJc w:val="left"/>
      <w:pPr>
        <w:ind w:left="1165" w:hanging="217"/>
      </w:pPr>
      <w:rPr>
        <w:rFonts w:hint="default"/>
        <w:lang w:val="en-GB" w:eastAsia="en-GB" w:bidi="en-GB"/>
      </w:rPr>
    </w:lvl>
    <w:lvl w:ilvl="6" w:tplc="FC48FB7E">
      <w:numFmt w:val="bullet"/>
      <w:lvlText w:val="•"/>
      <w:lvlJc w:val="left"/>
      <w:pPr>
        <w:ind w:left="1338" w:hanging="217"/>
      </w:pPr>
      <w:rPr>
        <w:rFonts w:hint="default"/>
        <w:lang w:val="en-GB" w:eastAsia="en-GB" w:bidi="en-GB"/>
      </w:rPr>
    </w:lvl>
    <w:lvl w:ilvl="7" w:tplc="D3E48926">
      <w:numFmt w:val="bullet"/>
      <w:lvlText w:val="•"/>
      <w:lvlJc w:val="left"/>
      <w:pPr>
        <w:ind w:left="1511" w:hanging="217"/>
      </w:pPr>
      <w:rPr>
        <w:rFonts w:hint="default"/>
        <w:lang w:val="en-GB" w:eastAsia="en-GB" w:bidi="en-GB"/>
      </w:rPr>
    </w:lvl>
    <w:lvl w:ilvl="8" w:tplc="F8E8A740">
      <w:numFmt w:val="bullet"/>
      <w:lvlText w:val="•"/>
      <w:lvlJc w:val="left"/>
      <w:pPr>
        <w:ind w:left="1684" w:hanging="217"/>
      </w:pPr>
      <w:rPr>
        <w:rFonts w:hint="default"/>
        <w:lang w:val="en-GB" w:eastAsia="en-GB" w:bidi="en-GB"/>
      </w:rPr>
    </w:lvl>
  </w:abstractNum>
  <w:abstractNum w:abstractNumId="626" w15:restartNumberingAfterBreak="0">
    <w:nsid w:val="3A8B311A"/>
    <w:multiLevelType w:val="hybridMultilevel"/>
    <w:tmpl w:val="BFD60274"/>
    <w:lvl w:ilvl="0" w:tplc="8020B324">
      <w:numFmt w:val="bullet"/>
      <w:lvlText w:val="•"/>
      <w:lvlJc w:val="left"/>
      <w:pPr>
        <w:ind w:left="299" w:hanging="217"/>
      </w:pPr>
      <w:rPr>
        <w:rFonts w:ascii="Arial" w:eastAsia="Arial" w:hAnsi="Arial" w:cs="Arial" w:hint="default"/>
        <w:color w:val="231F20"/>
        <w:spacing w:val="-4"/>
        <w:w w:val="100"/>
        <w:sz w:val="18"/>
        <w:szCs w:val="18"/>
        <w:lang w:val="en-GB" w:eastAsia="en-GB" w:bidi="en-GB"/>
      </w:rPr>
    </w:lvl>
    <w:lvl w:ilvl="1" w:tplc="009835F6">
      <w:numFmt w:val="bullet"/>
      <w:lvlText w:val="•"/>
      <w:lvlJc w:val="left"/>
      <w:pPr>
        <w:ind w:left="529" w:hanging="217"/>
      </w:pPr>
      <w:rPr>
        <w:rFonts w:hint="default"/>
        <w:lang w:val="en-GB" w:eastAsia="en-GB" w:bidi="en-GB"/>
      </w:rPr>
    </w:lvl>
    <w:lvl w:ilvl="2" w:tplc="92A086D4">
      <w:numFmt w:val="bullet"/>
      <w:lvlText w:val="•"/>
      <w:lvlJc w:val="left"/>
      <w:pPr>
        <w:ind w:left="759" w:hanging="217"/>
      </w:pPr>
      <w:rPr>
        <w:rFonts w:hint="default"/>
        <w:lang w:val="en-GB" w:eastAsia="en-GB" w:bidi="en-GB"/>
      </w:rPr>
    </w:lvl>
    <w:lvl w:ilvl="3" w:tplc="E6A4E530">
      <w:numFmt w:val="bullet"/>
      <w:lvlText w:val="•"/>
      <w:lvlJc w:val="left"/>
      <w:pPr>
        <w:ind w:left="989" w:hanging="217"/>
      </w:pPr>
      <w:rPr>
        <w:rFonts w:hint="default"/>
        <w:lang w:val="en-GB" w:eastAsia="en-GB" w:bidi="en-GB"/>
      </w:rPr>
    </w:lvl>
    <w:lvl w:ilvl="4" w:tplc="25CE97BE">
      <w:numFmt w:val="bullet"/>
      <w:lvlText w:val="•"/>
      <w:lvlJc w:val="left"/>
      <w:pPr>
        <w:ind w:left="1219" w:hanging="217"/>
      </w:pPr>
      <w:rPr>
        <w:rFonts w:hint="default"/>
        <w:lang w:val="en-GB" w:eastAsia="en-GB" w:bidi="en-GB"/>
      </w:rPr>
    </w:lvl>
    <w:lvl w:ilvl="5" w:tplc="D8024CB8">
      <w:numFmt w:val="bullet"/>
      <w:lvlText w:val="•"/>
      <w:lvlJc w:val="left"/>
      <w:pPr>
        <w:ind w:left="1449" w:hanging="217"/>
      </w:pPr>
      <w:rPr>
        <w:rFonts w:hint="default"/>
        <w:lang w:val="en-GB" w:eastAsia="en-GB" w:bidi="en-GB"/>
      </w:rPr>
    </w:lvl>
    <w:lvl w:ilvl="6" w:tplc="9A843EB2">
      <w:numFmt w:val="bullet"/>
      <w:lvlText w:val="•"/>
      <w:lvlJc w:val="left"/>
      <w:pPr>
        <w:ind w:left="1678" w:hanging="217"/>
      </w:pPr>
      <w:rPr>
        <w:rFonts w:hint="default"/>
        <w:lang w:val="en-GB" w:eastAsia="en-GB" w:bidi="en-GB"/>
      </w:rPr>
    </w:lvl>
    <w:lvl w:ilvl="7" w:tplc="9DFEA940">
      <w:numFmt w:val="bullet"/>
      <w:lvlText w:val="•"/>
      <w:lvlJc w:val="left"/>
      <w:pPr>
        <w:ind w:left="1908" w:hanging="217"/>
      </w:pPr>
      <w:rPr>
        <w:rFonts w:hint="default"/>
        <w:lang w:val="en-GB" w:eastAsia="en-GB" w:bidi="en-GB"/>
      </w:rPr>
    </w:lvl>
    <w:lvl w:ilvl="8" w:tplc="896A3812">
      <w:numFmt w:val="bullet"/>
      <w:lvlText w:val="•"/>
      <w:lvlJc w:val="left"/>
      <w:pPr>
        <w:ind w:left="2138" w:hanging="217"/>
      </w:pPr>
      <w:rPr>
        <w:rFonts w:hint="default"/>
        <w:lang w:val="en-GB" w:eastAsia="en-GB" w:bidi="en-GB"/>
      </w:rPr>
    </w:lvl>
  </w:abstractNum>
  <w:abstractNum w:abstractNumId="627" w15:restartNumberingAfterBreak="0">
    <w:nsid w:val="3A8E10A8"/>
    <w:multiLevelType w:val="hybridMultilevel"/>
    <w:tmpl w:val="7C3A3D00"/>
    <w:lvl w:ilvl="0" w:tplc="7EAE3F02">
      <w:numFmt w:val="bullet"/>
      <w:lvlText w:val="•"/>
      <w:lvlJc w:val="left"/>
      <w:pPr>
        <w:ind w:left="276" w:hanging="217"/>
      </w:pPr>
      <w:rPr>
        <w:rFonts w:ascii="Arial" w:eastAsia="Arial" w:hAnsi="Arial" w:cs="Arial" w:hint="default"/>
        <w:color w:val="231F20"/>
        <w:w w:val="97"/>
        <w:sz w:val="16"/>
        <w:szCs w:val="16"/>
        <w:lang w:val="en-GB" w:eastAsia="en-GB" w:bidi="en-GB"/>
      </w:rPr>
    </w:lvl>
    <w:lvl w:ilvl="1" w:tplc="914E0AFC">
      <w:numFmt w:val="bullet"/>
      <w:lvlText w:val="•"/>
      <w:lvlJc w:val="left"/>
      <w:pPr>
        <w:ind w:left="381" w:hanging="217"/>
      </w:pPr>
      <w:rPr>
        <w:rFonts w:hint="default"/>
        <w:lang w:val="en-GB" w:eastAsia="en-GB" w:bidi="en-GB"/>
      </w:rPr>
    </w:lvl>
    <w:lvl w:ilvl="2" w:tplc="E918EBE6">
      <w:numFmt w:val="bullet"/>
      <w:lvlText w:val="•"/>
      <w:lvlJc w:val="left"/>
      <w:pPr>
        <w:ind w:left="482" w:hanging="217"/>
      </w:pPr>
      <w:rPr>
        <w:rFonts w:hint="default"/>
        <w:lang w:val="en-GB" w:eastAsia="en-GB" w:bidi="en-GB"/>
      </w:rPr>
    </w:lvl>
    <w:lvl w:ilvl="3" w:tplc="629437FC">
      <w:numFmt w:val="bullet"/>
      <w:lvlText w:val="•"/>
      <w:lvlJc w:val="left"/>
      <w:pPr>
        <w:ind w:left="584" w:hanging="217"/>
      </w:pPr>
      <w:rPr>
        <w:rFonts w:hint="default"/>
        <w:lang w:val="en-GB" w:eastAsia="en-GB" w:bidi="en-GB"/>
      </w:rPr>
    </w:lvl>
    <w:lvl w:ilvl="4" w:tplc="0C6013A8">
      <w:numFmt w:val="bullet"/>
      <w:lvlText w:val="•"/>
      <w:lvlJc w:val="left"/>
      <w:pPr>
        <w:ind w:left="685" w:hanging="217"/>
      </w:pPr>
      <w:rPr>
        <w:rFonts w:hint="default"/>
        <w:lang w:val="en-GB" w:eastAsia="en-GB" w:bidi="en-GB"/>
      </w:rPr>
    </w:lvl>
    <w:lvl w:ilvl="5" w:tplc="7FD22B42">
      <w:numFmt w:val="bullet"/>
      <w:lvlText w:val="•"/>
      <w:lvlJc w:val="left"/>
      <w:pPr>
        <w:ind w:left="787" w:hanging="217"/>
      </w:pPr>
      <w:rPr>
        <w:rFonts w:hint="default"/>
        <w:lang w:val="en-GB" w:eastAsia="en-GB" w:bidi="en-GB"/>
      </w:rPr>
    </w:lvl>
    <w:lvl w:ilvl="6" w:tplc="002605D2">
      <w:numFmt w:val="bullet"/>
      <w:lvlText w:val="•"/>
      <w:lvlJc w:val="left"/>
      <w:pPr>
        <w:ind w:left="888" w:hanging="217"/>
      </w:pPr>
      <w:rPr>
        <w:rFonts w:hint="default"/>
        <w:lang w:val="en-GB" w:eastAsia="en-GB" w:bidi="en-GB"/>
      </w:rPr>
    </w:lvl>
    <w:lvl w:ilvl="7" w:tplc="B3FAF4A6">
      <w:numFmt w:val="bullet"/>
      <w:lvlText w:val="•"/>
      <w:lvlJc w:val="left"/>
      <w:pPr>
        <w:ind w:left="989" w:hanging="217"/>
      </w:pPr>
      <w:rPr>
        <w:rFonts w:hint="default"/>
        <w:lang w:val="en-GB" w:eastAsia="en-GB" w:bidi="en-GB"/>
      </w:rPr>
    </w:lvl>
    <w:lvl w:ilvl="8" w:tplc="26A01364">
      <w:numFmt w:val="bullet"/>
      <w:lvlText w:val="•"/>
      <w:lvlJc w:val="left"/>
      <w:pPr>
        <w:ind w:left="1091" w:hanging="217"/>
      </w:pPr>
      <w:rPr>
        <w:rFonts w:hint="default"/>
        <w:lang w:val="en-GB" w:eastAsia="en-GB" w:bidi="en-GB"/>
      </w:rPr>
    </w:lvl>
  </w:abstractNum>
  <w:abstractNum w:abstractNumId="628" w15:restartNumberingAfterBreak="0">
    <w:nsid w:val="3A9F1DC0"/>
    <w:multiLevelType w:val="hybridMultilevel"/>
    <w:tmpl w:val="1EECBC96"/>
    <w:lvl w:ilvl="0" w:tplc="4C68A45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562EFFC">
      <w:numFmt w:val="bullet"/>
      <w:lvlText w:val="•"/>
      <w:lvlJc w:val="left"/>
      <w:pPr>
        <w:ind w:left="473" w:hanging="217"/>
      </w:pPr>
      <w:rPr>
        <w:rFonts w:hint="default"/>
        <w:lang w:val="en-GB" w:eastAsia="en-GB" w:bidi="en-GB"/>
      </w:rPr>
    </w:lvl>
    <w:lvl w:ilvl="2" w:tplc="3978104A">
      <w:numFmt w:val="bullet"/>
      <w:lvlText w:val="•"/>
      <w:lvlJc w:val="left"/>
      <w:pPr>
        <w:ind w:left="646" w:hanging="217"/>
      </w:pPr>
      <w:rPr>
        <w:rFonts w:hint="default"/>
        <w:lang w:val="en-GB" w:eastAsia="en-GB" w:bidi="en-GB"/>
      </w:rPr>
    </w:lvl>
    <w:lvl w:ilvl="3" w:tplc="605C113E">
      <w:numFmt w:val="bullet"/>
      <w:lvlText w:val="•"/>
      <w:lvlJc w:val="left"/>
      <w:pPr>
        <w:ind w:left="819" w:hanging="217"/>
      </w:pPr>
      <w:rPr>
        <w:rFonts w:hint="default"/>
        <w:lang w:val="en-GB" w:eastAsia="en-GB" w:bidi="en-GB"/>
      </w:rPr>
    </w:lvl>
    <w:lvl w:ilvl="4" w:tplc="F1920BB8">
      <w:numFmt w:val="bullet"/>
      <w:lvlText w:val="•"/>
      <w:lvlJc w:val="left"/>
      <w:pPr>
        <w:ind w:left="992" w:hanging="217"/>
      </w:pPr>
      <w:rPr>
        <w:rFonts w:hint="default"/>
        <w:lang w:val="en-GB" w:eastAsia="en-GB" w:bidi="en-GB"/>
      </w:rPr>
    </w:lvl>
    <w:lvl w:ilvl="5" w:tplc="E8A83B76">
      <w:numFmt w:val="bullet"/>
      <w:lvlText w:val="•"/>
      <w:lvlJc w:val="left"/>
      <w:pPr>
        <w:ind w:left="1165" w:hanging="217"/>
      </w:pPr>
      <w:rPr>
        <w:rFonts w:hint="default"/>
        <w:lang w:val="en-GB" w:eastAsia="en-GB" w:bidi="en-GB"/>
      </w:rPr>
    </w:lvl>
    <w:lvl w:ilvl="6" w:tplc="70A2911A">
      <w:numFmt w:val="bullet"/>
      <w:lvlText w:val="•"/>
      <w:lvlJc w:val="left"/>
      <w:pPr>
        <w:ind w:left="1338" w:hanging="217"/>
      </w:pPr>
      <w:rPr>
        <w:rFonts w:hint="default"/>
        <w:lang w:val="en-GB" w:eastAsia="en-GB" w:bidi="en-GB"/>
      </w:rPr>
    </w:lvl>
    <w:lvl w:ilvl="7" w:tplc="2350F698">
      <w:numFmt w:val="bullet"/>
      <w:lvlText w:val="•"/>
      <w:lvlJc w:val="left"/>
      <w:pPr>
        <w:ind w:left="1511" w:hanging="217"/>
      </w:pPr>
      <w:rPr>
        <w:rFonts w:hint="default"/>
        <w:lang w:val="en-GB" w:eastAsia="en-GB" w:bidi="en-GB"/>
      </w:rPr>
    </w:lvl>
    <w:lvl w:ilvl="8" w:tplc="A5B45A7C">
      <w:numFmt w:val="bullet"/>
      <w:lvlText w:val="•"/>
      <w:lvlJc w:val="left"/>
      <w:pPr>
        <w:ind w:left="1684" w:hanging="217"/>
      </w:pPr>
      <w:rPr>
        <w:rFonts w:hint="default"/>
        <w:lang w:val="en-GB" w:eastAsia="en-GB" w:bidi="en-GB"/>
      </w:rPr>
    </w:lvl>
  </w:abstractNum>
  <w:abstractNum w:abstractNumId="629" w15:restartNumberingAfterBreak="0">
    <w:nsid w:val="3AC30B5D"/>
    <w:multiLevelType w:val="hybridMultilevel"/>
    <w:tmpl w:val="45B0F4DE"/>
    <w:lvl w:ilvl="0" w:tplc="9E7A3AA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B6ABEF4">
      <w:numFmt w:val="bullet"/>
      <w:lvlText w:val="•"/>
      <w:lvlJc w:val="left"/>
      <w:pPr>
        <w:ind w:left="473" w:hanging="217"/>
      </w:pPr>
      <w:rPr>
        <w:rFonts w:hint="default"/>
        <w:lang w:val="en-GB" w:eastAsia="en-GB" w:bidi="en-GB"/>
      </w:rPr>
    </w:lvl>
    <w:lvl w:ilvl="2" w:tplc="4AFC12CA">
      <w:numFmt w:val="bullet"/>
      <w:lvlText w:val="•"/>
      <w:lvlJc w:val="left"/>
      <w:pPr>
        <w:ind w:left="646" w:hanging="217"/>
      </w:pPr>
      <w:rPr>
        <w:rFonts w:hint="default"/>
        <w:lang w:val="en-GB" w:eastAsia="en-GB" w:bidi="en-GB"/>
      </w:rPr>
    </w:lvl>
    <w:lvl w:ilvl="3" w:tplc="401A8922">
      <w:numFmt w:val="bullet"/>
      <w:lvlText w:val="•"/>
      <w:lvlJc w:val="left"/>
      <w:pPr>
        <w:ind w:left="819" w:hanging="217"/>
      </w:pPr>
      <w:rPr>
        <w:rFonts w:hint="default"/>
        <w:lang w:val="en-GB" w:eastAsia="en-GB" w:bidi="en-GB"/>
      </w:rPr>
    </w:lvl>
    <w:lvl w:ilvl="4" w:tplc="5BE8505E">
      <w:numFmt w:val="bullet"/>
      <w:lvlText w:val="•"/>
      <w:lvlJc w:val="left"/>
      <w:pPr>
        <w:ind w:left="992" w:hanging="217"/>
      </w:pPr>
      <w:rPr>
        <w:rFonts w:hint="default"/>
        <w:lang w:val="en-GB" w:eastAsia="en-GB" w:bidi="en-GB"/>
      </w:rPr>
    </w:lvl>
    <w:lvl w:ilvl="5" w:tplc="79D0C450">
      <w:numFmt w:val="bullet"/>
      <w:lvlText w:val="•"/>
      <w:lvlJc w:val="left"/>
      <w:pPr>
        <w:ind w:left="1165" w:hanging="217"/>
      </w:pPr>
      <w:rPr>
        <w:rFonts w:hint="default"/>
        <w:lang w:val="en-GB" w:eastAsia="en-GB" w:bidi="en-GB"/>
      </w:rPr>
    </w:lvl>
    <w:lvl w:ilvl="6" w:tplc="B2561F98">
      <w:numFmt w:val="bullet"/>
      <w:lvlText w:val="•"/>
      <w:lvlJc w:val="left"/>
      <w:pPr>
        <w:ind w:left="1338" w:hanging="217"/>
      </w:pPr>
      <w:rPr>
        <w:rFonts w:hint="default"/>
        <w:lang w:val="en-GB" w:eastAsia="en-GB" w:bidi="en-GB"/>
      </w:rPr>
    </w:lvl>
    <w:lvl w:ilvl="7" w:tplc="7AACA4B2">
      <w:numFmt w:val="bullet"/>
      <w:lvlText w:val="•"/>
      <w:lvlJc w:val="left"/>
      <w:pPr>
        <w:ind w:left="1511" w:hanging="217"/>
      </w:pPr>
      <w:rPr>
        <w:rFonts w:hint="default"/>
        <w:lang w:val="en-GB" w:eastAsia="en-GB" w:bidi="en-GB"/>
      </w:rPr>
    </w:lvl>
    <w:lvl w:ilvl="8" w:tplc="ADBE0164">
      <w:numFmt w:val="bullet"/>
      <w:lvlText w:val="•"/>
      <w:lvlJc w:val="left"/>
      <w:pPr>
        <w:ind w:left="1684" w:hanging="217"/>
      </w:pPr>
      <w:rPr>
        <w:rFonts w:hint="default"/>
        <w:lang w:val="en-GB" w:eastAsia="en-GB" w:bidi="en-GB"/>
      </w:rPr>
    </w:lvl>
  </w:abstractNum>
  <w:abstractNum w:abstractNumId="630" w15:restartNumberingAfterBreak="0">
    <w:nsid w:val="3B0C0B3E"/>
    <w:multiLevelType w:val="multilevel"/>
    <w:tmpl w:val="8ED8963E"/>
    <w:lvl w:ilvl="0">
      <w:start w:val="6"/>
      <w:numFmt w:val="decimal"/>
      <w:lvlText w:val="%1"/>
      <w:lvlJc w:val="left"/>
      <w:pPr>
        <w:ind w:left="794" w:hanging="794"/>
      </w:pPr>
      <w:rPr>
        <w:rFonts w:hint="default"/>
        <w:lang w:val="en-GB" w:eastAsia="en-GB" w:bidi="en-GB"/>
      </w:rPr>
    </w:lvl>
    <w:lvl w:ilvl="1">
      <w:start w:val="1"/>
      <w:numFmt w:val="decimal"/>
      <w:lvlText w:val="%1.%2"/>
      <w:lvlJc w:val="left"/>
      <w:pPr>
        <w:ind w:left="794" w:hanging="794"/>
      </w:pPr>
      <w:rPr>
        <w:rFonts w:ascii="Arial" w:eastAsia="Arial" w:hAnsi="Arial" w:cs="Arial" w:hint="default"/>
        <w:color w:val="231F20"/>
        <w:spacing w:val="-1"/>
        <w:w w:val="100"/>
        <w:sz w:val="42"/>
        <w:szCs w:val="42"/>
        <w:lang w:val="en-GB" w:eastAsia="en-GB" w:bidi="en-GB"/>
      </w:rPr>
    </w:lvl>
    <w:lvl w:ilvl="2">
      <w:numFmt w:val="bullet"/>
      <w:lvlText w:val="•"/>
      <w:lvlJc w:val="left"/>
      <w:pPr>
        <w:ind w:left="2711" w:hanging="794"/>
      </w:pPr>
      <w:rPr>
        <w:rFonts w:hint="default"/>
        <w:lang w:val="en-GB" w:eastAsia="en-GB" w:bidi="en-GB"/>
      </w:rPr>
    </w:lvl>
    <w:lvl w:ilvl="3">
      <w:numFmt w:val="bullet"/>
      <w:lvlText w:val="•"/>
      <w:lvlJc w:val="left"/>
      <w:pPr>
        <w:ind w:left="3671" w:hanging="794"/>
      </w:pPr>
      <w:rPr>
        <w:rFonts w:hint="default"/>
        <w:lang w:val="en-GB" w:eastAsia="en-GB" w:bidi="en-GB"/>
      </w:rPr>
    </w:lvl>
    <w:lvl w:ilvl="4">
      <w:numFmt w:val="bullet"/>
      <w:lvlText w:val="•"/>
      <w:lvlJc w:val="left"/>
      <w:pPr>
        <w:ind w:left="4632" w:hanging="794"/>
      </w:pPr>
      <w:rPr>
        <w:rFonts w:hint="default"/>
        <w:lang w:val="en-GB" w:eastAsia="en-GB" w:bidi="en-GB"/>
      </w:rPr>
    </w:lvl>
    <w:lvl w:ilvl="5">
      <w:numFmt w:val="bullet"/>
      <w:lvlText w:val="•"/>
      <w:lvlJc w:val="left"/>
      <w:pPr>
        <w:ind w:left="5592" w:hanging="794"/>
      </w:pPr>
      <w:rPr>
        <w:rFonts w:hint="default"/>
        <w:lang w:val="en-GB" w:eastAsia="en-GB" w:bidi="en-GB"/>
      </w:rPr>
    </w:lvl>
    <w:lvl w:ilvl="6">
      <w:numFmt w:val="bullet"/>
      <w:lvlText w:val="•"/>
      <w:lvlJc w:val="left"/>
      <w:pPr>
        <w:ind w:left="6553" w:hanging="794"/>
      </w:pPr>
      <w:rPr>
        <w:rFonts w:hint="default"/>
        <w:lang w:val="en-GB" w:eastAsia="en-GB" w:bidi="en-GB"/>
      </w:rPr>
    </w:lvl>
    <w:lvl w:ilvl="7">
      <w:numFmt w:val="bullet"/>
      <w:lvlText w:val="•"/>
      <w:lvlJc w:val="left"/>
      <w:pPr>
        <w:ind w:left="7513" w:hanging="794"/>
      </w:pPr>
      <w:rPr>
        <w:rFonts w:hint="default"/>
        <w:lang w:val="en-GB" w:eastAsia="en-GB" w:bidi="en-GB"/>
      </w:rPr>
    </w:lvl>
    <w:lvl w:ilvl="8">
      <w:numFmt w:val="bullet"/>
      <w:lvlText w:val="•"/>
      <w:lvlJc w:val="left"/>
      <w:pPr>
        <w:ind w:left="8474" w:hanging="794"/>
      </w:pPr>
      <w:rPr>
        <w:rFonts w:hint="default"/>
        <w:lang w:val="en-GB" w:eastAsia="en-GB" w:bidi="en-GB"/>
      </w:rPr>
    </w:lvl>
  </w:abstractNum>
  <w:abstractNum w:abstractNumId="631" w15:restartNumberingAfterBreak="0">
    <w:nsid w:val="3B101DC6"/>
    <w:multiLevelType w:val="hybridMultilevel"/>
    <w:tmpl w:val="BAC24E92"/>
    <w:lvl w:ilvl="0" w:tplc="C0BA0F98">
      <w:numFmt w:val="bullet"/>
      <w:lvlText w:val="•"/>
      <w:lvlJc w:val="left"/>
      <w:pPr>
        <w:ind w:left="303" w:hanging="217"/>
      </w:pPr>
      <w:rPr>
        <w:rFonts w:ascii="Arial" w:eastAsia="Arial" w:hAnsi="Arial" w:cs="Arial" w:hint="default"/>
        <w:color w:val="231F20"/>
        <w:w w:val="102"/>
        <w:sz w:val="17"/>
        <w:szCs w:val="17"/>
        <w:lang w:val="en-GB" w:eastAsia="en-GB" w:bidi="en-GB"/>
      </w:rPr>
    </w:lvl>
    <w:lvl w:ilvl="1" w:tplc="B448BEC2">
      <w:numFmt w:val="bullet"/>
      <w:lvlText w:val="•"/>
      <w:lvlJc w:val="left"/>
      <w:pPr>
        <w:ind w:left="439" w:hanging="217"/>
      </w:pPr>
      <w:rPr>
        <w:rFonts w:hint="default"/>
        <w:lang w:val="en-GB" w:eastAsia="en-GB" w:bidi="en-GB"/>
      </w:rPr>
    </w:lvl>
    <w:lvl w:ilvl="2" w:tplc="932229BE">
      <w:numFmt w:val="bullet"/>
      <w:lvlText w:val="•"/>
      <w:lvlJc w:val="left"/>
      <w:pPr>
        <w:ind w:left="578" w:hanging="217"/>
      </w:pPr>
      <w:rPr>
        <w:rFonts w:hint="default"/>
        <w:lang w:val="en-GB" w:eastAsia="en-GB" w:bidi="en-GB"/>
      </w:rPr>
    </w:lvl>
    <w:lvl w:ilvl="3" w:tplc="D83C3354">
      <w:numFmt w:val="bullet"/>
      <w:lvlText w:val="•"/>
      <w:lvlJc w:val="left"/>
      <w:pPr>
        <w:ind w:left="717" w:hanging="217"/>
      </w:pPr>
      <w:rPr>
        <w:rFonts w:hint="default"/>
        <w:lang w:val="en-GB" w:eastAsia="en-GB" w:bidi="en-GB"/>
      </w:rPr>
    </w:lvl>
    <w:lvl w:ilvl="4" w:tplc="80CEFBEC">
      <w:numFmt w:val="bullet"/>
      <w:lvlText w:val="•"/>
      <w:lvlJc w:val="left"/>
      <w:pPr>
        <w:ind w:left="856" w:hanging="217"/>
      </w:pPr>
      <w:rPr>
        <w:rFonts w:hint="default"/>
        <w:lang w:val="en-GB" w:eastAsia="en-GB" w:bidi="en-GB"/>
      </w:rPr>
    </w:lvl>
    <w:lvl w:ilvl="5" w:tplc="1A3CB55A">
      <w:numFmt w:val="bullet"/>
      <w:lvlText w:val="•"/>
      <w:lvlJc w:val="left"/>
      <w:pPr>
        <w:ind w:left="995" w:hanging="217"/>
      </w:pPr>
      <w:rPr>
        <w:rFonts w:hint="default"/>
        <w:lang w:val="en-GB" w:eastAsia="en-GB" w:bidi="en-GB"/>
      </w:rPr>
    </w:lvl>
    <w:lvl w:ilvl="6" w:tplc="D7F8F538">
      <w:numFmt w:val="bullet"/>
      <w:lvlText w:val="•"/>
      <w:lvlJc w:val="left"/>
      <w:pPr>
        <w:ind w:left="1134" w:hanging="217"/>
      </w:pPr>
      <w:rPr>
        <w:rFonts w:hint="default"/>
        <w:lang w:val="en-GB" w:eastAsia="en-GB" w:bidi="en-GB"/>
      </w:rPr>
    </w:lvl>
    <w:lvl w:ilvl="7" w:tplc="EA86C0E0">
      <w:numFmt w:val="bullet"/>
      <w:lvlText w:val="•"/>
      <w:lvlJc w:val="left"/>
      <w:pPr>
        <w:ind w:left="1273" w:hanging="217"/>
      </w:pPr>
      <w:rPr>
        <w:rFonts w:hint="default"/>
        <w:lang w:val="en-GB" w:eastAsia="en-GB" w:bidi="en-GB"/>
      </w:rPr>
    </w:lvl>
    <w:lvl w:ilvl="8" w:tplc="D26AE02E">
      <w:numFmt w:val="bullet"/>
      <w:lvlText w:val="•"/>
      <w:lvlJc w:val="left"/>
      <w:pPr>
        <w:ind w:left="1412" w:hanging="217"/>
      </w:pPr>
      <w:rPr>
        <w:rFonts w:hint="default"/>
        <w:lang w:val="en-GB" w:eastAsia="en-GB" w:bidi="en-GB"/>
      </w:rPr>
    </w:lvl>
  </w:abstractNum>
  <w:abstractNum w:abstractNumId="632" w15:restartNumberingAfterBreak="0">
    <w:nsid w:val="3B2A774B"/>
    <w:multiLevelType w:val="hybridMultilevel"/>
    <w:tmpl w:val="6E32E154"/>
    <w:lvl w:ilvl="0" w:tplc="0676388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B8AC408">
      <w:numFmt w:val="bullet"/>
      <w:lvlText w:val="•"/>
      <w:lvlJc w:val="left"/>
      <w:pPr>
        <w:ind w:left="439" w:hanging="217"/>
      </w:pPr>
      <w:rPr>
        <w:rFonts w:hint="default"/>
        <w:lang w:val="en-GB" w:eastAsia="en-GB" w:bidi="en-GB"/>
      </w:rPr>
    </w:lvl>
    <w:lvl w:ilvl="2" w:tplc="E2628E6C">
      <w:numFmt w:val="bullet"/>
      <w:lvlText w:val="•"/>
      <w:lvlJc w:val="left"/>
      <w:pPr>
        <w:ind w:left="578" w:hanging="217"/>
      </w:pPr>
      <w:rPr>
        <w:rFonts w:hint="default"/>
        <w:lang w:val="en-GB" w:eastAsia="en-GB" w:bidi="en-GB"/>
      </w:rPr>
    </w:lvl>
    <w:lvl w:ilvl="3" w:tplc="4CF482F4">
      <w:numFmt w:val="bullet"/>
      <w:lvlText w:val="•"/>
      <w:lvlJc w:val="left"/>
      <w:pPr>
        <w:ind w:left="717" w:hanging="217"/>
      </w:pPr>
      <w:rPr>
        <w:rFonts w:hint="default"/>
        <w:lang w:val="en-GB" w:eastAsia="en-GB" w:bidi="en-GB"/>
      </w:rPr>
    </w:lvl>
    <w:lvl w:ilvl="4" w:tplc="6D4EA718">
      <w:numFmt w:val="bullet"/>
      <w:lvlText w:val="•"/>
      <w:lvlJc w:val="left"/>
      <w:pPr>
        <w:ind w:left="856" w:hanging="217"/>
      </w:pPr>
      <w:rPr>
        <w:rFonts w:hint="default"/>
        <w:lang w:val="en-GB" w:eastAsia="en-GB" w:bidi="en-GB"/>
      </w:rPr>
    </w:lvl>
    <w:lvl w:ilvl="5" w:tplc="C9960578">
      <w:numFmt w:val="bullet"/>
      <w:lvlText w:val="•"/>
      <w:lvlJc w:val="left"/>
      <w:pPr>
        <w:ind w:left="995" w:hanging="217"/>
      </w:pPr>
      <w:rPr>
        <w:rFonts w:hint="default"/>
        <w:lang w:val="en-GB" w:eastAsia="en-GB" w:bidi="en-GB"/>
      </w:rPr>
    </w:lvl>
    <w:lvl w:ilvl="6" w:tplc="4808BF2E">
      <w:numFmt w:val="bullet"/>
      <w:lvlText w:val="•"/>
      <w:lvlJc w:val="left"/>
      <w:pPr>
        <w:ind w:left="1134" w:hanging="217"/>
      </w:pPr>
      <w:rPr>
        <w:rFonts w:hint="default"/>
        <w:lang w:val="en-GB" w:eastAsia="en-GB" w:bidi="en-GB"/>
      </w:rPr>
    </w:lvl>
    <w:lvl w:ilvl="7" w:tplc="F9C2165A">
      <w:numFmt w:val="bullet"/>
      <w:lvlText w:val="•"/>
      <w:lvlJc w:val="left"/>
      <w:pPr>
        <w:ind w:left="1273" w:hanging="217"/>
      </w:pPr>
      <w:rPr>
        <w:rFonts w:hint="default"/>
        <w:lang w:val="en-GB" w:eastAsia="en-GB" w:bidi="en-GB"/>
      </w:rPr>
    </w:lvl>
    <w:lvl w:ilvl="8" w:tplc="C9BCCC74">
      <w:numFmt w:val="bullet"/>
      <w:lvlText w:val="•"/>
      <w:lvlJc w:val="left"/>
      <w:pPr>
        <w:ind w:left="1412" w:hanging="217"/>
      </w:pPr>
      <w:rPr>
        <w:rFonts w:hint="default"/>
        <w:lang w:val="en-GB" w:eastAsia="en-GB" w:bidi="en-GB"/>
      </w:rPr>
    </w:lvl>
  </w:abstractNum>
  <w:abstractNum w:abstractNumId="633" w15:restartNumberingAfterBreak="0">
    <w:nsid w:val="3B3E6A2F"/>
    <w:multiLevelType w:val="hybridMultilevel"/>
    <w:tmpl w:val="92A2FCF6"/>
    <w:lvl w:ilvl="0" w:tplc="3338482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3902B0C">
      <w:numFmt w:val="bullet"/>
      <w:lvlText w:val="•"/>
      <w:lvlJc w:val="left"/>
      <w:pPr>
        <w:ind w:left="439" w:hanging="217"/>
      </w:pPr>
      <w:rPr>
        <w:rFonts w:hint="default"/>
        <w:lang w:val="en-GB" w:eastAsia="en-GB" w:bidi="en-GB"/>
      </w:rPr>
    </w:lvl>
    <w:lvl w:ilvl="2" w:tplc="C0B68858">
      <w:numFmt w:val="bullet"/>
      <w:lvlText w:val="•"/>
      <w:lvlJc w:val="left"/>
      <w:pPr>
        <w:ind w:left="578" w:hanging="217"/>
      </w:pPr>
      <w:rPr>
        <w:rFonts w:hint="default"/>
        <w:lang w:val="en-GB" w:eastAsia="en-GB" w:bidi="en-GB"/>
      </w:rPr>
    </w:lvl>
    <w:lvl w:ilvl="3" w:tplc="31586F00">
      <w:numFmt w:val="bullet"/>
      <w:lvlText w:val="•"/>
      <w:lvlJc w:val="left"/>
      <w:pPr>
        <w:ind w:left="717" w:hanging="217"/>
      </w:pPr>
      <w:rPr>
        <w:rFonts w:hint="default"/>
        <w:lang w:val="en-GB" w:eastAsia="en-GB" w:bidi="en-GB"/>
      </w:rPr>
    </w:lvl>
    <w:lvl w:ilvl="4" w:tplc="E2A21C56">
      <w:numFmt w:val="bullet"/>
      <w:lvlText w:val="•"/>
      <w:lvlJc w:val="left"/>
      <w:pPr>
        <w:ind w:left="856" w:hanging="217"/>
      </w:pPr>
      <w:rPr>
        <w:rFonts w:hint="default"/>
        <w:lang w:val="en-GB" w:eastAsia="en-GB" w:bidi="en-GB"/>
      </w:rPr>
    </w:lvl>
    <w:lvl w:ilvl="5" w:tplc="71EA893A">
      <w:numFmt w:val="bullet"/>
      <w:lvlText w:val="•"/>
      <w:lvlJc w:val="left"/>
      <w:pPr>
        <w:ind w:left="995" w:hanging="217"/>
      </w:pPr>
      <w:rPr>
        <w:rFonts w:hint="default"/>
        <w:lang w:val="en-GB" w:eastAsia="en-GB" w:bidi="en-GB"/>
      </w:rPr>
    </w:lvl>
    <w:lvl w:ilvl="6" w:tplc="01AEE18A">
      <w:numFmt w:val="bullet"/>
      <w:lvlText w:val="•"/>
      <w:lvlJc w:val="left"/>
      <w:pPr>
        <w:ind w:left="1134" w:hanging="217"/>
      </w:pPr>
      <w:rPr>
        <w:rFonts w:hint="default"/>
        <w:lang w:val="en-GB" w:eastAsia="en-GB" w:bidi="en-GB"/>
      </w:rPr>
    </w:lvl>
    <w:lvl w:ilvl="7" w:tplc="1536F708">
      <w:numFmt w:val="bullet"/>
      <w:lvlText w:val="•"/>
      <w:lvlJc w:val="left"/>
      <w:pPr>
        <w:ind w:left="1273" w:hanging="217"/>
      </w:pPr>
      <w:rPr>
        <w:rFonts w:hint="default"/>
        <w:lang w:val="en-GB" w:eastAsia="en-GB" w:bidi="en-GB"/>
      </w:rPr>
    </w:lvl>
    <w:lvl w:ilvl="8" w:tplc="7626F08E">
      <w:numFmt w:val="bullet"/>
      <w:lvlText w:val="•"/>
      <w:lvlJc w:val="left"/>
      <w:pPr>
        <w:ind w:left="1412" w:hanging="217"/>
      </w:pPr>
      <w:rPr>
        <w:rFonts w:hint="default"/>
        <w:lang w:val="en-GB" w:eastAsia="en-GB" w:bidi="en-GB"/>
      </w:rPr>
    </w:lvl>
  </w:abstractNum>
  <w:abstractNum w:abstractNumId="634" w15:restartNumberingAfterBreak="0">
    <w:nsid w:val="3B5E4A53"/>
    <w:multiLevelType w:val="hybridMultilevel"/>
    <w:tmpl w:val="0E38F874"/>
    <w:lvl w:ilvl="0" w:tplc="453802B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ACA23DC">
      <w:numFmt w:val="bullet"/>
      <w:lvlText w:val="•"/>
      <w:lvlJc w:val="left"/>
      <w:pPr>
        <w:ind w:left="473" w:hanging="217"/>
      </w:pPr>
      <w:rPr>
        <w:rFonts w:hint="default"/>
        <w:lang w:val="en-GB" w:eastAsia="en-GB" w:bidi="en-GB"/>
      </w:rPr>
    </w:lvl>
    <w:lvl w:ilvl="2" w:tplc="0A20BA2A">
      <w:numFmt w:val="bullet"/>
      <w:lvlText w:val="•"/>
      <w:lvlJc w:val="left"/>
      <w:pPr>
        <w:ind w:left="646" w:hanging="217"/>
      </w:pPr>
      <w:rPr>
        <w:rFonts w:hint="default"/>
        <w:lang w:val="en-GB" w:eastAsia="en-GB" w:bidi="en-GB"/>
      </w:rPr>
    </w:lvl>
    <w:lvl w:ilvl="3" w:tplc="7B68BB38">
      <w:numFmt w:val="bullet"/>
      <w:lvlText w:val="•"/>
      <w:lvlJc w:val="left"/>
      <w:pPr>
        <w:ind w:left="819" w:hanging="217"/>
      </w:pPr>
      <w:rPr>
        <w:rFonts w:hint="default"/>
        <w:lang w:val="en-GB" w:eastAsia="en-GB" w:bidi="en-GB"/>
      </w:rPr>
    </w:lvl>
    <w:lvl w:ilvl="4" w:tplc="DE96C9BE">
      <w:numFmt w:val="bullet"/>
      <w:lvlText w:val="•"/>
      <w:lvlJc w:val="left"/>
      <w:pPr>
        <w:ind w:left="992" w:hanging="217"/>
      </w:pPr>
      <w:rPr>
        <w:rFonts w:hint="default"/>
        <w:lang w:val="en-GB" w:eastAsia="en-GB" w:bidi="en-GB"/>
      </w:rPr>
    </w:lvl>
    <w:lvl w:ilvl="5" w:tplc="30D49090">
      <w:numFmt w:val="bullet"/>
      <w:lvlText w:val="•"/>
      <w:lvlJc w:val="left"/>
      <w:pPr>
        <w:ind w:left="1165" w:hanging="217"/>
      </w:pPr>
      <w:rPr>
        <w:rFonts w:hint="default"/>
        <w:lang w:val="en-GB" w:eastAsia="en-GB" w:bidi="en-GB"/>
      </w:rPr>
    </w:lvl>
    <w:lvl w:ilvl="6" w:tplc="885CB986">
      <w:numFmt w:val="bullet"/>
      <w:lvlText w:val="•"/>
      <w:lvlJc w:val="left"/>
      <w:pPr>
        <w:ind w:left="1338" w:hanging="217"/>
      </w:pPr>
      <w:rPr>
        <w:rFonts w:hint="default"/>
        <w:lang w:val="en-GB" w:eastAsia="en-GB" w:bidi="en-GB"/>
      </w:rPr>
    </w:lvl>
    <w:lvl w:ilvl="7" w:tplc="F9746998">
      <w:numFmt w:val="bullet"/>
      <w:lvlText w:val="•"/>
      <w:lvlJc w:val="left"/>
      <w:pPr>
        <w:ind w:left="1511" w:hanging="217"/>
      </w:pPr>
      <w:rPr>
        <w:rFonts w:hint="default"/>
        <w:lang w:val="en-GB" w:eastAsia="en-GB" w:bidi="en-GB"/>
      </w:rPr>
    </w:lvl>
    <w:lvl w:ilvl="8" w:tplc="8C82F594">
      <w:numFmt w:val="bullet"/>
      <w:lvlText w:val="•"/>
      <w:lvlJc w:val="left"/>
      <w:pPr>
        <w:ind w:left="1684" w:hanging="217"/>
      </w:pPr>
      <w:rPr>
        <w:rFonts w:hint="default"/>
        <w:lang w:val="en-GB" w:eastAsia="en-GB" w:bidi="en-GB"/>
      </w:rPr>
    </w:lvl>
  </w:abstractNum>
  <w:abstractNum w:abstractNumId="635" w15:restartNumberingAfterBreak="0">
    <w:nsid w:val="3B60021E"/>
    <w:multiLevelType w:val="hybridMultilevel"/>
    <w:tmpl w:val="B2CCD93C"/>
    <w:lvl w:ilvl="0" w:tplc="87FEBC44">
      <w:numFmt w:val="bullet"/>
      <w:lvlText w:val="•"/>
      <w:lvlJc w:val="left"/>
      <w:pPr>
        <w:ind w:left="276" w:hanging="217"/>
      </w:pPr>
      <w:rPr>
        <w:rFonts w:ascii="Arial" w:eastAsia="Arial" w:hAnsi="Arial" w:cs="Arial" w:hint="default"/>
        <w:color w:val="231F20"/>
        <w:w w:val="97"/>
        <w:sz w:val="16"/>
        <w:szCs w:val="16"/>
        <w:lang w:val="en-GB" w:eastAsia="en-GB" w:bidi="en-GB"/>
      </w:rPr>
    </w:lvl>
    <w:lvl w:ilvl="1" w:tplc="1026DA0C">
      <w:numFmt w:val="bullet"/>
      <w:lvlText w:val="•"/>
      <w:lvlJc w:val="left"/>
      <w:pPr>
        <w:ind w:left="381" w:hanging="217"/>
      </w:pPr>
      <w:rPr>
        <w:rFonts w:hint="default"/>
        <w:lang w:val="en-GB" w:eastAsia="en-GB" w:bidi="en-GB"/>
      </w:rPr>
    </w:lvl>
    <w:lvl w:ilvl="2" w:tplc="967A73F8">
      <w:numFmt w:val="bullet"/>
      <w:lvlText w:val="•"/>
      <w:lvlJc w:val="left"/>
      <w:pPr>
        <w:ind w:left="482" w:hanging="217"/>
      </w:pPr>
      <w:rPr>
        <w:rFonts w:hint="default"/>
        <w:lang w:val="en-GB" w:eastAsia="en-GB" w:bidi="en-GB"/>
      </w:rPr>
    </w:lvl>
    <w:lvl w:ilvl="3" w:tplc="70F03EFE">
      <w:numFmt w:val="bullet"/>
      <w:lvlText w:val="•"/>
      <w:lvlJc w:val="left"/>
      <w:pPr>
        <w:ind w:left="584" w:hanging="217"/>
      </w:pPr>
      <w:rPr>
        <w:rFonts w:hint="default"/>
        <w:lang w:val="en-GB" w:eastAsia="en-GB" w:bidi="en-GB"/>
      </w:rPr>
    </w:lvl>
    <w:lvl w:ilvl="4" w:tplc="0F22C654">
      <w:numFmt w:val="bullet"/>
      <w:lvlText w:val="•"/>
      <w:lvlJc w:val="left"/>
      <w:pPr>
        <w:ind w:left="685" w:hanging="217"/>
      </w:pPr>
      <w:rPr>
        <w:rFonts w:hint="default"/>
        <w:lang w:val="en-GB" w:eastAsia="en-GB" w:bidi="en-GB"/>
      </w:rPr>
    </w:lvl>
    <w:lvl w:ilvl="5" w:tplc="40BA81C6">
      <w:numFmt w:val="bullet"/>
      <w:lvlText w:val="•"/>
      <w:lvlJc w:val="left"/>
      <w:pPr>
        <w:ind w:left="787" w:hanging="217"/>
      </w:pPr>
      <w:rPr>
        <w:rFonts w:hint="default"/>
        <w:lang w:val="en-GB" w:eastAsia="en-GB" w:bidi="en-GB"/>
      </w:rPr>
    </w:lvl>
    <w:lvl w:ilvl="6" w:tplc="FD2C3B24">
      <w:numFmt w:val="bullet"/>
      <w:lvlText w:val="•"/>
      <w:lvlJc w:val="left"/>
      <w:pPr>
        <w:ind w:left="888" w:hanging="217"/>
      </w:pPr>
      <w:rPr>
        <w:rFonts w:hint="default"/>
        <w:lang w:val="en-GB" w:eastAsia="en-GB" w:bidi="en-GB"/>
      </w:rPr>
    </w:lvl>
    <w:lvl w:ilvl="7" w:tplc="2CBC9E9A">
      <w:numFmt w:val="bullet"/>
      <w:lvlText w:val="•"/>
      <w:lvlJc w:val="left"/>
      <w:pPr>
        <w:ind w:left="989" w:hanging="217"/>
      </w:pPr>
      <w:rPr>
        <w:rFonts w:hint="default"/>
        <w:lang w:val="en-GB" w:eastAsia="en-GB" w:bidi="en-GB"/>
      </w:rPr>
    </w:lvl>
    <w:lvl w:ilvl="8" w:tplc="03C4B5E4">
      <w:numFmt w:val="bullet"/>
      <w:lvlText w:val="•"/>
      <w:lvlJc w:val="left"/>
      <w:pPr>
        <w:ind w:left="1091" w:hanging="217"/>
      </w:pPr>
      <w:rPr>
        <w:rFonts w:hint="default"/>
        <w:lang w:val="en-GB" w:eastAsia="en-GB" w:bidi="en-GB"/>
      </w:rPr>
    </w:lvl>
  </w:abstractNum>
  <w:abstractNum w:abstractNumId="636" w15:restartNumberingAfterBreak="0">
    <w:nsid w:val="3B655681"/>
    <w:multiLevelType w:val="hybridMultilevel"/>
    <w:tmpl w:val="B472E94E"/>
    <w:lvl w:ilvl="0" w:tplc="0F9C52D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E94007C">
      <w:numFmt w:val="bullet"/>
      <w:lvlText w:val="•"/>
      <w:lvlJc w:val="left"/>
      <w:pPr>
        <w:ind w:left="473" w:hanging="217"/>
      </w:pPr>
      <w:rPr>
        <w:rFonts w:hint="default"/>
        <w:lang w:val="en-GB" w:eastAsia="en-GB" w:bidi="en-GB"/>
      </w:rPr>
    </w:lvl>
    <w:lvl w:ilvl="2" w:tplc="EBD04182">
      <w:numFmt w:val="bullet"/>
      <w:lvlText w:val="•"/>
      <w:lvlJc w:val="left"/>
      <w:pPr>
        <w:ind w:left="646" w:hanging="217"/>
      </w:pPr>
      <w:rPr>
        <w:rFonts w:hint="default"/>
        <w:lang w:val="en-GB" w:eastAsia="en-GB" w:bidi="en-GB"/>
      </w:rPr>
    </w:lvl>
    <w:lvl w:ilvl="3" w:tplc="84424EA0">
      <w:numFmt w:val="bullet"/>
      <w:lvlText w:val="•"/>
      <w:lvlJc w:val="left"/>
      <w:pPr>
        <w:ind w:left="819" w:hanging="217"/>
      </w:pPr>
      <w:rPr>
        <w:rFonts w:hint="default"/>
        <w:lang w:val="en-GB" w:eastAsia="en-GB" w:bidi="en-GB"/>
      </w:rPr>
    </w:lvl>
    <w:lvl w:ilvl="4" w:tplc="B56A268E">
      <w:numFmt w:val="bullet"/>
      <w:lvlText w:val="•"/>
      <w:lvlJc w:val="left"/>
      <w:pPr>
        <w:ind w:left="992" w:hanging="217"/>
      </w:pPr>
      <w:rPr>
        <w:rFonts w:hint="default"/>
        <w:lang w:val="en-GB" w:eastAsia="en-GB" w:bidi="en-GB"/>
      </w:rPr>
    </w:lvl>
    <w:lvl w:ilvl="5" w:tplc="7B44430A">
      <w:numFmt w:val="bullet"/>
      <w:lvlText w:val="•"/>
      <w:lvlJc w:val="left"/>
      <w:pPr>
        <w:ind w:left="1165" w:hanging="217"/>
      </w:pPr>
      <w:rPr>
        <w:rFonts w:hint="default"/>
        <w:lang w:val="en-GB" w:eastAsia="en-GB" w:bidi="en-GB"/>
      </w:rPr>
    </w:lvl>
    <w:lvl w:ilvl="6" w:tplc="48DC98F2">
      <w:numFmt w:val="bullet"/>
      <w:lvlText w:val="•"/>
      <w:lvlJc w:val="left"/>
      <w:pPr>
        <w:ind w:left="1338" w:hanging="217"/>
      </w:pPr>
      <w:rPr>
        <w:rFonts w:hint="default"/>
        <w:lang w:val="en-GB" w:eastAsia="en-GB" w:bidi="en-GB"/>
      </w:rPr>
    </w:lvl>
    <w:lvl w:ilvl="7" w:tplc="06346614">
      <w:numFmt w:val="bullet"/>
      <w:lvlText w:val="•"/>
      <w:lvlJc w:val="left"/>
      <w:pPr>
        <w:ind w:left="1511" w:hanging="217"/>
      </w:pPr>
      <w:rPr>
        <w:rFonts w:hint="default"/>
        <w:lang w:val="en-GB" w:eastAsia="en-GB" w:bidi="en-GB"/>
      </w:rPr>
    </w:lvl>
    <w:lvl w:ilvl="8" w:tplc="93C46A7C">
      <w:numFmt w:val="bullet"/>
      <w:lvlText w:val="•"/>
      <w:lvlJc w:val="left"/>
      <w:pPr>
        <w:ind w:left="1684" w:hanging="217"/>
      </w:pPr>
      <w:rPr>
        <w:rFonts w:hint="default"/>
        <w:lang w:val="en-GB" w:eastAsia="en-GB" w:bidi="en-GB"/>
      </w:rPr>
    </w:lvl>
  </w:abstractNum>
  <w:abstractNum w:abstractNumId="637" w15:restartNumberingAfterBreak="0">
    <w:nsid w:val="3B667251"/>
    <w:multiLevelType w:val="hybridMultilevel"/>
    <w:tmpl w:val="AE80D86A"/>
    <w:lvl w:ilvl="0" w:tplc="192893C0">
      <w:numFmt w:val="bullet"/>
      <w:lvlText w:val="•"/>
      <w:lvlJc w:val="left"/>
      <w:pPr>
        <w:ind w:left="276" w:hanging="217"/>
      </w:pPr>
      <w:rPr>
        <w:rFonts w:ascii="Arial" w:eastAsia="Arial" w:hAnsi="Arial" w:cs="Arial" w:hint="default"/>
        <w:color w:val="231F20"/>
        <w:w w:val="97"/>
        <w:sz w:val="16"/>
        <w:szCs w:val="16"/>
        <w:lang w:val="en-GB" w:eastAsia="en-GB" w:bidi="en-GB"/>
      </w:rPr>
    </w:lvl>
    <w:lvl w:ilvl="1" w:tplc="B926756E">
      <w:numFmt w:val="bullet"/>
      <w:lvlText w:val="•"/>
      <w:lvlJc w:val="left"/>
      <w:pPr>
        <w:ind w:left="381" w:hanging="217"/>
      </w:pPr>
      <w:rPr>
        <w:rFonts w:hint="default"/>
        <w:lang w:val="en-GB" w:eastAsia="en-GB" w:bidi="en-GB"/>
      </w:rPr>
    </w:lvl>
    <w:lvl w:ilvl="2" w:tplc="784675F2">
      <w:numFmt w:val="bullet"/>
      <w:lvlText w:val="•"/>
      <w:lvlJc w:val="left"/>
      <w:pPr>
        <w:ind w:left="482" w:hanging="217"/>
      </w:pPr>
      <w:rPr>
        <w:rFonts w:hint="default"/>
        <w:lang w:val="en-GB" w:eastAsia="en-GB" w:bidi="en-GB"/>
      </w:rPr>
    </w:lvl>
    <w:lvl w:ilvl="3" w:tplc="699297FC">
      <w:numFmt w:val="bullet"/>
      <w:lvlText w:val="•"/>
      <w:lvlJc w:val="left"/>
      <w:pPr>
        <w:ind w:left="584" w:hanging="217"/>
      </w:pPr>
      <w:rPr>
        <w:rFonts w:hint="default"/>
        <w:lang w:val="en-GB" w:eastAsia="en-GB" w:bidi="en-GB"/>
      </w:rPr>
    </w:lvl>
    <w:lvl w:ilvl="4" w:tplc="29F4036C">
      <w:numFmt w:val="bullet"/>
      <w:lvlText w:val="•"/>
      <w:lvlJc w:val="left"/>
      <w:pPr>
        <w:ind w:left="685" w:hanging="217"/>
      </w:pPr>
      <w:rPr>
        <w:rFonts w:hint="default"/>
        <w:lang w:val="en-GB" w:eastAsia="en-GB" w:bidi="en-GB"/>
      </w:rPr>
    </w:lvl>
    <w:lvl w:ilvl="5" w:tplc="98EAD55E">
      <w:numFmt w:val="bullet"/>
      <w:lvlText w:val="•"/>
      <w:lvlJc w:val="left"/>
      <w:pPr>
        <w:ind w:left="787" w:hanging="217"/>
      </w:pPr>
      <w:rPr>
        <w:rFonts w:hint="default"/>
        <w:lang w:val="en-GB" w:eastAsia="en-GB" w:bidi="en-GB"/>
      </w:rPr>
    </w:lvl>
    <w:lvl w:ilvl="6" w:tplc="287EE9FA">
      <w:numFmt w:val="bullet"/>
      <w:lvlText w:val="•"/>
      <w:lvlJc w:val="left"/>
      <w:pPr>
        <w:ind w:left="888" w:hanging="217"/>
      </w:pPr>
      <w:rPr>
        <w:rFonts w:hint="default"/>
        <w:lang w:val="en-GB" w:eastAsia="en-GB" w:bidi="en-GB"/>
      </w:rPr>
    </w:lvl>
    <w:lvl w:ilvl="7" w:tplc="BB00631E">
      <w:numFmt w:val="bullet"/>
      <w:lvlText w:val="•"/>
      <w:lvlJc w:val="left"/>
      <w:pPr>
        <w:ind w:left="989" w:hanging="217"/>
      </w:pPr>
      <w:rPr>
        <w:rFonts w:hint="default"/>
        <w:lang w:val="en-GB" w:eastAsia="en-GB" w:bidi="en-GB"/>
      </w:rPr>
    </w:lvl>
    <w:lvl w:ilvl="8" w:tplc="121C2174">
      <w:numFmt w:val="bullet"/>
      <w:lvlText w:val="•"/>
      <w:lvlJc w:val="left"/>
      <w:pPr>
        <w:ind w:left="1091" w:hanging="217"/>
      </w:pPr>
      <w:rPr>
        <w:rFonts w:hint="default"/>
        <w:lang w:val="en-GB" w:eastAsia="en-GB" w:bidi="en-GB"/>
      </w:rPr>
    </w:lvl>
  </w:abstractNum>
  <w:abstractNum w:abstractNumId="638" w15:restartNumberingAfterBreak="0">
    <w:nsid w:val="3B94627F"/>
    <w:multiLevelType w:val="hybridMultilevel"/>
    <w:tmpl w:val="D8A0F64C"/>
    <w:lvl w:ilvl="0" w:tplc="83A4B49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7EEAE7E">
      <w:numFmt w:val="bullet"/>
      <w:lvlText w:val="•"/>
      <w:lvlJc w:val="left"/>
      <w:pPr>
        <w:ind w:left="892" w:hanging="217"/>
      </w:pPr>
      <w:rPr>
        <w:rFonts w:hint="default"/>
        <w:lang w:val="en-GB" w:eastAsia="en-GB" w:bidi="en-GB"/>
      </w:rPr>
    </w:lvl>
    <w:lvl w:ilvl="2" w:tplc="935CB4DA">
      <w:numFmt w:val="bullet"/>
      <w:lvlText w:val="•"/>
      <w:lvlJc w:val="left"/>
      <w:pPr>
        <w:ind w:left="1485" w:hanging="217"/>
      </w:pPr>
      <w:rPr>
        <w:rFonts w:hint="default"/>
        <w:lang w:val="en-GB" w:eastAsia="en-GB" w:bidi="en-GB"/>
      </w:rPr>
    </w:lvl>
    <w:lvl w:ilvl="3" w:tplc="7CCCFD44">
      <w:numFmt w:val="bullet"/>
      <w:lvlText w:val="•"/>
      <w:lvlJc w:val="left"/>
      <w:pPr>
        <w:ind w:left="2077" w:hanging="217"/>
      </w:pPr>
      <w:rPr>
        <w:rFonts w:hint="default"/>
        <w:lang w:val="en-GB" w:eastAsia="en-GB" w:bidi="en-GB"/>
      </w:rPr>
    </w:lvl>
    <w:lvl w:ilvl="4" w:tplc="DD3A82B8">
      <w:numFmt w:val="bullet"/>
      <w:lvlText w:val="•"/>
      <w:lvlJc w:val="left"/>
      <w:pPr>
        <w:ind w:left="2670" w:hanging="217"/>
      </w:pPr>
      <w:rPr>
        <w:rFonts w:hint="default"/>
        <w:lang w:val="en-GB" w:eastAsia="en-GB" w:bidi="en-GB"/>
      </w:rPr>
    </w:lvl>
    <w:lvl w:ilvl="5" w:tplc="5C3618BC">
      <w:numFmt w:val="bullet"/>
      <w:lvlText w:val="•"/>
      <w:lvlJc w:val="left"/>
      <w:pPr>
        <w:ind w:left="3263" w:hanging="217"/>
      </w:pPr>
      <w:rPr>
        <w:rFonts w:hint="default"/>
        <w:lang w:val="en-GB" w:eastAsia="en-GB" w:bidi="en-GB"/>
      </w:rPr>
    </w:lvl>
    <w:lvl w:ilvl="6" w:tplc="2DCE80D4">
      <w:numFmt w:val="bullet"/>
      <w:lvlText w:val="•"/>
      <w:lvlJc w:val="left"/>
      <w:pPr>
        <w:ind w:left="3855" w:hanging="217"/>
      </w:pPr>
      <w:rPr>
        <w:rFonts w:hint="default"/>
        <w:lang w:val="en-GB" w:eastAsia="en-GB" w:bidi="en-GB"/>
      </w:rPr>
    </w:lvl>
    <w:lvl w:ilvl="7" w:tplc="A67EDD30">
      <w:numFmt w:val="bullet"/>
      <w:lvlText w:val="•"/>
      <w:lvlJc w:val="left"/>
      <w:pPr>
        <w:ind w:left="4448" w:hanging="217"/>
      </w:pPr>
      <w:rPr>
        <w:rFonts w:hint="default"/>
        <w:lang w:val="en-GB" w:eastAsia="en-GB" w:bidi="en-GB"/>
      </w:rPr>
    </w:lvl>
    <w:lvl w:ilvl="8" w:tplc="332C73AC">
      <w:numFmt w:val="bullet"/>
      <w:lvlText w:val="•"/>
      <w:lvlJc w:val="left"/>
      <w:pPr>
        <w:ind w:left="5040" w:hanging="217"/>
      </w:pPr>
      <w:rPr>
        <w:rFonts w:hint="default"/>
        <w:lang w:val="en-GB" w:eastAsia="en-GB" w:bidi="en-GB"/>
      </w:rPr>
    </w:lvl>
  </w:abstractNum>
  <w:abstractNum w:abstractNumId="639" w15:restartNumberingAfterBreak="0">
    <w:nsid w:val="3BA31AAD"/>
    <w:multiLevelType w:val="hybridMultilevel"/>
    <w:tmpl w:val="1B3C559A"/>
    <w:lvl w:ilvl="0" w:tplc="7BD4DCA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CE43F36">
      <w:numFmt w:val="bullet"/>
      <w:lvlText w:val="•"/>
      <w:lvlJc w:val="left"/>
      <w:pPr>
        <w:ind w:left="439" w:hanging="217"/>
      </w:pPr>
      <w:rPr>
        <w:rFonts w:hint="default"/>
        <w:lang w:val="en-GB" w:eastAsia="en-GB" w:bidi="en-GB"/>
      </w:rPr>
    </w:lvl>
    <w:lvl w:ilvl="2" w:tplc="79124DF6">
      <w:numFmt w:val="bullet"/>
      <w:lvlText w:val="•"/>
      <w:lvlJc w:val="left"/>
      <w:pPr>
        <w:ind w:left="578" w:hanging="217"/>
      </w:pPr>
      <w:rPr>
        <w:rFonts w:hint="default"/>
        <w:lang w:val="en-GB" w:eastAsia="en-GB" w:bidi="en-GB"/>
      </w:rPr>
    </w:lvl>
    <w:lvl w:ilvl="3" w:tplc="476C7588">
      <w:numFmt w:val="bullet"/>
      <w:lvlText w:val="•"/>
      <w:lvlJc w:val="left"/>
      <w:pPr>
        <w:ind w:left="717" w:hanging="217"/>
      </w:pPr>
      <w:rPr>
        <w:rFonts w:hint="default"/>
        <w:lang w:val="en-GB" w:eastAsia="en-GB" w:bidi="en-GB"/>
      </w:rPr>
    </w:lvl>
    <w:lvl w:ilvl="4" w:tplc="4448D9A8">
      <w:numFmt w:val="bullet"/>
      <w:lvlText w:val="•"/>
      <w:lvlJc w:val="left"/>
      <w:pPr>
        <w:ind w:left="856" w:hanging="217"/>
      </w:pPr>
      <w:rPr>
        <w:rFonts w:hint="default"/>
        <w:lang w:val="en-GB" w:eastAsia="en-GB" w:bidi="en-GB"/>
      </w:rPr>
    </w:lvl>
    <w:lvl w:ilvl="5" w:tplc="B64E5F56">
      <w:numFmt w:val="bullet"/>
      <w:lvlText w:val="•"/>
      <w:lvlJc w:val="left"/>
      <w:pPr>
        <w:ind w:left="995" w:hanging="217"/>
      </w:pPr>
      <w:rPr>
        <w:rFonts w:hint="default"/>
        <w:lang w:val="en-GB" w:eastAsia="en-GB" w:bidi="en-GB"/>
      </w:rPr>
    </w:lvl>
    <w:lvl w:ilvl="6" w:tplc="F2287CC0">
      <w:numFmt w:val="bullet"/>
      <w:lvlText w:val="•"/>
      <w:lvlJc w:val="left"/>
      <w:pPr>
        <w:ind w:left="1134" w:hanging="217"/>
      </w:pPr>
      <w:rPr>
        <w:rFonts w:hint="default"/>
        <w:lang w:val="en-GB" w:eastAsia="en-GB" w:bidi="en-GB"/>
      </w:rPr>
    </w:lvl>
    <w:lvl w:ilvl="7" w:tplc="6AAA5DF2">
      <w:numFmt w:val="bullet"/>
      <w:lvlText w:val="•"/>
      <w:lvlJc w:val="left"/>
      <w:pPr>
        <w:ind w:left="1273" w:hanging="217"/>
      </w:pPr>
      <w:rPr>
        <w:rFonts w:hint="default"/>
        <w:lang w:val="en-GB" w:eastAsia="en-GB" w:bidi="en-GB"/>
      </w:rPr>
    </w:lvl>
    <w:lvl w:ilvl="8" w:tplc="8E5E5568">
      <w:numFmt w:val="bullet"/>
      <w:lvlText w:val="•"/>
      <w:lvlJc w:val="left"/>
      <w:pPr>
        <w:ind w:left="1412" w:hanging="217"/>
      </w:pPr>
      <w:rPr>
        <w:rFonts w:hint="default"/>
        <w:lang w:val="en-GB" w:eastAsia="en-GB" w:bidi="en-GB"/>
      </w:rPr>
    </w:lvl>
  </w:abstractNum>
  <w:abstractNum w:abstractNumId="640" w15:restartNumberingAfterBreak="0">
    <w:nsid w:val="3BB25AD2"/>
    <w:multiLevelType w:val="hybridMultilevel"/>
    <w:tmpl w:val="FF8C58FE"/>
    <w:lvl w:ilvl="0" w:tplc="748EEFF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6BC01324">
      <w:numFmt w:val="bullet"/>
      <w:lvlText w:val="•"/>
      <w:lvlJc w:val="left"/>
      <w:pPr>
        <w:ind w:left="473" w:hanging="217"/>
      </w:pPr>
      <w:rPr>
        <w:rFonts w:hint="default"/>
        <w:lang w:val="en-GB" w:eastAsia="en-GB" w:bidi="en-GB"/>
      </w:rPr>
    </w:lvl>
    <w:lvl w:ilvl="2" w:tplc="91B2C6CE">
      <w:numFmt w:val="bullet"/>
      <w:lvlText w:val="•"/>
      <w:lvlJc w:val="left"/>
      <w:pPr>
        <w:ind w:left="646" w:hanging="217"/>
      </w:pPr>
      <w:rPr>
        <w:rFonts w:hint="default"/>
        <w:lang w:val="en-GB" w:eastAsia="en-GB" w:bidi="en-GB"/>
      </w:rPr>
    </w:lvl>
    <w:lvl w:ilvl="3" w:tplc="701AF372">
      <w:numFmt w:val="bullet"/>
      <w:lvlText w:val="•"/>
      <w:lvlJc w:val="left"/>
      <w:pPr>
        <w:ind w:left="819" w:hanging="217"/>
      </w:pPr>
      <w:rPr>
        <w:rFonts w:hint="default"/>
        <w:lang w:val="en-GB" w:eastAsia="en-GB" w:bidi="en-GB"/>
      </w:rPr>
    </w:lvl>
    <w:lvl w:ilvl="4" w:tplc="DFD2FB78">
      <w:numFmt w:val="bullet"/>
      <w:lvlText w:val="•"/>
      <w:lvlJc w:val="left"/>
      <w:pPr>
        <w:ind w:left="992" w:hanging="217"/>
      </w:pPr>
      <w:rPr>
        <w:rFonts w:hint="default"/>
        <w:lang w:val="en-GB" w:eastAsia="en-GB" w:bidi="en-GB"/>
      </w:rPr>
    </w:lvl>
    <w:lvl w:ilvl="5" w:tplc="DB4219BA">
      <w:numFmt w:val="bullet"/>
      <w:lvlText w:val="•"/>
      <w:lvlJc w:val="left"/>
      <w:pPr>
        <w:ind w:left="1165" w:hanging="217"/>
      </w:pPr>
      <w:rPr>
        <w:rFonts w:hint="default"/>
        <w:lang w:val="en-GB" w:eastAsia="en-GB" w:bidi="en-GB"/>
      </w:rPr>
    </w:lvl>
    <w:lvl w:ilvl="6" w:tplc="5DA61FD6">
      <w:numFmt w:val="bullet"/>
      <w:lvlText w:val="•"/>
      <w:lvlJc w:val="left"/>
      <w:pPr>
        <w:ind w:left="1338" w:hanging="217"/>
      </w:pPr>
      <w:rPr>
        <w:rFonts w:hint="default"/>
        <w:lang w:val="en-GB" w:eastAsia="en-GB" w:bidi="en-GB"/>
      </w:rPr>
    </w:lvl>
    <w:lvl w:ilvl="7" w:tplc="DAEE6B00">
      <w:numFmt w:val="bullet"/>
      <w:lvlText w:val="•"/>
      <w:lvlJc w:val="left"/>
      <w:pPr>
        <w:ind w:left="1511" w:hanging="217"/>
      </w:pPr>
      <w:rPr>
        <w:rFonts w:hint="default"/>
        <w:lang w:val="en-GB" w:eastAsia="en-GB" w:bidi="en-GB"/>
      </w:rPr>
    </w:lvl>
    <w:lvl w:ilvl="8" w:tplc="70CEF768">
      <w:numFmt w:val="bullet"/>
      <w:lvlText w:val="•"/>
      <w:lvlJc w:val="left"/>
      <w:pPr>
        <w:ind w:left="1684" w:hanging="217"/>
      </w:pPr>
      <w:rPr>
        <w:rFonts w:hint="default"/>
        <w:lang w:val="en-GB" w:eastAsia="en-GB" w:bidi="en-GB"/>
      </w:rPr>
    </w:lvl>
  </w:abstractNum>
  <w:abstractNum w:abstractNumId="641" w15:restartNumberingAfterBreak="0">
    <w:nsid w:val="3BB6687D"/>
    <w:multiLevelType w:val="hybridMultilevel"/>
    <w:tmpl w:val="AB381642"/>
    <w:lvl w:ilvl="0" w:tplc="255C8C80">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7D50EF3A">
      <w:numFmt w:val="bullet"/>
      <w:lvlText w:val="•"/>
      <w:lvlJc w:val="left"/>
      <w:pPr>
        <w:ind w:left="544" w:hanging="217"/>
      </w:pPr>
      <w:rPr>
        <w:rFonts w:hint="default"/>
        <w:lang w:val="en-GB" w:eastAsia="en-GB" w:bidi="en-GB"/>
      </w:rPr>
    </w:lvl>
    <w:lvl w:ilvl="2" w:tplc="4314E2BA">
      <w:numFmt w:val="bullet"/>
      <w:lvlText w:val="•"/>
      <w:lvlJc w:val="left"/>
      <w:pPr>
        <w:ind w:left="788" w:hanging="217"/>
      </w:pPr>
      <w:rPr>
        <w:rFonts w:hint="default"/>
        <w:lang w:val="en-GB" w:eastAsia="en-GB" w:bidi="en-GB"/>
      </w:rPr>
    </w:lvl>
    <w:lvl w:ilvl="3" w:tplc="BBF0806A">
      <w:numFmt w:val="bullet"/>
      <w:lvlText w:val="•"/>
      <w:lvlJc w:val="left"/>
      <w:pPr>
        <w:ind w:left="1032" w:hanging="217"/>
      </w:pPr>
      <w:rPr>
        <w:rFonts w:hint="default"/>
        <w:lang w:val="en-GB" w:eastAsia="en-GB" w:bidi="en-GB"/>
      </w:rPr>
    </w:lvl>
    <w:lvl w:ilvl="4" w:tplc="0916D87A">
      <w:numFmt w:val="bullet"/>
      <w:lvlText w:val="•"/>
      <w:lvlJc w:val="left"/>
      <w:pPr>
        <w:ind w:left="1276" w:hanging="217"/>
      </w:pPr>
      <w:rPr>
        <w:rFonts w:hint="default"/>
        <w:lang w:val="en-GB" w:eastAsia="en-GB" w:bidi="en-GB"/>
      </w:rPr>
    </w:lvl>
    <w:lvl w:ilvl="5" w:tplc="51E2A4EE">
      <w:numFmt w:val="bullet"/>
      <w:lvlText w:val="•"/>
      <w:lvlJc w:val="left"/>
      <w:pPr>
        <w:ind w:left="1520" w:hanging="217"/>
      </w:pPr>
      <w:rPr>
        <w:rFonts w:hint="default"/>
        <w:lang w:val="en-GB" w:eastAsia="en-GB" w:bidi="en-GB"/>
      </w:rPr>
    </w:lvl>
    <w:lvl w:ilvl="6" w:tplc="E454F6B0">
      <w:numFmt w:val="bullet"/>
      <w:lvlText w:val="•"/>
      <w:lvlJc w:val="left"/>
      <w:pPr>
        <w:ind w:left="1764" w:hanging="217"/>
      </w:pPr>
      <w:rPr>
        <w:rFonts w:hint="default"/>
        <w:lang w:val="en-GB" w:eastAsia="en-GB" w:bidi="en-GB"/>
      </w:rPr>
    </w:lvl>
    <w:lvl w:ilvl="7" w:tplc="5110541A">
      <w:numFmt w:val="bullet"/>
      <w:lvlText w:val="•"/>
      <w:lvlJc w:val="left"/>
      <w:pPr>
        <w:ind w:left="2008" w:hanging="217"/>
      </w:pPr>
      <w:rPr>
        <w:rFonts w:hint="default"/>
        <w:lang w:val="en-GB" w:eastAsia="en-GB" w:bidi="en-GB"/>
      </w:rPr>
    </w:lvl>
    <w:lvl w:ilvl="8" w:tplc="D8BC2E96">
      <w:numFmt w:val="bullet"/>
      <w:lvlText w:val="•"/>
      <w:lvlJc w:val="left"/>
      <w:pPr>
        <w:ind w:left="2252" w:hanging="217"/>
      </w:pPr>
      <w:rPr>
        <w:rFonts w:hint="default"/>
        <w:lang w:val="en-GB" w:eastAsia="en-GB" w:bidi="en-GB"/>
      </w:rPr>
    </w:lvl>
  </w:abstractNum>
  <w:abstractNum w:abstractNumId="642" w15:restartNumberingAfterBreak="0">
    <w:nsid w:val="3BD237E7"/>
    <w:multiLevelType w:val="hybridMultilevel"/>
    <w:tmpl w:val="CEF40236"/>
    <w:lvl w:ilvl="0" w:tplc="23083E68">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7FDCA94C">
      <w:numFmt w:val="bullet"/>
      <w:lvlText w:val="•"/>
      <w:lvlJc w:val="left"/>
      <w:pPr>
        <w:ind w:left="541" w:hanging="217"/>
      </w:pPr>
      <w:rPr>
        <w:rFonts w:hint="default"/>
        <w:lang w:val="en-GB" w:eastAsia="en-GB" w:bidi="en-GB"/>
      </w:rPr>
    </w:lvl>
    <w:lvl w:ilvl="2" w:tplc="4822CCF0">
      <w:numFmt w:val="bullet"/>
      <w:lvlText w:val="•"/>
      <w:lvlJc w:val="left"/>
      <w:pPr>
        <w:ind w:left="782" w:hanging="217"/>
      </w:pPr>
      <w:rPr>
        <w:rFonts w:hint="default"/>
        <w:lang w:val="en-GB" w:eastAsia="en-GB" w:bidi="en-GB"/>
      </w:rPr>
    </w:lvl>
    <w:lvl w:ilvl="3" w:tplc="B3CADE74">
      <w:numFmt w:val="bullet"/>
      <w:lvlText w:val="•"/>
      <w:lvlJc w:val="left"/>
      <w:pPr>
        <w:ind w:left="1023" w:hanging="217"/>
      </w:pPr>
      <w:rPr>
        <w:rFonts w:hint="default"/>
        <w:lang w:val="en-GB" w:eastAsia="en-GB" w:bidi="en-GB"/>
      </w:rPr>
    </w:lvl>
    <w:lvl w:ilvl="4" w:tplc="9686FF3E">
      <w:numFmt w:val="bullet"/>
      <w:lvlText w:val="•"/>
      <w:lvlJc w:val="left"/>
      <w:pPr>
        <w:ind w:left="1264" w:hanging="217"/>
      </w:pPr>
      <w:rPr>
        <w:rFonts w:hint="default"/>
        <w:lang w:val="en-GB" w:eastAsia="en-GB" w:bidi="en-GB"/>
      </w:rPr>
    </w:lvl>
    <w:lvl w:ilvl="5" w:tplc="AB1C05FC">
      <w:numFmt w:val="bullet"/>
      <w:lvlText w:val="•"/>
      <w:lvlJc w:val="left"/>
      <w:pPr>
        <w:ind w:left="1505" w:hanging="217"/>
      </w:pPr>
      <w:rPr>
        <w:rFonts w:hint="default"/>
        <w:lang w:val="en-GB" w:eastAsia="en-GB" w:bidi="en-GB"/>
      </w:rPr>
    </w:lvl>
    <w:lvl w:ilvl="6" w:tplc="D83E3CD2">
      <w:numFmt w:val="bullet"/>
      <w:lvlText w:val="•"/>
      <w:lvlJc w:val="left"/>
      <w:pPr>
        <w:ind w:left="1746" w:hanging="217"/>
      </w:pPr>
      <w:rPr>
        <w:rFonts w:hint="default"/>
        <w:lang w:val="en-GB" w:eastAsia="en-GB" w:bidi="en-GB"/>
      </w:rPr>
    </w:lvl>
    <w:lvl w:ilvl="7" w:tplc="C4F2FF84">
      <w:numFmt w:val="bullet"/>
      <w:lvlText w:val="•"/>
      <w:lvlJc w:val="left"/>
      <w:pPr>
        <w:ind w:left="1987" w:hanging="217"/>
      </w:pPr>
      <w:rPr>
        <w:rFonts w:hint="default"/>
        <w:lang w:val="en-GB" w:eastAsia="en-GB" w:bidi="en-GB"/>
      </w:rPr>
    </w:lvl>
    <w:lvl w:ilvl="8" w:tplc="F5E85AF6">
      <w:numFmt w:val="bullet"/>
      <w:lvlText w:val="•"/>
      <w:lvlJc w:val="left"/>
      <w:pPr>
        <w:ind w:left="2228" w:hanging="217"/>
      </w:pPr>
      <w:rPr>
        <w:rFonts w:hint="default"/>
        <w:lang w:val="en-GB" w:eastAsia="en-GB" w:bidi="en-GB"/>
      </w:rPr>
    </w:lvl>
  </w:abstractNum>
  <w:abstractNum w:abstractNumId="643" w15:restartNumberingAfterBreak="0">
    <w:nsid w:val="3BD46DF6"/>
    <w:multiLevelType w:val="hybridMultilevel"/>
    <w:tmpl w:val="9F90F994"/>
    <w:lvl w:ilvl="0" w:tplc="622E0AA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C182464">
      <w:numFmt w:val="bullet"/>
      <w:lvlText w:val="•"/>
      <w:lvlJc w:val="left"/>
      <w:pPr>
        <w:ind w:left="473" w:hanging="217"/>
      </w:pPr>
      <w:rPr>
        <w:rFonts w:hint="default"/>
        <w:lang w:val="en-GB" w:eastAsia="en-GB" w:bidi="en-GB"/>
      </w:rPr>
    </w:lvl>
    <w:lvl w:ilvl="2" w:tplc="813E9E36">
      <w:numFmt w:val="bullet"/>
      <w:lvlText w:val="•"/>
      <w:lvlJc w:val="left"/>
      <w:pPr>
        <w:ind w:left="646" w:hanging="217"/>
      </w:pPr>
      <w:rPr>
        <w:rFonts w:hint="default"/>
        <w:lang w:val="en-GB" w:eastAsia="en-GB" w:bidi="en-GB"/>
      </w:rPr>
    </w:lvl>
    <w:lvl w:ilvl="3" w:tplc="ECA647B0">
      <w:numFmt w:val="bullet"/>
      <w:lvlText w:val="•"/>
      <w:lvlJc w:val="left"/>
      <w:pPr>
        <w:ind w:left="819" w:hanging="217"/>
      </w:pPr>
      <w:rPr>
        <w:rFonts w:hint="default"/>
        <w:lang w:val="en-GB" w:eastAsia="en-GB" w:bidi="en-GB"/>
      </w:rPr>
    </w:lvl>
    <w:lvl w:ilvl="4" w:tplc="C2969FBC">
      <w:numFmt w:val="bullet"/>
      <w:lvlText w:val="•"/>
      <w:lvlJc w:val="left"/>
      <w:pPr>
        <w:ind w:left="992" w:hanging="217"/>
      </w:pPr>
      <w:rPr>
        <w:rFonts w:hint="default"/>
        <w:lang w:val="en-GB" w:eastAsia="en-GB" w:bidi="en-GB"/>
      </w:rPr>
    </w:lvl>
    <w:lvl w:ilvl="5" w:tplc="94A4F9F6">
      <w:numFmt w:val="bullet"/>
      <w:lvlText w:val="•"/>
      <w:lvlJc w:val="left"/>
      <w:pPr>
        <w:ind w:left="1165" w:hanging="217"/>
      </w:pPr>
      <w:rPr>
        <w:rFonts w:hint="default"/>
        <w:lang w:val="en-GB" w:eastAsia="en-GB" w:bidi="en-GB"/>
      </w:rPr>
    </w:lvl>
    <w:lvl w:ilvl="6" w:tplc="0D28371E">
      <w:numFmt w:val="bullet"/>
      <w:lvlText w:val="•"/>
      <w:lvlJc w:val="left"/>
      <w:pPr>
        <w:ind w:left="1338" w:hanging="217"/>
      </w:pPr>
      <w:rPr>
        <w:rFonts w:hint="default"/>
        <w:lang w:val="en-GB" w:eastAsia="en-GB" w:bidi="en-GB"/>
      </w:rPr>
    </w:lvl>
    <w:lvl w:ilvl="7" w:tplc="CF1C0A98">
      <w:numFmt w:val="bullet"/>
      <w:lvlText w:val="•"/>
      <w:lvlJc w:val="left"/>
      <w:pPr>
        <w:ind w:left="1511" w:hanging="217"/>
      </w:pPr>
      <w:rPr>
        <w:rFonts w:hint="default"/>
        <w:lang w:val="en-GB" w:eastAsia="en-GB" w:bidi="en-GB"/>
      </w:rPr>
    </w:lvl>
    <w:lvl w:ilvl="8" w:tplc="A4B64C62">
      <w:numFmt w:val="bullet"/>
      <w:lvlText w:val="•"/>
      <w:lvlJc w:val="left"/>
      <w:pPr>
        <w:ind w:left="1684" w:hanging="217"/>
      </w:pPr>
      <w:rPr>
        <w:rFonts w:hint="default"/>
        <w:lang w:val="en-GB" w:eastAsia="en-GB" w:bidi="en-GB"/>
      </w:rPr>
    </w:lvl>
  </w:abstractNum>
  <w:abstractNum w:abstractNumId="644" w15:restartNumberingAfterBreak="0">
    <w:nsid w:val="3BD811A4"/>
    <w:multiLevelType w:val="hybridMultilevel"/>
    <w:tmpl w:val="F91666A8"/>
    <w:lvl w:ilvl="0" w:tplc="B39C132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808622CE">
      <w:numFmt w:val="bullet"/>
      <w:lvlText w:val="•"/>
      <w:lvlJc w:val="left"/>
      <w:pPr>
        <w:ind w:left="892" w:hanging="217"/>
      </w:pPr>
      <w:rPr>
        <w:rFonts w:hint="default"/>
        <w:lang w:val="en-GB" w:eastAsia="en-GB" w:bidi="en-GB"/>
      </w:rPr>
    </w:lvl>
    <w:lvl w:ilvl="2" w:tplc="ABD23358">
      <w:numFmt w:val="bullet"/>
      <w:lvlText w:val="•"/>
      <w:lvlJc w:val="left"/>
      <w:pPr>
        <w:ind w:left="1485" w:hanging="217"/>
      </w:pPr>
      <w:rPr>
        <w:rFonts w:hint="default"/>
        <w:lang w:val="en-GB" w:eastAsia="en-GB" w:bidi="en-GB"/>
      </w:rPr>
    </w:lvl>
    <w:lvl w:ilvl="3" w:tplc="1E006102">
      <w:numFmt w:val="bullet"/>
      <w:lvlText w:val="•"/>
      <w:lvlJc w:val="left"/>
      <w:pPr>
        <w:ind w:left="2077" w:hanging="217"/>
      </w:pPr>
      <w:rPr>
        <w:rFonts w:hint="default"/>
        <w:lang w:val="en-GB" w:eastAsia="en-GB" w:bidi="en-GB"/>
      </w:rPr>
    </w:lvl>
    <w:lvl w:ilvl="4" w:tplc="053043F6">
      <w:numFmt w:val="bullet"/>
      <w:lvlText w:val="•"/>
      <w:lvlJc w:val="left"/>
      <w:pPr>
        <w:ind w:left="2670" w:hanging="217"/>
      </w:pPr>
      <w:rPr>
        <w:rFonts w:hint="default"/>
        <w:lang w:val="en-GB" w:eastAsia="en-GB" w:bidi="en-GB"/>
      </w:rPr>
    </w:lvl>
    <w:lvl w:ilvl="5" w:tplc="8E7A893A">
      <w:numFmt w:val="bullet"/>
      <w:lvlText w:val="•"/>
      <w:lvlJc w:val="left"/>
      <w:pPr>
        <w:ind w:left="3263" w:hanging="217"/>
      </w:pPr>
      <w:rPr>
        <w:rFonts w:hint="default"/>
        <w:lang w:val="en-GB" w:eastAsia="en-GB" w:bidi="en-GB"/>
      </w:rPr>
    </w:lvl>
    <w:lvl w:ilvl="6" w:tplc="093478EE">
      <w:numFmt w:val="bullet"/>
      <w:lvlText w:val="•"/>
      <w:lvlJc w:val="left"/>
      <w:pPr>
        <w:ind w:left="3855" w:hanging="217"/>
      </w:pPr>
      <w:rPr>
        <w:rFonts w:hint="default"/>
        <w:lang w:val="en-GB" w:eastAsia="en-GB" w:bidi="en-GB"/>
      </w:rPr>
    </w:lvl>
    <w:lvl w:ilvl="7" w:tplc="E700B202">
      <w:numFmt w:val="bullet"/>
      <w:lvlText w:val="•"/>
      <w:lvlJc w:val="left"/>
      <w:pPr>
        <w:ind w:left="4448" w:hanging="217"/>
      </w:pPr>
      <w:rPr>
        <w:rFonts w:hint="default"/>
        <w:lang w:val="en-GB" w:eastAsia="en-GB" w:bidi="en-GB"/>
      </w:rPr>
    </w:lvl>
    <w:lvl w:ilvl="8" w:tplc="A45E3976">
      <w:numFmt w:val="bullet"/>
      <w:lvlText w:val="•"/>
      <w:lvlJc w:val="left"/>
      <w:pPr>
        <w:ind w:left="5040" w:hanging="217"/>
      </w:pPr>
      <w:rPr>
        <w:rFonts w:hint="default"/>
        <w:lang w:val="en-GB" w:eastAsia="en-GB" w:bidi="en-GB"/>
      </w:rPr>
    </w:lvl>
  </w:abstractNum>
  <w:abstractNum w:abstractNumId="645" w15:restartNumberingAfterBreak="0">
    <w:nsid w:val="3BD87B34"/>
    <w:multiLevelType w:val="hybridMultilevel"/>
    <w:tmpl w:val="BBDEE7CE"/>
    <w:lvl w:ilvl="0" w:tplc="5C46740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A84AE16">
      <w:numFmt w:val="bullet"/>
      <w:lvlText w:val="•"/>
      <w:lvlJc w:val="left"/>
      <w:pPr>
        <w:ind w:left="892" w:hanging="217"/>
      </w:pPr>
      <w:rPr>
        <w:rFonts w:hint="default"/>
        <w:lang w:val="en-GB" w:eastAsia="en-GB" w:bidi="en-GB"/>
      </w:rPr>
    </w:lvl>
    <w:lvl w:ilvl="2" w:tplc="15D604F6">
      <w:numFmt w:val="bullet"/>
      <w:lvlText w:val="•"/>
      <w:lvlJc w:val="left"/>
      <w:pPr>
        <w:ind w:left="1485" w:hanging="217"/>
      </w:pPr>
      <w:rPr>
        <w:rFonts w:hint="default"/>
        <w:lang w:val="en-GB" w:eastAsia="en-GB" w:bidi="en-GB"/>
      </w:rPr>
    </w:lvl>
    <w:lvl w:ilvl="3" w:tplc="920427AE">
      <w:numFmt w:val="bullet"/>
      <w:lvlText w:val="•"/>
      <w:lvlJc w:val="left"/>
      <w:pPr>
        <w:ind w:left="2077" w:hanging="217"/>
      </w:pPr>
      <w:rPr>
        <w:rFonts w:hint="default"/>
        <w:lang w:val="en-GB" w:eastAsia="en-GB" w:bidi="en-GB"/>
      </w:rPr>
    </w:lvl>
    <w:lvl w:ilvl="4" w:tplc="B8541558">
      <w:numFmt w:val="bullet"/>
      <w:lvlText w:val="•"/>
      <w:lvlJc w:val="left"/>
      <w:pPr>
        <w:ind w:left="2670" w:hanging="217"/>
      </w:pPr>
      <w:rPr>
        <w:rFonts w:hint="default"/>
        <w:lang w:val="en-GB" w:eastAsia="en-GB" w:bidi="en-GB"/>
      </w:rPr>
    </w:lvl>
    <w:lvl w:ilvl="5" w:tplc="58866A9A">
      <w:numFmt w:val="bullet"/>
      <w:lvlText w:val="•"/>
      <w:lvlJc w:val="left"/>
      <w:pPr>
        <w:ind w:left="3263" w:hanging="217"/>
      </w:pPr>
      <w:rPr>
        <w:rFonts w:hint="default"/>
        <w:lang w:val="en-GB" w:eastAsia="en-GB" w:bidi="en-GB"/>
      </w:rPr>
    </w:lvl>
    <w:lvl w:ilvl="6" w:tplc="04CEC74C">
      <w:numFmt w:val="bullet"/>
      <w:lvlText w:val="•"/>
      <w:lvlJc w:val="left"/>
      <w:pPr>
        <w:ind w:left="3855" w:hanging="217"/>
      </w:pPr>
      <w:rPr>
        <w:rFonts w:hint="default"/>
        <w:lang w:val="en-GB" w:eastAsia="en-GB" w:bidi="en-GB"/>
      </w:rPr>
    </w:lvl>
    <w:lvl w:ilvl="7" w:tplc="263AF7DC">
      <w:numFmt w:val="bullet"/>
      <w:lvlText w:val="•"/>
      <w:lvlJc w:val="left"/>
      <w:pPr>
        <w:ind w:left="4448" w:hanging="217"/>
      </w:pPr>
      <w:rPr>
        <w:rFonts w:hint="default"/>
        <w:lang w:val="en-GB" w:eastAsia="en-GB" w:bidi="en-GB"/>
      </w:rPr>
    </w:lvl>
    <w:lvl w:ilvl="8" w:tplc="6FB8414A">
      <w:numFmt w:val="bullet"/>
      <w:lvlText w:val="•"/>
      <w:lvlJc w:val="left"/>
      <w:pPr>
        <w:ind w:left="5040" w:hanging="217"/>
      </w:pPr>
      <w:rPr>
        <w:rFonts w:hint="default"/>
        <w:lang w:val="en-GB" w:eastAsia="en-GB" w:bidi="en-GB"/>
      </w:rPr>
    </w:lvl>
  </w:abstractNum>
  <w:abstractNum w:abstractNumId="646" w15:restartNumberingAfterBreak="0">
    <w:nsid w:val="3BDD57E6"/>
    <w:multiLevelType w:val="hybridMultilevel"/>
    <w:tmpl w:val="BCD81FAC"/>
    <w:lvl w:ilvl="0" w:tplc="73BC98A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846688C">
      <w:numFmt w:val="bullet"/>
      <w:lvlText w:val="•"/>
      <w:lvlJc w:val="left"/>
      <w:pPr>
        <w:ind w:left="541" w:hanging="217"/>
      </w:pPr>
      <w:rPr>
        <w:rFonts w:hint="default"/>
        <w:lang w:val="en-GB" w:eastAsia="en-GB" w:bidi="en-GB"/>
      </w:rPr>
    </w:lvl>
    <w:lvl w:ilvl="2" w:tplc="33EA0B78">
      <w:numFmt w:val="bullet"/>
      <w:lvlText w:val="•"/>
      <w:lvlJc w:val="left"/>
      <w:pPr>
        <w:ind w:left="782" w:hanging="217"/>
      </w:pPr>
      <w:rPr>
        <w:rFonts w:hint="default"/>
        <w:lang w:val="en-GB" w:eastAsia="en-GB" w:bidi="en-GB"/>
      </w:rPr>
    </w:lvl>
    <w:lvl w:ilvl="3" w:tplc="4D38EA0C">
      <w:numFmt w:val="bullet"/>
      <w:lvlText w:val="•"/>
      <w:lvlJc w:val="left"/>
      <w:pPr>
        <w:ind w:left="1023" w:hanging="217"/>
      </w:pPr>
      <w:rPr>
        <w:rFonts w:hint="default"/>
        <w:lang w:val="en-GB" w:eastAsia="en-GB" w:bidi="en-GB"/>
      </w:rPr>
    </w:lvl>
    <w:lvl w:ilvl="4" w:tplc="68A2712A">
      <w:numFmt w:val="bullet"/>
      <w:lvlText w:val="•"/>
      <w:lvlJc w:val="left"/>
      <w:pPr>
        <w:ind w:left="1264" w:hanging="217"/>
      </w:pPr>
      <w:rPr>
        <w:rFonts w:hint="default"/>
        <w:lang w:val="en-GB" w:eastAsia="en-GB" w:bidi="en-GB"/>
      </w:rPr>
    </w:lvl>
    <w:lvl w:ilvl="5" w:tplc="D3E8F8E4">
      <w:numFmt w:val="bullet"/>
      <w:lvlText w:val="•"/>
      <w:lvlJc w:val="left"/>
      <w:pPr>
        <w:ind w:left="1505" w:hanging="217"/>
      </w:pPr>
      <w:rPr>
        <w:rFonts w:hint="default"/>
        <w:lang w:val="en-GB" w:eastAsia="en-GB" w:bidi="en-GB"/>
      </w:rPr>
    </w:lvl>
    <w:lvl w:ilvl="6" w:tplc="0F36EF68">
      <w:numFmt w:val="bullet"/>
      <w:lvlText w:val="•"/>
      <w:lvlJc w:val="left"/>
      <w:pPr>
        <w:ind w:left="1746" w:hanging="217"/>
      </w:pPr>
      <w:rPr>
        <w:rFonts w:hint="default"/>
        <w:lang w:val="en-GB" w:eastAsia="en-GB" w:bidi="en-GB"/>
      </w:rPr>
    </w:lvl>
    <w:lvl w:ilvl="7" w:tplc="FA4CB910">
      <w:numFmt w:val="bullet"/>
      <w:lvlText w:val="•"/>
      <w:lvlJc w:val="left"/>
      <w:pPr>
        <w:ind w:left="1987" w:hanging="217"/>
      </w:pPr>
      <w:rPr>
        <w:rFonts w:hint="default"/>
        <w:lang w:val="en-GB" w:eastAsia="en-GB" w:bidi="en-GB"/>
      </w:rPr>
    </w:lvl>
    <w:lvl w:ilvl="8" w:tplc="4DBCB96A">
      <w:numFmt w:val="bullet"/>
      <w:lvlText w:val="•"/>
      <w:lvlJc w:val="left"/>
      <w:pPr>
        <w:ind w:left="2228" w:hanging="217"/>
      </w:pPr>
      <w:rPr>
        <w:rFonts w:hint="default"/>
        <w:lang w:val="en-GB" w:eastAsia="en-GB" w:bidi="en-GB"/>
      </w:rPr>
    </w:lvl>
  </w:abstractNum>
  <w:abstractNum w:abstractNumId="647" w15:restartNumberingAfterBreak="0">
    <w:nsid w:val="3BEB6A8E"/>
    <w:multiLevelType w:val="hybridMultilevel"/>
    <w:tmpl w:val="198EABB4"/>
    <w:lvl w:ilvl="0" w:tplc="C904321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9BC36A4">
      <w:numFmt w:val="bullet"/>
      <w:lvlText w:val="•"/>
      <w:lvlJc w:val="left"/>
      <w:pPr>
        <w:ind w:left="439" w:hanging="217"/>
      </w:pPr>
      <w:rPr>
        <w:rFonts w:hint="default"/>
        <w:lang w:val="en-GB" w:eastAsia="en-GB" w:bidi="en-GB"/>
      </w:rPr>
    </w:lvl>
    <w:lvl w:ilvl="2" w:tplc="8D380610">
      <w:numFmt w:val="bullet"/>
      <w:lvlText w:val="•"/>
      <w:lvlJc w:val="left"/>
      <w:pPr>
        <w:ind w:left="578" w:hanging="217"/>
      </w:pPr>
      <w:rPr>
        <w:rFonts w:hint="default"/>
        <w:lang w:val="en-GB" w:eastAsia="en-GB" w:bidi="en-GB"/>
      </w:rPr>
    </w:lvl>
    <w:lvl w:ilvl="3" w:tplc="CF06BA9E">
      <w:numFmt w:val="bullet"/>
      <w:lvlText w:val="•"/>
      <w:lvlJc w:val="left"/>
      <w:pPr>
        <w:ind w:left="717" w:hanging="217"/>
      </w:pPr>
      <w:rPr>
        <w:rFonts w:hint="default"/>
        <w:lang w:val="en-GB" w:eastAsia="en-GB" w:bidi="en-GB"/>
      </w:rPr>
    </w:lvl>
    <w:lvl w:ilvl="4" w:tplc="CD82A8C4">
      <w:numFmt w:val="bullet"/>
      <w:lvlText w:val="•"/>
      <w:lvlJc w:val="left"/>
      <w:pPr>
        <w:ind w:left="856" w:hanging="217"/>
      </w:pPr>
      <w:rPr>
        <w:rFonts w:hint="default"/>
        <w:lang w:val="en-GB" w:eastAsia="en-GB" w:bidi="en-GB"/>
      </w:rPr>
    </w:lvl>
    <w:lvl w:ilvl="5" w:tplc="14B25A14">
      <w:numFmt w:val="bullet"/>
      <w:lvlText w:val="•"/>
      <w:lvlJc w:val="left"/>
      <w:pPr>
        <w:ind w:left="995" w:hanging="217"/>
      </w:pPr>
      <w:rPr>
        <w:rFonts w:hint="default"/>
        <w:lang w:val="en-GB" w:eastAsia="en-GB" w:bidi="en-GB"/>
      </w:rPr>
    </w:lvl>
    <w:lvl w:ilvl="6" w:tplc="1B025A90">
      <w:numFmt w:val="bullet"/>
      <w:lvlText w:val="•"/>
      <w:lvlJc w:val="left"/>
      <w:pPr>
        <w:ind w:left="1134" w:hanging="217"/>
      </w:pPr>
      <w:rPr>
        <w:rFonts w:hint="default"/>
        <w:lang w:val="en-GB" w:eastAsia="en-GB" w:bidi="en-GB"/>
      </w:rPr>
    </w:lvl>
    <w:lvl w:ilvl="7" w:tplc="D9681C40">
      <w:numFmt w:val="bullet"/>
      <w:lvlText w:val="•"/>
      <w:lvlJc w:val="left"/>
      <w:pPr>
        <w:ind w:left="1273" w:hanging="217"/>
      </w:pPr>
      <w:rPr>
        <w:rFonts w:hint="default"/>
        <w:lang w:val="en-GB" w:eastAsia="en-GB" w:bidi="en-GB"/>
      </w:rPr>
    </w:lvl>
    <w:lvl w:ilvl="8" w:tplc="2E502124">
      <w:numFmt w:val="bullet"/>
      <w:lvlText w:val="•"/>
      <w:lvlJc w:val="left"/>
      <w:pPr>
        <w:ind w:left="1412" w:hanging="217"/>
      </w:pPr>
      <w:rPr>
        <w:rFonts w:hint="default"/>
        <w:lang w:val="en-GB" w:eastAsia="en-GB" w:bidi="en-GB"/>
      </w:rPr>
    </w:lvl>
  </w:abstractNum>
  <w:abstractNum w:abstractNumId="648" w15:restartNumberingAfterBreak="0">
    <w:nsid w:val="3C0831F7"/>
    <w:multiLevelType w:val="hybridMultilevel"/>
    <w:tmpl w:val="1B88A8FC"/>
    <w:lvl w:ilvl="0" w:tplc="67EA173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D08D2C8">
      <w:numFmt w:val="bullet"/>
      <w:lvlText w:val="•"/>
      <w:lvlJc w:val="left"/>
      <w:pPr>
        <w:ind w:left="439" w:hanging="217"/>
      </w:pPr>
      <w:rPr>
        <w:rFonts w:hint="default"/>
        <w:lang w:val="en-GB" w:eastAsia="en-GB" w:bidi="en-GB"/>
      </w:rPr>
    </w:lvl>
    <w:lvl w:ilvl="2" w:tplc="C458E76E">
      <w:numFmt w:val="bullet"/>
      <w:lvlText w:val="•"/>
      <w:lvlJc w:val="left"/>
      <w:pPr>
        <w:ind w:left="578" w:hanging="217"/>
      </w:pPr>
      <w:rPr>
        <w:rFonts w:hint="default"/>
        <w:lang w:val="en-GB" w:eastAsia="en-GB" w:bidi="en-GB"/>
      </w:rPr>
    </w:lvl>
    <w:lvl w:ilvl="3" w:tplc="0F966ED8">
      <w:numFmt w:val="bullet"/>
      <w:lvlText w:val="•"/>
      <w:lvlJc w:val="left"/>
      <w:pPr>
        <w:ind w:left="717" w:hanging="217"/>
      </w:pPr>
      <w:rPr>
        <w:rFonts w:hint="default"/>
        <w:lang w:val="en-GB" w:eastAsia="en-GB" w:bidi="en-GB"/>
      </w:rPr>
    </w:lvl>
    <w:lvl w:ilvl="4" w:tplc="D1E28548">
      <w:numFmt w:val="bullet"/>
      <w:lvlText w:val="•"/>
      <w:lvlJc w:val="left"/>
      <w:pPr>
        <w:ind w:left="856" w:hanging="217"/>
      </w:pPr>
      <w:rPr>
        <w:rFonts w:hint="default"/>
        <w:lang w:val="en-GB" w:eastAsia="en-GB" w:bidi="en-GB"/>
      </w:rPr>
    </w:lvl>
    <w:lvl w:ilvl="5" w:tplc="94E0BE7C">
      <w:numFmt w:val="bullet"/>
      <w:lvlText w:val="•"/>
      <w:lvlJc w:val="left"/>
      <w:pPr>
        <w:ind w:left="995" w:hanging="217"/>
      </w:pPr>
      <w:rPr>
        <w:rFonts w:hint="default"/>
        <w:lang w:val="en-GB" w:eastAsia="en-GB" w:bidi="en-GB"/>
      </w:rPr>
    </w:lvl>
    <w:lvl w:ilvl="6" w:tplc="126E4556">
      <w:numFmt w:val="bullet"/>
      <w:lvlText w:val="•"/>
      <w:lvlJc w:val="left"/>
      <w:pPr>
        <w:ind w:left="1134" w:hanging="217"/>
      </w:pPr>
      <w:rPr>
        <w:rFonts w:hint="default"/>
        <w:lang w:val="en-GB" w:eastAsia="en-GB" w:bidi="en-GB"/>
      </w:rPr>
    </w:lvl>
    <w:lvl w:ilvl="7" w:tplc="5952FF0C">
      <w:numFmt w:val="bullet"/>
      <w:lvlText w:val="•"/>
      <w:lvlJc w:val="left"/>
      <w:pPr>
        <w:ind w:left="1273" w:hanging="217"/>
      </w:pPr>
      <w:rPr>
        <w:rFonts w:hint="default"/>
        <w:lang w:val="en-GB" w:eastAsia="en-GB" w:bidi="en-GB"/>
      </w:rPr>
    </w:lvl>
    <w:lvl w:ilvl="8" w:tplc="227A1814">
      <w:numFmt w:val="bullet"/>
      <w:lvlText w:val="•"/>
      <w:lvlJc w:val="left"/>
      <w:pPr>
        <w:ind w:left="1412" w:hanging="217"/>
      </w:pPr>
      <w:rPr>
        <w:rFonts w:hint="default"/>
        <w:lang w:val="en-GB" w:eastAsia="en-GB" w:bidi="en-GB"/>
      </w:rPr>
    </w:lvl>
  </w:abstractNum>
  <w:abstractNum w:abstractNumId="649" w15:restartNumberingAfterBreak="0">
    <w:nsid w:val="3C1B0ECE"/>
    <w:multiLevelType w:val="hybridMultilevel"/>
    <w:tmpl w:val="4DA40A72"/>
    <w:lvl w:ilvl="0" w:tplc="34DA099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69EA470">
      <w:numFmt w:val="bullet"/>
      <w:lvlText w:val="•"/>
      <w:lvlJc w:val="left"/>
      <w:pPr>
        <w:ind w:left="625" w:hanging="301"/>
      </w:pPr>
      <w:rPr>
        <w:rFonts w:ascii="Arial" w:eastAsia="Arial" w:hAnsi="Arial" w:cs="Arial" w:hint="default"/>
        <w:color w:val="231F20"/>
        <w:spacing w:val="-1"/>
        <w:w w:val="100"/>
        <w:sz w:val="18"/>
        <w:szCs w:val="18"/>
        <w:lang w:val="en-GB" w:eastAsia="en-GB" w:bidi="en-GB"/>
      </w:rPr>
    </w:lvl>
    <w:lvl w:ilvl="2" w:tplc="E1F0468C">
      <w:numFmt w:val="bullet"/>
      <w:lvlText w:val="•"/>
      <w:lvlJc w:val="left"/>
      <w:pPr>
        <w:ind w:left="1242" w:hanging="301"/>
      </w:pPr>
      <w:rPr>
        <w:rFonts w:hint="default"/>
        <w:lang w:val="en-GB" w:eastAsia="en-GB" w:bidi="en-GB"/>
      </w:rPr>
    </w:lvl>
    <w:lvl w:ilvl="3" w:tplc="EA0C8C4A">
      <w:numFmt w:val="bullet"/>
      <w:lvlText w:val="•"/>
      <w:lvlJc w:val="left"/>
      <w:pPr>
        <w:ind w:left="1865" w:hanging="301"/>
      </w:pPr>
      <w:rPr>
        <w:rFonts w:hint="default"/>
        <w:lang w:val="en-GB" w:eastAsia="en-GB" w:bidi="en-GB"/>
      </w:rPr>
    </w:lvl>
    <w:lvl w:ilvl="4" w:tplc="76F2BE0C">
      <w:numFmt w:val="bullet"/>
      <w:lvlText w:val="•"/>
      <w:lvlJc w:val="left"/>
      <w:pPr>
        <w:ind w:left="2488" w:hanging="301"/>
      </w:pPr>
      <w:rPr>
        <w:rFonts w:hint="default"/>
        <w:lang w:val="en-GB" w:eastAsia="en-GB" w:bidi="en-GB"/>
      </w:rPr>
    </w:lvl>
    <w:lvl w:ilvl="5" w:tplc="5DA2AB72">
      <w:numFmt w:val="bullet"/>
      <w:lvlText w:val="•"/>
      <w:lvlJc w:val="left"/>
      <w:pPr>
        <w:ind w:left="3111" w:hanging="301"/>
      </w:pPr>
      <w:rPr>
        <w:rFonts w:hint="default"/>
        <w:lang w:val="en-GB" w:eastAsia="en-GB" w:bidi="en-GB"/>
      </w:rPr>
    </w:lvl>
    <w:lvl w:ilvl="6" w:tplc="A642A0C0">
      <w:numFmt w:val="bullet"/>
      <w:lvlText w:val="•"/>
      <w:lvlJc w:val="left"/>
      <w:pPr>
        <w:ind w:left="3734" w:hanging="301"/>
      </w:pPr>
      <w:rPr>
        <w:rFonts w:hint="default"/>
        <w:lang w:val="en-GB" w:eastAsia="en-GB" w:bidi="en-GB"/>
      </w:rPr>
    </w:lvl>
    <w:lvl w:ilvl="7" w:tplc="4DDA134C">
      <w:numFmt w:val="bullet"/>
      <w:lvlText w:val="•"/>
      <w:lvlJc w:val="left"/>
      <w:pPr>
        <w:ind w:left="4357" w:hanging="301"/>
      </w:pPr>
      <w:rPr>
        <w:rFonts w:hint="default"/>
        <w:lang w:val="en-GB" w:eastAsia="en-GB" w:bidi="en-GB"/>
      </w:rPr>
    </w:lvl>
    <w:lvl w:ilvl="8" w:tplc="B7385A78">
      <w:numFmt w:val="bullet"/>
      <w:lvlText w:val="•"/>
      <w:lvlJc w:val="left"/>
      <w:pPr>
        <w:ind w:left="4980" w:hanging="301"/>
      </w:pPr>
      <w:rPr>
        <w:rFonts w:hint="default"/>
        <w:lang w:val="en-GB" w:eastAsia="en-GB" w:bidi="en-GB"/>
      </w:rPr>
    </w:lvl>
  </w:abstractNum>
  <w:abstractNum w:abstractNumId="650" w15:restartNumberingAfterBreak="0">
    <w:nsid w:val="3C303AD9"/>
    <w:multiLevelType w:val="hybridMultilevel"/>
    <w:tmpl w:val="CEC4B62C"/>
    <w:lvl w:ilvl="0" w:tplc="5B1259B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B16BC98">
      <w:numFmt w:val="bullet"/>
      <w:lvlText w:val="•"/>
      <w:lvlJc w:val="left"/>
      <w:pPr>
        <w:ind w:left="677" w:hanging="217"/>
      </w:pPr>
      <w:rPr>
        <w:rFonts w:hint="default"/>
        <w:lang w:val="en-GB" w:eastAsia="en-GB" w:bidi="en-GB"/>
      </w:rPr>
    </w:lvl>
    <w:lvl w:ilvl="2" w:tplc="BBBED664">
      <w:numFmt w:val="bullet"/>
      <w:lvlText w:val="•"/>
      <w:lvlJc w:val="left"/>
      <w:pPr>
        <w:ind w:left="1054" w:hanging="217"/>
      </w:pPr>
      <w:rPr>
        <w:rFonts w:hint="default"/>
        <w:lang w:val="en-GB" w:eastAsia="en-GB" w:bidi="en-GB"/>
      </w:rPr>
    </w:lvl>
    <w:lvl w:ilvl="3" w:tplc="5D563C12">
      <w:numFmt w:val="bullet"/>
      <w:lvlText w:val="•"/>
      <w:lvlJc w:val="left"/>
      <w:pPr>
        <w:ind w:left="1431" w:hanging="217"/>
      </w:pPr>
      <w:rPr>
        <w:rFonts w:hint="default"/>
        <w:lang w:val="en-GB" w:eastAsia="en-GB" w:bidi="en-GB"/>
      </w:rPr>
    </w:lvl>
    <w:lvl w:ilvl="4" w:tplc="FF0CFC5C">
      <w:numFmt w:val="bullet"/>
      <w:lvlText w:val="•"/>
      <w:lvlJc w:val="left"/>
      <w:pPr>
        <w:ind w:left="1808" w:hanging="217"/>
      </w:pPr>
      <w:rPr>
        <w:rFonts w:hint="default"/>
        <w:lang w:val="en-GB" w:eastAsia="en-GB" w:bidi="en-GB"/>
      </w:rPr>
    </w:lvl>
    <w:lvl w:ilvl="5" w:tplc="E4040D28">
      <w:numFmt w:val="bullet"/>
      <w:lvlText w:val="•"/>
      <w:lvlJc w:val="left"/>
      <w:pPr>
        <w:ind w:left="2186" w:hanging="217"/>
      </w:pPr>
      <w:rPr>
        <w:rFonts w:hint="default"/>
        <w:lang w:val="en-GB" w:eastAsia="en-GB" w:bidi="en-GB"/>
      </w:rPr>
    </w:lvl>
    <w:lvl w:ilvl="6" w:tplc="0B727D70">
      <w:numFmt w:val="bullet"/>
      <w:lvlText w:val="•"/>
      <w:lvlJc w:val="left"/>
      <w:pPr>
        <w:ind w:left="2563" w:hanging="217"/>
      </w:pPr>
      <w:rPr>
        <w:rFonts w:hint="default"/>
        <w:lang w:val="en-GB" w:eastAsia="en-GB" w:bidi="en-GB"/>
      </w:rPr>
    </w:lvl>
    <w:lvl w:ilvl="7" w:tplc="93743654">
      <w:numFmt w:val="bullet"/>
      <w:lvlText w:val="•"/>
      <w:lvlJc w:val="left"/>
      <w:pPr>
        <w:ind w:left="2940" w:hanging="217"/>
      </w:pPr>
      <w:rPr>
        <w:rFonts w:hint="default"/>
        <w:lang w:val="en-GB" w:eastAsia="en-GB" w:bidi="en-GB"/>
      </w:rPr>
    </w:lvl>
    <w:lvl w:ilvl="8" w:tplc="BA12FDA0">
      <w:numFmt w:val="bullet"/>
      <w:lvlText w:val="•"/>
      <w:lvlJc w:val="left"/>
      <w:pPr>
        <w:ind w:left="3317" w:hanging="217"/>
      </w:pPr>
      <w:rPr>
        <w:rFonts w:hint="default"/>
        <w:lang w:val="en-GB" w:eastAsia="en-GB" w:bidi="en-GB"/>
      </w:rPr>
    </w:lvl>
  </w:abstractNum>
  <w:abstractNum w:abstractNumId="651" w15:restartNumberingAfterBreak="0">
    <w:nsid w:val="3C6A7A56"/>
    <w:multiLevelType w:val="hybridMultilevel"/>
    <w:tmpl w:val="F048787C"/>
    <w:lvl w:ilvl="0" w:tplc="A52069CE">
      <w:numFmt w:val="bullet"/>
      <w:lvlText w:val="•"/>
      <w:lvlJc w:val="left"/>
      <w:pPr>
        <w:ind w:left="299" w:hanging="217"/>
      </w:pPr>
      <w:rPr>
        <w:rFonts w:ascii="Arial" w:eastAsia="Arial" w:hAnsi="Arial" w:cs="Arial" w:hint="default"/>
        <w:color w:val="231F20"/>
        <w:spacing w:val="-7"/>
        <w:w w:val="100"/>
        <w:sz w:val="18"/>
        <w:szCs w:val="18"/>
        <w:lang w:val="en-GB" w:eastAsia="en-GB" w:bidi="en-GB"/>
      </w:rPr>
    </w:lvl>
    <w:lvl w:ilvl="1" w:tplc="6C14D06E">
      <w:numFmt w:val="bullet"/>
      <w:lvlText w:val="•"/>
      <w:lvlJc w:val="left"/>
      <w:pPr>
        <w:ind w:left="529" w:hanging="217"/>
      </w:pPr>
      <w:rPr>
        <w:rFonts w:hint="default"/>
        <w:lang w:val="en-GB" w:eastAsia="en-GB" w:bidi="en-GB"/>
      </w:rPr>
    </w:lvl>
    <w:lvl w:ilvl="2" w:tplc="B7EC6904">
      <w:numFmt w:val="bullet"/>
      <w:lvlText w:val="•"/>
      <w:lvlJc w:val="left"/>
      <w:pPr>
        <w:ind w:left="759" w:hanging="217"/>
      </w:pPr>
      <w:rPr>
        <w:rFonts w:hint="default"/>
        <w:lang w:val="en-GB" w:eastAsia="en-GB" w:bidi="en-GB"/>
      </w:rPr>
    </w:lvl>
    <w:lvl w:ilvl="3" w:tplc="18862A46">
      <w:numFmt w:val="bullet"/>
      <w:lvlText w:val="•"/>
      <w:lvlJc w:val="left"/>
      <w:pPr>
        <w:ind w:left="989" w:hanging="217"/>
      </w:pPr>
      <w:rPr>
        <w:rFonts w:hint="default"/>
        <w:lang w:val="en-GB" w:eastAsia="en-GB" w:bidi="en-GB"/>
      </w:rPr>
    </w:lvl>
    <w:lvl w:ilvl="4" w:tplc="0818FCEC">
      <w:numFmt w:val="bullet"/>
      <w:lvlText w:val="•"/>
      <w:lvlJc w:val="left"/>
      <w:pPr>
        <w:ind w:left="1219" w:hanging="217"/>
      </w:pPr>
      <w:rPr>
        <w:rFonts w:hint="default"/>
        <w:lang w:val="en-GB" w:eastAsia="en-GB" w:bidi="en-GB"/>
      </w:rPr>
    </w:lvl>
    <w:lvl w:ilvl="5" w:tplc="AB86DC0A">
      <w:numFmt w:val="bullet"/>
      <w:lvlText w:val="•"/>
      <w:lvlJc w:val="left"/>
      <w:pPr>
        <w:ind w:left="1449" w:hanging="217"/>
      </w:pPr>
      <w:rPr>
        <w:rFonts w:hint="default"/>
        <w:lang w:val="en-GB" w:eastAsia="en-GB" w:bidi="en-GB"/>
      </w:rPr>
    </w:lvl>
    <w:lvl w:ilvl="6" w:tplc="27B83A50">
      <w:numFmt w:val="bullet"/>
      <w:lvlText w:val="•"/>
      <w:lvlJc w:val="left"/>
      <w:pPr>
        <w:ind w:left="1678" w:hanging="217"/>
      </w:pPr>
      <w:rPr>
        <w:rFonts w:hint="default"/>
        <w:lang w:val="en-GB" w:eastAsia="en-GB" w:bidi="en-GB"/>
      </w:rPr>
    </w:lvl>
    <w:lvl w:ilvl="7" w:tplc="854881A2">
      <w:numFmt w:val="bullet"/>
      <w:lvlText w:val="•"/>
      <w:lvlJc w:val="left"/>
      <w:pPr>
        <w:ind w:left="1908" w:hanging="217"/>
      </w:pPr>
      <w:rPr>
        <w:rFonts w:hint="default"/>
        <w:lang w:val="en-GB" w:eastAsia="en-GB" w:bidi="en-GB"/>
      </w:rPr>
    </w:lvl>
    <w:lvl w:ilvl="8" w:tplc="C5D04504">
      <w:numFmt w:val="bullet"/>
      <w:lvlText w:val="•"/>
      <w:lvlJc w:val="left"/>
      <w:pPr>
        <w:ind w:left="2138" w:hanging="217"/>
      </w:pPr>
      <w:rPr>
        <w:rFonts w:hint="default"/>
        <w:lang w:val="en-GB" w:eastAsia="en-GB" w:bidi="en-GB"/>
      </w:rPr>
    </w:lvl>
  </w:abstractNum>
  <w:abstractNum w:abstractNumId="652" w15:restartNumberingAfterBreak="0">
    <w:nsid w:val="3C7174B4"/>
    <w:multiLevelType w:val="hybridMultilevel"/>
    <w:tmpl w:val="D5E08036"/>
    <w:lvl w:ilvl="0" w:tplc="F9A60DA0">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2F2E42E6">
      <w:numFmt w:val="bullet"/>
      <w:lvlText w:val="•"/>
      <w:lvlJc w:val="left"/>
      <w:pPr>
        <w:ind w:left="892" w:hanging="217"/>
      </w:pPr>
      <w:rPr>
        <w:rFonts w:hint="default"/>
        <w:lang w:val="en-GB" w:eastAsia="en-GB" w:bidi="en-GB"/>
      </w:rPr>
    </w:lvl>
    <w:lvl w:ilvl="2" w:tplc="D3DEAA72">
      <w:numFmt w:val="bullet"/>
      <w:lvlText w:val="•"/>
      <w:lvlJc w:val="left"/>
      <w:pPr>
        <w:ind w:left="1485" w:hanging="217"/>
      </w:pPr>
      <w:rPr>
        <w:rFonts w:hint="default"/>
        <w:lang w:val="en-GB" w:eastAsia="en-GB" w:bidi="en-GB"/>
      </w:rPr>
    </w:lvl>
    <w:lvl w:ilvl="3" w:tplc="510CA75A">
      <w:numFmt w:val="bullet"/>
      <w:lvlText w:val="•"/>
      <w:lvlJc w:val="left"/>
      <w:pPr>
        <w:ind w:left="2077" w:hanging="217"/>
      </w:pPr>
      <w:rPr>
        <w:rFonts w:hint="default"/>
        <w:lang w:val="en-GB" w:eastAsia="en-GB" w:bidi="en-GB"/>
      </w:rPr>
    </w:lvl>
    <w:lvl w:ilvl="4" w:tplc="C582BFB2">
      <w:numFmt w:val="bullet"/>
      <w:lvlText w:val="•"/>
      <w:lvlJc w:val="left"/>
      <w:pPr>
        <w:ind w:left="2670" w:hanging="217"/>
      </w:pPr>
      <w:rPr>
        <w:rFonts w:hint="default"/>
        <w:lang w:val="en-GB" w:eastAsia="en-GB" w:bidi="en-GB"/>
      </w:rPr>
    </w:lvl>
    <w:lvl w:ilvl="5" w:tplc="B55E54A0">
      <w:numFmt w:val="bullet"/>
      <w:lvlText w:val="•"/>
      <w:lvlJc w:val="left"/>
      <w:pPr>
        <w:ind w:left="3263" w:hanging="217"/>
      </w:pPr>
      <w:rPr>
        <w:rFonts w:hint="default"/>
        <w:lang w:val="en-GB" w:eastAsia="en-GB" w:bidi="en-GB"/>
      </w:rPr>
    </w:lvl>
    <w:lvl w:ilvl="6" w:tplc="0D88799A">
      <w:numFmt w:val="bullet"/>
      <w:lvlText w:val="•"/>
      <w:lvlJc w:val="left"/>
      <w:pPr>
        <w:ind w:left="3855" w:hanging="217"/>
      </w:pPr>
      <w:rPr>
        <w:rFonts w:hint="default"/>
        <w:lang w:val="en-GB" w:eastAsia="en-GB" w:bidi="en-GB"/>
      </w:rPr>
    </w:lvl>
    <w:lvl w:ilvl="7" w:tplc="6BFE849A">
      <w:numFmt w:val="bullet"/>
      <w:lvlText w:val="•"/>
      <w:lvlJc w:val="left"/>
      <w:pPr>
        <w:ind w:left="4448" w:hanging="217"/>
      </w:pPr>
      <w:rPr>
        <w:rFonts w:hint="default"/>
        <w:lang w:val="en-GB" w:eastAsia="en-GB" w:bidi="en-GB"/>
      </w:rPr>
    </w:lvl>
    <w:lvl w:ilvl="8" w:tplc="A3464E8C">
      <w:numFmt w:val="bullet"/>
      <w:lvlText w:val="•"/>
      <w:lvlJc w:val="left"/>
      <w:pPr>
        <w:ind w:left="5040" w:hanging="217"/>
      </w:pPr>
      <w:rPr>
        <w:rFonts w:hint="default"/>
        <w:lang w:val="en-GB" w:eastAsia="en-GB" w:bidi="en-GB"/>
      </w:rPr>
    </w:lvl>
  </w:abstractNum>
  <w:abstractNum w:abstractNumId="653" w15:restartNumberingAfterBreak="0">
    <w:nsid w:val="3C77510A"/>
    <w:multiLevelType w:val="hybridMultilevel"/>
    <w:tmpl w:val="6FFA5FD8"/>
    <w:lvl w:ilvl="0" w:tplc="7178A3F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B96CA64">
      <w:numFmt w:val="bullet"/>
      <w:lvlText w:val="•"/>
      <w:lvlJc w:val="left"/>
      <w:pPr>
        <w:ind w:left="439" w:hanging="217"/>
      </w:pPr>
      <w:rPr>
        <w:rFonts w:hint="default"/>
        <w:lang w:val="en-GB" w:eastAsia="en-GB" w:bidi="en-GB"/>
      </w:rPr>
    </w:lvl>
    <w:lvl w:ilvl="2" w:tplc="149E6BA8">
      <w:numFmt w:val="bullet"/>
      <w:lvlText w:val="•"/>
      <w:lvlJc w:val="left"/>
      <w:pPr>
        <w:ind w:left="578" w:hanging="217"/>
      </w:pPr>
      <w:rPr>
        <w:rFonts w:hint="default"/>
        <w:lang w:val="en-GB" w:eastAsia="en-GB" w:bidi="en-GB"/>
      </w:rPr>
    </w:lvl>
    <w:lvl w:ilvl="3" w:tplc="6E203456">
      <w:numFmt w:val="bullet"/>
      <w:lvlText w:val="•"/>
      <w:lvlJc w:val="left"/>
      <w:pPr>
        <w:ind w:left="717" w:hanging="217"/>
      </w:pPr>
      <w:rPr>
        <w:rFonts w:hint="default"/>
        <w:lang w:val="en-GB" w:eastAsia="en-GB" w:bidi="en-GB"/>
      </w:rPr>
    </w:lvl>
    <w:lvl w:ilvl="4" w:tplc="2722BE94">
      <w:numFmt w:val="bullet"/>
      <w:lvlText w:val="•"/>
      <w:lvlJc w:val="left"/>
      <w:pPr>
        <w:ind w:left="856" w:hanging="217"/>
      </w:pPr>
      <w:rPr>
        <w:rFonts w:hint="default"/>
        <w:lang w:val="en-GB" w:eastAsia="en-GB" w:bidi="en-GB"/>
      </w:rPr>
    </w:lvl>
    <w:lvl w:ilvl="5" w:tplc="A9D6EB88">
      <w:numFmt w:val="bullet"/>
      <w:lvlText w:val="•"/>
      <w:lvlJc w:val="left"/>
      <w:pPr>
        <w:ind w:left="995" w:hanging="217"/>
      </w:pPr>
      <w:rPr>
        <w:rFonts w:hint="default"/>
        <w:lang w:val="en-GB" w:eastAsia="en-GB" w:bidi="en-GB"/>
      </w:rPr>
    </w:lvl>
    <w:lvl w:ilvl="6" w:tplc="73646624">
      <w:numFmt w:val="bullet"/>
      <w:lvlText w:val="•"/>
      <w:lvlJc w:val="left"/>
      <w:pPr>
        <w:ind w:left="1134" w:hanging="217"/>
      </w:pPr>
      <w:rPr>
        <w:rFonts w:hint="default"/>
        <w:lang w:val="en-GB" w:eastAsia="en-GB" w:bidi="en-GB"/>
      </w:rPr>
    </w:lvl>
    <w:lvl w:ilvl="7" w:tplc="E34ED6AC">
      <w:numFmt w:val="bullet"/>
      <w:lvlText w:val="•"/>
      <w:lvlJc w:val="left"/>
      <w:pPr>
        <w:ind w:left="1273" w:hanging="217"/>
      </w:pPr>
      <w:rPr>
        <w:rFonts w:hint="default"/>
        <w:lang w:val="en-GB" w:eastAsia="en-GB" w:bidi="en-GB"/>
      </w:rPr>
    </w:lvl>
    <w:lvl w:ilvl="8" w:tplc="35BE444E">
      <w:numFmt w:val="bullet"/>
      <w:lvlText w:val="•"/>
      <w:lvlJc w:val="left"/>
      <w:pPr>
        <w:ind w:left="1412" w:hanging="217"/>
      </w:pPr>
      <w:rPr>
        <w:rFonts w:hint="default"/>
        <w:lang w:val="en-GB" w:eastAsia="en-GB" w:bidi="en-GB"/>
      </w:rPr>
    </w:lvl>
  </w:abstractNum>
  <w:abstractNum w:abstractNumId="654" w15:restartNumberingAfterBreak="0">
    <w:nsid w:val="3CEE46A0"/>
    <w:multiLevelType w:val="hybridMultilevel"/>
    <w:tmpl w:val="420895CA"/>
    <w:lvl w:ilvl="0" w:tplc="E6AE486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13D07980">
      <w:numFmt w:val="bullet"/>
      <w:lvlText w:val="•"/>
      <w:lvlJc w:val="left"/>
      <w:pPr>
        <w:ind w:left="1056" w:hanging="217"/>
      </w:pPr>
      <w:rPr>
        <w:rFonts w:hint="default"/>
        <w:lang w:val="en-GB" w:eastAsia="en-GB" w:bidi="en-GB"/>
      </w:rPr>
    </w:lvl>
    <w:lvl w:ilvl="2" w:tplc="AFA004E4">
      <w:numFmt w:val="bullet"/>
      <w:lvlText w:val="•"/>
      <w:lvlJc w:val="left"/>
      <w:pPr>
        <w:ind w:left="1812" w:hanging="217"/>
      </w:pPr>
      <w:rPr>
        <w:rFonts w:hint="default"/>
        <w:lang w:val="en-GB" w:eastAsia="en-GB" w:bidi="en-GB"/>
      </w:rPr>
    </w:lvl>
    <w:lvl w:ilvl="3" w:tplc="0ABAE0DC">
      <w:numFmt w:val="bullet"/>
      <w:lvlText w:val="•"/>
      <w:lvlJc w:val="left"/>
      <w:pPr>
        <w:ind w:left="2568" w:hanging="217"/>
      </w:pPr>
      <w:rPr>
        <w:rFonts w:hint="default"/>
        <w:lang w:val="en-GB" w:eastAsia="en-GB" w:bidi="en-GB"/>
      </w:rPr>
    </w:lvl>
    <w:lvl w:ilvl="4" w:tplc="12F0C20E">
      <w:numFmt w:val="bullet"/>
      <w:lvlText w:val="•"/>
      <w:lvlJc w:val="left"/>
      <w:pPr>
        <w:ind w:left="3324" w:hanging="217"/>
      </w:pPr>
      <w:rPr>
        <w:rFonts w:hint="default"/>
        <w:lang w:val="en-GB" w:eastAsia="en-GB" w:bidi="en-GB"/>
      </w:rPr>
    </w:lvl>
    <w:lvl w:ilvl="5" w:tplc="2B4204A8">
      <w:numFmt w:val="bullet"/>
      <w:lvlText w:val="•"/>
      <w:lvlJc w:val="left"/>
      <w:pPr>
        <w:ind w:left="4080" w:hanging="217"/>
      </w:pPr>
      <w:rPr>
        <w:rFonts w:hint="default"/>
        <w:lang w:val="en-GB" w:eastAsia="en-GB" w:bidi="en-GB"/>
      </w:rPr>
    </w:lvl>
    <w:lvl w:ilvl="6" w:tplc="E0383DEE">
      <w:numFmt w:val="bullet"/>
      <w:lvlText w:val="•"/>
      <w:lvlJc w:val="left"/>
      <w:pPr>
        <w:ind w:left="4836" w:hanging="217"/>
      </w:pPr>
      <w:rPr>
        <w:rFonts w:hint="default"/>
        <w:lang w:val="en-GB" w:eastAsia="en-GB" w:bidi="en-GB"/>
      </w:rPr>
    </w:lvl>
    <w:lvl w:ilvl="7" w:tplc="60CCFC0A">
      <w:numFmt w:val="bullet"/>
      <w:lvlText w:val="•"/>
      <w:lvlJc w:val="left"/>
      <w:pPr>
        <w:ind w:left="5592" w:hanging="217"/>
      </w:pPr>
      <w:rPr>
        <w:rFonts w:hint="default"/>
        <w:lang w:val="en-GB" w:eastAsia="en-GB" w:bidi="en-GB"/>
      </w:rPr>
    </w:lvl>
    <w:lvl w:ilvl="8" w:tplc="8F788924">
      <w:numFmt w:val="bullet"/>
      <w:lvlText w:val="•"/>
      <w:lvlJc w:val="left"/>
      <w:pPr>
        <w:ind w:left="6348" w:hanging="217"/>
      </w:pPr>
      <w:rPr>
        <w:rFonts w:hint="default"/>
        <w:lang w:val="en-GB" w:eastAsia="en-GB" w:bidi="en-GB"/>
      </w:rPr>
    </w:lvl>
  </w:abstractNum>
  <w:abstractNum w:abstractNumId="655" w15:restartNumberingAfterBreak="0">
    <w:nsid w:val="3CFC4301"/>
    <w:multiLevelType w:val="hybridMultilevel"/>
    <w:tmpl w:val="8FDA1DAC"/>
    <w:lvl w:ilvl="0" w:tplc="C36ECFEA">
      <w:numFmt w:val="bullet"/>
      <w:lvlText w:val="•"/>
      <w:lvlJc w:val="left"/>
      <w:pPr>
        <w:ind w:left="300" w:hanging="217"/>
      </w:pPr>
      <w:rPr>
        <w:rFonts w:ascii="Arial" w:eastAsia="Arial" w:hAnsi="Arial" w:cs="Arial" w:hint="default"/>
        <w:color w:val="231F20"/>
        <w:w w:val="102"/>
        <w:sz w:val="17"/>
        <w:szCs w:val="17"/>
        <w:lang w:val="en-GB" w:eastAsia="en-GB" w:bidi="en-GB"/>
      </w:rPr>
    </w:lvl>
    <w:lvl w:ilvl="1" w:tplc="C04EF1C8">
      <w:numFmt w:val="bullet"/>
      <w:lvlText w:val="•"/>
      <w:lvlJc w:val="left"/>
      <w:pPr>
        <w:ind w:left="892" w:hanging="217"/>
      </w:pPr>
      <w:rPr>
        <w:rFonts w:hint="default"/>
        <w:lang w:val="en-GB" w:eastAsia="en-GB" w:bidi="en-GB"/>
      </w:rPr>
    </w:lvl>
    <w:lvl w:ilvl="2" w:tplc="2CEA5B8A">
      <w:numFmt w:val="bullet"/>
      <w:lvlText w:val="•"/>
      <w:lvlJc w:val="left"/>
      <w:pPr>
        <w:ind w:left="1484" w:hanging="217"/>
      </w:pPr>
      <w:rPr>
        <w:rFonts w:hint="default"/>
        <w:lang w:val="en-GB" w:eastAsia="en-GB" w:bidi="en-GB"/>
      </w:rPr>
    </w:lvl>
    <w:lvl w:ilvl="3" w:tplc="4950040A">
      <w:numFmt w:val="bullet"/>
      <w:lvlText w:val="•"/>
      <w:lvlJc w:val="left"/>
      <w:pPr>
        <w:ind w:left="2076" w:hanging="217"/>
      </w:pPr>
      <w:rPr>
        <w:rFonts w:hint="default"/>
        <w:lang w:val="en-GB" w:eastAsia="en-GB" w:bidi="en-GB"/>
      </w:rPr>
    </w:lvl>
    <w:lvl w:ilvl="4" w:tplc="779064F6">
      <w:numFmt w:val="bullet"/>
      <w:lvlText w:val="•"/>
      <w:lvlJc w:val="left"/>
      <w:pPr>
        <w:ind w:left="2668" w:hanging="217"/>
      </w:pPr>
      <w:rPr>
        <w:rFonts w:hint="default"/>
        <w:lang w:val="en-GB" w:eastAsia="en-GB" w:bidi="en-GB"/>
      </w:rPr>
    </w:lvl>
    <w:lvl w:ilvl="5" w:tplc="B21EB370">
      <w:numFmt w:val="bullet"/>
      <w:lvlText w:val="•"/>
      <w:lvlJc w:val="left"/>
      <w:pPr>
        <w:ind w:left="3260" w:hanging="217"/>
      </w:pPr>
      <w:rPr>
        <w:rFonts w:hint="default"/>
        <w:lang w:val="en-GB" w:eastAsia="en-GB" w:bidi="en-GB"/>
      </w:rPr>
    </w:lvl>
    <w:lvl w:ilvl="6" w:tplc="587E61F4">
      <w:numFmt w:val="bullet"/>
      <w:lvlText w:val="•"/>
      <w:lvlJc w:val="left"/>
      <w:pPr>
        <w:ind w:left="3852" w:hanging="217"/>
      </w:pPr>
      <w:rPr>
        <w:rFonts w:hint="default"/>
        <w:lang w:val="en-GB" w:eastAsia="en-GB" w:bidi="en-GB"/>
      </w:rPr>
    </w:lvl>
    <w:lvl w:ilvl="7" w:tplc="6D9C59EE">
      <w:numFmt w:val="bullet"/>
      <w:lvlText w:val="•"/>
      <w:lvlJc w:val="left"/>
      <w:pPr>
        <w:ind w:left="4444" w:hanging="217"/>
      </w:pPr>
      <w:rPr>
        <w:rFonts w:hint="default"/>
        <w:lang w:val="en-GB" w:eastAsia="en-GB" w:bidi="en-GB"/>
      </w:rPr>
    </w:lvl>
    <w:lvl w:ilvl="8" w:tplc="583C6472">
      <w:numFmt w:val="bullet"/>
      <w:lvlText w:val="•"/>
      <w:lvlJc w:val="left"/>
      <w:pPr>
        <w:ind w:left="5036" w:hanging="217"/>
      </w:pPr>
      <w:rPr>
        <w:rFonts w:hint="default"/>
        <w:lang w:val="en-GB" w:eastAsia="en-GB" w:bidi="en-GB"/>
      </w:rPr>
    </w:lvl>
  </w:abstractNum>
  <w:abstractNum w:abstractNumId="656" w15:restartNumberingAfterBreak="0">
    <w:nsid w:val="3D1C2607"/>
    <w:multiLevelType w:val="hybridMultilevel"/>
    <w:tmpl w:val="3A10F94E"/>
    <w:lvl w:ilvl="0" w:tplc="BCB8709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BD420488">
      <w:numFmt w:val="bullet"/>
      <w:lvlText w:val="•"/>
      <w:lvlJc w:val="left"/>
      <w:pPr>
        <w:ind w:left="892" w:hanging="217"/>
      </w:pPr>
      <w:rPr>
        <w:rFonts w:hint="default"/>
        <w:lang w:val="en-GB" w:eastAsia="en-GB" w:bidi="en-GB"/>
      </w:rPr>
    </w:lvl>
    <w:lvl w:ilvl="2" w:tplc="5712ABDA">
      <w:numFmt w:val="bullet"/>
      <w:lvlText w:val="•"/>
      <w:lvlJc w:val="left"/>
      <w:pPr>
        <w:ind w:left="1485" w:hanging="217"/>
      </w:pPr>
      <w:rPr>
        <w:rFonts w:hint="default"/>
        <w:lang w:val="en-GB" w:eastAsia="en-GB" w:bidi="en-GB"/>
      </w:rPr>
    </w:lvl>
    <w:lvl w:ilvl="3" w:tplc="73DE9A5A">
      <w:numFmt w:val="bullet"/>
      <w:lvlText w:val="•"/>
      <w:lvlJc w:val="left"/>
      <w:pPr>
        <w:ind w:left="2077" w:hanging="217"/>
      </w:pPr>
      <w:rPr>
        <w:rFonts w:hint="default"/>
        <w:lang w:val="en-GB" w:eastAsia="en-GB" w:bidi="en-GB"/>
      </w:rPr>
    </w:lvl>
    <w:lvl w:ilvl="4" w:tplc="EF4823C2">
      <w:numFmt w:val="bullet"/>
      <w:lvlText w:val="•"/>
      <w:lvlJc w:val="left"/>
      <w:pPr>
        <w:ind w:left="2670" w:hanging="217"/>
      </w:pPr>
      <w:rPr>
        <w:rFonts w:hint="default"/>
        <w:lang w:val="en-GB" w:eastAsia="en-GB" w:bidi="en-GB"/>
      </w:rPr>
    </w:lvl>
    <w:lvl w:ilvl="5" w:tplc="4596FBAE">
      <w:numFmt w:val="bullet"/>
      <w:lvlText w:val="•"/>
      <w:lvlJc w:val="left"/>
      <w:pPr>
        <w:ind w:left="3263" w:hanging="217"/>
      </w:pPr>
      <w:rPr>
        <w:rFonts w:hint="default"/>
        <w:lang w:val="en-GB" w:eastAsia="en-GB" w:bidi="en-GB"/>
      </w:rPr>
    </w:lvl>
    <w:lvl w:ilvl="6" w:tplc="D1761B66">
      <w:numFmt w:val="bullet"/>
      <w:lvlText w:val="•"/>
      <w:lvlJc w:val="left"/>
      <w:pPr>
        <w:ind w:left="3855" w:hanging="217"/>
      </w:pPr>
      <w:rPr>
        <w:rFonts w:hint="default"/>
        <w:lang w:val="en-GB" w:eastAsia="en-GB" w:bidi="en-GB"/>
      </w:rPr>
    </w:lvl>
    <w:lvl w:ilvl="7" w:tplc="9190D4BC">
      <w:numFmt w:val="bullet"/>
      <w:lvlText w:val="•"/>
      <w:lvlJc w:val="left"/>
      <w:pPr>
        <w:ind w:left="4448" w:hanging="217"/>
      </w:pPr>
      <w:rPr>
        <w:rFonts w:hint="default"/>
        <w:lang w:val="en-GB" w:eastAsia="en-GB" w:bidi="en-GB"/>
      </w:rPr>
    </w:lvl>
    <w:lvl w:ilvl="8" w:tplc="B32E8B06">
      <w:numFmt w:val="bullet"/>
      <w:lvlText w:val="•"/>
      <w:lvlJc w:val="left"/>
      <w:pPr>
        <w:ind w:left="5040" w:hanging="217"/>
      </w:pPr>
      <w:rPr>
        <w:rFonts w:hint="default"/>
        <w:lang w:val="en-GB" w:eastAsia="en-GB" w:bidi="en-GB"/>
      </w:rPr>
    </w:lvl>
  </w:abstractNum>
  <w:abstractNum w:abstractNumId="657" w15:restartNumberingAfterBreak="0">
    <w:nsid w:val="3D4B15E2"/>
    <w:multiLevelType w:val="hybridMultilevel"/>
    <w:tmpl w:val="6DEC4F14"/>
    <w:lvl w:ilvl="0" w:tplc="2BA6FD4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41A96FA">
      <w:numFmt w:val="bullet"/>
      <w:lvlText w:val="•"/>
      <w:lvlJc w:val="left"/>
      <w:pPr>
        <w:ind w:left="473" w:hanging="217"/>
      </w:pPr>
      <w:rPr>
        <w:rFonts w:hint="default"/>
        <w:lang w:val="en-GB" w:eastAsia="en-GB" w:bidi="en-GB"/>
      </w:rPr>
    </w:lvl>
    <w:lvl w:ilvl="2" w:tplc="5E762AA8">
      <w:numFmt w:val="bullet"/>
      <w:lvlText w:val="•"/>
      <w:lvlJc w:val="left"/>
      <w:pPr>
        <w:ind w:left="646" w:hanging="217"/>
      </w:pPr>
      <w:rPr>
        <w:rFonts w:hint="default"/>
        <w:lang w:val="en-GB" w:eastAsia="en-GB" w:bidi="en-GB"/>
      </w:rPr>
    </w:lvl>
    <w:lvl w:ilvl="3" w:tplc="C29442A0">
      <w:numFmt w:val="bullet"/>
      <w:lvlText w:val="•"/>
      <w:lvlJc w:val="left"/>
      <w:pPr>
        <w:ind w:left="819" w:hanging="217"/>
      </w:pPr>
      <w:rPr>
        <w:rFonts w:hint="default"/>
        <w:lang w:val="en-GB" w:eastAsia="en-GB" w:bidi="en-GB"/>
      </w:rPr>
    </w:lvl>
    <w:lvl w:ilvl="4" w:tplc="5F886762">
      <w:numFmt w:val="bullet"/>
      <w:lvlText w:val="•"/>
      <w:lvlJc w:val="left"/>
      <w:pPr>
        <w:ind w:left="992" w:hanging="217"/>
      </w:pPr>
      <w:rPr>
        <w:rFonts w:hint="default"/>
        <w:lang w:val="en-GB" w:eastAsia="en-GB" w:bidi="en-GB"/>
      </w:rPr>
    </w:lvl>
    <w:lvl w:ilvl="5" w:tplc="8D7E99DC">
      <w:numFmt w:val="bullet"/>
      <w:lvlText w:val="•"/>
      <w:lvlJc w:val="left"/>
      <w:pPr>
        <w:ind w:left="1165" w:hanging="217"/>
      </w:pPr>
      <w:rPr>
        <w:rFonts w:hint="default"/>
        <w:lang w:val="en-GB" w:eastAsia="en-GB" w:bidi="en-GB"/>
      </w:rPr>
    </w:lvl>
    <w:lvl w:ilvl="6" w:tplc="1970473C">
      <w:numFmt w:val="bullet"/>
      <w:lvlText w:val="•"/>
      <w:lvlJc w:val="left"/>
      <w:pPr>
        <w:ind w:left="1338" w:hanging="217"/>
      </w:pPr>
      <w:rPr>
        <w:rFonts w:hint="default"/>
        <w:lang w:val="en-GB" w:eastAsia="en-GB" w:bidi="en-GB"/>
      </w:rPr>
    </w:lvl>
    <w:lvl w:ilvl="7" w:tplc="5300AD04">
      <w:numFmt w:val="bullet"/>
      <w:lvlText w:val="•"/>
      <w:lvlJc w:val="left"/>
      <w:pPr>
        <w:ind w:left="1511" w:hanging="217"/>
      </w:pPr>
      <w:rPr>
        <w:rFonts w:hint="default"/>
        <w:lang w:val="en-GB" w:eastAsia="en-GB" w:bidi="en-GB"/>
      </w:rPr>
    </w:lvl>
    <w:lvl w:ilvl="8" w:tplc="FCFA9966">
      <w:numFmt w:val="bullet"/>
      <w:lvlText w:val="•"/>
      <w:lvlJc w:val="left"/>
      <w:pPr>
        <w:ind w:left="1684" w:hanging="217"/>
      </w:pPr>
      <w:rPr>
        <w:rFonts w:hint="default"/>
        <w:lang w:val="en-GB" w:eastAsia="en-GB" w:bidi="en-GB"/>
      </w:rPr>
    </w:lvl>
  </w:abstractNum>
  <w:abstractNum w:abstractNumId="658" w15:restartNumberingAfterBreak="0">
    <w:nsid w:val="3D6D46F0"/>
    <w:multiLevelType w:val="hybridMultilevel"/>
    <w:tmpl w:val="57EC782C"/>
    <w:lvl w:ilvl="0" w:tplc="B486095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4C00908">
      <w:numFmt w:val="bullet"/>
      <w:lvlText w:val="•"/>
      <w:lvlJc w:val="left"/>
      <w:pPr>
        <w:ind w:left="1085" w:hanging="217"/>
      </w:pPr>
      <w:rPr>
        <w:rFonts w:hint="default"/>
        <w:lang w:val="en-GB" w:eastAsia="en-GB" w:bidi="en-GB"/>
      </w:rPr>
    </w:lvl>
    <w:lvl w:ilvl="2" w:tplc="D52A696C">
      <w:numFmt w:val="bullet"/>
      <w:lvlText w:val="•"/>
      <w:lvlJc w:val="left"/>
      <w:pPr>
        <w:ind w:left="1870" w:hanging="217"/>
      </w:pPr>
      <w:rPr>
        <w:rFonts w:hint="default"/>
        <w:lang w:val="en-GB" w:eastAsia="en-GB" w:bidi="en-GB"/>
      </w:rPr>
    </w:lvl>
    <w:lvl w:ilvl="3" w:tplc="EB128EF6">
      <w:numFmt w:val="bullet"/>
      <w:lvlText w:val="•"/>
      <w:lvlJc w:val="left"/>
      <w:pPr>
        <w:ind w:left="2656" w:hanging="217"/>
      </w:pPr>
      <w:rPr>
        <w:rFonts w:hint="default"/>
        <w:lang w:val="en-GB" w:eastAsia="en-GB" w:bidi="en-GB"/>
      </w:rPr>
    </w:lvl>
    <w:lvl w:ilvl="4" w:tplc="EB641922">
      <w:numFmt w:val="bullet"/>
      <w:lvlText w:val="•"/>
      <w:lvlJc w:val="left"/>
      <w:pPr>
        <w:ind w:left="3441" w:hanging="217"/>
      </w:pPr>
      <w:rPr>
        <w:rFonts w:hint="default"/>
        <w:lang w:val="en-GB" w:eastAsia="en-GB" w:bidi="en-GB"/>
      </w:rPr>
    </w:lvl>
    <w:lvl w:ilvl="5" w:tplc="7F321690">
      <w:numFmt w:val="bullet"/>
      <w:lvlText w:val="•"/>
      <w:lvlJc w:val="left"/>
      <w:pPr>
        <w:ind w:left="4227" w:hanging="217"/>
      </w:pPr>
      <w:rPr>
        <w:rFonts w:hint="default"/>
        <w:lang w:val="en-GB" w:eastAsia="en-GB" w:bidi="en-GB"/>
      </w:rPr>
    </w:lvl>
    <w:lvl w:ilvl="6" w:tplc="FC8AE73A">
      <w:numFmt w:val="bullet"/>
      <w:lvlText w:val="•"/>
      <w:lvlJc w:val="left"/>
      <w:pPr>
        <w:ind w:left="5012" w:hanging="217"/>
      </w:pPr>
      <w:rPr>
        <w:rFonts w:hint="default"/>
        <w:lang w:val="en-GB" w:eastAsia="en-GB" w:bidi="en-GB"/>
      </w:rPr>
    </w:lvl>
    <w:lvl w:ilvl="7" w:tplc="396076C0">
      <w:numFmt w:val="bullet"/>
      <w:lvlText w:val="•"/>
      <w:lvlJc w:val="left"/>
      <w:pPr>
        <w:ind w:left="5797" w:hanging="217"/>
      </w:pPr>
      <w:rPr>
        <w:rFonts w:hint="default"/>
        <w:lang w:val="en-GB" w:eastAsia="en-GB" w:bidi="en-GB"/>
      </w:rPr>
    </w:lvl>
    <w:lvl w:ilvl="8" w:tplc="3D683A36">
      <w:numFmt w:val="bullet"/>
      <w:lvlText w:val="•"/>
      <w:lvlJc w:val="left"/>
      <w:pPr>
        <w:ind w:left="6583" w:hanging="217"/>
      </w:pPr>
      <w:rPr>
        <w:rFonts w:hint="default"/>
        <w:lang w:val="en-GB" w:eastAsia="en-GB" w:bidi="en-GB"/>
      </w:rPr>
    </w:lvl>
  </w:abstractNum>
  <w:abstractNum w:abstractNumId="659" w15:restartNumberingAfterBreak="0">
    <w:nsid w:val="3D6D4B31"/>
    <w:multiLevelType w:val="hybridMultilevel"/>
    <w:tmpl w:val="C04C9B66"/>
    <w:lvl w:ilvl="0" w:tplc="125492E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BF2667A">
      <w:numFmt w:val="bullet"/>
      <w:lvlText w:val="•"/>
      <w:lvlJc w:val="left"/>
      <w:pPr>
        <w:ind w:left="473" w:hanging="217"/>
      </w:pPr>
      <w:rPr>
        <w:rFonts w:hint="default"/>
        <w:lang w:val="en-GB" w:eastAsia="en-GB" w:bidi="en-GB"/>
      </w:rPr>
    </w:lvl>
    <w:lvl w:ilvl="2" w:tplc="C6E84994">
      <w:numFmt w:val="bullet"/>
      <w:lvlText w:val="•"/>
      <w:lvlJc w:val="left"/>
      <w:pPr>
        <w:ind w:left="646" w:hanging="217"/>
      </w:pPr>
      <w:rPr>
        <w:rFonts w:hint="default"/>
        <w:lang w:val="en-GB" w:eastAsia="en-GB" w:bidi="en-GB"/>
      </w:rPr>
    </w:lvl>
    <w:lvl w:ilvl="3" w:tplc="3F3418C4">
      <w:numFmt w:val="bullet"/>
      <w:lvlText w:val="•"/>
      <w:lvlJc w:val="left"/>
      <w:pPr>
        <w:ind w:left="819" w:hanging="217"/>
      </w:pPr>
      <w:rPr>
        <w:rFonts w:hint="default"/>
        <w:lang w:val="en-GB" w:eastAsia="en-GB" w:bidi="en-GB"/>
      </w:rPr>
    </w:lvl>
    <w:lvl w:ilvl="4" w:tplc="831C59BA">
      <w:numFmt w:val="bullet"/>
      <w:lvlText w:val="•"/>
      <w:lvlJc w:val="left"/>
      <w:pPr>
        <w:ind w:left="992" w:hanging="217"/>
      </w:pPr>
      <w:rPr>
        <w:rFonts w:hint="default"/>
        <w:lang w:val="en-GB" w:eastAsia="en-GB" w:bidi="en-GB"/>
      </w:rPr>
    </w:lvl>
    <w:lvl w:ilvl="5" w:tplc="9C66A1B6">
      <w:numFmt w:val="bullet"/>
      <w:lvlText w:val="•"/>
      <w:lvlJc w:val="left"/>
      <w:pPr>
        <w:ind w:left="1165" w:hanging="217"/>
      </w:pPr>
      <w:rPr>
        <w:rFonts w:hint="default"/>
        <w:lang w:val="en-GB" w:eastAsia="en-GB" w:bidi="en-GB"/>
      </w:rPr>
    </w:lvl>
    <w:lvl w:ilvl="6" w:tplc="31A868D8">
      <w:numFmt w:val="bullet"/>
      <w:lvlText w:val="•"/>
      <w:lvlJc w:val="left"/>
      <w:pPr>
        <w:ind w:left="1338" w:hanging="217"/>
      </w:pPr>
      <w:rPr>
        <w:rFonts w:hint="default"/>
        <w:lang w:val="en-GB" w:eastAsia="en-GB" w:bidi="en-GB"/>
      </w:rPr>
    </w:lvl>
    <w:lvl w:ilvl="7" w:tplc="BC386020">
      <w:numFmt w:val="bullet"/>
      <w:lvlText w:val="•"/>
      <w:lvlJc w:val="left"/>
      <w:pPr>
        <w:ind w:left="1511" w:hanging="217"/>
      </w:pPr>
      <w:rPr>
        <w:rFonts w:hint="default"/>
        <w:lang w:val="en-GB" w:eastAsia="en-GB" w:bidi="en-GB"/>
      </w:rPr>
    </w:lvl>
    <w:lvl w:ilvl="8" w:tplc="1C68348C">
      <w:numFmt w:val="bullet"/>
      <w:lvlText w:val="•"/>
      <w:lvlJc w:val="left"/>
      <w:pPr>
        <w:ind w:left="1684" w:hanging="217"/>
      </w:pPr>
      <w:rPr>
        <w:rFonts w:hint="default"/>
        <w:lang w:val="en-GB" w:eastAsia="en-GB" w:bidi="en-GB"/>
      </w:rPr>
    </w:lvl>
  </w:abstractNum>
  <w:abstractNum w:abstractNumId="660" w15:restartNumberingAfterBreak="0">
    <w:nsid w:val="3D791150"/>
    <w:multiLevelType w:val="hybridMultilevel"/>
    <w:tmpl w:val="9BC8EDAA"/>
    <w:lvl w:ilvl="0" w:tplc="3E88785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E7CF67C">
      <w:numFmt w:val="bullet"/>
      <w:lvlText w:val="•"/>
      <w:lvlJc w:val="left"/>
      <w:pPr>
        <w:ind w:left="1061" w:hanging="217"/>
      </w:pPr>
      <w:rPr>
        <w:rFonts w:hint="default"/>
        <w:lang w:val="en-GB" w:eastAsia="en-GB" w:bidi="en-GB"/>
      </w:rPr>
    </w:lvl>
    <w:lvl w:ilvl="2" w:tplc="7DFCB5D4">
      <w:numFmt w:val="bullet"/>
      <w:lvlText w:val="•"/>
      <w:lvlJc w:val="left"/>
      <w:pPr>
        <w:ind w:left="1823" w:hanging="217"/>
      </w:pPr>
      <w:rPr>
        <w:rFonts w:hint="default"/>
        <w:lang w:val="en-GB" w:eastAsia="en-GB" w:bidi="en-GB"/>
      </w:rPr>
    </w:lvl>
    <w:lvl w:ilvl="3" w:tplc="31C25284">
      <w:numFmt w:val="bullet"/>
      <w:lvlText w:val="•"/>
      <w:lvlJc w:val="left"/>
      <w:pPr>
        <w:ind w:left="2585" w:hanging="217"/>
      </w:pPr>
      <w:rPr>
        <w:rFonts w:hint="default"/>
        <w:lang w:val="en-GB" w:eastAsia="en-GB" w:bidi="en-GB"/>
      </w:rPr>
    </w:lvl>
    <w:lvl w:ilvl="4" w:tplc="E154FF0C">
      <w:numFmt w:val="bullet"/>
      <w:lvlText w:val="•"/>
      <w:lvlJc w:val="left"/>
      <w:pPr>
        <w:ind w:left="3346" w:hanging="217"/>
      </w:pPr>
      <w:rPr>
        <w:rFonts w:hint="default"/>
        <w:lang w:val="en-GB" w:eastAsia="en-GB" w:bidi="en-GB"/>
      </w:rPr>
    </w:lvl>
    <w:lvl w:ilvl="5" w:tplc="0574B758">
      <w:numFmt w:val="bullet"/>
      <w:lvlText w:val="•"/>
      <w:lvlJc w:val="left"/>
      <w:pPr>
        <w:ind w:left="4108" w:hanging="217"/>
      </w:pPr>
      <w:rPr>
        <w:rFonts w:hint="default"/>
        <w:lang w:val="en-GB" w:eastAsia="en-GB" w:bidi="en-GB"/>
      </w:rPr>
    </w:lvl>
    <w:lvl w:ilvl="6" w:tplc="31C01750">
      <w:numFmt w:val="bullet"/>
      <w:lvlText w:val="•"/>
      <w:lvlJc w:val="left"/>
      <w:pPr>
        <w:ind w:left="4870" w:hanging="217"/>
      </w:pPr>
      <w:rPr>
        <w:rFonts w:hint="default"/>
        <w:lang w:val="en-GB" w:eastAsia="en-GB" w:bidi="en-GB"/>
      </w:rPr>
    </w:lvl>
    <w:lvl w:ilvl="7" w:tplc="9E3289FA">
      <w:numFmt w:val="bullet"/>
      <w:lvlText w:val="•"/>
      <w:lvlJc w:val="left"/>
      <w:pPr>
        <w:ind w:left="5631" w:hanging="217"/>
      </w:pPr>
      <w:rPr>
        <w:rFonts w:hint="default"/>
        <w:lang w:val="en-GB" w:eastAsia="en-GB" w:bidi="en-GB"/>
      </w:rPr>
    </w:lvl>
    <w:lvl w:ilvl="8" w:tplc="B3B249C0">
      <w:numFmt w:val="bullet"/>
      <w:lvlText w:val="•"/>
      <w:lvlJc w:val="left"/>
      <w:pPr>
        <w:ind w:left="6393" w:hanging="217"/>
      </w:pPr>
      <w:rPr>
        <w:rFonts w:hint="default"/>
        <w:lang w:val="en-GB" w:eastAsia="en-GB" w:bidi="en-GB"/>
      </w:rPr>
    </w:lvl>
  </w:abstractNum>
  <w:abstractNum w:abstractNumId="661" w15:restartNumberingAfterBreak="0">
    <w:nsid w:val="3DA81677"/>
    <w:multiLevelType w:val="multilevel"/>
    <w:tmpl w:val="2CB207BC"/>
    <w:lvl w:ilvl="0">
      <w:start w:val="1"/>
      <w:numFmt w:val="decimal"/>
      <w:lvlText w:val="%1"/>
      <w:lvlJc w:val="left"/>
      <w:pPr>
        <w:ind w:left="903" w:hanging="693"/>
      </w:pPr>
      <w:rPr>
        <w:rFonts w:hint="default"/>
        <w:lang w:val="en-GB" w:eastAsia="en-GB" w:bidi="en-GB"/>
      </w:rPr>
    </w:lvl>
    <w:lvl w:ilvl="1">
      <w:start w:val="1"/>
      <w:numFmt w:val="decimal"/>
      <w:lvlText w:val="%1.%2"/>
      <w:lvlJc w:val="left"/>
      <w:pPr>
        <w:ind w:left="693" w:hanging="693"/>
      </w:pPr>
      <w:rPr>
        <w:rFonts w:ascii="Arial" w:eastAsia="Arial" w:hAnsi="Arial" w:cs="Arial" w:hint="default"/>
        <w:color w:val="231F20"/>
        <w:spacing w:val="-1"/>
        <w:w w:val="100"/>
        <w:sz w:val="42"/>
        <w:szCs w:val="42"/>
        <w:lang w:val="en-GB" w:eastAsia="en-GB" w:bidi="en-GB"/>
      </w:rPr>
    </w:lvl>
    <w:lvl w:ilvl="2">
      <w:start w:val="1"/>
      <w:numFmt w:val="decimal"/>
      <w:lvlText w:val="%1.%2.%3"/>
      <w:lvlJc w:val="left"/>
      <w:pPr>
        <w:ind w:left="930" w:hanging="720"/>
      </w:pPr>
      <w:rPr>
        <w:rFonts w:ascii="Arial" w:eastAsia="Arial" w:hAnsi="Arial" w:cs="Arial" w:hint="default"/>
        <w:b/>
        <w:bCs/>
        <w:color w:val="231F20"/>
        <w:spacing w:val="-1"/>
        <w:w w:val="100"/>
        <w:sz w:val="20"/>
        <w:szCs w:val="20"/>
        <w:lang w:val="en-GB" w:eastAsia="en-GB" w:bidi="en-GB"/>
      </w:rPr>
    </w:lvl>
    <w:lvl w:ilvl="3">
      <w:numFmt w:val="bullet"/>
      <w:lvlText w:val="•"/>
      <w:lvlJc w:val="left"/>
      <w:pPr>
        <w:ind w:left="3087" w:hanging="720"/>
      </w:pPr>
      <w:rPr>
        <w:rFonts w:hint="default"/>
        <w:lang w:val="en-GB" w:eastAsia="en-GB" w:bidi="en-GB"/>
      </w:rPr>
    </w:lvl>
    <w:lvl w:ilvl="4">
      <w:numFmt w:val="bullet"/>
      <w:lvlText w:val="•"/>
      <w:lvlJc w:val="left"/>
      <w:pPr>
        <w:ind w:left="4161" w:hanging="720"/>
      </w:pPr>
      <w:rPr>
        <w:rFonts w:hint="default"/>
        <w:lang w:val="en-GB" w:eastAsia="en-GB" w:bidi="en-GB"/>
      </w:rPr>
    </w:lvl>
    <w:lvl w:ilvl="5">
      <w:numFmt w:val="bullet"/>
      <w:lvlText w:val="•"/>
      <w:lvlJc w:val="left"/>
      <w:pPr>
        <w:ind w:left="5235" w:hanging="720"/>
      </w:pPr>
      <w:rPr>
        <w:rFonts w:hint="default"/>
        <w:lang w:val="en-GB" w:eastAsia="en-GB" w:bidi="en-GB"/>
      </w:rPr>
    </w:lvl>
    <w:lvl w:ilvl="6">
      <w:numFmt w:val="bullet"/>
      <w:lvlText w:val="•"/>
      <w:lvlJc w:val="left"/>
      <w:pPr>
        <w:ind w:left="6309" w:hanging="720"/>
      </w:pPr>
      <w:rPr>
        <w:rFonts w:hint="default"/>
        <w:lang w:val="en-GB" w:eastAsia="en-GB" w:bidi="en-GB"/>
      </w:rPr>
    </w:lvl>
    <w:lvl w:ilvl="7">
      <w:numFmt w:val="bullet"/>
      <w:lvlText w:val="•"/>
      <w:lvlJc w:val="left"/>
      <w:pPr>
        <w:ind w:left="7383" w:hanging="720"/>
      </w:pPr>
      <w:rPr>
        <w:rFonts w:hint="default"/>
        <w:lang w:val="en-GB" w:eastAsia="en-GB" w:bidi="en-GB"/>
      </w:rPr>
    </w:lvl>
    <w:lvl w:ilvl="8">
      <w:numFmt w:val="bullet"/>
      <w:lvlText w:val="•"/>
      <w:lvlJc w:val="left"/>
      <w:pPr>
        <w:ind w:left="8457" w:hanging="720"/>
      </w:pPr>
      <w:rPr>
        <w:rFonts w:hint="default"/>
        <w:lang w:val="en-GB" w:eastAsia="en-GB" w:bidi="en-GB"/>
      </w:rPr>
    </w:lvl>
  </w:abstractNum>
  <w:abstractNum w:abstractNumId="662" w15:restartNumberingAfterBreak="0">
    <w:nsid w:val="3DBB6008"/>
    <w:multiLevelType w:val="hybridMultilevel"/>
    <w:tmpl w:val="DDF0D010"/>
    <w:lvl w:ilvl="0" w:tplc="9D50A78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558AF70">
      <w:numFmt w:val="bullet"/>
      <w:lvlText w:val="•"/>
      <w:lvlJc w:val="left"/>
      <w:pPr>
        <w:ind w:left="439" w:hanging="217"/>
      </w:pPr>
      <w:rPr>
        <w:rFonts w:hint="default"/>
        <w:lang w:val="en-GB" w:eastAsia="en-GB" w:bidi="en-GB"/>
      </w:rPr>
    </w:lvl>
    <w:lvl w:ilvl="2" w:tplc="0FE2BA76">
      <w:numFmt w:val="bullet"/>
      <w:lvlText w:val="•"/>
      <w:lvlJc w:val="left"/>
      <w:pPr>
        <w:ind w:left="578" w:hanging="217"/>
      </w:pPr>
      <w:rPr>
        <w:rFonts w:hint="default"/>
        <w:lang w:val="en-GB" w:eastAsia="en-GB" w:bidi="en-GB"/>
      </w:rPr>
    </w:lvl>
    <w:lvl w:ilvl="3" w:tplc="F52EAD0E">
      <w:numFmt w:val="bullet"/>
      <w:lvlText w:val="•"/>
      <w:lvlJc w:val="left"/>
      <w:pPr>
        <w:ind w:left="717" w:hanging="217"/>
      </w:pPr>
      <w:rPr>
        <w:rFonts w:hint="default"/>
        <w:lang w:val="en-GB" w:eastAsia="en-GB" w:bidi="en-GB"/>
      </w:rPr>
    </w:lvl>
    <w:lvl w:ilvl="4" w:tplc="92E86C9E">
      <w:numFmt w:val="bullet"/>
      <w:lvlText w:val="•"/>
      <w:lvlJc w:val="left"/>
      <w:pPr>
        <w:ind w:left="856" w:hanging="217"/>
      </w:pPr>
      <w:rPr>
        <w:rFonts w:hint="default"/>
        <w:lang w:val="en-GB" w:eastAsia="en-GB" w:bidi="en-GB"/>
      </w:rPr>
    </w:lvl>
    <w:lvl w:ilvl="5" w:tplc="79680C82">
      <w:numFmt w:val="bullet"/>
      <w:lvlText w:val="•"/>
      <w:lvlJc w:val="left"/>
      <w:pPr>
        <w:ind w:left="995" w:hanging="217"/>
      </w:pPr>
      <w:rPr>
        <w:rFonts w:hint="default"/>
        <w:lang w:val="en-GB" w:eastAsia="en-GB" w:bidi="en-GB"/>
      </w:rPr>
    </w:lvl>
    <w:lvl w:ilvl="6" w:tplc="52F28064">
      <w:numFmt w:val="bullet"/>
      <w:lvlText w:val="•"/>
      <w:lvlJc w:val="left"/>
      <w:pPr>
        <w:ind w:left="1134" w:hanging="217"/>
      </w:pPr>
      <w:rPr>
        <w:rFonts w:hint="default"/>
        <w:lang w:val="en-GB" w:eastAsia="en-GB" w:bidi="en-GB"/>
      </w:rPr>
    </w:lvl>
    <w:lvl w:ilvl="7" w:tplc="1EA05486">
      <w:numFmt w:val="bullet"/>
      <w:lvlText w:val="•"/>
      <w:lvlJc w:val="left"/>
      <w:pPr>
        <w:ind w:left="1273" w:hanging="217"/>
      </w:pPr>
      <w:rPr>
        <w:rFonts w:hint="default"/>
        <w:lang w:val="en-GB" w:eastAsia="en-GB" w:bidi="en-GB"/>
      </w:rPr>
    </w:lvl>
    <w:lvl w:ilvl="8" w:tplc="272E6576">
      <w:numFmt w:val="bullet"/>
      <w:lvlText w:val="•"/>
      <w:lvlJc w:val="left"/>
      <w:pPr>
        <w:ind w:left="1412" w:hanging="217"/>
      </w:pPr>
      <w:rPr>
        <w:rFonts w:hint="default"/>
        <w:lang w:val="en-GB" w:eastAsia="en-GB" w:bidi="en-GB"/>
      </w:rPr>
    </w:lvl>
  </w:abstractNum>
  <w:abstractNum w:abstractNumId="663" w15:restartNumberingAfterBreak="0">
    <w:nsid w:val="3DF40C49"/>
    <w:multiLevelType w:val="hybridMultilevel"/>
    <w:tmpl w:val="0FBCFF28"/>
    <w:lvl w:ilvl="0" w:tplc="4C2CBA5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8CAD63A">
      <w:numFmt w:val="bullet"/>
      <w:lvlText w:val="•"/>
      <w:lvlJc w:val="left"/>
      <w:pPr>
        <w:ind w:left="473" w:hanging="217"/>
      </w:pPr>
      <w:rPr>
        <w:rFonts w:hint="default"/>
        <w:lang w:val="en-GB" w:eastAsia="en-GB" w:bidi="en-GB"/>
      </w:rPr>
    </w:lvl>
    <w:lvl w:ilvl="2" w:tplc="00D083EA">
      <w:numFmt w:val="bullet"/>
      <w:lvlText w:val="•"/>
      <w:lvlJc w:val="left"/>
      <w:pPr>
        <w:ind w:left="646" w:hanging="217"/>
      </w:pPr>
      <w:rPr>
        <w:rFonts w:hint="default"/>
        <w:lang w:val="en-GB" w:eastAsia="en-GB" w:bidi="en-GB"/>
      </w:rPr>
    </w:lvl>
    <w:lvl w:ilvl="3" w:tplc="413E737E">
      <w:numFmt w:val="bullet"/>
      <w:lvlText w:val="•"/>
      <w:lvlJc w:val="left"/>
      <w:pPr>
        <w:ind w:left="819" w:hanging="217"/>
      </w:pPr>
      <w:rPr>
        <w:rFonts w:hint="default"/>
        <w:lang w:val="en-GB" w:eastAsia="en-GB" w:bidi="en-GB"/>
      </w:rPr>
    </w:lvl>
    <w:lvl w:ilvl="4" w:tplc="152ECD32">
      <w:numFmt w:val="bullet"/>
      <w:lvlText w:val="•"/>
      <w:lvlJc w:val="left"/>
      <w:pPr>
        <w:ind w:left="992" w:hanging="217"/>
      </w:pPr>
      <w:rPr>
        <w:rFonts w:hint="default"/>
        <w:lang w:val="en-GB" w:eastAsia="en-GB" w:bidi="en-GB"/>
      </w:rPr>
    </w:lvl>
    <w:lvl w:ilvl="5" w:tplc="AFEED9E2">
      <w:numFmt w:val="bullet"/>
      <w:lvlText w:val="•"/>
      <w:lvlJc w:val="left"/>
      <w:pPr>
        <w:ind w:left="1165" w:hanging="217"/>
      </w:pPr>
      <w:rPr>
        <w:rFonts w:hint="default"/>
        <w:lang w:val="en-GB" w:eastAsia="en-GB" w:bidi="en-GB"/>
      </w:rPr>
    </w:lvl>
    <w:lvl w:ilvl="6" w:tplc="68E232E2">
      <w:numFmt w:val="bullet"/>
      <w:lvlText w:val="•"/>
      <w:lvlJc w:val="left"/>
      <w:pPr>
        <w:ind w:left="1338" w:hanging="217"/>
      </w:pPr>
      <w:rPr>
        <w:rFonts w:hint="default"/>
        <w:lang w:val="en-GB" w:eastAsia="en-GB" w:bidi="en-GB"/>
      </w:rPr>
    </w:lvl>
    <w:lvl w:ilvl="7" w:tplc="9250A118">
      <w:numFmt w:val="bullet"/>
      <w:lvlText w:val="•"/>
      <w:lvlJc w:val="left"/>
      <w:pPr>
        <w:ind w:left="1511" w:hanging="217"/>
      </w:pPr>
      <w:rPr>
        <w:rFonts w:hint="default"/>
        <w:lang w:val="en-GB" w:eastAsia="en-GB" w:bidi="en-GB"/>
      </w:rPr>
    </w:lvl>
    <w:lvl w:ilvl="8" w:tplc="B914C656">
      <w:numFmt w:val="bullet"/>
      <w:lvlText w:val="•"/>
      <w:lvlJc w:val="left"/>
      <w:pPr>
        <w:ind w:left="1684" w:hanging="217"/>
      </w:pPr>
      <w:rPr>
        <w:rFonts w:hint="default"/>
        <w:lang w:val="en-GB" w:eastAsia="en-GB" w:bidi="en-GB"/>
      </w:rPr>
    </w:lvl>
  </w:abstractNum>
  <w:abstractNum w:abstractNumId="664" w15:restartNumberingAfterBreak="0">
    <w:nsid w:val="3DF8013D"/>
    <w:multiLevelType w:val="hybridMultilevel"/>
    <w:tmpl w:val="43C2F17A"/>
    <w:lvl w:ilvl="0" w:tplc="9970DEE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AB400D8">
      <w:numFmt w:val="bullet"/>
      <w:lvlText w:val="•"/>
      <w:lvlJc w:val="left"/>
      <w:pPr>
        <w:ind w:left="541" w:hanging="217"/>
      </w:pPr>
      <w:rPr>
        <w:rFonts w:hint="default"/>
        <w:lang w:val="en-GB" w:eastAsia="en-GB" w:bidi="en-GB"/>
      </w:rPr>
    </w:lvl>
    <w:lvl w:ilvl="2" w:tplc="A2B8FEE2">
      <w:numFmt w:val="bullet"/>
      <w:lvlText w:val="•"/>
      <w:lvlJc w:val="left"/>
      <w:pPr>
        <w:ind w:left="782" w:hanging="217"/>
      </w:pPr>
      <w:rPr>
        <w:rFonts w:hint="default"/>
        <w:lang w:val="en-GB" w:eastAsia="en-GB" w:bidi="en-GB"/>
      </w:rPr>
    </w:lvl>
    <w:lvl w:ilvl="3" w:tplc="C4FEECDC">
      <w:numFmt w:val="bullet"/>
      <w:lvlText w:val="•"/>
      <w:lvlJc w:val="left"/>
      <w:pPr>
        <w:ind w:left="1023" w:hanging="217"/>
      </w:pPr>
      <w:rPr>
        <w:rFonts w:hint="default"/>
        <w:lang w:val="en-GB" w:eastAsia="en-GB" w:bidi="en-GB"/>
      </w:rPr>
    </w:lvl>
    <w:lvl w:ilvl="4" w:tplc="69321414">
      <w:numFmt w:val="bullet"/>
      <w:lvlText w:val="•"/>
      <w:lvlJc w:val="left"/>
      <w:pPr>
        <w:ind w:left="1264" w:hanging="217"/>
      </w:pPr>
      <w:rPr>
        <w:rFonts w:hint="default"/>
        <w:lang w:val="en-GB" w:eastAsia="en-GB" w:bidi="en-GB"/>
      </w:rPr>
    </w:lvl>
    <w:lvl w:ilvl="5" w:tplc="BF688E5A">
      <w:numFmt w:val="bullet"/>
      <w:lvlText w:val="•"/>
      <w:lvlJc w:val="left"/>
      <w:pPr>
        <w:ind w:left="1505" w:hanging="217"/>
      </w:pPr>
      <w:rPr>
        <w:rFonts w:hint="default"/>
        <w:lang w:val="en-GB" w:eastAsia="en-GB" w:bidi="en-GB"/>
      </w:rPr>
    </w:lvl>
    <w:lvl w:ilvl="6" w:tplc="98BE52A6">
      <w:numFmt w:val="bullet"/>
      <w:lvlText w:val="•"/>
      <w:lvlJc w:val="left"/>
      <w:pPr>
        <w:ind w:left="1746" w:hanging="217"/>
      </w:pPr>
      <w:rPr>
        <w:rFonts w:hint="default"/>
        <w:lang w:val="en-GB" w:eastAsia="en-GB" w:bidi="en-GB"/>
      </w:rPr>
    </w:lvl>
    <w:lvl w:ilvl="7" w:tplc="29F89862">
      <w:numFmt w:val="bullet"/>
      <w:lvlText w:val="•"/>
      <w:lvlJc w:val="left"/>
      <w:pPr>
        <w:ind w:left="1987" w:hanging="217"/>
      </w:pPr>
      <w:rPr>
        <w:rFonts w:hint="default"/>
        <w:lang w:val="en-GB" w:eastAsia="en-GB" w:bidi="en-GB"/>
      </w:rPr>
    </w:lvl>
    <w:lvl w:ilvl="8" w:tplc="88B028DA">
      <w:numFmt w:val="bullet"/>
      <w:lvlText w:val="•"/>
      <w:lvlJc w:val="left"/>
      <w:pPr>
        <w:ind w:left="2228" w:hanging="217"/>
      </w:pPr>
      <w:rPr>
        <w:rFonts w:hint="default"/>
        <w:lang w:val="en-GB" w:eastAsia="en-GB" w:bidi="en-GB"/>
      </w:rPr>
    </w:lvl>
  </w:abstractNum>
  <w:abstractNum w:abstractNumId="665" w15:restartNumberingAfterBreak="0">
    <w:nsid w:val="3DFE7F1E"/>
    <w:multiLevelType w:val="hybridMultilevel"/>
    <w:tmpl w:val="10889CDE"/>
    <w:lvl w:ilvl="0" w:tplc="69A0A69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F9E823A">
      <w:numFmt w:val="bullet"/>
      <w:lvlText w:val="•"/>
      <w:lvlJc w:val="left"/>
      <w:pPr>
        <w:ind w:left="524" w:hanging="217"/>
      </w:pPr>
      <w:rPr>
        <w:rFonts w:hint="default"/>
        <w:lang w:val="en-GB" w:eastAsia="en-GB" w:bidi="en-GB"/>
      </w:rPr>
    </w:lvl>
    <w:lvl w:ilvl="2" w:tplc="9244D602">
      <w:numFmt w:val="bullet"/>
      <w:lvlText w:val="•"/>
      <w:lvlJc w:val="left"/>
      <w:pPr>
        <w:ind w:left="748" w:hanging="217"/>
      </w:pPr>
      <w:rPr>
        <w:rFonts w:hint="default"/>
        <w:lang w:val="en-GB" w:eastAsia="en-GB" w:bidi="en-GB"/>
      </w:rPr>
    </w:lvl>
    <w:lvl w:ilvl="3" w:tplc="B04AA1A4">
      <w:numFmt w:val="bullet"/>
      <w:lvlText w:val="•"/>
      <w:lvlJc w:val="left"/>
      <w:pPr>
        <w:ind w:left="972" w:hanging="217"/>
      </w:pPr>
      <w:rPr>
        <w:rFonts w:hint="default"/>
        <w:lang w:val="en-GB" w:eastAsia="en-GB" w:bidi="en-GB"/>
      </w:rPr>
    </w:lvl>
    <w:lvl w:ilvl="4" w:tplc="8F6EDECC">
      <w:numFmt w:val="bullet"/>
      <w:lvlText w:val="•"/>
      <w:lvlJc w:val="left"/>
      <w:pPr>
        <w:ind w:left="1196" w:hanging="217"/>
      </w:pPr>
      <w:rPr>
        <w:rFonts w:hint="default"/>
        <w:lang w:val="en-GB" w:eastAsia="en-GB" w:bidi="en-GB"/>
      </w:rPr>
    </w:lvl>
    <w:lvl w:ilvl="5" w:tplc="B8AC27A0">
      <w:numFmt w:val="bullet"/>
      <w:lvlText w:val="•"/>
      <w:lvlJc w:val="left"/>
      <w:pPr>
        <w:ind w:left="1420" w:hanging="217"/>
      </w:pPr>
      <w:rPr>
        <w:rFonts w:hint="default"/>
        <w:lang w:val="en-GB" w:eastAsia="en-GB" w:bidi="en-GB"/>
      </w:rPr>
    </w:lvl>
    <w:lvl w:ilvl="6" w:tplc="67628918">
      <w:numFmt w:val="bullet"/>
      <w:lvlText w:val="•"/>
      <w:lvlJc w:val="left"/>
      <w:pPr>
        <w:ind w:left="1644" w:hanging="217"/>
      </w:pPr>
      <w:rPr>
        <w:rFonts w:hint="default"/>
        <w:lang w:val="en-GB" w:eastAsia="en-GB" w:bidi="en-GB"/>
      </w:rPr>
    </w:lvl>
    <w:lvl w:ilvl="7" w:tplc="F91EB7E8">
      <w:numFmt w:val="bullet"/>
      <w:lvlText w:val="•"/>
      <w:lvlJc w:val="left"/>
      <w:pPr>
        <w:ind w:left="1868" w:hanging="217"/>
      </w:pPr>
      <w:rPr>
        <w:rFonts w:hint="default"/>
        <w:lang w:val="en-GB" w:eastAsia="en-GB" w:bidi="en-GB"/>
      </w:rPr>
    </w:lvl>
    <w:lvl w:ilvl="8" w:tplc="EB8AB47A">
      <w:numFmt w:val="bullet"/>
      <w:lvlText w:val="•"/>
      <w:lvlJc w:val="left"/>
      <w:pPr>
        <w:ind w:left="2092" w:hanging="217"/>
      </w:pPr>
      <w:rPr>
        <w:rFonts w:hint="default"/>
        <w:lang w:val="en-GB" w:eastAsia="en-GB" w:bidi="en-GB"/>
      </w:rPr>
    </w:lvl>
  </w:abstractNum>
  <w:abstractNum w:abstractNumId="666" w15:restartNumberingAfterBreak="0">
    <w:nsid w:val="3E0A5017"/>
    <w:multiLevelType w:val="hybridMultilevel"/>
    <w:tmpl w:val="9F7A87EE"/>
    <w:lvl w:ilvl="0" w:tplc="5AF4C56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1C03EA8">
      <w:numFmt w:val="bullet"/>
      <w:lvlText w:val="•"/>
      <w:lvlJc w:val="left"/>
      <w:pPr>
        <w:ind w:left="541" w:hanging="217"/>
      </w:pPr>
      <w:rPr>
        <w:rFonts w:hint="default"/>
        <w:lang w:val="en-GB" w:eastAsia="en-GB" w:bidi="en-GB"/>
      </w:rPr>
    </w:lvl>
    <w:lvl w:ilvl="2" w:tplc="1A885BBC">
      <w:numFmt w:val="bullet"/>
      <w:lvlText w:val="•"/>
      <w:lvlJc w:val="left"/>
      <w:pPr>
        <w:ind w:left="782" w:hanging="217"/>
      </w:pPr>
      <w:rPr>
        <w:rFonts w:hint="default"/>
        <w:lang w:val="en-GB" w:eastAsia="en-GB" w:bidi="en-GB"/>
      </w:rPr>
    </w:lvl>
    <w:lvl w:ilvl="3" w:tplc="9198F9EE">
      <w:numFmt w:val="bullet"/>
      <w:lvlText w:val="•"/>
      <w:lvlJc w:val="left"/>
      <w:pPr>
        <w:ind w:left="1023" w:hanging="217"/>
      </w:pPr>
      <w:rPr>
        <w:rFonts w:hint="default"/>
        <w:lang w:val="en-GB" w:eastAsia="en-GB" w:bidi="en-GB"/>
      </w:rPr>
    </w:lvl>
    <w:lvl w:ilvl="4" w:tplc="E5080C8E">
      <w:numFmt w:val="bullet"/>
      <w:lvlText w:val="•"/>
      <w:lvlJc w:val="left"/>
      <w:pPr>
        <w:ind w:left="1264" w:hanging="217"/>
      </w:pPr>
      <w:rPr>
        <w:rFonts w:hint="default"/>
        <w:lang w:val="en-GB" w:eastAsia="en-GB" w:bidi="en-GB"/>
      </w:rPr>
    </w:lvl>
    <w:lvl w:ilvl="5" w:tplc="FEC8F9E0">
      <w:numFmt w:val="bullet"/>
      <w:lvlText w:val="•"/>
      <w:lvlJc w:val="left"/>
      <w:pPr>
        <w:ind w:left="1505" w:hanging="217"/>
      </w:pPr>
      <w:rPr>
        <w:rFonts w:hint="default"/>
        <w:lang w:val="en-GB" w:eastAsia="en-GB" w:bidi="en-GB"/>
      </w:rPr>
    </w:lvl>
    <w:lvl w:ilvl="6" w:tplc="B6A4480A">
      <w:numFmt w:val="bullet"/>
      <w:lvlText w:val="•"/>
      <w:lvlJc w:val="left"/>
      <w:pPr>
        <w:ind w:left="1746" w:hanging="217"/>
      </w:pPr>
      <w:rPr>
        <w:rFonts w:hint="default"/>
        <w:lang w:val="en-GB" w:eastAsia="en-GB" w:bidi="en-GB"/>
      </w:rPr>
    </w:lvl>
    <w:lvl w:ilvl="7" w:tplc="087244D6">
      <w:numFmt w:val="bullet"/>
      <w:lvlText w:val="•"/>
      <w:lvlJc w:val="left"/>
      <w:pPr>
        <w:ind w:left="1987" w:hanging="217"/>
      </w:pPr>
      <w:rPr>
        <w:rFonts w:hint="default"/>
        <w:lang w:val="en-GB" w:eastAsia="en-GB" w:bidi="en-GB"/>
      </w:rPr>
    </w:lvl>
    <w:lvl w:ilvl="8" w:tplc="3BA8F07C">
      <w:numFmt w:val="bullet"/>
      <w:lvlText w:val="•"/>
      <w:lvlJc w:val="left"/>
      <w:pPr>
        <w:ind w:left="2228" w:hanging="217"/>
      </w:pPr>
      <w:rPr>
        <w:rFonts w:hint="default"/>
        <w:lang w:val="en-GB" w:eastAsia="en-GB" w:bidi="en-GB"/>
      </w:rPr>
    </w:lvl>
  </w:abstractNum>
  <w:abstractNum w:abstractNumId="667" w15:restartNumberingAfterBreak="0">
    <w:nsid w:val="3E3C50D8"/>
    <w:multiLevelType w:val="hybridMultilevel"/>
    <w:tmpl w:val="6D9ED77E"/>
    <w:lvl w:ilvl="0" w:tplc="89449570">
      <w:numFmt w:val="bullet"/>
      <w:lvlText w:val="•"/>
      <w:lvlJc w:val="left"/>
      <w:pPr>
        <w:ind w:left="307" w:hanging="217"/>
      </w:pPr>
      <w:rPr>
        <w:rFonts w:ascii="Arial" w:eastAsia="Arial" w:hAnsi="Arial" w:cs="Arial" w:hint="default"/>
        <w:color w:val="231F20"/>
        <w:spacing w:val="-7"/>
        <w:w w:val="100"/>
        <w:sz w:val="18"/>
        <w:szCs w:val="18"/>
        <w:lang w:val="en-GB" w:eastAsia="en-GB" w:bidi="en-GB"/>
      </w:rPr>
    </w:lvl>
    <w:lvl w:ilvl="1" w:tplc="54001A6E">
      <w:numFmt w:val="bullet"/>
      <w:lvlText w:val="•"/>
      <w:lvlJc w:val="left"/>
      <w:pPr>
        <w:ind w:left="473" w:hanging="217"/>
      </w:pPr>
      <w:rPr>
        <w:rFonts w:hint="default"/>
        <w:lang w:val="en-GB" w:eastAsia="en-GB" w:bidi="en-GB"/>
      </w:rPr>
    </w:lvl>
    <w:lvl w:ilvl="2" w:tplc="36CC865C">
      <w:numFmt w:val="bullet"/>
      <w:lvlText w:val="•"/>
      <w:lvlJc w:val="left"/>
      <w:pPr>
        <w:ind w:left="646" w:hanging="217"/>
      </w:pPr>
      <w:rPr>
        <w:rFonts w:hint="default"/>
        <w:lang w:val="en-GB" w:eastAsia="en-GB" w:bidi="en-GB"/>
      </w:rPr>
    </w:lvl>
    <w:lvl w:ilvl="3" w:tplc="13643452">
      <w:numFmt w:val="bullet"/>
      <w:lvlText w:val="•"/>
      <w:lvlJc w:val="left"/>
      <w:pPr>
        <w:ind w:left="819" w:hanging="217"/>
      </w:pPr>
      <w:rPr>
        <w:rFonts w:hint="default"/>
        <w:lang w:val="en-GB" w:eastAsia="en-GB" w:bidi="en-GB"/>
      </w:rPr>
    </w:lvl>
    <w:lvl w:ilvl="4" w:tplc="A7644E16">
      <w:numFmt w:val="bullet"/>
      <w:lvlText w:val="•"/>
      <w:lvlJc w:val="left"/>
      <w:pPr>
        <w:ind w:left="993" w:hanging="217"/>
      </w:pPr>
      <w:rPr>
        <w:rFonts w:hint="default"/>
        <w:lang w:val="en-GB" w:eastAsia="en-GB" w:bidi="en-GB"/>
      </w:rPr>
    </w:lvl>
    <w:lvl w:ilvl="5" w:tplc="F3406C88">
      <w:numFmt w:val="bullet"/>
      <w:lvlText w:val="•"/>
      <w:lvlJc w:val="left"/>
      <w:pPr>
        <w:ind w:left="1166" w:hanging="217"/>
      </w:pPr>
      <w:rPr>
        <w:rFonts w:hint="default"/>
        <w:lang w:val="en-GB" w:eastAsia="en-GB" w:bidi="en-GB"/>
      </w:rPr>
    </w:lvl>
    <w:lvl w:ilvl="6" w:tplc="08C85864">
      <w:numFmt w:val="bullet"/>
      <w:lvlText w:val="•"/>
      <w:lvlJc w:val="left"/>
      <w:pPr>
        <w:ind w:left="1339" w:hanging="217"/>
      </w:pPr>
      <w:rPr>
        <w:rFonts w:hint="default"/>
        <w:lang w:val="en-GB" w:eastAsia="en-GB" w:bidi="en-GB"/>
      </w:rPr>
    </w:lvl>
    <w:lvl w:ilvl="7" w:tplc="69AA1FF0">
      <w:numFmt w:val="bullet"/>
      <w:lvlText w:val="•"/>
      <w:lvlJc w:val="left"/>
      <w:pPr>
        <w:ind w:left="1513" w:hanging="217"/>
      </w:pPr>
      <w:rPr>
        <w:rFonts w:hint="default"/>
        <w:lang w:val="en-GB" w:eastAsia="en-GB" w:bidi="en-GB"/>
      </w:rPr>
    </w:lvl>
    <w:lvl w:ilvl="8" w:tplc="A75AB8A2">
      <w:numFmt w:val="bullet"/>
      <w:lvlText w:val="•"/>
      <w:lvlJc w:val="left"/>
      <w:pPr>
        <w:ind w:left="1686" w:hanging="217"/>
      </w:pPr>
      <w:rPr>
        <w:rFonts w:hint="default"/>
        <w:lang w:val="en-GB" w:eastAsia="en-GB" w:bidi="en-GB"/>
      </w:rPr>
    </w:lvl>
  </w:abstractNum>
  <w:abstractNum w:abstractNumId="668" w15:restartNumberingAfterBreak="0">
    <w:nsid w:val="3E3E10AF"/>
    <w:multiLevelType w:val="hybridMultilevel"/>
    <w:tmpl w:val="900E0408"/>
    <w:lvl w:ilvl="0" w:tplc="0530639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236555E">
      <w:numFmt w:val="bullet"/>
      <w:lvlText w:val="•"/>
      <w:lvlJc w:val="left"/>
      <w:pPr>
        <w:ind w:left="473" w:hanging="217"/>
      </w:pPr>
      <w:rPr>
        <w:rFonts w:hint="default"/>
        <w:lang w:val="en-GB" w:eastAsia="en-GB" w:bidi="en-GB"/>
      </w:rPr>
    </w:lvl>
    <w:lvl w:ilvl="2" w:tplc="8FC4E968">
      <w:numFmt w:val="bullet"/>
      <w:lvlText w:val="•"/>
      <w:lvlJc w:val="left"/>
      <w:pPr>
        <w:ind w:left="646" w:hanging="217"/>
      </w:pPr>
      <w:rPr>
        <w:rFonts w:hint="default"/>
        <w:lang w:val="en-GB" w:eastAsia="en-GB" w:bidi="en-GB"/>
      </w:rPr>
    </w:lvl>
    <w:lvl w:ilvl="3" w:tplc="C7604F18">
      <w:numFmt w:val="bullet"/>
      <w:lvlText w:val="•"/>
      <w:lvlJc w:val="left"/>
      <w:pPr>
        <w:ind w:left="819" w:hanging="217"/>
      </w:pPr>
      <w:rPr>
        <w:rFonts w:hint="default"/>
        <w:lang w:val="en-GB" w:eastAsia="en-GB" w:bidi="en-GB"/>
      </w:rPr>
    </w:lvl>
    <w:lvl w:ilvl="4" w:tplc="CB680488">
      <w:numFmt w:val="bullet"/>
      <w:lvlText w:val="•"/>
      <w:lvlJc w:val="left"/>
      <w:pPr>
        <w:ind w:left="992" w:hanging="217"/>
      </w:pPr>
      <w:rPr>
        <w:rFonts w:hint="default"/>
        <w:lang w:val="en-GB" w:eastAsia="en-GB" w:bidi="en-GB"/>
      </w:rPr>
    </w:lvl>
    <w:lvl w:ilvl="5" w:tplc="134A57A2">
      <w:numFmt w:val="bullet"/>
      <w:lvlText w:val="•"/>
      <w:lvlJc w:val="left"/>
      <w:pPr>
        <w:ind w:left="1165" w:hanging="217"/>
      </w:pPr>
      <w:rPr>
        <w:rFonts w:hint="default"/>
        <w:lang w:val="en-GB" w:eastAsia="en-GB" w:bidi="en-GB"/>
      </w:rPr>
    </w:lvl>
    <w:lvl w:ilvl="6" w:tplc="58BEE2D8">
      <w:numFmt w:val="bullet"/>
      <w:lvlText w:val="•"/>
      <w:lvlJc w:val="left"/>
      <w:pPr>
        <w:ind w:left="1338" w:hanging="217"/>
      </w:pPr>
      <w:rPr>
        <w:rFonts w:hint="default"/>
        <w:lang w:val="en-GB" w:eastAsia="en-GB" w:bidi="en-GB"/>
      </w:rPr>
    </w:lvl>
    <w:lvl w:ilvl="7" w:tplc="335A9454">
      <w:numFmt w:val="bullet"/>
      <w:lvlText w:val="•"/>
      <w:lvlJc w:val="left"/>
      <w:pPr>
        <w:ind w:left="1511" w:hanging="217"/>
      </w:pPr>
      <w:rPr>
        <w:rFonts w:hint="default"/>
        <w:lang w:val="en-GB" w:eastAsia="en-GB" w:bidi="en-GB"/>
      </w:rPr>
    </w:lvl>
    <w:lvl w:ilvl="8" w:tplc="DD222224">
      <w:numFmt w:val="bullet"/>
      <w:lvlText w:val="•"/>
      <w:lvlJc w:val="left"/>
      <w:pPr>
        <w:ind w:left="1684" w:hanging="217"/>
      </w:pPr>
      <w:rPr>
        <w:rFonts w:hint="default"/>
        <w:lang w:val="en-GB" w:eastAsia="en-GB" w:bidi="en-GB"/>
      </w:rPr>
    </w:lvl>
  </w:abstractNum>
  <w:abstractNum w:abstractNumId="669" w15:restartNumberingAfterBreak="0">
    <w:nsid w:val="3E586874"/>
    <w:multiLevelType w:val="hybridMultilevel"/>
    <w:tmpl w:val="E83A7C56"/>
    <w:lvl w:ilvl="0" w:tplc="5316C9F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25940914">
      <w:numFmt w:val="bullet"/>
      <w:lvlText w:val="•"/>
      <w:lvlJc w:val="left"/>
      <w:pPr>
        <w:ind w:left="541" w:hanging="217"/>
      </w:pPr>
      <w:rPr>
        <w:rFonts w:hint="default"/>
        <w:lang w:val="en-GB" w:eastAsia="en-GB" w:bidi="en-GB"/>
      </w:rPr>
    </w:lvl>
    <w:lvl w:ilvl="2" w:tplc="C4A2234C">
      <w:numFmt w:val="bullet"/>
      <w:lvlText w:val="•"/>
      <w:lvlJc w:val="left"/>
      <w:pPr>
        <w:ind w:left="782" w:hanging="217"/>
      </w:pPr>
      <w:rPr>
        <w:rFonts w:hint="default"/>
        <w:lang w:val="en-GB" w:eastAsia="en-GB" w:bidi="en-GB"/>
      </w:rPr>
    </w:lvl>
    <w:lvl w:ilvl="3" w:tplc="624A1AC4">
      <w:numFmt w:val="bullet"/>
      <w:lvlText w:val="•"/>
      <w:lvlJc w:val="left"/>
      <w:pPr>
        <w:ind w:left="1023" w:hanging="217"/>
      </w:pPr>
      <w:rPr>
        <w:rFonts w:hint="default"/>
        <w:lang w:val="en-GB" w:eastAsia="en-GB" w:bidi="en-GB"/>
      </w:rPr>
    </w:lvl>
    <w:lvl w:ilvl="4" w:tplc="174E5328">
      <w:numFmt w:val="bullet"/>
      <w:lvlText w:val="•"/>
      <w:lvlJc w:val="left"/>
      <w:pPr>
        <w:ind w:left="1264" w:hanging="217"/>
      </w:pPr>
      <w:rPr>
        <w:rFonts w:hint="default"/>
        <w:lang w:val="en-GB" w:eastAsia="en-GB" w:bidi="en-GB"/>
      </w:rPr>
    </w:lvl>
    <w:lvl w:ilvl="5" w:tplc="7876CC20">
      <w:numFmt w:val="bullet"/>
      <w:lvlText w:val="•"/>
      <w:lvlJc w:val="left"/>
      <w:pPr>
        <w:ind w:left="1505" w:hanging="217"/>
      </w:pPr>
      <w:rPr>
        <w:rFonts w:hint="default"/>
        <w:lang w:val="en-GB" w:eastAsia="en-GB" w:bidi="en-GB"/>
      </w:rPr>
    </w:lvl>
    <w:lvl w:ilvl="6" w:tplc="9D068C0C">
      <w:numFmt w:val="bullet"/>
      <w:lvlText w:val="•"/>
      <w:lvlJc w:val="left"/>
      <w:pPr>
        <w:ind w:left="1746" w:hanging="217"/>
      </w:pPr>
      <w:rPr>
        <w:rFonts w:hint="default"/>
        <w:lang w:val="en-GB" w:eastAsia="en-GB" w:bidi="en-GB"/>
      </w:rPr>
    </w:lvl>
    <w:lvl w:ilvl="7" w:tplc="4C6C295E">
      <w:numFmt w:val="bullet"/>
      <w:lvlText w:val="•"/>
      <w:lvlJc w:val="left"/>
      <w:pPr>
        <w:ind w:left="1987" w:hanging="217"/>
      </w:pPr>
      <w:rPr>
        <w:rFonts w:hint="default"/>
        <w:lang w:val="en-GB" w:eastAsia="en-GB" w:bidi="en-GB"/>
      </w:rPr>
    </w:lvl>
    <w:lvl w:ilvl="8" w:tplc="5D9C855C">
      <w:numFmt w:val="bullet"/>
      <w:lvlText w:val="•"/>
      <w:lvlJc w:val="left"/>
      <w:pPr>
        <w:ind w:left="2228" w:hanging="217"/>
      </w:pPr>
      <w:rPr>
        <w:rFonts w:hint="default"/>
        <w:lang w:val="en-GB" w:eastAsia="en-GB" w:bidi="en-GB"/>
      </w:rPr>
    </w:lvl>
  </w:abstractNum>
  <w:abstractNum w:abstractNumId="670" w15:restartNumberingAfterBreak="0">
    <w:nsid w:val="3E5E5EF9"/>
    <w:multiLevelType w:val="hybridMultilevel"/>
    <w:tmpl w:val="93D4C14C"/>
    <w:lvl w:ilvl="0" w:tplc="01764BF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41A647C">
      <w:numFmt w:val="bullet"/>
      <w:lvlText w:val="•"/>
      <w:lvlJc w:val="left"/>
      <w:pPr>
        <w:ind w:left="473" w:hanging="217"/>
      </w:pPr>
      <w:rPr>
        <w:rFonts w:hint="default"/>
        <w:lang w:val="en-GB" w:eastAsia="en-GB" w:bidi="en-GB"/>
      </w:rPr>
    </w:lvl>
    <w:lvl w:ilvl="2" w:tplc="6F101110">
      <w:numFmt w:val="bullet"/>
      <w:lvlText w:val="•"/>
      <w:lvlJc w:val="left"/>
      <w:pPr>
        <w:ind w:left="646" w:hanging="217"/>
      </w:pPr>
      <w:rPr>
        <w:rFonts w:hint="default"/>
        <w:lang w:val="en-GB" w:eastAsia="en-GB" w:bidi="en-GB"/>
      </w:rPr>
    </w:lvl>
    <w:lvl w:ilvl="3" w:tplc="DD20C422">
      <w:numFmt w:val="bullet"/>
      <w:lvlText w:val="•"/>
      <w:lvlJc w:val="left"/>
      <w:pPr>
        <w:ind w:left="819" w:hanging="217"/>
      </w:pPr>
      <w:rPr>
        <w:rFonts w:hint="default"/>
        <w:lang w:val="en-GB" w:eastAsia="en-GB" w:bidi="en-GB"/>
      </w:rPr>
    </w:lvl>
    <w:lvl w:ilvl="4" w:tplc="D75C7954">
      <w:numFmt w:val="bullet"/>
      <w:lvlText w:val="•"/>
      <w:lvlJc w:val="left"/>
      <w:pPr>
        <w:ind w:left="992" w:hanging="217"/>
      </w:pPr>
      <w:rPr>
        <w:rFonts w:hint="default"/>
        <w:lang w:val="en-GB" w:eastAsia="en-GB" w:bidi="en-GB"/>
      </w:rPr>
    </w:lvl>
    <w:lvl w:ilvl="5" w:tplc="2A2EA464">
      <w:numFmt w:val="bullet"/>
      <w:lvlText w:val="•"/>
      <w:lvlJc w:val="left"/>
      <w:pPr>
        <w:ind w:left="1165" w:hanging="217"/>
      </w:pPr>
      <w:rPr>
        <w:rFonts w:hint="default"/>
        <w:lang w:val="en-GB" w:eastAsia="en-GB" w:bidi="en-GB"/>
      </w:rPr>
    </w:lvl>
    <w:lvl w:ilvl="6" w:tplc="025E4530">
      <w:numFmt w:val="bullet"/>
      <w:lvlText w:val="•"/>
      <w:lvlJc w:val="left"/>
      <w:pPr>
        <w:ind w:left="1338" w:hanging="217"/>
      </w:pPr>
      <w:rPr>
        <w:rFonts w:hint="default"/>
        <w:lang w:val="en-GB" w:eastAsia="en-GB" w:bidi="en-GB"/>
      </w:rPr>
    </w:lvl>
    <w:lvl w:ilvl="7" w:tplc="A768B56C">
      <w:numFmt w:val="bullet"/>
      <w:lvlText w:val="•"/>
      <w:lvlJc w:val="left"/>
      <w:pPr>
        <w:ind w:left="1511" w:hanging="217"/>
      </w:pPr>
      <w:rPr>
        <w:rFonts w:hint="default"/>
        <w:lang w:val="en-GB" w:eastAsia="en-GB" w:bidi="en-GB"/>
      </w:rPr>
    </w:lvl>
    <w:lvl w:ilvl="8" w:tplc="736ED6E8">
      <w:numFmt w:val="bullet"/>
      <w:lvlText w:val="•"/>
      <w:lvlJc w:val="left"/>
      <w:pPr>
        <w:ind w:left="1684" w:hanging="217"/>
      </w:pPr>
      <w:rPr>
        <w:rFonts w:hint="default"/>
        <w:lang w:val="en-GB" w:eastAsia="en-GB" w:bidi="en-GB"/>
      </w:rPr>
    </w:lvl>
  </w:abstractNum>
  <w:abstractNum w:abstractNumId="671" w15:restartNumberingAfterBreak="0">
    <w:nsid w:val="3E8838F7"/>
    <w:multiLevelType w:val="hybridMultilevel"/>
    <w:tmpl w:val="41329000"/>
    <w:lvl w:ilvl="0" w:tplc="DFFC5A82">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83F4A288">
      <w:numFmt w:val="bullet"/>
      <w:lvlText w:val="•"/>
      <w:lvlJc w:val="left"/>
      <w:pPr>
        <w:ind w:left="473" w:hanging="217"/>
      </w:pPr>
      <w:rPr>
        <w:rFonts w:hint="default"/>
        <w:lang w:val="en-GB" w:eastAsia="en-GB" w:bidi="en-GB"/>
      </w:rPr>
    </w:lvl>
    <w:lvl w:ilvl="2" w:tplc="D5EA221C">
      <w:numFmt w:val="bullet"/>
      <w:lvlText w:val="•"/>
      <w:lvlJc w:val="left"/>
      <w:pPr>
        <w:ind w:left="646" w:hanging="217"/>
      </w:pPr>
      <w:rPr>
        <w:rFonts w:hint="default"/>
        <w:lang w:val="en-GB" w:eastAsia="en-GB" w:bidi="en-GB"/>
      </w:rPr>
    </w:lvl>
    <w:lvl w:ilvl="3" w:tplc="18B2DFDE">
      <w:numFmt w:val="bullet"/>
      <w:lvlText w:val="•"/>
      <w:lvlJc w:val="left"/>
      <w:pPr>
        <w:ind w:left="819" w:hanging="217"/>
      </w:pPr>
      <w:rPr>
        <w:rFonts w:hint="default"/>
        <w:lang w:val="en-GB" w:eastAsia="en-GB" w:bidi="en-GB"/>
      </w:rPr>
    </w:lvl>
    <w:lvl w:ilvl="4" w:tplc="F858F514">
      <w:numFmt w:val="bullet"/>
      <w:lvlText w:val="•"/>
      <w:lvlJc w:val="left"/>
      <w:pPr>
        <w:ind w:left="992" w:hanging="217"/>
      </w:pPr>
      <w:rPr>
        <w:rFonts w:hint="default"/>
        <w:lang w:val="en-GB" w:eastAsia="en-GB" w:bidi="en-GB"/>
      </w:rPr>
    </w:lvl>
    <w:lvl w:ilvl="5" w:tplc="C5A01212">
      <w:numFmt w:val="bullet"/>
      <w:lvlText w:val="•"/>
      <w:lvlJc w:val="left"/>
      <w:pPr>
        <w:ind w:left="1165" w:hanging="217"/>
      </w:pPr>
      <w:rPr>
        <w:rFonts w:hint="default"/>
        <w:lang w:val="en-GB" w:eastAsia="en-GB" w:bidi="en-GB"/>
      </w:rPr>
    </w:lvl>
    <w:lvl w:ilvl="6" w:tplc="9692DE66">
      <w:numFmt w:val="bullet"/>
      <w:lvlText w:val="•"/>
      <w:lvlJc w:val="left"/>
      <w:pPr>
        <w:ind w:left="1338" w:hanging="217"/>
      </w:pPr>
      <w:rPr>
        <w:rFonts w:hint="default"/>
        <w:lang w:val="en-GB" w:eastAsia="en-GB" w:bidi="en-GB"/>
      </w:rPr>
    </w:lvl>
    <w:lvl w:ilvl="7" w:tplc="97423932">
      <w:numFmt w:val="bullet"/>
      <w:lvlText w:val="•"/>
      <w:lvlJc w:val="left"/>
      <w:pPr>
        <w:ind w:left="1511" w:hanging="217"/>
      </w:pPr>
      <w:rPr>
        <w:rFonts w:hint="default"/>
        <w:lang w:val="en-GB" w:eastAsia="en-GB" w:bidi="en-GB"/>
      </w:rPr>
    </w:lvl>
    <w:lvl w:ilvl="8" w:tplc="B964A930">
      <w:numFmt w:val="bullet"/>
      <w:lvlText w:val="•"/>
      <w:lvlJc w:val="left"/>
      <w:pPr>
        <w:ind w:left="1684" w:hanging="217"/>
      </w:pPr>
      <w:rPr>
        <w:rFonts w:hint="default"/>
        <w:lang w:val="en-GB" w:eastAsia="en-GB" w:bidi="en-GB"/>
      </w:rPr>
    </w:lvl>
  </w:abstractNum>
  <w:abstractNum w:abstractNumId="672" w15:restartNumberingAfterBreak="0">
    <w:nsid w:val="3EAD3AAB"/>
    <w:multiLevelType w:val="hybridMultilevel"/>
    <w:tmpl w:val="F73E9070"/>
    <w:lvl w:ilvl="0" w:tplc="89D4039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D82A0D8">
      <w:numFmt w:val="bullet"/>
      <w:lvlText w:val="•"/>
      <w:lvlJc w:val="left"/>
      <w:pPr>
        <w:ind w:left="541" w:hanging="217"/>
      </w:pPr>
      <w:rPr>
        <w:rFonts w:hint="default"/>
        <w:lang w:val="en-GB" w:eastAsia="en-GB" w:bidi="en-GB"/>
      </w:rPr>
    </w:lvl>
    <w:lvl w:ilvl="2" w:tplc="1786C11E">
      <w:numFmt w:val="bullet"/>
      <w:lvlText w:val="•"/>
      <w:lvlJc w:val="left"/>
      <w:pPr>
        <w:ind w:left="782" w:hanging="217"/>
      </w:pPr>
      <w:rPr>
        <w:rFonts w:hint="default"/>
        <w:lang w:val="en-GB" w:eastAsia="en-GB" w:bidi="en-GB"/>
      </w:rPr>
    </w:lvl>
    <w:lvl w:ilvl="3" w:tplc="0FE4E442">
      <w:numFmt w:val="bullet"/>
      <w:lvlText w:val="•"/>
      <w:lvlJc w:val="left"/>
      <w:pPr>
        <w:ind w:left="1023" w:hanging="217"/>
      </w:pPr>
      <w:rPr>
        <w:rFonts w:hint="default"/>
        <w:lang w:val="en-GB" w:eastAsia="en-GB" w:bidi="en-GB"/>
      </w:rPr>
    </w:lvl>
    <w:lvl w:ilvl="4" w:tplc="770EE656">
      <w:numFmt w:val="bullet"/>
      <w:lvlText w:val="•"/>
      <w:lvlJc w:val="left"/>
      <w:pPr>
        <w:ind w:left="1264" w:hanging="217"/>
      </w:pPr>
      <w:rPr>
        <w:rFonts w:hint="default"/>
        <w:lang w:val="en-GB" w:eastAsia="en-GB" w:bidi="en-GB"/>
      </w:rPr>
    </w:lvl>
    <w:lvl w:ilvl="5" w:tplc="0A4690CC">
      <w:numFmt w:val="bullet"/>
      <w:lvlText w:val="•"/>
      <w:lvlJc w:val="left"/>
      <w:pPr>
        <w:ind w:left="1505" w:hanging="217"/>
      </w:pPr>
      <w:rPr>
        <w:rFonts w:hint="default"/>
        <w:lang w:val="en-GB" w:eastAsia="en-GB" w:bidi="en-GB"/>
      </w:rPr>
    </w:lvl>
    <w:lvl w:ilvl="6" w:tplc="6EA08788">
      <w:numFmt w:val="bullet"/>
      <w:lvlText w:val="•"/>
      <w:lvlJc w:val="left"/>
      <w:pPr>
        <w:ind w:left="1746" w:hanging="217"/>
      </w:pPr>
      <w:rPr>
        <w:rFonts w:hint="default"/>
        <w:lang w:val="en-GB" w:eastAsia="en-GB" w:bidi="en-GB"/>
      </w:rPr>
    </w:lvl>
    <w:lvl w:ilvl="7" w:tplc="E1007464">
      <w:numFmt w:val="bullet"/>
      <w:lvlText w:val="•"/>
      <w:lvlJc w:val="left"/>
      <w:pPr>
        <w:ind w:left="1987" w:hanging="217"/>
      </w:pPr>
      <w:rPr>
        <w:rFonts w:hint="default"/>
        <w:lang w:val="en-GB" w:eastAsia="en-GB" w:bidi="en-GB"/>
      </w:rPr>
    </w:lvl>
    <w:lvl w:ilvl="8" w:tplc="9716B63E">
      <w:numFmt w:val="bullet"/>
      <w:lvlText w:val="•"/>
      <w:lvlJc w:val="left"/>
      <w:pPr>
        <w:ind w:left="2228" w:hanging="217"/>
      </w:pPr>
      <w:rPr>
        <w:rFonts w:hint="default"/>
        <w:lang w:val="en-GB" w:eastAsia="en-GB" w:bidi="en-GB"/>
      </w:rPr>
    </w:lvl>
  </w:abstractNum>
  <w:abstractNum w:abstractNumId="673" w15:restartNumberingAfterBreak="0">
    <w:nsid w:val="3EC01EEC"/>
    <w:multiLevelType w:val="hybridMultilevel"/>
    <w:tmpl w:val="E8826482"/>
    <w:lvl w:ilvl="0" w:tplc="6F4E9380">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3BA20DFC">
      <w:numFmt w:val="bullet"/>
      <w:lvlText w:val="•"/>
      <w:lvlJc w:val="left"/>
      <w:pPr>
        <w:ind w:left="473" w:hanging="217"/>
      </w:pPr>
      <w:rPr>
        <w:rFonts w:hint="default"/>
        <w:lang w:val="en-GB" w:eastAsia="en-GB" w:bidi="en-GB"/>
      </w:rPr>
    </w:lvl>
    <w:lvl w:ilvl="2" w:tplc="F1E44494">
      <w:numFmt w:val="bullet"/>
      <w:lvlText w:val="•"/>
      <w:lvlJc w:val="left"/>
      <w:pPr>
        <w:ind w:left="646" w:hanging="217"/>
      </w:pPr>
      <w:rPr>
        <w:rFonts w:hint="default"/>
        <w:lang w:val="en-GB" w:eastAsia="en-GB" w:bidi="en-GB"/>
      </w:rPr>
    </w:lvl>
    <w:lvl w:ilvl="3" w:tplc="76587206">
      <w:numFmt w:val="bullet"/>
      <w:lvlText w:val="•"/>
      <w:lvlJc w:val="left"/>
      <w:pPr>
        <w:ind w:left="819" w:hanging="217"/>
      </w:pPr>
      <w:rPr>
        <w:rFonts w:hint="default"/>
        <w:lang w:val="en-GB" w:eastAsia="en-GB" w:bidi="en-GB"/>
      </w:rPr>
    </w:lvl>
    <w:lvl w:ilvl="4" w:tplc="DC065558">
      <w:numFmt w:val="bullet"/>
      <w:lvlText w:val="•"/>
      <w:lvlJc w:val="left"/>
      <w:pPr>
        <w:ind w:left="992" w:hanging="217"/>
      </w:pPr>
      <w:rPr>
        <w:rFonts w:hint="default"/>
        <w:lang w:val="en-GB" w:eastAsia="en-GB" w:bidi="en-GB"/>
      </w:rPr>
    </w:lvl>
    <w:lvl w:ilvl="5" w:tplc="86CA9006">
      <w:numFmt w:val="bullet"/>
      <w:lvlText w:val="•"/>
      <w:lvlJc w:val="left"/>
      <w:pPr>
        <w:ind w:left="1165" w:hanging="217"/>
      </w:pPr>
      <w:rPr>
        <w:rFonts w:hint="default"/>
        <w:lang w:val="en-GB" w:eastAsia="en-GB" w:bidi="en-GB"/>
      </w:rPr>
    </w:lvl>
    <w:lvl w:ilvl="6" w:tplc="996AFCEE">
      <w:numFmt w:val="bullet"/>
      <w:lvlText w:val="•"/>
      <w:lvlJc w:val="left"/>
      <w:pPr>
        <w:ind w:left="1338" w:hanging="217"/>
      </w:pPr>
      <w:rPr>
        <w:rFonts w:hint="default"/>
        <w:lang w:val="en-GB" w:eastAsia="en-GB" w:bidi="en-GB"/>
      </w:rPr>
    </w:lvl>
    <w:lvl w:ilvl="7" w:tplc="B98C9D9E">
      <w:numFmt w:val="bullet"/>
      <w:lvlText w:val="•"/>
      <w:lvlJc w:val="left"/>
      <w:pPr>
        <w:ind w:left="1511" w:hanging="217"/>
      </w:pPr>
      <w:rPr>
        <w:rFonts w:hint="default"/>
        <w:lang w:val="en-GB" w:eastAsia="en-GB" w:bidi="en-GB"/>
      </w:rPr>
    </w:lvl>
    <w:lvl w:ilvl="8" w:tplc="582615A6">
      <w:numFmt w:val="bullet"/>
      <w:lvlText w:val="•"/>
      <w:lvlJc w:val="left"/>
      <w:pPr>
        <w:ind w:left="1684" w:hanging="217"/>
      </w:pPr>
      <w:rPr>
        <w:rFonts w:hint="default"/>
        <w:lang w:val="en-GB" w:eastAsia="en-GB" w:bidi="en-GB"/>
      </w:rPr>
    </w:lvl>
  </w:abstractNum>
  <w:abstractNum w:abstractNumId="674" w15:restartNumberingAfterBreak="0">
    <w:nsid w:val="3EE04B42"/>
    <w:multiLevelType w:val="hybridMultilevel"/>
    <w:tmpl w:val="D0B6839A"/>
    <w:lvl w:ilvl="0" w:tplc="1438F3B6">
      <w:numFmt w:val="bullet"/>
      <w:lvlText w:val="•"/>
      <w:lvlJc w:val="left"/>
      <w:pPr>
        <w:ind w:left="304" w:hanging="217"/>
      </w:pPr>
      <w:rPr>
        <w:rFonts w:ascii="Arial" w:eastAsia="Arial" w:hAnsi="Arial" w:cs="Arial" w:hint="default"/>
        <w:color w:val="231F20"/>
        <w:w w:val="100"/>
        <w:sz w:val="18"/>
        <w:szCs w:val="18"/>
        <w:lang w:val="en-GB" w:eastAsia="en-GB" w:bidi="en-GB"/>
      </w:rPr>
    </w:lvl>
    <w:lvl w:ilvl="1" w:tplc="225A4B34">
      <w:numFmt w:val="bullet"/>
      <w:lvlText w:val="•"/>
      <w:lvlJc w:val="left"/>
      <w:pPr>
        <w:ind w:left="467" w:hanging="217"/>
      </w:pPr>
      <w:rPr>
        <w:rFonts w:hint="default"/>
        <w:lang w:val="en-GB" w:eastAsia="en-GB" w:bidi="en-GB"/>
      </w:rPr>
    </w:lvl>
    <w:lvl w:ilvl="2" w:tplc="843C6758">
      <w:numFmt w:val="bullet"/>
      <w:lvlText w:val="•"/>
      <w:lvlJc w:val="left"/>
      <w:pPr>
        <w:ind w:left="634" w:hanging="217"/>
      </w:pPr>
      <w:rPr>
        <w:rFonts w:hint="default"/>
        <w:lang w:val="en-GB" w:eastAsia="en-GB" w:bidi="en-GB"/>
      </w:rPr>
    </w:lvl>
    <w:lvl w:ilvl="3" w:tplc="3050C2CA">
      <w:numFmt w:val="bullet"/>
      <w:lvlText w:val="•"/>
      <w:lvlJc w:val="left"/>
      <w:pPr>
        <w:ind w:left="802" w:hanging="217"/>
      </w:pPr>
      <w:rPr>
        <w:rFonts w:hint="default"/>
        <w:lang w:val="en-GB" w:eastAsia="en-GB" w:bidi="en-GB"/>
      </w:rPr>
    </w:lvl>
    <w:lvl w:ilvl="4" w:tplc="75666C0A">
      <w:numFmt w:val="bullet"/>
      <w:lvlText w:val="•"/>
      <w:lvlJc w:val="left"/>
      <w:pPr>
        <w:ind w:left="969" w:hanging="217"/>
      </w:pPr>
      <w:rPr>
        <w:rFonts w:hint="default"/>
        <w:lang w:val="en-GB" w:eastAsia="en-GB" w:bidi="en-GB"/>
      </w:rPr>
    </w:lvl>
    <w:lvl w:ilvl="5" w:tplc="1EF87260">
      <w:numFmt w:val="bullet"/>
      <w:lvlText w:val="•"/>
      <w:lvlJc w:val="left"/>
      <w:pPr>
        <w:ind w:left="1137" w:hanging="217"/>
      </w:pPr>
      <w:rPr>
        <w:rFonts w:hint="default"/>
        <w:lang w:val="en-GB" w:eastAsia="en-GB" w:bidi="en-GB"/>
      </w:rPr>
    </w:lvl>
    <w:lvl w:ilvl="6" w:tplc="4E3EF68C">
      <w:numFmt w:val="bullet"/>
      <w:lvlText w:val="•"/>
      <w:lvlJc w:val="left"/>
      <w:pPr>
        <w:ind w:left="1304" w:hanging="217"/>
      </w:pPr>
      <w:rPr>
        <w:rFonts w:hint="default"/>
        <w:lang w:val="en-GB" w:eastAsia="en-GB" w:bidi="en-GB"/>
      </w:rPr>
    </w:lvl>
    <w:lvl w:ilvl="7" w:tplc="F1365FE0">
      <w:numFmt w:val="bullet"/>
      <w:lvlText w:val="•"/>
      <w:lvlJc w:val="left"/>
      <w:pPr>
        <w:ind w:left="1471" w:hanging="217"/>
      </w:pPr>
      <w:rPr>
        <w:rFonts w:hint="default"/>
        <w:lang w:val="en-GB" w:eastAsia="en-GB" w:bidi="en-GB"/>
      </w:rPr>
    </w:lvl>
    <w:lvl w:ilvl="8" w:tplc="8DA0A1DE">
      <w:numFmt w:val="bullet"/>
      <w:lvlText w:val="•"/>
      <w:lvlJc w:val="left"/>
      <w:pPr>
        <w:ind w:left="1639" w:hanging="217"/>
      </w:pPr>
      <w:rPr>
        <w:rFonts w:hint="default"/>
        <w:lang w:val="en-GB" w:eastAsia="en-GB" w:bidi="en-GB"/>
      </w:rPr>
    </w:lvl>
  </w:abstractNum>
  <w:abstractNum w:abstractNumId="675" w15:restartNumberingAfterBreak="0">
    <w:nsid w:val="3F473F60"/>
    <w:multiLevelType w:val="hybridMultilevel"/>
    <w:tmpl w:val="E8849058"/>
    <w:lvl w:ilvl="0" w:tplc="1EDADBBE">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92CAF126">
      <w:numFmt w:val="bullet"/>
      <w:lvlText w:val="•"/>
      <w:lvlJc w:val="left"/>
      <w:pPr>
        <w:ind w:left="473" w:hanging="217"/>
      </w:pPr>
      <w:rPr>
        <w:rFonts w:hint="default"/>
        <w:lang w:val="en-GB" w:eastAsia="en-GB" w:bidi="en-GB"/>
      </w:rPr>
    </w:lvl>
    <w:lvl w:ilvl="2" w:tplc="DAEC429C">
      <w:numFmt w:val="bullet"/>
      <w:lvlText w:val="•"/>
      <w:lvlJc w:val="left"/>
      <w:pPr>
        <w:ind w:left="646" w:hanging="217"/>
      </w:pPr>
      <w:rPr>
        <w:rFonts w:hint="default"/>
        <w:lang w:val="en-GB" w:eastAsia="en-GB" w:bidi="en-GB"/>
      </w:rPr>
    </w:lvl>
    <w:lvl w:ilvl="3" w:tplc="C16AB402">
      <w:numFmt w:val="bullet"/>
      <w:lvlText w:val="•"/>
      <w:lvlJc w:val="left"/>
      <w:pPr>
        <w:ind w:left="819" w:hanging="217"/>
      </w:pPr>
      <w:rPr>
        <w:rFonts w:hint="default"/>
        <w:lang w:val="en-GB" w:eastAsia="en-GB" w:bidi="en-GB"/>
      </w:rPr>
    </w:lvl>
    <w:lvl w:ilvl="4" w:tplc="449ED104">
      <w:numFmt w:val="bullet"/>
      <w:lvlText w:val="•"/>
      <w:lvlJc w:val="left"/>
      <w:pPr>
        <w:ind w:left="992" w:hanging="217"/>
      </w:pPr>
      <w:rPr>
        <w:rFonts w:hint="default"/>
        <w:lang w:val="en-GB" w:eastAsia="en-GB" w:bidi="en-GB"/>
      </w:rPr>
    </w:lvl>
    <w:lvl w:ilvl="5" w:tplc="08E6E1D2">
      <w:numFmt w:val="bullet"/>
      <w:lvlText w:val="•"/>
      <w:lvlJc w:val="left"/>
      <w:pPr>
        <w:ind w:left="1165" w:hanging="217"/>
      </w:pPr>
      <w:rPr>
        <w:rFonts w:hint="default"/>
        <w:lang w:val="en-GB" w:eastAsia="en-GB" w:bidi="en-GB"/>
      </w:rPr>
    </w:lvl>
    <w:lvl w:ilvl="6" w:tplc="DC680214">
      <w:numFmt w:val="bullet"/>
      <w:lvlText w:val="•"/>
      <w:lvlJc w:val="left"/>
      <w:pPr>
        <w:ind w:left="1338" w:hanging="217"/>
      </w:pPr>
      <w:rPr>
        <w:rFonts w:hint="default"/>
        <w:lang w:val="en-GB" w:eastAsia="en-GB" w:bidi="en-GB"/>
      </w:rPr>
    </w:lvl>
    <w:lvl w:ilvl="7" w:tplc="11925C66">
      <w:numFmt w:val="bullet"/>
      <w:lvlText w:val="•"/>
      <w:lvlJc w:val="left"/>
      <w:pPr>
        <w:ind w:left="1511" w:hanging="217"/>
      </w:pPr>
      <w:rPr>
        <w:rFonts w:hint="default"/>
        <w:lang w:val="en-GB" w:eastAsia="en-GB" w:bidi="en-GB"/>
      </w:rPr>
    </w:lvl>
    <w:lvl w:ilvl="8" w:tplc="0A965B0E">
      <w:numFmt w:val="bullet"/>
      <w:lvlText w:val="•"/>
      <w:lvlJc w:val="left"/>
      <w:pPr>
        <w:ind w:left="1684" w:hanging="217"/>
      </w:pPr>
      <w:rPr>
        <w:rFonts w:hint="default"/>
        <w:lang w:val="en-GB" w:eastAsia="en-GB" w:bidi="en-GB"/>
      </w:rPr>
    </w:lvl>
  </w:abstractNum>
  <w:abstractNum w:abstractNumId="676" w15:restartNumberingAfterBreak="0">
    <w:nsid w:val="3F4B51CC"/>
    <w:multiLevelType w:val="hybridMultilevel"/>
    <w:tmpl w:val="91027662"/>
    <w:lvl w:ilvl="0" w:tplc="159412DA">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ADD430E8">
      <w:numFmt w:val="bullet"/>
      <w:lvlText w:val="•"/>
      <w:lvlJc w:val="left"/>
      <w:pPr>
        <w:ind w:left="892" w:hanging="217"/>
      </w:pPr>
      <w:rPr>
        <w:rFonts w:hint="default"/>
        <w:lang w:val="en-GB" w:eastAsia="en-GB" w:bidi="en-GB"/>
      </w:rPr>
    </w:lvl>
    <w:lvl w:ilvl="2" w:tplc="A008E00A">
      <w:numFmt w:val="bullet"/>
      <w:lvlText w:val="•"/>
      <w:lvlJc w:val="left"/>
      <w:pPr>
        <w:ind w:left="1485" w:hanging="217"/>
      </w:pPr>
      <w:rPr>
        <w:rFonts w:hint="default"/>
        <w:lang w:val="en-GB" w:eastAsia="en-GB" w:bidi="en-GB"/>
      </w:rPr>
    </w:lvl>
    <w:lvl w:ilvl="3" w:tplc="9B9C3D1C">
      <w:numFmt w:val="bullet"/>
      <w:lvlText w:val="•"/>
      <w:lvlJc w:val="left"/>
      <w:pPr>
        <w:ind w:left="2077" w:hanging="217"/>
      </w:pPr>
      <w:rPr>
        <w:rFonts w:hint="default"/>
        <w:lang w:val="en-GB" w:eastAsia="en-GB" w:bidi="en-GB"/>
      </w:rPr>
    </w:lvl>
    <w:lvl w:ilvl="4" w:tplc="A3E4E7E4">
      <w:numFmt w:val="bullet"/>
      <w:lvlText w:val="•"/>
      <w:lvlJc w:val="left"/>
      <w:pPr>
        <w:ind w:left="2670" w:hanging="217"/>
      </w:pPr>
      <w:rPr>
        <w:rFonts w:hint="default"/>
        <w:lang w:val="en-GB" w:eastAsia="en-GB" w:bidi="en-GB"/>
      </w:rPr>
    </w:lvl>
    <w:lvl w:ilvl="5" w:tplc="A38CE126">
      <w:numFmt w:val="bullet"/>
      <w:lvlText w:val="•"/>
      <w:lvlJc w:val="left"/>
      <w:pPr>
        <w:ind w:left="3263" w:hanging="217"/>
      </w:pPr>
      <w:rPr>
        <w:rFonts w:hint="default"/>
        <w:lang w:val="en-GB" w:eastAsia="en-GB" w:bidi="en-GB"/>
      </w:rPr>
    </w:lvl>
    <w:lvl w:ilvl="6" w:tplc="EFAE7F62">
      <w:numFmt w:val="bullet"/>
      <w:lvlText w:val="•"/>
      <w:lvlJc w:val="left"/>
      <w:pPr>
        <w:ind w:left="3855" w:hanging="217"/>
      </w:pPr>
      <w:rPr>
        <w:rFonts w:hint="default"/>
        <w:lang w:val="en-GB" w:eastAsia="en-GB" w:bidi="en-GB"/>
      </w:rPr>
    </w:lvl>
    <w:lvl w:ilvl="7" w:tplc="2FB82022">
      <w:numFmt w:val="bullet"/>
      <w:lvlText w:val="•"/>
      <w:lvlJc w:val="left"/>
      <w:pPr>
        <w:ind w:left="4448" w:hanging="217"/>
      </w:pPr>
      <w:rPr>
        <w:rFonts w:hint="default"/>
        <w:lang w:val="en-GB" w:eastAsia="en-GB" w:bidi="en-GB"/>
      </w:rPr>
    </w:lvl>
    <w:lvl w:ilvl="8" w:tplc="119C0D68">
      <w:numFmt w:val="bullet"/>
      <w:lvlText w:val="•"/>
      <w:lvlJc w:val="left"/>
      <w:pPr>
        <w:ind w:left="5040" w:hanging="217"/>
      </w:pPr>
      <w:rPr>
        <w:rFonts w:hint="default"/>
        <w:lang w:val="en-GB" w:eastAsia="en-GB" w:bidi="en-GB"/>
      </w:rPr>
    </w:lvl>
  </w:abstractNum>
  <w:abstractNum w:abstractNumId="677" w15:restartNumberingAfterBreak="0">
    <w:nsid w:val="3F653AA3"/>
    <w:multiLevelType w:val="hybridMultilevel"/>
    <w:tmpl w:val="92148CE2"/>
    <w:lvl w:ilvl="0" w:tplc="40D8EF48">
      <w:numFmt w:val="bullet"/>
      <w:lvlText w:val="•"/>
      <w:lvlJc w:val="left"/>
      <w:pPr>
        <w:ind w:left="300" w:hanging="217"/>
      </w:pPr>
      <w:rPr>
        <w:rFonts w:ascii="Arial" w:eastAsia="Arial" w:hAnsi="Arial" w:cs="Arial" w:hint="default"/>
        <w:color w:val="231F20"/>
        <w:w w:val="102"/>
        <w:sz w:val="17"/>
        <w:szCs w:val="17"/>
        <w:lang w:val="en-GB" w:eastAsia="en-GB" w:bidi="en-GB"/>
      </w:rPr>
    </w:lvl>
    <w:lvl w:ilvl="1" w:tplc="36166046">
      <w:numFmt w:val="bullet"/>
      <w:lvlText w:val="•"/>
      <w:lvlJc w:val="left"/>
      <w:pPr>
        <w:ind w:left="892" w:hanging="217"/>
      </w:pPr>
      <w:rPr>
        <w:rFonts w:hint="default"/>
        <w:lang w:val="en-GB" w:eastAsia="en-GB" w:bidi="en-GB"/>
      </w:rPr>
    </w:lvl>
    <w:lvl w:ilvl="2" w:tplc="E6468A68">
      <w:numFmt w:val="bullet"/>
      <w:lvlText w:val="•"/>
      <w:lvlJc w:val="left"/>
      <w:pPr>
        <w:ind w:left="1484" w:hanging="217"/>
      </w:pPr>
      <w:rPr>
        <w:rFonts w:hint="default"/>
        <w:lang w:val="en-GB" w:eastAsia="en-GB" w:bidi="en-GB"/>
      </w:rPr>
    </w:lvl>
    <w:lvl w:ilvl="3" w:tplc="2DB62910">
      <w:numFmt w:val="bullet"/>
      <w:lvlText w:val="•"/>
      <w:lvlJc w:val="left"/>
      <w:pPr>
        <w:ind w:left="2076" w:hanging="217"/>
      </w:pPr>
      <w:rPr>
        <w:rFonts w:hint="default"/>
        <w:lang w:val="en-GB" w:eastAsia="en-GB" w:bidi="en-GB"/>
      </w:rPr>
    </w:lvl>
    <w:lvl w:ilvl="4" w:tplc="C1BCC446">
      <w:numFmt w:val="bullet"/>
      <w:lvlText w:val="•"/>
      <w:lvlJc w:val="left"/>
      <w:pPr>
        <w:ind w:left="2668" w:hanging="217"/>
      </w:pPr>
      <w:rPr>
        <w:rFonts w:hint="default"/>
        <w:lang w:val="en-GB" w:eastAsia="en-GB" w:bidi="en-GB"/>
      </w:rPr>
    </w:lvl>
    <w:lvl w:ilvl="5" w:tplc="6C44F946">
      <w:numFmt w:val="bullet"/>
      <w:lvlText w:val="•"/>
      <w:lvlJc w:val="left"/>
      <w:pPr>
        <w:ind w:left="3260" w:hanging="217"/>
      </w:pPr>
      <w:rPr>
        <w:rFonts w:hint="default"/>
        <w:lang w:val="en-GB" w:eastAsia="en-GB" w:bidi="en-GB"/>
      </w:rPr>
    </w:lvl>
    <w:lvl w:ilvl="6" w:tplc="75CCA400">
      <w:numFmt w:val="bullet"/>
      <w:lvlText w:val="•"/>
      <w:lvlJc w:val="left"/>
      <w:pPr>
        <w:ind w:left="3852" w:hanging="217"/>
      </w:pPr>
      <w:rPr>
        <w:rFonts w:hint="default"/>
        <w:lang w:val="en-GB" w:eastAsia="en-GB" w:bidi="en-GB"/>
      </w:rPr>
    </w:lvl>
    <w:lvl w:ilvl="7" w:tplc="283C0510">
      <w:numFmt w:val="bullet"/>
      <w:lvlText w:val="•"/>
      <w:lvlJc w:val="left"/>
      <w:pPr>
        <w:ind w:left="4444" w:hanging="217"/>
      </w:pPr>
      <w:rPr>
        <w:rFonts w:hint="default"/>
        <w:lang w:val="en-GB" w:eastAsia="en-GB" w:bidi="en-GB"/>
      </w:rPr>
    </w:lvl>
    <w:lvl w:ilvl="8" w:tplc="85CC6E20">
      <w:numFmt w:val="bullet"/>
      <w:lvlText w:val="•"/>
      <w:lvlJc w:val="left"/>
      <w:pPr>
        <w:ind w:left="5036" w:hanging="217"/>
      </w:pPr>
      <w:rPr>
        <w:rFonts w:hint="default"/>
        <w:lang w:val="en-GB" w:eastAsia="en-GB" w:bidi="en-GB"/>
      </w:rPr>
    </w:lvl>
  </w:abstractNum>
  <w:abstractNum w:abstractNumId="678" w15:restartNumberingAfterBreak="0">
    <w:nsid w:val="3F723E1A"/>
    <w:multiLevelType w:val="hybridMultilevel"/>
    <w:tmpl w:val="60EEE5D2"/>
    <w:lvl w:ilvl="0" w:tplc="4394FB1A">
      <w:numFmt w:val="bullet"/>
      <w:lvlText w:val="•"/>
      <w:lvlJc w:val="left"/>
      <w:pPr>
        <w:ind w:left="305" w:hanging="217"/>
      </w:pPr>
      <w:rPr>
        <w:rFonts w:ascii="Arial" w:eastAsia="Arial" w:hAnsi="Arial" w:cs="Arial" w:hint="default"/>
        <w:color w:val="231F20"/>
        <w:w w:val="102"/>
        <w:sz w:val="17"/>
        <w:szCs w:val="17"/>
        <w:lang w:val="en-GB" w:eastAsia="en-GB" w:bidi="en-GB"/>
      </w:rPr>
    </w:lvl>
    <w:lvl w:ilvl="1" w:tplc="B4525EA0">
      <w:numFmt w:val="bullet"/>
      <w:lvlText w:val="•"/>
      <w:lvlJc w:val="left"/>
      <w:pPr>
        <w:ind w:left="892" w:hanging="217"/>
      </w:pPr>
      <w:rPr>
        <w:rFonts w:hint="default"/>
        <w:lang w:val="en-GB" w:eastAsia="en-GB" w:bidi="en-GB"/>
      </w:rPr>
    </w:lvl>
    <w:lvl w:ilvl="2" w:tplc="8DFC7D38">
      <w:numFmt w:val="bullet"/>
      <w:lvlText w:val="•"/>
      <w:lvlJc w:val="left"/>
      <w:pPr>
        <w:ind w:left="1485" w:hanging="217"/>
      </w:pPr>
      <w:rPr>
        <w:rFonts w:hint="default"/>
        <w:lang w:val="en-GB" w:eastAsia="en-GB" w:bidi="en-GB"/>
      </w:rPr>
    </w:lvl>
    <w:lvl w:ilvl="3" w:tplc="5A4454FC">
      <w:numFmt w:val="bullet"/>
      <w:lvlText w:val="•"/>
      <w:lvlJc w:val="left"/>
      <w:pPr>
        <w:ind w:left="2077" w:hanging="217"/>
      </w:pPr>
      <w:rPr>
        <w:rFonts w:hint="default"/>
        <w:lang w:val="en-GB" w:eastAsia="en-GB" w:bidi="en-GB"/>
      </w:rPr>
    </w:lvl>
    <w:lvl w:ilvl="4" w:tplc="AF5C114E">
      <w:numFmt w:val="bullet"/>
      <w:lvlText w:val="•"/>
      <w:lvlJc w:val="left"/>
      <w:pPr>
        <w:ind w:left="2670" w:hanging="217"/>
      </w:pPr>
      <w:rPr>
        <w:rFonts w:hint="default"/>
        <w:lang w:val="en-GB" w:eastAsia="en-GB" w:bidi="en-GB"/>
      </w:rPr>
    </w:lvl>
    <w:lvl w:ilvl="5" w:tplc="3068761E">
      <w:numFmt w:val="bullet"/>
      <w:lvlText w:val="•"/>
      <w:lvlJc w:val="left"/>
      <w:pPr>
        <w:ind w:left="3263" w:hanging="217"/>
      </w:pPr>
      <w:rPr>
        <w:rFonts w:hint="default"/>
        <w:lang w:val="en-GB" w:eastAsia="en-GB" w:bidi="en-GB"/>
      </w:rPr>
    </w:lvl>
    <w:lvl w:ilvl="6" w:tplc="EE12AAF8">
      <w:numFmt w:val="bullet"/>
      <w:lvlText w:val="•"/>
      <w:lvlJc w:val="left"/>
      <w:pPr>
        <w:ind w:left="3855" w:hanging="217"/>
      </w:pPr>
      <w:rPr>
        <w:rFonts w:hint="default"/>
        <w:lang w:val="en-GB" w:eastAsia="en-GB" w:bidi="en-GB"/>
      </w:rPr>
    </w:lvl>
    <w:lvl w:ilvl="7" w:tplc="9C6E8F18">
      <w:numFmt w:val="bullet"/>
      <w:lvlText w:val="•"/>
      <w:lvlJc w:val="left"/>
      <w:pPr>
        <w:ind w:left="4448" w:hanging="217"/>
      </w:pPr>
      <w:rPr>
        <w:rFonts w:hint="default"/>
        <w:lang w:val="en-GB" w:eastAsia="en-GB" w:bidi="en-GB"/>
      </w:rPr>
    </w:lvl>
    <w:lvl w:ilvl="8" w:tplc="020AA52C">
      <w:numFmt w:val="bullet"/>
      <w:lvlText w:val="•"/>
      <w:lvlJc w:val="left"/>
      <w:pPr>
        <w:ind w:left="5040" w:hanging="217"/>
      </w:pPr>
      <w:rPr>
        <w:rFonts w:hint="default"/>
        <w:lang w:val="en-GB" w:eastAsia="en-GB" w:bidi="en-GB"/>
      </w:rPr>
    </w:lvl>
  </w:abstractNum>
  <w:abstractNum w:abstractNumId="679" w15:restartNumberingAfterBreak="0">
    <w:nsid w:val="3F7A7A40"/>
    <w:multiLevelType w:val="hybridMultilevel"/>
    <w:tmpl w:val="6298B596"/>
    <w:lvl w:ilvl="0" w:tplc="E9CAB27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6566580">
      <w:numFmt w:val="bullet"/>
      <w:lvlText w:val="•"/>
      <w:lvlJc w:val="left"/>
      <w:pPr>
        <w:ind w:left="439" w:hanging="217"/>
      </w:pPr>
      <w:rPr>
        <w:rFonts w:hint="default"/>
        <w:lang w:val="en-GB" w:eastAsia="en-GB" w:bidi="en-GB"/>
      </w:rPr>
    </w:lvl>
    <w:lvl w:ilvl="2" w:tplc="3E884668">
      <w:numFmt w:val="bullet"/>
      <w:lvlText w:val="•"/>
      <w:lvlJc w:val="left"/>
      <w:pPr>
        <w:ind w:left="578" w:hanging="217"/>
      </w:pPr>
      <w:rPr>
        <w:rFonts w:hint="default"/>
        <w:lang w:val="en-GB" w:eastAsia="en-GB" w:bidi="en-GB"/>
      </w:rPr>
    </w:lvl>
    <w:lvl w:ilvl="3" w:tplc="6FD6E2D8">
      <w:numFmt w:val="bullet"/>
      <w:lvlText w:val="•"/>
      <w:lvlJc w:val="left"/>
      <w:pPr>
        <w:ind w:left="717" w:hanging="217"/>
      </w:pPr>
      <w:rPr>
        <w:rFonts w:hint="default"/>
        <w:lang w:val="en-GB" w:eastAsia="en-GB" w:bidi="en-GB"/>
      </w:rPr>
    </w:lvl>
    <w:lvl w:ilvl="4" w:tplc="2322594A">
      <w:numFmt w:val="bullet"/>
      <w:lvlText w:val="•"/>
      <w:lvlJc w:val="left"/>
      <w:pPr>
        <w:ind w:left="856" w:hanging="217"/>
      </w:pPr>
      <w:rPr>
        <w:rFonts w:hint="default"/>
        <w:lang w:val="en-GB" w:eastAsia="en-GB" w:bidi="en-GB"/>
      </w:rPr>
    </w:lvl>
    <w:lvl w:ilvl="5" w:tplc="E544E02E">
      <w:numFmt w:val="bullet"/>
      <w:lvlText w:val="•"/>
      <w:lvlJc w:val="left"/>
      <w:pPr>
        <w:ind w:left="995" w:hanging="217"/>
      </w:pPr>
      <w:rPr>
        <w:rFonts w:hint="default"/>
        <w:lang w:val="en-GB" w:eastAsia="en-GB" w:bidi="en-GB"/>
      </w:rPr>
    </w:lvl>
    <w:lvl w:ilvl="6" w:tplc="07D23ECC">
      <w:numFmt w:val="bullet"/>
      <w:lvlText w:val="•"/>
      <w:lvlJc w:val="left"/>
      <w:pPr>
        <w:ind w:left="1134" w:hanging="217"/>
      </w:pPr>
      <w:rPr>
        <w:rFonts w:hint="default"/>
        <w:lang w:val="en-GB" w:eastAsia="en-GB" w:bidi="en-GB"/>
      </w:rPr>
    </w:lvl>
    <w:lvl w:ilvl="7" w:tplc="87E612E6">
      <w:numFmt w:val="bullet"/>
      <w:lvlText w:val="•"/>
      <w:lvlJc w:val="left"/>
      <w:pPr>
        <w:ind w:left="1273" w:hanging="217"/>
      </w:pPr>
      <w:rPr>
        <w:rFonts w:hint="default"/>
        <w:lang w:val="en-GB" w:eastAsia="en-GB" w:bidi="en-GB"/>
      </w:rPr>
    </w:lvl>
    <w:lvl w:ilvl="8" w:tplc="6DFE4C34">
      <w:numFmt w:val="bullet"/>
      <w:lvlText w:val="•"/>
      <w:lvlJc w:val="left"/>
      <w:pPr>
        <w:ind w:left="1412" w:hanging="217"/>
      </w:pPr>
      <w:rPr>
        <w:rFonts w:hint="default"/>
        <w:lang w:val="en-GB" w:eastAsia="en-GB" w:bidi="en-GB"/>
      </w:rPr>
    </w:lvl>
  </w:abstractNum>
  <w:abstractNum w:abstractNumId="680" w15:restartNumberingAfterBreak="0">
    <w:nsid w:val="3F9F70E1"/>
    <w:multiLevelType w:val="hybridMultilevel"/>
    <w:tmpl w:val="4C9A49BA"/>
    <w:lvl w:ilvl="0" w:tplc="C87E280A">
      <w:numFmt w:val="bullet"/>
      <w:lvlText w:val="•"/>
      <w:lvlJc w:val="left"/>
      <w:pPr>
        <w:ind w:left="300" w:hanging="217"/>
      </w:pPr>
      <w:rPr>
        <w:rFonts w:ascii="Arial" w:eastAsia="Arial" w:hAnsi="Arial" w:cs="Arial" w:hint="default"/>
        <w:color w:val="231F20"/>
        <w:w w:val="102"/>
        <w:sz w:val="17"/>
        <w:szCs w:val="17"/>
        <w:lang w:val="en-GB" w:eastAsia="en-GB" w:bidi="en-GB"/>
      </w:rPr>
    </w:lvl>
    <w:lvl w:ilvl="1" w:tplc="720E1856">
      <w:numFmt w:val="bullet"/>
      <w:lvlText w:val="•"/>
      <w:lvlJc w:val="left"/>
      <w:pPr>
        <w:ind w:left="892" w:hanging="217"/>
      </w:pPr>
      <w:rPr>
        <w:rFonts w:hint="default"/>
        <w:lang w:val="en-GB" w:eastAsia="en-GB" w:bidi="en-GB"/>
      </w:rPr>
    </w:lvl>
    <w:lvl w:ilvl="2" w:tplc="FFE24A6A">
      <w:numFmt w:val="bullet"/>
      <w:lvlText w:val="•"/>
      <w:lvlJc w:val="left"/>
      <w:pPr>
        <w:ind w:left="1484" w:hanging="217"/>
      </w:pPr>
      <w:rPr>
        <w:rFonts w:hint="default"/>
        <w:lang w:val="en-GB" w:eastAsia="en-GB" w:bidi="en-GB"/>
      </w:rPr>
    </w:lvl>
    <w:lvl w:ilvl="3" w:tplc="1AFE01A2">
      <w:numFmt w:val="bullet"/>
      <w:lvlText w:val="•"/>
      <w:lvlJc w:val="left"/>
      <w:pPr>
        <w:ind w:left="2076" w:hanging="217"/>
      </w:pPr>
      <w:rPr>
        <w:rFonts w:hint="default"/>
        <w:lang w:val="en-GB" w:eastAsia="en-GB" w:bidi="en-GB"/>
      </w:rPr>
    </w:lvl>
    <w:lvl w:ilvl="4" w:tplc="EA626AE4">
      <w:numFmt w:val="bullet"/>
      <w:lvlText w:val="•"/>
      <w:lvlJc w:val="left"/>
      <w:pPr>
        <w:ind w:left="2668" w:hanging="217"/>
      </w:pPr>
      <w:rPr>
        <w:rFonts w:hint="default"/>
        <w:lang w:val="en-GB" w:eastAsia="en-GB" w:bidi="en-GB"/>
      </w:rPr>
    </w:lvl>
    <w:lvl w:ilvl="5" w:tplc="3AA8A6B2">
      <w:numFmt w:val="bullet"/>
      <w:lvlText w:val="•"/>
      <w:lvlJc w:val="left"/>
      <w:pPr>
        <w:ind w:left="3260" w:hanging="217"/>
      </w:pPr>
      <w:rPr>
        <w:rFonts w:hint="default"/>
        <w:lang w:val="en-GB" w:eastAsia="en-GB" w:bidi="en-GB"/>
      </w:rPr>
    </w:lvl>
    <w:lvl w:ilvl="6" w:tplc="810A0354">
      <w:numFmt w:val="bullet"/>
      <w:lvlText w:val="•"/>
      <w:lvlJc w:val="left"/>
      <w:pPr>
        <w:ind w:left="3852" w:hanging="217"/>
      </w:pPr>
      <w:rPr>
        <w:rFonts w:hint="default"/>
        <w:lang w:val="en-GB" w:eastAsia="en-GB" w:bidi="en-GB"/>
      </w:rPr>
    </w:lvl>
    <w:lvl w:ilvl="7" w:tplc="2EA6198A">
      <w:numFmt w:val="bullet"/>
      <w:lvlText w:val="•"/>
      <w:lvlJc w:val="left"/>
      <w:pPr>
        <w:ind w:left="4444" w:hanging="217"/>
      </w:pPr>
      <w:rPr>
        <w:rFonts w:hint="default"/>
        <w:lang w:val="en-GB" w:eastAsia="en-GB" w:bidi="en-GB"/>
      </w:rPr>
    </w:lvl>
    <w:lvl w:ilvl="8" w:tplc="2C88C70E">
      <w:numFmt w:val="bullet"/>
      <w:lvlText w:val="•"/>
      <w:lvlJc w:val="left"/>
      <w:pPr>
        <w:ind w:left="5036" w:hanging="217"/>
      </w:pPr>
      <w:rPr>
        <w:rFonts w:hint="default"/>
        <w:lang w:val="en-GB" w:eastAsia="en-GB" w:bidi="en-GB"/>
      </w:rPr>
    </w:lvl>
  </w:abstractNum>
  <w:abstractNum w:abstractNumId="681" w15:restartNumberingAfterBreak="0">
    <w:nsid w:val="3FFF4DF5"/>
    <w:multiLevelType w:val="hybridMultilevel"/>
    <w:tmpl w:val="F3280FC4"/>
    <w:lvl w:ilvl="0" w:tplc="3C3057E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F02FE86">
      <w:numFmt w:val="bullet"/>
      <w:lvlText w:val="•"/>
      <w:lvlJc w:val="left"/>
      <w:pPr>
        <w:ind w:left="892" w:hanging="217"/>
      </w:pPr>
      <w:rPr>
        <w:rFonts w:hint="default"/>
        <w:lang w:val="en-GB" w:eastAsia="en-GB" w:bidi="en-GB"/>
      </w:rPr>
    </w:lvl>
    <w:lvl w:ilvl="2" w:tplc="F9B64F40">
      <w:numFmt w:val="bullet"/>
      <w:lvlText w:val="•"/>
      <w:lvlJc w:val="left"/>
      <w:pPr>
        <w:ind w:left="1485" w:hanging="217"/>
      </w:pPr>
      <w:rPr>
        <w:rFonts w:hint="default"/>
        <w:lang w:val="en-GB" w:eastAsia="en-GB" w:bidi="en-GB"/>
      </w:rPr>
    </w:lvl>
    <w:lvl w:ilvl="3" w:tplc="B2945330">
      <w:numFmt w:val="bullet"/>
      <w:lvlText w:val="•"/>
      <w:lvlJc w:val="left"/>
      <w:pPr>
        <w:ind w:left="2077" w:hanging="217"/>
      </w:pPr>
      <w:rPr>
        <w:rFonts w:hint="default"/>
        <w:lang w:val="en-GB" w:eastAsia="en-GB" w:bidi="en-GB"/>
      </w:rPr>
    </w:lvl>
    <w:lvl w:ilvl="4" w:tplc="BED46C24">
      <w:numFmt w:val="bullet"/>
      <w:lvlText w:val="•"/>
      <w:lvlJc w:val="left"/>
      <w:pPr>
        <w:ind w:left="2670" w:hanging="217"/>
      </w:pPr>
      <w:rPr>
        <w:rFonts w:hint="default"/>
        <w:lang w:val="en-GB" w:eastAsia="en-GB" w:bidi="en-GB"/>
      </w:rPr>
    </w:lvl>
    <w:lvl w:ilvl="5" w:tplc="038A27BC">
      <w:numFmt w:val="bullet"/>
      <w:lvlText w:val="•"/>
      <w:lvlJc w:val="left"/>
      <w:pPr>
        <w:ind w:left="3263" w:hanging="217"/>
      </w:pPr>
      <w:rPr>
        <w:rFonts w:hint="default"/>
        <w:lang w:val="en-GB" w:eastAsia="en-GB" w:bidi="en-GB"/>
      </w:rPr>
    </w:lvl>
    <w:lvl w:ilvl="6" w:tplc="D33C1FC0">
      <w:numFmt w:val="bullet"/>
      <w:lvlText w:val="•"/>
      <w:lvlJc w:val="left"/>
      <w:pPr>
        <w:ind w:left="3855" w:hanging="217"/>
      </w:pPr>
      <w:rPr>
        <w:rFonts w:hint="default"/>
        <w:lang w:val="en-GB" w:eastAsia="en-GB" w:bidi="en-GB"/>
      </w:rPr>
    </w:lvl>
    <w:lvl w:ilvl="7" w:tplc="76FC09C6">
      <w:numFmt w:val="bullet"/>
      <w:lvlText w:val="•"/>
      <w:lvlJc w:val="left"/>
      <w:pPr>
        <w:ind w:left="4448" w:hanging="217"/>
      </w:pPr>
      <w:rPr>
        <w:rFonts w:hint="default"/>
        <w:lang w:val="en-GB" w:eastAsia="en-GB" w:bidi="en-GB"/>
      </w:rPr>
    </w:lvl>
    <w:lvl w:ilvl="8" w:tplc="40A66D78">
      <w:numFmt w:val="bullet"/>
      <w:lvlText w:val="•"/>
      <w:lvlJc w:val="left"/>
      <w:pPr>
        <w:ind w:left="5040" w:hanging="217"/>
      </w:pPr>
      <w:rPr>
        <w:rFonts w:hint="default"/>
        <w:lang w:val="en-GB" w:eastAsia="en-GB" w:bidi="en-GB"/>
      </w:rPr>
    </w:lvl>
  </w:abstractNum>
  <w:abstractNum w:abstractNumId="682" w15:restartNumberingAfterBreak="0">
    <w:nsid w:val="40111E8A"/>
    <w:multiLevelType w:val="hybridMultilevel"/>
    <w:tmpl w:val="87400FEE"/>
    <w:lvl w:ilvl="0" w:tplc="7850128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5365770">
      <w:numFmt w:val="bullet"/>
      <w:lvlText w:val="•"/>
      <w:lvlJc w:val="left"/>
      <w:pPr>
        <w:ind w:left="473" w:hanging="217"/>
      </w:pPr>
      <w:rPr>
        <w:rFonts w:hint="default"/>
        <w:lang w:val="en-GB" w:eastAsia="en-GB" w:bidi="en-GB"/>
      </w:rPr>
    </w:lvl>
    <w:lvl w:ilvl="2" w:tplc="EB107548">
      <w:numFmt w:val="bullet"/>
      <w:lvlText w:val="•"/>
      <w:lvlJc w:val="left"/>
      <w:pPr>
        <w:ind w:left="646" w:hanging="217"/>
      </w:pPr>
      <w:rPr>
        <w:rFonts w:hint="default"/>
        <w:lang w:val="en-GB" w:eastAsia="en-GB" w:bidi="en-GB"/>
      </w:rPr>
    </w:lvl>
    <w:lvl w:ilvl="3" w:tplc="C0FE5628">
      <w:numFmt w:val="bullet"/>
      <w:lvlText w:val="•"/>
      <w:lvlJc w:val="left"/>
      <w:pPr>
        <w:ind w:left="819" w:hanging="217"/>
      </w:pPr>
      <w:rPr>
        <w:rFonts w:hint="default"/>
        <w:lang w:val="en-GB" w:eastAsia="en-GB" w:bidi="en-GB"/>
      </w:rPr>
    </w:lvl>
    <w:lvl w:ilvl="4" w:tplc="CAB895BC">
      <w:numFmt w:val="bullet"/>
      <w:lvlText w:val="•"/>
      <w:lvlJc w:val="left"/>
      <w:pPr>
        <w:ind w:left="992" w:hanging="217"/>
      </w:pPr>
      <w:rPr>
        <w:rFonts w:hint="default"/>
        <w:lang w:val="en-GB" w:eastAsia="en-GB" w:bidi="en-GB"/>
      </w:rPr>
    </w:lvl>
    <w:lvl w:ilvl="5" w:tplc="EBFCA5C0">
      <w:numFmt w:val="bullet"/>
      <w:lvlText w:val="•"/>
      <w:lvlJc w:val="left"/>
      <w:pPr>
        <w:ind w:left="1165" w:hanging="217"/>
      </w:pPr>
      <w:rPr>
        <w:rFonts w:hint="default"/>
        <w:lang w:val="en-GB" w:eastAsia="en-GB" w:bidi="en-GB"/>
      </w:rPr>
    </w:lvl>
    <w:lvl w:ilvl="6" w:tplc="5E50BFD2">
      <w:numFmt w:val="bullet"/>
      <w:lvlText w:val="•"/>
      <w:lvlJc w:val="left"/>
      <w:pPr>
        <w:ind w:left="1338" w:hanging="217"/>
      </w:pPr>
      <w:rPr>
        <w:rFonts w:hint="default"/>
        <w:lang w:val="en-GB" w:eastAsia="en-GB" w:bidi="en-GB"/>
      </w:rPr>
    </w:lvl>
    <w:lvl w:ilvl="7" w:tplc="91C6CA32">
      <w:numFmt w:val="bullet"/>
      <w:lvlText w:val="•"/>
      <w:lvlJc w:val="left"/>
      <w:pPr>
        <w:ind w:left="1511" w:hanging="217"/>
      </w:pPr>
      <w:rPr>
        <w:rFonts w:hint="default"/>
        <w:lang w:val="en-GB" w:eastAsia="en-GB" w:bidi="en-GB"/>
      </w:rPr>
    </w:lvl>
    <w:lvl w:ilvl="8" w:tplc="9C945CE0">
      <w:numFmt w:val="bullet"/>
      <w:lvlText w:val="•"/>
      <w:lvlJc w:val="left"/>
      <w:pPr>
        <w:ind w:left="1684" w:hanging="217"/>
      </w:pPr>
      <w:rPr>
        <w:rFonts w:hint="default"/>
        <w:lang w:val="en-GB" w:eastAsia="en-GB" w:bidi="en-GB"/>
      </w:rPr>
    </w:lvl>
  </w:abstractNum>
  <w:abstractNum w:abstractNumId="683" w15:restartNumberingAfterBreak="0">
    <w:nsid w:val="40327A45"/>
    <w:multiLevelType w:val="hybridMultilevel"/>
    <w:tmpl w:val="E1A2C834"/>
    <w:lvl w:ilvl="0" w:tplc="23A48E9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C522222A">
      <w:numFmt w:val="bullet"/>
      <w:lvlText w:val="•"/>
      <w:lvlJc w:val="left"/>
      <w:pPr>
        <w:ind w:left="473" w:hanging="217"/>
      </w:pPr>
      <w:rPr>
        <w:rFonts w:hint="default"/>
        <w:lang w:val="en-GB" w:eastAsia="en-GB" w:bidi="en-GB"/>
      </w:rPr>
    </w:lvl>
    <w:lvl w:ilvl="2" w:tplc="0E74C65C">
      <w:numFmt w:val="bullet"/>
      <w:lvlText w:val="•"/>
      <w:lvlJc w:val="left"/>
      <w:pPr>
        <w:ind w:left="646" w:hanging="217"/>
      </w:pPr>
      <w:rPr>
        <w:rFonts w:hint="default"/>
        <w:lang w:val="en-GB" w:eastAsia="en-GB" w:bidi="en-GB"/>
      </w:rPr>
    </w:lvl>
    <w:lvl w:ilvl="3" w:tplc="52169ECC">
      <w:numFmt w:val="bullet"/>
      <w:lvlText w:val="•"/>
      <w:lvlJc w:val="left"/>
      <w:pPr>
        <w:ind w:left="819" w:hanging="217"/>
      </w:pPr>
      <w:rPr>
        <w:rFonts w:hint="default"/>
        <w:lang w:val="en-GB" w:eastAsia="en-GB" w:bidi="en-GB"/>
      </w:rPr>
    </w:lvl>
    <w:lvl w:ilvl="4" w:tplc="6708FFFA">
      <w:numFmt w:val="bullet"/>
      <w:lvlText w:val="•"/>
      <w:lvlJc w:val="left"/>
      <w:pPr>
        <w:ind w:left="992" w:hanging="217"/>
      </w:pPr>
      <w:rPr>
        <w:rFonts w:hint="default"/>
        <w:lang w:val="en-GB" w:eastAsia="en-GB" w:bidi="en-GB"/>
      </w:rPr>
    </w:lvl>
    <w:lvl w:ilvl="5" w:tplc="ACBADE44">
      <w:numFmt w:val="bullet"/>
      <w:lvlText w:val="•"/>
      <w:lvlJc w:val="left"/>
      <w:pPr>
        <w:ind w:left="1165" w:hanging="217"/>
      </w:pPr>
      <w:rPr>
        <w:rFonts w:hint="default"/>
        <w:lang w:val="en-GB" w:eastAsia="en-GB" w:bidi="en-GB"/>
      </w:rPr>
    </w:lvl>
    <w:lvl w:ilvl="6" w:tplc="6FE63852">
      <w:numFmt w:val="bullet"/>
      <w:lvlText w:val="•"/>
      <w:lvlJc w:val="left"/>
      <w:pPr>
        <w:ind w:left="1338" w:hanging="217"/>
      </w:pPr>
      <w:rPr>
        <w:rFonts w:hint="default"/>
        <w:lang w:val="en-GB" w:eastAsia="en-GB" w:bidi="en-GB"/>
      </w:rPr>
    </w:lvl>
    <w:lvl w:ilvl="7" w:tplc="FB4C436E">
      <w:numFmt w:val="bullet"/>
      <w:lvlText w:val="•"/>
      <w:lvlJc w:val="left"/>
      <w:pPr>
        <w:ind w:left="1511" w:hanging="217"/>
      </w:pPr>
      <w:rPr>
        <w:rFonts w:hint="default"/>
        <w:lang w:val="en-GB" w:eastAsia="en-GB" w:bidi="en-GB"/>
      </w:rPr>
    </w:lvl>
    <w:lvl w:ilvl="8" w:tplc="43DCB382">
      <w:numFmt w:val="bullet"/>
      <w:lvlText w:val="•"/>
      <w:lvlJc w:val="left"/>
      <w:pPr>
        <w:ind w:left="1684" w:hanging="217"/>
      </w:pPr>
      <w:rPr>
        <w:rFonts w:hint="default"/>
        <w:lang w:val="en-GB" w:eastAsia="en-GB" w:bidi="en-GB"/>
      </w:rPr>
    </w:lvl>
  </w:abstractNum>
  <w:abstractNum w:abstractNumId="684" w15:restartNumberingAfterBreak="0">
    <w:nsid w:val="406B1291"/>
    <w:multiLevelType w:val="hybridMultilevel"/>
    <w:tmpl w:val="E024493A"/>
    <w:lvl w:ilvl="0" w:tplc="C5C0D24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6F8D60A">
      <w:numFmt w:val="bullet"/>
      <w:lvlText w:val="•"/>
      <w:lvlJc w:val="left"/>
      <w:pPr>
        <w:ind w:left="892" w:hanging="217"/>
      </w:pPr>
      <w:rPr>
        <w:rFonts w:hint="default"/>
        <w:lang w:val="en-GB" w:eastAsia="en-GB" w:bidi="en-GB"/>
      </w:rPr>
    </w:lvl>
    <w:lvl w:ilvl="2" w:tplc="CC96104C">
      <w:numFmt w:val="bullet"/>
      <w:lvlText w:val="•"/>
      <w:lvlJc w:val="left"/>
      <w:pPr>
        <w:ind w:left="1485" w:hanging="217"/>
      </w:pPr>
      <w:rPr>
        <w:rFonts w:hint="default"/>
        <w:lang w:val="en-GB" w:eastAsia="en-GB" w:bidi="en-GB"/>
      </w:rPr>
    </w:lvl>
    <w:lvl w:ilvl="3" w:tplc="843444E2">
      <w:numFmt w:val="bullet"/>
      <w:lvlText w:val="•"/>
      <w:lvlJc w:val="left"/>
      <w:pPr>
        <w:ind w:left="2077" w:hanging="217"/>
      </w:pPr>
      <w:rPr>
        <w:rFonts w:hint="default"/>
        <w:lang w:val="en-GB" w:eastAsia="en-GB" w:bidi="en-GB"/>
      </w:rPr>
    </w:lvl>
    <w:lvl w:ilvl="4" w:tplc="1BDC461E">
      <w:numFmt w:val="bullet"/>
      <w:lvlText w:val="•"/>
      <w:lvlJc w:val="left"/>
      <w:pPr>
        <w:ind w:left="2670" w:hanging="217"/>
      </w:pPr>
      <w:rPr>
        <w:rFonts w:hint="default"/>
        <w:lang w:val="en-GB" w:eastAsia="en-GB" w:bidi="en-GB"/>
      </w:rPr>
    </w:lvl>
    <w:lvl w:ilvl="5" w:tplc="66F2BB94">
      <w:numFmt w:val="bullet"/>
      <w:lvlText w:val="•"/>
      <w:lvlJc w:val="left"/>
      <w:pPr>
        <w:ind w:left="3263" w:hanging="217"/>
      </w:pPr>
      <w:rPr>
        <w:rFonts w:hint="default"/>
        <w:lang w:val="en-GB" w:eastAsia="en-GB" w:bidi="en-GB"/>
      </w:rPr>
    </w:lvl>
    <w:lvl w:ilvl="6" w:tplc="A6FED984">
      <w:numFmt w:val="bullet"/>
      <w:lvlText w:val="•"/>
      <w:lvlJc w:val="left"/>
      <w:pPr>
        <w:ind w:left="3855" w:hanging="217"/>
      </w:pPr>
      <w:rPr>
        <w:rFonts w:hint="default"/>
        <w:lang w:val="en-GB" w:eastAsia="en-GB" w:bidi="en-GB"/>
      </w:rPr>
    </w:lvl>
    <w:lvl w:ilvl="7" w:tplc="193EBA16">
      <w:numFmt w:val="bullet"/>
      <w:lvlText w:val="•"/>
      <w:lvlJc w:val="left"/>
      <w:pPr>
        <w:ind w:left="4448" w:hanging="217"/>
      </w:pPr>
      <w:rPr>
        <w:rFonts w:hint="default"/>
        <w:lang w:val="en-GB" w:eastAsia="en-GB" w:bidi="en-GB"/>
      </w:rPr>
    </w:lvl>
    <w:lvl w:ilvl="8" w:tplc="8D043C24">
      <w:numFmt w:val="bullet"/>
      <w:lvlText w:val="•"/>
      <w:lvlJc w:val="left"/>
      <w:pPr>
        <w:ind w:left="5040" w:hanging="217"/>
      </w:pPr>
      <w:rPr>
        <w:rFonts w:hint="default"/>
        <w:lang w:val="en-GB" w:eastAsia="en-GB" w:bidi="en-GB"/>
      </w:rPr>
    </w:lvl>
  </w:abstractNum>
  <w:abstractNum w:abstractNumId="685" w15:restartNumberingAfterBreak="0">
    <w:nsid w:val="4070457C"/>
    <w:multiLevelType w:val="hybridMultilevel"/>
    <w:tmpl w:val="D570D238"/>
    <w:lvl w:ilvl="0" w:tplc="48D475A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28E449C">
      <w:numFmt w:val="bullet"/>
      <w:lvlText w:val="•"/>
      <w:lvlJc w:val="left"/>
      <w:pPr>
        <w:ind w:left="1061" w:hanging="217"/>
      </w:pPr>
      <w:rPr>
        <w:rFonts w:hint="default"/>
        <w:lang w:val="en-GB" w:eastAsia="en-GB" w:bidi="en-GB"/>
      </w:rPr>
    </w:lvl>
    <w:lvl w:ilvl="2" w:tplc="A7E0C57A">
      <w:numFmt w:val="bullet"/>
      <w:lvlText w:val="•"/>
      <w:lvlJc w:val="left"/>
      <w:pPr>
        <w:ind w:left="1823" w:hanging="217"/>
      </w:pPr>
      <w:rPr>
        <w:rFonts w:hint="default"/>
        <w:lang w:val="en-GB" w:eastAsia="en-GB" w:bidi="en-GB"/>
      </w:rPr>
    </w:lvl>
    <w:lvl w:ilvl="3" w:tplc="60B430E0">
      <w:numFmt w:val="bullet"/>
      <w:lvlText w:val="•"/>
      <w:lvlJc w:val="left"/>
      <w:pPr>
        <w:ind w:left="2585" w:hanging="217"/>
      </w:pPr>
      <w:rPr>
        <w:rFonts w:hint="default"/>
        <w:lang w:val="en-GB" w:eastAsia="en-GB" w:bidi="en-GB"/>
      </w:rPr>
    </w:lvl>
    <w:lvl w:ilvl="4" w:tplc="52D420C2">
      <w:numFmt w:val="bullet"/>
      <w:lvlText w:val="•"/>
      <w:lvlJc w:val="left"/>
      <w:pPr>
        <w:ind w:left="3346" w:hanging="217"/>
      </w:pPr>
      <w:rPr>
        <w:rFonts w:hint="default"/>
        <w:lang w:val="en-GB" w:eastAsia="en-GB" w:bidi="en-GB"/>
      </w:rPr>
    </w:lvl>
    <w:lvl w:ilvl="5" w:tplc="02CC9350">
      <w:numFmt w:val="bullet"/>
      <w:lvlText w:val="•"/>
      <w:lvlJc w:val="left"/>
      <w:pPr>
        <w:ind w:left="4108" w:hanging="217"/>
      </w:pPr>
      <w:rPr>
        <w:rFonts w:hint="default"/>
        <w:lang w:val="en-GB" w:eastAsia="en-GB" w:bidi="en-GB"/>
      </w:rPr>
    </w:lvl>
    <w:lvl w:ilvl="6" w:tplc="E9C6F994">
      <w:numFmt w:val="bullet"/>
      <w:lvlText w:val="•"/>
      <w:lvlJc w:val="left"/>
      <w:pPr>
        <w:ind w:left="4870" w:hanging="217"/>
      </w:pPr>
      <w:rPr>
        <w:rFonts w:hint="default"/>
        <w:lang w:val="en-GB" w:eastAsia="en-GB" w:bidi="en-GB"/>
      </w:rPr>
    </w:lvl>
    <w:lvl w:ilvl="7" w:tplc="340C0E40">
      <w:numFmt w:val="bullet"/>
      <w:lvlText w:val="•"/>
      <w:lvlJc w:val="left"/>
      <w:pPr>
        <w:ind w:left="5631" w:hanging="217"/>
      </w:pPr>
      <w:rPr>
        <w:rFonts w:hint="default"/>
        <w:lang w:val="en-GB" w:eastAsia="en-GB" w:bidi="en-GB"/>
      </w:rPr>
    </w:lvl>
    <w:lvl w:ilvl="8" w:tplc="136EC244">
      <w:numFmt w:val="bullet"/>
      <w:lvlText w:val="•"/>
      <w:lvlJc w:val="left"/>
      <w:pPr>
        <w:ind w:left="6393" w:hanging="217"/>
      </w:pPr>
      <w:rPr>
        <w:rFonts w:hint="default"/>
        <w:lang w:val="en-GB" w:eastAsia="en-GB" w:bidi="en-GB"/>
      </w:rPr>
    </w:lvl>
  </w:abstractNum>
  <w:abstractNum w:abstractNumId="686" w15:restartNumberingAfterBreak="0">
    <w:nsid w:val="40734FDC"/>
    <w:multiLevelType w:val="hybridMultilevel"/>
    <w:tmpl w:val="D10C6494"/>
    <w:lvl w:ilvl="0" w:tplc="11FA220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B70C00C">
      <w:numFmt w:val="bullet"/>
      <w:lvlText w:val="•"/>
      <w:lvlJc w:val="left"/>
      <w:pPr>
        <w:ind w:left="892" w:hanging="217"/>
      </w:pPr>
      <w:rPr>
        <w:rFonts w:hint="default"/>
        <w:lang w:val="en-GB" w:eastAsia="en-GB" w:bidi="en-GB"/>
      </w:rPr>
    </w:lvl>
    <w:lvl w:ilvl="2" w:tplc="3BF0D784">
      <w:numFmt w:val="bullet"/>
      <w:lvlText w:val="•"/>
      <w:lvlJc w:val="left"/>
      <w:pPr>
        <w:ind w:left="1485" w:hanging="217"/>
      </w:pPr>
      <w:rPr>
        <w:rFonts w:hint="default"/>
        <w:lang w:val="en-GB" w:eastAsia="en-GB" w:bidi="en-GB"/>
      </w:rPr>
    </w:lvl>
    <w:lvl w:ilvl="3" w:tplc="8E605B54">
      <w:numFmt w:val="bullet"/>
      <w:lvlText w:val="•"/>
      <w:lvlJc w:val="left"/>
      <w:pPr>
        <w:ind w:left="2077" w:hanging="217"/>
      </w:pPr>
      <w:rPr>
        <w:rFonts w:hint="default"/>
        <w:lang w:val="en-GB" w:eastAsia="en-GB" w:bidi="en-GB"/>
      </w:rPr>
    </w:lvl>
    <w:lvl w:ilvl="4" w:tplc="1C58C656">
      <w:numFmt w:val="bullet"/>
      <w:lvlText w:val="•"/>
      <w:lvlJc w:val="left"/>
      <w:pPr>
        <w:ind w:left="2670" w:hanging="217"/>
      </w:pPr>
      <w:rPr>
        <w:rFonts w:hint="default"/>
        <w:lang w:val="en-GB" w:eastAsia="en-GB" w:bidi="en-GB"/>
      </w:rPr>
    </w:lvl>
    <w:lvl w:ilvl="5" w:tplc="62B4E818">
      <w:numFmt w:val="bullet"/>
      <w:lvlText w:val="•"/>
      <w:lvlJc w:val="left"/>
      <w:pPr>
        <w:ind w:left="3263" w:hanging="217"/>
      </w:pPr>
      <w:rPr>
        <w:rFonts w:hint="default"/>
        <w:lang w:val="en-GB" w:eastAsia="en-GB" w:bidi="en-GB"/>
      </w:rPr>
    </w:lvl>
    <w:lvl w:ilvl="6" w:tplc="8AAC5AA8">
      <w:numFmt w:val="bullet"/>
      <w:lvlText w:val="•"/>
      <w:lvlJc w:val="left"/>
      <w:pPr>
        <w:ind w:left="3855" w:hanging="217"/>
      </w:pPr>
      <w:rPr>
        <w:rFonts w:hint="default"/>
        <w:lang w:val="en-GB" w:eastAsia="en-GB" w:bidi="en-GB"/>
      </w:rPr>
    </w:lvl>
    <w:lvl w:ilvl="7" w:tplc="435C74D2">
      <w:numFmt w:val="bullet"/>
      <w:lvlText w:val="•"/>
      <w:lvlJc w:val="left"/>
      <w:pPr>
        <w:ind w:left="4448" w:hanging="217"/>
      </w:pPr>
      <w:rPr>
        <w:rFonts w:hint="default"/>
        <w:lang w:val="en-GB" w:eastAsia="en-GB" w:bidi="en-GB"/>
      </w:rPr>
    </w:lvl>
    <w:lvl w:ilvl="8" w:tplc="12FCA9FE">
      <w:numFmt w:val="bullet"/>
      <w:lvlText w:val="•"/>
      <w:lvlJc w:val="left"/>
      <w:pPr>
        <w:ind w:left="5040" w:hanging="217"/>
      </w:pPr>
      <w:rPr>
        <w:rFonts w:hint="default"/>
        <w:lang w:val="en-GB" w:eastAsia="en-GB" w:bidi="en-GB"/>
      </w:rPr>
    </w:lvl>
  </w:abstractNum>
  <w:abstractNum w:abstractNumId="687" w15:restartNumberingAfterBreak="0">
    <w:nsid w:val="409438C0"/>
    <w:multiLevelType w:val="hybridMultilevel"/>
    <w:tmpl w:val="B05A206E"/>
    <w:lvl w:ilvl="0" w:tplc="92AC6A98">
      <w:numFmt w:val="bullet"/>
      <w:lvlText w:val="•"/>
      <w:lvlJc w:val="left"/>
      <w:pPr>
        <w:ind w:left="300" w:hanging="217"/>
      </w:pPr>
      <w:rPr>
        <w:rFonts w:ascii="Arial" w:eastAsia="Arial" w:hAnsi="Arial" w:cs="Arial" w:hint="default"/>
        <w:color w:val="231F20"/>
        <w:spacing w:val="-3"/>
        <w:w w:val="100"/>
        <w:sz w:val="18"/>
        <w:szCs w:val="18"/>
        <w:lang w:val="en-GB" w:eastAsia="en-GB" w:bidi="en-GB"/>
      </w:rPr>
    </w:lvl>
    <w:lvl w:ilvl="1" w:tplc="E9528F50">
      <w:numFmt w:val="bullet"/>
      <w:lvlText w:val="•"/>
      <w:lvlJc w:val="left"/>
      <w:pPr>
        <w:ind w:left="529" w:hanging="217"/>
      </w:pPr>
      <w:rPr>
        <w:rFonts w:hint="default"/>
        <w:lang w:val="en-GB" w:eastAsia="en-GB" w:bidi="en-GB"/>
      </w:rPr>
    </w:lvl>
    <w:lvl w:ilvl="2" w:tplc="5920BD00">
      <w:numFmt w:val="bullet"/>
      <w:lvlText w:val="•"/>
      <w:lvlJc w:val="left"/>
      <w:pPr>
        <w:ind w:left="759" w:hanging="217"/>
      </w:pPr>
      <w:rPr>
        <w:rFonts w:hint="default"/>
        <w:lang w:val="en-GB" w:eastAsia="en-GB" w:bidi="en-GB"/>
      </w:rPr>
    </w:lvl>
    <w:lvl w:ilvl="3" w:tplc="36EA1F3E">
      <w:numFmt w:val="bullet"/>
      <w:lvlText w:val="•"/>
      <w:lvlJc w:val="left"/>
      <w:pPr>
        <w:ind w:left="989" w:hanging="217"/>
      </w:pPr>
      <w:rPr>
        <w:rFonts w:hint="default"/>
        <w:lang w:val="en-GB" w:eastAsia="en-GB" w:bidi="en-GB"/>
      </w:rPr>
    </w:lvl>
    <w:lvl w:ilvl="4" w:tplc="DFD4823C">
      <w:numFmt w:val="bullet"/>
      <w:lvlText w:val="•"/>
      <w:lvlJc w:val="left"/>
      <w:pPr>
        <w:ind w:left="1219" w:hanging="217"/>
      </w:pPr>
      <w:rPr>
        <w:rFonts w:hint="default"/>
        <w:lang w:val="en-GB" w:eastAsia="en-GB" w:bidi="en-GB"/>
      </w:rPr>
    </w:lvl>
    <w:lvl w:ilvl="5" w:tplc="AB161866">
      <w:numFmt w:val="bullet"/>
      <w:lvlText w:val="•"/>
      <w:lvlJc w:val="left"/>
      <w:pPr>
        <w:ind w:left="1449" w:hanging="217"/>
      </w:pPr>
      <w:rPr>
        <w:rFonts w:hint="default"/>
        <w:lang w:val="en-GB" w:eastAsia="en-GB" w:bidi="en-GB"/>
      </w:rPr>
    </w:lvl>
    <w:lvl w:ilvl="6" w:tplc="586CC236">
      <w:numFmt w:val="bullet"/>
      <w:lvlText w:val="•"/>
      <w:lvlJc w:val="left"/>
      <w:pPr>
        <w:ind w:left="1678" w:hanging="217"/>
      </w:pPr>
      <w:rPr>
        <w:rFonts w:hint="default"/>
        <w:lang w:val="en-GB" w:eastAsia="en-GB" w:bidi="en-GB"/>
      </w:rPr>
    </w:lvl>
    <w:lvl w:ilvl="7" w:tplc="2BE07488">
      <w:numFmt w:val="bullet"/>
      <w:lvlText w:val="•"/>
      <w:lvlJc w:val="left"/>
      <w:pPr>
        <w:ind w:left="1908" w:hanging="217"/>
      </w:pPr>
      <w:rPr>
        <w:rFonts w:hint="default"/>
        <w:lang w:val="en-GB" w:eastAsia="en-GB" w:bidi="en-GB"/>
      </w:rPr>
    </w:lvl>
    <w:lvl w:ilvl="8" w:tplc="0B0AD220">
      <w:numFmt w:val="bullet"/>
      <w:lvlText w:val="•"/>
      <w:lvlJc w:val="left"/>
      <w:pPr>
        <w:ind w:left="2138" w:hanging="217"/>
      </w:pPr>
      <w:rPr>
        <w:rFonts w:hint="default"/>
        <w:lang w:val="en-GB" w:eastAsia="en-GB" w:bidi="en-GB"/>
      </w:rPr>
    </w:lvl>
  </w:abstractNum>
  <w:abstractNum w:abstractNumId="688" w15:restartNumberingAfterBreak="0">
    <w:nsid w:val="40AD7008"/>
    <w:multiLevelType w:val="hybridMultilevel"/>
    <w:tmpl w:val="4928D658"/>
    <w:lvl w:ilvl="0" w:tplc="9B18630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DD0D3D8">
      <w:numFmt w:val="bullet"/>
      <w:lvlText w:val="•"/>
      <w:lvlJc w:val="left"/>
      <w:pPr>
        <w:ind w:left="439" w:hanging="217"/>
      </w:pPr>
      <w:rPr>
        <w:rFonts w:hint="default"/>
        <w:lang w:val="en-GB" w:eastAsia="en-GB" w:bidi="en-GB"/>
      </w:rPr>
    </w:lvl>
    <w:lvl w:ilvl="2" w:tplc="B6F2E5AE">
      <w:numFmt w:val="bullet"/>
      <w:lvlText w:val="•"/>
      <w:lvlJc w:val="left"/>
      <w:pPr>
        <w:ind w:left="578" w:hanging="217"/>
      </w:pPr>
      <w:rPr>
        <w:rFonts w:hint="default"/>
        <w:lang w:val="en-GB" w:eastAsia="en-GB" w:bidi="en-GB"/>
      </w:rPr>
    </w:lvl>
    <w:lvl w:ilvl="3" w:tplc="0624E3DC">
      <w:numFmt w:val="bullet"/>
      <w:lvlText w:val="•"/>
      <w:lvlJc w:val="left"/>
      <w:pPr>
        <w:ind w:left="717" w:hanging="217"/>
      </w:pPr>
      <w:rPr>
        <w:rFonts w:hint="default"/>
        <w:lang w:val="en-GB" w:eastAsia="en-GB" w:bidi="en-GB"/>
      </w:rPr>
    </w:lvl>
    <w:lvl w:ilvl="4" w:tplc="2D1E49A2">
      <w:numFmt w:val="bullet"/>
      <w:lvlText w:val="•"/>
      <w:lvlJc w:val="left"/>
      <w:pPr>
        <w:ind w:left="856" w:hanging="217"/>
      </w:pPr>
      <w:rPr>
        <w:rFonts w:hint="default"/>
        <w:lang w:val="en-GB" w:eastAsia="en-GB" w:bidi="en-GB"/>
      </w:rPr>
    </w:lvl>
    <w:lvl w:ilvl="5" w:tplc="33ACBAFA">
      <w:numFmt w:val="bullet"/>
      <w:lvlText w:val="•"/>
      <w:lvlJc w:val="left"/>
      <w:pPr>
        <w:ind w:left="995" w:hanging="217"/>
      </w:pPr>
      <w:rPr>
        <w:rFonts w:hint="default"/>
        <w:lang w:val="en-GB" w:eastAsia="en-GB" w:bidi="en-GB"/>
      </w:rPr>
    </w:lvl>
    <w:lvl w:ilvl="6" w:tplc="B2921D8A">
      <w:numFmt w:val="bullet"/>
      <w:lvlText w:val="•"/>
      <w:lvlJc w:val="left"/>
      <w:pPr>
        <w:ind w:left="1134" w:hanging="217"/>
      </w:pPr>
      <w:rPr>
        <w:rFonts w:hint="default"/>
        <w:lang w:val="en-GB" w:eastAsia="en-GB" w:bidi="en-GB"/>
      </w:rPr>
    </w:lvl>
    <w:lvl w:ilvl="7" w:tplc="A6D00D54">
      <w:numFmt w:val="bullet"/>
      <w:lvlText w:val="•"/>
      <w:lvlJc w:val="left"/>
      <w:pPr>
        <w:ind w:left="1273" w:hanging="217"/>
      </w:pPr>
      <w:rPr>
        <w:rFonts w:hint="default"/>
        <w:lang w:val="en-GB" w:eastAsia="en-GB" w:bidi="en-GB"/>
      </w:rPr>
    </w:lvl>
    <w:lvl w:ilvl="8" w:tplc="C2A00C9E">
      <w:numFmt w:val="bullet"/>
      <w:lvlText w:val="•"/>
      <w:lvlJc w:val="left"/>
      <w:pPr>
        <w:ind w:left="1412" w:hanging="217"/>
      </w:pPr>
      <w:rPr>
        <w:rFonts w:hint="default"/>
        <w:lang w:val="en-GB" w:eastAsia="en-GB" w:bidi="en-GB"/>
      </w:rPr>
    </w:lvl>
  </w:abstractNum>
  <w:abstractNum w:abstractNumId="689" w15:restartNumberingAfterBreak="0">
    <w:nsid w:val="40EA0533"/>
    <w:multiLevelType w:val="hybridMultilevel"/>
    <w:tmpl w:val="2FCAC08E"/>
    <w:lvl w:ilvl="0" w:tplc="BFE2E2F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1B825C0">
      <w:numFmt w:val="bullet"/>
      <w:lvlText w:val="•"/>
      <w:lvlJc w:val="left"/>
      <w:pPr>
        <w:ind w:left="473" w:hanging="217"/>
      </w:pPr>
      <w:rPr>
        <w:rFonts w:hint="default"/>
        <w:lang w:val="en-GB" w:eastAsia="en-GB" w:bidi="en-GB"/>
      </w:rPr>
    </w:lvl>
    <w:lvl w:ilvl="2" w:tplc="9B827504">
      <w:numFmt w:val="bullet"/>
      <w:lvlText w:val="•"/>
      <w:lvlJc w:val="left"/>
      <w:pPr>
        <w:ind w:left="646" w:hanging="217"/>
      </w:pPr>
      <w:rPr>
        <w:rFonts w:hint="default"/>
        <w:lang w:val="en-GB" w:eastAsia="en-GB" w:bidi="en-GB"/>
      </w:rPr>
    </w:lvl>
    <w:lvl w:ilvl="3" w:tplc="9AE01772">
      <w:numFmt w:val="bullet"/>
      <w:lvlText w:val="•"/>
      <w:lvlJc w:val="left"/>
      <w:pPr>
        <w:ind w:left="819" w:hanging="217"/>
      </w:pPr>
      <w:rPr>
        <w:rFonts w:hint="default"/>
        <w:lang w:val="en-GB" w:eastAsia="en-GB" w:bidi="en-GB"/>
      </w:rPr>
    </w:lvl>
    <w:lvl w:ilvl="4" w:tplc="CB60A59C">
      <w:numFmt w:val="bullet"/>
      <w:lvlText w:val="•"/>
      <w:lvlJc w:val="left"/>
      <w:pPr>
        <w:ind w:left="992" w:hanging="217"/>
      </w:pPr>
      <w:rPr>
        <w:rFonts w:hint="default"/>
        <w:lang w:val="en-GB" w:eastAsia="en-GB" w:bidi="en-GB"/>
      </w:rPr>
    </w:lvl>
    <w:lvl w:ilvl="5" w:tplc="C0F63BDE">
      <w:numFmt w:val="bullet"/>
      <w:lvlText w:val="•"/>
      <w:lvlJc w:val="left"/>
      <w:pPr>
        <w:ind w:left="1165" w:hanging="217"/>
      </w:pPr>
      <w:rPr>
        <w:rFonts w:hint="default"/>
        <w:lang w:val="en-GB" w:eastAsia="en-GB" w:bidi="en-GB"/>
      </w:rPr>
    </w:lvl>
    <w:lvl w:ilvl="6" w:tplc="2B3C05DC">
      <w:numFmt w:val="bullet"/>
      <w:lvlText w:val="•"/>
      <w:lvlJc w:val="left"/>
      <w:pPr>
        <w:ind w:left="1338" w:hanging="217"/>
      </w:pPr>
      <w:rPr>
        <w:rFonts w:hint="default"/>
        <w:lang w:val="en-GB" w:eastAsia="en-GB" w:bidi="en-GB"/>
      </w:rPr>
    </w:lvl>
    <w:lvl w:ilvl="7" w:tplc="3C4C7E06">
      <w:numFmt w:val="bullet"/>
      <w:lvlText w:val="•"/>
      <w:lvlJc w:val="left"/>
      <w:pPr>
        <w:ind w:left="1511" w:hanging="217"/>
      </w:pPr>
      <w:rPr>
        <w:rFonts w:hint="default"/>
        <w:lang w:val="en-GB" w:eastAsia="en-GB" w:bidi="en-GB"/>
      </w:rPr>
    </w:lvl>
    <w:lvl w:ilvl="8" w:tplc="524201B6">
      <w:numFmt w:val="bullet"/>
      <w:lvlText w:val="•"/>
      <w:lvlJc w:val="left"/>
      <w:pPr>
        <w:ind w:left="1684" w:hanging="217"/>
      </w:pPr>
      <w:rPr>
        <w:rFonts w:hint="default"/>
        <w:lang w:val="en-GB" w:eastAsia="en-GB" w:bidi="en-GB"/>
      </w:rPr>
    </w:lvl>
  </w:abstractNum>
  <w:abstractNum w:abstractNumId="690" w15:restartNumberingAfterBreak="0">
    <w:nsid w:val="41047D12"/>
    <w:multiLevelType w:val="hybridMultilevel"/>
    <w:tmpl w:val="EFC273C6"/>
    <w:lvl w:ilvl="0" w:tplc="CCFC65A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FF445A2">
      <w:numFmt w:val="bullet"/>
      <w:lvlText w:val="•"/>
      <w:lvlJc w:val="left"/>
      <w:pPr>
        <w:ind w:left="467" w:hanging="217"/>
      </w:pPr>
      <w:rPr>
        <w:rFonts w:hint="default"/>
        <w:lang w:val="en-GB" w:eastAsia="en-GB" w:bidi="en-GB"/>
      </w:rPr>
    </w:lvl>
    <w:lvl w:ilvl="2" w:tplc="BB14980A">
      <w:numFmt w:val="bullet"/>
      <w:lvlText w:val="•"/>
      <w:lvlJc w:val="left"/>
      <w:pPr>
        <w:ind w:left="634" w:hanging="217"/>
      </w:pPr>
      <w:rPr>
        <w:rFonts w:hint="default"/>
        <w:lang w:val="en-GB" w:eastAsia="en-GB" w:bidi="en-GB"/>
      </w:rPr>
    </w:lvl>
    <w:lvl w:ilvl="3" w:tplc="20805204">
      <w:numFmt w:val="bullet"/>
      <w:lvlText w:val="•"/>
      <w:lvlJc w:val="left"/>
      <w:pPr>
        <w:ind w:left="802" w:hanging="217"/>
      </w:pPr>
      <w:rPr>
        <w:rFonts w:hint="default"/>
        <w:lang w:val="en-GB" w:eastAsia="en-GB" w:bidi="en-GB"/>
      </w:rPr>
    </w:lvl>
    <w:lvl w:ilvl="4" w:tplc="EE3AB8E0">
      <w:numFmt w:val="bullet"/>
      <w:lvlText w:val="•"/>
      <w:lvlJc w:val="left"/>
      <w:pPr>
        <w:ind w:left="969" w:hanging="217"/>
      </w:pPr>
      <w:rPr>
        <w:rFonts w:hint="default"/>
        <w:lang w:val="en-GB" w:eastAsia="en-GB" w:bidi="en-GB"/>
      </w:rPr>
    </w:lvl>
    <w:lvl w:ilvl="5" w:tplc="22DCD88E">
      <w:numFmt w:val="bullet"/>
      <w:lvlText w:val="•"/>
      <w:lvlJc w:val="left"/>
      <w:pPr>
        <w:ind w:left="1137" w:hanging="217"/>
      </w:pPr>
      <w:rPr>
        <w:rFonts w:hint="default"/>
        <w:lang w:val="en-GB" w:eastAsia="en-GB" w:bidi="en-GB"/>
      </w:rPr>
    </w:lvl>
    <w:lvl w:ilvl="6" w:tplc="7B04B2A0">
      <w:numFmt w:val="bullet"/>
      <w:lvlText w:val="•"/>
      <w:lvlJc w:val="left"/>
      <w:pPr>
        <w:ind w:left="1304" w:hanging="217"/>
      </w:pPr>
      <w:rPr>
        <w:rFonts w:hint="default"/>
        <w:lang w:val="en-GB" w:eastAsia="en-GB" w:bidi="en-GB"/>
      </w:rPr>
    </w:lvl>
    <w:lvl w:ilvl="7" w:tplc="423A1BD2">
      <w:numFmt w:val="bullet"/>
      <w:lvlText w:val="•"/>
      <w:lvlJc w:val="left"/>
      <w:pPr>
        <w:ind w:left="1471" w:hanging="217"/>
      </w:pPr>
      <w:rPr>
        <w:rFonts w:hint="default"/>
        <w:lang w:val="en-GB" w:eastAsia="en-GB" w:bidi="en-GB"/>
      </w:rPr>
    </w:lvl>
    <w:lvl w:ilvl="8" w:tplc="B4886132">
      <w:numFmt w:val="bullet"/>
      <w:lvlText w:val="•"/>
      <w:lvlJc w:val="left"/>
      <w:pPr>
        <w:ind w:left="1639" w:hanging="217"/>
      </w:pPr>
      <w:rPr>
        <w:rFonts w:hint="default"/>
        <w:lang w:val="en-GB" w:eastAsia="en-GB" w:bidi="en-GB"/>
      </w:rPr>
    </w:lvl>
  </w:abstractNum>
  <w:abstractNum w:abstractNumId="691" w15:restartNumberingAfterBreak="0">
    <w:nsid w:val="41077DE5"/>
    <w:multiLevelType w:val="hybridMultilevel"/>
    <w:tmpl w:val="359AD674"/>
    <w:lvl w:ilvl="0" w:tplc="BF32994C">
      <w:numFmt w:val="bullet"/>
      <w:lvlText w:val="•"/>
      <w:lvlJc w:val="left"/>
      <w:pPr>
        <w:ind w:left="304" w:hanging="217"/>
      </w:pPr>
      <w:rPr>
        <w:rFonts w:ascii="Arial" w:eastAsia="Arial" w:hAnsi="Arial" w:cs="Arial" w:hint="default"/>
        <w:color w:val="231F20"/>
        <w:w w:val="100"/>
        <w:sz w:val="18"/>
        <w:szCs w:val="18"/>
        <w:lang w:val="en-GB" w:eastAsia="en-GB" w:bidi="en-GB"/>
      </w:rPr>
    </w:lvl>
    <w:lvl w:ilvl="1" w:tplc="7E9EEAA4">
      <w:numFmt w:val="bullet"/>
      <w:lvlText w:val="•"/>
      <w:lvlJc w:val="left"/>
      <w:pPr>
        <w:ind w:left="473" w:hanging="217"/>
      </w:pPr>
      <w:rPr>
        <w:rFonts w:hint="default"/>
        <w:lang w:val="en-GB" w:eastAsia="en-GB" w:bidi="en-GB"/>
      </w:rPr>
    </w:lvl>
    <w:lvl w:ilvl="2" w:tplc="552E1C18">
      <w:numFmt w:val="bullet"/>
      <w:lvlText w:val="•"/>
      <w:lvlJc w:val="left"/>
      <w:pPr>
        <w:ind w:left="646" w:hanging="217"/>
      </w:pPr>
      <w:rPr>
        <w:rFonts w:hint="default"/>
        <w:lang w:val="en-GB" w:eastAsia="en-GB" w:bidi="en-GB"/>
      </w:rPr>
    </w:lvl>
    <w:lvl w:ilvl="3" w:tplc="0D8C0708">
      <w:numFmt w:val="bullet"/>
      <w:lvlText w:val="•"/>
      <w:lvlJc w:val="left"/>
      <w:pPr>
        <w:ind w:left="819" w:hanging="217"/>
      </w:pPr>
      <w:rPr>
        <w:rFonts w:hint="default"/>
        <w:lang w:val="en-GB" w:eastAsia="en-GB" w:bidi="en-GB"/>
      </w:rPr>
    </w:lvl>
    <w:lvl w:ilvl="4" w:tplc="10A2633A">
      <w:numFmt w:val="bullet"/>
      <w:lvlText w:val="•"/>
      <w:lvlJc w:val="left"/>
      <w:pPr>
        <w:ind w:left="992" w:hanging="217"/>
      </w:pPr>
      <w:rPr>
        <w:rFonts w:hint="default"/>
        <w:lang w:val="en-GB" w:eastAsia="en-GB" w:bidi="en-GB"/>
      </w:rPr>
    </w:lvl>
    <w:lvl w:ilvl="5" w:tplc="FFEA6056">
      <w:numFmt w:val="bullet"/>
      <w:lvlText w:val="•"/>
      <w:lvlJc w:val="left"/>
      <w:pPr>
        <w:ind w:left="1165" w:hanging="217"/>
      </w:pPr>
      <w:rPr>
        <w:rFonts w:hint="default"/>
        <w:lang w:val="en-GB" w:eastAsia="en-GB" w:bidi="en-GB"/>
      </w:rPr>
    </w:lvl>
    <w:lvl w:ilvl="6" w:tplc="200CC93A">
      <w:numFmt w:val="bullet"/>
      <w:lvlText w:val="•"/>
      <w:lvlJc w:val="left"/>
      <w:pPr>
        <w:ind w:left="1338" w:hanging="217"/>
      </w:pPr>
      <w:rPr>
        <w:rFonts w:hint="default"/>
        <w:lang w:val="en-GB" w:eastAsia="en-GB" w:bidi="en-GB"/>
      </w:rPr>
    </w:lvl>
    <w:lvl w:ilvl="7" w:tplc="31FAC8D6">
      <w:numFmt w:val="bullet"/>
      <w:lvlText w:val="•"/>
      <w:lvlJc w:val="left"/>
      <w:pPr>
        <w:ind w:left="1511" w:hanging="217"/>
      </w:pPr>
      <w:rPr>
        <w:rFonts w:hint="default"/>
        <w:lang w:val="en-GB" w:eastAsia="en-GB" w:bidi="en-GB"/>
      </w:rPr>
    </w:lvl>
    <w:lvl w:ilvl="8" w:tplc="683E8236">
      <w:numFmt w:val="bullet"/>
      <w:lvlText w:val="•"/>
      <w:lvlJc w:val="left"/>
      <w:pPr>
        <w:ind w:left="1684" w:hanging="217"/>
      </w:pPr>
      <w:rPr>
        <w:rFonts w:hint="default"/>
        <w:lang w:val="en-GB" w:eastAsia="en-GB" w:bidi="en-GB"/>
      </w:rPr>
    </w:lvl>
  </w:abstractNum>
  <w:abstractNum w:abstractNumId="692" w15:restartNumberingAfterBreak="0">
    <w:nsid w:val="41081CAB"/>
    <w:multiLevelType w:val="hybridMultilevel"/>
    <w:tmpl w:val="19F2AD5E"/>
    <w:lvl w:ilvl="0" w:tplc="9FDC6CC0">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7F80F402">
      <w:numFmt w:val="bullet"/>
      <w:lvlText w:val="•"/>
      <w:lvlJc w:val="left"/>
      <w:pPr>
        <w:ind w:left="473" w:hanging="217"/>
      </w:pPr>
      <w:rPr>
        <w:rFonts w:hint="default"/>
        <w:lang w:val="en-GB" w:eastAsia="en-GB" w:bidi="en-GB"/>
      </w:rPr>
    </w:lvl>
    <w:lvl w:ilvl="2" w:tplc="A8F0AA44">
      <w:numFmt w:val="bullet"/>
      <w:lvlText w:val="•"/>
      <w:lvlJc w:val="left"/>
      <w:pPr>
        <w:ind w:left="646" w:hanging="217"/>
      </w:pPr>
      <w:rPr>
        <w:rFonts w:hint="default"/>
        <w:lang w:val="en-GB" w:eastAsia="en-GB" w:bidi="en-GB"/>
      </w:rPr>
    </w:lvl>
    <w:lvl w:ilvl="3" w:tplc="A5E00300">
      <w:numFmt w:val="bullet"/>
      <w:lvlText w:val="•"/>
      <w:lvlJc w:val="left"/>
      <w:pPr>
        <w:ind w:left="819" w:hanging="217"/>
      </w:pPr>
      <w:rPr>
        <w:rFonts w:hint="default"/>
        <w:lang w:val="en-GB" w:eastAsia="en-GB" w:bidi="en-GB"/>
      </w:rPr>
    </w:lvl>
    <w:lvl w:ilvl="4" w:tplc="7B500CAA">
      <w:numFmt w:val="bullet"/>
      <w:lvlText w:val="•"/>
      <w:lvlJc w:val="left"/>
      <w:pPr>
        <w:ind w:left="992" w:hanging="217"/>
      </w:pPr>
      <w:rPr>
        <w:rFonts w:hint="default"/>
        <w:lang w:val="en-GB" w:eastAsia="en-GB" w:bidi="en-GB"/>
      </w:rPr>
    </w:lvl>
    <w:lvl w:ilvl="5" w:tplc="20887332">
      <w:numFmt w:val="bullet"/>
      <w:lvlText w:val="•"/>
      <w:lvlJc w:val="left"/>
      <w:pPr>
        <w:ind w:left="1165" w:hanging="217"/>
      </w:pPr>
      <w:rPr>
        <w:rFonts w:hint="default"/>
        <w:lang w:val="en-GB" w:eastAsia="en-GB" w:bidi="en-GB"/>
      </w:rPr>
    </w:lvl>
    <w:lvl w:ilvl="6" w:tplc="B79A009A">
      <w:numFmt w:val="bullet"/>
      <w:lvlText w:val="•"/>
      <w:lvlJc w:val="left"/>
      <w:pPr>
        <w:ind w:left="1338" w:hanging="217"/>
      </w:pPr>
      <w:rPr>
        <w:rFonts w:hint="default"/>
        <w:lang w:val="en-GB" w:eastAsia="en-GB" w:bidi="en-GB"/>
      </w:rPr>
    </w:lvl>
    <w:lvl w:ilvl="7" w:tplc="7CC64138">
      <w:numFmt w:val="bullet"/>
      <w:lvlText w:val="•"/>
      <w:lvlJc w:val="left"/>
      <w:pPr>
        <w:ind w:left="1511" w:hanging="217"/>
      </w:pPr>
      <w:rPr>
        <w:rFonts w:hint="default"/>
        <w:lang w:val="en-GB" w:eastAsia="en-GB" w:bidi="en-GB"/>
      </w:rPr>
    </w:lvl>
    <w:lvl w:ilvl="8" w:tplc="78F27F22">
      <w:numFmt w:val="bullet"/>
      <w:lvlText w:val="•"/>
      <w:lvlJc w:val="left"/>
      <w:pPr>
        <w:ind w:left="1684" w:hanging="217"/>
      </w:pPr>
      <w:rPr>
        <w:rFonts w:hint="default"/>
        <w:lang w:val="en-GB" w:eastAsia="en-GB" w:bidi="en-GB"/>
      </w:rPr>
    </w:lvl>
  </w:abstractNum>
  <w:abstractNum w:abstractNumId="693" w15:restartNumberingAfterBreak="0">
    <w:nsid w:val="411921CE"/>
    <w:multiLevelType w:val="hybridMultilevel"/>
    <w:tmpl w:val="47BEA58C"/>
    <w:lvl w:ilvl="0" w:tplc="911C8AA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3BEB67A">
      <w:numFmt w:val="bullet"/>
      <w:lvlText w:val="•"/>
      <w:lvlJc w:val="left"/>
      <w:pPr>
        <w:ind w:left="439" w:hanging="217"/>
      </w:pPr>
      <w:rPr>
        <w:rFonts w:hint="default"/>
        <w:lang w:val="en-GB" w:eastAsia="en-GB" w:bidi="en-GB"/>
      </w:rPr>
    </w:lvl>
    <w:lvl w:ilvl="2" w:tplc="E49A80EC">
      <w:numFmt w:val="bullet"/>
      <w:lvlText w:val="•"/>
      <w:lvlJc w:val="left"/>
      <w:pPr>
        <w:ind w:left="578" w:hanging="217"/>
      </w:pPr>
      <w:rPr>
        <w:rFonts w:hint="default"/>
        <w:lang w:val="en-GB" w:eastAsia="en-GB" w:bidi="en-GB"/>
      </w:rPr>
    </w:lvl>
    <w:lvl w:ilvl="3" w:tplc="3D7A05C2">
      <w:numFmt w:val="bullet"/>
      <w:lvlText w:val="•"/>
      <w:lvlJc w:val="left"/>
      <w:pPr>
        <w:ind w:left="717" w:hanging="217"/>
      </w:pPr>
      <w:rPr>
        <w:rFonts w:hint="default"/>
        <w:lang w:val="en-GB" w:eastAsia="en-GB" w:bidi="en-GB"/>
      </w:rPr>
    </w:lvl>
    <w:lvl w:ilvl="4" w:tplc="27D214C4">
      <w:numFmt w:val="bullet"/>
      <w:lvlText w:val="•"/>
      <w:lvlJc w:val="left"/>
      <w:pPr>
        <w:ind w:left="856" w:hanging="217"/>
      </w:pPr>
      <w:rPr>
        <w:rFonts w:hint="default"/>
        <w:lang w:val="en-GB" w:eastAsia="en-GB" w:bidi="en-GB"/>
      </w:rPr>
    </w:lvl>
    <w:lvl w:ilvl="5" w:tplc="15BC2262">
      <w:numFmt w:val="bullet"/>
      <w:lvlText w:val="•"/>
      <w:lvlJc w:val="left"/>
      <w:pPr>
        <w:ind w:left="995" w:hanging="217"/>
      </w:pPr>
      <w:rPr>
        <w:rFonts w:hint="default"/>
        <w:lang w:val="en-GB" w:eastAsia="en-GB" w:bidi="en-GB"/>
      </w:rPr>
    </w:lvl>
    <w:lvl w:ilvl="6" w:tplc="76B6868E">
      <w:numFmt w:val="bullet"/>
      <w:lvlText w:val="•"/>
      <w:lvlJc w:val="left"/>
      <w:pPr>
        <w:ind w:left="1134" w:hanging="217"/>
      </w:pPr>
      <w:rPr>
        <w:rFonts w:hint="default"/>
        <w:lang w:val="en-GB" w:eastAsia="en-GB" w:bidi="en-GB"/>
      </w:rPr>
    </w:lvl>
    <w:lvl w:ilvl="7" w:tplc="78F84CA6">
      <w:numFmt w:val="bullet"/>
      <w:lvlText w:val="•"/>
      <w:lvlJc w:val="left"/>
      <w:pPr>
        <w:ind w:left="1273" w:hanging="217"/>
      </w:pPr>
      <w:rPr>
        <w:rFonts w:hint="default"/>
        <w:lang w:val="en-GB" w:eastAsia="en-GB" w:bidi="en-GB"/>
      </w:rPr>
    </w:lvl>
    <w:lvl w:ilvl="8" w:tplc="025E43FC">
      <w:numFmt w:val="bullet"/>
      <w:lvlText w:val="•"/>
      <w:lvlJc w:val="left"/>
      <w:pPr>
        <w:ind w:left="1412" w:hanging="217"/>
      </w:pPr>
      <w:rPr>
        <w:rFonts w:hint="default"/>
        <w:lang w:val="en-GB" w:eastAsia="en-GB" w:bidi="en-GB"/>
      </w:rPr>
    </w:lvl>
  </w:abstractNum>
  <w:abstractNum w:abstractNumId="694" w15:restartNumberingAfterBreak="0">
    <w:nsid w:val="41227350"/>
    <w:multiLevelType w:val="hybridMultilevel"/>
    <w:tmpl w:val="3D9ACB70"/>
    <w:lvl w:ilvl="0" w:tplc="43D0008A">
      <w:numFmt w:val="bullet"/>
      <w:lvlText w:val="•"/>
      <w:lvlJc w:val="left"/>
      <w:pPr>
        <w:ind w:left="303" w:hanging="217"/>
      </w:pPr>
      <w:rPr>
        <w:rFonts w:ascii="Arial" w:eastAsia="Arial" w:hAnsi="Arial" w:cs="Arial" w:hint="default"/>
        <w:color w:val="231F20"/>
        <w:w w:val="102"/>
        <w:sz w:val="17"/>
        <w:szCs w:val="17"/>
        <w:lang w:val="en-GB" w:eastAsia="en-GB" w:bidi="en-GB"/>
      </w:rPr>
    </w:lvl>
    <w:lvl w:ilvl="1" w:tplc="048E299A">
      <w:numFmt w:val="bullet"/>
      <w:lvlText w:val="•"/>
      <w:lvlJc w:val="left"/>
      <w:pPr>
        <w:ind w:left="439" w:hanging="217"/>
      </w:pPr>
      <w:rPr>
        <w:rFonts w:hint="default"/>
        <w:lang w:val="en-GB" w:eastAsia="en-GB" w:bidi="en-GB"/>
      </w:rPr>
    </w:lvl>
    <w:lvl w:ilvl="2" w:tplc="5846D530">
      <w:numFmt w:val="bullet"/>
      <w:lvlText w:val="•"/>
      <w:lvlJc w:val="left"/>
      <w:pPr>
        <w:ind w:left="578" w:hanging="217"/>
      </w:pPr>
      <w:rPr>
        <w:rFonts w:hint="default"/>
        <w:lang w:val="en-GB" w:eastAsia="en-GB" w:bidi="en-GB"/>
      </w:rPr>
    </w:lvl>
    <w:lvl w:ilvl="3" w:tplc="3D789722">
      <w:numFmt w:val="bullet"/>
      <w:lvlText w:val="•"/>
      <w:lvlJc w:val="left"/>
      <w:pPr>
        <w:ind w:left="717" w:hanging="217"/>
      </w:pPr>
      <w:rPr>
        <w:rFonts w:hint="default"/>
        <w:lang w:val="en-GB" w:eastAsia="en-GB" w:bidi="en-GB"/>
      </w:rPr>
    </w:lvl>
    <w:lvl w:ilvl="4" w:tplc="9A1E12AE">
      <w:numFmt w:val="bullet"/>
      <w:lvlText w:val="•"/>
      <w:lvlJc w:val="left"/>
      <w:pPr>
        <w:ind w:left="856" w:hanging="217"/>
      </w:pPr>
      <w:rPr>
        <w:rFonts w:hint="default"/>
        <w:lang w:val="en-GB" w:eastAsia="en-GB" w:bidi="en-GB"/>
      </w:rPr>
    </w:lvl>
    <w:lvl w:ilvl="5" w:tplc="EF169F78">
      <w:numFmt w:val="bullet"/>
      <w:lvlText w:val="•"/>
      <w:lvlJc w:val="left"/>
      <w:pPr>
        <w:ind w:left="995" w:hanging="217"/>
      </w:pPr>
      <w:rPr>
        <w:rFonts w:hint="default"/>
        <w:lang w:val="en-GB" w:eastAsia="en-GB" w:bidi="en-GB"/>
      </w:rPr>
    </w:lvl>
    <w:lvl w:ilvl="6" w:tplc="69CAD0BA">
      <w:numFmt w:val="bullet"/>
      <w:lvlText w:val="•"/>
      <w:lvlJc w:val="left"/>
      <w:pPr>
        <w:ind w:left="1134" w:hanging="217"/>
      </w:pPr>
      <w:rPr>
        <w:rFonts w:hint="default"/>
        <w:lang w:val="en-GB" w:eastAsia="en-GB" w:bidi="en-GB"/>
      </w:rPr>
    </w:lvl>
    <w:lvl w:ilvl="7" w:tplc="0A26D346">
      <w:numFmt w:val="bullet"/>
      <w:lvlText w:val="•"/>
      <w:lvlJc w:val="left"/>
      <w:pPr>
        <w:ind w:left="1273" w:hanging="217"/>
      </w:pPr>
      <w:rPr>
        <w:rFonts w:hint="default"/>
        <w:lang w:val="en-GB" w:eastAsia="en-GB" w:bidi="en-GB"/>
      </w:rPr>
    </w:lvl>
    <w:lvl w:ilvl="8" w:tplc="DBEA3668">
      <w:numFmt w:val="bullet"/>
      <w:lvlText w:val="•"/>
      <w:lvlJc w:val="left"/>
      <w:pPr>
        <w:ind w:left="1412" w:hanging="217"/>
      </w:pPr>
      <w:rPr>
        <w:rFonts w:hint="default"/>
        <w:lang w:val="en-GB" w:eastAsia="en-GB" w:bidi="en-GB"/>
      </w:rPr>
    </w:lvl>
  </w:abstractNum>
  <w:abstractNum w:abstractNumId="695" w15:restartNumberingAfterBreak="0">
    <w:nsid w:val="41367960"/>
    <w:multiLevelType w:val="hybridMultilevel"/>
    <w:tmpl w:val="40FEC864"/>
    <w:lvl w:ilvl="0" w:tplc="2A52F42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50C1196">
      <w:numFmt w:val="bullet"/>
      <w:lvlText w:val="•"/>
      <w:lvlJc w:val="left"/>
      <w:pPr>
        <w:ind w:left="473" w:hanging="217"/>
      </w:pPr>
      <w:rPr>
        <w:rFonts w:hint="default"/>
        <w:lang w:val="en-GB" w:eastAsia="en-GB" w:bidi="en-GB"/>
      </w:rPr>
    </w:lvl>
    <w:lvl w:ilvl="2" w:tplc="1B7E3BB2">
      <w:numFmt w:val="bullet"/>
      <w:lvlText w:val="•"/>
      <w:lvlJc w:val="left"/>
      <w:pPr>
        <w:ind w:left="646" w:hanging="217"/>
      </w:pPr>
      <w:rPr>
        <w:rFonts w:hint="default"/>
        <w:lang w:val="en-GB" w:eastAsia="en-GB" w:bidi="en-GB"/>
      </w:rPr>
    </w:lvl>
    <w:lvl w:ilvl="3" w:tplc="6D48DCA2">
      <w:numFmt w:val="bullet"/>
      <w:lvlText w:val="•"/>
      <w:lvlJc w:val="left"/>
      <w:pPr>
        <w:ind w:left="819" w:hanging="217"/>
      </w:pPr>
      <w:rPr>
        <w:rFonts w:hint="default"/>
        <w:lang w:val="en-GB" w:eastAsia="en-GB" w:bidi="en-GB"/>
      </w:rPr>
    </w:lvl>
    <w:lvl w:ilvl="4" w:tplc="E218462A">
      <w:numFmt w:val="bullet"/>
      <w:lvlText w:val="•"/>
      <w:lvlJc w:val="left"/>
      <w:pPr>
        <w:ind w:left="992" w:hanging="217"/>
      </w:pPr>
      <w:rPr>
        <w:rFonts w:hint="default"/>
        <w:lang w:val="en-GB" w:eastAsia="en-GB" w:bidi="en-GB"/>
      </w:rPr>
    </w:lvl>
    <w:lvl w:ilvl="5" w:tplc="0A9C76C2">
      <w:numFmt w:val="bullet"/>
      <w:lvlText w:val="•"/>
      <w:lvlJc w:val="left"/>
      <w:pPr>
        <w:ind w:left="1165" w:hanging="217"/>
      </w:pPr>
      <w:rPr>
        <w:rFonts w:hint="default"/>
        <w:lang w:val="en-GB" w:eastAsia="en-GB" w:bidi="en-GB"/>
      </w:rPr>
    </w:lvl>
    <w:lvl w:ilvl="6" w:tplc="9590470A">
      <w:numFmt w:val="bullet"/>
      <w:lvlText w:val="•"/>
      <w:lvlJc w:val="left"/>
      <w:pPr>
        <w:ind w:left="1338" w:hanging="217"/>
      </w:pPr>
      <w:rPr>
        <w:rFonts w:hint="default"/>
        <w:lang w:val="en-GB" w:eastAsia="en-GB" w:bidi="en-GB"/>
      </w:rPr>
    </w:lvl>
    <w:lvl w:ilvl="7" w:tplc="98AEF28A">
      <w:numFmt w:val="bullet"/>
      <w:lvlText w:val="•"/>
      <w:lvlJc w:val="left"/>
      <w:pPr>
        <w:ind w:left="1511" w:hanging="217"/>
      </w:pPr>
      <w:rPr>
        <w:rFonts w:hint="default"/>
        <w:lang w:val="en-GB" w:eastAsia="en-GB" w:bidi="en-GB"/>
      </w:rPr>
    </w:lvl>
    <w:lvl w:ilvl="8" w:tplc="5F3AC08C">
      <w:numFmt w:val="bullet"/>
      <w:lvlText w:val="•"/>
      <w:lvlJc w:val="left"/>
      <w:pPr>
        <w:ind w:left="1684" w:hanging="217"/>
      </w:pPr>
      <w:rPr>
        <w:rFonts w:hint="default"/>
        <w:lang w:val="en-GB" w:eastAsia="en-GB" w:bidi="en-GB"/>
      </w:rPr>
    </w:lvl>
  </w:abstractNum>
  <w:abstractNum w:abstractNumId="696" w15:restartNumberingAfterBreak="0">
    <w:nsid w:val="414F3A7B"/>
    <w:multiLevelType w:val="hybridMultilevel"/>
    <w:tmpl w:val="66AAE6CA"/>
    <w:lvl w:ilvl="0" w:tplc="5C4AE026">
      <w:numFmt w:val="bullet"/>
      <w:lvlText w:val="•"/>
      <w:lvlJc w:val="left"/>
      <w:pPr>
        <w:ind w:left="301" w:hanging="217"/>
      </w:pPr>
      <w:rPr>
        <w:rFonts w:ascii="Arial" w:eastAsia="Arial" w:hAnsi="Arial" w:cs="Arial" w:hint="default"/>
        <w:color w:val="231F20"/>
        <w:spacing w:val="-7"/>
        <w:w w:val="100"/>
        <w:sz w:val="18"/>
        <w:szCs w:val="18"/>
        <w:lang w:val="en-GB" w:eastAsia="en-GB" w:bidi="en-GB"/>
      </w:rPr>
    </w:lvl>
    <w:lvl w:ilvl="1" w:tplc="D0A4AFC8">
      <w:numFmt w:val="bullet"/>
      <w:lvlText w:val="•"/>
      <w:lvlJc w:val="left"/>
      <w:pPr>
        <w:ind w:left="892" w:hanging="217"/>
      </w:pPr>
      <w:rPr>
        <w:rFonts w:hint="default"/>
        <w:lang w:val="en-GB" w:eastAsia="en-GB" w:bidi="en-GB"/>
      </w:rPr>
    </w:lvl>
    <w:lvl w:ilvl="2" w:tplc="0938F74A">
      <w:numFmt w:val="bullet"/>
      <w:lvlText w:val="•"/>
      <w:lvlJc w:val="left"/>
      <w:pPr>
        <w:ind w:left="1484" w:hanging="217"/>
      </w:pPr>
      <w:rPr>
        <w:rFonts w:hint="default"/>
        <w:lang w:val="en-GB" w:eastAsia="en-GB" w:bidi="en-GB"/>
      </w:rPr>
    </w:lvl>
    <w:lvl w:ilvl="3" w:tplc="7CC4C782">
      <w:numFmt w:val="bullet"/>
      <w:lvlText w:val="•"/>
      <w:lvlJc w:val="left"/>
      <w:pPr>
        <w:ind w:left="2076" w:hanging="217"/>
      </w:pPr>
      <w:rPr>
        <w:rFonts w:hint="default"/>
        <w:lang w:val="en-GB" w:eastAsia="en-GB" w:bidi="en-GB"/>
      </w:rPr>
    </w:lvl>
    <w:lvl w:ilvl="4" w:tplc="6B98287A">
      <w:numFmt w:val="bullet"/>
      <w:lvlText w:val="•"/>
      <w:lvlJc w:val="left"/>
      <w:pPr>
        <w:ind w:left="2669" w:hanging="217"/>
      </w:pPr>
      <w:rPr>
        <w:rFonts w:hint="default"/>
        <w:lang w:val="en-GB" w:eastAsia="en-GB" w:bidi="en-GB"/>
      </w:rPr>
    </w:lvl>
    <w:lvl w:ilvl="5" w:tplc="4B6A95A0">
      <w:numFmt w:val="bullet"/>
      <w:lvlText w:val="•"/>
      <w:lvlJc w:val="left"/>
      <w:pPr>
        <w:ind w:left="3261" w:hanging="217"/>
      </w:pPr>
      <w:rPr>
        <w:rFonts w:hint="default"/>
        <w:lang w:val="en-GB" w:eastAsia="en-GB" w:bidi="en-GB"/>
      </w:rPr>
    </w:lvl>
    <w:lvl w:ilvl="6" w:tplc="B71C2606">
      <w:numFmt w:val="bullet"/>
      <w:lvlText w:val="•"/>
      <w:lvlJc w:val="left"/>
      <w:pPr>
        <w:ind w:left="3853" w:hanging="217"/>
      </w:pPr>
      <w:rPr>
        <w:rFonts w:hint="default"/>
        <w:lang w:val="en-GB" w:eastAsia="en-GB" w:bidi="en-GB"/>
      </w:rPr>
    </w:lvl>
    <w:lvl w:ilvl="7" w:tplc="130AECAA">
      <w:numFmt w:val="bullet"/>
      <w:lvlText w:val="•"/>
      <w:lvlJc w:val="left"/>
      <w:pPr>
        <w:ind w:left="4446" w:hanging="217"/>
      </w:pPr>
      <w:rPr>
        <w:rFonts w:hint="default"/>
        <w:lang w:val="en-GB" w:eastAsia="en-GB" w:bidi="en-GB"/>
      </w:rPr>
    </w:lvl>
    <w:lvl w:ilvl="8" w:tplc="C5C80740">
      <w:numFmt w:val="bullet"/>
      <w:lvlText w:val="•"/>
      <w:lvlJc w:val="left"/>
      <w:pPr>
        <w:ind w:left="5038" w:hanging="217"/>
      </w:pPr>
      <w:rPr>
        <w:rFonts w:hint="default"/>
        <w:lang w:val="en-GB" w:eastAsia="en-GB" w:bidi="en-GB"/>
      </w:rPr>
    </w:lvl>
  </w:abstractNum>
  <w:abstractNum w:abstractNumId="697" w15:restartNumberingAfterBreak="0">
    <w:nsid w:val="41552B74"/>
    <w:multiLevelType w:val="hybridMultilevel"/>
    <w:tmpl w:val="90A8EE88"/>
    <w:lvl w:ilvl="0" w:tplc="5AA6EF8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F126FEF2">
      <w:numFmt w:val="bullet"/>
      <w:lvlText w:val="•"/>
      <w:lvlJc w:val="left"/>
      <w:pPr>
        <w:ind w:left="892" w:hanging="217"/>
      </w:pPr>
      <w:rPr>
        <w:rFonts w:hint="default"/>
        <w:lang w:val="en-GB" w:eastAsia="en-GB" w:bidi="en-GB"/>
      </w:rPr>
    </w:lvl>
    <w:lvl w:ilvl="2" w:tplc="260A9398">
      <w:numFmt w:val="bullet"/>
      <w:lvlText w:val="•"/>
      <w:lvlJc w:val="left"/>
      <w:pPr>
        <w:ind w:left="1485" w:hanging="217"/>
      </w:pPr>
      <w:rPr>
        <w:rFonts w:hint="default"/>
        <w:lang w:val="en-GB" w:eastAsia="en-GB" w:bidi="en-GB"/>
      </w:rPr>
    </w:lvl>
    <w:lvl w:ilvl="3" w:tplc="D61EFBBA">
      <w:numFmt w:val="bullet"/>
      <w:lvlText w:val="•"/>
      <w:lvlJc w:val="left"/>
      <w:pPr>
        <w:ind w:left="2077" w:hanging="217"/>
      </w:pPr>
      <w:rPr>
        <w:rFonts w:hint="default"/>
        <w:lang w:val="en-GB" w:eastAsia="en-GB" w:bidi="en-GB"/>
      </w:rPr>
    </w:lvl>
    <w:lvl w:ilvl="4" w:tplc="CFDA67C6">
      <w:numFmt w:val="bullet"/>
      <w:lvlText w:val="•"/>
      <w:lvlJc w:val="left"/>
      <w:pPr>
        <w:ind w:left="2670" w:hanging="217"/>
      </w:pPr>
      <w:rPr>
        <w:rFonts w:hint="default"/>
        <w:lang w:val="en-GB" w:eastAsia="en-GB" w:bidi="en-GB"/>
      </w:rPr>
    </w:lvl>
    <w:lvl w:ilvl="5" w:tplc="9070A224">
      <w:numFmt w:val="bullet"/>
      <w:lvlText w:val="•"/>
      <w:lvlJc w:val="left"/>
      <w:pPr>
        <w:ind w:left="3263" w:hanging="217"/>
      </w:pPr>
      <w:rPr>
        <w:rFonts w:hint="default"/>
        <w:lang w:val="en-GB" w:eastAsia="en-GB" w:bidi="en-GB"/>
      </w:rPr>
    </w:lvl>
    <w:lvl w:ilvl="6" w:tplc="ACD014B2">
      <w:numFmt w:val="bullet"/>
      <w:lvlText w:val="•"/>
      <w:lvlJc w:val="left"/>
      <w:pPr>
        <w:ind w:left="3855" w:hanging="217"/>
      </w:pPr>
      <w:rPr>
        <w:rFonts w:hint="default"/>
        <w:lang w:val="en-GB" w:eastAsia="en-GB" w:bidi="en-GB"/>
      </w:rPr>
    </w:lvl>
    <w:lvl w:ilvl="7" w:tplc="35209952">
      <w:numFmt w:val="bullet"/>
      <w:lvlText w:val="•"/>
      <w:lvlJc w:val="left"/>
      <w:pPr>
        <w:ind w:left="4448" w:hanging="217"/>
      </w:pPr>
      <w:rPr>
        <w:rFonts w:hint="default"/>
        <w:lang w:val="en-GB" w:eastAsia="en-GB" w:bidi="en-GB"/>
      </w:rPr>
    </w:lvl>
    <w:lvl w:ilvl="8" w:tplc="478E988C">
      <w:numFmt w:val="bullet"/>
      <w:lvlText w:val="•"/>
      <w:lvlJc w:val="left"/>
      <w:pPr>
        <w:ind w:left="5040" w:hanging="217"/>
      </w:pPr>
      <w:rPr>
        <w:rFonts w:hint="default"/>
        <w:lang w:val="en-GB" w:eastAsia="en-GB" w:bidi="en-GB"/>
      </w:rPr>
    </w:lvl>
  </w:abstractNum>
  <w:abstractNum w:abstractNumId="698" w15:restartNumberingAfterBreak="0">
    <w:nsid w:val="416512F4"/>
    <w:multiLevelType w:val="hybridMultilevel"/>
    <w:tmpl w:val="BB5C3A8E"/>
    <w:lvl w:ilvl="0" w:tplc="CA407516">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31C01BA2">
      <w:numFmt w:val="bullet"/>
      <w:lvlText w:val="•"/>
      <w:lvlJc w:val="left"/>
      <w:pPr>
        <w:ind w:left="441" w:hanging="217"/>
      </w:pPr>
      <w:rPr>
        <w:rFonts w:hint="default"/>
        <w:lang w:val="en-GB" w:eastAsia="en-GB" w:bidi="en-GB"/>
      </w:rPr>
    </w:lvl>
    <w:lvl w:ilvl="2" w:tplc="70E68E64">
      <w:numFmt w:val="bullet"/>
      <w:lvlText w:val="•"/>
      <w:lvlJc w:val="left"/>
      <w:pPr>
        <w:ind w:left="583" w:hanging="217"/>
      </w:pPr>
      <w:rPr>
        <w:rFonts w:hint="default"/>
        <w:lang w:val="en-GB" w:eastAsia="en-GB" w:bidi="en-GB"/>
      </w:rPr>
    </w:lvl>
    <w:lvl w:ilvl="3" w:tplc="34922EA4">
      <w:numFmt w:val="bullet"/>
      <w:lvlText w:val="•"/>
      <w:lvlJc w:val="left"/>
      <w:pPr>
        <w:ind w:left="725" w:hanging="217"/>
      </w:pPr>
      <w:rPr>
        <w:rFonts w:hint="default"/>
        <w:lang w:val="en-GB" w:eastAsia="en-GB" w:bidi="en-GB"/>
      </w:rPr>
    </w:lvl>
    <w:lvl w:ilvl="4" w:tplc="D43A3408">
      <w:numFmt w:val="bullet"/>
      <w:lvlText w:val="•"/>
      <w:lvlJc w:val="left"/>
      <w:pPr>
        <w:ind w:left="867" w:hanging="217"/>
      </w:pPr>
      <w:rPr>
        <w:rFonts w:hint="default"/>
        <w:lang w:val="en-GB" w:eastAsia="en-GB" w:bidi="en-GB"/>
      </w:rPr>
    </w:lvl>
    <w:lvl w:ilvl="5" w:tplc="90522D32">
      <w:numFmt w:val="bullet"/>
      <w:lvlText w:val="•"/>
      <w:lvlJc w:val="left"/>
      <w:pPr>
        <w:ind w:left="1009" w:hanging="217"/>
      </w:pPr>
      <w:rPr>
        <w:rFonts w:hint="default"/>
        <w:lang w:val="en-GB" w:eastAsia="en-GB" w:bidi="en-GB"/>
      </w:rPr>
    </w:lvl>
    <w:lvl w:ilvl="6" w:tplc="43FC692E">
      <w:numFmt w:val="bullet"/>
      <w:lvlText w:val="•"/>
      <w:lvlJc w:val="left"/>
      <w:pPr>
        <w:ind w:left="1151" w:hanging="217"/>
      </w:pPr>
      <w:rPr>
        <w:rFonts w:hint="default"/>
        <w:lang w:val="en-GB" w:eastAsia="en-GB" w:bidi="en-GB"/>
      </w:rPr>
    </w:lvl>
    <w:lvl w:ilvl="7" w:tplc="A4ACDAE4">
      <w:numFmt w:val="bullet"/>
      <w:lvlText w:val="•"/>
      <w:lvlJc w:val="left"/>
      <w:pPr>
        <w:ind w:left="1293" w:hanging="217"/>
      </w:pPr>
      <w:rPr>
        <w:rFonts w:hint="default"/>
        <w:lang w:val="en-GB" w:eastAsia="en-GB" w:bidi="en-GB"/>
      </w:rPr>
    </w:lvl>
    <w:lvl w:ilvl="8" w:tplc="F0440F60">
      <w:numFmt w:val="bullet"/>
      <w:lvlText w:val="•"/>
      <w:lvlJc w:val="left"/>
      <w:pPr>
        <w:ind w:left="1435" w:hanging="217"/>
      </w:pPr>
      <w:rPr>
        <w:rFonts w:hint="default"/>
        <w:lang w:val="en-GB" w:eastAsia="en-GB" w:bidi="en-GB"/>
      </w:rPr>
    </w:lvl>
  </w:abstractNum>
  <w:abstractNum w:abstractNumId="699" w15:restartNumberingAfterBreak="0">
    <w:nsid w:val="41AE7029"/>
    <w:multiLevelType w:val="hybridMultilevel"/>
    <w:tmpl w:val="53321FB6"/>
    <w:lvl w:ilvl="0" w:tplc="0114DA3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1E62F5DA">
      <w:numFmt w:val="bullet"/>
      <w:lvlText w:val="•"/>
      <w:lvlJc w:val="left"/>
      <w:pPr>
        <w:ind w:left="473" w:hanging="217"/>
      </w:pPr>
      <w:rPr>
        <w:rFonts w:hint="default"/>
        <w:lang w:val="en-GB" w:eastAsia="en-GB" w:bidi="en-GB"/>
      </w:rPr>
    </w:lvl>
    <w:lvl w:ilvl="2" w:tplc="562AF9C8">
      <w:numFmt w:val="bullet"/>
      <w:lvlText w:val="•"/>
      <w:lvlJc w:val="left"/>
      <w:pPr>
        <w:ind w:left="646" w:hanging="217"/>
      </w:pPr>
      <w:rPr>
        <w:rFonts w:hint="default"/>
        <w:lang w:val="en-GB" w:eastAsia="en-GB" w:bidi="en-GB"/>
      </w:rPr>
    </w:lvl>
    <w:lvl w:ilvl="3" w:tplc="FEDCEC7E">
      <w:numFmt w:val="bullet"/>
      <w:lvlText w:val="•"/>
      <w:lvlJc w:val="left"/>
      <w:pPr>
        <w:ind w:left="819" w:hanging="217"/>
      </w:pPr>
      <w:rPr>
        <w:rFonts w:hint="default"/>
        <w:lang w:val="en-GB" w:eastAsia="en-GB" w:bidi="en-GB"/>
      </w:rPr>
    </w:lvl>
    <w:lvl w:ilvl="4" w:tplc="5610F3BE">
      <w:numFmt w:val="bullet"/>
      <w:lvlText w:val="•"/>
      <w:lvlJc w:val="left"/>
      <w:pPr>
        <w:ind w:left="992" w:hanging="217"/>
      </w:pPr>
      <w:rPr>
        <w:rFonts w:hint="default"/>
        <w:lang w:val="en-GB" w:eastAsia="en-GB" w:bidi="en-GB"/>
      </w:rPr>
    </w:lvl>
    <w:lvl w:ilvl="5" w:tplc="46606080">
      <w:numFmt w:val="bullet"/>
      <w:lvlText w:val="•"/>
      <w:lvlJc w:val="left"/>
      <w:pPr>
        <w:ind w:left="1165" w:hanging="217"/>
      </w:pPr>
      <w:rPr>
        <w:rFonts w:hint="default"/>
        <w:lang w:val="en-GB" w:eastAsia="en-GB" w:bidi="en-GB"/>
      </w:rPr>
    </w:lvl>
    <w:lvl w:ilvl="6" w:tplc="A860FC1C">
      <w:numFmt w:val="bullet"/>
      <w:lvlText w:val="•"/>
      <w:lvlJc w:val="left"/>
      <w:pPr>
        <w:ind w:left="1338" w:hanging="217"/>
      </w:pPr>
      <w:rPr>
        <w:rFonts w:hint="default"/>
        <w:lang w:val="en-GB" w:eastAsia="en-GB" w:bidi="en-GB"/>
      </w:rPr>
    </w:lvl>
    <w:lvl w:ilvl="7" w:tplc="67769F76">
      <w:numFmt w:val="bullet"/>
      <w:lvlText w:val="•"/>
      <w:lvlJc w:val="left"/>
      <w:pPr>
        <w:ind w:left="1511" w:hanging="217"/>
      </w:pPr>
      <w:rPr>
        <w:rFonts w:hint="default"/>
        <w:lang w:val="en-GB" w:eastAsia="en-GB" w:bidi="en-GB"/>
      </w:rPr>
    </w:lvl>
    <w:lvl w:ilvl="8" w:tplc="FE3E205C">
      <w:numFmt w:val="bullet"/>
      <w:lvlText w:val="•"/>
      <w:lvlJc w:val="left"/>
      <w:pPr>
        <w:ind w:left="1684" w:hanging="217"/>
      </w:pPr>
      <w:rPr>
        <w:rFonts w:hint="default"/>
        <w:lang w:val="en-GB" w:eastAsia="en-GB" w:bidi="en-GB"/>
      </w:rPr>
    </w:lvl>
  </w:abstractNum>
  <w:abstractNum w:abstractNumId="700" w15:restartNumberingAfterBreak="0">
    <w:nsid w:val="41C31803"/>
    <w:multiLevelType w:val="hybridMultilevel"/>
    <w:tmpl w:val="C04E2ABA"/>
    <w:lvl w:ilvl="0" w:tplc="7CCE8A5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B98F672">
      <w:numFmt w:val="bullet"/>
      <w:lvlText w:val="•"/>
      <w:lvlJc w:val="left"/>
      <w:pPr>
        <w:ind w:left="439" w:hanging="217"/>
      </w:pPr>
      <w:rPr>
        <w:rFonts w:hint="default"/>
        <w:lang w:val="en-GB" w:eastAsia="en-GB" w:bidi="en-GB"/>
      </w:rPr>
    </w:lvl>
    <w:lvl w:ilvl="2" w:tplc="383602A0">
      <w:numFmt w:val="bullet"/>
      <w:lvlText w:val="•"/>
      <w:lvlJc w:val="left"/>
      <w:pPr>
        <w:ind w:left="578" w:hanging="217"/>
      </w:pPr>
      <w:rPr>
        <w:rFonts w:hint="default"/>
        <w:lang w:val="en-GB" w:eastAsia="en-GB" w:bidi="en-GB"/>
      </w:rPr>
    </w:lvl>
    <w:lvl w:ilvl="3" w:tplc="215C3CAE">
      <w:numFmt w:val="bullet"/>
      <w:lvlText w:val="•"/>
      <w:lvlJc w:val="left"/>
      <w:pPr>
        <w:ind w:left="717" w:hanging="217"/>
      </w:pPr>
      <w:rPr>
        <w:rFonts w:hint="default"/>
        <w:lang w:val="en-GB" w:eastAsia="en-GB" w:bidi="en-GB"/>
      </w:rPr>
    </w:lvl>
    <w:lvl w:ilvl="4" w:tplc="37809A4C">
      <w:numFmt w:val="bullet"/>
      <w:lvlText w:val="•"/>
      <w:lvlJc w:val="left"/>
      <w:pPr>
        <w:ind w:left="856" w:hanging="217"/>
      </w:pPr>
      <w:rPr>
        <w:rFonts w:hint="default"/>
        <w:lang w:val="en-GB" w:eastAsia="en-GB" w:bidi="en-GB"/>
      </w:rPr>
    </w:lvl>
    <w:lvl w:ilvl="5" w:tplc="DA4C18C8">
      <w:numFmt w:val="bullet"/>
      <w:lvlText w:val="•"/>
      <w:lvlJc w:val="left"/>
      <w:pPr>
        <w:ind w:left="995" w:hanging="217"/>
      </w:pPr>
      <w:rPr>
        <w:rFonts w:hint="default"/>
        <w:lang w:val="en-GB" w:eastAsia="en-GB" w:bidi="en-GB"/>
      </w:rPr>
    </w:lvl>
    <w:lvl w:ilvl="6" w:tplc="35BE04A0">
      <w:numFmt w:val="bullet"/>
      <w:lvlText w:val="•"/>
      <w:lvlJc w:val="left"/>
      <w:pPr>
        <w:ind w:left="1134" w:hanging="217"/>
      </w:pPr>
      <w:rPr>
        <w:rFonts w:hint="default"/>
        <w:lang w:val="en-GB" w:eastAsia="en-GB" w:bidi="en-GB"/>
      </w:rPr>
    </w:lvl>
    <w:lvl w:ilvl="7" w:tplc="E496E6A8">
      <w:numFmt w:val="bullet"/>
      <w:lvlText w:val="•"/>
      <w:lvlJc w:val="left"/>
      <w:pPr>
        <w:ind w:left="1273" w:hanging="217"/>
      </w:pPr>
      <w:rPr>
        <w:rFonts w:hint="default"/>
        <w:lang w:val="en-GB" w:eastAsia="en-GB" w:bidi="en-GB"/>
      </w:rPr>
    </w:lvl>
    <w:lvl w:ilvl="8" w:tplc="36C0B24C">
      <w:numFmt w:val="bullet"/>
      <w:lvlText w:val="•"/>
      <w:lvlJc w:val="left"/>
      <w:pPr>
        <w:ind w:left="1412" w:hanging="217"/>
      </w:pPr>
      <w:rPr>
        <w:rFonts w:hint="default"/>
        <w:lang w:val="en-GB" w:eastAsia="en-GB" w:bidi="en-GB"/>
      </w:rPr>
    </w:lvl>
  </w:abstractNum>
  <w:abstractNum w:abstractNumId="701" w15:restartNumberingAfterBreak="0">
    <w:nsid w:val="41D141BD"/>
    <w:multiLevelType w:val="hybridMultilevel"/>
    <w:tmpl w:val="75FE2F80"/>
    <w:lvl w:ilvl="0" w:tplc="93C8EEF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7A2A110">
      <w:numFmt w:val="bullet"/>
      <w:lvlText w:val="•"/>
      <w:lvlJc w:val="left"/>
      <w:pPr>
        <w:ind w:left="473" w:hanging="217"/>
      </w:pPr>
      <w:rPr>
        <w:rFonts w:hint="default"/>
        <w:lang w:val="en-GB" w:eastAsia="en-GB" w:bidi="en-GB"/>
      </w:rPr>
    </w:lvl>
    <w:lvl w:ilvl="2" w:tplc="81CE428A">
      <w:numFmt w:val="bullet"/>
      <w:lvlText w:val="•"/>
      <w:lvlJc w:val="left"/>
      <w:pPr>
        <w:ind w:left="646" w:hanging="217"/>
      </w:pPr>
      <w:rPr>
        <w:rFonts w:hint="default"/>
        <w:lang w:val="en-GB" w:eastAsia="en-GB" w:bidi="en-GB"/>
      </w:rPr>
    </w:lvl>
    <w:lvl w:ilvl="3" w:tplc="14D21BE8">
      <w:numFmt w:val="bullet"/>
      <w:lvlText w:val="•"/>
      <w:lvlJc w:val="left"/>
      <w:pPr>
        <w:ind w:left="819" w:hanging="217"/>
      </w:pPr>
      <w:rPr>
        <w:rFonts w:hint="default"/>
        <w:lang w:val="en-GB" w:eastAsia="en-GB" w:bidi="en-GB"/>
      </w:rPr>
    </w:lvl>
    <w:lvl w:ilvl="4" w:tplc="17FC9A1C">
      <w:numFmt w:val="bullet"/>
      <w:lvlText w:val="•"/>
      <w:lvlJc w:val="left"/>
      <w:pPr>
        <w:ind w:left="992" w:hanging="217"/>
      </w:pPr>
      <w:rPr>
        <w:rFonts w:hint="default"/>
        <w:lang w:val="en-GB" w:eastAsia="en-GB" w:bidi="en-GB"/>
      </w:rPr>
    </w:lvl>
    <w:lvl w:ilvl="5" w:tplc="C876DE42">
      <w:numFmt w:val="bullet"/>
      <w:lvlText w:val="•"/>
      <w:lvlJc w:val="left"/>
      <w:pPr>
        <w:ind w:left="1165" w:hanging="217"/>
      </w:pPr>
      <w:rPr>
        <w:rFonts w:hint="default"/>
        <w:lang w:val="en-GB" w:eastAsia="en-GB" w:bidi="en-GB"/>
      </w:rPr>
    </w:lvl>
    <w:lvl w:ilvl="6" w:tplc="441EC214">
      <w:numFmt w:val="bullet"/>
      <w:lvlText w:val="•"/>
      <w:lvlJc w:val="left"/>
      <w:pPr>
        <w:ind w:left="1338" w:hanging="217"/>
      </w:pPr>
      <w:rPr>
        <w:rFonts w:hint="default"/>
        <w:lang w:val="en-GB" w:eastAsia="en-GB" w:bidi="en-GB"/>
      </w:rPr>
    </w:lvl>
    <w:lvl w:ilvl="7" w:tplc="30D6FD04">
      <w:numFmt w:val="bullet"/>
      <w:lvlText w:val="•"/>
      <w:lvlJc w:val="left"/>
      <w:pPr>
        <w:ind w:left="1511" w:hanging="217"/>
      </w:pPr>
      <w:rPr>
        <w:rFonts w:hint="default"/>
        <w:lang w:val="en-GB" w:eastAsia="en-GB" w:bidi="en-GB"/>
      </w:rPr>
    </w:lvl>
    <w:lvl w:ilvl="8" w:tplc="2AA8E512">
      <w:numFmt w:val="bullet"/>
      <w:lvlText w:val="•"/>
      <w:lvlJc w:val="left"/>
      <w:pPr>
        <w:ind w:left="1684" w:hanging="217"/>
      </w:pPr>
      <w:rPr>
        <w:rFonts w:hint="default"/>
        <w:lang w:val="en-GB" w:eastAsia="en-GB" w:bidi="en-GB"/>
      </w:rPr>
    </w:lvl>
  </w:abstractNum>
  <w:abstractNum w:abstractNumId="702" w15:restartNumberingAfterBreak="0">
    <w:nsid w:val="41D244DE"/>
    <w:multiLevelType w:val="hybridMultilevel"/>
    <w:tmpl w:val="7CBE2B54"/>
    <w:lvl w:ilvl="0" w:tplc="83DAC10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2174A726">
      <w:numFmt w:val="bullet"/>
      <w:lvlText w:val="•"/>
      <w:lvlJc w:val="left"/>
      <w:pPr>
        <w:ind w:left="892" w:hanging="217"/>
      </w:pPr>
      <w:rPr>
        <w:rFonts w:hint="default"/>
        <w:lang w:val="en-GB" w:eastAsia="en-GB" w:bidi="en-GB"/>
      </w:rPr>
    </w:lvl>
    <w:lvl w:ilvl="2" w:tplc="DF4A9FA2">
      <w:numFmt w:val="bullet"/>
      <w:lvlText w:val="•"/>
      <w:lvlJc w:val="left"/>
      <w:pPr>
        <w:ind w:left="1485" w:hanging="217"/>
      </w:pPr>
      <w:rPr>
        <w:rFonts w:hint="default"/>
        <w:lang w:val="en-GB" w:eastAsia="en-GB" w:bidi="en-GB"/>
      </w:rPr>
    </w:lvl>
    <w:lvl w:ilvl="3" w:tplc="8DCEAB16">
      <w:numFmt w:val="bullet"/>
      <w:lvlText w:val="•"/>
      <w:lvlJc w:val="left"/>
      <w:pPr>
        <w:ind w:left="2077" w:hanging="217"/>
      </w:pPr>
      <w:rPr>
        <w:rFonts w:hint="default"/>
        <w:lang w:val="en-GB" w:eastAsia="en-GB" w:bidi="en-GB"/>
      </w:rPr>
    </w:lvl>
    <w:lvl w:ilvl="4" w:tplc="EBD034E0">
      <w:numFmt w:val="bullet"/>
      <w:lvlText w:val="•"/>
      <w:lvlJc w:val="left"/>
      <w:pPr>
        <w:ind w:left="2670" w:hanging="217"/>
      </w:pPr>
      <w:rPr>
        <w:rFonts w:hint="default"/>
        <w:lang w:val="en-GB" w:eastAsia="en-GB" w:bidi="en-GB"/>
      </w:rPr>
    </w:lvl>
    <w:lvl w:ilvl="5" w:tplc="C4BE422E">
      <w:numFmt w:val="bullet"/>
      <w:lvlText w:val="•"/>
      <w:lvlJc w:val="left"/>
      <w:pPr>
        <w:ind w:left="3263" w:hanging="217"/>
      </w:pPr>
      <w:rPr>
        <w:rFonts w:hint="default"/>
        <w:lang w:val="en-GB" w:eastAsia="en-GB" w:bidi="en-GB"/>
      </w:rPr>
    </w:lvl>
    <w:lvl w:ilvl="6" w:tplc="69A2D368">
      <w:numFmt w:val="bullet"/>
      <w:lvlText w:val="•"/>
      <w:lvlJc w:val="left"/>
      <w:pPr>
        <w:ind w:left="3855" w:hanging="217"/>
      </w:pPr>
      <w:rPr>
        <w:rFonts w:hint="default"/>
        <w:lang w:val="en-GB" w:eastAsia="en-GB" w:bidi="en-GB"/>
      </w:rPr>
    </w:lvl>
    <w:lvl w:ilvl="7" w:tplc="EF18F986">
      <w:numFmt w:val="bullet"/>
      <w:lvlText w:val="•"/>
      <w:lvlJc w:val="left"/>
      <w:pPr>
        <w:ind w:left="4448" w:hanging="217"/>
      </w:pPr>
      <w:rPr>
        <w:rFonts w:hint="default"/>
        <w:lang w:val="en-GB" w:eastAsia="en-GB" w:bidi="en-GB"/>
      </w:rPr>
    </w:lvl>
    <w:lvl w:ilvl="8" w:tplc="0F989082">
      <w:numFmt w:val="bullet"/>
      <w:lvlText w:val="•"/>
      <w:lvlJc w:val="left"/>
      <w:pPr>
        <w:ind w:left="5040" w:hanging="217"/>
      </w:pPr>
      <w:rPr>
        <w:rFonts w:hint="default"/>
        <w:lang w:val="en-GB" w:eastAsia="en-GB" w:bidi="en-GB"/>
      </w:rPr>
    </w:lvl>
  </w:abstractNum>
  <w:abstractNum w:abstractNumId="703" w15:restartNumberingAfterBreak="0">
    <w:nsid w:val="41D30764"/>
    <w:multiLevelType w:val="hybridMultilevel"/>
    <w:tmpl w:val="7CFC2F42"/>
    <w:lvl w:ilvl="0" w:tplc="45206C8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8186F26">
      <w:numFmt w:val="bullet"/>
      <w:lvlText w:val="•"/>
      <w:lvlJc w:val="left"/>
      <w:pPr>
        <w:ind w:left="473" w:hanging="217"/>
      </w:pPr>
      <w:rPr>
        <w:rFonts w:hint="default"/>
        <w:lang w:val="en-GB" w:eastAsia="en-GB" w:bidi="en-GB"/>
      </w:rPr>
    </w:lvl>
    <w:lvl w:ilvl="2" w:tplc="8E720C46">
      <w:numFmt w:val="bullet"/>
      <w:lvlText w:val="•"/>
      <w:lvlJc w:val="left"/>
      <w:pPr>
        <w:ind w:left="646" w:hanging="217"/>
      </w:pPr>
      <w:rPr>
        <w:rFonts w:hint="default"/>
        <w:lang w:val="en-GB" w:eastAsia="en-GB" w:bidi="en-GB"/>
      </w:rPr>
    </w:lvl>
    <w:lvl w:ilvl="3" w:tplc="32AC491A">
      <w:numFmt w:val="bullet"/>
      <w:lvlText w:val="•"/>
      <w:lvlJc w:val="left"/>
      <w:pPr>
        <w:ind w:left="819" w:hanging="217"/>
      </w:pPr>
      <w:rPr>
        <w:rFonts w:hint="default"/>
        <w:lang w:val="en-GB" w:eastAsia="en-GB" w:bidi="en-GB"/>
      </w:rPr>
    </w:lvl>
    <w:lvl w:ilvl="4" w:tplc="E83A9322">
      <w:numFmt w:val="bullet"/>
      <w:lvlText w:val="•"/>
      <w:lvlJc w:val="left"/>
      <w:pPr>
        <w:ind w:left="992" w:hanging="217"/>
      </w:pPr>
      <w:rPr>
        <w:rFonts w:hint="default"/>
        <w:lang w:val="en-GB" w:eastAsia="en-GB" w:bidi="en-GB"/>
      </w:rPr>
    </w:lvl>
    <w:lvl w:ilvl="5" w:tplc="ED9C353C">
      <w:numFmt w:val="bullet"/>
      <w:lvlText w:val="•"/>
      <w:lvlJc w:val="left"/>
      <w:pPr>
        <w:ind w:left="1165" w:hanging="217"/>
      </w:pPr>
      <w:rPr>
        <w:rFonts w:hint="default"/>
        <w:lang w:val="en-GB" w:eastAsia="en-GB" w:bidi="en-GB"/>
      </w:rPr>
    </w:lvl>
    <w:lvl w:ilvl="6" w:tplc="CD98C808">
      <w:numFmt w:val="bullet"/>
      <w:lvlText w:val="•"/>
      <w:lvlJc w:val="left"/>
      <w:pPr>
        <w:ind w:left="1338" w:hanging="217"/>
      </w:pPr>
      <w:rPr>
        <w:rFonts w:hint="default"/>
        <w:lang w:val="en-GB" w:eastAsia="en-GB" w:bidi="en-GB"/>
      </w:rPr>
    </w:lvl>
    <w:lvl w:ilvl="7" w:tplc="618CA6CE">
      <w:numFmt w:val="bullet"/>
      <w:lvlText w:val="•"/>
      <w:lvlJc w:val="left"/>
      <w:pPr>
        <w:ind w:left="1511" w:hanging="217"/>
      </w:pPr>
      <w:rPr>
        <w:rFonts w:hint="default"/>
        <w:lang w:val="en-GB" w:eastAsia="en-GB" w:bidi="en-GB"/>
      </w:rPr>
    </w:lvl>
    <w:lvl w:ilvl="8" w:tplc="C68A17B0">
      <w:numFmt w:val="bullet"/>
      <w:lvlText w:val="•"/>
      <w:lvlJc w:val="left"/>
      <w:pPr>
        <w:ind w:left="1684" w:hanging="217"/>
      </w:pPr>
      <w:rPr>
        <w:rFonts w:hint="default"/>
        <w:lang w:val="en-GB" w:eastAsia="en-GB" w:bidi="en-GB"/>
      </w:rPr>
    </w:lvl>
  </w:abstractNum>
  <w:abstractNum w:abstractNumId="704" w15:restartNumberingAfterBreak="0">
    <w:nsid w:val="41D967B2"/>
    <w:multiLevelType w:val="hybridMultilevel"/>
    <w:tmpl w:val="E316592C"/>
    <w:lvl w:ilvl="0" w:tplc="73167AD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0FE9A7A">
      <w:numFmt w:val="bullet"/>
      <w:lvlText w:val="•"/>
      <w:lvlJc w:val="left"/>
      <w:pPr>
        <w:ind w:left="677" w:hanging="217"/>
      </w:pPr>
      <w:rPr>
        <w:rFonts w:hint="default"/>
        <w:lang w:val="en-GB" w:eastAsia="en-GB" w:bidi="en-GB"/>
      </w:rPr>
    </w:lvl>
    <w:lvl w:ilvl="2" w:tplc="BC20A2A2">
      <w:numFmt w:val="bullet"/>
      <w:lvlText w:val="•"/>
      <w:lvlJc w:val="left"/>
      <w:pPr>
        <w:ind w:left="1054" w:hanging="217"/>
      </w:pPr>
      <w:rPr>
        <w:rFonts w:hint="default"/>
        <w:lang w:val="en-GB" w:eastAsia="en-GB" w:bidi="en-GB"/>
      </w:rPr>
    </w:lvl>
    <w:lvl w:ilvl="3" w:tplc="BB4E3E04">
      <w:numFmt w:val="bullet"/>
      <w:lvlText w:val="•"/>
      <w:lvlJc w:val="left"/>
      <w:pPr>
        <w:ind w:left="1431" w:hanging="217"/>
      </w:pPr>
      <w:rPr>
        <w:rFonts w:hint="default"/>
        <w:lang w:val="en-GB" w:eastAsia="en-GB" w:bidi="en-GB"/>
      </w:rPr>
    </w:lvl>
    <w:lvl w:ilvl="4" w:tplc="A9F831CA">
      <w:numFmt w:val="bullet"/>
      <w:lvlText w:val="•"/>
      <w:lvlJc w:val="left"/>
      <w:pPr>
        <w:ind w:left="1808" w:hanging="217"/>
      </w:pPr>
      <w:rPr>
        <w:rFonts w:hint="default"/>
        <w:lang w:val="en-GB" w:eastAsia="en-GB" w:bidi="en-GB"/>
      </w:rPr>
    </w:lvl>
    <w:lvl w:ilvl="5" w:tplc="8522C8C4">
      <w:numFmt w:val="bullet"/>
      <w:lvlText w:val="•"/>
      <w:lvlJc w:val="left"/>
      <w:pPr>
        <w:ind w:left="2186" w:hanging="217"/>
      </w:pPr>
      <w:rPr>
        <w:rFonts w:hint="default"/>
        <w:lang w:val="en-GB" w:eastAsia="en-GB" w:bidi="en-GB"/>
      </w:rPr>
    </w:lvl>
    <w:lvl w:ilvl="6" w:tplc="B2D06DF2">
      <w:numFmt w:val="bullet"/>
      <w:lvlText w:val="•"/>
      <w:lvlJc w:val="left"/>
      <w:pPr>
        <w:ind w:left="2563" w:hanging="217"/>
      </w:pPr>
      <w:rPr>
        <w:rFonts w:hint="default"/>
        <w:lang w:val="en-GB" w:eastAsia="en-GB" w:bidi="en-GB"/>
      </w:rPr>
    </w:lvl>
    <w:lvl w:ilvl="7" w:tplc="6F904E1E">
      <w:numFmt w:val="bullet"/>
      <w:lvlText w:val="•"/>
      <w:lvlJc w:val="left"/>
      <w:pPr>
        <w:ind w:left="2940" w:hanging="217"/>
      </w:pPr>
      <w:rPr>
        <w:rFonts w:hint="default"/>
        <w:lang w:val="en-GB" w:eastAsia="en-GB" w:bidi="en-GB"/>
      </w:rPr>
    </w:lvl>
    <w:lvl w:ilvl="8" w:tplc="3B14CEAC">
      <w:numFmt w:val="bullet"/>
      <w:lvlText w:val="•"/>
      <w:lvlJc w:val="left"/>
      <w:pPr>
        <w:ind w:left="3317" w:hanging="217"/>
      </w:pPr>
      <w:rPr>
        <w:rFonts w:hint="default"/>
        <w:lang w:val="en-GB" w:eastAsia="en-GB" w:bidi="en-GB"/>
      </w:rPr>
    </w:lvl>
  </w:abstractNum>
  <w:abstractNum w:abstractNumId="705" w15:restartNumberingAfterBreak="0">
    <w:nsid w:val="41F17D67"/>
    <w:multiLevelType w:val="hybridMultilevel"/>
    <w:tmpl w:val="439046D8"/>
    <w:lvl w:ilvl="0" w:tplc="322E953A">
      <w:numFmt w:val="bullet"/>
      <w:lvlText w:val="•"/>
      <w:lvlJc w:val="left"/>
      <w:pPr>
        <w:ind w:left="276" w:hanging="217"/>
      </w:pPr>
      <w:rPr>
        <w:rFonts w:ascii="Arial" w:eastAsia="Arial" w:hAnsi="Arial" w:cs="Arial" w:hint="default"/>
        <w:color w:val="231F20"/>
        <w:w w:val="97"/>
        <w:sz w:val="16"/>
        <w:szCs w:val="16"/>
        <w:lang w:val="en-GB" w:eastAsia="en-GB" w:bidi="en-GB"/>
      </w:rPr>
    </w:lvl>
    <w:lvl w:ilvl="1" w:tplc="52143B3E">
      <w:numFmt w:val="bullet"/>
      <w:lvlText w:val="•"/>
      <w:lvlJc w:val="left"/>
      <w:pPr>
        <w:ind w:left="381" w:hanging="217"/>
      </w:pPr>
      <w:rPr>
        <w:rFonts w:hint="default"/>
        <w:lang w:val="en-GB" w:eastAsia="en-GB" w:bidi="en-GB"/>
      </w:rPr>
    </w:lvl>
    <w:lvl w:ilvl="2" w:tplc="1414C734">
      <w:numFmt w:val="bullet"/>
      <w:lvlText w:val="•"/>
      <w:lvlJc w:val="left"/>
      <w:pPr>
        <w:ind w:left="482" w:hanging="217"/>
      </w:pPr>
      <w:rPr>
        <w:rFonts w:hint="default"/>
        <w:lang w:val="en-GB" w:eastAsia="en-GB" w:bidi="en-GB"/>
      </w:rPr>
    </w:lvl>
    <w:lvl w:ilvl="3" w:tplc="AB520888">
      <w:numFmt w:val="bullet"/>
      <w:lvlText w:val="•"/>
      <w:lvlJc w:val="left"/>
      <w:pPr>
        <w:ind w:left="584" w:hanging="217"/>
      </w:pPr>
      <w:rPr>
        <w:rFonts w:hint="default"/>
        <w:lang w:val="en-GB" w:eastAsia="en-GB" w:bidi="en-GB"/>
      </w:rPr>
    </w:lvl>
    <w:lvl w:ilvl="4" w:tplc="93F47A02">
      <w:numFmt w:val="bullet"/>
      <w:lvlText w:val="•"/>
      <w:lvlJc w:val="left"/>
      <w:pPr>
        <w:ind w:left="685" w:hanging="217"/>
      </w:pPr>
      <w:rPr>
        <w:rFonts w:hint="default"/>
        <w:lang w:val="en-GB" w:eastAsia="en-GB" w:bidi="en-GB"/>
      </w:rPr>
    </w:lvl>
    <w:lvl w:ilvl="5" w:tplc="3BD000FC">
      <w:numFmt w:val="bullet"/>
      <w:lvlText w:val="•"/>
      <w:lvlJc w:val="left"/>
      <w:pPr>
        <w:ind w:left="787" w:hanging="217"/>
      </w:pPr>
      <w:rPr>
        <w:rFonts w:hint="default"/>
        <w:lang w:val="en-GB" w:eastAsia="en-GB" w:bidi="en-GB"/>
      </w:rPr>
    </w:lvl>
    <w:lvl w:ilvl="6" w:tplc="26306206">
      <w:numFmt w:val="bullet"/>
      <w:lvlText w:val="•"/>
      <w:lvlJc w:val="left"/>
      <w:pPr>
        <w:ind w:left="888" w:hanging="217"/>
      </w:pPr>
      <w:rPr>
        <w:rFonts w:hint="default"/>
        <w:lang w:val="en-GB" w:eastAsia="en-GB" w:bidi="en-GB"/>
      </w:rPr>
    </w:lvl>
    <w:lvl w:ilvl="7" w:tplc="E35E4F58">
      <w:numFmt w:val="bullet"/>
      <w:lvlText w:val="•"/>
      <w:lvlJc w:val="left"/>
      <w:pPr>
        <w:ind w:left="989" w:hanging="217"/>
      </w:pPr>
      <w:rPr>
        <w:rFonts w:hint="default"/>
        <w:lang w:val="en-GB" w:eastAsia="en-GB" w:bidi="en-GB"/>
      </w:rPr>
    </w:lvl>
    <w:lvl w:ilvl="8" w:tplc="4D3A1638">
      <w:numFmt w:val="bullet"/>
      <w:lvlText w:val="•"/>
      <w:lvlJc w:val="left"/>
      <w:pPr>
        <w:ind w:left="1091" w:hanging="217"/>
      </w:pPr>
      <w:rPr>
        <w:rFonts w:hint="default"/>
        <w:lang w:val="en-GB" w:eastAsia="en-GB" w:bidi="en-GB"/>
      </w:rPr>
    </w:lvl>
  </w:abstractNum>
  <w:abstractNum w:abstractNumId="706" w15:restartNumberingAfterBreak="0">
    <w:nsid w:val="41FE6368"/>
    <w:multiLevelType w:val="hybridMultilevel"/>
    <w:tmpl w:val="AA24D9FC"/>
    <w:lvl w:ilvl="0" w:tplc="45D421B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2B1AF106">
      <w:numFmt w:val="bullet"/>
      <w:lvlText w:val="•"/>
      <w:lvlJc w:val="left"/>
      <w:pPr>
        <w:ind w:left="892" w:hanging="217"/>
      </w:pPr>
      <w:rPr>
        <w:rFonts w:hint="default"/>
        <w:lang w:val="en-GB" w:eastAsia="en-GB" w:bidi="en-GB"/>
      </w:rPr>
    </w:lvl>
    <w:lvl w:ilvl="2" w:tplc="221AC486">
      <w:numFmt w:val="bullet"/>
      <w:lvlText w:val="•"/>
      <w:lvlJc w:val="left"/>
      <w:pPr>
        <w:ind w:left="1485" w:hanging="217"/>
      </w:pPr>
      <w:rPr>
        <w:rFonts w:hint="default"/>
        <w:lang w:val="en-GB" w:eastAsia="en-GB" w:bidi="en-GB"/>
      </w:rPr>
    </w:lvl>
    <w:lvl w:ilvl="3" w:tplc="ED927F74">
      <w:numFmt w:val="bullet"/>
      <w:lvlText w:val="•"/>
      <w:lvlJc w:val="left"/>
      <w:pPr>
        <w:ind w:left="2077" w:hanging="217"/>
      </w:pPr>
      <w:rPr>
        <w:rFonts w:hint="default"/>
        <w:lang w:val="en-GB" w:eastAsia="en-GB" w:bidi="en-GB"/>
      </w:rPr>
    </w:lvl>
    <w:lvl w:ilvl="4" w:tplc="10B656A6">
      <w:numFmt w:val="bullet"/>
      <w:lvlText w:val="•"/>
      <w:lvlJc w:val="left"/>
      <w:pPr>
        <w:ind w:left="2670" w:hanging="217"/>
      </w:pPr>
      <w:rPr>
        <w:rFonts w:hint="default"/>
        <w:lang w:val="en-GB" w:eastAsia="en-GB" w:bidi="en-GB"/>
      </w:rPr>
    </w:lvl>
    <w:lvl w:ilvl="5" w:tplc="B37C2A02">
      <w:numFmt w:val="bullet"/>
      <w:lvlText w:val="•"/>
      <w:lvlJc w:val="left"/>
      <w:pPr>
        <w:ind w:left="3263" w:hanging="217"/>
      </w:pPr>
      <w:rPr>
        <w:rFonts w:hint="default"/>
        <w:lang w:val="en-GB" w:eastAsia="en-GB" w:bidi="en-GB"/>
      </w:rPr>
    </w:lvl>
    <w:lvl w:ilvl="6" w:tplc="D9CCFB02">
      <w:numFmt w:val="bullet"/>
      <w:lvlText w:val="•"/>
      <w:lvlJc w:val="left"/>
      <w:pPr>
        <w:ind w:left="3855" w:hanging="217"/>
      </w:pPr>
      <w:rPr>
        <w:rFonts w:hint="default"/>
        <w:lang w:val="en-GB" w:eastAsia="en-GB" w:bidi="en-GB"/>
      </w:rPr>
    </w:lvl>
    <w:lvl w:ilvl="7" w:tplc="32D0C7FE">
      <w:numFmt w:val="bullet"/>
      <w:lvlText w:val="•"/>
      <w:lvlJc w:val="left"/>
      <w:pPr>
        <w:ind w:left="4448" w:hanging="217"/>
      </w:pPr>
      <w:rPr>
        <w:rFonts w:hint="default"/>
        <w:lang w:val="en-GB" w:eastAsia="en-GB" w:bidi="en-GB"/>
      </w:rPr>
    </w:lvl>
    <w:lvl w:ilvl="8" w:tplc="0A12C516">
      <w:numFmt w:val="bullet"/>
      <w:lvlText w:val="•"/>
      <w:lvlJc w:val="left"/>
      <w:pPr>
        <w:ind w:left="5040" w:hanging="217"/>
      </w:pPr>
      <w:rPr>
        <w:rFonts w:hint="default"/>
        <w:lang w:val="en-GB" w:eastAsia="en-GB" w:bidi="en-GB"/>
      </w:rPr>
    </w:lvl>
  </w:abstractNum>
  <w:abstractNum w:abstractNumId="707" w15:restartNumberingAfterBreak="0">
    <w:nsid w:val="41FE710D"/>
    <w:multiLevelType w:val="hybridMultilevel"/>
    <w:tmpl w:val="A9C81206"/>
    <w:lvl w:ilvl="0" w:tplc="C61218BA">
      <w:numFmt w:val="bullet"/>
      <w:lvlText w:val="•"/>
      <w:lvlJc w:val="left"/>
      <w:pPr>
        <w:ind w:left="299" w:hanging="217"/>
      </w:pPr>
      <w:rPr>
        <w:rFonts w:ascii="Arial" w:eastAsia="Arial" w:hAnsi="Arial" w:cs="Arial" w:hint="default"/>
        <w:color w:val="231F20"/>
        <w:w w:val="102"/>
        <w:sz w:val="17"/>
        <w:szCs w:val="17"/>
        <w:lang w:val="en-GB" w:eastAsia="en-GB" w:bidi="en-GB"/>
      </w:rPr>
    </w:lvl>
    <w:lvl w:ilvl="1" w:tplc="DB305F34">
      <w:numFmt w:val="bullet"/>
      <w:lvlText w:val="•"/>
      <w:lvlJc w:val="left"/>
      <w:pPr>
        <w:ind w:left="790" w:hanging="217"/>
      </w:pPr>
      <w:rPr>
        <w:rFonts w:hint="default"/>
        <w:lang w:val="en-GB" w:eastAsia="en-GB" w:bidi="en-GB"/>
      </w:rPr>
    </w:lvl>
    <w:lvl w:ilvl="2" w:tplc="DD163A4E">
      <w:numFmt w:val="bullet"/>
      <w:lvlText w:val="•"/>
      <w:lvlJc w:val="left"/>
      <w:pPr>
        <w:ind w:left="1280" w:hanging="217"/>
      </w:pPr>
      <w:rPr>
        <w:rFonts w:hint="default"/>
        <w:lang w:val="en-GB" w:eastAsia="en-GB" w:bidi="en-GB"/>
      </w:rPr>
    </w:lvl>
    <w:lvl w:ilvl="3" w:tplc="14183EC6">
      <w:numFmt w:val="bullet"/>
      <w:lvlText w:val="•"/>
      <w:lvlJc w:val="left"/>
      <w:pPr>
        <w:ind w:left="1770" w:hanging="217"/>
      </w:pPr>
      <w:rPr>
        <w:rFonts w:hint="default"/>
        <w:lang w:val="en-GB" w:eastAsia="en-GB" w:bidi="en-GB"/>
      </w:rPr>
    </w:lvl>
    <w:lvl w:ilvl="4" w:tplc="961C1FF0">
      <w:numFmt w:val="bullet"/>
      <w:lvlText w:val="•"/>
      <w:lvlJc w:val="left"/>
      <w:pPr>
        <w:ind w:left="2260" w:hanging="217"/>
      </w:pPr>
      <w:rPr>
        <w:rFonts w:hint="default"/>
        <w:lang w:val="en-GB" w:eastAsia="en-GB" w:bidi="en-GB"/>
      </w:rPr>
    </w:lvl>
    <w:lvl w:ilvl="5" w:tplc="7B6EBA7E">
      <w:numFmt w:val="bullet"/>
      <w:lvlText w:val="•"/>
      <w:lvlJc w:val="left"/>
      <w:pPr>
        <w:ind w:left="2750" w:hanging="217"/>
      </w:pPr>
      <w:rPr>
        <w:rFonts w:hint="default"/>
        <w:lang w:val="en-GB" w:eastAsia="en-GB" w:bidi="en-GB"/>
      </w:rPr>
    </w:lvl>
    <w:lvl w:ilvl="6" w:tplc="E9AC2E4E">
      <w:numFmt w:val="bullet"/>
      <w:lvlText w:val="•"/>
      <w:lvlJc w:val="left"/>
      <w:pPr>
        <w:ind w:left="3240" w:hanging="217"/>
      </w:pPr>
      <w:rPr>
        <w:rFonts w:hint="default"/>
        <w:lang w:val="en-GB" w:eastAsia="en-GB" w:bidi="en-GB"/>
      </w:rPr>
    </w:lvl>
    <w:lvl w:ilvl="7" w:tplc="AD46FE2C">
      <w:numFmt w:val="bullet"/>
      <w:lvlText w:val="•"/>
      <w:lvlJc w:val="left"/>
      <w:pPr>
        <w:ind w:left="3730" w:hanging="217"/>
      </w:pPr>
      <w:rPr>
        <w:rFonts w:hint="default"/>
        <w:lang w:val="en-GB" w:eastAsia="en-GB" w:bidi="en-GB"/>
      </w:rPr>
    </w:lvl>
    <w:lvl w:ilvl="8" w:tplc="89F4EC48">
      <w:numFmt w:val="bullet"/>
      <w:lvlText w:val="•"/>
      <w:lvlJc w:val="left"/>
      <w:pPr>
        <w:ind w:left="4220" w:hanging="217"/>
      </w:pPr>
      <w:rPr>
        <w:rFonts w:hint="default"/>
        <w:lang w:val="en-GB" w:eastAsia="en-GB" w:bidi="en-GB"/>
      </w:rPr>
    </w:lvl>
  </w:abstractNum>
  <w:abstractNum w:abstractNumId="708" w15:restartNumberingAfterBreak="0">
    <w:nsid w:val="420E5B18"/>
    <w:multiLevelType w:val="hybridMultilevel"/>
    <w:tmpl w:val="C6DC9B9E"/>
    <w:lvl w:ilvl="0" w:tplc="97D0933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1B084A0C">
      <w:numFmt w:val="bullet"/>
      <w:lvlText w:val="•"/>
      <w:lvlJc w:val="left"/>
      <w:pPr>
        <w:ind w:left="473" w:hanging="217"/>
      </w:pPr>
      <w:rPr>
        <w:rFonts w:hint="default"/>
        <w:lang w:val="en-GB" w:eastAsia="en-GB" w:bidi="en-GB"/>
      </w:rPr>
    </w:lvl>
    <w:lvl w:ilvl="2" w:tplc="19F64242">
      <w:numFmt w:val="bullet"/>
      <w:lvlText w:val="•"/>
      <w:lvlJc w:val="left"/>
      <w:pPr>
        <w:ind w:left="646" w:hanging="217"/>
      </w:pPr>
      <w:rPr>
        <w:rFonts w:hint="default"/>
        <w:lang w:val="en-GB" w:eastAsia="en-GB" w:bidi="en-GB"/>
      </w:rPr>
    </w:lvl>
    <w:lvl w:ilvl="3" w:tplc="2A7654E6">
      <w:numFmt w:val="bullet"/>
      <w:lvlText w:val="•"/>
      <w:lvlJc w:val="left"/>
      <w:pPr>
        <w:ind w:left="819" w:hanging="217"/>
      </w:pPr>
      <w:rPr>
        <w:rFonts w:hint="default"/>
        <w:lang w:val="en-GB" w:eastAsia="en-GB" w:bidi="en-GB"/>
      </w:rPr>
    </w:lvl>
    <w:lvl w:ilvl="4" w:tplc="8FDC76BA">
      <w:numFmt w:val="bullet"/>
      <w:lvlText w:val="•"/>
      <w:lvlJc w:val="left"/>
      <w:pPr>
        <w:ind w:left="992" w:hanging="217"/>
      </w:pPr>
      <w:rPr>
        <w:rFonts w:hint="default"/>
        <w:lang w:val="en-GB" w:eastAsia="en-GB" w:bidi="en-GB"/>
      </w:rPr>
    </w:lvl>
    <w:lvl w:ilvl="5" w:tplc="410615A8">
      <w:numFmt w:val="bullet"/>
      <w:lvlText w:val="•"/>
      <w:lvlJc w:val="left"/>
      <w:pPr>
        <w:ind w:left="1165" w:hanging="217"/>
      </w:pPr>
      <w:rPr>
        <w:rFonts w:hint="default"/>
        <w:lang w:val="en-GB" w:eastAsia="en-GB" w:bidi="en-GB"/>
      </w:rPr>
    </w:lvl>
    <w:lvl w:ilvl="6" w:tplc="30A46ED6">
      <w:numFmt w:val="bullet"/>
      <w:lvlText w:val="•"/>
      <w:lvlJc w:val="left"/>
      <w:pPr>
        <w:ind w:left="1338" w:hanging="217"/>
      </w:pPr>
      <w:rPr>
        <w:rFonts w:hint="default"/>
        <w:lang w:val="en-GB" w:eastAsia="en-GB" w:bidi="en-GB"/>
      </w:rPr>
    </w:lvl>
    <w:lvl w:ilvl="7" w:tplc="A15232D0">
      <w:numFmt w:val="bullet"/>
      <w:lvlText w:val="•"/>
      <w:lvlJc w:val="left"/>
      <w:pPr>
        <w:ind w:left="1511" w:hanging="217"/>
      </w:pPr>
      <w:rPr>
        <w:rFonts w:hint="default"/>
        <w:lang w:val="en-GB" w:eastAsia="en-GB" w:bidi="en-GB"/>
      </w:rPr>
    </w:lvl>
    <w:lvl w:ilvl="8" w:tplc="D2BCF4D8">
      <w:numFmt w:val="bullet"/>
      <w:lvlText w:val="•"/>
      <w:lvlJc w:val="left"/>
      <w:pPr>
        <w:ind w:left="1684" w:hanging="217"/>
      </w:pPr>
      <w:rPr>
        <w:rFonts w:hint="default"/>
        <w:lang w:val="en-GB" w:eastAsia="en-GB" w:bidi="en-GB"/>
      </w:rPr>
    </w:lvl>
  </w:abstractNum>
  <w:abstractNum w:abstractNumId="709" w15:restartNumberingAfterBreak="0">
    <w:nsid w:val="42295044"/>
    <w:multiLevelType w:val="hybridMultilevel"/>
    <w:tmpl w:val="18F86B4A"/>
    <w:lvl w:ilvl="0" w:tplc="5840F994">
      <w:numFmt w:val="bullet"/>
      <w:lvlText w:val="•"/>
      <w:lvlJc w:val="left"/>
      <w:pPr>
        <w:ind w:left="276" w:hanging="217"/>
      </w:pPr>
      <w:rPr>
        <w:rFonts w:ascii="Arial" w:eastAsia="Arial" w:hAnsi="Arial" w:cs="Arial" w:hint="default"/>
        <w:color w:val="231F20"/>
        <w:w w:val="97"/>
        <w:sz w:val="16"/>
        <w:szCs w:val="16"/>
        <w:lang w:val="en-GB" w:eastAsia="en-GB" w:bidi="en-GB"/>
      </w:rPr>
    </w:lvl>
    <w:lvl w:ilvl="1" w:tplc="3E662F5C">
      <w:numFmt w:val="bullet"/>
      <w:lvlText w:val="•"/>
      <w:lvlJc w:val="left"/>
      <w:pPr>
        <w:ind w:left="381" w:hanging="217"/>
      </w:pPr>
      <w:rPr>
        <w:rFonts w:hint="default"/>
        <w:lang w:val="en-GB" w:eastAsia="en-GB" w:bidi="en-GB"/>
      </w:rPr>
    </w:lvl>
    <w:lvl w:ilvl="2" w:tplc="4C5CC0BC">
      <w:numFmt w:val="bullet"/>
      <w:lvlText w:val="•"/>
      <w:lvlJc w:val="left"/>
      <w:pPr>
        <w:ind w:left="482" w:hanging="217"/>
      </w:pPr>
      <w:rPr>
        <w:rFonts w:hint="default"/>
        <w:lang w:val="en-GB" w:eastAsia="en-GB" w:bidi="en-GB"/>
      </w:rPr>
    </w:lvl>
    <w:lvl w:ilvl="3" w:tplc="642C6C4E">
      <w:numFmt w:val="bullet"/>
      <w:lvlText w:val="•"/>
      <w:lvlJc w:val="left"/>
      <w:pPr>
        <w:ind w:left="584" w:hanging="217"/>
      </w:pPr>
      <w:rPr>
        <w:rFonts w:hint="default"/>
        <w:lang w:val="en-GB" w:eastAsia="en-GB" w:bidi="en-GB"/>
      </w:rPr>
    </w:lvl>
    <w:lvl w:ilvl="4" w:tplc="7BB436A8">
      <w:numFmt w:val="bullet"/>
      <w:lvlText w:val="•"/>
      <w:lvlJc w:val="left"/>
      <w:pPr>
        <w:ind w:left="685" w:hanging="217"/>
      </w:pPr>
      <w:rPr>
        <w:rFonts w:hint="default"/>
        <w:lang w:val="en-GB" w:eastAsia="en-GB" w:bidi="en-GB"/>
      </w:rPr>
    </w:lvl>
    <w:lvl w:ilvl="5" w:tplc="29F2B272">
      <w:numFmt w:val="bullet"/>
      <w:lvlText w:val="•"/>
      <w:lvlJc w:val="left"/>
      <w:pPr>
        <w:ind w:left="787" w:hanging="217"/>
      </w:pPr>
      <w:rPr>
        <w:rFonts w:hint="default"/>
        <w:lang w:val="en-GB" w:eastAsia="en-GB" w:bidi="en-GB"/>
      </w:rPr>
    </w:lvl>
    <w:lvl w:ilvl="6" w:tplc="431C092C">
      <w:numFmt w:val="bullet"/>
      <w:lvlText w:val="•"/>
      <w:lvlJc w:val="left"/>
      <w:pPr>
        <w:ind w:left="888" w:hanging="217"/>
      </w:pPr>
      <w:rPr>
        <w:rFonts w:hint="default"/>
        <w:lang w:val="en-GB" w:eastAsia="en-GB" w:bidi="en-GB"/>
      </w:rPr>
    </w:lvl>
    <w:lvl w:ilvl="7" w:tplc="5F080FA8">
      <w:numFmt w:val="bullet"/>
      <w:lvlText w:val="•"/>
      <w:lvlJc w:val="left"/>
      <w:pPr>
        <w:ind w:left="989" w:hanging="217"/>
      </w:pPr>
      <w:rPr>
        <w:rFonts w:hint="default"/>
        <w:lang w:val="en-GB" w:eastAsia="en-GB" w:bidi="en-GB"/>
      </w:rPr>
    </w:lvl>
    <w:lvl w:ilvl="8" w:tplc="1262BF8C">
      <w:numFmt w:val="bullet"/>
      <w:lvlText w:val="•"/>
      <w:lvlJc w:val="left"/>
      <w:pPr>
        <w:ind w:left="1091" w:hanging="217"/>
      </w:pPr>
      <w:rPr>
        <w:rFonts w:hint="default"/>
        <w:lang w:val="en-GB" w:eastAsia="en-GB" w:bidi="en-GB"/>
      </w:rPr>
    </w:lvl>
  </w:abstractNum>
  <w:abstractNum w:abstractNumId="710" w15:restartNumberingAfterBreak="0">
    <w:nsid w:val="42626A76"/>
    <w:multiLevelType w:val="hybridMultilevel"/>
    <w:tmpl w:val="FA809550"/>
    <w:lvl w:ilvl="0" w:tplc="B5007904">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0F9C5470">
      <w:numFmt w:val="bullet"/>
      <w:lvlText w:val="•"/>
      <w:lvlJc w:val="left"/>
      <w:pPr>
        <w:ind w:left="473" w:hanging="217"/>
      </w:pPr>
      <w:rPr>
        <w:rFonts w:hint="default"/>
        <w:lang w:val="en-GB" w:eastAsia="en-GB" w:bidi="en-GB"/>
      </w:rPr>
    </w:lvl>
    <w:lvl w:ilvl="2" w:tplc="D30CEA4A">
      <w:numFmt w:val="bullet"/>
      <w:lvlText w:val="•"/>
      <w:lvlJc w:val="left"/>
      <w:pPr>
        <w:ind w:left="646" w:hanging="217"/>
      </w:pPr>
      <w:rPr>
        <w:rFonts w:hint="default"/>
        <w:lang w:val="en-GB" w:eastAsia="en-GB" w:bidi="en-GB"/>
      </w:rPr>
    </w:lvl>
    <w:lvl w:ilvl="3" w:tplc="C26885BA">
      <w:numFmt w:val="bullet"/>
      <w:lvlText w:val="•"/>
      <w:lvlJc w:val="left"/>
      <w:pPr>
        <w:ind w:left="819" w:hanging="217"/>
      </w:pPr>
      <w:rPr>
        <w:rFonts w:hint="default"/>
        <w:lang w:val="en-GB" w:eastAsia="en-GB" w:bidi="en-GB"/>
      </w:rPr>
    </w:lvl>
    <w:lvl w:ilvl="4" w:tplc="928EFDF8">
      <w:numFmt w:val="bullet"/>
      <w:lvlText w:val="•"/>
      <w:lvlJc w:val="left"/>
      <w:pPr>
        <w:ind w:left="992" w:hanging="217"/>
      </w:pPr>
      <w:rPr>
        <w:rFonts w:hint="default"/>
        <w:lang w:val="en-GB" w:eastAsia="en-GB" w:bidi="en-GB"/>
      </w:rPr>
    </w:lvl>
    <w:lvl w:ilvl="5" w:tplc="B576FAFC">
      <w:numFmt w:val="bullet"/>
      <w:lvlText w:val="•"/>
      <w:lvlJc w:val="left"/>
      <w:pPr>
        <w:ind w:left="1165" w:hanging="217"/>
      </w:pPr>
      <w:rPr>
        <w:rFonts w:hint="default"/>
        <w:lang w:val="en-GB" w:eastAsia="en-GB" w:bidi="en-GB"/>
      </w:rPr>
    </w:lvl>
    <w:lvl w:ilvl="6" w:tplc="170C8E3A">
      <w:numFmt w:val="bullet"/>
      <w:lvlText w:val="•"/>
      <w:lvlJc w:val="left"/>
      <w:pPr>
        <w:ind w:left="1338" w:hanging="217"/>
      </w:pPr>
      <w:rPr>
        <w:rFonts w:hint="default"/>
        <w:lang w:val="en-GB" w:eastAsia="en-GB" w:bidi="en-GB"/>
      </w:rPr>
    </w:lvl>
    <w:lvl w:ilvl="7" w:tplc="A82C47D6">
      <w:numFmt w:val="bullet"/>
      <w:lvlText w:val="•"/>
      <w:lvlJc w:val="left"/>
      <w:pPr>
        <w:ind w:left="1511" w:hanging="217"/>
      </w:pPr>
      <w:rPr>
        <w:rFonts w:hint="default"/>
        <w:lang w:val="en-GB" w:eastAsia="en-GB" w:bidi="en-GB"/>
      </w:rPr>
    </w:lvl>
    <w:lvl w:ilvl="8" w:tplc="29EA6D78">
      <w:numFmt w:val="bullet"/>
      <w:lvlText w:val="•"/>
      <w:lvlJc w:val="left"/>
      <w:pPr>
        <w:ind w:left="1684" w:hanging="217"/>
      </w:pPr>
      <w:rPr>
        <w:rFonts w:hint="default"/>
        <w:lang w:val="en-GB" w:eastAsia="en-GB" w:bidi="en-GB"/>
      </w:rPr>
    </w:lvl>
  </w:abstractNum>
  <w:abstractNum w:abstractNumId="711" w15:restartNumberingAfterBreak="0">
    <w:nsid w:val="42707DB1"/>
    <w:multiLevelType w:val="hybridMultilevel"/>
    <w:tmpl w:val="98F6AB0C"/>
    <w:lvl w:ilvl="0" w:tplc="6B564E96">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694035F4">
      <w:numFmt w:val="bullet"/>
      <w:lvlText w:val="•"/>
      <w:lvlJc w:val="left"/>
      <w:pPr>
        <w:ind w:left="441" w:hanging="217"/>
      </w:pPr>
      <w:rPr>
        <w:rFonts w:hint="default"/>
        <w:lang w:val="en-GB" w:eastAsia="en-GB" w:bidi="en-GB"/>
      </w:rPr>
    </w:lvl>
    <w:lvl w:ilvl="2" w:tplc="35A20DF8">
      <w:numFmt w:val="bullet"/>
      <w:lvlText w:val="•"/>
      <w:lvlJc w:val="left"/>
      <w:pPr>
        <w:ind w:left="583" w:hanging="217"/>
      </w:pPr>
      <w:rPr>
        <w:rFonts w:hint="default"/>
        <w:lang w:val="en-GB" w:eastAsia="en-GB" w:bidi="en-GB"/>
      </w:rPr>
    </w:lvl>
    <w:lvl w:ilvl="3" w:tplc="3B0EE140">
      <w:numFmt w:val="bullet"/>
      <w:lvlText w:val="•"/>
      <w:lvlJc w:val="left"/>
      <w:pPr>
        <w:ind w:left="725" w:hanging="217"/>
      </w:pPr>
      <w:rPr>
        <w:rFonts w:hint="default"/>
        <w:lang w:val="en-GB" w:eastAsia="en-GB" w:bidi="en-GB"/>
      </w:rPr>
    </w:lvl>
    <w:lvl w:ilvl="4" w:tplc="E91EB722">
      <w:numFmt w:val="bullet"/>
      <w:lvlText w:val="•"/>
      <w:lvlJc w:val="left"/>
      <w:pPr>
        <w:ind w:left="867" w:hanging="217"/>
      </w:pPr>
      <w:rPr>
        <w:rFonts w:hint="default"/>
        <w:lang w:val="en-GB" w:eastAsia="en-GB" w:bidi="en-GB"/>
      </w:rPr>
    </w:lvl>
    <w:lvl w:ilvl="5" w:tplc="08608938">
      <w:numFmt w:val="bullet"/>
      <w:lvlText w:val="•"/>
      <w:lvlJc w:val="left"/>
      <w:pPr>
        <w:ind w:left="1009" w:hanging="217"/>
      </w:pPr>
      <w:rPr>
        <w:rFonts w:hint="default"/>
        <w:lang w:val="en-GB" w:eastAsia="en-GB" w:bidi="en-GB"/>
      </w:rPr>
    </w:lvl>
    <w:lvl w:ilvl="6" w:tplc="C0307EB8">
      <w:numFmt w:val="bullet"/>
      <w:lvlText w:val="•"/>
      <w:lvlJc w:val="left"/>
      <w:pPr>
        <w:ind w:left="1151" w:hanging="217"/>
      </w:pPr>
      <w:rPr>
        <w:rFonts w:hint="default"/>
        <w:lang w:val="en-GB" w:eastAsia="en-GB" w:bidi="en-GB"/>
      </w:rPr>
    </w:lvl>
    <w:lvl w:ilvl="7" w:tplc="FA785EC6">
      <w:numFmt w:val="bullet"/>
      <w:lvlText w:val="•"/>
      <w:lvlJc w:val="left"/>
      <w:pPr>
        <w:ind w:left="1293" w:hanging="217"/>
      </w:pPr>
      <w:rPr>
        <w:rFonts w:hint="default"/>
        <w:lang w:val="en-GB" w:eastAsia="en-GB" w:bidi="en-GB"/>
      </w:rPr>
    </w:lvl>
    <w:lvl w:ilvl="8" w:tplc="635AF8DC">
      <w:numFmt w:val="bullet"/>
      <w:lvlText w:val="•"/>
      <w:lvlJc w:val="left"/>
      <w:pPr>
        <w:ind w:left="1435" w:hanging="217"/>
      </w:pPr>
      <w:rPr>
        <w:rFonts w:hint="default"/>
        <w:lang w:val="en-GB" w:eastAsia="en-GB" w:bidi="en-GB"/>
      </w:rPr>
    </w:lvl>
  </w:abstractNum>
  <w:abstractNum w:abstractNumId="712" w15:restartNumberingAfterBreak="0">
    <w:nsid w:val="427E2A3E"/>
    <w:multiLevelType w:val="hybridMultilevel"/>
    <w:tmpl w:val="7D6E74D8"/>
    <w:lvl w:ilvl="0" w:tplc="F5B2681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FEC3CE8">
      <w:numFmt w:val="bullet"/>
      <w:lvlText w:val="•"/>
      <w:lvlJc w:val="left"/>
      <w:pPr>
        <w:ind w:left="473" w:hanging="217"/>
      </w:pPr>
      <w:rPr>
        <w:rFonts w:hint="default"/>
        <w:lang w:val="en-GB" w:eastAsia="en-GB" w:bidi="en-GB"/>
      </w:rPr>
    </w:lvl>
    <w:lvl w:ilvl="2" w:tplc="EBF2478C">
      <w:numFmt w:val="bullet"/>
      <w:lvlText w:val="•"/>
      <w:lvlJc w:val="left"/>
      <w:pPr>
        <w:ind w:left="646" w:hanging="217"/>
      </w:pPr>
      <w:rPr>
        <w:rFonts w:hint="default"/>
        <w:lang w:val="en-GB" w:eastAsia="en-GB" w:bidi="en-GB"/>
      </w:rPr>
    </w:lvl>
    <w:lvl w:ilvl="3" w:tplc="38A20DD2">
      <w:numFmt w:val="bullet"/>
      <w:lvlText w:val="•"/>
      <w:lvlJc w:val="left"/>
      <w:pPr>
        <w:ind w:left="819" w:hanging="217"/>
      </w:pPr>
      <w:rPr>
        <w:rFonts w:hint="default"/>
        <w:lang w:val="en-GB" w:eastAsia="en-GB" w:bidi="en-GB"/>
      </w:rPr>
    </w:lvl>
    <w:lvl w:ilvl="4" w:tplc="7ADE2EEE">
      <w:numFmt w:val="bullet"/>
      <w:lvlText w:val="•"/>
      <w:lvlJc w:val="left"/>
      <w:pPr>
        <w:ind w:left="992" w:hanging="217"/>
      </w:pPr>
      <w:rPr>
        <w:rFonts w:hint="default"/>
        <w:lang w:val="en-GB" w:eastAsia="en-GB" w:bidi="en-GB"/>
      </w:rPr>
    </w:lvl>
    <w:lvl w:ilvl="5" w:tplc="A99413D0">
      <w:numFmt w:val="bullet"/>
      <w:lvlText w:val="•"/>
      <w:lvlJc w:val="left"/>
      <w:pPr>
        <w:ind w:left="1165" w:hanging="217"/>
      </w:pPr>
      <w:rPr>
        <w:rFonts w:hint="default"/>
        <w:lang w:val="en-GB" w:eastAsia="en-GB" w:bidi="en-GB"/>
      </w:rPr>
    </w:lvl>
    <w:lvl w:ilvl="6" w:tplc="63D8BDB0">
      <w:numFmt w:val="bullet"/>
      <w:lvlText w:val="•"/>
      <w:lvlJc w:val="left"/>
      <w:pPr>
        <w:ind w:left="1338" w:hanging="217"/>
      </w:pPr>
      <w:rPr>
        <w:rFonts w:hint="default"/>
        <w:lang w:val="en-GB" w:eastAsia="en-GB" w:bidi="en-GB"/>
      </w:rPr>
    </w:lvl>
    <w:lvl w:ilvl="7" w:tplc="8B9209B2">
      <w:numFmt w:val="bullet"/>
      <w:lvlText w:val="•"/>
      <w:lvlJc w:val="left"/>
      <w:pPr>
        <w:ind w:left="1511" w:hanging="217"/>
      </w:pPr>
      <w:rPr>
        <w:rFonts w:hint="default"/>
        <w:lang w:val="en-GB" w:eastAsia="en-GB" w:bidi="en-GB"/>
      </w:rPr>
    </w:lvl>
    <w:lvl w:ilvl="8" w:tplc="344A6B3C">
      <w:numFmt w:val="bullet"/>
      <w:lvlText w:val="•"/>
      <w:lvlJc w:val="left"/>
      <w:pPr>
        <w:ind w:left="1684" w:hanging="217"/>
      </w:pPr>
      <w:rPr>
        <w:rFonts w:hint="default"/>
        <w:lang w:val="en-GB" w:eastAsia="en-GB" w:bidi="en-GB"/>
      </w:rPr>
    </w:lvl>
  </w:abstractNum>
  <w:abstractNum w:abstractNumId="713" w15:restartNumberingAfterBreak="0">
    <w:nsid w:val="428B0EE4"/>
    <w:multiLevelType w:val="hybridMultilevel"/>
    <w:tmpl w:val="F690BCD6"/>
    <w:lvl w:ilvl="0" w:tplc="D6C86B3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282466C8">
      <w:numFmt w:val="bullet"/>
      <w:lvlText w:val="•"/>
      <w:lvlJc w:val="left"/>
      <w:pPr>
        <w:ind w:left="892" w:hanging="217"/>
      </w:pPr>
      <w:rPr>
        <w:rFonts w:hint="default"/>
        <w:lang w:val="en-GB" w:eastAsia="en-GB" w:bidi="en-GB"/>
      </w:rPr>
    </w:lvl>
    <w:lvl w:ilvl="2" w:tplc="650E6372">
      <w:numFmt w:val="bullet"/>
      <w:lvlText w:val="•"/>
      <w:lvlJc w:val="left"/>
      <w:pPr>
        <w:ind w:left="1485" w:hanging="217"/>
      </w:pPr>
      <w:rPr>
        <w:rFonts w:hint="default"/>
        <w:lang w:val="en-GB" w:eastAsia="en-GB" w:bidi="en-GB"/>
      </w:rPr>
    </w:lvl>
    <w:lvl w:ilvl="3" w:tplc="64BE2572">
      <w:numFmt w:val="bullet"/>
      <w:lvlText w:val="•"/>
      <w:lvlJc w:val="left"/>
      <w:pPr>
        <w:ind w:left="2077" w:hanging="217"/>
      </w:pPr>
      <w:rPr>
        <w:rFonts w:hint="default"/>
        <w:lang w:val="en-GB" w:eastAsia="en-GB" w:bidi="en-GB"/>
      </w:rPr>
    </w:lvl>
    <w:lvl w:ilvl="4" w:tplc="F6744D78">
      <w:numFmt w:val="bullet"/>
      <w:lvlText w:val="•"/>
      <w:lvlJc w:val="left"/>
      <w:pPr>
        <w:ind w:left="2670" w:hanging="217"/>
      </w:pPr>
      <w:rPr>
        <w:rFonts w:hint="default"/>
        <w:lang w:val="en-GB" w:eastAsia="en-GB" w:bidi="en-GB"/>
      </w:rPr>
    </w:lvl>
    <w:lvl w:ilvl="5" w:tplc="713800B8">
      <w:numFmt w:val="bullet"/>
      <w:lvlText w:val="•"/>
      <w:lvlJc w:val="left"/>
      <w:pPr>
        <w:ind w:left="3263" w:hanging="217"/>
      </w:pPr>
      <w:rPr>
        <w:rFonts w:hint="default"/>
        <w:lang w:val="en-GB" w:eastAsia="en-GB" w:bidi="en-GB"/>
      </w:rPr>
    </w:lvl>
    <w:lvl w:ilvl="6" w:tplc="CC625EAE">
      <w:numFmt w:val="bullet"/>
      <w:lvlText w:val="•"/>
      <w:lvlJc w:val="left"/>
      <w:pPr>
        <w:ind w:left="3855" w:hanging="217"/>
      </w:pPr>
      <w:rPr>
        <w:rFonts w:hint="default"/>
        <w:lang w:val="en-GB" w:eastAsia="en-GB" w:bidi="en-GB"/>
      </w:rPr>
    </w:lvl>
    <w:lvl w:ilvl="7" w:tplc="AF3C3CB8">
      <w:numFmt w:val="bullet"/>
      <w:lvlText w:val="•"/>
      <w:lvlJc w:val="left"/>
      <w:pPr>
        <w:ind w:left="4448" w:hanging="217"/>
      </w:pPr>
      <w:rPr>
        <w:rFonts w:hint="default"/>
        <w:lang w:val="en-GB" w:eastAsia="en-GB" w:bidi="en-GB"/>
      </w:rPr>
    </w:lvl>
    <w:lvl w:ilvl="8" w:tplc="B13A9CFA">
      <w:numFmt w:val="bullet"/>
      <w:lvlText w:val="•"/>
      <w:lvlJc w:val="left"/>
      <w:pPr>
        <w:ind w:left="5040" w:hanging="217"/>
      </w:pPr>
      <w:rPr>
        <w:rFonts w:hint="default"/>
        <w:lang w:val="en-GB" w:eastAsia="en-GB" w:bidi="en-GB"/>
      </w:rPr>
    </w:lvl>
  </w:abstractNum>
  <w:abstractNum w:abstractNumId="714" w15:restartNumberingAfterBreak="0">
    <w:nsid w:val="429351B5"/>
    <w:multiLevelType w:val="hybridMultilevel"/>
    <w:tmpl w:val="AC142766"/>
    <w:lvl w:ilvl="0" w:tplc="B9A8F26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5A068F2">
      <w:numFmt w:val="bullet"/>
      <w:lvlText w:val="•"/>
      <w:lvlJc w:val="left"/>
      <w:pPr>
        <w:ind w:left="439" w:hanging="217"/>
      </w:pPr>
      <w:rPr>
        <w:rFonts w:hint="default"/>
        <w:lang w:val="en-GB" w:eastAsia="en-GB" w:bidi="en-GB"/>
      </w:rPr>
    </w:lvl>
    <w:lvl w:ilvl="2" w:tplc="825EE184">
      <w:numFmt w:val="bullet"/>
      <w:lvlText w:val="•"/>
      <w:lvlJc w:val="left"/>
      <w:pPr>
        <w:ind w:left="578" w:hanging="217"/>
      </w:pPr>
      <w:rPr>
        <w:rFonts w:hint="default"/>
        <w:lang w:val="en-GB" w:eastAsia="en-GB" w:bidi="en-GB"/>
      </w:rPr>
    </w:lvl>
    <w:lvl w:ilvl="3" w:tplc="3A80BD12">
      <w:numFmt w:val="bullet"/>
      <w:lvlText w:val="•"/>
      <w:lvlJc w:val="left"/>
      <w:pPr>
        <w:ind w:left="717" w:hanging="217"/>
      </w:pPr>
      <w:rPr>
        <w:rFonts w:hint="default"/>
        <w:lang w:val="en-GB" w:eastAsia="en-GB" w:bidi="en-GB"/>
      </w:rPr>
    </w:lvl>
    <w:lvl w:ilvl="4" w:tplc="CA7C6ED6">
      <w:numFmt w:val="bullet"/>
      <w:lvlText w:val="•"/>
      <w:lvlJc w:val="left"/>
      <w:pPr>
        <w:ind w:left="856" w:hanging="217"/>
      </w:pPr>
      <w:rPr>
        <w:rFonts w:hint="default"/>
        <w:lang w:val="en-GB" w:eastAsia="en-GB" w:bidi="en-GB"/>
      </w:rPr>
    </w:lvl>
    <w:lvl w:ilvl="5" w:tplc="AAA4C4F6">
      <w:numFmt w:val="bullet"/>
      <w:lvlText w:val="•"/>
      <w:lvlJc w:val="left"/>
      <w:pPr>
        <w:ind w:left="995" w:hanging="217"/>
      </w:pPr>
      <w:rPr>
        <w:rFonts w:hint="default"/>
        <w:lang w:val="en-GB" w:eastAsia="en-GB" w:bidi="en-GB"/>
      </w:rPr>
    </w:lvl>
    <w:lvl w:ilvl="6" w:tplc="B9A6C20C">
      <w:numFmt w:val="bullet"/>
      <w:lvlText w:val="•"/>
      <w:lvlJc w:val="left"/>
      <w:pPr>
        <w:ind w:left="1134" w:hanging="217"/>
      </w:pPr>
      <w:rPr>
        <w:rFonts w:hint="default"/>
        <w:lang w:val="en-GB" w:eastAsia="en-GB" w:bidi="en-GB"/>
      </w:rPr>
    </w:lvl>
    <w:lvl w:ilvl="7" w:tplc="FAD66AC8">
      <w:numFmt w:val="bullet"/>
      <w:lvlText w:val="•"/>
      <w:lvlJc w:val="left"/>
      <w:pPr>
        <w:ind w:left="1273" w:hanging="217"/>
      </w:pPr>
      <w:rPr>
        <w:rFonts w:hint="default"/>
        <w:lang w:val="en-GB" w:eastAsia="en-GB" w:bidi="en-GB"/>
      </w:rPr>
    </w:lvl>
    <w:lvl w:ilvl="8" w:tplc="FAECE320">
      <w:numFmt w:val="bullet"/>
      <w:lvlText w:val="•"/>
      <w:lvlJc w:val="left"/>
      <w:pPr>
        <w:ind w:left="1412" w:hanging="217"/>
      </w:pPr>
      <w:rPr>
        <w:rFonts w:hint="default"/>
        <w:lang w:val="en-GB" w:eastAsia="en-GB" w:bidi="en-GB"/>
      </w:rPr>
    </w:lvl>
  </w:abstractNum>
  <w:abstractNum w:abstractNumId="715" w15:restartNumberingAfterBreak="0">
    <w:nsid w:val="42935501"/>
    <w:multiLevelType w:val="hybridMultilevel"/>
    <w:tmpl w:val="A69645E6"/>
    <w:lvl w:ilvl="0" w:tplc="0BB68C1C">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86B66502">
      <w:numFmt w:val="bullet"/>
      <w:lvlText w:val="•"/>
      <w:lvlJc w:val="left"/>
      <w:pPr>
        <w:ind w:left="473" w:hanging="217"/>
      </w:pPr>
      <w:rPr>
        <w:rFonts w:hint="default"/>
        <w:lang w:val="en-GB" w:eastAsia="en-GB" w:bidi="en-GB"/>
      </w:rPr>
    </w:lvl>
    <w:lvl w:ilvl="2" w:tplc="97A404C8">
      <w:numFmt w:val="bullet"/>
      <w:lvlText w:val="•"/>
      <w:lvlJc w:val="left"/>
      <w:pPr>
        <w:ind w:left="646" w:hanging="217"/>
      </w:pPr>
      <w:rPr>
        <w:rFonts w:hint="default"/>
        <w:lang w:val="en-GB" w:eastAsia="en-GB" w:bidi="en-GB"/>
      </w:rPr>
    </w:lvl>
    <w:lvl w:ilvl="3" w:tplc="DD0A7832">
      <w:numFmt w:val="bullet"/>
      <w:lvlText w:val="•"/>
      <w:lvlJc w:val="left"/>
      <w:pPr>
        <w:ind w:left="819" w:hanging="217"/>
      </w:pPr>
      <w:rPr>
        <w:rFonts w:hint="default"/>
        <w:lang w:val="en-GB" w:eastAsia="en-GB" w:bidi="en-GB"/>
      </w:rPr>
    </w:lvl>
    <w:lvl w:ilvl="4" w:tplc="B254B866">
      <w:numFmt w:val="bullet"/>
      <w:lvlText w:val="•"/>
      <w:lvlJc w:val="left"/>
      <w:pPr>
        <w:ind w:left="992" w:hanging="217"/>
      </w:pPr>
      <w:rPr>
        <w:rFonts w:hint="default"/>
        <w:lang w:val="en-GB" w:eastAsia="en-GB" w:bidi="en-GB"/>
      </w:rPr>
    </w:lvl>
    <w:lvl w:ilvl="5" w:tplc="C8B44EA0">
      <w:numFmt w:val="bullet"/>
      <w:lvlText w:val="•"/>
      <w:lvlJc w:val="left"/>
      <w:pPr>
        <w:ind w:left="1165" w:hanging="217"/>
      </w:pPr>
      <w:rPr>
        <w:rFonts w:hint="default"/>
        <w:lang w:val="en-GB" w:eastAsia="en-GB" w:bidi="en-GB"/>
      </w:rPr>
    </w:lvl>
    <w:lvl w:ilvl="6" w:tplc="C4E411A2">
      <w:numFmt w:val="bullet"/>
      <w:lvlText w:val="•"/>
      <w:lvlJc w:val="left"/>
      <w:pPr>
        <w:ind w:left="1338" w:hanging="217"/>
      </w:pPr>
      <w:rPr>
        <w:rFonts w:hint="default"/>
        <w:lang w:val="en-GB" w:eastAsia="en-GB" w:bidi="en-GB"/>
      </w:rPr>
    </w:lvl>
    <w:lvl w:ilvl="7" w:tplc="EB166262">
      <w:numFmt w:val="bullet"/>
      <w:lvlText w:val="•"/>
      <w:lvlJc w:val="left"/>
      <w:pPr>
        <w:ind w:left="1511" w:hanging="217"/>
      </w:pPr>
      <w:rPr>
        <w:rFonts w:hint="default"/>
        <w:lang w:val="en-GB" w:eastAsia="en-GB" w:bidi="en-GB"/>
      </w:rPr>
    </w:lvl>
    <w:lvl w:ilvl="8" w:tplc="D2AA3D0A">
      <w:numFmt w:val="bullet"/>
      <w:lvlText w:val="•"/>
      <w:lvlJc w:val="left"/>
      <w:pPr>
        <w:ind w:left="1684" w:hanging="217"/>
      </w:pPr>
      <w:rPr>
        <w:rFonts w:hint="default"/>
        <w:lang w:val="en-GB" w:eastAsia="en-GB" w:bidi="en-GB"/>
      </w:rPr>
    </w:lvl>
  </w:abstractNum>
  <w:abstractNum w:abstractNumId="716" w15:restartNumberingAfterBreak="0">
    <w:nsid w:val="429C1005"/>
    <w:multiLevelType w:val="hybridMultilevel"/>
    <w:tmpl w:val="7C843750"/>
    <w:lvl w:ilvl="0" w:tplc="5E6A7EC8">
      <w:start w:val="4"/>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4516F178">
      <w:numFmt w:val="bullet"/>
      <w:lvlText w:val="•"/>
      <w:lvlJc w:val="left"/>
      <w:pPr>
        <w:ind w:left="1348" w:hanging="114"/>
      </w:pPr>
      <w:rPr>
        <w:rFonts w:hint="default"/>
        <w:lang w:val="en-GB" w:eastAsia="en-GB" w:bidi="en-GB"/>
      </w:rPr>
    </w:lvl>
    <w:lvl w:ilvl="2" w:tplc="194AB2A4">
      <w:numFmt w:val="bullet"/>
      <w:lvlText w:val="•"/>
      <w:lvlJc w:val="left"/>
      <w:pPr>
        <w:ind w:left="2377" w:hanging="114"/>
      </w:pPr>
      <w:rPr>
        <w:rFonts w:hint="default"/>
        <w:lang w:val="en-GB" w:eastAsia="en-GB" w:bidi="en-GB"/>
      </w:rPr>
    </w:lvl>
    <w:lvl w:ilvl="3" w:tplc="D60C1E62">
      <w:numFmt w:val="bullet"/>
      <w:lvlText w:val="•"/>
      <w:lvlJc w:val="left"/>
      <w:pPr>
        <w:ind w:left="3405" w:hanging="114"/>
      </w:pPr>
      <w:rPr>
        <w:rFonts w:hint="default"/>
        <w:lang w:val="en-GB" w:eastAsia="en-GB" w:bidi="en-GB"/>
      </w:rPr>
    </w:lvl>
    <w:lvl w:ilvl="4" w:tplc="21785670">
      <w:numFmt w:val="bullet"/>
      <w:lvlText w:val="•"/>
      <w:lvlJc w:val="left"/>
      <w:pPr>
        <w:ind w:left="4434" w:hanging="114"/>
      </w:pPr>
      <w:rPr>
        <w:rFonts w:hint="default"/>
        <w:lang w:val="en-GB" w:eastAsia="en-GB" w:bidi="en-GB"/>
      </w:rPr>
    </w:lvl>
    <w:lvl w:ilvl="5" w:tplc="88E89346">
      <w:numFmt w:val="bullet"/>
      <w:lvlText w:val="•"/>
      <w:lvlJc w:val="left"/>
      <w:pPr>
        <w:ind w:left="5462" w:hanging="114"/>
      </w:pPr>
      <w:rPr>
        <w:rFonts w:hint="default"/>
        <w:lang w:val="en-GB" w:eastAsia="en-GB" w:bidi="en-GB"/>
      </w:rPr>
    </w:lvl>
    <w:lvl w:ilvl="6" w:tplc="72081F04">
      <w:numFmt w:val="bullet"/>
      <w:lvlText w:val="•"/>
      <w:lvlJc w:val="left"/>
      <w:pPr>
        <w:ind w:left="6491" w:hanging="114"/>
      </w:pPr>
      <w:rPr>
        <w:rFonts w:hint="default"/>
        <w:lang w:val="en-GB" w:eastAsia="en-GB" w:bidi="en-GB"/>
      </w:rPr>
    </w:lvl>
    <w:lvl w:ilvl="7" w:tplc="3954C734">
      <w:numFmt w:val="bullet"/>
      <w:lvlText w:val="•"/>
      <w:lvlJc w:val="left"/>
      <w:pPr>
        <w:ind w:left="7519" w:hanging="114"/>
      </w:pPr>
      <w:rPr>
        <w:rFonts w:hint="default"/>
        <w:lang w:val="en-GB" w:eastAsia="en-GB" w:bidi="en-GB"/>
      </w:rPr>
    </w:lvl>
    <w:lvl w:ilvl="8" w:tplc="B9E621F6">
      <w:numFmt w:val="bullet"/>
      <w:lvlText w:val="•"/>
      <w:lvlJc w:val="left"/>
      <w:pPr>
        <w:ind w:left="8548" w:hanging="114"/>
      </w:pPr>
      <w:rPr>
        <w:rFonts w:hint="default"/>
        <w:lang w:val="en-GB" w:eastAsia="en-GB" w:bidi="en-GB"/>
      </w:rPr>
    </w:lvl>
  </w:abstractNum>
  <w:abstractNum w:abstractNumId="717" w15:restartNumberingAfterBreak="0">
    <w:nsid w:val="42BE2B1E"/>
    <w:multiLevelType w:val="hybridMultilevel"/>
    <w:tmpl w:val="ADFC3B0E"/>
    <w:lvl w:ilvl="0" w:tplc="EED6061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03E6FDC">
      <w:numFmt w:val="bullet"/>
      <w:lvlText w:val="•"/>
      <w:lvlJc w:val="left"/>
      <w:pPr>
        <w:ind w:left="677" w:hanging="217"/>
      </w:pPr>
      <w:rPr>
        <w:rFonts w:hint="default"/>
        <w:lang w:val="en-GB" w:eastAsia="en-GB" w:bidi="en-GB"/>
      </w:rPr>
    </w:lvl>
    <w:lvl w:ilvl="2" w:tplc="DA8CCF94">
      <w:numFmt w:val="bullet"/>
      <w:lvlText w:val="•"/>
      <w:lvlJc w:val="left"/>
      <w:pPr>
        <w:ind w:left="1054" w:hanging="217"/>
      </w:pPr>
      <w:rPr>
        <w:rFonts w:hint="default"/>
        <w:lang w:val="en-GB" w:eastAsia="en-GB" w:bidi="en-GB"/>
      </w:rPr>
    </w:lvl>
    <w:lvl w:ilvl="3" w:tplc="1C48509A">
      <w:numFmt w:val="bullet"/>
      <w:lvlText w:val="•"/>
      <w:lvlJc w:val="left"/>
      <w:pPr>
        <w:ind w:left="1431" w:hanging="217"/>
      </w:pPr>
      <w:rPr>
        <w:rFonts w:hint="default"/>
        <w:lang w:val="en-GB" w:eastAsia="en-GB" w:bidi="en-GB"/>
      </w:rPr>
    </w:lvl>
    <w:lvl w:ilvl="4" w:tplc="7E5AA620">
      <w:numFmt w:val="bullet"/>
      <w:lvlText w:val="•"/>
      <w:lvlJc w:val="left"/>
      <w:pPr>
        <w:ind w:left="1808" w:hanging="217"/>
      </w:pPr>
      <w:rPr>
        <w:rFonts w:hint="default"/>
        <w:lang w:val="en-GB" w:eastAsia="en-GB" w:bidi="en-GB"/>
      </w:rPr>
    </w:lvl>
    <w:lvl w:ilvl="5" w:tplc="A7668D2C">
      <w:numFmt w:val="bullet"/>
      <w:lvlText w:val="•"/>
      <w:lvlJc w:val="left"/>
      <w:pPr>
        <w:ind w:left="2186" w:hanging="217"/>
      </w:pPr>
      <w:rPr>
        <w:rFonts w:hint="default"/>
        <w:lang w:val="en-GB" w:eastAsia="en-GB" w:bidi="en-GB"/>
      </w:rPr>
    </w:lvl>
    <w:lvl w:ilvl="6" w:tplc="6834057C">
      <w:numFmt w:val="bullet"/>
      <w:lvlText w:val="•"/>
      <w:lvlJc w:val="left"/>
      <w:pPr>
        <w:ind w:left="2563" w:hanging="217"/>
      </w:pPr>
      <w:rPr>
        <w:rFonts w:hint="default"/>
        <w:lang w:val="en-GB" w:eastAsia="en-GB" w:bidi="en-GB"/>
      </w:rPr>
    </w:lvl>
    <w:lvl w:ilvl="7" w:tplc="A7FABEB6">
      <w:numFmt w:val="bullet"/>
      <w:lvlText w:val="•"/>
      <w:lvlJc w:val="left"/>
      <w:pPr>
        <w:ind w:left="2940" w:hanging="217"/>
      </w:pPr>
      <w:rPr>
        <w:rFonts w:hint="default"/>
        <w:lang w:val="en-GB" w:eastAsia="en-GB" w:bidi="en-GB"/>
      </w:rPr>
    </w:lvl>
    <w:lvl w:ilvl="8" w:tplc="00503898">
      <w:numFmt w:val="bullet"/>
      <w:lvlText w:val="•"/>
      <w:lvlJc w:val="left"/>
      <w:pPr>
        <w:ind w:left="3317" w:hanging="217"/>
      </w:pPr>
      <w:rPr>
        <w:rFonts w:hint="default"/>
        <w:lang w:val="en-GB" w:eastAsia="en-GB" w:bidi="en-GB"/>
      </w:rPr>
    </w:lvl>
  </w:abstractNum>
  <w:abstractNum w:abstractNumId="718" w15:restartNumberingAfterBreak="0">
    <w:nsid w:val="42CD6CA9"/>
    <w:multiLevelType w:val="hybridMultilevel"/>
    <w:tmpl w:val="D6BC7940"/>
    <w:lvl w:ilvl="0" w:tplc="149ADC2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268A06EA">
      <w:numFmt w:val="bullet"/>
      <w:lvlText w:val="•"/>
      <w:lvlJc w:val="left"/>
      <w:pPr>
        <w:ind w:left="892" w:hanging="217"/>
      </w:pPr>
      <w:rPr>
        <w:rFonts w:hint="default"/>
        <w:lang w:val="en-GB" w:eastAsia="en-GB" w:bidi="en-GB"/>
      </w:rPr>
    </w:lvl>
    <w:lvl w:ilvl="2" w:tplc="7D385926">
      <w:numFmt w:val="bullet"/>
      <w:lvlText w:val="•"/>
      <w:lvlJc w:val="left"/>
      <w:pPr>
        <w:ind w:left="1485" w:hanging="217"/>
      </w:pPr>
      <w:rPr>
        <w:rFonts w:hint="default"/>
        <w:lang w:val="en-GB" w:eastAsia="en-GB" w:bidi="en-GB"/>
      </w:rPr>
    </w:lvl>
    <w:lvl w:ilvl="3" w:tplc="617A1176">
      <w:numFmt w:val="bullet"/>
      <w:lvlText w:val="•"/>
      <w:lvlJc w:val="left"/>
      <w:pPr>
        <w:ind w:left="2077" w:hanging="217"/>
      </w:pPr>
      <w:rPr>
        <w:rFonts w:hint="default"/>
        <w:lang w:val="en-GB" w:eastAsia="en-GB" w:bidi="en-GB"/>
      </w:rPr>
    </w:lvl>
    <w:lvl w:ilvl="4" w:tplc="320EB312">
      <w:numFmt w:val="bullet"/>
      <w:lvlText w:val="•"/>
      <w:lvlJc w:val="left"/>
      <w:pPr>
        <w:ind w:left="2670" w:hanging="217"/>
      </w:pPr>
      <w:rPr>
        <w:rFonts w:hint="default"/>
        <w:lang w:val="en-GB" w:eastAsia="en-GB" w:bidi="en-GB"/>
      </w:rPr>
    </w:lvl>
    <w:lvl w:ilvl="5" w:tplc="6478D8F4">
      <w:numFmt w:val="bullet"/>
      <w:lvlText w:val="•"/>
      <w:lvlJc w:val="left"/>
      <w:pPr>
        <w:ind w:left="3263" w:hanging="217"/>
      </w:pPr>
      <w:rPr>
        <w:rFonts w:hint="default"/>
        <w:lang w:val="en-GB" w:eastAsia="en-GB" w:bidi="en-GB"/>
      </w:rPr>
    </w:lvl>
    <w:lvl w:ilvl="6" w:tplc="CB32D4C8">
      <w:numFmt w:val="bullet"/>
      <w:lvlText w:val="•"/>
      <w:lvlJc w:val="left"/>
      <w:pPr>
        <w:ind w:left="3855" w:hanging="217"/>
      </w:pPr>
      <w:rPr>
        <w:rFonts w:hint="default"/>
        <w:lang w:val="en-GB" w:eastAsia="en-GB" w:bidi="en-GB"/>
      </w:rPr>
    </w:lvl>
    <w:lvl w:ilvl="7" w:tplc="73FE4896">
      <w:numFmt w:val="bullet"/>
      <w:lvlText w:val="•"/>
      <w:lvlJc w:val="left"/>
      <w:pPr>
        <w:ind w:left="4448" w:hanging="217"/>
      </w:pPr>
      <w:rPr>
        <w:rFonts w:hint="default"/>
        <w:lang w:val="en-GB" w:eastAsia="en-GB" w:bidi="en-GB"/>
      </w:rPr>
    </w:lvl>
    <w:lvl w:ilvl="8" w:tplc="F30CDEFE">
      <w:numFmt w:val="bullet"/>
      <w:lvlText w:val="•"/>
      <w:lvlJc w:val="left"/>
      <w:pPr>
        <w:ind w:left="5040" w:hanging="217"/>
      </w:pPr>
      <w:rPr>
        <w:rFonts w:hint="default"/>
        <w:lang w:val="en-GB" w:eastAsia="en-GB" w:bidi="en-GB"/>
      </w:rPr>
    </w:lvl>
  </w:abstractNum>
  <w:abstractNum w:abstractNumId="719" w15:restartNumberingAfterBreak="0">
    <w:nsid w:val="42D35CE8"/>
    <w:multiLevelType w:val="hybridMultilevel"/>
    <w:tmpl w:val="022499F4"/>
    <w:lvl w:ilvl="0" w:tplc="8F621358">
      <w:numFmt w:val="bullet"/>
      <w:lvlText w:val="•"/>
      <w:lvlJc w:val="left"/>
      <w:pPr>
        <w:ind w:left="3747" w:hanging="217"/>
      </w:pPr>
      <w:rPr>
        <w:rFonts w:ascii="Arial" w:eastAsia="Arial" w:hAnsi="Arial" w:cs="Arial" w:hint="default"/>
        <w:color w:val="231F20"/>
        <w:spacing w:val="-1"/>
        <w:w w:val="100"/>
        <w:sz w:val="18"/>
        <w:szCs w:val="18"/>
        <w:lang w:val="en-GB" w:eastAsia="en-GB" w:bidi="en-GB"/>
      </w:rPr>
    </w:lvl>
    <w:lvl w:ilvl="1" w:tplc="6A90730A">
      <w:numFmt w:val="bullet"/>
      <w:lvlText w:val="•"/>
      <w:lvlJc w:val="left"/>
      <w:pPr>
        <w:ind w:left="4181" w:hanging="217"/>
      </w:pPr>
      <w:rPr>
        <w:rFonts w:hint="default"/>
        <w:lang w:val="en-GB" w:eastAsia="en-GB" w:bidi="en-GB"/>
      </w:rPr>
    </w:lvl>
    <w:lvl w:ilvl="2" w:tplc="D2021972">
      <w:numFmt w:val="bullet"/>
      <w:lvlText w:val="•"/>
      <w:lvlJc w:val="left"/>
      <w:pPr>
        <w:ind w:left="4622" w:hanging="217"/>
      </w:pPr>
      <w:rPr>
        <w:rFonts w:hint="default"/>
        <w:lang w:val="en-GB" w:eastAsia="en-GB" w:bidi="en-GB"/>
      </w:rPr>
    </w:lvl>
    <w:lvl w:ilvl="3" w:tplc="7F3A7A3E">
      <w:numFmt w:val="bullet"/>
      <w:lvlText w:val="•"/>
      <w:lvlJc w:val="left"/>
      <w:pPr>
        <w:ind w:left="5064" w:hanging="217"/>
      </w:pPr>
      <w:rPr>
        <w:rFonts w:hint="default"/>
        <w:lang w:val="en-GB" w:eastAsia="en-GB" w:bidi="en-GB"/>
      </w:rPr>
    </w:lvl>
    <w:lvl w:ilvl="4" w:tplc="08A60798">
      <w:numFmt w:val="bullet"/>
      <w:lvlText w:val="•"/>
      <w:lvlJc w:val="left"/>
      <w:pPr>
        <w:ind w:left="5505" w:hanging="217"/>
      </w:pPr>
      <w:rPr>
        <w:rFonts w:hint="default"/>
        <w:lang w:val="en-GB" w:eastAsia="en-GB" w:bidi="en-GB"/>
      </w:rPr>
    </w:lvl>
    <w:lvl w:ilvl="5" w:tplc="A6E4FDEA">
      <w:numFmt w:val="bullet"/>
      <w:lvlText w:val="•"/>
      <w:lvlJc w:val="left"/>
      <w:pPr>
        <w:ind w:left="5947" w:hanging="217"/>
      </w:pPr>
      <w:rPr>
        <w:rFonts w:hint="default"/>
        <w:lang w:val="en-GB" w:eastAsia="en-GB" w:bidi="en-GB"/>
      </w:rPr>
    </w:lvl>
    <w:lvl w:ilvl="6" w:tplc="7E142EDC">
      <w:numFmt w:val="bullet"/>
      <w:lvlText w:val="•"/>
      <w:lvlJc w:val="left"/>
      <w:pPr>
        <w:ind w:left="6388" w:hanging="217"/>
      </w:pPr>
      <w:rPr>
        <w:rFonts w:hint="default"/>
        <w:lang w:val="en-GB" w:eastAsia="en-GB" w:bidi="en-GB"/>
      </w:rPr>
    </w:lvl>
    <w:lvl w:ilvl="7" w:tplc="1F36B6C8">
      <w:numFmt w:val="bullet"/>
      <w:lvlText w:val="•"/>
      <w:lvlJc w:val="left"/>
      <w:pPr>
        <w:ind w:left="6829" w:hanging="217"/>
      </w:pPr>
      <w:rPr>
        <w:rFonts w:hint="default"/>
        <w:lang w:val="en-GB" w:eastAsia="en-GB" w:bidi="en-GB"/>
      </w:rPr>
    </w:lvl>
    <w:lvl w:ilvl="8" w:tplc="BF244A2A">
      <w:numFmt w:val="bullet"/>
      <w:lvlText w:val="•"/>
      <w:lvlJc w:val="left"/>
      <w:pPr>
        <w:ind w:left="7271" w:hanging="217"/>
      </w:pPr>
      <w:rPr>
        <w:rFonts w:hint="default"/>
        <w:lang w:val="en-GB" w:eastAsia="en-GB" w:bidi="en-GB"/>
      </w:rPr>
    </w:lvl>
  </w:abstractNum>
  <w:abstractNum w:abstractNumId="720" w15:restartNumberingAfterBreak="0">
    <w:nsid w:val="42DD66BC"/>
    <w:multiLevelType w:val="hybridMultilevel"/>
    <w:tmpl w:val="2EB8CB64"/>
    <w:lvl w:ilvl="0" w:tplc="3842B786">
      <w:numFmt w:val="bullet"/>
      <w:lvlText w:val="•"/>
      <w:lvlJc w:val="left"/>
      <w:pPr>
        <w:ind w:left="299" w:hanging="217"/>
      </w:pPr>
      <w:rPr>
        <w:rFonts w:ascii="Arial" w:eastAsia="Arial" w:hAnsi="Arial" w:cs="Arial" w:hint="default"/>
        <w:color w:val="231F20"/>
        <w:spacing w:val="-3"/>
        <w:w w:val="100"/>
        <w:sz w:val="18"/>
        <w:szCs w:val="18"/>
        <w:lang w:val="en-GB" w:eastAsia="en-GB" w:bidi="en-GB"/>
      </w:rPr>
    </w:lvl>
    <w:lvl w:ilvl="1" w:tplc="3CD8B20C">
      <w:numFmt w:val="bullet"/>
      <w:lvlText w:val="•"/>
      <w:lvlJc w:val="left"/>
      <w:pPr>
        <w:ind w:left="473" w:hanging="217"/>
      </w:pPr>
      <w:rPr>
        <w:rFonts w:hint="default"/>
        <w:lang w:val="en-GB" w:eastAsia="en-GB" w:bidi="en-GB"/>
      </w:rPr>
    </w:lvl>
    <w:lvl w:ilvl="2" w:tplc="E4F2A912">
      <w:numFmt w:val="bullet"/>
      <w:lvlText w:val="•"/>
      <w:lvlJc w:val="left"/>
      <w:pPr>
        <w:ind w:left="646" w:hanging="217"/>
      </w:pPr>
      <w:rPr>
        <w:rFonts w:hint="default"/>
        <w:lang w:val="en-GB" w:eastAsia="en-GB" w:bidi="en-GB"/>
      </w:rPr>
    </w:lvl>
    <w:lvl w:ilvl="3" w:tplc="C032EBFE">
      <w:numFmt w:val="bullet"/>
      <w:lvlText w:val="•"/>
      <w:lvlJc w:val="left"/>
      <w:pPr>
        <w:ind w:left="819" w:hanging="217"/>
      </w:pPr>
      <w:rPr>
        <w:rFonts w:hint="default"/>
        <w:lang w:val="en-GB" w:eastAsia="en-GB" w:bidi="en-GB"/>
      </w:rPr>
    </w:lvl>
    <w:lvl w:ilvl="4" w:tplc="FD9AC2E0">
      <w:numFmt w:val="bullet"/>
      <w:lvlText w:val="•"/>
      <w:lvlJc w:val="left"/>
      <w:pPr>
        <w:ind w:left="992" w:hanging="217"/>
      </w:pPr>
      <w:rPr>
        <w:rFonts w:hint="default"/>
        <w:lang w:val="en-GB" w:eastAsia="en-GB" w:bidi="en-GB"/>
      </w:rPr>
    </w:lvl>
    <w:lvl w:ilvl="5" w:tplc="8B5008BA">
      <w:numFmt w:val="bullet"/>
      <w:lvlText w:val="•"/>
      <w:lvlJc w:val="left"/>
      <w:pPr>
        <w:ind w:left="1165" w:hanging="217"/>
      </w:pPr>
      <w:rPr>
        <w:rFonts w:hint="default"/>
        <w:lang w:val="en-GB" w:eastAsia="en-GB" w:bidi="en-GB"/>
      </w:rPr>
    </w:lvl>
    <w:lvl w:ilvl="6" w:tplc="26A02788">
      <w:numFmt w:val="bullet"/>
      <w:lvlText w:val="•"/>
      <w:lvlJc w:val="left"/>
      <w:pPr>
        <w:ind w:left="1338" w:hanging="217"/>
      </w:pPr>
      <w:rPr>
        <w:rFonts w:hint="default"/>
        <w:lang w:val="en-GB" w:eastAsia="en-GB" w:bidi="en-GB"/>
      </w:rPr>
    </w:lvl>
    <w:lvl w:ilvl="7" w:tplc="10780CF6">
      <w:numFmt w:val="bullet"/>
      <w:lvlText w:val="•"/>
      <w:lvlJc w:val="left"/>
      <w:pPr>
        <w:ind w:left="1511" w:hanging="217"/>
      </w:pPr>
      <w:rPr>
        <w:rFonts w:hint="default"/>
        <w:lang w:val="en-GB" w:eastAsia="en-GB" w:bidi="en-GB"/>
      </w:rPr>
    </w:lvl>
    <w:lvl w:ilvl="8" w:tplc="8E50353C">
      <w:numFmt w:val="bullet"/>
      <w:lvlText w:val="•"/>
      <w:lvlJc w:val="left"/>
      <w:pPr>
        <w:ind w:left="1684" w:hanging="217"/>
      </w:pPr>
      <w:rPr>
        <w:rFonts w:hint="default"/>
        <w:lang w:val="en-GB" w:eastAsia="en-GB" w:bidi="en-GB"/>
      </w:rPr>
    </w:lvl>
  </w:abstractNum>
  <w:abstractNum w:abstractNumId="721" w15:restartNumberingAfterBreak="0">
    <w:nsid w:val="42EE5568"/>
    <w:multiLevelType w:val="hybridMultilevel"/>
    <w:tmpl w:val="91608E2A"/>
    <w:lvl w:ilvl="0" w:tplc="877E5440">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8478594A">
      <w:numFmt w:val="bullet"/>
      <w:lvlText w:val="•"/>
      <w:lvlJc w:val="left"/>
      <w:pPr>
        <w:ind w:left="892" w:hanging="217"/>
      </w:pPr>
      <w:rPr>
        <w:rFonts w:hint="default"/>
        <w:lang w:val="en-GB" w:eastAsia="en-GB" w:bidi="en-GB"/>
      </w:rPr>
    </w:lvl>
    <w:lvl w:ilvl="2" w:tplc="BFE2FAEE">
      <w:numFmt w:val="bullet"/>
      <w:lvlText w:val="•"/>
      <w:lvlJc w:val="left"/>
      <w:pPr>
        <w:ind w:left="1485" w:hanging="217"/>
      </w:pPr>
      <w:rPr>
        <w:rFonts w:hint="default"/>
        <w:lang w:val="en-GB" w:eastAsia="en-GB" w:bidi="en-GB"/>
      </w:rPr>
    </w:lvl>
    <w:lvl w:ilvl="3" w:tplc="0A0E221A">
      <w:numFmt w:val="bullet"/>
      <w:lvlText w:val="•"/>
      <w:lvlJc w:val="left"/>
      <w:pPr>
        <w:ind w:left="2077" w:hanging="217"/>
      </w:pPr>
      <w:rPr>
        <w:rFonts w:hint="default"/>
        <w:lang w:val="en-GB" w:eastAsia="en-GB" w:bidi="en-GB"/>
      </w:rPr>
    </w:lvl>
    <w:lvl w:ilvl="4" w:tplc="AC829A3E">
      <w:numFmt w:val="bullet"/>
      <w:lvlText w:val="•"/>
      <w:lvlJc w:val="left"/>
      <w:pPr>
        <w:ind w:left="2670" w:hanging="217"/>
      </w:pPr>
      <w:rPr>
        <w:rFonts w:hint="default"/>
        <w:lang w:val="en-GB" w:eastAsia="en-GB" w:bidi="en-GB"/>
      </w:rPr>
    </w:lvl>
    <w:lvl w:ilvl="5" w:tplc="B87CFE7A">
      <w:numFmt w:val="bullet"/>
      <w:lvlText w:val="•"/>
      <w:lvlJc w:val="left"/>
      <w:pPr>
        <w:ind w:left="3263" w:hanging="217"/>
      </w:pPr>
      <w:rPr>
        <w:rFonts w:hint="default"/>
        <w:lang w:val="en-GB" w:eastAsia="en-GB" w:bidi="en-GB"/>
      </w:rPr>
    </w:lvl>
    <w:lvl w:ilvl="6" w:tplc="3DE03CD6">
      <w:numFmt w:val="bullet"/>
      <w:lvlText w:val="•"/>
      <w:lvlJc w:val="left"/>
      <w:pPr>
        <w:ind w:left="3855" w:hanging="217"/>
      </w:pPr>
      <w:rPr>
        <w:rFonts w:hint="default"/>
        <w:lang w:val="en-GB" w:eastAsia="en-GB" w:bidi="en-GB"/>
      </w:rPr>
    </w:lvl>
    <w:lvl w:ilvl="7" w:tplc="6FB4DC1A">
      <w:numFmt w:val="bullet"/>
      <w:lvlText w:val="•"/>
      <w:lvlJc w:val="left"/>
      <w:pPr>
        <w:ind w:left="4448" w:hanging="217"/>
      </w:pPr>
      <w:rPr>
        <w:rFonts w:hint="default"/>
        <w:lang w:val="en-GB" w:eastAsia="en-GB" w:bidi="en-GB"/>
      </w:rPr>
    </w:lvl>
    <w:lvl w:ilvl="8" w:tplc="783E71B8">
      <w:numFmt w:val="bullet"/>
      <w:lvlText w:val="•"/>
      <w:lvlJc w:val="left"/>
      <w:pPr>
        <w:ind w:left="5040" w:hanging="217"/>
      </w:pPr>
      <w:rPr>
        <w:rFonts w:hint="default"/>
        <w:lang w:val="en-GB" w:eastAsia="en-GB" w:bidi="en-GB"/>
      </w:rPr>
    </w:lvl>
  </w:abstractNum>
  <w:abstractNum w:abstractNumId="722" w15:restartNumberingAfterBreak="0">
    <w:nsid w:val="42F046A8"/>
    <w:multiLevelType w:val="hybridMultilevel"/>
    <w:tmpl w:val="98AEAF74"/>
    <w:lvl w:ilvl="0" w:tplc="6322759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5AAD416">
      <w:numFmt w:val="bullet"/>
      <w:lvlText w:val="•"/>
      <w:lvlJc w:val="left"/>
      <w:pPr>
        <w:ind w:left="473" w:hanging="217"/>
      </w:pPr>
      <w:rPr>
        <w:rFonts w:hint="default"/>
        <w:lang w:val="en-GB" w:eastAsia="en-GB" w:bidi="en-GB"/>
      </w:rPr>
    </w:lvl>
    <w:lvl w:ilvl="2" w:tplc="E3A24B92">
      <w:numFmt w:val="bullet"/>
      <w:lvlText w:val="•"/>
      <w:lvlJc w:val="left"/>
      <w:pPr>
        <w:ind w:left="646" w:hanging="217"/>
      </w:pPr>
      <w:rPr>
        <w:rFonts w:hint="default"/>
        <w:lang w:val="en-GB" w:eastAsia="en-GB" w:bidi="en-GB"/>
      </w:rPr>
    </w:lvl>
    <w:lvl w:ilvl="3" w:tplc="76BC9434">
      <w:numFmt w:val="bullet"/>
      <w:lvlText w:val="•"/>
      <w:lvlJc w:val="left"/>
      <w:pPr>
        <w:ind w:left="819" w:hanging="217"/>
      </w:pPr>
      <w:rPr>
        <w:rFonts w:hint="default"/>
        <w:lang w:val="en-GB" w:eastAsia="en-GB" w:bidi="en-GB"/>
      </w:rPr>
    </w:lvl>
    <w:lvl w:ilvl="4" w:tplc="F4F276CC">
      <w:numFmt w:val="bullet"/>
      <w:lvlText w:val="•"/>
      <w:lvlJc w:val="left"/>
      <w:pPr>
        <w:ind w:left="992" w:hanging="217"/>
      </w:pPr>
      <w:rPr>
        <w:rFonts w:hint="default"/>
        <w:lang w:val="en-GB" w:eastAsia="en-GB" w:bidi="en-GB"/>
      </w:rPr>
    </w:lvl>
    <w:lvl w:ilvl="5" w:tplc="EF927A28">
      <w:numFmt w:val="bullet"/>
      <w:lvlText w:val="•"/>
      <w:lvlJc w:val="left"/>
      <w:pPr>
        <w:ind w:left="1165" w:hanging="217"/>
      </w:pPr>
      <w:rPr>
        <w:rFonts w:hint="default"/>
        <w:lang w:val="en-GB" w:eastAsia="en-GB" w:bidi="en-GB"/>
      </w:rPr>
    </w:lvl>
    <w:lvl w:ilvl="6" w:tplc="E89AE196">
      <w:numFmt w:val="bullet"/>
      <w:lvlText w:val="•"/>
      <w:lvlJc w:val="left"/>
      <w:pPr>
        <w:ind w:left="1338" w:hanging="217"/>
      </w:pPr>
      <w:rPr>
        <w:rFonts w:hint="default"/>
        <w:lang w:val="en-GB" w:eastAsia="en-GB" w:bidi="en-GB"/>
      </w:rPr>
    </w:lvl>
    <w:lvl w:ilvl="7" w:tplc="D4902006">
      <w:numFmt w:val="bullet"/>
      <w:lvlText w:val="•"/>
      <w:lvlJc w:val="left"/>
      <w:pPr>
        <w:ind w:left="1511" w:hanging="217"/>
      </w:pPr>
      <w:rPr>
        <w:rFonts w:hint="default"/>
        <w:lang w:val="en-GB" w:eastAsia="en-GB" w:bidi="en-GB"/>
      </w:rPr>
    </w:lvl>
    <w:lvl w:ilvl="8" w:tplc="C87A7A26">
      <w:numFmt w:val="bullet"/>
      <w:lvlText w:val="•"/>
      <w:lvlJc w:val="left"/>
      <w:pPr>
        <w:ind w:left="1684" w:hanging="217"/>
      </w:pPr>
      <w:rPr>
        <w:rFonts w:hint="default"/>
        <w:lang w:val="en-GB" w:eastAsia="en-GB" w:bidi="en-GB"/>
      </w:rPr>
    </w:lvl>
  </w:abstractNum>
  <w:abstractNum w:abstractNumId="723" w15:restartNumberingAfterBreak="0">
    <w:nsid w:val="43170F85"/>
    <w:multiLevelType w:val="hybridMultilevel"/>
    <w:tmpl w:val="13F052DA"/>
    <w:lvl w:ilvl="0" w:tplc="FB0EEB5C">
      <w:numFmt w:val="bullet"/>
      <w:lvlText w:val="•"/>
      <w:lvlJc w:val="left"/>
      <w:pPr>
        <w:ind w:left="3076" w:hanging="217"/>
      </w:pPr>
      <w:rPr>
        <w:rFonts w:ascii="Arial" w:eastAsia="Arial" w:hAnsi="Arial" w:cs="Arial" w:hint="default"/>
        <w:color w:val="231F20"/>
        <w:spacing w:val="-7"/>
        <w:w w:val="100"/>
        <w:sz w:val="18"/>
        <w:szCs w:val="18"/>
        <w:lang w:val="en-GB" w:eastAsia="en-GB" w:bidi="en-GB"/>
      </w:rPr>
    </w:lvl>
    <w:lvl w:ilvl="1" w:tplc="A8FE9B72">
      <w:numFmt w:val="bullet"/>
      <w:lvlText w:val="•"/>
      <w:lvlJc w:val="left"/>
      <w:pPr>
        <w:ind w:left="3564" w:hanging="217"/>
      </w:pPr>
      <w:rPr>
        <w:rFonts w:hint="default"/>
        <w:lang w:val="en-GB" w:eastAsia="en-GB" w:bidi="en-GB"/>
      </w:rPr>
    </w:lvl>
    <w:lvl w:ilvl="2" w:tplc="CF9AC7D4">
      <w:numFmt w:val="bullet"/>
      <w:lvlText w:val="•"/>
      <w:lvlJc w:val="left"/>
      <w:pPr>
        <w:ind w:left="4049" w:hanging="217"/>
      </w:pPr>
      <w:rPr>
        <w:rFonts w:hint="default"/>
        <w:lang w:val="en-GB" w:eastAsia="en-GB" w:bidi="en-GB"/>
      </w:rPr>
    </w:lvl>
    <w:lvl w:ilvl="3" w:tplc="8C7E449E">
      <w:numFmt w:val="bullet"/>
      <w:lvlText w:val="•"/>
      <w:lvlJc w:val="left"/>
      <w:pPr>
        <w:ind w:left="4533" w:hanging="217"/>
      </w:pPr>
      <w:rPr>
        <w:rFonts w:hint="default"/>
        <w:lang w:val="en-GB" w:eastAsia="en-GB" w:bidi="en-GB"/>
      </w:rPr>
    </w:lvl>
    <w:lvl w:ilvl="4" w:tplc="DCFADD10">
      <w:numFmt w:val="bullet"/>
      <w:lvlText w:val="•"/>
      <w:lvlJc w:val="left"/>
      <w:pPr>
        <w:ind w:left="5018" w:hanging="217"/>
      </w:pPr>
      <w:rPr>
        <w:rFonts w:hint="default"/>
        <w:lang w:val="en-GB" w:eastAsia="en-GB" w:bidi="en-GB"/>
      </w:rPr>
    </w:lvl>
    <w:lvl w:ilvl="5" w:tplc="5282B622">
      <w:numFmt w:val="bullet"/>
      <w:lvlText w:val="•"/>
      <w:lvlJc w:val="left"/>
      <w:pPr>
        <w:ind w:left="5503" w:hanging="217"/>
      </w:pPr>
      <w:rPr>
        <w:rFonts w:hint="default"/>
        <w:lang w:val="en-GB" w:eastAsia="en-GB" w:bidi="en-GB"/>
      </w:rPr>
    </w:lvl>
    <w:lvl w:ilvl="6" w:tplc="CE7C1B30">
      <w:numFmt w:val="bullet"/>
      <w:lvlText w:val="•"/>
      <w:lvlJc w:val="left"/>
      <w:pPr>
        <w:ind w:left="5987" w:hanging="217"/>
      </w:pPr>
      <w:rPr>
        <w:rFonts w:hint="default"/>
        <w:lang w:val="en-GB" w:eastAsia="en-GB" w:bidi="en-GB"/>
      </w:rPr>
    </w:lvl>
    <w:lvl w:ilvl="7" w:tplc="5950B2F2">
      <w:numFmt w:val="bullet"/>
      <w:lvlText w:val="•"/>
      <w:lvlJc w:val="left"/>
      <w:pPr>
        <w:ind w:left="6472" w:hanging="217"/>
      </w:pPr>
      <w:rPr>
        <w:rFonts w:hint="default"/>
        <w:lang w:val="en-GB" w:eastAsia="en-GB" w:bidi="en-GB"/>
      </w:rPr>
    </w:lvl>
    <w:lvl w:ilvl="8" w:tplc="8D22D028">
      <w:numFmt w:val="bullet"/>
      <w:lvlText w:val="•"/>
      <w:lvlJc w:val="left"/>
      <w:pPr>
        <w:ind w:left="6956" w:hanging="217"/>
      </w:pPr>
      <w:rPr>
        <w:rFonts w:hint="default"/>
        <w:lang w:val="en-GB" w:eastAsia="en-GB" w:bidi="en-GB"/>
      </w:rPr>
    </w:lvl>
  </w:abstractNum>
  <w:abstractNum w:abstractNumId="724" w15:restartNumberingAfterBreak="0">
    <w:nsid w:val="4333480E"/>
    <w:multiLevelType w:val="hybridMultilevel"/>
    <w:tmpl w:val="16284934"/>
    <w:lvl w:ilvl="0" w:tplc="BB4256E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3778684A">
      <w:numFmt w:val="bullet"/>
      <w:lvlText w:val="•"/>
      <w:lvlJc w:val="left"/>
      <w:pPr>
        <w:ind w:left="473" w:hanging="217"/>
      </w:pPr>
      <w:rPr>
        <w:rFonts w:hint="default"/>
        <w:lang w:val="en-GB" w:eastAsia="en-GB" w:bidi="en-GB"/>
      </w:rPr>
    </w:lvl>
    <w:lvl w:ilvl="2" w:tplc="61F2DC8C">
      <w:numFmt w:val="bullet"/>
      <w:lvlText w:val="•"/>
      <w:lvlJc w:val="left"/>
      <w:pPr>
        <w:ind w:left="646" w:hanging="217"/>
      </w:pPr>
      <w:rPr>
        <w:rFonts w:hint="default"/>
        <w:lang w:val="en-GB" w:eastAsia="en-GB" w:bidi="en-GB"/>
      </w:rPr>
    </w:lvl>
    <w:lvl w:ilvl="3" w:tplc="7264FD0C">
      <w:numFmt w:val="bullet"/>
      <w:lvlText w:val="•"/>
      <w:lvlJc w:val="left"/>
      <w:pPr>
        <w:ind w:left="819" w:hanging="217"/>
      </w:pPr>
      <w:rPr>
        <w:rFonts w:hint="default"/>
        <w:lang w:val="en-GB" w:eastAsia="en-GB" w:bidi="en-GB"/>
      </w:rPr>
    </w:lvl>
    <w:lvl w:ilvl="4" w:tplc="62CC8BF6">
      <w:numFmt w:val="bullet"/>
      <w:lvlText w:val="•"/>
      <w:lvlJc w:val="left"/>
      <w:pPr>
        <w:ind w:left="992" w:hanging="217"/>
      </w:pPr>
      <w:rPr>
        <w:rFonts w:hint="default"/>
        <w:lang w:val="en-GB" w:eastAsia="en-GB" w:bidi="en-GB"/>
      </w:rPr>
    </w:lvl>
    <w:lvl w:ilvl="5" w:tplc="C9C2A5CE">
      <w:numFmt w:val="bullet"/>
      <w:lvlText w:val="•"/>
      <w:lvlJc w:val="left"/>
      <w:pPr>
        <w:ind w:left="1165" w:hanging="217"/>
      </w:pPr>
      <w:rPr>
        <w:rFonts w:hint="default"/>
        <w:lang w:val="en-GB" w:eastAsia="en-GB" w:bidi="en-GB"/>
      </w:rPr>
    </w:lvl>
    <w:lvl w:ilvl="6" w:tplc="49C69A8E">
      <w:numFmt w:val="bullet"/>
      <w:lvlText w:val="•"/>
      <w:lvlJc w:val="left"/>
      <w:pPr>
        <w:ind w:left="1338" w:hanging="217"/>
      </w:pPr>
      <w:rPr>
        <w:rFonts w:hint="default"/>
        <w:lang w:val="en-GB" w:eastAsia="en-GB" w:bidi="en-GB"/>
      </w:rPr>
    </w:lvl>
    <w:lvl w:ilvl="7" w:tplc="E3A245B0">
      <w:numFmt w:val="bullet"/>
      <w:lvlText w:val="•"/>
      <w:lvlJc w:val="left"/>
      <w:pPr>
        <w:ind w:left="1511" w:hanging="217"/>
      </w:pPr>
      <w:rPr>
        <w:rFonts w:hint="default"/>
        <w:lang w:val="en-GB" w:eastAsia="en-GB" w:bidi="en-GB"/>
      </w:rPr>
    </w:lvl>
    <w:lvl w:ilvl="8" w:tplc="EC482AEA">
      <w:numFmt w:val="bullet"/>
      <w:lvlText w:val="•"/>
      <w:lvlJc w:val="left"/>
      <w:pPr>
        <w:ind w:left="1684" w:hanging="217"/>
      </w:pPr>
      <w:rPr>
        <w:rFonts w:hint="default"/>
        <w:lang w:val="en-GB" w:eastAsia="en-GB" w:bidi="en-GB"/>
      </w:rPr>
    </w:lvl>
  </w:abstractNum>
  <w:abstractNum w:abstractNumId="725" w15:restartNumberingAfterBreak="0">
    <w:nsid w:val="434450F7"/>
    <w:multiLevelType w:val="hybridMultilevel"/>
    <w:tmpl w:val="B8C4B33C"/>
    <w:lvl w:ilvl="0" w:tplc="76003C5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32C14E2">
      <w:numFmt w:val="bullet"/>
      <w:lvlText w:val="•"/>
      <w:lvlJc w:val="left"/>
      <w:pPr>
        <w:ind w:left="473" w:hanging="217"/>
      </w:pPr>
      <w:rPr>
        <w:rFonts w:hint="default"/>
        <w:lang w:val="en-GB" w:eastAsia="en-GB" w:bidi="en-GB"/>
      </w:rPr>
    </w:lvl>
    <w:lvl w:ilvl="2" w:tplc="998AC240">
      <w:numFmt w:val="bullet"/>
      <w:lvlText w:val="•"/>
      <w:lvlJc w:val="left"/>
      <w:pPr>
        <w:ind w:left="646" w:hanging="217"/>
      </w:pPr>
      <w:rPr>
        <w:rFonts w:hint="default"/>
        <w:lang w:val="en-GB" w:eastAsia="en-GB" w:bidi="en-GB"/>
      </w:rPr>
    </w:lvl>
    <w:lvl w:ilvl="3" w:tplc="CB68F396">
      <w:numFmt w:val="bullet"/>
      <w:lvlText w:val="•"/>
      <w:lvlJc w:val="left"/>
      <w:pPr>
        <w:ind w:left="819" w:hanging="217"/>
      </w:pPr>
      <w:rPr>
        <w:rFonts w:hint="default"/>
        <w:lang w:val="en-GB" w:eastAsia="en-GB" w:bidi="en-GB"/>
      </w:rPr>
    </w:lvl>
    <w:lvl w:ilvl="4" w:tplc="7E80970E">
      <w:numFmt w:val="bullet"/>
      <w:lvlText w:val="•"/>
      <w:lvlJc w:val="left"/>
      <w:pPr>
        <w:ind w:left="992" w:hanging="217"/>
      </w:pPr>
      <w:rPr>
        <w:rFonts w:hint="default"/>
        <w:lang w:val="en-GB" w:eastAsia="en-GB" w:bidi="en-GB"/>
      </w:rPr>
    </w:lvl>
    <w:lvl w:ilvl="5" w:tplc="985ED9F4">
      <w:numFmt w:val="bullet"/>
      <w:lvlText w:val="•"/>
      <w:lvlJc w:val="left"/>
      <w:pPr>
        <w:ind w:left="1165" w:hanging="217"/>
      </w:pPr>
      <w:rPr>
        <w:rFonts w:hint="default"/>
        <w:lang w:val="en-GB" w:eastAsia="en-GB" w:bidi="en-GB"/>
      </w:rPr>
    </w:lvl>
    <w:lvl w:ilvl="6" w:tplc="2982A9E6">
      <w:numFmt w:val="bullet"/>
      <w:lvlText w:val="•"/>
      <w:lvlJc w:val="left"/>
      <w:pPr>
        <w:ind w:left="1338" w:hanging="217"/>
      </w:pPr>
      <w:rPr>
        <w:rFonts w:hint="default"/>
        <w:lang w:val="en-GB" w:eastAsia="en-GB" w:bidi="en-GB"/>
      </w:rPr>
    </w:lvl>
    <w:lvl w:ilvl="7" w:tplc="56B60424">
      <w:numFmt w:val="bullet"/>
      <w:lvlText w:val="•"/>
      <w:lvlJc w:val="left"/>
      <w:pPr>
        <w:ind w:left="1511" w:hanging="217"/>
      </w:pPr>
      <w:rPr>
        <w:rFonts w:hint="default"/>
        <w:lang w:val="en-GB" w:eastAsia="en-GB" w:bidi="en-GB"/>
      </w:rPr>
    </w:lvl>
    <w:lvl w:ilvl="8" w:tplc="5680E6EE">
      <w:numFmt w:val="bullet"/>
      <w:lvlText w:val="•"/>
      <w:lvlJc w:val="left"/>
      <w:pPr>
        <w:ind w:left="1684" w:hanging="217"/>
      </w:pPr>
      <w:rPr>
        <w:rFonts w:hint="default"/>
        <w:lang w:val="en-GB" w:eastAsia="en-GB" w:bidi="en-GB"/>
      </w:rPr>
    </w:lvl>
  </w:abstractNum>
  <w:abstractNum w:abstractNumId="726" w15:restartNumberingAfterBreak="0">
    <w:nsid w:val="4366565C"/>
    <w:multiLevelType w:val="hybridMultilevel"/>
    <w:tmpl w:val="A1D2786E"/>
    <w:lvl w:ilvl="0" w:tplc="79D0A34A">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BC0A5180">
      <w:numFmt w:val="bullet"/>
      <w:lvlText w:val="•"/>
      <w:lvlJc w:val="left"/>
      <w:pPr>
        <w:ind w:left="473" w:hanging="217"/>
      </w:pPr>
      <w:rPr>
        <w:rFonts w:hint="default"/>
        <w:lang w:val="en-GB" w:eastAsia="en-GB" w:bidi="en-GB"/>
      </w:rPr>
    </w:lvl>
    <w:lvl w:ilvl="2" w:tplc="058C046E">
      <w:numFmt w:val="bullet"/>
      <w:lvlText w:val="•"/>
      <w:lvlJc w:val="left"/>
      <w:pPr>
        <w:ind w:left="646" w:hanging="217"/>
      </w:pPr>
      <w:rPr>
        <w:rFonts w:hint="default"/>
        <w:lang w:val="en-GB" w:eastAsia="en-GB" w:bidi="en-GB"/>
      </w:rPr>
    </w:lvl>
    <w:lvl w:ilvl="3" w:tplc="2916AA9E">
      <w:numFmt w:val="bullet"/>
      <w:lvlText w:val="•"/>
      <w:lvlJc w:val="left"/>
      <w:pPr>
        <w:ind w:left="819" w:hanging="217"/>
      </w:pPr>
      <w:rPr>
        <w:rFonts w:hint="default"/>
        <w:lang w:val="en-GB" w:eastAsia="en-GB" w:bidi="en-GB"/>
      </w:rPr>
    </w:lvl>
    <w:lvl w:ilvl="4" w:tplc="2020F022">
      <w:numFmt w:val="bullet"/>
      <w:lvlText w:val="•"/>
      <w:lvlJc w:val="left"/>
      <w:pPr>
        <w:ind w:left="992" w:hanging="217"/>
      </w:pPr>
      <w:rPr>
        <w:rFonts w:hint="default"/>
        <w:lang w:val="en-GB" w:eastAsia="en-GB" w:bidi="en-GB"/>
      </w:rPr>
    </w:lvl>
    <w:lvl w:ilvl="5" w:tplc="E5A69078">
      <w:numFmt w:val="bullet"/>
      <w:lvlText w:val="•"/>
      <w:lvlJc w:val="left"/>
      <w:pPr>
        <w:ind w:left="1165" w:hanging="217"/>
      </w:pPr>
      <w:rPr>
        <w:rFonts w:hint="default"/>
        <w:lang w:val="en-GB" w:eastAsia="en-GB" w:bidi="en-GB"/>
      </w:rPr>
    </w:lvl>
    <w:lvl w:ilvl="6" w:tplc="B540FD36">
      <w:numFmt w:val="bullet"/>
      <w:lvlText w:val="•"/>
      <w:lvlJc w:val="left"/>
      <w:pPr>
        <w:ind w:left="1338" w:hanging="217"/>
      </w:pPr>
      <w:rPr>
        <w:rFonts w:hint="default"/>
        <w:lang w:val="en-GB" w:eastAsia="en-GB" w:bidi="en-GB"/>
      </w:rPr>
    </w:lvl>
    <w:lvl w:ilvl="7" w:tplc="98988E80">
      <w:numFmt w:val="bullet"/>
      <w:lvlText w:val="•"/>
      <w:lvlJc w:val="left"/>
      <w:pPr>
        <w:ind w:left="1511" w:hanging="217"/>
      </w:pPr>
      <w:rPr>
        <w:rFonts w:hint="default"/>
        <w:lang w:val="en-GB" w:eastAsia="en-GB" w:bidi="en-GB"/>
      </w:rPr>
    </w:lvl>
    <w:lvl w:ilvl="8" w:tplc="4E0A4538">
      <w:numFmt w:val="bullet"/>
      <w:lvlText w:val="•"/>
      <w:lvlJc w:val="left"/>
      <w:pPr>
        <w:ind w:left="1684" w:hanging="217"/>
      </w:pPr>
      <w:rPr>
        <w:rFonts w:hint="default"/>
        <w:lang w:val="en-GB" w:eastAsia="en-GB" w:bidi="en-GB"/>
      </w:rPr>
    </w:lvl>
  </w:abstractNum>
  <w:abstractNum w:abstractNumId="727" w15:restartNumberingAfterBreak="0">
    <w:nsid w:val="43821EB8"/>
    <w:multiLevelType w:val="hybridMultilevel"/>
    <w:tmpl w:val="450C45DC"/>
    <w:lvl w:ilvl="0" w:tplc="5BEA9E62">
      <w:numFmt w:val="bullet"/>
      <w:lvlText w:val="•"/>
      <w:lvlJc w:val="left"/>
      <w:pPr>
        <w:ind w:left="493" w:hanging="280"/>
      </w:pPr>
      <w:rPr>
        <w:rFonts w:ascii="Arial" w:eastAsia="Arial" w:hAnsi="Arial" w:cs="Arial" w:hint="default"/>
        <w:color w:val="231F20"/>
        <w:spacing w:val="-4"/>
        <w:w w:val="100"/>
        <w:sz w:val="20"/>
        <w:szCs w:val="20"/>
        <w:lang w:val="en-GB" w:eastAsia="en-GB" w:bidi="en-GB"/>
      </w:rPr>
    </w:lvl>
    <w:lvl w:ilvl="1" w:tplc="85B879D6">
      <w:numFmt w:val="bullet"/>
      <w:lvlText w:val="–"/>
      <w:lvlJc w:val="left"/>
      <w:pPr>
        <w:ind w:left="720" w:hanging="227"/>
      </w:pPr>
      <w:rPr>
        <w:rFonts w:ascii="Arial" w:eastAsia="Arial" w:hAnsi="Arial" w:cs="Arial" w:hint="default"/>
        <w:color w:val="231F20"/>
        <w:spacing w:val="-11"/>
        <w:w w:val="100"/>
        <w:sz w:val="20"/>
        <w:szCs w:val="20"/>
        <w:lang w:val="en-GB" w:eastAsia="en-GB" w:bidi="en-GB"/>
      </w:rPr>
    </w:lvl>
    <w:lvl w:ilvl="2" w:tplc="AD309478">
      <w:numFmt w:val="bullet"/>
      <w:lvlText w:val="•"/>
      <w:lvlJc w:val="left"/>
      <w:pPr>
        <w:ind w:left="1818" w:hanging="227"/>
      </w:pPr>
      <w:rPr>
        <w:rFonts w:hint="default"/>
        <w:lang w:val="en-GB" w:eastAsia="en-GB" w:bidi="en-GB"/>
      </w:rPr>
    </w:lvl>
    <w:lvl w:ilvl="3" w:tplc="3BAC824A">
      <w:numFmt w:val="bullet"/>
      <w:lvlText w:val="•"/>
      <w:lvlJc w:val="left"/>
      <w:pPr>
        <w:ind w:left="2916" w:hanging="227"/>
      </w:pPr>
      <w:rPr>
        <w:rFonts w:hint="default"/>
        <w:lang w:val="en-GB" w:eastAsia="en-GB" w:bidi="en-GB"/>
      </w:rPr>
    </w:lvl>
    <w:lvl w:ilvl="4" w:tplc="DC4A9EBE">
      <w:numFmt w:val="bullet"/>
      <w:lvlText w:val="•"/>
      <w:lvlJc w:val="left"/>
      <w:pPr>
        <w:ind w:left="4015" w:hanging="227"/>
      </w:pPr>
      <w:rPr>
        <w:rFonts w:hint="default"/>
        <w:lang w:val="en-GB" w:eastAsia="en-GB" w:bidi="en-GB"/>
      </w:rPr>
    </w:lvl>
    <w:lvl w:ilvl="5" w:tplc="495CA8EA">
      <w:numFmt w:val="bullet"/>
      <w:lvlText w:val="•"/>
      <w:lvlJc w:val="left"/>
      <w:pPr>
        <w:ind w:left="5113" w:hanging="227"/>
      </w:pPr>
      <w:rPr>
        <w:rFonts w:hint="default"/>
        <w:lang w:val="en-GB" w:eastAsia="en-GB" w:bidi="en-GB"/>
      </w:rPr>
    </w:lvl>
    <w:lvl w:ilvl="6" w:tplc="8BACD6D0">
      <w:numFmt w:val="bullet"/>
      <w:lvlText w:val="•"/>
      <w:lvlJc w:val="left"/>
      <w:pPr>
        <w:ind w:left="6211" w:hanging="227"/>
      </w:pPr>
      <w:rPr>
        <w:rFonts w:hint="default"/>
        <w:lang w:val="en-GB" w:eastAsia="en-GB" w:bidi="en-GB"/>
      </w:rPr>
    </w:lvl>
    <w:lvl w:ilvl="7" w:tplc="8AAC7586">
      <w:numFmt w:val="bullet"/>
      <w:lvlText w:val="•"/>
      <w:lvlJc w:val="left"/>
      <w:pPr>
        <w:ind w:left="7310" w:hanging="227"/>
      </w:pPr>
      <w:rPr>
        <w:rFonts w:hint="default"/>
        <w:lang w:val="en-GB" w:eastAsia="en-GB" w:bidi="en-GB"/>
      </w:rPr>
    </w:lvl>
    <w:lvl w:ilvl="8" w:tplc="27CE7318">
      <w:numFmt w:val="bullet"/>
      <w:lvlText w:val="•"/>
      <w:lvlJc w:val="left"/>
      <w:pPr>
        <w:ind w:left="8408" w:hanging="227"/>
      </w:pPr>
      <w:rPr>
        <w:rFonts w:hint="default"/>
        <w:lang w:val="en-GB" w:eastAsia="en-GB" w:bidi="en-GB"/>
      </w:rPr>
    </w:lvl>
  </w:abstractNum>
  <w:abstractNum w:abstractNumId="728" w15:restartNumberingAfterBreak="0">
    <w:nsid w:val="43960364"/>
    <w:multiLevelType w:val="hybridMultilevel"/>
    <w:tmpl w:val="6F6019CE"/>
    <w:lvl w:ilvl="0" w:tplc="6FC0905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DE279B8">
      <w:numFmt w:val="bullet"/>
      <w:lvlText w:val="•"/>
      <w:lvlJc w:val="left"/>
      <w:pPr>
        <w:ind w:left="473" w:hanging="217"/>
      </w:pPr>
      <w:rPr>
        <w:rFonts w:hint="default"/>
        <w:lang w:val="en-GB" w:eastAsia="en-GB" w:bidi="en-GB"/>
      </w:rPr>
    </w:lvl>
    <w:lvl w:ilvl="2" w:tplc="2B2EE784">
      <w:numFmt w:val="bullet"/>
      <w:lvlText w:val="•"/>
      <w:lvlJc w:val="left"/>
      <w:pPr>
        <w:ind w:left="646" w:hanging="217"/>
      </w:pPr>
      <w:rPr>
        <w:rFonts w:hint="default"/>
        <w:lang w:val="en-GB" w:eastAsia="en-GB" w:bidi="en-GB"/>
      </w:rPr>
    </w:lvl>
    <w:lvl w:ilvl="3" w:tplc="50182968">
      <w:numFmt w:val="bullet"/>
      <w:lvlText w:val="•"/>
      <w:lvlJc w:val="left"/>
      <w:pPr>
        <w:ind w:left="819" w:hanging="217"/>
      </w:pPr>
      <w:rPr>
        <w:rFonts w:hint="default"/>
        <w:lang w:val="en-GB" w:eastAsia="en-GB" w:bidi="en-GB"/>
      </w:rPr>
    </w:lvl>
    <w:lvl w:ilvl="4" w:tplc="09B2775E">
      <w:numFmt w:val="bullet"/>
      <w:lvlText w:val="•"/>
      <w:lvlJc w:val="left"/>
      <w:pPr>
        <w:ind w:left="992" w:hanging="217"/>
      </w:pPr>
      <w:rPr>
        <w:rFonts w:hint="default"/>
        <w:lang w:val="en-GB" w:eastAsia="en-GB" w:bidi="en-GB"/>
      </w:rPr>
    </w:lvl>
    <w:lvl w:ilvl="5" w:tplc="C71AC736">
      <w:numFmt w:val="bullet"/>
      <w:lvlText w:val="•"/>
      <w:lvlJc w:val="left"/>
      <w:pPr>
        <w:ind w:left="1165" w:hanging="217"/>
      </w:pPr>
      <w:rPr>
        <w:rFonts w:hint="default"/>
        <w:lang w:val="en-GB" w:eastAsia="en-GB" w:bidi="en-GB"/>
      </w:rPr>
    </w:lvl>
    <w:lvl w:ilvl="6" w:tplc="1F3E0492">
      <w:numFmt w:val="bullet"/>
      <w:lvlText w:val="•"/>
      <w:lvlJc w:val="left"/>
      <w:pPr>
        <w:ind w:left="1338" w:hanging="217"/>
      </w:pPr>
      <w:rPr>
        <w:rFonts w:hint="default"/>
        <w:lang w:val="en-GB" w:eastAsia="en-GB" w:bidi="en-GB"/>
      </w:rPr>
    </w:lvl>
    <w:lvl w:ilvl="7" w:tplc="CD609260">
      <w:numFmt w:val="bullet"/>
      <w:lvlText w:val="•"/>
      <w:lvlJc w:val="left"/>
      <w:pPr>
        <w:ind w:left="1511" w:hanging="217"/>
      </w:pPr>
      <w:rPr>
        <w:rFonts w:hint="default"/>
        <w:lang w:val="en-GB" w:eastAsia="en-GB" w:bidi="en-GB"/>
      </w:rPr>
    </w:lvl>
    <w:lvl w:ilvl="8" w:tplc="F836DCCC">
      <w:numFmt w:val="bullet"/>
      <w:lvlText w:val="•"/>
      <w:lvlJc w:val="left"/>
      <w:pPr>
        <w:ind w:left="1684" w:hanging="217"/>
      </w:pPr>
      <w:rPr>
        <w:rFonts w:hint="default"/>
        <w:lang w:val="en-GB" w:eastAsia="en-GB" w:bidi="en-GB"/>
      </w:rPr>
    </w:lvl>
  </w:abstractNum>
  <w:abstractNum w:abstractNumId="729" w15:restartNumberingAfterBreak="0">
    <w:nsid w:val="43F56025"/>
    <w:multiLevelType w:val="hybridMultilevel"/>
    <w:tmpl w:val="719CCB12"/>
    <w:lvl w:ilvl="0" w:tplc="ED6044B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3026B00">
      <w:numFmt w:val="bullet"/>
      <w:lvlText w:val="•"/>
      <w:lvlJc w:val="left"/>
      <w:pPr>
        <w:ind w:left="473" w:hanging="217"/>
      </w:pPr>
      <w:rPr>
        <w:rFonts w:hint="default"/>
        <w:lang w:val="en-GB" w:eastAsia="en-GB" w:bidi="en-GB"/>
      </w:rPr>
    </w:lvl>
    <w:lvl w:ilvl="2" w:tplc="4818510C">
      <w:numFmt w:val="bullet"/>
      <w:lvlText w:val="•"/>
      <w:lvlJc w:val="left"/>
      <w:pPr>
        <w:ind w:left="646" w:hanging="217"/>
      </w:pPr>
      <w:rPr>
        <w:rFonts w:hint="default"/>
        <w:lang w:val="en-GB" w:eastAsia="en-GB" w:bidi="en-GB"/>
      </w:rPr>
    </w:lvl>
    <w:lvl w:ilvl="3" w:tplc="D03E9A00">
      <w:numFmt w:val="bullet"/>
      <w:lvlText w:val="•"/>
      <w:lvlJc w:val="left"/>
      <w:pPr>
        <w:ind w:left="819" w:hanging="217"/>
      </w:pPr>
      <w:rPr>
        <w:rFonts w:hint="default"/>
        <w:lang w:val="en-GB" w:eastAsia="en-GB" w:bidi="en-GB"/>
      </w:rPr>
    </w:lvl>
    <w:lvl w:ilvl="4" w:tplc="6C929032">
      <w:numFmt w:val="bullet"/>
      <w:lvlText w:val="•"/>
      <w:lvlJc w:val="left"/>
      <w:pPr>
        <w:ind w:left="992" w:hanging="217"/>
      </w:pPr>
      <w:rPr>
        <w:rFonts w:hint="default"/>
        <w:lang w:val="en-GB" w:eastAsia="en-GB" w:bidi="en-GB"/>
      </w:rPr>
    </w:lvl>
    <w:lvl w:ilvl="5" w:tplc="6D166600">
      <w:numFmt w:val="bullet"/>
      <w:lvlText w:val="•"/>
      <w:lvlJc w:val="left"/>
      <w:pPr>
        <w:ind w:left="1165" w:hanging="217"/>
      </w:pPr>
      <w:rPr>
        <w:rFonts w:hint="default"/>
        <w:lang w:val="en-GB" w:eastAsia="en-GB" w:bidi="en-GB"/>
      </w:rPr>
    </w:lvl>
    <w:lvl w:ilvl="6" w:tplc="7D882EC0">
      <w:numFmt w:val="bullet"/>
      <w:lvlText w:val="•"/>
      <w:lvlJc w:val="left"/>
      <w:pPr>
        <w:ind w:left="1338" w:hanging="217"/>
      </w:pPr>
      <w:rPr>
        <w:rFonts w:hint="default"/>
        <w:lang w:val="en-GB" w:eastAsia="en-GB" w:bidi="en-GB"/>
      </w:rPr>
    </w:lvl>
    <w:lvl w:ilvl="7" w:tplc="00F2A39E">
      <w:numFmt w:val="bullet"/>
      <w:lvlText w:val="•"/>
      <w:lvlJc w:val="left"/>
      <w:pPr>
        <w:ind w:left="1511" w:hanging="217"/>
      </w:pPr>
      <w:rPr>
        <w:rFonts w:hint="default"/>
        <w:lang w:val="en-GB" w:eastAsia="en-GB" w:bidi="en-GB"/>
      </w:rPr>
    </w:lvl>
    <w:lvl w:ilvl="8" w:tplc="503A4BE0">
      <w:numFmt w:val="bullet"/>
      <w:lvlText w:val="•"/>
      <w:lvlJc w:val="left"/>
      <w:pPr>
        <w:ind w:left="1684" w:hanging="217"/>
      </w:pPr>
      <w:rPr>
        <w:rFonts w:hint="default"/>
        <w:lang w:val="en-GB" w:eastAsia="en-GB" w:bidi="en-GB"/>
      </w:rPr>
    </w:lvl>
  </w:abstractNum>
  <w:abstractNum w:abstractNumId="730" w15:restartNumberingAfterBreak="0">
    <w:nsid w:val="44220B93"/>
    <w:multiLevelType w:val="hybridMultilevel"/>
    <w:tmpl w:val="8F60D302"/>
    <w:lvl w:ilvl="0" w:tplc="9138970A">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E70EABC6">
      <w:numFmt w:val="bullet"/>
      <w:lvlText w:val="•"/>
      <w:lvlJc w:val="left"/>
      <w:pPr>
        <w:ind w:left="441" w:hanging="217"/>
      </w:pPr>
      <w:rPr>
        <w:rFonts w:hint="default"/>
        <w:lang w:val="en-GB" w:eastAsia="en-GB" w:bidi="en-GB"/>
      </w:rPr>
    </w:lvl>
    <w:lvl w:ilvl="2" w:tplc="6D3AC7C4">
      <w:numFmt w:val="bullet"/>
      <w:lvlText w:val="•"/>
      <w:lvlJc w:val="left"/>
      <w:pPr>
        <w:ind w:left="583" w:hanging="217"/>
      </w:pPr>
      <w:rPr>
        <w:rFonts w:hint="default"/>
        <w:lang w:val="en-GB" w:eastAsia="en-GB" w:bidi="en-GB"/>
      </w:rPr>
    </w:lvl>
    <w:lvl w:ilvl="3" w:tplc="3BD6E94C">
      <w:numFmt w:val="bullet"/>
      <w:lvlText w:val="•"/>
      <w:lvlJc w:val="left"/>
      <w:pPr>
        <w:ind w:left="725" w:hanging="217"/>
      </w:pPr>
      <w:rPr>
        <w:rFonts w:hint="default"/>
        <w:lang w:val="en-GB" w:eastAsia="en-GB" w:bidi="en-GB"/>
      </w:rPr>
    </w:lvl>
    <w:lvl w:ilvl="4" w:tplc="88DE49B0">
      <w:numFmt w:val="bullet"/>
      <w:lvlText w:val="•"/>
      <w:lvlJc w:val="left"/>
      <w:pPr>
        <w:ind w:left="867" w:hanging="217"/>
      </w:pPr>
      <w:rPr>
        <w:rFonts w:hint="default"/>
        <w:lang w:val="en-GB" w:eastAsia="en-GB" w:bidi="en-GB"/>
      </w:rPr>
    </w:lvl>
    <w:lvl w:ilvl="5" w:tplc="734000D8">
      <w:numFmt w:val="bullet"/>
      <w:lvlText w:val="•"/>
      <w:lvlJc w:val="left"/>
      <w:pPr>
        <w:ind w:left="1009" w:hanging="217"/>
      </w:pPr>
      <w:rPr>
        <w:rFonts w:hint="default"/>
        <w:lang w:val="en-GB" w:eastAsia="en-GB" w:bidi="en-GB"/>
      </w:rPr>
    </w:lvl>
    <w:lvl w:ilvl="6" w:tplc="9B06AA3C">
      <w:numFmt w:val="bullet"/>
      <w:lvlText w:val="•"/>
      <w:lvlJc w:val="left"/>
      <w:pPr>
        <w:ind w:left="1151" w:hanging="217"/>
      </w:pPr>
      <w:rPr>
        <w:rFonts w:hint="default"/>
        <w:lang w:val="en-GB" w:eastAsia="en-GB" w:bidi="en-GB"/>
      </w:rPr>
    </w:lvl>
    <w:lvl w:ilvl="7" w:tplc="6142B100">
      <w:numFmt w:val="bullet"/>
      <w:lvlText w:val="•"/>
      <w:lvlJc w:val="left"/>
      <w:pPr>
        <w:ind w:left="1293" w:hanging="217"/>
      </w:pPr>
      <w:rPr>
        <w:rFonts w:hint="default"/>
        <w:lang w:val="en-GB" w:eastAsia="en-GB" w:bidi="en-GB"/>
      </w:rPr>
    </w:lvl>
    <w:lvl w:ilvl="8" w:tplc="F3489498">
      <w:numFmt w:val="bullet"/>
      <w:lvlText w:val="•"/>
      <w:lvlJc w:val="left"/>
      <w:pPr>
        <w:ind w:left="1435" w:hanging="217"/>
      </w:pPr>
      <w:rPr>
        <w:rFonts w:hint="default"/>
        <w:lang w:val="en-GB" w:eastAsia="en-GB" w:bidi="en-GB"/>
      </w:rPr>
    </w:lvl>
  </w:abstractNum>
  <w:abstractNum w:abstractNumId="731" w15:restartNumberingAfterBreak="0">
    <w:nsid w:val="446A481E"/>
    <w:multiLevelType w:val="hybridMultilevel"/>
    <w:tmpl w:val="DE422B10"/>
    <w:lvl w:ilvl="0" w:tplc="4BBE1102">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D8CEEC96">
      <w:numFmt w:val="bullet"/>
      <w:lvlText w:val="•"/>
      <w:lvlJc w:val="left"/>
      <w:pPr>
        <w:ind w:left="473" w:hanging="217"/>
      </w:pPr>
      <w:rPr>
        <w:rFonts w:hint="default"/>
        <w:lang w:val="en-GB" w:eastAsia="en-GB" w:bidi="en-GB"/>
      </w:rPr>
    </w:lvl>
    <w:lvl w:ilvl="2" w:tplc="FBB63D90">
      <w:numFmt w:val="bullet"/>
      <w:lvlText w:val="•"/>
      <w:lvlJc w:val="left"/>
      <w:pPr>
        <w:ind w:left="646" w:hanging="217"/>
      </w:pPr>
      <w:rPr>
        <w:rFonts w:hint="default"/>
        <w:lang w:val="en-GB" w:eastAsia="en-GB" w:bidi="en-GB"/>
      </w:rPr>
    </w:lvl>
    <w:lvl w:ilvl="3" w:tplc="31C6CB1C">
      <w:numFmt w:val="bullet"/>
      <w:lvlText w:val="•"/>
      <w:lvlJc w:val="left"/>
      <w:pPr>
        <w:ind w:left="819" w:hanging="217"/>
      </w:pPr>
      <w:rPr>
        <w:rFonts w:hint="default"/>
        <w:lang w:val="en-GB" w:eastAsia="en-GB" w:bidi="en-GB"/>
      </w:rPr>
    </w:lvl>
    <w:lvl w:ilvl="4" w:tplc="7AA0D956">
      <w:numFmt w:val="bullet"/>
      <w:lvlText w:val="•"/>
      <w:lvlJc w:val="left"/>
      <w:pPr>
        <w:ind w:left="992" w:hanging="217"/>
      </w:pPr>
      <w:rPr>
        <w:rFonts w:hint="default"/>
        <w:lang w:val="en-GB" w:eastAsia="en-GB" w:bidi="en-GB"/>
      </w:rPr>
    </w:lvl>
    <w:lvl w:ilvl="5" w:tplc="754C6F6A">
      <w:numFmt w:val="bullet"/>
      <w:lvlText w:val="•"/>
      <w:lvlJc w:val="left"/>
      <w:pPr>
        <w:ind w:left="1165" w:hanging="217"/>
      </w:pPr>
      <w:rPr>
        <w:rFonts w:hint="default"/>
        <w:lang w:val="en-GB" w:eastAsia="en-GB" w:bidi="en-GB"/>
      </w:rPr>
    </w:lvl>
    <w:lvl w:ilvl="6" w:tplc="D44A9EFC">
      <w:numFmt w:val="bullet"/>
      <w:lvlText w:val="•"/>
      <w:lvlJc w:val="left"/>
      <w:pPr>
        <w:ind w:left="1338" w:hanging="217"/>
      </w:pPr>
      <w:rPr>
        <w:rFonts w:hint="default"/>
        <w:lang w:val="en-GB" w:eastAsia="en-GB" w:bidi="en-GB"/>
      </w:rPr>
    </w:lvl>
    <w:lvl w:ilvl="7" w:tplc="A288E630">
      <w:numFmt w:val="bullet"/>
      <w:lvlText w:val="•"/>
      <w:lvlJc w:val="left"/>
      <w:pPr>
        <w:ind w:left="1511" w:hanging="217"/>
      </w:pPr>
      <w:rPr>
        <w:rFonts w:hint="default"/>
        <w:lang w:val="en-GB" w:eastAsia="en-GB" w:bidi="en-GB"/>
      </w:rPr>
    </w:lvl>
    <w:lvl w:ilvl="8" w:tplc="4B3EE1BE">
      <w:numFmt w:val="bullet"/>
      <w:lvlText w:val="•"/>
      <w:lvlJc w:val="left"/>
      <w:pPr>
        <w:ind w:left="1684" w:hanging="217"/>
      </w:pPr>
      <w:rPr>
        <w:rFonts w:hint="default"/>
        <w:lang w:val="en-GB" w:eastAsia="en-GB" w:bidi="en-GB"/>
      </w:rPr>
    </w:lvl>
  </w:abstractNum>
  <w:abstractNum w:abstractNumId="732" w15:restartNumberingAfterBreak="0">
    <w:nsid w:val="449F427F"/>
    <w:multiLevelType w:val="hybridMultilevel"/>
    <w:tmpl w:val="6D8E4996"/>
    <w:lvl w:ilvl="0" w:tplc="769CB16E">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7CE4D8AE">
      <w:numFmt w:val="bullet"/>
      <w:lvlText w:val="•"/>
      <w:lvlJc w:val="left"/>
      <w:pPr>
        <w:ind w:left="473" w:hanging="217"/>
      </w:pPr>
      <w:rPr>
        <w:rFonts w:hint="default"/>
        <w:lang w:val="en-GB" w:eastAsia="en-GB" w:bidi="en-GB"/>
      </w:rPr>
    </w:lvl>
    <w:lvl w:ilvl="2" w:tplc="1C182C2A">
      <w:numFmt w:val="bullet"/>
      <w:lvlText w:val="•"/>
      <w:lvlJc w:val="left"/>
      <w:pPr>
        <w:ind w:left="646" w:hanging="217"/>
      </w:pPr>
      <w:rPr>
        <w:rFonts w:hint="default"/>
        <w:lang w:val="en-GB" w:eastAsia="en-GB" w:bidi="en-GB"/>
      </w:rPr>
    </w:lvl>
    <w:lvl w:ilvl="3" w:tplc="CEE47B62">
      <w:numFmt w:val="bullet"/>
      <w:lvlText w:val="•"/>
      <w:lvlJc w:val="left"/>
      <w:pPr>
        <w:ind w:left="819" w:hanging="217"/>
      </w:pPr>
      <w:rPr>
        <w:rFonts w:hint="default"/>
        <w:lang w:val="en-GB" w:eastAsia="en-GB" w:bidi="en-GB"/>
      </w:rPr>
    </w:lvl>
    <w:lvl w:ilvl="4" w:tplc="CB3A1696">
      <w:numFmt w:val="bullet"/>
      <w:lvlText w:val="•"/>
      <w:lvlJc w:val="left"/>
      <w:pPr>
        <w:ind w:left="992" w:hanging="217"/>
      </w:pPr>
      <w:rPr>
        <w:rFonts w:hint="default"/>
        <w:lang w:val="en-GB" w:eastAsia="en-GB" w:bidi="en-GB"/>
      </w:rPr>
    </w:lvl>
    <w:lvl w:ilvl="5" w:tplc="C0D4FCC8">
      <w:numFmt w:val="bullet"/>
      <w:lvlText w:val="•"/>
      <w:lvlJc w:val="left"/>
      <w:pPr>
        <w:ind w:left="1165" w:hanging="217"/>
      </w:pPr>
      <w:rPr>
        <w:rFonts w:hint="default"/>
        <w:lang w:val="en-GB" w:eastAsia="en-GB" w:bidi="en-GB"/>
      </w:rPr>
    </w:lvl>
    <w:lvl w:ilvl="6" w:tplc="1D8A78BE">
      <w:numFmt w:val="bullet"/>
      <w:lvlText w:val="•"/>
      <w:lvlJc w:val="left"/>
      <w:pPr>
        <w:ind w:left="1338" w:hanging="217"/>
      </w:pPr>
      <w:rPr>
        <w:rFonts w:hint="default"/>
        <w:lang w:val="en-GB" w:eastAsia="en-GB" w:bidi="en-GB"/>
      </w:rPr>
    </w:lvl>
    <w:lvl w:ilvl="7" w:tplc="A6909138">
      <w:numFmt w:val="bullet"/>
      <w:lvlText w:val="•"/>
      <w:lvlJc w:val="left"/>
      <w:pPr>
        <w:ind w:left="1511" w:hanging="217"/>
      </w:pPr>
      <w:rPr>
        <w:rFonts w:hint="default"/>
        <w:lang w:val="en-GB" w:eastAsia="en-GB" w:bidi="en-GB"/>
      </w:rPr>
    </w:lvl>
    <w:lvl w:ilvl="8" w:tplc="A836D206">
      <w:numFmt w:val="bullet"/>
      <w:lvlText w:val="•"/>
      <w:lvlJc w:val="left"/>
      <w:pPr>
        <w:ind w:left="1684" w:hanging="217"/>
      </w:pPr>
      <w:rPr>
        <w:rFonts w:hint="default"/>
        <w:lang w:val="en-GB" w:eastAsia="en-GB" w:bidi="en-GB"/>
      </w:rPr>
    </w:lvl>
  </w:abstractNum>
  <w:abstractNum w:abstractNumId="733" w15:restartNumberingAfterBreak="0">
    <w:nsid w:val="44EE2690"/>
    <w:multiLevelType w:val="hybridMultilevel"/>
    <w:tmpl w:val="267CE3E6"/>
    <w:lvl w:ilvl="0" w:tplc="983A5418">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7172814C">
      <w:numFmt w:val="bullet"/>
      <w:lvlText w:val="•"/>
      <w:lvlJc w:val="left"/>
      <w:pPr>
        <w:ind w:left="473" w:hanging="217"/>
      </w:pPr>
      <w:rPr>
        <w:rFonts w:hint="default"/>
        <w:lang w:val="en-GB" w:eastAsia="en-GB" w:bidi="en-GB"/>
      </w:rPr>
    </w:lvl>
    <w:lvl w:ilvl="2" w:tplc="BD3089E4">
      <w:numFmt w:val="bullet"/>
      <w:lvlText w:val="•"/>
      <w:lvlJc w:val="left"/>
      <w:pPr>
        <w:ind w:left="646" w:hanging="217"/>
      </w:pPr>
      <w:rPr>
        <w:rFonts w:hint="default"/>
        <w:lang w:val="en-GB" w:eastAsia="en-GB" w:bidi="en-GB"/>
      </w:rPr>
    </w:lvl>
    <w:lvl w:ilvl="3" w:tplc="507296AC">
      <w:numFmt w:val="bullet"/>
      <w:lvlText w:val="•"/>
      <w:lvlJc w:val="left"/>
      <w:pPr>
        <w:ind w:left="819" w:hanging="217"/>
      </w:pPr>
      <w:rPr>
        <w:rFonts w:hint="default"/>
        <w:lang w:val="en-GB" w:eastAsia="en-GB" w:bidi="en-GB"/>
      </w:rPr>
    </w:lvl>
    <w:lvl w:ilvl="4" w:tplc="CA6893F6">
      <w:numFmt w:val="bullet"/>
      <w:lvlText w:val="•"/>
      <w:lvlJc w:val="left"/>
      <w:pPr>
        <w:ind w:left="992" w:hanging="217"/>
      </w:pPr>
      <w:rPr>
        <w:rFonts w:hint="default"/>
        <w:lang w:val="en-GB" w:eastAsia="en-GB" w:bidi="en-GB"/>
      </w:rPr>
    </w:lvl>
    <w:lvl w:ilvl="5" w:tplc="D6529950">
      <w:numFmt w:val="bullet"/>
      <w:lvlText w:val="•"/>
      <w:lvlJc w:val="left"/>
      <w:pPr>
        <w:ind w:left="1165" w:hanging="217"/>
      </w:pPr>
      <w:rPr>
        <w:rFonts w:hint="default"/>
        <w:lang w:val="en-GB" w:eastAsia="en-GB" w:bidi="en-GB"/>
      </w:rPr>
    </w:lvl>
    <w:lvl w:ilvl="6" w:tplc="20B87DF4">
      <w:numFmt w:val="bullet"/>
      <w:lvlText w:val="•"/>
      <w:lvlJc w:val="left"/>
      <w:pPr>
        <w:ind w:left="1338" w:hanging="217"/>
      </w:pPr>
      <w:rPr>
        <w:rFonts w:hint="default"/>
        <w:lang w:val="en-GB" w:eastAsia="en-GB" w:bidi="en-GB"/>
      </w:rPr>
    </w:lvl>
    <w:lvl w:ilvl="7" w:tplc="68002610">
      <w:numFmt w:val="bullet"/>
      <w:lvlText w:val="•"/>
      <w:lvlJc w:val="left"/>
      <w:pPr>
        <w:ind w:left="1511" w:hanging="217"/>
      </w:pPr>
      <w:rPr>
        <w:rFonts w:hint="default"/>
        <w:lang w:val="en-GB" w:eastAsia="en-GB" w:bidi="en-GB"/>
      </w:rPr>
    </w:lvl>
    <w:lvl w:ilvl="8" w:tplc="82962194">
      <w:numFmt w:val="bullet"/>
      <w:lvlText w:val="•"/>
      <w:lvlJc w:val="left"/>
      <w:pPr>
        <w:ind w:left="1684" w:hanging="217"/>
      </w:pPr>
      <w:rPr>
        <w:rFonts w:hint="default"/>
        <w:lang w:val="en-GB" w:eastAsia="en-GB" w:bidi="en-GB"/>
      </w:rPr>
    </w:lvl>
  </w:abstractNum>
  <w:abstractNum w:abstractNumId="734" w15:restartNumberingAfterBreak="0">
    <w:nsid w:val="4562716A"/>
    <w:multiLevelType w:val="hybridMultilevel"/>
    <w:tmpl w:val="926CBDE6"/>
    <w:lvl w:ilvl="0" w:tplc="A1F6CE9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4432C500">
      <w:numFmt w:val="bullet"/>
      <w:lvlText w:val="•"/>
      <w:lvlJc w:val="left"/>
      <w:pPr>
        <w:ind w:left="473" w:hanging="217"/>
      </w:pPr>
      <w:rPr>
        <w:rFonts w:hint="default"/>
        <w:lang w:val="en-GB" w:eastAsia="en-GB" w:bidi="en-GB"/>
      </w:rPr>
    </w:lvl>
    <w:lvl w:ilvl="2" w:tplc="24CC2460">
      <w:numFmt w:val="bullet"/>
      <w:lvlText w:val="•"/>
      <w:lvlJc w:val="left"/>
      <w:pPr>
        <w:ind w:left="646" w:hanging="217"/>
      </w:pPr>
      <w:rPr>
        <w:rFonts w:hint="default"/>
        <w:lang w:val="en-GB" w:eastAsia="en-GB" w:bidi="en-GB"/>
      </w:rPr>
    </w:lvl>
    <w:lvl w:ilvl="3" w:tplc="E6B65A68">
      <w:numFmt w:val="bullet"/>
      <w:lvlText w:val="•"/>
      <w:lvlJc w:val="left"/>
      <w:pPr>
        <w:ind w:left="819" w:hanging="217"/>
      </w:pPr>
      <w:rPr>
        <w:rFonts w:hint="default"/>
        <w:lang w:val="en-GB" w:eastAsia="en-GB" w:bidi="en-GB"/>
      </w:rPr>
    </w:lvl>
    <w:lvl w:ilvl="4" w:tplc="D09EF100">
      <w:numFmt w:val="bullet"/>
      <w:lvlText w:val="•"/>
      <w:lvlJc w:val="left"/>
      <w:pPr>
        <w:ind w:left="992" w:hanging="217"/>
      </w:pPr>
      <w:rPr>
        <w:rFonts w:hint="default"/>
        <w:lang w:val="en-GB" w:eastAsia="en-GB" w:bidi="en-GB"/>
      </w:rPr>
    </w:lvl>
    <w:lvl w:ilvl="5" w:tplc="361E6714">
      <w:numFmt w:val="bullet"/>
      <w:lvlText w:val="•"/>
      <w:lvlJc w:val="left"/>
      <w:pPr>
        <w:ind w:left="1165" w:hanging="217"/>
      </w:pPr>
      <w:rPr>
        <w:rFonts w:hint="default"/>
        <w:lang w:val="en-GB" w:eastAsia="en-GB" w:bidi="en-GB"/>
      </w:rPr>
    </w:lvl>
    <w:lvl w:ilvl="6" w:tplc="DE60BE50">
      <w:numFmt w:val="bullet"/>
      <w:lvlText w:val="•"/>
      <w:lvlJc w:val="left"/>
      <w:pPr>
        <w:ind w:left="1338" w:hanging="217"/>
      </w:pPr>
      <w:rPr>
        <w:rFonts w:hint="default"/>
        <w:lang w:val="en-GB" w:eastAsia="en-GB" w:bidi="en-GB"/>
      </w:rPr>
    </w:lvl>
    <w:lvl w:ilvl="7" w:tplc="A4723BBC">
      <w:numFmt w:val="bullet"/>
      <w:lvlText w:val="•"/>
      <w:lvlJc w:val="left"/>
      <w:pPr>
        <w:ind w:left="1511" w:hanging="217"/>
      </w:pPr>
      <w:rPr>
        <w:rFonts w:hint="default"/>
        <w:lang w:val="en-GB" w:eastAsia="en-GB" w:bidi="en-GB"/>
      </w:rPr>
    </w:lvl>
    <w:lvl w:ilvl="8" w:tplc="04D8500E">
      <w:numFmt w:val="bullet"/>
      <w:lvlText w:val="•"/>
      <w:lvlJc w:val="left"/>
      <w:pPr>
        <w:ind w:left="1684" w:hanging="217"/>
      </w:pPr>
      <w:rPr>
        <w:rFonts w:hint="default"/>
        <w:lang w:val="en-GB" w:eastAsia="en-GB" w:bidi="en-GB"/>
      </w:rPr>
    </w:lvl>
  </w:abstractNum>
  <w:abstractNum w:abstractNumId="735" w15:restartNumberingAfterBreak="0">
    <w:nsid w:val="45714F72"/>
    <w:multiLevelType w:val="hybridMultilevel"/>
    <w:tmpl w:val="30463914"/>
    <w:lvl w:ilvl="0" w:tplc="01F0D04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6A62A6C">
      <w:numFmt w:val="bullet"/>
      <w:lvlText w:val="•"/>
      <w:lvlJc w:val="left"/>
      <w:pPr>
        <w:ind w:left="473" w:hanging="217"/>
      </w:pPr>
      <w:rPr>
        <w:rFonts w:hint="default"/>
        <w:lang w:val="en-GB" w:eastAsia="en-GB" w:bidi="en-GB"/>
      </w:rPr>
    </w:lvl>
    <w:lvl w:ilvl="2" w:tplc="DAF0D8A4">
      <w:numFmt w:val="bullet"/>
      <w:lvlText w:val="•"/>
      <w:lvlJc w:val="left"/>
      <w:pPr>
        <w:ind w:left="646" w:hanging="217"/>
      </w:pPr>
      <w:rPr>
        <w:rFonts w:hint="default"/>
        <w:lang w:val="en-GB" w:eastAsia="en-GB" w:bidi="en-GB"/>
      </w:rPr>
    </w:lvl>
    <w:lvl w:ilvl="3" w:tplc="CC72A934">
      <w:numFmt w:val="bullet"/>
      <w:lvlText w:val="•"/>
      <w:lvlJc w:val="left"/>
      <w:pPr>
        <w:ind w:left="819" w:hanging="217"/>
      </w:pPr>
      <w:rPr>
        <w:rFonts w:hint="default"/>
        <w:lang w:val="en-GB" w:eastAsia="en-GB" w:bidi="en-GB"/>
      </w:rPr>
    </w:lvl>
    <w:lvl w:ilvl="4" w:tplc="A008F386">
      <w:numFmt w:val="bullet"/>
      <w:lvlText w:val="•"/>
      <w:lvlJc w:val="left"/>
      <w:pPr>
        <w:ind w:left="992" w:hanging="217"/>
      </w:pPr>
      <w:rPr>
        <w:rFonts w:hint="default"/>
        <w:lang w:val="en-GB" w:eastAsia="en-GB" w:bidi="en-GB"/>
      </w:rPr>
    </w:lvl>
    <w:lvl w:ilvl="5" w:tplc="121632F2">
      <w:numFmt w:val="bullet"/>
      <w:lvlText w:val="•"/>
      <w:lvlJc w:val="left"/>
      <w:pPr>
        <w:ind w:left="1165" w:hanging="217"/>
      </w:pPr>
      <w:rPr>
        <w:rFonts w:hint="default"/>
        <w:lang w:val="en-GB" w:eastAsia="en-GB" w:bidi="en-GB"/>
      </w:rPr>
    </w:lvl>
    <w:lvl w:ilvl="6" w:tplc="BE5A10B0">
      <w:numFmt w:val="bullet"/>
      <w:lvlText w:val="•"/>
      <w:lvlJc w:val="left"/>
      <w:pPr>
        <w:ind w:left="1338" w:hanging="217"/>
      </w:pPr>
      <w:rPr>
        <w:rFonts w:hint="default"/>
        <w:lang w:val="en-GB" w:eastAsia="en-GB" w:bidi="en-GB"/>
      </w:rPr>
    </w:lvl>
    <w:lvl w:ilvl="7" w:tplc="8710DA82">
      <w:numFmt w:val="bullet"/>
      <w:lvlText w:val="•"/>
      <w:lvlJc w:val="left"/>
      <w:pPr>
        <w:ind w:left="1511" w:hanging="217"/>
      </w:pPr>
      <w:rPr>
        <w:rFonts w:hint="default"/>
        <w:lang w:val="en-GB" w:eastAsia="en-GB" w:bidi="en-GB"/>
      </w:rPr>
    </w:lvl>
    <w:lvl w:ilvl="8" w:tplc="59DA5A9E">
      <w:numFmt w:val="bullet"/>
      <w:lvlText w:val="•"/>
      <w:lvlJc w:val="left"/>
      <w:pPr>
        <w:ind w:left="1684" w:hanging="217"/>
      </w:pPr>
      <w:rPr>
        <w:rFonts w:hint="default"/>
        <w:lang w:val="en-GB" w:eastAsia="en-GB" w:bidi="en-GB"/>
      </w:rPr>
    </w:lvl>
  </w:abstractNum>
  <w:abstractNum w:abstractNumId="736" w15:restartNumberingAfterBreak="0">
    <w:nsid w:val="459645A4"/>
    <w:multiLevelType w:val="hybridMultilevel"/>
    <w:tmpl w:val="D356090C"/>
    <w:lvl w:ilvl="0" w:tplc="860A9AC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2AAC0DA">
      <w:numFmt w:val="bullet"/>
      <w:lvlText w:val="•"/>
      <w:lvlJc w:val="left"/>
      <w:pPr>
        <w:ind w:left="544" w:hanging="217"/>
      </w:pPr>
      <w:rPr>
        <w:rFonts w:hint="default"/>
        <w:lang w:val="en-GB" w:eastAsia="en-GB" w:bidi="en-GB"/>
      </w:rPr>
    </w:lvl>
    <w:lvl w:ilvl="2" w:tplc="F6407A68">
      <w:numFmt w:val="bullet"/>
      <w:lvlText w:val="•"/>
      <w:lvlJc w:val="left"/>
      <w:pPr>
        <w:ind w:left="788" w:hanging="217"/>
      </w:pPr>
      <w:rPr>
        <w:rFonts w:hint="default"/>
        <w:lang w:val="en-GB" w:eastAsia="en-GB" w:bidi="en-GB"/>
      </w:rPr>
    </w:lvl>
    <w:lvl w:ilvl="3" w:tplc="4CC81E16">
      <w:numFmt w:val="bullet"/>
      <w:lvlText w:val="•"/>
      <w:lvlJc w:val="left"/>
      <w:pPr>
        <w:ind w:left="1032" w:hanging="217"/>
      </w:pPr>
      <w:rPr>
        <w:rFonts w:hint="default"/>
        <w:lang w:val="en-GB" w:eastAsia="en-GB" w:bidi="en-GB"/>
      </w:rPr>
    </w:lvl>
    <w:lvl w:ilvl="4" w:tplc="953C8EEA">
      <w:numFmt w:val="bullet"/>
      <w:lvlText w:val="•"/>
      <w:lvlJc w:val="left"/>
      <w:pPr>
        <w:ind w:left="1276" w:hanging="217"/>
      </w:pPr>
      <w:rPr>
        <w:rFonts w:hint="default"/>
        <w:lang w:val="en-GB" w:eastAsia="en-GB" w:bidi="en-GB"/>
      </w:rPr>
    </w:lvl>
    <w:lvl w:ilvl="5" w:tplc="3D86A018">
      <w:numFmt w:val="bullet"/>
      <w:lvlText w:val="•"/>
      <w:lvlJc w:val="left"/>
      <w:pPr>
        <w:ind w:left="1520" w:hanging="217"/>
      </w:pPr>
      <w:rPr>
        <w:rFonts w:hint="default"/>
        <w:lang w:val="en-GB" w:eastAsia="en-GB" w:bidi="en-GB"/>
      </w:rPr>
    </w:lvl>
    <w:lvl w:ilvl="6" w:tplc="6A280C64">
      <w:numFmt w:val="bullet"/>
      <w:lvlText w:val="•"/>
      <w:lvlJc w:val="left"/>
      <w:pPr>
        <w:ind w:left="1764" w:hanging="217"/>
      </w:pPr>
      <w:rPr>
        <w:rFonts w:hint="default"/>
        <w:lang w:val="en-GB" w:eastAsia="en-GB" w:bidi="en-GB"/>
      </w:rPr>
    </w:lvl>
    <w:lvl w:ilvl="7" w:tplc="BFF47FE8">
      <w:numFmt w:val="bullet"/>
      <w:lvlText w:val="•"/>
      <w:lvlJc w:val="left"/>
      <w:pPr>
        <w:ind w:left="2008" w:hanging="217"/>
      </w:pPr>
      <w:rPr>
        <w:rFonts w:hint="default"/>
        <w:lang w:val="en-GB" w:eastAsia="en-GB" w:bidi="en-GB"/>
      </w:rPr>
    </w:lvl>
    <w:lvl w:ilvl="8" w:tplc="4AA8A27E">
      <w:numFmt w:val="bullet"/>
      <w:lvlText w:val="•"/>
      <w:lvlJc w:val="left"/>
      <w:pPr>
        <w:ind w:left="2252" w:hanging="217"/>
      </w:pPr>
      <w:rPr>
        <w:rFonts w:hint="default"/>
        <w:lang w:val="en-GB" w:eastAsia="en-GB" w:bidi="en-GB"/>
      </w:rPr>
    </w:lvl>
  </w:abstractNum>
  <w:abstractNum w:abstractNumId="737" w15:restartNumberingAfterBreak="0">
    <w:nsid w:val="45AC0AFC"/>
    <w:multiLevelType w:val="hybridMultilevel"/>
    <w:tmpl w:val="1676001A"/>
    <w:lvl w:ilvl="0" w:tplc="4F3077B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1BEEF6EE">
      <w:numFmt w:val="bullet"/>
      <w:lvlText w:val="•"/>
      <w:lvlJc w:val="left"/>
      <w:pPr>
        <w:ind w:left="473" w:hanging="217"/>
      </w:pPr>
      <w:rPr>
        <w:rFonts w:hint="default"/>
        <w:lang w:val="en-GB" w:eastAsia="en-GB" w:bidi="en-GB"/>
      </w:rPr>
    </w:lvl>
    <w:lvl w:ilvl="2" w:tplc="CAB2A424">
      <w:numFmt w:val="bullet"/>
      <w:lvlText w:val="•"/>
      <w:lvlJc w:val="left"/>
      <w:pPr>
        <w:ind w:left="646" w:hanging="217"/>
      </w:pPr>
      <w:rPr>
        <w:rFonts w:hint="default"/>
        <w:lang w:val="en-GB" w:eastAsia="en-GB" w:bidi="en-GB"/>
      </w:rPr>
    </w:lvl>
    <w:lvl w:ilvl="3" w:tplc="62248316">
      <w:numFmt w:val="bullet"/>
      <w:lvlText w:val="•"/>
      <w:lvlJc w:val="left"/>
      <w:pPr>
        <w:ind w:left="819" w:hanging="217"/>
      </w:pPr>
      <w:rPr>
        <w:rFonts w:hint="default"/>
        <w:lang w:val="en-GB" w:eastAsia="en-GB" w:bidi="en-GB"/>
      </w:rPr>
    </w:lvl>
    <w:lvl w:ilvl="4" w:tplc="7E307770">
      <w:numFmt w:val="bullet"/>
      <w:lvlText w:val="•"/>
      <w:lvlJc w:val="left"/>
      <w:pPr>
        <w:ind w:left="992" w:hanging="217"/>
      </w:pPr>
      <w:rPr>
        <w:rFonts w:hint="default"/>
        <w:lang w:val="en-GB" w:eastAsia="en-GB" w:bidi="en-GB"/>
      </w:rPr>
    </w:lvl>
    <w:lvl w:ilvl="5" w:tplc="A8B8181E">
      <w:numFmt w:val="bullet"/>
      <w:lvlText w:val="•"/>
      <w:lvlJc w:val="left"/>
      <w:pPr>
        <w:ind w:left="1165" w:hanging="217"/>
      </w:pPr>
      <w:rPr>
        <w:rFonts w:hint="default"/>
        <w:lang w:val="en-GB" w:eastAsia="en-GB" w:bidi="en-GB"/>
      </w:rPr>
    </w:lvl>
    <w:lvl w:ilvl="6" w:tplc="7E96CECC">
      <w:numFmt w:val="bullet"/>
      <w:lvlText w:val="•"/>
      <w:lvlJc w:val="left"/>
      <w:pPr>
        <w:ind w:left="1338" w:hanging="217"/>
      </w:pPr>
      <w:rPr>
        <w:rFonts w:hint="default"/>
        <w:lang w:val="en-GB" w:eastAsia="en-GB" w:bidi="en-GB"/>
      </w:rPr>
    </w:lvl>
    <w:lvl w:ilvl="7" w:tplc="276486D6">
      <w:numFmt w:val="bullet"/>
      <w:lvlText w:val="•"/>
      <w:lvlJc w:val="left"/>
      <w:pPr>
        <w:ind w:left="1511" w:hanging="217"/>
      </w:pPr>
      <w:rPr>
        <w:rFonts w:hint="default"/>
        <w:lang w:val="en-GB" w:eastAsia="en-GB" w:bidi="en-GB"/>
      </w:rPr>
    </w:lvl>
    <w:lvl w:ilvl="8" w:tplc="46BE7E62">
      <w:numFmt w:val="bullet"/>
      <w:lvlText w:val="•"/>
      <w:lvlJc w:val="left"/>
      <w:pPr>
        <w:ind w:left="1684" w:hanging="217"/>
      </w:pPr>
      <w:rPr>
        <w:rFonts w:hint="default"/>
        <w:lang w:val="en-GB" w:eastAsia="en-GB" w:bidi="en-GB"/>
      </w:rPr>
    </w:lvl>
  </w:abstractNum>
  <w:abstractNum w:abstractNumId="738" w15:restartNumberingAfterBreak="0">
    <w:nsid w:val="45B27CDD"/>
    <w:multiLevelType w:val="hybridMultilevel"/>
    <w:tmpl w:val="DE227116"/>
    <w:lvl w:ilvl="0" w:tplc="D24E940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134A33C">
      <w:numFmt w:val="bullet"/>
      <w:lvlText w:val="•"/>
      <w:lvlJc w:val="left"/>
      <w:pPr>
        <w:ind w:left="1061" w:hanging="217"/>
      </w:pPr>
      <w:rPr>
        <w:rFonts w:hint="default"/>
        <w:lang w:val="en-GB" w:eastAsia="en-GB" w:bidi="en-GB"/>
      </w:rPr>
    </w:lvl>
    <w:lvl w:ilvl="2" w:tplc="E14A6378">
      <w:numFmt w:val="bullet"/>
      <w:lvlText w:val="•"/>
      <w:lvlJc w:val="left"/>
      <w:pPr>
        <w:ind w:left="1823" w:hanging="217"/>
      </w:pPr>
      <w:rPr>
        <w:rFonts w:hint="default"/>
        <w:lang w:val="en-GB" w:eastAsia="en-GB" w:bidi="en-GB"/>
      </w:rPr>
    </w:lvl>
    <w:lvl w:ilvl="3" w:tplc="6B30A200">
      <w:numFmt w:val="bullet"/>
      <w:lvlText w:val="•"/>
      <w:lvlJc w:val="left"/>
      <w:pPr>
        <w:ind w:left="2585" w:hanging="217"/>
      </w:pPr>
      <w:rPr>
        <w:rFonts w:hint="default"/>
        <w:lang w:val="en-GB" w:eastAsia="en-GB" w:bidi="en-GB"/>
      </w:rPr>
    </w:lvl>
    <w:lvl w:ilvl="4" w:tplc="65329304">
      <w:numFmt w:val="bullet"/>
      <w:lvlText w:val="•"/>
      <w:lvlJc w:val="left"/>
      <w:pPr>
        <w:ind w:left="3346" w:hanging="217"/>
      </w:pPr>
      <w:rPr>
        <w:rFonts w:hint="default"/>
        <w:lang w:val="en-GB" w:eastAsia="en-GB" w:bidi="en-GB"/>
      </w:rPr>
    </w:lvl>
    <w:lvl w:ilvl="5" w:tplc="99B89D80">
      <w:numFmt w:val="bullet"/>
      <w:lvlText w:val="•"/>
      <w:lvlJc w:val="left"/>
      <w:pPr>
        <w:ind w:left="4108" w:hanging="217"/>
      </w:pPr>
      <w:rPr>
        <w:rFonts w:hint="default"/>
        <w:lang w:val="en-GB" w:eastAsia="en-GB" w:bidi="en-GB"/>
      </w:rPr>
    </w:lvl>
    <w:lvl w:ilvl="6" w:tplc="C3DEB76A">
      <w:numFmt w:val="bullet"/>
      <w:lvlText w:val="•"/>
      <w:lvlJc w:val="left"/>
      <w:pPr>
        <w:ind w:left="4870" w:hanging="217"/>
      </w:pPr>
      <w:rPr>
        <w:rFonts w:hint="default"/>
        <w:lang w:val="en-GB" w:eastAsia="en-GB" w:bidi="en-GB"/>
      </w:rPr>
    </w:lvl>
    <w:lvl w:ilvl="7" w:tplc="11149ED6">
      <w:numFmt w:val="bullet"/>
      <w:lvlText w:val="•"/>
      <w:lvlJc w:val="left"/>
      <w:pPr>
        <w:ind w:left="5631" w:hanging="217"/>
      </w:pPr>
      <w:rPr>
        <w:rFonts w:hint="default"/>
        <w:lang w:val="en-GB" w:eastAsia="en-GB" w:bidi="en-GB"/>
      </w:rPr>
    </w:lvl>
    <w:lvl w:ilvl="8" w:tplc="0F1AA91A">
      <w:numFmt w:val="bullet"/>
      <w:lvlText w:val="•"/>
      <w:lvlJc w:val="left"/>
      <w:pPr>
        <w:ind w:left="6393" w:hanging="217"/>
      </w:pPr>
      <w:rPr>
        <w:rFonts w:hint="default"/>
        <w:lang w:val="en-GB" w:eastAsia="en-GB" w:bidi="en-GB"/>
      </w:rPr>
    </w:lvl>
  </w:abstractNum>
  <w:abstractNum w:abstractNumId="739" w15:restartNumberingAfterBreak="0">
    <w:nsid w:val="45C5648B"/>
    <w:multiLevelType w:val="hybridMultilevel"/>
    <w:tmpl w:val="01465884"/>
    <w:lvl w:ilvl="0" w:tplc="4E7C685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5C466E1E">
      <w:numFmt w:val="bullet"/>
      <w:lvlText w:val="•"/>
      <w:lvlJc w:val="left"/>
      <w:pPr>
        <w:ind w:left="677" w:hanging="217"/>
      </w:pPr>
      <w:rPr>
        <w:rFonts w:hint="default"/>
        <w:lang w:val="en-GB" w:eastAsia="en-GB" w:bidi="en-GB"/>
      </w:rPr>
    </w:lvl>
    <w:lvl w:ilvl="2" w:tplc="0DA25FBC">
      <w:numFmt w:val="bullet"/>
      <w:lvlText w:val="•"/>
      <w:lvlJc w:val="left"/>
      <w:pPr>
        <w:ind w:left="1054" w:hanging="217"/>
      </w:pPr>
      <w:rPr>
        <w:rFonts w:hint="default"/>
        <w:lang w:val="en-GB" w:eastAsia="en-GB" w:bidi="en-GB"/>
      </w:rPr>
    </w:lvl>
    <w:lvl w:ilvl="3" w:tplc="225EB8EA">
      <w:numFmt w:val="bullet"/>
      <w:lvlText w:val="•"/>
      <w:lvlJc w:val="left"/>
      <w:pPr>
        <w:ind w:left="1431" w:hanging="217"/>
      </w:pPr>
      <w:rPr>
        <w:rFonts w:hint="default"/>
        <w:lang w:val="en-GB" w:eastAsia="en-GB" w:bidi="en-GB"/>
      </w:rPr>
    </w:lvl>
    <w:lvl w:ilvl="4" w:tplc="80F4B0E8">
      <w:numFmt w:val="bullet"/>
      <w:lvlText w:val="•"/>
      <w:lvlJc w:val="left"/>
      <w:pPr>
        <w:ind w:left="1808" w:hanging="217"/>
      </w:pPr>
      <w:rPr>
        <w:rFonts w:hint="default"/>
        <w:lang w:val="en-GB" w:eastAsia="en-GB" w:bidi="en-GB"/>
      </w:rPr>
    </w:lvl>
    <w:lvl w:ilvl="5" w:tplc="52A86DB6">
      <w:numFmt w:val="bullet"/>
      <w:lvlText w:val="•"/>
      <w:lvlJc w:val="left"/>
      <w:pPr>
        <w:ind w:left="2186" w:hanging="217"/>
      </w:pPr>
      <w:rPr>
        <w:rFonts w:hint="default"/>
        <w:lang w:val="en-GB" w:eastAsia="en-GB" w:bidi="en-GB"/>
      </w:rPr>
    </w:lvl>
    <w:lvl w:ilvl="6" w:tplc="3F76EB46">
      <w:numFmt w:val="bullet"/>
      <w:lvlText w:val="•"/>
      <w:lvlJc w:val="left"/>
      <w:pPr>
        <w:ind w:left="2563" w:hanging="217"/>
      </w:pPr>
      <w:rPr>
        <w:rFonts w:hint="default"/>
        <w:lang w:val="en-GB" w:eastAsia="en-GB" w:bidi="en-GB"/>
      </w:rPr>
    </w:lvl>
    <w:lvl w:ilvl="7" w:tplc="7B028758">
      <w:numFmt w:val="bullet"/>
      <w:lvlText w:val="•"/>
      <w:lvlJc w:val="left"/>
      <w:pPr>
        <w:ind w:left="2940" w:hanging="217"/>
      </w:pPr>
      <w:rPr>
        <w:rFonts w:hint="default"/>
        <w:lang w:val="en-GB" w:eastAsia="en-GB" w:bidi="en-GB"/>
      </w:rPr>
    </w:lvl>
    <w:lvl w:ilvl="8" w:tplc="A71425A6">
      <w:numFmt w:val="bullet"/>
      <w:lvlText w:val="•"/>
      <w:lvlJc w:val="left"/>
      <w:pPr>
        <w:ind w:left="3317" w:hanging="217"/>
      </w:pPr>
      <w:rPr>
        <w:rFonts w:hint="default"/>
        <w:lang w:val="en-GB" w:eastAsia="en-GB" w:bidi="en-GB"/>
      </w:rPr>
    </w:lvl>
  </w:abstractNum>
  <w:abstractNum w:abstractNumId="740" w15:restartNumberingAfterBreak="0">
    <w:nsid w:val="45C854CC"/>
    <w:multiLevelType w:val="hybridMultilevel"/>
    <w:tmpl w:val="D9B0C708"/>
    <w:lvl w:ilvl="0" w:tplc="3558E8F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3746C248">
      <w:numFmt w:val="bullet"/>
      <w:lvlText w:val="•"/>
      <w:lvlJc w:val="left"/>
      <w:pPr>
        <w:ind w:left="892" w:hanging="217"/>
      </w:pPr>
      <w:rPr>
        <w:rFonts w:hint="default"/>
        <w:lang w:val="en-GB" w:eastAsia="en-GB" w:bidi="en-GB"/>
      </w:rPr>
    </w:lvl>
    <w:lvl w:ilvl="2" w:tplc="FD0EC670">
      <w:numFmt w:val="bullet"/>
      <w:lvlText w:val="•"/>
      <w:lvlJc w:val="left"/>
      <w:pPr>
        <w:ind w:left="1485" w:hanging="217"/>
      </w:pPr>
      <w:rPr>
        <w:rFonts w:hint="default"/>
        <w:lang w:val="en-GB" w:eastAsia="en-GB" w:bidi="en-GB"/>
      </w:rPr>
    </w:lvl>
    <w:lvl w:ilvl="3" w:tplc="33B28442">
      <w:numFmt w:val="bullet"/>
      <w:lvlText w:val="•"/>
      <w:lvlJc w:val="left"/>
      <w:pPr>
        <w:ind w:left="2077" w:hanging="217"/>
      </w:pPr>
      <w:rPr>
        <w:rFonts w:hint="default"/>
        <w:lang w:val="en-GB" w:eastAsia="en-GB" w:bidi="en-GB"/>
      </w:rPr>
    </w:lvl>
    <w:lvl w:ilvl="4" w:tplc="3EAA8600">
      <w:numFmt w:val="bullet"/>
      <w:lvlText w:val="•"/>
      <w:lvlJc w:val="left"/>
      <w:pPr>
        <w:ind w:left="2670" w:hanging="217"/>
      </w:pPr>
      <w:rPr>
        <w:rFonts w:hint="default"/>
        <w:lang w:val="en-GB" w:eastAsia="en-GB" w:bidi="en-GB"/>
      </w:rPr>
    </w:lvl>
    <w:lvl w:ilvl="5" w:tplc="4B4AE4B6">
      <w:numFmt w:val="bullet"/>
      <w:lvlText w:val="•"/>
      <w:lvlJc w:val="left"/>
      <w:pPr>
        <w:ind w:left="3263" w:hanging="217"/>
      </w:pPr>
      <w:rPr>
        <w:rFonts w:hint="default"/>
        <w:lang w:val="en-GB" w:eastAsia="en-GB" w:bidi="en-GB"/>
      </w:rPr>
    </w:lvl>
    <w:lvl w:ilvl="6" w:tplc="96DA9A5E">
      <w:numFmt w:val="bullet"/>
      <w:lvlText w:val="•"/>
      <w:lvlJc w:val="left"/>
      <w:pPr>
        <w:ind w:left="3855" w:hanging="217"/>
      </w:pPr>
      <w:rPr>
        <w:rFonts w:hint="default"/>
        <w:lang w:val="en-GB" w:eastAsia="en-GB" w:bidi="en-GB"/>
      </w:rPr>
    </w:lvl>
    <w:lvl w:ilvl="7" w:tplc="B5F87AE2">
      <w:numFmt w:val="bullet"/>
      <w:lvlText w:val="•"/>
      <w:lvlJc w:val="left"/>
      <w:pPr>
        <w:ind w:left="4448" w:hanging="217"/>
      </w:pPr>
      <w:rPr>
        <w:rFonts w:hint="default"/>
        <w:lang w:val="en-GB" w:eastAsia="en-GB" w:bidi="en-GB"/>
      </w:rPr>
    </w:lvl>
    <w:lvl w:ilvl="8" w:tplc="91C6FEC2">
      <w:numFmt w:val="bullet"/>
      <w:lvlText w:val="•"/>
      <w:lvlJc w:val="left"/>
      <w:pPr>
        <w:ind w:left="5040" w:hanging="217"/>
      </w:pPr>
      <w:rPr>
        <w:rFonts w:hint="default"/>
        <w:lang w:val="en-GB" w:eastAsia="en-GB" w:bidi="en-GB"/>
      </w:rPr>
    </w:lvl>
  </w:abstractNum>
  <w:abstractNum w:abstractNumId="741" w15:restartNumberingAfterBreak="0">
    <w:nsid w:val="45C9740B"/>
    <w:multiLevelType w:val="hybridMultilevel"/>
    <w:tmpl w:val="50C647D2"/>
    <w:lvl w:ilvl="0" w:tplc="962ED6F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B000B46">
      <w:numFmt w:val="bullet"/>
      <w:lvlText w:val="•"/>
      <w:lvlJc w:val="left"/>
      <w:pPr>
        <w:ind w:left="473" w:hanging="217"/>
      </w:pPr>
      <w:rPr>
        <w:rFonts w:hint="default"/>
        <w:lang w:val="en-GB" w:eastAsia="en-GB" w:bidi="en-GB"/>
      </w:rPr>
    </w:lvl>
    <w:lvl w:ilvl="2" w:tplc="E1CC1218">
      <w:numFmt w:val="bullet"/>
      <w:lvlText w:val="•"/>
      <w:lvlJc w:val="left"/>
      <w:pPr>
        <w:ind w:left="646" w:hanging="217"/>
      </w:pPr>
      <w:rPr>
        <w:rFonts w:hint="default"/>
        <w:lang w:val="en-GB" w:eastAsia="en-GB" w:bidi="en-GB"/>
      </w:rPr>
    </w:lvl>
    <w:lvl w:ilvl="3" w:tplc="6F9AC1A4">
      <w:numFmt w:val="bullet"/>
      <w:lvlText w:val="•"/>
      <w:lvlJc w:val="left"/>
      <w:pPr>
        <w:ind w:left="819" w:hanging="217"/>
      </w:pPr>
      <w:rPr>
        <w:rFonts w:hint="default"/>
        <w:lang w:val="en-GB" w:eastAsia="en-GB" w:bidi="en-GB"/>
      </w:rPr>
    </w:lvl>
    <w:lvl w:ilvl="4" w:tplc="5C9C3E10">
      <w:numFmt w:val="bullet"/>
      <w:lvlText w:val="•"/>
      <w:lvlJc w:val="left"/>
      <w:pPr>
        <w:ind w:left="992" w:hanging="217"/>
      </w:pPr>
      <w:rPr>
        <w:rFonts w:hint="default"/>
        <w:lang w:val="en-GB" w:eastAsia="en-GB" w:bidi="en-GB"/>
      </w:rPr>
    </w:lvl>
    <w:lvl w:ilvl="5" w:tplc="6568AE10">
      <w:numFmt w:val="bullet"/>
      <w:lvlText w:val="•"/>
      <w:lvlJc w:val="left"/>
      <w:pPr>
        <w:ind w:left="1165" w:hanging="217"/>
      </w:pPr>
      <w:rPr>
        <w:rFonts w:hint="default"/>
        <w:lang w:val="en-GB" w:eastAsia="en-GB" w:bidi="en-GB"/>
      </w:rPr>
    </w:lvl>
    <w:lvl w:ilvl="6" w:tplc="15A6F694">
      <w:numFmt w:val="bullet"/>
      <w:lvlText w:val="•"/>
      <w:lvlJc w:val="left"/>
      <w:pPr>
        <w:ind w:left="1338" w:hanging="217"/>
      </w:pPr>
      <w:rPr>
        <w:rFonts w:hint="default"/>
        <w:lang w:val="en-GB" w:eastAsia="en-GB" w:bidi="en-GB"/>
      </w:rPr>
    </w:lvl>
    <w:lvl w:ilvl="7" w:tplc="4CE68048">
      <w:numFmt w:val="bullet"/>
      <w:lvlText w:val="•"/>
      <w:lvlJc w:val="left"/>
      <w:pPr>
        <w:ind w:left="1511" w:hanging="217"/>
      </w:pPr>
      <w:rPr>
        <w:rFonts w:hint="default"/>
        <w:lang w:val="en-GB" w:eastAsia="en-GB" w:bidi="en-GB"/>
      </w:rPr>
    </w:lvl>
    <w:lvl w:ilvl="8" w:tplc="E5A467D6">
      <w:numFmt w:val="bullet"/>
      <w:lvlText w:val="•"/>
      <w:lvlJc w:val="left"/>
      <w:pPr>
        <w:ind w:left="1684" w:hanging="217"/>
      </w:pPr>
      <w:rPr>
        <w:rFonts w:hint="default"/>
        <w:lang w:val="en-GB" w:eastAsia="en-GB" w:bidi="en-GB"/>
      </w:rPr>
    </w:lvl>
  </w:abstractNum>
  <w:abstractNum w:abstractNumId="742" w15:restartNumberingAfterBreak="0">
    <w:nsid w:val="45CC67E5"/>
    <w:multiLevelType w:val="hybridMultilevel"/>
    <w:tmpl w:val="01F2E676"/>
    <w:lvl w:ilvl="0" w:tplc="C6008054">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9F782498">
      <w:numFmt w:val="bullet"/>
      <w:lvlText w:val="•"/>
      <w:lvlJc w:val="left"/>
      <w:pPr>
        <w:ind w:left="473" w:hanging="217"/>
      </w:pPr>
      <w:rPr>
        <w:rFonts w:hint="default"/>
        <w:lang w:val="en-GB" w:eastAsia="en-GB" w:bidi="en-GB"/>
      </w:rPr>
    </w:lvl>
    <w:lvl w:ilvl="2" w:tplc="22F8C4D2">
      <w:numFmt w:val="bullet"/>
      <w:lvlText w:val="•"/>
      <w:lvlJc w:val="left"/>
      <w:pPr>
        <w:ind w:left="646" w:hanging="217"/>
      </w:pPr>
      <w:rPr>
        <w:rFonts w:hint="default"/>
        <w:lang w:val="en-GB" w:eastAsia="en-GB" w:bidi="en-GB"/>
      </w:rPr>
    </w:lvl>
    <w:lvl w:ilvl="3" w:tplc="2D380C72">
      <w:numFmt w:val="bullet"/>
      <w:lvlText w:val="•"/>
      <w:lvlJc w:val="left"/>
      <w:pPr>
        <w:ind w:left="819" w:hanging="217"/>
      </w:pPr>
      <w:rPr>
        <w:rFonts w:hint="default"/>
        <w:lang w:val="en-GB" w:eastAsia="en-GB" w:bidi="en-GB"/>
      </w:rPr>
    </w:lvl>
    <w:lvl w:ilvl="4" w:tplc="E820BAD4">
      <w:numFmt w:val="bullet"/>
      <w:lvlText w:val="•"/>
      <w:lvlJc w:val="left"/>
      <w:pPr>
        <w:ind w:left="992" w:hanging="217"/>
      </w:pPr>
      <w:rPr>
        <w:rFonts w:hint="default"/>
        <w:lang w:val="en-GB" w:eastAsia="en-GB" w:bidi="en-GB"/>
      </w:rPr>
    </w:lvl>
    <w:lvl w:ilvl="5" w:tplc="EA1CE02E">
      <w:numFmt w:val="bullet"/>
      <w:lvlText w:val="•"/>
      <w:lvlJc w:val="left"/>
      <w:pPr>
        <w:ind w:left="1165" w:hanging="217"/>
      </w:pPr>
      <w:rPr>
        <w:rFonts w:hint="default"/>
        <w:lang w:val="en-GB" w:eastAsia="en-GB" w:bidi="en-GB"/>
      </w:rPr>
    </w:lvl>
    <w:lvl w:ilvl="6" w:tplc="D5F6D1C2">
      <w:numFmt w:val="bullet"/>
      <w:lvlText w:val="•"/>
      <w:lvlJc w:val="left"/>
      <w:pPr>
        <w:ind w:left="1338" w:hanging="217"/>
      </w:pPr>
      <w:rPr>
        <w:rFonts w:hint="default"/>
        <w:lang w:val="en-GB" w:eastAsia="en-GB" w:bidi="en-GB"/>
      </w:rPr>
    </w:lvl>
    <w:lvl w:ilvl="7" w:tplc="75083C86">
      <w:numFmt w:val="bullet"/>
      <w:lvlText w:val="•"/>
      <w:lvlJc w:val="left"/>
      <w:pPr>
        <w:ind w:left="1511" w:hanging="217"/>
      </w:pPr>
      <w:rPr>
        <w:rFonts w:hint="default"/>
        <w:lang w:val="en-GB" w:eastAsia="en-GB" w:bidi="en-GB"/>
      </w:rPr>
    </w:lvl>
    <w:lvl w:ilvl="8" w:tplc="4E3818F8">
      <w:numFmt w:val="bullet"/>
      <w:lvlText w:val="•"/>
      <w:lvlJc w:val="left"/>
      <w:pPr>
        <w:ind w:left="1684" w:hanging="217"/>
      </w:pPr>
      <w:rPr>
        <w:rFonts w:hint="default"/>
        <w:lang w:val="en-GB" w:eastAsia="en-GB" w:bidi="en-GB"/>
      </w:rPr>
    </w:lvl>
  </w:abstractNum>
  <w:abstractNum w:abstractNumId="743" w15:restartNumberingAfterBreak="0">
    <w:nsid w:val="45F3354F"/>
    <w:multiLevelType w:val="hybridMultilevel"/>
    <w:tmpl w:val="D18A22D4"/>
    <w:lvl w:ilvl="0" w:tplc="70F86B94">
      <w:numFmt w:val="bullet"/>
      <w:lvlText w:val="•"/>
      <w:lvlJc w:val="left"/>
      <w:pPr>
        <w:ind w:left="276" w:hanging="217"/>
      </w:pPr>
      <w:rPr>
        <w:rFonts w:ascii="Arial" w:eastAsia="Arial" w:hAnsi="Arial" w:cs="Arial" w:hint="default"/>
        <w:color w:val="231F20"/>
        <w:w w:val="97"/>
        <w:sz w:val="16"/>
        <w:szCs w:val="16"/>
        <w:lang w:val="en-GB" w:eastAsia="en-GB" w:bidi="en-GB"/>
      </w:rPr>
    </w:lvl>
    <w:lvl w:ilvl="1" w:tplc="69E620B8">
      <w:numFmt w:val="bullet"/>
      <w:lvlText w:val="•"/>
      <w:lvlJc w:val="left"/>
      <w:pPr>
        <w:ind w:left="381" w:hanging="217"/>
      </w:pPr>
      <w:rPr>
        <w:rFonts w:hint="default"/>
        <w:lang w:val="en-GB" w:eastAsia="en-GB" w:bidi="en-GB"/>
      </w:rPr>
    </w:lvl>
    <w:lvl w:ilvl="2" w:tplc="9B82665E">
      <w:numFmt w:val="bullet"/>
      <w:lvlText w:val="•"/>
      <w:lvlJc w:val="left"/>
      <w:pPr>
        <w:ind w:left="482" w:hanging="217"/>
      </w:pPr>
      <w:rPr>
        <w:rFonts w:hint="default"/>
        <w:lang w:val="en-GB" w:eastAsia="en-GB" w:bidi="en-GB"/>
      </w:rPr>
    </w:lvl>
    <w:lvl w:ilvl="3" w:tplc="BE08B38A">
      <w:numFmt w:val="bullet"/>
      <w:lvlText w:val="•"/>
      <w:lvlJc w:val="left"/>
      <w:pPr>
        <w:ind w:left="584" w:hanging="217"/>
      </w:pPr>
      <w:rPr>
        <w:rFonts w:hint="default"/>
        <w:lang w:val="en-GB" w:eastAsia="en-GB" w:bidi="en-GB"/>
      </w:rPr>
    </w:lvl>
    <w:lvl w:ilvl="4" w:tplc="3A8ED48A">
      <w:numFmt w:val="bullet"/>
      <w:lvlText w:val="•"/>
      <w:lvlJc w:val="left"/>
      <w:pPr>
        <w:ind w:left="685" w:hanging="217"/>
      </w:pPr>
      <w:rPr>
        <w:rFonts w:hint="default"/>
        <w:lang w:val="en-GB" w:eastAsia="en-GB" w:bidi="en-GB"/>
      </w:rPr>
    </w:lvl>
    <w:lvl w:ilvl="5" w:tplc="411C386E">
      <w:numFmt w:val="bullet"/>
      <w:lvlText w:val="•"/>
      <w:lvlJc w:val="left"/>
      <w:pPr>
        <w:ind w:left="787" w:hanging="217"/>
      </w:pPr>
      <w:rPr>
        <w:rFonts w:hint="default"/>
        <w:lang w:val="en-GB" w:eastAsia="en-GB" w:bidi="en-GB"/>
      </w:rPr>
    </w:lvl>
    <w:lvl w:ilvl="6" w:tplc="29D8CC76">
      <w:numFmt w:val="bullet"/>
      <w:lvlText w:val="•"/>
      <w:lvlJc w:val="left"/>
      <w:pPr>
        <w:ind w:left="888" w:hanging="217"/>
      </w:pPr>
      <w:rPr>
        <w:rFonts w:hint="default"/>
        <w:lang w:val="en-GB" w:eastAsia="en-GB" w:bidi="en-GB"/>
      </w:rPr>
    </w:lvl>
    <w:lvl w:ilvl="7" w:tplc="4F8AD374">
      <w:numFmt w:val="bullet"/>
      <w:lvlText w:val="•"/>
      <w:lvlJc w:val="left"/>
      <w:pPr>
        <w:ind w:left="989" w:hanging="217"/>
      </w:pPr>
      <w:rPr>
        <w:rFonts w:hint="default"/>
        <w:lang w:val="en-GB" w:eastAsia="en-GB" w:bidi="en-GB"/>
      </w:rPr>
    </w:lvl>
    <w:lvl w:ilvl="8" w:tplc="A2D666EC">
      <w:numFmt w:val="bullet"/>
      <w:lvlText w:val="•"/>
      <w:lvlJc w:val="left"/>
      <w:pPr>
        <w:ind w:left="1091" w:hanging="217"/>
      </w:pPr>
      <w:rPr>
        <w:rFonts w:hint="default"/>
        <w:lang w:val="en-GB" w:eastAsia="en-GB" w:bidi="en-GB"/>
      </w:rPr>
    </w:lvl>
  </w:abstractNum>
  <w:abstractNum w:abstractNumId="744" w15:restartNumberingAfterBreak="0">
    <w:nsid w:val="45F86E24"/>
    <w:multiLevelType w:val="hybridMultilevel"/>
    <w:tmpl w:val="67A6AB6E"/>
    <w:lvl w:ilvl="0" w:tplc="3E3ABC0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1EEBD18">
      <w:numFmt w:val="bullet"/>
      <w:lvlText w:val="•"/>
      <w:lvlJc w:val="left"/>
      <w:pPr>
        <w:ind w:left="467" w:hanging="217"/>
      </w:pPr>
      <w:rPr>
        <w:rFonts w:hint="default"/>
        <w:lang w:val="en-GB" w:eastAsia="en-GB" w:bidi="en-GB"/>
      </w:rPr>
    </w:lvl>
    <w:lvl w:ilvl="2" w:tplc="E8CC5846">
      <w:numFmt w:val="bullet"/>
      <w:lvlText w:val="•"/>
      <w:lvlJc w:val="left"/>
      <w:pPr>
        <w:ind w:left="634" w:hanging="217"/>
      </w:pPr>
      <w:rPr>
        <w:rFonts w:hint="default"/>
        <w:lang w:val="en-GB" w:eastAsia="en-GB" w:bidi="en-GB"/>
      </w:rPr>
    </w:lvl>
    <w:lvl w:ilvl="3" w:tplc="C82E108A">
      <w:numFmt w:val="bullet"/>
      <w:lvlText w:val="•"/>
      <w:lvlJc w:val="left"/>
      <w:pPr>
        <w:ind w:left="802" w:hanging="217"/>
      </w:pPr>
      <w:rPr>
        <w:rFonts w:hint="default"/>
        <w:lang w:val="en-GB" w:eastAsia="en-GB" w:bidi="en-GB"/>
      </w:rPr>
    </w:lvl>
    <w:lvl w:ilvl="4" w:tplc="BEEE5EFC">
      <w:numFmt w:val="bullet"/>
      <w:lvlText w:val="•"/>
      <w:lvlJc w:val="left"/>
      <w:pPr>
        <w:ind w:left="969" w:hanging="217"/>
      </w:pPr>
      <w:rPr>
        <w:rFonts w:hint="default"/>
        <w:lang w:val="en-GB" w:eastAsia="en-GB" w:bidi="en-GB"/>
      </w:rPr>
    </w:lvl>
    <w:lvl w:ilvl="5" w:tplc="80CA39AE">
      <w:numFmt w:val="bullet"/>
      <w:lvlText w:val="•"/>
      <w:lvlJc w:val="left"/>
      <w:pPr>
        <w:ind w:left="1137" w:hanging="217"/>
      </w:pPr>
      <w:rPr>
        <w:rFonts w:hint="default"/>
        <w:lang w:val="en-GB" w:eastAsia="en-GB" w:bidi="en-GB"/>
      </w:rPr>
    </w:lvl>
    <w:lvl w:ilvl="6" w:tplc="5972C9DC">
      <w:numFmt w:val="bullet"/>
      <w:lvlText w:val="•"/>
      <w:lvlJc w:val="left"/>
      <w:pPr>
        <w:ind w:left="1304" w:hanging="217"/>
      </w:pPr>
      <w:rPr>
        <w:rFonts w:hint="default"/>
        <w:lang w:val="en-GB" w:eastAsia="en-GB" w:bidi="en-GB"/>
      </w:rPr>
    </w:lvl>
    <w:lvl w:ilvl="7" w:tplc="B53C48A0">
      <w:numFmt w:val="bullet"/>
      <w:lvlText w:val="•"/>
      <w:lvlJc w:val="left"/>
      <w:pPr>
        <w:ind w:left="1471" w:hanging="217"/>
      </w:pPr>
      <w:rPr>
        <w:rFonts w:hint="default"/>
        <w:lang w:val="en-GB" w:eastAsia="en-GB" w:bidi="en-GB"/>
      </w:rPr>
    </w:lvl>
    <w:lvl w:ilvl="8" w:tplc="A9F497B8">
      <w:numFmt w:val="bullet"/>
      <w:lvlText w:val="•"/>
      <w:lvlJc w:val="left"/>
      <w:pPr>
        <w:ind w:left="1639" w:hanging="217"/>
      </w:pPr>
      <w:rPr>
        <w:rFonts w:hint="default"/>
        <w:lang w:val="en-GB" w:eastAsia="en-GB" w:bidi="en-GB"/>
      </w:rPr>
    </w:lvl>
  </w:abstractNum>
  <w:abstractNum w:abstractNumId="745" w15:restartNumberingAfterBreak="0">
    <w:nsid w:val="461F5866"/>
    <w:multiLevelType w:val="hybridMultilevel"/>
    <w:tmpl w:val="1FA2E934"/>
    <w:lvl w:ilvl="0" w:tplc="02BC279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09CAF44">
      <w:numFmt w:val="bullet"/>
      <w:lvlText w:val="•"/>
      <w:lvlJc w:val="left"/>
      <w:pPr>
        <w:ind w:left="473" w:hanging="217"/>
      </w:pPr>
      <w:rPr>
        <w:rFonts w:hint="default"/>
        <w:lang w:val="en-GB" w:eastAsia="en-GB" w:bidi="en-GB"/>
      </w:rPr>
    </w:lvl>
    <w:lvl w:ilvl="2" w:tplc="5D9E0D00">
      <w:numFmt w:val="bullet"/>
      <w:lvlText w:val="•"/>
      <w:lvlJc w:val="left"/>
      <w:pPr>
        <w:ind w:left="646" w:hanging="217"/>
      </w:pPr>
      <w:rPr>
        <w:rFonts w:hint="default"/>
        <w:lang w:val="en-GB" w:eastAsia="en-GB" w:bidi="en-GB"/>
      </w:rPr>
    </w:lvl>
    <w:lvl w:ilvl="3" w:tplc="F3F22B3E">
      <w:numFmt w:val="bullet"/>
      <w:lvlText w:val="•"/>
      <w:lvlJc w:val="left"/>
      <w:pPr>
        <w:ind w:left="819" w:hanging="217"/>
      </w:pPr>
      <w:rPr>
        <w:rFonts w:hint="default"/>
        <w:lang w:val="en-GB" w:eastAsia="en-GB" w:bidi="en-GB"/>
      </w:rPr>
    </w:lvl>
    <w:lvl w:ilvl="4" w:tplc="4E20715A">
      <w:numFmt w:val="bullet"/>
      <w:lvlText w:val="•"/>
      <w:lvlJc w:val="left"/>
      <w:pPr>
        <w:ind w:left="992" w:hanging="217"/>
      </w:pPr>
      <w:rPr>
        <w:rFonts w:hint="default"/>
        <w:lang w:val="en-GB" w:eastAsia="en-GB" w:bidi="en-GB"/>
      </w:rPr>
    </w:lvl>
    <w:lvl w:ilvl="5" w:tplc="05C81E5C">
      <w:numFmt w:val="bullet"/>
      <w:lvlText w:val="•"/>
      <w:lvlJc w:val="left"/>
      <w:pPr>
        <w:ind w:left="1165" w:hanging="217"/>
      </w:pPr>
      <w:rPr>
        <w:rFonts w:hint="default"/>
        <w:lang w:val="en-GB" w:eastAsia="en-GB" w:bidi="en-GB"/>
      </w:rPr>
    </w:lvl>
    <w:lvl w:ilvl="6" w:tplc="F580F7B8">
      <w:numFmt w:val="bullet"/>
      <w:lvlText w:val="•"/>
      <w:lvlJc w:val="left"/>
      <w:pPr>
        <w:ind w:left="1338" w:hanging="217"/>
      </w:pPr>
      <w:rPr>
        <w:rFonts w:hint="default"/>
        <w:lang w:val="en-GB" w:eastAsia="en-GB" w:bidi="en-GB"/>
      </w:rPr>
    </w:lvl>
    <w:lvl w:ilvl="7" w:tplc="E43E9A2A">
      <w:numFmt w:val="bullet"/>
      <w:lvlText w:val="•"/>
      <w:lvlJc w:val="left"/>
      <w:pPr>
        <w:ind w:left="1511" w:hanging="217"/>
      </w:pPr>
      <w:rPr>
        <w:rFonts w:hint="default"/>
        <w:lang w:val="en-GB" w:eastAsia="en-GB" w:bidi="en-GB"/>
      </w:rPr>
    </w:lvl>
    <w:lvl w:ilvl="8" w:tplc="A790CA24">
      <w:numFmt w:val="bullet"/>
      <w:lvlText w:val="•"/>
      <w:lvlJc w:val="left"/>
      <w:pPr>
        <w:ind w:left="1684" w:hanging="217"/>
      </w:pPr>
      <w:rPr>
        <w:rFonts w:hint="default"/>
        <w:lang w:val="en-GB" w:eastAsia="en-GB" w:bidi="en-GB"/>
      </w:rPr>
    </w:lvl>
  </w:abstractNum>
  <w:abstractNum w:abstractNumId="746" w15:restartNumberingAfterBreak="0">
    <w:nsid w:val="463A679F"/>
    <w:multiLevelType w:val="hybridMultilevel"/>
    <w:tmpl w:val="23802B26"/>
    <w:lvl w:ilvl="0" w:tplc="DDFC9CA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6F82678">
      <w:numFmt w:val="bullet"/>
      <w:lvlText w:val="•"/>
      <w:lvlJc w:val="left"/>
      <w:pPr>
        <w:ind w:left="439" w:hanging="217"/>
      </w:pPr>
      <w:rPr>
        <w:rFonts w:hint="default"/>
        <w:lang w:val="en-GB" w:eastAsia="en-GB" w:bidi="en-GB"/>
      </w:rPr>
    </w:lvl>
    <w:lvl w:ilvl="2" w:tplc="1B109A32">
      <w:numFmt w:val="bullet"/>
      <w:lvlText w:val="•"/>
      <w:lvlJc w:val="left"/>
      <w:pPr>
        <w:ind w:left="578" w:hanging="217"/>
      </w:pPr>
      <w:rPr>
        <w:rFonts w:hint="default"/>
        <w:lang w:val="en-GB" w:eastAsia="en-GB" w:bidi="en-GB"/>
      </w:rPr>
    </w:lvl>
    <w:lvl w:ilvl="3" w:tplc="D72C68BC">
      <w:numFmt w:val="bullet"/>
      <w:lvlText w:val="•"/>
      <w:lvlJc w:val="left"/>
      <w:pPr>
        <w:ind w:left="717" w:hanging="217"/>
      </w:pPr>
      <w:rPr>
        <w:rFonts w:hint="default"/>
        <w:lang w:val="en-GB" w:eastAsia="en-GB" w:bidi="en-GB"/>
      </w:rPr>
    </w:lvl>
    <w:lvl w:ilvl="4" w:tplc="77EC3E9C">
      <w:numFmt w:val="bullet"/>
      <w:lvlText w:val="•"/>
      <w:lvlJc w:val="left"/>
      <w:pPr>
        <w:ind w:left="856" w:hanging="217"/>
      </w:pPr>
      <w:rPr>
        <w:rFonts w:hint="default"/>
        <w:lang w:val="en-GB" w:eastAsia="en-GB" w:bidi="en-GB"/>
      </w:rPr>
    </w:lvl>
    <w:lvl w:ilvl="5" w:tplc="46BACEC6">
      <w:numFmt w:val="bullet"/>
      <w:lvlText w:val="•"/>
      <w:lvlJc w:val="left"/>
      <w:pPr>
        <w:ind w:left="995" w:hanging="217"/>
      </w:pPr>
      <w:rPr>
        <w:rFonts w:hint="default"/>
        <w:lang w:val="en-GB" w:eastAsia="en-GB" w:bidi="en-GB"/>
      </w:rPr>
    </w:lvl>
    <w:lvl w:ilvl="6" w:tplc="312009DC">
      <w:numFmt w:val="bullet"/>
      <w:lvlText w:val="•"/>
      <w:lvlJc w:val="left"/>
      <w:pPr>
        <w:ind w:left="1134" w:hanging="217"/>
      </w:pPr>
      <w:rPr>
        <w:rFonts w:hint="default"/>
        <w:lang w:val="en-GB" w:eastAsia="en-GB" w:bidi="en-GB"/>
      </w:rPr>
    </w:lvl>
    <w:lvl w:ilvl="7" w:tplc="8E4674F8">
      <w:numFmt w:val="bullet"/>
      <w:lvlText w:val="•"/>
      <w:lvlJc w:val="left"/>
      <w:pPr>
        <w:ind w:left="1273" w:hanging="217"/>
      </w:pPr>
      <w:rPr>
        <w:rFonts w:hint="default"/>
        <w:lang w:val="en-GB" w:eastAsia="en-GB" w:bidi="en-GB"/>
      </w:rPr>
    </w:lvl>
    <w:lvl w:ilvl="8" w:tplc="D9A660E6">
      <w:numFmt w:val="bullet"/>
      <w:lvlText w:val="•"/>
      <w:lvlJc w:val="left"/>
      <w:pPr>
        <w:ind w:left="1412" w:hanging="217"/>
      </w:pPr>
      <w:rPr>
        <w:rFonts w:hint="default"/>
        <w:lang w:val="en-GB" w:eastAsia="en-GB" w:bidi="en-GB"/>
      </w:rPr>
    </w:lvl>
  </w:abstractNum>
  <w:abstractNum w:abstractNumId="747" w15:restartNumberingAfterBreak="0">
    <w:nsid w:val="465E5796"/>
    <w:multiLevelType w:val="hybridMultilevel"/>
    <w:tmpl w:val="C784B79C"/>
    <w:lvl w:ilvl="0" w:tplc="8C9CB8F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85CCB26">
      <w:numFmt w:val="bullet"/>
      <w:lvlText w:val="•"/>
      <w:lvlJc w:val="left"/>
      <w:pPr>
        <w:ind w:left="473" w:hanging="217"/>
      </w:pPr>
      <w:rPr>
        <w:rFonts w:hint="default"/>
        <w:lang w:val="en-GB" w:eastAsia="en-GB" w:bidi="en-GB"/>
      </w:rPr>
    </w:lvl>
    <w:lvl w:ilvl="2" w:tplc="FB22DF3A">
      <w:numFmt w:val="bullet"/>
      <w:lvlText w:val="•"/>
      <w:lvlJc w:val="left"/>
      <w:pPr>
        <w:ind w:left="646" w:hanging="217"/>
      </w:pPr>
      <w:rPr>
        <w:rFonts w:hint="default"/>
        <w:lang w:val="en-GB" w:eastAsia="en-GB" w:bidi="en-GB"/>
      </w:rPr>
    </w:lvl>
    <w:lvl w:ilvl="3" w:tplc="5A027932">
      <w:numFmt w:val="bullet"/>
      <w:lvlText w:val="•"/>
      <w:lvlJc w:val="left"/>
      <w:pPr>
        <w:ind w:left="819" w:hanging="217"/>
      </w:pPr>
      <w:rPr>
        <w:rFonts w:hint="default"/>
        <w:lang w:val="en-GB" w:eastAsia="en-GB" w:bidi="en-GB"/>
      </w:rPr>
    </w:lvl>
    <w:lvl w:ilvl="4" w:tplc="F24E595A">
      <w:numFmt w:val="bullet"/>
      <w:lvlText w:val="•"/>
      <w:lvlJc w:val="left"/>
      <w:pPr>
        <w:ind w:left="992" w:hanging="217"/>
      </w:pPr>
      <w:rPr>
        <w:rFonts w:hint="default"/>
        <w:lang w:val="en-GB" w:eastAsia="en-GB" w:bidi="en-GB"/>
      </w:rPr>
    </w:lvl>
    <w:lvl w:ilvl="5" w:tplc="474A5A7C">
      <w:numFmt w:val="bullet"/>
      <w:lvlText w:val="•"/>
      <w:lvlJc w:val="left"/>
      <w:pPr>
        <w:ind w:left="1165" w:hanging="217"/>
      </w:pPr>
      <w:rPr>
        <w:rFonts w:hint="default"/>
        <w:lang w:val="en-GB" w:eastAsia="en-GB" w:bidi="en-GB"/>
      </w:rPr>
    </w:lvl>
    <w:lvl w:ilvl="6" w:tplc="D96CBFD0">
      <w:numFmt w:val="bullet"/>
      <w:lvlText w:val="•"/>
      <w:lvlJc w:val="left"/>
      <w:pPr>
        <w:ind w:left="1338" w:hanging="217"/>
      </w:pPr>
      <w:rPr>
        <w:rFonts w:hint="default"/>
        <w:lang w:val="en-GB" w:eastAsia="en-GB" w:bidi="en-GB"/>
      </w:rPr>
    </w:lvl>
    <w:lvl w:ilvl="7" w:tplc="08248A1E">
      <w:numFmt w:val="bullet"/>
      <w:lvlText w:val="•"/>
      <w:lvlJc w:val="left"/>
      <w:pPr>
        <w:ind w:left="1511" w:hanging="217"/>
      </w:pPr>
      <w:rPr>
        <w:rFonts w:hint="default"/>
        <w:lang w:val="en-GB" w:eastAsia="en-GB" w:bidi="en-GB"/>
      </w:rPr>
    </w:lvl>
    <w:lvl w:ilvl="8" w:tplc="4CC69D12">
      <w:numFmt w:val="bullet"/>
      <w:lvlText w:val="•"/>
      <w:lvlJc w:val="left"/>
      <w:pPr>
        <w:ind w:left="1684" w:hanging="217"/>
      </w:pPr>
      <w:rPr>
        <w:rFonts w:hint="default"/>
        <w:lang w:val="en-GB" w:eastAsia="en-GB" w:bidi="en-GB"/>
      </w:rPr>
    </w:lvl>
  </w:abstractNum>
  <w:abstractNum w:abstractNumId="748" w15:restartNumberingAfterBreak="0">
    <w:nsid w:val="466D096F"/>
    <w:multiLevelType w:val="hybridMultilevel"/>
    <w:tmpl w:val="37BA24F4"/>
    <w:lvl w:ilvl="0" w:tplc="1720A54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8B48940">
      <w:numFmt w:val="bullet"/>
      <w:lvlText w:val="•"/>
      <w:lvlJc w:val="left"/>
      <w:pPr>
        <w:ind w:left="1061" w:hanging="217"/>
      </w:pPr>
      <w:rPr>
        <w:rFonts w:hint="default"/>
        <w:lang w:val="en-GB" w:eastAsia="en-GB" w:bidi="en-GB"/>
      </w:rPr>
    </w:lvl>
    <w:lvl w:ilvl="2" w:tplc="FF949E56">
      <w:numFmt w:val="bullet"/>
      <w:lvlText w:val="•"/>
      <w:lvlJc w:val="left"/>
      <w:pPr>
        <w:ind w:left="1823" w:hanging="217"/>
      </w:pPr>
      <w:rPr>
        <w:rFonts w:hint="default"/>
        <w:lang w:val="en-GB" w:eastAsia="en-GB" w:bidi="en-GB"/>
      </w:rPr>
    </w:lvl>
    <w:lvl w:ilvl="3" w:tplc="D108E05E">
      <w:numFmt w:val="bullet"/>
      <w:lvlText w:val="•"/>
      <w:lvlJc w:val="left"/>
      <w:pPr>
        <w:ind w:left="2585" w:hanging="217"/>
      </w:pPr>
      <w:rPr>
        <w:rFonts w:hint="default"/>
        <w:lang w:val="en-GB" w:eastAsia="en-GB" w:bidi="en-GB"/>
      </w:rPr>
    </w:lvl>
    <w:lvl w:ilvl="4" w:tplc="F872E1D6">
      <w:numFmt w:val="bullet"/>
      <w:lvlText w:val="•"/>
      <w:lvlJc w:val="left"/>
      <w:pPr>
        <w:ind w:left="3346" w:hanging="217"/>
      </w:pPr>
      <w:rPr>
        <w:rFonts w:hint="default"/>
        <w:lang w:val="en-GB" w:eastAsia="en-GB" w:bidi="en-GB"/>
      </w:rPr>
    </w:lvl>
    <w:lvl w:ilvl="5" w:tplc="6F688644">
      <w:numFmt w:val="bullet"/>
      <w:lvlText w:val="•"/>
      <w:lvlJc w:val="left"/>
      <w:pPr>
        <w:ind w:left="4108" w:hanging="217"/>
      </w:pPr>
      <w:rPr>
        <w:rFonts w:hint="default"/>
        <w:lang w:val="en-GB" w:eastAsia="en-GB" w:bidi="en-GB"/>
      </w:rPr>
    </w:lvl>
    <w:lvl w:ilvl="6" w:tplc="5E8ED24E">
      <w:numFmt w:val="bullet"/>
      <w:lvlText w:val="•"/>
      <w:lvlJc w:val="left"/>
      <w:pPr>
        <w:ind w:left="4870" w:hanging="217"/>
      </w:pPr>
      <w:rPr>
        <w:rFonts w:hint="default"/>
        <w:lang w:val="en-GB" w:eastAsia="en-GB" w:bidi="en-GB"/>
      </w:rPr>
    </w:lvl>
    <w:lvl w:ilvl="7" w:tplc="A6D4B73C">
      <w:numFmt w:val="bullet"/>
      <w:lvlText w:val="•"/>
      <w:lvlJc w:val="left"/>
      <w:pPr>
        <w:ind w:left="5631" w:hanging="217"/>
      </w:pPr>
      <w:rPr>
        <w:rFonts w:hint="default"/>
        <w:lang w:val="en-GB" w:eastAsia="en-GB" w:bidi="en-GB"/>
      </w:rPr>
    </w:lvl>
    <w:lvl w:ilvl="8" w:tplc="2418FB8E">
      <w:numFmt w:val="bullet"/>
      <w:lvlText w:val="•"/>
      <w:lvlJc w:val="left"/>
      <w:pPr>
        <w:ind w:left="6393" w:hanging="217"/>
      </w:pPr>
      <w:rPr>
        <w:rFonts w:hint="default"/>
        <w:lang w:val="en-GB" w:eastAsia="en-GB" w:bidi="en-GB"/>
      </w:rPr>
    </w:lvl>
  </w:abstractNum>
  <w:abstractNum w:abstractNumId="749" w15:restartNumberingAfterBreak="0">
    <w:nsid w:val="467005C1"/>
    <w:multiLevelType w:val="hybridMultilevel"/>
    <w:tmpl w:val="EA94E830"/>
    <w:lvl w:ilvl="0" w:tplc="FEF20CA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55C25B4">
      <w:numFmt w:val="bullet"/>
      <w:lvlText w:val="•"/>
      <w:lvlJc w:val="left"/>
      <w:pPr>
        <w:ind w:left="677" w:hanging="217"/>
      </w:pPr>
      <w:rPr>
        <w:rFonts w:hint="default"/>
        <w:lang w:val="en-GB" w:eastAsia="en-GB" w:bidi="en-GB"/>
      </w:rPr>
    </w:lvl>
    <w:lvl w:ilvl="2" w:tplc="CB3652A4">
      <w:numFmt w:val="bullet"/>
      <w:lvlText w:val="•"/>
      <w:lvlJc w:val="left"/>
      <w:pPr>
        <w:ind w:left="1054" w:hanging="217"/>
      </w:pPr>
      <w:rPr>
        <w:rFonts w:hint="default"/>
        <w:lang w:val="en-GB" w:eastAsia="en-GB" w:bidi="en-GB"/>
      </w:rPr>
    </w:lvl>
    <w:lvl w:ilvl="3" w:tplc="E408B1C6">
      <w:numFmt w:val="bullet"/>
      <w:lvlText w:val="•"/>
      <w:lvlJc w:val="left"/>
      <w:pPr>
        <w:ind w:left="1431" w:hanging="217"/>
      </w:pPr>
      <w:rPr>
        <w:rFonts w:hint="default"/>
        <w:lang w:val="en-GB" w:eastAsia="en-GB" w:bidi="en-GB"/>
      </w:rPr>
    </w:lvl>
    <w:lvl w:ilvl="4" w:tplc="ABA2F8BA">
      <w:numFmt w:val="bullet"/>
      <w:lvlText w:val="•"/>
      <w:lvlJc w:val="left"/>
      <w:pPr>
        <w:ind w:left="1808" w:hanging="217"/>
      </w:pPr>
      <w:rPr>
        <w:rFonts w:hint="default"/>
        <w:lang w:val="en-GB" w:eastAsia="en-GB" w:bidi="en-GB"/>
      </w:rPr>
    </w:lvl>
    <w:lvl w:ilvl="5" w:tplc="AA726C60">
      <w:numFmt w:val="bullet"/>
      <w:lvlText w:val="•"/>
      <w:lvlJc w:val="left"/>
      <w:pPr>
        <w:ind w:left="2186" w:hanging="217"/>
      </w:pPr>
      <w:rPr>
        <w:rFonts w:hint="default"/>
        <w:lang w:val="en-GB" w:eastAsia="en-GB" w:bidi="en-GB"/>
      </w:rPr>
    </w:lvl>
    <w:lvl w:ilvl="6" w:tplc="3D2882C4">
      <w:numFmt w:val="bullet"/>
      <w:lvlText w:val="•"/>
      <w:lvlJc w:val="left"/>
      <w:pPr>
        <w:ind w:left="2563" w:hanging="217"/>
      </w:pPr>
      <w:rPr>
        <w:rFonts w:hint="default"/>
        <w:lang w:val="en-GB" w:eastAsia="en-GB" w:bidi="en-GB"/>
      </w:rPr>
    </w:lvl>
    <w:lvl w:ilvl="7" w:tplc="42C25E30">
      <w:numFmt w:val="bullet"/>
      <w:lvlText w:val="•"/>
      <w:lvlJc w:val="left"/>
      <w:pPr>
        <w:ind w:left="2940" w:hanging="217"/>
      </w:pPr>
      <w:rPr>
        <w:rFonts w:hint="default"/>
        <w:lang w:val="en-GB" w:eastAsia="en-GB" w:bidi="en-GB"/>
      </w:rPr>
    </w:lvl>
    <w:lvl w:ilvl="8" w:tplc="CF5A42FE">
      <w:numFmt w:val="bullet"/>
      <w:lvlText w:val="•"/>
      <w:lvlJc w:val="left"/>
      <w:pPr>
        <w:ind w:left="3317" w:hanging="217"/>
      </w:pPr>
      <w:rPr>
        <w:rFonts w:hint="default"/>
        <w:lang w:val="en-GB" w:eastAsia="en-GB" w:bidi="en-GB"/>
      </w:rPr>
    </w:lvl>
  </w:abstractNum>
  <w:abstractNum w:abstractNumId="750" w15:restartNumberingAfterBreak="0">
    <w:nsid w:val="46711B1D"/>
    <w:multiLevelType w:val="hybridMultilevel"/>
    <w:tmpl w:val="A52892BE"/>
    <w:lvl w:ilvl="0" w:tplc="ED8E0E3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EF63D9C">
      <w:numFmt w:val="bullet"/>
      <w:lvlText w:val="•"/>
      <w:lvlJc w:val="left"/>
      <w:pPr>
        <w:ind w:left="473" w:hanging="217"/>
      </w:pPr>
      <w:rPr>
        <w:rFonts w:hint="default"/>
        <w:lang w:val="en-GB" w:eastAsia="en-GB" w:bidi="en-GB"/>
      </w:rPr>
    </w:lvl>
    <w:lvl w:ilvl="2" w:tplc="E47E330A">
      <w:numFmt w:val="bullet"/>
      <w:lvlText w:val="•"/>
      <w:lvlJc w:val="left"/>
      <w:pPr>
        <w:ind w:left="646" w:hanging="217"/>
      </w:pPr>
      <w:rPr>
        <w:rFonts w:hint="default"/>
        <w:lang w:val="en-GB" w:eastAsia="en-GB" w:bidi="en-GB"/>
      </w:rPr>
    </w:lvl>
    <w:lvl w:ilvl="3" w:tplc="565A42F0">
      <w:numFmt w:val="bullet"/>
      <w:lvlText w:val="•"/>
      <w:lvlJc w:val="left"/>
      <w:pPr>
        <w:ind w:left="819" w:hanging="217"/>
      </w:pPr>
      <w:rPr>
        <w:rFonts w:hint="default"/>
        <w:lang w:val="en-GB" w:eastAsia="en-GB" w:bidi="en-GB"/>
      </w:rPr>
    </w:lvl>
    <w:lvl w:ilvl="4" w:tplc="855EEA7A">
      <w:numFmt w:val="bullet"/>
      <w:lvlText w:val="•"/>
      <w:lvlJc w:val="left"/>
      <w:pPr>
        <w:ind w:left="992" w:hanging="217"/>
      </w:pPr>
      <w:rPr>
        <w:rFonts w:hint="default"/>
        <w:lang w:val="en-GB" w:eastAsia="en-GB" w:bidi="en-GB"/>
      </w:rPr>
    </w:lvl>
    <w:lvl w:ilvl="5" w:tplc="DBB42F50">
      <w:numFmt w:val="bullet"/>
      <w:lvlText w:val="•"/>
      <w:lvlJc w:val="left"/>
      <w:pPr>
        <w:ind w:left="1165" w:hanging="217"/>
      </w:pPr>
      <w:rPr>
        <w:rFonts w:hint="default"/>
        <w:lang w:val="en-GB" w:eastAsia="en-GB" w:bidi="en-GB"/>
      </w:rPr>
    </w:lvl>
    <w:lvl w:ilvl="6" w:tplc="9666339C">
      <w:numFmt w:val="bullet"/>
      <w:lvlText w:val="•"/>
      <w:lvlJc w:val="left"/>
      <w:pPr>
        <w:ind w:left="1338" w:hanging="217"/>
      </w:pPr>
      <w:rPr>
        <w:rFonts w:hint="default"/>
        <w:lang w:val="en-GB" w:eastAsia="en-GB" w:bidi="en-GB"/>
      </w:rPr>
    </w:lvl>
    <w:lvl w:ilvl="7" w:tplc="640A5422">
      <w:numFmt w:val="bullet"/>
      <w:lvlText w:val="•"/>
      <w:lvlJc w:val="left"/>
      <w:pPr>
        <w:ind w:left="1511" w:hanging="217"/>
      </w:pPr>
      <w:rPr>
        <w:rFonts w:hint="default"/>
        <w:lang w:val="en-GB" w:eastAsia="en-GB" w:bidi="en-GB"/>
      </w:rPr>
    </w:lvl>
    <w:lvl w:ilvl="8" w:tplc="FF80934C">
      <w:numFmt w:val="bullet"/>
      <w:lvlText w:val="•"/>
      <w:lvlJc w:val="left"/>
      <w:pPr>
        <w:ind w:left="1684" w:hanging="217"/>
      </w:pPr>
      <w:rPr>
        <w:rFonts w:hint="default"/>
        <w:lang w:val="en-GB" w:eastAsia="en-GB" w:bidi="en-GB"/>
      </w:rPr>
    </w:lvl>
  </w:abstractNum>
  <w:abstractNum w:abstractNumId="751" w15:restartNumberingAfterBreak="0">
    <w:nsid w:val="46836202"/>
    <w:multiLevelType w:val="hybridMultilevel"/>
    <w:tmpl w:val="723E535C"/>
    <w:lvl w:ilvl="0" w:tplc="4B5C58AE">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811A2266">
      <w:numFmt w:val="bullet"/>
      <w:lvlText w:val="•"/>
      <w:lvlJc w:val="left"/>
      <w:pPr>
        <w:ind w:left="473" w:hanging="217"/>
      </w:pPr>
      <w:rPr>
        <w:rFonts w:hint="default"/>
        <w:lang w:val="en-GB" w:eastAsia="en-GB" w:bidi="en-GB"/>
      </w:rPr>
    </w:lvl>
    <w:lvl w:ilvl="2" w:tplc="02F0FBB0">
      <w:numFmt w:val="bullet"/>
      <w:lvlText w:val="•"/>
      <w:lvlJc w:val="left"/>
      <w:pPr>
        <w:ind w:left="646" w:hanging="217"/>
      </w:pPr>
      <w:rPr>
        <w:rFonts w:hint="default"/>
        <w:lang w:val="en-GB" w:eastAsia="en-GB" w:bidi="en-GB"/>
      </w:rPr>
    </w:lvl>
    <w:lvl w:ilvl="3" w:tplc="5740C83C">
      <w:numFmt w:val="bullet"/>
      <w:lvlText w:val="•"/>
      <w:lvlJc w:val="left"/>
      <w:pPr>
        <w:ind w:left="819" w:hanging="217"/>
      </w:pPr>
      <w:rPr>
        <w:rFonts w:hint="default"/>
        <w:lang w:val="en-GB" w:eastAsia="en-GB" w:bidi="en-GB"/>
      </w:rPr>
    </w:lvl>
    <w:lvl w:ilvl="4" w:tplc="5874C3AA">
      <w:numFmt w:val="bullet"/>
      <w:lvlText w:val="•"/>
      <w:lvlJc w:val="left"/>
      <w:pPr>
        <w:ind w:left="992" w:hanging="217"/>
      </w:pPr>
      <w:rPr>
        <w:rFonts w:hint="default"/>
        <w:lang w:val="en-GB" w:eastAsia="en-GB" w:bidi="en-GB"/>
      </w:rPr>
    </w:lvl>
    <w:lvl w:ilvl="5" w:tplc="FCD29710">
      <w:numFmt w:val="bullet"/>
      <w:lvlText w:val="•"/>
      <w:lvlJc w:val="left"/>
      <w:pPr>
        <w:ind w:left="1165" w:hanging="217"/>
      </w:pPr>
      <w:rPr>
        <w:rFonts w:hint="default"/>
        <w:lang w:val="en-GB" w:eastAsia="en-GB" w:bidi="en-GB"/>
      </w:rPr>
    </w:lvl>
    <w:lvl w:ilvl="6" w:tplc="CB482F2A">
      <w:numFmt w:val="bullet"/>
      <w:lvlText w:val="•"/>
      <w:lvlJc w:val="left"/>
      <w:pPr>
        <w:ind w:left="1338" w:hanging="217"/>
      </w:pPr>
      <w:rPr>
        <w:rFonts w:hint="default"/>
        <w:lang w:val="en-GB" w:eastAsia="en-GB" w:bidi="en-GB"/>
      </w:rPr>
    </w:lvl>
    <w:lvl w:ilvl="7" w:tplc="E698E9C0">
      <w:numFmt w:val="bullet"/>
      <w:lvlText w:val="•"/>
      <w:lvlJc w:val="left"/>
      <w:pPr>
        <w:ind w:left="1511" w:hanging="217"/>
      </w:pPr>
      <w:rPr>
        <w:rFonts w:hint="default"/>
        <w:lang w:val="en-GB" w:eastAsia="en-GB" w:bidi="en-GB"/>
      </w:rPr>
    </w:lvl>
    <w:lvl w:ilvl="8" w:tplc="0D2A5C90">
      <w:numFmt w:val="bullet"/>
      <w:lvlText w:val="•"/>
      <w:lvlJc w:val="left"/>
      <w:pPr>
        <w:ind w:left="1684" w:hanging="217"/>
      </w:pPr>
      <w:rPr>
        <w:rFonts w:hint="default"/>
        <w:lang w:val="en-GB" w:eastAsia="en-GB" w:bidi="en-GB"/>
      </w:rPr>
    </w:lvl>
  </w:abstractNum>
  <w:abstractNum w:abstractNumId="752" w15:restartNumberingAfterBreak="0">
    <w:nsid w:val="469915F4"/>
    <w:multiLevelType w:val="hybridMultilevel"/>
    <w:tmpl w:val="B248FC1C"/>
    <w:lvl w:ilvl="0" w:tplc="693800F8">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AA3E7E08">
      <w:numFmt w:val="bullet"/>
      <w:lvlText w:val="•"/>
      <w:lvlJc w:val="left"/>
      <w:pPr>
        <w:ind w:left="473" w:hanging="217"/>
      </w:pPr>
      <w:rPr>
        <w:rFonts w:hint="default"/>
        <w:lang w:val="en-GB" w:eastAsia="en-GB" w:bidi="en-GB"/>
      </w:rPr>
    </w:lvl>
    <w:lvl w:ilvl="2" w:tplc="623E43CC">
      <w:numFmt w:val="bullet"/>
      <w:lvlText w:val="•"/>
      <w:lvlJc w:val="left"/>
      <w:pPr>
        <w:ind w:left="646" w:hanging="217"/>
      </w:pPr>
      <w:rPr>
        <w:rFonts w:hint="default"/>
        <w:lang w:val="en-GB" w:eastAsia="en-GB" w:bidi="en-GB"/>
      </w:rPr>
    </w:lvl>
    <w:lvl w:ilvl="3" w:tplc="4DF41B1C">
      <w:numFmt w:val="bullet"/>
      <w:lvlText w:val="•"/>
      <w:lvlJc w:val="left"/>
      <w:pPr>
        <w:ind w:left="819" w:hanging="217"/>
      </w:pPr>
      <w:rPr>
        <w:rFonts w:hint="default"/>
        <w:lang w:val="en-GB" w:eastAsia="en-GB" w:bidi="en-GB"/>
      </w:rPr>
    </w:lvl>
    <w:lvl w:ilvl="4" w:tplc="6B3EC39E">
      <w:numFmt w:val="bullet"/>
      <w:lvlText w:val="•"/>
      <w:lvlJc w:val="left"/>
      <w:pPr>
        <w:ind w:left="992" w:hanging="217"/>
      </w:pPr>
      <w:rPr>
        <w:rFonts w:hint="default"/>
        <w:lang w:val="en-GB" w:eastAsia="en-GB" w:bidi="en-GB"/>
      </w:rPr>
    </w:lvl>
    <w:lvl w:ilvl="5" w:tplc="30D6094C">
      <w:numFmt w:val="bullet"/>
      <w:lvlText w:val="•"/>
      <w:lvlJc w:val="left"/>
      <w:pPr>
        <w:ind w:left="1165" w:hanging="217"/>
      </w:pPr>
      <w:rPr>
        <w:rFonts w:hint="default"/>
        <w:lang w:val="en-GB" w:eastAsia="en-GB" w:bidi="en-GB"/>
      </w:rPr>
    </w:lvl>
    <w:lvl w:ilvl="6" w:tplc="FBD00BDE">
      <w:numFmt w:val="bullet"/>
      <w:lvlText w:val="•"/>
      <w:lvlJc w:val="left"/>
      <w:pPr>
        <w:ind w:left="1338" w:hanging="217"/>
      </w:pPr>
      <w:rPr>
        <w:rFonts w:hint="default"/>
        <w:lang w:val="en-GB" w:eastAsia="en-GB" w:bidi="en-GB"/>
      </w:rPr>
    </w:lvl>
    <w:lvl w:ilvl="7" w:tplc="A0C66E88">
      <w:numFmt w:val="bullet"/>
      <w:lvlText w:val="•"/>
      <w:lvlJc w:val="left"/>
      <w:pPr>
        <w:ind w:left="1511" w:hanging="217"/>
      </w:pPr>
      <w:rPr>
        <w:rFonts w:hint="default"/>
        <w:lang w:val="en-GB" w:eastAsia="en-GB" w:bidi="en-GB"/>
      </w:rPr>
    </w:lvl>
    <w:lvl w:ilvl="8" w:tplc="F32EEE04">
      <w:numFmt w:val="bullet"/>
      <w:lvlText w:val="•"/>
      <w:lvlJc w:val="left"/>
      <w:pPr>
        <w:ind w:left="1684" w:hanging="217"/>
      </w:pPr>
      <w:rPr>
        <w:rFonts w:hint="default"/>
        <w:lang w:val="en-GB" w:eastAsia="en-GB" w:bidi="en-GB"/>
      </w:rPr>
    </w:lvl>
  </w:abstractNum>
  <w:abstractNum w:abstractNumId="753" w15:restartNumberingAfterBreak="0">
    <w:nsid w:val="46BC50B7"/>
    <w:multiLevelType w:val="hybridMultilevel"/>
    <w:tmpl w:val="A56496B6"/>
    <w:lvl w:ilvl="0" w:tplc="4E2E9BF0">
      <w:numFmt w:val="bullet"/>
      <w:lvlText w:val="•"/>
      <w:lvlJc w:val="left"/>
      <w:pPr>
        <w:ind w:left="307" w:hanging="217"/>
      </w:pPr>
      <w:rPr>
        <w:rFonts w:ascii="Arial" w:eastAsia="Arial" w:hAnsi="Arial" w:cs="Arial" w:hint="default"/>
        <w:color w:val="231F20"/>
        <w:spacing w:val="-17"/>
        <w:w w:val="100"/>
        <w:sz w:val="18"/>
        <w:szCs w:val="18"/>
        <w:lang w:val="en-GB" w:eastAsia="en-GB" w:bidi="en-GB"/>
      </w:rPr>
    </w:lvl>
    <w:lvl w:ilvl="1" w:tplc="D248C1DE">
      <w:numFmt w:val="bullet"/>
      <w:lvlText w:val="•"/>
      <w:lvlJc w:val="left"/>
      <w:pPr>
        <w:ind w:left="444" w:hanging="217"/>
      </w:pPr>
      <w:rPr>
        <w:rFonts w:hint="default"/>
        <w:lang w:val="en-GB" w:eastAsia="en-GB" w:bidi="en-GB"/>
      </w:rPr>
    </w:lvl>
    <w:lvl w:ilvl="2" w:tplc="0284D2BA">
      <w:numFmt w:val="bullet"/>
      <w:lvlText w:val="•"/>
      <w:lvlJc w:val="left"/>
      <w:pPr>
        <w:ind w:left="589" w:hanging="217"/>
      </w:pPr>
      <w:rPr>
        <w:rFonts w:hint="default"/>
        <w:lang w:val="en-GB" w:eastAsia="en-GB" w:bidi="en-GB"/>
      </w:rPr>
    </w:lvl>
    <w:lvl w:ilvl="3" w:tplc="EA94F11A">
      <w:numFmt w:val="bullet"/>
      <w:lvlText w:val="•"/>
      <w:lvlJc w:val="left"/>
      <w:pPr>
        <w:ind w:left="734" w:hanging="217"/>
      </w:pPr>
      <w:rPr>
        <w:rFonts w:hint="default"/>
        <w:lang w:val="en-GB" w:eastAsia="en-GB" w:bidi="en-GB"/>
      </w:rPr>
    </w:lvl>
    <w:lvl w:ilvl="4" w:tplc="0E7CEB3A">
      <w:numFmt w:val="bullet"/>
      <w:lvlText w:val="•"/>
      <w:lvlJc w:val="left"/>
      <w:pPr>
        <w:ind w:left="878" w:hanging="217"/>
      </w:pPr>
      <w:rPr>
        <w:rFonts w:hint="default"/>
        <w:lang w:val="en-GB" w:eastAsia="en-GB" w:bidi="en-GB"/>
      </w:rPr>
    </w:lvl>
    <w:lvl w:ilvl="5" w:tplc="C0E0C646">
      <w:numFmt w:val="bullet"/>
      <w:lvlText w:val="•"/>
      <w:lvlJc w:val="left"/>
      <w:pPr>
        <w:ind w:left="1023" w:hanging="217"/>
      </w:pPr>
      <w:rPr>
        <w:rFonts w:hint="default"/>
        <w:lang w:val="en-GB" w:eastAsia="en-GB" w:bidi="en-GB"/>
      </w:rPr>
    </w:lvl>
    <w:lvl w:ilvl="6" w:tplc="E2382FC0">
      <w:numFmt w:val="bullet"/>
      <w:lvlText w:val="•"/>
      <w:lvlJc w:val="left"/>
      <w:pPr>
        <w:ind w:left="1168" w:hanging="217"/>
      </w:pPr>
      <w:rPr>
        <w:rFonts w:hint="default"/>
        <w:lang w:val="en-GB" w:eastAsia="en-GB" w:bidi="en-GB"/>
      </w:rPr>
    </w:lvl>
    <w:lvl w:ilvl="7" w:tplc="1FF2EA9E">
      <w:numFmt w:val="bullet"/>
      <w:lvlText w:val="•"/>
      <w:lvlJc w:val="left"/>
      <w:pPr>
        <w:ind w:left="1312" w:hanging="217"/>
      </w:pPr>
      <w:rPr>
        <w:rFonts w:hint="default"/>
        <w:lang w:val="en-GB" w:eastAsia="en-GB" w:bidi="en-GB"/>
      </w:rPr>
    </w:lvl>
    <w:lvl w:ilvl="8" w:tplc="4DC601F6">
      <w:numFmt w:val="bullet"/>
      <w:lvlText w:val="•"/>
      <w:lvlJc w:val="left"/>
      <w:pPr>
        <w:ind w:left="1457" w:hanging="217"/>
      </w:pPr>
      <w:rPr>
        <w:rFonts w:hint="default"/>
        <w:lang w:val="en-GB" w:eastAsia="en-GB" w:bidi="en-GB"/>
      </w:rPr>
    </w:lvl>
  </w:abstractNum>
  <w:abstractNum w:abstractNumId="754" w15:restartNumberingAfterBreak="0">
    <w:nsid w:val="46D47EC4"/>
    <w:multiLevelType w:val="hybridMultilevel"/>
    <w:tmpl w:val="16288054"/>
    <w:lvl w:ilvl="0" w:tplc="89F85B9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AAE1B62">
      <w:numFmt w:val="bullet"/>
      <w:lvlText w:val="•"/>
      <w:lvlJc w:val="left"/>
      <w:pPr>
        <w:ind w:left="473" w:hanging="217"/>
      </w:pPr>
      <w:rPr>
        <w:rFonts w:hint="default"/>
        <w:lang w:val="en-GB" w:eastAsia="en-GB" w:bidi="en-GB"/>
      </w:rPr>
    </w:lvl>
    <w:lvl w:ilvl="2" w:tplc="CA6AD97C">
      <w:numFmt w:val="bullet"/>
      <w:lvlText w:val="•"/>
      <w:lvlJc w:val="left"/>
      <w:pPr>
        <w:ind w:left="646" w:hanging="217"/>
      </w:pPr>
      <w:rPr>
        <w:rFonts w:hint="default"/>
        <w:lang w:val="en-GB" w:eastAsia="en-GB" w:bidi="en-GB"/>
      </w:rPr>
    </w:lvl>
    <w:lvl w:ilvl="3" w:tplc="1806E204">
      <w:numFmt w:val="bullet"/>
      <w:lvlText w:val="•"/>
      <w:lvlJc w:val="left"/>
      <w:pPr>
        <w:ind w:left="819" w:hanging="217"/>
      </w:pPr>
      <w:rPr>
        <w:rFonts w:hint="default"/>
        <w:lang w:val="en-GB" w:eastAsia="en-GB" w:bidi="en-GB"/>
      </w:rPr>
    </w:lvl>
    <w:lvl w:ilvl="4" w:tplc="36C81F4A">
      <w:numFmt w:val="bullet"/>
      <w:lvlText w:val="•"/>
      <w:lvlJc w:val="left"/>
      <w:pPr>
        <w:ind w:left="992" w:hanging="217"/>
      </w:pPr>
      <w:rPr>
        <w:rFonts w:hint="default"/>
        <w:lang w:val="en-GB" w:eastAsia="en-GB" w:bidi="en-GB"/>
      </w:rPr>
    </w:lvl>
    <w:lvl w:ilvl="5" w:tplc="B00EB07A">
      <w:numFmt w:val="bullet"/>
      <w:lvlText w:val="•"/>
      <w:lvlJc w:val="left"/>
      <w:pPr>
        <w:ind w:left="1165" w:hanging="217"/>
      </w:pPr>
      <w:rPr>
        <w:rFonts w:hint="default"/>
        <w:lang w:val="en-GB" w:eastAsia="en-GB" w:bidi="en-GB"/>
      </w:rPr>
    </w:lvl>
    <w:lvl w:ilvl="6" w:tplc="DFD8F00A">
      <w:numFmt w:val="bullet"/>
      <w:lvlText w:val="•"/>
      <w:lvlJc w:val="left"/>
      <w:pPr>
        <w:ind w:left="1338" w:hanging="217"/>
      </w:pPr>
      <w:rPr>
        <w:rFonts w:hint="default"/>
        <w:lang w:val="en-GB" w:eastAsia="en-GB" w:bidi="en-GB"/>
      </w:rPr>
    </w:lvl>
    <w:lvl w:ilvl="7" w:tplc="3246EE6E">
      <w:numFmt w:val="bullet"/>
      <w:lvlText w:val="•"/>
      <w:lvlJc w:val="left"/>
      <w:pPr>
        <w:ind w:left="1511" w:hanging="217"/>
      </w:pPr>
      <w:rPr>
        <w:rFonts w:hint="default"/>
        <w:lang w:val="en-GB" w:eastAsia="en-GB" w:bidi="en-GB"/>
      </w:rPr>
    </w:lvl>
    <w:lvl w:ilvl="8" w:tplc="A72A7360">
      <w:numFmt w:val="bullet"/>
      <w:lvlText w:val="•"/>
      <w:lvlJc w:val="left"/>
      <w:pPr>
        <w:ind w:left="1684" w:hanging="217"/>
      </w:pPr>
      <w:rPr>
        <w:rFonts w:hint="default"/>
        <w:lang w:val="en-GB" w:eastAsia="en-GB" w:bidi="en-GB"/>
      </w:rPr>
    </w:lvl>
  </w:abstractNum>
  <w:abstractNum w:abstractNumId="755" w15:restartNumberingAfterBreak="0">
    <w:nsid w:val="46DC391B"/>
    <w:multiLevelType w:val="hybridMultilevel"/>
    <w:tmpl w:val="DAD26836"/>
    <w:lvl w:ilvl="0" w:tplc="51FA6CB2">
      <w:numFmt w:val="bullet"/>
      <w:lvlText w:val="•"/>
      <w:lvlJc w:val="left"/>
      <w:pPr>
        <w:ind w:left="305" w:hanging="217"/>
      </w:pPr>
      <w:rPr>
        <w:rFonts w:ascii="Arial" w:eastAsia="Arial" w:hAnsi="Arial" w:cs="Arial" w:hint="default"/>
        <w:color w:val="231F20"/>
        <w:spacing w:val="-17"/>
        <w:w w:val="100"/>
        <w:sz w:val="18"/>
        <w:szCs w:val="18"/>
        <w:lang w:val="en-GB" w:eastAsia="en-GB" w:bidi="en-GB"/>
      </w:rPr>
    </w:lvl>
    <w:lvl w:ilvl="1" w:tplc="63BA3444">
      <w:numFmt w:val="bullet"/>
      <w:lvlText w:val="•"/>
      <w:lvlJc w:val="left"/>
      <w:pPr>
        <w:ind w:left="1056" w:hanging="217"/>
      </w:pPr>
      <w:rPr>
        <w:rFonts w:hint="default"/>
        <w:lang w:val="en-GB" w:eastAsia="en-GB" w:bidi="en-GB"/>
      </w:rPr>
    </w:lvl>
    <w:lvl w:ilvl="2" w:tplc="8CE48280">
      <w:numFmt w:val="bullet"/>
      <w:lvlText w:val="•"/>
      <w:lvlJc w:val="left"/>
      <w:pPr>
        <w:ind w:left="1812" w:hanging="217"/>
      </w:pPr>
      <w:rPr>
        <w:rFonts w:hint="default"/>
        <w:lang w:val="en-GB" w:eastAsia="en-GB" w:bidi="en-GB"/>
      </w:rPr>
    </w:lvl>
    <w:lvl w:ilvl="3" w:tplc="F33E4206">
      <w:numFmt w:val="bullet"/>
      <w:lvlText w:val="•"/>
      <w:lvlJc w:val="left"/>
      <w:pPr>
        <w:ind w:left="2568" w:hanging="217"/>
      </w:pPr>
      <w:rPr>
        <w:rFonts w:hint="default"/>
        <w:lang w:val="en-GB" w:eastAsia="en-GB" w:bidi="en-GB"/>
      </w:rPr>
    </w:lvl>
    <w:lvl w:ilvl="4" w:tplc="36FA6490">
      <w:numFmt w:val="bullet"/>
      <w:lvlText w:val="•"/>
      <w:lvlJc w:val="left"/>
      <w:pPr>
        <w:ind w:left="3324" w:hanging="217"/>
      </w:pPr>
      <w:rPr>
        <w:rFonts w:hint="default"/>
        <w:lang w:val="en-GB" w:eastAsia="en-GB" w:bidi="en-GB"/>
      </w:rPr>
    </w:lvl>
    <w:lvl w:ilvl="5" w:tplc="7DF80C10">
      <w:numFmt w:val="bullet"/>
      <w:lvlText w:val="•"/>
      <w:lvlJc w:val="left"/>
      <w:pPr>
        <w:ind w:left="4080" w:hanging="217"/>
      </w:pPr>
      <w:rPr>
        <w:rFonts w:hint="default"/>
        <w:lang w:val="en-GB" w:eastAsia="en-GB" w:bidi="en-GB"/>
      </w:rPr>
    </w:lvl>
    <w:lvl w:ilvl="6" w:tplc="2E6072F0">
      <w:numFmt w:val="bullet"/>
      <w:lvlText w:val="•"/>
      <w:lvlJc w:val="left"/>
      <w:pPr>
        <w:ind w:left="4836" w:hanging="217"/>
      </w:pPr>
      <w:rPr>
        <w:rFonts w:hint="default"/>
        <w:lang w:val="en-GB" w:eastAsia="en-GB" w:bidi="en-GB"/>
      </w:rPr>
    </w:lvl>
    <w:lvl w:ilvl="7" w:tplc="DB9A2184">
      <w:numFmt w:val="bullet"/>
      <w:lvlText w:val="•"/>
      <w:lvlJc w:val="left"/>
      <w:pPr>
        <w:ind w:left="5592" w:hanging="217"/>
      </w:pPr>
      <w:rPr>
        <w:rFonts w:hint="default"/>
        <w:lang w:val="en-GB" w:eastAsia="en-GB" w:bidi="en-GB"/>
      </w:rPr>
    </w:lvl>
    <w:lvl w:ilvl="8" w:tplc="2B5A7D6E">
      <w:numFmt w:val="bullet"/>
      <w:lvlText w:val="•"/>
      <w:lvlJc w:val="left"/>
      <w:pPr>
        <w:ind w:left="6348" w:hanging="217"/>
      </w:pPr>
      <w:rPr>
        <w:rFonts w:hint="default"/>
        <w:lang w:val="en-GB" w:eastAsia="en-GB" w:bidi="en-GB"/>
      </w:rPr>
    </w:lvl>
  </w:abstractNum>
  <w:abstractNum w:abstractNumId="756" w15:restartNumberingAfterBreak="0">
    <w:nsid w:val="46F13F6E"/>
    <w:multiLevelType w:val="hybridMultilevel"/>
    <w:tmpl w:val="4E72F9EC"/>
    <w:lvl w:ilvl="0" w:tplc="81FC386C">
      <w:numFmt w:val="bullet"/>
      <w:lvlText w:val="•"/>
      <w:lvlJc w:val="left"/>
      <w:pPr>
        <w:ind w:left="303" w:hanging="217"/>
      </w:pPr>
      <w:rPr>
        <w:rFonts w:ascii="Arial" w:eastAsia="Arial" w:hAnsi="Arial" w:cs="Arial" w:hint="default"/>
        <w:color w:val="231F20"/>
        <w:w w:val="102"/>
        <w:sz w:val="17"/>
        <w:szCs w:val="17"/>
        <w:lang w:val="en-GB" w:eastAsia="en-GB" w:bidi="en-GB"/>
      </w:rPr>
    </w:lvl>
    <w:lvl w:ilvl="1" w:tplc="F9168BB6">
      <w:numFmt w:val="bullet"/>
      <w:lvlText w:val="•"/>
      <w:lvlJc w:val="left"/>
      <w:pPr>
        <w:ind w:left="439" w:hanging="217"/>
      </w:pPr>
      <w:rPr>
        <w:rFonts w:hint="default"/>
        <w:lang w:val="en-GB" w:eastAsia="en-GB" w:bidi="en-GB"/>
      </w:rPr>
    </w:lvl>
    <w:lvl w:ilvl="2" w:tplc="46964976">
      <w:numFmt w:val="bullet"/>
      <w:lvlText w:val="•"/>
      <w:lvlJc w:val="left"/>
      <w:pPr>
        <w:ind w:left="578" w:hanging="217"/>
      </w:pPr>
      <w:rPr>
        <w:rFonts w:hint="default"/>
        <w:lang w:val="en-GB" w:eastAsia="en-GB" w:bidi="en-GB"/>
      </w:rPr>
    </w:lvl>
    <w:lvl w:ilvl="3" w:tplc="A154A624">
      <w:numFmt w:val="bullet"/>
      <w:lvlText w:val="•"/>
      <w:lvlJc w:val="left"/>
      <w:pPr>
        <w:ind w:left="717" w:hanging="217"/>
      </w:pPr>
      <w:rPr>
        <w:rFonts w:hint="default"/>
        <w:lang w:val="en-GB" w:eastAsia="en-GB" w:bidi="en-GB"/>
      </w:rPr>
    </w:lvl>
    <w:lvl w:ilvl="4" w:tplc="661E0D04">
      <w:numFmt w:val="bullet"/>
      <w:lvlText w:val="•"/>
      <w:lvlJc w:val="left"/>
      <w:pPr>
        <w:ind w:left="856" w:hanging="217"/>
      </w:pPr>
      <w:rPr>
        <w:rFonts w:hint="default"/>
        <w:lang w:val="en-GB" w:eastAsia="en-GB" w:bidi="en-GB"/>
      </w:rPr>
    </w:lvl>
    <w:lvl w:ilvl="5" w:tplc="8EBEA678">
      <w:numFmt w:val="bullet"/>
      <w:lvlText w:val="•"/>
      <w:lvlJc w:val="left"/>
      <w:pPr>
        <w:ind w:left="995" w:hanging="217"/>
      </w:pPr>
      <w:rPr>
        <w:rFonts w:hint="default"/>
        <w:lang w:val="en-GB" w:eastAsia="en-GB" w:bidi="en-GB"/>
      </w:rPr>
    </w:lvl>
    <w:lvl w:ilvl="6" w:tplc="EDC0A392">
      <w:numFmt w:val="bullet"/>
      <w:lvlText w:val="•"/>
      <w:lvlJc w:val="left"/>
      <w:pPr>
        <w:ind w:left="1134" w:hanging="217"/>
      </w:pPr>
      <w:rPr>
        <w:rFonts w:hint="default"/>
        <w:lang w:val="en-GB" w:eastAsia="en-GB" w:bidi="en-GB"/>
      </w:rPr>
    </w:lvl>
    <w:lvl w:ilvl="7" w:tplc="9F2CC572">
      <w:numFmt w:val="bullet"/>
      <w:lvlText w:val="•"/>
      <w:lvlJc w:val="left"/>
      <w:pPr>
        <w:ind w:left="1273" w:hanging="217"/>
      </w:pPr>
      <w:rPr>
        <w:rFonts w:hint="default"/>
        <w:lang w:val="en-GB" w:eastAsia="en-GB" w:bidi="en-GB"/>
      </w:rPr>
    </w:lvl>
    <w:lvl w:ilvl="8" w:tplc="2272CF40">
      <w:numFmt w:val="bullet"/>
      <w:lvlText w:val="•"/>
      <w:lvlJc w:val="left"/>
      <w:pPr>
        <w:ind w:left="1412" w:hanging="217"/>
      </w:pPr>
      <w:rPr>
        <w:rFonts w:hint="default"/>
        <w:lang w:val="en-GB" w:eastAsia="en-GB" w:bidi="en-GB"/>
      </w:rPr>
    </w:lvl>
  </w:abstractNum>
  <w:abstractNum w:abstractNumId="757" w15:restartNumberingAfterBreak="0">
    <w:nsid w:val="47177A29"/>
    <w:multiLevelType w:val="hybridMultilevel"/>
    <w:tmpl w:val="89B45174"/>
    <w:lvl w:ilvl="0" w:tplc="6344A14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CA4B512">
      <w:numFmt w:val="bullet"/>
      <w:lvlText w:val="•"/>
      <w:lvlJc w:val="left"/>
      <w:pPr>
        <w:ind w:left="439" w:hanging="217"/>
      </w:pPr>
      <w:rPr>
        <w:rFonts w:hint="default"/>
        <w:lang w:val="en-GB" w:eastAsia="en-GB" w:bidi="en-GB"/>
      </w:rPr>
    </w:lvl>
    <w:lvl w:ilvl="2" w:tplc="FBC69380">
      <w:numFmt w:val="bullet"/>
      <w:lvlText w:val="•"/>
      <w:lvlJc w:val="left"/>
      <w:pPr>
        <w:ind w:left="578" w:hanging="217"/>
      </w:pPr>
      <w:rPr>
        <w:rFonts w:hint="default"/>
        <w:lang w:val="en-GB" w:eastAsia="en-GB" w:bidi="en-GB"/>
      </w:rPr>
    </w:lvl>
    <w:lvl w:ilvl="3" w:tplc="3816F12C">
      <w:numFmt w:val="bullet"/>
      <w:lvlText w:val="•"/>
      <w:lvlJc w:val="left"/>
      <w:pPr>
        <w:ind w:left="717" w:hanging="217"/>
      </w:pPr>
      <w:rPr>
        <w:rFonts w:hint="default"/>
        <w:lang w:val="en-GB" w:eastAsia="en-GB" w:bidi="en-GB"/>
      </w:rPr>
    </w:lvl>
    <w:lvl w:ilvl="4" w:tplc="DB668216">
      <w:numFmt w:val="bullet"/>
      <w:lvlText w:val="•"/>
      <w:lvlJc w:val="left"/>
      <w:pPr>
        <w:ind w:left="856" w:hanging="217"/>
      </w:pPr>
      <w:rPr>
        <w:rFonts w:hint="default"/>
        <w:lang w:val="en-GB" w:eastAsia="en-GB" w:bidi="en-GB"/>
      </w:rPr>
    </w:lvl>
    <w:lvl w:ilvl="5" w:tplc="F6408C0A">
      <w:numFmt w:val="bullet"/>
      <w:lvlText w:val="•"/>
      <w:lvlJc w:val="left"/>
      <w:pPr>
        <w:ind w:left="995" w:hanging="217"/>
      </w:pPr>
      <w:rPr>
        <w:rFonts w:hint="default"/>
        <w:lang w:val="en-GB" w:eastAsia="en-GB" w:bidi="en-GB"/>
      </w:rPr>
    </w:lvl>
    <w:lvl w:ilvl="6" w:tplc="C1F468E4">
      <w:numFmt w:val="bullet"/>
      <w:lvlText w:val="•"/>
      <w:lvlJc w:val="left"/>
      <w:pPr>
        <w:ind w:left="1134" w:hanging="217"/>
      </w:pPr>
      <w:rPr>
        <w:rFonts w:hint="default"/>
        <w:lang w:val="en-GB" w:eastAsia="en-GB" w:bidi="en-GB"/>
      </w:rPr>
    </w:lvl>
    <w:lvl w:ilvl="7" w:tplc="6458F49A">
      <w:numFmt w:val="bullet"/>
      <w:lvlText w:val="•"/>
      <w:lvlJc w:val="left"/>
      <w:pPr>
        <w:ind w:left="1273" w:hanging="217"/>
      </w:pPr>
      <w:rPr>
        <w:rFonts w:hint="default"/>
        <w:lang w:val="en-GB" w:eastAsia="en-GB" w:bidi="en-GB"/>
      </w:rPr>
    </w:lvl>
    <w:lvl w:ilvl="8" w:tplc="7C1A5848">
      <w:numFmt w:val="bullet"/>
      <w:lvlText w:val="•"/>
      <w:lvlJc w:val="left"/>
      <w:pPr>
        <w:ind w:left="1412" w:hanging="217"/>
      </w:pPr>
      <w:rPr>
        <w:rFonts w:hint="default"/>
        <w:lang w:val="en-GB" w:eastAsia="en-GB" w:bidi="en-GB"/>
      </w:rPr>
    </w:lvl>
  </w:abstractNum>
  <w:abstractNum w:abstractNumId="758" w15:restartNumberingAfterBreak="0">
    <w:nsid w:val="4718199E"/>
    <w:multiLevelType w:val="hybridMultilevel"/>
    <w:tmpl w:val="0AFCD8AA"/>
    <w:lvl w:ilvl="0" w:tplc="961E61B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98C520C">
      <w:numFmt w:val="bullet"/>
      <w:lvlText w:val="•"/>
      <w:lvlJc w:val="left"/>
      <w:pPr>
        <w:ind w:left="473" w:hanging="217"/>
      </w:pPr>
      <w:rPr>
        <w:rFonts w:hint="default"/>
        <w:lang w:val="en-GB" w:eastAsia="en-GB" w:bidi="en-GB"/>
      </w:rPr>
    </w:lvl>
    <w:lvl w:ilvl="2" w:tplc="07EEA2A8">
      <w:numFmt w:val="bullet"/>
      <w:lvlText w:val="•"/>
      <w:lvlJc w:val="left"/>
      <w:pPr>
        <w:ind w:left="646" w:hanging="217"/>
      </w:pPr>
      <w:rPr>
        <w:rFonts w:hint="default"/>
        <w:lang w:val="en-GB" w:eastAsia="en-GB" w:bidi="en-GB"/>
      </w:rPr>
    </w:lvl>
    <w:lvl w:ilvl="3" w:tplc="AE101362">
      <w:numFmt w:val="bullet"/>
      <w:lvlText w:val="•"/>
      <w:lvlJc w:val="left"/>
      <w:pPr>
        <w:ind w:left="819" w:hanging="217"/>
      </w:pPr>
      <w:rPr>
        <w:rFonts w:hint="default"/>
        <w:lang w:val="en-GB" w:eastAsia="en-GB" w:bidi="en-GB"/>
      </w:rPr>
    </w:lvl>
    <w:lvl w:ilvl="4" w:tplc="19A2A850">
      <w:numFmt w:val="bullet"/>
      <w:lvlText w:val="•"/>
      <w:lvlJc w:val="left"/>
      <w:pPr>
        <w:ind w:left="992" w:hanging="217"/>
      </w:pPr>
      <w:rPr>
        <w:rFonts w:hint="default"/>
        <w:lang w:val="en-GB" w:eastAsia="en-GB" w:bidi="en-GB"/>
      </w:rPr>
    </w:lvl>
    <w:lvl w:ilvl="5" w:tplc="903CC8FA">
      <w:numFmt w:val="bullet"/>
      <w:lvlText w:val="•"/>
      <w:lvlJc w:val="left"/>
      <w:pPr>
        <w:ind w:left="1165" w:hanging="217"/>
      </w:pPr>
      <w:rPr>
        <w:rFonts w:hint="default"/>
        <w:lang w:val="en-GB" w:eastAsia="en-GB" w:bidi="en-GB"/>
      </w:rPr>
    </w:lvl>
    <w:lvl w:ilvl="6" w:tplc="BA409F3C">
      <w:numFmt w:val="bullet"/>
      <w:lvlText w:val="•"/>
      <w:lvlJc w:val="left"/>
      <w:pPr>
        <w:ind w:left="1338" w:hanging="217"/>
      </w:pPr>
      <w:rPr>
        <w:rFonts w:hint="default"/>
        <w:lang w:val="en-GB" w:eastAsia="en-GB" w:bidi="en-GB"/>
      </w:rPr>
    </w:lvl>
    <w:lvl w:ilvl="7" w:tplc="61A46668">
      <w:numFmt w:val="bullet"/>
      <w:lvlText w:val="•"/>
      <w:lvlJc w:val="left"/>
      <w:pPr>
        <w:ind w:left="1511" w:hanging="217"/>
      </w:pPr>
      <w:rPr>
        <w:rFonts w:hint="default"/>
        <w:lang w:val="en-GB" w:eastAsia="en-GB" w:bidi="en-GB"/>
      </w:rPr>
    </w:lvl>
    <w:lvl w:ilvl="8" w:tplc="3E689D20">
      <w:numFmt w:val="bullet"/>
      <w:lvlText w:val="•"/>
      <w:lvlJc w:val="left"/>
      <w:pPr>
        <w:ind w:left="1684" w:hanging="217"/>
      </w:pPr>
      <w:rPr>
        <w:rFonts w:hint="default"/>
        <w:lang w:val="en-GB" w:eastAsia="en-GB" w:bidi="en-GB"/>
      </w:rPr>
    </w:lvl>
  </w:abstractNum>
  <w:abstractNum w:abstractNumId="759" w15:restartNumberingAfterBreak="0">
    <w:nsid w:val="471C4768"/>
    <w:multiLevelType w:val="hybridMultilevel"/>
    <w:tmpl w:val="29CE41DA"/>
    <w:lvl w:ilvl="0" w:tplc="C5CCDCF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FD83FC8">
      <w:numFmt w:val="bullet"/>
      <w:lvlText w:val="•"/>
      <w:lvlJc w:val="left"/>
      <w:pPr>
        <w:ind w:left="892" w:hanging="217"/>
      </w:pPr>
      <w:rPr>
        <w:rFonts w:hint="default"/>
        <w:lang w:val="en-GB" w:eastAsia="en-GB" w:bidi="en-GB"/>
      </w:rPr>
    </w:lvl>
    <w:lvl w:ilvl="2" w:tplc="4E1E5AEE">
      <w:numFmt w:val="bullet"/>
      <w:lvlText w:val="•"/>
      <w:lvlJc w:val="left"/>
      <w:pPr>
        <w:ind w:left="1485" w:hanging="217"/>
      </w:pPr>
      <w:rPr>
        <w:rFonts w:hint="default"/>
        <w:lang w:val="en-GB" w:eastAsia="en-GB" w:bidi="en-GB"/>
      </w:rPr>
    </w:lvl>
    <w:lvl w:ilvl="3" w:tplc="B13E1B76">
      <w:numFmt w:val="bullet"/>
      <w:lvlText w:val="•"/>
      <w:lvlJc w:val="left"/>
      <w:pPr>
        <w:ind w:left="2077" w:hanging="217"/>
      </w:pPr>
      <w:rPr>
        <w:rFonts w:hint="default"/>
        <w:lang w:val="en-GB" w:eastAsia="en-GB" w:bidi="en-GB"/>
      </w:rPr>
    </w:lvl>
    <w:lvl w:ilvl="4" w:tplc="C764F6FC">
      <w:numFmt w:val="bullet"/>
      <w:lvlText w:val="•"/>
      <w:lvlJc w:val="left"/>
      <w:pPr>
        <w:ind w:left="2670" w:hanging="217"/>
      </w:pPr>
      <w:rPr>
        <w:rFonts w:hint="default"/>
        <w:lang w:val="en-GB" w:eastAsia="en-GB" w:bidi="en-GB"/>
      </w:rPr>
    </w:lvl>
    <w:lvl w:ilvl="5" w:tplc="B218CAAE">
      <w:numFmt w:val="bullet"/>
      <w:lvlText w:val="•"/>
      <w:lvlJc w:val="left"/>
      <w:pPr>
        <w:ind w:left="3263" w:hanging="217"/>
      </w:pPr>
      <w:rPr>
        <w:rFonts w:hint="default"/>
        <w:lang w:val="en-GB" w:eastAsia="en-GB" w:bidi="en-GB"/>
      </w:rPr>
    </w:lvl>
    <w:lvl w:ilvl="6" w:tplc="E892BF7A">
      <w:numFmt w:val="bullet"/>
      <w:lvlText w:val="•"/>
      <w:lvlJc w:val="left"/>
      <w:pPr>
        <w:ind w:left="3855" w:hanging="217"/>
      </w:pPr>
      <w:rPr>
        <w:rFonts w:hint="default"/>
        <w:lang w:val="en-GB" w:eastAsia="en-GB" w:bidi="en-GB"/>
      </w:rPr>
    </w:lvl>
    <w:lvl w:ilvl="7" w:tplc="57ACBA78">
      <w:numFmt w:val="bullet"/>
      <w:lvlText w:val="•"/>
      <w:lvlJc w:val="left"/>
      <w:pPr>
        <w:ind w:left="4448" w:hanging="217"/>
      </w:pPr>
      <w:rPr>
        <w:rFonts w:hint="default"/>
        <w:lang w:val="en-GB" w:eastAsia="en-GB" w:bidi="en-GB"/>
      </w:rPr>
    </w:lvl>
    <w:lvl w:ilvl="8" w:tplc="301863AA">
      <w:numFmt w:val="bullet"/>
      <w:lvlText w:val="•"/>
      <w:lvlJc w:val="left"/>
      <w:pPr>
        <w:ind w:left="5040" w:hanging="217"/>
      </w:pPr>
      <w:rPr>
        <w:rFonts w:hint="default"/>
        <w:lang w:val="en-GB" w:eastAsia="en-GB" w:bidi="en-GB"/>
      </w:rPr>
    </w:lvl>
  </w:abstractNum>
  <w:abstractNum w:abstractNumId="760" w15:restartNumberingAfterBreak="0">
    <w:nsid w:val="47235228"/>
    <w:multiLevelType w:val="hybridMultilevel"/>
    <w:tmpl w:val="2A9C2A1A"/>
    <w:lvl w:ilvl="0" w:tplc="A77E032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E4CB060">
      <w:numFmt w:val="bullet"/>
      <w:lvlText w:val="•"/>
      <w:lvlJc w:val="left"/>
      <w:pPr>
        <w:ind w:left="473" w:hanging="217"/>
      </w:pPr>
      <w:rPr>
        <w:rFonts w:hint="default"/>
        <w:lang w:val="en-GB" w:eastAsia="en-GB" w:bidi="en-GB"/>
      </w:rPr>
    </w:lvl>
    <w:lvl w:ilvl="2" w:tplc="D0468322">
      <w:numFmt w:val="bullet"/>
      <w:lvlText w:val="•"/>
      <w:lvlJc w:val="left"/>
      <w:pPr>
        <w:ind w:left="646" w:hanging="217"/>
      </w:pPr>
      <w:rPr>
        <w:rFonts w:hint="default"/>
        <w:lang w:val="en-GB" w:eastAsia="en-GB" w:bidi="en-GB"/>
      </w:rPr>
    </w:lvl>
    <w:lvl w:ilvl="3" w:tplc="1A186552">
      <w:numFmt w:val="bullet"/>
      <w:lvlText w:val="•"/>
      <w:lvlJc w:val="left"/>
      <w:pPr>
        <w:ind w:left="819" w:hanging="217"/>
      </w:pPr>
      <w:rPr>
        <w:rFonts w:hint="default"/>
        <w:lang w:val="en-GB" w:eastAsia="en-GB" w:bidi="en-GB"/>
      </w:rPr>
    </w:lvl>
    <w:lvl w:ilvl="4" w:tplc="59F465B0">
      <w:numFmt w:val="bullet"/>
      <w:lvlText w:val="•"/>
      <w:lvlJc w:val="left"/>
      <w:pPr>
        <w:ind w:left="992" w:hanging="217"/>
      </w:pPr>
      <w:rPr>
        <w:rFonts w:hint="default"/>
        <w:lang w:val="en-GB" w:eastAsia="en-GB" w:bidi="en-GB"/>
      </w:rPr>
    </w:lvl>
    <w:lvl w:ilvl="5" w:tplc="AFFAB93E">
      <w:numFmt w:val="bullet"/>
      <w:lvlText w:val="•"/>
      <w:lvlJc w:val="left"/>
      <w:pPr>
        <w:ind w:left="1165" w:hanging="217"/>
      </w:pPr>
      <w:rPr>
        <w:rFonts w:hint="default"/>
        <w:lang w:val="en-GB" w:eastAsia="en-GB" w:bidi="en-GB"/>
      </w:rPr>
    </w:lvl>
    <w:lvl w:ilvl="6" w:tplc="1A78EF7C">
      <w:numFmt w:val="bullet"/>
      <w:lvlText w:val="•"/>
      <w:lvlJc w:val="left"/>
      <w:pPr>
        <w:ind w:left="1338" w:hanging="217"/>
      </w:pPr>
      <w:rPr>
        <w:rFonts w:hint="default"/>
        <w:lang w:val="en-GB" w:eastAsia="en-GB" w:bidi="en-GB"/>
      </w:rPr>
    </w:lvl>
    <w:lvl w:ilvl="7" w:tplc="12047FF8">
      <w:numFmt w:val="bullet"/>
      <w:lvlText w:val="•"/>
      <w:lvlJc w:val="left"/>
      <w:pPr>
        <w:ind w:left="1511" w:hanging="217"/>
      </w:pPr>
      <w:rPr>
        <w:rFonts w:hint="default"/>
        <w:lang w:val="en-GB" w:eastAsia="en-GB" w:bidi="en-GB"/>
      </w:rPr>
    </w:lvl>
    <w:lvl w:ilvl="8" w:tplc="D0DC1600">
      <w:numFmt w:val="bullet"/>
      <w:lvlText w:val="•"/>
      <w:lvlJc w:val="left"/>
      <w:pPr>
        <w:ind w:left="1684" w:hanging="217"/>
      </w:pPr>
      <w:rPr>
        <w:rFonts w:hint="default"/>
        <w:lang w:val="en-GB" w:eastAsia="en-GB" w:bidi="en-GB"/>
      </w:rPr>
    </w:lvl>
  </w:abstractNum>
  <w:abstractNum w:abstractNumId="761" w15:restartNumberingAfterBreak="0">
    <w:nsid w:val="472C25CE"/>
    <w:multiLevelType w:val="hybridMultilevel"/>
    <w:tmpl w:val="3384B696"/>
    <w:lvl w:ilvl="0" w:tplc="3A7040D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C28EAB4">
      <w:numFmt w:val="bullet"/>
      <w:lvlText w:val="•"/>
      <w:lvlJc w:val="left"/>
      <w:pPr>
        <w:ind w:left="524" w:hanging="217"/>
      </w:pPr>
      <w:rPr>
        <w:rFonts w:hint="default"/>
        <w:lang w:val="en-GB" w:eastAsia="en-GB" w:bidi="en-GB"/>
      </w:rPr>
    </w:lvl>
    <w:lvl w:ilvl="2" w:tplc="784A13AC">
      <w:numFmt w:val="bullet"/>
      <w:lvlText w:val="•"/>
      <w:lvlJc w:val="left"/>
      <w:pPr>
        <w:ind w:left="748" w:hanging="217"/>
      </w:pPr>
      <w:rPr>
        <w:rFonts w:hint="default"/>
        <w:lang w:val="en-GB" w:eastAsia="en-GB" w:bidi="en-GB"/>
      </w:rPr>
    </w:lvl>
    <w:lvl w:ilvl="3" w:tplc="2DD8322E">
      <w:numFmt w:val="bullet"/>
      <w:lvlText w:val="•"/>
      <w:lvlJc w:val="left"/>
      <w:pPr>
        <w:ind w:left="972" w:hanging="217"/>
      </w:pPr>
      <w:rPr>
        <w:rFonts w:hint="default"/>
        <w:lang w:val="en-GB" w:eastAsia="en-GB" w:bidi="en-GB"/>
      </w:rPr>
    </w:lvl>
    <w:lvl w:ilvl="4" w:tplc="738667CA">
      <w:numFmt w:val="bullet"/>
      <w:lvlText w:val="•"/>
      <w:lvlJc w:val="left"/>
      <w:pPr>
        <w:ind w:left="1196" w:hanging="217"/>
      </w:pPr>
      <w:rPr>
        <w:rFonts w:hint="default"/>
        <w:lang w:val="en-GB" w:eastAsia="en-GB" w:bidi="en-GB"/>
      </w:rPr>
    </w:lvl>
    <w:lvl w:ilvl="5" w:tplc="25EE8780">
      <w:numFmt w:val="bullet"/>
      <w:lvlText w:val="•"/>
      <w:lvlJc w:val="left"/>
      <w:pPr>
        <w:ind w:left="1420" w:hanging="217"/>
      </w:pPr>
      <w:rPr>
        <w:rFonts w:hint="default"/>
        <w:lang w:val="en-GB" w:eastAsia="en-GB" w:bidi="en-GB"/>
      </w:rPr>
    </w:lvl>
    <w:lvl w:ilvl="6" w:tplc="CCECFBEC">
      <w:numFmt w:val="bullet"/>
      <w:lvlText w:val="•"/>
      <w:lvlJc w:val="left"/>
      <w:pPr>
        <w:ind w:left="1644" w:hanging="217"/>
      </w:pPr>
      <w:rPr>
        <w:rFonts w:hint="default"/>
        <w:lang w:val="en-GB" w:eastAsia="en-GB" w:bidi="en-GB"/>
      </w:rPr>
    </w:lvl>
    <w:lvl w:ilvl="7" w:tplc="23AA8AA0">
      <w:numFmt w:val="bullet"/>
      <w:lvlText w:val="•"/>
      <w:lvlJc w:val="left"/>
      <w:pPr>
        <w:ind w:left="1868" w:hanging="217"/>
      </w:pPr>
      <w:rPr>
        <w:rFonts w:hint="default"/>
        <w:lang w:val="en-GB" w:eastAsia="en-GB" w:bidi="en-GB"/>
      </w:rPr>
    </w:lvl>
    <w:lvl w:ilvl="8" w:tplc="9AF0886E">
      <w:numFmt w:val="bullet"/>
      <w:lvlText w:val="•"/>
      <w:lvlJc w:val="left"/>
      <w:pPr>
        <w:ind w:left="2092" w:hanging="217"/>
      </w:pPr>
      <w:rPr>
        <w:rFonts w:hint="default"/>
        <w:lang w:val="en-GB" w:eastAsia="en-GB" w:bidi="en-GB"/>
      </w:rPr>
    </w:lvl>
  </w:abstractNum>
  <w:abstractNum w:abstractNumId="762" w15:restartNumberingAfterBreak="0">
    <w:nsid w:val="47350D1C"/>
    <w:multiLevelType w:val="hybridMultilevel"/>
    <w:tmpl w:val="586C9A42"/>
    <w:lvl w:ilvl="0" w:tplc="70CCA14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90E7560">
      <w:numFmt w:val="bullet"/>
      <w:lvlText w:val="•"/>
      <w:lvlJc w:val="left"/>
      <w:pPr>
        <w:ind w:left="473" w:hanging="217"/>
      </w:pPr>
      <w:rPr>
        <w:rFonts w:hint="default"/>
        <w:lang w:val="en-GB" w:eastAsia="en-GB" w:bidi="en-GB"/>
      </w:rPr>
    </w:lvl>
    <w:lvl w:ilvl="2" w:tplc="445856EC">
      <w:numFmt w:val="bullet"/>
      <w:lvlText w:val="•"/>
      <w:lvlJc w:val="left"/>
      <w:pPr>
        <w:ind w:left="646" w:hanging="217"/>
      </w:pPr>
      <w:rPr>
        <w:rFonts w:hint="default"/>
        <w:lang w:val="en-GB" w:eastAsia="en-GB" w:bidi="en-GB"/>
      </w:rPr>
    </w:lvl>
    <w:lvl w:ilvl="3" w:tplc="0EEE06C0">
      <w:numFmt w:val="bullet"/>
      <w:lvlText w:val="•"/>
      <w:lvlJc w:val="left"/>
      <w:pPr>
        <w:ind w:left="819" w:hanging="217"/>
      </w:pPr>
      <w:rPr>
        <w:rFonts w:hint="default"/>
        <w:lang w:val="en-GB" w:eastAsia="en-GB" w:bidi="en-GB"/>
      </w:rPr>
    </w:lvl>
    <w:lvl w:ilvl="4" w:tplc="43F47EA8">
      <w:numFmt w:val="bullet"/>
      <w:lvlText w:val="•"/>
      <w:lvlJc w:val="left"/>
      <w:pPr>
        <w:ind w:left="992" w:hanging="217"/>
      </w:pPr>
      <w:rPr>
        <w:rFonts w:hint="default"/>
        <w:lang w:val="en-GB" w:eastAsia="en-GB" w:bidi="en-GB"/>
      </w:rPr>
    </w:lvl>
    <w:lvl w:ilvl="5" w:tplc="7668024E">
      <w:numFmt w:val="bullet"/>
      <w:lvlText w:val="•"/>
      <w:lvlJc w:val="left"/>
      <w:pPr>
        <w:ind w:left="1165" w:hanging="217"/>
      </w:pPr>
      <w:rPr>
        <w:rFonts w:hint="default"/>
        <w:lang w:val="en-GB" w:eastAsia="en-GB" w:bidi="en-GB"/>
      </w:rPr>
    </w:lvl>
    <w:lvl w:ilvl="6" w:tplc="D486CB86">
      <w:numFmt w:val="bullet"/>
      <w:lvlText w:val="•"/>
      <w:lvlJc w:val="left"/>
      <w:pPr>
        <w:ind w:left="1338" w:hanging="217"/>
      </w:pPr>
      <w:rPr>
        <w:rFonts w:hint="default"/>
        <w:lang w:val="en-GB" w:eastAsia="en-GB" w:bidi="en-GB"/>
      </w:rPr>
    </w:lvl>
    <w:lvl w:ilvl="7" w:tplc="6770D016">
      <w:numFmt w:val="bullet"/>
      <w:lvlText w:val="•"/>
      <w:lvlJc w:val="left"/>
      <w:pPr>
        <w:ind w:left="1511" w:hanging="217"/>
      </w:pPr>
      <w:rPr>
        <w:rFonts w:hint="default"/>
        <w:lang w:val="en-GB" w:eastAsia="en-GB" w:bidi="en-GB"/>
      </w:rPr>
    </w:lvl>
    <w:lvl w:ilvl="8" w:tplc="781A0110">
      <w:numFmt w:val="bullet"/>
      <w:lvlText w:val="•"/>
      <w:lvlJc w:val="left"/>
      <w:pPr>
        <w:ind w:left="1684" w:hanging="217"/>
      </w:pPr>
      <w:rPr>
        <w:rFonts w:hint="default"/>
        <w:lang w:val="en-GB" w:eastAsia="en-GB" w:bidi="en-GB"/>
      </w:rPr>
    </w:lvl>
  </w:abstractNum>
  <w:abstractNum w:abstractNumId="763" w15:restartNumberingAfterBreak="0">
    <w:nsid w:val="473741CD"/>
    <w:multiLevelType w:val="hybridMultilevel"/>
    <w:tmpl w:val="12BACE10"/>
    <w:lvl w:ilvl="0" w:tplc="B25AB916">
      <w:numFmt w:val="bullet"/>
      <w:lvlText w:val="•"/>
      <w:lvlJc w:val="left"/>
      <w:pPr>
        <w:ind w:left="300" w:hanging="217"/>
      </w:pPr>
      <w:rPr>
        <w:rFonts w:ascii="Arial" w:eastAsia="Arial" w:hAnsi="Arial" w:cs="Arial" w:hint="default"/>
        <w:color w:val="231F20"/>
        <w:w w:val="102"/>
        <w:sz w:val="17"/>
        <w:szCs w:val="17"/>
        <w:lang w:val="en-GB" w:eastAsia="en-GB" w:bidi="en-GB"/>
      </w:rPr>
    </w:lvl>
    <w:lvl w:ilvl="1" w:tplc="0F80E648">
      <w:numFmt w:val="bullet"/>
      <w:lvlText w:val="•"/>
      <w:lvlJc w:val="left"/>
      <w:pPr>
        <w:ind w:left="892" w:hanging="217"/>
      </w:pPr>
      <w:rPr>
        <w:rFonts w:hint="default"/>
        <w:lang w:val="en-GB" w:eastAsia="en-GB" w:bidi="en-GB"/>
      </w:rPr>
    </w:lvl>
    <w:lvl w:ilvl="2" w:tplc="F190DC68">
      <w:numFmt w:val="bullet"/>
      <w:lvlText w:val="•"/>
      <w:lvlJc w:val="left"/>
      <w:pPr>
        <w:ind w:left="1484" w:hanging="217"/>
      </w:pPr>
      <w:rPr>
        <w:rFonts w:hint="default"/>
        <w:lang w:val="en-GB" w:eastAsia="en-GB" w:bidi="en-GB"/>
      </w:rPr>
    </w:lvl>
    <w:lvl w:ilvl="3" w:tplc="342C0E10">
      <w:numFmt w:val="bullet"/>
      <w:lvlText w:val="•"/>
      <w:lvlJc w:val="left"/>
      <w:pPr>
        <w:ind w:left="2076" w:hanging="217"/>
      </w:pPr>
      <w:rPr>
        <w:rFonts w:hint="default"/>
        <w:lang w:val="en-GB" w:eastAsia="en-GB" w:bidi="en-GB"/>
      </w:rPr>
    </w:lvl>
    <w:lvl w:ilvl="4" w:tplc="C01200FA">
      <w:numFmt w:val="bullet"/>
      <w:lvlText w:val="•"/>
      <w:lvlJc w:val="left"/>
      <w:pPr>
        <w:ind w:left="2668" w:hanging="217"/>
      </w:pPr>
      <w:rPr>
        <w:rFonts w:hint="default"/>
        <w:lang w:val="en-GB" w:eastAsia="en-GB" w:bidi="en-GB"/>
      </w:rPr>
    </w:lvl>
    <w:lvl w:ilvl="5" w:tplc="E63C215E">
      <w:numFmt w:val="bullet"/>
      <w:lvlText w:val="•"/>
      <w:lvlJc w:val="left"/>
      <w:pPr>
        <w:ind w:left="3260" w:hanging="217"/>
      </w:pPr>
      <w:rPr>
        <w:rFonts w:hint="default"/>
        <w:lang w:val="en-GB" w:eastAsia="en-GB" w:bidi="en-GB"/>
      </w:rPr>
    </w:lvl>
    <w:lvl w:ilvl="6" w:tplc="9140BD88">
      <w:numFmt w:val="bullet"/>
      <w:lvlText w:val="•"/>
      <w:lvlJc w:val="left"/>
      <w:pPr>
        <w:ind w:left="3852" w:hanging="217"/>
      </w:pPr>
      <w:rPr>
        <w:rFonts w:hint="default"/>
        <w:lang w:val="en-GB" w:eastAsia="en-GB" w:bidi="en-GB"/>
      </w:rPr>
    </w:lvl>
    <w:lvl w:ilvl="7" w:tplc="9342E43C">
      <w:numFmt w:val="bullet"/>
      <w:lvlText w:val="•"/>
      <w:lvlJc w:val="left"/>
      <w:pPr>
        <w:ind w:left="4444" w:hanging="217"/>
      </w:pPr>
      <w:rPr>
        <w:rFonts w:hint="default"/>
        <w:lang w:val="en-GB" w:eastAsia="en-GB" w:bidi="en-GB"/>
      </w:rPr>
    </w:lvl>
    <w:lvl w:ilvl="8" w:tplc="5F580AAE">
      <w:numFmt w:val="bullet"/>
      <w:lvlText w:val="•"/>
      <w:lvlJc w:val="left"/>
      <w:pPr>
        <w:ind w:left="5036" w:hanging="217"/>
      </w:pPr>
      <w:rPr>
        <w:rFonts w:hint="default"/>
        <w:lang w:val="en-GB" w:eastAsia="en-GB" w:bidi="en-GB"/>
      </w:rPr>
    </w:lvl>
  </w:abstractNum>
  <w:abstractNum w:abstractNumId="764" w15:restartNumberingAfterBreak="0">
    <w:nsid w:val="475E2057"/>
    <w:multiLevelType w:val="hybridMultilevel"/>
    <w:tmpl w:val="C7E062C8"/>
    <w:lvl w:ilvl="0" w:tplc="E844406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D74683C">
      <w:numFmt w:val="bullet"/>
      <w:lvlText w:val="•"/>
      <w:lvlJc w:val="left"/>
      <w:pPr>
        <w:ind w:left="892" w:hanging="217"/>
      </w:pPr>
      <w:rPr>
        <w:rFonts w:hint="default"/>
        <w:lang w:val="en-GB" w:eastAsia="en-GB" w:bidi="en-GB"/>
      </w:rPr>
    </w:lvl>
    <w:lvl w:ilvl="2" w:tplc="1C1EF868">
      <w:numFmt w:val="bullet"/>
      <w:lvlText w:val="•"/>
      <w:lvlJc w:val="left"/>
      <w:pPr>
        <w:ind w:left="1485" w:hanging="217"/>
      </w:pPr>
      <w:rPr>
        <w:rFonts w:hint="default"/>
        <w:lang w:val="en-GB" w:eastAsia="en-GB" w:bidi="en-GB"/>
      </w:rPr>
    </w:lvl>
    <w:lvl w:ilvl="3" w:tplc="5D365DCC">
      <w:numFmt w:val="bullet"/>
      <w:lvlText w:val="•"/>
      <w:lvlJc w:val="left"/>
      <w:pPr>
        <w:ind w:left="2077" w:hanging="217"/>
      </w:pPr>
      <w:rPr>
        <w:rFonts w:hint="default"/>
        <w:lang w:val="en-GB" w:eastAsia="en-GB" w:bidi="en-GB"/>
      </w:rPr>
    </w:lvl>
    <w:lvl w:ilvl="4" w:tplc="BBEE3304">
      <w:numFmt w:val="bullet"/>
      <w:lvlText w:val="•"/>
      <w:lvlJc w:val="left"/>
      <w:pPr>
        <w:ind w:left="2670" w:hanging="217"/>
      </w:pPr>
      <w:rPr>
        <w:rFonts w:hint="default"/>
        <w:lang w:val="en-GB" w:eastAsia="en-GB" w:bidi="en-GB"/>
      </w:rPr>
    </w:lvl>
    <w:lvl w:ilvl="5" w:tplc="A3E40760">
      <w:numFmt w:val="bullet"/>
      <w:lvlText w:val="•"/>
      <w:lvlJc w:val="left"/>
      <w:pPr>
        <w:ind w:left="3263" w:hanging="217"/>
      </w:pPr>
      <w:rPr>
        <w:rFonts w:hint="default"/>
        <w:lang w:val="en-GB" w:eastAsia="en-GB" w:bidi="en-GB"/>
      </w:rPr>
    </w:lvl>
    <w:lvl w:ilvl="6" w:tplc="5240BD9A">
      <w:numFmt w:val="bullet"/>
      <w:lvlText w:val="•"/>
      <w:lvlJc w:val="left"/>
      <w:pPr>
        <w:ind w:left="3855" w:hanging="217"/>
      </w:pPr>
      <w:rPr>
        <w:rFonts w:hint="default"/>
        <w:lang w:val="en-GB" w:eastAsia="en-GB" w:bidi="en-GB"/>
      </w:rPr>
    </w:lvl>
    <w:lvl w:ilvl="7" w:tplc="6A800952">
      <w:numFmt w:val="bullet"/>
      <w:lvlText w:val="•"/>
      <w:lvlJc w:val="left"/>
      <w:pPr>
        <w:ind w:left="4448" w:hanging="217"/>
      </w:pPr>
      <w:rPr>
        <w:rFonts w:hint="default"/>
        <w:lang w:val="en-GB" w:eastAsia="en-GB" w:bidi="en-GB"/>
      </w:rPr>
    </w:lvl>
    <w:lvl w:ilvl="8" w:tplc="10B8B28E">
      <w:numFmt w:val="bullet"/>
      <w:lvlText w:val="•"/>
      <w:lvlJc w:val="left"/>
      <w:pPr>
        <w:ind w:left="5040" w:hanging="217"/>
      </w:pPr>
      <w:rPr>
        <w:rFonts w:hint="default"/>
        <w:lang w:val="en-GB" w:eastAsia="en-GB" w:bidi="en-GB"/>
      </w:rPr>
    </w:lvl>
  </w:abstractNum>
  <w:abstractNum w:abstractNumId="765" w15:restartNumberingAfterBreak="0">
    <w:nsid w:val="47735782"/>
    <w:multiLevelType w:val="hybridMultilevel"/>
    <w:tmpl w:val="DF4A9744"/>
    <w:lvl w:ilvl="0" w:tplc="997E05D0">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35CADDFE">
      <w:numFmt w:val="bullet"/>
      <w:lvlText w:val="•"/>
      <w:lvlJc w:val="left"/>
      <w:pPr>
        <w:ind w:left="892" w:hanging="217"/>
      </w:pPr>
      <w:rPr>
        <w:rFonts w:hint="default"/>
        <w:lang w:val="en-GB" w:eastAsia="en-GB" w:bidi="en-GB"/>
      </w:rPr>
    </w:lvl>
    <w:lvl w:ilvl="2" w:tplc="EC447E6A">
      <w:numFmt w:val="bullet"/>
      <w:lvlText w:val="•"/>
      <w:lvlJc w:val="left"/>
      <w:pPr>
        <w:ind w:left="1485" w:hanging="217"/>
      </w:pPr>
      <w:rPr>
        <w:rFonts w:hint="default"/>
        <w:lang w:val="en-GB" w:eastAsia="en-GB" w:bidi="en-GB"/>
      </w:rPr>
    </w:lvl>
    <w:lvl w:ilvl="3" w:tplc="0C20894E">
      <w:numFmt w:val="bullet"/>
      <w:lvlText w:val="•"/>
      <w:lvlJc w:val="left"/>
      <w:pPr>
        <w:ind w:left="2077" w:hanging="217"/>
      </w:pPr>
      <w:rPr>
        <w:rFonts w:hint="default"/>
        <w:lang w:val="en-GB" w:eastAsia="en-GB" w:bidi="en-GB"/>
      </w:rPr>
    </w:lvl>
    <w:lvl w:ilvl="4" w:tplc="1D441BF2">
      <w:numFmt w:val="bullet"/>
      <w:lvlText w:val="•"/>
      <w:lvlJc w:val="left"/>
      <w:pPr>
        <w:ind w:left="2670" w:hanging="217"/>
      </w:pPr>
      <w:rPr>
        <w:rFonts w:hint="default"/>
        <w:lang w:val="en-GB" w:eastAsia="en-GB" w:bidi="en-GB"/>
      </w:rPr>
    </w:lvl>
    <w:lvl w:ilvl="5" w:tplc="52141EDA">
      <w:numFmt w:val="bullet"/>
      <w:lvlText w:val="•"/>
      <w:lvlJc w:val="left"/>
      <w:pPr>
        <w:ind w:left="3263" w:hanging="217"/>
      </w:pPr>
      <w:rPr>
        <w:rFonts w:hint="default"/>
        <w:lang w:val="en-GB" w:eastAsia="en-GB" w:bidi="en-GB"/>
      </w:rPr>
    </w:lvl>
    <w:lvl w:ilvl="6" w:tplc="00D655D4">
      <w:numFmt w:val="bullet"/>
      <w:lvlText w:val="•"/>
      <w:lvlJc w:val="left"/>
      <w:pPr>
        <w:ind w:left="3855" w:hanging="217"/>
      </w:pPr>
      <w:rPr>
        <w:rFonts w:hint="default"/>
        <w:lang w:val="en-GB" w:eastAsia="en-GB" w:bidi="en-GB"/>
      </w:rPr>
    </w:lvl>
    <w:lvl w:ilvl="7" w:tplc="2FF2B8C6">
      <w:numFmt w:val="bullet"/>
      <w:lvlText w:val="•"/>
      <w:lvlJc w:val="left"/>
      <w:pPr>
        <w:ind w:left="4448" w:hanging="217"/>
      </w:pPr>
      <w:rPr>
        <w:rFonts w:hint="default"/>
        <w:lang w:val="en-GB" w:eastAsia="en-GB" w:bidi="en-GB"/>
      </w:rPr>
    </w:lvl>
    <w:lvl w:ilvl="8" w:tplc="19704226">
      <w:numFmt w:val="bullet"/>
      <w:lvlText w:val="•"/>
      <w:lvlJc w:val="left"/>
      <w:pPr>
        <w:ind w:left="5040" w:hanging="217"/>
      </w:pPr>
      <w:rPr>
        <w:rFonts w:hint="default"/>
        <w:lang w:val="en-GB" w:eastAsia="en-GB" w:bidi="en-GB"/>
      </w:rPr>
    </w:lvl>
  </w:abstractNum>
  <w:abstractNum w:abstractNumId="766" w15:restartNumberingAfterBreak="0">
    <w:nsid w:val="477D4D49"/>
    <w:multiLevelType w:val="hybridMultilevel"/>
    <w:tmpl w:val="4560CBD4"/>
    <w:lvl w:ilvl="0" w:tplc="3ACC1BD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B62A48C">
      <w:numFmt w:val="bullet"/>
      <w:lvlText w:val="•"/>
      <w:lvlJc w:val="left"/>
      <w:pPr>
        <w:ind w:left="439" w:hanging="217"/>
      </w:pPr>
      <w:rPr>
        <w:rFonts w:hint="default"/>
        <w:lang w:val="en-GB" w:eastAsia="en-GB" w:bidi="en-GB"/>
      </w:rPr>
    </w:lvl>
    <w:lvl w:ilvl="2" w:tplc="120C93E2">
      <w:numFmt w:val="bullet"/>
      <w:lvlText w:val="•"/>
      <w:lvlJc w:val="left"/>
      <w:pPr>
        <w:ind w:left="578" w:hanging="217"/>
      </w:pPr>
      <w:rPr>
        <w:rFonts w:hint="default"/>
        <w:lang w:val="en-GB" w:eastAsia="en-GB" w:bidi="en-GB"/>
      </w:rPr>
    </w:lvl>
    <w:lvl w:ilvl="3" w:tplc="F21CBB2C">
      <w:numFmt w:val="bullet"/>
      <w:lvlText w:val="•"/>
      <w:lvlJc w:val="left"/>
      <w:pPr>
        <w:ind w:left="717" w:hanging="217"/>
      </w:pPr>
      <w:rPr>
        <w:rFonts w:hint="default"/>
        <w:lang w:val="en-GB" w:eastAsia="en-GB" w:bidi="en-GB"/>
      </w:rPr>
    </w:lvl>
    <w:lvl w:ilvl="4" w:tplc="FEA0C8A4">
      <w:numFmt w:val="bullet"/>
      <w:lvlText w:val="•"/>
      <w:lvlJc w:val="left"/>
      <w:pPr>
        <w:ind w:left="856" w:hanging="217"/>
      </w:pPr>
      <w:rPr>
        <w:rFonts w:hint="default"/>
        <w:lang w:val="en-GB" w:eastAsia="en-GB" w:bidi="en-GB"/>
      </w:rPr>
    </w:lvl>
    <w:lvl w:ilvl="5" w:tplc="DBDC22B0">
      <w:numFmt w:val="bullet"/>
      <w:lvlText w:val="•"/>
      <w:lvlJc w:val="left"/>
      <w:pPr>
        <w:ind w:left="995" w:hanging="217"/>
      </w:pPr>
      <w:rPr>
        <w:rFonts w:hint="default"/>
        <w:lang w:val="en-GB" w:eastAsia="en-GB" w:bidi="en-GB"/>
      </w:rPr>
    </w:lvl>
    <w:lvl w:ilvl="6" w:tplc="2F36A8D8">
      <w:numFmt w:val="bullet"/>
      <w:lvlText w:val="•"/>
      <w:lvlJc w:val="left"/>
      <w:pPr>
        <w:ind w:left="1134" w:hanging="217"/>
      </w:pPr>
      <w:rPr>
        <w:rFonts w:hint="default"/>
        <w:lang w:val="en-GB" w:eastAsia="en-GB" w:bidi="en-GB"/>
      </w:rPr>
    </w:lvl>
    <w:lvl w:ilvl="7" w:tplc="16B8CEB6">
      <w:numFmt w:val="bullet"/>
      <w:lvlText w:val="•"/>
      <w:lvlJc w:val="left"/>
      <w:pPr>
        <w:ind w:left="1273" w:hanging="217"/>
      </w:pPr>
      <w:rPr>
        <w:rFonts w:hint="default"/>
        <w:lang w:val="en-GB" w:eastAsia="en-GB" w:bidi="en-GB"/>
      </w:rPr>
    </w:lvl>
    <w:lvl w:ilvl="8" w:tplc="B23652F0">
      <w:numFmt w:val="bullet"/>
      <w:lvlText w:val="•"/>
      <w:lvlJc w:val="left"/>
      <w:pPr>
        <w:ind w:left="1412" w:hanging="217"/>
      </w:pPr>
      <w:rPr>
        <w:rFonts w:hint="default"/>
        <w:lang w:val="en-GB" w:eastAsia="en-GB" w:bidi="en-GB"/>
      </w:rPr>
    </w:lvl>
  </w:abstractNum>
  <w:abstractNum w:abstractNumId="767" w15:restartNumberingAfterBreak="0">
    <w:nsid w:val="479D0BC6"/>
    <w:multiLevelType w:val="hybridMultilevel"/>
    <w:tmpl w:val="A004321A"/>
    <w:lvl w:ilvl="0" w:tplc="7DFE0AA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4823086">
      <w:numFmt w:val="bullet"/>
      <w:lvlText w:val="•"/>
      <w:lvlJc w:val="left"/>
      <w:pPr>
        <w:ind w:left="1061" w:hanging="217"/>
      </w:pPr>
      <w:rPr>
        <w:rFonts w:hint="default"/>
        <w:lang w:val="en-GB" w:eastAsia="en-GB" w:bidi="en-GB"/>
      </w:rPr>
    </w:lvl>
    <w:lvl w:ilvl="2" w:tplc="DC8EC5BC">
      <w:numFmt w:val="bullet"/>
      <w:lvlText w:val="•"/>
      <w:lvlJc w:val="left"/>
      <w:pPr>
        <w:ind w:left="1823" w:hanging="217"/>
      </w:pPr>
      <w:rPr>
        <w:rFonts w:hint="default"/>
        <w:lang w:val="en-GB" w:eastAsia="en-GB" w:bidi="en-GB"/>
      </w:rPr>
    </w:lvl>
    <w:lvl w:ilvl="3" w:tplc="6B68135E">
      <w:numFmt w:val="bullet"/>
      <w:lvlText w:val="•"/>
      <w:lvlJc w:val="left"/>
      <w:pPr>
        <w:ind w:left="2585" w:hanging="217"/>
      </w:pPr>
      <w:rPr>
        <w:rFonts w:hint="default"/>
        <w:lang w:val="en-GB" w:eastAsia="en-GB" w:bidi="en-GB"/>
      </w:rPr>
    </w:lvl>
    <w:lvl w:ilvl="4" w:tplc="464E6F1E">
      <w:numFmt w:val="bullet"/>
      <w:lvlText w:val="•"/>
      <w:lvlJc w:val="left"/>
      <w:pPr>
        <w:ind w:left="3346" w:hanging="217"/>
      </w:pPr>
      <w:rPr>
        <w:rFonts w:hint="default"/>
        <w:lang w:val="en-GB" w:eastAsia="en-GB" w:bidi="en-GB"/>
      </w:rPr>
    </w:lvl>
    <w:lvl w:ilvl="5" w:tplc="595218BE">
      <w:numFmt w:val="bullet"/>
      <w:lvlText w:val="•"/>
      <w:lvlJc w:val="left"/>
      <w:pPr>
        <w:ind w:left="4108" w:hanging="217"/>
      </w:pPr>
      <w:rPr>
        <w:rFonts w:hint="default"/>
        <w:lang w:val="en-GB" w:eastAsia="en-GB" w:bidi="en-GB"/>
      </w:rPr>
    </w:lvl>
    <w:lvl w:ilvl="6" w:tplc="9CEA53A6">
      <w:numFmt w:val="bullet"/>
      <w:lvlText w:val="•"/>
      <w:lvlJc w:val="left"/>
      <w:pPr>
        <w:ind w:left="4870" w:hanging="217"/>
      </w:pPr>
      <w:rPr>
        <w:rFonts w:hint="default"/>
        <w:lang w:val="en-GB" w:eastAsia="en-GB" w:bidi="en-GB"/>
      </w:rPr>
    </w:lvl>
    <w:lvl w:ilvl="7" w:tplc="9A7C1E90">
      <w:numFmt w:val="bullet"/>
      <w:lvlText w:val="•"/>
      <w:lvlJc w:val="left"/>
      <w:pPr>
        <w:ind w:left="5631" w:hanging="217"/>
      </w:pPr>
      <w:rPr>
        <w:rFonts w:hint="default"/>
        <w:lang w:val="en-GB" w:eastAsia="en-GB" w:bidi="en-GB"/>
      </w:rPr>
    </w:lvl>
    <w:lvl w:ilvl="8" w:tplc="F678EDC4">
      <w:numFmt w:val="bullet"/>
      <w:lvlText w:val="•"/>
      <w:lvlJc w:val="left"/>
      <w:pPr>
        <w:ind w:left="6393" w:hanging="217"/>
      </w:pPr>
      <w:rPr>
        <w:rFonts w:hint="default"/>
        <w:lang w:val="en-GB" w:eastAsia="en-GB" w:bidi="en-GB"/>
      </w:rPr>
    </w:lvl>
  </w:abstractNum>
  <w:abstractNum w:abstractNumId="768" w15:restartNumberingAfterBreak="0">
    <w:nsid w:val="47B654E2"/>
    <w:multiLevelType w:val="hybridMultilevel"/>
    <w:tmpl w:val="4E905D44"/>
    <w:lvl w:ilvl="0" w:tplc="607A8DA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3FA719E">
      <w:numFmt w:val="bullet"/>
      <w:lvlText w:val="•"/>
      <w:lvlJc w:val="left"/>
      <w:pPr>
        <w:ind w:left="473" w:hanging="217"/>
      </w:pPr>
      <w:rPr>
        <w:rFonts w:hint="default"/>
        <w:lang w:val="en-GB" w:eastAsia="en-GB" w:bidi="en-GB"/>
      </w:rPr>
    </w:lvl>
    <w:lvl w:ilvl="2" w:tplc="2C146140">
      <w:numFmt w:val="bullet"/>
      <w:lvlText w:val="•"/>
      <w:lvlJc w:val="left"/>
      <w:pPr>
        <w:ind w:left="646" w:hanging="217"/>
      </w:pPr>
      <w:rPr>
        <w:rFonts w:hint="default"/>
        <w:lang w:val="en-GB" w:eastAsia="en-GB" w:bidi="en-GB"/>
      </w:rPr>
    </w:lvl>
    <w:lvl w:ilvl="3" w:tplc="3806C786">
      <w:numFmt w:val="bullet"/>
      <w:lvlText w:val="•"/>
      <w:lvlJc w:val="left"/>
      <w:pPr>
        <w:ind w:left="819" w:hanging="217"/>
      </w:pPr>
      <w:rPr>
        <w:rFonts w:hint="default"/>
        <w:lang w:val="en-GB" w:eastAsia="en-GB" w:bidi="en-GB"/>
      </w:rPr>
    </w:lvl>
    <w:lvl w:ilvl="4" w:tplc="D4CE92E8">
      <w:numFmt w:val="bullet"/>
      <w:lvlText w:val="•"/>
      <w:lvlJc w:val="left"/>
      <w:pPr>
        <w:ind w:left="992" w:hanging="217"/>
      </w:pPr>
      <w:rPr>
        <w:rFonts w:hint="default"/>
        <w:lang w:val="en-GB" w:eastAsia="en-GB" w:bidi="en-GB"/>
      </w:rPr>
    </w:lvl>
    <w:lvl w:ilvl="5" w:tplc="656A083A">
      <w:numFmt w:val="bullet"/>
      <w:lvlText w:val="•"/>
      <w:lvlJc w:val="left"/>
      <w:pPr>
        <w:ind w:left="1165" w:hanging="217"/>
      </w:pPr>
      <w:rPr>
        <w:rFonts w:hint="default"/>
        <w:lang w:val="en-GB" w:eastAsia="en-GB" w:bidi="en-GB"/>
      </w:rPr>
    </w:lvl>
    <w:lvl w:ilvl="6" w:tplc="D64222F2">
      <w:numFmt w:val="bullet"/>
      <w:lvlText w:val="•"/>
      <w:lvlJc w:val="left"/>
      <w:pPr>
        <w:ind w:left="1338" w:hanging="217"/>
      </w:pPr>
      <w:rPr>
        <w:rFonts w:hint="default"/>
        <w:lang w:val="en-GB" w:eastAsia="en-GB" w:bidi="en-GB"/>
      </w:rPr>
    </w:lvl>
    <w:lvl w:ilvl="7" w:tplc="1CF6834E">
      <w:numFmt w:val="bullet"/>
      <w:lvlText w:val="•"/>
      <w:lvlJc w:val="left"/>
      <w:pPr>
        <w:ind w:left="1511" w:hanging="217"/>
      </w:pPr>
      <w:rPr>
        <w:rFonts w:hint="default"/>
        <w:lang w:val="en-GB" w:eastAsia="en-GB" w:bidi="en-GB"/>
      </w:rPr>
    </w:lvl>
    <w:lvl w:ilvl="8" w:tplc="EE1688CE">
      <w:numFmt w:val="bullet"/>
      <w:lvlText w:val="•"/>
      <w:lvlJc w:val="left"/>
      <w:pPr>
        <w:ind w:left="1684" w:hanging="217"/>
      </w:pPr>
      <w:rPr>
        <w:rFonts w:hint="default"/>
        <w:lang w:val="en-GB" w:eastAsia="en-GB" w:bidi="en-GB"/>
      </w:rPr>
    </w:lvl>
  </w:abstractNum>
  <w:abstractNum w:abstractNumId="769" w15:restartNumberingAfterBreak="0">
    <w:nsid w:val="47B77339"/>
    <w:multiLevelType w:val="hybridMultilevel"/>
    <w:tmpl w:val="6A801FE0"/>
    <w:lvl w:ilvl="0" w:tplc="18283BE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840EC94">
      <w:numFmt w:val="bullet"/>
      <w:lvlText w:val="•"/>
      <w:lvlJc w:val="left"/>
      <w:pPr>
        <w:ind w:left="473" w:hanging="217"/>
      </w:pPr>
      <w:rPr>
        <w:rFonts w:hint="default"/>
        <w:lang w:val="en-GB" w:eastAsia="en-GB" w:bidi="en-GB"/>
      </w:rPr>
    </w:lvl>
    <w:lvl w:ilvl="2" w:tplc="965CCCBE">
      <w:numFmt w:val="bullet"/>
      <w:lvlText w:val="•"/>
      <w:lvlJc w:val="left"/>
      <w:pPr>
        <w:ind w:left="646" w:hanging="217"/>
      </w:pPr>
      <w:rPr>
        <w:rFonts w:hint="default"/>
        <w:lang w:val="en-GB" w:eastAsia="en-GB" w:bidi="en-GB"/>
      </w:rPr>
    </w:lvl>
    <w:lvl w:ilvl="3" w:tplc="54164E26">
      <w:numFmt w:val="bullet"/>
      <w:lvlText w:val="•"/>
      <w:lvlJc w:val="left"/>
      <w:pPr>
        <w:ind w:left="819" w:hanging="217"/>
      </w:pPr>
      <w:rPr>
        <w:rFonts w:hint="default"/>
        <w:lang w:val="en-GB" w:eastAsia="en-GB" w:bidi="en-GB"/>
      </w:rPr>
    </w:lvl>
    <w:lvl w:ilvl="4" w:tplc="996C6984">
      <w:numFmt w:val="bullet"/>
      <w:lvlText w:val="•"/>
      <w:lvlJc w:val="left"/>
      <w:pPr>
        <w:ind w:left="992" w:hanging="217"/>
      </w:pPr>
      <w:rPr>
        <w:rFonts w:hint="default"/>
        <w:lang w:val="en-GB" w:eastAsia="en-GB" w:bidi="en-GB"/>
      </w:rPr>
    </w:lvl>
    <w:lvl w:ilvl="5" w:tplc="7D640A00">
      <w:numFmt w:val="bullet"/>
      <w:lvlText w:val="•"/>
      <w:lvlJc w:val="left"/>
      <w:pPr>
        <w:ind w:left="1165" w:hanging="217"/>
      </w:pPr>
      <w:rPr>
        <w:rFonts w:hint="default"/>
        <w:lang w:val="en-GB" w:eastAsia="en-GB" w:bidi="en-GB"/>
      </w:rPr>
    </w:lvl>
    <w:lvl w:ilvl="6" w:tplc="03927122">
      <w:numFmt w:val="bullet"/>
      <w:lvlText w:val="•"/>
      <w:lvlJc w:val="left"/>
      <w:pPr>
        <w:ind w:left="1338" w:hanging="217"/>
      </w:pPr>
      <w:rPr>
        <w:rFonts w:hint="default"/>
        <w:lang w:val="en-GB" w:eastAsia="en-GB" w:bidi="en-GB"/>
      </w:rPr>
    </w:lvl>
    <w:lvl w:ilvl="7" w:tplc="851880F6">
      <w:numFmt w:val="bullet"/>
      <w:lvlText w:val="•"/>
      <w:lvlJc w:val="left"/>
      <w:pPr>
        <w:ind w:left="1511" w:hanging="217"/>
      </w:pPr>
      <w:rPr>
        <w:rFonts w:hint="default"/>
        <w:lang w:val="en-GB" w:eastAsia="en-GB" w:bidi="en-GB"/>
      </w:rPr>
    </w:lvl>
    <w:lvl w:ilvl="8" w:tplc="C088A042">
      <w:numFmt w:val="bullet"/>
      <w:lvlText w:val="•"/>
      <w:lvlJc w:val="left"/>
      <w:pPr>
        <w:ind w:left="1684" w:hanging="217"/>
      </w:pPr>
      <w:rPr>
        <w:rFonts w:hint="default"/>
        <w:lang w:val="en-GB" w:eastAsia="en-GB" w:bidi="en-GB"/>
      </w:rPr>
    </w:lvl>
  </w:abstractNum>
  <w:abstractNum w:abstractNumId="770" w15:restartNumberingAfterBreak="0">
    <w:nsid w:val="47B81580"/>
    <w:multiLevelType w:val="hybridMultilevel"/>
    <w:tmpl w:val="1F4281F8"/>
    <w:lvl w:ilvl="0" w:tplc="9DE26CD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C7CC9F2">
      <w:numFmt w:val="bullet"/>
      <w:lvlText w:val="•"/>
      <w:lvlJc w:val="left"/>
      <w:pPr>
        <w:ind w:left="473" w:hanging="217"/>
      </w:pPr>
      <w:rPr>
        <w:rFonts w:hint="default"/>
        <w:lang w:val="en-GB" w:eastAsia="en-GB" w:bidi="en-GB"/>
      </w:rPr>
    </w:lvl>
    <w:lvl w:ilvl="2" w:tplc="C5724372">
      <w:numFmt w:val="bullet"/>
      <w:lvlText w:val="•"/>
      <w:lvlJc w:val="left"/>
      <w:pPr>
        <w:ind w:left="646" w:hanging="217"/>
      </w:pPr>
      <w:rPr>
        <w:rFonts w:hint="default"/>
        <w:lang w:val="en-GB" w:eastAsia="en-GB" w:bidi="en-GB"/>
      </w:rPr>
    </w:lvl>
    <w:lvl w:ilvl="3" w:tplc="BB6A5944">
      <w:numFmt w:val="bullet"/>
      <w:lvlText w:val="•"/>
      <w:lvlJc w:val="left"/>
      <w:pPr>
        <w:ind w:left="819" w:hanging="217"/>
      </w:pPr>
      <w:rPr>
        <w:rFonts w:hint="default"/>
        <w:lang w:val="en-GB" w:eastAsia="en-GB" w:bidi="en-GB"/>
      </w:rPr>
    </w:lvl>
    <w:lvl w:ilvl="4" w:tplc="EDF68344">
      <w:numFmt w:val="bullet"/>
      <w:lvlText w:val="•"/>
      <w:lvlJc w:val="left"/>
      <w:pPr>
        <w:ind w:left="992" w:hanging="217"/>
      </w:pPr>
      <w:rPr>
        <w:rFonts w:hint="default"/>
        <w:lang w:val="en-GB" w:eastAsia="en-GB" w:bidi="en-GB"/>
      </w:rPr>
    </w:lvl>
    <w:lvl w:ilvl="5" w:tplc="55AAF6C8">
      <w:numFmt w:val="bullet"/>
      <w:lvlText w:val="•"/>
      <w:lvlJc w:val="left"/>
      <w:pPr>
        <w:ind w:left="1165" w:hanging="217"/>
      </w:pPr>
      <w:rPr>
        <w:rFonts w:hint="default"/>
        <w:lang w:val="en-GB" w:eastAsia="en-GB" w:bidi="en-GB"/>
      </w:rPr>
    </w:lvl>
    <w:lvl w:ilvl="6" w:tplc="150E3064">
      <w:numFmt w:val="bullet"/>
      <w:lvlText w:val="•"/>
      <w:lvlJc w:val="left"/>
      <w:pPr>
        <w:ind w:left="1338" w:hanging="217"/>
      </w:pPr>
      <w:rPr>
        <w:rFonts w:hint="default"/>
        <w:lang w:val="en-GB" w:eastAsia="en-GB" w:bidi="en-GB"/>
      </w:rPr>
    </w:lvl>
    <w:lvl w:ilvl="7" w:tplc="B21EC138">
      <w:numFmt w:val="bullet"/>
      <w:lvlText w:val="•"/>
      <w:lvlJc w:val="left"/>
      <w:pPr>
        <w:ind w:left="1511" w:hanging="217"/>
      </w:pPr>
      <w:rPr>
        <w:rFonts w:hint="default"/>
        <w:lang w:val="en-GB" w:eastAsia="en-GB" w:bidi="en-GB"/>
      </w:rPr>
    </w:lvl>
    <w:lvl w:ilvl="8" w:tplc="28F6DC60">
      <w:numFmt w:val="bullet"/>
      <w:lvlText w:val="•"/>
      <w:lvlJc w:val="left"/>
      <w:pPr>
        <w:ind w:left="1684" w:hanging="217"/>
      </w:pPr>
      <w:rPr>
        <w:rFonts w:hint="default"/>
        <w:lang w:val="en-GB" w:eastAsia="en-GB" w:bidi="en-GB"/>
      </w:rPr>
    </w:lvl>
  </w:abstractNum>
  <w:abstractNum w:abstractNumId="771" w15:restartNumberingAfterBreak="0">
    <w:nsid w:val="47D57C12"/>
    <w:multiLevelType w:val="hybridMultilevel"/>
    <w:tmpl w:val="17BE447C"/>
    <w:lvl w:ilvl="0" w:tplc="BBA40A88">
      <w:numFmt w:val="bullet"/>
      <w:lvlText w:val="•"/>
      <w:lvlJc w:val="left"/>
      <w:pPr>
        <w:ind w:left="305" w:hanging="217"/>
      </w:pPr>
      <w:rPr>
        <w:rFonts w:ascii="Arial" w:eastAsia="Arial" w:hAnsi="Arial" w:cs="Arial" w:hint="default"/>
        <w:color w:val="231F20"/>
        <w:spacing w:val="-2"/>
        <w:w w:val="100"/>
        <w:sz w:val="18"/>
        <w:szCs w:val="18"/>
        <w:lang w:val="en-GB" w:eastAsia="en-GB" w:bidi="en-GB"/>
      </w:rPr>
    </w:lvl>
    <w:lvl w:ilvl="1" w:tplc="875A2608">
      <w:numFmt w:val="bullet"/>
      <w:lvlText w:val="•"/>
      <w:lvlJc w:val="left"/>
      <w:pPr>
        <w:ind w:left="524" w:hanging="217"/>
      </w:pPr>
      <w:rPr>
        <w:rFonts w:hint="default"/>
        <w:lang w:val="en-GB" w:eastAsia="en-GB" w:bidi="en-GB"/>
      </w:rPr>
    </w:lvl>
    <w:lvl w:ilvl="2" w:tplc="7658B3F4">
      <w:numFmt w:val="bullet"/>
      <w:lvlText w:val="•"/>
      <w:lvlJc w:val="left"/>
      <w:pPr>
        <w:ind w:left="748" w:hanging="217"/>
      </w:pPr>
      <w:rPr>
        <w:rFonts w:hint="default"/>
        <w:lang w:val="en-GB" w:eastAsia="en-GB" w:bidi="en-GB"/>
      </w:rPr>
    </w:lvl>
    <w:lvl w:ilvl="3" w:tplc="46B64368">
      <w:numFmt w:val="bullet"/>
      <w:lvlText w:val="•"/>
      <w:lvlJc w:val="left"/>
      <w:pPr>
        <w:ind w:left="972" w:hanging="217"/>
      </w:pPr>
      <w:rPr>
        <w:rFonts w:hint="default"/>
        <w:lang w:val="en-GB" w:eastAsia="en-GB" w:bidi="en-GB"/>
      </w:rPr>
    </w:lvl>
    <w:lvl w:ilvl="4" w:tplc="7CA4061A">
      <w:numFmt w:val="bullet"/>
      <w:lvlText w:val="•"/>
      <w:lvlJc w:val="left"/>
      <w:pPr>
        <w:ind w:left="1196" w:hanging="217"/>
      </w:pPr>
      <w:rPr>
        <w:rFonts w:hint="default"/>
        <w:lang w:val="en-GB" w:eastAsia="en-GB" w:bidi="en-GB"/>
      </w:rPr>
    </w:lvl>
    <w:lvl w:ilvl="5" w:tplc="57FE468E">
      <w:numFmt w:val="bullet"/>
      <w:lvlText w:val="•"/>
      <w:lvlJc w:val="left"/>
      <w:pPr>
        <w:ind w:left="1420" w:hanging="217"/>
      </w:pPr>
      <w:rPr>
        <w:rFonts w:hint="default"/>
        <w:lang w:val="en-GB" w:eastAsia="en-GB" w:bidi="en-GB"/>
      </w:rPr>
    </w:lvl>
    <w:lvl w:ilvl="6" w:tplc="0644A72C">
      <w:numFmt w:val="bullet"/>
      <w:lvlText w:val="•"/>
      <w:lvlJc w:val="left"/>
      <w:pPr>
        <w:ind w:left="1644" w:hanging="217"/>
      </w:pPr>
      <w:rPr>
        <w:rFonts w:hint="default"/>
        <w:lang w:val="en-GB" w:eastAsia="en-GB" w:bidi="en-GB"/>
      </w:rPr>
    </w:lvl>
    <w:lvl w:ilvl="7" w:tplc="CE82E750">
      <w:numFmt w:val="bullet"/>
      <w:lvlText w:val="•"/>
      <w:lvlJc w:val="left"/>
      <w:pPr>
        <w:ind w:left="1868" w:hanging="217"/>
      </w:pPr>
      <w:rPr>
        <w:rFonts w:hint="default"/>
        <w:lang w:val="en-GB" w:eastAsia="en-GB" w:bidi="en-GB"/>
      </w:rPr>
    </w:lvl>
    <w:lvl w:ilvl="8" w:tplc="6BB21192">
      <w:numFmt w:val="bullet"/>
      <w:lvlText w:val="•"/>
      <w:lvlJc w:val="left"/>
      <w:pPr>
        <w:ind w:left="2092" w:hanging="217"/>
      </w:pPr>
      <w:rPr>
        <w:rFonts w:hint="default"/>
        <w:lang w:val="en-GB" w:eastAsia="en-GB" w:bidi="en-GB"/>
      </w:rPr>
    </w:lvl>
  </w:abstractNum>
  <w:abstractNum w:abstractNumId="772" w15:restartNumberingAfterBreak="0">
    <w:nsid w:val="4801015E"/>
    <w:multiLevelType w:val="hybridMultilevel"/>
    <w:tmpl w:val="4E020E08"/>
    <w:lvl w:ilvl="0" w:tplc="C978B976">
      <w:numFmt w:val="bullet"/>
      <w:lvlText w:val="•"/>
      <w:lvlJc w:val="left"/>
      <w:pPr>
        <w:ind w:left="276" w:hanging="217"/>
      </w:pPr>
      <w:rPr>
        <w:rFonts w:ascii="Arial" w:eastAsia="Arial" w:hAnsi="Arial" w:cs="Arial" w:hint="default"/>
        <w:color w:val="231F20"/>
        <w:w w:val="97"/>
        <w:sz w:val="16"/>
        <w:szCs w:val="16"/>
        <w:lang w:val="en-GB" w:eastAsia="en-GB" w:bidi="en-GB"/>
      </w:rPr>
    </w:lvl>
    <w:lvl w:ilvl="1" w:tplc="5ECE8150">
      <w:numFmt w:val="bullet"/>
      <w:lvlText w:val="•"/>
      <w:lvlJc w:val="left"/>
      <w:pPr>
        <w:ind w:left="381" w:hanging="217"/>
      </w:pPr>
      <w:rPr>
        <w:rFonts w:hint="default"/>
        <w:lang w:val="en-GB" w:eastAsia="en-GB" w:bidi="en-GB"/>
      </w:rPr>
    </w:lvl>
    <w:lvl w:ilvl="2" w:tplc="42CAD22A">
      <w:numFmt w:val="bullet"/>
      <w:lvlText w:val="•"/>
      <w:lvlJc w:val="left"/>
      <w:pPr>
        <w:ind w:left="482" w:hanging="217"/>
      </w:pPr>
      <w:rPr>
        <w:rFonts w:hint="default"/>
        <w:lang w:val="en-GB" w:eastAsia="en-GB" w:bidi="en-GB"/>
      </w:rPr>
    </w:lvl>
    <w:lvl w:ilvl="3" w:tplc="27AC3EE4">
      <w:numFmt w:val="bullet"/>
      <w:lvlText w:val="•"/>
      <w:lvlJc w:val="left"/>
      <w:pPr>
        <w:ind w:left="584" w:hanging="217"/>
      </w:pPr>
      <w:rPr>
        <w:rFonts w:hint="default"/>
        <w:lang w:val="en-GB" w:eastAsia="en-GB" w:bidi="en-GB"/>
      </w:rPr>
    </w:lvl>
    <w:lvl w:ilvl="4" w:tplc="152E0308">
      <w:numFmt w:val="bullet"/>
      <w:lvlText w:val="•"/>
      <w:lvlJc w:val="left"/>
      <w:pPr>
        <w:ind w:left="685" w:hanging="217"/>
      </w:pPr>
      <w:rPr>
        <w:rFonts w:hint="default"/>
        <w:lang w:val="en-GB" w:eastAsia="en-GB" w:bidi="en-GB"/>
      </w:rPr>
    </w:lvl>
    <w:lvl w:ilvl="5" w:tplc="B90A3048">
      <w:numFmt w:val="bullet"/>
      <w:lvlText w:val="•"/>
      <w:lvlJc w:val="left"/>
      <w:pPr>
        <w:ind w:left="787" w:hanging="217"/>
      </w:pPr>
      <w:rPr>
        <w:rFonts w:hint="default"/>
        <w:lang w:val="en-GB" w:eastAsia="en-GB" w:bidi="en-GB"/>
      </w:rPr>
    </w:lvl>
    <w:lvl w:ilvl="6" w:tplc="A2B219CC">
      <w:numFmt w:val="bullet"/>
      <w:lvlText w:val="•"/>
      <w:lvlJc w:val="left"/>
      <w:pPr>
        <w:ind w:left="888" w:hanging="217"/>
      </w:pPr>
      <w:rPr>
        <w:rFonts w:hint="default"/>
        <w:lang w:val="en-GB" w:eastAsia="en-GB" w:bidi="en-GB"/>
      </w:rPr>
    </w:lvl>
    <w:lvl w:ilvl="7" w:tplc="0322774A">
      <w:numFmt w:val="bullet"/>
      <w:lvlText w:val="•"/>
      <w:lvlJc w:val="left"/>
      <w:pPr>
        <w:ind w:left="989" w:hanging="217"/>
      </w:pPr>
      <w:rPr>
        <w:rFonts w:hint="default"/>
        <w:lang w:val="en-GB" w:eastAsia="en-GB" w:bidi="en-GB"/>
      </w:rPr>
    </w:lvl>
    <w:lvl w:ilvl="8" w:tplc="D3304FA6">
      <w:numFmt w:val="bullet"/>
      <w:lvlText w:val="•"/>
      <w:lvlJc w:val="left"/>
      <w:pPr>
        <w:ind w:left="1091" w:hanging="217"/>
      </w:pPr>
      <w:rPr>
        <w:rFonts w:hint="default"/>
        <w:lang w:val="en-GB" w:eastAsia="en-GB" w:bidi="en-GB"/>
      </w:rPr>
    </w:lvl>
  </w:abstractNum>
  <w:abstractNum w:abstractNumId="773" w15:restartNumberingAfterBreak="0">
    <w:nsid w:val="480A6598"/>
    <w:multiLevelType w:val="hybridMultilevel"/>
    <w:tmpl w:val="AD925818"/>
    <w:lvl w:ilvl="0" w:tplc="03E8560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7B453B0">
      <w:numFmt w:val="bullet"/>
      <w:lvlText w:val="•"/>
      <w:lvlJc w:val="left"/>
      <w:pPr>
        <w:ind w:left="892" w:hanging="217"/>
      </w:pPr>
      <w:rPr>
        <w:rFonts w:hint="default"/>
        <w:lang w:val="en-GB" w:eastAsia="en-GB" w:bidi="en-GB"/>
      </w:rPr>
    </w:lvl>
    <w:lvl w:ilvl="2" w:tplc="F5F07DA6">
      <w:numFmt w:val="bullet"/>
      <w:lvlText w:val="•"/>
      <w:lvlJc w:val="left"/>
      <w:pPr>
        <w:ind w:left="1485" w:hanging="217"/>
      </w:pPr>
      <w:rPr>
        <w:rFonts w:hint="default"/>
        <w:lang w:val="en-GB" w:eastAsia="en-GB" w:bidi="en-GB"/>
      </w:rPr>
    </w:lvl>
    <w:lvl w:ilvl="3" w:tplc="EB1639C0">
      <w:numFmt w:val="bullet"/>
      <w:lvlText w:val="•"/>
      <w:lvlJc w:val="left"/>
      <w:pPr>
        <w:ind w:left="2077" w:hanging="217"/>
      </w:pPr>
      <w:rPr>
        <w:rFonts w:hint="default"/>
        <w:lang w:val="en-GB" w:eastAsia="en-GB" w:bidi="en-GB"/>
      </w:rPr>
    </w:lvl>
    <w:lvl w:ilvl="4" w:tplc="E876BE26">
      <w:numFmt w:val="bullet"/>
      <w:lvlText w:val="•"/>
      <w:lvlJc w:val="left"/>
      <w:pPr>
        <w:ind w:left="2670" w:hanging="217"/>
      </w:pPr>
      <w:rPr>
        <w:rFonts w:hint="default"/>
        <w:lang w:val="en-GB" w:eastAsia="en-GB" w:bidi="en-GB"/>
      </w:rPr>
    </w:lvl>
    <w:lvl w:ilvl="5" w:tplc="71427C6E">
      <w:numFmt w:val="bullet"/>
      <w:lvlText w:val="•"/>
      <w:lvlJc w:val="left"/>
      <w:pPr>
        <w:ind w:left="3263" w:hanging="217"/>
      </w:pPr>
      <w:rPr>
        <w:rFonts w:hint="default"/>
        <w:lang w:val="en-GB" w:eastAsia="en-GB" w:bidi="en-GB"/>
      </w:rPr>
    </w:lvl>
    <w:lvl w:ilvl="6" w:tplc="0D5A8EBA">
      <w:numFmt w:val="bullet"/>
      <w:lvlText w:val="•"/>
      <w:lvlJc w:val="left"/>
      <w:pPr>
        <w:ind w:left="3855" w:hanging="217"/>
      </w:pPr>
      <w:rPr>
        <w:rFonts w:hint="default"/>
        <w:lang w:val="en-GB" w:eastAsia="en-GB" w:bidi="en-GB"/>
      </w:rPr>
    </w:lvl>
    <w:lvl w:ilvl="7" w:tplc="F496E812">
      <w:numFmt w:val="bullet"/>
      <w:lvlText w:val="•"/>
      <w:lvlJc w:val="left"/>
      <w:pPr>
        <w:ind w:left="4448" w:hanging="217"/>
      </w:pPr>
      <w:rPr>
        <w:rFonts w:hint="default"/>
        <w:lang w:val="en-GB" w:eastAsia="en-GB" w:bidi="en-GB"/>
      </w:rPr>
    </w:lvl>
    <w:lvl w:ilvl="8" w:tplc="A9EC3D9C">
      <w:numFmt w:val="bullet"/>
      <w:lvlText w:val="•"/>
      <w:lvlJc w:val="left"/>
      <w:pPr>
        <w:ind w:left="5040" w:hanging="217"/>
      </w:pPr>
      <w:rPr>
        <w:rFonts w:hint="default"/>
        <w:lang w:val="en-GB" w:eastAsia="en-GB" w:bidi="en-GB"/>
      </w:rPr>
    </w:lvl>
  </w:abstractNum>
  <w:abstractNum w:abstractNumId="774" w15:restartNumberingAfterBreak="0">
    <w:nsid w:val="480C2D35"/>
    <w:multiLevelType w:val="hybridMultilevel"/>
    <w:tmpl w:val="014AF5F6"/>
    <w:lvl w:ilvl="0" w:tplc="9D962AA8">
      <w:numFmt w:val="bullet"/>
      <w:lvlText w:val="•"/>
      <w:lvlJc w:val="left"/>
      <w:pPr>
        <w:ind w:left="306" w:hanging="217"/>
      </w:pPr>
      <w:rPr>
        <w:rFonts w:ascii="Arial" w:eastAsia="Arial" w:hAnsi="Arial" w:cs="Arial" w:hint="default"/>
        <w:color w:val="231F20"/>
        <w:spacing w:val="-1"/>
        <w:w w:val="100"/>
        <w:sz w:val="18"/>
        <w:szCs w:val="18"/>
        <w:lang w:val="en-GB" w:eastAsia="en-GB" w:bidi="en-GB"/>
      </w:rPr>
    </w:lvl>
    <w:lvl w:ilvl="1" w:tplc="F558FCFA">
      <w:numFmt w:val="bullet"/>
      <w:lvlText w:val="•"/>
      <w:lvlJc w:val="left"/>
      <w:pPr>
        <w:ind w:left="444" w:hanging="217"/>
      </w:pPr>
      <w:rPr>
        <w:rFonts w:hint="default"/>
        <w:lang w:val="en-GB" w:eastAsia="en-GB" w:bidi="en-GB"/>
      </w:rPr>
    </w:lvl>
    <w:lvl w:ilvl="2" w:tplc="C4AA5C68">
      <w:numFmt w:val="bullet"/>
      <w:lvlText w:val="•"/>
      <w:lvlJc w:val="left"/>
      <w:pPr>
        <w:ind w:left="589" w:hanging="217"/>
      </w:pPr>
      <w:rPr>
        <w:rFonts w:hint="default"/>
        <w:lang w:val="en-GB" w:eastAsia="en-GB" w:bidi="en-GB"/>
      </w:rPr>
    </w:lvl>
    <w:lvl w:ilvl="3" w:tplc="865E5956">
      <w:numFmt w:val="bullet"/>
      <w:lvlText w:val="•"/>
      <w:lvlJc w:val="left"/>
      <w:pPr>
        <w:ind w:left="734" w:hanging="217"/>
      </w:pPr>
      <w:rPr>
        <w:rFonts w:hint="default"/>
        <w:lang w:val="en-GB" w:eastAsia="en-GB" w:bidi="en-GB"/>
      </w:rPr>
    </w:lvl>
    <w:lvl w:ilvl="4" w:tplc="CE38EC7E">
      <w:numFmt w:val="bullet"/>
      <w:lvlText w:val="•"/>
      <w:lvlJc w:val="left"/>
      <w:pPr>
        <w:ind w:left="878" w:hanging="217"/>
      </w:pPr>
      <w:rPr>
        <w:rFonts w:hint="default"/>
        <w:lang w:val="en-GB" w:eastAsia="en-GB" w:bidi="en-GB"/>
      </w:rPr>
    </w:lvl>
    <w:lvl w:ilvl="5" w:tplc="3648EE74">
      <w:numFmt w:val="bullet"/>
      <w:lvlText w:val="•"/>
      <w:lvlJc w:val="left"/>
      <w:pPr>
        <w:ind w:left="1023" w:hanging="217"/>
      </w:pPr>
      <w:rPr>
        <w:rFonts w:hint="default"/>
        <w:lang w:val="en-GB" w:eastAsia="en-GB" w:bidi="en-GB"/>
      </w:rPr>
    </w:lvl>
    <w:lvl w:ilvl="6" w:tplc="98206D10">
      <w:numFmt w:val="bullet"/>
      <w:lvlText w:val="•"/>
      <w:lvlJc w:val="left"/>
      <w:pPr>
        <w:ind w:left="1168" w:hanging="217"/>
      </w:pPr>
      <w:rPr>
        <w:rFonts w:hint="default"/>
        <w:lang w:val="en-GB" w:eastAsia="en-GB" w:bidi="en-GB"/>
      </w:rPr>
    </w:lvl>
    <w:lvl w:ilvl="7" w:tplc="5AAC0E58">
      <w:numFmt w:val="bullet"/>
      <w:lvlText w:val="•"/>
      <w:lvlJc w:val="left"/>
      <w:pPr>
        <w:ind w:left="1312" w:hanging="217"/>
      </w:pPr>
      <w:rPr>
        <w:rFonts w:hint="default"/>
        <w:lang w:val="en-GB" w:eastAsia="en-GB" w:bidi="en-GB"/>
      </w:rPr>
    </w:lvl>
    <w:lvl w:ilvl="8" w:tplc="96CA5864">
      <w:numFmt w:val="bullet"/>
      <w:lvlText w:val="•"/>
      <w:lvlJc w:val="left"/>
      <w:pPr>
        <w:ind w:left="1457" w:hanging="217"/>
      </w:pPr>
      <w:rPr>
        <w:rFonts w:hint="default"/>
        <w:lang w:val="en-GB" w:eastAsia="en-GB" w:bidi="en-GB"/>
      </w:rPr>
    </w:lvl>
  </w:abstractNum>
  <w:abstractNum w:abstractNumId="775" w15:restartNumberingAfterBreak="0">
    <w:nsid w:val="48216C36"/>
    <w:multiLevelType w:val="hybridMultilevel"/>
    <w:tmpl w:val="57362EC8"/>
    <w:lvl w:ilvl="0" w:tplc="3BDCBDD0">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4E0EBF9C">
      <w:numFmt w:val="bullet"/>
      <w:lvlText w:val="•"/>
      <w:lvlJc w:val="left"/>
      <w:pPr>
        <w:ind w:left="473" w:hanging="217"/>
      </w:pPr>
      <w:rPr>
        <w:rFonts w:hint="default"/>
        <w:lang w:val="en-GB" w:eastAsia="en-GB" w:bidi="en-GB"/>
      </w:rPr>
    </w:lvl>
    <w:lvl w:ilvl="2" w:tplc="699CF7AC">
      <w:numFmt w:val="bullet"/>
      <w:lvlText w:val="•"/>
      <w:lvlJc w:val="left"/>
      <w:pPr>
        <w:ind w:left="646" w:hanging="217"/>
      </w:pPr>
      <w:rPr>
        <w:rFonts w:hint="default"/>
        <w:lang w:val="en-GB" w:eastAsia="en-GB" w:bidi="en-GB"/>
      </w:rPr>
    </w:lvl>
    <w:lvl w:ilvl="3" w:tplc="18D0640A">
      <w:numFmt w:val="bullet"/>
      <w:lvlText w:val="•"/>
      <w:lvlJc w:val="left"/>
      <w:pPr>
        <w:ind w:left="819" w:hanging="217"/>
      </w:pPr>
      <w:rPr>
        <w:rFonts w:hint="default"/>
        <w:lang w:val="en-GB" w:eastAsia="en-GB" w:bidi="en-GB"/>
      </w:rPr>
    </w:lvl>
    <w:lvl w:ilvl="4" w:tplc="6DB09996">
      <w:numFmt w:val="bullet"/>
      <w:lvlText w:val="•"/>
      <w:lvlJc w:val="left"/>
      <w:pPr>
        <w:ind w:left="992" w:hanging="217"/>
      </w:pPr>
      <w:rPr>
        <w:rFonts w:hint="default"/>
        <w:lang w:val="en-GB" w:eastAsia="en-GB" w:bidi="en-GB"/>
      </w:rPr>
    </w:lvl>
    <w:lvl w:ilvl="5" w:tplc="8F007C84">
      <w:numFmt w:val="bullet"/>
      <w:lvlText w:val="•"/>
      <w:lvlJc w:val="left"/>
      <w:pPr>
        <w:ind w:left="1165" w:hanging="217"/>
      </w:pPr>
      <w:rPr>
        <w:rFonts w:hint="default"/>
        <w:lang w:val="en-GB" w:eastAsia="en-GB" w:bidi="en-GB"/>
      </w:rPr>
    </w:lvl>
    <w:lvl w:ilvl="6" w:tplc="62FE3960">
      <w:numFmt w:val="bullet"/>
      <w:lvlText w:val="•"/>
      <w:lvlJc w:val="left"/>
      <w:pPr>
        <w:ind w:left="1338" w:hanging="217"/>
      </w:pPr>
      <w:rPr>
        <w:rFonts w:hint="default"/>
        <w:lang w:val="en-GB" w:eastAsia="en-GB" w:bidi="en-GB"/>
      </w:rPr>
    </w:lvl>
    <w:lvl w:ilvl="7" w:tplc="74B83606">
      <w:numFmt w:val="bullet"/>
      <w:lvlText w:val="•"/>
      <w:lvlJc w:val="left"/>
      <w:pPr>
        <w:ind w:left="1511" w:hanging="217"/>
      </w:pPr>
      <w:rPr>
        <w:rFonts w:hint="default"/>
        <w:lang w:val="en-GB" w:eastAsia="en-GB" w:bidi="en-GB"/>
      </w:rPr>
    </w:lvl>
    <w:lvl w:ilvl="8" w:tplc="113689D6">
      <w:numFmt w:val="bullet"/>
      <w:lvlText w:val="•"/>
      <w:lvlJc w:val="left"/>
      <w:pPr>
        <w:ind w:left="1684" w:hanging="217"/>
      </w:pPr>
      <w:rPr>
        <w:rFonts w:hint="default"/>
        <w:lang w:val="en-GB" w:eastAsia="en-GB" w:bidi="en-GB"/>
      </w:rPr>
    </w:lvl>
  </w:abstractNum>
  <w:abstractNum w:abstractNumId="776" w15:restartNumberingAfterBreak="0">
    <w:nsid w:val="482E4F34"/>
    <w:multiLevelType w:val="hybridMultilevel"/>
    <w:tmpl w:val="9596012E"/>
    <w:lvl w:ilvl="0" w:tplc="82903AC4">
      <w:numFmt w:val="bullet"/>
      <w:lvlText w:val="•"/>
      <w:lvlJc w:val="left"/>
      <w:pPr>
        <w:ind w:left="306" w:hanging="217"/>
      </w:pPr>
      <w:rPr>
        <w:rFonts w:ascii="Arial" w:eastAsia="Arial" w:hAnsi="Arial" w:cs="Arial" w:hint="default"/>
        <w:color w:val="231F20"/>
        <w:spacing w:val="-1"/>
        <w:w w:val="100"/>
        <w:sz w:val="18"/>
        <w:szCs w:val="18"/>
        <w:lang w:val="en-GB" w:eastAsia="en-GB" w:bidi="en-GB"/>
      </w:rPr>
    </w:lvl>
    <w:lvl w:ilvl="1" w:tplc="EDEC1BA8">
      <w:numFmt w:val="bullet"/>
      <w:lvlText w:val="•"/>
      <w:lvlJc w:val="left"/>
      <w:pPr>
        <w:ind w:left="444" w:hanging="217"/>
      </w:pPr>
      <w:rPr>
        <w:rFonts w:hint="default"/>
        <w:lang w:val="en-GB" w:eastAsia="en-GB" w:bidi="en-GB"/>
      </w:rPr>
    </w:lvl>
    <w:lvl w:ilvl="2" w:tplc="7CCACF9A">
      <w:numFmt w:val="bullet"/>
      <w:lvlText w:val="•"/>
      <w:lvlJc w:val="left"/>
      <w:pPr>
        <w:ind w:left="589" w:hanging="217"/>
      </w:pPr>
      <w:rPr>
        <w:rFonts w:hint="default"/>
        <w:lang w:val="en-GB" w:eastAsia="en-GB" w:bidi="en-GB"/>
      </w:rPr>
    </w:lvl>
    <w:lvl w:ilvl="3" w:tplc="D3AC0D2C">
      <w:numFmt w:val="bullet"/>
      <w:lvlText w:val="•"/>
      <w:lvlJc w:val="left"/>
      <w:pPr>
        <w:ind w:left="734" w:hanging="217"/>
      </w:pPr>
      <w:rPr>
        <w:rFonts w:hint="default"/>
        <w:lang w:val="en-GB" w:eastAsia="en-GB" w:bidi="en-GB"/>
      </w:rPr>
    </w:lvl>
    <w:lvl w:ilvl="4" w:tplc="CC3E049A">
      <w:numFmt w:val="bullet"/>
      <w:lvlText w:val="•"/>
      <w:lvlJc w:val="left"/>
      <w:pPr>
        <w:ind w:left="878" w:hanging="217"/>
      </w:pPr>
      <w:rPr>
        <w:rFonts w:hint="default"/>
        <w:lang w:val="en-GB" w:eastAsia="en-GB" w:bidi="en-GB"/>
      </w:rPr>
    </w:lvl>
    <w:lvl w:ilvl="5" w:tplc="0BC8519E">
      <w:numFmt w:val="bullet"/>
      <w:lvlText w:val="•"/>
      <w:lvlJc w:val="left"/>
      <w:pPr>
        <w:ind w:left="1023" w:hanging="217"/>
      </w:pPr>
      <w:rPr>
        <w:rFonts w:hint="default"/>
        <w:lang w:val="en-GB" w:eastAsia="en-GB" w:bidi="en-GB"/>
      </w:rPr>
    </w:lvl>
    <w:lvl w:ilvl="6" w:tplc="A8EE36CE">
      <w:numFmt w:val="bullet"/>
      <w:lvlText w:val="•"/>
      <w:lvlJc w:val="left"/>
      <w:pPr>
        <w:ind w:left="1168" w:hanging="217"/>
      </w:pPr>
      <w:rPr>
        <w:rFonts w:hint="default"/>
        <w:lang w:val="en-GB" w:eastAsia="en-GB" w:bidi="en-GB"/>
      </w:rPr>
    </w:lvl>
    <w:lvl w:ilvl="7" w:tplc="CC0C9C70">
      <w:numFmt w:val="bullet"/>
      <w:lvlText w:val="•"/>
      <w:lvlJc w:val="left"/>
      <w:pPr>
        <w:ind w:left="1312" w:hanging="217"/>
      </w:pPr>
      <w:rPr>
        <w:rFonts w:hint="default"/>
        <w:lang w:val="en-GB" w:eastAsia="en-GB" w:bidi="en-GB"/>
      </w:rPr>
    </w:lvl>
    <w:lvl w:ilvl="8" w:tplc="0EE6F84E">
      <w:numFmt w:val="bullet"/>
      <w:lvlText w:val="•"/>
      <w:lvlJc w:val="left"/>
      <w:pPr>
        <w:ind w:left="1457" w:hanging="217"/>
      </w:pPr>
      <w:rPr>
        <w:rFonts w:hint="default"/>
        <w:lang w:val="en-GB" w:eastAsia="en-GB" w:bidi="en-GB"/>
      </w:rPr>
    </w:lvl>
  </w:abstractNum>
  <w:abstractNum w:abstractNumId="777" w15:restartNumberingAfterBreak="0">
    <w:nsid w:val="4831401E"/>
    <w:multiLevelType w:val="hybridMultilevel"/>
    <w:tmpl w:val="DFE4BA72"/>
    <w:lvl w:ilvl="0" w:tplc="60D8D370">
      <w:numFmt w:val="bullet"/>
      <w:lvlText w:val="•"/>
      <w:lvlJc w:val="left"/>
      <w:pPr>
        <w:ind w:left="300" w:hanging="217"/>
      </w:pPr>
      <w:rPr>
        <w:rFonts w:ascii="Arial" w:eastAsia="Arial" w:hAnsi="Arial" w:cs="Arial" w:hint="default"/>
        <w:color w:val="231F20"/>
        <w:w w:val="102"/>
        <w:sz w:val="17"/>
        <w:szCs w:val="17"/>
        <w:lang w:val="en-GB" w:eastAsia="en-GB" w:bidi="en-GB"/>
      </w:rPr>
    </w:lvl>
    <w:lvl w:ilvl="1" w:tplc="057EEE88">
      <w:numFmt w:val="bullet"/>
      <w:lvlText w:val="•"/>
      <w:lvlJc w:val="left"/>
      <w:pPr>
        <w:ind w:left="892" w:hanging="217"/>
      </w:pPr>
      <w:rPr>
        <w:rFonts w:hint="default"/>
        <w:lang w:val="en-GB" w:eastAsia="en-GB" w:bidi="en-GB"/>
      </w:rPr>
    </w:lvl>
    <w:lvl w:ilvl="2" w:tplc="83DE8158">
      <w:numFmt w:val="bullet"/>
      <w:lvlText w:val="•"/>
      <w:lvlJc w:val="left"/>
      <w:pPr>
        <w:ind w:left="1484" w:hanging="217"/>
      </w:pPr>
      <w:rPr>
        <w:rFonts w:hint="default"/>
        <w:lang w:val="en-GB" w:eastAsia="en-GB" w:bidi="en-GB"/>
      </w:rPr>
    </w:lvl>
    <w:lvl w:ilvl="3" w:tplc="721E66E8">
      <w:numFmt w:val="bullet"/>
      <w:lvlText w:val="•"/>
      <w:lvlJc w:val="left"/>
      <w:pPr>
        <w:ind w:left="2076" w:hanging="217"/>
      </w:pPr>
      <w:rPr>
        <w:rFonts w:hint="default"/>
        <w:lang w:val="en-GB" w:eastAsia="en-GB" w:bidi="en-GB"/>
      </w:rPr>
    </w:lvl>
    <w:lvl w:ilvl="4" w:tplc="62A25228">
      <w:numFmt w:val="bullet"/>
      <w:lvlText w:val="•"/>
      <w:lvlJc w:val="left"/>
      <w:pPr>
        <w:ind w:left="2668" w:hanging="217"/>
      </w:pPr>
      <w:rPr>
        <w:rFonts w:hint="default"/>
        <w:lang w:val="en-GB" w:eastAsia="en-GB" w:bidi="en-GB"/>
      </w:rPr>
    </w:lvl>
    <w:lvl w:ilvl="5" w:tplc="21C83D60">
      <w:numFmt w:val="bullet"/>
      <w:lvlText w:val="•"/>
      <w:lvlJc w:val="left"/>
      <w:pPr>
        <w:ind w:left="3260" w:hanging="217"/>
      </w:pPr>
      <w:rPr>
        <w:rFonts w:hint="default"/>
        <w:lang w:val="en-GB" w:eastAsia="en-GB" w:bidi="en-GB"/>
      </w:rPr>
    </w:lvl>
    <w:lvl w:ilvl="6" w:tplc="EF2032EA">
      <w:numFmt w:val="bullet"/>
      <w:lvlText w:val="•"/>
      <w:lvlJc w:val="left"/>
      <w:pPr>
        <w:ind w:left="3852" w:hanging="217"/>
      </w:pPr>
      <w:rPr>
        <w:rFonts w:hint="default"/>
        <w:lang w:val="en-GB" w:eastAsia="en-GB" w:bidi="en-GB"/>
      </w:rPr>
    </w:lvl>
    <w:lvl w:ilvl="7" w:tplc="8B5A789E">
      <w:numFmt w:val="bullet"/>
      <w:lvlText w:val="•"/>
      <w:lvlJc w:val="left"/>
      <w:pPr>
        <w:ind w:left="4444" w:hanging="217"/>
      </w:pPr>
      <w:rPr>
        <w:rFonts w:hint="default"/>
        <w:lang w:val="en-GB" w:eastAsia="en-GB" w:bidi="en-GB"/>
      </w:rPr>
    </w:lvl>
    <w:lvl w:ilvl="8" w:tplc="E700A15E">
      <w:numFmt w:val="bullet"/>
      <w:lvlText w:val="•"/>
      <w:lvlJc w:val="left"/>
      <w:pPr>
        <w:ind w:left="5036" w:hanging="217"/>
      </w:pPr>
      <w:rPr>
        <w:rFonts w:hint="default"/>
        <w:lang w:val="en-GB" w:eastAsia="en-GB" w:bidi="en-GB"/>
      </w:rPr>
    </w:lvl>
  </w:abstractNum>
  <w:abstractNum w:abstractNumId="778" w15:restartNumberingAfterBreak="0">
    <w:nsid w:val="483852E4"/>
    <w:multiLevelType w:val="hybridMultilevel"/>
    <w:tmpl w:val="66041338"/>
    <w:lvl w:ilvl="0" w:tplc="96E8A9BA">
      <w:numFmt w:val="bullet"/>
      <w:lvlText w:val="•"/>
      <w:lvlJc w:val="left"/>
      <w:pPr>
        <w:ind w:left="306" w:hanging="217"/>
      </w:pPr>
      <w:rPr>
        <w:rFonts w:ascii="Arial" w:eastAsia="Arial" w:hAnsi="Arial" w:cs="Arial" w:hint="default"/>
        <w:color w:val="231F20"/>
        <w:spacing w:val="-7"/>
        <w:w w:val="100"/>
        <w:sz w:val="18"/>
        <w:szCs w:val="18"/>
        <w:lang w:val="en-GB" w:eastAsia="en-GB" w:bidi="en-GB"/>
      </w:rPr>
    </w:lvl>
    <w:lvl w:ilvl="1" w:tplc="AFE2FFC2">
      <w:numFmt w:val="bullet"/>
      <w:lvlText w:val="•"/>
      <w:lvlJc w:val="left"/>
      <w:pPr>
        <w:ind w:left="444" w:hanging="217"/>
      </w:pPr>
      <w:rPr>
        <w:rFonts w:hint="default"/>
        <w:lang w:val="en-GB" w:eastAsia="en-GB" w:bidi="en-GB"/>
      </w:rPr>
    </w:lvl>
    <w:lvl w:ilvl="2" w:tplc="413E3C9C">
      <w:numFmt w:val="bullet"/>
      <w:lvlText w:val="•"/>
      <w:lvlJc w:val="left"/>
      <w:pPr>
        <w:ind w:left="589" w:hanging="217"/>
      </w:pPr>
      <w:rPr>
        <w:rFonts w:hint="default"/>
        <w:lang w:val="en-GB" w:eastAsia="en-GB" w:bidi="en-GB"/>
      </w:rPr>
    </w:lvl>
    <w:lvl w:ilvl="3" w:tplc="7FBA91F8">
      <w:numFmt w:val="bullet"/>
      <w:lvlText w:val="•"/>
      <w:lvlJc w:val="left"/>
      <w:pPr>
        <w:ind w:left="734" w:hanging="217"/>
      </w:pPr>
      <w:rPr>
        <w:rFonts w:hint="default"/>
        <w:lang w:val="en-GB" w:eastAsia="en-GB" w:bidi="en-GB"/>
      </w:rPr>
    </w:lvl>
    <w:lvl w:ilvl="4" w:tplc="6884FA60">
      <w:numFmt w:val="bullet"/>
      <w:lvlText w:val="•"/>
      <w:lvlJc w:val="left"/>
      <w:pPr>
        <w:ind w:left="878" w:hanging="217"/>
      </w:pPr>
      <w:rPr>
        <w:rFonts w:hint="default"/>
        <w:lang w:val="en-GB" w:eastAsia="en-GB" w:bidi="en-GB"/>
      </w:rPr>
    </w:lvl>
    <w:lvl w:ilvl="5" w:tplc="C3508798">
      <w:numFmt w:val="bullet"/>
      <w:lvlText w:val="•"/>
      <w:lvlJc w:val="left"/>
      <w:pPr>
        <w:ind w:left="1023" w:hanging="217"/>
      </w:pPr>
      <w:rPr>
        <w:rFonts w:hint="default"/>
        <w:lang w:val="en-GB" w:eastAsia="en-GB" w:bidi="en-GB"/>
      </w:rPr>
    </w:lvl>
    <w:lvl w:ilvl="6" w:tplc="356A6C4C">
      <w:numFmt w:val="bullet"/>
      <w:lvlText w:val="•"/>
      <w:lvlJc w:val="left"/>
      <w:pPr>
        <w:ind w:left="1168" w:hanging="217"/>
      </w:pPr>
      <w:rPr>
        <w:rFonts w:hint="default"/>
        <w:lang w:val="en-GB" w:eastAsia="en-GB" w:bidi="en-GB"/>
      </w:rPr>
    </w:lvl>
    <w:lvl w:ilvl="7" w:tplc="18A4BD3C">
      <w:numFmt w:val="bullet"/>
      <w:lvlText w:val="•"/>
      <w:lvlJc w:val="left"/>
      <w:pPr>
        <w:ind w:left="1312" w:hanging="217"/>
      </w:pPr>
      <w:rPr>
        <w:rFonts w:hint="default"/>
        <w:lang w:val="en-GB" w:eastAsia="en-GB" w:bidi="en-GB"/>
      </w:rPr>
    </w:lvl>
    <w:lvl w:ilvl="8" w:tplc="53845962">
      <w:numFmt w:val="bullet"/>
      <w:lvlText w:val="•"/>
      <w:lvlJc w:val="left"/>
      <w:pPr>
        <w:ind w:left="1457" w:hanging="217"/>
      </w:pPr>
      <w:rPr>
        <w:rFonts w:hint="default"/>
        <w:lang w:val="en-GB" w:eastAsia="en-GB" w:bidi="en-GB"/>
      </w:rPr>
    </w:lvl>
  </w:abstractNum>
  <w:abstractNum w:abstractNumId="779" w15:restartNumberingAfterBreak="0">
    <w:nsid w:val="483C7924"/>
    <w:multiLevelType w:val="hybridMultilevel"/>
    <w:tmpl w:val="3754E908"/>
    <w:lvl w:ilvl="0" w:tplc="54687230">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20026FB6">
      <w:numFmt w:val="bullet"/>
      <w:lvlText w:val="•"/>
      <w:lvlJc w:val="left"/>
      <w:pPr>
        <w:ind w:left="1348" w:hanging="114"/>
      </w:pPr>
      <w:rPr>
        <w:rFonts w:hint="default"/>
        <w:lang w:val="en-GB" w:eastAsia="en-GB" w:bidi="en-GB"/>
      </w:rPr>
    </w:lvl>
    <w:lvl w:ilvl="2" w:tplc="FE1C3772">
      <w:numFmt w:val="bullet"/>
      <w:lvlText w:val="•"/>
      <w:lvlJc w:val="left"/>
      <w:pPr>
        <w:ind w:left="2377" w:hanging="114"/>
      </w:pPr>
      <w:rPr>
        <w:rFonts w:hint="default"/>
        <w:lang w:val="en-GB" w:eastAsia="en-GB" w:bidi="en-GB"/>
      </w:rPr>
    </w:lvl>
    <w:lvl w:ilvl="3" w:tplc="6B32F416">
      <w:numFmt w:val="bullet"/>
      <w:lvlText w:val="•"/>
      <w:lvlJc w:val="left"/>
      <w:pPr>
        <w:ind w:left="3405" w:hanging="114"/>
      </w:pPr>
      <w:rPr>
        <w:rFonts w:hint="default"/>
        <w:lang w:val="en-GB" w:eastAsia="en-GB" w:bidi="en-GB"/>
      </w:rPr>
    </w:lvl>
    <w:lvl w:ilvl="4" w:tplc="B6D69D36">
      <w:numFmt w:val="bullet"/>
      <w:lvlText w:val="•"/>
      <w:lvlJc w:val="left"/>
      <w:pPr>
        <w:ind w:left="4434" w:hanging="114"/>
      </w:pPr>
      <w:rPr>
        <w:rFonts w:hint="default"/>
        <w:lang w:val="en-GB" w:eastAsia="en-GB" w:bidi="en-GB"/>
      </w:rPr>
    </w:lvl>
    <w:lvl w:ilvl="5" w:tplc="D1A40102">
      <w:numFmt w:val="bullet"/>
      <w:lvlText w:val="•"/>
      <w:lvlJc w:val="left"/>
      <w:pPr>
        <w:ind w:left="5462" w:hanging="114"/>
      </w:pPr>
      <w:rPr>
        <w:rFonts w:hint="default"/>
        <w:lang w:val="en-GB" w:eastAsia="en-GB" w:bidi="en-GB"/>
      </w:rPr>
    </w:lvl>
    <w:lvl w:ilvl="6" w:tplc="E03E5278">
      <w:numFmt w:val="bullet"/>
      <w:lvlText w:val="•"/>
      <w:lvlJc w:val="left"/>
      <w:pPr>
        <w:ind w:left="6491" w:hanging="114"/>
      </w:pPr>
      <w:rPr>
        <w:rFonts w:hint="default"/>
        <w:lang w:val="en-GB" w:eastAsia="en-GB" w:bidi="en-GB"/>
      </w:rPr>
    </w:lvl>
    <w:lvl w:ilvl="7" w:tplc="57AE3B66">
      <w:numFmt w:val="bullet"/>
      <w:lvlText w:val="•"/>
      <w:lvlJc w:val="left"/>
      <w:pPr>
        <w:ind w:left="7519" w:hanging="114"/>
      </w:pPr>
      <w:rPr>
        <w:rFonts w:hint="default"/>
        <w:lang w:val="en-GB" w:eastAsia="en-GB" w:bidi="en-GB"/>
      </w:rPr>
    </w:lvl>
    <w:lvl w:ilvl="8" w:tplc="2A60EB58">
      <w:numFmt w:val="bullet"/>
      <w:lvlText w:val="•"/>
      <w:lvlJc w:val="left"/>
      <w:pPr>
        <w:ind w:left="8548" w:hanging="114"/>
      </w:pPr>
      <w:rPr>
        <w:rFonts w:hint="default"/>
        <w:lang w:val="en-GB" w:eastAsia="en-GB" w:bidi="en-GB"/>
      </w:rPr>
    </w:lvl>
  </w:abstractNum>
  <w:abstractNum w:abstractNumId="780" w15:restartNumberingAfterBreak="0">
    <w:nsid w:val="48605973"/>
    <w:multiLevelType w:val="hybridMultilevel"/>
    <w:tmpl w:val="A7D2B402"/>
    <w:lvl w:ilvl="0" w:tplc="346A4CF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E1CAD50">
      <w:numFmt w:val="bullet"/>
      <w:lvlText w:val="•"/>
      <w:lvlJc w:val="left"/>
      <w:pPr>
        <w:ind w:left="439" w:hanging="217"/>
      </w:pPr>
      <w:rPr>
        <w:rFonts w:hint="default"/>
        <w:lang w:val="en-GB" w:eastAsia="en-GB" w:bidi="en-GB"/>
      </w:rPr>
    </w:lvl>
    <w:lvl w:ilvl="2" w:tplc="4A24A398">
      <w:numFmt w:val="bullet"/>
      <w:lvlText w:val="•"/>
      <w:lvlJc w:val="left"/>
      <w:pPr>
        <w:ind w:left="578" w:hanging="217"/>
      </w:pPr>
      <w:rPr>
        <w:rFonts w:hint="default"/>
        <w:lang w:val="en-GB" w:eastAsia="en-GB" w:bidi="en-GB"/>
      </w:rPr>
    </w:lvl>
    <w:lvl w:ilvl="3" w:tplc="AB708E1E">
      <w:numFmt w:val="bullet"/>
      <w:lvlText w:val="•"/>
      <w:lvlJc w:val="left"/>
      <w:pPr>
        <w:ind w:left="717" w:hanging="217"/>
      </w:pPr>
      <w:rPr>
        <w:rFonts w:hint="default"/>
        <w:lang w:val="en-GB" w:eastAsia="en-GB" w:bidi="en-GB"/>
      </w:rPr>
    </w:lvl>
    <w:lvl w:ilvl="4" w:tplc="817E439C">
      <w:numFmt w:val="bullet"/>
      <w:lvlText w:val="•"/>
      <w:lvlJc w:val="left"/>
      <w:pPr>
        <w:ind w:left="856" w:hanging="217"/>
      </w:pPr>
      <w:rPr>
        <w:rFonts w:hint="default"/>
        <w:lang w:val="en-GB" w:eastAsia="en-GB" w:bidi="en-GB"/>
      </w:rPr>
    </w:lvl>
    <w:lvl w:ilvl="5" w:tplc="1F962656">
      <w:numFmt w:val="bullet"/>
      <w:lvlText w:val="•"/>
      <w:lvlJc w:val="left"/>
      <w:pPr>
        <w:ind w:left="995" w:hanging="217"/>
      </w:pPr>
      <w:rPr>
        <w:rFonts w:hint="default"/>
        <w:lang w:val="en-GB" w:eastAsia="en-GB" w:bidi="en-GB"/>
      </w:rPr>
    </w:lvl>
    <w:lvl w:ilvl="6" w:tplc="2C68D8BA">
      <w:numFmt w:val="bullet"/>
      <w:lvlText w:val="•"/>
      <w:lvlJc w:val="left"/>
      <w:pPr>
        <w:ind w:left="1134" w:hanging="217"/>
      </w:pPr>
      <w:rPr>
        <w:rFonts w:hint="default"/>
        <w:lang w:val="en-GB" w:eastAsia="en-GB" w:bidi="en-GB"/>
      </w:rPr>
    </w:lvl>
    <w:lvl w:ilvl="7" w:tplc="055E6428">
      <w:numFmt w:val="bullet"/>
      <w:lvlText w:val="•"/>
      <w:lvlJc w:val="left"/>
      <w:pPr>
        <w:ind w:left="1273" w:hanging="217"/>
      </w:pPr>
      <w:rPr>
        <w:rFonts w:hint="default"/>
        <w:lang w:val="en-GB" w:eastAsia="en-GB" w:bidi="en-GB"/>
      </w:rPr>
    </w:lvl>
    <w:lvl w:ilvl="8" w:tplc="CF18466C">
      <w:numFmt w:val="bullet"/>
      <w:lvlText w:val="•"/>
      <w:lvlJc w:val="left"/>
      <w:pPr>
        <w:ind w:left="1412" w:hanging="217"/>
      </w:pPr>
      <w:rPr>
        <w:rFonts w:hint="default"/>
        <w:lang w:val="en-GB" w:eastAsia="en-GB" w:bidi="en-GB"/>
      </w:rPr>
    </w:lvl>
  </w:abstractNum>
  <w:abstractNum w:abstractNumId="781" w15:restartNumberingAfterBreak="0">
    <w:nsid w:val="48663C63"/>
    <w:multiLevelType w:val="hybridMultilevel"/>
    <w:tmpl w:val="E22AEF38"/>
    <w:lvl w:ilvl="0" w:tplc="C854F018">
      <w:numFmt w:val="bullet"/>
      <w:lvlText w:val="•"/>
      <w:lvlJc w:val="left"/>
      <w:pPr>
        <w:ind w:left="305" w:hanging="217"/>
      </w:pPr>
      <w:rPr>
        <w:rFonts w:ascii="Arial" w:eastAsia="Arial" w:hAnsi="Arial" w:cs="Arial" w:hint="default"/>
        <w:color w:val="231F20"/>
        <w:spacing w:val="-17"/>
        <w:w w:val="100"/>
        <w:sz w:val="18"/>
        <w:szCs w:val="18"/>
        <w:lang w:val="en-GB" w:eastAsia="en-GB" w:bidi="en-GB"/>
      </w:rPr>
    </w:lvl>
    <w:lvl w:ilvl="1" w:tplc="65000A42">
      <w:numFmt w:val="bullet"/>
      <w:lvlText w:val="•"/>
      <w:lvlJc w:val="left"/>
      <w:pPr>
        <w:ind w:left="441" w:hanging="217"/>
      </w:pPr>
      <w:rPr>
        <w:rFonts w:hint="default"/>
        <w:lang w:val="en-GB" w:eastAsia="en-GB" w:bidi="en-GB"/>
      </w:rPr>
    </w:lvl>
    <w:lvl w:ilvl="2" w:tplc="EE4ECFD0">
      <w:numFmt w:val="bullet"/>
      <w:lvlText w:val="•"/>
      <w:lvlJc w:val="left"/>
      <w:pPr>
        <w:ind w:left="583" w:hanging="217"/>
      </w:pPr>
      <w:rPr>
        <w:rFonts w:hint="default"/>
        <w:lang w:val="en-GB" w:eastAsia="en-GB" w:bidi="en-GB"/>
      </w:rPr>
    </w:lvl>
    <w:lvl w:ilvl="3" w:tplc="F222BF98">
      <w:numFmt w:val="bullet"/>
      <w:lvlText w:val="•"/>
      <w:lvlJc w:val="left"/>
      <w:pPr>
        <w:ind w:left="725" w:hanging="217"/>
      </w:pPr>
      <w:rPr>
        <w:rFonts w:hint="default"/>
        <w:lang w:val="en-GB" w:eastAsia="en-GB" w:bidi="en-GB"/>
      </w:rPr>
    </w:lvl>
    <w:lvl w:ilvl="4" w:tplc="AE2A281C">
      <w:numFmt w:val="bullet"/>
      <w:lvlText w:val="•"/>
      <w:lvlJc w:val="left"/>
      <w:pPr>
        <w:ind w:left="867" w:hanging="217"/>
      </w:pPr>
      <w:rPr>
        <w:rFonts w:hint="default"/>
        <w:lang w:val="en-GB" w:eastAsia="en-GB" w:bidi="en-GB"/>
      </w:rPr>
    </w:lvl>
    <w:lvl w:ilvl="5" w:tplc="0428B9FA">
      <w:numFmt w:val="bullet"/>
      <w:lvlText w:val="•"/>
      <w:lvlJc w:val="left"/>
      <w:pPr>
        <w:ind w:left="1009" w:hanging="217"/>
      </w:pPr>
      <w:rPr>
        <w:rFonts w:hint="default"/>
        <w:lang w:val="en-GB" w:eastAsia="en-GB" w:bidi="en-GB"/>
      </w:rPr>
    </w:lvl>
    <w:lvl w:ilvl="6" w:tplc="46C450C2">
      <w:numFmt w:val="bullet"/>
      <w:lvlText w:val="•"/>
      <w:lvlJc w:val="left"/>
      <w:pPr>
        <w:ind w:left="1151" w:hanging="217"/>
      </w:pPr>
      <w:rPr>
        <w:rFonts w:hint="default"/>
        <w:lang w:val="en-GB" w:eastAsia="en-GB" w:bidi="en-GB"/>
      </w:rPr>
    </w:lvl>
    <w:lvl w:ilvl="7" w:tplc="BD482276">
      <w:numFmt w:val="bullet"/>
      <w:lvlText w:val="•"/>
      <w:lvlJc w:val="left"/>
      <w:pPr>
        <w:ind w:left="1293" w:hanging="217"/>
      </w:pPr>
      <w:rPr>
        <w:rFonts w:hint="default"/>
        <w:lang w:val="en-GB" w:eastAsia="en-GB" w:bidi="en-GB"/>
      </w:rPr>
    </w:lvl>
    <w:lvl w:ilvl="8" w:tplc="4CE8CCB0">
      <w:numFmt w:val="bullet"/>
      <w:lvlText w:val="•"/>
      <w:lvlJc w:val="left"/>
      <w:pPr>
        <w:ind w:left="1435" w:hanging="217"/>
      </w:pPr>
      <w:rPr>
        <w:rFonts w:hint="default"/>
        <w:lang w:val="en-GB" w:eastAsia="en-GB" w:bidi="en-GB"/>
      </w:rPr>
    </w:lvl>
  </w:abstractNum>
  <w:abstractNum w:abstractNumId="782" w15:restartNumberingAfterBreak="0">
    <w:nsid w:val="48704701"/>
    <w:multiLevelType w:val="hybridMultilevel"/>
    <w:tmpl w:val="605AD24E"/>
    <w:lvl w:ilvl="0" w:tplc="9F72519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84AFBD2">
      <w:numFmt w:val="bullet"/>
      <w:lvlText w:val="•"/>
      <w:lvlJc w:val="left"/>
      <w:pPr>
        <w:ind w:left="439" w:hanging="217"/>
      </w:pPr>
      <w:rPr>
        <w:rFonts w:hint="default"/>
        <w:lang w:val="en-GB" w:eastAsia="en-GB" w:bidi="en-GB"/>
      </w:rPr>
    </w:lvl>
    <w:lvl w:ilvl="2" w:tplc="2B8865B4">
      <w:numFmt w:val="bullet"/>
      <w:lvlText w:val="•"/>
      <w:lvlJc w:val="left"/>
      <w:pPr>
        <w:ind w:left="578" w:hanging="217"/>
      </w:pPr>
      <w:rPr>
        <w:rFonts w:hint="default"/>
        <w:lang w:val="en-GB" w:eastAsia="en-GB" w:bidi="en-GB"/>
      </w:rPr>
    </w:lvl>
    <w:lvl w:ilvl="3" w:tplc="386E2884">
      <w:numFmt w:val="bullet"/>
      <w:lvlText w:val="•"/>
      <w:lvlJc w:val="left"/>
      <w:pPr>
        <w:ind w:left="717" w:hanging="217"/>
      </w:pPr>
      <w:rPr>
        <w:rFonts w:hint="default"/>
        <w:lang w:val="en-GB" w:eastAsia="en-GB" w:bidi="en-GB"/>
      </w:rPr>
    </w:lvl>
    <w:lvl w:ilvl="4" w:tplc="99306FD0">
      <w:numFmt w:val="bullet"/>
      <w:lvlText w:val="•"/>
      <w:lvlJc w:val="left"/>
      <w:pPr>
        <w:ind w:left="856" w:hanging="217"/>
      </w:pPr>
      <w:rPr>
        <w:rFonts w:hint="default"/>
        <w:lang w:val="en-GB" w:eastAsia="en-GB" w:bidi="en-GB"/>
      </w:rPr>
    </w:lvl>
    <w:lvl w:ilvl="5" w:tplc="FC2AA272">
      <w:numFmt w:val="bullet"/>
      <w:lvlText w:val="•"/>
      <w:lvlJc w:val="left"/>
      <w:pPr>
        <w:ind w:left="995" w:hanging="217"/>
      </w:pPr>
      <w:rPr>
        <w:rFonts w:hint="default"/>
        <w:lang w:val="en-GB" w:eastAsia="en-GB" w:bidi="en-GB"/>
      </w:rPr>
    </w:lvl>
    <w:lvl w:ilvl="6" w:tplc="9E54A3E6">
      <w:numFmt w:val="bullet"/>
      <w:lvlText w:val="•"/>
      <w:lvlJc w:val="left"/>
      <w:pPr>
        <w:ind w:left="1134" w:hanging="217"/>
      </w:pPr>
      <w:rPr>
        <w:rFonts w:hint="default"/>
        <w:lang w:val="en-GB" w:eastAsia="en-GB" w:bidi="en-GB"/>
      </w:rPr>
    </w:lvl>
    <w:lvl w:ilvl="7" w:tplc="597C6750">
      <w:numFmt w:val="bullet"/>
      <w:lvlText w:val="•"/>
      <w:lvlJc w:val="left"/>
      <w:pPr>
        <w:ind w:left="1273" w:hanging="217"/>
      </w:pPr>
      <w:rPr>
        <w:rFonts w:hint="default"/>
        <w:lang w:val="en-GB" w:eastAsia="en-GB" w:bidi="en-GB"/>
      </w:rPr>
    </w:lvl>
    <w:lvl w:ilvl="8" w:tplc="C2D4DA82">
      <w:numFmt w:val="bullet"/>
      <w:lvlText w:val="•"/>
      <w:lvlJc w:val="left"/>
      <w:pPr>
        <w:ind w:left="1412" w:hanging="217"/>
      </w:pPr>
      <w:rPr>
        <w:rFonts w:hint="default"/>
        <w:lang w:val="en-GB" w:eastAsia="en-GB" w:bidi="en-GB"/>
      </w:rPr>
    </w:lvl>
  </w:abstractNum>
  <w:abstractNum w:abstractNumId="783" w15:restartNumberingAfterBreak="0">
    <w:nsid w:val="488F5FC0"/>
    <w:multiLevelType w:val="hybridMultilevel"/>
    <w:tmpl w:val="1C30B028"/>
    <w:lvl w:ilvl="0" w:tplc="7A625D2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A3C88B2">
      <w:numFmt w:val="bullet"/>
      <w:lvlText w:val="•"/>
      <w:lvlJc w:val="left"/>
      <w:pPr>
        <w:ind w:left="439" w:hanging="217"/>
      </w:pPr>
      <w:rPr>
        <w:rFonts w:hint="default"/>
        <w:lang w:val="en-GB" w:eastAsia="en-GB" w:bidi="en-GB"/>
      </w:rPr>
    </w:lvl>
    <w:lvl w:ilvl="2" w:tplc="A2C01610">
      <w:numFmt w:val="bullet"/>
      <w:lvlText w:val="•"/>
      <w:lvlJc w:val="left"/>
      <w:pPr>
        <w:ind w:left="578" w:hanging="217"/>
      </w:pPr>
      <w:rPr>
        <w:rFonts w:hint="default"/>
        <w:lang w:val="en-GB" w:eastAsia="en-GB" w:bidi="en-GB"/>
      </w:rPr>
    </w:lvl>
    <w:lvl w:ilvl="3" w:tplc="D4242352">
      <w:numFmt w:val="bullet"/>
      <w:lvlText w:val="•"/>
      <w:lvlJc w:val="left"/>
      <w:pPr>
        <w:ind w:left="717" w:hanging="217"/>
      </w:pPr>
      <w:rPr>
        <w:rFonts w:hint="default"/>
        <w:lang w:val="en-GB" w:eastAsia="en-GB" w:bidi="en-GB"/>
      </w:rPr>
    </w:lvl>
    <w:lvl w:ilvl="4" w:tplc="4DB0C7D2">
      <w:numFmt w:val="bullet"/>
      <w:lvlText w:val="•"/>
      <w:lvlJc w:val="left"/>
      <w:pPr>
        <w:ind w:left="856" w:hanging="217"/>
      </w:pPr>
      <w:rPr>
        <w:rFonts w:hint="default"/>
        <w:lang w:val="en-GB" w:eastAsia="en-GB" w:bidi="en-GB"/>
      </w:rPr>
    </w:lvl>
    <w:lvl w:ilvl="5" w:tplc="502ADE36">
      <w:numFmt w:val="bullet"/>
      <w:lvlText w:val="•"/>
      <w:lvlJc w:val="left"/>
      <w:pPr>
        <w:ind w:left="995" w:hanging="217"/>
      </w:pPr>
      <w:rPr>
        <w:rFonts w:hint="default"/>
        <w:lang w:val="en-GB" w:eastAsia="en-GB" w:bidi="en-GB"/>
      </w:rPr>
    </w:lvl>
    <w:lvl w:ilvl="6" w:tplc="53ECDDF2">
      <w:numFmt w:val="bullet"/>
      <w:lvlText w:val="•"/>
      <w:lvlJc w:val="left"/>
      <w:pPr>
        <w:ind w:left="1134" w:hanging="217"/>
      </w:pPr>
      <w:rPr>
        <w:rFonts w:hint="default"/>
        <w:lang w:val="en-GB" w:eastAsia="en-GB" w:bidi="en-GB"/>
      </w:rPr>
    </w:lvl>
    <w:lvl w:ilvl="7" w:tplc="42E6C382">
      <w:numFmt w:val="bullet"/>
      <w:lvlText w:val="•"/>
      <w:lvlJc w:val="left"/>
      <w:pPr>
        <w:ind w:left="1273" w:hanging="217"/>
      </w:pPr>
      <w:rPr>
        <w:rFonts w:hint="default"/>
        <w:lang w:val="en-GB" w:eastAsia="en-GB" w:bidi="en-GB"/>
      </w:rPr>
    </w:lvl>
    <w:lvl w:ilvl="8" w:tplc="D868C18C">
      <w:numFmt w:val="bullet"/>
      <w:lvlText w:val="•"/>
      <w:lvlJc w:val="left"/>
      <w:pPr>
        <w:ind w:left="1412" w:hanging="217"/>
      </w:pPr>
      <w:rPr>
        <w:rFonts w:hint="default"/>
        <w:lang w:val="en-GB" w:eastAsia="en-GB" w:bidi="en-GB"/>
      </w:rPr>
    </w:lvl>
  </w:abstractNum>
  <w:abstractNum w:abstractNumId="784" w15:restartNumberingAfterBreak="0">
    <w:nsid w:val="48AE772F"/>
    <w:multiLevelType w:val="hybridMultilevel"/>
    <w:tmpl w:val="3AD0BD7A"/>
    <w:lvl w:ilvl="0" w:tplc="6250F9FC">
      <w:numFmt w:val="bullet"/>
      <w:lvlText w:val="•"/>
      <w:lvlJc w:val="left"/>
      <w:pPr>
        <w:ind w:left="305" w:hanging="217"/>
      </w:pPr>
      <w:rPr>
        <w:rFonts w:ascii="Arial" w:eastAsia="Arial" w:hAnsi="Arial" w:cs="Arial" w:hint="default"/>
        <w:color w:val="231F20"/>
        <w:spacing w:val="-14"/>
        <w:w w:val="100"/>
        <w:sz w:val="18"/>
        <w:szCs w:val="18"/>
        <w:lang w:val="en-GB" w:eastAsia="en-GB" w:bidi="en-GB"/>
      </w:rPr>
    </w:lvl>
    <w:lvl w:ilvl="1" w:tplc="C8EEC5AE">
      <w:numFmt w:val="bullet"/>
      <w:lvlText w:val="•"/>
      <w:lvlJc w:val="left"/>
      <w:pPr>
        <w:ind w:left="441" w:hanging="217"/>
      </w:pPr>
      <w:rPr>
        <w:rFonts w:hint="default"/>
        <w:lang w:val="en-GB" w:eastAsia="en-GB" w:bidi="en-GB"/>
      </w:rPr>
    </w:lvl>
    <w:lvl w:ilvl="2" w:tplc="4E3CB39C">
      <w:numFmt w:val="bullet"/>
      <w:lvlText w:val="•"/>
      <w:lvlJc w:val="left"/>
      <w:pPr>
        <w:ind w:left="583" w:hanging="217"/>
      </w:pPr>
      <w:rPr>
        <w:rFonts w:hint="default"/>
        <w:lang w:val="en-GB" w:eastAsia="en-GB" w:bidi="en-GB"/>
      </w:rPr>
    </w:lvl>
    <w:lvl w:ilvl="3" w:tplc="E9063A92">
      <w:numFmt w:val="bullet"/>
      <w:lvlText w:val="•"/>
      <w:lvlJc w:val="left"/>
      <w:pPr>
        <w:ind w:left="725" w:hanging="217"/>
      </w:pPr>
      <w:rPr>
        <w:rFonts w:hint="default"/>
        <w:lang w:val="en-GB" w:eastAsia="en-GB" w:bidi="en-GB"/>
      </w:rPr>
    </w:lvl>
    <w:lvl w:ilvl="4" w:tplc="4D623C56">
      <w:numFmt w:val="bullet"/>
      <w:lvlText w:val="•"/>
      <w:lvlJc w:val="left"/>
      <w:pPr>
        <w:ind w:left="867" w:hanging="217"/>
      </w:pPr>
      <w:rPr>
        <w:rFonts w:hint="default"/>
        <w:lang w:val="en-GB" w:eastAsia="en-GB" w:bidi="en-GB"/>
      </w:rPr>
    </w:lvl>
    <w:lvl w:ilvl="5" w:tplc="14787F32">
      <w:numFmt w:val="bullet"/>
      <w:lvlText w:val="•"/>
      <w:lvlJc w:val="left"/>
      <w:pPr>
        <w:ind w:left="1009" w:hanging="217"/>
      </w:pPr>
      <w:rPr>
        <w:rFonts w:hint="default"/>
        <w:lang w:val="en-GB" w:eastAsia="en-GB" w:bidi="en-GB"/>
      </w:rPr>
    </w:lvl>
    <w:lvl w:ilvl="6" w:tplc="1FCAE85E">
      <w:numFmt w:val="bullet"/>
      <w:lvlText w:val="•"/>
      <w:lvlJc w:val="left"/>
      <w:pPr>
        <w:ind w:left="1151" w:hanging="217"/>
      </w:pPr>
      <w:rPr>
        <w:rFonts w:hint="default"/>
        <w:lang w:val="en-GB" w:eastAsia="en-GB" w:bidi="en-GB"/>
      </w:rPr>
    </w:lvl>
    <w:lvl w:ilvl="7" w:tplc="1AF803C8">
      <w:numFmt w:val="bullet"/>
      <w:lvlText w:val="•"/>
      <w:lvlJc w:val="left"/>
      <w:pPr>
        <w:ind w:left="1293" w:hanging="217"/>
      </w:pPr>
      <w:rPr>
        <w:rFonts w:hint="default"/>
        <w:lang w:val="en-GB" w:eastAsia="en-GB" w:bidi="en-GB"/>
      </w:rPr>
    </w:lvl>
    <w:lvl w:ilvl="8" w:tplc="7A42CF00">
      <w:numFmt w:val="bullet"/>
      <w:lvlText w:val="•"/>
      <w:lvlJc w:val="left"/>
      <w:pPr>
        <w:ind w:left="1435" w:hanging="217"/>
      </w:pPr>
      <w:rPr>
        <w:rFonts w:hint="default"/>
        <w:lang w:val="en-GB" w:eastAsia="en-GB" w:bidi="en-GB"/>
      </w:rPr>
    </w:lvl>
  </w:abstractNum>
  <w:abstractNum w:abstractNumId="785" w15:restartNumberingAfterBreak="0">
    <w:nsid w:val="48B74BFA"/>
    <w:multiLevelType w:val="hybridMultilevel"/>
    <w:tmpl w:val="00D8A9B6"/>
    <w:lvl w:ilvl="0" w:tplc="188C3B6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20C8018">
      <w:numFmt w:val="bullet"/>
      <w:lvlText w:val="•"/>
      <w:lvlJc w:val="left"/>
      <w:pPr>
        <w:ind w:left="473" w:hanging="217"/>
      </w:pPr>
      <w:rPr>
        <w:rFonts w:hint="default"/>
        <w:lang w:val="en-GB" w:eastAsia="en-GB" w:bidi="en-GB"/>
      </w:rPr>
    </w:lvl>
    <w:lvl w:ilvl="2" w:tplc="AEB03C50">
      <w:numFmt w:val="bullet"/>
      <w:lvlText w:val="•"/>
      <w:lvlJc w:val="left"/>
      <w:pPr>
        <w:ind w:left="646" w:hanging="217"/>
      </w:pPr>
      <w:rPr>
        <w:rFonts w:hint="default"/>
        <w:lang w:val="en-GB" w:eastAsia="en-GB" w:bidi="en-GB"/>
      </w:rPr>
    </w:lvl>
    <w:lvl w:ilvl="3" w:tplc="441A153C">
      <w:numFmt w:val="bullet"/>
      <w:lvlText w:val="•"/>
      <w:lvlJc w:val="left"/>
      <w:pPr>
        <w:ind w:left="819" w:hanging="217"/>
      </w:pPr>
      <w:rPr>
        <w:rFonts w:hint="default"/>
        <w:lang w:val="en-GB" w:eastAsia="en-GB" w:bidi="en-GB"/>
      </w:rPr>
    </w:lvl>
    <w:lvl w:ilvl="4" w:tplc="DD860060">
      <w:numFmt w:val="bullet"/>
      <w:lvlText w:val="•"/>
      <w:lvlJc w:val="left"/>
      <w:pPr>
        <w:ind w:left="992" w:hanging="217"/>
      </w:pPr>
      <w:rPr>
        <w:rFonts w:hint="default"/>
        <w:lang w:val="en-GB" w:eastAsia="en-GB" w:bidi="en-GB"/>
      </w:rPr>
    </w:lvl>
    <w:lvl w:ilvl="5" w:tplc="CC743A26">
      <w:numFmt w:val="bullet"/>
      <w:lvlText w:val="•"/>
      <w:lvlJc w:val="left"/>
      <w:pPr>
        <w:ind w:left="1165" w:hanging="217"/>
      </w:pPr>
      <w:rPr>
        <w:rFonts w:hint="default"/>
        <w:lang w:val="en-GB" w:eastAsia="en-GB" w:bidi="en-GB"/>
      </w:rPr>
    </w:lvl>
    <w:lvl w:ilvl="6" w:tplc="219A613C">
      <w:numFmt w:val="bullet"/>
      <w:lvlText w:val="•"/>
      <w:lvlJc w:val="left"/>
      <w:pPr>
        <w:ind w:left="1338" w:hanging="217"/>
      </w:pPr>
      <w:rPr>
        <w:rFonts w:hint="default"/>
        <w:lang w:val="en-GB" w:eastAsia="en-GB" w:bidi="en-GB"/>
      </w:rPr>
    </w:lvl>
    <w:lvl w:ilvl="7" w:tplc="969A1CB0">
      <w:numFmt w:val="bullet"/>
      <w:lvlText w:val="•"/>
      <w:lvlJc w:val="left"/>
      <w:pPr>
        <w:ind w:left="1511" w:hanging="217"/>
      </w:pPr>
      <w:rPr>
        <w:rFonts w:hint="default"/>
        <w:lang w:val="en-GB" w:eastAsia="en-GB" w:bidi="en-GB"/>
      </w:rPr>
    </w:lvl>
    <w:lvl w:ilvl="8" w:tplc="13006888">
      <w:numFmt w:val="bullet"/>
      <w:lvlText w:val="•"/>
      <w:lvlJc w:val="left"/>
      <w:pPr>
        <w:ind w:left="1684" w:hanging="217"/>
      </w:pPr>
      <w:rPr>
        <w:rFonts w:hint="default"/>
        <w:lang w:val="en-GB" w:eastAsia="en-GB" w:bidi="en-GB"/>
      </w:rPr>
    </w:lvl>
  </w:abstractNum>
  <w:abstractNum w:abstractNumId="786" w15:restartNumberingAfterBreak="0">
    <w:nsid w:val="48CA31C2"/>
    <w:multiLevelType w:val="hybridMultilevel"/>
    <w:tmpl w:val="4E3234B2"/>
    <w:lvl w:ilvl="0" w:tplc="0DDE3DF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DEC3944">
      <w:numFmt w:val="bullet"/>
      <w:lvlText w:val="•"/>
      <w:lvlJc w:val="left"/>
      <w:pPr>
        <w:ind w:left="473" w:hanging="217"/>
      </w:pPr>
      <w:rPr>
        <w:rFonts w:hint="default"/>
        <w:lang w:val="en-GB" w:eastAsia="en-GB" w:bidi="en-GB"/>
      </w:rPr>
    </w:lvl>
    <w:lvl w:ilvl="2" w:tplc="544424A0">
      <w:numFmt w:val="bullet"/>
      <w:lvlText w:val="•"/>
      <w:lvlJc w:val="left"/>
      <w:pPr>
        <w:ind w:left="646" w:hanging="217"/>
      </w:pPr>
      <w:rPr>
        <w:rFonts w:hint="default"/>
        <w:lang w:val="en-GB" w:eastAsia="en-GB" w:bidi="en-GB"/>
      </w:rPr>
    </w:lvl>
    <w:lvl w:ilvl="3" w:tplc="778C9B4A">
      <w:numFmt w:val="bullet"/>
      <w:lvlText w:val="•"/>
      <w:lvlJc w:val="left"/>
      <w:pPr>
        <w:ind w:left="819" w:hanging="217"/>
      </w:pPr>
      <w:rPr>
        <w:rFonts w:hint="default"/>
        <w:lang w:val="en-GB" w:eastAsia="en-GB" w:bidi="en-GB"/>
      </w:rPr>
    </w:lvl>
    <w:lvl w:ilvl="4" w:tplc="0450B574">
      <w:numFmt w:val="bullet"/>
      <w:lvlText w:val="•"/>
      <w:lvlJc w:val="left"/>
      <w:pPr>
        <w:ind w:left="992" w:hanging="217"/>
      </w:pPr>
      <w:rPr>
        <w:rFonts w:hint="default"/>
        <w:lang w:val="en-GB" w:eastAsia="en-GB" w:bidi="en-GB"/>
      </w:rPr>
    </w:lvl>
    <w:lvl w:ilvl="5" w:tplc="A4083D10">
      <w:numFmt w:val="bullet"/>
      <w:lvlText w:val="•"/>
      <w:lvlJc w:val="left"/>
      <w:pPr>
        <w:ind w:left="1165" w:hanging="217"/>
      </w:pPr>
      <w:rPr>
        <w:rFonts w:hint="default"/>
        <w:lang w:val="en-GB" w:eastAsia="en-GB" w:bidi="en-GB"/>
      </w:rPr>
    </w:lvl>
    <w:lvl w:ilvl="6" w:tplc="F95A7DEA">
      <w:numFmt w:val="bullet"/>
      <w:lvlText w:val="•"/>
      <w:lvlJc w:val="left"/>
      <w:pPr>
        <w:ind w:left="1338" w:hanging="217"/>
      </w:pPr>
      <w:rPr>
        <w:rFonts w:hint="default"/>
        <w:lang w:val="en-GB" w:eastAsia="en-GB" w:bidi="en-GB"/>
      </w:rPr>
    </w:lvl>
    <w:lvl w:ilvl="7" w:tplc="0048032C">
      <w:numFmt w:val="bullet"/>
      <w:lvlText w:val="•"/>
      <w:lvlJc w:val="left"/>
      <w:pPr>
        <w:ind w:left="1511" w:hanging="217"/>
      </w:pPr>
      <w:rPr>
        <w:rFonts w:hint="default"/>
        <w:lang w:val="en-GB" w:eastAsia="en-GB" w:bidi="en-GB"/>
      </w:rPr>
    </w:lvl>
    <w:lvl w:ilvl="8" w:tplc="027E0DB8">
      <w:numFmt w:val="bullet"/>
      <w:lvlText w:val="•"/>
      <w:lvlJc w:val="left"/>
      <w:pPr>
        <w:ind w:left="1684" w:hanging="217"/>
      </w:pPr>
      <w:rPr>
        <w:rFonts w:hint="default"/>
        <w:lang w:val="en-GB" w:eastAsia="en-GB" w:bidi="en-GB"/>
      </w:rPr>
    </w:lvl>
  </w:abstractNum>
  <w:abstractNum w:abstractNumId="787" w15:restartNumberingAfterBreak="0">
    <w:nsid w:val="48EB2BFA"/>
    <w:multiLevelType w:val="hybridMultilevel"/>
    <w:tmpl w:val="999A18F0"/>
    <w:lvl w:ilvl="0" w:tplc="2DB6FA4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C6C059A">
      <w:numFmt w:val="bullet"/>
      <w:lvlText w:val="•"/>
      <w:lvlJc w:val="left"/>
      <w:pPr>
        <w:ind w:left="473" w:hanging="217"/>
      </w:pPr>
      <w:rPr>
        <w:rFonts w:hint="default"/>
        <w:lang w:val="en-GB" w:eastAsia="en-GB" w:bidi="en-GB"/>
      </w:rPr>
    </w:lvl>
    <w:lvl w:ilvl="2" w:tplc="3E548AE6">
      <w:numFmt w:val="bullet"/>
      <w:lvlText w:val="•"/>
      <w:lvlJc w:val="left"/>
      <w:pPr>
        <w:ind w:left="646" w:hanging="217"/>
      </w:pPr>
      <w:rPr>
        <w:rFonts w:hint="default"/>
        <w:lang w:val="en-GB" w:eastAsia="en-GB" w:bidi="en-GB"/>
      </w:rPr>
    </w:lvl>
    <w:lvl w:ilvl="3" w:tplc="12EE86E0">
      <w:numFmt w:val="bullet"/>
      <w:lvlText w:val="•"/>
      <w:lvlJc w:val="left"/>
      <w:pPr>
        <w:ind w:left="819" w:hanging="217"/>
      </w:pPr>
      <w:rPr>
        <w:rFonts w:hint="default"/>
        <w:lang w:val="en-GB" w:eastAsia="en-GB" w:bidi="en-GB"/>
      </w:rPr>
    </w:lvl>
    <w:lvl w:ilvl="4" w:tplc="BCD6EA2E">
      <w:numFmt w:val="bullet"/>
      <w:lvlText w:val="•"/>
      <w:lvlJc w:val="left"/>
      <w:pPr>
        <w:ind w:left="992" w:hanging="217"/>
      </w:pPr>
      <w:rPr>
        <w:rFonts w:hint="default"/>
        <w:lang w:val="en-GB" w:eastAsia="en-GB" w:bidi="en-GB"/>
      </w:rPr>
    </w:lvl>
    <w:lvl w:ilvl="5" w:tplc="9DA44E9C">
      <w:numFmt w:val="bullet"/>
      <w:lvlText w:val="•"/>
      <w:lvlJc w:val="left"/>
      <w:pPr>
        <w:ind w:left="1165" w:hanging="217"/>
      </w:pPr>
      <w:rPr>
        <w:rFonts w:hint="default"/>
        <w:lang w:val="en-GB" w:eastAsia="en-GB" w:bidi="en-GB"/>
      </w:rPr>
    </w:lvl>
    <w:lvl w:ilvl="6" w:tplc="45F40912">
      <w:numFmt w:val="bullet"/>
      <w:lvlText w:val="•"/>
      <w:lvlJc w:val="left"/>
      <w:pPr>
        <w:ind w:left="1338" w:hanging="217"/>
      </w:pPr>
      <w:rPr>
        <w:rFonts w:hint="default"/>
        <w:lang w:val="en-GB" w:eastAsia="en-GB" w:bidi="en-GB"/>
      </w:rPr>
    </w:lvl>
    <w:lvl w:ilvl="7" w:tplc="4BAEE866">
      <w:numFmt w:val="bullet"/>
      <w:lvlText w:val="•"/>
      <w:lvlJc w:val="left"/>
      <w:pPr>
        <w:ind w:left="1511" w:hanging="217"/>
      </w:pPr>
      <w:rPr>
        <w:rFonts w:hint="default"/>
        <w:lang w:val="en-GB" w:eastAsia="en-GB" w:bidi="en-GB"/>
      </w:rPr>
    </w:lvl>
    <w:lvl w:ilvl="8" w:tplc="56F2D3C4">
      <w:numFmt w:val="bullet"/>
      <w:lvlText w:val="•"/>
      <w:lvlJc w:val="left"/>
      <w:pPr>
        <w:ind w:left="1684" w:hanging="217"/>
      </w:pPr>
      <w:rPr>
        <w:rFonts w:hint="default"/>
        <w:lang w:val="en-GB" w:eastAsia="en-GB" w:bidi="en-GB"/>
      </w:rPr>
    </w:lvl>
  </w:abstractNum>
  <w:abstractNum w:abstractNumId="788" w15:restartNumberingAfterBreak="0">
    <w:nsid w:val="48FA6940"/>
    <w:multiLevelType w:val="hybridMultilevel"/>
    <w:tmpl w:val="015A41FA"/>
    <w:lvl w:ilvl="0" w:tplc="8C66BED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7A42600">
      <w:numFmt w:val="bullet"/>
      <w:lvlText w:val="•"/>
      <w:lvlJc w:val="left"/>
      <w:pPr>
        <w:ind w:left="441" w:hanging="217"/>
      </w:pPr>
      <w:rPr>
        <w:rFonts w:hint="default"/>
        <w:lang w:val="en-GB" w:eastAsia="en-GB" w:bidi="en-GB"/>
      </w:rPr>
    </w:lvl>
    <w:lvl w:ilvl="2" w:tplc="109C8FCE">
      <w:numFmt w:val="bullet"/>
      <w:lvlText w:val="•"/>
      <w:lvlJc w:val="left"/>
      <w:pPr>
        <w:ind w:left="583" w:hanging="217"/>
      </w:pPr>
      <w:rPr>
        <w:rFonts w:hint="default"/>
        <w:lang w:val="en-GB" w:eastAsia="en-GB" w:bidi="en-GB"/>
      </w:rPr>
    </w:lvl>
    <w:lvl w:ilvl="3" w:tplc="5DF4E614">
      <w:numFmt w:val="bullet"/>
      <w:lvlText w:val="•"/>
      <w:lvlJc w:val="left"/>
      <w:pPr>
        <w:ind w:left="725" w:hanging="217"/>
      </w:pPr>
      <w:rPr>
        <w:rFonts w:hint="default"/>
        <w:lang w:val="en-GB" w:eastAsia="en-GB" w:bidi="en-GB"/>
      </w:rPr>
    </w:lvl>
    <w:lvl w:ilvl="4" w:tplc="0D302870">
      <w:numFmt w:val="bullet"/>
      <w:lvlText w:val="•"/>
      <w:lvlJc w:val="left"/>
      <w:pPr>
        <w:ind w:left="867" w:hanging="217"/>
      </w:pPr>
      <w:rPr>
        <w:rFonts w:hint="default"/>
        <w:lang w:val="en-GB" w:eastAsia="en-GB" w:bidi="en-GB"/>
      </w:rPr>
    </w:lvl>
    <w:lvl w:ilvl="5" w:tplc="C0C25B3C">
      <w:numFmt w:val="bullet"/>
      <w:lvlText w:val="•"/>
      <w:lvlJc w:val="left"/>
      <w:pPr>
        <w:ind w:left="1009" w:hanging="217"/>
      </w:pPr>
      <w:rPr>
        <w:rFonts w:hint="default"/>
        <w:lang w:val="en-GB" w:eastAsia="en-GB" w:bidi="en-GB"/>
      </w:rPr>
    </w:lvl>
    <w:lvl w:ilvl="6" w:tplc="A24488B0">
      <w:numFmt w:val="bullet"/>
      <w:lvlText w:val="•"/>
      <w:lvlJc w:val="left"/>
      <w:pPr>
        <w:ind w:left="1151" w:hanging="217"/>
      </w:pPr>
      <w:rPr>
        <w:rFonts w:hint="default"/>
        <w:lang w:val="en-GB" w:eastAsia="en-GB" w:bidi="en-GB"/>
      </w:rPr>
    </w:lvl>
    <w:lvl w:ilvl="7" w:tplc="42C6FD4C">
      <w:numFmt w:val="bullet"/>
      <w:lvlText w:val="•"/>
      <w:lvlJc w:val="left"/>
      <w:pPr>
        <w:ind w:left="1293" w:hanging="217"/>
      </w:pPr>
      <w:rPr>
        <w:rFonts w:hint="default"/>
        <w:lang w:val="en-GB" w:eastAsia="en-GB" w:bidi="en-GB"/>
      </w:rPr>
    </w:lvl>
    <w:lvl w:ilvl="8" w:tplc="F09C54E4">
      <w:numFmt w:val="bullet"/>
      <w:lvlText w:val="•"/>
      <w:lvlJc w:val="left"/>
      <w:pPr>
        <w:ind w:left="1435" w:hanging="217"/>
      </w:pPr>
      <w:rPr>
        <w:rFonts w:hint="default"/>
        <w:lang w:val="en-GB" w:eastAsia="en-GB" w:bidi="en-GB"/>
      </w:rPr>
    </w:lvl>
  </w:abstractNum>
  <w:abstractNum w:abstractNumId="789" w15:restartNumberingAfterBreak="0">
    <w:nsid w:val="48FD66BD"/>
    <w:multiLevelType w:val="hybridMultilevel"/>
    <w:tmpl w:val="798E982C"/>
    <w:lvl w:ilvl="0" w:tplc="786EBA74">
      <w:numFmt w:val="bullet"/>
      <w:lvlText w:val="•"/>
      <w:lvlJc w:val="left"/>
      <w:pPr>
        <w:ind w:left="304" w:hanging="217"/>
      </w:pPr>
      <w:rPr>
        <w:rFonts w:ascii="Arial" w:eastAsia="Arial" w:hAnsi="Arial" w:cs="Arial" w:hint="default"/>
        <w:color w:val="231F20"/>
        <w:spacing w:val="-20"/>
        <w:w w:val="100"/>
        <w:sz w:val="18"/>
        <w:szCs w:val="18"/>
        <w:lang w:val="en-GB" w:eastAsia="en-GB" w:bidi="en-GB"/>
      </w:rPr>
    </w:lvl>
    <w:lvl w:ilvl="1" w:tplc="67021A1C">
      <w:numFmt w:val="bullet"/>
      <w:lvlText w:val="•"/>
      <w:lvlJc w:val="left"/>
      <w:pPr>
        <w:ind w:left="544" w:hanging="217"/>
      </w:pPr>
      <w:rPr>
        <w:rFonts w:hint="default"/>
        <w:lang w:val="en-GB" w:eastAsia="en-GB" w:bidi="en-GB"/>
      </w:rPr>
    </w:lvl>
    <w:lvl w:ilvl="2" w:tplc="232A4DF8">
      <w:numFmt w:val="bullet"/>
      <w:lvlText w:val="•"/>
      <w:lvlJc w:val="left"/>
      <w:pPr>
        <w:ind w:left="788" w:hanging="217"/>
      </w:pPr>
      <w:rPr>
        <w:rFonts w:hint="default"/>
        <w:lang w:val="en-GB" w:eastAsia="en-GB" w:bidi="en-GB"/>
      </w:rPr>
    </w:lvl>
    <w:lvl w:ilvl="3" w:tplc="7CE6EFDC">
      <w:numFmt w:val="bullet"/>
      <w:lvlText w:val="•"/>
      <w:lvlJc w:val="left"/>
      <w:pPr>
        <w:ind w:left="1032" w:hanging="217"/>
      </w:pPr>
      <w:rPr>
        <w:rFonts w:hint="default"/>
        <w:lang w:val="en-GB" w:eastAsia="en-GB" w:bidi="en-GB"/>
      </w:rPr>
    </w:lvl>
    <w:lvl w:ilvl="4" w:tplc="5E9AD3F0">
      <w:numFmt w:val="bullet"/>
      <w:lvlText w:val="•"/>
      <w:lvlJc w:val="left"/>
      <w:pPr>
        <w:ind w:left="1276" w:hanging="217"/>
      </w:pPr>
      <w:rPr>
        <w:rFonts w:hint="default"/>
        <w:lang w:val="en-GB" w:eastAsia="en-GB" w:bidi="en-GB"/>
      </w:rPr>
    </w:lvl>
    <w:lvl w:ilvl="5" w:tplc="5BFC2DCA">
      <w:numFmt w:val="bullet"/>
      <w:lvlText w:val="•"/>
      <w:lvlJc w:val="left"/>
      <w:pPr>
        <w:ind w:left="1520" w:hanging="217"/>
      </w:pPr>
      <w:rPr>
        <w:rFonts w:hint="default"/>
        <w:lang w:val="en-GB" w:eastAsia="en-GB" w:bidi="en-GB"/>
      </w:rPr>
    </w:lvl>
    <w:lvl w:ilvl="6" w:tplc="2814EB70">
      <w:numFmt w:val="bullet"/>
      <w:lvlText w:val="•"/>
      <w:lvlJc w:val="left"/>
      <w:pPr>
        <w:ind w:left="1764" w:hanging="217"/>
      </w:pPr>
      <w:rPr>
        <w:rFonts w:hint="default"/>
        <w:lang w:val="en-GB" w:eastAsia="en-GB" w:bidi="en-GB"/>
      </w:rPr>
    </w:lvl>
    <w:lvl w:ilvl="7" w:tplc="C1A2F3E4">
      <w:numFmt w:val="bullet"/>
      <w:lvlText w:val="•"/>
      <w:lvlJc w:val="left"/>
      <w:pPr>
        <w:ind w:left="2008" w:hanging="217"/>
      </w:pPr>
      <w:rPr>
        <w:rFonts w:hint="default"/>
        <w:lang w:val="en-GB" w:eastAsia="en-GB" w:bidi="en-GB"/>
      </w:rPr>
    </w:lvl>
    <w:lvl w:ilvl="8" w:tplc="F4424362">
      <w:numFmt w:val="bullet"/>
      <w:lvlText w:val="•"/>
      <w:lvlJc w:val="left"/>
      <w:pPr>
        <w:ind w:left="2252" w:hanging="217"/>
      </w:pPr>
      <w:rPr>
        <w:rFonts w:hint="default"/>
        <w:lang w:val="en-GB" w:eastAsia="en-GB" w:bidi="en-GB"/>
      </w:rPr>
    </w:lvl>
  </w:abstractNum>
  <w:abstractNum w:abstractNumId="790" w15:restartNumberingAfterBreak="0">
    <w:nsid w:val="49005071"/>
    <w:multiLevelType w:val="hybridMultilevel"/>
    <w:tmpl w:val="8352865C"/>
    <w:lvl w:ilvl="0" w:tplc="ECDC6B6E">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C570CD0A">
      <w:numFmt w:val="bullet"/>
      <w:lvlText w:val="•"/>
      <w:lvlJc w:val="left"/>
      <w:pPr>
        <w:ind w:left="473" w:hanging="217"/>
      </w:pPr>
      <w:rPr>
        <w:rFonts w:hint="default"/>
        <w:lang w:val="en-GB" w:eastAsia="en-GB" w:bidi="en-GB"/>
      </w:rPr>
    </w:lvl>
    <w:lvl w:ilvl="2" w:tplc="9B14E40C">
      <w:numFmt w:val="bullet"/>
      <w:lvlText w:val="•"/>
      <w:lvlJc w:val="left"/>
      <w:pPr>
        <w:ind w:left="646" w:hanging="217"/>
      </w:pPr>
      <w:rPr>
        <w:rFonts w:hint="default"/>
        <w:lang w:val="en-GB" w:eastAsia="en-GB" w:bidi="en-GB"/>
      </w:rPr>
    </w:lvl>
    <w:lvl w:ilvl="3" w:tplc="3E98B3B2">
      <w:numFmt w:val="bullet"/>
      <w:lvlText w:val="•"/>
      <w:lvlJc w:val="left"/>
      <w:pPr>
        <w:ind w:left="819" w:hanging="217"/>
      </w:pPr>
      <w:rPr>
        <w:rFonts w:hint="default"/>
        <w:lang w:val="en-GB" w:eastAsia="en-GB" w:bidi="en-GB"/>
      </w:rPr>
    </w:lvl>
    <w:lvl w:ilvl="4" w:tplc="5B8ED4CC">
      <w:numFmt w:val="bullet"/>
      <w:lvlText w:val="•"/>
      <w:lvlJc w:val="left"/>
      <w:pPr>
        <w:ind w:left="992" w:hanging="217"/>
      </w:pPr>
      <w:rPr>
        <w:rFonts w:hint="default"/>
        <w:lang w:val="en-GB" w:eastAsia="en-GB" w:bidi="en-GB"/>
      </w:rPr>
    </w:lvl>
    <w:lvl w:ilvl="5" w:tplc="51FEE682">
      <w:numFmt w:val="bullet"/>
      <w:lvlText w:val="•"/>
      <w:lvlJc w:val="left"/>
      <w:pPr>
        <w:ind w:left="1165" w:hanging="217"/>
      </w:pPr>
      <w:rPr>
        <w:rFonts w:hint="default"/>
        <w:lang w:val="en-GB" w:eastAsia="en-GB" w:bidi="en-GB"/>
      </w:rPr>
    </w:lvl>
    <w:lvl w:ilvl="6" w:tplc="9712FD26">
      <w:numFmt w:val="bullet"/>
      <w:lvlText w:val="•"/>
      <w:lvlJc w:val="left"/>
      <w:pPr>
        <w:ind w:left="1338" w:hanging="217"/>
      </w:pPr>
      <w:rPr>
        <w:rFonts w:hint="default"/>
        <w:lang w:val="en-GB" w:eastAsia="en-GB" w:bidi="en-GB"/>
      </w:rPr>
    </w:lvl>
    <w:lvl w:ilvl="7" w:tplc="20C0B030">
      <w:numFmt w:val="bullet"/>
      <w:lvlText w:val="•"/>
      <w:lvlJc w:val="left"/>
      <w:pPr>
        <w:ind w:left="1511" w:hanging="217"/>
      </w:pPr>
      <w:rPr>
        <w:rFonts w:hint="default"/>
        <w:lang w:val="en-GB" w:eastAsia="en-GB" w:bidi="en-GB"/>
      </w:rPr>
    </w:lvl>
    <w:lvl w:ilvl="8" w:tplc="D2F462E2">
      <w:numFmt w:val="bullet"/>
      <w:lvlText w:val="•"/>
      <w:lvlJc w:val="left"/>
      <w:pPr>
        <w:ind w:left="1684" w:hanging="217"/>
      </w:pPr>
      <w:rPr>
        <w:rFonts w:hint="default"/>
        <w:lang w:val="en-GB" w:eastAsia="en-GB" w:bidi="en-GB"/>
      </w:rPr>
    </w:lvl>
  </w:abstractNum>
  <w:abstractNum w:abstractNumId="791" w15:restartNumberingAfterBreak="0">
    <w:nsid w:val="493706F4"/>
    <w:multiLevelType w:val="hybridMultilevel"/>
    <w:tmpl w:val="C3E481EC"/>
    <w:lvl w:ilvl="0" w:tplc="ADD6878E">
      <w:numFmt w:val="bullet"/>
      <w:lvlText w:val="•"/>
      <w:lvlJc w:val="left"/>
      <w:pPr>
        <w:ind w:left="303" w:hanging="217"/>
      </w:pPr>
      <w:rPr>
        <w:rFonts w:ascii="Arial" w:eastAsia="Arial" w:hAnsi="Arial" w:cs="Arial" w:hint="default"/>
        <w:color w:val="231F20"/>
        <w:w w:val="102"/>
        <w:sz w:val="17"/>
        <w:szCs w:val="17"/>
        <w:lang w:val="en-GB" w:eastAsia="en-GB" w:bidi="en-GB"/>
      </w:rPr>
    </w:lvl>
    <w:lvl w:ilvl="1" w:tplc="F0B27B4C">
      <w:numFmt w:val="bullet"/>
      <w:lvlText w:val="•"/>
      <w:lvlJc w:val="left"/>
      <w:pPr>
        <w:ind w:left="439" w:hanging="217"/>
      </w:pPr>
      <w:rPr>
        <w:rFonts w:hint="default"/>
        <w:lang w:val="en-GB" w:eastAsia="en-GB" w:bidi="en-GB"/>
      </w:rPr>
    </w:lvl>
    <w:lvl w:ilvl="2" w:tplc="B8C4A8C2">
      <w:numFmt w:val="bullet"/>
      <w:lvlText w:val="•"/>
      <w:lvlJc w:val="left"/>
      <w:pPr>
        <w:ind w:left="578" w:hanging="217"/>
      </w:pPr>
      <w:rPr>
        <w:rFonts w:hint="default"/>
        <w:lang w:val="en-GB" w:eastAsia="en-GB" w:bidi="en-GB"/>
      </w:rPr>
    </w:lvl>
    <w:lvl w:ilvl="3" w:tplc="B630DC0C">
      <w:numFmt w:val="bullet"/>
      <w:lvlText w:val="•"/>
      <w:lvlJc w:val="left"/>
      <w:pPr>
        <w:ind w:left="717" w:hanging="217"/>
      </w:pPr>
      <w:rPr>
        <w:rFonts w:hint="default"/>
        <w:lang w:val="en-GB" w:eastAsia="en-GB" w:bidi="en-GB"/>
      </w:rPr>
    </w:lvl>
    <w:lvl w:ilvl="4" w:tplc="4482BA2C">
      <w:numFmt w:val="bullet"/>
      <w:lvlText w:val="•"/>
      <w:lvlJc w:val="left"/>
      <w:pPr>
        <w:ind w:left="856" w:hanging="217"/>
      </w:pPr>
      <w:rPr>
        <w:rFonts w:hint="default"/>
        <w:lang w:val="en-GB" w:eastAsia="en-GB" w:bidi="en-GB"/>
      </w:rPr>
    </w:lvl>
    <w:lvl w:ilvl="5" w:tplc="B3DCA1E4">
      <w:numFmt w:val="bullet"/>
      <w:lvlText w:val="•"/>
      <w:lvlJc w:val="left"/>
      <w:pPr>
        <w:ind w:left="995" w:hanging="217"/>
      </w:pPr>
      <w:rPr>
        <w:rFonts w:hint="default"/>
        <w:lang w:val="en-GB" w:eastAsia="en-GB" w:bidi="en-GB"/>
      </w:rPr>
    </w:lvl>
    <w:lvl w:ilvl="6" w:tplc="261ECF44">
      <w:numFmt w:val="bullet"/>
      <w:lvlText w:val="•"/>
      <w:lvlJc w:val="left"/>
      <w:pPr>
        <w:ind w:left="1134" w:hanging="217"/>
      </w:pPr>
      <w:rPr>
        <w:rFonts w:hint="default"/>
        <w:lang w:val="en-GB" w:eastAsia="en-GB" w:bidi="en-GB"/>
      </w:rPr>
    </w:lvl>
    <w:lvl w:ilvl="7" w:tplc="EC4EF61A">
      <w:numFmt w:val="bullet"/>
      <w:lvlText w:val="•"/>
      <w:lvlJc w:val="left"/>
      <w:pPr>
        <w:ind w:left="1273" w:hanging="217"/>
      </w:pPr>
      <w:rPr>
        <w:rFonts w:hint="default"/>
        <w:lang w:val="en-GB" w:eastAsia="en-GB" w:bidi="en-GB"/>
      </w:rPr>
    </w:lvl>
    <w:lvl w:ilvl="8" w:tplc="E0BC50EE">
      <w:numFmt w:val="bullet"/>
      <w:lvlText w:val="•"/>
      <w:lvlJc w:val="left"/>
      <w:pPr>
        <w:ind w:left="1412" w:hanging="217"/>
      </w:pPr>
      <w:rPr>
        <w:rFonts w:hint="default"/>
        <w:lang w:val="en-GB" w:eastAsia="en-GB" w:bidi="en-GB"/>
      </w:rPr>
    </w:lvl>
  </w:abstractNum>
  <w:abstractNum w:abstractNumId="792" w15:restartNumberingAfterBreak="0">
    <w:nsid w:val="49591236"/>
    <w:multiLevelType w:val="hybridMultilevel"/>
    <w:tmpl w:val="87D4698C"/>
    <w:lvl w:ilvl="0" w:tplc="B82292C6">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2144AFC4">
      <w:numFmt w:val="bullet"/>
      <w:lvlText w:val="•"/>
      <w:lvlJc w:val="left"/>
      <w:pPr>
        <w:ind w:left="473" w:hanging="217"/>
      </w:pPr>
      <w:rPr>
        <w:rFonts w:hint="default"/>
        <w:lang w:val="en-GB" w:eastAsia="en-GB" w:bidi="en-GB"/>
      </w:rPr>
    </w:lvl>
    <w:lvl w:ilvl="2" w:tplc="7C74F9F4">
      <w:numFmt w:val="bullet"/>
      <w:lvlText w:val="•"/>
      <w:lvlJc w:val="left"/>
      <w:pPr>
        <w:ind w:left="646" w:hanging="217"/>
      </w:pPr>
      <w:rPr>
        <w:rFonts w:hint="default"/>
        <w:lang w:val="en-GB" w:eastAsia="en-GB" w:bidi="en-GB"/>
      </w:rPr>
    </w:lvl>
    <w:lvl w:ilvl="3" w:tplc="CABE844C">
      <w:numFmt w:val="bullet"/>
      <w:lvlText w:val="•"/>
      <w:lvlJc w:val="left"/>
      <w:pPr>
        <w:ind w:left="819" w:hanging="217"/>
      </w:pPr>
      <w:rPr>
        <w:rFonts w:hint="default"/>
        <w:lang w:val="en-GB" w:eastAsia="en-GB" w:bidi="en-GB"/>
      </w:rPr>
    </w:lvl>
    <w:lvl w:ilvl="4" w:tplc="DCAA1F54">
      <w:numFmt w:val="bullet"/>
      <w:lvlText w:val="•"/>
      <w:lvlJc w:val="left"/>
      <w:pPr>
        <w:ind w:left="992" w:hanging="217"/>
      </w:pPr>
      <w:rPr>
        <w:rFonts w:hint="default"/>
        <w:lang w:val="en-GB" w:eastAsia="en-GB" w:bidi="en-GB"/>
      </w:rPr>
    </w:lvl>
    <w:lvl w:ilvl="5" w:tplc="527CF99E">
      <w:numFmt w:val="bullet"/>
      <w:lvlText w:val="•"/>
      <w:lvlJc w:val="left"/>
      <w:pPr>
        <w:ind w:left="1165" w:hanging="217"/>
      </w:pPr>
      <w:rPr>
        <w:rFonts w:hint="default"/>
        <w:lang w:val="en-GB" w:eastAsia="en-GB" w:bidi="en-GB"/>
      </w:rPr>
    </w:lvl>
    <w:lvl w:ilvl="6" w:tplc="BCE66752">
      <w:numFmt w:val="bullet"/>
      <w:lvlText w:val="•"/>
      <w:lvlJc w:val="left"/>
      <w:pPr>
        <w:ind w:left="1338" w:hanging="217"/>
      </w:pPr>
      <w:rPr>
        <w:rFonts w:hint="default"/>
        <w:lang w:val="en-GB" w:eastAsia="en-GB" w:bidi="en-GB"/>
      </w:rPr>
    </w:lvl>
    <w:lvl w:ilvl="7" w:tplc="2E6E7EDC">
      <w:numFmt w:val="bullet"/>
      <w:lvlText w:val="•"/>
      <w:lvlJc w:val="left"/>
      <w:pPr>
        <w:ind w:left="1511" w:hanging="217"/>
      </w:pPr>
      <w:rPr>
        <w:rFonts w:hint="default"/>
        <w:lang w:val="en-GB" w:eastAsia="en-GB" w:bidi="en-GB"/>
      </w:rPr>
    </w:lvl>
    <w:lvl w:ilvl="8" w:tplc="66BE22FE">
      <w:numFmt w:val="bullet"/>
      <w:lvlText w:val="•"/>
      <w:lvlJc w:val="left"/>
      <w:pPr>
        <w:ind w:left="1684" w:hanging="217"/>
      </w:pPr>
      <w:rPr>
        <w:rFonts w:hint="default"/>
        <w:lang w:val="en-GB" w:eastAsia="en-GB" w:bidi="en-GB"/>
      </w:rPr>
    </w:lvl>
  </w:abstractNum>
  <w:abstractNum w:abstractNumId="793" w15:restartNumberingAfterBreak="0">
    <w:nsid w:val="49601C04"/>
    <w:multiLevelType w:val="hybridMultilevel"/>
    <w:tmpl w:val="109A6718"/>
    <w:lvl w:ilvl="0" w:tplc="9EA4A8CE">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93580FA6">
      <w:numFmt w:val="bullet"/>
      <w:lvlText w:val="•"/>
      <w:lvlJc w:val="left"/>
      <w:pPr>
        <w:ind w:left="473" w:hanging="217"/>
      </w:pPr>
      <w:rPr>
        <w:rFonts w:hint="default"/>
        <w:lang w:val="en-GB" w:eastAsia="en-GB" w:bidi="en-GB"/>
      </w:rPr>
    </w:lvl>
    <w:lvl w:ilvl="2" w:tplc="A0D0B3D8">
      <w:numFmt w:val="bullet"/>
      <w:lvlText w:val="•"/>
      <w:lvlJc w:val="left"/>
      <w:pPr>
        <w:ind w:left="646" w:hanging="217"/>
      </w:pPr>
      <w:rPr>
        <w:rFonts w:hint="default"/>
        <w:lang w:val="en-GB" w:eastAsia="en-GB" w:bidi="en-GB"/>
      </w:rPr>
    </w:lvl>
    <w:lvl w:ilvl="3" w:tplc="10B8A530">
      <w:numFmt w:val="bullet"/>
      <w:lvlText w:val="•"/>
      <w:lvlJc w:val="left"/>
      <w:pPr>
        <w:ind w:left="819" w:hanging="217"/>
      </w:pPr>
      <w:rPr>
        <w:rFonts w:hint="default"/>
        <w:lang w:val="en-GB" w:eastAsia="en-GB" w:bidi="en-GB"/>
      </w:rPr>
    </w:lvl>
    <w:lvl w:ilvl="4" w:tplc="9E8C029E">
      <w:numFmt w:val="bullet"/>
      <w:lvlText w:val="•"/>
      <w:lvlJc w:val="left"/>
      <w:pPr>
        <w:ind w:left="992" w:hanging="217"/>
      </w:pPr>
      <w:rPr>
        <w:rFonts w:hint="default"/>
        <w:lang w:val="en-GB" w:eastAsia="en-GB" w:bidi="en-GB"/>
      </w:rPr>
    </w:lvl>
    <w:lvl w:ilvl="5" w:tplc="AAB2E602">
      <w:numFmt w:val="bullet"/>
      <w:lvlText w:val="•"/>
      <w:lvlJc w:val="left"/>
      <w:pPr>
        <w:ind w:left="1165" w:hanging="217"/>
      </w:pPr>
      <w:rPr>
        <w:rFonts w:hint="default"/>
        <w:lang w:val="en-GB" w:eastAsia="en-GB" w:bidi="en-GB"/>
      </w:rPr>
    </w:lvl>
    <w:lvl w:ilvl="6" w:tplc="75A25292">
      <w:numFmt w:val="bullet"/>
      <w:lvlText w:val="•"/>
      <w:lvlJc w:val="left"/>
      <w:pPr>
        <w:ind w:left="1338" w:hanging="217"/>
      </w:pPr>
      <w:rPr>
        <w:rFonts w:hint="default"/>
        <w:lang w:val="en-GB" w:eastAsia="en-GB" w:bidi="en-GB"/>
      </w:rPr>
    </w:lvl>
    <w:lvl w:ilvl="7" w:tplc="3C96B9FE">
      <w:numFmt w:val="bullet"/>
      <w:lvlText w:val="•"/>
      <w:lvlJc w:val="left"/>
      <w:pPr>
        <w:ind w:left="1511" w:hanging="217"/>
      </w:pPr>
      <w:rPr>
        <w:rFonts w:hint="default"/>
        <w:lang w:val="en-GB" w:eastAsia="en-GB" w:bidi="en-GB"/>
      </w:rPr>
    </w:lvl>
    <w:lvl w:ilvl="8" w:tplc="F4B0AFEA">
      <w:numFmt w:val="bullet"/>
      <w:lvlText w:val="•"/>
      <w:lvlJc w:val="left"/>
      <w:pPr>
        <w:ind w:left="1684" w:hanging="217"/>
      </w:pPr>
      <w:rPr>
        <w:rFonts w:hint="default"/>
        <w:lang w:val="en-GB" w:eastAsia="en-GB" w:bidi="en-GB"/>
      </w:rPr>
    </w:lvl>
  </w:abstractNum>
  <w:abstractNum w:abstractNumId="794" w15:restartNumberingAfterBreak="0">
    <w:nsid w:val="49655C2F"/>
    <w:multiLevelType w:val="hybridMultilevel"/>
    <w:tmpl w:val="725CC570"/>
    <w:lvl w:ilvl="0" w:tplc="FCA4BBA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DB8ECE4">
      <w:numFmt w:val="bullet"/>
      <w:lvlText w:val="•"/>
      <w:lvlJc w:val="left"/>
      <w:pPr>
        <w:ind w:left="473" w:hanging="217"/>
      </w:pPr>
      <w:rPr>
        <w:rFonts w:hint="default"/>
        <w:lang w:val="en-GB" w:eastAsia="en-GB" w:bidi="en-GB"/>
      </w:rPr>
    </w:lvl>
    <w:lvl w:ilvl="2" w:tplc="9CBAFF26">
      <w:numFmt w:val="bullet"/>
      <w:lvlText w:val="•"/>
      <w:lvlJc w:val="left"/>
      <w:pPr>
        <w:ind w:left="646" w:hanging="217"/>
      </w:pPr>
      <w:rPr>
        <w:rFonts w:hint="default"/>
        <w:lang w:val="en-GB" w:eastAsia="en-GB" w:bidi="en-GB"/>
      </w:rPr>
    </w:lvl>
    <w:lvl w:ilvl="3" w:tplc="1C9267E0">
      <w:numFmt w:val="bullet"/>
      <w:lvlText w:val="•"/>
      <w:lvlJc w:val="left"/>
      <w:pPr>
        <w:ind w:left="819" w:hanging="217"/>
      </w:pPr>
      <w:rPr>
        <w:rFonts w:hint="default"/>
        <w:lang w:val="en-GB" w:eastAsia="en-GB" w:bidi="en-GB"/>
      </w:rPr>
    </w:lvl>
    <w:lvl w:ilvl="4" w:tplc="90C8E730">
      <w:numFmt w:val="bullet"/>
      <w:lvlText w:val="•"/>
      <w:lvlJc w:val="left"/>
      <w:pPr>
        <w:ind w:left="992" w:hanging="217"/>
      </w:pPr>
      <w:rPr>
        <w:rFonts w:hint="default"/>
        <w:lang w:val="en-GB" w:eastAsia="en-GB" w:bidi="en-GB"/>
      </w:rPr>
    </w:lvl>
    <w:lvl w:ilvl="5" w:tplc="E43A17B2">
      <w:numFmt w:val="bullet"/>
      <w:lvlText w:val="•"/>
      <w:lvlJc w:val="left"/>
      <w:pPr>
        <w:ind w:left="1165" w:hanging="217"/>
      </w:pPr>
      <w:rPr>
        <w:rFonts w:hint="default"/>
        <w:lang w:val="en-GB" w:eastAsia="en-GB" w:bidi="en-GB"/>
      </w:rPr>
    </w:lvl>
    <w:lvl w:ilvl="6" w:tplc="8DFEC042">
      <w:numFmt w:val="bullet"/>
      <w:lvlText w:val="•"/>
      <w:lvlJc w:val="left"/>
      <w:pPr>
        <w:ind w:left="1338" w:hanging="217"/>
      </w:pPr>
      <w:rPr>
        <w:rFonts w:hint="default"/>
        <w:lang w:val="en-GB" w:eastAsia="en-GB" w:bidi="en-GB"/>
      </w:rPr>
    </w:lvl>
    <w:lvl w:ilvl="7" w:tplc="460A6A2A">
      <w:numFmt w:val="bullet"/>
      <w:lvlText w:val="•"/>
      <w:lvlJc w:val="left"/>
      <w:pPr>
        <w:ind w:left="1511" w:hanging="217"/>
      </w:pPr>
      <w:rPr>
        <w:rFonts w:hint="default"/>
        <w:lang w:val="en-GB" w:eastAsia="en-GB" w:bidi="en-GB"/>
      </w:rPr>
    </w:lvl>
    <w:lvl w:ilvl="8" w:tplc="3CD62E78">
      <w:numFmt w:val="bullet"/>
      <w:lvlText w:val="•"/>
      <w:lvlJc w:val="left"/>
      <w:pPr>
        <w:ind w:left="1684" w:hanging="217"/>
      </w:pPr>
      <w:rPr>
        <w:rFonts w:hint="default"/>
        <w:lang w:val="en-GB" w:eastAsia="en-GB" w:bidi="en-GB"/>
      </w:rPr>
    </w:lvl>
  </w:abstractNum>
  <w:abstractNum w:abstractNumId="795" w15:restartNumberingAfterBreak="0">
    <w:nsid w:val="49655FA8"/>
    <w:multiLevelType w:val="hybridMultilevel"/>
    <w:tmpl w:val="F456213A"/>
    <w:lvl w:ilvl="0" w:tplc="2E76BEC2">
      <w:numFmt w:val="bullet"/>
      <w:lvlText w:val="•"/>
      <w:lvlJc w:val="left"/>
      <w:pPr>
        <w:ind w:left="299" w:hanging="217"/>
      </w:pPr>
      <w:rPr>
        <w:rFonts w:ascii="Arial" w:eastAsia="Arial" w:hAnsi="Arial" w:cs="Arial" w:hint="default"/>
        <w:color w:val="231F20"/>
        <w:spacing w:val="-7"/>
        <w:w w:val="100"/>
        <w:sz w:val="18"/>
        <w:szCs w:val="18"/>
        <w:lang w:val="en-GB" w:eastAsia="en-GB" w:bidi="en-GB"/>
      </w:rPr>
    </w:lvl>
    <w:lvl w:ilvl="1" w:tplc="8D581550">
      <w:numFmt w:val="bullet"/>
      <w:lvlText w:val="•"/>
      <w:lvlJc w:val="left"/>
      <w:pPr>
        <w:ind w:left="473" w:hanging="217"/>
      </w:pPr>
      <w:rPr>
        <w:rFonts w:hint="default"/>
        <w:lang w:val="en-GB" w:eastAsia="en-GB" w:bidi="en-GB"/>
      </w:rPr>
    </w:lvl>
    <w:lvl w:ilvl="2" w:tplc="FEDAA126">
      <w:numFmt w:val="bullet"/>
      <w:lvlText w:val="•"/>
      <w:lvlJc w:val="left"/>
      <w:pPr>
        <w:ind w:left="646" w:hanging="217"/>
      </w:pPr>
      <w:rPr>
        <w:rFonts w:hint="default"/>
        <w:lang w:val="en-GB" w:eastAsia="en-GB" w:bidi="en-GB"/>
      </w:rPr>
    </w:lvl>
    <w:lvl w:ilvl="3" w:tplc="B42C86F4">
      <w:numFmt w:val="bullet"/>
      <w:lvlText w:val="•"/>
      <w:lvlJc w:val="left"/>
      <w:pPr>
        <w:ind w:left="819" w:hanging="217"/>
      </w:pPr>
      <w:rPr>
        <w:rFonts w:hint="default"/>
        <w:lang w:val="en-GB" w:eastAsia="en-GB" w:bidi="en-GB"/>
      </w:rPr>
    </w:lvl>
    <w:lvl w:ilvl="4" w:tplc="D5081D36">
      <w:numFmt w:val="bullet"/>
      <w:lvlText w:val="•"/>
      <w:lvlJc w:val="left"/>
      <w:pPr>
        <w:ind w:left="992" w:hanging="217"/>
      </w:pPr>
      <w:rPr>
        <w:rFonts w:hint="default"/>
        <w:lang w:val="en-GB" w:eastAsia="en-GB" w:bidi="en-GB"/>
      </w:rPr>
    </w:lvl>
    <w:lvl w:ilvl="5" w:tplc="2B04A76E">
      <w:numFmt w:val="bullet"/>
      <w:lvlText w:val="•"/>
      <w:lvlJc w:val="left"/>
      <w:pPr>
        <w:ind w:left="1165" w:hanging="217"/>
      </w:pPr>
      <w:rPr>
        <w:rFonts w:hint="default"/>
        <w:lang w:val="en-GB" w:eastAsia="en-GB" w:bidi="en-GB"/>
      </w:rPr>
    </w:lvl>
    <w:lvl w:ilvl="6" w:tplc="9DCC4704">
      <w:numFmt w:val="bullet"/>
      <w:lvlText w:val="•"/>
      <w:lvlJc w:val="left"/>
      <w:pPr>
        <w:ind w:left="1338" w:hanging="217"/>
      </w:pPr>
      <w:rPr>
        <w:rFonts w:hint="default"/>
        <w:lang w:val="en-GB" w:eastAsia="en-GB" w:bidi="en-GB"/>
      </w:rPr>
    </w:lvl>
    <w:lvl w:ilvl="7" w:tplc="F020BA3C">
      <w:numFmt w:val="bullet"/>
      <w:lvlText w:val="•"/>
      <w:lvlJc w:val="left"/>
      <w:pPr>
        <w:ind w:left="1511" w:hanging="217"/>
      </w:pPr>
      <w:rPr>
        <w:rFonts w:hint="default"/>
        <w:lang w:val="en-GB" w:eastAsia="en-GB" w:bidi="en-GB"/>
      </w:rPr>
    </w:lvl>
    <w:lvl w:ilvl="8" w:tplc="23221E60">
      <w:numFmt w:val="bullet"/>
      <w:lvlText w:val="•"/>
      <w:lvlJc w:val="left"/>
      <w:pPr>
        <w:ind w:left="1684" w:hanging="217"/>
      </w:pPr>
      <w:rPr>
        <w:rFonts w:hint="default"/>
        <w:lang w:val="en-GB" w:eastAsia="en-GB" w:bidi="en-GB"/>
      </w:rPr>
    </w:lvl>
  </w:abstractNum>
  <w:abstractNum w:abstractNumId="796" w15:restartNumberingAfterBreak="0">
    <w:nsid w:val="49714848"/>
    <w:multiLevelType w:val="hybridMultilevel"/>
    <w:tmpl w:val="4D16CFBE"/>
    <w:lvl w:ilvl="0" w:tplc="442A6EC0">
      <w:numFmt w:val="bullet"/>
      <w:lvlText w:val="•"/>
      <w:lvlJc w:val="left"/>
      <w:pPr>
        <w:ind w:left="305" w:hanging="217"/>
      </w:pPr>
      <w:rPr>
        <w:rFonts w:ascii="Arial" w:eastAsia="Arial" w:hAnsi="Arial" w:cs="Arial" w:hint="default"/>
        <w:color w:val="231F20"/>
        <w:w w:val="102"/>
        <w:sz w:val="17"/>
        <w:szCs w:val="17"/>
        <w:lang w:val="en-GB" w:eastAsia="en-GB" w:bidi="en-GB"/>
      </w:rPr>
    </w:lvl>
    <w:lvl w:ilvl="1" w:tplc="39503C10">
      <w:numFmt w:val="bullet"/>
      <w:lvlText w:val="•"/>
      <w:lvlJc w:val="left"/>
      <w:pPr>
        <w:ind w:left="892" w:hanging="217"/>
      </w:pPr>
      <w:rPr>
        <w:rFonts w:hint="default"/>
        <w:lang w:val="en-GB" w:eastAsia="en-GB" w:bidi="en-GB"/>
      </w:rPr>
    </w:lvl>
    <w:lvl w:ilvl="2" w:tplc="AE965E36">
      <w:numFmt w:val="bullet"/>
      <w:lvlText w:val="•"/>
      <w:lvlJc w:val="left"/>
      <w:pPr>
        <w:ind w:left="1485" w:hanging="217"/>
      </w:pPr>
      <w:rPr>
        <w:rFonts w:hint="default"/>
        <w:lang w:val="en-GB" w:eastAsia="en-GB" w:bidi="en-GB"/>
      </w:rPr>
    </w:lvl>
    <w:lvl w:ilvl="3" w:tplc="CF42C6FE">
      <w:numFmt w:val="bullet"/>
      <w:lvlText w:val="•"/>
      <w:lvlJc w:val="left"/>
      <w:pPr>
        <w:ind w:left="2077" w:hanging="217"/>
      </w:pPr>
      <w:rPr>
        <w:rFonts w:hint="default"/>
        <w:lang w:val="en-GB" w:eastAsia="en-GB" w:bidi="en-GB"/>
      </w:rPr>
    </w:lvl>
    <w:lvl w:ilvl="4" w:tplc="BB400312">
      <w:numFmt w:val="bullet"/>
      <w:lvlText w:val="•"/>
      <w:lvlJc w:val="left"/>
      <w:pPr>
        <w:ind w:left="2670" w:hanging="217"/>
      </w:pPr>
      <w:rPr>
        <w:rFonts w:hint="default"/>
        <w:lang w:val="en-GB" w:eastAsia="en-GB" w:bidi="en-GB"/>
      </w:rPr>
    </w:lvl>
    <w:lvl w:ilvl="5" w:tplc="2AE6FD78">
      <w:numFmt w:val="bullet"/>
      <w:lvlText w:val="•"/>
      <w:lvlJc w:val="left"/>
      <w:pPr>
        <w:ind w:left="3263" w:hanging="217"/>
      </w:pPr>
      <w:rPr>
        <w:rFonts w:hint="default"/>
        <w:lang w:val="en-GB" w:eastAsia="en-GB" w:bidi="en-GB"/>
      </w:rPr>
    </w:lvl>
    <w:lvl w:ilvl="6" w:tplc="81923046">
      <w:numFmt w:val="bullet"/>
      <w:lvlText w:val="•"/>
      <w:lvlJc w:val="left"/>
      <w:pPr>
        <w:ind w:left="3855" w:hanging="217"/>
      </w:pPr>
      <w:rPr>
        <w:rFonts w:hint="default"/>
        <w:lang w:val="en-GB" w:eastAsia="en-GB" w:bidi="en-GB"/>
      </w:rPr>
    </w:lvl>
    <w:lvl w:ilvl="7" w:tplc="39E4329C">
      <w:numFmt w:val="bullet"/>
      <w:lvlText w:val="•"/>
      <w:lvlJc w:val="left"/>
      <w:pPr>
        <w:ind w:left="4448" w:hanging="217"/>
      </w:pPr>
      <w:rPr>
        <w:rFonts w:hint="default"/>
        <w:lang w:val="en-GB" w:eastAsia="en-GB" w:bidi="en-GB"/>
      </w:rPr>
    </w:lvl>
    <w:lvl w:ilvl="8" w:tplc="10DE7F16">
      <w:numFmt w:val="bullet"/>
      <w:lvlText w:val="•"/>
      <w:lvlJc w:val="left"/>
      <w:pPr>
        <w:ind w:left="5040" w:hanging="217"/>
      </w:pPr>
      <w:rPr>
        <w:rFonts w:hint="default"/>
        <w:lang w:val="en-GB" w:eastAsia="en-GB" w:bidi="en-GB"/>
      </w:rPr>
    </w:lvl>
  </w:abstractNum>
  <w:abstractNum w:abstractNumId="797" w15:restartNumberingAfterBreak="0">
    <w:nsid w:val="49BD2190"/>
    <w:multiLevelType w:val="hybridMultilevel"/>
    <w:tmpl w:val="782A44EA"/>
    <w:lvl w:ilvl="0" w:tplc="4FB691D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EB8E5570">
      <w:numFmt w:val="bullet"/>
      <w:lvlText w:val="•"/>
      <w:lvlJc w:val="left"/>
      <w:pPr>
        <w:ind w:left="473" w:hanging="217"/>
      </w:pPr>
      <w:rPr>
        <w:rFonts w:hint="default"/>
        <w:lang w:val="en-GB" w:eastAsia="en-GB" w:bidi="en-GB"/>
      </w:rPr>
    </w:lvl>
    <w:lvl w:ilvl="2" w:tplc="31862E18">
      <w:numFmt w:val="bullet"/>
      <w:lvlText w:val="•"/>
      <w:lvlJc w:val="left"/>
      <w:pPr>
        <w:ind w:left="646" w:hanging="217"/>
      </w:pPr>
      <w:rPr>
        <w:rFonts w:hint="default"/>
        <w:lang w:val="en-GB" w:eastAsia="en-GB" w:bidi="en-GB"/>
      </w:rPr>
    </w:lvl>
    <w:lvl w:ilvl="3" w:tplc="BE30E0F6">
      <w:numFmt w:val="bullet"/>
      <w:lvlText w:val="•"/>
      <w:lvlJc w:val="left"/>
      <w:pPr>
        <w:ind w:left="819" w:hanging="217"/>
      </w:pPr>
      <w:rPr>
        <w:rFonts w:hint="default"/>
        <w:lang w:val="en-GB" w:eastAsia="en-GB" w:bidi="en-GB"/>
      </w:rPr>
    </w:lvl>
    <w:lvl w:ilvl="4" w:tplc="FC3AC438">
      <w:numFmt w:val="bullet"/>
      <w:lvlText w:val="•"/>
      <w:lvlJc w:val="left"/>
      <w:pPr>
        <w:ind w:left="992" w:hanging="217"/>
      </w:pPr>
      <w:rPr>
        <w:rFonts w:hint="default"/>
        <w:lang w:val="en-GB" w:eastAsia="en-GB" w:bidi="en-GB"/>
      </w:rPr>
    </w:lvl>
    <w:lvl w:ilvl="5" w:tplc="5412C374">
      <w:numFmt w:val="bullet"/>
      <w:lvlText w:val="•"/>
      <w:lvlJc w:val="left"/>
      <w:pPr>
        <w:ind w:left="1165" w:hanging="217"/>
      </w:pPr>
      <w:rPr>
        <w:rFonts w:hint="default"/>
        <w:lang w:val="en-GB" w:eastAsia="en-GB" w:bidi="en-GB"/>
      </w:rPr>
    </w:lvl>
    <w:lvl w:ilvl="6" w:tplc="F46A2E4E">
      <w:numFmt w:val="bullet"/>
      <w:lvlText w:val="•"/>
      <w:lvlJc w:val="left"/>
      <w:pPr>
        <w:ind w:left="1338" w:hanging="217"/>
      </w:pPr>
      <w:rPr>
        <w:rFonts w:hint="default"/>
        <w:lang w:val="en-GB" w:eastAsia="en-GB" w:bidi="en-GB"/>
      </w:rPr>
    </w:lvl>
    <w:lvl w:ilvl="7" w:tplc="E84E97A2">
      <w:numFmt w:val="bullet"/>
      <w:lvlText w:val="•"/>
      <w:lvlJc w:val="left"/>
      <w:pPr>
        <w:ind w:left="1511" w:hanging="217"/>
      </w:pPr>
      <w:rPr>
        <w:rFonts w:hint="default"/>
        <w:lang w:val="en-GB" w:eastAsia="en-GB" w:bidi="en-GB"/>
      </w:rPr>
    </w:lvl>
    <w:lvl w:ilvl="8" w:tplc="ACCA3516">
      <w:numFmt w:val="bullet"/>
      <w:lvlText w:val="•"/>
      <w:lvlJc w:val="left"/>
      <w:pPr>
        <w:ind w:left="1684" w:hanging="217"/>
      </w:pPr>
      <w:rPr>
        <w:rFonts w:hint="default"/>
        <w:lang w:val="en-GB" w:eastAsia="en-GB" w:bidi="en-GB"/>
      </w:rPr>
    </w:lvl>
  </w:abstractNum>
  <w:abstractNum w:abstractNumId="798" w15:restartNumberingAfterBreak="0">
    <w:nsid w:val="49C42D66"/>
    <w:multiLevelType w:val="hybridMultilevel"/>
    <w:tmpl w:val="CFAA601E"/>
    <w:lvl w:ilvl="0" w:tplc="EA04536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8F60884">
      <w:numFmt w:val="bullet"/>
      <w:lvlText w:val="•"/>
      <w:lvlJc w:val="left"/>
      <w:pPr>
        <w:ind w:left="892" w:hanging="217"/>
      </w:pPr>
      <w:rPr>
        <w:rFonts w:hint="default"/>
        <w:lang w:val="en-GB" w:eastAsia="en-GB" w:bidi="en-GB"/>
      </w:rPr>
    </w:lvl>
    <w:lvl w:ilvl="2" w:tplc="2B4C64E4">
      <w:numFmt w:val="bullet"/>
      <w:lvlText w:val="•"/>
      <w:lvlJc w:val="left"/>
      <w:pPr>
        <w:ind w:left="1485" w:hanging="217"/>
      </w:pPr>
      <w:rPr>
        <w:rFonts w:hint="default"/>
        <w:lang w:val="en-GB" w:eastAsia="en-GB" w:bidi="en-GB"/>
      </w:rPr>
    </w:lvl>
    <w:lvl w:ilvl="3" w:tplc="1E38AFAE">
      <w:numFmt w:val="bullet"/>
      <w:lvlText w:val="•"/>
      <w:lvlJc w:val="left"/>
      <w:pPr>
        <w:ind w:left="2077" w:hanging="217"/>
      </w:pPr>
      <w:rPr>
        <w:rFonts w:hint="default"/>
        <w:lang w:val="en-GB" w:eastAsia="en-GB" w:bidi="en-GB"/>
      </w:rPr>
    </w:lvl>
    <w:lvl w:ilvl="4" w:tplc="40EAB5AC">
      <w:numFmt w:val="bullet"/>
      <w:lvlText w:val="•"/>
      <w:lvlJc w:val="left"/>
      <w:pPr>
        <w:ind w:left="2670" w:hanging="217"/>
      </w:pPr>
      <w:rPr>
        <w:rFonts w:hint="default"/>
        <w:lang w:val="en-GB" w:eastAsia="en-GB" w:bidi="en-GB"/>
      </w:rPr>
    </w:lvl>
    <w:lvl w:ilvl="5" w:tplc="3DFA2F7C">
      <w:numFmt w:val="bullet"/>
      <w:lvlText w:val="•"/>
      <w:lvlJc w:val="left"/>
      <w:pPr>
        <w:ind w:left="3263" w:hanging="217"/>
      </w:pPr>
      <w:rPr>
        <w:rFonts w:hint="default"/>
        <w:lang w:val="en-GB" w:eastAsia="en-GB" w:bidi="en-GB"/>
      </w:rPr>
    </w:lvl>
    <w:lvl w:ilvl="6" w:tplc="31D8B1B6">
      <w:numFmt w:val="bullet"/>
      <w:lvlText w:val="•"/>
      <w:lvlJc w:val="left"/>
      <w:pPr>
        <w:ind w:left="3855" w:hanging="217"/>
      </w:pPr>
      <w:rPr>
        <w:rFonts w:hint="default"/>
        <w:lang w:val="en-GB" w:eastAsia="en-GB" w:bidi="en-GB"/>
      </w:rPr>
    </w:lvl>
    <w:lvl w:ilvl="7" w:tplc="3A287B5A">
      <w:numFmt w:val="bullet"/>
      <w:lvlText w:val="•"/>
      <w:lvlJc w:val="left"/>
      <w:pPr>
        <w:ind w:left="4448" w:hanging="217"/>
      </w:pPr>
      <w:rPr>
        <w:rFonts w:hint="default"/>
        <w:lang w:val="en-GB" w:eastAsia="en-GB" w:bidi="en-GB"/>
      </w:rPr>
    </w:lvl>
    <w:lvl w:ilvl="8" w:tplc="D026FD4E">
      <w:numFmt w:val="bullet"/>
      <w:lvlText w:val="•"/>
      <w:lvlJc w:val="left"/>
      <w:pPr>
        <w:ind w:left="5040" w:hanging="217"/>
      </w:pPr>
      <w:rPr>
        <w:rFonts w:hint="default"/>
        <w:lang w:val="en-GB" w:eastAsia="en-GB" w:bidi="en-GB"/>
      </w:rPr>
    </w:lvl>
  </w:abstractNum>
  <w:abstractNum w:abstractNumId="799" w15:restartNumberingAfterBreak="0">
    <w:nsid w:val="49CA012F"/>
    <w:multiLevelType w:val="hybridMultilevel"/>
    <w:tmpl w:val="3788D832"/>
    <w:lvl w:ilvl="0" w:tplc="9CC81DC4">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3BC0AB2E">
      <w:numFmt w:val="bullet"/>
      <w:lvlText w:val="•"/>
      <w:lvlJc w:val="left"/>
      <w:pPr>
        <w:ind w:left="881" w:hanging="217"/>
      </w:pPr>
      <w:rPr>
        <w:rFonts w:hint="default"/>
        <w:lang w:val="en-GB" w:eastAsia="en-GB" w:bidi="en-GB"/>
      </w:rPr>
    </w:lvl>
    <w:lvl w:ilvl="2" w:tplc="9ACE5A36">
      <w:numFmt w:val="bullet"/>
      <w:lvlText w:val="•"/>
      <w:lvlJc w:val="left"/>
      <w:pPr>
        <w:ind w:left="1462" w:hanging="217"/>
      </w:pPr>
      <w:rPr>
        <w:rFonts w:hint="default"/>
        <w:lang w:val="en-GB" w:eastAsia="en-GB" w:bidi="en-GB"/>
      </w:rPr>
    </w:lvl>
    <w:lvl w:ilvl="3" w:tplc="3042A7C0">
      <w:numFmt w:val="bullet"/>
      <w:lvlText w:val="•"/>
      <w:lvlJc w:val="left"/>
      <w:pPr>
        <w:ind w:left="2043" w:hanging="217"/>
      </w:pPr>
      <w:rPr>
        <w:rFonts w:hint="default"/>
        <w:lang w:val="en-GB" w:eastAsia="en-GB" w:bidi="en-GB"/>
      </w:rPr>
    </w:lvl>
    <w:lvl w:ilvl="4" w:tplc="03CAA134">
      <w:numFmt w:val="bullet"/>
      <w:lvlText w:val="•"/>
      <w:lvlJc w:val="left"/>
      <w:pPr>
        <w:ind w:left="2625" w:hanging="217"/>
      </w:pPr>
      <w:rPr>
        <w:rFonts w:hint="default"/>
        <w:lang w:val="en-GB" w:eastAsia="en-GB" w:bidi="en-GB"/>
      </w:rPr>
    </w:lvl>
    <w:lvl w:ilvl="5" w:tplc="EE7C923E">
      <w:numFmt w:val="bullet"/>
      <w:lvlText w:val="•"/>
      <w:lvlJc w:val="left"/>
      <w:pPr>
        <w:ind w:left="3206" w:hanging="217"/>
      </w:pPr>
      <w:rPr>
        <w:rFonts w:hint="default"/>
        <w:lang w:val="en-GB" w:eastAsia="en-GB" w:bidi="en-GB"/>
      </w:rPr>
    </w:lvl>
    <w:lvl w:ilvl="6" w:tplc="BC405602">
      <w:numFmt w:val="bullet"/>
      <w:lvlText w:val="•"/>
      <w:lvlJc w:val="left"/>
      <w:pPr>
        <w:ind w:left="3787" w:hanging="217"/>
      </w:pPr>
      <w:rPr>
        <w:rFonts w:hint="default"/>
        <w:lang w:val="en-GB" w:eastAsia="en-GB" w:bidi="en-GB"/>
      </w:rPr>
    </w:lvl>
    <w:lvl w:ilvl="7" w:tplc="F886CAE6">
      <w:numFmt w:val="bullet"/>
      <w:lvlText w:val="•"/>
      <w:lvlJc w:val="left"/>
      <w:pPr>
        <w:ind w:left="4369" w:hanging="217"/>
      </w:pPr>
      <w:rPr>
        <w:rFonts w:hint="default"/>
        <w:lang w:val="en-GB" w:eastAsia="en-GB" w:bidi="en-GB"/>
      </w:rPr>
    </w:lvl>
    <w:lvl w:ilvl="8" w:tplc="7B0E5CB8">
      <w:numFmt w:val="bullet"/>
      <w:lvlText w:val="•"/>
      <w:lvlJc w:val="left"/>
      <w:pPr>
        <w:ind w:left="4950" w:hanging="217"/>
      </w:pPr>
      <w:rPr>
        <w:rFonts w:hint="default"/>
        <w:lang w:val="en-GB" w:eastAsia="en-GB" w:bidi="en-GB"/>
      </w:rPr>
    </w:lvl>
  </w:abstractNum>
  <w:abstractNum w:abstractNumId="800" w15:restartNumberingAfterBreak="0">
    <w:nsid w:val="49CB41ED"/>
    <w:multiLevelType w:val="hybridMultilevel"/>
    <w:tmpl w:val="D302731A"/>
    <w:lvl w:ilvl="0" w:tplc="0D585BA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1AC9050">
      <w:numFmt w:val="bullet"/>
      <w:lvlText w:val="•"/>
      <w:lvlJc w:val="left"/>
      <w:pPr>
        <w:ind w:left="473" w:hanging="217"/>
      </w:pPr>
      <w:rPr>
        <w:rFonts w:hint="default"/>
        <w:lang w:val="en-GB" w:eastAsia="en-GB" w:bidi="en-GB"/>
      </w:rPr>
    </w:lvl>
    <w:lvl w:ilvl="2" w:tplc="F9A4ABE4">
      <w:numFmt w:val="bullet"/>
      <w:lvlText w:val="•"/>
      <w:lvlJc w:val="left"/>
      <w:pPr>
        <w:ind w:left="646" w:hanging="217"/>
      </w:pPr>
      <w:rPr>
        <w:rFonts w:hint="default"/>
        <w:lang w:val="en-GB" w:eastAsia="en-GB" w:bidi="en-GB"/>
      </w:rPr>
    </w:lvl>
    <w:lvl w:ilvl="3" w:tplc="BE3A3BAA">
      <w:numFmt w:val="bullet"/>
      <w:lvlText w:val="•"/>
      <w:lvlJc w:val="left"/>
      <w:pPr>
        <w:ind w:left="819" w:hanging="217"/>
      </w:pPr>
      <w:rPr>
        <w:rFonts w:hint="default"/>
        <w:lang w:val="en-GB" w:eastAsia="en-GB" w:bidi="en-GB"/>
      </w:rPr>
    </w:lvl>
    <w:lvl w:ilvl="4" w:tplc="59324A84">
      <w:numFmt w:val="bullet"/>
      <w:lvlText w:val="•"/>
      <w:lvlJc w:val="left"/>
      <w:pPr>
        <w:ind w:left="992" w:hanging="217"/>
      </w:pPr>
      <w:rPr>
        <w:rFonts w:hint="default"/>
        <w:lang w:val="en-GB" w:eastAsia="en-GB" w:bidi="en-GB"/>
      </w:rPr>
    </w:lvl>
    <w:lvl w:ilvl="5" w:tplc="242C2A66">
      <w:numFmt w:val="bullet"/>
      <w:lvlText w:val="•"/>
      <w:lvlJc w:val="left"/>
      <w:pPr>
        <w:ind w:left="1165" w:hanging="217"/>
      </w:pPr>
      <w:rPr>
        <w:rFonts w:hint="default"/>
        <w:lang w:val="en-GB" w:eastAsia="en-GB" w:bidi="en-GB"/>
      </w:rPr>
    </w:lvl>
    <w:lvl w:ilvl="6" w:tplc="EA0A04DE">
      <w:numFmt w:val="bullet"/>
      <w:lvlText w:val="•"/>
      <w:lvlJc w:val="left"/>
      <w:pPr>
        <w:ind w:left="1338" w:hanging="217"/>
      </w:pPr>
      <w:rPr>
        <w:rFonts w:hint="default"/>
        <w:lang w:val="en-GB" w:eastAsia="en-GB" w:bidi="en-GB"/>
      </w:rPr>
    </w:lvl>
    <w:lvl w:ilvl="7" w:tplc="3B048CD6">
      <w:numFmt w:val="bullet"/>
      <w:lvlText w:val="•"/>
      <w:lvlJc w:val="left"/>
      <w:pPr>
        <w:ind w:left="1511" w:hanging="217"/>
      </w:pPr>
      <w:rPr>
        <w:rFonts w:hint="default"/>
        <w:lang w:val="en-GB" w:eastAsia="en-GB" w:bidi="en-GB"/>
      </w:rPr>
    </w:lvl>
    <w:lvl w:ilvl="8" w:tplc="58702A4E">
      <w:numFmt w:val="bullet"/>
      <w:lvlText w:val="•"/>
      <w:lvlJc w:val="left"/>
      <w:pPr>
        <w:ind w:left="1684" w:hanging="217"/>
      </w:pPr>
      <w:rPr>
        <w:rFonts w:hint="default"/>
        <w:lang w:val="en-GB" w:eastAsia="en-GB" w:bidi="en-GB"/>
      </w:rPr>
    </w:lvl>
  </w:abstractNum>
  <w:abstractNum w:abstractNumId="801" w15:restartNumberingAfterBreak="0">
    <w:nsid w:val="49D06F2C"/>
    <w:multiLevelType w:val="hybridMultilevel"/>
    <w:tmpl w:val="7F9E688E"/>
    <w:lvl w:ilvl="0" w:tplc="70CA85B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E92E7F2">
      <w:numFmt w:val="bullet"/>
      <w:lvlText w:val="•"/>
      <w:lvlJc w:val="left"/>
      <w:pPr>
        <w:ind w:left="1061" w:hanging="217"/>
      </w:pPr>
      <w:rPr>
        <w:rFonts w:hint="default"/>
        <w:lang w:val="en-GB" w:eastAsia="en-GB" w:bidi="en-GB"/>
      </w:rPr>
    </w:lvl>
    <w:lvl w:ilvl="2" w:tplc="B1FA3742">
      <w:numFmt w:val="bullet"/>
      <w:lvlText w:val="•"/>
      <w:lvlJc w:val="left"/>
      <w:pPr>
        <w:ind w:left="1823" w:hanging="217"/>
      </w:pPr>
      <w:rPr>
        <w:rFonts w:hint="default"/>
        <w:lang w:val="en-GB" w:eastAsia="en-GB" w:bidi="en-GB"/>
      </w:rPr>
    </w:lvl>
    <w:lvl w:ilvl="3" w:tplc="67D6D646">
      <w:numFmt w:val="bullet"/>
      <w:lvlText w:val="•"/>
      <w:lvlJc w:val="left"/>
      <w:pPr>
        <w:ind w:left="2585" w:hanging="217"/>
      </w:pPr>
      <w:rPr>
        <w:rFonts w:hint="default"/>
        <w:lang w:val="en-GB" w:eastAsia="en-GB" w:bidi="en-GB"/>
      </w:rPr>
    </w:lvl>
    <w:lvl w:ilvl="4" w:tplc="E27C2CBC">
      <w:numFmt w:val="bullet"/>
      <w:lvlText w:val="•"/>
      <w:lvlJc w:val="left"/>
      <w:pPr>
        <w:ind w:left="3346" w:hanging="217"/>
      </w:pPr>
      <w:rPr>
        <w:rFonts w:hint="default"/>
        <w:lang w:val="en-GB" w:eastAsia="en-GB" w:bidi="en-GB"/>
      </w:rPr>
    </w:lvl>
    <w:lvl w:ilvl="5" w:tplc="7FF07B84">
      <w:numFmt w:val="bullet"/>
      <w:lvlText w:val="•"/>
      <w:lvlJc w:val="left"/>
      <w:pPr>
        <w:ind w:left="4108" w:hanging="217"/>
      </w:pPr>
      <w:rPr>
        <w:rFonts w:hint="default"/>
        <w:lang w:val="en-GB" w:eastAsia="en-GB" w:bidi="en-GB"/>
      </w:rPr>
    </w:lvl>
    <w:lvl w:ilvl="6" w:tplc="1BB8B034">
      <w:numFmt w:val="bullet"/>
      <w:lvlText w:val="•"/>
      <w:lvlJc w:val="left"/>
      <w:pPr>
        <w:ind w:left="4870" w:hanging="217"/>
      </w:pPr>
      <w:rPr>
        <w:rFonts w:hint="default"/>
        <w:lang w:val="en-GB" w:eastAsia="en-GB" w:bidi="en-GB"/>
      </w:rPr>
    </w:lvl>
    <w:lvl w:ilvl="7" w:tplc="6B3C3AFA">
      <w:numFmt w:val="bullet"/>
      <w:lvlText w:val="•"/>
      <w:lvlJc w:val="left"/>
      <w:pPr>
        <w:ind w:left="5631" w:hanging="217"/>
      </w:pPr>
      <w:rPr>
        <w:rFonts w:hint="default"/>
        <w:lang w:val="en-GB" w:eastAsia="en-GB" w:bidi="en-GB"/>
      </w:rPr>
    </w:lvl>
    <w:lvl w:ilvl="8" w:tplc="106ED27A">
      <w:numFmt w:val="bullet"/>
      <w:lvlText w:val="•"/>
      <w:lvlJc w:val="left"/>
      <w:pPr>
        <w:ind w:left="6393" w:hanging="217"/>
      </w:pPr>
      <w:rPr>
        <w:rFonts w:hint="default"/>
        <w:lang w:val="en-GB" w:eastAsia="en-GB" w:bidi="en-GB"/>
      </w:rPr>
    </w:lvl>
  </w:abstractNum>
  <w:abstractNum w:abstractNumId="802" w15:restartNumberingAfterBreak="0">
    <w:nsid w:val="49EA6B64"/>
    <w:multiLevelType w:val="hybridMultilevel"/>
    <w:tmpl w:val="37647228"/>
    <w:lvl w:ilvl="0" w:tplc="C5A4B33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F424532">
      <w:numFmt w:val="bullet"/>
      <w:lvlText w:val="•"/>
      <w:lvlJc w:val="left"/>
      <w:pPr>
        <w:ind w:left="473" w:hanging="217"/>
      </w:pPr>
      <w:rPr>
        <w:rFonts w:hint="default"/>
        <w:lang w:val="en-GB" w:eastAsia="en-GB" w:bidi="en-GB"/>
      </w:rPr>
    </w:lvl>
    <w:lvl w:ilvl="2" w:tplc="F940B102">
      <w:numFmt w:val="bullet"/>
      <w:lvlText w:val="•"/>
      <w:lvlJc w:val="left"/>
      <w:pPr>
        <w:ind w:left="646" w:hanging="217"/>
      </w:pPr>
      <w:rPr>
        <w:rFonts w:hint="default"/>
        <w:lang w:val="en-GB" w:eastAsia="en-GB" w:bidi="en-GB"/>
      </w:rPr>
    </w:lvl>
    <w:lvl w:ilvl="3" w:tplc="37728C50">
      <w:numFmt w:val="bullet"/>
      <w:lvlText w:val="•"/>
      <w:lvlJc w:val="left"/>
      <w:pPr>
        <w:ind w:left="819" w:hanging="217"/>
      </w:pPr>
      <w:rPr>
        <w:rFonts w:hint="default"/>
        <w:lang w:val="en-GB" w:eastAsia="en-GB" w:bidi="en-GB"/>
      </w:rPr>
    </w:lvl>
    <w:lvl w:ilvl="4" w:tplc="4252A3B0">
      <w:numFmt w:val="bullet"/>
      <w:lvlText w:val="•"/>
      <w:lvlJc w:val="left"/>
      <w:pPr>
        <w:ind w:left="992" w:hanging="217"/>
      </w:pPr>
      <w:rPr>
        <w:rFonts w:hint="default"/>
        <w:lang w:val="en-GB" w:eastAsia="en-GB" w:bidi="en-GB"/>
      </w:rPr>
    </w:lvl>
    <w:lvl w:ilvl="5" w:tplc="21D41EE6">
      <w:numFmt w:val="bullet"/>
      <w:lvlText w:val="•"/>
      <w:lvlJc w:val="left"/>
      <w:pPr>
        <w:ind w:left="1165" w:hanging="217"/>
      </w:pPr>
      <w:rPr>
        <w:rFonts w:hint="default"/>
        <w:lang w:val="en-GB" w:eastAsia="en-GB" w:bidi="en-GB"/>
      </w:rPr>
    </w:lvl>
    <w:lvl w:ilvl="6" w:tplc="BB067F3A">
      <w:numFmt w:val="bullet"/>
      <w:lvlText w:val="•"/>
      <w:lvlJc w:val="left"/>
      <w:pPr>
        <w:ind w:left="1338" w:hanging="217"/>
      </w:pPr>
      <w:rPr>
        <w:rFonts w:hint="default"/>
        <w:lang w:val="en-GB" w:eastAsia="en-GB" w:bidi="en-GB"/>
      </w:rPr>
    </w:lvl>
    <w:lvl w:ilvl="7" w:tplc="7A7EB3E0">
      <w:numFmt w:val="bullet"/>
      <w:lvlText w:val="•"/>
      <w:lvlJc w:val="left"/>
      <w:pPr>
        <w:ind w:left="1511" w:hanging="217"/>
      </w:pPr>
      <w:rPr>
        <w:rFonts w:hint="default"/>
        <w:lang w:val="en-GB" w:eastAsia="en-GB" w:bidi="en-GB"/>
      </w:rPr>
    </w:lvl>
    <w:lvl w:ilvl="8" w:tplc="0CE2A662">
      <w:numFmt w:val="bullet"/>
      <w:lvlText w:val="•"/>
      <w:lvlJc w:val="left"/>
      <w:pPr>
        <w:ind w:left="1684" w:hanging="217"/>
      </w:pPr>
      <w:rPr>
        <w:rFonts w:hint="default"/>
        <w:lang w:val="en-GB" w:eastAsia="en-GB" w:bidi="en-GB"/>
      </w:rPr>
    </w:lvl>
  </w:abstractNum>
  <w:abstractNum w:abstractNumId="803" w15:restartNumberingAfterBreak="0">
    <w:nsid w:val="49EE70C6"/>
    <w:multiLevelType w:val="hybridMultilevel"/>
    <w:tmpl w:val="78F25DBE"/>
    <w:lvl w:ilvl="0" w:tplc="D46606AE">
      <w:numFmt w:val="bullet"/>
      <w:lvlText w:val="•"/>
      <w:lvlJc w:val="left"/>
      <w:pPr>
        <w:ind w:left="304" w:hanging="217"/>
      </w:pPr>
      <w:rPr>
        <w:rFonts w:ascii="Arial" w:eastAsia="Arial" w:hAnsi="Arial" w:cs="Arial" w:hint="default"/>
        <w:color w:val="231F20"/>
        <w:w w:val="100"/>
        <w:sz w:val="18"/>
        <w:szCs w:val="18"/>
        <w:lang w:val="en-GB" w:eastAsia="en-GB" w:bidi="en-GB"/>
      </w:rPr>
    </w:lvl>
    <w:lvl w:ilvl="1" w:tplc="B4908318">
      <w:numFmt w:val="bullet"/>
      <w:lvlText w:val="•"/>
      <w:lvlJc w:val="left"/>
      <w:pPr>
        <w:ind w:left="473" w:hanging="217"/>
      </w:pPr>
      <w:rPr>
        <w:rFonts w:hint="default"/>
        <w:lang w:val="en-GB" w:eastAsia="en-GB" w:bidi="en-GB"/>
      </w:rPr>
    </w:lvl>
    <w:lvl w:ilvl="2" w:tplc="8E724BD2">
      <w:numFmt w:val="bullet"/>
      <w:lvlText w:val="•"/>
      <w:lvlJc w:val="left"/>
      <w:pPr>
        <w:ind w:left="646" w:hanging="217"/>
      </w:pPr>
      <w:rPr>
        <w:rFonts w:hint="default"/>
        <w:lang w:val="en-GB" w:eastAsia="en-GB" w:bidi="en-GB"/>
      </w:rPr>
    </w:lvl>
    <w:lvl w:ilvl="3" w:tplc="0DACF086">
      <w:numFmt w:val="bullet"/>
      <w:lvlText w:val="•"/>
      <w:lvlJc w:val="left"/>
      <w:pPr>
        <w:ind w:left="819" w:hanging="217"/>
      </w:pPr>
      <w:rPr>
        <w:rFonts w:hint="default"/>
        <w:lang w:val="en-GB" w:eastAsia="en-GB" w:bidi="en-GB"/>
      </w:rPr>
    </w:lvl>
    <w:lvl w:ilvl="4" w:tplc="F5788E4E">
      <w:numFmt w:val="bullet"/>
      <w:lvlText w:val="•"/>
      <w:lvlJc w:val="left"/>
      <w:pPr>
        <w:ind w:left="992" w:hanging="217"/>
      </w:pPr>
      <w:rPr>
        <w:rFonts w:hint="default"/>
        <w:lang w:val="en-GB" w:eastAsia="en-GB" w:bidi="en-GB"/>
      </w:rPr>
    </w:lvl>
    <w:lvl w:ilvl="5" w:tplc="E7925CD2">
      <w:numFmt w:val="bullet"/>
      <w:lvlText w:val="•"/>
      <w:lvlJc w:val="left"/>
      <w:pPr>
        <w:ind w:left="1165" w:hanging="217"/>
      </w:pPr>
      <w:rPr>
        <w:rFonts w:hint="default"/>
        <w:lang w:val="en-GB" w:eastAsia="en-GB" w:bidi="en-GB"/>
      </w:rPr>
    </w:lvl>
    <w:lvl w:ilvl="6" w:tplc="40AEE928">
      <w:numFmt w:val="bullet"/>
      <w:lvlText w:val="•"/>
      <w:lvlJc w:val="left"/>
      <w:pPr>
        <w:ind w:left="1338" w:hanging="217"/>
      </w:pPr>
      <w:rPr>
        <w:rFonts w:hint="default"/>
        <w:lang w:val="en-GB" w:eastAsia="en-GB" w:bidi="en-GB"/>
      </w:rPr>
    </w:lvl>
    <w:lvl w:ilvl="7" w:tplc="417C8626">
      <w:numFmt w:val="bullet"/>
      <w:lvlText w:val="•"/>
      <w:lvlJc w:val="left"/>
      <w:pPr>
        <w:ind w:left="1511" w:hanging="217"/>
      </w:pPr>
      <w:rPr>
        <w:rFonts w:hint="default"/>
        <w:lang w:val="en-GB" w:eastAsia="en-GB" w:bidi="en-GB"/>
      </w:rPr>
    </w:lvl>
    <w:lvl w:ilvl="8" w:tplc="E51CF9DC">
      <w:numFmt w:val="bullet"/>
      <w:lvlText w:val="•"/>
      <w:lvlJc w:val="left"/>
      <w:pPr>
        <w:ind w:left="1684" w:hanging="217"/>
      </w:pPr>
      <w:rPr>
        <w:rFonts w:hint="default"/>
        <w:lang w:val="en-GB" w:eastAsia="en-GB" w:bidi="en-GB"/>
      </w:rPr>
    </w:lvl>
  </w:abstractNum>
  <w:abstractNum w:abstractNumId="804" w15:restartNumberingAfterBreak="0">
    <w:nsid w:val="4A2119E0"/>
    <w:multiLevelType w:val="hybridMultilevel"/>
    <w:tmpl w:val="9FC6F74E"/>
    <w:lvl w:ilvl="0" w:tplc="1E480A8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E0CF698">
      <w:numFmt w:val="bullet"/>
      <w:lvlText w:val="•"/>
      <w:lvlJc w:val="left"/>
      <w:pPr>
        <w:ind w:left="439" w:hanging="217"/>
      </w:pPr>
      <w:rPr>
        <w:rFonts w:hint="default"/>
        <w:lang w:val="en-GB" w:eastAsia="en-GB" w:bidi="en-GB"/>
      </w:rPr>
    </w:lvl>
    <w:lvl w:ilvl="2" w:tplc="D1B80C2A">
      <w:numFmt w:val="bullet"/>
      <w:lvlText w:val="•"/>
      <w:lvlJc w:val="left"/>
      <w:pPr>
        <w:ind w:left="578" w:hanging="217"/>
      </w:pPr>
      <w:rPr>
        <w:rFonts w:hint="default"/>
        <w:lang w:val="en-GB" w:eastAsia="en-GB" w:bidi="en-GB"/>
      </w:rPr>
    </w:lvl>
    <w:lvl w:ilvl="3" w:tplc="F76CB554">
      <w:numFmt w:val="bullet"/>
      <w:lvlText w:val="•"/>
      <w:lvlJc w:val="left"/>
      <w:pPr>
        <w:ind w:left="717" w:hanging="217"/>
      </w:pPr>
      <w:rPr>
        <w:rFonts w:hint="default"/>
        <w:lang w:val="en-GB" w:eastAsia="en-GB" w:bidi="en-GB"/>
      </w:rPr>
    </w:lvl>
    <w:lvl w:ilvl="4" w:tplc="D7B4A99A">
      <w:numFmt w:val="bullet"/>
      <w:lvlText w:val="•"/>
      <w:lvlJc w:val="left"/>
      <w:pPr>
        <w:ind w:left="856" w:hanging="217"/>
      </w:pPr>
      <w:rPr>
        <w:rFonts w:hint="default"/>
        <w:lang w:val="en-GB" w:eastAsia="en-GB" w:bidi="en-GB"/>
      </w:rPr>
    </w:lvl>
    <w:lvl w:ilvl="5" w:tplc="042EA644">
      <w:numFmt w:val="bullet"/>
      <w:lvlText w:val="•"/>
      <w:lvlJc w:val="left"/>
      <w:pPr>
        <w:ind w:left="995" w:hanging="217"/>
      </w:pPr>
      <w:rPr>
        <w:rFonts w:hint="default"/>
        <w:lang w:val="en-GB" w:eastAsia="en-GB" w:bidi="en-GB"/>
      </w:rPr>
    </w:lvl>
    <w:lvl w:ilvl="6" w:tplc="FAF05D0C">
      <w:numFmt w:val="bullet"/>
      <w:lvlText w:val="•"/>
      <w:lvlJc w:val="left"/>
      <w:pPr>
        <w:ind w:left="1134" w:hanging="217"/>
      </w:pPr>
      <w:rPr>
        <w:rFonts w:hint="default"/>
        <w:lang w:val="en-GB" w:eastAsia="en-GB" w:bidi="en-GB"/>
      </w:rPr>
    </w:lvl>
    <w:lvl w:ilvl="7" w:tplc="1E96E8EE">
      <w:numFmt w:val="bullet"/>
      <w:lvlText w:val="•"/>
      <w:lvlJc w:val="left"/>
      <w:pPr>
        <w:ind w:left="1273" w:hanging="217"/>
      </w:pPr>
      <w:rPr>
        <w:rFonts w:hint="default"/>
        <w:lang w:val="en-GB" w:eastAsia="en-GB" w:bidi="en-GB"/>
      </w:rPr>
    </w:lvl>
    <w:lvl w:ilvl="8" w:tplc="A8B4B182">
      <w:numFmt w:val="bullet"/>
      <w:lvlText w:val="•"/>
      <w:lvlJc w:val="left"/>
      <w:pPr>
        <w:ind w:left="1412" w:hanging="217"/>
      </w:pPr>
      <w:rPr>
        <w:rFonts w:hint="default"/>
        <w:lang w:val="en-GB" w:eastAsia="en-GB" w:bidi="en-GB"/>
      </w:rPr>
    </w:lvl>
  </w:abstractNum>
  <w:abstractNum w:abstractNumId="805" w15:restartNumberingAfterBreak="0">
    <w:nsid w:val="4A235CE6"/>
    <w:multiLevelType w:val="hybridMultilevel"/>
    <w:tmpl w:val="5038D8B8"/>
    <w:lvl w:ilvl="0" w:tplc="A094C83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EFE2854">
      <w:numFmt w:val="bullet"/>
      <w:lvlText w:val="•"/>
      <w:lvlJc w:val="left"/>
      <w:pPr>
        <w:ind w:left="473" w:hanging="217"/>
      </w:pPr>
      <w:rPr>
        <w:rFonts w:hint="default"/>
        <w:lang w:val="en-GB" w:eastAsia="en-GB" w:bidi="en-GB"/>
      </w:rPr>
    </w:lvl>
    <w:lvl w:ilvl="2" w:tplc="8612F940">
      <w:numFmt w:val="bullet"/>
      <w:lvlText w:val="•"/>
      <w:lvlJc w:val="left"/>
      <w:pPr>
        <w:ind w:left="646" w:hanging="217"/>
      </w:pPr>
      <w:rPr>
        <w:rFonts w:hint="default"/>
        <w:lang w:val="en-GB" w:eastAsia="en-GB" w:bidi="en-GB"/>
      </w:rPr>
    </w:lvl>
    <w:lvl w:ilvl="3" w:tplc="9FE0FD3E">
      <w:numFmt w:val="bullet"/>
      <w:lvlText w:val="•"/>
      <w:lvlJc w:val="left"/>
      <w:pPr>
        <w:ind w:left="819" w:hanging="217"/>
      </w:pPr>
      <w:rPr>
        <w:rFonts w:hint="default"/>
        <w:lang w:val="en-GB" w:eastAsia="en-GB" w:bidi="en-GB"/>
      </w:rPr>
    </w:lvl>
    <w:lvl w:ilvl="4" w:tplc="CACCA18C">
      <w:numFmt w:val="bullet"/>
      <w:lvlText w:val="•"/>
      <w:lvlJc w:val="left"/>
      <w:pPr>
        <w:ind w:left="992" w:hanging="217"/>
      </w:pPr>
      <w:rPr>
        <w:rFonts w:hint="default"/>
        <w:lang w:val="en-GB" w:eastAsia="en-GB" w:bidi="en-GB"/>
      </w:rPr>
    </w:lvl>
    <w:lvl w:ilvl="5" w:tplc="2A8EF7CE">
      <w:numFmt w:val="bullet"/>
      <w:lvlText w:val="•"/>
      <w:lvlJc w:val="left"/>
      <w:pPr>
        <w:ind w:left="1165" w:hanging="217"/>
      </w:pPr>
      <w:rPr>
        <w:rFonts w:hint="default"/>
        <w:lang w:val="en-GB" w:eastAsia="en-GB" w:bidi="en-GB"/>
      </w:rPr>
    </w:lvl>
    <w:lvl w:ilvl="6" w:tplc="33D4BED2">
      <w:numFmt w:val="bullet"/>
      <w:lvlText w:val="•"/>
      <w:lvlJc w:val="left"/>
      <w:pPr>
        <w:ind w:left="1338" w:hanging="217"/>
      </w:pPr>
      <w:rPr>
        <w:rFonts w:hint="default"/>
        <w:lang w:val="en-GB" w:eastAsia="en-GB" w:bidi="en-GB"/>
      </w:rPr>
    </w:lvl>
    <w:lvl w:ilvl="7" w:tplc="2B001ED4">
      <w:numFmt w:val="bullet"/>
      <w:lvlText w:val="•"/>
      <w:lvlJc w:val="left"/>
      <w:pPr>
        <w:ind w:left="1511" w:hanging="217"/>
      </w:pPr>
      <w:rPr>
        <w:rFonts w:hint="default"/>
        <w:lang w:val="en-GB" w:eastAsia="en-GB" w:bidi="en-GB"/>
      </w:rPr>
    </w:lvl>
    <w:lvl w:ilvl="8" w:tplc="08E45C22">
      <w:numFmt w:val="bullet"/>
      <w:lvlText w:val="•"/>
      <w:lvlJc w:val="left"/>
      <w:pPr>
        <w:ind w:left="1684" w:hanging="217"/>
      </w:pPr>
      <w:rPr>
        <w:rFonts w:hint="default"/>
        <w:lang w:val="en-GB" w:eastAsia="en-GB" w:bidi="en-GB"/>
      </w:rPr>
    </w:lvl>
  </w:abstractNum>
  <w:abstractNum w:abstractNumId="806" w15:restartNumberingAfterBreak="0">
    <w:nsid w:val="4A294255"/>
    <w:multiLevelType w:val="hybridMultilevel"/>
    <w:tmpl w:val="D34EF976"/>
    <w:lvl w:ilvl="0" w:tplc="CA362C6E">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CF464A72">
      <w:numFmt w:val="bullet"/>
      <w:lvlText w:val="•"/>
      <w:lvlJc w:val="left"/>
      <w:pPr>
        <w:ind w:left="892" w:hanging="217"/>
      </w:pPr>
      <w:rPr>
        <w:rFonts w:hint="default"/>
        <w:lang w:val="en-GB" w:eastAsia="en-GB" w:bidi="en-GB"/>
      </w:rPr>
    </w:lvl>
    <w:lvl w:ilvl="2" w:tplc="9006B0C4">
      <w:numFmt w:val="bullet"/>
      <w:lvlText w:val="•"/>
      <w:lvlJc w:val="left"/>
      <w:pPr>
        <w:ind w:left="1485" w:hanging="217"/>
      </w:pPr>
      <w:rPr>
        <w:rFonts w:hint="default"/>
        <w:lang w:val="en-GB" w:eastAsia="en-GB" w:bidi="en-GB"/>
      </w:rPr>
    </w:lvl>
    <w:lvl w:ilvl="3" w:tplc="C83891A8">
      <w:numFmt w:val="bullet"/>
      <w:lvlText w:val="•"/>
      <w:lvlJc w:val="left"/>
      <w:pPr>
        <w:ind w:left="2077" w:hanging="217"/>
      </w:pPr>
      <w:rPr>
        <w:rFonts w:hint="default"/>
        <w:lang w:val="en-GB" w:eastAsia="en-GB" w:bidi="en-GB"/>
      </w:rPr>
    </w:lvl>
    <w:lvl w:ilvl="4" w:tplc="74520336">
      <w:numFmt w:val="bullet"/>
      <w:lvlText w:val="•"/>
      <w:lvlJc w:val="left"/>
      <w:pPr>
        <w:ind w:left="2670" w:hanging="217"/>
      </w:pPr>
      <w:rPr>
        <w:rFonts w:hint="default"/>
        <w:lang w:val="en-GB" w:eastAsia="en-GB" w:bidi="en-GB"/>
      </w:rPr>
    </w:lvl>
    <w:lvl w:ilvl="5" w:tplc="98DA6B78">
      <w:numFmt w:val="bullet"/>
      <w:lvlText w:val="•"/>
      <w:lvlJc w:val="left"/>
      <w:pPr>
        <w:ind w:left="3263" w:hanging="217"/>
      </w:pPr>
      <w:rPr>
        <w:rFonts w:hint="default"/>
        <w:lang w:val="en-GB" w:eastAsia="en-GB" w:bidi="en-GB"/>
      </w:rPr>
    </w:lvl>
    <w:lvl w:ilvl="6" w:tplc="76284128">
      <w:numFmt w:val="bullet"/>
      <w:lvlText w:val="•"/>
      <w:lvlJc w:val="left"/>
      <w:pPr>
        <w:ind w:left="3855" w:hanging="217"/>
      </w:pPr>
      <w:rPr>
        <w:rFonts w:hint="default"/>
        <w:lang w:val="en-GB" w:eastAsia="en-GB" w:bidi="en-GB"/>
      </w:rPr>
    </w:lvl>
    <w:lvl w:ilvl="7" w:tplc="102A66C4">
      <w:numFmt w:val="bullet"/>
      <w:lvlText w:val="•"/>
      <w:lvlJc w:val="left"/>
      <w:pPr>
        <w:ind w:left="4448" w:hanging="217"/>
      </w:pPr>
      <w:rPr>
        <w:rFonts w:hint="default"/>
        <w:lang w:val="en-GB" w:eastAsia="en-GB" w:bidi="en-GB"/>
      </w:rPr>
    </w:lvl>
    <w:lvl w:ilvl="8" w:tplc="DDF80490">
      <w:numFmt w:val="bullet"/>
      <w:lvlText w:val="•"/>
      <w:lvlJc w:val="left"/>
      <w:pPr>
        <w:ind w:left="5040" w:hanging="217"/>
      </w:pPr>
      <w:rPr>
        <w:rFonts w:hint="default"/>
        <w:lang w:val="en-GB" w:eastAsia="en-GB" w:bidi="en-GB"/>
      </w:rPr>
    </w:lvl>
  </w:abstractNum>
  <w:abstractNum w:abstractNumId="807" w15:restartNumberingAfterBreak="0">
    <w:nsid w:val="4A393C72"/>
    <w:multiLevelType w:val="hybridMultilevel"/>
    <w:tmpl w:val="6116DF4E"/>
    <w:lvl w:ilvl="0" w:tplc="5644F25C">
      <w:numFmt w:val="bullet"/>
      <w:lvlText w:val="•"/>
      <w:lvlJc w:val="left"/>
      <w:pPr>
        <w:ind w:left="304" w:hanging="217"/>
      </w:pPr>
      <w:rPr>
        <w:rFonts w:ascii="Arial" w:eastAsia="Arial" w:hAnsi="Arial" w:cs="Arial" w:hint="default"/>
        <w:color w:val="231F20"/>
        <w:spacing w:val="-5"/>
        <w:w w:val="100"/>
        <w:sz w:val="18"/>
        <w:szCs w:val="18"/>
        <w:lang w:val="en-GB" w:eastAsia="en-GB" w:bidi="en-GB"/>
      </w:rPr>
    </w:lvl>
    <w:lvl w:ilvl="1" w:tplc="36861C94">
      <w:numFmt w:val="bullet"/>
      <w:lvlText w:val="•"/>
      <w:lvlJc w:val="left"/>
      <w:pPr>
        <w:ind w:left="473" w:hanging="217"/>
      </w:pPr>
      <w:rPr>
        <w:rFonts w:hint="default"/>
        <w:lang w:val="en-GB" w:eastAsia="en-GB" w:bidi="en-GB"/>
      </w:rPr>
    </w:lvl>
    <w:lvl w:ilvl="2" w:tplc="AF887B2C">
      <w:numFmt w:val="bullet"/>
      <w:lvlText w:val="•"/>
      <w:lvlJc w:val="left"/>
      <w:pPr>
        <w:ind w:left="646" w:hanging="217"/>
      </w:pPr>
      <w:rPr>
        <w:rFonts w:hint="default"/>
        <w:lang w:val="en-GB" w:eastAsia="en-GB" w:bidi="en-GB"/>
      </w:rPr>
    </w:lvl>
    <w:lvl w:ilvl="3" w:tplc="ED6852EE">
      <w:numFmt w:val="bullet"/>
      <w:lvlText w:val="•"/>
      <w:lvlJc w:val="left"/>
      <w:pPr>
        <w:ind w:left="819" w:hanging="217"/>
      </w:pPr>
      <w:rPr>
        <w:rFonts w:hint="default"/>
        <w:lang w:val="en-GB" w:eastAsia="en-GB" w:bidi="en-GB"/>
      </w:rPr>
    </w:lvl>
    <w:lvl w:ilvl="4" w:tplc="C7860FE2">
      <w:numFmt w:val="bullet"/>
      <w:lvlText w:val="•"/>
      <w:lvlJc w:val="left"/>
      <w:pPr>
        <w:ind w:left="992" w:hanging="217"/>
      </w:pPr>
      <w:rPr>
        <w:rFonts w:hint="default"/>
        <w:lang w:val="en-GB" w:eastAsia="en-GB" w:bidi="en-GB"/>
      </w:rPr>
    </w:lvl>
    <w:lvl w:ilvl="5" w:tplc="8EFCDAFA">
      <w:numFmt w:val="bullet"/>
      <w:lvlText w:val="•"/>
      <w:lvlJc w:val="left"/>
      <w:pPr>
        <w:ind w:left="1165" w:hanging="217"/>
      </w:pPr>
      <w:rPr>
        <w:rFonts w:hint="default"/>
        <w:lang w:val="en-GB" w:eastAsia="en-GB" w:bidi="en-GB"/>
      </w:rPr>
    </w:lvl>
    <w:lvl w:ilvl="6" w:tplc="318ADDEA">
      <w:numFmt w:val="bullet"/>
      <w:lvlText w:val="•"/>
      <w:lvlJc w:val="left"/>
      <w:pPr>
        <w:ind w:left="1338" w:hanging="217"/>
      </w:pPr>
      <w:rPr>
        <w:rFonts w:hint="default"/>
        <w:lang w:val="en-GB" w:eastAsia="en-GB" w:bidi="en-GB"/>
      </w:rPr>
    </w:lvl>
    <w:lvl w:ilvl="7" w:tplc="ECBEBC94">
      <w:numFmt w:val="bullet"/>
      <w:lvlText w:val="•"/>
      <w:lvlJc w:val="left"/>
      <w:pPr>
        <w:ind w:left="1511" w:hanging="217"/>
      </w:pPr>
      <w:rPr>
        <w:rFonts w:hint="default"/>
        <w:lang w:val="en-GB" w:eastAsia="en-GB" w:bidi="en-GB"/>
      </w:rPr>
    </w:lvl>
    <w:lvl w:ilvl="8" w:tplc="EBACAB6A">
      <w:numFmt w:val="bullet"/>
      <w:lvlText w:val="•"/>
      <w:lvlJc w:val="left"/>
      <w:pPr>
        <w:ind w:left="1684" w:hanging="217"/>
      </w:pPr>
      <w:rPr>
        <w:rFonts w:hint="default"/>
        <w:lang w:val="en-GB" w:eastAsia="en-GB" w:bidi="en-GB"/>
      </w:rPr>
    </w:lvl>
  </w:abstractNum>
  <w:abstractNum w:abstractNumId="808" w15:restartNumberingAfterBreak="0">
    <w:nsid w:val="4A3C3106"/>
    <w:multiLevelType w:val="hybridMultilevel"/>
    <w:tmpl w:val="F6442F54"/>
    <w:lvl w:ilvl="0" w:tplc="118224D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A945AE4">
      <w:numFmt w:val="bullet"/>
      <w:lvlText w:val="•"/>
      <w:lvlJc w:val="left"/>
      <w:pPr>
        <w:ind w:left="473" w:hanging="217"/>
      </w:pPr>
      <w:rPr>
        <w:rFonts w:hint="default"/>
        <w:lang w:val="en-GB" w:eastAsia="en-GB" w:bidi="en-GB"/>
      </w:rPr>
    </w:lvl>
    <w:lvl w:ilvl="2" w:tplc="39D038C4">
      <w:numFmt w:val="bullet"/>
      <w:lvlText w:val="•"/>
      <w:lvlJc w:val="left"/>
      <w:pPr>
        <w:ind w:left="646" w:hanging="217"/>
      </w:pPr>
      <w:rPr>
        <w:rFonts w:hint="default"/>
        <w:lang w:val="en-GB" w:eastAsia="en-GB" w:bidi="en-GB"/>
      </w:rPr>
    </w:lvl>
    <w:lvl w:ilvl="3" w:tplc="18CEE328">
      <w:numFmt w:val="bullet"/>
      <w:lvlText w:val="•"/>
      <w:lvlJc w:val="left"/>
      <w:pPr>
        <w:ind w:left="819" w:hanging="217"/>
      </w:pPr>
      <w:rPr>
        <w:rFonts w:hint="default"/>
        <w:lang w:val="en-GB" w:eastAsia="en-GB" w:bidi="en-GB"/>
      </w:rPr>
    </w:lvl>
    <w:lvl w:ilvl="4" w:tplc="20525064">
      <w:numFmt w:val="bullet"/>
      <w:lvlText w:val="•"/>
      <w:lvlJc w:val="left"/>
      <w:pPr>
        <w:ind w:left="992" w:hanging="217"/>
      </w:pPr>
      <w:rPr>
        <w:rFonts w:hint="default"/>
        <w:lang w:val="en-GB" w:eastAsia="en-GB" w:bidi="en-GB"/>
      </w:rPr>
    </w:lvl>
    <w:lvl w:ilvl="5" w:tplc="6D164ED2">
      <w:numFmt w:val="bullet"/>
      <w:lvlText w:val="•"/>
      <w:lvlJc w:val="left"/>
      <w:pPr>
        <w:ind w:left="1165" w:hanging="217"/>
      </w:pPr>
      <w:rPr>
        <w:rFonts w:hint="default"/>
        <w:lang w:val="en-GB" w:eastAsia="en-GB" w:bidi="en-GB"/>
      </w:rPr>
    </w:lvl>
    <w:lvl w:ilvl="6" w:tplc="5BD436AE">
      <w:numFmt w:val="bullet"/>
      <w:lvlText w:val="•"/>
      <w:lvlJc w:val="left"/>
      <w:pPr>
        <w:ind w:left="1338" w:hanging="217"/>
      </w:pPr>
      <w:rPr>
        <w:rFonts w:hint="default"/>
        <w:lang w:val="en-GB" w:eastAsia="en-GB" w:bidi="en-GB"/>
      </w:rPr>
    </w:lvl>
    <w:lvl w:ilvl="7" w:tplc="18DADFF4">
      <w:numFmt w:val="bullet"/>
      <w:lvlText w:val="•"/>
      <w:lvlJc w:val="left"/>
      <w:pPr>
        <w:ind w:left="1511" w:hanging="217"/>
      </w:pPr>
      <w:rPr>
        <w:rFonts w:hint="default"/>
        <w:lang w:val="en-GB" w:eastAsia="en-GB" w:bidi="en-GB"/>
      </w:rPr>
    </w:lvl>
    <w:lvl w:ilvl="8" w:tplc="4568375A">
      <w:numFmt w:val="bullet"/>
      <w:lvlText w:val="•"/>
      <w:lvlJc w:val="left"/>
      <w:pPr>
        <w:ind w:left="1684" w:hanging="217"/>
      </w:pPr>
      <w:rPr>
        <w:rFonts w:hint="default"/>
        <w:lang w:val="en-GB" w:eastAsia="en-GB" w:bidi="en-GB"/>
      </w:rPr>
    </w:lvl>
  </w:abstractNum>
  <w:abstractNum w:abstractNumId="809" w15:restartNumberingAfterBreak="0">
    <w:nsid w:val="4A4864CE"/>
    <w:multiLevelType w:val="hybridMultilevel"/>
    <w:tmpl w:val="D9AC4308"/>
    <w:lvl w:ilvl="0" w:tplc="1FE6FC5E">
      <w:numFmt w:val="bullet"/>
      <w:lvlText w:val="•"/>
      <w:lvlJc w:val="left"/>
      <w:pPr>
        <w:ind w:left="305" w:hanging="217"/>
      </w:pPr>
      <w:rPr>
        <w:rFonts w:ascii="Arial" w:eastAsia="Arial" w:hAnsi="Arial" w:cs="Arial" w:hint="default"/>
        <w:color w:val="231F20"/>
        <w:w w:val="100"/>
        <w:sz w:val="18"/>
        <w:szCs w:val="18"/>
        <w:lang w:val="en-GB" w:eastAsia="en-GB" w:bidi="en-GB"/>
      </w:rPr>
    </w:lvl>
    <w:lvl w:ilvl="1" w:tplc="4A02846A">
      <w:numFmt w:val="bullet"/>
      <w:lvlText w:val="•"/>
      <w:lvlJc w:val="left"/>
      <w:pPr>
        <w:ind w:left="524" w:hanging="217"/>
      </w:pPr>
      <w:rPr>
        <w:rFonts w:hint="default"/>
        <w:lang w:val="en-GB" w:eastAsia="en-GB" w:bidi="en-GB"/>
      </w:rPr>
    </w:lvl>
    <w:lvl w:ilvl="2" w:tplc="7AACA9B4">
      <w:numFmt w:val="bullet"/>
      <w:lvlText w:val="•"/>
      <w:lvlJc w:val="left"/>
      <w:pPr>
        <w:ind w:left="748" w:hanging="217"/>
      </w:pPr>
      <w:rPr>
        <w:rFonts w:hint="default"/>
        <w:lang w:val="en-GB" w:eastAsia="en-GB" w:bidi="en-GB"/>
      </w:rPr>
    </w:lvl>
    <w:lvl w:ilvl="3" w:tplc="10782B2A">
      <w:numFmt w:val="bullet"/>
      <w:lvlText w:val="•"/>
      <w:lvlJc w:val="left"/>
      <w:pPr>
        <w:ind w:left="972" w:hanging="217"/>
      </w:pPr>
      <w:rPr>
        <w:rFonts w:hint="default"/>
        <w:lang w:val="en-GB" w:eastAsia="en-GB" w:bidi="en-GB"/>
      </w:rPr>
    </w:lvl>
    <w:lvl w:ilvl="4" w:tplc="459609E0">
      <w:numFmt w:val="bullet"/>
      <w:lvlText w:val="•"/>
      <w:lvlJc w:val="left"/>
      <w:pPr>
        <w:ind w:left="1196" w:hanging="217"/>
      </w:pPr>
      <w:rPr>
        <w:rFonts w:hint="default"/>
        <w:lang w:val="en-GB" w:eastAsia="en-GB" w:bidi="en-GB"/>
      </w:rPr>
    </w:lvl>
    <w:lvl w:ilvl="5" w:tplc="58BECC98">
      <w:numFmt w:val="bullet"/>
      <w:lvlText w:val="•"/>
      <w:lvlJc w:val="left"/>
      <w:pPr>
        <w:ind w:left="1420" w:hanging="217"/>
      </w:pPr>
      <w:rPr>
        <w:rFonts w:hint="default"/>
        <w:lang w:val="en-GB" w:eastAsia="en-GB" w:bidi="en-GB"/>
      </w:rPr>
    </w:lvl>
    <w:lvl w:ilvl="6" w:tplc="9DEE36C0">
      <w:numFmt w:val="bullet"/>
      <w:lvlText w:val="•"/>
      <w:lvlJc w:val="left"/>
      <w:pPr>
        <w:ind w:left="1644" w:hanging="217"/>
      </w:pPr>
      <w:rPr>
        <w:rFonts w:hint="default"/>
        <w:lang w:val="en-GB" w:eastAsia="en-GB" w:bidi="en-GB"/>
      </w:rPr>
    </w:lvl>
    <w:lvl w:ilvl="7" w:tplc="D0143CFC">
      <w:numFmt w:val="bullet"/>
      <w:lvlText w:val="•"/>
      <w:lvlJc w:val="left"/>
      <w:pPr>
        <w:ind w:left="1868" w:hanging="217"/>
      </w:pPr>
      <w:rPr>
        <w:rFonts w:hint="default"/>
        <w:lang w:val="en-GB" w:eastAsia="en-GB" w:bidi="en-GB"/>
      </w:rPr>
    </w:lvl>
    <w:lvl w:ilvl="8" w:tplc="E55EC4FA">
      <w:numFmt w:val="bullet"/>
      <w:lvlText w:val="•"/>
      <w:lvlJc w:val="left"/>
      <w:pPr>
        <w:ind w:left="2092" w:hanging="217"/>
      </w:pPr>
      <w:rPr>
        <w:rFonts w:hint="default"/>
        <w:lang w:val="en-GB" w:eastAsia="en-GB" w:bidi="en-GB"/>
      </w:rPr>
    </w:lvl>
  </w:abstractNum>
  <w:abstractNum w:abstractNumId="810" w15:restartNumberingAfterBreak="0">
    <w:nsid w:val="4A4E50AE"/>
    <w:multiLevelType w:val="hybridMultilevel"/>
    <w:tmpl w:val="E47AC7EA"/>
    <w:lvl w:ilvl="0" w:tplc="0EDA3F44">
      <w:numFmt w:val="bullet"/>
      <w:lvlText w:val="•"/>
      <w:lvlJc w:val="left"/>
      <w:pPr>
        <w:ind w:left="276" w:hanging="217"/>
      </w:pPr>
      <w:rPr>
        <w:rFonts w:ascii="Arial" w:eastAsia="Arial" w:hAnsi="Arial" w:cs="Arial" w:hint="default"/>
        <w:color w:val="231F20"/>
        <w:w w:val="97"/>
        <w:sz w:val="16"/>
        <w:szCs w:val="16"/>
        <w:lang w:val="en-GB" w:eastAsia="en-GB" w:bidi="en-GB"/>
      </w:rPr>
    </w:lvl>
    <w:lvl w:ilvl="1" w:tplc="7234B4A6">
      <w:numFmt w:val="bullet"/>
      <w:lvlText w:val="•"/>
      <w:lvlJc w:val="left"/>
      <w:pPr>
        <w:ind w:left="381" w:hanging="217"/>
      </w:pPr>
      <w:rPr>
        <w:rFonts w:hint="default"/>
        <w:lang w:val="en-GB" w:eastAsia="en-GB" w:bidi="en-GB"/>
      </w:rPr>
    </w:lvl>
    <w:lvl w:ilvl="2" w:tplc="CD92D7B8">
      <w:numFmt w:val="bullet"/>
      <w:lvlText w:val="•"/>
      <w:lvlJc w:val="left"/>
      <w:pPr>
        <w:ind w:left="482" w:hanging="217"/>
      </w:pPr>
      <w:rPr>
        <w:rFonts w:hint="default"/>
        <w:lang w:val="en-GB" w:eastAsia="en-GB" w:bidi="en-GB"/>
      </w:rPr>
    </w:lvl>
    <w:lvl w:ilvl="3" w:tplc="6CB0FF80">
      <w:numFmt w:val="bullet"/>
      <w:lvlText w:val="•"/>
      <w:lvlJc w:val="left"/>
      <w:pPr>
        <w:ind w:left="584" w:hanging="217"/>
      </w:pPr>
      <w:rPr>
        <w:rFonts w:hint="default"/>
        <w:lang w:val="en-GB" w:eastAsia="en-GB" w:bidi="en-GB"/>
      </w:rPr>
    </w:lvl>
    <w:lvl w:ilvl="4" w:tplc="67105F08">
      <w:numFmt w:val="bullet"/>
      <w:lvlText w:val="•"/>
      <w:lvlJc w:val="left"/>
      <w:pPr>
        <w:ind w:left="685" w:hanging="217"/>
      </w:pPr>
      <w:rPr>
        <w:rFonts w:hint="default"/>
        <w:lang w:val="en-GB" w:eastAsia="en-GB" w:bidi="en-GB"/>
      </w:rPr>
    </w:lvl>
    <w:lvl w:ilvl="5" w:tplc="17A67B60">
      <w:numFmt w:val="bullet"/>
      <w:lvlText w:val="•"/>
      <w:lvlJc w:val="left"/>
      <w:pPr>
        <w:ind w:left="787" w:hanging="217"/>
      </w:pPr>
      <w:rPr>
        <w:rFonts w:hint="default"/>
        <w:lang w:val="en-GB" w:eastAsia="en-GB" w:bidi="en-GB"/>
      </w:rPr>
    </w:lvl>
    <w:lvl w:ilvl="6" w:tplc="764A73F0">
      <w:numFmt w:val="bullet"/>
      <w:lvlText w:val="•"/>
      <w:lvlJc w:val="left"/>
      <w:pPr>
        <w:ind w:left="888" w:hanging="217"/>
      </w:pPr>
      <w:rPr>
        <w:rFonts w:hint="default"/>
        <w:lang w:val="en-GB" w:eastAsia="en-GB" w:bidi="en-GB"/>
      </w:rPr>
    </w:lvl>
    <w:lvl w:ilvl="7" w:tplc="25E2B74A">
      <w:numFmt w:val="bullet"/>
      <w:lvlText w:val="•"/>
      <w:lvlJc w:val="left"/>
      <w:pPr>
        <w:ind w:left="989" w:hanging="217"/>
      </w:pPr>
      <w:rPr>
        <w:rFonts w:hint="default"/>
        <w:lang w:val="en-GB" w:eastAsia="en-GB" w:bidi="en-GB"/>
      </w:rPr>
    </w:lvl>
    <w:lvl w:ilvl="8" w:tplc="142668C6">
      <w:numFmt w:val="bullet"/>
      <w:lvlText w:val="•"/>
      <w:lvlJc w:val="left"/>
      <w:pPr>
        <w:ind w:left="1091" w:hanging="217"/>
      </w:pPr>
      <w:rPr>
        <w:rFonts w:hint="default"/>
        <w:lang w:val="en-GB" w:eastAsia="en-GB" w:bidi="en-GB"/>
      </w:rPr>
    </w:lvl>
  </w:abstractNum>
  <w:abstractNum w:abstractNumId="811" w15:restartNumberingAfterBreak="0">
    <w:nsid w:val="4A9C0EB8"/>
    <w:multiLevelType w:val="hybridMultilevel"/>
    <w:tmpl w:val="B5B8C6F4"/>
    <w:lvl w:ilvl="0" w:tplc="308E1FF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5E40E42">
      <w:numFmt w:val="bullet"/>
      <w:lvlText w:val="•"/>
      <w:lvlJc w:val="left"/>
      <w:pPr>
        <w:ind w:left="1061" w:hanging="217"/>
      </w:pPr>
      <w:rPr>
        <w:rFonts w:hint="default"/>
        <w:lang w:val="en-GB" w:eastAsia="en-GB" w:bidi="en-GB"/>
      </w:rPr>
    </w:lvl>
    <w:lvl w:ilvl="2" w:tplc="4FBEA78A">
      <w:numFmt w:val="bullet"/>
      <w:lvlText w:val="•"/>
      <w:lvlJc w:val="left"/>
      <w:pPr>
        <w:ind w:left="1823" w:hanging="217"/>
      </w:pPr>
      <w:rPr>
        <w:rFonts w:hint="default"/>
        <w:lang w:val="en-GB" w:eastAsia="en-GB" w:bidi="en-GB"/>
      </w:rPr>
    </w:lvl>
    <w:lvl w:ilvl="3" w:tplc="F634BB48">
      <w:numFmt w:val="bullet"/>
      <w:lvlText w:val="•"/>
      <w:lvlJc w:val="left"/>
      <w:pPr>
        <w:ind w:left="2585" w:hanging="217"/>
      </w:pPr>
      <w:rPr>
        <w:rFonts w:hint="default"/>
        <w:lang w:val="en-GB" w:eastAsia="en-GB" w:bidi="en-GB"/>
      </w:rPr>
    </w:lvl>
    <w:lvl w:ilvl="4" w:tplc="5C12A9A2">
      <w:numFmt w:val="bullet"/>
      <w:lvlText w:val="•"/>
      <w:lvlJc w:val="left"/>
      <w:pPr>
        <w:ind w:left="3346" w:hanging="217"/>
      </w:pPr>
      <w:rPr>
        <w:rFonts w:hint="default"/>
        <w:lang w:val="en-GB" w:eastAsia="en-GB" w:bidi="en-GB"/>
      </w:rPr>
    </w:lvl>
    <w:lvl w:ilvl="5" w:tplc="3198E4A6">
      <w:numFmt w:val="bullet"/>
      <w:lvlText w:val="•"/>
      <w:lvlJc w:val="left"/>
      <w:pPr>
        <w:ind w:left="4108" w:hanging="217"/>
      </w:pPr>
      <w:rPr>
        <w:rFonts w:hint="default"/>
        <w:lang w:val="en-GB" w:eastAsia="en-GB" w:bidi="en-GB"/>
      </w:rPr>
    </w:lvl>
    <w:lvl w:ilvl="6" w:tplc="35265EC6">
      <w:numFmt w:val="bullet"/>
      <w:lvlText w:val="•"/>
      <w:lvlJc w:val="left"/>
      <w:pPr>
        <w:ind w:left="4870" w:hanging="217"/>
      </w:pPr>
      <w:rPr>
        <w:rFonts w:hint="default"/>
        <w:lang w:val="en-GB" w:eastAsia="en-GB" w:bidi="en-GB"/>
      </w:rPr>
    </w:lvl>
    <w:lvl w:ilvl="7" w:tplc="6C14A146">
      <w:numFmt w:val="bullet"/>
      <w:lvlText w:val="•"/>
      <w:lvlJc w:val="left"/>
      <w:pPr>
        <w:ind w:left="5631" w:hanging="217"/>
      </w:pPr>
      <w:rPr>
        <w:rFonts w:hint="default"/>
        <w:lang w:val="en-GB" w:eastAsia="en-GB" w:bidi="en-GB"/>
      </w:rPr>
    </w:lvl>
    <w:lvl w:ilvl="8" w:tplc="822AF2D4">
      <w:numFmt w:val="bullet"/>
      <w:lvlText w:val="•"/>
      <w:lvlJc w:val="left"/>
      <w:pPr>
        <w:ind w:left="6393" w:hanging="217"/>
      </w:pPr>
      <w:rPr>
        <w:rFonts w:hint="default"/>
        <w:lang w:val="en-GB" w:eastAsia="en-GB" w:bidi="en-GB"/>
      </w:rPr>
    </w:lvl>
  </w:abstractNum>
  <w:abstractNum w:abstractNumId="812" w15:restartNumberingAfterBreak="0">
    <w:nsid w:val="4AA25AB1"/>
    <w:multiLevelType w:val="hybridMultilevel"/>
    <w:tmpl w:val="00D8D7F4"/>
    <w:lvl w:ilvl="0" w:tplc="29B450A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28CC68E">
      <w:numFmt w:val="bullet"/>
      <w:lvlText w:val="•"/>
      <w:lvlJc w:val="left"/>
      <w:pPr>
        <w:ind w:left="439" w:hanging="217"/>
      </w:pPr>
      <w:rPr>
        <w:rFonts w:hint="default"/>
        <w:lang w:val="en-GB" w:eastAsia="en-GB" w:bidi="en-GB"/>
      </w:rPr>
    </w:lvl>
    <w:lvl w:ilvl="2" w:tplc="C1F0BFAE">
      <w:numFmt w:val="bullet"/>
      <w:lvlText w:val="•"/>
      <w:lvlJc w:val="left"/>
      <w:pPr>
        <w:ind w:left="578" w:hanging="217"/>
      </w:pPr>
      <w:rPr>
        <w:rFonts w:hint="default"/>
        <w:lang w:val="en-GB" w:eastAsia="en-GB" w:bidi="en-GB"/>
      </w:rPr>
    </w:lvl>
    <w:lvl w:ilvl="3" w:tplc="148CBECA">
      <w:numFmt w:val="bullet"/>
      <w:lvlText w:val="•"/>
      <w:lvlJc w:val="left"/>
      <w:pPr>
        <w:ind w:left="717" w:hanging="217"/>
      </w:pPr>
      <w:rPr>
        <w:rFonts w:hint="default"/>
        <w:lang w:val="en-GB" w:eastAsia="en-GB" w:bidi="en-GB"/>
      </w:rPr>
    </w:lvl>
    <w:lvl w:ilvl="4" w:tplc="C27E17B8">
      <w:numFmt w:val="bullet"/>
      <w:lvlText w:val="•"/>
      <w:lvlJc w:val="left"/>
      <w:pPr>
        <w:ind w:left="856" w:hanging="217"/>
      </w:pPr>
      <w:rPr>
        <w:rFonts w:hint="default"/>
        <w:lang w:val="en-GB" w:eastAsia="en-GB" w:bidi="en-GB"/>
      </w:rPr>
    </w:lvl>
    <w:lvl w:ilvl="5" w:tplc="47FE61F0">
      <w:numFmt w:val="bullet"/>
      <w:lvlText w:val="•"/>
      <w:lvlJc w:val="left"/>
      <w:pPr>
        <w:ind w:left="995" w:hanging="217"/>
      </w:pPr>
      <w:rPr>
        <w:rFonts w:hint="default"/>
        <w:lang w:val="en-GB" w:eastAsia="en-GB" w:bidi="en-GB"/>
      </w:rPr>
    </w:lvl>
    <w:lvl w:ilvl="6" w:tplc="9EB28004">
      <w:numFmt w:val="bullet"/>
      <w:lvlText w:val="•"/>
      <w:lvlJc w:val="left"/>
      <w:pPr>
        <w:ind w:left="1134" w:hanging="217"/>
      </w:pPr>
      <w:rPr>
        <w:rFonts w:hint="default"/>
        <w:lang w:val="en-GB" w:eastAsia="en-GB" w:bidi="en-GB"/>
      </w:rPr>
    </w:lvl>
    <w:lvl w:ilvl="7" w:tplc="8A80B0A2">
      <w:numFmt w:val="bullet"/>
      <w:lvlText w:val="•"/>
      <w:lvlJc w:val="left"/>
      <w:pPr>
        <w:ind w:left="1273" w:hanging="217"/>
      </w:pPr>
      <w:rPr>
        <w:rFonts w:hint="default"/>
        <w:lang w:val="en-GB" w:eastAsia="en-GB" w:bidi="en-GB"/>
      </w:rPr>
    </w:lvl>
    <w:lvl w:ilvl="8" w:tplc="C5C22716">
      <w:numFmt w:val="bullet"/>
      <w:lvlText w:val="•"/>
      <w:lvlJc w:val="left"/>
      <w:pPr>
        <w:ind w:left="1412" w:hanging="217"/>
      </w:pPr>
      <w:rPr>
        <w:rFonts w:hint="default"/>
        <w:lang w:val="en-GB" w:eastAsia="en-GB" w:bidi="en-GB"/>
      </w:rPr>
    </w:lvl>
  </w:abstractNum>
  <w:abstractNum w:abstractNumId="813" w15:restartNumberingAfterBreak="0">
    <w:nsid w:val="4AA42F7E"/>
    <w:multiLevelType w:val="hybridMultilevel"/>
    <w:tmpl w:val="7E2CC5C0"/>
    <w:lvl w:ilvl="0" w:tplc="040232AC">
      <w:numFmt w:val="bullet"/>
      <w:lvlText w:val="•"/>
      <w:lvlJc w:val="left"/>
      <w:pPr>
        <w:ind w:left="304" w:hanging="217"/>
      </w:pPr>
      <w:rPr>
        <w:rFonts w:ascii="Arial" w:eastAsia="Arial" w:hAnsi="Arial" w:cs="Arial" w:hint="default"/>
        <w:color w:val="231F20"/>
        <w:w w:val="100"/>
        <w:sz w:val="18"/>
        <w:szCs w:val="18"/>
        <w:lang w:val="en-GB" w:eastAsia="en-GB" w:bidi="en-GB"/>
      </w:rPr>
    </w:lvl>
    <w:lvl w:ilvl="1" w:tplc="742631CC">
      <w:numFmt w:val="bullet"/>
      <w:lvlText w:val="•"/>
      <w:lvlJc w:val="left"/>
      <w:pPr>
        <w:ind w:left="677" w:hanging="217"/>
      </w:pPr>
      <w:rPr>
        <w:rFonts w:hint="default"/>
        <w:lang w:val="en-GB" w:eastAsia="en-GB" w:bidi="en-GB"/>
      </w:rPr>
    </w:lvl>
    <w:lvl w:ilvl="2" w:tplc="BEEC1DF4">
      <w:numFmt w:val="bullet"/>
      <w:lvlText w:val="•"/>
      <w:lvlJc w:val="left"/>
      <w:pPr>
        <w:ind w:left="1054" w:hanging="217"/>
      </w:pPr>
      <w:rPr>
        <w:rFonts w:hint="default"/>
        <w:lang w:val="en-GB" w:eastAsia="en-GB" w:bidi="en-GB"/>
      </w:rPr>
    </w:lvl>
    <w:lvl w:ilvl="3" w:tplc="8D404386">
      <w:numFmt w:val="bullet"/>
      <w:lvlText w:val="•"/>
      <w:lvlJc w:val="left"/>
      <w:pPr>
        <w:ind w:left="1431" w:hanging="217"/>
      </w:pPr>
      <w:rPr>
        <w:rFonts w:hint="default"/>
        <w:lang w:val="en-GB" w:eastAsia="en-GB" w:bidi="en-GB"/>
      </w:rPr>
    </w:lvl>
    <w:lvl w:ilvl="4" w:tplc="C64497D4">
      <w:numFmt w:val="bullet"/>
      <w:lvlText w:val="•"/>
      <w:lvlJc w:val="left"/>
      <w:pPr>
        <w:ind w:left="1808" w:hanging="217"/>
      </w:pPr>
      <w:rPr>
        <w:rFonts w:hint="default"/>
        <w:lang w:val="en-GB" w:eastAsia="en-GB" w:bidi="en-GB"/>
      </w:rPr>
    </w:lvl>
    <w:lvl w:ilvl="5" w:tplc="45E27E2C">
      <w:numFmt w:val="bullet"/>
      <w:lvlText w:val="•"/>
      <w:lvlJc w:val="left"/>
      <w:pPr>
        <w:ind w:left="2186" w:hanging="217"/>
      </w:pPr>
      <w:rPr>
        <w:rFonts w:hint="default"/>
        <w:lang w:val="en-GB" w:eastAsia="en-GB" w:bidi="en-GB"/>
      </w:rPr>
    </w:lvl>
    <w:lvl w:ilvl="6" w:tplc="E2847EC2">
      <w:numFmt w:val="bullet"/>
      <w:lvlText w:val="•"/>
      <w:lvlJc w:val="left"/>
      <w:pPr>
        <w:ind w:left="2563" w:hanging="217"/>
      </w:pPr>
      <w:rPr>
        <w:rFonts w:hint="default"/>
        <w:lang w:val="en-GB" w:eastAsia="en-GB" w:bidi="en-GB"/>
      </w:rPr>
    </w:lvl>
    <w:lvl w:ilvl="7" w:tplc="7130DAF4">
      <w:numFmt w:val="bullet"/>
      <w:lvlText w:val="•"/>
      <w:lvlJc w:val="left"/>
      <w:pPr>
        <w:ind w:left="2940" w:hanging="217"/>
      </w:pPr>
      <w:rPr>
        <w:rFonts w:hint="default"/>
        <w:lang w:val="en-GB" w:eastAsia="en-GB" w:bidi="en-GB"/>
      </w:rPr>
    </w:lvl>
    <w:lvl w:ilvl="8" w:tplc="8286D68A">
      <w:numFmt w:val="bullet"/>
      <w:lvlText w:val="•"/>
      <w:lvlJc w:val="left"/>
      <w:pPr>
        <w:ind w:left="3317" w:hanging="217"/>
      </w:pPr>
      <w:rPr>
        <w:rFonts w:hint="default"/>
        <w:lang w:val="en-GB" w:eastAsia="en-GB" w:bidi="en-GB"/>
      </w:rPr>
    </w:lvl>
  </w:abstractNum>
  <w:abstractNum w:abstractNumId="814" w15:restartNumberingAfterBreak="0">
    <w:nsid w:val="4AD0606C"/>
    <w:multiLevelType w:val="hybridMultilevel"/>
    <w:tmpl w:val="A9EEB0C4"/>
    <w:lvl w:ilvl="0" w:tplc="00285A56">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0D921A86">
      <w:numFmt w:val="bullet"/>
      <w:lvlText w:val="•"/>
      <w:lvlJc w:val="left"/>
      <w:pPr>
        <w:ind w:left="473" w:hanging="217"/>
      </w:pPr>
      <w:rPr>
        <w:rFonts w:hint="default"/>
        <w:lang w:val="en-GB" w:eastAsia="en-GB" w:bidi="en-GB"/>
      </w:rPr>
    </w:lvl>
    <w:lvl w:ilvl="2" w:tplc="FE687FFA">
      <w:numFmt w:val="bullet"/>
      <w:lvlText w:val="•"/>
      <w:lvlJc w:val="left"/>
      <w:pPr>
        <w:ind w:left="646" w:hanging="217"/>
      </w:pPr>
      <w:rPr>
        <w:rFonts w:hint="default"/>
        <w:lang w:val="en-GB" w:eastAsia="en-GB" w:bidi="en-GB"/>
      </w:rPr>
    </w:lvl>
    <w:lvl w:ilvl="3" w:tplc="1502508E">
      <w:numFmt w:val="bullet"/>
      <w:lvlText w:val="•"/>
      <w:lvlJc w:val="left"/>
      <w:pPr>
        <w:ind w:left="819" w:hanging="217"/>
      </w:pPr>
      <w:rPr>
        <w:rFonts w:hint="default"/>
        <w:lang w:val="en-GB" w:eastAsia="en-GB" w:bidi="en-GB"/>
      </w:rPr>
    </w:lvl>
    <w:lvl w:ilvl="4" w:tplc="AAD8A3F4">
      <w:numFmt w:val="bullet"/>
      <w:lvlText w:val="•"/>
      <w:lvlJc w:val="left"/>
      <w:pPr>
        <w:ind w:left="992" w:hanging="217"/>
      </w:pPr>
      <w:rPr>
        <w:rFonts w:hint="default"/>
        <w:lang w:val="en-GB" w:eastAsia="en-GB" w:bidi="en-GB"/>
      </w:rPr>
    </w:lvl>
    <w:lvl w:ilvl="5" w:tplc="4732D3CA">
      <w:numFmt w:val="bullet"/>
      <w:lvlText w:val="•"/>
      <w:lvlJc w:val="left"/>
      <w:pPr>
        <w:ind w:left="1165" w:hanging="217"/>
      </w:pPr>
      <w:rPr>
        <w:rFonts w:hint="default"/>
        <w:lang w:val="en-GB" w:eastAsia="en-GB" w:bidi="en-GB"/>
      </w:rPr>
    </w:lvl>
    <w:lvl w:ilvl="6" w:tplc="7AF8FB60">
      <w:numFmt w:val="bullet"/>
      <w:lvlText w:val="•"/>
      <w:lvlJc w:val="left"/>
      <w:pPr>
        <w:ind w:left="1338" w:hanging="217"/>
      </w:pPr>
      <w:rPr>
        <w:rFonts w:hint="default"/>
        <w:lang w:val="en-GB" w:eastAsia="en-GB" w:bidi="en-GB"/>
      </w:rPr>
    </w:lvl>
    <w:lvl w:ilvl="7" w:tplc="2F0E8A26">
      <w:numFmt w:val="bullet"/>
      <w:lvlText w:val="•"/>
      <w:lvlJc w:val="left"/>
      <w:pPr>
        <w:ind w:left="1511" w:hanging="217"/>
      </w:pPr>
      <w:rPr>
        <w:rFonts w:hint="default"/>
        <w:lang w:val="en-GB" w:eastAsia="en-GB" w:bidi="en-GB"/>
      </w:rPr>
    </w:lvl>
    <w:lvl w:ilvl="8" w:tplc="3E387E08">
      <w:numFmt w:val="bullet"/>
      <w:lvlText w:val="•"/>
      <w:lvlJc w:val="left"/>
      <w:pPr>
        <w:ind w:left="1684" w:hanging="217"/>
      </w:pPr>
      <w:rPr>
        <w:rFonts w:hint="default"/>
        <w:lang w:val="en-GB" w:eastAsia="en-GB" w:bidi="en-GB"/>
      </w:rPr>
    </w:lvl>
  </w:abstractNum>
  <w:abstractNum w:abstractNumId="815" w15:restartNumberingAfterBreak="0">
    <w:nsid w:val="4B055249"/>
    <w:multiLevelType w:val="hybridMultilevel"/>
    <w:tmpl w:val="09403E1C"/>
    <w:lvl w:ilvl="0" w:tplc="3DF8CDDE">
      <w:numFmt w:val="bullet"/>
      <w:lvlText w:val="•"/>
      <w:lvlJc w:val="left"/>
      <w:pPr>
        <w:ind w:left="303" w:hanging="217"/>
      </w:pPr>
      <w:rPr>
        <w:rFonts w:ascii="Arial" w:eastAsia="Arial" w:hAnsi="Arial" w:cs="Arial" w:hint="default"/>
        <w:color w:val="231F20"/>
        <w:w w:val="102"/>
        <w:sz w:val="17"/>
        <w:szCs w:val="17"/>
        <w:lang w:val="en-GB" w:eastAsia="en-GB" w:bidi="en-GB"/>
      </w:rPr>
    </w:lvl>
    <w:lvl w:ilvl="1" w:tplc="75607F78">
      <w:numFmt w:val="bullet"/>
      <w:lvlText w:val="•"/>
      <w:lvlJc w:val="left"/>
      <w:pPr>
        <w:ind w:left="439" w:hanging="217"/>
      </w:pPr>
      <w:rPr>
        <w:rFonts w:hint="default"/>
        <w:lang w:val="en-GB" w:eastAsia="en-GB" w:bidi="en-GB"/>
      </w:rPr>
    </w:lvl>
    <w:lvl w:ilvl="2" w:tplc="97148A4A">
      <w:numFmt w:val="bullet"/>
      <w:lvlText w:val="•"/>
      <w:lvlJc w:val="left"/>
      <w:pPr>
        <w:ind w:left="578" w:hanging="217"/>
      </w:pPr>
      <w:rPr>
        <w:rFonts w:hint="default"/>
        <w:lang w:val="en-GB" w:eastAsia="en-GB" w:bidi="en-GB"/>
      </w:rPr>
    </w:lvl>
    <w:lvl w:ilvl="3" w:tplc="C270EA22">
      <w:numFmt w:val="bullet"/>
      <w:lvlText w:val="•"/>
      <w:lvlJc w:val="left"/>
      <w:pPr>
        <w:ind w:left="717" w:hanging="217"/>
      </w:pPr>
      <w:rPr>
        <w:rFonts w:hint="default"/>
        <w:lang w:val="en-GB" w:eastAsia="en-GB" w:bidi="en-GB"/>
      </w:rPr>
    </w:lvl>
    <w:lvl w:ilvl="4" w:tplc="D5408F0A">
      <w:numFmt w:val="bullet"/>
      <w:lvlText w:val="•"/>
      <w:lvlJc w:val="left"/>
      <w:pPr>
        <w:ind w:left="856" w:hanging="217"/>
      </w:pPr>
      <w:rPr>
        <w:rFonts w:hint="default"/>
        <w:lang w:val="en-GB" w:eastAsia="en-GB" w:bidi="en-GB"/>
      </w:rPr>
    </w:lvl>
    <w:lvl w:ilvl="5" w:tplc="197CEC4C">
      <w:numFmt w:val="bullet"/>
      <w:lvlText w:val="•"/>
      <w:lvlJc w:val="left"/>
      <w:pPr>
        <w:ind w:left="995" w:hanging="217"/>
      </w:pPr>
      <w:rPr>
        <w:rFonts w:hint="default"/>
        <w:lang w:val="en-GB" w:eastAsia="en-GB" w:bidi="en-GB"/>
      </w:rPr>
    </w:lvl>
    <w:lvl w:ilvl="6" w:tplc="C11E208E">
      <w:numFmt w:val="bullet"/>
      <w:lvlText w:val="•"/>
      <w:lvlJc w:val="left"/>
      <w:pPr>
        <w:ind w:left="1134" w:hanging="217"/>
      </w:pPr>
      <w:rPr>
        <w:rFonts w:hint="default"/>
        <w:lang w:val="en-GB" w:eastAsia="en-GB" w:bidi="en-GB"/>
      </w:rPr>
    </w:lvl>
    <w:lvl w:ilvl="7" w:tplc="2FE01972">
      <w:numFmt w:val="bullet"/>
      <w:lvlText w:val="•"/>
      <w:lvlJc w:val="left"/>
      <w:pPr>
        <w:ind w:left="1273" w:hanging="217"/>
      </w:pPr>
      <w:rPr>
        <w:rFonts w:hint="default"/>
        <w:lang w:val="en-GB" w:eastAsia="en-GB" w:bidi="en-GB"/>
      </w:rPr>
    </w:lvl>
    <w:lvl w:ilvl="8" w:tplc="702E16A0">
      <w:numFmt w:val="bullet"/>
      <w:lvlText w:val="•"/>
      <w:lvlJc w:val="left"/>
      <w:pPr>
        <w:ind w:left="1412" w:hanging="217"/>
      </w:pPr>
      <w:rPr>
        <w:rFonts w:hint="default"/>
        <w:lang w:val="en-GB" w:eastAsia="en-GB" w:bidi="en-GB"/>
      </w:rPr>
    </w:lvl>
  </w:abstractNum>
  <w:abstractNum w:abstractNumId="816" w15:restartNumberingAfterBreak="0">
    <w:nsid w:val="4B217E13"/>
    <w:multiLevelType w:val="hybridMultilevel"/>
    <w:tmpl w:val="F2484040"/>
    <w:lvl w:ilvl="0" w:tplc="453C710C">
      <w:numFmt w:val="bullet"/>
      <w:lvlText w:val="•"/>
      <w:lvlJc w:val="left"/>
      <w:pPr>
        <w:ind w:left="305" w:hanging="217"/>
      </w:pPr>
      <w:rPr>
        <w:rFonts w:ascii="Arial" w:eastAsia="Arial" w:hAnsi="Arial" w:cs="Arial" w:hint="default"/>
        <w:color w:val="231F20"/>
        <w:w w:val="102"/>
        <w:sz w:val="17"/>
        <w:szCs w:val="17"/>
        <w:lang w:val="en-GB" w:eastAsia="en-GB" w:bidi="en-GB"/>
      </w:rPr>
    </w:lvl>
    <w:lvl w:ilvl="1" w:tplc="751E8A80">
      <w:numFmt w:val="bullet"/>
      <w:lvlText w:val="•"/>
      <w:lvlJc w:val="left"/>
      <w:pPr>
        <w:ind w:left="892" w:hanging="217"/>
      </w:pPr>
      <w:rPr>
        <w:rFonts w:hint="default"/>
        <w:lang w:val="en-GB" w:eastAsia="en-GB" w:bidi="en-GB"/>
      </w:rPr>
    </w:lvl>
    <w:lvl w:ilvl="2" w:tplc="B1A0E8FA">
      <w:numFmt w:val="bullet"/>
      <w:lvlText w:val="•"/>
      <w:lvlJc w:val="left"/>
      <w:pPr>
        <w:ind w:left="1485" w:hanging="217"/>
      </w:pPr>
      <w:rPr>
        <w:rFonts w:hint="default"/>
        <w:lang w:val="en-GB" w:eastAsia="en-GB" w:bidi="en-GB"/>
      </w:rPr>
    </w:lvl>
    <w:lvl w:ilvl="3" w:tplc="5EFEC674">
      <w:numFmt w:val="bullet"/>
      <w:lvlText w:val="•"/>
      <w:lvlJc w:val="left"/>
      <w:pPr>
        <w:ind w:left="2077" w:hanging="217"/>
      </w:pPr>
      <w:rPr>
        <w:rFonts w:hint="default"/>
        <w:lang w:val="en-GB" w:eastAsia="en-GB" w:bidi="en-GB"/>
      </w:rPr>
    </w:lvl>
    <w:lvl w:ilvl="4" w:tplc="0C5EC49A">
      <w:numFmt w:val="bullet"/>
      <w:lvlText w:val="•"/>
      <w:lvlJc w:val="left"/>
      <w:pPr>
        <w:ind w:left="2670" w:hanging="217"/>
      </w:pPr>
      <w:rPr>
        <w:rFonts w:hint="default"/>
        <w:lang w:val="en-GB" w:eastAsia="en-GB" w:bidi="en-GB"/>
      </w:rPr>
    </w:lvl>
    <w:lvl w:ilvl="5" w:tplc="DB0E3526">
      <w:numFmt w:val="bullet"/>
      <w:lvlText w:val="•"/>
      <w:lvlJc w:val="left"/>
      <w:pPr>
        <w:ind w:left="3263" w:hanging="217"/>
      </w:pPr>
      <w:rPr>
        <w:rFonts w:hint="default"/>
        <w:lang w:val="en-GB" w:eastAsia="en-GB" w:bidi="en-GB"/>
      </w:rPr>
    </w:lvl>
    <w:lvl w:ilvl="6" w:tplc="53AA04B0">
      <w:numFmt w:val="bullet"/>
      <w:lvlText w:val="•"/>
      <w:lvlJc w:val="left"/>
      <w:pPr>
        <w:ind w:left="3855" w:hanging="217"/>
      </w:pPr>
      <w:rPr>
        <w:rFonts w:hint="default"/>
        <w:lang w:val="en-GB" w:eastAsia="en-GB" w:bidi="en-GB"/>
      </w:rPr>
    </w:lvl>
    <w:lvl w:ilvl="7" w:tplc="4078B0F8">
      <w:numFmt w:val="bullet"/>
      <w:lvlText w:val="•"/>
      <w:lvlJc w:val="left"/>
      <w:pPr>
        <w:ind w:left="4448" w:hanging="217"/>
      </w:pPr>
      <w:rPr>
        <w:rFonts w:hint="default"/>
        <w:lang w:val="en-GB" w:eastAsia="en-GB" w:bidi="en-GB"/>
      </w:rPr>
    </w:lvl>
    <w:lvl w:ilvl="8" w:tplc="BDE6B85E">
      <w:numFmt w:val="bullet"/>
      <w:lvlText w:val="•"/>
      <w:lvlJc w:val="left"/>
      <w:pPr>
        <w:ind w:left="5040" w:hanging="217"/>
      </w:pPr>
      <w:rPr>
        <w:rFonts w:hint="default"/>
        <w:lang w:val="en-GB" w:eastAsia="en-GB" w:bidi="en-GB"/>
      </w:rPr>
    </w:lvl>
  </w:abstractNum>
  <w:abstractNum w:abstractNumId="817" w15:restartNumberingAfterBreak="0">
    <w:nsid w:val="4B2A48B4"/>
    <w:multiLevelType w:val="hybridMultilevel"/>
    <w:tmpl w:val="C95C4C2A"/>
    <w:lvl w:ilvl="0" w:tplc="6BE0D41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2E21418">
      <w:numFmt w:val="bullet"/>
      <w:lvlText w:val="•"/>
      <w:lvlJc w:val="left"/>
      <w:pPr>
        <w:ind w:left="439" w:hanging="217"/>
      </w:pPr>
      <w:rPr>
        <w:rFonts w:hint="default"/>
        <w:lang w:val="en-GB" w:eastAsia="en-GB" w:bidi="en-GB"/>
      </w:rPr>
    </w:lvl>
    <w:lvl w:ilvl="2" w:tplc="3CFAAE64">
      <w:numFmt w:val="bullet"/>
      <w:lvlText w:val="•"/>
      <w:lvlJc w:val="left"/>
      <w:pPr>
        <w:ind w:left="578" w:hanging="217"/>
      </w:pPr>
      <w:rPr>
        <w:rFonts w:hint="default"/>
        <w:lang w:val="en-GB" w:eastAsia="en-GB" w:bidi="en-GB"/>
      </w:rPr>
    </w:lvl>
    <w:lvl w:ilvl="3" w:tplc="9D4E42C8">
      <w:numFmt w:val="bullet"/>
      <w:lvlText w:val="•"/>
      <w:lvlJc w:val="left"/>
      <w:pPr>
        <w:ind w:left="717" w:hanging="217"/>
      </w:pPr>
      <w:rPr>
        <w:rFonts w:hint="default"/>
        <w:lang w:val="en-GB" w:eastAsia="en-GB" w:bidi="en-GB"/>
      </w:rPr>
    </w:lvl>
    <w:lvl w:ilvl="4" w:tplc="5E96054E">
      <w:numFmt w:val="bullet"/>
      <w:lvlText w:val="•"/>
      <w:lvlJc w:val="left"/>
      <w:pPr>
        <w:ind w:left="856" w:hanging="217"/>
      </w:pPr>
      <w:rPr>
        <w:rFonts w:hint="default"/>
        <w:lang w:val="en-GB" w:eastAsia="en-GB" w:bidi="en-GB"/>
      </w:rPr>
    </w:lvl>
    <w:lvl w:ilvl="5" w:tplc="ED76749C">
      <w:numFmt w:val="bullet"/>
      <w:lvlText w:val="•"/>
      <w:lvlJc w:val="left"/>
      <w:pPr>
        <w:ind w:left="995" w:hanging="217"/>
      </w:pPr>
      <w:rPr>
        <w:rFonts w:hint="default"/>
        <w:lang w:val="en-GB" w:eastAsia="en-GB" w:bidi="en-GB"/>
      </w:rPr>
    </w:lvl>
    <w:lvl w:ilvl="6" w:tplc="EF6C92C2">
      <w:numFmt w:val="bullet"/>
      <w:lvlText w:val="•"/>
      <w:lvlJc w:val="left"/>
      <w:pPr>
        <w:ind w:left="1134" w:hanging="217"/>
      </w:pPr>
      <w:rPr>
        <w:rFonts w:hint="default"/>
        <w:lang w:val="en-GB" w:eastAsia="en-GB" w:bidi="en-GB"/>
      </w:rPr>
    </w:lvl>
    <w:lvl w:ilvl="7" w:tplc="B9DA88F8">
      <w:numFmt w:val="bullet"/>
      <w:lvlText w:val="•"/>
      <w:lvlJc w:val="left"/>
      <w:pPr>
        <w:ind w:left="1273" w:hanging="217"/>
      </w:pPr>
      <w:rPr>
        <w:rFonts w:hint="default"/>
        <w:lang w:val="en-GB" w:eastAsia="en-GB" w:bidi="en-GB"/>
      </w:rPr>
    </w:lvl>
    <w:lvl w:ilvl="8" w:tplc="1CAC3642">
      <w:numFmt w:val="bullet"/>
      <w:lvlText w:val="•"/>
      <w:lvlJc w:val="left"/>
      <w:pPr>
        <w:ind w:left="1412" w:hanging="217"/>
      </w:pPr>
      <w:rPr>
        <w:rFonts w:hint="default"/>
        <w:lang w:val="en-GB" w:eastAsia="en-GB" w:bidi="en-GB"/>
      </w:rPr>
    </w:lvl>
  </w:abstractNum>
  <w:abstractNum w:abstractNumId="818" w15:restartNumberingAfterBreak="0">
    <w:nsid w:val="4B357131"/>
    <w:multiLevelType w:val="hybridMultilevel"/>
    <w:tmpl w:val="7C487642"/>
    <w:lvl w:ilvl="0" w:tplc="4EF6AAF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300C9A2">
      <w:numFmt w:val="bullet"/>
      <w:lvlText w:val="•"/>
      <w:lvlJc w:val="left"/>
      <w:pPr>
        <w:ind w:left="892" w:hanging="217"/>
      </w:pPr>
      <w:rPr>
        <w:rFonts w:hint="default"/>
        <w:lang w:val="en-GB" w:eastAsia="en-GB" w:bidi="en-GB"/>
      </w:rPr>
    </w:lvl>
    <w:lvl w:ilvl="2" w:tplc="C25E123C">
      <w:numFmt w:val="bullet"/>
      <w:lvlText w:val="•"/>
      <w:lvlJc w:val="left"/>
      <w:pPr>
        <w:ind w:left="1485" w:hanging="217"/>
      </w:pPr>
      <w:rPr>
        <w:rFonts w:hint="default"/>
        <w:lang w:val="en-GB" w:eastAsia="en-GB" w:bidi="en-GB"/>
      </w:rPr>
    </w:lvl>
    <w:lvl w:ilvl="3" w:tplc="F360369E">
      <w:numFmt w:val="bullet"/>
      <w:lvlText w:val="•"/>
      <w:lvlJc w:val="left"/>
      <w:pPr>
        <w:ind w:left="2077" w:hanging="217"/>
      </w:pPr>
      <w:rPr>
        <w:rFonts w:hint="default"/>
        <w:lang w:val="en-GB" w:eastAsia="en-GB" w:bidi="en-GB"/>
      </w:rPr>
    </w:lvl>
    <w:lvl w:ilvl="4" w:tplc="AF98CCC8">
      <w:numFmt w:val="bullet"/>
      <w:lvlText w:val="•"/>
      <w:lvlJc w:val="left"/>
      <w:pPr>
        <w:ind w:left="2670" w:hanging="217"/>
      </w:pPr>
      <w:rPr>
        <w:rFonts w:hint="default"/>
        <w:lang w:val="en-GB" w:eastAsia="en-GB" w:bidi="en-GB"/>
      </w:rPr>
    </w:lvl>
    <w:lvl w:ilvl="5" w:tplc="8E4A422E">
      <w:numFmt w:val="bullet"/>
      <w:lvlText w:val="•"/>
      <w:lvlJc w:val="left"/>
      <w:pPr>
        <w:ind w:left="3263" w:hanging="217"/>
      </w:pPr>
      <w:rPr>
        <w:rFonts w:hint="default"/>
        <w:lang w:val="en-GB" w:eastAsia="en-GB" w:bidi="en-GB"/>
      </w:rPr>
    </w:lvl>
    <w:lvl w:ilvl="6" w:tplc="4BE27942">
      <w:numFmt w:val="bullet"/>
      <w:lvlText w:val="•"/>
      <w:lvlJc w:val="left"/>
      <w:pPr>
        <w:ind w:left="3855" w:hanging="217"/>
      </w:pPr>
      <w:rPr>
        <w:rFonts w:hint="default"/>
        <w:lang w:val="en-GB" w:eastAsia="en-GB" w:bidi="en-GB"/>
      </w:rPr>
    </w:lvl>
    <w:lvl w:ilvl="7" w:tplc="45FC6522">
      <w:numFmt w:val="bullet"/>
      <w:lvlText w:val="•"/>
      <w:lvlJc w:val="left"/>
      <w:pPr>
        <w:ind w:left="4448" w:hanging="217"/>
      </w:pPr>
      <w:rPr>
        <w:rFonts w:hint="default"/>
        <w:lang w:val="en-GB" w:eastAsia="en-GB" w:bidi="en-GB"/>
      </w:rPr>
    </w:lvl>
    <w:lvl w:ilvl="8" w:tplc="2848DBFE">
      <w:numFmt w:val="bullet"/>
      <w:lvlText w:val="•"/>
      <w:lvlJc w:val="left"/>
      <w:pPr>
        <w:ind w:left="5040" w:hanging="217"/>
      </w:pPr>
      <w:rPr>
        <w:rFonts w:hint="default"/>
        <w:lang w:val="en-GB" w:eastAsia="en-GB" w:bidi="en-GB"/>
      </w:rPr>
    </w:lvl>
  </w:abstractNum>
  <w:abstractNum w:abstractNumId="819" w15:restartNumberingAfterBreak="0">
    <w:nsid w:val="4B4674CC"/>
    <w:multiLevelType w:val="hybridMultilevel"/>
    <w:tmpl w:val="1C5AEA22"/>
    <w:lvl w:ilvl="0" w:tplc="B50AE48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8B68BF2C">
      <w:numFmt w:val="bullet"/>
      <w:lvlText w:val="•"/>
      <w:lvlJc w:val="left"/>
      <w:pPr>
        <w:ind w:left="473" w:hanging="217"/>
      </w:pPr>
      <w:rPr>
        <w:rFonts w:hint="default"/>
        <w:lang w:val="en-GB" w:eastAsia="en-GB" w:bidi="en-GB"/>
      </w:rPr>
    </w:lvl>
    <w:lvl w:ilvl="2" w:tplc="6E4E3FD0">
      <w:numFmt w:val="bullet"/>
      <w:lvlText w:val="•"/>
      <w:lvlJc w:val="left"/>
      <w:pPr>
        <w:ind w:left="646" w:hanging="217"/>
      </w:pPr>
      <w:rPr>
        <w:rFonts w:hint="default"/>
        <w:lang w:val="en-GB" w:eastAsia="en-GB" w:bidi="en-GB"/>
      </w:rPr>
    </w:lvl>
    <w:lvl w:ilvl="3" w:tplc="72EC56F6">
      <w:numFmt w:val="bullet"/>
      <w:lvlText w:val="•"/>
      <w:lvlJc w:val="left"/>
      <w:pPr>
        <w:ind w:left="819" w:hanging="217"/>
      </w:pPr>
      <w:rPr>
        <w:rFonts w:hint="default"/>
        <w:lang w:val="en-GB" w:eastAsia="en-GB" w:bidi="en-GB"/>
      </w:rPr>
    </w:lvl>
    <w:lvl w:ilvl="4" w:tplc="93CC7954">
      <w:numFmt w:val="bullet"/>
      <w:lvlText w:val="•"/>
      <w:lvlJc w:val="left"/>
      <w:pPr>
        <w:ind w:left="992" w:hanging="217"/>
      </w:pPr>
      <w:rPr>
        <w:rFonts w:hint="default"/>
        <w:lang w:val="en-GB" w:eastAsia="en-GB" w:bidi="en-GB"/>
      </w:rPr>
    </w:lvl>
    <w:lvl w:ilvl="5" w:tplc="0462740A">
      <w:numFmt w:val="bullet"/>
      <w:lvlText w:val="•"/>
      <w:lvlJc w:val="left"/>
      <w:pPr>
        <w:ind w:left="1165" w:hanging="217"/>
      </w:pPr>
      <w:rPr>
        <w:rFonts w:hint="default"/>
        <w:lang w:val="en-GB" w:eastAsia="en-GB" w:bidi="en-GB"/>
      </w:rPr>
    </w:lvl>
    <w:lvl w:ilvl="6" w:tplc="29786290">
      <w:numFmt w:val="bullet"/>
      <w:lvlText w:val="•"/>
      <w:lvlJc w:val="left"/>
      <w:pPr>
        <w:ind w:left="1338" w:hanging="217"/>
      </w:pPr>
      <w:rPr>
        <w:rFonts w:hint="default"/>
        <w:lang w:val="en-GB" w:eastAsia="en-GB" w:bidi="en-GB"/>
      </w:rPr>
    </w:lvl>
    <w:lvl w:ilvl="7" w:tplc="936C2F48">
      <w:numFmt w:val="bullet"/>
      <w:lvlText w:val="•"/>
      <w:lvlJc w:val="left"/>
      <w:pPr>
        <w:ind w:left="1511" w:hanging="217"/>
      </w:pPr>
      <w:rPr>
        <w:rFonts w:hint="default"/>
        <w:lang w:val="en-GB" w:eastAsia="en-GB" w:bidi="en-GB"/>
      </w:rPr>
    </w:lvl>
    <w:lvl w:ilvl="8" w:tplc="659693DA">
      <w:numFmt w:val="bullet"/>
      <w:lvlText w:val="•"/>
      <w:lvlJc w:val="left"/>
      <w:pPr>
        <w:ind w:left="1684" w:hanging="217"/>
      </w:pPr>
      <w:rPr>
        <w:rFonts w:hint="default"/>
        <w:lang w:val="en-GB" w:eastAsia="en-GB" w:bidi="en-GB"/>
      </w:rPr>
    </w:lvl>
  </w:abstractNum>
  <w:abstractNum w:abstractNumId="820" w15:restartNumberingAfterBreak="0">
    <w:nsid w:val="4B885810"/>
    <w:multiLevelType w:val="multilevel"/>
    <w:tmpl w:val="00563B48"/>
    <w:lvl w:ilvl="0">
      <w:start w:val="1"/>
      <w:numFmt w:val="decimal"/>
      <w:lvlText w:val="%1"/>
      <w:lvlJc w:val="left"/>
      <w:pPr>
        <w:ind w:left="930" w:hanging="720"/>
      </w:pPr>
      <w:rPr>
        <w:rFonts w:hint="default"/>
        <w:lang w:val="en-GB" w:eastAsia="en-GB" w:bidi="en-GB"/>
      </w:rPr>
    </w:lvl>
    <w:lvl w:ilvl="1">
      <w:start w:val="2"/>
      <w:numFmt w:val="decimal"/>
      <w:lvlText w:val="%1.%2"/>
      <w:lvlJc w:val="left"/>
      <w:pPr>
        <w:ind w:left="930" w:hanging="720"/>
      </w:pPr>
      <w:rPr>
        <w:rFonts w:hint="default"/>
        <w:lang w:val="en-GB" w:eastAsia="en-GB" w:bidi="en-GB"/>
      </w:rPr>
    </w:lvl>
    <w:lvl w:ilvl="2">
      <w:start w:val="1"/>
      <w:numFmt w:val="decimal"/>
      <w:lvlText w:val="%1.%2.%3"/>
      <w:lvlJc w:val="left"/>
      <w:pPr>
        <w:ind w:left="930" w:hanging="720"/>
      </w:pPr>
      <w:rPr>
        <w:rFonts w:ascii="Arial" w:eastAsia="Arial" w:hAnsi="Arial" w:cs="Arial" w:hint="default"/>
        <w:b/>
        <w:bCs/>
        <w:color w:val="231F20"/>
        <w:spacing w:val="-14"/>
        <w:w w:val="100"/>
        <w:sz w:val="24"/>
        <w:szCs w:val="24"/>
        <w:lang w:val="en-GB" w:eastAsia="en-GB" w:bidi="en-GB"/>
      </w:rPr>
    </w:lvl>
    <w:lvl w:ilvl="3">
      <w:numFmt w:val="bullet"/>
      <w:lvlText w:val="•"/>
      <w:lvlJc w:val="left"/>
      <w:pPr>
        <w:ind w:left="3839" w:hanging="720"/>
      </w:pPr>
      <w:rPr>
        <w:rFonts w:hint="default"/>
        <w:lang w:val="en-GB" w:eastAsia="en-GB" w:bidi="en-GB"/>
      </w:rPr>
    </w:lvl>
    <w:lvl w:ilvl="4">
      <w:numFmt w:val="bullet"/>
      <w:lvlText w:val="•"/>
      <w:lvlJc w:val="left"/>
      <w:pPr>
        <w:ind w:left="4806" w:hanging="720"/>
      </w:pPr>
      <w:rPr>
        <w:rFonts w:hint="default"/>
        <w:lang w:val="en-GB" w:eastAsia="en-GB" w:bidi="en-GB"/>
      </w:rPr>
    </w:lvl>
    <w:lvl w:ilvl="5">
      <w:numFmt w:val="bullet"/>
      <w:lvlText w:val="•"/>
      <w:lvlJc w:val="left"/>
      <w:pPr>
        <w:ind w:left="5772" w:hanging="720"/>
      </w:pPr>
      <w:rPr>
        <w:rFonts w:hint="default"/>
        <w:lang w:val="en-GB" w:eastAsia="en-GB" w:bidi="en-GB"/>
      </w:rPr>
    </w:lvl>
    <w:lvl w:ilvl="6">
      <w:numFmt w:val="bullet"/>
      <w:lvlText w:val="•"/>
      <w:lvlJc w:val="left"/>
      <w:pPr>
        <w:ind w:left="6739" w:hanging="720"/>
      </w:pPr>
      <w:rPr>
        <w:rFonts w:hint="default"/>
        <w:lang w:val="en-GB" w:eastAsia="en-GB" w:bidi="en-GB"/>
      </w:rPr>
    </w:lvl>
    <w:lvl w:ilvl="7">
      <w:numFmt w:val="bullet"/>
      <w:lvlText w:val="•"/>
      <w:lvlJc w:val="left"/>
      <w:pPr>
        <w:ind w:left="7705" w:hanging="720"/>
      </w:pPr>
      <w:rPr>
        <w:rFonts w:hint="default"/>
        <w:lang w:val="en-GB" w:eastAsia="en-GB" w:bidi="en-GB"/>
      </w:rPr>
    </w:lvl>
    <w:lvl w:ilvl="8">
      <w:numFmt w:val="bullet"/>
      <w:lvlText w:val="•"/>
      <w:lvlJc w:val="left"/>
      <w:pPr>
        <w:ind w:left="8672" w:hanging="720"/>
      </w:pPr>
      <w:rPr>
        <w:rFonts w:hint="default"/>
        <w:lang w:val="en-GB" w:eastAsia="en-GB" w:bidi="en-GB"/>
      </w:rPr>
    </w:lvl>
  </w:abstractNum>
  <w:abstractNum w:abstractNumId="821" w15:restartNumberingAfterBreak="0">
    <w:nsid w:val="4B983832"/>
    <w:multiLevelType w:val="hybridMultilevel"/>
    <w:tmpl w:val="06624872"/>
    <w:lvl w:ilvl="0" w:tplc="AEA6C63E">
      <w:numFmt w:val="bullet"/>
      <w:lvlText w:val="•"/>
      <w:lvlJc w:val="left"/>
      <w:pPr>
        <w:ind w:left="303" w:hanging="217"/>
      </w:pPr>
      <w:rPr>
        <w:rFonts w:ascii="Arial" w:eastAsia="Arial" w:hAnsi="Arial" w:cs="Arial" w:hint="default"/>
        <w:color w:val="231F20"/>
        <w:w w:val="102"/>
        <w:sz w:val="17"/>
        <w:szCs w:val="17"/>
        <w:lang w:val="en-GB" w:eastAsia="en-GB" w:bidi="en-GB"/>
      </w:rPr>
    </w:lvl>
    <w:lvl w:ilvl="1" w:tplc="BD84E5AA">
      <w:numFmt w:val="bullet"/>
      <w:lvlText w:val="•"/>
      <w:lvlJc w:val="left"/>
      <w:pPr>
        <w:ind w:left="439" w:hanging="217"/>
      </w:pPr>
      <w:rPr>
        <w:rFonts w:hint="default"/>
        <w:lang w:val="en-GB" w:eastAsia="en-GB" w:bidi="en-GB"/>
      </w:rPr>
    </w:lvl>
    <w:lvl w:ilvl="2" w:tplc="3586E85A">
      <w:numFmt w:val="bullet"/>
      <w:lvlText w:val="•"/>
      <w:lvlJc w:val="left"/>
      <w:pPr>
        <w:ind w:left="578" w:hanging="217"/>
      </w:pPr>
      <w:rPr>
        <w:rFonts w:hint="default"/>
        <w:lang w:val="en-GB" w:eastAsia="en-GB" w:bidi="en-GB"/>
      </w:rPr>
    </w:lvl>
    <w:lvl w:ilvl="3" w:tplc="7ADEFFA2">
      <w:numFmt w:val="bullet"/>
      <w:lvlText w:val="•"/>
      <w:lvlJc w:val="left"/>
      <w:pPr>
        <w:ind w:left="717" w:hanging="217"/>
      </w:pPr>
      <w:rPr>
        <w:rFonts w:hint="default"/>
        <w:lang w:val="en-GB" w:eastAsia="en-GB" w:bidi="en-GB"/>
      </w:rPr>
    </w:lvl>
    <w:lvl w:ilvl="4" w:tplc="747C532A">
      <w:numFmt w:val="bullet"/>
      <w:lvlText w:val="•"/>
      <w:lvlJc w:val="left"/>
      <w:pPr>
        <w:ind w:left="856" w:hanging="217"/>
      </w:pPr>
      <w:rPr>
        <w:rFonts w:hint="default"/>
        <w:lang w:val="en-GB" w:eastAsia="en-GB" w:bidi="en-GB"/>
      </w:rPr>
    </w:lvl>
    <w:lvl w:ilvl="5" w:tplc="DF86CEA4">
      <w:numFmt w:val="bullet"/>
      <w:lvlText w:val="•"/>
      <w:lvlJc w:val="left"/>
      <w:pPr>
        <w:ind w:left="995" w:hanging="217"/>
      </w:pPr>
      <w:rPr>
        <w:rFonts w:hint="default"/>
        <w:lang w:val="en-GB" w:eastAsia="en-GB" w:bidi="en-GB"/>
      </w:rPr>
    </w:lvl>
    <w:lvl w:ilvl="6" w:tplc="195C3F6A">
      <w:numFmt w:val="bullet"/>
      <w:lvlText w:val="•"/>
      <w:lvlJc w:val="left"/>
      <w:pPr>
        <w:ind w:left="1134" w:hanging="217"/>
      </w:pPr>
      <w:rPr>
        <w:rFonts w:hint="default"/>
        <w:lang w:val="en-GB" w:eastAsia="en-GB" w:bidi="en-GB"/>
      </w:rPr>
    </w:lvl>
    <w:lvl w:ilvl="7" w:tplc="49EE8CD0">
      <w:numFmt w:val="bullet"/>
      <w:lvlText w:val="•"/>
      <w:lvlJc w:val="left"/>
      <w:pPr>
        <w:ind w:left="1273" w:hanging="217"/>
      </w:pPr>
      <w:rPr>
        <w:rFonts w:hint="default"/>
        <w:lang w:val="en-GB" w:eastAsia="en-GB" w:bidi="en-GB"/>
      </w:rPr>
    </w:lvl>
    <w:lvl w:ilvl="8" w:tplc="941A4A66">
      <w:numFmt w:val="bullet"/>
      <w:lvlText w:val="•"/>
      <w:lvlJc w:val="left"/>
      <w:pPr>
        <w:ind w:left="1412" w:hanging="217"/>
      </w:pPr>
      <w:rPr>
        <w:rFonts w:hint="default"/>
        <w:lang w:val="en-GB" w:eastAsia="en-GB" w:bidi="en-GB"/>
      </w:rPr>
    </w:lvl>
  </w:abstractNum>
  <w:abstractNum w:abstractNumId="822" w15:restartNumberingAfterBreak="0">
    <w:nsid w:val="4BC33C12"/>
    <w:multiLevelType w:val="hybridMultilevel"/>
    <w:tmpl w:val="82D24890"/>
    <w:lvl w:ilvl="0" w:tplc="24846716">
      <w:numFmt w:val="bullet"/>
      <w:lvlText w:val="•"/>
      <w:lvlJc w:val="left"/>
      <w:pPr>
        <w:ind w:left="303" w:hanging="217"/>
      </w:pPr>
      <w:rPr>
        <w:rFonts w:ascii="Arial" w:eastAsia="Arial" w:hAnsi="Arial" w:cs="Arial" w:hint="default"/>
        <w:color w:val="231F20"/>
        <w:w w:val="102"/>
        <w:sz w:val="17"/>
        <w:szCs w:val="17"/>
        <w:lang w:val="en-GB" w:eastAsia="en-GB" w:bidi="en-GB"/>
      </w:rPr>
    </w:lvl>
    <w:lvl w:ilvl="1" w:tplc="1E5AA40C">
      <w:numFmt w:val="bullet"/>
      <w:lvlText w:val="•"/>
      <w:lvlJc w:val="left"/>
      <w:pPr>
        <w:ind w:left="439" w:hanging="217"/>
      </w:pPr>
      <w:rPr>
        <w:rFonts w:hint="default"/>
        <w:lang w:val="en-GB" w:eastAsia="en-GB" w:bidi="en-GB"/>
      </w:rPr>
    </w:lvl>
    <w:lvl w:ilvl="2" w:tplc="06683634">
      <w:numFmt w:val="bullet"/>
      <w:lvlText w:val="•"/>
      <w:lvlJc w:val="left"/>
      <w:pPr>
        <w:ind w:left="578" w:hanging="217"/>
      </w:pPr>
      <w:rPr>
        <w:rFonts w:hint="default"/>
        <w:lang w:val="en-GB" w:eastAsia="en-GB" w:bidi="en-GB"/>
      </w:rPr>
    </w:lvl>
    <w:lvl w:ilvl="3" w:tplc="D626E620">
      <w:numFmt w:val="bullet"/>
      <w:lvlText w:val="•"/>
      <w:lvlJc w:val="left"/>
      <w:pPr>
        <w:ind w:left="717" w:hanging="217"/>
      </w:pPr>
      <w:rPr>
        <w:rFonts w:hint="default"/>
        <w:lang w:val="en-GB" w:eastAsia="en-GB" w:bidi="en-GB"/>
      </w:rPr>
    </w:lvl>
    <w:lvl w:ilvl="4" w:tplc="1488EA64">
      <w:numFmt w:val="bullet"/>
      <w:lvlText w:val="•"/>
      <w:lvlJc w:val="left"/>
      <w:pPr>
        <w:ind w:left="856" w:hanging="217"/>
      </w:pPr>
      <w:rPr>
        <w:rFonts w:hint="default"/>
        <w:lang w:val="en-GB" w:eastAsia="en-GB" w:bidi="en-GB"/>
      </w:rPr>
    </w:lvl>
    <w:lvl w:ilvl="5" w:tplc="C11C05EE">
      <w:numFmt w:val="bullet"/>
      <w:lvlText w:val="•"/>
      <w:lvlJc w:val="left"/>
      <w:pPr>
        <w:ind w:left="995" w:hanging="217"/>
      </w:pPr>
      <w:rPr>
        <w:rFonts w:hint="default"/>
        <w:lang w:val="en-GB" w:eastAsia="en-GB" w:bidi="en-GB"/>
      </w:rPr>
    </w:lvl>
    <w:lvl w:ilvl="6" w:tplc="DF4847CC">
      <w:numFmt w:val="bullet"/>
      <w:lvlText w:val="•"/>
      <w:lvlJc w:val="left"/>
      <w:pPr>
        <w:ind w:left="1134" w:hanging="217"/>
      </w:pPr>
      <w:rPr>
        <w:rFonts w:hint="default"/>
        <w:lang w:val="en-GB" w:eastAsia="en-GB" w:bidi="en-GB"/>
      </w:rPr>
    </w:lvl>
    <w:lvl w:ilvl="7" w:tplc="ED126366">
      <w:numFmt w:val="bullet"/>
      <w:lvlText w:val="•"/>
      <w:lvlJc w:val="left"/>
      <w:pPr>
        <w:ind w:left="1273" w:hanging="217"/>
      </w:pPr>
      <w:rPr>
        <w:rFonts w:hint="default"/>
        <w:lang w:val="en-GB" w:eastAsia="en-GB" w:bidi="en-GB"/>
      </w:rPr>
    </w:lvl>
    <w:lvl w:ilvl="8" w:tplc="C41024CC">
      <w:numFmt w:val="bullet"/>
      <w:lvlText w:val="•"/>
      <w:lvlJc w:val="left"/>
      <w:pPr>
        <w:ind w:left="1412" w:hanging="217"/>
      </w:pPr>
      <w:rPr>
        <w:rFonts w:hint="default"/>
        <w:lang w:val="en-GB" w:eastAsia="en-GB" w:bidi="en-GB"/>
      </w:rPr>
    </w:lvl>
  </w:abstractNum>
  <w:abstractNum w:abstractNumId="823" w15:restartNumberingAfterBreak="0">
    <w:nsid w:val="4BCA512E"/>
    <w:multiLevelType w:val="hybridMultilevel"/>
    <w:tmpl w:val="4734033E"/>
    <w:lvl w:ilvl="0" w:tplc="B4222DC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C0A7836">
      <w:numFmt w:val="bullet"/>
      <w:lvlText w:val="•"/>
      <w:lvlJc w:val="left"/>
      <w:pPr>
        <w:ind w:left="439" w:hanging="217"/>
      </w:pPr>
      <w:rPr>
        <w:rFonts w:hint="default"/>
        <w:lang w:val="en-GB" w:eastAsia="en-GB" w:bidi="en-GB"/>
      </w:rPr>
    </w:lvl>
    <w:lvl w:ilvl="2" w:tplc="42B20722">
      <w:numFmt w:val="bullet"/>
      <w:lvlText w:val="•"/>
      <w:lvlJc w:val="left"/>
      <w:pPr>
        <w:ind w:left="578" w:hanging="217"/>
      </w:pPr>
      <w:rPr>
        <w:rFonts w:hint="default"/>
        <w:lang w:val="en-GB" w:eastAsia="en-GB" w:bidi="en-GB"/>
      </w:rPr>
    </w:lvl>
    <w:lvl w:ilvl="3" w:tplc="23721F58">
      <w:numFmt w:val="bullet"/>
      <w:lvlText w:val="•"/>
      <w:lvlJc w:val="left"/>
      <w:pPr>
        <w:ind w:left="717" w:hanging="217"/>
      </w:pPr>
      <w:rPr>
        <w:rFonts w:hint="default"/>
        <w:lang w:val="en-GB" w:eastAsia="en-GB" w:bidi="en-GB"/>
      </w:rPr>
    </w:lvl>
    <w:lvl w:ilvl="4" w:tplc="B776DBF6">
      <w:numFmt w:val="bullet"/>
      <w:lvlText w:val="•"/>
      <w:lvlJc w:val="left"/>
      <w:pPr>
        <w:ind w:left="856" w:hanging="217"/>
      </w:pPr>
      <w:rPr>
        <w:rFonts w:hint="default"/>
        <w:lang w:val="en-GB" w:eastAsia="en-GB" w:bidi="en-GB"/>
      </w:rPr>
    </w:lvl>
    <w:lvl w:ilvl="5" w:tplc="0F0820FA">
      <w:numFmt w:val="bullet"/>
      <w:lvlText w:val="•"/>
      <w:lvlJc w:val="left"/>
      <w:pPr>
        <w:ind w:left="995" w:hanging="217"/>
      </w:pPr>
      <w:rPr>
        <w:rFonts w:hint="default"/>
        <w:lang w:val="en-GB" w:eastAsia="en-GB" w:bidi="en-GB"/>
      </w:rPr>
    </w:lvl>
    <w:lvl w:ilvl="6" w:tplc="6090D73C">
      <w:numFmt w:val="bullet"/>
      <w:lvlText w:val="•"/>
      <w:lvlJc w:val="left"/>
      <w:pPr>
        <w:ind w:left="1134" w:hanging="217"/>
      </w:pPr>
      <w:rPr>
        <w:rFonts w:hint="default"/>
        <w:lang w:val="en-GB" w:eastAsia="en-GB" w:bidi="en-GB"/>
      </w:rPr>
    </w:lvl>
    <w:lvl w:ilvl="7" w:tplc="C7E64D7C">
      <w:numFmt w:val="bullet"/>
      <w:lvlText w:val="•"/>
      <w:lvlJc w:val="left"/>
      <w:pPr>
        <w:ind w:left="1273" w:hanging="217"/>
      </w:pPr>
      <w:rPr>
        <w:rFonts w:hint="default"/>
        <w:lang w:val="en-GB" w:eastAsia="en-GB" w:bidi="en-GB"/>
      </w:rPr>
    </w:lvl>
    <w:lvl w:ilvl="8" w:tplc="E014EBD8">
      <w:numFmt w:val="bullet"/>
      <w:lvlText w:val="•"/>
      <w:lvlJc w:val="left"/>
      <w:pPr>
        <w:ind w:left="1412" w:hanging="217"/>
      </w:pPr>
      <w:rPr>
        <w:rFonts w:hint="default"/>
        <w:lang w:val="en-GB" w:eastAsia="en-GB" w:bidi="en-GB"/>
      </w:rPr>
    </w:lvl>
  </w:abstractNum>
  <w:abstractNum w:abstractNumId="824" w15:restartNumberingAfterBreak="0">
    <w:nsid w:val="4BCB764A"/>
    <w:multiLevelType w:val="hybridMultilevel"/>
    <w:tmpl w:val="80ACBA48"/>
    <w:lvl w:ilvl="0" w:tplc="FEFA649E">
      <w:numFmt w:val="bullet"/>
      <w:lvlText w:val="•"/>
      <w:lvlJc w:val="left"/>
      <w:pPr>
        <w:ind w:left="299" w:hanging="217"/>
      </w:pPr>
      <w:rPr>
        <w:rFonts w:ascii="Arial" w:eastAsia="Arial" w:hAnsi="Arial" w:cs="Arial" w:hint="default"/>
        <w:color w:val="231F20"/>
        <w:spacing w:val="-10"/>
        <w:w w:val="100"/>
        <w:sz w:val="18"/>
        <w:szCs w:val="18"/>
        <w:lang w:val="en-GB" w:eastAsia="en-GB" w:bidi="en-GB"/>
      </w:rPr>
    </w:lvl>
    <w:lvl w:ilvl="1" w:tplc="95CE9C1A">
      <w:numFmt w:val="bullet"/>
      <w:lvlText w:val="•"/>
      <w:lvlJc w:val="left"/>
      <w:pPr>
        <w:ind w:left="473" w:hanging="217"/>
      </w:pPr>
      <w:rPr>
        <w:rFonts w:hint="default"/>
        <w:lang w:val="en-GB" w:eastAsia="en-GB" w:bidi="en-GB"/>
      </w:rPr>
    </w:lvl>
    <w:lvl w:ilvl="2" w:tplc="4062469A">
      <w:numFmt w:val="bullet"/>
      <w:lvlText w:val="•"/>
      <w:lvlJc w:val="left"/>
      <w:pPr>
        <w:ind w:left="646" w:hanging="217"/>
      </w:pPr>
      <w:rPr>
        <w:rFonts w:hint="default"/>
        <w:lang w:val="en-GB" w:eastAsia="en-GB" w:bidi="en-GB"/>
      </w:rPr>
    </w:lvl>
    <w:lvl w:ilvl="3" w:tplc="D6FAAE1A">
      <w:numFmt w:val="bullet"/>
      <w:lvlText w:val="•"/>
      <w:lvlJc w:val="left"/>
      <w:pPr>
        <w:ind w:left="819" w:hanging="217"/>
      </w:pPr>
      <w:rPr>
        <w:rFonts w:hint="default"/>
        <w:lang w:val="en-GB" w:eastAsia="en-GB" w:bidi="en-GB"/>
      </w:rPr>
    </w:lvl>
    <w:lvl w:ilvl="4" w:tplc="A8B46CB0">
      <w:numFmt w:val="bullet"/>
      <w:lvlText w:val="•"/>
      <w:lvlJc w:val="left"/>
      <w:pPr>
        <w:ind w:left="992" w:hanging="217"/>
      </w:pPr>
      <w:rPr>
        <w:rFonts w:hint="default"/>
        <w:lang w:val="en-GB" w:eastAsia="en-GB" w:bidi="en-GB"/>
      </w:rPr>
    </w:lvl>
    <w:lvl w:ilvl="5" w:tplc="2F0C562A">
      <w:numFmt w:val="bullet"/>
      <w:lvlText w:val="•"/>
      <w:lvlJc w:val="left"/>
      <w:pPr>
        <w:ind w:left="1165" w:hanging="217"/>
      </w:pPr>
      <w:rPr>
        <w:rFonts w:hint="default"/>
        <w:lang w:val="en-GB" w:eastAsia="en-GB" w:bidi="en-GB"/>
      </w:rPr>
    </w:lvl>
    <w:lvl w:ilvl="6" w:tplc="06F08FCA">
      <w:numFmt w:val="bullet"/>
      <w:lvlText w:val="•"/>
      <w:lvlJc w:val="left"/>
      <w:pPr>
        <w:ind w:left="1338" w:hanging="217"/>
      </w:pPr>
      <w:rPr>
        <w:rFonts w:hint="default"/>
        <w:lang w:val="en-GB" w:eastAsia="en-GB" w:bidi="en-GB"/>
      </w:rPr>
    </w:lvl>
    <w:lvl w:ilvl="7" w:tplc="D7046CCC">
      <w:numFmt w:val="bullet"/>
      <w:lvlText w:val="•"/>
      <w:lvlJc w:val="left"/>
      <w:pPr>
        <w:ind w:left="1511" w:hanging="217"/>
      </w:pPr>
      <w:rPr>
        <w:rFonts w:hint="default"/>
        <w:lang w:val="en-GB" w:eastAsia="en-GB" w:bidi="en-GB"/>
      </w:rPr>
    </w:lvl>
    <w:lvl w:ilvl="8" w:tplc="59CC4328">
      <w:numFmt w:val="bullet"/>
      <w:lvlText w:val="•"/>
      <w:lvlJc w:val="left"/>
      <w:pPr>
        <w:ind w:left="1684" w:hanging="217"/>
      </w:pPr>
      <w:rPr>
        <w:rFonts w:hint="default"/>
        <w:lang w:val="en-GB" w:eastAsia="en-GB" w:bidi="en-GB"/>
      </w:rPr>
    </w:lvl>
  </w:abstractNum>
  <w:abstractNum w:abstractNumId="825" w15:restartNumberingAfterBreak="0">
    <w:nsid w:val="4BD56B05"/>
    <w:multiLevelType w:val="hybridMultilevel"/>
    <w:tmpl w:val="CCB01A48"/>
    <w:lvl w:ilvl="0" w:tplc="A8C87E2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66D433E8">
      <w:numFmt w:val="bullet"/>
      <w:lvlText w:val="•"/>
      <w:lvlJc w:val="left"/>
      <w:pPr>
        <w:ind w:left="892" w:hanging="217"/>
      </w:pPr>
      <w:rPr>
        <w:rFonts w:hint="default"/>
        <w:lang w:val="en-GB" w:eastAsia="en-GB" w:bidi="en-GB"/>
      </w:rPr>
    </w:lvl>
    <w:lvl w:ilvl="2" w:tplc="91F60A62">
      <w:numFmt w:val="bullet"/>
      <w:lvlText w:val="•"/>
      <w:lvlJc w:val="left"/>
      <w:pPr>
        <w:ind w:left="1485" w:hanging="217"/>
      </w:pPr>
      <w:rPr>
        <w:rFonts w:hint="default"/>
        <w:lang w:val="en-GB" w:eastAsia="en-GB" w:bidi="en-GB"/>
      </w:rPr>
    </w:lvl>
    <w:lvl w:ilvl="3" w:tplc="D56AC440">
      <w:numFmt w:val="bullet"/>
      <w:lvlText w:val="•"/>
      <w:lvlJc w:val="left"/>
      <w:pPr>
        <w:ind w:left="2077" w:hanging="217"/>
      </w:pPr>
      <w:rPr>
        <w:rFonts w:hint="default"/>
        <w:lang w:val="en-GB" w:eastAsia="en-GB" w:bidi="en-GB"/>
      </w:rPr>
    </w:lvl>
    <w:lvl w:ilvl="4" w:tplc="4148C4CC">
      <w:numFmt w:val="bullet"/>
      <w:lvlText w:val="•"/>
      <w:lvlJc w:val="left"/>
      <w:pPr>
        <w:ind w:left="2670" w:hanging="217"/>
      </w:pPr>
      <w:rPr>
        <w:rFonts w:hint="default"/>
        <w:lang w:val="en-GB" w:eastAsia="en-GB" w:bidi="en-GB"/>
      </w:rPr>
    </w:lvl>
    <w:lvl w:ilvl="5" w:tplc="4B20800A">
      <w:numFmt w:val="bullet"/>
      <w:lvlText w:val="•"/>
      <w:lvlJc w:val="left"/>
      <w:pPr>
        <w:ind w:left="3263" w:hanging="217"/>
      </w:pPr>
      <w:rPr>
        <w:rFonts w:hint="default"/>
        <w:lang w:val="en-GB" w:eastAsia="en-GB" w:bidi="en-GB"/>
      </w:rPr>
    </w:lvl>
    <w:lvl w:ilvl="6" w:tplc="71F2C3CA">
      <w:numFmt w:val="bullet"/>
      <w:lvlText w:val="•"/>
      <w:lvlJc w:val="left"/>
      <w:pPr>
        <w:ind w:left="3855" w:hanging="217"/>
      </w:pPr>
      <w:rPr>
        <w:rFonts w:hint="default"/>
        <w:lang w:val="en-GB" w:eastAsia="en-GB" w:bidi="en-GB"/>
      </w:rPr>
    </w:lvl>
    <w:lvl w:ilvl="7" w:tplc="CF20849E">
      <w:numFmt w:val="bullet"/>
      <w:lvlText w:val="•"/>
      <w:lvlJc w:val="left"/>
      <w:pPr>
        <w:ind w:left="4448" w:hanging="217"/>
      </w:pPr>
      <w:rPr>
        <w:rFonts w:hint="default"/>
        <w:lang w:val="en-GB" w:eastAsia="en-GB" w:bidi="en-GB"/>
      </w:rPr>
    </w:lvl>
    <w:lvl w:ilvl="8" w:tplc="0A3C1E46">
      <w:numFmt w:val="bullet"/>
      <w:lvlText w:val="•"/>
      <w:lvlJc w:val="left"/>
      <w:pPr>
        <w:ind w:left="5040" w:hanging="217"/>
      </w:pPr>
      <w:rPr>
        <w:rFonts w:hint="default"/>
        <w:lang w:val="en-GB" w:eastAsia="en-GB" w:bidi="en-GB"/>
      </w:rPr>
    </w:lvl>
  </w:abstractNum>
  <w:abstractNum w:abstractNumId="826" w15:restartNumberingAfterBreak="0">
    <w:nsid w:val="4BEC7215"/>
    <w:multiLevelType w:val="hybridMultilevel"/>
    <w:tmpl w:val="9B26902E"/>
    <w:lvl w:ilvl="0" w:tplc="CDACBDB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7CAD8EA">
      <w:numFmt w:val="bullet"/>
      <w:lvlText w:val="•"/>
      <w:lvlJc w:val="left"/>
      <w:pPr>
        <w:ind w:left="473" w:hanging="217"/>
      </w:pPr>
      <w:rPr>
        <w:rFonts w:hint="default"/>
        <w:lang w:val="en-GB" w:eastAsia="en-GB" w:bidi="en-GB"/>
      </w:rPr>
    </w:lvl>
    <w:lvl w:ilvl="2" w:tplc="127443DC">
      <w:numFmt w:val="bullet"/>
      <w:lvlText w:val="•"/>
      <w:lvlJc w:val="left"/>
      <w:pPr>
        <w:ind w:left="646" w:hanging="217"/>
      </w:pPr>
      <w:rPr>
        <w:rFonts w:hint="default"/>
        <w:lang w:val="en-GB" w:eastAsia="en-GB" w:bidi="en-GB"/>
      </w:rPr>
    </w:lvl>
    <w:lvl w:ilvl="3" w:tplc="B04CE458">
      <w:numFmt w:val="bullet"/>
      <w:lvlText w:val="•"/>
      <w:lvlJc w:val="left"/>
      <w:pPr>
        <w:ind w:left="819" w:hanging="217"/>
      </w:pPr>
      <w:rPr>
        <w:rFonts w:hint="default"/>
        <w:lang w:val="en-GB" w:eastAsia="en-GB" w:bidi="en-GB"/>
      </w:rPr>
    </w:lvl>
    <w:lvl w:ilvl="4" w:tplc="A64E8D26">
      <w:numFmt w:val="bullet"/>
      <w:lvlText w:val="•"/>
      <w:lvlJc w:val="left"/>
      <w:pPr>
        <w:ind w:left="992" w:hanging="217"/>
      </w:pPr>
      <w:rPr>
        <w:rFonts w:hint="default"/>
        <w:lang w:val="en-GB" w:eastAsia="en-GB" w:bidi="en-GB"/>
      </w:rPr>
    </w:lvl>
    <w:lvl w:ilvl="5" w:tplc="4B56A3A4">
      <w:numFmt w:val="bullet"/>
      <w:lvlText w:val="•"/>
      <w:lvlJc w:val="left"/>
      <w:pPr>
        <w:ind w:left="1165" w:hanging="217"/>
      </w:pPr>
      <w:rPr>
        <w:rFonts w:hint="default"/>
        <w:lang w:val="en-GB" w:eastAsia="en-GB" w:bidi="en-GB"/>
      </w:rPr>
    </w:lvl>
    <w:lvl w:ilvl="6" w:tplc="3392F09E">
      <w:numFmt w:val="bullet"/>
      <w:lvlText w:val="•"/>
      <w:lvlJc w:val="left"/>
      <w:pPr>
        <w:ind w:left="1338" w:hanging="217"/>
      </w:pPr>
      <w:rPr>
        <w:rFonts w:hint="default"/>
        <w:lang w:val="en-GB" w:eastAsia="en-GB" w:bidi="en-GB"/>
      </w:rPr>
    </w:lvl>
    <w:lvl w:ilvl="7" w:tplc="60227F7E">
      <w:numFmt w:val="bullet"/>
      <w:lvlText w:val="•"/>
      <w:lvlJc w:val="left"/>
      <w:pPr>
        <w:ind w:left="1511" w:hanging="217"/>
      </w:pPr>
      <w:rPr>
        <w:rFonts w:hint="default"/>
        <w:lang w:val="en-GB" w:eastAsia="en-GB" w:bidi="en-GB"/>
      </w:rPr>
    </w:lvl>
    <w:lvl w:ilvl="8" w:tplc="6B005100">
      <w:numFmt w:val="bullet"/>
      <w:lvlText w:val="•"/>
      <w:lvlJc w:val="left"/>
      <w:pPr>
        <w:ind w:left="1684" w:hanging="217"/>
      </w:pPr>
      <w:rPr>
        <w:rFonts w:hint="default"/>
        <w:lang w:val="en-GB" w:eastAsia="en-GB" w:bidi="en-GB"/>
      </w:rPr>
    </w:lvl>
  </w:abstractNum>
  <w:abstractNum w:abstractNumId="827" w15:restartNumberingAfterBreak="0">
    <w:nsid w:val="4C035BF9"/>
    <w:multiLevelType w:val="hybridMultilevel"/>
    <w:tmpl w:val="317CECF0"/>
    <w:lvl w:ilvl="0" w:tplc="3622287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35C32CC">
      <w:numFmt w:val="bullet"/>
      <w:lvlText w:val="•"/>
      <w:lvlJc w:val="left"/>
      <w:pPr>
        <w:ind w:left="541" w:hanging="217"/>
      </w:pPr>
      <w:rPr>
        <w:rFonts w:hint="default"/>
        <w:lang w:val="en-GB" w:eastAsia="en-GB" w:bidi="en-GB"/>
      </w:rPr>
    </w:lvl>
    <w:lvl w:ilvl="2" w:tplc="0D908CA8">
      <w:numFmt w:val="bullet"/>
      <w:lvlText w:val="•"/>
      <w:lvlJc w:val="left"/>
      <w:pPr>
        <w:ind w:left="782" w:hanging="217"/>
      </w:pPr>
      <w:rPr>
        <w:rFonts w:hint="default"/>
        <w:lang w:val="en-GB" w:eastAsia="en-GB" w:bidi="en-GB"/>
      </w:rPr>
    </w:lvl>
    <w:lvl w:ilvl="3" w:tplc="84F40C6C">
      <w:numFmt w:val="bullet"/>
      <w:lvlText w:val="•"/>
      <w:lvlJc w:val="left"/>
      <w:pPr>
        <w:ind w:left="1023" w:hanging="217"/>
      </w:pPr>
      <w:rPr>
        <w:rFonts w:hint="default"/>
        <w:lang w:val="en-GB" w:eastAsia="en-GB" w:bidi="en-GB"/>
      </w:rPr>
    </w:lvl>
    <w:lvl w:ilvl="4" w:tplc="EBEE8C2A">
      <w:numFmt w:val="bullet"/>
      <w:lvlText w:val="•"/>
      <w:lvlJc w:val="left"/>
      <w:pPr>
        <w:ind w:left="1264" w:hanging="217"/>
      </w:pPr>
      <w:rPr>
        <w:rFonts w:hint="default"/>
        <w:lang w:val="en-GB" w:eastAsia="en-GB" w:bidi="en-GB"/>
      </w:rPr>
    </w:lvl>
    <w:lvl w:ilvl="5" w:tplc="D17037EE">
      <w:numFmt w:val="bullet"/>
      <w:lvlText w:val="•"/>
      <w:lvlJc w:val="left"/>
      <w:pPr>
        <w:ind w:left="1505" w:hanging="217"/>
      </w:pPr>
      <w:rPr>
        <w:rFonts w:hint="default"/>
        <w:lang w:val="en-GB" w:eastAsia="en-GB" w:bidi="en-GB"/>
      </w:rPr>
    </w:lvl>
    <w:lvl w:ilvl="6" w:tplc="06A65526">
      <w:numFmt w:val="bullet"/>
      <w:lvlText w:val="•"/>
      <w:lvlJc w:val="left"/>
      <w:pPr>
        <w:ind w:left="1746" w:hanging="217"/>
      </w:pPr>
      <w:rPr>
        <w:rFonts w:hint="default"/>
        <w:lang w:val="en-GB" w:eastAsia="en-GB" w:bidi="en-GB"/>
      </w:rPr>
    </w:lvl>
    <w:lvl w:ilvl="7" w:tplc="F89E76BE">
      <w:numFmt w:val="bullet"/>
      <w:lvlText w:val="•"/>
      <w:lvlJc w:val="left"/>
      <w:pPr>
        <w:ind w:left="1987" w:hanging="217"/>
      </w:pPr>
      <w:rPr>
        <w:rFonts w:hint="default"/>
        <w:lang w:val="en-GB" w:eastAsia="en-GB" w:bidi="en-GB"/>
      </w:rPr>
    </w:lvl>
    <w:lvl w:ilvl="8" w:tplc="EF145B7C">
      <w:numFmt w:val="bullet"/>
      <w:lvlText w:val="•"/>
      <w:lvlJc w:val="left"/>
      <w:pPr>
        <w:ind w:left="2228" w:hanging="217"/>
      </w:pPr>
      <w:rPr>
        <w:rFonts w:hint="default"/>
        <w:lang w:val="en-GB" w:eastAsia="en-GB" w:bidi="en-GB"/>
      </w:rPr>
    </w:lvl>
  </w:abstractNum>
  <w:abstractNum w:abstractNumId="828" w15:restartNumberingAfterBreak="0">
    <w:nsid w:val="4C192C51"/>
    <w:multiLevelType w:val="hybridMultilevel"/>
    <w:tmpl w:val="B384558E"/>
    <w:lvl w:ilvl="0" w:tplc="C0FC35F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1A8163A">
      <w:numFmt w:val="bullet"/>
      <w:lvlText w:val="•"/>
      <w:lvlJc w:val="left"/>
      <w:pPr>
        <w:ind w:left="892" w:hanging="217"/>
      </w:pPr>
      <w:rPr>
        <w:rFonts w:hint="default"/>
        <w:lang w:val="en-GB" w:eastAsia="en-GB" w:bidi="en-GB"/>
      </w:rPr>
    </w:lvl>
    <w:lvl w:ilvl="2" w:tplc="2A0A2960">
      <w:numFmt w:val="bullet"/>
      <w:lvlText w:val="•"/>
      <w:lvlJc w:val="left"/>
      <w:pPr>
        <w:ind w:left="1485" w:hanging="217"/>
      </w:pPr>
      <w:rPr>
        <w:rFonts w:hint="default"/>
        <w:lang w:val="en-GB" w:eastAsia="en-GB" w:bidi="en-GB"/>
      </w:rPr>
    </w:lvl>
    <w:lvl w:ilvl="3" w:tplc="98A0C186">
      <w:numFmt w:val="bullet"/>
      <w:lvlText w:val="•"/>
      <w:lvlJc w:val="left"/>
      <w:pPr>
        <w:ind w:left="2077" w:hanging="217"/>
      </w:pPr>
      <w:rPr>
        <w:rFonts w:hint="default"/>
        <w:lang w:val="en-GB" w:eastAsia="en-GB" w:bidi="en-GB"/>
      </w:rPr>
    </w:lvl>
    <w:lvl w:ilvl="4" w:tplc="D99E42A0">
      <w:numFmt w:val="bullet"/>
      <w:lvlText w:val="•"/>
      <w:lvlJc w:val="left"/>
      <w:pPr>
        <w:ind w:left="2670" w:hanging="217"/>
      </w:pPr>
      <w:rPr>
        <w:rFonts w:hint="default"/>
        <w:lang w:val="en-GB" w:eastAsia="en-GB" w:bidi="en-GB"/>
      </w:rPr>
    </w:lvl>
    <w:lvl w:ilvl="5" w:tplc="79146CE8">
      <w:numFmt w:val="bullet"/>
      <w:lvlText w:val="•"/>
      <w:lvlJc w:val="left"/>
      <w:pPr>
        <w:ind w:left="3263" w:hanging="217"/>
      </w:pPr>
      <w:rPr>
        <w:rFonts w:hint="default"/>
        <w:lang w:val="en-GB" w:eastAsia="en-GB" w:bidi="en-GB"/>
      </w:rPr>
    </w:lvl>
    <w:lvl w:ilvl="6" w:tplc="8E3C39DC">
      <w:numFmt w:val="bullet"/>
      <w:lvlText w:val="•"/>
      <w:lvlJc w:val="left"/>
      <w:pPr>
        <w:ind w:left="3855" w:hanging="217"/>
      </w:pPr>
      <w:rPr>
        <w:rFonts w:hint="default"/>
        <w:lang w:val="en-GB" w:eastAsia="en-GB" w:bidi="en-GB"/>
      </w:rPr>
    </w:lvl>
    <w:lvl w:ilvl="7" w:tplc="0B726492">
      <w:numFmt w:val="bullet"/>
      <w:lvlText w:val="•"/>
      <w:lvlJc w:val="left"/>
      <w:pPr>
        <w:ind w:left="4448" w:hanging="217"/>
      </w:pPr>
      <w:rPr>
        <w:rFonts w:hint="default"/>
        <w:lang w:val="en-GB" w:eastAsia="en-GB" w:bidi="en-GB"/>
      </w:rPr>
    </w:lvl>
    <w:lvl w:ilvl="8" w:tplc="A2E810E8">
      <w:numFmt w:val="bullet"/>
      <w:lvlText w:val="•"/>
      <w:lvlJc w:val="left"/>
      <w:pPr>
        <w:ind w:left="5040" w:hanging="217"/>
      </w:pPr>
      <w:rPr>
        <w:rFonts w:hint="default"/>
        <w:lang w:val="en-GB" w:eastAsia="en-GB" w:bidi="en-GB"/>
      </w:rPr>
    </w:lvl>
  </w:abstractNum>
  <w:abstractNum w:abstractNumId="829" w15:restartNumberingAfterBreak="0">
    <w:nsid w:val="4C273496"/>
    <w:multiLevelType w:val="hybridMultilevel"/>
    <w:tmpl w:val="5EF451A0"/>
    <w:lvl w:ilvl="0" w:tplc="F586C67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87A584C">
      <w:numFmt w:val="bullet"/>
      <w:lvlText w:val="•"/>
      <w:lvlJc w:val="left"/>
      <w:pPr>
        <w:ind w:left="892" w:hanging="217"/>
      </w:pPr>
      <w:rPr>
        <w:rFonts w:hint="default"/>
        <w:lang w:val="en-GB" w:eastAsia="en-GB" w:bidi="en-GB"/>
      </w:rPr>
    </w:lvl>
    <w:lvl w:ilvl="2" w:tplc="B1A81C6A">
      <w:numFmt w:val="bullet"/>
      <w:lvlText w:val="•"/>
      <w:lvlJc w:val="left"/>
      <w:pPr>
        <w:ind w:left="1485" w:hanging="217"/>
      </w:pPr>
      <w:rPr>
        <w:rFonts w:hint="default"/>
        <w:lang w:val="en-GB" w:eastAsia="en-GB" w:bidi="en-GB"/>
      </w:rPr>
    </w:lvl>
    <w:lvl w:ilvl="3" w:tplc="5E16FDFA">
      <w:numFmt w:val="bullet"/>
      <w:lvlText w:val="•"/>
      <w:lvlJc w:val="left"/>
      <w:pPr>
        <w:ind w:left="2077" w:hanging="217"/>
      </w:pPr>
      <w:rPr>
        <w:rFonts w:hint="default"/>
        <w:lang w:val="en-GB" w:eastAsia="en-GB" w:bidi="en-GB"/>
      </w:rPr>
    </w:lvl>
    <w:lvl w:ilvl="4" w:tplc="191CC3DC">
      <w:numFmt w:val="bullet"/>
      <w:lvlText w:val="•"/>
      <w:lvlJc w:val="left"/>
      <w:pPr>
        <w:ind w:left="2670" w:hanging="217"/>
      </w:pPr>
      <w:rPr>
        <w:rFonts w:hint="default"/>
        <w:lang w:val="en-GB" w:eastAsia="en-GB" w:bidi="en-GB"/>
      </w:rPr>
    </w:lvl>
    <w:lvl w:ilvl="5" w:tplc="6D802F12">
      <w:numFmt w:val="bullet"/>
      <w:lvlText w:val="•"/>
      <w:lvlJc w:val="left"/>
      <w:pPr>
        <w:ind w:left="3263" w:hanging="217"/>
      </w:pPr>
      <w:rPr>
        <w:rFonts w:hint="default"/>
        <w:lang w:val="en-GB" w:eastAsia="en-GB" w:bidi="en-GB"/>
      </w:rPr>
    </w:lvl>
    <w:lvl w:ilvl="6" w:tplc="53101AAA">
      <w:numFmt w:val="bullet"/>
      <w:lvlText w:val="•"/>
      <w:lvlJc w:val="left"/>
      <w:pPr>
        <w:ind w:left="3855" w:hanging="217"/>
      </w:pPr>
      <w:rPr>
        <w:rFonts w:hint="default"/>
        <w:lang w:val="en-GB" w:eastAsia="en-GB" w:bidi="en-GB"/>
      </w:rPr>
    </w:lvl>
    <w:lvl w:ilvl="7" w:tplc="651430E2">
      <w:numFmt w:val="bullet"/>
      <w:lvlText w:val="•"/>
      <w:lvlJc w:val="left"/>
      <w:pPr>
        <w:ind w:left="4448" w:hanging="217"/>
      </w:pPr>
      <w:rPr>
        <w:rFonts w:hint="default"/>
        <w:lang w:val="en-GB" w:eastAsia="en-GB" w:bidi="en-GB"/>
      </w:rPr>
    </w:lvl>
    <w:lvl w:ilvl="8" w:tplc="9EE2EAEA">
      <w:numFmt w:val="bullet"/>
      <w:lvlText w:val="•"/>
      <w:lvlJc w:val="left"/>
      <w:pPr>
        <w:ind w:left="5040" w:hanging="217"/>
      </w:pPr>
      <w:rPr>
        <w:rFonts w:hint="default"/>
        <w:lang w:val="en-GB" w:eastAsia="en-GB" w:bidi="en-GB"/>
      </w:rPr>
    </w:lvl>
  </w:abstractNum>
  <w:abstractNum w:abstractNumId="830" w15:restartNumberingAfterBreak="0">
    <w:nsid w:val="4C2C6E54"/>
    <w:multiLevelType w:val="hybridMultilevel"/>
    <w:tmpl w:val="CF78D9DC"/>
    <w:lvl w:ilvl="0" w:tplc="7080598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1A2860A">
      <w:numFmt w:val="bullet"/>
      <w:lvlText w:val="•"/>
      <w:lvlJc w:val="left"/>
      <w:pPr>
        <w:ind w:left="467" w:hanging="217"/>
      </w:pPr>
      <w:rPr>
        <w:rFonts w:hint="default"/>
        <w:lang w:val="en-GB" w:eastAsia="en-GB" w:bidi="en-GB"/>
      </w:rPr>
    </w:lvl>
    <w:lvl w:ilvl="2" w:tplc="AC2237F4">
      <w:numFmt w:val="bullet"/>
      <w:lvlText w:val="•"/>
      <w:lvlJc w:val="left"/>
      <w:pPr>
        <w:ind w:left="634" w:hanging="217"/>
      </w:pPr>
      <w:rPr>
        <w:rFonts w:hint="default"/>
        <w:lang w:val="en-GB" w:eastAsia="en-GB" w:bidi="en-GB"/>
      </w:rPr>
    </w:lvl>
    <w:lvl w:ilvl="3" w:tplc="F96E8B8A">
      <w:numFmt w:val="bullet"/>
      <w:lvlText w:val="•"/>
      <w:lvlJc w:val="left"/>
      <w:pPr>
        <w:ind w:left="802" w:hanging="217"/>
      </w:pPr>
      <w:rPr>
        <w:rFonts w:hint="default"/>
        <w:lang w:val="en-GB" w:eastAsia="en-GB" w:bidi="en-GB"/>
      </w:rPr>
    </w:lvl>
    <w:lvl w:ilvl="4" w:tplc="8FF4F984">
      <w:numFmt w:val="bullet"/>
      <w:lvlText w:val="•"/>
      <w:lvlJc w:val="left"/>
      <w:pPr>
        <w:ind w:left="969" w:hanging="217"/>
      </w:pPr>
      <w:rPr>
        <w:rFonts w:hint="default"/>
        <w:lang w:val="en-GB" w:eastAsia="en-GB" w:bidi="en-GB"/>
      </w:rPr>
    </w:lvl>
    <w:lvl w:ilvl="5" w:tplc="D928745C">
      <w:numFmt w:val="bullet"/>
      <w:lvlText w:val="•"/>
      <w:lvlJc w:val="left"/>
      <w:pPr>
        <w:ind w:left="1137" w:hanging="217"/>
      </w:pPr>
      <w:rPr>
        <w:rFonts w:hint="default"/>
        <w:lang w:val="en-GB" w:eastAsia="en-GB" w:bidi="en-GB"/>
      </w:rPr>
    </w:lvl>
    <w:lvl w:ilvl="6" w:tplc="57A6E0DA">
      <w:numFmt w:val="bullet"/>
      <w:lvlText w:val="•"/>
      <w:lvlJc w:val="left"/>
      <w:pPr>
        <w:ind w:left="1304" w:hanging="217"/>
      </w:pPr>
      <w:rPr>
        <w:rFonts w:hint="default"/>
        <w:lang w:val="en-GB" w:eastAsia="en-GB" w:bidi="en-GB"/>
      </w:rPr>
    </w:lvl>
    <w:lvl w:ilvl="7" w:tplc="9DB806D2">
      <w:numFmt w:val="bullet"/>
      <w:lvlText w:val="•"/>
      <w:lvlJc w:val="left"/>
      <w:pPr>
        <w:ind w:left="1471" w:hanging="217"/>
      </w:pPr>
      <w:rPr>
        <w:rFonts w:hint="default"/>
        <w:lang w:val="en-GB" w:eastAsia="en-GB" w:bidi="en-GB"/>
      </w:rPr>
    </w:lvl>
    <w:lvl w:ilvl="8" w:tplc="E7D211CA">
      <w:numFmt w:val="bullet"/>
      <w:lvlText w:val="•"/>
      <w:lvlJc w:val="left"/>
      <w:pPr>
        <w:ind w:left="1639" w:hanging="217"/>
      </w:pPr>
      <w:rPr>
        <w:rFonts w:hint="default"/>
        <w:lang w:val="en-GB" w:eastAsia="en-GB" w:bidi="en-GB"/>
      </w:rPr>
    </w:lvl>
  </w:abstractNum>
  <w:abstractNum w:abstractNumId="831" w15:restartNumberingAfterBreak="0">
    <w:nsid w:val="4C3305A4"/>
    <w:multiLevelType w:val="hybridMultilevel"/>
    <w:tmpl w:val="3A122C4C"/>
    <w:lvl w:ilvl="0" w:tplc="A548615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40C48B4">
      <w:numFmt w:val="bullet"/>
      <w:lvlText w:val="•"/>
      <w:lvlJc w:val="left"/>
      <w:pPr>
        <w:ind w:left="473" w:hanging="217"/>
      </w:pPr>
      <w:rPr>
        <w:rFonts w:hint="default"/>
        <w:lang w:val="en-GB" w:eastAsia="en-GB" w:bidi="en-GB"/>
      </w:rPr>
    </w:lvl>
    <w:lvl w:ilvl="2" w:tplc="92FE9152">
      <w:numFmt w:val="bullet"/>
      <w:lvlText w:val="•"/>
      <w:lvlJc w:val="left"/>
      <w:pPr>
        <w:ind w:left="646" w:hanging="217"/>
      </w:pPr>
      <w:rPr>
        <w:rFonts w:hint="default"/>
        <w:lang w:val="en-GB" w:eastAsia="en-GB" w:bidi="en-GB"/>
      </w:rPr>
    </w:lvl>
    <w:lvl w:ilvl="3" w:tplc="8A9879E8">
      <w:numFmt w:val="bullet"/>
      <w:lvlText w:val="•"/>
      <w:lvlJc w:val="left"/>
      <w:pPr>
        <w:ind w:left="819" w:hanging="217"/>
      </w:pPr>
      <w:rPr>
        <w:rFonts w:hint="default"/>
        <w:lang w:val="en-GB" w:eastAsia="en-GB" w:bidi="en-GB"/>
      </w:rPr>
    </w:lvl>
    <w:lvl w:ilvl="4" w:tplc="3B1E5372">
      <w:numFmt w:val="bullet"/>
      <w:lvlText w:val="•"/>
      <w:lvlJc w:val="left"/>
      <w:pPr>
        <w:ind w:left="992" w:hanging="217"/>
      </w:pPr>
      <w:rPr>
        <w:rFonts w:hint="default"/>
        <w:lang w:val="en-GB" w:eastAsia="en-GB" w:bidi="en-GB"/>
      </w:rPr>
    </w:lvl>
    <w:lvl w:ilvl="5" w:tplc="98A20E00">
      <w:numFmt w:val="bullet"/>
      <w:lvlText w:val="•"/>
      <w:lvlJc w:val="left"/>
      <w:pPr>
        <w:ind w:left="1165" w:hanging="217"/>
      </w:pPr>
      <w:rPr>
        <w:rFonts w:hint="default"/>
        <w:lang w:val="en-GB" w:eastAsia="en-GB" w:bidi="en-GB"/>
      </w:rPr>
    </w:lvl>
    <w:lvl w:ilvl="6" w:tplc="972AB4EE">
      <w:numFmt w:val="bullet"/>
      <w:lvlText w:val="•"/>
      <w:lvlJc w:val="left"/>
      <w:pPr>
        <w:ind w:left="1338" w:hanging="217"/>
      </w:pPr>
      <w:rPr>
        <w:rFonts w:hint="default"/>
        <w:lang w:val="en-GB" w:eastAsia="en-GB" w:bidi="en-GB"/>
      </w:rPr>
    </w:lvl>
    <w:lvl w:ilvl="7" w:tplc="B832EE48">
      <w:numFmt w:val="bullet"/>
      <w:lvlText w:val="•"/>
      <w:lvlJc w:val="left"/>
      <w:pPr>
        <w:ind w:left="1511" w:hanging="217"/>
      </w:pPr>
      <w:rPr>
        <w:rFonts w:hint="default"/>
        <w:lang w:val="en-GB" w:eastAsia="en-GB" w:bidi="en-GB"/>
      </w:rPr>
    </w:lvl>
    <w:lvl w:ilvl="8" w:tplc="BF3AAAC2">
      <w:numFmt w:val="bullet"/>
      <w:lvlText w:val="•"/>
      <w:lvlJc w:val="left"/>
      <w:pPr>
        <w:ind w:left="1684" w:hanging="217"/>
      </w:pPr>
      <w:rPr>
        <w:rFonts w:hint="default"/>
        <w:lang w:val="en-GB" w:eastAsia="en-GB" w:bidi="en-GB"/>
      </w:rPr>
    </w:lvl>
  </w:abstractNum>
  <w:abstractNum w:abstractNumId="832" w15:restartNumberingAfterBreak="0">
    <w:nsid w:val="4C6635AF"/>
    <w:multiLevelType w:val="hybridMultilevel"/>
    <w:tmpl w:val="84507C20"/>
    <w:lvl w:ilvl="0" w:tplc="6C14D46C">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C2A266E8">
      <w:numFmt w:val="bullet"/>
      <w:lvlText w:val="•"/>
      <w:lvlJc w:val="left"/>
      <w:pPr>
        <w:ind w:left="892" w:hanging="217"/>
      </w:pPr>
      <w:rPr>
        <w:rFonts w:hint="default"/>
        <w:lang w:val="en-GB" w:eastAsia="en-GB" w:bidi="en-GB"/>
      </w:rPr>
    </w:lvl>
    <w:lvl w:ilvl="2" w:tplc="6F66348C">
      <w:numFmt w:val="bullet"/>
      <w:lvlText w:val="•"/>
      <w:lvlJc w:val="left"/>
      <w:pPr>
        <w:ind w:left="1485" w:hanging="217"/>
      </w:pPr>
      <w:rPr>
        <w:rFonts w:hint="default"/>
        <w:lang w:val="en-GB" w:eastAsia="en-GB" w:bidi="en-GB"/>
      </w:rPr>
    </w:lvl>
    <w:lvl w:ilvl="3" w:tplc="3F2CE8F2">
      <w:numFmt w:val="bullet"/>
      <w:lvlText w:val="•"/>
      <w:lvlJc w:val="left"/>
      <w:pPr>
        <w:ind w:left="2077" w:hanging="217"/>
      </w:pPr>
      <w:rPr>
        <w:rFonts w:hint="default"/>
        <w:lang w:val="en-GB" w:eastAsia="en-GB" w:bidi="en-GB"/>
      </w:rPr>
    </w:lvl>
    <w:lvl w:ilvl="4" w:tplc="42C869F0">
      <w:numFmt w:val="bullet"/>
      <w:lvlText w:val="•"/>
      <w:lvlJc w:val="left"/>
      <w:pPr>
        <w:ind w:left="2670" w:hanging="217"/>
      </w:pPr>
      <w:rPr>
        <w:rFonts w:hint="default"/>
        <w:lang w:val="en-GB" w:eastAsia="en-GB" w:bidi="en-GB"/>
      </w:rPr>
    </w:lvl>
    <w:lvl w:ilvl="5" w:tplc="98A8121C">
      <w:numFmt w:val="bullet"/>
      <w:lvlText w:val="•"/>
      <w:lvlJc w:val="left"/>
      <w:pPr>
        <w:ind w:left="3263" w:hanging="217"/>
      </w:pPr>
      <w:rPr>
        <w:rFonts w:hint="default"/>
        <w:lang w:val="en-GB" w:eastAsia="en-GB" w:bidi="en-GB"/>
      </w:rPr>
    </w:lvl>
    <w:lvl w:ilvl="6" w:tplc="40A4500C">
      <w:numFmt w:val="bullet"/>
      <w:lvlText w:val="•"/>
      <w:lvlJc w:val="left"/>
      <w:pPr>
        <w:ind w:left="3855" w:hanging="217"/>
      </w:pPr>
      <w:rPr>
        <w:rFonts w:hint="default"/>
        <w:lang w:val="en-GB" w:eastAsia="en-GB" w:bidi="en-GB"/>
      </w:rPr>
    </w:lvl>
    <w:lvl w:ilvl="7" w:tplc="34AAD180">
      <w:numFmt w:val="bullet"/>
      <w:lvlText w:val="•"/>
      <w:lvlJc w:val="left"/>
      <w:pPr>
        <w:ind w:left="4448" w:hanging="217"/>
      </w:pPr>
      <w:rPr>
        <w:rFonts w:hint="default"/>
        <w:lang w:val="en-GB" w:eastAsia="en-GB" w:bidi="en-GB"/>
      </w:rPr>
    </w:lvl>
    <w:lvl w:ilvl="8" w:tplc="C05AADBE">
      <w:numFmt w:val="bullet"/>
      <w:lvlText w:val="•"/>
      <w:lvlJc w:val="left"/>
      <w:pPr>
        <w:ind w:left="5040" w:hanging="217"/>
      </w:pPr>
      <w:rPr>
        <w:rFonts w:hint="default"/>
        <w:lang w:val="en-GB" w:eastAsia="en-GB" w:bidi="en-GB"/>
      </w:rPr>
    </w:lvl>
  </w:abstractNum>
  <w:abstractNum w:abstractNumId="833" w15:restartNumberingAfterBreak="0">
    <w:nsid w:val="4C870D6F"/>
    <w:multiLevelType w:val="hybridMultilevel"/>
    <w:tmpl w:val="FF32BD6A"/>
    <w:lvl w:ilvl="0" w:tplc="4718B46C">
      <w:numFmt w:val="bullet"/>
      <w:lvlText w:val="•"/>
      <w:lvlJc w:val="left"/>
      <w:pPr>
        <w:ind w:left="305" w:hanging="217"/>
      </w:pPr>
      <w:rPr>
        <w:rFonts w:ascii="Arial" w:eastAsia="Arial" w:hAnsi="Arial" w:cs="Arial" w:hint="default"/>
        <w:color w:val="231F20"/>
        <w:spacing w:val="-14"/>
        <w:w w:val="100"/>
        <w:sz w:val="18"/>
        <w:szCs w:val="18"/>
        <w:lang w:val="en-GB" w:eastAsia="en-GB" w:bidi="en-GB"/>
      </w:rPr>
    </w:lvl>
    <w:lvl w:ilvl="1" w:tplc="48900E2A">
      <w:numFmt w:val="bullet"/>
      <w:lvlText w:val="•"/>
      <w:lvlJc w:val="left"/>
      <w:pPr>
        <w:ind w:left="892" w:hanging="217"/>
      </w:pPr>
      <w:rPr>
        <w:rFonts w:hint="default"/>
        <w:lang w:val="en-GB" w:eastAsia="en-GB" w:bidi="en-GB"/>
      </w:rPr>
    </w:lvl>
    <w:lvl w:ilvl="2" w:tplc="DCC4030A">
      <w:numFmt w:val="bullet"/>
      <w:lvlText w:val="•"/>
      <w:lvlJc w:val="left"/>
      <w:pPr>
        <w:ind w:left="1485" w:hanging="217"/>
      </w:pPr>
      <w:rPr>
        <w:rFonts w:hint="default"/>
        <w:lang w:val="en-GB" w:eastAsia="en-GB" w:bidi="en-GB"/>
      </w:rPr>
    </w:lvl>
    <w:lvl w:ilvl="3" w:tplc="EF68F1BE">
      <w:numFmt w:val="bullet"/>
      <w:lvlText w:val="•"/>
      <w:lvlJc w:val="left"/>
      <w:pPr>
        <w:ind w:left="2077" w:hanging="217"/>
      </w:pPr>
      <w:rPr>
        <w:rFonts w:hint="default"/>
        <w:lang w:val="en-GB" w:eastAsia="en-GB" w:bidi="en-GB"/>
      </w:rPr>
    </w:lvl>
    <w:lvl w:ilvl="4" w:tplc="C4CC6018">
      <w:numFmt w:val="bullet"/>
      <w:lvlText w:val="•"/>
      <w:lvlJc w:val="left"/>
      <w:pPr>
        <w:ind w:left="2670" w:hanging="217"/>
      </w:pPr>
      <w:rPr>
        <w:rFonts w:hint="default"/>
        <w:lang w:val="en-GB" w:eastAsia="en-GB" w:bidi="en-GB"/>
      </w:rPr>
    </w:lvl>
    <w:lvl w:ilvl="5" w:tplc="12DE2C0A">
      <w:numFmt w:val="bullet"/>
      <w:lvlText w:val="•"/>
      <w:lvlJc w:val="left"/>
      <w:pPr>
        <w:ind w:left="3263" w:hanging="217"/>
      </w:pPr>
      <w:rPr>
        <w:rFonts w:hint="default"/>
        <w:lang w:val="en-GB" w:eastAsia="en-GB" w:bidi="en-GB"/>
      </w:rPr>
    </w:lvl>
    <w:lvl w:ilvl="6" w:tplc="C5861FD8">
      <w:numFmt w:val="bullet"/>
      <w:lvlText w:val="•"/>
      <w:lvlJc w:val="left"/>
      <w:pPr>
        <w:ind w:left="3855" w:hanging="217"/>
      </w:pPr>
      <w:rPr>
        <w:rFonts w:hint="default"/>
        <w:lang w:val="en-GB" w:eastAsia="en-GB" w:bidi="en-GB"/>
      </w:rPr>
    </w:lvl>
    <w:lvl w:ilvl="7" w:tplc="FEBC10C6">
      <w:numFmt w:val="bullet"/>
      <w:lvlText w:val="•"/>
      <w:lvlJc w:val="left"/>
      <w:pPr>
        <w:ind w:left="4448" w:hanging="217"/>
      </w:pPr>
      <w:rPr>
        <w:rFonts w:hint="default"/>
        <w:lang w:val="en-GB" w:eastAsia="en-GB" w:bidi="en-GB"/>
      </w:rPr>
    </w:lvl>
    <w:lvl w:ilvl="8" w:tplc="FCD8B100">
      <w:numFmt w:val="bullet"/>
      <w:lvlText w:val="•"/>
      <w:lvlJc w:val="left"/>
      <w:pPr>
        <w:ind w:left="5040" w:hanging="217"/>
      </w:pPr>
      <w:rPr>
        <w:rFonts w:hint="default"/>
        <w:lang w:val="en-GB" w:eastAsia="en-GB" w:bidi="en-GB"/>
      </w:rPr>
    </w:lvl>
  </w:abstractNum>
  <w:abstractNum w:abstractNumId="834" w15:restartNumberingAfterBreak="0">
    <w:nsid w:val="4C924835"/>
    <w:multiLevelType w:val="hybridMultilevel"/>
    <w:tmpl w:val="9F24A71E"/>
    <w:lvl w:ilvl="0" w:tplc="AE9C1F6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E9863EE">
      <w:numFmt w:val="bullet"/>
      <w:lvlText w:val="•"/>
      <w:lvlJc w:val="left"/>
      <w:pPr>
        <w:ind w:left="467" w:hanging="217"/>
      </w:pPr>
      <w:rPr>
        <w:rFonts w:hint="default"/>
        <w:lang w:val="en-GB" w:eastAsia="en-GB" w:bidi="en-GB"/>
      </w:rPr>
    </w:lvl>
    <w:lvl w:ilvl="2" w:tplc="172C686C">
      <w:numFmt w:val="bullet"/>
      <w:lvlText w:val="•"/>
      <w:lvlJc w:val="left"/>
      <w:pPr>
        <w:ind w:left="634" w:hanging="217"/>
      </w:pPr>
      <w:rPr>
        <w:rFonts w:hint="default"/>
        <w:lang w:val="en-GB" w:eastAsia="en-GB" w:bidi="en-GB"/>
      </w:rPr>
    </w:lvl>
    <w:lvl w:ilvl="3" w:tplc="712ACD1A">
      <w:numFmt w:val="bullet"/>
      <w:lvlText w:val="•"/>
      <w:lvlJc w:val="left"/>
      <w:pPr>
        <w:ind w:left="802" w:hanging="217"/>
      </w:pPr>
      <w:rPr>
        <w:rFonts w:hint="default"/>
        <w:lang w:val="en-GB" w:eastAsia="en-GB" w:bidi="en-GB"/>
      </w:rPr>
    </w:lvl>
    <w:lvl w:ilvl="4" w:tplc="10109192">
      <w:numFmt w:val="bullet"/>
      <w:lvlText w:val="•"/>
      <w:lvlJc w:val="left"/>
      <w:pPr>
        <w:ind w:left="969" w:hanging="217"/>
      </w:pPr>
      <w:rPr>
        <w:rFonts w:hint="default"/>
        <w:lang w:val="en-GB" w:eastAsia="en-GB" w:bidi="en-GB"/>
      </w:rPr>
    </w:lvl>
    <w:lvl w:ilvl="5" w:tplc="1324A1E2">
      <w:numFmt w:val="bullet"/>
      <w:lvlText w:val="•"/>
      <w:lvlJc w:val="left"/>
      <w:pPr>
        <w:ind w:left="1137" w:hanging="217"/>
      </w:pPr>
      <w:rPr>
        <w:rFonts w:hint="default"/>
        <w:lang w:val="en-GB" w:eastAsia="en-GB" w:bidi="en-GB"/>
      </w:rPr>
    </w:lvl>
    <w:lvl w:ilvl="6" w:tplc="C1EAB4E4">
      <w:numFmt w:val="bullet"/>
      <w:lvlText w:val="•"/>
      <w:lvlJc w:val="left"/>
      <w:pPr>
        <w:ind w:left="1304" w:hanging="217"/>
      </w:pPr>
      <w:rPr>
        <w:rFonts w:hint="default"/>
        <w:lang w:val="en-GB" w:eastAsia="en-GB" w:bidi="en-GB"/>
      </w:rPr>
    </w:lvl>
    <w:lvl w:ilvl="7" w:tplc="0EF2B8C4">
      <w:numFmt w:val="bullet"/>
      <w:lvlText w:val="•"/>
      <w:lvlJc w:val="left"/>
      <w:pPr>
        <w:ind w:left="1471" w:hanging="217"/>
      </w:pPr>
      <w:rPr>
        <w:rFonts w:hint="default"/>
        <w:lang w:val="en-GB" w:eastAsia="en-GB" w:bidi="en-GB"/>
      </w:rPr>
    </w:lvl>
    <w:lvl w:ilvl="8" w:tplc="C2F48EF4">
      <w:numFmt w:val="bullet"/>
      <w:lvlText w:val="•"/>
      <w:lvlJc w:val="left"/>
      <w:pPr>
        <w:ind w:left="1639" w:hanging="217"/>
      </w:pPr>
      <w:rPr>
        <w:rFonts w:hint="default"/>
        <w:lang w:val="en-GB" w:eastAsia="en-GB" w:bidi="en-GB"/>
      </w:rPr>
    </w:lvl>
  </w:abstractNum>
  <w:abstractNum w:abstractNumId="835" w15:restartNumberingAfterBreak="0">
    <w:nsid w:val="4C9C503D"/>
    <w:multiLevelType w:val="hybridMultilevel"/>
    <w:tmpl w:val="0652ED34"/>
    <w:lvl w:ilvl="0" w:tplc="6AAE317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7981D56">
      <w:numFmt w:val="bullet"/>
      <w:lvlText w:val="•"/>
      <w:lvlJc w:val="left"/>
      <w:pPr>
        <w:ind w:left="439" w:hanging="217"/>
      </w:pPr>
      <w:rPr>
        <w:rFonts w:hint="default"/>
        <w:lang w:val="en-GB" w:eastAsia="en-GB" w:bidi="en-GB"/>
      </w:rPr>
    </w:lvl>
    <w:lvl w:ilvl="2" w:tplc="BA5CCE3E">
      <w:numFmt w:val="bullet"/>
      <w:lvlText w:val="•"/>
      <w:lvlJc w:val="left"/>
      <w:pPr>
        <w:ind w:left="578" w:hanging="217"/>
      </w:pPr>
      <w:rPr>
        <w:rFonts w:hint="default"/>
        <w:lang w:val="en-GB" w:eastAsia="en-GB" w:bidi="en-GB"/>
      </w:rPr>
    </w:lvl>
    <w:lvl w:ilvl="3" w:tplc="AFCA552C">
      <w:numFmt w:val="bullet"/>
      <w:lvlText w:val="•"/>
      <w:lvlJc w:val="left"/>
      <w:pPr>
        <w:ind w:left="717" w:hanging="217"/>
      </w:pPr>
      <w:rPr>
        <w:rFonts w:hint="default"/>
        <w:lang w:val="en-GB" w:eastAsia="en-GB" w:bidi="en-GB"/>
      </w:rPr>
    </w:lvl>
    <w:lvl w:ilvl="4" w:tplc="DE1EBAD4">
      <w:numFmt w:val="bullet"/>
      <w:lvlText w:val="•"/>
      <w:lvlJc w:val="left"/>
      <w:pPr>
        <w:ind w:left="856" w:hanging="217"/>
      </w:pPr>
      <w:rPr>
        <w:rFonts w:hint="default"/>
        <w:lang w:val="en-GB" w:eastAsia="en-GB" w:bidi="en-GB"/>
      </w:rPr>
    </w:lvl>
    <w:lvl w:ilvl="5" w:tplc="E0C2EF62">
      <w:numFmt w:val="bullet"/>
      <w:lvlText w:val="•"/>
      <w:lvlJc w:val="left"/>
      <w:pPr>
        <w:ind w:left="995" w:hanging="217"/>
      </w:pPr>
      <w:rPr>
        <w:rFonts w:hint="default"/>
        <w:lang w:val="en-GB" w:eastAsia="en-GB" w:bidi="en-GB"/>
      </w:rPr>
    </w:lvl>
    <w:lvl w:ilvl="6" w:tplc="19B0B384">
      <w:numFmt w:val="bullet"/>
      <w:lvlText w:val="•"/>
      <w:lvlJc w:val="left"/>
      <w:pPr>
        <w:ind w:left="1134" w:hanging="217"/>
      </w:pPr>
      <w:rPr>
        <w:rFonts w:hint="default"/>
        <w:lang w:val="en-GB" w:eastAsia="en-GB" w:bidi="en-GB"/>
      </w:rPr>
    </w:lvl>
    <w:lvl w:ilvl="7" w:tplc="71BA4636">
      <w:numFmt w:val="bullet"/>
      <w:lvlText w:val="•"/>
      <w:lvlJc w:val="left"/>
      <w:pPr>
        <w:ind w:left="1273" w:hanging="217"/>
      </w:pPr>
      <w:rPr>
        <w:rFonts w:hint="default"/>
        <w:lang w:val="en-GB" w:eastAsia="en-GB" w:bidi="en-GB"/>
      </w:rPr>
    </w:lvl>
    <w:lvl w:ilvl="8" w:tplc="FC6C5940">
      <w:numFmt w:val="bullet"/>
      <w:lvlText w:val="•"/>
      <w:lvlJc w:val="left"/>
      <w:pPr>
        <w:ind w:left="1412" w:hanging="217"/>
      </w:pPr>
      <w:rPr>
        <w:rFonts w:hint="default"/>
        <w:lang w:val="en-GB" w:eastAsia="en-GB" w:bidi="en-GB"/>
      </w:rPr>
    </w:lvl>
  </w:abstractNum>
  <w:abstractNum w:abstractNumId="836" w15:restartNumberingAfterBreak="0">
    <w:nsid w:val="4CA51548"/>
    <w:multiLevelType w:val="hybridMultilevel"/>
    <w:tmpl w:val="3F82CB52"/>
    <w:lvl w:ilvl="0" w:tplc="C47AF1D6">
      <w:numFmt w:val="bullet"/>
      <w:lvlText w:val="•"/>
      <w:lvlJc w:val="left"/>
      <w:pPr>
        <w:ind w:left="303" w:hanging="217"/>
      </w:pPr>
      <w:rPr>
        <w:rFonts w:ascii="Arial" w:eastAsia="Arial" w:hAnsi="Arial" w:cs="Arial" w:hint="default"/>
        <w:color w:val="231F20"/>
        <w:w w:val="102"/>
        <w:sz w:val="17"/>
        <w:szCs w:val="17"/>
        <w:lang w:val="en-GB" w:eastAsia="en-GB" w:bidi="en-GB"/>
      </w:rPr>
    </w:lvl>
    <w:lvl w:ilvl="1" w:tplc="49406C74">
      <w:numFmt w:val="bullet"/>
      <w:lvlText w:val="•"/>
      <w:lvlJc w:val="left"/>
      <w:pPr>
        <w:ind w:left="439" w:hanging="217"/>
      </w:pPr>
      <w:rPr>
        <w:rFonts w:hint="default"/>
        <w:lang w:val="en-GB" w:eastAsia="en-GB" w:bidi="en-GB"/>
      </w:rPr>
    </w:lvl>
    <w:lvl w:ilvl="2" w:tplc="000288CE">
      <w:numFmt w:val="bullet"/>
      <w:lvlText w:val="•"/>
      <w:lvlJc w:val="left"/>
      <w:pPr>
        <w:ind w:left="578" w:hanging="217"/>
      </w:pPr>
      <w:rPr>
        <w:rFonts w:hint="default"/>
        <w:lang w:val="en-GB" w:eastAsia="en-GB" w:bidi="en-GB"/>
      </w:rPr>
    </w:lvl>
    <w:lvl w:ilvl="3" w:tplc="CF9AD2B8">
      <w:numFmt w:val="bullet"/>
      <w:lvlText w:val="•"/>
      <w:lvlJc w:val="left"/>
      <w:pPr>
        <w:ind w:left="717" w:hanging="217"/>
      </w:pPr>
      <w:rPr>
        <w:rFonts w:hint="default"/>
        <w:lang w:val="en-GB" w:eastAsia="en-GB" w:bidi="en-GB"/>
      </w:rPr>
    </w:lvl>
    <w:lvl w:ilvl="4" w:tplc="7B24B3FC">
      <w:numFmt w:val="bullet"/>
      <w:lvlText w:val="•"/>
      <w:lvlJc w:val="left"/>
      <w:pPr>
        <w:ind w:left="856" w:hanging="217"/>
      </w:pPr>
      <w:rPr>
        <w:rFonts w:hint="default"/>
        <w:lang w:val="en-GB" w:eastAsia="en-GB" w:bidi="en-GB"/>
      </w:rPr>
    </w:lvl>
    <w:lvl w:ilvl="5" w:tplc="57942F06">
      <w:numFmt w:val="bullet"/>
      <w:lvlText w:val="•"/>
      <w:lvlJc w:val="left"/>
      <w:pPr>
        <w:ind w:left="995" w:hanging="217"/>
      </w:pPr>
      <w:rPr>
        <w:rFonts w:hint="default"/>
        <w:lang w:val="en-GB" w:eastAsia="en-GB" w:bidi="en-GB"/>
      </w:rPr>
    </w:lvl>
    <w:lvl w:ilvl="6" w:tplc="5F944FAC">
      <w:numFmt w:val="bullet"/>
      <w:lvlText w:val="•"/>
      <w:lvlJc w:val="left"/>
      <w:pPr>
        <w:ind w:left="1134" w:hanging="217"/>
      </w:pPr>
      <w:rPr>
        <w:rFonts w:hint="default"/>
        <w:lang w:val="en-GB" w:eastAsia="en-GB" w:bidi="en-GB"/>
      </w:rPr>
    </w:lvl>
    <w:lvl w:ilvl="7" w:tplc="07F839A2">
      <w:numFmt w:val="bullet"/>
      <w:lvlText w:val="•"/>
      <w:lvlJc w:val="left"/>
      <w:pPr>
        <w:ind w:left="1273" w:hanging="217"/>
      </w:pPr>
      <w:rPr>
        <w:rFonts w:hint="default"/>
        <w:lang w:val="en-GB" w:eastAsia="en-GB" w:bidi="en-GB"/>
      </w:rPr>
    </w:lvl>
    <w:lvl w:ilvl="8" w:tplc="51A83274">
      <w:numFmt w:val="bullet"/>
      <w:lvlText w:val="•"/>
      <w:lvlJc w:val="left"/>
      <w:pPr>
        <w:ind w:left="1412" w:hanging="217"/>
      </w:pPr>
      <w:rPr>
        <w:rFonts w:hint="default"/>
        <w:lang w:val="en-GB" w:eastAsia="en-GB" w:bidi="en-GB"/>
      </w:rPr>
    </w:lvl>
  </w:abstractNum>
  <w:abstractNum w:abstractNumId="837" w15:restartNumberingAfterBreak="0">
    <w:nsid w:val="4CCE440F"/>
    <w:multiLevelType w:val="hybridMultilevel"/>
    <w:tmpl w:val="4BD480AC"/>
    <w:lvl w:ilvl="0" w:tplc="D58C06C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5ACBA70">
      <w:numFmt w:val="bullet"/>
      <w:lvlText w:val="•"/>
      <w:lvlJc w:val="left"/>
      <w:pPr>
        <w:ind w:left="892" w:hanging="217"/>
      </w:pPr>
      <w:rPr>
        <w:rFonts w:hint="default"/>
        <w:lang w:val="en-GB" w:eastAsia="en-GB" w:bidi="en-GB"/>
      </w:rPr>
    </w:lvl>
    <w:lvl w:ilvl="2" w:tplc="F418E9BC">
      <w:numFmt w:val="bullet"/>
      <w:lvlText w:val="•"/>
      <w:lvlJc w:val="left"/>
      <w:pPr>
        <w:ind w:left="1485" w:hanging="217"/>
      </w:pPr>
      <w:rPr>
        <w:rFonts w:hint="default"/>
        <w:lang w:val="en-GB" w:eastAsia="en-GB" w:bidi="en-GB"/>
      </w:rPr>
    </w:lvl>
    <w:lvl w:ilvl="3" w:tplc="6BFE79D2">
      <w:numFmt w:val="bullet"/>
      <w:lvlText w:val="•"/>
      <w:lvlJc w:val="left"/>
      <w:pPr>
        <w:ind w:left="2077" w:hanging="217"/>
      </w:pPr>
      <w:rPr>
        <w:rFonts w:hint="default"/>
        <w:lang w:val="en-GB" w:eastAsia="en-GB" w:bidi="en-GB"/>
      </w:rPr>
    </w:lvl>
    <w:lvl w:ilvl="4" w:tplc="E096800C">
      <w:numFmt w:val="bullet"/>
      <w:lvlText w:val="•"/>
      <w:lvlJc w:val="left"/>
      <w:pPr>
        <w:ind w:left="2670" w:hanging="217"/>
      </w:pPr>
      <w:rPr>
        <w:rFonts w:hint="default"/>
        <w:lang w:val="en-GB" w:eastAsia="en-GB" w:bidi="en-GB"/>
      </w:rPr>
    </w:lvl>
    <w:lvl w:ilvl="5" w:tplc="A988443C">
      <w:numFmt w:val="bullet"/>
      <w:lvlText w:val="•"/>
      <w:lvlJc w:val="left"/>
      <w:pPr>
        <w:ind w:left="3263" w:hanging="217"/>
      </w:pPr>
      <w:rPr>
        <w:rFonts w:hint="default"/>
        <w:lang w:val="en-GB" w:eastAsia="en-GB" w:bidi="en-GB"/>
      </w:rPr>
    </w:lvl>
    <w:lvl w:ilvl="6" w:tplc="38324B0E">
      <w:numFmt w:val="bullet"/>
      <w:lvlText w:val="•"/>
      <w:lvlJc w:val="left"/>
      <w:pPr>
        <w:ind w:left="3855" w:hanging="217"/>
      </w:pPr>
      <w:rPr>
        <w:rFonts w:hint="default"/>
        <w:lang w:val="en-GB" w:eastAsia="en-GB" w:bidi="en-GB"/>
      </w:rPr>
    </w:lvl>
    <w:lvl w:ilvl="7" w:tplc="D4CC31DC">
      <w:numFmt w:val="bullet"/>
      <w:lvlText w:val="•"/>
      <w:lvlJc w:val="left"/>
      <w:pPr>
        <w:ind w:left="4448" w:hanging="217"/>
      </w:pPr>
      <w:rPr>
        <w:rFonts w:hint="default"/>
        <w:lang w:val="en-GB" w:eastAsia="en-GB" w:bidi="en-GB"/>
      </w:rPr>
    </w:lvl>
    <w:lvl w:ilvl="8" w:tplc="4A14538A">
      <w:numFmt w:val="bullet"/>
      <w:lvlText w:val="•"/>
      <w:lvlJc w:val="left"/>
      <w:pPr>
        <w:ind w:left="5040" w:hanging="217"/>
      </w:pPr>
      <w:rPr>
        <w:rFonts w:hint="default"/>
        <w:lang w:val="en-GB" w:eastAsia="en-GB" w:bidi="en-GB"/>
      </w:rPr>
    </w:lvl>
  </w:abstractNum>
  <w:abstractNum w:abstractNumId="838" w15:restartNumberingAfterBreak="0">
    <w:nsid w:val="4CEE0DAD"/>
    <w:multiLevelType w:val="hybridMultilevel"/>
    <w:tmpl w:val="AE4C4D0A"/>
    <w:lvl w:ilvl="0" w:tplc="EA1E3C1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D705118">
      <w:numFmt w:val="bullet"/>
      <w:lvlText w:val="•"/>
      <w:lvlJc w:val="left"/>
      <w:pPr>
        <w:ind w:left="473" w:hanging="217"/>
      </w:pPr>
      <w:rPr>
        <w:rFonts w:hint="default"/>
        <w:lang w:val="en-GB" w:eastAsia="en-GB" w:bidi="en-GB"/>
      </w:rPr>
    </w:lvl>
    <w:lvl w:ilvl="2" w:tplc="6F72D60E">
      <w:numFmt w:val="bullet"/>
      <w:lvlText w:val="•"/>
      <w:lvlJc w:val="left"/>
      <w:pPr>
        <w:ind w:left="646" w:hanging="217"/>
      </w:pPr>
      <w:rPr>
        <w:rFonts w:hint="default"/>
        <w:lang w:val="en-GB" w:eastAsia="en-GB" w:bidi="en-GB"/>
      </w:rPr>
    </w:lvl>
    <w:lvl w:ilvl="3" w:tplc="6C08052C">
      <w:numFmt w:val="bullet"/>
      <w:lvlText w:val="•"/>
      <w:lvlJc w:val="left"/>
      <w:pPr>
        <w:ind w:left="819" w:hanging="217"/>
      </w:pPr>
      <w:rPr>
        <w:rFonts w:hint="default"/>
        <w:lang w:val="en-GB" w:eastAsia="en-GB" w:bidi="en-GB"/>
      </w:rPr>
    </w:lvl>
    <w:lvl w:ilvl="4" w:tplc="E1923B00">
      <w:numFmt w:val="bullet"/>
      <w:lvlText w:val="•"/>
      <w:lvlJc w:val="left"/>
      <w:pPr>
        <w:ind w:left="992" w:hanging="217"/>
      </w:pPr>
      <w:rPr>
        <w:rFonts w:hint="default"/>
        <w:lang w:val="en-GB" w:eastAsia="en-GB" w:bidi="en-GB"/>
      </w:rPr>
    </w:lvl>
    <w:lvl w:ilvl="5" w:tplc="01741588">
      <w:numFmt w:val="bullet"/>
      <w:lvlText w:val="•"/>
      <w:lvlJc w:val="left"/>
      <w:pPr>
        <w:ind w:left="1165" w:hanging="217"/>
      </w:pPr>
      <w:rPr>
        <w:rFonts w:hint="default"/>
        <w:lang w:val="en-GB" w:eastAsia="en-GB" w:bidi="en-GB"/>
      </w:rPr>
    </w:lvl>
    <w:lvl w:ilvl="6" w:tplc="56E02D10">
      <w:numFmt w:val="bullet"/>
      <w:lvlText w:val="•"/>
      <w:lvlJc w:val="left"/>
      <w:pPr>
        <w:ind w:left="1338" w:hanging="217"/>
      </w:pPr>
      <w:rPr>
        <w:rFonts w:hint="default"/>
        <w:lang w:val="en-GB" w:eastAsia="en-GB" w:bidi="en-GB"/>
      </w:rPr>
    </w:lvl>
    <w:lvl w:ilvl="7" w:tplc="47444B16">
      <w:numFmt w:val="bullet"/>
      <w:lvlText w:val="•"/>
      <w:lvlJc w:val="left"/>
      <w:pPr>
        <w:ind w:left="1511" w:hanging="217"/>
      </w:pPr>
      <w:rPr>
        <w:rFonts w:hint="default"/>
        <w:lang w:val="en-GB" w:eastAsia="en-GB" w:bidi="en-GB"/>
      </w:rPr>
    </w:lvl>
    <w:lvl w:ilvl="8" w:tplc="DF02D6E0">
      <w:numFmt w:val="bullet"/>
      <w:lvlText w:val="•"/>
      <w:lvlJc w:val="left"/>
      <w:pPr>
        <w:ind w:left="1684" w:hanging="217"/>
      </w:pPr>
      <w:rPr>
        <w:rFonts w:hint="default"/>
        <w:lang w:val="en-GB" w:eastAsia="en-GB" w:bidi="en-GB"/>
      </w:rPr>
    </w:lvl>
  </w:abstractNum>
  <w:abstractNum w:abstractNumId="839" w15:restartNumberingAfterBreak="0">
    <w:nsid w:val="4D0338D3"/>
    <w:multiLevelType w:val="hybridMultilevel"/>
    <w:tmpl w:val="8D244B12"/>
    <w:lvl w:ilvl="0" w:tplc="83224DA0">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63C855A2">
      <w:numFmt w:val="bullet"/>
      <w:lvlText w:val="•"/>
      <w:lvlJc w:val="left"/>
      <w:pPr>
        <w:ind w:left="541" w:hanging="217"/>
      </w:pPr>
      <w:rPr>
        <w:rFonts w:hint="default"/>
        <w:lang w:val="en-GB" w:eastAsia="en-GB" w:bidi="en-GB"/>
      </w:rPr>
    </w:lvl>
    <w:lvl w:ilvl="2" w:tplc="8A22CE04">
      <w:numFmt w:val="bullet"/>
      <w:lvlText w:val="•"/>
      <w:lvlJc w:val="left"/>
      <w:pPr>
        <w:ind w:left="782" w:hanging="217"/>
      </w:pPr>
      <w:rPr>
        <w:rFonts w:hint="default"/>
        <w:lang w:val="en-GB" w:eastAsia="en-GB" w:bidi="en-GB"/>
      </w:rPr>
    </w:lvl>
    <w:lvl w:ilvl="3" w:tplc="FC34F7E8">
      <w:numFmt w:val="bullet"/>
      <w:lvlText w:val="•"/>
      <w:lvlJc w:val="left"/>
      <w:pPr>
        <w:ind w:left="1023" w:hanging="217"/>
      </w:pPr>
      <w:rPr>
        <w:rFonts w:hint="default"/>
        <w:lang w:val="en-GB" w:eastAsia="en-GB" w:bidi="en-GB"/>
      </w:rPr>
    </w:lvl>
    <w:lvl w:ilvl="4" w:tplc="075EFF5C">
      <w:numFmt w:val="bullet"/>
      <w:lvlText w:val="•"/>
      <w:lvlJc w:val="left"/>
      <w:pPr>
        <w:ind w:left="1264" w:hanging="217"/>
      </w:pPr>
      <w:rPr>
        <w:rFonts w:hint="default"/>
        <w:lang w:val="en-GB" w:eastAsia="en-GB" w:bidi="en-GB"/>
      </w:rPr>
    </w:lvl>
    <w:lvl w:ilvl="5" w:tplc="1E7E2928">
      <w:numFmt w:val="bullet"/>
      <w:lvlText w:val="•"/>
      <w:lvlJc w:val="left"/>
      <w:pPr>
        <w:ind w:left="1505" w:hanging="217"/>
      </w:pPr>
      <w:rPr>
        <w:rFonts w:hint="default"/>
        <w:lang w:val="en-GB" w:eastAsia="en-GB" w:bidi="en-GB"/>
      </w:rPr>
    </w:lvl>
    <w:lvl w:ilvl="6" w:tplc="26C25438">
      <w:numFmt w:val="bullet"/>
      <w:lvlText w:val="•"/>
      <w:lvlJc w:val="left"/>
      <w:pPr>
        <w:ind w:left="1746" w:hanging="217"/>
      </w:pPr>
      <w:rPr>
        <w:rFonts w:hint="default"/>
        <w:lang w:val="en-GB" w:eastAsia="en-GB" w:bidi="en-GB"/>
      </w:rPr>
    </w:lvl>
    <w:lvl w:ilvl="7" w:tplc="528ADB54">
      <w:numFmt w:val="bullet"/>
      <w:lvlText w:val="•"/>
      <w:lvlJc w:val="left"/>
      <w:pPr>
        <w:ind w:left="1987" w:hanging="217"/>
      </w:pPr>
      <w:rPr>
        <w:rFonts w:hint="default"/>
        <w:lang w:val="en-GB" w:eastAsia="en-GB" w:bidi="en-GB"/>
      </w:rPr>
    </w:lvl>
    <w:lvl w:ilvl="8" w:tplc="D17E7930">
      <w:numFmt w:val="bullet"/>
      <w:lvlText w:val="•"/>
      <w:lvlJc w:val="left"/>
      <w:pPr>
        <w:ind w:left="2228" w:hanging="217"/>
      </w:pPr>
      <w:rPr>
        <w:rFonts w:hint="default"/>
        <w:lang w:val="en-GB" w:eastAsia="en-GB" w:bidi="en-GB"/>
      </w:rPr>
    </w:lvl>
  </w:abstractNum>
  <w:abstractNum w:abstractNumId="840" w15:restartNumberingAfterBreak="0">
    <w:nsid w:val="4D213078"/>
    <w:multiLevelType w:val="hybridMultilevel"/>
    <w:tmpl w:val="31084CD8"/>
    <w:lvl w:ilvl="0" w:tplc="5A6C445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522CDBD0">
      <w:numFmt w:val="bullet"/>
      <w:lvlText w:val="•"/>
      <w:lvlJc w:val="left"/>
      <w:pPr>
        <w:ind w:left="541" w:hanging="217"/>
      </w:pPr>
      <w:rPr>
        <w:rFonts w:hint="default"/>
        <w:lang w:val="en-GB" w:eastAsia="en-GB" w:bidi="en-GB"/>
      </w:rPr>
    </w:lvl>
    <w:lvl w:ilvl="2" w:tplc="71589E64">
      <w:numFmt w:val="bullet"/>
      <w:lvlText w:val="•"/>
      <w:lvlJc w:val="left"/>
      <w:pPr>
        <w:ind w:left="782" w:hanging="217"/>
      </w:pPr>
      <w:rPr>
        <w:rFonts w:hint="default"/>
        <w:lang w:val="en-GB" w:eastAsia="en-GB" w:bidi="en-GB"/>
      </w:rPr>
    </w:lvl>
    <w:lvl w:ilvl="3" w:tplc="DD16385C">
      <w:numFmt w:val="bullet"/>
      <w:lvlText w:val="•"/>
      <w:lvlJc w:val="left"/>
      <w:pPr>
        <w:ind w:left="1023" w:hanging="217"/>
      </w:pPr>
      <w:rPr>
        <w:rFonts w:hint="default"/>
        <w:lang w:val="en-GB" w:eastAsia="en-GB" w:bidi="en-GB"/>
      </w:rPr>
    </w:lvl>
    <w:lvl w:ilvl="4" w:tplc="8FC054B6">
      <w:numFmt w:val="bullet"/>
      <w:lvlText w:val="•"/>
      <w:lvlJc w:val="left"/>
      <w:pPr>
        <w:ind w:left="1264" w:hanging="217"/>
      </w:pPr>
      <w:rPr>
        <w:rFonts w:hint="default"/>
        <w:lang w:val="en-GB" w:eastAsia="en-GB" w:bidi="en-GB"/>
      </w:rPr>
    </w:lvl>
    <w:lvl w:ilvl="5" w:tplc="2CF40BF8">
      <w:numFmt w:val="bullet"/>
      <w:lvlText w:val="•"/>
      <w:lvlJc w:val="left"/>
      <w:pPr>
        <w:ind w:left="1505" w:hanging="217"/>
      </w:pPr>
      <w:rPr>
        <w:rFonts w:hint="default"/>
        <w:lang w:val="en-GB" w:eastAsia="en-GB" w:bidi="en-GB"/>
      </w:rPr>
    </w:lvl>
    <w:lvl w:ilvl="6" w:tplc="A57E4E18">
      <w:numFmt w:val="bullet"/>
      <w:lvlText w:val="•"/>
      <w:lvlJc w:val="left"/>
      <w:pPr>
        <w:ind w:left="1746" w:hanging="217"/>
      </w:pPr>
      <w:rPr>
        <w:rFonts w:hint="default"/>
        <w:lang w:val="en-GB" w:eastAsia="en-GB" w:bidi="en-GB"/>
      </w:rPr>
    </w:lvl>
    <w:lvl w:ilvl="7" w:tplc="88886CEC">
      <w:numFmt w:val="bullet"/>
      <w:lvlText w:val="•"/>
      <w:lvlJc w:val="left"/>
      <w:pPr>
        <w:ind w:left="1987" w:hanging="217"/>
      </w:pPr>
      <w:rPr>
        <w:rFonts w:hint="default"/>
        <w:lang w:val="en-GB" w:eastAsia="en-GB" w:bidi="en-GB"/>
      </w:rPr>
    </w:lvl>
    <w:lvl w:ilvl="8" w:tplc="0B2873FE">
      <w:numFmt w:val="bullet"/>
      <w:lvlText w:val="•"/>
      <w:lvlJc w:val="left"/>
      <w:pPr>
        <w:ind w:left="2228" w:hanging="217"/>
      </w:pPr>
      <w:rPr>
        <w:rFonts w:hint="default"/>
        <w:lang w:val="en-GB" w:eastAsia="en-GB" w:bidi="en-GB"/>
      </w:rPr>
    </w:lvl>
  </w:abstractNum>
  <w:abstractNum w:abstractNumId="841" w15:restartNumberingAfterBreak="0">
    <w:nsid w:val="4D306E12"/>
    <w:multiLevelType w:val="hybridMultilevel"/>
    <w:tmpl w:val="FAE2479A"/>
    <w:lvl w:ilvl="0" w:tplc="6FAEDCC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21002A0">
      <w:numFmt w:val="bullet"/>
      <w:lvlText w:val="•"/>
      <w:lvlJc w:val="left"/>
      <w:pPr>
        <w:ind w:left="439" w:hanging="217"/>
      </w:pPr>
      <w:rPr>
        <w:rFonts w:hint="default"/>
        <w:lang w:val="en-GB" w:eastAsia="en-GB" w:bidi="en-GB"/>
      </w:rPr>
    </w:lvl>
    <w:lvl w:ilvl="2" w:tplc="1F126272">
      <w:numFmt w:val="bullet"/>
      <w:lvlText w:val="•"/>
      <w:lvlJc w:val="left"/>
      <w:pPr>
        <w:ind w:left="578" w:hanging="217"/>
      </w:pPr>
      <w:rPr>
        <w:rFonts w:hint="default"/>
        <w:lang w:val="en-GB" w:eastAsia="en-GB" w:bidi="en-GB"/>
      </w:rPr>
    </w:lvl>
    <w:lvl w:ilvl="3" w:tplc="4ED01256">
      <w:numFmt w:val="bullet"/>
      <w:lvlText w:val="•"/>
      <w:lvlJc w:val="left"/>
      <w:pPr>
        <w:ind w:left="717" w:hanging="217"/>
      </w:pPr>
      <w:rPr>
        <w:rFonts w:hint="default"/>
        <w:lang w:val="en-GB" w:eastAsia="en-GB" w:bidi="en-GB"/>
      </w:rPr>
    </w:lvl>
    <w:lvl w:ilvl="4" w:tplc="BA083590">
      <w:numFmt w:val="bullet"/>
      <w:lvlText w:val="•"/>
      <w:lvlJc w:val="left"/>
      <w:pPr>
        <w:ind w:left="856" w:hanging="217"/>
      </w:pPr>
      <w:rPr>
        <w:rFonts w:hint="default"/>
        <w:lang w:val="en-GB" w:eastAsia="en-GB" w:bidi="en-GB"/>
      </w:rPr>
    </w:lvl>
    <w:lvl w:ilvl="5" w:tplc="53BCACF8">
      <w:numFmt w:val="bullet"/>
      <w:lvlText w:val="•"/>
      <w:lvlJc w:val="left"/>
      <w:pPr>
        <w:ind w:left="995" w:hanging="217"/>
      </w:pPr>
      <w:rPr>
        <w:rFonts w:hint="default"/>
        <w:lang w:val="en-GB" w:eastAsia="en-GB" w:bidi="en-GB"/>
      </w:rPr>
    </w:lvl>
    <w:lvl w:ilvl="6" w:tplc="212A9990">
      <w:numFmt w:val="bullet"/>
      <w:lvlText w:val="•"/>
      <w:lvlJc w:val="left"/>
      <w:pPr>
        <w:ind w:left="1134" w:hanging="217"/>
      </w:pPr>
      <w:rPr>
        <w:rFonts w:hint="default"/>
        <w:lang w:val="en-GB" w:eastAsia="en-GB" w:bidi="en-GB"/>
      </w:rPr>
    </w:lvl>
    <w:lvl w:ilvl="7" w:tplc="C250F7C0">
      <w:numFmt w:val="bullet"/>
      <w:lvlText w:val="•"/>
      <w:lvlJc w:val="left"/>
      <w:pPr>
        <w:ind w:left="1273" w:hanging="217"/>
      </w:pPr>
      <w:rPr>
        <w:rFonts w:hint="default"/>
        <w:lang w:val="en-GB" w:eastAsia="en-GB" w:bidi="en-GB"/>
      </w:rPr>
    </w:lvl>
    <w:lvl w:ilvl="8" w:tplc="3822E9C0">
      <w:numFmt w:val="bullet"/>
      <w:lvlText w:val="•"/>
      <w:lvlJc w:val="left"/>
      <w:pPr>
        <w:ind w:left="1412" w:hanging="217"/>
      </w:pPr>
      <w:rPr>
        <w:rFonts w:hint="default"/>
        <w:lang w:val="en-GB" w:eastAsia="en-GB" w:bidi="en-GB"/>
      </w:rPr>
    </w:lvl>
  </w:abstractNum>
  <w:abstractNum w:abstractNumId="842" w15:restartNumberingAfterBreak="0">
    <w:nsid w:val="4D46452B"/>
    <w:multiLevelType w:val="hybridMultilevel"/>
    <w:tmpl w:val="9632717A"/>
    <w:lvl w:ilvl="0" w:tplc="F2509B5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E17AA924">
      <w:numFmt w:val="bullet"/>
      <w:lvlText w:val="•"/>
      <w:lvlJc w:val="left"/>
      <w:pPr>
        <w:ind w:left="892" w:hanging="217"/>
      </w:pPr>
      <w:rPr>
        <w:rFonts w:hint="default"/>
        <w:lang w:val="en-GB" w:eastAsia="en-GB" w:bidi="en-GB"/>
      </w:rPr>
    </w:lvl>
    <w:lvl w:ilvl="2" w:tplc="5A24B3B4">
      <w:numFmt w:val="bullet"/>
      <w:lvlText w:val="•"/>
      <w:lvlJc w:val="left"/>
      <w:pPr>
        <w:ind w:left="1485" w:hanging="217"/>
      </w:pPr>
      <w:rPr>
        <w:rFonts w:hint="default"/>
        <w:lang w:val="en-GB" w:eastAsia="en-GB" w:bidi="en-GB"/>
      </w:rPr>
    </w:lvl>
    <w:lvl w:ilvl="3" w:tplc="80F0ECB2">
      <w:numFmt w:val="bullet"/>
      <w:lvlText w:val="•"/>
      <w:lvlJc w:val="left"/>
      <w:pPr>
        <w:ind w:left="2077" w:hanging="217"/>
      </w:pPr>
      <w:rPr>
        <w:rFonts w:hint="default"/>
        <w:lang w:val="en-GB" w:eastAsia="en-GB" w:bidi="en-GB"/>
      </w:rPr>
    </w:lvl>
    <w:lvl w:ilvl="4" w:tplc="0C3E1D9C">
      <w:numFmt w:val="bullet"/>
      <w:lvlText w:val="•"/>
      <w:lvlJc w:val="left"/>
      <w:pPr>
        <w:ind w:left="2670" w:hanging="217"/>
      </w:pPr>
      <w:rPr>
        <w:rFonts w:hint="default"/>
        <w:lang w:val="en-GB" w:eastAsia="en-GB" w:bidi="en-GB"/>
      </w:rPr>
    </w:lvl>
    <w:lvl w:ilvl="5" w:tplc="5B86A1DE">
      <w:numFmt w:val="bullet"/>
      <w:lvlText w:val="•"/>
      <w:lvlJc w:val="left"/>
      <w:pPr>
        <w:ind w:left="3263" w:hanging="217"/>
      </w:pPr>
      <w:rPr>
        <w:rFonts w:hint="default"/>
        <w:lang w:val="en-GB" w:eastAsia="en-GB" w:bidi="en-GB"/>
      </w:rPr>
    </w:lvl>
    <w:lvl w:ilvl="6" w:tplc="2DC2E5C8">
      <w:numFmt w:val="bullet"/>
      <w:lvlText w:val="•"/>
      <w:lvlJc w:val="left"/>
      <w:pPr>
        <w:ind w:left="3855" w:hanging="217"/>
      </w:pPr>
      <w:rPr>
        <w:rFonts w:hint="default"/>
        <w:lang w:val="en-GB" w:eastAsia="en-GB" w:bidi="en-GB"/>
      </w:rPr>
    </w:lvl>
    <w:lvl w:ilvl="7" w:tplc="B7D05E88">
      <w:numFmt w:val="bullet"/>
      <w:lvlText w:val="•"/>
      <w:lvlJc w:val="left"/>
      <w:pPr>
        <w:ind w:left="4448" w:hanging="217"/>
      </w:pPr>
      <w:rPr>
        <w:rFonts w:hint="default"/>
        <w:lang w:val="en-GB" w:eastAsia="en-GB" w:bidi="en-GB"/>
      </w:rPr>
    </w:lvl>
    <w:lvl w:ilvl="8" w:tplc="ED5A5724">
      <w:numFmt w:val="bullet"/>
      <w:lvlText w:val="•"/>
      <w:lvlJc w:val="left"/>
      <w:pPr>
        <w:ind w:left="5040" w:hanging="217"/>
      </w:pPr>
      <w:rPr>
        <w:rFonts w:hint="default"/>
        <w:lang w:val="en-GB" w:eastAsia="en-GB" w:bidi="en-GB"/>
      </w:rPr>
    </w:lvl>
  </w:abstractNum>
  <w:abstractNum w:abstractNumId="843" w15:restartNumberingAfterBreak="0">
    <w:nsid w:val="4D4B70E3"/>
    <w:multiLevelType w:val="hybridMultilevel"/>
    <w:tmpl w:val="226AA51A"/>
    <w:lvl w:ilvl="0" w:tplc="3F7C033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46E5E0A">
      <w:numFmt w:val="bullet"/>
      <w:lvlText w:val="•"/>
      <w:lvlJc w:val="left"/>
      <w:pPr>
        <w:ind w:left="892" w:hanging="217"/>
      </w:pPr>
      <w:rPr>
        <w:rFonts w:hint="default"/>
        <w:lang w:val="en-GB" w:eastAsia="en-GB" w:bidi="en-GB"/>
      </w:rPr>
    </w:lvl>
    <w:lvl w:ilvl="2" w:tplc="FEB27654">
      <w:numFmt w:val="bullet"/>
      <w:lvlText w:val="•"/>
      <w:lvlJc w:val="left"/>
      <w:pPr>
        <w:ind w:left="1485" w:hanging="217"/>
      </w:pPr>
      <w:rPr>
        <w:rFonts w:hint="default"/>
        <w:lang w:val="en-GB" w:eastAsia="en-GB" w:bidi="en-GB"/>
      </w:rPr>
    </w:lvl>
    <w:lvl w:ilvl="3" w:tplc="E724CEA8">
      <w:numFmt w:val="bullet"/>
      <w:lvlText w:val="•"/>
      <w:lvlJc w:val="left"/>
      <w:pPr>
        <w:ind w:left="2077" w:hanging="217"/>
      </w:pPr>
      <w:rPr>
        <w:rFonts w:hint="default"/>
        <w:lang w:val="en-GB" w:eastAsia="en-GB" w:bidi="en-GB"/>
      </w:rPr>
    </w:lvl>
    <w:lvl w:ilvl="4" w:tplc="94F02072">
      <w:numFmt w:val="bullet"/>
      <w:lvlText w:val="•"/>
      <w:lvlJc w:val="left"/>
      <w:pPr>
        <w:ind w:left="2670" w:hanging="217"/>
      </w:pPr>
      <w:rPr>
        <w:rFonts w:hint="default"/>
        <w:lang w:val="en-GB" w:eastAsia="en-GB" w:bidi="en-GB"/>
      </w:rPr>
    </w:lvl>
    <w:lvl w:ilvl="5" w:tplc="08C00818">
      <w:numFmt w:val="bullet"/>
      <w:lvlText w:val="•"/>
      <w:lvlJc w:val="left"/>
      <w:pPr>
        <w:ind w:left="3263" w:hanging="217"/>
      </w:pPr>
      <w:rPr>
        <w:rFonts w:hint="default"/>
        <w:lang w:val="en-GB" w:eastAsia="en-GB" w:bidi="en-GB"/>
      </w:rPr>
    </w:lvl>
    <w:lvl w:ilvl="6" w:tplc="F9CA6A62">
      <w:numFmt w:val="bullet"/>
      <w:lvlText w:val="•"/>
      <w:lvlJc w:val="left"/>
      <w:pPr>
        <w:ind w:left="3855" w:hanging="217"/>
      </w:pPr>
      <w:rPr>
        <w:rFonts w:hint="default"/>
        <w:lang w:val="en-GB" w:eastAsia="en-GB" w:bidi="en-GB"/>
      </w:rPr>
    </w:lvl>
    <w:lvl w:ilvl="7" w:tplc="BF1050DE">
      <w:numFmt w:val="bullet"/>
      <w:lvlText w:val="•"/>
      <w:lvlJc w:val="left"/>
      <w:pPr>
        <w:ind w:left="4448" w:hanging="217"/>
      </w:pPr>
      <w:rPr>
        <w:rFonts w:hint="default"/>
        <w:lang w:val="en-GB" w:eastAsia="en-GB" w:bidi="en-GB"/>
      </w:rPr>
    </w:lvl>
    <w:lvl w:ilvl="8" w:tplc="BFA6E180">
      <w:numFmt w:val="bullet"/>
      <w:lvlText w:val="•"/>
      <w:lvlJc w:val="left"/>
      <w:pPr>
        <w:ind w:left="5040" w:hanging="217"/>
      </w:pPr>
      <w:rPr>
        <w:rFonts w:hint="default"/>
        <w:lang w:val="en-GB" w:eastAsia="en-GB" w:bidi="en-GB"/>
      </w:rPr>
    </w:lvl>
  </w:abstractNum>
  <w:abstractNum w:abstractNumId="844" w15:restartNumberingAfterBreak="0">
    <w:nsid w:val="4D55733C"/>
    <w:multiLevelType w:val="hybridMultilevel"/>
    <w:tmpl w:val="2E084A58"/>
    <w:lvl w:ilvl="0" w:tplc="7A6C0E56">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7B5CE5AC">
      <w:numFmt w:val="bullet"/>
      <w:lvlText w:val="•"/>
      <w:lvlJc w:val="left"/>
      <w:pPr>
        <w:ind w:left="893" w:hanging="217"/>
      </w:pPr>
      <w:rPr>
        <w:rFonts w:hint="default"/>
        <w:lang w:val="en-GB" w:eastAsia="en-GB" w:bidi="en-GB"/>
      </w:rPr>
    </w:lvl>
    <w:lvl w:ilvl="2" w:tplc="A5788B6A">
      <w:numFmt w:val="bullet"/>
      <w:lvlText w:val="•"/>
      <w:lvlJc w:val="left"/>
      <w:pPr>
        <w:ind w:left="1486" w:hanging="217"/>
      </w:pPr>
      <w:rPr>
        <w:rFonts w:hint="default"/>
        <w:lang w:val="en-GB" w:eastAsia="en-GB" w:bidi="en-GB"/>
      </w:rPr>
    </w:lvl>
    <w:lvl w:ilvl="3" w:tplc="CFEACEE0">
      <w:numFmt w:val="bullet"/>
      <w:lvlText w:val="•"/>
      <w:lvlJc w:val="left"/>
      <w:pPr>
        <w:ind w:left="2079" w:hanging="217"/>
      </w:pPr>
      <w:rPr>
        <w:rFonts w:hint="default"/>
        <w:lang w:val="en-GB" w:eastAsia="en-GB" w:bidi="en-GB"/>
      </w:rPr>
    </w:lvl>
    <w:lvl w:ilvl="4" w:tplc="F0883662">
      <w:numFmt w:val="bullet"/>
      <w:lvlText w:val="•"/>
      <w:lvlJc w:val="left"/>
      <w:pPr>
        <w:ind w:left="2672" w:hanging="217"/>
      </w:pPr>
      <w:rPr>
        <w:rFonts w:hint="default"/>
        <w:lang w:val="en-GB" w:eastAsia="en-GB" w:bidi="en-GB"/>
      </w:rPr>
    </w:lvl>
    <w:lvl w:ilvl="5" w:tplc="A5425A4E">
      <w:numFmt w:val="bullet"/>
      <w:lvlText w:val="•"/>
      <w:lvlJc w:val="left"/>
      <w:pPr>
        <w:ind w:left="3265" w:hanging="217"/>
      </w:pPr>
      <w:rPr>
        <w:rFonts w:hint="default"/>
        <w:lang w:val="en-GB" w:eastAsia="en-GB" w:bidi="en-GB"/>
      </w:rPr>
    </w:lvl>
    <w:lvl w:ilvl="6" w:tplc="CCA6B840">
      <w:numFmt w:val="bullet"/>
      <w:lvlText w:val="•"/>
      <w:lvlJc w:val="left"/>
      <w:pPr>
        <w:ind w:left="3858" w:hanging="217"/>
      </w:pPr>
      <w:rPr>
        <w:rFonts w:hint="default"/>
        <w:lang w:val="en-GB" w:eastAsia="en-GB" w:bidi="en-GB"/>
      </w:rPr>
    </w:lvl>
    <w:lvl w:ilvl="7" w:tplc="1A5C9FDA">
      <w:numFmt w:val="bullet"/>
      <w:lvlText w:val="•"/>
      <w:lvlJc w:val="left"/>
      <w:pPr>
        <w:ind w:left="4451" w:hanging="217"/>
      </w:pPr>
      <w:rPr>
        <w:rFonts w:hint="default"/>
        <w:lang w:val="en-GB" w:eastAsia="en-GB" w:bidi="en-GB"/>
      </w:rPr>
    </w:lvl>
    <w:lvl w:ilvl="8" w:tplc="E4A4F4FC">
      <w:numFmt w:val="bullet"/>
      <w:lvlText w:val="•"/>
      <w:lvlJc w:val="left"/>
      <w:pPr>
        <w:ind w:left="5044" w:hanging="217"/>
      </w:pPr>
      <w:rPr>
        <w:rFonts w:hint="default"/>
        <w:lang w:val="en-GB" w:eastAsia="en-GB" w:bidi="en-GB"/>
      </w:rPr>
    </w:lvl>
  </w:abstractNum>
  <w:abstractNum w:abstractNumId="845" w15:restartNumberingAfterBreak="0">
    <w:nsid w:val="4D5B5211"/>
    <w:multiLevelType w:val="hybridMultilevel"/>
    <w:tmpl w:val="4A0E7930"/>
    <w:lvl w:ilvl="0" w:tplc="A4FA776C">
      <w:numFmt w:val="bullet"/>
      <w:lvlText w:val="•"/>
      <w:lvlJc w:val="left"/>
      <w:pPr>
        <w:ind w:left="304" w:hanging="217"/>
      </w:pPr>
      <w:rPr>
        <w:rFonts w:ascii="Arial" w:eastAsia="Arial" w:hAnsi="Arial" w:cs="Arial" w:hint="default"/>
        <w:color w:val="231F20"/>
        <w:w w:val="100"/>
        <w:sz w:val="18"/>
        <w:szCs w:val="18"/>
        <w:lang w:val="en-GB" w:eastAsia="en-GB" w:bidi="en-GB"/>
      </w:rPr>
    </w:lvl>
    <w:lvl w:ilvl="1" w:tplc="F36E6850">
      <w:numFmt w:val="bullet"/>
      <w:lvlText w:val="•"/>
      <w:lvlJc w:val="left"/>
      <w:pPr>
        <w:ind w:left="473" w:hanging="217"/>
      </w:pPr>
      <w:rPr>
        <w:rFonts w:hint="default"/>
        <w:lang w:val="en-GB" w:eastAsia="en-GB" w:bidi="en-GB"/>
      </w:rPr>
    </w:lvl>
    <w:lvl w:ilvl="2" w:tplc="5ED0E394">
      <w:numFmt w:val="bullet"/>
      <w:lvlText w:val="•"/>
      <w:lvlJc w:val="left"/>
      <w:pPr>
        <w:ind w:left="646" w:hanging="217"/>
      </w:pPr>
      <w:rPr>
        <w:rFonts w:hint="default"/>
        <w:lang w:val="en-GB" w:eastAsia="en-GB" w:bidi="en-GB"/>
      </w:rPr>
    </w:lvl>
    <w:lvl w:ilvl="3" w:tplc="25A80B68">
      <w:numFmt w:val="bullet"/>
      <w:lvlText w:val="•"/>
      <w:lvlJc w:val="left"/>
      <w:pPr>
        <w:ind w:left="819" w:hanging="217"/>
      </w:pPr>
      <w:rPr>
        <w:rFonts w:hint="default"/>
        <w:lang w:val="en-GB" w:eastAsia="en-GB" w:bidi="en-GB"/>
      </w:rPr>
    </w:lvl>
    <w:lvl w:ilvl="4" w:tplc="FE025298">
      <w:numFmt w:val="bullet"/>
      <w:lvlText w:val="•"/>
      <w:lvlJc w:val="left"/>
      <w:pPr>
        <w:ind w:left="992" w:hanging="217"/>
      </w:pPr>
      <w:rPr>
        <w:rFonts w:hint="default"/>
        <w:lang w:val="en-GB" w:eastAsia="en-GB" w:bidi="en-GB"/>
      </w:rPr>
    </w:lvl>
    <w:lvl w:ilvl="5" w:tplc="1226836E">
      <w:numFmt w:val="bullet"/>
      <w:lvlText w:val="•"/>
      <w:lvlJc w:val="left"/>
      <w:pPr>
        <w:ind w:left="1165" w:hanging="217"/>
      </w:pPr>
      <w:rPr>
        <w:rFonts w:hint="default"/>
        <w:lang w:val="en-GB" w:eastAsia="en-GB" w:bidi="en-GB"/>
      </w:rPr>
    </w:lvl>
    <w:lvl w:ilvl="6" w:tplc="79D08EF2">
      <w:numFmt w:val="bullet"/>
      <w:lvlText w:val="•"/>
      <w:lvlJc w:val="left"/>
      <w:pPr>
        <w:ind w:left="1338" w:hanging="217"/>
      </w:pPr>
      <w:rPr>
        <w:rFonts w:hint="default"/>
        <w:lang w:val="en-GB" w:eastAsia="en-GB" w:bidi="en-GB"/>
      </w:rPr>
    </w:lvl>
    <w:lvl w:ilvl="7" w:tplc="53FC3E76">
      <w:numFmt w:val="bullet"/>
      <w:lvlText w:val="•"/>
      <w:lvlJc w:val="left"/>
      <w:pPr>
        <w:ind w:left="1511" w:hanging="217"/>
      </w:pPr>
      <w:rPr>
        <w:rFonts w:hint="default"/>
        <w:lang w:val="en-GB" w:eastAsia="en-GB" w:bidi="en-GB"/>
      </w:rPr>
    </w:lvl>
    <w:lvl w:ilvl="8" w:tplc="80ACBDE6">
      <w:numFmt w:val="bullet"/>
      <w:lvlText w:val="•"/>
      <w:lvlJc w:val="left"/>
      <w:pPr>
        <w:ind w:left="1684" w:hanging="217"/>
      </w:pPr>
      <w:rPr>
        <w:rFonts w:hint="default"/>
        <w:lang w:val="en-GB" w:eastAsia="en-GB" w:bidi="en-GB"/>
      </w:rPr>
    </w:lvl>
  </w:abstractNum>
  <w:abstractNum w:abstractNumId="846" w15:restartNumberingAfterBreak="0">
    <w:nsid w:val="4D6C0085"/>
    <w:multiLevelType w:val="hybridMultilevel"/>
    <w:tmpl w:val="38E62FFC"/>
    <w:lvl w:ilvl="0" w:tplc="238C30D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92C01E4">
      <w:numFmt w:val="bullet"/>
      <w:lvlText w:val="•"/>
      <w:lvlJc w:val="left"/>
      <w:pPr>
        <w:ind w:left="439" w:hanging="217"/>
      </w:pPr>
      <w:rPr>
        <w:rFonts w:hint="default"/>
        <w:lang w:val="en-GB" w:eastAsia="en-GB" w:bidi="en-GB"/>
      </w:rPr>
    </w:lvl>
    <w:lvl w:ilvl="2" w:tplc="03901BAC">
      <w:numFmt w:val="bullet"/>
      <w:lvlText w:val="•"/>
      <w:lvlJc w:val="left"/>
      <w:pPr>
        <w:ind w:left="578" w:hanging="217"/>
      </w:pPr>
      <w:rPr>
        <w:rFonts w:hint="default"/>
        <w:lang w:val="en-GB" w:eastAsia="en-GB" w:bidi="en-GB"/>
      </w:rPr>
    </w:lvl>
    <w:lvl w:ilvl="3" w:tplc="DA6E3B76">
      <w:numFmt w:val="bullet"/>
      <w:lvlText w:val="•"/>
      <w:lvlJc w:val="left"/>
      <w:pPr>
        <w:ind w:left="717" w:hanging="217"/>
      </w:pPr>
      <w:rPr>
        <w:rFonts w:hint="default"/>
        <w:lang w:val="en-GB" w:eastAsia="en-GB" w:bidi="en-GB"/>
      </w:rPr>
    </w:lvl>
    <w:lvl w:ilvl="4" w:tplc="73DC6330">
      <w:numFmt w:val="bullet"/>
      <w:lvlText w:val="•"/>
      <w:lvlJc w:val="left"/>
      <w:pPr>
        <w:ind w:left="856" w:hanging="217"/>
      </w:pPr>
      <w:rPr>
        <w:rFonts w:hint="default"/>
        <w:lang w:val="en-GB" w:eastAsia="en-GB" w:bidi="en-GB"/>
      </w:rPr>
    </w:lvl>
    <w:lvl w:ilvl="5" w:tplc="C7C448B2">
      <w:numFmt w:val="bullet"/>
      <w:lvlText w:val="•"/>
      <w:lvlJc w:val="left"/>
      <w:pPr>
        <w:ind w:left="995" w:hanging="217"/>
      </w:pPr>
      <w:rPr>
        <w:rFonts w:hint="default"/>
        <w:lang w:val="en-GB" w:eastAsia="en-GB" w:bidi="en-GB"/>
      </w:rPr>
    </w:lvl>
    <w:lvl w:ilvl="6" w:tplc="245C332E">
      <w:numFmt w:val="bullet"/>
      <w:lvlText w:val="•"/>
      <w:lvlJc w:val="left"/>
      <w:pPr>
        <w:ind w:left="1134" w:hanging="217"/>
      </w:pPr>
      <w:rPr>
        <w:rFonts w:hint="default"/>
        <w:lang w:val="en-GB" w:eastAsia="en-GB" w:bidi="en-GB"/>
      </w:rPr>
    </w:lvl>
    <w:lvl w:ilvl="7" w:tplc="DE6A295C">
      <w:numFmt w:val="bullet"/>
      <w:lvlText w:val="•"/>
      <w:lvlJc w:val="left"/>
      <w:pPr>
        <w:ind w:left="1273" w:hanging="217"/>
      </w:pPr>
      <w:rPr>
        <w:rFonts w:hint="default"/>
        <w:lang w:val="en-GB" w:eastAsia="en-GB" w:bidi="en-GB"/>
      </w:rPr>
    </w:lvl>
    <w:lvl w:ilvl="8" w:tplc="1798ABE6">
      <w:numFmt w:val="bullet"/>
      <w:lvlText w:val="•"/>
      <w:lvlJc w:val="left"/>
      <w:pPr>
        <w:ind w:left="1412" w:hanging="217"/>
      </w:pPr>
      <w:rPr>
        <w:rFonts w:hint="default"/>
        <w:lang w:val="en-GB" w:eastAsia="en-GB" w:bidi="en-GB"/>
      </w:rPr>
    </w:lvl>
  </w:abstractNum>
  <w:abstractNum w:abstractNumId="847" w15:restartNumberingAfterBreak="0">
    <w:nsid w:val="4D7378CE"/>
    <w:multiLevelType w:val="hybridMultilevel"/>
    <w:tmpl w:val="B4080A84"/>
    <w:lvl w:ilvl="0" w:tplc="EAEADC38">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E1D67CEE">
      <w:numFmt w:val="bullet"/>
      <w:lvlText w:val="•"/>
      <w:lvlJc w:val="left"/>
      <w:pPr>
        <w:ind w:left="473" w:hanging="217"/>
      </w:pPr>
      <w:rPr>
        <w:rFonts w:hint="default"/>
        <w:lang w:val="en-GB" w:eastAsia="en-GB" w:bidi="en-GB"/>
      </w:rPr>
    </w:lvl>
    <w:lvl w:ilvl="2" w:tplc="4A0AD036">
      <w:numFmt w:val="bullet"/>
      <w:lvlText w:val="•"/>
      <w:lvlJc w:val="left"/>
      <w:pPr>
        <w:ind w:left="646" w:hanging="217"/>
      </w:pPr>
      <w:rPr>
        <w:rFonts w:hint="default"/>
        <w:lang w:val="en-GB" w:eastAsia="en-GB" w:bidi="en-GB"/>
      </w:rPr>
    </w:lvl>
    <w:lvl w:ilvl="3" w:tplc="68725852">
      <w:numFmt w:val="bullet"/>
      <w:lvlText w:val="•"/>
      <w:lvlJc w:val="left"/>
      <w:pPr>
        <w:ind w:left="819" w:hanging="217"/>
      </w:pPr>
      <w:rPr>
        <w:rFonts w:hint="default"/>
        <w:lang w:val="en-GB" w:eastAsia="en-GB" w:bidi="en-GB"/>
      </w:rPr>
    </w:lvl>
    <w:lvl w:ilvl="4" w:tplc="DCDC5D34">
      <w:numFmt w:val="bullet"/>
      <w:lvlText w:val="•"/>
      <w:lvlJc w:val="left"/>
      <w:pPr>
        <w:ind w:left="992" w:hanging="217"/>
      </w:pPr>
      <w:rPr>
        <w:rFonts w:hint="default"/>
        <w:lang w:val="en-GB" w:eastAsia="en-GB" w:bidi="en-GB"/>
      </w:rPr>
    </w:lvl>
    <w:lvl w:ilvl="5" w:tplc="0A4A1224">
      <w:numFmt w:val="bullet"/>
      <w:lvlText w:val="•"/>
      <w:lvlJc w:val="left"/>
      <w:pPr>
        <w:ind w:left="1165" w:hanging="217"/>
      </w:pPr>
      <w:rPr>
        <w:rFonts w:hint="default"/>
        <w:lang w:val="en-GB" w:eastAsia="en-GB" w:bidi="en-GB"/>
      </w:rPr>
    </w:lvl>
    <w:lvl w:ilvl="6" w:tplc="68BA1666">
      <w:numFmt w:val="bullet"/>
      <w:lvlText w:val="•"/>
      <w:lvlJc w:val="left"/>
      <w:pPr>
        <w:ind w:left="1338" w:hanging="217"/>
      </w:pPr>
      <w:rPr>
        <w:rFonts w:hint="default"/>
        <w:lang w:val="en-GB" w:eastAsia="en-GB" w:bidi="en-GB"/>
      </w:rPr>
    </w:lvl>
    <w:lvl w:ilvl="7" w:tplc="873809E6">
      <w:numFmt w:val="bullet"/>
      <w:lvlText w:val="•"/>
      <w:lvlJc w:val="left"/>
      <w:pPr>
        <w:ind w:left="1511" w:hanging="217"/>
      </w:pPr>
      <w:rPr>
        <w:rFonts w:hint="default"/>
        <w:lang w:val="en-GB" w:eastAsia="en-GB" w:bidi="en-GB"/>
      </w:rPr>
    </w:lvl>
    <w:lvl w:ilvl="8" w:tplc="2DD0E590">
      <w:numFmt w:val="bullet"/>
      <w:lvlText w:val="•"/>
      <w:lvlJc w:val="left"/>
      <w:pPr>
        <w:ind w:left="1684" w:hanging="217"/>
      </w:pPr>
      <w:rPr>
        <w:rFonts w:hint="default"/>
        <w:lang w:val="en-GB" w:eastAsia="en-GB" w:bidi="en-GB"/>
      </w:rPr>
    </w:lvl>
  </w:abstractNum>
  <w:abstractNum w:abstractNumId="848" w15:restartNumberingAfterBreak="0">
    <w:nsid w:val="4DC008ED"/>
    <w:multiLevelType w:val="hybridMultilevel"/>
    <w:tmpl w:val="2FE4966C"/>
    <w:lvl w:ilvl="0" w:tplc="17A8047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F625706">
      <w:numFmt w:val="bullet"/>
      <w:lvlText w:val="•"/>
      <w:lvlJc w:val="left"/>
      <w:pPr>
        <w:ind w:left="892" w:hanging="217"/>
      </w:pPr>
      <w:rPr>
        <w:rFonts w:hint="default"/>
        <w:lang w:val="en-GB" w:eastAsia="en-GB" w:bidi="en-GB"/>
      </w:rPr>
    </w:lvl>
    <w:lvl w:ilvl="2" w:tplc="FDF2DC76">
      <w:numFmt w:val="bullet"/>
      <w:lvlText w:val="•"/>
      <w:lvlJc w:val="left"/>
      <w:pPr>
        <w:ind w:left="1485" w:hanging="217"/>
      </w:pPr>
      <w:rPr>
        <w:rFonts w:hint="default"/>
        <w:lang w:val="en-GB" w:eastAsia="en-GB" w:bidi="en-GB"/>
      </w:rPr>
    </w:lvl>
    <w:lvl w:ilvl="3" w:tplc="5776D58E">
      <w:numFmt w:val="bullet"/>
      <w:lvlText w:val="•"/>
      <w:lvlJc w:val="left"/>
      <w:pPr>
        <w:ind w:left="2077" w:hanging="217"/>
      </w:pPr>
      <w:rPr>
        <w:rFonts w:hint="default"/>
        <w:lang w:val="en-GB" w:eastAsia="en-GB" w:bidi="en-GB"/>
      </w:rPr>
    </w:lvl>
    <w:lvl w:ilvl="4" w:tplc="5F721672">
      <w:numFmt w:val="bullet"/>
      <w:lvlText w:val="•"/>
      <w:lvlJc w:val="left"/>
      <w:pPr>
        <w:ind w:left="2670" w:hanging="217"/>
      </w:pPr>
      <w:rPr>
        <w:rFonts w:hint="default"/>
        <w:lang w:val="en-GB" w:eastAsia="en-GB" w:bidi="en-GB"/>
      </w:rPr>
    </w:lvl>
    <w:lvl w:ilvl="5" w:tplc="9594B7B8">
      <w:numFmt w:val="bullet"/>
      <w:lvlText w:val="•"/>
      <w:lvlJc w:val="left"/>
      <w:pPr>
        <w:ind w:left="3263" w:hanging="217"/>
      </w:pPr>
      <w:rPr>
        <w:rFonts w:hint="default"/>
        <w:lang w:val="en-GB" w:eastAsia="en-GB" w:bidi="en-GB"/>
      </w:rPr>
    </w:lvl>
    <w:lvl w:ilvl="6" w:tplc="8194B1DA">
      <w:numFmt w:val="bullet"/>
      <w:lvlText w:val="•"/>
      <w:lvlJc w:val="left"/>
      <w:pPr>
        <w:ind w:left="3855" w:hanging="217"/>
      </w:pPr>
      <w:rPr>
        <w:rFonts w:hint="default"/>
        <w:lang w:val="en-GB" w:eastAsia="en-GB" w:bidi="en-GB"/>
      </w:rPr>
    </w:lvl>
    <w:lvl w:ilvl="7" w:tplc="8050FA02">
      <w:numFmt w:val="bullet"/>
      <w:lvlText w:val="•"/>
      <w:lvlJc w:val="left"/>
      <w:pPr>
        <w:ind w:left="4448" w:hanging="217"/>
      </w:pPr>
      <w:rPr>
        <w:rFonts w:hint="default"/>
        <w:lang w:val="en-GB" w:eastAsia="en-GB" w:bidi="en-GB"/>
      </w:rPr>
    </w:lvl>
    <w:lvl w:ilvl="8" w:tplc="D30ADF00">
      <w:numFmt w:val="bullet"/>
      <w:lvlText w:val="•"/>
      <w:lvlJc w:val="left"/>
      <w:pPr>
        <w:ind w:left="5040" w:hanging="217"/>
      </w:pPr>
      <w:rPr>
        <w:rFonts w:hint="default"/>
        <w:lang w:val="en-GB" w:eastAsia="en-GB" w:bidi="en-GB"/>
      </w:rPr>
    </w:lvl>
  </w:abstractNum>
  <w:abstractNum w:abstractNumId="849" w15:restartNumberingAfterBreak="0">
    <w:nsid w:val="4DD76A77"/>
    <w:multiLevelType w:val="hybridMultilevel"/>
    <w:tmpl w:val="6FFC7160"/>
    <w:lvl w:ilvl="0" w:tplc="09A66C06">
      <w:numFmt w:val="bullet"/>
      <w:lvlText w:val="•"/>
      <w:lvlJc w:val="left"/>
      <w:pPr>
        <w:ind w:left="1637" w:hanging="217"/>
      </w:pPr>
      <w:rPr>
        <w:rFonts w:ascii="Arial" w:eastAsia="Arial" w:hAnsi="Arial" w:cs="Arial" w:hint="default"/>
        <w:color w:val="231F20"/>
        <w:spacing w:val="-1"/>
        <w:w w:val="100"/>
        <w:sz w:val="18"/>
        <w:szCs w:val="18"/>
        <w:lang w:val="en-GB" w:eastAsia="en-GB" w:bidi="en-GB"/>
      </w:rPr>
    </w:lvl>
    <w:lvl w:ilvl="1" w:tplc="C10C9770">
      <w:numFmt w:val="bullet"/>
      <w:lvlText w:val="•"/>
      <w:lvlJc w:val="left"/>
      <w:pPr>
        <w:ind w:left="2353" w:hanging="217"/>
      </w:pPr>
      <w:rPr>
        <w:rFonts w:hint="default"/>
        <w:lang w:val="en-GB" w:eastAsia="en-GB" w:bidi="en-GB"/>
      </w:rPr>
    </w:lvl>
    <w:lvl w:ilvl="2" w:tplc="48626EBC">
      <w:numFmt w:val="bullet"/>
      <w:lvlText w:val="•"/>
      <w:lvlJc w:val="left"/>
      <w:pPr>
        <w:ind w:left="3067" w:hanging="217"/>
      </w:pPr>
      <w:rPr>
        <w:rFonts w:hint="default"/>
        <w:lang w:val="en-GB" w:eastAsia="en-GB" w:bidi="en-GB"/>
      </w:rPr>
    </w:lvl>
    <w:lvl w:ilvl="3" w:tplc="ADF62BDA">
      <w:numFmt w:val="bullet"/>
      <w:lvlText w:val="•"/>
      <w:lvlJc w:val="left"/>
      <w:pPr>
        <w:ind w:left="3780" w:hanging="217"/>
      </w:pPr>
      <w:rPr>
        <w:rFonts w:hint="default"/>
        <w:lang w:val="en-GB" w:eastAsia="en-GB" w:bidi="en-GB"/>
      </w:rPr>
    </w:lvl>
    <w:lvl w:ilvl="4" w:tplc="B6DCA320">
      <w:numFmt w:val="bullet"/>
      <w:lvlText w:val="•"/>
      <w:lvlJc w:val="left"/>
      <w:pPr>
        <w:ind w:left="4494" w:hanging="217"/>
      </w:pPr>
      <w:rPr>
        <w:rFonts w:hint="default"/>
        <w:lang w:val="en-GB" w:eastAsia="en-GB" w:bidi="en-GB"/>
      </w:rPr>
    </w:lvl>
    <w:lvl w:ilvl="5" w:tplc="6CAC77AE">
      <w:numFmt w:val="bullet"/>
      <w:lvlText w:val="•"/>
      <w:lvlJc w:val="left"/>
      <w:pPr>
        <w:ind w:left="5207" w:hanging="217"/>
      </w:pPr>
      <w:rPr>
        <w:rFonts w:hint="default"/>
        <w:lang w:val="en-GB" w:eastAsia="en-GB" w:bidi="en-GB"/>
      </w:rPr>
    </w:lvl>
    <w:lvl w:ilvl="6" w:tplc="DE7E3FFC">
      <w:numFmt w:val="bullet"/>
      <w:lvlText w:val="•"/>
      <w:lvlJc w:val="left"/>
      <w:pPr>
        <w:ind w:left="5921" w:hanging="217"/>
      </w:pPr>
      <w:rPr>
        <w:rFonts w:hint="default"/>
        <w:lang w:val="en-GB" w:eastAsia="en-GB" w:bidi="en-GB"/>
      </w:rPr>
    </w:lvl>
    <w:lvl w:ilvl="7" w:tplc="FB1AA6C2">
      <w:numFmt w:val="bullet"/>
      <w:lvlText w:val="•"/>
      <w:lvlJc w:val="left"/>
      <w:pPr>
        <w:ind w:left="6634" w:hanging="217"/>
      </w:pPr>
      <w:rPr>
        <w:rFonts w:hint="default"/>
        <w:lang w:val="en-GB" w:eastAsia="en-GB" w:bidi="en-GB"/>
      </w:rPr>
    </w:lvl>
    <w:lvl w:ilvl="8" w:tplc="EBA0212E">
      <w:numFmt w:val="bullet"/>
      <w:lvlText w:val="•"/>
      <w:lvlJc w:val="left"/>
      <w:pPr>
        <w:ind w:left="7348" w:hanging="217"/>
      </w:pPr>
      <w:rPr>
        <w:rFonts w:hint="default"/>
        <w:lang w:val="en-GB" w:eastAsia="en-GB" w:bidi="en-GB"/>
      </w:rPr>
    </w:lvl>
  </w:abstractNum>
  <w:abstractNum w:abstractNumId="850" w15:restartNumberingAfterBreak="0">
    <w:nsid w:val="4DF21553"/>
    <w:multiLevelType w:val="hybridMultilevel"/>
    <w:tmpl w:val="8DB283AE"/>
    <w:lvl w:ilvl="0" w:tplc="411066C4">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D1BEEEB8">
      <w:numFmt w:val="bullet"/>
      <w:lvlText w:val="•"/>
      <w:lvlJc w:val="left"/>
      <w:pPr>
        <w:ind w:left="473" w:hanging="217"/>
      </w:pPr>
      <w:rPr>
        <w:rFonts w:hint="default"/>
        <w:lang w:val="en-GB" w:eastAsia="en-GB" w:bidi="en-GB"/>
      </w:rPr>
    </w:lvl>
    <w:lvl w:ilvl="2" w:tplc="86F4B970">
      <w:numFmt w:val="bullet"/>
      <w:lvlText w:val="•"/>
      <w:lvlJc w:val="left"/>
      <w:pPr>
        <w:ind w:left="646" w:hanging="217"/>
      </w:pPr>
      <w:rPr>
        <w:rFonts w:hint="default"/>
        <w:lang w:val="en-GB" w:eastAsia="en-GB" w:bidi="en-GB"/>
      </w:rPr>
    </w:lvl>
    <w:lvl w:ilvl="3" w:tplc="729C626A">
      <w:numFmt w:val="bullet"/>
      <w:lvlText w:val="•"/>
      <w:lvlJc w:val="left"/>
      <w:pPr>
        <w:ind w:left="819" w:hanging="217"/>
      </w:pPr>
      <w:rPr>
        <w:rFonts w:hint="default"/>
        <w:lang w:val="en-GB" w:eastAsia="en-GB" w:bidi="en-GB"/>
      </w:rPr>
    </w:lvl>
    <w:lvl w:ilvl="4" w:tplc="0428E526">
      <w:numFmt w:val="bullet"/>
      <w:lvlText w:val="•"/>
      <w:lvlJc w:val="left"/>
      <w:pPr>
        <w:ind w:left="992" w:hanging="217"/>
      </w:pPr>
      <w:rPr>
        <w:rFonts w:hint="default"/>
        <w:lang w:val="en-GB" w:eastAsia="en-GB" w:bidi="en-GB"/>
      </w:rPr>
    </w:lvl>
    <w:lvl w:ilvl="5" w:tplc="872C1832">
      <w:numFmt w:val="bullet"/>
      <w:lvlText w:val="•"/>
      <w:lvlJc w:val="left"/>
      <w:pPr>
        <w:ind w:left="1165" w:hanging="217"/>
      </w:pPr>
      <w:rPr>
        <w:rFonts w:hint="default"/>
        <w:lang w:val="en-GB" w:eastAsia="en-GB" w:bidi="en-GB"/>
      </w:rPr>
    </w:lvl>
    <w:lvl w:ilvl="6" w:tplc="8F96DB72">
      <w:numFmt w:val="bullet"/>
      <w:lvlText w:val="•"/>
      <w:lvlJc w:val="left"/>
      <w:pPr>
        <w:ind w:left="1338" w:hanging="217"/>
      </w:pPr>
      <w:rPr>
        <w:rFonts w:hint="default"/>
        <w:lang w:val="en-GB" w:eastAsia="en-GB" w:bidi="en-GB"/>
      </w:rPr>
    </w:lvl>
    <w:lvl w:ilvl="7" w:tplc="3AEA8396">
      <w:numFmt w:val="bullet"/>
      <w:lvlText w:val="•"/>
      <w:lvlJc w:val="left"/>
      <w:pPr>
        <w:ind w:left="1511" w:hanging="217"/>
      </w:pPr>
      <w:rPr>
        <w:rFonts w:hint="default"/>
        <w:lang w:val="en-GB" w:eastAsia="en-GB" w:bidi="en-GB"/>
      </w:rPr>
    </w:lvl>
    <w:lvl w:ilvl="8" w:tplc="B8D412B8">
      <w:numFmt w:val="bullet"/>
      <w:lvlText w:val="•"/>
      <w:lvlJc w:val="left"/>
      <w:pPr>
        <w:ind w:left="1684" w:hanging="217"/>
      </w:pPr>
      <w:rPr>
        <w:rFonts w:hint="default"/>
        <w:lang w:val="en-GB" w:eastAsia="en-GB" w:bidi="en-GB"/>
      </w:rPr>
    </w:lvl>
  </w:abstractNum>
  <w:abstractNum w:abstractNumId="851" w15:restartNumberingAfterBreak="0">
    <w:nsid w:val="4E100C16"/>
    <w:multiLevelType w:val="hybridMultilevel"/>
    <w:tmpl w:val="A6FA42C8"/>
    <w:lvl w:ilvl="0" w:tplc="702E084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FB8C84C">
      <w:numFmt w:val="bullet"/>
      <w:lvlText w:val="•"/>
      <w:lvlJc w:val="left"/>
      <w:pPr>
        <w:ind w:left="439" w:hanging="217"/>
      </w:pPr>
      <w:rPr>
        <w:rFonts w:hint="default"/>
        <w:lang w:val="en-GB" w:eastAsia="en-GB" w:bidi="en-GB"/>
      </w:rPr>
    </w:lvl>
    <w:lvl w:ilvl="2" w:tplc="A1526DCA">
      <w:numFmt w:val="bullet"/>
      <w:lvlText w:val="•"/>
      <w:lvlJc w:val="left"/>
      <w:pPr>
        <w:ind w:left="578" w:hanging="217"/>
      </w:pPr>
      <w:rPr>
        <w:rFonts w:hint="default"/>
        <w:lang w:val="en-GB" w:eastAsia="en-GB" w:bidi="en-GB"/>
      </w:rPr>
    </w:lvl>
    <w:lvl w:ilvl="3" w:tplc="551C904A">
      <w:numFmt w:val="bullet"/>
      <w:lvlText w:val="•"/>
      <w:lvlJc w:val="left"/>
      <w:pPr>
        <w:ind w:left="717" w:hanging="217"/>
      </w:pPr>
      <w:rPr>
        <w:rFonts w:hint="default"/>
        <w:lang w:val="en-GB" w:eastAsia="en-GB" w:bidi="en-GB"/>
      </w:rPr>
    </w:lvl>
    <w:lvl w:ilvl="4" w:tplc="DCCE878C">
      <w:numFmt w:val="bullet"/>
      <w:lvlText w:val="•"/>
      <w:lvlJc w:val="left"/>
      <w:pPr>
        <w:ind w:left="856" w:hanging="217"/>
      </w:pPr>
      <w:rPr>
        <w:rFonts w:hint="default"/>
        <w:lang w:val="en-GB" w:eastAsia="en-GB" w:bidi="en-GB"/>
      </w:rPr>
    </w:lvl>
    <w:lvl w:ilvl="5" w:tplc="833AB6A0">
      <w:numFmt w:val="bullet"/>
      <w:lvlText w:val="•"/>
      <w:lvlJc w:val="left"/>
      <w:pPr>
        <w:ind w:left="995" w:hanging="217"/>
      </w:pPr>
      <w:rPr>
        <w:rFonts w:hint="default"/>
        <w:lang w:val="en-GB" w:eastAsia="en-GB" w:bidi="en-GB"/>
      </w:rPr>
    </w:lvl>
    <w:lvl w:ilvl="6" w:tplc="B2FE5DFE">
      <w:numFmt w:val="bullet"/>
      <w:lvlText w:val="•"/>
      <w:lvlJc w:val="left"/>
      <w:pPr>
        <w:ind w:left="1134" w:hanging="217"/>
      </w:pPr>
      <w:rPr>
        <w:rFonts w:hint="default"/>
        <w:lang w:val="en-GB" w:eastAsia="en-GB" w:bidi="en-GB"/>
      </w:rPr>
    </w:lvl>
    <w:lvl w:ilvl="7" w:tplc="3672432A">
      <w:numFmt w:val="bullet"/>
      <w:lvlText w:val="•"/>
      <w:lvlJc w:val="left"/>
      <w:pPr>
        <w:ind w:left="1273" w:hanging="217"/>
      </w:pPr>
      <w:rPr>
        <w:rFonts w:hint="default"/>
        <w:lang w:val="en-GB" w:eastAsia="en-GB" w:bidi="en-GB"/>
      </w:rPr>
    </w:lvl>
    <w:lvl w:ilvl="8" w:tplc="1CE86B64">
      <w:numFmt w:val="bullet"/>
      <w:lvlText w:val="•"/>
      <w:lvlJc w:val="left"/>
      <w:pPr>
        <w:ind w:left="1412" w:hanging="217"/>
      </w:pPr>
      <w:rPr>
        <w:rFonts w:hint="default"/>
        <w:lang w:val="en-GB" w:eastAsia="en-GB" w:bidi="en-GB"/>
      </w:rPr>
    </w:lvl>
  </w:abstractNum>
  <w:abstractNum w:abstractNumId="852" w15:restartNumberingAfterBreak="0">
    <w:nsid w:val="4E1961E3"/>
    <w:multiLevelType w:val="hybridMultilevel"/>
    <w:tmpl w:val="F7120A6E"/>
    <w:lvl w:ilvl="0" w:tplc="746A7D0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3F8839E">
      <w:numFmt w:val="bullet"/>
      <w:lvlText w:val="•"/>
      <w:lvlJc w:val="left"/>
      <w:pPr>
        <w:ind w:left="473" w:hanging="217"/>
      </w:pPr>
      <w:rPr>
        <w:rFonts w:hint="default"/>
        <w:lang w:val="en-GB" w:eastAsia="en-GB" w:bidi="en-GB"/>
      </w:rPr>
    </w:lvl>
    <w:lvl w:ilvl="2" w:tplc="DAF202DC">
      <w:numFmt w:val="bullet"/>
      <w:lvlText w:val="•"/>
      <w:lvlJc w:val="left"/>
      <w:pPr>
        <w:ind w:left="646" w:hanging="217"/>
      </w:pPr>
      <w:rPr>
        <w:rFonts w:hint="default"/>
        <w:lang w:val="en-GB" w:eastAsia="en-GB" w:bidi="en-GB"/>
      </w:rPr>
    </w:lvl>
    <w:lvl w:ilvl="3" w:tplc="21562C3A">
      <w:numFmt w:val="bullet"/>
      <w:lvlText w:val="•"/>
      <w:lvlJc w:val="left"/>
      <w:pPr>
        <w:ind w:left="819" w:hanging="217"/>
      </w:pPr>
      <w:rPr>
        <w:rFonts w:hint="default"/>
        <w:lang w:val="en-GB" w:eastAsia="en-GB" w:bidi="en-GB"/>
      </w:rPr>
    </w:lvl>
    <w:lvl w:ilvl="4" w:tplc="F3F6C544">
      <w:numFmt w:val="bullet"/>
      <w:lvlText w:val="•"/>
      <w:lvlJc w:val="left"/>
      <w:pPr>
        <w:ind w:left="992" w:hanging="217"/>
      </w:pPr>
      <w:rPr>
        <w:rFonts w:hint="default"/>
        <w:lang w:val="en-GB" w:eastAsia="en-GB" w:bidi="en-GB"/>
      </w:rPr>
    </w:lvl>
    <w:lvl w:ilvl="5" w:tplc="4CE09F60">
      <w:numFmt w:val="bullet"/>
      <w:lvlText w:val="•"/>
      <w:lvlJc w:val="left"/>
      <w:pPr>
        <w:ind w:left="1165" w:hanging="217"/>
      </w:pPr>
      <w:rPr>
        <w:rFonts w:hint="default"/>
        <w:lang w:val="en-GB" w:eastAsia="en-GB" w:bidi="en-GB"/>
      </w:rPr>
    </w:lvl>
    <w:lvl w:ilvl="6" w:tplc="8E06E498">
      <w:numFmt w:val="bullet"/>
      <w:lvlText w:val="•"/>
      <w:lvlJc w:val="left"/>
      <w:pPr>
        <w:ind w:left="1338" w:hanging="217"/>
      </w:pPr>
      <w:rPr>
        <w:rFonts w:hint="default"/>
        <w:lang w:val="en-GB" w:eastAsia="en-GB" w:bidi="en-GB"/>
      </w:rPr>
    </w:lvl>
    <w:lvl w:ilvl="7" w:tplc="3198237C">
      <w:numFmt w:val="bullet"/>
      <w:lvlText w:val="•"/>
      <w:lvlJc w:val="left"/>
      <w:pPr>
        <w:ind w:left="1511" w:hanging="217"/>
      </w:pPr>
      <w:rPr>
        <w:rFonts w:hint="default"/>
        <w:lang w:val="en-GB" w:eastAsia="en-GB" w:bidi="en-GB"/>
      </w:rPr>
    </w:lvl>
    <w:lvl w:ilvl="8" w:tplc="A224B70A">
      <w:numFmt w:val="bullet"/>
      <w:lvlText w:val="•"/>
      <w:lvlJc w:val="left"/>
      <w:pPr>
        <w:ind w:left="1684" w:hanging="217"/>
      </w:pPr>
      <w:rPr>
        <w:rFonts w:hint="default"/>
        <w:lang w:val="en-GB" w:eastAsia="en-GB" w:bidi="en-GB"/>
      </w:rPr>
    </w:lvl>
  </w:abstractNum>
  <w:abstractNum w:abstractNumId="853" w15:restartNumberingAfterBreak="0">
    <w:nsid w:val="4E3519DA"/>
    <w:multiLevelType w:val="hybridMultilevel"/>
    <w:tmpl w:val="DA2ECBE4"/>
    <w:lvl w:ilvl="0" w:tplc="957E934A">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2B00F13A">
      <w:numFmt w:val="bullet"/>
      <w:lvlText w:val="•"/>
      <w:lvlJc w:val="left"/>
      <w:pPr>
        <w:ind w:left="444" w:hanging="217"/>
      </w:pPr>
      <w:rPr>
        <w:rFonts w:hint="default"/>
        <w:lang w:val="en-GB" w:eastAsia="en-GB" w:bidi="en-GB"/>
      </w:rPr>
    </w:lvl>
    <w:lvl w:ilvl="2" w:tplc="F4168812">
      <w:numFmt w:val="bullet"/>
      <w:lvlText w:val="•"/>
      <w:lvlJc w:val="left"/>
      <w:pPr>
        <w:ind w:left="589" w:hanging="217"/>
      </w:pPr>
      <w:rPr>
        <w:rFonts w:hint="default"/>
        <w:lang w:val="en-GB" w:eastAsia="en-GB" w:bidi="en-GB"/>
      </w:rPr>
    </w:lvl>
    <w:lvl w:ilvl="3" w:tplc="9894EB76">
      <w:numFmt w:val="bullet"/>
      <w:lvlText w:val="•"/>
      <w:lvlJc w:val="left"/>
      <w:pPr>
        <w:ind w:left="734" w:hanging="217"/>
      </w:pPr>
      <w:rPr>
        <w:rFonts w:hint="default"/>
        <w:lang w:val="en-GB" w:eastAsia="en-GB" w:bidi="en-GB"/>
      </w:rPr>
    </w:lvl>
    <w:lvl w:ilvl="4" w:tplc="98EC2306">
      <w:numFmt w:val="bullet"/>
      <w:lvlText w:val="•"/>
      <w:lvlJc w:val="left"/>
      <w:pPr>
        <w:ind w:left="878" w:hanging="217"/>
      </w:pPr>
      <w:rPr>
        <w:rFonts w:hint="default"/>
        <w:lang w:val="en-GB" w:eastAsia="en-GB" w:bidi="en-GB"/>
      </w:rPr>
    </w:lvl>
    <w:lvl w:ilvl="5" w:tplc="E0FCDBD0">
      <w:numFmt w:val="bullet"/>
      <w:lvlText w:val="•"/>
      <w:lvlJc w:val="left"/>
      <w:pPr>
        <w:ind w:left="1023" w:hanging="217"/>
      </w:pPr>
      <w:rPr>
        <w:rFonts w:hint="default"/>
        <w:lang w:val="en-GB" w:eastAsia="en-GB" w:bidi="en-GB"/>
      </w:rPr>
    </w:lvl>
    <w:lvl w:ilvl="6" w:tplc="5D2246A4">
      <w:numFmt w:val="bullet"/>
      <w:lvlText w:val="•"/>
      <w:lvlJc w:val="left"/>
      <w:pPr>
        <w:ind w:left="1168" w:hanging="217"/>
      </w:pPr>
      <w:rPr>
        <w:rFonts w:hint="default"/>
        <w:lang w:val="en-GB" w:eastAsia="en-GB" w:bidi="en-GB"/>
      </w:rPr>
    </w:lvl>
    <w:lvl w:ilvl="7" w:tplc="64602DDA">
      <w:numFmt w:val="bullet"/>
      <w:lvlText w:val="•"/>
      <w:lvlJc w:val="left"/>
      <w:pPr>
        <w:ind w:left="1312" w:hanging="217"/>
      </w:pPr>
      <w:rPr>
        <w:rFonts w:hint="default"/>
        <w:lang w:val="en-GB" w:eastAsia="en-GB" w:bidi="en-GB"/>
      </w:rPr>
    </w:lvl>
    <w:lvl w:ilvl="8" w:tplc="6908D2C4">
      <w:numFmt w:val="bullet"/>
      <w:lvlText w:val="•"/>
      <w:lvlJc w:val="left"/>
      <w:pPr>
        <w:ind w:left="1457" w:hanging="217"/>
      </w:pPr>
      <w:rPr>
        <w:rFonts w:hint="default"/>
        <w:lang w:val="en-GB" w:eastAsia="en-GB" w:bidi="en-GB"/>
      </w:rPr>
    </w:lvl>
  </w:abstractNum>
  <w:abstractNum w:abstractNumId="854" w15:restartNumberingAfterBreak="0">
    <w:nsid w:val="4E387B5B"/>
    <w:multiLevelType w:val="hybridMultilevel"/>
    <w:tmpl w:val="367A5AF0"/>
    <w:lvl w:ilvl="0" w:tplc="301AA8BA">
      <w:numFmt w:val="bullet"/>
      <w:lvlText w:val="•"/>
      <w:lvlJc w:val="left"/>
      <w:pPr>
        <w:ind w:left="303" w:hanging="217"/>
      </w:pPr>
      <w:rPr>
        <w:rFonts w:ascii="Arial" w:eastAsia="Arial" w:hAnsi="Arial" w:cs="Arial" w:hint="default"/>
        <w:color w:val="231F20"/>
        <w:w w:val="102"/>
        <w:sz w:val="17"/>
        <w:szCs w:val="17"/>
        <w:lang w:val="en-GB" w:eastAsia="en-GB" w:bidi="en-GB"/>
      </w:rPr>
    </w:lvl>
    <w:lvl w:ilvl="1" w:tplc="61A0CC7A">
      <w:numFmt w:val="bullet"/>
      <w:lvlText w:val="•"/>
      <w:lvlJc w:val="left"/>
      <w:pPr>
        <w:ind w:left="439" w:hanging="217"/>
      </w:pPr>
      <w:rPr>
        <w:rFonts w:hint="default"/>
        <w:lang w:val="en-GB" w:eastAsia="en-GB" w:bidi="en-GB"/>
      </w:rPr>
    </w:lvl>
    <w:lvl w:ilvl="2" w:tplc="F1B447B0">
      <w:numFmt w:val="bullet"/>
      <w:lvlText w:val="•"/>
      <w:lvlJc w:val="left"/>
      <w:pPr>
        <w:ind w:left="578" w:hanging="217"/>
      </w:pPr>
      <w:rPr>
        <w:rFonts w:hint="default"/>
        <w:lang w:val="en-GB" w:eastAsia="en-GB" w:bidi="en-GB"/>
      </w:rPr>
    </w:lvl>
    <w:lvl w:ilvl="3" w:tplc="9D66F722">
      <w:numFmt w:val="bullet"/>
      <w:lvlText w:val="•"/>
      <w:lvlJc w:val="left"/>
      <w:pPr>
        <w:ind w:left="717" w:hanging="217"/>
      </w:pPr>
      <w:rPr>
        <w:rFonts w:hint="default"/>
        <w:lang w:val="en-GB" w:eastAsia="en-GB" w:bidi="en-GB"/>
      </w:rPr>
    </w:lvl>
    <w:lvl w:ilvl="4" w:tplc="95928A66">
      <w:numFmt w:val="bullet"/>
      <w:lvlText w:val="•"/>
      <w:lvlJc w:val="left"/>
      <w:pPr>
        <w:ind w:left="856" w:hanging="217"/>
      </w:pPr>
      <w:rPr>
        <w:rFonts w:hint="default"/>
        <w:lang w:val="en-GB" w:eastAsia="en-GB" w:bidi="en-GB"/>
      </w:rPr>
    </w:lvl>
    <w:lvl w:ilvl="5" w:tplc="170A5A18">
      <w:numFmt w:val="bullet"/>
      <w:lvlText w:val="•"/>
      <w:lvlJc w:val="left"/>
      <w:pPr>
        <w:ind w:left="995" w:hanging="217"/>
      </w:pPr>
      <w:rPr>
        <w:rFonts w:hint="default"/>
        <w:lang w:val="en-GB" w:eastAsia="en-GB" w:bidi="en-GB"/>
      </w:rPr>
    </w:lvl>
    <w:lvl w:ilvl="6" w:tplc="D0EC9436">
      <w:numFmt w:val="bullet"/>
      <w:lvlText w:val="•"/>
      <w:lvlJc w:val="left"/>
      <w:pPr>
        <w:ind w:left="1134" w:hanging="217"/>
      </w:pPr>
      <w:rPr>
        <w:rFonts w:hint="default"/>
        <w:lang w:val="en-GB" w:eastAsia="en-GB" w:bidi="en-GB"/>
      </w:rPr>
    </w:lvl>
    <w:lvl w:ilvl="7" w:tplc="51629CA8">
      <w:numFmt w:val="bullet"/>
      <w:lvlText w:val="•"/>
      <w:lvlJc w:val="left"/>
      <w:pPr>
        <w:ind w:left="1273" w:hanging="217"/>
      </w:pPr>
      <w:rPr>
        <w:rFonts w:hint="default"/>
        <w:lang w:val="en-GB" w:eastAsia="en-GB" w:bidi="en-GB"/>
      </w:rPr>
    </w:lvl>
    <w:lvl w:ilvl="8" w:tplc="571E9A8C">
      <w:numFmt w:val="bullet"/>
      <w:lvlText w:val="•"/>
      <w:lvlJc w:val="left"/>
      <w:pPr>
        <w:ind w:left="1412" w:hanging="217"/>
      </w:pPr>
      <w:rPr>
        <w:rFonts w:hint="default"/>
        <w:lang w:val="en-GB" w:eastAsia="en-GB" w:bidi="en-GB"/>
      </w:rPr>
    </w:lvl>
  </w:abstractNum>
  <w:abstractNum w:abstractNumId="855" w15:restartNumberingAfterBreak="0">
    <w:nsid w:val="4E431862"/>
    <w:multiLevelType w:val="hybridMultilevel"/>
    <w:tmpl w:val="4158539E"/>
    <w:lvl w:ilvl="0" w:tplc="461893E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1F05CE6">
      <w:numFmt w:val="bullet"/>
      <w:lvlText w:val="•"/>
      <w:lvlJc w:val="left"/>
      <w:pPr>
        <w:ind w:left="473" w:hanging="217"/>
      </w:pPr>
      <w:rPr>
        <w:rFonts w:hint="default"/>
        <w:lang w:val="en-GB" w:eastAsia="en-GB" w:bidi="en-GB"/>
      </w:rPr>
    </w:lvl>
    <w:lvl w:ilvl="2" w:tplc="5C34AB9E">
      <w:numFmt w:val="bullet"/>
      <w:lvlText w:val="•"/>
      <w:lvlJc w:val="left"/>
      <w:pPr>
        <w:ind w:left="646" w:hanging="217"/>
      </w:pPr>
      <w:rPr>
        <w:rFonts w:hint="default"/>
        <w:lang w:val="en-GB" w:eastAsia="en-GB" w:bidi="en-GB"/>
      </w:rPr>
    </w:lvl>
    <w:lvl w:ilvl="3" w:tplc="365A9CF8">
      <w:numFmt w:val="bullet"/>
      <w:lvlText w:val="•"/>
      <w:lvlJc w:val="left"/>
      <w:pPr>
        <w:ind w:left="819" w:hanging="217"/>
      </w:pPr>
      <w:rPr>
        <w:rFonts w:hint="default"/>
        <w:lang w:val="en-GB" w:eastAsia="en-GB" w:bidi="en-GB"/>
      </w:rPr>
    </w:lvl>
    <w:lvl w:ilvl="4" w:tplc="434E7A54">
      <w:numFmt w:val="bullet"/>
      <w:lvlText w:val="•"/>
      <w:lvlJc w:val="left"/>
      <w:pPr>
        <w:ind w:left="992" w:hanging="217"/>
      </w:pPr>
      <w:rPr>
        <w:rFonts w:hint="default"/>
        <w:lang w:val="en-GB" w:eastAsia="en-GB" w:bidi="en-GB"/>
      </w:rPr>
    </w:lvl>
    <w:lvl w:ilvl="5" w:tplc="70DC2938">
      <w:numFmt w:val="bullet"/>
      <w:lvlText w:val="•"/>
      <w:lvlJc w:val="left"/>
      <w:pPr>
        <w:ind w:left="1165" w:hanging="217"/>
      </w:pPr>
      <w:rPr>
        <w:rFonts w:hint="default"/>
        <w:lang w:val="en-GB" w:eastAsia="en-GB" w:bidi="en-GB"/>
      </w:rPr>
    </w:lvl>
    <w:lvl w:ilvl="6" w:tplc="D540961E">
      <w:numFmt w:val="bullet"/>
      <w:lvlText w:val="•"/>
      <w:lvlJc w:val="left"/>
      <w:pPr>
        <w:ind w:left="1338" w:hanging="217"/>
      </w:pPr>
      <w:rPr>
        <w:rFonts w:hint="default"/>
        <w:lang w:val="en-GB" w:eastAsia="en-GB" w:bidi="en-GB"/>
      </w:rPr>
    </w:lvl>
    <w:lvl w:ilvl="7" w:tplc="8CE82698">
      <w:numFmt w:val="bullet"/>
      <w:lvlText w:val="•"/>
      <w:lvlJc w:val="left"/>
      <w:pPr>
        <w:ind w:left="1511" w:hanging="217"/>
      </w:pPr>
      <w:rPr>
        <w:rFonts w:hint="default"/>
        <w:lang w:val="en-GB" w:eastAsia="en-GB" w:bidi="en-GB"/>
      </w:rPr>
    </w:lvl>
    <w:lvl w:ilvl="8" w:tplc="E2AA2386">
      <w:numFmt w:val="bullet"/>
      <w:lvlText w:val="•"/>
      <w:lvlJc w:val="left"/>
      <w:pPr>
        <w:ind w:left="1684" w:hanging="217"/>
      </w:pPr>
      <w:rPr>
        <w:rFonts w:hint="default"/>
        <w:lang w:val="en-GB" w:eastAsia="en-GB" w:bidi="en-GB"/>
      </w:rPr>
    </w:lvl>
  </w:abstractNum>
  <w:abstractNum w:abstractNumId="856" w15:restartNumberingAfterBreak="0">
    <w:nsid w:val="4E4740AE"/>
    <w:multiLevelType w:val="hybridMultilevel"/>
    <w:tmpl w:val="3BE8973C"/>
    <w:lvl w:ilvl="0" w:tplc="4AB4304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E086310">
      <w:numFmt w:val="bullet"/>
      <w:lvlText w:val="•"/>
      <w:lvlJc w:val="left"/>
      <w:pPr>
        <w:ind w:left="473" w:hanging="217"/>
      </w:pPr>
      <w:rPr>
        <w:rFonts w:hint="default"/>
        <w:lang w:val="en-GB" w:eastAsia="en-GB" w:bidi="en-GB"/>
      </w:rPr>
    </w:lvl>
    <w:lvl w:ilvl="2" w:tplc="FD08E40A">
      <w:numFmt w:val="bullet"/>
      <w:lvlText w:val="•"/>
      <w:lvlJc w:val="left"/>
      <w:pPr>
        <w:ind w:left="646" w:hanging="217"/>
      </w:pPr>
      <w:rPr>
        <w:rFonts w:hint="default"/>
        <w:lang w:val="en-GB" w:eastAsia="en-GB" w:bidi="en-GB"/>
      </w:rPr>
    </w:lvl>
    <w:lvl w:ilvl="3" w:tplc="EA44D336">
      <w:numFmt w:val="bullet"/>
      <w:lvlText w:val="•"/>
      <w:lvlJc w:val="left"/>
      <w:pPr>
        <w:ind w:left="819" w:hanging="217"/>
      </w:pPr>
      <w:rPr>
        <w:rFonts w:hint="default"/>
        <w:lang w:val="en-GB" w:eastAsia="en-GB" w:bidi="en-GB"/>
      </w:rPr>
    </w:lvl>
    <w:lvl w:ilvl="4" w:tplc="6D42071C">
      <w:numFmt w:val="bullet"/>
      <w:lvlText w:val="•"/>
      <w:lvlJc w:val="left"/>
      <w:pPr>
        <w:ind w:left="992" w:hanging="217"/>
      </w:pPr>
      <w:rPr>
        <w:rFonts w:hint="default"/>
        <w:lang w:val="en-GB" w:eastAsia="en-GB" w:bidi="en-GB"/>
      </w:rPr>
    </w:lvl>
    <w:lvl w:ilvl="5" w:tplc="FA3C5494">
      <w:numFmt w:val="bullet"/>
      <w:lvlText w:val="•"/>
      <w:lvlJc w:val="left"/>
      <w:pPr>
        <w:ind w:left="1165" w:hanging="217"/>
      </w:pPr>
      <w:rPr>
        <w:rFonts w:hint="default"/>
        <w:lang w:val="en-GB" w:eastAsia="en-GB" w:bidi="en-GB"/>
      </w:rPr>
    </w:lvl>
    <w:lvl w:ilvl="6" w:tplc="0CC65D6E">
      <w:numFmt w:val="bullet"/>
      <w:lvlText w:val="•"/>
      <w:lvlJc w:val="left"/>
      <w:pPr>
        <w:ind w:left="1338" w:hanging="217"/>
      </w:pPr>
      <w:rPr>
        <w:rFonts w:hint="default"/>
        <w:lang w:val="en-GB" w:eastAsia="en-GB" w:bidi="en-GB"/>
      </w:rPr>
    </w:lvl>
    <w:lvl w:ilvl="7" w:tplc="DF24FB1A">
      <w:numFmt w:val="bullet"/>
      <w:lvlText w:val="•"/>
      <w:lvlJc w:val="left"/>
      <w:pPr>
        <w:ind w:left="1511" w:hanging="217"/>
      </w:pPr>
      <w:rPr>
        <w:rFonts w:hint="default"/>
        <w:lang w:val="en-GB" w:eastAsia="en-GB" w:bidi="en-GB"/>
      </w:rPr>
    </w:lvl>
    <w:lvl w:ilvl="8" w:tplc="AC2A3B02">
      <w:numFmt w:val="bullet"/>
      <w:lvlText w:val="•"/>
      <w:lvlJc w:val="left"/>
      <w:pPr>
        <w:ind w:left="1684" w:hanging="217"/>
      </w:pPr>
      <w:rPr>
        <w:rFonts w:hint="default"/>
        <w:lang w:val="en-GB" w:eastAsia="en-GB" w:bidi="en-GB"/>
      </w:rPr>
    </w:lvl>
  </w:abstractNum>
  <w:abstractNum w:abstractNumId="857" w15:restartNumberingAfterBreak="0">
    <w:nsid w:val="4E49020D"/>
    <w:multiLevelType w:val="hybridMultilevel"/>
    <w:tmpl w:val="C756D418"/>
    <w:lvl w:ilvl="0" w:tplc="2A62556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366B440">
      <w:numFmt w:val="bullet"/>
      <w:lvlText w:val="•"/>
      <w:lvlJc w:val="left"/>
      <w:pPr>
        <w:ind w:left="439" w:hanging="217"/>
      </w:pPr>
      <w:rPr>
        <w:rFonts w:hint="default"/>
        <w:lang w:val="en-GB" w:eastAsia="en-GB" w:bidi="en-GB"/>
      </w:rPr>
    </w:lvl>
    <w:lvl w:ilvl="2" w:tplc="7F182D84">
      <w:numFmt w:val="bullet"/>
      <w:lvlText w:val="•"/>
      <w:lvlJc w:val="left"/>
      <w:pPr>
        <w:ind w:left="578" w:hanging="217"/>
      </w:pPr>
      <w:rPr>
        <w:rFonts w:hint="default"/>
        <w:lang w:val="en-GB" w:eastAsia="en-GB" w:bidi="en-GB"/>
      </w:rPr>
    </w:lvl>
    <w:lvl w:ilvl="3" w:tplc="AE8CC234">
      <w:numFmt w:val="bullet"/>
      <w:lvlText w:val="•"/>
      <w:lvlJc w:val="left"/>
      <w:pPr>
        <w:ind w:left="717" w:hanging="217"/>
      </w:pPr>
      <w:rPr>
        <w:rFonts w:hint="default"/>
        <w:lang w:val="en-GB" w:eastAsia="en-GB" w:bidi="en-GB"/>
      </w:rPr>
    </w:lvl>
    <w:lvl w:ilvl="4" w:tplc="D2581970">
      <w:numFmt w:val="bullet"/>
      <w:lvlText w:val="•"/>
      <w:lvlJc w:val="left"/>
      <w:pPr>
        <w:ind w:left="856" w:hanging="217"/>
      </w:pPr>
      <w:rPr>
        <w:rFonts w:hint="default"/>
        <w:lang w:val="en-GB" w:eastAsia="en-GB" w:bidi="en-GB"/>
      </w:rPr>
    </w:lvl>
    <w:lvl w:ilvl="5" w:tplc="44CEE692">
      <w:numFmt w:val="bullet"/>
      <w:lvlText w:val="•"/>
      <w:lvlJc w:val="left"/>
      <w:pPr>
        <w:ind w:left="995" w:hanging="217"/>
      </w:pPr>
      <w:rPr>
        <w:rFonts w:hint="default"/>
        <w:lang w:val="en-GB" w:eastAsia="en-GB" w:bidi="en-GB"/>
      </w:rPr>
    </w:lvl>
    <w:lvl w:ilvl="6" w:tplc="1C2C15B2">
      <w:numFmt w:val="bullet"/>
      <w:lvlText w:val="•"/>
      <w:lvlJc w:val="left"/>
      <w:pPr>
        <w:ind w:left="1134" w:hanging="217"/>
      </w:pPr>
      <w:rPr>
        <w:rFonts w:hint="default"/>
        <w:lang w:val="en-GB" w:eastAsia="en-GB" w:bidi="en-GB"/>
      </w:rPr>
    </w:lvl>
    <w:lvl w:ilvl="7" w:tplc="CEBED282">
      <w:numFmt w:val="bullet"/>
      <w:lvlText w:val="•"/>
      <w:lvlJc w:val="left"/>
      <w:pPr>
        <w:ind w:left="1273" w:hanging="217"/>
      </w:pPr>
      <w:rPr>
        <w:rFonts w:hint="default"/>
        <w:lang w:val="en-GB" w:eastAsia="en-GB" w:bidi="en-GB"/>
      </w:rPr>
    </w:lvl>
    <w:lvl w:ilvl="8" w:tplc="3E129ECC">
      <w:numFmt w:val="bullet"/>
      <w:lvlText w:val="•"/>
      <w:lvlJc w:val="left"/>
      <w:pPr>
        <w:ind w:left="1412" w:hanging="217"/>
      </w:pPr>
      <w:rPr>
        <w:rFonts w:hint="default"/>
        <w:lang w:val="en-GB" w:eastAsia="en-GB" w:bidi="en-GB"/>
      </w:rPr>
    </w:lvl>
  </w:abstractNum>
  <w:abstractNum w:abstractNumId="858" w15:restartNumberingAfterBreak="0">
    <w:nsid w:val="4E764BD3"/>
    <w:multiLevelType w:val="hybridMultilevel"/>
    <w:tmpl w:val="23CA65A8"/>
    <w:lvl w:ilvl="0" w:tplc="62386B0E">
      <w:numFmt w:val="bullet"/>
      <w:lvlText w:val="•"/>
      <w:lvlJc w:val="left"/>
      <w:pPr>
        <w:ind w:left="305" w:hanging="217"/>
      </w:pPr>
      <w:rPr>
        <w:rFonts w:ascii="Arial" w:eastAsia="Arial" w:hAnsi="Arial" w:cs="Arial" w:hint="default"/>
        <w:color w:val="231F20"/>
        <w:spacing w:val="-20"/>
        <w:w w:val="100"/>
        <w:sz w:val="18"/>
        <w:szCs w:val="18"/>
        <w:lang w:val="en-GB" w:eastAsia="en-GB" w:bidi="en-GB"/>
      </w:rPr>
    </w:lvl>
    <w:lvl w:ilvl="1" w:tplc="92C413C2">
      <w:numFmt w:val="bullet"/>
      <w:lvlText w:val="•"/>
      <w:lvlJc w:val="left"/>
      <w:pPr>
        <w:ind w:left="441" w:hanging="217"/>
      </w:pPr>
      <w:rPr>
        <w:rFonts w:hint="default"/>
        <w:lang w:val="en-GB" w:eastAsia="en-GB" w:bidi="en-GB"/>
      </w:rPr>
    </w:lvl>
    <w:lvl w:ilvl="2" w:tplc="5832DD32">
      <w:numFmt w:val="bullet"/>
      <w:lvlText w:val="•"/>
      <w:lvlJc w:val="left"/>
      <w:pPr>
        <w:ind w:left="583" w:hanging="217"/>
      </w:pPr>
      <w:rPr>
        <w:rFonts w:hint="default"/>
        <w:lang w:val="en-GB" w:eastAsia="en-GB" w:bidi="en-GB"/>
      </w:rPr>
    </w:lvl>
    <w:lvl w:ilvl="3" w:tplc="884E976C">
      <w:numFmt w:val="bullet"/>
      <w:lvlText w:val="•"/>
      <w:lvlJc w:val="left"/>
      <w:pPr>
        <w:ind w:left="725" w:hanging="217"/>
      </w:pPr>
      <w:rPr>
        <w:rFonts w:hint="default"/>
        <w:lang w:val="en-GB" w:eastAsia="en-GB" w:bidi="en-GB"/>
      </w:rPr>
    </w:lvl>
    <w:lvl w:ilvl="4" w:tplc="87E25920">
      <w:numFmt w:val="bullet"/>
      <w:lvlText w:val="•"/>
      <w:lvlJc w:val="left"/>
      <w:pPr>
        <w:ind w:left="867" w:hanging="217"/>
      </w:pPr>
      <w:rPr>
        <w:rFonts w:hint="default"/>
        <w:lang w:val="en-GB" w:eastAsia="en-GB" w:bidi="en-GB"/>
      </w:rPr>
    </w:lvl>
    <w:lvl w:ilvl="5" w:tplc="B82057BA">
      <w:numFmt w:val="bullet"/>
      <w:lvlText w:val="•"/>
      <w:lvlJc w:val="left"/>
      <w:pPr>
        <w:ind w:left="1009" w:hanging="217"/>
      </w:pPr>
      <w:rPr>
        <w:rFonts w:hint="default"/>
        <w:lang w:val="en-GB" w:eastAsia="en-GB" w:bidi="en-GB"/>
      </w:rPr>
    </w:lvl>
    <w:lvl w:ilvl="6" w:tplc="0A6ACD24">
      <w:numFmt w:val="bullet"/>
      <w:lvlText w:val="•"/>
      <w:lvlJc w:val="left"/>
      <w:pPr>
        <w:ind w:left="1151" w:hanging="217"/>
      </w:pPr>
      <w:rPr>
        <w:rFonts w:hint="default"/>
        <w:lang w:val="en-GB" w:eastAsia="en-GB" w:bidi="en-GB"/>
      </w:rPr>
    </w:lvl>
    <w:lvl w:ilvl="7" w:tplc="52888024">
      <w:numFmt w:val="bullet"/>
      <w:lvlText w:val="•"/>
      <w:lvlJc w:val="left"/>
      <w:pPr>
        <w:ind w:left="1293" w:hanging="217"/>
      </w:pPr>
      <w:rPr>
        <w:rFonts w:hint="default"/>
        <w:lang w:val="en-GB" w:eastAsia="en-GB" w:bidi="en-GB"/>
      </w:rPr>
    </w:lvl>
    <w:lvl w:ilvl="8" w:tplc="4B8481EE">
      <w:numFmt w:val="bullet"/>
      <w:lvlText w:val="•"/>
      <w:lvlJc w:val="left"/>
      <w:pPr>
        <w:ind w:left="1435" w:hanging="217"/>
      </w:pPr>
      <w:rPr>
        <w:rFonts w:hint="default"/>
        <w:lang w:val="en-GB" w:eastAsia="en-GB" w:bidi="en-GB"/>
      </w:rPr>
    </w:lvl>
  </w:abstractNum>
  <w:abstractNum w:abstractNumId="859" w15:restartNumberingAfterBreak="0">
    <w:nsid w:val="4E775F81"/>
    <w:multiLevelType w:val="hybridMultilevel"/>
    <w:tmpl w:val="659C6D1A"/>
    <w:lvl w:ilvl="0" w:tplc="DC565E7E">
      <w:numFmt w:val="bullet"/>
      <w:lvlText w:val="•"/>
      <w:lvlJc w:val="left"/>
      <w:pPr>
        <w:ind w:left="276" w:hanging="217"/>
      </w:pPr>
      <w:rPr>
        <w:rFonts w:ascii="Arial" w:eastAsia="Arial" w:hAnsi="Arial" w:cs="Arial" w:hint="default"/>
        <w:color w:val="231F20"/>
        <w:w w:val="97"/>
        <w:sz w:val="16"/>
        <w:szCs w:val="16"/>
        <w:lang w:val="en-GB" w:eastAsia="en-GB" w:bidi="en-GB"/>
      </w:rPr>
    </w:lvl>
    <w:lvl w:ilvl="1" w:tplc="89B08728">
      <w:numFmt w:val="bullet"/>
      <w:lvlText w:val="•"/>
      <w:lvlJc w:val="left"/>
      <w:pPr>
        <w:ind w:left="381" w:hanging="217"/>
      </w:pPr>
      <w:rPr>
        <w:rFonts w:hint="default"/>
        <w:lang w:val="en-GB" w:eastAsia="en-GB" w:bidi="en-GB"/>
      </w:rPr>
    </w:lvl>
    <w:lvl w:ilvl="2" w:tplc="91168BEA">
      <w:numFmt w:val="bullet"/>
      <w:lvlText w:val="•"/>
      <w:lvlJc w:val="left"/>
      <w:pPr>
        <w:ind w:left="482" w:hanging="217"/>
      </w:pPr>
      <w:rPr>
        <w:rFonts w:hint="default"/>
        <w:lang w:val="en-GB" w:eastAsia="en-GB" w:bidi="en-GB"/>
      </w:rPr>
    </w:lvl>
    <w:lvl w:ilvl="3" w:tplc="F01E3124">
      <w:numFmt w:val="bullet"/>
      <w:lvlText w:val="•"/>
      <w:lvlJc w:val="left"/>
      <w:pPr>
        <w:ind w:left="584" w:hanging="217"/>
      </w:pPr>
      <w:rPr>
        <w:rFonts w:hint="default"/>
        <w:lang w:val="en-GB" w:eastAsia="en-GB" w:bidi="en-GB"/>
      </w:rPr>
    </w:lvl>
    <w:lvl w:ilvl="4" w:tplc="794CF2AA">
      <w:numFmt w:val="bullet"/>
      <w:lvlText w:val="•"/>
      <w:lvlJc w:val="left"/>
      <w:pPr>
        <w:ind w:left="685" w:hanging="217"/>
      </w:pPr>
      <w:rPr>
        <w:rFonts w:hint="default"/>
        <w:lang w:val="en-GB" w:eastAsia="en-GB" w:bidi="en-GB"/>
      </w:rPr>
    </w:lvl>
    <w:lvl w:ilvl="5" w:tplc="F692D66C">
      <w:numFmt w:val="bullet"/>
      <w:lvlText w:val="•"/>
      <w:lvlJc w:val="left"/>
      <w:pPr>
        <w:ind w:left="787" w:hanging="217"/>
      </w:pPr>
      <w:rPr>
        <w:rFonts w:hint="default"/>
        <w:lang w:val="en-GB" w:eastAsia="en-GB" w:bidi="en-GB"/>
      </w:rPr>
    </w:lvl>
    <w:lvl w:ilvl="6" w:tplc="862A7F9E">
      <w:numFmt w:val="bullet"/>
      <w:lvlText w:val="•"/>
      <w:lvlJc w:val="left"/>
      <w:pPr>
        <w:ind w:left="888" w:hanging="217"/>
      </w:pPr>
      <w:rPr>
        <w:rFonts w:hint="default"/>
        <w:lang w:val="en-GB" w:eastAsia="en-GB" w:bidi="en-GB"/>
      </w:rPr>
    </w:lvl>
    <w:lvl w:ilvl="7" w:tplc="63DA2DAC">
      <w:numFmt w:val="bullet"/>
      <w:lvlText w:val="•"/>
      <w:lvlJc w:val="left"/>
      <w:pPr>
        <w:ind w:left="989" w:hanging="217"/>
      </w:pPr>
      <w:rPr>
        <w:rFonts w:hint="default"/>
        <w:lang w:val="en-GB" w:eastAsia="en-GB" w:bidi="en-GB"/>
      </w:rPr>
    </w:lvl>
    <w:lvl w:ilvl="8" w:tplc="ADBEF794">
      <w:numFmt w:val="bullet"/>
      <w:lvlText w:val="•"/>
      <w:lvlJc w:val="left"/>
      <w:pPr>
        <w:ind w:left="1091" w:hanging="217"/>
      </w:pPr>
      <w:rPr>
        <w:rFonts w:hint="default"/>
        <w:lang w:val="en-GB" w:eastAsia="en-GB" w:bidi="en-GB"/>
      </w:rPr>
    </w:lvl>
  </w:abstractNum>
  <w:abstractNum w:abstractNumId="860" w15:restartNumberingAfterBreak="0">
    <w:nsid w:val="4E832F1A"/>
    <w:multiLevelType w:val="hybridMultilevel"/>
    <w:tmpl w:val="6226C942"/>
    <w:lvl w:ilvl="0" w:tplc="9D5C68F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830DB76">
      <w:numFmt w:val="bullet"/>
      <w:lvlText w:val="•"/>
      <w:lvlJc w:val="left"/>
      <w:pPr>
        <w:ind w:left="473" w:hanging="217"/>
      </w:pPr>
      <w:rPr>
        <w:rFonts w:hint="default"/>
        <w:lang w:val="en-GB" w:eastAsia="en-GB" w:bidi="en-GB"/>
      </w:rPr>
    </w:lvl>
    <w:lvl w:ilvl="2" w:tplc="F9B8CE48">
      <w:numFmt w:val="bullet"/>
      <w:lvlText w:val="•"/>
      <w:lvlJc w:val="left"/>
      <w:pPr>
        <w:ind w:left="646" w:hanging="217"/>
      </w:pPr>
      <w:rPr>
        <w:rFonts w:hint="default"/>
        <w:lang w:val="en-GB" w:eastAsia="en-GB" w:bidi="en-GB"/>
      </w:rPr>
    </w:lvl>
    <w:lvl w:ilvl="3" w:tplc="45A05BA6">
      <w:numFmt w:val="bullet"/>
      <w:lvlText w:val="•"/>
      <w:lvlJc w:val="left"/>
      <w:pPr>
        <w:ind w:left="819" w:hanging="217"/>
      </w:pPr>
      <w:rPr>
        <w:rFonts w:hint="default"/>
        <w:lang w:val="en-GB" w:eastAsia="en-GB" w:bidi="en-GB"/>
      </w:rPr>
    </w:lvl>
    <w:lvl w:ilvl="4" w:tplc="4854256A">
      <w:numFmt w:val="bullet"/>
      <w:lvlText w:val="•"/>
      <w:lvlJc w:val="left"/>
      <w:pPr>
        <w:ind w:left="992" w:hanging="217"/>
      </w:pPr>
      <w:rPr>
        <w:rFonts w:hint="default"/>
        <w:lang w:val="en-GB" w:eastAsia="en-GB" w:bidi="en-GB"/>
      </w:rPr>
    </w:lvl>
    <w:lvl w:ilvl="5" w:tplc="B5087272">
      <w:numFmt w:val="bullet"/>
      <w:lvlText w:val="•"/>
      <w:lvlJc w:val="left"/>
      <w:pPr>
        <w:ind w:left="1165" w:hanging="217"/>
      </w:pPr>
      <w:rPr>
        <w:rFonts w:hint="default"/>
        <w:lang w:val="en-GB" w:eastAsia="en-GB" w:bidi="en-GB"/>
      </w:rPr>
    </w:lvl>
    <w:lvl w:ilvl="6" w:tplc="FAA89552">
      <w:numFmt w:val="bullet"/>
      <w:lvlText w:val="•"/>
      <w:lvlJc w:val="left"/>
      <w:pPr>
        <w:ind w:left="1338" w:hanging="217"/>
      </w:pPr>
      <w:rPr>
        <w:rFonts w:hint="default"/>
        <w:lang w:val="en-GB" w:eastAsia="en-GB" w:bidi="en-GB"/>
      </w:rPr>
    </w:lvl>
    <w:lvl w:ilvl="7" w:tplc="F8602912">
      <w:numFmt w:val="bullet"/>
      <w:lvlText w:val="•"/>
      <w:lvlJc w:val="left"/>
      <w:pPr>
        <w:ind w:left="1511" w:hanging="217"/>
      </w:pPr>
      <w:rPr>
        <w:rFonts w:hint="default"/>
        <w:lang w:val="en-GB" w:eastAsia="en-GB" w:bidi="en-GB"/>
      </w:rPr>
    </w:lvl>
    <w:lvl w:ilvl="8" w:tplc="048CCB90">
      <w:numFmt w:val="bullet"/>
      <w:lvlText w:val="•"/>
      <w:lvlJc w:val="left"/>
      <w:pPr>
        <w:ind w:left="1684" w:hanging="217"/>
      </w:pPr>
      <w:rPr>
        <w:rFonts w:hint="default"/>
        <w:lang w:val="en-GB" w:eastAsia="en-GB" w:bidi="en-GB"/>
      </w:rPr>
    </w:lvl>
  </w:abstractNum>
  <w:abstractNum w:abstractNumId="861" w15:restartNumberingAfterBreak="0">
    <w:nsid w:val="4EB12860"/>
    <w:multiLevelType w:val="hybridMultilevel"/>
    <w:tmpl w:val="3F3094B4"/>
    <w:lvl w:ilvl="0" w:tplc="313075DA">
      <w:numFmt w:val="bullet"/>
      <w:lvlText w:val="•"/>
      <w:lvlJc w:val="left"/>
      <w:pPr>
        <w:ind w:left="303" w:hanging="217"/>
      </w:pPr>
      <w:rPr>
        <w:rFonts w:ascii="Arial" w:eastAsia="Arial" w:hAnsi="Arial" w:cs="Arial" w:hint="default"/>
        <w:color w:val="231F20"/>
        <w:w w:val="102"/>
        <w:sz w:val="17"/>
        <w:szCs w:val="17"/>
        <w:lang w:val="en-GB" w:eastAsia="en-GB" w:bidi="en-GB"/>
      </w:rPr>
    </w:lvl>
    <w:lvl w:ilvl="1" w:tplc="B56A59E4">
      <w:numFmt w:val="bullet"/>
      <w:lvlText w:val="•"/>
      <w:lvlJc w:val="left"/>
      <w:pPr>
        <w:ind w:left="439" w:hanging="217"/>
      </w:pPr>
      <w:rPr>
        <w:rFonts w:hint="default"/>
        <w:lang w:val="en-GB" w:eastAsia="en-GB" w:bidi="en-GB"/>
      </w:rPr>
    </w:lvl>
    <w:lvl w:ilvl="2" w:tplc="EE88804E">
      <w:numFmt w:val="bullet"/>
      <w:lvlText w:val="•"/>
      <w:lvlJc w:val="left"/>
      <w:pPr>
        <w:ind w:left="578" w:hanging="217"/>
      </w:pPr>
      <w:rPr>
        <w:rFonts w:hint="default"/>
        <w:lang w:val="en-GB" w:eastAsia="en-GB" w:bidi="en-GB"/>
      </w:rPr>
    </w:lvl>
    <w:lvl w:ilvl="3" w:tplc="A54A980C">
      <w:numFmt w:val="bullet"/>
      <w:lvlText w:val="•"/>
      <w:lvlJc w:val="left"/>
      <w:pPr>
        <w:ind w:left="717" w:hanging="217"/>
      </w:pPr>
      <w:rPr>
        <w:rFonts w:hint="default"/>
        <w:lang w:val="en-GB" w:eastAsia="en-GB" w:bidi="en-GB"/>
      </w:rPr>
    </w:lvl>
    <w:lvl w:ilvl="4" w:tplc="96DC031E">
      <w:numFmt w:val="bullet"/>
      <w:lvlText w:val="•"/>
      <w:lvlJc w:val="left"/>
      <w:pPr>
        <w:ind w:left="856" w:hanging="217"/>
      </w:pPr>
      <w:rPr>
        <w:rFonts w:hint="default"/>
        <w:lang w:val="en-GB" w:eastAsia="en-GB" w:bidi="en-GB"/>
      </w:rPr>
    </w:lvl>
    <w:lvl w:ilvl="5" w:tplc="E38C0CA2">
      <w:numFmt w:val="bullet"/>
      <w:lvlText w:val="•"/>
      <w:lvlJc w:val="left"/>
      <w:pPr>
        <w:ind w:left="995" w:hanging="217"/>
      </w:pPr>
      <w:rPr>
        <w:rFonts w:hint="default"/>
        <w:lang w:val="en-GB" w:eastAsia="en-GB" w:bidi="en-GB"/>
      </w:rPr>
    </w:lvl>
    <w:lvl w:ilvl="6" w:tplc="21B43D6C">
      <w:numFmt w:val="bullet"/>
      <w:lvlText w:val="•"/>
      <w:lvlJc w:val="left"/>
      <w:pPr>
        <w:ind w:left="1134" w:hanging="217"/>
      </w:pPr>
      <w:rPr>
        <w:rFonts w:hint="default"/>
        <w:lang w:val="en-GB" w:eastAsia="en-GB" w:bidi="en-GB"/>
      </w:rPr>
    </w:lvl>
    <w:lvl w:ilvl="7" w:tplc="DC16E1B2">
      <w:numFmt w:val="bullet"/>
      <w:lvlText w:val="•"/>
      <w:lvlJc w:val="left"/>
      <w:pPr>
        <w:ind w:left="1273" w:hanging="217"/>
      </w:pPr>
      <w:rPr>
        <w:rFonts w:hint="default"/>
        <w:lang w:val="en-GB" w:eastAsia="en-GB" w:bidi="en-GB"/>
      </w:rPr>
    </w:lvl>
    <w:lvl w:ilvl="8" w:tplc="E556A050">
      <w:numFmt w:val="bullet"/>
      <w:lvlText w:val="•"/>
      <w:lvlJc w:val="left"/>
      <w:pPr>
        <w:ind w:left="1412" w:hanging="217"/>
      </w:pPr>
      <w:rPr>
        <w:rFonts w:hint="default"/>
        <w:lang w:val="en-GB" w:eastAsia="en-GB" w:bidi="en-GB"/>
      </w:rPr>
    </w:lvl>
  </w:abstractNum>
  <w:abstractNum w:abstractNumId="862" w15:restartNumberingAfterBreak="0">
    <w:nsid w:val="4EBA6A58"/>
    <w:multiLevelType w:val="hybridMultilevel"/>
    <w:tmpl w:val="FB521802"/>
    <w:lvl w:ilvl="0" w:tplc="803626B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4240A86">
      <w:numFmt w:val="bullet"/>
      <w:lvlText w:val="•"/>
      <w:lvlJc w:val="left"/>
      <w:pPr>
        <w:ind w:left="473" w:hanging="217"/>
      </w:pPr>
      <w:rPr>
        <w:rFonts w:hint="default"/>
        <w:lang w:val="en-GB" w:eastAsia="en-GB" w:bidi="en-GB"/>
      </w:rPr>
    </w:lvl>
    <w:lvl w:ilvl="2" w:tplc="11621F68">
      <w:numFmt w:val="bullet"/>
      <w:lvlText w:val="•"/>
      <w:lvlJc w:val="left"/>
      <w:pPr>
        <w:ind w:left="646" w:hanging="217"/>
      </w:pPr>
      <w:rPr>
        <w:rFonts w:hint="default"/>
        <w:lang w:val="en-GB" w:eastAsia="en-GB" w:bidi="en-GB"/>
      </w:rPr>
    </w:lvl>
    <w:lvl w:ilvl="3" w:tplc="5E962180">
      <w:numFmt w:val="bullet"/>
      <w:lvlText w:val="•"/>
      <w:lvlJc w:val="left"/>
      <w:pPr>
        <w:ind w:left="819" w:hanging="217"/>
      </w:pPr>
      <w:rPr>
        <w:rFonts w:hint="default"/>
        <w:lang w:val="en-GB" w:eastAsia="en-GB" w:bidi="en-GB"/>
      </w:rPr>
    </w:lvl>
    <w:lvl w:ilvl="4" w:tplc="B3F430DE">
      <w:numFmt w:val="bullet"/>
      <w:lvlText w:val="•"/>
      <w:lvlJc w:val="left"/>
      <w:pPr>
        <w:ind w:left="992" w:hanging="217"/>
      </w:pPr>
      <w:rPr>
        <w:rFonts w:hint="default"/>
        <w:lang w:val="en-GB" w:eastAsia="en-GB" w:bidi="en-GB"/>
      </w:rPr>
    </w:lvl>
    <w:lvl w:ilvl="5" w:tplc="443AB1E8">
      <w:numFmt w:val="bullet"/>
      <w:lvlText w:val="•"/>
      <w:lvlJc w:val="left"/>
      <w:pPr>
        <w:ind w:left="1165" w:hanging="217"/>
      </w:pPr>
      <w:rPr>
        <w:rFonts w:hint="default"/>
        <w:lang w:val="en-GB" w:eastAsia="en-GB" w:bidi="en-GB"/>
      </w:rPr>
    </w:lvl>
    <w:lvl w:ilvl="6" w:tplc="BC86F352">
      <w:numFmt w:val="bullet"/>
      <w:lvlText w:val="•"/>
      <w:lvlJc w:val="left"/>
      <w:pPr>
        <w:ind w:left="1338" w:hanging="217"/>
      </w:pPr>
      <w:rPr>
        <w:rFonts w:hint="default"/>
        <w:lang w:val="en-GB" w:eastAsia="en-GB" w:bidi="en-GB"/>
      </w:rPr>
    </w:lvl>
    <w:lvl w:ilvl="7" w:tplc="1056F678">
      <w:numFmt w:val="bullet"/>
      <w:lvlText w:val="•"/>
      <w:lvlJc w:val="left"/>
      <w:pPr>
        <w:ind w:left="1511" w:hanging="217"/>
      </w:pPr>
      <w:rPr>
        <w:rFonts w:hint="default"/>
        <w:lang w:val="en-GB" w:eastAsia="en-GB" w:bidi="en-GB"/>
      </w:rPr>
    </w:lvl>
    <w:lvl w:ilvl="8" w:tplc="DB528126">
      <w:numFmt w:val="bullet"/>
      <w:lvlText w:val="•"/>
      <w:lvlJc w:val="left"/>
      <w:pPr>
        <w:ind w:left="1684" w:hanging="217"/>
      </w:pPr>
      <w:rPr>
        <w:rFonts w:hint="default"/>
        <w:lang w:val="en-GB" w:eastAsia="en-GB" w:bidi="en-GB"/>
      </w:rPr>
    </w:lvl>
  </w:abstractNum>
  <w:abstractNum w:abstractNumId="863" w15:restartNumberingAfterBreak="0">
    <w:nsid w:val="4ED45CD9"/>
    <w:multiLevelType w:val="hybridMultilevel"/>
    <w:tmpl w:val="76EA91BA"/>
    <w:lvl w:ilvl="0" w:tplc="111CCBC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598AD10">
      <w:numFmt w:val="bullet"/>
      <w:lvlText w:val="•"/>
      <w:lvlJc w:val="left"/>
      <w:pPr>
        <w:ind w:left="439" w:hanging="217"/>
      </w:pPr>
      <w:rPr>
        <w:rFonts w:hint="default"/>
        <w:lang w:val="en-GB" w:eastAsia="en-GB" w:bidi="en-GB"/>
      </w:rPr>
    </w:lvl>
    <w:lvl w:ilvl="2" w:tplc="A8D47608">
      <w:numFmt w:val="bullet"/>
      <w:lvlText w:val="•"/>
      <w:lvlJc w:val="left"/>
      <w:pPr>
        <w:ind w:left="578" w:hanging="217"/>
      </w:pPr>
      <w:rPr>
        <w:rFonts w:hint="default"/>
        <w:lang w:val="en-GB" w:eastAsia="en-GB" w:bidi="en-GB"/>
      </w:rPr>
    </w:lvl>
    <w:lvl w:ilvl="3" w:tplc="83863EB6">
      <w:numFmt w:val="bullet"/>
      <w:lvlText w:val="•"/>
      <w:lvlJc w:val="left"/>
      <w:pPr>
        <w:ind w:left="717" w:hanging="217"/>
      </w:pPr>
      <w:rPr>
        <w:rFonts w:hint="default"/>
        <w:lang w:val="en-GB" w:eastAsia="en-GB" w:bidi="en-GB"/>
      </w:rPr>
    </w:lvl>
    <w:lvl w:ilvl="4" w:tplc="38E2BC46">
      <w:numFmt w:val="bullet"/>
      <w:lvlText w:val="•"/>
      <w:lvlJc w:val="left"/>
      <w:pPr>
        <w:ind w:left="856" w:hanging="217"/>
      </w:pPr>
      <w:rPr>
        <w:rFonts w:hint="default"/>
        <w:lang w:val="en-GB" w:eastAsia="en-GB" w:bidi="en-GB"/>
      </w:rPr>
    </w:lvl>
    <w:lvl w:ilvl="5" w:tplc="7450C164">
      <w:numFmt w:val="bullet"/>
      <w:lvlText w:val="•"/>
      <w:lvlJc w:val="left"/>
      <w:pPr>
        <w:ind w:left="995" w:hanging="217"/>
      </w:pPr>
      <w:rPr>
        <w:rFonts w:hint="default"/>
        <w:lang w:val="en-GB" w:eastAsia="en-GB" w:bidi="en-GB"/>
      </w:rPr>
    </w:lvl>
    <w:lvl w:ilvl="6" w:tplc="B2CA6A18">
      <w:numFmt w:val="bullet"/>
      <w:lvlText w:val="•"/>
      <w:lvlJc w:val="left"/>
      <w:pPr>
        <w:ind w:left="1134" w:hanging="217"/>
      </w:pPr>
      <w:rPr>
        <w:rFonts w:hint="default"/>
        <w:lang w:val="en-GB" w:eastAsia="en-GB" w:bidi="en-GB"/>
      </w:rPr>
    </w:lvl>
    <w:lvl w:ilvl="7" w:tplc="92DED628">
      <w:numFmt w:val="bullet"/>
      <w:lvlText w:val="•"/>
      <w:lvlJc w:val="left"/>
      <w:pPr>
        <w:ind w:left="1273" w:hanging="217"/>
      </w:pPr>
      <w:rPr>
        <w:rFonts w:hint="default"/>
        <w:lang w:val="en-GB" w:eastAsia="en-GB" w:bidi="en-GB"/>
      </w:rPr>
    </w:lvl>
    <w:lvl w:ilvl="8" w:tplc="3CD4E972">
      <w:numFmt w:val="bullet"/>
      <w:lvlText w:val="•"/>
      <w:lvlJc w:val="left"/>
      <w:pPr>
        <w:ind w:left="1412" w:hanging="217"/>
      </w:pPr>
      <w:rPr>
        <w:rFonts w:hint="default"/>
        <w:lang w:val="en-GB" w:eastAsia="en-GB" w:bidi="en-GB"/>
      </w:rPr>
    </w:lvl>
  </w:abstractNum>
  <w:abstractNum w:abstractNumId="864" w15:restartNumberingAfterBreak="0">
    <w:nsid w:val="4ED62D85"/>
    <w:multiLevelType w:val="hybridMultilevel"/>
    <w:tmpl w:val="0734C038"/>
    <w:lvl w:ilvl="0" w:tplc="976A50A2">
      <w:numFmt w:val="bullet"/>
      <w:lvlText w:val="•"/>
      <w:lvlJc w:val="left"/>
      <w:pPr>
        <w:ind w:left="303" w:hanging="217"/>
      </w:pPr>
      <w:rPr>
        <w:rFonts w:ascii="Arial" w:eastAsia="Arial" w:hAnsi="Arial" w:cs="Arial" w:hint="default"/>
        <w:color w:val="231F20"/>
        <w:w w:val="102"/>
        <w:sz w:val="17"/>
        <w:szCs w:val="17"/>
        <w:lang w:val="en-GB" w:eastAsia="en-GB" w:bidi="en-GB"/>
      </w:rPr>
    </w:lvl>
    <w:lvl w:ilvl="1" w:tplc="C4C8AA28">
      <w:numFmt w:val="bullet"/>
      <w:lvlText w:val="•"/>
      <w:lvlJc w:val="left"/>
      <w:pPr>
        <w:ind w:left="439" w:hanging="217"/>
      </w:pPr>
      <w:rPr>
        <w:rFonts w:hint="default"/>
        <w:lang w:val="en-GB" w:eastAsia="en-GB" w:bidi="en-GB"/>
      </w:rPr>
    </w:lvl>
    <w:lvl w:ilvl="2" w:tplc="29F85F08">
      <w:numFmt w:val="bullet"/>
      <w:lvlText w:val="•"/>
      <w:lvlJc w:val="left"/>
      <w:pPr>
        <w:ind w:left="578" w:hanging="217"/>
      </w:pPr>
      <w:rPr>
        <w:rFonts w:hint="default"/>
        <w:lang w:val="en-GB" w:eastAsia="en-GB" w:bidi="en-GB"/>
      </w:rPr>
    </w:lvl>
    <w:lvl w:ilvl="3" w:tplc="3064D8BE">
      <w:numFmt w:val="bullet"/>
      <w:lvlText w:val="•"/>
      <w:lvlJc w:val="left"/>
      <w:pPr>
        <w:ind w:left="717" w:hanging="217"/>
      </w:pPr>
      <w:rPr>
        <w:rFonts w:hint="default"/>
        <w:lang w:val="en-GB" w:eastAsia="en-GB" w:bidi="en-GB"/>
      </w:rPr>
    </w:lvl>
    <w:lvl w:ilvl="4" w:tplc="6A8E5DC6">
      <w:numFmt w:val="bullet"/>
      <w:lvlText w:val="•"/>
      <w:lvlJc w:val="left"/>
      <w:pPr>
        <w:ind w:left="856" w:hanging="217"/>
      </w:pPr>
      <w:rPr>
        <w:rFonts w:hint="default"/>
        <w:lang w:val="en-GB" w:eastAsia="en-GB" w:bidi="en-GB"/>
      </w:rPr>
    </w:lvl>
    <w:lvl w:ilvl="5" w:tplc="0F34832A">
      <w:numFmt w:val="bullet"/>
      <w:lvlText w:val="•"/>
      <w:lvlJc w:val="left"/>
      <w:pPr>
        <w:ind w:left="995" w:hanging="217"/>
      </w:pPr>
      <w:rPr>
        <w:rFonts w:hint="default"/>
        <w:lang w:val="en-GB" w:eastAsia="en-GB" w:bidi="en-GB"/>
      </w:rPr>
    </w:lvl>
    <w:lvl w:ilvl="6" w:tplc="733A1C52">
      <w:numFmt w:val="bullet"/>
      <w:lvlText w:val="•"/>
      <w:lvlJc w:val="left"/>
      <w:pPr>
        <w:ind w:left="1134" w:hanging="217"/>
      </w:pPr>
      <w:rPr>
        <w:rFonts w:hint="default"/>
        <w:lang w:val="en-GB" w:eastAsia="en-GB" w:bidi="en-GB"/>
      </w:rPr>
    </w:lvl>
    <w:lvl w:ilvl="7" w:tplc="CF0EF650">
      <w:numFmt w:val="bullet"/>
      <w:lvlText w:val="•"/>
      <w:lvlJc w:val="left"/>
      <w:pPr>
        <w:ind w:left="1273" w:hanging="217"/>
      </w:pPr>
      <w:rPr>
        <w:rFonts w:hint="default"/>
        <w:lang w:val="en-GB" w:eastAsia="en-GB" w:bidi="en-GB"/>
      </w:rPr>
    </w:lvl>
    <w:lvl w:ilvl="8" w:tplc="FE243E8A">
      <w:numFmt w:val="bullet"/>
      <w:lvlText w:val="•"/>
      <w:lvlJc w:val="left"/>
      <w:pPr>
        <w:ind w:left="1412" w:hanging="217"/>
      </w:pPr>
      <w:rPr>
        <w:rFonts w:hint="default"/>
        <w:lang w:val="en-GB" w:eastAsia="en-GB" w:bidi="en-GB"/>
      </w:rPr>
    </w:lvl>
  </w:abstractNum>
  <w:abstractNum w:abstractNumId="865" w15:restartNumberingAfterBreak="0">
    <w:nsid w:val="4EDF7F5C"/>
    <w:multiLevelType w:val="hybridMultilevel"/>
    <w:tmpl w:val="738C1EC8"/>
    <w:lvl w:ilvl="0" w:tplc="5F64D8F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D8946610">
      <w:numFmt w:val="bullet"/>
      <w:lvlText w:val="•"/>
      <w:lvlJc w:val="left"/>
      <w:pPr>
        <w:ind w:left="473" w:hanging="217"/>
      </w:pPr>
      <w:rPr>
        <w:rFonts w:hint="default"/>
        <w:lang w:val="en-GB" w:eastAsia="en-GB" w:bidi="en-GB"/>
      </w:rPr>
    </w:lvl>
    <w:lvl w:ilvl="2" w:tplc="0E0C506A">
      <w:numFmt w:val="bullet"/>
      <w:lvlText w:val="•"/>
      <w:lvlJc w:val="left"/>
      <w:pPr>
        <w:ind w:left="646" w:hanging="217"/>
      </w:pPr>
      <w:rPr>
        <w:rFonts w:hint="default"/>
        <w:lang w:val="en-GB" w:eastAsia="en-GB" w:bidi="en-GB"/>
      </w:rPr>
    </w:lvl>
    <w:lvl w:ilvl="3" w:tplc="8A324696">
      <w:numFmt w:val="bullet"/>
      <w:lvlText w:val="•"/>
      <w:lvlJc w:val="left"/>
      <w:pPr>
        <w:ind w:left="819" w:hanging="217"/>
      </w:pPr>
      <w:rPr>
        <w:rFonts w:hint="default"/>
        <w:lang w:val="en-GB" w:eastAsia="en-GB" w:bidi="en-GB"/>
      </w:rPr>
    </w:lvl>
    <w:lvl w:ilvl="4" w:tplc="3F7A907A">
      <w:numFmt w:val="bullet"/>
      <w:lvlText w:val="•"/>
      <w:lvlJc w:val="left"/>
      <w:pPr>
        <w:ind w:left="992" w:hanging="217"/>
      </w:pPr>
      <w:rPr>
        <w:rFonts w:hint="default"/>
        <w:lang w:val="en-GB" w:eastAsia="en-GB" w:bidi="en-GB"/>
      </w:rPr>
    </w:lvl>
    <w:lvl w:ilvl="5" w:tplc="35381568">
      <w:numFmt w:val="bullet"/>
      <w:lvlText w:val="•"/>
      <w:lvlJc w:val="left"/>
      <w:pPr>
        <w:ind w:left="1165" w:hanging="217"/>
      </w:pPr>
      <w:rPr>
        <w:rFonts w:hint="default"/>
        <w:lang w:val="en-GB" w:eastAsia="en-GB" w:bidi="en-GB"/>
      </w:rPr>
    </w:lvl>
    <w:lvl w:ilvl="6" w:tplc="B2E444C0">
      <w:numFmt w:val="bullet"/>
      <w:lvlText w:val="•"/>
      <w:lvlJc w:val="left"/>
      <w:pPr>
        <w:ind w:left="1338" w:hanging="217"/>
      </w:pPr>
      <w:rPr>
        <w:rFonts w:hint="default"/>
        <w:lang w:val="en-GB" w:eastAsia="en-GB" w:bidi="en-GB"/>
      </w:rPr>
    </w:lvl>
    <w:lvl w:ilvl="7" w:tplc="E31ADEC4">
      <w:numFmt w:val="bullet"/>
      <w:lvlText w:val="•"/>
      <w:lvlJc w:val="left"/>
      <w:pPr>
        <w:ind w:left="1511" w:hanging="217"/>
      </w:pPr>
      <w:rPr>
        <w:rFonts w:hint="default"/>
        <w:lang w:val="en-GB" w:eastAsia="en-GB" w:bidi="en-GB"/>
      </w:rPr>
    </w:lvl>
    <w:lvl w:ilvl="8" w:tplc="9124A7CE">
      <w:numFmt w:val="bullet"/>
      <w:lvlText w:val="•"/>
      <w:lvlJc w:val="left"/>
      <w:pPr>
        <w:ind w:left="1684" w:hanging="217"/>
      </w:pPr>
      <w:rPr>
        <w:rFonts w:hint="default"/>
        <w:lang w:val="en-GB" w:eastAsia="en-GB" w:bidi="en-GB"/>
      </w:rPr>
    </w:lvl>
  </w:abstractNum>
  <w:abstractNum w:abstractNumId="866" w15:restartNumberingAfterBreak="0">
    <w:nsid w:val="4EE14D27"/>
    <w:multiLevelType w:val="multilevel"/>
    <w:tmpl w:val="986E3D86"/>
    <w:lvl w:ilvl="0">
      <w:start w:val="3"/>
      <w:numFmt w:val="decimal"/>
      <w:lvlText w:val="%1"/>
      <w:lvlJc w:val="left"/>
      <w:pPr>
        <w:ind w:left="910" w:hanging="701"/>
      </w:pPr>
      <w:rPr>
        <w:rFonts w:hint="default"/>
        <w:lang w:val="en-GB" w:eastAsia="en-GB" w:bidi="en-GB"/>
      </w:rPr>
    </w:lvl>
    <w:lvl w:ilvl="1">
      <w:start w:val="1"/>
      <w:numFmt w:val="decimal"/>
      <w:lvlText w:val="%1.%2"/>
      <w:lvlJc w:val="left"/>
      <w:pPr>
        <w:ind w:left="910" w:hanging="701"/>
      </w:pPr>
      <w:rPr>
        <w:rFonts w:ascii="Arial" w:eastAsia="Arial" w:hAnsi="Arial" w:cs="Arial" w:hint="default"/>
        <w:color w:val="231F20"/>
        <w:spacing w:val="-1"/>
        <w:w w:val="100"/>
        <w:sz w:val="42"/>
        <w:szCs w:val="42"/>
        <w:lang w:val="en-GB" w:eastAsia="en-GB" w:bidi="en-GB"/>
      </w:rPr>
    </w:lvl>
    <w:lvl w:ilvl="2">
      <w:start w:val="1"/>
      <w:numFmt w:val="decimal"/>
      <w:lvlText w:val="%1.%2.%3"/>
      <w:lvlJc w:val="left"/>
      <w:pPr>
        <w:ind w:left="810" w:hanging="601"/>
      </w:pPr>
      <w:rPr>
        <w:rFonts w:ascii="HelveticaNeueLTStd-Md" w:eastAsia="HelveticaNeueLTStd-Md" w:hAnsi="HelveticaNeueLTStd-Md" w:cs="HelveticaNeueLTStd-Md" w:hint="default"/>
        <w:color w:val="231F20"/>
        <w:w w:val="100"/>
        <w:sz w:val="24"/>
        <w:szCs w:val="24"/>
        <w:lang w:val="en-GB" w:eastAsia="en-GB" w:bidi="en-GB"/>
      </w:rPr>
    </w:lvl>
    <w:lvl w:ilvl="3">
      <w:numFmt w:val="bullet"/>
      <w:lvlText w:val="•"/>
      <w:lvlJc w:val="left"/>
      <w:pPr>
        <w:ind w:left="3072" w:hanging="601"/>
      </w:pPr>
      <w:rPr>
        <w:rFonts w:hint="default"/>
        <w:lang w:val="en-GB" w:eastAsia="en-GB" w:bidi="en-GB"/>
      </w:rPr>
    </w:lvl>
    <w:lvl w:ilvl="4">
      <w:numFmt w:val="bullet"/>
      <w:lvlText w:val="•"/>
      <w:lvlJc w:val="left"/>
      <w:pPr>
        <w:ind w:left="4148" w:hanging="601"/>
      </w:pPr>
      <w:rPr>
        <w:rFonts w:hint="default"/>
        <w:lang w:val="en-GB" w:eastAsia="en-GB" w:bidi="en-GB"/>
      </w:rPr>
    </w:lvl>
    <w:lvl w:ilvl="5">
      <w:numFmt w:val="bullet"/>
      <w:lvlText w:val="•"/>
      <w:lvlJc w:val="left"/>
      <w:pPr>
        <w:ind w:left="5224" w:hanging="601"/>
      </w:pPr>
      <w:rPr>
        <w:rFonts w:hint="default"/>
        <w:lang w:val="en-GB" w:eastAsia="en-GB" w:bidi="en-GB"/>
      </w:rPr>
    </w:lvl>
    <w:lvl w:ilvl="6">
      <w:numFmt w:val="bullet"/>
      <w:lvlText w:val="•"/>
      <w:lvlJc w:val="left"/>
      <w:pPr>
        <w:ind w:left="6300" w:hanging="601"/>
      </w:pPr>
      <w:rPr>
        <w:rFonts w:hint="default"/>
        <w:lang w:val="en-GB" w:eastAsia="en-GB" w:bidi="en-GB"/>
      </w:rPr>
    </w:lvl>
    <w:lvl w:ilvl="7">
      <w:numFmt w:val="bullet"/>
      <w:lvlText w:val="•"/>
      <w:lvlJc w:val="left"/>
      <w:pPr>
        <w:ind w:left="7377" w:hanging="601"/>
      </w:pPr>
      <w:rPr>
        <w:rFonts w:hint="default"/>
        <w:lang w:val="en-GB" w:eastAsia="en-GB" w:bidi="en-GB"/>
      </w:rPr>
    </w:lvl>
    <w:lvl w:ilvl="8">
      <w:numFmt w:val="bullet"/>
      <w:lvlText w:val="•"/>
      <w:lvlJc w:val="left"/>
      <w:pPr>
        <w:ind w:left="8453" w:hanging="601"/>
      </w:pPr>
      <w:rPr>
        <w:rFonts w:hint="default"/>
        <w:lang w:val="en-GB" w:eastAsia="en-GB" w:bidi="en-GB"/>
      </w:rPr>
    </w:lvl>
  </w:abstractNum>
  <w:abstractNum w:abstractNumId="867" w15:restartNumberingAfterBreak="0">
    <w:nsid w:val="4F000116"/>
    <w:multiLevelType w:val="hybridMultilevel"/>
    <w:tmpl w:val="90FA2F7A"/>
    <w:lvl w:ilvl="0" w:tplc="CE3EC99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645C995A">
      <w:numFmt w:val="bullet"/>
      <w:lvlText w:val="•"/>
      <w:lvlJc w:val="left"/>
      <w:pPr>
        <w:ind w:left="677" w:hanging="217"/>
      </w:pPr>
      <w:rPr>
        <w:rFonts w:hint="default"/>
        <w:lang w:val="en-GB" w:eastAsia="en-GB" w:bidi="en-GB"/>
      </w:rPr>
    </w:lvl>
    <w:lvl w:ilvl="2" w:tplc="B3543356">
      <w:numFmt w:val="bullet"/>
      <w:lvlText w:val="•"/>
      <w:lvlJc w:val="left"/>
      <w:pPr>
        <w:ind w:left="1054" w:hanging="217"/>
      </w:pPr>
      <w:rPr>
        <w:rFonts w:hint="default"/>
        <w:lang w:val="en-GB" w:eastAsia="en-GB" w:bidi="en-GB"/>
      </w:rPr>
    </w:lvl>
    <w:lvl w:ilvl="3" w:tplc="C58C3F1A">
      <w:numFmt w:val="bullet"/>
      <w:lvlText w:val="•"/>
      <w:lvlJc w:val="left"/>
      <w:pPr>
        <w:ind w:left="1431" w:hanging="217"/>
      </w:pPr>
      <w:rPr>
        <w:rFonts w:hint="default"/>
        <w:lang w:val="en-GB" w:eastAsia="en-GB" w:bidi="en-GB"/>
      </w:rPr>
    </w:lvl>
    <w:lvl w:ilvl="4" w:tplc="49F6B8F2">
      <w:numFmt w:val="bullet"/>
      <w:lvlText w:val="•"/>
      <w:lvlJc w:val="left"/>
      <w:pPr>
        <w:ind w:left="1808" w:hanging="217"/>
      </w:pPr>
      <w:rPr>
        <w:rFonts w:hint="default"/>
        <w:lang w:val="en-GB" w:eastAsia="en-GB" w:bidi="en-GB"/>
      </w:rPr>
    </w:lvl>
    <w:lvl w:ilvl="5" w:tplc="9CC49ECC">
      <w:numFmt w:val="bullet"/>
      <w:lvlText w:val="•"/>
      <w:lvlJc w:val="left"/>
      <w:pPr>
        <w:ind w:left="2186" w:hanging="217"/>
      </w:pPr>
      <w:rPr>
        <w:rFonts w:hint="default"/>
        <w:lang w:val="en-GB" w:eastAsia="en-GB" w:bidi="en-GB"/>
      </w:rPr>
    </w:lvl>
    <w:lvl w:ilvl="6" w:tplc="7FA429AC">
      <w:numFmt w:val="bullet"/>
      <w:lvlText w:val="•"/>
      <w:lvlJc w:val="left"/>
      <w:pPr>
        <w:ind w:left="2563" w:hanging="217"/>
      </w:pPr>
      <w:rPr>
        <w:rFonts w:hint="default"/>
        <w:lang w:val="en-GB" w:eastAsia="en-GB" w:bidi="en-GB"/>
      </w:rPr>
    </w:lvl>
    <w:lvl w:ilvl="7" w:tplc="203ADC30">
      <w:numFmt w:val="bullet"/>
      <w:lvlText w:val="•"/>
      <w:lvlJc w:val="left"/>
      <w:pPr>
        <w:ind w:left="2940" w:hanging="217"/>
      </w:pPr>
      <w:rPr>
        <w:rFonts w:hint="default"/>
        <w:lang w:val="en-GB" w:eastAsia="en-GB" w:bidi="en-GB"/>
      </w:rPr>
    </w:lvl>
    <w:lvl w:ilvl="8" w:tplc="A3B268AC">
      <w:numFmt w:val="bullet"/>
      <w:lvlText w:val="•"/>
      <w:lvlJc w:val="left"/>
      <w:pPr>
        <w:ind w:left="3317" w:hanging="217"/>
      </w:pPr>
      <w:rPr>
        <w:rFonts w:hint="default"/>
        <w:lang w:val="en-GB" w:eastAsia="en-GB" w:bidi="en-GB"/>
      </w:rPr>
    </w:lvl>
  </w:abstractNum>
  <w:abstractNum w:abstractNumId="868" w15:restartNumberingAfterBreak="0">
    <w:nsid w:val="4F0834FF"/>
    <w:multiLevelType w:val="hybridMultilevel"/>
    <w:tmpl w:val="BCD6EF90"/>
    <w:lvl w:ilvl="0" w:tplc="2B0E43D8">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0994D8D2">
      <w:numFmt w:val="bullet"/>
      <w:lvlText w:val="•"/>
      <w:lvlJc w:val="left"/>
      <w:pPr>
        <w:ind w:left="892" w:hanging="217"/>
      </w:pPr>
      <w:rPr>
        <w:rFonts w:hint="default"/>
        <w:lang w:val="en-GB" w:eastAsia="en-GB" w:bidi="en-GB"/>
      </w:rPr>
    </w:lvl>
    <w:lvl w:ilvl="2" w:tplc="7BA01B8A">
      <w:numFmt w:val="bullet"/>
      <w:lvlText w:val="•"/>
      <w:lvlJc w:val="left"/>
      <w:pPr>
        <w:ind w:left="1485" w:hanging="217"/>
      </w:pPr>
      <w:rPr>
        <w:rFonts w:hint="default"/>
        <w:lang w:val="en-GB" w:eastAsia="en-GB" w:bidi="en-GB"/>
      </w:rPr>
    </w:lvl>
    <w:lvl w:ilvl="3" w:tplc="DB4A2AD8">
      <w:numFmt w:val="bullet"/>
      <w:lvlText w:val="•"/>
      <w:lvlJc w:val="left"/>
      <w:pPr>
        <w:ind w:left="2077" w:hanging="217"/>
      </w:pPr>
      <w:rPr>
        <w:rFonts w:hint="default"/>
        <w:lang w:val="en-GB" w:eastAsia="en-GB" w:bidi="en-GB"/>
      </w:rPr>
    </w:lvl>
    <w:lvl w:ilvl="4" w:tplc="EC7E543C">
      <w:numFmt w:val="bullet"/>
      <w:lvlText w:val="•"/>
      <w:lvlJc w:val="left"/>
      <w:pPr>
        <w:ind w:left="2670" w:hanging="217"/>
      </w:pPr>
      <w:rPr>
        <w:rFonts w:hint="default"/>
        <w:lang w:val="en-GB" w:eastAsia="en-GB" w:bidi="en-GB"/>
      </w:rPr>
    </w:lvl>
    <w:lvl w:ilvl="5" w:tplc="F7C04C52">
      <w:numFmt w:val="bullet"/>
      <w:lvlText w:val="•"/>
      <w:lvlJc w:val="left"/>
      <w:pPr>
        <w:ind w:left="3263" w:hanging="217"/>
      </w:pPr>
      <w:rPr>
        <w:rFonts w:hint="default"/>
        <w:lang w:val="en-GB" w:eastAsia="en-GB" w:bidi="en-GB"/>
      </w:rPr>
    </w:lvl>
    <w:lvl w:ilvl="6" w:tplc="50E03B84">
      <w:numFmt w:val="bullet"/>
      <w:lvlText w:val="•"/>
      <w:lvlJc w:val="left"/>
      <w:pPr>
        <w:ind w:left="3855" w:hanging="217"/>
      </w:pPr>
      <w:rPr>
        <w:rFonts w:hint="default"/>
        <w:lang w:val="en-GB" w:eastAsia="en-GB" w:bidi="en-GB"/>
      </w:rPr>
    </w:lvl>
    <w:lvl w:ilvl="7" w:tplc="C6345780">
      <w:numFmt w:val="bullet"/>
      <w:lvlText w:val="•"/>
      <w:lvlJc w:val="left"/>
      <w:pPr>
        <w:ind w:left="4448" w:hanging="217"/>
      </w:pPr>
      <w:rPr>
        <w:rFonts w:hint="default"/>
        <w:lang w:val="en-GB" w:eastAsia="en-GB" w:bidi="en-GB"/>
      </w:rPr>
    </w:lvl>
    <w:lvl w:ilvl="8" w:tplc="5A12D908">
      <w:numFmt w:val="bullet"/>
      <w:lvlText w:val="•"/>
      <w:lvlJc w:val="left"/>
      <w:pPr>
        <w:ind w:left="5040" w:hanging="217"/>
      </w:pPr>
      <w:rPr>
        <w:rFonts w:hint="default"/>
        <w:lang w:val="en-GB" w:eastAsia="en-GB" w:bidi="en-GB"/>
      </w:rPr>
    </w:lvl>
  </w:abstractNum>
  <w:abstractNum w:abstractNumId="869" w15:restartNumberingAfterBreak="0">
    <w:nsid w:val="4F152887"/>
    <w:multiLevelType w:val="hybridMultilevel"/>
    <w:tmpl w:val="EA569E72"/>
    <w:lvl w:ilvl="0" w:tplc="217631E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62EEE27A">
      <w:numFmt w:val="bullet"/>
      <w:lvlText w:val="•"/>
      <w:lvlJc w:val="left"/>
      <w:pPr>
        <w:ind w:left="473" w:hanging="217"/>
      </w:pPr>
      <w:rPr>
        <w:rFonts w:hint="default"/>
        <w:lang w:val="en-GB" w:eastAsia="en-GB" w:bidi="en-GB"/>
      </w:rPr>
    </w:lvl>
    <w:lvl w:ilvl="2" w:tplc="084E1BB6">
      <w:numFmt w:val="bullet"/>
      <w:lvlText w:val="•"/>
      <w:lvlJc w:val="left"/>
      <w:pPr>
        <w:ind w:left="646" w:hanging="217"/>
      </w:pPr>
      <w:rPr>
        <w:rFonts w:hint="default"/>
        <w:lang w:val="en-GB" w:eastAsia="en-GB" w:bidi="en-GB"/>
      </w:rPr>
    </w:lvl>
    <w:lvl w:ilvl="3" w:tplc="69962AC0">
      <w:numFmt w:val="bullet"/>
      <w:lvlText w:val="•"/>
      <w:lvlJc w:val="left"/>
      <w:pPr>
        <w:ind w:left="819" w:hanging="217"/>
      </w:pPr>
      <w:rPr>
        <w:rFonts w:hint="default"/>
        <w:lang w:val="en-GB" w:eastAsia="en-GB" w:bidi="en-GB"/>
      </w:rPr>
    </w:lvl>
    <w:lvl w:ilvl="4" w:tplc="5AE2E1E0">
      <w:numFmt w:val="bullet"/>
      <w:lvlText w:val="•"/>
      <w:lvlJc w:val="left"/>
      <w:pPr>
        <w:ind w:left="992" w:hanging="217"/>
      </w:pPr>
      <w:rPr>
        <w:rFonts w:hint="default"/>
        <w:lang w:val="en-GB" w:eastAsia="en-GB" w:bidi="en-GB"/>
      </w:rPr>
    </w:lvl>
    <w:lvl w:ilvl="5" w:tplc="FCA8837C">
      <w:numFmt w:val="bullet"/>
      <w:lvlText w:val="•"/>
      <w:lvlJc w:val="left"/>
      <w:pPr>
        <w:ind w:left="1165" w:hanging="217"/>
      </w:pPr>
      <w:rPr>
        <w:rFonts w:hint="default"/>
        <w:lang w:val="en-GB" w:eastAsia="en-GB" w:bidi="en-GB"/>
      </w:rPr>
    </w:lvl>
    <w:lvl w:ilvl="6" w:tplc="CEB6B1CA">
      <w:numFmt w:val="bullet"/>
      <w:lvlText w:val="•"/>
      <w:lvlJc w:val="left"/>
      <w:pPr>
        <w:ind w:left="1338" w:hanging="217"/>
      </w:pPr>
      <w:rPr>
        <w:rFonts w:hint="default"/>
        <w:lang w:val="en-GB" w:eastAsia="en-GB" w:bidi="en-GB"/>
      </w:rPr>
    </w:lvl>
    <w:lvl w:ilvl="7" w:tplc="3E025508">
      <w:numFmt w:val="bullet"/>
      <w:lvlText w:val="•"/>
      <w:lvlJc w:val="left"/>
      <w:pPr>
        <w:ind w:left="1511" w:hanging="217"/>
      </w:pPr>
      <w:rPr>
        <w:rFonts w:hint="default"/>
        <w:lang w:val="en-GB" w:eastAsia="en-GB" w:bidi="en-GB"/>
      </w:rPr>
    </w:lvl>
    <w:lvl w:ilvl="8" w:tplc="96CCB1C4">
      <w:numFmt w:val="bullet"/>
      <w:lvlText w:val="•"/>
      <w:lvlJc w:val="left"/>
      <w:pPr>
        <w:ind w:left="1684" w:hanging="217"/>
      </w:pPr>
      <w:rPr>
        <w:rFonts w:hint="default"/>
        <w:lang w:val="en-GB" w:eastAsia="en-GB" w:bidi="en-GB"/>
      </w:rPr>
    </w:lvl>
  </w:abstractNum>
  <w:abstractNum w:abstractNumId="870" w15:restartNumberingAfterBreak="0">
    <w:nsid w:val="4F257785"/>
    <w:multiLevelType w:val="hybridMultilevel"/>
    <w:tmpl w:val="15BC1D7A"/>
    <w:lvl w:ilvl="0" w:tplc="55226866">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7F44B596">
      <w:numFmt w:val="bullet"/>
      <w:lvlText w:val="•"/>
      <w:lvlJc w:val="left"/>
      <w:pPr>
        <w:ind w:left="473" w:hanging="217"/>
      </w:pPr>
      <w:rPr>
        <w:rFonts w:hint="default"/>
        <w:lang w:val="en-GB" w:eastAsia="en-GB" w:bidi="en-GB"/>
      </w:rPr>
    </w:lvl>
    <w:lvl w:ilvl="2" w:tplc="CA2A27D6">
      <w:numFmt w:val="bullet"/>
      <w:lvlText w:val="•"/>
      <w:lvlJc w:val="left"/>
      <w:pPr>
        <w:ind w:left="646" w:hanging="217"/>
      </w:pPr>
      <w:rPr>
        <w:rFonts w:hint="default"/>
        <w:lang w:val="en-GB" w:eastAsia="en-GB" w:bidi="en-GB"/>
      </w:rPr>
    </w:lvl>
    <w:lvl w:ilvl="3" w:tplc="B32AED62">
      <w:numFmt w:val="bullet"/>
      <w:lvlText w:val="•"/>
      <w:lvlJc w:val="left"/>
      <w:pPr>
        <w:ind w:left="819" w:hanging="217"/>
      </w:pPr>
      <w:rPr>
        <w:rFonts w:hint="default"/>
        <w:lang w:val="en-GB" w:eastAsia="en-GB" w:bidi="en-GB"/>
      </w:rPr>
    </w:lvl>
    <w:lvl w:ilvl="4" w:tplc="65F26052">
      <w:numFmt w:val="bullet"/>
      <w:lvlText w:val="•"/>
      <w:lvlJc w:val="left"/>
      <w:pPr>
        <w:ind w:left="992" w:hanging="217"/>
      </w:pPr>
      <w:rPr>
        <w:rFonts w:hint="default"/>
        <w:lang w:val="en-GB" w:eastAsia="en-GB" w:bidi="en-GB"/>
      </w:rPr>
    </w:lvl>
    <w:lvl w:ilvl="5" w:tplc="C09807D8">
      <w:numFmt w:val="bullet"/>
      <w:lvlText w:val="•"/>
      <w:lvlJc w:val="left"/>
      <w:pPr>
        <w:ind w:left="1165" w:hanging="217"/>
      </w:pPr>
      <w:rPr>
        <w:rFonts w:hint="default"/>
        <w:lang w:val="en-GB" w:eastAsia="en-GB" w:bidi="en-GB"/>
      </w:rPr>
    </w:lvl>
    <w:lvl w:ilvl="6" w:tplc="2E40BDE6">
      <w:numFmt w:val="bullet"/>
      <w:lvlText w:val="•"/>
      <w:lvlJc w:val="left"/>
      <w:pPr>
        <w:ind w:left="1338" w:hanging="217"/>
      </w:pPr>
      <w:rPr>
        <w:rFonts w:hint="default"/>
        <w:lang w:val="en-GB" w:eastAsia="en-GB" w:bidi="en-GB"/>
      </w:rPr>
    </w:lvl>
    <w:lvl w:ilvl="7" w:tplc="CBB097E0">
      <w:numFmt w:val="bullet"/>
      <w:lvlText w:val="•"/>
      <w:lvlJc w:val="left"/>
      <w:pPr>
        <w:ind w:left="1511" w:hanging="217"/>
      </w:pPr>
      <w:rPr>
        <w:rFonts w:hint="default"/>
        <w:lang w:val="en-GB" w:eastAsia="en-GB" w:bidi="en-GB"/>
      </w:rPr>
    </w:lvl>
    <w:lvl w:ilvl="8" w:tplc="E1B8FCDC">
      <w:numFmt w:val="bullet"/>
      <w:lvlText w:val="•"/>
      <w:lvlJc w:val="left"/>
      <w:pPr>
        <w:ind w:left="1684" w:hanging="217"/>
      </w:pPr>
      <w:rPr>
        <w:rFonts w:hint="default"/>
        <w:lang w:val="en-GB" w:eastAsia="en-GB" w:bidi="en-GB"/>
      </w:rPr>
    </w:lvl>
  </w:abstractNum>
  <w:abstractNum w:abstractNumId="871" w15:restartNumberingAfterBreak="0">
    <w:nsid w:val="4F301DD9"/>
    <w:multiLevelType w:val="hybridMultilevel"/>
    <w:tmpl w:val="6E7AB05C"/>
    <w:lvl w:ilvl="0" w:tplc="446C5BD6">
      <w:numFmt w:val="bullet"/>
      <w:lvlText w:val="•"/>
      <w:lvlJc w:val="left"/>
      <w:pPr>
        <w:ind w:left="304" w:hanging="217"/>
      </w:pPr>
      <w:rPr>
        <w:rFonts w:ascii="Arial" w:eastAsia="Arial" w:hAnsi="Arial" w:cs="Arial" w:hint="default"/>
        <w:color w:val="231F20"/>
        <w:w w:val="100"/>
        <w:sz w:val="18"/>
        <w:szCs w:val="18"/>
        <w:lang w:val="en-GB" w:eastAsia="en-GB" w:bidi="en-GB"/>
      </w:rPr>
    </w:lvl>
    <w:lvl w:ilvl="1" w:tplc="BE765348">
      <w:numFmt w:val="bullet"/>
      <w:lvlText w:val="•"/>
      <w:lvlJc w:val="left"/>
      <w:pPr>
        <w:ind w:left="544" w:hanging="217"/>
      </w:pPr>
      <w:rPr>
        <w:rFonts w:hint="default"/>
        <w:lang w:val="en-GB" w:eastAsia="en-GB" w:bidi="en-GB"/>
      </w:rPr>
    </w:lvl>
    <w:lvl w:ilvl="2" w:tplc="61F80120">
      <w:numFmt w:val="bullet"/>
      <w:lvlText w:val="•"/>
      <w:lvlJc w:val="left"/>
      <w:pPr>
        <w:ind w:left="788" w:hanging="217"/>
      </w:pPr>
      <w:rPr>
        <w:rFonts w:hint="default"/>
        <w:lang w:val="en-GB" w:eastAsia="en-GB" w:bidi="en-GB"/>
      </w:rPr>
    </w:lvl>
    <w:lvl w:ilvl="3" w:tplc="8F726988">
      <w:numFmt w:val="bullet"/>
      <w:lvlText w:val="•"/>
      <w:lvlJc w:val="left"/>
      <w:pPr>
        <w:ind w:left="1032" w:hanging="217"/>
      </w:pPr>
      <w:rPr>
        <w:rFonts w:hint="default"/>
        <w:lang w:val="en-GB" w:eastAsia="en-GB" w:bidi="en-GB"/>
      </w:rPr>
    </w:lvl>
    <w:lvl w:ilvl="4" w:tplc="1998243A">
      <w:numFmt w:val="bullet"/>
      <w:lvlText w:val="•"/>
      <w:lvlJc w:val="left"/>
      <w:pPr>
        <w:ind w:left="1276" w:hanging="217"/>
      </w:pPr>
      <w:rPr>
        <w:rFonts w:hint="default"/>
        <w:lang w:val="en-GB" w:eastAsia="en-GB" w:bidi="en-GB"/>
      </w:rPr>
    </w:lvl>
    <w:lvl w:ilvl="5" w:tplc="1FAC8758">
      <w:numFmt w:val="bullet"/>
      <w:lvlText w:val="•"/>
      <w:lvlJc w:val="left"/>
      <w:pPr>
        <w:ind w:left="1520" w:hanging="217"/>
      </w:pPr>
      <w:rPr>
        <w:rFonts w:hint="default"/>
        <w:lang w:val="en-GB" w:eastAsia="en-GB" w:bidi="en-GB"/>
      </w:rPr>
    </w:lvl>
    <w:lvl w:ilvl="6" w:tplc="DC58DCBC">
      <w:numFmt w:val="bullet"/>
      <w:lvlText w:val="•"/>
      <w:lvlJc w:val="left"/>
      <w:pPr>
        <w:ind w:left="1764" w:hanging="217"/>
      </w:pPr>
      <w:rPr>
        <w:rFonts w:hint="default"/>
        <w:lang w:val="en-GB" w:eastAsia="en-GB" w:bidi="en-GB"/>
      </w:rPr>
    </w:lvl>
    <w:lvl w:ilvl="7" w:tplc="DC74EBF4">
      <w:numFmt w:val="bullet"/>
      <w:lvlText w:val="•"/>
      <w:lvlJc w:val="left"/>
      <w:pPr>
        <w:ind w:left="2008" w:hanging="217"/>
      </w:pPr>
      <w:rPr>
        <w:rFonts w:hint="default"/>
        <w:lang w:val="en-GB" w:eastAsia="en-GB" w:bidi="en-GB"/>
      </w:rPr>
    </w:lvl>
    <w:lvl w:ilvl="8" w:tplc="7302AC92">
      <w:numFmt w:val="bullet"/>
      <w:lvlText w:val="•"/>
      <w:lvlJc w:val="left"/>
      <w:pPr>
        <w:ind w:left="2252" w:hanging="217"/>
      </w:pPr>
      <w:rPr>
        <w:rFonts w:hint="default"/>
        <w:lang w:val="en-GB" w:eastAsia="en-GB" w:bidi="en-GB"/>
      </w:rPr>
    </w:lvl>
  </w:abstractNum>
  <w:abstractNum w:abstractNumId="872" w15:restartNumberingAfterBreak="0">
    <w:nsid w:val="4F3E3544"/>
    <w:multiLevelType w:val="hybridMultilevel"/>
    <w:tmpl w:val="72A81D70"/>
    <w:lvl w:ilvl="0" w:tplc="AC22109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CEC8586">
      <w:numFmt w:val="bullet"/>
      <w:lvlText w:val="•"/>
      <w:lvlJc w:val="left"/>
      <w:pPr>
        <w:ind w:left="473" w:hanging="217"/>
      </w:pPr>
      <w:rPr>
        <w:rFonts w:hint="default"/>
        <w:lang w:val="en-GB" w:eastAsia="en-GB" w:bidi="en-GB"/>
      </w:rPr>
    </w:lvl>
    <w:lvl w:ilvl="2" w:tplc="08DE6914">
      <w:numFmt w:val="bullet"/>
      <w:lvlText w:val="•"/>
      <w:lvlJc w:val="left"/>
      <w:pPr>
        <w:ind w:left="646" w:hanging="217"/>
      </w:pPr>
      <w:rPr>
        <w:rFonts w:hint="default"/>
        <w:lang w:val="en-GB" w:eastAsia="en-GB" w:bidi="en-GB"/>
      </w:rPr>
    </w:lvl>
    <w:lvl w:ilvl="3" w:tplc="8C10DCB0">
      <w:numFmt w:val="bullet"/>
      <w:lvlText w:val="•"/>
      <w:lvlJc w:val="left"/>
      <w:pPr>
        <w:ind w:left="819" w:hanging="217"/>
      </w:pPr>
      <w:rPr>
        <w:rFonts w:hint="default"/>
        <w:lang w:val="en-GB" w:eastAsia="en-GB" w:bidi="en-GB"/>
      </w:rPr>
    </w:lvl>
    <w:lvl w:ilvl="4" w:tplc="E4F89F80">
      <w:numFmt w:val="bullet"/>
      <w:lvlText w:val="•"/>
      <w:lvlJc w:val="left"/>
      <w:pPr>
        <w:ind w:left="992" w:hanging="217"/>
      </w:pPr>
      <w:rPr>
        <w:rFonts w:hint="default"/>
        <w:lang w:val="en-GB" w:eastAsia="en-GB" w:bidi="en-GB"/>
      </w:rPr>
    </w:lvl>
    <w:lvl w:ilvl="5" w:tplc="5B0A1DC0">
      <w:numFmt w:val="bullet"/>
      <w:lvlText w:val="•"/>
      <w:lvlJc w:val="left"/>
      <w:pPr>
        <w:ind w:left="1165" w:hanging="217"/>
      </w:pPr>
      <w:rPr>
        <w:rFonts w:hint="default"/>
        <w:lang w:val="en-GB" w:eastAsia="en-GB" w:bidi="en-GB"/>
      </w:rPr>
    </w:lvl>
    <w:lvl w:ilvl="6" w:tplc="A4167966">
      <w:numFmt w:val="bullet"/>
      <w:lvlText w:val="•"/>
      <w:lvlJc w:val="left"/>
      <w:pPr>
        <w:ind w:left="1338" w:hanging="217"/>
      </w:pPr>
      <w:rPr>
        <w:rFonts w:hint="default"/>
        <w:lang w:val="en-GB" w:eastAsia="en-GB" w:bidi="en-GB"/>
      </w:rPr>
    </w:lvl>
    <w:lvl w:ilvl="7" w:tplc="DBB0876A">
      <w:numFmt w:val="bullet"/>
      <w:lvlText w:val="•"/>
      <w:lvlJc w:val="left"/>
      <w:pPr>
        <w:ind w:left="1511" w:hanging="217"/>
      </w:pPr>
      <w:rPr>
        <w:rFonts w:hint="default"/>
        <w:lang w:val="en-GB" w:eastAsia="en-GB" w:bidi="en-GB"/>
      </w:rPr>
    </w:lvl>
    <w:lvl w:ilvl="8" w:tplc="5DE8E564">
      <w:numFmt w:val="bullet"/>
      <w:lvlText w:val="•"/>
      <w:lvlJc w:val="left"/>
      <w:pPr>
        <w:ind w:left="1684" w:hanging="217"/>
      </w:pPr>
      <w:rPr>
        <w:rFonts w:hint="default"/>
        <w:lang w:val="en-GB" w:eastAsia="en-GB" w:bidi="en-GB"/>
      </w:rPr>
    </w:lvl>
  </w:abstractNum>
  <w:abstractNum w:abstractNumId="873" w15:restartNumberingAfterBreak="0">
    <w:nsid w:val="4F3F634B"/>
    <w:multiLevelType w:val="hybridMultilevel"/>
    <w:tmpl w:val="EFE82914"/>
    <w:lvl w:ilvl="0" w:tplc="2EC25698">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9DE6266E">
      <w:numFmt w:val="bullet"/>
      <w:lvlText w:val="•"/>
      <w:lvlJc w:val="left"/>
      <w:pPr>
        <w:ind w:left="467" w:hanging="217"/>
      </w:pPr>
      <w:rPr>
        <w:rFonts w:hint="default"/>
        <w:lang w:val="en-GB" w:eastAsia="en-GB" w:bidi="en-GB"/>
      </w:rPr>
    </w:lvl>
    <w:lvl w:ilvl="2" w:tplc="B8CABEA2">
      <w:numFmt w:val="bullet"/>
      <w:lvlText w:val="•"/>
      <w:lvlJc w:val="left"/>
      <w:pPr>
        <w:ind w:left="634" w:hanging="217"/>
      </w:pPr>
      <w:rPr>
        <w:rFonts w:hint="default"/>
        <w:lang w:val="en-GB" w:eastAsia="en-GB" w:bidi="en-GB"/>
      </w:rPr>
    </w:lvl>
    <w:lvl w:ilvl="3" w:tplc="BC86DD20">
      <w:numFmt w:val="bullet"/>
      <w:lvlText w:val="•"/>
      <w:lvlJc w:val="left"/>
      <w:pPr>
        <w:ind w:left="802" w:hanging="217"/>
      </w:pPr>
      <w:rPr>
        <w:rFonts w:hint="default"/>
        <w:lang w:val="en-GB" w:eastAsia="en-GB" w:bidi="en-GB"/>
      </w:rPr>
    </w:lvl>
    <w:lvl w:ilvl="4" w:tplc="915E6F26">
      <w:numFmt w:val="bullet"/>
      <w:lvlText w:val="•"/>
      <w:lvlJc w:val="left"/>
      <w:pPr>
        <w:ind w:left="969" w:hanging="217"/>
      </w:pPr>
      <w:rPr>
        <w:rFonts w:hint="default"/>
        <w:lang w:val="en-GB" w:eastAsia="en-GB" w:bidi="en-GB"/>
      </w:rPr>
    </w:lvl>
    <w:lvl w:ilvl="5" w:tplc="887C7612">
      <w:numFmt w:val="bullet"/>
      <w:lvlText w:val="•"/>
      <w:lvlJc w:val="left"/>
      <w:pPr>
        <w:ind w:left="1137" w:hanging="217"/>
      </w:pPr>
      <w:rPr>
        <w:rFonts w:hint="default"/>
        <w:lang w:val="en-GB" w:eastAsia="en-GB" w:bidi="en-GB"/>
      </w:rPr>
    </w:lvl>
    <w:lvl w:ilvl="6" w:tplc="F4947760">
      <w:numFmt w:val="bullet"/>
      <w:lvlText w:val="•"/>
      <w:lvlJc w:val="left"/>
      <w:pPr>
        <w:ind w:left="1304" w:hanging="217"/>
      </w:pPr>
      <w:rPr>
        <w:rFonts w:hint="default"/>
        <w:lang w:val="en-GB" w:eastAsia="en-GB" w:bidi="en-GB"/>
      </w:rPr>
    </w:lvl>
    <w:lvl w:ilvl="7" w:tplc="0412A1B0">
      <w:numFmt w:val="bullet"/>
      <w:lvlText w:val="•"/>
      <w:lvlJc w:val="left"/>
      <w:pPr>
        <w:ind w:left="1471" w:hanging="217"/>
      </w:pPr>
      <w:rPr>
        <w:rFonts w:hint="default"/>
        <w:lang w:val="en-GB" w:eastAsia="en-GB" w:bidi="en-GB"/>
      </w:rPr>
    </w:lvl>
    <w:lvl w:ilvl="8" w:tplc="52E69A88">
      <w:numFmt w:val="bullet"/>
      <w:lvlText w:val="•"/>
      <w:lvlJc w:val="left"/>
      <w:pPr>
        <w:ind w:left="1639" w:hanging="217"/>
      </w:pPr>
      <w:rPr>
        <w:rFonts w:hint="default"/>
        <w:lang w:val="en-GB" w:eastAsia="en-GB" w:bidi="en-GB"/>
      </w:rPr>
    </w:lvl>
  </w:abstractNum>
  <w:abstractNum w:abstractNumId="874" w15:restartNumberingAfterBreak="0">
    <w:nsid w:val="4F4251EA"/>
    <w:multiLevelType w:val="hybridMultilevel"/>
    <w:tmpl w:val="7730EFF6"/>
    <w:lvl w:ilvl="0" w:tplc="442E132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1F7AD566">
      <w:numFmt w:val="bullet"/>
      <w:lvlText w:val="•"/>
      <w:lvlJc w:val="left"/>
      <w:pPr>
        <w:ind w:left="467" w:hanging="217"/>
      </w:pPr>
      <w:rPr>
        <w:rFonts w:hint="default"/>
        <w:lang w:val="en-GB" w:eastAsia="en-GB" w:bidi="en-GB"/>
      </w:rPr>
    </w:lvl>
    <w:lvl w:ilvl="2" w:tplc="615C6980">
      <w:numFmt w:val="bullet"/>
      <w:lvlText w:val="•"/>
      <w:lvlJc w:val="left"/>
      <w:pPr>
        <w:ind w:left="634" w:hanging="217"/>
      </w:pPr>
      <w:rPr>
        <w:rFonts w:hint="default"/>
        <w:lang w:val="en-GB" w:eastAsia="en-GB" w:bidi="en-GB"/>
      </w:rPr>
    </w:lvl>
    <w:lvl w:ilvl="3" w:tplc="D3AAC19E">
      <w:numFmt w:val="bullet"/>
      <w:lvlText w:val="•"/>
      <w:lvlJc w:val="left"/>
      <w:pPr>
        <w:ind w:left="802" w:hanging="217"/>
      </w:pPr>
      <w:rPr>
        <w:rFonts w:hint="default"/>
        <w:lang w:val="en-GB" w:eastAsia="en-GB" w:bidi="en-GB"/>
      </w:rPr>
    </w:lvl>
    <w:lvl w:ilvl="4" w:tplc="6BF2B696">
      <w:numFmt w:val="bullet"/>
      <w:lvlText w:val="•"/>
      <w:lvlJc w:val="left"/>
      <w:pPr>
        <w:ind w:left="969" w:hanging="217"/>
      </w:pPr>
      <w:rPr>
        <w:rFonts w:hint="default"/>
        <w:lang w:val="en-GB" w:eastAsia="en-GB" w:bidi="en-GB"/>
      </w:rPr>
    </w:lvl>
    <w:lvl w:ilvl="5" w:tplc="2FF8A716">
      <w:numFmt w:val="bullet"/>
      <w:lvlText w:val="•"/>
      <w:lvlJc w:val="left"/>
      <w:pPr>
        <w:ind w:left="1137" w:hanging="217"/>
      </w:pPr>
      <w:rPr>
        <w:rFonts w:hint="default"/>
        <w:lang w:val="en-GB" w:eastAsia="en-GB" w:bidi="en-GB"/>
      </w:rPr>
    </w:lvl>
    <w:lvl w:ilvl="6" w:tplc="67C67200">
      <w:numFmt w:val="bullet"/>
      <w:lvlText w:val="•"/>
      <w:lvlJc w:val="left"/>
      <w:pPr>
        <w:ind w:left="1304" w:hanging="217"/>
      </w:pPr>
      <w:rPr>
        <w:rFonts w:hint="default"/>
        <w:lang w:val="en-GB" w:eastAsia="en-GB" w:bidi="en-GB"/>
      </w:rPr>
    </w:lvl>
    <w:lvl w:ilvl="7" w:tplc="D6365756">
      <w:numFmt w:val="bullet"/>
      <w:lvlText w:val="•"/>
      <w:lvlJc w:val="left"/>
      <w:pPr>
        <w:ind w:left="1471" w:hanging="217"/>
      </w:pPr>
      <w:rPr>
        <w:rFonts w:hint="default"/>
        <w:lang w:val="en-GB" w:eastAsia="en-GB" w:bidi="en-GB"/>
      </w:rPr>
    </w:lvl>
    <w:lvl w:ilvl="8" w:tplc="178EE9C4">
      <w:numFmt w:val="bullet"/>
      <w:lvlText w:val="•"/>
      <w:lvlJc w:val="left"/>
      <w:pPr>
        <w:ind w:left="1639" w:hanging="217"/>
      </w:pPr>
      <w:rPr>
        <w:rFonts w:hint="default"/>
        <w:lang w:val="en-GB" w:eastAsia="en-GB" w:bidi="en-GB"/>
      </w:rPr>
    </w:lvl>
  </w:abstractNum>
  <w:abstractNum w:abstractNumId="875" w15:restartNumberingAfterBreak="0">
    <w:nsid w:val="4F4C63BE"/>
    <w:multiLevelType w:val="hybridMultilevel"/>
    <w:tmpl w:val="793C775E"/>
    <w:lvl w:ilvl="0" w:tplc="C48A9B9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EA7AD13E">
      <w:numFmt w:val="bullet"/>
      <w:lvlText w:val="•"/>
      <w:lvlJc w:val="left"/>
      <w:pPr>
        <w:ind w:left="892" w:hanging="217"/>
      </w:pPr>
      <w:rPr>
        <w:rFonts w:hint="default"/>
        <w:lang w:val="en-GB" w:eastAsia="en-GB" w:bidi="en-GB"/>
      </w:rPr>
    </w:lvl>
    <w:lvl w:ilvl="2" w:tplc="D9CACDC2">
      <w:numFmt w:val="bullet"/>
      <w:lvlText w:val="•"/>
      <w:lvlJc w:val="left"/>
      <w:pPr>
        <w:ind w:left="1485" w:hanging="217"/>
      </w:pPr>
      <w:rPr>
        <w:rFonts w:hint="default"/>
        <w:lang w:val="en-GB" w:eastAsia="en-GB" w:bidi="en-GB"/>
      </w:rPr>
    </w:lvl>
    <w:lvl w:ilvl="3" w:tplc="2C2E3D96">
      <w:numFmt w:val="bullet"/>
      <w:lvlText w:val="•"/>
      <w:lvlJc w:val="left"/>
      <w:pPr>
        <w:ind w:left="2077" w:hanging="217"/>
      </w:pPr>
      <w:rPr>
        <w:rFonts w:hint="default"/>
        <w:lang w:val="en-GB" w:eastAsia="en-GB" w:bidi="en-GB"/>
      </w:rPr>
    </w:lvl>
    <w:lvl w:ilvl="4" w:tplc="28F48F04">
      <w:numFmt w:val="bullet"/>
      <w:lvlText w:val="•"/>
      <w:lvlJc w:val="left"/>
      <w:pPr>
        <w:ind w:left="2670" w:hanging="217"/>
      </w:pPr>
      <w:rPr>
        <w:rFonts w:hint="default"/>
        <w:lang w:val="en-GB" w:eastAsia="en-GB" w:bidi="en-GB"/>
      </w:rPr>
    </w:lvl>
    <w:lvl w:ilvl="5" w:tplc="FC96A970">
      <w:numFmt w:val="bullet"/>
      <w:lvlText w:val="•"/>
      <w:lvlJc w:val="left"/>
      <w:pPr>
        <w:ind w:left="3263" w:hanging="217"/>
      </w:pPr>
      <w:rPr>
        <w:rFonts w:hint="default"/>
        <w:lang w:val="en-GB" w:eastAsia="en-GB" w:bidi="en-GB"/>
      </w:rPr>
    </w:lvl>
    <w:lvl w:ilvl="6" w:tplc="D4A4249A">
      <w:numFmt w:val="bullet"/>
      <w:lvlText w:val="•"/>
      <w:lvlJc w:val="left"/>
      <w:pPr>
        <w:ind w:left="3855" w:hanging="217"/>
      </w:pPr>
      <w:rPr>
        <w:rFonts w:hint="default"/>
        <w:lang w:val="en-GB" w:eastAsia="en-GB" w:bidi="en-GB"/>
      </w:rPr>
    </w:lvl>
    <w:lvl w:ilvl="7" w:tplc="69F2EF46">
      <w:numFmt w:val="bullet"/>
      <w:lvlText w:val="•"/>
      <w:lvlJc w:val="left"/>
      <w:pPr>
        <w:ind w:left="4448" w:hanging="217"/>
      </w:pPr>
      <w:rPr>
        <w:rFonts w:hint="default"/>
        <w:lang w:val="en-GB" w:eastAsia="en-GB" w:bidi="en-GB"/>
      </w:rPr>
    </w:lvl>
    <w:lvl w:ilvl="8" w:tplc="EF5C1DB0">
      <w:numFmt w:val="bullet"/>
      <w:lvlText w:val="•"/>
      <w:lvlJc w:val="left"/>
      <w:pPr>
        <w:ind w:left="5040" w:hanging="217"/>
      </w:pPr>
      <w:rPr>
        <w:rFonts w:hint="default"/>
        <w:lang w:val="en-GB" w:eastAsia="en-GB" w:bidi="en-GB"/>
      </w:rPr>
    </w:lvl>
  </w:abstractNum>
  <w:abstractNum w:abstractNumId="876" w15:restartNumberingAfterBreak="0">
    <w:nsid w:val="4F4F49C8"/>
    <w:multiLevelType w:val="hybridMultilevel"/>
    <w:tmpl w:val="715AF87A"/>
    <w:lvl w:ilvl="0" w:tplc="0322A474">
      <w:numFmt w:val="bullet"/>
      <w:lvlText w:val="•"/>
      <w:lvlJc w:val="left"/>
      <w:pPr>
        <w:ind w:left="304" w:hanging="217"/>
      </w:pPr>
      <w:rPr>
        <w:rFonts w:ascii="Arial" w:eastAsia="Arial" w:hAnsi="Arial" w:cs="Arial" w:hint="default"/>
        <w:color w:val="231F20"/>
        <w:spacing w:val="-5"/>
        <w:w w:val="100"/>
        <w:sz w:val="18"/>
        <w:szCs w:val="18"/>
        <w:lang w:val="en-GB" w:eastAsia="en-GB" w:bidi="en-GB"/>
      </w:rPr>
    </w:lvl>
    <w:lvl w:ilvl="1" w:tplc="937A4E14">
      <w:numFmt w:val="bullet"/>
      <w:lvlText w:val="•"/>
      <w:lvlJc w:val="left"/>
      <w:pPr>
        <w:ind w:left="473" w:hanging="217"/>
      </w:pPr>
      <w:rPr>
        <w:rFonts w:hint="default"/>
        <w:lang w:val="en-GB" w:eastAsia="en-GB" w:bidi="en-GB"/>
      </w:rPr>
    </w:lvl>
    <w:lvl w:ilvl="2" w:tplc="E1C26E00">
      <w:numFmt w:val="bullet"/>
      <w:lvlText w:val="•"/>
      <w:lvlJc w:val="left"/>
      <w:pPr>
        <w:ind w:left="646" w:hanging="217"/>
      </w:pPr>
      <w:rPr>
        <w:rFonts w:hint="default"/>
        <w:lang w:val="en-GB" w:eastAsia="en-GB" w:bidi="en-GB"/>
      </w:rPr>
    </w:lvl>
    <w:lvl w:ilvl="3" w:tplc="4F340424">
      <w:numFmt w:val="bullet"/>
      <w:lvlText w:val="•"/>
      <w:lvlJc w:val="left"/>
      <w:pPr>
        <w:ind w:left="819" w:hanging="217"/>
      </w:pPr>
      <w:rPr>
        <w:rFonts w:hint="default"/>
        <w:lang w:val="en-GB" w:eastAsia="en-GB" w:bidi="en-GB"/>
      </w:rPr>
    </w:lvl>
    <w:lvl w:ilvl="4" w:tplc="5536629C">
      <w:numFmt w:val="bullet"/>
      <w:lvlText w:val="•"/>
      <w:lvlJc w:val="left"/>
      <w:pPr>
        <w:ind w:left="992" w:hanging="217"/>
      </w:pPr>
      <w:rPr>
        <w:rFonts w:hint="default"/>
        <w:lang w:val="en-GB" w:eastAsia="en-GB" w:bidi="en-GB"/>
      </w:rPr>
    </w:lvl>
    <w:lvl w:ilvl="5" w:tplc="9A24BEC6">
      <w:numFmt w:val="bullet"/>
      <w:lvlText w:val="•"/>
      <w:lvlJc w:val="left"/>
      <w:pPr>
        <w:ind w:left="1165" w:hanging="217"/>
      </w:pPr>
      <w:rPr>
        <w:rFonts w:hint="default"/>
        <w:lang w:val="en-GB" w:eastAsia="en-GB" w:bidi="en-GB"/>
      </w:rPr>
    </w:lvl>
    <w:lvl w:ilvl="6" w:tplc="3E36EB2E">
      <w:numFmt w:val="bullet"/>
      <w:lvlText w:val="•"/>
      <w:lvlJc w:val="left"/>
      <w:pPr>
        <w:ind w:left="1338" w:hanging="217"/>
      </w:pPr>
      <w:rPr>
        <w:rFonts w:hint="default"/>
        <w:lang w:val="en-GB" w:eastAsia="en-GB" w:bidi="en-GB"/>
      </w:rPr>
    </w:lvl>
    <w:lvl w:ilvl="7" w:tplc="ED50DA22">
      <w:numFmt w:val="bullet"/>
      <w:lvlText w:val="•"/>
      <w:lvlJc w:val="left"/>
      <w:pPr>
        <w:ind w:left="1511" w:hanging="217"/>
      </w:pPr>
      <w:rPr>
        <w:rFonts w:hint="default"/>
        <w:lang w:val="en-GB" w:eastAsia="en-GB" w:bidi="en-GB"/>
      </w:rPr>
    </w:lvl>
    <w:lvl w:ilvl="8" w:tplc="C7CA4A8C">
      <w:numFmt w:val="bullet"/>
      <w:lvlText w:val="•"/>
      <w:lvlJc w:val="left"/>
      <w:pPr>
        <w:ind w:left="1684" w:hanging="217"/>
      </w:pPr>
      <w:rPr>
        <w:rFonts w:hint="default"/>
        <w:lang w:val="en-GB" w:eastAsia="en-GB" w:bidi="en-GB"/>
      </w:rPr>
    </w:lvl>
  </w:abstractNum>
  <w:abstractNum w:abstractNumId="877" w15:restartNumberingAfterBreak="0">
    <w:nsid w:val="4F5A678D"/>
    <w:multiLevelType w:val="hybridMultilevel"/>
    <w:tmpl w:val="CDF48D04"/>
    <w:lvl w:ilvl="0" w:tplc="3FA0641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938BACA">
      <w:numFmt w:val="bullet"/>
      <w:lvlText w:val="•"/>
      <w:lvlJc w:val="left"/>
      <w:pPr>
        <w:ind w:left="473" w:hanging="217"/>
      </w:pPr>
      <w:rPr>
        <w:rFonts w:hint="default"/>
        <w:lang w:val="en-GB" w:eastAsia="en-GB" w:bidi="en-GB"/>
      </w:rPr>
    </w:lvl>
    <w:lvl w:ilvl="2" w:tplc="58B0AE74">
      <w:numFmt w:val="bullet"/>
      <w:lvlText w:val="•"/>
      <w:lvlJc w:val="left"/>
      <w:pPr>
        <w:ind w:left="646" w:hanging="217"/>
      </w:pPr>
      <w:rPr>
        <w:rFonts w:hint="default"/>
        <w:lang w:val="en-GB" w:eastAsia="en-GB" w:bidi="en-GB"/>
      </w:rPr>
    </w:lvl>
    <w:lvl w:ilvl="3" w:tplc="17546FAA">
      <w:numFmt w:val="bullet"/>
      <w:lvlText w:val="•"/>
      <w:lvlJc w:val="left"/>
      <w:pPr>
        <w:ind w:left="819" w:hanging="217"/>
      </w:pPr>
      <w:rPr>
        <w:rFonts w:hint="default"/>
        <w:lang w:val="en-GB" w:eastAsia="en-GB" w:bidi="en-GB"/>
      </w:rPr>
    </w:lvl>
    <w:lvl w:ilvl="4" w:tplc="2D8228FC">
      <w:numFmt w:val="bullet"/>
      <w:lvlText w:val="•"/>
      <w:lvlJc w:val="left"/>
      <w:pPr>
        <w:ind w:left="992" w:hanging="217"/>
      </w:pPr>
      <w:rPr>
        <w:rFonts w:hint="default"/>
        <w:lang w:val="en-GB" w:eastAsia="en-GB" w:bidi="en-GB"/>
      </w:rPr>
    </w:lvl>
    <w:lvl w:ilvl="5" w:tplc="B87AB262">
      <w:numFmt w:val="bullet"/>
      <w:lvlText w:val="•"/>
      <w:lvlJc w:val="left"/>
      <w:pPr>
        <w:ind w:left="1165" w:hanging="217"/>
      </w:pPr>
      <w:rPr>
        <w:rFonts w:hint="default"/>
        <w:lang w:val="en-GB" w:eastAsia="en-GB" w:bidi="en-GB"/>
      </w:rPr>
    </w:lvl>
    <w:lvl w:ilvl="6" w:tplc="F0488682">
      <w:numFmt w:val="bullet"/>
      <w:lvlText w:val="•"/>
      <w:lvlJc w:val="left"/>
      <w:pPr>
        <w:ind w:left="1338" w:hanging="217"/>
      </w:pPr>
      <w:rPr>
        <w:rFonts w:hint="default"/>
        <w:lang w:val="en-GB" w:eastAsia="en-GB" w:bidi="en-GB"/>
      </w:rPr>
    </w:lvl>
    <w:lvl w:ilvl="7" w:tplc="CC241B16">
      <w:numFmt w:val="bullet"/>
      <w:lvlText w:val="•"/>
      <w:lvlJc w:val="left"/>
      <w:pPr>
        <w:ind w:left="1511" w:hanging="217"/>
      </w:pPr>
      <w:rPr>
        <w:rFonts w:hint="default"/>
        <w:lang w:val="en-GB" w:eastAsia="en-GB" w:bidi="en-GB"/>
      </w:rPr>
    </w:lvl>
    <w:lvl w:ilvl="8" w:tplc="86FE40E0">
      <w:numFmt w:val="bullet"/>
      <w:lvlText w:val="•"/>
      <w:lvlJc w:val="left"/>
      <w:pPr>
        <w:ind w:left="1684" w:hanging="217"/>
      </w:pPr>
      <w:rPr>
        <w:rFonts w:hint="default"/>
        <w:lang w:val="en-GB" w:eastAsia="en-GB" w:bidi="en-GB"/>
      </w:rPr>
    </w:lvl>
  </w:abstractNum>
  <w:abstractNum w:abstractNumId="878" w15:restartNumberingAfterBreak="0">
    <w:nsid w:val="4F635A5C"/>
    <w:multiLevelType w:val="hybridMultilevel"/>
    <w:tmpl w:val="940289C2"/>
    <w:lvl w:ilvl="0" w:tplc="82B83C8C">
      <w:numFmt w:val="bullet"/>
      <w:lvlText w:val="•"/>
      <w:lvlJc w:val="left"/>
      <w:pPr>
        <w:ind w:left="305" w:hanging="217"/>
      </w:pPr>
      <w:rPr>
        <w:rFonts w:ascii="Arial" w:eastAsia="Arial" w:hAnsi="Arial" w:cs="Arial" w:hint="default"/>
        <w:color w:val="231F20"/>
        <w:spacing w:val="-20"/>
        <w:w w:val="100"/>
        <w:sz w:val="18"/>
        <w:szCs w:val="18"/>
        <w:lang w:val="en-GB" w:eastAsia="en-GB" w:bidi="en-GB"/>
      </w:rPr>
    </w:lvl>
    <w:lvl w:ilvl="1" w:tplc="0FA0CDC2">
      <w:numFmt w:val="bullet"/>
      <w:lvlText w:val="•"/>
      <w:lvlJc w:val="left"/>
      <w:pPr>
        <w:ind w:left="441" w:hanging="217"/>
      </w:pPr>
      <w:rPr>
        <w:rFonts w:hint="default"/>
        <w:lang w:val="en-GB" w:eastAsia="en-GB" w:bidi="en-GB"/>
      </w:rPr>
    </w:lvl>
    <w:lvl w:ilvl="2" w:tplc="34E6BDC6">
      <w:numFmt w:val="bullet"/>
      <w:lvlText w:val="•"/>
      <w:lvlJc w:val="left"/>
      <w:pPr>
        <w:ind w:left="583" w:hanging="217"/>
      </w:pPr>
      <w:rPr>
        <w:rFonts w:hint="default"/>
        <w:lang w:val="en-GB" w:eastAsia="en-GB" w:bidi="en-GB"/>
      </w:rPr>
    </w:lvl>
    <w:lvl w:ilvl="3" w:tplc="E75A0E38">
      <w:numFmt w:val="bullet"/>
      <w:lvlText w:val="•"/>
      <w:lvlJc w:val="left"/>
      <w:pPr>
        <w:ind w:left="725" w:hanging="217"/>
      </w:pPr>
      <w:rPr>
        <w:rFonts w:hint="default"/>
        <w:lang w:val="en-GB" w:eastAsia="en-GB" w:bidi="en-GB"/>
      </w:rPr>
    </w:lvl>
    <w:lvl w:ilvl="4" w:tplc="E9C26A4E">
      <w:numFmt w:val="bullet"/>
      <w:lvlText w:val="•"/>
      <w:lvlJc w:val="left"/>
      <w:pPr>
        <w:ind w:left="867" w:hanging="217"/>
      </w:pPr>
      <w:rPr>
        <w:rFonts w:hint="default"/>
        <w:lang w:val="en-GB" w:eastAsia="en-GB" w:bidi="en-GB"/>
      </w:rPr>
    </w:lvl>
    <w:lvl w:ilvl="5" w:tplc="D43E0E90">
      <w:numFmt w:val="bullet"/>
      <w:lvlText w:val="•"/>
      <w:lvlJc w:val="left"/>
      <w:pPr>
        <w:ind w:left="1009" w:hanging="217"/>
      </w:pPr>
      <w:rPr>
        <w:rFonts w:hint="default"/>
        <w:lang w:val="en-GB" w:eastAsia="en-GB" w:bidi="en-GB"/>
      </w:rPr>
    </w:lvl>
    <w:lvl w:ilvl="6" w:tplc="06D09F10">
      <w:numFmt w:val="bullet"/>
      <w:lvlText w:val="•"/>
      <w:lvlJc w:val="left"/>
      <w:pPr>
        <w:ind w:left="1151" w:hanging="217"/>
      </w:pPr>
      <w:rPr>
        <w:rFonts w:hint="default"/>
        <w:lang w:val="en-GB" w:eastAsia="en-GB" w:bidi="en-GB"/>
      </w:rPr>
    </w:lvl>
    <w:lvl w:ilvl="7" w:tplc="98683E02">
      <w:numFmt w:val="bullet"/>
      <w:lvlText w:val="•"/>
      <w:lvlJc w:val="left"/>
      <w:pPr>
        <w:ind w:left="1293" w:hanging="217"/>
      </w:pPr>
      <w:rPr>
        <w:rFonts w:hint="default"/>
        <w:lang w:val="en-GB" w:eastAsia="en-GB" w:bidi="en-GB"/>
      </w:rPr>
    </w:lvl>
    <w:lvl w:ilvl="8" w:tplc="655290F0">
      <w:numFmt w:val="bullet"/>
      <w:lvlText w:val="•"/>
      <w:lvlJc w:val="left"/>
      <w:pPr>
        <w:ind w:left="1435" w:hanging="217"/>
      </w:pPr>
      <w:rPr>
        <w:rFonts w:hint="default"/>
        <w:lang w:val="en-GB" w:eastAsia="en-GB" w:bidi="en-GB"/>
      </w:rPr>
    </w:lvl>
  </w:abstractNum>
  <w:abstractNum w:abstractNumId="879" w15:restartNumberingAfterBreak="0">
    <w:nsid w:val="4F9D013B"/>
    <w:multiLevelType w:val="hybridMultilevel"/>
    <w:tmpl w:val="D61ECB26"/>
    <w:lvl w:ilvl="0" w:tplc="29A02D32">
      <w:numFmt w:val="bullet"/>
      <w:lvlText w:val="•"/>
      <w:lvlJc w:val="left"/>
      <w:pPr>
        <w:ind w:left="306" w:hanging="217"/>
      </w:pPr>
      <w:rPr>
        <w:rFonts w:ascii="Arial" w:eastAsia="Arial" w:hAnsi="Arial" w:cs="Arial" w:hint="default"/>
        <w:color w:val="231F20"/>
        <w:spacing w:val="-4"/>
        <w:w w:val="100"/>
        <w:sz w:val="18"/>
        <w:szCs w:val="18"/>
        <w:lang w:val="en-GB" w:eastAsia="en-GB" w:bidi="en-GB"/>
      </w:rPr>
    </w:lvl>
    <w:lvl w:ilvl="1" w:tplc="57AE079E">
      <w:numFmt w:val="bullet"/>
      <w:lvlText w:val="•"/>
      <w:lvlJc w:val="left"/>
      <w:pPr>
        <w:ind w:left="444" w:hanging="217"/>
      </w:pPr>
      <w:rPr>
        <w:rFonts w:hint="default"/>
        <w:lang w:val="en-GB" w:eastAsia="en-GB" w:bidi="en-GB"/>
      </w:rPr>
    </w:lvl>
    <w:lvl w:ilvl="2" w:tplc="A5369D66">
      <w:numFmt w:val="bullet"/>
      <w:lvlText w:val="•"/>
      <w:lvlJc w:val="left"/>
      <w:pPr>
        <w:ind w:left="589" w:hanging="217"/>
      </w:pPr>
      <w:rPr>
        <w:rFonts w:hint="default"/>
        <w:lang w:val="en-GB" w:eastAsia="en-GB" w:bidi="en-GB"/>
      </w:rPr>
    </w:lvl>
    <w:lvl w:ilvl="3" w:tplc="DB981462">
      <w:numFmt w:val="bullet"/>
      <w:lvlText w:val="•"/>
      <w:lvlJc w:val="left"/>
      <w:pPr>
        <w:ind w:left="734" w:hanging="217"/>
      </w:pPr>
      <w:rPr>
        <w:rFonts w:hint="default"/>
        <w:lang w:val="en-GB" w:eastAsia="en-GB" w:bidi="en-GB"/>
      </w:rPr>
    </w:lvl>
    <w:lvl w:ilvl="4" w:tplc="4A1469E2">
      <w:numFmt w:val="bullet"/>
      <w:lvlText w:val="•"/>
      <w:lvlJc w:val="left"/>
      <w:pPr>
        <w:ind w:left="878" w:hanging="217"/>
      </w:pPr>
      <w:rPr>
        <w:rFonts w:hint="default"/>
        <w:lang w:val="en-GB" w:eastAsia="en-GB" w:bidi="en-GB"/>
      </w:rPr>
    </w:lvl>
    <w:lvl w:ilvl="5" w:tplc="97B6AF62">
      <w:numFmt w:val="bullet"/>
      <w:lvlText w:val="•"/>
      <w:lvlJc w:val="left"/>
      <w:pPr>
        <w:ind w:left="1023" w:hanging="217"/>
      </w:pPr>
      <w:rPr>
        <w:rFonts w:hint="default"/>
        <w:lang w:val="en-GB" w:eastAsia="en-GB" w:bidi="en-GB"/>
      </w:rPr>
    </w:lvl>
    <w:lvl w:ilvl="6" w:tplc="C680BC82">
      <w:numFmt w:val="bullet"/>
      <w:lvlText w:val="•"/>
      <w:lvlJc w:val="left"/>
      <w:pPr>
        <w:ind w:left="1168" w:hanging="217"/>
      </w:pPr>
      <w:rPr>
        <w:rFonts w:hint="default"/>
        <w:lang w:val="en-GB" w:eastAsia="en-GB" w:bidi="en-GB"/>
      </w:rPr>
    </w:lvl>
    <w:lvl w:ilvl="7" w:tplc="5EAEB898">
      <w:numFmt w:val="bullet"/>
      <w:lvlText w:val="•"/>
      <w:lvlJc w:val="left"/>
      <w:pPr>
        <w:ind w:left="1312" w:hanging="217"/>
      </w:pPr>
      <w:rPr>
        <w:rFonts w:hint="default"/>
        <w:lang w:val="en-GB" w:eastAsia="en-GB" w:bidi="en-GB"/>
      </w:rPr>
    </w:lvl>
    <w:lvl w:ilvl="8" w:tplc="4F0AAED2">
      <w:numFmt w:val="bullet"/>
      <w:lvlText w:val="•"/>
      <w:lvlJc w:val="left"/>
      <w:pPr>
        <w:ind w:left="1457" w:hanging="217"/>
      </w:pPr>
      <w:rPr>
        <w:rFonts w:hint="default"/>
        <w:lang w:val="en-GB" w:eastAsia="en-GB" w:bidi="en-GB"/>
      </w:rPr>
    </w:lvl>
  </w:abstractNum>
  <w:abstractNum w:abstractNumId="880" w15:restartNumberingAfterBreak="0">
    <w:nsid w:val="4FBD51CC"/>
    <w:multiLevelType w:val="hybridMultilevel"/>
    <w:tmpl w:val="71A2F38A"/>
    <w:lvl w:ilvl="0" w:tplc="8B3ACFC8">
      <w:numFmt w:val="bullet"/>
      <w:lvlText w:val="•"/>
      <w:lvlJc w:val="left"/>
      <w:pPr>
        <w:ind w:left="303" w:hanging="217"/>
      </w:pPr>
      <w:rPr>
        <w:rFonts w:ascii="Arial" w:eastAsia="Arial" w:hAnsi="Arial" w:cs="Arial" w:hint="default"/>
        <w:color w:val="231F20"/>
        <w:w w:val="102"/>
        <w:sz w:val="17"/>
        <w:szCs w:val="17"/>
        <w:lang w:val="en-GB" w:eastAsia="en-GB" w:bidi="en-GB"/>
      </w:rPr>
    </w:lvl>
    <w:lvl w:ilvl="1" w:tplc="C61217F8">
      <w:numFmt w:val="bullet"/>
      <w:lvlText w:val="•"/>
      <w:lvlJc w:val="left"/>
      <w:pPr>
        <w:ind w:left="439" w:hanging="217"/>
      </w:pPr>
      <w:rPr>
        <w:rFonts w:hint="default"/>
        <w:lang w:val="en-GB" w:eastAsia="en-GB" w:bidi="en-GB"/>
      </w:rPr>
    </w:lvl>
    <w:lvl w:ilvl="2" w:tplc="E0A822D2">
      <w:numFmt w:val="bullet"/>
      <w:lvlText w:val="•"/>
      <w:lvlJc w:val="left"/>
      <w:pPr>
        <w:ind w:left="578" w:hanging="217"/>
      </w:pPr>
      <w:rPr>
        <w:rFonts w:hint="default"/>
        <w:lang w:val="en-GB" w:eastAsia="en-GB" w:bidi="en-GB"/>
      </w:rPr>
    </w:lvl>
    <w:lvl w:ilvl="3" w:tplc="16CCDD18">
      <w:numFmt w:val="bullet"/>
      <w:lvlText w:val="•"/>
      <w:lvlJc w:val="left"/>
      <w:pPr>
        <w:ind w:left="717" w:hanging="217"/>
      </w:pPr>
      <w:rPr>
        <w:rFonts w:hint="default"/>
        <w:lang w:val="en-GB" w:eastAsia="en-GB" w:bidi="en-GB"/>
      </w:rPr>
    </w:lvl>
    <w:lvl w:ilvl="4" w:tplc="A6B61D50">
      <w:numFmt w:val="bullet"/>
      <w:lvlText w:val="•"/>
      <w:lvlJc w:val="left"/>
      <w:pPr>
        <w:ind w:left="856" w:hanging="217"/>
      </w:pPr>
      <w:rPr>
        <w:rFonts w:hint="default"/>
        <w:lang w:val="en-GB" w:eastAsia="en-GB" w:bidi="en-GB"/>
      </w:rPr>
    </w:lvl>
    <w:lvl w:ilvl="5" w:tplc="E58CE7E0">
      <w:numFmt w:val="bullet"/>
      <w:lvlText w:val="•"/>
      <w:lvlJc w:val="left"/>
      <w:pPr>
        <w:ind w:left="995" w:hanging="217"/>
      </w:pPr>
      <w:rPr>
        <w:rFonts w:hint="default"/>
        <w:lang w:val="en-GB" w:eastAsia="en-GB" w:bidi="en-GB"/>
      </w:rPr>
    </w:lvl>
    <w:lvl w:ilvl="6" w:tplc="1C344F70">
      <w:numFmt w:val="bullet"/>
      <w:lvlText w:val="•"/>
      <w:lvlJc w:val="left"/>
      <w:pPr>
        <w:ind w:left="1134" w:hanging="217"/>
      </w:pPr>
      <w:rPr>
        <w:rFonts w:hint="default"/>
        <w:lang w:val="en-GB" w:eastAsia="en-GB" w:bidi="en-GB"/>
      </w:rPr>
    </w:lvl>
    <w:lvl w:ilvl="7" w:tplc="FA2C189E">
      <w:numFmt w:val="bullet"/>
      <w:lvlText w:val="•"/>
      <w:lvlJc w:val="left"/>
      <w:pPr>
        <w:ind w:left="1273" w:hanging="217"/>
      </w:pPr>
      <w:rPr>
        <w:rFonts w:hint="default"/>
        <w:lang w:val="en-GB" w:eastAsia="en-GB" w:bidi="en-GB"/>
      </w:rPr>
    </w:lvl>
    <w:lvl w:ilvl="8" w:tplc="CFA698BE">
      <w:numFmt w:val="bullet"/>
      <w:lvlText w:val="•"/>
      <w:lvlJc w:val="left"/>
      <w:pPr>
        <w:ind w:left="1412" w:hanging="217"/>
      </w:pPr>
      <w:rPr>
        <w:rFonts w:hint="default"/>
        <w:lang w:val="en-GB" w:eastAsia="en-GB" w:bidi="en-GB"/>
      </w:rPr>
    </w:lvl>
  </w:abstractNum>
  <w:abstractNum w:abstractNumId="881" w15:restartNumberingAfterBreak="0">
    <w:nsid w:val="4FD26C70"/>
    <w:multiLevelType w:val="hybridMultilevel"/>
    <w:tmpl w:val="C5A287BE"/>
    <w:lvl w:ilvl="0" w:tplc="F9EEE64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D28F0C6">
      <w:numFmt w:val="bullet"/>
      <w:lvlText w:val="•"/>
      <w:lvlJc w:val="left"/>
      <w:pPr>
        <w:ind w:left="439" w:hanging="217"/>
      </w:pPr>
      <w:rPr>
        <w:rFonts w:hint="default"/>
        <w:lang w:val="en-GB" w:eastAsia="en-GB" w:bidi="en-GB"/>
      </w:rPr>
    </w:lvl>
    <w:lvl w:ilvl="2" w:tplc="942842D0">
      <w:numFmt w:val="bullet"/>
      <w:lvlText w:val="•"/>
      <w:lvlJc w:val="left"/>
      <w:pPr>
        <w:ind w:left="578" w:hanging="217"/>
      </w:pPr>
      <w:rPr>
        <w:rFonts w:hint="default"/>
        <w:lang w:val="en-GB" w:eastAsia="en-GB" w:bidi="en-GB"/>
      </w:rPr>
    </w:lvl>
    <w:lvl w:ilvl="3" w:tplc="701A0B08">
      <w:numFmt w:val="bullet"/>
      <w:lvlText w:val="•"/>
      <w:lvlJc w:val="left"/>
      <w:pPr>
        <w:ind w:left="717" w:hanging="217"/>
      </w:pPr>
      <w:rPr>
        <w:rFonts w:hint="default"/>
        <w:lang w:val="en-GB" w:eastAsia="en-GB" w:bidi="en-GB"/>
      </w:rPr>
    </w:lvl>
    <w:lvl w:ilvl="4" w:tplc="967ED950">
      <w:numFmt w:val="bullet"/>
      <w:lvlText w:val="•"/>
      <w:lvlJc w:val="left"/>
      <w:pPr>
        <w:ind w:left="856" w:hanging="217"/>
      </w:pPr>
      <w:rPr>
        <w:rFonts w:hint="default"/>
        <w:lang w:val="en-GB" w:eastAsia="en-GB" w:bidi="en-GB"/>
      </w:rPr>
    </w:lvl>
    <w:lvl w:ilvl="5" w:tplc="92240292">
      <w:numFmt w:val="bullet"/>
      <w:lvlText w:val="•"/>
      <w:lvlJc w:val="left"/>
      <w:pPr>
        <w:ind w:left="995" w:hanging="217"/>
      </w:pPr>
      <w:rPr>
        <w:rFonts w:hint="default"/>
        <w:lang w:val="en-GB" w:eastAsia="en-GB" w:bidi="en-GB"/>
      </w:rPr>
    </w:lvl>
    <w:lvl w:ilvl="6" w:tplc="1124F820">
      <w:numFmt w:val="bullet"/>
      <w:lvlText w:val="•"/>
      <w:lvlJc w:val="left"/>
      <w:pPr>
        <w:ind w:left="1134" w:hanging="217"/>
      </w:pPr>
      <w:rPr>
        <w:rFonts w:hint="default"/>
        <w:lang w:val="en-GB" w:eastAsia="en-GB" w:bidi="en-GB"/>
      </w:rPr>
    </w:lvl>
    <w:lvl w:ilvl="7" w:tplc="A43E567C">
      <w:numFmt w:val="bullet"/>
      <w:lvlText w:val="•"/>
      <w:lvlJc w:val="left"/>
      <w:pPr>
        <w:ind w:left="1273" w:hanging="217"/>
      </w:pPr>
      <w:rPr>
        <w:rFonts w:hint="default"/>
        <w:lang w:val="en-GB" w:eastAsia="en-GB" w:bidi="en-GB"/>
      </w:rPr>
    </w:lvl>
    <w:lvl w:ilvl="8" w:tplc="4FE0BE14">
      <w:numFmt w:val="bullet"/>
      <w:lvlText w:val="•"/>
      <w:lvlJc w:val="left"/>
      <w:pPr>
        <w:ind w:left="1412" w:hanging="217"/>
      </w:pPr>
      <w:rPr>
        <w:rFonts w:hint="default"/>
        <w:lang w:val="en-GB" w:eastAsia="en-GB" w:bidi="en-GB"/>
      </w:rPr>
    </w:lvl>
  </w:abstractNum>
  <w:abstractNum w:abstractNumId="882" w15:restartNumberingAfterBreak="0">
    <w:nsid w:val="4FEE2484"/>
    <w:multiLevelType w:val="hybridMultilevel"/>
    <w:tmpl w:val="2FAAD9C4"/>
    <w:lvl w:ilvl="0" w:tplc="B3C8AFD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AF2D0A6">
      <w:numFmt w:val="bullet"/>
      <w:lvlText w:val="•"/>
      <w:lvlJc w:val="left"/>
      <w:pPr>
        <w:ind w:left="473" w:hanging="217"/>
      </w:pPr>
      <w:rPr>
        <w:rFonts w:hint="default"/>
        <w:lang w:val="en-GB" w:eastAsia="en-GB" w:bidi="en-GB"/>
      </w:rPr>
    </w:lvl>
    <w:lvl w:ilvl="2" w:tplc="2ABAB0F6">
      <w:numFmt w:val="bullet"/>
      <w:lvlText w:val="•"/>
      <w:lvlJc w:val="left"/>
      <w:pPr>
        <w:ind w:left="646" w:hanging="217"/>
      </w:pPr>
      <w:rPr>
        <w:rFonts w:hint="default"/>
        <w:lang w:val="en-GB" w:eastAsia="en-GB" w:bidi="en-GB"/>
      </w:rPr>
    </w:lvl>
    <w:lvl w:ilvl="3" w:tplc="83B2D608">
      <w:numFmt w:val="bullet"/>
      <w:lvlText w:val="•"/>
      <w:lvlJc w:val="left"/>
      <w:pPr>
        <w:ind w:left="819" w:hanging="217"/>
      </w:pPr>
      <w:rPr>
        <w:rFonts w:hint="default"/>
        <w:lang w:val="en-GB" w:eastAsia="en-GB" w:bidi="en-GB"/>
      </w:rPr>
    </w:lvl>
    <w:lvl w:ilvl="4" w:tplc="AF4206B0">
      <w:numFmt w:val="bullet"/>
      <w:lvlText w:val="•"/>
      <w:lvlJc w:val="left"/>
      <w:pPr>
        <w:ind w:left="992" w:hanging="217"/>
      </w:pPr>
      <w:rPr>
        <w:rFonts w:hint="default"/>
        <w:lang w:val="en-GB" w:eastAsia="en-GB" w:bidi="en-GB"/>
      </w:rPr>
    </w:lvl>
    <w:lvl w:ilvl="5" w:tplc="0FE8B950">
      <w:numFmt w:val="bullet"/>
      <w:lvlText w:val="•"/>
      <w:lvlJc w:val="left"/>
      <w:pPr>
        <w:ind w:left="1165" w:hanging="217"/>
      </w:pPr>
      <w:rPr>
        <w:rFonts w:hint="default"/>
        <w:lang w:val="en-GB" w:eastAsia="en-GB" w:bidi="en-GB"/>
      </w:rPr>
    </w:lvl>
    <w:lvl w:ilvl="6" w:tplc="E5E8B834">
      <w:numFmt w:val="bullet"/>
      <w:lvlText w:val="•"/>
      <w:lvlJc w:val="left"/>
      <w:pPr>
        <w:ind w:left="1338" w:hanging="217"/>
      </w:pPr>
      <w:rPr>
        <w:rFonts w:hint="default"/>
        <w:lang w:val="en-GB" w:eastAsia="en-GB" w:bidi="en-GB"/>
      </w:rPr>
    </w:lvl>
    <w:lvl w:ilvl="7" w:tplc="332A1D00">
      <w:numFmt w:val="bullet"/>
      <w:lvlText w:val="•"/>
      <w:lvlJc w:val="left"/>
      <w:pPr>
        <w:ind w:left="1511" w:hanging="217"/>
      </w:pPr>
      <w:rPr>
        <w:rFonts w:hint="default"/>
        <w:lang w:val="en-GB" w:eastAsia="en-GB" w:bidi="en-GB"/>
      </w:rPr>
    </w:lvl>
    <w:lvl w:ilvl="8" w:tplc="08CA9D10">
      <w:numFmt w:val="bullet"/>
      <w:lvlText w:val="•"/>
      <w:lvlJc w:val="left"/>
      <w:pPr>
        <w:ind w:left="1684" w:hanging="217"/>
      </w:pPr>
      <w:rPr>
        <w:rFonts w:hint="default"/>
        <w:lang w:val="en-GB" w:eastAsia="en-GB" w:bidi="en-GB"/>
      </w:rPr>
    </w:lvl>
  </w:abstractNum>
  <w:abstractNum w:abstractNumId="883" w15:restartNumberingAfterBreak="0">
    <w:nsid w:val="500359C9"/>
    <w:multiLevelType w:val="hybridMultilevel"/>
    <w:tmpl w:val="8684D5A8"/>
    <w:lvl w:ilvl="0" w:tplc="378E92DE">
      <w:numFmt w:val="bullet"/>
      <w:lvlText w:val="•"/>
      <w:lvlJc w:val="left"/>
      <w:pPr>
        <w:ind w:left="305" w:hanging="217"/>
      </w:pPr>
      <w:rPr>
        <w:rFonts w:ascii="Arial" w:eastAsia="Arial" w:hAnsi="Arial" w:cs="Arial" w:hint="default"/>
        <w:color w:val="231F20"/>
        <w:w w:val="102"/>
        <w:sz w:val="17"/>
        <w:szCs w:val="17"/>
        <w:lang w:val="en-GB" w:eastAsia="en-GB" w:bidi="en-GB"/>
      </w:rPr>
    </w:lvl>
    <w:lvl w:ilvl="1" w:tplc="D4D8E556">
      <w:numFmt w:val="bullet"/>
      <w:lvlText w:val="•"/>
      <w:lvlJc w:val="left"/>
      <w:pPr>
        <w:ind w:left="892" w:hanging="217"/>
      </w:pPr>
      <w:rPr>
        <w:rFonts w:hint="default"/>
        <w:lang w:val="en-GB" w:eastAsia="en-GB" w:bidi="en-GB"/>
      </w:rPr>
    </w:lvl>
    <w:lvl w:ilvl="2" w:tplc="C59EBE20">
      <w:numFmt w:val="bullet"/>
      <w:lvlText w:val="•"/>
      <w:lvlJc w:val="left"/>
      <w:pPr>
        <w:ind w:left="1485" w:hanging="217"/>
      </w:pPr>
      <w:rPr>
        <w:rFonts w:hint="default"/>
        <w:lang w:val="en-GB" w:eastAsia="en-GB" w:bidi="en-GB"/>
      </w:rPr>
    </w:lvl>
    <w:lvl w:ilvl="3" w:tplc="490CC9B4">
      <w:numFmt w:val="bullet"/>
      <w:lvlText w:val="•"/>
      <w:lvlJc w:val="left"/>
      <w:pPr>
        <w:ind w:left="2077" w:hanging="217"/>
      </w:pPr>
      <w:rPr>
        <w:rFonts w:hint="default"/>
        <w:lang w:val="en-GB" w:eastAsia="en-GB" w:bidi="en-GB"/>
      </w:rPr>
    </w:lvl>
    <w:lvl w:ilvl="4" w:tplc="909C3958">
      <w:numFmt w:val="bullet"/>
      <w:lvlText w:val="•"/>
      <w:lvlJc w:val="left"/>
      <w:pPr>
        <w:ind w:left="2670" w:hanging="217"/>
      </w:pPr>
      <w:rPr>
        <w:rFonts w:hint="default"/>
        <w:lang w:val="en-GB" w:eastAsia="en-GB" w:bidi="en-GB"/>
      </w:rPr>
    </w:lvl>
    <w:lvl w:ilvl="5" w:tplc="3B42C9D6">
      <w:numFmt w:val="bullet"/>
      <w:lvlText w:val="•"/>
      <w:lvlJc w:val="left"/>
      <w:pPr>
        <w:ind w:left="3263" w:hanging="217"/>
      </w:pPr>
      <w:rPr>
        <w:rFonts w:hint="default"/>
        <w:lang w:val="en-GB" w:eastAsia="en-GB" w:bidi="en-GB"/>
      </w:rPr>
    </w:lvl>
    <w:lvl w:ilvl="6" w:tplc="CDBEA99E">
      <w:numFmt w:val="bullet"/>
      <w:lvlText w:val="•"/>
      <w:lvlJc w:val="left"/>
      <w:pPr>
        <w:ind w:left="3855" w:hanging="217"/>
      </w:pPr>
      <w:rPr>
        <w:rFonts w:hint="default"/>
        <w:lang w:val="en-GB" w:eastAsia="en-GB" w:bidi="en-GB"/>
      </w:rPr>
    </w:lvl>
    <w:lvl w:ilvl="7" w:tplc="8BDC0B04">
      <w:numFmt w:val="bullet"/>
      <w:lvlText w:val="•"/>
      <w:lvlJc w:val="left"/>
      <w:pPr>
        <w:ind w:left="4448" w:hanging="217"/>
      </w:pPr>
      <w:rPr>
        <w:rFonts w:hint="default"/>
        <w:lang w:val="en-GB" w:eastAsia="en-GB" w:bidi="en-GB"/>
      </w:rPr>
    </w:lvl>
    <w:lvl w:ilvl="8" w:tplc="D598BE94">
      <w:numFmt w:val="bullet"/>
      <w:lvlText w:val="•"/>
      <w:lvlJc w:val="left"/>
      <w:pPr>
        <w:ind w:left="5040" w:hanging="217"/>
      </w:pPr>
      <w:rPr>
        <w:rFonts w:hint="default"/>
        <w:lang w:val="en-GB" w:eastAsia="en-GB" w:bidi="en-GB"/>
      </w:rPr>
    </w:lvl>
  </w:abstractNum>
  <w:abstractNum w:abstractNumId="884" w15:restartNumberingAfterBreak="0">
    <w:nsid w:val="501C0020"/>
    <w:multiLevelType w:val="multilevel"/>
    <w:tmpl w:val="C40A2CD0"/>
    <w:lvl w:ilvl="0">
      <w:start w:val="5"/>
      <w:numFmt w:val="decimal"/>
      <w:lvlText w:val="%1"/>
      <w:lvlJc w:val="left"/>
      <w:pPr>
        <w:ind w:left="910" w:hanging="701"/>
      </w:pPr>
      <w:rPr>
        <w:rFonts w:hint="default"/>
        <w:lang w:val="en-GB" w:eastAsia="en-GB" w:bidi="en-GB"/>
      </w:rPr>
    </w:lvl>
    <w:lvl w:ilvl="1">
      <w:start w:val="1"/>
      <w:numFmt w:val="decimal"/>
      <w:lvlText w:val="%1.%2"/>
      <w:lvlJc w:val="left"/>
      <w:pPr>
        <w:ind w:left="910" w:hanging="701"/>
      </w:pPr>
      <w:rPr>
        <w:rFonts w:ascii="Arial" w:eastAsia="Arial" w:hAnsi="Arial" w:cs="Arial" w:hint="default"/>
        <w:color w:val="231F20"/>
        <w:spacing w:val="-1"/>
        <w:w w:val="100"/>
        <w:sz w:val="42"/>
        <w:szCs w:val="42"/>
        <w:lang w:val="en-GB" w:eastAsia="en-GB" w:bidi="en-GB"/>
      </w:rPr>
    </w:lvl>
    <w:lvl w:ilvl="2">
      <w:start w:val="1"/>
      <w:numFmt w:val="decimal"/>
      <w:lvlText w:val="%1.%2.%3"/>
      <w:lvlJc w:val="left"/>
      <w:pPr>
        <w:ind w:left="810" w:hanging="601"/>
      </w:pPr>
      <w:rPr>
        <w:rFonts w:hint="default"/>
        <w:spacing w:val="-23"/>
        <w:w w:val="100"/>
        <w:lang w:val="en-GB" w:eastAsia="en-GB" w:bidi="en-GB"/>
      </w:rPr>
    </w:lvl>
    <w:lvl w:ilvl="3">
      <w:numFmt w:val="bullet"/>
      <w:lvlText w:val="•"/>
      <w:lvlJc w:val="left"/>
      <w:pPr>
        <w:ind w:left="3072" w:hanging="601"/>
      </w:pPr>
      <w:rPr>
        <w:rFonts w:hint="default"/>
        <w:lang w:val="en-GB" w:eastAsia="en-GB" w:bidi="en-GB"/>
      </w:rPr>
    </w:lvl>
    <w:lvl w:ilvl="4">
      <w:numFmt w:val="bullet"/>
      <w:lvlText w:val="•"/>
      <w:lvlJc w:val="left"/>
      <w:pPr>
        <w:ind w:left="4148" w:hanging="601"/>
      </w:pPr>
      <w:rPr>
        <w:rFonts w:hint="default"/>
        <w:lang w:val="en-GB" w:eastAsia="en-GB" w:bidi="en-GB"/>
      </w:rPr>
    </w:lvl>
    <w:lvl w:ilvl="5">
      <w:numFmt w:val="bullet"/>
      <w:lvlText w:val="•"/>
      <w:lvlJc w:val="left"/>
      <w:pPr>
        <w:ind w:left="5224" w:hanging="601"/>
      </w:pPr>
      <w:rPr>
        <w:rFonts w:hint="default"/>
        <w:lang w:val="en-GB" w:eastAsia="en-GB" w:bidi="en-GB"/>
      </w:rPr>
    </w:lvl>
    <w:lvl w:ilvl="6">
      <w:numFmt w:val="bullet"/>
      <w:lvlText w:val="•"/>
      <w:lvlJc w:val="left"/>
      <w:pPr>
        <w:ind w:left="6300" w:hanging="601"/>
      </w:pPr>
      <w:rPr>
        <w:rFonts w:hint="default"/>
        <w:lang w:val="en-GB" w:eastAsia="en-GB" w:bidi="en-GB"/>
      </w:rPr>
    </w:lvl>
    <w:lvl w:ilvl="7">
      <w:numFmt w:val="bullet"/>
      <w:lvlText w:val="•"/>
      <w:lvlJc w:val="left"/>
      <w:pPr>
        <w:ind w:left="7377" w:hanging="601"/>
      </w:pPr>
      <w:rPr>
        <w:rFonts w:hint="default"/>
        <w:lang w:val="en-GB" w:eastAsia="en-GB" w:bidi="en-GB"/>
      </w:rPr>
    </w:lvl>
    <w:lvl w:ilvl="8">
      <w:numFmt w:val="bullet"/>
      <w:lvlText w:val="•"/>
      <w:lvlJc w:val="left"/>
      <w:pPr>
        <w:ind w:left="8453" w:hanging="601"/>
      </w:pPr>
      <w:rPr>
        <w:rFonts w:hint="default"/>
        <w:lang w:val="en-GB" w:eastAsia="en-GB" w:bidi="en-GB"/>
      </w:rPr>
    </w:lvl>
  </w:abstractNum>
  <w:abstractNum w:abstractNumId="885" w15:restartNumberingAfterBreak="0">
    <w:nsid w:val="50215246"/>
    <w:multiLevelType w:val="hybridMultilevel"/>
    <w:tmpl w:val="09B48402"/>
    <w:lvl w:ilvl="0" w:tplc="B87E411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F02617E">
      <w:numFmt w:val="bullet"/>
      <w:lvlText w:val="•"/>
      <w:lvlJc w:val="left"/>
      <w:pPr>
        <w:ind w:left="892" w:hanging="217"/>
      </w:pPr>
      <w:rPr>
        <w:rFonts w:hint="default"/>
        <w:lang w:val="en-GB" w:eastAsia="en-GB" w:bidi="en-GB"/>
      </w:rPr>
    </w:lvl>
    <w:lvl w:ilvl="2" w:tplc="996C57C2">
      <w:numFmt w:val="bullet"/>
      <w:lvlText w:val="•"/>
      <w:lvlJc w:val="left"/>
      <w:pPr>
        <w:ind w:left="1485" w:hanging="217"/>
      </w:pPr>
      <w:rPr>
        <w:rFonts w:hint="default"/>
        <w:lang w:val="en-GB" w:eastAsia="en-GB" w:bidi="en-GB"/>
      </w:rPr>
    </w:lvl>
    <w:lvl w:ilvl="3" w:tplc="0A326CAC">
      <w:numFmt w:val="bullet"/>
      <w:lvlText w:val="•"/>
      <w:lvlJc w:val="left"/>
      <w:pPr>
        <w:ind w:left="2077" w:hanging="217"/>
      </w:pPr>
      <w:rPr>
        <w:rFonts w:hint="default"/>
        <w:lang w:val="en-GB" w:eastAsia="en-GB" w:bidi="en-GB"/>
      </w:rPr>
    </w:lvl>
    <w:lvl w:ilvl="4" w:tplc="8FF41916">
      <w:numFmt w:val="bullet"/>
      <w:lvlText w:val="•"/>
      <w:lvlJc w:val="left"/>
      <w:pPr>
        <w:ind w:left="2670" w:hanging="217"/>
      </w:pPr>
      <w:rPr>
        <w:rFonts w:hint="default"/>
        <w:lang w:val="en-GB" w:eastAsia="en-GB" w:bidi="en-GB"/>
      </w:rPr>
    </w:lvl>
    <w:lvl w:ilvl="5" w:tplc="E6ACEC74">
      <w:numFmt w:val="bullet"/>
      <w:lvlText w:val="•"/>
      <w:lvlJc w:val="left"/>
      <w:pPr>
        <w:ind w:left="3263" w:hanging="217"/>
      </w:pPr>
      <w:rPr>
        <w:rFonts w:hint="default"/>
        <w:lang w:val="en-GB" w:eastAsia="en-GB" w:bidi="en-GB"/>
      </w:rPr>
    </w:lvl>
    <w:lvl w:ilvl="6" w:tplc="CAFCDA1E">
      <w:numFmt w:val="bullet"/>
      <w:lvlText w:val="•"/>
      <w:lvlJc w:val="left"/>
      <w:pPr>
        <w:ind w:left="3855" w:hanging="217"/>
      </w:pPr>
      <w:rPr>
        <w:rFonts w:hint="default"/>
        <w:lang w:val="en-GB" w:eastAsia="en-GB" w:bidi="en-GB"/>
      </w:rPr>
    </w:lvl>
    <w:lvl w:ilvl="7" w:tplc="3C90BEC0">
      <w:numFmt w:val="bullet"/>
      <w:lvlText w:val="•"/>
      <w:lvlJc w:val="left"/>
      <w:pPr>
        <w:ind w:left="4448" w:hanging="217"/>
      </w:pPr>
      <w:rPr>
        <w:rFonts w:hint="default"/>
        <w:lang w:val="en-GB" w:eastAsia="en-GB" w:bidi="en-GB"/>
      </w:rPr>
    </w:lvl>
    <w:lvl w:ilvl="8" w:tplc="735E4C6E">
      <w:numFmt w:val="bullet"/>
      <w:lvlText w:val="•"/>
      <w:lvlJc w:val="left"/>
      <w:pPr>
        <w:ind w:left="5040" w:hanging="217"/>
      </w:pPr>
      <w:rPr>
        <w:rFonts w:hint="default"/>
        <w:lang w:val="en-GB" w:eastAsia="en-GB" w:bidi="en-GB"/>
      </w:rPr>
    </w:lvl>
  </w:abstractNum>
  <w:abstractNum w:abstractNumId="886" w15:restartNumberingAfterBreak="0">
    <w:nsid w:val="50273CEE"/>
    <w:multiLevelType w:val="hybridMultilevel"/>
    <w:tmpl w:val="555E7A00"/>
    <w:lvl w:ilvl="0" w:tplc="DA5E016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3FAC918">
      <w:numFmt w:val="bullet"/>
      <w:lvlText w:val="•"/>
      <w:lvlJc w:val="left"/>
      <w:pPr>
        <w:ind w:left="892" w:hanging="217"/>
      </w:pPr>
      <w:rPr>
        <w:rFonts w:hint="default"/>
        <w:lang w:val="en-GB" w:eastAsia="en-GB" w:bidi="en-GB"/>
      </w:rPr>
    </w:lvl>
    <w:lvl w:ilvl="2" w:tplc="47E0E408">
      <w:numFmt w:val="bullet"/>
      <w:lvlText w:val="•"/>
      <w:lvlJc w:val="left"/>
      <w:pPr>
        <w:ind w:left="1485" w:hanging="217"/>
      </w:pPr>
      <w:rPr>
        <w:rFonts w:hint="default"/>
        <w:lang w:val="en-GB" w:eastAsia="en-GB" w:bidi="en-GB"/>
      </w:rPr>
    </w:lvl>
    <w:lvl w:ilvl="3" w:tplc="90AA64CC">
      <w:numFmt w:val="bullet"/>
      <w:lvlText w:val="•"/>
      <w:lvlJc w:val="left"/>
      <w:pPr>
        <w:ind w:left="2077" w:hanging="217"/>
      </w:pPr>
      <w:rPr>
        <w:rFonts w:hint="default"/>
        <w:lang w:val="en-GB" w:eastAsia="en-GB" w:bidi="en-GB"/>
      </w:rPr>
    </w:lvl>
    <w:lvl w:ilvl="4" w:tplc="7CD2E6E2">
      <w:numFmt w:val="bullet"/>
      <w:lvlText w:val="•"/>
      <w:lvlJc w:val="left"/>
      <w:pPr>
        <w:ind w:left="2670" w:hanging="217"/>
      </w:pPr>
      <w:rPr>
        <w:rFonts w:hint="default"/>
        <w:lang w:val="en-GB" w:eastAsia="en-GB" w:bidi="en-GB"/>
      </w:rPr>
    </w:lvl>
    <w:lvl w:ilvl="5" w:tplc="1B52A2E2">
      <w:numFmt w:val="bullet"/>
      <w:lvlText w:val="•"/>
      <w:lvlJc w:val="left"/>
      <w:pPr>
        <w:ind w:left="3263" w:hanging="217"/>
      </w:pPr>
      <w:rPr>
        <w:rFonts w:hint="default"/>
        <w:lang w:val="en-GB" w:eastAsia="en-GB" w:bidi="en-GB"/>
      </w:rPr>
    </w:lvl>
    <w:lvl w:ilvl="6" w:tplc="3A6008DA">
      <w:numFmt w:val="bullet"/>
      <w:lvlText w:val="•"/>
      <w:lvlJc w:val="left"/>
      <w:pPr>
        <w:ind w:left="3855" w:hanging="217"/>
      </w:pPr>
      <w:rPr>
        <w:rFonts w:hint="default"/>
        <w:lang w:val="en-GB" w:eastAsia="en-GB" w:bidi="en-GB"/>
      </w:rPr>
    </w:lvl>
    <w:lvl w:ilvl="7" w:tplc="D6783CEE">
      <w:numFmt w:val="bullet"/>
      <w:lvlText w:val="•"/>
      <w:lvlJc w:val="left"/>
      <w:pPr>
        <w:ind w:left="4448" w:hanging="217"/>
      </w:pPr>
      <w:rPr>
        <w:rFonts w:hint="default"/>
        <w:lang w:val="en-GB" w:eastAsia="en-GB" w:bidi="en-GB"/>
      </w:rPr>
    </w:lvl>
    <w:lvl w:ilvl="8" w:tplc="E3F8317E">
      <w:numFmt w:val="bullet"/>
      <w:lvlText w:val="•"/>
      <w:lvlJc w:val="left"/>
      <w:pPr>
        <w:ind w:left="5040" w:hanging="217"/>
      </w:pPr>
      <w:rPr>
        <w:rFonts w:hint="default"/>
        <w:lang w:val="en-GB" w:eastAsia="en-GB" w:bidi="en-GB"/>
      </w:rPr>
    </w:lvl>
  </w:abstractNum>
  <w:abstractNum w:abstractNumId="887" w15:restartNumberingAfterBreak="0">
    <w:nsid w:val="5051003A"/>
    <w:multiLevelType w:val="hybridMultilevel"/>
    <w:tmpl w:val="C4660704"/>
    <w:lvl w:ilvl="0" w:tplc="9612B31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6B04A4A">
      <w:numFmt w:val="bullet"/>
      <w:lvlText w:val="•"/>
      <w:lvlJc w:val="left"/>
      <w:pPr>
        <w:ind w:left="467" w:hanging="217"/>
      </w:pPr>
      <w:rPr>
        <w:rFonts w:hint="default"/>
        <w:lang w:val="en-GB" w:eastAsia="en-GB" w:bidi="en-GB"/>
      </w:rPr>
    </w:lvl>
    <w:lvl w:ilvl="2" w:tplc="84B4654C">
      <w:numFmt w:val="bullet"/>
      <w:lvlText w:val="•"/>
      <w:lvlJc w:val="left"/>
      <w:pPr>
        <w:ind w:left="634" w:hanging="217"/>
      </w:pPr>
      <w:rPr>
        <w:rFonts w:hint="default"/>
        <w:lang w:val="en-GB" w:eastAsia="en-GB" w:bidi="en-GB"/>
      </w:rPr>
    </w:lvl>
    <w:lvl w:ilvl="3" w:tplc="A1EC77D0">
      <w:numFmt w:val="bullet"/>
      <w:lvlText w:val="•"/>
      <w:lvlJc w:val="left"/>
      <w:pPr>
        <w:ind w:left="802" w:hanging="217"/>
      </w:pPr>
      <w:rPr>
        <w:rFonts w:hint="default"/>
        <w:lang w:val="en-GB" w:eastAsia="en-GB" w:bidi="en-GB"/>
      </w:rPr>
    </w:lvl>
    <w:lvl w:ilvl="4" w:tplc="06F65E6A">
      <w:numFmt w:val="bullet"/>
      <w:lvlText w:val="•"/>
      <w:lvlJc w:val="left"/>
      <w:pPr>
        <w:ind w:left="969" w:hanging="217"/>
      </w:pPr>
      <w:rPr>
        <w:rFonts w:hint="default"/>
        <w:lang w:val="en-GB" w:eastAsia="en-GB" w:bidi="en-GB"/>
      </w:rPr>
    </w:lvl>
    <w:lvl w:ilvl="5" w:tplc="9A3C71C4">
      <w:numFmt w:val="bullet"/>
      <w:lvlText w:val="•"/>
      <w:lvlJc w:val="left"/>
      <w:pPr>
        <w:ind w:left="1137" w:hanging="217"/>
      </w:pPr>
      <w:rPr>
        <w:rFonts w:hint="default"/>
        <w:lang w:val="en-GB" w:eastAsia="en-GB" w:bidi="en-GB"/>
      </w:rPr>
    </w:lvl>
    <w:lvl w:ilvl="6" w:tplc="06A8A19C">
      <w:numFmt w:val="bullet"/>
      <w:lvlText w:val="•"/>
      <w:lvlJc w:val="left"/>
      <w:pPr>
        <w:ind w:left="1304" w:hanging="217"/>
      </w:pPr>
      <w:rPr>
        <w:rFonts w:hint="default"/>
        <w:lang w:val="en-GB" w:eastAsia="en-GB" w:bidi="en-GB"/>
      </w:rPr>
    </w:lvl>
    <w:lvl w:ilvl="7" w:tplc="8392E5A8">
      <w:numFmt w:val="bullet"/>
      <w:lvlText w:val="•"/>
      <w:lvlJc w:val="left"/>
      <w:pPr>
        <w:ind w:left="1471" w:hanging="217"/>
      </w:pPr>
      <w:rPr>
        <w:rFonts w:hint="default"/>
        <w:lang w:val="en-GB" w:eastAsia="en-GB" w:bidi="en-GB"/>
      </w:rPr>
    </w:lvl>
    <w:lvl w:ilvl="8" w:tplc="20F831D4">
      <w:numFmt w:val="bullet"/>
      <w:lvlText w:val="•"/>
      <w:lvlJc w:val="left"/>
      <w:pPr>
        <w:ind w:left="1639" w:hanging="217"/>
      </w:pPr>
      <w:rPr>
        <w:rFonts w:hint="default"/>
        <w:lang w:val="en-GB" w:eastAsia="en-GB" w:bidi="en-GB"/>
      </w:rPr>
    </w:lvl>
  </w:abstractNum>
  <w:abstractNum w:abstractNumId="888" w15:restartNumberingAfterBreak="0">
    <w:nsid w:val="505A57B6"/>
    <w:multiLevelType w:val="hybridMultilevel"/>
    <w:tmpl w:val="3C8E7FE6"/>
    <w:lvl w:ilvl="0" w:tplc="30B86A7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CEEA040">
      <w:numFmt w:val="bullet"/>
      <w:lvlText w:val="•"/>
      <w:lvlJc w:val="left"/>
      <w:pPr>
        <w:ind w:left="892" w:hanging="217"/>
      </w:pPr>
      <w:rPr>
        <w:rFonts w:hint="default"/>
        <w:lang w:val="en-GB" w:eastAsia="en-GB" w:bidi="en-GB"/>
      </w:rPr>
    </w:lvl>
    <w:lvl w:ilvl="2" w:tplc="5144F1FE">
      <w:numFmt w:val="bullet"/>
      <w:lvlText w:val="•"/>
      <w:lvlJc w:val="left"/>
      <w:pPr>
        <w:ind w:left="1485" w:hanging="217"/>
      </w:pPr>
      <w:rPr>
        <w:rFonts w:hint="default"/>
        <w:lang w:val="en-GB" w:eastAsia="en-GB" w:bidi="en-GB"/>
      </w:rPr>
    </w:lvl>
    <w:lvl w:ilvl="3" w:tplc="543A98B0">
      <w:numFmt w:val="bullet"/>
      <w:lvlText w:val="•"/>
      <w:lvlJc w:val="left"/>
      <w:pPr>
        <w:ind w:left="2077" w:hanging="217"/>
      </w:pPr>
      <w:rPr>
        <w:rFonts w:hint="default"/>
        <w:lang w:val="en-GB" w:eastAsia="en-GB" w:bidi="en-GB"/>
      </w:rPr>
    </w:lvl>
    <w:lvl w:ilvl="4" w:tplc="1AA23AFC">
      <w:numFmt w:val="bullet"/>
      <w:lvlText w:val="•"/>
      <w:lvlJc w:val="left"/>
      <w:pPr>
        <w:ind w:left="2670" w:hanging="217"/>
      </w:pPr>
      <w:rPr>
        <w:rFonts w:hint="default"/>
        <w:lang w:val="en-GB" w:eastAsia="en-GB" w:bidi="en-GB"/>
      </w:rPr>
    </w:lvl>
    <w:lvl w:ilvl="5" w:tplc="3B2A22CC">
      <w:numFmt w:val="bullet"/>
      <w:lvlText w:val="•"/>
      <w:lvlJc w:val="left"/>
      <w:pPr>
        <w:ind w:left="3263" w:hanging="217"/>
      </w:pPr>
      <w:rPr>
        <w:rFonts w:hint="default"/>
        <w:lang w:val="en-GB" w:eastAsia="en-GB" w:bidi="en-GB"/>
      </w:rPr>
    </w:lvl>
    <w:lvl w:ilvl="6" w:tplc="76923D34">
      <w:numFmt w:val="bullet"/>
      <w:lvlText w:val="•"/>
      <w:lvlJc w:val="left"/>
      <w:pPr>
        <w:ind w:left="3855" w:hanging="217"/>
      </w:pPr>
      <w:rPr>
        <w:rFonts w:hint="default"/>
        <w:lang w:val="en-GB" w:eastAsia="en-GB" w:bidi="en-GB"/>
      </w:rPr>
    </w:lvl>
    <w:lvl w:ilvl="7" w:tplc="55AAE160">
      <w:numFmt w:val="bullet"/>
      <w:lvlText w:val="•"/>
      <w:lvlJc w:val="left"/>
      <w:pPr>
        <w:ind w:left="4448" w:hanging="217"/>
      </w:pPr>
      <w:rPr>
        <w:rFonts w:hint="default"/>
        <w:lang w:val="en-GB" w:eastAsia="en-GB" w:bidi="en-GB"/>
      </w:rPr>
    </w:lvl>
    <w:lvl w:ilvl="8" w:tplc="AB569EBE">
      <w:numFmt w:val="bullet"/>
      <w:lvlText w:val="•"/>
      <w:lvlJc w:val="left"/>
      <w:pPr>
        <w:ind w:left="5040" w:hanging="217"/>
      </w:pPr>
      <w:rPr>
        <w:rFonts w:hint="default"/>
        <w:lang w:val="en-GB" w:eastAsia="en-GB" w:bidi="en-GB"/>
      </w:rPr>
    </w:lvl>
  </w:abstractNum>
  <w:abstractNum w:abstractNumId="889" w15:restartNumberingAfterBreak="0">
    <w:nsid w:val="508677FA"/>
    <w:multiLevelType w:val="hybridMultilevel"/>
    <w:tmpl w:val="248C9258"/>
    <w:lvl w:ilvl="0" w:tplc="D8ACC34E">
      <w:numFmt w:val="bullet"/>
      <w:lvlText w:val="•"/>
      <w:lvlJc w:val="left"/>
      <w:pPr>
        <w:ind w:left="300" w:hanging="217"/>
      </w:pPr>
      <w:rPr>
        <w:rFonts w:ascii="Arial" w:eastAsia="Arial" w:hAnsi="Arial" w:cs="Arial" w:hint="default"/>
        <w:color w:val="231F20"/>
        <w:w w:val="102"/>
        <w:sz w:val="17"/>
        <w:szCs w:val="17"/>
        <w:lang w:val="en-GB" w:eastAsia="en-GB" w:bidi="en-GB"/>
      </w:rPr>
    </w:lvl>
    <w:lvl w:ilvl="1" w:tplc="FFD8A9E8">
      <w:numFmt w:val="bullet"/>
      <w:lvlText w:val="•"/>
      <w:lvlJc w:val="left"/>
      <w:pPr>
        <w:ind w:left="790" w:hanging="217"/>
      </w:pPr>
      <w:rPr>
        <w:rFonts w:hint="default"/>
        <w:lang w:val="en-GB" w:eastAsia="en-GB" w:bidi="en-GB"/>
      </w:rPr>
    </w:lvl>
    <w:lvl w:ilvl="2" w:tplc="B246CB68">
      <w:numFmt w:val="bullet"/>
      <w:lvlText w:val="•"/>
      <w:lvlJc w:val="left"/>
      <w:pPr>
        <w:ind w:left="1280" w:hanging="217"/>
      </w:pPr>
      <w:rPr>
        <w:rFonts w:hint="default"/>
        <w:lang w:val="en-GB" w:eastAsia="en-GB" w:bidi="en-GB"/>
      </w:rPr>
    </w:lvl>
    <w:lvl w:ilvl="3" w:tplc="CA9E8B00">
      <w:numFmt w:val="bullet"/>
      <w:lvlText w:val="•"/>
      <w:lvlJc w:val="left"/>
      <w:pPr>
        <w:ind w:left="1770" w:hanging="217"/>
      </w:pPr>
      <w:rPr>
        <w:rFonts w:hint="default"/>
        <w:lang w:val="en-GB" w:eastAsia="en-GB" w:bidi="en-GB"/>
      </w:rPr>
    </w:lvl>
    <w:lvl w:ilvl="4" w:tplc="E566F8CC">
      <w:numFmt w:val="bullet"/>
      <w:lvlText w:val="•"/>
      <w:lvlJc w:val="left"/>
      <w:pPr>
        <w:ind w:left="2260" w:hanging="217"/>
      </w:pPr>
      <w:rPr>
        <w:rFonts w:hint="default"/>
        <w:lang w:val="en-GB" w:eastAsia="en-GB" w:bidi="en-GB"/>
      </w:rPr>
    </w:lvl>
    <w:lvl w:ilvl="5" w:tplc="701A0106">
      <w:numFmt w:val="bullet"/>
      <w:lvlText w:val="•"/>
      <w:lvlJc w:val="left"/>
      <w:pPr>
        <w:ind w:left="2750" w:hanging="217"/>
      </w:pPr>
      <w:rPr>
        <w:rFonts w:hint="default"/>
        <w:lang w:val="en-GB" w:eastAsia="en-GB" w:bidi="en-GB"/>
      </w:rPr>
    </w:lvl>
    <w:lvl w:ilvl="6" w:tplc="A1D03F90">
      <w:numFmt w:val="bullet"/>
      <w:lvlText w:val="•"/>
      <w:lvlJc w:val="left"/>
      <w:pPr>
        <w:ind w:left="3240" w:hanging="217"/>
      </w:pPr>
      <w:rPr>
        <w:rFonts w:hint="default"/>
        <w:lang w:val="en-GB" w:eastAsia="en-GB" w:bidi="en-GB"/>
      </w:rPr>
    </w:lvl>
    <w:lvl w:ilvl="7" w:tplc="DB0253F6">
      <w:numFmt w:val="bullet"/>
      <w:lvlText w:val="•"/>
      <w:lvlJc w:val="left"/>
      <w:pPr>
        <w:ind w:left="3730" w:hanging="217"/>
      </w:pPr>
      <w:rPr>
        <w:rFonts w:hint="default"/>
        <w:lang w:val="en-GB" w:eastAsia="en-GB" w:bidi="en-GB"/>
      </w:rPr>
    </w:lvl>
    <w:lvl w:ilvl="8" w:tplc="5E404A3C">
      <w:numFmt w:val="bullet"/>
      <w:lvlText w:val="•"/>
      <w:lvlJc w:val="left"/>
      <w:pPr>
        <w:ind w:left="4220" w:hanging="217"/>
      </w:pPr>
      <w:rPr>
        <w:rFonts w:hint="default"/>
        <w:lang w:val="en-GB" w:eastAsia="en-GB" w:bidi="en-GB"/>
      </w:rPr>
    </w:lvl>
  </w:abstractNum>
  <w:abstractNum w:abstractNumId="890" w15:restartNumberingAfterBreak="0">
    <w:nsid w:val="508D7AF4"/>
    <w:multiLevelType w:val="hybridMultilevel"/>
    <w:tmpl w:val="8D62499E"/>
    <w:lvl w:ilvl="0" w:tplc="C82E14C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BCE4EB26">
      <w:numFmt w:val="bullet"/>
      <w:lvlText w:val="•"/>
      <w:lvlJc w:val="left"/>
      <w:pPr>
        <w:ind w:left="892" w:hanging="217"/>
      </w:pPr>
      <w:rPr>
        <w:rFonts w:hint="default"/>
        <w:lang w:val="en-GB" w:eastAsia="en-GB" w:bidi="en-GB"/>
      </w:rPr>
    </w:lvl>
    <w:lvl w:ilvl="2" w:tplc="BC84A18A">
      <w:numFmt w:val="bullet"/>
      <w:lvlText w:val="•"/>
      <w:lvlJc w:val="left"/>
      <w:pPr>
        <w:ind w:left="1485" w:hanging="217"/>
      </w:pPr>
      <w:rPr>
        <w:rFonts w:hint="default"/>
        <w:lang w:val="en-GB" w:eastAsia="en-GB" w:bidi="en-GB"/>
      </w:rPr>
    </w:lvl>
    <w:lvl w:ilvl="3" w:tplc="B872932A">
      <w:numFmt w:val="bullet"/>
      <w:lvlText w:val="•"/>
      <w:lvlJc w:val="left"/>
      <w:pPr>
        <w:ind w:left="2077" w:hanging="217"/>
      </w:pPr>
      <w:rPr>
        <w:rFonts w:hint="default"/>
        <w:lang w:val="en-GB" w:eastAsia="en-GB" w:bidi="en-GB"/>
      </w:rPr>
    </w:lvl>
    <w:lvl w:ilvl="4" w:tplc="3082712A">
      <w:numFmt w:val="bullet"/>
      <w:lvlText w:val="•"/>
      <w:lvlJc w:val="left"/>
      <w:pPr>
        <w:ind w:left="2670" w:hanging="217"/>
      </w:pPr>
      <w:rPr>
        <w:rFonts w:hint="default"/>
        <w:lang w:val="en-GB" w:eastAsia="en-GB" w:bidi="en-GB"/>
      </w:rPr>
    </w:lvl>
    <w:lvl w:ilvl="5" w:tplc="E4AA0836">
      <w:numFmt w:val="bullet"/>
      <w:lvlText w:val="•"/>
      <w:lvlJc w:val="left"/>
      <w:pPr>
        <w:ind w:left="3263" w:hanging="217"/>
      </w:pPr>
      <w:rPr>
        <w:rFonts w:hint="default"/>
        <w:lang w:val="en-GB" w:eastAsia="en-GB" w:bidi="en-GB"/>
      </w:rPr>
    </w:lvl>
    <w:lvl w:ilvl="6" w:tplc="44502FE6">
      <w:numFmt w:val="bullet"/>
      <w:lvlText w:val="•"/>
      <w:lvlJc w:val="left"/>
      <w:pPr>
        <w:ind w:left="3855" w:hanging="217"/>
      </w:pPr>
      <w:rPr>
        <w:rFonts w:hint="default"/>
        <w:lang w:val="en-GB" w:eastAsia="en-GB" w:bidi="en-GB"/>
      </w:rPr>
    </w:lvl>
    <w:lvl w:ilvl="7" w:tplc="128A9E84">
      <w:numFmt w:val="bullet"/>
      <w:lvlText w:val="•"/>
      <w:lvlJc w:val="left"/>
      <w:pPr>
        <w:ind w:left="4448" w:hanging="217"/>
      </w:pPr>
      <w:rPr>
        <w:rFonts w:hint="default"/>
        <w:lang w:val="en-GB" w:eastAsia="en-GB" w:bidi="en-GB"/>
      </w:rPr>
    </w:lvl>
    <w:lvl w:ilvl="8" w:tplc="CD222546">
      <w:numFmt w:val="bullet"/>
      <w:lvlText w:val="•"/>
      <w:lvlJc w:val="left"/>
      <w:pPr>
        <w:ind w:left="5040" w:hanging="217"/>
      </w:pPr>
      <w:rPr>
        <w:rFonts w:hint="default"/>
        <w:lang w:val="en-GB" w:eastAsia="en-GB" w:bidi="en-GB"/>
      </w:rPr>
    </w:lvl>
  </w:abstractNum>
  <w:abstractNum w:abstractNumId="891" w15:restartNumberingAfterBreak="0">
    <w:nsid w:val="50993E1C"/>
    <w:multiLevelType w:val="hybridMultilevel"/>
    <w:tmpl w:val="F1B65D44"/>
    <w:lvl w:ilvl="0" w:tplc="7B3C1F0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432F36A">
      <w:numFmt w:val="bullet"/>
      <w:lvlText w:val="•"/>
      <w:lvlJc w:val="left"/>
      <w:pPr>
        <w:ind w:left="473" w:hanging="217"/>
      </w:pPr>
      <w:rPr>
        <w:rFonts w:hint="default"/>
        <w:lang w:val="en-GB" w:eastAsia="en-GB" w:bidi="en-GB"/>
      </w:rPr>
    </w:lvl>
    <w:lvl w:ilvl="2" w:tplc="E6C6F708">
      <w:numFmt w:val="bullet"/>
      <w:lvlText w:val="•"/>
      <w:lvlJc w:val="left"/>
      <w:pPr>
        <w:ind w:left="646" w:hanging="217"/>
      </w:pPr>
      <w:rPr>
        <w:rFonts w:hint="default"/>
        <w:lang w:val="en-GB" w:eastAsia="en-GB" w:bidi="en-GB"/>
      </w:rPr>
    </w:lvl>
    <w:lvl w:ilvl="3" w:tplc="A12492DA">
      <w:numFmt w:val="bullet"/>
      <w:lvlText w:val="•"/>
      <w:lvlJc w:val="left"/>
      <w:pPr>
        <w:ind w:left="819" w:hanging="217"/>
      </w:pPr>
      <w:rPr>
        <w:rFonts w:hint="default"/>
        <w:lang w:val="en-GB" w:eastAsia="en-GB" w:bidi="en-GB"/>
      </w:rPr>
    </w:lvl>
    <w:lvl w:ilvl="4" w:tplc="3EA6F556">
      <w:numFmt w:val="bullet"/>
      <w:lvlText w:val="•"/>
      <w:lvlJc w:val="left"/>
      <w:pPr>
        <w:ind w:left="992" w:hanging="217"/>
      </w:pPr>
      <w:rPr>
        <w:rFonts w:hint="default"/>
        <w:lang w:val="en-GB" w:eastAsia="en-GB" w:bidi="en-GB"/>
      </w:rPr>
    </w:lvl>
    <w:lvl w:ilvl="5" w:tplc="949209D4">
      <w:numFmt w:val="bullet"/>
      <w:lvlText w:val="•"/>
      <w:lvlJc w:val="left"/>
      <w:pPr>
        <w:ind w:left="1165" w:hanging="217"/>
      </w:pPr>
      <w:rPr>
        <w:rFonts w:hint="default"/>
        <w:lang w:val="en-GB" w:eastAsia="en-GB" w:bidi="en-GB"/>
      </w:rPr>
    </w:lvl>
    <w:lvl w:ilvl="6" w:tplc="78F274B4">
      <w:numFmt w:val="bullet"/>
      <w:lvlText w:val="•"/>
      <w:lvlJc w:val="left"/>
      <w:pPr>
        <w:ind w:left="1338" w:hanging="217"/>
      </w:pPr>
      <w:rPr>
        <w:rFonts w:hint="default"/>
        <w:lang w:val="en-GB" w:eastAsia="en-GB" w:bidi="en-GB"/>
      </w:rPr>
    </w:lvl>
    <w:lvl w:ilvl="7" w:tplc="83A84758">
      <w:numFmt w:val="bullet"/>
      <w:lvlText w:val="•"/>
      <w:lvlJc w:val="left"/>
      <w:pPr>
        <w:ind w:left="1511" w:hanging="217"/>
      </w:pPr>
      <w:rPr>
        <w:rFonts w:hint="default"/>
        <w:lang w:val="en-GB" w:eastAsia="en-GB" w:bidi="en-GB"/>
      </w:rPr>
    </w:lvl>
    <w:lvl w:ilvl="8" w:tplc="7D00E39A">
      <w:numFmt w:val="bullet"/>
      <w:lvlText w:val="•"/>
      <w:lvlJc w:val="left"/>
      <w:pPr>
        <w:ind w:left="1684" w:hanging="217"/>
      </w:pPr>
      <w:rPr>
        <w:rFonts w:hint="default"/>
        <w:lang w:val="en-GB" w:eastAsia="en-GB" w:bidi="en-GB"/>
      </w:rPr>
    </w:lvl>
  </w:abstractNum>
  <w:abstractNum w:abstractNumId="892" w15:restartNumberingAfterBreak="0">
    <w:nsid w:val="509C2D17"/>
    <w:multiLevelType w:val="hybridMultilevel"/>
    <w:tmpl w:val="3070A22A"/>
    <w:lvl w:ilvl="0" w:tplc="A374367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088E5C8">
      <w:numFmt w:val="bullet"/>
      <w:lvlText w:val="•"/>
      <w:lvlJc w:val="left"/>
      <w:pPr>
        <w:ind w:left="439" w:hanging="217"/>
      </w:pPr>
      <w:rPr>
        <w:rFonts w:hint="default"/>
        <w:lang w:val="en-GB" w:eastAsia="en-GB" w:bidi="en-GB"/>
      </w:rPr>
    </w:lvl>
    <w:lvl w:ilvl="2" w:tplc="A878A474">
      <w:numFmt w:val="bullet"/>
      <w:lvlText w:val="•"/>
      <w:lvlJc w:val="left"/>
      <w:pPr>
        <w:ind w:left="578" w:hanging="217"/>
      </w:pPr>
      <w:rPr>
        <w:rFonts w:hint="default"/>
        <w:lang w:val="en-GB" w:eastAsia="en-GB" w:bidi="en-GB"/>
      </w:rPr>
    </w:lvl>
    <w:lvl w:ilvl="3" w:tplc="78D612C4">
      <w:numFmt w:val="bullet"/>
      <w:lvlText w:val="•"/>
      <w:lvlJc w:val="left"/>
      <w:pPr>
        <w:ind w:left="717" w:hanging="217"/>
      </w:pPr>
      <w:rPr>
        <w:rFonts w:hint="default"/>
        <w:lang w:val="en-GB" w:eastAsia="en-GB" w:bidi="en-GB"/>
      </w:rPr>
    </w:lvl>
    <w:lvl w:ilvl="4" w:tplc="66F8CB44">
      <w:numFmt w:val="bullet"/>
      <w:lvlText w:val="•"/>
      <w:lvlJc w:val="left"/>
      <w:pPr>
        <w:ind w:left="856" w:hanging="217"/>
      </w:pPr>
      <w:rPr>
        <w:rFonts w:hint="default"/>
        <w:lang w:val="en-GB" w:eastAsia="en-GB" w:bidi="en-GB"/>
      </w:rPr>
    </w:lvl>
    <w:lvl w:ilvl="5" w:tplc="662C4628">
      <w:numFmt w:val="bullet"/>
      <w:lvlText w:val="•"/>
      <w:lvlJc w:val="left"/>
      <w:pPr>
        <w:ind w:left="995" w:hanging="217"/>
      </w:pPr>
      <w:rPr>
        <w:rFonts w:hint="default"/>
        <w:lang w:val="en-GB" w:eastAsia="en-GB" w:bidi="en-GB"/>
      </w:rPr>
    </w:lvl>
    <w:lvl w:ilvl="6" w:tplc="BF800ABA">
      <w:numFmt w:val="bullet"/>
      <w:lvlText w:val="•"/>
      <w:lvlJc w:val="left"/>
      <w:pPr>
        <w:ind w:left="1134" w:hanging="217"/>
      </w:pPr>
      <w:rPr>
        <w:rFonts w:hint="default"/>
        <w:lang w:val="en-GB" w:eastAsia="en-GB" w:bidi="en-GB"/>
      </w:rPr>
    </w:lvl>
    <w:lvl w:ilvl="7" w:tplc="FEA24A56">
      <w:numFmt w:val="bullet"/>
      <w:lvlText w:val="•"/>
      <w:lvlJc w:val="left"/>
      <w:pPr>
        <w:ind w:left="1273" w:hanging="217"/>
      </w:pPr>
      <w:rPr>
        <w:rFonts w:hint="default"/>
        <w:lang w:val="en-GB" w:eastAsia="en-GB" w:bidi="en-GB"/>
      </w:rPr>
    </w:lvl>
    <w:lvl w:ilvl="8" w:tplc="1FEE3810">
      <w:numFmt w:val="bullet"/>
      <w:lvlText w:val="•"/>
      <w:lvlJc w:val="left"/>
      <w:pPr>
        <w:ind w:left="1412" w:hanging="217"/>
      </w:pPr>
      <w:rPr>
        <w:rFonts w:hint="default"/>
        <w:lang w:val="en-GB" w:eastAsia="en-GB" w:bidi="en-GB"/>
      </w:rPr>
    </w:lvl>
  </w:abstractNum>
  <w:abstractNum w:abstractNumId="893" w15:restartNumberingAfterBreak="0">
    <w:nsid w:val="50B27679"/>
    <w:multiLevelType w:val="hybridMultilevel"/>
    <w:tmpl w:val="B99E684E"/>
    <w:lvl w:ilvl="0" w:tplc="CF2C677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E02744C">
      <w:numFmt w:val="bullet"/>
      <w:lvlText w:val="•"/>
      <w:lvlJc w:val="left"/>
      <w:pPr>
        <w:ind w:left="439" w:hanging="217"/>
      </w:pPr>
      <w:rPr>
        <w:rFonts w:hint="default"/>
        <w:lang w:val="en-GB" w:eastAsia="en-GB" w:bidi="en-GB"/>
      </w:rPr>
    </w:lvl>
    <w:lvl w:ilvl="2" w:tplc="018258FC">
      <w:numFmt w:val="bullet"/>
      <w:lvlText w:val="•"/>
      <w:lvlJc w:val="left"/>
      <w:pPr>
        <w:ind w:left="578" w:hanging="217"/>
      </w:pPr>
      <w:rPr>
        <w:rFonts w:hint="default"/>
        <w:lang w:val="en-GB" w:eastAsia="en-GB" w:bidi="en-GB"/>
      </w:rPr>
    </w:lvl>
    <w:lvl w:ilvl="3" w:tplc="513CEBCA">
      <w:numFmt w:val="bullet"/>
      <w:lvlText w:val="•"/>
      <w:lvlJc w:val="left"/>
      <w:pPr>
        <w:ind w:left="717" w:hanging="217"/>
      </w:pPr>
      <w:rPr>
        <w:rFonts w:hint="default"/>
        <w:lang w:val="en-GB" w:eastAsia="en-GB" w:bidi="en-GB"/>
      </w:rPr>
    </w:lvl>
    <w:lvl w:ilvl="4" w:tplc="5AA00AA0">
      <w:numFmt w:val="bullet"/>
      <w:lvlText w:val="•"/>
      <w:lvlJc w:val="left"/>
      <w:pPr>
        <w:ind w:left="856" w:hanging="217"/>
      </w:pPr>
      <w:rPr>
        <w:rFonts w:hint="default"/>
        <w:lang w:val="en-GB" w:eastAsia="en-GB" w:bidi="en-GB"/>
      </w:rPr>
    </w:lvl>
    <w:lvl w:ilvl="5" w:tplc="1E5041C8">
      <w:numFmt w:val="bullet"/>
      <w:lvlText w:val="•"/>
      <w:lvlJc w:val="left"/>
      <w:pPr>
        <w:ind w:left="995" w:hanging="217"/>
      </w:pPr>
      <w:rPr>
        <w:rFonts w:hint="default"/>
        <w:lang w:val="en-GB" w:eastAsia="en-GB" w:bidi="en-GB"/>
      </w:rPr>
    </w:lvl>
    <w:lvl w:ilvl="6" w:tplc="FA38E890">
      <w:numFmt w:val="bullet"/>
      <w:lvlText w:val="•"/>
      <w:lvlJc w:val="left"/>
      <w:pPr>
        <w:ind w:left="1134" w:hanging="217"/>
      </w:pPr>
      <w:rPr>
        <w:rFonts w:hint="default"/>
        <w:lang w:val="en-GB" w:eastAsia="en-GB" w:bidi="en-GB"/>
      </w:rPr>
    </w:lvl>
    <w:lvl w:ilvl="7" w:tplc="81C4E31E">
      <w:numFmt w:val="bullet"/>
      <w:lvlText w:val="•"/>
      <w:lvlJc w:val="left"/>
      <w:pPr>
        <w:ind w:left="1273" w:hanging="217"/>
      </w:pPr>
      <w:rPr>
        <w:rFonts w:hint="default"/>
        <w:lang w:val="en-GB" w:eastAsia="en-GB" w:bidi="en-GB"/>
      </w:rPr>
    </w:lvl>
    <w:lvl w:ilvl="8" w:tplc="89227E7E">
      <w:numFmt w:val="bullet"/>
      <w:lvlText w:val="•"/>
      <w:lvlJc w:val="left"/>
      <w:pPr>
        <w:ind w:left="1412" w:hanging="217"/>
      </w:pPr>
      <w:rPr>
        <w:rFonts w:hint="default"/>
        <w:lang w:val="en-GB" w:eastAsia="en-GB" w:bidi="en-GB"/>
      </w:rPr>
    </w:lvl>
  </w:abstractNum>
  <w:abstractNum w:abstractNumId="894" w15:restartNumberingAfterBreak="0">
    <w:nsid w:val="50E81C48"/>
    <w:multiLevelType w:val="hybridMultilevel"/>
    <w:tmpl w:val="5002BDB6"/>
    <w:lvl w:ilvl="0" w:tplc="8DE4E82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05CA396">
      <w:numFmt w:val="bullet"/>
      <w:lvlText w:val="•"/>
      <w:lvlJc w:val="left"/>
      <w:pPr>
        <w:ind w:left="467" w:hanging="217"/>
      </w:pPr>
      <w:rPr>
        <w:rFonts w:hint="default"/>
        <w:lang w:val="en-GB" w:eastAsia="en-GB" w:bidi="en-GB"/>
      </w:rPr>
    </w:lvl>
    <w:lvl w:ilvl="2" w:tplc="37C27F28">
      <w:numFmt w:val="bullet"/>
      <w:lvlText w:val="•"/>
      <w:lvlJc w:val="left"/>
      <w:pPr>
        <w:ind w:left="634" w:hanging="217"/>
      </w:pPr>
      <w:rPr>
        <w:rFonts w:hint="default"/>
        <w:lang w:val="en-GB" w:eastAsia="en-GB" w:bidi="en-GB"/>
      </w:rPr>
    </w:lvl>
    <w:lvl w:ilvl="3" w:tplc="C79A00BC">
      <w:numFmt w:val="bullet"/>
      <w:lvlText w:val="•"/>
      <w:lvlJc w:val="left"/>
      <w:pPr>
        <w:ind w:left="802" w:hanging="217"/>
      </w:pPr>
      <w:rPr>
        <w:rFonts w:hint="default"/>
        <w:lang w:val="en-GB" w:eastAsia="en-GB" w:bidi="en-GB"/>
      </w:rPr>
    </w:lvl>
    <w:lvl w:ilvl="4" w:tplc="90767E66">
      <w:numFmt w:val="bullet"/>
      <w:lvlText w:val="•"/>
      <w:lvlJc w:val="left"/>
      <w:pPr>
        <w:ind w:left="969" w:hanging="217"/>
      </w:pPr>
      <w:rPr>
        <w:rFonts w:hint="default"/>
        <w:lang w:val="en-GB" w:eastAsia="en-GB" w:bidi="en-GB"/>
      </w:rPr>
    </w:lvl>
    <w:lvl w:ilvl="5" w:tplc="7488195A">
      <w:numFmt w:val="bullet"/>
      <w:lvlText w:val="•"/>
      <w:lvlJc w:val="left"/>
      <w:pPr>
        <w:ind w:left="1137" w:hanging="217"/>
      </w:pPr>
      <w:rPr>
        <w:rFonts w:hint="default"/>
        <w:lang w:val="en-GB" w:eastAsia="en-GB" w:bidi="en-GB"/>
      </w:rPr>
    </w:lvl>
    <w:lvl w:ilvl="6" w:tplc="10001FA2">
      <w:numFmt w:val="bullet"/>
      <w:lvlText w:val="•"/>
      <w:lvlJc w:val="left"/>
      <w:pPr>
        <w:ind w:left="1304" w:hanging="217"/>
      </w:pPr>
      <w:rPr>
        <w:rFonts w:hint="default"/>
        <w:lang w:val="en-GB" w:eastAsia="en-GB" w:bidi="en-GB"/>
      </w:rPr>
    </w:lvl>
    <w:lvl w:ilvl="7" w:tplc="0DCED272">
      <w:numFmt w:val="bullet"/>
      <w:lvlText w:val="•"/>
      <w:lvlJc w:val="left"/>
      <w:pPr>
        <w:ind w:left="1471" w:hanging="217"/>
      </w:pPr>
      <w:rPr>
        <w:rFonts w:hint="default"/>
        <w:lang w:val="en-GB" w:eastAsia="en-GB" w:bidi="en-GB"/>
      </w:rPr>
    </w:lvl>
    <w:lvl w:ilvl="8" w:tplc="FC8A01AE">
      <w:numFmt w:val="bullet"/>
      <w:lvlText w:val="•"/>
      <w:lvlJc w:val="left"/>
      <w:pPr>
        <w:ind w:left="1639" w:hanging="217"/>
      </w:pPr>
      <w:rPr>
        <w:rFonts w:hint="default"/>
        <w:lang w:val="en-GB" w:eastAsia="en-GB" w:bidi="en-GB"/>
      </w:rPr>
    </w:lvl>
  </w:abstractNum>
  <w:abstractNum w:abstractNumId="895" w15:restartNumberingAfterBreak="0">
    <w:nsid w:val="50F21F5F"/>
    <w:multiLevelType w:val="hybridMultilevel"/>
    <w:tmpl w:val="8AFA009A"/>
    <w:lvl w:ilvl="0" w:tplc="7C80C6C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860C71E">
      <w:numFmt w:val="bullet"/>
      <w:lvlText w:val="•"/>
      <w:lvlJc w:val="left"/>
      <w:pPr>
        <w:ind w:left="439" w:hanging="217"/>
      </w:pPr>
      <w:rPr>
        <w:rFonts w:hint="default"/>
        <w:lang w:val="en-GB" w:eastAsia="en-GB" w:bidi="en-GB"/>
      </w:rPr>
    </w:lvl>
    <w:lvl w:ilvl="2" w:tplc="68E22A42">
      <w:numFmt w:val="bullet"/>
      <w:lvlText w:val="•"/>
      <w:lvlJc w:val="left"/>
      <w:pPr>
        <w:ind w:left="578" w:hanging="217"/>
      </w:pPr>
      <w:rPr>
        <w:rFonts w:hint="default"/>
        <w:lang w:val="en-GB" w:eastAsia="en-GB" w:bidi="en-GB"/>
      </w:rPr>
    </w:lvl>
    <w:lvl w:ilvl="3" w:tplc="9536DAC2">
      <w:numFmt w:val="bullet"/>
      <w:lvlText w:val="•"/>
      <w:lvlJc w:val="left"/>
      <w:pPr>
        <w:ind w:left="717" w:hanging="217"/>
      </w:pPr>
      <w:rPr>
        <w:rFonts w:hint="default"/>
        <w:lang w:val="en-GB" w:eastAsia="en-GB" w:bidi="en-GB"/>
      </w:rPr>
    </w:lvl>
    <w:lvl w:ilvl="4" w:tplc="CF3E0D4E">
      <w:numFmt w:val="bullet"/>
      <w:lvlText w:val="•"/>
      <w:lvlJc w:val="left"/>
      <w:pPr>
        <w:ind w:left="856" w:hanging="217"/>
      </w:pPr>
      <w:rPr>
        <w:rFonts w:hint="default"/>
        <w:lang w:val="en-GB" w:eastAsia="en-GB" w:bidi="en-GB"/>
      </w:rPr>
    </w:lvl>
    <w:lvl w:ilvl="5" w:tplc="E15890C4">
      <w:numFmt w:val="bullet"/>
      <w:lvlText w:val="•"/>
      <w:lvlJc w:val="left"/>
      <w:pPr>
        <w:ind w:left="995" w:hanging="217"/>
      </w:pPr>
      <w:rPr>
        <w:rFonts w:hint="default"/>
        <w:lang w:val="en-GB" w:eastAsia="en-GB" w:bidi="en-GB"/>
      </w:rPr>
    </w:lvl>
    <w:lvl w:ilvl="6" w:tplc="4704BE36">
      <w:numFmt w:val="bullet"/>
      <w:lvlText w:val="•"/>
      <w:lvlJc w:val="left"/>
      <w:pPr>
        <w:ind w:left="1134" w:hanging="217"/>
      </w:pPr>
      <w:rPr>
        <w:rFonts w:hint="default"/>
        <w:lang w:val="en-GB" w:eastAsia="en-GB" w:bidi="en-GB"/>
      </w:rPr>
    </w:lvl>
    <w:lvl w:ilvl="7" w:tplc="A34AE446">
      <w:numFmt w:val="bullet"/>
      <w:lvlText w:val="•"/>
      <w:lvlJc w:val="left"/>
      <w:pPr>
        <w:ind w:left="1273" w:hanging="217"/>
      </w:pPr>
      <w:rPr>
        <w:rFonts w:hint="default"/>
        <w:lang w:val="en-GB" w:eastAsia="en-GB" w:bidi="en-GB"/>
      </w:rPr>
    </w:lvl>
    <w:lvl w:ilvl="8" w:tplc="E264B048">
      <w:numFmt w:val="bullet"/>
      <w:lvlText w:val="•"/>
      <w:lvlJc w:val="left"/>
      <w:pPr>
        <w:ind w:left="1412" w:hanging="217"/>
      </w:pPr>
      <w:rPr>
        <w:rFonts w:hint="default"/>
        <w:lang w:val="en-GB" w:eastAsia="en-GB" w:bidi="en-GB"/>
      </w:rPr>
    </w:lvl>
  </w:abstractNum>
  <w:abstractNum w:abstractNumId="896" w15:restartNumberingAfterBreak="0">
    <w:nsid w:val="510337CE"/>
    <w:multiLevelType w:val="hybridMultilevel"/>
    <w:tmpl w:val="0C9CFC1E"/>
    <w:lvl w:ilvl="0" w:tplc="CC32187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11873C2">
      <w:numFmt w:val="bullet"/>
      <w:lvlText w:val="•"/>
      <w:lvlJc w:val="left"/>
      <w:pPr>
        <w:ind w:left="473" w:hanging="217"/>
      </w:pPr>
      <w:rPr>
        <w:rFonts w:hint="default"/>
        <w:lang w:val="en-GB" w:eastAsia="en-GB" w:bidi="en-GB"/>
      </w:rPr>
    </w:lvl>
    <w:lvl w:ilvl="2" w:tplc="4A284324">
      <w:numFmt w:val="bullet"/>
      <w:lvlText w:val="•"/>
      <w:lvlJc w:val="left"/>
      <w:pPr>
        <w:ind w:left="646" w:hanging="217"/>
      </w:pPr>
      <w:rPr>
        <w:rFonts w:hint="default"/>
        <w:lang w:val="en-GB" w:eastAsia="en-GB" w:bidi="en-GB"/>
      </w:rPr>
    </w:lvl>
    <w:lvl w:ilvl="3" w:tplc="4050AB88">
      <w:numFmt w:val="bullet"/>
      <w:lvlText w:val="•"/>
      <w:lvlJc w:val="left"/>
      <w:pPr>
        <w:ind w:left="819" w:hanging="217"/>
      </w:pPr>
      <w:rPr>
        <w:rFonts w:hint="default"/>
        <w:lang w:val="en-GB" w:eastAsia="en-GB" w:bidi="en-GB"/>
      </w:rPr>
    </w:lvl>
    <w:lvl w:ilvl="4" w:tplc="364A028C">
      <w:numFmt w:val="bullet"/>
      <w:lvlText w:val="•"/>
      <w:lvlJc w:val="left"/>
      <w:pPr>
        <w:ind w:left="992" w:hanging="217"/>
      </w:pPr>
      <w:rPr>
        <w:rFonts w:hint="default"/>
        <w:lang w:val="en-GB" w:eastAsia="en-GB" w:bidi="en-GB"/>
      </w:rPr>
    </w:lvl>
    <w:lvl w:ilvl="5" w:tplc="0DBE966C">
      <w:numFmt w:val="bullet"/>
      <w:lvlText w:val="•"/>
      <w:lvlJc w:val="left"/>
      <w:pPr>
        <w:ind w:left="1165" w:hanging="217"/>
      </w:pPr>
      <w:rPr>
        <w:rFonts w:hint="default"/>
        <w:lang w:val="en-GB" w:eastAsia="en-GB" w:bidi="en-GB"/>
      </w:rPr>
    </w:lvl>
    <w:lvl w:ilvl="6" w:tplc="2B76C9EE">
      <w:numFmt w:val="bullet"/>
      <w:lvlText w:val="•"/>
      <w:lvlJc w:val="left"/>
      <w:pPr>
        <w:ind w:left="1338" w:hanging="217"/>
      </w:pPr>
      <w:rPr>
        <w:rFonts w:hint="default"/>
        <w:lang w:val="en-GB" w:eastAsia="en-GB" w:bidi="en-GB"/>
      </w:rPr>
    </w:lvl>
    <w:lvl w:ilvl="7" w:tplc="429CBF4E">
      <w:numFmt w:val="bullet"/>
      <w:lvlText w:val="•"/>
      <w:lvlJc w:val="left"/>
      <w:pPr>
        <w:ind w:left="1511" w:hanging="217"/>
      </w:pPr>
      <w:rPr>
        <w:rFonts w:hint="default"/>
        <w:lang w:val="en-GB" w:eastAsia="en-GB" w:bidi="en-GB"/>
      </w:rPr>
    </w:lvl>
    <w:lvl w:ilvl="8" w:tplc="B994F3EC">
      <w:numFmt w:val="bullet"/>
      <w:lvlText w:val="•"/>
      <w:lvlJc w:val="left"/>
      <w:pPr>
        <w:ind w:left="1684" w:hanging="217"/>
      </w:pPr>
      <w:rPr>
        <w:rFonts w:hint="default"/>
        <w:lang w:val="en-GB" w:eastAsia="en-GB" w:bidi="en-GB"/>
      </w:rPr>
    </w:lvl>
  </w:abstractNum>
  <w:abstractNum w:abstractNumId="897" w15:restartNumberingAfterBreak="0">
    <w:nsid w:val="512823E2"/>
    <w:multiLevelType w:val="hybridMultilevel"/>
    <w:tmpl w:val="7D18A32A"/>
    <w:lvl w:ilvl="0" w:tplc="10FE2EC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FCE2758">
      <w:numFmt w:val="bullet"/>
      <w:lvlText w:val="•"/>
      <w:lvlJc w:val="left"/>
      <w:pPr>
        <w:ind w:left="677" w:hanging="217"/>
      </w:pPr>
      <w:rPr>
        <w:rFonts w:hint="default"/>
        <w:lang w:val="en-GB" w:eastAsia="en-GB" w:bidi="en-GB"/>
      </w:rPr>
    </w:lvl>
    <w:lvl w:ilvl="2" w:tplc="D4763118">
      <w:numFmt w:val="bullet"/>
      <w:lvlText w:val="•"/>
      <w:lvlJc w:val="left"/>
      <w:pPr>
        <w:ind w:left="1054" w:hanging="217"/>
      </w:pPr>
      <w:rPr>
        <w:rFonts w:hint="default"/>
        <w:lang w:val="en-GB" w:eastAsia="en-GB" w:bidi="en-GB"/>
      </w:rPr>
    </w:lvl>
    <w:lvl w:ilvl="3" w:tplc="ECBA46F8">
      <w:numFmt w:val="bullet"/>
      <w:lvlText w:val="•"/>
      <w:lvlJc w:val="left"/>
      <w:pPr>
        <w:ind w:left="1431" w:hanging="217"/>
      </w:pPr>
      <w:rPr>
        <w:rFonts w:hint="default"/>
        <w:lang w:val="en-GB" w:eastAsia="en-GB" w:bidi="en-GB"/>
      </w:rPr>
    </w:lvl>
    <w:lvl w:ilvl="4" w:tplc="0CD83C1E">
      <w:numFmt w:val="bullet"/>
      <w:lvlText w:val="•"/>
      <w:lvlJc w:val="left"/>
      <w:pPr>
        <w:ind w:left="1808" w:hanging="217"/>
      </w:pPr>
      <w:rPr>
        <w:rFonts w:hint="default"/>
        <w:lang w:val="en-GB" w:eastAsia="en-GB" w:bidi="en-GB"/>
      </w:rPr>
    </w:lvl>
    <w:lvl w:ilvl="5" w:tplc="D9C01356">
      <w:numFmt w:val="bullet"/>
      <w:lvlText w:val="•"/>
      <w:lvlJc w:val="left"/>
      <w:pPr>
        <w:ind w:left="2186" w:hanging="217"/>
      </w:pPr>
      <w:rPr>
        <w:rFonts w:hint="default"/>
        <w:lang w:val="en-GB" w:eastAsia="en-GB" w:bidi="en-GB"/>
      </w:rPr>
    </w:lvl>
    <w:lvl w:ilvl="6" w:tplc="2B56F5C0">
      <w:numFmt w:val="bullet"/>
      <w:lvlText w:val="•"/>
      <w:lvlJc w:val="left"/>
      <w:pPr>
        <w:ind w:left="2563" w:hanging="217"/>
      </w:pPr>
      <w:rPr>
        <w:rFonts w:hint="default"/>
        <w:lang w:val="en-GB" w:eastAsia="en-GB" w:bidi="en-GB"/>
      </w:rPr>
    </w:lvl>
    <w:lvl w:ilvl="7" w:tplc="760048FC">
      <w:numFmt w:val="bullet"/>
      <w:lvlText w:val="•"/>
      <w:lvlJc w:val="left"/>
      <w:pPr>
        <w:ind w:left="2940" w:hanging="217"/>
      </w:pPr>
      <w:rPr>
        <w:rFonts w:hint="default"/>
        <w:lang w:val="en-GB" w:eastAsia="en-GB" w:bidi="en-GB"/>
      </w:rPr>
    </w:lvl>
    <w:lvl w:ilvl="8" w:tplc="5498CA8A">
      <w:numFmt w:val="bullet"/>
      <w:lvlText w:val="•"/>
      <w:lvlJc w:val="left"/>
      <w:pPr>
        <w:ind w:left="3317" w:hanging="217"/>
      </w:pPr>
      <w:rPr>
        <w:rFonts w:hint="default"/>
        <w:lang w:val="en-GB" w:eastAsia="en-GB" w:bidi="en-GB"/>
      </w:rPr>
    </w:lvl>
  </w:abstractNum>
  <w:abstractNum w:abstractNumId="898" w15:restartNumberingAfterBreak="0">
    <w:nsid w:val="513F2211"/>
    <w:multiLevelType w:val="hybridMultilevel"/>
    <w:tmpl w:val="1C286C84"/>
    <w:lvl w:ilvl="0" w:tplc="8C34487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4E0408A">
      <w:numFmt w:val="bullet"/>
      <w:lvlText w:val="•"/>
      <w:lvlJc w:val="left"/>
      <w:pPr>
        <w:ind w:left="473" w:hanging="217"/>
      </w:pPr>
      <w:rPr>
        <w:rFonts w:hint="default"/>
        <w:lang w:val="en-GB" w:eastAsia="en-GB" w:bidi="en-GB"/>
      </w:rPr>
    </w:lvl>
    <w:lvl w:ilvl="2" w:tplc="5AD2B686">
      <w:numFmt w:val="bullet"/>
      <w:lvlText w:val="•"/>
      <w:lvlJc w:val="left"/>
      <w:pPr>
        <w:ind w:left="646" w:hanging="217"/>
      </w:pPr>
      <w:rPr>
        <w:rFonts w:hint="default"/>
        <w:lang w:val="en-GB" w:eastAsia="en-GB" w:bidi="en-GB"/>
      </w:rPr>
    </w:lvl>
    <w:lvl w:ilvl="3" w:tplc="E70A2AC2">
      <w:numFmt w:val="bullet"/>
      <w:lvlText w:val="•"/>
      <w:lvlJc w:val="left"/>
      <w:pPr>
        <w:ind w:left="819" w:hanging="217"/>
      </w:pPr>
      <w:rPr>
        <w:rFonts w:hint="default"/>
        <w:lang w:val="en-GB" w:eastAsia="en-GB" w:bidi="en-GB"/>
      </w:rPr>
    </w:lvl>
    <w:lvl w:ilvl="4" w:tplc="D3448FB6">
      <w:numFmt w:val="bullet"/>
      <w:lvlText w:val="•"/>
      <w:lvlJc w:val="left"/>
      <w:pPr>
        <w:ind w:left="992" w:hanging="217"/>
      </w:pPr>
      <w:rPr>
        <w:rFonts w:hint="default"/>
        <w:lang w:val="en-GB" w:eastAsia="en-GB" w:bidi="en-GB"/>
      </w:rPr>
    </w:lvl>
    <w:lvl w:ilvl="5" w:tplc="BE3CB56C">
      <w:numFmt w:val="bullet"/>
      <w:lvlText w:val="•"/>
      <w:lvlJc w:val="left"/>
      <w:pPr>
        <w:ind w:left="1165" w:hanging="217"/>
      </w:pPr>
      <w:rPr>
        <w:rFonts w:hint="default"/>
        <w:lang w:val="en-GB" w:eastAsia="en-GB" w:bidi="en-GB"/>
      </w:rPr>
    </w:lvl>
    <w:lvl w:ilvl="6" w:tplc="68E217F4">
      <w:numFmt w:val="bullet"/>
      <w:lvlText w:val="•"/>
      <w:lvlJc w:val="left"/>
      <w:pPr>
        <w:ind w:left="1338" w:hanging="217"/>
      </w:pPr>
      <w:rPr>
        <w:rFonts w:hint="default"/>
        <w:lang w:val="en-GB" w:eastAsia="en-GB" w:bidi="en-GB"/>
      </w:rPr>
    </w:lvl>
    <w:lvl w:ilvl="7" w:tplc="5A8E800E">
      <w:numFmt w:val="bullet"/>
      <w:lvlText w:val="•"/>
      <w:lvlJc w:val="left"/>
      <w:pPr>
        <w:ind w:left="1511" w:hanging="217"/>
      </w:pPr>
      <w:rPr>
        <w:rFonts w:hint="default"/>
        <w:lang w:val="en-GB" w:eastAsia="en-GB" w:bidi="en-GB"/>
      </w:rPr>
    </w:lvl>
    <w:lvl w:ilvl="8" w:tplc="FE849928">
      <w:numFmt w:val="bullet"/>
      <w:lvlText w:val="•"/>
      <w:lvlJc w:val="left"/>
      <w:pPr>
        <w:ind w:left="1684" w:hanging="217"/>
      </w:pPr>
      <w:rPr>
        <w:rFonts w:hint="default"/>
        <w:lang w:val="en-GB" w:eastAsia="en-GB" w:bidi="en-GB"/>
      </w:rPr>
    </w:lvl>
  </w:abstractNum>
  <w:abstractNum w:abstractNumId="899" w15:restartNumberingAfterBreak="0">
    <w:nsid w:val="51416620"/>
    <w:multiLevelType w:val="hybridMultilevel"/>
    <w:tmpl w:val="40AC9CAA"/>
    <w:lvl w:ilvl="0" w:tplc="958823E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CBCE01E">
      <w:numFmt w:val="bullet"/>
      <w:lvlText w:val="•"/>
      <w:lvlJc w:val="left"/>
      <w:pPr>
        <w:ind w:left="439" w:hanging="217"/>
      </w:pPr>
      <w:rPr>
        <w:rFonts w:hint="default"/>
        <w:lang w:val="en-GB" w:eastAsia="en-GB" w:bidi="en-GB"/>
      </w:rPr>
    </w:lvl>
    <w:lvl w:ilvl="2" w:tplc="6B24AB34">
      <w:numFmt w:val="bullet"/>
      <w:lvlText w:val="•"/>
      <w:lvlJc w:val="left"/>
      <w:pPr>
        <w:ind w:left="578" w:hanging="217"/>
      </w:pPr>
      <w:rPr>
        <w:rFonts w:hint="default"/>
        <w:lang w:val="en-GB" w:eastAsia="en-GB" w:bidi="en-GB"/>
      </w:rPr>
    </w:lvl>
    <w:lvl w:ilvl="3" w:tplc="549C7F28">
      <w:numFmt w:val="bullet"/>
      <w:lvlText w:val="•"/>
      <w:lvlJc w:val="left"/>
      <w:pPr>
        <w:ind w:left="717" w:hanging="217"/>
      </w:pPr>
      <w:rPr>
        <w:rFonts w:hint="default"/>
        <w:lang w:val="en-GB" w:eastAsia="en-GB" w:bidi="en-GB"/>
      </w:rPr>
    </w:lvl>
    <w:lvl w:ilvl="4" w:tplc="9CC48D8A">
      <w:numFmt w:val="bullet"/>
      <w:lvlText w:val="•"/>
      <w:lvlJc w:val="left"/>
      <w:pPr>
        <w:ind w:left="856" w:hanging="217"/>
      </w:pPr>
      <w:rPr>
        <w:rFonts w:hint="default"/>
        <w:lang w:val="en-GB" w:eastAsia="en-GB" w:bidi="en-GB"/>
      </w:rPr>
    </w:lvl>
    <w:lvl w:ilvl="5" w:tplc="8BBAD706">
      <w:numFmt w:val="bullet"/>
      <w:lvlText w:val="•"/>
      <w:lvlJc w:val="left"/>
      <w:pPr>
        <w:ind w:left="995" w:hanging="217"/>
      </w:pPr>
      <w:rPr>
        <w:rFonts w:hint="default"/>
        <w:lang w:val="en-GB" w:eastAsia="en-GB" w:bidi="en-GB"/>
      </w:rPr>
    </w:lvl>
    <w:lvl w:ilvl="6" w:tplc="837EE9F4">
      <w:numFmt w:val="bullet"/>
      <w:lvlText w:val="•"/>
      <w:lvlJc w:val="left"/>
      <w:pPr>
        <w:ind w:left="1134" w:hanging="217"/>
      </w:pPr>
      <w:rPr>
        <w:rFonts w:hint="default"/>
        <w:lang w:val="en-GB" w:eastAsia="en-GB" w:bidi="en-GB"/>
      </w:rPr>
    </w:lvl>
    <w:lvl w:ilvl="7" w:tplc="E4868BA6">
      <w:numFmt w:val="bullet"/>
      <w:lvlText w:val="•"/>
      <w:lvlJc w:val="left"/>
      <w:pPr>
        <w:ind w:left="1273" w:hanging="217"/>
      </w:pPr>
      <w:rPr>
        <w:rFonts w:hint="default"/>
        <w:lang w:val="en-GB" w:eastAsia="en-GB" w:bidi="en-GB"/>
      </w:rPr>
    </w:lvl>
    <w:lvl w:ilvl="8" w:tplc="00F29C7A">
      <w:numFmt w:val="bullet"/>
      <w:lvlText w:val="•"/>
      <w:lvlJc w:val="left"/>
      <w:pPr>
        <w:ind w:left="1412" w:hanging="217"/>
      </w:pPr>
      <w:rPr>
        <w:rFonts w:hint="default"/>
        <w:lang w:val="en-GB" w:eastAsia="en-GB" w:bidi="en-GB"/>
      </w:rPr>
    </w:lvl>
  </w:abstractNum>
  <w:abstractNum w:abstractNumId="900" w15:restartNumberingAfterBreak="0">
    <w:nsid w:val="515336DF"/>
    <w:multiLevelType w:val="hybridMultilevel"/>
    <w:tmpl w:val="B0F8C36A"/>
    <w:lvl w:ilvl="0" w:tplc="3F4CBD3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6F8ED3C">
      <w:numFmt w:val="bullet"/>
      <w:lvlText w:val="•"/>
      <w:lvlJc w:val="left"/>
      <w:pPr>
        <w:ind w:left="473" w:hanging="217"/>
      </w:pPr>
      <w:rPr>
        <w:rFonts w:hint="default"/>
        <w:lang w:val="en-GB" w:eastAsia="en-GB" w:bidi="en-GB"/>
      </w:rPr>
    </w:lvl>
    <w:lvl w:ilvl="2" w:tplc="CF602202">
      <w:numFmt w:val="bullet"/>
      <w:lvlText w:val="•"/>
      <w:lvlJc w:val="left"/>
      <w:pPr>
        <w:ind w:left="646" w:hanging="217"/>
      </w:pPr>
      <w:rPr>
        <w:rFonts w:hint="default"/>
        <w:lang w:val="en-GB" w:eastAsia="en-GB" w:bidi="en-GB"/>
      </w:rPr>
    </w:lvl>
    <w:lvl w:ilvl="3" w:tplc="261E9A4C">
      <w:numFmt w:val="bullet"/>
      <w:lvlText w:val="•"/>
      <w:lvlJc w:val="left"/>
      <w:pPr>
        <w:ind w:left="819" w:hanging="217"/>
      </w:pPr>
      <w:rPr>
        <w:rFonts w:hint="default"/>
        <w:lang w:val="en-GB" w:eastAsia="en-GB" w:bidi="en-GB"/>
      </w:rPr>
    </w:lvl>
    <w:lvl w:ilvl="4" w:tplc="E40E92FE">
      <w:numFmt w:val="bullet"/>
      <w:lvlText w:val="•"/>
      <w:lvlJc w:val="left"/>
      <w:pPr>
        <w:ind w:left="992" w:hanging="217"/>
      </w:pPr>
      <w:rPr>
        <w:rFonts w:hint="default"/>
        <w:lang w:val="en-GB" w:eastAsia="en-GB" w:bidi="en-GB"/>
      </w:rPr>
    </w:lvl>
    <w:lvl w:ilvl="5" w:tplc="96C69E34">
      <w:numFmt w:val="bullet"/>
      <w:lvlText w:val="•"/>
      <w:lvlJc w:val="left"/>
      <w:pPr>
        <w:ind w:left="1165" w:hanging="217"/>
      </w:pPr>
      <w:rPr>
        <w:rFonts w:hint="default"/>
        <w:lang w:val="en-GB" w:eastAsia="en-GB" w:bidi="en-GB"/>
      </w:rPr>
    </w:lvl>
    <w:lvl w:ilvl="6" w:tplc="C8726C54">
      <w:numFmt w:val="bullet"/>
      <w:lvlText w:val="•"/>
      <w:lvlJc w:val="left"/>
      <w:pPr>
        <w:ind w:left="1338" w:hanging="217"/>
      </w:pPr>
      <w:rPr>
        <w:rFonts w:hint="default"/>
        <w:lang w:val="en-GB" w:eastAsia="en-GB" w:bidi="en-GB"/>
      </w:rPr>
    </w:lvl>
    <w:lvl w:ilvl="7" w:tplc="35128568">
      <w:numFmt w:val="bullet"/>
      <w:lvlText w:val="•"/>
      <w:lvlJc w:val="left"/>
      <w:pPr>
        <w:ind w:left="1511" w:hanging="217"/>
      </w:pPr>
      <w:rPr>
        <w:rFonts w:hint="default"/>
        <w:lang w:val="en-GB" w:eastAsia="en-GB" w:bidi="en-GB"/>
      </w:rPr>
    </w:lvl>
    <w:lvl w:ilvl="8" w:tplc="73F63970">
      <w:numFmt w:val="bullet"/>
      <w:lvlText w:val="•"/>
      <w:lvlJc w:val="left"/>
      <w:pPr>
        <w:ind w:left="1684" w:hanging="217"/>
      </w:pPr>
      <w:rPr>
        <w:rFonts w:hint="default"/>
        <w:lang w:val="en-GB" w:eastAsia="en-GB" w:bidi="en-GB"/>
      </w:rPr>
    </w:lvl>
  </w:abstractNum>
  <w:abstractNum w:abstractNumId="901" w15:restartNumberingAfterBreak="0">
    <w:nsid w:val="515919CA"/>
    <w:multiLevelType w:val="hybridMultilevel"/>
    <w:tmpl w:val="1A0A308C"/>
    <w:lvl w:ilvl="0" w:tplc="EC201D90">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7C2639E2">
      <w:numFmt w:val="bullet"/>
      <w:lvlText w:val="•"/>
      <w:lvlJc w:val="left"/>
      <w:pPr>
        <w:ind w:left="473" w:hanging="217"/>
      </w:pPr>
      <w:rPr>
        <w:rFonts w:hint="default"/>
        <w:lang w:val="en-GB" w:eastAsia="en-GB" w:bidi="en-GB"/>
      </w:rPr>
    </w:lvl>
    <w:lvl w:ilvl="2" w:tplc="25301FC6">
      <w:numFmt w:val="bullet"/>
      <w:lvlText w:val="•"/>
      <w:lvlJc w:val="left"/>
      <w:pPr>
        <w:ind w:left="646" w:hanging="217"/>
      </w:pPr>
      <w:rPr>
        <w:rFonts w:hint="default"/>
        <w:lang w:val="en-GB" w:eastAsia="en-GB" w:bidi="en-GB"/>
      </w:rPr>
    </w:lvl>
    <w:lvl w:ilvl="3" w:tplc="43104DF8">
      <w:numFmt w:val="bullet"/>
      <w:lvlText w:val="•"/>
      <w:lvlJc w:val="left"/>
      <w:pPr>
        <w:ind w:left="819" w:hanging="217"/>
      </w:pPr>
      <w:rPr>
        <w:rFonts w:hint="default"/>
        <w:lang w:val="en-GB" w:eastAsia="en-GB" w:bidi="en-GB"/>
      </w:rPr>
    </w:lvl>
    <w:lvl w:ilvl="4" w:tplc="9984F7F8">
      <w:numFmt w:val="bullet"/>
      <w:lvlText w:val="•"/>
      <w:lvlJc w:val="left"/>
      <w:pPr>
        <w:ind w:left="992" w:hanging="217"/>
      </w:pPr>
      <w:rPr>
        <w:rFonts w:hint="default"/>
        <w:lang w:val="en-GB" w:eastAsia="en-GB" w:bidi="en-GB"/>
      </w:rPr>
    </w:lvl>
    <w:lvl w:ilvl="5" w:tplc="65DC0F1A">
      <w:numFmt w:val="bullet"/>
      <w:lvlText w:val="•"/>
      <w:lvlJc w:val="left"/>
      <w:pPr>
        <w:ind w:left="1165" w:hanging="217"/>
      </w:pPr>
      <w:rPr>
        <w:rFonts w:hint="default"/>
        <w:lang w:val="en-GB" w:eastAsia="en-GB" w:bidi="en-GB"/>
      </w:rPr>
    </w:lvl>
    <w:lvl w:ilvl="6" w:tplc="C3CE69B6">
      <w:numFmt w:val="bullet"/>
      <w:lvlText w:val="•"/>
      <w:lvlJc w:val="left"/>
      <w:pPr>
        <w:ind w:left="1338" w:hanging="217"/>
      </w:pPr>
      <w:rPr>
        <w:rFonts w:hint="default"/>
        <w:lang w:val="en-GB" w:eastAsia="en-GB" w:bidi="en-GB"/>
      </w:rPr>
    </w:lvl>
    <w:lvl w:ilvl="7" w:tplc="04D487EE">
      <w:numFmt w:val="bullet"/>
      <w:lvlText w:val="•"/>
      <w:lvlJc w:val="left"/>
      <w:pPr>
        <w:ind w:left="1511" w:hanging="217"/>
      </w:pPr>
      <w:rPr>
        <w:rFonts w:hint="default"/>
        <w:lang w:val="en-GB" w:eastAsia="en-GB" w:bidi="en-GB"/>
      </w:rPr>
    </w:lvl>
    <w:lvl w:ilvl="8" w:tplc="37761166">
      <w:numFmt w:val="bullet"/>
      <w:lvlText w:val="•"/>
      <w:lvlJc w:val="left"/>
      <w:pPr>
        <w:ind w:left="1684" w:hanging="217"/>
      </w:pPr>
      <w:rPr>
        <w:rFonts w:hint="default"/>
        <w:lang w:val="en-GB" w:eastAsia="en-GB" w:bidi="en-GB"/>
      </w:rPr>
    </w:lvl>
  </w:abstractNum>
  <w:abstractNum w:abstractNumId="902" w15:restartNumberingAfterBreak="0">
    <w:nsid w:val="51834E8A"/>
    <w:multiLevelType w:val="hybridMultilevel"/>
    <w:tmpl w:val="79BC7FB6"/>
    <w:lvl w:ilvl="0" w:tplc="11B827E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948B1B8">
      <w:numFmt w:val="bullet"/>
      <w:lvlText w:val="•"/>
      <w:lvlJc w:val="left"/>
      <w:pPr>
        <w:ind w:left="544" w:hanging="217"/>
      </w:pPr>
      <w:rPr>
        <w:rFonts w:hint="default"/>
        <w:lang w:val="en-GB" w:eastAsia="en-GB" w:bidi="en-GB"/>
      </w:rPr>
    </w:lvl>
    <w:lvl w:ilvl="2" w:tplc="58C29D0A">
      <w:numFmt w:val="bullet"/>
      <w:lvlText w:val="•"/>
      <w:lvlJc w:val="left"/>
      <w:pPr>
        <w:ind w:left="788" w:hanging="217"/>
      </w:pPr>
      <w:rPr>
        <w:rFonts w:hint="default"/>
        <w:lang w:val="en-GB" w:eastAsia="en-GB" w:bidi="en-GB"/>
      </w:rPr>
    </w:lvl>
    <w:lvl w:ilvl="3" w:tplc="F41EB974">
      <w:numFmt w:val="bullet"/>
      <w:lvlText w:val="•"/>
      <w:lvlJc w:val="left"/>
      <w:pPr>
        <w:ind w:left="1032" w:hanging="217"/>
      </w:pPr>
      <w:rPr>
        <w:rFonts w:hint="default"/>
        <w:lang w:val="en-GB" w:eastAsia="en-GB" w:bidi="en-GB"/>
      </w:rPr>
    </w:lvl>
    <w:lvl w:ilvl="4" w:tplc="3432DDFE">
      <w:numFmt w:val="bullet"/>
      <w:lvlText w:val="•"/>
      <w:lvlJc w:val="left"/>
      <w:pPr>
        <w:ind w:left="1276" w:hanging="217"/>
      </w:pPr>
      <w:rPr>
        <w:rFonts w:hint="default"/>
        <w:lang w:val="en-GB" w:eastAsia="en-GB" w:bidi="en-GB"/>
      </w:rPr>
    </w:lvl>
    <w:lvl w:ilvl="5" w:tplc="E5E87AA2">
      <w:numFmt w:val="bullet"/>
      <w:lvlText w:val="•"/>
      <w:lvlJc w:val="left"/>
      <w:pPr>
        <w:ind w:left="1520" w:hanging="217"/>
      </w:pPr>
      <w:rPr>
        <w:rFonts w:hint="default"/>
        <w:lang w:val="en-GB" w:eastAsia="en-GB" w:bidi="en-GB"/>
      </w:rPr>
    </w:lvl>
    <w:lvl w:ilvl="6" w:tplc="05223DF8">
      <w:numFmt w:val="bullet"/>
      <w:lvlText w:val="•"/>
      <w:lvlJc w:val="left"/>
      <w:pPr>
        <w:ind w:left="1764" w:hanging="217"/>
      </w:pPr>
      <w:rPr>
        <w:rFonts w:hint="default"/>
        <w:lang w:val="en-GB" w:eastAsia="en-GB" w:bidi="en-GB"/>
      </w:rPr>
    </w:lvl>
    <w:lvl w:ilvl="7" w:tplc="E152B150">
      <w:numFmt w:val="bullet"/>
      <w:lvlText w:val="•"/>
      <w:lvlJc w:val="left"/>
      <w:pPr>
        <w:ind w:left="2008" w:hanging="217"/>
      </w:pPr>
      <w:rPr>
        <w:rFonts w:hint="default"/>
        <w:lang w:val="en-GB" w:eastAsia="en-GB" w:bidi="en-GB"/>
      </w:rPr>
    </w:lvl>
    <w:lvl w:ilvl="8" w:tplc="FB684C16">
      <w:numFmt w:val="bullet"/>
      <w:lvlText w:val="•"/>
      <w:lvlJc w:val="left"/>
      <w:pPr>
        <w:ind w:left="2252" w:hanging="217"/>
      </w:pPr>
      <w:rPr>
        <w:rFonts w:hint="default"/>
        <w:lang w:val="en-GB" w:eastAsia="en-GB" w:bidi="en-GB"/>
      </w:rPr>
    </w:lvl>
  </w:abstractNum>
  <w:abstractNum w:abstractNumId="903" w15:restartNumberingAfterBreak="0">
    <w:nsid w:val="5196299B"/>
    <w:multiLevelType w:val="hybridMultilevel"/>
    <w:tmpl w:val="D58CFA04"/>
    <w:lvl w:ilvl="0" w:tplc="043833D4">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B6127E0C">
      <w:numFmt w:val="bullet"/>
      <w:lvlText w:val="•"/>
      <w:lvlJc w:val="left"/>
      <w:pPr>
        <w:ind w:left="1348" w:hanging="114"/>
      </w:pPr>
      <w:rPr>
        <w:rFonts w:hint="default"/>
        <w:lang w:val="en-GB" w:eastAsia="en-GB" w:bidi="en-GB"/>
      </w:rPr>
    </w:lvl>
    <w:lvl w:ilvl="2" w:tplc="03BEEFB0">
      <w:numFmt w:val="bullet"/>
      <w:lvlText w:val="•"/>
      <w:lvlJc w:val="left"/>
      <w:pPr>
        <w:ind w:left="2377" w:hanging="114"/>
      </w:pPr>
      <w:rPr>
        <w:rFonts w:hint="default"/>
        <w:lang w:val="en-GB" w:eastAsia="en-GB" w:bidi="en-GB"/>
      </w:rPr>
    </w:lvl>
    <w:lvl w:ilvl="3" w:tplc="CEB6AADE">
      <w:numFmt w:val="bullet"/>
      <w:lvlText w:val="•"/>
      <w:lvlJc w:val="left"/>
      <w:pPr>
        <w:ind w:left="3405" w:hanging="114"/>
      </w:pPr>
      <w:rPr>
        <w:rFonts w:hint="default"/>
        <w:lang w:val="en-GB" w:eastAsia="en-GB" w:bidi="en-GB"/>
      </w:rPr>
    </w:lvl>
    <w:lvl w:ilvl="4" w:tplc="7E6099DE">
      <w:numFmt w:val="bullet"/>
      <w:lvlText w:val="•"/>
      <w:lvlJc w:val="left"/>
      <w:pPr>
        <w:ind w:left="4434" w:hanging="114"/>
      </w:pPr>
      <w:rPr>
        <w:rFonts w:hint="default"/>
        <w:lang w:val="en-GB" w:eastAsia="en-GB" w:bidi="en-GB"/>
      </w:rPr>
    </w:lvl>
    <w:lvl w:ilvl="5" w:tplc="607CD10A">
      <w:numFmt w:val="bullet"/>
      <w:lvlText w:val="•"/>
      <w:lvlJc w:val="left"/>
      <w:pPr>
        <w:ind w:left="5462" w:hanging="114"/>
      </w:pPr>
      <w:rPr>
        <w:rFonts w:hint="default"/>
        <w:lang w:val="en-GB" w:eastAsia="en-GB" w:bidi="en-GB"/>
      </w:rPr>
    </w:lvl>
    <w:lvl w:ilvl="6" w:tplc="FEC6986C">
      <w:numFmt w:val="bullet"/>
      <w:lvlText w:val="•"/>
      <w:lvlJc w:val="left"/>
      <w:pPr>
        <w:ind w:left="6491" w:hanging="114"/>
      </w:pPr>
      <w:rPr>
        <w:rFonts w:hint="default"/>
        <w:lang w:val="en-GB" w:eastAsia="en-GB" w:bidi="en-GB"/>
      </w:rPr>
    </w:lvl>
    <w:lvl w:ilvl="7" w:tplc="D78A4324">
      <w:numFmt w:val="bullet"/>
      <w:lvlText w:val="•"/>
      <w:lvlJc w:val="left"/>
      <w:pPr>
        <w:ind w:left="7519" w:hanging="114"/>
      </w:pPr>
      <w:rPr>
        <w:rFonts w:hint="default"/>
        <w:lang w:val="en-GB" w:eastAsia="en-GB" w:bidi="en-GB"/>
      </w:rPr>
    </w:lvl>
    <w:lvl w:ilvl="8" w:tplc="25966CC8">
      <w:numFmt w:val="bullet"/>
      <w:lvlText w:val="•"/>
      <w:lvlJc w:val="left"/>
      <w:pPr>
        <w:ind w:left="8548" w:hanging="114"/>
      </w:pPr>
      <w:rPr>
        <w:rFonts w:hint="default"/>
        <w:lang w:val="en-GB" w:eastAsia="en-GB" w:bidi="en-GB"/>
      </w:rPr>
    </w:lvl>
  </w:abstractNum>
  <w:abstractNum w:abstractNumId="904" w15:restartNumberingAfterBreak="0">
    <w:nsid w:val="51AE4990"/>
    <w:multiLevelType w:val="hybridMultilevel"/>
    <w:tmpl w:val="CC2C55BC"/>
    <w:lvl w:ilvl="0" w:tplc="8648DDB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58EEB04">
      <w:numFmt w:val="bullet"/>
      <w:lvlText w:val="•"/>
      <w:lvlJc w:val="left"/>
      <w:pPr>
        <w:ind w:left="439" w:hanging="217"/>
      </w:pPr>
      <w:rPr>
        <w:rFonts w:hint="default"/>
        <w:lang w:val="en-GB" w:eastAsia="en-GB" w:bidi="en-GB"/>
      </w:rPr>
    </w:lvl>
    <w:lvl w:ilvl="2" w:tplc="8D547806">
      <w:numFmt w:val="bullet"/>
      <w:lvlText w:val="•"/>
      <w:lvlJc w:val="left"/>
      <w:pPr>
        <w:ind w:left="578" w:hanging="217"/>
      </w:pPr>
      <w:rPr>
        <w:rFonts w:hint="default"/>
        <w:lang w:val="en-GB" w:eastAsia="en-GB" w:bidi="en-GB"/>
      </w:rPr>
    </w:lvl>
    <w:lvl w:ilvl="3" w:tplc="09DED004">
      <w:numFmt w:val="bullet"/>
      <w:lvlText w:val="•"/>
      <w:lvlJc w:val="left"/>
      <w:pPr>
        <w:ind w:left="717" w:hanging="217"/>
      </w:pPr>
      <w:rPr>
        <w:rFonts w:hint="default"/>
        <w:lang w:val="en-GB" w:eastAsia="en-GB" w:bidi="en-GB"/>
      </w:rPr>
    </w:lvl>
    <w:lvl w:ilvl="4" w:tplc="D9C60ABE">
      <w:numFmt w:val="bullet"/>
      <w:lvlText w:val="•"/>
      <w:lvlJc w:val="left"/>
      <w:pPr>
        <w:ind w:left="856" w:hanging="217"/>
      </w:pPr>
      <w:rPr>
        <w:rFonts w:hint="default"/>
        <w:lang w:val="en-GB" w:eastAsia="en-GB" w:bidi="en-GB"/>
      </w:rPr>
    </w:lvl>
    <w:lvl w:ilvl="5" w:tplc="81C270B4">
      <w:numFmt w:val="bullet"/>
      <w:lvlText w:val="•"/>
      <w:lvlJc w:val="left"/>
      <w:pPr>
        <w:ind w:left="995" w:hanging="217"/>
      </w:pPr>
      <w:rPr>
        <w:rFonts w:hint="default"/>
        <w:lang w:val="en-GB" w:eastAsia="en-GB" w:bidi="en-GB"/>
      </w:rPr>
    </w:lvl>
    <w:lvl w:ilvl="6" w:tplc="0DAC0474">
      <w:numFmt w:val="bullet"/>
      <w:lvlText w:val="•"/>
      <w:lvlJc w:val="left"/>
      <w:pPr>
        <w:ind w:left="1134" w:hanging="217"/>
      </w:pPr>
      <w:rPr>
        <w:rFonts w:hint="default"/>
        <w:lang w:val="en-GB" w:eastAsia="en-GB" w:bidi="en-GB"/>
      </w:rPr>
    </w:lvl>
    <w:lvl w:ilvl="7" w:tplc="1DEA0352">
      <w:numFmt w:val="bullet"/>
      <w:lvlText w:val="•"/>
      <w:lvlJc w:val="left"/>
      <w:pPr>
        <w:ind w:left="1273" w:hanging="217"/>
      </w:pPr>
      <w:rPr>
        <w:rFonts w:hint="default"/>
        <w:lang w:val="en-GB" w:eastAsia="en-GB" w:bidi="en-GB"/>
      </w:rPr>
    </w:lvl>
    <w:lvl w:ilvl="8" w:tplc="D124044E">
      <w:numFmt w:val="bullet"/>
      <w:lvlText w:val="•"/>
      <w:lvlJc w:val="left"/>
      <w:pPr>
        <w:ind w:left="1412" w:hanging="217"/>
      </w:pPr>
      <w:rPr>
        <w:rFonts w:hint="default"/>
        <w:lang w:val="en-GB" w:eastAsia="en-GB" w:bidi="en-GB"/>
      </w:rPr>
    </w:lvl>
  </w:abstractNum>
  <w:abstractNum w:abstractNumId="905" w15:restartNumberingAfterBreak="0">
    <w:nsid w:val="51F15E5F"/>
    <w:multiLevelType w:val="hybridMultilevel"/>
    <w:tmpl w:val="42369DEC"/>
    <w:lvl w:ilvl="0" w:tplc="0D664760">
      <w:numFmt w:val="bullet"/>
      <w:lvlText w:val="•"/>
      <w:lvlJc w:val="left"/>
      <w:pPr>
        <w:ind w:left="299" w:hanging="217"/>
      </w:pPr>
      <w:rPr>
        <w:rFonts w:ascii="Arial" w:eastAsia="Arial" w:hAnsi="Arial" w:cs="Arial" w:hint="default"/>
        <w:color w:val="231F20"/>
        <w:spacing w:val="-10"/>
        <w:w w:val="100"/>
        <w:sz w:val="18"/>
        <w:szCs w:val="18"/>
        <w:lang w:val="en-GB" w:eastAsia="en-GB" w:bidi="en-GB"/>
      </w:rPr>
    </w:lvl>
    <w:lvl w:ilvl="1" w:tplc="8AB6EB20">
      <w:numFmt w:val="bullet"/>
      <w:lvlText w:val="•"/>
      <w:lvlJc w:val="left"/>
      <w:pPr>
        <w:ind w:left="529" w:hanging="217"/>
      </w:pPr>
      <w:rPr>
        <w:rFonts w:hint="default"/>
        <w:lang w:val="en-GB" w:eastAsia="en-GB" w:bidi="en-GB"/>
      </w:rPr>
    </w:lvl>
    <w:lvl w:ilvl="2" w:tplc="D58E5494">
      <w:numFmt w:val="bullet"/>
      <w:lvlText w:val="•"/>
      <w:lvlJc w:val="left"/>
      <w:pPr>
        <w:ind w:left="759" w:hanging="217"/>
      </w:pPr>
      <w:rPr>
        <w:rFonts w:hint="default"/>
        <w:lang w:val="en-GB" w:eastAsia="en-GB" w:bidi="en-GB"/>
      </w:rPr>
    </w:lvl>
    <w:lvl w:ilvl="3" w:tplc="4BBCF590">
      <w:numFmt w:val="bullet"/>
      <w:lvlText w:val="•"/>
      <w:lvlJc w:val="left"/>
      <w:pPr>
        <w:ind w:left="989" w:hanging="217"/>
      </w:pPr>
      <w:rPr>
        <w:rFonts w:hint="default"/>
        <w:lang w:val="en-GB" w:eastAsia="en-GB" w:bidi="en-GB"/>
      </w:rPr>
    </w:lvl>
    <w:lvl w:ilvl="4" w:tplc="5724587A">
      <w:numFmt w:val="bullet"/>
      <w:lvlText w:val="•"/>
      <w:lvlJc w:val="left"/>
      <w:pPr>
        <w:ind w:left="1219" w:hanging="217"/>
      </w:pPr>
      <w:rPr>
        <w:rFonts w:hint="default"/>
        <w:lang w:val="en-GB" w:eastAsia="en-GB" w:bidi="en-GB"/>
      </w:rPr>
    </w:lvl>
    <w:lvl w:ilvl="5" w:tplc="A9769DFC">
      <w:numFmt w:val="bullet"/>
      <w:lvlText w:val="•"/>
      <w:lvlJc w:val="left"/>
      <w:pPr>
        <w:ind w:left="1449" w:hanging="217"/>
      </w:pPr>
      <w:rPr>
        <w:rFonts w:hint="default"/>
        <w:lang w:val="en-GB" w:eastAsia="en-GB" w:bidi="en-GB"/>
      </w:rPr>
    </w:lvl>
    <w:lvl w:ilvl="6" w:tplc="5C70A380">
      <w:numFmt w:val="bullet"/>
      <w:lvlText w:val="•"/>
      <w:lvlJc w:val="left"/>
      <w:pPr>
        <w:ind w:left="1678" w:hanging="217"/>
      </w:pPr>
      <w:rPr>
        <w:rFonts w:hint="default"/>
        <w:lang w:val="en-GB" w:eastAsia="en-GB" w:bidi="en-GB"/>
      </w:rPr>
    </w:lvl>
    <w:lvl w:ilvl="7" w:tplc="16306D9C">
      <w:numFmt w:val="bullet"/>
      <w:lvlText w:val="•"/>
      <w:lvlJc w:val="left"/>
      <w:pPr>
        <w:ind w:left="1908" w:hanging="217"/>
      </w:pPr>
      <w:rPr>
        <w:rFonts w:hint="default"/>
        <w:lang w:val="en-GB" w:eastAsia="en-GB" w:bidi="en-GB"/>
      </w:rPr>
    </w:lvl>
    <w:lvl w:ilvl="8" w:tplc="6688C654">
      <w:numFmt w:val="bullet"/>
      <w:lvlText w:val="•"/>
      <w:lvlJc w:val="left"/>
      <w:pPr>
        <w:ind w:left="2138" w:hanging="217"/>
      </w:pPr>
      <w:rPr>
        <w:rFonts w:hint="default"/>
        <w:lang w:val="en-GB" w:eastAsia="en-GB" w:bidi="en-GB"/>
      </w:rPr>
    </w:lvl>
  </w:abstractNum>
  <w:abstractNum w:abstractNumId="906" w15:restartNumberingAfterBreak="0">
    <w:nsid w:val="521072BB"/>
    <w:multiLevelType w:val="hybridMultilevel"/>
    <w:tmpl w:val="98DA68B8"/>
    <w:lvl w:ilvl="0" w:tplc="EF10E412">
      <w:numFmt w:val="bullet"/>
      <w:lvlText w:val="•"/>
      <w:lvlJc w:val="left"/>
      <w:pPr>
        <w:ind w:left="276" w:hanging="217"/>
      </w:pPr>
      <w:rPr>
        <w:rFonts w:ascii="Arial" w:eastAsia="Arial" w:hAnsi="Arial" w:cs="Arial" w:hint="default"/>
        <w:color w:val="231F20"/>
        <w:w w:val="97"/>
        <w:sz w:val="16"/>
        <w:szCs w:val="16"/>
        <w:lang w:val="en-GB" w:eastAsia="en-GB" w:bidi="en-GB"/>
      </w:rPr>
    </w:lvl>
    <w:lvl w:ilvl="1" w:tplc="0C2E7A80">
      <w:numFmt w:val="bullet"/>
      <w:lvlText w:val="•"/>
      <w:lvlJc w:val="left"/>
      <w:pPr>
        <w:ind w:left="381" w:hanging="217"/>
      </w:pPr>
      <w:rPr>
        <w:rFonts w:hint="default"/>
        <w:lang w:val="en-GB" w:eastAsia="en-GB" w:bidi="en-GB"/>
      </w:rPr>
    </w:lvl>
    <w:lvl w:ilvl="2" w:tplc="FD509716">
      <w:numFmt w:val="bullet"/>
      <w:lvlText w:val="•"/>
      <w:lvlJc w:val="left"/>
      <w:pPr>
        <w:ind w:left="482" w:hanging="217"/>
      </w:pPr>
      <w:rPr>
        <w:rFonts w:hint="default"/>
        <w:lang w:val="en-GB" w:eastAsia="en-GB" w:bidi="en-GB"/>
      </w:rPr>
    </w:lvl>
    <w:lvl w:ilvl="3" w:tplc="95C8C4F0">
      <w:numFmt w:val="bullet"/>
      <w:lvlText w:val="•"/>
      <w:lvlJc w:val="left"/>
      <w:pPr>
        <w:ind w:left="584" w:hanging="217"/>
      </w:pPr>
      <w:rPr>
        <w:rFonts w:hint="default"/>
        <w:lang w:val="en-GB" w:eastAsia="en-GB" w:bidi="en-GB"/>
      </w:rPr>
    </w:lvl>
    <w:lvl w:ilvl="4" w:tplc="E03AC7F0">
      <w:numFmt w:val="bullet"/>
      <w:lvlText w:val="•"/>
      <w:lvlJc w:val="left"/>
      <w:pPr>
        <w:ind w:left="685" w:hanging="217"/>
      </w:pPr>
      <w:rPr>
        <w:rFonts w:hint="default"/>
        <w:lang w:val="en-GB" w:eastAsia="en-GB" w:bidi="en-GB"/>
      </w:rPr>
    </w:lvl>
    <w:lvl w:ilvl="5" w:tplc="C49044C6">
      <w:numFmt w:val="bullet"/>
      <w:lvlText w:val="•"/>
      <w:lvlJc w:val="left"/>
      <w:pPr>
        <w:ind w:left="787" w:hanging="217"/>
      </w:pPr>
      <w:rPr>
        <w:rFonts w:hint="default"/>
        <w:lang w:val="en-GB" w:eastAsia="en-GB" w:bidi="en-GB"/>
      </w:rPr>
    </w:lvl>
    <w:lvl w:ilvl="6" w:tplc="ED5095DA">
      <w:numFmt w:val="bullet"/>
      <w:lvlText w:val="•"/>
      <w:lvlJc w:val="left"/>
      <w:pPr>
        <w:ind w:left="888" w:hanging="217"/>
      </w:pPr>
      <w:rPr>
        <w:rFonts w:hint="default"/>
        <w:lang w:val="en-GB" w:eastAsia="en-GB" w:bidi="en-GB"/>
      </w:rPr>
    </w:lvl>
    <w:lvl w:ilvl="7" w:tplc="463A980E">
      <w:numFmt w:val="bullet"/>
      <w:lvlText w:val="•"/>
      <w:lvlJc w:val="left"/>
      <w:pPr>
        <w:ind w:left="989" w:hanging="217"/>
      </w:pPr>
      <w:rPr>
        <w:rFonts w:hint="default"/>
        <w:lang w:val="en-GB" w:eastAsia="en-GB" w:bidi="en-GB"/>
      </w:rPr>
    </w:lvl>
    <w:lvl w:ilvl="8" w:tplc="D9F418CA">
      <w:numFmt w:val="bullet"/>
      <w:lvlText w:val="•"/>
      <w:lvlJc w:val="left"/>
      <w:pPr>
        <w:ind w:left="1091" w:hanging="217"/>
      </w:pPr>
      <w:rPr>
        <w:rFonts w:hint="default"/>
        <w:lang w:val="en-GB" w:eastAsia="en-GB" w:bidi="en-GB"/>
      </w:rPr>
    </w:lvl>
  </w:abstractNum>
  <w:abstractNum w:abstractNumId="907" w15:restartNumberingAfterBreak="0">
    <w:nsid w:val="52210267"/>
    <w:multiLevelType w:val="hybridMultilevel"/>
    <w:tmpl w:val="C666C018"/>
    <w:lvl w:ilvl="0" w:tplc="08F294F6">
      <w:numFmt w:val="bullet"/>
      <w:lvlText w:val="•"/>
      <w:lvlJc w:val="left"/>
      <w:pPr>
        <w:ind w:left="305" w:hanging="217"/>
      </w:pPr>
      <w:rPr>
        <w:rFonts w:ascii="Arial" w:eastAsia="Arial" w:hAnsi="Arial" w:cs="Arial" w:hint="default"/>
        <w:color w:val="231F20"/>
        <w:spacing w:val="-2"/>
        <w:w w:val="100"/>
        <w:sz w:val="18"/>
        <w:szCs w:val="18"/>
        <w:lang w:val="en-GB" w:eastAsia="en-GB" w:bidi="en-GB"/>
      </w:rPr>
    </w:lvl>
    <w:lvl w:ilvl="1" w:tplc="3DBA7FA6">
      <w:numFmt w:val="bullet"/>
      <w:lvlText w:val="•"/>
      <w:lvlJc w:val="left"/>
      <w:pPr>
        <w:ind w:left="524" w:hanging="217"/>
      </w:pPr>
      <w:rPr>
        <w:rFonts w:hint="default"/>
        <w:lang w:val="en-GB" w:eastAsia="en-GB" w:bidi="en-GB"/>
      </w:rPr>
    </w:lvl>
    <w:lvl w:ilvl="2" w:tplc="84148F64">
      <w:numFmt w:val="bullet"/>
      <w:lvlText w:val="•"/>
      <w:lvlJc w:val="left"/>
      <w:pPr>
        <w:ind w:left="748" w:hanging="217"/>
      </w:pPr>
      <w:rPr>
        <w:rFonts w:hint="default"/>
        <w:lang w:val="en-GB" w:eastAsia="en-GB" w:bidi="en-GB"/>
      </w:rPr>
    </w:lvl>
    <w:lvl w:ilvl="3" w:tplc="8F42437E">
      <w:numFmt w:val="bullet"/>
      <w:lvlText w:val="•"/>
      <w:lvlJc w:val="left"/>
      <w:pPr>
        <w:ind w:left="972" w:hanging="217"/>
      </w:pPr>
      <w:rPr>
        <w:rFonts w:hint="default"/>
        <w:lang w:val="en-GB" w:eastAsia="en-GB" w:bidi="en-GB"/>
      </w:rPr>
    </w:lvl>
    <w:lvl w:ilvl="4" w:tplc="B64E7390">
      <w:numFmt w:val="bullet"/>
      <w:lvlText w:val="•"/>
      <w:lvlJc w:val="left"/>
      <w:pPr>
        <w:ind w:left="1196" w:hanging="217"/>
      </w:pPr>
      <w:rPr>
        <w:rFonts w:hint="default"/>
        <w:lang w:val="en-GB" w:eastAsia="en-GB" w:bidi="en-GB"/>
      </w:rPr>
    </w:lvl>
    <w:lvl w:ilvl="5" w:tplc="DB469A48">
      <w:numFmt w:val="bullet"/>
      <w:lvlText w:val="•"/>
      <w:lvlJc w:val="left"/>
      <w:pPr>
        <w:ind w:left="1420" w:hanging="217"/>
      </w:pPr>
      <w:rPr>
        <w:rFonts w:hint="default"/>
        <w:lang w:val="en-GB" w:eastAsia="en-GB" w:bidi="en-GB"/>
      </w:rPr>
    </w:lvl>
    <w:lvl w:ilvl="6" w:tplc="61CEAFDE">
      <w:numFmt w:val="bullet"/>
      <w:lvlText w:val="•"/>
      <w:lvlJc w:val="left"/>
      <w:pPr>
        <w:ind w:left="1644" w:hanging="217"/>
      </w:pPr>
      <w:rPr>
        <w:rFonts w:hint="default"/>
        <w:lang w:val="en-GB" w:eastAsia="en-GB" w:bidi="en-GB"/>
      </w:rPr>
    </w:lvl>
    <w:lvl w:ilvl="7" w:tplc="466CEBFA">
      <w:numFmt w:val="bullet"/>
      <w:lvlText w:val="•"/>
      <w:lvlJc w:val="left"/>
      <w:pPr>
        <w:ind w:left="1868" w:hanging="217"/>
      </w:pPr>
      <w:rPr>
        <w:rFonts w:hint="default"/>
        <w:lang w:val="en-GB" w:eastAsia="en-GB" w:bidi="en-GB"/>
      </w:rPr>
    </w:lvl>
    <w:lvl w:ilvl="8" w:tplc="7A463C78">
      <w:numFmt w:val="bullet"/>
      <w:lvlText w:val="•"/>
      <w:lvlJc w:val="left"/>
      <w:pPr>
        <w:ind w:left="2092" w:hanging="217"/>
      </w:pPr>
      <w:rPr>
        <w:rFonts w:hint="default"/>
        <w:lang w:val="en-GB" w:eastAsia="en-GB" w:bidi="en-GB"/>
      </w:rPr>
    </w:lvl>
  </w:abstractNum>
  <w:abstractNum w:abstractNumId="908" w15:restartNumberingAfterBreak="0">
    <w:nsid w:val="5223538A"/>
    <w:multiLevelType w:val="hybridMultilevel"/>
    <w:tmpl w:val="3A2E436C"/>
    <w:lvl w:ilvl="0" w:tplc="FAA0799A">
      <w:numFmt w:val="bullet"/>
      <w:lvlText w:val="•"/>
      <w:lvlJc w:val="left"/>
      <w:pPr>
        <w:ind w:left="305" w:hanging="217"/>
      </w:pPr>
      <w:rPr>
        <w:rFonts w:ascii="Arial" w:eastAsia="Arial" w:hAnsi="Arial" w:cs="Arial" w:hint="default"/>
        <w:color w:val="231F20"/>
        <w:w w:val="102"/>
        <w:sz w:val="17"/>
        <w:szCs w:val="17"/>
        <w:lang w:val="en-GB" w:eastAsia="en-GB" w:bidi="en-GB"/>
      </w:rPr>
    </w:lvl>
    <w:lvl w:ilvl="1" w:tplc="90E29910">
      <w:numFmt w:val="bullet"/>
      <w:lvlText w:val="•"/>
      <w:lvlJc w:val="left"/>
      <w:pPr>
        <w:ind w:left="892" w:hanging="217"/>
      </w:pPr>
      <w:rPr>
        <w:rFonts w:hint="default"/>
        <w:lang w:val="en-GB" w:eastAsia="en-GB" w:bidi="en-GB"/>
      </w:rPr>
    </w:lvl>
    <w:lvl w:ilvl="2" w:tplc="60B0C8CC">
      <w:numFmt w:val="bullet"/>
      <w:lvlText w:val="•"/>
      <w:lvlJc w:val="left"/>
      <w:pPr>
        <w:ind w:left="1485" w:hanging="217"/>
      </w:pPr>
      <w:rPr>
        <w:rFonts w:hint="default"/>
        <w:lang w:val="en-GB" w:eastAsia="en-GB" w:bidi="en-GB"/>
      </w:rPr>
    </w:lvl>
    <w:lvl w:ilvl="3" w:tplc="BFF8478C">
      <w:numFmt w:val="bullet"/>
      <w:lvlText w:val="•"/>
      <w:lvlJc w:val="left"/>
      <w:pPr>
        <w:ind w:left="2077" w:hanging="217"/>
      </w:pPr>
      <w:rPr>
        <w:rFonts w:hint="default"/>
        <w:lang w:val="en-GB" w:eastAsia="en-GB" w:bidi="en-GB"/>
      </w:rPr>
    </w:lvl>
    <w:lvl w:ilvl="4" w:tplc="1E6EDB3E">
      <w:numFmt w:val="bullet"/>
      <w:lvlText w:val="•"/>
      <w:lvlJc w:val="left"/>
      <w:pPr>
        <w:ind w:left="2670" w:hanging="217"/>
      </w:pPr>
      <w:rPr>
        <w:rFonts w:hint="default"/>
        <w:lang w:val="en-GB" w:eastAsia="en-GB" w:bidi="en-GB"/>
      </w:rPr>
    </w:lvl>
    <w:lvl w:ilvl="5" w:tplc="704EBB32">
      <w:numFmt w:val="bullet"/>
      <w:lvlText w:val="•"/>
      <w:lvlJc w:val="left"/>
      <w:pPr>
        <w:ind w:left="3263" w:hanging="217"/>
      </w:pPr>
      <w:rPr>
        <w:rFonts w:hint="default"/>
        <w:lang w:val="en-GB" w:eastAsia="en-GB" w:bidi="en-GB"/>
      </w:rPr>
    </w:lvl>
    <w:lvl w:ilvl="6" w:tplc="1D907DE4">
      <w:numFmt w:val="bullet"/>
      <w:lvlText w:val="•"/>
      <w:lvlJc w:val="left"/>
      <w:pPr>
        <w:ind w:left="3855" w:hanging="217"/>
      </w:pPr>
      <w:rPr>
        <w:rFonts w:hint="default"/>
        <w:lang w:val="en-GB" w:eastAsia="en-GB" w:bidi="en-GB"/>
      </w:rPr>
    </w:lvl>
    <w:lvl w:ilvl="7" w:tplc="1A9AFA4C">
      <w:numFmt w:val="bullet"/>
      <w:lvlText w:val="•"/>
      <w:lvlJc w:val="left"/>
      <w:pPr>
        <w:ind w:left="4448" w:hanging="217"/>
      </w:pPr>
      <w:rPr>
        <w:rFonts w:hint="default"/>
        <w:lang w:val="en-GB" w:eastAsia="en-GB" w:bidi="en-GB"/>
      </w:rPr>
    </w:lvl>
    <w:lvl w:ilvl="8" w:tplc="DBB2DA52">
      <w:numFmt w:val="bullet"/>
      <w:lvlText w:val="•"/>
      <w:lvlJc w:val="left"/>
      <w:pPr>
        <w:ind w:left="5040" w:hanging="217"/>
      </w:pPr>
      <w:rPr>
        <w:rFonts w:hint="default"/>
        <w:lang w:val="en-GB" w:eastAsia="en-GB" w:bidi="en-GB"/>
      </w:rPr>
    </w:lvl>
  </w:abstractNum>
  <w:abstractNum w:abstractNumId="909" w15:restartNumberingAfterBreak="0">
    <w:nsid w:val="5232025A"/>
    <w:multiLevelType w:val="hybridMultilevel"/>
    <w:tmpl w:val="D6A03F14"/>
    <w:lvl w:ilvl="0" w:tplc="2DD25F3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1CC6A72">
      <w:numFmt w:val="bullet"/>
      <w:lvlText w:val="•"/>
      <w:lvlJc w:val="left"/>
      <w:pPr>
        <w:ind w:left="520" w:hanging="217"/>
      </w:pPr>
      <w:rPr>
        <w:rFonts w:hint="default"/>
        <w:lang w:val="en-GB" w:eastAsia="en-GB" w:bidi="en-GB"/>
      </w:rPr>
    </w:lvl>
    <w:lvl w:ilvl="2" w:tplc="2EB673BC">
      <w:numFmt w:val="bullet"/>
      <w:lvlText w:val="•"/>
      <w:lvlJc w:val="left"/>
      <w:pPr>
        <w:ind w:left="687" w:hanging="217"/>
      </w:pPr>
      <w:rPr>
        <w:rFonts w:hint="default"/>
        <w:lang w:val="en-GB" w:eastAsia="en-GB" w:bidi="en-GB"/>
      </w:rPr>
    </w:lvl>
    <w:lvl w:ilvl="3" w:tplc="7882AA1A">
      <w:numFmt w:val="bullet"/>
      <w:lvlText w:val="•"/>
      <w:lvlJc w:val="left"/>
      <w:pPr>
        <w:ind w:left="855" w:hanging="217"/>
      </w:pPr>
      <w:rPr>
        <w:rFonts w:hint="default"/>
        <w:lang w:val="en-GB" w:eastAsia="en-GB" w:bidi="en-GB"/>
      </w:rPr>
    </w:lvl>
    <w:lvl w:ilvl="4" w:tplc="17A46048">
      <w:numFmt w:val="bullet"/>
      <w:lvlText w:val="•"/>
      <w:lvlJc w:val="left"/>
      <w:pPr>
        <w:ind w:left="1023" w:hanging="217"/>
      </w:pPr>
      <w:rPr>
        <w:rFonts w:hint="default"/>
        <w:lang w:val="en-GB" w:eastAsia="en-GB" w:bidi="en-GB"/>
      </w:rPr>
    </w:lvl>
    <w:lvl w:ilvl="5" w:tplc="41C0DFEA">
      <w:numFmt w:val="bullet"/>
      <w:lvlText w:val="•"/>
      <w:lvlJc w:val="left"/>
      <w:pPr>
        <w:ind w:left="1191" w:hanging="217"/>
      </w:pPr>
      <w:rPr>
        <w:rFonts w:hint="default"/>
        <w:lang w:val="en-GB" w:eastAsia="en-GB" w:bidi="en-GB"/>
      </w:rPr>
    </w:lvl>
    <w:lvl w:ilvl="6" w:tplc="C2721C02">
      <w:numFmt w:val="bullet"/>
      <w:lvlText w:val="•"/>
      <w:lvlJc w:val="left"/>
      <w:pPr>
        <w:ind w:left="1359" w:hanging="217"/>
      </w:pPr>
      <w:rPr>
        <w:rFonts w:hint="default"/>
        <w:lang w:val="en-GB" w:eastAsia="en-GB" w:bidi="en-GB"/>
      </w:rPr>
    </w:lvl>
    <w:lvl w:ilvl="7" w:tplc="BB38F03C">
      <w:numFmt w:val="bullet"/>
      <w:lvlText w:val="•"/>
      <w:lvlJc w:val="left"/>
      <w:pPr>
        <w:ind w:left="1527" w:hanging="217"/>
      </w:pPr>
      <w:rPr>
        <w:rFonts w:hint="default"/>
        <w:lang w:val="en-GB" w:eastAsia="en-GB" w:bidi="en-GB"/>
      </w:rPr>
    </w:lvl>
    <w:lvl w:ilvl="8" w:tplc="B060E6B8">
      <w:numFmt w:val="bullet"/>
      <w:lvlText w:val="•"/>
      <w:lvlJc w:val="left"/>
      <w:pPr>
        <w:ind w:left="1695" w:hanging="217"/>
      </w:pPr>
      <w:rPr>
        <w:rFonts w:hint="default"/>
        <w:lang w:val="en-GB" w:eastAsia="en-GB" w:bidi="en-GB"/>
      </w:rPr>
    </w:lvl>
  </w:abstractNum>
  <w:abstractNum w:abstractNumId="910" w15:restartNumberingAfterBreak="0">
    <w:nsid w:val="524C7E15"/>
    <w:multiLevelType w:val="hybridMultilevel"/>
    <w:tmpl w:val="9094DFE6"/>
    <w:lvl w:ilvl="0" w:tplc="27F8AF3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C8E2308">
      <w:numFmt w:val="bullet"/>
      <w:lvlText w:val="•"/>
      <w:lvlJc w:val="left"/>
      <w:pPr>
        <w:ind w:left="544" w:hanging="217"/>
      </w:pPr>
      <w:rPr>
        <w:rFonts w:hint="default"/>
        <w:lang w:val="en-GB" w:eastAsia="en-GB" w:bidi="en-GB"/>
      </w:rPr>
    </w:lvl>
    <w:lvl w:ilvl="2" w:tplc="4EDA5DEA">
      <w:numFmt w:val="bullet"/>
      <w:lvlText w:val="•"/>
      <w:lvlJc w:val="left"/>
      <w:pPr>
        <w:ind w:left="788" w:hanging="217"/>
      </w:pPr>
      <w:rPr>
        <w:rFonts w:hint="default"/>
        <w:lang w:val="en-GB" w:eastAsia="en-GB" w:bidi="en-GB"/>
      </w:rPr>
    </w:lvl>
    <w:lvl w:ilvl="3" w:tplc="60C011DA">
      <w:numFmt w:val="bullet"/>
      <w:lvlText w:val="•"/>
      <w:lvlJc w:val="left"/>
      <w:pPr>
        <w:ind w:left="1032" w:hanging="217"/>
      </w:pPr>
      <w:rPr>
        <w:rFonts w:hint="default"/>
        <w:lang w:val="en-GB" w:eastAsia="en-GB" w:bidi="en-GB"/>
      </w:rPr>
    </w:lvl>
    <w:lvl w:ilvl="4" w:tplc="4BA08E30">
      <w:numFmt w:val="bullet"/>
      <w:lvlText w:val="•"/>
      <w:lvlJc w:val="left"/>
      <w:pPr>
        <w:ind w:left="1276" w:hanging="217"/>
      </w:pPr>
      <w:rPr>
        <w:rFonts w:hint="default"/>
        <w:lang w:val="en-GB" w:eastAsia="en-GB" w:bidi="en-GB"/>
      </w:rPr>
    </w:lvl>
    <w:lvl w:ilvl="5" w:tplc="3566D252">
      <w:numFmt w:val="bullet"/>
      <w:lvlText w:val="•"/>
      <w:lvlJc w:val="left"/>
      <w:pPr>
        <w:ind w:left="1520" w:hanging="217"/>
      </w:pPr>
      <w:rPr>
        <w:rFonts w:hint="default"/>
        <w:lang w:val="en-GB" w:eastAsia="en-GB" w:bidi="en-GB"/>
      </w:rPr>
    </w:lvl>
    <w:lvl w:ilvl="6" w:tplc="13BED09C">
      <w:numFmt w:val="bullet"/>
      <w:lvlText w:val="•"/>
      <w:lvlJc w:val="left"/>
      <w:pPr>
        <w:ind w:left="1764" w:hanging="217"/>
      </w:pPr>
      <w:rPr>
        <w:rFonts w:hint="default"/>
        <w:lang w:val="en-GB" w:eastAsia="en-GB" w:bidi="en-GB"/>
      </w:rPr>
    </w:lvl>
    <w:lvl w:ilvl="7" w:tplc="67187C2C">
      <w:numFmt w:val="bullet"/>
      <w:lvlText w:val="•"/>
      <w:lvlJc w:val="left"/>
      <w:pPr>
        <w:ind w:left="2008" w:hanging="217"/>
      </w:pPr>
      <w:rPr>
        <w:rFonts w:hint="default"/>
        <w:lang w:val="en-GB" w:eastAsia="en-GB" w:bidi="en-GB"/>
      </w:rPr>
    </w:lvl>
    <w:lvl w:ilvl="8" w:tplc="30720B72">
      <w:numFmt w:val="bullet"/>
      <w:lvlText w:val="•"/>
      <w:lvlJc w:val="left"/>
      <w:pPr>
        <w:ind w:left="2252" w:hanging="217"/>
      </w:pPr>
      <w:rPr>
        <w:rFonts w:hint="default"/>
        <w:lang w:val="en-GB" w:eastAsia="en-GB" w:bidi="en-GB"/>
      </w:rPr>
    </w:lvl>
  </w:abstractNum>
  <w:abstractNum w:abstractNumId="911" w15:restartNumberingAfterBreak="0">
    <w:nsid w:val="525377F4"/>
    <w:multiLevelType w:val="hybridMultilevel"/>
    <w:tmpl w:val="1D70ACD0"/>
    <w:lvl w:ilvl="0" w:tplc="17AECFB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3BC66F6">
      <w:numFmt w:val="bullet"/>
      <w:lvlText w:val="•"/>
      <w:lvlJc w:val="left"/>
      <w:pPr>
        <w:ind w:left="439" w:hanging="217"/>
      </w:pPr>
      <w:rPr>
        <w:rFonts w:hint="default"/>
        <w:lang w:val="en-GB" w:eastAsia="en-GB" w:bidi="en-GB"/>
      </w:rPr>
    </w:lvl>
    <w:lvl w:ilvl="2" w:tplc="5AE46FF6">
      <w:numFmt w:val="bullet"/>
      <w:lvlText w:val="•"/>
      <w:lvlJc w:val="left"/>
      <w:pPr>
        <w:ind w:left="578" w:hanging="217"/>
      </w:pPr>
      <w:rPr>
        <w:rFonts w:hint="default"/>
        <w:lang w:val="en-GB" w:eastAsia="en-GB" w:bidi="en-GB"/>
      </w:rPr>
    </w:lvl>
    <w:lvl w:ilvl="3" w:tplc="CC740DBA">
      <w:numFmt w:val="bullet"/>
      <w:lvlText w:val="•"/>
      <w:lvlJc w:val="left"/>
      <w:pPr>
        <w:ind w:left="717" w:hanging="217"/>
      </w:pPr>
      <w:rPr>
        <w:rFonts w:hint="default"/>
        <w:lang w:val="en-GB" w:eastAsia="en-GB" w:bidi="en-GB"/>
      </w:rPr>
    </w:lvl>
    <w:lvl w:ilvl="4" w:tplc="D4F44AF2">
      <w:numFmt w:val="bullet"/>
      <w:lvlText w:val="•"/>
      <w:lvlJc w:val="left"/>
      <w:pPr>
        <w:ind w:left="856" w:hanging="217"/>
      </w:pPr>
      <w:rPr>
        <w:rFonts w:hint="default"/>
        <w:lang w:val="en-GB" w:eastAsia="en-GB" w:bidi="en-GB"/>
      </w:rPr>
    </w:lvl>
    <w:lvl w:ilvl="5" w:tplc="7AFA3ED6">
      <w:numFmt w:val="bullet"/>
      <w:lvlText w:val="•"/>
      <w:lvlJc w:val="left"/>
      <w:pPr>
        <w:ind w:left="995" w:hanging="217"/>
      </w:pPr>
      <w:rPr>
        <w:rFonts w:hint="default"/>
        <w:lang w:val="en-GB" w:eastAsia="en-GB" w:bidi="en-GB"/>
      </w:rPr>
    </w:lvl>
    <w:lvl w:ilvl="6" w:tplc="286AC3B8">
      <w:numFmt w:val="bullet"/>
      <w:lvlText w:val="•"/>
      <w:lvlJc w:val="left"/>
      <w:pPr>
        <w:ind w:left="1134" w:hanging="217"/>
      </w:pPr>
      <w:rPr>
        <w:rFonts w:hint="default"/>
        <w:lang w:val="en-GB" w:eastAsia="en-GB" w:bidi="en-GB"/>
      </w:rPr>
    </w:lvl>
    <w:lvl w:ilvl="7" w:tplc="FEA004EA">
      <w:numFmt w:val="bullet"/>
      <w:lvlText w:val="•"/>
      <w:lvlJc w:val="left"/>
      <w:pPr>
        <w:ind w:left="1273" w:hanging="217"/>
      </w:pPr>
      <w:rPr>
        <w:rFonts w:hint="default"/>
        <w:lang w:val="en-GB" w:eastAsia="en-GB" w:bidi="en-GB"/>
      </w:rPr>
    </w:lvl>
    <w:lvl w:ilvl="8" w:tplc="F0187900">
      <w:numFmt w:val="bullet"/>
      <w:lvlText w:val="•"/>
      <w:lvlJc w:val="left"/>
      <w:pPr>
        <w:ind w:left="1412" w:hanging="217"/>
      </w:pPr>
      <w:rPr>
        <w:rFonts w:hint="default"/>
        <w:lang w:val="en-GB" w:eastAsia="en-GB" w:bidi="en-GB"/>
      </w:rPr>
    </w:lvl>
  </w:abstractNum>
  <w:abstractNum w:abstractNumId="912" w15:restartNumberingAfterBreak="0">
    <w:nsid w:val="52A37007"/>
    <w:multiLevelType w:val="hybridMultilevel"/>
    <w:tmpl w:val="3D6A88F4"/>
    <w:lvl w:ilvl="0" w:tplc="8FAAFA90">
      <w:numFmt w:val="bullet"/>
      <w:lvlText w:val="•"/>
      <w:lvlJc w:val="left"/>
      <w:pPr>
        <w:ind w:left="304" w:hanging="217"/>
      </w:pPr>
      <w:rPr>
        <w:rFonts w:ascii="Arial" w:eastAsia="Arial" w:hAnsi="Arial" w:cs="Arial" w:hint="default"/>
        <w:color w:val="231F20"/>
        <w:w w:val="100"/>
        <w:sz w:val="18"/>
        <w:szCs w:val="18"/>
        <w:lang w:val="en-GB" w:eastAsia="en-GB" w:bidi="en-GB"/>
      </w:rPr>
    </w:lvl>
    <w:lvl w:ilvl="1" w:tplc="EE442960">
      <w:numFmt w:val="bullet"/>
      <w:lvlText w:val="•"/>
      <w:lvlJc w:val="left"/>
      <w:pPr>
        <w:ind w:left="473" w:hanging="217"/>
      </w:pPr>
      <w:rPr>
        <w:rFonts w:hint="default"/>
        <w:lang w:val="en-GB" w:eastAsia="en-GB" w:bidi="en-GB"/>
      </w:rPr>
    </w:lvl>
    <w:lvl w:ilvl="2" w:tplc="A5485110">
      <w:numFmt w:val="bullet"/>
      <w:lvlText w:val="•"/>
      <w:lvlJc w:val="left"/>
      <w:pPr>
        <w:ind w:left="646" w:hanging="217"/>
      </w:pPr>
      <w:rPr>
        <w:rFonts w:hint="default"/>
        <w:lang w:val="en-GB" w:eastAsia="en-GB" w:bidi="en-GB"/>
      </w:rPr>
    </w:lvl>
    <w:lvl w:ilvl="3" w:tplc="2D5EF4D0">
      <w:numFmt w:val="bullet"/>
      <w:lvlText w:val="•"/>
      <w:lvlJc w:val="left"/>
      <w:pPr>
        <w:ind w:left="819" w:hanging="217"/>
      </w:pPr>
      <w:rPr>
        <w:rFonts w:hint="default"/>
        <w:lang w:val="en-GB" w:eastAsia="en-GB" w:bidi="en-GB"/>
      </w:rPr>
    </w:lvl>
    <w:lvl w:ilvl="4" w:tplc="7EC852E2">
      <w:numFmt w:val="bullet"/>
      <w:lvlText w:val="•"/>
      <w:lvlJc w:val="left"/>
      <w:pPr>
        <w:ind w:left="992" w:hanging="217"/>
      </w:pPr>
      <w:rPr>
        <w:rFonts w:hint="default"/>
        <w:lang w:val="en-GB" w:eastAsia="en-GB" w:bidi="en-GB"/>
      </w:rPr>
    </w:lvl>
    <w:lvl w:ilvl="5" w:tplc="FC24A596">
      <w:numFmt w:val="bullet"/>
      <w:lvlText w:val="•"/>
      <w:lvlJc w:val="left"/>
      <w:pPr>
        <w:ind w:left="1165" w:hanging="217"/>
      </w:pPr>
      <w:rPr>
        <w:rFonts w:hint="default"/>
        <w:lang w:val="en-GB" w:eastAsia="en-GB" w:bidi="en-GB"/>
      </w:rPr>
    </w:lvl>
    <w:lvl w:ilvl="6" w:tplc="E51C1EC4">
      <w:numFmt w:val="bullet"/>
      <w:lvlText w:val="•"/>
      <w:lvlJc w:val="left"/>
      <w:pPr>
        <w:ind w:left="1338" w:hanging="217"/>
      </w:pPr>
      <w:rPr>
        <w:rFonts w:hint="default"/>
        <w:lang w:val="en-GB" w:eastAsia="en-GB" w:bidi="en-GB"/>
      </w:rPr>
    </w:lvl>
    <w:lvl w:ilvl="7" w:tplc="92F43A22">
      <w:numFmt w:val="bullet"/>
      <w:lvlText w:val="•"/>
      <w:lvlJc w:val="left"/>
      <w:pPr>
        <w:ind w:left="1511" w:hanging="217"/>
      </w:pPr>
      <w:rPr>
        <w:rFonts w:hint="default"/>
        <w:lang w:val="en-GB" w:eastAsia="en-GB" w:bidi="en-GB"/>
      </w:rPr>
    </w:lvl>
    <w:lvl w:ilvl="8" w:tplc="B8FE7066">
      <w:numFmt w:val="bullet"/>
      <w:lvlText w:val="•"/>
      <w:lvlJc w:val="left"/>
      <w:pPr>
        <w:ind w:left="1684" w:hanging="217"/>
      </w:pPr>
      <w:rPr>
        <w:rFonts w:hint="default"/>
        <w:lang w:val="en-GB" w:eastAsia="en-GB" w:bidi="en-GB"/>
      </w:rPr>
    </w:lvl>
  </w:abstractNum>
  <w:abstractNum w:abstractNumId="913" w15:restartNumberingAfterBreak="0">
    <w:nsid w:val="52E32082"/>
    <w:multiLevelType w:val="hybridMultilevel"/>
    <w:tmpl w:val="B5146CD6"/>
    <w:lvl w:ilvl="0" w:tplc="BFEE9B42">
      <w:numFmt w:val="bullet"/>
      <w:lvlText w:val="•"/>
      <w:lvlJc w:val="left"/>
      <w:pPr>
        <w:ind w:left="276" w:hanging="217"/>
      </w:pPr>
      <w:rPr>
        <w:rFonts w:ascii="Arial" w:eastAsia="Arial" w:hAnsi="Arial" w:cs="Arial" w:hint="default"/>
        <w:color w:val="231F20"/>
        <w:w w:val="97"/>
        <w:sz w:val="16"/>
        <w:szCs w:val="16"/>
        <w:lang w:val="en-GB" w:eastAsia="en-GB" w:bidi="en-GB"/>
      </w:rPr>
    </w:lvl>
    <w:lvl w:ilvl="1" w:tplc="B6904444">
      <w:numFmt w:val="bullet"/>
      <w:lvlText w:val="•"/>
      <w:lvlJc w:val="left"/>
      <w:pPr>
        <w:ind w:left="381" w:hanging="217"/>
      </w:pPr>
      <w:rPr>
        <w:rFonts w:hint="default"/>
        <w:lang w:val="en-GB" w:eastAsia="en-GB" w:bidi="en-GB"/>
      </w:rPr>
    </w:lvl>
    <w:lvl w:ilvl="2" w:tplc="5DEEF280">
      <w:numFmt w:val="bullet"/>
      <w:lvlText w:val="•"/>
      <w:lvlJc w:val="left"/>
      <w:pPr>
        <w:ind w:left="482" w:hanging="217"/>
      </w:pPr>
      <w:rPr>
        <w:rFonts w:hint="default"/>
        <w:lang w:val="en-GB" w:eastAsia="en-GB" w:bidi="en-GB"/>
      </w:rPr>
    </w:lvl>
    <w:lvl w:ilvl="3" w:tplc="D292A468">
      <w:numFmt w:val="bullet"/>
      <w:lvlText w:val="•"/>
      <w:lvlJc w:val="left"/>
      <w:pPr>
        <w:ind w:left="584" w:hanging="217"/>
      </w:pPr>
      <w:rPr>
        <w:rFonts w:hint="default"/>
        <w:lang w:val="en-GB" w:eastAsia="en-GB" w:bidi="en-GB"/>
      </w:rPr>
    </w:lvl>
    <w:lvl w:ilvl="4" w:tplc="A018431A">
      <w:numFmt w:val="bullet"/>
      <w:lvlText w:val="•"/>
      <w:lvlJc w:val="left"/>
      <w:pPr>
        <w:ind w:left="685" w:hanging="217"/>
      </w:pPr>
      <w:rPr>
        <w:rFonts w:hint="default"/>
        <w:lang w:val="en-GB" w:eastAsia="en-GB" w:bidi="en-GB"/>
      </w:rPr>
    </w:lvl>
    <w:lvl w:ilvl="5" w:tplc="C9B82370">
      <w:numFmt w:val="bullet"/>
      <w:lvlText w:val="•"/>
      <w:lvlJc w:val="left"/>
      <w:pPr>
        <w:ind w:left="787" w:hanging="217"/>
      </w:pPr>
      <w:rPr>
        <w:rFonts w:hint="default"/>
        <w:lang w:val="en-GB" w:eastAsia="en-GB" w:bidi="en-GB"/>
      </w:rPr>
    </w:lvl>
    <w:lvl w:ilvl="6" w:tplc="C1FA1852">
      <w:numFmt w:val="bullet"/>
      <w:lvlText w:val="•"/>
      <w:lvlJc w:val="left"/>
      <w:pPr>
        <w:ind w:left="888" w:hanging="217"/>
      </w:pPr>
      <w:rPr>
        <w:rFonts w:hint="default"/>
        <w:lang w:val="en-GB" w:eastAsia="en-GB" w:bidi="en-GB"/>
      </w:rPr>
    </w:lvl>
    <w:lvl w:ilvl="7" w:tplc="450C5CA2">
      <w:numFmt w:val="bullet"/>
      <w:lvlText w:val="•"/>
      <w:lvlJc w:val="left"/>
      <w:pPr>
        <w:ind w:left="989" w:hanging="217"/>
      </w:pPr>
      <w:rPr>
        <w:rFonts w:hint="default"/>
        <w:lang w:val="en-GB" w:eastAsia="en-GB" w:bidi="en-GB"/>
      </w:rPr>
    </w:lvl>
    <w:lvl w:ilvl="8" w:tplc="36DE60B4">
      <w:numFmt w:val="bullet"/>
      <w:lvlText w:val="•"/>
      <w:lvlJc w:val="left"/>
      <w:pPr>
        <w:ind w:left="1091" w:hanging="217"/>
      </w:pPr>
      <w:rPr>
        <w:rFonts w:hint="default"/>
        <w:lang w:val="en-GB" w:eastAsia="en-GB" w:bidi="en-GB"/>
      </w:rPr>
    </w:lvl>
  </w:abstractNum>
  <w:abstractNum w:abstractNumId="914" w15:restartNumberingAfterBreak="0">
    <w:nsid w:val="52EC005F"/>
    <w:multiLevelType w:val="hybridMultilevel"/>
    <w:tmpl w:val="BEEE2BCC"/>
    <w:lvl w:ilvl="0" w:tplc="8CF06D0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3B881D2C">
      <w:numFmt w:val="bullet"/>
      <w:lvlText w:val="•"/>
      <w:lvlJc w:val="left"/>
      <w:pPr>
        <w:ind w:left="473" w:hanging="217"/>
      </w:pPr>
      <w:rPr>
        <w:rFonts w:hint="default"/>
        <w:lang w:val="en-GB" w:eastAsia="en-GB" w:bidi="en-GB"/>
      </w:rPr>
    </w:lvl>
    <w:lvl w:ilvl="2" w:tplc="881ADB98">
      <w:numFmt w:val="bullet"/>
      <w:lvlText w:val="•"/>
      <w:lvlJc w:val="left"/>
      <w:pPr>
        <w:ind w:left="646" w:hanging="217"/>
      </w:pPr>
      <w:rPr>
        <w:rFonts w:hint="default"/>
        <w:lang w:val="en-GB" w:eastAsia="en-GB" w:bidi="en-GB"/>
      </w:rPr>
    </w:lvl>
    <w:lvl w:ilvl="3" w:tplc="E1AACAE4">
      <w:numFmt w:val="bullet"/>
      <w:lvlText w:val="•"/>
      <w:lvlJc w:val="left"/>
      <w:pPr>
        <w:ind w:left="819" w:hanging="217"/>
      </w:pPr>
      <w:rPr>
        <w:rFonts w:hint="default"/>
        <w:lang w:val="en-GB" w:eastAsia="en-GB" w:bidi="en-GB"/>
      </w:rPr>
    </w:lvl>
    <w:lvl w:ilvl="4" w:tplc="042AFA6A">
      <w:numFmt w:val="bullet"/>
      <w:lvlText w:val="•"/>
      <w:lvlJc w:val="left"/>
      <w:pPr>
        <w:ind w:left="992" w:hanging="217"/>
      </w:pPr>
      <w:rPr>
        <w:rFonts w:hint="default"/>
        <w:lang w:val="en-GB" w:eastAsia="en-GB" w:bidi="en-GB"/>
      </w:rPr>
    </w:lvl>
    <w:lvl w:ilvl="5" w:tplc="7F4CF06A">
      <w:numFmt w:val="bullet"/>
      <w:lvlText w:val="•"/>
      <w:lvlJc w:val="left"/>
      <w:pPr>
        <w:ind w:left="1165" w:hanging="217"/>
      </w:pPr>
      <w:rPr>
        <w:rFonts w:hint="default"/>
        <w:lang w:val="en-GB" w:eastAsia="en-GB" w:bidi="en-GB"/>
      </w:rPr>
    </w:lvl>
    <w:lvl w:ilvl="6" w:tplc="C6EE4BEE">
      <w:numFmt w:val="bullet"/>
      <w:lvlText w:val="•"/>
      <w:lvlJc w:val="left"/>
      <w:pPr>
        <w:ind w:left="1338" w:hanging="217"/>
      </w:pPr>
      <w:rPr>
        <w:rFonts w:hint="default"/>
        <w:lang w:val="en-GB" w:eastAsia="en-GB" w:bidi="en-GB"/>
      </w:rPr>
    </w:lvl>
    <w:lvl w:ilvl="7" w:tplc="36920592">
      <w:numFmt w:val="bullet"/>
      <w:lvlText w:val="•"/>
      <w:lvlJc w:val="left"/>
      <w:pPr>
        <w:ind w:left="1511" w:hanging="217"/>
      </w:pPr>
      <w:rPr>
        <w:rFonts w:hint="default"/>
        <w:lang w:val="en-GB" w:eastAsia="en-GB" w:bidi="en-GB"/>
      </w:rPr>
    </w:lvl>
    <w:lvl w:ilvl="8" w:tplc="04B4D166">
      <w:numFmt w:val="bullet"/>
      <w:lvlText w:val="•"/>
      <w:lvlJc w:val="left"/>
      <w:pPr>
        <w:ind w:left="1684" w:hanging="217"/>
      </w:pPr>
      <w:rPr>
        <w:rFonts w:hint="default"/>
        <w:lang w:val="en-GB" w:eastAsia="en-GB" w:bidi="en-GB"/>
      </w:rPr>
    </w:lvl>
  </w:abstractNum>
  <w:abstractNum w:abstractNumId="915" w15:restartNumberingAfterBreak="0">
    <w:nsid w:val="5300626E"/>
    <w:multiLevelType w:val="hybridMultilevel"/>
    <w:tmpl w:val="A3D24D88"/>
    <w:lvl w:ilvl="0" w:tplc="BBAAE1F0">
      <w:numFmt w:val="bullet"/>
      <w:lvlText w:val="•"/>
      <w:lvlJc w:val="left"/>
      <w:pPr>
        <w:ind w:left="305" w:hanging="217"/>
      </w:pPr>
      <w:rPr>
        <w:rFonts w:ascii="Arial" w:eastAsia="Arial" w:hAnsi="Arial" w:cs="Arial" w:hint="default"/>
        <w:color w:val="231F20"/>
        <w:w w:val="102"/>
        <w:sz w:val="17"/>
        <w:szCs w:val="17"/>
        <w:lang w:val="en-GB" w:eastAsia="en-GB" w:bidi="en-GB"/>
      </w:rPr>
    </w:lvl>
    <w:lvl w:ilvl="1" w:tplc="3D321EA0">
      <w:numFmt w:val="bullet"/>
      <w:lvlText w:val="•"/>
      <w:lvlJc w:val="left"/>
      <w:pPr>
        <w:ind w:left="892" w:hanging="217"/>
      </w:pPr>
      <w:rPr>
        <w:rFonts w:hint="default"/>
        <w:lang w:val="en-GB" w:eastAsia="en-GB" w:bidi="en-GB"/>
      </w:rPr>
    </w:lvl>
    <w:lvl w:ilvl="2" w:tplc="636238CA">
      <w:numFmt w:val="bullet"/>
      <w:lvlText w:val="•"/>
      <w:lvlJc w:val="left"/>
      <w:pPr>
        <w:ind w:left="1485" w:hanging="217"/>
      </w:pPr>
      <w:rPr>
        <w:rFonts w:hint="default"/>
        <w:lang w:val="en-GB" w:eastAsia="en-GB" w:bidi="en-GB"/>
      </w:rPr>
    </w:lvl>
    <w:lvl w:ilvl="3" w:tplc="E5A0DFA4">
      <w:numFmt w:val="bullet"/>
      <w:lvlText w:val="•"/>
      <w:lvlJc w:val="left"/>
      <w:pPr>
        <w:ind w:left="2077" w:hanging="217"/>
      </w:pPr>
      <w:rPr>
        <w:rFonts w:hint="default"/>
        <w:lang w:val="en-GB" w:eastAsia="en-GB" w:bidi="en-GB"/>
      </w:rPr>
    </w:lvl>
    <w:lvl w:ilvl="4" w:tplc="36C69E6E">
      <w:numFmt w:val="bullet"/>
      <w:lvlText w:val="•"/>
      <w:lvlJc w:val="left"/>
      <w:pPr>
        <w:ind w:left="2670" w:hanging="217"/>
      </w:pPr>
      <w:rPr>
        <w:rFonts w:hint="default"/>
        <w:lang w:val="en-GB" w:eastAsia="en-GB" w:bidi="en-GB"/>
      </w:rPr>
    </w:lvl>
    <w:lvl w:ilvl="5" w:tplc="5E1829BA">
      <w:numFmt w:val="bullet"/>
      <w:lvlText w:val="•"/>
      <w:lvlJc w:val="left"/>
      <w:pPr>
        <w:ind w:left="3263" w:hanging="217"/>
      </w:pPr>
      <w:rPr>
        <w:rFonts w:hint="default"/>
        <w:lang w:val="en-GB" w:eastAsia="en-GB" w:bidi="en-GB"/>
      </w:rPr>
    </w:lvl>
    <w:lvl w:ilvl="6" w:tplc="32569D20">
      <w:numFmt w:val="bullet"/>
      <w:lvlText w:val="•"/>
      <w:lvlJc w:val="left"/>
      <w:pPr>
        <w:ind w:left="3855" w:hanging="217"/>
      </w:pPr>
      <w:rPr>
        <w:rFonts w:hint="default"/>
        <w:lang w:val="en-GB" w:eastAsia="en-GB" w:bidi="en-GB"/>
      </w:rPr>
    </w:lvl>
    <w:lvl w:ilvl="7" w:tplc="4460A754">
      <w:numFmt w:val="bullet"/>
      <w:lvlText w:val="•"/>
      <w:lvlJc w:val="left"/>
      <w:pPr>
        <w:ind w:left="4448" w:hanging="217"/>
      </w:pPr>
      <w:rPr>
        <w:rFonts w:hint="default"/>
        <w:lang w:val="en-GB" w:eastAsia="en-GB" w:bidi="en-GB"/>
      </w:rPr>
    </w:lvl>
    <w:lvl w:ilvl="8" w:tplc="CAEA10EC">
      <w:numFmt w:val="bullet"/>
      <w:lvlText w:val="•"/>
      <w:lvlJc w:val="left"/>
      <w:pPr>
        <w:ind w:left="5040" w:hanging="217"/>
      </w:pPr>
      <w:rPr>
        <w:rFonts w:hint="default"/>
        <w:lang w:val="en-GB" w:eastAsia="en-GB" w:bidi="en-GB"/>
      </w:rPr>
    </w:lvl>
  </w:abstractNum>
  <w:abstractNum w:abstractNumId="916" w15:restartNumberingAfterBreak="0">
    <w:nsid w:val="53314B8B"/>
    <w:multiLevelType w:val="hybridMultilevel"/>
    <w:tmpl w:val="94CCBA1C"/>
    <w:lvl w:ilvl="0" w:tplc="45BCC55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7C8C5B6">
      <w:numFmt w:val="bullet"/>
      <w:lvlText w:val="•"/>
      <w:lvlJc w:val="left"/>
      <w:pPr>
        <w:ind w:left="541" w:hanging="217"/>
      </w:pPr>
      <w:rPr>
        <w:rFonts w:hint="default"/>
        <w:lang w:val="en-GB" w:eastAsia="en-GB" w:bidi="en-GB"/>
      </w:rPr>
    </w:lvl>
    <w:lvl w:ilvl="2" w:tplc="61F2F512">
      <w:numFmt w:val="bullet"/>
      <w:lvlText w:val="•"/>
      <w:lvlJc w:val="left"/>
      <w:pPr>
        <w:ind w:left="782" w:hanging="217"/>
      </w:pPr>
      <w:rPr>
        <w:rFonts w:hint="default"/>
        <w:lang w:val="en-GB" w:eastAsia="en-GB" w:bidi="en-GB"/>
      </w:rPr>
    </w:lvl>
    <w:lvl w:ilvl="3" w:tplc="738C2286">
      <w:numFmt w:val="bullet"/>
      <w:lvlText w:val="•"/>
      <w:lvlJc w:val="left"/>
      <w:pPr>
        <w:ind w:left="1023" w:hanging="217"/>
      </w:pPr>
      <w:rPr>
        <w:rFonts w:hint="default"/>
        <w:lang w:val="en-GB" w:eastAsia="en-GB" w:bidi="en-GB"/>
      </w:rPr>
    </w:lvl>
    <w:lvl w:ilvl="4" w:tplc="AF3C32B2">
      <w:numFmt w:val="bullet"/>
      <w:lvlText w:val="•"/>
      <w:lvlJc w:val="left"/>
      <w:pPr>
        <w:ind w:left="1264" w:hanging="217"/>
      </w:pPr>
      <w:rPr>
        <w:rFonts w:hint="default"/>
        <w:lang w:val="en-GB" w:eastAsia="en-GB" w:bidi="en-GB"/>
      </w:rPr>
    </w:lvl>
    <w:lvl w:ilvl="5" w:tplc="4104C516">
      <w:numFmt w:val="bullet"/>
      <w:lvlText w:val="•"/>
      <w:lvlJc w:val="left"/>
      <w:pPr>
        <w:ind w:left="1505" w:hanging="217"/>
      </w:pPr>
      <w:rPr>
        <w:rFonts w:hint="default"/>
        <w:lang w:val="en-GB" w:eastAsia="en-GB" w:bidi="en-GB"/>
      </w:rPr>
    </w:lvl>
    <w:lvl w:ilvl="6" w:tplc="4FAAB134">
      <w:numFmt w:val="bullet"/>
      <w:lvlText w:val="•"/>
      <w:lvlJc w:val="left"/>
      <w:pPr>
        <w:ind w:left="1746" w:hanging="217"/>
      </w:pPr>
      <w:rPr>
        <w:rFonts w:hint="default"/>
        <w:lang w:val="en-GB" w:eastAsia="en-GB" w:bidi="en-GB"/>
      </w:rPr>
    </w:lvl>
    <w:lvl w:ilvl="7" w:tplc="C77C6A70">
      <w:numFmt w:val="bullet"/>
      <w:lvlText w:val="•"/>
      <w:lvlJc w:val="left"/>
      <w:pPr>
        <w:ind w:left="1987" w:hanging="217"/>
      </w:pPr>
      <w:rPr>
        <w:rFonts w:hint="default"/>
        <w:lang w:val="en-GB" w:eastAsia="en-GB" w:bidi="en-GB"/>
      </w:rPr>
    </w:lvl>
    <w:lvl w:ilvl="8" w:tplc="C4F2262A">
      <w:numFmt w:val="bullet"/>
      <w:lvlText w:val="•"/>
      <w:lvlJc w:val="left"/>
      <w:pPr>
        <w:ind w:left="2228" w:hanging="217"/>
      </w:pPr>
      <w:rPr>
        <w:rFonts w:hint="default"/>
        <w:lang w:val="en-GB" w:eastAsia="en-GB" w:bidi="en-GB"/>
      </w:rPr>
    </w:lvl>
  </w:abstractNum>
  <w:abstractNum w:abstractNumId="917" w15:restartNumberingAfterBreak="0">
    <w:nsid w:val="5340134F"/>
    <w:multiLevelType w:val="hybridMultilevel"/>
    <w:tmpl w:val="CA501D46"/>
    <w:lvl w:ilvl="0" w:tplc="492EC91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AD4CDBE">
      <w:numFmt w:val="bullet"/>
      <w:lvlText w:val="•"/>
      <w:lvlJc w:val="left"/>
      <w:pPr>
        <w:ind w:left="1061" w:hanging="217"/>
      </w:pPr>
      <w:rPr>
        <w:rFonts w:hint="default"/>
        <w:lang w:val="en-GB" w:eastAsia="en-GB" w:bidi="en-GB"/>
      </w:rPr>
    </w:lvl>
    <w:lvl w:ilvl="2" w:tplc="8782F2D8">
      <w:numFmt w:val="bullet"/>
      <w:lvlText w:val="•"/>
      <w:lvlJc w:val="left"/>
      <w:pPr>
        <w:ind w:left="1823" w:hanging="217"/>
      </w:pPr>
      <w:rPr>
        <w:rFonts w:hint="default"/>
        <w:lang w:val="en-GB" w:eastAsia="en-GB" w:bidi="en-GB"/>
      </w:rPr>
    </w:lvl>
    <w:lvl w:ilvl="3" w:tplc="E4F4EC64">
      <w:numFmt w:val="bullet"/>
      <w:lvlText w:val="•"/>
      <w:lvlJc w:val="left"/>
      <w:pPr>
        <w:ind w:left="2585" w:hanging="217"/>
      </w:pPr>
      <w:rPr>
        <w:rFonts w:hint="default"/>
        <w:lang w:val="en-GB" w:eastAsia="en-GB" w:bidi="en-GB"/>
      </w:rPr>
    </w:lvl>
    <w:lvl w:ilvl="4" w:tplc="39CCCD0A">
      <w:numFmt w:val="bullet"/>
      <w:lvlText w:val="•"/>
      <w:lvlJc w:val="left"/>
      <w:pPr>
        <w:ind w:left="3346" w:hanging="217"/>
      </w:pPr>
      <w:rPr>
        <w:rFonts w:hint="default"/>
        <w:lang w:val="en-GB" w:eastAsia="en-GB" w:bidi="en-GB"/>
      </w:rPr>
    </w:lvl>
    <w:lvl w:ilvl="5" w:tplc="863ADC16">
      <w:numFmt w:val="bullet"/>
      <w:lvlText w:val="•"/>
      <w:lvlJc w:val="left"/>
      <w:pPr>
        <w:ind w:left="4108" w:hanging="217"/>
      </w:pPr>
      <w:rPr>
        <w:rFonts w:hint="default"/>
        <w:lang w:val="en-GB" w:eastAsia="en-GB" w:bidi="en-GB"/>
      </w:rPr>
    </w:lvl>
    <w:lvl w:ilvl="6" w:tplc="F21EEE46">
      <w:numFmt w:val="bullet"/>
      <w:lvlText w:val="•"/>
      <w:lvlJc w:val="left"/>
      <w:pPr>
        <w:ind w:left="4870" w:hanging="217"/>
      </w:pPr>
      <w:rPr>
        <w:rFonts w:hint="default"/>
        <w:lang w:val="en-GB" w:eastAsia="en-GB" w:bidi="en-GB"/>
      </w:rPr>
    </w:lvl>
    <w:lvl w:ilvl="7" w:tplc="7EA877AA">
      <w:numFmt w:val="bullet"/>
      <w:lvlText w:val="•"/>
      <w:lvlJc w:val="left"/>
      <w:pPr>
        <w:ind w:left="5631" w:hanging="217"/>
      </w:pPr>
      <w:rPr>
        <w:rFonts w:hint="default"/>
        <w:lang w:val="en-GB" w:eastAsia="en-GB" w:bidi="en-GB"/>
      </w:rPr>
    </w:lvl>
    <w:lvl w:ilvl="8" w:tplc="3006A748">
      <w:numFmt w:val="bullet"/>
      <w:lvlText w:val="•"/>
      <w:lvlJc w:val="left"/>
      <w:pPr>
        <w:ind w:left="6393" w:hanging="217"/>
      </w:pPr>
      <w:rPr>
        <w:rFonts w:hint="default"/>
        <w:lang w:val="en-GB" w:eastAsia="en-GB" w:bidi="en-GB"/>
      </w:rPr>
    </w:lvl>
  </w:abstractNum>
  <w:abstractNum w:abstractNumId="918" w15:restartNumberingAfterBreak="0">
    <w:nsid w:val="534D7FB9"/>
    <w:multiLevelType w:val="hybridMultilevel"/>
    <w:tmpl w:val="67C8BD30"/>
    <w:lvl w:ilvl="0" w:tplc="6A0CCE2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C1216AE">
      <w:numFmt w:val="bullet"/>
      <w:lvlText w:val="•"/>
      <w:lvlJc w:val="left"/>
      <w:pPr>
        <w:ind w:left="439" w:hanging="217"/>
      </w:pPr>
      <w:rPr>
        <w:rFonts w:hint="default"/>
        <w:lang w:val="en-GB" w:eastAsia="en-GB" w:bidi="en-GB"/>
      </w:rPr>
    </w:lvl>
    <w:lvl w:ilvl="2" w:tplc="5BBA753E">
      <w:numFmt w:val="bullet"/>
      <w:lvlText w:val="•"/>
      <w:lvlJc w:val="left"/>
      <w:pPr>
        <w:ind w:left="578" w:hanging="217"/>
      </w:pPr>
      <w:rPr>
        <w:rFonts w:hint="default"/>
        <w:lang w:val="en-GB" w:eastAsia="en-GB" w:bidi="en-GB"/>
      </w:rPr>
    </w:lvl>
    <w:lvl w:ilvl="3" w:tplc="29DEA43E">
      <w:numFmt w:val="bullet"/>
      <w:lvlText w:val="•"/>
      <w:lvlJc w:val="left"/>
      <w:pPr>
        <w:ind w:left="717" w:hanging="217"/>
      </w:pPr>
      <w:rPr>
        <w:rFonts w:hint="default"/>
        <w:lang w:val="en-GB" w:eastAsia="en-GB" w:bidi="en-GB"/>
      </w:rPr>
    </w:lvl>
    <w:lvl w:ilvl="4" w:tplc="5F0CE652">
      <w:numFmt w:val="bullet"/>
      <w:lvlText w:val="•"/>
      <w:lvlJc w:val="left"/>
      <w:pPr>
        <w:ind w:left="856" w:hanging="217"/>
      </w:pPr>
      <w:rPr>
        <w:rFonts w:hint="default"/>
        <w:lang w:val="en-GB" w:eastAsia="en-GB" w:bidi="en-GB"/>
      </w:rPr>
    </w:lvl>
    <w:lvl w:ilvl="5" w:tplc="9C004D96">
      <w:numFmt w:val="bullet"/>
      <w:lvlText w:val="•"/>
      <w:lvlJc w:val="left"/>
      <w:pPr>
        <w:ind w:left="995" w:hanging="217"/>
      </w:pPr>
      <w:rPr>
        <w:rFonts w:hint="default"/>
        <w:lang w:val="en-GB" w:eastAsia="en-GB" w:bidi="en-GB"/>
      </w:rPr>
    </w:lvl>
    <w:lvl w:ilvl="6" w:tplc="C3B468D4">
      <w:numFmt w:val="bullet"/>
      <w:lvlText w:val="•"/>
      <w:lvlJc w:val="left"/>
      <w:pPr>
        <w:ind w:left="1134" w:hanging="217"/>
      </w:pPr>
      <w:rPr>
        <w:rFonts w:hint="default"/>
        <w:lang w:val="en-GB" w:eastAsia="en-GB" w:bidi="en-GB"/>
      </w:rPr>
    </w:lvl>
    <w:lvl w:ilvl="7" w:tplc="22F69BC8">
      <w:numFmt w:val="bullet"/>
      <w:lvlText w:val="•"/>
      <w:lvlJc w:val="left"/>
      <w:pPr>
        <w:ind w:left="1273" w:hanging="217"/>
      </w:pPr>
      <w:rPr>
        <w:rFonts w:hint="default"/>
        <w:lang w:val="en-GB" w:eastAsia="en-GB" w:bidi="en-GB"/>
      </w:rPr>
    </w:lvl>
    <w:lvl w:ilvl="8" w:tplc="C584F2A6">
      <w:numFmt w:val="bullet"/>
      <w:lvlText w:val="•"/>
      <w:lvlJc w:val="left"/>
      <w:pPr>
        <w:ind w:left="1412" w:hanging="217"/>
      </w:pPr>
      <w:rPr>
        <w:rFonts w:hint="default"/>
        <w:lang w:val="en-GB" w:eastAsia="en-GB" w:bidi="en-GB"/>
      </w:rPr>
    </w:lvl>
  </w:abstractNum>
  <w:abstractNum w:abstractNumId="919" w15:restartNumberingAfterBreak="0">
    <w:nsid w:val="534F3E48"/>
    <w:multiLevelType w:val="hybridMultilevel"/>
    <w:tmpl w:val="0C628792"/>
    <w:lvl w:ilvl="0" w:tplc="64884520">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5310F4A4">
      <w:numFmt w:val="bullet"/>
      <w:lvlText w:val="•"/>
      <w:lvlJc w:val="left"/>
      <w:pPr>
        <w:ind w:left="892" w:hanging="217"/>
      </w:pPr>
      <w:rPr>
        <w:rFonts w:hint="default"/>
        <w:lang w:val="en-GB" w:eastAsia="en-GB" w:bidi="en-GB"/>
      </w:rPr>
    </w:lvl>
    <w:lvl w:ilvl="2" w:tplc="DAD245D8">
      <w:numFmt w:val="bullet"/>
      <w:lvlText w:val="•"/>
      <w:lvlJc w:val="left"/>
      <w:pPr>
        <w:ind w:left="1485" w:hanging="217"/>
      </w:pPr>
      <w:rPr>
        <w:rFonts w:hint="default"/>
        <w:lang w:val="en-GB" w:eastAsia="en-GB" w:bidi="en-GB"/>
      </w:rPr>
    </w:lvl>
    <w:lvl w:ilvl="3" w:tplc="C646E2E8">
      <w:numFmt w:val="bullet"/>
      <w:lvlText w:val="•"/>
      <w:lvlJc w:val="left"/>
      <w:pPr>
        <w:ind w:left="2077" w:hanging="217"/>
      </w:pPr>
      <w:rPr>
        <w:rFonts w:hint="default"/>
        <w:lang w:val="en-GB" w:eastAsia="en-GB" w:bidi="en-GB"/>
      </w:rPr>
    </w:lvl>
    <w:lvl w:ilvl="4" w:tplc="7DEC4864">
      <w:numFmt w:val="bullet"/>
      <w:lvlText w:val="•"/>
      <w:lvlJc w:val="left"/>
      <w:pPr>
        <w:ind w:left="2670" w:hanging="217"/>
      </w:pPr>
      <w:rPr>
        <w:rFonts w:hint="default"/>
        <w:lang w:val="en-GB" w:eastAsia="en-GB" w:bidi="en-GB"/>
      </w:rPr>
    </w:lvl>
    <w:lvl w:ilvl="5" w:tplc="7C649E2E">
      <w:numFmt w:val="bullet"/>
      <w:lvlText w:val="•"/>
      <w:lvlJc w:val="left"/>
      <w:pPr>
        <w:ind w:left="3263" w:hanging="217"/>
      </w:pPr>
      <w:rPr>
        <w:rFonts w:hint="default"/>
        <w:lang w:val="en-GB" w:eastAsia="en-GB" w:bidi="en-GB"/>
      </w:rPr>
    </w:lvl>
    <w:lvl w:ilvl="6" w:tplc="B526ECF0">
      <w:numFmt w:val="bullet"/>
      <w:lvlText w:val="•"/>
      <w:lvlJc w:val="left"/>
      <w:pPr>
        <w:ind w:left="3855" w:hanging="217"/>
      </w:pPr>
      <w:rPr>
        <w:rFonts w:hint="default"/>
        <w:lang w:val="en-GB" w:eastAsia="en-GB" w:bidi="en-GB"/>
      </w:rPr>
    </w:lvl>
    <w:lvl w:ilvl="7" w:tplc="5D7E3002">
      <w:numFmt w:val="bullet"/>
      <w:lvlText w:val="•"/>
      <w:lvlJc w:val="left"/>
      <w:pPr>
        <w:ind w:left="4448" w:hanging="217"/>
      </w:pPr>
      <w:rPr>
        <w:rFonts w:hint="default"/>
        <w:lang w:val="en-GB" w:eastAsia="en-GB" w:bidi="en-GB"/>
      </w:rPr>
    </w:lvl>
    <w:lvl w:ilvl="8" w:tplc="3FD8B2EC">
      <w:numFmt w:val="bullet"/>
      <w:lvlText w:val="•"/>
      <w:lvlJc w:val="left"/>
      <w:pPr>
        <w:ind w:left="5040" w:hanging="217"/>
      </w:pPr>
      <w:rPr>
        <w:rFonts w:hint="default"/>
        <w:lang w:val="en-GB" w:eastAsia="en-GB" w:bidi="en-GB"/>
      </w:rPr>
    </w:lvl>
  </w:abstractNum>
  <w:abstractNum w:abstractNumId="920" w15:restartNumberingAfterBreak="0">
    <w:nsid w:val="53565CBA"/>
    <w:multiLevelType w:val="hybridMultilevel"/>
    <w:tmpl w:val="1C508456"/>
    <w:lvl w:ilvl="0" w:tplc="4EC8C65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01E86AA">
      <w:numFmt w:val="bullet"/>
      <w:lvlText w:val="•"/>
      <w:lvlJc w:val="left"/>
      <w:pPr>
        <w:ind w:left="473" w:hanging="217"/>
      </w:pPr>
      <w:rPr>
        <w:rFonts w:hint="default"/>
        <w:lang w:val="en-GB" w:eastAsia="en-GB" w:bidi="en-GB"/>
      </w:rPr>
    </w:lvl>
    <w:lvl w:ilvl="2" w:tplc="BCE41DA8">
      <w:numFmt w:val="bullet"/>
      <w:lvlText w:val="•"/>
      <w:lvlJc w:val="left"/>
      <w:pPr>
        <w:ind w:left="646" w:hanging="217"/>
      </w:pPr>
      <w:rPr>
        <w:rFonts w:hint="default"/>
        <w:lang w:val="en-GB" w:eastAsia="en-GB" w:bidi="en-GB"/>
      </w:rPr>
    </w:lvl>
    <w:lvl w:ilvl="3" w:tplc="3E3620D2">
      <w:numFmt w:val="bullet"/>
      <w:lvlText w:val="•"/>
      <w:lvlJc w:val="left"/>
      <w:pPr>
        <w:ind w:left="819" w:hanging="217"/>
      </w:pPr>
      <w:rPr>
        <w:rFonts w:hint="default"/>
        <w:lang w:val="en-GB" w:eastAsia="en-GB" w:bidi="en-GB"/>
      </w:rPr>
    </w:lvl>
    <w:lvl w:ilvl="4" w:tplc="671033CC">
      <w:numFmt w:val="bullet"/>
      <w:lvlText w:val="•"/>
      <w:lvlJc w:val="left"/>
      <w:pPr>
        <w:ind w:left="992" w:hanging="217"/>
      </w:pPr>
      <w:rPr>
        <w:rFonts w:hint="default"/>
        <w:lang w:val="en-GB" w:eastAsia="en-GB" w:bidi="en-GB"/>
      </w:rPr>
    </w:lvl>
    <w:lvl w:ilvl="5" w:tplc="6EA8B436">
      <w:numFmt w:val="bullet"/>
      <w:lvlText w:val="•"/>
      <w:lvlJc w:val="left"/>
      <w:pPr>
        <w:ind w:left="1165" w:hanging="217"/>
      </w:pPr>
      <w:rPr>
        <w:rFonts w:hint="default"/>
        <w:lang w:val="en-GB" w:eastAsia="en-GB" w:bidi="en-GB"/>
      </w:rPr>
    </w:lvl>
    <w:lvl w:ilvl="6" w:tplc="32D0D308">
      <w:numFmt w:val="bullet"/>
      <w:lvlText w:val="•"/>
      <w:lvlJc w:val="left"/>
      <w:pPr>
        <w:ind w:left="1338" w:hanging="217"/>
      </w:pPr>
      <w:rPr>
        <w:rFonts w:hint="default"/>
        <w:lang w:val="en-GB" w:eastAsia="en-GB" w:bidi="en-GB"/>
      </w:rPr>
    </w:lvl>
    <w:lvl w:ilvl="7" w:tplc="8F682AA4">
      <w:numFmt w:val="bullet"/>
      <w:lvlText w:val="•"/>
      <w:lvlJc w:val="left"/>
      <w:pPr>
        <w:ind w:left="1511" w:hanging="217"/>
      </w:pPr>
      <w:rPr>
        <w:rFonts w:hint="default"/>
        <w:lang w:val="en-GB" w:eastAsia="en-GB" w:bidi="en-GB"/>
      </w:rPr>
    </w:lvl>
    <w:lvl w:ilvl="8" w:tplc="629A4DD8">
      <w:numFmt w:val="bullet"/>
      <w:lvlText w:val="•"/>
      <w:lvlJc w:val="left"/>
      <w:pPr>
        <w:ind w:left="1684" w:hanging="217"/>
      </w:pPr>
      <w:rPr>
        <w:rFonts w:hint="default"/>
        <w:lang w:val="en-GB" w:eastAsia="en-GB" w:bidi="en-GB"/>
      </w:rPr>
    </w:lvl>
  </w:abstractNum>
  <w:abstractNum w:abstractNumId="921" w15:restartNumberingAfterBreak="0">
    <w:nsid w:val="53650074"/>
    <w:multiLevelType w:val="hybridMultilevel"/>
    <w:tmpl w:val="26141058"/>
    <w:lvl w:ilvl="0" w:tplc="45BA6DD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54428A2">
      <w:numFmt w:val="bullet"/>
      <w:lvlText w:val="•"/>
      <w:lvlJc w:val="left"/>
      <w:pPr>
        <w:ind w:left="473" w:hanging="217"/>
      </w:pPr>
      <w:rPr>
        <w:rFonts w:hint="default"/>
        <w:lang w:val="en-GB" w:eastAsia="en-GB" w:bidi="en-GB"/>
      </w:rPr>
    </w:lvl>
    <w:lvl w:ilvl="2" w:tplc="353EE848">
      <w:numFmt w:val="bullet"/>
      <w:lvlText w:val="•"/>
      <w:lvlJc w:val="left"/>
      <w:pPr>
        <w:ind w:left="646" w:hanging="217"/>
      </w:pPr>
      <w:rPr>
        <w:rFonts w:hint="default"/>
        <w:lang w:val="en-GB" w:eastAsia="en-GB" w:bidi="en-GB"/>
      </w:rPr>
    </w:lvl>
    <w:lvl w:ilvl="3" w:tplc="C43CD8FA">
      <w:numFmt w:val="bullet"/>
      <w:lvlText w:val="•"/>
      <w:lvlJc w:val="left"/>
      <w:pPr>
        <w:ind w:left="819" w:hanging="217"/>
      </w:pPr>
      <w:rPr>
        <w:rFonts w:hint="default"/>
        <w:lang w:val="en-GB" w:eastAsia="en-GB" w:bidi="en-GB"/>
      </w:rPr>
    </w:lvl>
    <w:lvl w:ilvl="4" w:tplc="84CAB486">
      <w:numFmt w:val="bullet"/>
      <w:lvlText w:val="•"/>
      <w:lvlJc w:val="left"/>
      <w:pPr>
        <w:ind w:left="992" w:hanging="217"/>
      </w:pPr>
      <w:rPr>
        <w:rFonts w:hint="default"/>
        <w:lang w:val="en-GB" w:eastAsia="en-GB" w:bidi="en-GB"/>
      </w:rPr>
    </w:lvl>
    <w:lvl w:ilvl="5" w:tplc="219CB328">
      <w:numFmt w:val="bullet"/>
      <w:lvlText w:val="•"/>
      <w:lvlJc w:val="left"/>
      <w:pPr>
        <w:ind w:left="1165" w:hanging="217"/>
      </w:pPr>
      <w:rPr>
        <w:rFonts w:hint="default"/>
        <w:lang w:val="en-GB" w:eastAsia="en-GB" w:bidi="en-GB"/>
      </w:rPr>
    </w:lvl>
    <w:lvl w:ilvl="6" w:tplc="7D0C970A">
      <w:numFmt w:val="bullet"/>
      <w:lvlText w:val="•"/>
      <w:lvlJc w:val="left"/>
      <w:pPr>
        <w:ind w:left="1338" w:hanging="217"/>
      </w:pPr>
      <w:rPr>
        <w:rFonts w:hint="default"/>
        <w:lang w:val="en-GB" w:eastAsia="en-GB" w:bidi="en-GB"/>
      </w:rPr>
    </w:lvl>
    <w:lvl w:ilvl="7" w:tplc="F086E2D0">
      <w:numFmt w:val="bullet"/>
      <w:lvlText w:val="•"/>
      <w:lvlJc w:val="left"/>
      <w:pPr>
        <w:ind w:left="1511" w:hanging="217"/>
      </w:pPr>
      <w:rPr>
        <w:rFonts w:hint="default"/>
        <w:lang w:val="en-GB" w:eastAsia="en-GB" w:bidi="en-GB"/>
      </w:rPr>
    </w:lvl>
    <w:lvl w:ilvl="8" w:tplc="C6006454">
      <w:numFmt w:val="bullet"/>
      <w:lvlText w:val="•"/>
      <w:lvlJc w:val="left"/>
      <w:pPr>
        <w:ind w:left="1684" w:hanging="217"/>
      </w:pPr>
      <w:rPr>
        <w:rFonts w:hint="default"/>
        <w:lang w:val="en-GB" w:eastAsia="en-GB" w:bidi="en-GB"/>
      </w:rPr>
    </w:lvl>
  </w:abstractNum>
  <w:abstractNum w:abstractNumId="922" w15:restartNumberingAfterBreak="0">
    <w:nsid w:val="53720027"/>
    <w:multiLevelType w:val="hybridMultilevel"/>
    <w:tmpl w:val="15E07B86"/>
    <w:lvl w:ilvl="0" w:tplc="2530FC4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7E008A6">
      <w:numFmt w:val="bullet"/>
      <w:lvlText w:val="•"/>
      <w:lvlJc w:val="left"/>
      <w:pPr>
        <w:ind w:left="473" w:hanging="217"/>
      </w:pPr>
      <w:rPr>
        <w:rFonts w:hint="default"/>
        <w:lang w:val="en-GB" w:eastAsia="en-GB" w:bidi="en-GB"/>
      </w:rPr>
    </w:lvl>
    <w:lvl w:ilvl="2" w:tplc="28D2576E">
      <w:numFmt w:val="bullet"/>
      <w:lvlText w:val="•"/>
      <w:lvlJc w:val="left"/>
      <w:pPr>
        <w:ind w:left="646" w:hanging="217"/>
      </w:pPr>
      <w:rPr>
        <w:rFonts w:hint="default"/>
        <w:lang w:val="en-GB" w:eastAsia="en-GB" w:bidi="en-GB"/>
      </w:rPr>
    </w:lvl>
    <w:lvl w:ilvl="3" w:tplc="6EE4B640">
      <w:numFmt w:val="bullet"/>
      <w:lvlText w:val="•"/>
      <w:lvlJc w:val="left"/>
      <w:pPr>
        <w:ind w:left="819" w:hanging="217"/>
      </w:pPr>
      <w:rPr>
        <w:rFonts w:hint="default"/>
        <w:lang w:val="en-GB" w:eastAsia="en-GB" w:bidi="en-GB"/>
      </w:rPr>
    </w:lvl>
    <w:lvl w:ilvl="4" w:tplc="6A9A2C6E">
      <w:numFmt w:val="bullet"/>
      <w:lvlText w:val="•"/>
      <w:lvlJc w:val="left"/>
      <w:pPr>
        <w:ind w:left="992" w:hanging="217"/>
      </w:pPr>
      <w:rPr>
        <w:rFonts w:hint="default"/>
        <w:lang w:val="en-GB" w:eastAsia="en-GB" w:bidi="en-GB"/>
      </w:rPr>
    </w:lvl>
    <w:lvl w:ilvl="5" w:tplc="F5A0A61E">
      <w:numFmt w:val="bullet"/>
      <w:lvlText w:val="•"/>
      <w:lvlJc w:val="left"/>
      <w:pPr>
        <w:ind w:left="1165" w:hanging="217"/>
      </w:pPr>
      <w:rPr>
        <w:rFonts w:hint="default"/>
        <w:lang w:val="en-GB" w:eastAsia="en-GB" w:bidi="en-GB"/>
      </w:rPr>
    </w:lvl>
    <w:lvl w:ilvl="6" w:tplc="58A085CC">
      <w:numFmt w:val="bullet"/>
      <w:lvlText w:val="•"/>
      <w:lvlJc w:val="left"/>
      <w:pPr>
        <w:ind w:left="1338" w:hanging="217"/>
      </w:pPr>
      <w:rPr>
        <w:rFonts w:hint="default"/>
        <w:lang w:val="en-GB" w:eastAsia="en-GB" w:bidi="en-GB"/>
      </w:rPr>
    </w:lvl>
    <w:lvl w:ilvl="7" w:tplc="472E2F4A">
      <w:numFmt w:val="bullet"/>
      <w:lvlText w:val="•"/>
      <w:lvlJc w:val="left"/>
      <w:pPr>
        <w:ind w:left="1511" w:hanging="217"/>
      </w:pPr>
      <w:rPr>
        <w:rFonts w:hint="default"/>
        <w:lang w:val="en-GB" w:eastAsia="en-GB" w:bidi="en-GB"/>
      </w:rPr>
    </w:lvl>
    <w:lvl w:ilvl="8" w:tplc="A920CECA">
      <w:numFmt w:val="bullet"/>
      <w:lvlText w:val="•"/>
      <w:lvlJc w:val="left"/>
      <w:pPr>
        <w:ind w:left="1684" w:hanging="217"/>
      </w:pPr>
      <w:rPr>
        <w:rFonts w:hint="default"/>
        <w:lang w:val="en-GB" w:eastAsia="en-GB" w:bidi="en-GB"/>
      </w:rPr>
    </w:lvl>
  </w:abstractNum>
  <w:abstractNum w:abstractNumId="923" w15:restartNumberingAfterBreak="0">
    <w:nsid w:val="53787451"/>
    <w:multiLevelType w:val="hybridMultilevel"/>
    <w:tmpl w:val="368ABDDA"/>
    <w:lvl w:ilvl="0" w:tplc="F5C0798A">
      <w:numFmt w:val="bullet"/>
      <w:lvlText w:val="•"/>
      <w:lvlJc w:val="left"/>
      <w:pPr>
        <w:ind w:left="305" w:hanging="217"/>
      </w:pPr>
      <w:rPr>
        <w:rFonts w:ascii="Arial" w:eastAsia="Arial" w:hAnsi="Arial" w:cs="Arial" w:hint="default"/>
        <w:color w:val="231F20"/>
        <w:spacing w:val="-14"/>
        <w:w w:val="100"/>
        <w:sz w:val="18"/>
        <w:szCs w:val="18"/>
        <w:lang w:val="en-GB" w:eastAsia="en-GB" w:bidi="en-GB"/>
      </w:rPr>
    </w:lvl>
    <w:lvl w:ilvl="1" w:tplc="06C07308">
      <w:numFmt w:val="bullet"/>
      <w:lvlText w:val="•"/>
      <w:lvlJc w:val="left"/>
      <w:pPr>
        <w:ind w:left="893" w:hanging="217"/>
      </w:pPr>
      <w:rPr>
        <w:rFonts w:hint="default"/>
        <w:lang w:val="en-GB" w:eastAsia="en-GB" w:bidi="en-GB"/>
      </w:rPr>
    </w:lvl>
    <w:lvl w:ilvl="2" w:tplc="81EEF6DA">
      <w:numFmt w:val="bullet"/>
      <w:lvlText w:val="•"/>
      <w:lvlJc w:val="left"/>
      <w:pPr>
        <w:ind w:left="1486" w:hanging="217"/>
      </w:pPr>
      <w:rPr>
        <w:rFonts w:hint="default"/>
        <w:lang w:val="en-GB" w:eastAsia="en-GB" w:bidi="en-GB"/>
      </w:rPr>
    </w:lvl>
    <w:lvl w:ilvl="3" w:tplc="8EDC21F4">
      <w:numFmt w:val="bullet"/>
      <w:lvlText w:val="•"/>
      <w:lvlJc w:val="left"/>
      <w:pPr>
        <w:ind w:left="2079" w:hanging="217"/>
      </w:pPr>
      <w:rPr>
        <w:rFonts w:hint="default"/>
        <w:lang w:val="en-GB" w:eastAsia="en-GB" w:bidi="en-GB"/>
      </w:rPr>
    </w:lvl>
    <w:lvl w:ilvl="4" w:tplc="D42406EA">
      <w:numFmt w:val="bullet"/>
      <w:lvlText w:val="•"/>
      <w:lvlJc w:val="left"/>
      <w:pPr>
        <w:ind w:left="2672" w:hanging="217"/>
      </w:pPr>
      <w:rPr>
        <w:rFonts w:hint="default"/>
        <w:lang w:val="en-GB" w:eastAsia="en-GB" w:bidi="en-GB"/>
      </w:rPr>
    </w:lvl>
    <w:lvl w:ilvl="5" w:tplc="B1B86166">
      <w:numFmt w:val="bullet"/>
      <w:lvlText w:val="•"/>
      <w:lvlJc w:val="left"/>
      <w:pPr>
        <w:ind w:left="3265" w:hanging="217"/>
      </w:pPr>
      <w:rPr>
        <w:rFonts w:hint="default"/>
        <w:lang w:val="en-GB" w:eastAsia="en-GB" w:bidi="en-GB"/>
      </w:rPr>
    </w:lvl>
    <w:lvl w:ilvl="6" w:tplc="F7204C74">
      <w:numFmt w:val="bullet"/>
      <w:lvlText w:val="•"/>
      <w:lvlJc w:val="left"/>
      <w:pPr>
        <w:ind w:left="3858" w:hanging="217"/>
      </w:pPr>
      <w:rPr>
        <w:rFonts w:hint="default"/>
        <w:lang w:val="en-GB" w:eastAsia="en-GB" w:bidi="en-GB"/>
      </w:rPr>
    </w:lvl>
    <w:lvl w:ilvl="7" w:tplc="56265CB8">
      <w:numFmt w:val="bullet"/>
      <w:lvlText w:val="•"/>
      <w:lvlJc w:val="left"/>
      <w:pPr>
        <w:ind w:left="4451" w:hanging="217"/>
      </w:pPr>
      <w:rPr>
        <w:rFonts w:hint="default"/>
        <w:lang w:val="en-GB" w:eastAsia="en-GB" w:bidi="en-GB"/>
      </w:rPr>
    </w:lvl>
    <w:lvl w:ilvl="8" w:tplc="86447A7A">
      <w:numFmt w:val="bullet"/>
      <w:lvlText w:val="•"/>
      <w:lvlJc w:val="left"/>
      <w:pPr>
        <w:ind w:left="5044" w:hanging="217"/>
      </w:pPr>
      <w:rPr>
        <w:rFonts w:hint="default"/>
        <w:lang w:val="en-GB" w:eastAsia="en-GB" w:bidi="en-GB"/>
      </w:rPr>
    </w:lvl>
  </w:abstractNum>
  <w:abstractNum w:abstractNumId="924" w15:restartNumberingAfterBreak="0">
    <w:nsid w:val="53792042"/>
    <w:multiLevelType w:val="hybridMultilevel"/>
    <w:tmpl w:val="9300E5FC"/>
    <w:lvl w:ilvl="0" w:tplc="B8A8A34E">
      <w:numFmt w:val="bullet"/>
      <w:lvlText w:val="•"/>
      <w:lvlJc w:val="left"/>
      <w:pPr>
        <w:ind w:left="305" w:hanging="217"/>
      </w:pPr>
      <w:rPr>
        <w:rFonts w:ascii="Arial" w:eastAsia="Arial" w:hAnsi="Arial" w:cs="Arial" w:hint="default"/>
        <w:color w:val="231F20"/>
        <w:w w:val="102"/>
        <w:sz w:val="17"/>
        <w:szCs w:val="17"/>
        <w:lang w:val="en-GB" w:eastAsia="en-GB" w:bidi="en-GB"/>
      </w:rPr>
    </w:lvl>
    <w:lvl w:ilvl="1" w:tplc="7B9C71B8">
      <w:numFmt w:val="bullet"/>
      <w:lvlText w:val="•"/>
      <w:lvlJc w:val="left"/>
      <w:pPr>
        <w:ind w:left="892" w:hanging="217"/>
      </w:pPr>
      <w:rPr>
        <w:rFonts w:hint="default"/>
        <w:lang w:val="en-GB" w:eastAsia="en-GB" w:bidi="en-GB"/>
      </w:rPr>
    </w:lvl>
    <w:lvl w:ilvl="2" w:tplc="041CE3FE">
      <w:numFmt w:val="bullet"/>
      <w:lvlText w:val="•"/>
      <w:lvlJc w:val="left"/>
      <w:pPr>
        <w:ind w:left="1485" w:hanging="217"/>
      </w:pPr>
      <w:rPr>
        <w:rFonts w:hint="default"/>
        <w:lang w:val="en-GB" w:eastAsia="en-GB" w:bidi="en-GB"/>
      </w:rPr>
    </w:lvl>
    <w:lvl w:ilvl="3" w:tplc="2960C302">
      <w:numFmt w:val="bullet"/>
      <w:lvlText w:val="•"/>
      <w:lvlJc w:val="left"/>
      <w:pPr>
        <w:ind w:left="2077" w:hanging="217"/>
      </w:pPr>
      <w:rPr>
        <w:rFonts w:hint="default"/>
        <w:lang w:val="en-GB" w:eastAsia="en-GB" w:bidi="en-GB"/>
      </w:rPr>
    </w:lvl>
    <w:lvl w:ilvl="4" w:tplc="D5C8EA42">
      <w:numFmt w:val="bullet"/>
      <w:lvlText w:val="•"/>
      <w:lvlJc w:val="left"/>
      <w:pPr>
        <w:ind w:left="2670" w:hanging="217"/>
      </w:pPr>
      <w:rPr>
        <w:rFonts w:hint="default"/>
        <w:lang w:val="en-GB" w:eastAsia="en-GB" w:bidi="en-GB"/>
      </w:rPr>
    </w:lvl>
    <w:lvl w:ilvl="5" w:tplc="A6F23FA6">
      <w:numFmt w:val="bullet"/>
      <w:lvlText w:val="•"/>
      <w:lvlJc w:val="left"/>
      <w:pPr>
        <w:ind w:left="3263" w:hanging="217"/>
      </w:pPr>
      <w:rPr>
        <w:rFonts w:hint="default"/>
        <w:lang w:val="en-GB" w:eastAsia="en-GB" w:bidi="en-GB"/>
      </w:rPr>
    </w:lvl>
    <w:lvl w:ilvl="6" w:tplc="3B023C4E">
      <w:numFmt w:val="bullet"/>
      <w:lvlText w:val="•"/>
      <w:lvlJc w:val="left"/>
      <w:pPr>
        <w:ind w:left="3855" w:hanging="217"/>
      </w:pPr>
      <w:rPr>
        <w:rFonts w:hint="default"/>
        <w:lang w:val="en-GB" w:eastAsia="en-GB" w:bidi="en-GB"/>
      </w:rPr>
    </w:lvl>
    <w:lvl w:ilvl="7" w:tplc="CF90870E">
      <w:numFmt w:val="bullet"/>
      <w:lvlText w:val="•"/>
      <w:lvlJc w:val="left"/>
      <w:pPr>
        <w:ind w:left="4448" w:hanging="217"/>
      </w:pPr>
      <w:rPr>
        <w:rFonts w:hint="default"/>
        <w:lang w:val="en-GB" w:eastAsia="en-GB" w:bidi="en-GB"/>
      </w:rPr>
    </w:lvl>
    <w:lvl w:ilvl="8" w:tplc="C4208D80">
      <w:numFmt w:val="bullet"/>
      <w:lvlText w:val="•"/>
      <w:lvlJc w:val="left"/>
      <w:pPr>
        <w:ind w:left="5040" w:hanging="217"/>
      </w:pPr>
      <w:rPr>
        <w:rFonts w:hint="default"/>
        <w:lang w:val="en-GB" w:eastAsia="en-GB" w:bidi="en-GB"/>
      </w:rPr>
    </w:lvl>
  </w:abstractNum>
  <w:abstractNum w:abstractNumId="925" w15:restartNumberingAfterBreak="0">
    <w:nsid w:val="538D0F39"/>
    <w:multiLevelType w:val="hybridMultilevel"/>
    <w:tmpl w:val="7E449D08"/>
    <w:lvl w:ilvl="0" w:tplc="D49A98A0">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B4E2B494">
      <w:numFmt w:val="bullet"/>
      <w:lvlText w:val="•"/>
      <w:lvlJc w:val="left"/>
      <w:pPr>
        <w:ind w:left="892" w:hanging="217"/>
      </w:pPr>
      <w:rPr>
        <w:rFonts w:hint="default"/>
        <w:lang w:val="en-GB" w:eastAsia="en-GB" w:bidi="en-GB"/>
      </w:rPr>
    </w:lvl>
    <w:lvl w:ilvl="2" w:tplc="477CF60C">
      <w:numFmt w:val="bullet"/>
      <w:lvlText w:val="•"/>
      <w:lvlJc w:val="left"/>
      <w:pPr>
        <w:ind w:left="1485" w:hanging="217"/>
      </w:pPr>
      <w:rPr>
        <w:rFonts w:hint="default"/>
        <w:lang w:val="en-GB" w:eastAsia="en-GB" w:bidi="en-GB"/>
      </w:rPr>
    </w:lvl>
    <w:lvl w:ilvl="3" w:tplc="F5D21B96">
      <w:numFmt w:val="bullet"/>
      <w:lvlText w:val="•"/>
      <w:lvlJc w:val="left"/>
      <w:pPr>
        <w:ind w:left="2077" w:hanging="217"/>
      </w:pPr>
      <w:rPr>
        <w:rFonts w:hint="default"/>
        <w:lang w:val="en-GB" w:eastAsia="en-GB" w:bidi="en-GB"/>
      </w:rPr>
    </w:lvl>
    <w:lvl w:ilvl="4" w:tplc="CA6C1D4E">
      <w:numFmt w:val="bullet"/>
      <w:lvlText w:val="•"/>
      <w:lvlJc w:val="left"/>
      <w:pPr>
        <w:ind w:left="2670" w:hanging="217"/>
      </w:pPr>
      <w:rPr>
        <w:rFonts w:hint="default"/>
        <w:lang w:val="en-GB" w:eastAsia="en-GB" w:bidi="en-GB"/>
      </w:rPr>
    </w:lvl>
    <w:lvl w:ilvl="5" w:tplc="C37E6186">
      <w:numFmt w:val="bullet"/>
      <w:lvlText w:val="•"/>
      <w:lvlJc w:val="left"/>
      <w:pPr>
        <w:ind w:left="3263" w:hanging="217"/>
      </w:pPr>
      <w:rPr>
        <w:rFonts w:hint="default"/>
        <w:lang w:val="en-GB" w:eastAsia="en-GB" w:bidi="en-GB"/>
      </w:rPr>
    </w:lvl>
    <w:lvl w:ilvl="6" w:tplc="C528425C">
      <w:numFmt w:val="bullet"/>
      <w:lvlText w:val="•"/>
      <w:lvlJc w:val="left"/>
      <w:pPr>
        <w:ind w:left="3855" w:hanging="217"/>
      </w:pPr>
      <w:rPr>
        <w:rFonts w:hint="default"/>
        <w:lang w:val="en-GB" w:eastAsia="en-GB" w:bidi="en-GB"/>
      </w:rPr>
    </w:lvl>
    <w:lvl w:ilvl="7" w:tplc="3DA2DAEA">
      <w:numFmt w:val="bullet"/>
      <w:lvlText w:val="•"/>
      <w:lvlJc w:val="left"/>
      <w:pPr>
        <w:ind w:left="4448" w:hanging="217"/>
      </w:pPr>
      <w:rPr>
        <w:rFonts w:hint="default"/>
        <w:lang w:val="en-GB" w:eastAsia="en-GB" w:bidi="en-GB"/>
      </w:rPr>
    </w:lvl>
    <w:lvl w:ilvl="8" w:tplc="E7E609AE">
      <w:numFmt w:val="bullet"/>
      <w:lvlText w:val="•"/>
      <w:lvlJc w:val="left"/>
      <w:pPr>
        <w:ind w:left="5040" w:hanging="217"/>
      </w:pPr>
      <w:rPr>
        <w:rFonts w:hint="default"/>
        <w:lang w:val="en-GB" w:eastAsia="en-GB" w:bidi="en-GB"/>
      </w:rPr>
    </w:lvl>
  </w:abstractNum>
  <w:abstractNum w:abstractNumId="926" w15:restartNumberingAfterBreak="0">
    <w:nsid w:val="53D01DFC"/>
    <w:multiLevelType w:val="hybridMultilevel"/>
    <w:tmpl w:val="E85A4B1C"/>
    <w:lvl w:ilvl="0" w:tplc="DEFCE30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EECCEC8">
      <w:numFmt w:val="bullet"/>
      <w:lvlText w:val="•"/>
      <w:lvlJc w:val="left"/>
      <w:pPr>
        <w:ind w:left="439" w:hanging="217"/>
      </w:pPr>
      <w:rPr>
        <w:rFonts w:hint="default"/>
        <w:lang w:val="en-GB" w:eastAsia="en-GB" w:bidi="en-GB"/>
      </w:rPr>
    </w:lvl>
    <w:lvl w:ilvl="2" w:tplc="7F16FBB6">
      <w:numFmt w:val="bullet"/>
      <w:lvlText w:val="•"/>
      <w:lvlJc w:val="left"/>
      <w:pPr>
        <w:ind w:left="578" w:hanging="217"/>
      </w:pPr>
      <w:rPr>
        <w:rFonts w:hint="default"/>
        <w:lang w:val="en-GB" w:eastAsia="en-GB" w:bidi="en-GB"/>
      </w:rPr>
    </w:lvl>
    <w:lvl w:ilvl="3" w:tplc="03CC1986">
      <w:numFmt w:val="bullet"/>
      <w:lvlText w:val="•"/>
      <w:lvlJc w:val="left"/>
      <w:pPr>
        <w:ind w:left="717" w:hanging="217"/>
      </w:pPr>
      <w:rPr>
        <w:rFonts w:hint="default"/>
        <w:lang w:val="en-GB" w:eastAsia="en-GB" w:bidi="en-GB"/>
      </w:rPr>
    </w:lvl>
    <w:lvl w:ilvl="4" w:tplc="A04E6CA4">
      <w:numFmt w:val="bullet"/>
      <w:lvlText w:val="•"/>
      <w:lvlJc w:val="left"/>
      <w:pPr>
        <w:ind w:left="856" w:hanging="217"/>
      </w:pPr>
      <w:rPr>
        <w:rFonts w:hint="default"/>
        <w:lang w:val="en-GB" w:eastAsia="en-GB" w:bidi="en-GB"/>
      </w:rPr>
    </w:lvl>
    <w:lvl w:ilvl="5" w:tplc="54F21ABE">
      <w:numFmt w:val="bullet"/>
      <w:lvlText w:val="•"/>
      <w:lvlJc w:val="left"/>
      <w:pPr>
        <w:ind w:left="995" w:hanging="217"/>
      </w:pPr>
      <w:rPr>
        <w:rFonts w:hint="default"/>
        <w:lang w:val="en-GB" w:eastAsia="en-GB" w:bidi="en-GB"/>
      </w:rPr>
    </w:lvl>
    <w:lvl w:ilvl="6" w:tplc="6F3A8696">
      <w:numFmt w:val="bullet"/>
      <w:lvlText w:val="•"/>
      <w:lvlJc w:val="left"/>
      <w:pPr>
        <w:ind w:left="1134" w:hanging="217"/>
      </w:pPr>
      <w:rPr>
        <w:rFonts w:hint="default"/>
        <w:lang w:val="en-GB" w:eastAsia="en-GB" w:bidi="en-GB"/>
      </w:rPr>
    </w:lvl>
    <w:lvl w:ilvl="7" w:tplc="A13AD970">
      <w:numFmt w:val="bullet"/>
      <w:lvlText w:val="•"/>
      <w:lvlJc w:val="left"/>
      <w:pPr>
        <w:ind w:left="1273" w:hanging="217"/>
      </w:pPr>
      <w:rPr>
        <w:rFonts w:hint="default"/>
        <w:lang w:val="en-GB" w:eastAsia="en-GB" w:bidi="en-GB"/>
      </w:rPr>
    </w:lvl>
    <w:lvl w:ilvl="8" w:tplc="43DA8718">
      <w:numFmt w:val="bullet"/>
      <w:lvlText w:val="•"/>
      <w:lvlJc w:val="left"/>
      <w:pPr>
        <w:ind w:left="1412" w:hanging="217"/>
      </w:pPr>
      <w:rPr>
        <w:rFonts w:hint="default"/>
        <w:lang w:val="en-GB" w:eastAsia="en-GB" w:bidi="en-GB"/>
      </w:rPr>
    </w:lvl>
  </w:abstractNum>
  <w:abstractNum w:abstractNumId="927" w15:restartNumberingAfterBreak="0">
    <w:nsid w:val="54075D00"/>
    <w:multiLevelType w:val="hybridMultilevel"/>
    <w:tmpl w:val="329E6032"/>
    <w:lvl w:ilvl="0" w:tplc="B38464E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614BC7C">
      <w:numFmt w:val="bullet"/>
      <w:lvlText w:val="•"/>
      <w:lvlJc w:val="left"/>
      <w:pPr>
        <w:ind w:left="473" w:hanging="217"/>
      </w:pPr>
      <w:rPr>
        <w:rFonts w:hint="default"/>
        <w:lang w:val="en-GB" w:eastAsia="en-GB" w:bidi="en-GB"/>
      </w:rPr>
    </w:lvl>
    <w:lvl w:ilvl="2" w:tplc="7616CA7E">
      <w:numFmt w:val="bullet"/>
      <w:lvlText w:val="•"/>
      <w:lvlJc w:val="left"/>
      <w:pPr>
        <w:ind w:left="646" w:hanging="217"/>
      </w:pPr>
      <w:rPr>
        <w:rFonts w:hint="default"/>
        <w:lang w:val="en-GB" w:eastAsia="en-GB" w:bidi="en-GB"/>
      </w:rPr>
    </w:lvl>
    <w:lvl w:ilvl="3" w:tplc="CA5CE5A0">
      <w:numFmt w:val="bullet"/>
      <w:lvlText w:val="•"/>
      <w:lvlJc w:val="left"/>
      <w:pPr>
        <w:ind w:left="819" w:hanging="217"/>
      </w:pPr>
      <w:rPr>
        <w:rFonts w:hint="default"/>
        <w:lang w:val="en-GB" w:eastAsia="en-GB" w:bidi="en-GB"/>
      </w:rPr>
    </w:lvl>
    <w:lvl w:ilvl="4" w:tplc="C5E6B136">
      <w:numFmt w:val="bullet"/>
      <w:lvlText w:val="•"/>
      <w:lvlJc w:val="left"/>
      <w:pPr>
        <w:ind w:left="992" w:hanging="217"/>
      </w:pPr>
      <w:rPr>
        <w:rFonts w:hint="default"/>
        <w:lang w:val="en-GB" w:eastAsia="en-GB" w:bidi="en-GB"/>
      </w:rPr>
    </w:lvl>
    <w:lvl w:ilvl="5" w:tplc="0CB4A0EC">
      <w:numFmt w:val="bullet"/>
      <w:lvlText w:val="•"/>
      <w:lvlJc w:val="left"/>
      <w:pPr>
        <w:ind w:left="1165" w:hanging="217"/>
      </w:pPr>
      <w:rPr>
        <w:rFonts w:hint="default"/>
        <w:lang w:val="en-GB" w:eastAsia="en-GB" w:bidi="en-GB"/>
      </w:rPr>
    </w:lvl>
    <w:lvl w:ilvl="6" w:tplc="FF52A9E0">
      <w:numFmt w:val="bullet"/>
      <w:lvlText w:val="•"/>
      <w:lvlJc w:val="left"/>
      <w:pPr>
        <w:ind w:left="1338" w:hanging="217"/>
      </w:pPr>
      <w:rPr>
        <w:rFonts w:hint="default"/>
        <w:lang w:val="en-GB" w:eastAsia="en-GB" w:bidi="en-GB"/>
      </w:rPr>
    </w:lvl>
    <w:lvl w:ilvl="7" w:tplc="7054E362">
      <w:numFmt w:val="bullet"/>
      <w:lvlText w:val="•"/>
      <w:lvlJc w:val="left"/>
      <w:pPr>
        <w:ind w:left="1511" w:hanging="217"/>
      </w:pPr>
      <w:rPr>
        <w:rFonts w:hint="default"/>
        <w:lang w:val="en-GB" w:eastAsia="en-GB" w:bidi="en-GB"/>
      </w:rPr>
    </w:lvl>
    <w:lvl w:ilvl="8" w:tplc="D234B2B8">
      <w:numFmt w:val="bullet"/>
      <w:lvlText w:val="•"/>
      <w:lvlJc w:val="left"/>
      <w:pPr>
        <w:ind w:left="1684" w:hanging="217"/>
      </w:pPr>
      <w:rPr>
        <w:rFonts w:hint="default"/>
        <w:lang w:val="en-GB" w:eastAsia="en-GB" w:bidi="en-GB"/>
      </w:rPr>
    </w:lvl>
  </w:abstractNum>
  <w:abstractNum w:abstractNumId="928" w15:restartNumberingAfterBreak="0">
    <w:nsid w:val="540E5613"/>
    <w:multiLevelType w:val="hybridMultilevel"/>
    <w:tmpl w:val="A70E695C"/>
    <w:lvl w:ilvl="0" w:tplc="58DC57A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EDA7846">
      <w:numFmt w:val="bullet"/>
      <w:lvlText w:val="•"/>
      <w:lvlJc w:val="left"/>
      <w:pPr>
        <w:ind w:left="892" w:hanging="217"/>
      </w:pPr>
      <w:rPr>
        <w:rFonts w:hint="default"/>
        <w:lang w:val="en-GB" w:eastAsia="en-GB" w:bidi="en-GB"/>
      </w:rPr>
    </w:lvl>
    <w:lvl w:ilvl="2" w:tplc="B840F300">
      <w:numFmt w:val="bullet"/>
      <w:lvlText w:val="•"/>
      <w:lvlJc w:val="left"/>
      <w:pPr>
        <w:ind w:left="1485" w:hanging="217"/>
      </w:pPr>
      <w:rPr>
        <w:rFonts w:hint="default"/>
        <w:lang w:val="en-GB" w:eastAsia="en-GB" w:bidi="en-GB"/>
      </w:rPr>
    </w:lvl>
    <w:lvl w:ilvl="3" w:tplc="FCD88F8E">
      <w:numFmt w:val="bullet"/>
      <w:lvlText w:val="•"/>
      <w:lvlJc w:val="left"/>
      <w:pPr>
        <w:ind w:left="2077" w:hanging="217"/>
      </w:pPr>
      <w:rPr>
        <w:rFonts w:hint="default"/>
        <w:lang w:val="en-GB" w:eastAsia="en-GB" w:bidi="en-GB"/>
      </w:rPr>
    </w:lvl>
    <w:lvl w:ilvl="4" w:tplc="B332381E">
      <w:numFmt w:val="bullet"/>
      <w:lvlText w:val="•"/>
      <w:lvlJc w:val="left"/>
      <w:pPr>
        <w:ind w:left="2670" w:hanging="217"/>
      </w:pPr>
      <w:rPr>
        <w:rFonts w:hint="default"/>
        <w:lang w:val="en-GB" w:eastAsia="en-GB" w:bidi="en-GB"/>
      </w:rPr>
    </w:lvl>
    <w:lvl w:ilvl="5" w:tplc="5282CB58">
      <w:numFmt w:val="bullet"/>
      <w:lvlText w:val="•"/>
      <w:lvlJc w:val="left"/>
      <w:pPr>
        <w:ind w:left="3263" w:hanging="217"/>
      </w:pPr>
      <w:rPr>
        <w:rFonts w:hint="default"/>
        <w:lang w:val="en-GB" w:eastAsia="en-GB" w:bidi="en-GB"/>
      </w:rPr>
    </w:lvl>
    <w:lvl w:ilvl="6" w:tplc="68C4C2A2">
      <w:numFmt w:val="bullet"/>
      <w:lvlText w:val="•"/>
      <w:lvlJc w:val="left"/>
      <w:pPr>
        <w:ind w:left="3855" w:hanging="217"/>
      </w:pPr>
      <w:rPr>
        <w:rFonts w:hint="default"/>
        <w:lang w:val="en-GB" w:eastAsia="en-GB" w:bidi="en-GB"/>
      </w:rPr>
    </w:lvl>
    <w:lvl w:ilvl="7" w:tplc="7076FC28">
      <w:numFmt w:val="bullet"/>
      <w:lvlText w:val="•"/>
      <w:lvlJc w:val="left"/>
      <w:pPr>
        <w:ind w:left="4448" w:hanging="217"/>
      </w:pPr>
      <w:rPr>
        <w:rFonts w:hint="default"/>
        <w:lang w:val="en-GB" w:eastAsia="en-GB" w:bidi="en-GB"/>
      </w:rPr>
    </w:lvl>
    <w:lvl w:ilvl="8" w:tplc="3E2A64C8">
      <w:numFmt w:val="bullet"/>
      <w:lvlText w:val="•"/>
      <w:lvlJc w:val="left"/>
      <w:pPr>
        <w:ind w:left="5040" w:hanging="217"/>
      </w:pPr>
      <w:rPr>
        <w:rFonts w:hint="default"/>
        <w:lang w:val="en-GB" w:eastAsia="en-GB" w:bidi="en-GB"/>
      </w:rPr>
    </w:lvl>
  </w:abstractNum>
  <w:abstractNum w:abstractNumId="929" w15:restartNumberingAfterBreak="0">
    <w:nsid w:val="540F1A04"/>
    <w:multiLevelType w:val="hybridMultilevel"/>
    <w:tmpl w:val="6682FABE"/>
    <w:lvl w:ilvl="0" w:tplc="E13657F6">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0D20BFF2">
      <w:numFmt w:val="bullet"/>
      <w:lvlText w:val="•"/>
      <w:lvlJc w:val="left"/>
      <w:pPr>
        <w:ind w:left="892" w:hanging="217"/>
      </w:pPr>
      <w:rPr>
        <w:rFonts w:hint="default"/>
        <w:lang w:val="en-GB" w:eastAsia="en-GB" w:bidi="en-GB"/>
      </w:rPr>
    </w:lvl>
    <w:lvl w:ilvl="2" w:tplc="43849F40">
      <w:numFmt w:val="bullet"/>
      <w:lvlText w:val="•"/>
      <w:lvlJc w:val="left"/>
      <w:pPr>
        <w:ind w:left="1485" w:hanging="217"/>
      </w:pPr>
      <w:rPr>
        <w:rFonts w:hint="default"/>
        <w:lang w:val="en-GB" w:eastAsia="en-GB" w:bidi="en-GB"/>
      </w:rPr>
    </w:lvl>
    <w:lvl w:ilvl="3" w:tplc="C114A7D6">
      <w:numFmt w:val="bullet"/>
      <w:lvlText w:val="•"/>
      <w:lvlJc w:val="left"/>
      <w:pPr>
        <w:ind w:left="2077" w:hanging="217"/>
      </w:pPr>
      <w:rPr>
        <w:rFonts w:hint="default"/>
        <w:lang w:val="en-GB" w:eastAsia="en-GB" w:bidi="en-GB"/>
      </w:rPr>
    </w:lvl>
    <w:lvl w:ilvl="4" w:tplc="4BA2D6EE">
      <w:numFmt w:val="bullet"/>
      <w:lvlText w:val="•"/>
      <w:lvlJc w:val="left"/>
      <w:pPr>
        <w:ind w:left="2670" w:hanging="217"/>
      </w:pPr>
      <w:rPr>
        <w:rFonts w:hint="default"/>
        <w:lang w:val="en-GB" w:eastAsia="en-GB" w:bidi="en-GB"/>
      </w:rPr>
    </w:lvl>
    <w:lvl w:ilvl="5" w:tplc="03C4C71A">
      <w:numFmt w:val="bullet"/>
      <w:lvlText w:val="•"/>
      <w:lvlJc w:val="left"/>
      <w:pPr>
        <w:ind w:left="3263" w:hanging="217"/>
      </w:pPr>
      <w:rPr>
        <w:rFonts w:hint="default"/>
        <w:lang w:val="en-GB" w:eastAsia="en-GB" w:bidi="en-GB"/>
      </w:rPr>
    </w:lvl>
    <w:lvl w:ilvl="6" w:tplc="D714BD1A">
      <w:numFmt w:val="bullet"/>
      <w:lvlText w:val="•"/>
      <w:lvlJc w:val="left"/>
      <w:pPr>
        <w:ind w:left="3855" w:hanging="217"/>
      </w:pPr>
      <w:rPr>
        <w:rFonts w:hint="default"/>
        <w:lang w:val="en-GB" w:eastAsia="en-GB" w:bidi="en-GB"/>
      </w:rPr>
    </w:lvl>
    <w:lvl w:ilvl="7" w:tplc="1C64B37E">
      <w:numFmt w:val="bullet"/>
      <w:lvlText w:val="•"/>
      <w:lvlJc w:val="left"/>
      <w:pPr>
        <w:ind w:left="4448" w:hanging="217"/>
      </w:pPr>
      <w:rPr>
        <w:rFonts w:hint="default"/>
        <w:lang w:val="en-GB" w:eastAsia="en-GB" w:bidi="en-GB"/>
      </w:rPr>
    </w:lvl>
    <w:lvl w:ilvl="8" w:tplc="9A3A188A">
      <w:numFmt w:val="bullet"/>
      <w:lvlText w:val="•"/>
      <w:lvlJc w:val="left"/>
      <w:pPr>
        <w:ind w:left="5040" w:hanging="217"/>
      </w:pPr>
      <w:rPr>
        <w:rFonts w:hint="default"/>
        <w:lang w:val="en-GB" w:eastAsia="en-GB" w:bidi="en-GB"/>
      </w:rPr>
    </w:lvl>
  </w:abstractNum>
  <w:abstractNum w:abstractNumId="930" w15:restartNumberingAfterBreak="0">
    <w:nsid w:val="54225F66"/>
    <w:multiLevelType w:val="hybridMultilevel"/>
    <w:tmpl w:val="13BA2966"/>
    <w:lvl w:ilvl="0" w:tplc="7D1C42AE">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71EE1528">
      <w:numFmt w:val="bullet"/>
      <w:lvlText w:val="•"/>
      <w:lvlJc w:val="left"/>
      <w:pPr>
        <w:ind w:left="473" w:hanging="217"/>
      </w:pPr>
      <w:rPr>
        <w:rFonts w:hint="default"/>
        <w:lang w:val="en-GB" w:eastAsia="en-GB" w:bidi="en-GB"/>
      </w:rPr>
    </w:lvl>
    <w:lvl w:ilvl="2" w:tplc="158AD828">
      <w:numFmt w:val="bullet"/>
      <w:lvlText w:val="•"/>
      <w:lvlJc w:val="left"/>
      <w:pPr>
        <w:ind w:left="646" w:hanging="217"/>
      </w:pPr>
      <w:rPr>
        <w:rFonts w:hint="default"/>
        <w:lang w:val="en-GB" w:eastAsia="en-GB" w:bidi="en-GB"/>
      </w:rPr>
    </w:lvl>
    <w:lvl w:ilvl="3" w:tplc="F7DE9246">
      <w:numFmt w:val="bullet"/>
      <w:lvlText w:val="•"/>
      <w:lvlJc w:val="left"/>
      <w:pPr>
        <w:ind w:left="819" w:hanging="217"/>
      </w:pPr>
      <w:rPr>
        <w:rFonts w:hint="default"/>
        <w:lang w:val="en-GB" w:eastAsia="en-GB" w:bidi="en-GB"/>
      </w:rPr>
    </w:lvl>
    <w:lvl w:ilvl="4" w:tplc="FC980E30">
      <w:numFmt w:val="bullet"/>
      <w:lvlText w:val="•"/>
      <w:lvlJc w:val="left"/>
      <w:pPr>
        <w:ind w:left="992" w:hanging="217"/>
      </w:pPr>
      <w:rPr>
        <w:rFonts w:hint="default"/>
        <w:lang w:val="en-GB" w:eastAsia="en-GB" w:bidi="en-GB"/>
      </w:rPr>
    </w:lvl>
    <w:lvl w:ilvl="5" w:tplc="9B6E7904">
      <w:numFmt w:val="bullet"/>
      <w:lvlText w:val="•"/>
      <w:lvlJc w:val="left"/>
      <w:pPr>
        <w:ind w:left="1165" w:hanging="217"/>
      </w:pPr>
      <w:rPr>
        <w:rFonts w:hint="default"/>
        <w:lang w:val="en-GB" w:eastAsia="en-GB" w:bidi="en-GB"/>
      </w:rPr>
    </w:lvl>
    <w:lvl w:ilvl="6" w:tplc="FE92D042">
      <w:numFmt w:val="bullet"/>
      <w:lvlText w:val="•"/>
      <w:lvlJc w:val="left"/>
      <w:pPr>
        <w:ind w:left="1338" w:hanging="217"/>
      </w:pPr>
      <w:rPr>
        <w:rFonts w:hint="default"/>
        <w:lang w:val="en-GB" w:eastAsia="en-GB" w:bidi="en-GB"/>
      </w:rPr>
    </w:lvl>
    <w:lvl w:ilvl="7" w:tplc="F93E4F12">
      <w:numFmt w:val="bullet"/>
      <w:lvlText w:val="•"/>
      <w:lvlJc w:val="left"/>
      <w:pPr>
        <w:ind w:left="1511" w:hanging="217"/>
      </w:pPr>
      <w:rPr>
        <w:rFonts w:hint="default"/>
        <w:lang w:val="en-GB" w:eastAsia="en-GB" w:bidi="en-GB"/>
      </w:rPr>
    </w:lvl>
    <w:lvl w:ilvl="8" w:tplc="EF44A806">
      <w:numFmt w:val="bullet"/>
      <w:lvlText w:val="•"/>
      <w:lvlJc w:val="left"/>
      <w:pPr>
        <w:ind w:left="1684" w:hanging="217"/>
      </w:pPr>
      <w:rPr>
        <w:rFonts w:hint="default"/>
        <w:lang w:val="en-GB" w:eastAsia="en-GB" w:bidi="en-GB"/>
      </w:rPr>
    </w:lvl>
  </w:abstractNum>
  <w:abstractNum w:abstractNumId="931" w15:restartNumberingAfterBreak="0">
    <w:nsid w:val="54354310"/>
    <w:multiLevelType w:val="hybridMultilevel"/>
    <w:tmpl w:val="E2AA3D9C"/>
    <w:lvl w:ilvl="0" w:tplc="D472A9BE">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68785F00">
      <w:numFmt w:val="bullet"/>
      <w:lvlText w:val="•"/>
      <w:lvlJc w:val="left"/>
      <w:pPr>
        <w:ind w:left="473" w:hanging="217"/>
      </w:pPr>
      <w:rPr>
        <w:rFonts w:hint="default"/>
        <w:lang w:val="en-GB" w:eastAsia="en-GB" w:bidi="en-GB"/>
      </w:rPr>
    </w:lvl>
    <w:lvl w:ilvl="2" w:tplc="F1C0E760">
      <w:numFmt w:val="bullet"/>
      <w:lvlText w:val="•"/>
      <w:lvlJc w:val="left"/>
      <w:pPr>
        <w:ind w:left="646" w:hanging="217"/>
      </w:pPr>
      <w:rPr>
        <w:rFonts w:hint="default"/>
        <w:lang w:val="en-GB" w:eastAsia="en-GB" w:bidi="en-GB"/>
      </w:rPr>
    </w:lvl>
    <w:lvl w:ilvl="3" w:tplc="E746F99C">
      <w:numFmt w:val="bullet"/>
      <w:lvlText w:val="•"/>
      <w:lvlJc w:val="left"/>
      <w:pPr>
        <w:ind w:left="819" w:hanging="217"/>
      </w:pPr>
      <w:rPr>
        <w:rFonts w:hint="default"/>
        <w:lang w:val="en-GB" w:eastAsia="en-GB" w:bidi="en-GB"/>
      </w:rPr>
    </w:lvl>
    <w:lvl w:ilvl="4" w:tplc="8B689E64">
      <w:numFmt w:val="bullet"/>
      <w:lvlText w:val="•"/>
      <w:lvlJc w:val="left"/>
      <w:pPr>
        <w:ind w:left="992" w:hanging="217"/>
      </w:pPr>
      <w:rPr>
        <w:rFonts w:hint="default"/>
        <w:lang w:val="en-GB" w:eastAsia="en-GB" w:bidi="en-GB"/>
      </w:rPr>
    </w:lvl>
    <w:lvl w:ilvl="5" w:tplc="CA386262">
      <w:numFmt w:val="bullet"/>
      <w:lvlText w:val="•"/>
      <w:lvlJc w:val="left"/>
      <w:pPr>
        <w:ind w:left="1165" w:hanging="217"/>
      </w:pPr>
      <w:rPr>
        <w:rFonts w:hint="default"/>
        <w:lang w:val="en-GB" w:eastAsia="en-GB" w:bidi="en-GB"/>
      </w:rPr>
    </w:lvl>
    <w:lvl w:ilvl="6" w:tplc="D9F41252">
      <w:numFmt w:val="bullet"/>
      <w:lvlText w:val="•"/>
      <w:lvlJc w:val="left"/>
      <w:pPr>
        <w:ind w:left="1338" w:hanging="217"/>
      </w:pPr>
      <w:rPr>
        <w:rFonts w:hint="default"/>
        <w:lang w:val="en-GB" w:eastAsia="en-GB" w:bidi="en-GB"/>
      </w:rPr>
    </w:lvl>
    <w:lvl w:ilvl="7" w:tplc="39A4C258">
      <w:numFmt w:val="bullet"/>
      <w:lvlText w:val="•"/>
      <w:lvlJc w:val="left"/>
      <w:pPr>
        <w:ind w:left="1511" w:hanging="217"/>
      </w:pPr>
      <w:rPr>
        <w:rFonts w:hint="default"/>
        <w:lang w:val="en-GB" w:eastAsia="en-GB" w:bidi="en-GB"/>
      </w:rPr>
    </w:lvl>
    <w:lvl w:ilvl="8" w:tplc="1E0068C2">
      <w:numFmt w:val="bullet"/>
      <w:lvlText w:val="•"/>
      <w:lvlJc w:val="left"/>
      <w:pPr>
        <w:ind w:left="1684" w:hanging="217"/>
      </w:pPr>
      <w:rPr>
        <w:rFonts w:hint="default"/>
        <w:lang w:val="en-GB" w:eastAsia="en-GB" w:bidi="en-GB"/>
      </w:rPr>
    </w:lvl>
  </w:abstractNum>
  <w:abstractNum w:abstractNumId="932" w15:restartNumberingAfterBreak="0">
    <w:nsid w:val="543A0287"/>
    <w:multiLevelType w:val="hybridMultilevel"/>
    <w:tmpl w:val="3E687398"/>
    <w:lvl w:ilvl="0" w:tplc="1724299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6CC9A1C">
      <w:numFmt w:val="bullet"/>
      <w:lvlText w:val="•"/>
      <w:lvlJc w:val="left"/>
      <w:pPr>
        <w:ind w:left="473" w:hanging="217"/>
      </w:pPr>
      <w:rPr>
        <w:rFonts w:hint="default"/>
        <w:lang w:val="en-GB" w:eastAsia="en-GB" w:bidi="en-GB"/>
      </w:rPr>
    </w:lvl>
    <w:lvl w:ilvl="2" w:tplc="AD9EF3F6">
      <w:numFmt w:val="bullet"/>
      <w:lvlText w:val="•"/>
      <w:lvlJc w:val="left"/>
      <w:pPr>
        <w:ind w:left="646" w:hanging="217"/>
      </w:pPr>
      <w:rPr>
        <w:rFonts w:hint="default"/>
        <w:lang w:val="en-GB" w:eastAsia="en-GB" w:bidi="en-GB"/>
      </w:rPr>
    </w:lvl>
    <w:lvl w:ilvl="3" w:tplc="C97C152C">
      <w:numFmt w:val="bullet"/>
      <w:lvlText w:val="•"/>
      <w:lvlJc w:val="left"/>
      <w:pPr>
        <w:ind w:left="819" w:hanging="217"/>
      </w:pPr>
      <w:rPr>
        <w:rFonts w:hint="default"/>
        <w:lang w:val="en-GB" w:eastAsia="en-GB" w:bidi="en-GB"/>
      </w:rPr>
    </w:lvl>
    <w:lvl w:ilvl="4" w:tplc="8F12266A">
      <w:numFmt w:val="bullet"/>
      <w:lvlText w:val="•"/>
      <w:lvlJc w:val="left"/>
      <w:pPr>
        <w:ind w:left="992" w:hanging="217"/>
      </w:pPr>
      <w:rPr>
        <w:rFonts w:hint="default"/>
        <w:lang w:val="en-GB" w:eastAsia="en-GB" w:bidi="en-GB"/>
      </w:rPr>
    </w:lvl>
    <w:lvl w:ilvl="5" w:tplc="132E0A2E">
      <w:numFmt w:val="bullet"/>
      <w:lvlText w:val="•"/>
      <w:lvlJc w:val="left"/>
      <w:pPr>
        <w:ind w:left="1165" w:hanging="217"/>
      </w:pPr>
      <w:rPr>
        <w:rFonts w:hint="default"/>
        <w:lang w:val="en-GB" w:eastAsia="en-GB" w:bidi="en-GB"/>
      </w:rPr>
    </w:lvl>
    <w:lvl w:ilvl="6" w:tplc="CFB4CDA6">
      <w:numFmt w:val="bullet"/>
      <w:lvlText w:val="•"/>
      <w:lvlJc w:val="left"/>
      <w:pPr>
        <w:ind w:left="1338" w:hanging="217"/>
      </w:pPr>
      <w:rPr>
        <w:rFonts w:hint="default"/>
        <w:lang w:val="en-GB" w:eastAsia="en-GB" w:bidi="en-GB"/>
      </w:rPr>
    </w:lvl>
    <w:lvl w:ilvl="7" w:tplc="E55EEABE">
      <w:numFmt w:val="bullet"/>
      <w:lvlText w:val="•"/>
      <w:lvlJc w:val="left"/>
      <w:pPr>
        <w:ind w:left="1511" w:hanging="217"/>
      </w:pPr>
      <w:rPr>
        <w:rFonts w:hint="default"/>
        <w:lang w:val="en-GB" w:eastAsia="en-GB" w:bidi="en-GB"/>
      </w:rPr>
    </w:lvl>
    <w:lvl w:ilvl="8" w:tplc="0938E3D2">
      <w:numFmt w:val="bullet"/>
      <w:lvlText w:val="•"/>
      <w:lvlJc w:val="left"/>
      <w:pPr>
        <w:ind w:left="1684" w:hanging="217"/>
      </w:pPr>
      <w:rPr>
        <w:rFonts w:hint="default"/>
        <w:lang w:val="en-GB" w:eastAsia="en-GB" w:bidi="en-GB"/>
      </w:rPr>
    </w:lvl>
  </w:abstractNum>
  <w:abstractNum w:abstractNumId="933" w15:restartNumberingAfterBreak="0">
    <w:nsid w:val="5454700B"/>
    <w:multiLevelType w:val="hybridMultilevel"/>
    <w:tmpl w:val="34E6BFB2"/>
    <w:lvl w:ilvl="0" w:tplc="AF80665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A3C8598">
      <w:numFmt w:val="bullet"/>
      <w:lvlText w:val="•"/>
      <w:lvlJc w:val="left"/>
      <w:pPr>
        <w:ind w:left="439" w:hanging="217"/>
      </w:pPr>
      <w:rPr>
        <w:rFonts w:hint="default"/>
        <w:lang w:val="en-GB" w:eastAsia="en-GB" w:bidi="en-GB"/>
      </w:rPr>
    </w:lvl>
    <w:lvl w:ilvl="2" w:tplc="B602F398">
      <w:numFmt w:val="bullet"/>
      <w:lvlText w:val="•"/>
      <w:lvlJc w:val="left"/>
      <w:pPr>
        <w:ind w:left="578" w:hanging="217"/>
      </w:pPr>
      <w:rPr>
        <w:rFonts w:hint="default"/>
        <w:lang w:val="en-GB" w:eastAsia="en-GB" w:bidi="en-GB"/>
      </w:rPr>
    </w:lvl>
    <w:lvl w:ilvl="3" w:tplc="8E6EBB3A">
      <w:numFmt w:val="bullet"/>
      <w:lvlText w:val="•"/>
      <w:lvlJc w:val="left"/>
      <w:pPr>
        <w:ind w:left="717" w:hanging="217"/>
      </w:pPr>
      <w:rPr>
        <w:rFonts w:hint="default"/>
        <w:lang w:val="en-GB" w:eastAsia="en-GB" w:bidi="en-GB"/>
      </w:rPr>
    </w:lvl>
    <w:lvl w:ilvl="4" w:tplc="5158F534">
      <w:numFmt w:val="bullet"/>
      <w:lvlText w:val="•"/>
      <w:lvlJc w:val="left"/>
      <w:pPr>
        <w:ind w:left="856" w:hanging="217"/>
      </w:pPr>
      <w:rPr>
        <w:rFonts w:hint="default"/>
        <w:lang w:val="en-GB" w:eastAsia="en-GB" w:bidi="en-GB"/>
      </w:rPr>
    </w:lvl>
    <w:lvl w:ilvl="5" w:tplc="95E26804">
      <w:numFmt w:val="bullet"/>
      <w:lvlText w:val="•"/>
      <w:lvlJc w:val="left"/>
      <w:pPr>
        <w:ind w:left="995" w:hanging="217"/>
      </w:pPr>
      <w:rPr>
        <w:rFonts w:hint="default"/>
        <w:lang w:val="en-GB" w:eastAsia="en-GB" w:bidi="en-GB"/>
      </w:rPr>
    </w:lvl>
    <w:lvl w:ilvl="6" w:tplc="F7B4636C">
      <w:numFmt w:val="bullet"/>
      <w:lvlText w:val="•"/>
      <w:lvlJc w:val="left"/>
      <w:pPr>
        <w:ind w:left="1134" w:hanging="217"/>
      </w:pPr>
      <w:rPr>
        <w:rFonts w:hint="default"/>
        <w:lang w:val="en-GB" w:eastAsia="en-GB" w:bidi="en-GB"/>
      </w:rPr>
    </w:lvl>
    <w:lvl w:ilvl="7" w:tplc="91808392">
      <w:numFmt w:val="bullet"/>
      <w:lvlText w:val="•"/>
      <w:lvlJc w:val="left"/>
      <w:pPr>
        <w:ind w:left="1273" w:hanging="217"/>
      </w:pPr>
      <w:rPr>
        <w:rFonts w:hint="default"/>
        <w:lang w:val="en-GB" w:eastAsia="en-GB" w:bidi="en-GB"/>
      </w:rPr>
    </w:lvl>
    <w:lvl w:ilvl="8" w:tplc="F34069C6">
      <w:numFmt w:val="bullet"/>
      <w:lvlText w:val="•"/>
      <w:lvlJc w:val="left"/>
      <w:pPr>
        <w:ind w:left="1412" w:hanging="217"/>
      </w:pPr>
      <w:rPr>
        <w:rFonts w:hint="default"/>
        <w:lang w:val="en-GB" w:eastAsia="en-GB" w:bidi="en-GB"/>
      </w:rPr>
    </w:lvl>
  </w:abstractNum>
  <w:abstractNum w:abstractNumId="934" w15:restartNumberingAfterBreak="0">
    <w:nsid w:val="548A703B"/>
    <w:multiLevelType w:val="hybridMultilevel"/>
    <w:tmpl w:val="A9AA7244"/>
    <w:lvl w:ilvl="0" w:tplc="3346590A">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5FA0D516">
      <w:numFmt w:val="bullet"/>
      <w:lvlText w:val="•"/>
      <w:lvlJc w:val="left"/>
      <w:pPr>
        <w:ind w:left="677" w:hanging="217"/>
      </w:pPr>
      <w:rPr>
        <w:rFonts w:hint="default"/>
        <w:lang w:val="en-GB" w:eastAsia="en-GB" w:bidi="en-GB"/>
      </w:rPr>
    </w:lvl>
    <w:lvl w:ilvl="2" w:tplc="5AD88FDA">
      <w:numFmt w:val="bullet"/>
      <w:lvlText w:val="•"/>
      <w:lvlJc w:val="left"/>
      <w:pPr>
        <w:ind w:left="1054" w:hanging="217"/>
      </w:pPr>
      <w:rPr>
        <w:rFonts w:hint="default"/>
        <w:lang w:val="en-GB" w:eastAsia="en-GB" w:bidi="en-GB"/>
      </w:rPr>
    </w:lvl>
    <w:lvl w:ilvl="3" w:tplc="238E4764">
      <w:numFmt w:val="bullet"/>
      <w:lvlText w:val="•"/>
      <w:lvlJc w:val="left"/>
      <w:pPr>
        <w:ind w:left="1431" w:hanging="217"/>
      </w:pPr>
      <w:rPr>
        <w:rFonts w:hint="default"/>
        <w:lang w:val="en-GB" w:eastAsia="en-GB" w:bidi="en-GB"/>
      </w:rPr>
    </w:lvl>
    <w:lvl w:ilvl="4" w:tplc="3E387690">
      <w:numFmt w:val="bullet"/>
      <w:lvlText w:val="•"/>
      <w:lvlJc w:val="left"/>
      <w:pPr>
        <w:ind w:left="1808" w:hanging="217"/>
      </w:pPr>
      <w:rPr>
        <w:rFonts w:hint="default"/>
        <w:lang w:val="en-GB" w:eastAsia="en-GB" w:bidi="en-GB"/>
      </w:rPr>
    </w:lvl>
    <w:lvl w:ilvl="5" w:tplc="D8142B80">
      <w:numFmt w:val="bullet"/>
      <w:lvlText w:val="•"/>
      <w:lvlJc w:val="left"/>
      <w:pPr>
        <w:ind w:left="2186" w:hanging="217"/>
      </w:pPr>
      <w:rPr>
        <w:rFonts w:hint="default"/>
        <w:lang w:val="en-GB" w:eastAsia="en-GB" w:bidi="en-GB"/>
      </w:rPr>
    </w:lvl>
    <w:lvl w:ilvl="6" w:tplc="450AE8FE">
      <w:numFmt w:val="bullet"/>
      <w:lvlText w:val="•"/>
      <w:lvlJc w:val="left"/>
      <w:pPr>
        <w:ind w:left="2563" w:hanging="217"/>
      </w:pPr>
      <w:rPr>
        <w:rFonts w:hint="default"/>
        <w:lang w:val="en-GB" w:eastAsia="en-GB" w:bidi="en-GB"/>
      </w:rPr>
    </w:lvl>
    <w:lvl w:ilvl="7" w:tplc="208CF442">
      <w:numFmt w:val="bullet"/>
      <w:lvlText w:val="•"/>
      <w:lvlJc w:val="left"/>
      <w:pPr>
        <w:ind w:left="2940" w:hanging="217"/>
      </w:pPr>
      <w:rPr>
        <w:rFonts w:hint="default"/>
        <w:lang w:val="en-GB" w:eastAsia="en-GB" w:bidi="en-GB"/>
      </w:rPr>
    </w:lvl>
    <w:lvl w:ilvl="8" w:tplc="19E262CC">
      <w:numFmt w:val="bullet"/>
      <w:lvlText w:val="•"/>
      <w:lvlJc w:val="left"/>
      <w:pPr>
        <w:ind w:left="3317" w:hanging="217"/>
      </w:pPr>
      <w:rPr>
        <w:rFonts w:hint="default"/>
        <w:lang w:val="en-GB" w:eastAsia="en-GB" w:bidi="en-GB"/>
      </w:rPr>
    </w:lvl>
  </w:abstractNum>
  <w:abstractNum w:abstractNumId="935" w15:restartNumberingAfterBreak="0">
    <w:nsid w:val="54AF10FF"/>
    <w:multiLevelType w:val="hybridMultilevel"/>
    <w:tmpl w:val="939C34F8"/>
    <w:lvl w:ilvl="0" w:tplc="7F984FDC">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281050A8">
      <w:numFmt w:val="bullet"/>
      <w:lvlText w:val="•"/>
      <w:lvlJc w:val="left"/>
      <w:pPr>
        <w:ind w:left="473" w:hanging="217"/>
      </w:pPr>
      <w:rPr>
        <w:rFonts w:hint="default"/>
        <w:lang w:val="en-GB" w:eastAsia="en-GB" w:bidi="en-GB"/>
      </w:rPr>
    </w:lvl>
    <w:lvl w:ilvl="2" w:tplc="C04CAE3C">
      <w:numFmt w:val="bullet"/>
      <w:lvlText w:val="•"/>
      <w:lvlJc w:val="left"/>
      <w:pPr>
        <w:ind w:left="646" w:hanging="217"/>
      </w:pPr>
      <w:rPr>
        <w:rFonts w:hint="default"/>
        <w:lang w:val="en-GB" w:eastAsia="en-GB" w:bidi="en-GB"/>
      </w:rPr>
    </w:lvl>
    <w:lvl w:ilvl="3" w:tplc="9E1E4C78">
      <w:numFmt w:val="bullet"/>
      <w:lvlText w:val="•"/>
      <w:lvlJc w:val="left"/>
      <w:pPr>
        <w:ind w:left="819" w:hanging="217"/>
      </w:pPr>
      <w:rPr>
        <w:rFonts w:hint="default"/>
        <w:lang w:val="en-GB" w:eastAsia="en-GB" w:bidi="en-GB"/>
      </w:rPr>
    </w:lvl>
    <w:lvl w:ilvl="4" w:tplc="E66A1DDA">
      <w:numFmt w:val="bullet"/>
      <w:lvlText w:val="•"/>
      <w:lvlJc w:val="left"/>
      <w:pPr>
        <w:ind w:left="992" w:hanging="217"/>
      </w:pPr>
      <w:rPr>
        <w:rFonts w:hint="default"/>
        <w:lang w:val="en-GB" w:eastAsia="en-GB" w:bidi="en-GB"/>
      </w:rPr>
    </w:lvl>
    <w:lvl w:ilvl="5" w:tplc="B77CA6D2">
      <w:numFmt w:val="bullet"/>
      <w:lvlText w:val="•"/>
      <w:lvlJc w:val="left"/>
      <w:pPr>
        <w:ind w:left="1165" w:hanging="217"/>
      </w:pPr>
      <w:rPr>
        <w:rFonts w:hint="default"/>
        <w:lang w:val="en-GB" w:eastAsia="en-GB" w:bidi="en-GB"/>
      </w:rPr>
    </w:lvl>
    <w:lvl w:ilvl="6" w:tplc="644AFBDA">
      <w:numFmt w:val="bullet"/>
      <w:lvlText w:val="•"/>
      <w:lvlJc w:val="left"/>
      <w:pPr>
        <w:ind w:left="1338" w:hanging="217"/>
      </w:pPr>
      <w:rPr>
        <w:rFonts w:hint="default"/>
        <w:lang w:val="en-GB" w:eastAsia="en-GB" w:bidi="en-GB"/>
      </w:rPr>
    </w:lvl>
    <w:lvl w:ilvl="7" w:tplc="616264D8">
      <w:numFmt w:val="bullet"/>
      <w:lvlText w:val="•"/>
      <w:lvlJc w:val="left"/>
      <w:pPr>
        <w:ind w:left="1511" w:hanging="217"/>
      </w:pPr>
      <w:rPr>
        <w:rFonts w:hint="default"/>
        <w:lang w:val="en-GB" w:eastAsia="en-GB" w:bidi="en-GB"/>
      </w:rPr>
    </w:lvl>
    <w:lvl w:ilvl="8" w:tplc="49FCC350">
      <w:numFmt w:val="bullet"/>
      <w:lvlText w:val="•"/>
      <w:lvlJc w:val="left"/>
      <w:pPr>
        <w:ind w:left="1684" w:hanging="217"/>
      </w:pPr>
      <w:rPr>
        <w:rFonts w:hint="default"/>
        <w:lang w:val="en-GB" w:eastAsia="en-GB" w:bidi="en-GB"/>
      </w:rPr>
    </w:lvl>
  </w:abstractNum>
  <w:abstractNum w:abstractNumId="936" w15:restartNumberingAfterBreak="0">
    <w:nsid w:val="54CF5D89"/>
    <w:multiLevelType w:val="hybridMultilevel"/>
    <w:tmpl w:val="450ADE2C"/>
    <w:lvl w:ilvl="0" w:tplc="BEBCE108">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AD5876AA">
      <w:numFmt w:val="bullet"/>
      <w:lvlText w:val="•"/>
      <w:lvlJc w:val="left"/>
      <w:pPr>
        <w:ind w:left="467" w:hanging="217"/>
      </w:pPr>
      <w:rPr>
        <w:rFonts w:hint="default"/>
        <w:lang w:val="en-GB" w:eastAsia="en-GB" w:bidi="en-GB"/>
      </w:rPr>
    </w:lvl>
    <w:lvl w:ilvl="2" w:tplc="CCCAE54E">
      <w:numFmt w:val="bullet"/>
      <w:lvlText w:val="•"/>
      <w:lvlJc w:val="left"/>
      <w:pPr>
        <w:ind w:left="634" w:hanging="217"/>
      </w:pPr>
      <w:rPr>
        <w:rFonts w:hint="default"/>
        <w:lang w:val="en-GB" w:eastAsia="en-GB" w:bidi="en-GB"/>
      </w:rPr>
    </w:lvl>
    <w:lvl w:ilvl="3" w:tplc="91CA72FC">
      <w:numFmt w:val="bullet"/>
      <w:lvlText w:val="•"/>
      <w:lvlJc w:val="left"/>
      <w:pPr>
        <w:ind w:left="802" w:hanging="217"/>
      </w:pPr>
      <w:rPr>
        <w:rFonts w:hint="default"/>
        <w:lang w:val="en-GB" w:eastAsia="en-GB" w:bidi="en-GB"/>
      </w:rPr>
    </w:lvl>
    <w:lvl w:ilvl="4" w:tplc="89F29800">
      <w:numFmt w:val="bullet"/>
      <w:lvlText w:val="•"/>
      <w:lvlJc w:val="left"/>
      <w:pPr>
        <w:ind w:left="969" w:hanging="217"/>
      </w:pPr>
      <w:rPr>
        <w:rFonts w:hint="default"/>
        <w:lang w:val="en-GB" w:eastAsia="en-GB" w:bidi="en-GB"/>
      </w:rPr>
    </w:lvl>
    <w:lvl w:ilvl="5" w:tplc="B3AEAD36">
      <w:numFmt w:val="bullet"/>
      <w:lvlText w:val="•"/>
      <w:lvlJc w:val="left"/>
      <w:pPr>
        <w:ind w:left="1137" w:hanging="217"/>
      </w:pPr>
      <w:rPr>
        <w:rFonts w:hint="default"/>
        <w:lang w:val="en-GB" w:eastAsia="en-GB" w:bidi="en-GB"/>
      </w:rPr>
    </w:lvl>
    <w:lvl w:ilvl="6" w:tplc="5B2C0CD8">
      <w:numFmt w:val="bullet"/>
      <w:lvlText w:val="•"/>
      <w:lvlJc w:val="left"/>
      <w:pPr>
        <w:ind w:left="1304" w:hanging="217"/>
      </w:pPr>
      <w:rPr>
        <w:rFonts w:hint="default"/>
        <w:lang w:val="en-GB" w:eastAsia="en-GB" w:bidi="en-GB"/>
      </w:rPr>
    </w:lvl>
    <w:lvl w:ilvl="7" w:tplc="3050E9B4">
      <w:numFmt w:val="bullet"/>
      <w:lvlText w:val="•"/>
      <w:lvlJc w:val="left"/>
      <w:pPr>
        <w:ind w:left="1471" w:hanging="217"/>
      </w:pPr>
      <w:rPr>
        <w:rFonts w:hint="default"/>
        <w:lang w:val="en-GB" w:eastAsia="en-GB" w:bidi="en-GB"/>
      </w:rPr>
    </w:lvl>
    <w:lvl w:ilvl="8" w:tplc="219CAFE0">
      <w:numFmt w:val="bullet"/>
      <w:lvlText w:val="•"/>
      <w:lvlJc w:val="left"/>
      <w:pPr>
        <w:ind w:left="1639" w:hanging="217"/>
      </w:pPr>
      <w:rPr>
        <w:rFonts w:hint="default"/>
        <w:lang w:val="en-GB" w:eastAsia="en-GB" w:bidi="en-GB"/>
      </w:rPr>
    </w:lvl>
  </w:abstractNum>
  <w:abstractNum w:abstractNumId="937" w15:restartNumberingAfterBreak="0">
    <w:nsid w:val="555F5705"/>
    <w:multiLevelType w:val="hybridMultilevel"/>
    <w:tmpl w:val="312E3B70"/>
    <w:lvl w:ilvl="0" w:tplc="C2E2DC6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C5C340A">
      <w:numFmt w:val="bullet"/>
      <w:lvlText w:val="•"/>
      <w:lvlJc w:val="left"/>
      <w:pPr>
        <w:ind w:left="467" w:hanging="217"/>
      </w:pPr>
      <w:rPr>
        <w:rFonts w:hint="default"/>
        <w:lang w:val="en-GB" w:eastAsia="en-GB" w:bidi="en-GB"/>
      </w:rPr>
    </w:lvl>
    <w:lvl w:ilvl="2" w:tplc="F194732A">
      <w:numFmt w:val="bullet"/>
      <w:lvlText w:val="•"/>
      <w:lvlJc w:val="left"/>
      <w:pPr>
        <w:ind w:left="634" w:hanging="217"/>
      </w:pPr>
      <w:rPr>
        <w:rFonts w:hint="default"/>
        <w:lang w:val="en-GB" w:eastAsia="en-GB" w:bidi="en-GB"/>
      </w:rPr>
    </w:lvl>
    <w:lvl w:ilvl="3" w:tplc="88D4A736">
      <w:numFmt w:val="bullet"/>
      <w:lvlText w:val="•"/>
      <w:lvlJc w:val="left"/>
      <w:pPr>
        <w:ind w:left="802" w:hanging="217"/>
      </w:pPr>
      <w:rPr>
        <w:rFonts w:hint="default"/>
        <w:lang w:val="en-GB" w:eastAsia="en-GB" w:bidi="en-GB"/>
      </w:rPr>
    </w:lvl>
    <w:lvl w:ilvl="4" w:tplc="524C860A">
      <w:numFmt w:val="bullet"/>
      <w:lvlText w:val="•"/>
      <w:lvlJc w:val="left"/>
      <w:pPr>
        <w:ind w:left="969" w:hanging="217"/>
      </w:pPr>
      <w:rPr>
        <w:rFonts w:hint="default"/>
        <w:lang w:val="en-GB" w:eastAsia="en-GB" w:bidi="en-GB"/>
      </w:rPr>
    </w:lvl>
    <w:lvl w:ilvl="5" w:tplc="C9A0B584">
      <w:numFmt w:val="bullet"/>
      <w:lvlText w:val="•"/>
      <w:lvlJc w:val="left"/>
      <w:pPr>
        <w:ind w:left="1137" w:hanging="217"/>
      </w:pPr>
      <w:rPr>
        <w:rFonts w:hint="default"/>
        <w:lang w:val="en-GB" w:eastAsia="en-GB" w:bidi="en-GB"/>
      </w:rPr>
    </w:lvl>
    <w:lvl w:ilvl="6" w:tplc="FC1C7DFE">
      <w:numFmt w:val="bullet"/>
      <w:lvlText w:val="•"/>
      <w:lvlJc w:val="left"/>
      <w:pPr>
        <w:ind w:left="1304" w:hanging="217"/>
      </w:pPr>
      <w:rPr>
        <w:rFonts w:hint="default"/>
        <w:lang w:val="en-GB" w:eastAsia="en-GB" w:bidi="en-GB"/>
      </w:rPr>
    </w:lvl>
    <w:lvl w:ilvl="7" w:tplc="04A22888">
      <w:numFmt w:val="bullet"/>
      <w:lvlText w:val="•"/>
      <w:lvlJc w:val="left"/>
      <w:pPr>
        <w:ind w:left="1471" w:hanging="217"/>
      </w:pPr>
      <w:rPr>
        <w:rFonts w:hint="default"/>
        <w:lang w:val="en-GB" w:eastAsia="en-GB" w:bidi="en-GB"/>
      </w:rPr>
    </w:lvl>
    <w:lvl w:ilvl="8" w:tplc="4BAC62FE">
      <w:numFmt w:val="bullet"/>
      <w:lvlText w:val="•"/>
      <w:lvlJc w:val="left"/>
      <w:pPr>
        <w:ind w:left="1639" w:hanging="217"/>
      </w:pPr>
      <w:rPr>
        <w:rFonts w:hint="default"/>
        <w:lang w:val="en-GB" w:eastAsia="en-GB" w:bidi="en-GB"/>
      </w:rPr>
    </w:lvl>
  </w:abstractNum>
  <w:abstractNum w:abstractNumId="938" w15:restartNumberingAfterBreak="0">
    <w:nsid w:val="557C35FE"/>
    <w:multiLevelType w:val="hybridMultilevel"/>
    <w:tmpl w:val="2DF8CFA6"/>
    <w:lvl w:ilvl="0" w:tplc="AA4825D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190EA06">
      <w:numFmt w:val="bullet"/>
      <w:lvlText w:val="•"/>
      <w:lvlJc w:val="left"/>
      <w:pPr>
        <w:ind w:left="1061" w:hanging="217"/>
      </w:pPr>
      <w:rPr>
        <w:rFonts w:hint="default"/>
        <w:lang w:val="en-GB" w:eastAsia="en-GB" w:bidi="en-GB"/>
      </w:rPr>
    </w:lvl>
    <w:lvl w:ilvl="2" w:tplc="A510D540">
      <w:numFmt w:val="bullet"/>
      <w:lvlText w:val="•"/>
      <w:lvlJc w:val="left"/>
      <w:pPr>
        <w:ind w:left="1823" w:hanging="217"/>
      </w:pPr>
      <w:rPr>
        <w:rFonts w:hint="default"/>
        <w:lang w:val="en-GB" w:eastAsia="en-GB" w:bidi="en-GB"/>
      </w:rPr>
    </w:lvl>
    <w:lvl w:ilvl="3" w:tplc="83DC20FA">
      <w:numFmt w:val="bullet"/>
      <w:lvlText w:val="•"/>
      <w:lvlJc w:val="left"/>
      <w:pPr>
        <w:ind w:left="2585" w:hanging="217"/>
      </w:pPr>
      <w:rPr>
        <w:rFonts w:hint="default"/>
        <w:lang w:val="en-GB" w:eastAsia="en-GB" w:bidi="en-GB"/>
      </w:rPr>
    </w:lvl>
    <w:lvl w:ilvl="4" w:tplc="7ED4FC96">
      <w:numFmt w:val="bullet"/>
      <w:lvlText w:val="•"/>
      <w:lvlJc w:val="left"/>
      <w:pPr>
        <w:ind w:left="3346" w:hanging="217"/>
      </w:pPr>
      <w:rPr>
        <w:rFonts w:hint="default"/>
        <w:lang w:val="en-GB" w:eastAsia="en-GB" w:bidi="en-GB"/>
      </w:rPr>
    </w:lvl>
    <w:lvl w:ilvl="5" w:tplc="AF0CCFE6">
      <w:numFmt w:val="bullet"/>
      <w:lvlText w:val="•"/>
      <w:lvlJc w:val="left"/>
      <w:pPr>
        <w:ind w:left="4108" w:hanging="217"/>
      </w:pPr>
      <w:rPr>
        <w:rFonts w:hint="default"/>
        <w:lang w:val="en-GB" w:eastAsia="en-GB" w:bidi="en-GB"/>
      </w:rPr>
    </w:lvl>
    <w:lvl w:ilvl="6" w:tplc="34760502">
      <w:numFmt w:val="bullet"/>
      <w:lvlText w:val="•"/>
      <w:lvlJc w:val="left"/>
      <w:pPr>
        <w:ind w:left="4870" w:hanging="217"/>
      </w:pPr>
      <w:rPr>
        <w:rFonts w:hint="default"/>
        <w:lang w:val="en-GB" w:eastAsia="en-GB" w:bidi="en-GB"/>
      </w:rPr>
    </w:lvl>
    <w:lvl w:ilvl="7" w:tplc="84927D9E">
      <w:numFmt w:val="bullet"/>
      <w:lvlText w:val="•"/>
      <w:lvlJc w:val="left"/>
      <w:pPr>
        <w:ind w:left="5631" w:hanging="217"/>
      </w:pPr>
      <w:rPr>
        <w:rFonts w:hint="default"/>
        <w:lang w:val="en-GB" w:eastAsia="en-GB" w:bidi="en-GB"/>
      </w:rPr>
    </w:lvl>
    <w:lvl w:ilvl="8" w:tplc="BA085950">
      <w:numFmt w:val="bullet"/>
      <w:lvlText w:val="•"/>
      <w:lvlJc w:val="left"/>
      <w:pPr>
        <w:ind w:left="6393" w:hanging="217"/>
      </w:pPr>
      <w:rPr>
        <w:rFonts w:hint="default"/>
        <w:lang w:val="en-GB" w:eastAsia="en-GB" w:bidi="en-GB"/>
      </w:rPr>
    </w:lvl>
  </w:abstractNum>
  <w:abstractNum w:abstractNumId="939" w15:restartNumberingAfterBreak="0">
    <w:nsid w:val="55880D78"/>
    <w:multiLevelType w:val="hybridMultilevel"/>
    <w:tmpl w:val="D38E82F0"/>
    <w:lvl w:ilvl="0" w:tplc="C408DFAC">
      <w:numFmt w:val="bullet"/>
      <w:lvlText w:val="•"/>
      <w:lvlJc w:val="left"/>
      <w:pPr>
        <w:ind w:left="305" w:hanging="217"/>
      </w:pPr>
      <w:rPr>
        <w:rFonts w:ascii="Arial" w:eastAsia="Arial" w:hAnsi="Arial" w:cs="Arial" w:hint="default"/>
        <w:color w:val="231F20"/>
        <w:w w:val="102"/>
        <w:sz w:val="17"/>
        <w:szCs w:val="17"/>
        <w:lang w:val="en-GB" w:eastAsia="en-GB" w:bidi="en-GB"/>
      </w:rPr>
    </w:lvl>
    <w:lvl w:ilvl="1" w:tplc="5B789736">
      <w:numFmt w:val="bullet"/>
      <w:lvlText w:val="•"/>
      <w:lvlJc w:val="left"/>
      <w:pPr>
        <w:ind w:left="892" w:hanging="217"/>
      </w:pPr>
      <w:rPr>
        <w:rFonts w:hint="default"/>
        <w:lang w:val="en-GB" w:eastAsia="en-GB" w:bidi="en-GB"/>
      </w:rPr>
    </w:lvl>
    <w:lvl w:ilvl="2" w:tplc="9126C248">
      <w:numFmt w:val="bullet"/>
      <w:lvlText w:val="•"/>
      <w:lvlJc w:val="left"/>
      <w:pPr>
        <w:ind w:left="1485" w:hanging="217"/>
      </w:pPr>
      <w:rPr>
        <w:rFonts w:hint="default"/>
        <w:lang w:val="en-GB" w:eastAsia="en-GB" w:bidi="en-GB"/>
      </w:rPr>
    </w:lvl>
    <w:lvl w:ilvl="3" w:tplc="BA84F694">
      <w:numFmt w:val="bullet"/>
      <w:lvlText w:val="•"/>
      <w:lvlJc w:val="left"/>
      <w:pPr>
        <w:ind w:left="2077" w:hanging="217"/>
      </w:pPr>
      <w:rPr>
        <w:rFonts w:hint="default"/>
        <w:lang w:val="en-GB" w:eastAsia="en-GB" w:bidi="en-GB"/>
      </w:rPr>
    </w:lvl>
    <w:lvl w:ilvl="4" w:tplc="2AF8C978">
      <w:numFmt w:val="bullet"/>
      <w:lvlText w:val="•"/>
      <w:lvlJc w:val="left"/>
      <w:pPr>
        <w:ind w:left="2670" w:hanging="217"/>
      </w:pPr>
      <w:rPr>
        <w:rFonts w:hint="default"/>
        <w:lang w:val="en-GB" w:eastAsia="en-GB" w:bidi="en-GB"/>
      </w:rPr>
    </w:lvl>
    <w:lvl w:ilvl="5" w:tplc="86783ECE">
      <w:numFmt w:val="bullet"/>
      <w:lvlText w:val="•"/>
      <w:lvlJc w:val="left"/>
      <w:pPr>
        <w:ind w:left="3263" w:hanging="217"/>
      </w:pPr>
      <w:rPr>
        <w:rFonts w:hint="default"/>
        <w:lang w:val="en-GB" w:eastAsia="en-GB" w:bidi="en-GB"/>
      </w:rPr>
    </w:lvl>
    <w:lvl w:ilvl="6" w:tplc="E496F2FC">
      <w:numFmt w:val="bullet"/>
      <w:lvlText w:val="•"/>
      <w:lvlJc w:val="left"/>
      <w:pPr>
        <w:ind w:left="3855" w:hanging="217"/>
      </w:pPr>
      <w:rPr>
        <w:rFonts w:hint="default"/>
        <w:lang w:val="en-GB" w:eastAsia="en-GB" w:bidi="en-GB"/>
      </w:rPr>
    </w:lvl>
    <w:lvl w:ilvl="7" w:tplc="5A4CA26A">
      <w:numFmt w:val="bullet"/>
      <w:lvlText w:val="•"/>
      <w:lvlJc w:val="left"/>
      <w:pPr>
        <w:ind w:left="4448" w:hanging="217"/>
      </w:pPr>
      <w:rPr>
        <w:rFonts w:hint="default"/>
        <w:lang w:val="en-GB" w:eastAsia="en-GB" w:bidi="en-GB"/>
      </w:rPr>
    </w:lvl>
    <w:lvl w:ilvl="8" w:tplc="3D2AC46A">
      <w:numFmt w:val="bullet"/>
      <w:lvlText w:val="•"/>
      <w:lvlJc w:val="left"/>
      <w:pPr>
        <w:ind w:left="5040" w:hanging="217"/>
      </w:pPr>
      <w:rPr>
        <w:rFonts w:hint="default"/>
        <w:lang w:val="en-GB" w:eastAsia="en-GB" w:bidi="en-GB"/>
      </w:rPr>
    </w:lvl>
  </w:abstractNum>
  <w:abstractNum w:abstractNumId="940" w15:restartNumberingAfterBreak="0">
    <w:nsid w:val="55A96B2B"/>
    <w:multiLevelType w:val="hybridMultilevel"/>
    <w:tmpl w:val="567E71C8"/>
    <w:lvl w:ilvl="0" w:tplc="8B4C6AA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AF871DE">
      <w:numFmt w:val="bullet"/>
      <w:lvlText w:val="•"/>
      <w:lvlJc w:val="left"/>
      <w:pPr>
        <w:ind w:left="439" w:hanging="217"/>
      </w:pPr>
      <w:rPr>
        <w:rFonts w:hint="default"/>
        <w:lang w:val="en-GB" w:eastAsia="en-GB" w:bidi="en-GB"/>
      </w:rPr>
    </w:lvl>
    <w:lvl w:ilvl="2" w:tplc="DFD69EAA">
      <w:numFmt w:val="bullet"/>
      <w:lvlText w:val="•"/>
      <w:lvlJc w:val="left"/>
      <w:pPr>
        <w:ind w:left="578" w:hanging="217"/>
      </w:pPr>
      <w:rPr>
        <w:rFonts w:hint="default"/>
        <w:lang w:val="en-GB" w:eastAsia="en-GB" w:bidi="en-GB"/>
      </w:rPr>
    </w:lvl>
    <w:lvl w:ilvl="3" w:tplc="4FC82374">
      <w:numFmt w:val="bullet"/>
      <w:lvlText w:val="•"/>
      <w:lvlJc w:val="left"/>
      <w:pPr>
        <w:ind w:left="717" w:hanging="217"/>
      </w:pPr>
      <w:rPr>
        <w:rFonts w:hint="default"/>
        <w:lang w:val="en-GB" w:eastAsia="en-GB" w:bidi="en-GB"/>
      </w:rPr>
    </w:lvl>
    <w:lvl w:ilvl="4" w:tplc="90E2B9DC">
      <w:numFmt w:val="bullet"/>
      <w:lvlText w:val="•"/>
      <w:lvlJc w:val="left"/>
      <w:pPr>
        <w:ind w:left="856" w:hanging="217"/>
      </w:pPr>
      <w:rPr>
        <w:rFonts w:hint="default"/>
        <w:lang w:val="en-GB" w:eastAsia="en-GB" w:bidi="en-GB"/>
      </w:rPr>
    </w:lvl>
    <w:lvl w:ilvl="5" w:tplc="A60463FC">
      <w:numFmt w:val="bullet"/>
      <w:lvlText w:val="•"/>
      <w:lvlJc w:val="left"/>
      <w:pPr>
        <w:ind w:left="995" w:hanging="217"/>
      </w:pPr>
      <w:rPr>
        <w:rFonts w:hint="default"/>
        <w:lang w:val="en-GB" w:eastAsia="en-GB" w:bidi="en-GB"/>
      </w:rPr>
    </w:lvl>
    <w:lvl w:ilvl="6" w:tplc="59A45A60">
      <w:numFmt w:val="bullet"/>
      <w:lvlText w:val="•"/>
      <w:lvlJc w:val="left"/>
      <w:pPr>
        <w:ind w:left="1134" w:hanging="217"/>
      </w:pPr>
      <w:rPr>
        <w:rFonts w:hint="default"/>
        <w:lang w:val="en-GB" w:eastAsia="en-GB" w:bidi="en-GB"/>
      </w:rPr>
    </w:lvl>
    <w:lvl w:ilvl="7" w:tplc="A0CEA63A">
      <w:numFmt w:val="bullet"/>
      <w:lvlText w:val="•"/>
      <w:lvlJc w:val="left"/>
      <w:pPr>
        <w:ind w:left="1273" w:hanging="217"/>
      </w:pPr>
      <w:rPr>
        <w:rFonts w:hint="default"/>
        <w:lang w:val="en-GB" w:eastAsia="en-GB" w:bidi="en-GB"/>
      </w:rPr>
    </w:lvl>
    <w:lvl w:ilvl="8" w:tplc="AA86680E">
      <w:numFmt w:val="bullet"/>
      <w:lvlText w:val="•"/>
      <w:lvlJc w:val="left"/>
      <w:pPr>
        <w:ind w:left="1412" w:hanging="217"/>
      </w:pPr>
      <w:rPr>
        <w:rFonts w:hint="default"/>
        <w:lang w:val="en-GB" w:eastAsia="en-GB" w:bidi="en-GB"/>
      </w:rPr>
    </w:lvl>
  </w:abstractNum>
  <w:abstractNum w:abstractNumId="941" w15:restartNumberingAfterBreak="0">
    <w:nsid w:val="55AF5FCB"/>
    <w:multiLevelType w:val="hybridMultilevel"/>
    <w:tmpl w:val="5D725DF0"/>
    <w:lvl w:ilvl="0" w:tplc="133EAF2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8069A5C">
      <w:numFmt w:val="bullet"/>
      <w:lvlText w:val="•"/>
      <w:lvlJc w:val="left"/>
      <w:pPr>
        <w:ind w:left="892" w:hanging="217"/>
      </w:pPr>
      <w:rPr>
        <w:rFonts w:hint="default"/>
        <w:lang w:val="en-GB" w:eastAsia="en-GB" w:bidi="en-GB"/>
      </w:rPr>
    </w:lvl>
    <w:lvl w:ilvl="2" w:tplc="5822A0DA">
      <w:numFmt w:val="bullet"/>
      <w:lvlText w:val="•"/>
      <w:lvlJc w:val="left"/>
      <w:pPr>
        <w:ind w:left="1485" w:hanging="217"/>
      </w:pPr>
      <w:rPr>
        <w:rFonts w:hint="default"/>
        <w:lang w:val="en-GB" w:eastAsia="en-GB" w:bidi="en-GB"/>
      </w:rPr>
    </w:lvl>
    <w:lvl w:ilvl="3" w:tplc="4306AE28">
      <w:numFmt w:val="bullet"/>
      <w:lvlText w:val="•"/>
      <w:lvlJc w:val="left"/>
      <w:pPr>
        <w:ind w:left="2077" w:hanging="217"/>
      </w:pPr>
      <w:rPr>
        <w:rFonts w:hint="default"/>
        <w:lang w:val="en-GB" w:eastAsia="en-GB" w:bidi="en-GB"/>
      </w:rPr>
    </w:lvl>
    <w:lvl w:ilvl="4" w:tplc="A36271E4">
      <w:numFmt w:val="bullet"/>
      <w:lvlText w:val="•"/>
      <w:lvlJc w:val="left"/>
      <w:pPr>
        <w:ind w:left="2670" w:hanging="217"/>
      </w:pPr>
      <w:rPr>
        <w:rFonts w:hint="default"/>
        <w:lang w:val="en-GB" w:eastAsia="en-GB" w:bidi="en-GB"/>
      </w:rPr>
    </w:lvl>
    <w:lvl w:ilvl="5" w:tplc="BFBE69EC">
      <w:numFmt w:val="bullet"/>
      <w:lvlText w:val="•"/>
      <w:lvlJc w:val="left"/>
      <w:pPr>
        <w:ind w:left="3263" w:hanging="217"/>
      </w:pPr>
      <w:rPr>
        <w:rFonts w:hint="default"/>
        <w:lang w:val="en-GB" w:eastAsia="en-GB" w:bidi="en-GB"/>
      </w:rPr>
    </w:lvl>
    <w:lvl w:ilvl="6" w:tplc="F3803FE0">
      <w:numFmt w:val="bullet"/>
      <w:lvlText w:val="•"/>
      <w:lvlJc w:val="left"/>
      <w:pPr>
        <w:ind w:left="3855" w:hanging="217"/>
      </w:pPr>
      <w:rPr>
        <w:rFonts w:hint="default"/>
        <w:lang w:val="en-GB" w:eastAsia="en-GB" w:bidi="en-GB"/>
      </w:rPr>
    </w:lvl>
    <w:lvl w:ilvl="7" w:tplc="BFD62508">
      <w:numFmt w:val="bullet"/>
      <w:lvlText w:val="•"/>
      <w:lvlJc w:val="left"/>
      <w:pPr>
        <w:ind w:left="4448" w:hanging="217"/>
      </w:pPr>
      <w:rPr>
        <w:rFonts w:hint="default"/>
        <w:lang w:val="en-GB" w:eastAsia="en-GB" w:bidi="en-GB"/>
      </w:rPr>
    </w:lvl>
    <w:lvl w:ilvl="8" w:tplc="262E3246">
      <w:numFmt w:val="bullet"/>
      <w:lvlText w:val="•"/>
      <w:lvlJc w:val="left"/>
      <w:pPr>
        <w:ind w:left="5040" w:hanging="217"/>
      </w:pPr>
      <w:rPr>
        <w:rFonts w:hint="default"/>
        <w:lang w:val="en-GB" w:eastAsia="en-GB" w:bidi="en-GB"/>
      </w:rPr>
    </w:lvl>
  </w:abstractNum>
  <w:abstractNum w:abstractNumId="942" w15:restartNumberingAfterBreak="0">
    <w:nsid w:val="55B30332"/>
    <w:multiLevelType w:val="hybridMultilevel"/>
    <w:tmpl w:val="6BCE3740"/>
    <w:lvl w:ilvl="0" w:tplc="E8E8A5B4">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660084FA">
      <w:numFmt w:val="bullet"/>
      <w:lvlText w:val="•"/>
      <w:lvlJc w:val="left"/>
      <w:pPr>
        <w:ind w:left="467" w:hanging="217"/>
      </w:pPr>
      <w:rPr>
        <w:rFonts w:hint="default"/>
        <w:lang w:val="en-GB" w:eastAsia="en-GB" w:bidi="en-GB"/>
      </w:rPr>
    </w:lvl>
    <w:lvl w:ilvl="2" w:tplc="11EE3644">
      <w:numFmt w:val="bullet"/>
      <w:lvlText w:val="•"/>
      <w:lvlJc w:val="left"/>
      <w:pPr>
        <w:ind w:left="634" w:hanging="217"/>
      </w:pPr>
      <w:rPr>
        <w:rFonts w:hint="default"/>
        <w:lang w:val="en-GB" w:eastAsia="en-GB" w:bidi="en-GB"/>
      </w:rPr>
    </w:lvl>
    <w:lvl w:ilvl="3" w:tplc="25685558">
      <w:numFmt w:val="bullet"/>
      <w:lvlText w:val="•"/>
      <w:lvlJc w:val="left"/>
      <w:pPr>
        <w:ind w:left="802" w:hanging="217"/>
      </w:pPr>
      <w:rPr>
        <w:rFonts w:hint="default"/>
        <w:lang w:val="en-GB" w:eastAsia="en-GB" w:bidi="en-GB"/>
      </w:rPr>
    </w:lvl>
    <w:lvl w:ilvl="4" w:tplc="6C34A192">
      <w:numFmt w:val="bullet"/>
      <w:lvlText w:val="•"/>
      <w:lvlJc w:val="left"/>
      <w:pPr>
        <w:ind w:left="969" w:hanging="217"/>
      </w:pPr>
      <w:rPr>
        <w:rFonts w:hint="default"/>
        <w:lang w:val="en-GB" w:eastAsia="en-GB" w:bidi="en-GB"/>
      </w:rPr>
    </w:lvl>
    <w:lvl w:ilvl="5" w:tplc="02F6CFDC">
      <w:numFmt w:val="bullet"/>
      <w:lvlText w:val="•"/>
      <w:lvlJc w:val="left"/>
      <w:pPr>
        <w:ind w:left="1137" w:hanging="217"/>
      </w:pPr>
      <w:rPr>
        <w:rFonts w:hint="default"/>
        <w:lang w:val="en-GB" w:eastAsia="en-GB" w:bidi="en-GB"/>
      </w:rPr>
    </w:lvl>
    <w:lvl w:ilvl="6" w:tplc="9F948116">
      <w:numFmt w:val="bullet"/>
      <w:lvlText w:val="•"/>
      <w:lvlJc w:val="left"/>
      <w:pPr>
        <w:ind w:left="1304" w:hanging="217"/>
      </w:pPr>
      <w:rPr>
        <w:rFonts w:hint="default"/>
        <w:lang w:val="en-GB" w:eastAsia="en-GB" w:bidi="en-GB"/>
      </w:rPr>
    </w:lvl>
    <w:lvl w:ilvl="7" w:tplc="9F0ACF72">
      <w:numFmt w:val="bullet"/>
      <w:lvlText w:val="•"/>
      <w:lvlJc w:val="left"/>
      <w:pPr>
        <w:ind w:left="1471" w:hanging="217"/>
      </w:pPr>
      <w:rPr>
        <w:rFonts w:hint="default"/>
        <w:lang w:val="en-GB" w:eastAsia="en-GB" w:bidi="en-GB"/>
      </w:rPr>
    </w:lvl>
    <w:lvl w:ilvl="8" w:tplc="05F6F72C">
      <w:numFmt w:val="bullet"/>
      <w:lvlText w:val="•"/>
      <w:lvlJc w:val="left"/>
      <w:pPr>
        <w:ind w:left="1639" w:hanging="217"/>
      </w:pPr>
      <w:rPr>
        <w:rFonts w:hint="default"/>
        <w:lang w:val="en-GB" w:eastAsia="en-GB" w:bidi="en-GB"/>
      </w:rPr>
    </w:lvl>
  </w:abstractNum>
  <w:abstractNum w:abstractNumId="943" w15:restartNumberingAfterBreak="0">
    <w:nsid w:val="55BB40E1"/>
    <w:multiLevelType w:val="hybridMultilevel"/>
    <w:tmpl w:val="5D9204CA"/>
    <w:lvl w:ilvl="0" w:tplc="F59C2DD4">
      <w:numFmt w:val="bullet"/>
      <w:lvlText w:val="•"/>
      <w:lvlJc w:val="left"/>
      <w:pPr>
        <w:ind w:left="2010" w:hanging="217"/>
      </w:pPr>
      <w:rPr>
        <w:rFonts w:ascii="Arial" w:eastAsia="Arial" w:hAnsi="Arial" w:cs="Arial" w:hint="default"/>
        <w:color w:val="231F20"/>
        <w:spacing w:val="-1"/>
        <w:w w:val="100"/>
        <w:sz w:val="18"/>
        <w:szCs w:val="18"/>
        <w:lang w:val="en-GB" w:eastAsia="en-GB" w:bidi="en-GB"/>
      </w:rPr>
    </w:lvl>
    <w:lvl w:ilvl="1" w:tplc="6BAAD08A">
      <w:numFmt w:val="bullet"/>
      <w:lvlText w:val="•"/>
      <w:lvlJc w:val="left"/>
      <w:pPr>
        <w:ind w:left="2582" w:hanging="217"/>
      </w:pPr>
      <w:rPr>
        <w:rFonts w:hint="default"/>
        <w:lang w:val="en-GB" w:eastAsia="en-GB" w:bidi="en-GB"/>
      </w:rPr>
    </w:lvl>
    <w:lvl w:ilvl="2" w:tplc="E62E2DAE">
      <w:numFmt w:val="bullet"/>
      <w:lvlText w:val="•"/>
      <w:lvlJc w:val="left"/>
      <w:pPr>
        <w:ind w:left="3144" w:hanging="217"/>
      </w:pPr>
      <w:rPr>
        <w:rFonts w:hint="default"/>
        <w:lang w:val="en-GB" w:eastAsia="en-GB" w:bidi="en-GB"/>
      </w:rPr>
    </w:lvl>
    <w:lvl w:ilvl="3" w:tplc="B420B8F0">
      <w:numFmt w:val="bullet"/>
      <w:lvlText w:val="•"/>
      <w:lvlJc w:val="left"/>
      <w:pPr>
        <w:ind w:left="3706" w:hanging="217"/>
      </w:pPr>
      <w:rPr>
        <w:rFonts w:hint="default"/>
        <w:lang w:val="en-GB" w:eastAsia="en-GB" w:bidi="en-GB"/>
      </w:rPr>
    </w:lvl>
    <w:lvl w:ilvl="4" w:tplc="762E4EE6">
      <w:numFmt w:val="bullet"/>
      <w:lvlText w:val="•"/>
      <w:lvlJc w:val="left"/>
      <w:pPr>
        <w:ind w:left="4269" w:hanging="217"/>
      </w:pPr>
      <w:rPr>
        <w:rFonts w:hint="default"/>
        <w:lang w:val="en-GB" w:eastAsia="en-GB" w:bidi="en-GB"/>
      </w:rPr>
    </w:lvl>
    <w:lvl w:ilvl="5" w:tplc="40904D90">
      <w:numFmt w:val="bullet"/>
      <w:lvlText w:val="•"/>
      <w:lvlJc w:val="left"/>
      <w:pPr>
        <w:ind w:left="4831" w:hanging="217"/>
      </w:pPr>
      <w:rPr>
        <w:rFonts w:hint="default"/>
        <w:lang w:val="en-GB" w:eastAsia="en-GB" w:bidi="en-GB"/>
      </w:rPr>
    </w:lvl>
    <w:lvl w:ilvl="6" w:tplc="FC643386">
      <w:numFmt w:val="bullet"/>
      <w:lvlText w:val="•"/>
      <w:lvlJc w:val="left"/>
      <w:pPr>
        <w:ind w:left="5393" w:hanging="217"/>
      </w:pPr>
      <w:rPr>
        <w:rFonts w:hint="default"/>
        <w:lang w:val="en-GB" w:eastAsia="en-GB" w:bidi="en-GB"/>
      </w:rPr>
    </w:lvl>
    <w:lvl w:ilvl="7" w:tplc="FB94F8E0">
      <w:numFmt w:val="bullet"/>
      <w:lvlText w:val="•"/>
      <w:lvlJc w:val="left"/>
      <w:pPr>
        <w:ind w:left="5956" w:hanging="217"/>
      </w:pPr>
      <w:rPr>
        <w:rFonts w:hint="default"/>
        <w:lang w:val="en-GB" w:eastAsia="en-GB" w:bidi="en-GB"/>
      </w:rPr>
    </w:lvl>
    <w:lvl w:ilvl="8" w:tplc="3ED855D0">
      <w:numFmt w:val="bullet"/>
      <w:lvlText w:val="•"/>
      <w:lvlJc w:val="left"/>
      <w:pPr>
        <w:ind w:left="6518" w:hanging="217"/>
      </w:pPr>
      <w:rPr>
        <w:rFonts w:hint="default"/>
        <w:lang w:val="en-GB" w:eastAsia="en-GB" w:bidi="en-GB"/>
      </w:rPr>
    </w:lvl>
  </w:abstractNum>
  <w:abstractNum w:abstractNumId="944" w15:restartNumberingAfterBreak="0">
    <w:nsid w:val="55F72060"/>
    <w:multiLevelType w:val="hybridMultilevel"/>
    <w:tmpl w:val="9B0C9F6E"/>
    <w:lvl w:ilvl="0" w:tplc="E6AABA7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161464BA">
      <w:numFmt w:val="bullet"/>
      <w:lvlText w:val="•"/>
      <w:lvlJc w:val="left"/>
      <w:pPr>
        <w:ind w:left="444" w:hanging="217"/>
      </w:pPr>
      <w:rPr>
        <w:rFonts w:hint="default"/>
        <w:lang w:val="en-GB" w:eastAsia="en-GB" w:bidi="en-GB"/>
      </w:rPr>
    </w:lvl>
    <w:lvl w:ilvl="2" w:tplc="93964DCC">
      <w:numFmt w:val="bullet"/>
      <w:lvlText w:val="•"/>
      <w:lvlJc w:val="left"/>
      <w:pPr>
        <w:ind w:left="589" w:hanging="217"/>
      </w:pPr>
      <w:rPr>
        <w:rFonts w:hint="default"/>
        <w:lang w:val="en-GB" w:eastAsia="en-GB" w:bidi="en-GB"/>
      </w:rPr>
    </w:lvl>
    <w:lvl w:ilvl="3" w:tplc="E2161272">
      <w:numFmt w:val="bullet"/>
      <w:lvlText w:val="•"/>
      <w:lvlJc w:val="left"/>
      <w:pPr>
        <w:ind w:left="734" w:hanging="217"/>
      </w:pPr>
      <w:rPr>
        <w:rFonts w:hint="default"/>
        <w:lang w:val="en-GB" w:eastAsia="en-GB" w:bidi="en-GB"/>
      </w:rPr>
    </w:lvl>
    <w:lvl w:ilvl="4" w:tplc="0C267636">
      <w:numFmt w:val="bullet"/>
      <w:lvlText w:val="•"/>
      <w:lvlJc w:val="left"/>
      <w:pPr>
        <w:ind w:left="878" w:hanging="217"/>
      </w:pPr>
      <w:rPr>
        <w:rFonts w:hint="default"/>
        <w:lang w:val="en-GB" w:eastAsia="en-GB" w:bidi="en-GB"/>
      </w:rPr>
    </w:lvl>
    <w:lvl w:ilvl="5" w:tplc="7FCAF7AE">
      <w:numFmt w:val="bullet"/>
      <w:lvlText w:val="•"/>
      <w:lvlJc w:val="left"/>
      <w:pPr>
        <w:ind w:left="1023" w:hanging="217"/>
      </w:pPr>
      <w:rPr>
        <w:rFonts w:hint="default"/>
        <w:lang w:val="en-GB" w:eastAsia="en-GB" w:bidi="en-GB"/>
      </w:rPr>
    </w:lvl>
    <w:lvl w:ilvl="6" w:tplc="714C0E18">
      <w:numFmt w:val="bullet"/>
      <w:lvlText w:val="•"/>
      <w:lvlJc w:val="left"/>
      <w:pPr>
        <w:ind w:left="1168" w:hanging="217"/>
      </w:pPr>
      <w:rPr>
        <w:rFonts w:hint="default"/>
        <w:lang w:val="en-GB" w:eastAsia="en-GB" w:bidi="en-GB"/>
      </w:rPr>
    </w:lvl>
    <w:lvl w:ilvl="7" w:tplc="16E6EFF2">
      <w:numFmt w:val="bullet"/>
      <w:lvlText w:val="•"/>
      <w:lvlJc w:val="left"/>
      <w:pPr>
        <w:ind w:left="1312" w:hanging="217"/>
      </w:pPr>
      <w:rPr>
        <w:rFonts w:hint="default"/>
        <w:lang w:val="en-GB" w:eastAsia="en-GB" w:bidi="en-GB"/>
      </w:rPr>
    </w:lvl>
    <w:lvl w:ilvl="8" w:tplc="C59452E4">
      <w:numFmt w:val="bullet"/>
      <w:lvlText w:val="•"/>
      <w:lvlJc w:val="left"/>
      <w:pPr>
        <w:ind w:left="1457" w:hanging="217"/>
      </w:pPr>
      <w:rPr>
        <w:rFonts w:hint="default"/>
        <w:lang w:val="en-GB" w:eastAsia="en-GB" w:bidi="en-GB"/>
      </w:rPr>
    </w:lvl>
  </w:abstractNum>
  <w:abstractNum w:abstractNumId="945" w15:restartNumberingAfterBreak="0">
    <w:nsid w:val="55F859E6"/>
    <w:multiLevelType w:val="hybridMultilevel"/>
    <w:tmpl w:val="19B6BF3E"/>
    <w:lvl w:ilvl="0" w:tplc="2F48226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152E030">
      <w:numFmt w:val="bullet"/>
      <w:lvlText w:val="•"/>
      <w:lvlJc w:val="left"/>
      <w:pPr>
        <w:ind w:left="892" w:hanging="217"/>
      </w:pPr>
      <w:rPr>
        <w:rFonts w:hint="default"/>
        <w:lang w:val="en-GB" w:eastAsia="en-GB" w:bidi="en-GB"/>
      </w:rPr>
    </w:lvl>
    <w:lvl w:ilvl="2" w:tplc="3CC6FDB2">
      <w:numFmt w:val="bullet"/>
      <w:lvlText w:val="•"/>
      <w:lvlJc w:val="left"/>
      <w:pPr>
        <w:ind w:left="1485" w:hanging="217"/>
      </w:pPr>
      <w:rPr>
        <w:rFonts w:hint="default"/>
        <w:lang w:val="en-GB" w:eastAsia="en-GB" w:bidi="en-GB"/>
      </w:rPr>
    </w:lvl>
    <w:lvl w:ilvl="3" w:tplc="2E5E35B0">
      <w:numFmt w:val="bullet"/>
      <w:lvlText w:val="•"/>
      <w:lvlJc w:val="left"/>
      <w:pPr>
        <w:ind w:left="2077" w:hanging="217"/>
      </w:pPr>
      <w:rPr>
        <w:rFonts w:hint="default"/>
        <w:lang w:val="en-GB" w:eastAsia="en-GB" w:bidi="en-GB"/>
      </w:rPr>
    </w:lvl>
    <w:lvl w:ilvl="4" w:tplc="00C27FE6">
      <w:numFmt w:val="bullet"/>
      <w:lvlText w:val="•"/>
      <w:lvlJc w:val="left"/>
      <w:pPr>
        <w:ind w:left="2670" w:hanging="217"/>
      </w:pPr>
      <w:rPr>
        <w:rFonts w:hint="default"/>
        <w:lang w:val="en-GB" w:eastAsia="en-GB" w:bidi="en-GB"/>
      </w:rPr>
    </w:lvl>
    <w:lvl w:ilvl="5" w:tplc="2B0E18E0">
      <w:numFmt w:val="bullet"/>
      <w:lvlText w:val="•"/>
      <w:lvlJc w:val="left"/>
      <w:pPr>
        <w:ind w:left="3263" w:hanging="217"/>
      </w:pPr>
      <w:rPr>
        <w:rFonts w:hint="default"/>
        <w:lang w:val="en-GB" w:eastAsia="en-GB" w:bidi="en-GB"/>
      </w:rPr>
    </w:lvl>
    <w:lvl w:ilvl="6" w:tplc="ACE2F052">
      <w:numFmt w:val="bullet"/>
      <w:lvlText w:val="•"/>
      <w:lvlJc w:val="left"/>
      <w:pPr>
        <w:ind w:left="3855" w:hanging="217"/>
      </w:pPr>
      <w:rPr>
        <w:rFonts w:hint="default"/>
        <w:lang w:val="en-GB" w:eastAsia="en-GB" w:bidi="en-GB"/>
      </w:rPr>
    </w:lvl>
    <w:lvl w:ilvl="7" w:tplc="03947F76">
      <w:numFmt w:val="bullet"/>
      <w:lvlText w:val="•"/>
      <w:lvlJc w:val="left"/>
      <w:pPr>
        <w:ind w:left="4448" w:hanging="217"/>
      </w:pPr>
      <w:rPr>
        <w:rFonts w:hint="default"/>
        <w:lang w:val="en-GB" w:eastAsia="en-GB" w:bidi="en-GB"/>
      </w:rPr>
    </w:lvl>
    <w:lvl w:ilvl="8" w:tplc="30104B40">
      <w:numFmt w:val="bullet"/>
      <w:lvlText w:val="•"/>
      <w:lvlJc w:val="left"/>
      <w:pPr>
        <w:ind w:left="5040" w:hanging="217"/>
      </w:pPr>
      <w:rPr>
        <w:rFonts w:hint="default"/>
        <w:lang w:val="en-GB" w:eastAsia="en-GB" w:bidi="en-GB"/>
      </w:rPr>
    </w:lvl>
  </w:abstractNum>
  <w:abstractNum w:abstractNumId="946" w15:restartNumberingAfterBreak="0">
    <w:nsid w:val="56107BD5"/>
    <w:multiLevelType w:val="hybridMultilevel"/>
    <w:tmpl w:val="DE725574"/>
    <w:lvl w:ilvl="0" w:tplc="C70CA80A">
      <w:numFmt w:val="bullet"/>
      <w:lvlText w:val="•"/>
      <w:lvlJc w:val="left"/>
      <w:pPr>
        <w:ind w:left="304" w:hanging="217"/>
      </w:pPr>
      <w:rPr>
        <w:rFonts w:ascii="Arial" w:eastAsia="Arial" w:hAnsi="Arial" w:cs="Arial" w:hint="default"/>
        <w:color w:val="231F20"/>
        <w:spacing w:val="-20"/>
        <w:w w:val="100"/>
        <w:sz w:val="18"/>
        <w:szCs w:val="18"/>
        <w:lang w:val="en-GB" w:eastAsia="en-GB" w:bidi="en-GB"/>
      </w:rPr>
    </w:lvl>
    <w:lvl w:ilvl="1" w:tplc="1506FD4C">
      <w:numFmt w:val="bullet"/>
      <w:lvlText w:val="•"/>
      <w:lvlJc w:val="left"/>
      <w:pPr>
        <w:ind w:left="544" w:hanging="217"/>
      </w:pPr>
      <w:rPr>
        <w:rFonts w:hint="default"/>
        <w:lang w:val="en-GB" w:eastAsia="en-GB" w:bidi="en-GB"/>
      </w:rPr>
    </w:lvl>
    <w:lvl w:ilvl="2" w:tplc="D92CEED0">
      <w:numFmt w:val="bullet"/>
      <w:lvlText w:val="•"/>
      <w:lvlJc w:val="left"/>
      <w:pPr>
        <w:ind w:left="788" w:hanging="217"/>
      </w:pPr>
      <w:rPr>
        <w:rFonts w:hint="default"/>
        <w:lang w:val="en-GB" w:eastAsia="en-GB" w:bidi="en-GB"/>
      </w:rPr>
    </w:lvl>
    <w:lvl w:ilvl="3" w:tplc="5010D890">
      <w:numFmt w:val="bullet"/>
      <w:lvlText w:val="•"/>
      <w:lvlJc w:val="left"/>
      <w:pPr>
        <w:ind w:left="1032" w:hanging="217"/>
      </w:pPr>
      <w:rPr>
        <w:rFonts w:hint="default"/>
        <w:lang w:val="en-GB" w:eastAsia="en-GB" w:bidi="en-GB"/>
      </w:rPr>
    </w:lvl>
    <w:lvl w:ilvl="4" w:tplc="B8ECE928">
      <w:numFmt w:val="bullet"/>
      <w:lvlText w:val="•"/>
      <w:lvlJc w:val="left"/>
      <w:pPr>
        <w:ind w:left="1276" w:hanging="217"/>
      </w:pPr>
      <w:rPr>
        <w:rFonts w:hint="default"/>
        <w:lang w:val="en-GB" w:eastAsia="en-GB" w:bidi="en-GB"/>
      </w:rPr>
    </w:lvl>
    <w:lvl w:ilvl="5" w:tplc="50369798">
      <w:numFmt w:val="bullet"/>
      <w:lvlText w:val="•"/>
      <w:lvlJc w:val="left"/>
      <w:pPr>
        <w:ind w:left="1520" w:hanging="217"/>
      </w:pPr>
      <w:rPr>
        <w:rFonts w:hint="default"/>
        <w:lang w:val="en-GB" w:eastAsia="en-GB" w:bidi="en-GB"/>
      </w:rPr>
    </w:lvl>
    <w:lvl w:ilvl="6" w:tplc="3A7CEEE2">
      <w:numFmt w:val="bullet"/>
      <w:lvlText w:val="•"/>
      <w:lvlJc w:val="left"/>
      <w:pPr>
        <w:ind w:left="1764" w:hanging="217"/>
      </w:pPr>
      <w:rPr>
        <w:rFonts w:hint="default"/>
        <w:lang w:val="en-GB" w:eastAsia="en-GB" w:bidi="en-GB"/>
      </w:rPr>
    </w:lvl>
    <w:lvl w:ilvl="7" w:tplc="0D3625E4">
      <w:numFmt w:val="bullet"/>
      <w:lvlText w:val="•"/>
      <w:lvlJc w:val="left"/>
      <w:pPr>
        <w:ind w:left="2008" w:hanging="217"/>
      </w:pPr>
      <w:rPr>
        <w:rFonts w:hint="default"/>
        <w:lang w:val="en-GB" w:eastAsia="en-GB" w:bidi="en-GB"/>
      </w:rPr>
    </w:lvl>
    <w:lvl w:ilvl="8" w:tplc="241A5934">
      <w:numFmt w:val="bullet"/>
      <w:lvlText w:val="•"/>
      <w:lvlJc w:val="left"/>
      <w:pPr>
        <w:ind w:left="2252" w:hanging="217"/>
      </w:pPr>
      <w:rPr>
        <w:rFonts w:hint="default"/>
        <w:lang w:val="en-GB" w:eastAsia="en-GB" w:bidi="en-GB"/>
      </w:rPr>
    </w:lvl>
  </w:abstractNum>
  <w:abstractNum w:abstractNumId="947" w15:restartNumberingAfterBreak="0">
    <w:nsid w:val="56205B2A"/>
    <w:multiLevelType w:val="hybridMultilevel"/>
    <w:tmpl w:val="371C9B88"/>
    <w:lvl w:ilvl="0" w:tplc="59BE345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1B0067C">
      <w:numFmt w:val="bullet"/>
      <w:lvlText w:val="•"/>
      <w:lvlJc w:val="left"/>
      <w:pPr>
        <w:ind w:left="439" w:hanging="217"/>
      </w:pPr>
      <w:rPr>
        <w:rFonts w:hint="default"/>
        <w:lang w:val="en-GB" w:eastAsia="en-GB" w:bidi="en-GB"/>
      </w:rPr>
    </w:lvl>
    <w:lvl w:ilvl="2" w:tplc="11009A5A">
      <w:numFmt w:val="bullet"/>
      <w:lvlText w:val="•"/>
      <w:lvlJc w:val="left"/>
      <w:pPr>
        <w:ind w:left="578" w:hanging="217"/>
      </w:pPr>
      <w:rPr>
        <w:rFonts w:hint="default"/>
        <w:lang w:val="en-GB" w:eastAsia="en-GB" w:bidi="en-GB"/>
      </w:rPr>
    </w:lvl>
    <w:lvl w:ilvl="3" w:tplc="1A4404A2">
      <w:numFmt w:val="bullet"/>
      <w:lvlText w:val="•"/>
      <w:lvlJc w:val="left"/>
      <w:pPr>
        <w:ind w:left="717" w:hanging="217"/>
      </w:pPr>
      <w:rPr>
        <w:rFonts w:hint="default"/>
        <w:lang w:val="en-GB" w:eastAsia="en-GB" w:bidi="en-GB"/>
      </w:rPr>
    </w:lvl>
    <w:lvl w:ilvl="4" w:tplc="0070296C">
      <w:numFmt w:val="bullet"/>
      <w:lvlText w:val="•"/>
      <w:lvlJc w:val="left"/>
      <w:pPr>
        <w:ind w:left="856" w:hanging="217"/>
      </w:pPr>
      <w:rPr>
        <w:rFonts w:hint="default"/>
        <w:lang w:val="en-GB" w:eastAsia="en-GB" w:bidi="en-GB"/>
      </w:rPr>
    </w:lvl>
    <w:lvl w:ilvl="5" w:tplc="959874E0">
      <w:numFmt w:val="bullet"/>
      <w:lvlText w:val="•"/>
      <w:lvlJc w:val="left"/>
      <w:pPr>
        <w:ind w:left="995" w:hanging="217"/>
      </w:pPr>
      <w:rPr>
        <w:rFonts w:hint="default"/>
        <w:lang w:val="en-GB" w:eastAsia="en-GB" w:bidi="en-GB"/>
      </w:rPr>
    </w:lvl>
    <w:lvl w:ilvl="6" w:tplc="16C83CFC">
      <w:numFmt w:val="bullet"/>
      <w:lvlText w:val="•"/>
      <w:lvlJc w:val="left"/>
      <w:pPr>
        <w:ind w:left="1134" w:hanging="217"/>
      </w:pPr>
      <w:rPr>
        <w:rFonts w:hint="default"/>
        <w:lang w:val="en-GB" w:eastAsia="en-GB" w:bidi="en-GB"/>
      </w:rPr>
    </w:lvl>
    <w:lvl w:ilvl="7" w:tplc="16A4EFD8">
      <w:numFmt w:val="bullet"/>
      <w:lvlText w:val="•"/>
      <w:lvlJc w:val="left"/>
      <w:pPr>
        <w:ind w:left="1273" w:hanging="217"/>
      </w:pPr>
      <w:rPr>
        <w:rFonts w:hint="default"/>
        <w:lang w:val="en-GB" w:eastAsia="en-GB" w:bidi="en-GB"/>
      </w:rPr>
    </w:lvl>
    <w:lvl w:ilvl="8" w:tplc="B9568C36">
      <w:numFmt w:val="bullet"/>
      <w:lvlText w:val="•"/>
      <w:lvlJc w:val="left"/>
      <w:pPr>
        <w:ind w:left="1412" w:hanging="217"/>
      </w:pPr>
      <w:rPr>
        <w:rFonts w:hint="default"/>
        <w:lang w:val="en-GB" w:eastAsia="en-GB" w:bidi="en-GB"/>
      </w:rPr>
    </w:lvl>
  </w:abstractNum>
  <w:abstractNum w:abstractNumId="948" w15:restartNumberingAfterBreak="0">
    <w:nsid w:val="5628127A"/>
    <w:multiLevelType w:val="hybridMultilevel"/>
    <w:tmpl w:val="2A44BB68"/>
    <w:lvl w:ilvl="0" w:tplc="141AAD1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24A05D38">
      <w:numFmt w:val="bullet"/>
      <w:lvlText w:val="•"/>
      <w:lvlJc w:val="left"/>
      <w:pPr>
        <w:ind w:left="541" w:hanging="217"/>
      </w:pPr>
      <w:rPr>
        <w:rFonts w:hint="default"/>
        <w:lang w:val="en-GB" w:eastAsia="en-GB" w:bidi="en-GB"/>
      </w:rPr>
    </w:lvl>
    <w:lvl w:ilvl="2" w:tplc="9556AFD4">
      <w:numFmt w:val="bullet"/>
      <w:lvlText w:val="•"/>
      <w:lvlJc w:val="left"/>
      <w:pPr>
        <w:ind w:left="782" w:hanging="217"/>
      </w:pPr>
      <w:rPr>
        <w:rFonts w:hint="default"/>
        <w:lang w:val="en-GB" w:eastAsia="en-GB" w:bidi="en-GB"/>
      </w:rPr>
    </w:lvl>
    <w:lvl w:ilvl="3" w:tplc="D24C6EAE">
      <w:numFmt w:val="bullet"/>
      <w:lvlText w:val="•"/>
      <w:lvlJc w:val="left"/>
      <w:pPr>
        <w:ind w:left="1023" w:hanging="217"/>
      </w:pPr>
      <w:rPr>
        <w:rFonts w:hint="default"/>
        <w:lang w:val="en-GB" w:eastAsia="en-GB" w:bidi="en-GB"/>
      </w:rPr>
    </w:lvl>
    <w:lvl w:ilvl="4" w:tplc="6D62AA90">
      <w:numFmt w:val="bullet"/>
      <w:lvlText w:val="•"/>
      <w:lvlJc w:val="left"/>
      <w:pPr>
        <w:ind w:left="1264" w:hanging="217"/>
      </w:pPr>
      <w:rPr>
        <w:rFonts w:hint="default"/>
        <w:lang w:val="en-GB" w:eastAsia="en-GB" w:bidi="en-GB"/>
      </w:rPr>
    </w:lvl>
    <w:lvl w:ilvl="5" w:tplc="DD7A51A0">
      <w:numFmt w:val="bullet"/>
      <w:lvlText w:val="•"/>
      <w:lvlJc w:val="left"/>
      <w:pPr>
        <w:ind w:left="1505" w:hanging="217"/>
      </w:pPr>
      <w:rPr>
        <w:rFonts w:hint="default"/>
        <w:lang w:val="en-GB" w:eastAsia="en-GB" w:bidi="en-GB"/>
      </w:rPr>
    </w:lvl>
    <w:lvl w:ilvl="6" w:tplc="E636578C">
      <w:numFmt w:val="bullet"/>
      <w:lvlText w:val="•"/>
      <w:lvlJc w:val="left"/>
      <w:pPr>
        <w:ind w:left="1746" w:hanging="217"/>
      </w:pPr>
      <w:rPr>
        <w:rFonts w:hint="default"/>
        <w:lang w:val="en-GB" w:eastAsia="en-GB" w:bidi="en-GB"/>
      </w:rPr>
    </w:lvl>
    <w:lvl w:ilvl="7" w:tplc="F8600E12">
      <w:numFmt w:val="bullet"/>
      <w:lvlText w:val="•"/>
      <w:lvlJc w:val="left"/>
      <w:pPr>
        <w:ind w:left="1987" w:hanging="217"/>
      </w:pPr>
      <w:rPr>
        <w:rFonts w:hint="default"/>
        <w:lang w:val="en-GB" w:eastAsia="en-GB" w:bidi="en-GB"/>
      </w:rPr>
    </w:lvl>
    <w:lvl w:ilvl="8" w:tplc="370C2488">
      <w:numFmt w:val="bullet"/>
      <w:lvlText w:val="•"/>
      <w:lvlJc w:val="left"/>
      <w:pPr>
        <w:ind w:left="2228" w:hanging="217"/>
      </w:pPr>
      <w:rPr>
        <w:rFonts w:hint="default"/>
        <w:lang w:val="en-GB" w:eastAsia="en-GB" w:bidi="en-GB"/>
      </w:rPr>
    </w:lvl>
  </w:abstractNum>
  <w:abstractNum w:abstractNumId="949" w15:restartNumberingAfterBreak="0">
    <w:nsid w:val="5689108C"/>
    <w:multiLevelType w:val="hybridMultilevel"/>
    <w:tmpl w:val="0D22456C"/>
    <w:lvl w:ilvl="0" w:tplc="BB38DD52">
      <w:numFmt w:val="bullet"/>
      <w:lvlText w:val="•"/>
      <w:lvlJc w:val="left"/>
      <w:pPr>
        <w:ind w:left="276" w:hanging="217"/>
      </w:pPr>
      <w:rPr>
        <w:rFonts w:ascii="Arial" w:eastAsia="Arial" w:hAnsi="Arial" w:cs="Arial" w:hint="default"/>
        <w:color w:val="231F20"/>
        <w:w w:val="97"/>
        <w:sz w:val="16"/>
        <w:szCs w:val="16"/>
        <w:lang w:val="en-GB" w:eastAsia="en-GB" w:bidi="en-GB"/>
      </w:rPr>
    </w:lvl>
    <w:lvl w:ilvl="1" w:tplc="3266C25E">
      <w:numFmt w:val="bullet"/>
      <w:lvlText w:val="•"/>
      <w:lvlJc w:val="left"/>
      <w:pPr>
        <w:ind w:left="381" w:hanging="217"/>
      </w:pPr>
      <w:rPr>
        <w:rFonts w:hint="default"/>
        <w:lang w:val="en-GB" w:eastAsia="en-GB" w:bidi="en-GB"/>
      </w:rPr>
    </w:lvl>
    <w:lvl w:ilvl="2" w:tplc="1160D068">
      <w:numFmt w:val="bullet"/>
      <w:lvlText w:val="•"/>
      <w:lvlJc w:val="left"/>
      <w:pPr>
        <w:ind w:left="482" w:hanging="217"/>
      </w:pPr>
      <w:rPr>
        <w:rFonts w:hint="default"/>
        <w:lang w:val="en-GB" w:eastAsia="en-GB" w:bidi="en-GB"/>
      </w:rPr>
    </w:lvl>
    <w:lvl w:ilvl="3" w:tplc="9BBA9C20">
      <w:numFmt w:val="bullet"/>
      <w:lvlText w:val="•"/>
      <w:lvlJc w:val="left"/>
      <w:pPr>
        <w:ind w:left="584" w:hanging="217"/>
      </w:pPr>
      <w:rPr>
        <w:rFonts w:hint="default"/>
        <w:lang w:val="en-GB" w:eastAsia="en-GB" w:bidi="en-GB"/>
      </w:rPr>
    </w:lvl>
    <w:lvl w:ilvl="4" w:tplc="F3466882">
      <w:numFmt w:val="bullet"/>
      <w:lvlText w:val="•"/>
      <w:lvlJc w:val="left"/>
      <w:pPr>
        <w:ind w:left="685" w:hanging="217"/>
      </w:pPr>
      <w:rPr>
        <w:rFonts w:hint="default"/>
        <w:lang w:val="en-GB" w:eastAsia="en-GB" w:bidi="en-GB"/>
      </w:rPr>
    </w:lvl>
    <w:lvl w:ilvl="5" w:tplc="9C1EC076">
      <w:numFmt w:val="bullet"/>
      <w:lvlText w:val="•"/>
      <w:lvlJc w:val="left"/>
      <w:pPr>
        <w:ind w:left="787" w:hanging="217"/>
      </w:pPr>
      <w:rPr>
        <w:rFonts w:hint="default"/>
        <w:lang w:val="en-GB" w:eastAsia="en-GB" w:bidi="en-GB"/>
      </w:rPr>
    </w:lvl>
    <w:lvl w:ilvl="6" w:tplc="0D2A709A">
      <w:numFmt w:val="bullet"/>
      <w:lvlText w:val="•"/>
      <w:lvlJc w:val="left"/>
      <w:pPr>
        <w:ind w:left="888" w:hanging="217"/>
      </w:pPr>
      <w:rPr>
        <w:rFonts w:hint="default"/>
        <w:lang w:val="en-GB" w:eastAsia="en-GB" w:bidi="en-GB"/>
      </w:rPr>
    </w:lvl>
    <w:lvl w:ilvl="7" w:tplc="5D3E9044">
      <w:numFmt w:val="bullet"/>
      <w:lvlText w:val="•"/>
      <w:lvlJc w:val="left"/>
      <w:pPr>
        <w:ind w:left="989" w:hanging="217"/>
      </w:pPr>
      <w:rPr>
        <w:rFonts w:hint="default"/>
        <w:lang w:val="en-GB" w:eastAsia="en-GB" w:bidi="en-GB"/>
      </w:rPr>
    </w:lvl>
    <w:lvl w:ilvl="8" w:tplc="1B643CEA">
      <w:numFmt w:val="bullet"/>
      <w:lvlText w:val="•"/>
      <w:lvlJc w:val="left"/>
      <w:pPr>
        <w:ind w:left="1091" w:hanging="217"/>
      </w:pPr>
      <w:rPr>
        <w:rFonts w:hint="default"/>
        <w:lang w:val="en-GB" w:eastAsia="en-GB" w:bidi="en-GB"/>
      </w:rPr>
    </w:lvl>
  </w:abstractNum>
  <w:abstractNum w:abstractNumId="950" w15:restartNumberingAfterBreak="0">
    <w:nsid w:val="56932048"/>
    <w:multiLevelType w:val="hybridMultilevel"/>
    <w:tmpl w:val="5936CEF6"/>
    <w:lvl w:ilvl="0" w:tplc="51524A1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2AA24CA">
      <w:numFmt w:val="bullet"/>
      <w:lvlText w:val="•"/>
      <w:lvlJc w:val="left"/>
      <w:pPr>
        <w:ind w:left="892" w:hanging="217"/>
      </w:pPr>
      <w:rPr>
        <w:rFonts w:hint="default"/>
        <w:lang w:val="en-GB" w:eastAsia="en-GB" w:bidi="en-GB"/>
      </w:rPr>
    </w:lvl>
    <w:lvl w:ilvl="2" w:tplc="C37E3C60">
      <w:numFmt w:val="bullet"/>
      <w:lvlText w:val="•"/>
      <w:lvlJc w:val="left"/>
      <w:pPr>
        <w:ind w:left="1485" w:hanging="217"/>
      </w:pPr>
      <w:rPr>
        <w:rFonts w:hint="default"/>
        <w:lang w:val="en-GB" w:eastAsia="en-GB" w:bidi="en-GB"/>
      </w:rPr>
    </w:lvl>
    <w:lvl w:ilvl="3" w:tplc="7B804BCE">
      <w:numFmt w:val="bullet"/>
      <w:lvlText w:val="•"/>
      <w:lvlJc w:val="left"/>
      <w:pPr>
        <w:ind w:left="2077" w:hanging="217"/>
      </w:pPr>
      <w:rPr>
        <w:rFonts w:hint="default"/>
        <w:lang w:val="en-GB" w:eastAsia="en-GB" w:bidi="en-GB"/>
      </w:rPr>
    </w:lvl>
    <w:lvl w:ilvl="4" w:tplc="74D81D3E">
      <w:numFmt w:val="bullet"/>
      <w:lvlText w:val="•"/>
      <w:lvlJc w:val="left"/>
      <w:pPr>
        <w:ind w:left="2670" w:hanging="217"/>
      </w:pPr>
      <w:rPr>
        <w:rFonts w:hint="default"/>
        <w:lang w:val="en-GB" w:eastAsia="en-GB" w:bidi="en-GB"/>
      </w:rPr>
    </w:lvl>
    <w:lvl w:ilvl="5" w:tplc="23027C46">
      <w:numFmt w:val="bullet"/>
      <w:lvlText w:val="•"/>
      <w:lvlJc w:val="left"/>
      <w:pPr>
        <w:ind w:left="3263" w:hanging="217"/>
      </w:pPr>
      <w:rPr>
        <w:rFonts w:hint="default"/>
        <w:lang w:val="en-GB" w:eastAsia="en-GB" w:bidi="en-GB"/>
      </w:rPr>
    </w:lvl>
    <w:lvl w:ilvl="6" w:tplc="0B0C0722">
      <w:numFmt w:val="bullet"/>
      <w:lvlText w:val="•"/>
      <w:lvlJc w:val="left"/>
      <w:pPr>
        <w:ind w:left="3855" w:hanging="217"/>
      </w:pPr>
      <w:rPr>
        <w:rFonts w:hint="default"/>
        <w:lang w:val="en-GB" w:eastAsia="en-GB" w:bidi="en-GB"/>
      </w:rPr>
    </w:lvl>
    <w:lvl w:ilvl="7" w:tplc="F754F092">
      <w:numFmt w:val="bullet"/>
      <w:lvlText w:val="•"/>
      <w:lvlJc w:val="left"/>
      <w:pPr>
        <w:ind w:left="4448" w:hanging="217"/>
      </w:pPr>
      <w:rPr>
        <w:rFonts w:hint="default"/>
        <w:lang w:val="en-GB" w:eastAsia="en-GB" w:bidi="en-GB"/>
      </w:rPr>
    </w:lvl>
    <w:lvl w:ilvl="8" w:tplc="A0F425C6">
      <w:numFmt w:val="bullet"/>
      <w:lvlText w:val="•"/>
      <w:lvlJc w:val="left"/>
      <w:pPr>
        <w:ind w:left="5040" w:hanging="217"/>
      </w:pPr>
      <w:rPr>
        <w:rFonts w:hint="default"/>
        <w:lang w:val="en-GB" w:eastAsia="en-GB" w:bidi="en-GB"/>
      </w:rPr>
    </w:lvl>
  </w:abstractNum>
  <w:abstractNum w:abstractNumId="951" w15:restartNumberingAfterBreak="0">
    <w:nsid w:val="56A711CD"/>
    <w:multiLevelType w:val="hybridMultilevel"/>
    <w:tmpl w:val="4198EADA"/>
    <w:lvl w:ilvl="0" w:tplc="602E3D76">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4D8A2766">
      <w:numFmt w:val="bullet"/>
      <w:lvlText w:val="•"/>
      <w:lvlJc w:val="left"/>
      <w:pPr>
        <w:ind w:left="473" w:hanging="217"/>
      </w:pPr>
      <w:rPr>
        <w:rFonts w:hint="default"/>
        <w:lang w:val="en-GB" w:eastAsia="en-GB" w:bidi="en-GB"/>
      </w:rPr>
    </w:lvl>
    <w:lvl w:ilvl="2" w:tplc="C8805DAA">
      <w:numFmt w:val="bullet"/>
      <w:lvlText w:val="•"/>
      <w:lvlJc w:val="left"/>
      <w:pPr>
        <w:ind w:left="646" w:hanging="217"/>
      </w:pPr>
      <w:rPr>
        <w:rFonts w:hint="default"/>
        <w:lang w:val="en-GB" w:eastAsia="en-GB" w:bidi="en-GB"/>
      </w:rPr>
    </w:lvl>
    <w:lvl w:ilvl="3" w:tplc="AA9A7108">
      <w:numFmt w:val="bullet"/>
      <w:lvlText w:val="•"/>
      <w:lvlJc w:val="left"/>
      <w:pPr>
        <w:ind w:left="819" w:hanging="217"/>
      </w:pPr>
      <w:rPr>
        <w:rFonts w:hint="default"/>
        <w:lang w:val="en-GB" w:eastAsia="en-GB" w:bidi="en-GB"/>
      </w:rPr>
    </w:lvl>
    <w:lvl w:ilvl="4" w:tplc="DA081960">
      <w:numFmt w:val="bullet"/>
      <w:lvlText w:val="•"/>
      <w:lvlJc w:val="left"/>
      <w:pPr>
        <w:ind w:left="992" w:hanging="217"/>
      </w:pPr>
      <w:rPr>
        <w:rFonts w:hint="default"/>
        <w:lang w:val="en-GB" w:eastAsia="en-GB" w:bidi="en-GB"/>
      </w:rPr>
    </w:lvl>
    <w:lvl w:ilvl="5" w:tplc="F8EE54D4">
      <w:numFmt w:val="bullet"/>
      <w:lvlText w:val="•"/>
      <w:lvlJc w:val="left"/>
      <w:pPr>
        <w:ind w:left="1165" w:hanging="217"/>
      </w:pPr>
      <w:rPr>
        <w:rFonts w:hint="default"/>
        <w:lang w:val="en-GB" w:eastAsia="en-GB" w:bidi="en-GB"/>
      </w:rPr>
    </w:lvl>
    <w:lvl w:ilvl="6" w:tplc="D2989C1C">
      <w:numFmt w:val="bullet"/>
      <w:lvlText w:val="•"/>
      <w:lvlJc w:val="left"/>
      <w:pPr>
        <w:ind w:left="1338" w:hanging="217"/>
      </w:pPr>
      <w:rPr>
        <w:rFonts w:hint="default"/>
        <w:lang w:val="en-GB" w:eastAsia="en-GB" w:bidi="en-GB"/>
      </w:rPr>
    </w:lvl>
    <w:lvl w:ilvl="7" w:tplc="5CCEC45E">
      <w:numFmt w:val="bullet"/>
      <w:lvlText w:val="•"/>
      <w:lvlJc w:val="left"/>
      <w:pPr>
        <w:ind w:left="1511" w:hanging="217"/>
      </w:pPr>
      <w:rPr>
        <w:rFonts w:hint="default"/>
        <w:lang w:val="en-GB" w:eastAsia="en-GB" w:bidi="en-GB"/>
      </w:rPr>
    </w:lvl>
    <w:lvl w:ilvl="8" w:tplc="DCB81BE8">
      <w:numFmt w:val="bullet"/>
      <w:lvlText w:val="•"/>
      <w:lvlJc w:val="left"/>
      <w:pPr>
        <w:ind w:left="1684" w:hanging="217"/>
      </w:pPr>
      <w:rPr>
        <w:rFonts w:hint="default"/>
        <w:lang w:val="en-GB" w:eastAsia="en-GB" w:bidi="en-GB"/>
      </w:rPr>
    </w:lvl>
  </w:abstractNum>
  <w:abstractNum w:abstractNumId="952" w15:restartNumberingAfterBreak="0">
    <w:nsid w:val="56B1039F"/>
    <w:multiLevelType w:val="hybridMultilevel"/>
    <w:tmpl w:val="206877AE"/>
    <w:lvl w:ilvl="0" w:tplc="E05CA5A8">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A928D82A">
      <w:numFmt w:val="bullet"/>
      <w:lvlText w:val="•"/>
      <w:lvlJc w:val="left"/>
      <w:pPr>
        <w:ind w:left="524" w:hanging="217"/>
      </w:pPr>
      <w:rPr>
        <w:rFonts w:hint="default"/>
        <w:lang w:val="en-GB" w:eastAsia="en-GB" w:bidi="en-GB"/>
      </w:rPr>
    </w:lvl>
    <w:lvl w:ilvl="2" w:tplc="7BB4268A">
      <w:numFmt w:val="bullet"/>
      <w:lvlText w:val="•"/>
      <w:lvlJc w:val="left"/>
      <w:pPr>
        <w:ind w:left="748" w:hanging="217"/>
      </w:pPr>
      <w:rPr>
        <w:rFonts w:hint="default"/>
        <w:lang w:val="en-GB" w:eastAsia="en-GB" w:bidi="en-GB"/>
      </w:rPr>
    </w:lvl>
    <w:lvl w:ilvl="3" w:tplc="EABCAE46">
      <w:numFmt w:val="bullet"/>
      <w:lvlText w:val="•"/>
      <w:lvlJc w:val="left"/>
      <w:pPr>
        <w:ind w:left="972" w:hanging="217"/>
      </w:pPr>
      <w:rPr>
        <w:rFonts w:hint="default"/>
        <w:lang w:val="en-GB" w:eastAsia="en-GB" w:bidi="en-GB"/>
      </w:rPr>
    </w:lvl>
    <w:lvl w:ilvl="4" w:tplc="30B61298">
      <w:numFmt w:val="bullet"/>
      <w:lvlText w:val="•"/>
      <w:lvlJc w:val="left"/>
      <w:pPr>
        <w:ind w:left="1196" w:hanging="217"/>
      </w:pPr>
      <w:rPr>
        <w:rFonts w:hint="default"/>
        <w:lang w:val="en-GB" w:eastAsia="en-GB" w:bidi="en-GB"/>
      </w:rPr>
    </w:lvl>
    <w:lvl w:ilvl="5" w:tplc="9724B302">
      <w:numFmt w:val="bullet"/>
      <w:lvlText w:val="•"/>
      <w:lvlJc w:val="left"/>
      <w:pPr>
        <w:ind w:left="1420" w:hanging="217"/>
      </w:pPr>
      <w:rPr>
        <w:rFonts w:hint="default"/>
        <w:lang w:val="en-GB" w:eastAsia="en-GB" w:bidi="en-GB"/>
      </w:rPr>
    </w:lvl>
    <w:lvl w:ilvl="6" w:tplc="CB561E82">
      <w:numFmt w:val="bullet"/>
      <w:lvlText w:val="•"/>
      <w:lvlJc w:val="left"/>
      <w:pPr>
        <w:ind w:left="1644" w:hanging="217"/>
      </w:pPr>
      <w:rPr>
        <w:rFonts w:hint="default"/>
        <w:lang w:val="en-GB" w:eastAsia="en-GB" w:bidi="en-GB"/>
      </w:rPr>
    </w:lvl>
    <w:lvl w:ilvl="7" w:tplc="E8EC6132">
      <w:numFmt w:val="bullet"/>
      <w:lvlText w:val="•"/>
      <w:lvlJc w:val="left"/>
      <w:pPr>
        <w:ind w:left="1868" w:hanging="217"/>
      </w:pPr>
      <w:rPr>
        <w:rFonts w:hint="default"/>
        <w:lang w:val="en-GB" w:eastAsia="en-GB" w:bidi="en-GB"/>
      </w:rPr>
    </w:lvl>
    <w:lvl w:ilvl="8" w:tplc="1CD2154E">
      <w:numFmt w:val="bullet"/>
      <w:lvlText w:val="•"/>
      <w:lvlJc w:val="left"/>
      <w:pPr>
        <w:ind w:left="2092" w:hanging="217"/>
      </w:pPr>
      <w:rPr>
        <w:rFonts w:hint="default"/>
        <w:lang w:val="en-GB" w:eastAsia="en-GB" w:bidi="en-GB"/>
      </w:rPr>
    </w:lvl>
  </w:abstractNum>
  <w:abstractNum w:abstractNumId="953" w15:restartNumberingAfterBreak="0">
    <w:nsid w:val="56D607B3"/>
    <w:multiLevelType w:val="hybridMultilevel"/>
    <w:tmpl w:val="3826904C"/>
    <w:lvl w:ilvl="0" w:tplc="3F0CFE7E">
      <w:numFmt w:val="bullet"/>
      <w:lvlText w:val="•"/>
      <w:lvlJc w:val="left"/>
      <w:pPr>
        <w:ind w:left="3579" w:hanging="217"/>
      </w:pPr>
      <w:rPr>
        <w:rFonts w:ascii="Arial" w:eastAsia="Arial" w:hAnsi="Arial" w:cs="Arial" w:hint="default"/>
        <w:color w:val="231F20"/>
        <w:spacing w:val="-1"/>
        <w:w w:val="100"/>
        <w:sz w:val="18"/>
        <w:szCs w:val="18"/>
        <w:lang w:val="en-GB" w:eastAsia="en-GB" w:bidi="en-GB"/>
      </w:rPr>
    </w:lvl>
    <w:lvl w:ilvl="1" w:tplc="BDFC0188">
      <w:numFmt w:val="bullet"/>
      <w:lvlText w:val="•"/>
      <w:lvlJc w:val="left"/>
      <w:pPr>
        <w:ind w:left="4037" w:hanging="217"/>
      </w:pPr>
      <w:rPr>
        <w:rFonts w:hint="default"/>
        <w:lang w:val="en-GB" w:eastAsia="en-GB" w:bidi="en-GB"/>
      </w:rPr>
    </w:lvl>
    <w:lvl w:ilvl="2" w:tplc="0A524144">
      <w:numFmt w:val="bullet"/>
      <w:lvlText w:val="•"/>
      <w:lvlJc w:val="left"/>
      <w:pPr>
        <w:ind w:left="4494" w:hanging="217"/>
      </w:pPr>
      <w:rPr>
        <w:rFonts w:hint="default"/>
        <w:lang w:val="en-GB" w:eastAsia="en-GB" w:bidi="en-GB"/>
      </w:rPr>
    </w:lvl>
    <w:lvl w:ilvl="3" w:tplc="5498A726">
      <w:numFmt w:val="bullet"/>
      <w:lvlText w:val="•"/>
      <w:lvlJc w:val="left"/>
      <w:pPr>
        <w:ind w:left="4952" w:hanging="217"/>
      </w:pPr>
      <w:rPr>
        <w:rFonts w:hint="default"/>
        <w:lang w:val="en-GB" w:eastAsia="en-GB" w:bidi="en-GB"/>
      </w:rPr>
    </w:lvl>
    <w:lvl w:ilvl="4" w:tplc="F2F4FD18">
      <w:numFmt w:val="bullet"/>
      <w:lvlText w:val="•"/>
      <w:lvlJc w:val="left"/>
      <w:pPr>
        <w:ind w:left="5409" w:hanging="217"/>
      </w:pPr>
      <w:rPr>
        <w:rFonts w:hint="default"/>
        <w:lang w:val="en-GB" w:eastAsia="en-GB" w:bidi="en-GB"/>
      </w:rPr>
    </w:lvl>
    <w:lvl w:ilvl="5" w:tplc="39F03B36">
      <w:numFmt w:val="bullet"/>
      <w:lvlText w:val="•"/>
      <w:lvlJc w:val="left"/>
      <w:pPr>
        <w:ind w:left="5867" w:hanging="217"/>
      </w:pPr>
      <w:rPr>
        <w:rFonts w:hint="default"/>
        <w:lang w:val="en-GB" w:eastAsia="en-GB" w:bidi="en-GB"/>
      </w:rPr>
    </w:lvl>
    <w:lvl w:ilvl="6" w:tplc="EF68FA76">
      <w:numFmt w:val="bullet"/>
      <w:lvlText w:val="•"/>
      <w:lvlJc w:val="left"/>
      <w:pPr>
        <w:ind w:left="6324" w:hanging="217"/>
      </w:pPr>
      <w:rPr>
        <w:rFonts w:hint="default"/>
        <w:lang w:val="en-GB" w:eastAsia="en-GB" w:bidi="en-GB"/>
      </w:rPr>
    </w:lvl>
    <w:lvl w:ilvl="7" w:tplc="4A449056">
      <w:numFmt w:val="bullet"/>
      <w:lvlText w:val="•"/>
      <w:lvlJc w:val="left"/>
      <w:pPr>
        <w:ind w:left="6781" w:hanging="217"/>
      </w:pPr>
      <w:rPr>
        <w:rFonts w:hint="default"/>
        <w:lang w:val="en-GB" w:eastAsia="en-GB" w:bidi="en-GB"/>
      </w:rPr>
    </w:lvl>
    <w:lvl w:ilvl="8" w:tplc="D0025348">
      <w:numFmt w:val="bullet"/>
      <w:lvlText w:val="•"/>
      <w:lvlJc w:val="left"/>
      <w:pPr>
        <w:ind w:left="7239" w:hanging="217"/>
      </w:pPr>
      <w:rPr>
        <w:rFonts w:hint="default"/>
        <w:lang w:val="en-GB" w:eastAsia="en-GB" w:bidi="en-GB"/>
      </w:rPr>
    </w:lvl>
  </w:abstractNum>
  <w:abstractNum w:abstractNumId="954" w15:restartNumberingAfterBreak="0">
    <w:nsid w:val="56FE1B9F"/>
    <w:multiLevelType w:val="hybridMultilevel"/>
    <w:tmpl w:val="C588A7D0"/>
    <w:lvl w:ilvl="0" w:tplc="862008D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1A84AA10">
      <w:numFmt w:val="bullet"/>
      <w:lvlText w:val="•"/>
      <w:lvlJc w:val="left"/>
      <w:pPr>
        <w:ind w:left="892" w:hanging="217"/>
      </w:pPr>
      <w:rPr>
        <w:rFonts w:hint="default"/>
        <w:lang w:val="en-GB" w:eastAsia="en-GB" w:bidi="en-GB"/>
      </w:rPr>
    </w:lvl>
    <w:lvl w:ilvl="2" w:tplc="B31CC04A">
      <w:numFmt w:val="bullet"/>
      <w:lvlText w:val="•"/>
      <w:lvlJc w:val="left"/>
      <w:pPr>
        <w:ind w:left="1485" w:hanging="217"/>
      </w:pPr>
      <w:rPr>
        <w:rFonts w:hint="default"/>
        <w:lang w:val="en-GB" w:eastAsia="en-GB" w:bidi="en-GB"/>
      </w:rPr>
    </w:lvl>
    <w:lvl w:ilvl="3" w:tplc="4B3A874E">
      <w:numFmt w:val="bullet"/>
      <w:lvlText w:val="•"/>
      <w:lvlJc w:val="left"/>
      <w:pPr>
        <w:ind w:left="2077" w:hanging="217"/>
      </w:pPr>
      <w:rPr>
        <w:rFonts w:hint="default"/>
        <w:lang w:val="en-GB" w:eastAsia="en-GB" w:bidi="en-GB"/>
      </w:rPr>
    </w:lvl>
    <w:lvl w:ilvl="4" w:tplc="4B6E23FA">
      <w:numFmt w:val="bullet"/>
      <w:lvlText w:val="•"/>
      <w:lvlJc w:val="left"/>
      <w:pPr>
        <w:ind w:left="2670" w:hanging="217"/>
      </w:pPr>
      <w:rPr>
        <w:rFonts w:hint="default"/>
        <w:lang w:val="en-GB" w:eastAsia="en-GB" w:bidi="en-GB"/>
      </w:rPr>
    </w:lvl>
    <w:lvl w:ilvl="5" w:tplc="755E1C90">
      <w:numFmt w:val="bullet"/>
      <w:lvlText w:val="•"/>
      <w:lvlJc w:val="left"/>
      <w:pPr>
        <w:ind w:left="3263" w:hanging="217"/>
      </w:pPr>
      <w:rPr>
        <w:rFonts w:hint="default"/>
        <w:lang w:val="en-GB" w:eastAsia="en-GB" w:bidi="en-GB"/>
      </w:rPr>
    </w:lvl>
    <w:lvl w:ilvl="6" w:tplc="3DD8E9CA">
      <w:numFmt w:val="bullet"/>
      <w:lvlText w:val="•"/>
      <w:lvlJc w:val="left"/>
      <w:pPr>
        <w:ind w:left="3855" w:hanging="217"/>
      </w:pPr>
      <w:rPr>
        <w:rFonts w:hint="default"/>
        <w:lang w:val="en-GB" w:eastAsia="en-GB" w:bidi="en-GB"/>
      </w:rPr>
    </w:lvl>
    <w:lvl w:ilvl="7" w:tplc="ADDC4DE8">
      <w:numFmt w:val="bullet"/>
      <w:lvlText w:val="•"/>
      <w:lvlJc w:val="left"/>
      <w:pPr>
        <w:ind w:left="4448" w:hanging="217"/>
      </w:pPr>
      <w:rPr>
        <w:rFonts w:hint="default"/>
        <w:lang w:val="en-GB" w:eastAsia="en-GB" w:bidi="en-GB"/>
      </w:rPr>
    </w:lvl>
    <w:lvl w:ilvl="8" w:tplc="4C2A632E">
      <w:numFmt w:val="bullet"/>
      <w:lvlText w:val="•"/>
      <w:lvlJc w:val="left"/>
      <w:pPr>
        <w:ind w:left="5040" w:hanging="217"/>
      </w:pPr>
      <w:rPr>
        <w:rFonts w:hint="default"/>
        <w:lang w:val="en-GB" w:eastAsia="en-GB" w:bidi="en-GB"/>
      </w:rPr>
    </w:lvl>
  </w:abstractNum>
  <w:abstractNum w:abstractNumId="955" w15:restartNumberingAfterBreak="0">
    <w:nsid w:val="571E59E5"/>
    <w:multiLevelType w:val="hybridMultilevel"/>
    <w:tmpl w:val="FFD2ADCC"/>
    <w:lvl w:ilvl="0" w:tplc="0BF066F8">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B8AADD24">
      <w:numFmt w:val="bullet"/>
      <w:lvlText w:val="•"/>
      <w:lvlJc w:val="left"/>
      <w:pPr>
        <w:ind w:left="473" w:hanging="217"/>
      </w:pPr>
      <w:rPr>
        <w:rFonts w:hint="default"/>
        <w:lang w:val="en-GB" w:eastAsia="en-GB" w:bidi="en-GB"/>
      </w:rPr>
    </w:lvl>
    <w:lvl w:ilvl="2" w:tplc="6AF807DA">
      <w:numFmt w:val="bullet"/>
      <w:lvlText w:val="•"/>
      <w:lvlJc w:val="left"/>
      <w:pPr>
        <w:ind w:left="646" w:hanging="217"/>
      </w:pPr>
      <w:rPr>
        <w:rFonts w:hint="default"/>
        <w:lang w:val="en-GB" w:eastAsia="en-GB" w:bidi="en-GB"/>
      </w:rPr>
    </w:lvl>
    <w:lvl w:ilvl="3" w:tplc="7940EA8C">
      <w:numFmt w:val="bullet"/>
      <w:lvlText w:val="•"/>
      <w:lvlJc w:val="left"/>
      <w:pPr>
        <w:ind w:left="819" w:hanging="217"/>
      </w:pPr>
      <w:rPr>
        <w:rFonts w:hint="default"/>
        <w:lang w:val="en-GB" w:eastAsia="en-GB" w:bidi="en-GB"/>
      </w:rPr>
    </w:lvl>
    <w:lvl w:ilvl="4" w:tplc="89E8F216">
      <w:numFmt w:val="bullet"/>
      <w:lvlText w:val="•"/>
      <w:lvlJc w:val="left"/>
      <w:pPr>
        <w:ind w:left="992" w:hanging="217"/>
      </w:pPr>
      <w:rPr>
        <w:rFonts w:hint="default"/>
        <w:lang w:val="en-GB" w:eastAsia="en-GB" w:bidi="en-GB"/>
      </w:rPr>
    </w:lvl>
    <w:lvl w:ilvl="5" w:tplc="F1FACB04">
      <w:numFmt w:val="bullet"/>
      <w:lvlText w:val="•"/>
      <w:lvlJc w:val="left"/>
      <w:pPr>
        <w:ind w:left="1165" w:hanging="217"/>
      </w:pPr>
      <w:rPr>
        <w:rFonts w:hint="default"/>
        <w:lang w:val="en-GB" w:eastAsia="en-GB" w:bidi="en-GB"/>
      </w:rPr>
    </w:lvl>
    <w:lvl w:ilvl="6" w:tplc="08BEA4E4">
      <w:numFmt w:val="bullet"/>
      <w:lvlText w:val="•"/>
      <w:lvlJc w:val="left"/>
      <w:pPr>
        <w:ind w:left="1338" w:hanging="217"/>
      </w:pPr>
      <w:rPr>
        <w:rFonts w:hint="default"/>
        <w:lang w:val="en-GB" w:eastAsia="en-GB" w:bidi="en-GB"/>
      </w:rPr>
    </w:lvl>
    <w:lvl w:ilvl="7" w:tplc="2D6CF8E2">
      <w:numFmt w:val="bullet"/>
      <w:lvlText w:val="•"/>
      <w:lvlJc w:val="left"/>
      <w:pPr>
        <w:ind w:left="1511" w:hanging="217"/>
      </w:pPr>
      <w:rPr>
        <w:rFonts w:hint="default"/>
        <w:lang w:val="en-GB" w:eastAsia="en-GB" w:bidi="en-GB"/>
      </w:rPr>
    </w:lvl>
    <w:lvl w:ilvl="8" w:tplc="9594D23A">
      <w:numFmt w:val="bullet"/>
      <w:lvlText w:val="•"/>
      <w:lvlJc w:val="left"/>
      <w:pPr>
        <w:ind w:left="1684" w:hanging="217"/>
      </w:pPr>
      <w:rPr>
        <w:rFonts w:hint="default"/>
        <w:lang w:val="en-GB" w:eastAsia="en-GB" w:bidi="en-GB"/>
      </w:rPr>
    </w:lvl>
  </w:abstractNum>
  <w:abstractNum w:abstractNumId="956" w15:restartNumberingAfterBreak="0">
    <w:nsid w:val="57216366"/>
    <w:multiLevelType w:val="hybridMultilevel"/>
    <w:tmpl w:val="00E4AA6C"/>
    <w:lvl w:ilvl="0" w:tplc="7786EEF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088E8EA">
      <w:numFmt w:val="bullet"/>
      <w:lvlText w:val="•"/>
      <w:lvlJc w:val="left"/>
      <w:pPr>
        <w:ind w:left="473" w:hanging="217"/>
      </w:pPr>
      <w:rPr>
        <w:rFonts w:hint="default"/>
        <w:lang w:val="en-GB" w:eastAsia="en-GB" w:bidi="en-GB"/>
      </w:rPr>
    </w:lvl>
    <w:lvl w:ilvl="2" w:tplc="E486A4CC">
      <w:numFmt w:val="bullet"/>
      <w:lvlText w:val="•"/>
      <w:lvlJc w:val="left"/>
      <w:pPr>
        <w:ind w:left="646" w:hanging="217"/>
      </w:pPr>
      <w:rPr>
        <w:rFonts w:hint="default"/>
        <w:lang w:val="en-GB" w:eastAsia="en-GB" w:bidi="en-GB"/>
      </w:rPr>
    </w:lvl>
    <w:lvl w:ilvl="3" w:tplc="B5AE4D94">
      <w:numFmt w:val="bullet"/>
      <w:lvlText w:val="•"/>
      <w:lvlJc w:val="left"/>
      <w:pPr>
        <w:ind w:left="819" w:hanging="217"/>
      </w:pPr>
      <w:rPr>
        <w:rFonts w:hint="default"/>
        <w:lang w:val="en-GB" w:eastAsia="en-GB" w:bidi="en-GB"/>
      </w:rPr>
    </w:lvl>
    <w:lvl w:ilvl="4" w:tplc="835267AE">
      <w:numFmt w:val="bullet"/>
      <w:lvlText w:val="•"/>
      <w:lvlJc w:val="left"/>
      <w:pPr>
        <w:ind w:left="992" w:hanging="217"/>
      </w:pPr>
      <w:rPr>
        <w:rFonts w:hint="default"/>
        <w:lang w:val="en-GB" w:eastAsia="en-GB" w:bidi="en-GB"/>
      </w:rPr>
    </w:lvl>
    <w:lvl w:ilvl="5" w:tplc="E9BC8F10">
      <w:numFmt w:val="bullet"/>
      <w:lvlText w:val="•"/>
      <w:lvlJc w:val="left"/>
      <w:pPr>
        <w:ind w:left="1165" w:hanging="217"/>
      </w:pPr>
      <w:rPr>
        <w:rFonts w:hint="default"/>
        <w:lang w:val="en-GB" w:eastAsia="en-GB" w:bidi="en-GB"/>
      </w:rPr>
    </w:lvl>
    <w:lvl w:ilvl="6" w:tplc="EB5A71B6">
      <w:numFmt w:val="bullet"/>
      <w:lvlText w:val="•"/>
      <w:lvlJc w:val="left"/>
      <w:pPr>
        <w:ind w:left="1338" w:hanging="217"/>
      </w:pPr>
      <w:rPr>
        <w:rFonts w:hint="default"/>
        <w:lang w:val="en-GB" w:eastAsia="en-GB" w:bidi="en-GB"/>
      </w:rPr>
    </w:lvl>
    <w:lvl w:ilvl="7" w:tplc="D44A9E18">
      <w:numFmt w:val="bullet"/>
      <w:lvlText w:val="•"/>
      <w:lvlJc w:val="left"/>
      <w:pPr>
        <w:ind w:left="1511" w:hanging="217"/>
      </w:pPr>
      <w:rPr>
        <w:rFonts w:hint="default"/>
        <w:lang w:val="en-GB" w:eastAsia="en-GB" w:bidi="en-GB"/>
      </w:rPr>
    </w:lvl>
    <w:lvl w:ilvl="8" w:tplc="715C706A">
      <w:numFmt w:val="bullet"/>
      <w:lvlText w:val="•"/>
      <w:lvlJc w:val="left"/>
      <w:pPr>
        <w:ind w:left="1684" w:hanging="217"/>
      </w:pPr>
      <w:rPr>
        <w:rFonts w:hint="default"/>
        <w:lang w:val="en-GB" w:eastAsia="en-GB" w:bidi="en-GB"/>
      </w:rPr>
    </w:lvl>
  </w:abstractNum>
  <w:abstractNum w:abstractNumId="957" w15:restartNumberingAfterBreak="0">
    <w:nsid w:val="57435B73"/>
    <w:multiLevelType w:val="hybridMultilevel"/>
    <w:tmpl w:val="2084DFF8"/>
    <w:lvl w:ilvl="0" w:tplc="DF62599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10C6C82">
      <w:numFmt w:val="bullet"/>
      <w:lvlText w:val="•"/>
      <w:lvlJc w:val="left"/>
      <w:pPr>
        <w:ind w:left="439" w:hanging="217"/>
      </w:pPr>
      <w:rPr>
        <w:rFonts w:hint="default"/>
        <w:lang w:val="en-GB" w:eastAsia="en-GB" w:bidi="en-GB"/>
      </w:rPr>
    </w:lvl>
    <w:lvl w:ilvl="2" w:tplc="0E4E0CEE">
      <w:numFmt w:val="bullet"/>
      <w:lvlText w:val="•"/>
      <w:lvlJc w:val="left"/>
      <w:pPr>
        <w:ind w:left="578" w:hanging="217"/>
      </w:pPr>
      <w:rPr>
        <w:rFonts w:hint="default"/>
        <w:lang w:val="en-GB" w:eastAsia="en-GB" w:bidi="en-GB"/>
      </w:rPr>
    </w:lvl>
    <w:lvl w:ilvl="3" w:tplc="67F45328">
      <w:numFmt w:val="bullet"/>
      <w:lvlText w:val="•"/>
      <w:lvlJc w:val="left"/>
      <w:pPr>
        <w:ind w:left="717" w:hanging="217"/>
      </w:pPr>
      <w:rPr>
        <w:rFonts w:hint="default"/>
        <w:lang w:val="en-GB" w:eastAsia="en-GB" w:bidi="en-GB"/>
      </w:rPr>
    </w:lvl>
    <w:lvl w:ilvl="4" w:tplc="B664CC42">
      <w:numFmt w:val="bullet"/>
      <w:lvlText w:val="•"/>
      <w:lvlJc w:val="left"/>
      <w:pPr>
        <w:ind w:left="856" w:hanging="217"/>
      </w:pPr>
      <w:rPr>
        <w:rFonts w:hint="default"/>
        <w:lang w:val="en-GB" w:eastAsia="en-GB" w:bidi="en-GB"/>
      </w:rPr>
    </w:lvl>
    <w:lvl w:ilvl="5" w:tplc="91563272">
      <w:numFmt w:val="bullet"/>
      <w:lvlText w:val="•"/>
      <w:lvlJc w:val="left"/>
      <w:pPr>
        <w:ind w:left="995" w:hanging="217"/>
      </w:pPr>
      <w:rPr>
        <w:rFonts w:hint="default"/>
        <w:lang w:val="en-GB" w:eastAsia="en-GB" w:bidi="en-GB"/>
      </w:rPr>
    </w:lvl>
    <w:lvl w:ilvl="6" w:tplc="B52A9F16">
      <w:numFmt w:val="bullet"/>
      <w:lvlText w:val="•"/>
      <w:lvlJc w:val="left"/>
      <w:pPr>
        <w:ind w:left="1134" w:hanging="217"/>
      </w:pPr>
      <w:rPr>
        <w:rFonts w:hint="default"/>
        <w:lang w:val="en-GB" w:eastAsia="en-GB" w:bidi="en-GB"/>
      </w:rPr>
    </w:lvl>
    <w:lvl w:ilvl="7" w:tplc="BF4C6824">
      <w:numFmt w:val="bullet"/>
      <w:lvlText w:val="•"/>
      <w:lvlJc w:val="left"/>
      <w:pPr>
        <w:ind w:left="1273" w:hanging="217"/>
      </w:pPr>
      <w:rPr>
        <w:rFonts w:hint="default"/>
        <w:lang w:val="en-GB" w:eastAsia="en-GB" w:bidi="en-GB"/>
      </w:rPr>
    </w:lvl>
    <w:lvl w:ilvl="8" w:tplc="9724E222">
      <w:numFmt w:val="bullet"/>
      <w:lvlText w:val="•"/>
      <w:lvlJc w:val="left"/>
      <w:pPr>
        <w:ind w:left="1412" w:hanging="217"/>
      </w:pPr>
      <w:rPr>
        <w:rFonts w:hint="default"/>
        <w:lang w:val="en-GB" w:eastAsia="en-GB" w:bidi="en-GB"/>
      </w:rPr>
    </w:lvl>
  </w:abstractNum>
  <w:abstractNum w:abstractNumId="958" w15:restartNumberingAfterBreak="0">
    <w:nsid w:val="57535AEE"/>
    <w:multiLevelType w:val="hybridMultilevel"/>
    <w:tmpl w:val="3C342496"/>
    <w:lvl w:ilvl="0" w:tplc="0A606F6A">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B5DEA062">
      <w:numFmt w:val="bullet"/>
      <w:lvlText w:val="•"/>
      <w:lvlJc w:val="left"/>
      <w:pPr>
        <w:ind w:left="473" w:hanging="217"/>
      </w:pPr>
      <w:rPr>
        <w:rFonts w:hint="default"/>
        <w:lang w:val="en-GB" w:eastAsia="en-GB" w:bidi="en-GB"/>
      </w:rPr>
    </w:lvl>
    <w:lvl w:ilvl="2" w:tplc="36B07E16">
      <w:numFmt w:val="bullet"/>
      <w:lvlText w:val="•"/>
      <w:lvlJc w:val="left"/>
      <w:pPr>
        <w:ind w:left="646" w:hanging="217"/>
      </w:pPr>
      <w:rPr>
        <w:rFonts w:hint="default"/>
        <w:lang w:val="en-GB" w:eastAsia="en-GB" w:bidi="en-GB"/>
      </w:rPr>
    </w:lvl>
    <w:lvl w:ilvl="3" w:tplc="74B27050">
      <w:numFmt w:val="bullet"/>
      <w:lvlText w:val="•"/>
      <w:lvlJc w:val="left"/>
      <w:pPr>
        <w:ind w:left="819" w:hanging="217"/>
      </w:pPr>
      <w:rPr>
        <w:rFonts w:hint="default"/>
        <w:lang w:val="en-GB" w:eastAsia="en-GB" w:bidi="en-GB"/>
      </w:rPr>
    </w:lvl>
    <w:lvl w:ilvl="4" w:tplc="28B0390E">
      <w:numFmt w:val="bullet"/>
      <w:lvlText w:val="•"/>
      <w:lvlJc w:val="left"/>
      <w:pPr>
        <w:ind w:left="992" w:hanging="217"/>
      </w:pPr>
      <w:rPr>
        <w:rFonts w:hint="default"/>
        <w:lang w:val="en-GB" w:eastAsia="en-GB" w:bidi="en-GB"/>
      </w:rPr>
    </w:lvl>
    <w:lvl w:ilvl="5" w:tplc="2A600240">
      <w:numFmt w:val="bullet"/>
      <w:lvlText w:val="•"/>
      <w:lvlJc w:val="left"/>
      <w:pPr>
        <w:ind w:left="1165" w:hanging="217"/>
      </w:pPr>
      <w:rPr>
        <w:rFonts w:hint="default"/>
        <w:lang w:val="en-GB" w:eastAsia="en-GB" w:bidi="en-GB"/>
      </w:rPr>
    </w:lvl>
    <w:lvl w:ilvl="6" w:tplc="CF661E9A">
      <w:numFmt w:val="bullet"/>
      <w:lvlText w:val="•"/>
      <w:lvlJc w:val="left"/>
      <w:pPr>
        <w:ind w:left="1338" w:hanging="217"/>
      </w:pPr>
      <w:rPr>
        <w:rFonts w:hint="default"/>
        <w:lang w:val="en-GB" w:eastAsia="en-GB" w:bidi="en-GB"/>
      </w:rPr>
    </w:lvl>
    <w:lvl w:ilvl="7" w:tplc="6368F970">
      <w:numFmt w:val="bullet"/>
      <w:lvlText w:val="•"/>
      <w:lvlJc w:val="left"/>
      <w:pPr>
        <w:ind w:left="1511" w:hanging="217"/>
      </w:pPr>
      <w:rPr>
        <w:rFonts w:hint="default"/>
        <w:lang w:val="en-GB" w:eastAsia="en-GB" w:bidi="en-GB"/>
      </w:rPr>
    </w:lvl>
    <w:lvl w:ilvl="8" w:tplc="08CCD75E">
      <w:numFmt w:val="bullet"/>
      <w:lvlText w:val="•"/>
      <w:lvlJc w:val="left"/>
      <w:pPr>
        <w:ind w:left="1684" w:hanging="217"/>
      </w:pPr>
      <w:rPr>
        <w:rFonts w:hint="default"/>
        <w:lang w:val="en-GB" w:eastAsia="en-GB" w:bidi="en-GB"/>
      </w:rPr>
    </w:lvl>
  </w:abstractNum>
  <w:abstractNum w:abstractNumId="959" w15:restartNumberingAfterBreak="0">
    <w:nsid w:val="575518EE"/>
    <w:multiLevelType w:val="hybridMultilevel"/>
    <w:tmpl w:val="2A08E08A"/>
    <w:lvl w:ilvl="0" w:tplc="D1C04B62">
      <w:numFmt w:val="bullet"/>
      <w:lvlText w:val="•"/>
      <w:lvlJc w:val="left"/>
      <w:pPr>
        <w:ind w:left="305" w:hanging="217"/>
      </w:pPr>
      <w:rPr>
        <w:rFonts w:ascii="Arial" w:eastAsia="Arial" w:hAnsi="Arial" w:cs="Arial" w:hint="default"/>
        <w:color w:val="231F20"/>
        <w:spacing w:val="-20"/>
        <w:w w:val="100"/>
        <w:sz w:val="18"/>
        <w:szCs w:val="18"/>
        <w:lang w:val="en-GB" w:eastAsia="en-GB" w:bidi="en-GB"/>
      </w:rPr>
    </w:lvl>
    <w:lvl w:ilvl="1" w:tplc="82186968">
      <w:numFmt w:val="bullet"/>
      <w:lvlText w:val="•"/>
      <w:lvlJc w:val="left"/>
      <w:pPr>
        <w:ind w:left="441" w:hanging="217"/>
      </w:pPr>
      <w:rPr>
        <w:rFonts w:hint="default"/>
        <w:lang w:val="en-GB" w:eastAsia="en-GB" w:bidi="en-GB"/>
      </w:rPr>
    </w:lvl>
    <w:lvl w:ilvl="2" w:tplc="188C34F2">
      <w:numFmt w:val="bullet"/>
      <w:lvlText w:val="•"/>
      <w:lvlJc w:val="left"/>
      <w:pPr>
        <w:ind w:left="583" w:hanging="217"/>
      </w:pPr>
      <w:rPr>
        <w:rFonts w:hint="default"/>
        <w:lang w:val="en-GB" w:eastAsia="en-GB" w:bidi="en-GB"/>
      </w:rPr>
    </w:lvl>
    <w:lvl w:ilvl="3" w:tplc="7CB83FB4">
      <w:numFmt w:val="bullet"/>
      <w:lvlText w:val="•"/>
      <w:lvlJc w:val="left"/>
      <w:pPr>
        <w:ind w:left="725" w:hanging="217"/>
      </w:pPr>
      <w:rPr>
        <w:rFonts w:hint="default"/>
        <w:lang w:val="en-GB" w:eastAsia="en-GB" w:bidi="en-GB"/>
      </w:rPr>
    </w:lvl>
    <w:lvl w:ilvl="4" w:tplc="6C9ADB2E">
      <w:numFmt w:val="bullet"/>
      <w:lvlText w:val="•"/>
      <w:lvlJc w:val="left"/>
      <w:pPr>
        <w:ind w:left="867" w:hanging="217"/>
      </w:pPr>
      <w:rPr>
        <w:rFonts w:hint="default"/>
        <w:lang w:val="en-GB" w:eastAsia="en-GB" w:bidi="en-GB"/>
      </w:rPr>
    </w:lvl>
    <w:lvl w:ilvl="5" w:tplc="F22076F8">
      <w:numFmt w:val="bullet"/>
      <w:lvlText w:val="•"/>
      <w:lvlJc w:val="left"/>
      <w:pPr>
        <w:ind w:left="1009" w:hanging="217"/>
      </w:pPr>
      <w:rPr>
        <w:rFonts w:hint="default"/>
        <w:lang w:val="en-GB" w:eastAsia="en-GB" w:bidi="en-GB"/>
      </w:rPr>
    </w:lvl>
    <w:lvl w:ilvl="6" w:tplc="A16A061E">
      <w:numFmt w:val="bullet"/>
      <w:lvlText w:val="•"/>
      <w:lvlJc w:val="left"/>
      <w:pPr>
        <w:ind w:left="1151" w:hanging="217"/>
      </w:pPr>
      <w:rPr>
        <w:rFonts w:hint="default"/>
        <w:lang w:val="en-GB" w:eastAsia="en-GB" w:bidi="en-GB"/>
      </w:rPr>
    </w:lvl>
    <w:lvl w:ilvl="7" w:tplc="2B3863FE">
      <w:numFmt w:val="bullet"/>
      <w:lvlText w:val="•"/>
      <w:lvlJc w:val="left"/>
      <w:pPr>
        <w:ind w:left="1293" w:hanging="217"/>
      </w:pPr>
      <w:rPr>
        <w:rFonts w:hint="default"/>
        <w:lang w:val="en-GB" w:eastAsia="en-GB" w:bidi="en-GB"/>
      </w:rPr>
    </w:lvl>
    <w:lvl w:ilvl="8" w:tplc="A17C9918">
      <w:numFmt w:val="bullet"/>
      <w:lvlText w:val="•"/>
      <w:lvlJc w:val="left"/>
      <w:pPr>
        <w:ind w:left="1435" w:hanging="217"/>
      </w:pPr>
      <w:rPr>
        <w:rFonts w:hint="default"/>
        <w:lang w:val="en-GB" w:eastAsia="en-GB" w:bidi="en-GB"/>
      </w:rPr>
    </w:lvl>
  </w:abstractNum>
  <w:abstractNum w:abstractNumId="960" w15:restartNumberingAfterBreak="0">
    <w:nsid w:val="57675BE0"/>
    <w:multiLevelType w:val="hybridMultilevel"/>
    <w:tmpl w:val="B3CAF20A"/>
    <w:lvl w:ilvl="0" w:tplc="06869A6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F40C4F8">
      <w:numFmt w:val="bullet"/>
      <w:lvlText w:val="•"/>
      <w:lvlJc w:val="left"/>
      <w:pPr>
        <w:ind w:left="439" w:hanging="217"/>
      </w:pPr>
      <w:rPr>
        <w:rFonts w:hint="default"/>
        <w:lang w:val="en-GB" w:eastAsia="en-GB" w:bidi="en-GB"/>
      </w:rPr>
    </w:lvl>
    <w:lvl w:ilvl="2" w:tplc="FC54A4D8">
      <w:numFmt w:val="bullet"/>
      <w:lvlText w:val="•"/>
      <w:lvlJc w:val="left"/>
      <w:pPr>
        <w:ind w:left="578" w:hanging="217"/>
      </w:pPr>
      <w:rPr>
        <w:rFonts w:hint="default"/>
        <w:lang w:val="en-GB" w:eastAsia="en-GB" w:bidi="en-GB"/>
      </w:rPr>
    </w:lvl>
    <w:lvl w:ilvl="3" w:tplc="6A468036">
      <w:numFmt w:val="bullet"/>
      <w:lvlText w:val="•"/>
      <w:lvlJc w:val="left"/>
      <w:pPr>
        <w:ind w:left="717" w:hanging="217"/>
      </w:pPr>
      <w:rPr>
        <w:rFonts w:hint="default"/>
        <w:lang w:val="en-GB" w:eastAsia="en-GB" w:bidi="en-GB"/>
      </w:rPr>
    </w:lvl>
    <w:lvl w:ilvl="4" w:tplc="0C08EEF4">
      <w:numFmt w:val="bullet"/>
      <w:lvlText w:val="•"/>
      <w:lvlJc w:val="left"/>
      <w:pPr>
        <w:ind w:left="856" w:hanging="217"/>
      </w:pPr>
      <w:rPr>
        <w:rFonts w:hint="default"/>
        <w:lang w:val="en-GB" w:eastAsia="en-GB" w:bidi="en-GB"/>
      </w:rPr>
    </w:lvl>
    <w:lvl w:ilvl="5" w:tplc="A6A6C344">
      <w:numFmt w:val="bullet"/>
      <w:lvlText w:val="•"/>
      <w:lvlJc w:val="left"/>
      <w:pPr>
        <w:ind w:left="995" w:hanging="217"/>
      </w:pPr>
      <w:rPr>
        <w:rFonts w:hint="default"/>
        <w:lang w:val="en-GB" w:eastAsia="en-GB" w:bidi="en-GB"/>
      </w:rPr>
    </w:lvl>
    <w:lvl w:ilvl="6" w:tplc="81D4021E">
      <w:numFmt w:val="bullet"/>
      <w:lvlText w:val="•"/>
      <w:lvlJc w:val="left"/>
      <w:pPr>
        <w:ind w:left="1134" w:hanging="217"/>
      </w:pPr>
      <w:rPr>
        <w:rFonts w:hint="default"/>
        <w:lang w:val="en-GB" w:eastAsia="en-GB" w:bidi="en-GB"/>
      </w:rPr>
    </w:lvl>
    <w:lvl w:ilvl="7" w:tplc="9954AB3E">
      <w:numFmt w:val="bullet"/>
      <w:lvlText w:val="•"/>
      <w:lvlJc w:val="left"/>
      <w:pPr>
        <w:ind w:left="1273" w:hanging="217"/>
      </w:pPr>
      <w:rPr>
        <w:rFonts w:hint="default"/>
        <w:lang w:val="en-GB" w:eastAsia="en-GB" w:bidi="en-GB"/>
      </w:rPr>
    </w:lvl>
    <w:lvl w:ilvl="8" w:tplc="0A2EE1B0">
      <w:numFmt w:val="bullet"/>
      <w:lvlText w:val="•"/>
      <w:lvlJc w:val="left"/>
      <w:pPr>
        <w:ind w:left="1412" w:hanging="217"/>
      </w:pPr>
      <w:rPr>
        <w:rFonts w:hint="default"/>
        <w:lang w:val="en-GB" w:eastAsia="en-GB" w:bidi="en-GB"/>
      </w:rPr>
    </w:lvl>
  </w:abstractNum>
  <w:abstractNum w:abstractNumId="961" w15:restartNumberingAfterBreak="0">
    <w:nsid w:val="578B40EA"/>
    <w:multiLevelType w:val="hybridMultilevel"/>
    <w:tmpl w:val="0BC4B4C4"/>
    <w:lvl w:ilvl="0" w:tplc="38CA10C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BB6086C">
      <w:numFmt w:val="bullet"/>
      <w:lvlText w:val="•"/>
      <w:lvlJc w:val="left"/>
      <w:pPr>
        <w:ind w:left="541" w:hanging="217"/>
      </w:pPr>
      <w:rPr>
        <w:rFonts w:hint="default"/>
        <w:lang w:val="en-GB" w:eastAsia="en-GB" w:bidi="en-GB"/>
      </w:rPr>
    </w:lvl>
    <w:lvl w:ilvl="2" w:tplc="994A34FC">
      <w:numFmt w:val="bullet"/>
      <w:lvlText w:val="•"/>
      <w:lvlJc w:val="left"/>
      <w:pPr>
        <w:ind w:left="782" w:hanging="217"/>
      </w:pPr>
      <w:rPr>
        <w:rFonts w:hint="default"/>
        <w:lang w:val="en-GB" w:eastAsia="en-GB" w:bidi="en-GB"/>
      </w:rPr>
    </w:lvl>
    <w:lvl w:ilvl="3" w:tplc="F9F83ECA">
      <w:numFmt w:val="bullet"/>
      <w:lvlText w:val="•"/>
      <w:lvlJc w:val="left"/>
      <w:pPr>
        <w:ind w:left="1023" w:hanging="217"/>
      </w:pPr>
      <w:rPr>
        <w:rFonts w:hint="default"/>
        <w:lang w:val="en-GB" w:eastAsia="en-GB" w:bidi="en-GB"/>
      </w:rPr>
    </w:lvl>
    <w:lvl w:ilvl="4" w:tplc="4E8A5CEE">
      <w:numFmt w:val="bullet"/>
      <w:lvlText w:val="•"/>
      <w:lvlJc w:val="left"/>
      <w:pPr>
        <w:ind w:left="1264" w:hanging="217"/>
      </w:pPr>
      <w:rPr>
        <w:rFonts w:hint="default"/>
        <w:lang w:val="en-GB" w:eastAsia="en-GB" w:bidi="en-GB"/>
      </w:rPr>
    </w:lvl>
    <w:lvl w:ilvl="5" w:tplc="B366C1EE">
      <w:numFmt w:val="bullet"/>
      <w:lvlText w:val="•"/>
      <w:lvlJc w:val="left"/>
      <w:pPr>
        <w:ind w:left="1505" w:hanging="217"/>
      </w:pPr>
      <w:rPr>
        <w:rFonts w:hint="default"/>
        <w:lang w:val="en-GB" w:eastAsia="en-GB" w:bidi="en-GB"/>
      </w:rPr>
    </w:lvl>
    <w:lvl w:ilvl="6" w:tplc="832E1C96">
      <w:numFmt w:val="bullet"/>
      <w:lvlText w:val="•"/>
      <w:lvlJc w:val="left"/>
      <w:pPr>
        <w:ind w:left="1746" w:hanging="217"/>
      </w:pPr>
      <w:rPr>
        <w:rFonts w:hint="default"/>
        <w:lang w:val="en-GB" w:eastAsia="en-GB" w:bidi="en-GB"/>
      </w:rPr>
    </w:lvl>
    <w:lvl w:ilvl="7" w:tplc="2A4E66B4">
      <w:numFmt w:val="bullet"/>
      <w:lvlText w:val="•"/>
      <w:lvlJc w:val="left"/>
      <w:pPr>
        <w:ind w:left="1987" w:hanging="217"/>
      </w:pPr>
      <w:rPr>
        <w:rFonts w:hint="default"/>
        <w:lang w:val="en-GB" w:eastAsia="en-GB" w:bidi="en-GB"/>
      </w:rPr>
    </w:lvl>
    <w:lvl w:ilvl="8" w:tplc="89305AC0">
      <w:numFmt w:val="bullet"/>
      <w:lvlText w:val="•"/>
      <w:lvlJc w:val="left"/>
      <w:pPr>
        <w:ind w:left="2228" w:hanging="217"/>
      </w:pPr>
      <w:rPr>
        <w:rFonts w:hint="default"/>
        <w:lang w:val="en-GB" w:eastAsia="en-GB" w:bidi="en-GB"/>
      </w:rPr>
    </w:lvl>
  </w:abstractNum>
  <w:abstractNum w:abstractNumId="962" w15:restartNumberingAfterBreak="0">
    <w:nsid w:val="57A35A6C"/>
    <w:multiLevelType w:val="hybridMultilevel"/>
    <w:tmpl w:val="46268ABE"/>
    <w:lvl w:ilvl="0" w:tplc="3424D3E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9FC6B20">
      <w:numFmt w:val="bullet"/>
      <w:lvlText w:val="•"/>
      <w:lvlJc w:val="left"/>
      <w:pPr>
        <w:ind w:left="1061" w:hanging="217"/>
      </w:pPr>
      <w:rPr>
        <w:rFonts w:hint="default"/>
        <w:lang w:val="en-GB" w:eastAsia="en-GB" w:bidi="en-GB"/>
      </w:rPr>
    </w:lvl>
    <w:lvl w:ilvl="2" w:tplc="344EEA18">
      <w:numFmt w:val="bullet"/>
      <w:lvlText w:val="•"/>
      <w:lvlJc w:val="left"/>
      <w:pPr>
        <w:ind w:left="1823" w:hanging="217"/>
      </w:pPr>
      <w:rPr>
        <w:rFonts w:hint="default"/>
        <w:lang w:val="en-GB" w:eastAsia="en-GB" w:bidi="en-GB"/>
      </w:rPr>
    </w:lvl>
    <w:lvl w:ilvl="3" w:tplc="40440688">
      <w:numFmt w:val="bullet"/>
      <w:lvlText w:val="•"/>
      <w:lvlJc w:val="left"/>
      <w:pPr>
        <w:ind w:left="2585" w:hanging="217"/>
      </w:pPr>
      <w:rPr>
        <w:rFonts w:hint="default"/>
        <w:lang w:val="en-GB" w:eastAsia="en-GB" w:bidi="en-GB"/>
      </w:rPr>
    </w:lvl>
    <w:lvl w:ilvl="4" w:tplc="CFFA4054">
      <w:numFmt w:val="bullet"/>
      <w:lvlText w:val="•"/>
      <w:lvlJc w:val="left"/>
      <w:pPr>
        <w:ind w:left="3346" w:hanging="217"/>
      </w:pPr>
      <w:rPr>
        <w:rFonts w:hint="default"/>
        <w:lang w:val="en-GB" w:eastAsia="en-GB" w:bidi="en-GB"/>
      </w:rPr>
    </w:lvl>
    <w:lvl w:ilvl="5" w:tplc="4508BF28">
      <w:numFmt w:val="bullet"/>
      <w:lvlText w:val="•"/>
      <w:lvlJc w:val="left"/>
      <w:pPr>
        <w:ind w:left="4108" w:hanging="217"/>
      </w:pPr>
      <w:rPr>
        <w:rFonts w:hint="default"/>
        <w:lang w:val="en-GB" w:eastAsia="en-GB" w:bidi="en-GB"/>
      </w:rPr>
    </w:lvl>
    <w:lvl w:ilvl="6" w:tplc="EF7A9C62">
      <w:numFmt w:val="bullet"/>
      <w:lvlText w:val="•"/>
      <w:lvlJc w:val="left"/>
      <w:pPr>
        <w:ind w:left="4870" w:hanging="217"/>
      </w:pPr>
      <w:rPr>
        <w:rFonts w:hint="default"/>
        <w:lang w:val="en-GB" w:eastAsia="en-GB" w:bidi="en-GB"/>
      </w:rPr>
    </w:lvl>
    <w:lvl w:ilvl="7" w:tplc="E4F2CFAC">
      <w:numFmt w:val="bullet"/>
      <w:lvlText w:val="•"/>
      <w:lvlJc w:val="left"/>
      <w:pPr>
        <w:ind w:left="5631" w:hanging="217"/>
      </w:pPr>
      <w:rPr>
        <w:rFonts w:hint="default"/>
        <w:lang w:val="en-GB" w:eastAsia="en-GB" w:bidi="en-GB"/>
      </w:rPr>
    </w:lvl>
    <w:lvl w:ilvl="8" w:tplc="8CDECB7C">
      <w:numFmt w:val="bullet"/>
      <w:lvlText w:val="•"/>
      <w:lvlJc w:val="left"/>
      <w:pPr>
        <w:ind w:left="6393" w:hanging="217"/>
      </w:pPr>
      <w:rPr>
        <w:rFonts w:hint="default"/>
        <w:lang w:val="en-GB" w:eastAsia="en-GB" w:bidi="en-GB"/>
      </w:rPr>
    </w:lvl>
  </w:abstractNum>
  <w:abstractNum w:abstractNumId="963" w15:restartNumberingAfterBreak="0">
    <w:nsid w:val="57B343A3"/>
    <w:multiLevelType w:val="hybridMultilevel"/>
    <w:tmpl w:val="2D766BBC"/>
    <w:lvl w:ilvl="0" w:tplc="9B98B23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7523B2A">
      <w:numFmt w:val="bullet"/>
      <w:lvlText w:val="•"/>
      <w:lvlJc w:val="left"/>
      <w:pPr>
        <w:ind w:left="473" w:hanging="217"/>
      </w:pPr>
      <w:rPr>
        <w:rFonts w:hint="default"/>
        <w:lang w:val="en-GB" w:eastAsia="en-GB" w:bidi="en-GB"/>
      </w:rPr>
    </w:lvl>
    <w:lvl w:ilvl="2" w:tplc="13F4C774">
      <w:numFmt w:val="bullet"/>
      <w:lvlText w:val="•"/>
      <w:lvlJc w:val="left"/>
      <w:pPr>
        <w:ind w:left="646" w:hanging="217"/>
      </w:pPr>
      <w:rPr>
        <w:rFonts w:hint="default"/>
        <w:lang w:val="en-GB" w:eastAsia="en-GB" w:bidi="en-GB"/>
      </w:rPr>
    </w:lvl>
    <w:lvl w:ilvl="3" w:tplc="61CE6FDE">
      <w:numFmt w:val="bullet"/>
      <w:lvlText w:val="•"/>
      <w:lvlJc w:val="left"/>
      <w:pPr>
        <w:ind w:left="819" w:hanging="217"/>
      </w:pPr>
      <w:rPr>
        <w:rFonts w:hint="default"/>
        <w:lang w:val="en-GB" w:eastAsia="en-GB" w:bidi="en-GB"/>
      </w:rPr>
    </w:lvl>
    <w:lvl w:ilvl="4" w:tplc="0C4E6C0E">
      <w:numFmt w:val="bullet"/>
      <w:lvlText w:val="•"/>
      <w:lvlJc w:val="left"/>
      <w:pPr>
        <w:ind w:left="992" w:hanging="217"/>
      </w:pPr>
      <w:rPr>
        <w:rFonts w:hint="default"/>
        <w:lang w:val="en-GB" w:eastAsia="en-GB" w:bidi="en-GB"/>
      </w:rPr>
    </w:lvl>
    <w:lvl w:ilvl="5" w:tplc="F536ACBE">
      <w:numFmt w:val="bullet"/>
      <w:lvlText w:val="•"/>
      <w:lvlJc w:val="left"/>
      <w:pPr>
        <w:ind w:left="1165" w:hanging="217"/>
      </w:pPr>
      <w:rPr>
        <w:rFonts w:hint="default"/>
        <w:lang w:val="en-GB" w:eastAsia="en-GB" w:bidi="en-GB"/>
      </w:rPr>
    </w:lvl>
    <w:lvl w:ilvl="6" w:tplc="9F5E4A4E">
      <w:numFmt w:val="bullet"/>
      <w:lvlText w:val="•"/>
      <w:lvlJc w:val="left"/>
      <w:pPr>
        <w:ind w:left="1338" w:hanging="217"/>
      </w:pPr>
      <w:rPr>
        <w:rFonts w:hint="default"/>
        <w:lang w:val="en-GB" w:eastAsia="en-GB" w:bidi="en-GB"/>
      </w:rPr>
    </w:lvl>
    <w:lvl w:ilvl="7" w:tplc="248094DA">
      <w:numFmt w:val="bullet"/>
      <w:lvlText w:val="•"/>
      <w:lvlJc w:val="left"/>
      <w:pPr>
        <w:ind w:left="1511" w:hanging="217"/>
      </w:pPr>
      <w:rPr>
        <w:rFonts w:hint="default"/>
        <w:lang w:val="en-GB" w:eastAsia="en-GB" w:bidi="en-GB"/>
      </w:rPr>
    </w:lvl>
    <w:lvl w:ilvl="8" w:tplc="D3342EB4">
      <w:numFmt w:val="bullet"/>
      <w:lvlText w:val="•"/>
      <w:lvlJc w:val="left"/>
      <w:pPr>
        <w:ind w:left="1684" w:hanging="217"/>
      </w:pPr>
      <w:rPr>
        <w:rFonts w:hint="default"/>
        <w:lang w:val="en-GB" w:eastAsia="en-GB" w:bidi="en-GB"/>
      </w:rPr>
    </w:lvl>
  </w:abstractNum>
  <w:abstractNum w:abstractNumId="964" w15:restartNumberingAfterBreak="0">
    <w:nsid w:val="57CE376A"/>
    <w:multiLevelType w:val="hybridMultilevel"/>
    <w:tmpl w:val="36CCBA6C"/>
    <w:lvl w:ilvl="0" w:tplc="35F433E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C36DBEA">
      <w:numFmt w:val="bullet"/>
      <w:lvlText w:val="•"/>
      <w:lvlJc w:val="left"/>
      <w:pPr>
        <w:ind w:left="439" w:hanging="217"/>
      </w:pPr>
      <w:rPr>
        <w:rFonts w:hint="default"/>
        <w:lang w:val="en-GB" w:eastAsia="en-GB" w:bidi="en-GB"/>
      </w:rPr>
    </w:lvl>
    <w:lvl w:ilvl="2" w:tplc="2CB8F932">
      <w:numFmt w:val="bullet"/>
      <w:lvlText w:val="•"/>
      <w:lvlJc w:val="left"/>
      <w:pPr>
        <w:ind w:left="578" w:hanging="217"/>
      </w:pPr>
      <w:rPr>
        <w:rFonts w:hint="default"/>
        <w:lang w:val="en-GB" w:eastAsia="en-GB" w:bidi="en-GB"/>
      </w:rPr>
    </w:lvl>
    <w:lvl w:ilvl="3" w:tplc="A072DCAC">
      <w:numFmt w:val="bullet"/>
      <w:lvlText w:val="•"/>
      <w:lvlJc w:val="left"/>
      <w:pPr>
        <w:ind w:left="717" w:hanging="217"/>
      </w:pPr>
      <w:rPr>
        <w:rFonts w:hint="default"/>
        <w:lang w:val="en-GB" w:eastAsia="en-GB" w:bidi="en-GB"/>
      </w:rPr>
    </w:lvl>
    <w:lvl w:ilvl="4" w:tplc="65F60F5E">
      <w:numFmt w:val="bullet"/>
      <w:lvlText w:val="•"/>
      <w:lvlJc w:val="left"/>
      <w:pPr>
        <w:ind w:left="856" w:hanging="217"/>
      </w:pPr>
      <w:rPr>
        <w:rFonts w:hint="default"/>
        <w:lang w:val="en-GB" w:eastAsia="en-GB" w:bidi="en-GB"/>
      </w:rPr>
    </w:lvl>
    <w:lvl w:ilvl="5" w:tplc="D4C88058">
      <w:numFmt w:val="bullet"/>
      <w:lvlText w:val="•"/>
      <w:lvlJc w:val="left"/>
      <w:pPr>
        <w:ind w:left="995" w:hanging="217"/>
      </w:pPr>
      <w:rPr>
        <w:rFonts w:hint="default"/>
        <w:lang w:val="en-GB" w:eastAsia="en-GB" w:bidi="en-GB"/>
      </w:rPr>
    </w:lvl>
    <w:lvl w:ilvl="6" w:tplc="17E4D946">
      <w:numFmt w:val="bullet"/>
      <w:lvlText w:val="•"/>
      <w:lvlJc w:val="left"/>
      <w:pPr>
        <w:ind w:left="1134" w:hanging="217"/>
      </w:pPr>
      <w:rPr>
        <w:rFonts w:hint="default"/>
        <w:lang w:val="en-GB" w:eastAsia="en-GB" w:bidi="en-GB"/>
      </w:rPr>
    </w:lvl>
    <w:lvl w:ilvl="7" w:tplc="078A8F3E">
      <w:numFmt w:val="bullet"/>
      <w:lvlText w:val="•"/>
      <w:lvlJc w:val="left"/>
      <w:pPr>
        <w:ind w:left="1273" w:hanging="217"/>
      </w:pPr>
      <w:rPr>
        <w:rFonts w:hint="default"/>
        <w:lang w:val="en-GB" w:eastAsia="en-GB" w:bidi="en-GB"/>
      </w:rPr>
    </w:lvl>
    <w:lvl w:ilvl="8" w:tplc="E7A67C26">
      <w:numFmt w:val="bullet"/>
      <w:lvlText w:val="•"/>
      <w:lvlJc w:val="left"/>
      <w:pPr>
        <w:ind w:left="1412" w:hanging="217"/>
      </w:pPr>
      <w:rPr>
        <w:rFonts w:hint="default"/>
        <w:lang w:val="en-GB" w:eastAsia="en-GB" w:bidi="en-GB"/>
      </w:rPr>
    </w:lvl>
  </w:abstractNum>
  <w:abstractNum w:abstractNumId="965" w15:restartNumberingAfterBreak="0">
    <w:nsid w:val="57EB0CDF"/>
    <w:multiLevelType w:val="hybridMultilevel"/>
    <w:tmpl w:val="0B0643EA"/>
    <w:lvl w:ilvl="0" w:tplc="BE0A1B16">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607004C0">
      <w:numFmt w:val="bullet"/>
      <w:lvlText w:val="•"/>
      <w:lvlJc w:val="left"/>
      <w:pPr>
        <w:ind w:left="473" w:hanging="217"/>
      </w:pPr>
      <w:rPr>
        <w:rFonts w:hint="default"/>
        <w:lang w:val="en-GB" w:eastAsia="en-GB" w:bidi="en-GB"/>
      </w:rPr>
    </w:lvl>
    <w:lvl w:ilvl="2" w:tplc="9870771E">
      <w:numFmt w:val="bullet"/>
      <w:lvlText w:val="•"/>
      <w:lvlJc w:val="left"/>
      <w:pPr>
        <w:ind w:left="646" w:hanging="217"/>
      </w:pPr>
      <w:rPr>
        <w:rFonts w:hint="default"/>
        <w:lang w:val="en-GB" w:eastAsia="en-GB" w:bidi="en-GB"/>
      </w:rPr>
    </w:lvl>
    <w:lvl w:ilvl="3" w:tplc="3C561672">
      <w:numFmt w:val="bullet"/>
      <w:lvlText w:val="•"/>
      <w:lvlJc w:val="left"/>
      <w:pPr>
        <w:ind w:left="819" w:hanging="217"/>
      </w:pPr>
      <w:rPr>
        <w:rFonts w:hint="default"/>
        <w:lang w:val="en-GB" w:eastAsia="en-GB" w:bidi="en-GB"/>
      </w:rPr>
    </w:lvl>
    <w:lvl w:ilvl="4" w:tplc="7452FBAC">
      <w:numFmt w:val="bullet"/>
      <w:lvlText w:val="•"/>
      <w:lvlJc w:val="left"/>
      <w:pPr>
        <w:ind w:left="992" w:hanging="217"/>
      </w:pPr>
      <w:rPr>
        <w:rFonts w:hint="default"/>
        <w:lang w:val="en-GB" w:eastAsia="en-GB" w:bidi="en-GB"/>
      </w:rPr>
    </w:lvl>
    <w:lvl w:ilvl="5" w:tplc="97BC8BC4">
      <w:numFmt w:val="bullet"/>
      <w:lvlText w:val="•"/>
      <w:lvlJc w:val="left"/>
      <w:pPr>
        <w:ind w:left="1165" w:hanging="217"/>
      </w:pPr>
      <w:rPr>
        <w:rFonts w:hint="default"/>
        <w:lang w:val="en-GB" w:eastAsia="en-GB" w:bidi="en-GB"/>
      </w:rPr>
    </w:lvl>
    <w:lvl w:ilvl="6" w:tplc="6C4C1CA0">
      <w:numFmt w:val="bullet"/>
      <w:lvlText w:val="•"/>
      <w:lvlJc w:val="left"/>
      <w:pPr>
        <w:ind w:left="1338" w:hanging="217"/>
      </w:pPr>
      <w:rPr>
        <w:rFonts w:hint="default"/>
        <w:lang w:val="en-GB" w:eastAsia="en-GB" w:bidi="en-GB"/>
      </w:rPr>
    </w:lvl>
    <w:lvl w:ilvl="7" w:tplc="83249BE2">
      <w:numFmt w:val="bullet"/>
      <w:lvlText w:val="•"/>
      <w:lvlJc w:val="left"/>
      <w:pPr>
        <w:ind w:left="1511" w:hanging="217"/>
      </w:pPr>
      <w:rPr>
        <w:rFonts w:hint="default"/>
        <w:lang w:val="en-GB" w:eastAsia="en-GB" w:bidi="en-GB"/>
      </w:rPr>
    </w:lvl>
    <w:lvl w:ilvl="8" w:tplc="BD84FC8E">
      <w:numFmt w:val="bullet"/>
      <w:lvlText w:val="•"/>
      <w:lvlJc w:val="left"/>
      <w:pPr>
        <w:ind w:left="1684" w:hanging="217"/>
      </w:pPr>
      <w:rPr>
        <w:rFonts w:hint="default"/>
        <w:lang w:val="en-GB" w:eastAsia="en-GB" w:bidi="en-GB"/>
      </w:rPr>
    </w:lvl>
  </w:abstractNum>
  <w:abstractNum w:abstractNumId="966" w15:restartNumberingAfterBreak="0">
    <w:nsid w:val="580F6FD2"/>
    <w:multiLevelType w:val="hybridMultilevel"/>
    <w:tmpl w:val="15A6DFB8"/>
    <w:lvl w:ilvl="0" w:tplc="11C294C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2EE8DDE">
      <w:numFmt w:val="bullet"/>
      <w:lvlText w:val="•"/>
      <w:lvlJc w:val="left"/>
      <w:pPr>
        <w:ind w:left="892" w:hanging="217"/>
      </w:pPr>
      <w:rPr>
        <w:rFonts w:hint="default"/>
        <w:lang w:val="en-GB" w:eastAsia="en-GB" w:bidi="en-GB"/>
      </w:rPr>
    </w:lvl>
    <w:lvl w:ilvl="2" w:tplc="29F63124">
      <w:numFmt w:val="bullet"/>
      <w:lvlText w:val="•"/>
      <w:lvlJc w:val="left"/>
      <w:pPr>
        <w:ind w:left="1485" w:hanging="217"/>
      </w:pPr>
      <w:rPr>
        <w:rFonts w:hint="default"/>
        <w:lang w:val="en-GB" w:eastAsia="en-GB" w:bidi="en-GB"/>
      </w:rPr>
    </w:lvl>
    <w:lvl w:ilvl="3" w:tplc="9C2CF2C4">
      <w:numFmt w:val="bullet"/>
      <w:lvlText w:val="•"/>
      <w:lvlJc w:val="left"/>
      <w:pPr>
        <w:ind w:left="2077" w:hanging="217"/>
      </w:pPr>
      <w:rPr>
        <w:rFonts w:hint="default"/>
        <w:lang w:val="en-GB" w:eastAsia="en-GB" w:bidi="en-GB"/>
      </w:rPr>
    </w:lvl>
    <w:lvl w:ilvl="4" w:tplc="F43A13F4">
      <w:numFmt w:val="bullet"/>
      <w:lvlText w:val="•"/>
      <w:lvlJc w:val="left"/>
      <w:pPr>
        <w:ind w:left="2670" w:hanging="217"/>
      </w:pPr>
      <w:rPr>
        <w:rFonts w:hint="default"/>
        <w:lang w:val="en-GB" w:eastAsia="en-GB" w:bidi="en-GB"/>
      </w:rPr>
    </w:lvl>
    <w:lvl w:ilvl="5" w:tplc="BA643F5E">
      <w:numFmt w:val="bullet"/>
      <w:lvlText w:val="•"/>
      <w:lvlJc w:val="left"/>
      <w:pPr>
        <w:ind w:left="3263" w:hanging="217"/>
      </w:pPr>
      <w:rPr>
        <w:rFonts w:hint="default"/>
        <w:lang w:val="en-GB" w:eastAsia="en-GB" w:bidi="en-GB"/>
      </w:rPr>
    </w:lvl>
    <w:lvl w:ilvl="6" w:tplc="78F6EA2A">
      <w:numFmt w:val="bullet"/>
      <w:lvlText w:val="•"/>
      <w:lvlJc w:val="left"/>
      <w:pPr>
        <w:ind w:left="3855" w:hanging="217"/>
      </w:pPr>
      <w:rPr>
        <w:rFonts w:hint="default"/>
        <w:lang w:val="en-GB" w:eastAsia="en-GB" w:bidi="en-GB"/>
      </w:rPr>
    </w:lvl>
    <w:lvl w:ilvl="7" w:tplc="04C09380">
      <w:numFmt w:val="bullet"/>
      <w:lvlText w:val="•"/>
      <w:lvlJc w:val="left"/>
      <w:pPr>
        <w:ind w:left="4448" w:hanging="217"/>
      </w:pPr>
      <w:rPr>
        <w:rFonts w:hint="default"/>
        <w:lang w:val="en-GB" w:eastAsia="en-GB" w:bidi="en-GB"/>
      </w:rPr>
    </w:lvl>
    <w:lvl w:ilvl="8" w:tplc="0EDC87C6">
      <w:numFmt w:val="bullet"/>
      <w:lvlText w:val="•"/>
      <w:lvlJc w:val="left"/>
      <w:pPr>
        <w:ind w:left="5040" w:hanging="217"/>
      </w:pPr>
      <w:rPr>
        <w:rFonts w:hint="default"/>
        <w:lang w:val="en-GB" w:eastAsia="en-GB" w:bidi="en-GB"/>
      </w:rPr>
    </w:lvl>
  </w:abstractNum>
  <w:abstractNum w:abstractNumId="967" w15:restartNumberingAfterBreak="0">
    <w:nsid w:val="580F7F18"/>
    <w:multiLevelType w:val="hybridMultilevel"/>
    <w:tmpl w:val="10D87AEC"/>
    <w:lvl w:ilvl="0" w:tplc="31501A6E">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3B8E15F8">
      <w:numFmt w:val="bullet"/>
      <w:lvlText w:val="•"/>
      <w:lvlJc w:val="left"/>
      <w:pPr>
        <w:ind w:left="541" w:hanging="217"/>
      </w:pPr>
      <w:rPr>
        <w:rFonts w:hint="default"/>
        <w:lang w:val="en-GB" w:eastAsia="en-GB" w:bidi="en-GB"/>
      </w:rPr>
    </w:lvl>
    <w:lvl w:ilvl="2" w:tplc="26E210AC">
      <w:numFmt w:val="bullet"/>
      <w:lvlText w:val="•"/>
      <w:lvlJc w:val="left"/>
      <w:pPr>
        <w:ind w:left="782" w:hanging="217"/>
      </w:pPr>
      <w:rPr>
        <w:rFonts w:hint="default"/>
        <w:lang w:val="en-GB" w:eastAsia="en-GB" w:bidi="en-GB"/>
      </w:rPr>
    </w:lvl>
    <w:lvl w:ilvl="3" w:tplc="189EBCAA">
      <w:numFmt w:val="bullet"/>
      <w:lvlText w:val="•"/>
      <w:lvlJc w:val="left"/>
      <w:pPr>
        <w:ind w:left="1023" w:hanging="217"/>
      </w:pPr>
      <w:rPr>
        <w:rFonts w:hint="default"/>
        <w:lang w:val="en-GB" w:eastAsia="en-GB" w:bidi="en-GB"/>
      </w:rPr>
    </w:lvl>
    <w:lvl w:ilvl="4" w:tplc="3D7AE3C2">
      <w:numFmt w:val="bullet"/>
      <w:lvlText w:val="•"/>
      <w:lvlJc w:val="left"/>
      <w:pPr>
        <w:ind w:left="1264" w:hanging="217"/>
      </w:pPr>
      <w:rPr>
        <w:rFonts w:hint="default"/>
        <w:lang w:val="en-GB" w:eastAsia="en-GB" w:bidi="en-GB"/>
      </w:rPr>
    </w:lvl>
    <w:lvl w:ilvl="5" w:tplc="45820E22">
      <w:numFmt w:val="bullet"/>
      <w:lvlText w:val="•"/>
      <w:lvlJc w:val="left"/>
      <w:pPr>
        <w:ind w:left="1505" w:hanging="217"/>
      </w:pPr>
      <w:rPr>
        <w:rFonts w:hint="default"/>
        <w:lang w:val="en-GB" w:eastAsia="en-GB" w:bidi="en-GB"/>
      </w:rPr>
    </w:lvl>
    <w:lvl w:ilvl="6" w:tplc="B49A1F60">
      <w:numFmt w:val="bullet"/>
      <w:lvlText w:val="•"/>
      <w:lvlJc w:val="left"/>
      <w:pPr>
        <w:ind w:left="1746" w:hanging="217"/>
      </w:pPr>
      <w:rPr>
        <w:rFonts w:hint="default"/>
        <w:lang w:val="en-GB" w:eastAsia="en-GB" w:bidi="en-GB"/>
      </w:rPr>
    </w:lvl>
    <w:lvl w:ilvl="7" w:tplc="11DEE9E8">
      <w:numFmt w:val="bullet"/>
      <w:lvlText w:val="•"/>
      <w:lvlJc w:val="left"/>
      <w:pPr>
        <w:ind w:left="1987" w:hanging="217"/>
      </w:pPr>
      <w:rPr>
        <w:rFonts w:hint="default"/>
        <w:lang w:val="en-GB" w:eastAsia="en-GB" w:bidi="en-GB"/>
      </w:rPr>
    </w:lvl>
    <w:lvl w:ilvl="8" w:tplc="18E44AE0">
      <w:numFmt w:val="bullet"/>
      <w:lvlText w:val="•"/>
      <w:lvlJc w:val="left"/>
      <w:pPr>
        <w:ind w:left="2228" w:hanging="217"/>
      </w:pPr>
      <w:rPr>
        <w:rFonts w:hint="default"/>
        <w:lang w:val="en-GB" w:eastAsia="en-GB" w:bidi="en-GB"/>
      </w:rPr>
    </w:lvl>
  </w:abstractNum>
  <w:abstractNum w:abstractNumId="968" w15:restartNumberingAfterBreak="0">
    <w:nsid w:val="5812701C"/>
    <w:multiLevelType w:val="hybridMultilevel"/>
    <w:tmpl w:val="580AD7CC"/>
    <w:lvl w:ilvl="0" w:tplc="4C2EDC9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8F861D4">
      <w:numFmt w:val="bullet"/>
      <w:lvlText w:val="•"/>
      <w:lvlJc w:val="left"/>
      <w:pPr>
        <w:ind w:left="892" w:hanging="217"/>
      </w:pPr>
      <w:rPr>
        <w:rFonts w:hint="default"/>
        <w:lang w:val="en-GB" w:eastAsia="en-GB" w:bidi="en-GB"/>
      </w:rPr>
    </w:lvl>
    <w:lvl w:ilvl="2" w:tplc="6A4C7324">
      <w:numFmt w:val="bullet"/>
      <w:lvlText w:val="•"/>
      <w:lvlJc w:val="left"/>
      <w:pPr>
        <w:ind w:left="1485" w:hanging="217"/>
      </w:pPr>
      <w:rPr>
        <w:rFonts w:hint="default"/>
        <w:lang w:val="en-GB" w:eastAsia="en-GB" w:bidi="en-GB"/>
      </w:rPr>
    </w:lvl>
    <w:lvl w:ilvl="3" w:tplc="BE78B80C">
      <w:numFmt w:val="bullet"/>
      <w:lvlText w:val="•"/>
      <w:lvlJc w:val="left"/>
      <w:pPr>
        <w:ind w:left="2077" w:hanging="217"/>
      </w:pPr>
      <w:rPr>
        <w:rFonts w:hint="default"/>
        <w:lang w:val="en-GB" w:eastAsia="en-GB" w:bidi="en-GB"/>
      </w:rPr>
    </w:lvl>
    <w:lvl w:ilvl="4" w:tplc="20E0731E">
      <w:numFmt w:val="bullet"/>
      <w:lvlText w:val="•"/>
      <w:lvlJc w:val="left"/>
      <w:pPr>
        <w:ind w:left="2670" w:hanging="217"/>
      </w:pPr>
      <w:rPr>
        <w:rFonts w:hint="default"/>
        <w:lang w:val="en-GB" w:eastAsia="en-GB" w:bidi="en-GB"/>
      </w:rPr>
    </w:lvl>
    <w:lvl w:ilvl="5" w:tplc="CEDC6522">
      <w:numFmt w:val="bullet"/>
      <w:lvlText w:val="•"/>
      <w:lvlJc w:val="left"/>
      <w:pPr>
        <w:ind w:left="3263" w:hanging="217"/>
      </w:pPr>
      <w:rPr>
        <w:rFonts w:hint="default"/>
        <w:lang w:val="en-GB" w:eastAsia="en-GB" w:bidi="en-GB"/>
      </w:rPr>
    </w:lvl>
    <w:lvl w:ilvl="6" w:tplc="1DE8C136">
      <w:numFmt w:val="bullet"/>
      <w:lvlText w:val="•"/>
      <w:lvlJc w:val="left"/>
      <w:pPr>
        <w:ind w:left="3855" w:hanging="217"/>
      </w:pPr>
      <w:rPr>
        <w:rFonts w:hint="default"/>
        <w:lang w:val="en-GB" w:eastAsia="en-GB" w:bidi="en-GB"/>
      </w:rPr>
    </w:lvl>
    <w:lvl w:ilvl="7" w:tplc="B114E27E">
      <w:numFmt w:val="bullet"/>
      <w:lvlText w:val="•"/>
      <w:lvlJc w:val="left"/>
      <w:pPr>
        <w:ind w:left="4448" w:hanging="217"/>
      </w:pPr>
      <w:rPr>
        <w:rFonts w:hint="default"/>
        <w:lang w:val="en-GB" w:eastAsia="en-GB" w:bidi="en-GB"/>
      </w:rPr>
    </w:lvl>
    <w:lvl w:ilvl="8" w:tplc="A5D67AA6">
      <w:numFmt w:val="bullet"/>
      <w:lvlText w:val="•"/>
      <w:lvlJc w:val="left"/>
      <w:pPr>
        <w:ind w:left="5040" w:hanging="217"/>
      </w:pPr>
      <w:rPr>
        <w:rFonts w:hint="default"/>
        <w:lang w:val="en-GB" w:eastAsia="en-GB" w:bidi="en-GB"/>
      </w:rPr>
    </w:lvl>
  </w:abstractNum>
  <w:abstractNum w:abstractNumId="969" w15:restartNumberingAfterBreak="0">
    <w:nsid w:val="58395219"/>
    <w:multiLevelType w:val="hybridMultilevel"/>
    <w:tmpl w:val="A7D4DDE0"/>
    <w:lvl w:ilvl="0" w:tplc="5BF2DE48">
      <w:numFmt w:val="bullet"/>
      <w:lvlText w:val="•"/>
      <w:lvlJc w:val="left"/>
      <w:pPr>
        <w:ind w:left="3654" w:hanging="217"/>
      </w:pPr>
      <w:rPr>
        <w:rFonts w:ascii="Arial" w:eastAsia="Arial" w:hAnsi="Arial" w:cs="Arial" w:hint="default"/>
        <w:color w:val="231F20"/>
        <w:spacing w:val="-1"/>
        <w:w w:val="100"/>
        <w:sz w:val="18"/>
        <w:szCs w:val="18"/>
        <w:lang w:val="en-GB" w:eastAsia="en-GB" w:bidi="en-GB"/>
      </w:rPr>
    </w:lvl>
    <w:lvl w:ilvl="1" w:tplc="0C509352">
      <w:numFmt w:val="bullet"/>
      <w:lvlText w:val="•"/>
      <w:lvlJc w:val="left"/>
      <w:pPr>
        <w:ind w:left="4109" w:hanging="217"/>
      </w:pPr>
      <w:rPr>
        <w:rFonts w:hint="default"/>
        <w:lang w:val="en-GB" w:eastAsia="en-GB" w:bidi="en-GB"/>
      </w:rPr>
    </w:lvl>
    <w:lvl w:ilvl="2" w:tplc="1DF0C168">
      <w:numFmt w:val="bullet"/>
      <w:lvlText w:val="•"/>
      <w:lvlJc w:val="left"/>
      <w:pPr>
        <w:ind w:left="4558" w:hanging="217"/>
      </w:pPr>
      <w:rPr>
        <w:rFonts w:hint="default"/>
        <w:lang w:val="en-GB" w:eastAsia="en-GB" w:bidi="en-GB"/>
      </w:rPr>
    </w:lvl>
    <w:lvl w:ilvl="3" w:tplc="65861FA8">
      <w:numFmt w:val="bullet"/>
      <w:lvlText w:val="•"/>
      <w:lvlJc w:val="left"/>
      <w:pPr>
        <w:ind w:left="5008" w:hanging="217"/>
      </w:pPr>
      <w:rPr>
        <w:rFonts w:hint="default"/>
        <w:lang w:val="en-GB" w:eastAsia="en-GB" w:bidi="en-GB"/>
      </w:rPr>
    </w:lvl>
    <w:lvl w:ilvl="4" w:tplc="D81C3DB8">
      <w:numFmt w:val="bullet"/>
      <w:lvlText w:val="•"/>
      <w:lvlJc w:val="left"/>
      <w:pPr>
        <w:ind w:left="5457" w:hanging="217"/>
      </w:pPr>
      <w:rPr>
        <w:rFonts w:hint="default"/>
        <w:lang w:val="en-GB" w:eastAsia="en-GB" w:bidi="en-GB"/>
      </w:rPr>
    </w:lvl>
    <w:lvl w:ilvl="5" w:tplc="13FC0482">
      <w:numFmt w:val="bullet"/>
      <w:lvlText w:val="•"/>
      <w:lvlJc w:val="left"/>
      <w:pPr>
        <w:ind w:left="5907" w:hanging="217"/>
      </w:pPr>
      <w:rPr>
        <w:rFonts w:hint="default"/>
        <w:lang w:val="en-GB" w:eastAsia="en-GB" w:bidi="en-GB"/>
      </w:rPr>
    </w:lvl>
    <w:lvl w:ilvl="6" w:tplc="4398A026">
      <w:numFmt w:val="bullet"/>
      <w:lvlText w:val="•"/>
      <w:lvlJc w:val="left"/>
      <w:pPr>
        <w:ind w:left="6356" w:hanging="217"/>
      </w:pPr>
      <w:rPr>
        <w:rFonts w:hint="default"/>
        <w:lang w:val="en-GB" w:eastAsia="en-GB" w:bidi="en-GB"/>
      </w:rPr>
    </w:lvl>
    <w:lvl w:ilvl="7" w:tplc="4D0AE92E">
      <w:numFmt w:val="bullet"/>
      <w:lvlText w:val="•"/>
      <w:lvlJc w:val="left"/>
      <w:pPr>
        <w:ind w:left="6805" w:hanging="217"/>
      </w:pPr>
      <w:rPr>
        <w:rFonts w:hint="default"/>
        <w:lang w:val="en-GB" w:eastAsia="en-GB" w:bidi="en-GB"/>
      </w:rPr>
    </w:lvl>
    <w:lvl w:ilvl="8" w:tplc="4D009034">
      <w:numFmt w:val="bullet"/>
      <w:lvlText w:val="•"/>
      <w:lvlJc w:val="left"/>
      <w:pPr>
        <w:ind w:left="7255" w:hanging="217"/>
      </w:pPr>
      <w:rPr>
        <w:rFonts w:hint="default"/>
        <w:lang w:val="en-GB" w:eastAsia="en-GB" w:bidi="en-GB"/>
      </w:rPr>
    </w:lvl>
  </w:abstractNum>
  <w:abstractNum w:abstractNumId="970" w15:restartNumberingAfterBreak="0">
    <w:nsid w:val="583F33DC"/>
    <w:multiLevelType w:val="hybridMultilevel"/>
    <w:tmpl w:val="7DA80AF8"/>
    <w:lvl w:ilvl="0" w:tplc="49CEE28C">
      <w:numFmt w:val="bullet"/>
      <w:lvlText w:val="•"/>
      <w:lvlJc w:val="left"/>
      <w:pPr>
        <w:ind w:left="299" w:hanging="217"/>
      </w:pPr>
      <w:rPr>
        <w:rFonts w:ascii="Arial" w:eastAsia="Arial" w:hAnsi="Arial" w:cs="Arial" w:hint="default"/>
        <w:color w:val="231F20"/>
        <w:spacing w:val="-6"/>
        <w:w w:val="100"/>
        <w:sz w:val="18"/>
        <w:szCs w:val="18"/>
        <w:lang w:val="en-GB" w:eastAsia="en-GB" w:bidi="en-GB"/>
      </w:rPr>
    </w:lvl>
    <w:lvl w:ilvl="1" w:tplc="D1B220D0">
      <w:numFmt w:val="bullet"/>
      <w:lvlText w:val="•"/>
      <w:lvlJc w:val="left"/>
      <w:pPr>
        <w:ind w:left="473" w:hanging="217"/>
      </w:pPr>
      <w:rPr>
        <w:rFonts w:hint="default"/>
        <w:lang w:val="en-GB" w:eastAsia="en-GB" w:bidi="en-GB"/>
      </w:rPr>
    </w:lvl>
    <w:lvl w:ilvl="2" w:tplc="16BEB9A4">
      <w:numFmt w:val="bullet"/>
      <w:lvlText w:val="•"/>
      <w:lvlJc w:val="left"/>
      <w:pPr>
        <w:ind w:left="646" w:hanging="217"/>
      </w:pPr>
      <w:rPr>
        <w:rFonts w:hint="default"/>
        <w:lang w:val="en-GB" w:eastAsia="en-GB" w:bidi="en-GB"/>
      </w:rPr>
    </w:lvl>
    <w:lvl w:ilvl="3" w:tplc="82B25DDC">
      <w:numFmt w:val="bullet"/>
      <w:lvlText w:val="•"/>
      <w:lvlJc w:val="left"/>
      <w:pPr>
        <w:ind w:left="819" w:hanging="217"/>
      </w:pPr>
      <w:rPr>
        <w:rFonts w:hint="default"/>
        <w:lang w:val="en-GB" w:eastAsia="en-GB" w:bidi="en-GB"/>
      </w:rPr>
    </w:lvl>
    <w:lvl w:ilvl="4" w:tplc="4F9A2D2A">
      <w:numFmt w:val="bullet"/>
      <w:lvlText w:val="•"/>
      <w:lvlJc w:val="left"/>
      <w:pPr>
        <w:ind w:left="992" w:hanging="217"/>
      </w:pPr>
      <w:rPr>
        <w:rFonts w:hint="default"/>
        <w:lang w:val="en-GB" w:eastAsia="en-GB" w:bidi="en-GB"/>
      </w:rPr>
    </w:lvl>
    <w:lvl w:ilvl="5" w:tplc="194E24FE">
      <w:numFmt w:val="bullet"/>
      <w:lvlText w:val="•"/>
      <w:lvlJc w:val="left"/>
      <w:pPr>
        <w:ind w:left="1165" w:hanging="217"/>
      </w:pPr>
      <w:rPr>
        <w:rFonts w:hint="default"/>
        <w:lang w:val="en-GB" w:eastAsia="en-GB" w:bidi="en-GB"/>
      </w:rPr>
    </w:lvl>
    <w:lvl w:ilvl="6" w:tplc="90BE6470">
      <w:numFmt w:val="bullet"/>
      <w:lvlText w:val="•"/>
      <w:lvlJc w:val="left"/>
      <w:pPr>
        <w:ind w:left="1338" w:hanging="217"/>
      </w:pPr>
      <w:rPr>
        <w:rFonts w:hint="default"/>
        <w:lang w:val="en-GB" w:eastAsia="en-GB" w:bidi="en-GB"/>
      </w:rPr>
    </w:lvl>
    <w:lvl w:ilvl="7" w:tplc="B33ED33E">
      <w:numFmt w:val="bullet"/>
      <w:lvlText w:val="•"/>
      <w:lvlJc w:val="left"/>
      <w:pPr>
        <w:ind w:left="1511" w:hanging="217"/>
      </w:pPr>
      <w:rPr>
        <w:rFonts w:hint="default"/>
        <w:lang w:val="en-GB" w:eastAsia="en-GB" w:bidi="en-GB"/>
      </w:rPr>
    </w:lvl>
    <w:lvl w:ilvl="8" w:tplc="A6185EBA">
      <w:numFmt w:val="bullet"/>
      <w:lvlText w:val="•"/>
      <w:lvlJc w:val="left"/>
      <w:pPr>
        <w:ind w:left="1684" w:hanging="217"/>
      </w:pPr>
      <w:rPr>
        <w:rFonts w:hint="default"/>
        <w:lang w:val="en-GB" w:eastAsia="en-GB" w:bidi="en-GB"/>
      </w:rPr>
    </w:lvl>
  </w:abstractNum>
  <w:abstractNum w:abstractNumId="971" w15:restartNumberingAfterBreak="0">
    <w:nsid w:val="58475606"/>
    <w:multiLevelType w:val="hybridMultilevel"/>
    <w:tmpl w:val="F5AA39EC"/>
    <w:lvl w:ilvl="0" w:tplc="7C1495A4">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30C8B98E">
      <w:numFmt w:val="bullet"/>
      <w:lvlText w:val="•"/>
      <w:lvlJc w:val="left"/>
      <w:pPr>
        <w:ind w:left="677" w:hanging="217"/>
      </w:pPr>
      <w:rPr>
        <w:rFonts w:hint="default"/>
        <w:lang w:val="en-GB" w:eastAsia="en-GB" w:bidi="en-GB"/>
      </w:rPr>
    </w:lvl>
    <w:lvl w:ilvl="2" w:tplc="1E6683E8">
      <w:numFmt w:val="bullet"/>
      <w:lvlText w:val="•"/>
      <w:lvlJc w:val="left"/>
      <w:pPr>
        <w:ind w:left="1054" w:hanging="217"/>
      </w:pPr>
      <w:rPr>
        <w:rFonts w:hint="default"/>
        <w:lang w:val="en-GB" w:eastAsia="en-GB" w:bidi="en-GB"/>
      </w:rPr>
    </w:lvl>
    <w:lvl w:ilvl="3" w:tplc="E794B128">
      <w:numFmt w:val="bullet"/>
      <w:lvlText w:val="•"/>
      <w:lvlJc w:val="left"/>
      <w:pPr>
        <w:ind w:left="1431" w:hanging="217"/>
      </w:pPr>
      <w:rPr>
        <w:rFonts w:hint="default"/>
        <w:lang w:val="en-GB" w:eastAsia="en-GB" w:bidi="en-GB"/>
      </w:rPr>
    </w:lvl>
    <w:lvl w:ilvl="4" w:tplc="BAD0633E">
      <w:numFmt w:val="bullet"/>
      <w:lvlText w:val="•"/>
      <w:lvlJc w:val="left"/>
      <w:pPr>
        <w:ind w:left="1808" w:hanging="217"/>
      </w:pPr>
      <w:rPr>
        <w:rFonts w:hint="default"/>
        <w:lang w:val="en-GB" w:eastAsia="en-GB" w:bidi="en-GB"/>
      </w:rPr>
    </w:lvl>
    <w:lvl w:ilvl="5" w:tplc="A14AFABA">
      <w:numFmt w:val="bullet"/>
      <w:lvlText w:val="•"/>
      <w:lvlJc w:val="left"/>
      <w:pPr>
        <w:ind w:left="2186" w:hanging="217"/>
      </w:pPr>
      <w:rPr>
        <w:rFonts w:hint="default"/>
        <w:lang w:val="en-GB" w:eastAsia="en-GB" w:bidi="en-GB"/>
      </w:rPr>
    </w:lvl>
    <w:lvl w:ilvl="6" w:tplc="5D4CA474">
      <w:numFmt w:val="bullet"/>
      <w:lvlText w:val="•"/>
      <w:lvlJc w:val="left"/>
      <w:pPr>
        <w:ind w:left="2563" w:hanging="217"/>
      </w:pPr>
      <w:rPr>
        <w:rFonts w:hint="default"/>
        <w:lang w:val="en-GB" w:eastAsia="en-GB" w:bidi="en-GB"/>
      </w:rPr>
    </w:lvl>
    <w:lvl w:ilvl="7" w:tplc="7CB21924">
      <w:numFmt w:val="bullet"/>
      <w:lvlText w:val="•"/>
      <w:lvlJc w:val="left"/>
      <w:pPr>
        <w:ind w:left="2940" w:hanging="217"/>
      </w:pPr>
      <w:rPr>
        <w:rFonts w:hint="default"/>
        <w:lang w:val="en-GB" w:eastAsia="en-GB" w:bidi="en-GB"/>
      </w:rPr>
    </w:lvl>
    <w:lvl w:ilvl="8" w:tplc="FBB88702">
      <w:numFmt w:val="bullet"/>
      <w:lvlText w:val="•"/>
      <w:lvlJc w:val="left"/>
      <w:pPr>
        <w:ind w:left="3317" w:hanging="217"/>
      </w:pPr>
      <w:rPr>
        <w:rFonts w:hint="default"/>
        <w:lang w:val="en-GB" w:eastAsia="en-GB" w:bidi="en-GB"/>
      </w:rPr>
    </w:lvl>
  </w:abstractNum>
  <w:abstractNum w:abstractNumId="972" w15:restartNumberingAfterBreak="0">
    <w:nsid w:val="585E5D37"/>
    <w:multiLevelType w:val="hybridMultilevel"/>
    <w:tmpl w:val="A170E7DA"/>
    <w:lvl w:ilvl="0" w:tplc="1602CC9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AD2B63A">
      <w:numFmt w:val="bullet"/>
      <w:lvlText w:val="•"/>
      <w:lvlJc w:val="left"/>
      <w:pPr>
        <w:ind w:left="473" w:hanging="217"/>
      </w:pPr>
      <w:rPr>
        <w:rFonts w:hint="default"/>
        <w:lang w:val="en-GB" w:eastAsia="en-GB" w:bidi="en-GB"/>
      </w:rPr>
    </w:lvl>
    <w:lvl w:ilvl="2" w:tplc="3CE69A04">
      <w:numFmt w:val="bullet"/>
      <w:lvlText w:val="•"/>
      <w:lvlJc w:val="left"/>
      <w:pPr>
        <w:ind w:left="646" w:hanging="217"/>
      </w:pPr>
      <w:rPr>
        <w:rFonts w:hint="default"/>
        <w:lang w:val="en-GB" w:eastAsia="en-GB" w:bidi="en-GB"/>
      </w:rPr>
    </w:lvl>
    <w:lvl w:ilvl="3" w:tplc="20523F38">
      <w:numFmt w:val="bullet"/>
      <w:lvlText w:val="•"/>
      <w:lvlJc w:val="left"/>
      <w:pPr>
        <w:ind w:left="819" w:hanging="217"/>
      </w:pPr>
      <w:rPr>
        <w:rFonts w:hint="default"/>
        <w:lang w:val="en-GB" w:eastAsia="en-GB" w:bidi="en-GB"/>
      </w:rPr>
    </w:lvl>
    <w:lvl w:ilvl="4" w:tplc="DA429B60">
      <w:numFmt w:val="bullet"/>
      <w:lvlText w:val="•"/>
      <w:lvlJc w:val="left"/>
      <w:pPr>
        <w:ind w:left="992" w:hanging="217"/>
      </w:pPr>
      <w:rPr>
        <w:rFonts w:hint="default"/>
        <w:lang w:val="en-GB" w:eastAsia="en-GB" w:bidi="en-GB"/>
      </w:rPr>
    </w:lvl>
    <w:lvl w:ilvl="5" w:tplc="51D01228">
      <w:numFmt w:val="bullet"/>
      <w:lvlText w:val="•"/>
      <w:lvlJc w:val="left"/>
      <w:pPr>
        <w:ind w:left="1165" w:hanging="217"/>
      </w:pPr>
      <w:rPr>
        <w:rFonts w:hint="default"/>
        <w:lang w:val="en-GB" w:eastAsia="en-GB" w:bidi="en-GB"/>
      </w:rPr>
    </w:lvl>
    <w:lvl w:ilvl="6" w:tplc="0E1CAA7E">
      <w:numFmt w:val="bullet"/>
      <w:lvlText w:val="•"/>
      <w:lvlJc w:val="left"/>
      <w:pPr>
        <w:ind w:left="1338" w:hanging="217"/>
      </w:pPr>
      <w:rPr>
        <w:rFonts w:hint="default"/>
        <w:lang w:val="en-GB" w:eastAsia="en-GB" w:bidi="en-GB"/>
      </w:rPr>
    </w:lvl>
    <w:lvl w:ilvl="7" w:tplc="189C70C4">
      <w:numFmt w:val="bullet"/>
      <w:lvlText w:val="•"/>
      <w:lvlJc w:val="left"/>
      <w:pPr>
        <w:ind w:left="1511" w:hanging="217"/>
      </w:pPr>
      <w:rPr>
        <w:rFonts w:hint="default"/>
        <w:lang w:val="en-GB" w:eastAsia="en-GB" w:bidi="en-GB"/>
      </w:rPr>
    </w:lvl>
    <w:lvl w:ilvl="8" w:tplc="73C6ED10">
      <w:numFmt w:val="bullet"/>
      <w:lvlText w:val="•"/>
      <w:lvlJc w:val="left"/>
      <w:pPr>
        <w:ind w:left="1684" w:hanging="217"/>
      </w:pPr>
      <w:rPr>
        <w:rFonts w:hint="default"/>
        <w:lang w:val="en-GB" w:eastAsia="en-GB" w:bidi="en-GB"/>
      </w:rPr>
    </w:lvl>
  </w:abstractNum>
  <w:abstractNum w:abstractNumId="973" w15:restartNumberingAfterBreak="0">
    <w:nsid w:val="586C6BAA"/>
    <w:multiLevelType w:val="hybridMultilevel"/>
    <w:tmpl w:val="5B621E26"/>
    <w:lvl w:ilvl="0" w:tplc="F4D42BAA">
      <w:numFmt w:val="bullet"/>
      <w:lvlText w:val="•"/>
      <w:lvlJc w:val="left"/>
      <w:pPr>
        <w:ind w:left="4012" w:hanging="217"/>
      </w:pPr>
      <w:rPr>
        <w:rFonts w:ascii="Arial" w:eastAsia="Arial" w:hAnsi="Arial" w:cs="Arial" w:hint="default"/>
        <w:color w:val="231F20"/>
        <w:spacing w:val="-1"/>
        <w:w w:val="100"/>
        <w:sz w:val="18"/>
        <w:szCs w:val="18"/>
        <w:lang w:val="en-GB" w:eastAsia="en-GB" w:bidi="en-GB"/>
      </w:rPr>
    </w:lvl>
    <w:lvl w:ilvl="1" w:tplc="821026E4">
      <w:numFmt w:val="bullet"/>
      <w:lvlText w:val="•"/>
      <w:lvlJc w:val="left"/>
      <w:pPr>
        <w:ind w:left="4433" w:hanging="217"/>
      </w:pPr>
      <w:rPr>
        <w:rFonts w:hint="default"/>
        <w:lang w:val="en-GB" w:eastAsia="en-GB" w:bidi="en-GB"/>
      </w:rPr>
    </w:lvl>
    <w:lvl w:ilvl="2" w:tplc="4B289330">
      <w:numFmt w:val="bullet"/>
      <w:lvlText w:val="•"/>
      <w:lvlJc w:val="left"/>
      <w:pPr>
        <w:ind w:left="4846" w:hanging="217"/>
      </w:pPr>
      <w:rPr>
        <w:rFonts w:hint="default"/>
        <w:lang w:val="en-GB" w:eastAsia="en-GB" w:bidi="en-GB"/>
      </w:rPr>
    </w:lvl>
    <w:lvl w:ilvl="3" w:tplc="388CDA20">
      <w:numFmt w:val="bullet"/>
      <w:lvlText w:val="•"/>
      <w:lvlJc w:val="left"/>
      <w:pPr>
        <w:ind w:left="5260" w:hanging="217"/>
      </w:pPr>
      <w:rPr>
        <w:rFonts w:hint="default"/>
        <w:lang w:val="en-GB" w:eastAsia="en-GB" w:bidi="en-GB"/>
      </w:rPr>
    </w:lvl>
    <w:lvl w:ilvl="4" w:tplc="80F01796">
      <w:numFmt w:val="bullet"/>
      <w:lvlText w:val="•"/>
      <w:lvlJc w:val="left"/>
      <w:pPr>
        <w:ind w:left="5673" w:hanging="217"/>
      </w:pPr>
      <w:rPr>
        <w:rFonts w:hint="default"/>
        <w:lang w:val="en-GB" w:eastAsia="en-GB" w:bidi="en-GB"/>
      </w:rPr>
    </w:lvl>
    <w:lvl w:ilvl="5" w:tplc="1BB8D9BE">
      <w:numFmt w:val="bullet"/>
      <w:lvlText w:val="•"/>
      <w:lvlJc w:val="left"/>
      <w:pPr>
        <w:ind w:left="6087" w:hanging="217"/>
      </w:pPr>
      <w:rPr>
        <w:rFonts w:hint="default"/>
        <w:lang w:val="en-GB" w:eastAsia="en-GB" w:bidi="en-GB"/>
      </w:rPr>
    </w:lvl>
    <w:lvl w:ilvl="6" w:tplc="0E7867C6">
      <w:numFmt w:val="bullet"/>
      <w:lvlText w:val="•"/>
      <w:lvlJc w:val="left"/>
      <w:pPr>
        <w:ind w:left="6500" w:hanging="217"/>
      </w:pPr>
      <w:rPr>
        <w:rFonts w:hint="default"/>
        <w:lang w:val="en-GB" w:eastAsia="en-GB" w:bidi="en-GB"/>
      </w:rPr>
    </w:lvl>
    <w:lvl w:ilvl="7" w:tplc="8D8E14A2">
      <w:numFmt w:val="bullet"/>
      <w:lvlText w:val="•"/>
      <w:lvlJc w:val="left"/>
      <w:pPr>
        <w:ind w:left="6913" w:hanging="217"/>
      </w:pPr>
      <w:rPr>
        <w:rFonts w:hint="default"/>
        <w:lang w:val="en-GB" w:eastAsia="en-GB" w:bidi="en-GB"/>
      </w:rPr>
    </w:lvl>
    <w:lvl w:ilvl="8" w:tplc="CADCE048">
      <w:numFmt w:val="bullet"/>
      <w:lvlText w:val="•"/>
      <w:lvlJc w:val="left"/>
      <w:pPr>
        <w:ind w:left="7327" w:hanging="217"/>
      </w:pPr>
      <w:rPr>
        <w:rFonts w:hint="default"/>
        <w:lang w:val="en-GB" w:eastAsia="en-GB" w:bidi="en-GB"/>
      </w:rPr>
    </w:lvl>
  </w:abstractNum>
  <w:abstractNum w:abstractNumId="974" w15:restartNumberingAfterBreak="0">
    <w:nsid w:val="58BC6F08"/>
    <w:multiLevelType w:val="hybridMultilevel"/>
    <w:tmpl w:val="A0B4930C"/>
    <w:lvl w:ilvl="0" w:tplc="D06E846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63C7A1C">
      <w:numFmt w:val="bullet"/>
      <w:lvlText w:val="•"/>
      <w:lvlJc w:val="left"/>
      <w:pPr>
        <w:ind w:left="439" w:hanging="217"/>
      </w:pPr>
      <w:rPr>
        <w:rFonts w:hint="default"/>
        <w:lang w:val="en-GB" w:eastAsia="en-GB" w:bidi="en-GB"/>
      </w:rPr>
    </w:lvl>
    <w:lvl w:ilvl="2" w:tplc="28802C68">
      <w:numFmt w:val="bullet"/>
      <w:lvlText w:val="•"/>
      <w:lvlJc w:val="left"/>
      <w:pPr>
        <w:ind w:left="578" w:hanging="217"/>
      </w:pPr>
      <w:rPr>
        <w:rFonts w:hint="default"/>
        <w:lang w:val="en-GB" w:eastAsia="en-GB" w:bidi="en-GB"/>
      </w:rPr>
    </w:lvl>
    <w:lvl w:ilvl="3" w:tplc="ED0EBA7C">
      <w:numFmt w:val="bullet"/>
      <w:lvlText w:val="•"/>
      <w:lvlJc w:val="left"/>
      <w:pPr>
        <w:ind w:left="717" w:hanging="217"/>
      </w:pPr>
      <w:rPr>
        <w:rFonts w:hint="default"/>
        <w:lang w:val="en-GB" w:eastAsia="en-GB" w:bidi="en-GB"/>
      </w:rPr>
    </w:lvl>
    <w:lvl w:ilvl="4" w:tplc="D7F2057C">
      <w:numFmt w:val="bullet"/>
      <w:lvlText w:val="•"/>
      <w:lvlJc w:val="left"/>
      <w:pPr>
        <w:ind w:left="856" w:hanging="217"/>
      </w:pPr>
      <w:rPr>
        <w:rFonts w:hint="default"/>
        <w:lang w:val="en-GB" w:eastAsia="en-GB" w:bidi="en-GB"/>
      </w:rPr>
    </w:lvl>
    <w:lvl w:ilvl="5" w:tplc="CD1E9DD2">
      <w:numFmt w:val="bullet"/>
      <w:lvlText w:val="•"/>
      <w:lvlJc w:val="left"/>
      <w:pPr>
        <w:ind w:left="995" w:hanging="217"/>
      </w:pPr>
      <w:rPr>
        <w:rFonts w:hint="default"/>
        <w:lang w:val="en-GB" w:eastAsia="en-GB" w:bidi="en-GB"/>
      </w:rPr>
    </w:lvl>
    <w:lvl w:ilvl="6" w:tplc="089CBE6A">
      <w:numFmt w:val="bullet"/>
      <w:lvlText w:val="•"/>
      <w:lvlJc w:val="left"/>
      <w:pPr>
        <w:ind w:left="1134" w:hanging="217"/>
      </w:pPr>
      <w:rPr>
        <w:rFonts w:hint="default"/>
        <w:lang w:val="en-GB" w:eastAsia="en-GB" w:bidi="en-GB"/>
      </w:rPr>
    </w:lvl>
    <w:lvl w:ilvl="7" w:tplc="9A089E66">
      <w:numFmt w:val="bullet"/>
      <w:lvlText w:val="•"/>
      <w:lvlJc w:val="left"/>
      <w:pPr>
        <w:ind w:left="1273" w:hanging="217"/>
      </w:pPr>
      <w:rPr>
        <w:rFonts w:hint="default"/>
        <w:lang w:val="en-GB" w:eastAsia="en-GB" w:bidi="en-GB"/>
      </w:rPr>
    </w:lvl>
    <w:lvl w:ilvl="8" w:tplc="543A8C0E">
      <w:numFmt w:val="bullet"/>
      <w:lvlText w:val="•"/>
      <w:lvlJc w:val="left"/>
      <w:pPr>
        <w:ind w:left="1412" w:hanging="217"/>
      </w:pPr>
      <w:rPr>
        <w:rFonts w:hint="default"/>
        <w:lang w:val="en-GB" w:eastAsia="en-GB" w:bidi="en-GB"/>
      </w:rPr>
    </w:lvl>
  </w:abstractNum>
  <w:abstractNum w:abstractNumId="975" w15:restartNumberingAfterBreak="0">
    <w:nsid w:val="58BD205D"/>
    <w:multiLevelType w:val="hybridMultilevel"/>
    <w:tmpl w:val="9D3EF168"/>
    <w:lvl w:ilvl="0" w:tplc="D090AADE">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9568520C">
      <w:numFmt w:val="bullet"/>
      <w:lvlText w:val="•"/>
      <w:lvlJc w:val="left"/>
      <w:pPr>
        <w:ind w:left="473" w:hanging="217"/>
      </w:pPr>
      <w:rPr>
        <w:rFonts w:hint="default"/>
        <w:lang w:val="en-GB" w:eastAsia="en-GB" w:bidi="en-GB"/>
      </w:rPr>
    </w:lvl>
    <w:lvl w:ilvl="2" w:tplc="E8A00388">
      <w:numFmt w:val="bullet"/>
      <w:lvlText w:val="•"/>
      <w:lvlJc w:val="left"/>
      <w:pPr>
        <w:ind w:left="646" w:hanging="217"/>
      </w:pPr>
      <w:rPr>
        <w:rFonts w:hint="default"/>
        <w:lang w:val="en-GB" w:eastAsia="en-GB" w:bidi="en-GB"/>
      </w:rPr>
    </w:lvl>
    <w:lvl w:ilvl="3" w:tplc="DFAC887E">
      <w:numFmt w:val="bullet"/>
      <w:lvlText w:val="•"/>
      <w:lvlJc w:val="left"/>
      <w:pPr>
        <w:ind w:left="819" w:hanging="217"/>
      </w:pPr>
      <w:rPr>
        <w:rFonts w:hint="default"/>
        <w:lang w:val="en-GB" w:eastAsia="en-GB" w:bidi="en-GB"/>
      </w:rPr>
    </w:lvl>
    <w:lvl w:ilvl="4" w:tplc="C0A89868">
      <w:numFmt w:val="bullet"/>
      <w:lvlText w:val="•"/>
      <w:lvlJc w:val="left"/>
      <w:pPr>
        <w:ind w:left="992" w:hanging="217"/>
      </w:pPr>
      <w:rPr>
        <w:rFonts w:hint="default"/>
        <w:lang w:val="en-GB" w:eastAsia="en-GB" w:bidi="en-GB"/>
      </w:rPr>
    </w:lvl>
    <w:lvl w:ilvl="5" w:tplc="656C800A">
      <w:numFmt w:val="bullet"/>
      <w:lvlText w:val="•"/>
      <w:lvlJc w:val="left"/>
      <w:pPr>
        <w:ind w:left="1165" w:hanging="217"/>
      </w:pPr>
      <w:rPr>
        <w:rFonts w:hint="default"/>
        <w:lang w:val="en-GB" w:eastAsia="en-GB" w:bidi="en-GB"/>
      </w:rPr>
    </w:lvl>
    <w:lvl w:ilvl="6" w:tplc="9084BF82">
      <w:numFmt w:val="bullet"/>
      <w:lvlText w:val="•"/>
      <w:lvlJc w:val="left"/>
      <w:pPr>
        <w:ind w:left="1338" w:hanging="217"/>
      </w:pPr>
      <w:rPr>
        <w:rFonts w:hint="default"/>
        <w:lang w:val="en-GB" w:eastAsia="en-GB" w:bidi="en-GB"/>
      </w:rPr>
    </w:lvl>
    <w:lvl w:ilvl="7" w:tplc="9A32F888">
      <w:numFmt w:val="bullet"/>
      <w:lvlText w:val="•"/>
      <w:lvlJc w:val="left"/>
      <w:pPr>
        <w:ind w:left="1511" w:hanging="217"/>
      </w:pPr>
      <w:rPr>
        <w:rFonts w:hint="default"/>
        <w:lang w:val="en-GB" w:eastAsia="en-GB" w:bidi="en-GB"/>
      </w:rPr>
    </w:lvl>
    <w:lvl w:ilvl="8" w:tplc="15BAECF4">
      <w:numFmt w:val="bullet"/>
      <w:lvlText w:val="•"/>
      <w:lvlJc w:val="left"/>
      <w:pPr>
        <w:ind w:left="1684" w:hanging="217"/>
      </w:pPr>
      <w:rPr>
        <w:rFonts w:hint="default"/>
        <w:lang w:val="en-GB" w:eastAsia="en-GB" w:bidi="en-GB"/>
      </w:rPr>
    </w:lvl>
  </w:abstractNum>
  <w:abstractNum w:abstractNumId="976" w15:restartNumberingAfterBreak="0">
    <w:nsid w:val="58C37536"/>
    <w:multiLevelType w:val="hybridMultilevel"/>
    <w:tmpl w:val="F780A904"/>
    <w:lvl w:ilvl="0" w:tplc="9C8C3C40">
      <w:numFmt w:val="bullet"/>
      <w:lvlText w:val="•"/>
      <w:lvlJc w:val="left"/>
      <w:pPr>
        <w:ind w:left="305" w:hanging="217"/>
      </w:pPr>
      <w:rPr>
        <w:rFonts w:ascii="Arial" w:eastAsia="Arial" w:hAnsi="Arial" w:cs="Arial" w:hint="default"/>
        <w:color w:val="231F20"/>
        <w:spacing w:val="-20"/>
        <w:w w:val="100"/>
        <w:sz w:val="18"/>
        <w:szCs w:val="18"/>
        <w:lang w:val="en-GB" w:eastAsia="en-GB" w:bidi="en-GB"/>
      </w:rPr>
    </w:lvl>
    <w:lvl w:ilvl="1" w:tplc="D28CC69E">
      <w:numFmt w:val="bullet"/>
      <w:lvlText w:val="•"/>
      <w:lvlJc w:val="left"/>
      <w:pPr>
        <w:ind w:left="441" w:hanging="217"/>
      </w:pPr>
      <w:rPr>
        <w:rFonts w:hint="default"/>
        <w:lang w:val="en-GB" w:eastAsia="en-GB" w:bidi="en-GB"/>
      </w:rPr>
    </w:lvl>
    <w:lvl w:ilvl="2" w:tplc="50040DD4">
      <w:numFmt w:val="bullet"/>
      <w:lvlText w:val="•"/>
      <w:lvlJc w:val="left"/>
      <w:pPr>
        <w:ind w:left="583" w:hanging="217"/>
      </w:pPr>
      <w:rPr>
        <w:rFonts w:hint="default"/>
        <w:lang w:val="en-GB" w:eastAsia="en-GB" w:bidi="en-GB"/>
      </w:rPr>
    </w:lvl>
    <w:lvl w:ilvl="3" w:tplc="CB6A2F54">
      <w:numFmt w:val="bullet"/>
      <w:lvlText w:val="•"/>
      <w:lvlJc w:val="left"/>
      <w:pPr>
        <w:ind w:left="725" w:hanging="217"/>
      </w:pPr>
      <w:rPr>
        <w:rFonts w:hint="default"/>
        <w:lang w:val="en-GB" w:eastAsia="en-GB" w:bidi="en-GB"/>
      </w:rPr>
    </w:lvl>
    <w:lvl w:ilvl="4" w:tplc="2A2643AA">
      <w:numFmt w:val="bullet"/>
      <w:lvlText w:val="•"/>
      <w:lvlJc w:val="left"/>
      <w:pPr>
        <w:ind w:left="867" w:hanging="217"/>
      </w:pPr>
      <w:rPr>
        <w:rFonts w:hint="default"/>
        <w:lang w:val="en-GB" w:eastAsia="en-GB" w:bidi="en-GB"/>
      </w:rPr>
    </w:lvl>
    <w:lvl w:ilvl="5" w:tplc="567E964E">
      <w:numFmt w:val="bullet"/>
      <w:lvlText w:val="•"/>
      <w:lvlJc w:val="left"/>
      <w:pPr>
        <w:ind w:left="1009" w:hanging="217"/>
      </w:pPr>
      <w:rPr>
        <w:rFonts w:hint="default"/>
        <w:lang w:val="en-GB" w:eastAsia="en-GB" w:bidi="en-GB"/>
      </w:rPr>
    </w:lvl>
    <w:lvl w:ilvl="6" w:tplc="A51E05DA">
      <w:numFmt w:val="bullet"/>
      <w:lvlText w:val="•"/>
      <w:lvlJc w:val="left"/>
      <w:pPr>
        <w:ind w:left="1151" w:hanging="217"/>
      </w:pPr>
      <w:rPr>
        <w:rFonts w:hint="default"/>
        <w:lang w:val="en-GB" w:eastAsia="en-GB" w:bidi="en-GB"/>
      </w:rPr>
    </w:lvl>
    <w:lvl w:ilvl="7" w:tplc="D426715E">
      <w:numFmt w:val="bullet"/>
      <w:lvlText w:val="•"/>
      <w:lvlJc w:val="left"/>
      <w:pPr>
        <w:ind w:left="1293" w:hanging="217"/>
      </w:pPr>
      <w:rPr>
        <w:rFonts w:hint="default"/>
        <w:lang w:val="en-GB" w:eastAsia="en-GB" w:bidi="en-GB"/>
      </w:rPr>
    </w:lvl>
    <w:lvl w:ilvl="8" w:tplc="AF62E8DC">
      <w:numFmt w:val="bullet"/>
      <w:lvlText w:val="•"/>
      <w:lvlJc w:val="left"/>
      <w:pPr>
        <w:ind w:left="1435" w:hanging="217"/>
      </w:pPr>
      <w:rPr>
        <w:rFonts w:hint="default"/>
        <w:lang w:val="en-GB" w:eastAsia="en-GB" w:bidi="en-GB"/>
      </w:rPr>
    </w:lvl>
  </w:abstractNum>
  <w:abstractNum w:abstractNumId="977" w15:restartNumberingAfterBreak="0">
    <w:nsid w:val="58EC18D6"/>
    <w:multiLevelType w:val="hybridMultilevel"/>
    <w:tmpl w:val="18CC8FA0"/>
    <w:lvl w:ilvl="0" w:tplc="71D217E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C04CCA92">
      <w:numFmt w:val="bullet"/>
      <w:lvlText w:val="•"/>
      <w:lvlJc w:val="left"/>
      <w:pPr>
        <w:ind w:left="473" w:hanging="217"/>
      </w:pPr>
      <w:rPr>
        <w:rFonts w:hint="default"/>
        <w:lang w:val="en-GB" w:eastAsia="en-GB" w:bidi="en-GB"/>
      </w:rPr>
    </w:lvl>
    <w:lvl w:ilvl="2" w:tplc="C240B9A4">
      <w:numFmt w:val="bullet"/>
      <w:lvlText w:val="•"/>
      <w:lvlJc w:val="left"/>
      <w:pPr>
        <w:ind w:left="646" w:hanging="217"/>
      </w:pPr>
      <w:rPr>
        <w:rFonts w:hint="default"/>
        <w:lang w:val="en-GB" w:eastAsia="en-GB" w:bidi="en-GB"/>
      </w:rPr>
    </w:lvl>
    <w:lvl w:ilvl="3" w:tplc="4F6EC1F2">
      <w:numFmt w:val="bullet"/>
      <w:lvlText w:val="•"/>
      <w:lvlJc w:val="left"/>
      <w:pPr>
        <w:ind w:left="819" w:hanging="217"/>
      </w:pPr>
      <w:rPr>
        <w:rFonts w:hint="default"/>
        <w:lang w:val="en-GB" w:eastAsia="en-GB" w:bidi="en-GB"/>
      </w:rPr>
    </w:lvl>
    <w:lvl w:ilvl="4" w:tplc="F7BA5CFA">
      <w:numFmt w:val="bullet"/>
      <w:lvlText w:val="•"/>
      <w:lvlJc w:val="left"/>
      <w:pPr>
        <w:ind w:left="992" w:hanging="217"/>
      </w:pPr>
      <w:rPr>
        <w:rFonts w:hint="default"/>
        <w:lang w:val="en-GB" w:eastAsia="en-GB" w:bidi="en-GB"/>
      </w:rPr>
    </w:lvl>
    <w:lvl w:ilvl="5" w:tplc="515A5506">
      <w:numFmt w:val="bullet"/>
      <w:lvlText w:val="•"/>
      <w:lvlJc w:val="left"/>
      <w:pPr>
        <w:ind w:left="1165" w:hanging="217"/>
      </w:pPr>
      <w:rPr>
        <w:rFonts w:hint="default"/>
        <w:lang w:val="en-GB" w:eastAsia="en-GB" w:bidi="en-GB"/>
      </w:rPr>
    </w:lvl>
    <w:lvl w:ilvl="6" w:tplc="27929506">
      <w:numFmt w:val="bullet"/>
      <w:lvlText w:val="•"/>
      <w:lvlJc w:val="left"/>
      <w:pPr>
        <w:ind w:left="1338" w:hanging="217"/>
      </w:pPr>
      <w:rPr>
        <w:rFonts w:hint="default"/>
        <w:lang w:val="en-GB" w:eastAsia="en-GB" w:bidi="en-GB"/>
      </w:rPr>
    </w:lvl>
    <w:lvl w:ilvl="7" w:tplc="71E25874">
      <w:numFmt w:val="bullet"/>
      <w:lvlText w:val="•"/>
      <w:lvlJc w:val="left"/>
      <w:pPr>
        <w:ind w:left="1511" w:hanging="217"/>
      </w:pPr>
      <w:rPr>
        <w:rFonts w:hint="default"/>
        <w:lang w:val="en-GB" w:eastAsia="en-GB" w:bidi="en-GB"/>
      </w:rPr>
    </w:lvl>
    <w:lvl w:ilvl="8" w:tplc="C94615D0">
      <w:numFmt w:val="bullet"/>
      <w:lvlText w:val="•"/>
      <w:lvlJc w:val="left"/>
      <w:pPr>
        <w:ind w:left="1684" w:hanging="217"/>
      </w:pPr>
      <w:rPr>
        <w:rFonts w:hint="default"/>
        <w:lang w:val="en-GB" w:eastAsia="en-GB" w:bidi="en-GB"/>
      </w:rPr>
    </w:lvl>
  </w:abstractNum>
  <w:abstractNum w:abstractNumId="978" w15:restartNumberingAfterBreak="0">
    <w:nsid w:val="59027CE0"/>
    <w:multiLevelType w:val="hybridMultilevel"/>
    <w:tmpl w:val="C2828E94"/>
    <w:lvl w:ilvl="0" w:tplc="358203B8">
      <w:numFmt w:val="bullet"/>
      <w:lvlText w:val="•"/>
      <w:lvlJc w:val="left"/>
      <w:pPr>
        <w:ind w:left="304" w:hanging="217"/>
      </w:pPr>
      <w:rPr>
        <w:rFonts w:ascii="Arial" w:eastAsia="Arial" w:hAnsi="Arial" w:cs="Arial" w:hint="default"/>
        <w:color w:val="231F20"/>
        <w:spacing w:val="-8"/>
        <w:w w:val="100"/>
        <w:sz w:val="18"/>
        <w:szCs w:val="18"/>
        <w:lang w:val="en-GB" w:eastAsia="en-GB" w:bidi="en-GB"/>
      </w:rPr>
    </w:lvl>
    <w:lvl w:ilvl="1" w:tplc="0DDAAE96">
      <w:numFmt w:val="bullet"/>
      <w:lvlText w:val="•"/>
      <w:lvlJc w:val="left"/>
      <w:pPr>
        <w:ind w:left="473" w:hanging="217"/>
      </w:pPr>
      <w:rPr>
        <w:rFonts w:hint="default"/>
        <w:lang w:val="en-GB" w:eastAsia="en-GB" w:bidi="en-GB"/>
      </w:rPr>
    </w:lvl>
    <w:lvl w:ilvl="2" w:tplc="60064DB0">
      <w:numFmt w:val="bullet"/>
      <w:lvlText w:val="•"/>
      <w:lvlJc w:val="left"/>
      <w:pPr>
        <w:ind w:left="646" w:hanging="217"/>
      </w:pPr>
      <w:rPr>
        <w:rFonts w:hint="default"/>
        <w:lang w:val="en-GB" w:eastAsia="en-GB" w:bidi="en-GB"/>
      </w:rPr>
    </w:lvl>
    <w:lvl w:ilvl="3" w:tplc="DDCEEB74">
      <w:numFmt w:val="bullet"/>
      <w:lvlText w:val="•"/>
      <w:lvlJc w:val="left"/>
      <w:pPr>
        <w:ind w:left="819" w:hanging="217"/>
      </w:pPr>
      <w:rPr>
        <w:rFonts w:hint="default"/>
        <w:lang w:val="en-GB" w:eastAsia="en-GB" w:bidi="en-GB"/>
      </w:rPr>
    </w:lvl>
    <w:lvl w:ilvl="4" w:tplc="3FB459C6">
      <w:numFmt w:val="bullet"/>
      <w:lvlText w:val="•"/>
      <w:lvlJc w:val="left"/>
      <w:pPr>
        <w:ind w:left="992" w:hanging="217"/>
      </w:pPr>
      <w:rPr>
        <w:rFonts w:hint="default"/>
        <w:lang w:val="en-GB" w:eastAsia="en-GB" w:bidi="en-GB"/>
      </w:rPr>
    </w:lvl>
    <w:lvl w:ilvl="5" w:tplc="7C4E44C4">
      <w:numFmt w:val="bullet"/>
      <w:lvlText w:val="•"/>
      <w:lvlJc w:val="left"/>
      <w:pPr>
        <w:ind w:left="1165" w:hanging="217"/>
      </w:pPr>
      <w:rPr>
        <w:rFonts w:hint="default"/>
        <w:lang w:val="en-GB" w:eastAsia="en-GB" w:bidi="en-GB"/>
      </w:rPr>
    </w:lvl>
    <w:lvl w:ilvl="6" w:tplc="94E47B24">
      <w:numFmt w:val="bullet"/>
      <w:lvlText w:val="•"/>
      <w:lvlJc w:val="left"/>
      <w:pPr>
        <w:ind w:left="1338" w:hanging="217"/>
      </w:pPr>
      <w:rPr>
        <w:rFonts w:hint="default"/>
        <w:lang w:val="en-GB" w:eastAsia="en-GB" w:bidi="en-GB"/>
      </w:rPr>
    </w:lvl>
    <w:lvl w:ilvl="7" w:tplc="9A40087C">
      <w:numFmt w:val="bullet"/>
      <w:lvlText w:val="•"/>
      <w:lvlJc w:val="left"/>
      <w:pPr>
        <w:ind w:left="1511" w:hanging="217"/>
      </w:pPr>
      <w:rPr>
        <w:rFonts w:hint="default"/>
        <w:lang w:val="en-GB" w:eastAsia="en-GB" w:bidi="en-GB"/>
      </w:rPr>
    </w:lvl>
    <w:lvl w:ilvl="8" w:tplc="CF4641AA">
      <w:numFmt w:val="bullet"/>
      <w:lvlText w:val="•"/>
      <w:lvlJc w:val="left"/>
      <w:pPr>
        <w:ind w:left="1684" w:hanging="217"/>
      </w:pPr>
      <w:rPr>
        <w:rFonts w:hint="default"/>
        <w:lang w:val="en-GB" w:eastAsia="en-GB" w:bidi="en-GB"/>
      </w:rPr>
    </w:lvl>
  </w:abstractNum>
  <w:abstractNum w:abstractNumId="979" w15:restartNumberingAfterBreak="0">
    <w:nsid w:val="590D11A3"/>
    <w:multiLevelType w:val="hybridMultilevel"/>
    <w:tmpl w:val="8FAC505C"/>
    <w:lvl w:ilvl="0" w:tplc="56CC5B04">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31028F68">
      <w:numFmt w:val="bullet"/>
      <w:lvlText w:val="•"/>
      <w:lvlJc w:val="left"/>
      <w:pPr>
        <w:ind w:left="473" w:hanging="217"/>
      </w:pPr>
      <w:rPr>
        <w:rFonts w:hint="default"/>
        <w:lang w:val="en-GB" w:eastAsia="en-GB" w:bidi="en-GB"/>
      </w:rPr>
    </w:lvl>
    <w:lvl w:ilvl="2" w:tplc="2A84699C">
      <w:numFmt w:val="bullet"/>
      <w:lvlText w:val="•"/>
      <w:lvlJc w:val="left"/>
      <w:pPr>
        <w:ind w:left="646" w:hanging="217"/>
      </w:pPr>
      <w:rPr>
        <w:rFonts w:hint="default"/>
        <w:lang w:val="en-GB" w:eastAsia="en-GB" w:bidi="en-GB"/>
      </w:rPr>
    </w:lvl>
    <w:lvl w:ilvl="3" w:tplc="F6800D38">
      <w:numFmt w:val="bullet"/>
      <w:lvlText w:val="•"/>
      <w:lvlJc w:val="left"/>
      <w:pPr>
        <w:ind w:left="819" w:hanging="217"/>
      </w:pPr>
      <w:rPr>
        <w:rFonts w:hint="default"/>
        <w:lang w:val="en-GB" w:eastAsia="en-GB" w:bidi="en-GB"/>
      </w:rPr>
    </w:lvl>
    <w:lvl w:ilvl="4" w:tplc="79FE760A">
      <w:numFmt w:val="bullet"/>
      <w:lvlText w:val="•"/>
      <w:lvlJc w:val="left"/>
      <w:pPr>
        <w:ind w:left="992" w:hanging="217"/>
      </w:pPr>
      <w:rPr>
        <w:rFonts w:hint="default"/>
        <w:lang w:val="en-GB" w:eastAsia="en-GB" w:bidi="en-GB"/>
      </w:rPr>
    </w:lvl>
    <w:lvl w:ilvl="5" w:tplc="CBE80436">
      <w:numFmt w:val="bullet"/>
      <w:lvlText w:val="•"/>
      <w:lvlJc w:val="left"/>
      <w:pPr>
        <w:ind w:left="1165" w:hanging="217"/>
      </w:pPr>
      <w:rPr>
        <w:rFonts w:hint="default"/>
        <w:lang w:val="en-GB" w:eastAsia="en-GB" w:bidi="en-GB"/>
      </w:rPr>
    </w:lvl>
    <w:lvl w:ilvl="6" w:tplc="D6AC288A">
      <w:numFmt w:val="bullet"/>
      <w:lvlText w:val="•"/>
      <w:lvlJc w:val="left"/>
      <w:pPr>
        <w:ind w:left="1338" w:hanging="217"/>
      </w:pPr>
      <w:rPr>
        <w:rFonts w:hint="default"/>
        <w:lang w:val="en-GB" w:eastAsia="en-GB" w:bidi="en-GB"/>
      </w:rPr>
    </w:lvl>
    <w:lvl w:ilvl="7" w:tplc="BA7A5638">
      <w:numFmt w:val="bullet"/>
      <w:lvlText w:val="•"/>
      <w:lvlJc w:val="left"/>
      <w:pPr>
        <w:ind w:left="1511" w:hanging="217"/>
      </w:pPr>
      <w:rPr>
        <w:rFonts w:hint="default"/>
        <w:lang w:val="en-GB" w:eastAsia="en-GB" w:bidi="en-GB"/>
      </w:rPr>
    </w:lvl>
    <w:lvl w:ilvl="8" w:tplc="FAEE32AA">
      <w:numFmt w:val="bullet"/>
      <w:lvlText w:val="•"/>
      <w:lvlJc w:val="left"/>
      <w:pPr>
        <w:ind w:left="1684" w:hanging="217"/>
      </w:pPr>
      <w:rPr>
        <w:rFonts w:hint="default"/>
        <w:lang w:val="en-GB" w:eastAsia="en-GB" w:bidi="en-GB"/>
      </w:rPr>
    </w:lvl>
  </w:abstractNum>
  <w:abstractNum w:abstractNumId="980" w15:restartNumberingAfterBreak="0">
    <w:nsid w:val="5917084A"/>
    <w:multiLevelType w:val="hybridMultilevel"/>
    <w:tmpl w:val="4D28815A"/>
    <w:lvl w:ilvl="0" w:tplc="E0EEB54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60AA792">
      <w:numFmt w:val="bullet"/>
      <w:lvlText w:val="•"/>
      <w:lvlJc w:val="left"/>
      <w:pPr>
        <w:ind w:left="439" w:hanging="217"/>
      </w:pPr>
      <w:rPr>
        <w:rFonts w:hint="default"/>
        <w:lang w:val="en-GB" w:eastAsia="en-GB" w:bidi="en-GB"/>
      </w:rPr>
    </w:lvl>
    <w:lvl w:ilvl="2" w:tplc="FFB442AE">
      <w:numFmt w:val="bullet"/>
      <w:lvlText w:val="•"/>
      <w:lvlJc w:val="left"/>
      <w:pPr>
        <w:ind w:left="578" w:hanging="217"/>
      </w:pPr>
      <w:rPr>
        <w:rFonts w:hint="default"/>
        <w:lang w:val="en-GB" w:eastAsia="en-GB" w:bidi="en-GB"/>
      </w:rPr>
    </w:lvl>
    <w:lvl w:ilvl="3" w:tplc="7C8A4918">
      <w:numFmt w:val="bullet"/>
      <w:lvlText w:val="•"/>
      <w:lvlJc w:val="left"/>
      <w:pPr>
        <w:ind w:left="717" w:hanging="217"/>
      </w:pPr>
      <w:rPr>
        <w:rFonts w:hint="default"/>
        <w:lang w:val="en-GB" w:eastAsia="en-GB" w:bidi="en-GB"/>
      </w:rPr>
    </w:lvl>
    <w:lvl w:ilvl="4" w:tplc="8962D5D4">
      <w:numFmt w:val="bullet"/>
      <w:lvlText w:val="•"/>
      <w:lvlJc w:val="left"/>
      <w:pPr>
        <w:ind w:left="856" w:hanging="217"/>
      </w:pPr>
      <w:rPr>
        <w:rFonts w:hint="default"/>
        <w:lang w:val="en-GB" w:eastAsia="en-GB" w:bidi="en-GB"/>
      </w:rPr>
    </w:lvl>
    <w:lvl w:ilvl="5" w:tplc="A6708BD4">
      <w:numFmt w:val="bullet"/>
      <w:lvlText w:val="•"/>
      <w:lvlJc w:val="left"/>
      <w:pPr>
        <w:ind w:left="995" w:hanging="217"/>
      </w:pPr>
      <w:rPr>
        <w:rFonts w:hint="default"/>
        <w:lang w:val="en-GB" w:eastAsia="en-GB" w:bidi="en-GB"/>
      </w:rPr>
    </w:lvl>
    <w:lvl w:ilvl="6" w:tplc="DDF6C102">
      <w:numFmt w:val="bullet"/>
      <w:lvlText w:val="•"/>
      <w:lvlJc w:val="left"/>
      <w:pPr>
        <w:ind w:left="1134" w:hanging="217"/>
      </w:pPr>
      <w:rPr>
        <w:rFonts w:hint="default"/>
        <w:lang w:val="en-GB" w:eastAsia="en-GB" w:bidi="en-GB"/>
      </w:rPr>
    </w:lvl>
    <w:lvl w:ilvl="7" w:tplc="D9D2E158">
      <w:numFmt w:val="bullet"/>
      <w:lvlText w:val="•"/>
      <w:lvlJc w:val="left"/>
      <w:pPr>
        <w:ind w:left="1273" w:hanging="217"/>
      </w:pPr>
      <w:rPr>
        <w:rFonts w:hint="default"/>
        <w:lang w:val="en-GB" w:eastAsia="en-GB" w:bidi="en-GB"/>
      </w:rPr>
    </w:lvl>
    <w:lvl w:ilvl="8" w:tplc="A46AE6CA">
      <w:numFmt w:val="bullet"/>
      <w:lvlText w:val="•"/>
      <w:lvlJc w:val="left"/>
      <w:pPr>
        <w:ind w:left="1412" w:hanging="217"/>
      </w:pPr>
      <w:rPr>
        <w:rFonts w:hint="default"/>
        <w:lang w:val="en-GB" w:eastAsia="en-GB" w:bidi="en-GB"/>
      </w:rPr>
    </w:lvl>
  </w:abstractNum>
  <w:abstractNum w:abstractNumId="981" w15:restartNumberingAfterBreak="0">
    <w:nsid w:val="595F47D8"/>
    <w:multiLevelType w:val="hybridMultilevel"/>
    <w:tmpl w:val="D3EC83DE"/>
    <w:lvl w:ilvl="0" w:tplc="4F7E040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9A24F9E">
      <w:numFmt w:val="bullet"/>
      <w:lvlText w:val="•"/>
      <w:lvlJc w:val="left"/>
      <w:pPr>
        <w:ind w:left="473" w:hanging="217"/>
      </w:pPr>
      <w:rPr>
        <w:rFonts w:hint="default"/>
        <w:lang w:val="en-GB" w:eastAsia="en-GB" w:bidi="en-GB"/>
      </w:rPr>
    </w:lvl>
    <w:lvl w:ilvl="2" w:tplc="D982C882">
      <w:numFmt w:val="bullet"/>
      <w:lvlText w:val="•"/>
      <w:lvlJc w:val="left"/>
      <w:pPr>
        <w:ind w:left="646" w:hanging="217"/>
      </w:pPr>
      <w:rPr>
        <w:rFonts w:hint="default"/>
        <w:lang w:val="en-GB" w:eastAsia="en-GB" w:bidi="en-GB"/>
      </w:rPr>
    </w:lvl>
    <w:lvl w:ilvl="3" w:tplc="CD56DCE4">
      <w:numFmt w:val="bullet"/>
      <w:lvlText w:val="•"/>
      <w:lvlJc w:val="left"/>
      <w:pPr>
        <w:ind w:left="819" w:hanging="217"/>
      </w:pPr>
      <w:rPr>
        <w:rFonts w:hint="default"/>
        <w:lang w:val="en-GB" w:eastAsia="en-GB" w:bidi="en-GB"/>
      </w:rPr>
    </w:lvl>
    <w:lvl w:ilvl="4" w:tplc="CA14E22E">
      <w:numFmt w:val="bullet"/>
      <w:lvlText w:val="•"/>
      <w:lvlJc w:val="left"/>
      <w:pPr>
        <w:ind w:left="992" w:hanging="217"/>
      </w:pPr>
      <w:rPr>
        <w:rFonts w:hint="default"/>
        <w:lang w:val="en-GB" w:eastAsia="en-GB" w:bidi="en-GB"/>
      </w:rPr>
    </w:lvl>
    <w:lvl w:ilvl="5" w:tplc="7E8C4946">
      <w:numFmt w:val="bullet"/>
      <w:lvlText w:val="•"/>
      <w:lvlJc w:val="left"/>
      <w:pPr>
        <w:ind w:left="1165" w:hanging="217"/>
      </w:pPr>
      <w:rPr>
        <w:rFonts w:hint="default"/>
        <w:lang w:val="en-GB" w:eastAsia="en-GB" w:bidi="en-GB"/>
      </w:rPr>
    </w:lvl>
    <w:lvl w:ilvl="6" w:tplc="6DA4C8D0">
      <w:numFmt w:val="bullet"/>
      <w:lvlText w:val="•"/>
      <w:lvlJc w:val="left"/>
      <w:pPr>
        <w:ind w:left="1338" w:hanging="217"/>
      </w:pPr>
      <w:rPr>
        <w:rFonts w:hint="default"/>
        <w:lang w:val="en-GB" w:eastAsia="en-GB" w:bidi="en-GB"/>
      </w:rPr>
    </w:lvl>
    <w:lvl w:ilvl="7" w:tplc="8642F7E2">
      <w:numFmt w:val="bullet"/>
      <w:lvlText w:val="•"/>
      <w:lvlJc w:val="left"/>
      <w:pPr>
        <w:ind w:left="1511" w:hanging="217"/>
      </w:pPr>
      <w:rPr>
        <w:rFonts w:hint="default"/>
        <w:lang w:val="en-GB" w:eastAsia="en-GB" w:bidi="en-GB"/>
      </w:rPr>
    </w:lvl>
    <w:lvl w:ilvl="8" w:tplc="549EA0C0">
      <w:numFmt w:val="bullet"/>
      <w:lvlText w:val="•"/>
      <w:lvlJc w:val="left"/>
      <w:pPr>
        <w:ind w:left="1684" w:hanging="217"/>
      </w:pPr>
      <w:rPr>
        <w:rFonts w:hint="default"/>
        <w:lang w:val="en-GB" w:eastAsia="en-GB" w:bidi="en-GB"/>
      </w:rPr>
    </w:lvl>
  </w:abstractNum>
  <w:abstractNum w:abstractNumId="982" w15:restartNumberingAfterBreak="0">
    <w:nsid w:val="596D619F"/>
    <w:multiLevelType w:val="hybridMultilevel"/>
    <w:tmpl w:val="DB8AE000"/>
    <w:lvl w:ilvl="0" w:tplc="080AA6C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90096C8">
      <w:numFmt w:val="bullet"/>
      <w:lvlText w:val="•"/>
      <w:lvlJc w:val="left"/>
      <w:pPr>
        <w:ind w:left="439" w:hanging="217"/>
      </w:pPr>
      <w:rPr>
        <w:rFonts w:hint="default"/>
        <w:lang w:val="en-GB" w:eastAsia="en-GB" w:bidi="en-GB"/>
      </w:rPr>
    </w:lvl>
    <w:lvl w:ilvl="2" w:tplc="07D4C058">
      <w:numFmt w:val="bullet"/>
      <w:lvlText w:val="•"/>
      <w:lvlJc w:val="left"/>
      <w:pPr>
        <w:ind w:left="578" w:hanging="217"/>
      </w:pPr>
      <w:rPr>
        <w:rFonts w:hint="default"/>
        <w:lang w:val="en-GB" w:eastAsia="en-GB" w:bidi="en-GB"/>
      </w:rPr>
    </w:lvl>
    <w:lvl w:ilvl="3" w:tplc="AC5CDB52">
      <w:numFmt w:val="bullet"/>
      <w:lvlText w:val="•"/>
      <w:lvlJc w:val="left"/>
      <w:pPr>
        <w:ind w:left="717" w:hanging="217"/>
      </w:pPr>
      <w:rPr>
        <w:rFonts w:hint="default"/>
        <w:lang w:val="en-GB" w:eastAsia="en-GB" w:bidi="en-GB"/>
      </w:rPr>
    </w:lvl>
    <w:lvl w:ilvl="4" w:tplc="7E120B40">
      <w:numFmt w:val="bullet"/>
      <w:lvlText w:val="•"/>
      <w:lvlJc w:val="left"/>
      <w:pPr>
        <w:ind w:left="856" w:hanging="217"/>
      </w:pPr>
      <w:rPr>
        <w:rFonts w:hint="default"/>
        <w:lang w:val="en-GB" w:eastAsia="en-GB" w:bidi="en-GB"/>
      </w:rPr>
    </w:lvl>
    <w:lvl w:ilvl="5" w:tplc="070EF48E">
      <w:numFmt w:val="bullet"/>
      <w:lvlText w:val="•"/>
      <w:lvlJc w:val="left"/>
      <w:pPr>
        <w:ind w:left="995" w:hanging="217"/>
      </w:pPr>
      <w:rPr>
        <w:rFonts w:hint="default"/>
        <w:lang w:val="en-GB" w:eastAsia="en-GB" w:bidi="en-GB"/>
      </w:rPr>
    </w:lvl>
    <w:lvl w:ilvl="6" w:tplc="95F8F53E">
      <w:numFmt w:val="bullet"/>
      <w:lvlText w:val="•"/>
      <w:lvlJc w:val="left"/>
      <w:pPr>
        <w:ind w:left="1134" w:hanging="217"/>
      </w:pPr>
      <w:rPr>
        <w:rFonts w:hint="default"/>
        <w:lang w:val="en-GB" w:eastAsia="en-GB" w:bidi="en-GB"/>
      </w:rPr>
    </w:lvl>
    <w:lvl w:ilvl="7" w:tplc="013475A8">
      <w:numFmt w:val="bullet"/>
      <w:lvlText w:val="•"/>
      <w:lvlJc w:val="left"/>
      <w:pPr>
        <w:ind w:left="1273" w:hanging="217"/>
      </w:pPr>
      <w:rPr>
        <w:rFonts w:hint="default"/>
        <w:lang w:val="en-GB" w:eastAsia="en-GB" w:bidi="en-GB"/>
      </w:rPr>
    </w:lvl>
    <w:lvl w:ilvl="8" w:tplc="1A08F6AA">
      <w:numFmt w:val="bullet"/>
      <w:lvlText w:val="•"/>
      <w:lvlJc w:val="left"/>
      <w:pPr>
        <w:ind w:left="1412" w:hanging="217"/>
      </w:pPr>
      <w:rPr>
        <w:rFonts w:hint="default"/>
        <w:lang w:val="en-GB" w:eastAsia="en-GB" w:bidi="en-GB"/>
      </w:rPr>
    </w:lvl>
  </w:abstractNum>
  <w:abstractNum w:abstractNumId="983" w15:restartNumberingAfterBreak="0">
    <w:nsid w:val="59BB31D0"/>
    <w:multiLevelType w:val="hybridMultilevel"/>
    <w:tmpl w:val="6CCEB6D6"/>
    <w:lvl w:ilvl="0" w:tplc="CDE2FF8A">
      <w:numFmt w:val="bullet"/>
      <w:lvlText w:val="•"/>
      <w:lvlJc w:val="left"/>
      <w:pPr>
        <w:ind w:left="305" w:hanging="217"/>
      </w:pPr>
      <w:rPr>
        <w:rFonts w:ascii="Arial" w:eastAsia="Arial" w:hAnsi="Arial" w:cs="Arial" w:hint="default"/>
        <w:color w:val="231F20"/>
        <w:w w:val="102"/>
        <w:sz w:val="17"/>
        <w:szCs w:val="17"/>
        <w:lang w:val="en-GB" w:eastAsia="en-GB" w:bidi="en-GB"/>
      </w:rPr>
    </w:lvl>
    <w:lvl w:ilvl="1" w:tplc="F7529CB2">
      <w:numFmt w:val="bullet"/>
      <w:lvlText w:val="•"/>
      <w:lvlJc w:val="left"/>
      <w:pPr>
        <w:ind w:left="892" w:hanging="217"/>
      </w:pPr>
      <w:rPr>
        <w:rFonts w:hint="default"/>
        <w:lang w:val="en-GB" w:eastAsia="en-GB" w:bidi="en-GB"/>
      </w:rPr>
    </w:lvl>
    <w:lvl w:ilvl="2" w:tplc="CCC2C32E">
      <w:numFmt w:val="bullet"/>
      <w:lvlText w:val="•"/>
      <w:lvlJc w:val="left"/>
      <w:pPr>
        <w:ind w:left="1485" w:hanging="217"/>
      </w:pPr>
      <w:rPr>
        <w:rFonts w:hint="default"/>
        <w:lang w:val="en-GB" w:eastAsia="en-GB" w:bidi="en-GB"/>
      </w:rPr>
    </w:lvl>
    <w:lvl w:ilvl="3" w:tplc="3B9AF2A0">
      <w:numFmt w:val="bullet"/>
      <w:lvlText w:val="•"/>
      <w:lvlJc w:val="left"/>
      <w:pPr>
        <w:ind w:left="2077" w:hanging="217"/>
      </w:pPr>
      <w:rPr>
        <w:rFonts w:hint="default"/>
        <w:lang w:val="en-GB" w:eastAsia="en-GB" w:bidi="en-GB"/>
      </w:rPr>
    </w:lvl>
    <w:lvl w:ilvl="4" w:tplc="7D525612">
      <w:numFmt w:val="bullet"/>
      <w:lvlText w:val="•"/>
      <w:lvlJc w:val="left"/>
      <w:pPr>
        <w:ind w:left="2670" w:hanging="217"/>
      </w:pPr>
      <w:rPr>
        <w:rFonts w:hint="default"/>
        <w:lang w:val="en-GB" w:eastAsia="en-GB" w:bidi="en-GB"/>
      </w:rPr>
    </w:lvl>
    <w:lvl w:ilvl="5" w:tplc="43FC70BA">
      <w:numFmt w:val="bullet"/>
      <w:lvlText w:val="•"/>
      <w:lvlJc w:val="left"/>
      <w:pPr>
        <w:ind w:left="3263" w:hanging="217"/>
      </w:pPr>
      <w:rPr>
        <w:rFonts w:hint="default"/>
        <w:lang w:val="en-GB" w:eastAsia="en-GB" w:bidi="en-GB"/>
      </w:rPr>
    </w:lvl>
    <w:lvl w:ilvl="6" w:tplc="0CDA430A">
      <w:numFmt w:val="bullet"/>
      <w:lvlText w:val="•"/>
      <w:lvlJc w:val="left"/>
      <w:pPr>
        <w:ind w:left="3855" w:hanging="217"/>
      </w:pPr>
      <w:rPr>
        <w:rFonts w:hint="default"/>
        <w:lang w:val="en-GB" w:eastAsia="en-GB" w:bidi="en-GB"/>
      </w:rPr>
    </w:lvl>
    <w:lvl w:ilvl="7" w:tplc="381AAF6E">
      <w:numFmt w:val="bullet"/>
      <w:lvlText w:val="•"/>
      <w:lvlJc w:val="left"/>
      <w:pPr>
        <w:ind w:left="4448" w:hanging="217"/>
      </w:pPr>
      <w:rPr>
        <w:rFonts w:hint="default"/>
        <w:lang w:val="en-GB" w:eastAsia="en-GB" w:bidi="en-GB"/>
      </w:rPr>
    </w:lvl>
    <w:lvl w:ilvl="8" w:tplc="C2EC8302">
      <w:numFmt w:val="bullet"/>
      <w:lvlText w:val="•"/>
      <w:lvlJc w:val="left"/>
      <w:pPr>
        <w:ind w:left="5040" w:hanging="217"/>
      </w:pPr>
      <w:rPr>
        <w:rFonts w:hint="default"/>
        <w:lang w:val="en-GB" w:eastAsia="en-GB" w:bidi="en-GB"/>
      </w:rPr>
    </w:lvl>
  </w:abstractNum>
  <w:abstractNum w:abstractNumId="984" w15:restartNumberingAfterBreak="0">
    <w:nsid w:val="59E85947"/>
    <w:multiLevelType w:val="hybridMultilevel"/>
    <w:tmpl w:val="74182A72"/>
    <w:lvl w:ilvl="0" w:tplc="D0D05C16">
      <w:numFmt w:val="bullet"/>
      <w:lvlText w:val="•"/>
      <w:lvlJc w:val="left"/>
      <w:pPr>
        <w:ind w:left="306" w:hanging="217"/>
      </w:pPr>
      <w:rPr>
        <w:rFonts w:ascii="Arial" w:eastAsia="Arial" w:hAnsi="Arial" w:cs="Arial" w:hint="default"/>
        <w:color w:val="231F20"/>
        <w:spacing w:val="-17"/>
        <w:w w:val="100"/>
        <w:sz w:val="18"/>
        <w:szCs w:val="18"/>
        <w:lang w:val="en-GB" w:eastAsia="en-GB" w:bidi="en-GB"/>
      </w:rPr>
    </w:lvl>
    <w:lvl w:ilvl="1" w:tplc="3A703816">
      <w:numFmt w:val="bullet"/>
      <w:lvlText w:val="•"/>
      <w:lvlJc w:val="left"/>
      <w:pPr>
        <w:ind w:left="444" w:hanging="217"/>
      </w:pPr>
      <w:rPr>
        <w:rFonts w:hint="default"/>
        <w:lang w:val="en-GB" w:eastAsia="en-GB" w:bidi="en-GB"/>
      </w:rPr>
    </w:lvl>
    <w:lvl w:ilvl="2" w:tplc="047C7AD0">
      <w:numFmt w:val="bullet"/>
      <w:lvlText w:val="•"/>
      <w:lvlJc w:val="left"/>
      <w:pPr>
        <w:ind w:left="589" w:hanging="217"/>
      </w:pPr>
      <w:rPr>
        <w:rFonts w:hint="default"/>
        <w:lang w:val="en-GB" w:eastAsia="en-GB" w:bidi="en-GB"/>
      </w:rPr>
    </w:lvl>
    <w:lvl w:ilvl="3" w:tplc="01ECF4C2">
      <w:numFmt w:val="bullet"/>
      <w:lvlText w:val="•"/>
      <w:lvlJc w:val="left"/>
      <w:pPr>
        <w:ind w:left="734" w:hanging="217"/>
      </w:pPr>
      <w:rPr>
        <w:rFonts w:hint="default"/>
        <w:lang w:val="en-GB" w:eastAsia="en-GB" w:bidi="en-GB"/>
      </w:rPr>
    </w:lvl>
    <w:lvl w:ilvl="4" w:tplc="3E9E81DE">
      <w:numFmt w:val="bullet"/>
      <w:lvlText w:val="•"/>
      <w:lvlJc w:val="left"/>
      <w:pPr>
        <w:ind w:left="878" w:hanging="217"/>
      </w:pPr>
      <w:rPr>
        <w:rFonts w:hint="default"/>
        <w:lang w:val="en-GB" w:eastAsia="en-GB" w:bidi="en-GB"/>
      </w:rPr>
    </w:lvl>
    <w:lvl w:ilvl="5" w:tplc="A8E84806">
      <w:numFmt w:val="bullet"/>
      <w:lvlText w:val="•"/>
      <w:lvlJc w:val="left"/>
      <w:pPr>
        <w:ind w:left="1023" w:hanging="217"/>
      </w:pPr>
      <w:rPr>
        <w:rFonts w:hint="default"/>
        <w:lang w:val="en-GB" w:eastAsia="en-GB" w:bidi="en-GB"/>
      </w:rPr>
    </w:lvl>
    <w:lvl w:ilvl="6" w:tplc="6D143B84">
      <w:numFmt w:val="bullet"/>
      <w:lvlText w:val="•"/>
      <w:lvlJc w:val="left"/>
      <w:pPr>
        <w:ind w:left="1168" w:hanging="217"/>
      </w:pPr>
      <w:rPr>
        <w:rFonts w:hint="default"/>
        <w:lang w:val="en-GB" w:eastAsia="en-GB" w:bidi="en-GB"/>
      </w:rPr>
    </w:lvl>
    <w:lvl w:ilvl="7" w:tplc="B0F079BE">
      <w:numFmt w:val="bullet"/>
      <w:lvlText w:val="•"/>
      <w:lvlJc w:val="left"/>
      <w:pPr>
        <w:ind w:left="1312" w:hanging="217"/>
      </w:pPr>
      <w:rPr>
        <w:rFonts w:hint="default"/>
        <w:lang w:val="en-GB" w:eastAsia="en-GB" w:bidi="en-GB"/>
      </w:rPr>
    </w:lvl>
    <w:lvl w:ilvl="8" w:tplc="EFAAE198">
      <w:numFmt w:val="bullet"/>
      <w:lvlText w:val="•"/>
      <w:lvlJc w:val="left"/>
      <w:pPr>
        <w:ind w:left="1457" w:hanging="217"/>
      </w:pPr>
      <w:rPr>
        <w:rFonts w:hint="default"/>
        <w:lang w:val="en-GB" w:eastAsia="en-GB" w:bidi="en-GB"/>
      </w:rPr>
    </w:lvl>
  </w:abstractNum>
  <w:abstractNum w:abstractNumId="985" w15:restartNumberingAfterBreak="0">
    <w:nsid w:val="59ED2F5B"/>
    <w:multiLevelType w:val="hybridMultilevel"/>
    <w:tmpl w:val="D23A90D2"/>
    <w:lvl w:ilvl="0" w:tplc="48CC395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E8EB268">
      <w:numFmt w:val="bullet"/>
      <w:lvlText w:val="•"/>
      <w:lvlJc w:val="left"/>
      <w:pPr>
        <w:ind w:left="467" w:hanging="217"/>
      </w:pPr>
      <w:rPr>
        <w:rFonts w:hint="default"/>
        <w:lang w:val="en-GB" w:eastAsia="en-GB" w:bidi="en-GB"/>
      </w:rPr>
    </w:lvl>
    <w:lvl w:ilvl="2" w:tplc="E6562748">
      <w:numFmt w:val="bullet"/>
      <w:lvlText w:val="•"/>
      <w:lvlJc w:val="left"/>
      <w:pPr>
        <w:ind w:left="634" w:hanging="217"/>
      </w:pPr>
      <w:rPr>
        <w:rFonts w:hint="default"/>
        <w:lang w:val="en-GB" w:eastAsia="en-GB" w:bidi="en-GB"/>
      </w:rPr>
    </w:lvl>
    <w:lvl w:ilvl="3" w:tplc="656C6566">
      <w:numFmt w:val="bullet"/>
      <w:lvlText w:val="•"/>
      <w:lvlJc w:val="left"/>
      <w:pPr>
        <w:ind w:left="802" w:hanging="217"/>
      </w:pPr>
      <w:rPr>
        <w:rFonts w:hint="default"/>
        <w:lang w:val="en-GB" w:eastAsia="en-GB" w:bidi="en-GB"/>
      </w:rPr>
    </w:lvl>
    <w:lvl w:ilvl="4" w:tplc="93D035DC">
      <w:numFmt w:val="bullet"/>
      <w:lvlText w:val="•"/>
      <w:lvlJc w:val="left"/>
      <w:pPr>
        <w:ind w:left="969" w:hanging="217"/>
      </w:pPr>
      <w:rPr>
        <w:rFonts w:hint="default"/>
        <w:lang w:val="en-GB" w:eastAsia="en-GB" w:bidi="en-GB"/>
      </w:rPr>
    </w:lvl>
    <w:lvl w:ilvl="5" w:tplc="9DD4600C">
      <w:numFmt w:val="bullet"/>
      <w:lvlText w:val="•"/>
      <w:lvlJc w:val="left"/>
      <w:pPr>
        <w:ind w:left="1137" w:hanging="217"/>
      </w:pPr>
      <w:rPr>
        <w:rFonts w:hint="default"/>
        <w:lang w:val="en-GB" w:eastAsia="en-GB" w:bidi="en-GB"/>
      </w:rPr>
    </w:lvl>
    <w:lvl w:ilvl="6" w:tplc="3760BD74">
      <w:numFmt w:val="bullet"/>
      <w:lvlText w:val="•"/>
      <w:lvlJc w:val="left"/>
      <w:pPr>
        <w:ind w:left="1304" w:hanging="217"/>
      </w:pPr>
      <w:rPr>
        <w:rFonts w:hint="default"/>
        <w:lang w:val="en-GB" w:eastAsia="en-GB" w:bidi="en-GB"/>
      </w:rPr>
    </w:lvl>
    <w:lvl w:ilvl="7" w:tplc="BAF6ED9E">
      <w:numFmt w:val="bullet"/>
      <w:lvlText w:val="•"/>
      <w:lvlJc w:val="left"/>
      <w:pPr>
        <w:ind w:left="1471" w:hanging="217"/>
      </w:pPr>
      <w:rPr>
        <w:rFonts w:hint="default"/>
        <w:lang w:val="en-GB" w:eastAsia="en-GB" w:bidi="en-GB"/>
      </w:rPr>
    </w:lvl>
    <w:lvl w:ilvl="8" w:tplc="6E40F250">
      <w:numFmt w:val="bullet"/>
      <w:lvlText w:val="•"/>
      <w:lvlJc w:val="left"/>
      <w:pPr>
        <w:ind w:left="1639" w:hanging="217"/>
      </w:pPr>
      <w:rPr>
        <w:rFonts w:hint="default"/>
        <w:lang w:val="en-GB" w:eastAsia="en-GB" w:bidi="en-GB"/>
      </w:rPr>
    </w:lvl>
  </w:abstractNum>
  <w:abstractNum w:abstractNumId="986" w15:restartNumberingAfterBreak="0">
    <w:nsid w:val="5A052C38"/>
    <w:multiLevelType w:val="hybridMultilevel"/>
    <w:tmpl w:val="31B8B85E"/>
    <w:lvl w:ilvl="0" w:tplc="86807F5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103653A2">
      <w:numFmt w:val="bullet"/>
      <w:lvlText w:val="•"/>
      <w:lvlJc w:val="left"/>
      <w:pPr>
        <w:ind w:left="892" w:hanging="217"/>
      </w:pPr>
      <w:rPr>
        <w:rFonts w:hint="default"/>
        <w:lang w:val="en-GB" w:eastAsia="en-GB" w:bidi="en-GB"/>
      </w:rPr>
    </w:lvl>
    <w:lvl w:ilvl="2" w:tplc="D78A7AA4">
      <w:numFmt w:val="bullet"/>
      <w:lvlText w:val="•"/>
      <w:lvlJc w:val="left"/>
      <w:pPr>
        <w:ind w:left="1485" w:hanging="217"/>
      </w:pPr>
      <w:rPr>
        <w:rFonts w:hint="default"/>
        <w:lang w:val="en-GB" w:eastAsia="en-GB" w:bidi="en-GB"/>
      </w:rPr>
    </w:lvl>
    <w:lvl w:ilvl="3" w:tplc="65AE50BA">
      <w:numFmt w:val="bullet"/>
      <w:lvlText w:val="•"/>
      <w:lvlJc w:val="left"/>
      <w:pPr>
        <w:ind w:left="2077" w:hanging="217"/>
      </w:pPr>
      <w:rPr>
        <w:rFonts w:hint="default"/>
        <w:lang w:val="en-GB" w:eastAsia="en-GB" w:bidi="en-GB"/>
      </w:rPr>
    </w:lvl>
    <w:lvl w:ilvl="4" w:tplc="4F3292F4">
      <w:numFmt w:val="bullet"/>
      <w:lvlText w:val="•"/>
      <w:lvlJc w:val="left"/>
      <w:pPr>
        <w:ind w:left="2670" w:hanging="217"/>
      </w:pPr>
      <w:rPr>
        <w:rFonts w:hint="default"/>
        <w:lang w:val="en-GB" w:eastAsia="en-GB" w:bidi="en-GB"/>
      </w:rPr>
    </w:lvl>
    <w:lvl w:ilvl="5" w:tplc="2DF202FE">
      <w:numFmt w:val="bullet"/>
      <w:lvlText w:val="•"/>
      <w:lvlJc w:val="left"/>
      <w:pPr>
        <w:ind w:left="3263" w:hanging="217"/>
      </w:pPr>
      <w:rPr>
        <w:rFonts w:hint="default"/>
        <w:lang w:val="en-GB" w:eastAsia="en-GB" w:bidi="en-GB"/>
      </w:rPr>
    </w:lvl>
    <w:lvl w:ilvl="6" w:tplc="1FCACD5A">
      <w:numFmt w:val="bullet"/>
      <w:lvlText w:val="•"/>
      <w:lvlJc w:val="left"/>
      <w:pPr>
        <w:ind w:left="3855" w:hanging="217"/>
      </w:pPr>
      <w:rPr>
        <w:rFonts w:hint="default"/>
        <w:lang w:val="en-GB" w:eastAsia="en-GB" w:bidi="en-GB"/>
      </w:rPr>
    </w:lvl>
    <w:lvl w:ilvl="7" w:tplc="B5F8892C">
      <w:numFmt w:val="bullet"/>
      <w:lvlText w:val="•"/>
      <w:lvlJc w:val="left"/>
      <w:pPr>
        <w:ind w:left="4448" w:hanging="217"/>
      </w:pPr>
      <w:rPr>
        <w:rFonts w:hint="default"/>
        <w:lang w:val="en-GB" w:eastAsia="en-GB" w:bidi="en-GB"/>
      </w:rPr>
    </w:lvl>
    <w:lvl w:ilvl="8" w:tplc="EA066BCC">
      <w:numFmt w:val="bullet"/>
      <w:lvlText w:val="•"/>
      <w:lvlJc w:val="left"/>
      <w:pPr>
        <w:ind w:left="5040" w:hanging="217"/>
      </w:pPr>
      <w:rPr>
        <w:rFonts w:hint="default"/>
        <w:lang w:val="en-GB" w:eastAsia="en-GB" w:bidi="en-GB"/>
      </w:rPr>
    </w:lvl>
  </w:abstractNum>
  <w:abstractNum w:abstractNumId="987" w15:restartNumberingAfterBreak="0">
    <w:nsid w:val="5A1F193B"/>
    <w:multiLevelType w:val="hybridMultilevel"/>
    <w:tmpl w:val="5624F96E"/>
    <w:lvl w:ilvl="0" w:tplc="82BCE0D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44873FE">
      <w:numFmt w:val="bullet"/>
      <w:lvlText w:val="•"/>
      <w:lvlJc w:val="left"/>
      <w:pPr>
        <w:ind w:left="892" w:hanging="217"/>
      </w:pPr>
      <w:rPr>
        <w:rFonts w:hint="default"/>
        <w:lang w:val="en-GB" w:eastAsia="en-GB" w:bidi="en-GB"/>
      </w:rPr>
    </w:lvl>
    <w:lvl w:ilvl="2" w:tplc="54E072B6">
      <w:numFmt w:val="bullet"/>
      <w:lvlText w:val="•"/>
      <w:lvlJc w:val="left"/>
      <w:pPr>
        <w:ind w:left="1485" w:hanging="217"/>
      </w:pPr>
      <w:rPr>
        <w:rFonts w:hint="default"/>
        <w:lang w:val="en-GB" w:eastAsia="en-GB" w:bidi="en-GB"/>
      </w:rPr>
    </w:lvl>
    <w:lvl w:ilvl="3" w:tplc="101C82D6">
      <w:numFmt w:val="bullet"/>
      <w:lvlText w:val="•"/>
      <w:lvlJc w:val="left"/>
      <w:pPr>
        <w:ind w:left="2077" w:hanging="217"/>
      </w:pPr>
      <w:rPr>
        <w:rFonts w:hint="default"/>
        <w:lang w:val="en-GB" w:eastAsia="en-GB" w:bidi="en-GB"/>
      </w:rPr>
    </w:lvl>
    <w:lvl w:ilvl="4" w:tplc="D05E24E8">
      <w:numFmt w:val="bullet"/>
      <w:lvlText w:val="•"/>
      <w:lvlJc w:val="left"/>
      <w:pPr>
        <w:ind w:left="2670" w:hanging="217"/>
      </w:pPr>
      <w:rPr>
        <w:rFonts w:hint="default"/>
        <w:lang w:val="en-GB" w:eastAsia="en-GB" w:bidi="en-GB"/>
      </w:rPr>
    </w:lvl>
    <w:lvl w:ilvl="5" w:tplc="3E4AFB8A">
      <w:numFmt w:val="bullet"/>
      <w:lvlText w:val="•"/>
      <w:lvlJc w:val="left"/>
      <w:pPr>
        <w:ind w:left="3263" w:hanging="217"/>
      </w:pPr>
      <w:rPr>
        <w:rFonts w:hint="default"/>
        <w:lang w:val="en-GB" w:eastAsia="en-GB" w:bidi="en-GB"/>
      </w:rPr>
    </w:lvl>
    <w:lvl w:ilvl="6" w:tplc="74D480FA">
      <w:numFmt w:val="bullet"/>
      <w:lvlText w:val="•"/>
      <w:lvlJc w:val="left"/>
      <w:pPr>
        <w:ind w:left="3855" w:hanging="217"/>
      </w:pPr>
      <w:rPr>
        <w:rFonts w:hint="default"/>
        <w:lang w:val="en-GB" w:eastAsia="en-GB" w:bidi="en-GB"/>
      </w:rPr>
    </w:lvl>
    <w:lvl w:ilvl="7" w:tplc="989651F6">
      <w:numFmt w:val="bullet"/>
      <w:lvlText w:val="•"/>
      <w:lvlJc w:val="left"/>
      <w:pPr>
        <w:ind w:left="4448" w:hanging="217"/>
      </w:pPr>
      <w:rPr>
        <w:rFonts w:hint="default"/>
        <w:lang w:val="en-GB" w:eastAsia="en-GB" w:bidi="en-GB"/>
      </w:rPr>
    </w:lvl>
    <w:lvl w:ilvl="8" w:tplc="C7825D70">
      <w:numFmt w:val="bullet"/>
      <w:lvlText w:val="•"/>
      <w:lvlJc w:val="left"/>
      <w:pPr>
        <w:ind w:left="5040" w:hanging="217"/>
      </w:pPr>
      <w:rPr>
        <w:rFonts w:hint="default"/>
        <w:lang w:val="en-GB" w:eastAsia="en-GB" w:bidi="en-GB"/>
      </w:rPr>
    </w:lvl>
  </w:abstractNum>
  <w:abstractNum w:abstractNumId="988" w15:restartNumberingAfterBreak="0">
    <w:nsid w:val="5A412FDE"/>
    <w:multiLevelType w:val="hybridMultilevel"/>
    <w:tmpl w:val="497C751E"/>
    <w:lvl w:ilvl="0" w:tplc="9088542A">
      <w:numFmt w:val="bullet"/>
      <w:lvlText w:val="•"/>
      <w:lvlJc w:val="left"/>
      <w:pPr>
        <w:ind w:left="305" w:hanging="217"/>
      </w:pPr>
      <w:rPr>
        <w:rFonts w:ascii="Arial" w:eastAsia="Arial" w:hAnsi="Arial" w:cs="Arial" w:hint="default"/>
        <w:color w:val="231F20"/>
        <w:w w:val="102"/>
        <w:sz w:val="17"/>
        <w:szCs w:val="17"/>
        <w:lang w:val="en-GB" w:eastAsia="en-GB" w:bidi="en-GB"/>
      </w:rPr>
    </w:lvl>
    <w:lvl w:ilvl="1" w:tplc="622A8566">
      <w:numFmt w:val="bullet"/>
      <w:lvlText w:val="•"/>
      <w:lvlJc w:val="left"/>
      <w:pPr>
        <w:ind w:left="892" w:hanging="217"/>
      </w:pPr>
      <w:rPr>
        <w:rFonts w:hint="default"/>
        <w:lang w:val="en-GB" w:eastAsia="en-GB" w:bidi="en-GB"/>
      </w:rPr>
    </w:lvl>
    <w:lvl w:ilvl="2" w:tplc="0A022E92">
      <w:numFmt w:val="bullet"/>
      <w:lvlText w:val="•"/>
      <w:lvlJc w:val="left"/>
      <w:pPr>
        <w:ind w:left="1485" w:hanging="217"/>
      </w:pPr>
      <w:rPr>
        <w:rFonts w:hint="default"/>
        <w:lang w:val="en-GB" w:eastAsia="en-GB" w:bidi="en-GB"/>
      </w:rPr>
    </w:lvl>
    <w:lvl w:ilvl="3" w:tplc="08783D24">
      <w:numFmt w:val="bullet"/>
      <w:lvlText w:val="•"/>
      <w:lvlJc w:val="left"/>
      <w:pPr>
        <w:ind w:left="2077" w:hanging="217"/>
      </w:pPr>
      <w:rPr>
        <w:rFonts w:hint="default"/>
        <w:lang w:val="en-GB" w:eastAsia="en-GB" w:bidi="en-GB"/>
      </w:rPr>
    </w:lvl>
    <w:lvl w:ilvl="4" w:tplc="FC54DF8C">
      <w:numFmt w:val="bullet"/>
      <w:lvlText w:val="•"/>
      <w:lvlJc w:val="left"/>
      <w:pPr>
        <w:ind w:left="2670" w:hanging="217"/>
      </w:pPr>
      <w:rPr>
        <w:rFonts w:hint="default"/>
        <w:lang w:val="en-GB" w:eastAsia="en-GB" w:bidi="en-GB"/>
      </w:rPr>
    </w:lvl>
    <w:lvl w:ilvl="5" w:tplc="B83A09CA">
      <w:numFmt w:val="bullet"/>
      <w:lvlText w:val="•"/>
      <w:lvlJc w:val="left"/>
      <w:pPr>
        <w:ind w:left="3263" w:hanging="217"/>
      </w:pPr>
      <w:rPr>
        <w:rFonts w:hint="default"/>
        <w:lang w:val="en-GB" w:eastAsia="en-GB" w:bidi="en-GB"/>
      </w:rPr>
    </w:lvl>
    <w:lvl w:ilvl="6" w:tplc="DA1851CA">
      <w:numFmt w:val="bullet"/>
      <w:lvlText w:val="•"/>
      <w:lvlJc w:val="left"/>
      <w:pPr>
        <w:ind w:left="3855" w:hanging="217"/>
      </w:pPr>
      <w:rPr>
        <w:rFonts w:hint="default"/>
        <w:lang w:val="en-GB" w:eastAsia="en-GB" w:bidi="en-GB"/>
      </w:rPr>
    </w:lvl>
    <w:lvl w:ilvl="7" w:tplc="16CE1B0C">
      <w:numFmt w:val="bullet"/>
      <w:lvlText w:val="•"/>
      <w:lvlJc w:val="left"/>
      <w:pPr>
        <w:ind w:left="4448" w:hanging="217"/>
      </w:pPr>
      <w:rPr>
        <w:rFonts w:hint="default"/>
        <w:lang w:val="en-GB" w:eastAsia="en-GB" w:bidi="en-GB"/>
      </w:rPr>
    </w:lvl>
    <w:lvl w:ilvl="8" w:tplc="E4F40B38">
      <w:numFmt w:val="bullet"/>
      <w:lvlText w:val="•"/>
      <w:lvlJc w:val="left"/>
      <w:pPr>
        <w:ind w:left="5040" w:hanging="217"/>
      </w:pPr>
      <w:rPr>
        <w:rFonts w:hint="default"/>
        <w:lang w:val="en-GB" w:eastAsia="en-GB" w:bidi="en-GB"/>
      </w:rPr>
    </w:lvl>
  </w:abstractNum>
  <w:abstractNum w:abstractNumId="989" w15:restartNumberingAfterBreak="0">
    <w:nsid w:val="5A8A33BD"/>
    <w:multiLevelType w:val="hybridMultilevel"/>
    <w:tmpl w:val="208CF09A"/>
    <w:lvl w:ilvl="0" w:tplc="0C0A4EE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1B66FA0">
      <w:numFmt w:val="bullet"/>
      <w:lvlText w:val="•"/>
      <w:lvlJc w:val="left"/>
      <w:pPr>
        <w:ind w:left="473" w:hanging="217"/>
      </w:pPr>
      <w:rPr>
        <w:rFonts w:hint="default"/>
        <w:lang w:val="en-GB" w:eastAsia="en-GB" w:bidi="en-GB"/>
      </w:rPr>
    </w:lvl>
    <w:lvl w:ilvl="2" w:tplc="BA38A9B2">
      <w:numFmt w:val="bullet"/>
      <w:lvlText w:val="•"/>
      <w:lvlJc w:val="left"/>
      <w:pPr>
        <w:ind w:left="646" w:hanging="217"/>
      </w:pPr>
      <w:rPr>
        <w:rFonts w:hint="default"/>
        <w:lang w:val="en-GB" w:eastAsia="en-GB" w:bidi="en-GB"/>
      </w:rPr>
    </w:lvl>
    <w:lvl w:ilvl="3" w:tplc="B256148E">
      <w:numFmt w:val="bullet"/>
      <w:lvlText w:val="•"/>
      <w:lvlJc w:val="left"/>
      <w:pPr>
        <w:ind w:left="819" w:hanging="217"/>
      </w:pPr>
      <w:rPr>
        <w:rFonts w:hint="default"/>
        <w:lang w:val="en-GB" w:eastAsia="en-GB" w:bidi="en-GB"/>
      </w:rPr>
    </w:lvl>
    <w:lvl w:ilvl="4" w:tplc="CA083A88">
      <w:numFmt w:val="bullet"/>
      <w:lvlText w:val="•"/>
      <w:lvlJc w:val="left"/>
      <w:pPr>
        <w:ind w:left="992" w:hanging="217"/>
      </w:pPr>
      <w:rPr>
        <w:rFonts w:hint="default"/>
        <w:lang w:val="en-GB" w:eastAsia="en-GB" w:bidi="en-GB"/>
      </w:rPr>
    </w:lvl>
    <w:lvl w:ilvl="5" w:tplc="FF1ED308">
      <w:numFmt w:val="bullet"/>
      <w:lvlText w:val="•"/>
      <w:lvlJc w:val="left"/>
      <w:pPr>
        <w:ind w:left="1165" w:hanging="217"/>
      </w:pPr>
      <w:rPr>
        <w:rFonts w:hint="default"/>
        <w:lang w:val="en-GB" w:eastAsia="en-GB" w:bidi="en-GB"/>
      </w:rPr>
    </w:lvl>
    <w:lvl w:ilvl="6" w:tplc="841CBE3E">
      <w:numFmt w:val="bullet"/>
      <w:lvlText w:val="•"/>
      <w:lvlJc w:val="left"/>
      <w:pPr>
        <w:ind w:left="1338" w:hanging="217"/>
      </w:pPr>
      <w:rPr>
        <w:rFonts w:hint="default"/>
        <w:lang w:val="en-GB" w:eastAsia="en-GB" w:bidi="en-GB"/>
      </w:rPr>
    </w:lvl>
    <w:lvl w:ilvl="7" w:tplc="DE46A8EA">
      <w:numFmt w:val="bullet"/>
      <w:lvlText w:val="•"/>
      <w:lvlJc w:val="left"/>
      <w:pPr>
        <w:ind w:left="1511" w:hanging="217"/>
      </w:pPr>
      <w:rPr>
        <w:rFonts w:hint="default"/>
        <w:lang w:val="en-GB" w:eastAsia="en-GB" w:bidi="en-GB"/>
      </w:rPr>
    </w:lvl>
    <w:lvl w:ilvl="8" w:tplc="B96627EA">
      <w:numFmt w:val="bullet"/>
      <w:lvlText w:val="•"/>
      <w:lvlJc w:val="left"/>
      <w:pPr>
        <w:ind w:left="1684" w:hanging="217"/>
      </w:pPr>
      <w:rPr>
        <w:rFonts w:hint="default"/>
        <w:lang w:val="en-GB" w:eastAsia="en-GB" w:bidi="en-GB"/>
      </w:rPr>
    </w:lvl>
  </w:abstractNum>
  <w:abstractNum w:abstractNumId="990" w15:restartNumberingAfterBreak="0">
    <w:nsid w:val="5B453D89"/>
    <w:multiLevelType w:val="hybridMultilevel"/>
    <w:tmpl w:val="D206AF88"/>
    <w:lvl w:ilvl="0" w:tplc="923A289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C644C3C">
      <w:numFmt w:val="bullet"/>
      <w:lvlText w:val="•"/>
      <w:lvlJc w:val="left"/>
      <w:pPr>
        <w:ind w:left="439" w:hanging="217"/>
      </w:pPr>
      <w:rPr>
        <w:rFonts w:hint="default"/>
        <w:lang w:val="en-GB" w:eastAsia="en-GB" w:bidi="en-GB"/>
      </w:rPr>
    </w:lvl>
    <w:lvl w:ilvl="2" w:tplc="0B9A775E">
      <w:numFmt w:val="bullet"/>
      <w:lvlText w:val="•"/>
      <w:lvlJc w:val="left"/>
      <w:pPr>
        <w:ind w:left="578" w:hanging="217"/>
      </w:pPr>
      <w:rPr>
        <w:rFonts w:hint="default"/>
        <w:lang w:val="en-GB" w:eastAsia="en-GB" w:bidi="en-GB"/>
      </w:rPr>
    </w:lvl>
    <w:lvl w:ilvl="3" w:tplc="AEBA9284">
      <w:numFmt w:val="bullet"/>
      <w:lvlText w:val="•"/>
      <w:lvlJc w:val="left"/>
      <w:pPr>
        <w:ind w:left="717" w:hanging="217"/>
      </w:pPr>
      <w:rPr>
        <w:rFonts w:hint="default"/>
        <w:lang w:val="en-GB" w:eastAsia="en-GB" w:bidi="en-GB"/>
      </w:rPr>
    </w:lvl>
    <w:lvl w:ilvl="4" w:tplc="6CEAEE00">
      <w:numFmt w:val="bullet"/>
      <w:lvlText w:val="•"/>
      <w:lvlJc w:val="left"/>
      <w:pPr>
        <w:ind w:left="856" w:hanging="217"/>
      </w:pPr>
      <w:rPr>
        <w:rFonts w:hint="default"/>
        <w:lang w:val="en-GB" w:eastAsia="en-GB" w:bidi="en-GB"/>
      </w:rPr>
    </w:lvl>
    <w:lvl w:ilvl="5" w:tplc="0128CBAA">
      <w:numFmt w:val="bullet"/>
      <w:lvlText w:val="•"/>
      <w:lvlJc w:val="left"/>
      <w:pPr>
        <w:ind w:left="995" w:hanging="217"/>
      </w:pPr>
      <w:rPr>
        <w:rFonts w:hint="default"/>
        <w:lang w:val="en-GB" w:eastAsia="en-GB" w:bidi="en-GB"/>
      </w:rPr>
    </w:lvl>
    <w:lvl w:ilvl="6" w:tplc="ED2C7354">
      <w:numFmt w:val="bullet"/>
      <w:lvlText w:val="•"/>
      <w:lvlJc w:val="left"/>
      <w:pPr>
        <w:ind w:left="1134" w:hanging="217"/>
      </w:pPr>
      <w:rPr>
        <w:rFonts w:hint="default"/>
        <w:lang w:val="en-GB" w:eastAsia="en-GB" w:bidi="en-GB"/>
      </w:rPr>
    </w:lvl>
    <w:lvl w:ilvl="7" w:tplc="DF38E5F4">
      <w:numFmt w:val="bullet"/>
      <w:lvlText w:val="•"/>
      <w:lvlJc w:val="left"/>
      <w:pPr>
        <w:ind w:left="1273" w:hanging="217"/>
      </w:pPr>
      <w:rPr>
        <w:rFonts w:hint="default"/>
        <w:lang w:val="en-GB" w:eastAsia="en-GB" w:bidi="en-GB"/>
      </w:rPr>
    </w:lvl>
    <w:lvl w:ilvl="8" w:tplc="4660543A">
      <w:numFmt w:val="bullet"/>
      <w:lvlText w:val="•"/>
      <w:lvlJc w:val="left"/>
      <w:pPr>
        <w:ind w:left="1412" w:hanging="217"/>
      </w:pPr>
      <w:rPr>
        <w:rFonts w:hint="default"/>
        <w:lang w:val="en-GB" w:eastAsia="en-GB" w:bidi="en-GB"/>
      </w:rPr>
    </w:lvl>
  </w:abstractNum>
  <w:abstractNum w:abstractNumId="991" w15:restartNumberingAfterBreak="0">
    <w:nsid w:val="5B57589D"/>
    <w:multiLevelType w:val="hybridMultilevel"/>
    <w:tmpl w:val="935A7FD4"/>
    <w:lvl w:ilvl="0" w:tplc="4F562CC2">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6EA66542">
      <w:numFmt w:val="bullet"/>
      <w:lvlText w:val="•"/>
      <w:lvlJc w:val="left"/>
      <w:pPr>
        <w:ind w:left="892" w:hanging="217"/>
      </w:pPr>
      <w:rPr>
        <w:rFonts w:hint="default"/>
        <w:lang w:val="en-GB" w:eastAsia="en-GB" w:bidi="en-GB"/>
      </w:rPr>
    </w:lvl>
    <w:lvl w:ilvl="2" w:tplc="04F20648">
      <w:numFmt w:val="bullet"/>
      <w:lvlText w:val="•"/>
      <w:lvlJc w:val="left"/>
      <w:pPr>
        <w:ind w:left="1485" w:hanging="217"/>
      </w:pPr>
      <w:rPr>
        <w:rFonts w:hint="default"/>
        <w:lang w:val="en-GB" w:eastAsia="en-GB" w:bidi="en-GB"/>
      </w:rPr>
    </w:lvl>
    <w:lvl w:ilvl="3" w:tplc="7A8E3F4E">
      <w:numFmt w:val="bullet"/>
      <w:lvlText w:val="•"/>
      <w:lvlJc w:val="left"/>
      <w:pPr>
        <w:ind w:left="2077" w:hanging="217"/>
      </w:pPr>
      <w:rPr>
        <w:rFonts w:hint="default"/>
        <w:lang w:val="en-GB" w:eastAsia="en-GB" w:bidi="en-GB"/>
      </w:rPr>
    </w:lvl>
    <w:lvl w:ilvl="4" w:tplc="2910C306">
      <w:numFmt w:val="bullet"/>
      <w:lvlText w:val="•"/>
      <w:lvlJc w:val="left"/>
      <w:pPr>
        <w:ind w:left="2670" w:hanging="217"/>
      </w:pPr>
      <w:rPr>
        <w:rFonts w:hint="default"/>
        <w:lang w:val="en-GB" w:eastAsia="en-GB" w:bidi="en-GB"/>
      </w:rPr>
    </w:lvl>
    <w:lvl w:ilvl="5" w:tplc="7528EADC">
      <w:numFmt w:val="bullet"/>
      <w:lvlText w:val="•"/>
      <w:lvlJc w:val="left"/>
      <w:pPr>
        <w:ind w:left="3263" w:hanging="217"/>
      </w:pPr>
      <w:rPr>
        <w:rFonts w:hint="default"/>
        <w:lang w:val="en-GB" w:eastAsia="en-GB" w:bidi="en-GB"/>
      </w:rPr>
    </w:lvl>
    <w:lvl w:ilvl="6" w:tplc="7A627998">
      <w:numFmt w:val="bullet"/>
      <w:lvlText w:val="•"/>
      <w:lvlJc w:val="left"/>
      <w:pPr>
        <w:ind w:left="3855" w:hanging="217"/>
      </w:pPr>
      <w:rPr>
        <w:rFonts w:hint="default"/>
        <w:lang w:val="en-GB" w:eastAsia="en-GB" w:bidi="en-GB"/>
      </w:rPr>
    </w:lvl>
    <w:lvl w:ilvl="7" w:tplc="5A749518">
      <w:numFmt w:val="bullet"/>
      <w:lvlText w:val="•"/>
      <w:lvlJc w:val="left"/>
      <w:pPr>
        <w:ind w:left="4448" w:hanging="217"/>
      </w:pPr>
      <w:rPr>
        <w:rFonts w:hint="default"/>
        <w:lang w:val="en-GB" w:eastAsia="en-GB" w:bidi="en-GB"/>
      </w:rPr>
    </w:lvl>
    <w:lvl w:ilvl="8" w:tplc="63D8C476">
      <w:numFmt w:val="bullet"/>
      <w:lvlText w:val="•"/>
      <w:lvlJc w:val="left"/>
      <w:pPr>
        <w:ind w:left="5040" w:hanging="217"/>
      </w:pPr>
      <w:rPr>
        <w:rFonts w:hint="default"/>
        <w:lang w:val="en-GB" w:eastAsia="en-GB" w:bidi="en-GB"/>
      </w:rPr>
    </w:lvl>
  </w:abstractNum>
  <w:abstractNum w:abstractNumId="992" w15:restartNumberingAfterBreak="0">
    <w:nsid w:val="5B6E46B5"/>
    <w:multiLevelType w:val="hybridMultilevel"/>
    <w:tmpl w:val="7FA2EC68"/>
    <w:lvl w:ilvl="0" w:tplc="08BA40B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B12261E">
      <w:numFmt w:val="bullet"/>
      <w:lvlText w:val="•"/>
      <w:lvlJc w:val="left"/>
      <w:pPr>
        <w:ind w:left="439" w:hanging="217"/>
      </w:pPr>
      <w:rPr>
        <w:rFonts w:hint="default"/>
        <w:lang w:val="en-GB" w:eastAsia="en-GB" w:bidi="en-GB"/>
      </w:rPr>
    </w:lvl>
    <w:lvl w:ilvl="2" w:tplc="A54CEEF4">
      <w:numFmt w:val="bullet"/>
      <w:lvlText w:val="•"/>
      <w:lvlJc w:val="left"/>
      <w:pPr>
        <w:ind w:left="578" w:hanging="217"/>
      </w:pPr>
      <w:rPr>
        <w:rFonts w:hint="default"/>
        <w:lang w:val="en-GB" w:eastAsia="en-GB" w:bidi="en-GB"/>
      </w:rPr>
    </w:lvl>
    <w:lvl w:ilvl="3" w:tplc="922660CE">
      <w:numFmt w:val="bullet"/>
      <w:lvlText w:val="•"/>
      <w:lvlJc w:val="left"/>
      <w:pPr>
        <w:ind w:left="717" w:hanging="217"/>
      </w:pPr>
      <w:rPr>
        <w:rFonts w:hint="default"/>
        <w:lang w:val="en-GB" w:eastAsia="en-GB" w:bidi="en-GB"/>
      </w:rPr>
    </w:lvl>
    <w:lvl w:ilvl="4" w:tplc="4E266C20">
      <w:numFmt w:val="bullet"/>
      <w:lvlText w:val="•"/>
      <w:lvlJc w:val="left"/>
      <w:pPr>
        <w:ind w:left="856" w:hanging="217"/>
      </w:pPr>
      <w:rPr>
        <w:rFonts w:hint="default"/>
        <w:lang w:val="en-GB" w:eastAsia="en-GB" w:bidi="en-GB"/>
      </w:rPr>
    </w:lvl>
    <w:lvl w:ilvl="5" w:tplc="68807296">
      <w:numFmt w:val="bullet"/>
      <w:lvlText w:val="•"/>
      <w:lvlJc w:val="left"/>
      <w:pPr>
        <w:ind w:left="995" w:hanging="217"/>
      </w:pPr>
      <w:rPr>
        <w:rFonts w:hint="default"/>
        <w:lang w:val="en-GB" w:eastAsia="en-GB" w:bidi="en-GB"/>
      </w:rPr>
    </w:lvl>
    <w:lvl w:ilvl="6" w:tplc="6E24F266">
      <w:numFmt w:val="bullet"/>
      <w:lvlText w:val="•"/>
      <w:lvlJc w:val="left"/>
      <w:pPr>
        <w:ind w:left="1134" w:hanging="217"/>
      </w:pPr>
      <w:rPr>
        <w:rFonts w:hint="default"/>
        <w:lang w:val="en-GB" w:eastAsia="en-GB" w:bidi="en-GB"/>
      </w:rPr>
    </w:lvl>
    <w:lvl w:ilvl="7" w:tplc="C994AE86">
      <w:numFmt w:val="bullet"/>
      <w:lvlText w:val="•"/>
      <w:lvlJc w:val="left"/>
      <w:pPr>
        <w:ind w:left="1273" w:hanging="217"/>
      </w:pPr>
      <w:rPr>
        <w:rFonts w:hint="default"/>
        <w:lang w:val="en-GB" w:eastAsia="en-GB" w:bidi="en-GB"/>
      </w:rPr>
    </w:lvl>
    <w:lvl w:ilvl="8" w:tplc="DBD04458">
      <w:numFmt w:val="bullet"/>
      <w:lvlText w:val="•"/>
      <w:lvlJc w:val="left"/>
      <w:pPr>
        <w:ind w:left="1412" w:hanging="217"/>
      </w:pPr>
      <w:rPr>
        <w:rFonts w:hint="default"/>
        <w:lang w:val="en-GB" w:eastAsia="en-GB" w:bidi="en-GB"/>
      </w:rPr>
    </w:lvl>
  </w:abstractNum>
  <w:abstractNum w:abstractNumId="993" w15:restartNumberingAfterBreak="0">
    <w:nsid w:val="5B7F6E9F"/>
    <w:multiLevelType w:val="hybridMultilevel"/>
    <w:tmpl w:val="4D423202"/>
    <w:lvl w:ilvl="0" w:tplc="C96237CE">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2264A746">
      <w:numFmt w:val="bullet"/>
      <w:lvlText w:val="•"/>
      <w:lvlJc w:val="left"/>
      <w:pPr>
        <w:ind w:left="1056" w:hanging="217"/>
      </w:pPr>
      <w:rPr>
        <w:rFonts w:hint="default"/>
        <w:lang w:val="en-GB" w:eastAsia="en-GB" w:bidi="en-GB"/>
      </w:rPr>
    </w:lvl>
    <w:lvl w:ilvl="2" w:tplc="9E6E83E2">
      <w:numFmt w:val="bullet"/>
      <w:lvlText w:val="•"/>
      <w:lvlJc w:val="left"/>
      <w:pPr>
        <w:ind w:left="1812" w:hanging="217"/>
      </w:pPr>
      <w:rPr>
        <w:rFonts w:hint="default"/>
        <w:lang w:val="en-GB" w:eastAsia="en-GB" w:bidi="en-GB"/>
      </w:rPr>
    </w:lvl>
    <w:lvl w:ilvl="3" w:tplc="DCCE76BE">
      <w:numFmt w:val="bullet"/>
      <w:lvlText w:val="•"/>
      <w:lvlJc w:val="left"/>
      <w:pPr>
        <w:ind w:left="2568" w:hanging="217"/>
      </w:pPr>
      <w:rPr>
        <w:rFonts w:hint="default"/>
        <w:lang w:val="en-GB" w:eastAsia="en-GB" w:bidi="en-GB"/>
      </w:rPr>
    </w:lvl>
    <w:lvl w:ilvl="4" w:tplc="C628861C">
      <w:numFmt w:val="bullet"/>
      <w:lvlText w:val="•"/>
      <w:lvlJc w:val="left"/>
      <w:pPr>
        <w:ind w:left="3324" w:hanging="217"/>
      </w:pPr>
      <w:rPr>
        <w:rFonts w:hint="default"/>
        <w:lang w:val="en-GB" w:eastAsia="en-GB" w:bidi="en-GB"/>
      </w:rPr>
    </w:lvl>
    <w:lvl w:ilvl="5" w:tplc="7E8C20AE">
      <w:numFmt w:val="bullet"/>
      <w:lvlText w:val="•"/>
      <w:lvlJc w:val="left"/>
      <w:pPr>
        <w:ind w:left="4080" w:hanging="217"/>
      </w:pPr>
      <w:rPr>
        <w:rFonts w:hint="default"/>
        <w:lang w:val="en-GB" w:eastAsia="en-GB" w:bidi="en-GB"/>
      </w:rPr>
    </w:lvl>
    <w:lvl w:ilvl="6" w:tplc="0178ABCC">
      <w:numFmt w:val="bullet"/>
      <w:lvlText w:val="•"/>
      <w:lvlJc w:val="left"/>
      <w:pPr>
        <w:ind w:left="4836" w:hanging="217"/>
      </w:pPr>
      <w:rPr>
        <w:rFonts w:hint="default"/>
        <w:lang w:val="en-GB" w:eastAsia="en-GB" w:bidi="en-GB"/>
      </w:rPr>
    </w:lvl>
    <w:lvl w:ilvl="7" w:tplc="54F6CC1E">
      <w:numFmt w:val="bullet"/>
      <w:lvlText w:val="•"/>
      <w:lvlJc w:val="left"/>
      <w:pPr>
        <w:ind w:left="5592" w:hanging="217"/>
      </w:pPr>
      <w:rPr>
        <w:rFonts w:hint="default"/>
        <w:lang w:val="en-GB" w:eastAsia="en-GB" w:bidi="en-GB"/>
      </w:rPr>
    </w:lvl>
    <w:lvl w:ilvl="8" w:tplc="52BA164E">
      <w:numFmt w:val="bullet"/>
      <w:lvlText w:val="•"/>
      <w:lvlJc w:val="left"/>
      <w:pPr>
        <w:ind w:left="6348" w:hanging="217"/>
      </w:pPr>
      <w:rPr>
        <w:rFonts w:hint="default"/>
        <w:lang w:val="en-GB" w:eastAsia="en-GB" w:bidi="en-GB"/>
      </w:rPr>
    </w:lvl>
  </w:abstractNum>
  <w:abstractNum w:abstractNumId="994" w15:restartNumberingAfterBreak="0">
    <w:nsid w:val="5B8D7784"/>
    <w:multiLevelType w:val="hybridMultilevel"/>
    <w:tmpl w:val="A0849918"/>
    <w:lvl w:ilvl="0" w:tplc="AA0E511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72C1C48">
      <w:numFmt w:val="bullet"/>
      <w:lvlText w:val="•"/>
      <w:lvlJc w:val="left"/>
      <w:pPr>
        <w:ind w:left="439" w:hanging="217"/>
      </w:pPr>
      <w:rPr>
        <w:rFonts w:hint="default"/>
        <w:lang w:val="en-GB" w:eastAsia="en-GB" w:bidi="en-GB"/>
      </w:rPr>
    </w:lvl>
    <w:lvl w:ilvl="2" w:tplc="78D2812E">
      <w:numFmt w:val="bullet"/>
      <w:lvlText w:val="•"/>
      <w:lvlJc w:val="left"/>
      <w:pPr>
        <w:ind w:left="578" w:hanging="217"/>
      </w:pPr>
      <w:rPr>
        <w:rFonts w:hint="default"/>
        <w:lang w:val="en-GB" w:eastAsia="en-GB" w:bidi="en-GB"/>
      </w:rPr>
    </w:lvl>
    <w:lvl w:ilvl="3" w:tplc="50E4D060">
      <w:numFmt w:val="bullet"/>
      <w:lvlText w:val="•"/>
      <w:lvlJc w:val="left"/>
      <w:pPr>
        <w:ind w:left="717" w:hanging="217"/>
      </w:pPr>
      <w:rPr>
        <w:rFonts w:hint="default"/>
        <w:lang w:val="en-GB" w:eastAsia="en-GB" w:bidi="en-GB"/>
      </w:rPr>
    </w:lvl>
    <w:lvl w:ilvl="4" w:tplc="78EC6B7A">
      <w:numFmt w:val="bullet"/>
      <w:lvlText w:val="•"/>
      <w:lvlJc w:val="left"/>
      <w:pPr>
        <w:ind w:left="856" w:hanging="217"/>
      </w:pPr>
      <w:rPr>
        <w:rFonts w:hint="default"/>
        <w:lang w:val="en-GB" w:eastAsia="en-GB" w:bidi="en-GB"/>
      </w:rPr>
    </w:lvl>
    <w:lvl w:ilvl="5" w:tplc="B92E9050">
      <w:numFmt w:val="bullet"/>
      <w:lvlText w:val="•"/>
      <w:lvlJc w:val="left"/>
      <w:pPr>
        <w:ind w:left="995" w:hanging="217"/>
      </w:pPr>
      <w:rPr>
        <w:rFonts w:hint="default"/>
        <w:lang w:val="en-GB" w:eastAsia="en-GB" w:bidi="en-GB"/>
      </w:rPr>
    </w:lvl>
    <w:lvl w:ilvl="6" w:tplc="E0E4425A">
      <w:numFmt w:val="bullet"/>
      <w:lvlText w:val="•"/>
      <w:lvlJc w:val="left"/>
      <w:pPr>
        <w:ind w:left="1134" w:hanging="217"/>
      </w:pPr>
      <w:rPr>
        <w:rFonts w:hint="default"/>
        <w:lang w:val="en-GB" w:eastAsia="en-GB" w:bidi="en-GB"/>
      </w:rPr>
    </w:lvl>
    <w:lvl w:ilvl="7" w:tplc="D7CC5AAE">
      <w:numFmt w:val="bullet"/>
      <w:lvlText w:val="•"/>
      <w:lvlJc w:val="left"/>
      <w:pPr>
        <w:ind w:left="1273" w:hanging="217"/>
      </w:pPr>
      <w:rPr>
        <w:rFonts w:hint="default"/>
        <w:lang w:val="en-GB" w:eastAsia="en-GB" w:bidi="en-GB"/>
      </w:rPr>
    </w:lvl>
    <w:lvl w:ilvl="8" w:tplc="5ED0EDA0">
      <w:numFmt w:val="bullet"/>
      <w:lvlText w:val="•"/>
      <w:lvlJc w:val="left"/>
      <w:pPr>
        <w:ind w:left="1412" w:hanging="217"/>
      </w:pPr>
      <w:rPr>
        <w:rFonts w:hint="default"/>
        <w:lang w:val="en-GB" w:eastAsia="en-GB" w:bidi="en-GB"/>
      </w:rPr>
    </w:lvl>
  </w:abstractNum>
  <w:abstractNum w:abstractNumId="995" w15:restartNumberingAfterBreak="0">
    <w:nsid w:val="5BAC151A"/>
    <w:multiLevelType w:val="hybridMultilevel"/>
    <w:tmpl w:val="83D04E02"/>
    <w:lvl w:ilvl="0" w:tplc="113446A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E9309A20">
      <w:numFmt w:val="bullet"/>
      <w:lvlText w:val="•"/>
      <w:lvlJc w:val="left"/>
      <w:pPr>
        <w:ind w:left="892" w:hanging="217"/>
      </w:pPr>
      <w:rPr>
        <w:rFonts w:hint="default"/>
        <w:lang w:val="en-GB" w:eastAsia="en-GB" w:bidi="en-GB"/>
      </w:rPr>
    </w:lvl>
    <w:lvl w:ilvl="2" w:tplc="310017F0">
      <w:numFmt w:val="bullet"/>
      <w:lvlText w:val="•"/>
      <w:lvlJc w:val="left"/>
      <w:pPr>
        <w:ind w:left="1485" w:hanging="217"/>
      </w:pPr>
      <w:rPr>
        <w:rFonts w:hint="default"/>
        <w:lang w:val="en-GB" w:eastAsia="en-GB" w:bidi="en-GB"/>
      </w:rPr>
    </w:lvl>
    <w:lvl w:ilvl="3" w:tplc="CE5063EC">
      <w:numFmt w:val="bullet"/>
      <w:lvlText w:val="•"/>
      <w:lvlJc w:val="left"/>
      <w:pPr>
        <w:ind w:left="2077" w:hanging="217"/>
      </w:pPr>
      <w:rPr>
        <w:rFonts w:hint="default"/>
        <w:lang w:val="en-GB" w:eastAsia="en-GB" w:bidi="en-GB"/>
      </w:rPr>
    </w:lvl>
    <w:lvl w:ilvl="4" w:tplc="D5A4843C">
      <w:numFmt w:val="bullet"/>
      <w:lvlText w:val="•"/>
      <w:lvlJc w:val="left"/>
      <w:pPr>
        <w:ind w:left="2670" w:hanging="217"/>
      </w:pPr>
      <w:rPr>
        <w:rFonts w:hint="default"/>
        <w:lang w:val="en-GB" w:eastAsia="en-GB" w:bidi="en-GB"/>
      </w:rPr>
    </w:lvl>
    <w:lvl w:ilvl="5" w:tplc="969A0E1A">
      <w:numFmt w:val="bullet"/>
      <w:lvlText w:val="•"/>
      <w:lvlJc w:val="left"/>
      <w:pPr>
        <w:ind w:left="3263" w:hanging="217"/>
      </w:pPr>
      <w:rPr>
        <w:rFonts w:hint="default"/>
        <w:lang w:val="en-GB" w:eastAsia="en-GB" w:bidi="en-GB"/>
      </w:rPr>
    </w:lvl>
    <w:lvl w:ilvl="6" w:tplc="65F615B0">
      <w:numFmt w:val="bullet"/>
      <w:lvlText w:val="•"/>
      <w:lvlJc w:val="left"/>
      <w:pPr>
        <w:ind w:left="3855" w:hanging="217"/>
      </w:pPr>
      <w:rPr>
        <w:rFonts w:hint="default"/>
        <w:lang w:val="en-GB" w:eastAsia="en-GB" w:bidi="en-GB"/>
      </w:rPr>
    </w:lvl>
    <w:lvl w:ilvl="7" w:tplc="76F4F954">
      <w:numFmt w:val="bullet"/>
      <w:lvlText w:val="•"/>
      <w:lvlJc w:val="left"/>
      <w:pPr>
        <w:ind w:left="4448" w:hanging="217"/>
      </w:pPr>
      <w:rPr>
        <w:rFonts w:hint="default"/>
        <w:lang w:val="en-GB" w:eastAsia="en-GB" w:bidi="en-GB"/>
      </w:rPr>
    </w:lvl>
    <w:lvl w:ilvl="8" w:tplc="CEF2ACA0">
      <w:numFmt w:val="bullet"/>
      <w:lvlText w:val="•"/>
      <w:lvlJc w:val="left"/>
      <w:pPr>
        <w:ind w:left="5040" w:hanging="217"/>
      </w:pPr>
      <w:rPr>
        <w:rFonts w:hint="default"/>
        <w:lang w:val="en-GB" w:eastAsia="en-GB" w:bidi="en-GB"/>
      </w:rPr>
    </w:lvl>
  </w:abstractNum>
  <w:abstractNum w:abstractNumId="996" w15:restartNumberingAfterBreak="0">
    <w:nsid w:val="5BF35025"/>
    <w:multiLevelType w:val="hybridMultilevel"/>
    <w:tmpl w:val="D8CEDB44"/>
    <w:lvl w:ilvl="0" w:tplc="43A0C354">
      <w:numFmt w:val="bullet"/>
      <w:lvlText w:val="•"/>
      <w:lvlJc w:val="left"/>
      <w:pPr>
        <w:ind w:left="300" w:hanging="217"/>
      </w:pPr>
      <w:rPr>
        <w:rFonts w:ascii="Arial" w:eastAsia="Arial" w:hAnsi="Arial" w:cs="Arial" w:hint="default"/>
        <w:color w:val="231F20"/>
        <w:w w:val="102"/>
        <w:sz w:val="17"/>
        <w:szCs w:val="17"/>
        <w:lang w:val="en-GB" w:eastAsia="en-GB" w:bidi="en-GB"/>
      </w:rPr>
    </w:lvl>
    <w:lvl w:ilvl="1" w:tplc="E67CE170">
      <w:numFmt w:val="bullet"/>
      <w:lvlText w:val="•"/>
      <w:lvlJc w:val="left"/>
      <w:pPr>
        <w:ind w:left="892" w:hanging="217"/>
      </w:pPr>
      <w:rPr>
        <w:rFonts w:hint="default"/>
        <w:lang w:val="en-GB" w:eastAsia="en-GB" w:bidi="en-GB"/>
      </w:rPr>
    </w:lvl>
    <w:lvl w:ilvl="2" w:tplc="12546448">
      <w:numFmt w:val="bullet"/>
      <w:lvlText w:val="•"/>
      <w:lvlJc w:val="left"/>
      <w:pPr>
        <w:ind w:left="1484" w:hanging="217"/>
      </w:pPr>
      <w:rPr>
        <w:rFonts w:hint="default"/>
        <w:lang w:val="en-GB" w:eastAsia="en-GB" w:bidi="en-GB"/>
      </w:rPr>
    </w:lvl>
    <w:lvl w:ilvl="3" w:tplc="7736B3BA">
      <w:numFmt w:val="bullet"/>
      <w:lvlText w:val="•"/>
      <w:lvlJc w:val="left"/>
      <w:pPr>
        <w:ind w:left="2076" w:hanging="217"/>
      </w:pPr>
      <w:rPr>
        <w:rFonts w:hint="default"/>
        <w:lang w:val="en-GB" w:eastAsia="en-GB" w:bidi="en-GB"/>
      </w:rPr>
    </w:lvl>
    <w:lvl w:ilvl="4" w:tplc="9C922D1E">
      <w:numFmt w:val="bullet"/>
      <w:lvlText w:val="•"/>
      <w:lvlJc w:val="left"/>
      <w:pPr>
        <w:ind w:left="2668" w:hanging="217"/>
      </w:pPr>
      <w:rPr>
        <w:rFonts w:hint="default"/>
        <w:lang w:val="en-GB" w:eastAsia="en-GB" w:bidi="en-GB"/>
      </w:rPr>
    </w:lvl>
    <w:lvl w:ilvl="5" w:tplc="4E0475D2">
      <w:numFmt w:val="bullet"/>
      <w:lvlText w:val="•"/>
      <w:lvlJc w:val="left"/>
      <w:pPr>
        <w:ind w:left="3260" w:hanging="217"/>
      </w:pPr>
      <w:rPr>
        <w:rFonts w:hint="default"/>
        <w:lang w:val="en-GB" w:eastAsia="en-GB" w:bidi="en-GB"/>
      </w:rPr>
    </w:lvl>
    <w:lvl w:ilvl="6" w:tplc="5F768714">
      <w:numFmt w:val="bullet"/>
      <w:lvlText w:val="•"/>
      <w:lvlJc w:val="left"/>
      <w:pPr>
        <w:ind w:left="3852" w:hanging="217"/>
      </w:pPr>
      <w:rPr>
        <w:rFonts w:hint="default"/>
        <w:lang w:val="en-GB" w:eastAsia="en-GB" w:bidi="en-GB"/>
      </w:rPr>
    </w:lvl>
    <w:lvl w:ilvl="7" w:tplc="9F66939A">
      <w:numFmt w:val="bullet"/>
      <w:lvlText w:val="•"/>
      <w:lvlJc w:val="left"/>
      <w:pPr>
        <w:ind w:left="4444" w:hanging="217"/>
      </w:pPr>
      <w:rPr>
        <w:rFonts w:hint="default"/>
        <w:lang w:val="en-GB" w:eastAsia="en-GB" w:bidi="en-GB"/>
      </w:rPr>
    </w:lvl>
    <w:lvl w:ilvl="8" w:tplc="F5FA38DA">
      <w:numFmt w:val="bullet"/>
      <w:lvlText w:val="•"/>
      <w:lvlJc w:val="left"/>
      <w:pPr>
        <w:ind w:left="5036" w:hanging="217"/>
      </w:pPr>
      <w:rPr>
        <w:rFonts w:hint="default"/>
        <w:lang w:val="en-GB" w:eastAsia="en-GB" w:bidi="en-GB"/>
      </w:rPr>
    </w:lvl>
  </w:abstractNum>
  <w:abstractNum w:abstractNumId="997" w15:restartNumberingAfterBreak="0">
    <w:nsid w:val="5BF93C32"/>
    <w:multiLevelType w:val="hybridMultilevel"/>
    <w:tmpl w:val="345C14D4"/>
    <w:lvl w:ilvl="0" w:tplc="476A3D5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5B401D4">
      <w:numFmt w:val="bullet"/>
      <w:lvlText w:val="•"/>
      <w:lvlJc w:val="left"/>
      <w:pPr>
        <w:ind w:left="892" w:hanging="217"/>
      </w:pPr>
      <w:rPr>
        <w:rFonts w:hint="default"/>
        <w:lang w:val="en-GB" w:eastAsia="en-GB" w:bidi="en-GB"/>
      </w:rPr>
    </w:lvl>
    <w:lvl w:ilvl="2" w:tplc="624EC450">
      <w:numFmt w:val="bullet"/>
      <w:lvlText w:val="•"/>
      <w:lvlJc w:val="left"/>
      <w:pPr>
        <w:ind w:left="1485" w:hanging="217"/>
      </w:pPr>
      <w:rPr>
        <w:rFonts w:hint="default"/>
        <w:lang w:val="en-GB" w:eastAsia="en-GB" w:bidi="en-GB"/>
      </w:rPr>
    </w:lvl>
    <w:lvl w:ilvl="3" w:tplc="B4E0887A">
      <w:numFmt w:val="bullet"/>
      <w:lvlText w:val="•"/>
      <w:lvlJc w:val="left"/>
      <w:pPr>
        <w:ind w:left="2077" w:hanging="217"/>
      </w:pPr>
      <w:rPr>
        <w:rFonts w:hint="default"/>
        <w:lang w:val="en-GB" w:eastAsia="en-GB" w:bidi="en-GB"/>
      </w:rPr>
    </w:lvl>
    <w:lvl w:ilvl="4" w:tplc="1EA27438">
      <w:numFmt w:val="bullet"/>
      <w:lvlText w:val="•"/>
      <w:lvlJc w:val="left"/>
      <w:pPr>
        <w:ind w:left="2670" w:hanging="217"/>
      </w:pPr>
      <w:rPr>
        <w:rFonts w:hint="default"/>
        <w:lang w:val="en-GB" w:eastAsia="en-GB" w:bidi="en-GB"/>
      </w:rPr>
    </w:lvl>
    <w:lvl w:ilvl="5" w:tplc="066A66C4">
      <w:numFmt w:val="bullet"/>
      <w:lvlText w:val="•"/>
      <w:lvlJc w:val="left"/>
      <w:pPr>
        <w:ind w:left="3263" w:hanging="217"/>
      </w:pPr>
      <w:rPr>
        <w:rFonts w:hint="default"/>
        <w:lang w:val="en-GB" w:eastAsia="en-GB" w:bidi="en-GB"/>
      </w:rPr>
    </w:lvl>
    <w:lvl w:ilvl="6" w:tplc="F198EC82">
      <w:numFmt w:val="bullet"/>
      <w:lvlText w:val="•"/>
      <w:lvlJc w:val="left"/>
      <w:pPr>
        <w:ind w:left="3855" w:hanging="217"/>
      </w:pPr>
      <w:rPr>
        <w:rFonts w:hint="default"/>
        <w:lang w:val="en-GB" w:eastAsia="en-GB" w:bidi="en-GB"/>
      </w:rPr>
    </w:lvl>
    <w:lvl w:ilvl="7" w:tplc="BD7A9A90">
      <w:numFmt w:val="bullet"/>
      <w:lvlText w:val="•"/>
      <w:lvlJc w:val="left"/>
      <w:pPr>
        <w:ind w:left="4448" w:hanging="217"/>
      </w:pPr>
      <w:rPr>
        <w:rFonts w:hint="default"/>
        <w:lang w:val="en-GB" w:eastAsia="en-GB" w:bidi="en-GB"/>
      </w:rPr>
    </w:lvl>
    <w:lvl w:ilvl="8" w:tplc="32540922">
      <w:numFmt w:val="bullet"/>
      <w:lvlText w:val="•"/>
      <w:lvlJc w:val="left"/>
      <w:pPr>
        <w:ind w:left="5040" w:hanging="217"/>
      </w:pPr>
      <w:rPr>
        <w:rFonts w:hint="default"/>
        <w:lang w:val="en-GB" w:eastAsia="en-GB" w:bidi="en-GB"/>
      </w:rPr>
    </w:lvl>
  </w:abstractNum>
  <w:abstractNum w:abstractNumId="998" w15:restartNumberingAfterBreak="0">
    <w:nsid w:val="5C236F88"/>
    <w:multiLevelType w:val="hybridMultilevel"/>
    <w:tmpl w:val="019ADAE4"/>
    <w:lvl w:ilvl="0" w:tplc="002C03D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D821D1A">
      <w:numFmt w:val="bullet"/>
      <w:lvlText w:val="•"/>
      <w:lvlJc w:val="left"/>
      <w:pPr>
        <w:ind w:left="892" w:hanging="217"/>
      </w:pPr>
      <w:rPr>
        <w:rFonts w:hint="default"/>
        <w:lang w:val="en-GB" w:eastAsia="en-GB" w:bidi="en-GB"/>
      </w:rPr>
    </w:lvl>
    <w:lvl w:ilvl="2" w:tplc="B9A45896">
      <w:numFmt w:val="bullet"/>
      <w:lvlText w:val="•"/>
      <w:lvlJc w:val="left"/>
      <w:pPr>
        <w:ind w:left="1485" w:hanging="217"/>
      </w:pPr>
      <w:rPr>
        <w:rFonts w:hint="default"/>
        <w:lang w:val="en-GB" w:eastAsia="en-GB" w:bidi="en-GB"/>
      </w:rPr>
    </w:lvl>
    <w:lvl w:ilvl="3" w:tplc="DAAEF696">
      <w:numFmt w:val="bullet"/>
      <w:lvlText w:val="•"/>
      <w:lvlJc w:val="left"/>
      <w:pPr>
        <w:ind w:left="2077" w:hanging="217"/>
      </w:pPr>
      <w:rPr>
        <w:rFonts w:hint="default"/>
        <w:lang w:val="en-GB" w:eastAsia="en-GB" w:bidi="en-GB"/>
      </w:rPr>
    </w:lvl>
    <w:lvl w:ilvl="4" w:tplc="806AF480">
      <w:numFmt w:val="bullet"/>
      <w:lvlText w:val="•"/>
      <w:lvlJc w:val="left"/>
      <w:pPr>
        <w:ind w:left="2670" w:hanging="217"/>
      </w:pPr>
      <w:rPr>
        <w:rFonts w:hint="default"/>
        <w:lang w:val="en-GB" w:eastAsia="en-GB" w:bidi="en-GB"/>
      </w:rPr>
    </w:lvl>
    <w:lvl w:ilvl="5" w:tplc="56DEEE16">
      <w:numFmt w:val="bullet"/>
      <w:lvlText w:val="•"/>
      <w:lvlJc w:val="left"/>
      <w:pPr>
        <w:ind w:left="3263" w:hanging="217"/>
      </w:pPr>
      <w:rPr>
        <w:rFonts w:hint="default"/>
        <w:lang w:val="en-GB" w:eastAsia="en-GB" w:bidi="en-GB"/>
      </w:rPr>
    </w:lvl>
    <w:lvl w:ilvl="6" w:tplc="4626A19C">
      <w:numFmt w:val="bullet"/>
      <w:lvlText w:val="•"/>
      <w:lvlJc w:val="left"/>
      <w:pPr>
        <w:ind w:left="3855" w:hanging="217"/>
      </w:pPr>
      <w:rPr>
        <w:rFonts w:hint="default"/>
        <w:lang w:val="en-GB" w:eastAsia="en-GB" w:bidi="en-GB"/>
      </w:rPr>
    </w:lvl>
    <w:lvl w:ilvl="7" w:tplc="8FC282DA">
      <w:numFmt w:val="bullet"/>
      <w:lvlText w:val="•"/>
      <w:lvlJc w:val="left"/>
      <w:pPr>
        <w:ind w:left="4448" w:hanging="217"/>
      </w:pPr>
      <w:rPr>
        <w:rFonts w:hint="default"/>
        <w:lang w:val="en-GB" w:eastAsia="en-GB" w:bidi="en-GB"/>
      </w:rPr>
    </w:lvl>
    <w:lvl w:ilvl="8" w:tplc="6ED202A6">
      <w:numFmt w:val="bullet"/>
      <w:lvlText w:val="•"/>
      <w:lvlJc w:val="left"/>
      <w:pPr>
        <w:ind w:left="5040" w:hanging="217"/>
      </w:pPr>
      <w:rPr>
        <w:rFonts w:hint="default"/>
        <w:lang w:val="en-GB" w:eastAsia="en-GB" w:bidi="en-GB"/>
      </w:rPr>
    </w:lvl>
  </w:abstractNum>
  <w:abstractNum w:abstractNumId="999" w15:restartNumberingAfterBreak="0">
    <w:nsid w:val="5C626F9D"/>
    <w:multiLevelType w:val="hybridMultilevel"/>
    <w:tmpl w:val="3D8445AE"/>
    <w:lvl w:ilvl="0" w:tplc="BAACF1D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4A6E372">
      <w:numFmt w:val="bullet"/>
      <w:lvlText w:val="•"/>
      <w:lvlJc w:val="left"/>
      <w:pPr>
        <w:ind w:left="892" w:hanging="217"/>
      </w:pPr>
      <w:rPr>
        <w:rFonts w:hint="default"/>
        <w:lang w:val="en-GB" w:eastAsia="en-GB" w:bidi="en-GB"/>
      </w:rPr>
    </w:lvl>
    <w:lvl w:ilvl="2" w:tplc="0B96E09A">
      <w:numFmt w:val="bullet"/>
      <w:lvlText w:val="•"/>
      <w:lvlJc w:val="left"/>
      <w:pPr>
        <w:ind w:left="1485" w:hanging="217"/>
      </w:pPr>
      <w:rPr>
        <w:rFonts w:hint="default"/>
        <w:lang w:val="en-GB" w:eastAsia="en-GB" w:bidi="en-GB"/>
      </w:rPr>
    </w:lvl>
    <w:lvl w:ilvl="3" w:tplc="EF38D7EE">
      <w:numFmt w:val="bullet"/>
      <w:lvlText w:val="•"/>
      <w:lvlJc w:val="left"/>
      <w:pPr>
        <w:ind w:left="2077" w:hanging="217"/>
      </w:pPr>
      <w:rPr>
        <w:rFonts w:hint="default"/>
        <w:lang w:val="en-GB" w:eastAsia="en-GB" w:bidi="en-GB"/>
      </w:rPr>
    </w:lvl>
    <w:lvl w:ilvl="4" w:tplc="6576DC22">
      <w:numFmt w:val="bullet"/>
      <w:lvlText w:val="•"/>
      <w:lvlJc w:val="left"/>
      <w:pPr>
        <w:ind w:left="2670" w:hanging="217"/>
      </w:pPr>
      <w:rPr>
        <w:rFonts w:hint="default"/>
        <w:lang w:val="en-GB" w:eastAsia="en-GB" w:bidi="en-GB"/>
      </w:rPr>
    </w:lvl>
    <w:lvl w:ilvl="5" w:tplc="BA6C6FCA">
      <w:numFmt w:val="bullet"/>
      <w:lvlText w:val="•"/>
      <w:lvlJc w:val="left"/>
      <w:pPr>
        <w:ind w:left="3263" w:hanging="217"/>
      </w:pPr>
      <w:rPr>
        <w:rFonts w:hint="default"/>
        <w:lang w:val="en-GB" w:eastAsia="en-GB" w:bidi="en-GB"/>
      </w:rPr>
    </w:lvl>
    <w:lvl w:ilvl="6" w:tplc="0624ECDA">
      <w:numFmt w:val="bullet"/>
      <w:lvlText w:val="•"/>
      <w:lvlJc w:val="left"/>
      <w:pPr>
        <w:ind w:left="3855" w:hanging="217"/>
      </w:pPr>
      <w:rPr>
        <w:rFonts w:hint="default"/>
        <w:lang w:val="en-GB" w:eastAsia="en-GB" w:bidi="en-GB"/>
      </w:rPr>
    </w:lvl>
    <w:lvl w:ilvl="7" w:tplc="E5C42CF2">
      <w:numFmt w:val="bullet"/>
      <w:lvlText w:val="•"/>
      <w:lvlJc w:val="left"/>
      <w:pPr>
        <w:ind w:left="4448" w:hanging="217"/>
      </w:pPr>
      <w:rPr>
        <w:rFonts w:hint="default"/>
        <w:lang w:val="en-GB" w:eastAsia="en-GB" w:bidi="en-GB"/>
      </w:rPr>
    </w:lvl>
    <w:lvl w:ilvl="8" w:tplc="BDDAF370">
      <w:numFmt w:val="bullet"/>
      <w:lvlText w:val="•"/>
      <w:lvlJc w:val="left"/>
      <w:pPr>
        <w:ind w:left="5040" w:hanging="217"/>
      </w:pPr>
      <w:rPr>
        <w:rFonts w:hint="default"/>
        <w:lang w:val="en-GB" w:eastAsia="en-GB" w:bidi="en-GB"/>
      </w:rPr>
    </w:lvl>
  </w:abstractNum>
  <w:abstractNum w:abstractNumId="1000" w15:restartNumberingAfterBreak="0">
    <w:nsid w:val="5C6307DD"/>
    <w:multiLevelType w:val="hybridMultilevel"/>
    <w:tmpl w:val="A1A6CBA8"/>
    <w:lvl w:ilvl="0" w:tplc="9C22737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F32B204">
      <w:numFmt w:val="bullet"/>
      <w:lvlText w:val="•"/>
      <w:lvlJc w:val="left"/>
      <w:pPr>
        <w:ind w:left="441" w:hanging="217"/>
      </w:pPr>
      <w:rPr>
        <w:rFonts w:hint="default"/>
        <w:lang w:val="en-GB" w:eastAsia="en-GB" w:bidi="en-GB"/>
      </w:rPr>
    </w:lvl>
    <w:lvl w:ilvl="2" w:tplc="AFD8A2B0">
      <w:numFmt w:val="bullet"/>
      <w:lvlText w:val="•"/>
      <w:lvlJc w:val="left"/>
      <w:pPr>
        <w:ind w:left="583" w:hanging="217"/>
      </w:pPr>
      <w:rPr>
        <w:rFonts w:hint="default"/>
        <w:lang w:val="en-GB" w:eastAsia="en-GB" w:bidi="en-GB"/>
      </w:rPr>
    </w:lvl>
    <w:lvl w:ilvl="3" w:tplc="DB920E5E">
      <w:numFmt w:val="bullet"/>
      <w:lvlText w:val="•"/>
      <w:lvlJc w:val="left"/>
      <w:pPr>
        <w:ind w:left="725" w:hanging="217"/>
      </w:pPr>
      <w:rPr>
        <w:rFonts w:hint="default"/>
        <w:lang w:val="en-GB" w:eastAsia="en-GB" w:bidi="en-GB"/>
      </w:rPr>
    </w:lvl>
    <w:lvl w:ilvl="4" w:tplc="A8B83C46">
      <w:numFmt w:val="bullet"/>
      <w:lvlText w:val="•"/>
      <w:lvlJc w:val="left"/>
      <w:pPr>
        <w:ind w:left="867" w:hanging="217"/>
      </w:pPr>
      <w:rPr>
        <w:rFonts w:hint="default"/>
        <w:lang w:val="en-GB" w:eastAsia="en-GB" w:bidi="en-GB"/>
      </w:rPr>
    </w:lvl>
    <w:lvl w:ilvl="5" w:tplc="B6D0E122">
      <w:numFmt w:val="bullet"/>
      <w:lvlText w:val="•"/>
      <w:lvlJc w:val="left"/>
      <w:pPr>
        <w:ind w:left="1009" w:hanging="217"/>
      </w:pPr>
      <w:rPr>
        <w:rFonts w:hint="default"/>
        <w:lang w:val="en-GB" w:eastAsia="en-GB" w:bidi="en-GB"/>
      </w:rPr>
    </w:lvl>
    <w:lvl w:ilvl="6" w:tplc="5A444E4C">
      <w:numFmt w:val="bullet"/>
      <w:lvlText w:val="•"/>
      <w:lvlJc w:val="left"/>
      <w:pPr>
        <w:ind w:left="1151" w:hanging="217"/>
      </w:pPr>
      <w:rPr>
        <w:rFonts w:hint="default"/>
        <w:lang w:val="en-GB" w:eastAsia="en-GB" w:bidi="en-GB"/>
      </w:rPr>
    </w:lvl>
    <w:lvl w:ilvl="7" w:tplc="41B8A94E">
      <w:numFmt w:val="bullet"/>
      <w:lvlText w:val="•"/>
      <w:lvlJc w:val="left"/>
      <w:pPr>
        <w:ind w:left="1293" w:hanging="217"/>
      </w:pPr>
      <w:rPr>
        <w:rFonts w:hint="default"/>
        <w:lang w:val="en-GB" w:eastAsia="en-GB" w:bidi="en-GB"/>
      </w:rPr>
    </w:lvl>
    <w:lvl w:ilvl="8" w:tplc="944A6C74">
      <w:numFmt w:val="bullet"/>
      <w:lvlText w:val="•"/>
      <w:lvlJc w:val="left"/>
      <w:pPr>
        <w:ind w:left="1435" w:hanging="217"/>
      </w:pPr>
      <w:rPr>
        <w:rFonts w:hint="default"/>
        <w:lang w:val="en-GB" w:eastAsia="en-GB" w:bidi="en-GB"/>
      </w:rPr>
    </w:lvl>
  </w:abstractNum>
  <w:abstractNum w:abstractNumId="1001" w15:restartNumberingAfterBreak="0">
    <w:nsid w:val="5C7F4099"/>
    <w:multiLevelType w:val="hybridMultilevel"/>
    <w:tmpl w:val="BBAC620A"/>
    <w:lvl w:ilvl="0" w:tplc="92846D4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DE809748">
      <w:numFmt w:val="bullet"/>
      <w:lvlText w:val="•"/>
      <w:lvlJc w:val="left"/>
      <w:pPr>
        <w:ind w:left="892" w:hanging="217"/>
      </w:pPr>
      <w:rPr>
        <w:rFonts w:hint="default"/>
        <w:lang w:val="en-GB" w:eastAsia="en-GB" w:bidi="en-GB"/>
      </w:rPr>
    </w:lvl>
    <w:lvl w:ilvl="2" w:tplc="2DDA8794">
      <w:numFmt w:val="bullet"/>
      <w:lvlText w:val="•"/>
      <w:lvlJc w:val="left"/>
      <w:pPr>
        <w:ind w:left="1485" w:hanging="217"/>
      </w:pPr>
      <w:rPr>
        <w:rFonts w:hint="default"/>
        <w:lang w:val="en-GB" w:eastAsia="en-GB" w:bidi="en-GB"/>
      </w:rPr>
    </w:lvl>
    <w:lvl w:ilvl="3" w:tplc="DA684C5C">
      <w:numFmt w:val="bullet"/>
      <w:lvlText w:val="•"/>
      <w:lvlJc w:val="left"/>
      <w:pPr>
        <w:ind w:left="2077" w:hanging="217"/>
      </w:pPr>
      <w:rPr>
        <w:rFonts w:hint="default"/>
        <w:lang w:val="en-GB" w:eastAsia="en-GB" w:bidi="en-GB"/>
      </w:rPr>
    </w:lvl>
    <w:lvl w:ilvl="4" w:tplc="E9EA53D4">
      <w:numFmt w:val="bullet"/>
      <w:lvlText w:val="•"/>
      <w:lvlJc w:val="left"/>
      <w:pPr>
        <w:ind w:left="2670" w:hanging="217"/>
      </w:pPr>
      <w:rPr>
        <w:rFonts w:hint="default"/>
        <w:lang w:val="en-GB" w:eastAsia="en-GB" w:bidi="en-GB"/>
      </w:rPr>
    </w:lvl>
    <w:lvl w:ilvl="5" w:tplc="536A7E2E">
      <w:numFmt w:val="bullet"/>
      <w:lvlText w:val="•"/>
      <w:lvlJc w:val="left"/>
      <w:pPr>
        <w:ind w:left="3263" w:hanging="217"/>
      </w:pPr>
      <w:rPr>
        <w:rFonts w:hint="default"/>
        <w:lang w:val="en-GB" w:eastAsia="en-GB" w:bidi="en-GB"/>
      </w:rPr>
    </w:lvl>
    <w:lvl w:ilvl="6" w:tplc="1494FA78">
      <w:numFmt w:val="bullet"/>
      <w:lvlText w:val="•"/>
      <w:lvlJc w:val="left"/>
      <w:pPr>
        <w:ind w:left="3855" w:hanging="217"/>
      </w:pPr>
      <w:rPr>
        <w:rFonts w:hint="default"/>
        <w:lang w:val="en-GB" w:eastAsia="en-GB" w:bidi="en-GB"/>
      </w:rPr>
    </w:lvl>
    <w:lvl w:ilvl="7" w:tplc="7B58561C">
      <w:numFmt w:val="bullet"/>
      <w:lvlText w:val="•"/>
      <w:lvlJc w:val="left"/>
      <w:pPr>
        <w:ind w:left="4448" w:hanging="217"/>
      </w:pPr>
      <w:rPr>
        <w:rFonts w:hint="default"/>
        <w:lang w:val="en-GB" w:eastAsia="en-GB" w:bidi="en-GB"/>
      </w:rPr>
    </w:lvl>
    <w:lvl w:ilvl="8" w:tplc="CF10316E">
      <w:numFmt w:val="bullet"/>
      <w:lvlText w:val="•"/>
      <w:lvlJc w:val="left"/>
      <w:pPr>
        <w:ind w:left="5040" w:hanging="217"/>
      </w:pPr>
      <w:rPr>
        <w:rFonts w:hint="default"/>
        <w:lang w:val="en-GB" w:eastAsia="en-GB" w:bidi="en-GB"/>
      </w:rPr>
    </w:lvl>
  </w:abstractNum>
  <w:abstractNum w:abstractNumId="1002" w15:restartNumberingAfterBreak="0">
    <w:nsid w:val="5C8A7538"/>
    <w:multiLevelType w:val="hybridMultilevel"/>
    <w:tmpl w:val="897CBA14"/>
    <w:lvl w:ilvl="0" w:tplc="0516910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45EBADC">
      <w:numFmt w:val="bullet"/>
      <w:lvlText w:val="•"/>
      <w:lvlJc w:val="left"/>
      <w:pPr>
        <w:ind w:left="473" w:hanging="217"/>
      </w:pPr>
      <w:rPr>
        <w:rFonts w:hint="default"/>
        <w:lang w:val="en-GB" w:eastAsia="en-GB" w:bidi="en-GB"/>
      </w:rPr>
    </w:lvl>
    <w:lvl w:ilvl="2" w:tplc="12B068A0">
      <w:numFmt w:val="bullet"/>
      <w:lvlText w:val="•"/>
      <w:lvlJc w:val="left"/>
      <w:pPr>
        <w:ind w:left="646" w:hanging="217"/>
      </w:pPr>
      <w:rPr>
        <w:rFonts w:hint="default"/>
        <w:lang w:val="en-GB" w:eastAsia="en-GB" w:bidi="en-GB"/>
      </w:rPr>
    </w:lvl>
    <w:lvl w:ilvl="3" w:tplc="1C8ECC10">
      <w:numFmt w:val="bullet"/>
      <w:lvlText w:val="•"/>
      <w:lvlJc w:val="left"/>
      <w:pPr>
        <w:ind w:left="819" w:hanging="217"/>
      </w:pPr>
      <w:rPr>
        <w:rFonts w:hint="default"/>
        <w:lang w:val="en-GB" w:eastAsia="en-GB" w:bidi="en-GB"/>
      </w:rPr>
    </w:lvl>
    <w:lvl w:ilvl="4" w:tplc="01AA1C28">
      <w:numFmt w:val="bullet"/>
      <w:lvlText w:val="•"/>
      <w:lvlJc w:val="left"/>
      <w:pPr>
        <w:ind w:left="992" w:hanging="217"/>
      </w:pPr>
      <w:rPr>
        <w:rFonts w:hint="default"/>
        <w:lang w:val="en-GB" w:eastAsia="en-GB" w:bidi="en-GB"/>
      </w:rPr>
    </w:lvl>
    <w:lvl w:ilvl="5" w:tplc="906AD516">
      <w:numFmt w:val="bullet"/>
      <w:lvlText w:val="•"/>
      <w:lvlJc w:val="left"/>
      <w:pPr>
        <w:ind w:left="1165" w:hanging="217"/>
      </w:pPr>
      <w:rPr>
        <w:rFonts w:hint="default"/>
        <w:lang w:val="en-GB" w:eastAsia="en-GB" w:bidi="en-GB"/>
      </w:rPr>
    </w:lvl>
    <w:lvl w:ilvl="6" w:tplc="587AC06A">
      <w:numFmt w:val="bullet"/>
      <w:lvlText w:val="•"/>
      <w:lvlJc w:val="left"/>
      <w:pPr>
        <w:ind w:left="1338" w:hanging="217"/>
      </w:pPr>
      <w:rPr>
        <w:rFonts w:hint="default"/>
        <w:lang w:val="en-GB" w:eastAsia="en-GB" w:bidi="en-GB"/>
      </w:rPr>
    </w:lvl>
    <w:lvl w:ilvl="7" w:tplc="5E60F4D4">
      <w:numFmt w:val="bullet"/>
      <w:lvlText w:val="•"/>
      <w:lvlJc w:val="left"/>
      <w:pPr>
        <w:ind w:left="1511" w:hanging="217"/>
      </w:pPr>
      <w:rPr>
        <w:rFonts w:hint="default"/>
        <w:lang w:val="en-GB" w:eastAsia="en-GB" w:bidi="en-GB"/>
      </w:rPr>
    </w:lvl>
    <w:lvl w:ilvl="8" w:tplc="14D8F976">
      <w:numFmt w:val="bullet"/>
      <w:lvlText w:val="•"/>
      <w:lvlJc w:val="left"/>
      <w:pPr>
        <w:ind w:left="1684" w:hanging="217"/>
      </w:pPr>
      <w:rPr>
        <w:rFonts w:hint="default"/>
        <w:lang w:val="en-GB" w:eastAsia="en-GB" w:bidi="en-GB"/>
      </w:rPr>
    </w:lvl>
  </w:abstractNum>
  <w:abstractNum w:abstractNumId="1003" w15:restartNumberingAfterBreak="0">
    <w:nsid w:val="5C903C0B"/>
    <w:multiLevelType w:val="hybridMultilevel"/>
    <w:tmpl w:val="5E3A3F4A"/>
    <w:lvl w:ilvl="0" w:tplc="794491D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FDAADC2">
      <w:numFmt w:val="bullet"/>
      <w:lvlText w:val="•"/>
      <w:lvlJc w:val="left"/>
      <w:pPr>
        <w:ind w:left="524" w:hanging="217"/>
      </w:pPr>
      <w:rPr>
        <w:rFonts w:hint="default"/>
        <w:lang w:val="en-GB" w:eastAsia="en-GB" w:bidi="en-GB"/>
      </w:rPr>
    </w:lvl>
    <w:lvl w:ilvl="2" w:tplc="84F89608">
      <w:numFmt w:val="bullet"/>
      <w:lvlText w:val="•"/>
      <w:lvlJc w:val="left"/>
      <w:pPr>
        <w:ind w:left="748" w:hanging="217"/>
      </w:pPr>
      <w:rPr>
        <w:rFonts w:hint="default"/>
        <w:lang w:val="en-GB" w:eastAsia="en-GB" w:bidi="en-GB"/>
      </w:rPr>
    </w:lvl>
    <w:lvl w:ilvl="3" w:tplc="3ECC9534">
      <w:numFmt w:val="bullet"/>
      <w:lvlText w:val="•"/>
      <w:lvlJc w:val="left"/>
      <w:pPr>
        <w:ind w:left="972" w:hanging="217"/>
      </w:pPr>
      <w:rPr>
        <w:rFonts w:hint="default"/>
        <w:lang w:val="en-GB" w:eastAsia="en-GB" w:bidi="en-GB"/>
      </w:rPr>
    </w:lvl>
    <w:lvl w:ilvl="4" w:tplc="659C925C">
      <w:numFmt w:val="bullet"/>
      <w:lvlText w:val="•"/>
      <w:lvlJc w:val="left"/>
      <w:pPr>
        <w:ind w:left="1196" w:hanging="217"/>
      </w:pPr>
      <w:rPr>
        <w:rFonts w:hint="default"/>
        <w:lang w:val="en-GB" w:eastAsia="en-GB" w:bidi="en-GB"/>
      </w:rPr>
    </w:lvl>
    <w:lvl w:ilvl="5" w:tplc="5BA64704">
      <w:numFmt w:val="bullet"/>
      <w:lvlText w:val="•"/>
      <w:lvlJc w:val="left"/>
      <w:pPr>
        <w:ind w:left="1420" w:hanging="217"/>
      </w:pPr>
      <w:rPr>
        <w:rFonts w:hint="default"/>
        <w:lang w:val="en-GB" w:eastAsia="en-GB" w:bidi="en-GB"/>
      </w:rPr>
    </w:lvl>
    <w:lvl w:ilvl="6" w:tplc="C63433F6">
      <w:numFmt w:val="bullet"/>
      <w:lvlText w:val="•"/>
      <w:lvlJc w:val="left"/>
      <w:pPr>
        <w:ind w:left="1644" w:hanging="217"/>
      </w:pPr>
      <w:rPr>
        <w:rFonts w:hint="default"/>
        <w:lang w:val="en-GB" w:eastAsia="en-GB" w:bidi="en-GB"/>
      </w:rPr>
    </w:lvl>
    <w:lvl w:ilvl="7" w:tplc="EB0EF816">
      <w:numFmt w:val="bullet"/>
      <w:lvlText w:val="•"/>
      <w:lvlJc w:val="left"/>
      <w:pPr>
        <w:ind w:left="1868" w:hanging="217"/>
      </w:pPr>
      <w:rPr>
        <w:rFonts w:hint="default"/>
        <w:lang w:val="en-GB" w:eastAsia="en-GB" w:bidi="en-GB"/>
      </w:rPr>
    </w:lvl>
    <w:lvl w:ilvl="8" w:tplc="F4E6BB92">
      <w:numFmt w:val="bullet"/>
      <w:lvlText w:val="•"/>
      <w:lvlJc w:val="left"/>
      <w:pPr>
        <w:ind w:left="2092" w:hanging="217"/>
      </w:pPr>
      <w:rPr>
        <w:rFonts w:hint="default"/>
        <w:lang w:val="en-GB" w:eastAsia="en-GB" w:bidi="en-GB"/>
      </w:rPr>
    </w:lvl>
  </w:abstractNum>
  <w:abstractNum w:abstractNumId="1004" w15:restartNumberingAfterBreak="0">
    <w:nsid w:val="5C90598A"/>
    <w:multiLevelType w:val="hybridMultilevel"/>
    <w:tmpl w:val="8D904FA8"/>
    <w:lvl w:ilvl="0" w:tplc="4656E0BA">
      <w:numFmt w:val="bullet"/>
      <w:lvlText w:val="•"/>
      <w:lvlJc w:val="left"/>
      <w:pPr>
        <w:ind w:left="3819" w:hanging="217"/>
      </w:pPr>
      <w:rPr>
        <w:rFonts w:ascii="Arial" w:eastAsia="Arial" w:hAnsi="Arial" w:cs="Arial" w:hint="default"/>
        <w:color w:val="231F20"/>
        <w:spacing w:val="-1"/>
        <w:w w:val="100"/>
        <w:sz w:val="18"/>
        <w:szCs w:val="18"/>
        <w:lang w:val="en-GB" w:eastAsia="en-GB" w:bidi="en-GB"/>
      </w:rPr>
    </w:lvl>
    <w:lvl w:ilvl="1" w:tplc="BF64F2CA">
      <w:numFmt w:val="bullet"/>
      <w:lvlText w:val="•"/>
      <w:lvlJc w:val="left"/>
      <w:pPr>
        <w:ind w:left="4253" w:hanging="217"/>
      </w:pPr>
      <w:rPr>
        <w:rFonts w:hint="default"/>
        <w:lang w:val="en-GB" w:eastAsia="en-GB" w:bidi="en-GB"/>
      </w:rPr>
    </w:lvl>
    <w:lvl w:ilvl="2" w:tplc="DA2C672E">
      <w:numFmt w:val="bullet"/>
      <w:lvlText w:val="•"/>
      <w:lvlJc w:val="left"/>
      <w:pPr>
        <w:ind w:left="4686" w:hanging="217"/>
      </w:pPr>
      <w:rPr>
        <w:rFonts w:hint="default"/>
        <w:lang w:val="en-GB" w:eastAsia="en-GB" w:bidi="en-GB"/>
      </w:rPr>
    </w:lvl>
    <w:lvl w:ilvl="3" w:tplc="A894C002">
      <w:numFmt w:val="bullet"/>
      <w:lvlText w:val="•"/>
      <w:lvlJc w:val="left"/>
      <w:pPr>
        <w:ind w:left="5120" w:hanging="217"/>
      </w:pPr>
      <w:rPr>
        <w:rFonts w:hint="default"/>
        <w:lang w:val="en-GB" w:eastAsia="en-GB" w:bidi="en-GB"/>
      </w:rPr>
    </w:lvl>
    <w:lvl w:ilvl="4" w:tplc="92AC7784">
      <w:numFmt w:val="bullet"/>
      <w:lvlText w:val="•"/>
      <w:lvlJc w:val="left"/>
      <w:pPr>
        <w:ind w:left="5553" w:hanging="217"/>
      </w:pPr>
      <w:rPr>
        <w:rFonts w:hint="default"/>
        <w:lang w:val="en-GB" w:eastAsia="en-GB" w:bidi="en-GB"/>
      </w:rPr>
    </w:lvl>
    <w:lvl w:ilvl="5" w:tplc="914C7F84">
      <w:numFmt w:val="bullet"/>
      <w:lvlText w:val="•"/>
      <w:lvlJc w:val="left"/>
      <w:pPr>
        <w:ind w:left="5987" w:hanging="217"/>
      </w:pPr>
      <w:rPr>
        <w:rFonts w:hint="default"/>
        <w:lang w:val="en-GB" w:eastAsia="en-GB" w:bidi="en-GB"/>
      </w:rPr>
    </w:lvl>
    <w:lvl w:ilvl="6" w:tplc="5820361A">
      <w:numFmt w:val="bullet"/>
      <w:lvlText w:val="•"/>
      <w:lvlJc w:val="left"/>
      <w:pPr>
        <w:ind w:left="6420" w:hanging="217"/>
      </w:pPr>
      <w:rPr>
        <w:rFonts w:hint="default"/>
        <w:lang w:val="en-GB" w:eastAsia="en-GB" w:bidi="en-GB"/>
      </w:rPr>
    </w:lvl>
    <w:lvl w:ilvl="7" w:tplc="037AAEF6">
      <w:numFmt w:val="bullet"/>
      <w:lvlText w:val="•"/>
      <w:lvlJc w:val="left"/>
      <w:pPr>
        <w:ind w:left="6853" w:hanging="217"/>
      </w:pPr>
      <w:rPr>
        <w:rFonts w:hint="default"/>
        <w:lang w:val="en-GB" w:eastAsia="en-GB" w:bidi="en-GB"/>
      </w:rPr>
    </w:lvl>
    <w:lvl w:ilvl="8" w:tplc="91EEF384">
      <w:numFmt w:val="bullet"/>
      <w:lvlText w:val="•"/>
      <w:lvlJc w:val="left"/>
      <w:pPr>
        <w:ind w:left="7287" w:hanging="217"/>
      </w:pPr>
      <w:rPr>
        <w:rFonts w:hint="default"/>
        <w:lang w:val="en-GB" w:eastAsia="en-GB" w:bidi="en-GB"/>
      </w:rPr>
    </w:lvl>
  </w:abstractNum>
  <w:abstractNum w:abstractNumId="1005" w15:restartNumberingAfterBreak="0">
    <w:nsid w:val="5CB31810"/>
    <w:multiLevelType w:val="hybridMultilevel"/>
    <w:tmpl w:val="C6F8C90E"/>
    <w:lvl w:ilvl="0" w:tplc="AB92A12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0FA35B6">
      <w:numFmt w:val="bullet"/>
      <w:lvlText w:val="•"/>
      <w:lvlJc w:val="left"/>
      <w:pPr>
        <w:ind w:left="473" w:hanging="217"/>
      </w:pPr>
      <w:rPr>
        <w:rFonts w:hint="default"/>
        <w:lang w:val="en-GB" w:eastAsia="en-GB" w:bidi="en-GB"/>
      </w:rPr>
    </w:lvl>
    <w:lvl w:ilvl="2" w:tplc="000AF14C">
      <w:numFmt w:val="bullet"/>
      <w:lvlText w:val="•"/>
      <w:lvlJc w:val="left"/>
      <w:pPr>
        <w:ind w:left="646" w:hanging="217"/>
      </w:pPr>
      <w:rPr>
        <w:rFonts w:hint="default"/>
        <w:lang w:val="en-GB" w:eastAsia="en-GB" w:bidi="en-GB"/>
      </w:rPr>
    </w:lvl>
    <w:lvl w:ilvl="3" w:tplc="A9E4F998">
      <w:numFmt w:val="bullet"/>
      <w:lvlText w:val="•"/>
      <w:lvlJc w:val="left"/>
      <w:pPr>
        <w:ind w:left="819" w:hanging="217"/>
      </w:pPr>
      <w:rPr>
        <w:rFonts w:hint="default"/>
        <w:lang w:val="en-GB" w:eastAsia="en-GB" w:bidi="en-GB"/>
      </w:rPr>
    </w:lvl>
    <w:lvl w:ilvl="4" w:tplc="075A7794">
      <w:numFmt w:val="bullet"/>
      <w:lvlText w:val="•"/>
      <w:lvlJc w:val="left"/>
      <w:pPr>
        <w:ind w:left="992" w:hanging="217"/>
      </w:pPr>
      <w:rPr>
        <w:rFonts w:hint="default"/>
        <w:lang w:val="en-GB" w:eastAsia="en-GB" w:bidi="en-GB"/>
      </w:rPr>
    </w:lvl>
    <w:lvl w:ilvl="5" w:tplc="0694D0A6">
      <w:numFmt w:val="bullet"/>
      <w:lvlText w:val="•"/>
      <w:lvlJc w:val="left"/>
      <w:pPr>
        <w:ind w:left="1165" w:hanging="217"/>
      </w:pPr>
      <w:rPr>
        <w:rFonts w:hint="default"/>
        <w:lang w:val="en-GB" w:eastAsia="en-GB" w:bidi="en-GB"/>
      </w:rPr>
    </w:lvl>
    <w:lvl w:ilvl="6" w:tplc="055CDA60">
      <w:numFmt w:val="bullet"/>
      <w:lvlText w:val="•"/>
      <w:lvlJc w:val="left"/>
      <w:pPr>
        <w:ind w:left="1338" w:hanging="217"/>
      </w:pPr>
      <w:rPr>
        <w:rFonts w:hint="default"/>
        <w:lang w:val="en-GB" w:eastAsia="en-GB" w:bidi="en-GB"/>
      </w:rPr>
    </w:lvl>
    <w:lvl w:ilvl="7" w:tplc="200E0992">
      <w:numFmt w:val="bullet"/>
      <w:lvlText w:val="•"/>
      <w:lvlJc w:val="left"/>
      <w:pPr>
        <w:ind w:left="1511" w:hanging="217"/>
      </w:pPr>
      <w:rPr>
        <w:rFonts w:hint="default"/>
        <w:lang w:val="en-GB" w:eastAsia="en-GB" w:bidi="en-GB"/>
      </w:rPr>
    </w:lvl>
    <w:lvl w:ilvl="8" w:tplc="70DE746C">
      <w:numFmt w:val="bullet"/>
      <w:lvlText w:val="•"/>
      <w:lvlJc w:val="left"/>
      <w:pPr>
        <w:ind w:left="1684" w:hanging="217"/>
      </w:pPr>
      <w:rPr>
        <w:rFonts w:hint="default"/>
        <w:lang w:val="en-GB" w:eastAsia="en-GB" w:bidi="en-GB"/>
      </w:rPr>
    </w:lvl>
  </w:abstractNum>
  <w:abstractNum w:abstractNumId="1006" w15:restartNumberingAfterBreak="0">
    <w:nsid w:val="5CB96312"/>
    <w:multiLevelType w:val="hybridMultilevel"/>
    <w:tmpl w:val="04A6D846"/>
    <w:lvl w:ilvl="0" w:tplc="8064E8C8">
      <w:numFmt w:val="bullet"/>
      <w:lvlText w:val="•"/>
      <w:lvlJc w:val="left"/>
      <w:pPr>
        <w:ind w:left="304" w:hanging="217"/>
      </w:pPr>
      <w:rPr>
        <w:rFonts w:ascii="Arial" w:eastAsia="Arial" w:hAnsi="Arial" w:cs="Arial" w:hint="default"/>
        <w:color w:val="231F20"/>
        <w:w w:val="100"/>
        <w:sz w:val="18"/>
        <w:szCs w:val="18"/>
        <w:lang w:val="en-GB" w:eastAsia="en-GB" w:bidi="en-GB"/>
      </w:rPr>
    </w:lvl>
    <w:lvl w:ilvl="1" w:tplc="DDDE4D5E">
      <w:numFmt w:val="bullet"/>
      <w:lvlText w:val="•"/>
      <w:lvlJc w:val="left"/>
      <w:pPr>
        <w:ind w:left="473" w:hanging="217"/>
      </w:pPr>
      <w:rPr>
        <w:rFonts w:hint="default"/>
        <w:lang w:val="en-GB" w:eastAsia="en-GB" w:bidi="en-GB"/>
      </w:rPr>
    </w:lvl>
    <w:lvl w:ilvl="2" w:tplc="7B6679EA">
      <w:numFmt w:val="bullet"/>
      <w:lvlText w:val="•"/>
      <w:lvlJc w:val="left"/>
      <w:pPr>
        <w:ind w:left="646" w:hanging="217"/>
      </w:pPr>
      <w:rPr>
        <w:rFonts w:hint="default"/>
        <w:lang w:val="en-GB" w:eastAsia="en-GB" w:bidi="en-GB"/>
      </w:rPr>
    </w:lvl>
    <w:lvl w:ilvl="3" w:tplc="652825E8">
      <w:numFmt w:val="bullet"/>
      <w:lvlText w:val="•"/>
      <w:lvlJc w:val="left"/>
      <w:pPr>
        <w:ind w:left="819" w:hanging="217"/>
      </w:pPr>
      <w:rPr>
        <w:rFonts w:hint="default"/>
        <w:lang w:val="en-GB" w:eastAsia="en-GB" w:bidi="en-GB"/>
      </w:rPr>
    </w:lvl>
    <w:lvl w:ilvl="4" w:tplc="BAFA8690">
      <w:numFmt w:val="bullet"/>
      <w:lvlText w:val="•"/>
      <w:lvlJc w:val="left"/>
      <w:pPr>
        <w:ind w:left="992" w:hanging="217"/>
      </w:pPr>
      <w:rPr>
        <w:rFonts w:hint="default"/>
        <w:lang w:val="en-GB" w:eastAsia="en-GB" w:bidi="en-GB"/>
      </w:rPr>
    </w:lvl>
    <w:lvl w:ilvl="5" w:tplc="A372C700">
      <w:numFmt w:val="bullet"/>
      <w:lvlText w:val="•"/>
      <w:lvlJc w:val="left"/>
      <w:pPr>
        <w:ind w:left="1165" w:hanging="217"/>
      </w:pPr>
      <w:rPr>
        <w:rFonts w:hint="default"/>
        <w:lang w:val="en-GB" w:eastAsia="en-GB" w:bidi="en-GB"/>
      </w:rPr>
    </w:lvl>
    <w:lvl w:ilvl="6" w:tplc="D0E2F9FA">
      <w:numFmt w:val="bullet"/>
      <w:lvlText w:val="•"/>
      <w:lvlJc w:val="left"/>
      <w:pPr>
        <w:ind w:left="1338" w:hanging="217"/>
      </w:pPr>
      <w:rPr>
        <w:rFonts w:hint="default"/>
        <w:lang w:val="en-GB" w:eastAsia="en-GB" w:bidi="en-GB"/>
      </w:rPr>
    </w:lvl>
    <w:lvl w:ilvl="7" w:tplc="871EFA34">
      <w:numFmt w:val="bullet"/>
      <w:lvlText w:val="•"/>
      <w:lvlJc w:val="left"/>
      <w:pPr>
        <w:ind w:left="1511" w:hanging="217"/>
      </w:pPr>
      <w:rPr>
        <w:rFonts w:hint="default"/>
        <w:lang w:val="en-GB" w:eastAsia="en-GB" w:bidi="en-GB"/>
      </w:rPr>
    </w:lvl>
    <w:lvl w:ilvl="8" w:tplc="58342EC6">
      <w:numFmt w:val="bullet"/>
      <w:lvlText w:val="•"/>
      <w:lvlJc w:val="left"/>
      <w:pPr>
        <w:ind w:left="1684" w:hanging="217"/>
      </w:pPr>
      <w:rPr>
        <w:rFonts w:hint="default"/>
        <w:lang w:val="en-GB" w:eastAsia="en-GB" w:bidi="en-GB"/>
      </w:rPr>
    </w:lvl>
  </w:abstractNum>
  <w:abstractNum w:abstractNumId="1007" w15:restartNumberingAfterBreak="0">
    <w:nsid w:val="5CDC2D21"/>
    <w:multiLevelType w:val="hybridMultilevel"/>
    <w:tmpl w:val="2F3EC536"/>
    <w:lvl w:ilvl="0" w:tplc="39EA4C3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D7E2A2F8">
      <w:numFmt w:val="bullet"/>
      <w:lvlText w:val="•"/>
      <w:lvlJc w:val="left"/>
      <w:pPr>
        <w:ind w:left="473" w:hanging="217"/>
      </w:pPr>
      <w:rPr>
        <w:rFonts w:hint="default"/>
        <w:lang w:val="en-GB" w:eastAsia="en-GB" w:bidi="en-GB"/>
      </w:rPr>
    </w:lvl>
    <w:lvl w:ilvl="2" w:tplc="705A86EC">
      <w:numFmt w:val="bullet"/>
      <w:lvlText w:val="•"/>
      <w:lvlJc w:val="left"/>
      <w:pPr>
        <w:ind w:left="646" w:hanging="217"/>
      </w:pPr>
      <w:rPr>
        <w:rFonts w:hint="default"/>
        <w:lang w:val="en-GB" w:eastAsia="en-GB" w:bidi="en-GB"/>
      </w:rPr>
    </w:lvl>
    <w:lvl w:ilvl="3" w:tplc="9DF08F8E">
      <w:numFmt w:val="bullet"/>
      <w:lvlText w:val="•"/>
      <w:lvlJc w:val="left"/>
      <w:pPr>
        <w:ind w:left="819" w:hanging="217"/>
      </w:pPr>
      <w:rPr>
        <w:rFonts w:hint="default"/>
        <w:lang w:val="en-GB" w:eastAsia="en-GB" w:bidi="en-GB"/>
      </w:rPr>
    </w:lvl>
    <w:lvl w:ilvl="4" w:tplc="9E686A68">
      <w:numFmt w:val="bullet"/>
      <w:lvlText w:val="•"/>
      <w:lvlJc w:val="left"/>
      <w:pPr>
        <w:ind w:left="992" w:hanging="217"/>
      </w:pPr>
      <w:rPr>
        <w:rFonts w:hint="default"/>
        <w:lang w:val="en-GB" w:eastAsia="en-GB" w:bidi="en-GB"/>
      </w:rPr>
    </w:lvl>
    <w:lvl w:ilvl="5" w:tplc="B2E44F2A">
      <w:numFmt w:val="bullet"/>
      <w:lvlText w:val="•"/>
      <w:lvlJc w:val="left"/>
      <w:pPr>
        <w:ind w:left="1165" w:hanging="217"/>
      </w:pPr>
      <w:rPr>
        <w:rFonts w:hint="default"/>
        <w:lang w:val="en-GB" w:eastAsia="en-GB" w:bidi="en-GB"/>
      </w:rPr>
    </w:lvl>
    <w:lvl w:ilvl="6" w:tplc="7C0A10EC">
      <w:numFmt w:val="bullet"/>
      <w:lvlText w:val="•"/>
      <w:lvlJc w:val="left"/>
      <w:pPr>
        <w:ind w:left="1338" w:hanging="217"/>
      </w:pPr>
      <w:rPr>
        <w:rFonts w:hint="default"/>
        <w:lang w:val="en-GB" w:eastAsia="en-GB" w:bidi="en-GB"/>
      </w:rPr>
    </w:lvl>
    <w:lvl w:ilvl="7" w:tplc="A314C2CA">
      <w:numFmt w:val="bullet"/>
      <w:lvlText w:val="•"/>
      <w:lvlJc w:val="left"/>
      <w:pPr>
        <w:ind w:left="1511" w:hanging="217"/>
      </w:pPr>
      <w:rPr>
        <w:rFonts w:hint="default"/>
        <w:lang w:val="en-GB" w:eastAsia="en-GB" w:bidi="en-GB"/>
      </w:rPr>
    </w:lvl>
    <w:lvl w:ilvl="8" w:tplc="678825F6">
      <w:numFmt w:val="bullet"/>
      <w:lvlText w:val="•"/>
      <w:lvlJc w:val="left"/>
      <w:pPr>
        <w:ind w:left="1684" w:hanging="217"/>
      </w:pPr>
      <w:rPr>
        <w:rFonts w:hint="default"/>
        <w:lang w:val="en-GB" w:eastAsia="en-GB" w:bidi="en-GB"/>
      </w:rPr>
    </w:lvl>
  </w:abstractNum>
  <w:abstractNum w:abstractNumId="1008" w15:restartNumberingAfterBreak="0">
    <w:nsid w:val="5CE17747"/>
    <w:multiLevelType w:val="hybridMultilevel"/>
    <w:tmpl w:val="8368A6E4"/>
    <w:lvl w:ilvl="0" w:tplc="F5C4E17C">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0A5602D0">
      <w:numFmt w:val="bullet"/>
      <w:lvlText w:val="•"/>
      <w:lvlJc w:val="left"/>
      <w:pPr>
        <w:ind w:left="473" w:hanging="217"/>
      </w:pPr>
      <w:rPr>
        <w:rFonts w:hint="default"/>
        <w:lang w:val="en-GB" w:eastAsia="en-GB" w:bidi="en-GB"/>
      </w:rPr>
    </w:lvl>
    <w:lvl w:ilvl="2" w:tplc="1D28F156">
      <w:numFmt w:val="bullet"/>
      <w:lvlText w:val="•"/>
      <w:lvlJc w:val="left"/>
      <w:pPr>
        <w:ind w:left="646" w:hanging="217"/>
      </w:pPr>
      <w:rPr>
        <w:rFonts w:hint="default"/>
        <w:lang w:val="en-GB" w:eastAsia="en-GB" w:bidi="en-GB"/>
      </w:rPr>
    </w:lvl>
    <w:lvl w:ilvl="3" w:tplc="38D6EAAA">
      <w:numFmt w:val="bullet"/>
      <w:lvlText w:val="•"/>
      <w:lvlJc w:val="left"/>
      <w:pPr>
        <w:ind w:left="819" w:hanging="217"/>
      </w:pPr>
      <w:rPr>
        <w:rFonts w:hint="default"/>
        <w:lang w:val="en-GB" w:eastAsia="en-GB" w:bidi="en-GB"/>
      </w:rPr>
    </w:lvl>
    <w:lvl w:ilvl="4" w:tplc="FCF86454">
      <w:numFmt w:val="bullet"/>
      <w:lvlText w:val="•"/>
      <w:lvlJc w:val="left"/>
      <w:pPr>
        <w:ind w:left="992" w:hanging="217"/>
      </w:pPr>
      <w:rPr>
        <w:rFonts w:hint="default"/>
        <w:lang w:val="en-GB" w:eastAsia="en-GB" w:bidi="en-GB"/>
      </w:rPr>
    </w:lvl>
    <w:lvl w:ilvl="5" w:tplc="85A69DE6">
      <w:numFmt w:val="bullet"/>
      <w:lvlText w:val="•"/>
      <w:lvlJc w:val="left"/>
      <w:pPr>
        <w:ind w:left="1165" w:hanging="217"/>
      </w:pPr>
      <w:rPr>
        <w:rFonts w:hint="default"/>
        <w:lang w:val="en-GB" w:eastAsia="en-GB" w:bidi="en-GB"/>
      </w:rPr>
    </w:lvl>
    <w:lvl w:ilvl="6" w:tplc="1B9464BE">
      <w:numFmt w:val="bullet"/>
      <w:lvlText w:val="•"/>
      <w:lvlJc w:val="left"/>
      <w:pPr>
        <w:ind w:left="1338" w:hanging="217"/>
      </w:pPr>
      <w:rPr>
        <w:rFonts w:hint="default"/>
        <w:lang w:val="en-GB" w:eastAsia="en-GB" w:bidi="en-GB"/>
      </w:rPr>
    </w:lvl>
    <w:lvl w:ilvl="7" w:tplc="696A5ECE">
      <w:numFmt w:val="bullet"/>
      <w:lvlText w:val="•"/>
      <w:lvlJc w:val="left"/>
      <w:pPr>
        <w:ind w:left="1511" w:hanging="217"/>
      </w:pPr>
      <w:rPr>
        <w:rFonts w:hint="default"/>
        <w:lang w:val="en-GB" w:eastAsia="en-GB" w:bidi="en-GB"/>
      </w:rPr>
    </w:lvl>
    <w:lvl w:ilvl="8" w:tplc="5A5853B2">
      <w:numFmt w:val="bullet"/>
      <w:lvlText w:val="•"/>
      <w:lvlJc w:val="left"/>
      <w:pPr>
        <w:ind w:left="1684" w:hanging="217"/>
      </w:pPr>
      <w:rPr>
        <w:rFonts w:hint="default"/>
        <w:lang w:val="en-GB" w:eastAsia="en-GB" w:bidi="en-GB"/>
      </w:rPr>
    </w:lvl>
  </w:abstractNum>
  <w:abstractNum w:abstractNumId="1009" w15:restartNumberingAfterBreak="0">
    <w:nsid w:val="5CF314A2"/>
    <w:multiLevelType w:val="hybridMultilevel"/>
    <w:tmpl w:val="77E041D2"/>
    <w:lvl w:ilvl="0" w:tplc="A93AC95C">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509E3108">
      <w:numFmt w:val="bullet"/>
      <w:lvlText w:val="•"/>
      <w:lvlJc w:val="left"/>
      <w:pPr>
        <w:ind w:left="892" w:hanging="217"/>
      </w:pPr>
      <w:rPr>
        <w:rFonts w:hint="default"/>
        <w:lang w:val="en-GB" w:eastAsia="en-GB" w:bidi="en-GB"/>
      </w:rPr>
    </w:lvl>
    <w:lvl w:ilvl="2" w:tplc="7BC24C52">
      <w:numFmt w:val="bullet"/>
      <w:lvlText w:val="•"/>
      <w:lvlJc w:val="left"/>
      <w:pPr>
        <w:ind w:left="1485" w:hanging="217"/>
      </w:pPr>
      <w:rPr>
        <w:rFonts w:hint="default"/>
        <w:lang w:val="en-GB" w:eastAsia="en-GB" w:bidi="en-GB"/>
      </w:rPr>
    </w:lvl>
    <w:lvl w:ilvl="3" w:tplc="4D669526">
      <w:numFmt w:val="bullet"/>
      <w:lvlText w:val="•"/>
      <w:lvlJc w:val="left"/>
      <w:pPr>
        <w:ind w:left="2077" w:hanging="217"/>
      </w:pPr>
      <w:rPr>
        <w:rFonts w:hint="default"/>
        <w:lang w:val="en-GB" w:eastAsia="en-GB" w:bidi="en-GB"/>
      </w:rPr>
    </w:lvl>
    <w:lvl w:ilvl="4" w:tplc="3EDCEC0E">
      <w:numFmt w:val="bullet"/>
      <w:lvlText w:val="•"/>
      <w:lvlJc w:val="left"/>
      <w:pPr>
        <w:ind w:left="2670" w:hanging="217"/>
      </w:pPr>
      <w:rPr>
        <w:rFonts w:hint="default"/>
        <w:lang w:val="en-GB" w:eastAsia="en-GB" w:bidi="en-GB"/>
      </w:rPr>
    </w:lvl>
    <w:lvl w:ilvl="5" w:tplc="91B8C282">
      <w:numFmt w:val="bullet"/>
      <w:lvlText w:val="•"/>
      <w:lvlJc w:val="left"/>
      <w:pPr>
        <w:ind w:left="3263" w:hanging="217"/>
      </w:pPr>
      <w:rPr>
        <w:rFonts w:hint="default"/>
        <w:lang w:val="en-GB" w:eastAsia="en-GB" w:bidi="en-GB"/>
      </w:rPr>
    </w:lvl>
    <w:lvl w:ilvl="6" w:tplc="81B8EC28">
      <w:numFmt w:val="bullet"/>
      <w:lvlText w:val="•"/>
      <w:lvlJc w:val="left"/>
      <w:pPr>
        <w:ind w:left="3855" w:hanging="217"/>
      </w:pPr>
      <w:rPr>
        <w:rFonts w:hint="default"/>
        <w:lang w:val="en-GB" w:eastAsia="en-GB" w:bidi="en-GB"/>
      </w:rPr>
    </w:lvl>
    <w:lvl w:ilvl="7" w:tplc="6B8A15F0">
      <w:numFmt w:val="bullet"/>
      <w:lvlText w:val="•"/>
      <w:lvlJc w:val="left"/>
      <w:pPr>
        <w:ind w:left="4448" w:hanging="217"/>
      </w:pPr>
      <w:rPr>
        <w:rFonts w:hint="default"/>
        <w:lang w:val="en-GB" w:eastAsia="en-GB" w:bidi="en-GB"/>
      </w:rPr>
    </w:lvl>
    <w:lvl w:ilvl="8" w:tplc="094AB09A">
      <w:numFmt w:val="bullet"/>
      <w:lvlText w:val="•"/>
      <w:lvlJc w:val="left"/>
      <w:pPr>
        <w:ind w:left="5040" w:hanging="217"/>
      </w:pPr>
      <w:rPr>
        <w:rFonts w:hint="default"/>
        <w:lang w:val="en-GB" w:eastAsia="en-GB" w:bidi="en-GB"/>
      </w:rPr>
    </w:lvl>
  </w:abstractNum>
  <w:abstractNum w:abstractNumId="1010" w15:restartNumberingAfterBreak="0">
    <w:nsid w:val="5D0605C1"/>
    <w:multiLevelType w:val="hybridMultilevel"/>
    <w:tmpl w:val="D80E440A"/>
    <w:lvl w:ilvl="0" w:tplc="AC52642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ADEB6F4">
      <w:numFmt w:val="bullet"/>
      <w:lvlText w:val="•"/>
      <w:lvlJc w:val="left"/>
      <w:pPr>
        <w:ind w:left="473" w:hanging="217"/>
      </w:pPr>
      <w:rPr>
        <w:rFonts w:hint="default"/>
        <w:lang w:val="en-GB" w:eastAsia="en-GB" w:bidi="en-GB"/>
      </w:rPr>
    </w:lvl>
    <w:lvl w:ilvl="2" w:tplc="4218E522">
      <w:numFmt w:val="bullet"/>
      <w:lvlText w:val="•"/>
      <w:lvlJc w:val="left"/>
      <w:pPr>
        <w:ind w:left="646" w:hanging="217"/>
      </w:pPr>
      <w:rPr>
        <w:rFonts w:hint="default"/>
        <w:lang w:val="en-GB" w:eastAsia="en-GB" w:bidi="en-GB"/>
      </w:rPr>
    </w:lvl>
    <w:lvl w:ilvl="3" w:tplc="D09A45DA">
      <w:numFmt w:val="bullet"/>
      <w:lvlText w:val="•"/>
      <w:lvlJc w:val="left"/>
      <w:pPr>
        <w:ind w:left="819" w:hanging="217"/>
      </w:pPr>
      <w:rPr>
        <w:rFonts w:hint="default"/>
        <w:lang w:val="en-GB" w:eastAsia="en-GB" w:bidi="en-GB"/>
      </w:rPr>
    </w:lvl>
    <w:lvl w:ilvl="4" w:tplc="40E640EA">
      <w:numFmt w:val="bullet"/>
      <w:lvlText w:val="•"/>
      <w:lvlJc w:val="left"/>
      <w:pPr>
        <w:ind w:left="992" w:hanging="217"/>
      </w:pPr>
      <w:rPr>
        <w:rFonts w:hint="default"/>
        <w:lang w:val="en-GB" w:eastAsia="en-GB" w:bidi="en-GB"/>
      </w:rPr>
    </w:lvl>
    <w:lvl w:ilvl="5" w:tplc="A3F44CE6">
      <w:numFmt w:val="bullet"/>
      <w:lvlText w:val="•"/>
      <w:lvlJc w:val="left"/>
      <w:pPr>
        <w:ind w:left="1165" w:hanging="217"/>
      </w:pPr>
      <w:rPr>
        <w:rFonts w:hint="default"/>
        <w:lang w:val="en-GB" w:eastAsia="en-GB" w:bidi="en-GB"/>
      </w:rPr>
    </w:lvl>
    <w:lvl w:ilvl="6" w:tplc="9CB2C540">
      <w:numFmt w:val="bullet"/>
      <w:lvlText w:val="•"/>
      <w:lvlJc w:val="left"/>
      <w:pPr>
        <w:ind w:left="1338" w:hanging="217"/>
      </w:pPr>
      <w:rPr>
        <w:rFonts w:hint="default"/>
        <w:lang w:val="en-GB" w:eastAsia="en-GB" w:bidi="en-GB"/>
      </w:rPr>
    </w:lvl>
    <w:lvl w:ilvl="7" w:tplc="B72EE44E">
      <w:numFmt w:val="bullet"/>
      <w:lvlText w:val="•"/>
      <w:lvlJc w:val="left"/>
      <w:pPr>
        <w:ind w:left="1511" w:hanging="217"/>
      </w:pPr>
      <w:rPr>
        <w:rFonts w:hint="default"/>
        <w:lang w:val="en-GB" w:eastAsia="en-GB" w:bidi="en-GB"/>
      </w:rPr>
    </w:lvl>
    <w:lvl w:ilvl="8" w:tplc="2640B72A">
      <w:numFmt w:val="bullet"/>
      <w:lvlText w:val="•"/>
      <w:lvlJc w:val="left"/>
      <w:pPr>
        <w:ind w:left="1684" w:hanging="217"/>
      </w:pPr>
      <w:rPr>
        <w:rFonts w:hint="default"/>
        <w:lang w:val="en-GB" w:eastAsia="en-GB" w:bidi="en-GB"/>
      </w:rPr>
    </w:lvl>
  </w:abstractNum>
  <w:abstractNum w:abstractNumId="1011" w15:restartNumberingAfterBreak="0">
    <w:nsid w:val="5D0B4AD9"/>
    <w:multiLevelType w:val="hybridMultilevel"/>
    <w:tmpl w:val="6986AC30"/>
    <w:lvl w:ilvl="0" w:tplc="2024697E">
      <w:numFmt w:val="bullet"/>
      <w:lvlText w:val="•"/>
      <w:lvlJc w:val="left"/>
      <w:pPr>
        <w:ind w:left="301" w:hanging="217"/>
      </w:pPr>
      <w:rPr>
        <w:rFonts w:ascii="Arial" w:eastAsia="Arial" w:hAnsi="Arial" w:cs="Arial" w:hint="default"/>
        <w:color w:val="231F20"/>
        <w:w w:val="102"/>
        <w:sz w:val="17"/>
        <w:szCs w:val="17"/>
        <w:lang w:val="en-GB" w:eastAsia="en-GB" w:bidi="en-GB"/>
      </w:rPr>
    </w:lvl>
    <w:lvl w:ilvl="1" w:tplc="A84CEE1E">
      <w:numFmt w:val="bullet"/>
      <w:lvlText w:val="•"/>
      <w:lvlJc w:val="left"/>
      <w:pPr>
        <w:ind w:left="790" w:hanging="217"/>
      </w:pPr>
      <w:rPr>
        <w:rFonts w:hint="default"/>
        <w:lang w:val="en-GB" w:eastAsia="en-GB" w:bidi="en-GB"/>
      </w:rPr>
    </w:lvl>
    <w:lvl w:ilvl="2" w:tplc="A4780A72">
      <w:numFmt w:val="bullet"/>
      <w:lvlText w:val="•"/>
      <w:lvlJc w:val="left"/>
      <w:pPr>
        <w:ind w:left="1280" w:hanging="217"/>
      </w:pPr>
      <w:rPr>
        <w:rFonts w:hint="default"/>
        <w:lang w:val="en-GB" w:eastAsia="en-GB" w:bidi="en-GB"/>
      </w:rPr>
    </w:lvl>
    <w:lvl w:ilvl="3" w:tplc="FA40179C">
      <w:numFmt w:val="bullet"/>
      <w:lvlText w:val="•"/>
      <w:lvlJc w:val="left"/>
      <w:pPr>
        <w:ind w:left="1770" w:hanging="217"/>
      </w:pPr>
      <w:rPr>
        <w:rFonts w:hint="default"/>
        <w:lang w:val="en-GB" w:eastAsia="en-GB" w:bidi="en-GB"/>
      </w:rPr>
    </w:lvl>
    <w:lvl w:ilvl="4" w:tplc="FE0E226A">
      <w:numFmt w:val="bullet"/>
      <w:lvlText w:val="•"/>
      <w:lvlJc w:val="left"/>
      <w:pPr>
        <w:ind w:left="2260" w:hanging="217"/>
      </w:pPr>
      <w:rPr>
        <w:rFonts w:hint="default"/>
        <w:lang w:val="en-GB" w:eastAsia="en-GB" w:bidi="en-GB"/>
      </w:rPr>
    </w:lvl>
    <w:lvl w:ilvl="5" w:tplc="92ECE638">
      <w:numFmt w:val="bullet"/>
      <w:lvlText w:val="•"/>
      <w:lvlJc w:val="left"/>
      <w:pPr>
        <w:ind w:left="2751" w:hanging="217"/>
      </w:pPr>
      <w:rPr>
        <w:rFonts w:hint="default"/>
        <w:lang w:val="en-GB" w:eastAsia="en-GB" w:bidi="en-GB"/>
      </w:rPr>
    </w:lvl>
    <w:lvl w:ilvl="6" w:tplc="89B6772A">
      <w:numFmt w:val="bullet"/>
      <w:lvlText w:val="•"/>
      <w:lvlJc w:val="left"/>
      <w:pPr>
        <w:ind w:left="3241" w:hanging="217"/>
      </w:pPr>
      <w:rPr>
        <w:rFonts w:hint="default"/>
        <w:lang w:val="en-GB" w:eastAsia="en-GB" w:bidi="en-GB"/>
      </w:rPr>
    </w:lvl>
    <w:lvl w:ilvl="7" w:tplc="E35242BC">
      <w:numFmt w:val="bullet"/>
      <w:lvlText w:val="•"/>
      <w:lvlJc w:val="left"/>
      <w:pPr>
        <w:ind w:left="3731" w:hanging="217"/>
      </w:pPr>
      <w:rPr>
        <w:rFonts w:hint="default"/>
        <w:lang w:val="en-GB" w:eastAsia="en-GB" w:bidi="en-GB"/>
      </w:rPr>
    </w:lvl>
    <w:lvl w:ilvl="8" w:tplc="BBC05E5A">
      <w:numFmt w:val="bullet"/>
      <w:lvlText w:val="•"/>
      <w:lvlJc w:val="left"/>
      <w:pPr>
        <w:ind w:left="4221" w:hanging="217"/>
      </w:pPr>
      <w:rPr>
        <w:rFonts w:hint="default"/>
        <w:lang w:val="en-GB" w:eastAsia="en-GB" w:bidi="en-GB"/>
      </w:rPr>
    </w:lvl>
  </w:abstractNum>
  <w:abstractNum w:abstractNumId="1012" w15:restartNumberingAfterBreak="0">
    <w:nsid w:val="5D171742"/>
    <w:multiLevelType w:val="hybridMultilevel"/>
    <w:tmpl w:val="E55A6008"/>
    <w:lvl w:ilvl="0" w:tplc="989C155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2D4E31E">
      <w:numFmt w:val="bullet"/>
      <w:lvlText w:val="•"/>
      <w:lvlJc w:val="left"/>
      <w:pPr>
        <w:ind w:left="473" w:hanging="217"/>
      </w:pPr>
      <w:rPr>
        <w:rFonts w:hint="default"/>
        <w:lang w:val="en-GB" w:eastAsia="en-GB" w:bidi="en-GB"/>
      </w:rPr>
    </w:lvl>
    <w:lvl w:ilvl="2" w:tplc="88A6A9DA">
      <w:numFmt w:val="bullet"/>
      <w:lvlText w:val="•"/>
      <w:lvlJc w:val="left"/>
      <w:pPr>
        <w:ind w:left="646" w:hanging="217"/>
      </w:pPr>
      <w:rPr>
        <w:rFonts w:hint="default"/>
        <w:lang w:val="en-GB" w:eastAsia="en-GB" w:bidi="en-GB"/>
      </w:rPr>
    </w:lvl>
    <w:lvl w:ilvl="3" w:tplc="BDC27158">
      <w:numFmt w:val="bullet"/>
      <w:lvlText w:val="•"/>
      <w:lvlJc w:val="left"/>
      <w:pPr>
        <w:ind w:left="819" w:hanging="217"/>
      </w:pPr>
      <w:rPr>
        <w:rFonts w:hint="default"/>
        <w:lang w:val="en-GB" w:eastAsia="en-GB" w:bidi="en-GB"/>
      </w:rPr>
    </w:lvl>
    <w:lvl w:ilvl="4" w:tplc="CCC41E10">
      <w:numFmt w:val="bullet"/>
      <w:lvlText w:val="•"/>
      <w:lvlJc w:val="left"/>
      <w:pPr>
        <w:ind w:left="992" w:hanging="217"/>
      </w:pPr>
      <w:rPr>
        <w:rFonts w:hint="default"/>
        <w:lang w:val="en-GB" w:eastAsia="en-GB" w:bidi="en-GB"/>
      </w:rPr>
    </w:lvl>
    <w:lvl w:ilvl="5" w:tplc="9FC24D9A">
      <w:numFmt w:val="bullet"/>
      <w:lvlText w:val="•"/>
      <w:lvlJc w:val="left"/>
      <w:pPr>
        <w:ind w:left="1165" w:hanging="217"/>
      </w:pPr>
      <w:rPr>
        <w:rFonts w:hint="default"/>
        <w:lang w:val="en-GB" w:eastAsia="en-GB" w:bidi="en-GB"/>
      </w:rPr>
    </w:lvl>
    <w:lvl w:ilvl="6" w:tplc="8BF6D29C">
      <w:numFmt w:val="bullet"/>
      <w:lvlText w:val="•"/>
      <w:lvlJc w:val="left"/>
      <w:pPr>
        <w:ind w:left="1338" w:hanging="217"/>
      </w:pPr>
      <w:rPr>
        <w:rFonts w:hint="default"/>
        <w:lang w:val="en-GB" w:eastAsia="en-GB" w:bidi="en-GB"/>
      </w:rPr>
    </w:lvl>
    <w:lvl w:ilvl="7" w:tplc="46DA93F4">
      <w:numFmt w:val="bullet"/>
      <w:lvlText w:val="•"/>
      <w:lvlJc w:val="left"/>
      <w:pPr>
        <w:ind w:left="1511" w:hanging="217"/>
      </w:pPr>
      <w:rPr>
        <w:rFonts w:hint="default"/>
        <w:lang w:val="en-GB" w:eastAsia="en-GB" w:bidi="en-GB"/>
      </w:rPr>
    </w:lvl>
    <w:lvl w:ilvl="8" w:tplc="6E12214C">
      <w:numFmt w:val="bullet"/>
      <w:lvlText w:val="•"/>
      <w:lvlJc w:val="left"/>
      <w:pPr>
        <w:ind w:left="1684" w:hanging="217"/>
      </w:pPr>
      <w:rPr>
        <w:rFonts w:hint="default"/>
        <w:lang w:val="en-GB" w:eastAsia="en-GB" w:bidi="en-GB"/>
      </w:rPr>
    </w:lvl>
  </w:abstractNum>
  <w:abstractNum w:abstractNumId="1013" w15:restartNumberingAfterBreak="0">
    <w:nsid w:val="5D2225CE"/>
    <w:multiLevelType w:val="hybridMultilevel"/>
    <w:tmpl w:val="0D68C140"/>
    <w:lvl w:ilvl="0" w:tplc="4F665E2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9EB64368">
      <w:numFmt w:val="bullet"/>
      <w:lvlText w:val="•"/>
      <w:lvlJc w:val="left"/>
      <w:pPr>
        <w:ind w:left="473" w:hanging="217"/>
      </w:pPr>
      <w:rPr>
        <w:rFonts w:hint="default"/>
        <w:lang w:val="en-GB" w:eastAsia="en-GB" w:bidi="en-GB"/>
      </w:rPr>
    </w:lvl>
    <w:lvl w:ilvl="2" w:tplc="747E808C">
      <w:numFmt w:val="bullet"/>
      <w:lvlText w:val="•"/>
      <w:lvlJc w:val="left"/>
      <w:pPr>
        <w:ind w:left="646" w:hanging="217"/>
      </w:pPr>
      <w:rPr>
        <w:rFonts w:hint="default"/>
        <w:lang w:val="en-GB" w:eastAsia="en-GB" w:bidi="en-GB"/>
      </w:rPr>
    </w:lvl>
    <w:lvl w:ilvl="3" w:tplc="1FE299D8">
      <w:numFmt w:val="bullet"/>
      <w:lvlText w:val="•"/>
      <w:lvlJc w:val="left"/>
      <w:pPr>
        <w:ind w:left="819" w:hanging="217"/>
      </w:pPr>
      <w:rPr>
        <w:rFonts w:hint="default"/>
        <w:lang w:val="en-GB" w:eastAsia="en-GB" w:bidi="en-GB"/>
      </w:rPr>
    </w:lvl>
    <w:lvl w:ilvl="4" w:tplc="8DDA49A0">
      <w:numFmt w:val="bullet"/>
      <w:lvlText w:val="•"/>
      <w:lvlJc w:val="left"/>
      <w:pPr>
        <w:ind w:left="992" w:hanging="217"/>
      </w:pPr>
      <w:rPr>
        <w:rFonts w:hint="default"/>
        <w:lang w:val="en-GB" w:eastAsia="en-GB" w:bidi="en-GB"/>
      </w:rPr>
    </w:lvl>
    <w:lvl w:ilvl="5" w:tplc="CC06C016">
      <w:numFmt w:val="bullet"/>
      <w:lvlText w:val="•"/>
      <w:lvlJc w:val="left"/>
      <w:pPr>
        <w:ind w:left="1165" w:hanging="217"/>
      </w:pPr>
      <w:rPr>
        <w:rFonts w:hint="default"/>
        <w:lang w:val="en-GB" w:eastAsia="en-GB" w:bidi="en-GB"/>
      </w:rPr>
    </w:lvl>
    <w:lvl w:ilvl="6" w:tplc="B38231EA">
      <w:numFmt w:val="bullet"/>
      <w:lvlText w:val="•"/>
      <w:lvlJc w:val="left"/>
      <w:pPr>
        <w:ind w:left="1338" w:hanging="217"/>
      </w:pPr>
      <w:rPr>
        <w:rFonts w:hint="default"/>
        <w:lang w:val="en-GB" w:eastAsia="en-GB" w:bidi="en-GB"/>
      </w:rPr>
    </w:lvl>
    <w:lvl w:ilvl="7" w:tplc="4C0266F4">
      <w:numFmt w:val="bullet"/>
      <w:lvlText w:val="•"/>
      <w:lvlJc w:val="left"/>
      <w:pPr>
        <w:ind w:left="1511" w:hanging="217"/>
      </w:pPr>
      <w:rPr>
        <w:rFonts w:hint="default"/>
        <w:lang w:val="en-GB" w:eastAsia="en-GB" w:bidi="en-GB"/>
      </w:rPr>
    </w:lvl>
    <w:lvl w:ilvl="8" w:tplc="3DC066F8">
      <w:numFmt w:val="bullet"/>
      <w:lvlText w:val="•"/>
      <w:lvlJc w:val="left"/>
      <w:pPr>
        <w:ind w:left="1684" w:hanging="217"/>
      </w:pPr>
      <w:rPr>
        <w:rFonts w:hint="default"/>
        <w:lang w:val="en-GB" w:eastAsia="en-GB" w:bidi="en-GB"/>
      </w:rPr>
    </w:lvl>
  </w:abstractNum>
  <w:abstractNum w:abstractNumId="1014" w15:restartNumberingAfterBreak="0">
    <w:nsid w:val="5D456809"/>
    <w:multiLevelType w:val="hybridMultilevel"/>
    <w:tmpl w:val="B9347E20"/>
    <w:lvl w:ilvl="0" w:tplc="13AAC04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0D0FAC4">
      <w:numFmt w:val="bullet"/>
      <w:lvlText w:val="•"/>
      <w:lvlJc w:val="left"/>
      <w:pPr>
        <w:ind w:left="1061" w:hanging="217"/>
      </w:pPr>
      <w:rPr>
        <w:rFonts w:hint="default"/>
        <w:lang w:val="en-GB" w:eastAsia="en-GB" w:bidi="en-GB"/>
      </w:rPr>
    </w:lvl>
    <w:lvl w:ilvl="2" w:tplc="B8D8B0E0">
      <w:numFmt w:val="bullet"/>
      <w:lvlText w:val="•"/>
      <w:lvlJc w:val="left"/>
      <w:pPr>
        <w:ind w:left="1823" w:hanging="217"/>
      </w:pPr>
      <w:rPr>
        <w:rFonts w:hint="default"/>
        <w:lang w:val="en-GB" w:eastAsia="en-GB" w:bidi="en-GB"/>
      </w:rPr>
    </w:lvl>
    <w:lvl w:ilvl="3" w:tplc="F01A9556">
      <w:numFmt w:val="bullet"/>
      <w:lvlText w:val="•"/>
      <w:lvlJc w:val="left"/>
      <w:pPr>
        <w:ind w:left="2585" w:hanging="217"/>
      </w:pPr>
      <w:rPr>
        <w:rFonts w:hint="default"/>
        <w:lang w:val="en-GB" w:eastAsia="en-GB" w:bidi="en-GB"/>
      </w:rPr>
    </w:lvl>
    <w:lvl w:ilvl="4" w:tplc="B24E0E28">
      <w:numFmt w:val="bullet"/>
      <w:lvlText w:val="•"/>
      <w:lvlJc w:val="left"/>
      <w:pPr>
        <w:ind w:left="3346" w:hanging="217"/>
      </w:pPr>
      <w:rPr>
        <w:rFonts w:hint="default"/>
        <w:lang w:val="en-GB" w:eastAsia="en-GB" w:bidi="en-GB"/>
      </w:rPr>
    </w:lvl>
    <w:lvl w:ilvl="5" w:tplc="67860BCC">
      <w:numFmt w:val="bullet"/>
      <w:lvlText w:val="•"/>
      <w:lvlJc w:val="left"/>
      <w:pPr>
        <w:ind w:left="4108" w:hanging="217"/>
      </w:pPr>
      <w:rPr>
        <w:rFonts w:hint="default"/>
        <w:lang w:val="en-GB" w:eastAsia="en-GB" w:bidi="en-GB"/>
      </w:rPr>
    </w:lvl>
    <w:lvl w:ilvl="6" w:tplc="0FE058C2">
      <w:numFmt w:val="bullet"/>
      <w:lvlText w:val="•"/>
      <w:lvlJc w:val="left"/>
      <w:pPr>
        <w:ind w:left="4870" w:hanging="217"/>
      </w:pPr>
      <w:rPr>
        <w:rFonts w:hint="default"/>
        <w:lang w:val="en-GB" w:eastAsia="en-GB" w:bidi="en-GB"/>
      </w:rPr>
    </w:lvl>
    <w:lvl w:ilvl="7" w:tplc="9C920CD4">
      <w:numFmt w:val="bullet"/>
      <w:lvlText w:val="•"/>
      <w:lvlJc w:val="left"/>
      <w:pPr>
        <w:ind w:left="5631" w:hanging="217"/>
      </w:pPr>
      <w:rPr>
        <w:rFonts w:hint="default"/>
        <w:lang w:val="en-GB" w:eastAsia="en-GB" w:bidi="en-GB"/>
      </w:rPr>
    </w:lvl>
    <w:lvl w:ilvl="8" w:tplc="991E7D0A">
      <w:numFmt w:val="bullet"/>
      <w:lvlText w:val="•"/>
      <w:lvlJc w:val="left"/>
      <w:pPr>
        <w:ind w:left="6393" w:hanging="217"/>
      </w:pPr>
      <w:rPr>
        <w:rFonts w:hint="default"/>
        <w:lang w:val="en-GB" w:eastAsia="en-GB" w:bidi="en-GB"/>
      </w:rPr>
    </w:lvl>
  </w:abstractNum>
  <w:abstractNum w:abstractNumId="1015" w15:restartNumberingAfterBreak="0">
    <w:nsid w:val="5D484CA7"/>
    <w:multiLevelType w:val="hybridMultilevel"/>
    <w:tmpl w:val="E58CDA44"/>
    <w:lvl w:ilvl="0" w:tplc="23E681FA">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F02C567A">
      <w:numFmt w:val="bullet"/>
      <w:lvlText w:val="•"/>
      <w:lvlJc w:val="left"/>
      <w:pPr>
        <w:ind w:left="473" w:hanging="217"/>
      </w:pPr>
      <w:rPr>
        <w:rFonts w:hint="default"/>
        <w:lang w:val="en-GB" w:eastAsia="en-GB" w:bidi="en-GB"/>
      </w:rPr>
    </w:lvl>
    <w:lvl w:ilvl="2" w:tplc="0336804E">
      <w:numFmt w:val="bullet"/>
      <w:lvlText w:val="•"/>
      <w:lvlJc w:val="left"/>
      <w:pPr>
        <w:ind w:left="646" w:hanging="217"/>
      </w:pPr>
      <w:rPr>
        <w:rFonts w:hint="default"/>
        <w:lang w:val="en-GB" w:eastAsia="en-GB" w:bidi="en-GB"/>
      </w:rPr>
    </w:lvl>
    <w:lvl w:ilvl="3" w:tplc="D968E6D8">
      <w:numFmt w:val="bullet"/>
      <w:lvlText w:val="•"/>
      <w:lvlJc w:val="left"/>
      <w:pPr>
        <w:ind w:left="819" w:hanging="217"/>
      </w:pPr>
      <w:rPr>
        <w:rFonts w:hint="default"/>
        <w:lang w:val="en-GB" w:eastAsia="en-GB" w:bidi="en-GB"/>
      </w:rPr>
    </w:lvl>
    <w:lvl w:ilvl="4" w:tplc="AF781D56">
      <w:numFmt w:val="bullet"/>
      <w:lvlText w:val="•"/>
      <w:lvlJc w:val="left"/>
      <w:pPr>
        <w:ind w:left="992" w:hanging="217"/>
      </w:pPr>
      <w:rPr>
        <w:rFonts w:hint="default"/>
        <w:lang w:val="en-GB" w:eastAsia="en-GB" w:bidi="en-GB"/>
      </w:rPr>
    </w:lvl>
    <w:lvl w:ilvl="5" w:tplc="DF38F1DE">
      <w:numFmt w:val="bullet"/>
      <w:lvlText w:val="•"/>
      <w:lvlJc w:val="left"/>
      <w:pPr>
        <w:ind w:left="1165" w:hanging="217"/>
      </w:pPr>
      <w:rPr>
        <w:rFonts w:hint="default"/>
        <w:lang w:val="en-GB" w:eastAsia="en-GB" w:bidi="en-GB"/>
      </w:rPr>
    </w:lvl>
    <w:lvl w:ilvl="6" w:tplc="71DC7DD2">
      <w:numFmt w:val="bullet"/>
      <w:lvlText w:val="•"/>
      <w:lvlJc w:val="left"/>
      <w:pPr>
        <w:ind w:left="1338" w:hanging="217"/>
      </w:pPr>
      <w:rPr>
        <w:rFonts w:hint="default"/>
        <w:lang w:val="en-GB" w:eastAsia="en-GB" w:bidi="en-GB"/>
      </w:rPr>
    </w:lvl>
    <w:lvl w:ilvl="7" w:tplc="5BD43556">
      <w:numFmt w:val="bullet"/>
      <w:lvlText w:val="•"/>
      <w:lvlJc w:val="left"/>
      <w:pPr>
        <w:ind w:left="1511" w:hanging="217"/>
      </w:pPr>
      <w:rPr>
        <w:rFonts w:hint="default"/>
        <w:lang w:val="en-GB" w:eastAsia="en-GB" w:bidi="en-GB"/>
      </w:rPr>
    </w:lvl>
    <w:lvl w:ilvl="8" w:tplc="711846D4">
      <w:numFmt w:val="bullet"/>
      <w:lvlText w:val="•"/>
      <w:lvlJc w:val="left"/>
      <w:pPr>
        <w:ind w:left="1684" w:hanging="217"/>
      </w:pPr>
      <w:rPr>
        <w:rFonts w:hint="default"/>
        <w:lang w:val="en-GB" w:eastAsia="en-GB" w:bidi="en-GB"/>
      </w:rPr>
    </w:lvl>
  </w:abstractNum>
  <w:abstractNum w:abstractNumId="1016" w15:restartNumberingAfterBreak="0">
    <w:nsid w:val="5D51479D"/>
    <w:multiLevelType w:val="hybridMultilevel"/>
    <w:tmpl w:val="1E62EF16"/>
    <w:lvl w:ilvl="0" w:tplc="B70860D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FEC23FC">
      <w:numFmt w:val="bullet"/>
      <w:lvlText w:val="•"/>
      <w:lvlJc w:val="left"/>
      <w:pPr>
        <w:ind w:left="473" w:hanging="217"/>
      </w:pPr>
      <w:rPr>
        <w:rFonts w:hint="default"/>
        <w:lang w:val="en-GB" w:eastAsia="en-GB" w:bidi="en-GB"/>
      </w:rPr>
    </w:lvl>
    <w:lvl w:ilvl="2" w:tplc="C35C4F78">
      <w:numFmt w:val="bullet"/>
      <w:lvlText w:val="•"/>
      <w:lvlJc w:val="left"/>
      <w:pPr>
        <w:ind w:left="646" w:hanging="217"/>
      </w:pPr>
      <w:rPr>
        <w:rFonts w:hint="default"/>
        <w:lang w:val="en-GB" w:eastAsia="en-GB" w:bidi="en-GB"/>
      </w:rPr>
    </w:lvl>
    <w:lvl w:ilvl="3" w:tplc="0BB2E996">
      <w:numFmt w:val="bullet"/>
      <w:lvlText w:val="•"/>
      <w:lvlJc w:val="left"/>
      <w:pPr>
        <w:ind w:left="819" w:hanging="217"/>
      </w:pPr>
      <w:rPr>
        <w:rFonts w:hint="default"/>
        <w:lang w:val="en-GB" w:eastAsia="en-GB" w:bidi="en-GB"/>
      </w:rPr>
    </w:lvl>
    <w:lvl w:ilvl="4" w:tplc="C07876F8">
      <w:numFmt w:val="bullet"/>
      <w:lvlText w:val="•"/>
      <w:lvlJc w:val="left"/>
      <w:pPr>
        <w:ind w:left="992" w:hanging="217"/>
      </w:pPr>
      <w:rPr>
        <w:rFonts w:hint="default"/>
        <w:lang w:val="en-GB" w:eastAsia="en-GB" w:bidi="en-GB"/>
      </w:rPr>
    </w:lvl>
    <w:lvl w:ilvl="5" w:tplc="813A2BCC">
      <w:numFmt w:val="bullet"/>
      <w:lvlText w:val="•"/>
      <w:lvlJc w:val="left"/>
      <w:pPr>
        <w:ind w:left="1165" w:hanging="217"/>
      </w:pPr>
      <w:rPr>
        <w:rFonts w:hint="default"/>
        <w:lang w:val="en-GB" w:eastAsia="en-GB" w:bidi="en-GB"/>
      </w:rPr>
    </w:lvl>
    <w:lvl w:ilvl="6" w:tplc="A9B64242">
      <w:numFmt w:val="bullet"/>
      <w:lvlText w:val="•"/>
      <w:lvlJc w:val="left"/>
      <w:pPr>
        <w:ind w:left="1338" w:hanging="217"/>
      </w:pPr>
      <w:rPr>
        <w:rFonts w:hint="default"/>
        <w:lang w:val="en-GB" w:eastAsia="en-GB" w:bidi="en-GB"/>
      </w:rPr>
    </w:lvl>
    <w:lvl w:ilvl="7" w:tplc="6AFA5AAA">
      <w:numFmt w:val="bullet"/>
      <w:lvlText w:val="•"/>
      <w:lvlJc w:val="left"/>
      <w:pPr>
        <w:ind w:left="1511" w:hanging="217"/>
      </w:pPr>
      <w:rPr>
        <w:rFonts w:hint="default"/>
        <w:lang w:val="en-GB" w:eastAsia="en-GB" w:bidi="en-GB"/>
      </w:rPr>
    </w:lvl>
    <w:lvl w:ilvl="8" w:tplc="88D26DBC">
      <w:numFmt w:val="bullet"/>
      <w:lvlText w:val="•"/>
      <w:lvlJc w:val="left"/>
      <w:pPr>
        <w:ind w:left="1684" w:hanging="217"/>
      </w:pPr>
      <w:rPr>
        <w:rFonts w:hint="default"/>
        <w:lang w:val="en-GB" w:eastAsia="en-GB" w:bidi="en-GB"/>
      </w:rPr>
    </w:lvl>
  </w:abstractNum>
  <w:abstractNum w:abstractNumId="1017" w15:restartNumberingAfterBreak="0">
    <w:nsid w:val="5DA67C72"/>
    <w:multiLevelType w:val="hybridMultilevel"/>
    <w:tmpl w:val="DA14A964"/>
    <w:lvl w:ilvl="0" w:tplc="E440EDF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A16D326">
      <w:numFmt w:val="bullet"/>
      <w:lvlText w:val="•"/>
      <w:lvlJc w:val="left"/>
      <w:pPr>
        <w:ind w:left="439" w:hanging="217"/>
      </w:pPr>
      <w:rPr>
        <w:rFonts w:hint="default"/>
        <w:lang w:val="en-GB" w:eastAsia="en-GB" w:bidi="en-GB"/>
      </w:rPr>
    </w:lvl>
    <w:lvl w:ilvl="2" w:tplc="F17602C6">
      <w:numFmt w:val="bullet"/>
      <w:lvlText w:val="•"/>
      <w:lvlJc w:val="left"/>
      <w:pPr>
        <w:ind w:left="578" w:hanging="217"/>
      </w:pPr>
      <w:rPr>
        <w:rFonts w:hint="default"/>
        <w:lang w:val="en-GB" w:eastAsia="en-GB" w:bidi="en-GB"/>
      </w:rPr>
    </w:lvl>
    <w:lvl w:ilvl="3" w:tplc="C62E5C90">
      <w:numFmt w:val="bullet"/>
      <w:lvlText w:val="•"/>
      <w:lvlJc w:val="left"/>
      <w:pPr>
        <w:ind w:left="717" w:hanging="217"/>
      </w:pPr>
      <w:rPr>
        <w:rFonts w:hint="default"/>
        <w:lang w:val="en-GB" w:eastAsia="en-GB" w:bidi="en-GB"/>
      </w:rPr>
    </w:lvl>
    <w:lvl w:ilvl="4" w:tplc="9516DB54">
      <w:numFmt w:val="bullet"/>
      <w:lvlText w:val="•"/>
      <w:lvlJc w:val="left"/>
      <w:pPr>
        <w:ind w:left="856" w:hanging="217"/>
      </w:pPr>
      <w:rPr>
        <w:rFonts w:hint="default"/>
        <w:lang w:val="en-GB" w:eastAsia="en-GB" w:bidi="en-GB"/>
      </w:rPr>
    </w:lvl>
    <w:lvl w:ilvl="5" w:tplc="D73EF15A">
      <w:numFmt w:val="bullet"/>
      <w:lvlText w:val="•"/>
      <w:lvlJc w:val="left"/>
      <w:pPr>
        <w:ind w:left="995" w:hanging="217"/>
      </w:pPr>
      <w:rPr>
        <w:rFonts w:hint="default"/>
        <w:lang w:val="en-GB" w:eastAsia="en-GB" w:bidi="en-GB"/>
      </w:rPr>
    </w:lvl>
    <w:lvl w:ilvl="6" w:tplc="98CAEE22">
      <w:numFmt w:val="bullet"/>
      <w:lvlText w:val="•"/>
      <w:lvlJc w:val="left"/>
      <w:pPr>
        <w:ind w:left="1134" w:hanging="217"/>
      </w:pPr>
      <w:rPr>
        <w:rFonts w:hint="default"/>
        <w:lang w:val="en-GB" w:eastAsia="en-GB" w:bidi="en-GB"/>
      </w:rPr>
    </w:lvl>
    <w:lvl w:ilvl="7" w:tplc="3614FA7C">
      <w:numFmt w:val="bullet"/>
      <w:lvlText w:val="•"/>
      <w:lvlJc w:val="left"/>
      <w:pPr>
        <w:ind w:left="1273" w:hanging="217"/>
      </w:pPr>
      <w:rPr>
        <w:rFonts w:hint="default"/>
        <w:lang w:val="en-GB" w:eastAsia="en-GB" w:bidi="en-GB"/>
      </w:rPr>
    </w:lvl>
    <w:lvl w:ilvl="8" w:tplc="E884D4A6">
      <w:numFmt w:val="bullet"/>
      <w:lvlText w:val="•"/>
      <w:lvlJc w:val="left"/>
      <w:pPr>
        <w:ind w:left="1412" w:hanging="217"/>
      </w:pPr>
      <w:rPr>
        <w:rFonts w:hint="default"/>
        <w:lang w:val="en-GB" w:eastAsia="en-GB" w:bidi="en-GB"/>
      </w:rPr>
    </w:lvl>
  </w:abstractNum>
  <w:abstractNum w:abstractNumId="1018" w15:restartNumberingAfterBreak="0">
    <w:nsid w:val="5DBF21FE"/>
    <w:multiLevelType w:val="hybridMultilevel"/>
    <w:tmpl w:val="81DC62E4"/>
    <w:lvl w:ilvl="0" w:tplc="4EAECC26">
      <w:numFmt w:val="bullet"/>
      <w:lvlText w:val="•"/>
      <w:lvlJc w:val="left"/>
      <w:pPr>
        <w:ind w:left="305" w:hanging="217"/>
      </w:pPr>
      <w:rPr>
        <w:rFonts w:ascii="Arial" w:eastAsia="Arial" w:hAnsi="Arial" w:cs="Arial" w:hint="default"/>
        <w:color w:val="231F20"/>
        <w:spacing w:val="-14"/>
        <w:w w:val="100"/>
        <w:sz w:val="18"/>
        <w:szCs w:val="18"/>
        <w:lang w:val="en-GB" w:eastAsia="en-GB" w:bidi="en-GB"/>
      </w:rPr>
    </w:lvl>
    <w:lvl w:ilvl="1" w:tplc="5EC404B4">
      <w:numFmt w:val="bullet"/>
      <w:lvlText w:val="•"/>
      <w:lvlJc w:val="left"/>
      <w:pPr>
        <w:ind w:left="441" w:hanging="217"/>
      </w:pPr>
      <w:rPr>
        <w:rFonts w:hint="default"/>
        <w:lang w:val="en-GB" w:eastAsia="en-GB" w:bidi="en-GB"/>
      </w:rPr>
    </w:lvl>
    <w:lvl w:ilvl="2" w:tplc="D44ABD76">
      <w:numFmt w:val="bullet"/>
      <w:lvlText w:val="•"/>
      <w:lvlJc w:val="left"/>
      <w:pPr>
        <w:ind w:left="583" w:hanging="217"/>
      </w:pPr>
      <w:rPr>
        <w:rFonts w:hint="default"/>
        <w:lang w:val="en-GB" w:eastAsia="en-GB" w:bidi="en-GB"/>
      </w:rPr>
    </w:lvl>
    <w:lvl w:ilvl="3" w:tplc="F5FA111E">
      <w:numFmt w:val="bullet"/>
      <w:lvlText w:val="•"/>
      <w:lvlJc w:val="left"/>
      <w:pPr>
        <w:ind w:left="725" w:hanging="217"/>
      </w:pPr>
      <w:rPr>
        <w:rFonts w:hint="default"/>
        <w:lang w:val="en-GB" w:eastAsia="en-GB" w:bidi="en-GB"/>
      </w:rPr>
    </w:lvl>
    <w:lvl w:ilvl="4" w:tplc="FB5EE144">
      <w:numFmt w:val="bullet"/>
      <w:lvlText w:val="•"/>
      <w:lvlJc w:val="left"/>
      <w:pPr>
        <w:ind w:left="867" w:hanging="217"/>
      </w:pPr>
      <w:rPr>
        <w:rFonts w:hint="default"/>
        <w:lang w:val="en-GB" w:eastAsia="en-GB" w:bidi="en-GB"/>
      </w:rPr>
    </w:lvl>
    <w:lvl w:ilvl="5" w:tplc="AAE80190">
      <w:numFmt w:val="bullet"/>
      <w:lvlText w:val="•"/>
      <w:lvlJc w:val="left"/>
      <w:pPr>
        <w:ind w:left="1009" w:hanging="217"/>
      </w:pPr>
      <w:rPr>
        <w:rFonts w:hint="default"/>
        <w:lang w:val="en-GB" w:eastAsia="en-GB" w:bidi="en-GB"/>
      </w:rPr>
    </w:lvl>
    <w:lvl w:ilvl="6" w:tplc="6DFAAC7C">
      <w:numFmt w:val="bullet"/>
      <w:lvlText w:val="•"/>
      <w:lvlJc w:val="left"/>
      <w:pPr>
        <w:ind w:left="1151" w:hanging="217"/>
      </w:pPr>
      <w:rPr>
        <w:rFonts w:hint="default"/>
        <w:lang w:val="en-GB" w:eastAsia="en-GB" w:bidi="en-GB"/>
      </w:rPr>
    </w:lvl>
    <w:lvl w:ilvl="7" w:tplc="7FFC7D80">
      <w:numFmt w:val="bullet"/>
      <w:lvlText w:val="•"/>
      <w:lvlJc w:val="left"/>
      <w:pPr>
        <w:ind w:left="1293" w:hanging="217"/>
      </w:pPr>
      <w:rPr>
        <w:rFonts w:hint="default"/>
        <w:lang w:val="en-GB" w:eastAsia="en-GB" w:bidi="en-GB"/>
      </w:rPr>
    </w:lvl>
    <w:lvl w:ilvl="8" w:tplc="1F8C98D2">
      <w:numFmt w:val="bullet"/>
      <w:lvlText w:val="•"/>
      <w:lvlJc w:val="left"/>
      <w:pPr>
        <w:ind w:left="1435" w:hanging="217"/>
      </w:pPr>
      <w:rPr>
        <w:rFonts w:hint="default"/>
        <w:lang w:val="en-GB" w:eastAsia="en-GB" w:bidi="en-GB"/>
      </w:rPr>
    </w:lvl>
  </w:abstractNum>
  <w:abstractNum w:abstractNumId="1019" w15:restartNumberingAfterBreak="0">
    <w:nsid w:val="5DE14118"/>
    <w:multiLevelType w:val="hybridMultilevel"/>
    <w:tmpl w:val="FC26EC48"/>
    <w:lvl w:ilvl="0" w:tplc="3D9E380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C3A394E">
      <w:numFmt w:val="bullet"/>
      <w:lvlText w:val="•"/>
      <w:lvlJc w:val="left"/>
      <w:pPr>
        <w:ind w:left="881" w:hanging="217"/>
      </w:pPr>
      <w:rPr>
        <w:rFonts w:hint="default"/>
        <w:lang w:val="en-GB" w:eastAsia="en-GB" w:bidi="en-GB"/>
      </w:rPr>
    </w:lvl>
    <w:lvl w:ilvl="2" w:tplc="B434DB92">
      <w:numFmt w:val="bullet"/>
      <w:lvlText w:val="•"/>
      <w:lvlJc w:val="left"/>
      <w:pPr>
        <w:ind w:left="1462" w:hanging="217"/>
      </w:pPr>
      <w:rPr>
        <w:rFonts w:hint="default"/>
        <w:lang w:val="en-GB" w:eastAsia="en-GB" w:bidi="en-GB"/>
      </w:rPr>
    </w:lvl>
    <w:lvl w:ilvl="3" w:tplc="EC588BAE">
      <w:numFmt w:val="bullet"/>
      <w:lvlText w:val="•"/>
      <w:lvlJc w:val="left"/>
      <w:pPr>
        <w:ind w:left="2043" w:hanging="217"/>
      </w:pPr>
      <w:rPr>
        <w:rFonts w:hint="default"/>
        <w:lang w:val="en-GB" w:eastAsia="en-GB" w:bidi="en-GB"/>
      </w:rPr>
    </w:lvl>
    <w:lvl w:ilvl="4" w:tplc="F3F0F11A">
      <w:numFmt w:val="bullet"/>
      <w:lvlText w:val="•"/>
      <w:lvlJc w:val="left"/>
      <w:pPr>
        <w:ind w:left="2625" w:hanging="217"/>
      </w:pPr>
      <w:rPr>
        <w:rFonts w:hint="default"/>
        <w:lang w:val="en-GB" w:eastAsia="en-GB" w:bidi="en-GB"/>
      </w:rPr>
    </w:lvl>
    <w:lvl w:ilvl="5" w:tplc="0FE666A4">
      <w:numFmt w:val="bullet"/>
      <w:lvlText w:val="•"/>
      <w:lvlJc w:val="left"/>
      <w:pPr>
        <w:ind w:left="3206" w:hanging="217"/>
      </w:pPr>
      <w:rPr>
        <w:rFonts w:hint="default"/>
        <w:lang w:val="en-GB" w:eastAsia="en-GB" w:bidi="en-GB"/>
      </w:rPr>
    </w:lvl>
    <w:lvl w:ilvl="6" w:tplc="18A48FE8">
      <w:numFmt w:val="bullet"/>
      <w:lvlText w:val="•"/>
      <w:lvlJc w:val="left"/>
      <w:pPr>
        <w:ind w:left="3787" w:hanging="217"/>
      </w:pPr>
      <w:rPr>
        <w:rFonts w:hint="default"/>
        <w:lang w:val="en-GB" w:eastAsia="en-GB" w:bidi="en-GB"/>
      </w:rPr>
    </w:lvl>
    <w:lvl w:ilvl="7" w:tplc="2834AF82">
      <w:numFmt w:val="bullet"/>
      <w:lvlText w:val="•"/>
      <w:lvlJc w:val="left"/>
      <w:pPr>
        <w:ind w:left="4369" w:hanging="217"/>
      </w:pPr>
      <w:rPr>
        <w:rFonts w:hint="default"/>
        <w:lang w:val="en-GB" w:eastAsia="en-GB" w:bidi="en-GB"/>
      </w:rPr>
    </w:lvl>
    <w:lvl w:ilvl="8" w:tplc="BF444B7A">
      <w:numFmt w:val="bullet"/>
      <w:lvlText w:val="•"/>
      <w:lvlJc w:val="left"/>
      <w:pPr>
        <w:ind w:left="4950" w:hanging="217"/>
      </w:pPr>
      <w:rPr>
        <w:rFonts w:hint="default"/>
        <w:lang w:val="en-GB" w:eastAsia="en-GB" w:bidi="en-GB"/>
      </w:rPr>
    </w:lvl>
  </w:abstractNum>
  <w:abstractNum w:abstractNumId="1020" w15:restartNumberingAfterBreak="0">
    <w:nsid w:val="5DF70FD0"/>
    <w:multiLevelType w:val="hybridMultilevel"/>
    <w:tmpl w:val="8BFA5694"/>
    <w:lvl w:ilvl="0" w:tplc="E1286510">
      <w:numFmt w:val="bullet"/>
      <w:lvlText w:val="•"/>
      <w:lvlJc w:val="left"/>
      <w:pPr>
        <w:ind w:left="305" w:hanging="217"/>
      </w:pPr>
      <w:rPr>
        <w:rFonts w:ascii="Arial" w:eastAsia="Arial" w:hAnsi="Arial" w:cs="Arial" w:hint="default"/>
        <w:color w:val="231F20"/>
        <w:spacing w:val="-17"/>
        <w:w w:val="100"/>
        <w:sz w:val="18"/>
        <w:szCs w:val="18"/>
        <w:lang w:val="en-GB" w:eastAsia="en-GB" w:bidi="en-GB"/>
      </w:rPr>
    </w:lvl>
    <w:lvl w:ilvl="1" w:tplc="7B2E15E0">
      <w:numFmt w:val="bullet"/>
      <w:lvlText w:val="•"/>
      <w:lvlJc w:val="left"/>
      <w:pPr>
        <w:ind w:left="444" w:hanging="217"/>
      </w:pPr>
      <w:rPr>
        <w:rFonts w:hint="default"/>
        <w:lang w:val="en-GB" w:eastAsia="en-GB" w:bidi="en-GB"/>
      </w:rPr>
    </w:lvl>
    <w:lvl w:ilvl="2" w:tplc="B998AECC">
      <w:numFmt w:val="bullet"/>
      <w:lvlText w:val="•"/>
      <w:lvlJc w:val="left"/>
      <w:pPr>
        <w:ind w:left="589" w:hanging="217"/>
      </w:pPr>
      <w:rPr>
        <w:rFonts w:hint="default"/>
        <w:lang w:val="en-GB" w:eastAsia="en-GB" w:bidi="en-GB"/>
      </w:rPr>
    </w:lvl>
    <w:lvl w:ilvl="3" w:tplc="4F04A038">
      <w:numFmt w:val="bullet"/>
      <w:lvlText w:val="•"/>
      <w:lvlJc w:val="left"/>
      <w:pPr>
        <w:ind w:left="734" w:hanging="217"/>
      </w:pPr>
      <w:rPr>
        <w:rFonts w:hint="default"/>
        <w:lang w:val="en-GB" w:eastAsia="en-GB" w:bidi="en-GB"/>
      </w:rPr>
    </w:lvl>
    <w:lvl w:ilvl="4" w:tplc="05504D00">
      <w:numFmt w:val="bullet"/>
      <w:lvlText w:val="•"/>
      <w:lvlJc w:val="left"/>
      <w:pPr>
        <w:ind w:left="878" w:hanging="217"/>
      </w:pPr>
      <w:rPr>
        <w:rFonts w:hint="default"/>
        <w:lang w:val="en-GB" w:eastAsia="en-GB" w:bidi="en-GB"/>
      </w:rPr>
    </w:lvl>
    <w:lvl w:ilvl="5" w:tplc="5652EFD8">
      <w:numFmt w:val="bullet"/>
      <w:lvlText w:val="•"/>
      <w:lvlJc w:val="left"/>
      <w:pPr>
        <w:ind w:left="1023" w:hanging="217"/>
      </w:pPr>
      <w:rPr>
        <w:rFonts w:hint="default"/>
        <w:lang w:val="en-GB" w:eastAsia="en-GB" w:bidi="en-GB"/>
      </w:rPr>
    </w:lvl>
    <w:lvl w:ilvl="6" w:tplc="E0F6EF96">
      <w:numFmt w:val="bullet"/>
      <w:lvlText w:val="•"/>
      <w:lvlJc w:val="left"/>
      <w:pPr>
        <w:ind w:left="1168" w:hanging="217"/>
      </w:pPr>
      <w:rPr>
        <w:rFonts w:hint="default"/>
        <w:lang w:val="en-GB" w:eastAsia="en-GB" w:bidi="en-GB"/>
      </w:rPr>
    </w:lvl>
    <w:lvl w:ilvl="7" w:tplc="04848B04">
      <w:numFmt w:val="bullet"/>
      <w:lvlText w:val="•"/>
      <w:lvlJc w:val="left"/>
      <w:pPr>
        <w:ind w:left="1312" w:hanging="217"/>
      </w:pPr>
      <w:rPr>
        <w:rFonts w:hint="default"/>
        <w:lang w:val="en-GB" w:eastAsia="en-GB" w:bidi="en-GB"/>
      </w:rPr>
    </w:lvl>
    <w:lvl w:ilvl="8" w:tplc="827A230A">
      <w:numFmt w:val="bullet"/>
      <w:lvlText w:val="•"/>
      <w:lvlJc w:val="left"/>
      <w:pPr>
        <w:ind w:left="1457" w:hanging="217"/>
      </w:pPr>
      <w:rPr>
        <w:rFonts w:hint="default"/>
        <w:lang w:val="en-GB" w:eastAsia="en-GB" w:bidi="en-GB"/>
      </w:rPr>
    </w:lvl>
  </w:abstractNum>
  <w:abstractNum w:abstractNumId="1021" w15:restartNumberingAfterBreak="0">
    <w:nsid w:val="5E140152"/>
    <w:multiLevelType w:val="hybridMultilevel"/>
    <w:tmpl w:val="AB3467C4"/>
    <w:lvl w:ilvl="0" w:tplc="6506141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862A146">
      <w:numFmt w:val="bullet"/>
      <w:lvlText w:val="•"/>
      <w:lvlJc w:val="left"/>
      <w:pPr>
        <w:ind w:left="473" w:hanging="217"/>
      </w:pPr>
      <w:rPr>
        <w:rFonts w:hint="default"/>
        <w:lang w:val="en-GB" w:eastAsia="en-GB" w:bidi="en-GB"/>
      </w:rPr>
    </w:lvl>
    <w:lvl w:ilvl="2" w:tplc="802459A0">
      <w:numFmt w:val="bullet"/>
      <w:lvlText w:val="•"/>
      <w:lvlJc w:val="left"/>
      <w:pPr>
        <w:ind w:left="646" w:hanging="217"/>
      </w:pPr>
      <w:rPr>
        <w:rFonts w:hint="default"/>
        <w:lang w:val="en-GB" w:eastAsia="en-GB" w:bidi="en-GB"/>
      </w:rPr>
    </w:lvl>
    <w:lvl w:ilvl="3" w:tplc="EA2AD6B6">
      <w:numFmt w:val="bullet"/>
      <w:lvlText w:val="•"/>
      <w:lvlJc w:val="left"/>
      <w:pPr>
        <w:ind w:left="819" w:hanging="217"/>
      </w:pPr>
      <w:rPr>
        <w:rFonts w:hint="default"/>
        <w:lang w:val="en-GB" w:eastAsia="en-GB" w:bidi="en-GB"/>
      </w:rPr>
    </w:lvl>
    <w:lvl w:ilvl="4" w:tplc="B720F266">
      <w:numFmt w:val="bullet"/>
      <w:lvlText w:val="•"/>
      <w:lvlJc w:val="left"/>
      <w:pPr>
        <w:ind w:left="992" w:hanging="217"/>
      </w:pPr>
      <w:rPr>
        <w:rFonts w:hint="default"/>
        <w:lang w:val="en-GB" w:eastAsia="en-GB" w:bidi="en-GB"/>
      </w:rPr>
    </w:lvl>
    <w:lvl w:ilvl="5" w:tplc="C944DF96">
      <w:numFmt w:val="bullet"/>
      <w:lvlText w:val="•"/>
      <w:lvlJc w:val="left"/>
      <w:pPr>
        <w:ind w:left="1165" w:hanging="217"/>
      </w:pPr>
      <w:rPr>
        <w:rFonts w:hint="default"/>
        <w:lang w:val="en-GB" w:eastAsia="en-GB" w:bidi="en-GB"/>
      </w:rPr>
    </w:lvl>
    <w:lvl w:ilvl="6" w:tplc="22069348">
      <w:numFmt w:val="bullet"/>
      <w:lvlText w:val="•"/>
      <w:lvlJc w:val="left"/>
      <w:pPr>
        <w:ind w:left="1338" w:hanging="217"/>
      </w:pPr>
      <w:rPr>
        <w:rFonts w:hint="default"/>
        <w:lang w:val="en-GB" w:eastAsia="en-GB" w:bidi="en-GB"/>
      </w:rPr>
    </w:lvl>
    <w:lvl w:ilvl="7" w:tplc="BEE25382">
      <w:numFmt w:val="bullet"/>
      <w:lvlText w:val="•"/>
      <w:lvlJc w:val="left"/>
      <w:pPr>
        <w:ind w:left="1511" w:hanging="217"/>
      </w:pPr>
      <w:rPr>
        <w:rFonts w:hint="default"/>
        <w:lang w:val="en-GB" w:eastAsia="en-GB" w:bidi="en-GB"/>
      </w:rPr>
    </w:lvl>
    <w:lvl w:ilvl="8" w:tplc="3340ABF2">
      <w:numFmt w:val="bullet"/>
      <w:lvlText w:val="•"/>
      <w:lvlJc w:val="left"/>
      <w:pPr>
        <w:ind w:left="1684" w:hanging="217"/>
      </w:pPr>
      <w:rPr>
        <w:rFonts w:hint="default"/>
        <w:lang w:val="en-GB" w:eastAsia="en-GB" w:bidi="en-GB"/>
      </w:rPr>
    </w:lvl>
  </w:abstractNum>
  <w:abstractNum w:abstractNumId="1022" w15:restartNumberingAfterBreak="0">
    <w:nsid w:val="5E17596E"/>
    <w:multiLevelType w:val="hybridMultilevel"/>
    <w:tmpl w:val="34F65246"/>
    <w:lvl w:ilvl="0" w:tplc="DDCA340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F8A0192">
      <w:numFmt w:val="bullet"/>
      <w:lvlText w:val="•"/>
      <w:lvlJc w:val="left"/>
      <w:pPr>
        <w:ind w:left="439" w:hanging="217"/>
      </w:pPr>
      <w:rPr>
        <w:rFonts w:hint="default"/>
        <w:lang w:val="en-GB" w:eastAsia="en-GB" w:bidi="en-GB"/>
      </w:rPr>
    </w:lvl>
    <w:lvl w:ilvl="2" w:tplc="8D7C421A">
      <w:numFmt w:val="bullet"/>
      <w:lvlText w:val="•"/>
      <w:lvlJc w:val="left"/>
      <w:pPr>
        <w:ind w:left="578" w:hanging="217"/>
      </w:pPr>
      <w:rPr>
        <w:rFonts w:hint="default"/>
        <w:lang w:val="en-GB" w:eastAsia="en-GB" w:bidi="en-GB"/>
      </w:rPr>
    </w:lvl>
    <w:lvl w:ilvl="3" w:tplc="6930ED0E">
      <w:numFmt w:val="bullet"/>
      <w:lvlText w:val="•"/>
      <w:lvlJc w:val="left"/>
      <w:pPr>
        <w:ind w:left="717" w:hanging="217"/>
      </w:pPr>
      <w:rPr>
        <w:rFonts w:hint="default"/>
        <w:lang w:val="en-GB" w:eastAsia="en-GB" w:bidi="en-GB"/>
      </w:rPr>
    </w:lvl>
    <w:lvl w:ilvl="4" w:tplc="DFEACE50">
      <w:numFmt w:val="bullet"/>
      <w:lvlText w:val="•"/>
      <w:lvlJc w:val="left"/>
      <w:pPr>
        <w:ind w:left="856" w:hanging="217"/>
      </w:pPr>
      <w:rPr>
        <w:rFonts w:hint="default"/>
        <w:lang w:val="en-GB" w:eastAsia="en-GB" w:bidi="en-GB"/>
      </w:rPr>
    </w:lvl>
    <w:lvl w:ilvl="5" w:tplc="60482248">
      <w:numFmt w:val="bullet"/>
      <w:lvlText w:val="•"/>
      <w:lvlJc w:val="left"/>
      <w:pPr>
        <w:ind w:left="995" w:hanging="217"/>
      </w:pPr>
      <w:rPr>
        <w:rFonts w:hint="default"/>
        <w:lang w:val="en-GB" w:eastAsia="en-GB" w:bidi="en-GB"/>
      </w:rPr>
    </w:lvl>
    <w:lvl w:ilvl="6" w:tplc="84BEE7D4">
      <w:numFmt w:val="bullet"/>
      <w:lvlText w:val="•"/>
      <w:lvlJc w:val="left"/>
      <w:pPr>
        <w:ind w:left="1134" w:hanging="217"/>
      </w:pPr>
      <w:rPr>
        <w:rFonts w:hint="default"/>
        <w:lang w:val="en-GB" w:eastAsia="en-GB" w:bidi="en-GB"/>
      </w:rPr>
    </w:lvl>
    <w:lvl w:ilvl="7" w:tplc="74660D5A">
      <w:numFmt w:val="bullet"/>
      <w:lvlText w:val="•"/>
      <w:lvlJc w:val="left"/>
      <w:pPr>
        <w:ind w:left="1273" w:hanging="217"/>
      </w:pPr>
      <w:rPr>
        <w:rFonts w:hint="default"/>
        <w:lang w:val="en-GB" w:eastAsia="en-GB" w:bidi="en-GB"/>
      </w:rPr>
    </w:lvl>
    <w:lvl w:ilvl="8" w:tplc="B0A4352C">
      <w:numFmt w:val="bullet"/>
      <w:lvlText w:val="•"/>
      <w:lvlJc w:val="left"/>
      <w:pPr>
        <w:ind w:left="1412" w:hanging="217"/>
      </w:pPr>
      <w:rPr>
        <w:rFonts w:hint="default"/>
        <w:lang w:val="en-GB" w:eastAsia="en-GB" w:bidi="en-GB"/>
      </w:rPr>
    </w:lvl>
  </w:abstractNum>
  <w:abstractNum w:abstractNumId="1023" w15:restartNumberingAfterBreak="0">
    <w:nsid w:val="5E1F1CC8"/>
    <w:multiLevelType w:val="hybridMultilevel"/>
    <w:tmpl w:val="B1EC298E"/>
    <w:lvl w:ilvl="0" w:tplc="9F760298">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C540AB5A">
      <w:numFmt w:val="bullet"/>
      <w:lvlText w:val="•"/>
      <w:lvlJc w:val="left"/>
      <w:pPr>
        <w:ind w:left="1056" w:hanging="217"/>
      </w:pPr>
      <w:rPr>
        <w:rFonts w:hint="default"/>
        <w:lang w:val="en-GB" w:eastAsia="en-GB" w:bidi="en-GB"/>
      </w:rPr>
    </w:lvl>
    <w:lvl w:ilvl="2" w:tplc="35FC86E6">
      <w:numFmt w:val="bullet"/>
      <w:lvlText w:val="•"/>
      <w:lvlJc w:val="left"/>
      <w:pPr>
        <w:ind w:left="1812" w:hanging="217"/>
      </w:pPr>
      <w:rPr>
        <w:rFonts w:hint="default"/>
        <w:lang w:val="en-GB" w:eastAsia="en-GB" w:bidi="en-GB"/>
      </w:rPr>
    </w:lvl>
    <w:lvl w:ilvl="3" w:tplc="BA4A23A0">
      <w:numFmt w:val="bullet"/>
      <w:lvlText w:val="•"/>
      <w:lvlJc w:val="left"/>
      <w:pPr>
        <w:ind w:left="2568" w:hanging="217"/>
      </w:pPr>
      <w:rPr>
        <w:rFonts w:hint="default"/>
        <w:lang w:val="en-GB" w:eastAsia="en-GB" w:bidi="en-GB"/>
      </w:rPr>
    </w:lvl>
    <w:lvl w:ilvl="4" w:tplc="011E29D2">
      <w:numFmt w:val="bullet"/>
      <w:lvlText w:val="•"/>
      <w:lvlJc w:val="left"/>
      <w:pPr>
        <w:ind w:left="3324" w:hanging="217"/>
      </w:pPr>
      <w:rPr>
        <w:rFonts w:hint="default"/>
        <w:lang w:val="en-GB" w:eastAsia="en-GB" w:bidi="en-GB"/>
      </w:rPr>
    </w:lvl>
    <w:lvl w:ilvl="5" w:tplc="E9F4F084">
      <w:numFmt w:val="bullet"/>
      <w:lvlText w:val="•"/>
      <w:lvlJc w:val="left"/>
      <w:pPr>
        <w:ind w:left="4080" w:hanging="217"/>
      </w:pPr>
      <w:rPr>
        <w:rFonts w:hint="default"/>
        <w:lang w:val="en-GB" w:eastAsia="en-GB" w:bidi="en-GB"/>
      </w:rPr>
    </w:lvl>
    <w:lvl w:ilvl="6" w:tplc="98E860E6">
      <w:numFmt w:val="bullet"/>
      <w:lvlText w:val="•"/>
      <w:lvlJc w:val="left"/>
      <w:pPr>
        <w:ind w:left="4836" w:hanging="217"/>
      </w:pPr>
      <w:rPr>
        <w:rFonts w:hint="default"/>
        <w:lang w:val="en-GB" w:eastAsia="en-GB" w:bidi="en-GB"/>
      </w:rPr>
    </w:lvl>
    <w:lvl w:ilvl="7" w:tplc="E43ECE82">
      <w:numFmt w:val="bullet"/>
      <w:lvlText w:val="•"/>
      <w:lvlJc w:val="left"/>
      <w:pPr>
        <w:ind w:left="5592" w:hanging="217"/>
      </w:pPr>
      <w:rPr>
        <w:rFonts w:hint="default"/>
        <w:lang w:val="en-GB" w:eastAsia="en-GB" w:bidi="en-GB"/>
      </w:rPr>
    </w:lvl>
    <w:lvl w:ilvl="8" w:tplc="10A4C1AA">
      <w:numFmt w:val="bullet"/>
      <w:lvlText w:val="•"/>
      <w:lvlJc w:val="left"/>
      <w:pPr>
        <w:ind w:left="6348" w:hanging="217"/>
      </w:pPr>
      <w:rPr>
        <w:rFonts w:hint="default"/>
        <w:lang w:val="en-GB" w:eastAsia="en-GB" w:bidi="en-GB"/>
      </w:rPr>
    </w:lvl>
  </w:abstractNum>
  <w:abstractNum w:abstractNumId="1024" w15:restartNumberingAfterBreak="0">
    <w:nsid w:val="5E2620AB"/>
    <w:multiLevelType w:val="hybridMultilevel"/>
    <w:tmpl w:val="10C0D3FC"/>
    <w:lvl w:ilvl="0" w:tplc="E0DCE6CC">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A5A2AE86">
      <w:numFmt w:val="bullet"/>
      <w:lvlText w:val="•"/>
      <w:lvlJc w:val="left"/>
      <w:pPr>
        <w:ind w:left="473" w:hanging="217"/>
      </w:pPr>
      <w:rPr>
        <w:rFonts w:hint="default"/>
        <w:lang w:val="en-GB" w:eastAsia="en-GB" w:bidi="en-GB"/>
      </w:rPr>
    </w:lvl>
    <w:lvl w:ilvl="2" w:tplc="B5E000B4">
      <w:numFmt w:val="bullet"/>
      <w:lvlText w:val="•"/>
      <w:lvlJc w:val="left"/>
      <w:pPr>
        <w:ind w:left="646" w:hanging="217"/>
      </w:pPr>
      <w:rPr>
        <w:rFonts w:hint="default"/>
        <w:lang w:val="en-GB" w:eastAsia="en-GB" w:bidi="en-GB"/>
      </w:rPr>
    </w:lvl>
    <w:lvl w:ilvl="3" w:tplc="3C760F44">
      <w:numFmt w:val="bullet"/>
      <w:lvlText w:val="•"/>
      <w:lvlJc w:val="left"/>
      <w:pPr>
        <w:ind w:left="819" w:hanging="217"/>
      </w:pPr>
      <w:rPr>
        <w:rFonts w:hint="default"/>
        <w:lang w:val="en-GB" w:eastAsia="en-GB" w:bidi="en-GB"/>
      </w:rPr>
    </w:lvl>
    <w:lvl w:ilvl="4" w:tplc="EA3EF870">
      <w:numFmt w:val="bullet"/>
      <w:lvlText w:val="•"/>
      <w:lvlJc w:val="left"/>
      <w:pPr>
        <w:ind w:left="992" w:hanging="217"/>
      </w:pPr>
      <w:rPr>
        <w:rFonts w:hint="default"/>
        <w:lang w:val="en-GB" w:eastAsia="en-GB" w:bidi="en-GB"/>
      </w:rPr>
    </w:lvl>
    <w:lvl w:ilvl="5" w:tplc="6AACA264">
      <w:numFmt w:val="bullet"/>
      <w:lvlText w:val="•"/>
      <w:lvlJc w:val="left"/>
      <w:pPr>
        <w:ind w:left="1165" w:hanging="217"/>
      </w:pPr>
      <w:rPr>
        <w:rFonts w:hint="default"/>
        <w:lang w:val="en-GB" w:eastAsia="en-GB" w:bidi="en-GB"/>
      </w:rPr>
    </w:lvl>
    <w:lvl w:ilvl="6" w:tplc="5CAA813A">
      <w:numFmt w:val="bullet"/>
      <w:lvlText w:val="•"/>
      <w:lvlJc w:val="left"/>
      <w:pPr>
        <w:ind w:left="1338" w:hanging="217"/>
      </w:pPr>
      <w:rPr>
        <w:rFonts w:hint="default"/>
        <w:lang w:val="en-GB" w:eastAsia="en-GB" w:bidi="en-GB"/>
      </w:rPr>
    </w:lvl>
    <w:lvl w:ilvl="7" w:tplc="FC9A26EA">
      <w:numFmt w:val="bullet"/>
      <w:lvlText w:val="•"/>
      <w:lvlJc w:val="left"/>
      <w:pPr>
        <w:ind w:left="1511" w:hanging="217"/>
      </w:pPr>
      <w:rPr>
        <w:rFonts w:hint="default"/>
        <w:lang w:val="en-GB" w:eastAsia="en-GB" w:bidi="en-GB"/>
      </w:rPr>
    </w:lvl>
    <w:lvl w:ilvl="8" w:tplc="6600A536">
      <w:numFmt w:val="bullet"/>
      <w:lvlText w:val="•"/>
      <w:lvlJc w:val="left"/>
      <w:pPr>
        <w:ind w:left="1684" w:hanging="217"/>
      </w:pPr>
      <w:rPr>
        <w:rFonts w:hint="default"/>
        <w:lang w:val="en-GB" w:eastAsia="en-GB" w:bidi="en-GB"/>
      </w:rPr>
    </w:lvl>
  </w:abstractNum>
  <w:abstractNum w:abstractNumId="1025" w15:restartNumberingAfterBreak="0">
    <w:nsid w:val="5E2D3A5B"/>
    <w:multiLevelType w:val="hybridMultilevel"/>
    <w:tmpl w:val="FCC49ACA"/>
    <w:lvl w:ilvl="0" w:tplc="AFCCB2FC">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FB1ABACA">
      <w:numFmt w:val="bullet"/>
      <w:lvlText w:val="•"/>
      <w:lvlJc w:val="left"/>
      <w:pPr>
        <w:ind w:left="473" w:hanging="217"/>
      </w:pPr>
      <w:rPr>
        <w:rFonts w:hint="default"/>
        <w:lang w:val="en-GB" w:eastAsia="en-GB" w:bidi="en-GB"/>
      </w:rPr>
    </w:lvl>
    <w:lvl w:ilvl="2" w:tplc="4A92450E">
      <w:numFmt w:val="bullet"/>
      <w:lvlText w:val="•"/>
      <w:lvlJc w:val="left"/>
      <w:pPr>
        <w:ind w:left="646" w:hanging="217"/>
      </w:pPr>
      <w:rPr>
        <w:rFonts w:hint="default"/>
        <w:lang w:val="en-GB" w:eastAsia="en-GB" w:bidi="en-GB"/>
      </w:rPr>
    </w:lvl>
    <w:lvl w:ilvl="3" w:tplc="7ADCD794">
      <w:numFmt w:val="bullet"/>
      <w:lvlText w:val="•"/>
      <w:lvlJc w:val="left"/>
      <w:pPr>
        <w:ind w:left="819" w:hanging="217"/>
      </w:pPr>
      <w:rPr>
        <w:rFonts w:hint="default"/>
        <w:lang w:val="en-GB" w:eastAsia="en-GB" w:bidi="en-GB"/>
      </w:rPr>
    </w:lvl>
    <w:lvl w:ilvl="4" w:tplc="BFB4F632">
      <w:numFmt w:val="bullet"/>
      <w:lvlText w:val="•"/>
      <w:lvlJc w:val="left"/>
      <w:pPr>
        <w:ind w:left="992" w:hanging="217"/>
      </w:pPr>
      <w:rPr>
        <w:rFonts w:hint="default"/>
        <w:lang w:val="en-GB" w:eastAsia="en-GB" w:bidi="en-GB"/>
      </w:rPr>
    </w:lvl>
    <w:lvl w:ilvl="5" w:tplc="9F0ADBFC">
      <w:numFmt w:val="bullet"/>
      <w:lvlText w:val="•"/>
      <w:lvlJc w:val="left"/>
      <w:pPr>
        <w:ind w:left="1165" w:hanging="217"/>
      </w:pPr>
      <w:rPr>
        <w:rFonts w:hint="default"/>
        <w:lang w:val="en-GB" w:eastAsia="en-GB" w:bidi="en-GB"/>
      </w:rPr>
    </w:lvl>
    <w:lvl w:ilvl="6" w:tplc="EC12312A">
      <w:numFmt w:val="bullet"/>
      <w:lvlText w:val="•"/>
      <w:lvlJc w:val="left"/>
      <w:pPr>
        <w:ind w:left="1338" w:hanging="217"/>
      </w:pPr>
      <w:rPr>
        <w:rFonts w:hint="default"/>
        <w:lang w:val="en-GB" w:eastAsia="en-GB" w:bidi="en-GB"/>
      </w:rPr>
    </w:lvl>
    <w:lvl w:ilvl="7" w:tplc="79623444">
      <w:numFmt w:val="bullet"/>
      <w:lvlText w:val="•"/>
      <w:lvlJc w:val="left"/>
      <w:pPr>
        <w:ind w:left="1511" w:hanging="217"/>
      </w:pPr>
      <w:rPr>
        <w:rFonts w:hint="default"/>
        <w:lang w:val="en-GB" w:eastAsia="en-GB" w:bidi="en-GB"/>
      </w:rPr>
    </w:lvl>
    <w:lvl w:ilvl="8" w:tplc="9ABA5E54">
      <w:numFmt w:val="bullet"/>
      <w:lvlText w:val="•"/>
      <w:lvlJc w:val="left"/>
      <w:pPr>
        <w:ind w:left="1684" w:hanging="217"/>
      </w:pPr>
      <w:rPr>
        <w:rFonts w:hint="default"/>
        <w:lang w:val="en-GB" w:eastAsia="en-GB" w:bidi="en-GB"/>
      </w:rPr>
    </w:lvl>
  </w:abstractNum>
  <w:abstractNum w:abstractNumId="1026" w15:restartNumberingAfterBreak="0">
    <w:nsid w:val="5E384C15"/>
    <w:multiLevelType w:val="hybridMultilevel"/>
    <w:tmpl w:val="0358C53E"/>
    <w:lvl w:ilvl="0" w:tplc="932A318C">
      <w:numFmt w:val="bullet"/>
      <w:lvlText w:val="•"/>
      <w:lvlJc w:val="left"/>
      <w:pPr>
        <w:ind w:left="304" w:hanging="217"/>
      </w:pPr>
      <w:rPr>
        <w:rFonts w:ascii="Arial" w:eastAsia="Arial" w:hAnsi="Arial" w:cs="Arial" w:hint="default"/>
        <w:color w:val="231F20"/>
        <w:w w:val="100"/>
        <w:sz w:val="18"/>
        <w:szCs w:val="18"/>
        <w:lang w:val="en-GB" w:eastAsia="en-GB" w:bidi="en-GB"/>
      </w:rPr>
    </w:lvl>
    <w:lvl w:ilvl="1" w:tplc="4710C472">
      <w:numFmt w:val="bullet"/>
      <w:lvlText w:val="•"/>
      <w:lvlJc w:val="left"/>
      <w:pPr>
        <w:ind w:left="473" w:hanging="217"/>
      </w:pPr>
      <w:rPr>
        <w:rFonts w:hint="default"/>
        <w:lang w:val="en-GB" w:eastAsia="en-GB" w:bidi="en-GB"/>
      </w:rPr>
    </w:lvl>
    <w:lvl w:ilvl="2" w:tplc="C24C8FF4">
      <w:numFmt w:val="bullet"/>
      <w:lvlText w:val="•"/>
      <w:lvlJc w:val="left"/>
      <w:pPr>
        <w:ind w:left="646" w:hanging="217"/>
      </w:pPr>
      <w:rPr>
        <w:rFonts w:hint="default"/>
        <w:lang w:val="en-GB" w:eastAsia="en-GB" w:bidi="en-GB"/>
      </w:rPr>
    </w:lvl>
    <w:lvl w:ilvl="3" w:tplc="1A662F4C">
      <w:numFmt w:val="bullet"/>
      <w:lvlText w:val="•"/>
      <w:lvlJc w:val="left"/>
      <w:pPr>
        <w:ind w:left="819" w:hanging="217"/>
      </w:pPr>
      <w:rPr>
        <w:rFonts w:hint="default"/>
        <w:lang w:val="en-GB" w:eastAsia="en-GB" w:bidi="en-GB"/>
      </w:rPr>
    </w:lvl>
    <w:lvl w:ilvl="4" w:tplc="BC1E669C">
      <w:numFmt w:val="bullet"/>
      <w:lvlText w:val="•"/>
      <w:lvlJc w:val="left"/>
      <w:pPr>
        <w:ind w:left="992" w:hanging="217"/>
      </w:pPr>
      <w:rPr>
        <w:rFonts w:hint="default"/>
        <w:lang w:val="en-GB" w:eastAsia="en-GB" w:bidi="en-GB"/>
      </w:rPr>
    </w:lvl>
    <w:lvl w:ilvl="5" w:tplc="C48EFCB2">
      <w:numFmt w:val="bullet"/>
      <w:lvlText w:val="•"/>
      <w:lvlJc w:val="left"/>
      <w:pPr>
        <w:ind w:left="1165" w:hanging="217"/>
      </w:pPr>
      <w:rPr>
        <w:rFonts w:hint="default"/>
        <w:lang w:val="en-GB" w:eastAsia="en-GB" w:bidi="en-GB"/>
      </w:rPr>
    </w:lvl>
    <w:lvl w:ilvl="6" w:tplc="C158FDBE">
      <w:numFmt w:val="bullet"/>
      <w:lvlText w:val="•"/>
      <w:lvlJc w:val="left"/>
      <w:pPr>
        <w:ind w:left="1338" w:hanging="217"/>
      </w:pPr>
      <w:rPr>
        <w:rFonts w:hint="default"/>
        <w:lang w:val="en-GB" w:eastAsia="en-GB" w:bidi="en-GB"/>
      </w:rPr>
    </w:lvl>
    <w:lvl w:ilvl="7" w:tplc="FE629D8C">
      <w:numFmt w:val="bullet"/>
      <w:lvlText w:val="•"/>
      <w:lvlJc w:val="left"/>
      <w:pPr>
        <w:ind w:left="1511" w:hanging="217"/>
      </w:pPr>
      <w:rPr>
        <w:rFonts w:hint="default"/>
        <w:lang w:val="en-GB" w:eastAsia="en-GB" w:bidi="en-GB"/>
      </w:rPr>
    </w:lvl>
    <w:lvl w:ilvl="8" w:tplc="7D04A406">
      <w:numFmt w:val="bullet"/>
      <w:lvlText w:val="•"/>
      <w:lvlJc w:val="left"/>
      <w:pPr>
        <w:ind w:left="1684" w:hanging="217"/>
      </w:pPr>
      <w:rPr>
        <w:rFonts w:hint="default"/>
        <w:lang w:val="en-GB" w:eastAsia="en-GB" w:bidi="en-GB"/>
      </w:rPr>
    </w:lvl>
  </w:abstractNum>
  <w:abstractNum w:abstractNumId="1027" w15:restartNumberingAfterBreak="0">
    <w:nsid w:val="5E385EBD"/>
    <w:multiLevelType w:val="hybridMultilevel"/>
    <w:tmpl w:val="7C78A45E"/>
    <w:lvl w:ilvl="0" w:tplc="2C703D6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817E25CC">
      <w:numFmt w:val="bullet"/>
      <w:lvlText w:val="•"/>
      <w:lvlJc w:val="left"/>
      <w:pPr>
        <w:ind w:left="473" w:hanging="217"/>
      </w:pPr>
      <w:rPr>
        <w:rFonts w:hint="default"/>
        <w:lang w:val="en-GB" w:eastAsia="en-GB" w:bidi="en-GB"/>
      </w:rPr>
    </w:lvl>
    <w:lvl w:ilvl="2" w:tplc="59B4E07C">
      <w:numFmt w:val="bullet"/>
      <w:lvlText w:val="•"/>
      <w:lvlJc w:val="left"/>
      <w:pPr>
        <w:ind w:left="646" w:hanging="217"/>
      </w:pPr>
      <w:rPr>
        <w:rFonts w:hint="default"/>
        <w:lang w:val="en-GB" w:eastAsia="en-GB" w:bidi="en-GB"/>
      </w:rPr>
    </w:lvl>
    <w:lvl w:ilvl="3" w:tplc="8B56ED0C">
      <w:numFmt w:val="bullet"/>
      <w:lvlText w:val="•"/>
      <w:lvlJc w:val="left"/>
      <w:pPr>
        <w:ind w:left="819" w:hanging="217"/>
      </w:pPr>
      <w:rPr>
        <w:rFonts w:hint="default"/>
        <w:lang w:val="en-GB" w:eastAsia="en-GB" w:bidi="en-GB"/>
      </w:rPr>
    </w:lvl>
    <w:lvl w:ilvl="4" w:tplc="71FEC0B0">
      <w:numFmt w:val="bullet"/>
      <w:lvlText w:val="•"/>
      <w:lvlJc w:val="left"/>
      <w:pPr>
        <w:ind w:left="992" w:hanging="217"/>
      </w:pPr>
      <w:rPr>
        <w:rFonts w:hint="default"/>
        <w:lang w:val="en-GB" w:eastAsia="en-GB" w:bidi="en-GB"/>
      </w:rPr>
    </w:lvl>
    <w:lvl w:ilvl="5" w:tplc="D504873C">
      <w:numFmt w:val="bullet"/>
      <w:lvlText w:val="•"/>
      <w:lvlJc w:val="left"/>
      <w:pPr>
        <w:ind w:left="1165" w:hanging="217"/>
      </w:pPr>
      <w:rPr>
        <w:rFonts w:hint="default"/>
        <w:lang w:val="en-GB" w:eastAsia="en-GB" w:bidi="en-GB"/>
      </w:rPr>
    </w:lvl>
    <w:lvl w:ilvl="6" w:tplc="99E2EE18">
      <w:numFmt w:val="bullet"/>
      <w:lvlText w:val="•"/>
      <w:lvlJc w:val="left"/>
      <w:pPr>
        <w:ind w:left="1338" w:hanging="217"/>
      </w:pPr>
      <w:rPr>
        <w:rFonts w:hint="default"/>
        <w:lang w:val="en-GB" w:eastAsia="en-GB" w:bidi="en-GB"/>
      </w:rPr>
    </w:lvl>
    <w:lvl w:ilvl="7" w:tplc="9146B254">
      <w:numFmt w:val="bullet"/>
      <w:lvlText w:val="•"/>
      <w:lvlJc w:val="left"/>
      <w:pPr>
        <w:ind w:left="1511" w:hanging="217"/>
      </w:pPr>
      <w:rPr>
        <w:rFonts w:hint="default"/>
        <w:lang w:val="en-GB" w:eastAsia="en-GB" w:bidi="en-GB"/>
      </w:rPr>
    </w:lvl>
    <w:lvl w:ilvl="8" w:tplc="B49C7178">
      <w:numFmt w:val="bullet"/>
      <w:lvlText w:val="•"/>
      <w:lvlJc w:val="left"/>
      <w:pPr>
        <w:ind w:left="1684" w:hanging="217"/>
      </w:pPr>
      <w:rPr>
        <w:rFonts w:hint="default"/>
        <w:lang w:val="en-GB" w:eastAsia="en-GB" w:bidi="en-GB"/>
      </w:rPr>
    </w:lvl>
  </w:abstractNum>
  <w:abstractNum w:abstractNumId="1028" w15:restartNumberingAfterBreak="0">
    <w:nsid w:val="5E577AD1"/>
    <w:multiLevelType w:val="hybridMultilevel"/>
    <w:tmpl w:val="E5CEB780"/>
    <w:lvl w:ilvl="0" w:tplc="2E78FC7C">
      <w:numFmt w:val="bullet"/>
      <w:lvlText w:val="•"/>
      <w:lvlJc w:val="left"/>
      <w:pPr>
        <w:ind w:left="305" w:hanging="217"/>
      </w:pPr>
      <w:rPr>
        <w:rFonts w:ascii="Arial" w:eastAsia="Arial" w:hAnsi="Arial" w:cs="Arial" w:hint="default"/>
        <w:color w:val="231F20"/>
        <w:spacing w:val="-17"/>
        <w:w w:val="100"/>
        <w:sz w:val="18"/>
        <w:szCs w:val="18"/>
        <w:lang w:val="en-GB" w:eastAsia="en-GB" w:bidi="en-GB"/>
      </w:rPr>
    </w:lvl>
    <w:lvl w:ilvl="1" w:tplc="B4EC5818">
      <w:numFmt w:val="bullet"/>
      <w:lvlText w:val="•"/>
      <w:lvlJc w:val="left"/>
      <w:pPr>
        <w:ind w:left="444" w:hanging="217"/>
      </w:pPr>
      <w:rPr>
        <w:rFonts w:hint="default"/>
        <w:lang w:val="en-GB" w:eastAsia="en-GB" w:bidi="en-GB"/>
      </w:rPr>
    </w:lvl>
    <w:lvl w:ilvl="2" w:tplc="195C629A">
      <w:numFmt w:val="bullet"/>
      <w:lvlText w:val="•"/>
      <w:lvlJc w:val="left"/>
      <w:pPr>
        <w:ind w:left="589" w:hanging="217"/>
      </w:pPr>
      <w:rPr>
        <w:rFonts w:hint="default"/>
        <w:lang w:val="en-GB" w:eastAsia="en-GB" w:bidi="en-GB"/>
      </w:rPr>
    </w:lvl>
    <w:lvl w:ilvl="3" w:tplc="11601262">
      <w:numFmt w:val="bullet"/>
      <w:lvlText w:val="•"/>
      <w:lvlJc w:val="left"/>
      <w:pPr>
        <w:ind w:left="734" w:hanging="217"/>
      </w:pPr>
      <w:rPr>
        <w:rFonts w:hint="default"/>
        <w:lang w:val="en-GB" w:eastAsia="en-GB" w:bidi="en-GB"/>
      </w:rPr>
    </w:lvl>
    <w:lvl w:ilvl="4" w:tplc="86469128">
      <w:numFmt w:val="bullet"/>
      <w:lvlText w:val="•"/>
      <w:lvlJc w:val="left"/>
      <w:pPr>
        <w:ind w:left="878" w:hanging="217"/>
      </w:pPr>
      <w:rPr>
        <w:rFonts w:hint="default"/>
        <w:lang w:val="en-GB" w:eastAsia="en-GB" w:bidi="en-GB"/>
      </w:rPr>
    </w:lvl>
    <w:lvl w:ilvl="5" w:tplc="55EE012E">
      <w:numFmt w:val="bullet"/>
      <w:lvlText w:val="•"/>
      <w:lvlJc w:val="left"/>
      <w:pPr>
        <w:ind w:left="1023" w:hanging="217"/>
      </w:pPr>
      <w:rPr>
        <w:rFonts w:hint="default"/>
        <w:lang w:val="en-GB" w:eastAsia="en-GB" w:bidi="en-GB"/>
      </w:rPr>
    </w:lvl>
    <w:lvl w:ilvl="6" w:tplc="82962B14">
      <w:numFmt w:val="bullet"/>
      <w:lvlText w:val="•"/>
      <w:lvlJc w:val="left"/>
      <w:pPr>
        <w:ind w:left="1168" w:hanging="217"/>
      </w:pPr>
      <w:rPr>
        <w:rFonts w:hint="default"/>
        <w:lang w:val="en-GB" w:eastAsia="en-GB" w:bidi="en-GB"/>
      </w:rPr>
    </w:lvl>
    <w:lvl w:ilvl="7" w:tplc="189ED590">
      <w:numFmt w:val="bullet"/>
      <w:lvlText w:val="•"/>
      <w:lvlJc w:val="left"/>
      <w:pPr>
        <w:ind w:left="1312" w:hanging="217"/>
      </w:pPr>
      <w:rPr>
        <w:rFonts w:hint="default"/>
        <w:lang w:val="en-GB" w:eastAsia="en-GB" w:bidi="en-GB"/>
      </w:rPr>
    </w:lvl>
    <w:lvl w:ilvl="8" w:tplc="9F5E84CA">
      <w:numFmt w:val="bullet"/>
      <w:lvlText w:val="•"/>
      <w:lvlJc w:val="left"/>
      <w:pPr>
        <w:ind w:left="1457" w:hanging="217"/>
      </w:pPr>
      <w:rPr>
        <w:rFonts w:hint="default"/>
        <w:lang w:val="en-GB" w:eastAsia="en-GB" w:bidi="en-GB"/>
      </w:rPr>
    </w:lvl>
  </w:abstractNum>
  <w:abstractNum w:abstractNumId="1029" w15:restartNumberingAfterBreak="0">
    <w:nsid w:val="5E582011"/>
    <w:multiLevelType w:val="hybridMultilevel"/>
    <w:tmpl w:val="EB64186A"/>
    <w:lvl w:ilvl="0" w:tplc="EE3862E2">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0D0840E6">
      <w:numFmt w:val="bullet"/>
      <w:lvlText w:val="•"/>
      <w:lvlJc w:val="left"/>
      <w:pPr>
        <w:ind w:left="892" w:hanging="217"/>
      </w:pPr>
      <w:rPr>
        <w:rFonts w:hint="default"/>
        <w:lang w:val="en-GB" w:eastAsia="en-GB" w:bidi="en-GB"/>
      </w:rPr>
    </w:lvl>
    <w:lvl w:ilvl="2" w:tplc="03A8AC90">
      <w:numFmt w:val="bullet"/>
      <w:lvlText w:val="•"/>
      <w:lvlJc w:val="left"/>
      <w:pPr>
        <w:ind w:left="1485" w:hanging="217"/>
      </w:pPr>
      <w:rPr>
        <w:rFonts w:hint="default"/>
        <w:lang w:val="en-GB" w:eastAsia="en-GB" w:bidi="en-GB"/>
      </w:rPr>
    </w:lvl>
    <w:lvl w:ilvl="3" w:tplc="AC1ADCA0">
      <w:numFmt w:val="bullet"/>
      <w:lvlText w:val="•"/>
      <w:lvlJc w:val="left"/>
      <w:pPr>
        <w:ind w:left="2077" w:hanging="217"/>
      </w:pPr>
      <w:rPr>
        <w:rFonts w:hint="default"/>
        <w:lang w:val="en-GB" w:eastAsia="en-GB" w:bidi="en-GB"/>
      </w:rPr>
    </w:lvl>
    <w:lvl w:ilvl="4" w:tplc="967C8B46">
      <w:numFmt w:val="bullet"/>
      <w:lvlText w:val="•"/>
      <w:lvlJc w:val="left"/>
      <w:pPr>
        <w:ind w:left="2670" w:hanging="217"/>
      </w:pPr>
      <w:rPr>
        <w:rFonts w:hint="default"/>
        <w:lang w:val="en-GB" w:eastAsia="en-GB" w:bidi="en-GB"/>
      </w:rPr>
    </w:lvl>
    <w:lvl w:ilvl="5" w:tplc="778A7E0E">
      <w:numFmt w:val="bullet"/>
      <w:lvlText w:val="•"/>
      <w:lvlJc w:val="left"/>
      <w:pPr>
        <w:ind w:left="3263" w:hanging="217"/>
      </w:pPr>
      <w:rPr>
        <w:rFonts w:hint="default"/>
        <w:lang w:val="en-GB" w:eastAsia="en-GB" w:bidi="en-GB"/>
      </w:rPr>
    </w:lvl>
    <w:lvl w:ilvl="6" w:tplc="7FAE976E">
      <w:numFmt w:val="bullet"/>
      <w:lvlText w:val="•"/>
      <w:lvlJc w:val="left"/>
      <w:pPr>
        <w:ind w:left="3855" w:hanging="217"/>
      </w:pPr>
      <w:rPr>
        <w:rFonts w:hint="default"/>
        <w:lang w:val="en-GB" w:eastAsia="en-GB" w:bidi="en-GB"/>
      </w:rPr>
    </w:lvl>
    <w:lvl w:ilvl="7" w:tplc="D7E894CE">
      <w:numFmt w:val="bullet"/>
      <w:lvlText w:val="•"/>
      <w:lvlJc w:val="left"/>
      <w:pPr>
        <w:ind w:left="4448" w:hanging="217"/>
      </w:pPr>
      <w:rPr>
        <w:rFonts w:hint="default"/>
        <w:lang w:val="en-GB" w:eastAsia="en-GB" w:bidi="en-GB"/>
      </w:rPr>
    </w:lvl>
    <w:lvl w:ilvl="8" w:tplc="1918054A">
      <w:numFmt w:val="bullet"/>
      <w:lvlText w:val="•"/>
      <w:lvlJc w:val="left"/>
      <w:pPr>
        <w:ind w:left="5040" w:hanging="217"/>
      </w:pPr>
      <w:rPr>
        <w:rFonts w:hint="default"/>
        <w:lang w:val="en-GB" w:eastAsia="en-GB" w:bidi="en-GB"/>
      </w:rPr>
    </w:lvl>
  </w:abstractNum>
  <w:abstractNum w:abstractNumId="1030" w15:restartNumberingAfterBreak="0">
    <w:nsid w:val="5E827B60"/>
    <w:multiLevelType w:val="hybridMultilevel"/>
    <w:tmpl w:val="AC0A9C1A"/>
    <w:lvl w:ilvl="0" w:tplc="3A9603B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F6CCC64">
      <w:numFmt w:val="bullet"/>
      <w:lvlText w:val="•"/>
      <w:lvlJc w:val="left"/>
      <w:pPr>
        <w:ind w:left="677" w:hanging="217"/>
      </w:pPr>
      <w:rPr>
        <w:rFonts w:hint="default"/>
        <w:lang w:val="en-GB" w:eastAsia="en-GB" w:bidi="en-GB"/>
      </w:rPr>
    </w:lvl>
    <w:lvl w:ilvl="2" w:tplc="B838B99C">
      <w:numFmt w:val="bullet"/>
      <w:lvlText w:val="•"/>
      <w:lvlJc w:val="left"/>
      <w:pPr>
        <w:ind w:left="1054" w:hanging="217"/>
      </w:pPr>
      <w:rPr>
        <w:rFonts w:hint="default"/>
        <w:lang w:val="en-GB" w:eastAsia="en-GB" w:bidi="en-GB"/>
      </w:rPr>
    </w:lvl>
    <w:lvl w:ilvl="3" w:tplc="30384E7C">
      <w:numFmt w:val="bullet"/>
      <w:lvlText w:val="•"/>
      <w:lvlJc w:val="left"/>
      <w:pPr>
        <w:ind w:left="1431" w:hanging="217"/>
      </w:pPr>
      <w:rPr>
        <w:rFonts w:hint="default"/>
        <w:lang w:val="en-GB" w:eastAsia="en-GB" w:bidi="en-GB"/>
      </w:rPr>
    </w:lvl>
    <w:lvl w:ilvl="4" w:tplc="57A60362">
      <w:numFmt w:val="bullet"/>
      <w:lvlText w:val="•"/>
      <w:lvlJc w:val="left"/>
      <w:pPr>
        <w:ind w:left="1808" w:hanging="217"/>
      </w:pPr>
      <w:rPr>
        <w:rFonts w:hint="default"/>
        <w:lang w:val="en-GB" w:eastAsia="en-GB" w:bidi="en-GB"/>
      </w:rPr>
    </w:lvl>
    <w:lvl w:ilvl="5" w:tplc="345AC622">
      <w:numFmt w:val="bullet"/>
      <w:lvlText w:val="•"/>
      <w:lvlJc w:val="left"/>
      <w:pPr>
        <w:ind w:left="2186" w:hanging="217"/>
      </w:pPr>
      <w:rPr>
        <w:rFonts w:hint="default"/>
        <w:lang w:val="en-GB" w:eastAsia="en-GB" w:bidi="en-GB"/>
      </w:rPr>
    </w:lvl>
    <w:lvl w:ilvl="6" w:tplc="B21435C0">
      <w:numFmt w:val="bullet"/>
      <w:lvlText w:val="•"/>
      <w:lvlJc w:val="left"/>
      <w:pPr>
        <w:ind w:left="2563" w:hanging="217"/>
      </w:pPr>
      <w:rPr>
        <w:rFonts w:hint="default"/>
        <w:lang w:val="en-GB" w:eastAsia="en-GB" w:bidi="en-GB"/>
      </w:rPr>
    </w:lvl>
    <w:lvl w:ilvl="7" w:tplc="7340D266">
      <w:numFmt w:val="bullet"/>
      <w:lvlText w:val="•"/>
      <w:lvlJc w:val="left"/>
      <w:pPr>
        <w:ind w:left="2940" w:hanging="217"/>
      </w:pPr>
      <w:rPr>
        <w:rFonts w:hint="default"/>
        <w:lang w:val="en-GB" w:eastAsia="en-GB" w:bidi="en-GB"/>
      </w:rPr>
    </w:lvl>
    <w:lvl w:ilvl="8" w:tplc="3B34A51C">
      <w:numFmt w:val="bullet"/>
      <w:lvlText w:val="•"/>
      <w:lvlJc w:val="left"/>
      <w:pPr>
        <w:ind w:left="3317" w:hanging="217"/>
      </w:pPr>
      <w:rPr>
        <w:rFonts w:hint="default"/>
        <w:lang w:val="en-GB" w:eastAsia="en-GB" w:bidi="en-GB"/>
      </w:rPr>
    </w:lvl>
  </w:abstractNum>
  <w:abstractNum w:abstractNumId="1031" w15:restartNumberingAfterBreak="0">
    <w:nsid w:val="5E830CA4"/>
    <w:multiLevelType w:val="hybridMultilevel"/>
    <w:tmpl w:val="35DA6D52"/>
    <w:lvl w:ilvl="0" w:tplc="4E6A8F4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C9C04884">
      <w:numFmt w:val="bullet"/>
      <w:lvlText w:val="•"/>
      <w:lvlJc w:val="left"/>
      <w:pPr>
        <w:ind w:left="473" w:hanging="217"/>
      </w:pPr>
      <w:rPr>
        <w:rFonts w:hint="default"/>
        <w:lang w:val="en-GB" w:eastAsia="en-GB" w:bidi="en-GB"/>
      </w:rPr>
    </w:lvl>
    <w:lvl w:ilvl="2" w:tplc="400C79EE">
      <w:numFmt w:val="bullet"/>
      <w:lvlText w:val="•"/>
      <w:lvlJc w:val="left"/>
      <w:pPr>
        <w:ind w:left="646" w:hanging="217"/>
      </w:pPr>
      <w:rPr>
        <w:rFonts w:hint="default"/>
        <w:lang w:val="en-GB" w:eastAsia="en-GB" w:bidi="en-GB"/>
      </w:rPr>
    </w:lvl>
    <w:lvl w:ilvl="3" w:tplc="170C896A">
      <w:numFmt w:val="bullet"/>
      <w:lvlText w:val="•"/>
      <w:lvlJc w:val="left"/>
      <w:pPr>
        <w:ind w:left="819" w:hanging="217"/>
      </w:pPr>
      <w:rPr>
        <w:rFonts w:hint="default"/>
        <w:lang w:val="en-GB" w:eastAsia="en-GB" w:bidi="en-GB"/>
      </w:rPr>
    </w:lvl>
    <w:lvl w:ilvl="4" w:tplc="26FA8F14">
      <w:numFmt w:val="bullet"/>
      <w:lvlText w:val="•"/>
      <w:lvlJc w:val="left"/>
      <w:pPr>
        <w:ind w:left="992" w:hanging="217"/>
      </w:pPr>
      <w:rPr>
        <w:rFonts w:hint="default"/>
        <w:lang w:val="en-GB" w:eastAsia="en-GB" w:bidi="en-GB"/>
      </w:rPr>
    </w:lvl>
    <w:lvl w:ilvl="5" w:tplc="5F04911E">
      <w:numFmt w:val="bullet"/>
      <w:lvlText w:val="•"/>
      <w:lvlJc w:val="left"/>
      <w:pPr>
        <w:ind w:left="1165" w:hanging="217"/>
      </w:pPr>
      <w:rPr>
        <w:rFonts w:hint="default"/>
        <w:lang w:val="en-GB" w:eastAsia="en-GB" w:bidi="en-GB"/>
      </w:rPr>
    </w:lvl>
    <w:lvl w:ilvl="6" w:tplc="AE30074A">
      <w:numFmt w:val="bullet"/>
      <w:lvlText w:val="•"/>
      <w:lvlJc w:val="left"/>
      <w:pPr>
        <w:ind w:left="1338" w:hanging="217"/>
      </w:pPr>
      <w:rPr>
        <w:rFonts w:hint="default"/>
        <w:lang w:val="en-GB" w:eastAsia="en-GB" w:bidi="en-GB"/>
      </w:rPr>
    </w:lvl>
    <w:lvl w:ilvl="7" w:tplc="E786911E">
      <w:numFmt w:val="bullet"/>
      <w:lvlText w:val="•"/>
      <w:lvlJc w:val="left"/>
      <w:pPr>
        <w:ind w:left="1511" w:hanging="217"/>
      </w:pPr>
      <w:rPr>
        <w:rFonts w:hint="default"/>
        <w:lang w:val="en-GB" w:eastAsia="en-GB" w:bidi="en-GB"/>
      </w:rPr>
    </w:lvl>
    <w:lvl w:ilvl="8" w:tplc="BC664EFA">
      <w:numFmt w:val="bullet"/>
      <w:lvlText w:val="•"/>
      <w:lvlJc w:val="left"/>
      <w:pPr>
        <w:ind w:left="1684" w:hanging="217"/>
      </w:pPr>
      <w:rPr>
        <w:rFonts w:hint="default"/>
        <w:lang w:val="en-GB" w:eastAsia="en-GB" w:bidi="en-GB"/>
      </w:rPr>
    </w:lvl>
  </w:abstractNum>
  <w:abstractNum w:abstractNumId="1032" w15:restartNumberingAfterBreak="0">
    <w:nsid w:val="5E9E2EE2"/>
    <w:multiLevelType w:val="hybridMultilevel"/>
    <w:tmpl w:val="BE3A6CB0"/>
    <w:lvl w:ilvl="0" w:tplc="2656FC2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32AD786">
      <w:numFmt w:val="bullet"/>
      <w:lvlText w:val="•"/>
      <w:lvlJc w:val="left"/>
      <w:pPr>
        <w:ind w:left="892" w:hanging="217"/>
      </w:pPr>
      <w:rPr>
        <w:rFonts w:hint="default"/>
        <w:lang w:val="en-GB" w:eastAsia="en-GB" w:bidi="en-GB"/>
      </w:rPr>
    </w:lvl>
    <w:lvl w:ilvl="2" w:tplc="E4CE6264">
      <w:numFmt w:val="bullet"/>
      <w:lvlText w:val="•"/>
      <w:lvlJc w:val="left"/>
      <w:pPr>
        <w:ind w:left="1485" w:hanging="217"/>
      </w:pPr>
      <w:rPr>
        <w:rFonts w:hint="default"/>
        <w:lang w:val="en-GB" w:eastAsia="en-GB" w:bidi="en-GB"/>
      </w:rPr>
    </w:lvl>
    <w:lvl w:ilvl="3" w:tplc="20467282">
      <w:numFmt w:val="bullet"/>
      <w:lvlText w:val="•"/>
      <w:lvlJc w:val="left"/>
      <w:pPr>
        <w:ind w:left="2077" w:hanging="217"/>
      </w:pPr>
      <w:rPr>
        <w:rFonts w:hint="default"/>
        <w:lang w:val="en-GB" w:eastAsia="en-GB" w:bidi="en-GB"/>
      </w:rPr>
    </w:lvl>
    <w:lvl w:ilvl="4" w:tplc="6AAA9BDA">
      <w:numFmt w:val="bullet"/>
      <w:lvlText w:val="•"/>
      <w:lvlJc w:val="left"/>
      <w:pPr>
        <w:ind w:left="2670" w:hanging="217"/>
      </w:pPr>
      <w:rPr>
        <w:rFonts w:hint="default"/>
        <w:lang w:val="en-GB" w:eastAsia="en-GB" w:bidi="en-GB"/>
      </w:rPr>
    </w:lvl>
    <w:lvl w:ilvl="5" w:tplc="7CB496D2">
      <w:numFmt w:val="bullet"/>
      <w:lvlText w:val="•"/>
      <w:lvlJc w:val="left"/>
      <w:pPr>
        <w:ind w:left="3263" w:hanging="217"/>
      </w:pPr>
      <w:rPr>
        <w:rFonts w:hint="default"/>
        <w:lang w:val="en-GB" w:eastAsia="en-GB" w:bidi="en-GB"/>
      </w:rPr>
    </w:lvl>
    <w:lvl w:ilvl="6" w:tplc="91F85F16">
      <w:numFmt w:val="bullet"/>
      <w:lvlText w:val="•"/>
      <w:lvlJc w:val="left"/>
      <w:pPr>
        <w:ind w:left="3855" w:hanging="217"/>
      </w:pPr>
      <w:rPr>
        <w:rFonts w:hint="default"/>
        <w:lang w:val="en-GB" w:eastAsia="en-GB" w:bidi="en-GB"/>
      </w:rPr>
    </w:lvl>
    <w:lvl w:ilvl="7" w:tplc="5BBE16CA">
      <w:numFmt w:val="bullet"/>
      <w:lvlText w:val="•"/>
      <w:lvlJc w:val="left"/>
      <w:pPr>
        <w:ind w:left="4448" w:hanging="217"/>
      </w:pPr>
      <w:rPr>
        <w:rFonts w:hint="default"/>
        <w:lang w:val="en-GB" w:eastAsia="en-GB" w:bidi="en-GB"/>
      </w:rPr>
    </w:lvl>
    <w:lvl w:ilvl="8" w:tplc="817ABA54">
      <w:numFmt w:val="bullet"/>
      <w:lvlText w:val="•"/>
      <w:lvlJc w:val="left"/>
      <w:pPr>
        <w:ind w:left="5040" w:hanging="217"/>
      </w:pPr>
      <w:rPr>
        <w:rFonts w:hint="default"/>
        <w:lang w:val="en-GB" w:eastAsia="en-GB" w:bidi="en-GB"/>
      </w:rPr>
    </w:lvl>
  </w:abstractNum>
  <w:abstractNum w:abstractNumId="1033" w15:restartNumberingAfterBreak="0">
    <w:nsid w:val="5EB0439B"/>
    <w:multiLevelType w:val="hybridMultilevel"/>
    <w:tmpl w:val="A3AED8FE"/>
    <w:lvl w:ilvl="0" w:tplc="237A4DA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C949856">
      <w:numFmt w:val="bullet"/>
      <w:lvlText w:val="•"/>
      <w:lvlJc w:val="left"/>
      <w:pPr>
        <w:ind w:left="439" w:hanging="217"/>
      </w:pPr>
      <w:rPr>
        <w:rFonts w:hint="default"/>
        <w:lang w:val="en-GB" w:eastAsia="en-GB" w:bidi="en-GB"/>
      </w:rPr>
    </w:lvl>
    <w:lvl w:ilvl="2" w:tplc="BF48B460">
      <w:numFmt w:val="bullet"/>
      <w:lvlText w:val="•"/>
      <w:lvlJc w:val="left"/>
      <w:pPr>
        <w:ind w:left="578" w:hanging="217"/>
      </w:pPr>
      <w:rPr>
        <w:rFonts w:hint="default"/>
        <w:lang w:val="en-GB" w:eastAsia="en-GB" w:bidi="en-GB"/>
      </w:rPr>
    </w:lvl>
    <w:lvl w:ilvl="3" w:tplc="63285FCA">
      <w:numFmt w:val="bullet"/>
      <w:lvlText w:val="•"/>
      <w:lvlJc w:val="left"/>
      <w:pPr>
        <w:ind w:left="717" w:hanging="217"/>
      </w:pPr>
      <w:rPr>
        <w:rFonts w:hint="default"/>
        <w:lang w:val="en-GB" w:eastAsia="en-GB" w:bidi="en-GB"/>
      </w:rPr>
    </w:lvl>
    <w:lvl w:ilvl="4" w:tplc="301ACED0">
      <w:numFmt w:val="bullet"/>
      <w:lvlText w:val="•"/>
      <w:lvlJc w:val="left"/>
      <w:pPr>
        <w:ind w:left="856" w:hanging="217"/>
      </w:pPr>
      <w:rPr>
        <w:rFonts w:hint="default"/>
        <w:lang w:val="en-GB" w:eastAsia="en-GB" w:bidi="en-GB"/>
      </w:rPr>
    </w:lvl>
    <w:lvl w:ilvl="5" w:tplc="AED47CDE">
      <w:numFmt w:val="bullet"/>
      <w:lvlText w:val="•"/>
      <w:lvlJc w:val="left"/>
      <w:pPr>
        <w:ind w:left="995" w:hanging="217"/>
      </w:pPr>
      <w:rPr>
        <w:rFonts w:hint="default"/>
        <w:lang w:val="en-GB" w:eastAsia="en-GB" w:bidi="en-GB"/>
      </w:rPr>
    </w:lvl>
    <w:lvl w:ilvl="6" w:tplc="EAA4512C">
      <w:numFmt w:val="bullet"/>
      <w:lvlText w:val="•"/>
      <w:lvlJc w:val="left"/>
      <w:pPr>
        <w:ind w:left="1134" w:hanging="217"/>
      </w:pPr>
      <w:rPr>
        <w:rFonts w:hint="default"/>
        <w:lang w:val="en-GB" w:eastAsia="en-GB" w:bidi="en-GB"/>
      </w:rPr>
    </w:lvl>
    <w:lvl w:ilvl="7" w:tplc="7736B32A">
      <w:numFmt w:val="bullet"/>
      <w:lvlText w:val="•"/>
      <w:lvlJc w:val="left"/>
      <w:pPr>
        <w:ind w:left="1273" w:hanging="217"/>
      </w:pPr>
      <w:rPr>
        <w:rFonts w:hint="default"/>
        <w:lang w:val="en-GB" w:eastAsia="en-GB" w:bidi="en-GB"/>
      </w:rPr>
    </w:lvl>
    <w:lvl w:ilvl="8" w:tplc="CD4087FC">
      <w:numFmt w:val="bullet"/>
      <w:lvlText w:val="•"/>
      <w:lvlJc w:val="left"/>
      <w:pPr>
        <w:ind w:left="1412" w:hanging="217"/>
      </w:pPr>
      <w:rPr>
        <w:rFonts w:hint="default"/>
        <w:lang w:val="en-GB" w:eastAsia="en-GB" w:bidi="en-GB"/>
      </w:rPr>
    </w:lvl>
  </w:abstractNum>
  <w:abstractNum w:abstractNumId="1034" w15:restartNumberingAfterBreak="0">
    <w:nsid w:val="5EBE6A2A"/>
    <w:multiLevelType w:val="hybridMultilevel"/>
    <w:tmpl w:val="4802FD32"/>
    <w:lvl w:ilvl="0" w:tplc="F19C7DAC">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8B967AC8">
      <w:numFmt w:val="bullet"/>
      <w:lvlText w:val="•"/>
      <w:lvlJc w:val="left"/>
      <w:pPr>
        <w:ind w:left="473" w:hanging="217"/>
      </w:pPr>
      <w:rPr>
        <w:rFonts w:hint="default"/>
        <w:lang w:val="en-GB" w:eastAsia="en-GB" w:bidi="en-GB"/>
      </w:rPr>
    </w:lvl>
    <w:lvl w:ilvl="2" w:tplc="EE781DE8">
      <w:numFmt w:val="bullet"/>
      <w:lvlText w:val="•"/>
      <w:lvlJc w:val="left"/>
      <w:pPr>
        <w:ind w:left="646" w:hanging="217"/>
      </w:pPr>
      <w:rPr>
        <w:rFonts w:hint="default"/>
        <w:lang w:val="en-GB" w:eastAsia="en-GB" w:bidi="en-GB"/>
      </w:rPr>
    </w:lvl>
    <w:lvl w:ilvl="3" w:tplc="9A80B15E">
      <w:numFmt w:val="bullet"/>
      <w:lvlText w:val="•"/>
      <w:lvlJc w:val="left"/>
      <w:pPr>
        <w:ind w:left="819" w:hanging="217"/>
      </w:pPr>
      <w:rPr>
        <w:rFonts w:hint="default"/>
        <w:lang w:val="en-GB" w:eastAsia="en-GB" w:bidi="en-GB"/>
      </w:rPr>
    </w:lvl>
    <w:lvl w:ilvl="4" w:tplc="00E22AAE">
      <w:numFmt w:val="bullet"/>
      <w:lvlText w:val="•"/>
      <w:lvlJc w:val="left"/>
      <w:pPr>
        <w:ind w:left="992" w:hanging="217"/>
      </w:pPr>
      <w:rPr>
        <w:rFonts w:hint="default"/>
        <w:lang w:val="en-GB" w:eastAsia="en-GB" w:bidi="en-GB"/>
      </w:rPr>
    </w:lvl>
    <w:lvl w:ilvl="5" w:tplc="B3EAB86E">
      <w:numFmt w:val="bullet"/>
      <w:lvlText w:val="•"/>
      <w:lvlJc w:val="left"/>
      <w:pPr>
        <w:ind w:left="1165" w:hanging="217"/>
      </w:pPr>
      <w:rPr>
        <w:rFonts w:hint="default"/>
        <w:lang w:val="en-GB" w:eastAsia="en-GB" w:bidi="en-GB"/>
      </w:rPr>
    </w:lvl>
    <w:lvl w:ilvl="6" w:tplc="C50045FE">
      <w:numFmt w:val="bullet"/>
      <w:lvlText w:val="•"/>
      <w:lvlJc w:val="left"/>
      <w:pPr>
        <w:ind w:left="1338" w:hanging="217"/>
      </w:pPr>
      <w:rPr>
        <w:rFonts w:hint="default"/>
        <w:lang w:val="en-GB" w:eastAsia="en-GB" w:bidi="en-GB"/>
      </w:rPr>
    </w:lvl>
    <w:lvl w:ilvl="7" w:tplc="8EF82F72">
      <w:numFmt w:val="bullet"/>
      <w:lvlText w:val="•"/>
      <w:lvlJc w:val="left"/>
      <w:pPr>
        <w:ind w:left="1511" w:hanging="217"/>
      </w:pPr>
      <w:rPr>
        <w:rFonts w:hint="default"/>
        <w:lang w:val="en-GB" w:eastAsia="en-GB" w:bidi="en-GB"/>
      </w:rPr>
    </w:lvl>
    <w:lvl w:ilvl="8" w:tplc="9960767A">
      <w:numFmt w:val="bullet"/>
      <w:lvlText w:val="•"/>
      <w:lvlJc w:val="left"/>
      <w:pPr>
        <w:ind w:left="1684" w:hanging="217"/>
      </w:pPr>
      <w:rPr>
        <w:rFonts w:hint="default"/>
        <w:lang w:val="en-GB" w:eastAsia="en-GB" w:bidi="en-GB"/>
      </w:rPr>
    </w:lvl>
  </w:abstractNum>
  <w:abstractNum w:abstractNumId="1035" w15:restartNumberingAfterBreak="0">
    <w:nsid w:val="5ED60564"/>
    <w:multiLevelType w:val="hybridMultilevel"/>
    <w:tmpl w:val="D596630E"/>
    <w:lvl w:ilvl="0" w:tplc="75629E3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3C6A2AE">
      <w:numFmt w:val="bullet"/>
      <w:lvlText w:val="•"/>
      <w:lvlJc w:val="left"/>
      <w:pPr>
        <w:ind w:left="439" w:hanging="217"/>
      </w:pPr>
      <w:rPr>
        <w:rFonts w:hint="default"/>
        <w:lang w:val="en-GB" w:eastAsia="en-GB" w:bidi="en-GB"/>
      </w:rPr>
    </w:lvl>
    <w:lvl w:ilvl="2" w:tplc="786086A0">
      <w:numFmt w:val="bullet"/>
      <w:lvlText w:val="•"/>
      <w:lvlJc w:val="left"/>
      <w:pPr>
        <w:ind w:left="578" w:hanging="217"/>
      </w:pPr>
      <w:rPr>
        <w:rFonts w:hint="default"/>
        <w:lang w:val="en-GB" w:eastAsia="en-GB" w:bidi="en-GB"/>
      </w:rPr>
    </w:lvl>
    <w:lvl w:ilvl="3" w:tplc="085AD0C4">
      <w:numFmt w:val="bullet"/>
      <w:lvlText w:val="•"/>
      <w:lvlJc w:val="left"/>
      <w:pPr>
        <w:ind w:left="717" w:hanging="217"/>
      </w:pPr>
      <w:rPr>
        <w:rFonts w:hint="default"/>
        <w:lang w:val="en-GB" w:eastAsia="en-GB" w:bidi="en-GB"/>
      </w:rPr>
    </w:lvl>
    <w:lvl w:ilvl="4" w:tplc="784EED4A">
      <w:numFmt w:val="bullet"/>
      <w:lvlText w:val="•"/>
      <w:lvlJc w:val="left"/>
      <w:pPr>
        <w:ind w:left="856" w:hanging="217"/>
      </w:pPr>
      <w:rPr>
        <w:rFonts w:hint="default"/>
        <w:lang w:val="en-GB" w:eastAsia="en-GB" w:bidi="en-GB"/>
      </w:rPr>
    </w:lvl>
    <w:lvl w:ilvl="5" w:tplc="BDD0602A">
      <w:numFmt w:val="bullet"/>
      <w:lvlText w:val="•"/>
      <w:lvlJc w:val="left"/>
      <w:pPr>
        <w:ind w:left="995" w:hanging="217"/>
      </w:pPr>
      <w:rPr>
        <w:rFonts w:hint="default"/>
        <w:lang w:val="en-GB" w:eastAsia="en-GB" w:bidi="en-GB"/>
      </w:rPr>
    </w:lvl>
    <w:lvl w:ilvl="6" w:tplc="9EC209C8">
      <w:numFmt w:val="bullet"/>
      <w:lvlText w:val="•"/>
      <w:lvlJc w:val="left"/>
      <w:pPr>
        <w:ind w:left="1134" w:hanging="217"/>
      </w:pPr>
      <w:rPr>
        <w:rFonts w:hint="default"/>
        <w:lang w:val="en-GB" w:eastAsia="en-GB" w:bidi="en-GB"/>
      </w:rPr>
    </w:lvl>
    <w:lvl w:ilvl="7" w:tplc="B41E5DB6">
      <w:numFmt w:val="bullet"/>
      <w:lvlText w:val="•"/>
      <w:lvlJc w:val="left"/>
      <w:pPr>
        <w:ind w:left="1273" w:hanging="217"/>
      </w:pPr>
      <w:rPr>
        <w:rFonts w:hint="default"/>
        <w:lang w:val="en-GB" w:eastAsia="en-GB" w:bidi="en-GB"/>
      </w:rPr>
    </w:lvl>
    <w:lvl w:ilvl="8" w:tplc="8D8A4BD0">
      <w:numFmt w:val="bullet"/>
      <w:lvlText w:val="•"/>
      <w:lvlJc w:val="left"/>
      <w:pPr>
        <w:ind w:left="1412" w:hanging="217"/>
      </w:pPr>
      <w:rPr>
        <w:rFonts w:hint="default"/>
        <w:lang w:val="en-GB" w:eastAsia="en-GB" w:bidi="en-GB"/>
      </w:rPr>
    </w:lvl>
  </w:abstractNum>
  <w:abstractNum w:abstractNumId="1036" w15:restartNumberingAfterBreak="0">
    <w:nsid w:val="5F01680C"/>
    <w:multiLevelType w:val="hybridMultilevel"/>
    <w:tmpl w:val="C0C02F5A"/>
    <w:lvl w:ilvl="0" w:tplc="E580EE94">
      <w:numFmt w:val="bullet"/>
      <w:lvlText w:val="•"/>
      <w:lvlJc w:val="left"/>
      <w:pPr>
        <w:ind w:left="305" w:hanging="217"/>
      </w:pPr>
      <w:rPr>
        <w:rFonts w:ascii="Arial" w:eastAsia="Arial" w:hAnsi="Arial" w:cs="Arial" w:hint="default"/>
        <w:color w:val="231F20"/>
        <w:spacing w:val="-17"/>
        <w:w w:val="100"/>
        <w:sz w:val="18"/>
        <w:szCs w:val="18"/>
        <w:lang w:val="en-GB" w:eastAsia="en-GB" w:bidi="en-GB"/>
      </w:rPr>
    </w:lvl>
    <w:lvl w:ilvl="1" w:tplc="284A040E">
      <w:numFmt w:val="bullet"/>
      <w:lvlText w:val="•"/>
      <w:lvlJc w:val="left"/>
      <w:pPr>
        <w:ind w:left="441" w:hanging="217"/>
      </w:pPr>
      <w:rPr>
        <w:rFonts w:hint="default"/>
        <w:lang w:val="en-GB" w:eastAsia="en-GB" w:bidi="en-GB"/>
      </w:rPr>
    </w:lvl>
    <w:lvl w:ilvl="2" w:tplc="10EC766E">
      <w:numFmt w:val="bullet"/>
      <w:lvlText w:val="•"/>
      <w:lvlJc w:val="left"/>
      <w:pPr>
        <w:ind w:left="583" w:hanging="217"/>
      </w:pPr>
      <w:rPr>
        <w:rFonts w:hint="default"/>
        <w:lang w:val="en-GB" w:eastAsia="en-GB" w:bidi="en-GB"/>
      </w:rPr>
    </w:lvl>
    <w:lvl w:ilvl="3" w:tplc="C32AA006">
      <w:numFmt w:val="bullet"/>
      <w:lvlText w:val="•"/>
      <w:lvlJc w:val="left"/>
      <w:pPr>
        <w:ind w:left="725" w:hanging="217"/>
      </w:pPr>
      <w:rPr>
        <w:rFonts w:hint="default"/>
        <w:lang w:val="en-GB" w:eastAsia="en-GB" w:bidi="en-GB"/>
      </w:rPr>
    </w:lvl>
    <w:lvl w:ilvl="4" w:tplc="A8206A24">
      <w:numFmt w:val="bullet"/>
      <w:lvlText w:val="•"/>
      <w:lvlJc w:val="left"/>
      <w:pPr>
        <w:ind w:left="867" w:hanging="217"/>
      </w:pPr>
      <w:rPr>
        <w:rFonts w:hint="default"/>
        <w:lang w:val="en-GB" w:eastAsia="en-GB" w:bidi="en-GB"/>
      </w:rPr>
    </w:lvl>
    <w:lvl w:ilvl="5" w:tplc="47BA08C2">
      <w:numFmt w:val="bullet"/>
      <w:lvlText w:val="•"/>
      <w:lvlJc w:val="left"/>
      <w:pPr>
        <w:ind w:left="1009" w:hanging="217"/>
      </w:pPr>
      <w:rPr>
        <w:rFonts w:hint="default"/>
        <w:lang w:val="en-GB" w:eastAsia="en-GB" w:bidi="en-GB"/>
      </w:rPr>
    </w:lvl>
    <w:lvl w:ilvl="6" w:tplc="5260A7AE">
      <w:numFmt w:val="bullet"/>
      <w:lvlText w:val="•"/>
      <w:lvlJc w:val="left"/>
      <w:pPr>
        <w:ind w:left="1151" w:hanging="217"/>
      </w:pPr>
      <w:rPr>
        <w:rFonts w:hint="default"/>
        <w:lang w:val="en-GB" w:eastAsia="en-GB" w:bidi="en-GB"/>
      </w:rPr>
    </w:lvl>
    <w:lvl w:ilvl="7" w:tplc="27100F48">
      <w:numFmt w:val="bullet"/>
      <w:lvlText w:val="•"/>
      <w:lvlJc w:val="left"/>
      <w:pPr>
        <w:ind w:left="1293" w:hanging="217"/>
      </w:pPr>
      <w:rPr>
        <w:rFonts w:hint="default"/>
        <w:lang w:val="en-GB" w:eastAsia="en-GB" w:bidi="en-GB"/>
      </w:rPr>
    </w:lvl>
    <w:lvl w:ilvl="8" w:tplc="B9C89DCE">
      <w:numFmt w:val="bullet"/>
      <w:lvlText w:val="•"/>
      <w:lvlJc w:val="left"/>
      <w:pPr>
        <w:ind w:left="1435" w:hanging="217"/>
      </w:pPr>
      <w:rPr>
        <w:rFonts w:hint="default"/>
        <w:lang w:val="en-GB" w:eastAsia="en-GB" w:bidi="en-GB"/>
      </w:rPr>
    </w:lvl>
  </w:abstractNum>
  <w:abstractNum w:abstractNumId="1037" w15:restartNumberingAfterBreak="0">
    <w:nsid w:val="5F1038D5"/>
    <w:multiLevelType w:val="hybridMultilevel"/>
    <w:tmpl w:val="08A2A616"/>
    <w:lvl w:ilvl="0" w:tplc="4A60DA0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9F8BC52">
      <w:numFmt w:val="bullet"/>
      <w:lvlText w:val="•"/>
      <w:lvlJc w:val="left"/>
      <w:pPr>
        <w:ind w:left="473" w:hanging="217"/>
      </w:pPr>
      <w:rPr>
        <w:rFonts w:hint="default"/>
        <w:lang w:val="en-GB" w:eastAsia="en-GB" w:bidi="en-GB"/>
      </w:rPr>
    </w:lvl>
    <w:lvl w:ilvl="2" w:tplc="244245E2">
      <w:numFmt w:val="bullet"/>
      <w:lvlText w:val="•"/>
      <w:lvlJc w:val="left"/>
      <w:pPr>
        <w:ind w:left="646" w:hanging="217"/>
      </w:pPr>
      <w:rPr>
        <w:rFonts w:hint="default"/>
        <w:lang w:val="en-GB" w:eastAsia="en-GB" w:bidi="en-GB"/>
      </w:rPr>
    </w:lvl>
    <w:lvl w:ilvl="3" w:tplc="3F9EEF9A">
      <w:numFmt w:val="bullet"/>
      <w:lvlText w:val="•"/>
      <w:lvlJc w:val="left"/>
      <w:pPr>
        <w:ind w:left="819" w:hanging="217"/>
      </w:pPr>
      <w:rPr>
        <w:rFonts w:hint="default"/>
        <w:lang w:val="en-GB" w:eastAsia="en-GB" w:bidi="en-GB"/>
      </w:rPr>
    </w:lvl>
    <w:lvl w:ilvl="4" w:tplc="AAD08A42">
      <w:numFmt w:val="bullet"/>
      <w:lvlText w:val="•"/>
      <w:lvlJc w:val="left"/>
      <w:pPr>
        <w:ind w:left="992" w:hanging="217"/>
      </w:pPr>
      <w:rPr>
        <w:rFonts w:hint="default"/>
        <w:lang w:val="en-GB" w:eastAsia="en-GB" w:bidi="en-GB"/>
      </w:rPr>
    </w:lvl>
    <w:lvl w:ilvl="5" w:tplc="80ACE040">
      <w:numFmt w:val="bullet"/>
      <w:lvlText w:val="•"/>
      <w:lvlJc w:val="left"/>
      <w:pPr>
        <w:ind w:left="1165" w:hanging="217"/>
      </w:pPr>
      <w:rPr>
        <w:rFonts w:hint="default"/>
        <w:lang w:val="en-GB" w:eastAsia="en-GB" w:bidi="en-GB"/>
      </w:rPr>
    </w:lvl>
    <w:lvl w:ilvl="6" w:tplc="B422F07A">
      <w:numFmt w:val="bullet"/>
      <w:lvlText w:val="•"/>
      <w:lvlJc w:val="left"/>
      <w:pPr>
        <w:ind w:left="1338" w:hanging="217"/>
      </w:pPr>
      <w:rPr>
        <w:rFonts w:hint="default"/>
        <w:lang w:val="en-GB" w:eastAsia="en-GB" w:bidi="en-GB"/>
      </w:rPr>
    </w:lvl>
    <w:lvl w:ilvl="7" w:tplc="327ACC1E">
      <w:numFmt w:val="bullet"/>
      <w:lvlText w:val="•"/>
      <w:lvlJc w:val="left"/>
      <w:pPr>
        <w:ind w:left="1511" w:hanging="217"/>
      </w:pPr>
      <w:rPr>
        <w:rFonts w:hint="default"/>
        <w:lang w:val="en-GB" w:eastAsia="en-GB" w:bidi="en-GB"/>
      </w:rPr>
    </w:lvl>
    <w:lvl w:ilvl="8" w:tplc="3F343566">
      <w:numFmt w:val="bullet"/>
      <w:lvlText w:val="•"/>
      <w:lvlJc w:val="left"/>
      <w:pPr>
        <w:ind w:left="1684" w:hanging="217"/>
      </w:pPr>
      <w:rPr>
        <w:rFonts w:hint="default"/>
        <w:lang w:val="en-GB" w:eastAsia="en-GB" w:bidi="en-GB"/>
      </w:rPr>
    </w:lvl>
  </w:abstractNum>
  <w:abstractNum w:abstractNumId="1038" w15:restartNumberingAfterBreak="0">
    <w:nsid w:val="5F284194"/>
    <w:multiLevelType w:val="hybridMultilevel"/>
    <w:tmpl w:val="1A385E66"/>
    <w:lvl w:ilvl="0" w:tplc="03B22D3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EDC7088">
      <w:numFmt w:val="bullet"/>
      <w:lvlText w:val="•"/>
      <w:lvlJc w:val="left"/>
      <w:pPr>
        <w:ind w:left="473" w:hanging="217"/>
      </w:pPr>
      <w:rPr>
        <w:rFonts w:hint="default"/>
        <w:lang w:val="en-GB" w:eastAsia="en-GB" w:bidi="en-GB"/>
      </w:rPr>
    </w:lvl>
    <w:lvl w:ilvl="2" w:tplc="A858C156">
      <w:numFmt w:val="bullet"/>
      <w:lvlText w:val="•"/>
      <w:lvlJc w:val="left"/>
      <w:pPr>
        <w:ind w:left="646" w:hanging="217"/>
      </w:pPr>
      <w:rPr>
        <w:rFonts w:hint="default"/>
        <w:lang w:val="en-GB" w:eastAsia="en-GB" w:bidi="en-GB"/>
      </w:rPr>
    </w:lvl>
    <w:lvl w:ilvl="3" w:tplc="B52250DC">
      <w:numFmt w:val="bullet"/>
      <w:lvlText w:val="•"/>
      <w:lvlJc w:val="left"/>
      <w:pPr>
        <w:ind w:left="819" w:hanging="217"/>
      </w:pPr>
      <w:rPr>
        <w:rFonts w:hint="default"/>
        <w:lang w:val="en-GB" w:eastAsia="en-GB" w:bidi="en-GB"/>
      </w:rPr>
    </w:lvl>
    <w:lvl w:ilvl="4" w:tplc="57FE076A">
      <w:numFmt w:val="bullet"/>
      <w:lvlText w:val="•"/>
      <w:lvlJc w:val="left"/>
      <w:pPr>
        <w:ind w:left="992" w:hanging="217"/>
      </w:pPr>
      <w:rPr>
        <w:rFonts w:hint="default"/>
        <w:lang w:val="en-GB" w:eastAsia="en-GB" w:bidi="en-GB"/>
      </w:rPr>
    </w:lvl>
    <w:lvl w:ilvl="5" w:tplc="D748A794">
      <w:numFmt w:val="bullet"/>
      <w:lvlText w:val="•"/>
      <w:lvlJc w:val="left"/>
      <w:pPr>
        <w:ind w:left="1165" w:hanging="217"/>
      </w:pPr>
      <w:rPr>
        <w:rFonts w:hint="default"/>
        <w:lang w:val="en-GB" w:eastAsia="en-GB" w:bidi="en-GB"/>
      </w:rPr>
    </w:lvl>
    <w:lvl w:ilvl="6" w:tplc="897856D6">
      <w:numFmt w:val="bullet"/>
      <w:lvlText w:val="•"/>
      <w:lvlJc w:val="left"/>
      <w:pPr>
        <w:ind w:left="1338" w:hanging="217"/>
      </w:pPr>
      <w:rPr>
        <w:rFonts w:hint="default"/>
        <w:lang w:val="en-GB" w:eastAsia="en-GB" w:bidi="en-GB"/>
      </w:rPr>
    </w:lvl>
    <w:lvl w:ilvl="7" w:tplc="CB5044C4">
      <w:numFmt w:val="bullet"/>
      <w:lvlText w:val="•"/>
      <w:lvlJc w:val="left"/>
      <w:pPr>
        <w:ind w:left="1511" w:hanging="217"/>
      </w:pPr>
      <w:rPr>
        <w:rFonts w:hint="default"/>
        <w:lang w:val="en-GB" w:eastAsia="en-GB" w:bidi="en-GB"/>
      </w:rPr>
    </w:lvl>
    <w:lvl w:ilvl="8" w:tplc="6C28AA92">
      <w:numFmt w:val="bullet"/>
      <w:lvlText w:val="•"/>
      <w:lvlJc w:val="left"/>
      <w:pPr>
        <w:ind w:left="1684" w:hanging="217"/>
      </w:pPr>
      <w:rPr>
        <w:rFonts w:hint="default"/>
        <w:lang w:val="en-GB" w:eastAsia="en-GB" w:bidi="en-GB"/>
      </w:rPr>
    </w:lvl>
  </w:abstractNum>
  <w:abstractNum w:abstractNumId="1039" w15:restartNumberingAfterBreak="0">
    <w:nsid w:val="5F4065F5"/>
    <w:multiLevelType w:val="hybridMultilevel"/>
    <w:tmpl w:val="7BA2933E"/>
    <w:lvl w:ilvl="0" w:tplc="18DCF8E8">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6FA2028A">
      <w:numFmt w:val="bullet"/>
      <w:lvlText w:val="•"/>
      <w:lvlJc w:val="left"/>
      <w:pPr>
        <w:ind w:left="892" w:hanging="217"/>
      </w:pPr>
      <w:rPr>
        <w:rFonts w:hint="default"/>
        <w:lang w:val="en-GB" w:eastAsia="en-GB" w:bidi="en-GB"/>
      </w:rPr>
    </w:lvl>
    <w:lvl w:ilvl="2" w:tplc="EA904552">
      <w:numFmt w:val="bullet"/>
      <w:lvlText w:val="•"/>
      <w:lvlJc w:val="left"/>
      <w:pPr>
        <w:ind w:left="1485" w:hanging="217"/>
      </w:pPr>
      <w:rPr>
        <w:rFonts w:hint="default"/>
        <w:lang w:val="en-GB" w:eastAsia="en-GB" w:bidi="en-GB"/>
      </w:rPr>
    </w:lvl>
    <w:lvl w:ilvl="3" w:tplc="E0F4A1C2">
      <w:numFmt w:val="bullet"/>
      <w:lvlText w:val="•"/>
      <w:lvlJc w:val="left"/>
      <w:pPr>
        <w:ind w:left="2077" w:hanging="217"/>
      </w:pPr>
      <w:rPr>
        <w:rFonts w:hint="default"/>
        <w:lang w:val="en-GB" w:eastAsia="en-GB" w:bidi="en-GB"/>
      </w:rPr>
    </w:lvl>
    <w:lvl w:ilvl="4" w:tplc="2CCC08D0">
      <w:numFmt w:val="bullet"/>
      <w:lvlText w:val="•"/>
      <w:lvlJc w:val="left"/>
      <w:pPr>
        <w:ind w:left="2670" w:hanging="217"/>
      </w:pPr>
      <w:rPr>
        <w:rFonts w:hint="default"/>
        <w:lang w:val="en-GB" w:eastAsia="en-GB" w:bidi="en-GB"/>
      </w:rPr>
    </w:lvl>
    <w:lvl w:ilvl="5" w:tplc="5A805B32">
      <w:numFmt w:val="bullet"/>
      <w:lvlText w:val="•"/>
      <w:lvlJc w:val="left"/>
      <w:pPr>
        <w:ind w:left="3263" w:hanging="217"/>
      </w:pPr>
      <w:rPr>
        <w:rFonts w:hint="default"/>
        <w:lang w:val="en-GB" w:eastAsia="en-GB" w:bidi="en-GB"/>
      </w:rPr>
    </w:lvl>
    <w:lvl w:ilvl="6" w:tplc="26FCEE70">
      <w:numFmt w:val="bullet"/>
      <w:lvlText w:val="•"/>
      <w:lvlJc w:val="left"/>
      <w:pPr>
        <w:ind w:left="3855" w:hanging="217"/>
      </w:pPr>
      <w:rPr>
        <w:rFonts w:hint="default"/>
        <w:lang w:val="en-GB" w:eastAsia="en-GB" w:bidi="en-GB"/>
      </w:rPr>
    </w:lvl>
    <w:lvl w:ilvl="7" w:tplc="F24A9E62">
      <w:numFmt w:val="bullet"/>
      <w:lvlText w:val="•"/>
      <w:lvlJc w:val="left"/>
      <w:pPr>
        <w:ind w:left="4448" w:hanging="217"/>
      </w:pPr>
      <w:rPr>
        <w:rFonts w:hint="default"/>
        <w:lang w:val="en-GB" w:eastAsia="en-GB" w:bidi="en-GB"/>
      </w:rPr>
    </w:lvl>
    <w:lvl w:ilvl="8" w:tplc="A3CC3F24">
      <w:numFmt w:val="bullet"/>
      <w:lvlText w:val="•"/>
      <w:lvlJc w:val="left"/>
      <w:pPr>
        <w:ind w:left="5040" w:hanging="217"/>
      </w:pPr>
      <w:rPr>
        <w:rFonts w:hint="default"/>
        <w:lang w:val="en-GB" w:eastAsia="en-GB" w:bidi="en-GB"/>
      </w:rPr>
    </w:lvl>
  </w:abstractNum>
  <w:abstractNum w:abstractNumId="1040" w15:restartNumberingAfterBreak="0">
    <w:nsid w:val="5F49492E"/>
    <w:multiLevelType w:val="hybridMultilevel"/>
    <w:tmpl w:val="588C4F6E"/>
    <w:lvl w:ilvl="0" w:tplc="86087C4A">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800CC9DC">
      <w:numFmt w:val="bullet"/>
      <w:lvlText w:val="•"/>
      <w:lvlJc w:val="left"/>
      <w:pPr>
        <w:ind w:left="473" w:hanging="217"/>
      </w:pPr>
      <w:rPr>
        <w:rFonts w:hint="default"/>
        <w:lang w:val="en-GB" w:eastAsia="en-GB" w:bidi="en-GB"/>
      </w:rPr>
    </w:lvl>
    <w:lvl w:ilvl="2" w:tplc="B1FCC41E">
      <w:numFmt w:val="bullet"/>
      <w:lvlText w:val="•"/>
      <w:lvlJc w:val="left"/>
      <w:pPr>
        <w:ind w:left="646" w:hanging="217"/>
      </w:pPr>
      <w:rPr>
        <w:rFonts w:hint="default"/>
        <w:lang w:val="en-GB" w:eastAsia="en-GB" w:bidi="en-GB"/>
      </w:rPr>
    </w:lvl>
    <w:lvl w:ilvl="3" w:tplc="36E68ED4">
      <w:numFmt w:val="bullet"/>
      <w:lvlText w:val="•"/>
      <w:lvlJc w:val="left"/>
      <w:pPr>
        <w:ind w:left="819" w:hanging="217"/>
      </w:pPr>
      <w:rPr>
        <w:rFonts w:hint="default"/>
        <w:lang w:val="en-GB" w:eastAsia="en-GB" w:bidi="en-GB"/>
      </w:rPr>
    </w:lvl>
    <w:lvl w:ilvl="4" w:tplc="F6F2485C">
      <w:numFmt w:val="bullet"/>
      <w:lvlText w:val="•"/>
      <w:lvlJc w:val="left"/>
      <w:pPr>
        <w:ind w:left="992" w:hanging="217"/>
      </w:pPr>
      <w:rPr>
        <w:rFonts w:hint="default"/>
        <w:lang w:val="en-GB" w:eastAsia="en-GB" w:bidi="en-GB"/>
      </w:rPr>
    </w:lvl>
    <w:lvl w:ilvl="5" w:tplc="416C5FC2">
      <w:numFmt w:val="bullet"/>
      <w:lvlText w:val="•"/>
      <w:lvlJc w:val="left"/>
      <w:pPr>
        <w:ind w:left="1165" w:hanging="217"/>
      </w:pPr>
      <w:rPr>
        <w:rFonts w:hint="default"/>
        <w:lang w:val="en-GB" w:eastAsia="en-GB" w:bidi="en-GB"/>
      </w:rPr>
    </w:lvl>
    <w:lvl w:ilvl="6" w:tplc="322076D4">
      <w:numFmt w:val="bullet"/>
      <w:lvlText w:val="•"/>
      <w:lvlJc w:val="left"/>
      <w:pPr>
        <w:ind w:left="1338" w:hanging="217"/>
      </w:pPr>
      <w:rPr>
        <w:rFonts w:hint="default"/>
        <w:lang w:val="en-GB" w:eastAsia="en-GB" w:bidi="en-GB"/>
      </w:rPr>
    </w:lvl>
    <w:lvl w:ilvl="7" w:tplc="13560E8E">
      <w:numFmt w:val="bullet"/>
      <w:lvlText w:val="•"/>
      <w:lvlJc w:val="left"/>
      <w:pPr>
        <w:ind w:left="1511" w:hanging="217"/>
      </w:pPr>
      <w:rPr>
        <w:rFonts w:hint="default"/>
        <w:lang w:val="en-GB" w:eastAsia="en-GB" w:bidi="en-GB"/>
      </w:rPr>
    </w:lvl>
    <w:lvl w:ilvl="8" w:tplc="A1304C00">
      <w:numFmt w:val="bullet"/>
      <w:lvlText w:val="•"/>
      <w:lvlJc w:val="left"/>
      <w:pPr>
        <w:ind w:left="1684" w:hanging="217"/>
      </w:pPr>
      <w:rPr>
        <w:rFonts w:hint="default"/>
        <w:lang w:val="en-GB" w:eastAsia="en-GB" w:bidi="en-GB"/>
      </w:rPr>
    </w:lvl>
  </w:abstractNum>
  <w:abstractNum w:abstractNumId="1041" w15:restartNumberingAfterBreak="0">
    <w:nsid w:val="5FBA255D"/>
    <w:multiLevelType w:val="hybridMultilevel"/>
    <w:tmpl w:val="3536EAEE"/>
    <w:lvl w:ilvl="0" w:tplc="68B091A8">
      <w:numFmt w:val="bullet"/>
      <w:lvlText w:val="•"/>
      <w:lvlJc w:val="left"/>
      <w:pPr>
        <w:ind w:left="303" w:hanging="217"/>
      </w:pPr>
      <w:rPr>
        <w:rFonts w:ascii="Arial" w:eastAsia="Arial" w:hAnsi="Arial" w:cs="Arial" w:hint="default"/>
        <w:color w:val="231F20"/>
        <w:w w:val="102"/>
        <w:sz w:val="17"/>
        <w:szCs w:val="17"/>
        <w:lang w:val="en-GB" w:eastAsia="en-GB" w:bidi="en-GB"/>
      </w:rPr>
    </w:lvl>
    <w:lvl w:ilvl="1" w:tplc="6B647D82">
      <w:numFmt w:val="bullet"/>
      <w:lvlText w:val="•"/>
      <w:lvlJc w:val="left"/>
      <w:pPr>
        <w:ind w:left="439" w:hanging="217"/>
      </w:pPr>
      <w:rPr>
        <w:rFonts w:hint="default"/>
        <w:lang w:val="en-GB" w:eastAsia="en-GB" w:bidi="en-GB"/>
      </w:rPr>
    </w:lvl>
    <w:lvl w:ilvl="2" w:tplc="639CCAC4">
      <w:numFmt w:val="bullet"/>
      <w:lvlText w:val="•"/>
      <w:lvlJc w:val="left"/>
      <w:pPr>
        <w:ind w:left="578" w:hanging="217"/>
      </w:pPr>
      <w:rPr>
        <w:rFonts w:hint="default"/>
        <w:lang w:val="en-GB" w:eastAsia="en-GB" w:bidi="en-GB"/>
      </w:rPr>
    </w:lvl>
    <w:lvl w:ilvl="3" w:tplc="597AFE4C">
      <w:numFmt w:val="bullet"/>
      <w:lvlText w:val="•"/>
      <w:lvlJc w:val="left"/>
      <w:pPr>
        <w:ind w:left="717" w:hanging="217"/>
      </w:pPr>
      <w:rPr>
        <w:rFonts w:hint="default"/>
        <w:lang w:val="en-GB" w:eastAsia="en-GB" w:bidi="en-GB"/>
      </w:rPr>
    </w:lvl>
    <w:lvl w:ilvl="4" w:tplc="4C5A812A">
      <w:numFmt w:val="bullet"/>
      <w:lvlText w:val="•"/>
      <w:lvlJc w:val="left"/>
      <w:pPr>
        <w:ind w:left="856" w:hanging="217"/>
      </w:pPr>
      <w:rPr>
        <w:rFonts w:hint="default"/>
        <w:lang w:val="en-GB" w:eastAsia="en-GB" w:bidi="en-GB"/>
      </w:rPr>
    </w:lvl>
    <w:lvl w:ilvl="5" w:tplc="B7A4C062">
      <w:numFmt w:val="bullet"/>
      <w:lvlText w:val="•"/>
      <w:lvlJc w:val="left"/>
      <w:pPr>
        <w:ind w:left="995" w:hanging="217"/>
      </w:pPr>
      <w:rPr>
        <w:rFonts w:hint="default"/>
        <w:lang w:val="en-GB" w:eastAsia="en-GB" w:bidi="en-GB"/>
      </w:rPr>
    </w:lvl>
    <w:lvl w:ilvl="6" w:tplc="07F217A8">
      <w:numFmt w:val="bullet"/>
      <w:lvlText w:val="•"/>
      <w:lvlJc w:val="left"/>
      <w:pPr>
        <w:ind w:left="1134" w:hanging="217"/>
      </w:pPr>
      <w:rPr>
        <w:rFonts w:hint="default"/>
        <w:lang w:val="en-GB" w:eastAsia="en-GB" w:bidi="en-GB"/>
      </w:rPr>
    </w:lvl>
    <w:lvl w:ilvl="7" w:tplc="F2181658">
      <w:numFmt w:val="bullet"/>
      <w:lvlText w:val="•"/>
      <w:lvlJc w:val="left"/>
      <w:pPr>
        <w:ind w:left="1273" w:hanging="217"/>
      </w:pPr>
      <w:rPr>
        <w:rFonts w:hint="default"/>
        <w:lang w:val="en-GB" w:eastAsia="en-GB" w:bidi="en-GB"/>
      </w:rPr>
    </w:lvl>
    <w:lvl w:ilvl="8" w:tplc="8D6C14B4">
      <w:numFmt w:val="bullet"/>
      <w:lvlText w:val="•"/>
      <w:lvlJc w:val="left"/>
      <w:pPr>
        <w:ind w:left="1412" w:hanging="217"/>
      </w:pPr>
      <w:rPr>
        <w:rFonts w:hint="default"/>
        <w:lang w:val="en-GB" w:eastAsia="en-GB" w:bidi="en-GB"/>
      </w:rPr>
    </w:lvl>
  </w:abstractNum>
  <w:abstractNum w:abstractNumId="1042" w15:restartNumberingAfterBreak="0">
    <w:nsid w:val="5FBC77BF"/>
    <w:multiLevelType w:val="hybridMultilevel"/>
    <w:tmpl w:val="498879C8"/>
    <w:lvl w:ilvl="0" w:tplc="822414F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F500C0AC">
      <w:numFmt w:val="bullet"/>
      <w:lvlText w:val="•"/>
      <w:lvlJc w:val="left"/>
      <w:pPr>
        <w:ind w:left="473" w:hanging="217"/>
      </w:pPr>
      <w:rPr>
        <w:rFonts w:hint="default"/>
        <w:lang w:val="en-GB" w:eastAsia="en-GB" w:bidi="en-GB"/>
      </w:rPr>
    </w:lvl>
    <w:lvl w:ilvl="2" w:tplc="037039AC">
      <w:numFmt w:val="bullet"/>
      <w:lvlText w:val="•"/>
      <w:lvlJc w:val="left"/>
      <w:pPr>
        <w:ind w:left="646" w:hanging="217"/>
      </w:pPr>
      <w:rPr>
        <w:rFonts w:hint="default"/>
        <w:lang w:val="en-GB" w:eastAsia="en-GB" w:bidi="en-GB"/>
      </w:rPr>
    </w:lvl>
    <w:lvl w:ilvl="3" w:tplc="EB6E7F8A">
      <w:numFmt w:val="bullet"/>
      <w:lvlText w:val="•"/>
      <w:lvlJc w:val="left"/>
      <w:pPr>
        <w:ind w:left="819" w:hanging="217"/>
      </w:pPr>
      <w:rPr>
        <w:rFonts w:hint="default"/>
        <w:lang w:val="en-GB" w:eastAsia="en-GB" w:bidi="en-GB"/>
      </w:rPr>
    </w:lvl>
    <w:lvl w:ilvl="4" w:tplc="3CCA9C86">
      <w:numFmt w:val="bullet"/>
      <w:lvlText w:val="•"/>
      <w:lvlJc w:val="left"/>
      <w:pPr>
        <w:ind w:left="992" w:hanging="217"/>
      </w:pPr>
      <w:rPr>
        <w:rFonts w:hint="default"/>
        <w:lang w:val="en-GB" w:eastAsia="en-GB" w:bidi="en-GB"/>
      </w:rPr>
    </w:lvl>
    <w:lvl w:ilvl="5" w:tplc="6A00ECCA">
      <w:numFmt w:val="bullet"/>
      <w:lvlText w:val="•"/>
      <w:lvlJc w:val="left"/>
      <w:pPr>
        <w:ind w:left="1165" w:hanging="217"/>
      </w:pPr>
      <w:rPr>
        <w:rFonts w:hint="default"/>
        <w:lang w:val="en-GB" w:eastAsia="en-GB" w:bidi="en-GB"/>
      </w:rPr>
    </w:lvl>
    <w:lvl w:ilvl="6" w:tplc="B9CA1F46">
      <w:numFmt w:val="bullet"/>
      <w:lvlText w:val="•"/>
      <w:lvlJc w:val="left"/>
      <w:pPr>
        <w:ind w:left="1338" w:hanging="217"/>
      </w:pPr>
      <w:rPr>
        <w:rFonts w:hint="default"/>
        <w:lang w:val="en-GB" w:eastAsia="en-GB" w:bidi="en-GB"/>
      </w:rPr>
    </w:lvl>
    <w:lvl w:ilvl="7" w:tplc="09542C80">
      <w:numFmt w:val="bullet"/>
      <w:lvlText w:val="•"/>
      <w:lvlJc w:val="left"/>
      <w:pPr>
        <w:ind w:left="1511" w:hanging="217"/>
      </w:pPr>
      <w:rPr>
        <w:rFonts w:hint="default"/>
        <w:lang w:val="en-GB" w:eastAsia="en-GB" w:bidi="en-GB"/>
      </w:rPr>
    </w:lvl>
    <w:lvl w:ilvl="8" w:tplc="7E64486E">
      <w:numFmt w:val="bullet"/>
      <w:lvlText w:val="•"/>
      <w:lvlJc w:val="left"/>
      <w:pPr>
        <w:ind w:left="1684" w:hanging="217"/>
      </w:pPr>
      <w:rPr>
        <w:rFonts w:hint="default"/>
        <w:lang w:val="en-GB" w:eastAsia="en-GB" w:bidi="en-GB"/>
      </w:rPr>
    </w:lvl>
  </w:abstractNum>
  <w:abstractNum w:abstractNumId="1043" w15:restartNumberingAfterBreak="0">
    <w:nsid w:val="5FCB3EF7"/>
    <w:multiLevelType w:val="hybridMultilevel"/>
    <w:tmpl w:val="84D42938"/>
    <w:lvl w:ilvl="0" w:tplc="A820675C">
      <w:numFmt w:val="bullet"/>
      <w:lvlText w:val="•"/>
      <w:lvlJc w:val="left"/>
      <w:pPr>
        <w:ind w:left="305" w:hanging="217"/>
      </w:pPr>
      <w:rPr>
        <w:rFonts w:ascii="Arial" w:eastAsia="Arial" w:hAnsi="Arial" w:cs="Arial" w:hint="default"/>
        <w:color w:val="231F20"/>
        <w:w w:val="102"/>
        <w:sz w:val="17"/>
        <w:szCs w:val="17"/>
        <w:lang w:val="en-GB" w:eastAsia="en-GB" w:bidi="en-GB"/>
      </w:rPr>
    </w:lvl>
    <w:lvl w:ilvl="1" w:tplc="9A622310">
      <w:numFmt w:val="bullet"/>
      <w:lvlText w:val="•"/>
      <w:lvlJc w:val="left"/>
      <w:pPr>
        <w:ind w:left="892" w:hanging="217"/>
      </w:pPr>
      <w:rPr>
        <w:rFonts w:hint="default"/>
        <w:lang w:val="en-GB" w:eastAsia="en-GB" w:bidi="en-GB"/>
      </w:rPr>
    </w:lvl>
    <w:lvl w:ilvl="2" w:tplc="809427BE">
      <w:numFmt w:val="bullet"/>
      <w:lvlText w:val="•"/>
      <w:lvlJc w:val="left"/>
      <w:pPr>
        <w:ind w:left="1485" w:hanging="217"/>
      </w:pPr>
      <w:rPr>
        <w:rFonts w:hint="default"/>
        <w:lang w:val="en-GB" w:eastAsia="en-GB" w:bidi="en-GB"/>
      </w:rPr>
    </w:lvl>
    <w:lvl w:ilvl="3" w:tplc="01E4D2B6">
      <w:numFmt w:val="bullet"/>
      <w:lvlText w:val="•"/>
      <w:lvlJc w:val="left"/>
      <w:pPr>
        <w:ind w:left="2077" w:hanging="217"/>
      </w:pPr>
      <w:rPr>
        <w:rFonts w:hint="default"/>
        <w:lang w:val="en-GB" w:eastAsia="en-GB" w:bidi="en-GB"/>
      </w:rPr>
    </w:lvl>
    <w:lvl w:ilvl="4" w:tplc="35C6592C">
      <w:numFmt w:val="bullet"/>
      <w:lvlText w:val="•"/>
      <w:lvlJc w:val="left"/>
      <w:pPr>
        <w:ind w:left="2670" w:hanging="217"/>
      </w:pPr>
      <w:rPr>
        <w:rFonts w:hint="default"/>
        <w:lang w:val="en-GB" w:eastAsia="en-GB" w:bidi="en-GB"/>
      </w:rPr>
    </w:lvl>
    <w:lvl w:ilvl="5" w:tplc="88EE72B2">
      <w:numFmt w:val="bullet"/>
      <w:lvlText w:val="•"/>
      <w:lvlJc w:val="left"/>
      <w:pPr>
        <w:ind w:left="3263" w:hanging="217"/>
      </w:pPr>
      <w:rPr>
        <w:rFonts w:hint="default"/>
        <w:lang w:val="en-GB" w:eastAsia="en-GB" w:bidi="en-GB"/>
      </w:rPr>
    </w:lvl>
    <w:lvl w:ilvl="6" w:tplc="A0627DB0">
      <w:numFmt w:val="bullet"/>
      <w:lvlText w:val="•"/>
      <w:lvlJc w:val="left"/>
      <w:pPr>
        <w:ind w:left="3855" w:hanging="217"/>
      </w:pPr>
      <w:rPr>
        <w:rFonts w:hint="default"/>
        <w:lang w:val="en-GB" w:eastAsia="en-GB" w:bidi="en-GB"/>
      </w:rPr>
    </w:lvl>
    <w:lvl w:ilvl="7" w:tplc="3F287468">
      <w:numFmt w:val="bullet"/>
      <w:lvlText w:val="•"/>
      <w:lvlJc w:val="left"/>
      <w:pPr>
        <w:ind w:left="4448" w:hanging="217"/>
      </w:pPr>
      <w:rPr>
        <w:rFonts w:hint="default"/>
        <w:lang w:val="en-GB" w:eastAsia="en-GB" w:bidi="en-GB"/>
      </w:rPr>
    </w:lvl>
    <w:lvl w:ilvl="8" w:tplc="5240D712">
      <w:numFmt w:val="bullet"/>
      <w:lvlText w:val="•"/>
      <w:lvlJc w:val="left"/>
      <w:pPr>
        <w:ind w:left="5040" w:hanging="217"/>
      </w:pPr>
      <w:rPr>
        <w:rFonts w:hint="default"/>
        <w:lang w:val="en-GB" w:eastAsia="en-GB" w:bidi="en-GB"/>
      </w:rPr>
    </w:lvl>
  </w:abstractNum>
  <w:abstractNum w:abstractNumId="1044" w15:restartNumberingAfterBreak="0">
    <w:nsid w:val="5FD82637"/>
    <w:multiLevelType w:val="multilevel"/>
    <w:tmpl w:val="A6D83E4E"/>
    <w:lvl w:ilvl="0">
      <w:start w:val="1"/>
      <w:numFmt w:val="decimal"/>
      <w:lvlText w:val="%1"/>
      <w:lvlJc w:val="left"/>
      <w:pPr>
        <w:ind w:left="210" w:hanging="720"/>
      </w:pPr>
      <w:rPr>
        <w:rFonts w:hint="default"/>
        <w:lang w:val="en-GB" w:eastAsia="en-GB" w:bidi="en-GB"/>
      </w:rPr>
    </w:lvl>
    <w:lvl w:ilvl="1">
      <w:start w:val="4"/>
      <w:numFmt w:val="decimal"/>
      <w:lvlText w:val="%1.%2"/>
      <w:lvlJc w:val="left"/>
      <w:pPr>
        <w:ind w:left="210" w:hanging="720"/>
      </w:pPr>
      <w:rPr>
        <w:rFonts w:hint="default"/>
        <w:lang w:val="en-GB" w:eastAsia="en-GB" w:bidi="en-GB"/>
      </w:rPr>
    </w:lvl>
    <w:lvl w:ilvl="2">
      <w:start w:val="1"/>
      <w:numFmt w:val="decimal"/>
      <w:lvlText w:val="%1.%2.%3"/>
      <w:lvlJc w:val="left"/>
      <w:pPr>
        <w:ind w:left="210" w:hanging="720"/>
      </w:pPr>
      <w:rPr>
        <w:rFonts w:ascii="Arial" w:eastAsia="Arial" w:hAnsi="Arial" w:cs="Arial" w:hint="default"/>
        <w:b/>
        <w:bCs/>
        <w:color w:val="231F20"/>
        <w:spacing w:val="-14"/>
        <w:w w:val="100"/>
        <w:sz w:val="24"/>
        <w:szCs w:val="24"/>
        <w:lang w:val="en-GB" w:eastAsia="en-GB" w:bidi="en-GB"/>
      </w:rPr>
    </w:lvl>
    <w:lvl w:ilvl="3">
      <w:numFmt w:val="bullet"/>
      <w:lvlText w:val="•"/>
      <w:lvlJc w:val="left"/>
      <w:pPr>
        <w:ind w:left="3335" w:hanging="720"/>
      </w:pPr>
      <w:rPr>
        <w:rFonts w:hint="default"/>
        <w:lang w:val="en-GB" w:eastAsia="en-GB" w:bidi="en-GB"/>
      </w:rPr>
    </w:lvl>
    <w:lvl w:ilvl="4">
      <w:numFmt w:val="bullet"/>
      <w:lvlText w:val="•"/>
      <w:lvlJc w:val="left"/>
      <w:pPr>
        <w:ind w:left="4374" w:hanging="720"/>
      </w:pPr>
      <w:rPr>
        <w:rFonts w:hint="default"/>
        <w:lang w:val="en-GB" w:eastAsia="en-GB" w:bidi="en-GB"/>
      </w:rPr>
    </w:lvl>
    <w:lvl w:ilvl="5">
      <w:numFmt w:val="bullet"/>
      <w:lvlText w:val="•"/>
      <w:lvlJc w:val="left"/>
      <w:pPr>
        <w:ind w:left="5412" w:hanging="720"/>
      </w:pPr>
      <w:rPr>
        <w:rFonts w:hint="default"/>
        <w:lang w:val="en-GB" w:eastAsia="en-GB" w:bidi="en-GB"/>
      </w:rPr>
    </w:lvl>
    <w:lvl w:ilvl="6">
      <w:numFmt w:val="bullet"/>
      <w:lvlText w:val="•"/>
      <w:lvlJc w:val="left"/>
      <w:pPr>
        <w:ind w:left="6451" w:hanging="720"/>
      </w:pPr>
      <w:rPr>
        <w:rFonts w:hint="default"/>
        <w:lang w:val="en-GB" w:eastAsia="en-GB" w:bidi="en-GB"/>
      </w:rPr>
    </w:lvl>
    <w:lvl w:ilvl="7">
      <w:numFmt w:val="bullet"/>
      <w:lvlText w:val="•"/>
      <w:lvlJc w:val="left"/>
      <w:pPr>
        <w:ind w:left="7489" w:hanging="720"/>
      </w:pPr>
      <w:rPr>
        <w:rFonts w:hint="default"/>
        <w:lang w:val="en-GB" w:eastAsia="en-GB" w:bidi="en-GB"/>
      </w:rPr>
    </w:lvl>
    <w:lvl w:ilvl="8">
      <w:numFmt w:val="bullet"/>
      <w:lvlText w:val="•"/>
      <w:lvlJc w:val="left"/>
      <w:pPr>
        <w:ind w:left="8528" w:hanging="720"/>
      </w:pPr>
      <w:rPr>
        <w:rFonts w:hint="default"/>
        <w:lang w:val="en-GB" w:eastAsia="en-GB" w:bidi="en-GB"/>
      </w:rPr>
    </w:lvl>
  </w:abstractNum>
  <w:abstractNum w:abstractNumId="1045" w15:restartNumberingAfterBreak="0">
    <w:nsid w:val="5FEF2520"/>
    <w:multiLevelType w:val="hybridMultilevel"/>
    <w:tmpl w:val="D4A44C56"/>
    <w:lvl w:ilvl="0" w:tplc="EC08AED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15C9AE4">
      <w:numFmt w:val="bullet"/>
      <w:lvlText w:val="•"/>
      <w:lvlJc w:val="left"/>
      <w:pPr>
        <w:ind w:left="473" w:hanging="217"/>
      </w:pPr>
      <w:rPr>
        <w:rFonts w:hint="default"/>
        <w:lang w:val="en-GB" w:eastAsia="en-GB" w:bidi="en-GB"/>
      </w:rPr>
    </w:lvl>
    <w:lvl w:ilvl="2" w:tplc="96FA983A">
      <w:numFmt w:val="bullet"/>
      <w:lvlText w:val="•"/>
      <w:lvlJc w:val="left"/>
      <w:pPr>
        <w:ind w:left="646" w:hanging="217"/>
      </w:pPr>
      <w:rPr>
        <w:rFonts w:hint="default"/>
        <w:lang w:val="en-GB" w:eastAsia="en-GB" w:bidi="en-GB"/>
      </w:rPr>
    </w:lvl>
    <w:lvl w:ilvl="3" w:tplc="6AB668B4">
      <w:numFmt w:val="bullet"/>
      <w:lvlText w:val="•"/>
      <w:lvlJc w:val="left"/>
      <w:pPr>
        <w:ind w:left="819" w:hanging="217"/>
      </w:pPr>
      <w:rPr>
        <w:rFonts w:hint="default"/>
        <w:lang w:val="en-GB" w:eastAsia="en-GB" w:bidi="en-GB"/>
      </w:rPr>
    </w:lvl>
    <w:lvl w:ilvl="4" w:tplc="231EB422">
      <w:numFmt w:val="bullet"/>
      <w:lvlText w:val="•"/>
      <w:lvlJc w:val="left"/>
      <w:pPr>
        <w:ind w:left="992" w:hanging="217"/>
      </w:pPr>
      <w:rPr>
        <w:rFonts w:hint="default"/>
        <w:lang w:val="en-GB" w:eastAsia="en-GB" w:bidi="en-GB"/>
      </w:rPr>
    </w:lvl>
    <w:lvl w:ilvl="5" w:tplc="EE76CFD0">
      <w:numFmt w:val="bullet"/>
      <w:lvlText w:val="•"/>
      <w:lvlJc w:val="left"/>
      <w:pPr>
        <w:ind w:left="1165" w:hanging="217"/>
      </w:pPr>
      <w:rPr>
        <w:rFonts w:hint="default"/>
        <w:lang w:val="en-GB" w:eastAsia="en-GB" w:bidi="en-GB"/>
      </w:rPr>
    </w:lvl>
    <w:lvl w:ilvl="6" w:tplc="EA24298A">
      <w:numFmt w:val="bullet"/>
      <w:lvlText w:val="•"/>
      <w:lvlJc w:val="left"/>
      <w:pPr>
        <w:ind w:left="1338" w:hanging="217"/>
      </w:pPr>
      <w:rPr>
        <w:rFonts w:hint="default"/>
        <w:lang w:val="en-GB" w:eastAsia="en-GB" w:bidi="en-GB"/>
      </w:rPr>
    </w:lvl>
    <w:lvl w:ilvl="7" w:tplc="E35CE35E">
      <w:numFmt w:val="bullet"/>
      <w:lvlText w:val="•"/>
      <w:lvlJc w:val="left"/>
      <w:pPr>
        <w:ind w:left="1511" w:hanging="217"/>
      </w:pPr>
      <w:rPr>
        <w:rFonts w:hint="default"/>
        <w:lang w:val="en-GB" w:eastAsia="en-GB" w:bidi="en-GB"/>
      </w:rPr>
    </w:lvl>
    <w:lvl w:ilvl="8" w:tplc="0B0E78DE">
      <w:numFmt w:val="bullet"/>
      <w:lvlText w:val="•"/>
      <w:lvlJc w:val="left"/>
      <w:pPr>
        <w:ind w:left="1684" w:hanging="217"/>
      </w:pPr>
      <w:rPr>
        <w:rFonts w:hint="default"/>
        <w:lang w:val="en-GB" w:eastAsia="en-GB" w:bidi="en-GB"/>
      </w:rPr>
    </w:lvl>
  </w:abstractNum>
  <w:abstractNum w:abstractNumId="1046" w15:restartNumberingAfterBreak="0">
    <w:nsid w:val="600864E2"/>
    <w:multiLevelType w:val="hybridMultilevel"/>
    <w:tmpl w:val="06369F68"/>
    <w:lvl w:ilvl="0" w:tplc="010228A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64A44A4">
      <w:numFmt w:val="bullet"/>
      <w:lvlText w:val="•"/>
      <w:lvlJc w:val="left"/>
      <w:pPr>
        <w:ind w:left="1061" w:hanging="217"/>
      </w:pPr>
      <w:rPr>
        <w:rFonts w:hint="default"/>
        <w:lang w:val="en-GB" w:eastAsia="en-GB" w:bidi="en-GB"/>
      </w:rPr>
    </w:lvl>
    <w:lvl w:ilvl="2" w:tplc="A8D69A2C">
      <w:numFmt w:val="bullet"/>
      <w:lvlText w:val="•"/>
      <w:lvlJc w:val="left"/>
      <w:pPr>
        <w:ind w:left="1823" w:hanging="217"/>
      </w:pPr>
      <w:rPr>
        <w:rFonts w:hint="default"/>
        <w:lang w:val="en-GB" w:eastAsia="en-GB" w:bidi="en-GB"/>
      </w:rPr>
    </w:lvl>
    <w:lvl w:ilvl="3" w:tplc="366E730E">
      <w:numFmt w:val="bullet"/>
      <w:lvlText w:val="•"/>
      <w:lvlJc w:val="left"/>
      <w:pPr>
        <w:ind w:left="2585" w:hanging="217"/>
      </w:pPr>
      <w:rPr>
        <w:rFonts w:hint="default"/>
        <w:lang w:val="en-GB" w:eastAsia="en-GB" w:bidi="en-GB"/>
      </w:rPr>
    </w:lvl>
    <w:lvl w:ilvl="4" w:tplc="72221378">
      <w:numFmt w:val="bullet"/>
      <w:lvlText w:val="•"/>
      <w:lvlJc w:val="left"/>
      <w:pPr>
        <w:ind w:left="3346" w:hanging="217"/>
      </w:pPr>
      <w:rPr>
        <w:rFonts w:hint="default"/>
        <w:lang w:val="en-GB" w:eastAsia="en-GB" w:bidi="en-GB"/>
      </w:rPr>
    </w:lvl>
    <w:lvl w:ilvl="5" w:tplc="581A374C">
      <w:numFmt w:val="bullet"/>
      <w:lvlText w:val="•"/>
      <w:lvlJc w:val="left"/>
      <w:pPr>
        <w:ind w:left="4108" w:hanging="217"/>
      </w:pPr>
      <w:rPr>
        <w:rFonts w:hint="default"/>
        <w:lang w:val="en-GB" w:eastAsia="en-GB" w:bidi="en-GB"/>
      </w:rPr>
    </w:lvl>
    <w:lvl w:ilvl="6" w:tplc="D8421D38">
      <w:numFmt w:val="bullet"/>
      <w:lvlText w:val="•"/>
      <w:lvlJc w:val="left"/>
      <w:pPr>
        <w:ind w:left="4870" w:hanging="217"/>
      </w:pPr>
      <w:rPr>
        <w:rFonts w:hint="default"/>
        <w:lang w:val="en-GB" w:eastAsia="en-GB" w:bidi="en-GB"/>
      </w:rPr>
    </w:lvl>
    <w:lvl w:ilvl="7" w:tplc="4BE607A6">
      <w:numFmt w:val="bullet"/>
      <w:lvlText w:val="•"/>
      <w:lvlJc w:val="left"/>
      <w:pPr>
        <w:ind w:left="5631" w:hanging="217"/>
      </w:pPr>
      <w:rPr>
        <w:rFonts w:hint="default"/>
        <w:lang w:val="en-GB" w:eastAsia="en-GB" w:bidi="en-GB"/>
      </w:rPr>
    </w:lvl>
    <w:lvl w:ilvl="8" w:tplc="B890E7B0">
      <w:numFmt w:val="bullet"/>
      <w:lvlText w:val="•"/>
      <w:lvlJc w:val="left"/>
      <w:pPr>
        <w:ind w:left="6393" w:hanging="217"/>
      </w:pPr>
      <w:rPr>
        <w:rFonts w:hint="default"/>
        <w:lang w:val="en-GB" w:eastAsia="en-GB" w:bidi="en-GB"/>
      </w:rPr>
    </w:lvl>
  </w:abstractNum>
  <w:abstractNum w:abstractNumId="1047" w15:restartNumberingAfterBreak="0">
    <w:nsid w:val="603E7EF2"/>
    <w:multiLevelType w:val="hybridMultilevel"/>
    <w:tmpl w:val="DFAC59CE"/>
    <w:lvl w:ilvl="0" w:tplc="C4904D78">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7A6278CE">
      <w:numFmt w:val="bullet"/>
      <w:lvlText w:val="•"/>
      <w:lvlJc w:val="left"/>
      <w:pPr>
        <w:ind w:left="473" w:hanging="217"/>
      </w:pPr>
      <w:rPr>
        <w:rFonts w:hint="default"/>
        <w:lang w:val="en-GB" w:eastAsia="en-GB" w:bidi="en-GB"/>
      </w:rPr>
    </w:lvl>
    <w:lvl w:ilvl="2" w:tplc="D2FEE992">
      <w:numFmt w:val="bullet"/>
      <w:lvlText w:val="•"/>
      <w:lvlJc w:val="left"/>
      <w:pPr>
        <w:ind w:left="646" w:hanging="217"/>
      </w:pPr>
      <w:rPr>
        <w:rFonts w:hint="default"/>
        <w:lang w:val="en-GB" w:eastAsia="en-GB" w:bidi="en-GB"/>
      </w:rPr>
    </w:lvl>
    <w:lvl w:ilvl="3" w:tplc="31C0215A">
      <w:numFmt w:val="bullet"/>
      <w:lvlText w:val="•"/>
      <w:lvlJc w:val="left"/>
      <w:pPr>
        <w:ind w:left="819" w:hanging="217"/>
      </w:pPr>
      <w:rPr>
        <w:rFonts w:hint="default"/>
        <w:lang w:val="en-GB" w:eastAsia="en-GB" w:bidi="en-GB"/>
      </w:rPr>
    </w:lvl>
    <w:lvl w:ilvl="4" w:tplc="D54A099E">
      <w:numFmt w:val="bullet"/>
      <w:lvlText w:val="•"/>
      <w:lvlJc w:val="left"/>
      <w:pPr>
        <w:ind w:left="992" w:hanging="217"/>
      </w:pPr>
      <w:rPr>
        <w:rFonts w:hint="default"/>
        <w:lang w:val="en-GB" w:eastAsia="en-GB" w:bidi="en-GB"/>
      </w:rPr>
    </w:lvl>
    <w:lvl w:ilvl="5" w:tplc="58727068">
      <w:numFmt w:val="bullet"/>
      <w:lvlText w:val="•"/>
      <w:lvlJc w:val="left"/>
      <w:pPr>
        <w:ind w:left="1165" w:hanging="217"/>
      </w:pPr>
      <w:rPr>
        <w:rFonts w:hint="default"/>
        <w:lang w:val="en-GB" w:eastAsia="en-GB" w:bidi="en-GB"/>
      </w:rPr>
    </w:lvl>
    <w:lvl w:ilvl="6" w:tplc="CC06977A">
      <w:numFmt w:val="bullet"/>
      <w:lvlText w:val="•"/>
      <w:lvlJc w:val="left"/>
      <w:pPr>
        <w:ind w:left="1338" w:hanging="217"/>
      </w:pPr>
      <w:rPr>
        <w:rFonts w:hint="default"/>
        <w:lang w:val="en-GB" w:eastAsia="en-GB" w:bidi="en-GB"/>
      </w:rPr>
    </w:lvl>
    <w:lvl w:ilvl="7" w:tplc="999678B8">
      <w:numFmt w:val="bullet"/>
      <w:lvlText w:val="•"/>
      <w:lvlJc w:val="left"/>
      <w:pPr>
        <w:ind w:left="1511" w:hanging="217"/>
      </w:pPr>
      <w:rPr>
        <w:rFonts w:hint="default"/>
        <w:lang w:val="en-GB" w:eastAsia="en-GB" w:bidi="en-GB"/>
      </w:rPr>
    </w:lvl>
    <w:lvl w:ilvl="8" w:tplc="BFEE9516">
      <w:numFmt w:val="bullet"/>
      <w:lvlText w:val="•"/>
      <w:lvlJc w:val="left"/>
      <w:pPr>
        <w:ind w:left="1684" w:hanging="217"/>
      </w:pPr>
      <w:rPr>
        <w:rFonts w:hint="default"/>
        <w:lang w:val="en-GB" w:eastAsia="en-GB" w:bidi="en-GB"/>
      </w:rPr>
    </w:lvl>
  </w:abstractNum>
  <w:abstractNum w:abstractNumId="1048" w15:restartNumberingAfterBreak="0">
    <w:nsid w:val="60445926"/>
    <w:multiLevelType w:val="hybridMultilevel"/>
    <w:tmpl w:val="7C80A3E6"/>
    <w:lvl w:ilvl="0" w:tplc="53CE907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2B2E1B6">
      <w:numFmt w:val="bullet"/>
      <w:lvlText w:val="•"/>
      <w:lvlJc w:val="left"/>
      <w:pPr>
        <w:ind w:left="473" w:hanging="217"/>
      </w:pPr>
      <w:rPr>
        <w:rFonts w:hint="default"/>
        <w:lang w:val="en-GB" w:eastAsia="en-GB" w:bidi="en-GB"/>
      </w:rPr>
    </w:lvl>
    <w:lvl w:ilvl="2" w:tplc="B38EF6E4">
      <w:numFmt w:val="bullet"/>
      <w:lvlText w:val="•"/>
      <w:lvlJc w:val="left"/>
      <w:pPr>
        <w:ind w:left="646" w:hanging="217"/>
      </w:pPr>
      <w:rPr>
        <w:rFonts w:hint="default"/>
        <w:lang w:val="en-GB" w:eastAsia="en-GB" w:bidi="en-GB"/>
      </w:rPr>
    </w:lvl>
    <w:lvl w:ilvl="3" w:tplc="19B6DBB6">
      <w:numFmt w:val="bullet"/>
      <w:lvlText w:val="•"/>
      <w:lvlJc w:val="left"/>
      <w:pPr>
        <w:ind w:left="819" w:hanging="217"/>
      </w:pPr>
      <w:rPr>
        <w:rFonts w:hint="default"/>
        <w:lang w:val="en-GB" w:eastAsia="en-GB" w:bidi="en-GB"/>
      </w:rPr>
    </w:lvl>
    <w:lvl w:ilvl="4" w:tplc="7E10BB34">
      <w:numFmt w:val="bullet"/>
      <w:lvlText w:val="•"/>
      <w:lvlJc w:val="left"/>
      <w:pPr>
        <w:ind w:left="992" w:hanging="217"/>
      </w:pPr>
      <w:rPr>
        <w:rFonts w:hint="default"/>
        <w:lang w:val="en-GB" w:eastAsia="en-GB" w:bidi="en-GB"/>
      </w:rPr>
    </w:lvl>
    <w:lvl w:ilvl="5" w:tplc="6AA221BE">
      <w:numFmt w:val="bullet"/>
      <w:lvlText w:val="•"/>
      <w:lvlJc w:val="left"/>
      <w:pPr>
        <w:ind w:left="1165" w:hanging="217"/>
      </w:pPr>
      <w:rPr>
        <w:rFonts w:hint="default"/>
        <w:lang w:val="en-GB" w:eastAsia="en-GB" w:bidi="en-GB"/>
      </w:rPr>
    </w:lvl>
    <w:lvl w:ilvl="6" w:tplc="E804706C">
      <w:numFmt w:val="bullet"/>
      <w:lvlText w:val="•"/>
      <w:lvlJc w:val="left"/>
      <w:pPr>
        <w:ind w:left="1338" w:hanging="217"/>
      </w:pPr>
      <w:rPr>
        <w:rFonts w:hint="default"/>
        <w:lang w:val="en-GB" w:eastAsia="en-GB" w:bidi="en-GB"/>
      </w:rPr>
    </w:lvl>
    <w:lvl w:ilvl="7" w:tplc="3C5ACE7A">
      <w:numFmt w:val="bullet"/>
      <w:lvlText w:val="•"/>
      <w:lvlJc w:val="left"/>
      <w:pPr>
        <w:ind w:left="1511" w:hanging="217"/>
      </w:pPr>
      <w:rPr>
        <w:rFonts w:hint="default"/>
        <w:lang w:val="en-GB" w:eastAsia="en-GB" w:bidi="en-GB"/>
      </w:rPr>
    </w:lvl>
    <w:lvl w:ilvl="8" w:tplc="B0760DD4">
      <w:numFmt w:val="bullet"/>
      <w:lvlText w:val="•"/>
      <w:lvlJc w:val="left"/>
      <w:pPr>
        <w:ind w:left="1684" w:hanging="217"/>
      </w:pPr>
      <w:rPr>
        <w:rFonts w:hint="default"/>
        <w:lang w:val="en-GB" w:eastAsia="en-GB" w:bidi="en-GB"/>
      </w:rPr>
    </w:lvl>
  </w:abstractNum>
  <w:abstractNum w:abstractNumId="1049" w15:restartNumberingAfterBreak="0">
    <w:nsid w:val="604A4F5B"/>
    <w:multiLevelType w:val="hybridMultilevel"/>
    <w:tmpl w:val="18FCCB00"/>
    <w:lvl w:ilvl="0" w:tplc="3D3EC72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472FBD2">
      <w:numFmt w:val="bullet"/>
      <w:lvlText w:val="•"/>
      <w:lvlJc w:val="left"/>
      <w:pPr>
        <w:ind w:left="439" w:hanging="217"/>
      </w:pPr>
      <w:rPr>
        <w:rFonts w:hint="default"/>
        <w:lang w:val="en-GB" w:eastAsia="en-GB" w:bidi="en-GB"/>
      </w:rPr>
    </w:lvl>
    <w:lvl w:ilvl="2" w:tplc="3A425D1A">
      <w:numFmt w:val="bullet"/>
      <w:lvlText w:val="•"/>
      <w:lvlJc w:val="left"/>
      <w:pPr>
        <w:ind w:left="578" w:hanging="217"/>
      </w:pPr>
      <w:rPr>
        <w:rFonts w:hint="default"/>
        <w:lang w:val="en-GB" w:eastAsia="en-GB" w:bidi="en-GB"/>
      </w:rPr>
    </w:lvl>
    <w:lvl w:ilvl="3" w:tplc="2FA080DA">
      <w:numFmt w:val="bullet"/>
      <w:lvlText w:val="•"/>
      <w:lvlJc w:val="left"/>
      <w:pPr>
        <w:ind w:left="717" w:hanging="217"/>
      </w:pPr>
      <w:rPr>
        <w:rFonts w:hint="default"/>
        <w:lang w:val="en-GB" w:eastAsia="en-GB" w:bidi="en-GB"/>
      </w:rPr>
    </w:lvl>
    <w:lvl w:ilvl="4" w:tplc="8A741CE4">
      <w:numFmt w:val="bullet"/>
      <w:lvlText w:val="•"/>
      <w:lvlJc w:val="left"/>
      <w:pPr>
        <w:ind w:left="856" w:hanging="217"/>
      </w:pPr>
      <w:rPr>
        <w:rFonts w:hint="default"/>
        <w:lang w:val="en-GB" w:eastAsia="en-GB" w:bidi="en-GB"/>
      </w:rPr>
    </w:lvl>
    <w:lvl w:ilvl="5" w:tplc="C492A898">
      <w:numFmt w:val="bullet"/>
      <w:lvlText w:val="•"/>
      <w:lvlJc w:val="left"/>
      <w:pPr>
        <w:ind w:left="995" w:hanging="217"/>
      </w:pPr>
      <w:rPr>
        <w:rFonts w:hint="default"/>
        <w:lang w:val="en-GB" w:eastAsia="en-GB" w:bidi="en-GB"/>
      </w:rPr>
    </w:lvl>
    <w:lvl w:ilvl="6" w:tplc="7FD23160">
      <w:numFmt w:val="bullet"/>
      <w:lvlText w:val="•"/>
      <w:lvlJc w:val="left"/>
      <w:pPr>
        <w:ind w:left="1134" w:hanging="217"/>
      </w:pPr>
      <w:rPr>
        <w:rFonts w:hint="default"/>
        <w:lang w:val="en-GB" w:eastAsia="en-GB" w:bidi="en-GB"/>
      </w:rPr>
    </w:lvl>
    <w:lvl w:ilvl="7" w:tplc="77021624">
      <w:numFmt w:val="bullet"/>
      <w:lvlText w:val="•"/>
      <w:lvlJc w:val="left"/>
      <w:pPr>
        <w:ind w:left="1273" w:hanging="217"/>
      </w:pPr>
      <w:rPr>
        <w:rFonts w:hint="default"/>
        <w:lang w:val="en-GB" w:eastAsia="en-GB" w:bidi="en-GB"/>
      </w:rPr>
    </w:lvl>
    <w:lvl w:ilvl="8" w:tplc="EC2271B0">
      <w:numFmt w:val="bullet"/>
      <w:lvlText w:val="•"/>
      <w:lvlJc w:val="left"/>
      <w:pPr>
        <w:ind w:left="1412" w:hanging="217"/>
      </w:pPr>
      <w:rPr>
        <w:rFonts w:hint="default"/>
        <w:lang w:val="en-GB" w:eastAsia="en-GB" w:bidi="en-GB"/>
      </w:rPr>
    </w:lvl>
  </w:abstractNum>
  <w:abstractNum w:abstractNumId="1050" w15:restartNumberingAfterBreak="0">
    <w:nsid w:val="60531987"/>
    <w:multiLevelType w:val="hybridMultilevel"/>
    <w:tmpl w:val="175C695A"/>
    <w:lvl w:ilvl="0" w:tplc="135AD02E">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27A409E2">
      <w:numFmt w:val="bullet"/>
      <w:lvlText w:val="•"/>
      <w:lvlJc w:val="left"/>
      <w:pPr>
        <w:ind w:left="467" w:hanging="217"/>
      </w:pPr>
      <w:rPr>
        <w:rFonts w:hint="default"/>
        <w:lang w:val="en-GB" w:eastAsia="en-GB" w:bidi="en-GB"/>
      </w:rPr>
    </w:lvl>
    <w:lvl w:ilvl="2" w:tplc="7A64EF0E">
      <w:numFmt w:val="bullet"/>
      <w:lvlText w:val="•"/>
      <w:lvlJc w:val="left"/>
      <w:pPr>
        <w:ind w:left="634" w:hanging="217"/>
      </w:pPr>
      <w:rPr>
        <w:rFonts w:hint="default"/>
        <w:lang w:val="en-GB" w:eastAsia="en-GB" w:bidi="en-GB"/>
      </w:rPr>
    </w:lvl>
    <w:lvl w:ilvl="3" w:tplc="7D2EC1B4">
      <w:numFmt w:val="bullet"/>
      <w:lvlText w:val="•"/>
      <w:lvlJc w:val="left"/>
      <w:pPr>
        <w:ind w:left="802" w:hanging="217"/>
      </w:pPr>
      <w:rPr>
        <w:rFonts w:hint="default"/>
        <w:lang w:val="en-GB" w:eastAsia="en-GB" w:bidi="en-GB"/>
      </w:rPr>
    </w:lvl>
    <w:lvl w:ilvl="4" w:tplc="B07AD084">
      <w:numFmt w:val="bullet"/>
      <w:lvlText w:val="•"/>
      <w:lvlJc w:val="left"/>
      <w:pPr>
        <w:ind w:left="969" w:hanging="217"/>
      </w:pPr>
      <w:rPr>
        <w:rFonts w:hint="default"/>
        <w:lang w:val="en-GB" w:eastAsia="en-GB" w:bidi="en-GB"/>
      </w:rPr>
    </w:lvl>
    <w:lvl w:ilvl="5" w:tplc="DA3CC9C6">
      <w:numFmt w:val="bullet"/>
      <w:lvlText w:val="•"/>
      <w:lvlJc w:val="left"/>
      <w:pPr>
        <w:ind w:left="1137" w:hanging="217"/>
      </w:pPr>
      <w:rPr>
        <w:rFonts w:hint="default"/>
        <w:lang w:val="en-GB" w:eastAsia="en-GB" w:bidi="en-GB"/>
      </w:rPr>
    </w:lvl>
    <w:lvl w:ilvl="6" w:tplc="253A989A">
      <w:numFmt w:val="bullet"/>
      <w:lvlText w:val="•"/>
      <w:lvlJc w:val="left"/>
      <w:pPr>
        <w:ind w:left="1304" w:hanging="217"/>
      </w:pPr>
      <w:rPr>
        <w:rFonts w:hint="default"/>
        <w:lang w:val="en-GB" w:eastAsia="en-GB" w:bidi="en-GB"/>
      </w:rPr>
    </w:lvl>
    <w:lvl w:ilvl="7" w:tplc="BCB60C18">
      <w:numFmt w:val="bullet"/>
      <w:lvlText w:val="•"/>
      <w:lvlJc w:val="left"/>
      <w:pPr>
        <w:ind w:left="1471" w:hanging="217"/>
      </w:pPr>
      <w:rPr>
        <w:rFonts w:hint="default"/>
        <w:lang w:val="en-GB" w:eastAsia="en-GB" w:bidi="en-GB"/>
      </w:rPr>
    </w:lvl>
    <w:lvl w:ilvl="8" w:tplc="57DC04A8">
      <w:numFmt w:val="bullet"/>
      <w:lvlText w:val="•"/>
      <w:lvlJc w:val="left"/>
      <w:pPr>
        <w:ind w:left="1639" w:hanging="217"/>
      </w:pPr>
      <w:rPr>
        <w:rFonts w:hint="default"/>
        <w:lang w:val="en-GB" w:eastAsia="en-GB" w:bidi="en-GB"/>
      </w:rPr>
    </w:lvl>
  </w:abstractNum>
  <w:abstractNum w:abstractNumId="1051" w15:restartNumberingAfterBreak="0">
    <w:nsid w:val="605F5E19"/>
    <w:multiLevelType w:val="hybridMultilevel"/>
    <w:tmpl w:val="6A88553C"/>
    <w:lvl w:ilvl="0" w:tplc="340AE0EE">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92900FB4">
      <w:numFmt w:val="bullet"/>
      <w:lvlText w:val="•"/>
      <w:lvlJc w:val="left"/>
      <w:pPr>
        <w:ind w:left="473" w:hanging="217"/>
      </w:pPr>
      <w:rPr>
        <w:rFonts w:hint="default"/>
        <w:lang w:val="en-GB" w:eastAsia="en-GB" w:bidi="en-GB"/>
      </w:rPr>
    </w:lvl>
    <w:lvl w:ilvl="2" w:tplc="E44CBE92">
      <w:numFmt w:val="bullet"/>
      <w:lvlText w:val="•"/>
      <w:lvlJc w:val="left"/>
      <w:pPr>
        <w:ind w:left="646" w:hanging="217"/>
      </w:pPr>
      <w:rPr>
        <w:rFonts w:hint="default"/>
        <w:lang w:val="en-GB" w:eastAsia="en-GB" w:bidi="en-GB"/>
      </w:rPr>
    </w:lvl>
    <w:lvl w:ilvl="3" w:tplc="5F223742">
      <w:numFmt w:val="bullet"/>
      <w:lvlText w:val="•"/>
      <w:lvlJc w:val="left"/>
      <w:pPr>
        <w:ind w:left="819" w:hanging="217"/>
      </w:pPr>
      <w:rPr>
        <w:rFonts w:hint="default"/>
        <w:lang w:val="en-GB" w:eastAsia="en-GB" w:bidi="en-GB"/>
      </w:rPr>
    </w:lvl>
    <w:lvl w:ilvl="4" w:tplc="425C21BE">
      <w:numFmt w:val="bullet"/>
      <w:lvlText w:val="•"/>
      <w:lvlJc w:val="left"/>
      <w:pPr>
        <w:ind w:left="992" w:hanging="217"/>
      </w:pPr>
      <w:rPr>
        <w:rFonts w:hint="default"/>
        <w:lang w:val="en-GB" w:eastAsia="en-GB" w:bidi="en-GB"/>
      </w:rPr>
    </w:lvl>
    <w:lvl w:ilvl="5" w:tplc="C6240DCC">
      <w:numFmt w:val="bullet"/>
      <w:lvlText w:val="•"/>
      <w:lvlJc w:val="left"/>
      <w:pPr>
        <w:ind w:left="1165" w:hanging="217"/>
      </w:pPr>
      <w:rPr>
        <w:rFonts w:hint="default"/>
        <w:lang w:val="en-GB" w:eastAsia="en-GB" w:bidi="en-GB"/>
      </w:rPr>
    </w:lvl>
    <w:lvl w:ilvl="6" w:tplc="9962D4BA">
      <w:numFmt w:val="bullet"/>
      <w:lvlText w:val="•"/>
      <w:lvlJc w:val="left"/>
      <w:pPr>
        <w:ind w:left="1338" w:hanging="217"/>
      </w:pPr>
      <w:rPr>
        <w:rFonts w:hint="default"/>
        <w:lang w:val="en-GB" w:eastAsia="en-GB" w:bidi="en-GB"/>
      </w:rPr>
    </w:lvl>
    <w:lvl w:ilvl="7" w:tplc="81DC6AEA">
      <w:numFmt w:val="bullet"/>
      <w:lvlText w:val="•"/>
      <w:lvlJc w:val="left"/>
      <w:pPr>
        <w:ind w:left="1511" w:hanging="217"/>
      </w:pPr>
      <w:rPr>
        <w:rFonts w:hint="default"/>
        <w:lang w:val="en-GB" w:eastAsia="en-GB" w:bidi="en-GB"/>
      </w:rPr>
    </w:lvl>
    <w:lvl w:ilvl="8" w:tplc="2F4E3886">
      <w:numFmt w:val="bullet"/>
      <w:lvlText w:val="•"/>
      <w:lvlJc w:val="left"/>
      <w:pPr>
        <w:ind w:left="1684" w:hanging="217"/>
      </w:pPr>
      <w:rPr>
        <w:rFonts w:hint="default"/>
        <w:lang w:val="en-GB" w:eastAsia="en-GB" w:bidi="en-GB"/>
      </w:rPr>
    </w:lvl>
  </w:abstractNum>
  <w:abstractNum w:abstractNumId="1052" w15:restartNumberingAfterBreak="0">
    <w:nsid w:val="606C69B0"/>
    <w:multiLevelType w:val="hybridMultilevel"/>
    <w:tmpl w:val="8D74305E"/>
    <w:lvl w:ilvl="0" w:tplc="DB1E8CD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C185A1A">
      <w:numFmt w:val="bullet"/>
      <w:lvlText w:val="•"/>
      <w:lvlJc w:val="left"/>
      <w:pPr>
        <w:ind w:left="439" w:hanging="217"/>
      </w:pPr>
      <w:rPr>
        <w:rFonts w:hint="default"/>
        <w:lang w:val="en-GB" w:eastAsia="en-GB" w:bidi="en-GB"/>
      </w:rPr>
    </w:lvl>
    <w:lvl w:ilvl="2" w:tplc="0CD0DD6E">
      <w:numFmt w:val="bullet"/>
      <w:lvlText w:val="•"/>
      <w:lvlJc w:val="left"/>
      <w:pPr>
        <w:ind w:left="578" w:hanging="217"/>
      </w:pPr>
      <w:rPr>
        <w:rFonts w:hint="default"/>
        <w:lang w:val="en-GB" w:eastAsia="en-GB" w:bidi="en-GB"/>
      </w:rPr>
    </w:lvl>
    <w:lvl w:ilvl="3" w:tplc="710ECA64">
      <w:numFmt w:val="bullet"/>
      <w:lvlText w:val="•"/>
      <w:lvlJc w:val="left"/>
      <w:pPr>
        <w:ind w:left="717" w:hanging="217"/>
      </w:pPr>
      <w:rPr>
        <w:rFonts w:hint="default"/>
        <w:lang w:val="en-GB" w:eastAsia="en-GB" w:bidi="en-GB"/>
      </w:rPr>
    </w:lvl>
    <w:lvl w:ilvl="4" w:tplc="DB862FFA">
      <w:numFmt w:val="bullet"/>
      <w:lvlText w:val="•"/>
      <w:lvlJc w:val="left"/>
      <w:pPr>
        <w:ind w:left="856" w:hanging="217"/>
      </w:pPr>
      <w:rPr>
        <w:rFonts w:hint="default"/>
        <w:lang w:val="en-GB" w:eastAsia="en-GB" w:bidi="en-GB"/>
      </w:rPr>
    </w:lvl>
    <w:lvl w:ilvl="5" w:tplc="F8CC3A88">
      <w:numFmt w:val="bullet"/>
      <w:lvlText w:val="•"/>
      <w:lvlJc w:val="left"/>
      <w:pPr>
        <w:ind w:left="995" w:hanging="217"/>
      </w:pPr>
      <w:rPr>
        <w:rFonts w:hint="default"/>
        <w:lang w:val="en-GB" w:eastAsia="en-GB" w:bidi="en-GB"/>
      </w:rPr>
    </w:lvl>
    <w:lvl w:ilvl="6" w:tplc="D664500A">
      <w:numFmt w:val="bullet"/>
      <w:lvlText w:val="•"/>
      <w:lvlJc w:val="left"/>
      <w:pPr>
        <w:ind w:left="1134" w:hanging="217"/>
      </w:pPr>
      <w:rPr>
        <w:rFonts w:hint="default"/>
        <w:lang w:val="en-GB" w:eastAsia="en-GB" w:bidi="en-GB"/>
      </w:rPr>
    </w:lvl>
    <w:lvl w:ilvl="7" w:tplc="F536BD2A">
      <w:numFmt w:val="bullet"/>
      <w:lvlText w:val="•"/>
      <w:lvlJc w:val="left"/>
      <w:pPr>
        <w:ind w:left="1273" w:hanging="217"/>
      </w:pPr>
      <w:rPr>
        <w:rFonts w:hint="default"/>
        <w:lang w:val="en-GB" w:eastAsia="en-GB" w:bidi="en-GB"/>
      </w:rPr>
    </w:lvl>
    <w:lvl w:ilvl="8" w:tplc="6442BDDE">
      <w:numFmt w:val="bullet"/>
      <w:lvlText w:val="•"/>
      <w:lvlJc w:val="left"/>
      <w:pPr>
        <w:ind w:left="1412" w:hanging="217"/>
      </w:pPr>
      <w:rPr>
        <w:rFonts w:hint="default"/>
        <w:lang w:val="en-GB" w:eastAsia="en-GB" w:bidi="en-GB"/>
      </w:rPr>
    </w:lvl>
  </w:abstractNum>
  <w:abstractNum w:abstractNumId="1053" w15:restartNumberingAfterBreak="0">
    <w:nsid w:val="60723AFB"/>
    <w:multiLevelType w:val="hybridMultilevel"/>
    <w:tmpl w:val="E20EF028"/>
    <w:lvl w:ilvl="0" w:tplc="D52ED4DE">
      <w:numFmt w:val="bullet"/>
      <w:lvlText w:val="•"/>
      <w:lvlJc w:val="left"/>
      <w:pPr>
        <w:ind w:left="304" w:hanging="217"/>
      </w:pPr>
      <w:rPr>
        <w:rFonts w:ascii="Arial" w:eastAsia="Arial" w:hAnsi="Arial" w:cs="Arial" w:hint="default"/>
        <w:color w:val="231F20"/>
        <w:w w:val="100"/>
        <w:sz w:val="18"/>
        <w:szCs w:val="18"/>
        <w:lang w:val="en-GB" w:eastAsia="en-GB" w:bidi="en-GB"/>
      </w:rPr>
    </w:lvl>
    <w:lvl w:ilvl="1" w:tplc="EBC6B724">
      <w:numFmt w:val="bullet"/>
      <w:lvlText w:val="•"/>
      <w:lvlJc w:val="left"/>
      <w:pPr>
        <w:ind w:left="677" w:hanging="217"/>
      </w:pPr>
      <w:rPr>
        <w:rFonts w:hint="default"/>
        <w:lang w:val="en-GB" w:eastAsia="en-GB" w:bidi="en-GB"/>
      </w:rPr>
    </w:lvl>
    <w:lvl w:ilvl="2" w:tplc="7B280990">
      <w:numFmt w:val="bullet"/>
      <w:lvlText w:val="•"/>
      <w:lvlJc w:val="left"/>
      <w:pPr>
        <w:ind w:left="1054" w:hanging="217"/>
      </w:pPr>
      <w:rPr>
        <w:rFonts w:hint="default"/>
        <w:lang w:val="en-GB" w:eastAsia="en-GB" w:bidi="en-GB"/>
      </w:rPr>
    </w:lvl>
    <w:lvl w:ilvl="3" w:tplc="375071E6">
      <w:numFmt w:val="bullet"/>
      <w:lvlText w:val="•"/>
      <w:lvlJc w:val="left"/>
      <w:pPr>
        <w:ind w:left="1431" w:hanging="217"/>
      </w:pPr>
      <w:rPr>
        <w:rFonts w:hint="default"/>
        <w:lang w:val="en-GB" w:eastAsia="en-GB" w:bidi="en-GB"/>
      </w:rPr>
    </w:lvl>
    <w:lvl w:ilvl="4" w:tplc="2870A49E">
      <w:numFmt w:val="bullet"/>
      <w:lvlText w:val="•"/>
      <w:lvlJc w:val="left"/>
      <w:pPr>
        <w:ind w:left="1808" w:hanging="217"/>
      </w:pPr>
      <w:rPr>
        <w:rFonts w:hint="default"/>
        <w:lang w:val="en-GB" w:eastAsia="en-GB" w:bidi="en-GB"/>
      </w:rPr>
    </w:lvl>
    <w:lvl w:ilvl="5" w:tplc="C4A46942">
      <w:numFmt w:val="bullet"/>
      <w:lvlText w:val="•"/>
      <w:lvlJc w:val="left"/>
      <w:pPr>
        <w:ind w:left="2186" w:hanging="217"/>
      </w:pPr>
      <w:rPr>
        <w:rFonts w:hint="default"/>
        <w:lang w:val="en-GB" w:eastAsia="en-GB" w:bidi="en-GB"/>
      </w:rPr>
    </w:lvl>
    <w:lvl w:ilvl="6" w:tplc="9C4A2D92">
      <w:numFmt w:val="bullet"/>
      <w:lvlText w:val="•"/>
      <w:lvlJc w:val="left"/>
      <w:pPr>
        <w:ind w:left="2563" w:hanging="217"/>
      </w:pPr>
      <w:rPr>
        <w:rFonts w:hint="default"/>
        <w:lang w:val="en-GB" w:eastAsia="en-GB" w:bidi="en-GB"/>
      </w:rPr>
    </w:lvl>
    <w:lvl w:ilvl="7" w:tplc="AFCA7878">
      <w:numFmt w:val="bullet"/>
      <w:lvlText w:val="•"/>
      <w:lvlJc w:val="left"/>
      <w:pPr>
        <w:ind w:left="2940" w:hanging="217"/>
      </w:pPr>
      <w:rPr>
        <w:rFonts w:hint="default"/>
        <w:lang w:val="en-GB" w:eastAsia="en-GB" w:bidi="en-GB"/>
      </w:rPr>
    </w:lvl>
    <w:lvl w:ilvl="8" w:tplc="F37C8106">
      <w:numFmt w:val="bullet"/>
      <w:lvlText w:val="•"/>
      <w:lvlJc w:val="left"/>
      <w:pPr>
        <w:ind w:left="3317" w:hanging="217"/>
      </w:pPr>
      <w:rPr>
        <w:rFonts w:hint="default"/>
        <w:lang w:val="en-GB" w:eastAsia="en-GB" w:bidi="en-GB"/>
      </w:rPr>
    </w:lvl>
  </w:abstractNum>
  <w:abstractNum w:abstractNumId="1054" w15:restartNumberingAfterBreak="0">
    <w:nsid w:val="607D728F"/>
    <w:multiLevelType w:val="hybridMultilevel"/>
    <w:tmpl w:val="2F202A34"/>
    <w:lvl w:ilvl="0" w:tplc="517453F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C18E1B8">
      <w:numFmt w:val="bullet"/>
      <w:lvlText w:val="•"/>
      <w:lvlJc w:val="left"/>
      <w:pPr>
        <w:ind w:left="439" w:hanging="217"/>
      </w:pPr>
      <w:rPr>
        <w:rFonts w:hint="default"/>
        <w:lang w:val="en-GB" w:eastAsia="en-GB" w:bidi="en-GB"/>
      </w:rPr>
    </w:lvl>
    <w:lvl w:ilvl="2" w:tplc="F08A79B4">
      <w:numFmt w:val="bullet"/>
      <w:lvlText w:val="•"/>
      <w:lvlJc w:val="left"/>
      <w:pPr>
        <w:ind w:left="578" w:hanging="217"/>
      </w:pPr>
      <w:rPr>
        <w:rFonts w:hint="default"/>
        <w:lang w:val="en-GB" w:eastAsia="en-GB" w:bidi="en-GB"/>
      </w:rPr>
    </w:lvl>
    <w:lvl w:ilvl="3" w:tplc="48FC735A">
      <w:numFmt w:val="bullet"/>
      <w:lvlText w:val="•"/>
      <w:lvlJc w:val="left"/>
      <w:pPr>
        <w:ind w:left="717" w:hanging="217"/>
      </w:pPr>
      <w:rPr>
        <w:rFonts w:hint="default"/>
        <w:lang w:val="en-GB" w:eastAsia="en-GB" w:bidi="en-GB"/>
      </w:rPr>
    </w:lvl>
    <w:lvl w:ilvl="4" w:tplc="ABB61A42">
      <w:numFmt w:val="bullet"/>
      <w:lvlText w:val="•"/>
      <w:lvlJc w:val="left"/>
      <w:pPr>
        <w:ind w:left="856" w:hanging="217"/>
      </w:pPr>
      <w:rPr>
        <w:rFonts w:hint="default"/>
        <w:lang w:val="en-GB" w:eastAsia="en-GB" w:bidi="en-GB"/>
      </w:rPr>
    </w:lvl>
    <w:lvl w:ilvl="5" w:tplc="955A3CD8">
      <w:numFmt w:val="bullet"/>
      <w:lvlText w:val="•"/>
      <w:lvlJc w:val="left"/>
      <w:pPr>
        <w:ind w:left="995" w:hanging="217"/>
      </w:pPr>
      <w:rPr>
        <w:rFonts w:hint="default"/>
        <w:lang w:val="en-GB" w:eastAsia="en-GB" w:bidi="en-GB"/>
      </w:rPr>
    </w:lvl>
    <w:lvl w:ilvl="6" w:tplc="ACC47452">
      <w:numFmt w:val="bullet"/>
      <w:lvlText w:val="•"/>
      <w:lvlJc w:val="left"/>
      <w:pPr>
        <w:ind w:left="1134" w:hanging="217"/>
      </w:pPr>
      <w:rPr>
        <w:rFonts w:hint="default"/>
        <w:lang w:val="en-GB" w:eastAsia="en-GB" w:bidi="en-GB"/>
      </w:rPr>
    </w:lvl>
    <w:lvl w:ilvl="7" w:tplc="F0D6EA50">
      <w:numFmt w:val="bullet"/>
      <w:lvlText w:val="•"/>
      <w:lvlJc w:val="left"/>
      <w:pPr>
        <w:ind w:left="1273" w:hanging="217"/>
      </w:pPr>
      <w:rPr>
        <w:rFonts w:hint="default"/>
        <w:lang w:val="en-GB" w:eastAsia="en-GB" w:bidi="en-GB"/>
      </w:rPr>
    </w:lvl>
    <w:lvl w:ilvl="8" w:tplc="B8563E62">
      <w:numFmt w:val="bullet"/>
      <w:lvlText w:val="•"/>
      <w:lvlJc w:val="left"/>
      <w:pPr>
        <w:ind w:left="1412" w:hanging="217"/>
      </w:pPr>
      <w:rPr>
        <w:rFonts w:hint="default"/>
        <w:lang w:val="en-GB" w:eastAsia="en-GB" w:bidi="en-GB"/>
      </w:rPr>
    </w:lvl>
  </w:abstractNum>
  <w:abstractNum w:abstractNumId="1055" w15:restartNumberingAfterBreak="0">
    <w:nsid w:val="60846AE6"/>
    <w:multiLevelType w:val="hybridMultilevel"/>
    <w:tmpl w:val="77626E80"/>
    <w:lvl w:ilvl="0" w:tplc="A1D61552">
      <w:numFmt w:val="bullet"/>
      <w:lvlText w:val="•"/>
      <w:lvlJc w:val="left"/>
      <w:pPr>
        <w:ind w:left="300" w:hanging="217"/>
      </w:pPr>
      <w:rPr>
        <w:rFonts w:ascii="Arial" w:eastAsia="Arial" w:hAnsi="Arial" w:cs="Arial" w:hint="default"/>
        <w:color w:val="231F20"/>
        <w:w w:val="102"/>
        <w:sz w:val="17"/>
        <w:szCs w:val="17"/>
        <w:lang w:val="en-GB" w:eastAsia="en-GB" w:bidi="en-GB"/>
      </w:rPr>
    </w:lvl>
    <w:lvl w:ilvl="1" w:tplc="381282E4">
      <w:numFmt w:val="bullet"/>
      <w:lvlText w:val="•"/>
      <w:lvlJc w:val="left"/>
      <w:pPr>
        <w:ind w:left="892" w:hanging="217"/>
      </w:pPr>
      <w:rPr>
        <w:rFonts w:hint="default"/>
        <w:lang w:val="en-GB" w:eastAsia="en-GB" w:bidi="en-GB"/>
      </w:rPr>
    </w:lvl>
    <w:lvl w:ilvl="2" w:tplc="E54AF108">
      <w:numFmt w:val="bullet"/>
      <w:lvlText w:val="•"/>
      <w:lvlJc w:val="left"/>
      <w:pPr>
        <w:ind w:left="1484" w:hanging="217"/>
      </w:pPr>
      <w:rPr>
        <w:rFonts w:hint="default"/>
        <w:lang w:val="en-GB" w:eastAsia="en-GB" w:bidi="en-GB"/>
      </w:rPr>
    </w:lvl>
    <w:lvl w:ilvl="3" w:tplc="72C6762E">
      <w:numFmt w:val="bullet"/>
      <w:lvlText w:val="•"/>
      <w:lvlJc w:val="left"/>
      <w:pPr>
        <w:ind w:left="2076" w:hanging="217"/>
      </w:pPr>
      <w:rPr>
        <w:rFonts w:hint="default"/>
        <w:lang w:val="en-GB" w:eastAsia="en-GB" w:bidi="en-GB"/>
      </w:rPr>
    </w:lvl>
    <w:lvl w:ilvl="4" w:tplc="33DE17F8">
      <w:numFmt w:val="bullet"/>
      <w:lvlText w:val="•"/>
      <w:lvlJc w:val="left"/>
      <w:pPr>
        <w:ind w:left="2668" w:hanging="217"/>
      </w:pPr>
      <w:rPr>
        <w:rFonts w:hint="default"/>
        <w:lang w:val="en-GB" w:eastAsia="en-GB" w:bidi="en-GB"/>
      </w:rPr>
    </w:lvl>
    <w:lvl w:ilvl="5" w:tplc="F014C0D8">
      <w:numFmt w:val="bullet"/>
      <w:lvlText w:val="•"/>
      <w:lvlJc w:val="left"/>
      <w:pPr>
        <w:ind w:left="3260" w:hanging="217"/>
      </w:pPr>
      <w:rPr>
        <w:rFonts w:hint="default"/>
        <w:lang w:val="en-GB" w:eastAsia="en-GB" w:bidi="en-GB"/>
      </w:rPr>
    </w:lvl>
    <w:lvl w:ilvl="6" w:tplc="C1522230">
      <w:numFmt w:val="bullet"/>
      <w:lvlText w:val="•"/>
      <w:lvlJc w:val="left"/>
      <w:pPr>
        <w:ind w:left="3852" w:hanging="217"/>
      </w:pPr>
      <w:rPr>
        <w:rFonts w:hint="default"/>
        <w:lang w:val="en-GB" w:eastAsia="en-GB" w:bidi="en-GB"/>
      </w:rPr>
    </w:lvl>
    <w:lvl w:ilvl="7" w:tplc="E89E85C4">
      <w:numFmt w:val="bullet"/>
      <w:lvlText w:val="•"/>
      <w:lvlJc w:val="left"/>
      <w:pPr>
        <w:ind w:left="4444" w:hanging="217"/>
      </w:pPr>
      <w:rPr>
        <w:rFonts w:hint="default"/>
        <w:lang w:val="en-GB" w:eastAsia="en-GB" w:bidi="en-GB"/>
      </w:rPr>
    </w:lvl>
    <w:lvl w:ilvl="8" w:tplc="18747390">
      <w:numFmt w:val="bullet"/>
      <w:lvlText w:val="•"/>
      <w:lvlJc w:val="left"/>
      <w:pPr>
        <w:ind w:left="5036" w:hanging="217"/>
      </w:pPr>
      <w:rPr>
        <w:rFonts w:hint="default"/>
        <w:lang w:val="en-GB" w:eastAsia="en-GB" w:bidi="en-GB"/>
      </w:rPr>
    </w:lvl>
  </w:abstractNum>
  <w:abstractNum w:abstractNumId="1056" w15:restartNumberingAfterBreak="0">
    <w:nsid w:val="60B83A6D"/>
    <w:multiLevelType w:val="hybridMultilevel"/>
    <w:tmpl w:val="594C1EC8"/>
    <w:lvl w:ilvl="0" w:tplc="3B7C6F4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1C50B3E8">
      <w:numFmt w:val="bullet"/>
      <w:lvlText w:val="•"/>
      <w:lvlJc w:val="left"/>
      <w:pPr>
        <w:ind w:left="473" w:hanging="217"/>
      </w:pPr>
      <w:rPr>
        <w:rFonts w:hint="default"/>
        <w:lang w:val="en-GB" w:eastAsia="en-GB" w:bidi="en-GB"/>
      </w:rPr>
    </w:lvl>
    <w:lvl w:ilvl="2" w:tplc="4E9AC6C0">
      <w:numFmt w:val="bullet"/>
      <w:lvlText w:val="•"/>
      <w:lvlJc w:val="left"/>
      <w:pPr>
        <w:ind w:left="646" w:hanging="217"/>
      </w:pPr>
      <w:rPr>
        <w:rFonts w:hint="default"/>
        <w:lang w:val="en-GB" w:eastAsia="en-GB" w:bidi="en-GB"/>
      </w:rPr>
    </w:lvl>
    <w:lvl w:ilvl="3" w:tplc="4080BE22">
      <w:numFmt w:val="bullet"/>
      <w:lvlText w:val="•"/>
      <w:lvlJc w:val="left"/>
      <w:pPr>
        <w:ind w:left="819" w:hanging="217"/>
      </w:pPr>
      <w:rPr>
        <w:rFonts w:hint="default"/>
        <w:lang w:val="en-GB" w:eastAsia="en-GB" w:bidi="en-GB"/>
      </w:rPr>
    </w:lvl>
    <w:lvl w:ilvl="4" w:tplc="99725436">
      <w:numFmt w:val="bullet"/>
      <w:lvlText w:val="•"/>
      <w:lvlJc w:val="left"/>
      <w:pPr>
        <w:ind w:left="992" w:hanging="217"/>
      </w:pPr>
      <w:rPr>
        <w:rFonts w:hint="default"/>
        <w:lang w:val="en-GB" w:eastAsia="en-GB" w:bidi="en-GB"/>
      </w:rPr>
    </w:lvl>
    <w:lvl w:ilvl="5" w:tplc="EE248116">
      <w:numFmt w:val="bullet"/>
      <w:lvlText w:val="•"/>
      <w:lvlJc w:val="left"/>
      <w:pPr>
        <w:ind w:left="1165" w:hanging="217"/>
      </w:pPr>
      <w:rPr>
        <w:rFonts w:hint="default"/>
        <w:lang w:val="en-GB" w:eastAsia="en-GB" w:bidi="en-GB"/>
      </w:rPr>
    </w:lvl>
    <w:lvl w:ilvl="6" w:tplc="C2C6DF80">
      <w:numFmt w:val="bullet"/>
      <w:lvlText w:val="•"/>
      <w:lvlJc w:val="left"/>
      <w:pPr>
        <w:ind w:left="1338" w:hanging="217"/>
      </w:pPr>
      <w:rPr>
        <w:rFonts w:hint="default"/>
        <w:lang w:val="en-GB" w:eastAsia="en-GB" w:bidi="en-GB"/>
      </w:rPr>
    </w:lvl>
    <w:lvl w:ilvl="7" w:tplc="E8907530">
      <w:numFmt w:val="bullet"/>
      <w:lvlText w:val="•"/>
      <w:lvlJc w:val="left"/>
      <w:pPr>
        <w:ind w:left="1511" w:hanging="217"/>
      </w:pPr>
      <w:rPr>
        <w:rFonts w:hint="default"/>
        <w:lang w:val="en-GB" w:eastAsia="en-GB" w:bidi="en-GB"/>
      </w:rPr>
    </w:lvl>
    <w:lvl w:ilvl="8" w:tplc="3FB803A4">
      <w:numFmt w:val="bullet"/>
      <w:lvlText w:val="•"/>
      <w:lvlJc w:val="left"/>
      <w:pPr>
        <w:ind w:left="1684" w:hanging="217"/>
      </w:pPr>
      <w:rPr>
        <w:rFonts w:hint="default"/>
        <w:lang w:val="en-GB" w:eastAsia="en-GB" w:bidi="en-GB"/>
      </w:rPr>
    </w:lvl>
  </w:abstractNum>
  <w:abstractNum w:abstractNumId="1057" w15:restartNumberingAfterBreak="0">
    <w:nsid w:val="60BA111F"/>
    <w:multiLevelType w:val="hybridMultilevel"/>
    <w:tmpl w:val="191CACE0"/>
    <w:lvl w:ilvl="0" w:tplc="9C307D3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E24E440">
      <w:numFmt w:val="bullet"/>
      <w:lvlText w:val="•"/>
      <w:lvlJc w:val="left"/>
      <w:pPr>
        <w:ind w:left="1061" w:hanging="217"/>
      </w:pPr>
      <w:rPr>
        <w:rFonts w:hint="default"/>
        <w:lang w:val="en-GB" w:eastAsia="en-GB" w:bidi="en-GB"/>
      </w:rPr>
    </w:lvl>
    <w:lvl w:ilvl="2" w:tplc="1D8CFEF0">
      <w:numFmt w:val="bullet"/>
      <w:lvlText w:val="•"/>
      <w:lvlJc w:val="left"/>
      <w:pPr>
        <w:ind w:left="1823" w:hanging="217"/>
      </w:pPr>
      <w:rPr>
        <w:rFonts w:hint="default"/>
        <w:lang w:val="en-GB" w:eastAsia="en-GB" w:bidi="en-GB"/>
      </w:rPr>
    </w:lvl>
    <w:lvl w:ilvl="3" w:tplc="D624ABC2">
      <w:numFmt w:val="bullet"/>
      <w:lvlText w:val="•"/>
      <w:lvlJc w:val="left"/>
      <w:pPr>
        <w:ind w:left="2585" w:hanging="217"/>
      </w:pPr>
      <w:rPr>
        <w:rFonts w:hint="default"/>
        <w:lang w:val="en-GB" w:eastAsia="en-GB" w:bidi="en-GB"/>
      </w:rPr>
    </w:lvl>
    <w:lvl w:ilvl="4" w:tplc="A9B4FC70">
      <w:numFmt w:val="bullet"/>
      <w:lvlText w:val="•"/>
      <w:lvlJc w:val="left"/>
      <w:pPr>
        <w:ind w:left="3346" w:hanging="217"/>
      </w:pPr>
      <w:rPr>
        <w:rFonts w:hint="default"/>
        <w:lang w:val="en-GB" w:eastAsia="en-GB" w:bidi="en-GB"/>
      </w:rPr>
    </w:lvl>
    <w:lvl w:ilvl="5" w:tplc="20641F82">
      <w:numFmt w:val="bullet"/>
      <w:lvlText w:val="•"/>
      <w:lvlJc w:val="left"/>
      <w:pPr>
        <w:ind w:left="4108" w:hanging="217"/>
      </w:pPr>
      <w:rPr>
        <w:rFonts w:hint="default"/>
        <w:lang w:val="en-GB" w:eastAsia="en-GB" w:bidi="en-GB"/>
      </w:rPr>
    </w:lvl>
    <w:lvl w:ilvl="6" w:tplc="447CC368">
      <w:numFmt w:val="bullet"/>
      <w:lvlText w:val="•"/>
      <w:lvlJc w:val="left"/>
      <w:pPr>
        <w:ind w:left="4870" w:hanging="217"/>
      </w:pPr>
      <w:rPr>
        <w:rFonts w:hint="default"/>
        <w:lang w:val="en-GB" w:eastAsia="en-GB" w:bidi="en-GB"/>
      </w:rPr>
    </w:lvl>
    <w:lvl w:ilvl="7" w:tplc="28640DEE">
      <w:numFmt w:val="bullet"/>
      <w:lvlText w:val="•"/>
      <w:lvlJc w:val="left"/>
      <w:pPr>
        <w:ind w:left="5631" w:hanging="217"/>
      </w:pPr>
      <w:rPr>
        <w:rFonts w:hint="default"/>
        <w:lang w:val="en-GB" w:eastAsia="en-GB" w:bidi="en-GB"/>
      </w:rPr>
    </w:lvl>
    <w:lvl w:ilvl="8" w:tplc="B28883BA">
      <w:numFmt w:val="bullet"/>
      <w:lvlText w:val="•"/>
      <w:lvlJc w:val="left"/>
      <w:pPr>
        <w:ind w:left="6393" w:hanging="217"/>
      </w:pPr>
      <w:rPr>
        <w:rFonts w:hint="default"/>
        <w:lang w:val="en-GB" w:eastAsia="en-GB" w:bidi="en-GB"/>
      </w:rPr>
    </w:lvl>
  </w:abstractNum>
  <w:abstractNum w:abstractNumId="1058" w15:restartNumberingAfterBreak="0">
    <w:nsid w:val="60CB23E1"/>
    <w:multiLevelType w:val="hybridMultilevel"/>
    <w:tmpl w:val="4AC6F2A0"/>
    <w:lvl w:ilvl="0" w:tplc="730AD54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B9CAD2C">
      <w:numFmt w:val="bullet"/>
      <w:lvlText w:val="•"/>
      <w:lvlJc w:val="left"/>
      <w:pPr>
        <w:ind w:left="439" w:hanging="217"/>
      </w:pPr>
      <w:rPr>
        <w:rFonts w:hint="default"/>
        <w:lang w:val="en-GB" w:eastAsia="en-GB" w:bidi="en-GB"/>
      </w:rPr>
    </w:lvl>
    <w:lvl w:ilvl="2" w:tplc="1D8CC576">
      <w:numFmt w:val="bullet"/>
      <w:lvlText w:val="•"/>
      <w:lvlJc w:val="left"/>
      <w:pPr>
        <w:ind w:left="578" w:hanging="217"/>
      </w:pPr>
      <w:rPr>
        <w:rFonts w:hint="default"/>
        <w:lang w:val="en-GB" w:eastAsia="en-GB" w:bidi="en-GB"/>
      </w:rPr>
    </w:lvl>
    <w:lvl w:ilvl="3" w:tplc="E6222360">
      <w:numFmt w:val="bullet"/>
      <w:lvlText w:val="•"/>
      <w:lvlJc w:val="left"/>
      <w:pPr>
        <w:ind w:left="717" w:hanging="217"/>
      </w:pPr>
      <w:rPr>
        <w:rFonts w:hint="default"/>
        <w:lang w:val="en-GB" w:eastAsia="en-GB" w:bidi="en-GB"/>
      </w:rPr>
    </w:lvl>
    <w:lvl w:ilvl="4" w:tplc="9ECEEE56">
      <w:numFmt w:val="bullet"/>
      <w:lvlText w:val="•"/>
      <w:lvlJc w:val="left"/>
      <w:pPr>
        <w:ind w:left="856" w:hanging="217"/>
      </w:pPr>
      <w:rPr>
        <w:rFonts w:hint="default"/>
        <w:lang w:val="en-GB" w:eastAsia="en-GB" w:bidi="en-GB"/>
      </w:rPr>
    </w:lvl>
    <w:lvl w:ilvl="5" w:tplc="006EECE8">
      <w:numFmt w:val="bullet"/>
      <w:lvlText w:val="•"/>
      <w:lvlJc w:val="left"/>
      <w:pPr>
        <w:ind w:left="995" w:hanging="217"/>
      </w:pPr>
      <w:rPr>
        <w:rFonts w:hint="default"/>
        <w:lang w:val="en-GB" w:eastAsia="en-GB" w:bidi="en-GB"/>
      </w:rPr>
    </w:lvl>
    <w:lvl w:ilvl="6" w:tplc="03A6616A">
      <w:numFmt w:val="bullet"/>
      <w:lvlText w:val="•"/>
      <w:lvlJc w:val="left"/>
      <w:pPr>
        <w:ind w:left="1134" w:hanging="217"/>
      </w:pPr>
      <w:rPr>
        <w:rFonts w:hint="default"/>
        <w:lang w:val="en-GB" w:eastAsia="en-GB" w:bidi="en-GB"/>
      </w:rPr>
    </w:lvl>
    <w:lvl w:ilvl="7" w:tplc="A4A627C2">
      <w:numFmt w:val="bullet"/>
      <w:lvlText w:val="•"/>
      <w:lvlJc w:val="left"/>
      <w:pPr>
        <w:ind w:left="1273" w:hanging="217"/>
      </w:pPr>
      <w:rPr>
        <w:rFonts w:hint="default"/>
        <w:lang w:val="en-GB" w:eastAsia="en-GB" w:bidi="en-GB"/>
      </w:rPr>
    </w:lvl>
    <w:lvl w:ilvl="8" w:tplc="8F70661A">
      <w:numFmt w:val="bullet"/>
      <w:lvlText w:val="•"/>
      <w:lvlJc w:val="left"/>
      <w:pPr>
        <w:ind w:left="1412" w:hanging="217"/>
      </w:pPr>
      <w:rPr>
        <w:rFonts w:hint="default"/>
        <w:lang w:val="en-GB" w:eastAsia="en-GB" w:bidi="en-GB"/>
      </w:rPr>
    </w:lvl>
  </w:abstractNum>
  <w:abstractNum w:abstractNumId="1059" w15:restartNumberingAfterBreak="0">
    <w:nsid w:val="60D47D58"/>
    <w:multiLevelType w:val="hybridMultilevel"/>
    <w:tmpl w:val="F542A122"/>
    <w:lvl w:ilvl="0" w:tplc="2240654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AB26A38">
      <w:numFmt w:val="bullet"/>
      <w:lvlText w:val="•"/>
      <w:lvlJc w:val="left"/>
      <w:pPr>
        <w:ind w:left="473" w:hanging="217"/>
      </w:pPr>
      <w:rPr>
        <w:rFonts w:hint="default"/>
        <w:lang w:val="en-GB" w:eastAsia="en-GB" w:bidi="en-GB"/>
      </w:rPr>
    </w:lvl>
    <w:lvl w:ilvl="2" w:tplc="7CEC0898">
      <w:numFmt w:val="bullet"/>
      <w:lvlText w:val="•"/>
      <w:lvlJc w:val="left"/>
      <w:pPr>
        <w:ind w:left="646" w:hanging="217"/>
      </w:pPr>
      <w:rPr>
        <w:rFonts w:hint="default"/>
        <w:lang w:val="en-GB" w:eastAsia="en-GB" w:bidi="en-GB"/>
      </w:rPr>
    </w:lvl>
    <w:lvl w:ilvl="3" w:tplc="0716154E">
      <w:numFmt w:val="bullet"/>
      <w:lvlText w:val="•"/>
      <w:lvlJc w:val="left"/>
      <w:pPr>
        <w:ind w:left="819" w:hanging="217"/>
      </w:pPr>
      <w:rPr>
        <w:rFonts w:hint="default"/>
        <w:lang w:val="en-GB" w:eastAsia="en-GB" w:bidi="en-GB"/>
      </w:rPr>
    </w:lvl>
    <w:lvl w:ilvl="4" w:tplc="CE807D32">
      <w:numFmt w:val="bullet"/>
      <w:lvlText w:val="•"/>
      <w:lvlJc w:val="left"/>
      <w:pPr>
        <w:ind w:left="992" w:hanging="217"/>
      </w:pPr>
      <w:rPr>
        <w:rFonts w:hint="default"/>
        <w:lang w:val="en-GB" w:eastAsia="en-GB" w:bidi="en-GB"/>
      </w:rPr>
    </w:lvl>
    <w:lvl w:ilvl="5" w:tplc="8D5EEB6C">
      <w:numFmt w:val="bullet"/>
      <w:lvlText w:val="•"/>
      <w:lvlJc w:val="left"/>
      <w:pPr>
        <w:ind w:left="1165" w:hanging="217"/>
      </w:pPr>
      <w:rPr>
        <w:rFonts w:hint="default"/>
        <w:lang w:val="en-GB" w:eastAsia="en-GB" w:bidi="en-GB"/>
      </w:rPr>
    </w:lvl>
    <w:lvl w:ilvl="6" w:tplc="4B2C2AD8">
      <w:numFmt w:val="bullet"/>
      <w:lvlText w:val="•"/>
      <w:lvlJc w:val="left"/>
      <w:pPr>
        <w:ind w:left="1338" w:hanging="217"/>
      </w:pPr>
      <w:rPr>
        <w:rFonts w:hint="default"/>
        <w:lang w:val="en-GB" w:eastAsia="en-GB" w:bidi="en-GB"/>
      </w:rPr>
    </w:lvl>
    <w:lvl w:ilvl="7" w:tplc="FC32AF84">
      <w:numFmt w:val="bullet"/>
      <w:lvlText w:val="•"/>
      <w:lvlJc w:val="left"/>
      <w:pPr>
        <w:ind w:left="1511" w:hanging="217"/>
      </w:pPr>
      <w:rPr>
        <w:rFonts w:hint="default"/>
        <w:lang w:val="en-GB" w:eastAsia="en-GB" w:bidi="en-GB"/>
      </w:rPr>
    </w:lvl>
    <w:lvl w:ilvl="8" w:tplc="F7FAF7B8">
      <w:numFmt w:val="bullet"/>
      <w:lvlText w:val="•"/>
      <w:lvlJc w:val="left"/>
      <w:pPr>
        <w:ind w:left="1684" w:hanging="217"/>
      </w:pPr>
      <w:rPr>
        <w:rFonts w:hint="default"/>
        <w:lang w:val="en-GB" w:eastAsia="en-GB" w:bidi="en-GB"/>
      </w:rPr>
    </w:lvl>
  </w:abstractNum>
  <w:abstractNum w:abstractNumId="1060" w15:restartNumberingAfterBreak="0">
    <w:nsid w:val="60E620F0"/>
    <w:multiLevelType w:val="hybridMultilevel"/>
    <w:tmpl w:val="B6B4AC0C"/>
    <w:lvl w:ilvl="0" w:tplc="F24CF98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E68410F4">
      <w:numFmt w:val="bullet"/>
      <w:lvlText w:val="•"/>
      <w:lvlJc w:val="left"/>
      <w:pPr>
        <w:ind w:left="473" w:hanging="217"/>
      </w:pPr>
      <w:rPr>
        <w:rFonts w:hint="default"/>
        <w:lang w:val="en-GB" w:eastAsia="en-GB" w:bidi="en-GB"/>
      </w:rPr>
    </w:lvl>
    <w:lvl w:ilvl="2" w:tplc="C7BC2880">
      <w:numFmt w:val="bullet"/>
      <w:lvlText w:val="•"/>
      <w:lvlJc w:val="left"/>
      <w:pPr>
        <w:ind w:left="646" w:hanging="217"/>
      </w:pPr>
      <w:rPr>
        <w:rFonts w:hint="default"/>
        <w:lang w:val="en-GB" w:eastAsia="en-GB" w:bidi="en-GB"/>
      </w:rPr>
    </w:lvl>
    <w:lvl w:ilvl="3" w:tplc="1CB466D0">
      <w:numFmt w:val="bullet"/>
      <w:lvlText w:val="•"/>
      <w:lvlJc w:val="left"/>
      <w:pPr>
        <w:ind w:left="819" w:hanging="217"/>
      </w:pPr>
      <w:rPr>
        <w:rFonts w:hint="default"/>
        <w:lang w:val="en-GB" w:eastAsia="en-GB" w:bidi="en-GB"/>
      </w:rPr>
    </w:lvl>
    <w:lvl w:ilvl="4" w:tplc="A1E8E20A">
      <w:numFmt w:val="bullet"/>
      <w:lvlText w:val="•"/>
      <w:lvlJc w:val="left"/>
      <w:pPr>
        <w:ind w:left="992" w:hanging="217"/>
      </w:pPr>
      <w:rPr>
        <w:rFonts w:hint="default"/>
        <w:lang w:val="en-GB" w:eastAsia="en-GB" w:bidi="en-GB"/>
      </w:rPr>
    </w:lvl>
    <w:lvl w:ilvl="5" w:tplc="365A81FE">
      <w:numFmt w:val="bullet"/>
      <w:lvlText w:val="•"/>
      <w:lvlJc w:val="left"/>
      <w:pPr>
        <w:ind w:left="1165" w:hanging="217"/>
      </w:pPr>
      <w:rPr>
        <w:rFonts w:hint="default"/>
        <w:lang w:val="en-GB" w:eastAsia="en-GB" w:bidi="en-GB"/>
      </w:rPr>
    </w:lvl>
    <w:lvl w:ilvl="6" w:tplc="87B6D4F0">
      <w:numFmt w:val="bullet"/>
      <w:lvlText w:val="•"/>
      <w:lvlJc w:val="left"/>
      <w:pPr>
        <w:ind w:left="1338" w:hanging="217"/>
      </w:pPr>
      <w:rPr>
        <w:rFonts w:hint="default"/>
        <w:lang w:val="en-GB" w:eastAsia="en-GB" w:bidi="en-GB"/>
      </w:rPr>
    </w:lvl>
    <w:lvl w:ilvl="7" w:tplc="B9F6AF06">
      <w:numFmt w:val="bullet"/>
      <w:lvlText w:val="•"/>
      <w:lvlJc w:val="left"/>
      <w:pPr>
        <w:ind w:left="1511" w:hanging="217"/>
      </w:pPr>
      <w:rPr>
        <w:rFonts w:hint="default"/>
        <w:lang w:val="en-GB" w:eastAsia="en-GB" w:bidi="en-GB"/>
      </w:rPr>
    </w:lvl>
    <w:lvl w:ilvl="8" w:tplc="1848FA40">
      <w:numFmt w:val="bullet"/>
      <w:lvlText w:val="•"/>
      <w:lvlJc w:val="left"/>
      <w:pPr>
        <w:ind w:left="1684" w:hanging="217"/>
      </w:pPr>
      <w:rPr>
        <w:rFonts w:hint="default"/>
        <w:lang w:val="en-GB" w:eastAsia="en-GB" w:bidi="en-GB"/>
      </w:rPr>
    </w:lvl>
  </w:abstractNum>
  <w:abstractNum w:abstractNumId="1061" w15:restartNumberingAfterBreak="0">
    <w:nsid w:val="60F325AC"/>
    <w:multiLevelType w:val="hybridMultilevel"/>
    <w:tmpl w:val="D3D62F5C"/>
    <w:lvl w:ilvl="0" w:tplc="2DA68AE4">
      <w:numFmt w:val="bullet"/>
      <w:lvlText w:val="•"/>
      <w:lvlJc w:val="left"/>
      <w:pPr>
        <w:ind w:left="300" w:hanging="217"/>
      </w:pPr>
      <w:rPr>
        <w:rFonts w:ascii="Arial" w:eastAsia="Arial" w:hAnsi="Arial" w:cs="Arial" w:hint="default"/>
        <w:color w:val="231F20"/>
        <w:w w:val="102"/>
        <w:sz w:val="17"/>
        <w:szCs w:val="17"/>
        <w:lang w:val="en-GB" w:eastAsia="en-GB" w:bidi="en-GB"/>
      </w:rPr>
    </w:lvl>
    <w:lvl w:ilvl="1" w:tplc="D674A75C">
      <w:numFmt w:val="bullet"/>
      <w:lvlText w:val="•"/>
      <w:lvlJc w:val="left"/>
      <w:pPr>
        <w:ind w:left="892" w:hanging="217"/>
      </w:pPr>
      <w:rPr>
        <w:rFonts w:hint="default"/>
        <w:lang w:val="en-GB" w:eastAsia="en-GB" w:bidi="en-GB"/>
      </w:rPr>
    </w:lvl>
    <w:lvl w:ilvl="2" w:tplc="DE1453C0">
      <w:numFmt w:val="bullet"/>
      <w:lvlText w:val="•"/>
      <w:lvlJc w:val="left"/>
      <w:pPr>
        <w:ind w:left="1484" w:hanging="217"/>
      </w:pPr>
      <w:rPr>
        <w:rFonts w:hint="default"/>
        <w:lang w:val="en-GB" w:eastAsia="en-GB" w:bidi="en-GB"/>
      </w:rPr>
    </w:lvl>
    <w:lvl w:ilvl="3" w:tplc="744CE778">
      <w:numFmt w:val="bullet"/>
      <w:lvlText w:val="•"/>
      <w:lvlJc w:val="left"/>
      <w:pPr>
        <w:ind w:left="2076" w:hanging="217"/>
      </w:pPr>
      <w:rPr>
        <w:rFonts w:hint="default"/>
        <w:lang w:val="en-GB" w:eastAsia="en-GB" w:bidi="en-GB"/>
      </w:rPr>
    </w:lvl>
    <w:lvl w:ilvl="4" w:tplc="9CFAC4DC">
      <w:numFmt w:val="bullet"/>
      <w:lvlText w:val="•"/>
      <w:lvlJc w:val="left"/>
      <w:pPr>
        <w:ind w:left="2668" w:hanging="217"/>
      </w:pPr>
      <w:rPr>
        <w:rFonts w:hint="default"/>
        <w:lang w:val="en-GB" w:eastAsia="en-GB" w:bidi="en-GB"/>
      </w:rPr>
    </w:lvl>
    <w:lvl w:ilvl="5" w:tplc="DC24E82C">
      <w:numFmt w:val="bullet"/>
      <w:lvlText w:val="•"/>
      <w:lvlJc w:val="left"/>
      <w:pPr>
        <w:ind w:left="3260" w:hanging="217"/>
      </w:pPr>
      <w:rPr>
        <w:rFonts w:hint="default"/>
        <w:lang w:val="en-GB" w:eastAsia="en-GB" w:bidi="en-GB"/>
      </w:rPr>
    </w:lvl>
    <w:lvl w:ilvl="6" w:tplc="9E1C0D48">
      <w:numFmt w:val="bullet"/>
      <w:lvlText w:val="•"/>
      <w:lvlJc w:val="left"/>
      <w:pPr>
        <w:ind w:left="3852" w:hanging="217"/>
      </w:pPr>
      <w:rPr>
        <w:rFonts w:hint="default"/>
        <w:lang w:val="en-GB" w:eastAsia="en-GB" w:bidi="en-GB"/>
      </w:rPr>
    </w:lvl>
    <w:lvl w:ilvl="7" w:tplc="FDA0865C">
      <w:numFmt w:val="bullet"/>
      <w:lvlText w:val="•"/>
      <w:lvlJc w:val="left"/>
      <w:pPr>
        <w:ind w:left="4444" w:hanging="217"/>
      </w:pPr>
      <w:rPr>
        <w:rFonts w:hint="default"/>
        <w:lang w:val="en-GB" w:eastAsia="en-GB" w:bidi="en-GB"/>
      </w:rPr>
    </w:lvl>
    <w:lvl w:ilvl="8" w:tplc="01BE358C">
      <w:numFmt w:val="bullet"/>
      <w:lvlText w:val="•"/>
      <w:lvlJc w:val="left"/>
      <w:pPr>
        <w:ind w:left="5036" w:hanging="217"/>
      </w:pPr>
      <w:rPr>
        <w:rFonts w:hint="default"/>
        <w:lang w:val="en-GB" w:eastAsia="en-GB" w:bidi="en-GB"/>
      </w:rPr>
    </w:lvl>
  </w:abstractNum>
  <w:abstractNum w:abstractNumId="1062" w15:restartNumberingAfterBreak="0">
    <w:nsid w:val="61135F08"/>
    <w:multiLevelType w:val="hybridMultilevel"/>
    <w:tmpl w:val="E08E6302"/>
    <w:lvl w:ilvl="0" w:tplc="CCEC36C8">
      <w:numFmt w:val="bullet"/>
      <w:lvlText w:val="•"/>
      <w:lvlJc w:val="left"/>
      <w:pPr>
        <w:ind w:left="305" w:hanging="217"/>
      </w:pPr>
      <w:rPr>
        <w:rFonts w:ascii="Arial" w:eastAsia="Arial" w:hAnsi="Arial" w:cs="Arial" w:hint="default"/>
        <w:color w:val="231F20"/>
        <w:spacing w:val="-2"/>
        <w:w w:val="100"/>
        <w:sz w:val="18"/>
        <w:szCs w:val="18"/>
        <w:lang w:val="en-GB" w:eastAsia="en-GB" w:bidi="en-GB"/>
      </w:rPr>
    </w:lvl>
    <w:lvl w:ilvl="1" w:tplc="111CC200">
      <w:numFmt w:val="bullet"/>
      <w:lvlText w:val="•"/>
      <w:lvlJc w:val="left"/>
      <w:pPr>
        <w:ind w:left="524" w:hanging="217"/>
      </w:pPr>
      <w:rPr>
        <w:rFonts w:hint="default"/>
        <w:lang w:val="en-GB" w:eastAsia="en-GB" w:bidi="en-GB"/>
      </w:rPr>
    </w:lvl>
    <w:lvl w:ilvl="2" w:tplc="2CA8A150">
      <w:numFmt w:val="bullet"/>
      <w:lvlText w:val="•"/>
      <w:lvlJc w:val="left"/>
      <w:pPr>
        <w:ind w:left="748" w:hanging="217"/>
      </w:pPr>
      <w:rPr>
        <w:rFonts w:hint="default"/>
        <w:lang w:val="en-GB" w:eastAsia="en-GB" w:bidi="en-GB"/>
      </w:rPr>
    </w:lvl>
    <w:lvl w:ilvl="3" w:tplc="031249C8">
      <w:numFmt w:val="bullet"/>
      <w:lvlText w:val="•"/>
      <w:lvlJc w:val="left"/>
      <w:pPr>
        <w:ind w:left="972" w:hanging="217"/>
      </w:pPr>
      <w:rPr>
        <w:rFonts w:hint="default"/>
        <w:lang w:val="en-GB" w:eastAsia="en-GB" w:bidi="en-GB"/>
      </w:rPr>
    </w:lvl>
    <w:lvl w:ilvl="4" w:tplc="FB4E702C">
      <w:numFmt w:val="bullet"/>
      <w:lvlText w:val="•"/>
      <w:lvlJc w:val="left"/>
      <w:pPr>
        <w:ind w:left="1196" w:hanging="217"/>
      </w:pPr>
      <w:rPr>
        <w:rFonts w:hint="default"/>
        <w:lang w:val="en-GB" w:eastAsia="en-GB" w:bidi="en-GB"/>
      </w:rPr>
    </w:lvl>
    <w:lvl w:ilvl="5" w:tplc="C714DC54">
      <w:numFmt w:val="bullet"/>
      <w:lvlText w:val="•"/>
      <w:lvlJc w:val="left"/>
      <w:pPr>
        <w:ind w:left="1420" w:hanging="217"/>
      </w:pPr>
      <w:rPr>
        <w:rFonts w:hint="default"/>
        <w:lang w:val="en-GB" w:eastAsia="en-GB" w:bidi="en-GB"/>
      </w:rPr>
    </w:lvl>
    <w:lvl w:ilvl="6" w:tplc="443ACD86">
      <w:numFmt w:val="bullet"/>
      <w:lvlText w:val="•"/>
      <w:lvlJc w:val="left"/>
      <w:pPr>
        <w:ind w:left="1644" w:hanging="217"/>
      </w:pPr>
      <w:rPr>
        <w:rFonts w:hint="default"/>
        <w:lang w:val="en-GB" w:eastAsia="en-GB" w:bidi="en-GB"/>
      </w:rPr>
    </w:lvl>
    <w:lvl w:ilvl="7" w:tplc="0C36CBC0">
      <w:numFmt w:val="bullet"/>
      <w:lvlText w:val="•"/>
      <w:lvlJc w:val="left"/>
      <w:pPr>
        <w:ind w:left="1868" w:hanging="217"/>
      </w:pPr>
      <w:rPr>
        <w:rFonts w:hint="default"/>
        <w:lang w:val="en-GB" w:eastAsia="en-GB" w:bidi="en-GB"/>
      </w:rPr>
    </w:lvl>
    <w:lvl w:ilvl="8" w:tplc="1C425830">
      <w:numFmt w:val="bullet"/>
      <w:lvlText w:val="•"/>
      <w:lvlJc w:val="left"/>
      <w:pPr>
        <w:ind w:left="2092" w:hanging="217"/>
      </w:pPr>
      <w:rPr>
        <w:rFonts w:hint="default"/>
        <w:lang w:val="en-GB" w:eastAsia="en-GB" w:bidi="en-GB"/>
      </w:rPr>
    </w:lvl>
  </w:abstractNum>
  <w:abstractNum w:abstractNumId="1063" w15:restartNumberingAfterBreak="0">
    <w:nsid w:val="61205211"/>
    <w:multiLevelType w:val="hybridMultilevel"/>
    <w:tmpl w:val="161448EE"/>
    <w:lvl w:ilvl="0" w:tplc="5EECDA4A">
      <w:numFmt w:val="bullet"/>
      <w:lvlText w:val="•"/>
      <w:lvlJc w:val="left"/>
      <w:pPr>
        <w:ind w:left="299" w:hanging="217"/>
      </w:pPr>
      <w:rPr>
        <w:rFonts w:ascii="Arial" w:eastAsia="Arial" w:hAnsi="Arial" w:cs="Arial" w:hint="default"/>
        <w:color w:val="231F20"/>
        <w:spacing w:val="-10"/>
        <w:w w:val="100"/>
        <w:sz w:val="18"/>
        <w:szCs w:val="18"/>
        <w:lang w:val="en-GB" w:eastAsia="en-GB" w:bidi="en-GB"/>
      </w:rPr>
    </w:lvl>
    <w:lvl w:ilvl="1" w:tplc="C09CD1AA">
      <w:numFmt w:val="bullet"/>
      <w:lvlText w:val="•"/>
      <w:lvlJc w:val="left"/>
      <w:pPr>
        <w:ind w:left="529" w:hanging="217"/>
      </w:pPr>
      <w:rPr>
        <w:rFonts w:hint="default"/>
        <w:lang w:val="en-GB" w:eastAsia="en-GB" w:bidi="en-GB"/>
      </w:rPr>
    </w:lvl>
    <w:lvl w:ilvl="2" w:tplc="05666B60">
      <w:numFmt w:val="bullet"/>
      <w:lvlText w:val="•"/>
      <w:lvlJc w:val="left"/>
      <w:pPr>
        <w:ind w:left="759" w:hanging="217"/>
      </w:pPr>
      <w:rPr>
        <w:rFonts w:hint="default"/>
        <w:lang w:val="en-GB" w:eastAsia="en-GB" w:bidi="en-GB"/>
      </w:rPr>
    </w:lvl>
    <w:lvl w:ilvl="3" w:tplc="CAFEFEE0">
      <w:numFmt w:val="bullet"/>
      <w:lvlText w:val="•"/>
      <w:lvlJc w:val="left"/>
      <w:pPr>
        <w:ind w:left="989" w:hanging="217"/>
      </w:pPr>
      <w:rPr>
        <w:rFonts w:hint="default"/>
        <w:lang w:val="en-GB" w:eastAsia="en-GB" w:bidi="en-GB"/>
      </w:rPr>
    </w:lvl>
    <w:lvl w:ilvl="4" w:tplc="9052FBF0">
      <w:numFmt w:val="bullet"/>
      <w:lvlText w:val="•"/>
      <w:lvlJc w:val="left"/>
      <w:pPr>
        <w:ind w:left="1219" w:hanging="217"/>
      </w:pPr>
      <w:rPr>
        <w:rFonts w:hint="default"/>
        <w:lang w:val="en-GB" w:eastAsia="en-GB" w:bidi="en-GB"/>
      </w:rPr>
    </w:lvl>
    <w:lvl w:ilvl="5" w:tplc="EE3E89C2">
      <w:numFmt w:val="bullet"/>
      <w:lvlText w:val="•"/>
      <w:lvlJc w:val="left"/>
      <w:pPr>
        <w:ind w:left="1449" w:hanging="217"/>
      </w:pPr>
      <w:rPr>
        <w:rFonts w:hint="default"/>
        <w:lang w:val="en-GB" w:eastAsia="en-GB" w:bidi="en-GB"/>
      </w:rPr>
    </w:lvl>
    <w:lvl w:ilvl="6" w:tplc="3E2EBBA8">
      <w:numFmt w:val="bullet"/>
      <w:lvlText w:val="•"/>
      <w:lvlJc w:val="left"/>
      <w:pPr>
        <w:ind w:left="1678" w:hanging="217"/>
      </w:pPr>
      <w:rPr>
        <w:rFonts w:hint="default"/>
        <w:lang w:val="en-GB" w:eastAsia="en-GB" w:bidi="en-GB"/>
      </w:rPr>
    </w:lvl>
    <w:lvl w:ilvl="7" w:tplc="CC44CD40">
      <w:numFmt w:val="bullet"/>
      <w:lvlText w:val="•"/>
      <w:lvlJc w:val="left"/>
      <w:pPr>
        <w:ind w:left="1908" w:hanging="217"/>
      </w:pPr>
      <w:rPr>
        <w:rFonts w:hint="default"/>
        <w:lang w:val="en-GB" w:eastAsia="en-GB" w:bidi="en-GB"/>
      </w:rPr>
    </w:lvl>
    <w:lvl w:ilvl="8" w:tplc="A2AACF0A">
      <w:numFmt w:val="bullet"/>
      <w:lvlText w:val="•"/>
      <w:lvlJc w:val="left"/>
      <w:pPr>
        <w:ind w:left="2138" w:hanging="217"/>
      </w:pPr>
      <w:rPr>
        <w:rFonts w:hint="default"/>
        <w:lang w:val="en-GB" w:eastAsia="en-GB" w:bidi="en-GB"/>
      </w:rPr>
    </w:lvl>
  </w:abstractNum>
  <w:abstractNum w:abstractNumId="1064" w15:restartNumberingAfterBreak="0">
    <w:nsid w:val="61292587"/>
    <w:multiLevelType w:val="hybridMultilevel"/>
    <w:tmpl w:val="E656085A"/>
    <w:lvl w:ilvl="0" w:tplc="CCB0297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DD4114E">
      <w:numFmt w:val="bullet"/>
      <w:lvlText w:val="•"/>
      <w:lvlJc w:val="left"/>
      <w:pPr>
        <w:ind w:left="677" w:hanging="217"/>
      </w:pPr>
      <w:rPr>
        <w:rFonts w:hint="default"/>
        <w:lang w:val="en-GB" w:eastAsia="en-GB" w:bidi="en-GB"/>
      </w:rPr>
    </w:lvl>
    <w:lvl w:ilvl="2" w:tplc="552E3664">
      <w:numFmt w:val="bullet"/>
      <w:lvlText w:val="•"/>
      <w:lvlJc w:val="left"/>
      <w:pPr>
        <w:ind w:left="1054" w:hanging="217"/>
      </w:pPr>
      <w:rPr>
        <w:rFonts w:hint="default"/>
        <w:lang w:val="en-GB" w:eastAsia="en-GB" w:bidi="en-GB"/>
      </w:rPr>
    </w:lvl>
    <w:lvl w:ilvl="3" w:tplc="0D62A6AA">
      <w:numFmt w:val="bullet"/>
      <w:lvlText w:val="•"/>
      <w:lvlJc w:val="left"/>
      <w:pPr>
        <w:ind w:left="1431" w:hanging="217"/>
      </w:pPr>
      <w:rPr>
        <w:rFonts w:hint="default"/>
        <w:lang w:val="en-GB" w:eastAsia="en-GB" w:bidi="en-GB"/>
      </w:rPr>
    </w:lvl>
    <w:lvl w:ilvl="4" w:tplc="34F62DDE">
      <w:numFmt w:val="bullet"/>
      <w:lvlText w:val="•"/>
      <w:lvlJc w:val="left"/>
      <w:pPr>
        <w:ind w:left="1808" w:hanging="217"/>
      </w:pPr>
      <w:rPr>
        <w:rFonts w:hint="default"/>
        <w:lang w:val="en-GB" w:eastAsia="en-GB" w:bidi="en-GB"/>
      </w:rPr>
    </w:lvl>
    <w:lvl w:ilvl="5" w:tplc="E2A43408">
      <w:numFmt w:val="bullet"/>
      <w:lvlText w:val="•"/>
      <w:lvlJc w:val="left"/>
      <w:pPr>
        <w:ind w:left="2186" w:hanging="217"/>
      </w:pPr>
      <w:rPr>
        <w:rFonts w:hint="default"/>
        <w:lang w:val="en-GB" w:eastAsia="en-GB" w:bidi="en-GB"/>
      </w:rPr>
    </w:lvl>
    <w:lvl w:ilvl="6" w:tplc="9E2EF7C2">
      <w:numFmt w:val="bullet"/>
      <w:lvlText w:val="•"/>
      <w:lvlJc w:val="left"/>
      <w:pPr>
        <w:ind w:left="2563" w:hanging="217"/>
      </w:pPr>
      <w:rPr>
        <w:rFonts w:hint="default"/>
        <w:lang w:val="en-GB" w:eastAsia="en-GB" w:bidi="en-GB"/>
      </w:rPr>
    </w:lvl>
    <w:lvl w:ilvl="7" w:tplc="6AD03AE0">
      <w:numFmt w:val="bullet"/>
      <w:lvlText w:val="•"/>
      <w:lvlJc w:val="left"/>
      <w:pPr>
        <w:ind w:left="2940" w:hanging="217"/>
      </w:pPr>
      <w:rPr>
        <w:rFonts w:hint="default"/>
        <w:lang w:val="en-GB" w:eastAsia="en-GB" w:bidi="en-GB"/>
      </w:rPr>
    </w:lvl>
    <w:lvl w:ilvl="8" w:tplc="0772D9D0">
      <w:numFmt w:val="bullet"/>
      <w:lvlText w:val="•"/>
      <w:lvlJc w:val="left"/>
      <w:pPr>
        <w:ind w:left="3317" w:hanging="217"/>
      </w:pPr>
      <w:rPr>
        <w:rFonts w:hint="default"/>
        <w:lang w:val="en-GB" w:eastAsia="en-GB" w:bidi="en-GB"/>
      </w:rPr>
    </w:lvl>
  </w:abstractNum>
  <w:abstractNum w:abstractNumId="1065" w15:restartNumberingAfterBreak="0">
    <w:nsid w:val="615F43D2"/>
    <w:multiLevelType w:val="hybridMultilevel"/>
    <w:tmpl w:val="1352A90A"/>
    <w:lvl w:ilvl="0" w:tplc="8B744356">
      <w:numFmt w:val="bullet"/>
      <w:lvlText w:val="•"/>
      <w:lvlJc w:val="left"/>
      <w:pPr>
        <w:ind w:left="303" w:hanging="217"/>
      </w:pPr>
      <w:rPr>
        <w:rFonts w:ascii="Arial" w:eastAsia="Arial" w:hAnsi="Arial" w:cs="Arial" w:hint="default"/>
        <w:color w:val="231F20"/>
        <w:w w:val="102"/>
        <w:sz w:val="17"/>
        <w:szCs w:val="17"/>
        <w:lang w:val="en-GB" w:eastAsia="en-GB" w:bidi="en-GB"/>
      </w:rPr>
    </w:lvl>
    <w:lvl w:ilvl="1" w:tplc="C39CDEB4">
      <w:numFmt w:val="bullet"/>
      <w:lvlText w:val="•"/>
      <w:lvlJc w:val="left"/>
      <w:pPr>
        <w:ind w:left="439" w:hanging="217"/>
      </w:pPr>
      <w:rPr>
        <w:rFonts w:hint="default"/>
        <w:lang w:val="en-GB" w:eastAsia="en-GB" w:bidi="en-GB"/>
      </w:rPr>
    </w:lvl>
    <w:lvl w:ilvl="2" w:tplc="38662D82">
      <w:numFmt w:val="bullet"/>
      <w:lvlText w:val="•"/>
      <w:lvlJc w:val="left"/>
      <w:pPr>
        <w:ind w:left="578" w:hanging="217"/>
      </w:pPr>
      <w:rPr>
        <w:rFonts w:hint="default"/>
        <w:lang w:val="en-GB" w:eastAsia="en-GB" w:bidi="en-GB"/>
      </w:rPr>
    </w:lvl>
    <w:lvl w:ilvl="3" w:tplc="194E1644">
      <w:numFmt w:val="bullet"/>
      <w:lvlText w:val="•"/>
      <w:lvlJc w:val="left"/>
      <w:pPr>
        <w:ind w:left="717" w:hanging="217"/>
      </w:pPr>
      <w:rPr>
        <w:rFonts w:hint="default"/>
        <w:lang w:val="en-GB" w:eastAsia="en-GB" w:bidi="en-GB"/>
      </w:rPr>
    </w:lvl>
    <w:lvl w:ilvl="4" w:tplc="83969C2A">
      <w:numFmt w:val="bullet"/>
      <w:lvlText w:val="•"/>
      <w:lvlJc w:val="left"/>
      <w:pPr>
        <w:ind w:left="856" w:hanging="217"/>
      </w:pPr>
      <w:rPr>
        <w:rFonts w:hint="default"/>
        <w:lang w:val="en-GB" w:eastAsia="en-GB" w:bidi="en-GB"/>
      </w:rPr>
    </w:lvl>
    <w:lvl w:ilvl="5" w:tplc="86A4ADC4">
      <w:numFmt w:val="bullet"/>
      <w:lvlText w:val="•"/>
      <w:lvlJc w:val="left"/>
      <w:pPr>
        <w:ind w:left="995" w:hanging="217"/>
      </w:pPr>
      <w:rPr>
        <w:rFonts w:hint="default"/>
        <w:lang w:val="en-GB" w:eastAsia="en-GB" w:bidi="en-GB"/>
      </w:rPr>
    </w:lvl>
    <w:lvl w:ilvl="6" w:tplc="D59C4272">
      <w:numFmt w:val="bullet"/>
      <w:lvlText w:val="•"/>
      <w:lvlJc w:val="left"/>
      <w:pPr>
        <w:ind w:left="1134" w:hanging="217"/>
      </w:pPr>
      <w:rPr>
        <w:rFonts w:hint="default"/>
        <w:lang w:val="en-GB" w:eastAsia="en-GB" w:bidi="en-GB"/>
      </w:rPr>
    </w:lvl>
    <w:lvl w:ilvl="7" w:tplc="69B84CB8">
      <w:numFmt w:val="bullet"/>
      <w:lvlText w:val="•"/>
      <w:lvlJc w:val="left"/>
      <w:pPr>
        <w:ind w:left="1273" w:hanging="217"/>
      </w:pPr>
      <w:rPr>
        <w:rFonts w:hint="default"/>
        <w:lang w:val="en-GB" w:eastAsia="en-GB" w:bidi="en-GB"/>
      </w:rPr>
    </w:lvl>
    <w:lvl w:ilvl="8" w:tplc="C26C32A2">
      <w:numFmt w:val="bullet"/>
      <w:lvlText w:val="•"/>
      <w:lvlJc w:val="left"/>
      <w:pPr>
        <w:ind w:left="1412" w:hanging="217"/>
      </w:pPr>
      <w:rPr>
        <w:rFonts w:hint="default"/>
        <w:lang w:val="en-GB" w:eastAsia="en-GB" w:bidi="en-GB"/>
      </w:rPr>
    </w:lvl>
  </w:abstractNum>
  <w:abstractNum w:abstractNumId="1066" w15:restartNumberingAfterBreak="0">
    <w:nsid w:val="61607092"/>
    <w:multiLevelType w:val="hybridMultilevel"/>
    <w:tmpl w:val="E53E3F3A"/>
    <w:lvl w:ilvl="0" w:tplc="157A32E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2303868">
      <w:numFmt w:val="bullet"/>
      <w:lvlText w:val="•"/>
      <w:lvlJc w:val="left"/>
      <w:pPr>
        <w:ind w:left="439" w:hanging="217"/>
      </w:pPr>
      <w:rPr>
        <w:rFonts w:hint="default"/>
        <w:lang w:val="en-GB" w:eastAsia="en-GB" w:bidi="en-GB"/>
      </w:rPr>
    </w:lvl>
    <w:lvl w:ilvl="2" w:tplc="3956E86E">
      <w:numFmt w:val="bullet"/>
      <w:lvlText w:val="•"/>
      <w:lvlJc w:val="left"/>
      <w:pPr>
        <w:ind w:left="578" w:hanging="217"/>
      </w:pPr>
      <w:rPr>
        <w:rFonts w:hint="default"/>
        <w:lang w:val="en-GB" w:eastAsia="en-GB" w:bidi="en-GB"/>
      </w:rPr>
    </w:lvl>
    <w:lvl w:ilvl="3" w:tplc="68C0F5AC">
      <w:numFmt w:val="bullet"/>
      <w:lvlText w:val="•"/>
      <w:lvlJc w:val="left"/>
      <w:pPr>
        <w:ind w:left="717" w:hanging="217"/>
      </w:pPr>
      <w:rPr>
        <w:rFonts w:hint="default"/>
        <w:lang w:val="en-GB" w:eastAsia="en-GB" w:bidi="en-GB"/>
      </w:rPr>
    </w:lvl>
    <w:lvl w:ilvl="4" w:tplc="64709610">
      <w:numFmt w:val="bullet"/>
      <w:lvlText w:val="•"/>
      <w:lvlJc w:val="left"/>
      <w:pPr>
        <w:ind w:left="856" w:hanging="217"/>
      </w:pPr>
      <w:rPr>
        <w:rFonts w:hint="default"/>
        <w:lang w:val="en-GB" w:eastAsia="en-GB" w:bidi="en-GB"/>
      </w:rPr>
    </w:lvl>
    <w:lvl w:ilvl="5" w:tplc="7982ECA6">
      <w:numFmt w:val="bullet"/>
      <w:lvlText w:val="•"/>
      <w:lvlJc w:val="left"/>
      <w:pPr>
        <w:ind w:left="995" w:hanging="217"/>
      </w:pPr>
      <w:rPr>
        <w:rFonts w:hint="default"/>
        <w:lang w:val="en-GB" w:eastAsia="en-GB" w:bidi="en-GB"/>
      </w:rPr>
    </w:lvl>
    <w:lvl w:ilvl="6" w:tplc="3C107F18">
      <w:numFmt w:val="bullet"/>
      <w:lvlText w:val="•"/>
      <w:lvlJc w:val="left"/>
      <w:pPr>
        <w:ind w:left="1134" w:hanging="217"/>
      </w:pPr>
      <w:rPr>
        <w:rFonts w:hint="default"/>
        <w:lang w:val="en-GB" w:eastAsia="en-GB" w:bidi="en-GB"/>
      </w:rPr>
    </w:lvl>
    <w:lvl w:ilvl="7" w:tplc="46A491F2">
      <w:numFmt w:val="bullet"/>
      <w:lvlText w:val="•"/>
      <w:lvlJc w:val="left"/>
      <w:pPr>
        <w:ind w:left="1273" w:hanging="217"/>
      </w:pPr>
      <w:rPr>
        <w:rFonts w:hint="default"/>
        <w:lang w:val="en-GB" w:eastAsia="en-GB" w:bidi="en-GB"/>
      </w:rPr>
    </w:lvl>
    <w:lvl w:ilvl="8" w:tplc="5336ABDA">
      <w:numFmt w:val="bullet"/>
      <w:lvlText w:val="•"/>
      <w:lvlJc w:val="left"/>
      <w:pPr>
        <w:ind w:left="1412" w:hanging="217"/>
      </w:pPr>
      <w:rPr>
        <w:rFonts w:hint="default"/>
        <w:lang w:val="en-GB" w:eastAsia="en-GB" w:bidi="en-GB"/>
      </w:rPr>
    </w:lvl>
  </w:abstractNum>
  <w:abstractNum w:abstractNumId="1067" w15:restartNumberingAfterBreak="0">
    <w:nsid w:val="61780E5A"/>
    <w:multiLevelType w:val="multilevel"/>
    <w:tmpl w:val="B1905476"/>
    <w:lvl w:ilvl="0">
      <w:start w:val="1"/>
      <w:numFmt w:val="decimal"/>
      <w:lvlText w:val="%1"/>
      <w:lvlJc w:val="left"/>
      <w:pPr>
        <w:ind w:left="930" w:hanging="720"/>
      </w:pPr>
      <w:rPr>
        <w:rFonts w:hint="default"/>
        <w:lang w:val="en-GB" w:eastAsia="en-GB" w:bidi="en-GB"/>
      </w:rPr>
    </w:lvl>
    <w:lvl w:ilvl="1">
      <w:start w:val="1"/>
      <w:numFmt w:val="decimal"/>
      <w:lvlText w:val="%1.%2"/>
      <w:lvlJc w:val="left"/>
      <w:pPr>
        <w:ind w:left="930" w:hanging="720"/>
      </w:pPr>
      <w:rPr>
        <w:rFonts w:hint="default"/>
        <w:lang w:val="en-GB" w:eastAsia="en-GB" w:bidi="en-GB"/>
      </w:rPr>
    </w:lvl>
    <w:lvl w:ilvl="2">
      <w:start w:val="1"/>
      <w:numFmt w:val="decimal"/>
      <w:lvlText w:val="%1.%2.%3"/>
      <w:lvlJc w:val="left"/>
      <w:pPr>
        <w:ind w:left="930" w:hanging="720"/>
      </w:pPr>
      <w:rPr>
        <w:rFonts w:ascii="Arial" w:eastAsia="Arial" w:hAnsi="Arial" w:cs="Arial" w:hint="default"/>
        <w:b/>
        <w:bCs/>
        <w:color w:val="231F20"/>
        <w:spacing w:val="-14"/>
        <w:w w:val="100"/>
        <w:sz w:val="24"/>
        <w:szCs w:val="24"/>
        <w:lang w:val="en-GB" w:eastAsia="en-GB" w:bidi="en-GB"/>
      </w:rPr>
    </w:lvl>
    <w:lvl w:ilvl="3">
      <w:numFmt w:val="bullet"/>
      <w:lvlText w:val="•"/>
      <w:lvlJc w:val="left"/>
      <w:pPr>
        <w:ind w:left="3839" w:hanging="720"/>
      </w:pPr>
      <w:rPr>
        <w:rFonts w:hint="default"/>
        <w:lang w:val="en-GB" w:eastAsia="en-GB" w:bidi="en-GB"/>
      </w:rPr>
    </w:lvl>
    <w:lvl w:ilvl="4">
      <w:numFmt w:val="bullet"/>
      <w:lvlText w:val="•"/>
      <w:lvlJc w:val="left"/>
      <w:pPr>
        <w:ind w:left="4806" w:hanging="720"/>
      </w:pPr>
      <w:rPr>
        <w:rFonts w:hint="default"/>
        <w:lang w:val="en-GB" w:eastAsia="en-GB" w:bidi="en-GB"/>
      </w:rPr>
    </w:lvl>
    <w:lvl w:ilvl="5">
      <w:numFmt w:val="bullet"/>
      <w:lvlText w:val="•"/>
      <w:lvlJc w:val="left"/>
      <w:pPr>
        <w:ind w:left="5772" w:hanging="720"/>
      </w:pPr>
      <w:rPr>
        <w:rFonts w:hint="default"/>
        <w:lang w:val="en-GB" w:eastAsia="en-GB" w:bidi="en-GB"/>
      </w:rPr>
    </w:lvl>
    <w:lvl w:ilvl="6">
      <w:numFmt w:val="bullet"/>
      <w:lvlText w:val="•"/>
      <w:lvlJc w:val="left"/>
      <w:pPr>
        <w:ind w:left="6739" w:hanging="720"/>
      </w:pPr>
      <w:rPr>
        <w:rFonts w:hint="default"/>
        <w:lang w:val="en-GB" w:eastAsia="en-GB" w:bidi="en-GB"/>
      </w:rPr>
    </w:lvl>
    <w:lvl w:ilvl="7">
      <w:numFmt w:val="bullet"/>
      <w:lvlText w:val="•"/>
      <w:lvlJc w:val="left"/>
      <w:pPr>
        <w:ind w:left="7705" w:hanging="720"/>
      </w:pPr>
      <w:rPr>
        <w:rFonts w:hint="default"/>
        <w:lang w:val="en-GB" w:eastAsia="en-GB" w:bidi="en-GB"/>
      </w:rPr>
    </w:lvl>
    <w:lvl w:ilvl="8">
      <w:numFmt w:val="bullet"/>
      <w:lvlText w:val="•"/>
      <w:lvlJc w:val="left"/>
      <w:pPr>
        <w:ind w:left="8672" w:hanging="720"/>
      </w:pPr>
      <w:rPr>
        <w:rFonts w:hint="default"/>
        <w:lang w:val="en-GB" w:eastAsia="en-GB" w:bidi="en-GB"/>
      </w:rPr>
    </w:lvl>
  </w:abstractNum>
  <w:abstractNum w:abstractNumId="1068" w15:restartNumberingAfterBreak="0">
    <w:nsid w:val="61960861"/>
    <w:multiLevelType w:val="hybridMultilevel"/>
    <w:tmpl w:val="6638FAD0"/>
    <w:lvl w:ilvl="0" w:tplc="BF2A2BCA">
      <w:numFmt w:val="bullet"/>
      <w:lvlText w:val="•"/>
      <w:lvlJc w:val="left"/>
      <w:pPr>
        <w:ind w:left="299" w:hanging="217"/>
      </w:pPr>
      <w:rPr>
        <w:rFonts w:ascii="Arial" w:eastAsia="Arial" w:hAnsi="Arial" w:cs="Arial" w:hint="default"/>
        <w:color w:val="231F20"/>
        <w:spacing w:val="-10"/>
        <w:w w:val="100"/>
        <w:sz w:val="18"/>
        <w:szCs w:val="18"/>
        <w:lang w:val="en-GB" w:eastAsia="en-GB" w:bidi="en-GB"/>
      </w:rPr>
    </w:lvl>
    <w:lvl w:ilvl="1" w:tplc="37F048E6">
      <w:numFmt w:val="bullet"/>
      <w:lvlText w:val="•"/>
      <w:lvlJc w:val="left"/>
      <w:pPr>
        <w:ind w:left="529" w:hanging="217"/>
      </w:pPr>
      <w:rPr>
        <w:rFonts w:hint="default"/>
        <w:lang w:val="en-GB" w:eastAsia="en-GB" w:bidi="en-GB"/>
      </w:rPr>
    </w:lvl>
    <w:lvl w:ilvl="2" w:tplc="0F56D9E2">
      <w:numFmt w:val="bullet"/>
      <w:lvlText w:val="•"/>
      <w:lvlJc w:val="left"/>
      <w:pPr>
        <w:ind w:left="759" w:hanging="217"/>
      </w:pPr>
      <w:rPr>
        <w:rFonts w:hint="default"/>
        <w:lang w:val="en-GB" w:eastAsia="en-GB" w:bidi="en-GB"/>
      </w:rPr>
    </w:lvl>
    <w:lvl w:ilvl="3" w:tplc="59FA675E">
      <w:numFmt w:val="bullet"/>
      <w:lvlText w:val="•"/>
      <w:lvlJc w:val="left"/>
      <w:pPr>
        <w:ind w:left="989" w:hanging="217"/>
      </w:pPr>
      <w:rPr>
        <w:rFonts w:hint="default"/>
        <w:lang w:val="en-GB" w:eastAsia="en-GB" w:bidi="en-GB"/>
      </w:rPr>
    </w:lvl>
    <w:lvl w:ilvl="4" w:tplc="0128B066">
      <w:numFmt w:val="bullet"/>
      <w:lvlText w:val="•"/>
      <w:lvlJc w:val="left"/>
      <w:pPr>
        <w:ind w:left="1219" w:hanging="217"/>
      </w:pPr>
      <w:rPr>
        <w:rFonts w:hint="default"/>
        <w:lang w:val="en-GB" w:eastAsia="en-GB" w:bidi="en-GB"/>
      </w:rPr>
    </w:lvl>
    <w:lvl w:ilvl="5" w:tplc="C5D86DEC">
      <w:numFmt w:val="bullet"/>
      <w:lvlText w:val="•"/>
      <w:lvlJc w:val="left"/>
      <w:pPr>
        <w:ind w:left="1449" w:hanging="217"/>
      </w:pPr>
      <w:rPr>
        <w:rFonts w:hint="default"/>
        <w:lang w:val="en-GB" w:eastAsia="en-GB" w:bidi="en-GB"/>
      </w:rPr>
    </w:lvl>
    <w:lvl w:ilvl="6" w:tplc="8D9292D0">
      <w:numFmt w:val="bullet"/>
      <w:lvlText w:val="•"/>
      <w:lvlJc w:val="left"/>
      <w:pPr>
        <w:ind w:left="1678" w:hanging="217"/>
      </w:pPr>
      <w:rPr>
        <w:rFonts w:hint="default"/>
        <w:lang w:val="en-GB" w:eastAsia="en-GB" w:bidi="en-GB"/>
      </w:rPr>
    </w:lvl>
    <w:lvl w:ilvl="7" w:tplc="AC06F030">
      <w:numFmt w:val="bullet"/>
      <w:lvlText w:val="•"/>
      <w:lvlJc w:val="left"/>
      <w:pPr>
        <w:ind w:left="1908" w:hanging="217"/>
      </w:pPr>
      <w:rPr>
        <w:rFonts w:hint="default"/>
        <w:lang w:val="en-GB" w:eastAsia="en-GB" w:bidi="en-GB"/>
      </w:rPr>
    </w:lvl>
    <w:lvl w:ilvl="8" w:tplc="150A6B16">
      <w:numFmt w:val="bullet"/>
      <w:lvlText w:val="•"/>
      <w:lvlJc w:val="left"/>
      <w:pPr>
        <w:ind w:left="2138" w:hanging="217"/>
      </w:pPr>
      <w:rPr>
        <w:rFonts w:hint="default"/>
        <w:lang w:val="en-GB" w:eastAsia="en-GB" w:bidi="en-GB"/>
      </w:rPr>
    </w:lvl>
  </w:abstractNum>
  <w:abstractNum w:abstractNumId="1069" w15:restartNumberingAfterBreak="0">
    <w:nsid w:val="61B8285D"/>
    <w:multiLevelType w:val="hybridMultilevel"/>
    <w:tmpl w:val="65A86D36"/>
    <w:lvl w:ilvl="0" w:tplc="13645784">
      <w:numFmt w:val="bullet"/>
      <w:lvlText w:val="•"/>
      <w:lvlJc w:val="left"/>
      <w:pPr>
        <w:ind w:left="305" w:hanging="217"/>
      </w:pPr>
      <w:rPr>
        <w:rFonts w:ascii="Arial" w:eastAsia="Arial" w:hAnsi="Arial" w:cs="Arial" w:hint="default"/>
        <w:color w:val="231F20"/>
        <w:spacing w:val="-17"/>
        <w:w w:val="100"/>
        <w:sz w:val="18"/>
        <w:szCs w:val="18"/>
        <w:lang w:val="en-GB" w:eastAsia="en-GB" w:bidi="en-GB"/>
      </w:rPr>
    </w:lvl>
    <w:lvl w:ilvl="1" w:tplc="C714C102">
      <w:numFmt w:val="bullet"/>
      <w:lvlText w:val="•"/>
      <w:lvlJc w:val="left"/>
      <w:pPr>
        <w:ind w:left="441" w:hanging="217"/>
      </w:pPr>
      <w:rPr>
        <w:rFonts w:hint="default"/>
        <w:lang w:val="en-GB" w:eastAsia="en-GB" w:bidi="en-GB"/>
      </w:rPr>
    </w:lvl>
    <w:lvl w:ilvl="2" w:tplc="21E2285E">
      <w:numFmt w:val="bullet"/>
      <w:lvlText w:val="•"/>
      <w:lvlJc w:val="left"/>
      <w:pPr>
        <w:ind w:left="583" w:hanging="217"/>
      </w:pPr>
      <w:rPr>
        <w:rFonts w:hint="default"/>
        <w:lang w:val="en-GB" w:eastAsia="en-GB" w:bidi="en-GB"/>
      </w:rPr>
    </w:lvl>
    <w:lvl w:ilvl="3" w:tplc="00307E6C">
      <w:numFmt w:val="bullet"/>
      <w:lvlText w:val="•"/>
      <w:lvlJc w:val="left"/>
      <w:pPr>
        <w:ind w:left="725" w:hanging="217"/>
      </w:pPr>
      <w:rPr>
        <w:rFonts w:hint="default"/>
        <w:lang w:val="en-GB" w:eastAsia="en-GB" w:bidi="en-GB"/>
      </w:rPr>
    </w:lvl>
    <w:lvl w:ilvl="4" w:tplc="762A84E4">
      <w:numFmt w:val="bullet"/>
      <w:lvlText w:val="•"/>
      <w:lvlJc w:val="left"/>
      <w:pPr>
        <w:ind w:left="867" w:hanging="217"/>
      </w:pPr>
      <w:rPr>
        <w:rFonts w:hint="default"/>
        <w:lang w:val="en-GB" w:eastAsia="en-GB" w:bidi="en-GB"/>
      </w:rPr>
    </w:lvl>
    <w:lvl w:ilvl="5" w:tplc="972E645A">
      <w:numFmt w:val="bullet"/>
      <w:lvlText w:val="•"/>
      <w:lvlJc w:val="left"/>
      <w:pPr>
        <w:ind w:left="1009" w:hanging="217"/>
      </w:pPr>
      <w:rPr>
        <w:rFonts w:hint="default"/>
        <w:lang w:val="en-GB" w:eastAsia="en-GB" w:bidi="en-GB"/>
      </w:rPr>
    </w:lvl>
    <w:lvl w:ilvl="6" w:tplc="6B5C2AB2">
      <w:numFmt w:val="bullet"/>
      <w:lvlText w:val="•"/>
      <w:lvlJc w:val="left"/>
      <w:pPr>
        <w:ind w:left="1151" w:hanging="217"/>
      </w:pPr>
      <w:rPr>
        <w:rFonts w:hint="default"/>
        <w:lang w:val="en-GB" w:eastAsia="en-GB" w:bidi="en-GB"/>
      </w:rPr>
    </w:lvl>
    <w:lvl w:ilvl="7" w:tplc="38E8AEDA">
      <w:numFmt w:val="bullet"/>
      <w:lvlText w:val="•"/>
      <w:lvlJc w:val="left"/>
      <w:pPr>
        <w:ind w:left="1293" w:hanging="217"/>
      </w:pPr>
      <w:rPr>
        <w:rFonts w:hint="default"/>
        <w:lang w:val="en-GB" w:eastAsia="en-GB" w:bidi="en-GB"/>
      </w:rPr>
    </w:lvl>
    <w:lvl w:ilvl="8" w:tplc="67361398">
      <w:numFmt w:val="bullet"/>
      <w:lvlText w:val="•"/>
      <w:lvlJc w:val="left"/>
      <w:pPr>
        <w:ind w:left="1435" w:hanging="217"/>
      </w:pPr>
      <w:rPr>
        <w:rFonts w:hint="default"/>
        <w:lang w:val="en-GB" w:eastAsia="en-GB" w:bidi="en-GB"/>
      </w:rPr>
    </w:lvl>
  </w:abstractNum>
  <w:abstractNum w:abstractNumId="1070" w15:restartNumberingAfterBreak="0">
    <w:nsid w:val="61C33D59"/>
    <w:multiLevelType w:val="hybridMultilevel"/>
    <w:tmpl w:val="8D882BAA"/>
    <w:lvl w:ilvl="0" w:tplc="9FACF99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4242672">
      <w:numFmt w:val="bullet"/>
      <w:lvlText w:val="•"/>
      <w:lvlJc w:val="left"/>
      <w:pPr>
        <w:ind w:left="473" w:hanging="217"/>
      </w:pPr>
      <w:rPr>
        <w:rFonts w:hint="default"/>
        <w:lang w:val="en-GB" w:eastAsia="en-GB" w:bidi="en-GB"/>
      </w:rPr>
    </w:lvl>
    <w:lvl w:ilvl="2" w:tplc="50A07902">
      <w:numFmt w:val="bullet"/>
      <w:lvlText w:val="•"/>
      <w:lvlJc w:val="left"/>
      <w:pPr>
        <w:ind w:left="646" w:hanging="217"/>
      </w:pPr>
      <w:rPr>
        <w:rFonts w:hint="default"/>
        <w:lang w:val="en-GB" w:eastAsia="en-GB" w:bidi="en-GB"/>
      </w:rPr>
    </w:lvl>
    <w:lvl w:ilvl="3" w:tplc="C792C4B8">
      <w:numFmt w:val="bullet"/>
      <w:lvlText w:val="•"/>
      <w:lvlJc w:val="left"/>
      <w:pPr>
        <w:ind w:left="819" w:hanging="217"/>
      </w:pPr>
      <w:rPr>
        <w:rFonts w:hint="default"/>
        <w:lang w:val="en-GB" w:eastAsia="en-GB" w:bidi="en-GB"/>
      </w:rPr>
    </w:lvl>
    <w:lvl w:ilvl="4" w:tplc="3940A0D4">
      <w:numFmt w:val="bullet"/>
      <w:lvlText w:val="•"/>
      <w:lvlJc w:val="left"/>
      <w:pPr>
        <w:ind w:left="992" w:hanging="217"/>
      </w:pPr>
      <w:rPr>
        <w:rFonts w:hint="default"/>
        <w:lang w:val="en-GB" w:eastAsia="en-GB" w:bidi="en-GB"/>
      </w:rPr>
    </w:lvl>
    <w:lvl w:ilvl="5" w:tplc="82403BE8">
      <w:numFmt w:val="bullet"/>
      <w:lvlText w:val="•"/>
      <w:lvlJc w:val="left"/>
      <w:pPr>
        <w:ind w:left="1165" w:hanging="217"/>
      </w:pPr>
      <w:rPr>
        <w:rFonts w:hint="default"/>
        <w:lang w:val="en-GB" w:eastAsia="en-GB" w:bidi="en-GB"/>
      </w:rPr>
    </w:lvl>
    <w:lvl w:ilvl="6" w:tplc="9E6C1052">
      <w:numFmt w:val="bullet"/>
      <w:lvlText w:val="•"/>
      <w:lvlJc w:val="left"/>
      <w:pPr>
        <w:ind w:left="1338" w:hanging="217"/>
      </w:pPr>
      <w:rPr>
        <w:rFonts w:hint="default"/>
        <w:lang w:val="en-GB" w:eastAsia="en-GB" w:bidi="en-GB"/>
      </w:rPr>
    </w:lvl>
    <w:lvl w:ilvl="7" w:tplc="5BB0E314">
      <w:numFmt w:val="bullet"/>
      <w:lvlText w:val="•"/>
      <w:lvlJc w:val="left"/>
      <w:pPr>
        <w:ind w:left="1511" w:hanging="217"/>
      </w:pPr>
      <w:rPr>
        <w:rFonts w:hint="default"/>
        <w:lang w:val="en-GB" w:eastAsia="en-GB" w:bidi="en-GB"/>
      </w:rPr>
    </w:lvl>
    <w:lvl w:ilvl="8" w:tplc="264A40AE">
      <w:numFmt w:val="bullet"/>
      <w:lvlText w:val="•"/>
      <w:lvlJc w:val="left"/>
      <w:pPr>
        <w:ind w:left="1684" w:hanging="217"/>
      </w:pPr>
      <w:rPr>
        <w:rFonts w:hint="default"/>
        <w:lang w:val="en-GB" w:eastAsia="en-GB" w:bidi="en-GB"/>
      </w:rPr>
    </w:lvl>
  </w:abstractNum>
  <w:abstractNum w:abstractNumId="1071" w15:restartNumberingAfterBreak="0">
    <w:nsid w:val="61C45D7F"/>
    <w:multiLevelType w:val="hybridMultilevel"/>
    <w:tmpl w:val="20F4BBF8"/>
    <w:lvl w:ilvl="0" w:tplc="9800DEA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B7A922E">
      <w:numFmt w:val="bullet"/>
      <w:lvlText w:val="•"/>
      <w:lvlJc w:val="left"/>
      <w:pPr>
        <w:ind w:left="473" w:hanging="217"/>
      </w:pPr>
      <w:rPr>
        <w:rFonts w:hint="default"/>
        <w:lang w:val="en-GB" w:eastAsia="en-GB" w:bidi="en-GB"/>
      </w:rPr>
    </w:lvl>
    <w:lvl w:ilvl="2" w:tplc="52A848E6">
      <w:numFmt w:val="bullet"/>
      <w:lvlText w:val="•"/>
      <w:lvlJc w:val="left"/>
      <w:pPr>
        <w:ind w:left="646" w:hanging="217"/>
      </w:pPr>
      <w:rPr>
        <w:rFonts w:hint="default"/>
        <w:lang w:val="en-GB" w:eastAsia="en-GB" w:bidi="en-GB"/>
      </w:rPr>
    </w:lvl>
    <w:lvl w:ilvl="3" w:tplc="33745DCC">
      <w:numFmt w:val="bullet"/>
      <w:lvlText w:val="•"/>
      <w:lvlJc w:val="left"/>
      <w:pPr>
        <w:ind w:left="819" w:hanging="217"/>
      </w:pPr>
      <w:rPr>
        <w:rFonts w:hint="default"/>
        <w:lang w:val="en-GB" w:eastAsia="en-GB" w:bidi="en-GB"/>
      </w:rPr>
    </w:lvl>
    <w:lvl w:ilvl="4" w:tplc="E04AFCB8">
      <w:numFmt w:val="bullet"/>
      <w:lvlText w:val="•"/>
      <w:lvlJc w:val="left"/>
      <w:pPr>
        <w:ind w:left="992" w:hanging="217"/>
      </w:pPr>
      <w:rPr>
        <w:rFonts w:hint="default"/>
        <w:lang w:val="en-GB" w:eastAsia="en-GB" w:bidi="en-GB"/>
      </w:rPr>
    </w:lvl>
    <w:lvl w:ilvl="5" w:tplc="AEAA3938">
      <w:numFmt w:val="bullet"/>
      <w:lvlText w:val="•"/>
      <w:lvlJc w:val="left"/>
      <w:pPr>
        <w:ind w:left="1165" w:hanging="217"/>
      </w:pPr>
      <w:rPr>
        <w:rFonts w:hint="default"/>
        <w:lang w:val="en-GB" w:eastAsia="en-GB" w:bidi="en-GB"/>
      </w:rPr>
    </w:lvl>
    <w:lvl w:ilvl="6" w:tplc="95148A40">
      <w:numFmt w:val="bullet"/>
      <w:lvlText w:val="•"/>
      <w:lvlJc w:val="left"/>
      <w:pPr>
        <w:ind w:left="1338" w:hanging="217"/>
      </w:pPr>
      <w:rPr>
        <w:rFonts w:hint="default"/>
        <w:lang w:val="en-GB" w:eastAsia="en-GB" w:bidi="en-GB"/>
      </w:rPr>
    </w:lvl>
    <w:lvl w:ilvl="7" w:tplc="511E6192">
      <w:numFmt w:val="bullet"/>
      <w:lvlText w:val="•"/>
      <w:lvlJc w:val="left"/>
      <w:pPr>
        <w:ind w:left="1511" w:hanging="217"/>
      </w:pPr>
      <w:rPr>
        <w:rFonts w:hint="default"/>
        <w:lang w:val="en-GB" w:eastAsia="en-GB" w:bidi="en-GB"/>
      </w:rPr>
    </w:lvl>
    <w:lvl w:ilvl="8" w:tplc="76D8B83E">
      <w:numFmt w:val="bullet"/>
      <w:lvlText w:val="•"/>
      <w:lvlJc w:val="left"/>
      <w:pPr>
        <w:ind w:left="1684" w:hanging="217"/>
      </w:pPr>
      <w:rPr>
        <w:rFonts w:hint="default"/>
        <w:lang w:val="en-GB" w:eastAsia="en-GB" w:bidi="en-GB"/>
      </w:rPr>
    </w:lvl>
  </w:abstractNum>
  <w:abstractNum w:abstractNumId="1072" w15:restartNumberingAfterBreak="0">
    <w:nsid w:val="61CE58C9"/>
    <w:multiLevelType w:val="hybridMultilevel"/>
    <w:tmpl w:val="C93A6146"/>
    <w:lvl w:ilvl="0" w:tplc="2FD6773A">
      <w:numFmt w:val="bullet"/>
      <w:lvlText w:val="•"/>
      <w:lvlJc w:val="left"/>
      <w:pPr>
        <w:ind w:left="300" w:hanging="217"/>
      </w:pPr>
      <w:rPr>
        <w:rFonts w:ascii="Arial" w:eastAsia="Arial" w:hAnsi="Arial" w:cs="Arial" w:hint="default"/>
        <w:color w:val="231F20"/>
        <w:w w:val="102"/>
        <w:sz w:val="17"/>
        <w:szCs w:val="17"/>
        <w:lang w:val="en-GB" w:eastAsia="en-GB" w:bidi="en-GB"/>
      </w:rPr>
    </w:lvl>
    <w:lvl w:ilvl="1" w:tplc="4752A020">
      <w:numFmt w:val="bullet"/>
      <w:lvlText w:val="•"/>
      <w:lvlJc w:val="left"/>
      <w:pPr>
        <w:ind w:left="892" w:hanging="217"/>
      </w:pPr>
      <w:rPr>
        <w:rFonts w:hint="default"/>
        <w:lang w:val="en-GB" w:eastAsia="en-GB" w:bidi="en-GB"/>
      </w:rPr>
    </w:lvl>
    <w:lvl w:ilvl="2" w:tplc="9B86DDFA">
      <w:numFmt w:val="bullet"/>
      <w:lvlText w:val="•"/>
      <w:lvlJc w:val="left"/>
      <w:pPr>
        <w:ind w:left="1484" w:hanging="217"/>
      </w:pPr>
      <w:rPr>
        <w:rFonts w:hint="default"/>
        <w:lang w:val="en-GB" w:eastAsia="en-GB" w:bidi="en-GB"/>
      </w:rPr>
    </w:lvl>
    <w:lvl w:ilvl="3" w:tplc="6DBA0180">
      <w:numFmt w:val="bullet"/>
      <w:lvlText w:val="•"/>
      <w:lvlJc w:val="left"/>
      <w:pPr>
        <w:ind w:left="2076" w:hanging="217"/>
      </w:pPr>
      <w:rPr>
        <w:rFonts w:hint="default"/>
        <w:lang w:val="en-GB" w:eastAsia="en-GB" w:bidi="en-GB"/>
      </w:rPr>
    </w:lvl>
    <w:lvl w:ilvl="4" w:tplc="CA2A5020">
      <w:numFmt w:val="bullet"/>
      <w:lvlText w:val="•"/>
      <w:lvlJc w:val="left"/>
      <w:pPr>
        <w:ind w:left="2668" w:hanging="217"/>
      </w:pPr>
      <w:rPr>
        <w:rFonts w:hint="default"/>
        <w:lang w:val="en-GB" w:eastAsia="en-GB" w:bidi="en-GB"/>
      </w:rPr>
    </w:lvl>
    <w:lvl w:ilvl="5" w:tplc="66206BF4">
      <w:numFmt w:val="bullet"/>
      <w:lvlText w:val="•"/>
      <w:lvlJc w:val="left"/>
      <w:pPr>
        <w:ind w:left="3260" w:hanging="217"/>
      </w:pPr>
      <w:rPr>
        <w:rFonts w:hint="default"/>
        <w:lang w:val="en-GB" w:eastAsia="en-GB" w:bidi="en-GB"/>
      </w:rPr>
    </w:lvl>
    <w:lvl w:ilvl="6" w:tplc="E7C4FD2E">
      <w:numFmt w:val="bullet"/>
      <w:lvlText w:val="•"/>
      <w:lvlJc w:val="left"/>
      <w:pPr>
        <w:ind w:left="3852" w:hanging="217"/>
      </w:pPr>
      <w:rPr>
        <w:rFonts w:hint="default"/>
        <w:lang w:val="en-GB" w:eastAsia="en-GB" w:bidi="en-GB"/>
      </w:rPr>
    </w:lvl>
    <w:lvl w:ilvl="7" w:tplc="708AB950">
      <w:numFmt w:val="bullet"/>
      <w:lvlText w:val="•"/>
      <w:lvlJc w:val="left"/>
      <w:pPr>
        <w:ind w:left="4444" w:hanging="217"/>
      </w:pPr>
      <w:rPr>
        <w:rFonts w:hint="default"/>
        <w:lang w:val="en-GB" w:eastAsia="en-GB" w:bidi="en-GB"/>
      </w:rPr>
    </w:lvl>
    <w:lvl w:ilvl="8" w:tplc="E312C162">
      <w:numFmt w:val="bullet"/>
      <w:lvlText w:val="•"/>
      <w:lvlJc w:val="left"/>
      <w:pPr>
        <w:ind w:left="5036" w:hanging="217"/>
      </w:pPr>
      <w:rPr>
        <w:rFonts w:hint="default"/>
        <w:lang w:val="en-GB" w:eastAsia="en-GB" w:bidi="en-GB"/>
      </w:rPr>
    </w:lvl>
  </w:abstractNum>
  <w:abstractNum w:abstractNumId="1073" w15:restartNumberingAfterBreak="0">
    <w:nsid w:val="61E01265"/>
    <w:multiLevelType w:val="hybridMultilevel"/>
    <w:tmpl w:val="DB46929E"/>
    <w:lvl w:ilvl="0" w:tplc="5B40301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ABEDEB6">
      <w:numFmt w:val="bullet"/>
      <w:lvlText w:val="•"/>
      <w:lvlJc w:val="left"/>
      <w:pPr>
        <w:ind w:left="439" w:hanging="217"/>
      </w:pPr>
      <w:rPr>
        <w:rFonts w:hint="default"/>
        <w:lang w:val="en-GB" w:eastAsia="en-GB" w:bidi="en-GB"/>
      </w:rPr>
    </w:lvl>
    <w:lvl w:ilvl="2" w:tplc="A21696F0">
      <w:numFmt w:val="bullet"/>
      <w:lvlText w:val="•"/>
      <w:lvlJc w:val="left"/>
      <w:pPr>
        <w:ind w:left="578" w:hanging="217"/>
      </w:pPr>
      <w:rPr>
        <w:rFonts w:hint="default"/>
        <w:lang w:val="en-GB" w:eastAsia="en-GB" w:bidi="en-GB"/>
      </w:rPr>
    </w:lvl>
    <w:lvl w:ilvl="3" w:tplc="1888990C">
      <w:numFmt w:val="bullet"/>
      <w:lvlText w:val="•"/>
      <w:lvlJc w:val="left"/>
      <w:pPr>
        <w:ind w:left="717" w:hanging="217"/>
      </w:pPr>
      <w:rPr>
        <w:rFonts w:hint="default"/>
        <w:lang w:val="en-GB" w:eastAsia="en-GB" w:bidi="en-GB"/>
      </w:rPr>
    </w:lvl>
    <w:lvl w:ilvl="4" w:tplc="E37A8406">
      <w:numFmt w:val="bullet"/>
      <w:lvlText w:val="•"/>
      <w:lvlJc w:val="left"/>
      <w:pPr>
        <w:ind w:left="856" w:hanging="217"/>
      </w:pPr>
      <w:rPr>
        <w:rFonts w:hint="default"/>
        <w:lang w:val="en-GB" w:eastAsia="en-GB" w:bidi="en-GB"/>
      </w:rPr>
    </w:lvl>
    <w:lvl w:ilvl="5" w:tplc="5124599E">
      <w:numFmt w:val="bullet"/>
      <w:lvlText w:val="•"/>
      <w:lvlJc w:val="left"/>
      <w:pPr>
        <w:ind w:left="995" w:hanging="217"/>
      </w:pPr>
      <w:rPr>
        <w:rFonts w:hint="default"/>
        <w:lang w:val="en-GB" w:eastAsia="en-GB" w:bidi="en-GB"/>
      </w:rPr>
    </w:lvl>
    <w:lvl w:ilvl="6" w:tplc="640EC83A">
      <w:numFmt w:val="bullet"/>
      <w:lvlText w:val="•"/>
      <w:lvlJc w:val="left"/>
      <w:pPr>
        <w:ind w:left="1134" w:hanging="217"/>
      </w:pPr>
      <w:rPr>
        <w:rFonts w:hint="default"/>
        <w:lang w:val="en-GB" w:eastAsia="en-GB" w:bidi="en-GB"/>
      </w:rPr>
    </w:lvl>
    <w:lvl w:ilvl="7" w:tplc="E3FE1484">
      <w:numFmt w:val="bullet"/>
      <w:lvlText w:val="•"/>
      <w:lvlJc w:val="left"/>
      <w:pPr>
        <w:ind w:left="1273" w:hanging="217"/>
      </w:pPr>
      <w:rPr>
        <w:rFonts w:hint="default"/>
        <w:lang w:val="en-GB" w:eastAsia="en-GB" w:bidi="en-GB"/>
      </w:rPr>
    </w:lvl>
    <w:lvl w:ilvl="8" w:tplc="906879CA">
      <w:numFmt w:val="bullet"/>
      <w:lvlText w:val="•"/>
      <w:lvlJc w:val="left"/>
      <w:pPr>
        <w:ind w:left="1412" w:hanging="217"/>
      </w:pPr>
      <w:rPr>
        <w:rFonts w:hint="default"/>
        <w:lang w:val="en-GB" w:eastAsia="en-GB" w:bidi="en-GB"/>
      </w:rPr>
    </w:lvl>
  </w:abstractNum>
  <w:abstractNum w:abstractNumId="1074" w15:restartNumberingAfterBreak="0">
    <w:nsid w:val="621636DE"/>
    <w:multiLevelType w:val="hybridMultilevel"/>
    <w:tmpl w:val="26640C6A"/>
    <w:lvl w:ilvl="0" w:tplc="B3346A0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348B388">
      <w:numFmt w:val="bullet"/>
      <w:lvlText w:val="•"/>
      <w:lvlJc w:val="left"/>
      <w:pPr>
        <w:ind w:left="1061" w:hanging="217"/>
      </w:pPr>
      <w:rPr>
        <w:rFonts w:hint="default"/>
        <w:lang w:val="en-GB" w:eastAsia="en-GB" w:bidi="en-GB"/>
      </w:rPr>
    </w:lvl>
    <w:lvl w:ilvl="2" w:tplc="0F84AABA">
      <w:numFmt w:val="bullet"/>
      <w:lvlText w:val="•"/>
      <w:lvlJc w:val="left"/>
      <w:pPr>
        <w:ind w:left="1823" w:hanging="217"/>
      </w:pPr>
      <w:rPr>
        <w:rFonts w:hint="default"/>
        <w:lang w:val="en-GB" w:eastAsia="en-GB" w:bidi="en-GB"/>
      </w:rPr>
    </w:lvl>
    <w:lvl w:ilvl="3" w:tplc="4E0EF3FE">
      <w:numFmt w:val="bullet"/>
      <w:lvlText w:val="•"/>
      <w:lvlJc w:val="left"/>
      <w:pPr>
        <w:ind w:left="2585" w:hanging="217"/>
      </w:pPr>
      <w:rPr>
        <w:rFonts w:hint="default"/>
        <w:lang w:val="en-GB" w:eastAsia="en-GB" w:bidi="en-GB"/>
      </w:rPr>
    </w:lvl>
    <w:lvl w:ilvl="4" w:tplc="F3A2296C">
      <w:numFmt w:val="bullet"/>
      <w:lvlText w:val="•"/>
      <w:lvlJc w:val="left"/>
      <w:pPr>
        <w:ind w:left="3346" w:hanging="217"/>
      </w:pPr>
      <w:rPr>
        <w:rFonts w:hint="default"/>
        <w:lang w:val="en-GB" w:eastAsia="en-GB" w:bidi="en-GB"/>
      </w:rPr>
    </w:lvl>
    <w:lvl w:ilvl="5" w:tplc="992E1852">
      <w:numFmt w:val="bullet"/>
      <w:lvlText w:val="•"/>
      <w:lvlJc w:val="left"/>
      <w:pPr>
        <w:ind w:left="4108" w:hanging="217"/>
      </w:pPr>
      <w:rPr>
        <w:rFonts w:hint="default"/>
        <w:lang w:val="en-GB" w:eastAsia="en-GB" w:bidi="en-GB"/>
      </w:rPr>
    </w:lvl>
    <w:lvl w:ilvl="6" w:tplc="72BE415E">
      <w:numFmt w:val="bullet"/>
      <w:lvlText w:val="•"/>
      <w:lvlJc w:val="left"/>
      <w:pPr>
        <w:ind w:left="4870" w:hanging="217"/>
      </w:pPr>
      <w:rPr>
        <w:rFonts w:hint="default"/>
        <w:lang w:val="en-GB" w:eastAsia="en-GB" w:bidi="en-GB"/>
      </w:rPr>
    </w:lvl>
    <w:lvl w:ilvl="7" w:tplc="25766B90">
      <w:numFmt w:val="bullet"/>
      <w:lvlText w:val="•"/>
      <w:lvlJc w:val="left"/>
      <w:pPr>
        <w:ind w:left="5631" w:hanging="217"/>
      </w:pPr>
      <w:rPr>
        <w:rFonts w:hint="default"/>
        <w:lang w:val="en-GB" w:eastAsia="en-GB" w:bidi="en-GB"/>
      </w:rPr>
    </w:lvl>
    <w:lvl w:ilvl="8" w:tplc="D9D42FD4">
      <w:numFmt w:val="bullet"/>
      <w:lvlText w:val="•"/>
      <w:lvlJc w:val="left"/>
      <w:pPr>
        <w:ind w:left="6393" w:hanging="217"/>
      </w:pPr>
      <w:rPr>
        <w:rFonts w:hint="default"/>
        <w:lang w:val="en-GB" w:eastAsia="en-GB" w:bidi="en-GB"/>
      </w:rPr>
    </w:lvl>
  </w:abstractNum>
  <w:abstractNum w:abstractNumId="1075" w15:restartNumberingAfterBreak="0">
    <w:nsid w:val="623E1FD5"/>
    <w:multiLevelType w:val="hybridMultilevel"/>
    <w:tmpl w:val="C556EA3E"/>
    <w:lvl w:ilvl="0" w:tplc="E40433E0">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D303080">
      <w:numFmt w:val="bullet"/>
      <w:lvlText w:val="•"/>
      <w:lvlJc w:val="left"/>
      <w:pPr>
        <w:ind w:left="892" w:hanging="217"/>
      </w:pPr>
      <w:rPr>
        <w:rFonts w:hint="default"/>
        <w:lang w:val="en-GB" w:eastAsia="en-GB" w:bidi="en-GB"/>
      </w:rPr>
    </w:lvl>
    <w:lvl w:ilvl="2" w:tplc="E61AF1F0">
      <w:numFmt w:val="bullet"/>
      <w:lvlText w:val="•"/>
      <w:lvlJc w:val="left"/>
      <w:pPr>
        <w:ind w:left="1485" w:hanging="217"/>
      </w:pPr>
      <w:rPr>
        <w:rFonts w:hint="default"/>
        <w:lang w:val="en-GB" w:eastAsia="en-GB" w:bidi="en-GB"/>
      </w:rPr>
    </w:lvl>
    <w:lvl w:ilvl="3" w:tplc="0760583A">
      <w:numFmt w:val="bullet"/>
      <w:lvlText w:val="•"/>
      <w:lvlJc w:val="left"/>
      <w:pPr>
        <w:ind w:left="2077" w:hanging="217"/>
      </w:pPr>
      <w:rPr>
        <w:rFonts w:hint="default"/>
        <w:lang w:val="en-GB" w:eastAsia="en-GB" w:bidi="en-GB"/>
      </w:rPr>
    </w:lvl>
    <w:lvl w:ilvl="4" w:tplc="2F1A7060">
      <w:numFmt w:val="bullet"/>
      <w:lvlText w:val="•"/>
      <w:lvlJc w:val="left"/>
      <w:pPr>
        <w:ind w:left="2670" w:hanging="217"/>
      </w:pPr>
      <w:rPr>
        <w:rFonts w:hint="default"/>
        <w:lang w:val="en-GB" w:eastAsia="en-GB" w:bidi="en-GB"/>
      </w:rPr>
    </w:lvl>
    <w:lvl w:ilvl="5" w:tplc="76EC9F4E">
      <w:numFmt w:val="bullet"/>
      <w:lvlText w:val="•"/>
      <w:lvlJc w:val="left"/>
      <w:pPr>
        <w:ind w:left="3263" w:hanging="217"/>
      </w:pPr>
      <w:rPr>
        <w:rFonts w:hint="default"/>
        <w:lang w:val="en-GB" w:eastAsia="en-GB" w:bidi="en-GB"/>
      </w:rPr>
    </w:lvl>
    <w:lvl w:ilvl="6" w:tplc="ED70A122">
      <w:numFmt w:val="bullet"/>
      <w:lvlText w:val="•"/>
      <w:lvlJc w:val="left"/>
      <w:pPr>
        <w:ind w:left="3855" w:hanging="217"/>
      </w:pPr>
      <w:rPr>
        <w:rFonts w:hint="default"/>
        <w:lang w:val="en-GB" w:eastAsia="en-GB" w:bidi="en-GB"/>
      </w:rPr>
    </w:lvl>
    <w:lvl w:ilvl="7" w:tplc="1EB0A1DC">
      <w:numFmt w:val="bullet"/>
      <w:lvlText w:val="•"/>
      <w:lvlJc w:val="left"/>
      <w:pPr>
        <w:ind w:left="4448" w:hanging="217"/>
      </w:pPr>
      <w:rPr>
        <w:rFonts w:hint="default"/>
        <w:lang w:val="en-GB" w:eastAsia="en-GB" w:bidi="en-GB"/>
      </w:rPr>
    </w:lvl>
    <w:lvl w:ilvl="8" w:tplc="0B868522">
      <w:numFmt w:val="bullet"/>
      <w:lvlText w:val="•"/>
      <w:lvlJc w:val="left"/>
      <w:pPr>
        <w:ind w:left="5040" w:hanging="217"/>
      </w:pPr>
      <w:rPr>
        <w:rFonts w:hint="default"/>
        <w:lang w:val="en-GB" w:eastAsia="en-GB" w:bidi="en-GB"/>
      </w:rPr>
    </w:lvl>
  </w:abstractNum>
  <w:abstractNum w:abstractNumId="1076" w15:restartNumberingAfterBreak="0">
    <w:nsid w:val="623F5145"/>
    <w:multiLevelType w:val="hybridMultilevel"/>
    <w:tmpl w:val="F9607C8C"/>
    <w:lvl w:ilvl="0" w:tplc="90A6BA4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7A017C8">
      <w:numFmt w:val="bullet"/>
      <w:lvlText w:val="•"/>
      <w:lvlJc w:val="left"/>
      <w:pPr>
        <w:ind w:left="473" w:hanging="217"/>
      </w:pPr>
      <w:rPr>
        <w:rFonts w:hint="default"/>
        <w:lang w:val="en-GB" w:eastAsia="en-GB" w:bidi="en-GB"/>
      </w:rPr>
    </w:lvl>
    <w:lvl w:ilvl="2" w:tplc="9C1A3F66">
      <w:numFmt w:val="bullet"/>
      <w:lvlText w:val="•"/>
      <w:lvlJc w:val="left"/>
      <w:pPr>
        <w:ind w:left="646" w:hanging="217"/>
      </w:pPr>
      <w:rPr>
        <w:rFonts w:hint="default"/>
        <w:lang w:val="en-GB" w:eastAsia="en-GB" w:bidi="en-GB"/>
      </w:rPr>
    </w:lvl>
    <w:lvl w:ilvl="3" w:tplc="779C3284">
      <w:numFmt w:val="bullet"/>
      <w:lvlText w:val="•"/>
      <w:lvlJc w:val="left"/>
      <w:pPr>
        <w:ind w:left="819" w:hanging="217"/>
      </w:pPr>
      <w:rPr>
        <w:rFonts w:hint="default"/>
        <w:lang w:val="en-GB" w:eastAsia="en-GB" w:bidi="en-GB"/>
      </w:rPr>
    </w:lvl>
    <w:lvl w:ilvl="4" w:tplc="5658ECAE">
      <w:numFmt w:val="bullet"/>
      <w:lvlText w:val="•"/>
      <w:lvlJc w:val="left"/>
      <w:pPr>
        <w:ind w:left="992" w:hanging="217"/>
      </w:pPr>
      <w:rPr>
        <w:rFonts w:hint="default"/>
        <w:lang w:val="en-GB" w:eastAsia="en-GB" w:bidi="en-GB"/>
      </w:rPr>
    </w:lvl>
    <w:lvl w:ilvl="5" w:tplc="4EBE39B6">
      <w:numFmt w:val="bullet"/>
      <w:lvlText w:val="•"/>
      <w:lvlJc w:val="left"/>
      <w:pPr>
        <w:ind w:left="1165" w:hanging="217"/>
      </w:pPr>
      <w:rPr>
        <w:rFonts w:hint="default"/>
        <w:lang w:val="en-GB" w:eastAsia="en-GB" w:bidi="en-GB"/>
      </w:rPr>
    </w:lvl>
    <w:lvl w:ilvl="6" w:tplc="81C84EF6">
      <w:numFmt w:val="bullet"/>
      <w:lvlText w:val="•"/>
      <w:lvlJc w:val="left"/>
      <w:pPr>
        <w:ind w:left="1338" w:hanging="217"/>
      </w:pPr>
      <w:rPr>
        <w:rFonts w:hint="default"/>
        <w:lang w:val="en-GB" w:eastAsia="en-GB" w:bidi="en-GB"/>
      </w:rPr>
    </w:lvl>
    <w:lvl w:ilvl="7" w:tplc="B720E49C">
      <w:numFmt w:val="bullet"/>
      <w:lvlText w:val="•"/>
      <w:lvlJc w:val="left"/>
      <w:pPr>
        <w:ind w:left="1511" w:hanging="217"/>
      </w:pPr>
      <w:rPr>
        <w:rFonts w:hint="default"/>
        <w:lang w:val="en-GB" w:eastAsia="en-GB" w:bidi="en-GB"/>
      </w:rPr>
    </w:lvl>
    <w:lvl w:ilvl="8" w:tplc="B80E9F36">
      <w:numFmt w:val="bullet"/>
      <w:lvlText w:val="•"/>
      <w:lvlJc w:val="left"/>
      <w:pPr>
        <w:ind w:left="1684" w:hanging="217"/>
      </w:pPr>
      <w:rPr>
        <w:rFonts w:hint="default"/>
        <w:lang w:val="en-GB" w:eastAsia="en-GB" w:bidi="en-GB"/>
      </w:rPr>
    </w:lvl>
  </w:abstractNum>
  <w:abstractNum w:abstractNumId="1077" w15:restartNumberingAfterBreak="0">
    <w:nsid w:val="62731754"/>
    <w:multiLevelType w:val="hybridMultilevel"/>
    <w:tmpl w:val="518E158E"/>
    <w:lvl w:ilvl="0" w:tplc="32A8DA0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6FAB83E">
      <w:numFmt w:val="bullet"/>
      <w:lvlText w:val="•"/>
      <w:lvlJc w:val="left"/>
      <w:pPr>
        <w:ind w:left="473" w:hanging="217"/>
      </w:pPr>
      <w:rPr>
        <w:rFonts w:hint="default"/>
        <w:lang w:val="en-GB" w:eastAsia="en-GB" w:bidi="en-GB"/>
      </w:rPr>
    </w:lvl>
    <w:lvl w:ilvl="2" w:tplc="B5E481E0">
      <w:numFmt w:val="bullet"/>
      <w:lvlText w:val="•"/>
      <w:lvlJc w:val="left"/>
      <w:pPr>
        <w:ind w:left="646" w:hanging="217"/>
      </w:pPr>
      <w:rPr>
        <w:rFonts w:hint="default"/>
        <w:lang w:val="en-GB" w:eastAsia="en-GB" w:bidi="en-GB"/>
      </w:rPr>
    </w:lvl>
    <w:lvl w:ilvl="3" w:tplc="E950541E">
      <w:numFmt w:val="bullet"/>
      <w:lvlText w:val="•"/>
      <w:lvlJc w:val="left"/>
      <w:pPr>
        <w:ind w:left="819" w:hanging="217"/>
      </w:pPr>
      <w:rPr>
        <w:rFonts w:hint="default"/>
        <w:lang w:val="en-GB" w:eastAsia="en-GB" w:bidi="en-GB"/>
      </w:rPr>
    </w:lvl>
    <w:lvl w:ilvl="4" w:tplc="956A9142">
      <w:numFmt w:val="bullet"/>
      <w:lvlText w:val="•"/>
      <w:lvlJc w:val="left"/>
      <w:pPr>
        <w:ind w:left="992" w:hanging="217"/>
      </w:pPr>
      <w:rPr>
        <w:rFonts w:hint="default"/>
        <w:lang w:val="en-GB" w:eastAsia="en-GB" w:bidi="en-GB"/>
      </w:rPr>
    </w:lvl>
    <w:lvl w:ilvl="5" w:tplc="F4888A0C">
      <w:numFmt w:val="bullet"/>
      <w:lvlText w:val="•"/>
      <w:lvlJc w:val="left"/>
      <w:pPr>
        <w:ind w:left="1165" w:hanging="217"/>
      </w:pPr>
      <w:rPr>
        <w:rFonts w:hint="default"/>
        <w:lang w:val="en-GB" w:eastAsia="en-GB" w:bidi="en-GB"/>
      </w:rPr>
    </w:lvl>
    <w:lvl w:ilvl="6" w:tplc="97F03EBE">
      <w:numFmt w:val="bullet"/>
      <w:lvlText w:val="•"/>
      <w:lvlJc w:val="left"/>
      <w:pPr>
        <w:ind w:left="1338" w:hanging="217"/>
      </w:pPr>
      <w:rPr>
        <w:rFonts w:hint="default"/>
        <w:lang w:val="en-GB" w:eastAsia="en-GB" w:bidi="en-GB"/>
      </w:rPr>
    </w:lvl>
    <w:lvl w:ilvl="7" w:tplc="57BA1242">
      <w:numFmt w:val="bullet"/>
      <w:lvlText w:val="•"/>
      <w:lvlJc w:val="left"/>
      <w:pPr>
        <w:ind w:left="1511" w:hanging="217"/>
      </w:pPr>
      <w:rPr>
        <w:rFonts w:hint="default"/>
        <w:lang w:val="en-GB" w:eastAsia="en-GB" w:bidi="en-GB"/>
      </w:rPr>
    </w:lvl>
    <w:lvl w:ilvl="8" w:tplc="DC681CA0">
      <w:numFmt w:val="bullet"/>
      <w:lvlText w:val="•"/>
      <w:lvlJc w:val="left"/>
      <w:pPr>
        <w:ind w:left="1684" w:hanging="217"/>
      </w:pPr>
      <w:rPr>
        <w:rFonts w:hint="default"/>
        <w:lang w:val="en-GB" w:eastAsia="en-GB" w:bidi="en-GB"/>
      </w:rPr>
    </w:lvl>
  </w:abstractNum>
  <w:abstractNum w:abstractNumId="1078" w15:restartNumberingAfterBreak="0">
    <w:nsid w:val="62E40147"/>
    <w:multiLevelType w:val="hybridMultilevel"/>
    <w:tmpl w:val="478E6524"/>
    <w:lvl w:ilvl="0" w:tplc="97121220">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D9DEBE7A">
      <w:numFmt w:val="bullet"/>
      <w:lvlText w:val="•"/>
      <w:lvlJc w:val="left"/>
      <w:pPr>
        <w:ind w:left="473" w:hanging="217"/>
      </w:pPr>
      <w:rPr>
        <w:rFonts w:hint="default"/>
        <w:lang w:val="en-GB" w:eastAsia="en-GB" w:bidi="en-GB"/>
      </w:rPr>
    </w:lvl>
    <w:lvl w:ilvl="2" w:tplc="D82CC84E">
      <w:numFmt w:val="bullet"/>
      <w:lvlText w:val="•"/>
      <w:lvlJc w:val="left"/>
      <w:pPr>
        <w:ind w:left="646" w:hanging="217"/>
      </w:pPr>
      <w:rPr>
        <w:rFonts w:hint="default"/>
        <w:lang w:val="en-GB" w:eastAsia="en-GB" w:bidi="en-GB"/>
      </w:rPr>
    </w:lvl>
    <w:lvl w:ilvl="3" w:tplc="DC321AF4">
      <w:numFmt w:val="bullet"/>
      <w:lvlText w:val="•"/>
      <w:lvlJc w:val="left"/>
      <w:pPr>
        <w:ind w:left="819" w:hanging="217"/>
      </w:pPr>
      <w:rPr>
        <w:rFonts w:hint="default"/>
        <w:lang w:val="en-GB" w:eastAsia="en-GB" w:bidi="en-GB"/>
      </w:rPr>
    </w:lvl>
    <w:lvl w:ilvl="4" w:tplc="60C019D6">
      <w:numFmt w:val="bullet"/>
      <w:lvlText w:val="•"/>
      <w:lvlJc w:val="left"/>
      <w:pPr>
        <w:ind w:left="992" w:hanging="217"/>
      </w:pPr>
      <w:rPr>
        <w:rFonts w:hint="default"/>
        <w:lang w:val="en-GB" w:eastAsia="en-GB" w:bidi="en-GB"/>
      </w:rPr>
    </w:lvl>
    <w:lvl w:ilvl="5" w:tplc="7B42EFF4">
      <w:numFmt w:val="bullet"/>
      <w:lvlText w:val="•"/>
      <w:lvlJc w:val="left"/>
      <w:pPr>
        <w:ind w:left="1165" w:hanging="217"/>
      </w:pPr>
      <w:rPr>
        <w:rFonts w:hint="default"/>
        <w:lang w:val="en-GB" w:eastAsia="en-GB" w:bidi="en-GB"/>
      </w:rPr>
    </w:lvl>
    <w:lvl w:ilvl="6" w:tplc="F4EA554C">
      <w:numFmt w:val="bullet"/>
      <w:lvlText w:val="•"/>
      <w:lvlJc w:val="left"/>
      <w:pPr>
        <w:ind w:left="1338" w:hanging="217"/>
      </w:pPr>
      <w:rPr>
        <w:rFonts w:hint="default"/>
        <w:lang w:val="en-GB" w:eastAsia="en-GB" w:bidi="en-GB"/>
      </w:rPr>
    </w:lvl>
    <w:lvl w:ilvl="7" w:tplc="9640AC6A">
      <w:numFmt w:val="bullet"/>
      <w:lvlText w:val="•"/>
      <w:lvlJc w:val="left"/>
      <w:pPr>
        <w:ind w:left="1511" w:hanging="217"/>
      </w:pPr>
      <w:rPr>
        <w:rFonts w:hint="default"/>
        <w:lang w:val="en-GB" w:eastAsia="en-GB" w:bidi="en-GB"/>
      </w:rPr>
    </w:lvl>
    <w:lvl w:ilvl="8" w:tplc="D1A8CAC6">
      <w:numFmt w:val="bullet"/>
      <w:lvlText w:val="•"/>
      <w:lvlJc w:val="left"/>
      <w:pPr>
        <w:ind w:left="1684" w:hanging="217"/>
      </w:pPr>
      <w:rPr>
        <w:rFonts w:hint="default"/>
        <w:lang w:val="en-GB" w:eastAsia="en-GB" w:bidi="en-GB"/>
      </w:rPr>
    </w:lvl>
  </w:abstractNum>
  <w:abstractNum w:abstractNumId="1079" w15:restartNumberingAfterBreak="0">
    <w:nsid w:val="62EC46E5"/>
    <w:multiLevelType w:val="hybridMultilevel"/>
    <w:tmpl w:val="02A82C9E"/>
    <w:lvl w:ilvl="0" w:tplc="EF40FD3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6AE8028">
      <w:numFmt w:val="bullet"/>
      <w:lvlText w:val="•"/>
      <w:lvlJc w:val="left"/>
      <w:pPr>
        <w:ind w:left="881" w:hanging="217"/>
      </w:pPr>
      <w:rPr>
        <w:rFonts w:hint="default"/>
        <w:lang w:val="en-GB" w:eastAsia="en-GB" w:bidi="en-GB"/>
      </w:rPr>
    </w:lvl>
    <w:lvl w:ilvl="2" w:tplc="E612FCAA">
      <w:numFmt w:val="bullet"/>
      <w:lvlText w:val="•"/>
      <w:lvlJc w:val="left"/>
      <w:pPr>
        <w:ind w:left="1462" w:hanging="217"/>
      </w:pPr>
      <w:rPr>
        <w:rFonts w:hint="default"/>
        <w:lang w:val="en-GB" w:eastAsia="en-GB" w:bidi="en-GB"/>
      </w:rPr>
    </w:lvl>
    <w:lvl w:ilvl="3" w:tplc="CBA88FBA">
      <w:numFmt w:val="bullet"/>
      <w:lvlText w:val="•"/>
      <w:lvlJc w:val="left"/>
      <w:pPr>
        <w:ind w:left="2043" w:hanging="217"/>
      </w:pPr>
      <w:rPr>
        <w:rFonts w:hint="default"/>
        <w:lang w:val="en-GB" w:eastAsia="en-GB" w:bidi="en-GB"/>
      </w:rPr>
    </w:lvl>
    <w:lvl w:ilvl="4" w:tplc="7A0CB832">
      <w:numFmt w:val="bullet"/>
      <w:lvlText w:val="•"/>
      <w:lvlJc w:val="left"/>
      <w:pPr>
        <w:ind w:left="2625" w:hanging="217"/>
      </w:pPr>
      <w:rPr>
        <w:rFonts w:hint="default"/>
        <w:lang w:val="en-GB" w:eastAsia="en-GB" w:bidi="en-GB"/>
      </w:rPr>
    </w:lvl>
    <w:lvl w:ilvl="5" w:tplc="CD7CAAE6">
      <w:numFmt w:val="bullet"/>
      <w:lvlText w:val="•"/>
      <w:lvlJc w:val="left"/>
      <w:pPr>
        <w:ind w:left="3206" w:hanging="217"/>
      </w:pPr>
      <w:rPr>
        <w:rFonts w:hint="default"/>
        <w:lang w:val="en-GB" w:eastAsia="en-GB" w:bidi="en-GB"/>
      </w:rPr>
    </w:lvl>
    <w:lvl w:ilvl="6" w:tplc="E7E614BE">
      <w:numFmt w:val="bullet"/>
      <w:lvlText w:val="•"/>
      <w:lvlJc w:val="left"/>
      <w:pPr>
        <w:ind w:left="3787" w:hanging="217"/>
      </w:pPr>
      <w:rPr>
        <w:rFonts w:hint="default"/>
        <w:lang w:val="en-GB" w:eastAsia="en-GB" w:bidi="en-GB"/>
      </w:rPr>
    </w:lvl>
    <w:lvl w:ilvl="7" w:tplc="2530EBF8">
      <w:numFmt w:val="bullet"/>
      <w:lvlText w:val="•"/>
      <w:lvlJc w:val="left"/>
      <w:pPr>
        <w:ind w:left="4369" w:hanging="217"/>
      </w:pPr>
      <w:rPr>
        <w:rFonts w:hint="default"/>
        <w:lang w:val="en-GB" w:eastAsia="en-GB" w:bidi="en-GB"/>
      </w:rPr>
    </w:lvl>
    <w:lvl w:ilvl="8" w:tplc="1EEA6944">
      <w:numFmt w:val="bullet"/>
      <w:lvlText w:val="•"/>
      <w:lvlJc w:val="left"/>
      <w:pPr>
        <w:ind w:left="4950" w:hanging="217"/>
      </w:pPr>
      <w:rPr>
        <w:rFonts w:hint="default"/>
        <w:lang w:val="en-GB" w:eastAsia="en-GB" w:bidi="en-GB"/>
      </w:rPr>
    </w:lvl>
  </w:abstractNum>
  <w:abstractNum w:abstractNumId="1080" w15:restartNumberingAfterBreak="0">
    <w:nsid w:val="62FC342A"/>
    <w:multiLevelType w:val="hybridMultilevel"/>
    <w:tmpl w:val="C854B782"/>
    <w:lvl w:ilvl="0" w:tplc="78AA852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C86EC074">
      <w:numFmt w:val="bullet"/>
      <w:lvlText w:val="•"/>
      <w:lvlJc w:val="left"/>
      <w:pPr>
        <w:ind w:left="892" w:hanging="217"/>
      </w:pPr>
      <w:rPr>
        <w:rFonts w:hint="default"/>
        <w:lang w:val="en-GB" w:eastAsia="en-GB" w:bidi="en-GB"/>
      </w:rPr>
    </w:lvl>
    <w:lvl w:ilvl="2" w:tplc="B560A68C">
      <w:numFmt w:val="bullet"/>
      <w:lvlText w:val="•"/>
      <w:lvlJc w:val="left"/>
      <w:pPr>
        <w:ind w:left="1485" w:hanging="217"/>
      </w:pPr>
      <w:rPr>
        <w:rFonts w:hint="default"/>
        <w:lang w:val="en-GB" w:eastAsia="en-GB" w:bidi="en-GB"/>
      </w:rPr>
    </w:lvl>
    <w:lvl w:ilvl="3" w:tplc="BC58F556">
      <w:numFmt w:val="bullet"/>
      <w:lvlText w:val="•"/>
      <w:lvlJc w:val="left"/>
      <w:pPr>
        <w:ind w:left="2077" w:hanging="217"/>
      </w:pPr>
      <w:rPr>
        <w:rFonts w:hint="default"/>
        <w:lang w:val="en-GB" w:eastAsia="en-GB" w:bidi="en-GB"/>
      </w:rPr>
    </w:lvl>
    <w:lvl w:ilvl="4" w:tplc="76BEBA5A">
      <w:numFmt w:val="bullet"/>
      <w:lvlText w:val="•"/>
      <w:lvlJc w:val="left"/>
      <w:pPr>
        <w:ind w:left="2670" w:hanging="217"/>
      </w:pPr>
      <w:rPr>
        <w:rFonts w:hint="default"/>
        <w:lang w:val="en-GB" w:eastAsia="en-GB" w:bidi="en-GB"/>
      </w:rPr>
    </w:lvl>
    <w:lvl w:ilvl="5" w:tplc="A49ED148">
      <w:numFmt w:val="bullet"/>
      <w:lvlText w:val="•"/>
      <w:lvlJc w:val="left"/>
      <w:pPr>
        <w:ind w:left="3263" w:hanging="217"/>
      </w:pPr>
      <w:rPr>
        <w:rFonts w:hint="default"/>
        <w:lang w:val="en-GB" w:eastAsia="en-GB" w:bidi="en-GB"/>
      </w:rPr>
    </w:lvl>
    <w:lvl w:ilvl="6" w:tplc="578C3244">
      <w:numFmt w:val="bullet"/>
      <w:lvlText w:val="•"/>
      <w:lvlJc w:val="left"/>
      <w:pPr>
        <w:ind w:left="3855" w:hanging="217"/>
      </w:pPr>
      <w:rPr>
        <w:rFonts w:hint="default"/>
        <w:lang w:val="en-GB" w:eastAsia="en-GB" w:bidi="en-GB"/>
      </w:rPr>
    </w:lvl>
    <w:lvl w:ilvl="7" w:tplc="DF10E74E">
      <w:numFmt w:val="bullet"/>
      <w:lvlText w:val="•"/>
      <w:lvlJc w:val="left"/>
      <w:pPr>
        <w:ind w:left="4448" w:hanging="217"/>
      </w:pPr>
      <w:rPr>
        <w:rFonts w:hint="default"/>
        <w:lang w:val="en-GB" w:eastAsia="en-GB" w:bidi="en-GB"/>
      </w:rPr>
    </w:lvl>
    <w:lvl w:ilvl="8" w:tplc="36420686">
      <w:numFmt w:val="bullet"/>
      <w:lvlText w:val="•"/>
      <w:lvlJc w:val="left"/>
      <w:pPr>
        <w:ind w:left="5040" w:hanging="217"/>
      </w:pPr>
      <w:rPr>
        <w:rFonts w:hint="default"/>
        <w:lang w:val="en-GB" w:eastAsia="en-GB" w:bidi="en-GB"/>
      </w:rPr>
    </w:lvl>
  </w:abstractNum>
  <w:abstractNum w:abstractNumId="1081" w15:restartNumberingAfterBreak="0">
    <w:nsid w:val="63044BC4"/>
    <w:multiLevelType w:val="hybridMultilevel"/>
    <w:tmpl w:val="D01C45E6"/>
    <w:lvl w:ilvl="0" w:tplc="FF38D0CE">
      <w:numFmt w:val="bullet"/>
      <w:lvlText w:val="•"/>
      <w:lvlJc w:val="left"/>
      <w:pPr>
        <w:ind w:left="3819" w:hanging="217"/>
      </w:pPr>
      <w:rPr>
        <w:rFonts w:ascii="Arial" w:eastAsia="Arial" w:hAnsi="Arial" w:cs="Arial" w:hint="default"/>
        <w:color w:val="231F20"/>
        <w:spacing w:val="-1"/>
        <w:w w:val="100"/>
        <w:sz w:val="18"/>
        <w:szCs w:val="18"/>
        <w:lang w:val="en-GB" w:eastAsia="en-GB" w:bidi="en-GB"/>
      </w:rPr>
    </w:lvl>
    <w:lvl w:ilvl="1" w:tplc="1BAA8FA2">
      <w:numFmt w:val="bullet"/>
      <w:lvlText w:val="•"/>
      <w:lvlJc w:val="left"/>
      <w:pPr>
        <w:ind w:left="4253" w:hanging="217"/>
      </w:pPr>
      <w:rPr>
        <w:rFonts w:hint="default"/>
        <w:lang w:val="en-GB" w:eastAsia="en-GB" w:bidi="en-GB"/>
      </w:rPr>
    </w:lvl>
    <w:lvl w:ilvl="2" w:tplc="AC249770">
      <w:numFmt w:val="bullet"/>
      <w:lvlText w:val="•"/>
      <w:lvlJc w:val="left"/>
      <w:pPr>
        <w:ind w:left="4686" w:hanging="217"/>
      </w:pPr>
      <w:rPr>
        <w:rFonts w:hint="default"/>
        <w:lang w:val="en-GB" w:eastAsia="en-GB" w:bidi="en-GB"/>
      </w:rPr>
    </w:lvl>
    <w:lvl w:ilvl="3" w:tplc="1F94BA42">
      <w:numFmt w:val="bullet"/>
      <w:lvlText w:val="•"/>
      <w:lvlJc w:val="left"/>
      <w:pPr>
        <w:ind w:left="5120" w:hanging="217"/>
      </w:pPr>
      <w:rPr>
        <w:rFonts w:hint="default"/>
        <w:lang w:val="en-GB" w:eastAsia="en-GB" w:bidi="en-GB"/>
      </w:rPr>
    </w:lvl>
    <w:lvl w:ilvl="4" w:tplc="EE1437F6">
      <w:numFmt w:val="bullet"/>
      <w:lvlText w:val="•"/>
      <w:lvlJc w:val="left"/>
      <w:pPr>
        <w:ind w:left="5553" w:hanging="217"/>
      </w:pPr>
      <w:rPr>
        <w:rFonts w:hint="default"/>
        <w:lang w:val="en-GB" w:eastAsia="en-GB" w:bidi="en-GB"/>
      </w:rPr>
    </w:lvl>
    <w:lvl w:ilvl="5" w:tplc="5A8AF742">
      <w:numFmt w:val="bullet"/>
      <w:lvlText w:val="•"/>
      <w:lvlJc w:val="left"/>
      <w:pPr>
        <w:ind w:left="5987" w:hanging="217"/>
      </w:pPr>
      <w:rPr>
        <w:rFonts w:hint="default"/>
        <w:lang w:val="en-GB" w:eastAsia="en-GB" w:bidi="en-GB"/>
      </w:rPr>
    </w:lvl>
    <w:lvl w:ilvl="6" w:tplc="67E42F9C">
      <w:numFmt w:val="bullet"/>
      <w:lvlText w:val="•"/>
      <w:lvlJc w:val="left"/>
      <w:pPr>
        <w:ind w:left="6420" w:hanging="217"/>
      </w:pPr>
      <w:rPr>
        <w:rFonts w:hint="default"/>
        <w:lang w:val="en-GB" w:eastAsia="en-GB" w:bidi="en-GB"/>
      </w:rPr>
    </w:lvl>
    <w:lvl w:ilvl="7" w:tplc="E0C200EE">
      <w:numFmt w:val="bullet"/>
      <w:lvlText w:val="•"/>
      <w:lvlJc w:val="left"/>
      <w:pPr>
        <w:ind w:left="6853" w:hanging="217"/>
      </w:pPr>
      <w:rPr>
        <w:rFonts w:hint="default"/>
        <w:lang w:val="en-GB" w:eastAsia="en-GB" w:bidi="en-GB"/>
      </w:rPr>
    </w:lvl>
    <w:lvl w:ilvl="8" w:tplc="02BAD48A">
      <w:numFmt w:val="bullet"/>
      <w:lvlText w:val="•"/>
      <w:lvlJc w:val="left"/>
      <w:pPr>
        <w:ind w:left="7287" w:hanging="217"/>
      </w:pPr>
      <w:rPr>
        <w:rFonts w:hint="default"/>
        <w:lang w:val="en-GB" w:eastAsia="en-GB" w:bidi="en-GB"/>
      </w:rPr>
    </w:lvl>
  </w:abstractNum>
  <w:abstractNum w:abstractNumId="1082" w15:restartNumberingAfterBreak="0">
    <w:nsid w:val="63092810"/>
    <w:multiLevelType w:val="hybridMultilevel"/>
    <w:tmpl w:val="48B47FAE"/>
    <w:lvl w:ilvl="0" w:tplc="D62832D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27AB1BC">
      <w:numFmt w:val="bullet"/>
      <w:lvlText w:val="•"/>
      <w:lvlJc w:val="left"/>
      <w:pPr>
        <w:ind w:left="473" w:hanging="217"/>
      </w:pPr>
      <w:rPr>
        <w:rFonts w:hint="default"/>
        <w:lang w:val="en-GB" w:eastAsia="en-GB" w:bidi="en-GB"/>
      </w:rPr>
    </w:lvl>
    <w:lvl w:ilvl="2" w:tplc="11D0B0D6">
      <w:numFmt w:val="bullet"/>
      <w:lvlText w:val="•"/>
      <w:lvlJc w:val="left"/>
      <w:pPr>
        <w:ind w:left="646" w:hanging="217"/>
      </w:pPr>
      <w:rPr>
        <w:rFonts w:hint="default"/>
        <w:lang w:val="en-GB" w:eastAsia="en-GB" w:bidi="en-GB"/>
      </w:rPr>
    </w:lvl>
    <w:lvl w:ilvl="3" w:tplc="9648E694">
      <w:numFmt w:val="bullet"/>
      <w:lvlText w:val="•"/>
      <w:lvlJc w:val="left"/>
      <w:pPr>
        <w:ind w:left="819" w:hanging="217"/>
      </w:pPr>
      <w:rPr>
        <w:rFonts w:hint="default"/>
        <w:lang w:val="en-GB" w:eastAsia="en-GB" w:bidi="en-GB"/>
      </w:rPr>
    </w:lvl>
    <w:lvl w:ilvl="4" w:tplc="399211E8">
      <w:numFmt w:val="bullet"/>
      <w:lvlText w:val="•"/>
      <w:lvlJc w:val="left"/>
      <w:pPr>
        <w:ind w:left="992" w:hanging="217"/>
      </w:pPr>
      <w:rPr>
        <w:rFonts w:hint="default"/>
        <w:lang w:val="en-GB" w:eastAsia="en-GB" w:bidi="en-GB"/>
      </w:rPr>
    </w:lvl>
    <w:lvl w:ilvl="5" w:tplc="2FB82B82">
      <w:numFmt w:val="bullet"/>
      <w:lvlText w:val="•"/>
      <w:lvlJc w:val="left"/>
      <w:pPr>
        <w:ind w:left="1165" w:hanging="217"/>
      </w:pPr>
      <w:rPr>
        <w:rFonts w:hint="default"/>
        <w:lang w:val="en-GB" w:eastAsia="en-GB" w:bidi="en-GB"/>
      </w:rPr>
    </w:lvl>
    <w:lvl w:ilvl="6" w:tplc="7B5E29EC">
      <w:numFmt w:val="bullet"/>
      <w:lvlText w:val="•"/>
      <w:lvlJc w:val="left"/>
      <w:pPr>
        <w:ind w:left="1338" w:hanging="217"/>
      </w:pPr>
      <w:rPr>
        <w:rFonts w:hint="default"/>
        <w:lang w:val="en-GB" w:eastAsia="en-GB" w:bidi="en-GB"/>
      </w:rPr>
    </w:lvl>
    <w:lvl w:ilvl="7" w:tplc="869E0142">
      <w:numFmt w:val="bullet"/>
      <w:lvlText w:val="•"/>
      <w:lvlJc w:val="left"/>
      <w:pPr>
        <w:ind w:left="1511" w:hanging="217"/>
      </w:pPr>
      <w:rPr>
        <w:rFonts w:hint="default"/>
        <w:lang w:val="en-GB" w:eastAsia="en-GB" w:bidi="en-GB"/>
      </w:rPr>
    </w:lvl>
    <w:lvl w:ilvl="8" w:tplc="8F7AA732">
      <w:numFmt w:val="bullet"/>
      <w:lvlText w:val="•"/>
      <w:lvlJc w:val="left"/>
      <w:pPr>
        <w:ind w:left="1684" w:hanging="217"/>
      </w:pPr>
      <w:rPr>
        <w:rFonts w:hint="default"/>
        <w:lang w:val="en-GB" w:eastAsia="en-GB" w:bidi="en-GB"/>
      </w:rPr>
    </w:lvl>
  </w:abstractNum>
  <w:abstractNum w:abstractNumId="1083" w15:restartNumberingAfterBreak="0">
    <w:nsid w:val="633231DE"/>
    <w:multiLevelType w:val="hybridMultilevel"/>
    <w:tmpl w:val="9EC6A632"/>
    <w:lvl w:ilvl="0" w:tplc="6E229BE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9229338">
      <w:numFmt w:val="bullet"/>
      <w:lvlText w:val="•"/>
      <w:lvlJc w:val="left"/>
      <w:pPr>
        <w:ind w:left="892" w:hanging="217"/>
      </w:pPr>
      <w:rPr>
        <w:rFonts w:hint="default"/>
        <w:lang w:val="en-GB" w:eastAsia="en-GB" w:bidi="en-GB"/>
      </w:rPr>
    </w:lvl>
    <w:lvl w:ilvl="2" w:tplc="6A5A5F4E">
      <w:numFmt w:val="bullet"/>
      <w:lvlText w:val="•"/>
      <w:lvlJc w:val="left"/>
      <w:pPr>
        <w:ind w:left="1485" w:hanging="217"/>
      </w:pPr>
      <w:rPr>
        <w:rFonts w:hint="default"/>
        <w:lang w:val="en-GB" w:eastAsia="en-GB" w:bidi="en-GB"/>
      </w:rPr>
    </w:lvl>
    <w:lvl w:ilvl="3" w:tplc="B57E433C">
      <w:numFmt w:val="bullet"/>
      <w:lvlText w:val="•"/>
      <w:lvlJc w:val="left"/>
      <w:pPr>
        <w:ind w:left="2077" w:hanging="217"/>
      </w:pPr>
      <w:rPr>
        <w:rFonts w:hint="default"/>
        <w:lang w:val="en-GB" w:eastAsia="en-GB" w:bidi="en-GB"/>
      </w:rPr>
    </w:lvl>
    <w:lvl w:ilvl="4" w:tplc="AA06580E">
      <w:numFmt w:val="bullet"/>
      <w:lvlText w:val="•"/>
      <w:lvlJc w:val="left"/>
      <w:pPr>
        <w:ind w:left="2670" w:hanging="217"/>
      </w:pPr>
      <w:rPr>
        <w:rFonts w:hint="default"/>
        <w:lang w:val="en-GB" w:eastAsia="en-GB" w:bidi="en-GB"/>
      </w:rPr>
    </w:lvl>
    <w:lvl w:ilvl="5" w:tplc="94865486">
      <w:numFmt w:val="bullet"/>
      <w:lvlText w:val="•"/>
      <w:lvlJc w:val="left"/>
      <w:pPr>
        <w:ind w:left="3263" w:hanging="217"/>
      </w:pPr>
      <w:rPr>
        <w:rFonts w:hint="default"/>
        <w:lang w:val="en-GB" w:eastAsia="en-GB" w:bidi="en-GB"/>
      </w:rPr>
    </w:lvl>
    <w:lvl w:ilvl="6" w:tplc="01E627A2">
      <w:numFmt w:val="bullet"/>
      <w:lvlText w:val="•"/>
      <w:lvlJc w:val="left"/>
      <w:pPr>
        <w:ind w:left="3855" w:hanging="217"/>
      </w:pPr>
      <w:rPr>
        <w:rFonts w:hint="default"/>
        <w:lang w:val="en-GB" w:eastAsia="en-GB" w:bidi="en-GB"/>
      </w:rPr>
    </w:lvl>
    <w:lvl w:ilvl="7" w:tplc="E34C6BB6">
      <w:numFmt w:val="bullet"/>
      <w:lvlText w:val="•"/>
      <w:lvlJc w:val="left"/>
      <w:pPr>
        <w:ind w:left="4448" w:hanging="217"/>
      </w:pPr>
      <w:rPr>
        <w:rFonts w:hint="default"/>
        <w:lang w:val="en-GB" w:eastAsia="en-GB" w:bidi="en-GB"/>
      </w:rPr>
    </w:lvl>
    <w:lvl w:ilvl="8" w:tplc="90F0B2E0">
      <w:numFmt w:val="bullet"/>
      <w:lvlText w:val="•"/>
      <w:lvlJc w:val="left"/>
      <w:pPr>
        <w:ind w:left="5040" w:hanging="217"/>
      </w:pPr>
      <w:rPr>
        <w:rFonts w:hint="default"/>
        <w:lang w:val="en-GB" w:eastAsia="en-GB" w:bidi="en-GB"/>
      </w:rPr>
    </w:lvl>
  </w:abstractNum>
  <w:abstractNum w:abstractNumId="1084" w15:restartNumberingAfterBreak="0">
    <w:nsid w:val="63364ECF"/>
    <w:multiLevelType w:val="hybridMultilevel"/>
    <w:tmpl w:val="20466B4A"/>
    <w:lvl w:ilvl="0" w:tplc="5E6A931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1F6A2C2">
      <w:numFmt w:val="bullet"/>
      <w:lvlText w:val="•"/>
      <w:lvlJc w:val="left"/>
      <w:pPr>
        <w:ind w:left="892" w:hanging="217"/>
      </w:pPr>
      <w:rPr>
        <w:rFonts w:hint="default"/>
        <w:lang w:val="en-GB" w:eastAsia="en-GB" w:bidi="en-GB"/>
      </w:rPr>
    </w:lvl>
    <w:lvl w:ilvl="2" w:tplc="5A169A28">
      <w:numFmt w:val="bullet"/>
      <w:lvlText w:val="•"/>
      <w:lvlJc w:val="left"/>
      <w:pPr>
        <w:ind w:left="1485" w:hanging="217"/>
      </w:pPr>
      <w:rPr>
        <w:rFonts w:hint="default"/>
        <w:lang w:val="en-GB" w:eastAsia="en-GB" w:bidi="en-GB"/>
      </w:rPr>
    </w:lvl>
    <w:lvl w:ilvl="3" w:tplc="7C901B9C">
      <w:numFmt w:val="bullet"/>
      <w:lvlText w:val="•"/>
      <w:lvlJc w:val="left"/>
      <w:pPr>
        <w:ind w:left="2077" w:hanging="217"/>
      </w:pPr>
      <w:rPr>
        <w:rFonts w:hint="default"/>
        <w:lang w:val="en-GB" w:eastAsia="en-GB" w:bidi="en-GB"/>
      </w:rPr>
    </w:lvl>
    <w:lvl w:ilvl="4" w:tplc="928EC81E">
      <w:numFmt w:val="bullet"/>
      <w:lvlText w:val="•"/>
      <w:lvlJc w:val="left"/>
      <w:pPr>
        <w:ind w:left="2670" w:hanging="217"/>
      </w:pPr>
      <w:rPr>
        <w:rFonts w:hint="default"/>
        <w:lang w:val="en-GB" w:eastAsia="en-GB" w:bidi="en-GB"/>
      </w:rPr>
    </w:lvl>
    <w:lvl w:ilvl="5" w:tplc="BD865636">
      <w:numFmt w:val="bullet"/>
      <w:lvlText w:val="•"/>
      <w:lvlJc w:val="left"/>
      <w:pPr>
        <w:ind w:left="3263" w:hanging="217"/>
      </w:pPr>
      <w:rPr>
        <w:rFonts w:hint="default"/>
        <w:lang w:val="en-GB" w:eastAsia="en-GB" w:bidi="en-GB"/>
      </w:rPr>
    </w:lvl>
    <w:lvl w:ilvl="6" w:tplc="D6A03A00">
      <w:numFmt w:val="bullet"/>
      <w:lvlText w:val="•"/>
      <w:lvlJc w:val="left"/>
      <w:pPr>
        <w:ind w:left="3855" w:hanging="217"/>
      </w:pPr>
      <w:rPr>
        <w:rFonts w:hint="default"/>
        <w:lang w:val="en-GB" w:eastAsia="en-GB" w:bidi="en-GB"/>
      </w:rPr>
    </w:lvl>
    <w:lvl w:ilvl="7" w:tplc="99D04134">
      <w:numFmt w:val="bullet"/>
      <w:lvlText w:val="•"/>
      <w:lvlJc w:val="left"/>
      <w:pPr>
        <w:ind w:left="4448" w:hanging="217"/>
      </w:pPr>
      <w:rPr>
        <w:rFonts w:hint="default"/>
        <w:lang w:val="en-GB" w:eastAsia="en-GB" w:bidi="en-GB"/>
      </w:rPr>
    </w:lvl>
    <w:lvl w:ilvl="8" w:tplc="FDF43E44">
      <w:numFmt w:val="bullet"/>
      <w:lvlText w:val="•"/>
      <w:lvlJc w:val="left"/>
      <w:pPr>
        <w:ind w:left="5040" w:hanging="217"/>
      </w:pPr>
      <w:rPr>
        <w:rFonts w:hint="default"/>
        <w:lang w:val="en-GB" w:eastAsia="en-GB" w:bidi="en-GB"/>
      </w:rPr>
    </w:lvl>
  </w:abstractNum>
  <w:abstractNum w:abstractNumId="1085" w15:restartNumberingAfterBreak="0">
    <w:nsid w:val="634226EC"/>
    <w:multiLevelType w:val="hybridMultilevel"/>
    <w:tmpl w:val="C4AC9760"/>
    <w:lvl w:ilvl="0" w:tplc="AC04B964">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C3AE94E0">
      <w:numFmt w:val="bullet"/>
      <w:lvlText w:val="•"/>
      <w:lvlJc w:val="left"/>
      <w:pPr>
        <w:ind w:left="441" w:hanging="217"/>
      </w:pPr>
      <w:rPr>
        <w:rFonts w:hint="default"/>
        <w:lang w:val="en-GB" w:eastAsia="en-GB" w:bidi="en-GB"/>
      </w:rPr>
    </w:lvl>
    <w:lvl w:ilvl="2" w:tplc="C9D8DB84">
      <w:numFmt w:val="bullet"/>
      <w:lvlText w:val="•"/>
      <w:lvlJc w:val="left"/>
      <w:pPr>
        <w:ind w:left="583" w:hanging="217"/>
      </w:pPr>
      <w:rPr>
        <w:rFonts w:hint="default"/>
        <w:lang w:val="en-GB" w:eastAsia="en-GB" w:bidi="en-GB"/>
      </w:rPr>
    </w:lvl>
    <w:lvl w:ilvl="3" w:tplc="0A62CE0C">
      <w:numFmt w:val="bullet"/>
      <w:lvlText w:val="•"/>
      <w:lvlJc w:val="left"/>
      <w:pPr>
        <w:ind w:left="725" w:hanging="217"/>
      </w:pPr>
      <w:rPr>
        <w:rFonts w:hint="default"/>
        <w:lang w:val="en-GB" w:eastAsia="en-GB" w:bidi="en-GB"/>
      </w:rPr>
    </w:lvl>
    <w:lvl w:ilvl="4" w:tplc="4AA6531A">
      <w:numFmt w:val="bullet"/>
      <w:lvlText w:val="•"/>
      <w:lvlJc w:val="left"/>
      <w:pPr>
        <w:ind w:left="867" w:hanging="217"/>
      </w:pPr>
      <w:rPr>
        <w:rFonts w:hint="default"/>
        <w:lang w:val="en-GB" w:eastAsia="en-GB" w:bidi="en-GB"/>
      </w:rPr>
    </w:lvl>
    <w:lvl w:ilvl="5" w:tplc="9318A6AE">
      <w:numFmt w:val="bullet"/>
      <w:lvlText w:val="•"/>
      <w:lvlJc w:val="left"/>
      <w:pPr>
        <w:ind w:left="1009" w:hanging="217"/>
      </w:pPr>
      <w:rPr>
        <w:rFonts w:hint="default"/>
        <w:lang w:val="en-GB" w:eastAsia="en-GB" w:bidi="en-GB"/>
      </w:rPr>
    </w:lvl>
    <w:lvl w:ilvl="6" w:tplc="05922D82">
      <w:numFmt w:val="bullet"/>
      <w:lvlText w:val="•"/>
      <w:lvlJc w:val="left"/>
      <w:pPr>
        <w:ind w:left="1151" w:hanging="217"/>
      </w:pPr>
      <w:rPr>
        <w:rFonts w:hint="default"/>
        <w:lang w:val="en-GB" w:eastAsia="en-GB" w:bidi="en-GB"/>
      </w:rPr>
    </w:lvl>
    <w:lvl w:ilvl="7" w:tplc="1A185F2E">
      <w:numFmt w:val="bullet"/>
      <w:lvlText w:val="•"/>
      <w:lvlJc w:val="left"/>
      <w:pPr>
        <w:ind w:left="1293" w:hanging="217"/>
      </w:pPr>
      <w:rPr>
        <w:rFonts w:hint="default"/>
        <w:lang w:val="en-GB" w:eastAsia="en-GB" w:bidi="en-GB"/>
      </w:rPr>
    </w:lvl>
    <w:lvl w:ilvl="8" w:tplc="DDF488BA">
      <w:numFmt w:val="bullet"/>
      <w:lvlText w:val="•"/>
      <w:lvlJc w:val="left"/>
      <w:pPr>
        <w:ind w:left="1435" w:hanging="217"/>
      </w:pPr>
      <w:rPr>
        <w:rFonts w:hint="default"/>
        <w:lang w:val="en-GB" w:eastAsia="en-GB" w:bidi="en-GB"/>
      </w:rPr>
    </w:lvl>
  </w:abstractNum>
  <w:abstractNum w:abstractNumId="1086" w15:restartNumberingAfterBreak="0">
    <w:nsid w:val="63545BDB"/>
    <w:multiLevelType w:val="hybridMultilevel"/>
    <w:tmpl w:val="55FC0D7A"/>
    <w:lvl w:ilvl="0" w:tplc="4C3AD532">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7A4E8DFA">
      <w:numFmt w:val="bullet"/>
      <w:lvlText w:val="•"/>
      <w:lvlJc w:val="left"/>
      <w:pPr>
        <w:ind w:left="473" w:hanging="217"/>
      </w:pPr>
      <w:rPr>
        <w:rFonts w:hint="default"/>
        <w:lang w:val="en-GB" w:eastAsia="en-GB" w:bidi="en-GB"/>
      </w:rPr>
    </w:lvl>
    <w:lvl w:ilvl="2" w:tplc="33E08324">
      <w:numFmt w:val="bullet"/>
      <w:lvlText w:val="•"/>
      <w:lvlJc w:val="left"/>
      <w:pPr>
        <w:ind w:left="646" w:hanging="217"/>
      </w:pPr>
      <w:rPr>
        <w:rFonts w:hint="default"/>
        <w:lang w:val="en-GB" w:eastAsia="en-GB" w:bidi="en-GB"/>
      </w:rPr>
    </w:lvl>
    <w:lvl w:ilvl="3" w:tplc="713A2E7C">
      <w:numFmt w:val="bullet"/>
      <w:lvlText w:val="•"/>
      <w:lvlJc w:val="left"/>
      <w:pPr>
        <w:ind w:left="819" w:hanging="217"/>
      </w:pPr>
      <w:rPr>
        <w:rFonts w:hint="default"/>
        <w:lang w:val="en-GB" w:eastAsia="en-GB" w:bidi="en-GB"/>
      </w:rPr>
    </w:lvl>
    <w:lvl w:ilvl="4" w:tplc="B28AD504">
      <w:numFmt w:val="bullet"/>
      <w:lvlText w:val="•"/>
      <w:lvlJc w:val="left"/>
      <w:pPr>
        <w:ind w:left="992" w:hanging="217"/>
      </w:pPr>
      <w:rPr>
        <w:rFonts w:hint="default"/>
        <w:lang w:val="en-GB" w:eastAsia="en-GB" w:bidi="en-GB"/>
      </w:rPr>
    </w:lvl>
    <w:lvl w:ilvl="5" w:tplc="8904E956">
      <w:numFmt w:val="bullet"/>
      <w:lvlText w:val="•"/>
      <w:lvlJc w:val="left"/>
      <w:pPr>
        <w:ind w:left="1165" w:hanging="217"/>
      </w:pPr>
      <w:rPr>
        <w:rFonts w:hint="default"/>
        <w:lang w:val="en-GB" w:eastAsia="en-GB" w:bidi="en-GB"/>
      </w:rPr>
    </w:lvl>
    <w:lvl w:ilvl="6" w:tplc="4F0017B6">
      <w:numFmt w:val="bullet"/>
      <w:lvlText w:val="•"/>
      <w:lvlJc w:val="left"/>
      <w:pPr>
        <w:ind w:left="1338" w:hanging="217"/>
      </w:pPr>
      <w:rPr>
        <w:rFonts w:hint="default"/>
        <w:lang w:val="en-GB" w:eastAsia="en-GB" w:bidi="en-GB"/>
      </w:rPr>
    </w:lvl>
    <w:lvl w:ilvl="7" w:tplc="F6ACB04A">
      <w:numFmt w:val="bullet"/>
      <w:lvlText w:val="•"/>
      <w:lvlJc w:val="left"/>
      <w:pPr>
        <w:ind w:left="1511" w:hanging="217"/>
      </w:pPr>
      <w:rPr>
        <w:rFonts w:hint="default"/>
        <w:lang w:val="en-GB" w:eastAsia="en-GB" w:bidi="en-GB"/>
      </w:rPr>
    </w:lvl>
    <w:lvl w:ilvl="8" w:tplc="8612E736">
      <w:numFmt w:val="bullet"/>
      <w:lvlText w:val="•"/>
      <w:lvlJc w:val="left"/>
      <w:pPr>
        <w:ind w:left="1684" w:hanging="217"/>
      </w:pPr>
      <w:rPr>
        <w:rFonts w:hint="default"/>
        <w:lang w:val="en-GB" w:eastAsia="en-GB" w:bidi="en-GB"/>
      </w:rPr>
    </w:lvl>
  </w:abstractNum>
  <w:abstractNum w:abstractNumId="1087" w15:restartNumberingAfterBreak="0">
    <w:nsid w:val="63C95BFA"/>
    <w:multiLevelType w:val="hybridMultilevel"/>
    <w:tmpl w:val="844E3CDA"/>
    <w:lvl w:ilvl="0" w:tplc="FD5EB78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8683B32">
      <w:numFmt w:val="bullet"/>
      <w:lvlText w:val="•"/>
      <w:lvlJc w:val="left"/>
      <w:pPr>
        <w:ind w:left="441" w:hanging="217"/>
      </w:pPr>
      <w:rPr>
        <w:rFonts w:hint="default"/>
        <w:lang w:val="en-GB" w:eastAsia="en-GB" w:bidi="en-GB"/>
      </w:rPr>
    </w:lvl>
    <w:lvl w:ilvl="2" w:tplc="3FB2FDA0">
      <w:numFmt w:val="bullet"/>
      <w:lvlText w:val="•"/>
      <w:lvlJc w:val="left"/>
      <w:pPr>
        <w:ind w:left="583" w:hanging="217"/>
      </w:pPr>
      <w:rPr>
        <w:rFonts w:hint="default"/>
        <w:lang w:val="en-GB" w:eastAsia="en-GB" w:bidi="en-GB"/>
      </w:rPr>
    </w:lvl>
    <w:lvl w:ilvl="3" w:tplc="9C5A9250">
      <w:numFmt w:val="bullet"/>
      <w:lvlText w:val="•"/>
      <w:lvlJc w:val="left"/>
      <w:pPr>
        <w:ind w:left="725" w:hanging="217"/>
      </w:pPr>
      <w:rPr>
        <w:rFonts w:hint="default"/>
        <w:lang w:val="en-GB" w:eastAsia="en-GB" w:bidi="en-GB"/>
      </w:rPr>
    </w:lvl>
    <w:lvl w:ilvl="4" w:tplc="A4A2898E">
      <w:numFmt w:val="bullet"/>
      <w:lvlText w:val="•"/>
      <w:lvlJc w:val="left"/>
      <w:pPr>
        <w:ind w:left="867" w:hanging="217"/>
      </w:pPr>
      <w:rPr>
        <w:rFonts w:hint="default"/>
        <w:lang w:val="en-GB" w:eastAsia="en-GB" w:bidi="en-GB"/>
      </w:rPr>
    </w:lvl>
    <w:lvl w:ilvl="5" w:tplc="8B049ECC">
      <w:numFmt w:val="bullet"/>
      <w:lvlText w:val="•"/>
      <w:lvlJc w:val="left"/>
      <w:pPr>
        <w:ind w:left="1009" w:hanging="217"/>
      </w:pPr>
      <w:rPr>
        <w:rFonts w:hint="default"/>
        <w:lang w:val="en-GB" w:eastAsia="en-GB" w:bidi="en-GB"/>
      </w:rPr>
    </w:lvl>
    <w:lvl w:ilvl="6" w:tplc="9AFEA8FA">
      <w:numFmt w:val="bullet"/>
      <w:lvlText w:val="•"/>
      <w:lvlJc w:val="left"/>
      <w:pPr>
        <w:ind w:left="1151" w:hanging="217"/>
      </w:pPr>
      <w:rPr>
        <w:rFonts w:hint="default"/>
        <w:lang w:val="en-GB" w:eastAsia="en-GB" w:bidi="en-GB"/>
      </w:rPr>
    </w:lvl>
    <w:lvl w:ilvl="7" w:tplc="FD7C4A82">
      <w:numFmt w:val="bullet"/>
      <w:lvlText w:val="•"/>
      <w:lvlJc w:val="left"/>
      <w:pPr>
        <w:ind w:left="1293" w:hanging="217"/>
      </w:pPr>
      <w:rPr>
        <w:rFonts w:hint="default"/>
        <w:lang w:val="en-GB" w:eastAsia="en-GB" w:bidi="en-GB"/>
      </w:rPr>
    </w:lvl>
    <w:lvl w:ilvl="8" w:tplc="BE5A3690">
      <w:numFmt w:val="bullet"/>
      <w:lvlText w:val="•"/>
      <w:lvlJc w:val="left"/>
      <w:pPr>
        <w:ind w:left="1435" w:hanging="217"/>
      </w:pPr>
      <w:rPr>
        <w:rFonts w:hint="default"/>
        <w:lang w:val="en-GB" w:eastAsia="en-GB" w:bidi="en-GB"/>
      </w:rPr>
    </w:lvl>
  </w:abstractNum>
  <w:abstractNum w:abstractNumId="1088" w15:restartNumberingAfterBreak="0">
    <w:nsid w:val="63D24E8F"/>
    <w:multiLevelType w:val="hybridMultilevel"/>
    <w:tmpl w:val="38D6F1B8"/>
    <w:lvl w:ilvl="0" w:tplc="CE82E4E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728991E">
      <w:numFmt w:val="bullet"/>
      <w:lvlText w:val="•"/>
      <w:lvlJc w:val="left"/>
      <w:pPr>
        <w:ind w:left="473" w:hanging="217"/>
      </w:pPr>
      <w:rPr>
        <w:rFonts w:hint="default"/>
        <w:lang w:val="en-GB" w:eastAsia="en-GB" w:bidi="en-GB"/>
      </w:rPr>
    </w:lvl>
    <w:lvl w:ilvl="2" w:tplc="8D14B1A4">
      <w:numFmt w:val="bullet"/>
      <w:lvlText w:val="•"/>
      <w:lvlJc w:val="left"/>
      <w:pPr>
        <w:ind w:left="646" w:hanging="217"/>
      </w:pPr>
      <w:rPr>
        <w:rFonts w:hint="default"/>
        <w:lang w:val="en-GB" w:eastAsia="en-GB" w:bidi="en-GB"/>
      </w:rPr>
    </w:lvl>
    <w:lvl w:ilvl="3" w:tplc="7304EC16">
      <w:numFmt w:val="bullet"/>
      <w:lvlText w:val="•"/>
      <w:lvlJc w:val="left"/>
      <w:pPr>
        <w:ind w:left="819" w:hanging="217"/>
      </w:pPr>
      <w:rPr>
        <w:rFonts w:hint="default"/>
        <w:lang w:val="en-GB" w:eastAsia="en-GB" w:bidi="en-GB"/>
      </w:rPr>
    </w:lvl>
    <w:lvl w:ilvl="4" w:tplc="A9800CBA">
      <w:numFmt w:val="bullet"/>
      <w:lvlText w:val="•"/>
      <w:lvlJc w:val="left"/>
      <w:pPr>
        <w:ind w:left="992" w:hanging="217"/>
      </w:pPr>
      <w:rPr>
        <w:rFonts w:hint="default"/>
        <w:lang w:val="en-GB" w:eastAsia="en-GB" w:bidi="en-GB"/>
      </w:rPr>
    </w:lvl>
    <w:lvl w:ilvl="5" w:tplc="7AD6F270">
      <w:numFmt w:val="bullet"/>
      <w:lvlText w:val="•"/>
      <w:lvlJc w:val="left"/>
      <w:pPr>
        <w:ind w:left="1165" w:hanging="217"/>
      </w:pPr>
      <w:rPr>
        <w:rFonts w:hint="default"/>
        <w:lang w:val="en-GB" w:eastAsia="en-GB" w:bidi="en-GB"/>
      </w:rPr>
    </w:lvl>
    <w:lvl w:ilvl="6" w:tplc="413057F4">
      <w:numFmt w:val="bullet"/>
      <w:lvlText w:val="•"/>
      <w:lvlJc w:val="left"/>
      <w:pPr>
        <w:ind w:left="1338" w:hanging="217"/>
      </w:pPr>
      <w:rPr>
        <w:rFonts w:hint="default"/>
        <w:lang w:val="en-GB" w:eastAsia="en-GB" w:bidi="en-GB"/>
      </w:rPr>
    </w:lvl>
    <w:lvl w:ilvl="7" w:tplc="AC7CB8A4">
      <w:numFmt w:val="bullet"/>
      <w:lvlText w:val="•"/>
      <w:lvlJc w:val="left"/>
      <w:pPr>
        <w:ind w:left="1511" w:hanging="217"/>
      </w:pPr>
      <w:rPr>
        <w:rFonts w:hint="default"/>
        <w:lang w:val="en-GB" w:eastAsia="en-GB" w:bidi="en-GB"/>
      </w:rPr>
    </w:lvl>
    <w:lvl w:ilvl="8" w:tplc="F51AB24E">
      <w:numFmt w:val="bullet"/>
      <w:lvlText w:val="•"/>
      <w:lvlJc w:val="left"/>
      <w:pPr>
        <w:ind w:left="1684" w:hanging="217"/>
      </w:pPr>
      <w:rPr>
        <w:rFonts w:hint="default"/>
        <w:lang w:val="en-GB" w:eastAsia="en-GB" w:bidi="en-GB"/>
      </w:rPr>
    </w:lvl>
  </w:abstractNum>
  <w:abstractNum w:abstractNumId="1089" w15:restartNumberingAfterBreak="0">
    <w:nsid w:val="63DC46A0"/>
    <w:multiLevelType w:val="hybridMultilevel"/>
    <w:tmpl w:val="411E8C6C"/>
    <w:lvl w:ilvl="0" w:tplc="8D0A21E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63A6880">
      <w:numFmt w:val="bullet"/>
      <w:lvlText w:val="•"/>
      <w:lvlJc w:val="left"/>
      <w:pPr>
        <w:ind w:left="473" w:hanging="217"/>
      </w:pPr>
      <w:rPr>
        <w:rFonts w:hint="default"/>
        <w:lang w:val="en-GB" w:eastAsia="en-GB" w:bidi="en-GB"/>
      </w:rPr>
    </w:lvl>
    <w:lvl w:ilvl="2" w:tplc="8A6251A6">
      <w:numFmt w:val="bullet"/>
      <w:lvlText w:val="•"/>
      <w:lvlJc w:val="left"/>
      <w:pPr>
        <w:ind w:left="646" w:hanging="217"/>
      </w:pPr>
      <w:rPr>
        <w:rFonts w:hint="default"/>
        <w:lang w:val="en-GB" w:eastAsia="en-GB" w:bidi="en-GB"/>
      </w:rPr>
    </w:lvl>
    <w:lvl w:ilvl="3" w:tplc="CE52BFE6">
      <w:numFmt w:val="bullet"/>
      <w:lvlText w:val="•"/>
      <w:lvlJc w:val="left"/>
      <w:pPr>
        <w:ind w:left="819" w:hanging="217"/>
      </w:pPr>
      <w:rPr>
        <w:rFonts w:hint="default"/>
        <w:lang w:val="en-GB" w:eastAsia="en-GB" w:bidi="en-GB"/>
      </w:rPr>
    </w:lvl>
    <w:lvl w:ilvl="4" w:tplc="7328514A">
      <w:numFmt w:val="bullet"/>
      <w:lvlText w:val="•"/>
      <w:lvlJc w:val="left"/>
      <w:pPr>
        <w:ind w:left="992" w:hanging="217"/>
      </w:pPr>
      <w:rPr>
        <w:rFonts w:hint="default"/>
        <w:lang w:val="en-GB" w:eastAsia="en-GB" w:bidi="en-GB"/>
      </w:rPr>
    </w:lvl>
    <w:lvl w:ilvl="5" w:tplc="F09ACC3E">
      <w:numFmt w:val="bullet"/>
      <w:lvlText w:val="•"/>
      <w:lvlJc w:val="left"/>
      <w:pPr>
        <w:ind w:left="1165" w:hanging="217"/>
      </w:pPr>
      <w:rPr>
        <w:rFonts w:hint="default"/>
        <w:lang w:val="en-GB" w:eastAsia="en-GB" w:bidi="en-GB"/>
      </w:rPr>
    </w:lvl>
    <w:lvl w:ilvl="6" w:tplc="0C4AB4D4">
      <w:numFmt w:val="bullet"/>
      <w:lvlText w:val="•"/>
      <w:lvlJc w:val="left"/>
      <w:pPr>
        <w:ind w:left="1338" w:hanging="217"/>
      </w:pPr>
      <w:rPr>
        <w:rFonts w:hint="default"/>
        <w:lang w:val="en-GB" w:eastAsia="en-GB" w:bidi="en-GB"/>
      </w:rPr>
    </w:lvl>
    <w:lvl w:ilvl="7" w:tplc="CDFE0340">
      <w:numFmt w:val="bullet"/>
      <w:lvlText w:val="•"/>
      <w:lvlJc w:val="left"/>
      <w:pPr>
        <w:ind w:left="1511" w:hanging="217"/>
      </w:pPr>
      <w:rPr>
        <w:rFonts w:hint="default"/>
        <w:lang w:val="en-GB" w:eastAsia="en-GB" w:bidi="en-GB"/>
      </w:rPr>
    </w:lvl>
    <w:lvl w:ilvl="8" w:tplc="F8522524">
      <w:numFmt w:val="bullet"/>
      <w:lvlText w:val="•"/>
      <w:lvlJc w:val="left"/>
      <w:pPr>
        <w:ind w:left="1684" w:hanging="217"/>
      </w:pPr>
      <w:rPr>
        <w:rFonts w:hint="default"/>
        <w:lang w:val="en-GB" w:eastAsia="en-GB" w:bidi="en-GB"/>
      </w:rPr>
    </w:lvl>
  </w:abstractNum>
  <w:abstractNum w:abstractNumId="1090" w15:restartNumberingAfterBreak="0">
    <w:nsid w:val="63E22E76"/>
    <w:multiLevelType w:val="hybridMultilevel"/>
    <w:tmpl w:val="231419EA"/>
    <w:lvl w:ilvl="0" w:tplc="9F1A4C1A">
      <w:numFmt w:val="bullet"/>
      <w:lvlText w:val="•"/>
      <w:lvlJc w:val="left"/>
      <w:pPr>
        <w:ind w:left="305" w:hanging="217"/>
      </w:pPr>
      <w:rPr>
        <w:rFonts w:ascii="Arial" w:eastAsia="Arial" w:hAnsi="Arial" w:cs="Arial" w:hint="default"/>
        <w:color w:val="231F20"/>
        <w:w w:val="100"/>
        <w:sz w:val="18"/>
        <w:szCs w:val="18"/>
        <w:lang w:val="en-GB" w:eastAsia="en-GB" w:bidi="en-GB"/>
      </w:rPr>
    </w:lvl>
    <w:lvl w:ilvl="1" w:tplc="F0324A62">
      <w:numFmt w:val="bullet"/>
      <w:lvlText w:val="•"/>
      <w:lvlJc w:val="left"/>
      <w:pPr>
        <w:ind w:left="524" w:hanging="217"/>
      </w:pPr>
      <w:rPr>
        <w:rFonts w:hint="default"/>
        <w:lang w:val="en-GB" w:eastAsia="en-GB" w:bidi="en-GB"/>
      </w:rPr>
    </w:lvl>
    <w:lvl w:ilvl="2" w:tplc="0AB8B750">
      <w:numFmt w:val="bullet"/>
      <w:lvlText w:val="•"/>
      <w:lvlJc w:val="left"/>
      <w:pPr>
        <w:ind w:left="748" w:hanging="217"/>
      </w:pPr>
      <w:rPr>
        <w:rFonts w:hint="default"/>
        <w:lang w:val="en-GB" w:eastAsia="en-GB" w:bidi="en-GB"/>
      </w:rPr>
    </w:lvl>
    <w:lvl w:ilvl="3" w:tplc="EC122A32">
      <w:numFmt w:val="bullet"/>
      <w:lvlText w:val="•"/>
      <w:lvlJc w:val="left"/>
      <w:pPr>
        <w:ind w:left="972" w:hanging="217"/>
      </w:pPr>
      <w:rPr>
        <w:rFonts w:hint="default"/>
        <w:lang w:val="en-GB" w:eastAsia="en-GB" w:bidi="en-GB"/>
      </w:rPr>
    </w:lvl>
    <w:lvl w:ilvl="4" w:tplc="48789320">
      <w:numFmt w:val="bullet"/>
      <w:lvlText w:val="•"/>
      <w:lvlJc w:val="left"/>
      <w:pPr>
        <w:ind w:left="1196" w:hanging="217"/>
      </w:pPr>
      <w:rPr>
        <w:rFonts w:hint="default"/>
        <w:lang w:val="en-GB" w:eastAsia="en-GB" w:bidi="en-GB"/>
      </w:rPr>
    </w:lvl>
    <w:lvl w:ilvl="5" w:tplc="D3FCEFEC">
      <w:numFmt w:val="bullet"/>
      <w:lvlText w:val="•"/>
      <w:lvlJc w:val="left"/>
      <w:pPr>
        <w:ind w:left="1420" w:hanging="217"/>
      </w:pPr>
      <w:rPr>
        <w:rFonts w:hint="default"/>
        <w:lang w:val="en-GB" w:eastAsia="en-GB" w:bidi="en-GB"/>
      </w:rPr>
    </w:lvl>
    <w:lvl w:ilvl="6" w:tplc="D174CB6E">
      <w:numFmt w:val="bullet"/>
      <w:lvlText w:val="•"/>
      <w:lvlJc w:val="left"/>
      <w:pPr>
        <w:ind w:left="1644" w:hanging="217"/>
      </w:pPr>
      <w:rPr>
        <w:rFonts w:hint="default"/>
        <w:lang w:val="en-GB" w:eastAsia="en-GB" w:bidi="en-GB"/>
      </w:rPr>
    </w:lvl>
    <w:lvl w:ilvl="7" w:tplc="B44651C0">
      <w:numFmt w:val="bullet"/>
      <w:lvlText w:val="•"/>
      <w:lvlJc w:val="left"/>
      <w:pPr>
        <w:ind w:left="1868" w:hanging="217"/>
      </w:pPr>
      <w:rPr>
        <w:rFonts w:hint="default"/>
        <w:lang w:val="en-GB" w:eastAsia="en-GB" w:bidi="en-GB"/>
      </w:rPr>
    </w:lvl>
    <w:lvl w:ilvl="8" w:tplc="C42C5D7C">
      <w:numFmt w:val="bullet"/>
      <w:lvlText w:val="•"/>
      <w:lvlJc w:val="left"/>
      <w:pPr>
        <w:ind w:left="2092" w:hanging="217"/>
      </w:pPr>
      <w:rPr>
        <w:rFonts w:hint="default"/>
        <w:lang w:val="en-GB" w:eastAsia="en-GB" w:bidi="en-GB"/>
      </w:rPr>
    </w:lvl>
  </w:abstractNum>
  <w:abstractNum w:abstractNumId="1091" w15:restartNumberingAfterBreak="0">
    <w:nsid w:val="63ED59A8"/>
    <w:multiLevelType w:val="hybridMultilevel"/>
    <w:tmpl w:val="A3C2DC80"/>
    <w:lvl w:ilvl="0" w:tplc="D488EAA6">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87A2C3A6">
      <w:numFmt w:val="bullet"/>
      <w:lvlText w:val="•"/>
      <w:lvlJc w:val="left"/>
      <w:pPr>
        <w:ind w:left="524" w:hanging="217"/>
      </w:pPr>
      <w:rPr>
        <w:rFonts w:hint="default"/>
        <w:lang w:val="en-GB" w:eastAsia="en-GB" w:bidi="en-GB"/>
      </w:rPr>
    </w:lvl>
    <w:lvl w:ilvl="2" w:tplc="32786D44">
      <w:numFmt w:val="bullet"/>
      <w:lvlText w:val="•"/>
      <w:lvlJc w:val="left"/>
      <w:pPr>
        <w:ind w:left="748" w:hanging="217"/>
      </w:pPr>
      <w:rPr>
        <w:rFonts w:hint="default"/>
        <w:lang w:val="en-GB" w:eastAsia="en-GB" w:bidi="en-GB"/>
      </w:rPr>
    </w:lvl>
    <w:lvl w:ilvl="3" w:tplc="2988D58C">
      <w:numFmt w:val="bullet"/>
      <w:lvlText w:val="•"/>
      <w:lvlJc w:val="left"/>
      <w:pPr>
        <w:ind w:left="972" w:hanging="217"/>
      </w:pPr>
      <w:rPr>
        <w:rFonts w:hint="default"/>
        <w:lang w:val="en-GB" w:eastAsia="en-GB" w:bidi="en-GB"/>
      </w:rPr>
    </w:lvl>
    <w:lvl w:ilvl="4" w:tplc="DA5CBCCC">
      <w:numFmt w:val="bullet"/>
      <w:lvlText w:val="•"/>
      <w:lvlJc w:val="left"/>
      <w:pPr>
        <w:ind w:left="1196" w:hanging="217"/>
      </w:pPr>
      <w:rPr>
        <w:rFonts w:hint="default"/>
        <w:lang w:val="en-GB" w:eastAsia="en-GB" w:bidi="en-GB"/>
      </w:rPr>
    </w:lvl>
    <w:lvl w:ilvl="5" w:tplc="7876A65A">
      <w:numFmt w:val="bullet"/>
      <w:lvlText w:val="•"/>
      <w:lvlJc w:val="left"/>
      <w:pPr>
        <w:ind w:left="1420" w:hanging="217"/>
      </w:pPr>
      <w:rPr>
        <w:rFonts w:hint="default"/>
        <w:lang w:val="en-GB" w:eastAsia="en-GB" w:bidi="en-GB"/>
      </w:rPr>
    </w:lvl>
    <w:lvl w:ilvl="6" w:tplc="374481AA">
      <w:numFmt w:val="bullet"/>
      <w:lvlText w:val="•"/>
      <w:lvlJc w:val="left"/>
      <w:pPr>
        <w:ind w:left="1644" w:hanging="217"/>
      </w:pPr>
      <w:rPr>
        <w:rFonts w:hint="default"/>
        <w:lang w:val="en-GB" w:eastAsia="en-GB" w:bidi="en-GB"/>
      </w:rPr>
    </w:lvl>
    <w:lvl w:ilvl="7" w:tplc="DA163208">
      <w:numFmt w:val="bullet"/>
      <w:lvlText w:val="•"/>
      <w:lvlJc w:val="left"/>
      <w:pPr>
        <w:ind w:left="1868" w:hanging="217"/>
      </w:pPr>
      <w:rPr>
        <w:rFonts w:hint="default"/>
        <w:lang w:val="en-GB" w:eastAsia="en-GB" w:bidi="en-GB"/>
      </w:rPr>
    </w:lvl>
    <w:lvl w:ilvl="8" w:tplc="D19CE666">
      <w:numFmt w:val="bullet"/>
      <w:lvlText w:val="•"/>
      <w:lvlJc w:val="left"/>
      <w:pPr>
        <w:ind w:left="2092" w:hanging="217"/>
      </w:pPr>
      <w:rPr>
        <w:rFonts w:hint="default"/>
        <w:lang w:val="en-GB" w:eastAsia="en-GB" w:bidi="en-GB"/>
      </w:rPr>
    </w:lvl>
  </w:abstractNum>
  <w:abstractNum w:abstractNumId="1092" w15:restartNumberingAfterBreak="0">
    <w:nsid w:val="64026F23"/>
    <w:multiLevelType w:val="hybridMultilevel"/>
    <w:tmpl w:val="B560CFC0"/>
    <w:lvl w:ilvl="0" w:tplc="AE686A86">
      <w:numFmt w:val="bullet"/>
      <w:lvlText w:val="•"/>
      <w:lvlJc w:val="left"/>
      <w:pPr>
        <w:ind w:left="333" w:hanging="217"/>
      </w:pPr>
      <w:rPr>
        <w:rFonts w:ascii="Arial" w:eastAsia="Arial" w:hAnsi="Arial" w:cs="Arial" w:hint="default"/>
        <w:color w:val="231F20"/>
        <w:spacing w:val="-1"/>
        <w:w w:val="100"/>
        <w:sz w:val="18"/>
        <w:szCs w:val="18"/>
        <w:lang w:val="en-GB" w:eastAsia="en-GB" w:bidi="en-GB"/>
      </w:rPr>
    </w:lvl>
    <w:lvl w:ilvl="1" w:tplc="F79CBE8E">
      <w:numFmt w:val="bullet"/>
      <w:lvlText w:val="•"/>
      <w:lvlJc w:val="left"/>
      <w:pPr>
        <w:ind w:left="1030" w:hanging="217"/>
      </w:pPr>
      <w:rPr>
        <w:rFonts w:hint="default"/>
        <w:lang w:val="en-GB" w:eastAsia="en-GB" w:bidi="en-GB"/>
      </w:rPr>
    </w:lvl>
    <w:lvl w:ilvl="2" w:tplc="01126E96">
      <w:numFmt w:val="bullet"/>
      <w:lvlText w:val="•"/>
      <w:lvlJc w:val="left"/>
      <w:pPr>
        <w:ind w:left="1720" w:hanging="217"/>
      </w:pPr>
      <w:rPr>
        <w:rFonts w:hint="default"/>
        <w:lang w:val="en-GB" w:eastAsia="en-GB" w:bidi="en-GB"/>
      </w:rPr>
    </w:lvl>
    <w:lvl w:ilvl="3" w:tplc="021C3482">
      <w:numFmt w:val="bullet"/>
      <w:lvlText w:val="•"/>
      <w:lvlJc w:val="left"/>
      <w:pPr>
        <w:ind w:left="2410" w:hanging="217"/>
      </w:pPr>
      <w:rPr>
        <w:rFonts w:hint="default"/>
        <w:lang w:val="en-GB" w:eastAsia="en-GB" w:bidi="en-GB"/>
      </w:rPr>
    </w:lvl>
    <w:lvl w:ilvl="4" w:tplc="CA20BFF0">
      <w:numFmt w:val="bullet"/>
      <w:lvlText w:val="•"/>
      <w:lvlJc w:val="left"/>
      <w:pPr>
        <w:ind w:left="3100" w:hanging="217"/>
      </w:pPr>
      <w:rPr>
        <w:rFonts w:hint="default"/>
        <w:lang w:val="en-GB" w:eastAsia="en-GB" w:bidi="en-GB"/>
      </w:rPr>
    </w:lvl>
    <w:lvl w:ilvl="5" w:tplc="EAF8AC0E">
      <w:numFmt w:val="bullet"/>
      <w:lvlText w:val="•"/>
      <w:lvlJc w:val="left"/>
      <w:pPr>
        <w:ind w:left="3791" w:hanging="217"/>
      </w:pPr>
      <w:rPr>
        <w:rFonts w:hint="default"/>
        <w:lang w:val="en-GB" w:eastAsia="en-GB" w:bidi="en-GB"/>
      </w:rPr>
    </w:lvl>
    <w:lvl w:ilvl="6" w:tplc="3A52CF84">
      <w:numFmt w:val="bullet"/>
      <w:lvlText w:val="•"/>
      <w:lvlJc w:val="left"/>
      <w:pPr>
        <w:ind w:left="4481" w:hanging="217"/>
      </w:pPr>
      <w:rPr>
        <w:rFonts w:hint="default"/>
        <w:lang w:val="en-GB" w:eastAsia="en-GB" w:bidi="en-GB"/>
      </w:rPr>
    </w:lvl>
    <w:lvl w:ilvl="7" w:tplc="B2F043D6">
      <w:numFmt w:val="bullet"/>
      <w:lvlText w:val="•"/>
      <w:lvlJc w:val="left"/>
      <w:pPr>
        <w:ind w:left="5171" w:hanging="217"/>
      </w:pPr>
      <w:rPr>
        <w:rFonts w:hint="default"/>
        <w:lang w:val="en-GB" w:eastAsia="en-GB" w:bidi="en-GB"/>
      </w:rPr>
    </w:lvl>
    <w:lvl w:ilvl="8" w:tplc="EB78E01A">
      <w:numFmt w:val="bullet"/>
      <w:lvlText w:val="•"/>
      <w:lvlJc w:val="left"/>
      <w:pPr>
        <w:ind w:left="5861" w:hanging="217"/>
      </w:pPr>
      <w:rPr>
        <w:rFonts w:hint="default"/>
        <w:lang w:val="en-GB" w:eastAsia="en-GB" w:bidi="en-GB"/>
      </w:rPr>
    </w:lvl>
  </w:abstractNum>
  <w:abstractNum w:abstractNumId="1093" w15:restartNumberingAfterBreak="0">
    <w:nsid w:val="6404279F"/>
    <w:multiLevelType w:val="hybridMultilevel"/>
    <w:tmpl w:val="8A44B986"/>
    <w:lvl w:ilvl="0" w:tplc="D47407B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F20C4C6">
      <w:numFmt w:val="bullet"/>
      <w:lvlText w:val="•"/>
      <w:lvlJc w:val="left"/>
      <w:pPr>
        <w:ind w:left="473" w:hanging="217"/>
      </w:pPr>
      <w:rPr>
        <w:rFonts w:hint="default"/>
        <w:lang w:val="en-GB" w:eastAsia="en-GB" w:bidi="en-GB"/>
      </w:rPr>
    </w:lvl>
    <w:lvl w:ilvl="2" w:tplc="74A202C6">
      <w:numFmt w:val="bullet"/>
      <w:lvlText w:val="•"/>
      <w:lvlJc w:val="left"/>
      <w:pPr>
        <w:ind w:left="646" w:hanging="217"/>
      </w:pPr>
      <w:rPr>
        <w:rFonts w:hint="default"/>
        <w:lang w:val="en-GB" w:eastAsia="en-GB" w:bidi="en-GB"/>
      </w:rPr>
    </w:lvl>
    <w:lvl w:ilvl="3" w:tplc="BF522686">
      <w:numFmt w:val="bullet"/>
      <w:lvlText w:val="•"/>
      <w:lvlJc w:val="left"/>
      <w:pPr>
        <w:ind w:left="819" w:hanging="217"/>
      </w:pPr>
      <w:rPr>
        <w:rFonts w:hint="default"/>
        <w:lang w:val="en-GB" w:eastAsia="en-GB" w:bidi="en-GB"/>
      </w:rPr>
    </w:lvl>
    <w:lvl w:ilvl="4" w:tplc="4A4EF6A0">
      <w:numFmt w:val="bullet"/>
      <w:lvlText w:val="•"/>
      <w:lvlJc w:val="left"/>
      <w:pPr>
        <w:ind w:left="992" w:hanging="217"/>
      </w:pPr>
      <w:rPr>
        <w:rFonts w:hint="default"/>
        <w:lang w:val="en-GB" w:eastAsia="en-GB" w:bidi="en-GB"/>
      </w:rPr>
    </w:lvl>
    <w:lvl w:ilvl="5" w:tplc="DA22C904">
      <w:numFmt w:val="bullet"/>
      <w:lvlText w:val="•"/>
      <w:lvlJc w:val="left"/>
      <w:pPr>
        <w:ind w:left="1165" w:hanging="217"/>
      </w:pPr>
      <w:rPr>
        <w:rFonts w:hint="default"/>
        <w:lang w:val="en-GB" w:eastAsia="en-GB" w:bidi="en-GB"/>
      </w:rPr>
    </w:lvl>
    <w:lvl w:ilvl="6" w:tplc="44945522">
      <w:numFmt w:val="bullet"/>
      <w:lvlText w:val="•"/>
      <w:lvlJc w:val="left"/>
      <w:pPr>
        <w:ind w:left="1338" w:hanging="217"/>
      </w:pPr>
      <w:rPr>
        <w:rFonts w:hint="default"/>
        <w:lang w:val="en-GB" w:eastAsia="en-GB" w:bidi="en-GB"/>
      </w:rPr>
    </w:lvl>
    <w:lvl w:ilvl="7" w:tplc="510A4754">
      <w:numFmt w:val="bullet"/>
      <w:lvlText w:val="•"/>
      <w:lvlJc w:val="left"/>
      <w:pPr>
        <w:ind w:left="1511" w:hanging="217"/>
      </w:pPr>
      <w:rPr>
        <w:rFonts w:hint="default"/>
        <w:lang w:val="en-GB" w:eastAsia="en-GB" w:bidi="en-GB"/>
      </w:rPr>
    </w:lvl>
    <w:lvl w:ilvl="8" w:tplc="D00E4B10">
      <w:numFmt w:val="bullet"/>
      <w:lvlText w:val="•"/>
      <w:lvlJc w:val="left"/>
      <w:pPr>
        <w:ind w:left="1684" w:hanging="217"/>
      </w:pPr>
      <w:rPr>
        <w:rFonts w:hint="default"/>
        <w:lang w:val="en-GB" w:eastAsia="en-GB" w:bidi="en-GB"/>
      </w:rPr>
    </w:lvl>
  </w:abstractNum>
  <w:abstractNum w:abstractNumId="1094" w15:restartNumberingAfterBreak="0">
    <w:nsid w:val="6414187B"/>
    <w:multiLevelType w:val="hybridMultilevel"/>
    <w:tmpl w:val="AAE80F68"/>
    <w:lvl w:ilvl="0" w:tplc="5594676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5E87CA2">
      <w:numFmt w:val="bullet"/>
      <w:lvlText w:val="•"/>
      <w:lvlJc w:val="left"/>
      <w:pPr>
        <w:ind w:left="1061" w:hanging="217"/>
      </w:pPr>
      <w:rPr>
        <w:rFonts w:hint="default"/>
        <w:lang w:val="en-GB" w:eastAsia="en-GB" w:bidi="en-GB"/>
      </w:rPr>
    </w:lvl>
    <w:lvl w:ilvl="2" w:tplc="B718A7B4">
      <w:numFmt w:val="bullet"/>
      <w:lvlText w:val="•"/>
      <w:lvlJc w:val="left"/>
      <w:pPr>
        <w:ind w:left="1823" w:hanging="217"/>
      </w:pPr>
      <w:rPr>
        <w:rFonts w:hint="default"/>
        <w:lang w:val="en-GB" w:eastAsia="en-GB" w:bidi="en-GB"/>
      </w:rPr>
    </w:lvl>
    <w:lvl w:ilvl="3" w:tplc="3C1E94A2">
      <w:numFmt w:val="bullet"/>
      <w:lvlText w:val="•"/>
      <w:lvlJc w:val="left"/>
      <w:pPr>
        <w:ind w:left="2585" w:hanging="217"/>
      </w:pPr>
      <w:rPr>
        <w:rFonts w:hint="default"/>
        <w:lang w:val="en-GB" w:eastAsia="en-GB" w:bidi="en-GB"/>
      </w:rPr>
    </w:lvl>
    <w:lvl w:ilvl="4" w:tplc="AB1A6E3A">
      <w:numFmt w:val="bullet"/>
      <w:lvlText w:val="•"/>
      <w:lvlJc w:val="left"/>
      <w:pPr>
        <w:ind w:left="3346" w:hanging="217"/>
      </w:pPr>
      <w:rPr>
        <w:rFonts w:hint="default"/>
        <w:lang w:val="en-GB" w:eastAsia="en-GB" w:bidi="en-GB"/>
      </w:rPr>
    </w:lvl>
    <w:lvl w:ilvl="5" w:tplc="44E2EA66">
      <w:numFmt w:val="bullet"/>
      <w:lvlText w:val="•"/>
      <w:lvlJc w:val="left"/>
      <w:pPr>
        <w:ind w:left="4108" w:hanging="217"/>
      </w:pPr>
      <w:rPr>
        <w:rFonts w:hint="default"/>
        <w:lang w:val="en-GB" w:eastAsia="en-GB" w:bidi="en-GB"/>
      </w:rPr>
    </w:lvl>
    <w:lvl w:ilvl="6" w:tplc="CE4E34F0">
      <w:numFmt w:val="bullet"/>
      <w:lvlText w:val="•"/>
      <w:lvlJc w:val="left"/>
      <w:pPr>
        <w:ind w:left="4870" w:hanging="217"/>
      </w:pPr>
      <w:rPr>
        <w:rFonts w:hint="default"/>
        <w:lang w:val="en-GB" w:eastAsia="en-GB" w:bidi="en-GB"/>
      </w:rPr>
    </w:lvl>
    <w:lvl w:ilvl="7" w:tplc="6D3E566C">
      <w:numFmt w:val="bullet"/>
      <w:lvlText w:val="•"/>
      <w:lvlJc w:val="left"/>
      <w:pPr>
        <w:ind w:left="5631" w:hanging="217"/>
      </w:pPr>
      <w:rPr>
        <w:rFonts w:hint="default"/>
        <w:lang w:val="en-GB" w:eastAsia="en-GB" w:bidi="en-GB"/>
      </w:rPr>
    </w:lvl>
    <w:lvl w:ilvl="8" w:tplc="E8C8CB86">
      <w:numFmt w:val="bullet"/>
      <w:lvlText w:val="•"/>
      <w:lvlJc w:val="left"/>
      <w:pPr>
        <w:ind w:left="6393" w:hanging="217"/>
      </w:pPr>
      <w:rPr>
        <w:rFonts w:hint="default"/>
        <w:lang w:val="en-GB" w:eastAsia="en-GB" w:bidi="en-GB"/>
      </w:rPr>
    </w:lvl>
  </w:abstractNum>
  <w:abstractNum w:abstractNumId="1095" w15:restartNumberingAfterBreak="0">
    <w:nsid w:val="6418485A"/>
    <w:multiLevelType w:val="hybridMultilevel"/>
    <w:tmpl w:val="EC727366"/>
    <w:lvl w:ilvl="0" w:tplc="7C4272E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0887102">
      <w:numFmt w:val="bullet"/>
      <w:lvlText w:val="•"/>
      <w:lvlJc w:val="left"/>
      <w:pPr>
        <w:ind w:left="473" w:hanging="217"/>
      </w:pPr>
      <w:rPr>
        <w:rFonts w:hint="default"/>
        <w:lang w:val="en-GB" w:eastAsia="en-GB" w:bidi="en-GB"/>
      </w:rPr>
    </w:lvl>
    <w:lvl w:ilvl="2" w:tplc="BCF6A9E4">
      <w:numFmt w:val="bullet"/>
      <w:lvlText w:val="•"/>
      <w:lvlJc w:val="left"/>
      <w:pPr>
        <w:ind w:left="646" w:hanging="217"/>
      </w:pPr>
      <w:rPr>
        <w:rFonts w:hint="default"/>
        <w:lang w:val="en-GB" w:eastAsia="en-GB" w:bidi="en-GB"/>
      </w:rPr>
    </w:lvl>
    <w:lvl w:ilvl="3" w:tplc="2E8C1164">
      <w:numFmt w:val="bullet"/>
      <w:lvlText w:val="•"/>
      <w:lvlJc w:val="left"/>
      <w:pPr>
        <w:ind w:left="819" w:hanging="217"/>
      </w:pPr>
      <w:rPr>
        <w:rFonts w:hint="default"/>
        <w:lang w:val="en-GB" w:eastAsia="en-GB" w:bidi="en-GB"/>
      </w:rPr>
    </w:lvl>
    <w:lvl w:ilvl="4" w:tplc="677EA38C">
      <w:numFmt w:val="bullet"/>
      <w:lvlText w:val="•"/>
      <w:lvlJc w:val="left"/>
      <w:pPr>
        <w:ind w:left="992" w:hanging="217"/>
      </w:pPr>
      <w:rPr>
        <w:rFonts w:hint="default"/>
        <w:lang w:val="en-GB" w:eastAsia="en-GB" w:bidi="en-GB"/>
      </w:rPr>
    </w:lvl>
    <w:lvl w:ilvl="5" w:tplc="99E0A962">
      <w:numFmt w:val="bullet"/>
      <w:lvlText w:val="•"/>
      <w:lvlJc w:val="left"/>
      <w:pPr>
        <w:ind w:left="1165" w:hanging="217"/>
      </w:pPr>
      <w:rPr>
        <w:rFonts w:hint="default"/>
        <w:lang w:val="en-GB" w:eastAsia="en-GB" w:bidi="en-GB"/>
      </w:rPr>
    </w:lvl>
    <w:lvl w:ilvl="6" w:tplc="AA7E30F4">
      <w:numFmt w:val="bullet"/>
      <w:lvlText w:val="•"/>
      <w:lvlJc w:val="left"/>
      <w:pPr>
        <w:ind w:left="1338" w:hanging="217"/>
      </w:pPr>
      <w:rPr>
        <w:rFonts w:hint="default"/>
        <w:lang w:val="en-GB" w:eastAsia="en-GB" w:bidi="en-GB"/>
      </w:rPr>
    </w:lvl>
    <w:lvl w:ilvl="7" w:tplc="6E645206">
      <w:numFmt w:val="bullet"/>
      <w:lvlText w:val="•"/>
      <w:lvlJc w:val="left"/>
      <w:pPr>
        <w:ind w:left="1511" w:hanging="217"/>
      </w:pPr>
      <w:rPr>
        <w:rFonts w:hint="default"/>
        <w:lang w:val="en-GB" w:eastAsia="en-GB" w:bidi="en-GB"/>
      </w:rPr>
    </w:lvl>
    <w:lvl w:ilvl="8" w:tplc="191C886C">
      <w:numFmt w:val="bullet"/>
      <w:lvlText w:val="•"/>
      <w:lvlJc w:val="left"/>
      <w:pPr>
        <w:ind w:left="1684" w:hanging="217"/>
      </w:pPr>
      <w:rPr>
        <w:rFonts w:hint="default"/>
        <w:lang w:val="en-GB" w:eastAsia="en-GB" w:bidi="en-GB"/>
      </w:rPr>
    </w:lvl>
  </w:abstractNum>
  <w:abstractNum w:abstractNumId="1096" w15:restartNumberingAfterBreak="0">
    <w:nsid w:val="641E0D3C"/>
    <w:multiLevelType w:val="hybridMultilevel"/>
    <w:tmpl w:val="F3A488F6"/>
    <w:lvl w:ilvl="0" w:tplc="AF04B18A">
      <w:numFmt w:val="bullet"/>
      <w:lvlText w:val="•"/>
      <w:lvlJc w:val="left"/>
      <w:pPr>
        <w:ind w:left="304" w:hanging="217"/>
      </w:pPr>
      <w:rPr>
        <w:rFonts w:ascii="Arial" w:eastAsia="Arial" w:hAnsi="Arial" w:cs="Arial" w:hint="default"/>
        <w:color w:val="231F20"/>
        <w:spacing w:val="-17"/>
        <w:w w:val="100"/>
        <w:sz w:val="18"/>
        <w:szCs w:val="18"/>
        <w:lang w:val="en-GB" w:eastAsia="en-GB" w:bidi="en-GB"/>
      </w:rPr>
    </w:lvl>
    <w:lvl w:ilvl="1" w:tplc="8EBE8428">
      <w:numFmt w:val="bullet"/>
      <w:lvlText w:val="•"/>
      <w:lvlJc w:val="left"/>
      <w:pPr>
        <w:ind w:left="473" w:hanging="217"/>
      </w:pPr>
      <w:rPr>
        <w:rFonts w:hint="default"/>
        <w:lang w:val="en-GB" w:eastAsia="en-GB" w:bidi="en-GB"/>
      </w:rPr>
    </w:lvl>
    <w:lvl w:ilvl="2" w:tplc="75E0B568">
      <w:numFmt w:val="bullet"/>
      <w:lvlText w:val="•"/>
      <w:lvlJc w:val="left"/>
      <w:pPr>
        <w:ind w:left="646" w:hanging="217"/>
      </w:pPr>
      <w:rPr>
        <w:rFonts w:hint="default"/>
        <w:lang w:val="en-GB" w:eastAsia="en-GB" w:bidi="en-GB"/>
      </w:rPr>
    </w:lvl>
    <w:lvl w:ilvl="3" w:tplc="EC842FB8">
      <w:numFmt w:val="bullet"/>
      <w:lvlText w:val="•"/>
      <w:lvlJc w:val="left"/>
      <w:pPr>
        <w:ind w:left="819" w:hanging="217"/>
      </w:pPr>
      <w:rPr>
        <w:rFonts w:hint="default"/>
        <w:lang w:val="en-GB" w:eastAsia="en-GB" w:bidi="en-GB"/>
      </w:rPr>
    </w:lvl>
    <w:lvl w:ilvl="4" w:tplc="19E0F990">
      <w:numFmt w:val="bullet"/>
      <w:lvlText w:val="•"/>
      <w:lvlJc w:val="left"/>
      <w:pPr>
        <w:ind w:left="992" w:hanging="217"/>
      </w:pPr>
      <w:rPr>
        <w:rFonts w:hint="default"/>
        <w:lang w:val="en-GB" w:eastAsia="en-GB" w:bidi="en-GB"/>
      </w:rPr>
    </w:lvl>
    <w:lvl w:ilvl="5" w:tplc="B1FEF58C">
      <w:numFmt w:val="bullet"/>
      <w:lvlText w:val="•"/>
      <w:lvlJc w:val="left"/>
      <w:pPr>
        <w:ind w:left="1165" w:hanging="217"/>
      </w:pPr>
      <w:rPr>
        <w:rFonts w:hint="default"/>
        <w:lang w:val="en-GB" w:eastAsia="en-GB" w:bidi="en-GB"/>
      </w:rPr>
    </w:lvl>
    <w:lvl w:ilvl="6" w:tplc="8E9466F8">
      <w:numFmt w:val="bullet"/>
      <w:lvlText w:val="•"/>
      <w:lvlJc w:val="left"/>
      <w:pPr>
        <w:ind w:left="1338" w:hanging="217"/>
      </w:pPr>
      <w:rPr>
        <w:rFonts w:hint="default"/>
        <w:lang w:val="en-GB" w:eastAsia="en-GB" w:bidi="en-GB"/>
      </w:rPr>
    </w:lvl>
    <w:lvl w:ilvl="7" w:tplc="B01813A6">
      <w:numFmt w:val="bullet"/>
      <w:lvlText w:val="•"/>
      <w:lvlJc w:val="left"/>
      <w:pPr>
        <w:ind w:left="1511" w:hanging="217"/>
      </w:pPr>
      <w:rPr>
        <w:rFonts w:hint="default"/>
        <w:lang w:val="en-GB" w:eastAsia="en-GB" w:bidi="en-GB"/>
      </w:rPr>
    </w:lvl>
    <w:lvl w:ilvl="8" w:tplc="4EA6C6C8">
      <w:numFmt w:val="bullet"/>
      <w:lvlText w:val="•"/>
      <w:lvlJc w:val="left"/>
      <w:pPr>
        <w:ind w:left="1684" w:hanging="217"/>
      </w:pPr>
      <w:rPr>
        <w:rFonts w:hint="default"/>
        <w:lang w:val="en-GB" w:eastAsia="en-GB" w:bidi="en-GB"/>
      </w:rPr>
    </w:lvl>
  </w:abstractNum>
  <w:abstractNum w:abstractNumId="1097" w15:restartNumberingAfterBreak="0">
    <w:nsid w:val="642E037C"/>
    <w:multiLevelType w:val="hybridMultilevel"/>
    <w:tmpl w:val="B960304C"/>
    <w:lvl w:ilvl="0" w:tplc="5C2C8566">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1FCAFFCE">
      <w:numFmt w:val="bullet"/>
      <w:lvlText w:val="•"/>
      <w:lvlJc w:val="left"/>
      <w:pPr>
        <w:ind w:left="473" w:hanging="217"/>
      </w:pPr>
      <w:rPr>
        <w:rFonts w:hint="default"/>
        <w:lang w:val="en-GB" w:eastAsia="en-GB" w:bidi="en-GB"/>
      </w:rPr>
    </w:lvl>
    <w:lvl w:ilvl="2" w:tplc="43CC5C2E">
      <w:numFmt w:val="bullet"/>
      <w:lvlText w:val="•"/>
      <w:lvlJc w:val="left"/>
      <w:pPr>
        <w:ind w:left="646" w:hanging="217"/>
      </w:pPr>
      <w:rPr>
        <w:rFonts w:hint="default"/>
        <w:lang w:val="en-GB" w:eastAsia="en-GB" w:bidi="en-GB"/>
      </w:rPr>
    </w:lvl>
    <w:lvl w:ilvl="3" w:tplc="D17C193C">
      <w:numFmt w:val="bullet"/>
      <w:lvlText w:val="•"/>
      <w:lvlJc w:val="left"/>
      <w:pPr>
        <w:ind w:left="819" w:hanging="217"/>
      </w:pPr>
      <w:rPr>
        <w:rFonts w:hint="default"/>
        <w:lang w:val="en-GB" w:eastAsia="en-GB" w:bidi="en-GB"/>
      </w:rPr>
    </w:lvl>
    <w:lvl w:ilvl="4" w:tplc="94E45B5C">
      <w:numFmt w:val="bullet"/>
      <w:lvlText w:val="•"/>
      <w:lvlJc w:val="left"/>
      <w:pPr>
        <w:ind w:left="992" w:hanging="217"/>
      </w:pPr>
      <w:rPr>
        <w:rFonts w:hint="default"/>
        <w:lang w:val="en-GB" w:eastAsia="en-GB" w:bidi="en-GB"/>
      </w:rPr>
    </w:lvl>
    <w:lvl w:ilvl="5" w:tplc="5BC60D16">
      <w:numFmt w:val="bullet"/>
      <w:lvlText w:val="•"/>
      <w:lvlJc w:val="left"/>
      <w:pPr>
        <w:ind w:left="1165" w:hanging="217"/>
      </w:pPr>
      <w:rPr>
        <w:rFonts w:hint="default"/>
        <w:lang w:val="en-GB" w:eastAsia="en-GB" w:bidi="en-GB"/>
      </w:rPr>
    </w:lvl>
    <w:lvl w:ilvl="6" w:tplc="5EC408E0">
      <w:numFmt w:val="bullet"/>
      <w:lvlText w:val="•"/>
      <w:lvlJc w:val="left"/>
      <w:pPr>
        <w:ind w:left="1338" w:hanging="217"/>
      </w:pPr>
      <w:rPr>
        <w:rFonts w:hint="default"/>
        <w:lang w:val="en-GB" w:eastAsia="en-GB" w:bidi="en-GB"/>
      </w:rPr>
    </w:lvl>
    <w:lvl w:ilvl="7" w:tplc="F08A99D8">
      <w:numFmt w:val="bullet"/>
      <w:lvlText w:val="•"/>
      <w:lvlJc w:val="left"/>
      <w:pPr>
        <w:ind w:left="1511" w:hanging="217"/>
      </w:pPr>
      <w:rPr>
        <w:rFonts w:hint="default"/>
        <w:lang w:val="en-GB" w:eastAsia="en-GB" w:bidi="en-GB"/>
      </w:rPr>
    </w:lvl>
    <w:lvl w:ilvl="8" w:tplc="8144B09E">
      <w:numFmt w:val="bullet"/>
      <w:lvlText w:val="•"/>
      <w:lvlJc w:val="left"/>
      <w:pPr>
        <w:ind w:left="1684" w:hanging="217"/>
      </w:pPr>
      <w:rPr>
        <w:rFonts w:hint="default"/>
        <w:lang w:val="en-GB" w:eastAsia="en-GB" w:bidi="en-GB"/>
      </w:rPr>
    </w:lvl>
  </w:abstractNum>
  <w:abstractNum w:abstractNumId="1098" w15:restartNumberingAfterBreak="0">
    <w:nsid w:val="642E0976"/>
    <w:multiLevelType w:val="hybridMultilevel"/>
    <w:tmpl w:val="255E050A"/>
    <w:lvl w:ilvl="0" w:tplc="AE1E3C0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C1C124C">
      <w:numFmt w:val="bullet"/>
      <w:lvlText w:val="•"/>
      <w:lvlJc w:val="left"/>
      <w:pPr>
        <w:ind w:left="439" w:hanging="217"/>
      </w:pPr>
      <w:rPr>
        <w:rFonts w:hint="default"/>
        <w:lang w:val="en-GB" w:eastAsia="en-GB" w:bidi="en-GB"/>
      </w:rPr>
    </w:lvl>
    <w:lvl w:ilvl="2" w:tplc="4C0610D2">
      <w:numFmt w:val="bullet"/>
      <w:lvlText w:val="•"/>
      <w:lvlJc w:val="left"/>
      <w:pPr>
        <w:ind w:left="578" w:hanging="217"/>
      </w:pPr>
      <w:rPr>
        <w:rFonts w:hint="default"/>
        <w:lang w:val="en-GB" w:eastAsia="en-GB" w:bidi="en-GB"/>
      </w:rPr>
    </w:lvl>
    <w:lvl w:ilvl="3" w:tplc="B6CA0DA4">
      <w:numFmt w:val="bullet"/>
      <w:lvlText w:val="•"/>
      <w:lvlJc w:val="left"/>
      <w:pPr>
        <w:ind w:left="717" w:hanging="217"/>
      </w:pPr>
      <w:rPr>
        <w:rFonts w:hint="default"/>
        <w:lang w:val="en-GB" w:eastAsia="en-GB" w:bidi="en-GB"/>
      </w:rPr>
    </w:lvl>
    <w:lvl w:ilvl="4" w:tplc="D26E6346">
      <w:numFmt w:val="bullet"/>
      <w:lvlText w:val="•"/>
      <w:lvlJc w:val="left"/>
      <w:pPr>
        <w:ind w:left="856" w:hanging="217"/>
      </w:pPr>
      <w:rPr>
        <w:rFonts w:hint="default"/>
        <w:lang w:val="en-GB" w:eastAsia="en-GB" w:bidi="en-GB"/>
      </w:rPr>
    </w:lvl>
    <w:lvl w:ilvl="5" w:tplc="FD72811C">
      <w:numFmt w:val="bullet"/>
      <w:lvlText w:val="•"/>
      <w:lvlJc w:val="left"/>
      <w:pPr>
        <w:ind w:left="995" w:hanging="217"/>
      </w:pPr>
      <w:rPr>
        <w:rFonts w:hint="default"/>
        <w:lang w:val="en-GB" w:eastAsia="en-GB" w:bidi="en-GB"/>
      </w:rPr>
    </w:lvl>
    <w:lvl w:ilvl="6" w:tplc="B0C89E3E">
      <w:numFmt w:val="bullet"/>
      <w:lvlText w:val="•"/>
      <w:lvlJc w:val="left"/>
      <w:pPr>
        <w:ind w:left="1134" w:hanging="217"/>
      </w:pPr>
      <w:rPr>
        <w:rFonts w:hint="default"/>
        <w:lang w:val="en-GB" w:eastAsia="en-GB" w:bidi="en-GB"/>
      </w:rPr>
    </w:lvl>
    <w:lvl w:ilvl="7" w:tplc="4C26DD14">
      <w:numFmt w:val="bullet"/>
      <w:lvlText w:val="•"/>
      <w:lvlJc w:val="left"/>
      <w:pPr>
        <w:ind w:left="1273" w:hanging="217"/>
      </w:pPr>
      <w:rPr>
        <w:rFonts w:hint="default"/>
        <w:lang w:val="en-GB" w:eastAsia="en-GB" w:bidi="en-GB"/>
      </w:rPr>
    </w:lvl>
    <w:lvl w:ilvl="8" w:tplc="CEBCB876">
      <w:numFmt w:val="bullet"/>
      <w:lvlText w:val="•"/>
      <w:lvlJc w:val="left"/>
      <w:pPr>
        <w:ind w:left="1412" w:hanging="217"/>
      </w:pPr>
      <w:rPr>
        <w:rFonts w:hint="default"/>
        <w:lang w:val="en-GB" w:eastAsia="en-GB" w:bidi="en-GB"/>
      </w:rPr>
    </w:lvl>
  </w:abstractNum>
  <w:abstractNum w:abstractNumId="1099" w15:restartNumberingAfterBreak="0">
    <w:nsid w:val="643B738C"/>
    <w:multiLevelType w:val="hybridMultilevel"/>
    <w:tmpl w:val="336C162C"/>
    <w:lvl w:ilvl="0" w:tplc="1366A3CE">
      <w:numFmt w:val="bullet"/>
      <w:lvlText w:val="•"/>
      <w:lvlJc w:val="left"/>
      <w:pPr>
        <w:ind w:left="276" w:hanging="217"/>
      </w:pPr>
      <w:rPr>
        <w:rFonts w:ascii="Arial" w:eastAsia="Arial" w:hAnsi="Arial" w:cs="Arial" w:hint="default"/>
        <w:color w:val="231F20"/>
        <w:w w:val="97"/>
        <w:sz w:val="16"/>
        <w:szCs w:val="16"/>
        <w:lang w:val="en-GB" w:eastAsia="en-GB" w:bidi="en-GB"/>
      </w:rPr>
    </w:lvl>
    <w:lvl w:ilvl="1" w:tplc="BC605864">
      <w:numFmt w:val="bullet"/>
      <w:lvlText w:val="•"/>
      <w:lvlJc w:val="left"/>
      <w:pPr>
        <w:ind w:left="381" w:hanging="217"/>
      </w:pPr>
      <w:rPr>
        <w:rFonts w:hint="default"/>
        <w:lang w:val="en-GB" w:eastAsia="en-GB" w:bidi="en-GB"/>
      </w:rPr>
    </w:lvl>
    <w:lvl w:ilvl="2" w:tplc="46941322">
      <w:numFmt w:val="bullet"/>
      <w:lvlText w:val="•"/>
      <w:lvlJc w:val="left"/>
      <w:pPr>
        <w:ind w:left="482" w:hanging="217"/>
      </w:pPr>
      <w:rPr>
        <w:rFonts w:hint="default"/>
        <w:lang w:val="en-GB" w:eastAsia="en-GB" w:bidi="en-GB"/>
      </w:rPr>
    </w:lvl>
    <w:lvl w:ilvl="3" w:tplc="82D21AD6">
      <w:numFmt w:val="bullet"/>
      <w:lvlText w:val="•"/>
      <w:lvlJc w:val="left"/>
      <w:pPr>
        <w:ind w:left="584" w:hanging="217"/>
      </w:pPr>
      <w:rPr>
        <w:rFonts w:hint="default"/>
        <w:lang w:val="en-GB" w:eastAsia="en-GB" w:bidi="en-GB"/>
      </w:rPr>
    </w:lvl>
    <w:lvl w:ilvl="4" w:tplc="D27EEC76">
      <w:numFmt w:val="bullet"/>
      <w:lvlText w:val="•"/>
      <w:lvlJc w:val="left"/>
      <w:pPr>
        <w:ind w:left="685" w:hanging="217"/>
      </w:pPr>
      <w:rPr>
        <w:rFonts w:hint="default"/>
        <w:lang w:val="en-GB" w:eastAsia="en-GB" w:bidi="en-GB"/>
      </w:rPr>
    </w:lvl>
    <w:lvl w:ilvl="5" w:tplc="F5BCD862">
      <w:numFmt w:val="bullet"/>
      <w:lvlText w:val="•"/>
      <w:lvlJc w:val="left"/>
      <w:pPr>
        <w:ind w:left="787" w:hanging="217"/>
      </w:pPr>
      <w:rPr>
        <w:rFonts w:hint="default"/>
        <w:lang w:val="en-GB" w:eastAsia="en-GB" w:bidi="en-GB"/>
      </w:rPr>
    </w:lvl>
    <w:lvl w:ilvl="6" w:tplc="E8523670">
      <w:numFmt w:val="bullet"/>
      <w:lvlText w:val="•"/>
      <w:lvlJc w:val="left"/>
      <w:pPr>
        <w:ind w:left="888" w:hanging="217"/>
      </w:pPr>
      <w:rPr>
        <w:rFonts w:hint="default"/>
        <w:lang w:val="en-GB" w:eastAsia="en-GB" w:bidi="en-GB"/>
      </w:rPr>
    </w:lvl>
    <w:lvl w:ilvl="7" w:tplc="B324041C">
      <w:numFmt w:val="bullet"/>
      <w:lvlText w:val="•"/>
      <w:lvlJc w:val="left"/>
      <w:pPr>
        <w:ind w:left="989" w:hanging="217"/>
      </w:pPr>
      <w:rPr>
        <w:rFonts w:hint="default"/>
        <w:lang w:val="en-GB" w:eastAsia="en-GB" w:bidi="en-GB"/>
      </w:rPr>
    </w:lvl>
    <w:lvl w:ilvl="8" w:tplc="1C80D8D6">
      <w:numFmt w:val="bullet"/>
      <w:lvlText w:val="•"/>
      <w:lvlJc w:val="left"/>
      <w:pPr>
        <w:ind w:left="1091" w:hanging="217"/>
      </w:pPr>
      <w:rPr>
        <w:rFonts w:hint="default"/>
        <w:lang w:val="en-GB" w:eastAsia="en-GB" w:bidi="en-GB"/>
      </w:rPr>
    </w:lvl>
  </w:abstractNum>
  <w:abstractNum w:abstractNumId="1100" w15:restartNumberingAfterBreak="0">
    <w:nsid w:val="643C1043"/>
    <w:multiLevelType w:val="hybridMultilevel"/>
    <w:tmpl w:val="F80A45DE"/>
    <w:lvl w:ilvl="0" w:tplc="E3AE5084">
      <w:numFmt w:val="bullet"/>
      <w:lvlText w:val="•"/>
      <w:lvlJc w:val="left"/>
      <w:pPr>
        <w:ind w:left="303" w:hanging="217"/>
      </w:pPr>
      <w:rPr>
        <w:rFonts w:ascii="Arial" w:eastAsia="Arial" w:hAnsi="Arial" w:cs="Arial" w:hint="default"/>
        <w:color w:val="231F20"/>
        <w:w w:val="102"/>
        <w:sz w:val="17"/>
        <w:szCs w:val="17"/>
        <w:lang w:val="en-GB" w:eastAsia="en-GB" w:bidi="en-GB"/>
      </w:rPr>
    </w:lvl>
    <w:lvl w:ilvl="1" w:tplc="7124D546">
      <w:numFmt w:val="bullet"/>
      <w:lvlText w:val="•"/>
      <w:lvlJc w:val="left"/>
      <w:pPr>
        <w:ind w:left="439" w:hanging="217"/>
      </w:pPr>
      <w:rPr>
        <w:rFonts w:hint="default"/>
        <w:lang w:val="en-GB" w:eastAsia="en-GB" w:bidi="en-GB"/>
      </w:rPr>
    </w:lvl>
    <w:lvl w:ilvl="2" w:tplc="783E6928">
      <w:numFmt w:val="bullet"/>
      <w:lvlText w:val="•"/>
      <w:lvlJc w:val="left"/>
      <w:pPr>
        <w:ind w:left="578" w:hanging="217"/>
      </w:pPr>
      <w:rPr>
        <w:rFonts w:hint="default"/>
        <w:lang w:val="en-GB" w:eastAsia="en-GB" w:bidi="en-GB"/>
      </w:rPr>
    </w:lvl>
    <w:lvl w:ilvl="3" w:tplc="B39E2FD6">
      <w:numFmt w:val="bullet"/>
      <w:lvlText w:val="•"/>
      <w:lvlJc w:val="left"/>
      <w:pPr>
        <w:ind w:left="717" w:hanging="217"/>
      </w:pPr>
      <w:rPr>
        <w:rFonts w:hint="default"/>
        <w:lang w:val="en-GB" w:eastAsia="en-GB" w:bidi="en-GB"/>
      </w:rPr>
    </w:lvl>
    <w:lvl w:ilvl="4" w:tplc="AA8C51D0">
      <w:numFmt w:val="bullet"/>
      <w:lvlText w:val="•"/>
      <w:lvlJc w:val="left"/>
      <w:pPr>
        <w:ind w:left="856" w:hanging="217"/>
      </w:pPr>
      <w:rPr>
        <w:rFonts w:hint="default"/>
        <w:lang w:val="en-GB" w:eastAsia="en-GB" w:bidi="en-GB"/>
      </w:rPr>
    </w:lvl>
    <w:lvl w:ilvl="5" w:tplc="FE98BE18">
      <w:numFmt w:val="bullet"/>
      <w:lvlText w:val="•"/>
      <w:lvlJc w:val="left"/>
      <w:pPr>
        <w:ind w:left="995" w:hanging="217"/>
      </w:pPr>
      <w:rPr>
        <w:rFonts w:hint="default"/>
        <w:lang w:val="en-GB" w:eastAsia="en-GB" w:bidi="en-GB"/>
      </w:rPr>
    </w:lvl>
    <w:lvl w:ilvl="6" w:tplc="3DE6F222">
      <w:numFmt w:val="bullet"/>
      <w:lvlText w:val="•"/>
      <w:lvlJc w:val="left"/>
      <w:pPr>
        <w:ind w:left="1134" w:hanging="217"/>
      </w:pPr>
      <w:rPr>
        <w:rFonts w:hint="default"/>
        <w:lang w:val="en-GB" w:eastAsia="en-GB" w:bidi="en-GB"/>
      </w:rPr>
    </w:lvl>
    <w:lvl w:ilvl="7" w:tplc="A09AE270">
      <w:numFmt w:val="bullet"/>
      <w:lvlText w:val="•"/>
      <w:lvlJc w:val="left"/>
      <w:pPr>
        <w:ind w:left="1273" w:hanging="217"/>
      </w:pPr>
      <w:rPr>
        <w:rFonts w:hint="default"/>
        <w:lang w:val="en-GB" w:eastAsia="en-GB" w:bidi="en-GB"/>
      </w:rPr>
    </w:lvl>
    <w:lvl w:ilvl="8" w:tplc="850EE096">
      <w:numFmt w:val="bullet"/>
      <w:lvlText w:val="•"/>
      <w:lvlJc w:val="left"/>
      <w:pPr>
        <w:ind w:left="1412" w:hanging="217"/>
      </w:pPr>
      <w:rPr>
        <w:rFonts w:hint="default"/>
        <w:lang w:val="en-GB" w:eastAsia="en-GB" w:bidi="en-GB"/>
      </w:rPr>
    </w:lvl>
  </w:abstractNum>
  <w:abstractNum w:abstractNumId="1101" w15:restartNumberingAfterBreak="0">
    <w:nsid w:val="6459768B"/>
    <w:multiLevelType w:val="hybridMultilevel"/>
    <w:tmpl w:val="F7E80B9A"/>
    <w:lvl w:ilvl="0" w:tplc="80944608">
      <w:numFmt w:val="bullet"/>
      <w:lvlText w:val="•"/>
      <w:lvlJc w:val="left"/>
      <w:pPr>
        <w:ind w:left="300" w:hanging="217"/>
      </w:pPr>
      <w:rPr>
        <w:rFonts w:ascii="Arial" w:eastAsia="Arial" w:hAnsi="Arial" w:cs="Arial" w:hint="default"/>
        <w:color w:val="231F20"/>
        <w:spacing w:val="-1"/>
        <w:w w:val="100"/>
        <w:sz w:val="18"/>
        <w:szCs w:val="18"/>
        <w:lang w:val="en-GB" w:eastAsia="en-GB" w:bidi="en-GB"/>
      </w:rPr>
    </w:lvl>
    <w:lvl w:ilvl="1" w:tplc="FFA63B3E">
      <w:numFmt w:val="bullet"/>
      <w:lvlText w:val="•"/>
      <w:lvlJc w:val="left"/>
      <w:pPr>
        <w:ind w:left="529" w:hanging="217"/>
      </w:pPr>
      <w:rPr>
        <w:rFonts w:hint="default"/>
        <w:lang w:val="en-GB" w:eastAsia="en-GB" w:bidi="en-GB"/>
      </w:rPr>
    </w:lvl>
    <w:lvl w:ilvl="2" w:tplc="07C0B718">
      <w:numFmt w:val="bullet"/>
      <w:lvlText w:val="•"/>
      <w:lvlJc w:val="left"/>
      <w:pPr>
        <w:ind w:left="759" w:hanging="217"/>
      </w:pPr>
      <w:rPr>
        <w:rFonts w:hint="default"/>
        <w:lang w:val="en-GB" w:eastAsia="en-GB" w:bidi="en-GB"/>
      </w:rPr>
    </w:lvl>
    <w:lvl w:ilvl="3" w:tplc="C8B44002">
      <w:numFmt w:val="bullet"/>
      <w:lvlText w:val="•"/>
      <w:lvlJc w:val="left"/>
      <w:pPr>
        <w:ind w:left="989" w:hanging="217"/>
      </w:pPr>
      <w:rPr>
        <w:rFonts w:hint="default"/>
        <w:lang w:val="en-GB" w:eastAsia="en-GB" w:bidi="en-GB"/>
      </w:rPr>
    </w:lvl>
    <w:lvl w:ilvl="4" w:tplc="18E200E2">
      <w:numFmt w:val="bullet"/>
      <w:lvlText w:val="•"/>
      <w:lvlJc w:val="left"/>
      <w:pPr>
        <w:ind w:left="1219" w:hanging="217"/>
      </w:pPr>
      <w:rPr>
        <w:rFonts w:hint="default"/>
        <w:lang w:val="en-GB" w:eastAsia="en-GB" w:bidi="en-GB"/>
      </w:rPr>
    </w:lvl>
    <w:lvl w:ilvl="5" w:tplc="1B107A08">
      <w:numFmt w:val="bullet"/>
      <w:lvlText w:val="•"/>
      <w:lvlJc w:val="left"/>
      <w:pPr>
        <w:ind w:left="1449" w:hanging="217"/>
      </w:pPr>
      <w:rPr>
        <w:rFonts w:hint="default"/>
        <w:lang w:val="en-GB" w:eastAsia="en-GB" w:bidi="en-GB"/>
      </w:rPr>
    </w:lvl>
    <w:lvl w:ilvl="6" w:tplc="0F4E9988">
      <w:numFmt w:val="bullet"/>
      <w:lvlText w:val="•"/>
      <w:lvlJc w:val="left"/>
      <w:pPr>
        <w:ind w:left="1678" w:hanging="217"/>
      </w:pPr>
      <w:rPr>
        <w:rFonts w:hint="default"/>
        <w:lang w:val="en-GB" w:eastAsia="en-GB" w:bidi="en-GB"/>
      </w:rPr>
    </w:lvl>
    <w:lvl w:ilvl="7" w:tplc="78C6C36A">
      <w:numFmt w:val="bullet"/>
      <w:lvlText w:val="•"/>
      <w:lvlJc w:val="left"/>
      <w:pPr>
        <w:ind w:left="1908" w:hanging="217"/>
      </w:pPr>
      <w:rPr>
        <w:rFonts w:hint="default"/>
        <w:lang w:val="en-GB" w:eastAsia="en-GB" w:bidi="en-GB"/>
      </w:rPr>
    </w:lvl>
    <w:lvl w:ilvl="8" w:tplc="3FD64A3A">
      <w:numFmt w:val="bullet"/>
      <w:lvlText w:val="•"/>
      <w:lvlJc w:val="left"/>
      <w:pPr>
        <w:ind w:left="2138" w:hanging="217"/>
      </w:pPr>
      <w:rPr>
        <w:rFonts w:hint="default"/>
        <w:lang w:val="en-GB" w:eastAsia="en-GB" w:bidi="en-GB"/>
      </w:rPr>
    </w:lvl>
  </w:abstractNum>
  <w:abstractNum w:abstractNumId="1102" w15:restartNumberingAfterBreak="0">
    <w:nsid w:val="648D4B82"/>
    <w:multiLevelType w:val="hybridMultilevel"/>
    <w:tmpl w:val="F06E4F3A"/>
    <w:lvl w:ilvl="0" w:tplc="B568C9BA">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87F2BCDE">
      <w:numFmt w:val="bullet"/>
      <w:lvlText w:val="•"/>
      <w:lvlJc w:val="left"/>
      <w:pPr>
        <w:ind w:left="1348" w:hanging="114"/>
      </w:pPr>
      <w:rPr>
        <w:rFonts w:hint="default"/>
        <w:lang w:val="en-GB" w:eastAsia="en-GB" w:bidi="en-GB"/>
      </w:rPr>
    </w:lvl>
    <w:lvl w:ilvl="2" w:tplc="4240195E">
      <w:numFmt w:val="bullet"/>
      <w:lvlText w:val="•"/>
      <w:lvlJc w:val="left"/>
      <w:pPr>
        <w:ind w:left="2377" w:hanging="114"/>
      </w:pPr>
      <w:rPr>
        <w:rFonts w:hint="default"/>
        <w:lang w:val="en-GB" w:eastAsia="en-GB" w:bidi="en-GB"/>
      </w:rPr>
    </w:lvl>
    <w:lvl w:ilvl="3" w:tplc="998C1092">
      <w:numFmt w:val="bullet"/>
      <w:lvlText w:val="•"/>
      <w:lvlJc w:val="left"/>
      <w:pPr>
        <w:ind w:left="3405" w:hanging="114"/>
      </w:pPr>
      <w:rPr>
        <w:rFonts w:hint="default"/>
        <w:lang w:val="en-GB" w:eastAsia="en-GB" w:bidi="en-GB"/>
      </w:rPr>
    </w:lvl>
    <w:lvl w:ilvl="4" w:tplc="19F095E4">
      <w:numFmt w:val="bullet"/>
      <w:lvlText w:val="•"/>
      <w:lvlJc w:val="left"/>
      <w:pPr>
        <w:ind w:left="4434" w:hanging="114"/>
      </w:pPr>
      <w:rPr>
        <w:rFonts w:hint="default"/>
        <w:lang w:val="en-GB" w:eastAsia="en-GB" w:bidi="en-GB"/>
      </w:rPr>
    </w:lvl>
    <w:lvl w:ilvl="5" w:tplc="E678141A">
      <w:numFmt w:val="bullet"/>
      <w:lvlText w:val="•"/>
      <w:lvlJc w:val="left"/>
      <w:pPr>
        <w:ind w:left="5462" w:hanging="114"/>
      </w:pPr>
      <w:rPr>
        <w:rFonts w:hint="default"/>
        <w:lang w:val="en-GB" w:eastAsia="en-GB" w:bidi="en-GB"/>
      </w:rPr>
    </w:lvl>
    <w:lvl w:ilvl="6" w:tplc="8FE6004C">
      <w:numFmt w:val="bullet"/>
      <w:lvlText w:val="•"/>
      <w:lvlJc w:val="left"/>
      <w:pPr>
        <w:ind w:left="6491" w:hanging="114"/>
      </w:pPr>
      <w:rPr>
        <w:rFonts w:hint="default"/>
        <w:lang w:val="en-GB" w:eastAsia="en-GB" w:bidi="en-GB"/>
      </w:rPr>
    </w:lvl>
    <w:lvl w:ilvl="7" w:tplc="D5420260">
      <w:numFmt w:val="bullet"/>
      <w:lvlText w:val="•"/>
      <w:lvlJc w:val="left"/>
      <w:pPr>
        <w:ind w:left="7519" w:hanging="114"/>
      </w:pPr>
      <w:rPr>
        <w:rFonts w:hint="default"/>
        <w:lang w:val="en-GB" w:eastAsia="en-GB" w:bidi="en-GB"/>
      </w:rPr>
    </w:lvl>
    <w:lvl w:ilvl="8" w:tplc="68AE72A8">
      <w:numFmt w:val="bullet"/>
      <w:lvlText w:val="•"/>
      <w:lvlJc w:val="left"/>
      <w:pPr>
        <w:ind w:left="8548" w:hanging="114"/>
      </w:pPr>
      <w:rPr>
        <w:rFonts w:hint="default"/>
        <w:lang w:val="en-GB" w:eastAsia="en-GB" w:bidi="en-GB"/>
      </w:rPr>
    </w:lvl>
  </w:abstractNum>
  <w:abstractNum w:abstractNumId="1103" w15:restartNumberingAfterBreak="0">
    <w:nsid w:val="64C35995"/>
    <w:multiLevelType w:val="hybridMultilevel"/>
    <w:tmpl w:val="E0B0551E"/>
    <w:lvl w:ilvl="0" w:tplc="E266FB7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BAAF3D0">
      <w:numFmt w:val="bullet"/>
      <w:lvlText w:val="•"/>
      <w:lvlJc w:val="left"/>
      <w:pPr>
        <w:ind w:left="473" w:hanging="217"/>
      </w:pPr>
      <w:rPr>
        <w:rFonts w:hint="default"/>
        <w:lang w:val="en-GB" w:eastAsia="en-GB" w:bidi="en-GB"/>
      </w:rPr>
    </w:lvl>
    <w:lvl w:ilvl="2" w:tplc="F8CE798A">
      <w:numFmt w:val="bullet"/>
      <w:lvlText w:val="•"/>
      <w:lvlJc w:val="left"/>
      <w:pPr>
        <w:ind w:left="646" w:hanging="217"/>
      </w:pPr>
      <w:rPr>
        <w:rFonts w:hint="default"/>
        <w:lang w:val="en-GB" w:eastAsia="en-GB" w:bidi="en-GB"/>
      </w:rPr>
    </w:lvl>
    <w:lvl w:ilvl="3" w:tplc="132CFC18">
      <w:numFmt w:val="bullet"/>
      <w:lvlText w:val="•"/>
      <w:lvlJc w:val="left"/>
      <w:pPr>
        <w:ind w:left="819" w:hanging="217"/>
      </w:pPr>
      <w:rPr>
        <w:rFonts w:hint="default"/>
        <w:lang w:val="en-GB" w:eastAsia="en-GB" w:bidi="en-GB"/>
      </w:rPr>
    </w:lvl>
    <w:lvl w:ilvl="4" w:tplc="D082B5DA">
      <w:numFmt w:val="bullet"/>
      <w:lvlText w:val="•"/>
      <w:lvlJc w:val="left"/>
      <w:pPr>
        <w:ind w:left="992" w:hanging="217"/>
      </w:pPr>
      <w:rPr>
        <w:rFonts w:hint="default"/>
        <w:lang w:val="en-GB" w:eastAsia="en-GB" w:bidi="en-GB"/>
      </w:rPr>
    </w:lvl>
    <w:lvl w:ilvl="5" w:tplc="E36090C0">
      <w:numFmt w:val="bullet"/>
      <w:lvlText w:val="•"/>
      <w:lvlJc w:val="left"/>
      <w:pPr>
        <w:ind w:left="1165" w:hanging="217"/>
      </w:pPr>
      <w:rPr>
        <w:rFonts w:hint="default"/>
        <w:lang w:val="en-GB" w:eastAsia="en-GB" w:bidi="en-GB"/>
      </w:rPr>
    </w:lvl>
    <w:lvl w:ilvl="6" w:tplc="C2C2045C">
      <w:numFmt w:val="bullet"/>
      <w:lvlText w:val="•"/>
      <w:lvlJc w:val="left"/>
      <w:pPr>
        <w:ind w:left="1338" w:hanging="217"/>
      </w:pPr>
      <w:rPr>
        <w:rFonts w:hint="default"/>
        <w:lang w:val="en-GB" w:eastAsia="en-GB" w:bidi="en-GB"/>
      </w:rPr>
    </w:lvl>
    <w:lvl w:ilvl="7" w:tplc="98ACA94E">
      <w:numFmt w:val="bullet"/>
      <w:lvlText w:val="•"/>
      <w:lvlJc w:val="left"/>
      <w:pPr>
        <w:ind w:left="1511" w:hanging="217"/>
      </w:pPr>
      <w:rPr>
        <w:rFonts w:hint="default"/>
        <w:lang w:val="en-GB" w:eastAsia="en-GB" w:bidi="en-GB"/>
      </w:rPr>
    </w:lvl>
    <w:lvl w:ilvl="8" w:tplc="C870EB80">
      <w:numFmt w:val="bullet"/>
      <w:lvlText w:val="•"/>
      <w:lvlJc w:val="left"/>
      <w:pPr>
        <w:ind w:left="1684" w:hanging="217"/>
      </w:pPr>
      <w:rPr>
        <w:rFonts w:hint="default"/>
        <w:lang w:val="en-GB" w:eastAsia="en-GB" w:bidi="en-GB"/>
      </w:rPr>
    </w:lvl>
  </w:abstractNum>
  <w:abstractNum w:abstractNumId="1104" w15:restartNumberingAfterBreak="0">
    <w:nsid w:val="64D32CE2"/>
    <w:multiLevelType w:val="hybridMultilevel"/>
    <w:tmpl w:val="429E0272"/>
    <w:lvl w:ilvl="0" w:tplc="2C4E2FCC">
      <w:numFmt w:val="bullet"/>
      <w:lvlText w:val="•"/>
      <w:lvlJc w:val="left"/>
      <w:pPr>
        <w:ind w:left="3654" w:hanging="217"/>
      </w:pPr>
      <w:rPr>
        <w:rFonts w:ascii="Arial" w:eastAsia="Arial" w:hAnsi="Arial" w:cs="Arial" w:hint="default"/>
        <w:color w:val="231F20"/>
        <w:spacing w:val="-1"/>
        <w:w w:val="100"/>
        <w:sz w:val="18"/>
        <w:szCs w:val="18"/>
        <w:lang w:val="en-GB" w:eastAsia="en-GB" w:bidi="en-GB"/>
      </w:rPr>
    </w:lvl>
    <w:lvl w:ilvl="1" w:tplc="FC420E50">
      <w:numFmt w:val="bullet"/>
      <w:lvlText w:val="•"/>
      <w:lvlJc w:val="left"/>
      <w:pPr>
        <w:ind w:left="4109" w:hanging="217"/>
      </w:pPr>
      <w:rPr>
        <w:rFonts w:hint="default"/>
        <w:lang w:val="en-GB" w:eastAsia="en-GB" w:bidi="en-GB"/>
      </w:rPr>
    </w:lvl>
    <w:lvl w:ilvl="2" w:tplc="6F2A01BC">
      <w:numFmt w:val="bullet"/>
      <w:lvlText w:val="•"/>
      <w:lvlJc w:val="left"/>
      <w:pPr>
        <w:ind w:left="4558" w:hanging="217"/>
      </w:pPr>
      <w:rPr>
        <w:rFonts w:hint="default"/>
        <w:lang w:val="en-GB" w:eastAsia="en-GB" w:bidi="en-GB"/>
      </w:rPr>
    </w:lvl>
    <w:lvl w:ilvl="3" w:tplc="C722F80A">
      <w:numFmt w:val="bullet"/>
      <w:lvlText w:val="•"/>
      <w:lvlJc w:val="left"/>
      <w:pPr>
        <w:ind w:left="5008" w:hanging="217"/>
      </w:pPr>
      <w:rPr>
        <w:rFonts w:hint="default"/>
        <w:lang w:val="en-GB" w:eastAsia="en-GB" w:bidi="en-GB"/>
      </w:rPr>
    </w:lvl>
    <w:lvl w:ilvl="4" w:tplc="2D9AEFD0">
      <w:numFmt w:val="bullet"/>
      <w:lvlText w:val="•"/>
      <w:lvlJc w:val="left"/>
      <w:pPr>
        <w:ind w:left="5457" w:hanging="217"/>
      </w:pPr>
      <w:rPr>
        <w:rFonts w:hint="default"/>
        <w:lang w:val="en-GB" w:eastAsia="en-GB" w:bidi="en-GB"/>
      </w:rPr>
    </w:lvl>
    <w:lvl w:ilvl="5" w:tplc="9A285C50">
      <w:numFmt w:val="bullet"/>
      <w:lvlText w:val="•"/>
      <w:lvlJc w:val="left"/>
      <w:pPr>
        <w:ind w:left="5907" w:hanging="217"/>
      </w:pPr>
      <w:rPr>
        <w:rFonts w:hint="default"/>
        <w:lang w:val="en-GB" w:eastAsia="en-GB" w:bidi="en-GB"/>
      </w:rPr>
    </w:lvl>
    <w:lvl w:ilvl="6" w:tplc="CF28EB88">
      <w:numFmt w:val="bullet"/>
      <w:lvlText w:val="•"/>
      <w:lvlJc w:val="left"/>
      <w:pPr>
        <w:ind w:left="6356" w:hanging="217"/>
      </w:pPr>
      <w:rPr>
        <w:rFonts w:hint="default"/>
        <w:lang w:val="en-GB" w:eastAsia="en-GB" w:bidi="en-GB"/>
      </w:rPr>
    </w:lvl>
    <w:lvl w:ilvl="7" w:tplc="41CCC084">
      <w:numFmt w:val="bullet"/>
      <w:lvlText w:val="•"/>
      <w:lvlJc w:val="left"/>
      <w:pPr>
        <w:ind w:left="6805" w:hanging="217"/>
      </w:pPr>
      <w:rPr>
        <w:rFonts w:hint="default"/>
        <w:lang w:val="en-GB" w:eastAsia="en-GB" w:bidi="en-GB"/>
      </w:rPr>
    </w:lvl>
    <w:lvl w:ilvl="8" w:tplc="0C149CE6">
      <w:numFmt w:val="bullet"/>
      <w:lvlText w:val="•"/>
      <w:lvlJc w:val="left"/>
      <w:pPr>
        <w:ind w:left="7255" w:hanging="217"/>
      </w:pPr>
      <w:rPr>
        <w:rFonts w:hint="default"/>
        <w:lang w:val="en-GB" w:eastAsia="en-GB" w:bidi="en-GB"/>
      </w:rPr>
    </w:lvl>
  </w:abstractNum>
  <w:abstractNum w:abstractNumId="1105" w15:restartNumberingAfterBreak="0">
    <w:nsid w:val="64D87485"/>
    <w:multiLevelType w:val="hybridMultilevel"/>
    <w:tmpl w:val="B4526156"/>
    <w:lvl w:ilvl="0" w:tplc="BA4A3020">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AB9AAC0E">
      <w:numFmt w:val="bullet"/>
      <w:lvlText w:val="•"/>
      <w:lvlJc w:val="left"/>
      <w:pPr>
        <w:ind w:left="524" w:hanging="217"/>
      </w:pPr>
      <w:rPr>
        <w:rFonts w:hint="default"/>
        <w:lang w:val="en-GB" w:eastAsia="en-GB" w:bidi="en-GB"/>
      </w:rPr>
    </w:lvl>
    <w:lvl w:ilvl="2" w:tplc="2F764452">
      <w:numFmt w:val="bullet"/>
      <w:lvlText w:val="•"/>
      <w:lvlJc w:val="left"/>
      <w:pPr>
        <w:ind w:left="748" w:hanging="217"/>
      </w:pPr>
      <w:rPr>
        <w:rFonts w:hint="default"/>
        <w:lang w:val="en-GB" w:eastAsia="en-GB" w:bidi="en-GB"/>
      </w:rPr>
    </w:lvl>
    <w:lvl w:ilvl="3" w:tplc="76A89DDA">
      <w:numFmt w:val="bullet"/>
      <w:lvlText w:val="•"/>
      <w:lvlJc w:val="left"/>
      <w:pPr>
        <w:ind w:left="972" w:hanging="217"/>
      </w:pPr>
      <w:rPr>
        <w:rFonts w:hint="default"/>
        <w:lang w:val="en-GB" w:eastAsia="en-GB" w:bidi="en-GB"/>
      </w:rPr>
    </w:lvl>
    <w:lvl w:ilvl="4" w:tplc="3A8C784A">
      <w:numFmt w:val="bullet"/>
      <w:lvlText w:val="•"/>
      <w:lvlJc w:val="left"/>
      <w:pPr>
        <w:ind w:left="1196" w:hanging="217"/>
      </w:pPr>
      <w:rPr>
        <w:rFonts w:hint="default"/>
        <w:lang w:val="en-GB" w:eastAsia="en-GB" w:bidi="en-GB"/>
      </w:rPr>
    </w:lvl>
    <w:lvl w:ilvl="5" w:tplc="141CDECC">
      <w:numFmt w:val="bullet"/>
      <w:lvlText w:val="•"/>
      <w:lvlJc w:val="left"/>
      <w:pPr>
        <w:ind w:left="1420" w:hanging="217"/>
      </w:pPr>
      <w:rPr>
        <w:rFonts w:hint="default"/>
        <w:lang w:val="en-GB" w:eastAsia="en-GB" w:bidi="en-GB"/>
      </w:rPr>
    </w:lvl>
    <w:lvl w:ilvl="6" w:tplc="EC9819D6">
      <w:numFmt w:val="bullet"/>
      <w:lvlText w:val="•"/>
      <w:lvlJc w:val="left"/>
      <w:pPr>
        <w:ind w:left="1644" w:hanging="217"/>
      </w:pPr>
      <w:rPr>
        <w:rFonts w:hint="default"/>
        <w:lang w:val="en-GB" w:eastAsia="en-GB" w:bidi="en-GB"/>
      </w:rPr>
    </w:lvl>
    <w:lvl w:ilvl="7" w:tplc="67AA3B5A">
      <w:numFmt w:val="bullet"/>
      <w:lvlText w:val="•"/>
      <w:lvlJc w:val="left"/>
      <w:pPr>
        <w:ind w:left="1868" w:hanging="217"/>
      </w:pPr>
      <w:rPr>
        <w:rFonts w:hint="default"/>
        <w:lang w:val="en-GB" w:eastAsia="en-GB" w:bidi="en-GB"/>
      </w:rPr>
    </w:lvl>
    <w:lvl w:ilvl="8" w:tplc="652E09C2">
      <w:numFmt w:val="bullet"/>
      <w:lvlText w:val="•"/>
      <w:lvlJc w:val="left"/>
      <w:pPr>
        <w:ind w:left="2092" w:hanging="217"/>
      </w:pPr>
      <w:rPr>
        <w:rFonts w:hint="default"/>
        <w:lang w:val="en-GB" w:eastAsia="en-GB" w:bidi="en-GB"/>
      </w:rPr>
    </w:lvl>
  </w:abstractNum>
  <w:abstractNum w:abstractNumId="1106" w15:restartNumberingAfterBreak="0">
    <w:nsid w:val="64E55FD3"/>
    <w:multiLevelType w:val="hybridMultilevel"/>
    <w:tmpl w:val="EE6A062C"/>
    <w:lvl w:ilvl="0" w:tplc="27880F7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42A780E">
      <w:numFmt w:val="bullet"/>
      <w:lvlText w:val="•"/>
      <w:lvlJc w:val="left"/>
      <w:pPr>
        <w:ind w:left="892" w:hanging="217"/>
      </w:pPr>
      <w:rPr>
        <w:rFonts w:hint="default"/>
        <w:lang w:val="en-GB" w:eastAsia="en-GB" w:bidi="en-GB"/>
      </w:rPr>
    </w:lvl>
    <w:lvl w:ilvl="2" w:tplc="3E908354">
      <w:numFmt w:val="bullet"/>
      <w:lvlText w:val="•"/>
      <w:lvlJc w:val="left"/>
      <w:pPr>
        <w:ind w:left="1485" w:hanging="217"/>
      </w:pPr>
      <w:rPr>
        <w:rFonts w:hint="default"/>
        <w:lang w:val="en-GB" w:eastAsia="en-GB" w:bidi="en-GB"/>
      </w:rPr>
    </w:lvl>
    <w:lvl w:ilvl="3" w:tplc="8EA4B2CC">
      <w:numFmt w:val="bullet"/>
      <w:lvlText w:val="•"/>
      <w:lvlJc w:val="left"/>
      <w:pPr>
        <w:ind w:left="2077" w:hanging="217"/>
      </w:pPr>
      <w:rPr>
        <w:rFonts w:hint="default"/>
        <w:lang w:val="en-GB" w:eastAsia="en-GB" w:bidi="en-GB"/>
      </w:rPr>
    </w:lvl>
    <w:lvl w:ilvl="4" w:tplc="C3AAF382">
      <w:numFmt w:val="bullet"/>
      <w:lvlText w:val="•"/>
      <w:lvlJc w:val="left"/>
      <w:pPr>
        <w:ind w:left="2670" w:hanging="217"/>
      </w:pPr>
      <w:rPr>
        <w:rFonts w:hint="default"/>
        <w:lang w:val="en-GB" w:eastAsia="en-GB" w:bidi="en-GB"/>
      </w:rPr>
    </w:lvl>
    <w:lvl w:ilvl="5" w:tplc="4A26F858">
      <w:numFmt w:val="bullet"/>
      <w:lvlText w:val="•"/>
      <w:lvlJc w:val="left"/>
      <w:pPr>
        <w:ind w:left="3263" w:hanging="217"/>
      </w:pPr>
      <w:rPr>
        <w:rFonts w:hint="default"/>
        <w:lang w:val="en-GB" w:eastAsia="en-GB" w:bidi="en-GB"/>
      </w:rPr>
    </w:lvl>
    <w:lvl w:ilvl="6" w:tplc="D20238E0">
      <w:numFmt w:val="bullet"/>
      <w:lvlText w:val="•"/>
      <w:lvlJc w:val="left"/>
      <w:pPr>
        <w:ind w:left="3855" w:hanging="217"/>
      </w:pPr>
      <w:rPr>
        <w:rFonts w:hint="default"/>
        <w:lang w:val="en-GB" w:eastAsia="en-GB" w:bidi="en-GB"/>
      </w:rPr>
    </w:lvl>
    <w:lvl w:ilvl="7" w:tplc="5644C0CE">
      <w:numFmt w:val="bullet"/>
      <w:lvlText w:val="•"/>
      <w:lvlJc w:val="left"/>
      <w:pPr>
        <w:ind w:left="4448" w:hanging="217"/>
      </w:pPr>
      <w:rPr>
        <w:rFonts w:hint="default"/>
        <w:lang w:val="en-GB" w:eastAsia="en-GB" w:bidi="en-GB"/>
      </w:rPr>
    </w:lvl>
    <w:lvl w:ilvl="8" w:tplc="5790AED6">
      <w:numFmt w:val="bullet"/>
      <w:lvlText w:val="•"/>
      <w:lvlJc w:val="left"/>
      <w:pPr>
        <w:ind w:left="5040" w:hanging="217"/>
      </w:pPr>
      <w:rPr>
        <w:rFonts w:hint="default"/>
        <w:lang w:val="en-GB" w:eastAsia="en-GB" w:bidi="en-GB"/>
      </w:rPr>
    </w:lvl>
  </w:abstractNum>
  <w:abstractNum w:abstractNumId="1107" w15:restartNumberingAfterBreak="0">
    <w:nsid w:val="64F309FF"/>
    <w:multiLevelType w:val="hybridMultilevel"/>
    <w:tmpl w:val="4DDC8392"/>
    <w:lvl w:ilvl="0" w:tplc="F85A1B92">
      <w:numFmt w:val="bullet"/>
      <w:lvlText w:val="•"/>
      <w:lvlJc w:val="left"/>
      <w:pPr>
        <w:ind w:left="3534" w:hanging="217"/>
      </w:pPr>
      <w:rPr>
        <w:rFonts w:ascii="Arial" w:eastAsia="Arial" w:hAnsi="Arial" w:cs="Arial" w:hint="default"/>
        <w:color w:val="231F20"/>
        <w:spacing w:val="-7"/>
        <w:w w:val="100"/>
        <w:sz w:val="18"/>
        <w:szCs w:val="18"/>
        <w:lang w:val="en-GB" w:eastAsia="en-GB" w:bidi="en-GB"/>
      </w:rPr>
    </w:lvl>
    <w:lvl w:ilvl="1" w:tplc="07FE0DAC">
      <w:numFmt w:val="bullet"/>
      <w:lvlText w:val="•"/>
      <w:lvlJc w:val="left"/>
      <w:pPr>
        <w:ind w:left="4001" w:hanging="217"/>
      </w:pPr>
      <w:rPr>
        <w:rFonts w:hint="default"/>
        <w:lang w:val="en-GB" w:eastAsia="en-GB" w:bidi="en-GB"/>
      </w:rPr>
    </w:lvl>
    <w:lvl w:ilvl="2" w:tplc="03BCB2C6">
      <w:numFmt w:val="bullet"/>
      <w:lvlText w:val="•"/>
      <w:lvlJc w:val="left"/>
      <w:pPr>
        <w:ind w:left="4462" w:hanging="217"/>
      </w:pPr>
      <w:rPr>
        <w:rFonts w:hint="default"/>
        <w:lang w:val="en-GB" w:eastAsia="en-GB" w:bidi="en-GB"/>
      </w:rPr>
    </w:lvl>
    <w:lvl w:ilvl="3" w:tplc="FA924C3A">
      <w:numFmt w:val="bullet"/>
      <w:lvlText w:val="•"/>
      <w:lvlJc w:val="left"/>
      <w:pPr>
        <w:ind w:left="4924" w:hanging="217"/>
      </w:pPr>
      <w:rPr>
        <w:rFonts w:hint="default"/>
        <w:lang w:val="en-GB" w:eastAsia="en-GB" w:bidi="en-GB"/>
      </w:rPr>
    </w:lvl>
    <w:lvl w:ilvl="4" w:tplc="9F3EB18E">
      <w:numFmt w:val="bullet"/>
      <w:lvlText w:val="•"/>
      <w:lvlJc w:val="left"/>
      <w:pPr>
        <w:ind w:left="5385" w:hanging="217"/>
      </w:pPr>
      <w:rPr>
        <w:rFonts w:hint="default"/>
        <w:lang w:val="en-GB" w:eastAsia="en-GB" w:bidi="en-GB"/>
      </w:rPr>
    </w:lvl>
    <w:lvl w:ilvl="5" w:tplc="353830B2">
      <w:numFmt w:val="bullet"/>
      <w:lvlText w:val="•"/>
      <w:lvlJc w:val="left"/>
      <w:pPr>
        <w:ind w:left="5847" w:hanging="217"/>
      </w:pPr>
      <w:rPr>
        <w:rFonts w:hint="default"/>
        <w:lang w:val="en-GB" w:eastAsia="en-GB" w:bidi="en-GB"/>
      </w:rPr>
    </w:lvl>
    <w:lvl w:ilvl="6" w:tplc="7AE2A19C">
      <w:numFmt w:val="bullet"/>
      <w:lvlText w:val="•"/>
      <w:lvlJc w:val="left"/>
      <w:pPr>
        <w:ind w:left="6308" w:hanging="217"/>
      </w:pPr>
      <w:rPr>
        <w:rFonts w:hint="default"/>
        <w:lang w:val="en-GB" w:eastAsia="en-GB" w:bidi="en-GB"/>
      </w:rPr>
    </w:lvl>
    <w:lvl w:ilvl="7" w:tplc="89F2A76E">
      <w:numFmt w:val="bullet"/>
      <w:lvlText w:val="•"/>
      <w:lvlJc w:val="left"/>
      <w:pPr>
        <w:ind w:left="6769" w:hanging="217"/>
      </w:pPr>
      <w:rPr>
        <w:rFonts w:hint="default"/>
        <w:lang w:val="en-GB" w:eastAsia="en-GB" w:bidi="en-GB"/>
      </w:rPr>
    </w:lvl>
    <w:lvl w:ilvl="8" w:tplc="9EF21F90">
      <w:numFmt w:val="bullet"/>
      <w:lvlText w:val="•"/>
      <w:lvlJc w:val="left"/>
      <w:pPr>
        <w:ind w:left="7231" w:hanging="217"/>
      </w:pPr>
      <w:rPr>
        <w:rFonts w:hint="default"/>
        <w:lang w:val="en-GB" w:eastAsia="en-GB" w:bidi="en-GB"/>
      </w:rPr>
    </w:lvl>
  </w:abstractNum>
  <w:abstractNum w:abstractNumId="1108" w15:restartNumberingAfterBreak="0">
    <w:nsid w:val="64F8445D"/>
    <w:multiLevelType w:val="hybridMultilevel"/>
    <w:tmpl w:val="C99A919A"/>
    <w:lvl w:ilvl="0" w:tplc="2A3A690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AF109ECC">
      <w:numFmt w:val="bullet"/>
      <w:lvlText w:val="•"/>
      <w:lvlJc w:val="left"/>
      <w:pPr>
        <w:ind w:left="473" w:hanging="217"/>
      </w:pPr>
      <w:rPr>
        <w:rFonts w:hint="default"/>
        <w:lang w:val="en-GB" w:eastAsia="en-GB" w:bidi="en-GB"/>
      </w:rPr>
    </w:lvl>
    <w:lvl w:ilvl="2" w:tplc="9A5C30E4">
      <w:numFmt w:val="bullet"/>
      <w:lvlText w:val="•"/>
      <w:lvlJc w:val="left"/>
      <w:pPr>
        <w:ind w:left="646" w:hanging="217"/>
      </w:pPr>
      <w:rPr>
        <w:rFonts w:hint="default"/>
        <w:lang w:val="en-GB" w:eastAsia="en-GB" w:bidi="en-GB"/>
      </w:rPr>
    </w:lvl>
    <w:lvl w:ilvl="3" w:tplc="1C6E16F0">
      <w:numFmt w:val="bullet"/>
      <w:lvlText w:val="•"/>
      <w:lvlJc w:val="left"/>
      <w:pPr>
        <w:ind w:left="819" w:hanging="217"/>
      </w:pPr>
      <w:rPr>
        <w:rFonts w:hint="default"/>
        <w:lang w:val="en-GB" w:eastAsia="en-GB" w:bidi="en-GB"/>
      </w:rPr>
    </w:lvl>
    <w:lvl w:ilvl="4" w:tplc="69C8A714">
      <w:numFmt w:val="bullet"/>
      <w:lvlText w:val="•"/>
      <w:lvlJc w:val="left"/>
      <w:pPr>
        <w:ind w:left="992" w:hanging="217"/>
      </w:pPr>
      <w:rPr>
        <w:rFonts w:hint="default"/>
        <w:lang w:val="en-GB" w:eastAsia="en-GB" w:bidi="en-GB"/>
      </w:rPr>
    </w:lvl>
    <w:lvl w:ilvl="5" w:tplc="1A0EE3B6">
      <w:numFmt w:val="bullet"/>
      <w:lvlText w:val="•"/>
      <w:lvlJc w:val="left"/>
      <w:pPr>
        <w:ind w:left="1165" w:hanging="217"/>
      </w:pPr>
      <w:rPr>
        <w:rFonts w:hint="default"/>
        <w:lang w:val="en-GB" w:eastAsia="en-GB" w:bidi="en-GB"/>
      </w:rPr>
    </w:lvl>
    <w:lvl w:ilvl="6" w:tplc="469679D0">
      <w:numFmt w:val="bullet"/>
      <w:lvlText w:val="•"/>
      <w:lvlJc w:val="left"/>
      <w:pPr>
        <w:ind w:left="1338" w:hanging="217"/>
      </w:pPr>
      <w:rPr>
        <w:rFonts w:hint="default"/>
        <w:lang w:val="en-GB" w:eastAsia="en-GB" w:bidi="en-GB"/>
      </w:rPr>
    </w:lvl>
    <w:lvl w:ilvl="7" w:tplc="B3E01E9E">
      <w:numFmt w:val="bullet"/>
      <w:lvlText w:val="•"/>
      <w:lvlJc w:val="left"/>
      <w:pPr>
        <w:ind w:left="1511" w:hanging="217"/>
      </w:pPr>
      <w:rPr>
        <w:rFonts w:hint="default"/>
        <w:lang w:val="en-GB" w:eastAsia="en-GB" w:bidi="en-GB"/>
      </w:rPr>
    </w:lvl>
    <w:lvl w:ilvl="8" w:tplc="098CBBEE">
      <w:numFmt w:val="bullet"/>
      <w:lvlText w:val="•"/>
      <w:lvlJc w:val="left"/>
      <w:pPr>
        <w:ind w:left="1684" w:hanging="217"/>
      </w:pPr>
      <w:rPr>
        <w:rFonts w:hint="default"/>
        <w:lang w:val="en-GB" w:eastAsia="en-GB" w:bidi="en-GB"/>
      </w:rPr>
    </w:lvl>
  </w:abstractNum>
  <w:abstractNum w:abstractNumId="1109" w15:restartNumberingAfterBreak="0">
    <w:nsid w:val="65216FD2"/>
    <w:multiLevelType w:val="hybridMultilevel"/>
    <w:tmpl w:val="1D686EC6"/>
    <w:lvl w:ilvl="0" w:tplc="2A32480C">
      <w:numFmt w:val="bullet"/>
      <w:lvlText w:val="•"/>
      <w:lvlJc w:val="left"/>
      <w:pPr>
        <w:ind w:left="300" w:hanging="217"/>
      </w:pPr>
      <w:rPr>
        <w:rFonts w:ascii="Arial" w:eastAsia="Arial" w:hAnsi="Arial" w:cs="Arial" w:hint="default"/>
        <w:color w:val="231F20"/>
        <w:w w:val="102"/>
        <w:sz w:val="17"/>
        <w:szCs w:val="17"/>
        <w:lang w:val="en-GB" w:eastAsia="en-GB" w:bidi="en-GB"/>
      </w:rPr>
    </w:lvl>
    <w:lvl w:ilvl="1" w:tplc="45BA3C30">
      <w:numFmt w:val="bullet"/>
      <w:lvlText w:val="•"/>
      <w:lvlJc w:val="left"/>
      <w:pPr>
        <w:ind w:left="892" w:hanging="217"/>
      </w:pPr>
      <w:rPr>
        <w:rFonts w:hint="default"/>
        <w:lang w:val="en-GB" w:eastAsia="en-GB" w:bidi="en-GB"/>
      </w:rPr>
    </w:lvl>
    <w:lvl w:ilvl="2" w:tplc="82906004">
      <w:numFmt w:val="bullet"/>
      <w:lvlText w:val="•"/>
      <w:lvlJc w:val="left"/>
      <w:pPr>
        <w:ind w:left="1484" w:hanging="217"/>
      </w:pPr>
      <w:rPr>
        <w:rFonts w:hint="default"/>
        <w:lang w:val="en-GB" w:eastAsia="en-GB" w:bidi="en-GB"/>
      </w:rPr>
    </w:lvl>
    <w:lvl w:ilvl="3" w:tplc="D4BA64F8">
      <w:numFmt w:val="bullet"/>
      <w:lvlText w:val="•"/>
      <w:lvlJc w:val="left"/>
      <w:pPr>
        <w:ind w:left="2076" w:hanging="217"/>
      </w:pPr>
      <w:rPr>
        <w:rFonts w:hint="default"/>
        <w:lang w:val="en-GB" w:eastAsia="en-GB" w:bidi="en-GB"/>
      </w:rPr>
    </w:lvl>
    <w:lvl w:ilvl="4" w:tplc="EE5CE1CE">
      <w:numFmt w:val="bullet"/>
      <w:lvlText w:val="•"/>
      <w:lvlJc w:val="left"/>
      <w:pPr>
        <w:ind w:left="2668" w:hanging="217"/>
      </w:pPr>
      <w:rPr>
        <w:rFonts w:hint="default"/>
        <w:lang w:val="en-GB" w:eastAsia="en-GB" w:bidi="en-GB"/>
      </w:rPr>
    </w:lvl>
    <w:lvl w:ilvl="5" w:tplc="1FF2E838">
      <w:numFmt w:val="bullet"/>
      <w:lvlText w:val="•"/>
      <w:lvlJc w:val="left"/>
      <w:pPr>
        <w:ind w:left="3260" w:hanging="217"/>
      </w:pPr>
      <w:rPr>
        <w:rFonts w:hint="default"/>
        <w:lang w:val="en-GB" w:eastAsia="en-GB" w:bidi="en-GB"/>
      </w:rPr>
    </w:lvl>
    <w:lvl w:ilvl="6" w:tplc="352428C6">
      <w:numFmt w:val="bullet"/>
      <w:lvlText w:val="•"/>
      <w:lvlJc w:val="left"/>
      <w:pPr>
        <w:ind w:left="3852" w:hanging="217"/>
      </w:pPr>
      <w:rPr>
        <w:rFonts w:hint="default"/>
        <w:lang w:val="en-GB" w:eastAsia="en-GB" w:bidi="en-GB"/>
      </w:rPr>
    </w:lvl>
    <w:lvl w:ilvl="7" w:tplc="AB9E4DA2">
      <w:numFmt w:val="bullet"/>
      <w:lvlText w:val="•"/>
      <w:lvlJc w:val="left"/>
      <w:pPr>
        <w:ind w:left="4444" w:hanging="217"/>
      </w:pPr>
      <w:rPr>
        <w:rFonts w:hint="default"/>
        <w:lang w:val="en-GB" w:eastAsia="en-GB" w:bidi="en-GB"/>
      </w:rPr>
    </w:lvl>
    <w:lvl w:ilvl="8" w:tplc="8E4469A8">
      <w:numFmt w:val="bullet"/>
      <w:lvlText w:val="•"/>
      <w:lvlJc w:val="left"/>
      <w:pPr>
        <w:ind w:left="5036" w:hanging="217"/>
      </w:pPr>
      <w:rPr>
        <w:rFonts w:hint="default"/>
        <w:lang w:val="en-GB" w:eastAsia="en-GB" w:bidi="en-GB"/>
      </w:rPr>
    </w:lvl>
  </w:abstractNum>
  <w:abstractNum w:abstractNumId="1110" w15:restartNumberingAfterBreak="0">
    <w:nsid w:val="65263ECC"/>
    <w:multiLevelType w:val="hybridMultilevel"/>
    <w:tmpl w:val="8E942C80"/>
    <w:lvl w:ilvl="0" w:tplc="BA5A81A6">
      <w:numFmt w:val="bullet"/>
      <w:lvlText w:val="•"/>
      <w:lvlJc w:val="left"/>
      <w:pPr>
        <w:ind w:left="276" w:hanging="217"/>
      </w:pPr>
      <w:rPr>
        <w:rFonts w:ascii="Arial" w:eastAsia="Arial" w:hAnsi="Arial" w:cs="Arial" w:hint="default"/>
        <w:color w:val="231F20"/>
        <w:w w:val="97"/>
        <w:sz w:val="16"/>
        <w:szCs w:val="16"/>
        <w:lang w:val="en-GB" w:eastAsia="en-GB" w:bidi="en-GB"/>
      </w:rPr>
    </w:lvl>
    <w:lvl w:ilvl="1" w:tplc="1A82763A">
      <w:numFmt w:val="bullet"/>
      <w:lvlText w:val="•"/>
      <w:lvlJc w:val="left"/>
      <w:pPr>
        <w:ind w:left="381" w:hanging="217"/>
      </w:pPr>
      <w:rPr>
        <w:rFonts w:hint="default"/>
        <w:lang w:val="en-GB" w:eastAsia="en-GB" w:bidi="en-GB"/>
      </w:rPr>
    </w:lvl>
    <w:lvl w:ilvl="2" w:tplc="2FEA8452">
      <w:numFmt w:val="bullet"/>
      <w:lvlText w:val="•"/>
      <w:lvlJc w:val="left"/>
      <w:pPr>
        <w:ind w:left="482" w:hanging="217"/>
      </w:pPr>
      <w:rPr>
        <w:rFonts w:hint="default"/>
        <w:lang w:val="en-GB" w:eastAsia="en-GB" w:bidi="en-GB"/>
      </w:rPr>
    </w:lvl>
    <w:lvl w:ilvl="3" w:tplc="DE76EDC0">
      <w:numFmt w:val="bullet"/>
      <w:lvlText w:val="•"/>
      <w:lvlJc w:val="left"/>
      <w:pPr>
        <w:ind w:left="584" w:hanging="217"/>
      </w:pPr>
      <w:rPr>
        <w:rFonts w:hint="default"/>
        <w:lang w:val="en-GB" w:eastAsia="en-GB" w:bidi="en-GB"/>
      </w:rPr>
    </w:lvl>
    <w:lvl w:ilvl="4" w:tplc="A1E443FC">
      <w:numFmt w:val="bullet"/>
      <w:lvlText w:val="•"/>
      <w:lvlJc w:val="left"/>
      <w:pPr>
        <w:ind w:left="685" w:hanging="217"/>
      </w:pPr>
      <w:rPr>
        <w:rFonts w:hint="default"/>
        <w:lang w:val="en-GB" w:eastAsia="en-GB" w:bidi="en-GB"/>
      </w:rPr>
    </w:lvl>
    <w:lvl w:ilvl="5" w:tplc="712AEAC2">
      <w:numFmt w:val="bullet"/>
      <w:lvlText w:val="•"/>
      <w:lvlJc w:val="left"/>
      <w:pPr>
        <w:ind w:left="787" w:hanging="217"/>
      </w:pPr>
      <w:rPr>
        <w:rFonts w:hint="default"/>
        <w:lang w:val="en-GB" w:eastAsia="en-GB" w:bidi="en-GB"/>
      </w:rPr>
    </w:lvl>
    <w:lvl w:ilvl="6" w:tplc="C2C473FE">
      <w:numFmt w:val="bullet"/>
      <w:lvlText w:val="•"/>
      <w:lvlJc w:val="left"/>
      <w:pPr>
        <w:ind w:left="888" w:hanging="217"/>
      </w:pPr>
      <w:rPr>
        <w:rFonts w:hint="default"/>
        <w:lang w:val="en-GB" w:eastAsia="en-GB" w:bidi="en-GB"/>
      </w:rPr>
    </w:lvl>
    <w:lvl w:ilvl="7" w:tplc="5AEC7EA8">
      <w:numFmt w:val="bullet"/>
      <w:lvlText w:val="•"/>
      <w:lvlJc w:val="left"/>
      <w:pPr>
        <w:ind w:left="989" w:hanging="217"/>
      </w:pPr>
      <w:rPr>
        <w:rFonts w:hint="default"/>
        <w:lang w:val="en-GB" w:eastAsia="en-GB" w:bidi="en-GB"/>
      </w:rPr>
    </w:lvl>
    <w:lvl w:ilvl="8" w:tplc="87809BCA">
      <w:numFmt w:val="bullet"/>
      <w:lvlText w:val="•"/>
      <w:lvlJc w:val="left"/>
      <w:pPr>
        <w:ind w:left="1091" w:hanging="217"/>
      </w:pPr>
      <w:rPr>
        <w:rFonts w:hint="default"/>
        <w:lang w:val="en-GB" w:eastAsia="en-GB" w:bidi="en-GB"/>
      </w:rPr>
    </w:lvl>
  </w:abstractNum>
  <w:abstractNum w:abstractNumId="1111" w15:restartNumberingAfterBreak="0">
    <w:nsid w:val="653310B5"/>
    <w:multiLevelType w:val="hybridMultilevel"/>
    <w:tmpl w:val="21923CFA"/>
    <w:lvl w:ilvl="0" w:tplc="917E3A7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A9AC00C">
      <w:numFmt w:val="bullet"/>
      <w:lvlText w:val="•"/>
      <w:lvlJc w:val="left"/>
      <w:pPr>
        <w:ind w:left="473" w:hanging="217"/>
      </w:pPr>
      <w:rPr>
        <w:rFonts w:hint="default"/>
        <w:lang w:val="en-GB" w:eastAsia="en-GB" w:bidi="en-GB"/>
      </w:rPr>
    </w:lvl>
    <w:lvl w:ilvl="2" w:tplc="3F72605A">
      <w:numFmt w:val="bullet"/>
      <w:lvlText w:val="•"/>
      <w:lvlJc w:val="left"/>
      <w:pPr>
        <w:ind w:left="646" w:hanging="217"/>
      </w:pPr>
      <w:rPr>
        <w:rFonts w:hint="default"/>
        <w:lang w:val="en-GB" w:eastAsia="en-GB" w:bidi="en-GB"/>
      </w:rPr>
    </w:lvl>
    <w:lvl w:ilvl="3" w:tplc="B0FE9AD2">
      <w:numFmt w:val="bullet"/>
      <w:lvlText w:val="•"/>
      <w:lvlJc w:val="left"/>
      <w:pPr>
        <w:ind w:left="819" w:hanging="217"/>
      </w:pPr>
      <w:rPr>
        <w:rFonts w:hint="default"/>
        <w:lang w:val="en-GB" w:eastAsia="en-GB" w:bidi="en-GB"/>
      </w:rPr>
    </w:lvl>
    <w:lvl w:ilvl="4" w:tplc="13F4B896">
      <w:numFmt w:val="bullet"/>
      <w:lvlText w:val="•"/>
      <w:lvlJc w:val="left"/>
      <w:pPr>
        <w:ind w:left="992" w:hanging="217"/>
      </w:pPr>
      <w:rPr>
        <w:rFonts w:hint="default"/>
        <w:lang w:val="en-GB" w:eastAsia="en-GB" w:bidi="en-GB"/>
      </w:rPr>
    </w:lvl>
    <w:lvl w:ilvl="5" w:tplc="EDF0C4FC">
      <w:numFmt w:val="bullet"/>
      <w:lvlText w:val="•"/>
      <w:lvlJc w:val="left"/>
      <w:pPr>
        <w:ind w:left="1165" w:hanging="217"/>
      </w:pPr>
      <w:rPr>
        <w:rFonts w:hint="default"/>
        <w:lang w:val="en-GB" w:eastAsia="en-GB" w:bidi="en-GB"/>
      </w:rPr>
    </w:lvl>
    <w:lvl w:ilvl="6" w:tplc="6938EA2C">
      <w:numFmt w:val="bullet"/>
      <w:lvlText w:val="•"/>
      <w:lvlJc w:val="left"/>
      <w:pPr>
        <w:ind w:left="1338" w:hanging="217"/>
      </w:pPr>
      <w:rPr>
        <w:rFonts w:hint="default"/>
        <w:lang w:val="en-GB" w:eastAsia="en-GB" w:bidi="en-GB"/>
      </w:rPr>
    </w:lvl>
    <w:lvl w:ilvl="7" w:tplc="2B2CB786">
      <w:numFmt w:val="bullet"/>
      <w:lvlText w:val="•"/>
      <w:lvlJc w:val="left"/>
      <w:pPr>
        <w:ind w:left="1511" w:hanging="217"/>
      </w:pPr>
      <w:rPr>
        <w:rFonts w:hint="default"/>
        <w:lang w:val="en-GB" w:eastAsia="en-GB" w:bidi="en-GB"/>
      </w:rPr>
    </w:lvl>
    <w:lvl w:ilvl="8" w:tplc="3D64B2CA">
      <w:numFmt w:val="bullet"/>
      <w:lvlText w:val="•"/>
      <w:lvlJc w:val="left"/>
      <w:pPr>
        <w:ind w:left="1684" w:hanging="217"/>
      </w:pPr>
      <w:rPr>
        <w:rFonts w:hint="default"/>
        <w:lang w:val="en-GB" w:eastAsia="en-GB" w:bidi="en-GB"/>
      </w:rPr>
    </w:lvl>
  </w:abstractNum>
  <w:abstractNum w:abstractNumId="1112" w15:restartNumberingAfterBreak="0">
    <w:nsid w:val="6533232F"/>
    <w:multiLevelType w:val="hybridMultilevel"/>
    <w:tmpl w:val="EF32FC70"/>
    <w:lvl w:ilvl="0" w:tplc="F6B2CD6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50AFFA4">
      <w:numFmt w:val="bullet"/>
      <w:lvlText w:val="•"/>
      <w:lvlJc w:val="left"/>
      <w:pPr>
        <w:ind w:left="467" w:hanging="217"/>
      </w:pPr>
      <w:rPr>
        <w:rFonts w:hint="default"/>
        <w:lang w:val="en-GB" w:eastAsia="en-GB" w:bidi="en-GB"/>
      </w:rPr>
    </w:lvl>
    <w:lvl w:ilvl="2" w:tplc="F7BCB3BE">
      <w:numFmt w:val="bullet"/>
      <w:lvlText w:val="•"/>
      <w:lvlJc w:val="left"/>
      <w:pPr>
        <w:ind w:left="634" w:hanging="217"/>
      </w:pPr>
      <w:rPr>
        <w:rFonts w:hint="default"/>
        <w:lang w:val="en-GB" w:eastAsia="en-GB" w:bidi="en-GB"/>
      </w:rPr>
    </w:lvl>
    <w:lvl w:ilvl="3" w:tplc="021C29F0">
      <w:numFmt w:val="bullet"/>
      <w:lvlText w:val="•"/>
      <w:lvlJc w:val="left"/>
      <w:pPr>
        <w:ind w:left="802" w:hanging="217"/>
      </w:pPr>
      <w:rPr>
        <w:rFonts w:hint="default"/>
        <w:lang w:val="en-GB" w:eastAsia="en-GB" w:bidi="en-GB"/>
      </w:rPr>
    </w:lvl>
    <w:lvl w:ilvl="4" w:tplc="6B46CEB8">
      <w:numFmt w:val="bullet"/>
      <w:lvlText w:val="•"/>
      <w:lvlJc w:val="left"/>
      <w:pPr>
        <w:ind w:left="969" w:hanging="217"/>
      </w:pPr>
      <w:rPr>
        <w:rFonts w:hint="default"/>
        <w:lang w:val="en-GB" w:eastAsia="en-GB" w:bidi="en-GB"/>
      </w:rPr>
    </w:lvl>
    <w:lvl w:ilvl="5" w:tplc="22ACA4C2">
      <w:numFmt w:val="bullet"/>
      <w:lvlText w:val="•"/>
      <w:lvlJc w:val="left"/>
      <w:pPr>
        <w:ind w:left="1137" w:hanging="217"/>
      </w:pPr>
      <w:rPr>
        <w:rFonts w:hint="default"/>
        <w:lang w:val="en-GB" w:eastAsia="en-GB" w:bidi="en-GB"/>
      </w:rPr>
    </w:lvl>
    <w:lvl w:ilvl="6" w:tplc="13FC31C2">
      <w:numFmt w:val="bullet"/>
      <w:lvlText w:val="•"/>
      <w:lvlJc w:val="left"/>
      <w:pPr>
        <w:ind w:left="1304" w:hanging="217"/>
      </w:pPr>
      <w:rPr>
        <w:rFonts w:hint="default"/>
        <w:lang w:val="en-GB" w:eastAsia="en-GB" w:bidi="en-GB"/>
      </w:rPr>
    </w:lvl>
    <w:lvl w:ilvl="7" w:tplc="47C842A4">
      <w:numFmt w:val="bullet"/>
      <w:lvlText w:val="•"/>
      <w:lvlJc w:val="left"/>
      <w:pPr>
        <w:ind w:left="1471" w:hanging="217"/>
      </w:pPr>
      <w:rPr>
        <w:rFonts w:hint="default"/>
        <w:lang w:val="en-GB" w:eastAsia="en-GB" w:bidi="en-GB"/>
      </w:rPr>
    </w:lvl>
    <w:lvl w:ilvl="8" w:tplc="1840A40A">
      <w:numFmt w:val="bullet"/>
      <w:lvlText w:val="•"/>
      <w:lvlJc w:val="left"/>
      <w:pPr>
        <w:ind w:left="1639" w:hanging="217"/>
      </w:pPr>
      <w:rPr>
        <w:rFonts w:hint="default"/>
        <w:lang w:val="en-GB" w:eastAsia="en-GB" w:bidi="en-GB"/>
      </w:rPr>
    </w:lvl>
  </w:abstractNum>
  <w:abstractNum w:abstractNumId="1113" w15:restartNumberingAfterBreak="0">
    <w:nsid w:val="6548533D"/>
    <w:multiLevelType w:val="hybridMultilevel"/>
    <w:tmpl w:val="34B44884"/>
    <w:lvl w:ilvl="0" w:tplc="3FB8EBA2">
      <w:numFmt w:val="bullet"/>
      <w:lvlText w:val="•"/>
      <w:lvlJc w:val="left"/>
      <w:pPr>
        <w:ind w:left="306" w:hanging="217"/>
      </w:pPr>
      <w:rPr>
        <w:rFonts w:ascii="Arial" w:eastAsia="Arial" w:hAnsi="Arial" w:cs="Arial" w:hint="default"/>
        <w:color w:val="231F20"/>
        <w:spacing w:val="-1"/>
        <w:w w:val="100"/>
        <w:sz w:val="18"/>
        <w:szCs w:val="18"/>
        <w:lang w:val="en-GB" w:eastAsia="en-GB" w:bidi="en-GB"/>
      </w:rPr>
    </w:lvl>
    <w:lvl w:ilvl="1" w:tplc="51C0910E">
      <w:numFmt w:val="bullet"/>
      <w:lvlText w:val="•"/>
      <w:lvlJc w:val="left"/>
      <w:pPr>
        <w:ind w:left="444" w:hanging="217"/>
      </w:pPr>
      <w:rPr>
        <w:rFonts w:hint="default"/>
        <w:lang w:val="en-GB" w:eastAsia="en-GB" w:bidi="en-GB"/>
      </w:rPr>
    </w:lvl>
    <w:lvl w:ilvl="2" w:tplc="54828DDC">
      <w:numFmt w:val="bullet"/>
      <w:lvlText w:val="•"/>
      <w:lvlJc w:val="left"/>
      <w:pPr>
        <w:ind w:left="589" w:hanging="217"/>
      </w:pPr>
      <w:rPr>
        <w:rFonts w:hint="default"/>
        <w:lang w:val="en-GB" w:eastAsia="en-GB" w:bidi="en-GB"/>
      </w:rPr>
    </w:lvl>
    <w:lvl w:ilvl="3" w:tplc="D00E53E2">
      <w:numFmt w:val="bullet"/>
      <w:lvlText w:val="•"/>
      <w:lvlJc w:val="left"/>
      <w:pPr>
        <w:ind w:left="734" w:hanging="217"/>
      </w:pPr>
      <w:rPr>
        <w:rFonts w:hint="default"/>
        <w:lang w:val="en-GB" w:eastAsia="en-GB" w:bidi="en-GB"/>
      </w:rPr>
    </w:lvl>
    <w:lvl w:ilvl="4" w:tplc="67D4861A">
      <w:numFmt w:val="bullet"/>
      <w:lvlText w:val="•"/>
      <w:lvlJc w:val="left"/>
      <w:pPr>
        <w:ind w:left="878" w:hanging="217"/>
      </w:pPr>
      <w:rPr>
        <w:rFonts w:hint="default"/>
        <w:lang w:val="en-GB" w:eastAsia="en-GB" w:bidi="en-GB"/>
      </w:rPr>
    </w:lvl>
    <w:lvl w:ilvl="5" w:tplc="FA1C8A7A">
      <w:numFmt w:val="bullet"/>
      <w:lvlText w:val="•"/>
      <w:lvlJc w:val="left"/>
      <w:pPr>
        <w:ind w:left="1023" w:hanging="217"/>
      </w:pPr>
      <w:rPr>
        <w:rFonts w:hint="default"/>
        <w:lang w:val="en-GB" w:eastAsia="en-GB" w:bidi="en-GB"/>
      </w:rPr>
    </w:lvl>
    <w:lvl w:ilvl="6" w:tplc="0B9246D8">
      <w:numFmt w:val="bullet"/>
      <w:lvlText w:val="•"/>
      <w:lvlJc w:val="left"/>
      <w:pPr>
        <w:ind w:left="1168" w:hanging="217"/>
      </w:pPr>
      <w:rPr>
        <w:rFonts w:hint="default"/>
        <w:lang w:val="en-GB" w:eastAsia="en-GB" w:bidi="en-GB"/>
      </w:rPr>
    </w:lvl>
    <w:lvl w:ilvl="7" w:tplc="28466490">
      <w:numFmt w:val="bullet"/>
      <w:lvlText w:val="•"/>
      <w:lvlJc w:val="left"/>
      <w:pPr>
        <w:ind w:left="1312" w:hanging="217"/>
      </w:pPr>
      <w:rPr>
        <w:rFonts w:hint="default"/>
        <w:lang w:val="en-GB" w:eastAsia="en-GB" w:bidi="en-GB"/>
      </w:rPr>
    </w:lvl>
    <w:lvl w:ilvl="8" w:tplc="5ABE9714">
      <w:numFmt w:val="bullet"/>
      <w:lvlText w:val="•"/>
      <w:lvlJc w:val="left"/>
      <w:pPr>
        <w:ind w:left="1457" w:hanging="217"/>
      </w:pPr>
      <w:rPr>
        <w:rFonts w:hint="default"/>
        <w:lang w:val="en-GB" w:eastAsia="en-GB" w:bidi="en-GB"/>
      </w:rPr>
    </w:lvl>
  </w:abstractNum>
  <w:abstractNum w:abstractNumId="1114" w15:restartNumberingAfterBreak="0">
    <w:nsid w:val="6554038E"/>
    <w:multiLevelType w:val="hybridMultilevel"/>
    <w:tmpl w:val="3904A25A"/>
    <w:lvl w:ilvl="0" w:tplc="FE8255F8">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8416D7F6">
      <w:numFmt w:val="bullet"/>
      <w:lvlText w:val="•"/>
      <w:lvlJc w:val="left"/>
      <w:pPr>
        <w:ind w:left="473" w:hanging="217"/>
      </w:pPr>
      <w:rPr>
        <w:rFonts w:hint="default"/>
        <w:lang w:val="en-GB" w:eastAsia="en-GB" w:bidi="en-GB"/>
      </w:rPr>
    </w:lvl>
    <w:lvl w:ilvl="2" w:tplc="9CE21D14">
      <w:numFmt w:val="bullet"/>
      <w:lvlText w:val="•"/>
      <w:lvlJc w:val="left"/>
      <w:pPr>
        <w:ind w:left="646" w:hanging="217"/>
      </w:pPr>
      <w:rPr>
        <w:rFonts w:hint="default"/>
        <w:lang w:val="en-GB" w:eastAsia="en-GB" w:bidi="en-GB"/>
      </w:rPr>
    </w:lvl>
    <w:lvl w:ilvl="3" w:tplc="FA5A151A">
      <w:numFmt w:val="bullet"/>
      <w:lvlText w:val="•"/>
      <w:lvlJc w:val="left"/>
      <w:pPr>
        <w:ind w:left="819" w:hanging="217"/>
      </w:pPr>
      <w:rPr>
        <w:rFonts w:hint="default"/>
        <w:lang w:val="en-GB" w:eastAsia="en-GB" w:bidi="en-GB"/>
      </w:rPr>
    </w:lvl>
    <w:lvl w:ilvl="4" w:tplc="0D109D34">
      <w:numFmt w:val="bullet"/>
      <w:lvlText w:val="•"/>
      <w:lvlJc w:val="left"/>
      <w:pPr>
        <w:ind w:left="992" w:hanging="217"/>
      </w:pPr>
      <w:rPr>
        <w:rFonts w:hint="default"/>
        <w:lang w:val="en-GB" w:eastAsia="en-GB" w:bidi="en-GB"/>
      </w:rPr>
    </w:lvl>
    <w:lvl w:ilvl="5" w:tplc="73C6E088">
      <w:numFmt w:val="bullet"/>
      <w:lvlText w:val="•"/>
      <w:lvlJc w:val="left"/>
      <w:pPr>
        <w:ind w:left="1165" w:hanging="217"/>
      </w:pPr>
      <w:rPr>
        <w:rFonts w:hint="default"/>
        <w:lang w:val="en-GB" w:eastAsia="en-GB" w:bidi="en-GB"/>
      </w:rPr>
    </w:lvl>
    <w:lvl w:ilvl="6" w:tplc="7524778A">
      <w:numFmt w:val="bullet"/>
      <w:lvlText w:val="•"/>
      <w:lvlJc w:val="left"/>
      <w:pPr>
        <w:ind w:left="1338" w:hanging="217"/>
      </w:pPr>
      <w:rPr>
        <w:rFonts w:hint="default"/>
        <w:lang w:val="en-GB" w:eastAsia="en-GB" w:bidi="en-GB"/>
      </w:rPr>
    </w:lvl>
    <w:lvl w:ilvl="7" w:tplc="5EB24D80">
      <w:numFmt w:val="bullet"/>
      <w:lvlText w:val="•"/>
      <w:lvlJc w:val="left"/>
      <w:pPr>
        <w:ind w:left="1511" w:hanging="217"/>
      </w:pPr>
      <w:rPr>
        <w:rFonts w:hint="default"/>
        <w:lang w:val="en-GB" w:eastAsia="en-GB" w:bidi="en-GB"/>
      </w:rPr>
    </w:lvl>
    <w:lvl w:ilvl="8" w:tplc="A5122264">
      <w:numFmt w:val="bullet"/>
      <w:lvlText w:val="•"/>
      <w:lvlJc w:val="left"/>
      <w:pPr>
        <w:ind w:left="1684" w:hanging="217"/>
      </w:pPr>
      <w:rPr>
        <w:rFonts w:hint="default"/>
        <w:lang w:val="en-GB" w:eastAsia="en-GB" w:bidi="en-GB"/>
      </w:rPr>
    </w:lvl>
  </w:abstractNum>
  <w:abstractNum w:abstractNumId="1115" w15:restartNumberingAfterBreak="0">
    <w:nsid w:val="655A6F3C"/>
    <w:multiLevelType w:val="hybridMultilevel"/>
    <w:tmpl w:val="534278CC"/>
    <w:lvl w:ilvl="0" w:tplc="C1766B9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1690D072">
      <w:numFmt w:val="bullet"/>
      <w:lvlText w:val="•"/>
      <w:lvlJc w:val="left"/>
      <w:pPr>
        <w:ind w:left="473" w:hanging="217"/>
      </w:pPr>
      <w:rPr>
        <w:rFonts w:hint="default"/>
        <w:lang w:val="en-GB" w:eastAsia="en-GB" w:bidi="en-GB"/>
      </w:rPr>
    </w:lvl>
    <w:lvl w:ilvl="2" w:tplc="5C22EC08">
      <w:numFmt w:val="bullet"/>
      <w:lvlText w:val="•"/>
      <w:lvlJc w:val="left"/>
      <w:pPr>
        <w:ind w:left="646" w:hanging="217"/>
      </w:pPr>
      <w:rPr>
        <w:rFonts w:hint="default"/>
        <w:lang w:val="en-GB" w:eastAsia="en-GB" w:bidi="en-GB"/>
      </w:rPr>
    </w:lvl>
    <w:lvl w:ilvl="3" w:tplc="89A04FFC">
      <w:numFmt w:val="bullet"/>
      <w:lvlText w:val="•"/>
      <w:lvlJc w:val="left"/>
      <w:pPr>
        <w:ind w:left="819" w:hanging="217"/>
      </w:pPr>
      <w:rPr>
        <w:rFonts w:hint="default"/>
        <w:lang w:val="en-GB" w:eastAsia="en-GB" w:bidi="en-GB"/>
      </w:rPr>
    </w:lvl>
    <w:lvl w:ilvl="4" w:tplc="01462934">
      <w:numFmt w:val="bullet"/>
      <w:lvlText w:val="•"/>
      <w:lvlJc w:val="left"/>
      <w:pPr>
        <w:ind w:left="992" w:hanging="217"/>
      </w:pPr>
      <w:rPr>
        <w:rFonts w:hint="default"/>
        <w:lang w:val="en-GB" w:eastAsia="en-GB" w:bidi="en-GB"/>
      </w:rPr>
    </w:lvl>
    <w:lvl w:ilvl="5" w:tplc="F572D848">
      <w:numFmt w:val="bullet"/>
      <w:lvlText w:val="•"/>
      <w:lvlJc w:val="left"/>
      <w:pPr>
        <w:ind w:left="1165" w:hanging="217"/>
      </w:pPr>
      <w:rPr>
        <w:rFonts w:hint="default"/>
        <w:lang w:val="en-GB" w:eastAsia="en-GB" w:bidi="en-GB"/>
      </w:rPr>
    </w:lvl>
    <w:lvl w:ilvl="6" w:tplc="E1589692">
      <w:numFmt w:val="bullet"/>
      <w:lvlText w:val="•"/>
      <w:lvlJc w:val="left"/>
      <w:pPr>
        <w:ind w:left="1338" w:hanging="217"/>
      </w:pPr>
      <w:rPr>
        <w:rFonts w:hint="default"/>
        <w:lang w:val="en-GB" w:eastAsia="en-GB" w:bidi="en-GB"/>
      </w:rPr>
    </w:lvl>
    <w:lvl w:ilvl="7" w:tplc="C72675E8">
      <w:numFmt w:val="bullet"/>
      <w:lvlText w:val="•"/>
      <w:lvlJc w:val="left"/>
      <w:pPr>
        <w:ind w:left="1511" w:hanging="217"/>
      </w:pPr>
      <w:rPr>
        <w:rFonts w:hint="default"/>
        <w:lang w:val="en-GB" w:eastAsia="en-GB" w:bidi="en-GB"/>
      </w:rPr>
    </w:lvl>
    <w:lvl w:ilvl="8" w:tplc="C8D40B70">
      <w:numFmt w:val="bullet"/>
      <w:lvlText w:val="•"/>
      <w:lvlJc w:val="left"/>
      <w:pPr>
        <w:ind w:left="1684" w:hanging="217"/>
      </w:pPr>
      <w:rPr>
        <w:rFonts w:hint="default"/>
        <w:lang w:val="en-GB" w:eastAsia="en-GB" w:bidi="en-GB"/>
      </w:rPr>
    </w:lvl>
  </w:abstractNum>
  <w:abstractNum w:abstractNumId="1116" w15:restartNumberingAfterBreak="0">
    <w:nsid w:val="657B6ABA"/>
    <w:multiLevelType w:val="hybridMultilevel"/>
    <w:tmpl w:val="7B9ECA3A"/>
    <w:lvl w:ilvl="0" w:tplc="CB88CBEE">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13AC0386">
      <w:numFmt w:val="bullet"/>
      <w:lvlText w:val="•"/>
      <w:lvlJc w:val="left"/>
      <w:pPr>
        <w:ind w:left="1085" w:hanging="217"/>
      </w:pPr>
      <w:rPr>
        <w:rFonts w:hint="default"/>
        <w:lang w:val="en-GB" w:eastAsia="en-GB" w:bidi="en-GB"/>
      </w:rPr>
    </w:lvl>
    <w:lvl w:ilvl="2" w:tplc="809EAA7A">
      <w:numFmt w:val="bullet"/>
      <w:lvlText w:val="•"/>
      <w:lvlJc w:val="left"/>
      <w:pPr>
        <w:ind w:left="1870" w:hanging="217"/>
      </w:pPr>
      <w:rPr>
        <w:rFonts w:hint="default"/>
        <w:lang w:val="en-GB" w:eastAsia="en-GB" w:bidi="en-GB"/>
      </w:rPr>
    </w:lvl>
    <w:lvl w:ilvl="3" w:tplc="B4769982">
      <w:numFmt w:val="bullet"/>
      <w:lvlText w:val="•"/>
      <w:lvlJc w:val="left"/>
      <w:pPr>
        <w:ind w:left="2656" w:hanging="217"/>
      </w:pPr>
      <w:rPr>
        <w:rFonts w:hint="default"/>
        <w:lang w:val="en-GB" w:eastAsia="en-GB" w:bidi="en-GB"/>
      </w:rPr>
    </w:lvl>
    <w:lvl w:ilvl="4" w:tplc="908E2678">
      <w:numFmt w:val="bullet"/>
      <w:lvlText w:val="•"/>
      <w:lvlJc w:val="left"/>
      <w:pPr>
        <w:ind w:left="3441" w:hanging="217"/>
      </w:pPr>
      <w:rPr>
        <w:rFonts w:hint="default"/>
        <w:lang w:val="en-GB" w:eastAsia="en-GB" w:bidi="en-GB"/>
      </w:rPr>
    </w:lvl>
    <w:lvl w:ilvl="5" w:tplc="50F2C93E">
      <w:numFmt w:val="bullet"/>
      <w:lvlText w:val="•"/>
      <w:lvlJc w:val="left"/>
      <w:pPr>
        <w:ind w:left="4227" w:hanging="217"/>
      </w:pPr>
      <w:rPr>
        <w:rFonts w:hint="default"/>
        <w:lang w:val="en-GB" w:eastAsia="en-GB" w:bidi="en-GB"/>
      </w:rPr>
    </w:lvl>
    <w:lvl w:ilvl="6" w:tplc="0922A0D4">
      <w:numFmt w:val="bullet"/>
      <w:lvlText w:val="•"/>
      <w:lvlJc w:val="left"/>
      <w:pPr>
        <w:ind w:left="5012" w:hanging="217"/>
      </w:pPr>
      <w:rPr>
        <w:rFonts w:hint="default"/>
        <w:lang w:val="en-GB" w:eastAsia="en-GB" w:bidi="en-GB"/>
      </w:rPr>
    </w:lvl>
    <w:lvl w:ilvl="7" w:tplc="7B9A5BE2">
      <w:numFmt w:val="bullet"/>
      <w:lvlText w:val="•"/>
      <w:lvlJc w:val="left"/>
      <w:pPr>
        <w:ind w:left="5797" w:hanging="217"/>
      </w:pPr>
      <w:rPr>
        <w:rFonts w:hint="default"/>
        <w:lang w:val="en-GB" w:eastAsia="en-GB" w:bidi="en-GB"/>
      </w:rPr>
    </w:lvl>
    <w:lvl w:ilvl="8" w:tplc="5A9CAC7A">
      <w:numFmt w:val="bullet"/>
      <w:lvlText w:val="•"/>
      <w:lvlJc w:val="left"/>
      <w:pPr>
        <w:ind w:left="6583" w:hanging="217"/>
      </w:pPr>
      <w:rPr>
        <w:rFonts w:hint="default"/>
        <w:lang w:val="en-GB" w:eastAsia="en-GB" w:bidi="en-GB"/>
      </w:rPr>
    </w:lvl>
  </w:abstractNum>
  <w:abstractNum w:abstractNumId="1117" w15:restartNumberingAfterBreak="0">
    <w:nsid w:val="657F171D"/>
    <w:multiLevelType w:val="hybridMultilevel"/>
    <w:tmpl w:val="BB089852"/>
    <w:lvl w:ilvl="0" w:tplc="FDD8056A">
      <w:numFmt w:val="bullet"/>
      <w:lvlText w:val="•"/>
      <w:lvlJc w:val="left"/>
      <w:pPr>
        <w:ind w:left="299" w:hanging="217"/>
      </w:pPr>
      <w:rPr>
        <w:rFonts w:ascii="Arial" w:eastAsia="Arial" w:hAnsi="Arial" w:cs="Arial" w:hint="default"/>
        <w:color w:val="231F20"/>
        <w:spacing w:val="-3"/>
        <w:w w:val="100"/>
        <w:sz w:val="18"/>
        <w:szCs w:val="18"/>
        <w:lang w:val="en-GB" w:eastAsia="en-GB" w:bidi="en-GB"/>
      </w:rPr>
    </w:lvl>
    <w:lvl w:ilvl="1" w:tplc="FC642E56">
      <w:numFmt w:val="bullet"/>
      <w:lvlText w:val="•"/>
      <w:lvlJc w:val="left"/>
      <w:pPr>
        <w:ind w:left="473" w:hanging="217"/>
      </w:pPr>
      <w:rPr>
        <w:rFonts w:hint="default"/>
        <w:lang w:val="en-GB" w:eastAsia="en-GB" w:bidi="en-GB"/>
      </w:rPr>
    </w:lvl>
    <w:lvl w:ilvl="2" w:tplc="0CEC2C20">
      <w:numFmt w:val="bullet"/>
      <w:lvlText w:val="•"/>
      <w:lvlJc w:val="left"/>
      <w:pPr>
        <w:ind w:left="646" w:hanging="217"/>
      </w:pPr>
      <w:rPr>
        <w:rFonts w:hint="default"/>
        <w:lang w:val="en-GB" w:eastAsia="en-GB" w:bidi="en-GB"/>
      </w:rPr>
    </w:lvl>
    <w:lvl w:ilvl="3" w:tplc="0DF4AF10">
      <w:numFmt w:val="bullet"/>
      <w:lvlText w:val="•"/>
      <w:lvlJc w:val="left"/>
      <w:pPr>
        <w:ind w:left="819" w:hanging="217"/>
      </w:pPr>
      <w:rPr>
        <w:rFonts w:hint="default"/>
        <w:lang w:val="en-GB" w:eastAsia="en-GB" w:bidi="en-GB"/>
      </w:rPr>
    </w:lvl>
    <w:lvl w:ilvl="4" w:tplc="ADF4EE7A">
      <w:numFmt w:val="bullet"/>
      <w:lvlText w:val="•"/>
      <w:lvlJc w:val="left"/>
      <w:pPr>
        <w:ind w:left="992" w:hanging="217"/>
      </w:pPr>
      <w:rPr>
        <w:rFonts w:hint="default"/>
        <w:lang w:val="en-GB" w:eastAsia="en-GB" w:bidi="en-GB"/>
      </w:rPr>
    </w:lvl>
    <w:lvl w:ilvl="5" w:tplc="4F165148">
      <w:numFmt w:val="bullet"/>
      <w:lvlText w:val="•"/>
      <w:lvlJc w:val="left"/>
      <w:pPr>
        <w:ind w:left="1165" w:hanging="217"/>
      </w:pPr>
      <w:rPr>
        <w:rFonts w:hint="default"/>
        <w:lang w:val="en-GB" w:eastAsia="en-GB" w:bidi="en-GB"/>
      </w:rPr>
    </w:lvl>
    <w:lvl w:ilvl="6" w:tplc="D13EB83A">
      <w:numFmt w:val="bullet"/>
      <w:lvlText w:val="•"/>
      <w:lvlJc w:val="left"/>
      <w:pPr>
        <w:ind w:left="1338" w:hanging="217"/>
      </w:pPr>
      <w:rPr>
        <w:rFonts w:hint="default"/>
        <w:lang w:val="en-GB" w:eastAsia="en-GB" w:bidi="en-GB"/>
      </w:rPr>
    </w:lvl>
    <w:lvl w:ilvl="7" w:tplc="20B899FA">
      <w:numFmt w:val="bullet"/>
      <w:lvlText w:val="•"/>
      <w:lvlJc w:val="left"/>
      <w:pPr>
        <w:ind w:left="1511" w:hanging="217"/>
      </w:pPr>
      <w:rPr>
        <w:rFonts w:hint="default"/>
        <w:lang w:val="en-GB" w:eastAsia="en-GB" w:bidi="en-GB"/>
      </w:rPr>
    </w:lvl>
    <w:lvl w:ilvl="8" w:tplc="96DE3A5E">
      <w:numFmt w:val="bullet"/>
      <w:lvlText w:val="•"/>
      <w:lvlJc w:val="left"/>
      <w:pPr>
        <w:ind w:left="1684" w:hanging="217"/>
      </w:pPr>
      <w:rPr>
        <w:rFonts w:hint="default"/>
        <w:lang w:val="en-GB" w:eastAsia="en-GB" w:bidi="en-GB"/>
      </w:rPr>
    </w:lvl>
  </w:abstractNum>
  <w:abstractNum w:abstractNumId="1118" w15:restartNumberingAfterBreak="0">
    <w:nsid w:val="65897A03"/>
    <w:multiLevelType w:val="hybridMultilevel"/>
    <w:tmpl w:val="33C69F62"/>
    <w:lvl w:ilvl="0" w:tplc="124A22C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1FE35D6">
      <w:numFmt w:val="bullet"/>
      <w:lvlText w:val="•"/>
      <w:lvlJc w:val="left"/>
      <w:pPr>
        <w:ind w:left="1085" w:hanging="217"/>
      </w:pPr>
      <w:rPr>
        <w:rFonts w:hint="default"/>
        <w:lang w:val="en-GB" w:eastAsia="en-GB" w:bidi="en-GB"/>
      </w:rPr>
    </w:lvl>
    <w:lvl w:ilvl="2" w:tplc="E50EDA2E">
      <w:numFmt w:val="bullet"/>
      <w:lvlText w:val="•"/>
      <w:lvlJc w:val="left"/>
      <w:pPr>
        <w:ind w:left="1870" w:hanging="217"/>
      </w:pPr>
      <w:rPr>
        <w:rFonts w:hint="default"/>
        <w:lang w:val="en-GB" w:eastAsia="en-GB" w:bidi="en-GB"/>
      </w:rPr>
    </w:lvl>
    <w:lvl w:ilvl="3" w:tplc="AFD2AC78">
      <w:numFmt w:val="bullet"/>
      <w:lvlText w:val="•"/>
      <w:lvlJc w:val="left"/>
      <w:pPr>
        <w:ind w:left="2656" w:hanging="217"/>
      </w:pPr>
      <w:rPr>
        <w:rFonts w:hint="default"/>
        <w:lang w:val="en-GB" w:eastAsia="en-GB" w:bidi="en-GB"/>
      </w:rPr>
    </w:lvl>
    <w:lvl w:ilvl="4" w:tplc="F3F0D750">
      <w:numFmt w:val="bullet"/>
      <w:lvlText w:val="•"/>
      <w:lvlJc w:val="left"/>
      <w:pPr>
        <w:ind w:left="3441" w:hanging="217"/>
      </w:pPr>
      <w:rPr>
        <w:rFonts w:hint="default"/>
        <w:lang w:val="en-GB" w:eastAsia="en-GB" w:bidi="en-GB"/>
      </w:rPr>
    </w:lvl>
    <w:lvl w:ilvl="5" w:tplc="B4AEEBEE">
      <w:numFmt w:val="bullet"/>
      <w:lvlText w:val="•"/>
      <w:lvlJc w:val="left"/>
      <w:pPr>
        <w:ind w:left="4227" w:hanging="217"/>
      </w:pPr>
      <w:rPr>
        <w:rFonts w:hint="default"/>
        <w:lang w:val="en-GB" w:eastAsia="en-GB" w:bidi="en-GB"/>
      </w:rPr>
    </w:lvl>
    <w:lvl w:ilvl="6" w:tplc="C18234E8">
      <w:numFmt w:val="bullet"/>
      <w:lvlText w:val="•"/>
      <w:lvlJc w:val="left"/>
      <w:pPr>
        <w:ind w:left="5012" w:hanging="217"/>
      </w:pPr>
      <w:rPr>
        <w:rFonts w:hint="default"/>
        <w:lang w:val="en-GB" w:eastAsia="en-GB" w:bidi="en-GB"/>
      </w:rPr>
    </w:lvl>
    <w:lvl w:ilvl="7" w:tplc="2752DD06">
      <w:numFmt w:val="bullet"/>
      <w:lvlText w:val="•"/>
      <w:lvlJc w:val="left"/>
      <w:pPr>
        <w:ind w:left="5797" w:hanging="217"/>
      </w:pPr>
      <w:rPr>
        <w:rFonts w:hint="default"/>
        <w:lang w:val="en-GB" w:eastAsia="en-GB" w:bidi="en-GB"/>
      </w:rPr>
    </w:lvl>
    <w:lvl w:ilvl="8" w:tplc="C2B2D3A0">
      <w:numFmt w:val="bullet"/>
      <w:lvlText w:val="•"/>
      <w:lvlJc w:val="left"/>
      <w:pPr>
        <w:ind w:left="6583" w:hanging="217"/>
      </w:pPr>
      <w:rPr>
        <w:rFonts w:hint="default"/>
        <w:lang w:val="en-GB" w:eastAsia="en-GB" w:bidi="en-GB"/>
      </w:rPr>
    </w:lvl>
  </w:abstractNum>
  <w:abstractNum w:abstractNumId="1119" w15:restartNumberingAfterBreak="0">
    <w:nsid w:val="65AD7C4D"/>
    <w:multiLevelType w:val="hybridMultilevel"/>
    <w:tmpl w:val="BF6E6886"/>
    <w:lvl w:ilvl="0" w:tplc="45B0ECD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D09CAAF6">
      <w:numFmt w:val="bullet"/>
      <w:lvlText w:val="•"/>
      <w:lvlJc w:val="left"/>
      <w:pPr>
        <w:ind w:left="892" w:hanging="217"/>
      </w:pPr>
      <w:rPr>
        <w:rFonts w:hint="default"/>
        <w:lang w:val="en-GB" w:eastAsia="en-GB" w:bidi="en-GB"/>
      </w:rPr>
    </w:lvl>
    <w:lvl w:ilvl="2" w:tplc="3C6C7AAE">
      <w:numFmt w:val="bullet"/>
      <w:lvlText w:val="•"/>
      <w:lvlJc w:val="left"/>
      <w:pPr>
        <w:ind w:left="1485" w:hanging="217"/>
      </w:pPr>
      <w:rPr>
        <w:rFonts w:hint="default"/>
        <w:lang w:val="en-GB" w:eastAsia="en-GB" w:bidi="en-GB"/>
      </w:rPr>
    </w:lvl>
    <w:lvl w:ilvl="3" w:tplc="E20219C2">
      <w:numFmt w:val="bullet"/>
      <w:lvlText w:val="•"/>
      <w:lvlJc w:val="left"/>
      <w:pPr>
        <w:ind w:left="2077" w:hanging="217"/>
      </w:pPr>
      <w:rPr>
        <w:rFonts w:hint="default"/>
        <w:lang w:val="en-GB" w:eastAsia="en-GB" w:bidi="en-GB"/>
      </w:rPr>
    </w:lvl>
    <w:lvl w:ilvl="4" w:tplc="68C4A7BE">
      <w:numFmt w:val="bullet"/>
      <w:lvlText w:val="•"/>
      <w:lvlJc w:val="left"/>
      <w:pPr>
        <w:ind w:left="2670" w:hanging="217"/>
      </w:pPr>
      <w:rPr>
        <w:rFonts w:hint="default"/>
        <w:lang w:val="en-GB" w:eastAsia="en-GB" w:bidi="en-GB"/>
      </w:rPr>
    </w:lvl>
    <w:lvl w:ilvl="5" w:tplc="987EA088">
      <w:numFmt w:val="bullet"/>
      <w:lvlText w:val="•"/>
      <w:lvlJc w:val="left"/>
      <w:pPr>
        <w:ind w:left="3263" w:hanging="217"/>
      </w:pPr>
      <w:rPr>
        <w:rFonts w:hint="default"/>
        <w:lang w:val="en-GB" w:eastAsia="en-GB" w:bidi="en-GB"/>
      </w:rPr>
    </w:lvl>
    <w:lvl w:ilvl="6" w:tplc="250A67CE">
      <w:numFmt w:val="bullet"/>
      <w:lvlText w:val="•"/>
      <w:lvlJc w:val="left"/>
      <w:pPr>
        <w:ind w:left="3855" w:hanging="217"/>
      </w:pPr>
      <w:rPr>
        <w:rFonts w:hint="default"/>
        <w:lang w:val="en-GB" w:eastAsia="en-GB" w:bidi="en-GB"/>
      </w:rPr>
    </w:lvl>
    <w:lvl w:ilvl="7" w:tplc="B53A0614">
      <w:numFmt w:val="bullet"/>
      <w:lvlText w:val="•"/>
      <w:lvlJc w:val="left"/>
      <w:pPr>
        <w:ind w:left="4448" w:hanging="217"/>
      </w:pPr>
      <w:rPr>
        <w:rFonts w:hint="default"/>
        <w:lang w:val="en-GB" w:eastAsia="en-GB" w:bidi="en-GB"/>
      </w:rPr>
    </w:lvl>
    <w:lvl w:ilvl="8" w:tplc="757EEE82">
      <w:numFmt w:val="bullet"/>
      <w:lvlText w:val="•"/>
      <w:lvlJc w:val="left"/>
      <w:pPr>
        <w:ind w:left="5040" w:hanging="217"/>
      </w:pPr>
      <w:rPr>
        <w:rFonts w:hint="default"/>
        <w:lang w:val="en-GB" w:eastAsia="en-GB" w:bidi="en-GB"/>
      </w:rPr>
    </w:lvl>
  </w:abstractNum>
  <w:abstractNum w:abstractNumId="1120" w15:restartNumberingAfterBreak="0">
    <w:nsid w:val="65BE09D3"/>
    <w:multiLevelType w:val="hybridMultilevel"/>
    <w:tmpl w:val="05304598"/>
    <w:lvl w:ilvl="0" w:tplc="62EC59AE">
      <w:numFmt w:val="bullet"/>
      <w:lvlText w:val="•"/>
      <w:lvlJc w:val="left"/>
      <w:pPr>
        <w:ind w:left="305" w:hanging="217"/>
      </w:pPr>
      <w:rPr>
        <w:rFonts w:ascii="Arial" w:eastAsia="Arial" w:hAnsi="Arial" w:cs="Arial" w:hint="default"/>
        <w:color w:val="231F20"/>
        <w:w w:val="102"/>
        <w:sz w:val="17"/>
        <w:szCs w:val="17"/>
        <w:lang w:val="en-GB" w:eastAsia="en-GB" w:bidi="en-GB"/>
      </w:rPr>
    </w:lvl>
    <w:lvl w:ilvl="1" w:tplc="C79683A8">
      <w:numFmt w:val="bullet"/>
      <w:lvlText w:val="•"/>
      <w:lvlJc w:val="left"/>
      <w:pPr>
        <w:ind w:left="892" w:hanging="217"/>
      </w:pPr>
      <w:rPr>
        <w:rFonts w:hint="default"/>
        <w:lang w:val="en-GB" w:eastAsia="en-GB" w:bidi="en-GB"/>
      </w:rPr>
    </w:lvl>
    <w:lvl w:ilvl="2" w:tplc="299A677A">
      <w:numFmt w:val="bullet"/>
      <w:lvlText w:val="•"/>
      <w:lvlJc w:val="left"/>
      <w:pPr>
        <w:ind w:left="1485" w:hanging="217"/>
      </w:pPr>
      <w:rPr>
        <w:rFonts w:hint="default"/>
        <w:lang w:val="en-GB" w:eastAsia="en-GB" w:bidi="en-GB"/>
      </w:rPr>
    </w:lvl>
    <w:lvl w:ilvl="3" w:tplc="0BA070C2">
      <w:numFmt w:val="bullet"/>
      <w:lvlText w:val="•"/>
      <w:lvlJc w:val="left"/>
      <w:pPr>
        <w:ind w:left="2077" w:hanging="217"/>
      </w:pPr>
      <w:rPr>
        <w:rFonts w:hint="default"/>
        <w:lang w:val="en-GB" w:eastAsia="en-GB" w:bidi="en-GB"/>
      </w:rPr>
    </w:lvl>
    <w:lvl w:ilvl="4" w:tplc="30AC85B0">
      <w:numFmt w:val="bullet"/>
      <w:lvlText w:val="•"/>
      <w:lvlJc w:val="left"/>
      <w:pPr>
        <w:ind w:left="2670" w:hanging="217"/>
      </w:pPr>
      <w:rPr>
        <w:rFonts w:hint="default"/>
        <w:lang w:val="en-GB" w:eastAsia="en-GB" w:bidi="en-GB"/>
      </w:rPr>
    </w:lvl>
    <w:lvl w:ilvl="5" w:tplc="3F667F16">
      <w:numFmt w:val="bullet"/>
      <w:lvlText w:val="•"/>
      <w:lvlJc w:val="left"/>
      <w:pPr>
        <w:ind w:left="3263" w:hanging="217"/>
      </w:pPr>
      <w:rPr>
        <w:rFonts w:hint="default"/>
        <w:lang w:val="en-GB" w:eastAsia="en-GB" w:bidi="en-GB"/>
      </w:rPr>
    </w:lvl>
    <w:lvl w:ilvl="6" w:tplc="14B602AE">
      <w:numFmt w:val="bullet"/>
      <w:lvlText w:val="•"/>
      <w:lvlJc w:val="left"/>
      <w:pPr>
        <w:ind w:left="3855" w:hanging="217"/>
      </w:pPr>
      <w:rPr>
        <w:rFonts w:hint="default"/>
        <w:lang w:val="en-GB" w:eastAsia="en-GB" w:bidi="en-GB"/>
      </w:rPr>
    </w:lvl>
    <w:lvl w:ilvl="7" w:tplc="08E4617E">
      <w:numFmt w:val="bullet"/>
      <w:lvlText w:val="•"/>
      <w:lvlJc w:val="left"/>
      <w:pPr>
        <w:ind w:left="4448" w:hanging="217"/>
      </w:pPr>
      <w:rPr>
        <w:rFonts w:hint="default"/>
        <w:lang w:val="en-GB" w:eastAsia="en-GB" w:bidi="en-GB"/>
      </w:rPr>
    </w:lvl>
    <w:lvl w:ilvl="8" w:tplc="8A8C7CDA">
      <w:numFmt w:val="bullet"/>
      <w:lvlText w:val="•"/>
      <w:lvlJc w:val="left"/>
      <w:pPr>
        <w:ind w:left="5040" w:hanging="217"/>
      </w:pPr>
      <w:rPr>
        <w:rFonts w:hint="default"/>
        <w:lang w:val="en-GB" w:eastAsia="en-GB" w:bidi="en-GB"/>
      </w:rPr>
    </w:lvl>
  </w:abstractNum>
  <w:abstractNum w:abstractNumId="1121" w15:restartNumberingAfterBreak="0">
    <w:nsid w:val="65C33F70"/>
    <w:multiLevelType w:val="hybridMultilevel"/>
    <w:tmpl w:val="C1F6AA64"/>
    <w:lvl w:ilvl="0" w:tplc="4B64B65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AC44E4C">
      <w:numFmt w:val="bullet"/>
      <w:lvlText w:val="•"/>
      <w:lvlJc w:val="left"/>
      <w:pPr>
        <w:ind w:left="473" w:hanging="217"/>
      </w:pPr>
      <w:rPr>
        <w:rFonts w:hint="default"/>
        <w:lang w:val="en-GB" w:eastAsia="en-GB" w:bidi="en-GB"/>
      </w:rPr>
    </w:lvl>
    <w:lvl w:ilvl="2" w:tplc="26285394">
      <w:numFmt w:val="bullet"/>
      <w:lvlText w:val="•"/>
      <w:lvlJc w:val="left"/>
      <w:pPr>
        <w:ind w:left="646" w:hanging="217"/>
      </w:pPr>
      <w:rPr>
        <w:rFonts w:hint="default"/>
        <w:lang w:val="en-GB" w:eastAsia="en-GB" w:bidi="en-GB"/>
      </w:rPr>
    </w:lvl>
    <w:lvl w:ilvl="3" w:tplc="DDC2E4DC">
      <w:numFmt w:val="bullet"/>
      <w:lvlText w:val="•"/>
      <w:lvlJc w:val="left"/>
      <w:pPr>
        <w:ind w:left="819" w:hanging="217"/>
      </w:pPr>
      <w:rPr>
        <w:rFonts w:hint="default"/>
        <w:lang w:val="en-GB" w:eastAsia="en-GB" w:bidi="en-GB"/>
      </w:rPr>
    </w:lvl>
    <w:lvl w:ilvl="4" w:tplc="6FA6C290">
      <w:numFmt w:val="bullet"/>
      <w:lvlText w:val="•"/>
      <w:lvlJc w:val="left"/>
      <w:pPr>
        <w:ind w:left="992" w:hanging="217"/>
      </w:pPr>
      <w:rPr>
        <w:rFonts w:hint="default"/>
        <w:lang w:val="en-GB" w:eastAsia="en-GB" w:bidi="en-GB"/>
      </w:rPr>
    </w:lvl>
    <w:lvl w:ilvl="5" w:tplc="B2F8826C">
      <w:numFmt w:val="bullet"/>
      <w:lvlText w:val="•"/>
      <w:lvlJc w:val="left"/>
      <w:pPr>
        <w:ind w:left="1165" w:hanging="217"/>
      </w:pPr>
      <w:rPr>
        <w:rFonts w:hint="default"/>
        <w:lang w:val="en-GB" w:eastAsia="en-GB" w:bidi="en-GB"/>
      </w:rPr>
    </w:lvl>
    <w:lvl w:ilvl="6" w:tplc="1060B400">
      <w:numFmt w:val="bullet"/>
      <w:lvlText w:val="•"/>
      <w:lvlJc w:val="left"/>
      <w:pPr>
        <w:ind w:left="1338" w:hanging="217"/>
      </w:pPr>
      <w:rPr>
        <w:rFonts w:hint="default"/>
        <w:lang w:val="en-GB" w:eastAsia="en-GB" w:bidi="en-GB"/>
      </w:rPr>
    </w:lvl>
    <w:lvl w:ilvl="7" w:tplc="0380A2A2">
      <w:numFmt w:val="bullet"/>
      <w:lvlText w:val="•"/>
      <w:lvlJc w:val="left"/>
      <w:pPr>
        <w:ind w:left="1511" w:hanging="217"/>
      </w:pPr>
      <w:rPr>
        <w:rFonts w:hint="default"/>
        <w:lang w:val="en-GB" w:eastAsia="en-GB" w:bidi="en-GB"/>
      </w:rPr>
    </w:lvl>
    <w:lvl w:ilvl="8" w:tplc="A05E9D40">
      <w:numFmt w:val="bullet"/>
      <w:lvlText w:val="•"/>
      <w:lvlJc w:val="left"/>
      <w:pPr>
        <w:ind w:left="1684" w:hanging="217"/>
      </w:pPr>
      <w:rPr>
        <w:rFonts w:hint="default"/>
        <w:lang w:val="en-GB" w:eastAsia="en-GB" w:bidi="en-GB"/>
      </w:rPr>
    </w:lvl>
  </w:abstractNum>
  <w:abstractNum w:abstractNumId="1122" w15:restartNumberingAfterBreak="0">
    <w:nsid w:val="65DA283F"/>
    <w:multiLevelType w:val="hybridMultilevel"/>
    <w:tmpl w:val="8B5011F2"/>
    <w:lvl w:ilvl="0" w:tplc="F2F0A378">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B4686978">
      <w:numFmt w:val="bullet"/>
      <w:lvlText w:val="•"/>
      <w:lvlJc w:val="left"/>
      <w:pPr>
        <w:ind w:left="473" w:hanging="217"/>
      </w:pPr>
      <w:rPr>
        <w:rFonts w:hint="default"/>
        <w:lang w:val="en-GB" w:eastAsia="en-GB" w:bidi="en-GB"/>
      </w:rPr>
    </w:lvl>
    <w:lvl w:ilvl="2" w:tplc="B2807704">
      <w:numFmt w:val="bullet"/>
      <w:lvlText w:val="•"/>
      <w:lvlJc w:val="left"/>
      <w:pPr>
        <w:ind w:left="646" w:hanging="217"/>
      </w:pPr>
      <w:rPr>
        <w:rFonts w:hint="default"/>
        <w:lang w:val="en-GB" w:eastAsia="en-GB" w:bidi="en-GB"/>
      </w:rPr>
    </w:lvl>
    <w:lvl w:ilvl="3" w:tplc="7194D034">
      <w:numFmt w:val="bullet"/>
      <w:lvlText w:val="•"/>
      <w:lvlJc w:val="left"/>
      <w:pPr>
        <w:ind w:left="819" w:hanging="217"/>
      </w:pPr>
      <w:rPr>
        <w:rFonts w:hint="default"/>
        <w:lang w:val="en-GB" w:eastAsia="en-GB" w:bidi="en-GB"/>
      </w:rPr>
    </w:lvl>
    <w:lvl w:ilvl="4" w:tplc="189EDDEE">
      <w:numFmt w:val="bullet"/>
      <w:lvlText w:val="•"/>
      <w:lvlJc w:val="left"/>
      <w:pPr>
        <w:ind w:left="992" w:hanging="217"/>
      </w:pPr>
      <w:rPr>
        <w:rFonts w:hint="default"/>
        <w:lang w:val="en-GB" w:eastAsia="en-GB" w:bidi="en-GB"/>
      </w:rPr>
    </w:lvl>
    <w:lvl w:ilvl="5" w:tplc="A38489EA">
      <w:numFmt w:val="bullet"/>
      <w:lvlText w:val="•"/>
      <w:lvlJc w:val="left"/>
      <w:pPr>
        <w:ind w:left="1165" w:hanging="217"/>
      </w:pPr>
      <w:rPr>
        <w:rFonts w:hint="default"/>
        <w:lang w:val="en-GB" w:eastAsia="en-GB" w:bidi="en-GB"/>
      </w:rPr>
    </w:lvl>
    <w:lvl w:ilvl="6" w:tplc="78D4FEF8">
      <w:numFmt w:val="bullet"/>
      <w:lvlText w:val="•"/>
      <w:lvlJc w:val="left"/>
      <w:pPr>
        <w:ind w:left="1338" w:hanging="217"/>
      </w:pPr>
      <w:rPr>
        <w:rFonts w:hint="default"/>
        <w:lang w:val="en-GB" w:eastAsia="en-GB" w:bidi="en-GB"/>
      </w:rPr>
    </w:lvl>
    <w:lvl w:ilvl="7" w:tplc="34F29A54">
      <w:numFmt w:val="bullet"/>
      <w:lvlText w:val="•"/>
      <w:lvlJc w:val="left"/>
      <w:pPr>
        <w:ind w:left="1511" w:hanging="217"/>
      </w:pPr>
      <w:rPr>
        <w:rFonts w:hint="default"/>
        <w:lang w:val="en-GB" w:eastAsia="en-GB" w:bidi="en-GB"/>
      </w:rPr>
    </w:lvl>
    <w:lvl w:ilvl="8" w:tplc="1E1A171C">
      <w:numFmt w:val="bullet"/>
      <w:lvlText w:val="•"/>
      <w:lvlJc w:val="left"/>
      <w:pPr>
        <w:ind w:left="1684" w:hanging="217"/>
      </w:pPr>
      <w:rPr>
        <w:rFonts w:hint="default"/>
        <w:lang w:val="en-GB" w:eastAsia="en-GB" w:bidi="en-GB"/>
      </w:rPr>
    </w:lvl>
  </w:abstractNum>
  <w:abstractNum w:abstractNumId="1123" w15:restartNumberingAfterBreak="0">
    <w:nsid w:val="65EB2CEB"/>
    <w:multiLevelType w:val="hybridMultilevel"/>
    <w:tmpl w:val="D700BEE6"/>
    <w:lvl w:ilvl="0" w:tplc="19FAD8D0">
      <w:numFmt w:val="bullet"/>
      <w:lvlText w:val="•"/>
      <w:lvlJc w:val="left"/>
      <w:pPr>
        <w:ind w:left="303" w:hanging="217"/>
      </w:pPr>
      <w:rPr>
        <w:rFonts w:ascii="Arial" w:eastAsia="Arial" w:hAnsi="Arial" w:cs="Arial" w:hint="default"/>
        <w:color w:val="231F20"/>
        <w:w w:val="102"/>
        <w:sz w:val="17"/>
        <w:szCs w:val="17"/>
        <w:lang w:val="en-GB" w:eastAsia="en-GB" w:bidi="en-GB"/>
      </w:rPr>
    </w:lvl>
    <w:lvl w:ilvl="1" w:tplc="5EEE58EE">
      <w:numFmt w:val="bullet"/>
      <w:lvlText w:val="•"/>
      <w:lvlJc w:val="left"/>
      <w:pPr>
        <w:ind w:left="439" w:hanging="217"/>
      </w:pPr>
      <w:rPr>
        <w:rFonts w:hint="default"/>
        <w:lang w:val="en-GB" w:eastAsia="en-GB" w:bidi="en-GB"/>
      </w:rPr>
    </w:lvl>
    <w:lvl w:ilvl="2" w:tplc="FD8A5C1A">
      <w:numFmt w:val="bullet"/>
      <w:lvlText w:val="•"/>
      <w:lvlJc w:val="left"/>
      <w:pPr>
        <w:ind w:left="578" w:hanging="217"/>
      </w:pPr>
      <w:rPr>
        <w:rFonts w:hint="default"/>
        <w:lang w:val="en-GB" w:eastAsia="en-GB" w:bidi="en-GB"/>
      </w:rPr>
    </w:lvl>
    <w:lvl w:ilvl="3" w:tplc="DEDAF09A">
      <w:numFmt w:val="bullet"/>
      <w:lvlText w:val="•"/>
      <w:lvlJc w:val="left"/>
      <w:pPr>
        <w:ind w:left="717" w:hanging="217"/>
      </w:pPr>
      <w:rPr>
        <w:rFonts w:hint="default"/>
        <w:lang w:val="en-GB" w:eastAsia="en-GB" w:bidi="en-GB"/>
      </w:rPr>
    </w:lvl>
    <w:lvl w:ilvl="4" w:tplc="0004D226">
      <w:numFmt w:val="bullet"/>
      <w:lvlText w:val="•"/>
      <w:lvlJc w:val="left"/>
      <w:pPr>
        <w:ind w:left="856" w:hanging="217"/>
      </w:pPr>
      <w:rPr>
        <w:rFonts w:hint="default"/>
        <w:lang w:val="en-GB" w:eastAsia="en-GB" w:bidi="en-GB"/>
      </w:rPr>
    </w:lvl>
    <w:lvl w:ilvl="5" w:tplc="8CF88B82">
      <w:numFmt w:val="bullet"/>
      <w:lvlText w:val="•"/>
      <w:lvlJc w:val="left"/>
      <w:pPr>
        <w:ind w:left="995" w:hanging="217"/>
      </w:pPr>
      <w:rPr>
        <w:rFonts w:hint="default"/>
        <w:lang w:val="en-GB" w:eastAsia="en-GB" w:bidi="en-GB"/>
      </w:rPr>
    </w:lvl>
    <w:lvl w:ilvl="6" w:tplc="6E30AD74">
      <w:numFmt w:val="bullet"/>
      <w:lvlText w:val="•"/>
      <w:lvlJc w:val="left"/>
      <w:pPr>
        <w:ind w:left="1134" w:hanging="217"/>
      </w:pPr>
      <w:rPr>
        <w:rFonts w:hint="default"/>
        <w:lang w:val="en-GB" w:eastAsia="en-GB" w:bidi="en-GB"/>
      </w:rPr>
    </w:lvl>
    <w:lvl w:ilvl="7" w:tplc="EE9A302E">
      <w:numFmt w:val="bullet"/>
      <w:lvlText w:val="•"/>
      <w:lvlJc w:val="left"/>
      <w:pPr>
        <w:ind w:left="1273" w:hanging="217"/>
      </w:pPr>
      <w:rPr>
        <w:rFonts w:hint="default"/>
        <w:lang w:val="en-GB" w:eastAsia="en-GB" w:bidi="en-GB"/>
      </w:rPr>
    </w:lvl>
    <w:lvl w:ilvl="8" w:tplc="C5D65B3E">
      <w:numFmt w:val="bullet"/>
      <w:lvlText w:val="•"/>
      <w:lvlJc w:val="left"/>
      <w:pPr>
        <w:ind w:left="1412" w:hanging="217"/>
      </w:pPr>
      <w:rPr>
        <w:rFonts w:hint="default"/>
        <w:lang w:val="en-GB" w:eastAsia="en-GB" w:bidi="en-GB"/>
      </w:rPr>
    </w:lvl>
  </w:abstractNum>
  <w:abstractNum w:abstractNumId="1124" w15:restartNumberingAfterBreak="0">
    <w:nsid w:val="65EC50CE"/>
    <w:multiLevelType w:val="hybridMultilevel"/>
    <w:tmpl w:val="7A3CBCCC"/>
    <w:lvl w:ilvl="0" w:tplc="8364FCA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F496A25E">
      <w:numFmt w:val="bullet"/>
      <w:lvlText w:val="•"/>
      <w:lvlJc w:val="left"/>
      <w:pPr>
        <w:ind w:left="473" w:hanging="217"/>
      </w:pPr>
      <w:rPr>
        <w:rFonts w:hint="default"/>
        <w:lang w:val="en-GB" w:eastAsia="en-GB" w:bidi="en-GB"/>
      </w:rPr>
    </w:lvl>
    <w:lvl w:ilvl="2" w:tplc="7C148654">
      <w:numFmt w:val="bullet"/>
      <w:lvlText w:val="•"/>
      <w:lvlJc w:val="left"/>
      <w:pPr>
        <w:ind w:left="646" w:hanging="217"/>
      </w:pPr>
      <w:rPr>
        <w:rFonts w:hint="default"/>
        <w:lang w:val="en-GB" w:eastAsia="en-GB" w:bidi="en-GB"/>
      </w:rPr>
    </w:lvl>
    <w:lvl w:ilvl="3" w:tplc="DC928388">
      <w:numFmt w:val="bullet"/>
      <w:lvlText w:val="•"/>
      <w:lvlJc w:val="left"/>
      <w:pPr>
        <w:ind w:left="819" w:hanging="217"/>
      </w:pPr>
      <w:rPr>
        <w:rFonts w:hint="default"/>
        <w:lang w:val="en-GB" w:eastAsia="en-GB" w:bidi="en-GB"/>
      </w:rPr>
    </w:lvl>
    <w:lvl w:ilvl="4" w:tplc="7706BECE">
      <w:numFmt w:val="bullet"/>
      <w:lvlText w:val="•"/>
      <w:lvlJc w:val="left"/>
      <w:pPr>
        <w:ind w:left="992" w:hanging="217"/>
      </w:pPr>
      <w:rPr>
        <w:rFonts w:hint="default"/>
        <w:lang w:val="en-GB" w:eastAsia="en-GB" w:bidi="en-GB"/>
      </w:rPr>
    </w:lvl>
    <w:lvl w:ilvl="5" w:tplc="6EFAD758">
      <w:numFmt w:val="bullet"/>
      <w:lvlText w:val="•"/>
      <w:lvlJc w:val="left"/>
      <w:pPr>
        <w:ind w:left="1165" w:hanging="217"/>
      </w:pPr>
      <w:rPr>
        <w:rFonts w:hint="default"/>
        <w:lang w:val="en-GB" w:eastAsia="en-GB" w:bidi="en-GB"/>
      </w:rPr>
    </w:lvl>
    <w:lvl w:ilvl="6" w:tplc="D97025FA">
      <w:numFmt w:val="bullet"/>
      <w:lvlText w:val="•"/>
      <w:lvlJc w:val="left"/>
      <w:pPr>
        <w:ind w:left="1338" w:hanging="217"/>
      </w:pPr>
      <w:rPr>
        <w:rFonts w:hint="default"/>
        <w:lang w:val="en-GB" w:eastAsia="en-GB" w:bidi="en-GB"/>
      </w:rPr>
    </w:lvl>
    <w:lvl w:ilvl="7" w:tplc="6D084432">
      <w:numFmt w:val="bullet"/>
      <w:lvlText w:val="•"/>
      <w:lvlJc w:val="left"/>
      <w:pPr>
        <w:ind w:left="1511" w:hanging="217"/>
      </w:pPr>
      <w:rPr>
        <w:rFonts w:hint="default"/>
        <w:lang w:val="en-GB" w:eastAsia="en-GB" w:bidi="en-GB"/>
      </w:rPr>
    </w:lvl>
    <w:lvl w:ilvl="8" w:tplc="9D9ABEE0">
      <w:numFmt w:val="bullet"/>
      <w:lvlText w:val="•"/>
      <w:lvlJc w:val="left"/>
      <w:pPr>
        <w:ind w:left="1684" w:hanging="217"/>
      </w:pPr>
      <w:rPr>
        <w:rFonts w:hint="default"/>
        <w:lang w:val="en-GB" w:eastAsia="en-GB" w:bidi="en-GB"/>
      </w:rPr>
    </w:lvl>
  </w:abstractNum>
  <w:abstractNum w:abstractNumId="1125" w15:restartNumberingAfterBreak="0">
    <w:nsid w:val="65FA7B5D"/>
    <w:multiLevelType w:val="hybridMultilevel"/>
    <w:tmpl w:val="DF4E6D90"/>
    <w:lvl w:ilvl="0" w:tplc="91B42C34">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3D066E8">
      <w:numFmt w:val="bullet"/>
      <w:lvlText w:val="•"/>
      <w:lvlJc w:val="left"/>
      <w:pPr>
        <w:ind w:left="892" w:hanging="217"/>
      </w:pPr>
      <w:rPr>
        <w:rFonts w:hint="default"/>
        <w:lang w:val="en-GB" w:eastAsia="en-GB" w:bidi="en-GB"/>
      </w:rPr>
    </w:lvl>
    <w:lvl w:ilvl="2" w:tplc="58F2B30A">
      <w:numFmt w:val="bullet"/>
      <w:lvlText w:val="•"/>
      <w:lvlJc w:val="left"/>
      <w:pPr>
        <w:ind w:left="1485" w:hanging="217"/>
      </w:pPr>
      <w:rPr>
        <w:rFonts w:hint="default"/>
        <w:lang w:val="en-GB" w:eastAsia="en-GB" w:bidi="en-GB"/>
      </w:rPr>
    </w:lvl>
    <w:lvl w:ilvl="3" w:tplc="17C0689A">
      <w:numFmt w:val="bullet"/>
      <w:lvlText w:val="•"/>
      <w:lvlJc w:val="left"/>
      <w:pPr>
        <w:ind w:left="2077" w:hanging="217"/>
      </w:pPr>
      <w:rPr>
        <w:rFonts w:hint="default"/>
        <w:lang w:val="en-GB" w:eastAsia="en-GB" w:bidi="en-GB"/>
      </w:rPr>
    </w:lvl>
    <w:lvl w:ilvl="4" w:tplc="4176CB9A">
      <w:numFmt w:val="bullet"/>
      <w:lvlText w:val="•"/>
      <w:lvlJc w:val="left"/>
      <w:pPr>
        <w:ind w:left="2670" w:hanging="217"/>
      </w:pPr>
      <w:rPr>
        <w:rFonts w:hint="default"/>
        <w:lang w:val="en-GB" w:eastAsia="en-GB" w:bidi="en-GB"/>
      </w:rPr>
    </w:lvl>
    <w:lvl w:ilvl="5" w:tplc="4D623A5A">
      <w:numFmt w:val="bullet"/>
      <w:lvlText w:val="•"/>
      <w:lvlJc w:val="left"/>
      <w:pPr>
        <w:ind w:left="3263" w:hanging="217"/>
      </w:pPr>
      <w:rPr>
        <w:rFonts w:hint="default"/>
        <w:lang w:val="en-GB" w:eastAsia="en-GB" w:bidi="en-GB"/>
      </w:rPr>
    </w:lvl>
    <w:lvl w:ilvl="6" w:tplc="130E6266">
      <w:numFmt w:val="bullet"/>
      <w:lvlText w:val="•"/>
      <w:lvlJc w:val="left"/>
      <w:pPr>
        <w:ind w:left="3855" w:hanging="217"/>
      </w:pPr>
      <w:rPr>
        <w:rFonts w:hint="default"/>
        <w:lang w:val="en-GB" w:eastAsia="en-GB" w:bidi="en-GB"/>
      </w:rPr>
    </w:lvl>
    <w:lvl w:ilvl="7" w:tplc="584E243A">
      <w:numFmt w:val="bullet"/>
      <w:lvlText w:val="•"/>
      <w:lvlJc w:val="left"/>
      <w:pPr>
        <w:ind w:left="4448" w:hanging="217"/>
      </w:pPr>
      <w:rPr>
        <w:rFonts w:hint="default"/>
        <w:lang w:val="en-GB" w:eastAsia="en-GB" w:bidi="en-GB"/>
      </w:rPr>
    </w:lvl>
    <w:lvl w:ilvl="8" w:tplc="4D784346">
      <w:numFmt w:val="bullet"/>
      <w:lvlText w:val="•"/>
      <w:lvlJc w:val="left"/>
      <w:pPr>
        <w:ind w:left="5040" w:hanging="217"/>
      </w:pPr>
      <w:rPr>
        <w:rFonts w:hint="default"/>
        <w:lang w:val="en-GB" w:eastAsia="en-GB" w:bidi="en-GB"/>
      </w:rPr>
    </w:lvl>
  </w:abstractNum>
  <w:abstractNum w:abstractNumId="1126" w15:restartNumberingAfterBreak="0">
    <w:nsid w:val="66324BD3"/>
    <w:multiLevelType w:val="hybridMultilevel"/>
    <w:tmpl w:val="58C04154"/>
    <w:lvl w:ilvl="0" w:tplc="A55E8F92">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7B34D6DE">
      <w:numFmt w:val="bullet"/>
      <w:lvlText w:val="•"/>
      <w:lvlJc w:val="left"/>
      <w:pPr>
        <w:ind w:left="892" w:hanging="217"/>
      </w:pPr>
      <w:rPr>
        <w:rFonts w:hint="default"/>
        <w:lang w:val="en-GB" w:eastAsia="en-GB" w:bidi="en-GB"/>
      </w:rPr>
    </w:lvl>
    <w:lvl w:ilvl="2" w:tplc="862847CE">
      <w:numFmt w:val="bullet"/>
      <w:lvlText w:val="•"/>
      <w:lvlJc w:val="left"/>
      <w:pPr>
        <w:ind w:left="1485" w:hanging="217"/>
      </w:pPr>
      <w:rPr>
        <w:rFonts w:hint="default"/>
        <w:lang w:val="en-GB" w:eastAsia="en-GB" w:bidi="en-GB"/>
      </w:rPr>
    </w:lvl>
    <w:lvl w:ilvl="3" w:tplc="1D6075B4">
      <w:numFmt w:val="bullet"/>
      <w:lvlText w:val="•"/>
      <w:lvlJc w:val="left"/>
      <w:pPr>
        <w:ind w:left="2077" w:hanging="217"/>
      </w:pPr>
      <w:rPr>
        <w:rFonts w:hint="default"/>
        <w:lang w:val="en-GB" w:eastAsia="en-GB" w:bidi="en-GB"/>
      </w:rPr>
    </w:lvl>
    <w:lvl w:ilvl="4" w:tplc="E09A0CEA">
      <w:numFmt w:val="bullet"/>
      <w:lvlText w:val="•"/>
      <w:lvlJc w:val="left"/>
      <w:pPr>
        <w:ind w:left="2670" w:hanging="217"/>
      </w:pPr>
      <w:rPr>
        <w:rFonts w:hint="default"/>
        <w:lang w:val="en-GB" w:eastAsia="en-GB" w:bidi="en-GB"/>
      </w:rPr>
    </w:lvl>
    <w:lvl w:ilvl="5" w:tplc="CFF450B4">
      <w:numFmt w:val="bullet"/>
      <w:lvlText w:val="•"/>
      <w:lvlJc w:val="left"/>
      <w:pPr>
        <w:ind w:left="3263" w:hanging="217"/>
      </w:pPr>
      <w:rPr>
        <w:rFonts w:hint="default"/>
        <w:lang w:val="en-GB" w:eastAsia="en-GB" w:bidi="en-GB"/>
      </w:rPr>
    </w:lvl>
    <w:lvl w:ilvl="6" w:tplc="87DED6BE">
      <w:numFmt w:val="bullet"/>
      <w:lvlText w:val="•"/>
      <w:lvlJc w:val="left"/>
      <w:pPr>
        <w:ind w:left="3855" w:hanging="217"/>
      </w:pPr>
      <w:rPr>
        <w:rFonts w:hint="default"/>
        <w:lang w:val="en-GB" w:eastAsia="en-GB" w:bidi="en-GB"/>
      </w:rPr>
    </w:lvl>
    <w:lvl w:ilvl="7" w:tplc="DA1298BA">
      <w:numFmt w:val="bullet"/>
      <w:lvlText w:val="•"/>
      <w:lvlJc w:val="left"/>
      <w:pPr>
        <w:ind w:left="4448" w:hanging="217"/>
      </w:pPr>
      <w:rPr>
        <w:rFonts w:hint="default"/>
        <w:lang w:val="en-GB" w:eastAsia="en-GB" w:bidi="en-GB"/>
      </w:rPr>
    </w:lvl>
    <w:lvl w:ilvl="8" w:tplc="88E65DF2">
      <w:numFmt w:val="bullet"/>
      <w:lvlText w:val="•"/>
      <w:lvlJc w:val="left"/>
      <w:pPr>
        <w:ind w:left="5040" w:hanging="217"/>
      </w:pPr>
      <w:rPr>
        <w:rFonts w:hint="default"/>
        <w:lang w:val="en-GB" w:eastAsia="en-GB" w:bidi="en-GB"/>
      </w:rPr>
    </w:lvl>
  </w:abstractNum>
  <w:abstractNum w:abstractNumId="1127" w15:restartNumberingAfterBreak="0">
    <w:nsid w:val="66324CAD"/>
    <w:multiLevelType w:val="hybridMultilevel"/>
    <w:tmpl w:val="7A1AABC4"/>
    <w:lvl w:ilvl="0" w:tplc="167292A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9496C79A">
      <w:numFmt w:val="bullet"/>
      <w:lvlText w:val="•"/>
      <w:lvlJc w:val="left"/>
      <w:pPr>
        <w:ind w:left="473" w:hanging="217"/>
      </w:pPr>
      <w:rPr>
        <w:rFonts w:hint="default"/>
        <w:lang w:val="en-GB" w:eastAsia="en-GB" w:bidi="en-GB"/>
      </w:rPr>
    </w:lvl>
    <w:lvl w:ilvl="2" w:tplc="18EED786">
      <w:numFmt w:val="bullet"/>
      <w:lvlText w:val="•"/>
      <w:lvlJc w:val="left"/>
      <w:pPr>
        <w:ind w:left="646" w:hanging="217"/>
      </w:pPr>
      <w:rPr>
        <w:rFonts w:hint="default"/>
        <w:lang w:val="en-GB" w:eastAsia="en-GB" w:bidi="en-GB"/>
      </w:rPr>
    </w:lvl>
    <w:lvl w:ilvl="3" w:tplc="E5DA8A02">
      <w:numFmt w:val="bullet"/>
      <w:lvlText w:val="•"/>
      <w:lvlJc w:val="left"/>
      <w:pPr>
        <w:ind w:left="819" w:hanging="217"/>
      </w:pPr>
      <w:rPr>
        <w:rFonts w:hint="default"/>
        <w:lang w:val="en-GB" w:eastAsia="en-GB" w:bidi="en-GB"/>
      </w:rPr>
    </w:lvl>
    <w:lvl w:ilvl="4" w:tplc="12722002">
      <w:numFmt w:val="bullet"/>
      <w:lvlText w:val="•"/>
      <w:lvlJc w:val="left"/>
      <w:pPr>
        <w:ind w:left="992" w:hanging="217"/>
      </w:pPr>
      <w:rPr>
        <w:rFonts w:hint="default"/>
        <w:lang w:val="en-GB" w:eastAsia="en-GB" w:bidi="en-GB"/>
      </w:rPr>
    </w:lvl>
    <w:lvl w:ilvl="5" w:tplc="35C2E560">
      <w:numFmt w:val="bullet"/>
      <w:lvlText w:val="•"/>
      <w:lvlJc w:val="left"/>
      <w:pPr>
        <w:ind w:left="1165" w:hanging="217"/>
      </w:pPr>
      <w:rPr>
        <w:rFonts w:hint="default"/>
        <w:lang w:val="en-GB" w:eastAsia="en-GB" w:bidi="en-GB"/>
      </w:rPr>
    </w:lvl>
    <w:lvl w:ilvl="6" w:tplc="13B693DE">
      <w:numFmt w:val="bullet"/>
      <w:lvlText w:val="•"/>
      <w:lvlJc w:val="left"/>
      <w:pPr>
        <w:ind w:left="1338" w:hanging="217"/>
      </w:pPr>
      <w:rPr>
        <w:rFonts w:hint="default"/>
        <w:lang w:val="en-GB" w:eastAsia="en-GB" w:bidi="en-GB"/>
      </w:rPr>
    </w:lvl>
    <w:lvl w:ilvl="7" w:tplc="210ABF7C">
      <w:numFmt w:val="bullet"/>
      <w:lvlText w:val="•"/>
      <w:lvlJc w:val="left"/>
      <w:pPr>
        <w:ind w:left="1511" w:hanging="217"/>
      </w:pPr>
      <w:rPr>
        <w:rFonts w:hint="default"/>
        <w:lang w:val="en-GB" w:eastAsia="en-GB" w:bidi="en-GB"/>
      </w:rPr>
    </w:lvl>
    <w:lvl w:ilvl="8" w:tplc="9A8A1774">
      <w:numFmt w:val="bullet"/>
      <w:lvlText w:val="•"/>
      <w:lvlJc w:val="left"/>
      <w:pPr>
        <w:ind w:left="1684" w:hanging="217"/>
      </w:pPr>
      <w:rPr>
        <w:rFonts w:hint="default"/>
        <w:lang w:val="en-GB" w:eastAsia="en-GB" w:bidi="en-GB"/>
      </w:rPr>
    </w:lvl>
  </w:abstractNum>
  <w:abstractNum w:abstractNumId="1128" w15:restartNumberingAfterBreak="0">
    <w:nsid w:val="6642475A"/>
    <w:multiLevelType w:val="hybridMultilevel"/>
    <w:tmpl w:val="22AEE118"/>
    <w:lvl w:ilvl="0" w:tplc="15FA5DF4">
      <w:numFmt w:val="bullet"/>
      <w:lvlText w:val="•"/>
      <w:lvlJc w:val="left"/>
      <w:pPr>
        <w:ind w:left="305" w:hanging="217"/>
      </w:pPr>
      <w:rPr>
        <w:rFonts w:ascii="Arial" w:eastAsia="Arial" w:hAnsi="Arial" w:cs="Arial" w:hint="default"/>
        <w:color w:val="231F20"/>
        <w:w w:val="102"/>
        <w:sz w:val="17"/>
        <w:szCs w:val="17"/>
        <w:lang w:val="en-GB" w:eastAsia="en-GB" w:bidi="en-GB"/>
      </w:rPr>
    </w:lvl>
    <w:lvl w:ilvl="1" w:tplc="C960F05C">
      <w:numFmt w:val="bullet"/>
      <w:lvlText w:val="•"/>
      <w:lvlJc w:val="left"/>
      <w:pPr>
        <w:ind w:left="892" w:hanging="217"/>
      </w:pPr>
      <w:rPr>
        <w:rFonts w:hint="default"/>
        <w:lang w:val="en-GB" w:eastAsia="en-GB" w:bidi="en-GB"/>
      </w:rPr>
    </w:lvl>
    <w:lvl w:ilvl="2" w:tplc="8CE49486">
      <w:numFmt w:val="bullet"/>
      <w:lvlText w:val="•"/>
      <w:lvlJc w:val="left"/>
      <w:pPr>
        <w:ind w:left="1485" w:hanging="217"/>
      </w:pPr>
      <w:rPr>
        <w:rFonts w:hint="default"/>
        <w:lang w:val="en-GB" w:eastAsia="en-GB" w:bidi="en-GB"/>
      </w:rPr>
    </w:lvl>
    <w:lvl w:ilvl="3" w:tplc="66CC118A">
      <w:numFmt w:val="bullet"/>
      <w:lvlText w:val="•"/>
      <w:lvlJc w:val="left"/>
      <w:pPr>
        <w:ind w:left="2077" w:hanging="217"/>
      </w:pPr>
      <w:rPr>
        <w:rFonts w:hint="default"/>
        <w:lang w:val="en-GB" w:eastAsia="en-GB" w:bidi="en-GB"/>
      </w:rPr>
    </w:lvl>
    <w:lvl w:ilvl="4" w:tplc="51AC9FA8">
      <w:numFmt w:val="bullet"/>
      <w:lvlText w:val="•"/>
      <w:lvlJc w:val="left"/>
      <w:pPr>
        <w:ind w:left="2670" w:hanging="217"/>
      </w:pPr>
      <w:rPr>
        <w:rFonts w:hint="default"/>
        <w:lang w:val="en-GB" w:eastAsia="en-GB" w:bidi="en-GB"/>
      </w:rPr>
    </w:lvl>
    <w:lvl w:ilvl="5" w:tplc="60983828">
      <w:numFmt w:val="bullet"/>
      <w:lvlText w:val="•"/>
      <w:lvlJc w:val="left"/>
      <w:pPr>
        <w:ind w:left="3263" w:hanging="217"/>
      </w:pPr>
      <w:rPr>
        <w:rFonts w:hint="default"/>
        <w:lang w:val="en-GB" w:eastAsia="en-GB" w:bidi="en-GB"/>
      </w:rPr>
    </w:lvl>
    <w:lvl w:ilvl="6" w:tplc="DED2E390">
      <w:numFmt w:val="bullet"/>
      <w:lvlText w:val="•"/>
      <w:lvlJc w:val="left"/>
      <w:pPr>
        <w:ind w:left="3855" w:hanging="217"/>
      </w:pPr>
      <w:rPr>
        <w:rFonts w:hint="default"/>
        <w:lang w:val="en-GB" w:eastAsia="en-GB" w:bidi="en-GB"/>
      </w:rPr>
    </w:lvl>
    <w:lvl w:ilvl="7" w:tplc="CB38A040">
      <w:numFmt w:val="bullet"/>
      <w:lvlText w:val="•"/>
      <w:lvlJc w:val="left"/>
      <w:pPr>
        <w:ind w:left="4448" w:hanging="217"/>
      </w:pPr>
      <w:rPr>
        <w:rFonts w:hint="default"/>
        <w:lang w:val="en-GB" w:eastAsia="en-GB" w:bidi="en-GB"/>
      </w:rPr>
    </w:lvl>
    <w:lvl w:ilvl="8" w:tplc="223492DE">
      <w:numFmt w:val="bullet"/>
      <w:lvlText w:val="•"/>
      <w:lvlJc w:val="left"/>
      <w:pPr>
        <w:ind w:left="5040" w:hanging="217"/>
      </w:pPr>
      <w:rPr>
        <w:rFonts w:hint="default"/>
        <w:lang w:val="en-GB" w:eastAsia="en-GB" w:bidi="en-GB"/>
      </w:rPr>
    </w:lvl>
  </w:abstractNum>
  <w:abstractNum w:abstractNumId="1129" w15:restartNumberingAfterBreak="0">
    <w:nsid w:val="666F7D05"/>
    <w:multiLevelType w:val="hybridMultilevel"/>
    <w:tmpl w:val="F5789044"/>
    <w:lvl w:ilvl="0" w:tplc="2DECFB3A">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65D65204">
      <w:numFmt w:val="bullet"/>
      <w:lvlText w:val="•"/>
      <w:lvlJc w:val="left"/>
      <w:pPr>
        <w:ind w:left="1348" w:hanging="114"/>
      </w:pPr>
      <w:rPr>
        <w:rFonts w:hint="default"/>
        <w:lang w:val="en-GB" w:eastAsia="en-GB" w:bidi="en-GB"/>
      </w:rPr>
    </w:lvl>
    <w:lvl w:ilvl="2" w:tplc="B6EC339C">
      <w:numFmt w:val="bullet"/>
      <w:lvlText w:val="•"/>
      <w:lvlJc w:val="left"/>
      <w:pPr>
        <w:ind w:left="2377" w:hanging="114"/>
      </w:pPr>
      <w:rPr>
        <w:rFonts w:hint="default"/>
        <w:lang w:val="en-GB" w:eastAsia="en-GB" w:bidi="en-GB"/>
      </w:rPr>
    </w:lvl>
    <w:lvl w:ilvl="3" w:tplc="48208218">
      <w:numFmt w:val="bullet"/>
      <w:lvlText w:val="•"/>
      <w:lvlJc w:val="left"/>
      <w:pPr>
        <w:ind w:left="3405" w:hanging="114"/>
      </w:pPr>
      <w:rPr>
        <w:rFonts w:hint="default"/>
        <w:lang w:val="en-GB" w:eastAsia="en-GB" w:bidi="en-GB"/>
      </w:rPr>
    </w:lvl>
    <w:lvl w:ilvl="4" w:tplc="391AFA40">
      <w:numFmt w:val="bullet"/>
      <w:lvlText w:val="•"/>
      <w:lvlJc w:val="left"/>
      <w:pPr>
        <w:ind w:left="4434" w:hanging="114"/>
      </w:pPr>
      <w:rPr>
        <w:rFonts w:hint="default"/>
        <w:lang w:val="en-GB" w:eastAsia="en-GB" w:bidi="en-GB"/>
      </w:rPr>
    </w:lvl>
    <w:lvl w:ilvl="5" w:tplc="0AA6D230">
      <w:numFmt w:val="bullet"/>
      <w:lvlText w:val="•"/>
      <w:lvlJc w:val="left"/>
      <w:pPr>
        <w:ind w:left="5462" w:hanging="114"/>
      </w:pPr>
      <w:rPr>
        <w:rFonts w:hint="default"/>
        <w:lang w:val="en-GB" w:eastAsia="en-GB" w:bidi="en-GB"/>
      </w:rPr>
    </w:lvl>
    <w:lvl w:ilvl="6" w:tplc="183E605C">
      <w:numFmt w:val="bullet"/>
      <w:lvlText w:val="•"/>
      <w:lvlJc w:val="left"/>
      <w:pPr>
        <w:ind w:left="6491" w:hanging="114"/>
      </w:pPr>
      <w:rPr>
        <w:rFonts w:hint="default"/>
        <w:lang w:val="en-GB" w:eastAsia="en-GB" w:bidi="en-GB"/>
      </w:rPr>
    </w:lvl>
    <w:lvl w:ilvl="7" w:tplc="FEF0D2B6">
      <w:numFmt w:val="bullet"/>
      <w:lvlText w:val="•"/>
      <w:lvlJc w:val="left"/>
      <w:pPr>
        <w:ind w:left="7519" w:hanging="114"/>
      </w:pPr>
      <w:rPr>
        <w:rFonts w:hint="default"/>
        <w:lang w:val="en-GB" w:eastAsia="en-GB" w:bidi="en-GB"/>
      </w:rPr>
    </w:lvl>
    <w:lvl w:ilvl="8" w:tplc="420AFE0C">
      <w:numFmt w:val="bullet"/>
      <w:lvlText w:val="•"/>
      <w:lvlJc w:val="left"/>
      <w:pPr>
        <w:ind w:left="8548" w:hanging="114"/>
      </w:pPr>
      <w:rPr>
        <w:rFonts w:hint="default"/>
        <w:lang w:val="en-GB" w:eastAsia="en-GB" w:bidi="en-GB"/>
      </w:rPr>
    </w:lvl>
  </w:abstractNum>
  <w:abstractNum w:abstractNumId="1130" w15:restartNumberingAfterBreak="0">
    <w:nsid w:val="66726F74"/>
    <w:multiLevelType w:val="hybridMultilevel"/>
    <w:tmpl w:val="28E4F904"/>
    <w:lvl w:ilvl="0" w:tplc="B2A4D85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F5A13CE">
      <w:numFmt w:val="bullet"/>
      <w:lvlText w:val="•"/>
      <w:lvlJc w:val="left"/>
      <w:pPr>
        <w:ind w:left="541" w:hanging="217"/>
      </w:pPr>
      <w:rPr>
        <w:rFonts w:hint="default"/>
        <w:lang w:val="en-GB" w:eastAsia="en-GB" w:bidi="en-GB"/>
      </w:rPr>
    </w:lvl>
    <w:lvl w:ilvl="2" w:tplc="1A0ED02A">
      <w:numFmt w:val="bullet"/>
      <w:lvlText w:val="•"/>
      <w:lvlJc w:val="left"/>
      <w:pPr>
        <w:ind w:left="782" w:hanging="217"/>
      </w:pPr>
      <w:rPr>
        <w:rFonts w:hint="default"/>
        <w:lang w:val="en-GB" w:eastAsia="en-GB" w:bidi="en-GB"/>
      </w:rPr>
    </w:lvl>
    <w:lvl w:ilvl="3" w:tplc="6C927F7A">
      <w:numFmt w:val="bullet"/>
      <w:lvlText w:val="•"/>
      <w:lvlJc w:val="left"/>
      <w:pPr>
        <w:ind w:left="1023" w:hanging="217"/>
      </w:pPr>
      <w:rPr>
        <w:rFonts w:hint="default"/>
        <w:lang w:val="en-GB" w:eastAsia="en-GB" w:bidi="en-GB"/>
      </w:rPr>
    </w:lvl>
    <w:lvl w:ilvl="4" w:tplc="EDC2CAD6">
      <w:numFmt w:val="bullet"/>
      <w:lvlText w:val="•"/>
      <w:lvlJc w:val="left"/>
      <w:pPr>
        <w:ind w:left="1264" w:hanging="217"/>
      </w:pPr>
      <w:rPr>
        <w:rFonts w:hint="default"/>
        <w:lang w:val="en-GB" w:eastAsia="en-GB" w:bidi="en-GB"/>
      </w:rPr>
    </w:lvl>
    <w:lvl w:ilvl="5" w:tplc="29F043E6">
      <w:numFmt w:val="bullet"/>
      <w:lvlText w:val="•"/>
      <w:lvlJc w:val="left"/>
      <w:pPr>
        <w:ind w:left="1505" w:hanging="217"/>
      </w:pPr>
      <w:rPr>
        <w:rFonts w:hint="default"/>
        <w:lang w:val="en-GB" w:eastAsia="en-GB" w:bidi="en-GB"/>
      </w:rPr>
    </w:lvl>
    <w:lvl w:ilvl="6" w:tplc="4426C170">
      <w:numFmt w:val="bullet"/>
      <w:lvlText w:val="•"/>
      <w:lvlJc w:val="left"/>
      <w:pPr>
        <w:ind w:left="1746" w:hanging="217"/>
      </w:pPr>
      <w:rPr>
        <w:rFonts w:hint="default"/>
        <w:lang w:val="en-GB" w:eastAsia="en-GB" w:bidi="en-GB"/>
      </w:rPr>
    </w:lvl>
    <w:lvl w:ilvl="7" w:tplc="70865304">
      <w:numFmt w:val="bullet"/>
      <w:lvlText w:val="•"/>
      <w:lvlJc w:val="left"/>
      <w:pPr>
        <w:ind w:left="1987" w:hanging="217"/>
      </w:pPr>
      <w:rPr>
        <w:rFonts w:hint="default"/>
        <w:lang w:val="en-GB" w:eastAsia="en-GB" w:bidi="en-GB"/>
      </w:rPr>
    </w:lvl>
    <w:lvl w:ilvl="8" w:tplc="2EC48B26">
      <w:numFmt w:val="bullet"/>
      <w:lvlText w:val="•"/>
      <w:lvlJc w:val="left"/>
      <w:pPr>
        <w:ind w:left="2228" w:hanging="217"/>
      </w:pPr>
      <w:rPr>
        <w:rFonts w:hint="default"/>
        <w:lang w:val="en-GB" w:eastAsia="en-GB" w:bidi="en-GB"/>
      </w:rPr>
    </w:lvl>
  </w:abstractNum>
  <w:abstractNum w:abstractNumId="1131" w15:restartNumberingAfterBreak="0">
    <w:nsid w:val="66760DBC"/>
    <w:multiLevelType w:val="hybridMultilevel"/>
    <w:tmpl w:val="0DE42F4C"/>
    <w:lvl w:ilvl="0" w:tplc="D6FAF62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6E04076">
      <w:numFmt w:val="bullet"/>
      <w:lvlText w:val="•"/>
      <w:lvlJc w:val="left"/>
      <w:pPr>
        <w:ind w:left="1061" w:hanging="217"/>
      </w:pPr>
      <w:rPr>
        <w:rFonts w:hint="default"/>
        <w:lang w:val="en-GB" w:eastAsia="en-GB" w:bidi="en-GB"/>
      </w:rPr>
    </w:lvl>
    <w:lvl w:ilvl="2" w:tplc="4586B160">
      <w:numFmt w:val="bullet"/>
      <w:lvlText w:val="•"/>
      <w:lvlJc w:val="left"/>
      <w:pPr>
        <w:ind w:left="1823" w:hanging="217"/>
      </w:pPr>
      <w:rPr>
        <w:rFonts w:hint="default"/>
        <w:lang w:val="en-GB" w:eastAsia="en-GB" w:bidi="en-GB"/>
      </w:rPr>
    </w:lvl>
    <w:lvl w:ilvl="3" w:tplc="5FF005CC">
      <w:numFmt w:val="bullet"/>
      <w:lvlText w:val="•"/>
      <w:lvlJc w:val="left"/>
      <w:pPr>
        <w:ind w:left="2585" w:hanging="217"/>
      </w:pPr>
      <w:rPr>
        <w:rFonts w:hint="default"/>
        <w:lang w:val="en-GB" w:eastAsia="en-GB" w:bidi="en-GB"/>
      </w:rPr>
    </w:lvl>
    <w:lvl w:ilvl="4" w:tplc="9D266466">
      <w:numFmt w:val="bullet"/>
      <w:lvlText w:val="•"/>
      <w:lvlJc w:val="left"/>
      <w:pPr>
        <w:ind w:left="3346" w:hanging="217"/>
      </w:pPr>
      <w:rPr>
        <w:rFonts w:hint="default"/>
        <w:lang w:val="en-GB" w:eastAsia="en-GB" w:bidi="en-GB"/>
      </w:rPr>
    </w:lvl>
    <w:lvl w:ilvl="5" w:tplc="0BC86A5E">
      <w:numFmt w:val="bullet"/>
      <w:lvlText w:val="•"/>
      <w:lvlJc w:val="left"/>
      <w:pPr>
        <w:ind w:left="4108" w:hanging="217"/>
      </w:pPr>
      <w:rPr>
        <w:rFonts w:hint="default"/>
        <w:lang w:val="en-GB" w:eastAsia="en-GB" w:bidi="en-GB"/>
      </w:rPr>
    </w:lvl>
    <w:lvl w:ilvl="6" w:tplc="2D046890">
      <w:numFmt w:val="bullet"/>
      <w:lvlText w:val="•"/>
      <w:lvlJc w:val="left"/>
      <w:pPr>
        <w:ind w:left="4870" w:hanging="217"/>
      </w:pPr>
      <w:rPr>
        <w:rFonts w:hint="default"/>
        <w:lang w:val="en-GB" w:eastAsia="en-GB" w:bidi="en-GB"/>
      </w:rPr>
    </w:lvl>
    <w:lvl w:ilvl="7" w:tplc="C06C6852">
      <w:numFmt w:val="bullet"/>
      <w:lvlText w:val="•"/>
      <w:lvlJc w:val="left"/>
      <w:pPr>
        <w:ind w:left="5631" w:hanging="217"/>
      </w:pPr>
      <w:rPr>
        <w:rFonts w:hint="default"/>
        <w:lang w:val="en-GB" w:eastAsia="en-GB" w:bidi="en-GB"/>
      </w:rPr>
    </w:lvl>
    <w:lvl w:ilvl="8" w:tplc="A5728558">
      <w:numFmt w:val="bullet"/>
      <w:lvlText w:val="•"/>
      <w:lvlJc w:val="left"/>
      <w:pPr>
        <w:ind w:left="6393" w:hanging="217"/>
      </w:pPr>
      <w:rPr>
        <w:rFonts w:hint="default"/>
        <w:lang w:val="en-GB" w:eastAsia="en-GB" w:bidi="en-GB"/>
      </w:rPr>
    </w:lvl>
  </w:abstractNum>
  <w:abstractNum w:abstractNumId="1132" w15:restartNumberingAfterBreak="0">
    <w:nsid w:val="668258B3"/>
    <w:multiLevelType w:val="hybridMultilevel"/>
    <w:tmpl w:val="17740194"/>
    <w:lvl w:ilvl="0" w:tplc="DF5A3096">
      <w:numFmt w:val="bullet"/>
      <w:lvlText w:val="•"/>
      <w:lvlJc w:val="left"/>
      <w:pPr>
        <w:ind w:left="303" w:hanging="217"/>
      </w:pPr>
      <w:rPr>
        <w:rFonts w:ascii="Arial" w:eastAsia="Arial" w:hAnsi="Arial" w:cs="Arial" w:hint="default"/>
        <w:color w:val="231F20"/>
        <w:w w:val="102"/>
        <w:sz w:val="17"/>
        <w:szCs w:val="17"/>
        <w:lang w:val="en-GB" w:eastAsia="en-GB" w:bidi="en-GB"/>
      </w:rPr>
    </w:lvl>
    <w:lvl w:ilvl="1" w:tplc="6E9A9156">
      <w:numFmt w:val="bullet"/>
      <w:lvlText w:val="•"/>
      <w:lvlJc w:val="left"/>
      <w:pPr>
        <w:ind w:left="439" w:hanging="217"/>
      </w:pPr>
      <w:rPr>
        <w:rFonts w:hint="default"/>
        <w:lang w:val="en-GB" w:eastAsia="en-GB" w:bidi="en-GB"/>
      </w:rPr>
    </w:lvl>
    <w:lvl w:ilvl="2" w:tplc="2402C8A8">
      <w:numFmt w:val="bullet"/>
      <w:lvlText w:val="•"/>
      <w:lvlJc w:val="left"/>
      <w:pPr>
        <w:ind w:left="578" w:hanging="217"/>
      </w:pPr>
      <w:rPr>
        <w:rFonts w:hint="default"/>
        <w:lang w:val="en-GB" w:eastAsia="en-GB" w:bidi="en-GB"/>
      </w:rPr>
    </w:lvl>
    <w:lvl w:ilvl="3" w:tplc="474803C4">
      <w:numFmt w:val="bullet"/>
      <w:lvlText w:val="•"/>
      <w:lvlJc w:val="left"/>
      <w:pPr>
        <w:ind w:left="717" w:hanging="217"/>
      </w:pPr>
      <w:rPr>
        <w:rFonts w:hint="default"/>
        <w:lang w:val="en-GB" w:eastAsia="en-GB" w:bidi="en-GB"/>
      </w:rPr>
    </w:lvl>
    <w:lvl w:ilvl="4" w:tplc="F1A03476">
      <w:numFmt w:val="bullet"/>
      <w:lvlText w:val="•"/>
      <w:lvlJc w:val="left"/>
      <w:pPr>
        <w:ind w:left="856" w:hanging="217"/>
      </w:pPr>
      <w:rPr>
        <w:rFonts w:hint="default"/>
        <w:lang w:val="en-GB" w:eastAsia="en-GB" w:bidi="en-GB"/>
      </w:rPr>
    </w:lvl>
    <w:lvl w:ilvl="5" w:tplc="0FDE0808">
      <w:numFmt w:val="bullet"/>
      <w:lvlText w:val="•"/>
      <w:lvlJc w:val="left"/>
      <w:pPr>
        <w:ind w:left="995" w:hanging="217"/>
      </w:pPr>
      <w:rPr>
        <w:rFonts w:hint="default"/>
        <w:lang w:val="en-GB" w:eastAsia="en-GB" w:bidi="en-GB"/>
      </w:rPr>
    </w:lvl>
    <w:lvl w:ilvl="6" w:tplc="801E7C54">
      <w:numFmt w:val="bullet"/>
      <w:lvlText w:val="•"/>
      <w:lvlJc w:val="left"/>
      <w:pPr>
        <w:ind w:left="1134" w:hanging="217"/>
      </w:pPr>
      <w:rPr>
        <w:rFonts w:hint="default"/>
        <w:lang w:val="en-GB" w:eastAsia="en-GB" w:bidi="en-GB"/>
      </w:rPr>
    </w:lvl>
    <w:lvl w:ilvl="7" w:tplc="25D4B234">
      <w:numFmt w:val="bullet"/>
      <w:lvlText w:val="•"/>
      <w:lvlJc w:val="left"/>
      <w:pPr>
        <w:ind w:left="1273" w:hanging="217"/>
      </w:pPr>
      <w:rPr>
        <w:rFonts w:hint="default"/>
        <w:lang w:val="en-GB" w:eastAsia="en-GB" w:bidi="en-GB"/>
      </w:rPr>
    </w:lvl>
    <w:lvl w:ilvl="8" w:tplc="1FF2CC94">
      <w:numFmt w:val="bullet"/>
      <w:lvlText w:val="•"/>
      <w:lvlJc w:val="left"/>
      <w:pPr>
        <w:ind w:left="1412" w:hanging="217"/>
      </w:pPr>
      <w:rPr>
        <w:rFonts w:hint="default"/>
        <w:lang w:val="en-GB" w:eastAsia="en-GB" w:bidi="en-GB"/>
      </w:rPr>
    </w:lvl>
  </w:abstractNum>
  <w:abstractNum w:abstractNumId="1133" w15:restartNumberingAfterBreak="0">
    <w:nsid w:val="66BB58E5"/>
    <w:multiLevelType w:val="hybridMultilevel"/>
    <w:tmpl w:val="2D707590"/>
    <w:lvl w:ilvl="0" w:tplc="724667FC">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881C0FEE">
      <w:numFmt w:val="bullet"/>
      <w:lvlText w:val="•"/>
      <w:lvlJc w:val="left"/>
      <w:pPr>
        <w:ind w:left="473" w:hanging="217"/>
      </w:pPr>
      <w:rPr>
        <w:rFonts w:hint="default"/>
        <w:lang w:val="en-GB" w:eastAsia="en-GB" w:bidi="en-GB"/>
      </w:rPr>
    </w:lvl>
    <w:lvl w:ilvl="2" w:tplc="67BE79F0">
      <w:numFmt w:val="bullet"/>
      <w:lvlText w:val="•"/>
      <w:lvlJc w:val="left"/>
      <w:pPr>
        <w:ind w:left="646" w:hanging="217"/>
      </w:pPr>
      <w:rPr>
        <w:rFonts w:hint="default"/>
        <w:lang w:val="en-GB" w:eastAsia="en-GB" w:bidi="en-GB"/>
      </w:rPr>
    </w:lvl>
    <w:lvl w:ilvl="3" w:tplc="88D25F40">
      <w:numFmt w:val="bullet"/>
      <w:lvlText w:val="•"/>
      <w:lvlJc w:val="left"/>
      <w:pPr>
        <w:ind w:left="819" w:hanging="217"/>
      </w:pPr>
      <w:rPr>
        <w:rFonts w:hint="default"/>
        <w:lang w:val="en-GB" w:eastAsia="en-GB" w:bidi="en-GB"/>
      </w:rPr>
    </w:lvl>
    <w:lvl w:ilvl="4" w:tplc="94564CAA">
      <w:numFmt w:val="bullet"/>
      <w:lvlText w:val="•"/>
      <w:lvlJc w:val="left"/>
      <w:pPr>
        <w:ind w:left="992" w:hanging="217"/>
      </w:pPr>
      <w:rPr>
        <w:rFonts w:hint="default"/>
        <w:lang w:val="en-GB" w:eastAsia="en-GB" w:bidi="en-GB"/>
      </w:rPr>
    </w:lvl>
    <w:lvl w:ilvl="5" w:tplc="A1F6C798">
      <w:numFmt w:val="bullet"/>
      <w:lvlText w:val="•"/>
      <w:lvlJc w:val="left"/>
      <w:pPr>
        <w:ind w:left="1165" w:hanging="217"/>
      </w:pPr>
      <w:rPr>
        <w:rFonts w:hint="default"/>
        <w:lang w:val="en-GB" w:eastAsia="en-GB" w:bidi="en-GB"/>
      </w:rPr>
    </w:lvl>
    <w:lvl w:ilvl="6" w:tplc="BF7C6C3A">
      <w:numFmt w:val="bullet"/>
      <w:lvlText w:val="•"/>
      <w:lvlJc w:val="left"/>
      <w:pPr>
        <w:ind w:left="1338" w:hanging="217"/>
      </w:pPr>
      <w:rPr>
        <w:rFonts w:hint="default"/>
        <w:lang w:val="en-GB" w:eastAsia="en-GB" w:bidi="en-GB"/>
      </w:rPr>
    </w:lvl>
    <w:lvl w:ilvl="7" w:tplc="5B8A335E">
      <w:numFmt w:val="bullet"/>
      <w:lvlText w:val="•"/>
      <w:lvlJc w:val="left"/>
      <w:pPr>
        <w:ind w:left="1511" w:hanging="217"/>
      </w:pPr>
      <w:rPr>
        <w:rFonts w:hint="default"/>
        <w:lang w:val="en-GB" w:eastAsia="en-GB" w:bidi="en-GB"/>
      </w:rPr>
    </w:lvl>
    <w:lvl w:ilvl="8" w:tplc="1F1E0828">
      <w:numFmt w:val="bullet"/>
      <w:lvlText w:val="•"/>
      <w:lvlJc w:val="left"/>
      <w:pPr>
        <w:ind w:left="1684" w:hanging="217"/>
      </w:pPr>
      <w:rPr>
        <w:rFonts w:hint="default"/>
        <w:lang w:val="en-GB" w:eastAsia="en-GB" w:bidi="en-GB"/>
      </w:rPr>
    </w:lvl>
  </w:abstractNum>
  <w:abstractNum w:abstractNumId="1134" w15:restartNumberingAfterBreak="0">
    <w:nsid w:val="66C4438A"/>
    <w:multiLevelType w:val="hybridMultilevel"/>
    <w:tmpl w:val="7EB44E12"/>
    <w:lvl w:ilvl="0" w:tplc="5D9A493E">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2DD808B2">
      <w:numFmt w:val="bullet"/>
      <w:lvlText w:val="•"/>
      <w:lvlJc w:val="left"/>
      <w:pPr>
        <w:ind w:left="473" w:hanging="217"/>
      </w:pPr>
      <w:rPr>
        <w:rFonts w:hint="default"/>
        <w:lang w:val="en-GB" w:eastAsia="en-GB" w:bidi="en-GB"/>
      </w:rPr>
    </w:lvl>
    <w:lvl w:ilvl="2" w:tplc="F728691C">
      <w:numFmt w:val="bullet"/>
      <w:lvlText w:val="•"/>
      <w:lvlJc w:val="left"/>
      <w:pPr>
        <w:ind w:left="646" w:hanging="217"/>
      </w:pPr>
      <w:rPr>
        <w:rFonts w:hint="default"/>
        <w:lang w:val="en-GB" w:eastAsia="en-GB" w:bidi="en-GB"/>
      </w:rPr>
    </w:lvl>
    <w:lvl w:ilvl="3" w:tplc="B5868514">
      <w:numFmt w:val="bullet"/>
      <w:lvlText w:val="•"/>
      <w:lvlJc w:val="left"/>
      <w:pPr>
        <w:ind w:left="819" w:hanging="217"/>
      </w:pPr>
      <w:rPr>
        <w:rFonts w:hint="default"/>
        <w:lang w:val="en-GB" w:eastAsia="en-GB" w:bidi="en-GB"/>
      </w:rPr>
    </w:lvl>
    <w:lvl w:ilvl="4" w:tplc="D766EF6E">
      <w:numFmt w:val="bullet"/>
      <w:lvlText w:val="•"/>
      <w:lvlJc w:val="left"/>
      <w:pPr>
        <w:ind w:left="992" w:hanging="217"/>
      </w:pPr>
      <w:rPr>
        <w:rFonts w:hint="default"/>
        <w:lang w:val="en-GB" w:eastAsia="en-GB" w:bidi="en-GB"/>
      </w:rPr>
    </w:lvl>
    <w:lvl w:ilvl="5" w:tplc="1870FE68">
      <w:numFmt w:val="bullet"/>
      <w:lvlText w:val="•"/>
      <w:lvlJc w:val="left"/>
      <w:pPr>
        <w:ind w:left="1165" w:hanging="217"/>
      </w:pPr>
      <w:rPr>
        <w:rFonts w:hint="default"/>
        <w:lang w:val="en-GB" w:eastAsia="en-GB" w:bidi="en-GB"/>
      </w:rPr>
    </w:lvl>
    <w:lvl w:ilvl="6" w:tplc="9DFE89D2">
      <w:numFmt w:val="bullet"/>
      <w:lvlText w:val="•"/>
      <w:lvlJc w:val="left"/>
      <w:pPr>
        <w:ind w:left="1338" w:hanging="217"/>
      </w:pPr>
      <w:rPr>
        <w:rFonts w:hint="default"/>
        <w:lang w:val="en-GB" w:eastAsia="en-GB" w:bidi="en-GB"/>
      </w:rPr>
    </w:lvl>
    <w:lvl w:ilvl="7" w:tplc="E09AF59C">
      <w:numFmt w:val="bullet"/>
      <w:lvlText w:val="•"/>
      <w:lvlJc w:val="left"/>
      <w:pPr>
        <w:ind w:left="1511" w:hanging="217"/>
      </w:pPr>
      <w:rPr>
        <w:rFonts w:hint="default"/>
        <w:lang w:val="en-GB" w:eastAsia="en-GB" w:bidi="en-GB"/>
      </w:rPr>
    </w:lvl>
    <w:lvl w:ilvl="8" w:tplc="25A8EE92">
      <w:numFmt w:val="bullet"/>
      <w:lvlText w:val="•"/>
      <w:lvlJc w:val="left"/>
      <w:pPr>
        <w:ind w:left="1684" w:hanging="217"/>
      </w:pPr>
      <w:rPr>
        <w:rFonts w:hint="default"/>
        <w:lang w:val="en-GB" w:eastAsia="en-GB" w:bidi="en-GB"/>
      </w:rPr>
    </w:lvl>
  </w:abstractNum>
  <w:abstractNum w:abstractNumId="1135" w15:restartNumberingAfterBreak="0">
    <w:nsid w:val="66C5632B"/>
    <w:multiLevelType w:val="hybridMultilevel"/>
    <w:tmpl w:val="5624316C"/>
    <w:lvl w:ilvl="0" w:tplc="57DAA4B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4982234">
      <w:numFmt w:val="bullet"/>
      <w:lvlText w:val="•"/>
      <w:lvlJc w:val="left"/>
      <w:pPr>
        <w:ind w:left="473" w:hanging="217"/>
      </w:pPr>
      <w:rPr>
        <w:rFonts w:hint="default"/>
        <w:lang w:val="en-GB" w:eastAsia="en-GB" w:bidi="en-GB"/>
      </w:rPr>
    </w:lvl>
    <w:lvl w:ilvl="2" w:tplc="8E5037CE">
      <w:numFmt w:val="bullet"/>
      <w:lvlText w:val="•"/>
      <w:lvlJc w:val="left"/>
      <w:pPr>
        <w:ind w:left="646" w:hanging="217"/>
      </w:pPr>
      <w:rPr>
        <w:rFonts w:hint="default"/>
        <w:lang w:val="en-GB" w:eastAsia="en-GB" w:bidi="en-GB"/>
      </w:rPr>
    </w:lvl>
    <w:lvl w:ilvl="3" w:tplc="3AF2E9F6">
      <w:numFmt w:val="bullet"/>
      <w:lvlText w:val="•"/>
      <w:lvlJc w:val="left"/>
      <w:pPr>
        <w:ind w:left="819" w:hanging="217"/>
      </w:pPr>
      <w:rPr>
        <w:rFonts w:hint="default"/>
        <w:lang w:val="en-GB" w:eastAsia="en-GB" w:bidi="en-GB"/>
      </w:rPr>
    </w:lvl>
    <w:lvl w:ilvl="4" w:tplc="1054BCA8">
      <w:numFmt w:val="bullet"/>
      <w:lvlText w:val="•"/>
      <w:lvlJc w:val="left"/>
      <w:pPr>
        <w:ind w:left="992" w:hanging="217"/>
      </w:pPr>
      <w:rPr>
        <w:rFonts w:hint="default"/>
        <w:lang w:val="en-GB" w:eastAsia="en-GB" w:bidi="en-GB"/>
      </w:rPr>
    </w:lvl>
    <w:lvl w:ilvl="5" w:tplc="16A052E4">
      <w:numFmt w:val="bullet"/>
      <w:lvlText w:val="•"/>
      <w:lvlJc w:val="left"/>
      <w:pPr>
        <w:ind w:left="1165" w:hanging="217"/>
      </w:pPr>
      <w:rPr>
        <w:rFonts w:hint="default"/>
        <w:lang w:val="en-GB" w:eastAsia="en-GB" w:bidi="en-GB"/>
      </w:rPr>
    </w:lvl>
    <w:lvl w:ilvl="6" w:tplc="5D086316">
      <w:numFmt w:val="bullet"/>
      <w:lvlText w:val="•"/>
      <w:lvlJc w:val="left"/>
      <w:pPr>
        <w:ind w:left="1338" w:hanging="217"/>
      </w:pPr>
      <w:rPr>
        <w:rFonts w:hint="default"/>
        <w:lang w:val="en-GB" w:eastAsia="en-GB" w:bidi="en-GB"/>
      </w:rPr>
    </w:lvl>
    <w:lvl w:ilvl="7" w:tplc="A5449E1E">
      <w:numFmt w:val="bullet"/>
      <w:lvlText w:val="•"/>
      <w:lvlJc w:val="left"/>
      <w:pPr>
        <w:ind w:left="1511" w:hanging="217"/>
      </w:pPr>
      <w:rPr>
        <w:rFonts w:hint="default"/>
        <w:lang w:val="en-GB" w:eastAsia="en-GB" w:bidi="en-GB"/>
      </w:rPr>
    </w:lvl>
    <w:lvl w:ilvl="8" w:tplc="5E66E956">
      <w:numFmt w:val="bullet"/>
      <w:lvlText w:val="•"/>
      <w:lvlJc w:val="left"/>
      <w:pPr>
        <w:ind w:left="1684" w:hanging="217"/>
      </w:pPr>
      <w:rPr>
        <w:rFonts w:hint="default"/>
        <w:lang w:val="en-GB" w:eastAsia="en-GB" w:bidi="en-GB"/>
      </w:rPr>
    </w:lvl>
  </w:abstractNum>
  <w:abstractNum w:abstractNumId="1136" w15:restartNumberingAfterBreak="0">
    <w:nsid w:val="66C56AA8"/>
    <w:multiLevelType w:val="hybridMultilevel"/>
    <w:tmpl w:val="F9A4C762"/>
    <w:lvl w:ilvl="0" w:tplc="8D7C4248">
      <w:numFmt w:val="bullet"/>
      <w:lvlText w:val="•"/>
      <w:lvlJc w:val="left"/>
      <w:pPr>
        <w:ind w:left="304" w:hanging="217"/>
      </w:pPr>
      <w:rPr>
        <w:rFonts w:ascii="Arial" w:eastAsia="Arial" w:hAnsi="Arial" w:cs="Arial" w:hint="default"/>
        <w:color w:val="231F20"/>
        <w:spacing w:val="-14"/>
        <w:w w:val="100"/>
        <w:sz w:val="18"/>
        <w:szCs w:val="18"/>
        <w:lang w:val="en-GB" w:eastAsia="en-GB" w:bidi="en-GB"/>
      </w:rPr>
    </w:lvl>
    <w:lvl w:ilvl="1" w:tplc="240C4CB2">
      <w:numFmt w:val="bullet"/>
      <w:lvlText w:val="•"/>
      <w:lvlJc w:val="left"/>
      <w:pPr>
        <w:ind w:left="473" w:hanging="217"/>
      </w:pPr>
      <w:rPr>
        <w:rFonts w:hint="default"/>
        <w:lang w:val="en-GB" w:eastAsia="en-GB" w:bidi="en-GB"/>
      </w:rPr>
    </w:lvl>
    <w:lvl w:ilvl="2" w:tplc="CED696D4">
      <w:numFmt w:val="bullet"/>
      <w:lvlText w:val="•"/>
      <w:lvlJc w:val="left"/>
      <w:pPr>
        <w:ind w:left="646" w:hanging="217"/>
      </w:pPr>
      <w:rPr>
        <w:rFonts w:hint="default"/>
        <w:lang w:val="en-GB" w:eastAsia="en-GB" w:bidi="en-GB"/>
      </w:rPr>
    </w:lvl>
    <w:lvl w:ilvl="3" w:tplc="BF526118">
      <w:numFmt w:val="bullet"/>
      <w:lvlText w:val="•"/>
      <w:lvlJc w:val="left"/>
      <w:pPr>
        <w:ind w:left="819" w:hanging="217"/>
      </w:pPr>
      <w:rPr>
        <w:rFonts w:hint="default"/>
        <w:lang w:val="en-GB" w:eastAsia="en-GB" w:bidi="en-GB"/>
      </w:rPr>
    </w:lvl>
    <w:lvl w:ilvl="4" w:tplc="30A24794">
      <w:numFmt w:val="bullet"/>
      <w:lvlText w:val="•"/>
      <w:lvlJc w:val="left"/>
      <w:pPr>
        <w:ind w:left="992" w:hanging="217"/>
      </w:pPr>
      <w:rPr>
        <w:rFonts w:hint="default"/>
        <w:lang w:val="en-GB" w:eastAsia="en-GB" w:bidi="en-GB"/>
      </w:rPr>
    </w:lvl>
    <w:lvl w:ilvl="5" w:tplc="7688DB88">
      <w:numFmt w:val="bullet"/>
      <w:lvlText w:val="•"/>
      <w:lvlJc w:val="left"/>
      <w:pPr>
        <w:ind w:left="1165" w:hanging="217"/>
      </w:pPr>
      <w:rPr>
        <w:rFonts w:hint="default"/>
        <w:lang w:val="en-GB" w:eastAsia="en-GB" w:bidi="en-GB"/>
      </w:rPr>
    </w:lvl>
    <w:lvl w:ilvl="6" w:tplc="ADBA5BDA">
      <w:numFmt w:val="bullet"/>
      <w:lvlText w:val="•"/>
      <w:lvlJc w:val="left"/>
      <w:pPr>
        <w:ind w:left="1338" w:hanging="217"/>
      </w:pPr>
      <w:rPr>
        <w:rFonts w:hint="default"/>
        <w:lang w:val="en-GB" w:eastAsia="en-GB" w:bidi="en-GB"/>
      </w:rPr>
    </w:lvl>
    <w:lvl w:ilvl="7" w:tplc="0D76BE5A">
      <w:numFmt w:val="bullet"/>
      <w:lvlText w:val="•"/>
      <w:lvlJc w:val="left"/>
      <w:pPr>
        <w:ind w:left="1511" w:hanging="217"/>
      </w:pPr>
      <w:rPr>
        <w:rFonts w:hint="default"/>
        <w:lang w:val="en-GB" w:eastAsia="en-GB" w:bidi="en-GB"/>
      </w:rPr>
    </w:lvl>
    <w:lvl w:ilvl="8" w:tplc="34FC0944">
      <w:numFmt w:val="bullet"/>
      <w:lvlText w:val="•"/>
      <w:lvlJc w:val="left"/>
      <w:pPr>
        <w:ind w:left="1684" w:hanging="217"/>
      </w:pPr>
      <w:rPr>
        <w:rFonts w:hint="default"/>
        <w:lang w:val="en-GB" w:eastAsia="en-GB" w:bidi="en-GB"/>
      </w:rPr>
    </w:lvl>
  </w:abstractNum>
  <w:abstractNum w:abstractNumId="1137" w15:restartNumberingAfterBreak="0">
    <w:nsid w:val="66D42388"/>
    <w:multiLevelType w:val="hybridMultilevel"/>
    <w:tmpl w:val="96327392"/>
    <w:lvl w:ilvl="0" w:tplc="2E50332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C7DCC0D6">
      <w:numFmt w:val="bullet"/>
      <w:lvlText w:val="•"/>
      <w:lvlJc w:val="left"/>
      <w:pPr>
        <w:ind w:left="892" w:hanging="217"/>
      </w:pPr>
      <w:rPr>
        <w:rFonts w:hint="default"/>
        <w:lang w:val="en-GB" w:eastAsia="en-GB" w:bidi="en-GB"/>
      </w:rPr>
    </w:lvl>
    <w:lvl w:ilvl="2" w:tplc="4FEED802">
      <w:numFmt w:val="bullet"/>
      <w:lvlText w:val="•"/>
      <w:lvlJc w:val="left"/>
      <w:pPr>
        <w:ind w:left="1485" w:hanging="217"/>
      </w:pPr>
      <w:rPr>
        <w:rFonts w:hint="default"/>
        <w:lang w:val="en-GB" w:eastAsia="en-GB" w:bidi="en-GB"/>
      </w:rPr>
    </w:lvl>
    <w:lvl w:ilvl="3" w:tplc="56102F7C">
      <w:numFmt w:val="bullet"/>
      <w:lvlText w:val="•"/>
      <w:lvlJc w:val="left"/>
      <w:pPr>
        <w:ind w:left="2077" w:hanging="217"/>
      </w:pPr>
      <w:rPr>
        <w:rFonts w:hint="default"/>
        <w:lang w:val="en-GB" w:eastAsia="en-GB" w:bidi="en-GB"/>
      </w:rPr>
    </w:lvl>
    <w:lvl w:ilvl="4" w:tplc="359E3CEE">
      <w:numFmt w:val="bullet"/>
      <w:lvlText w:val="•"/>
      <w:lvlJc w:val="left"/>
      <w:pPr>
        <w:ind w:left="2670" w:hanging="217"/>
      </w:pPr>
      <w:rPr>
        <w:rFonts w:hint="default"/>
        <w:lang w:val="en-GB" w:eastAsia="en-GB" w:bidi="en-GB"/>
      </w:rPr>
    </w:lvl>
    <w:lvl w:ilvl="5" w:tplc="F508BA30">
      <w:numFmt w:val="bullet"/>
      <w:lvlText w:val="•"/>
      <w:lvlJc w:val="left"/>
      <w:pPr>
        <w:ind w:left="3263" w:hanging="217"/>
      </w:pPr>
      <w:rPr>
        <w:rFonts w:hint="default"/>
        <w:lang w:val="en-GB" w:eastAsia="en-GB" w:bidi="en-GB"/>
      </w:rPr>
    </w:lvl>
    <w:lvl w:ilvl="6" w:tplc="613A4224">
      <w:numFmt w:val="bullet"/>
      <w:lvlText w:val="•"/>
      <w:lvlJc w:val="left"/>
      <w:pPr>
        <w:ind w:left="3855" w:hanging="217"/>
      </w:pPr>
      <w:rPr>
        <w:rFonts w:hint="default"/>
        <w:lang w:val="en-GB" w:eastAsia="en-GB" w:bidi="en-GB"/>
      </w:rPr>
    </w:lvl>
    <w:lvl w:ilvl="7" w:tplc="E41A3FAA">
      <w:numFmt w:val="bullet"/>
      <w:lvlText w:val="•"/>
      <w:lvlJc w:val="left"/>
      <w:pPr>
        <w:ind w:left="4448" w:hanging="217"/>
      </w:pPr>
      <w:rPr>
        <w:rFonts w:hint="default"/>
        <w:lang w:val="en-GB" w:eastAsia="en-GB" w:bidi="en-GB"/>
      </w:rPr>
    </w:lvl>
    <w:lvl w:ilvl="8" w:tplc="E3DAD1CC">
      <w:numFmt w:val="bullet"/>
      <w:lvlText w:val="•"/>
      <w:lvlJc w:val="left"/>
      <w:pPr>
        <w:ind w:left="5040" w:hanging="217"/>
      </w:pPr>
      <w:rPr>
        <w:rFonts w:hint="default"/>
        <w:lang w:val="en-GB" w:eastAsia="en-GB" w:bidi="en-GB"/>
      </w:rPr>
    </w:lvl>
  </w:abstractNum>
  <w:abstractNum w:abstractNumId="1138" w15:restartNumberingAfterBreak="0">
    <w:nsid w:val="66D83C9B"/>
    <w:multiLevelType w:val="hybridMultilevel"/>
    <w:tmpl w:val="6A584D56"/>
    <w:lvl w:ilvl="0" w:tplc="65B2E15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73029FC">
      <w:numFmt w:val="bullet"/>
      <w:lvlText w:val="•"/>
      <w:lvlJc w:val="left"/>
      <w:pPr>
        <w:ind w:left="439" w:hanging="217"/>
      </w:pPr>
      <w:rPr>
        <w:rFonts w:hint="default"/>
        <w:lang w:val="en-GB" w:eastAsia="en-GB" w:bidi="en-GB"/>
      </w:rPr>
    </w:lvl>
    <w:lvl w:ilvl="2" w:tplc="0734A3E8">
      <w:numFmt w:val="bullet"/>
      <w:lvlText w:val="•"/>
      <w:lvlJc w:val="left"/>
      <w:pPr>
        <w:ind w:left="578" w:hanging="217"/>
      </w:pPr>
      <w:rPr>
        <w:rFonts w:hint="default"/>
        <w:lang w:val="en-GB" w:eastAsia="en-GB" w:bidi="en-GB"/>
      </w:rPr>
    </w:lvl>
    <w:lvl w:ilvl="3" w:tplc="828E18BE">
      <w:numFmt w:val="bullet"/>
      <w:lvlText w:val="•"/>
      <w:lvlJc w:val="left"/>
      <w:pPr>
        <w:ind w:left="717" w:hanging="217"/>
      </w:pPr>
      <w:rPr>
        <w:rFonts w:hint="default"/>
        <w:lang w:val="en-GB" w:eastAsia="en-GB" w:bidi="en-GB"/>
      </w:rPr>
    </w:lvl>
    <w:lvl w:ilvl="4" w:tplc="9DD69174">
      <w:numFmt w:val="bullet"/>
      <w:lvlText w:val="•"/>
      <w:lvlJc w:val="left"/>
      <w:pPr>
        <w:ind w:left="856" w:hanging="217"/>
      </w:pPr>
      <w:rPr>
        <w:rFonts w:hint="default"/>
        <w:lang w:val="en-GB" w:eastAsia="en-GB" w:bidi="en-GB"/>
      </w:rPr>
    </w:lvl>
    <w:lvl w:ilvl="5" w:tplc="9CA26F32">
      <w:numFmt w:val="bullet"/>
      <w:lvlText w:val="•"/>
      <w:lvlJc w:val="left"/>
      <w:pPr>
        <w:ind w:left="995" w:hanging="217"/>
      </w:pPr>
      <w:rPr>
        <w:rFonts w:hint="default"/>
        <w:lang w:val="en-GB" w:eastAsia="en-GB" w:bidi="en-GB"/>
      </w:rPr>
    </w:lvl>
    <w:lvl w:ilvl="6" w:tplc="4E28B836">
      <w:numFmt w:val="bullet"/>
      <w:lvlText w:val="•"/>
      <w:lvlJc w:val="left"/>
      <w:pPr>
        <w:ind w:left="1134" w:hanging="217"/>
      </w:pPr>
      <w:rPr>
        <w:rFonts w:hint="default"/>
        <w:lang w:val="en-GB" w:eastAsia="en-GB" w:bidi="en-GB"/>
      </w:rPr>
    </w:lvl>
    <w:lvl w:ilvl="7" w:tplc="9B2A3156">
      <w:numFmt w:val="bullet"/>
      <w:lvlText w:val="•"/>
      <w:lvlJc w:val="left"/>
      <w:pPr>
        <w:ind w:left="1273" w:hanging="217"/>
      </w:pPr>
      <w:rPr>
        <w:rFonts w:hint="default"/>
        <w:lang w:val="en-GB" w:eastAsia="en-GB" w:bidi="en-GB"/>
      </w:rPr>
    </w:lvl>
    <w:lvl w:ilvl="8" w:tplc="2CD2E3BC">
      <w:numFmt w:val="bullet"/>
      <w:lvlText w:val="•"/>
      <w:lvlJc w:val="left"/>
      <w:pPr>
        <w:ind w:left="1412" w:hanging="217"/>
      </w:pPr>
      <w:rPr>
        <w:rFonts w:hint="default"/>
        <w:lang w:val="en-GB" w:eastAsia="en-GB" w:bidi="en-GB"/>
      </w:rPr>
    </w:lvl>
  </w:abstractNum>
  <w:abstractNum w:abstractNumId="1139" w15:restartNumberingAfterBreak="0">
    <w:nsid w:val="66EE752C"/>
    <w:multiLevelType w:val="hybridMultilevel"/>
    <w:tmpl w:val="C7F0EF8A"/>
    <w:lvl w:ilvl="0" w:tplc="467C5000">
      <w:numFmt w:val="bullet"/>
      <w:lvlText w:val="•"/>
      <w:lvlJc w:val="left"/>
      <w:pPr>
        <w:ind w:left="304" w:hanging="217"/>
      </w:pPr>
      <w:rPr>
        <w:rFonts w:ascii="Arial" w:eastAsia="Arial" w:hAnsi="Arial" w:cs="Arial" w:hint="default"/>
        <w:color w:val="231F20"/>
        <w:spacing w:val="-14"/>
        <w:w w:val="100"/>
        <w:sz w:val="18"/>
        <w:szCs w:val="18"/>
        <w:lang w:val="en-GB" w:eastAsia="en-GB" w:bidi="en-GB"/>
      </w:rPr>
    </w:lvl>
    <w:lvl w:ilvl="1" w:tplc="62D01CB4">
      <w:numFmt w:val="bullet"/>
      <w:lvlText w:val="•"/>
      <w:lvlJc w:val="left"/>
      <w:pPr>
        <w:ind w:left="473" w:hanging="217"/>
      </w:pPr>
      <w:rPr>
        <w:rFonts w:hint="default"/>
        <w:lang w:val="en-GB" w:eastAsia="en-GB" w:bidi="en-GB"/>
      </w:rPr>
    </w:lvl>
    <w:lvl w:ilvl="2" w:tplc="7EEA7346">
      <w:numFmt w:val="bullet"/>
      <w:lvlText w:val="•"/>
      <w:lvlJc w:val="left"/>
      <w:pPr>
        <w:ind w:left="646" w:hanging="217"/>
      </w:pPr>
      <w:rPr>
        <w:rFonts w:hint="default"/>
        <w:lang w:val="en-GB" w:eastAsia="en-GB" w:bidi="en-GB"/>
      </w:rPr>
    </w:lvl>
    <w:lvl w:ilvl="3" w:tplc="C94C11CC">
      <w:numFmt w:val="bullet"/>
      <w:lvlText w:val="•"/>
      <w:lvlJc w:val="left"/>
      <w:pPr>
        <w:ind w:left="819" w:hanging="217"/>
      </w:pPr>
      <w:rPr>
        <w:rFonts w:hint="default"/>
        <w:lang w:val="en-GB" w:eastAsia="en-GB" w:bidi="en-GB"/>
      </w:rPr>
    </w:lvl>
    <w:lvl w:ilvl="4" w:tplc="28280F78">
      <w:numFmt w:val="bullet"/>
      <w:lvlText w:val="•"/>
      <w:lvlJc w:val="left"/>
      <w:pPr>
        <w:ind w:left="992" w:hanging="217"/>
      </w:pPr>
      <w:rPr>
        <w:rFonts w:hint="default"/>
        <w:lang w:val="en-GB" w:eastAsia="en-GB" w:bidi="en-GB"/>
      </w:rPr>
    </w:lvl>
    <w:lvl w:ilvl="5" w:tplc="C4102A5A">
      <w:numFmt w:val="bullet"/>
      <w:lvlText w:val="•"/>
      <w:lvlJc w:val="left"/>
      <w:pPr>
        <w:ind w:left="1165" w:hanging="217"/>
      </w:pPr>
      <w:rPr>
        <w:rFonts w:hint="default"/>
        <w:lang w:val="en-GB" w:eastAsia="en-GB" w:bidi="en-GB"/>
      </w:rPr>
    </w:lvl>
    <w:lvl w:ilvl="6" w:tplc="0E48497C">
      <w:numFmt w:val="bullet"/>
      <w:lvlText w:val="•"/>
      <w:lvlJc w:val="left"/>
      <w:pPr>
        <w:ind w:left="1338" w:hanging="217"/>
      </w:pPr>
      <w:rPr>
        <w:rFonts w:hint="default"/>
        <w:lang w:val="en-GB" w:eastAsia="en-GB" w:bidi="en-GB"/>
      </w:rPr>
    </w:lvl>
    <w:lvl w:ilvl="7" w:tplc="8126F77A">
      <w:numFmt w:val="bullet"/>
      <w:lvlText w:val="•"/>
      <w:lvlJc w:val="left"/>
      <w:pPr>
        <w:ind w:left="1511" w:hanging="217"/>
      </w:pPr>
      <w:rPr>
        <w:rFonts w:hint="default"/>
        <w:lang w:val="en-GB" w:eastAsia="en-GB" w:bidi="en-GB"/>
      </w:rPr>
    </w:lvl>
    <w:lvl w:ilvl="8" w:tplc="92381756">
      <w:numFmt w:val="bullet"/>
      <w:lvlText w:val="•"/>
      <w:lvlJc w:val="left"/>
      <w:pPr>
        <w:ind w:left="1684" w:hanging="217"/>
      </w:pPr>
      <w:rPr>
        <w:rFonts w:hint="default"/>
        <w:lang w:val="en-GB" w:eastAsia="en-GB" w:bidi="en-GB"/>
      </w:rPr>
    </w:lvl>
  </w:abstractNum>
  <w:abstractNum w:abstractNumId="1140" w15:restartNumberingAfterBreak="0">
    <w:nsid w:val="670B5364"/>
    <w:multiLevelType w:val="hybridMultilevel"/>
    <w:tmpl w:val="E7A4267E"/>
    <w:lvl w:ilvl="0" w:tplc="25FA73F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1D0B7FA">
      <w:numFmt w:val="bullet"/>
      <w:lvlText w:val="•"/>
      <w:lvlJc w:val="left"/>
      <w:pPr>
        <w:ind w:left="473" w:hanging="217"/>
      </w:pPr>
      <w:rPr>
        <w:rFonts w:hint="default"/>
        <w:lang w:val="en-GB" w:eastAsia="en-GB" w:bidi="en-GB"/>
      </w:rPr>
    </w:lvl>
    <w:lvl w:ilvl="2" w:tplc="6CBA7430">
      <w:numFmt w:val="bullet"/>
      <w:lvlText w:val="•"/>
      <w:lvlJc w:val="left"/>
      <w:pPr>
        <w:ind w:left="646" w:hanging="217"/>
      </w:pPr>
      <w:rPr>
        <w:rFonts w:hint="default"/>
        <w:lang w:val="en-GB" w:eastAsia="en-GB" w:bidi="en-GB"/>
      </w:rPr>
    </w:lvl>
    <w:lvl w:ilvl="3" w:tplc="EB16722A">
      <w:numFmt w:val="bullet"/>
      <w:lvlText w:val="•"/>
      <w:lvlJc w:val="left"/>
      <w:pPr>
        <w:ind w:left="819" w:hanging="217"/>
      </w:pPr>
      <w:rPr>
        <w:rFonts w:hint="default"/>
        <w:lang w:val="en-GB" w:eastAsia="en-GB" w:bidi="en-GB"/>
      </w:rPr>
    </w:lvl>
    <w:lvl w:ilvl="4" w:tplc="58CE47F6">
      <w:numFmt w:val="bullet"/>
      <w:lvlText w:val="•"/>
      <w:lvlJc w:val="left"/>
      <w:pPr>
        <w:ind w:left="992" w:hanging="217"/>
      </w:pPr>
      <w:rPr>
        <w:rFonts w:hint="default"/>
        <w:lang w:val="en-GB" w:eastAsia="en-GB" w:bidi="en-GB"/>
      </w:rPr>
    </w:lvl>
    <w:lvl w:ilvl="5" w:tplc="F6C20A10">
      <w:numFmt w:val="bullet"/>
      <w:lvlText w:val="•"/>
      <w:lvlJc w:val="left"/>
      <w:pPr>
        <w:ind w:left="1165" w:hanging="217"/>
      </w:pPr>
      <w:rPr>
        <w:rFonts w:hint="default"/>
        <w:lang w:val="en-GB" w:eastAsia="en-GB" w:bidi="en-GB"/>
      </w:rPr>
    </w:lvl>
    <w:lvl w:ilvl="6" w:tplc="64B026BC">
      <w:numFmt w:val="bullet"/>
      <w:lvlText w:val="•"/>
      <w:lvlJc w:val="left"/>
      <w:pPr>
        <w:ind w:left="1338" w:hanging="217"/>
      </w:pPr>
      <w:rPr>
        <w:rFonts w:hint="default"/>
        <w:lang w:val="en-GB" w:eastAsia="en-GB" w:bidi="en-GB"/>
      </w:rPr>
    </w:lvl>
    <w:lvl w:ilvl="7" w:tplc="874AA6A8">
      <w:numFmt w:val="bullet"/>
      <w:lvlText w:val="•"/>
      <w:lvlJc w:val="left"/>
      <w:pPr>
        <w:ind w:left="1511" w:hanging="217"/>
      </w:pPr>
      <w:rPr>
        <w:rFonts w:hint="default"/>
        <w:lang w:val="en-GB" w:eastAsia="en-GB" w:bidi="en-GB"/>
      </w:rPr>
    </w:lvl>
    <w:lvl w:ilvl="8" w:tplc="037617D0">
      <w:numFmt w:val="bullet"/>
      <w:lvlText w:val="•"/>
      <w:lvlJc w:val="left"/>
      <w:pPr>
        <w:ind w:left="1684" w:hanging="217"/>
      </w:pPr>
      <w:rPr>
        <w:rFonts w:hint="default"/>
        <w:lang w:val="en-GB" w:eastAsia="en-GB" w:bidi="en-GB"/>
      </w:rPr>
    </w:lvl>
  </w:abstractNum>
  <w:abstractNum w:abstractNumId="1141" w15:restartNumberingAfterBreak="0">
    <w:nsid w:val="67102C96"/>
    <w:multiLevelType w:val="hybridMultilevel"/>
    <w:tmpl w:val="572EF7EE"/>
    <w:lvl w:ilvl="0" w:tplc="ED28CE6E">
      <w:numFmt w:val="bullet"/>
      <w:lvlText w:val="•"/>
      <w:lvlJc w:val="left"/>
      <w:pPr>
        <w:ind w:left="300" w:hanging="217"/>
      </w:pPr>
      <w:rPr>
        <w:rFonts w:ascii="Arial" w:eastAsia="Arial" w:hAnsi="Arial" w:cs="Arial" w:hint="default"/>
        <w:color w:val="231F20"/>
        <w:w w:val="102"/>
        <w:sz w:val="17"/>
        <w:szCs w:val="17"/>
        <w:lang w:val="en-GB" w:eastAsia="en-GB" w:bidi="en-GB"/>
      </w:rPr>
    </w:lvl>
    <w:lvl w:ilvl="1" w:tplc="D84C8892">
      <w:numFmt w:val="bullet"/>
      <w:lvlText w:val="•"/>
      <w:lvlJc w:val="left"/>
      <w:pPr>
        <w:ind w:left="892" w:hanging="217"/>
      </w:pPr>
      <w:rPr>
        <w:rFonts w:hint="default"/>
        <w:lang w:val="en-GB" w:eastAsia="en-GB" w:bidi="en-GB"/>
      </w:rPr>
    </w:lvl>
    <w:lvl w:ilvl="2" w:tplc="C9543390">
      <w:numFmt w:val="bullet"/>
      <w:lvlText w:val="•"/>
      <w:lvlJc w:val="left"/>
      <w:pPr>
        <w:ind w:left="1484" w:hanging="217"/>
      </w:pPr>
      <w:rPr>
        <w:rFonts w:hint="default"/>
        <w:lang w:val="en-GB" w:eastAsia="en-GB" w:bidi="en-GB"/>
      </w:rPr>
    </w:lvl>
    <w:lvl w:ilvl="3" w:tplc="933ABDB6">
      <w:numFmt w:val="bullet"/>
      <w:lvlText w:val="•"/>
      <w:lvlJc w:val="left"/>
      <w:pPr>
        <w:ind w:left="2076" w:hanging="217"/>
      </w:pPr>
      <w:rPr>
        <w:rFonts w:hint="default"/>
        <w:lang w:val="en-GB" w:eastAsia="en-GB" w:bidi="en-GB"/>
      </w:rPr>
    </w:lvl>
    <w:lvl w:ilvl="4" w:tplc="9D983F74">
      <w:numFmt w:val="bullet"/>
      <w:lvlText w:val="•"/>
      <w:lvlJc w:val="left"/>
      <w:pPr>
        <w:ind w:left="2668" w:hanging="217"/>
      </w:pPr>
      <w:rPr>
        <w:rFonts w:hint="default"/>
        <w:lang w:val="en-GB" w:eastAsia="en-GB" w:bidi="en-GB"/>
      </w:rPr>
    </w:lvl>
    <w:lvl w:ilvl="5" w:tplc="D6AAB8D8">
      <w:numFmt w:val="bullet"/>
      <w:lvlText w:val="•"/>
      <w:lvlJc w:val="left"/>
      <w:pPr>
        <w:ind w:left="3260" w:hanging="217"/>
      </w:pPr>
      <w:rPr>
        <w:rFonts w:hint="default"/>
        <w:lang w:val="en-GB" w:eastAsia="en-GB" w:bidi="en-GB"/>
      </w:rPr>
    </w:lvl>
    <w:lvl w:ilvl="6" w:tplc="BF547E1A">
      <w:numFmt w:val="bullet"/>
      <w:lvlText w:val="•"/>
      <w:lvlJc w:val="left"/>
      <w:pPr>
        <w:ind w:left="3852" w:hanging="217"/>
      </w:pPr>
      <w:rPr>
        <w:rFonts w:hint="default"/>
        <w:lang w:val="en-GB" w:eastAsia="en-GB" w:bidi="en-GB"/>
      </w:rPr>
    </w:lvl>
    <w:lvl w:ilvl="7" w:tplc="24F8B71A">
      <w:numFmt w:val="bullet"/>
      <w:lvlText w:val="•"/>
      <w:lvlJc w:val="left"/>
      <w:pPr>
        <w:ind w:left="4444" w:hanging="217"/>
      </w:pPr>
      <w:rPr>
        <w:rFonts w:hint="default"/>
        <w:lang w:val="en-GB" w:eastAsia="en-GB" w:bidi="en-GB"/>
      </w:rPr>
    </w:lvl>
    <w:lvl w:ilvl="8" w:tplc="E4A64EAC">
      <w:numFmt w:val="bullet"/>
      <w:lvlText w:val="•"/>
      <w:lvlJc w:val="left"/>
      <w:pPr>
        <w:ind w:left="5036" w:hanging="217"/>
      </w:pPr>
      <w:rPr>
        <w:rFonts w:hint="default"/>
        <w:lang w:val="en-GB" w:eastAsia="en-GB" w:bidi="en-GB"/>
      </w:rPr>
    </w:lvl>
  </w:abstractNum>
  <w:abstractNum w:abstractNumId="1142" w15:restartNumberingAfterBreak="0">
    <w:nsid w:val="673E6FE5"/>
    <w:multiLevelType w:val="hybridMultilevel"/>
    <w:tmpl w:val="F74CA0A0"/>
    <w:lvl w:ilvl="0" w:tplc="B8D8E0A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E5823A90">
      <w:numFmt w:val="bullet"/>
      <w:lvlText w:val="•"/>
      <w:lvlJc w:val="left"/>
      <w:pPr>
        <w:ind w:left="892" w:hanging="217"/>
      </w:pPr>
      <w:rPr>
        <w:rFonts w:hint="default"/>
        <w:lang w:val="en-GB" w:eastAsia="en-GB" w:bidi="en-GB"/>
      </w:rPr>
    </w:lvl>
    <w:lvl w:ilvl="2" w:tplc="EF809AC4">
      <w:numFmt w:val="bullet"/>
      <w:lvlText w:val="•"/>
      <w:lvlJc w:val="left"/>
      <w:pPr>
        <w:ind w:left="1485" w:hanging="217"/>
      </w:pPr>
      <w:rPr>
        <w:rFonts w:hint="default"/>
        <w:lang w:val="en-GB" w:eastAsia="en-GB" w:bidi="en-GB"/>
      </w:rPr>
    </w:lvl>
    <w:lvl w:ilvl="3" w:tplc="C2CC82C4">
      <w:numFmt w:val="bullet"/>
      <w:lvlText w:val="•"/>
      <w:lvlJc w:val="left"/>
      <w:pPr>
        <w:ind w:left="2077" w:hanging="217"/>
      </w:pPr>
      <w:rPr>
        <w:rFonts w:hint="default"/>
        <w:lang w:val="en-GB" w:eastAsia="en-GB" w:bidi="en-GB"/>
      </w:rPr>
    </w:lvl>
    <w:lvl w:ilvl="4" w:tplc="2BD86DA0">
      <w:numFmt w:val="bullet"/>
      <w:lvlText w:val="•"/>
      <w:lvlJc w:val="left"/>
      <w:pPr>
        <w:ind w:left="2670" w:hanging="217"/>
      </w:pPr>
      <w:rPr>
        <w:rFonts w:hint="default"/>
        <w:lang w:val="en-GB" w:eastAsia="en-GB" w:bidi="en-GB"/>
      </w:rPr>
    </w:lvl>
    <w:lvl w:ilvl="5" w:tplc="20DCFF86">
      <w:numFmt w:val="bullet"/>
      <w:lvlText w:val="•"/>
      <w:lvlJc w:val="left"/>
      <w:pPr>
        <w:ind w:left="3263" w:hanging="217"/>
      </w:pPr>
      <w:rPr>
        <w:rFonts w:hint="default"/>
        <w:lang w:val="en-GB" w:eastAsia="en-GB" w:bidi="en-GB"/>
      </w:rPr>
    </w:lvl>
    <w:lvl w:ilvl="6" w:tplc="3B406984">
      <w:numFmt w:val="bullet"/>
      <w:lvlText w:val="•"/>
      <w:lvlJc w:val="left"/>
      <w:pPr>
        <w:ind w:left="3855" w:hanging="217"/>
      </w:pPr>
      <w:rPr>
        <w:rFonts w:hint="default"/>
        <w:lang w:val="en-GB" w:eastAsia="en-GB" w:bidi="en-GB"/>
      </w:rPr>
    </w:lvl>
    <w:lvl w:ilvl="7" w:tplc="8CBA6542">
      <w:numFmt w:val="bullet"/>
      <w:lvlText w:val="•"/>
      <w:lvlJc w:val="left"/>
      <w:pPr>
        <w:ind w:left="4448" w:hanging="217"/>
      </w:pPr>
      <w:rPr>
        <w:rFonts w:hint="default"/>
        <w:lang w:val="en-GB" w:eastAsia="en-GB" w:bidi="en-GB"/>
      </w:rPr>
    </w:lvl>
    <w:lvl w:ilvl="8" w:tplc="1D8CEC5A">
      <w:numFmt w:val="bullet"/>
      <w:lvlText w:val="•"/>
      <w:lvlJc w:val="left"/>
      <w:pPr>
        <w:ind w:left="5040" w:hanging="217"/>
      </w:pPr>
      <w:rPr>
        <w:rFonts w:hint="default"/>
        <w:lang w:val="en-GB" w:eastAsia="en-GB" w:bidi="en-GB"/>
      </w:rPr>
    </w:lvl>
  </w:abstractNum>
  <w:abstractNum w:abstractNumId="1143" w15:restartNumberingAfterBreak="0">
    <w:nsid w:val="67667F06"/>
    <w:multiLevelType w:val="hybridMultilevel"/>
    <w:tmpl w:val="BD306CC8"/>
    <w:lvl w:ilvl="0" w:tplc="BCA237C0">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35567862">
      <w:numFmt w:val="bullet"/>
      <w:lvlText w:val="•"/>
      <w:lvlJc w:val="left"/>
      <w:pPr>
        <w:ind w:left="524" w:hanging="217"/>
      </w:pPr>
      <w:rPr>
        <w:rFonts w:hint="default"/>
        <w:lang w:val="en-GB" w:eastAsia="en-GB" w:bidi="en-GB"/>
      </w:rPr>
    </w:lvl>
    <w:lvl w:ilvl="2" w:tplc="E18C3424">
      <w:numFmt w:val="bullet"/>
      <w:lvlText w:val="•"/>
      <w:lvlJc w:val="left"/>
      <w:pPr>
        <w:ind w:left="748" w:hanging="217"/>
      </w:pPr>
      <w:rPr>
        <w:rFonts w:hint="default"/>
        <w:lang w:val="en-GB" w:eastAsia="en-GB" w:bidi="en-GB"/>
      </w:rPr>
    </w:lvl>
    <w:lvl w:ilvl="3" w:tplc="A0DA4D38">
      <w:numFmt w:val="bullet"/>
      <w:lvlText w:val="•"/>
      <w:lvlJc w:val="left"/>
      <w:pPr>
        <w:ind w:left="972" w:hanging="217"/>
      </w:pPr>
      <w:rPr>
        <w:rFonts w:hint="default"/>
        <w:lang w:val="en-GB" w:eastAsia="en-GB" w:bidi="en-GB"/>
      </w:rPr>
    </w:lvl>
    <w:lvl w:ilvl="4" w:tplc="E8FCA886">
      <w:numFmt w:val="bullet"/>
      <w:lvlText w:val="•"/>
      <w:lvlJc w:val="left"/>
      <w:pPr>
        <w:ind w:left="1196" w:hanging="217"/>
      </w:pPr>
      <w:rPr>
        <w:rFonts w:hint="default"/>
        <w:lang w:val="en-GB" w:eastAsia="en-GB" w:bidi="en-GB"/>
      </w:rPr>
    </w:lvl>
    <w:lvl w:ilvl="5" w:tplc="BC546216">
      <w:numFmt w:val="bullet"/>
      <w:lvlText w:val="•"/>
      <w:lvlJc w:val="left"/>
      <w:pPr>
        <w:ind w:left="1420" w:hanging="217"/>
      </w:pPr>
      <w:rPr>
        <w:rFonts w:hint="default"/>
        <w:lang w:val="en-GB" w:eastAsia="en-GB" w:bidi="en-GB"/>
      </w:rPr>
    </w:lvl>
    <w:lvl w:ilvl="6" w:tplc="7D024F62">
      <w:numFmt w:val="bullet"/>
      <w:lvlText w:val="•"/>
      <w:lvlJc w:val="left"/>
      <w:pPr>
        <w:ind w:left="1644" w:hanging="217"/>
      </w:pPr>
      <w:rPr>
        <w:rFonts w:hint="default"/>
        <w:lang w:val="en-GB" w:eastAsia="en-GB" w:bidi="en-GB"/>
      </w:rPr>
    </w:lvl>
    <w:lvl w:ilvl="7" w:tplc="CAACABB6">
      <w:numFmt w:val="bullet"/>
      <w:lvlText w:val="•"/>
      <w:lvlJc w:val="left"/>
      <w:pPr>
        <w:ind w:left="1868" w:hanging="217"/>
      </w:pPr>
      <w:rPr>
        <w:rFonts w:hint="default"/>
        <w:lang w:val="en-GB" w:eastAsia="en-GB" w:bidi="en-GB"/>
      </w:rPr>
    </w:lvl>
    <w:lvl w:ilvl="8" w:tplc="0786114A">
      <w:numFmt w:val="bullet"/>
      <w:lvlText w:val="•"/>
      <w:lvlJc w:val="left"/>
      <w:pPr>
        <w:ind w:left="2092" w:hanging="217"/>
      </w:pPr>
      <w:rPr>
        <w:rFonts w:hint="default"/>
        <w:lang w:val="en-GB" w:eastAsia="en-GB" w:bidi="en-GB"/>
      </w:rPr>
    </w:lvl>
  </w:abstractNum>
  <w:abstractNum w:abstractNumId="1144" w15:restartNumberingAfterBreak="0">
    <w:nsid w:val="677548AB"/>
    <w:multiLevelType w:val="hybridMultilevel"/>
    <w:tmpl w:val="21587ABA"/>
    <w:lvl w:ilvl="0" w:tplc="C2BE92A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2108EE4">
      <w:numFmt w:val="bullet"/>
      <w:lvlText w:val="•"/>
      <w:lvlJc w:val="left"/>
      <w:pPr>
        <w:ind w:left="473" w:hanging="217"/>
      </w:pPr>
      <w:rPr>
        <w:rFonts w:hint="default"/>
        <w:lang w:val="en-GB" w:eastAsia="en-GB" w:bidi="en-GB"/>
      </w:rPr>
    </w:lvl>
    <w:lvl w:ilvl="2" w:tplc="3E328F9A">
      <w:numFmt w:val="bullet"/>
      <w:lvlText w:val="•"/>
      <w:lvlJc w:val="left"/>
      <w:pPr>
        <w:ind w:left="646" w:hanging="217"/>
      </w:pPr>
      <w:rPr>
        <w:rFonts w:hint="default"/>
        <w:lang w:val="en-GB" w:eastAsia="en-GB" w:bidi="en-GB"/>
      </w:rPr>
    </w:lvl>
    <w:lvl w:ilvl="3" w:tplc="8326E78A">
      <w:numFmt w:val="bullet"/>
      <w:lvlText w:val="•"/>
      <w:lvlJc w:val="left"/>
      <w:pPr>
        <w:ind w:left="819" w:hanging="217"/>
      </w:pPr>
      <w:rPr>
        <w:rFonts w:hint="default"/>
        <w:lang w:val="en-GB" w:eastAsia="en-GB" w:bidi="en-GB"/>
      </w:rPr>
    </w:lvl>
    <w:lvl w:ilvl="4" w:tplc="3ADEDE2A">
      <w:numFmt w:val="bullet"/>
      <w:lvlText w:val="•"/>
      <w:lvlJc w:val="left"/>
      <w:pPr>
        <w:ind w:left="992" w:hanging="217"/>
      </w:pPr>
      <w:rPr>
        <w:rFonts w:hint="default"/>
        <w:lang w:val="en-GB" w:eastAsia="en-GB" w:bidi="en-GB"/>
      </w:rPr>
    </w:lvl>
    <w:lvl w:ilvl="5" w:tplc="73A047C6">
      <w:numFmt w:val="bullet"/>
      <w:lvlText w:val="•"/>
      <w:lvlJc w:val="left"/>
      <w:pPr>
        <w:ind w:left="1165" w:hanging="217"/>
      </w:pPr>
      <w:rPr>
        <w:rFonts w:hint="default"/>
        <w:lang w:val="en-GB" w:eastAsia="en-GB" w:bidi="en-GB"/>
      </w:rPr>
    </w:lvl>
    <w:lvl w:ilvl="6" w:tplc="FA7AB8AA">
      <w:numFmt w:val="bullet"/>
      <w:lvlText w:val="•"/>
      <w:lvlJc w:val="left"/>
      <w:pPr>
        <w:ind w:left="1338" w:hanging="217"/>
      </w:pPr>
      <w:rPr>
        <w:rFonts w:hint="default"/>
        <w:lang w:val="en-GB" w:eastAsia="en-GB" w:bidi="en-GB"/>
      </w:rPr>
    </w:lvl>
    <w:lvl w:ilvl="7" w:tplc="02B4F48C">
      <w:numFmt w:val="bullet"/>
      <w:lvlText w:val="•"/>
      <w:lvlJc w:val="left"/>
      <w:pPr>
        <w:ind w:left="1511" w:hanging="217"/>
      </w:pPr>
      <w:rPr>
        <w:rFonts w:hint="default"/>
        <w:lang w:val="en-GB" w:eastAsia="en-GB" w:bidi="en-GB"/>
      </w:rPr>
    </w:lvl>
    <w:lvl w:ilvl="8" w:tplc="4CEC7D00">
      <w:numFmt w:val="bullet"/>
      <w:lvlText w:val="•"/>
      <w:lvlJc w:val="left"/>
      <w:pPr>
        <w:ind w:left="1684" w:hanging="217"/>
      </w:pPr>
      <w:rPr>
        <w:rFonts w:hint="default"/>
        <w:lang w:val="en-GB" w:eastAsia="en-GB" w:bidi="en-GB"/>
      </w:rPr>
    </w:lvl>
  </w:abstractNum>
  <w:abstractNum w:abstractNumId="1145" w15:restartNumberingAfterBreak="0">
    <w:nsid w:val="67946636"/>
    <w:multiLevelType w:val="hybridMultilevel"/>
    <w:tmpl w:val="F93C23A6"/>
    <w:lvl w:ilvl="0" w:tplc="EA463238">
      <w:numFmt w:val="bullet"/>
      <w:lvlText w:val="•"/>
      <w:lvlJc w:val="left"/>
      <w:pPr>
        <w:ind w:left="3638" w:hanging="217"/>
      </w:pPr>
      <w:rPr>
        <w:rFonts w:ascii="Arial" w:eastAsia="Arial" w:hAnsi="Arial" w:cs="Arial" w:hint="default"/>
        <w:color w:val="231F20"/>
        <w:w w:val="102"/>
        <w:sz w:val="17"/>
        <w:szCs w:val="17"/>
        <w:lang w:val="en-GB" w:eastAsia="en-GB" w:bidi="en-GB"/>
      </w:rPr>
    </w:lvl>
    <w:lvl w:ilvl="1" w:tplc="D806DA4C">
      <w:numFmt w:val="bullet"/>
      <w:lvlText w:val="•"/>
      <w:lvlJc w:val="left"/>
      <w:pPr>
        <w:ind w:left="4091" w:hanging="217"/>
      </w:pPr>
      <w:rPr>
        <w:rFonts w:hint="default"/>
        <w:lang w:val="en-GB" w:eastAsia="en-GB" w:bidi="en-GB"/>
      </w:rPr>
    </w:lvl>
    <w:lvl w:ilvl="2" w:tplc="2746F634">
      <w:numFmt w:val="bullet"/>
      <w:lvlText w:val="•"/>
      <w:lvlJc w:val="left"/>
      <w:pPr>
        <w:ind w:left="4542" w:hanging="217"/>
      </w:pPr>
      <w:rPr>
        <w:rFonts w:hint="default"/>
        <w:lang w:val="en-GB" w:eastAsia="en-GB" w:bidi="en-GB"/>
      </w:rPr>
    </w:lvl>
    <w:lvl w:ilvl="3" w:tplc="CB94683E">
      <w:numFmt w:val="bullet"/>
      <w:lvlText w:val="•"/>
      <w:lvlJc w:val="left"/>
      <w:pPr>
        <w:ind w:left="4994" w:hanging="217"/>
      </w:pPr>
      <w:rPr>
        <w:rFonts w:hint="default"/>
        <w:lang w:val="en-GB" w:eastAsia="en-GB" w:bidi="en-GB"/>
      </w:rPr>
    </w:lvl>
    <w:lvl w:ilvl="4" w:tplc="7444C79C">
      <w:numFmt w:val="bullet"/>
      <w:lvlText w:val="•"/>
      <w:lvlJc w:val="left"/>
      <w:pPr>
        <w:ind w:left="5445" w:hanging="217"/>
      </w:pPr>
      <w:rPr>
        <w:rFonts w:hint="default"/>
        <w:lang w:val="en-GB" w:eastAsia="en-GB" w:bidi="en-GB"/>
      </w:rPr>
    </w:lvl>
    <w:lvl w:ilvl="5" w:tplc="51CA08D0">
      <w:numFmt w:val="bullet"/>
      <w:lvlText w:val="•"/>
      <w:lvlJc w:val="left"/>
      <w:pPr>
        <w:ind w:left="5897" w:hanging="217"/>
      </w:pPr>
      <w:rPr>
        <w:rFonts w:hint="default"/>
        <w:lang w:val="en-GB" w:eastAsia="en-GB" w:bidi="en-GB"/>
      </w:rPr>
    </w:lvl>
    <w:lvl w:ilvl="6" w:tplc="91C00E50">
      <w:numFmt w:val="bullet"/>
      <w:lvlText w:val="•"/>
      <w:lvlJc w:val="left"/>
      <w:pPr>
        <w:ind w:left="6348" w:hanging="217"/>
      </w:pPr>
      <w:rPr>
        <w:rFonts w:hint="default"/>
        <w:lang w:val="en-GB" w:eastAsia="en-GB" w:bidi="en-GB"/>
      </w:rPr>
    </w:lvl>
    <w:lvl w:ilvl="7" w:tplc="7E9A6900">
      <w:numFmt w:val="bullet"/>
      <w:lvlText w:val="•"/>
      <w:lvlJc w:val="left"/>
      <w:pPr>
        <w:ind w:left="6799" w:hanging="217"/>
      </w:pPr>
      <w:rPr>
        <w:rFonts w:hint="default"/>
        <w:lang w:val="en-GB" w:eastAsia="en-GB" w:bidi="en-GB"/>
      </w:rPr>
    </w:lvl>
    <w:lvl w:ilvl="8" w:tplc="8F2C21A8">
      <w:numFmt w:val="bullet"/>
      <w:lvlText w:val="•"/>
      <w:lvlJc w:val="left"/>
      <w:pPr>
        <w:ind w:left="7251" w:hanging="217"/>
      </w:pPr>
      <w:rPr>
        <w:rFonts w:hint="default"/>
        <w:lang w:val="en-GB" w:eastAsia="en-GB" w:bidi="en-GB"/>
      </w:rPr>
    </w:lvl>
  </w:abstractNum>
  <w:abstractNum w:abstractNumId="1146" w15:restartNumberingAfterBreak="0">
    <w:nsid w:val="67963DCC"/>
    <w:multiLevelType w:val="hybridMultilevel"/>
    <w:tmpl w:val="FFBA378E"/>
    <w:lvl w:ilvl="0" w:tplc="BE4E4534">
      <w:numFmt w:val="bullet"/>
      <w:lvlText w:val="•"/>
      <w:lvlJc w:val="left"/>
      <w:pPr>
        <w:ind w:left="304" w:hanging="217"/>
      </w:pPr>
      <w:rPr>
        <w:rFonts w:ascii="Arial" w:eastAsia="Arial" w:hAnsi="Arial" w:cs="Arial" w:hint="default"/>
        <w:color w:val="231F20"/>
        <w:w w:val="100"/>
        <w:sz w:val="18"/>
        <w:szCs w:val="18"/>
        <w:lang w:val="en-GB" w:eastAsia="en-GB" w:bidi="en-GB"/>
      </w:rPr>
    </w:lvl>
    <w:lvl w:ilvl="1" w:tplc="4D32DEEA">
      <w:numFmt w:val="bullet"/>
      <w:lvlText w:val="•"/>
      <w:lvlJc w:val="left"/>
      <w:pPr>
        <w:ind w:left="473" w:hanging="217"/>
      </w:pPr>
      <w:rPr>
        <w:rFonts w:hint="default"/>
        <w:lang w:val="en-GB" w:eastAsia="en-GB" w:bidi="en-GB"/>
      </w:rPr>
    </w:lvl>
    <w:lvl w:ilvl="2" w:tplc="45984B78">
      <w:numFmt w:val="bullet"/>
      <w:lvlText w:val="•"/>
      <w:lvlJc w:val="left"/>
      <w:pPr>
        <w:ind w:left="646" w:hanging="217"/>
      </w:pPr>
      <w:rPr>
        <w:rFonts w:hint="default"/>
        <w:lang w:val="en-GB" w:eastAsia="en-GB" w:bidi="en-GB"/>
      </w:rPr>
    </w:lvl>
    <w:lvl w:ilvl="3" w:tplc="9FD88C42">
      <w:numFmt w:val="bullet"/>
      <w:lvlText w:val="•"/>
      <w:lvlJc w:val="left"/>
      <w:pPr>
        <w:ind w:left="819" w:hanging="217"/>
      </w:pPr>
      <w:rPr>
        <w:rFonts w:hint="default"/>
        <w:lang w:val="en-GB" w:eastAsia="en-GB" w:bidi="en-GB"/>
      </w:rPr>
    </w:lvl>
    <w:lvl w:ilvl="4" w:tplc="4FE698A4">
      <w:numFmt w:val="bullet"/>
      <w:lvlText w:val="•"/>
      <w:lvlJc w:val="left"/>
      <w:pPr>
        <w:ind w:left="992" w:hanging="217"/>
      </w:pPr>
      <w:rPr>
        <w:rFonts w:hint="default"/>
        <w:lang w:val="en-GB" w:eastAsia="en-GB" w:bidi="en-GB"/>
      </w:rPr>
    </w:lvl>
    <w:lvl w:ilvl="5" w:tplc="71B46B50">
      <w:numFmt w:val="bullet"/>
      <w:lvlText w:val="•"/>
      <w:lvlJc w:val="left"/>
      <w:pPr>
        <w:ind w:left="1165" w:hanging="217"/>
      </w:pPr>
      <w:rPr>
        <w:rFonts w:hint="default"/>
        <w:lang w:val="en-GB" w:eastAsia="en-GB" w:bidi="en-GB"/>
      </w:rPr>
    </w:lvl>
    <w:lvl w:ilvl="6" w:tplc="69729798">
      <w:numFmt w:val="bullet"/>
      <w:lvlText w:val="•"/>
      <w:lvlJc w:val="left"/>
      <w:pPr>
        <w:ind w:left="1338" w:hanging="217"/>
      </w:pPr>
      <w:rPr>
        <w:rFonts w:hint="default"/>
        <w:lang w:val="en-GB" w:eastAsia="en-GB" w:bidi="en-GB"/>
      </w:rPr>
    </w:lvl>
    <w:lvl w:ilvl="7" w:tplc="3B36DFFA">
      <w:numFmt w:val="bullet"/>
      <w:lvlText w:val="•"/>
      <w:lvlJc w:val="left"/>
      <w:pPr>
        <w:ind w:left="1511" w:hanging="217"/>
      </w:pPr>
      <w:rPr>
        <w:rFonts w:hint="default"/>
        <w:lang w:val="en-GB" w:eastAsia="en-GB" w:bidi="en-GB"/>
      </w:rPr>
    </w:lvl>
    <w:lvl w:ilvl="8" w:tplc="13585D22">
      <w:numFmt w:val="bullet"/>
      <w:lvlText w:val="•"/>
      <w:lvlJc w:val="left"/>
      <w:pPr>
        <w:ind w:left="1684" w:hanging="217"/>
      </w:pPr>
      <w:rPr>
        <w:rFonts w:hint="default"/>
        <w:lang w:val="en-GB" w:eastAsia="en-GB" w:bidi="en-GB"/>
      </w:rPr>
    </w:lvl>
  </w:abstractNum>
  <w:abstractNum w:abstractNumId="1147" w15:restartNumberingAfterBreak="0">
    <w:nsid w:val="67AF0207"/>
    <w:multiLevelType w:val="hybridMultilevel"/>
    <w:tmpl w:val="D560642C"/>
    <w:lvl w:ilvl="0" w:tplc="50A4F2B0">
      <w:start w:val="1"/>
      <w:numFmt w:val="decimal"/>
      <w:lvlText w:val="%1"/>
      <w:lvlJc w:val="left"/>
      <w:pPr>
        <w:ind w:left="210" w:hanging="171"/>
      </w:pPr>
      <w:rPr>
        <w:rFonts w:ascii="HelveticaNeueLTStd-Lt" w:eastAsia="HelveticaNeueLTStd-Lt" w:hAnsi="HelveticaNeueLTStd-Lt" w:cs="HelveticaNeueLTStd-Lt" w:hint="default"/>
        <w:color w:val="808285"/>
        <w:spacing w:val="-8"/>
        <w:w w:val="100"/>
        <w:sz w:val="16"/>
        <w:szCs w:val="16"/>
        <w:lang w:val="en-GB" w:eastAsia="en-GB" w:bidi="en-GB"/>
      </w:rPr>
    </w:lvl>
    <w:lvl w:ilvl="1" w:tplc="03ECE338">
      <w:numFmt w:val="bullet"/>
      <w:lvlText w:val="•"/>
      <w:lvlJc w:val="left"/>
      <w:pPr>
        <w:ind w:left="1258" w:hanging="171"/>
      </w:pPr>
      <w:rPr>
        <w:rFonts w:hint="default"/>
        <w:lang w:val="en-GB" w:eastAsia="en-GB" w:bidi="en-GB"/>
      </w:rPr>
    </w:lvl>
    <w:lvl w:ilvl="2" w:tplc="8026BD62">
      <w:numFmt w:val="bullet"/>
      <w:lvlText w:val="•"/>
      <w:lvlJc w:val="left"/>
      <w:pPr>
        <w:ind w:left="2297" w:hanging="171"/>
      </w:pPr>
      <w:rPr>
        <w:rFonts w:hint="default"/>
        <w:lang w:val="en-GB" w:eastAsia="en-GB" w:bidi="en-GB"/>
      </w:rPr>
    </w:lvl>
    <w:lvl w:ilvl="3" w:tplc="05BA1272">
      <w:numFmt w:val="bullet"/>
      <w:lvlText w:val="•"/>
      <w:lvlJc w:val="left"/>
      <w:pPr>
        <w:ind w:left="3335" w:hanging="171"/>
      </w:pPr>
      <w:rPr>
        <w:rFonts w:hint="default"/>
        <w:lang w:val="en-GB" w:eastAsia="en-GB" w:bidi="en-GB"/>
      </w:rPr>
    </w:lvl>
    <w:lvl w:ilvl="4" w:tplc="F92487D4">
      <w:numFmt w:val="bullet"/>
      <w:lvlText w:val="•"/>
      <w:lvlJc w:val="left"/>
      <w:pPr>
        <w:ind w:left="4374" w:hanging="171"/>
      </w:pPr>
      <w:rPr>
        <w:rFonts w:hint="default"/>
        <w:lang w:val="en-GB" w:eastAsia="en-GB" w:bidi="en-GB"/>
      </w:rPr>
    </w:lvl>
    <w:lvl w:ilvl="5" w:tplc="33F47288">
      <w:numFmt w:val="bullet"/>
      <w:lvlText w:val="•"/>
      <w:lvlJc w:val="left"/>
      <w:pPr>
        <w:ind w:left="5412" w:hanging="171"/>
      </w:pPr>
      <w:rPr>
        <w:rFonts w:hint="default"/>
        <w:lang w:val="en-GB" w:eastAsia="en-GB" w:bidi="en-GB"/>
      </w:rPr>
    </w:lvl>
    <w:lvl w:ilvl="6" w:tplc="312004CA">
      <w:numFmt w:val="bullet"/>
      <w:lvlText w:val="•"/>
      <w:lvlJc w:val="left"/>
      <w:pPr>
        <w:ind w:left="6451" w:hanging="171"/>
      </w:pPr>
      <w:rPr>
        <w:rFonts w:hint="default"/>
        <w:lang w:val="en-GB" w:eastAsia="en-GB" w:bidi="en-GB"/>
      </w:rPr>
    </w:lvl>
    <w:lvl w:ilvl="7" w:tplc="12688132">
      <w:numFmt w:val="bullet"/>
      <w:lvlText w:val="•"/>
      <w:lvlJc w:val="left"/>
      <w:pPr>
        <w:ind w:left="7489" w:hanging="171"/>
      </w:pPr>
      <w:rPr>
        <w:rFonts w:hint="default"/>
        <w:lang w:val="en-GB" w:eastAsia="en-GB" w:bidi="en-GB"/>
      </w:rPr>
    </w:lvl>
    <w:lvl w:ilvl="8" w:tplc="EC82C240">
      <w:numFmt w:val="bullet"/>
      <w:lvlText w:val="•"/>
      <w:lvlJc w:val="left"/>
      <w:pPr>
        <w:ind w:left="8528" w:hanging="171"/>
      </w:pPr>
      <w:rPr>
        <w:rFonts w:hint="default"/>
        <w:lang w:val="en-GB" w:eastAsia="en-GB" w:bidi="en-GB"/>
      </w:rPr>
    </w:lvl>
  </w:abstractNum>
  <w:abstractNum w:abstractNumId="1148" w15:restartNumberingAfterBreak="0">
    <w:nsid w:val="67B266A0"/>
    <w:multiLevelType w:val="hybridMultilevel"/>
    <w:tmpl w:val="CE66CC1C"/>
    <w:lvl w:ilvl="0" w:tplc="C3E6054C">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84A65A3A">
      <w:numFmt w:val="bullet"/>
      <w:lvlText w:val="•"/>
      <w:lvlJc w:val="left"/>
      <w:pPr>
        <w:ind w:left="473" w:hanging="217"/>
      </w:pPr>
      <w:rPr>
        <w:rFonts w:hint="default"/>
        <w:lang w:val="en-GB" w:eastAsia="en-GB" w:bidi="en-GB"/>
      </w:rPr>
    </w:lvl>
    <w:lvl w:ilvl="2" w:tplc="B6EADB34">
      <w:numFmt w:val="bullet"/>
      <w:lvlText w:val="•"/>
      <w:lvlJc w:val="left"/>
      <w:pPr>
        <w:ind w:left="646" w:hanging="217"/>
      </w:pPr>
      <w:rPr>
        <w:rFonts w:hint="default"/>
        <w:lang w:val="en-GB" w:eastAsia="en-GB" w:bidi="en-GB"/>
      </w:rPr>
    </w:lvl>
    <w:lvl w:ilvl="3" w:tplc="F6F226C6">
      <w:numFmt w:val="bullet"/>
      <w:lvlText w:val="•"/>
      <w:lvlJc w:val="left"/>
      <w:pPr>
        <w:ind w:left="819" w:hanging="217"/>
      </w:pPr>
      <w:rPr>
        <w:rFonts w:hint="default"/>
        <w:lang w:val="en-GB" w:eastAsia="en-GB" w:bidi="en-GB"/>
      </w:rPr>
    </w:lvl>
    <w:lvl w:ilvl="4" w:tplc="E3D280A0">
      <w:numFmt w:val="bullet"/>
      <w:lvlText w:val="•"/>
      <w:lvlJc w:val="left"/>
      <w:pPr>
        <w:ind w:left="992" w:hanging="217"/>
      </w:pPr>
      <w:rPr>
        <w:rFonts w:hint="default"/>
        <w:lang w:val="en-GB" w:eastAsia="en-GB" w:bidi="en-GB"/>
      </w:rPr>
    </w:lvl>
    <w:lvl w:ilvl="5" w:tplc="F8242236">
      <w:numFmt w:val="bullet"/>
      <w:lvlText w:val="•"/>
      <w:lvlJc w:val="left"/>
      <w:pPr>
        <w:ind w:left="1165" w:hanging="217"/>
      </w:pPr>
      <w:rPr>
        <w:rFonts w:hint="default"/>
        <w:lang w:val="en-GB" w:eastAsia="en-GB" w:bidi="en-GB"/>
      </w:rPr>
    </w:lvl>
    <w:lvl w:ilvl="6" w:tplc="E74028A6">
      <w:numFmt w:val="bullet"/>
      <w:lvlText w:val="•"/>
      <w:lvlJc w:val="left"/>
      <w:pPr>
        <w:ind w:left="1338" w:hanging="217"/>
      </w:pPr>
      <w:rPr>
        <w:rFonts w:hint="default"/>
        <w:lang w:val="en-GB" w:eastAsia="en-GB" w:bidi="en-GB"/>
      </w:rPr>
    </w:lvl>
    <w:lvl w:ilvl="7" w:tplc="B4DCF3F4">
      <w:numFmt w:val="bullet"/>
      <w:lvlText w:val="•"/>
      <w:lvlJc w:val="left"/>
      <w:pPr>
        <w:ind w:left="1511" w:hanging="217"/>
      </w:pPr>
      <w:rPr>
        <w:rFonts w:hint="default"/>
        <w:lang w:val="en-GB" w:eastAsia="en-GB" w:bidi="en-GB"/>
      </w:rPr>
    </w:lvl>
    <w:lvl w:ilvl="8" w:tplc="7916C1A4">
      <w:numFmt w:val="bullet"/>
      <w:lvlText w:val="•"/>
      <w:lvlJc w:val="left"/>
      <w:pPr>
        <w:ind w:left="1684" w:hanging="217"/>
      </w:pPr>
      <w:rPr>
        <w:rFonts w:hint="default"/>
        <w:lang w:val="en-GB" w:eastAsia="en-GB" w:bidi="en-GB"/>
      </w:rPr>
    </w:lvl>
  </w:abstractNum>
  <w:abstractNum w:abstractNumId="1149" w15:restartNumberingAfterBreak="0">
    <w:nsid w:val="67B433A1"/>
    <w:multiLevelType w:val="hybridMultilevel"/>
    <w:tmpl w:val="BBF41BD8"/>
    <w:lvl w:ilvl="0" w:tplc="A0EE5C98">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C56661FC">
      <w:numFmt w:val="bullet"/>
      <w:lvlText w:val="•"/>
      <w:lvlJc w:val="left"/>
      <w:pPr>
        <w:ind w:left="524" w:hanging="217"/>
      </w:pPr>
      <w:rPr>
        <w:rFonts w:hint="default"/>
        <w:lang w:val="en-GB" w:eastAsia="en-GB" w:bidi="en-GB"/>
      </w:rPr>
    </w:lvl>
    <w:lvl w:ilvl="2" w:tplc="62166D76">
      <w:numFmt w:val="bullet"/>
      <w:lvlText w:val="•"/>
      <w:lvlJc w:val="left"/>
      <w:pPr>
        <w:ind w:left="748" w:hanging="217"/>
      </w:pPr>
      <w:rPr>
        <w:rFonts w:hint="default"/>
        <w:lang w:val="en-GB" w:eastAsia="en-GB" w:bidi="en-GB"/>
      </w:rPr>
    </w:lvl>
    <w:lvl w:ilvl="3" w:tplc="E75417A0">
      <w:numFmt w:val="bullet"/>
      <w:lvlText w:val="•"/>
      <w:lvlJc w:val="left"/>
      <w:pPr>
        <w:ind w:left="972" w:hanging="217"/>
      </w:pPr>
      <w:rPr>
        <w:rFonts w:hint="default"/>
        <w:lang w:val="en-GB" w:eastAsia="en-GB" w:bidi="en-GB"/>
      </w:rPr>
    </w:lvl>
    <w:lvl w:ilvl="4" w:tplc="B5D2B450">
      <w:numFmt w:val="bullet"/>
      <w:lvlText w:val="•"/>
      <w:lvlJc w:val="left"/>
      <w:pPr>
        <w:ind w:left="1196" w:hanging="217"/>
      </w:pPr>
      <w:rPr>
        <w:rFonts w:hint="default"/>
        <w:lang w:val="en-GB" w:eastAsia="en-GB" w:bidi="en-GB"/>
      </w:rPr>
    </w:lvl>
    <w:lvl w:ilvl="5" w:tplc="0552797A">
      <w:numFmt w:val="bullet"/>
      <w:lvlText w:val="•"/>
      <w:lvlJc w:val="left"/>
      <w:pPr>
        <w:ind w:left="1420" w:hanging="217"/>
      </w:pPr>
      <w:rPr>
        <w:rFonts w:hint="default"/>
        <w:lang w:val="en-GB" w:eastAsia="en-GB" w:bidi="en-GB"/>
      </w:rPr>
    </w:lvl>
    <w:lvl w:ilvl="6" w:tplc="E0083C00">
      <w:numFmt w:val="bullet"/>
      <w:lvlText w:val="•"/>
      <w:lvlJc w:val="left"/>
      <w:pPr>
        <w:ind w:left="1644" w:hanging="217"/>
      </w:pPr>
      <w:rPr>
        <w:rFonts w:hint="default"/>
        <w:lang w:val="en-GB" w:eastAsia="en-GB" w:bidi="en-GB"/>
      </w:rPr>
    </w:lvl>
    <w:lvl w:ilvl="7" w:tplc="1B585178">
      <w:numFmt w:val="bullet"/>
      <w:lvlText w:val="•"/>
      <w:lvlJc w:val="left"/>
      <w:pPr>
        <w:ind w:left="1868" w:hanging="217"/>
      </w:pPr>
      <w:rPr>
        <w:rFonts w:hint="default"/>
        <w:lang w:val="en-GB" w:eastAsia="en-GB" w:bidi="en-GB"/>
      </w:rPr>
    </w:lvl>
    <w:lvl w:ilvl="8" w:tplc="EDF2EFFE">
      <w:numFmt w:val="bullet"/>
      <w:lvlText w:val="•"/>
      <w:lvlJc w:val="left"/>
      <w:pPr>
        <w:ind w:left="2092" w:hanging="217"/>
      </w:pPr>
      <w:rPr>
        <w:rFonts w:hint="default"/>
        <w:lang w:val="en-GB" w:eastAsia="en-GB" w:bidi="en-GB"/>
      </w:rPr>
    </w:lvl>
  </w:abstractNum>
  <w:abstractNum w:abstractNumId="1150" w15:restartNumberingAfterBreak="0">
    <w:nsid w:val="67E04EC5"/>
    <w:multiLevelType w:val="hybridMultilevel"/>
    <w:tmpl w:val="48F0B6F6"/>
    <w:lvl w:ilvl="0" w:tplc="9F5E6556">
      <w:numFmt w:val="bullet"/>
      <w:lvlText w:val="•"/>
      <w:lvlJc w:val="left"/>
      <w:pPr>
        <w:ind w:left="304" w:hanging="217"/>
      </w:pPr>
      <w:rPr>
        <w:rFonts w:ascii="Arial" w:eastAsia="Arial" w:hAnsi="Arial" w:cs="Arial" w:hint="default"/>
        <w:color w:val="231F20"/>
        <w:w w:val="100"/>
        <w:sz w:val="18"/>
        <w:szCs w:val="18"/>
        <w:lang w:val="en-GB" w:eastAsia="en-GB" w:bidi="en-GB"/>
      </w:rPr>
    </w:lvl>
    <w:lvl w:ilvl="1" w:tplc="F8604754">
      <w:numFmt w:val="bullet"/>
      <w:lvlText w:val="•"/>
      <w:lvlJc w:val="left"/>
      <w:pPr>
        <w:ind w:left="473" w:hanging="217"/>
      </w:pPr>
      <w:rPr>
        <w:rFonts w:hint="default"/>
        <w:lang w:val="en-GB" w:eastAsia="en-GB" w:bidi="en-GB"/>
      </w:rPr>
    </w:lvl>
    <w:lvl w:ilvl="2" w:tplc="DDE64D1C">
      <w:numFmt w:val="bullet"/>
      <w:lvlText w:val="•"/>
      <w:lvlJc w:val="left"/>
      <w:pPr>
        <w:ind w:left="646" w:hanging="217"/>
      </w:pPr>
      <w:rPr>
        <w:rFonts w:hint="default"/>
        <w:lang w:val="en-GB" w:eastAsia="en-GB" w:bidi="en-GB"/>
      </w:rPr>
    </w:lvl>
    <w:lvl w:ilvl="3" w:tplc="90629A8A">
      <w:numFmt w:val="bullet"/>
      <w:lvlText w:val="•"/>
      <w:lvlJc w:val="left"/>
      <w:pPr>
        <w:ind w:left="819" w:hanging="217"/>
      </w:pPr>
      <w:rPr>
        <w:rFonts w:hint="default"/>
        <w:lang w:val="en-GB" w:eastAsia="en-GB" w:bidi="en-GB"/>
      </w:rPr>
    </w:lvl>
    <w:lvl w:ilvl="4" w:tplc="2A10FEF0">
      <w:numFmt w:val="bullet"/>
      <w:lvlText w:val="•"/>
      <w:lvlJc w:val="left"/>
      <w:pPr>
        <w:ind w:left="992" w:hanging="217"/>
      </w:pPr>
      <w:rPr>
        <w:rFonts w:hint="default"/>
        <w:lang w:val="en-GB" w:eastAsia="en-GB" w:bidi="en-GB"/>
      </w:rPr>
    </w:lvl>
    <w:lvl w:ilvl="5" w:tplc="CE960550">
      <w:numFmt w:val="bullet"/>
      <w:lvlText w:val="•"/>
      <w:lvlJc w:val="left"/>
      <w:pPr>
        <w:ind w:left="1165" w:hanging="217"/>
      </w:pPr>
      <w:rPr>
        <w:rFonts w:hint="default"/>
        <w:lang w:val="en-GB" w:eastAsia="en-GB" w:bidi="en-GB"/>
      </w:rPr>
    </w:lvl>
    <w:lvl w:ilvl="6" w:tplc="401864CA">
      <w:numFmt w:val="bullet"/>
      <w:lvlText w:val="•"/>
      <w:lvlJc w:val="left"/>
      <w:pPr>
        <w:ind w:left="1338" w:hanging="217"/>
      </w:pPr>
      <w:rPr>
        <w:rFonts w:hint="default"/>
        <w:lang w:val="en-GB" w:eastAsia="en-GB" w:bidi="en-GB"/>
      </w:rPr>
    </w:lvl>
    <w:lvl w:ilvl="7" w:tplc="04B6357C">
      <w:numFmt w:val="bullet"/>
      <w:lvlText w:val="•"/>
      <w:lvlJc w:val="left"/>
      <w:pPr>
        <w:ind w:left="1511" w:hanging="217"/>
      </w:pPr>
      <w:rPr>
        <w:rFonts w:hint="default"/>
        <w:lang w:val="en-GB" w:eastAsia="en-GB" w:bidi="en-GB"/>
      </w:rPr>
    </w:lvl>
    <w:lvl w:ilvl="8" w:tplc="26E4525A">
      <w:numFmt w:val="bullet"/>
      <w:lvlText w:val="•"/>
      <w:lvlJc w:val="left"/>
      <w:pPr>
        <w:ind w:left="1684" w:hanging="217"/>
      </w:pPr>
      <w:rPr>
        <w:rFonts w:hint="default"/>
        <w:lang w:val="en-GB" w:eastAsia="en-GB" w:bidi="en-GB"/>
      </w:rPr>
    </w:lvl>
  </w:abstractNum>
  <w:abstractNum w:abstractNumId="1151" w15:restartNumberingAfterBreak="0">
    <w:nsid w:val="67E634EB"/>
    <w:multiLevelType w:val="hybridMultilevel"/>
    <w:tmpl w:val="97121F42"/>
    <w:lvl w:ilvl="0" w:tplc="73E0C650">
      <w:numFmt w:val="bullet"/>
      <w:lvlText w:val="•"/>
      <w:lvlJc w:val="left"/>
      <w:pPr>
        <w:ind w:left="304" w:hanging="217"/>
      </w:pPr>
      <w:rPr>
        <w:rFonts w:ascii="Arial" w:eastAsia="Arial" w:hAnsi="Arial" w:cs="Arial" w:hint="default"/>
        <w:color w:val="231F20"/>
        <w:w w:val="100"/>
        <w:sz w:val="18"/>
        <w:szCs w:val="18"/>
        <w:lang w:val="en-GB" w:eastAsia="en-GB" w:bidi="en-GB"/>
      </w:rPr>
    </w:lvl>
    <w:lvl w:ilvl="1" w:tplc="8CC0081E">
      <w:numFmt w:val="bullet"/>
      <w:lvlText w:val="•"/>
      <w:lvlJc w:val="left"/>
      <w:pPr>
        <w:ind w:left="473" w:hanging="217"/>
      </w:pPr>
      <w:rPr>
        <w:rFonts w:hint="default"/>
        <w:lang w:val="en-GB" w:eastAsia="en-GB" w:bidi="en-GB"/>
      </w:rPr>
    </w:lvl>
    <w:lvl w:ilvl="2" w:tplc="A454B6D4">
      <w:numFmt w:val="bullet"/>
      <w:lvlText w:val="•"/>
      <w:lvlJc w:val="left"/>
      <w:pPr>
        <w:ind w:left="646" w:hanging="217"/>
      </w:pPr>
      <w:rPr>
        <w:rFonts w:hint="default"/>
        <w:lang w:val="en-GB" w:eastAsia="en-GB" w:bidi="en-GB"/>
      </w:rPr>
    </w:lvl>
    <w:lvl w:ilvl="3" w:tplc="9AC037C2">
      <w:numFmt w:val="bullet"/>
      <w:lvlText w:val="•"/>
      <w:lvlJc w:val="left"/>
      <w:pPr>
        <w:ind w:left="819" w:hanging="217"/>
      </w:pPr>
      <w:rPr>
        <w:rFonts w:hint="default"/>
        <w:lang w:val="en-GB" w:eastAsia="en-GB" w:bidi="en-GB"/>
      </w:rPr>
    </w:lvl>
    <w:lvl w:ilvl="4" w:tplc="5786159C">
      <w:numFmt w:val="bullet"/>
      <w:lvlText w:val="•"/>
      <w:lvlJc w:val="left"/>
      <w:pPr>
        <w:ind w:left="992" w:hanging="217"/>
      </w:pPr>
      <w:rPr>
        <w:rFonts w:hint="default"/>
        <w:lang w:val="en-GB" w:eastAsia="en-GB" w:bidi="en-GB"/>
      </w:rPr>
    </w:lvl>
    <w:lvl w:ilvl="5" w:tplc="63901E32">
      <w:numFmt w:val="bullet"/>
      <w:lvlText w:val="•"/>
      <w:lvlJc w:val="left"/>
      <w:pPr>
        <w:ind w:left="1165" w:hanging="217"/>
      </w:pPr>
      <w:rPr>
        <w:rFonts w:hint="default"/>
        <w:lang w:val="en-GB" w:eastAsia="en-GB" w:bidi="en-GB"/>
      </w:rPr>
    </w:lvl>
    <w:lvl w:ilvl="6" w:tplc="C622B5B4">
      <w:numFmt w:val="bullet"/>
      <w:lvlText w:val="•"/>
      <w:lvlJc w:val="left"/>
      <w:pPr>
        <w:ind w:left="1338" w:hanging="217"/>
      </w:pPr>
      <w:rPr>
        <w:rFonts w:hint="default"/>
        <w:lang w:val="en-GB" w:eastAsia="en-GB" w:bidi="en-GB"/>
      </w:rPr>
    </w:lvl>
    <w:lvl w:ilvl="7" w:tplc="5D8A13D6">
      <w:numFmt w:val="bullet"/>
      <w:lvlText w:val="•"/>
      <w:lvlJc w:val="left"/>
      <w:pPr>
        <w:ind w:left="1511" w:hanging="217"/>
      </w:pPr>
      <w:rPr>
        <w:rFonts w:hint="default"/>
        <w:lang w:val="en-GB" w:eastAsia="en-GB" w:bidi="en-GB"/>
      </w:rPr>
    </w:lvl>
    <w:lvl w:ilvl="8" w:tplc="5DCEFF4C">
      <w:numFmt w:val="bullet"/>
      <w:lvlText w:val="•"/>
      <w:lvlJc w:val="left"/>
      <w:pPr>
        <w:ind w:left="1684" w:hanging="217"/>
      </w:pPr>
      <w:rPr>
        <w:rFonts w:hint="default"/>
        <w:lang w:val="en-GB" w:eastAsia="en-GB" w:bidi="en-GB"/>
      </w:rPr>
    </w:lvl>
  </w:abstractNum>
  <w:abstractNum w:abstractNumId="1152" w15:restartNumberingAfterBreak="0">
    <w:nsid w:val="68013F2D"/>
    <w:multiLevelType w:val="hybridMultilevel"/>
    <w:tmpl w:val="E1145D42"/>
    <w:lvl w:ilvl="0" w:tplc="42CC19D0">
      <w:numFmt w:val="bullet"/>
      <w:lvlText w:val="•"/>
      <w:lvlJc w:val="left"/>
      <w:pPr>
        <w:ind w:left="333" w:hanging="217"/>
      </w:pPr>
      <w:rPr>
        <w:rFonts w:ascii="Arial" w:eastAsia="Arial" w:hAnsi="Arial" w:cs="Arial" w:hint="default"/>
        <w:color w:val="231F20"/>
        <w:spacing w:val="-14"/>
        <w:w w:val="100"/>
        <w:sz w:val="18"/>
        <w:szCs w:val="18"/>
        <w:lang w:val="en-GB" w:eastAsia="en-GB" w:bidi="en-GB"/>
      </w:rPr>
    </w:lvl>
    <w:lvl w:ilvl="1" w:tplc="C3309920">
      <w:numFmt w:val="bullet"/>
      <w:lvlText w:val="•"/>
      <w:lvlJc w:val="left"/>
      <w:pPr>
        <w:ind w:left="1030" w:hanging="217"/>
      </w:pPr>
      <w:rPr>
        <w:rFonts w:hint="default"/>
        <w:lang w:val="en-GB" w:eastAsia="en-GB" w:bidi="en-GB"/>
      </w:rPr>
    </w:lvl>
    <w:lvl w:ilvl="2" w:tplc="0608D5C6">
      <w:numFmt w:val="bullet"/>
      <w:lvlText w:val="•"/>
      <w:lvlJc w:val="left"/>
      <w:pPr>
        <w:ind w:left="1720" w:hanging="217"/>
      </w:pPr>
      <w:rPr>
        <w:rFonts w:hint="default"/>
        <w:lang w:val="en-GB" w:eastAsia="en-GB" w:bidi="en-GB"/>
      </w:rPr>
    </w:lvl>
    <w:lvl w:ilvl="3" w:tplc="C51A1922">
      <w:numFmt w:val="bullet"/>
      <w:lvlText w:val="•"/>
      <w:lvlJc w:val="left"/>
      <w:pPr>
        <w:ind w:left="2410" w:hanging="217"/>
      </w:pPr>
      <w:rPr>
        <w:rFonts w:hint="default"/>
        <w:lang w:val="en-GB" w:eastAsia="en-GB" w:bidi="en-GB"/>
      </w:rPr>
    </w:lvl>
    <w:lvl w:ilvl="4" w:tplc="9664DF12">
      <w:numFmt w:val="bullet"/>
      <w:lvlText w:val="•"/>
      <w:lvlJc w:val="left"/>
      <w:pPr>
        <w:ind w:left="3100" w:hanging="217"/>
      </w:pPr>
      <w:rPr>
        <w:rFonts w:hint="default"/>
        <w:lang w:val="en-GB" w:eastAsia="en-GB" w:bidi="en-GB"/>
      </w:rPr>
    </w:lvl>
    <w:lvl w:ilvl="5" w:tplc="5AD033E0">
      <w:numFmt w:val="bullet"/>
      <w:lvlText w:val="•"/>
      <w:lvlJc w:val="left"/>
      <w:pPr>
        <w:ind w:left="3791" w:hanging="217"/>
      </w:pPr>
      <w:rPr>
        <w:rFonts w:hint="default"/>
        <w:lang w:val="en-GB" w:eastAsia="en-GB" w:bidi="en-GB"/>
      </w:rPr>
    </w:lvl>
    <w:lvl w:ilvl="6" w:tplc="A2E4A906">
      <w:numFmt w:val="bullet"/>
      <w:lvlText w:val="•"/>
      <w:lvlJc w:val="left"/>
      <w:pPr>
        <w:ind w:left="4481" w:hanging="217"/>
      </w:pPr>
      <w:rPr>
        <w:rFonts w:hint="default"/>
        <w:lang w:val="en-GB" w:eastAsia="en-GB" w:bidi="en-GB"/>
      </w:rPr>
    </w:lvl>
    <w:lvl w:ilvl="7" w:tplc="EB48BF52">
      <w:numFmt w:val="bullet"/>
      <w:lvlText w:val="•"/>
      <w:lvlJc w:val="left"/>
      <w:pPr>
        <w:ind w:left="5171" w:hanging="217"/>
      </w:pPr>
      <w:rPr>
        <w:rFonts w:hint="default"/>
        <w:lang w:val="en-GB" w:eastAsia="en-GB" w:bidi="en-GB"/>
      </w:rPr>
    </w:lvl>
    <w:lvl w:ilvl="8" w:tplc="57AE15FC">
      <w:numFmt w:val="bullet"/>
      <w:lvlText w:val="•"/>
      <w:lvlJc w:val="left"/>
      <w:pPr>
        <w:ind w:left="5861" w:hanging="217"/>
      </w:pPr>
      <w:rPr>
        <w:rFonts w:hint="default"/>
        <w:lang w:val="en-GB" w:eastAsia="en-GB" w:bidi="en-GB"/>
      </w:rPr>
    </w:lvl>
  </w:abstractNum>
  <w:abstractNum w:abstractNumId="1153" w15:restartNumberingAfterBreak="0">
    <w:nsid w:val="682B7AF6"/>
    <w:multiLevelType w:val="multilevel"/>
    <w:tmpl w:val="BFE2B8CE"/>
    <w:lvl w:ilvl="0">
      <w:start w:val="4"/>
      <w:numFmt w:val="decimal"/>
      <w:lvlText w:val="%1"/>
      <w:lvlJc w:val="left"/>
      <w:pPr>
        <w:ind w:left="910" w:hanging="701"/>
      </w:pPr>
      <w:rPr>
        <w:rFonts w:hint="default"/>
        <w:lang w:val="en-GB" w:eastAsia="en-GB" w:bidi="en-GB"/>
      </w:rPr>
    </w:lvl>
    <w:lvl w:ilvl="1">
      <w:start w:val="1"/>
      <w:numFmt w:val="decimal"/>
      <w:lvlText w:val="%1.%2"/>
      <w:lvlJc w:val="left"/>
      <w:pPr>
        <w:ind w:left="910" w:hanging="701"/>
      </w:pPr>
      <w:rPr>
        <w:rFonts w:ascii="Arial" w:eastAsia="Arial" w:hAnsi="Arial" w:cs="Arial" w:hint="default"/>
        <w:color w:val="231F20"/>
        <w:spacing w:val="-1"/>
        <w:w w:val="100"/>
        <w:sz w:val="42"/>
        <w:szCs w:val="42"/>
        <w:lang w:val="en-GB" w:eastAsia="en-GB" w:bidi="en-GB"/>
      </w:rPr>
    </w:lvl>
    <w:lvl w:ilvl="2">
      <w:numFmt w:val="bullet"/>
      <w:lvlText w:val="•"/>
      <w:lvlJc w:val="left"/>
      <w:pPr>
        <w:ind w:left="2857" w:hanging="701"/>
      </w:pPr>
      <w:rPr>
        <w:rFonts w:hint="default"/>
        <w:lang w:val="en-GB" w:eastAsia="en-GB" w:bidi="en-GB"/>
      </w:rPr>
    </w:lvl>
    <w:lvl w:ilvl="3">
      <w:numFmt w:val="bullet"/>
      <w:lvlText w:val="•"/>
      <w:lvlJc w:val="left"/>
      <w:pPr>
        <w:ind w:left="3825" w:hanging="701"/>
      </w:pPr>
      <w:rPr>
        <w:rFonts w:hint="default"/>
        <w:lang w:val="en-GB" w:eastAsia="en-GB" w:bidi="en-GB"/>
      </w:rPr>
    </w:lvl>
    <w:lvl w:ilvl="4">
      <w:numFmt w:val="bullet"/>
      <w:lvlText w:val="•"/>
      <w:lvlJc w:val="left"/>
      <w:pPr>
        <w:ind w:left="4794" w:hanging="701"/>
      </w:pPr>
      <w:rPr>
        <w:rFonts w:hint="default"/>
        <w:lang w:val="en-GB" w:eastAsia="en-GB" w:bidi="en-GB"/>
      </w:rPr>
    </w:lvl>
    <w:lvl w:ilvl="5">
      <w:numFmt w:val="bullet"/>
      <w:lvlText w:val="•"/>
      <w:lvlJc w:val="left"/>
      <w:pPr>
        <w:ind w:left="5762" w:hanging="701"/>
      </w:pPr>
      <w:rPr>
        <w:rFonts w:hint="default"/>
        <w:lang w:val="en-GB" w:eastAsia="en-GB" w:bidi="en-GB"/>
      </w:rPr>
    </w:lvl>
    <w:lvl w:ilvl="6">
      <w:numFmt w:val="bullet"/>
      <w:lvlText w:val="•"/>
      <w:lvlJc w:val="left"/>
      <w:pPr>
        <w:ind w:left="6731" w:hanging="701"/>
      </w:pPr>
      <w:rPr>
        <w:rFonts w:hint="default"/>
        <w:lang w:val="en-GB" w:eastAsia="en-GB" w:bidi="en-GB"/>
      </w:rPr>
    </w:lvl>
    <w:lvl w:ilvl="7">
      <w:numFmt w:val="bullet"/>
      <w:lvlText w:val="•"/>
      <w:lvlJc w:val="left"/>
      <w:pPr>
        <w:ind w:left="7699" w:hanging="701"/>
      </w:pPr>
      <w:rPr>
        <w:rFonts w:hint="default"/>
        <w:lang w:val="en-GB" w:eastAsia="en-GB" w:bidi="en-GB"/>
      </w:rPr>
    </w:lvl>
    <w:lvl w:ilvl="8">
      <w:numFmt w:val="bullet"/>
      <w:lvlText w:val="•"/>
      <w:lvlJc w:val="left"/>
      <w:pPr>
        <w:ind w:left="8668" w:hanging="701"/>
      </w:pPr>
      <w:rPr>
        <w:rFonts w:hint="default"/>
        <w:lang w:val="en-GB" w:eastAsia="en-GB" w:bidi="en-GB"/>
      </w:rPr>
    </w:lvl>
  </w:abstractNum>
  <w:abstractNum w:abstractNumId="1154" w15:restartNumberingAfterBreak="0">
    <w:nsid w:val="682F2315"/>
    <w:multiLevelType w:val="hybridMultilevel"/>
    <w:tmpl w:val="4DB6BBEE"/>
    <w:lvl w:ilvl="0" w:tplc="469ADAAC">
      <w:numFmt w:val="bullet"/>
      <w:lvlText w:val="•"/>
      <w:lvlJc w:val="left"/>
      <w:pPr>
        <w:ind w:left="304" w:hanging="217"/>
      </w:pPr>
      <w:rPr>
        <w:rFonts w:ascii="Arial" w:eastAsia="Arial" w:hAnsi="Arial" w:cs="Arial" w:hint="default"/>
        <w:color w:val="231F20"/>
        <w:w w:val="100"/>
        <w:sz w:val="18"/>
        <w:szCs w:val="18"/>
        <w:lang w:val="en-GB" w:eastAsia="en-GB" w:bidi="en-GB"/>
      </w:rPr>
    </w:lvl>
    <w:lvl w:ilvl="1" w:tplc="78DE3F4A">
      <w:numFmt w:val="bullet"/>
      <w:lvlText w:val="•"/>
      <w:lvlJc w:val="left"/>
      <w:pPr>
        <w:ind w:left="544" w:hanging="217"/>
      </w:pPr>
      <w:rPr>
        <w:rFonts w:hint="default"/>
        <w:lang w:val="en-GB" w:eastAsia="en-GB" w:bidi="en-GB"/>
      </w:rPr>
    </w:lvl>
    <w:lvl w:ilvl="2" w:tplc="67685AB0">
      <w:numFmt w:val="bullet"/>
      <w:lvlText w:val="•"/>
      <w:lvlJc w:val="left"/>
      <w:pPr>
        <w:ind w:left="788" w:hanging="217"/>
      </w:pPr>
      <w:rPr>
        <w:rFonts w:hint="default"/>
        <w:lang w:val="en-GB" w:eastAsia="en-GB" w:bidi="en-GB"/>
      </w:rPr>
    </w:lvl>
    <w:lvl w:ilvl="3" w:tplc="A5C03AF6">
      <w:numFmt w:val="bullet"/>
      <w:lvlText w:val="•"/>
      <w:lvlJc w:val="left"/>
      <w:pPr>
        <w:ind w:left="1032" w:hanging="217"/>
      </w:pPr>
      <w:rPr>
        <w:rFonts w:hint="default"/>
        <w:lang w:val="en-GB" w:eastAsia="en-GB" w:bidi="en-GB"/>
      </w:rPr>
    </w:lvl>
    <w:lvl w:ilvl="4" w:tplc="6BCE42E8">
      <w:numFmt w:val="bullet"/>
      <w:lvlText w:val="•"/>
      <w:lvlJc w:val="left"/>
      <w:pPr>
        <w:ind w:left="1276" w:hanging="217"/>
      </w:pPr>
      <w:rPr>
        <w:rFonts w:hint="default"/>
        <w:lang w:val="en-GB" w:eastAsia="en-GB" w:bidi="en-GB"/>
      </w:rPr>
    </w:lvl>
    <w:lvl w:ilvl="5" w:tplc="33B655E2">
      <w:numFmt w:val="bullet"/>
      <w:lvlText w:val="•"/>
      <w:lvlJc w:val="left"/>
      <w:pPr>
        <w:ind w:left="1520" w:hanging="217"/>
      </w:pPr>
      <w:rPr>
        <w:rFonts w:hint="default"/>
        <w:lang w:val="en-GB" w:eastAsia="en-GB" w:bidi="en-GB"/>
      </w:rPr>
    </w:lvl>
    <w:lvl w:ilvl="6" w:tplc="2BB0656C">
      <w:numFmt w:val="bullet"/>
      <w:lvlText w:val="•"/>
      <w:lvlJc w:val="left"/>
      <w:pPr>
        <w:ind w:left="1764" w:hanging="217"/>
      </w:pPr>
      <w:rPr>
        <w:rFonts w:hint="default"/>
        <w:lang w:val="en-GB" w:eastAsia="en-GB" w:bidi="en-GB"/>
      </w:rPr>
    </w:lvl>
    <w:lvl w:ilvl="7" w:tplc="67823EAE">
      <w:numFmt w:val="bullet"/>
      <w:lvlText w:val="•"/>
      <w:lvlJc w:val="left"/>
      <w:pPr>
        <w:ind w:left="2008" w:hanging="217"/>
      </w:pPr>
      <w:rPr>
        <w:rFonts w:hint="default"/>
        <w:lang w:val="en-GB" w:eastAsia="en-GB" w:bidi="en-GB"/>
      </w:rPr>
    </w:lvl>
    <w:lvl w:ilvl="8" w:tplc="2584B9A2">
      <w:numFmt w:val="bullet"/>
      <w:lvlText w:val="•"/>
      <w:lvlJc w:val="left"/>
      <w:pPr>
        <w:ind w:left="2252" w:hanging="217"/>
      </w:pPr>
      <w:rPr>
        <w:rFonts w:hint="default"/>
        <w:lang w:val="en-GB" w:eastAsia="en-GB" w:bidi="en-GB"/>
      </w:rPr>
    </w:lvl>
  </w:abstractNum>
  <w:abstractNum w:abstractNumId="1155" w15:restartNumberingAfterBreak="0">
    <w:nsid w:val="688157E6"/>
    <w:multiLevelType w:val="hybridMultilevel"/>
    <w:tmpl w:val="C63C6574"/>
    <w:lvl w:ilvl="0" w:tplc="90D6F39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D360C196">
      <w:numFmt w:val="bullet"/>
      <w:lvlText w:val="•"/>
      <w:lvlJc w:val="left"/>
      <w:pPr>
        <w:ind w:left="892" w:hanging="217"/>
      </w:pPr>
      <w:rPr>
        <w:rFonts w:hint="default"/>
        <w:lang w:val="en-GB" w:eastAsia="en-GB" w:bidi="en-GB"/>
      </w:rPr>
    </w:lvl>
    <w:lvl w:ilvl="2" w:tplc="26B8C4A2">
      <w:numFmt w:val="bullet"/>
      <w:lvlText w:val="•"/>
      <w:lvlJc w:val="left"/>
      <w:pPr>
        <w:ind w:left="1485" w:hanging="217"/>
      </w:pPr>
      <w:rPr>
        <w:rFonts w:hint="default"/>
        <w:lang w:val="en-GB" w:eastAsia="en-GB" w:bidi="en-GB"/>
      </w:rPr>
    </w:lvl>
    <w:lvl w:ilvl="3" w:tplc="151AF542">
      <w:numFmt w:val="bullet"/>
      <w:lvlText w:val="•"/>
      <w:lvlJc w:val="left"/>
      <w:pPr>
        <w:ind w:left="2077" w:hanging="217"/>
      </w:pPr>
      <w:rPr>
        <w:rFonts w:hint="default"/>
        <w:lang w:val="en-GB" w:eastAsia="en-GB" w:bidi="en-GB"/>
      </w:rPr>
    </w:lvl>
    <w:lvl w:ilvl="4" w:tplc="88A229DE">
      <w:numFmt w:val="bullet"/>
      <w:lvlText w:val="•"/>
      <w:lvlJc w:val="left"/>
      <w:pPr>
        <w:ind w:left="2670" w:hanging="217"/>
      </w:pPr>
      <w:rPr>
        <w:rFonts w:hint="default"/>
        <w:lang w:val="en-GB" w:eastAsia="en-GB" w:bidi="en-GB"/>
      </w:rPr>
    </w:lvl>
    <w:lvl w:ilvl="5" w:tplc="9D868AE6">
      <w:numFmt w:val="bullet"/>
      <w:lvlText w:val="•"/>
      <w:lvlJc w:val="left"/>
      <w:pPr>
        <w:ind w:left="3263" w:hanging="217"/>
      </w:pPr>
      <w:rPr>
        <w:rFonts w:hint="default"/>
        <w:lang w:val="en-GB" w:eastAsia="en-GB" w:bidi="en-GB"/>
      </w:rPr>
    </w:lvl>
    <w:lvl w:ilvl="6" w:tplc="2070AA30">
      <w:numFmt w:val="bullet"/>
      <w:lvlText w:val="•"/>
      <w:lvlJc w:val="left"/>
      <w:pPr>
        <w:ind w:left="3855" w:hanging="217"/>
      </w:pPr>
      <w:rPr>
        <w:rFonts w:hint="default"/>
        <w:lang w:val="en-GB" w:eastAsia="en-GB" w:bidi="en-GB"/>
      </w:rPr>
    </w:lvl>
    <w:lvl w:ilvl="7" w:tplc="97FE667E">
      <w:numFmt w:val="bullet"/>
      <w:lvlText w:val="•"/>
      <w:lvlJc w:val="left"/>
      <w:pPr>
        <w:ind w:left="4448" w:hanging="217"/>
      </w:pPr>
      <w:rPr>
        <w:rFonts w:hint="default"/>
        <w:lang w:val="en-GB" w:eastAsia="en-GB" w:bidi="en-GB"/>
      </w:rPr>
    </w:lvl>
    <w:lvl w:ilvl="8" w:tplc="50EE17FA">
      <w:numFmt w:val="bullet"/>
      <w:lvlText w:val="•"/>
      <w:lvlJc w:val="left"/>
      <w:pPr>
        <w:ind w:left="5040" w:hanging="217"/>
      </w:pPr>
      <w:rPr>
        <w:rFonts w:hint="default"/>
        <w:lang w:val="en-GB" w:eastAsia="en-GB" w:bidi="en-GB"/>
      </w:rPr>
    </w:lvl>
  </w:abstractNum>
  <w:abstractNum w:abstractNumId="1156" w15:restartNumberingAfterBreak="0">
    <w:nsid w:val="68833EDB"/>
    <w:multiLevelType w:val="hybridMultilevel"/>
    <w:tmpl w:val="445CCD8E"/>
    <w:lvl w:ilvl="0" w:tplc="5EBCA59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32C8DF0">
      <w:numFmt w:val="bullet"/>
      <w:lvlText w:val="•"/>
      <w:lvlJc w:val="left"/>
      <w:pPr>
        <w:ind w:left="439" w:hanging="217"/>
      </w:pPr>
      <w:rPr>
        <w:rFonts w:hint="default"/>
        <w:lang w:val="en-GB" w:eastAsia="en-GB" w:bidi="en-GB"/>
      </w:rPr>
    </w:lvl>
    <w:lvl w:ilvl="2" w:tplc="972013D4">
      <w:numFmt w:val="bullet"/>
      <w:lvlText w:val="•"/>
      <w:lvlJc w:val="left"/>
      <w:pPr>
        <w:ind w:left="578" w:hanging="217"/>
      </w:pPr>
      <w:rPr>
        <w:rFonts w:hint="default"/>
        <w:lang w:val="en-GB" w:eastAsia="en-GB" w:bidi="en-GB"/>
      </w:rPr>
    </w:lvl>
    <w:lvl w:ilvl="3" w:tplc="160623E2">
      <w:numFmt w:val="bullet"/>
      <w:lvlText w:val="•"/>
      <w:lvlJc w:val="left"/>
      <w:pPr>
        <w:ind w:left="717" w:hanging="217"/>
      </w:pPr>
      <w:rPr>
        <w:rFonts w:hint="default"/>
        <w:lang w:val="en-GB" w:eastAsia="en-GB" w:bidi="en-GB"/>
      </w:rPr>
    </w:lvl>
    <w:lvl w:ilvl="4" w:tplc="223223F4">
      <w:numFmt w:val="bullet"/>
      <w:lvlText w:val="•"/>
      <w:lvlJc w:val="left"/>
      <w:pPr>
        <w:ind w:left="856" w:hanging="217"/>
      </w:pPr>
      <w:rPr>
        <w:rFonts w:hint="default"/>
        <w:lang w:val="en-GB" w:eastAsia="en-GB" w:bidi="en-GB"/>
      </w:rPr>
    </w:lvl>
    <w:lvl w:ilvl="5" w:tplc="8A901966">
      <w:numFmt w:val="bullet"/>
      <w:lvlText w:val="•"/>
      <w:lvlJc w:val="left"/>
      <w:pPr>
        <w:ind w:left="995" w:hanging="217"/>
      </w:pPr>
      <w:rPr>
        <w:rFonts w:hint="default"/>
        <w:lang w:val="en-GB" w:eastAsia="en-GB" w:bidi="en-GB"/>
      </w:rPr>
    </w:lvl>
    <w:lvl w:ilvl="6" w:tplc="E04C45F6">
      <w:numFmt w:val="bullet"/>
      <w:lvlText w:val="•"/>
      <w:lvlJc w:val="left"/>
      <w:pPr>
        <w:ind w:left="1134" w:hanging="217"/>
      </w:pPr>
      <w:rPr>
        <w:rFonts w:hint="default"/>
        <w:lang w:val="en-GB" w:eastAsia="en-GB" w:bidi="en-GB"/>
      </w:rPr>
    </w:lvl>
    <w:lvl w:ilvl="7" w:tplc="6576C116">
      <w:numFmt w:val="bullet"/>
      <w:lvlText w:val="•"/>
      <w:lvlJc w:val="left"/>
      <w:pPr>
        <w:ind w:left="1273" w:hanging="217"/>
      </w:pPr>
      <w:rPr>
        <w:rFonts w:hint="default"/>
        <w:lang w:val="en-GB" w:eastAsia="en-GB" w:bidi="en-GB"/>
      </w:rPr>
    </w:lvl>
    <w:lvl w:ilvl="8" w:tplc="F28A4866">
      <w:numFmt w:val="bullet"/>
      <w:lvlText w:val="•"/>
      <w:lvlJc w:val="left"/>
      <w:pPr>
        <w:ind w:left="1412" w:hanging="217"/>
      </w:pPr>
      <w:rPr>
        <w:rFonts w:hint="default"/>
        <w:lang w:val="en-GB" w:eastAsia="en-GB" w:bidi="en-GB"/>
      </w:rPr>
    </w:lvl>
  </w:abstractNum>
  <w:abstractNum w:abstractNumId="1157" w15:restartNumberingAfterBreak="0">
    <w:nsid w:val="68967D91"/>
    <w:multiLevelType w:val="hybridMultilevel"/>
    <w:tmpl w:val="DCA40350"/>
    <w:lvl w:ilvl="0" w:tplc="5A9EE45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BECC0C70">
      <w:numFmt w:val="bullet"/>
      <w:lvlText w:val="•"/>
      <w:lvlJc w:val="left"/>
      <w:pPr>
        <w:ind w:left="892" w:hanging="217"/>
      </w:pPr>
      <w:rPr>
        <w:rFonts w:hint="default"/>
        <w:lang w:val="en-GB" w:eastAsia="en-GB" w:bidi="en-GB"/>
      </w:rPr>
    </w:lvl>
    <w:lvl w:ilvl="2" w:tplc="6E6EEAAA">
      <w:numFmt w:val="bullet"/>
      <w:lvlText w:val="•"/>
      <w:lvlJc w:val="left"/>
      <w:pPr>
        <w:ind w:left="1485" w:hanging="217"/>
      </w:pPr>
      <w:rPr>
        <w:rFonts w:hint="default"/>
        <w:lang w:val="en-GB" w:eastAsia="en-GB" w:bidi="en-GB"/>
      </w:rPr>
    </w:lvl>
    <w:lvl w:ilvl="3" w:tplc="3ED00122">
      <w:numFmt w:val="bullet"/>
      <w:lvlText w:val="•"/>
      <w:lvlJc w:val="left"/>
      <w:pPr>
        <w:ind w:left="2077" w:hanging="217"/>
      </w:pPr>
      <w:rPr>
        <w:rFonts w:hint="default"/>
        <w:lang w:val="en-GB" w:eastAsia="en-GB" w:bidi="en-GB"/>
      </w:rPr>
    </w:lvl>
    <w:lvl w:ilvl="4" w:tplc="BF3E2A6E">
      <w:numFmt w:val="bullet"/>
      <w:lvlText w:val="•"/>
      <w:lvlJc w:val="left"/>
      <w:pPr>
        <w:ind w:left="2670" w:hanging="217"/>
      </w:pPr>
      <w:rPr>
        <w:rFonts w:hint="default"/>
        <w:lang w:val="en-GB" w:eastAsia="en-GB" w:bidi="en-GB"/>
      </w:rPr>
    </w:lvl>
    <w:lvl w:ilvl="5" w:tplc="0352D98A">
      <w:numFmt w:val="bullet"/>
      <w:lvlText w:val="•"/>
      <w:lvlJc w:val="left"/>
      <w:pPr>
        <w:ind w:left="3263" w:hanging="217"/>
      </w:pPr>
      <w:rPr>
        <w:rFonts w:hint="default"/>
        <w:lang w:val="en-GB" w:eastAsia="en-GB" w:bidi="en-GB"/>
      </w:rPr>
    </w:lvl>
    <w:lvl w:ilvl="6" w:tplc="058AF302">
      <w:numFmt w:val="bullet"/>
      <w:lvlText w:val="•"/>
      <w:lvlJc w:val="left"/>
      <w:pPr>
        <w:ind w:left="3855" w:hanging="217"/>
      </w:pPr>
      <w:rPr>
        <w:rFonts w:hint="default"/>
        <w:lang w:val="en-GB" w:eastAsia="en-GB" w:bidi="en-GB"/>
      </w:rPr>
    </w:lvl>
    <w:lvl w:ilvl="7" w:tplc="146CBBBC">
      <w:numFmt w:val="bullet"/>
      <w:lvlText w:val="•"/>
      <w:lvlJc w:val="left"/>
      <w:pPr>
        <w:ind w:left="4448" w:hanging="217"/>
      </w:pPr>
      <w:rPr>
        <w:rFonts w:hint="default"/>
        <w:lang w:val="en-GB" w:eastAsia="en-GB" w:bidi="en-GB"/>
      </w:rPr>
    </w:lvl>
    <w:lvl w:ilvl="8" w:tplc="936E851C">
      <w:numFmt w:val="bullet"/>
      <w:lvlText w:val="•"/>
      <w:lvlJc w:val="left"/>
      <w:pPr>
        <w:ind w:left="5040" w:hanging="217"/>
      </w:pPr>
      <w:rPr>
        <w:rFonts w:hint="default"/>
        <w:lang w:val="en-GB" w:eastAsia="en-GB" w:bidi="en-GB"/>
      </w:rPr>
    </w:lvl>
  </w:abstractNum>
  <w:abstractNum w:abstractNumId="1158" w15:restartNumberingAfterBreak="0">
    <w:nsid w:val="68A6650F"/>
    <w:multiLevelType w:val="hybridMultilevel"/>
    <w:tmpl w:val="75664B14"/>
    <w:lvl w:ilvl="0" w:tplc="D26AC86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07A614E">
      <w:numFmt w:val="bullet"/>
      <w:lvlText w:val="•"/>
      <w:lvlJc w:val="left"/>
      <w:pPr>
        <w:ind w:left="473" w:hanging="217"/>
      </w:pPr>
      <w:rPr>
        <w:rFonts w:hint="default"/>
        <w:lang w:val="en-GB" w:eastAsia="en-GB" w:bidi="en-GB"/>
      </w:rPr>
    </w:lvl>
    <w:lvl w:ilvl="2" w:tplc="8A126692">
      <w:numFmt w:val="bullet"/>
      <w:lvlText w:val="•"/>
      <w:lvlJc w:val="left"/>
      <w:pPr>
        <w:ind w:left="646" w:hanging="217"/>
      </w:pPr>
      <w:rPr>
        <w:rFonts w:hint="default"/>
        <w:lang w:val="en-GB" w:eastAsia="en-GB" w:bidi="en-GB"/>
      </w:rPr>
    </w:lvl>
    <w:lvl w:ilvl="3" w:tplc="69C0534A">
      <w:numFmt w:val="bullet"/>
      <w:lvlText w:val="•"/>
      <w:lvlJc w:val="left"/>
      <w:pPr>
        <w:ind w:left="819" w:hanging="217"/>
      </w:pPr>
      <w:rPr>
        <w:rFonts w:hint="default"/>
        <w:lang w:val="en-GB" w:eastAsia="en-GB" w:bidi="en-GB"/>
      </w:rPr>
    </w:lvl>
    <w:lvl w:ilvl="4" w:tplc="D6BC92C0">
      <w:numFmt w:val="bullet"/>
      <w:lvlText w:val="•"/>
      <w:lvlJc w:val="left"/>
      <w:pPr>
        <w:ind w:left="992" w:hanging="217"/>
      </w:pPr>
      <w:rPr>
        <w:rFonts w:hint="default"/>
        <w:lang w:val="en-GB" w:eastAsia="en-GB" w:bidi="en-GB"/>
      </w:rPr>
    </w:lvl>
    <w:lvl w:ilvl="5" w:tplc="3C4A5BB6">
      <w:numFmt w:val="bullet"/>
      <w:lvlText w:val="•"/>
      <w:lvlJc w:val="left"/>
      <w:pPr>
        <w:ind w:left="1165" w:hanging="217"/>
      </w:pPr>
      <w:rPr>
        <w:rFonts w:hint="default"/>
        <w:lang w:val="en-GB" w:eastAsia="en-GB" w:bidi="en-GB"/>
      </w:rPr>
    </w:lvl>
    <w:lvl w:ilvl="6" w:tplc="A81818F8">
      <w:numFmt w:val="bullet"/>
      <w:lvlText w:val="•"/>
      <w:lvlJc w:val="left"/>
      <w:pPr>
        <w:ind w:left="1338" w:hanging="217"/>
      </w:pPr>
      <w:rPr>
        <w:rFonts w:hint="default"/>
        <w:lang w:val="en-GB" w:eastAsia="en-GB" w:bidi="en-GB"/>
      </w:rPr>
    </w:lvl>
    <w:lvl w:ilvl="7" w:tplc="45ECEE3C">
      <w:numFmt w:val="bullet"/>
      <w:lvlText w:val="•"/>
      <w:lvlJc w:val="left"/>
      <w:pPr>
        <w:ind w:left="1511" w:hanging="217"/>
      </w:pPr>
      <w:rPr>
        <w:rFonts w:hint="default"/>
        <w:lang w:val="en-GB" w:eastAsia="en-GB" w:bidi="en-GB"/>
      </w:rPr>
    </w:lvl>
    <w:lvl w:ilvl="8" w:tplc="06CE89A8">
      <w:numFmt w:val="bullet"/>
      <w:lvlText w:val="•"/>
      <w:lvlJc w:val="left"/>
      <w:pPr>
        <w:ind w:left="1684" w:hanging="217"/>
      </w:pPr>
      <w:rPr>
        <w:rFonts w:hint="default"/>
        <w:lang w:val="en-GB" w:eastAsia="en-GB" w:bidi="en-GB"/>
      </w:rPr>
    </w:lvl>
  </w:abstractNum>
  <w:abstractNum w:abstractNumId="1159" w15:restartNumberingAfterBreak="0">
    <w:nsid w:val="68FC589C"/>
    <w:multiLevelType w:val="hybridMultilevel"/>
    <w:tmpl w:val="40F69AE4"/>
    <w:lvl w:ilvl="0" w:tplc="C062FA32">
      <w:numFmt w:val="bullet"/>
      <w:lvlText w:val="•"/>
      <w:lvlJc w:val="left"/>
      <w:pPr>
        <w:ind w:left="276" w:hanging="217"/>
      </w:pPr>
      <w:rPr>
        <w:rFonts w:ascii="Arial" w:eastAsia="Arial" w:hAnsi="Arial" w:cs="Arial" w:hint="default"/>
        <w:color w:val="231F20"/>
        <w:w w:val="97"/>
        <w:sz w:val="16"/>
        <w:szCs w:val="16"/>
        <w:lang w:val="en-GB" w:eastAsia="en-GB" w:bidi="en-GB"/>
      </w:rPr>
    </w:lvl>
    <w:lvl w:ilvl="1" w:tplc="DDEC6334">
      <w:numFmt w:val="bullet"/>
      <w:lvlText w:val="•"/>
      <w:lvlJc w:val="left"/>
      <w:pPr>
        <w:ind w:left="381" w:hanging="217"/>
      </w:pPr>
      <w:rPr>
        <w:rFonts w:hint="default"/>
        <w:lang w:val="en-GB" w:eastAsia="en-GB" w:bidi="en-GB"/>
      </w:rPr>
    </w:lvl>
    <w:lvl w:ilvl="2" w:tplc="5B8C64CC">
      <w:numFmt w:val="bullet"/>
      <w:lvlText w:val="•"/>
      <w:lvlJc w:val="left"/>
      <w:pPr>
        <w:ind w:left="482" w:hanging="217"/>
      </w:pPr>
      <w:rPr>
        <w:rFonts w:hint="default"/>
        <w:lang w:val="en-GB" w:eastAsia="en-GB" w:bidi="en-GB"/>
      </w:rPr>
    </w:lvl>
    <w:lvl w:ilvl="3" w:tplc="3CE20192">
      <w:numFmt w:val="bullet"/>
      <w:lvlText w:val="•"/>
      <w:lvlJc w:val="left"/>
      <w:pPr>
        <w:ind w:left="584" w:hanging="217"/>
      </w:pPr>
      <w:rPr>
        <w:rFonts w:hint="default"/>
        <w:lang w:val="en-GB" w:eastAsia="en-GB" w:bidi="en-GB"/>
      </w:rPr>
    </w:lvl>
    <w:lvl w:ilvl="4" w:tplc="9A7ADBC6">
      <w:numFmt w:val="bullet"/>
      <w:lvlText w:val="•"/>
      <w:lvlJc w:val="left"/>
      <w:pPr>
        <w:ind w:left="685" w:hanging="217"/>
      </w:pPr>
      <w:rPr>
        <w:rFonts w:hint="default"/>
        <w:lang w:val="en-GB" w:eastAsia="en-GB" w:bidi="en-GB"/>
      </w:rPr>
    </w:lvl>
    <w:lvl w:ilvl="5" w:tplc="D010B1A4">
      <w:numFmt w:val="bullet"/>
      <w:lvlText w:val="•"/>
      <w:lvlJc w:val="left"/>
      <w:pPr>
        <w:ind w:left="787" w:hanging="217"/>
      </w:pPr>
      <w:rPr>
        <w:rFonts w:hint="default"/>
        <w:lang w:val="en-GB" w:eastAsia="en-GB" w:bidi="en-GB"/>
      </w:rPr>
    </w:lvl>
    <w:lvl w:ilvl="6" w:tplc="4E28B138">
      <w:numFmt w:val="bullet"/>
      <w:lvlText w:val="•"/>
      <w:lvlJc w:val="left"/>
      <w:pPr>
        <w:ind w:left="888" w:hanging="217"/>
      </w:pPr>
      <w:rPr>
        <w:rFonts w:hint="default"/>
        <w:lang w:val="en-GB" w:eastAsia="en-GB" w:bidi="en-GB"/>
      </w:rPr>
    </w:lvl>
    <w:lvl w:ilvl="7" w:tplc="3A123908">
      <w:numFmt w:val="bullet"/>
      <w:lvlText w:val="•"/>
      <w:lvlJc w:val="left"/>
      <w:pPr>
        <w:ind w:left="989" w:hanging="217"/>
      </w:pPr>
      <w:rPr>
        <w:rFonts w:hint="default"/>
        <w:lang w:val="en-GB" w:eastAsia="en-GB" w:bidi="en-GB"/>
      </w:rPr>
    </w:lvl>
    <w:lvl w:ilvl="8" w:tplc="412213A8">
      <w:numFmt w:val="bullet"/>
      <w:lvlText w:val="•"/>
      <w:lvlJc w:val="left"/>
      <w:pPr>
        <w:ind w:left="1091" w:hanging="217"/>
      </w:pPr>
      <w:rPr>
        <w:rFonts w:hint="default"/>
        <w:lang w:val="en-GB" w:eastAsia="en-GB" w:bidi="en-GB"/>
      </w:rPr>
    </w:lvl>
  </w:abstractNum>
  <w:abstractNum w:abstractNumId="1160" w15:restartNumberingAfterBreak="0">
    <w:nsid w:val="690A6B5F"/>
    <w:multiLevelType w:val="hybridMultilevel"/>
    <w:tmpl w:val="DE702D82"/>
    <w:lvl w:ilvl="0" w:tplc="36886B4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6D6C1C0">
      <w:numFmt w:val="bullet"/>
      <w:lvlText w:val="•"/>
      <w:lvlJc w:val="left"/>
      <w:pPr>
        <w:ind w:left="473" w:hanging="217"/>
      </w:pPr>
      <w:rPr>
        <w:rFonts w:hint="default"/>
        <w:lang w:val="en-GB" w:eastAsia="en-GB" w:bidi="en-GB"/>
      </w:rPr>
    </w:lvl>
    <w:lvl w:ilvl="2" w:tplc="59B4D8A2">
      <w:numFmt w:val="bullet"/>
      <w:lvlText w:val="•"/>
      <w:lvlJc w:val="left"/>
      <w:pPr>
        <w:ind w:left="646" w:hanging="217"/>
      </w:pPr>
      <w:rPr>
        <w:rFonts w:hint="default"/>
        <w:lang w:val="en-GB" w:eastAsia="en-GB" w:bidi="en-GB"/>
      </w:rPr>
    </w:lvl>
    <w:lvl w:ilvl="3" w:tplc="53881604">
      <w:numFmt w:val="bullet"/>
      <w:lvlText w:val="•"/>
      <w:lvlJc w:val="left"/>
      <w:pPr>
        <w:ind w:left="819" w:hanging="217"/>
      </w:pPr>
      <w:rPr>
        <w:rFonts w:hint="default"/>
        <w:lang w:val="en-GB" w:eastAsia="en-GB" w:bidi="en-GB"/>
      </w:rPr>
    </w:lvl>
    <w:lvl w:ilvl="4" w:tplc="F38CCF00">
      <w:numFmt w:val="bullet"/>
      <w:lvlText w:val="•"/>
      <w:lvlJc w:val="left"/>
      <w:pPr>
        <w:ind w:left="992" w:hanging="217"/>
      </w:pPr>
      <w:rPr>
        <w:rFonts w:hint="default"/>
        <w:lang w:val="en-GB" w:eastAsia="en-GB" w:bidi="en-GB"/>
      </w:rPr>
    </w:lvl>
    <w:lvl w:ilvl="5" w:tplc="B6EE755A">
      <w:numFmt w:val="bullet"/>
      <w:lvlText w:val="•"/>
      <w:lvlJc w:val="left"/>
      <w:pPr>
        <w:ind w:left="1165" w:hanging="217"/>
      </w:pPr>
      <w:rPr>
        <w:rFonts w:hint="default"/>
        <w:lang w:val="en-GB" w:eastAsia="en-GB" w:bidi="en-GB"/>
      </w:rPr>
    </w:lvl>
    <w:lvl w:ilvl="6" w:tplc="86480472">
      <w:numFmt w:val="bullet"/>
      <w:lvlText w:val="•"/>
      <w:lvlJc w:val="left"/>
      <w:pPr>
        <w:ind w:left="1338" w:hanging="217"/>
      </w:pPr>
      <w:rPr>
        <w:rFonts w:hint="default"/>
        <w:lang w:val="en-GB" w:eastAsia="en-GB" w:bidi="en-GB"/>
      </w:rPr>
    </w:lvl>
    <w:lvl w:ilvl="7" w:tplc="01E895D4">
      <w:numFmt w:val="bullet"/>
      <w:lvlText w:val="•"/>
      <w:lvlJc w:val="left"/>
      <w:pPr>
        <w:ind w:left="1511" w:hanging="217"/>
      </w:pPr>
      <w:rPr>
        <w:rFonts w:hint="default"/>
        <w:lang w:val="en-GB" w:eastAsia="en-GB" w:bidi="en-GB"/>
      </w:rPr>
    </w:lvl>
    <w:lvl w:ilvl="8" w:tplc="51CEE102">
      <w:numFmt w:val="bullet"/>
      <w:lvlText w:val="•"/>
      <w:lvlJc w:val="left"/>
      <w:pPr>
        <w:ind w:left="1684" w:hanging="217"/>
      </w:pPr>
      <w:rPr>
        <w:rFonts w:hint="default"/>
        <w:lang w:val="en-GB" w:eastAsia="en-GB" w:bidi="en-GB"/>
      </w:rPr>
    </w:lvl>
  </w:abstractNum>
  <w:abstractNum w:abstractNumId="1161" w15:restartNumberingAfterBreak="0">
    <w:nsid w:val="691922D0"/>
    <w:multiLevelType w:val="hybridMultilevel"/>
    <w:tmpl w:val="58949332"/>
    <w:lvl w:ilvl="0" w:tplc="8438F826">
      <w:numFmt w:val="bullet"/>
      <w:lvlText w:val="•"/>
      <w:lvlJc w:val="left"/>
      <w:pPr>
        <w:ind w:left="304" w:hanging="217"/>
      </w:pPr>
      <w:rPr>
        <w:rFonts w:ascii="Arial" w:eastAsia="Arial" w:hAnsi="Arial" w:cs="Arial" w:hint="default"/>
        <w:color w:val="231F20"/>
        <w:w w:val="100"/>
        <w:sz w:val="18"/>
        <w:szCs w:val="18"/>
        <w:lang w:val="en-GB" w:eastAsia="en-GB" w:bidi="en-GB"/>
      </w:rPr>
    </w:lvl>
    <w:lvl w:ilvl="1" w:tplc="96908C14">
      <w:numFmt w:val="bullet"/>
      <w:lvlText w:val="•"/>
      <w:lvlJc w:val="left"/>
      <w:pPr>
        <w:ind w:left="473" w:hanging="217"/>
      </w:pPr>
      <w:rPr>
        <w:rFonts w:hint="default"/>
        <w:lang w:val="en-GB" w:eastAsia="en-GB" w:bidi="en-GB"/>
      </w:rPr>
    </w:lvl>
    <w:lvl w:ilvl="2" w:tplc="843A35F8">
      <w:numFmt w:val="bullet"/>
      <w:lvlText w:val="•"/>
      <w:lvlJc w:val="left"/>
      <w:pPr>
        <w:ind w:left="646" w:hanging="217"/>
      </w:pPr>
      <w:rPr>
        <w:rFonts w:hint="default"/>
        <w:lang w:val="en-GB" w:eastAsia="en-GB" w:bidi="en-GB"/>
      </w:rPr>
    </w:lvl>
    <w:lvl w:ilvl="3" w:tplc="D0260126">
      <w:numFmt w:val="bullet"/>
      <w:lvlText w:val="•"/>
      <w:lvlJc w:val="left"/>
      <w:pPr>
        <w:ind w:left="819" w:hanging="217"/>
      </w:pPr>
      <w:rPr>
        <w:rFonts w:hint="default"/>
        <w:lang w:val="en-GB" w:eastAsia="en-GB" w:bidi="en-GB"/>
      </w:rPr>
    </w:lvl>
    <w:lvl w:ilvl="4" w:tplc="7832B79C">
      <w:numFmt w:val="bullet"/>
      <w:lvlText w:val="•"/>
      <w:lvlJc w:val="left"/>
      <w:pPr>
        <w:ind w:left="992" w:hanging="217"/>
      </w:pPr>
      <w:rPr>
        <w:rFonts w:hint="default"/>
        <w:lang w:val="en-GB" w:eastAsia="en-GB" w:bidi="en-GB"/>
      </w:rPr>
    </w:lvl>
    <w:lvl w:ilvl="5" w:tplc="6B0E65B2">
      <w:numFmt w:val="bullet"/>
      <w:lvlText w:val="•"/>
      <w:lvlJc w:val="left"/>
      <w:pPr>
        <w:ind w:left="1165" w:hanging="217"/>
      </w:pPr>
      <w:rPr>
        <w:rFonts w:hint="default"/>
        <w:lang w:val="en-GB" w:eastAsia="en-GB" w:bidi="en-GB"/>
      </w:rPr>
    </w:lvl>
    <w:lvl w:ilvl="6" w:tplc="B57E2814">
      <w:numFmt w:val="bullet"/>
      <w:lvlText w:val="•"/>
      <w:lvlJc w:val="left"/>
      <w:pPr>
        <w:ind w:left="1338" w:hanging="217"/>
      </w:pPr>
      <w:rPr>
        <w:rFonts w:hint="default"/>
        <w:lang w:val="en-GB" w:eastAsia="en-GB" w:bidi="en-GB"/>
      </w:rPr>
    </w:lvl>
    <w:lvl w:ilvl="7" w:tplc="CD6C3D2A">
      <w:numFmt w:val="bullet"/>
      <w:lvlText w:val="•"/>
      <w:lvlJc w:val="left"/>
      <w:pPr>
        <w:ind w:left="1511" w:hanging="217"/>
      </w:pPr>
      <w:rPr>
        <w:rFonts w:hint="default"/>
        <w:lang w:val="en-GB" w:eastAsia="en-GB" w:bidi="en-GB"/>
      </w:rPr>
    </w:lvl>
    <w:lvl w:ilvl="8" w:tplc="E8709072">
      <w:numFmt w:val="bullet"/>
      <w:lvlText w:val="•"/>
      <w:lvlJc w:val="left"/>
      <w:pPr>
        <w:ind w:left="1684" w:hanging="217"/>
      </w:pPr>
      <w:rPr>
        <w:rFonts w:hint="default"/>
        <w:lang w:val="en-GB" w:eastAsia="en-GB" w:bidi="en-GB"/>
      </w:rPr>
    </w:lvl>
  </w:abstractNum>
  <w:abstractNum w:abstractNumId="1162" w15:restartNumberingAfterBreak="0">
    <w:nsid w:val="691E0428"/>
    <w:multiLevelType w:val="hybridMultilevel"/>
    <w:tmpl w:val="54580644"/>
    <w:lvl w:ilvl="0" w:tplc="BE868EB4">
      <w:numFmt w:val="bullet"/>
      <w:lvlText w:val="•"/>
      <w:lvlJc w:val="left"/>
      <w:pPr>
        <w:ind w:left="299" w:hanging="217"/>
      </w:pPr>
      <w:rPr>
        <w:rFonts w:ascii="Arial" w:eastAsia="Arial" w:hAnsi="Arial" w:cs="Arial" w:hint="default"/>
        <w:color w:val="231F20"/>
        <w:w w:val="102"/>
        <w:sz w:val="17"/>
        <w:szCs w:val="17"/>
        <w:lang w:val="en-GB" w:eastAsia="en-GB" w:bidi="en-GB"/>
      </w:rPr>
    </w:lvl>
    <w:lvl w:ilvl="1" w:tplc="27AE87E0">
      <w:numFmt w:val="bullet"/>
      <w:lvlText w:val="•"/>
      <w:lvlJc w:val="left"/>
      <w:pPr>
        <w:ind w:left="790" w:hanging="217"/>
      </w:pPr>
      <w:rPr>
        <w:rFonts w:hint="default"/>
        <w:lang w:val="en-GB" w:eastAsia="en-GB" w:bidi="en-GB"/>
      </w:rPr>
    </w:lvl>
    <w:lvl w:ilvl="2" w:tplc="27E85912">
      <w:numFmt w:val="bullet"/>
      <w:lvlText w:val="•"/>
      <w:lvlJc w:val="left"/>
      <w:pPr>
        <w:ind w:left="1280" w:hanging="217"/>
      </w:pPr>
      <w:rPr>
        <w:rFonts w:hint="default"/>
        <w:lang w:val="en-GB" w:eastAsia="en-GB" w:bidi="en-GB"/>
      </w:rPr>
    </w:lvl>
    <w:lvl w:ilvl="3" w:tplc="72ACA88C">
      <w:numFmt w:val="bullet"/>
      <w:lvlText w:val="•"/>
      <w:lvlJc w:val="left"/>
      <w:pPr>
        <w:ind w:left="1770" w:hanging="217"/>
      </w:pPr>
      <w:rPr>
        <w:rFonts w:hint="default"/>
        <w:lang w:val="en-GB" w:eastAsia="en-GB" w:bidi="en-GB"/>
      </w:rPr>
    </w:lvl>
    <w:lvl w:ilvl="4" w:tplc="78141946">
      <w:numFmt w:val="bullet"/>
      <w:lvlText w:val="•"/>
      <w:lvlJc w:val="left"/>
      <w:pPr>
        <w:ind w:left="2260" w:hanging="217"/>
      </w:pPr>
      <w:rPr>
        <w:rFonts w:hint="default"/>
        <w:lang w:val="en-GB" w:eastAsia="en-GB" w:bidi="en-GB"/>
      </w:rPr>
    </w:lvl>
    <w:lvl w:ilvl="5" w:tplc="1C14B4D2">
      <w:numFmt w:val="bullet"/>
      <w:lvlText w:val="•"/>
      <w:lvlJc w:val="left"/>
      <w:pPr>
        <w:ind w:left="2750" w:hanging="217"/>
      </w:pPr>
      <w:rPr>
        <w:rFonts w:hint="default"/>
        <w:lang w:val="en-GB" w:eastAsia="en-GB" w:bidi="en-GB"/>
      </w:rPr>
    </w:lvl>
    <w:lvl w:ilvl="6" w:tplc="6DCCC8BE">
      <w:numFmt w:val="bullet"/>
      <w:lvlText w:val="•"/>
      <w:lvlJc w:val="left"/>
      <w:pPr>
        <w:ind w:left="3240" w:hanging="217"/>
      </w:pPr>
      <w:rPr>
        <w:rFonts w:hint="default"/>
        <w:lang w:val="en-GB" w:eastAsia="en-GB" w:bidi="en-GB"/>
      </w:rPr>
    </w:lvl>
    <w:lvl w:ilvl="7" w:tplc="AE78D1CA">
      <w:numFmt w:val="bullet"/>
      <w:lvlText w:val="•"/>
      <w:lvlJc w:val="left"/>
      <w:pPr>
        <w:ind w:left="3730" w:hanging="217"/>
      </w:pPr>
      <w:rPr>
        <w:rFonts w:hint="default"/>
        <w:lang w:val="en-GB" w:eastAsia="en-GB" w:bidi="en-GB"/>
      </w:rPr>
    </w:lvl>
    <w:lvl w:ilvl="8" w:tplc="CFEE91B4">
      <w:numFmt w:val="bullet"/>
      <w:lvlText w:val="•"/>
      <w:lvlJc w:val="left"/>
      <w:pPr>
        <w:ind w:left="4220" w:hanging="217"/>
      </w:pPr>
      <w:rPr>
        <w:rFonts w:hint="default"/>
        <w:lang w:val="en-GB" w:eastAsia="en-GB" w:bidi="en-GB"/>
      </w:rPr>
    </w:lvl>
  </w:abstractNum>
  <w:abstractNum w:abstractNumId="1163" w15:restartNumberingAfterBreak="0">
    <w:nsid w:val="693857F7"/>
    <w:multiLevelType w:val="hybridMultilevel"/>
    <w:tmpl w:val="DCB21DFC"/>
    <w:lvl w:ilvl="0" w:tplc="B1940480">
      <w:numFmt w:val="bullet"/>
      <w:lvlText w:val="•"/>
      <w:lvlJc w:val="left"/>
      <w:pPr>
        <w:ind w:left="303" w:hanging="217"/>
      </w:pPr>
      <w:rPr>
        <w:rFonts w:ascii="Arial" w:eastAsia="Arial" w:hAnsi="Arial" w:cs="Arial" w:hint="default"/>
        <w:color w:val="231F20"/>
        <w:w w:val="102"/>
        <w:sz w:val="17"/>
        <w:szCs w:val="17"/>
        <w:lang w:val="en-GB" w:eastAsia="en-GB" w:bidi="en-GB"/>
      </w:rPr>
    </w:lvl>
    <w:lvl w:ilvl="1" w:tplc="0C9622BA">
      <w:numFmt w:val="bullet"/>
      <w:lvlText w:val="•"/>
      <w:lvlJc w:val="left"/>
      <w:pPr>
        <w:ind w:left="439" w:hanging="217"/>
      </w:pPr>
      <w:rPr>
        <w:rFonts w:hint="default"/>
        <w:lang w:val="en-GB" w:eastAsia="en-GB" w:bidi="en-GB"/>
      </w:rPr>
    </w:lvl>
    <w:lvl w:ilvl="2" w:tplc="C37291A0">
      <w:numFmt w:val="bullet"/>
      <w:lvlText w:val="•"/>
      <w:lvlJc w:val="left"/>
      <w:pPr>
        <w:ind w:left="578" w:hanging="217"/>
      </w:pPr>
      <w:rPr>
        <w:rFonts w:hint="default"/>
        <w:lang w:val="en-GB" w:eastAsia="en-GB" w:bidi="en-GB"/>
      </w:rPr>
    </w:lvl>
    <w:lvl w:ilvl="3" w:tplc="2C565B8C">
      <w:numFmt w:val="bullet"/>
      <w:lvlText w:val="•"/>
      <w:lvlJc w:val="left"/>
      <w:pPr>
        <w:ind w:left="717" w:hanging="217"/>
      </w:pPr>
      <w:rPr>
        <w:rFonts w:hint="default"/>
        <w:lang w:val="en-GB" w:eastAsia="en-GB" w:bidi="en-GB"/>
      </w:rPr>
    </w:lvl>
    <w:lvl w:ilvl="4" w:tplc="9E500820">
      <w:numFmt w:val="bullet"/>
      <w:lvlText w:val="•"/>
      <w:lvlJc w:val="left"/>
      <w:pPr>
        <w:ind w:left="856" w:hanging="217"/>
      </w:pPr>
      <w:rPr>
        <w:rFonts w:hint="default"/>
        <w:lang w:val="en-GB" w:eastAsia="en-GB" w:bidi="en-GB"/>
      </w:rPr>
    </w:lvl>
    <w:lvl w:ilvl="5" w:tplc="1B4EEA10">
      <w:numFmt w:val="bullet"/>
      <w:lvlText w:val="•"/>
      <w:lvlJc w:val="left"/>
      <w:pPr>
        <w:ind w:left="995" w:hanging="217"/>
      </w:pPr>
      <w:rPr>
        <w:rFonts w:hint="default"/>
        <w:lang w:val="en-GB" w:eastAsia="en-GB" w:bidi="en-GB"/>
      </w:rPr>
    </w:lvl>
    <w:lvl w:ilvl="6" w:tplc="08608D84">
      <w:numFmt w:val="bullet"/>
      <w:lvlText w:val="•"/>
      <w:lvlJc w:val="left"/>
      <w:pPr>
        <w:ind w:left="1134" w:hanging="217"/>
      </w:pPr>
      <w:rPr>
        <w:rFonts w:hint="default"/>
        <w:lang w:val="en-GB" w:eastAsia="en-GB" w:bidi="en-GB"/>
      </w:rPr>
    </w:lvl>
    <w:lvl w:ilvl="7" w:tplc="88F458C8">
      <w:numFmt w:val="bullet"/>
      <w:lvlText w:val="•"/>
      <w:lvlJc w:val="left"/>
      <w:pPr>
        <w:ind w:left="1273" w:hanging="217"/>
      </w:pPr>
      <w:rPr>
        <w:rFonts w:hint="default"/>
        <w:lang w:val="en-GB" w:eastAsia="en-GB" w:bidi="en-GB"/>
      </w:rPr>
    </w:lvl>
    <w:lvl w:ilvl="8" w:tplc="5B2C0B58">
      <w:numFmt w:val="bullet"/>
      <w:lvlText w:val="•"/>
      <w:lvlJc w:val="left"/>
      <w:pPr>
        <w:ind w:left="1412" w:hanging="217"/>
      </w:pPr>
      <w:rPr>
        <w:rFonts w:hint="default"/>
        <w:lang w:val="en-GB" w:eastAsia="en-GB" w:bidi="en-GB"/>
      </w:rPr>
    </w:lvl>
  </w:abstractNum>
  <w:abstractNum w:abstractNumId="1164" w15:restartNumberingAfterBreak="0">
    <w:nsid w:val="694261FB"/>
    <w:multiLevelType w:val="hybridMultilevel"/>
    <w:tmpl w:val="549409A2"/>
    <w:lvl w:ilvl="0" w:tplc="E9109F5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E4E36BC">
      <w:numFmt w:val="bullet"/>
      <w:lvlText w:val="•"/>
      <w:lvlJc w:val="left"/>
      <w:pPr>
        <w:ind w:left="473" w:hanging="217"/>
      </w:pPr>
      <w:rPr>
        <w:rFonts w:hint="default"/>
        <w:lang w:val="en-GB" w:eastAsia="en-GB" w:bidi="en-GB"/>
      </w:rPr>
    </w:lvl>
    <w:lvl w:ilvl="2" w:tplc="3EE67082">
      <w:numFmt w:val="bullet"/>
      <w:lvlText w:val="•"/>
      <w:lvlJc w:val="left"/>
      <w:pPr>
        <w:ind w:left="646" w:hanging="217"/>
      </w:pPr>
      <w:rPr>
        <w:rFonts w:hint="default"/>
        <w:lang w:val="en-GB" w:eastAsia="en-GB" w:bidi="en-GB"/>
      </w:rPr>
    </w:lvl>
    <w:lvl w:ilvl="3" w:tplc="8A182DAC">
      <w:numFmt w:val="bullet"/>
      <w:lvlText w:val="•"/>
      <w:lvlJc w:val="left"/>
      <w:pPr>
        <w:ind w:left="819" w:hanging="217"/>
      </w:pPr>
      <w:rPr>
        <w:rFonts w:hint="default"/>
        <w:lang w:val="en-GB" w:eastAsia="en-GB" w:bidi="en-GB"/>
      </w:rPr>
    </w:lvl>
    <w:lvl w:ilvl="4" w:tplc="A254DEEA">
      <w:numFmt w:val="bullet"/>
      <w:lvlText w:val="•"/>
      <w:lvlJc w:val="left"/>
      <w:pPr>
        <w:ind w:left="992" w:hanging="217"/>
      </w:pPr>
      <w:rPr>
        <w:rFonts w:hint="default"/>
        <w:lang w:val="en-GB" w:eastAsia="en-GB" w:bidi="en-GB"/>
      </w:rPr>
    </w:lvl>
    <w:lvl w:ilvl="5" w:tplc="6B42293E">
      <w:numFmt w:val="bullet"/>
      <w:lvlText w:val="•"/>
      <w:lvlJc w:val="left"/>
      <w:pPr>
        <w:ind w:left="1165" w:hanging="217"/>
      </w:pPr>
      <w:rPr>
        <w:rFonts w:hint="default"/>
        <w:lang w:val="en-GB" w:eastAsia="en-GB" w:bidi="en-GB"/>
      </w:rPr>
    </w:lvl>
    <w:lvl w:ilvl="6" w:tplc="83060E9A">
      <w:numFmt w:val="bullet"/>
      <w:lvlText w:val="•"/>
      <w:lvlJc w:val="left"/>
      <w:pPr>
        <w:ind w:left="1338" w:hanging="217"/>
      </w:pPr>
      <w:rPr>
        <w:rFonts w:hint="default"/>
        <w:lang w:val="en-GB" w:eastAsia="en-GB" w:bidi="en-GB"/>
      </w:rPr>
    </w:lvl>
    <w:lvl w:ilvl="7" w:tplc="743C9164">
      <w:numFmt w:val="bullet"/>
      <w:lvlText w:val="•"/>
      <w:lvlJc w:val="left"/>
      <w:pPr>
        <w:ind w:left="1511" w:hanging="217"/>
      </w:pPr>
      <w:rPr>
        <w:rFonts w:hint="default"/>
        <w:lang w:val="en-GB" w:eastAsia="en-GB" w:bidi="en-GB"/>
      </w:rPr>
    </w:lvl>
    <w:lvl w:ilvl="8" w:tplc="16DE8D2C">
      <w:numFmt w:val="bullet"/>
      <w:lvlText w:val="•"/>
      <w:lvlJc w:val="left"/>
      <w:pPr>
        <w:ind w:left="1684" w:hanging="217"/>
      </w:pPr>
      <w:rPr>
        <w:rFonts w:hint="default"/>
        <w:lang w:val="en-GB" w:eastAsia="en-GB" w:bidi="en-GB"/>
      </w:rPr>
    </w:lvl>
  </w:abstractNum>
  <w:abstractNum w:abstractNumId="1165" w15:restartNumberingAfterBreak="0">
    <w:nsid w:val="69566716"/>
    <w:multiLevelType w:val="hybridMultilevel"/>
    <w:tmpl w:val="EAECE236"/>
    <w:lvl w:ilvl="0" w:tplc="B7E66A2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CDC3B20">
      <w:numFmt w:val="bullet"/>
      <w:lvlText w:val="•"/>
      <w:lvlJc w:val="left"/>
      <w:pPr>
        <w:ind w:left="892" w:hanging="217"/>
      </w:pPr>
      <w:rPr>
        <w:rFonts w:hint="default"/>
        <w:lang w:val="en-GB" w:eastAsia="en-GB" w:bidi="en-GB"/>
      </w:rPr>
    </w:lvl>
    <w:lvl w:ilvl="2" w:tplc="9314DF30">
      <w:numFmt w:val="bullet"/>
      <w:lvlText w:val="•"/>
      <w:lvlJc w:val="left"/>
      <w:pPr>
        <w:ind w:left="1485" w:hanging="217"/>
      </w:pPr>
      <w:rPr>
        <w:rFonts w:hint="default"/>
        <w:lang w:val="en-GB" w:eastAsia="en-GB" w:bidi="en-GB"/>
      </w:rPr>
    </w:lvl>
    <w:lvl w:ilvl="3" w:tplc="CCFA38F6">
      <w:numFmt w:val="bullet"/>
      <w:lvlText w:val="•"/>
      <w:lvlJc w:val="left"/>
      <w:pPr>
        <w:ind w:left="2077" w:hanging="217"/>
      </w:pPr>
      <w:rPr>
        <w:rFonts w:hint="default"/>
        <w:lang w:val="en-GB" w:eastAsia="en-GB" w:bidi="en-GB"/>
      </w:rPr>
    </w:lvl>
    <w:lvl w:ilvl="4" w:tplc="9F68D76C">
      <w:numFmt w:val="bullet"/>
      <w:lvlText w:val="•"/>
      <w:lvlJc w:val="left"/>
      <w:pPr>
        <w:ind w:left="2670" w:hanging="217"/>
      </w:pPr>
      <w:rPr>
        <w:rFonts w:hint="default"/>
        <w:lang w:val="en-GB" w:eastAsia="en-GB" w:bidi="en-GB"/>
      </w:rPr>
    </w:lvl>
    <w:lvl w:ilvl="5" w:tplc="DB8E7B7C">
      <w:numFmt w:val="bullet"/>
      <w:lvlText w:val="•"/>
      <w:lvlJc w:val="left"/>
      <w:pPr>
        <w:ind w:left="3263" w:hanging="217"/>
      </w:pPr>
      <w:rPr>
        <w:rFonts w:hint="default"/>
        <w:lang w:val="en-GB" w:eastAsia="en-GB" w:bidi="en-GB"/>
      </w:rPr>
    </w:lvl>
    <w:lvl w:ilvl="6" w:tplc="B5888F1A">
      <w:numFmt w:val="bullet"/>
      <w:lvlText w:val="•"/>
      <w:lvlJc w:val="left"/>
      <w:pPr>
        <w:ind w:left="3855" w:hanging="217"/>
      </w:pPr>
      <w:rPr>
        <w:rFonts w:hint="default"/>
        <w:lang w:val="en-GB" w:eastAsia="en-GB" w:bidi="en-GB"/>
      </w:rPr>
    </w:lvl>
    <w:lvl w:ilvl="7" w:tplc="627E05D0">
      <w:numFmt w:val="bullet"/>
      <w:lvlText w:val="•"/>
      <w:lvlJc w:val="left"/>
      <w:pPr>
        <w:ind w:left="4448" w:hanging="217"/>
      </w:pPr>
      <w:rPr>
        <w:rFonts w:hint="default"/>
        <w:lang w:val="en-GB" w:eastAsia="en-GB" w:bidi="en-GB"/>
      </w:rPr>
    </w:lvl>
    <w:lvl w:ilvl="8" w:tplc="64E888FC">
      <w:numFmt w:val="bullet"/>
      <w:lvlText w:val="•"/>
      <w:lvlJc w:val="left"/>
      <w:pPr>
        <w:ind w:left="5040" w:hanging="217"/>
      </w:pPr>
      <w:rPr>
        <w:rFonts w:hint="default"/>
        <w:lang w:val="en-GB" w:eastAsia="en-GB" w:bidi="en-GB"/>
      </w:rPr>
    </w:lvl>
  </w:abstractNum>
  <w:abstractNum w:abstractNumId="1166" w15:restartNumberingAfterBreak="0">
    <w:nsid w:val="696F09BD"/>
    <w:multiLevelType w:val="hybridMultilevel"/>
    <w:tmpl w:val="6D18B17E"/>
    <w:lvl w:ilvl="0" w:tplc="DA1A9792">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231418F6">
      <w:numFmt w:val="bullet"/>
      <w:lvlText w:val="•"/>
      <w:lvlJc w:val="left"/>
      <w:pPr>
        <w:ind w:left="892" w:hanging="217"/>
      </w:pPr>
      <w:rPr>
        <w:rFonts w:hint="default"/>
        <w:lang w:val="en-GB" w:eastAsia="en-GB" w:bidi="en-GB"/>
      </w:rPr>
    </w:lvl>
    <w:lvl w:ilvl="2" w:tplc="164490D6">
      <w:numFmt w:val="bullet"/>
      <w:lvlText w:val="•"/>
      <w:lvlJc w:val="left"/>
      <w:pPr>
        <w:ind w:left="1485" w:hanging="217"/>
      </w:pPr>
      <w:rPr>
        <w:rFonts w:hint="default"/>
        <w:lang w:val="en-GB" w:eastAsia="en-GB" w:bidi="en-GB"/>
      </w:rPr>
    </w:lvl>
    <w:lvl w:ilvl="3" w:tplc="CD049B90">
      <w:numFmt w:val="bullet"/>
      <w:lvlText w:val="•"/>
      <w:lvlJc w:val="left"/>
      <w:pPr>
        <w:ind w:left="2077" w:hanging="217"/>
      </w:pPr>
      <w:rPr>
        <w:rFonts w:hint="default"/>
        <w:lang w:val="en-GB" w:eastAsia="en-GB" w:bidi="en-GB"/>
      </w:rPr>
    </w:lvl>
    <w:lvl w:ilvl="4" w:tplc="6F70A65C">
      <w:numFmt w:val="bullet"/>
      <w:lvlText w:val="•"/>
      <w:lvlJc w:val="left"/>
      <w:pPr>
        <w:ind w:left="2670" w:hanging="217"/>
      </w:pPr>
      <w:rPr>
        <w:rFonts w:hint="default"/>
        <w:lang w:val="en-GB" w:eastAsia="en-GB" w:bidi="en-GB"/>
      </w:rPr>
    </w:lvl>
    <w:lvl w:ilvl="5" w:tplc="9C3AD1EC">
      <w:numFmt w:val="bullet"/>
      <w:lvlText w:val="•"/>
      <w:lvlJc w:val="left"/>
      <w:pPr>
        <w:ind w:left="3263" w:hanging="217"/>
      </w:pPr>
      <w:rPr>
        <w:rFonts w:hint="default"/>
        <w:lang w:val="en-GB" w:eastAsia="en-GB" w:bidi="en-GB"/>
      </w:rPr>
    </w:lvl>
    <w:lvl w:ilvl="6" w:tplc="F5C64F6A">
      <w:numFmt w:val="bullet"/>
      <w:lvlText w:val="•"/>
      <w:lvlJc w:val="left"/>
      <w:pPr>
        <w:ind w:left="3855" w:hanging="217"/>
      </w:pPr>
      <w:rPr>
        <w:rFonts w:hint="default"/>
        <w:lang w:val="en-GB" w:eastAsia="en-GB" w:bidi="en-GB"/>
      </w:rPr>
    </w:lvl>
    <w:lvl w:ilvl="7" w:tplc="29B8053A">
      <w:numFmt w:val="bullet"/>
      <w:lvlText w:val="•"/>
      <w:lvlJc w:val="left"/>
      <w:pPr>
        <w:ind w:left="4448" w:hanging="217"/>
      </w:pPr>
      <w:rPr>
        <w:rFonts w:hint="default"/>
        <w:lang w:val="en-GB" w:eastAsia="en-GB" w:bidi="en-GB"/>
      </w:rPr>
    </w:lvl>
    <w:lvl w:ilvl="8" w:tplc="F64A1FA6">
      <w:numFmt w:val="bullet"/>
      <w:lvlText w:val="•"/>
      <w:lvlJc w:val="left"/>
      <w:pPr>
        <w:ind w:left="5040" w:hanging="217"/>
      </w:pPr>
      <w:rPr>
        <w:rFonts w:hint="default"/>
        <w:lang w:val="en-GB" w:eastAsia="en-GB" w:bidi="en-GB"/>
      </w:rPr>
    </w:lvl>
  </w:abstractNum>
  <w:abstractNum w:abstractNumId="1167" w15:restartNumberingAfterBreak="0">
    <w:nsid w:val="698D2665"/>
    <w:multiLevelType w:val="hybridMultilevel"/>
    <w:tmpl w:val="37F65CBA"/>
    <w:lvl w:ilvl="0" w:tplc="B2C01FBA">
      <w:numFmt w:val="bullet"/>
      <w:lvlText w:val="•"/>
      <w:lvlJc w:val="left"/>
      <w:pPr>
        <w:ind w:left="299" w:hanging="217"/>
      </w:pPr>
      <w:rPr>
        <w:rFonts w:ascii="Arial" w:eastAsia="Arial" w:hAnsi="Arial" w:cs="Arial" w:hint="default"/>
        <w:color w:val="231F20"/>
        <w:spacing w:val="-7"/>
        <w:w w:val="100"/>
        <w:sz w:val="18"/>
        <w:szCs w:val="18"/>
        <w:lang w:val="en-GB" w:eastAsia="en-GB" w:bidi="en-GB"/>
      </w:rPr>
    </w:lvl>
    <w:lvl w:ilvl="1" w:tplc="8BF6E38E">
      <w:numFmt w:val="bullet"/>
      <w:lvlText w:val="•"/>
      <w:lvlJc w:val="left"/>
      <w:pPr>
        <w:ind w:left="473" w:hanging="217"/>
      </w:pPr>
      <w:rPr>
        <w:rFonts w:hint="default"/>
        <w:lang w:val="en-GB" w:eastAsia="en-GB" w:bidi="en-GB"/>
      </w:rPr>
    </w:lvl>
    <w:lvl w:ilvl="2" w:tplc="84DEC620">
      <w:numFmt w:val="bullet"/>
      <w:lvlText w:val="•"/>
      <w:lvlJc w:val="left"/>
      <w:pPr>
        <w:ind w:left="646" w:hanging="217"/>
      </w:pPr>
      <w:rPr>
        <w:rFonts w:hint="default"/>
        <w:lang w:val="en-GB" w:eastAsia="en-GB" w:bidi="en-GB"/>
      </w:rPr>
    </w:lvl>
    <w:lvl w:ilvl="3" w:tplc="5B6E19EE">
      <w:numFmt w:val="bullet"/>
      <w:lvlText w:val="•"/>
      <w:lvlJc w:val="left"/>
      <w:pPr>
        <w:ind w:left="819" w:hanging="217"/>
      </w:pPr>
      <w:rPr>
        <w:rFonts w:hint="default"/>
        <w:lang w:val="en-GB" w:eastAsia="en-GB" w:bidi="en-GB"/>
      </w:rPr>
    </w:lvl>
    <w:lvl w:ilvl="4" w:tplc="0266561A">
      <w:numFmt w:val="bullet"/>
      <w:lvlText w:val="•"/>
      <w:lvlJc w:val="left"/>
      <w:pPr>
        <w:ind w:left="992" w:hanging="217"/>
      </w:pPr>
      <w:rPr>
        <w:rFonts w:hint="default"/>
        <w:lang w:val="en-GB" w:eastAsia="en-GB" w:bidi="en-GB"/>
      </w:rPr>
    </w:lvl>
    <w:lvl w:ilvl="5" w:tplc="A8485732">
      <w:numFmt w:val="bullet"/>
      <w:lvlText w:val="•"/>
      <w:lvlJc w:val="left"/>
      <w:pPr>
        <w:ind w:left="1165" w:hanging="217"/>
      </w:pPr>
      <w:rPr>
        <w:rFonts w:hint="default"/>
        <w:lang w:val="en-GB" w:eastAsia="en-GB" w:bidi="en-GB"/>
      </w:rPr>
    </w:lvl>
    <w:lvl w:ilvl="6" w:tplc="96522D7C">
      <w:numFmt w:val="bullet"/>
      <w:lvlText w:val="•"/>
      <w:lvlJc w:val="left"/>
      <w:pPr>
        <w:ind w:left="1338" w:hanging="217"/>
      </w:pPr>
      <w:rPr>
        <w:rFonts w:hint="default"/>
        <w:lang w:val="en-GB" w:eastAsia="en-GB" w:bidi="en-GB"/>
      </w:rPr>
    </w:lvl>
    <w:lvl w:ilvl="7" w:tplc="49B89AFA">
      <w:numFmt w:val="bullet"/>
      <w:lvlText w:val="•"/>
      <w:lvlJc w:val="left"/>
      <w:pPr>
        <w:ind w:left="1511" w:hanging="217"/>
      </w:pPr>
      <w:rPr>
        <w:rFonts w:hint="default"/>
        <w:lang w:val="en-GB" w:eastAsia="en-GB" w:bidi="en-GB"/>
      </w:rPr>
    </w:lvl>
    <w:lvl w:ilvl="8" w:tplc="FA7A9C52">
      <w:numFmt w:val="bullet"/>
      <w:lvlText w:val="•"/>
      <w:lvlJc w:val="left"/>
      <w:pPr>
        <w:ind w:left="1684" w:hanging="217"/>
      </w:pPr>
      <w:rPr>
        <w:rFonts w:hint="default"/>
        <w:lang w:val="en-GB" w:eastAsia="en-GB" w:bidi="en-GB"/>
      </w:rPr>
    </w:lvl>
  </w:abstractNum>
  <w:abstractNum w:abstractNumId="1168" w15:restartNumberingAfterBreak="0">
    <w:nsid w:val="69A101E5"/>
    <w:multiLevelType w:val="hybridMultilevel"/>
    <w:tmpl w:val="93DAA30C"/>
    <w:lvl w:ilvl="0" w:tplc="AE3A934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C3A06B8">
      <w:numFmt w:val="bullet"/>
      <w:lvlText w:val="•"/>
      <w:lvlJc w:val="left"/>
      <w:pPr>
        <w:ind w:left="439" w:hanging="217"/>
      </w:pPr>
      <w:rPr>
        <w:rFonts w:hint="default"/>
        <w:lang w:val="en-GB" w:eastAsia="en-GB" w:bidi="en-GB"/>
      </w:rPr>
    </w:lvl>
    <w:lvl w:ilvl="2" w:tplc="217C0258">
      <w:numFmt w:val="bullet"/>
      <w:lvlText w:val="•"/>
      <w:lvlJc w:val="left"/>
      <w:pPr>
        <w:ind w:left="578" w:hanging="217"/>
      </w:pPr>
      <w:rPr>
        <w:rFonts w:hint="default"/>
        <w:lang w:val="en-GB" w:eastAsia="en-GB" w:bidi="en-GB"/>
      </w:rPr>
    </w:lvl>
    <w:lvl w:ilvl="3" w:tplc="6D7CC86E">
      <w:numFmt w:val="bullet"/>
      <w:lvlText w:val="•"/>
      <w:lvlJc w:val="left"/>
      <w:pPr>
        <w:ind w:left="717" w:hanging="217"/>
      </w:pPr>
      <w:rPr>
        <w:rFonts w:hint="default"/>
        <w:lang w:val="en-GB" w:eastAsia="en-GB" w:bidi="en-GB"/>
      </w:rPr>
    </w:lvl>
    <w:lvl w:ilvl="4" w:tplc="A46C5800">
      <w:numFmt w:val="bullet"/>
      <w:lvlText w:val="•"/>
      <w:lvlJc w:val="left"/>
      <w:pPr>
        <w:ind w:left="856" w:hanging="217"/>
      </w:pPr>
      <w:rPr>
        <w:rFonts w:hint="default"/>
        <w:lang w:val="en-GB" w:eastAsia="en-GB" w:bidi="en-GB"/>
      </w:rPr>
    </w:lvl>
    <w:lvl w:ilvl="5" w:tplc="5AF85C7A">
      <w:numFmt w:val="bullet"/>
      <w:lvlText w:val="•"/>
      <w:lvlJc w:val="left"/>
      <w:pPr>
        <w:ind w:left="995" w:hanging="217"/>
      </w:pPr>
      <w:rPr>
        <w:rFonts w:hint="default"/>
        <w:lang w:val="en-GB" w:eastAsia="en-GB" w:bidi="en-GB"/>
      </w:rPr>
    </w:lvl>
    <w:lvl w:ilvl="6" w:tplc="0B1689E2">
      <w:numFmt w:val="bullet"/>
      <w:lvlText w:val="•"/>
      <w:lvlJc w:val="left"/>
      <w:pPr>
        <w:ind w:left="1134" w:hanging="217"/>
      </w:pPr>
      <w:rPr>
        <w:rFonts w:hint="default"/>
        <w:lang w:val="en-GB" w:eastAsia="en-GB" w:bidi="en-GB"/>
      </w:rPr>
    </w:lvl>
    <w:lvl w:ilvl="7" w:tplc="0B5AD762">
      <w:numFmt w:val="bullet"/>
      <w:lvlText w:val="•"/>
      <w:lvlJc w:val="left"/>
      <w:pPr>
        <w:ind w:left="1273" w:hanging="217"/>
      </w:pPr>
      <w:rPr>
        <w:rFonts w:hint="default"/>
        <w:lang w:val="en-GB" w:eastAsia="en-GB" w:bidi="en-GB"/>
      </w:rPr>
    </w:lvl>
    <w:lvl w:ilvl="8" w:tplc="4BC2BA48">
      <w:numFmt w:val="bullet"/>
      <w:lvlText w:val="•"/>
      <w:lvlJc w:val="left"/>
      <w:pPr>
        <w:ind w:left="1412" w:hanging="217"/>
      </w:pPr>
      <w:rPr>
        <w:rFonts w:hint="default"/>
        <w:lang w:val="en-GB" w:eastAsia="en-GB" w:bidi="en-GB"/>
      </w:rPr>
    </w:lvl>
  </w:abstractNum>
  <w:abstractNum w:abstractNumId="1169" w15:restartNumberingAfterBreak="0">
    <w:nsid w:val="69BA4C3F"/>
    <w:multiLevelType w:val="hybridMultilevel"/>
    <w:tmpl w:val="B1F6DDF4"/>
    <w:lvl w:ilvl="0" w:tplc="862CB68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A022914">
      <w:numFmt w:val="bullet"/>
      <w:lvlText w:val="•"/>
      <w:lvlJc w:val="left"/>
      <w:pPr>
        <w:ind w:left="892" w:hanging="217"/>
      </w:pPr>
      <w:rPr>
        <w:rFonts w:hint="default"/>
        <w:lang w:val="en-GB" w:eastAsia="en-GB" w:bidi="en-GB"/>
      </w:rPr>
    </w:lvl>
    <w:lvl w:ilvl="2" w:tplc="35E29196">
      <w:numFmt w:val="bullet"/>
      <w:lvlText w:val="•"/>
      <w:lvlJc w:val="left"/>
      <w:pPr>
        <w:ind w:left="1485" w:hanging="217"/>
      </w:pPr>
      <w:rPr>
        <w:rFonts w:hint="default"/>
        <w:lang w:val="en-GB" w:eastAsia="en-GB" w:bidi="en-GB"/>
      </w:rPr>
    </w:lvl>
    <w:lvl w:ilvl="3" w:tplc="B7A6FA70">
      <w:numFmt w:val="bullet"/>
      <w:lvlText w:val="•"/>
      <w:lvlJc w:val="left"/>
      <w:pPr>
        <w:ind w:left="2077" w:hanging="217"/>
      </w:pPr>
      <w:rPr>
        <w:rFonts w:hint="default"/>
        <w:lang w:val="en-GB" w:eastAsia="en-GB" w:bidi="en-GB"/>
      </w:rPr>
    </w:lvl>
    <w:lvl w:ilvl="4" w:tplc="3698D80C">
      <w:numFmt w:val="bullet"/>
      <w:lvlText w:val="•"/>
      <w:lvlJc w:val="left"/>
      <w:pPr>
        <w:ind w:left="2670" w:hanging="217"/>
      </w:pPr>
      <w:rPr>
        <w:rFonts w:hint="default"/>
        <w:lang w:val="en-GB" w:eastAsia="en-GB" w:bidi="en-GB"/>
      </w:rPr>
    </w:lvl>
    <w:lvl w:ilvl="5" w:tplc="D4BCAD02">
      <w:numFmt w:val="bullet"/>
      <w:lvlText w:val="•"/>
      <w:lvlJc w:val="left"/>
      <w:pPr>
        <w:ind w:left="3263" w:hanging="217"/>
      </w:pPr>
      <w:rPr>
        <w:rFonts w:hint="default"/>
        <w:lang w:val="en-GB" w:eastAsia="en-GB" w:bidi="en-GB"/>
      </w:rPr>
    </w:lvl>
    <w:lvl w:ilvl="6" w:tplc="BD9202C2">
      <w:numFmt w:val="bullet"/>
      <w:lvlText w:val="•"/>
      <w:lvlJc w:val="left"/>
      <w:pPr>
        <w:ind w:left="3855" w:hanging="217"/>
      </w:pPr>
      <w:rPr>
        <w:rFonts w:hint="default"/>
        <w:lang w:val="en-GB" w:eastAsia="en-GB" w:bidi="en-GB"/>
      </w:rPr>
    </w:lvl>
    <w:lvl w:ilvl="7" w:tplc="40DC8CB0">
      <w:numFmt w:val="bullet"/>
      <w:lvlText w:val="•"/>
      <w:lvlJc w:val="left"/>
      <w:pPr>
        <w:ind w:left="4448" w:hanging="217"/>
      </w:pPr>
      <w:rPr>
        <w:rFonts w:hint="default"/>
        <w:lang w:val="en-GB" w:eastAsia="en-GB" w:bidi="en-GB"/>
      </w:rPr>
    </w:lvl>
    <w:lvl w:ilvl="8" w:tplc="A4EC997C">
      <w:numFmt w:val="bullet"/>
      <w:lvlText w:val="•"/>
      <w:lvlJc w:val="left"/>
      <w:pPr>
        <w:ind w:left="5040" w:hanging="217"/>
      </w:pPr>
      <w:rPr>
        <w:rFonts w:hint="default"/>
        <w:lang w:val="en-GB" w:eastAsia="en-GB" w:bidi="en-GB"/>
      </w:rPr>
    </w:lvl>
  </w:abstractNum>
  <w:abstractNum w:abstractNumId="1170" w15:restartNumberingAfterBreak="0">
    <w:nsid w:val="69C462B6"/>
    <w:multiLevelType w:val="hybridMultilevel"/>
    <w:tmpl w:val="36409860"/>
    <w:lvl w:ilvl="0" w:tplc="1C56629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41EC106">
      <w:numFmt w:val="bullet"/>
      <w:lvlText w:val="•"/>
      <w:lvlJc w:val="left"/>
      <w:pPr>
        <w:ind w:left="473" w:hanging="217"/>
      </w:pPr>
      <w:rPr>
        <w:rFonts w:hint="default"/>
        <w:lang w:val="en-GB" w:eastAsia="en-GB" w:bidi="en-GB"/>
      </w:rPr>
    </w:lvl>
    <w:lvl w:ilvl="2" w:tplc="B1907C5E">
      <w:numFmt w:val="bullet"/>
      <w:lvlText w:val="•"/>
      <w:lvlJc w:val="left"/>
      <w:pPr>
        <w:ind w:left="646" w:hanging="217"/>
      </w:pPr>
      <w:rPr>
        <w:rFonts w:hint="default"/>
        <w:lang w:val="en-GB" w:eastAsia="en-GB" w:bidi="en-GB"/>
      </w:rPr>
    </w:lvl>
    <w:lvl w:ilvl="3" w:tplc="9EAA7CD6">
      <w:numFmt w:val="bullet"/>
      <w:lvlText w:val="•"/>
      <w:lvlJc w:val="left"/>
      <w:pPr>
        <w:ind w:left="819" w:hanging="217"/>
      </w:pPr>
      <w:rPr>
        <w:rFonts w:hint="default"/>
        <w:lang w:val="en-GB" w:eastAsia="en-GB" w:bidi="en-GB"/>
      </w:rPr>
    </w:lvl>
    <w:lvl w:ilvl="4" w:tplc="85BE74D0">
      <w:numFmt w:val="bullet"/>
      <w:lvlText w:val="•"/>
      <w:lvlJc w:val="left"/>
      <w:pPr>
        <w:ind w:left="992" w:hanging="217"/>
      </w:pPr>
      <w:rPr>
        <w:rFonts w:hint="default"/>
        <w:lang w:val="en-GB" w:eastAsia="en-GB" w:bidi="en-GB"/>
      </w:rPr>
    </w:lvl>
    <w:lvl w:ilvl="5" w:tplc="B04CEE68">
      <w:numFmt w:val="bullet"/>
      <w:lvlText w:val="•"/>
      <w:lvlJc w:val="left"/>
      <w:pPr>
        <w:ind w:left="1165" w:hanging="217"/>
      </w:pPr>
      <w:rPr>
        <w:rFonts w:hint="default"/>
        <w:lang w:val="en-GB" w:eastAsia="en-GB" w:bidi="en-GB"/>
      </w:rPr>
    </w:lvl>
    <w:lvl w:ilvl="6" w:tplc="CF207E22">
      <w:numFmt w:val="bullet"/>
      <w:lvlText w:val="•"/>
      <w:lvlJc w:val="left"/>
      <w:pPr>
        <w:ind w:left="1338" w:hanging="217"/>
      </w:pPr>
      <w:rPr>
        <w:rFonts w:hint="default"/>
        <w:lang w:val="en-GB" w:eastAsia="en-GB" w:bidi="en-GB"/>
      </w:rPr>
    </w:lvl>
    <w:lvl w:ilvl="7" w:tplc="49940C9A">
      <w:numFmt w:val="bullet"/>
      <w:lvlText w:val="•"/>
      <w:lvlJc w:val="left"/>
      <w:pPr>
        <w:ind w:left="1511" w:hanging="217"/>
      </w:pPr>
      <w:rPr>
        <w:rFonts w:hint="default"/>
        <w:lang w:val="en-GB" w:eastAsia="en-GB" w:bidi="en-GB"/>
      </w:rPr>
    </w:lvl>
    <w:lvl w:ilvl="8" w:tplc="B2C4825C">
      <w:numFmt w:val="bullet"/>
      <w:lvlText w:val="•"/>
      <w:lvlJc w:val="left"/>
      <w:pPr>
        <w:ind w:left="1684" w:hanging="217"/>
      </w:pPr>
      <w:rPr>
        <w:rFonts w:hint="default"/>
        <w:lang w:val="en-GB" w:eastAsia="en-GB" w:bidi="en-GB"/>
      </w:rPr>
    </w:lvl>
  </w:abstractNum>
  <w:abstractNum w:abstractNumId="1171" w15:restartNumberingAfterBreak="0">
    <w:nsid w:val="69C874D4"/>
    <w:multiLevelType w:val="hybridMultilevel"/>
    <w:tmpl w:val="548ABCA0"/>
    <w:lvl w:ilvl="0" w:tplc="D10E892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85E638C">
      <w:numFmt w:val="bullet"/>
      <w:lvlText w:val="•"/>
      <w:lvlJc w:val="left"/>
      <w:pPr>
        <w:ind w:left="473" w:hanging="217"/>
      </w:pPr>
      <w:rPr>
        <w:rFonts w:hint="default"/>
        <w:lang w:val="en-GB" w:eastAsia="en-GB" w:bidi="en-GB"/>
      </w:rPr>
    </w:lvl>
    <w:lvl w:ilvl="2" w:tplc="76E2315E">
      <w:numFmt w:val="bullet"/>
      <w:lvlText w:val="•"/>
      <w:lvlJc w:val="left"/>
      <w:pPr>
        <w:ind w:left="646" w:hanging="217"/>
      </w:pPr>
      <w:rPr>
        <w:rFonts w:hint="default"/>
        <w:lang w:val="en-GB" w:eastAsia="en-GB" w:bidi="en-GB"/>
      </w:rPr>
    </w:lvl>
    <w:lvl w:ilvl="3" w:tplc="578E7B94">
      <w:numFmt w:val="bullet"/>
      <w:lvlText w:val="•"/>
      <w:lvlJc w:val="left"/>
      <w:pPr>
        <w:ind w:left="819" w:hanging="217"/>
      </w:pPr>
      <w:rPr>
        <w:rFonts w:hint="default"/>
        <w:lang w:val="en-GB" w:eastAsia="en-GB" w:bidi="en-GB"/>
      </w:rPr>
    </w:lvl>
    <w:lvl w:ilvl="4" w:tplc="5BCAC9AC">
      <w:numFmt w:val="bullet"/>
      <w:lvlText w:val="•"/>
      <w:lvlJc w:val="left"/>
      <w:pPr>
        <w:ind w:left="992" w:hanging="217"/>
      </w:pPr>
      <w:rPr>
        <w:rFonts w:hint="default"/>
        <w:lang w:val="en-GB" w:eastAsia="en-GB" w:bidi="en-GB"/>
      </w:rPr>
    </w:lvl>
    <w:lvl w:ilvl="5" w:tplc="44CCA2A0">
      <w:numFmt w:val="bullet"/>
      <w:lvlText w:val="•"/>
      <w:lvlJc w:val="left"/>
      <w:pPr>
        <w:ind w:left="1165" w:hanging="217"/>
      </w:pPr>
      <w:rPr>
        <w:rFonts w:hint="default"/>
        <w:lang w:val="en-GB" w:eastAsia="en-GB" w:bidi="en-GB"/>
      </w:rPr>
    </w:lvl>
    <w:lvl w:ilvl="6" w:tplc="4E322642">
      <w:numFmt w:val="bullet"/>
      <w:lvlText w:val="•"/>
      <w:lvlJc w:val="left"/>
      <w:pPr>
        <w:ind w:left="1338" w:hanging="217"/>
      </w:pPr>
      <w:rPr>
        <w:rFonts w:hint="default"/>
        <w:lang w:val="en-GB" w:eastAsia="en-GB" w:bidi="en-GB"/>
      </w:rPr>
    </w:lvl>
    <w:lvl w:ilvl="7" w:tplc="0A84BAAA">
      <w:numFmt w:val="bullet"/>
      <w:lvlText w:val="•"/>
      <w:lvlJc w:val="left"/>
      <w:pPr>
        <w:ind w:left="1511" w:hanging="217"/>
      </w:pPr>
      <w:rPr>
        <w:rFonts w:hint="default"/>
        <w:lang w:val="en-GB" w:eastAsia="en-GB" w:bidi="en-GB"/>
      </w:rPr>
    </w:lvl>
    <w:lvl w:ilvl="8" w:tplc="9E0E18D2">
      <w:numFmt w:val="bullet"/>
      <w:lvlText w:val="•"/>
      <w:lvlJc w:val="left"/>
      <w:pPr>
        <w:ind w:left="1684" w:hanging="217"/>
      </w:pPr>
      <w:rPr>
        <w:rFonts w:hint="default"/>
        <w:lang w:val="en-GB" w:eastAsia="en-GB" w:bidi="en-GB"/>
      </w:rPr>
    </w:lvl>
  </w:abstractNum>
  <w:abstractNum w:abstractNumId="1172" w15:restartNumberingAfterBreak="0">
    <w:nsid w:val="69F935D7"/>
    <w:multiLevelType w:val="hybridMultilevel"/>
    <w:tmpl w:val="887208E6"/>
    <w:lvl w:ilvl="0" w:tplc="DE200DB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3C49B1C">
      <w:numFmt w:val="bullet"/>
      <w:lvlText w:val="•"/>
      <w:lvlJc w:val="left"/>
      <w:pPr>
        <w:ind w:left="439" w:hanging="217"/>
      </w:pPr>
      <w:rPr>
        <w:rFonts w:hint="default"/>
        <w:lang w:val="en-GB" w:eastAsia="en-GB" w:bidi="en-GB"/>
      </w:rPr>
    </w:lvl>
    <w:lvl w:ilvl="2" w:tplc="2E16736E">
      <w:numFmt w:val="bullet"/>
      <w:lvlText w:val="•"/>
      <w:lvlJc w:val="left"/>
      <w:pPr>
        <w:ind w:left="578" w:hanging="217"/>
      </w:pPr>
      <w:rPr>
        <w:rFonts w:hint="default"/>
        <w:lang w:val="en-GB" w:eastAsia="en-GB" w:bidi="en-GB"/>
      </w:rPr>
    </w:lvl>
    <w:lvl w:ilvl="3" w:tplc="CCC657CE">
      <w:numFmt w:val="bullet"/>
      <w:lvlText w:val="•"/>
      <w:lvlJc w:val="left"/>
      <w:pPr>
        <w:ind w:left="717" w:hanging="217"/>
      </w:pPr>
      <w:rPr>
        <w:rFonts w:hint="default"/>
        <w:lang w:val="en-GB" w:eastAsia="en-GB" w:bidi="en-GB"/>
      </w:rPr>
    </w:lvl>
    <w:lvl w:ilvl="4" w:tplc="00C26F84">
      <w:numFmt w:val="bullet"/>
      <w:lvlText w:val="•"/>
      <w:lvlJc w:val="left"/>
      <w:pPr>
        <w:ind w:left="856" w:hanging="217"/>
      </w:pPr>
      <w:rPr>
        <w:rFonts w:hint="default"/>
        <w:lang w:val="en-GB" w:eastAsia="en-GB" w:bidi="en-GB"/>
      </w:rPr>
    </w:lvl>
    <w:lvl w:ilvl="5" w:tplc="7C6CC9AC">
      <w:numFmt w:val="bullet"/>
      <w:lvlText w:val="•"/>
      <w:lvlJc w:val="left"/>
      <w:pPr>
        <w:ind w:left="995" w:hanging="217"/>
      </w:pPr>
      <w:rPr>
        <w:rFonts w:hint="default"/>
        <w:lang w:val="en-GB" w:eastAsia="en-GB" w:bidi="en-GB"/>
      </w:rPr>
    </w:lvl>
    <w:lvl w:ilvl="6" w:tplc="829AF79C">
      <w:numFmt w:val="bullet"/>
      <w:lvlText w:val="•"/>
      <w:lvlJc w:val="left"/>
      <w:pPr>
        <w:ind w:left="1134" w:hanging="217"/>
      </w:pPr>
      <w:rPr>
        <w:rFonts w:hint="default"/>
        <w:lang w:val="en-GB" w:eastAsia="en-GB" w:bidi="en-GB"/>
      </w:rPr>
    </w:lvl>
    <w:lvl w:ilvl="7" w:tplc="D262899C">
      <w:numFmt w:val="bullet"/>
      <w:lvlText w:val="•"/>
      <w:lvlJc w:val="left"/>
      <w:pPr>
        <w:ind w:left="1273" w:hanging="217"/>
      </w:pPr>
      <w:rPr>
        <w:rFonts w:hint="default"/>
        <w:lang w:val="en-GB" w:eastAsia="en-GB" w:bidi="en-GB"/>
      </w:rPr>
    </w:lvl>
    <w:lvl w:ilvl="8" w:tplc="95BE4764">
      <w:numFmt w:val="bullet"/>
      <w:lvlText w:val="•"/>
      <w:lvlJc w:val="left"/>
      <w:pPr>
        <w:ind w:left="1412" w:hanging="217"/>
      </w:pPr>
      <w:rPr>
        <w:rFonts w:hint="default"/>
        <w:lang w:val="en-GB" w:eastAsia="en-GB" w:bidi="en-GB"/>
      </w:rPr>
    </w:lvl>
  </w:abstractNum>
  <w:abstractNum w:abstractNumId="1173" w15:restartNumberingAfterBreak="0">
    <w:nsid w:val="6A162A2A"/>
    <w:multiLevelType w:val="hybridMultilevel"/>
    <w:tmpl w:val="B00EAA6E"/>
    <w:lvl w:ilvl="0" w:tplc="C5E2E162">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54A486C">
      <w:numFmt w:val="bullet"/>
      <w:lvlText w:val="•"/>
      <w:lvlJc w:val="left"/>
      <w:pPr>
        <w:ind w:left="1085" w:hanging="217"/>
      </w:pPr>
      <w:rPr>
        <w:rFonts w:hint="default"/>
        <w:lang w:val="en-GB" w:eastAsia="en-GB" w:bidi="en-GB"/>
      </w:rPr>
    </w:lvl>
    <w:lvl w:ilvl="2" w:tplc="AFC486CC">
      <w:numFmt w:val="bullet"/>
      <w:lvlText w:val="•"/>
      <w:lvlJc w:val="left"/>
      <w:pPr>
        <w:ind w:left="1870" w:hanging="217"/>
      </w:pPr>
      <w:rPr>
        <w:rFonts w:hint="default"/>
        <w:lang w:val="en-GB" w:eastAsia="en-GB" w:bidi="en-GB"/>
      </w:rPr>
    </w:lvl>
    <w:lvl w:ilvl="3" w:tplc="AF083918">
      <w:numFmt w:val="bullet"/>
      <w:lvlText w:val="•"/>
      <w:lvlJc w:val="left"/>
      <w:pPr>
        <w:ind w:left="2656" w:hanging="217"/>
      </w:pPr>
      <w:rPr>
        <w:rFonts w:hint="default"/>
        <w:lang w:val="en-GB" w:eastAsia="en-GB" w:bidi="en-GB"/>
      </w:rPr>
    </w:lvl>
    <w:lvl w:ilvl="4" w:tplc="AFE8E892">
      <w:numFmt w:val="bullet"/>
      <w:lvlText w:val="•"/>
      <w:lvlJc w:val="left"/>
      <w:pPr>
        <w:ind w:left="3441" w:hanging="217"/>
      </w:pPr>
      <w:rPr>
        <w:rFonts w:hint="default"/>
        <w:lang w:val="en-GB" w:eastAsia="en-GB" w:bidi="en-GB"/>
      </w:rPr>
    </w:lvl>
    <w:lvl w:ilvl="5" w:tplc="AD62048C">
      <w:numFmt w:val="bullet"/>
      <w:lvlText w:val="•"/>
      <w:lvlJc w:val="left"/>
      <w:pPr>
        <w:ind w:left="4227" w:hanging="217"/>
      </w:pPr>
      <w:rPr>
        <w:rFonts w:hint="default"/>
        <w:lang w:val="en-GB" w:eastAsia="en-GB" w:bidi="en-GB"/>
      </w:rPr>
    </w:lvl>
    <w:lvl w:ilvl="6" w:tplc="B4361AF2">
      <w:numFmt w:val="bullet"/>
      <w:lvlText w:val="•"/>
      <w:lvlJc w:val="left"/>
      <w:pPr>
        <w:ind w:left="5012" w:hanging="217"/>
      </w:pPr>
      <w:rPr>
        <w:rFonts w:hint="default"/>
        <w:lang w:val="en-GB" w:eastAsia="en-GB" w:bidi="en-GB"/>
      </w:rPr>
    </w:lvl>
    <w:lvl w:ilvl="7" w:tplc="FD7E5774">
      <w:numFmt w:val="bullet"/>
      <w:lvlText w:val="•"/>
      <w:lvlJc w:val="left"/>
      <w:pPr>
        <w:ind w:left="5797" w:hanging="217"/>
      </w:pPr>
      <w:rPr>
        <w:rFonts w:hint="default"/>
        <w:lang w:val="en-GB" w:eastAsia="en-GB" w:bidi="en-GB"/>
      </w:rPr>
    </w:lvl>
    <w:lvl w:ilvl="8" w:tplc="88ACCB1C">
      <w:numFmt w:val="bullet"/>
      <w:lvlText w:val="•"/>
      <w:lvlJc w:val="left"/>
      <w:pPr>
        <w:ind w:left="6583" w:hanging="217"/>
      </w:pPr>
      <w:rPr>
        <w:rFonts w:hint="default"/>
        <w:lang w:val="en-GB" w:eastAsia="en-GB" w:bidi="en-GB"/>
      </w:rPr>
    </w:lvl>
  </w:abstractNum>
  <w:abstractNum w:abstractNumId="1174" w15:restartNumberingAfterBreak="0">
    <w:nsid w:val="6A201FFF"/>
    <w:multiLevelType w:val="hybridMultilevel"/>
    <w:tmpl w:val="64E4FFFA"/>
    <w:lvl w:ilvl="0" w:tplc="A978CB6C">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A648BD48">
      <w:numFmt w:val="bullet"/>
      <w:lvlText w:val="•"/>
      <w:lvlJc w:val="left"/>
      <w:pPr>
        <w:ind w:left="473" w:hanging="217"/>
      </w:pPr>
      <w:rPr>
        <w:rFonts w:hint="default"/>
        <w:lang w:val="en-GB" w:eastAsia="en-GB" w:bidi="en-GB"/>
      </w:rPr>
    </w:lvl>
    <w:lvl w:ilvl="2" w:tplc="E392FBF6">
      <w:numFmt w:val="bullet"/>
      <w:lvlText w:val="•"/>
      <w:lvlJc w:val="left"/>
      <w:pPr>
        <w:ind w:left="646" w:hanging="217"/>
      </w:pPr>
      <w:rPr>
        <w:rFonts w:hint="default"/>
        <w:lang w:val="en-GB" w:eastAsia="en-GB" w:bidi="en-GB"/>
      </w:rPr>
    </w:lvl>
    <w:lvl w:ilvl="3" w:tplc="9DA098D6">
      <w:numFmt w:val="bullet"/>
      <w:lvlText w:val="•"/>
      <w:lvlJc w:val="left"/>
      <w:pPr>
        <w:ind w:left="819" w:hanging="217"/>
      </w:pPr>
      <w:rPr>
        <w:rFonts w:hint="default"/>
        <w:lang w:val="en-GB" w:eastAsia="en-GB" w:bidi="en-GB"/>
      </w:rPr>
    </w:lvl>
    <w:lvl w:ilvl="4" w:tplc="D0501566">
      <w:numFmt w:val="bullet"/>
      <w:lvlText w:val="•"/>
      <w:lvlJc w:val="left"/>
      <w:pPr>
        <w:ind w:left="992" w:hanging="217"/>
      </w:pPr>
      <w:rPr>
        <w:rFonts w:hint="default"/>
        <w:lang w:val="en-GB" w:eastAsia="en-GB" w:bidi="en-GB"/>
      </w:rPr>
    </w:lvl>
    <w:lvl w:ilvl="5" w:tplc="50F64516">
      <w:numFmt w:val="bullet"/>
      <w:lvlText w:val="•"/>
      <w:lvlJc w:val="left"/>
      <w:pPr>
        <w:ind w:left="1165" w:hanging="217"/>
      </w:pPr>
      <w:rPr>
        <w:rFonts w:hint="default"/>
        <w:lang w:val="en-GB" w:eastAsia="en-GB" w:bidi="en-GB"/>
      </w:rPr>
    </w:lvl>
    <w:lvl w:ilvl="6" w:tplc="DB1C6D06">
      <w:numFmt w:val="bullet"/>
      <w:lvlText w:val="•"/>
      <w:lvlJc w:val="left"/>
      <w:pPr>
        <w:ind w:left="1338" w:hanging="217"/>
      </w:pPr>
      <w:rPr>
        <w:rFonts w:hint="default"/>
        <w:lang w:val="en-GB" w:eastAsia="en-GB" w:bidi="en-GB"/>
      </w:rPr>
    </w:lvl>
    <w:lvl w:ilvl="7" w:tplc="F7922BF0">
      <w:numFmt w:val="bullet"/>
      <w:lvlText w:val="•"/>
      <w:lvlJc w:val="left"/>
      <w:pPr>
        <w:ind w:left="1511" w:hanging="217"/>
      </w:pPr>
      <w:rPr>
        <w:rFonts w:hint="default"/>
        <w:lang w:val="en-GB" w:eastAsia="en-GB" w:bidi="en-GB"/>
      </w:rPr>
    </w:lvl>
    <w:lvl w:ilvl="8" w:tplc="E132B868">
      <w:numFmt w:val="bullet"/>
      <w:lvlText w:val="•"/>
      <w:lvlJc w:val="left"/>
      <w:pPr>
        <w:ind w:left="1684" w:hanging="217"/>
      </w:pPr>
      <w:rPr>
        <w:rFonts w:hint="default"/>
        <w:lang w:val="en-GB" w:eastAsia="en-GB" w:bidi="en-GB"/>
      </w:rPr>
    </w:lvl>
  </w:abstractNum>
  <w:abstractNum w:abstractNumId="1175" w15:restartNumberingAfterBreak="0">
    <w:nsid w:val="6A29742B"/>
    <w:multiLevelType w:val="hybridMultilevel"/>
    <w:tmpl w:val="AF2CAD0C"/>
    <w:lvl w:ilvl="0" w:tplc="47EA2AB6">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DE3C4BB2">
      <w:numFmt w:val="bullet"/>
      <w:lvlText w:val="•"/>
      <w:lvlJc w:val="left"/>
      <w:pPr>
        <w:ind w:left="473" w:hanging="217"/>
      </w:pPr>
      <w:rPr>
        <w:rFonts w:hint="default"/>
        <w:lang w:val="en-GB" w:eastAsia="en-GB" w:bidi="en-GB"/>
      </w:rPr>
    </w:lvl>
    <w:lvl w:ilvl="2" w:tplc="38B60DB2">
      <w:numFmt w:val="bullet"/>
      <w:lvlText w:val="•"/>
      <w:lvlJc w:val="left"/>
      <w:pPr>
        <w:ind w:left="646" w:hanging="217"/>
      </w:pPr>
      <w:rPr>
        <w:rFonts w:hint="default"/>
        <w:lang w:val="en-GB" w:eastAsia="en-GB" w:bidi="en-GB"/>
      </w:rPr>
    </w:lvl>
    <w:lvl w:ilvl="3" w:tplc="A142E13C">
      <w:numFmt w:val="bullet"/>
      <w:lvlText w:val="•"/>
      <w:lvlJc w:val="left"/>
      <w:pPr>
        <w:ind w:left="819" w:hanging="217"/>
      </w:pPr>
      <w:rPr>
        <w:rFonts w:hint="default"/>
        <w:lang w:val="en-GB" w:eastAsia="en-GB" w:bidi="en-GB"/>
      </w:rPr>
    </w:lvl>
    <w:lvl w:ilvl="4" w:tplc="56289DC6">
      <w:numFmt w:val="bullet"/>
      <w:lvlText w:val="•"/>
      <w:lvlJc w:val="left"/>
      <w:pPr>
        <w:ind w:left="992" w:hanging="217"/>
      </w:pPr>
      <w:rPr>
        <w:rFonts w:hint="default"/>
        <w:lang w:val="en-GB" w:eastAsia="en-GB" w:bidi="en-GB"/>
      </w:rPr>
    </w:lvl>
    <w:lvl w:ilvl="5" w:tplc="5F6E857A">
      <w:numFmt w:val="bullet"/>
      <w:lvlText w:val="•"/>
      <w:lvlJc w:val="left"/>
      <w:pPr>
        <w:ind w:left="1165" w:hanging="217"/>
      </w:pPr>
      <w:rPr>
        <w:rFonts w:hint="default"/>
        <w:lang w:val="en-GB" w:eastAsia="en-GB" w:bidi="en-GB"/>
      </w:rPr>
    </w:lvl>
    <w:lvl w:ilvl="6" w:tplc="0EB0C0BC">
      <w:numFmt w:val="bullet"/>
      <w:lvlText w:val="•"/>
      <w:lvlJc w:val="left"/>
      <w:pPr>
        <w:ind w:left="1338" w:hanging="217"/>
      </w:pPr>
      <w:rPr>
        <w:rFonts w:hint="default"/>
        <w:lang w:val="en-GB" w:eastAsia="en-GB" w:bidi="en-GB"/>
      </w:rPr>
    </w:lvl>
    <w:lvl w:ilvl="7" w:tplc="8EBA1FD8">
      <w:numFmt w:val="bullet"/>
      <w:lvlText w:val="•"/>
      <w:lvlJc w:val="left"/>
      <w:pPr>
        <w:ind w:left="1511" w:hanging="217"/>
      </w:pPr>
      <w:rPr>
        <w:rFonts w:hint="default"/>
        <w:lang w:val="en-GB" w:eastAsia="en-GB" w:bidi="en-GB"/>
      </w:rPr>
    </w:lvl>
    <w:lvl w:ilvl="8" w:tplc="FBE2B5EE">
      <w:numFmt w:val="bullet"/>
      <w:lvlText w:val="•"/>
      <w:lvlJc w:val="left"/>
      <w:pPr>
        <w:ind w:left="1684" w:hanging="217"/>
      </w:pPr>
      <w:rPr>
        <w:rFonts w:hint="default"/>
        <w:lang w:val="en-GB" w:eastAsia="en-GB" w:bidi="en-GB"/>
      </w:rPr>
    </w:lvl>
  </w:abstractNum>
  <w:abstractNum w:abstractNumId="1176" w15:restartNumberingAfterBreak="0">
    <w:nsid w:val="6A452B8F"/>
    <w:multiLevelType w:val="hybridMultilevel"/>
    <w:tmpl w:val="6E784E1E"/>
    <w:lvl w:ilvl="0" w:tplc="60AC0BD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CF25ECA">
      <w:numFmt w:val="bullet"/>
      <w:lvlText w:val="•"/>
      <w:lvlJc w:val="left"/>
      <w:pPr>
        <w:ind w:left="439" w:hanging="217"/>
      </w:pPr>
      <w:rPr>
        <w:rFonts w:hint="default"/>
        <w:lang w:val="en-GB" w:eastAsia="en-GB" w:bidi="en-GB"/>
      </w:rPr>
    </w:lvl>
    <w:lvl w:ilvl="2" w:tplc="DF4CFF9E">
      <w:numFmt w:val="bullet"/>
      <w:lvlText w:val="•"/>
      <w:lvlJc w:val="left"/>
      <w:pPr>
        <w:ind w:left="578" w:hanging="217"/>
      </w:pPr>
      <w:rPr>
        <w:rFonts w:hint="default"/>
        <w:lang w:val="en-GB" w:eastAsia="en-GB" w:bidi="en-GB"/>
      </w:rPr>
    </w:lvl>
    <w:lvl w:ilvl="3" w:tplc="EB363C56">
      <w:numFmt w:val="bullet"/>
      <w:lvlText w:val="•"/>
      <w:lvlJc w:val="left"/>
      <w:pPr>
        <w:ind w:left="717" w:hanging="217"/>
      </w:pPr>
      <w:rPr>
        <w:rFonts w:hint="default"/>
        <w:lang w:val="en-GB" w:eastAsia="en-GB" w:bidi="en-GB"/>
      </w:rPr>
    </w:lvl>
    <w:lvl w:ilvl="4" w:tplc="37F2B116">
      <w:numFmt w:val="bullet"/>
      <w:lvlText w:val="•"/>
      <w:lvlJc w:val="left"/>
      <w:pPr>
        <w:ind w:left="856" w:hanging="217"/>
      </w:pPr>
      <w:rPr>
        <w:rFonts w:hint="default"/>
        <w:lang w:val="en-GB" w:eastAsia="en-GB" w:bidi="en-GB"/>
      </w:rPr>
    </w:lvl>
    <w:lvl w:ilvl="5" w:tplc="0D78F6B6">
      <w:numFmt w:val="bullet"/>
      <w:lvlText w:val="•"/>
      <w:lvlJc w:val="left"/>
      <w:pPr>
        <w:ind w:left="995" w:hanging="217"/>
      </w:pPr>
      <w:rPr>
        <w:rFonts w:hint="default"/>
        <w:lang w:val="en-GB" w:eastAsia="en-GB" w:bidi="en-GB"/>
      </w:rPr>
    </w:lvl>
    <w:lvl w:ilvl="6" w:tplc="39CCB746">
      <w:numFmt w:val="bullet"/>
      <w:lvlText w:val="•"/>
      <w:lvlJc w:val="left"/>
      <w:pPr>
        <w:ind w:left="1134" w:hanging="217"/>
      </w:pPr>
      <w:rPr>
        <w:rFonts w:hint="default"/>
        <w:lang w:val="en-GB" w:eastAsia="en-GB" w:bidi="en-GB"/>
      </w:rPr>
    </w:lvl>
    <w:lvl w:ilvl="7" w:tplc="A016EBD2">
      <w:numFmt w:val="bullet"/>
      <w:lvlText w:val="•"/>
      <w:lvlJc w:val="left"/>
      <w:pPr>
        <w:ind w:left="1273" w:hanging="217"/>
      </w:pPr>
      <w:rPr>
        <w:rFonts w:hint="default"/>
        <w:lang w:val="en-GB" w:eastAsia="en-GB" w:bidi="en-GB"/>
      </w:rPr>
    </w:lvl>
    <w:lvl w:ilvl="8" w:tplc="92AC3834">
      <w:numFmt w:val="bullet"/>
      <w:lvlText w:val="•"/>
      <w:lvlJc w:val="left"/>
      <w:pPr>
        <w:ind w:left="1412" w:hanging="217"/>
      </w:pPr>
      <w:rPr>
        <w:rFonts w:hint="default"/>
        <w:lang w:val="en-GB" w:eastAsia="en-GB" w:bidi="en-GB"/>
      </w:rPr>
    </w:lvl>
  </w:abstractNum>
  <w:abstractNum w:abstractNumId="1177" w15:restartNumberingAfterBreak="0">
    <w:nsid w:val="6A674290"/>
    <w:multiLevelType w:val="hybridMultilevel"/>
    <w:tmpl w:val="BA56FDBA"/>
    <w:lvl w:ilvl="0" w:tplc="53CC4B7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4DAA8AA">
      <w:numFmt w:val="bullet"/>
      <w:lvlText w:val="•"/>
      <w:lvlJc w:val="left"/>
      <w:pPr>
        <w:ind w:left="892" w:hanging="217"/>
      </w:pPr>
      <w:rPr>
        <w:rFonts w:hint="default"/>
        <w:lang w:val="en-GB" w:eastAsia="en-GB" w:bidi="en-GB"/>
      </w:rPr>
    </w:lvl>
    <w:lvl w:ilvl="2" w:tplc="2B167598">
      <w:numFmt w:val="bullet"/>
      <w:lvlText w:val="•"/>
      <w:lvlJc w:val="left"/>
      <w:pPr>
        <w:ind w:left="1485" w:hanging="217"/>
      </w:pPr>
      <w:rPr>
        <w:rFonts w:hint="default"/>
        <w:lang w:val="en-GB" w:eastAsia="en-GB" w:bidi="en-GB"/>
      </w:rPr>
    </w:lvl>
    <w:lvl w:ilvl="3" w:tplc="D5280C16">
      <w:numFmt w:val="bullet"/>
      <w:lvlText w:val="•"/>
      <w:lvlJc w:val="left"/>
      <w:pPr>
        <w:ind w:left="2077" w:hanging="217"/>
      </w:pPr>
      <w:rPr>
        <w:rFonts w:hint="default"/>
        <w:lang w:val="en-GB" w:eastAsia="en-GB" w:bidi="en-GB"/>
      </w:rPr>
    </w:lvl>
    <w:lvl w:ilvl="4" w:tplc="FBA464A0">
      <w:numFmt w:val="bullet"/>
      <w:lvlText w:val="•"/>
      <w:lvlJc w:val="left"/>
      <w:pPr>
        <w:ind w:left="2670" w:hanging="217"/>
      </w:pPr>
      <w:rPr>
        <w:rFonts w:hint="default"/>
        <w:lang w:val="en-GB" w:eastAsia="en-GB" w:bidi="en-GB"/>
      </w:rPr>
    </w:lvl>
    <w:lvl w:ilvl="5" w:tplc="D83E63B4">
      <w:numFmt w:val="bullet"/>
      <w:lvlText w:val="•"/>
      <w:lvlJc w:val="left"/>
      <w:pPr>
        <w:ind w:left="3263" w:hanging="217"/>
      </w:pPr>
      <w:rPr>
        <w:rFonts w:hint="default"/>
        <w:lang w:val="en-GB" w:eastAsia="en-GB" w:bidi="en-GB"/>
      </w:rPr>
    </w:lvl>
    <w:lvl w:ilvl="6" w:tplc="7AE8A08A">
      <w:numFmt w:val="bullet"/>
      <w:lvlText w:val="•"/>
      <w:lvlJc w:val="left"/>
      <w:pPr>
        <w:ind w:left="3855" w:hanging="217"/>
      </w:pPr>
      <w:rPr>
        <w:rFonts w:hint="default"/>
        <w:lang w:val="en-GB" w:eastAsia="en-GB" w:bidi="en-GB"/>
      </w:rPr>
    </w:lvl>
    <w:lvl w:ilvl="7" w:tplc="6B0E54CC">
      <w:numFmt w:val="bullet"/>
      <w:lvlText w:val="•"/>
      <w:lvlJc w:val="left"/>
      <w:pPr>
        <w:ind w:left="4448" w:hanging="217"/>
      </w:pPr>
      <w:rPr>
        <w:rFonts w:hint="default"/>
        <w:lang w:val="en-GB" w:eastAsia="en-GB" w:bidi="en-GB"/>
      </w:rPr>
    </w:lvl>
    <w:lvl w:ilvl="8" w:tplc="7F9AB6EA">
      <w:numFmt w:val="bullet"/>
      <w:lvlText w:val="•"/>
      <w:lvlJc w:val="left"/>
      <w:pPr>
        <w:ind w:left="5040" w:hanging="217"/>
      </w:pPr>
      <w:rPr>
        <w:rFonts w:hint="default"/>
        <w:lang w:val="en-GB" w:eastAsia="en-GB" w:bidi="en-GB"/>
      </w:rPr>
    </w:lvl>
  </w:abstractNum>
  <w:abstractNum w:abstractNumId="1178" w15:restartNumberingAfterBreak="0">
    <w:nsid w:val="6A6C0AEC"/>
    <w:multiLevelType w:val="hybridMultilevel"/>
    <w:tmpl w:val="5D84141A"/>
    <w:lvl w:ilvl="0" w:tplc="8EC4844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34480D6">
      <w:numFmt w:val="bullet"/>
      <w:lvlText w:val="•"/>
      <w:lvlJc w:val="left"/>
      <w:pPr>
        <w:ind w:left="473" w:hanging="217"/>
      </w:pPr>
      <w:rPr>
        <w:rFonts w:hint="default"/>
        <w:lang w:val="en-GB" w:eastAsia="en-GB" w:bidi="en-GB"/>
      </w:rPr>
    </w:lvl>
    <w:lvl w:ilvl="2" w:tplc="20A6F412">
      <w:numFmt w:val="bullet"/>
      <w:lvlText w:val="•"/>
      <w:lvlJc w:val="left"/>
      <w:pPr>
        <w:ind w:left="646" w:hanging="217"/>
      </w:pPr>
      <w:rPr>
        <w:rFonts w:hint="default"/>
        <w:lang w:val="en-GB" w:eastAsia="en-GB" w:bidi="en-GB"/>
      </w:rPr>
    </w:lvl>
    <w:lvl w:ilvl="3" w:tplc="1CFE9F36">
      <w:numFmt w:val="bullet"/>
      <w:lvlText w:val="•"/>
      <w:lvlJc w:val="left"/>
      <w:pPr>
        <w:ind w:left="819" w:hanging="217"/>
      </w:pPr>
      <w:rPr>
        <w:rFonts w:hint="default"/>
        <w:lang w:val="en-GB" w:eastAsia="en-GB" w:bidi="en-GB"/>
      </w:rPr>
    </w:lvl>
    <w:lvl w:ilvl="4" w:tplc="84E27C3C">
      <w:numFmt w:val="bullet"/>
      <w:lvlText w:val="•"/>
      <w:lvlJc w:val="left"/>
      <w:pPr>
        <w:ind w:left="992" w:hanging="217"/>
      </w:pPr>
      <w:rPr>
        <w:rFonts w:hint="default"/>
        <w:lang w:val="en-GB" w:eastAsia="en-GB" w:bidi="en-GB"/>
      </w:rPr>
    </w:lvl>
    <w:lvl w:ilvl="5" w:tplc="7D86D9AE">
      <w:numFmt w:val="bullet"/>
      <w:lvlText w:val="•"/>
      <w:lvlJc w:val="left"/>
      <w:pPr>
        <w:ind w:left="1165" w:hanging="217"/>
      </w:pPr>
      <w:rPr>
        <w:rFonts w:hint="default"/>
        <w:lang w:val="en-GB" w:eastAsia="en-GB" w:bidi="en-GB"/>
      </w:rPr>
    </w:lvl>
    <w:lvl w:ilvl="6" w:tplc="902C577C">
      <w:numFmt w:val="bullet"/>
      <w:lvlText w:val="•"/>
      <w:lvlJc w:val="left"/>
      <w:pPr>
        <w:ind w:left="1338" w:hanging="217"/>
      </w:pPr>
      <w:rPr>
        <w:rFonts w:hint="default"/>
        <w:lang w:val="en-GB" w:eastAsia="en-GB" w:bidi="en-GB"/>
      </w:rPr>
    </w:lvl>
    <w:lvl w:ilvl="7" w:tplc="A2DC7050">
      <w:numFmt w:val="bullet"/>
      <w:lvlText w:val="•"/>
      <w:lvlJc w:val="left"/>
      <w:pPr>
        <w:ind w:left="1511" w:hanging="217"/>
      </w:pPr>
      <w:rPr>
        <w:rFonts w:hint="default"/>
        <w:lang w:val="en-GB" w:eastAsia="en-GB" w:bidi="en-GB"/>
      </w:rPr>
    </w:lvl>
    <w:lvl w:ilvl="8" w:tplc="3DDA57E0">
      <w:numFmt w:val="bullet"/>
      <w:lvlText w:val="•"/>
      <w:lvlJc w:val="left"/>
      <w:pPr>
        <w:ind w:left="1684" w:hanging="217"/>
      </w:pPr>
      <w:rPr>
        <w:rFonts w:hint="default"/>
        <w:lang w:val="en-GB" w:eastAsia="en-GB" w:bidi="en-GB"/>
      </w:rPr>
    </w:lvl>
  </w:abstractNum>
  <w:abstractNum w:abstractNumId="1179" w15:restartNumberingAfterBreak="0">
    <w:nsid w:val="6A8967BB"/>
    <w:multiLevelType w:val="hybridMultilevel"/>
    <w:tmpl w:val="6766370A"/>
    <w:lvl w:ilvl="0" w:tplc="025AA6D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58E8A50">
      <w:numFmt w:val="bullet"/>
      <w:lvlText w:val="•"/>
      <w:lvlJc w:val="left"/>
      <w:pPr>
        <w:ind w:left="473" w:hanging="217"/>
      </w:pPr>
      <w:rPr>
        <w:rFonts w:hint="default"/>
        <w:lang w:val="en-GB" w:eastAsia="en-GB" w:bidi="en-GB"/>
      </w:rPr>
    </w:lvl>
    <w:lvl w:ilvl="2" w:tplc="899CB49E">
      <w:numFmt w:val="bullet"/>
      <w:lvlText w:val="•"/>
      <w:lvlJc w:val="left"/>
      <w:pPr>
        <w:ind w:left="646" w:hanging="217"/>
      </w:pPr>
      <w:rPr>
        <w:rFonts w:hint="default"/>
        <w:lang w:val="en-GB" w:eastAsia="en-GB" w:bidi="en-GB"/>
      </w:rPr>
    </w:lvl>
    <w:lvl w:ilvl="3" w:tplc="94CCFDC2">
      <w:numFmt w:val="bullet"/>
      <w:lvlText w:val="•"/>
      <w:lvlJc w:val="left"/>
      <w:pPr>
        <w:ind w:left="819" w:hanging="217"/>
      </w:pPr>
      <w:rPr>
        <w:rFonts w:hint="default"/>
        <w:lang w:val="en-GB" w:eastAsia="en-GB" w:bidi="en-GB"/>
      </w:rPr>
    </w:lvl>
    <w:lvl w:ilvl="4" w:tplc="BC7EC388">
      <w:numFmt w:val="bullet"/>
      <w:lvlText w:val="•"/>
      <w:lvlJc w:val="left"/>
      <w:pPr>
        <w:ind w:left="992" w:hanging="217"/>
      </w:pPr>
      <w:rPr>
        <w:rFonts w:hint="default"/>
        <w:lang w:val="en-GB" w:eastAsia="en-GB" w:bidi="en-GB"/>
      </w:rPr>
    </w:lvl>
    <w:lvl w:ilvl="5" w:tplc="BE2C591C">
      <w:numFmt w:val="bullet"/>
      <w:lvlText w:val="•"/>
      <w:lvlJc w:val="left"/>
      <w:pPr>
        <w:ind w:left="1165" w:hanging="217"/>
      </w:pPr>
      <w:rPr>
        <w:rFonts w:hint="default"/>
        <w:lang w:val="en-GB" w:eastAsia="en-GB" w:bidi="en-GB"/>
      </w:rPr>
    </w:lvl>
    <w:lvl w:ilvl="6" w:tplc="1ECA931C">
      <w:numFmt w:val="bullet"/>
      <w:lvlText w:val="•"/>
      <w:lvlJc w:val="left"/>
      <w:pPr>
        <w:ind w:left="1338" w:hanging="217"/>
      </w:pPr>
      <w:rPr>
        <w:rFonts w:hint="default"/>
        <w:lang w:val="en-GB" w:eastAsia="en-GB" w:bidi="en-GB"/>
      </w:rPr>
    </w:lvl>
    <w:lvl w:ilvl="7" w:tplc="1BD40CBE">
      <w:numFmt w:val="bullet"/>
      <w:lvlText w:val="•"/>
      <w:lvlJc w:val="left"/>
      <w:pPr>
        <w:ind w:left="1511" w:hanging="217"/>
      </w:pPr>
      <w:rPr>
        <w:rFonts w:hint="default"/>
        <w:lang w:val="en-GB" w:eastAsia="en-GB" w:bidi="en-GB"/>
      </w:rPr>
    </w:lvl>
    <w:lvl w:ilvl="8" w:tplc="1B501252">
      <w:numFmt w:val="bullet"/>
      <w:lvlText w:val="•"/>
      <w:lvlJc w:val="left"/>
      <w:pPr>
        <w:ind w:left="1684" w:hanging="217"/>
      </w:pPr>
      <w:rPr>
        <w:rFonts w:hint="default"/>
        <w:lang w:val="en-GB" w:eastAsia="en-GB" w:bidi="en-GB"/>
      </w:rPr>
    </w:lvl>
  </w:abstractNum>
  <w:abstractNum w:abstractNumId="1180" w15:restartNumberingAfterBreak="0">
    <w:nsid w:val="6AA91084"/>
    <w:multiLevelType w:val="hybridMultilevel"/>
    <w:tmpl w:val="84FC4D1C"/>
    <w:lvl w:ilvl="0" w:tplc="C29EA92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0A4628A">
      <w:numFmt w:val="bullet"/>
      <w:lvlText w:val="•"/>
      <w:lvlJc w:val="left"/>
      <w:pPr>
        <w:ind w:left="677" w:hanging="217"/>
      </w:pPr>
      <w:rPr>
        <w:rFonts w:hint="default"/>
        <w:lang w:val="en-GB" w:eastAsia="en-GB" w:bidi="en-GB"/>
      </w:rPr>
    </w:lvl>
    <w:lvl w:ilvl="2" w:tplc="B56691B4">
      <w:numFmt w:val="bullet"/>
      <w:lvlText w:val="•"/>
      <w:lvlJc w:val="left"/>
      <w:pPr>
        <w:ind w:left="1054" w:hanging="217"/>
      </w:pPr>
      <w:rPr>
        <w:rFonts w:hint="default"/>
        <w:lang w:val="en-GB" w:eastAsia="en-GB" w:bidi="en-GB"/>
      </w:rPr>
    </w:lvl>
    <w:lvl w:ilvl="3" w:tplc="2B282294">
      <w:numFmt w:val="bullet"/>
      <w:lvlText w:val="•"/>
      <w:lvlJc w:val="left"/>
      <w:pPr>
        <w:ind w:left="1431" w:hanging="217"/>
      </w:pPr>
      <w:rPr>
        <w:rFonts w:hint="default"/>
        <w:lang w:val="en-GB" w:eastAsia="en-GB" w:bidi="en-GB"/>
      </w:rPr>
    </w:lvl>
    <w:lvl w:ilvl="4" w:tplc="0DA84346">
      <w:numFmt w:val="bullet"/>
      <w:lvlText w:val="•"/>
      <w:lvlJc w:val="left"/>
      <w:pPr>
        <w:ind w:left="1808" w:hanging="217"/>
      </w:pPr>
      <w:rPr>
        <w:rFonts w:hint="default"/>
        <w:lang w:val="en-GB" w:eastAsia="en-GB" w:bidi="en-GB"/>
      </w:rPr>
    </w:lvl>
    <w:lvl w:ilvl="5" w:tplc="6226D0F0">
      <w:numFmt w:val="bullet"/>
      <w:lvlText w:val="•"/>
      <w:lvlJc w:val="left"/>
      <w:pPr>
        <w:ind w:left="2186" w:hanging="217"/>
      </w:pPr>
      <w:rPr>
        <w:rFonts w:hint="default"/>
        <w:lang w:val="en-GB" w:eastAsia="en-GB" w:bidi="en-GB"/>
      </w:rPr>
    </w:lvl>
    <w:lvl w:ilvl="6" w:tplc="3400723A">
      <w:numFmt w:val="bullet"/>
      <w:lvlText w:val="•"/>
      <w:lvlJc w:val="left"/>
      <w:pPr>
        <w:ind w:left="2563" w:hanging="217"/>
      </w:pPr>
      <w:rPr>
        <w:rFonts w:hint="default"/>
        <w:lang w:val="en-GB" w:eastAsia="en-GB" w:bidi="en-GB"/>
      </w:rPr>
    </w:lvl>
    <w:lvl w:ilvl="7" w:tplc="819E2D80">
      <w:numFmt w:val="bullet"/>
      <w:lvlText w:val="•"/>
      <w:lvlJc w:val="left"/>
      <w:pPr>
        <w:ind w:left="2940" w:hanging="217"/>
      </w:pPr>
      <w:rPr>
        <w:rFonts w:hint="default"/>
        <w:lang w:val="en-GB" w:eastAsia="en-GB" w:bidi="en-GB"/>
      </w:rPr>
    </w:lvl>
    <w:lvl w:ilvl="8" w:tplc="E50474BC">
      <w:numFmt w:val="bullet"/>
      <w:lvlText w:val="•"/>
      <w:lvlJc w:val="left"/>
      <w:pPr>
        <w:ind w:left="3317" w:hanging="217"/>
      </w:pPr>
      <w:rPr>
        <w:rFonts w:hint="default"/>
        <w:lang w:val="en-GB" w:eastAsia="en-GB" w:bidi="en-GB"/>
      </w:rPr>
    </w:lvl>
  </w:abstractNum>
  <w:abstractNum w:abstractNumId="1181" w15:restartNumberingAfterBreak="0">
    <w:nsid w:val="6AAA392C"/>
    <w:multiLevelType w:val="hybridMultilevel"/>
    <w:tmpl w:val="34C6E412"/>
    <w:lvl w:ilvl="0" w:tplc="37F4FC2E">
      <w:numFmt w:val="bullet"/>
      <w:lvlText w:val="•"/>
      <w:lvlJc w:val="left"/>
      <w:pPr>
        <w:ind w:left="299" w:hanging="217"/>
      </w:pPr>
      <w:rPr>
        <w:rFonts w:ascii="Arial" w:eastAsia="Arial" w:hAnsi="Arial" w:cs="Arial" w:hint="default"/>
        <w:color w:val="231F20"/>
        <w:spacing w:val="-7"/>
        <w:w w:val="100"/>
        <w:sz w:val="18"/>
        <w:szCs w:val="18"/>
        <w:lang w:val="en-GB" w:eastAsia="en-GB" w:bidi="en-GB"/>
      </w:rPr>
    </w:lvl>
    <w:lvl w:ilvl="1" w:tplc="2858018E">
      <w:numFmt w:val="bullet"/>
      <w:lvlText w:val="•"/>
      <w:lvlJc w:val="left"/>
      <w:pPr>
        <w:ind w:left="529" w:hanging="217"/>
      </w:pPr>
      <w:rPr>
        <w:rFonts w:hint="default"/>
        <w:lang w:val="en-GB" w:eastAsia="en-GB" w:bidi="en-GB"/>
      </w:rPr>
    </w:lvl>
    <w:lvl w:ilvl="2" w:tplc="17E4C3E2">
      <w:numFmt w:val="bullet"/>
      <w:lvlText w:val="•"/>
      <w:lvlJc w:val="left"/>
      <w:pPr>
        <w:ind w:left="759" w:hanging="217"/>
      </w:pPr>
      <w:rPr>
        <w:rFonts w:hint="default"/>
        <w:lang w:val="en-GB" w:eastAsia="en-GB" w:bidi="en-GB"/>
      </w:rPr>
    </w:lvl>
    <w:lvl w:ilvl="3" w:tplc="407A057A">
      <w:numFmt w:val="bullet"/>
      <w:lvlText w:val="•"/>
      <w:lvlJc w:val="left"/>
      <w:pPr>
        <w:ind w:left="989" w:hanging="217"/>
      </w:pPr>
      <w:rPr>
        <w:rFonts w:hint="default"/>
        <w:lang w:val="en-GB" w:eastAsia="en-GB" w:bidi="en-GB"/>
      </w:rPr>
    </w:lvl>
    <w:lvl w:ilvl="4" w:tplc="994A13C0">
      <w:numFmt w:val="bullet"/>
      <w:lvlText w:val="•"/>
      <w:lvlJc w:val="left"/>
      <w:pPr>
        <w:ind w:left="1219" w:hanging="217"/>
      </w:pPr>
      <w:rPr>
        <w:rFonts w:hint="default"/>
        <w:lang w:val="en-GB" w:eastAsia="en-GB" w:bidi="en-GB"/>
      </w:rPr>
    </w:lvl>
    <w:lvl w:ilvl="5" w:tplc="2C506F38">
      <w:numFmt w:val="bullet"/>
      <w:lvlText w:val="•"/>
      <w:lvlJc w:val="left"/>
      <w:pPr>
        <w:ind w:left="1449" w:hanging="217"/>
      </w:pPr>
      <w:rPr>
        <w:rFonts w:hint="default"/>
        <w:lang w:val="en-GB" w:eastAsia="en-GB" w:bidi="en-GB"/>
      </w:rPr>
    </w:lvl>
    <w:lvl w:ilvl="6" w:tplc="27F8E066">
      <w:numFmt w:val="bullet"/>
      <w:lvlText w:val="•"/>
      <w:lvlJc w:val="left"/>
      <w:pPr>
        <w:ind w:left="1678" w:hanging="217"/>
      </w:pPr>
      <w:rPr>
        <w:rFonts w:hint="default"/>
        <w:lang w:val="en-GB" w:eastAsia="en-GB" w:bidi="en-GB"/>
      </w:rPr>
    </w:lvl>
    <w:lvl w:ilvl="7" w:tplc="36A0165C">
      <w:numFmt w:val="bullet"/>
      <w:lvlText w:val="•"/>
      <w:lvlJc w:val="left"/>
      <w:pPr>
        <w:ind w:left="1908" w:hanging="217"/>
      </w:pPr>
      <w:rPr>
        <w:rFonts w:hint="default"/>
        <w:lang w:val="en-GB" w:eastAsia="en-GB" w:bidi="en-GB"/>
      </w:rPr>
    </w:lvl>
    <w:lvl w:ilvl="8" w:tplc="1A14C2A6">
      <w:numFmt w:val="bullet"/>
      <w:lvlText w:val="•"/>
      <w:lvlJc w:val="left"/>
      <w:pPr>
        <w:ind w:left="2138" w:hanging="217"/>
      </w:pPr>
      <w:rPr>
        <w:rFonts w:hint="default"/>
        <w:lang w:val="en-GB" w:eastAsia="en-GB" w:bidi="en-GB"/>
      </w:rPr>
    </w:lvl>
  </w:abstractNum>
  <w:abstractNum w:abstractNumId="1182" w15:restartNumberingAfterBreak="0">
    <w:nsid w:val="6B5E34D0"/>
    <w:multiLevelType w:val="hybridMultilevel"/>
    <w:tmpl w:val="92901F8A"/>
    <w:lvl w:ilvl="0" w:tplc="317CD84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7E2CFF82">
      <w:numFmt w:val="bullet"/>
      <w:lvlText w:val="•"/>
      <w:lvlJc w:val="left"/>
      <w:pPr>
        <w:ind w:left="473" w:hanging="217"/>
      </w:pPr>
      <w:rPr>
        <w:rFonts w:hint="default"/>
        <w:lang w:val="en-GB" w:eastAsia="en-GB" w:bidi="en-GB"/>
      </w:rPr>
    </w:lvl>
    <w:lvl w:ilvl="2" w:tplc="D704497A">
      <w:numFmt w:val="bullet"/>
      <w:lvlText w:val="•"/>
      <w:lvlJc w:val="left"/>
      <w:pPr>
        <w:ind w:left="646" w:hanging="217"/>
      </w:pPr>
      <w:rPr>
        <w:rFonts w:hint="default"/>
        <w:lang w:val="en-GB" w:eastAsia="en-GB" w:bidi="en-GB"/>
      </w:rPr>
    </w:lvl>
    <w:lvl w:ilvl="3" w:tplc="358CC998">
      <w:numFmt w:val="bullet"/>
      <w:lvlText w:val="•"/>
      <w:lvlJc w:val="left"/>
      <w:pPr>
        <w:ind w:left="819" w:hanging="217"/>
      </w:pPr>
      <w:rPr>
        <w:rFonts w:hint="default"/>
        <w:lang w:val="en-GB" w:eastAsia="en-GB" w:bidi="en-GB"/>
      </w:rPr>
    </w:lvl>
    <w:lvl w:ilvl="4" w:tplc="8152A146">
      <w:numFmt w:val="bullet"/>
      <w:lvlText w:val="•"/>
      <w:lvlJc w:val="left"/>
      <w:pPr>
        <w:ind w:left="992" w:hanging="217"/>
      </w:pPr>
      <w:rPr>
        <w:rFonts w:hint="default"/>
        <w:lang w:val="en-GB" w:eastAsia="en-GB" w:bidi="en-GB"/>
      </w:rPr>
    </w:lvl>
    <w:lvl w:ilvl="5" w:tplc="80ACA6A0">
      <w:numFmt w:val="bullet"/>
      <w:lvlText w:val="•"/>
      <w:lvlJc w:val="left"/>
      <w:pPr>
        <w:ind w:left="1165" w:hanging="217"/>
      </w:pPr>
      <w:rPr>
        <w:rFonts w:hint="default"/>
        <w:lang w:val="en-GB" w:eastAsia="en-GB" w:bidi="en-GB"/>
      </w:rPr>
    </w:lvl>
    <w:lvl w:ilvl="6" w:tplc="C3D0B2C2">
      <w:numFmt w:val="bullet"/>
      <w:lvlText w:val="•"/>
      <w:lvlJc w:val="left"/>
      <w:pPr>
        <w:ind w:left="1338" w:hanging="217"/>
      </w:pPr>
      <w:rPr>
        <w:rFonts w:hint="default"/>
        <w:lang w:val="en-GB" w:eastAsia="en-GB" w:bidi="en-GB"/>
      </w:rPr>
    </w:lvl>
    <w:lvl w:ilvl="7" w:tplc="7326E7BA">
      <w:numFmt w:val="bullet"/>
      <w:lvlText w:val="•"/>
      <w:lvlJc w:val="left"/>
      <w:pPr>
        <w:ind w:left="1511" w:hanging="217"/>
      </w:pPr>
      <w:rPr>
        <w:rFonts w:hint="default"/>
        <w:lang w:val="en-GB" w:eastAsia="en-GB" w:bidi="en-GB"/>
      </w:rPr>
    </w:lvl>
    <w:lvl w:ilvl="8" w:tplc="7DB05FD2">
      <w:numFmt w:val="bullet"/>
      <w:lvlText w:val="•"/>
      <w:lvlJc w:val="left"/>
      <w:pPr>
        <w:ind w:left="1684" w:hanging="217"/>
      </w:pPr>
      <w:rPr>
        <w:rFonts w:hint="default"/>
        <w:lang w:val="en-GB" w:eastAsia="en-GB" w:bidi="en-GB"/>
      </w:rPr>
    </w:lvl>
  </w:abstractNum>
  <w:abstractNum w:abstractNumId="1183" w15:restartNumberingAfterBreak="0">
    <w:nsid w:val="6B6146FC"/>
    <w:multiLevelType w:val="hybridMultilevel"/>
    <w:tmpl w:val="FAEE3258"/>
    <w:lvl w:ilvl="0" w:tplc="CC6E545C">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ADDC746A">
      <w:numFmt w:val="bullet"/>
      <w:lvlText w:val="•"/>
      <w:lvlJc w:val="left"/>
      <w:pPr>
        <w:ind w:left="473" w:hanging="217"/>
      </w:pPr>
      <w:rPr>
        <w:rFonts w:hint="default"/>
        <w:lang w:val="en-GB" w:eastAsia="en-GB" w:bidi="en-GB"/>
      </w:rPr>
    </w:lvl>
    <w:lvl w:ilvl="2" w:tplc="74DE053A">
      <w:numFmt w:val="bullet"/>
      <w:lvlText w:val="•"/>
      <w:lvlJc w:val="left"/>
      <w:pPr>
        <w:ind w:left="646" w:hanging="217"/>
      </w:pPr>
      <w:rPr>
        <w:rFonts w:hint="default"/>
        <w:lang w:val="en-GB" w:eastAsia="en-GB" w:bidi="en-GB"/>
      </w:rPr>
    </w:lvl>
    <w:lvl w:ilvl="3" w:tplc="FE628DBA">
      <w:numFmt w:val="bullet"/>
      <w:lvlText w:val="•"/>
      <w:lvlJc w:val="left"/>
      <w:pPr>
        <w:ind w:left="819" w:hanging="217"/>
      </w:pPr>
      <w:rPr>
        <w:rFonts w:hint="default"/>
        <w:lang w:val="en-GB" w:eastAsia="en-GB" w:bidi="en-GB"/>
      </w:rPr>
    </w:lvl>
    <w:lvl w:ilvl="4" w:tplc="A5F42EC0">
      <w:numFmt w:val="bullet"/>
      <w:lvlText w:val="•"/>
      <w:lvlJc w:val="left"/>
      <w:pPr>
        <w:ind w:left="992" w:hanging="217"/>
      </w:pPr>
      <w:rPr>
        <w:rFonts w:hint="default"/>
        <w:lang w:val="en-GB" w:eastAsia="en-GB" w:bidi="en-GB"/>
      </w:rPr>
    </w:lvl>
    <w:lvl w:ilvl="5" w:tplc="E11A5262">
      <w:numFmt w:val="bullet"/>
      <w:lvlText w:val="•"/>
      <w:lvlJc w:val="left"/>
      <w:pPr>
        <w:ind w:left="1165" w:hanging="217"/>
      </w:pPr>
      <w:rPr>
        <w:rFonts w:hint="default"/>
        <w:lang w:val="en-GB" w:eastAsia="en-GB" w:bidi="en-GB"/>
      </w:rPr>
    </w:lvl>
    <w:lvl w:ilvl="6" w:tplc="139EE4D4">
      <w:numFmt w:val="bullet"/>
      <w:lvlText w:val="•"/>
      <w:lvlJc w:val="left"/>
      <w:pPr>
        <w:ind w:left="1338" w:hanging="217"/>
      </w:pPr>
      <w:rPr>
        <w:rFonts w:hint="default"/>
        <w:lang w:val="en-GB" w:eastAsia="en-GB" w:bidi="en-GB"/>
      </w:rPr>
    </w:lvl>
    <w:lvl w:ilvl="7" w:tplc="304645E6">
      <w:numFmt w:val="bullet"/>
      <w:lvlText w:val="•"/>
      <w:lvlJc w:val="left"/>
      <w:pPr>
        <w:ind w:left="1511" w:hanging="217"/>
      </w:pPr>
      <w:rPr>
        <w:rFonts w:hint="default"/>
        <w:lang w:val="en-GB" w:eastAsia="en-GB" w:bidi="en-GB"/>
      </w:rPr>
    </w:lvl>
    <w:lvl w:ilvl="8" w:tplc="13FCF6E2">
      <w:numFmt w:val="bullet"/>
      <w:lvlText w:val="•"/>
      <w:lvlJc w:val="left"/>
      <w:pPr>
        <w:ind w:left="1684" w:hanging="217"/>
      </w:pPr>
      <w:rPr>
        <w:rFonts w:hint="default"/>
        <w:lang w:val="en-GB" w:eastAsia="en-GB" w:bidi="en-GB"/>
      </w:rPr>
    </w:lvl>
  </w:abstractNum>
  <w:abstractNum w:abstractNumId="1184" w15:restartNumberingAfterBreak="0">
    <w:nsid w:val="6B753E01"/>
    <w:multiLevelType w:val="hybridMultilevel"/>
    <w:tmpl w:val="D862E6B0"/>
    <w:lvl w:ilvl="0" w:tplc="99D2A23C">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7750C706">
      <w:numFmt w:val="bullet"/>
      <w:lvlText w:val="•"/>
      <w:lvlJc w:val="left"/>
      <w:pPr>
        <w:ind w:left="473" w:hanging="217"/>
      </w:pPr>
      <w:rPr>
        <w:rFonts w:hint="default"/>
        <w:lang w:val="en-GB" w:eastAsia="en-GB" w:bidi="en-GB"/>
      </w:rPr>
    </w:lvl>
    <w:lvl w:ilvl="2" w:tplc="AB1A7D04">
      <w:numFmt w:val="bullet"/>
      <w:lvlText w:val="•"/>
      <w:lvlJc w:val="left"/>
      <w:pPr>
        <w:ind w:left="646" w:hanging="217"/>
      </w:pPr>
      <w:rPr>
        <w:rFonts w:hint="default"/>
        <w:lang w:val="en-GB" w:eastAsia="en-GB" w:bidi="en-GB"/>
      </w:rPr>
    </w:lvl>
    <w:lvl w:ilvl="3" w:tplc="68ACFF0E">
      <w:numFmt w:val="bullet"/>
      <w:lvlText w:val="•"/>
      <w:lvlJc w:val="left"/>
      <w:pPr>
        <w:ind w:left="819" w:hanging="217"/>
      </w:pPr>
      <w:rPr>
        <w:rFonts w:hint="default"/>
        <w:lang w:val="en-GB" w:eastAsia="en-GB" w:bidi="en-GB"/>
      </w:rPr>
    </w:lvl>
    <w:lvl w:ilvl="4" w:tplc="669629A4">
      <w:numFmt w:val="bullet"/>
      <w:lvlText w:val="•"/>
      <w:lvlJc w:val="left"/>
      <w:pPr>
        <w:ind w:left="992" w:hanging="217"/>
      </w:pPr>
      <w:rPr>
        <w:rFonts w:hint="default"/>
        <w:lang w:val="en-GB" w:eastAsia="en-GB" w:bidi="en-GB"/>
      </w:rPr>
    </w:lvl>
    <w:lvl w:ilvl="5" w:tplc="F982B39C">
      <w:numFmt w:val="bullet"/>
      <w:lvlText w:val="•"/>
      <w:lvlJc w:val="left"/>
      <w:pPr>
        <w:ind w:left="1165" w:hanging="217"/>
      </w:pPr>
      <w:rPr>
        <w:rFonts w:hint="default"/>
        <w:lang w:val="en-GB" w:eastAsia="en-GB" w:bidi="en-GB"/>
      </w:rPr>
    </w:lvl>
    <w:lvl w:ilvl="6" w:tplc="E8AEF368">
      <w:numFmt w:val="bullet"/>
      <w:lvlText w:val="•"/>
      <w:lvlJc w:val="left"/>
      <w:pPr>
        <w:ind w:left="1338" w:hanging="217"/>
      </w:pPr>
      <w:rPr>
        <w:rFonts w:hint="default"/>
        <w:lang w:val="en-GB" w:eastAsia="en-GB" w:bidi="en-GB"/>
      </w:rPr>
    </w:lvl>
    <w:lvl w:ilvl="7" w:tplc="779C280E">
      <w:numFmt w:val="bullet"/>
      <w:lvlText w:val="•"/>
      <w:lvlJc w:val="left"/>
      <w:pPr>
        <w:ind w:left="1511" w:hanging="217"/>
      </w:pPr>
      <w:rPr>
        <w:rFonts w:hint="default"/>
        <w:lang w:val="en-GB" w:eastAsia="en-GB" w:bidi="en-GB"/>
      </w:rPr>
    </w:lvl>
    <w:lvl w:ilvl="8" w:tplc="1D5A46B4">
      <w:numFmt w:val="bullet"/>
      <w:lvlText w:val="•"/>
      <w:lvlJc w:val="left"/>
      <w:pPr>
        <w:ind w:left="1684" w:hanging="217"/>
      </w:pPr>
      <w:rPr>
        <w:rFonts w:hint="default"/>
        <w:lang w:val="en-GB" w:eastAsia="en-GB" w:bidi="en-GB"/>
      </w:rPr>
    </w:lvl>
  </w:abstractNum>
  <w:abstractNum w:abstractNumId="1185" w15:restartNumberingAfterBreak="0">
    <w:nsid w:val="6B9623A8"/>
    <w:multiLevelType w:val="multilevel"/>
    <w:tmpl w:val="6E845EB4"/>
    <w:lvl w:ilvl="0">
      <w:start w:val="2"/>
      <w:numFmt w:val="decimal"/>
      <w:lvlText w:val="%1"/>
      <w:lvlJc w:val="left"/>
      <w:pPr>
        <w:ind w:left="1027" w:hanging="817"/>
      </w:pPr>
      <w:rPr>
        <w:rFonts w:hint="default"/>
        <w:lang w:val="en-GB" w:eastAsia="en-GB" w:bidi="en-GB"/>
      </w:rPr>
    </w:lvl>
    <w:lvl w:ilvl="1">
      <w:start w:val="2"/>
      <w:numFmt w:val="decimal"/>
      <w:lvlText w:val="%1.%2."/>
      <w:lvlJc w:val="left"/>
      <w:pPr>
        <w:ind w:left="1027" w:hanging="817"/>
      </w:pPr>
      <w:rPr>
        <w:rFonts w:ascii="Arial" w:eastAsia="Arial" w:hAnsi="Arial" w:cs="Arial" w:hint="default"/>
        <w:color w:val="231F20"/>
        <w:spacing w:val="-1"/>
        <w:w w:val="100"/>
        <w:sz w:val="42"/>
        <w:szCs w:val="42"/>
        <w:lang w:val="en-GB" w:eastAsia="en-GB" w:bidi="en-GB"/>
      </w:rPr>
    </w:lvl>
    <w:lvl w:ilvl="2">
      <w:start w:val="1"/>
      <w:numFmt w:val="decimal"/>
      <w:lvlText w:val="%1.%2.%3"/>
      <w:lvlJc w:val="left"/>
      <w:pPr>
        <w:ind w:left="810" w:hanging="601"/>
      </w:pPr>
      <w:rPr>
        <w:rFonts w:ascii="HelveticaNeueLTStd-Md" w:eastAsia="HelveticaNeueLTStd-Md" w:hAnsi="HelveticaNeueLTStd-Md" w:cs="HelveticaNeueLTStd-Md" w:hint="default"/>
        <w:color w:val="231F20"/>
        <w:spacing w:val="-5"/>
        <w:w w:val="100"/>
        <w:sz w:val="24"/>
        <w:szCs w:val="24"/>
        <w:lang w:val="en-GB" w:eastAsia="en-GB" w:bidi="en-GB"/>
      </w:rPr>
    </w:lvl>
    <w:lvl w:ilvl="3">
      <w:numFmt w:val="bullet"/>
      <w:lvlText w:val="•"/>
      <w:lvlJc w:val="left"/>
      <w:pPr>
        <w:ind w:left="3150" w:hanging="601"/>
      </w:pPr>
      <w:rPr>
        <w:rFonts w:hint="default"/>
        <w:lang w:val="en-GB" w:eastAsia="en-GB" w:bidi="en-GB"/>
      </w:rPr>
    </w:lvl>
    <w:lvl w:ilvl="4">
      <w:numFmt w:val="bullet"/>
      <w:lvlText w:val="•"/>
      <w:lvlJc w:val="left"/>
      <w:pPr>
        <w:ind w:left="4215" w:hanging="601"/>
      </w:pPr>
      <w:rPr>
        <w:rFonts w:hint="default"/>
        <w:lang w:val="en-GB" w:eastAsia="en-GB" w:bidi="en-GB"/>
      </w:rPr>
    </w:lvl>
    <w:lvl w:ilvl="5">
      <w:numFmt w:val="bullet"/>
      <w:lvlText w:val="•"/>
      <w:lvlJc w:val="left"/>
      <w:pPr>
        <w:ind w:left="5280" w:hanging="601"/>
      </w:pPr>
      <w:rPr>
        <w:rFonts w:hint="default"/>
        <w:lang w:val="en-GB" w:eastAsia="en-GB" w:bidi="en-GB"/>
      </w:rPr>
    </w:lvl>
    <w:lvl w:ilvl="6">
      <w:numFmt w:val="bullet"/>
      <w:lvlText w:val="•"/>
      <w:lvlJc w:val="left"/>
      <w:pPr>
        <w:ind w:left="6345" w:hanging="601"/>
      </w:pPr>
      <w:rPr>
        <w:rFonts w:hint="default"/>
        <w:lang w:val="en-GB" w:eastAsia="en-GB" w:bidi="en-GB"/>
      </w:rPr>
    </w:lvl>
    <w:lvl w:ilvl="7">
      <w:numFmt w:val="bullet"/>
      <w:lvlText w:val="•"/>
      <w:lvlJc w:val="left"/>
      <w:pPr>
        <w:ind w:left="7410" w:hanging="601"/>
      </w:pPr>
      <w:rPr>
        <w:rFonts w:hint="default"/>
        <w:lang w:val="en-GB" w:eastAsia="en-GB" w:bidi="en-GB"/>
      </w:rPr>
    </w:lvl>
    <w:lvl w:ilvl="8">
      <w:numFmt w:val="bullet"/>
      <w:lvlText w:val="•"/>
      <w:lvlJc w:val="left"/>
      <w:pPr>
        <w:ind w:left="8475" w:hanging="601"/>
      </w:pPr>
      <w:rPr>
        <w:rFonts w:hint="default"/>
        <w:lang w:val="en-GB" w:eastAsia="en-GB" w:bidi="en-GB"/>
      </w:rPr>
    </w:lvl>
  </w:abstractNum>
  <w:abstractNum w:abstractNumId="1186" w15:restartNumberingAfterBreak="0">
    <w:nsid w:val="6B990D0D"/>
    <w:multiLevelType w:val="hybridMultilevel"/>
    <w:tmpl w:val="B6963884"/>
    <w:lvl w:ilvl="0" w:tplc="A8A65E7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D1EEBC6">
      <w:numFmt w:val="bullet"/>
      <w:lvlText w:val="•"/>
      <w:lvlJc w:val="left"/>
      <w:pPr>
        <w:ind w:left="473" w:hanging="217"/>
      </w:pPr>
      <w:rPr>
        <w:rFonts w:hint="default"/>
        <w:lang w:val="en-GB" w:eastAsia="en-GB" w:bidi="en-GB"/>
      </w:rPr>
    </w:lvl>
    <w:lvl w:ilvl="2" w:tplc="CB983CE0">
      <w:numFmt w:val="bullet"/>
      <w:lvlText w:val="•"/>
      <w:lvlJc w:val="left"/>
      <w:pPr>
        <w:ind w:left="646" w:hanging="217"/>
      </w:pPr>
      <w:rPr>
        <w:rFonts w:hint="default"/>
        <w:lang w:val="en-GB" w:eastAsia="en-GB" w:bidi="en-GB"/>
      </w:rPr>
    </w:lvl>
    <w:lvl w:ilvl="3" w:tplc="F0EE8438">
      <w:numFmt w:val="bullet"/>
      <w:lvlText w:val="•"/>
      <w:lvlJc w:val="left"/>
      <w:pPr>
        <w:ind w:left="819" w:hanging="217"/>
      </w:pPr>
      <w:rPr>
        <w:rFonts w:hint="default"/>
        <w:lang w:val="en-GB" w:eastAsia="en-GB" w:bidi="en-GB"/>
      </w:rPr>
    </w:lvl>
    <w:lvl w:ilvl="4" w:tplc="B71C34E0">
      <w:numFmt w:val="bullet"/>
      <w:lvlText w:val="•"/>
      <w:lvlJc w:val="left"/>
      <w:pPr>
        <w:ind w:left="992" w:hanging="217"/>
      </w:pPr>
      <w:rPr>
        <w:rFonts w:hint="default"/>
        <w:lang w:val="en-GB" w:eastAsia="en-GB" w:bidi="en-GB"/>
      </w:rPr>
    </w:lvl>
    <w:lvl w:ilvl="5" w:tplc="CFA68EAE">
      <w:numFmt w:val="bullet"/>
      <w:lvlText w:val="•"/>
      <w:lvlJc w:val="left"/>
      <w:pPr>
        <w:ind w:left="1165" w:hanging="217"/>
      </w:pPr>
      <w:rPr>
        <w:rFonts w:hint="default"/>
        <w:lang w:val="en-GB" w:eastAsia="en-GB" w:bidi="en-GB"/>
      </w:rPr>
    </w:lvl>
    <w:lvl w:ilvl="6" w:tplc="27E6FB84">
      <w:numFmt w:val="bullet"/>
      <w:lvlText w:val="•"/>
      <w:lvlJc w:val="left"/>
      <w:pPr>
        <w:ind w:left="1338" w:hanging="217"/>
      </w:pPr>
      <w:rPr>
        <w:rFonts w:hint="default"/>
        <w:lang w:val="en-GB" w:eastAsia="en-GB" w:bidi="en-GB"/>
      </w:rPr>
    </w:lvl>
    <w:lvl w:ilvl="7" w:tplc="A844C146">
      <w:numFmt w:val="bullet"/>
      <w:lvlText w:val="•"/>
      <w:lvlJc w:val="left"/>
      <w:pPr>
        <w:ind w:left="1511" w:hanging="217"/>
      </w:pPr>
      <w:rPr>
        <w:rFonts w:hint="default"/>
        <w:lang w:val="en-GB" w:eastAsia="en-GB" w:bidi="en-GB"/>
      </w:rPr>
    </w:lvl>
    <w:lvl w:ilvl="8" w:tplc="10A624D8">
      <w:numFmt w:val="bullet"/>
      <w:lvlText w:val="•"/>
      <w:lvlJc w:val="left"/>
      <w:pPr>
        <w:ind w:left="1684" w:hanging="217"/>
      </w:pPr>
      <w:rPr>
        <w:rFonts w:hint="default"/>
        <w:lang w:val="en-GB" w:eastAsia="en-GB" w:bidi="en-GB"/>
      </w:rPr>
    </w:lvl>
  </w:abstractNum>
  <w:abstractNum w:abstractNumId="1187" w15:restartNumberingAfterBreak="0">
    <w:nsid w:val="6BA27190"/>
    <w:multiLevelType w:val="hybridMultilevel"/>
    <w:tmpl w:val="01EAD820"/>
    <w:lvl w:ilvl="0" w:tplc="C3C6F41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9C65062">
      <w:numFmt w:val="bullet"/>
      <w:lvlText w:val="•"/>
      <w:lvlJc w:val="left"/>
      <w:pPr>
        <w:ind w:left="439" w:hanging="217"/>
      </w:pPr>
      <w:rPr>
        <w:rFonts w:hint="default"/>
        <w:lang w:val="en-GB" w:eastAsia="en-GB" w:bidi="en-GB"/>
      </w:rPr>
    </w:lvl>
    <w:lvl w:ilvl="2" w:tplc="4C16743A">
      <w:numFmt w:val="bullet"/>
      <w:lvlText w:val="•"/>
      <w:lvlJc w:val="left"/>
      <w:pPr>
        <w:ind w:left="578" w:hanging="217"/>
      </w:pPr>
      <w:rPr>
        <w:rFonts w:hint="default"/>
        <w:lang w:val="en-GB" w:eastAsia="en-GB" w:bidi="en-GB"/>
      </w:rPr>
    </w:lvl>
    <w:lvl w:ilvl="3" w:tplc="2F3A4350">
      <w:numFmt w:val="bullet"/>
      <w:lvlText w:val="•"/>
      <w:lvlJc w:val="left"/>
      <w:pPr>
        <w:ind w:left="717" w:hanging="217"/>
      </w:pPr>
      <w:rPr>
        <w:rFonts w:hint="default"/>
        <w:lang w:val="en-GB" w:eastAsia="en-GB" w:bidi="en-GB"/>
      </w:rPr>
    </w:lvl>
    <w:lvl w:ilvl="4" w:tplc="A6DCD802">
      <w:numFmt w:val="bullet"/>
      <w:lvlText w:val="•"/>
      <w:lvlJc w:val="left"/>
      <w:pPr>
        <w:ind w:left="856" w:hanging="217"/>
      </w:pPr>
      <w:rPr>
        <w:rFonts w:hint="default"/>
        <w:lang w:val="en-GB" w:eastAsia="en-GB" w:bidi="en-GB"/>
      </w:rPr>
    </w:lvl>
    <w:lvl w:ilvl="5" w:tplc="74A2DAC8">
      <w:numFmt w:val="bullet"/>
      <w:lvlText w:val="•"/>
      <w:lvlJc w:val="left"/>
      <w:pPr>
        <w:ind w:left="995" w:hanging="217"/>
      </w:pPr>
      <w:rPr>
        <w:rFonts w:hint="default"/>
        <w:lang w:val="en-GB" w:eastAsia="en-GB" w:bidi="en-GB"/>
      </w:rPr>
    </w:lvl>
    <w:lvl w:ilvl="6" w:tplc="E2B4B2C4">
      <w:numFmt w:val="bullet"/>
      <w:lvlText w:val="•"/>
      <w:lvlJc w:val="left"/>
      <w:pPr>
        <w:ind w:left="1134" w:hanging="217"/>
      </w:pPr>
      <w:rPr>
        <w:rFonts w:hint="default"/>
        <w:lang w:val="en-GB" w:eastAsia="en-GB" w:bidi="en-GB"/>
      </w:rPr>
    </w:lvl>
    <w:lvl w:ilvl="7" w:tplc="8396AA92">
      <w:numFmt w:val="bullet"/>
      <w:lvlText w:val="•"/>
      <w:lvlJc w:val="left"/>
      <w:pPr>
        <w:ind w:left="1273" w:hanging="217"/>
      </w:pPr>
      <w:rPr>
        <w:rFonts w:hint="default"/>
        <w:lang w:val="en-GB" w:eastAsia="en-GB" w:bidi="en-GB"/>
      </w:rPr>
    </w:lvl>
    <w:lvl w:ilvl="8" w:tplc="0DDC2D64">
      <w:numFmt w:val="bullet"/>
      <w:lvlText w:val="•"/>
      <w:lvlJc w:val="left"/>
      <w:pPr>
        <w:ind w:left="1412" w:hanging="217"/>
      </w:pPr>
      <w:rPr>
        <w:rFonts w:hint="default"/>
        <w:lang w:val="en-GB" w:eastAsia="en-GB" w:bidi="en-GB"/>
      </w:rPr>
    </w:lvl>
  </w:abstractNum>
  <w:abstractNum w:abstractNumId="1188" w15:restartNumberingAfterBreak="0">
    <w:nsid w:val="6BC93C8D"/>
    <w:multiLevelType w:val="hybridMultilevel"/>
    <w:tmpl w:val="5D06193E"/>
    <w:lvl w:ilvl="0" w:tplc="A31CDFAE">
      <w:numFmt w:val="bullet"/>
      <w:lvlText w:val="•"/>
      <w:lvlJc w:val="left"/>
      <w:pPr>
        <w:ind w:left="303" w:hanging="217"/>
      </w:pPr>
      <w:rPr>
        <w:rFonts w:ascii="Arial" w:eastAsia="Arial" w:hAnsi="Arial" w:cs="Arial" w:hint="default"/>
        <w:color w:val="231F20"/>
        <w:w w:val="102"/>
        <w:sz w:val="17"/>
        <w:szCs w:val="17"/>
        <w:lang w:val="en-GB" w:eastAsia="en-GB" w:bidi="en-GB"/>
      </w:rPr>
    </w:lvl>
    <w:lvl w:ilvl="1" w:tplc="B3926F6C">
      <w:numFmt w:val="bullet"/>
      <w:lvlText w:val="•"/>
      <w:lvlJc w:val="left"/>
      <w:pPr>
        <w:ind w:left="439" w:hanging="217"/>
      </w:pPr>
      <w:rPr>
        <w:rFonts w:hint="default"/>
        <w:lang w:val="en-GB" w:eastAsia="en-GB" w:bidi="en-GB"/>
      </w:rPr>
    </w:lvl>
    <w:lvl w:ilvl="2" w:tplc="1C6A731E">
      <w:numFmt w:val="bullet"/>
      <w:lvlText w:val="•"/>
      <w:lvlJc w:val="left"/>
      <w:pPr>
        <w:ind w:left="578" w:hanging="217"/>
      </w:pPr>
      <w:rPr>
        <w:rFonts w:hint="default"/>
        <w:lang w:val="en-GB" w:eastAsia="en-GB" w:bidi="en-GB"/>
      </w:rPr>
    </w:lvl>
    <w:lvl w:ilvl="3" w:tplc="B10EDB06">
      <w:numFmt w:val="bullet"/>
      <w:lvlText w:val="•"/>
      <w:lvlJc w:val="left"/>
      <w:pPr>
        <w:ind w:left="717" w:hanging="217"/>
      </w:pPr>
      <w:rPr>
        <w:rFonts w:hint="default"/>
        <w:lang w:val="en-GB" w:eastAsia="en-GB" w:bidi="en-GB"/>
      </w:rPr>
    </w:lvl>
    <w:lvl w:ilvl="4" w:tplc="3872B73A">
      <w:numFmt w:val="bullet"/>
      <w:lvlText w:val="•"/>
      <w:lvlJc w:val="left"/>
      <w:pPr>
        <w:ind w:left="856" w:hanging="217"/>
      </w:pPr>
      <w:rPr>
        <w:rFonts w:hint="default"/>
        <w:lang w:val="en-GB" w:eastAsia="en-GB" w:bidi="en-GB"/>
      </w:rPr>
    </w:lvl>
    <w:lvl w:ilvl="5" w:tplc="9E70B6F0">
      <w:numFmt w:val="bullet"/>
      <w:lvlText w:val="•"/>
      <w:lvlJc w:val="left"/>
      <w:pPr>
        <w:ind w:left="995" w:hanging="217"/>
      </w:pPr>
      <w:rPr>
        <w:rFonts w:hint="default"/>
        <w:lang w:val="en-GB" w:eastAsia="en-GB" w:bidi="en-GB"/>
      </w:rPr>
    </w:lvl>
    <w:lvl w:ilvl="6" w:tplc="C31CA50A">
      <w:numFmt w:val="bullet"/>
      <w:lvlText w:val="•"/>
      <w:lvlJc w:val="left"/>
      <w:pPr>
        <w:ind w:left="1134" w:hanging="217"/>
      </w:pPr>
      <w:rPr>
        <w:rFonts w:hint="default"/>
        <w:lang w:val="en-GB" w:eastAsia="en-GB" w:bidi="en-GB"/>
      </w:rPr>
    </w:lvl>
    <w:lvl w:ilvl="7" w:tplc="221E5D6C">
      <w:numFmt w:val="bullet"/>
      <w:lvlText w:val="•"/>
      <w:lvlJc w:val="left"/>
      <w:pPr>
        <w:ind w:left="1273" w:hanging="217"/>
      </w:pPr>
      <w:rPr>
        <w:rFonts w:hint="default"/>
        <w:lang w:val="en-GB" w:eastAsia="en-GB" w:bidi="en-GB"/>
      </w:rPr>
    </w:lvl>
    <w:lvl w:ilvl="8" w:tplc="6DFAB090">
      <w:numFmt w:val="bullet"/>
      <w:lvlText w:val="•"/>
      <w:lvlJc w:val="left"/>
      <w:pPr>
        <w:ind w:left="1412" w:hanging="217"/>
      </w:pPr>
      <w:rPr>
        <w:rFonts w:hint="default"/>
        <w:lang w:val="en-GB" w:eastAsia="en-GB" w:bidi="en-GB"/>
      </w:rPr>
    </w:lvl>
  </w:abstractNum>
  <w:abstractNum w:abstractNumId="1189" w15:restartNumberingAfterBreak="0">
    <w:nsid w:val="6BD6444A"/>
    <w:multiLevelType w:val="hybridMultilevel"/>
    <w:tmpl w:val="06400CF6"/>
    <w:lvl w:ilvl="0" w:tplc="8A9AA45A">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AADA0386">
      <w:numFmt w:val="bullet"/>
      <w:lvlText w:val="•"/>
      <w:lvlJc w:val="left"/>
      <w:pPr>
        <w:ind w:left="473" w:hanging="217"/>
      </w:pPr>
      <w:rPr>
        <w:rFonts w:hint="default"/>
        <w:lang w:val="en-GB" w:eastAsia="en-GB" w:bidi="en-GB"/>
      </w:rPr>
    </w:lvl>
    <w:lvl w:ilvl="2" w:tplc="750CC44A">
      <w:numFmt w:val="bullet"/>
      <w:lvlText w:val="•"/>
      <w:lvlJc w:val="left"/>
      <w:pPr>
        <w:ind w:left="646" w:hanging="217"/>
      </w:pPr>
      <w:rPr>
        <w:rFonts w:hint="default"/>
        <w:lang w:val="en-GB" w:eastAsia="en-GB" w:bidi="en-GB"/>
      </w:rPr>
    </w:lvl>
    <w:lvl w:ilvl="3" w:tplc="DEF4F544">
      <w:numFmt w:val="bullet"/>
      <w:lvlText w:val="•"/>
      <w:lvlJc w:val="left"/>
      <w:pPr>
        <w:ind w:left="819" w:hanging="217"/>
      </w:pPr>
      <w:rPr>
        <w:rFonts w:hint="default"/>
        <w:lang w:val="en-GB" w:eastAsia="en-GB" w:bidi="en-GB"/>
      </w:rPr>
    </w:lvl>
    <w:lvl w:ilvl="4" w:tplc="B60C906E">
      <w:numFmt w:val="bullet"/>
      <w:lvlText w:val="•"/>
      <w:lvlJc w:val="left"/>
      <w:pPr>
        <w:ind w:left="992" w:hanging="217"/>
      </w:pPr>
      <w:rPr>
        <w:rFonts w:hint="default"/>
        <w:lang w:val="en-GB" w:eastAsia="en-GB" w:bidi="en-GB"/>
      </w:rPr>
    </w:lvl>
    <w:lvl w:ilvl="5" w:tplc="3BB26CBA">
      <w:numFmt w:val="bullet"/>
      <w:lvlText w:val="•"/>
      <w:lvlJc w:val="left"/>
      <w:pPr>
        <w:ind w:left="1165" w:hanging="217"/>
      </w:pPr>
      <w:rPr>
        <w:rFonts w:hint="default"/>
        <w:lang w:val="en-GB" w:eastAsia="en-GB" w:bidi="en-GB"/>
      </w:rPr>
    </w:lvl>
    <w:lvl w:ilvl="6" w:tplc="9B9C48B6">
      <w:numFmt w:val="bullet"/>
      <w:lvlText w:val="•"/>
      <w:lvlJc w:val="left"/>
      <w:pPr>
        <w:ind w:left="1338" w:hanging="217"/>
      </w:pPr>
      <w:rPr>
        <w:rFonts w:hint="default"/>
        <w:lang w:val="en-GB" w:eastAsia="en-GB" w:bidi="en-GB"/>
      </w:rPr>
    </w:lvl>
    <w:lvl w:ilvl="7" w:tplc="EC842BBA">
      <w:numFmt w:val="bullet"/>
      <w:lvlText w:val="•"/>
      <w:lvlJc w:val="left"/>
      <w:pPr>
        <w:ind w:left="1511" w:hanging="217"/>
      </w:pPr>
      <w:rPr>
        <w:rFonts w:hint="default"/>
        <w:lang w:val="en-GB" w:eastAsia="en-GB" w:bidi="en-GB"/>
      </w:rPr>
    </w:lvl>
    <w:lvl w:ilvl="8" w:tplc="F394082A">
      <w:numFmt w:val="bullet"/>
      <w:lvlText w:val="•"/>
      <w:lvlJc w:val="left"/>
      <w:pPr>
        <w:ind w:left="1684" w:hanging="217"/>
      </w:pPr>
      <w:rPr>
        <w:rFonts w:hint="default"/>
        <w:lang w:val="en-GB" w:eastAsia="en-GB" w:bidi="en-GB"/>
      </w:rPr>
    </w:lvl>
  </w:abstractNum>
  <w:abstractNum w:abstractNumId="1190" w15:restartNumberingAfterBreak="0">
    <w:nsid w:val="6BEC7B49"/>
    <w:multiLevelType w:val="hybridMultilevel"/>
    <w:tmpl w:val="D208FA32"/>
    <w:lvl w:ilvl="0" w:tplc="06F2DD9E">
      <w:numFmt w:val="bullet"/>
      <w:lvlText w:val="•"/>
      <w:lvlJc w:val="left"/>
      <w:pPr>
        <w:ind w:left="304" w:hanging="217"/>
      </w:pPr>
      <w:rPr>
        <w:rFonts w:ascii="Arial" w:eastAsia="Arial" w:hAnsi="Arial" w:cs="Arial" w:hint="default"/>
        <w:color w:val="231F20"/>
        <w:w w:val="100"/>
        <w:sz w:val="18"/>
        <w:szCs w:val="18"/>
        <w:lang w:val="en-GB" w:eastAsia="en-GB" w:bidi="en-GB"/>
      </w:rPr>
    </w:lvl>
    <w:lvl w:ilvl="1" w:tplc="98E88852">
      <w:numFmt w:val="bullet"/>
      <w:lvlText w:val="•"/>
      <w:lvlJc w:val="left"/>
      <w:pPr>
        <w:ind w:left="473" w:hanging="217"/>
      </w:pPr>
      <w:rPr>
        <w:rFonts w:hint="default"/>
        <w:lang w:val="en-GB" w:eastAsia="en-GB" w:bidi="en-GB"/>
      </w:rPr>
    </w:lvl>
    <w:lvl w:ilvl="2" w:tplc="52D898BE">
      <w:numFmt w:val="bullet"/>
      <w:lvlText w:val="•"/>
      <w:lvlJc w:val="left"/>
      <w:pPr>
        <w:ind w:left="646" w:hanging="217"/>
      </w:pPr>
      <w:rPr>
        <w:rFonts w:hint="default"/>
        <w:lang w:val="en-GB" w:eastAsia="en-GB" w:bidi="en-GB"/>
      </w:rPr>
    </w:lvl>
    <w:lvl w:ilvl="3" w:tplc="5E4A9348">
      <w:numFmt w:val="bullet"/>
      <w:lvlText w:val="•"/>
      <w:lvlJc w:val="left"/>
      <w:pPr>
        <w:ind w:left="819" w:hanging="217"/>
      </w:pPr>
      <w:rPr>
        <w:rFonts w:hint="default"/>
        <w:lang w:val="en-GB" w:eastAsia="en-GB" w:bidi="en-GB"/>
      </w:rPr>
    </w:lvl>
    <w:lvl w:ilvl="4" w:tplc="BFD612D6">
      <w:numFmt w:val="bullet"/>
      <w:lvlText w:val="•"/>
      <w:lvlJc w:val="left"/>
      <w:pPr>
        <w:ind w:left="992" w:hanging="217"/>
      </w:pPr>
      <w:rPr>
        <w:rFonts w:hint="default"/>
        <w:lang w:val="en-GB" w:eastAsia="en-GB" w:bidi="en-GB"/>
      </w:rPr>
    </w:lvl>
    <w:lvl w:ilvl="5" w:tplc="FD125180">
      <w:numFmt w:val="bullet"/>
      <w:lvlText w:val="•"/>
      <w:lvlJc w:val="left"/>
      <w:pPr>
        <w:ind w:left="1165" w:hanging="217"/>
      </w:pPr>
      <w:rPr>
        <w:rFonts w:hint="default"/>
        <w:lang w:val="en-GB" w:eastAsia="en-GB" w:bidi="en-GB"/>
      </w:rPr>
    </w:lvl>
    <w:lvl w:ilvl="6" w:tplc="2C169FB6">
      <w:numFmt w:val="bullet"/>
      <w:lvlText w:val="•"/>
      <w:lvlJc w:val="left"/>
      <w:pPr>
        <w:ind w:left="1338" w:hanging="217"/>
      </w:pPr>
      <w:rPr>
        <w:rFonts w:hint="default"/>
        <w:lang w:val="en-GB" w:eastAsia="en-GB" w:bidi="en-GB"/>
      </w:rPr>
    </w:lvl>
    <w:lvl w:ilvl="7" w:tplc="A8FE9374">
      <w:numFmt w:val="bullet"/>
      <w:lvlText w:val="•"/>
      <w:lvlJc w:val="left"/>
      <w:pPr>
        <w:ind w:left="1511" w:hanging="217"/>
      </w:pPr>
      <w:rPr>
        <w:rFonts w:hint="default"/>
        <w:lang w:val="en-GB" w:eastAsia="en-GB" w:bidi="en-GB"/>
      </w:rPr>
    </w:lvl>
    <w:lvl w:ilvl="8" w:tplc="76C85D2A">
      <w:numFmt w:val="bullet"/>
      <w:lvlText w:val="•"/>
      <w:lvlJc w:val="left"/>
      <w:pPr>
        <w:ind w:left="1684" w:hanging="217"/>
      </w:pPr>
      <w:rPr>
        <w:rFonts w:hint="default"/>
        <w:lang w:val="en-GB" w:eastAsia="en-GB" w:bidi="en-GB"/>
      </w:rPr>
    </w:lvl>
  </w:abstractNum>
  <w:abstractNum w:abstractNumId="1191" w15:restartNumberingAfterBreak="0">
    <w:nsid w:val="6BFA1906"/>
    <w:multiLevelType w:val="hybridMultilevel"/>
    <w:tmpl w:val="40242AE8"/>
    <w:lvl w:ilvl="0" w:tplc="6596B08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C7CB006">
      <w:numFmt w:val="bullet"/>
      <w:lvlText w:val="•"/>
      <w:lvlJc w:val="left"/>
      <w:pPr>
        <w:ind w:left="439" w:hanging="217"/>
      </w:pPr>
      <w:rPr>
        <w:rFonts w:hint="default"/>
        <w:lang w:val="en-GB" w:eastAsia="en-GB" w:bidi="en-GB"/>
      </w:rPr>
    </w:lvl>
    <w:lvl w:ilvl="2" w:tplc="41FE3854">
      <w:numFmt w:val="bullet"/>
      <w:lvlText w:val="•"/>
      <w:lvlJc w:val="left"/>
      <w:pPr>
        <w:ind w:left="578" w:hanging="217"/>
      </w:pPr>
      <w:rPr>
        <w:rFonts w:hint="default"/>
        <w:lang w:val="en-GB" w:eastAsia="en-GB" w:bidi="en-GB"/>
      </w:rPr>
    </w:lvl>
    <w:lvl w:ilvl="3" w:tplc="701AF704">
      <w:numFmt w:val="bullet"/>
      <w:lvlText w:val="•"/>
      <w:lvlJc w:val="left"/>
      <w:pPr>
        <w:ind w:left="717" w:hanging="217"/>
      </w:pPr>
      <w:rPr>
        <w:rFonts w:hint="default"/>
        <w:lang w:val="en-GB" w:eastAsia="en-GB" w:bidi="en-GB"/>
      </w:rPr>
    </w:lvl>
    <w:lvl w:ilvl="4" w:tplc="EFAC57C4">
      <w:numFmt w:val="bullet"/>
      <w:lvlText w:val="•"/>
      <w:lvlJc w:val="left"/>
      <w:pPr>
        <w:ind w:left="856" w:hanging="217"/>
      </w:pPr>
      <w:rPr>
        <w:rFonts w:hint="default"/>
        <w:lang w:val="en-GB" w:eastAsia="en-GB" w:bidi="en-GB"/>
      </w:rPr>
    </w:lvl>
    <w:lvl w:ilvl="5" w:tplc="7C6EEA44">
      <w:numFmt w:val="bullet"/>
      <w:lvlText w:val="•"/>
      <w:lvlJc w:val="left"/>
      <w:pPr>
        <w:ind w:left="995" w:hanging="217"/>
      </w:pPr>
      <w:rPr>
        <w:rFonts w:hint="default"/>
        <w:lang w:val="en-GB" w:eastAsia="en-GB" w:bidi="en-GB"/>
      </w:rPr>
    </w:lvl>
    <w:lvl w:ilvl="6" w:tplc="DD6AA930">
      <w:numFmt w:val="bullet"/>
      <w:lvlText w:val="•"/>
      <w:lvlJc w:val="left"/>
      <w:pPr>
        <w:ind w:left="1134" w:hanging="217"/>
      </w:pPr>
      <w:rPr>
        <w:rFonts w:hint="default"/>
        <w:lang w:val="en-GB" w:eastAsia="en-GB" w:bidi="en-GB"/>
      </w:rPr>
    </w:lvl>
    <w:lvl w:ilvl="7" w:tplc="433487E8">
      <w:numFmt w:val="bullet"/>
      <w:lvlText w:val="•"/>
      <w:lvlJc w:val="left"/>
      <w:pPr>
        <w:ind w:left="1273" w:hanging="217"/>
      </w:pPr>
      <w:rPr>
        <w:rFonts w:hint="default"/>
        <w:lang w:val="en-GB" w:eastAsia="en-GB" w:bidi="en-GB"/>
      </w:rPr>
    </w:lvl>
    <w:lvl w:ilvl="8" w:tplc="5D002482">
      <w:numFmt w:val="bullet"/>
      <w:lvlText w:val="•"/>
      <w:lvlJc w:val="left"/>
      <w:pPr>
        <w:ind w:left="1412" w:hanging="217"/>
      </w:pPr>
      <w:rPr>
        <w:rFonts w:hint="default"/>
        <w:lang w:val="en-GB" w:eastAsia="en-GB" w:bidi="en-GB"/>
      </w:rPr>
    </w:lvl>
  </w:abstractNum>
  <w:abstractNum w:abstractNumId="1192" w15:restartNumberingAfterBreak="0">
    <w:nsid w:val="6C387D26"/>
    <w:multiLevelType w:val="hybridMultilevel"/>
    <w:tmpl w:val="B80E8E20"/>
    <w:lvl w:ilvl="0" w:tplc="DA90411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9A04D72">
      <w:numFmt w:val="bullet"/>
      <w:lvlText w:val="•"/>
      <w:lvlJc w:val="left"/>
      <w:pPr>
        <w:ind w:left="473" w:hanging="217"/>
      </w:pPr>
      <w:rPr>
        <w:rFonts w:hint="default"/>
        <w:lang w:val="en-GB" w:eastAsia="en-GB" w:bidi="en-GB"/>
      </w:rPr>
    </w:lvl>
    <w:lvl w:ilvl="2" w:tplc="60EEF8C4">
      <w:numFmt w:val="bullet"/>
      <w:lvlText w:val="•"/>
      <w:lvlJc w:val="left"/>
      <w:pPr>
        <w:ind w:left="646" w:hanging="217"/>
      </w:pPr>
      <w:rPr>
        <w:rFonts w:hint="default"/>
        <w:lang w:val="en-GB" w:eastAsia="en-GB" w:bidi="en-GB"/>
      </w:rPr>
    </w:lvl>
    <w:lvl w:ilvl="3" w:tplc="18FA8BB0">
      <w:numFmt w:val="bullet"/>
      <w:lvlText w:val="•"/>
      <w:lvlJc w:val="left"/>
      <w:pPr>
        <w:ind w:left="819" w:hanging="217"/>
      </w:pPr>
      <w:rPr>
        <w:rFonts w:hint="default"/>
        <w:lang w:val="en-GB" w:eastAsia="en-GB" w:bidi="en-GB"/>
      </w:rPr>
    </w:lvl>
    <w:lvl w:ilvl="4" w:tplc="7A94EACA">
      <w:numFmt w:val="bullet"/>
      <w:lvlText w:val="•"/>
      <w:lvlJc w:val="left"/>
      <w:pPr>
        <w:ind w:left="992" w:hanging="217"/>
      </w:pPr>
      <w:rPr>
        <w:rFonts w:hint="default"/>
        <w:lang w:val="en-GB" w:eastAsia="en-GB" w:bidi="en-GB"/>
      </w:rPr>
    </w:lvl>
    <w:lvl w:ilvl="5" w:tplc="CCF8EA16">
      <w:numFmt w:val="bullet"/>
      <w:lvlText w:val="•"/>
      <w:lvlJc w:val="left"/>
      <w:pPr>
        <w:ind w:left="1165" w:hanging="217"/>
      </w:pPr>
      <w:rPr>
        <w:rFonts w:hint="default"/>
        <w:lang w:val="en-GB" w:eastAsia="en-GB" w:bidi="en-GB"/>
      </w:rPr>
    </w:lvl>
    <w:lvl w:ilvl="6" w:tplc="D00A969C">
      <w:numFmt w:val="bullet"/>
      <w:lvlText w:val="•"/>
      <w:lvlJc w:val="left"/>
      <w:pPr>
        <w:ind w:left="1338" w:hanging="217"/>
      </w:pPr>
      <w:rPr>
        <w:rFonts w:hint="default"/>
        <w:lang w:val="en-GB" w:eastAsia="en-GB" w:bidi="en-GB"/>
      </w:rPr>
    </w:lvl>
    <w:lvl w:ilvl="7" w:tplc="62EA226E">
      <w:numFmt w:val="bullet"/>
      <w:lvlText w:val="•"/>
      <w:lvlJc w:val="left"/>
      <w:pPr>
        <w:ind w:left="1511" w:hanging="217"/>
      </w:pPr>
      <w:rPr>
        <w:rFonts w:hint="default"/>
        <w:lang w:val="en-GB" w:eastAsia="en-GB" w:bidi="en-GB"/>
      </w:rPr>
    </w:lvl>
    <w:lvl w:ilvl="8" w:tplc="4E4ABC00">
      <w:numFmt w:val="bullet"/>
      <w:lvlText w:val="•"/>
      <w:lvlJc w:val="left"/>
      <w:pPr>
        <w:ind w:left="1684" w:hanging="217"/>
      </w:pPr>
      <w:rPr>
        <w:rFonts w:hint="default"/>
        <w:lang w:val="en-GB" w:eastAsia="en-GB" w:bidi="en-GB"/>
      </w:rPr>
    </w:lvl>
  </w:abstractNum>
  <w:abstractNum w:abstractNumId="1193" w15:restartNumberingAfterBreak="0">
    <w:nsid w:val="6C762CDC"/>
    <w:multiLevelType w:val="hybridMultilevel"/>
    <w:tmpl w:val="3D7C4720"/>
    <w:lvl w:ilvl="0" w:tplc="EBA6D4F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B7E5112">
      <w:numFmt w:val="bullet"/>
      <w:lvlText w:val="•"/>
      <w:lvlJc w:val="left"/>
      <w:pPr>
        <w:ind w:left="473" w:hanging="217"/>
      </w:pPr>
      <w:rPr>
        <w:rFonts w:hint="default"/>
        <w:lang w:val="en-GB" w:eastAsia="en-GB" w:bidi="en-GB"/>
      </w:rPr>
    </w:lvl>
    <w:lvl w:ilvl="2" w:tplc="A2F40BFC">
      <w:numFmt w:val="bullet"/>
      <w:lvlText w:val="•"/>
      <w:lvlJc w:val="left"/>
      <w:pPr>
        <w:ind w:left="646" w:hanging="217"/>
      </w:pPr>
      <w:rPr>
        <w:rFonts w:hint="default"/>
        <w:lang w:val="en-GB" w:eastAsia="en-GB" w:bidi="en-GB"/>
      </w:rPr>
    </w:lvl>
    <w:lvl w:ilvl="3" w:tplc="1F10FC84">
      <w:numFmt w:val="bullet"/>
      <w:lvlText w:val="•"/>
      <w:lvlJc w:val="left"/>
      <w:pPr>
        <w:ind w:left="819" w:hanging="217"/>
      </w:pPr>
      <w:rPr>
        <w:rFonts w:hint="default"/>
        <w:lang w:val="en-GB" w:eastAsia="en-GB" w:bidi="en-GB"/>
      </w:rPr>
    </w:lvl>
    <w:lvl w:ilvl="4" w:tplc="0E9CF664">
      <w:numFmt w:val="bullet"/>
      <w:lvlText w:val="•"/>
      <w:lvlJc w:val="left"/>
      <w:pPr>
        <w:ind w:left="992" w:hanging="217"/>
      </w:pPr>
      <w:rPr>
        <w:rFonts w:hint="default"/>
        <w:lang w:val="en-GB" w:eastAsia="en-GB" w:bidi="en-GB"/>
      </w:rPr>
    </w:lvl>
    <w:lvl w:ilvl="5" w:tplc="EFE6D9BE">
      <w:numFmt w:val="bullet"/>
      <w:lvlText w:val="•"/>
      <w:lvlJc w:val="left"/>
      <w:pPr>
        <w:ind w:left="1165" w:hanging="217"/>
      </w:pPr>
      <w:rPr>
        <w:rFonts w:hint="default"/>
        <w:lang w:val="en-GB" w:eastAsia="en-GB" w:bidi="en-GB"/>
      </w:rPr>
    </w:lvl>
    <w:lvl w:ilvl="6" w:tplc="E976EE60">
      <w:numFmt w:val="bullet"/>
      <w:lvlText w:val="•"/>
      <w:lvlJc w:val="left"/>
      <w:pPr>
        <w:ind w:left="1338" w:hanging="217"/>
      </w:pPr>
      <w:rPr>
        <w:rFonts w:hint="default"/>
        <w:lang w:val="en-GB" w:eastAsia="en-GB" w:bidi="en-GB"/>
      </w:rPr>
    </w:lvl>
    <w:lvl w:ilvl="7" w:tplc="7FAEBF9E">
      <w:numFmt w:val="bullet"/>
      <w:lvlText w:val="•"/>
      <w:lvlJc w:val="left"/>
      <w:pPr>
        <w:ind w:left="1511" w:hanging="217"/>
      </w:pPr>
      <w:rPr>
        <w:rFonts w:hint="default"/>
        <w:lang w:val="en-GB" w:eastAsia="en-GB" w:bidi="en-GB"/>
      </w:rPr>
    </w:lvl>
    <w:lvl w:ilvl="8" w:tplc="BBECDD9C">
      <w:numFmt w:val="bullet"/>
      <w:lvlText w:val="•"/>
      <w:lvlJc w:val="left"/>
      <w:pPr>
        <w:ind w:left="1684" w:hanging="217"/>
      </w:pPr>
      <w:rPr>
        <w:rFonts w:hint="default"/>
        <w:lang w:val="en-GB" w:eastAsia="en-GB" w:bidi="en-GB"/>
      </w:rPr>
    </w:lvl>
  </w:abstractNum>
  <w:abstractNum w:abstractNumId="1194" w15:restartNumberingAfterBreak="0">
    <w:nsid w:val="6C8A458B"/>
    <w:multiLevelType w:val="hybridMultilevel"/>
    <w:tmpl w:val="4ED233A2"/>
    <w:lvl w:ilvl="0" w:tplc="208CE43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4AE825F0">
      <w:numFmt w:val="bullet"/>
      <w:lvlText w:val="•"/>
      <w:lvlJc w:val="left"/>
      <w:pPr>
        <w:ind w:left="473" w:hanging="217"/>
      </w:pPr>
      <w:rPr>
        <w:rFonts w:hint="default"/>
        <w:lang w:val="en-GB" w:eastAsia="en-GB" w:bidi="en-GB"/>
      </w:rPr>
    </w:lvl>
    <w:lvl w:ilvl="2" w:tplc="D8ACFEF0">
      <w:numFmt w:val="bullet"/>
      <w:lvlText w:val="•"/>
      <w:lvlJc w:val="left"/>
      <w:pPr>
        <w:ind w:left="646" w:hanging="217"/>
      </w:pPr>
      <w:rPr>
        <w:rFonts w:hint="default"/>
        <w:lang w:val="en-GB" w:eastAsia="en-GB" w:bidi="en-GB"/>
      </w:rPr>
    </w:lvl>
    <w:lvl w:ilvl="3" w:tplc="E750AC3C">
      <w:numFmt w:val="bullet"/>
      <w:lvlText w:val="•"/>
      <w:lvlJc w:val="left"/>
      <w:pPr>
        <w:ind w:left="819" w:hanging="217"/>
      </w:pPr>
      <w:rPr>
        <w:rFonts w:hint="default"/>
        <w:lang w:val="en-GB" w:eastAsia="en-GB" w:bidi="en-GB"/>
      </w:rPr>
    </w:lvl>
    <w:lvl w:ilvl="4" w:tplc="2F4CFB24">
      <w:numFmt w:val="bullet"/>
      <w:lvlText w:val="•"/>
      <w:lvlJc w:val="left"/>
      <w:pPr>
        <w:ind w:left="992" w:hanging="217"/>
      </w:pPr>
      <w:rPr>
        <w:rFonts w:hint="default"/>
        <w:lang w:val="en-GB" w:eastAsia="en-GB" w:bidi="en-GB"/>
      </w:rPr>
    </w:lvl>
    <w:lvl w:ilvl="5" w:tplc="1A30E6A8">
      <w:numFmt w:val="bullet"/>
      <w:lvlText w:val="•"/>
      <w:lvlJc w:val="left"/>
      <w:pPr>
        <w:ind w:left="1165" w:hanging="217"/>
      </w:pPr>
      <w:rPr>
        <w:rFonts w:hint="default"/>
        <w:lang w:val="en-GB" w:eastAsia="en-GB" w:bidi="en-GB"/>
      </w:rPr>
    </w:lvl>
    <w:lvl w:ilvl="6" w:tplc="495A7F4E">
      <w:numFmt w:val="bullet"/>
      <w:lvlText w:val="•"/>
      <w:lvlJc w:val="left"/>
      <w:pPr>
        <w:ind w:left="1338" w:hanging="217"/>
      </w:pPr>
      <w:rPr>
        <w:rFonts w:hint="default"/>
        <w:lang w:val="en-GB" w:eastAsia="en-GB" w:bidi="en-GB"/>
      </w:rPr>
    </w:lvl>
    <w:lvl w:ilvl="7" w:tplc="518E33FA">
      <w:numFmt w:val="bullet"/>
      <w:lvlText w:val="•"/>
      <w:lvlJc w:val="left"/>
      <w:pPr>
        <w:ind w:left="1511" w:hanging="217"/>
      </w:pPr>
      <w:rPr>
        <w:rFonts w:hint="default"/>
        <w:lang w:val="en-GB" w:eastAsia="en-GB" w:bidi="en-GB"/>
      </w:rPr>
    </w:lvl>
    <w:lvl w:ilvl="8" w:tplc="7AFCA7DE">
      <w:numFmt w:val="bullet"/>
      <w:lvlText w:val="•"/>
      <w:lvlJc w:val="left"/>
      <w:pPr>
        <w:ind w:left="1684" w:hanging="217"/>
      </w:pPr>
      <w:rPr>
        <w:rFonts w:hint="default"/>
        <w:lang w:val="en-GB" w:eastAsia="en-GB" w:bidi="en-GB"/>
      </w:rPr>
    </w:lvl>
  </w:abstractNum>
  <w:abstractNum w:abstractNumId="1195" w15:restartNumberingAfterBreak="0">
    <w:nsid w:val="6CB657E4"/>
    <w:multiLevelType w:val="hybridMultilevel"/>
    <w:tmpl w:val="4170B6E4"/>
    <w:lvl w:ilvl="0" w:tplc="D0607028">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4552F246">
      <w:numFmt w:val="bullet"/>
      <w:lvlText w:val="•"/>
      <w:lvlJc w:val="left"/>
      <w:pPr>
        <w:ind w:left="441" w:hanging="217"/>
      </w:pPr>
      <w:rPr>
        <w:rFonts w:hint="default"/>
        <w:lang w:val="en-GB" w:eastAsia="en-GB" w:bidi="en-GB"/>
      </w:rPr>
    </w:lvl>
    <w:lvl w:ilvl="2" w:tplc="EA8EF0B8">
      <w:numFmt w:val="bullet"/>
      <w:lvlText w:val="•"/>
      <w:lvlJc w:val="left"/>
      <w:pPr>
        <w:ind w:left="583" w:hanging="217"/>
      </w:pPr>
      <w:rPr>
        <w:rFonts w:hint="default"/>
        <w:lang w:val="en-GB" w:eastAsia="en-GB" w:bidi="en-GB"/>
      </w:rPr>
    </w:lvl>
    <w:lvl w:ilvl="3" w:tplc="7DDCCAA4">
      <w:numFmt w:val="bullet"/>
      <w:lvlText w:val="•"/>
      <w:lvlJc w:val="left"/>
      <w:pPr>
        <w:ind w:left="725" w:hanging="217"/>
      </w:pPr>
      <w:rPr>
        <w:rFonts w:hint="default"/>
        <w:lang w:val="en-GB" w:eastAsia="en-GB" w:bidi="en-GB"/>
      </w:rPr>
    </w:lvl>
    <w:lvl w:ilvl="4" w:tplc="92C070BA">
      <w:numFmt w:val="bullet"/>
      <w:lvlText w:val="•"/>
      <w:lvlJc w:val="left"/>
      <w:pPr>
        <w:ind w:left="867" w:hanging="217"/>
      </w:pPr>
      <w:rPr>
        <w:rFonts w:hint="default"/>
        <w:lang w:val="en-GB" w:eastAsia="en-GB" w:bidi="en-GB"/>
      </w:rPr>
    </w:lvl>
    <w:lvl w:ilvl="5" w:tplc="EE20F174">
      <w:numFmt w:val="bullet"/>
      <w:lvlText w:val="•"/>
      <w:lvlJc w:val="left"/>
      <w:pPr>
        <w:ind w:left="1009" w:hanging="217"/>
      </w:pPr>
      <w:rPr>
        <w:rFonts w:hint="default"/>
        <w:lang w:val="en-GB" w:eastAsia="en-GB" w:bidi="en-GB"/>
      </w:rPr>
    </w:lvl>
    <w:lvl w:ilvl="6" w:tplc="AF001836">
      <w:numFmt w:val="bullet"/>
      <w:lvlText w:val="•"/>
      <w:lvlJc w:val="left"/>
      <w:pPr>
        <w:ind w:left="1151" w:hanging="217"/>
      </w:pPr>
      <w:rPr>
        <w:rFonts w:hint="default"/>
        <w:lang w:val="en-GB" w:eastAsia="en-GB" w:bidi="en-GB"/>
      </w:rPr>
    </w:lvl>
    <w:lvl w:ilvl="7" w:tplc="0E04F88C">
      <w:numFmt w:val="bullet"/>
      <w:lvlText w:val="•"/>
      <w:lvlJc w:val="left"/>
      <w:pPr>
        <w:ind w:left="1293" w:hanging="217"/>
      </w:pPr>
      <w:rPr>
        <w:rFonts w:hint="default"/>
        <w:lang w:val="en-GB" w:eastAsia="en-GB" w:bidi="en-GB"/>
      </w:rPr>
    </w:lvl>
    <w:lvl w:ilvl="8" w:tplc="99C808D0">
      <w:numFmt w:val="bullet"/>
      <w:lvlText w:val="•"/>
      <w:lvlJc w:val="left"/>
      <w:pPr>
        <w:ind w:left="1435" w:hanging="217"/>
      </w:pPr>
      <w:rPr>
        <w:rFonts w:hint="default"/>
        <w:lang w:val="en-GB" w:eastAsia="en-GB" w:bidi="en-GB"/>
      </w:rPr>
    </w:lvl>
  </w:abstractNum>
  <w:abstractNum w:abstractNumId="1196" w15:restartNumberingAfterBreak="0">
    <w:nsid w:val="6CBC428C"/>
    <w:multiLevelType w:val="hybridMultilevel"/>
    <w:tmpl w:val="6680B740"/>
    <w:lvl w:ilvl="0" w:tplc="A7642C5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CF26934">
      <w:numFmt w:val="bullet"/>
      <w:lvlText w:val="•"/>
      <w:lvlJc w:val="left"/>
      <w:pPr>
        <w:ind w:left="892" w:hanging="217"/>
      </w:pPr>
      <w:rPr>
        <w:rFonts w:hint="default"/>
        <w:lang w:val="en-GB" w:eastAsia="en-GB" w:bidi="en-GB"/>
      </w:rPr>
    </w:lvl>
    <w:lvl w:ilvl="2" w:tplc="8C7E49F8">
      <w:numFmt w:val="bullet"/>
      <w:lvlText w:val="•"/>
      <w:lvlJc w:val="left"/>
      <w:pPr>
        <w:ind w:left="1485" w:hanging="217"/>
      </w:pPr>
      <w:rPr>
        <w:rFonts w:hint="default"/>
        <w:lang w:val="en-GB" w:eastAsia="en-GB" w:bidi="en-GB"/>
      </w:rPr>
    </w:lvl>
    <w:lvl w:ilvl="3" w:tplc="3AEE0CB6">
      <w:numFmt w:val="bullet"/>
      <w:lvlText w:val="•"/>
      <w:lvlJc w:val="left"/>
      <w:pPr>
        <w:ind w:left="2077" w:hanging="217"/>
      </w:pPr>
      <w:rPr>
        <w:rFonts w:hint="default"/>
        <w:lang w:val="en-GB" w:eastAsia="en-GB" w:bidi="en-GB"/>
      </w:rPr>
    </w:lvl>
    <w:lvl w:ilvl="4" w:tplc="E7B6C5CE">
      <w:numFmt w:val="bullet"/>
      <w:lvlText w:val="•"/>
      <w:lvlJc w:val="left"/>
      <w:pPr>
        <w:ind w:left="2670" w:hanging="217"/>
      </w:pPr>
      <w:rPr>
        <w:rFonts w:hint="default"/>
        <w:lang w:val="en-GB" w:eastAsia="en-GB" w:bidi="en-GB"/>
      </w:rPr>
    </w:lvl>
    <w:lvl w:ilvl="5" w:tplc="E618B690">
      <w:numFmt w:val="bullet"/>
      <w:lvlText w:val="•"/>
      <w:lvlJc w:val="left"/>
      <w:pPr>
        <w:ind w:left="3263" w:hanging="217"/>
      </w:pPr>
      <w:rPr>
        <w:rFonts w:hint="default"/>
        <w:lang w:val="en-GB" w:eastAsia="en-GB" w:bidi="en-GB"/>
      </w:rPr>
    </w:lvl>
    <w:lvl w:ilvl="6" w:tplc="460A79F6">
      <w:numFmt w:val="bullet"/>
      <w:lvlText w:val="•"/>
      <w:lvlJc w:val="left"/>
      <w:pPr>
        <w:ind w:left="3855" w:hanging="217"/>
      </w:pPr>
      <w:rPr>
        <w:rFonts w:hint="default"/>
        <w:lang w:val="en-GB" w:eastAsia="en-GB" w:bidi="en-GB"/>
      </w:rPr>
    </w:lvl>
    <w:lvl w:ilvl="7" w:tplc="6FAA57B6">
      <w:numFmt w:val="bullet"/>
      <w:lvlText w:val="•"/>
      <w:lvlJc w:val="left"/>
      <w:pPr>
        <w:ind w:left="4448" w:hanging="217"/>
      </w:pPr>
      <w:rPr>
        <w:rFonts w:hint="default"/>
        <w:lang w:val="en-GB" w:eastAsia="en-GB" w:bidi="en-GB"/>
      </w:rPr>
    </w:lvl>
    <w:lvl w:ilvl="8" w:tplc="53345646">
      <w:numFmt w:val="bullet"/>
      <w:lvlText w:val="•"/>
      <w:lvlJc w:val="left"/>
      <w:pPr>
        <w:ind w:left="5040" w:hanging="217"/>
      </w:pPr>
      <w:rPr>
        <w:rFonts w:hint="default"/>
        <w:lang w:val="en-GB" w:eastAsia="en-GB" w:bidi="en-GB"/>
      </w:rPr>
    </w:lvl>
  </w:abstractNum>
  <w:abstractNum w:abstractNumId="1197" w15:restartNumberingAfterBreak="0">
    <w:nsid w:val="6CC45A1B"/>
    <w:multiLevelType w:val="hybridMultilevel"/>
    <w:tmpl w:val="1B306128"/>
    <w:lvl w:ilvl="0" w:tplc="A8AAED3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A06A666">
      <w:numFmt w:val="bullet"/>
      <w:lvlText w:val="•"/>
      <w:lvlJc w:val="left"/>
      <w:pPr>
        <w:ind w:left="473" w:hanging="217"/>
      </w:pPr>
      <w:rPr>
        <w:rFonts w:hint="default"/>
        <w:lang w:val="en-GB" w:eastAsia="en-GB" w:bidi="en-GB"/>
      </w:rPr>
    </w:lvl>
    <w:lvl w:ilvl="2" w:tplc="13748F20">
      <w:numFmt w:val="bullet"/>
      <w:lvlText w:val="•"/>
      <w:lvlJc w:val="left"/>
      <w:pPr>
        <w:ind w:left="646" w:hanging="217"/>
      </w:pPr>
      <w:rPr>
        <w:rFonts w:hint="default"/>
        <w:lang w:val="en-GB" w:eastAsia="en-GB" w:bidi="en-GB"/>
      </w:rPr>
    </w:lvl>
    <w:lvl w:ilvl="3" w:tplc="5E2E90C2">
      <w:numFmt w:val="bullet"/>
      <w:lvlText w:val="•"/>
      <w:lvlJc w:val="left"/>
      <w:pPr>
        <w:ind w:left="819" w:hanging="217"/>
      </w:pPr>
      <w:rPr>
        <w:rFonts w:hint="default"/>
        <w:lang w:val="en-GB" w:eastAsia="en-GB" w:bidi="en-GB"/>
      </w:rPr>
    </w:lvl>
    <w:lvl w:ilvl="4" w:tplc="CEA08F4E">
      <w:numFmt w:val="bullet"/>
      <w:lvlText w:val="•"/>
      <w:lvlJc w:val="left"/>
      <w:pPr>
        <w:ind w:left="992" w:hanging="217"/>
      </w:pPr>
      <w:rPr>
        <w:rFonts w:hint="default"/>
        <w:lang w:val="en-GB" w:eastAsia="en-GB" w:bidi="en-GB"/>
      </w:rPr>
    </w:lvl>
    <w:lvl w:ilvl="5" w:tplc="36EC540E">
      <w:numFmt w:val="bullet"/>
      <w:lvlText w:val="•"/>
      <w:lvlJc w:val="left"/>
      <w:pPr>
        <w:ind w:left="1165" w:hanging="217"/>
      </w:pPr>
      <w:rPr>
        <w:rFonts w:hint="default"/>
        <w:lang w:val="en-GB" w:eastAsia="en-GB" w:bidi="en-GB"/>
      </w:rPr>
    </w:lvl>
    <w:lvl w:ilvl="6" w:tplc="F654747A">
      <w:numFmt w:val="bullet"/>
      <w:lvlText w:val="•"/>
      <w:lvlJc w:val="left"/>
      <w:pPr>
        <w:ind w:left="1338" w:hanging="217"/>
      </w:pPr>
      <w:rPr>
        <w:rFonts w:hint="default"/>
        <w:lang w:val="en-GB" w:eastAsia="en-GB" w:bidi="en-GB"/>
      </w:rPr>
    </w:lvl>
    <w:lvl w:ilvl="7" w:tplc="F2ECC9F8">
      <w:numFmt w:val="bullet"/>
      <w:lvlText w:val="•"/>
      <w:lvlJc w:val="left"/>
      <w:pPr>
        <w:ind w:left="1511" w:hanging="217"/>
      </w:pPr>
      <w:rPr>
        <w:rFonts w:hint="default"/>
        <w:lang w:val="en-GB" w:eastAsia="en-GB" w:bidi="en-GB"/>
      </w:rPr>
    </w:lvl>
    <w:lvl w:ilvl="8" w:tplc="D7D6B60A">
      <w:numFmt w:val="bullet"/>
      <w:lvlText w:val="•"/>
      <w:lvlJc w:val="left"/>
      <w:pPr>
        <w:ind w:left="1684" w:hanging="217"/>
      </w:pPr>
      <w:rPr>
        <w:rFonts w:hint="default"/>
        <w:lang w:val="en-GB" w:eastAsia="en-GB" w:bidi="en-GB"/>
      </w:rPr>
    </w:lvl>
  </w:abstractNum>
  <w:abstractNum w:abstractNumId="1198" w15:restartNumberingAfterBreak="0">
    <w:nsid w:val="6CCC2018"/>
    <w:multiLevelType w:val="hybridMultilevel"/>
    <w:tmpl w:val="ED4292C4"/>
    <w:lvl w:ilvl="0" w:tplc="D352799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B9EA33C">
      <w:numFmt w:val="bullet"/>
      <w:lvlText w:val="•"/>
      <w:lvlJc w:val="left"/>
      <w:pPr>
        <w:ind w:left="1061" w:hanging="217"/>
      </w:pPr>
      <w:rPr>
        <w:rFonts w:hint="default"/>
        <w:lang w:val="en-GB" w:eastAsia="en-GB" w:bidi="en-GB"/>
      </w:rPr>
    </w:lvl>
    <w:lvl w:ilvl="2" w:tplc="B802CC4C">
      <w:numFmt w:val="bullet"/>
      <w:lvlText w:val="•"/>
      <w:lvlJc w:val="left"/>
      <w:pPr>
        <w:ind w:left="1823" w:hanging="217"/>
      </w:pPr>
      <w:rPr>
        <w:rFonts w:hint="default"/>
        <w:lang w:val="en-GB" w:eastAsia="en-GB" w:bidi="en-GB"/>
      </w:rPr>
    </w:lvl>
    <w:lvl w:ilvl="3" w:tplc="27C03F22">
      <w:numFmt w:val="bullet"/>
      <w:lvlText w:val="•"/>
      <w:lvlJc w:val="left"/>
      <w:pPr>
        <w:ind w:left="2585" w:hanging="217"/>
      </w:pPr>
      <w:rPr>
        <w:rFonts w:hint="default"/>
        <w:lang w:val="en-GB" w:eastAsia="en-GB" w:bidi="en-GB"/>
      </w:rPr>
    </w:lvl>
    <w:lvl w:ilvl="4" w:tplc="54F82138">
      <w:numFmt w:val="bullet"/>
      <w:lvlText w:val="•"/>
      <w:lvlJc w:val="left"/>
      <w:pPr>
        <w:ind w:left="3346" w:hanging="217"/>
      </w:pPr>
      <w:rPr>
        <w:rFonts w:hint="default"/>
        <w:lang w:val="en-GB" w:eastAsia="en-GB" w:bidi="en-GB"/>
      </w:rPr>
    </w:lvl>
    <w:lvl w:ilvl="5" w:tplc="B378A0DE">
      <w:numFmt w:val="bullet"/>
      <w:lvlText w:val="•"/>
      <w:lvlJc w:val="left"/>
      <w:pPr>
        <w:ind w:left="4108" w:hanging="217"/>
      </w:pPr>
      <w:rPr>
        <w:rFonts w:hint="default"/>
        <w:lang w:val="en-GB" w:eastAsia="en-GB" w:bidi="en-GB"/>
      </w:rPr>
    </w:lvl>
    <w:lvl w:ilvl="6" w:tplc="042C7762">
      <w:numFmt w:val="bullet"/>
      <w:lvlText w:val="•"/>
      <w:lvlJc w:val="left"/>
      <w:pPr>
        <w:ind w:left="4870" w:hanging="217"/>
      </w:pPr>
      <w:rPr>
        <w:rFonts w:hint="default"/>
        <w:lang w:val="en-GB" w:eastAsia="en-GB" w:bidi="en-GB"/>
      </w:rPr>
    </w:lvl>
    <w:lvl w:ilvl="7" w:tplc="609CC81A">
      <w:numFmt w:val="bullet"/>
      <w:lvlText w:val="•"/>
      <w:lvlJc w:val="left"/>
      <w:pPr>
        <w:ind w:left="5631" w:hanging="217"/>
      </w:pPr>
      <w:rPr>
        <w:rFonts w:hint="default"/>
        <w:lang w:val="en-GB" w:eastAsia="en-GB" w:bidi="en-GB"/>
      </w:rPr>
    </w:lvl>
    <w:lvl w:ilvl="8" w:tplc="0ED8C22C">
      <w:numFmt w:val="bullet"/>
      <w:lvlText w:val="•"/>
      <w:lvlJc w:val="left"/>
      <w:pPr>
        <w:ind w:left="6393" w:hanging="217"/>
      </w:pPr>
      <w:rPr>
        <w:rFonts w:hint="default"/>
        <w:lang w:val="en-GB" w:eastAsia="en-GB" w:bidi="en-GB"/>
      </w:rPr>
    </w:lvl>
  </w:abstractNum>
  <w:abstractNum w:abstractNumId="1199" w15:restartNumberingAfterBreak="0">
    <w:nsid w:val="6CD4523C"/>
    <w:multiLevelType w:val="hybridMultilevel"/>
    <w:tmpl w:val="141A96F4"/>
    <w:lvl w:ilvl="0" w:tplc="938E546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0AC848C">
      <w:numFmt w:val="bullet"/>
      <w:lvlText w:val="•"/>
      <w:lvlJc w:val="left"/>
      <w:pPr>
        <w:ind w:left="467" w:hanging="217"/>
      </w:pPr>
      <w:rPr>
        <w:rFonts w:hint="default"/>
        <w:lang w:val="en-GB" w:eastAsia="en-GB" w:bidi="en-GB"/>
      </w:rPr>
    </w:lvl>
    <w:lvl w:ilvl="2" w:tplc="5226D77E">
      <w:numFmt w:val="bullet"/>
      <w:lvlText w:val="•"/>
      <w:lvlJc w:val="left"/>
      <w:pPr>
        <w:ind w:left="634" w:hanging="217"/>
      </w:pPr>
      <w:rPr>
        <w:rFonts w:hint="default"/>
        <w:lang w:val="en-GB" w:eastAsia="en-GB" w:bidi="en-GB"/>
      </w:rPr>
    </w:lvl>
    <w:lvl w:ilvl="3" w:tplc="AE6A83F2">
      <w:numFmt w:val="bullet"/>
      <w:lvlText w:val="•"/>
      <w:lvlJc w:val="left"/>
      <w:pPr>
        <w:ind w:left="802" w:hanging="217"/>
      </w:pPr>
      <w:rPr>
        <w:rFonts w:hint="default"/>
        <w:lang w:val="en-GB" w:eastAsia="en-GB" w:bidi="en-GB"/>
      </w:rPr>
    </w:lvl>
    <w:lvl w:ilvl="4" w:tplc="5DAE4D3E">
      <w:numFmt w:val="bullet"/>
      <w:lvlText w:val="•"/>
      <w:lvlJc w:val="left"/>
      <w:pPr>
        <w:ind w:left="969" w:hanging="217"/>
      </w:pPr>
      <w:rPr>
        <w:rFonts w:hint="default"/>
        <w:lang w:val="en-GB" w:eastAsia="en-GB" w:bidi="en-GB"/>
      </w:rPr>
    </w:lvl>
    <w:lvl w:ilvl="5" w:tplc="C40A7074">
      <w:numFmt w:val="bullet"/>
      <w:lvlText w:val="•"/>
      <w:lvlJc w:val="left"/>
      <w:pPr>
        <w:ind w:left="1137" w:hanging="217"/>
      </w:pPr>
      <w:rPr>
        <w:rFonts w:hint="default"/>
        <w:lang w:val="en-GB" w:eastAsia="en-GB" w:bidi="en-GB"/>
      </w:rPr>
    </w:lvl>
    <w:lvl w:ilvl="6" w:tplc="9CC4AC90">
      <w:numFmt w:val="bullet"/>
      <w:lvlText w:val="•"/>
      <w:lvlJc w:val="left"/>
      <w:pPr>
        <w:ind w:left="1304" w:hanging="217"/>
      </w:pPr>
      <w:rPr>
        <w:rFonts w:hint="default"/>
        <w:lang w:val="en-GB" w:eastAsia="en-GB" w:bidi="en-GB"/>
      </w:rPr>
    </w:lvl>
    <w:lvl w:ilvl="7" w:tplc="958EF65A">
      <w:numFmt w:val="bullet"/>
      <w:lvlText w:val="•"/>
      <w:lvlJc w:val="left"/>
      <w:pPr>
        <w:ind w:left="1471" w:hanging="217"/>
      </w:pPr>
      <w:rPr>
        <w:rFonts w:hint="default"/>
        <w:lang w:val="en-GB" w:eastAsia="en-GB" w:bidi="en-GB"/>
      </w:rPr>
    </w:lvl>
    <w:lvl w:ilvl="8" w:tplc="7EBEC18A">
      <w:numFmt w:val="bullet"/>
      <w:lvlText w:val="•"/>
      <w:lvlJc w:val="left"/>
      <w:pPr>
        <w:ind w:left="1639" w:hanging="217"/>
      </w:pPr>
      <w:rPr>
        <w:rFonts w:hint="default"/>
        <w:lang w:val="en-GB" w:eastAsia="en-GB" w:bidi="en-GB"/>
      </w:rPr>
    </w:lvl>
  </w:abstractNum>
  <w:abstractNum w:abstractNumId="1200" w15:restartNumberingAfterBreak="0">
    <w:nsid w:val="6CD7511C"/>
    <w:multiLevelType w:val="hybridMultilevel"/>
    <w:tmpl w:val="BFDAC79E"/>
    <w:lvl w:ilvl="0" w:tplc="9636FD8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C245A88">
      <w:numFmt w:val="bullet"/>
      <w:lvlText w:val="•"/>
      <w:lvlJc w:val="left"/>
      <w:pPr>
        <w:ind w:left="467" w:hanging="217"/>
      </w:pPr>
      <w:rPr>
        <w:rFonts w:hint="default"/>
        <w:lang w:val="en-GB" w:eastAsia="en-GB" w:bidi="en-GB"/>
      </w:rPr>
    </w:lvl>
    <w:lvl w:ilvl="2" w:tplc="A964FD3A">
      <w:numFmt w:val="bullet"/>
      <w:lvlText w:val="•"/>
      <w:lvlJc w:val="left"/>
      <w:pPr>
        <w:ind w:left="634" w:hanging="217"/>
      </w:pPr>
      <w:rPr>
        <w:rFonts w:hint="default"/>
        <w:lang w:val="en-GB" w:eastAsia="en-GB" w:bidi="en-GB"/>
      </w:rPr>
    </w:lvl>
    <w:lvl w:ilvl="3" w:tplc="5AD288A8">
      <w:numFmt w:val="bullet"/>
      <w:lvlText w:val="•"/>
      <w:lvlJc w:val="left"/>
      <w:pPr>
        <w:ind w:left="802" w:hanging="217"/>
      </w:pPr>
      <w:rPr>
        <w:rFonts w:hint="default"/>
        <w:lang w:val="en-GB" w:eastAsia="en-GB" w:bidi="en-GB"/>
      </w:rPr>
    </w:lvl>
    <w:lvl w:ilvl="4" w:tplc="0BD0A404">
      <w:numFmt w:val="bullet"/>
      <w:lvlText w:val="•"/>
      <w:lvlJc w:val="left"/>
      <w:pPr>
        <w:ind w:left="969" w:hanging="217"/>
      </w:pPr>
      <w:rPr>
        <w:rFonts w:hint="default"/>
        <w:lang w:val="en-GB" w:eastAsia="en-GB" w:bidi="en-GB"/>
      </w:rPr>
    </w:lvl>
    <w:lvl w:ilvl="5" w:tplc="99D4D044">
      <w:numFmt w:val="bullet"/>
      <w:lvlText w:val="•"/>
      <w:lvlJc w:val="left"/>
      <w:pPr>
        <w:ind w:left="1137" w:hanging="217"/>
      </w:pPr>
      <w:rPr>
        <w:rFonts w:hint="default"/>
        <w:lang w:val="en-GB" w:eastAsia="en-GB" w:bidi="en-GB"/>
      </w:rPr>
    </w:lvl>
    <w:lvl w:ilvl="6" w:tplc="6E1EE6EE">
      <w:numFmt w:val="bullet"/>
      <w:lvlText w:val="•"/>
      <w:lvlJc w:val="left"/>
      <w:pPr>
        <w:ind w:left="1304" w:hanging="217"/>
      </w:pPr>
      <w:rPr>
        <w:rFonts w:hint="default"/>
        <w:lang w:val="en-GB" w:eastAsia="en-GB" w:bidi="en-GB"/>
      </w:rPr>
    </w:lvl>
    <w:lvl w:ilvl="7" w:tplc="E0CCA950">
      <w:numFmt w:val="bullet"/>
      <w:lvlText w:val="•"/>
      <w:lvlJc w:val="left"/>
      <w:pPr>
        <w:ind w:left="1471" w:hanging="217"/>
      </w:pPr>
      <w:rPr>
        <w:rFonts w:hint="default"/>
        <w:lang w:val="en-GB" w:eastAsia="en-GB" w:bidi="en-GB"/>
      </w:rPr>
    </w:lvl>
    <w:lvl w:ilvl="8" w:tplc="11622AC4">
      <w:numFmt w:val="bullet"/>
      <w:lvlText w:val="•"/>
      <w:lvlJc w:val="left"/>
      <w:pPr>
        <w:ind w:left="1639" w:hanging="217"/>
      </w:pPr>
      <w:rPr>
        <w:rFonts w:hint="default"/>
        <w:lang w:val="en-GB" w:eastAsia="en-GB" w:bidi="en-GB"/>
      </w:rPr>
    </w:lvl>
  </w:abstractNum>
  <w:abstractNum w:abstractNumId="1201" w15:restartNumberingAfterBreak="0">
    <w:nsid w:val="6CDD2A96"/>
    <w:multiLevelType w:val="hybridMultilevel"/>
    <w:tmpl w:val="E690AC90"/>
    <w:lvl w:ilvl="0" w:tplc="B3E4BACA">
      <w:numFmt w:val="bullet"/>
      <w:lvlText w:val="•"/>
      <w:lvlJc w:val="left"/>
      <w:pPr>
        <w:ind w:left="304" w:hanging="217"/>
      </w:pPr>
      <w:rPr>
        <w:rFonts w:ascii="Arial" w:eastAsia="Arial" w:hAnsi="Arial" w:cs="Arial" w:hint="default"/>
        <w:color w:val="231F20"/>
        <w:spacing w:val="-17"/>
        <w:w w:val="100"/>
        <w:sz w:val="18"/>
        <w:szCs w:val="18"/>
        <w:lang w:val="en-GB" w:eastAsia="en-GB" w:bidi="en-GB"/>
      </w:rPr>
    </w:lvl>
    <w:lvl w:ilvl="1" w:tplc="50BA3E22">
      <w:numFmt w:val="bullet"/>
      <w:lvlText w:val="•"/>
      <w:lvlJc w:val="left"/>
      <w:pPr>
        <w:ind w:left="1085" w:hanging="217"/>
      </w:pPr>
      <w:rPr>
        <w:rFonts w:hint="default"/>
        <w:lang w:val="en-GB" w:eastAsia="en-GB" w:bidi="en-GB"/>
      </w:rPr>
    </w:lvl>
    <w:lvl w:ilvl="2" w:tplc="07EC3126">
      <w:numFmt w:val="bullet"/>
      <w:lvlText w:val="•"/>
      <w:lvlJc w:val="left"/>
      <w:pPr>
        <w:ind w:left="1870" w:hanging="217"/>
      </w:pPr>
      <w:rPr>
        <w:rFonts w:hint="default"/>
        <w:lang w:val="en-GB" w:eastAsia="en-GB" w:bidi="en-GB"/>
      </w:rPr>
    </w:lvl>
    <w:lvl w:ilvl="3" w:tplc="CF462C78">
      <w:numFmt w:val="bullet"/>
      <w:lvlText w:val="•"/>
      <w:lvlJc w:val="left"/>
      <w:pPr>
        <w:ind w:left="2656" w:hanging="217"/>
      </w:pPr>
      <w:rPr>
        <w:rFonts w:hint="default"/>
        <w:lang w:val="en-GB" w:eastAsia="en-GB" w:bidi="en-GB"/>
      </w:rPr>
    </w:lvl>
    <w:lvl w:ilvl="4" w:tplc="584CD83C">
      <w:numFmt w:val="bullet"/>
      <w:lvlText w:val="•"/>
      <w:lvlJc w:val="left"/>
      <w:pPr>
        <w:ind w:left="3441" w:hanging="217"/>
      </w:pPr>
      <w:rPr>
        <w:rFonts w:hint="default"/>
        <w:lang w:val="en-GB" w:eastAsia="en-GB" w:bidi="en-GB"/>
      </w:rPr>
    </w:lvl>
    <w:lvl w:ilvl="5" w:tplc="2C50455C">
      <w:numFmt w:val="bullet"/>
      <w:lvlText w:val="•"/>
      <w:lvlJc w:val="left"/>
      <w:pPr>
        <w:ind w:left="4227" w:hanging="217"/>
      </w:pPr>
      <w:rPr>
        <w:rFonts w:hint="default"/>
        <w:lang w:val="en-GB" w:eastAsia="en-GB" w:bidi="en-GB"/>
      </w:rPr>
    </w:lvl>
    <w:lvl w:ilvl="6" w:tplc="6AF48442">
      <w:numFmt w:val="bullet"/>
      <w:lvlText w:val="•"/>
      <w:lvlJc w:val="left"/>
      <w:pPr>
        <w:ind w:left="5012" w:hanging="217"/>
      </w:pPr>
      <w:rPr>
        <w:rFonts w:hint="default"/>
        <w:lang w:val="en-GB" w:eastAsia="en-GB" w:bidi="en-GB"/>
      </w:rPr>
    </w:lvl>
    <w:lvl w:ilvl="7" w:tplc="6E36A8D2">
      <w:numFmt w:val="bullet"/>
      <w:lvlText w:val="•"/>
      <w:lvlJc w:val="left"/>
      <w:pPr>
        <w:ind w:left="5797" w:hanging="217"/>
      </w:pPr>
      <w:rPr>
        <w:rFonts w:hint="default"/>
        <w:lang w:val="en-GB" w:eastAsia="en-GB" w:bidi="en-GB"/>
      </w:rPr>
    </w:lvl>
    <w:lvl w:ilvl="8" w:tplc="0A18B3E6">
      <w:numFmt w:val="bullet"/>
      <w:lvlText w:val="•"/>
      <w:lvlJc w:val="left"/>
      <w:pPr>
        <w:ind w:left="6583" w:hanging="217"/>
      </w:pPr>
      <w:rPr>
        <w:rFonts w:hint="default"/>
        <w:lang w:val="en-GB" w:eastAsia="en-GB" w:bidi="en-GB"/>
      </w:rPr>
    </w:lvl>
  </w:abstractNum>
  <w:abstractNum w:abstractNumId="1202" w15:restartNumberingAfterBreak="0">
    <w:nsid w:val="6D180E3D"/>
    <w:multiLevelType w:val="hybridMultilevel"/>
    <w:tmpl w:val="CD6C22F0"/>
    <w:lvl w:ilvl="0" w:tplc="C94E3B0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17488A76">
      <w:numFmt w:val="bullet"/>
      <w:lvlText w:val="•"/>
      <w:lvlJc w:val="left"/>
      <w:pPr>
        <w:ind w:left="892" w:hanging="217"/>
      </w:pPr>
      <w:rPr>
        <w:rFonts w:hint="default"/>
        <w:lang w:val="en-GB" w:eastAsia="en-GB" w:bidi="en-GB"/>
      </w:rPr>
    </w:lvl>
    <w:lvl w:ilvl="2" w:tplc="578C028A">
      <w:numFmt w:val="bullet"/>
      <w:lvlText w:val="•"/>
      <w:lvlJc w:val="left"/>
      <w:pPr>
        <w:ind w:left="1485" w:hanging="217"/>
      </w:pPr>
      <w:rPr>
        <w:rFonts w:hint="default"/>
        <w:lang w:val="en-GB" w:eastAsia="en-GB" w:bidi="en-GB"/>
      </w:rPr>
    </w:lvl>
    <w:lvl w:ilvl="3" w:tplc="E898A61E">
      <w:numFmt w:val="bullet"/>
      <w:lvlText w:val="•"/>
      <w:lvlJc w:val="left"/>
      <w:pPr>
        <w:ind w:left="2077" w:hanging="217"/>
      </w:pPr>
      <w:rPr>
        <w:rFonts w:hint="default"/>
        <w:lang w:val="en-GB" w:eastAsia="en-GB" w:bidi="en-GB"/>
      </w:rPr>
    </w:lvl>
    <w:lvl w:ilvl="4" w:tplc="35C8876E">
      <w:numFmt w:val="bullet"/>
      <w:lvlText w:val="•"/>
      <w:lvlJc w:val="left"/>
      <w:pPr>
        <w:ind w:left="2670" w:hanging="217"/>
      </w:pPr>
      <w:rPr>
        <w:rFonts w:hint="default"/>
        <w:lang w:val="en-GB" w:eastAsia="en-GB" w:bidi="en-GB"/>
      </w:rPr>
    </w:lvl>
    <w:lvl w:ilvl="5" w:tplc="FF16AA54">
      <w:numFmt w:val="bullet"/>
      <w:lvlText w:val="•"/>
      <w:lvlJc w:val="left"/>
      <w:pPr>
        <w:ind w:left="3263" w:hanging="217"/>
      </w:pPr>
      <w:rPr>
        <w:rFonts w:hint="default"/>
        <w:lang w:val="en-GB" w:eastAsia="en-GB" w:bidi="en-GB"/>
      </w:rPr>
    </w:lvl>
    <w:lvl w:ilvl="6" w:tplc="C68ED3B4">
      <w:numFmt w:val="bullet"/>
      <w:lvlText w:val="•"/>
      <w:lvlJc w:val="left"/>
      <w:pPr>
        <w:ind w:left="3855" w:hanging="217"/>
      </w:pPr>
      <w:rPr>
        <w:rFonts w:hint="default"/>
        <w:lang w:val="en-GB" w:eastAsia="en-GB" w:bidi="en-GB"/>
      </w:rPr>
    </w:lvl>
    <w:lvl w:ilvl="7" w:tplc="2E721CF4">
      <w:numFmt w:val="bullet"/>
      <w:lvlText w:val="•"/>
      <w:lvlJc w:val="left"/>
      <w:pPr>
        <w:ind w:left="4448" w:hanging="217"/>
      </w:pPr>
      <w:rPr>
        <w:rFonts w:hint="default"/>
        <w:lang w:val="en-GB" w:eastAsia="en-GB" w:bidi="en-GB"/>
      </w:rPr>
    </w:lvl>
    <w:lvl w:ilvl="8" w:tplc="185CD9BC">
      <w:numFmt w:val="bullet"/>
      <w:lvlText w:val="•"/>
      <w:lvlJc w:val="left"/>
      <w:pPr>
        <w:ind w:left="5040" w:hanging="217"/>
      </w:pPr>
      <w:rPr>
        <w:rFonts w:hint="default"/>
        <w:lang w:val="en-GB" w:eastAsia="en-GB" w:bidi="en-GB"/>
      </w:rPr>
    </w:lvl>
  </w:abstractNum>
  <w:abstractNum w:abstractNumId="1203" w15:restartNumberingAfterBreak="0">
    <w:nsid w:val="6D314CA8"/>
    <w:multiLevelType w:val="hybridMultilevel"/>
    <w:tmpl w:val="2C56565A"/>
    <w:lvl w:ilvl="0" w:tplc="259E6AF2">
      <w:numFmt w:val="bullet"/>
      <w:lvlText w:val="•"/>
      <w:lvlJc w:val="left"/>
      <w:pPr>
        <w:ind w:left="307" w:hanging="217"/>
      </w:pPr>
      <w:rPr>
        <w:rFonts w:ascii="Arial" w:eastAsia="Arial" w:hAnsi="Arial" w:cs="Arial" w:hint="default"/>
        <w:color w:val="231F20"/>
        <w:spacing w:val="-10"/>
        <w:w w:val="100"/>
        <w:sz w:val="18"/>
        <w:szCs w:val="18"/>
        <w:lang w:val="en-GB" w:eastAsia="en-GB" w:bidi="en-GB"/>
      </w:rPr>
    </w:lvl>
    <w:lvl w:ilvl="1" w:tplc="2E280398">
      <w:numFmt w:val="bullet"/>
      <w:lvlText w:val="•"/>
      <w:lvlJc w:val="left"/>
      <w:pPr>
        <w:ind w:left="473" w:hanging="217"/>
      </w:pPr>
      <w:rPr>
        <w:rFonts w:hint="default"/>
        <w:lang w:val="en-GB" w:eastAsia="en-GB" w:bidi="en-GB"/>
      </w:rPr>
    </w:lvl>
    <w:lvl w:ilvl="2" w:tplc="30326212">
      <w:numFmt w:val="bullet"/>
      <w:lvlText w:val="•"/>
      <w:lvlJc w:val="left"/>
      <w:pPr>
        <w:ind w:left="646" w:hanging="217"/>
      </w:pPr>
      <w:rPr>
        <w:rFonts w:hint="default"/>
        <w:lang w:val="en-GB" w:eastAsia="en-GB" w:bidi="en-GB"/>
      </w:rPr>
    </w:lvl>
    <w:lvl w:ilvl="3" w:tplc="EBD4AF76">
      <w:numFmt w:val="bullet"/>
      <w:lvlText w:val="•"/>
      <w:lvlJc w:val="left"/>
      <w:pPr>
        <w:ind w:left="819" w:hanging="217"/>
      </w:pPr>
      <w:rPr>
        <w:rFonts w:hint="default"/>
        <w:lang w:val="en-GB" w:eastAsia="en-GB" w:bidi="en-GB"/>
      </w:rPr>
    </w:lvl>
    <w:lvl w:ilvl="4" w:tplc="B2CE334A">
      <w:numFmt w:val="bullet"/>
      <w:lvlText w:val="•"/>
      <w:lvlJc w:val="left"/>
      <w:pPr>
        <w:ind w:left="993" w:hanging="217"/>
      </w:pPr>
      <w:rPr>
        <w:rFonts w:hint="default"/>
        <w:lang w:val="en-GB" w:eastAsia="en-GB" w:bidi="en-GB"/>
      </w:rPr>
    </w:lvl>
    <w:lvl w:ilvl="5" w:tplc="22988EA6">
      <w:numFmt w:val="bullet"/>
      <w:lvlText w:val="•"/>
      <w:lvlJc w:val="left"/>
      <w:pPr>
        <w:ind w:left="1166" w:hanging="217"/>
      </w:pPr>
      <w:rPr>
        <w:rFonts w:hint="default"/>
        <w:lang w:val="en-GB" w:eastAsia="en-GB" w:bidi="en-GB"/>
      </w:rPr>
    </w:lvl>
    <w:lvl w:ilvl="6" w:tplc="DE8432E0">
      <w:numFmt w:val="bullet"/>
      <w:lvlText w:val="•"/>
      <w:lvlJc w:val="left"/>
      <w:pPr>
        <w:ind w:left="1339" w:hanging="217"/>
      </w:pPr>
      <w:rPr>
        <w:rFonts w:hint="default"/>
        <w:lang w:val="en-GB" w:eastAsia="en-GB" w:bidi="en-GB"/>
      </w:rPr>
    </w:lvl>
    <w:lvl w:ilvl="7" w:tplc="33EA0D48">
      <w:numFmt w:val="bullet"/>
      <w:lvlText w:val="•"/>
      <w:lvlJc w:val="left"/>
      <w:pPr>
        <w:ind w:left="1513" w:hanging="217"/>
      </w:pPr>
      <w:rPr>
        <w:rFonts w:hint="default"/>
        <w:lang w:val="en-GB" w:eastAsia="en-GB" w:bidi="en-GB"/>
      </w:rPr>
    </w:lvl>
    <w:lvl w:ilvl="8" w:tplc="F8BC0D0E">
      <w:numFmt w:val="bullet"/>
      <w:lvlText w:val="•"/>
      <w:lvlJc w:val="left"/>
      <w:pPr>
        <w:ind w:left="1686" w:hanging="217"/>
      </w:pPr>
      <w:rPr>
        <w:rFonts w:hint="default"/>
        <w:lang w:val="en-GB" w:eastAsia="en-GB" w:bidi="en-GB"/>
      </w:rPr>
    </w:lvl>
  </w:abstractNum>
  <w:abstractNum w:abstractNumId="1204" w15:restartNumberingAfterBreak="0">
    <w:nsid w:val="6D342CBD"/>
    <w:multiLevelType w:val="hybridMultilevel"/>
    <w:tmpl w:val="FF4CA0FA"/>
    <w:lvl w:ilvl="0" w:tplc="1350656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A644283E">
      <w:numFmt w:val="bullet"/>
      <w:lvlText w:val="•"/>
      <w:lvlJc w:val="left"/>
      <w:pPr>
        <w:ind w:left="473" w:hanging="217"/>
      </w:pPr>
      <w:rPr>
        <w:rFonts w:hint="default"/>
        <w:lang w:val="en-GB" w:eastAsia="en-GB" w:bidi="en-GB"/>
      </w:rPr>
    </w:lvl>
    <w:lvl w:ilvl="2" w:tplc="5BBA894A">
      <w:numFmt w:val="bullet"/>
      <w:lvlText w:val="•"/>
      <w:lvlJc w:val="left"/>
      <w:pPr>
        <w:ind w:left="646" w:hanging="217"/>
      </w:pPr>
      <w:rPr>
        <w:rFonts w:hint="default"/>
        <w:lang w:val="en-GB" w:eastAsia="en-GB" w:bidi="en-GB"/>
      </w:rPr>
    </w:lvl>
    <w:lvl w:ilvl="3" w:tplc="59E2919C">
      <w:numFmt w:val="bullet"/>
      <w:lvlText w:val="•"/>
      <w:lvlJc w:val="left"/>
      <w:pPr>
        <w:ind w:left="819" w:hanging="217"/>
      </w:pPr>
      <w:rPr>
        <w:rFonts w:hint="default"/>
        <w:lang w:val="en-GB" w:eastAsia="en-GB" w:bidi="en-GB"/>
      </w:rPr>
    </w:lvl>
    <w:lvl w:ilvl="4" w:tplc="999C8886">
      <w:numFmt w:val="bullet"/>
      <w:lvlText w:val="•"/>
      <w:lvlJc w:val="left"/>
      <w:pPr>
        <w:ind w:left="992" w:hanging="217"/>
      </w:pPr>
      <w:rPr>
        <w:rFonts w:hint="default"/>
        <w:lang w:val="en-GB" w:eastAsia="en-GB" w:bidi="en-GB"/>
      </w:rPr>
    </w:lvl>
    <w:lvl w:ilvl="5" w:tplc="27101BBC">
      <w:numFmt w:val="bullet"/>
      <w:lvlText w:val="•"/>
      <w:lvlJc w:val="left"/>
      <w:pPr>
        <w:ind w:left="1165" w:hanging="217"/>
      </w:pPr>
      <w:rPr>
        <w:rFonts w:hint="default"/>
        <w:lang w:val="en-GB" w:eastAsia="en-GB" w:bidi="en-GB"/>
      </w:rPr>
    </w:lvl>
    <w:lvl w:ilvl="6" w:tplc="43D833D0">
      <w:numFmt w:val="bullet"/>
      <w:lvlText w:val="•"/>
      <w:lvlJc w:val="left"/>
      <w:pPr>
        <w:ind w:left="1338" w:hanging="217"/>
      </w:pPr>
      <w:rPr>
        <w:rFonts w:hint="default"/>
        <w:lang w:val="en-GB" w:eastAsia="en-GB" w:bidi="en-GB"/>
      </w:rPr>
    </w:lvl>
    <w:lvl w:ilvl="7" w:tplc="2EB0697E">
      <w:numFmt w:val="bullet"/>
      <w:lvlText w:val="•"/>
      <w:lvlJc w:val="left"/>
      <w:pPr>
        <w:ind w:left="1511" w:hanging="217"/>
      </w:pPr>
      <w:rPr>
        <w:rFonts w:hint="default"/>
        <w:lang w:val="en-GB" w:eastAsia="en-GB" w:bidi="en-GB"/>
      </w:rPr>
    </w:lvl>
    <w:lvl w:ilvl="8" w:tplc="6B3A0E80">
      <w:numFmt w:val="bullet"/>
      <w:lvlText w:val="•"/>
      <w:lvlJc w:val="left"/>
      <w:pPr>
        <w:ind w:left="1684" w:hanging="217"/>
      </w:pPr>
      <w:rPr>
        <w:rFonts w:hint="default"/>
        <w:lang w:val="en-GB" w:eastAsia="en-GB" w:bidi="en-GB"/>
      </w:rPr>
    </w:lvl>
  </w:abstractNum>
  <w:abstractNum w:abstractNumId="1205" w15:restartNumberingAfterBreak="0">
    <w:nsid w:val="6D577343"/>
    <w:multiLevelType w:val="hybridMultilevel"/>
    <w:tmpl w:val="265E4CD4"/>
    <w:lvl w:ilvl="0" w:tplc="ECB6B27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D784B9C">
      <w:numFmt w:val="bullet"/>
      <w:lvlText w:val="•"/>
      <w:lvlJc w:val="left"/>
      <w:pPr>
        <w:ind w:left="677" w:hanging="217"/>
      </w:pPr>
      <w:rPr>
        <w:rFonts w:hint="default"/>
        <w:lang w:val="en-GB" w:eastAsia="en-GB" w:bidi="en-GB"/>
      </w:rPr>
    </w:lvl>
    <w:lvl w:ilvl="2" w:tplc="F87E8360">
      <w:numFmt w:val="bullet"/>
      <w:lvlText w:val="•"/>
      <w:lvlJc w:val="left"/>
      <w:pPr>
        <w:ind w:left="1054" w:hanging="217"/>
      </w:pPr>
      <w:rPr>
        <w:rFonts w:hint="default"/>
        <w:lang w:val="en-GB" w:eastAsia="en-GB" w:bidi="en-GB"/>
      </w:rPr>
    </w:lvl>
    <w:lvl w:ilvl="3" w:tplc="9C3C48A0">
      <w:numFmt w:val="bullet"/>
      <w:lvlText w:val="•"/>
      <w:lvlJc w:val="left"/>
      <w:pPr>
        <w:ind w:left="1431" w:hanging="217"/>
      </w:pPr>
      <w:rPr>
        <w:rFonts w:hint="default"/>
        <w:lang w:val="en-GB" w:eastAsia="en-GB" w:bidi="en-GB"/>
      </w:rPr>
    </w:lvl>
    <w:lvl w:ilvl="4" w:tplc="89502B4A">
      <w:numFmt w:val="bullet"/>
      <w:lvlText w:val="•"/>
      <w:lvlJc w:val="left"/>
      <w:pPr>
        <w:ind w:left="1808" w:hanging="217"/>
      </w:pPr>
      <w:rPr>
        <w:rFonts w:hint="default"/>
        <w:lang w:val="en-GB" w:eastAsia="en-GB" w:bidi="en-GB"/>
      </w:rPr>
    </w:lvl>
    <w:lvl w:ilvl="5" w:tplc="01CADEEC">
      <w:numFmt w:val="bullet"/>
      <w:lvlText w:val="•"/>
      <w:lvlJc w:val="left"/>
      <w:pPr>
        <w:ind w:left="2186" w:hanging="217"/>
      </w:pPr>
      <w:rPr>
        <w:rFonts w:hint="default"/>
        <w:lang w:val="en-GB" w:eastAsia="en-GB" w:bidi="en-GB"/>
      </w:rPr>
    </w:lvl>
    <w:lvl w:ilvl="6" w:tplc="970C241A">
      <w:numFmt w:val="bullet"/>
      <w:lvlText w:val="•"/>
      <w:lvlJc w:val="left"/>
      <w:pPr>
        <w:ind w:left="2563" w:hanging="217"/>
      </w:pPr>
      <w:rPr>
        <w:rFonts w:hint="default"/>
        <w:lang w:val="en-GB" w:eastAsia="en-GB" w:bidi="en-GB"/>
      </w:rPr>
    </w:lvl>
    <w:lvl w:ilvl="7" w:tplc="79E22EDE">
      <w:numFmt w:val="bullet"/>
      <w:lvlText w:val="•"/>
      <w:lvlJc w:val="left"/>
      <w:pPr>
        <w:ind w:left="2940" w:hanging="217"/>
      </w:pPr>
      <w:rPr>
        <w:rFonts w:hint="default"/>
        <w:lang w:val="en-GB" w:eastAsia="en-GB" w:bidi="en-GB"/>
      </w:rPr>
    </w:lvl>
    <w:lvl w:ilvl="8" w:tplc="5A92E7B8">
      <w:numFmt w:val="bullet"/>
      <w:lvlText w:val="•"/>
      <w:lvlJc w:val="left"/>
      <w:pPr>
        <w:ind w:left="3317" w:hanging="217"/>
      </w:pPr>
      <w:rPr>
        <w:rFonts w:hint="default"/>
        <w:lang w:val="en-GB" w:eastAsia="en-GB" w:bidi="en-GB"/>
      </w:rPr>
    </w:lvl>
  </w:abstractNum>
  <w:abstractNum w:abstractNumId="1206" w15:restartNumberingAfterBreak="0">
    <w:nsid w:val="6D7A1EE4"/>
    <w:multiLevelType w:val="hybridMultilevel"/>
    <w:tmpl w:val="75BE5BB2"/>
    <w:lvl w:ilvl="0" w:tplc="3F749730">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9D94AA96">
      <w:numFmt w:val="bullet"/>
      <w:lvlText w:val="•"/>
      <w:lvlJc w:val="left"/>
      <w:pPr>
        <w:ind w:left="473" w:hanging="217"/>
      </w:pPr>
      <w:rPr>
        <w:rFonts w:hint="default"/>
        <w:lang w:val="en-GB" w:eastAsia="en-GB" w:bidi="en-GB"/>
      </w:rPr>
    </w:lvl>
    <w:lvl w:ilvl="2" w:tplc="E1E6E700">
      <w:numFmt w:val="bullet"/>
      <w:lvlText w:val="•"/>
      <w:lvlJc w:val="left"/>
      <w:pPr>
        <w:ind w:left="646" w:hanging="217"/>
      </w:pPr>
      <w:rPr>
        <w:rFonts w:hint="default"/>
        <w:lang w:val="en-GB" w:eastAsia="en-GB" w:bidi="en-GB"/>
      </w:rPr>
    </w:lvl>
    <w:lvl w:ilvl="3" w:tplc="98CE7B48">
      <w:numFmt w:val="bullet"/>
      <w:lvlText w:val="•"/>
      <w:lvlJc w:val="left"/>
      <w:pPr>
        <w:ind w:left="819" w:hanging="217"/>
      </w:pPr>
      <w:rPr>
        <w:rFonts w:hint="default"/>
        <w:lang w:val="en-GB" w:eastAsia="en-GB" w:bidi="en-GB"/>
      </w:rPr>
    </w:lvl>
    <w:lvl w:ilvl="4" w:tplc="1862CF16">
      <w:numFmt w:val="bullet"/>
      <w:lvlText w:val="•"/>
      <w:lvlJc w:val="left"/>
      <w:pPr>
        <w:ind w:left="992" w:hanging="217"/>
      </w:pPr>
      <w:rPr>
        <w:rFonts w:hint="default"/>
        <w:lang w:val="en-GB" w:eastAsia="en-GB" w:bidi="en-GB"/>
      </w:rPr>
    </w:lvl>
    <w:lvl w:ilvl="5" w:tplc="0C16FBF8">
      <w:numFmt w:val="bullet"/>
      <w:lvlText w:val="•"/>
      <w:lvlJc w:val="left"/>
      <w:pPr>
        <w:ind w:left="1165" w:hanging="217"/>
      </w:pPr>
      <w:rPr>
        <w:rFonts w:hint="default"/>
        <w:lang w:val="en-GB" w:eastAsia="en-GB" w:bidi="en-GB"/>
      </w:rPr>
    </w:lvl>
    <w:lvl w:ilvl="6" w:tplc="F75C3278">
      <w:numFmt w:val="bullet"/>
      <w:lvlText w:val="•"/>
      <w:lvlJc w:val="left"/>
      <w:pPr>
        <w:ind w:left="1338" w:hanging="217"/>
      </w:pPr>
      <w:rPr>
        <w:rFonts w:hint="default"/>
        <w:lang w:val="en-GB" w:eastAsia="en-GB" w:bidi="en-GB"/>
      </w:rPr>
    </w:lvl>
    <w:lvl w:ilvl="7" w:tplc="76226AC4">
      <w:numFmt w:val="bullet"/>
      <w:lvlText w:val="•"/>
      <w:lvlJc w:val="left"/>
      <w:pPr>
        <w:ind w:left="1511" w:hanging="217"/>
      </w:pPr>
      <w:rPr>
        <w:rFonts w:hint="default"/>
        <w:lang w:val="en-GB" w:eastAsia="en-GB" w:bidi="en-GB"/>
      </w:rPr>
    </w:lvl>
    <w:lvl w:ilvl="8" w:tplc="5FA4788E">
      <w:numFmt w:val="bullet"/>
      <w:lvlText w:val="•"/>
      <w:lvlJc w:val="left"/>
      <w:pPr>
        <w:ind w:left="1684" w:hanging="217"/>
      </w:pPr>
      <w:rPr>
        <w:rFonts w:hint="default"/>
        <w:lang w:val="en-GB" w:eastAsia="en-GB" w:bidi="en-GB"/>
      </w:rPr>
    </w:lvl>
  </w:abstractNum>
  <w:abstractNum w:abstractNumId="1207" w15:restartNumberingAfterBreak="0">
    <w:nsid w:val="6D92539C"/>
    <w:multiLevelType w:val="hybridMultilevel"/>
    <w:tmpl w:val="A0149060"/>
    <w:lvl w:ilvl="0" w:tplc="49EC5B2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9B83964">
      <w:numFmt w:val="bullet"/>
      <w:lvlText w:val="•"/>
      <w:lvlJc w:val="left"/>
      <w:pPr>
        <w:ind w:left="473" w:hanging="217"/>
      </w:pPr>
      <w:rPr>
        <w:rFonts w:hint="default"/>
        <w:lang w:val="en-GB" w:eastAsia="en-GB" w:bidi="en-GB"/>
      </w:rPr>
    </w:lvl>
    <w:lvl w:ilvl="2" w:tplc="42A05E1E">
      <w:numFmt w:val="bullet"/>
      <w:lvlText w:val="•"/>
      <w:lvlJc w:val="left"/>
      <w:pPr>
        <w:ind w:left="646" w:hanging="217"/>
      </w:pPr>
      <w:rPr>
        <w:rFonts w:hint="default"/>
        <w:lang w:val="en-GB" w:eastAsia="en-GB" w:bidi="en-GB"/>
      </w:rPr>
    </w:lvl>
    <w:lvl w:ilvl="3" w:tplc="F9DAA1B2">
      <w:numFmt w:val="bullet"/>
      <w:lvlText w:val="•"/>
      <w:lvlJc w:val="left"/>
      <w:pPr>
        <w:ind w:left="819" w:hanging="217"/>
      </w:pPr>
      <w:rPr>
        <w:rFonts w:hint="default"/>
        <w:lang w:val="en-GB" w:eastAsia="en-GB" w:bidi="en-GB"/>
      </w:rPr>
    </w:lvl>
    <w:lvl w:ilvl="4" w:tplc="BCAED3FA">
      <w:numFmt w:val="bullet"/>
      <w:lvlText w:val="•"/>
      <w:lvlJc w:val="left"/>
      <w:pPr>
        <w:ind w:left="992" w:hanging="217"/>
      </w:pPr>
      <w:rPr>
        <w:rFonts w:hint="default"/>
        <w:lang w:val="en-GB" w:eastAsia="en-GB" w:bidi="en-GB"/>
      </w:rPr>
    </w:lvl>
    <w:lvl w:ilvl="5" w:tplc="9C18E6AA">
      <w:numFmt w:val="bullet"/>
      <w:lvlText w:val="•"/>
      <w:lvlJc w:val="left"/>
      <w:pPr>
        <w:ind w:left="1165" w:hanging="217"/>
      </w:pPr>
      <w:rPr>
        <w:rFonts w:hint="default"/>
        <w:lang w:val="en-GB" w:eastAsia="en-GB" w:bidi="en-GB"/>
      </w:rPr>
    </w:lvl>
    <w:lvl w:ilvl="6" w:tplc="994EDE80">
      <w:numFmt w:val="bullet"/>
      <w:lvlText w:val="•"/>
      <w:lvlJc w:val="left"/>
      <w:pPr>
        <w:ind w:left="1338" w:hanging="217"/>
      </w:pPr>
      <w:rPr>
        <w:rFonts w:hint="default"/>
        <w:lang w:val="en-GB" w:eastAsia="en-GB" w:bidi="en-GB"/>
      </w:rPr>
    </w:lvl>
    <w:lvl w:ilvl="7" w:tplc="5FB651E4">
      <w:numFmt w:val="bullet"/>
      <w:lvlText w:val="•"/>
      <w:lvlJc w:val="left"/>
      <w:pPr>
        <w:ind w:left="1511" w:hanging="217"/>
      </w:pPr>
      <w:rPr>
        <w:rFonts w:hint="default"/>
        <w:lang w:val="en-GB" w:eastAsia="en-GB" w:bidi="en-GB"/>
      </w:rPr>
    </w:lvl>
    <w:lvl w:ilvl="8" w:tplc="EB84A712">
      <w:numFmt w:val="bullet"/>
      <w:lvlText w:val="•"/>
      <w:lvlJc w:val="left"/>
      <w:pPr>
        <w:ind w:left="1684" w:hanging="217"/>
      </w:pPr>
      <w:rPr>
        <w:rFonts w:hint="default"/>
        <w:lang w:val="en-GB" w:eastAsia="en-GB" w:bidi="en-GB"/>
      </w:rPr>
    </w:lvl>
  </w:abstractNum>
  <w:abstractNum w:abstractNumId="1208" w15:restartNumberingAfterBreak="0">
    <w:nsid w:val="6D9826B5"/>
    <w:multiLevelType w:val="hybridMultilevel"/>
    <w:tmpl w:val="5798F5F8"/>
    <w:lvl w:ilvl="0" w:tplc="EA846AE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0A2BAC0">
      <w:numFmt w:val="bullet"/>
      <w:lvlText w:val="•"/>
      <w:lvlJc w:val="left"/>
      <w:pPr>
        <w:ind w:left="439" w:hanging="217"/>
      </w:pPr>
      <w:rPr>
        <w:rFonts w:hint="default"/>
        <w:lang w:val="en-GB" w:eastAsia="en-GB" w:bidi="en-GB"/>
      </w:rPr>
    </w:lvl>
    <w:lvl w:ilvl="2" w:tplc="D9A2A300">
      <w:numFmt w:val="bullet"/>
      <w:lvlText w:val="•"/>
      <w:lvlJc w:val="left"/>
      <w:pPr>
        <w:ind w:left="578" w:hanging="217"/>
      </w:pPr>
      <w:rPr>
        <w:rFonts w:hint="default"/>
        <w:lang w:val="en-GB" w:eastAsia="en-GB" w:bidi="en-GB"/>
      </w:rPr>
    </w:lvl>
    <w:lvl w:ilvl="3" w:tplc="B0FEA84E">
      <w:numFmt w:val="bullet"/>
      <w:lvlText w:val="•"/>
      <w:lvlJc w:val="left"/>
      <w:pPr>
        <w:ind w:left="717" w:hanging="217"/>
      </w:pPr>
      <w:rPr>
        <w:rFonts w:hint="default"/>
        <w:lang w:val="en-GB" w:eastAsia="en-GB" w:bidi="en-GB"/>
      </w:rPr>
    </w:lvl>
    <w:lvl w:ilvl="4" w:tplc="46B4EF00">
      <w:numFmt w:val="bullet"/>
      <w:lvlText w:val="•"/>
      <w:lvlJc w:val="left"/>
      <w:pPr>
        <w:ind w:left="856" w:hanging="217"/>
      </w:pPr>
      <w:rPr>
        <w:rFonts w:hint="default"/>
        <w:lang w:val="en-GB" w:eastAsia="en-GB" w:bidi="en-GB"/>
      </w:rPr>
    </w:lvl>
    <w:lvl w:ilvl="5" w:tplc="67C8C3DC">
      <w:numFmt w:val="bullet"/>
      <w:lvlText w:val="•"/>
      <w:lvlJc w:val="left"/>
      <w:pPr>
        <w:ind w:left="995" w:hanging="217"/>
      </w:pPr>
      <w:rPr>
        <w:rFonts w:hint="default"/>
        <w:lang w:val="en-GB" w:eastAsia="en-GB" w:bidi="en-GB"/>
      </w:rPr>
    </w:lvl>
    <w:lvl w:ilvl="6" w:tplc="449A3AF2">
      <w:numFmt w:val="bullet"/>
      <w:lvlText w:val="•"/>
      <w:lvlJc w:val="left"/>
      <w:pPr>
        <w:ind w:left="1134" w:hanging="217"/>
      </w:pPr>
      <w:rPr>
        <w:rFonts w:hint="default"/>
        <w:lang w:val="en-GB" w:eastAsia="en-GB" w:bidi="en-GB"/>
      </w:rPr>
    </w:lvl>
    <w:lvl w:ilvl="7" w:tplc="C318F1CA">
      <w:numFmt w:val="bullet"/>
      <w:lvlText w:val="•"/>
      <w:lvlJc w:val="left"/>
      <w:pPr>
        <w:ind w:left="1273" w:hanging="217"/>
      </w:pPr>
      <w:rPr>
        <w:rFonts w:hint="default"/>
        <w:lang w:val="en-GB" w:eastAsia="en-GB" w:bidi="en-GB"/>
      </w:rPr>
    </w:lvl>
    <w:lvl w:ilvl="8" w:tplc="561CE2BC">
      <w:numFmt w:val="bullet"/>
      <w:lvlText w:val="•"/>
      <w:lvlJc w:val="left"/>
      <w:pPr>
        <w:ind w:left="1412" w:hanging="217"/>
      </w:pPr>
      <w:rPr>
        <w:rFonts w:hint="default"/>
        <w:lang w:val="en-GB" w:eastAsia="en-GB" w:bidi="en-GB"/>
      </w:rPr>
    </w:lvl>
  </w:abstractNum>
  <w:abstractNum w:abstractNumId="1209" w15:restartNumberingAfterBreak="0">
    <w:nsid w:val="6D9E0C65"/>
    <w:multiLevelType w:val="hybridMultilevel"/>
    <w:tmpl w:val="662C293C"/>
    <w:lvl w:ilvl="0" w:tplc="487070CA">
      <w:numFmt w:val="bullet"/>
      <w:lvlText w:val="•"/>
      <w:lvlJc w:val="left"/>
      <w:pPr>
        <w:ind w:left="305" w:hanging="217"/>
      </w:pPr>
      <w:rPr>
        <w:rFonts w:ascii="Arial" w:eastAsia="Arial" w:hAnsi="Arial" w:cs="Arial" w:hint="default"/>
        <w:color w:val="231F20"/>
        <w:spacing w:val="-13"/>
        <w:w w:val="100"/>
        <w:sz w:val="18"/>
        <w:szCs w:val="18"/>
        <w:lang w:val="en-GB" w:eastAsia="en-GB" w:bidi="en-GB"/>
      </w:rPr>
    </w:lvl>
    <w:lvl w:ilvl="1" w:tplc="797AA1E2">
      <w:numFmt w:val="bullet"/>
      <w:lvlText w:val="•"/>
      <w:lvlJc w:val="left"/>
      <w:pPr>
        <w:ind w:left="441" w:hanging="217"/>
      </w:pPr>
      <w:rPr>
        <w:rFonts w:hint="default"/>
        <w:lang w:val="en-GB" w:eastAsia="en-GB" w:bidi="en-GB"/>
      </w:rPr>
    </w:lvl>
    <w:lvl w:ilvl="2" w:tplc="00EE1898">
      <w:numFmt w:val="bullet"/>
      <w:lvlText w:val="•"/>
      <w:lvlJc w:val="left"/>
      <w:pPr>
        <w:ind w:left="583" w:hanging="217"/>
      </w:pPr>
      <w:rPr>
        <w:rFonts w:hint="default"/>
        <w:lang w:val="en-GB" w:eastAsia="en-GB" w:bidi="en-GB"/>
      </w:rPr>
    </w:lvl>
    <w:lvl w:ilvl="3" w:tplc="C0505EBA">
      <w:numFmt w:val="bullet"/>
      <w:lvlText w:val="•"/>
      <w:lvlJc w:val="left"/>
      <w:pPr>
        <w:ind w:left="725" w:hanging="217"/>
      </w:pPr>
      <w:rPr>
        <w:rFonts w:hint="default"/>
        <w:lang w:val="en-GB" w:eastAsia="en-GB" w:bidi="en-GB"/>
      </w:rPr>
    </w:lvl>
    <w:lvl w:ilvl="4" w:tplc="762E30DA">
      <w:numFmt w:val="bullet"/>
      <w:lvlText w:val="•"/>
      <w:lvlJc w:val="left"/>
      <w:pPr>
        <w:ind w:left="867" w:hanging="217"/>
      </w:pPr>
      <w:rPr>
        <w:rFonts w:hint="default"/>
        <w:lang w:val="en-GB" w:eastAsia="en-GB" w:bidi="en-GB"/>
      </w:rPr>
    </w:lvl>
    <w:lvl w:ilvl="5" w:tplc="8AB26536">
      <w:numFmt w:val="bullet"/>
      <w:lvlText w:val="•"/>
      <w:lvlJc w:val="left"/>
      <w:pPr>
        <w:ind w:left="1009" w:hanging="217"/>
      </w:pPr>
      <w:rPr>
        <w:rFonts w:hint="default"/>
        <w:lang w:val="en-GB" w:eastAsia="en-GB" w:bidi="en-GB"/>
      </w:rPr>
    </w:lvl>
    <w:lvl w:ilvl="6" w:tplc="32F06C76">
      <w:numFmt w:val="bullet"/>
      <w:lvlText w:val="•"/>
      <w:lvlJc w:val="left"/>
      <w:pPr>
        <w:ind w:left="1151" w:hanging="217"/>
      </w:pPr>
      <w:rPr>
        <w:rFonts w:hint="default"/>
        <w:lang w:val="en-GB" w:eastAsia="en-GB" w:bidi="en-GB"/>
      </w:rPr>
    </w:lvl>
    <w:lvl w:ilvl="7" w:tplc="442C9EBE">
      <w:numFmt w:val="bullet"/>
      <w:lvlText w:val="•"/>
      <w:lvlJc w:val="left"/>
      <w:pPr>
        <w:ind w:left="1293" w:hanging="217"/>
      </w:pPr>
      <w:rPr>
        <w:rFonts w:hint="default"/>
        <w:lang w:val="en-GB" w:eastAsia="en-GB" w:bidi="en-GB"/>
      </w:rPr>
    </w:lvl>
    <w:lvl w:ilvl="8" w:tplc="75A6F694">
      <w:numFmt w:val="bullet"/>
      <w:lvlText w:val="•"/>
      <w:lvlJc w:val="left"/>
      <w:pPr>
        <w:ind w:left="1435" w:hanging="217"/>
      </w:pPr>
      <w:rPr>
        <w:rFonts w:hint="default"/>
        <w:lang w:val="en-GB" w:eastAsia="en-GB" w:bidi="en-GB"/>
      </w:rPr>
    </w:lvl>
  </w:abstractNum>
  <w:abstractNum w:abstractNumId="1210" w15:restartNumberingAfterBreak="0">
    <w:nsid w:val="6DB87051"/>
    <w:multiLevelType w:val="multilevel"/>
    <w:tmpl w:val="971C9F4E"/>
    <w:lvl w:ilvl="0">
      <w:start w:val="1"/>
      <w:numFmt w:val="decimal"/>
      <w:lvlText w:val="%1"/>
      <w:lvlJc w:val="left"/>
      <w:pPr>
        <w:ind w:left="930" w:hanging="720"/>
      </w:pPr>
      <w:rPr>
        <w:rFonts w:hint="default"/>
        <w:lang w:val="en-GB" w:eastAsia="en-GB" w:bidi="en-GB"/>
      </w:rPr>
    </w:lvl>
    <w:lvl w:ilvl="1">
      <w:start w:val="3"/>
      <w:numFmt w:val="decimal"/>
      <w:lvlText w:val="%1.%2"/>
      <w:lvlJc w:val="left"/>
      <w:pPr>
        <w:ind w:left="930" w:hanging="720"/>
      </w:pPr>
      <w:rPr>
        <w:rFonts w:hint="default"/>
        <w:lang w:val="en-GB" w:eastAsia="en-GB" w:bidi="en-GB"/>
      </w:rPr>
    </w:lvl>
    <w:lvl w:ilvl="2">
      <w:start w:val="1"/>
      <w:numFmt w:val="decimal"/>
      <w:lvlText w:val="%1.%2.%3"/>
      <w:lvlJc w:val="left"/>
      <w:pPr>
        <w:ind w:left="930" w:hanging="720"/>
      </w:pPr>
      <w:rPr>
        <w:rFonts w:hint="default"/>
        <w:b/>
        <w:bCs/>
        <w:spacing w:val="-14"/>
        <w:w w:val="100"/>
        <w:lang w:val="en-GB" w:eastAsia="en-GB" w:bidi="en-GB"/>
      </w:rPr>
    </w:lvl>
    <w:lvl w:ilvl="3">
      <w:numFmt w:val="bullet"/>
      <w:lvlText w:val="•"/>
      <w:lvlJc w:val="left"/>
      <w:pPr>
        <w:ind w:left="3839" w:hanging="720"/>
      </w:pPr>
      <w:rPr>
        <w:rFonts w:hint="default"/>
        <w:lang w:val="en-GB" w:eastAsia="en-GB" w:bidi="en-GB"/>
      </w:rPr>
    </w:lvl>
    <w:lvl w:ilvl="4">
      <w:numFmt w:val="bullet"/>
      <w:lvlText w:val="•"/>
      <w:lvlJc w:val="left"/>
      <w:pPr>
        <w:ind w:left="4806" w:hanging="720"/>
      </w:pPr>
      <w:rPr>
        <w:rFonts w:hint="default"/>
        <w:lang w:val="en-GB" w:eastAsia="en-GB" w:bidi="en-GB"/>
      </w:rPr>
    </w:lvl>
    <w:lvl w:ilvl="5">
      <w:numFmt w:val="bullet"/>
      <w:lvlText w:val="•"/>
      <w:lvlJc w:val="left"/>
      <w:pPr>
        <w:ind w:left="5772" w:hanging="720"/>
      </w:pPr>
      <w:rPr>
        <w:rFonts w:hint="default"/>
        <w:lang w:val="en-GB" w:eastAsia="en-GB" w:bidi="en-GB"/>
      </w:rPr>
    </w:lvl>
    <w:lvl w:ilvl="6">
      <w:numFmt w:val="bullet"/>
      <w:lvlText w:val="•"/>
      <w:lvlJc w:val="left"/>
      <w:pPr>
        <w:ind w:left="6739" w:hanging="720"/>
      </w:pPr>
      <w:rPr>
        <w:rFonts w:hint="default"/>
        <w:lang w:val="en-GB" w:eastAsia="en-GB" w:bidi="en-GB"/>
      </w:rPr>
    </w:lvl>
    <w:lvl w:ilvl="7">
      <w:numFmt w:val="bullet"/>
      <w:lvlText w:val="•"/>
      <w:lvlJc w:val="left"/>
      <w:pPr>
        <w:ind w:left="7705" w:hanging="720"/>
      </w:pPr>
      <w:rPr>
        <w:rFonts w:hint="default"/>
        <w:lang w:val="en-GB" w:eastAsia="en-GB" w:bidi="en-GB"/>
      </w:rPr>
    </w:lvl>
    <w:lvl w:ilvl="8">
      <w:numFmt w:val="bullet"/>
      <w:lvlText w:val="•"/>
      <w:lvlJc w:val="left"/>
      <w:pPr>
        <w:ind w:left="8672" w:hanging="720"/>
      </w:pPr>
      <w:rPr>
        <w:rFonts w:hint="default"/>
        <w:lang w:val="en-GB" w:eastAsia="en-GB" w:bidi="en-GB"/>
      </w:rPr>
    </w:lvl>
  </w:abstractNum>
  <w:abstractNum w:abstractNumId="1211" w15:restartNumberingAfterBreak="0">
    <w:nsid w:val="6DBA5001"/>
    <w:multiLevelType w:val="hybridMultilevel"/>
    <w:tmpl w:val="125C9674"/>
    <w:lvl w:ilvl="0" w:tplc="63F06E8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C0D8D6F0">
      <w:numFmt w:val="bullet"/>
      <w:lvlText w:val="•"/>
      <w:lvlJc w:val="left"/>
      <w:pPr>
        <w:ind w:left="473" w:hanging="217"/>
      </w:pPr>
      <w:rPr>
        <w:rFonts w:hint="default"/>
        <w:lang w:val="en-GB" w:eastAsia="en-GB" w:bidi="en-GB"/>
      </w:rPr>
    </w:lvl>
    <w:lvl w:ilvl="2" w:tplc="6B02BC6A">
      <w:numFmt w:val="bullet"/>
      <w:lvlText w:val="•"/>
      <w:lvlJc w:val="left"/>
      <w:pPr>
        <w:ind w:left="646" w:hanging="217"/>
      </w:pPr>
      <w:rPr>
        <w:rFonts w:hint="default"/>
        <w:lang w:val="en-GB" w:eastAsia="en-GB" w:bidi="en-GB"/>
      </w:rPr>
    </w:lvl>
    <w:lvl w:ilvl="3" w:tplc="C4CC5EA8">
      <w:numFmt w:val="bullet"/>
      <w:lvlText w:val="•"/>
      <w:lvlJc w:val="left"/>
      <w:pPr>
        <w:ind w:left="819" w:hanging="217"/>
      </w:pPr>
      <w:rPr>
        <w:rFonts w:hint="default"/>
        <w:lang w:val="en-GB" w:eastAsia="en-GB" w:bidi="en-GB"/>
      </w:rPr>
    </w:lvl>
    <w:lvl w:ilvl="4" w:tplc="EE4ED4DE">
      <w:numFmt w:val="bullet"/>
      <w:lvlText w:val="•"/>
      <w:lvlJc w:val="left"/>
      <w:pPr>
        <w:ind w:left="992" w:hanging="217"/>
      </w:pPr>
      <w:rPr>
        <w:rFonts w:hint="default"/>
        <w:lang w:val="en-GB" w:eastAsia="en-GB" w:bidi="en-GB"/>
      </w:rPr>
    </w:lvl>
    <w:lvl w:ilvl="5" w:tplc="E954D156">
      <w:numFmt w:val="bullet"/>
      <w:lvlText w:val="•"/>
      <w:lvlJc w:val="left"/>
      <w:pPr>
        <w:ind w:left="1165" w:hanging="217"/>
      </w:pPr>
      <w:rPr>
        <w:rFonts w:hint="default"/>
        <w:lang w:val="en-GB" w:eastAsia="en-GB" w:bidi="en-GB"/>
      </w:rPr>
    </w:lvl>
    <w:lvl w:ilvl="6" w:tplc="60FADDCE">
      <w:numFmt w:val="bullet"/>
      <w:lvlText w:val="•"/>
      <w:lvlJc w:val="left"/>
      <w:pPr>
        <w:ind w:left="1338" w:hanging="217"/>
      </w:pPr>
      <w:rPr>
        <w:rFonts w:hint="default"/>
        <w:lang w:val="en-GB" w:eastAsia="en-GB" w:bidi="en-GB"/>
      </w:rPr>
    </w:lvl>
    <w:lvl w:ilvl="7" w:tplc="AC50E854">
      <w:numFmt w:val="bullet"/>
      <w:lvlText w:val="•"/>
      <w:lvlJc w:val="left"/>
      <w:pPr>
        <w:ind w:left="1511" w:hanging="217"/>
      </w:pPr>
      <w:rPr>
        <w:rFonts w:hint="default"/>
        <w:lang w:val="en-GB" w:eastAsia="en-GB" w:bidi="en-GB"/>
      </w:rPr>
    </w:lvl>
    <w:lvl w:ilvl="8" w:tplc="7F6A7D04">
      <w:numFmt w:val="bullet"/>
      <w:lvlText w:val="•"/>
      <w:lvlJc w:val="left"/>
      <w:pPr>
        <w:ind w:left="1684" w:hanging="217"/>
      </w:pPr>
      <w:rPr>
        <w:rFonts w:hint="default"/>
        <w:lang w:val="en-GB" w:eastAsia="en-GB" w:bidi="en-GB"/>
      </w:rPr>
    </w:lvl>
  </w:abstractNum>
  <w:abstractNum w:abstractNumId="1212" w15:restartNumberingAfterBreak="0">
    <w:nsid w:val="6DC73FDB"/>
    <w:multiLevelType w:val="hybridMultilevel"/>
    <w:tmpl w:val="D46819B4"/>
    <w:lvl w:ilvl="0" w:tplc="87B25136">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E9D2B20A">
      <w:numFmt w:val="bullet"/>
      <w:lvlText w:val="•"/>
      <w:lvlJc w:val="left"/>
      <w:pPr>
        <w:ind w:left="1348" w:hanging="114"/>
      </w:pPr>
      <w:rPr>
        <w:rFonts w:hint="default"/>
        <w:lang w:val="en-GB" w:eastAsia="en-GB" w:bidi="en-GB"/>
      </w:rPr>
    </w:lvl>
    <w:lvl w:ilvl="2" w:tplc="CF92AD0C">
      <w:numFmt w:val="bullet"/>
      <w:lvlText w:val="•"/>
      <w:lvlJc w:val="left"/>
      <w:pPr>
        <w:ind w:left="2377" w:hanging="114"/>
      </w:pPr>
      <w:rPr>
        <w:rFonts w:hint="default"/>
        <w:lang w:val="en-GB" w:eastAsia="en-GB" w:bidi="en-GB"/>
      </w:rPr>
    </w:lvl>
    <w:lvl w:ilvl="3" w:tplc="3C805372">
      <w:numFmt w:val="bullet"/>
      <w:lvlText w:val="•"/>
      <w:lvlJc w:val="left"/>
      <w:pPr>
        <w:ind w:left="3405" w:hanging="114"/>
      </w:pPr>
      <w:rPr>
        <w:rFonts w:hint="default"/>
        <w:lang w:val="en-GB" w:eastAsia="en-GB" w:bidi="en-GB"/>
      </w:rPr>
    </w:lvl>
    <w:lvl w:ilvl="4" w:tplc="9832220C">
      <w:numFmt w:val="bullet"/>
      <w:lvlText w:val="•"/>
      <w:lvlJc w:val="left"/>
      <w:pPr>
        <w:ind w:left="4434" w:hanging="114"/>
      </w:pPr>
      <w:rPr>
        <w:rFonts w:hint="default"/>
        <w:lang w:val="en-GB" w:eastAsia="en-GB" w:bidi="en-GB"/>
      </w:rPr>
    </w:lvl>
    <w:lvl w:ilvl="5" w:tplc="A39E5E6C">
      <w:numFmt w:val="bullet"/>
      <w:lvlText w:val="•"/>
      <w:lvlJc w:val="left"/>
      <w:pPr>
        <w:ind w:left="5462" w:hanging="114"/>
      </w:pPr>
      <w:rPr>
        <w:rFonts w:hint="default"/>
        <w:lang w:val="en-GB" w:eastAsia="en-GB" w:bidi="en-GB"/>
      </w:rPr>
    </w:lvl>
    <w:lvl w:ilvl="6" w:tplc="AF5AAF3A">
      <w:numFmt w:val="bullet"/>
      <w:lvlText w:val="•"/>
      <w:lvlJc w:val="left"/>
      <w:pPr>
        <w:ind w:left="6491" w:hanging="114"/>
      </w:pPr>
      <w:rPr>
        <w:rFonts w:hint="default"/>
        <w:lang w:val="en-GB" w:eastAsia="en-GB" w:bidi="en-GB"/>
      </w:rPr>
    </w:lvl>
    <w:lvl w:ilvl="7" w:tplc="BF6C0B54">
      <w:numFmt w:val="bullet"/>
      <w:lvlText w:val="•"/>
      <w:lvlJc w:val="left"/>
      <w:pPr>
        <w:ind w:left="7519" w:hanging="114"/>
      </w:pPr>
      <w:rPr>
        <w:rFonts w:hint="default"/>
        <w:lang w:val="en-GB" w:eastAsia="en-GB" w:bidi="en-GB"/>
      </w:rPr>
    </w:lvl>
    <w:lvl w:ilvl="8" w:tplc="D5D8369E">
      <w:numFmt w:val="bullet"/>
      <w:lvlText w:val="•"/>
      <w:lvlJc w:val="left"/>
      <w:pPr>
        <w:ind w:left="8548" w:hanging="114"/>
      </w:pPr>
      <w:rPr>
        <w:rFonts w:hint="default"/>
        <w:lang w:val="en-GB" w:eastAsia="en-GB" w:bidi="en-GB"/>
      </w:rPr>
    </w:lvl>
  </w:abstractNum>
  <w:abstractNum w:abstractNumId="1213" w15:restartNumberingAfterBreak="0">
    <w:nsid w:val="6DFB0100"/>
    <w:multiLevelType w:val="hybridMultilevel"/>
    <w:tmpl w:val="F3DAB2FE"/>
    <w:lvl w:ilvl="0" w:tplc="516C0C40">
      <w:numFmt w:val="bullet"/>
      <w:lvlText w:val="•"/>
      <w:lvlJc w:val="left"/>
      <w:pPr>
        <w:ind w:left="303" w:hanging="217"/>
      </w:pPr>
      <w:rPr>
        <w:rFonts w:ascii="Arial" w:eastAsia="Arial" w:hAnsi="Arial" w:cs="Arial" w:hint="default"/>
        <w:color w:val="231F20"/>
        <w:w w:val="102"/>
        <w:sz w:val="17"/>
        <w:szCs w:val="17"/>
        <w:lang w:val="en-GB" w:eastAsia="en-GB" w:bidi="en-GB"/>
      </w:rPr>
    </w:lvl>
    <w:lvl w:ilvl="1" w:tplc="6298DC1E">
      <w:numFmt w:val="bullet"/>
      <w:lvlText w:val="•"/>
      <w:lvlJc w:val="left"/>
      <w:pPr>
        <w:ind w:left="439" w:hanging="217"/>
      </w:pPr>
      <w:rPr>
        <w:rFonts w:hint="default"/>
        <w:lang w:val="en-GB" w:eastAsia="en-GB" w:bidi="en-GB"/>
      </w:rPr>
    </w:lvl>
    <w:lvl w:ilvl="2" w:tplc="FCDC3170">
      <w:numFmt w:val="bullet"/>
      <w:lvlText w:val="•"/>
      <w:lvlJc w:val="left"/>
      <w:pPr>
        <w:ind w:left="578" w:hanging="217"/>
      </w:pPr>
      <w:rPr>
        <w:rFonts w:hint="default"/>
        <w:lang w:val="en-GB" w:eastAsia="en-GB" w:bidi="en-GB"/>
      </w:rPr>
    </w:lvl>
    <w:lvl w:ilvl="3" w:tplc="12AA813A">
      <w:numFmt w:val="bullet"/>
      <w:lvlText w:val="•"/>
      <w:lvlJc w:val="left"/>
      <w:pPr>
        <w:ind w:left="717" w:hanging="217"/>
      </w:pPr>
      <w:rPr>
        <w:rFonts w:hint="default"/>
        <w:lang w:val="en-GB" w:eastAsia="en-GB" w:bidi="en-GB"/>
      </w:rPr>
    </w:lvl>
    <w:lvl w:ilvl="4" w:tplc="13063C92">
      <w:numFmt w:val="bullet"/>
      <w:lvlText w:val="•"/>
      <w:lvlJc w:val="left"/>
      <w:pPr>
        <w:ind w:left="856" w:hanging="217"/>
      </w:pPr>
      <w:rPr>
        <w:rFonts w:hint="default"/>
        <w:lang w:val="en-GB" w:eastAsia="en-GB" w:bidi="en-GB"/>
      </w:rPr>
    </w:lvl>
    <w:lvl w:ilvl="5" w:tplc="249AADF2">
      <w:numFmt w:val="bullet"/>
      <w:lvlText w:val="•"/>
      <w:lvlJc w:val="left"/>
      <w:pPr>
        <w:ind w:left="995" w:hanging="217"/>
      </w:pPr>
      <w:rPr>
        <w:rFonts w:hint="default"/>
        <w:lang w:val="en-GB" w:eastAsia="en-GB" w:bidi="en-GB"/>
      </w:rPr>
    </w:lvl>
    <w:lvl w:ilvl="6" w:tplc="C24C9874">
      <w:numFmt w:val="bullet"/>
      <w:lvlText w:val="•"/>
      <w:lvlJc w:val="left"/>
      <w:pPr>
        <w:ind w:left="1134" w:hanging="217"/>
      </w:pPr>
      <w:rPr>
        <w:rFonts w:hint="default"/>
        <w:lang w:val="en-GB" w:eastAsia="en-GB" w:bidi="en-GB"/>
      </w:rPr>
    </w:lvl>
    <w:lvl w:ilvl="7" w:tplc="20C0C54C">
      <w:numFmt w:val="bullet"/>
      <w:lvlText w:val="•"/>
      <w:lvlJc w:val="left"/>
      <w:pPr>
        <w:ind w:left="1273" w:hanging="217"/>
      </w:pPr>
      <w:rPr>
        <w:rFonts w:hint="default"/>
        <w:lang w:val="en-GB" w:eastAsia="en-GB" w:bidi="en-GB"/>
      </w:rPr>
    </w:lvl>
    <w:lvl w:ilvl="8" w:tplc="A184E73A">
      <w:numFmt w:val="bullet"/>
      <w:lvlText w:val="•"/>
      <w:lvlJc w:val="left"/>
      <w:pPr>
        <w:ind w:left="1412" w:hanging="217"/>
      </w:pPr>
      <w:rPr>
        <w:rFonts w:hint="default"/>
        <w:lang w:val="en-GB" w:eastAsia="en-GB" w:bidi="en-GB"/>
      </w:rPr>
    </w:lvl>
  </w:abstractNum>
  <w:abstractNum w:abstractNumId="1214" w15:restartNumberingAfterBreak="0">
    <w:nsid w:val="6E005285"/>
    <w:multiLevelType w:val="hybridMultilevel"/>
    <w:tmpl w:val="F0D26FDA"/>
    <w:lvl w:ilvl="0" w:tplc="6C12589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0C4D22E">
      <w:numFmt w:val="bullet"/>
      <w:lvlText w:val="•"/>
      <w:lvlJc w:val="left"/>
      <w:pPr>
        <w:ind w:left="473" w:hanging="217"/>
      </w:pPr>
      <w:rPr>
        <w:rFonts w:hint="default"/>
        <w:lang w:val="en-GB" w:eastAsia="en-GB" w:bidi="en-GB"/>
      </w:rPr>
    </w:lvl>
    <w:lvl w:ilvl="2" w:tplc="DD989DA8">
      <w:numFmt w:val="bullet"/>
      <w:lvlText w:val="•"/>
      <w:lvlJc w:val="left"/>
      <w:pPr>
        <w:ind w:left="646" w:hanging="217"/>
      </w:pPr>
      <w:rPr>
        <w:rFonts w:hint="default"/>
        <w:lang w:val="en-GB" w:eastAsia="en-GB" w:bidi="en-GB"/>
      </w:rPr>
    </w:lvl>
    <w:lvl w:ilvl="3" w:tplc="A67A1B00">
      <w:numFmt w:val="bullet"/>
      <w:lvlText w:val="•"/>
      <w:lvlJc w:val="left"/>
      <w:pPr>
        <w:ind w:left="819" w:hanging="217"/>
      </w:pPr>
      <w:rPr>
        <w:rFonts w:hint="default"/>
        <w:lang w:val="en-GB" w:eastAsia="en-GB" w:bidi="en-GB"/>
      </w:rPr>
    </w:lvl>
    <w:lvl w:ilvl="4" w:tplc="3410AF84">
      <w:numFmt w:val="bullet"/>
      <w:lvlText w:val="•"/>
      <w:lvlJc w:val="left"/>
      <w:pPr>
        <w:ind w:left="992" w:hanging="217"/>
      </w:pPr>
      <w:rPr>
        <w:rFonts w:hint="default"/>
        <w:lang w:val="en-GB" w:eastAsia="en-GB" w:bidi="en-GB"/>
      </w:rPr>
    </w:lvl>
    <w:lvl w:ilvl="5" w:tplc="D10A1A54">
      <w:numFmt w:val="bullet"/>
      <w:lvlText w:val="•"/>
      <w:lvlJc w:val="left"/>
      <w:pPr>
        <w:ind w:left="1165" w:hanging="217"/>
      </w:pPr>
      <w:rPr>
        <w:rFonts w:hint="default"/>
        <w:lang w:val="en-GB" w:eastAsia="en-GB" w:bidi="en-GB"/>
      </w:rPr>
    </w:lvl>
    <w:lvl w:ilvl="6" w:tplc="8CEE04AA">
      <w:numFmt w:val="bullet"/>
      <w:lvlText w:val="•"/>
      <w:lvlJc w:val="left"/>
      <w:pPr>
        <w:ind w:left="1338" w:hanging="217"/>
      </w:pPr>
      <w:rPr>
        <w:rFonts w:hint="default"/>
        <w:lang w:val="en-GB" w:eastAsia="en-GB" w:bidi="en-GB"/>
      </w:rPr>
    </w:lvl>
    <w:lvl w:ilvl="7" w:tplc="3FC4D078">
      <w:numFmt w:val="bullet"/>
      <w:lvlText w:val="•"/>
      <w:lvlJc w:val="left"/>
      <w:pPr>
        <w:ind w:left="1511" w:hanging="217"/>
      </w:pPr>
      <w:rPr>
        <w:rFonts w:hint="default"/>
        <w:lang w:val="en-GB" w:eastAsia="en-GB" w:bidi="en-GB"/>
      </w:rPr>
    </w:lvl>
    <w:lvl w:ilvl="8" w:tplc="04C42CBA">
      <w:numFmt w:val="bullet"/>
      <w:lvlText w:val="•"/>
      <w:lvlJc w:val="left"/>
      <w:pPr>
        <w:ind w:left="1684" w:hanging="217"/>
      </w:pPr>
      <w:rPr>
        <w:rFonts w:hint="default"/>
        <w:lang w:val="en-GB" w:eastAsia="en-GB" w:bidi="en-GB"/>
      </w:rPr>
    </w:lvl>
  </w:abstractNum>
  <w:abstractNum w:abstractNumId="1215" w15:restartNumberingAfterBreak="0">
    <w:nsid w:val="6E476199"/>
    <w:multiLevelType w:val="hybridMultilevel"/>
    <w:tmpl w:val="E2AC5D0C"/>
    <w:lvl w:ilvl="0" w:tplc="1F3E182A">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43E40512">
      <w:numFmt w:val="bullet"/>
      <w:lvlText w:val="•"/>
      <w:lvlJc w:val="left"/>
      <w:pPr>
        <w:ind w:left="473" w:hanging="217"/>
      </w:pPr>
      <w:rPr>
        <w:rFonts w:hint="default"/>
        <w:lang w:val="en-GB" w:eastAsia="en-GB" w:bidi="en-GB"/>
      </w:rPr>
    </w:lvl>
    <w:lvl w:ilvl="2" w:tplc="054475DA">
      <w:numFmt w:val="bullet"/>
      <w:lvlText w:val="•"/>
      <w:lvlJc w:val="left"/>
      <w:pPr>
        <w:ind w:left="646" w:hanging="217"/>
      </w:pPr>
      <w:rPr>
        <w:rFonts w:hint="default"/>
        <w:lang w:val="en-GB" w:eastAsia="en-GB" w:bidi="en-GB"/>
      </w:rPr>
    </w:lvl>
    <w:lvl w:ilvl="3" w:tplc="B554E262">
      <w:numFmt w:val="bullet"/>
      <w:lvlText w:val="•"/>
      <w:lvlJc w:val="left"/>
      <w:pPr>
        <w:ind w:left="819" w:hanging="217"/>
      </w:pPr>
      <w:rPr>
        <w:rFonts w:hint="default"/>
        <w:lang w:val="en-GB" w:eastAsia="en-GB" w:bidi="en-GB"/>
      </w:rPr>
    </w:lvl>
    <w:lvl w:ilvl="4" w:tplc="748A3CD0">
      <w:numFmt w:val="bullet"/>
      <w:lvlText w:val="•"/>
      <w:lvlJc w:val="left"/>
      <w:pPr>
        <w:ind w:left="992" w:hanging="217"/>
      </w:pPr>
      <w:rPr>
        <w:rFonts w:hint="default"/>
        <w:lang w:val="en-GB" w:eastAsia="en-GB" w:bidi="en-GB"/>
      </w:rPr>
    </w:lvl>
    <w:lvl w:ilvl="5" w:tplc="577A774C">
      <w:numFmt w:val="bullet"/>
      <w:lvlText w:val="•"/>
      <w:lvlJc w:val="left"/>
      <w:pPr>
        <w:ind w:left="1165" w:hanging="217"/>
      </w:pPr>
      <w:rPr>
        <w:rFonts w:hint="default"/>
        <w:lang w:val="en-GB" w:eastAsia="en-GB" w:bidi="en-GB"/>
      </w:rPr>
    </w:lvl>
    <w:lvl w:ilvl="6" w:tplc="29086D2C">
      <w:numFmt w:val="bullet"/>
      <w:lvlText w:val="•"/>
      <w:lvlJc w:val="left"/>
      <w:pPr>
        <w:ind w:left="1338" w:hanging="217"/>
      </w:pPr>
      <w:rPr>
        <w:rFonts w:hint="default"/>
        <w:lang w:val="en-GB" w:eastAsia="en-GB" w:bidi="en-GB"/>
      </w:rPr>
    </w:lvl>
    <w:lvl w:ilvl="7" w:tplc="BCF2475C">
      <w:numFmt w:val="bullet"/>
      <w:lvlText w:val="•"/>
      <w:lvlJc w:val="left"/>
      <w:pPr>
        <w:ind w:left="1511" w:hanging="217"/>
      </w:pPr>
      <w:rPr>
        <w:rFonts w:hint="default"/>
        <w:lang w:val="en-GB" w:eastAsia="en-GB" w:bidi="en-GB"/>
      </w:rPr>
    </w:lvl>
    <w:lvl w:ilvl="8" w:tplc="FB966086">
      <w:numFmt w:val="bullet"/>
      <w:lvlText w:val="•"/>
      <w:lvlJc w:val="left"/>
      <w:pPr>
        <w:ind w:left="1684" w:hanging="217"/>
      </w:pPr>
      <w:rPr>
        <w:rFonts w:hint="default"/>
        <w:lang w:val="en-GB" w:eastAsia="en-GB" w:bidi="en-GB"/>
      </w:rPr>
    </w:lvl>
  </w:abstractNum>
  <w:abstractNum w:abstractNumId="1216" w15:restartNumberingAfterBreak="0">
    <w:nsid w:val="6E4E7424"/>
    <w:multiLevelType w:val="hybridMultilevel"/>
    <w:tmpl w:val="9C2259E0"/>
    <w:lvl w:ilvl="0" w:tplc="50B4964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3210123C">
      <w:numFmt w:val="bullet"/>
      <w:lvlText w:val="•"/>
      <w:lvlJc w:val="left"/>
      <w:pPr>
        <w:ind w:left="892" w:hanging="217"/>
      </w:pPr>
      <w:rPr>
        <w:rFonts w:hint="default"/>
        <w:lang w:val="en-GB" w:eastAsia="en-GB" w:bidi="en-GB"/>
      </w:rPr>
    </w:lvl>
    <w:lvl w:ilvl="2" w:tplc="0332E2B6">
      <w:numFmt w:val="bullet"/>
      <w:lvlText w:val="•"/>
      <w:lvlJc w:val="left"/>
      <w:pPr>
        <w:ind w:left="1485" w:hanging="217"/>
      </w:pPr>
      <w:rPr>
        <w:rFonts w:hint="default"/>
        <w:lang w:val="en-GB" w:eastAsia="en-GB" w:bidi="en-GB"/>
      </w:rPr>
    </w:lvl>
    <w:lvl w:ilvl="3" w:tplc="136A1946">
      <w:numFmt w:val="bullet"/>
      <w:lvlText w:val="•"/>
      <w:lvlJc w:val="left"/>
      <w:pPr>
        <w:ind w:left="2077" w:hanging="217"/>
      </w:pPr>
      <w:rPr>
        <w:rFonts w:hint="default"/>
        <w:lang w:val="en-GB" w:eastAsia="en-GB" w:bidi="en-GB"/>
      </w:rPr>
    </w:lvl>
    <w:lvl w:ilvl="4" w:tplc="0C1626DC">
      <w:numFmt w:val="bullet"/>
      <w:lvlText w:val="•"/>
      <w:lvlJc w:val="left"/>
      <w:pPr>
        <w:ind w:left="2670" w:hanging="217"/>
      </w:pPr>
      <w:rPr>
        <w:rFonts w:hint="default"/>
        <w:lang w:val="en-GB" w:eastAsia="en-GB" w:bidi="en-GB"/>
      </w:rPr>
    </w:lvl>
    <w:lvl w:ilvl="5" w:tplc="2F60FB8A">
      <w:numFmt w:val="bullet"/>
      <w:lvlText w:val="•"/>
      <w:lvlJc w:val="left"/>
      <w:pPr>
        <w:ind w:left="3263" w:hanging="217"/>
      </w:pPr>
      <w:rPr>
        <w:rFonts w:hint="default"/>
        <w:lang w:val="en-GB" w:eastAsia="en-GB" w:bidi="en-GB"/>
      </w:rPr>
    </w:lvl>
    <w:lvl w:ilvl="6" w:tplc="AB30CC36">
      <w:numFmt w:val="bullet"/>
      <w:lvlText w:val="•"/>
      <w:lvlJc w:val="left"/>
      <w:pPr>
        <w:ind w:left="3855" w:hanging="217"/>
      </w:pPr>
      <w:rPr>
        <w:rFonts w:hint="default"/>
        <w:lang w:val="en-GB" w:eastAsia="en-GB" w:bidi="en-GB"/>
      </w:rPr>
    </w:lvl>
    <w:lvl w:ilvl="7" w:tplc="CE56362A">
      <w:numFmt w:val="bullet"/>
      <w:lvlText w:val="•"/>
      <w:lvlJc w:val="left"/>
      <w:pPr>
        <w:ind w:left="4448" w:hanging="217"/>
      </w:pPr>
      <w:rPr>
        <w:rFonts w:hint="default"/>
        <w:lang w:val="en-GB" w:eastAsia="en-GB" w:bidi="en-GB"/>
      </w:rPr>
    </w:lvl>
    <w:lvl w:ilvl="8" w:tplc="49A0163C">
      <w:numFmt w:val="bullet"/>
      <w:lvlText w:val="•"/>
      <w:lvlJc w:val="left"/>
      <w:pPr>
        <w:ind w:left="5040" w:hanging="217"/>
      </w:pPr>
      <w:rPr>
        <w:rFonts w:hint="default"/>
        <w:lang w:val="en-GB" w:eastAsia="en-GB" w:bidi="en-GB"/>
      </w:rPr>
    </w:lvl>
  </w:abstractNum>
  <w:abstractNum w:abstractNumId="1217" w15:restartNumberingAfterBreak="0">
    <w:nsid w:val="6E68691E"/>
    <w:multiLevelType w:val="hybridMultilevel"/>
    <w:tmpl w:val="F63297EE"/>
    <w:lvl w:ilvl="0" w:tplc="2D1CDE6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5BA021C">
      <w:numFmt w:val="bullet"/>
      <w:lvlText w:val="•"/>
      <w:lvlJc w:val="left"/>
      <w:pPr>
        <w:ind w:left="473" w:hanging="217"/>
      </w:pPr>
      <w:rPr>
        <w:rFonts w:hint="default"/>
        <w:lang w:val="en-GB" w:eastAsia="en-GB" w:bidi="en-GB"/>
      </w:rPr>
    </w:lvl>
    <w:lvl w:ilvl="2" w:tplc="2FAE9128">
      <w:numFmt w:val="bullet"/>
      <w:lvlText w:val="•"/>
      <w:lvlJc w:val="left"/>
      <w:pPr>
        <w:ind w:left="646" w:hanging="217"/>
      </w:pPr>
      <w:rPr>
        <w:rFonts w:hint="default"/>
        <w:lang w:val="en-GB" w:eastAsia="en-GB" w:bidi="en-GB"/>
      </w:rPr>
    </w:lvl>
    <w:lvl w:ilvl="3" w:tplc="2DAA4762">
      <w:numFmt w:val="bullet"/>
      <w:lvlText w:val="•"/>
      <w:lvlJc w:val="left"/>
      <w:pPr>
        <w:ind w:left="819" w:hanging="217"/>
      </w:pPr>
      <w:rPr>
        <w:rFonts w:hint="default"/>
        <w:lang w:val="en-GB" w:eastAsia="en-GB" w:bidi="en-GB"/>
      </w:rPr>
    </w:lvl>
    <w:lvl w:ilvl="4" w:tplc="11286F40">
      <w:numFmt w:val="bullet"/>
      <w:lvlText w:val="•"/>
      <w:lvlJc w:val="left"/>
      <w:pPr>
        <w:ind w:left="992" w:hanging="217"/>
      </w:pPr>
      <w:rPr>
        <w:rFonts w:hint="default"/>
        <w:lang w:val="en-GB" w:eastAsia="en-GB" w:bidi="en-GB"/>
      </w:rPr>
    </w:lvl>
    <w:lvl w:ilvl="5" w:tplc="79FAE032">
      <w:numFmt w:val="bullet"/>
      <w:lvlText w:val="•"/>
      <w:lvlJc w:val="left"/>
      <w:pPr>
        <w:ind w:left="1165" w:hanging="217"/>
      </w:pPr>
      <w:rPr>
        <w:rFonts w:hint="default"/>
        <w:lang w:val="en-GB" w:eastAsia="en-GB" w:bidi="en-GB"/>
      </w:rPr>
    </w:lvl>
    <w:lvl w:ilvl="6" w:tplc="7B584F66">
      <w:numFmt w:val="bullet"/>
      <w:lvlText w:val="•"/>
      <w:lvlJc w:val="left"/>
      <w:pPr>
        <w:ind w:left="1338" w:hanging="217"/>
      </w:pPr>
      <w:rPr>
        <w:rFonts w:hint="default"/>
        <w:lang w:val="en-GB" w:eastAsia="en-GB" w:bidi="en-GB"/>
      </w:rPr>
    </w:lvl>
    <w:lvl w:ilvl="7" w:tplc="8050DF2A">
      <w:numFmt w:val="bullet"/>
      <w:lvlText w:val="•"/>
      <w:lvlJc w:val="left"/>
      <w:pPr>
        <w:ind w:left="1511" w:hanging="217"/>
      </w:pPr>
      <w:rPr>
        <w:rFonts w:hint="default"/>
        <w:lang w:val="en-GB" w:eastAsia="en-GB" w:bidi="en-GB"/>
      </w:rPr>
    </w:lvl>
    <w:lvl w:ilvl="8" w:tplc="EF0E7AF2">
      <w:numFmt w:val="bullet"/>
      <w:lvlText w:val="•"/>
      <w:lvlJc w:val="left"/>
      <w:pPr>
        <w:ind w:left="1684" w:hanging="217"/>
      </w:pPr>
      <w:rPr>
        <w:rFonts w:hint="default"/>
        <w:lang w:val="en-GB" w:eastAsia="en-GB" w:bidi="en-GB"/>
      </w:rPr>
    </w:lvl>
  </w:abstractNum>
  <w:abstractNum w:abstractNumId="1218" w15:restartNumberingAfterBreak="0">
    <w:nsid w:val="6E6F5B6F"/>
    <w:multiLevelType w:val="hybridMultilevel"/>
    <w:tmpl w:val="FF52BA4E"/>
    <w:lvl w:ilvl="0" w:tplc="BABA195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93D0255A">
      <w:numFmt w:val="bullet"/>
      <w:lvlText w:val="•"/>
      <w:lvlJc w:val="left"/>
      <w:pPr>
        <w:ind w:left="544" w:hanging="217"/>
      </w:pPr>
      <w:rPr>
        <w:rFonts w:hint="default"/>
        <w:lang w:val="en-GB" w:eastAsia="en-GB" w:bidi="en-GB"/>
      </w:rPr>
    </w:lvl>
    <w:lvl w:ilvl="2" w:tplc="477A945A">
      <w:numFmt w:val="bullet"/>
      <w:lvlText w:val="•"/>
      <w:lvlJc w:val="left"/>
      <w:pPr>
        <w:ind w:left="788" w:hanging="217"/>
      </w:pPr>
      <w:rPr>
        <w:rFonts w:hint="default"/>
        <w:lang w:val="en-GB" w:eastAsia="en-GB" w:bidi="en-GB"/>
      </w:rPr>
    </w:lvl>
    <w:lvl w:ilvl="3" w:tplc="B4ACC636">
      <w:numFmt w:val="bullet"/>
      <w:lvlText w:val="•"/>
      <w:lvlJc w:val="left"/>
      <w:pPr>
        <w:ind w:left="1032" w:hanging="217"/>
      </w:pPr>
      <w:rPr>
        <w:rFonts w:hint="default"/>
        <w:lang w:val="en-GB" w:eastAsia="en-GB" w:bidi="en-GB"/>
      </w:rPr>
    </w:lvl>
    <w:lvl w:ilvl="4" w:tplc="BDA84ADE">
      <w:numFmt w:val="bullet"/>
      <w:lvlText w:val="•"/>
      <w:lvlJc w:val="left"/>
      <w:pPr>
        <w:ind w:left="1276" w:hanging="217"/>
      </w:pPr>
      <w:rPr>
        <w:rFonts w:hint="default"/>
        <w:lang w:val="en-GB" w:eastAsia="en-GB" w:bidi="en-GB"/>
      </w:rPr>
    </w:lvl>
    <w:lvl w:ilvl="5" w:tplc="7F148FD8">
      <w:numFmt w:val="bullet"/>
      <w:lvlText w:val="•"/>
      <w:lvlJc w:val="left"/>
      <w:pPr>
        <w:ind w:left="1520" w:hanging="217"/>
      </w:pPr>
      <w:rPr>
        <w:rFonts w:hint="default"/>
        <w:lang w:val="en-GB" w:eastAsia="en-GB" w:bidi="en-GB"/>
      </w:rPr>
    </w:lvl>
    <w:lvl w:ilvl="6" w:tplc="DB4A66F8">
      <w:numFmt w:val="bullet"/>
      <w:lvlText w:val="•"/>
      <w:lvlJc w:val="left"/>
      <w:pPr>
        <w:ind w:left="1764" w:hanging="217"/>
      </w:pPr>
      <w:rPr>
        <w:rFonts w:hint="default"/>
        <w:lang w:val="en-GB" w:eastAsia="en-GB" w:bidi="en-GB"/>
      </w:rPr>
    </w:lvl>
    <w:lvl w:ilvl="7" w:tplc="CBD2C792">
      <w:numFmt w:val="bullet"/>
      <w:lvlText w:val="•"/>
      <w:lvlJc w:val="left"/>
      <w:pPr>
        <w:ind w:left="2008" w:hanging="217"/>
      </w:pPr>
      <w:rPr>
        <w:rFonts w:hint="default"/>
        <w:lang w:val="en-GB" w:eastAsia="en-GB" w:bidi="en-GB"/>
      </w:rPr>
    </w:lvl>
    <w:lvl w:ilvl="8" w:tplc="C284BD8C">
      <w:numFmt w:val="bullet"/>
      <w:lvlText w:val="•"/>
      <w:lvlJc w:val="left"/>
      <w:pPr>
        <w:ind w:left="2252" w:hanging="217"/>
      </w:pPr>
      <w:rPr>
        <w:rFonts w:hint="default"/>
        <w:lang w:val="en-GB" w:eastAsia="en-GB" w:bidi="en-GB"/>
      </w:rPr>
    </w:lvl>
  </w:abstractNum>
  <w:abstractNum w:abstractNumId="1219" w15:restartNumberingAfterBreak="0">
    <w:nsid w:val="6E6F6930"/>
    <w:multiLevelType w:val="hybridMultilevel"/>
    <w:tmpl w:val="6CD6E98A"/>
    <w:lvl w:ilvl="0" w:tplc="F5880D28">
      <w:numFmt w:val="bullet"/>
      <w:lvlText w:val="•"/>
      <w:lvlJc w:val="left"/>
      <w:pPr>
        <w:ind w:left="303" w:hanging="217"/>
      </w:pPr>
      <w:rPr>
        <w:rFonts w:ascii="Arial" w:eastAsia="Arial" w:hAnsi="Arial" w:cs="Arial" w:hint="default"/>
        <w:color w:val="231F20"/>
        <w:w w:val="102"/>
        <w:sz w:val="17"/>
        <w:szCs w:val="17"/>
        <w:lang w:val="en-GB" w:eastAsia="en-GB" w:bidi="en-GB"/>
      </w:rPr>
    </w:lvl>
    <w:lvl w:ilvl="1" w:tplc="39BC2F92">
      <w:numFmt w:val="bullet"/>
      <w:lvlText w:val="•"/>
      <w:lvlJc w:val="left"/>
      <w:pPr>
        <w:ind w:left="439" w:hanging="217"/>
      </w:pPr>
      <w:rPr>
        <w:rFonts w:hint="default"/>
        <w:lang w:val="en-GB" w:eastAsia="en-GB" w:bidi="en-GB"/>
      </w:rPr>
    </w:lvl>
    <w:lvl w:ilvl="2" w:tplc="6F14E4FE">
      <w:numFmt w:val="bullet"/>
      <w:lvlText w:val="•"/>
      <w:lvlJc w:val="left"/>
      <w:pPr>
        <w:ind w:left="578" w:hanging="217"/>
      </w:pPr>
      <w:rPr>
        <w:rFonts w:hint="default"/>
        <w:lang w:val="en-GB" w:eastAsia="en-GB" w:bidi="en-GB"/>
      </w:rPr>
    </w:lvl>
    <w:lvl w:ilvl="3" w:tplc="A8067C92">
      <w:numFmt w:val="bullet"/>
      <w:lvlText w:val="•"/>
      <w:lvlJc w:val="left"/>
      <w:pPr>
        <w:ind w:left="717" w:hanging="217"/>
      </w:pPr>
      <w:rPr>
        <w:rFonts w:hint="default"/>
        <w:lang w:val="en-GB" w:eastAsia="en-GB" w:bidi="en-GB"/>
      </w:rPr>
    </w:lvl>
    <w:lvl w:ilvl="4" w:tplc="64CE8896">
      <w:numFmt w:val="bullet"/>
      <w:lvlText w:val="•"/>
      <w:lvlJc w:val="left"/>
      <w:pPr>
        <w:ind w:left="856" w:hanging="217"/>
      </w:pPr>
      <w:rPr>
        <w:rFonts w:hint="default"/>
        <w:lang w:val="en-GB" w:eastAsia="en-GB" w:bidi="en-GB"/>
      </w:rPr>
    </w:lvl>
    <w:lvl w:ilvl="5" w:tplc="7B305AA6">
      <w:numFmt w:val="bullet"/>
      <w:lvlText w:val="•"/>
      <w:lvlJc w:val="left"/>
      <w:pPr>
        <w:ind w:left="995" w:hanging="217"/>
      </w:pPr>
      <w:rPr>
        <w:rFonts w:hint="default"/>
        <w:lang w:val="en-GB" w:eastAsia="en-GB" w:bidi="en-GB"/>
      </w:rPr>
    </w:lvl>
    <w:lvl w:ilvl="6" w:tplc="203AB9CE">
      <w:numFmt w:val="bullet"/>
      <w:lvlText w:val="•"/>
      <w:lvlJc w:val="left"/>
      <w:pPr>
        <w:ind w:left="1134" w:hanging="217"/>
      </w:pPr>
      <w:rPr>
        <w:rFonts w:hint="default"/>
        <w:lang w:val="en-GB" w:eastAsia="en-GB" w:bidi="en-GB"/>
      </w:rPr>
    </w:lvl>
    <w:lvl w:ilvl="7" w:tplc="B80E70D6">
      <w:numFmt w:val="bullet"/>
      <w:lvlText w:val="•"/>
      <w:lvlJc w:val="left"/>
      <w:pPr>
        <w:ind w:left="1273" w:hanging="217"/>
      </w:pPr>
      <w:rPr>
        <w:rFonts w:hint="default"/>
        <w:lang w:val="en-GB" w:eastAsia="en-GB" w:bidi="en-GB"/>
      </w:rPr>
    </w:lvl>
    <w:lvl w:ilvl="8" w:tplc="2BCA2CA0">
      <w:numFmt w:val="bullet"/>
      <w:lvlText w:val="•"/>
      <w:lvlJc w:val="left"/>
      <w:pPr>
        <w:ind w:left="1412" w:hanging="217"/>
      </w:pPr>
      <w:rPr>
        <w:rFonts w:hint="default"/>
        <w:lang w:val="en-GB" w:eastAsia="en-GB" w:bidi="en-GB"/>
      </w:rPr>
    </w:lvl>
  </w:abstractNum>
  <w:abstractNum w:abstractNumId="1220" w15:restartNumberingAfterBreak="0">
    <w:nsid w:val="6E725BE6"/>
    <w:multiLevelType w:val="hybridMultilevel"/>
    <w:tmpl w:val="9F725CFE"/>
    <w:lvl w:ilvl="0" w:tplc="1204A37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75CF83E">
      <w:numFmt w:val="bullet"/>
      <w:lvlText w:val="•"/>
      <w:lvlJc w:val="left"/>
      <w:pPr>
        <w:ind w:left="473" w:hanging="217"/>
      </w:pPr>
      <w:rPr>
        <w:rFonts w:hint="default"/>
        <w:lang w:val="en-GB" w:eastAsia="en-GB" w:bidi="en-GB"/>
      </w:rPr>
    </w:lvl>
    <w:lvl w:ilvl="2" w:tplc="04848802">
      <w:numFmt w:val="bullet"/>
      <w:lvlText w:val="•"/>
      <w:lvlJc w:val="left"/>
      <w:pPr>
        <w:ind w:left="646" w:hanging="217"/>
      </w:pPr>
      <w:rPr>
        <w:rFonts w:hint="default"/>
        <w:lang w:val="en-GB" w:eastAsia="en-GB" w:bidi="en-GB"/>
      </w:rPr>
    </w:lvl>
    <w:lvl w:ilvl="3" w:tplc="2DE03816">
      <w:numFmt w:val="bullet"/>
      <w:lvlText w:val="•"/>
      <w:lvlJc w:val="left"/>
      <w:pPr>
        <w:ind w:left="819" w:hanging="217"/>
      </w:pPr>
      <w:rPr>
        <w:rFonts w:hint="default"/>
        <w:lang w:val="en-GB" w:eastAsia="en-GB" w:bidi="en-GB"/>
      </w:rPr>
    </w:lvl>
    <w:lvl w:ilvl="4" w:tplc="04A8EFDE">
      <w:numFmt w:val="bullet"/>
      <w:lvlText w:val="•"/>
      <w:lvlJc w:val="left"/>
      <w:pPr>
        <w:ind w:left="992" w:hanging="217"/>
      </w:pPr>
      <w:rPr>
        <w:rFonts w:hint="default"/>
        <w:lang w:val="en-GB" w:eastAsia="en-GB" w:bidi="en-GB"/>
      </w:rPr>
    </w:lvl>
    <w:lvl w:ilvl="5" w:tplc="C7409EDC">
      <w:numFmt w:val="bullet"/>
      <w:lvlText w:val="•"/>
      <w:lvlJc w:val="left"/>
      <w:pPr>
        <w:ind w:left="1165" w:hanging="217"/>
      </w:pPr>
      <w:rPr>
        <w:rFonts w:hint="default"/>
        <w:lang w:val="en-GB" w:eastAsia="en-GB" w:bidi="en-GB"/>
      </w:rPr>
    </w:lvl>
    <w:lvl w:ilvl="6" w:tplc="06ECDA22">
      <w:numFmt w:val="bullet"/>
      <w:lvlText w:val="•"/>
      <w:lvlJc w:val="left"/>
      <w:pPr>
        <w:ind w:left="1338" w:hanging="217"/>
      </w:pPr>
      <w:rPr>
        <w:rFonts w:hint="default"/>
        <w:lang w:val="en-GB" w:eastAsia="en-GB" w:bidi="en-GB"/>
      </w:rPr>
    </w:lvl>
    <w:lvl w:ilvl="7" w:tplc="DEAAADEE">
      <w:numFmt w:val="bullet"/>
      <w:lvlText w:val="•"/>
      <w:lvlJc w:val="left"/>
      <w:pPr>
        <w:ind w:left="1511" w:hanging="217"/>
      </w:pPr>
      <w:rPr>
        <w:rFonts w:hint="default"/>
        <w:lang w:val="en-GB" w:eastAsia="en-GB" w:bidi="en-GB"/>
      </w:rPr>
    </w:lvl>
    <w:lvl w:ilvl="8" w:tplc="04B87892">
      <w:numFmt w:val="bullet"/>
      <w:lvlText w:val="•"/>
      <w:lvlJc w:val="left"/>
      <w:pPr>
        <w:ind w:left="1684" w:hanging="217"/>
      </w:pPr>
      <w:rPr>
        <w:rFonts w:hint="default"/>
        <w:lang w:val="en-GB" w:eastAsia="en-GB" w:bidi="en-GB"/>
      </w:rPr>
    </w:lvl>
  </w:abstractNum>
  <w:abstractNum w:abstractNumId="1221" w15:restartNumberingAfterBreak="0">
    <w:nsid w:val="6E865D1A"/>
    <w:multiLevelType w:val="hybridMultilevel"/>
    <w:tmpl w:val="07F6C4B0"/>
    <w:lvl w:ilvl="0" w:tplc="225A4120">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C7BC14DC">
      <w:numFmt w:val="bullet"/>
      <w:lvlText w:val="•"/>
      <w:lvlJc w:val="left"/>
      <w:pPr>
        <w:ind w:left="473" w:hanging="217"/>
      </w:pPr>
      <w:rPr>
        <w:rFonts w:hint="default"/>
        <w:lang w:val="en-GB" w:eastAsia="en-GB" w:bidi="en-GB"/>
      </w:rPr>
    </w:lvl>
    <w:lvl w:ilvl="2" w:tplc="C17EAF2A">
      <w:numFmt w:val="bullet"/>
      <w:lvlText w:val="•"/>
      <w:lvlJc w:val="left"/>
      <w:pPr>
        <w:ind w:left="646" w:hanging="217"/>
      </w:pPr>
      <w:rPr>
        <w:rFonts w:hint="default"/>
        <w:lang w:val="en-GB" w:eastAsia="en-GB" w:bidi="en-GB"/>
      </w:rPr>
    </w:lvl>
    <w:lvl w:ilvl="3" w:tplc="77209D7C">
      <w:numFmt w:val="bullet"/>
      <w:lvlText w:val="•"/>
      <w:lvlJc w:val="left"/>
      <w:pPr>
        <w:ind w:left="819" w:hanging="217"/>
      </w:pPr>
      <w:rPr>
        <w:rFonts w:hint="default"/>
        <w:lang w:val="en-GB" w:eastAsia="en-GB" w:bidi="en-GB"/>
      </w:rPr>
    </w:lvl>
    <w:lvl w:ilvl="4" w:tplc="3FD06094">
      <w:numFmt w:val="bullet"/>
      <w:lvlText w:val="•"/>
      <w:lvlJc w:val="left"/>
      <w:pPr>
        <w:ind w:left="992" w:hanging="217"/>
      </w:pPr>
      <w:rPr>
        <w:rFonts w:hint="default"/>
        <w:lang w:val="en-GB" w:eastAsia="en-GB" w:bidi="en-GB"/>
      </w:rPr>
    </w:lvl>
    <w:lvl w:ilvl="5" w:tplc="80BC134A">
      <w:numFmt w:val="bullet"/>
      <w:lvlText w:val="•"/>
      <w:lvlJc w:val="left"/>
      <w:pPr>
        <w:ind w:left="1165" w:hanging="217"/>
      </w:pPr>
      <w:rPr>
        <w:rFonts w:hint="default"/>
        <w:lang w:val="en-GB" w:eastAsia="en-GB" w:bidi="en-GB"/>
      </w:rPr>
    </w:lvl>
    <w:lvl w:ilvl="6" w:tplc="70168706">
      <w:numFmt w:val="bullet"/>
      <w:lvlText w:val="•"/>
      <w:lvlJc w:val="left"/>
      <w:pPr>
        <w:ind w:left="1338" w:hanging="217"/>
      </w:pPr>
      <w:rPr>
        <w:rFonts w:hint="default"/>
        <w:lang w:val="en-GB" w:eastAsia="en-GB" w:bidi="en-GB"/>
      </w:rPr>
    </w:lvl>
    <w:lvl w:ilvl="7" w:tplc="6A0CB974">
      <w:numFmt w:val="bullet"/>
      <w:lvlText w:val="•"/>
      <w:lvlJc w:val="left"/>
      <w:pPr>
        <w:ind w:left="1511" w:hanging="217"/>
      </w:pPr>
      <w:rPr>
        <w:rFonts w:hint="default"/>
        <w:lang w:val="en-GB" w:eastAsia="en-GB" w:bidi="en-GB"/>
      </w:rPr>
    </w:lvl>
    <w:lvl w:ilvl="8" w:tplc="1EECC490">
      <w:numFmt w:val="bullet"/>
      <w:lvlText w:val="•"/>
      <w:lvlJc w:val="left"/>
      <w:pPr>
        <w:ind w:left="1684" w:hanging="217"/>
      </w:pPr>
      <w:rPr>
        <w:rFonts w:hint="default"/>
        <w:lang w:val="en-GB" w:eastAsia="en-GB" w:bidi="en-GB"/>
      </w:rPr>
    </w:lvl>
  </w:abstractNum>
  <w:abstractNum w:abstractNumId="1222" w15:restartNumberingAfterBreak="0">
    <w:nsid w:val="6EA457EA"/>
    <w:multiLevelType w:val="hybridMultilevel"/>
    <w:tmpl w:val="C43E2BC4"/>
    <w:lvl w:ilvl="0" w:tplc="59ACAF1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CE0C2EB2">
      <w:numFmt w:val="bullet"/>
      <w:lvlText w:val="•"/>
      <w:lvlJc w:val="left"/>
      <w:pPr>
        <w:ind w:left="892" w:hanging="217"/>
      </w:pPr>
      <w:rPr>
        <w:rFonts w:hint="default"/>
        <w:lang w:val="en-GB" w:eastAsia="en-GB" w:bidi="en-GB"/>
      </w:rPr>
    </w:lvl>
    <w:lvl w:ilvl="2" w:tplc="C8A8748C">
      <w:numFmt w:val="bullet"/>
      <w:lvlText w:val="•"/>
      <w:lvlJc w:val="left"/>
      <w:pPr>
        <w:ind w:left="1485" w:hanging="217"/>
      </w:pPr>
      <w:rPr>
        <w:rFonts w:hint="default"/>
        <w:lang w:val="en-GB" w:eastAsia="en-GB" w:bidi="en-GB"/>
      </w:rPr>
    </w:lvl>
    <w:lvl w:ilvl="3" w:tplc="BF9A1EE6">
      <w:numFmt w:val="bullet"/>
      <w:lvlText w:val="•"/>
      <w:lvlJc w:val="left"/>
      <w:pPr>
        <w:ind w:left="2077" w:hanging="217"/>
      </w:pPr>
      <w:rPr>
        <w:rFonts w:hint="default"/>
        <w:lang w:val="en-GB" w:eastAsia="en-GB" w:bidi="en-GB"/>
      </w:rPr>
    </w:lvl>
    <w:lvl w:ilvl="4" w:tplc="B7604DDC">
      <w:numFmt w:val="bullet"/>
      <w:lvlText w:val="•"/>
      <w:lvlJc w:val="left"/>
      <w:pPr>
        <w:ind w:left="2670" w:hanging="217"/>
      </w:pPr>
      <w:rPr>
        <w:rFonts w:hint="default"/>
        <w:lang w:val="en-GB" w:eastAsia="en-GB" w:bidi="en-GB"/>
      </w:rPr>
    </w:lvl>
    <w:lvl w:ilvl="5" w:tplc="785A71D8">
      <w:numFmt w:val="bullet"/>
      <w:lvlText w:val="•"/>
      <w:lvlJc w:val="left"/>
      <w:pPr>
        <w:ind w:left="3263" w:hanging="217"/>
      </w:pPr>
      <w:rPr>
        <w:rFonts w:hint="default"/>
        <w:lang w:val="en-GB" w:eastAsia="en-GB" w:bidi="en-GB"/>
      </w:rPr>
    </w:lvl>
    <w:lvl w:ilvl="6" w:tplc="E48E9B0E">
      <w:numFmt w:val="bullet"/>
      <w:lvlText w:val="•"/>
      <w:lvlJc w:val="left"/>
      <w:pPr>
        <w:ind w:left="3855" w:hanging="217"/>
      </w:pPr>
      <w:rPr>
        <w:rFonts w:hint="default"/>
        <w:lang w:val="en-GB" w:eastAsia="en-GB" w:bidi="en-GB"/>
      </w:rPr>
    </w:lvl>
    <w:lvl w:ilvl="7" w:tplc="D9E8480E">
      <w:numFmt w:val="bullet"/>
      <w:lvlText w:val="•"/>
      <w:lvlJc w:val="left"/>
      <w:pPr>
        <w:ind w:left="4448" w:hanging="217"/>
      </w:pPr>
      <w:rPr>
        <w:rFonts w:hint="default"/>
        <w:lang w:val="en-GB" w:eastAsia="en-GB" w:bidi="en-GB"/>
      </w:rPr>
    </w:lvl>
    <w:lvl w:ilvl="8" w:tplc="951CC9D6">
      <w:numFmt w:val="bullet"/>
      <w:lvlText w:val="•"/>
      <w:lvlJc w:val="left"/>
      <w:pPr>
        <w:ind w:left="5040" w:hanging="217"/>
      </w:pPr>
      <w:rPr>
        <w:rFonts w:hint="default"/>
        <w:lang w:val="en-GB" w:eastAsia="en-GB" w:bidi="en-GB"/>
      </w:rPr>
    </w:lvl>
  </w:abstractNum>
  <w:abstractNum w:abstractNumId="1223" w15:restartNumberingAfterBreak="0">
    <w:nsid w:val="6EAB6BF5"/>
    <w:multiLevelType w:val="hybridMultilevel"/>
    <w:tmpl w:val="AEB4B31E"/>
    <w:lvl w:ilvl="0" w:tplc="F25EC80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B14BFDE">
      <w:numFmt w:val="bullet"/>
      <w:lvlText w:val="•"/>
      <w:lvlJc w:val="left"/>
      <w:pPr>
        <w:ind w:left="473" w:hanging="217"/>
      </w:pPr>
      <w:rPr>
        <w:rFonts w:hint="default"/>
        <w:lang w:val="en-GB" w:eastAsia="en-GB" w:bidi="en-GB"/>
      </w:rPr>
    </w:lvl>
    <w:lvl w:ilvl="2" w:tplc="1E48344E">
      <w:numFmt w:val="bullet"/>
      <w:lvlText w:val="•"/>
      <w:lvlJc w:val="left"/>
      <w:pPr>
        <w:ind w:left="646" w:hanging="217"/>
      </w:pPr>
      <w:rPr>
        <w:rFonts w:hint="default"/>
        <w:lang w:val="en-GB" w:eastAsia="en-GB" w:bidi="en-GB"/>
      </w:rPr>
    </w:lvl>
    <w:lvl w:ilvl="3" w:tplc="219240FC">
      <w:numFmt w:val="bullet"/>
      <w:lvlText w:val="•"/>
      <w:lvlJc w:val="left"/>
      <w:pPr>
        <w:ind w:left="819" w:hanging="217"/>
      </w:pPr>
      <w:rPr>
        <w:rFonts w:hint="default"/>
        <w:lang w:val="en-GB" w:eastAsia="en-GB" w:bidi="en-GB"/>
      </w:rPr>
    </w:lvl>
    <w:lvl w:ilvl="4" w:tplc="52D421D0">
      <w:numFmt w:val="bullet"/>
      <w:lvlText w:val="•"/>
      <w:lvlJc w:val="left"/>
      <w:pPr>
        <w:ind w:left="992" w:hanging="217"/>
      </w:pPr>
      <w:rPr>
        <w:rFonts w:hint="default"/>
        <w:lang w:val="en-GB" w:eastAsia="en-GB" w:bidi="en-GB"/>
      </w:rPr>
    </w:lvl>
    <w:lvl w:ilvl="5" w:tplc="69C4E4C6">
      <w:numFmt w:val="bullet"/>
      <w:lvlText w:val="•"/>
      <w:lvlJc w:val="left"/>
      <w:pPr>
        <w:ind w:left="1165" w:hanging="217"/>
      </w:pPr>
      <w:rPr>
        <w:rFonts w:hint="default"/>
        <w:lang w:val="en-GB" w:eastAsia="en-GB" w:bidi="en-GB"/>
      </w:rPr>
    </w:lvl>
    <w:lvl w:ilvl="6" w:tplc="1750CAAE">
      <w:numFmt w:val="bullet"/>
      <w:lvlText w:val="•"/>
      <w:lvlJc w:val="left"/>
      <w:pPr>
        <w:ind w:left="1338" w:hanging="217"/>
      </w:pPr>
      <w:rPr>
        <w:rFonts w:hint="default"/>
        <w:lang w:val="en-GB" w:eastAsia="en-GB" w:bidi="en-GB"/>
      </w:rPr>
    </w:lvl>
    <w:lvl w:ilvl="7" w:tplc="0428D32A">
      <w:numFmt w:val="bullet"/>
      <w:lvlText w:val="•"/>
      <w:lvlJc w:val="left"/>
      <w:pPr>
        <w:ind w:left="1511" w:hanging="217"/>
      </w:pPr>
      <w:rPr>
        <w:rFonts w:hint="default"/>
        <w:lang w:val="en-GB" w:eastAsia="en-GB" w:bidi="en-GB"/>
      </w:rPr>
    </w:lvl>
    <w:lvl w:ilvl="8" w:tplc="AF8C3748">
      <w:numFmt w:val="bullet"/>
      <w:lvlText w:val="•"/>
      <w:lvlJc w:val="left"/>
      <w:pPr>
        <w:ind w:left="1684" w:hanging="217"/>
      </w:pPr>
      <w:rPr>
        <w:rFonts w:hint="default"/>
        <w:lang w:val="en-GB" w:eastAsia="en-GB" w:bidi="en-GB"/>
      </w:rPr>
    </w:lvl>
  </w:abstractNum>
  <w:abstractNum w:abstractNumId="1224" w15:restartNumberingAfterBreak="0">
    <w:nsid w:val="6EAB7801"/>
    <w:multiLevelType w:val="hybridMultilevel"/>
    <w:tmpl w:val="11566DC6"/>
    <w:lvl w:ilvl="0" w:tplc="E36A0F70">
      <w:numFmt w:val="bullet"/>
      <w:lvlText w:val="•"/>
      <w:lvlJc w:val="left"/>
      <w:pPr>
        <w:ind w:left="304" w:hanging="217"/>
      </w:pPr>
      <w:rPr>
        <w:rFonts w:ascii="Arial" w:eastAsia="Arial" w:hAnsi="Arial" w:cs="Arial" w:hint="default"/>
        <w:color w:val="231F20"/>
        <w:spacing w:val="-5"/>
        <w:w w:val="100"/>
        <w:sz w:val="18"/>
        <w:szCs w:val="18"/>
        <w:lang w:val="en-GB" w:eastAsia="en-GB" w:bidi="en-GB"/>
      </w:rPr>
    </w:lvl>
    <w:lvl w:ilvl="1" w:tplc="B222795A">
      <w:numFmt w:val="bullet"/>
      <w:lvlText w:val="•"/>
      <w:lvlJc w:val="left"/>
      <w:pPr>
        <w:ind w:left="473" w:hanging="217"/>
      </w:pPr>
      <w:rPr>
        <w:rFonts w:hint="default"/>
        <w:lang w:val="en-GB" w:eastAsia="en-GB" w:bidi="en-GB"/>
      </w:rPr>
    </w:lvl>
    <w:lvl w:ilvl="2" w:tplc="013A7FF4">
      <w:numFmt w:val="bullet"/>
      <w:lvlText w:val="•"/>
      <w:lvlJc w:val="left"/>
      <w:pPr>
        <w:ind w:left="646" w:hanging="217"/>
      </w:pPr>
      <w:rPr>
        <w:rFonts w:hint="default"/>
        <w:lang w:val="en-GB" w:eastAsia="en-GB" w:bidi="en-GB"/>
      </w:rPr>
    </w:lvl>
    <w:lvl w:ilvl="3" w:tplc="4D70523C">
      <w:numFmt w:val="bullet"/>
      <w:lvlText w:val="•"/>
      <w:lvlJc w:val="left"/>
      <w:pPr>
        <w:ind w:left="819" w:hanging="217"/>
      </w:pPr>
      <w:rPr>
        <w:rFonts w:hint="default"/>
        <w:lang w:val="en-GB" w:eastAsia="en-GB" w:bidi="en-GB"/>
      </w:rPr>
    </w:lvl>
    <w:lvl w:ilvl="4" w:tplc="202CA72A">
      <w:numFmt w:val="bullet"/>
      <w:lvlText w:val="•"/>
      <w:lvlJc w:val="left"/>
      <w:pPr>
        <w:ind w:left="992" w:hanging="217"/>
      </w:pPr>
      <w:rPr>
        <w:rFonts w:hint="default"/>
        <w:lang w:val="en-GB" w:eastAsia="en-GB" w:bidi="en-GB"/>
      </w:rPr>
    </w:lvl>
    <w:lvl w:ilvl="5" w:tplc="66D8D660">
      <w:numFmt w:val="bullet"/>
      <w:lvlText w:val="•"/>
      <w:lvlJc w:val="left"/>
      <w:pPr>
        <w:ind w:left="1165" w:hanging="217"/>
      </w:pPr>
      <w:rPr>
        <w:rFonts w:hint="default"/>
        <w:lang w:val="en-GB" w:eastAsia="en-GB" w:bidi="en-GB"/>
      </w:rPr>
    </w:lvl>
    <w:lvl w:ilvl="6" w:tplc="DEDEA588">
      <w:numFmt w:val="bullet"/>
      <w:lvlText w:val="•"/>
      <w:lvlJc w:val="left"/>
      <w:pPr>
        <w:ind w:left="1338" w:hanging="217"/>
      </w:pPr>
      <w:rPr>
        <w:rFonts w:hint="default"/>
        <w:lang w:val="en-GB" w:eastAsia="en-GB" w:bidi="en-GB"/>
      </w:rPr>
    </w:lvl>
    <w:lvl w:ilvl="7" w:tplc="FE828C52">
      <w:numFmt w:val="bullet"/>
      <w:lvlText w:val="•"/>
      <w:lvlJc w:val="left"/>
      <w:pPr>
        <w:ind w:left="1511" w:hanging="217"/>
      </w:pPr>
      <w:rPr>
        <w:rFonts w:hint="default"/>
        <w:lang w:val="en-GB" w:eastAsia="en-GB" w:bidi="en-GB"/>
      </w:rPr>
    </w:lvl>
    <w:lvl w:ilvl="8" w:tplc="C1C2B188">
      <w:numFmt w:val="bullet"/>
      <w:lvlText w:val="•"/>
      <w:lvlJc w:val="left"/>
      <w:pPr>
        <w:ind w:left="1684" w:hanging="217"/>
      </w:pPr>
      <w:rPr>
        <w:rFonts w:hint="default"/>
        <w:lang w:val="en-GB" w:eastAsia="en-GB" w:bidi="en-GB"/>
      </w:rPr>
    </w:lvl>
  </w:abstractNum>
  <w:abstractNum w:abstractNumId="1225" w15:restartNumberingAfterBreak="0">
    <w:nsid w:val="6ECD04E0"/>
    <w:multiLevelType w:val="hybridMultilevel"/>
    <w:tmpl w:val="73924D52"/>
    <w:lvl w:ilvl="0" w:tplc="D4F4531A">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2804B12">
      <w:numFmt w:val="bullet"/>
      <w:lvlText w:val="•"/>
      <w:lvlJc w:val="left"/>
      <w:pPr>
        <w:ind w:left="473" w:hanging="217"/>
      </w:pPr>
      <w:rPr>
        <w:rFonts w:hint="default"/>
        <w:lang w:val="en-GB" w:eastAsia="en-GB" w:bidi="en-GB"/>
      </w:rPr>
    </w:lvl>
    <w:lvl w:ilvl="2" w:tplc="40542A90">
      <w:numFmt w:val="bullet"/>
      <w:lvlText w:val="•"/>
      <w:lvlJc w:val="left"/>
      <w:pPr>
        <w:ind w:left="646" w:hanging="217"/>
      </w:pPr>
      <w:rPr>
        <w:rFonts w:hint="default"/>
        <w:lang w:val="en-GB" w:eastAsia="en-GB" w:bidi="en-GB"/>
      </w:rPr>
    </w:lvl>
    <w:lvl w:ilvl="3" w:tplc="22F8DFD0">
      <w:numFmt w:val="bullet"/>
      <w:lvlText w:val="•"/>
      <w:lvlJc w:val="left"/>
      <w:pPr>
        <w:ind w:left="819" w:hanging="217"/>
      </w:pPr>
      <w:rPr>
        <w:rFonts w:hint="default"/>
        <w:lang w:val="en-GB" w:eastAsia="en-GB" w:bidi="en-GB"/>
      </w:rPr>
    </w:lvl>
    <w:lvl w:ilvl="4" w:tplc="B69AB300">
      <w:numFmt w:val="bullet"/>
      <w:lvlText w:val="•"/>
      <w:lvlJc w:val="left"/>
      <w:pPr>
        <w:ind w:left="992" w:hanging="217"/>
      </w:pPr>
      <w:rPr>
        <w:rFonts w:hint="default"/>
        <w:lang w:val="en-GB" w:eastAsia="en-GB" w:bidi="en-GB"/>
      </w:rPr>
    </w:lvl>
    <w:lvl w:ilvl="5" w:tplc="BE9A9CCE">
      <w:numFmt w:val="bullet"/>
      <w:lvlText w:val="•"/>
      <w:lvlJc w:val="left"/>
      <w:pPr>
        <w:ind w:left="1165" w:hanging="217"/>
      </w:pPr>
      <w:rPr>
        <w:rFonts w:hint="default"/>
        <w:lang w:val="en-GB" w:eastAsia="en-GB" w:bidi="en-GB"/>
      </w:rPr>
    </w:lvl>
    <w:lvl w:ilvl="6" w:tplc="06F65EE6">
      <w:numFmt w:val="bullet"/>
      <w:lvlText w:val="•"/>
      <w:lvlJc w:val="left"/>
      <w:pPr>
        <w:ind w:left="1338" w:hanging="217"/>
      </w:pPr>
      <w:rPr>
        <w:rFonts w:hint="default"/>
        <w:lang w:val="en-GB" w:eastAsia="en-GB" w:bidi="en-GB"/>
      </w:rPr>
    </w:lvl>
    <w:lvl w:ilvl="7" w:tplc="0BA4F142">
      <w:numFmt w:val="bullet"/>
      <w:lvlText w:val="•"/>
      <w:lvlJc w:val="left"/>
      <w:pPr>
        <w:ind w:left="1511" w:hanging="217"/>
      </w:pPr>
      <w:rPr>
        <w:rFonts w:hint="default"/>
        <w:lang w:val="en-GB" w:eastAsia="en-GB" w:bidi="en-GB"/>
      </w:rPr>
    </w:lvl>
    <w:lvl w:ilvl="8" w:tplc="346EB1F0">
      <w:numFmt w:val="bullet"/>
      <w:lvlText w:val="•"/>
      <w:lvlJc w:val="left"/>
      <w:pPr>
        <w:ind w:left="1684" w:hanging="217"/>
      </w:pPr>
      <w:rPr>
        <w:rFonts w:hint="default"/>
        <w:lang w:val="en-GB" w:eastAsia="en-GB" w:bidi="en-GB"/>
      </w:rPr>
    </w:lvl>
  </w:abstractNum>
  <w:abstractNum w:abstractNumId="1226" w15:restartNumberingAfterBreak="0">
    <w:nsid w:val="6ECF40FA"/>
    <w:multiLevelType w:val="hybridMultilevel"/>
    <w:tmpl w:val="E05E10F2"/>
    <w:lvl w:ilvl="0" w:tplc="5386CB9A">
      <w:numFmt w:val="bullet"/>
      <w:lvlText w:val="•"/>
      <w:lvlJc w:val="left"/>
      <w:pPr>
        <w:ind w:left="300" w:hanging="217"/>
      </w:pPr>
      <w:rPr>
        <w:rFonts w:ascii="Arial" w:eastAsia="Arial" w:hAnsi="Arial" w:cs="Arial" w:hint="default"/>
        <w:color w:val="231F20"/>
        <w:w w:val="102"/>
        <w:sz w:val="17"/>
        <w:szCs w:val="17"/>
        <w:lang w:val="en-GB" w:eastAsia="en-GB" w:bidi="en-GB"/>
      </w:rPr>
    </w:lvl>
    <w:lvl w:ilvl="1" w:tplc="5A0E32DA">
      <w:numFmt w:val="bullet"/>
      <w:lvlText w:val="•"/>
      <w:lvlJc w:val="left"/>
      <w:pPr>
        <w:ind w:left="892" w:hanging="217"/>
      </w:pPr>
      <w:rPr>
        <w:rFonts w:hint="default"/>
        <w:lang w:val="en-GB" w:eastAsia="en-GB" w:bidi="en-GB"/>
      </w:rPr>
    </w:lvl>
    <w:lvl w:ilvl="2" w:tplc="29FE8338">
      <w:numFmt w:val="bullet"/>
      <w:lvlText w:val="•"/>
      <w:lvlJc w:val="left"/>
      <w:pPr>
        <w:ind w:left="1484" w:hanging="217"/>
      </w:pPr>
      <w:rPr>
        <w:rFonts w:hint="default"/>
        <w:lang w:val="en-GB" w:eastAsia="en-GB" w:bidi="en-GB"/>
      </w:rPr>
    </w:lvl>
    <w:lvl w:ilvl="3" w:tplc="673CC060">
      <w:numFmt w:val="bullet"/>
      <w:lvlText w:val="•"/>
      <w:lvlJc w:val="left"/>
      <w:pPr>
        <w:ind w:left="2076" w:hanging="217"/>
      </w:pPr>
      <w:rPr>
        <w:rFonts w:hint="default"/>
        <w:lang w:val="en-GB" w:eastAsia="en-GB" w:bidi="en-GB"/>
      </w:rPr>
    </w:lvl>
    <w:lvl w:ilvl="4" w:tplc="D62AC80A">
      <w:numFmt w:val="bullet"/>
      <w:lvlText w:val="•"/>
      <w:lvlJc w:val="left"/>
      <w:pPr>
        <w:ind w:left="2668" w:hanging="217"/>
      </w:pPr>
      <w:rPr>
        <w:rFonts w:hint="default"/>
        <w:lang w:val="en-GB" w:eastAsia="en-GB" w:bidi="en-GB"/>
      </w:rPr>
    </w:lvl>
    <w:lvl w:ilvl="5" w:tplc="B8F6305E">
      <w:numFmt w:val="bullet"/>
      <w:lvlText w:val="•"/>
      <w:lvlJc w:val="left"/>
      <w:pPr>
        <w:ind w:left="3260" w:hanging="217"/>
      </w:pPr>
      <w:rPr>
        <w:rFonts w:hint="default"/>
        <w:lang w:val="en-GB" w:eastAsia="en-GB" w:bidi="en-GB"/>
      </w:rPr>
    </w:lvl>
    <w:lvl w:ilvl="6" w:tplc="11D688C6">
      <w:numFmt w:val="bullet"/>
      <w:lvlText w:val="•"/>
      <w:lvlJc w:val="left"/>
      <w:pPr>
        <w:ind w:left="3852" w:hanging="217"/>
      </w:pPr>
      <w:rPr>
        <w:rFonts w:hint="default"/>
        <w:lang w:val="en-GB" w:eastAsia="en-GB" w:bidi="en-GB"/>
      </w:rPr>
    </w:lvl>
    <w:lvl w:ilvl="7" w:tplc="A12825C4">
      <w:numFmt w:val="bullet"/>
      <w:lvlText w:val="•"/>
      <w:lvlJc w:val="left"/>
      <w:pPr>
        <w:ind w:left="4444" w:hanging="217"/>
      </w:pPr>
      <w:rPr>
        <w:rFonts w:hint="default"/>
        <w:lang w:val="en-GB" w:eastAsia="en-GB" w:bidi="en-GB"/>
      </w:rPr>
    </w:lvl>
    <w:lvl w:ilvl="8" w:tplc="3C0C2380">
      <w:numFmt w:val="bullet"/>
      <w:lvlText w:val="•"/>
      <w:lvlJc w:val="left"/>
      <w:pPr>
        <w:ind w:left="5036" w:hanging="217"/>
      </w:pPr>
      <w:rPr>
        <w:rFonts w:hint="default"/>
        <w:lang w:val="en-GB" w:eastAsia="en-GB" w:bidi="en-GB"/>
      </w:rPr>
    </w:lvl>
  </w:abstractNum>
  <w:abstractNum w:abstractNumId="1227" w15:restartNumberingAfterBreak="0">
    <w:nsid w:val="6EF17193"/>
    <w:multiLevelType w:val="hybridMultilevel"/>
    <w:tmpl w:val="A8540FD2"/>
    <w:lvl w:ilvl="0" w:tplc="64B25D9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5934981C">
      <w:numFmt w:val="bullet"/>
      <w:lvlText w:val="•"/>
      <w:lvlJc w:val="left"/>
      <w:pPr>
        <w:ind w:left="439" w:hanging="217"/>
      </w:pPr>
      <w:rPr>
        <w:rFonts w:hint="default"/>
        <w:lang w:val="en-GB" w:eastAsia="en-GB" w:bidi="en-GB"/>
      </w:rPr>
    </w:lvl>
    <w:lvl w:ilvl="2" w:tplc="F1C8165A">
      <w:numFmt w:val="bullet"/>
      <w:lvlText w:val="•"/>
      <w:lvlJc w:val="left"/>
      <w:pPr>
        <w:ind w:left="578" w:hanging="217"/>
      </w:pPr>
      <w:rPr>
        <w:rFonts w:hint="default"/>
        <w:lang w:val="en-GB" w:eastAsia="en-GB" w:bidi="en-GB"/>
      </w:rPr>
    </w:lvl>
    <w:lvl w:ilvl="3" w:tplc="CEC4E1FE">
      <w:numFmt w:val="bullet"/>
      <w:lvlText w:val="•"/>
      <w:lvlJc w:val="left"/>
      <w:pPr>
        <w:ind w:left="717" w:hanging="217"/>
      </w:pPr>
      <w:rPr>
        <w:rFonts w:hint="default"/>
        <w:lang w:val="en-GB" w:eastAsia="en-GB" w:bidi="en-GB"/>
      </w:rPr>
    </w:lvl>
    <w:lvl w:ilvl="4" w:tplc="8B8844DA">
      <w:numFmt w:val="bullet"/>
      <w:lvlText w:val="•"/>
      <w:lvlJc w:val="left"/>
      <w:pPr>
        <w:ind w:left="856" w:hanging="217"/>
      </w:pPr>
      <w:rPr>
        <w:rFonts w:hint="default"/>
        <w:lang w:val="en-GB" w:eastAsia="en-GB" w:bidi="en-GB"/>
      </w:rPr>
    </w:lvl>
    <w:lvl w:ilvl="5" w:tplc="B5D66AC6">
      <w:numFmt w:val="bullet"/>
      <w:lvlText w:val="•"/>
      <w:lvlJc w:val="left"/>
      <w:pPr>
        <w:ind w:left="995" w:hanging="217"/>
      </w:pPr>
      <w:rPr>
        <w:rFonts w:hint="default"/>
        <w:lang w:val="en-GB" w:eastAsia="en-GB" w:bidi="en-GB"/>
      </w:rPr>
    </w:lvl>
    <w:lvl w:ilvl="6" w:tplc="C506ECEC">
      <w:numFmt w:val="bullet"/>
      <w:lvlText w:val="•"/>
      <w:lvlJc w:val="left"/>
      <w:pPr>
        <w:ind w:left="1134" w:hanging="217"/>
      </w:pPr>
      <w:rPr>
        <w:rFonts w:hint="default"/>
        <w:lang w:val="en-GB" w:eastAsia="en-GB" w:bidi="en-GB"/>
      </w:rPr>
    </w:lvl>
    <w:lvl w:ilvl="7" w:tplc="B56EB5C4">
      <w:numFmt w:val="bullet"/>
      <w:lvlText w:val="•"/>
      <w:lvlJc w:val="left"/>
      <w:pPr>
        <w:ind w:left="1273" w:hanging="217"/>
      </w:pPr>
      <w:rPr>
        <w:rFonts w:hint="default"/>
        <w:lang w:val="en-GB" w:eastAsia="en-GB" w:bidi="en-GB"/>
      </w:rPr>
    </w:lvl>
    <w:lvl w:ilvl="8" w:tplc="C14C35E6">
      <w:numFmt w:val="bullet"/>
      <w:lvlText w:val="•"/>
      <w:lvlJc w:val="left"/>
      <w:pPr>
        <w:ind w:left="1412" w:hanging="217"/>
      </w:pPr>
      <w:rPr>
        <w:rFonts w:hint="default"/>
        <w:lang w:val="en-GB" w:eastAsia="en-GB" w:bidi="en-GB"/>
      </w:rPr>
    </w:lvl>
  </w:abstractNum>
  <w:abstractNum w:abstractNumId="1228" w15:restartNumberingAfterBreak="0">
    <w:nsid w:val="6F043039"/>
    <w:multiLevelType w:val="hybridMultilevel"/>
    <w:tmpl w:val="88F8F704"/>
    <w:lvl w:ilvl="0" w:tplc="E6E203B4">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61E4DD3C">
      <w:numFmt w:val="bullet"/>
      <w:lvlText w:val="•"/>
      <w:lvlJc w:val="left"/>
      <w:pPr>
        <w:ind w:left="892" w:hanging="217"/>
      </w:pPr>
      <w:rPr>
        <w:rFonts w:hint="default"/>
        <w:lang w:val="en-GB" w:eastAsia="en-GB" w:bidi="en-GB"/>
      </w:rPr>
    </w:lvl>
    <w:lvl w:ilvl="2" w:tplc="BFE2B6EE">
      <w:numFmt w:val="bullet"/>
      <w:lvlText w:val="•"/>
      <w:lvlJc w:val="left"/>
      <w:pPr>
        <w:ind w:left="1485" w:hanging="217"/>
      </w:pPr>
      <w:rPr>
        <w:rFonts w:hint="default"/>
        <w:lang w:val="en-GB" w:eastAsia="en-GB" w:bidi="en-GB"/>
      </w:rPr>
    </w:lvl>
    <w:lvl w:ilvl="3" w:tplc="7AEADBFA">
      <w:numFmt w:val="bullet"/>
      <w:lvlText w:val="•"/>
      <w:lvlJc w:val="left"/>
      <w:pPr>
        <w:ind w:left="2077" w:hanging="217"/>
      </w:pPr>
      <w:rPr>
        <w:rFonts w:hint="default"/>
        <w:lang w:val="en-GB" w:eastAsia="en-GB" w:bidi="en-GB"/>
      </w:rPr>
    </w:lvl>
    <w:lvl w:ilvl="4" w:tplc="8DB6ED24">
      <w:numFmt w:val="bullet"/>
      <w:lvlText w:val="•"/>
      <w:lvlJc w:val="left"/>
      <w:pPr>
        <w:ind w:left="2670" w:hanging="217"/>
      </w:pPr>
      <w:rPr>
        <w:rFonts w:hint="default"/>
        <w:lang w:val="en-GB" w:eastAsia="en-GB" w:bidi="en-GB"/>
      </w:rPr>
    </w:lvl>
    <w:lvl w:ilvl="5" w:tplc="16C00ACE">
      <w:numFmt w:val="bullet"/>
      <w:lvlText w:val="•"/>
      <w:lvlJc w:val="left"/>
      <w:pPr>
        <w:ind w:left="3263" w:hanging="217"/>
      </w:pPr>
      <w:rPr>
        <w:rFonts w:hint="default"/>
        <w:lang w:val="en-GB" w:eastAsia="en-GB" w:bidi="en-GB"/>
      </w:rPr>
    </w:lvl>
    <w:lvl w:ilvl="6" w:tplc="DB4EDFAC">
      <w:numFmt w:val="bullet"/>
      <w:lvlText w:val="•"/>
      <w:lvlJc w:val="left"/>
      <w:pPr>
        <w:ind w:left="3855" w:hanging="217"/>
      </w:pPr>
      <w:rPr>
        <w:rFonts w:hint="default"/>
        <w:lang w:val="en-GB" w:eastAsia="en-GB" w:bidi="en-GB"/>
      </w:rPr>
    </w:lvl>
    <w:lvl w:ilvl="7" w:tplc="665EA468">
      <w:numFmt w:val="bullet"/>
      <w:lvlText w:val="•"/>
      <w:lvlJc w:val="left"/>
      <w:pPr>
        <w:ind w:left="4448" w:hanging="217"/>
      </w:pPr>
      <w:rPr>
        <w:rFonts w:hint="default"/>
        <w:lang w:val="en-GB" w:eastAsia="en-GB" w:bidi="en-GB"/>
      </w:rPr>
    </w:lvl>
    <w:lvl w:ilvl="8" w:tplc="ACA26B28">
      <w:numFmt w:val="bullet"/>
      <w:lvlText w:val="•"/>
      <w:lvlJc w:val="left"/>
      <w:pPr>
        <w:ind w:left="5040" w:hanging="217"/>
      </w:pPr>
      <w:rPr>
        <w:rFonts w:hint="default"/>
        <w:lang w:val="en-GB" w:eastAsia="en-GB" w:bidi="en-GB"/>
      </w:rPr>
    </w:lvl>
  </w:abstractNum>
  <w:abstractNum w:abstractNumId="1229" w15:restartNumberingAfterBreak="0">
    <w:nsid w:val="6F0A272F"/>
    <w:multiLevelType w:val="hybridMultilevel"/>
    <w:tmpl w:val="C1F699DE"/>
    <w:lvl w:ilvl="0" w:tplc="7D34D34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AC205FC">
      <w:numFmt w:val="bullet"/>
      <w:lvlText w:val="•"/>
      <w:lvlJc w:val="left"/>
      <w:pPr>
        <w:ind w:left="439" w:hanging="217"/>
      </w:pPr>
      <w:rPr>
        <w:rFonts w:hint="default"/>
        <w:lang w:val="en-GB" w:eastAsia="en-GB" w:bidi="en-GB"/>
      </w:rPr>
    </w:lvl>
    <w:lvl w:ilvl="2" w:tplc="01D6BFC8">
      <w:numFmt w:val="bullet"/>
      <w:lvlText w:val="•"/>
      <w:lvlJc w:val="left"/>
      <w:pPr>
        <w:ind w:left="578" w:hanging="217"/>
      </w:pPr>
      <w:rPr>
        <w:rFonts w:hint="default"/>
        <w:lang w:val="en-GB" w:eastAsia="en-GB" w:bidi="en-GB"/>
      </w:rPr>
    </w:lvl>
    <w:lvl w:ilvl="3" w:tplc="D11EE89C">
      <w:numFmt w:val="bullet"/>
      <w:lvlText w:val="•"/>
      <w:lvlJc w:val="left"/>
      <w:pPr>
        <w:ind w:left="717" w:hanging="217"/>
      </w:pPr>
      <w:rPr>
        <w:rFonts w:hint="default"/>
        <w:lang w:val="en-GB" w:eastAsia="en-GB" w:bidi="en-GB"/>
      </w:rPr>
    </w:lvl>
    <w:lvl w:ilvl="4" w:tplc="59BCFE70">
      <w:numFmt w:val="bullet"/>
      <w:lvlText w:val="•"/>
      <w:lvlJc w:val="left"/>
      <w:pPr>
        <w:ind w:left="856" w:hanging="217"/>
      </w:pPr>
      <w:rPr>
        <w:rFonts w:hint="default"/>
        <w:lang w:val="en-GB" w:eastAsia="en-GB" w:bidi="en-GB"/>
      </w:rPr>
    </w:lvl>
    <w:lvl w:ilvl="5" w:tplc="AA6A2F18">
      <w:numFmt w:val="bullet"/>
      <w:lvlText w:val="•"/>
      <w:lvlJc w:val="left"/>
      <w:pPr>
        <w:ind w:left="995" w:hanging="217"/>
      </w:pPr>
      <w:rPr>
        <w:rFonts w:hint="default"/>
        <w:lang w:val="en-GB" w:eastAsia="en-GB" w:bidi="en-GB"/>
      </w:rPr>
    </w:lvl>
    <w:lvl w:ilvl="6" w:tplc="22486D64">
      <w:numFmt w:val="bullet"/>
      <w:lvlText w:val="•"/>
      <w:lvlJc w:val="left"/>
      <w:pPr>
        <w:ind w:left="1134" w:hanging="217"/>
      </w:pPr>
      <w:rPr>
        <w:rFonts w:hint="default"/>
        <w:lang w:val="en-GB" w:eastAsia="en-GB" w:bidi="en-GB"/>
      </w:rPr>
    </w:lvl>
    <w:lvl w:ilvl="7" w:tplc="FAFE7E6E">
      <w:numFmt w:val="bullet"/>
      <w:lvlText w:val="•"/>
      <w:lvlJc w:val="left"/>
      <w:pPr>
        <w:ind w:left="1273" w:hanging="217"/>
      </w:pPr>
      <w:rPr>
        <w:rFonts w:hint="default"/>
        <w:lang w:val="en-GB" w:eastAsia="en-GB" w:bidi="en-GB"/>
      </w:rPr>
    </w:lvl>
    <w:lvl w:ilvl="8" w:tplc="B7EEA83E">
      <w:numFmt w:val="bullet"/>
      <w:lvlText w:val="•"/>
      <w:lvlJc w:val="left"/>
      <w:pPr>
        <w:ind w:left="1412" w:hanging="217"/>
      </w:pPr>
      <w:rPr>
        <w:rFonts w:hint="default"/>
        <w:lang w:val="en-GB" w:eastAsia="en-GB" w:bidi="en-GB"/>
      </w:rPr>
    </w:lvl>
  </w:abstractNum>
  <w:abstractNum w:abstractNumId="1230" w15:restartNumberingAfterBreak="0">
    <w:nsid w:val="6F387D13"/>
    <w:multiLevelType w:val="hybridMultilevel"/>
    <w:tmpl w:val="1EA0592A"/>
    <w:lvl w:ilvl="0" w:tplc="15B4FF48">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1B560900">
      <w:numFmt w:val="bullet"/>
      <w:lvlText w:val="•"/>
      <w:lvlJc w:val="left"/>
      <w:pPr>
        <w:ind w:left="473" w:hanging="217"/>
      </w:pPr>
      <w:rPr>
        <w:rFonts w:hint="default"/>
        <w:lang w:val="en-GB" w:eastAsia="en-GB" w:bidi="en-GB"/>
      </w:rPr>
    </w:lvl>
    <w:lvl w:ilvl="2" w:tplc="9E105B5C">
      <w:numFmt w:val="bullet"/>
      <w:lvlText w:val="•"/>
      <w:lvlJc w:val="left"/>
      <w:pPr>
        <w:ind w:left="646" w:hanging="217"/>
      </w:pPr>
      <w:rPr>
        <w:rFonts w:hint="default"/>
        <w:lang w:val="en-GB" w:eastAsia="en-GB" w:bidi="en-GB"/>
      </w:rPr>
    </w:lvl>
    <w:lvl w:ilvl="3" w:tplc="2CF4FCE0">
      <w:numFmt w:val="bullet"/>
      <w:lvlText w:val="•"/>
      <w:lvlJc w:val="left"/>
      <w:pPr>
        <w:ind w:left="819" w:hanging="217"/>
      </w:pPr>
      <w:rPr>
        <w:rFonts w:hint="default"/>
        <w:lang w:val="en-GB" w:eastAsia="en-GB" w:bidi="en-GB"/>
      </w:rPr>
    </w:lvl>
    <w:lvl w:ilvl="4" w:tplc="E766E90A">
      <w:numFmt w:val="bullet"/>
      <w:lvlText w:val="•"/>
      <w:lvlJc w:val="left"/>
      <w:pPr>
        <w:ind w:left="992" w:hanging="217"/>
      </w:pPr>
      <w:rPr>
        <w:rFonts w:hint="default"/>
        <w:lang w:val="en-GB" w:eastAsia="en-GB" w:bidi="en-GB"/>
      </w:rPr>
    </w:lvl>
    <w:lvl w:ilvl="5" w:tplc="EBA0FF84">
      <w:numFmt w:val="bullet"/>
      <w:lvlText w:val="•"/>
      <w:lvlJc w:val="left"/>
      <w:pPr>
        <w:ind w:left="1165" w:hanging="217"/>
      </w:pPr>
      <w:rPr>
        <w:rFonts w:hint="default"/>
        <w:lang w:val="en-GB" w:eastAsia="en-GB" w:bidi="en-GB"/>
      </w:rPr>
    </w:lvl>
    <w:lvl w:ilvl="6" w:tplc="031819C2">
      <w:numFmt w:val="bullet"/>
      <w:lvlText w:val="•"/>
      <w:lvlJc w:val="left"/>
      <w:pPr>
        <w:ind w:left="1338" w:hanging="217"/>
      </w:pPr>
      <w:rPr>
        <w:rFonts w:hint="default"/>
        <w:lang w:val="en-GB" w:eastAsia="en-GB" w:bidi="en-GB"/>
      </w:rPr>
    </w:lvl>
    <w:lvl w:ilvl="7" w:tplc="7E868062">
      <w:numFmt w:val="bullet"/>
      <w:lvlText w:val="•"/>
      <w:lvlJc w:val="left"/>
      <w:pPr>
        <w:ind w:left="1511" w:hanging="217"/>
      </w:pPr>
      <w:rPr>
        <w:rFonts w:hint="default"/>
        <w:lang w:val="en-GB" w:eastAsia="en-GB" w:bidi="en-GB"/>
      </w:rPr>
    </w:lvl>
    <w:lvl w:ilvl="8" w:tplc="C596C21E">
      <w:numFmt w:val="bullet"/>
      <w:lvlText w:val="•"/>
      <w:lvlJc w:val="left"/>
      <w:pPr>
        <w:ind w:left="1684" w:hanging="217"/>
      </w:pPr>
      <w:rPr>
        <w:rFonts w:hint="default"/>
        <w:lang w:val="en-GB" w:eastAsia="en-GB" w:bidi="en-GB"/>
      </w:rPr>
    </w:lvl>
  </w:abstractNum>
  <w:abstractNum w:abstractNumId="1231" w15:restartNumberingAfterBreak="0">
    <w:nsid w:val="6F4462AA"/>
    <w:multiLevelType w:val="hybridMultilevel"/>
    <w:tmpl w:val="B13AAB5C"/>
    <w:lvl w:ilvl="0" w:tplc="715A2698">
      <w:numFmt w:val="bullet"/>
      <w:lvlText w:val="•"/>
      <w:lvlJc w:val="left"/>
      <w:pPr>
        <w:ind w:left="305" w:hanging="217"/>
      </w:pPr>
      <w:rPr>
        <w:rFonts w:ascii="Arial" w:eastAsia="Arial" w:hAnsi="Arial" w:cs="Arial" w:hint="default"/>
        <w:color w:val="231F20"/>
        <w:w w:val="102"/>
        <w:sz w:val="17"/>
        <w:szCs w:val="17"/>
        <w:lang w:val="en-GB" w:eastAsia="en-GB" w:bidi="en-GB"/>
      </w:rPr>
    </w:lvl>
    <w:lvl w:ilvl="1" w:tplc="088A0308">
      <w:numFmt w:val="bullet"/>
      <w:lvlText w:val="•"/>
      <w:lvlJc w:val="left"/>
      <w:pPr>
        <w:ind w:left="892" w:hanging="217"/>
      </w:pPr>
      <w:rPr>
        <w:rFonts w:hint="default"/>
        <w:lang w:val="en-GB" w:eastAsia="en-GB" w:bidi="en-GB"/>
      </w:rPr>
    </w:lvl>
    <w:lvl w:ilvl="2" w:tplc="B81214AE">
      <w:numFmt w:val="bullet"/>
      <w:lvlText w:val="•"/>
      <w:lvlJc w:val="left"/>
      <w:pPr>
        <w:ind w:left="1485" w:hanging="217"/>
      </w:pPr>
      <w:rPr>
        <w:rFonts w:hint="default"/>
        <w:lang w:val="en-GB" w:eastAsia="en-GB" w:bidi="en-GB"/>
      </w:rPr>
    </w:lvl>
    <w:lvl w:ilvl="3" w:tplc="D87C9476">
      <w:numFmt w:val="bullet"/>
      <w:lvlText w:val="•"/>
      <w:lvlJc w:val="left"/>
      <w:pPr>
        <w:ind w:left="2077" w:hanging="217"/>
      </w:pPr>
      <w:rPr>
        <w:rFonts w:hint="default"/>
        <w:lang w:val="en-GB" w:eastAsia="en-GB" w:bidi="en-GB"/>
      </w:rPr>
    </w:lvl>
    <w:lvl w:ilvl="4" w:tplc="EC9A871C">
      <w:numFmt w:val="bullet"/>
      <w:lvlText w:val="•"/>
      <w:lvlJc w:val="left"/>
      <w:pPr>
        <w:ind w:left="2670" w:hanging="217"/>
      </w:pPr>
      <w:rPr>
        <w:rFonts w:hint="default"/>
        <w:lang w:val="en-GB" w:eastAsia="en-GB" w:bidi="en-GB"/>
      </w:rPr>
    </w:lvl>
    <w:lvl w:ilvl="5" w:tplc="C15ECC16">
      <w:numFmt w:val="bullet"/>
      <w:lvlText w:val="•"/>
      <w:lvlJc w:val="left"/>
      <w:pPr>
        <w:ind w:left="3263" w:hanging="217"/>
      </w:pPr>
      <w:rPr>
        <w:rFonts w:hint="default"/>
        <w:lang w:val="en-GB" w:eastAsia="en-GB" w:bidi="en-GB"/>
      </w:rPr>
    </w:lvl>
    <w:lvl w:ilvl="6" w:tplc="04EAD694">
      <w:numFmt w:val="bullet"/>
      <w:lvlText w:val="•"/>
      <w:lvlJc w:val="left"/>
      <w:pPr>
        <w:ind w:left="3855" w:hanging="217"/>
      </w:pPr>
      <w:rPr>
        <w:rFonts w:hint="default"/>
        <w:lang w:val="en-GB" w:eastAsia="en-GB" w:bidi="en-GB"/>
      </w:rPr>
    </w:lvl>
    <w:lvl w:ilvl="7" w:tplc="687CD07E">
      <w:numFmt w:val="bullet"/>
      <w:lvlText w:val="•"/>
      <w:lvlJc w:val="left"/>
      <w:pPr>
        <w:ind w:left="4448" w:hanging="217"/>
      </w:pPr>
      <w:rPr>
        <w:rFonts w:hint="default"/>
        <w:lang w:val="en-GB" w:eastAsia="en-GB" w:bidi="en-GB"/>
      </w:rPr>
    </w:lvl>
    <w:lvl w:ilvl="8" w:tplc="1EDE6DDA">
      <w:numFmt w:val="bullet"/>
      <w:lvlText w:val="•"/>
      <w:lvlJc w:val="left"/>
      <w:pPr>
        <w:ind w:left="5040" w:hanging="217"/>
      </w:pPr>
      <w:rPr>
        <w:rFonts w:hint="default"/>
        <w:lang w:val="en-GB" w:eastAsia="en-GB" w:bidi="en-GB"/>
      </w:rPr>
    </w:lvl>
  </w:abstractNum>
  <w:abstractNum w:abstractNumId="1232" w15:restartNumberingAfterBreak="0">
    <w:nsid w:val="6F4D1C74"/>
    <w:multiLevelType w:val="hybridMultilevel"/>
    <w:tmpl w:val="6C382512"/>
    <w:lvl w:ilvl="0" w:tplc="7E48EC5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EF670F0">
      <w:numFmt w:val="bullet"/>
      <w:lvlText w:val="•"/>
      <w:lvlJc w:val="left"/>
      <w:pPr>
        <w:ind w:left="467" w:hanging="217"/>
      </w:pPr>
      <w:rPr>
        <w:rFonts w:hint="default"/>
        <w:lang w:val="en-GB" w:eastAsia="en-GB" w:bidi="en-GB"/>
      </w:rPr>
    </w:lvl>
    <w:lvl w:ilvl="2" w:tplc="46CE9C90">
      <w:numFmt w:val="bullet"/>
      <w:lvlText w:val="•"/>
      <w:lvlJc w:val="left"/>
      <w:pPr>
        <w:ind w:left="634" w:hanging="217"/>
      </w:pPr>
      <w:rPr>
        <w:rFonts w:hint="default"/>
        <w:lang w:val="en-GB" w:eastAsia="en-GB" w:bidi="en-GB"/>
      </w:rPr>
    </w:lvl>
    <w:lvl w:ilvl="3" w:tplc="B90C8BCA">
      <w:numFmt w:val="bullet"/>
      <w:lvlText w:val="•"/>
      <w:lvlJc w:val="left"/>
      <w:pPr>
        <w:ind w:left="802" w:hanging="217"/>
      </w:pPr>
      <w:rPr>
        <w:rFonts w:hint="default"/>
        <w:lang w:val="en-GB" w:eastAsia="en-GB" w:bidi="en-GB"/>
      </w:rPr>
    </w:lvl>
    <w:lvl w:ilvl="4" w:tplc="26BC4194">
      <w:numFmt w:val="bullet"/>
      <w:lvlText w:val="•"/>
      <w:lvlJc w:val="left"/>
      <w:pPr>
        <w:ind w:left="969" w:hanging="217"/>
      </w:pPr>
      <w:rPr>
        <w:rFonts w:hint="default"/>
        <w:lang w:val="en-GB" w:eastAsia="en-GB" w:bidi="en-GB"/>
      </w:rPr>
    </w:lvl>
    <w:lvl w:ilvl="5" w:tplc="3F4EEF60">
      <w:numFmt w:val="bullet"/>
      <w:lvlText w:val="•"/>
      <w:lvlJc w:val="left"/>
      <w:pPr>
        <w:ind w:left="1137" w:hanging="217"/>
      </w:pPr>
      <w:rPr>
        <w:rFonts w:hint="default"/>
        <w:lang w:val="en-GB" w:eastAsia="en-GB" w:bidi="en-GB"/>
      </w:rPr>
    </w:lvl>
    <w:lvl w:ilvl="6" w:tplc="B7246206">
      <w:numFmt w:val="bullet"/>
      <w:lvlText w:val="•"/>
      <w:lvlJc w:val="left"/>
      <w:pPr>
        <w:ind w:left="1304" w:hanging="217"/>
      </w:pPr>
      <w:rPr>
        <w:rFonts w:hint="default"/>
        <w:lang w:val="en-GB" w:eastAsia="en-GB" w:bidi="en-GB"/>
      </w:rPr>
    </w:lvl>
    <w:lvl w:ilvl="7" w:tplc="14BE1B6E">
      <w:numFmt w:val="bullet"/>
      <w:lvlText w:val="•"/>
      <w:lvlJc w:val="left"/>
      <w:pPr>
        <w:ind w:left="1471" w:hanging="217"/>
      </w:pPr>
      <w:rPr>
        <w:rFonts w:hint="default"/>
        <w:lang w:val="en-GB" w:eastAsia="en-GB" w:bidi="en-GB"/>
      </w:rPr>
    </w:lvl>
    <w:lvl w:ilvl="8" w:tplc="99BEAF5A">
      <w:numFmt w:val="bullet"/>
      <w:lvlText w:val="•"/>
      <w:lvlJc w:val="left"/>
      <w:pPr>
        <w:ind w:left="1639" w:hanging="217"/>
      </w:pPr>
      <w:rPr>
        <w:rFonts w:hint="default"/>
        <w:lang w:val="en-GB" w:eastAsia="en-GB" w:bidi="en-GB"/>
      </w:rPr>
    </w:lvl>
  </w:abstractNum>
  <w:abstractNum w:abstractNumId="1233" w15:restartNumberingAfterBreak="0">
    <w:nsid w:val="6F5F5169"/>
    <w:multiLevelType w:val="hybridMultilevel"/>
    <w:tmpl w:val="D7FEE1C4"/>
    <w:lvl w:ilvl="0" w:tplc="C9D80FE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3B44356">
      <w:numFmt w:val="bullet"/>
      <w:lvlText w:val="•"/>
      <w:lvlJc w:val="left"/>
      <w:pPr>
        <w:ind w:left="1061" w:hanging="217"/>
      </w:pPr>
      <w:rPr>
        <w:rFonts w:hint="default"/>
        <w:lang w:val="en-GB" w:eastAsia="en-GB" w:bidi="en-GB"/>
      </w:rPr>
    </w:lvl>
    <w:lvl w:ilvl="2" w:tplc="B106D028">
      <w:numFmt w:val="bullet"/>
      <w:lvlText w:val="•"/>
      <w:lvlJc w:val="left"/>
      <w:pPr>
        <w:ind w:left="1823" w:hanging="217"/>
      </w:pPr>
      <w:rPr>
        <w:rFonts w:hint="default"/>
        <w:lang w:val="en-GB" w:eastAsia="en-GB" w:bidi="en-GB"/>
      </w:rPr>
    </w:lvl>
    <w:lvl w:ilvl="3" w:tplc="1D80FD82">
      <w:numFmt w:val="bullet"/>
      <w:lvlText w:val="•"/>
      <w:lvlJc w:val="left"/>
      <w:pPr>
        <w:ind w:left="2585" w:hanging="217"/>
      </w:pPr>
      <w:rPr>
        <w:rFonts w:hint="default"/>
        <w:lang w:val="en-GB" w:eastAsia="en-GB" w:bidi="en-GB"/>
      </w:rPr>
    </w:lvl>
    <w:lvl w:ilvl="4" w:tplc="F51851D0">
      <w:numFmt w:val="bullet"/>
      <w:lvlText w:val="•"/>
      <w:lvlJc w:val="left"/>
      <w:pPr>
        <w:ind w:left="3346" w:hanging="217"/>
      </w:pPr>
      <w:rPr>
        <w:rFonts w:hint="default"/>
        <w:lang w:val="en-GB" w:eastAsia="en-GB" w:bidi="en-GB"/>
      </w:rPr>
    </w:lvl>
    <w:lvl w:ilvl="5" w:tplc="178C9682">
      <w:numFmt w:val="bullet"/>
      <w:lvlText w:val="•"/>
      <w:lvlJc w:val="left"/>
      <w:pPr>
        <w:ind w:left="4108" w:hanging="217"/>
      </w:pPr>
      <w:rPr>
        <w:rFonts w:hint="default"/>
        <w:lang w:val="en-GB" w:eastAsia="en-GB" w:bidi="en-GB"/>
      </w:rPr>
    </w:lvl>
    <w:lvl w:ilvl="6" w:tplc="810C1D48">
      <w:numFmt w:val="bullet"/>
      <w:lvlText w:val="•"/>
      <w:lvlJc w:val="left"/>
      <w:pPr>
        <w:ind w:left="4870" w:hanging="217"/>
      </w:pPr>
      <w:rPr>
        <w:rFonts w:hint="default"/>
        <w:lang w:val="en-GB" w:eastAsia="en-GB" w:bidi="en-GB"/>
      </w:rPr>
    </w:lvl>
    <w:lvl w:ilvl="7" w:tplc="B44E818E">
      <w:numFmt w:val="bullet"/>
      <w:lvlText w:val="•"/>
      <w:lvlJc w:val="left"/>
      <w:pPr>
        <w:ind w:left="5631" w:hanging="217"/>
      </w:pPr>
      <w:rPr>
        <w:rFonts w:hint="default"/>
        <w:lang w:val="en-GB" w:eastAsia="en-GB" w:bidi="en-GB"/>
      </w:rPr>
    </w:lvl>
    <w:lvl w:ilvl="8" w:tplc="B20AC946">
      <w:numFmt w:val="bullet"/>
      <w:lvlText w:val="•"/>
      <w:lvlJc w:val="left"/>
      <w:pPr>
        <w:ind w:left="6393" w:hanging="217"/>
      </w:pPr>
      <w:rPr>
        <w:rFonts w:hint="default"/>
        <w:lang w:val="en-GB" w:eastAsia="en-GB" w:bidi="en-GB"/>
      </w:rPr>
    </w:lvl>
  </w:abstractNum>
  <w:abstractNum w:abstractNumId="1234" w15:restartNumberingAfterBreak="0">
    <w:nsid w:val="6F5F714E"/>
    <w:multiLevelType w:val="hybridMultilevel"/>
    <w:tmpl w:val="15DCDD8A"/>
    <w:lvl w:ilvl="0" w:tplc="842AAF8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0328F02">
      <w:numFmt w:val="bullet"/>
      <w:lvlText w:val="•"/>
      <w:lvlJc w:val="left"/>
      <w:pPr>
        <w:ind w:left="473" w:hanging="217"/>
      </w:pPr>
      <w:rPr>
        <w:rFonts w:hint="default"/>
        <w:lang w:val="en-GB" w:eastAsia="en-GB" w:bidi="en-GB"/>
      </w:rPr>
    </w:lvl>
    <w:lvl w:ilvl="2" w:tplc="E0CC7686">
      <w:numFmt w:val="bullet"/>
      <w:lvlText w:val="•"/>
      <w:lvlJc w:val="left"/>
      <w:pPr>
        <w:ind w:left="646" w:hanging="217"/>
      </w:pPr>
      <w:rPr>
        <w:rFonts w:hint="default"/>
        <w:lang w:val="en-GB" w:eastAsia="en-GB" w:bidi="en-GB"/>
      </w:rPr>
    </w:lvl>
    <w:lvl w:ilvl="3" w:tplc="940C059A">
      <w:numFmt w:val="bullet"/>
      <w:lvlText w:val="•"/>
      <w:lvlJc w:val="left"/>
      <w:pPr>
        <w:ind w:left="819" w:hanging="217"/>
      </w:pPr>
      <w:rPr>
        <w:rFonts w:hint="default"/>
        <w:lang w:val="en-GB" w:eastAsia="en-GB" w:bidi="en-GB"/>
      </w:rPr>
    </w:lvl>
    <w:lvl w:ilvl="4" w:tplc="56A20040">
      <w:numFmt w:val="bullet"/>
      <w:lvlText w:val="•"/>
      <w:lvlJc w:val="left"/>
      <w:pPr>
        <w:ind w:left="992" w:hanging="217"/>
      </w:pPr>
      <w:rPr>
        <w:rFonts w:hint="default"/>
        <w:lang w:val="en-GB" w:eastAsia="en-GB" w:bidi="en-GB"/>
      </w:rPr>
    </w:lvl>
    <w:lvl w:ilvl="5" w:tplc="D7E89C88">
      <w:numFmt w:val="bullet"/>
      <w:lvlText w:val="•"/>
      <w:lvlJc w:val="left"/>
      <w:pPr>
        <w:ind w:left="1165" w:hanging="217"/>
      </w:pPr>
      <w:rPr>
        <w:rFonts w:hint="default"/>
        <w:lang w:val="en-GB" w:eastAsia="en-GB" w:bidi="en-GB"/>
      </w:rPr>
    </w:lvl>
    <w:lvl w:ilvl="6" w:tplc="AD367726">
      <w:numFmt w:val="bullet"/>
      <w:lvlText w:val="•"/>
      <w:lvlJc w:val="left"/>
      <w:pPr>
        <w:ind w:left="1338" w:hanging="217"/>
      </w:pPr>
      <w:rPr>
        <w:rFonts w:hint="default"/>
        <w:lang w:val="en-GB" w:eastAsia="en-GB" w:bidi="en-GB"/>
      </w:rPr>
    </w:lvl>
    <w:lvl w:ilvl="7" w:tplc="8976FB34">
      <w:numFmt w:val="bullet"/>
      <w:lvlText w:val="•"/>
      <w:lvlJc w:val="left"/>
      <w:pPr>
        <w:ind w:left="1511" w:hanging="217"/>
      </w:pPr>
      <w:rPr>
        <w:rFonts w:hint="default"/>
        <w:lang w:val="en-GB" w:eastAsia="en-GB" w:bidi="en-GB"/>
      </w:rPr>
    </w:lvl>
    <w:lvl w:ilvl="8" w:tplc="AE2C7728">
      <w:numFmt w:val="bullet"/>
      <w:lvlText w:val="•"/>
      <w:lvlJc w:val="left"/>
      <w:pPr>
        <w:ind w:left="1684" w:hanging="217"/>
      </w:pPr>
      <w:rPr>
        <w:rFonts w:hint="default"/>
        <w:lang w:val="en-GB" w:eastAsia="en-GB" w:bidi="en-GB"/>
      </w:rPr>
    </w:lvl>
  </w:abstractNum>
  <w:abstractNum w:abstractNumId="1235" w15:restartNumberingAfterBreak="0">
    <w:nsid w:val="6FA318F7"/>
    <w:multiLevelType w:val="hybridMultilevel"/>
    <w:tmpl w:val="D1728226"/>
    <w:lvl w:ilvl="0" w:tplc="7EB8F9E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19A4305C">
      <w:numFmt w:val="bullet"/>
      <w:lvlText w:val="•"/>
      <w:lvlJc w:val="left"/>
      <w:pPr>
        <w:ind w:left="892" w:hanging="217"/>
      </w:pPr>
      <w:rPr>
        <w:rFonts w:hint="default"/>
        <w:lang w:val="en-GB" w:eastAsia="en-GB" w:bidi="en-GB"/>
      </w:rPr>
    </w:lvl>
    <w:lvl w:ilvl="2" w:tplc="AEC0B126">
      <w:numFmt w:val="bullet"/>
      <w:lvlText w:val="•"/>
      <w:lvlJc w:val="left"/>
      <w:pPr>
        <w:ind w:left="1485" w:hanging="217"/>
      </w:pPr>
      <w:rPr>
        <w:rFonts w:hint="default"/>
        <w:lang w:val="en-GB" w:eastAsia="en-GB" w:bidi="en-GB"/>
      </w:rPr>
    </w:lvl>
    <w:lvl w:ilvl="3" w:tplc="B308B5A6">
      <w:numFmt w:val="bullet"/>
      <w:lvlText w:val="•"/>
      <w:lvlJc w:val="left"/>
      <w:pPr>
        <w:ind w:left="2077" w:hanging="217"/>
      </w:pPr>
      <w:rPr>
        <w:rFonts w:hint="default"/>
        <w:lang w:val="en-GB" w:eastAsia="en-GB" w:bidi="en-GB"/>
      </w:rPr>
    </w:lvl>
    <w:lvl w:ilvl="4" w:tplc="5A0A8690">
      <w:numFmt w:val="bullet"/>
      <w:lvlText w:val="•"/>
      <w:lvlJc w:val="left"/>
      <w:pPr>
        <w:ind w:left="2670" w:hanging="217"/>
      </w:pPr>
      <w:rPr>
        <w:rFonts w:hint="default"/>
        <w:lang w:val="en-GB" w:eastAsia="en-GB" w:bidi="en-GB"/>
      </w:rPr>
    </w:lvl>
    <w:lvl w:ilvl="5" w:tplc="E5DA7BA8">
      <w:numFmt w:val="bullet"/>
      <w:lvlText w:val="•"/>
      <w:lvlJc w:val="left"/>
      <w:pPr>
        <w:ind w:left="3263" w:hanging="217"/>
      </w:pPr>
      <w:rPr>
        <w:rFonts w:hint="default"/>
        <w:lang w:val="en-GB" w:eastAsia="en-GB" w:bidi="en-GB"/>
      </w:rPr>
    </w:lvl>
    <w:lvl w:ilvl="6" w:tplc="6876DEB2">
      <w:numFmt w:val="bullet"/>
      <w:lvlText w:val="•"/>
      <w:lvlJc w:val="left"/>
      <w:pPr>
        <w:ind w:left="3855" w:hanging="217"/>
      </w:pPr>
      <w:rPr>
        <w:rFonts w:hint="default"/>
        <w:lang w:val="en-GB" w:eastAsia="en-GB" w:bidi="en-GB"/>
      </w:rPr>
    </w:lvl>
    <w:lvl w:ilvl="7" w:tplc="FB84C25C">
      <w:numFmt w:val="bullet"/>
      <w:lvlText w:val="•"/>
      <w:lvlJc w:val="left"/>
      <w:pPr>
        <w:ind w:left="4448" w:hanging="217"/>
      </w:pPr>
      <w:rPr>
        <w:rFonts w:hint="default"/>
        <w:lang w:val="en-GB" w:eastAsia="en-GB" w:bidi="en-GB"/>
      </w:rPr>
    </w:lvl>
    <w:lvl w:ilvl="8" w:tplc="B9988C7C">
      <w:numFmt w:val="bullet"/>
      <w:lvlText w:val="•"/>
      <w:lvlJc w:val="left"/>
      <w:pPr>
        <w:ind w:left="5040" w:hanging="217"/>
      </w:pPr>
      <w:rPr>
        <w:rFonts w:hint="default"/>
        <w:lang w:val="en-GB" w:eastAsia="en-GB" w:bidi="en-GB"/>
      </w:rPr>
    </w:lvl>
  </w:abstractNum>
  <w:abstractNum w:abstractNumId="1236" w15:restartNumberingAfterBreak="0">
    <w:nsid w:val="6FD3316A"/>
    <w:multiLevelType w:val="hybridMultilevel"/>
    <w:tmpl w:val="DC265920"/>
    <w:lvl w:ilvl="0" w:tplc="72D86C8E">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1C0085B6">
      <w:numFmt w:val="bullet"/>
      <w:lvlText w:val="•"/>
      <w:lvlJc w:val="left"/>
      <w:pPr>
        <w:ind w:left="473" w:hanging="217"/>
      </w:pPr>
      <w:rPr>
        <w:rFonts w:hint="default"/>
        <w:lang w:val="en-GB" w:eastAsia="en-GB" w:bidi="en-GB"/>
      </w:rPr>
    </w:lvl>
    <w:lvl w:ilvl="2" w:tplc="FE0E1F78">
      <w:numFmt w:val="bullet"/>
      <w:lvlText w:val="•"/>
      <w:lvlJc w:val="left"/>
      <w:pPr>
        <w:ind w:left="646" w:hanging="217"/>
      </w:pPr>
      <w:rPr>
        <w:rFonts w:hint="default"/>
        <w:lang w:val="en-GB" w:eastAsia="en-GB" w:bidi="en-GB"/>
      </w:rPr>
    </w:lvl>
    <w:lvl w:ilvl="3" w:tplc="B27A86E4">
      <w:numFmt w:val="bullet"/>
      <w:lvlText w:val="•"/>
      <w:lvlJc w:val="left"/>
      <w:pPr>
        <w:ind w:left="819" w:hanging="217"/>
      </w:pPr>
      <w:rPr>
        <w:rFonts w:hint="default"/>
        <w:lang w:val="en-GB" w:eastAsia="en-GB" w:bidi="en-GB"/>
      </w:rPr>
    </w:lvl>
    <w:lvl w:ilvl="4" w:tplc="73F052AA">
      <w:numFmt w:val="bullet"/>
      <w:lvlText w:val="•"/>
      <w:lvlJc w:val="left"/>
      <w:pPr>
        <w:ind w:left="992" w:hanging="217"/>
      </w:pPr>
      <w:rPr>
        <w:rFonts w:hint="default"/>
        <w:lang w:val="en-GB" w:eastAsia="en-GB" w:bidi="en-GB"/>
      </w:rPr>
    </w:lvl>
    <w:lvl w:ilvl="5" w:tplc="BAC83422">
      <w:numFmt w:val="bullet"/>
      <w:lvlText w:val="•"/>
      <w:lvlJc w:val="left"/>
      <w:pPr>
        <w:ind w:left="1165" w:hanging="217"/>
      </w:pPr>
      <w:rPr>
        <w:rFonts w:hint="default"/>
        <w:lang w:val="en-GB" w:eastAsia="en-GB" w:bidi="en-GB"/>
      </w:rPr>
    </w:lvl>
    <w:lvl w:ilvl="6" w:tplc="5888ACD8">
      <w:numFmt w:val="bullet"/>
      <w:lvlText w:val="•"/>
      <w:lvlJc w:val="left"/>
      <w:pPr>
        <w:ind w:left="1338" w:hanging="217"/>
      </w:pPr>
      <w:rPr>
        <w:rFonts w:hint="default"/>
        <w:lang w:val="en-GB" w:eastAsia="en-GB" w:bidi="en-GB"/>
      </w:rPr>
    </w:lvl>
    <w:lvl w:ilvl="7" w:tplc="4666467E">
      <w:numFmt w:val="bullet"/>
      <w:lvlText w:val="•"/>
      <w:lvlJc w:val="left"/>
      <w:pPr>
        <w:ind w:left="1511" w:hanging="217"/>
      </w:pPr>
      <w:rPr>
        <w:rFonts w:hint="default"/>
        <w:lang w:val="en-GB" w:eastAsia="en-GB" w:bidi="en-GB"/>
      </w:rPr>
    </w:lvl>
    <w:lvl w:ilvl="8" w:tplc="ABE06340">
      <w:numFmt w:val="bullet"/>
      <w:lvlText w:val="•"/>
      <w:lvlJc w:val="left"/>
      <w:pPr>
        <w:ind w:left="1684" w:hanging="217"/>
      </w:pPr>
      <w:rPr>
        <w:rFonts w:hint="default"/>
        <w:lang w:val="en-GB" w:eastAsia="en-GB" w:bidi="en-GB"/>
      </w:rPr>
    </w:lvl>
  </w:abstractNum>
  <w:abstractNum w:abstractNumId="1237" w15:restartNumberingAfterBreak="0">
    <w:nsid w:val="6FDF02D9"/>
    <w:multiLevelType w:val="hybridMultilevel"/>
    <w:tmpl w:val="F29CCBC2"/>
    <w:lvl w:ilvl="0" w:tplc="68FAD76A">
      <w:numFmt w:val="bullet"/>
      <w:lvlText w:val="•"/>
      <w:lvlJc w:val="left"/>
      <w:pPr>
        <w:ind w:left="276" w:hanging="217"/>
      </w:pPr>
      <w:rPr>
        <w:rFonts w:ascii="Arial" w:eastAsia="Arial" w:hAnsi="Arial" w:cs="Arial" w:hint="default"/>
        <w:color w:val="231F20"/>
        <w:w w:val="97"/>
        <w:sz w:val="16"/>
        <w:szCs w:val="16"/>
        <w:lang w:val="en-GB" w:eastAsia="en-GB" w:bidi="en-GB"/>
      </w:rPr>
    </w:lvl>
    <w:lvl w:ilvl="1" w:tplc="79B20110">
      <w:numFmt w:val="bullet"/>
      <w:lvlText w:val="•"/>
      <w:lvlJc w:val="left"/>
      <w:pPr>
        <w:ind w:left="381" w:hanging="217"/>
      </w:pPr>
      <w:rPr>
        <w:rFonts w:hint="default"/>
        <w:lang w:val="en-GB" w:eastAsia="en-GB" w:bidi="en-GB"/>
      </w:rPr>
    </w:lvl>
    <w:lvl w:ilvl="2" w:tplc="FB384BD6">
      <w:numFmt w:val="bullet"/>
      <w:lvlText w:val="•"/>
      <w:lvlJc w:val="left"/>
      <w:pPr>
        <w:ind w:left="482" w:hanging="217"/>
      </w:pPr>
      <w:rPr>
        <w:rFonts w:hint="default"/>
        <w:lang w:val="en-GB" w:eastAsia="en-GB" w:bidi="en-GB"/>
      </w:rPr>
    </w:lvl>
    <w:lvl w:ilvl="3" w:tplc="CACEFE86">
      <w:numFmt w:val="bullet"/>
      <w:lvlText w:val="•"/>
      <w:lvlJc w:val="left"/>
      <w:pPr>
        <w:ind w:left="584" w:hanging="217"/>
      </w:pPr>
      <w:rPr>
        <w:rFonts w:hint="default"/>
        <w:lang w:val="en-GB" w:eastAsia="en-GB" w:bidi="en-GB"/>
      </w:rPr>
    </w:lvl>
    <w:lvl w:ilvl="4" w:tplc="20F60786">
      <w:numFmt w:val="bullet"/>
      <w:lvlText w:val="•"/>
      <w:lvlJc w:val="left"/>
      <w:pPr>
        <w:ind w:left="685" w:hanging="217"/>
      </w:pPr>
      <w:rPr>
        <w:rFonts w:hint="default"/>
        <w:lang w:val="en-GB" w:eastAsia="en-GB" w:bidi="en-GB"/>
      </w:rPr>
    </w:lvl>
    <w:lvl w:ilvl="5" w:tplc="20DC1628">
      <w:numFmt w:val="bullet"/>
      <w:lvlText w:val="•"/>
      <w:lvlJc w:val="left"/>
      <w:pPr>
        <w:ind w:left="787" w:hanging="217"/>
      </w:pPr>
      <w:rPr>
        <w:rFonts w:hint="default"/>
        <w:lang w:val="en-GB" w:eastAsia="en-GB" w:bidi="en-GB"/>
      </w:rPr>
    </w:lvl>
    <w:lvl w:ilvl="6" w:tplc="7004C214">
      <w:numFmt w:val="bullet"/>
      <w:lvlText w:val="•"/>
      <w:lvlJc w:val="left"/>
      <w:pPr>
        <w:ind w:left="888" w:hanging="217"/>
      </w:pPr>
      <w:rPr>
        <w:rFonts w:hint="default"/>
        <w:lang w:val="en-GB" w:eastAsia="en-GB" w:bidi="en-GB"/>
      </w:rPr>
    </w:lvl>
    <w:lvl w:ilvl="7" w:tplc="16A2C30A">
      <w:numFmt w:val="bullet"/>
      <w:lvlText w:val="•"/>
      <w:lvlJc w:val="left"/>
      <w:pPr>
        <w:ind w:left="989" w:hanging="217"/>
      </w:pPr>
      <w:rPr>
        <w:rFonts w:hint="default"/>
        <w:lang w:val="en-GB" w:eastAsia="en-GB" w:bidi="en-GB"/>
      </w:rPr>
    </w:lvl>
    <w:lvl w:ilvl="8" w:tplc="D28CF09A">
      <w:numFmt w:val="bullet"/>
      <w:lvlText w:val="•"/>
      <w:lvlJc w:val="left"/>
      <w:pPr>
        <w:ind w:left="1091" w:hanging="217"/>
      </w:pPr>
      <w:rPr>
        <w:rFonts w:hint="default"/>
        <w:lang w:val="en-GB" w:eastAsia="en-GB" w:bidi="en-GB"/>
      </w:rPr>
    </w:lvl>
  </w:abstractNum>
  <w:abstractNum w:abstractNumId="1238" w15:restartNumberingAfterBreak="0">
    <w:nsid w:val="701C3226"/>
    <w:multiLevelType w:val="hybridMultilevel"/>
    <w:tmpl w:val="45740972"/>
    <w:lvl w:ilvl="0" w:tplc="CD860D5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7FEA30A">
      <w:numFmt w:val="bullet"/>
      <w:lvlText w:val="•"/>
      <w:lvlJc w:val="left"/>
      <w:pPr>
        <w:ind w:left="892" w:hanging="217"/>
      </w:pPr>
      <w:rPr>
        <w:rFonts w:hint="default"/>
        <w:lang w:val="en-GB" w:eastAsia="en-GB" w:bidi="en-GB"/>
      </w:rPr>
    </w:lvl>
    <w:lvl w:ilvl="2" w:tplc="528051C6">
      <w:numFmt w:val="bullet"/>
      <w:lvlText w:val="•"/>
      <w:lvlJc w:val="left"/>
      <w:pPr>
        <w:ind w:left="1485" w:hanging="217"/>
      </w:pPr>
      <w:rPr>
        <w:rFonts w:hint="default"/>
        <w:lang w:val="en-GB" w:eastAsia="en-GB" w:bidi="en-GB"/>
      </w:rPr>
    </w:lvl>
    <w:lvl w:ilvl="3" w:tplc="9C40CB6A">
      <w:numFmt w:val="bullet"/>
      <w:lvlText w:val="•"/>
      <w:lvlJc w:val="left"/>
      <w:pPr>
        <w:ind w:left="2077" w:hanging="217"/>
      </w:pPr>
      <w:rPr>
        <w:rFonts w:hint="default"/>
        <w:lang w:val="en-GB" w:eastAsia="en-GB" w:bidi="en-GB"/>
      </w:rPr>
    </w:lvl>
    <w:lvl w:ilvl="4" w:tplc="6016B3A2">
      <w:numFmt w:val="bullet"/>
      <w:lvlText w:val="•"/>
      <w:lvlJc w:val="left"/>
      <w:pPr>
        <w:ind w:left="2670" w:hanging="217"/>
      </w:pPr>
      <w:rPr>
        <w:rFonts w:hint="default"/>
        <w:lang w:val="en-GB" w:eastAsia="en-GB" w:bidi="en-GB"/>
      </w:rPr>
    </w:lvl>
    <w:lvl w:ilvl="5" w:tplc="C66A5598">
      <w:numFmt w:val="bullet"/>
      <w:lvlText w:val="•"/>
      <w:lvlJc w:val="left"/>
      <w:pPr>
        <w:ind w:left="3263" w:hanging="217"/>
      </w:pPr>
      <w:rPr>
        <w:rFonts w:hint="default"/>
        <w:lang w:val="en-GB" w:eastAsia="en-GB" w:bidi="en-GB"/>
      </w:rPr>
    </w:lvl>
    <w:lvl w:ilvl="6" w:tplc="2E667830">
      <w:numFmt w:val="bullet"/>
      <w:lvlText w:val="•"/>
      <w:lvlJc w:val="left"/>
      <w:pPr>
        <w:ind w:left="3855" w:hanging="217"/>
      </w:pPr>
      <w:rPr>
        <w:rFonts w:hint="default"/>
        <w:lang w:val="en-GB" w:eastAsia="en-GB" w:bidi="en-GB"/>
      </w:rPr>
    </w:lvl>
    <w:lvl w:ilvl="7" w:tplc="31A04F68">
      <w:numFmt w:val="bullet"/>
      <w:lvlText w:val="•"/>
      <w:lvlJc w:val="left"/>
      <w:pPr>
        <w:ind w:left="4448" w:hanging="217"/>
      </w:pPr>
      <w:rPr>
        <w:rFonts w:hint="default"/>
        <w:lang w:val="en-GB" w:eastAsia="en-GB" w:bidi="en-GB"/>
      </w:rPr>
    </w:lvl>
    <w:lvl w:ilvl="8" w:tplc="D7BA9024">
      <w:numFmt w:val="bullet"/>
      <w:lvlText w:val="•"/>
      <w:lvlJc w:val="left"/>
      <w:pPr>
        <w:ind w:left="5040" w:hanging="217"/>
      </w:pPr>
      <w:rPr>
        <w:rFonts w:hint="default"/>
        <w:lang w:val="en-GB" w:eastAsia="en-GB" w:bidi="en-GB"/>
      </w:rPr>
    </w:lvl>
  </w:abstractNum>
  <w:abstractNum w:abstractNumId="1239" w15:restartNumberingAfterBreak="0">
    <w:nsid w:val="702B02DC"/>
    <w:multiLevelType w:val="hybridMultilevel"/>
    <w:tmpl w:val="B05689E2"/>
    <w:lvl w:ilvl="0" w:tplc="142C5AF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1880988">
      <w:numFmt w:val="bullet"/>
      <w:lvlText w:val="•"/>
      <w:lvlJc w:val="left"/>
      <w:pPr>
        <w:ind w:left="439" w:hanging="217"/>
      </w:pPr>
      <w:rPr>
        <w:rFonts w:hint="default"/>
        <w:lang w:val="en-GB" w:eastAsia="en-GB" w:bidi="en-GB"/>
      </w:rPr>
    </w:lvl>
    <w:lvl w:ilvl="2" w:tplc="E1483034">
      <w:numFmt w:val="bullet"/>
      <w:lvlText w:val="•"/>
      <w:lvlJc w:val="left"/>
      <w:pPr>
        <w:ind w:left="578" w:hanging="217"/>
      </w:pPr>
      <w:rPr>
        <w:rFonts w:hint="default"/>
        <w:lang w:val="en-GB" w:eastAsia="en-GB" w:bidi="en-GB"/>
      </w:rPr>
    </w:lvl>
    <w:lvl w:ilvl="3" w:tplc="C2FE0936">
      <w:numFmt w:val="bullet"/>
      <w:lvlText w:val="•"/>
      <w:lvlJc w:val="left"/>
      <w:pPr>
        <w:ind w:left="717" w:hanging="217"/>
      </w:pPr>
      <w:rPr>
        <w:rFonts w:hint="default"/>
        <w:lang w:val="en-GB" w:eastAsia="en-GB" w:bidi="en-GB"/>
      </w:rPr>
    </w:lvl>
    <w:lvl w:ilvl="4" w:tplc="A0567120">
      <w:numFmt w:val="bullet"/>
      <w:lvlText w:val="•"/>
      <w:lvlJc w:val="left"/>
      <w:pPr>
        <w:ind w:left="856" w:hanging="217"/>
      </w:pPr>
      <w:rPr>
        <w:rFonts w:hint="default"/>
        <w:lang w:val="en-GB" w:eastAsia="en-GB" w:bidi="en-GB"/>
      </w:rPr>
    </w:lvl>
    <w:lvl w:ilvl="5" w:tplc="5776CC4C">
      <w:numFmt w:val="bullet"/>
      <w:lvlText w:val="•"/>
      <w:lvlJc w:val="left"/>
      <w:pPr>
        <w:ind w:left="995" w:hanging="217"/>
      </w:pPr>
      <w:rPr>
        <w:rFonts w:hint="default"/>
        <w:lang w:val="en-GB" w:eastAsia="en-GB" w:bidi="en-GB"/>
      </w:rPr>
    </w:lvl>
    <w:lvl w:ilvl="6" w:tplc="32B6B5B0">
      <w:numFmt w:val="bullet"/>
      <w:lvlText w:val="•"/>
      <w:lvlJc w:val="left"/>
      <w:pPr>
        <w:ind w:left="1134" w:hanging="217"/>
      </w:pPr>
      <w:rPr>
        <w:rFonts w:hint="default"/>
        <w:lang w:val="en-GB" w:eastAsia="en-GB" w:bidi="en-GB"/>
      </w:rPr>
    </w:lvl>
    <w:lvl w:ilvl="7" w:tplc="9776FEB4">
      <w:numFmt w:val="bullet"/>
      <w:lvlText w:val="•"/>
      <w:lvlJc w:val="left"/>
      <w:pPr>
        <w:ind w:left="1273" w:hanging="217"/>
      </w:pPr>
      <w:rPr>
        <w:rFonts w:hint="default"/>
        <w:lang w:val="en-GB" w:eastAsia="en-GB" w:bidi="en-GB"/>
      </w:rPr>
    </w:lvl>
    <w:lvl w:ilvl="8" w:tplc="06CE677E">
      <w:numFmt w:val="bullet"/>
      <w:lvlText w:val="•"/>
      <w:lvlJc w:val="left"/>
      <w:pPr>
        <w:ind w:left="1412" w:hanging="217"/>
      </w:pPr>
      <w:rPr>
        <w:rFonts w:hint="default"/>
        <w:lang w:val="en-GB" w:eastAsia="en-GB" w:bidi="en-GB"/>
      </w:rPr>
    </w:lvl>
  </w:abstractNum>
  <w:abstractNum w:abstractNumId="1240" w15:restartNumberingAfterBreak="0">
    <w:nsid w:val="703A21FE"/>
    <w:multiLevelType w:val="hybridMultilevel"/>
    <w:tmpl w:val="96A0E8DC"/>
    <w:lvl w:ilvl="0" w:tplc="DA0A3F6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9118E798">
      <w:numFmt w:val="bullet"/>
      <w:lvlText w:val="•"/>
      <w:lvlJc w:val="left"/>
      <w:pPr>
        <w:ind w:left="473" w:hanging="217"/>
      </w:pPr>
      <w:rPr>
        <w:rFonts w:hint="default"/>
        <w:lang w:val="en-GB" w:eastAsia="en-GB" w:bidi="en-GB"/>
      </w:rPr>
    </w:lvl>
    <w:lvl w:ilvl="2" w:tplc="5AEEE36E">
      <w:numFmt w:val="bullet"/>
      <w:lvlText w:val="•"/>
      <w:lvlJc w:val="left"/>
      <w:pPr>
        <w:ind w:left="646" w:hanging="217"/>
      </w:pPr>
      <w:rPr>
        <w:rFonts w:hint="default"/>
        <w:lang w:val="en-GB" w:eastAsia="en-GB" w:bidi="en-GB"/>
      </w:rPr>
    </w:lvl>
    <w:lvl w:ilvl="3" w:tplc="AAE83C10">
      <w:numFmt w:val="bullet"/>
      <w:lvlText w:val="•"/>
      <w:lvlJc w:val="left"/>
      <w:pPr>
        <w:ind w:left="819" w:hanging="217"/>
      </w:pPr>
      <w:rPr>
        <w:rFonts w:hint="default"/>
        <w:lang w:val="en-GB" w:eastAsia="en-GB" w:bidi="en-GB"/>
      </w:rPr>
    </w:lvl>
    <w:lvl w:ilvl="4" w:tplc="BA421144">
      <w:numFmt w:val="bullet"/>
      <w:lvlText w:val="•"/>
      <w:lvlJc w:val="left"/>
      <w:pPr>
        <w:ind w:left="992" w:hanging="217"/>
      </w:pPr>
      <w:rPr>
        <w:rFonts w:hint="default"/>
        <w:lang w:val="en-GB" w:eastAsia="en-GB" w:bidi="en-GB"/>
      </w:rPr>
    </w:lvl>
    <w:lvl w:ilvl="5" w:tplc="B7EEA51E">
      <w:numFmt w:val="bullet"/>
      <w:lvlText w:val="•"/>
      <w:lvlJc w:val="left"/>
      <w:pPr>
        <w:ind w:left="1165" w:hanging="217"/>
      </w:pPr>
      <w:rPr>
        <w:rFonts w:hint="default"/>
        <w:lang w:val="en-GB" w:eastAsia="en-GB" w:bidi="en-GB"/>
      </w:rPr>
    </w:lvl>
    <w:lvl w:ilvl="6" w:tplc="E5BCDAFC">
      <w:numFmt w:val="bullet"/>
      <w:lvlText w:val="•"/>
      <w:lvlJc w:val="left"/>
      <w:pPr>
        <w:ind w:left="1338" w:hanging="217"/>
      </w:pPr>
      <w:rPr>
        <w:rFonts w:hint="default"/>
        <w:lang w:val="en-GB" w:eastAsia="en-GB" w:bidi="en-GB"/>
      </w:rPr>
    </w:lvl>
    <w:lvl w:ilvl="7" w:tplc="751C55DC">
      <w:numFmt w:val="bullet"/>
      <w:lvlText w:val="•"/>
      <w:lvlJc w:val="left"/>
      <w:pPr>
        <w:ind w:left="1511" w:hanging="217"/>
      </w:pPr>
      <w:rPr>
        <w:rFonts w:hint="default"/>
        <w:lang w:val="en-GB" w:eastAsia="en-GB" w:bidi="en-GB"/>
      </w:rPr>
    </w:lvl>
    <w:lvl w:ilvl="8" w:tplc="5306A132">
      <w:numFmt w:val="bullet"/>
      <w:lvlText w:val="•"/>
      <w:lvlJc w:val="left"/>
      <w:pPr>
        <w:ind w:left="1684" w:hanging="217"/>
      </w:pPr>
      <w:rPr>
        <w:rFonts w:hint="default"/>
        <w:lang w:val="en-GB" w:eastAsia="en-GB" w:bidi="en-GB"/>
      </w:rPr>
    </w:lvl>
  </w:abstractNum>
  <w:abstractNum w:abstractNumId="1241" w15:restartNumberingAfterBreak="0">
    <w:nsid w:val="70401567"/>
    <w:multiLevelType w:val="hybridMultilevel"/>
    <w:tmpl w:val="961E9D12"/>
    <w:lvl w:ilvl="0" w:tplc="463A7B44">
      <w:numFmt w:val="bullet"/>
      <w:lvlText w:val="•"/>
      <w:lvlJc w:val="left"/>
      <w:pPr>
        <w:ind w:left="303" w:hanging="217"/>
      </w:pPr>
      <w:rPr>
        <w:rFonts w:ascii="Arial" w:eastAsia="Arial" w:hAnsi="Arial" w:cs="Arial" w:hint="default"/>
        <w:color w:val="231F20"/>
        <w:w w:val="102"/>
        <w:sz w:val="17"/>
        <w:szCs w:val="17"/>
        <w:lang w:val="en-GB" w:eastAsia="en-GB" w:bidi="en-GB"/>
      </w:rPr>
    </w:lvl>
    <w:lvl w:ilvl="1" w:tplc="6E60DEEC">
      <w:numFmt w:val="bullet"/>
      <w:lvlText w:val="•"/>
      <w:lvlJc w:val="left"/>
      <w:pPr>
        <w:ind w:left="439" w:hanging="217"/>
      </w:pPr>
      <w:rPr>
        <w:rFonts w:hint="default"/>
        <w:lang w:val="en-GB" w:eastAsia="en-GB" w:bidi="en-GB"/>
      </w:rPr>
    </w:lvl>
    <w:lvl w:ilvl="2" w:tplc="BCAA7D18">
      <w:numFmt w:val="bullet"/>
      <w:lvlText w:val="•"/>
      <w:lvlJc w:val="left"/>
      <w:pPr>
        <w:ind w:left="578" w:hanging="217"/>
      </w:pPr>
      <w:rPr>
        <w:rFonts w:hint="default"/>
        <w:lang w:val="en-GB" w:eastAsia="en-GB" w:bidi="en-GB"/>
      </w:rPr>
    </w:lvl>
    <w:lvl w:ilvl="3" w:tplc="A628F31C">
      <w:numFmt w:val="bullet"/>
      <w:lvlText w:val="•"/>
      <w:lvlJc w:val="left"/>
      <w:pPr>
        <w:ind w:left="717" w:hanging="217"/>
      </w:pPr>
      <w:rPr>
        <w:rFonts w:hint="default"/>
        <w:lang w:val="en-GB" w:eastAsia="en-GB" w:bidi="en-GB"/>
      </w:rPr>
    </w:lvl>
    <w:lvl w:ilvl="4" w:tplc="0D4EE01A">
      <w:numFmt w:val="bullet"/>
      <w:lvlText w:val="•"/>
      <w:lvlJc w:val="left"/>
      <w:pPr>
        <w:ind w:left="856" w:hanging="217"/>
      </w:pPr>
      <w:rPr>
        <w:rFonts w:hint="default"/>
        <w:lang w:val="en-GB" w:eastAsia="en-GB" w:bidi="en-GB"/>
      </w:rPr>
    </w:lvl>
    <w:lvl w:ilvl="5" w:tplc="D7EAD302">
      <w:numFmt w:val="bullet"/>
      <w:lvlText w:val="•"/>
      <w:lvlJc w:val="left"/>
      <w:pPr>
        <w:ind w:left="995" w:hanging="217"/>
      </w:pPr>
      <w:rPr>
        <w:rFonts w:hint="default"/>
        <w:lang w:val="en-GB" w:eastAsia="en-GB" w:bidi="en-GB"/>
      </w:rPr>
    </w:lvl>
    <w:lvl w:ilvl="6" w:tplc="8A30B694">
      <w:numFmt w:val="bullet"/>
      <w:lvlText w:val="•"/>
      <w:lvlJc w:val="left"/>
      <w:pPr>
        <w:ind w:left="1134" w:hanging="217"/>
      </w:pPr>
      <w:rPr>
        <w:rFonts w:hint="default"/>
        <w:lang w:val="en-GB" w:eastAsia="en-GB" w:bidi="en-GB"/>
      </w:rPr>
    </w:lvl>
    <w:lvl w:ilvl="7" w:tplc="DBE0E466">
      <w:numFmt w:val="bullet"/>
      <w:lvlText w:val="•"/>
      <w:lvlJc w:val="left"/>
      <w:pPr>
        <w:ind w:left="1273" w:hanging="217"/>
      </w:pPr>
      <w:rPr>
        <w:rFonts w:hint="default"/>
        <w:lang w:val="en-GB" w:eastAsia="en-GB" w:bidi="en-GB"/>
      </w:rPr>
    </w:lvl>
    <w:lvl w:ilvl="8" w:tplc="9E325CEC">
      <w:numFmt w:val="bullet"/>
      <w:lvlText w:val="•"/>
      <w:lvlJc w:val="left"/>
      <w:pPr>
        <w:ind w:left="1412" w:hanging="217"/>
      </w:pPr>
      <w:rPr>
        <w:rFonts w:hint="default"/>
        <w:lang w:val="en-GB" w:eastAsia="en-GB" w:bidi="en-GB"/>
      </w:rPr>
    </w:lvl>
  </w:abstractNum>
  <w:abstractNum w:abstractNumId="1242" w15:restartNumberingAfterBreak="0">
    <w:nsid w:val="705C50A4"/>
    <w:multiLevelType w:val="hybridMultilevel"/>
    <w:tmpl w:val="E87EBB8A"/>
    <w:lvl w:ilvl="0" w:tplc="494E9034">
      <w:numFmt w:val="bullet"/>
      <w:lvlText w:val="•"/>
      <w:lvlJc w:val="left"/>
      <w:pPr>
        <w:ind w:left="300" w:hanging="217"/>
      </w:pPr>
      <w:rPr>
        <w:rFonts w:ascii="Arial" w:eastAsia="Arial" w:hAnsi="Arial" w:cs="Arial" w:hint="default"/>
        <w:color w:val="231F20"/>
        <w:w w:val="102"/>
        <w:sz w:val="17"/>
        <w:szCs w:val="17"/>
        <w:lang w:val="en-GB" w:eastAsia="en-GB" w:bidi="en-GB"/>
      </w:rPr>
    </w:lvl>
    <w:lvl w:ilvl="1" w:tplc="B6240068">
      <w:numFmt w:val="bullet"/>
      <w:lvlText w:val="•"/>
      <w:lvlJc w:val="left"/>
      <w:pPr>
        <w:ind w:left="892" w:hanging="217"/>
      </w:pPr>
      <w:rPr>
        <w:rFonts w:hint="default"/>
        <w:lang w:val="en-GB" w:eastAsia="en-GB" w:bidi="en-GB"/>
      </w:rPr>
    </w:lvl>
    <w:lvl w:ilvl="2" w:tplc="09320952">
      <w:numFmt w:val="bullet"/>
      <w:lvlText w:val="•"/>
      <w:lvlJc w:val="left"/>
      <w:pPr>
        <w:ind w:left="1484" w:hanging="217"/>
      </w:pPr>
      <w:rPr>
        <w:rFonts w:hint="default"/>
        <w:lang w:val="en-GB" w:eastAsia="en-GB" w:bidi="en-GB"/>
      </w:rPr>
    </w:lvl>
    <w:lvl w:ilvl="3" w:tplc="F6048EDE">
      <w:numFmt w:val="bullet"/>
      <w:lvlText w:val="•"/>
      <w:lvlJc w:val="left"/>
      <w:pPr>
        <w:ind w:left="2076" w:hanging="217"/>
      </w:pPr>
      <w:rPr>
        <w:rFonts w:hint="default"/>
        <w:lang w:val="en-GB" w:eastAsia="en-GB" w:bidi="en-GB"/>
      </w:rPr>
    </w:lvl>
    <w:lvl w:ilvl="4" w:tplc="3CF28844">
      <w:numFmt w:val="bullet"/>
      <w:lvlText w:val="•"/>
      <w:lvlJc w:val="left"/>
      <w:pPr>
        <w:ind w:left="2668" w:hanging="217"/>
      </w:pPr>
      <w:rPr>
        <w:rFonts w:hint="default"/>
        <w:lang w:val="en-GB" w:eastAsia="en-GB" w:bidi="en-GB"/>
      </w:rPr>
    </w:lvl>
    <w:lvl w:ilvl="5" w:tplc="285490BC">
      <w:numFmt w:val="bullet"/>
      <w:lvlText w:val="•"/>
      <w:lvlJc w:val="left"/>
      <w:pPr>
        <w:ind w:left="3260" w:hanging="217"/>
      </w:pPr>
      <w:rPr>
        <w:rFonts w:hint="default"/>
        <w:lang w:val="en-GB" w:eastAsia="en-GB" w:bidi="en-GB"/>
      </w:rPr>
    </w:lvl>
    <w:lvl w:ilvl="6" w:tplc="F2146DB8">
      <w:numFmt w:val="bullet"/>
      <w:lvlText w:val="•"/>
      <w:lvlJc w:val="left"/>
      <w:pPr>
        <w:ind w:left="3852" w:hanging="217"/>
      </w:pPr>
      <w:rPr>
        <w:rFonts w:hint="default"/>
        <w:lang w:val="en-GB" w:eastAsia="en-GB" w:bidi="en-GB"/>
      </w:rPr>
    </w:lvl>
    <w:lvl w:ilvl="7" w:tplc="9C6ECAAA">
      <w:numFmt w:val="bullet"/>
      <w:lvlText w:val="•"/>
      <w:lvlJc w:val="left"/>
      <w:pPr>
        <w:ind w:left="4444" w:hanging="217"/>
      </w:pPr>
      <w:rPr>
        <w:rFonts w:hint="default"/>
        <w:lang w:val="en-GB" w:eastAsia="en-GB" w:bidi="en-GB"/>
      </w:rPr>
    </w:lvl>
    <w:lvl w:ilvl="8" w:tplc="7ADE0B40">
      <w:numFmt w:val="bullet"/>
      <w:lvlText w:val="•"/>
      <w:lvlJc w:val="left"/>
      <w:pPr>
        <w:ind w:left="5036" w:hanging="217"/>
      </w:pPr>
      <w:rPr>
        <w:rFonts w:hint="default"/>
        <w:lang w:val="en-GB" w:eastAsia="en-GB" w:bidi="en-GB"/>
      </w:rPr>
    </w:lvl>
  </w:abstractNum>
  <w:abstractNum w:abstractNumId="1243" w15:restartNumberingAfterBreak="0">
    <w:nsid w:val="70716209"/>
    <w:multiLevelType w:val="hybridMultilevel"/>
    <w:tmpl w:val="5C8E1F62"/>
    <w:lvl w:ilvl="0" w:tplc="51EA044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48D8D39E">
      <w:numFmt w:val="bullet"/>
      <w:lvlText w:val="•"/>
      <w:lvlJc w:val="left"/>
      <w:pPr>
        <w:ind w:left="473" w:hanging="217"/>
      </w:pPr>
      <w:rPr>
        <w:rFonts w:hint="default"/>
        <w:lang w:val="en-GB" w:eastAsia="en-GB" w:bidi="en-GB"/>
      </w:rPr>
    </w:lvl>
    <w:lvl w:ilvl="2" w:tplc="F9C214F0">
      <w:numFmt w:val="bullet"/>
      <w:lvlText w:val="•"/>
      <w:lvlJc w:val="left"/>
      <w:pPr>
        <w:ind w:left="646" w:hanging="217"/>
      </w:pPr>
      <w:rPr>
        <w:rFonts w:hint="default"/>
        <w:lang w:val="en-GB" w:eastAsia="en-GB" w:bidi="en-GB"/>
      </w:rPr>
    </w:lvl>
    <w:lvl w:ilvl="3" w:tplc="7AC08CCE">
      <w:numFmt w:val="bullet"/>
      <w:lvlText w:val="•"/>
      <w:lvlJc w:val="left"/>
      <w:pPr>
        <w:ind w:left="819" w:hanging="217"/>
      </w:pPr>
      <w:rPr>
        <w:rFonts w:hint="default"/>
        <w:lang w:val="en-GB" w:eastAsia="en-GB" w:bidi="en-GB"/>
      </w:rPr>
    </w:lvl>
    <w:lvl w:ilvl="4" w:tplc="3EE8A01C">
      <w:numFmt w:val="bullet"/>
      <w:lvlText w:val="•"/>
      <w:lvlJc w:val="left"/>
      <w:pPr>
        <w:ind w:left="992" w:hanging="217"/>
      </w:pPr>
      <w:rPr>
        <w:rFonts w:hint="default"/>
        <w:lang w:val="en-GB" w:eastAsia="en-GB" w:bidi="en-GB"/>
      </w:rPr>
    </w:lvl>
    <w:lvl w:ilvl="5" w:tplc="E58A91B8">
      <w:numFmt w:val="bullet"/>
      <w:lvlText w:val="•"/>
      <w:lvlJc w:val="left"/>
      <w:pPr>
        <w:ind w:left="1165" w:hanging="217"/>
      </w:pPr>
      <w:rPr>
        <w:rFonts w:hint="default"/>
        <w:lang w:val="en-GB" w:eastAsia="en-GB" w:bidi="en-GB"/>
      </w:rPr>
    </w:lvl>
    <w:lvl w:ilvl="6" w:tplc="DFD6B22C">
      <w:numFmt w:val="bullet"/>
      <w:lvlText w:val="•"/>
      <w:lvlJc w:val="left"/>
      <w:pPr>
        <w:ind w:left="1338" w:hanging="217"/>
      </w:pPr>
      <w:rPr>
        <w:rFonts w:hint="default"/>
        <w:lang w:val="en-GB" w:eastAsia="en-GB" w:bidi="en-GB"/>
      </w:rPr>
    </w:lvl>
    <w:lvl w:ilvl="7" w:tplc="D0248A92">
      <w:numFmt w:val="bullet"/>
      <w:lvlText w:val="•"/>
      <w:lvlJc w:val="left"/>
      <w:pPr>
        <w:ind w:left="1511" w:hanging="217"/>
      </w:pPr>
      <w:rPr>
        <w:rFonts w:hint="default"/>
        <w:lang w:val="en-GB" w:eastAsia="en-GB" w:bidi="en-GB"/>
      </w:rPr>
    </w:lvl>
    <w:lvl w:ilvl="8" w:tplc="9ADA2A84">
      <w:numFmt w:val="bullet"/>
      <w:lvlText w:val="•"/>
      <w:lvlJc w:val="left"/>
      <w:pPr>
        <w:ind w:left="1684" w:hanging="217"/>
      </w:pPr>
      <w:rPr>
        <w:rFonts w:hint="default"/>
        <w:lang w:val="en-GB" w:eastAsia="en-GB" w:bidi="en-GB"/>
      </w:rPr>
    </w:lvl>
  </w:abstractNum>
  <w:abstractNum w:abstractNumId="1244" w15:restartNumberingAfterBreak="0">
    <w:nsid w:val="70791C98"/>
    <w:multiLevelType w:val="hybridMultilevel"/>
    <w:tmpl w:val="32E8570A"/>
    <w:lvl w:ilvl="0" w:tplc="73282A6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D1477AC">
      <w:numFmt w:val="bullet"/>
      <w:lvlText w:val="•"/>
      <w:lvlJc w:val="left"/>
      <w:pPr>
        <w:ind w:left="444" w:hanging="217"/>
      </w:pPr>
      <w:rPr>
        <w:rFonts w:hint="default"/>
        <w:lang w:val="en-GB" w:eastAsia="en-GB" w:bidi="en-GB"/>
      </w:rPr>
    </w:lvl>
    <w:lvl w:ilvl="2" w:tplc="687CB56E">
      <w:numFmt w:val="bullet"/>
      <w:lvlText w:val="•"/>
      <w:lvlJc w:val="left"/>
      <w:pPr>
        <w:ind w:left="589" w:hanging="217"/>
      </w:pPr>
      <w:rPr>
        <w:rFonts w:hint="default"/>
        <w:lang w:val="en-GB" w:eastAsia="en-GB" w:bidi="en-GB"/>
      </w:rPr>
    </w:lvl>
    <w:lvl w:ilvl="3" w:tplc="ECCCFD8E">
      <w:numFmt w:val="bullet"/>
      <w:lvlText w:val="•"/>
      <w:lvlJc w:val="left"/>
      <w:pPr>
        <w:ind w:left="734" w:hanging="217"/>
      </w:pPr>
      <w:rPr>
        <w:rFonts w:hint="default"/>
        <w:lang w:val="en-GB" w:eastAsia="en-GB" w:bidi="en-GB"/>
      </w:rPr>
    </w:lvl>
    <w:lvl w:ilvl="4" w:tplc="FA4A7F8C">
      <w:numFmt w:val="bullet"/>
      <w:lvlText w:val="•"/>
      <w:lvlJc w:val="left"/>
      <w:pPr>
        <w:ind w:left="878" w:hanging="217"/>
      </w:pPr>
      <w:rPr>
        <w:rFonts w:hint="default"/>
        <w:lang w:val="en-GB" w:eastAsia="en-GB" w:bidi="en-GB"/>
      </w:rPr>
    </w:lvl>
    <w:lvl w:ilvl="5" w:tplc="B0E48834">
      <w:numFmt w:val="bullet"/>
      <w:lvlText w:val="•"/>
      <w:lvlJc w:val="left"/>
      <w:pPr>
        <w:ind w:left="1023" w:hanging="217"/>
      </w:pPr>
      <w:rPr>
        <w:rFonts w:hint="default"/>
        <w:lang w:val="en-GB" w:eastAsia="en-GB" w:bidi="en-GB"/>
      </w:rPr>
    </w:lvl>
    <w:lvl w:ilvl="6" w:tplc="9B405150">
      <w:numFmt w:val="bullet"/>
      <w:lvlText w:val="•"/>
      <w:lvlJc w:val="left"/>
      <w:pPr>
        <w:ind w:left="1168" w:hanging="217"/>
      </w:pPr>
      <w:rPr>
        <w:rFonts w:hint="default"/>
        <w:lang w:val="en-GB" w:eastAsia="en-GB" w:bidi="en-GB"/>
      </w:rPr>
    </w:lvl>
    <w:lvl w:ilvl="7" w:tplc="E0E074F2">
      <w:numFmt w:val="bullet"/>
      <w:lvlText w:val="•"/>
      <w:lvlJc w:val="left"/>
      <w:pPr>
        <w:ind w:left="1312" w:hanging="217"/>
      </w:pPr>
      <w:rPr>
        <w:rFonts w:hint="default"/>
        <w:lang w:val="en-GB" w:eastAsia="en-GB" w:bidi="en-GB"/>
      </w:rPr>
    </w:lvl>
    <w:lvl w:ilvl="8" w:tplc="E6F6F7FE">
      <w:numFmt w:val="bullet"/>
      <w:lvlText w:val="•"/>
      <w:lvlJc w:val="left"/>
      <w:pPr>
        <w:ind w:left="1457" w:hanging="217"/>
      </w:pPr>
      <w:rPr>
        <w:rFonts w:hint="default"/>
        <w:lang w:val="en-GB" w:eastAsia="en-GB" w:bidi="en-GB"/>
      </w:rPr>
    </w:lvl>
  </w:abstractNum>
  <w:abstractNum w:abstractNumId="1245" w15:restartNumberingAfterBreak="0">
    <w:nsid w:val="70862071"/>
    <w:multiLevelType w:val="hybridMultilevel"/>
    <w:tmpl w:val="7452C818"/>
    <w:lvl w:ilvl="0" w:tplc="E87A4670">
      <w:numFmt w:val="bullet"/>
      <w:lvlText w:val="•"/>
      <w:lvlJc w:val="left"/>
      <w:pPr>
        <w:ind w:left="305" w:hanging="217"/>
      </w:pPr>
      <w:rPr>
        <w:rFonts w:ascii="Arial" w:eastAsia="Arial" w:hAnsi="Arial" w:cs="Arial" w:hint="default"/>
        <w:color w:val="231F20"/>
        <w:spacing w:val="-2"/>
        <w:w w:val="100"/>
        <w:sz w:val="18"/>
        <w:szCs w:val="18"/>
        <w:lang w:val="en-GB" w:eastAsia="en-GB" w:bidi="en-GB"/>
      </w:rPr>
    </w:lvl>
    <w:lvl w:ilvl="1" w:tplc="B5E8296A">
      <w:numFmt w:val="bullet"/>
      <w:lvlText w:val="•"/>
      <w:lvlJc w:val="left"/>
      <w:pPr>
        <w:ind w:left="467" w:hanging="217"/>
      </w:pPr>
      <w:rPr>
        <w:rFonts w:hint="default"/>
        <w:lang w:val="en-GB" w:eastAsia="en-GB" w:bidi="en-GB"/>
      </w:rPr>
    </w:lvl>
    <w:lvl w:ilvl="2" w:tplc="4DF65A1E">
      <w:numFmt w:val="bullet"/>
      <w:lvlText w:val="•"/>
      <w:lvlJc w:val="left"/>
      <w:pPr>
        <w:ind w:left="634" w:hanging="217"/>
      </w:pPr>
      <w:rPr>
        <w:rFonts w:hint="default"/>
        <w:lang w:val="en-GB" w:eastAsia="en-GB" w:bidi="en-GB"/>
      </w:rPr>
    </w:lvl>
    <w:lvl w:ilvl="3" w:tplc="C73617C4">
      <w:numFmt w:val="bullet"/>
      <w:lvlText w:val="•"/>
      <w:lvlJc w:val="left"/>
      <w:pPr>
        <w:ind w:left="802" w:hanging="217"/>
      </w:pPr>
      <w:rPr>
        <w:rFonts w:hint="default"/>
        <w:lang w:val="en-GB" w:eastAsia="en-GB" w:bidi="en-GB"/>
      </w:rPr>
    </w:lvl>
    <w:lvl w:ilvl="4" w:tplc="F9B2E8CE">
      <w:numFmt w:val="bullet"/>
      <w:lvlText w:val="•"/>
      <w:lvlJc w:val="left"/>
      <w:pPr>
        <w:ind w:left="969" w:hanging="217"/>
      </w:pPr>
      <w:rPr>
        <w:rFonts w:hint="default"/>
        <w:lang w:val="en-GB" w:eastAsia="en-GB" w:bidi="en-GB"/>
      </w:rPr>
    </w:lvl>
    <w:lvl w:ilvl="5" w:tplc="CC741DD0">
      <w:numFmt w:val="bullet"/>
      <w:lvlText w:val="•"/>
      <w:lvlJc w:val="left"/>
      <w:pPr>
        <w:ind w:left="1137" w:hanging="217"/>
      </w:pPr>
      <w:rPr>
        <w:rFonts w:hint="default"/>
        <w:lang w:val="en-GB" w:eastAsia="en-GB" w:bidi="en-GB"/>
      </w:rPr>
    </w:lvl>
    <w:lvl w:ilvl="6" w:tplc="2E420720">
      <w:numFmt w:val="bullet"/>
      <w:lvlText w:val="•"/>
      <w:lvlJc w:val="left"/>
      <w:pPr>
        <w:ind w:left="1304" w:hanging="217"/>
      </w:pPr>
      <w:rPr>
        <w:rFonts w:hint="default"/>
        <w:lang w:val="en-GB" w:eastAsia="en-GB" w:bidi="en-GB"/>
      </w:rPr>
    </w:lvl>
    <w:lvl w:ilvl="7" w:tplc="C1820CA8">
      <w:numFmt w:val="bullet"/>
      <w:lvlText w:val="•"/>
      <w:lvlJc w:val="left"/>
      <w:pPr>
        <w:ind w:left="1471" w:hanging="217"/>
      </w:pPr>
      <w:rPr>
        <w:rFonts w:hint="default"/>
        <w:lang w:val="en-GB" w:eastAsia="en-GB" w:bidi="en-GB"/>
      </w:rPr>
    </w:lvl>
    <w:lvl w:ilvl="8" w:tplc="F988973E">
      <w:numFmt w:val="bullet"/>
      <w:lvlText w:val="•"/>
      <w:lvlJc w:val="left"/>
      <w:pPr>
        <w:ind w:left="1639" w:hanging="217"/>
      </w:pPr>
      <w:rPr>
        <w:rFonts w:hint="default"/>
        <w:lang w:val="en-GB" w:eastAsia="en-GB" w:bidi="en-GB"/>
      </w:rPr>
    </w:lvl>
  </w:abstractNum>
  <w:abstractNum w:abstractNumId="1246" w15:restartNumberingAfterBreak="0">
    <w:nsid w:val="70897E38"/>
    <w:multiLevelType w:val="hybridMultilevel"/>
    <w:tmpl w:val="FBC6A1EC"/>
    <w:lvl w:ilvl="0" w:tplc="84A2A694">
      <w:numFmt w:val="bullet"/>
      <w:lvlText w:val="•"/>
      <w:lvlJc w:val="left"/>
      <w:pPr>
        <w:ind w:left="305" w:hanging="217"/>
      </w:pPr>
      <w:rPr>
        <w:rFonts w:ascii="Arial" w:eastAsia="Arial" w:hAnsi="Arial" w:cs="Arial" w:hint="default"/>
        <w:color w:val="231F20"/>
        <w:spacing w:val="-3"/>
        <w:w w:val="100"/>
        <w:sz w:val="18"/>
        <w:szCs w:val="18"/>
        <w:lang w:val="en-GB" w:eastAsia="en-GB" w:bidi="en-GB"/>
      </w:rPr>
    </w:lvl>
    <w:lvl w:ilvl="1" w:tplc="0E3A1E08">
      <w:numFmt w:val="bullet"/>
      <w:lvlText w:val="•"/>
      <w:lvlJc w:val="left"/>
      <w:pPr>
        <w:ind w:left="467" w:hanging="217"/>
      </w:pPr>
      <w:rPr>
        <w:rFonts w:hint="default"/>
        <w:lang w:val="en-GB" w:eastAsia="en-GB" w:bidi="en-GB"/>
      </w:rPr>
    </w:lvl>
    <w:lvl w:ilvl="2" w:tplc="6E3A3D02">
      <w:numFmt w:val="bullet"/>
      <w:lvlText w:val="•"/>
      <w:lvlJc w:val="left"/>
      <w:pPr>
        <w:ind w:left="634" w:hanging="217"/>
      </w:pPr>
      <w:rPr>
        <w:rFonts w:hint="default"/>
        <w:lang w:val="en-GB" w:eastAsia="en-GB" w:bidi="en-GB"/>
      </w:rPr>
    </w:lvl>
    <w:lvl w:ilvl="3" w:tplc="C8F4ABF6">
      <w:numFmt w:val="bullet"/>
      <w:lvlText w:val="•"/>
      <w:lvlJc w:val="left"/>
      <w:pPr>
        <w:ind w:left="802" w:hanging="217"/>
      </w:pPr>
      <w:rPr>
        <w:rFonts w:hint="default"/>
        <w:lang w:val="en-GB" w:eastAsia="en-GB" w:bidi="en-GB"/>
      </w:rPr>
    </w:lvl>
    <w:lvl w:ilvl="4" w:tplc="A3A0DD98">
      <w:numFmt w:val="bullet"/>
      <w:lvlText w:val="•"/>
      <w:lvlJc w:val="left"/>
      <w:pPr>
        <w:ind w:left="969" w:hanging="217"/>
      </w:pPr>
      <w:rPr>
        <w:rFonts w:hint="default"/>
        <w:lang w:val="en-GB" w:eastAsia="en-GB" w:bidi="en-GB"/>
      </w:rPr>
    </w:lvl>
    <w:lvl w:ilvl="5" w:tplc="9D4E4D7E">
      <w:numFmt w:val="bullet"/>
      <w:lvlText w:val="•"/>
      <w:lvlJc w:val="left"/>
      <w:pPr>
        <w:ind w:left="1137" w:hanging="217"/>
      </w:pPr>
      <w:rPr>
        <w:rFonts w:hint="default"/>
        <w:lang w:val="en-GB" w:eastAsia="en-GB" w:bidi="en-GB"/>
      </w:rPr>
    </w:lvl>
    <w:lvl w:ilvl="6" w:tplc="386ACDDE">
      <w:numFmt w:val="bullet"/>
      <w:lvlText w:val="•"/>
      <w:lvlJc w:val="left"/>
      <w:pPr>
        <w:ind w:left="1304" w:hanging="217"/>
      </w:pPr>
      <w:rPr>
        <w:rFonts w:hint="default"/>
        <w:lang w:val="en-GB" w:eastAsia="en-GB" w:bidi="en-GB"/>
      </w:rPr>
    </w:lvl>
    <w:lvl w:ilvl="7" w:tplc="709C9B00">
      <w:numFmt w:val="bullet"/>
      <w:lvlText w:val="•"/>
      <w:lvlJc w:val="left"/>
      <w:pPr>
        <w:ind w:left="1471" w:hanging="217"/>
      </w:pPr>
      <w:rPr>
        <w:rFonts w:hint="default"/>
        <w:lang w:val="en-GB" w:eastAsia="en-GB" w:bidi="en-GB"/>
      </w:rPr>
    </w:lvl>
    <w:lvl w:ilvl="8" w:tplc="D0BC4EE8">
      <w:numFmt w:val="bullet"/>
      <w:lvlText w:val="•"/>
      <w:lvlJc w:val="left"/>
      <w:pPr>
        <w:ind w:left="1639" w:hanging="217"/>
      </w:pPr>
      <w:rPr>
        <w:rFonts w:hint="default"/>
        <w:lang w:val="en-GB" w:eastAsia="en-GB" w:bidi="en-GB"/>
      </w:rPr>
    </w:lvl>
  </w:abstractNum>
  <w:abstractNum w:abstractNumId="1247" w15:restartNumberingAfterBreak="0">
    <w:nsid w:val="708E40B4"/>
    <w:multiLevelType w:val="hybridMultilevel"/>
    <w:tmpl w:val="0628AD9C"/>
    <w:lvl w:ilvl="0" w:tplc="D10C6FC4">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444442EE">
      <w:numFmt w:val="bullet"/>
      <w:lvlText w:val="•"/>
      <w:lvlJc w:val="left"/>
      <w:pPr>
        <w:ind w:left="473" w:hanging="217"/>
      </w:pPr>
      <w:rPr>
        <w:rFonts w:hint="default"/>
        <w:lang w:val="en-GB" w:eastAsia="en-GB" w:bidi="en-GB"/>
      </w:rPr>
    </w:lvl>
    <w:lvl w:ilvl="2" w:tplc="0BFE6EB8">
      <w:numFmt w:val="bullet"/>
      <w:lvlText w:val="•"/>
      <w:lvlJc w:val="left"/>
      <w:pPr>
        <w:ind w:left="646" w:hanging="217"/>
      </w:pPr>
      <w:rPr>
        <w:rFonts w:hint="default"/>
        <w:lang w:val="en-GB" w:eastAsia="en-GB" w:bidi="en-GB"/>
      </w:rPr>
    </w:lvl>
    <w:lvl w:ilvl="3" w:tplc="F386DBA4">
      <w:numFmt w:val="bullet"/>
      <w:lvlText w:val="•"/>
      <w:lvlJc w:val="left"/>
      <w:pPr>
        <w:ind w:left="819" w:hanging="217"/>
      </w:pPr>
      <w:rPr>
        <w:rFonts w:hint="default"/>
        <w:lang w:val="en-GB" w:eastAsia="en-GB" w:bidi="en-GB"/>
      </w:rPr>
    </w:lvl>
    <w:lvl w:ilvl="4" w:tplc="AF32AF60">
      <w:numFmt w:val="bullet"/>
      <w:lvlText w:val="•"/>
      <w:lvlJc w:val="left"/>
      <w:pPr>
        <w:ind w:left="992" w:hanging="217"/>
      </w:pPr>
      <w:rPr>
        <w:rFonts w:hint="default"/>
        <w:lang w:val="en-GB" w:eastAsia="en-GB" w:bidi="en-GB"/>
      </w:rPr>
    </w:lvl>
    <w:lvl w:ilvl="5" w:tplc="937692A4">
      <w:numFmt w:val="bullet"/>
      <w:lvlText w:val="•"/>
      <w:lvlJc w:val="left"/>
      <w:pPr>
        <w:ind w:left="1165" w:hanging="217"/>
      </w:pPr>
      <w:rPr>
        <w:rFonts w:hint="default"/>
        <w:lang w:val="en-GB" w:eastAsia="en-GB" w:bidi="en-GB"/>
      </w:rPr>
    </w:lvl>
    <w:lvl w:ilvl="6" w:tplc="3C529156">
      <w:numFmt w:val="bullet"/>
      <w:lvlText w:val="•"/>
      <w:lvlJc w:val="left"/>
      <w:pPr>
        <w:ind w:left="1338" w:hanging="217"/>
      </w:pPr>
      <w:rPr>
        <w:rFonts w:hint="default"/>
        <w:lang w:val="en-GB" w:eastAsia="en-GB" w:bidi="en-GB"/>
      </w:rPr>
    </w:lvl>
    <w:lvl w:ilvl="7" w:tplc="FB9A028C">
      <w:numFmt w:val="bullet"/>
      <w:lvlText w:val="•"/>
      <w:lvlJc w:val="left"/>
      <w:pPr>
        <w:ind w:left="1511" w:hanging="217"/>
      </w:pPr>
      <w:rPr>
        <w:rFonts w:hint="default"/>
        <w:lang w:val="en-GB" w:eastAsia="en-GB" w:bidi="en-GB"/>
      </w:rPr>
    </w:lvl>
    <w:lvl w:ilvl="8" w:tplc="27287226">
      <w:numFmt w:val="bullet"/>
      <w:lvlText w:val="•"/>
      <w:lvlJc w:val="left"/>
      <w:pPr>
        <w:ind w:left="1684" w:hanging="217"/>
      </w:pPr>
      <w:rPr>
        <w:rFonts w:hint="default"/>
        <w:lang w:val="en-GB" w:eastAsia="en-GB" w:bidi="en-GB"/>
      </w:rPr>
    </w:lvl>
  </w:abstractNum>
  <w:abstractNum w:abstractNumId="1248" w15:restartNumberingAfterBreak="0">
    <w:nsid w:val="70B34E0A"/>
    <w:multiLevelType w:val="hybridMultilevel"/>
    <w:tmpl w:val="25884696"/>
    <w:lvl w:ilvl="0" w:tplc="6430019E">
      <w:numFmt w:val="bullet"/>
      <w:lvlText w:val="•"/>
      <w:lvlJc w:val="left"/>
      <w:pPr>
        <w:ind w:left="276" w:hanging="217"/>
      </w:pPr>
      <w:rPr>
        <w:rFonts w:ascii="Arial" w:eastAsia="Arial" w:hAnsi="Arial" w:cs="Arial" w:hint="default"/>
        <w:color w:val="231F20"/>
        <w:w w:val="97"/>
        <w:sz w:val="16"/>
        <w:szCs w:val="16"/>
        <w:lang w:val="en-GB" w:eastAsia="en-GB" w:bidi="en-GB"/>
      </w:rPr>
    </w:lvl>
    <w:lvl w:ilvl="1" w:tplc="7012D162">
      <w:numFmt w:val="bullet"/>
      <w:lvlText w:val="•"/>
      <w:lvlJc w:val="left"/>
      <w:pPr>
        <w:ind w:left="381" w:hanging="217"/>
      </w:pPr>
      <w:rPr>
        <w:rFonts w:hint="default"/>
        <w:lang w:val="en-GB" w:eastAsia="en-GB" w:bidi="en-GB"/>
      </w:rPr>
    </w:lvl>
    <w:lvl w:ilvl="2" w:tplc="32AA1118">
      <w:numFmt w:val="bullet"/>
      <w:lvlText w:val="•"/>
      <w:lvlJc w:val="left"/>
      <w:pPr>
        <w:ind w:left="482" w:hanging="217"/>
      </w:pPr>
      <w:rPr>
        <w:rFonts w:hint="default"/>
        <w:lang w:val="en-GB" w:eastAsia="en-GB" w:bidi="en-GB"/>
      </w:rPr>
    </w:lvl>
    <w:lvl w:ilvl="3" w:tplc="03182BCE">
      <w:numFmt w:val="bullet"/>
      <w:lvlText w:val="•"/>
      <w:lvlJc w:val="left"/>
      <w:pPr>
        <w:ind w:left="584" w:hanging="217"/>
      </w:pPr>
      <w:rPr>
        <w:rFonts w:hint="default"/>
        <w:lang w:val="en-GB" w:eastAsia="en-GB" w:bidi="en-GB"/>
      </w:rPr>
    </w:lvl>
    <w:lvl w:ilvl="4" w:tplc="01904624">
      <w:numFmt w:val="bullet"/>
      <w:lvlText w:val="•"/>
      <w:lvlJc w:val="left"/>
      <w:pPr>
        <w:ind w:left="685" w:hanging="217"/>
      </w:pPr>
      <w:rPr>
        <w:rFonts w:hint="default"/>
        <w:lang w:val="en-GB" w:eastAsia="en-GB" w:bidi="en-GB"/>
      </w:rPr>
    </w:lvl>
    <w:lvl w:ilvl="5" w:tplc="5DBAFFF2">
      <w:numFmt w:val="bullet"/>
      <w:lvlText w:val="•"/>
      <w:lvlJc w:val="left"/>
      <w:pPr>
        <w:ind w:left="787" w:hanging="217"/>
      </w:pPr>
      <w:rPr>
        <w:rFonts w:hint="default"/>
        <w:lang w:val="en-GB" w:eastAsia="en-GB" w:bidi="en-GB"/>
      </w:rPr>
    </w:lvl>
    <w:lvl w:ilvl="6" w:tplc="99B43156">
      <w:numFmt w:val="bullet"/>
      <w:lvlText w:val="•"/>
      <w:lvlJc w:val="left"/>
      <w:pPr>
        <w:ind w:left="888" w:hanging="217"/>
      </w:pPr>
      <w:rPr>
        <w:rFonts w:hint="default"/>
        <w:lang w:val="en-GB" w:eastAsia="en-GB" w:bidi="en-GB"/>
      </w:rPr>
    </w:lvl>
    <w:lvl w:ilvl="7" w:tplc="35509C06">
      <w:numFmt w:val="bullet"/>
      <w:lvlText w:val="•"/>
      <w:lvlJc w:val="left"/>
      <w:pPr>
        <w:ind w:left="989" w:hanging="217"/>
      </w:pPr>
      <w:rPr>
        <w:rFonts w:hint="default"/>
        <w:lang w:val="en-GB" w:eastAsia="en-GB" w:bidi="en-GB"/>
      </w:rPr>
    </w:lvl>
    <w:lvl w:ilvl="8" w:tplc="26AE3AB2">
      <w:numFmt w:val="bullet"/>
      <w:lvlText w:val="•"/>
      <w:lvlJc w:val="left"/>
      <w:pPr>
        <w:ind w:left="1091" w:hanging="217"/>
      </w:pPr>
      <w:rPr>
        <w:rFonts w:hint="default"/>
        <w:lang w:val="en-GB" w:eastAsia="en-GB" w:bidi="en-GB"/>
      </w:rPr>
    </w:lvl>
  </w:abstractNum>
  <w:abstractNum w:abstractNumId="1249" w15:restartNumberingAfterBreak="0">
    <w:nsid w:val="70B47B23"/>
    <w:multiLevelType w:val="hybridMultilevel"/>
    <w:tmpl w:val="9F9A48F2"/>
    <w:lvl w:ilvl="0" w:tplc="B852D6D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F245DD0">
      <w:numFmt w:val="bullet"/>
      <w:lvlText w:val="•"/>
      <w:lvlJc w:val="left"/>
      <w:pPr>
        <w:ind w:left="473" w:hanging="217"/>
      </w:pPr>
      <w:rPr>
        <w:rFonts w:hint="default"/>
        <w:lang w:val="en-GB" w:eastAsia="en-GB" w:bidi="en-GB"/>
      </w:rPr>
    </w:lvl>
    <w:lvl w:ilvl="2" w:tplc="4BAA38A4">
      <w:numFmt w:val="bullet"/>
      <w:lvlText w:val="•"/>
      <w:lvlJc w:val="left"/>
      <w:pPr>
        <w:ind w:left="646" w:hanging="217"/>
      </w:pPr>
      <w:rPr>
        <w:rFonts w:hint="default"/>
        <w:lang w:val="en-GB" w:eastAsia="en-GB" w:bidi="en-GB"/>
      </w:rPr>
    </w:lvl>
    <w:lvl w:ilvl="3" w:tplc="6C628BC4">
      <w:numFmt w:val="bullet"/>
      <w:lvlText w:val="•"/>
      <w:lvlJc w:val="left"/>
      <w:pPr>
        <w:ind w:left="819" w:hanging="217"/>
      </w:pPr>
      <w:rPr>
        <w:rFonts w:hint="default"/>
        <w:lang w:val="en-GB" w:eastAsia="en-GB" w:bidi="en-GB"/>
      </w:rPr>
    </w:lvl>
    <w:lvl w:ilvl="4" w:tplc="44FE3FD0">
      <w:numFmt w:val="bullet"/>
      <w:lvlText w:val="•"/>
      <w:lvlJc w:val="left"/>
      <w:pPr>
        <w:ind w:left="992" w:hanging="217"/>
      </w:pPr>
      <w:rPr>
        <w:rFonts w:hint="default"/>
        <w:lang w:val="en-GB" w:eastAsia="en-GB" w:bidi="en-GB"/>
      </w:rPr>
    </w:lvl>
    <w:lvl w:ilvl="5" w:tplc="7FF67A2C">
      <w:numFmt w:val="bullet"/>
      <w:lvlText w:val="•"/>
      <w:lvlJc w:val="left"/>
      <w:pPr>
        <w:ind w:left="1165" w:hanging="217"/>
      </w:pPr>
      <w:rPr>
        <w:rFonts w:hint="default"/>
        <w:lang w:val="en-GB" w:eastAsia="en-GB" w:bidi="en-GB"/>
      </w:rPr>
    </w:lvl>
    <w:lvl w:ilvl="6" w:tplc="52BEC5AC">
      <w:numFmt w:val="bullet"/>
      <w:lvlText w:val="•"/>
      <w:lvlJc w:val="left"/>
      <w:pPr>
        <w:ind w:left="1338" w:hanging="217"/>
      </w:pPr>
      <w:rPr>
        <w:rFonts w:hint="default"/>
        <w:lang w:val="en-GB" w:eastAsia="en-GB" w:bidi="en-GB"/>
      </w:rPr>
    </w:lvl>
    <w:lvl w:ilvl="7" w:tplc="E6BE8E10">
      <w:numFmt w:val="bullet"/>
      <w:lvlText w:val="•"/>
      <w:lvlJc w:val="left"/>
      <w:pPr>
        <w:ind w:left="1511" w:hanging="217"/>
      </w:pPr>
      <w:rPr>
        <w:rFonts w:hint="default"/>
        <w:lang w:val="en-GB" w:eastAsia="en-GB" w:bidi="en-GB"/>
      </w:rPr>
    </w:lvl>
    <w:lvl w:ilvl="8" w:tplc="86F4B8E8">
      <w:numFmt w:val="bullet"/>
      <w:lvlText w:val="•"/>
      <w:lvlJc w:val="left"/>
      <w:pPr>
        <w:ind w:left="1684" w:hanging="217"/>
      </w:pPr>
      <w:rPr>
        <w:rFonts w:hint="default"/>
        <w:lang w:val="en-GB" w:eastAsia="en-GB" w:bidi="en-GB"/>
      </w:rPr>
    </w:lvl>
  </w:abstractNum>
  <w:abstractNum w:abstractNumId="1250" w15:restartNumberingAfterBreak="0">
    <w:nsid w:val="70C17B7B"/>
    <w:multiLevelType w:val="hybridMultilevel"/>
    <w:tmpl w:val="F2EE18B8"/>
    <w:lvl w:ilvl="0" w:tplc="8B6C1F6E">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96819C8">
      <w:numFmt w:val="bullet"/>
      <w:lvlText w:val="•"/>
      <w:lvlJc w:val="left"/>
      <w:pPr>
        <w:ind w:left="892" w:hanging="217"/>
      </w:pPr>
      <w:rPr>
        <w:rFonts w:hint="default"/>
        <w:lang w:val="en-GB" w:eastAsia="en-GB" w:bidi="en-GB"/>
      </w:rPr>
    </w:lvl>
    <w:lvl w:ilvl="2" w:tplc="6A522424">
      <w:numFmt w:val="bullet"/>
      <w:lvlText w:val="•"/>
      <w:lvlJc w:val="left"/>
      <w:pPr>
        <w:ind w:left="1485" w:hanging="217"/>
      </w:pPr>
      <w:rPr>
        <w:rFonts w:hint="default"/>
        <w:lang w:val="en-GB" w:eastAsia="en-GB" w:bidi="en-GB"/>
      </w:rPr>
    </w:lvl>
    <w:lvl w:ilvl="3" w:tplc="DBA04386">
      <w:numFmt w:val="bullet"/>
      <w:lvlText w:val="•"/>
      <w:lvlJc w:val="left"/>
      <w:pPr>
        <w:ind w:left="2077" w:hanging="217"/>
      </w:pPr>
      <w:rPr>
        <w:rFonts w:hint="default"/>
        <w:lang w:val="en-GB" w:eastAsia="en-GB" w:bidi="en-GB"/>
      </w:rPr>
    </w:lvl>
    <w:lvl w:ilvl="4" w:tplc="C440713A">
      <w:numFmt w:val="bullet"/>
      <w:lvlText w:val="•"/>
      <w:lvlJc w:val="left"/>
      <w:pPr>
        <w:ind w:left="2670" w:hanging="217"/>
      </w:pPr>
      <w:rPr>
        <w:rFonts w:hint="default"/>
        <w:lang w:val="en-GB" w:eastAsia="en-GB" w:bidi="en-GB"/>
      </w:rPr>
    </w:lvl>
    <w:lvl w:ilvl="5" w:tplc="1AE64EBC">
      <w:numFmt w:val="bullet"/>
      <w:lvlText w:val="•"/>
      <w:lvlJc w:val="left"/>
      <w:pPr>
        <w:ind w:left="3263" w:hanging="217"/>
      </w:pPr>
      <w:rPr>
        <w:rFonts w:hint="default"/>
        <w:lang w:val="en-GB" w:eastAsia="en-GB" w:bidi="en-GB"/>
      </w:rPr>
    </w:lvl>
    <w:lvl w:ilvl="6" w:tplc="0890F298">
      <w:numFmt w:val="bullet"/>
      <w:lvlText w:val="•"/>
      <w:lvlJc w:val="left"/>
      <w:pPr>
        <w:ind w:left="3855" w:hanging="217"/>
      </w:pPr>
      <w:rPr>
        <w:rFonts w:hint="default"/>
        <w:lang w:val="en-GB" w:eastAsia="en-GB" w:bidi="en-GB"/>
      </w:rPr>
    </w:lvl>
    <w:lvl w:ilvl="7" w:tplc="6C1E4CFA">
      <w:numFmt w:val="bullet"/>
      <w:lvlText w:val="•"/>
      <w:lvlJc w:val="left"/>
      <w:pPr>
        <w:ind w:left="4448" w:hanging="217"/>
      </w:pPr>
      <w:rPr>
        <w:rFonts w:hint="default"/>
        <w:lang w:val="en-GB" w:eastAsia="en-GB" w:bidi="en-GB"/>
      </w:rPr>
    </w:lvl>
    <w:lvl w:ilvl="8" w:tplc="8842E56E">
      <w:numFmt w:val="bullet"/>
      <w:lvlText w:val="•"/>
      <w:lvlJc w:val="left"/>
      <w:pPr>
        <w:ind w:left="5040" w:hanging="217"/>
      </w:pPr>
      <w:rPr>
        <w:rFonts w:hint="default"/>
        <w:lang w:val="en-GB" w:eastAsia="en-GB" w:bidi="en-GB"/>
      </w:rPr>
    </w:lvl>
  </w:abstractNum>
  <w:abstractNum w:abstractNumId="1251" w15:restartNumberingAfterBreak="0">
    <w:nsid w:val="70D85409"/>
    <w:multiLevelType w:val="hybridMultilevel"/>
    <w:tmpl w:val="6A744B54"/>
    <w:lvl w:ilvl="0" w:tplc="4832FE8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A2006554">
      <w:numFmt w:val="bullet"/>
      <w:lvlText w:val="•"/>
      <w:lvlJc w:val="left"/>
      <w:pPr>
        <w:ind w:left="892" w:hanging="217"/>
      </w:pPr>
      <w:rPr>
        <w:rFonts w:hint="default"/>
        <w:lang w:val="en-GB" w:eastAsia="en-GB" w:bidi="en-GB"/>
      </w:rPr>
    </w:lvl>
    <w:lvl w:ilvl="2" w:tplc="D22C5798">
      <w:numFmt w:val="bullet"/>
      <w:lvlText w:val="•"/>
      <w:lvlJc w:val="left"/>
      <w:pPr>
        <w:ind w:left="1485" w:hanging="217"/>
      </w:pPr>
      <w:rPr>
        <w:rFonts w:hint="default"/>
        <w:lang w:val="en-GB" w:eastAsia="en-GB" w:bidi="en-GB"/>
      </w:rPr>
    </w:lvl>
    <w:lvl w:ilvl="3" w:tplc="B414EF78">
      <w:numFmt w:val="bullet"/>
      <w:lvlText w:val="•"/>
      <w:lvlJc w:val="left"/>
      <w:pPr>
        <w:ind w:left="2077" w:hanging="217"/>
      </w:pPr>
      <w:rPr>
        <w:rFonts w:hint="default"/>
        <w:lang w:val="en-GB" w:eastAsia="en-GB" w:bidi="en-GB"/>
      </w:rPr>
    </w:lvl>
    <w:lvl w:ilvl="4" w:tplc="7EA29D1E">
      <w:numFmt w:val="bullet"/>
      <w:lvlText w:val="•"/>
      <w:lvlJc w:val="left"/>
      <w:pPr>
        <w:ind w:left="2670" w:hanging="217"/>
      </w:pPr>
      <w:rPr>
        <w:rFonts w:hint="default"/>
        <w:lang w:val="en-GB" w:eastAsia="en-GB" w:bidi="en-GB"/>
      </w:rPr>
    </w:lvl>
    <w:lvl w:ilvl="5" w:tplc="2780B812">
      <w:numFmt w:val="bullet"/>
      <w:lvlText w:val="•"/>
      <w:lvlJc w:val="left"/>
      <w:pPr>
        <w:ind w:left="3263" w:hanging="217"/>
      </w:pPr>
      <w:rPr>
        <w:rFonts w:hint="default"/>
        <w:lang w:val="en-GB" w:eastAsia="en-GB" w:bidi="en-GB"/>
      </w:rPr>
    </w:lvl>
    <w:lvl w:ilvl="6" w:tplc="32B0179C">
      <w:numFmt w:val="bullet"/>
      <w:lvlText w:val="•"/>
      <w:lvlJc w:val="left"/>
      <w:pPr>
        <w:ind w:left="3855" w:hanging="217"/>
      </w:pPr>
      <w:rPr>
        <w:rFonts w:hint="default"/>
        <w:lang w:val="en-GB" w:eastAsia="en-GB" w:bidi="en-GB"/>
      </w:rPr>
    </w:lvl>
    <w:lvl w:ilvl="7" w:tplc="39C0EF26">
      <w:numFmt w:val="bullet"/>
      <w:lvlText w:val="•"/>
      <w:lvlJc w:val="left"/>
      <w:pPr>
        <w:ind w:left="4448" w:hanging="217"/>
      </w:pPr>
      <w:rPr>
        <w:rFonts w:hint="default"/>
        <w:lang w:val="en-GB" w:eastAsia="en-GB" w:bidi="en-GB"/>
      </w:rPr>
    </w:lvl>
    <w:lvl w:ilvl="8" w:tplc="40822C74">
      <w:numFmt w:val="bullet"/>
      <w:lvlText w:val="•"/>
      <w:lvlJc w:val="left"/>
      <w:pPr>
        <w:ind w:left="5040" w:hanging="217"/>
      </w:pPr>
      <w:rPr>
        <w:rFonts w:hint="default"/>
        <w:lang w:val="en-GB" w:eastAsia="en-GB" w:bidi="en-GB"/>
      </w:rPr>
    </w:lvl>
  </w:abstractNum>
  <w:abstractNum w:abstractNumId="1252" w15:restartNumberingAfterBreak="0">
    <w:nsid w:val="70E00704"/>
    <w:multiLevelType w:val="hybridMultilevel"/>
    <w:tmpl w:val="8BE439C4"/>
    <w:lvl w:ilvl="0" w:tplc="915026C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93E853A">
      <w:numFmt w:val="bullet"/>
      <w:lvlText w:val="•"/>
      <w:lvlJc w:val="left"/>
      <w:pPr>
        <w:ind w:left="892" w:hanging="217"/>
      </w:pPr>
      <w:rPr>
        <w:rFonts w:hint="default"/>
        <w:lang w:val="en-GB" w:eastAsia="en-GB" w:bidi="en-GB"/>
      </w:rPr>
    </w:lvl>
    <w:lvl w:ilvl="2" w:tplc="77E4E5AC">
      <w:numFmt w:val="bullet"/>
      <w:lvlText w:val="•"/>
      <w:lvlJc w:val="left"/>
      <w:pPr>
        <w:ind w:left="1485" w:hanging="217"/>
      </w:pPr>
      <w:rPr>
        <w:rFonts w:hint="default"/>
        <w:lang w:val="en-GB" w:eastAsia="en-GB" w:bidi="en-GB"/>
      </w:rPr>
    </w:lvl>
    <w:lvl w:ilvl="3" w:tplc="9F98FA1C">
      <w:numFmt w:val="bullet"/>
      <w:lvlText w:val="•"/>
      <w:lvlJc w:val="left"/>
      <w:pPr>
        <w:ind w:left="2077" w:hanging="217"/>
      </w:pPr>
      <w:rPr>
        <w:rFonts w:hint="default"/>
        <w:lang w:val="en-GB" w:eastAsia="en-GB" w:bidi="en-GB"/>
      </w:rPr>
    </w:lvl>
    <w:lvl w:ilvl="4" w:tplc="A2DEA708">
      <w:numFmt w:val="bullet"/>
      <w:lvlText w:val="•"/>
      <w:lvlJc w:val="left"/>
      <w:pPr>
        <w:ind w:left="2670" w:hanging="217"/>
      </w:pPr>
      <w:rPr>
        <w:rFonts w:hint="default"/>
        <w:lang w:val="en-GB" w:eastAsia="en-GB" w:bidi="en-GB"/>
      </w:rPr>
    </w:lvl>
    <w:lvl w:ilvl="5" w:tplc="4E7A0398">
      <w:numFmt w:val="bullet"/>
      <w:lvlText w:val="•"/>
      <w:lvlJc w:val="left"/>
      <w:pPr>
        <w:ind w:left="3263" w:hanging="217"/>
      </w:pPr>
      <w:rPr>
        <w:rFonts w:hint="default"/>
        <w:lang w:val="en-GB" w:eastAsia="en-GB" w:bidi="en-GB"/>
      </w:rPr>
    </w:lvl>
    <w:lvl w:ilvl="6" w:tplc="2D76768C">
      <w:numFmt w:val="bullet"/>
      <w:lvlText w:val="•"/>
      <w:lvlJc w:val="left"/>
      <w:pPr>
        <w:ind w:left="3855" w:hanging="217"/>
      </w:pPr>
      <w:rPr>
        <w:rFonts w:hint="default"/>
        <w:lang w:val="en-GB" w:eastAsia="en-GB" w:bidi="en-GB"/>
      </w:rPr>
    </w:lvl>
    <w:lvl w:ilvl="7" w:tplc="58C6F780">
      <w:numFmt w:val="bullet"/>
      <w:lvlText w:val="•"/>
      <w:lvlJc w:val="left"/>
      <w:pPr>
        <w:ind w:left="4448" w:hanging="217"/>
      </w:pPr>
      <w:rPr>
        <w:rFonts w:hint="default"/>
        <w:lang w:val="en-GB" w:eastAsia="en-GB" w:bidi="en-GB"/>
      </w:rPr>
    </w:lvl>
    <w:lvl w:ilvl="8" w:tplc="6C047064">
      <w:numFmt w:val="bullet"/>
      <w:lvlText w:val="•"/>
      <w:lvlJc w:val="left"/>
      <w:pPr>
        <w:ind w:left="5040" w:hanging="217"/>
      </w:pPr>
      <w:rPr>
        <w:rFonts w:hint="default"/>
        <w:lang w:val="en-GB" w:eastAsia="en-GB" w:bidi="en-GB"/>
      </w:rPr>
    </w:lvl>
  </w:abstractNum>
  <w:abstractNum w:abstractNumId="1253" w15:restartNumberingAfterBreak="0">
    <w:nsid w:val="70ED1182"/>
    <w:multiLevelType w:val="hybridMultilevel"/>
    <w:tmpl w:val="B15834E0"/>
    <w:lvl w:ilvl="0" w:tplc="04F6B2A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4547E1A">
      <w:numFmt w:val="bullet"/>
      <w:lvlText w:val="•"/>
      <w:lvlJc w:val="left"/>
      <w:pPr>
        <w:ind w:left="473" w:hanging="217"/>
      </w:pPr>
      <w:rPr>
        <w:rFonts w:hint="default"/>
        <w:lang w:val="en-GB" w:eastAsia="en-GB" w:bidi="en-GB"/>
      </w:rPr>
    </w:lvl>
    <w:lvl w:ilvl="2" w:tplc="490257AA">
      <w:numFmt w:val="bullet"/>
      <w:lvlText w:val="•"/>
      <w:lvlJc w:val="left"/>
      <w:pPr>
        <w:ind w:left="646" w:hanging="217"/>
      </w:pPr>
      <w:rPr>
        <w:rFonts w:hint="default"/>
        <w:lang w:val="en-GB" w:eastAsia="en-GB" w:bidi="en-GB"/>
      </w:rPr>
    </w:lvl>
    <w:lvl w:ilvl="3" w:tplc="77CE9568">
      <w:numFmt w:val="bullet"/>
      <w:lvlText w:val="•"/>
      <w:lvlJc w:val="left"/>
      <w:pPr>
        <w:ind w:left="819" w:hanging="217"/>
      </w:pPr>
      <w:rPr>
        <w:rFonts w:hint="default"/>
        <w:lang w:val="en-GB" w:eastAsia="en-GB" w:bidi="en-GB"/>
      </w:rPr>
    </w:lvl>
    <w:lvl w:ilvl="4" w:tplc="4E9E7BC6">
      <w:numFmt w:val="bullet"/>
      <w:lvlText w:val="•"/>
      <w:lvlJc w:val="left"/>
      <w:pPr>
        <w:ind w:left="992" w:hanging="217"/>
      </w:pPr>
      <w:rPr>
        <w:rFonts w:hint="default"/>
        <w:lang w:val="en-GB" w:eastAsia="en-GB" w:bidi="en-GB"/>
      </w:rPr>
    </w:lvl>
    <w:lvl w:ilvl="5" w:tplc="BAE2E3CE">
      <w:numFmt w:val="bullet"/>
      <w:lvlText w:val="•"/>
      <w:lvlJc w:val="left"/>
      <w:pPr>
        <w:ind w:left="1165" w:hanging="217"/>
      </w:pPr>
      <w:rPr>
        <w:rFonts w:hint="default"/>
        <w:lang w:val="en-GB" w:eastAsia="en-GB" w:bidi="en-GB"/>
      </w:rPr>
    </w:lvl>
    <w:lvl w:ilvl="6" w:tplc="FACCF21C">
      <w:numFmt w:val="bullet"/>
      <w:lvlText w:val="•"/>
      <w:lvlJc w:val="left"/>
      <w:pPr>
        <w:ind w:left="1338" w:hanging="217"/>
      </w:pPr>
      <w:rPr>
        <w:rFonts w:hint="default"/>
        <w:lang w:val="en-GB" w:eastAsia="en-GB" w:bidi="en-GB"/>
      </w:rPr>
    </w:lvl>
    <w:lvl w:ilvl="7" w:tplc="E312BA5A">
      <w:numFmt w:val="bullet"/>
      <w:lvlText w:val="•"/>
      <w:lvlJc w:val="left"/>
      <w:pPr>
        <w:ind w:left="1511" w:hanging="217"/>
      </w:pPr>
      <w:rPr>
        <w:rFonts w:hint="default"/>
        <w:lang w:val="en-GB" w:eastAsia="en-GB" w:bidi="en-GB"/>
      </w:rPr>
    </w:lvl>
    <w:lvl w:ilvl="8" w:tplc="B5F89700">
      <w:numFmt w:val="bullet"/>
      <w:lvlText w:val="•"/>
      <w:lvlJc w:val="left"/>
      <w:pPr>
        <w:ind w:left="1684" w:hanging="217"/>
      </w:pPr>
      <w:rPr>
        <w:rFonts w:hint="default"/>
        <w:lang w:val="en-GB" w:eastAsia="en-GB" w:bidi="en-GB"/>
      </w:rPr>
    </w:lvl>
  </w:abstractNum>
  <w:abstractNum w:abstractNumId="1254" w15:restartNumberingAfterBreak="0">
    <w:nsid w:val="71341E36"/>
    <w:multiLevelType w:val="hybridMultilevel"/>
    <w:tmpl w:val="772EC46A"/>
    <w:lvl w:ilvl="0" w:tplc="BDE2321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438C3F8">
      <w:numFmt w:val="bullet"/>
      <w:lvlText w:val="•"/>
      <w:lvlJc w:val="left"/>
      <w:pPr>
        <w:ind w:left="439" w:hanging="217"/>
      </w:pPr>
      <w:rPr>
        <w:rFonts w:hint="default"/>
        <w:lang w:val="en-GB" w:eastAsia="en-GB" w:bidi="en-GB"/>
      </w:rPr>
    </w:lvl>
    <w:lvl w:ilvl="2" w:tplc="8832506A">
      <w:numFmt w:val="bullet"/>
      <w:lvlText w:val="•"/>
      <w:lvlJc w:val="left"/>
      <w:pPr>
        <w:ind w:left="578" w:hanging="217"/>
      </w:pPr>
      <w:rPr>
        <w:rFonts w:hint="default"/>
        <w:lang w:val="en-GB" w:eastAsia="en-GB" w:bidi="en-GB"/>
      </w:rPr>
    </w:lvl>
    <w:lvl w:ilvl="3" w:tplc="412EEAEE">
      <w:numFmt w:val="bullet"/>
      <w:lvlText w:val="•"/>
      <w:lvlJc w:val="left"/>
      <w:pPr>
        <w:ind w:left="717" w:hanging="217"/>
      </w:pPr>
      <w:rPr>
        <w:rFonts w:hint="default"/>
        <w:lang w:val="en-GB" w:eastAsia="en-GB" w:bidi="en-GB"/>
      </w:rPr>
    </w:lvl>
    <w:lvl w:ilvl="4" w:tplc="2C067058">
      <w:numFmt w:val="bullet"/>
      <w:lvlText w:val="•"/>
      <w:lvlJc w:val="left"/>
      <w:pPr>
        <w:ind w:left="856" w:hanging="217"/>
      </w:pPr>
      <w:rPr>
        <w:rFonts w:hint="default"/>
        <w:lang w:val="en-GB" w:eastAsia="en-GB" w:bidi="en-GB"/>
      </w:rPr>
    </w:lvl>
    <w:lvl w:ilvl="5" w:tplc="43F476D6">
      <w:numFmt w:val="bullet"/>
      <w:lvlText w:val="•"/>
      <w:lvlJc w:val="left"/>
      <w:pPr>
        <w:ind w:left="995" w:hanging="217"/>
      </w:pPr>
      <w:rPr>
        <w:rFonts w:hint="default"/>
        <w:lang w:val="en-GB" w:eastAsia="en-GB" w:bidi="en-GB"/>
      </w:rPr>
    </w:lvl>
    <w:lvl w:ilvl="6" w:tplc="96162D26">
      <w:numFmt w:val="bullet"/>
      <w:lvlText w:val="•"/>
      <w:lvlJc w:val="left"/>
      <w:pPr>
        <w:ind w:left="1134" w:hanging="217"/>
      </w:pPr>
      <w:rPr>
        <w:rFonts w:hint="default"/>
        <w:lang w:val="en-GB" w:eastAsia="en-GB" w:bidi="en-GB"/>
      </w:rPr>
    </w:lvl>
    <w:lvl w:ilvl="7" w:tplc="6EE60490">
      <w:numFmt w:val="bullet"/>
      <w:lvlText w:val="•"/>
      <w:lvlJc w:val="left"/>
      <w:pPr>
        <w:ind w:left="1273" w:hanging="217"/>
      </w:pPr>
      <w:rPr>
        <w:rFonts w:hint="default"/>
        <w:lang w:val="en-GB" w:eastAsia="en-GB" w:bidi="en-GB"/>
      </w:rPr>
    </w:lvl>
    <w:lvl w:ilvl="8" w:tplc="6E3EA020">
      <w:numFmt w:val="bullet"/>
      <w:lvlText w:val="•"/>
      <w:lvlJc w:val="left"/>
      <w:pPr>
        <w:ind w:left="1412" w:hanging="217"/>
      </w:pPr>
      <w:rPr>
        <w:rFonts w:hint="default"/>
        <w:lang w:val="en-GB" w:eastAsia="en-GB" w:bidi="en-GB"/>
      </w:rPr>
    </w:lvl>
  </w:abstractNum>
  <w:abstractNum w:abstractNumId="1255" w15:restartNumberingAfterBreak="0">
    <w:nsid w:val="71436B04"/>
    <w:multiLevelType w:val="hybridMultilevel"/>
    <w:tmpl w:val="96802B9C"/>
    <w:lvl w:ilvl="0" w:tplc="4C2491F6">
      <w:numFmt w:val="bullet"/>
      <w:lvlText w:val="•"/>
      <w:lvlJc w:val="left"/>
      <w:pPr>
        <w:ind w:left="300" w:hanging="217"/>
      </w:pPr>
      <w:rPr>
        <w:rFonts w:ascii="Arial" w:eastAsia="Arial" w:hAnsi="Arial" w:cs="Arial" w:hint="default"/>
        <w:color w:val="231F20"/>
        <w:w w:val="102"/>
        <w:sz w:val="17"/>
        <w:szCs w:val="17"/>
        <w:lang w:val="en-GB" w:eastAsia="en-GB" w:bidi="en-GB"/>
      </w:rPr>
    </w:lvl>
    <w:lvl w:ilvl="1" w:tplc="1A4E93FE">
      <w:numFmt w:val="bullet"/>
      <w:lvlText w:val="•"/>
      <w:lvlJc w:val="left"/>
      <w:pPr>
        <w:ind w:left="892" w:hanging="217"/>
      </w:pPr>
      <w:rPr>
        <w:rFonts w:hint="default"/>
        <w:lang w:val="en-GB" w:eastAsia="en-GB" w:bidi="en-GB"/>
      </w:rPr>
    </w:lvl>
    <w:lvl w:ilvl="2" w:tplc="F48EA7E2">
      <w:numFmt w:val="bullet"/>
      <w:lvlText w:val="•"/>
      <w:lvlJc w:val="left"/>
      <w:pPr>
        <w:ind w:left="1484" w:hanging="217"/>
      </w:pPr>
      <w:rPr>
        <w:rFonts w:hint="default"/>
        <w:lang w:val="en-GB" w:eastAsia="en-GB" w:bidi="en-GB"/>
      </w:rPr>
    </w:lvl>
    <w:lvl w:ilvl="3" w:tplc="F308383A">
      <w:numFmt w:val="bullet"/>
      <w:lvlText w:val="•"/>
      <w:lvlJc w:val="left"/>
      <w:pPr>
        <w:ind w:left="2076" w:hanging="217"/>
      </w:pPr>
      <w:rPr>
        <w:rFonts w:hint="default"/>
        <w:lang w:val="en-GB" w:eastAsia="en-GB" w:bidi="en-GB"/>
      </w:rPr>
    </w:lvl>
    <w:lvl w:ilvl="4" w:tplc="6906950C">
      <w:numFmt w:val="bullet"/>
      <w:lvlText w:val="•"/>
      <w:lvlJc w:val="left"/>
      <w:pPr>
        <w:ind w:left="2668" w:hanging="217"/>
      </w:pPr>
      <w:rPr>
        <w:rFonts w:hint="default"/>
        <w:lang w:val="en-GB" w:eastAsia="en-GB" w:bidi="en-GB"/>
      </w:rPr>
    </w:lvl>
    <w:lvl w:ilvl="5" w:tplc="9C04E744">
      <w:numFmt w:val="bullet"/>
      <w:lvlText w:val="•"/>
      <w:lvlJc w:val="left"/>
      <w:pPr>
        <w:ind w:left="3260" w:hanging="217"/>
      </w:pPr>
      <w:rPr>
        <w:rFonts w:hint="default"/>
        <w:lang w:val="en-GB" w:eastAsia="en-GB" w:bidi="en-GB"/>
      </w:rPr>
    </w:lvl>
    <w:lvl w:ilvl="6" w:tplc="A6A8ED16">
      <w:numFmt w:val="bullet"/>
      <w:lvlText w:val="•"/>
      <w:lvlJc w:val="left"/>
      <w:pPr>
        <w:ind w:left="3852" w:hanging="217"/>
      </w:pPr>
      <w:rPr>
        <w:rFonts w:hint="default"/>
        <w:lang w:val="en-GB" w:eastAsia="en-GB" w:bidi="en-GB"/>
      </w:rPr>
    </w:lvl>
    <w:lvl w:ilvl="7" w:tplc="1FC2A5B0">
      <w:numFmt w:val="bullet"/>
      <w:lvlText w:val="•"/>
      <w:lvlJc w:val="left"/>
      <w:pPr>
        <w:ind w:left="4444" w:hanging="217"/>
      </w:pPr>
      <w:rPr>
        <w:rFonts w:hint="default"/>
        <w:lang w:val="en-GB" w:eastAsia="en-GB" w:bidi="en-GB"/>
      </w:rPr>
    </w:lvl>
    <w:lvl w:ilvl="8" w:tplc="FBFED1DA">
      <w:numFmt w:val="bullet"/>
      <w:lvlText w:val="•"/>
      <w:lvlJc w:val="left"/>
      <w:pPr>
        <w:ind w:left="5036" w:hanging="217"/>
      </w:pPr>
      <w:rPr>
        <w:rFonts w:hint="default"/>
        <w:lang w:val="en-GB" w:eastAsia="en-GB" w:bidi="en-GB"/>
      </w:rPr>
    </w:lvl>
  </w:abstractNum>
  <w:abstractNum w:abstractNumId="1256" w15:restartNumberingAfterBreak="0">
    <w:nsid w:val="716D2DE7"/>
    <w:multiLevelType w:val="hybridMultilevel"/>
    <w:tmpl w:val="5DEED6B2"/>
    <w:lvl w:ilvl="0" w:tplc="1678573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18F4B3F0">
      <w:numFmt w:val="bullet"/>
      <w:lvlText w:val="•"/>
      <w:lvlJc w:val="left"/>
      <w:pPr>
        <w:ind w:left="892" w:hanging="217"/>
      </w:pPr>
      <w:rPr>
        <w:rFonts w:hint="default"/>
        <w:lang w:val="en-GB" w:eastAsia="en-GB" w:bidi="en-GB"/>
      </w:rPr>
    </w:lvl>
    <w:lvl w:ilvl="2" w:tplc="80B4DCE2">
      <w:numFmt w:val="bullet"/>
      <w:lvlText w:val="•"/>
      <w:lvlJc w:val="left"/>
      <w:pPr>
        <w:ind w:left="1485" w:hanging="217"/>
      </w:pPr>
      <w:rPr>
        <w:rFonts w:hint="default"/>
        <w:lang w:val="en-GB" w:eastAsia="en-GB" w:bidi="en-GB"/>
      </w:rPr>
    </w:lvl>
    <w:lvl w:ilvl="3" w:tplc="60983670">
      <w:numFmt w:val="bullet"/>
      <w:lvlText w:val="•"/>
      <w:lvlJc w:val="left"/>
      <w:pPr>
        <w:ind w:left="2077" w:hanging="217"/>
      </w:pPr>
      <w:rPr>
        <w:rFonts w:hint="default"/>
        <w:lang w:val="en-GB" w:eastAsia="en-GB" w:bidi="en-GB"/>
      </w:rPr>
    </w:lvl>
    <w:lvl w:ilvl="4" w:tplc="CEDEC83E">
      <w:numFmt w:val="bullet"/>
      <w:lvlText w:val="•"/>
      <w:lvlJc w:val="left"/>
      <w:pPr>
        <w:ind w:left="2670" w:hanging="217"/>
      </w:pPr>
      <w:rPr>
        <w:rFonts w:hint="default"/>
        <w:lang w:val="en-GB" w:eastAsia="en-GB" w:bidi="en-GB"/>
      </w:rPr>
    </w:lvl>
    <w:lvl w:ilvl="5" w:tplc="958A6A10">
      <w:numFmt w:val="bullet"/>
      <w:lvlText w:val="•"/>
      <w:lvlJc w:val="left"/>
      <w:pPr>
        <w:ind w:left="3263" w:hanging="217"/>
      </w:pPr>
      <w:rPr>
        <w:rFonts w:hint="default"/>
        <w:lang w:val="en-GB" w:eastAsia="en-GB" w:bidi="en-GB"/>
      </w:rPr>
    </w:lvl>
    <w:lvl w:ilvl="6" w:tplc="73C00E84">
      <w:numFmt w:val="bullet"/>
      <w:lvlText w:val="•"/>
      <w:lvlJc w:val="left"/>
      <w:pPr>
        <w:ind w:left="3855" w:hanging="217"/>
      </w:pPr>
      <w:rPr>
        <w:rFonts w:hint="default"/>
        <w:lang w:val="en-GB" w:eastAsia="en-GB" w:bidi="en-GB"/>
      </w:rPr>
    </w:lvl>
    <w:lvl w:ilvl="7" w:tplc="62B2E2B8">
      <w:numFmt w:val="bullet"/>
      <w:lvlText w:val="•"/>
      <w:lvlJc w:val="left"/>
      <w:pPr>
        <w:ind w:left="4448" w:hanging="217"/>
      </w:pPr>
      <w:rPr>
        <w:rFonts w:hint="default"/>
        <w:lang w:val="en-GB" w:eastAsia="en-GB" w:bidi="en-GB"/>
      </w:rPr>
    </w:lvl>
    <w:lvl w:ilvl="8" w:tplc="6EFC272A">
      <w:numFmt w:val="bullet"/>
      <w:lvlText w:val="•"/>
      <w:lvlJc w:val="left"/>
      <w:pPr>
        <w:ind w:left="5040" w:hanging="217"/>
      </w:pPr>
      <w:rPr>
        <w:rFonts w:hint="default"/>
        <w:lang w:val="en-GB" w:eastAsia="en-GB" w:bidi="en-GB"/>
      </w:rPr>
    </w:lvl>
  </w:abstractNum>
  <w:abstractNum w:abstractNumId="1257" w15:restartNumberingAfterBreak="0">
    <w:nsid w:val="71A23405"/>
    <w:multiLevelType w:val="hybridMultilevel"/>
    <w:tmpl w:val="B9323716"/>
    <w:lvl w:ilvl="0" w:tplc="950441E6">
      <w:numFmt w:val="bullet"/>
      <w:lvlText w:val="•"/>
      <w:lvlJc w:val="left"/>
      <w:pPr>
        <w:ind w:left="304" w:hanging="217"/>
      </w:pPr>
      <w:rPr>
        <w:rFonts w:ascii="Arial" w:eastAsia="Arial" w:hAnsi="Arial" w:cs="Arial" w:hint="default"/>
        <w:color w:val="231F20"/>
        <w:w w:val="100"/>
        <w:sz w:val="18"/>
        <w:szCs w:val="18"/>
        <w:lang w:val="en-GB" w:eastAsia="en-GB" w:bidi="en-GB"/>
      </w:rPr>
    </w:lvl>
    <w:lvl w:ilvl="1" w:tplc="73B8DCB8">
      <w:numFmt w:val="bullet"/>
      <w:lvlText w:val="•"/>
      <w:lvlJc w:val="left"/>
      <w:pPr>
        <w:ind w:left="473" w:hanging="217"/>
      </w:pPr>
      <w:rPr>
        <w:rFonts w:hint="default"/>
        <w:lang w:val="en-GB" w:eastAsia="en-GB" w:bidi="en-GB"/>
      </w:rPr>
    </w:lvl>
    <w:lvl w:ilvl="2" w:tplc="2C309932">
      <w:numFmt w:val="bullet"/>
      <w:lvlText w:val="•"/>
      <w:lvlJc w:val="left"/>
      <w:pPr>
        <w:ind w:left="646" w:hanging="217"/>
      </w:pPr>
      <w:rPr>
        <w:rFonts w:hint="default"/>
        <w:lang w:val="en-GB" w:eastAsia="en-GB" w:bidi="en-GB"/>
      </w:rPr>
    </w:lvl>
    <w:lvl w:ilvl="3" w:tplc="85D6DB26">
      <w:numFmt w:val="bullet"/>
      <w:lvlText w:val="•"/>
      <w:lvlJc w:val="left"/>
      <w:pPr>
        <w:ind w:left="819" w:hanging="217"/>
      </w:pPr>
      <w:rPr>
        <w:rFonts w:hint="default"/>
        <w:lang w:val="en-GB" w:eastAsia="en-GB" w:bidi="en-GB"/>
      </w:rPr>
    </w:lvl>
    <w:lvl w:ilvl="4" w:tplc="052E09BC">
      <w:numFmt w:val="bullet"/>
      <w:lvlText w:val="•"/>
      <w:lvlJc w:val="left"/>
      <w:pPr>
        <w:ind w:left="992" w:hanging="217"/>
      </w:pPr>
      <w:rPr>
        <w:rFonts w:hint="default"/>
        <w:lang w:val="en-GB" w:eastAsia="en-GB" w:bidi="en-GB"/>
      </w:rPr>
    </w:lvl>
    <w:lvl w:ilvl="5" w:tplc="F16429C6">
      <w:numFmt w:val="bullet"/>
      <w:lvlText w:val="•"/>
      <w:lvlJc w:val="left"/>
      <w:pPr>
        <w:ind w:left="1165" w:hanging="217"/>
      </w:pPr>
      <w:rPr>
        <w:rFonts w:hint="default"/>
        <w:lang w:val="en-GB" w:eastAsia="en-GB" w:bidi="en-GB"/>
      </w:rPr>
    </w:lvl>
    <w:lvl w:ilvl="6" w:tplc="1656451E">
      <w:numFmt w:val="bullet"/>
      <w:lvlText w:val="•"/>
      <w:lvlJc w:val="left"/>
      <w:pPr>
        <w:ind w:left="1338" w:hanging="217"/>
      </w:pPr>
      <w:rPr>
        <w:rFonts w:hint="default"/>
        <w:lang w:val="en-GB" w:eastAsia="en-GB" w:bidi="en-GB"/>
      </w:rPr>
    </w:lvl>
    <w:lvl w:ilvl="7" w:tplc="FFE456B4">
      <w:numFmt w:val="bullet"/>
      <w:lvlText w:val="•"/>
      <w:lvlJc w:val="left"/>
      <w:pPr>
        <w:ind w:left="1511" w:hanging="217"/>
      </w:pPr>
      <w:rPr>
        <w:rFonts w:hint="default"/>
        <w:lang w:val="en-GB" w:eastAsia="en-GB" w:bidi="en-GB"/>
      </w:rPr>
    </w:lvl>
    <w:lvl w:ilvl="8" w:tplc="9D7AC014">
      <w:numFmt w:val="bullet"/>
      <w:lvlText w:val="•"/>
      <w:lvlJc w:val="left"/>
      <w:pPr>
        <w:ind w:left="1684" w:hanging="217"/>
      </w:pPr>
      <w:rPr>
        <w:rFonts w:hint="default"/>
        <w:lang w:val="en-GB" w:eastAsia="en-GB" w:bidi="en-GB"/>
      </w:rPr>
    </w:lvl>
  </w:abstractNum>
  <w:abstractNum w:abstractNumId="1258" w15:restartNumberingAfterBreak="0">
    <w:nsid w:val="71AA55E8"/>
    <w:multiLevelType w:val="hybridMultilevel"/>
    <w:tmpl w:val="EB246326"/>
    <w:lvl w:ilvl="0" w:tplc="24D2E44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422F26C">
      <w:numFmt w:val="bullet"/>
      <w:lvlText w:val="•"/>
      <w:lvlJc w:val="left"/>
      <w:pPr>
        <w:ind w:left="439" w:hanging="217"/>
      </w:pPr>
      <w:rPr>
        <w:rFonts w:hint="default"/>
        <w:lang w:val="en-GB" w:eastAsia="en-GB" w:bidi="en-GB"/>
      </w:rPr>
    </w:lvl>
    <w:lvl w:ilvl="2" w:tplc="D9983648">
      <w:numFmt w:val="bullet"/>
      <w:lvlText w:val="•"/>
      <w:lvlJc w:val="left"/>
      <w:pPr>
        <w:ind w:left="578" w:hanging="217"/>
      </w:pPr>
      <w:rPr>
        <w:rFonts w:hint="default"/>
        <w:lang w:val="en-GB" w:eastAsia="en-GB" w:bidi="en-GB"/>
      </w:rPr>
    </w:lvl>
    <w:lvl w:ilvl="3" w:tplc="B546C01C">
      <w:numFmt w:val="bullet"/>
      <w:lvlText w:val="•"/>
      <w:lvlJc w:val="left"/>
      <w:pPr>
        <w:ind w:left="717" w:hanging="217"/>
      </w:pPr>
      <w:rPr>
        <w:rFonts w:hint="default"/>
        <w:lang w:val="en-GB" w:eastAsia="en-GB" w:bidi="en-GB"/>
      </w:rPr>
    </w:lvl>
    <w:lvl w:ilvl="4" w:tplc="A558D54E">
      <w:numFmt w:val="bullet"/>
      <w:lvlText w:val="•"/>
      <w:lvlJc w:val="left"/>
      <w:pPr>
        <w:ind w:left="856" w:hanging="217"/>
      </w:pPr>
      <w:rPr>
        <w:rFonts w:hint="default"/>
        <w:lang w:val="en-GB" w:eastAsia="en-GB" w:bidi="en-GB"/>
      </w:rPr>
    </w:lvl>
    <w:lvl w:ilvl="5" w:tplc="BF6C210C">
      <w:numFmt w:val="bullet"/>
      <w:lvlText w:val="•"/>
      <w:lvlJc w:val="left"/>
      <w:pPr>
        <w:ind w:left="995" w:hanging="217"/>
      </w:pPr>
      <w:rPr>
        <w:rFonts w:hint="default"/>
        <w:lang w:val="en-GB" w:eastAsia="en-GB" w:bidi="en-GB"/>
      </w:rPr>
    </w:lvl>
    <w:lvl w:ilvl="6" w:tplc="3B62B1C2">
      <w:numFmt w:val="bullet"/>
      <w:lvlText w:val="•"/>
      <w:lvlJc w:val="left"/>
      <w:pPr>
        <w:ind w:left="1134" w:hanging="217"/>
      </w:pPr>
      <w:rPr>
        <w:rFonts w:hint="default"/>
        <w:lang w:val="en-GB" w:eastAsia="en-GB" w:bidi="en-GB"/>
      </w:rPr>
    </w:lvl>
    <w:lvl w:ilvl="7" w:tplc="D9809042">
      <w:numFmt w:val="bullet"/>
      <w:lvlText w:val="•"/>
      <w:lvlJc w:val="left"/>
      <w:pPr>
        <w:ind w:left="1273" w:hanging="217"/>
      </w:pPr>
      <w:rPr>
        <w:rFonts w:hint="default"/>
        <w:lang w:val="en-GB" w:eastAsia="en-GB" w:bidi="en-GB"/>
      </w:rPr>
    </w:lvl>
    <w:lvl w:ilvl="8" w:tplc="D26AE148">
      <w:numFmt w:val="bullet"/>
      <w:lvlText w:val="•"/>
      <w:lvlJc w:val="left"/>
      <w:pPr>
        <w:ind w:left="1412" w:hanging="217"/>
      </w:pPr>
      <w:rPr>
        <w:rFonts w:hint="default"/>
        <w:lang w:val="en-GB" w:eastAsia="en-GB" w:bidi="en-GB"/>
      </w:rPr>
    </w:lvl>
  </w:abstractNum>
  <w:abstractNum w:abstractNumId="1259" w15:restartNumberingAfterBreak="0">
    <w:nsid w:val="71AE6B0C"/>
    <w:multiLevelType w:val="hybridMultilevel"/>
    <w:tmpl w:val="D76253F2"/>
    <w:lvl w:ilvl="0" w:tplc="CE5E8AC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18DE6610">
      <w:numFmt w:val="bullet"/>
      <w:lvlText w:val="•"/>
      <w:lvlJc w:val="left"/>
      <w:pPr>
        <w:ind w:left="473" w:hanging="217"/>
      </w:pPr>
      <w:rPr>
        <w:rFonts w:hint="default"/>
        <w:lang w:val="en-GB" w:eastAsia="en-GB" w:bidi="en-GB"/>
      </w:rPr>
    </w:lvl>
    <w:lvl w:ilvl="2" w:tplc="0EC268B6">
      <w:numFmt w:val="bullet"/>
      <w:lvlText w:val="•"/>
      <w:lvlJc w:val="left"/>
      <w:pPr>
        <w:ind w:left="646" w:hanging="217"/>
      </w:pPr>
      <w:rPr>
        <w:rFonts w:hint="default"/>
        <w:lang w:val="en-GB" w:eastAsia="en-GB" w:bidi="en-GB"/>
      </w:rPr>
    </w:lvl>
    <w:lvl w:ilvl="3" w:tplc="699ABE22">
      <w:numFmt w:val="bullet"/>
      <w:lvlText w:val="•"/>
      <w:lvlJc w:val="left"/>
      <w:pPr>
        <w:ind w:left="819" w:hanging="217"/>
      </w:pPr>
      <w:rPr>
        <w:rFonts w:hint="default"/>
        <w:lang w:val="en-GB" w:eastAsia="en-GB" w:bidi="en-GB"/>
      </w:rPr>
    </w:lvl>
    <w:lvl w:ilvl="4" w:tplc="9D08D9EA">
      <w:numFmt w:val="bullet"/>
      <w:lvlText w:val="•"/>
      <w:lvlJc w:val="left"/>
      <w:pPr>
        <w:ind w:left="992" w:hanging="217"/>
      </w:pPr>
      <w:rPr>
        <w:rFonts w:hint="default"/>
        <w:lang w:val="en-GB" w:eastAsia="en-GB" w:bidi="en-GB"/>
      </w:rPr>
    </w:lvl>
    <w:lvl w:ilvl="5" w:tplc="91665B14">
      <w:numFmt w:val="bullet"/>
      <w:lvlText w:val="•"/>
      <w:lvlJc w:val="left"/>
      <w:pPr>
        <w:ind w:left="1165" w:hanging="217"/>
      </w:pPr>
      <w:rPr>
        <w:rFonts w:hint="default"/>
        <w:lang w:val="en-GB" w:eastAsia="en-GB" w:bidi="en-GB"/>
      </w:rPr>
    </w:lvl>
    <w:lvl w:ilvl="6" w:tplc="794A95F0">
      <w:numFmt w:val="bullet"/>
      <w:lvlText w:val="•"/>
      <w:lvlJc w:val="left"/>
      <w:pPr>
        <w:ind w:left="1338" w:hanging="217"/>
      </w:pPr>
      <w:rPr>
        <w:rFonts w:hint="default"/>
        <w:lang w:val="en-GB" w:eastAsia="en-GB" w:bidi="en-GB"/>
      </w:rPr>
    </w:lvl>
    <w:lvl w:ilvl="7" w:tplc="BE0EB922">
      <w:numFmt w:val="bullet"/>
      <w:lvlText w:val="•"/>
      <w:lvlJc w:val="left"/>
      <w:pPr>
        <w:ind w:left="1511" w:hanging="217"/>
      </w:pPr>
      <w:rPr>
        <w:rFonts w:hint="default"/>
        <w:lang w:val="en-GB" w:eastAsia="en-GB" w:bidi="en-GB"/>
      </w:rPr>
    </w:lvl>
    <w:lvl w:ilvl="8" w:tplc="0212D128">
      <w:numFmt w:val="bullet"/>
      <w:lvlText w:val="•"/>
      <w:lvlJc w:val="left"/>
      <w:pPr>
        <w:ind w:left="1684" w:hanging="217"/>
      </w:pPr>
      <w:rPr>
        <w:rFonts w:hint="default"/>
        <w:lang w:val="en-GB" w:eastAsia="en-GB" w:bidi="en-GB"/>
      </w:rPr>
    </w:lvl>
  </w:abstractNum>
  <w:abstractNum w:abstractNumId="1260" w15:restartNumberingAfterBreak="0">
    <w:nsid w:val="71B74CA6"/>
    <w:multiLevelType w:val="hybridMultilevel"/>
    <w:tmpl w:val="7522FFCC"/>
    <w:lvl w:ilvl="0" w:tplc="C3B22FC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5209056">
      <w:numFmt w:val="bullet"/>
      <w:lvlText w:val="•"/>
      <w:lvlJc w:val="left"/>
      <w:pPr>
        <w:ind w:left="473" w:hanging="217"/>
      </w:pPr>
      <w:rPr>
        <w:rFonts w:hint="default"/>
        <w:lang w:val="en-GB" w:eastAsia="en-GB" w:bidi="en-GB"/>
      </w:rPr>
    </w:lvl>
    <w:lvl w:ilvl="2" w:tplc="D6C49592">
      <w:numFmt w:val="bullet"/>
      <w:lvlText w:val="•"/>
      <w:lvlJc w:val="left"/>
      <w:pPr>
        <w:ind w:left="646" w:hanging="217"/>
      </w:pPr>
      <w:rPr>
        <w:rFonts w:hint="default"/>
        <w:lang w:val="en-GB" w:eastAsia="en-GB" w:bidi="en-GB"/>
      </w:rPr>
    </w:lvl>
    <w:lvl w:ilvl="3" w:tplc="94B6978C">
      <w:numFmt w:val="bullet"/>
      <w:lvlText w:val="•"/>
      <w:lvlJc w:val="left"/>
      <w:pPr>
        <w:ind w:left="819" w:hanging="217"/>
      </w:pPr>
      <w:rPr>
        <w:rFonts w:hint="default"/>
        <w:lang w:val="en-GB" w:eastAsia="en-GB" w:bidi="en-GB"/>
      </w:rPr>
    </w:lvl>
    <w:lvl w:ilvl="4" w:tplc="71FAF4C8">
      <w:numFmt w:val="bullet"/>
      <w:lvlText w:val="•"/>
      <w:lvlJc w:val="left"/>
      <w:pPr>
        <w:ind w:left="992" w:hanging="217"/>
      </w:pPr>
      <w:rPr>
        <w:rFonts w:hint="default"/>
        <w:lang w:val="en-GB" w:eastAsia="en-GB" w:bidi="en-GB"/>
      </w:rPr>
    </w:lvl>
    <w:lvl w:ilvl="5" w:tplc="1EDAF76A">
      <w:numFmt w:val="bullet"/>
      <w:lvlText w:val="•"/>
      <w:lvlJc w:val="left"/>
      <w:pPr>
        <w:ind w:left="1165" w:hanging="217"/>
      </w:pPr>
      <w:rPr>
        <w:rFonts w:hint="default"/>
        <w:lang w:val="en-GB" w:eastAsia="en-GB" w:bidi="en-GB"/>
      </w:rPr>
    </w:lvl>
    <w:lvl w:ilvl="6" w:tplc="607AAE1C">
      <w:numFmt w:val="bullet"/>
      <w:lvlText w:val="•"/>
      <w:lvlJc w:val="left"/>
      <w:pPr>
        <w:ind w:left="1338" w:hanging="217"/>
      </w:pPr>
      <w:rPr>
        <w:rFonts w:hint="default"/>
        <w:lang w:val="en-GB" w:eastAsia="en-GB" w:bidi="en-GB"/>
      </w:rPr>
    </w:lvl>
    <w:lvl w:ilvl="7" w:tplc="ECD8AC18">
      <w:numFmt w:val="bullet"/>
      <w:lvlText w:val="•"/>
      <w:lvlJc w:val="left"/>
      <w:pPr>
        <w:ind w:left="1511" w:hanging="217"/>
      </w:pPr>
      <w:rPr>
        <w:rFonts w:hint="default"/>
        <w:lang w:val="en-GB" w:eastAsia="en-GB" w:bidi="en-GB"/>
      </w:rPr>
    </w:lvl>
    <w:lvl w:ilvl="8" w:tplc="B1EC5492">
      <w:numFmt w:val="bullet"/>
      <w:lvlText w:val="•"/>
      <w:lvlJc w:val="left"/>
      <w:pPr>
        <w:ind w:left="1684" w:hanging="217"/>
      </w:pPr>
      <w:rPr>
        <w:rFonts w:hint="default"/>
        <w:lang w:val="en-GB" w:eastAsia="en-GB" w:bidi="en-GB"/>
      </w:rPr>
    </w:lvl>
  </w:abstractNum>
  <w:abstractNum w:abstractNumId="1261" w15:restartNumberingAfterBreak="0">
    <w:nsid w:val="71BE5BC7"/>
    <w:multiLevelType w:val="hybridMultilevel"/>
    <w:tmpl w:val="3440FF42"/>
    <w:lvl w:ilvl="0" w:tplc="2654D3C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9E69D0C">
      <w:numFmt w:val="bullet"/>
      <w:lvlText w:val="•"/>
      <w:lvlJc w:val="left"/>
      <w:pPr>
        <w:ind w:left="473" w:hanging="217"/>
      </w:pPr>
      <w:rPr>
        <w:rFonts w:hint="default"/>
        <w:lang w:val="en-GB" w:eastAsia="en-GB" w:bidi="en-GB"/>
      </w:rPr>
    </w:lvl>
    <w:lvl w:ilvl="2" w:tplc="6DB8A058">
      <w:numFmt w:val="bullet"/>
      <w:lvlText w:val="•"/>
      <w:lvlJc w:val="left"/>
      <w:pPr>
        <w:ind w:left="646" w:hanging="217"/>
      </w:pPr>
      <w:rPr>
        <w:rFonts w:hint="default"/>
        <w:lang w:val="en-GB" w:eastAsia="en-GB" w:bidi="en-GB"/>
      </w:rPr>
    </w:lvl>
    <w:lvl w:ilvl="3" w:tplc="F872EAEE">
      <w:numFmt w:val="bullet"/>
      <w:lvlText w:val="•"/>
      <w:lvlJc w:val="left"/>
      <w:pPr>
        <w:ind w:left="819" w:hanging="217"/>
      </w:pPr>
      <w:rPr>
        <w:rFonts w:hint="default"/>
        <w:lang w:val="en-GB" w:eastAsia="en-GB" w:bidi="en-GB"/>
      </w:rPr>
    </w:lvl>
    <w:lvl w:ilvl="4" w:tplc="72080964">
      <w:numFmt w:val="bullet"/>
      <w:lvlText w:val="•"/>
      <w:lvlJc w:val="left"/>
      <w:pPr>
        <w:ind w:left="992" w:hanging="217"/>
      </w:pPr>
      <w:rPr>
        <w:rFonts w:hint="default"/>
        <w:lang w:val="en-GB" w:eastAsia="en-GB" w:bidi="en-GB"/>
      </w:rPr>
    </w:lvl>
    <w:lvl w:ilvl="5" w:tplc="AE08D718">
      <w:numFmt w:val="bullet"/>
      <w:lvlText w:val="•"/>
      <w:lvlJc w:val="left"/>
      <w:pPr>
        <w:ind w:left="1165" w:hanging="217"/>
      </w:pPr>
      <w:rPr>
        <w:rFonts w:hint="default"/>
        <w:lang w:val="en-GB" w:eastAsia="en-GB" w:bidi="en-GB"/>
      </w:rPr>
    </w:lvl>
    <w:lvl w:ilvl="6" w:tplc="362470D8">
      <w:numFmt w:val="bullet"/>
      <w:lvlText w:val="•"/>
      <w:lvlJc w:val="left"/>
      <w:pPr>
        <w:ind w:left="1338" w:hanging="217"/>
      </w:pPr>
      <w:rPr>
        <w:rFonts w:hint="default"/>
        <w:lang w:val="en-GB" w:eastAsia="en-GB" w:bidi="en-GB"/>
      </w:rPr>
    </w:lvl>
    <w:lvl w:ilvl="7" w:tplc="69F6630C">
      <w:numFmt w:val="bullet"/>
      <w:lvlText w:val="•"/>
      <w:lvlJc w:val="left"/>
      <w:pPr>
        <w:ind w:left="1511" w:hanging="217"/>
      </w:pPr>
      <w:rPr>
        <w:rFonts w:hint="default"/>
        <w:lang w:val="en-GB" w:eastAsia="en-GB" w:bidi="en-GB"/>
      </w:rPr>
    </w:lvl>
    <w:lvl w:ilvl="8" w:tplc="52F05178">
      <w:numFmt w:val="bullet"/>
      <w:lvlText w:val="•"/>
      <w:lvlJc w:val="left"/>
      <w:pPr>
        <w:ind w:left="1684" w:hanging="217"/>
      </w:pPr>
      <w:rPr>
        <w:rFonts w:hint="default"/>
        <w:lang w:val="en-GB" w:eastAsia="en-GB" w:bidi="en-GB"/>
      </w:rPr>
    </w:lvl>
  </w:abstractNum>
  <w:abstractNum w:abstractNumId="1262" w15:restartNumberingAfterBreak="0">
    <w:nsid w:val="71D726B3"/>
    <w:multiLevelType w:val="hybridMultilevel"/>
    <w:tmpl w:val="918C2DF0"/>
    <w:lvl w:ilvl="0" w:tplc="B2B2FDE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A885F54">
      <w:numFmt w:val="bullet"/>
      <w:lvlText w:val="•"/>
      <w:lvlJc w:val="left"/>
      <w:pPr>
        <w:ind w:left="1061" w:hanging="217"/>
      </w:pPr>
      <w:rPr>
        <w:rFonts w:hint="default"/>
        <w:lang w:val="en-GB" w:eastAsia="en-GB" w:bidi="en-GB"/>
      </w:rPr>
    </w:lvl>
    <w:lvl w:ilvl="2" w:tplc="79CAD9A4">
      <w:numFmt w:val="bullet"/>
      <w:lvlText w:val="•"/>
      <w:lvlJc w:val="left"/>
      <w:pPr>
        <w:ind w:left="1823" w:hanging="217"/>
      </w:pPr>
      <w:rPr>
        <w:rFonts w:hint="default"/>
        <w:lang w:val="en-GB" w:eastAsia="en-GB" w:bidi="en-GB"/>
      </w:rPr>
    </w:lvl>
    <w:lvl w:ilvl="3" w:tplc="FAB23308">
      <w:numFmt w:val="bullet"/>
      <w:lvlText w:val="•"/>
      <w:lvlJc w:val="left"/>
      <w:pPr>
        <w:ind w:left="2585" w:hanging="217"/>
      </w:pPr>
      <w:rPr>
        <w:rFonts w:hint="default"/>
        <w:lang w:val="en-GB" w:eastAsia="en-GB" w:bidi="en-GB"/>
      </w:rPr>
    </w:lvl>
    <w:lvl w:ilvl="4" w:tplc="1FF8C964">
      <w:numFmt w:val="bullet"/>
      <w:lvlText w:val="•"/>
      <w:lvlJc w:val="left"/>
      <w:pPr>
        <w:ind w:left="3346" w:hanging="217"/>
      </w:pPr>
      <w:rPr>
        <w:rFonts w:hint="default"/>
        <w:lang w:val="en-GB" w:eastAsia="en-GB" w:bidi="en-GB"/>
      </w:rPr>
    </w:lvl>
    <w:lvl w:ilvl="5" w:tplc="7A0A6F2A">
      <w:numFmt w:val="bullet"/>
      <w:lvlText w:val="•"/>
      <w:lvlJc w:val="left"/>
      <w:pPr>
        <w:ind w:left="4108" w:hanging="217"/>
      </w:pPr>
      <w:rPr>
        <w:rFonts w:hint="default"/>
        <w:lang w:val="en-GB" w:eastAsia="en-GB" w:bidi="en-GB"/>
      </w:rPr>
    </w:lvl>
    <w:lvl w:ilvl="6" w:tplc="306CF8FE">
      <w:numFmt w:val="bullet"/>
      <w:lvlText w:val="•"/>
      <w:lvlJc w:val="left"/>
      <w:pPr>
        <w:ind w:left="4870" w:hanging="217"/>
      </w:pPr>
      <w:rPr>
        <w:rFonts w:hint="default"/>
        <w:lang w:val="en-GB" w:eastAsia="en-GB" w:bidi="en-GB"/>
      </w:rPr>
    </w:lvl>
    <w:lvl w:ilvl="7" w:tplc="B90A4B10">
      <w:numFmt w:val="bullet"/>
      <w:lvlText w:val="•"/>
      <w:lvlJc w:val="left"/>
      <w:pPr>
        <w:ind w:left="5631" w:hanging="217"/>
      </w:pPr>
      <w:rPr>
        <w:rFonts w:hint="default"/>
        <w:lang w:val="en-GB" w:eastAsia="en-GB" w:bidi="en-GB"/>
      </w:rPr>
    </w:lvl>
    <w:lvl w:ilvl="8" w:tplc="02D896DC">
      <w:numFmt w:val="bullet"/>
      <w:lvlText w:val="•"/>
      <w:lvlJc w:val="left"/>
      <w:pPr>
        <w:ind w:left="6393" w:hanging="217"/>
      </w:pPr>
      <w:rPr>
        <w:rFonts w:hint="default"/>
        <w:lang w:val="en-GB" w:eastAsia="en-GB" w:bidi="en-GB"/>
      </w:rPr>
    </w:lvl>
  </w:abstractNum>
  <w:abstractNum w:abstractNumId="1263" w15:restartNumberingAfterBreak="0">
    <w:nsid w:val="71D96828"/>
    <w:multiLevelType w:val="hybridMultilevel"/>
    <w:tmpl w:val="3D08D81A"/>
    <w:lvl w:ilvl="0" w:tplc="18A823D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7C45E9E">
      <w:numFmt w:val="bullet"/>
      <w:lvlText w:val="•"/>
      <w:lvlJc w:val="left"/>
      <w:pPr>
        <w:ind w:left="892" w:hanging="217"/>
      </w:pPr>
      <w:rPr>
        <w:rFonts w:hint="default"/>
        <w:lang w:val="en-GB" w:eastAsia="en-GB" w:bidi="en-GB"/>
      </w:rPr>
    </w:lvl>
    <w:lvl w:ilvl="2" w:tplc="3CB2C2C8">
      <w:numFmt w:val="bullet"/>
      <w:lvlText w:val="•"/>
      <w:lvlJc w:val="left"/>
      <w:pPr>
        <w:ind w:left="1485" w:hanging="217"/>
      </w:pPr>
      <w:rPr>
        <w:rFonts w:hint="default"/>
        <w:lang w:val="en-GB" w:eastAsia="en-GB" w:bidi="en-GB"/>
      </w:rPr>
    </w:lvl>
    <w:lvl w:ilvl="3" w:tplc="E9365F1C">
      <w:numFmt w:val="bullet"/>
      <w:lvlText w:val="•"/>
      <w:lvlJc w:val="left"/>
      <w:pPr>
        <w:ind w:left="2077" w:hanging="217"/>
      </w:pPr>
      <w:rPr>
        <w:rFonts w:hint="default"/>
        <w:lang w:val="en-GB" w:eastAsia="en-GB" w:bidi="en-GB"/>
      </w:rPr>
    </w:lvl>
    <w:lvl w:ilvl="4" w:tplc="186641D2">
      <w:numFmt w:val="bullet"/>
      <w:lvlText w:val="•"/>
      <w:lvlJc w:val="left"/>
      <w:pPr>
        <w:ind w:left="2670" w:hanging="217"/>
      </w:pPr>
      <w:rPr>
        <w:rFonts w:hint="default"/>
        <w:lang w:val="en-GB" w:eastAsia="en-GB" w:bidi="en-GB"/>
      </w:rPr>
    </w:lvl>
    <w:lvl w:ilvl="5" w:tplc="7396B8CC">
      <w:numFmt w:val="bullet"/>
      <w:lvlText w:val="•"/>
      <w:lvlJc w:val="left"/>
      <w:pPr>
        <w:ind w:left="3263" w:hanging="217"/>
      </w:pPr>
      <w:rPr>
        <w:rFonts w:hint="default"/>
        <w:lang w:val="en-GB" w:eastAsia="en-GB" w:bidi="en-GB"/>
      </w:rPr>
    </w:lvl>
    <w:lvl w:ilvl="6" w:tplc="F8707E10">
      <w:numFmt w:val="bullet"/>
      <w:lvlText w:val="•"/>
      <w:lvlJc w:val="left"/>
      <w:pPr>
        <w:ind w:left="3855" w:hanging="217"/>
      </w:pPr>
      <w:rPr>
        <w:rFonts w:hint="default"/>
        <w:lang w:val="en-GB" w:eastAsia="en-GB" w:bidi="en-GB"/>
      </w:rPr>
    </w:lvl>
    <w:lvl w:ilvl="7" w:tplc="91D2B9A4">
      <w:numFmt w:val="bullet"/>
      <w:lvlText w:val="•"/>
      <w:lvlJc w:val="left"/>
      <w:pPr>
        <w:ind w:left="4448" w:hanging="217"/>
      </w:pPr>
      <w:rPr>
        <w:rFonts w:hint="default"/>
        <w:lang w:val="en-GB" w:eastAsia="en-GB" w:bidi="en-GB"/>
      </w:rPr>
    </w:lvl>
    <w:lvl w:ilvl="8" w:tplc="59EAFE24">
      <w:numFmt w:val="bullet"/>
      <w:lvlText w:val="•"/>
      <w:lvlJc w:val="left"/>
      <w:pPr>
        <w:ind w:left="5040" w:hanging="217"/>
      </w:pPr>
      <w:rPr>
        <w:rFonts w:hint="default"/>
        <w:lang w:val="en-GB" w:eastAsia="en-GB" w:bidi="en-GB"/>
      </w:rPr>
    </w:lvl>
  </w:abstractNum>
  <w:abstractNum w:abstractNumId="1264" w15:restartNumberingAfterBreak="0">
    <w:nsid w:val="71E70933"/>
    <w:multiLevelType w:val="hybridMultilevel"/>
    <w:tmpl w:val="569CF2BC"/>
    <w:lvl w:ilvl="0" w:tplc="DFC8902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B7CC3AE">
      <w:numFmt w:val="bullet"/>
      <w:lvlText w:val="•"/>
      <w:lvlJc w:val="left"/>
      <w:pPr>
        <w:ind w:left="473" w:hanging="217"/>
      </w:pPr>
      <w:rPr>
        <w:rFonts w:hint="default"/>
        <w:lang w:val="en-GB" w:eastAsia="en-GB" w:bidi="en-GB"/>
      </w:rPr>
    </w:lvl>
    <w:lvl w:ilvl="2" w:tplc="7AF0A8EE">
      <w:numFmt w:val="bullet"/>
      <w:lvlText w:val="•"/>
      <w:lvlJc w:val="left"/>
      <w:pPr>
        <w:ind w:left="646" w:hanging="217"/>
      </w:pPr>
      <w:rPr>
        <w:rFonts w:hint="default"/>
        <w:lang w:val="en-GB" w:eastAsia="en-GB" w:bidi="en-GB"/>
      </w:rPr>
    </w:lvl>
    <w:lvl w:ilvl="3" w:tplc="3F481B6A">
      <w:numFmt w:val="bullet"/>
      <w:lvlText w:val="•"/>
      <w:lvlJc w:val="left"/>
      <w:pPr>
        <w:ind w:left="819" w:hanging="217"/>
      </w:pPr>
      <w:rPr>
        <w:rFonts w:hint="default"/>
        <w:lang w:val="en-GB" w:eastAsia="en-GB" w:bidi="en-GB"/>
      </w:rPr>
    </w:lvl>
    <w:lvl w:ilvl="4" w:tplc="11ECED74">
      <w:numFmt w:val="bullet"/>
      <w:lvlText w:val="•"/>
      <w:lvlJc w:val="left"/>
      <w:pPr>
        <w:ind w:left="992" w:hanging="217"/>
      </w:pPr>
      <w:rPr>
        <w:rFonts w:hint="default"/>
        <w:lang w:val="en-GB" w:eastAsia="en-GB" w:bidi="en-GB"/>
      </w:rPr>
    </w:lvl>
    <w:lvl w:ilvl="5" w:tplc="070CBF32">
      <w:numFmt w:val="bullet"/>
      <w:lvlText w:val="•"/>
      <w:lvlJc w:val="left"/>
      <w:pPr>
        <w:ind w:left="1165" w:hanging="217"/>
      </w:pPr>
      <w:rPr>
        <w:rFonts w:hint="default"/>
        <w:lang w:val="en-GB" w:eastAsia="en-GB" w:bidi="en-GB"/>
      </w:rPr>
    </w:lvl>
    <w:lvl w:ilvl="6" w:tplc="6E8C5DAC">
      <w:numFmt w:val="bullet"/>
      <w:lvlText w:val="•"/>
      <w:lvlJc w:val="left"/>
      <w:pPr>
        <w:ind w:left="1338" w:hanging="217"/>
      </w:pPr>
      <w:rPr>
        <w:rFonts w:hint="default"/>
        <w:lang w:val="en-GB" w:eastAsia="en-GB" w:bidi="en-GB"/>
      </w:rPr>
    </w:lvl>
    <w:lvl w:ilvl="7" w:tplc="0D803872">
      <w:numFmt w:val="bullet"/>
      <w:lvlText w:val="•"/>
      <w:lvlJc w:val="left"/>
      <w:pPr>
        <w:ind w:left="1511" w:hanging="217"/>
      </w:pPr>
      <w:rPr>
        <w:rFonts w:hint="default"/>
        <w:lang w:val="en-GB" w:eastAsia="en-GB" w:bidi="en-GB"/>
      </w:rPr>
    </w:lvl>
    <w:lvl w:ilvl="8" w:tplc="BE24DA40">
      <w:numFmt w:val="bullet"/>
      <w:lvlText w:val="•"/>
      <w:lvlJc w:val="left"/>
      <w:pPr>
        <w:ind w:left="1684" w:hanging="217"/>
      </w:pPr>
      <w:rPr>
        <w:rFonts w:hint="default"/>
        <w:lang w:val="en-GB" w:eastAsia="en-GB" w:bidi="en-GB"/>
      </w:rPr>
    </w:lvl>
  </w:abstractNum>
  <w:abstractNum w:abstractNumId="1265" w15:restartNumberingAfterBreak="0">
    <w:nsid w:val="71E82F38"/>
    <w:multiLevelType w:val="hybridMultilevel"/>
    <w:tmpl w:val="42ECA820"/>
    <w:lvl w:ilvl="0" w:tplc="71DCA808">
      <w:numFmt w:val="bullet"/>
      <w:lvlText w:val="•"/>
      <w:lvlJc w:val="left"/>
      <w:pPr>
        <w:ind w:left="305" w:hanging="217"/>
      </w:pPr>
      <w:rPr>
        <w:rFonts w:ascii="Arial" w:eastAsia="Arial" w:hAnsi="Arial" w:cs="Arial" w:hint="default"/>
        <w:color w:val="231F20"/>
        <w:w w:val="100"/>
        <w:sz w:val="18"/>
        <w:szCs w:val="18"/>
        <w:lang w:val="en-GB" w:eastAsia="en-GB" w:bidi="en-GB"/>
      </w:rPr>
    </w:lvl>
    <w:lvl w:ilvl="1" w:tplc="ED34AA50">
      <w:numFmt w:val="bullet"/>
      <w:lvlText w:val="•"/>
      <w:lvlJc w:val="left"/>
      <w:pPr>
        <w:ind w:left="524" w:hanging="217"/>
      </w:pPr>
      <w:rPr>
        <w:rFonts w:hint="default"/>
        <w:lang w:val="en-GB" w:eastAsia="en-GB" w:bidi="en-GB"/>
      </w:rPr>
    </w:lvl>
    <w:lvl w:ilvl="2" w:tplc="52A86C54">
      <w:numFmt w:val="bullet"/>
      <w:lvlText w:val="•"/>
      <w:lvlJc w:val="left"/>
      <w:pPr>
        <w:ind w:left="748" w:hanging="217"/>
      </w:pPr>
      <w:rPr>
        <w:rFonts w:hint="default"/>
        <w:lang w:val="en-GB" w:eastAsia="en-GB" w:bidi="en-GB"/>
      </w:rPr>
    </w:lvl>
    <w:lvl w:ilvl="3" w:tplc="3EB8976A">
      <w:numFmt w:val="bullet"/>
      <w:lvlText w:val="•"/>
      <w:lvlJc w:val="left"/>
      <w:pPr>
        <w:ind w:left="972" w:hanging="217"/>
      </w:pPr>
      <w:rPr>
        <w:rFonts w:hint="default"/>
        <w:lang w:val="en-GB" w:eastAsia="en-GB" w:bidi="en-GB"/>
      </w:rPr>
    </w:lvl>
    <w:lvl w:ilvl="4" w:tplc="2A766DA6">
      <w:numFmt w:val="bullet"/>
      <w:lvlText w:val="•"/>
      <w:lvlJc w:val="left"/>
      <w:pPr>
        <w:ind w:left="1196" w:hanging="217"/>
      </w:pPr>
      <w:rPr>
        <w:rFonts w:hint="default"/>
        <w:lang w:val="en-GB" w:eastAsia="en-GB" w:bidi="en-GB"/>
      </w:rPr>
    </w:lvl>
    <w:lvl w:ilvl="5" w:tplc="ED849E26">
      <w:numFmt w:val="bullet"/>
      <w:lvlText w:val="•"/>
      <w:lvlJc w:val="left"/>
      <w:pPr>
        <w:ind w:left="1420" w:hanging="217"/>
      </w:pPr>
      <w:rPr>
        <w:rFonts w:hint="default"/>
        <w:lang w:val="en-GB" w:eastAsia="en-GB" w:bidi="en-GB"/>
      </w:rPr>
    </w:lvl>
    <w:lvl w:ilvl="6" w:tplc="809EAB4E">
      <w:numFmt w:val="bullet"/>
      <w:lvlText w:val="•"/>
      <w:lvlJc w:val="left"/>
      <w:pPr>
        <w:ind w:left="1644" w:hanging="217"/>
      </w:pPr>
      <w:rPr>
        <w:rFonts w:hint="default"/>
        <w:lang w:val="en-GB" w:eastAsia="en-GB" w:bidi="en-GB"/>
      </w:rPr>
    </w:lvl>
    <w:lvl w:ilvl="7" w:tplc="56E64E08">
      <w:numFmt w:val="bullet"/>
      <w:lvlText w:val="•"/>
      <w:lvlJc w:val="left"/>
      <w:pPr>
        <w:ind w:left="1868" w:hanging="217"/>
      </w:pPr>
      <w:rPr>
        <w:rFonts w:hint="default"/>
        <w:lang w:val="en-GB" w:eastAsia="en-GB" w:bidi="en-GB"/>
      </w:rPr>
    </w:lvl>
    <w:lvl w:ilvl="8" w:tplc="F47266A0">
      <w:numFmt w:val="bullet"/>
      <w:lvlText w:val="•"/>
      <w:lvlJc w:val="left"/>
      <w:pPr>
        <w:ind w:left="2092" w:hanging="217"/>
      </w:pPr>
      <w:rPr>
        <w:rFonts w:hint="default"/>
        <w:lang w:val="en-GB" w:eastAsia="en-GB" w:bidi="en-GB"/>
      </w:rPr>
    </w:lvl>
  </w:abstractNum>
  <w:abstractNum w:abstractNumId="1266" w15:restartNumberingAfterBreak="0">
    <w:nsid w:val="72207AAE"/>
    <w:multiLevelType w:val="hybridMultilevel"/>
    <w:tmpl w:val="608C46AA"/>
    <w:lvl w:ilvl="0" w:tplc="79A882C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F0C9D48">
      <w:numFmt w:val="bullet"/>
      <w:lvlText w:val="•"/>
      <w:lvlJc w:val="left"/>
      <w:pPr>
        <w:ind w:left="473" w:hanging="217"/>
      </w:pPr>
      <w:rPr>
        <w:rFonts w:hint="default"/>
        <w:lang w:val="en-GB" w:eastAsia="en-GB" w:bidi="en-GB"/>
      </w:rPr>
    </w:lvl>
    <w:lvl w:ilvl="2" w:tplc="3EA0E8E4">
      <w:numFmt w:val="bullet"/>
      <w:lvlText w:val="•"/>
      <w:lvlJc w:val="left"/>
      <w:pPr>
        <w:ind w:left="646" w:hanging="217"/>
      </w:pPr>
      <w:rPr>
        <w:rFonts w:hint="default"/>
        <w:lang w:val="en-GB" w:eastAsia="en-GB" w:bidi="en-GB"/>
      </w:rPr>
    </w:lvl>
    <w:lvl w:ilvl="3" w:tplc="34DC6920">
      <w:numFmt w:val="bullet"/>
      <w:lvlText w:val="•"/>
      <w:lvlJc w:val="left"/>
      <w:pPr>
        <w:ind w:left="819" w:hanging="217"/>
      </w:pPr>
      <w:rPr>
        <w:rFonts w:hint="default"/>
        <w:lang w:val="en-GB" w:eastAsia="en-GB" w:bidi="en-GB"/>
      </w:rPr>
    </w:lvl>
    <w:lvl w:ilvl="4" w:tplc="5E72AA1A">
      <w:numFmt w:val="bullet"/>
      <w:lvlText w:val="•"/>
      <w:lvlJc w:val="left"/>
      <w:pPr>
        <w:ind w:left="992" w:hanging="217"/>
      </w:pPr>
      <w:rPr>
        <w:rFonts w:hint="default"/>
        <w:lang w:val="en-GB" w:eastAsia="en-GB" w:bidi="en-GB"/>
      </w:rPr>
    </w:lvl>
    <w:lvl w:ilvl="5" w:tplc="10AA9916">
      <w:numFmt w:val="bullet"/>
      <w:lvlText w:val="•"/>
      <w:lvlJc w:val="left"/>
      <w:pPr>
        <w:ind w:left="1165" w:hanging="217"/>
      </w:pPr>
      <w:rPr>
        <w:rFonts w:hint="default"/>
        <w:lang w:val="en-GB" w:eastAsia="en-GB" w:bidi="en-GB"/>
      </w:rPr>
    </w:lvl>
    <w:lvl w:ilvl="6" w:tplc="4F5287F8">
      <w:numFmt w:val="bullet"/>
      <w:lvlText w:val="•"/>
      <w:lvlJc w:val="left"/>
      <w:pPr>
        <w:ind w:left="1338" w:hanging="217"/>
      </w:pPr>
      <w:rPr>
        <w:rFonts w:hint="default"/>
        <w:lang w:val="en-GB" w:eastAsia="en-GB" w:bidi="en-GB"/>
      </w:rPr>
    </w:lvl>
    <w:lvl w:ilvl="7" w:tplc="D1A89A76">
      <w:numFmt w:val="bullet"/>
      <w:lvlText w:val="•"/>
      <w:lvlJc w:val="left"/>
      <w:pPr>
        <w:ind w:left="1511" w:hanging="217"/>
      </w:pPr>
      <w:rPr>
        <w:rFonts w:hint="default"/>
        <w:lang w:val="en-GB" w:eastAsia="en-GB" w:bidi="en-GB"/>
      </w:rPr>
    </w:lvl>
    <w:lvl w:ilvl="8" w:tplc="1B085B78">
      <w:numFmt w:val="bullet"/>
      <w:lvlText w:val="•"/>
      <w:lvlJc w:val="left"/>
      <w:pPr>
        <w:ind w:left="1684" w:hanging="217"/>
      </w:pPr>
      <w:rPr>
        <w:rFonts w:hint="default"/>
        <w:lang w:val="en-GB" w:eastAsia="en-GB" w:bidi="en-GB"/>
      </w:rPr>
    </w:lvl>
  </w:abstractNum>
  <w:abstractNum w:abstractNumId="1267" w15:restartNumberingAfterBreak="0">
    <w:nsid w:val="72271396"/>
    <w:multiLevelType w:val="hybridMultilevel"/>
    <w:tmpl w:val="44167AF8"/>
    <w:lvl w:ilvl="0" w:tplc="FF8C507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D0EB69C">
      <w:numFmt w:val="bullet"/>
      <w:lvlText w:val="•"/>
      <w:lvlJc w:val="left"/>
      <w:pPr>
        <w:ind w:left="439" w:hanging="217"/>
      </w:pPr>
      <w:rPr>
        <w:rFonts w:hint="default"/>
        <w:lang w:val="en-GB" w:eastAsia="en-GB" w:bidi="en-GB"/>
      </w:rPr>
    </w:lvl>
    <w:lvl w:ilvl="2" w:tplc="30E0641E">
      <w:numFmt w:val="bullet"/>
      <w:lvlText w:val="•"/>
      <w:lvlJc w:val="left"/>
      <w:pPr>
        <w:ind w:left="578" w:hanging="217"/>
      </w:pPr>
      <w:rPr>
        <w:rFonts w:hint="default"/>
        <w:lang w:val="en-GB" w:eastAsia="en-GB" w:bidi="en-GB"/>
      </w:rPr>
    </w:lvl>
    <w:lvl w:ilvl="3" w:tplc="4FCE1916">
      <w:numFmt w:val="bullet"/>
      <w:lvlText w:val="•"/>
      <w:lvlJc w:val="left"/>
      <w:pPr>
        <w:ind w:left="717" w:hanging="217"/>
      </w:pPr>
      <w:rPr>
        <w:rFonts w:hint="default"/>
        <w:lang w:val="en-GB" w:eastAsia="en-GB" w:bidi="en-GB"/>
      </w:rPr>
    </w:lvl>
    <w:lvl w:ilvl="4" w:tplc="C47E897E">
      <w:numFmt w:val="bullet"/>
      <w:lvlText w:val="•"/>
      <w:lvlJc w:val="left"/>
      <w:pPr>
        <w:ind w:left="856" w:hanging="217"/>
      </w:pPr>
      <w:rPr>
        <w:rFonts w:hint="default"/>
        <w:lang w:val="en-GB" w:eastAsia="en-GB" w:bidi="en-GB"/>
      </w:rPr>
    </w:lvl>
    <w:lvl w:ilvl="5" w:tplc="13F4C694">
      <w:numFmt w:val="bullet"/>
      <w:lvlText w:val="•"/>
      <w:lvlJc w:val="left"/>
      <w:pPr>
        <w:ind w:left="995" w:hanging="217"/>
      </w:pPr>
      <w:rPr>
        <w:rFonts w:hint="default"/>
        <w:lang w:val="en-GB" w:eastAsia="en-GB" w:bidi="en-GB"/>
      </w:rPr>
    </w:lvl>
    <w:lvl w:ilvl="6" w:tplc="8E40AB7C">
      <w:numFmt w:val="bullet"/>
      <w:lvlText w:val="•"/>
      <w:lvlJc w:val="left"/>
      <w:pPr>
        <w:ind w:left="1134" w:hanging="217"/>
      </w:pPr>
      <w:rPr>
        <w:rFonts w:hint="default"/>
        <w:lang w:val="en-GB" w:eastAsia="en-GB" w:bidi="en-GB"/>
      </w:rPr>
    </w:lvl>
    <w:lvl w:ilvl="7" w:tplc="5EEE6626">
      <w:numFmt w:val="bullet"/>
      <w:lvlText w:val="•"/>
      <w:lvlJc w:val="left"/>
      <w:pPr>
        <w:ind w:left="1273" w:hanging="217"/>
      </w:pPr>
      <w:rPr>
        <w:rFonts w:hint="default"/>
        <w:lang w:val="en-GB" w:eastAsia="en-GB" w:bidi="en-GB"/>
      </w:rPr>
    </w:lvl>
    <w:lvl w:ilvl="8" w:tplc="32183896">
      <w:numFmt w:val="bullet"/>
      <w:lvlText w:val="•"/>
      <w:lvlJc w:val="left"/>
      <w:pPr>
        <w:ind w:left="1412" w:hanging="217"/>
      </w:pPr>
      <w:rPr>
        <w:rFonts w:hint="default"/>
        <w:lang w:val="en-GB" w:eastAsia="en-GB" w:bidi="en-GB"/>
      </w:rPr>
    </w:lvl>
  </w:abstractNum>
  <w:abstractNum w:abstractNumId="1268" w15:restartNumberingAfterBreak="0">
    <w:nsid w:val="7249384C"/>
    <w:multiLevelType w:val="hybridMultilevel"/>
    <w:tmpl w:val="EFF4F2E4"/>
    <w:lvl w:ilvl="0" w:tplc="C5281E5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5FEA9AA">
      <w:numFmt w:val="bullet"/>
      <w:lvlText w:val="•"/>
      <w:lvlJc w:val="left"/>
      <w:pPr>
        <w:ind w:left="473" w:hanging="217"/>
      </w:pPr>
      <w:rPr>
        <w:rFonts w:hint="default"/>
        <w:lang w:val="en-GB" w:eastAsia="en-GB" w:bidi="en-GB"/>
      </w:rPr>
    </w:lvl>
    <w:lvl w:ilvl="2" w:tplc="71C2BE3E">
      <w:numFmt w:val="bullet"/>
      <w:lvlText w:val="•"/>
      <w:lvlJc w:val="left"/>
      <w:pPr>
        <w:ind w:left="646" w:hanging="217"/>
      </w:pPr>
      <w:rPr>
        <w:rFonts w:hint="default"/>
        <w:lang w:val="en-GB" w:eastAsia="en-GB" w:bidi="en-GB"/>
      </w:rPr>
    </w:lvl>
    <w:lvl w:ilvl="3" w:tplc="C5C24F36">
      <w:numFmt w:val="bullet"/>
      <w:lvlText w:val="•"/>
      <w:lvlJc w:val="left"/>
      <w:pPr>
        <w:ind w:left="819" w:hanging="217"/>
      </w:pPr>
      <w:rPr>
        <w:rFonts w:hint="default"/>
        <w:lang w:val="en-GB" w:eastAsia="en-GB" w:bidi="en-GB"/>
      </w:rPr>
    </w:lvl>
    <w:lvl w:ilvl="4" w:tplc="1988F8B2">
      <w:numFmt w:val="bullet"/>
      <w:lvlText w:val="•"/>
      <w:lvlJc w:val="left"/>
      <w:pPr>
        <w:ind w:left="992" w:hanging="217"/>
      </w:pPr>
      <w:rPr>
        <w:rFonts w:hint="default"/>
        <w:lang w:val="en-GB" w:eastAsia="en-GB" w:bidi="en-GB"/>
      </w:rPr>
    </w:lvl>
    <w:lvl w:ilvl="5" w:tplc="48765684">
      <w:numFmt w:val="bullet"/>
      <w:lvlText w:val="•"/>
      <w:lvlJc w:val="left"/>
      <w:pPr>
        <w:ind w:left="1165" w:hanging="217"/>
      </w:pPr>
      <w:rPr>
        <w:rFonts w:hint="default"/>
        <w:lang w:val="en-GB" w:eastAsia="en-GB" w:bidi="en-GB"/>
      </w:rPr>
    </w:lvl>
    <w:lvl w:ilvl="6" w:tplc="670EEA2C">
      <w:numFmt w:val="bullet"/>
      <w:lvlText w:val="•"/>
      <w:lvlJc w:val="left"/>
      <w:pPr>
        <w:ind w:left="1338" w:hanging="217"/>
      </w:pPr>
      <w:rPr>
        <w:rFonts w:hint="default"/>
        <w:lang w:val="en-GB" w:eastAsia="en-GB" w:bidi="en-GB"/>
      </w:rPr>
    </w:lvl>
    <w:lvl w:ilvl="7" w:tplc="58A64638">
      <w:numFmt w:val="bullet"/>
      <w:lvlText w:val="•"/>
      <w:lvlJc w:val="left"/>
      <w:pPr>
        <w:ind w:left="1511" w:hanging="217"/>
      </w:pPr>
      <w:rPr>
        <w:rFonts w:hint="default"/>
        <w:lang w:val="en-GB" w:eastAsia="en-GB" w:bidi="en-GB"/>
      </w:rPr>
    </w:lvl>
    <w:lvl w:ilvl="8" w:tplc="487059A2">
      <w:numFmt w:val="bullet"/>
      <w:lvlText w:val="•"/>
      <w:lvlJc w:val="left"/>
      <w:pPr>
        <w:ind w:left="1684" w:hanging="217"/>
      </w:pPr>
      <w:rPr>
        <w:rFonts w:hint="default"/>
        <w:lang w:val="en-GB" w:eastAsia="en-GB" w:bidi="en-GB"/>
      </w:rPr>
    </w:lvl>
  </w:abstractNum>
  <w:abstractNum w:abstractNumId="1269" w15:restartNumberingAfterBreak="0">
    <w:nsid w:val="724C2CD6"/>
    <w:multiLevelType w:val="hybridMultilevel"/>
    <w:tmpl w:val="B6DA6BBC"/>
    <w:lvl w:ilvl="0" w:tplc="8078FEB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425672C4">
      <w:numFmt w:val="bullet"/>
      <w:lvlText w:val="•"/>
      <w:lvlJc w:val="left"/>
      <w:pPr>
        <w:ind w:left="541" w:hanging="217"/>
      </w:pPr>
      <w:rPr>
        <w:rFonts w:hint="default"/>
        <w:lang w:val="en-GB" w:eastAsia="en-GB" w:bidi="en-GB"/>
      </w:rPr>
    </w:lvl>
    <w:lvl w:ilvl="2" w:tplc="685AC322">
      <w:numFmt w:val="bullet"/>
      <w:lvlText w:val="•"/>
      <w:lvlJc w:val="left"/>
      <w:pPr>
        <w:ind w:left="782" w:hanging="217"/>
      </w:pPr>
      <w:rPr>
        <w:rFonts w:hint="default"/>
        <w:lang w:val="en-GB" w:eastAsia="en-GB" w:bidi="en-GB"/>
      </w:rPr>
    </w:lvl>
    <w:lvl w:ilvl="3" w:tplc="68C6EBD4">
      <w:numFmt w:val="bullet"/>
      <w:lvlText w:val="•"/>
      <w:lvlJc w:val="left"/>
      <w:pPr>
        <w:ind w:left="1023" w:hanging="217"/>
      </w:pPr>
      <w:rPr>
        <w:rFonts w:hint="default"/>
        <w:lang w:val="en-GB" w:eastAsia="en-GB" w:bidi="en-GB"/>
      </w:rPr>
    </w:lvl>
    <w:lvl w:ilvl="4" w:tplc="D5522E46">
      <w:numFmt w:val="bullet"/>
      <w:lvlText w:val="•"/>
      <w:lvlJc w:val="left"/>
      <w:pPr>
        <w:ind w:left="1264" w:hanging="217"/>
      </w:pPr>
      <w:rPr>
        <w:rFonts w:hint="default"/>
        <w:lang w:val="en-GB" w:eastAsia="en-GB" w:bidi="en-GB"/>
      </w:rPr>
    </w:lvl>
    <w:lvl w:ilvl="5" w:tplc="BA3284C2">
      <w:numFmt w:val="bullet"/>
      <w:lvlText w:val="•"/>
      <w:lvlJc w:val="left"/>
      <w:pPr>
        <w:ind w:left="1505" w:hanging="217"/>
      </w:pPr>
      <w:rPr>
        <w:rFonts w:hint="default"/>
        <w:lang w:val="en-GB" w:eastAsia="en-GB" w:bidi="en-GB"/>
      </w:rPr>
    </w:lvl>
    <w:lvl w:ilvl="6" w:tplc="83F485AE">
      <w:numFmt w:val="bullet"/>
      <w:lvlText w:val="•"/>
      <w:lvlJc w:val="left"/>
      <w:pPr>
        <w:ind w:left="1746" w:hanging="217"/>
      </w:pPr>
      <w:rPr>
        <w:rFonts w:hint="default"/>
        <w:lang w:val="en-GB" w:eastAsia="en-GB" w:bidi="en-GB"/>
      </w:rPr>
    </w:lvl>
    <w:lvl w:ilvl="7" w:tplc="056C5632">
      <w:numFmt w:val="bullet"/>
      <w:lvlText w:val="•"/>
      <w:lvlJc w:val="left"/>
      <w:pPr>
        <w:ind w:left="1987" w:hanging="217"/>
      </w:pPr>
      <w:rPr>
        <w:rFonts w:hint="default"/>
        <w:lang w:val="en-GB" w:eastAsia="en-GB" w:bidi="en-GB"/>
      </w:rPr>
    </w:lvl>
    <w:lvl w:ilvl="8" w:tplc="223EE806">
      <w:numFmt w:val="bullet"/>
      <w:lvlText w:val="•"/>
      <w:lvlJc w:val="left"/>
      <w:pPr>
        <w:ind w:left="2228" w:hanging="217"/>
      </w:pPr>
      <w:rPr>
        <w:rFonts w:hint="default"/>
        <w:lang w:val="en-GB" w:eastAsia="en-GB" w:bidi="en-GB"/>
      </w:rPr>
    </w:lvl>
  </w:abstractNum>
  <w:abstractNum w:abstractNumId="1270" w15:restartNumberingAfterBreak="0">
    <w:nsid w:val="725B6C53"/>
    <w:multiLevelType w:val="hybridMultilevel"/>
    <w:tmpl w:val="E708A592"/>
    <w:lvl w:ilvl="0" w:tplc="5B901A44">
      <w:numFmt w:val="bullet"/>
      <w:lvlText w:val="•"/>
      <w:lvlJc w:val="left"/>
      <w:pPr>
        <w:ind w:left="304" w:hanging="217"/>
      </w:pPr>
      <w:rPr>
        <w:rFonts w:ascii="Arial" w:eastAsia="Arial" w:hAnsi="Arial" w:cs="Arial" w:hint="default"/>
        <w:color w:val="231F20"/>
        <w:spacing w:val="-17"/>
        <w:w w:val="100"/>
        <w:sz w:val="18"/>
        <w:szCs w:val="18"/>
        <w:lang w:val="en-GB" w:eastAsia="en-GB" w:bidi="en-GB"/>
      </w:rPr>
    </w:lvl>
    <w:lvl w:ilvl="1" w:tplc="23AC0568">
      <w:numFmt w:val="bullet"/>
      <w:lvlText w:val="•"/>
      <w:lvlJc w:val="left"/>
      <w:pPr>
        <w:ind w:left="473" w:hanging="217"/>
      </w:pPr>
      <w:rPr>
        <w:rFonts w:hint="default"/>
        <w:lang w:val="en-GB" w:eastAsia="en-GB" w:bidi="en-GB"/>
      </w:rPr>
    </w:lvl>
    <w:lvl w:ilvl="2" w:tplc="B498B620">
      <w:numFmt w:val="bullet"/>
      <w:lvlText w:val="•"/>
      <w:lvlJc w:val="left"/>
      <w:pPr>
        <w:ind w:left="646" w:hanging="217"/>
      </w:pPr>
      <w:rPr>
        <w:rFonts w:hint="default"/>
        <w:lang w:val="en-GB" w:eastAsia="en-GB" w:bidi="en-GB"/>
      </w:rPr>
    </w:lvl>
    <w:lvl w:ilvl="3" w:tplc="5DD06458">
      <w:numFmt w:val="bullet"/>
      <w:lvlText w:val="•"/>
      <w:lvlJc w:val="left"/>
      <w:pPr>
        <w:ind w:left="819" w:hanging="217"/>
      </w:pPr>
      <w:rPr>
        <w:rFonts w:hint="default"/>
        <w:lang w:val="en-GB" w:eastAsia="en-GB" w:bidi="en-GB"/>
      </w:rPr>
    </w:lvl>
    <w:lvl w:ilvl="4" w:tplc="F03000CA">
      <w:numFmt w:val="bullet"/>
      <w:lvlText w:val="•"/>
      <w:lvlJc w:val="left"/>
      <w:pPr>
        <w:ind w:left="992" w:hanging="217"/>
      </w:pPr>
      <w:rPr>
        <w:rFonts w:hint="default"/>
        <w:lang w:val="en-GB" w:eastAsia="en-GB" w:bidi="en-GB"/>
      </w:rPr>
    </w:lvl>
    <w:lvl w:ilvl="5" w:tplc="C0923334">
      <w:numFmt w:val="bullet"/>
      <w:lvlText w:val="•"/>
      <w:lvlJc w:val="left"/>
      <w:pPr>
        <w:ind w:left="1165" w:hanging="217"/>
      </w:pPr>
      <w:rPr>
        <w:rFonts w:hint="default"/>
        <w:lang w:val="en-GB" w:eastAsia="en-GB" w:bidi="en-GB"/>
      </w:rPr>
    </w:lvl>
    <w:lvl w:ilvl="6" w:tplc="C688D2DC">
      <w:numFmt w:val="bullet"/>
      <w:lvlText w:val="•"/>
      <w:lvlJc w:val="left"/>
      <w:pPr>
        <w:ind w:left="1338" w:hanging="217"/>
      </w:pPr>
      <w:rPr>
        <w:rFonts w:hint="default"/>
        <w:lang w:val="en-GB" w:eastAsia="en-GB" w:bidi="en-GB"/>
      </w:rPr>
    </w:lvl>
    <w:lvl w:ilvl="7" w:tplc="DA3CAEB0">
      <w:numFmt w:val="bullet"/>
      <w:lvlText w:val="•"/>
      <w:lvlJc w:val="left"/>
      <w:pPr>
        <w:ind w:left="1511" w:hanging="217"/>
      </w:pPr>
      <w:rPr>
        <w:rFonts w:hint="default"/>
        <w:lang w:val="en-GB" w:eastAsia="en-GB" w:bidi="en-GB"/>
      </w:rPr>
    </w:lvl>
    <w:lvl w:ilvl="8" w:tplc="2B0841BE">
      <w:numFmt w:val="bullet"/>
      <w:lvlText w:val="•"/>
      <w:lvlJc w:val="left"/>
      <w:pPr>
        <w:ind w:left="1684" w:hanging="217"/>
      </w:pPr>
      <w:rPr>
        <w:rFonts w:hint="default"/>
        <w:lang w:val="en-GB" w:eastAsia="en-GB" w:bidi="en-GB"/>
      </w:rPr>
    </w:lvl>
  </w:abstractNum>
  <w:abstractNum w:abstractNumId="1271" w15:restartNumberingAfterBreak="0">
    <w:nsid w:val="72740C9C"/>
    <w:multiLevelType w:val="hybridMultilevel"/>
    <w:tmpl w:val="C3C859E0"/>
    <w:lvl w:ilvl="0" w:tplc="528AF96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34AA43E">
      <w:numFmt w:val="bullet"/>
      <w:lvlText w:val="•"/>
      <w:lvlJc w:val="left"/>
      <w:pPr>
        <w:ind w:left="439" w:hanging="217"/>
      </w:pPr>
      <w:rPr>
        <w:rFonts w:hint="default"/>
        <w:lang w:val="en-GB" w:eastAsia="en-GB" w:bidi="en-GB"/>
      </w:rPr>
    </w:lvl>
    <w:lvl w:ilvl="2" w:tplc="4E2C5E24">
      <w:numFmt w:val="bullet"/>
      <w:lvlText w:val="•"/>
      <w:lvlJc w:val="left"/>
      <w:pPr>
        <w:ind w:left="578" w:hanging="217"/>
      </w:pPr>
      <w:rPr>
        <w:rFonts w:hint="default"/>
        <w:lang w:val="en-GB" w:eastAsia="en-GB" w:bidi="en-GB"/>
      </w:rPr>
    </w:lvl>
    <w:lvl w:ilvl="3" w:tplc="115C4488">
      <w:numFmt w:val="bullet"/>
      <w:lvlText w:val="•"/>
      <w:lvlJc w:val="left"/>
      <w:pPr>
        <w:ind w:left="717" w:hanging="217"/>
      </w:pPr>
      <w:rPr>
        <w:rFonts w:hint="default"/>
        <w:lang w:val="en-GB" w:eastAsia="en-GB" w:bidi="en-GB"/>
      </w:rPr>
    </w:lvl>
    <w:lvl w:ilvl="4" w:tplc="7FE4B01A">
      <w:numFmt w:val="bullet"/>
      <w:lvlText w:val="•"/>
      <w:lvlJc w:val="left"/>
      <w:pPr>
        <w:ind w:left="856" w:hanging="217"/>
      </w:pPr>
      <w:rPr>
        <w:rFonts w:hint="default"/>
        <w:lang w:val="en-GB" w:eastAsia="en-GB" w:bidi="en-GB"/>
      </w:rPr>
    </w:lvl>
    <w:lvl w:ilvl="5" w:tplc="5DAC07C8">
      <w:numFmt w:val="bullet"/>
      <w:lvlText w:val="•"/>
      <w:lvlJc w:val="left"/>
      <w:pPr>
        <w:ind w:left="995" w:hanging="217"/>
      </w:pPr>
      <w:rPr>
        <w:rFonts w:hint="default"/>
        <w:lang w:val="en-GB" w:eastAsia="en-GB" w:bidi="en-GB"/>
      </w:rPr>
    </w:lvl>
    <w:lvl w:ilvl="6" w:tplc="DD1E512A">
      <w:numFmt w:val="bullet"/>
      <w:lvlText w:val="•"/>
      <w:lvlJc w:val="left"/>
      <w:pPr>
        <w:ind w:left="1134" w:hanging="217"/>
      </w:pPr>
      <w:rPr>
        <w:rFonts w:hint="default"/>
        <w:lang w:val="en-GB" w:eastAsia="en-GB" w:bidi="en-GB"/>
      </w:rPr>
    </w:lvl>
    <w:lvl w:ilvl="7" w:tplc="1F3EF6DE">
      <w:numFmt w:val="bullet"/>
      <w:lvlText w:val="•"/>
      <w:lvlJc w:val="left"/>
      <w:pPr>
        <w:ind w:left="1273" w:hanging="217"/>
      </w:pPr>
      <w:rPr>
        <w:rFonts w:hint="default"/>
        <w:lang w:val="en-GB" w:eastAsia="en-GB" w:bidi="en-GB"/>
      </w:rPr>
    </w:lvl>
    <w:lvl w:ilvl="8" w:tplc="44B8A3BE">
      <w:numFmt w:val="bullet"/>
      <w:lvlText w:val="•"/>
      <w:lvlJc w:val="left"/>
      <w:pPr>
        <w:ind w:left="1412" w:hanging="217"/>
      </w:pPr>
      <w:rPr>
        <w:rFonts w:hint="default"/>
        <w:lang w:val="en-GB" w:eastAsia="en-GB" w:bidi="en-GB"/>
      </w:rPr>
    </w:lvl>
  </w:abstractNum>
  <w:abstractNum w:abstractNumId="1272" w15:restartNumberingAfterBreak="0">
    <w:nsid w:val="72811FB7"/>
    <w:multiLevelType w:val="hybridMultilevel"/>
    <w:tmpl w:val="A96C3180"/>
    <w:lvl w:ilvl="0" w:tplc="72AEDA1A">
      <w:numFmt w:val="bullet"/>
      <w:lvlText w:val="•"/>
      <w:lvlJc w:val="left"/>
      <w:pPr>
        <w:ind w:left="304" w:hanging="217"/>
      </w:pPr>
      <w:rPr>
        <w:rFonts w:ascii="Arial" w:eastAsia="Arial" w:hAnsi="Arial" w:cs="Arial" w:hint="default"/>
        <w:color w:val="231F20"/>
        <w:w w:val="100"/>
        <w:sz w:val="18"/>
        <w:szCs w:val="18"/>
        <w:lang w:val="en-GB" w:eastAsia="en-GB" w:bidi="en-GB"/>
      </w:rPr>
    </w:lvl>
    <w:lvl w:ilvl="1" w:tplc="BCB881E4">
      <w:numFmt w:val="bullet"/>
      <w:lvlText w:val="•"/>
      <w:lvlJc w:val="left"/>
      <w:pPr>
        <w:ind w:left="677" w:hanging="217"/>
      </w:pPr>
      <w:rPr>
        <w:rFonts w:hint="default"/>
        <w:lang w:val="en-GB" w:eastAsia="en-GB" w:bidi="en-GB"/>
      </w:rPr>
    </w:lvl>
    <w:lvl w:ilvl="2" w:tplc="9DBE0138">
      <w:numFmt w:val="bullet"/>
      <w:lvlText w:val="•"/>
      <w:lvlJc w:val="left"/>
      <w:pPr>
        <w:ind w:left="1054" w:hanging="217"/>
      </w:pPr>
      <w:rPr>
        <w:rFonts w:hint="default"/>
        <w:lang w:val="en-GB" w:eastAsia="en-GB" w:bidi="en-GB"/>
      </w:rPr>
    </w:lvl>
    <w:lvl w:ilvl="3" w:tplc="1CCE6FC0">
      <w:numFmt w:val="bullet"/>
      <w:lvlText w:val="•"/>
      <w:lvlJc w:val="left"/>
      <w:pPr>
        <w:ind w:left="1431" w:hanging="217"/>
      </w:pPr>
      <w:rPr>
        <w:rFonts w:hint="default"/>
        <w:lang w:val="en-GB" w:eastAsia="en-GB" w:bidi="en-GB"/>
      </w:rPr>
    </w:lvl>
    <w:lvl w:ilvl="4" w:tplc="867A8BBC">
      <w:numFmt w:val="bullet"/>
      <w:lvlText w:val="•"/>
      <w:lvlJc w:val="left"/>
      <w:pPr>
        <w:ind w:left="1808" w:hanging="217"/>
      </w:pPr>
      <w:rPr>
        <w:rFonts w:hint="default"/>
        <w:lang w:val="en-GB" w:eastAsia="en-GB" w:bidi="en-GB"/>
      </w:rPr>
    </w:lvl>
    <w:lvl w:ilvl="5" w:tplc="469E7D12">
      <w:numFmt w:val="bullet"/>
      <w:lvlText w:val="•"/>
      <w:lvlJc w:val="left"/>
      <w:pPr>
        <w:ind w:left="2186" w:hanging="217"/>
      </w:pPr>
      <w:rPr>
        <w:rFonts w:hint="default"/>
        <w:lang w:val="en-GB" w:eastAsia="en-GB" w:bidi="en-GB"/>
      </w:rPr>
    </w:lvl>
    <w:lvl w:ilvl="6" w:tplc="A8E4ADE8">
      <w:numFmt w:val="bullet"/>
      <w:lvlText w:val="•"/>
      <w:lvlJc w:val="left"/>
      <w:pPr>
        <w:ind w:left="2563" w:hanging="217"/>
      </w:pPr>
      <w:rPr>
        <w:rFonts w:hint="default"/>
        <w:lang w:val="en-GB" w:eastAsia="en-GB" w:bidi="en-GB"/>
      </w:rPr>
    </w:lvl>
    <w:lvl w:ilvl="7" w:tplc="3E709944">
      <w:numFmt w:val="bullet"/>
      <w:lvlText w:val="•"/>
      <w:lvlJc w:val="left"/>
      <w:pPr>
        <w:ind w:left="2940" w:hanging="217"/>
      </w:pPr>
      <w:rPr>
        <w:rFonts w:hint="default"/>
        <w:lang w:val="en-GB" w:eastAsia="en-GB" w:bidi="en-GB"/>
      </w:rPr>
    </w:lvl>
    <w:lvl w:ilvl="8" w:tplc="3C1ECA70">
      <w:numFmt w:val="bullet"/>
      <w:lvlText w:val="•"/>
      <w:lvlJc w:val="left"/>
      <w:pPr>
        <w:ind w:left="3317" w:hanging="217"/>
      </w:pPr>
      <w:rPr>
        <w:rFonts w:hint="default"/>
        <w:lang w:val="en-GB" w:eastAsia="en-GB" w:bidi="en-GB"/>
      </w:rPr>
    </w:lvl>
  </w:abstractNum>
  <w:abstractNum w:abstractNumId="1273" w15:restartNumberingAfterBreak="0">
    <w:nsid w:val="72A44D6F"/>
    <w:multiLevelType w:val="hybridMultilevel"/>
    <w:tmpl w:val="D02A5442"/>
    <w:lvl w:ilvl="0" w:tplc="DCCABE1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F74AC8A">
      <w:numFmt w:val="bullet"/>
      <w:lvlText w:val="•"/>
      <w:lvlJc w:val="left"/>
      <w:pPr>
        <w:ind w:left="1061" w:hanging="217"/>
      </w:pPr>
      <w:rPr>
        <w:rFonts w:hint="default"/>
        <w:lang w:val="en-GB" w:eastAsia="en-GB" w:bidi="en-GB"/>
      </w:rPr>
    </w:lvl>
    <w:lvl w:ilvl="2" w:tplc="BE3A58A4">
      <w:numFmt w:val="bullet"/>
      <w:lvlText w:val="•"/>
      <w:lvlJc w:val="left"/>
      <w:pPr>
        <w:ind w:left="1823" w:hanging="217"/>
      </w:pPr>
      <w:rPr>
        <w:rFonts w:hint="default"/>
        <w:lang w:val="en-GB" w:eastAsia="en-GB" w:bidi="en-GB"/>
      </w:rPr>
    </w:lvl>
    <w:lvl w:ilvl="3" w:tplc="0E0EB038">
      <w:numFmt w:val="bullet"/>
      <w:lvlText w:val="•"/>
      <w:lvlJc w:val="left"/>
      <w:pPr>
        <w:ind w:left="2585" w:hanging="217"/>
      </w:pPr>
      <w:rPr>
        <w:rFonts w:hint="default"/>
        <w:lang w:val="en-GB" w:eastAsia="en-GB" w:bidi="en-GB"/>
      </w:rPr>
    </w:lvl>
    <w:lvl w:ilvl="4" w:tplc="04CAF186">
      <w:numFmt w:val="bullet"/>
      <w:lvlText w:val="•"/>
      <w:lvlJc w:val="left"/>
      <w:pPr>
        <w:ind w:left="3346" w:hanging="217"/>
      </w:pPr>
      <w:rPr>
        <w:rFonts w:hint="default"/>
        <w:lang w:val="en-GB" w:eastAsia="en-GB" w:bidi="en-GB"/>
      </w:rPr>
    </w:lvl>
    <w:lvl w:ilvl="5" w:tplc="362A3C80">
      <w:numFmt w:val="bullet"/>
      <w:lvlText w:val="•"/>
      <w:lvlJc w:val="left"/>
      <w:pPr>
        <w:ind w:left="4108" w:hanging="217"/>
      </w:pPr>
      <w:rPr>
        <w:rFonts w:hint="default"/>
        <w:lang w:val="en-GB" w:eastAsia="en-GB" w:bidi="en-GB"/>
      </w:rPr>
    </w:lvl>
    <w:lvl w:ilvl="6" w:tplc="6DCCAFBC">
      <w:numFmt w:val="bullet"/>
      <w:lvlText w:val="•"/>
      <w:lvlJc w:val="left"/>
      <w:pPr>
        <w:ind w:left="4870" w:hanging="217"/>
      </w:pPr>
      <w:rPr>
        <w:rFonts w:hint="default"/>
        <w:lang w:val="en-GB" w:eastAsia="en-GB" w:bidi="en-GB"/>
      </w:rPr>
    </w:lvl>
    <w:lvl w:ilvl="7" w:tplc="687A703E">
      <w:numFmt w:val="bullet"/>
      <w:lvlText w:val="•"/>
      <w:lvlJc w:val="left"/>
      <w:pPr>
        <w:ind w:left="5631" w:hanging="217"/>
      </w:pPr>
      <w:rPr>
        <w:rFonts w:hint="default"/>
        <w:lang w:val="en-GB" w:eastAsia="en-GB" w:bidi="en-GB"/>
      </w:rPr>
    </w:lvl>
    <w:lvl w:ilvl="8" w:tplc="7498743E">
      <w:numFmt w:val="bullet"/>
      <w:lvlText w:val="•"/>
      <w:lvlJc w:val="left"/>
      <w:pPr>
        <w:ind w:left="6393" w:hanging="217"/>
      </w:pPr>
      <w:rPr>
        <w:rFonts w:hint="default"/>
        <w:lang w:val="en-GB" w:eastAsia="en-GB" w:bidi="en-GB"/>
      </w:rPr>
    </w:lvl>
  </w:abstractNum>
  <w:abstractNum w:abstractNumId="1274" w15:restartNumberingAfterBreak="0">
    <w:nsid w:val="72A8724F"/>
    <w:multiLevelType w:val="hybridMultilevel"/>
    <w:tmpl w:val="0EA63CB4"/>
    <w:lvl w:ilvl="0" w:tplc="101C6FB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F7A256C">
      <w:numFmt w:val="bullet"/>
      <w:lvlText w:val="•"/>
      <w:lvlJc w:val="left"/>
      <w:pPr>
        <w:ind w:left="439" w:hanging="217"/>
      </w:pPr>
      <w:rPr>
        <w:rFonts w:hint="default"/>
        <w:lang w:val="en-GB" w:eastAsia="en-GB" w:bidi="en-GB"/>
      </w:rPr>
    </w:lvl>
    <w:lvl w:ilvl="2" w:tplc="105AC84E">
      <w:numFmt w:val="bullet"/>
      <w:lvlText w:val="•"/>
      <w:lvlJc w:val="left"/>
      <w:pPr>
        <w:ind w:left="578" w:hanging="217"/>
      </w:pPr>
      <w:rPr>
        <w:rFonts w:hint="default"/>
        <w:lang w:val="en-GB" w:eastAsia="en-GB" w:bidi="en-GB"/>
      </w:rPr>
    </w:lvl>
    <w:lvl w:ilvl="3" w:tplc="D602931A">
      <w:numFmt w:val="bullet"/>
      <w:lvlText w:val="•"/>
      <w:lvlJc w:val="left"/>
      <w:pPr>
        <w:ind w:left="717" w:hanging="217"/>
      </w:pPr>
      <w:rPr>
        <w:rFonts w:hint="default"/>
        <w:lang w:val="en-GB" w:eastAsia="en-GB" w:bidi="en-GB"/>
      </w:rPr>
    </w:lvl>
    <w:lvl w:ilvl="4" w:tplc="BF743790">
      <w:numFmt w:val="bullet"/>
      <w:lvlText w:val="•"/>
      <w:lvlJc w:val="left"/>
      <w:pPr>
        <w:ind w:left="856" w:hanging="217"/>
      </w:pPr>
      <w:rPr>
        <w:rFonts w:hint="default"/>
        <w:lang w:val="en-GB" w:eastAsia="en-GB" w:bidi="en-GB"/>
      </w:rPr>
    </w:lvl>
    <w:lvl w:ilvl="5" w:tplc="0A2EF8BA">
      <w:numFmt w:val="bullet"/>
      <w:lvlText w:val="•"/>
      <w:lvlJc w:val="left"/>
      <w:pPr>
        <w:ind w:left="995" w:hanging="217"/>
      </w:pPr>
      <w:rPr>
        <w:rFonts w:hint="default"/>
        <w:lang w:val="en-GB" w:eastAsia="en-GB" w:bidi="en-GB"/>
      </w:rPr>
    </w:lvl>
    <w:lvl w:ilvl="6" w:tplc="91BAEF14">
      <w:numFmt w:val="bullet"/>
      <w:lvlText w:val="•"/>
      <w:lvlJc w:val="left"/>
      <w:pPr>
        <w:ind w:left="1134" w:hanging="217"/>
      </w:pPr>
      <w:rPr>
        <w:rFonts w:hint="default"/>
        <w:lang w:val="en-GB" w:eastAsia="en-GB" w:bidi="en-GB"/>
      </w:rPr>
    </w:lvl>
    <w:lvl w:ilvl="7" w:tplc="91D8B1CA">
      <w:numFmt w:val="bullet"/>
      <w:lvlText w:val="•"/>
      <w:lvlJc w:val="left"/>
      <w:pPr>
        <w:ind w:left="1273" w:hanging="217"/>
      </w:pPr>
      <w:rPr>
        <w:rFonts w:hint="default"/>
        <w:lang w:val="en-GB" w:eastAsia="en-GB" w:bidi="en-GB"/>
      </w:rPr>
    </w:lvl>
    <w:lvl w:ilvl="8" w:tplc="0B900F02">
      <w:numFmt w:val="bullet"/>
      <w:lvlText w:val="•"/>
      <w:lvlJc w:val="left"/>
      <w:pPr>
        <w:ind w:left="1412" w:hanging="217"/>
      </w:pPr>
      <w:rPr>
        <w:rFonts w:hint="default"/>
        <w:lang w:val="en-GB" w:eastAsia="en-GB" w:bidi="en-GB"/>
      </w:rPr>
    </w:lvl>
  </w:abstractNum>
  <w:abstractNum w:abstractNumId="1275" w15:restartNumberingAfterBreak="0">
    <w:nsid w:val="72B561B8"/>
    <w:multiLevelType w:val="hybridMultilevel"/>
    <w:tmpl w:val="40CAE488"/>
    <w:lvl w:ilvl="0" w:tplc="DB5275EE">
      <w:numFmt w:val="bullet"/>
      <w:lvlText w:val="•"/>
      <w:lvlJc w:val="left"/>
      <w:pPr>
        <w:ind w:left="305" w:hanging="217"/>
      </w:pPr>
      <w:rPr>
        <w:rFonts w:ascii="Arial" w:eastAsia="Arial" w:hAnsi="Arial" w:cs="Arial" w:hint="default"/>
        <w:color w:val="231F20"/>
        <w:w w:val="102"/>
        <w:sz w:val="17"/>
        <w:szCs w:val="17"/>
        <w:lang w:val="en-GB" w:eastAsia="en-GB" w:bidi="en-GB"/>
      </w:rPr>
    </w:lvl>
    <w:lvl w:ilvl="1" w:tplc="8F9CBD8E">
      <w:numFmt w:val="bullet"/>
      <w:lvlText w:val="•"/>
      <w:lvlJc w:val="left"/>
      <w:pPr>
        <w:ind w:left="892" w:hanging="217"/>
      </w:pPr>
      <w:rPr>
        <w:rFonts w:hint="default"/>
        <w:lang w:val="en-GB" w:eastAsia="en-GB" w:bidi="en-GB"/>
      </w:rPr>
    </w:lvl>
    <w:lvl w:ilvl="2" w:tplc="8154FA4E">
      <w:numFmt w:val="bullet"/>
      <w:lvlText w:val="•"/>
      <w:lvlJc w:val="left"/>
      <w:pPr>
        <w:ind w:left="1485" w:hanging="217"/>
      </w:pPr>
      <w:rPr>
        <w:rFonts w:hint="default"/>
        <w:lang w:val="en-GB" w:eastAsia="en-GB" w:bidi="en-GB"/>
      </w:rPr>
    </w:lvl>
    <w:lvl w:ilvl="3" w:tplc="1C2C19E4">
      <w:numFmt w:val="bullet"/>
      <w:lvlText w:val="•"/>
      <w:lvlJc w:val="left"/>
      <w:pPr>
        <w:ind w:left="2077" w:hanging="217"/>
      </w:pPr>
      <w:rPr>
        <w:rFonts w:hint="default"/>
        <w:lang w:val="en-GB" w:eastAsia="en-GB" w:bidi="en-GB"/>
      </w:rPr>
    </w:lvl>
    <w:lvl w:ilvl="4" w:tplc="C9A8B132">
      <w:numFmt w:val="bullet"/>
      <w:lvlText w:val="•"/>
      <w:lvlJc w:val="left"/>
      <w:pPr>
        <w:ind w:left="2670" w:hanging="217"/>
      </w:pPr>
      <w:rPr>
        <w:rFonts w:hint="default"/>
        <w:lang w:val="en-GB" w:eastAsia="en-GB" w:bidi="en-GB"/>
      </w:rPr>
    </w:lvl>
    <w:lvl w:ilvl="5" w:tplc="42A8B418">
      <w:numFmt w:val="bullet"/>
      <w:lvlText w:val="•"/>
      <w:lvlJc w:val="left"/>
      <w:pPr>
        <w:ind w:left="3263" w:hanging="217"/>
      </w:pPr>
      <w:rPr>
        <w:rFonts w:hint="default"/>
        <w:lang w:val="en-GB" w:eastAsia="en-GB" w:bidi="en-GB"/>
      </w:rPr>
    </w:lvl>
    <w:lvl w:ilvl="6" w:tplc="8EF0FBCE">
      <w:numFmt w:val="bullet"/>
      <w:lvlText w:val="•"/>
      <w:lvlJc w:val="left"/>
      <w:pPr>
        <w:ind w:left="3855" w:hanging="217"/>
      </w:pPr>
      <w:rPr>
        <w:rFonts w:hint="default"/>
        <w:lang w:val="en-GB" w:eastAsia="en-GB" w:bidi="en-GB"/>
      </w:rPr>
    </w:lvl>
    <w:lvl w:ilvl="7" w:tplc="91167DE4">
      <w:numFmt w:val="bullet"/>
      <w:lvlText w:val="•"/>
      <w:lvlJc w:val="left"/>
      <w:pPr>
        <w:ind w:left="4448" w:hanging="217"/>
      </w:pPr>
      <w:rPr>
        <w:rFonts w:hint="default"/>
        <w:lang w:val="en-GB" w:eastAsia="en-GB" w:bidi="en-GB"/>
      </w:rPr>
    </w:lvl>
    <w:lvl w:ilvl="8" w:tplc="2AC067BE">
      <w:numFmt w:val="bullet"/>
      <w:lvlText w:val="•"/>
      <w:lvlJc w:val="left"/>
      <w:pPr>
        <w:ind w:left="5040" w:hanging="217"/>
      </w:pPr>
      <w:rPr>
        <w:rFonts w:hint="default"/>
        <w:lang w:val="en-GB" w:eastAsia="en-GB" w:bidi="en-GB"/>
      </w:rPr>
    </w:lvl>
  </w:abstractNum>
  <w:abstractNum w:abstractNumId="1276" w15:restartNumberingAfterBreak="0">
    <w:nsid w:val="72D65A49"/>
    <w:multiLevelType w:val="hybridMultilevel"/>
    <w:tmpl w:val="DA86ED92"/>
    <w:lvl w:ilvl="0" w:tplc="AE9E889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FCE43D76">
      <w:numFmt w:val="bullet"/>
      <w:lvlText w:val="•"/>
      <w:lvlJc w:val="left"/>
      <w:pPr>
        <w:ind w:left="467" w:hanging="217"/>
      </w:pPr>
      <w:rPr>
        <w:rFonts w:hint="default"/>
        <w:lang w:val="en-GB" w:eastAsia="en-GB" w:bidi="en-GB"/>
      </w:rPr>
    </w:lvl>
    <w:lvl w:ilvl="2" w:tplc="5254D158">
      <w:numFmt w:val="bullet"/>
      <w:lvlText w:val="•"/>
      <w:lvlJc w:val="left"/>
      <w:pPr>
        <w:ind w:left="634" w:hanging="217"/>
      </w:pPr>
      <w:rPr>
        <w:rFonts w:hint="default"/>
        <w:lang w:val="en-GB" w:eastAsia="en-GB" w:bidi="en-GB"/>
      </w:rPr>
    </w:lvl>
    <w:lvl w:ilvl="3" w:tplc="CC7C3002">
      <w:numFmt w:val="bullet"/>
      <w:lvlText w:val="•"/>
      <w:lvlJc w:val="left"/>
      <w:pPr>
        <w:ind w:left="802" w:hanging="217"/>
      </w:pPr>
      <w:rPr>
        <w:rFonts w:hint="default"/>
        <w:lang w:val="en-GB" w:eastAsia="en-GB" w:bidi="en-GB"/>
      </w:rPr>
    </w:lvl>
    <w:lvl w:ilvl="4" w:tplc="2EB66C66">
      <w:numFmt w:val="bullet"/>
      <w:lvlText w:val="•"/>
      <w:lvlJc w:val="left"/>
      <w:pPr>
        <w:ind w:left="969" w:hanging="217"/>
      </w:pPr>
      <w:rPr>
        <w:rFonts w:hint="default"/>
        <w:lang w:val="en-GB" w:eastAsia="en-GB" w:bidi="en-GB"/>
      </w:rPr>
    </w:lvl>
    <w:lvl w:ilvl="5" w:tplc="F884925C">
      <w:numFmt w:val="bullet"/>
      <w:lvlText w:val="•"/>
      <w:lvlJc w:val="left"/>
      <w:pPr>
        <w:ind w:left="1137" w:hanging="217"/>
      </w:pPr>
      <w:rPr>
        <w:rFonts w:hint="default"/>
        <w:lang w:val="en-GB" w:eastAsia="en-GB" w:bidi="en-GB"/>
      </w:rPr>
    </w:lvl>
    <w:lvl w:ilvl="6" w:tplc="4AAE4EB2">
      <w:numFmt w:val="bullet"/>
      <w:lvlText w:val="•"/>
      <w:lvlJc w:val="left"/>
      <w:pPr>
        <w:ind w:left="1304" w:hanging="217"/>
      </w:pPr>
      <w:rPr>
        <w:rFonts w:hint="default"/>
        <w:lang w:val="en-GB" w:eastAsia="en-GB" w:bidi="en-GB"/>
      </w:rPr>
    </w:lvl>
    <w:lvl w:ilvl="7" w:tplc="60588492">
      <w:numFmt w:val="bullet"/>
      <w:lvlText w:val="•"/>
      <w:lvlJc w:val="left"/>
      <w:pPr>
        <w:ind w:left="1471" w:hanging="217"/>
      </w:pPr>
      <w:rPr>
        <w:rFonts w:hint="default"/>
        <w:lang w:val="en-GB" w:eastAsia="en-GB" w:bidi="en-GB"/>
      </w:rPr>
    </w:lvl>
    <w:lvl w:ilvl="8" w:tplc="36746082">
      <w:numFmt w:val="bullet"/>
      <w:lvlText w:val="•"/>
      <w:lvlJc w:val="left"/>
      <w:pPr>
        <w:ind w:left="1639" w:hanging="217"/>
      </w:pPr>
      <w:rPr>
        <w:rFonts w:hint="default"/>
        <w:lang w:val="en-GB" w:eastAsia="en-GB" w:bidi="en-GB"/>
      </w:rPr>
    </w:lvl>
  </w:abstractNum>
  <w:abstractNum w:abstractNumId="1277" w15:restartNumberingAfterBreak="0">
    <w:nsid w:val="72DC30D0"/>
    <w:multiLevelType w:val="hybridMultilevel"/>
    <w:tmpl w:val="9C5E3AE6"/>
    <w:lvl w:ilvl="0" w:tplc="0922C2EE">
      <w:numFmt w:val="bullet"/>
      <w:lvlText w:val="•"/>
      <w:lvlJc w:val="left"/>
      <w:pPr>
        <w:ind w:left="276" w:hanging="217"/>
      </w:pPr>
      <w:rPr>
        <w:rFonts w:ascii="Arial" w:eastAsia="Arial" w:hAnsi="Arial" w:cs="Arial" w:hint="default"/>
        <w:color w:val="231F20"/>
        <w:w w:val="97"/>
        <w:sz w:val="16"/>
        <w:szCs w:val="16"/>
        <w:lang w:val="en-GB" w:eastAsia="en-GB" w:bidi="en-GB"/>
      </w:rPr>
    </w:lvl>
    <w:lvl w:ilvl="1" w:tplc="989C2C40">
      <w:numFmt w:val="bullet"/>
      <w:lvlText w:val="•"/>
      <w:lvlJc w:val="left"/>
      <w:pPr>
        <w:ind w:left="381" w:hanging="217"/>
      </w:pPr>
      <w:rPr>
        <w:rFonts w:hint="default"/>
        <w:lang w:val="en-GB" w:eastAsia="en-GB" w:bidi="en-GB"/>
      </w:rPr>
    </w:lvl>
    <w:lvl w:ilvl="2" w:tplc="FB9C3E78">
      <w:numFmt w:val="bullet"/>
      <w:lvlText w:val="•"/>
      <w:lvlJc w:val="left"/>
      <w:pPr>
        <w:ind w:left="482" w:hanging="217"/>
      </w:pPr>
      <w:rPr>
        <w:rFonts w:hint="default"/>
        <w:lang w:val="en-GB" w:eastAsia="en-GB" w:bidi="en-GB"/>
      </w:rPr>
    </w:lvl>
    <w:lvl w:ilvl="3" w:tplc="D03AECDE">
      <w:numFmt w:val="bullet"/>
      <w:lvlText w:val="•"/>
      <w:lvlJc w:val="left"/>
      <w:pPr>
        <w:ind w:left="584" w:hanging="217"/>
      </w:pPr>
      <w:rPr>
        <w:rFonts w:hint="default"/>
        <w:lang w:val="en-GB" w:eastAsia="en-GB" w:bidi="en-GB"/>
      </w:rPr>
    </w:lvl>
    <w:lvl w:ilvl="4" w:tplc="C3E4A6A6">
      <w:numFmt w:val="bullet"/>
      <w:lvlText w:val="•"/>
      <w:lvlJc w:val="left"/>
      <w:pPr>
        <w:ind w:left="685" w:hanging="217"/>
      </w:pPr>
      <w:rPr>
        <w:rFonts w:hint="default"/>
        <w:lang w:val="en-GB" w:eastAsia="en-GB" w:bidi="en-GB"/>
      </w:rPr>
    </w:lvl>
    <w:lvl w:ilvl="5" w:tplc="DAA0A71A">
      <w:numFmt w:val="bullet"/>
      <w:lvlText w:val="•"/>
      <w:lvlJc w:val="left"/>
      <w:pPr>
        <w:ind w:left="787" w:hanging="217"/>
      </w:pPr>
      <w:rPr>
        <w:rFonts w:hint="default"/>
        <w:lang w:val="en-GB" w:eastAsia="en-GB" w:bidi="en-GB"/>
      </w:rPr>
    </w:lvl>
    <w:lvl w:ilvl="6" w:tplc="FA80AF04">
      <w:numFmt w:val="bullet"/>
      <w:lvlText w:val="•"/>
      <w:lvlJc w:val="left"/>
      <w:pPr>
        <w:ind w:left="888" w:hanging="217"/>
      </w:pPr>
      <w:rPr>
        <w:rFonts w:hint="default"/>
        <w:lang w:val="en-GB" w:eastAsia="en-GB" w:bidi="en-GB"/>
      </w:rPr>
    </w:lvl>
    <w:lvl w:ilvl="7" w:tplc="B1F6E1D4">
      <w:numFmt w:val="bullet"/>
      <w:lvlText w:val="•"/>
      <w:lvlJc w:val="left"/>
      <w:pPr>
        <w:ind w:left="989" w:hanging="217"/>
      </w:pPr>
      <w:rPr>
        <w:rFonts w:hint="default"/>
        <w:lang w:val="en-GB" w:eastAsia="en-GB" w:bidi="en-GB"/>
      </w:rPr>
    </w:lvl>
    <w:lvl w:ilvl="8" w:tplc="13226814">
      <w:numFmt w:val="bullet"/>
      <w:lvlText w:val="•"/>
      <w:lvlJc w:val="left"/>
      <w:pPr>
        <w:ind w:left="1091" w:hanging="217"/>
      </w:pPr>
      <w:rPr>
        <w:rFonts w:hint="default"/>
        <w:lang w:val="en-GB" w:eastAsia="en-GB" w:bidi="en-GB"/>
      </w:rPr>
    </w:lvl>
  </w:abstractNum>
  <w:abstractNum w:abstractNumId="1278" w15:restartNumberingAfterBreak="0">
    <w:nsid w:val="72DC367F"/>
    <w:multiLevelType w:val="hybridMultilevel"/>
    <w:tmpl w:val="B55870AE"/>
    <w:lvl w:ilvl="0" w:tplc="248A402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2FCF5E8">
      <w:numFmt w:val="bullet"/>
      <w:lvlText w:val="•"/>
      <w:lvlJc w:val="left"/>
      <w:pPr>
        <w:ind w:left="439" w:hanging="217"/>
      </w:pPr>
      <w:rPr>
        <w:rFonts w:hint="default"/>
        <w:lang w:val="en-GB" w:eastAsia="en-GB" w:bidi="en-GB"/>
      </w:rPr>
    </w:lvl>
    <w:lvl w:ilvl="2" w:tplc="4F4A40DA">
      <w:numFmt w:val="bullet"/>
      <w:lvlText w:val="•"/>
      <w:lvlJc w:val="left"/>
      <w:pPr>
        <w:ind w:left="578" w:hanging="217"/>
      </w:pPr>
      <w:rPr>
        <w:rFonts w:hint="default"/>
        <w:lang w:val="en-GB" w:eastAsia="en-GB" w:bidi="en-GB"/>
      </w:rPr>
    </w:lvl>
    <w:lvl w:ilvl="3" w:tplc="7E702AB4">
      <w:numFmt w:val="bullet"/>
      <w:lvlText w:val="•"/>
      <w:lvlJc w:val="left"/>
      <w:pPr>
        <w:ind w:left="717" w:hanging="217"/>
      </w:pPr>
      <w:rPr>
        <w:rFonts w:hint="default"/>
        <w:lang w:val="en-GB" w:eastAsia="en-GB" w:bidi="en-GB"/>
      </w:rPr>
    </w:lvl>
    <w:lvl w:ilvl="4" w:tplc="8E92EE54">
      <w:numFmt w:val="bullet"/>
      <w:lvlText w:val="•"/>
      <w:lvlJc w:val="left"/>
      <w:pPr>
        <w:ind w:left="856" w:hanging="217"/>
      </w:pPr>
      <w:rPr>
        <w:rFonts w:hint="default"/>
        <w:lang w:val="en-GB" w:eastAsia="en-GB" w:bidi="en-GB"/>
      </w:rPr>
    </w:lvl>
    <w:lvl w:ilvl="5" w:tplc="984AE364">
      <w:numFmt w:val="bullet"/>
      <w:lvlText w:val="•"/>
      <w:lvlJc w:val="left"/>
      <w:pPr>
        <w:ind w:left="995" w:hanging="217"/>
      </w:pPr>
      <w:rPr>
        <w:rFonts w:hint="default"/>
        <w:lang w:val="en-GB" w:eastAsia="en-GB" w:bidi="en-GB"/>
      </w:rPr>
    </w:lvl>
    <w:lvl w:ilvl="6" w:tplc="FDC4077E">
      <w:numFmt w:val="bullet"/>
      <w:lvlText w:val="•"/>
      <w:lvlJc w:val="left"/>
      <w:pPr>
        <w:ind w:left="1134" w:hanging="217"/>
      </w:pPr>
      <w:rPr>
        <w:rFonts w:hint="default"/>
        <w:lang w:val="en-GB" w:eastAsia="en-GB" w:bidi="en-GB"/>
      </w:rPr>
    </w:lvl>
    <w:lvl w:ilvl="7" w:tplc="A5649C8A">
      <w:numFmt w:val="bullet"/>
      <w:lvlText w:val="•"/>
      <w:lvlJc w:val="left"/>
      <w:pPr>
        <w:ind w:left="1273" w:hanging="217"/>
      </w:pPr>
      <w:rPr>
        <w:rFonts w:hint="default"/>
        <w:lang w:val="en-GB" w:eastAsia="en-GB" w:bidi="en-GB"/>
      </w:rPr>
    </w:lvl>
    <w:lvl w:ilvl="8" w:tplc="E5FEBEA8">
      <w:numFmt w:val="bullet"/>
      <w:lvlText w:val="•"/>
      <w:lvlJc w:val="left"/>
      <w:pPr>
        <w:ind w:left="1412" w:hanging="217"/>
      </w:pPr>
      <w:rPr>
        <w:rFonts w:hint="default"/>
        <w:lang w:val="en-GB" w:eastAsia="en-GB" w:bidi="en-GB"/>
      </w:rPr>
    </w:lvl>
  </w:abstractNum>
  <w:abstractNum w:abstractNumId="1279" w15:restartNumberingAfterBreak="0">
    <w:nsid w:val="731C436F"/>
    <w:multiLevelType w:val="hybridMultilevel"/>
    <w:tmpl w:val="5FB66878"/>
    <w:lvl w:ilvl="0" w:tplc="62A6EB50">
      <w:numFmt w:val="bullet"/>
      <w:lvlText w:val="•"/>
      <w:lvlJc w:val="left"/>
      <w:pPr>
        <w:ind w:left="303" w:hanging="217"/>
      </w:pPr>
      <w:rPr>
        <w:rFonts w:ascii="Arial" w:eastAsia="Arial" w:hAnsi="Arial" w:cs="Arial" w:hint="default"/>
        <w:color w:val="231F20"/>
        <w:w w:val="102"/>
        <w:sz w:val="17"/>
        <w:szCs w:val="17"/>
        <w:lang w:val="en-GB" w:eastAsia="en-GB" w:bidi="en-GB"/>
      </w:rPr>
    </w:lvl>
    <w:lvl w:ilvl="1" w:tplc="068221C2">
      <w:numFmt w:val="bullet"/>
      <w:lvlText w:val="•"/>
      <w:lvlJc w:val="left"/>
      <w:pPr>
        <w:ind w:left="439" w:hanging="217"/>
      </w:pPr>
      <w:rPr>
        <w:rFonts w:hint="default"/>
        <w:lang w:val="en-GB" w:eastAsia="en-GB" w:bidi="en-GB"/>
      </w:rPr>
    </w:lvl>
    <w:lvl w:ilvl="2" w:tplc="735628DC">
      <w:numFmt w:val="bullet"/>
      <w:lvlText w:val="•"/>
      <w:lvlJc w:val="left"/>
      <w:pPr>
        <w:ind w:left="578" w:hanging="217"/>
      </w:pPr>
      <w:rPr>
        <w:rFonts w:hint="default"/>
        <w:lang w:val="en-GB" w:eastAsia="en-GB" w:bidi="en-GB"/>
      </w:rPr>
    </w:lvl>
    <w:lvl w:ilvl="3" w:tplc="05F297D6">
      <w:numFmt w:val="bullet"/>
      <w:lvlText w:val="•"/>
      <w:lvlJc w:val="left"/>
      <w:pPr>
        <w:ind w:left="717" w:hanging="217"/>
      </w:pPr>
      <w:rPr>
        <w:rFonts w:hint="default"/>
        <w:lang w:val="en-GB" w:eastAsia="en-GB" w:bidi="en-GB"/>
      </w:rPr>
    </w:lvl>
    <w:lvl w:ilvl="4" w:tplc="6BECB67E">
      <w:numFmt w:val="bullet"/>
      <w:lvlText w:val="•"/>
      <w:lvlJc w:val="left"/>
      <w:pPr>
        <w:ind w:left="856" w:hanging="217"/>
      </w:pPr>
      <w:rPr>
        <w:rFonts w:hint="default"/>
        <w:lang w:val="en-GB" w:eastAsia="en-GB" w:bidi="en-GB"/>
      </w:rPr>
    </w:lvl>
    <w:lvl w:ilvl="5" w:tplc="80548B68">
      <w:numFmt w:val="bullet"/>
      <w:lvlText w:val="•"/>
      <w:lvlJc w:val="left"/>
      <w:pPr>
        <w:ind w:left="995" w:hanging="217"/>
      </w:pPr>
      <w:rPr>
        <w:rFonts w:hint="default"/>
        <w:lang w:val="en-GB" w:eastAsia="en-GB" w:bidi="en-GB"/>
      </w:rPr>
    </w:lvl>
    <w:lvl w:ilvl="6" w:tplc="9E80FD08">
      <w:numFmt w:val="bullet"/>
      <w:lvlText w:val="•"/>
      <w:lvlJc w:val="left"/>
      <w:pPr>
        <w:ind w:left="1134" w:hanging="217"/>
      </w:pPr>
      <w:rPr>
        <w:rFonts w:hint="default"/>
        <w:lang w:val="en-GB" w:eastAsia="en-GB" w:bidi="en-GB"/>
      </w:rPr>
    </w:lvl>
    <w:lvl w:ilvl="7" w:tplc="C7080E92">
      <w:numFmt w:val="bullet"/>
      <w:lvlText w:val="•"/>
      <w:lvlJc w:val="left"/>
      <w:pPr>
        <w:ind w:left="1273" w:hanging="217"/>
      </w:pPr>
      <w:rPr>
        <w:rFonts w:hint="default"/>
        <w:lang w:val="en-GB" w:eastAsia="en-GB" w:bidi="en-GB"/>
      </w:rPr>
    </w:lvl>
    <w:lvl w:ilvl="8" w:tplc="7B2E1FB4">
      <w:numFmt w:val="bullet"/>
      <w:lvlText w:val="•"/>
      <w:lvlJc w:val="left"/>
      <w:pPr>
        <w:ind w:left="1412" w:hanging="217"/>
      </w:pPr>
      <w:rPr>
        <w:rFonts w:hint="default"/>
        <w:lang w:val="en-GB" w:eastAsia="en-GB" w:bidi="en-GB"/>
      </w:rPr>
    </w:lvl>
  </w:abstractNum>
  <w:abstractNum w:abstractNumId="1280" w15:restartNumberingAfterBreak="0">
    <w:nsid w:val="731D7D3B"/>
    <w:multiLevelType w:val="hybridMultilevel"/>
    <w:tmpl w:val="4C549C32"/>
    <w:lvl w:ilvl="0" w:tplc="C9B2455C">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4FDC0878">
      <w:numFmt w:val="bullet"/>
      <w:lvlText w:val="•"/>
      <w:lvlJc w:val="left"/>
      <w:pPr>
        <w:ind w:left="473" w:hanging="217"/>
      </w:pPr>
      <w:rPr>
        <w:rFonts w:hint="default"/>
        <w:lang w:val="en-GB" w:eastAsia="en-GB" w:bidi="en-GB"/>
      </w:rPr>
    </w:lvl>
    <w:lvl w:ilvl="2" w:tplc="3CB683A6">
      <w:numFmt w:val="bullet"/>
      <w:lvlText w:val="•"/>
      <w:lvlJc w:val="left"/>
      <w:pPr>
        <w:ind w:left="646" w:hanging="217"/>
      </w:pPr>
      <w:rPr>
        <w:rFonts w:hint="default"/>
        <w:lang w:val="en-GB" w:eastAsia="en-GB" w:bidi="en-GB"/>
      </w:rPr>
    </w:lvl>
    <w:lvl w:ilvl="3" w:tplc="1FB4A3FE">
      <w:numFmt w:val="bullet"/>
      <w:lvlText w:val="•"/>
      <w:lvlJc w:val="left"/>
      <w:pPr>
        <w:ind w:left="819" w:hanging="217"/>
      </w:pPr>
      <w:rPr>
        <w:rFonts w:hint="default"/>
        <w:lang w:val="en-GB" w:eastAsia="en-GB" w:bidi="en-GB"/>
      </w:rPr>
    </w:lvl>
    <w:lvl w:ilvl="4" w:tplc="CEE81350">
      <w:numFmt w:val="bullet"/>
      <w:lvlText w:val="•"/>
      <w:lvlJc w:val="left"/>
      <w:pPr>
        <w:ind w:left="992" w:hanging="217"/>
      </w:pPr>
      <w:rPr>
        <w:rFonts w:hint="default"/>
        <w:lang w:val="en-GB" w:eastAsia="en-GB" w:bidi="en-GB"/>
      </w:rPr>
    </w:lvl>
    <w:lvl w:ilvl="5" w:tplc="2CF8761E">
      <w:numFmt w:val="bullet"/>
      <w:lvlText w:val="•"/>
      <w:lvlJc w:val="left"/>
      <w:pPr>
        <w:ind w:left="1165" w:hanging="217"/>
      </w:pPr>
      <w:rPr>
        <w:rFonts w:hint="default"/>
        <w:lang w:val="en-GB" w:eastAsia="en-GB" w:bidi="en-GB"/>
      </w:rPr>
    </w:lvl>
    <w:lvl w:ilvl="6" w:tplc="DAA47A2A">
      <w:numFmt w:val="bullet"/>
      <w:lvlText w:val="•"/>
      <w:lvlJc w:val="left"/>
      <w:pPr>
        <w:ind w:left="1338" w:hanging="217"/>
      </w:pPr>
      <w:rPr>
        <w:rFonts w:hint="default"/>
        <w:lang w:val="en-GB" w:eastAsia="en-GB" w:bidi="en-GB"/>
      </w:rPr>
    </w:lvl>
    <w:lvl w:ilvl="7" w:tplc="FAE6D4C4">
      <w:numFmt w:val="bullet"/>
      <w:lvlText w:val="•"/>
      <w:lvlJc w:val="left"/>
      <w:pPr>
        <w:ind w:left="1511" w:hanging="217"/>
      </w:pPr>
      <w:rPr>
        <w:rFonts w:hint="default"/>
        <w:lang w:val="en-GB" w:eastAsia="en-GB" w:bidi="en-GB"/>
      </w:rPr>
    </w:lvl>
    <w:lvl w:ilvl="8" w:tplc="F446ED00">
      <w:numFmt w:val="bullet"/>
      <w:lvlText w:val="•"/>
      <w:lvlJc w:val="left"/>
      <w:pPr>
        <w:ind w:left="1684" w:hanging="217"/>
      </w:pPr>
      <w:rPr>
        <w:rFonts w:hint="default"/>
        <w:lang w:val="en-GB" w:eastAsia="en-GB" w:bidi="en-GB"/>
      </w:rPr>
    </w:lvl>
  </w:abstractNum>
  <w:abstractNum w:abstractNumId="1281" w15:restartNumberingAfterBreak="0">
    <w:nsid w:val="732C39BB"/>
    <w:multiLevelType w:val="hybridMultilevel"/>
    <w:tmpl w:val="FD54251A"/>
    <w:lvl w:ilvl="0" w:tplc="CCF682C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7B828B58">
      <w:numFmt w:val="bullet"/>
      <w:lvlText w:val="•"/>
      <w:lvlJc w:val="left"/>
      <w:pPr>
        <w:ind w:left="473" w:hanging="217"/>
      </w:pPr>
      <w:rPr>
        <w:rFonts w:hint="default"/>
        <w:lang w:val="en-GB" w:eastAsia="en-GB" w:bidi="en-GB"/>
      </w:rPr>
    </w:lvl>
    <w:lvl w:ilvl="2" w:tplc="52120F20">
      <w:numFmt w:val="bullet"/>
      <w:lvlText w:val="•"/>
      <w:lvlJc w:val="left"/>
      <w:pPr>
        <w:ind w:left="646" w:hanging="217"/>
      </w:pPr>
      <w:rPr>
        <w:rFonts w:hint="default"/>
        <w:lang w:val="en-GB" w:eastAsia="en-GB" w:bidi="en-GB"/>
      </w:rPr>
    </w:lvl>
    <w:lvl w:ilvl="3" w:tplc="BD4697DA">
      <w:numFmt w:val="bullet"/>
      <w:lvlText w:val="•"/>
      <w:lvlJc w:val="left"/>
      <w:pPr>
        <w:ind w:left="819" w:hanging="217"/>
      </w:pPr>
      <w:rPr>
        <w:rFonts w:hint="default"/>
        <w:lang w:val="en-GB" w:eastAsia="en-GB" w:bidi="en-GB"/>
      </w:rPr>
    </w:lvl>
    <w:lvl w:ilvl="4" w:tplc="041860C2">
      <w:numFmt w:val="bullet"/>
      <w:lvlText w:val="•"/>
      <w:lvlJc w:val="left"/>
      <w:pPr>
        <w:ind w:left="992" w:hanging="217"/>
      </w:pPr>
      <w:rPr>
        <w:rFonts w:hint="default"/>
        <w:lang w:val="en-GB" w:eastAsia="en-GB" w:bidi="en-GB"/>
      </w:rPr>
    </w:lvl>
    <w:lvl w:ilvl="5" w:tplc="788AE98C">
      <w:numFmt w:val="bullet"/>
      <w:lvlText w:val="•"/>
      <w:lvlJc w:val="left"/>
      <w:pPr>
        <w:ind w:left="1165" w:hanging="217"/>
      </w:pPr>
      <w:rPr>
        <w:rFonts w:hint="default"/>
        <w:lang w:val="en-GB" w:eastAsia="en-GB" w:bidi="en-GB"/>
      </w:rPr>
    </w:lvl>
    <w:lvl w:ilvl="6" w:tplc="43C8D3B0">
      <w:numFmt w:val="bullet"/>
      <w:lvlText w:val="•"/>
      <w:lvlJc w:val="left"/>
      <w:pPr>
        <w:ind w:left="1338" w:hanging="217"/>
      </w:pPr>
      <w:rPr>
        <w:rFonts w:hint="default"/>
        <w:lang w:val="en-GB" w:eastAsia="en-GB" w:bidi="en-GB"/>
      </w:rPr>
    </w:lvl>
    <w:lvl w:ilvl="7" w:tplc="96BAF6C8">
      <w:numFmt w:val="bullet"/>
      <w:lvlText w:val="•"/>
      <w:lvlJc w:val="left"/>
      <w:pPr>
        <w:ind w:left="1511" w:hanging="217"/>
      </w:pPr>
      <w:rPr>
        <w:rFonts w:hint="default"/>
        <w:lang w:val="en-GB" w:eastAsia="en-GB" w:bidi="en-GB"/>
      </w:rPr>
    </w:lvl>
    <w:lvl w:ilvl="8" w:tplc="DFC4E678">
      <w:numFmt w:val="bullet"/>
      <w:lvlText w:val="•"/>
      <w:lvlJc w:val="left"/>
      <w:pPr>
        <w:ind w:left="1684" w:hanging="217"/>
      </w:pPr>
      <w:rPr>
        <w:rFonts w:hint="default"/>
        <w:lang w:val="en-GB" w:eastAsia="en-GB" w:bidi="en-GB"/>
      </w:rPr>
    </w:lvl>
  </w:abstractNum>
  <w:abstractNum w:abstractNumId="1282" w15:restartNumberingAfterBreak="0">
    <w:nsid w:val="734C0494"/>
    <w:multiLevelType w:val="hybridMultilevel"/>
    <w:tmpl w:val="C1542E2E"/>
    <w:lvl w:ilvl="0" w:tplc="FFB6ACF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77A08E0">
      <w:numFmt w:val="bullet"/>
      <w:lvlText w:val="•"/>
      <w:lvlJc w:val="left"/>
      <w:pPr>
        <w:ind w:left="473" w:hanging="217"/>
      </w:pPr>
      <w:rPr>
        <w:rFonts w:hint="default"/>
        <w:lang w:val="en-GB" w:eastAsia="en-GB" w:bidi="en-GB"/>
      </w:rPr>
    </w:lvl>
    <w:lvl w:ilvl="2" w:tplc="D16CCD36">
      <w:numFmt w:val="bullet"/>
      <w:lvlText w:val="•"/>
      <w:lvlJc w:val="left"/>
      <w:pPr>
        <w:ind w:left="646" w:hanging="217"/>
      </w:pPr>
      <w:rPr>
        <w:rFonts w:hint="default"/>
        <w:lang w:val="en-GB" w:eastAsia="en-GB" w:bidi="en-GB"/>
      </w:rPr>
    </w:lvl>
    <w:lvl w:ilvl="3" w:tplc="45380692">
      <w:numFmt w:val="bullet"/>
      <w:lvlText w:val="•"/>
      <w:lvlJc w:val="left"/>
      <w:pPr>
        <w:ind w:left="819" w:hanging="217"/>
      </w:pPr>
      <w:rPr>
        <w:rFonts w:hint="default"/>
        <w:lang w:val="en-GB" w:eastAsia="en-GB" w:bidi="en-GB"/>
      </w:rPr>
    </w:lvl>
    <w:lvl w:ilvl="4" w:tplc="58121E36">
      <w:numFmt w:val="bullet"/>
      <w:lvlText w:val="•"/>
      <w:lvlJc w:val="left"/>
      <w:pPr>
        <w:ind w:left="992" w:hanging="217"/>
      </w:pPr>
      <w:rPr>
        <w:rFonts w:hint="default"/>
        <w:lang w:val="en-GB" w:eastAsia="en-GB" w:bidi="en-GB"/>
      </w:rPr>
    </w:lvl>
    <w:lvl w:ilvl="5" w:tplc="781417D8">
      <w:numFmt w:val="bullet"/>
      <w:lvlText w:val="•"/>
      <w:lvlJc w:val="left"/>
      <w:pPr>
        <w:ind w:left="1165" w:hanging="217"/>
      </w:pPr>
      <w:rPr>
        <w:rFonts w:hint="default"/>
        <w:lang w:val="en-GB" w:eastAsia="en-GB" w:bidi="en-GB"/>
      </w:rPr>
    </w:lvl>
    <w:lvl w:ilvl="6" w:tplc="1DDCFCB0">
      <w:numFmt w:val="bullet"/>
      <w:lvlText w:val="•"/>
      <w:lvlJc w:val="left"/>
      <w:pPr>
        <w:ind w:left="1338" w:hanging="217"/>
      </w:pPr>
      <w:rPr>
        <w:rFonts w:hint="default"/>
        <w:lang w:val="en-GB" w:eastAsia="en-GB" w:bidi="en-GB"/>
      </w:rPr>
    </w:lvl>
    <w:lvl w:ilvl="7" w:tplc="8D50DF30">
      <w:numFmt w:val="bullet"/>
      <w:lvlText w:val="•"/>
      <w:lvlJc w:val="left"/>
      <w:pPr>
        <w:ind w:left="1511" w:hanging="217"/>
      </w:pPr>
      <w:rPr>
        <w:rFonts w:hint="default"/>
        <w:lang w:val="en-GB" w:eastAsia="en-GB" w:bidi="en-GB"/>
      </w:rPr>
    </w:lvl>
    <w:lvl w:ilvl="8" w:tplc="B7F4B80E">
      <w:numFmt w:val="bullet"/>
      <w:lvlText w:val="•"/>
      <w:lvlJc w:val="left"/>
      <w:pPr>
        <w:ind w:left="1684" w:hanging="217"/>
      </w:pPr>
      <w:rPr>
        <w:rFonts w:hint="default"/>
        <w:lang w:val="en-GB" w:eastAsia="en-GB" w:bidi="en-GB"/>
      </w:rPr>
    </w:lvl>
  </w:abstractNum>
  <w:abstractNum w:abstractNumId="1283" w15:restartNumberingAfterBreak="0">
    <w:nsid w:val="73653432"/>
    <w:multiLevelType w:val="hybridMultilevel"/>
    <w:tmpl w:val="32900478"/>
    <w:lvl w:ilvl="0" w:tplc="DD54A0E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D526658">
      <w:numFmt w:val="bullet"/>
      <w:lvlText w:val="•"/>
      <w:lvlJc w:val="left"/>
      <w:pPr>
        <w:ind w:left="892" w:hanging="217"/>
      </w:pPr>
      <w:rPr>
        <w:rFonts w:hint="default"/>
        <w:lang w:val="en-GB" w:eastAsia="en-GB" w:bidi="en-GB"/>
      </w:rPr>
    </w:lvl>
    <w:lvl w:ilvl="2" w:tplc="B0AC28B8">
      <w:numFmt w:val="bullet"/>
      <w:lvlText w:val="•"/>
      <w:lvlJc w:val="left"/>
      <w:pPr>
        <w:ind w:left="1485" w:hanging="217"/>
      </w:pPr>
      <w:rPr>
        <w:rFonts w:hint="default"/>
        <w:lang w:val="en-GB" w:eastAsia="en-GB" w:bidi="en-GB"/>
      </w:rPr>
    </w:lvl>
    <w:lvl w:ilvl="3" w:tplc="6166D970">
      <w:numFmt w:val="bullet"/>
      <w:lvlText w:val="•"/>
      <w:lvlJc w:val="left"/>
      <w:pPr>
        <w:ind w:left="2077" w:hanging="217"/>
      </w:pPr>
      <w:rPr>
        <w:rFonts w:hint="default"/>
        <w:lang w:val="en-GB" w:eastAsia="en-GB" w:bidi="en-GB"/>
      </w:rPr>
    </w:lvl>
    <w:lvl w:ilvl="4" w:tplc="344C93AE">
      <w:numFmt w:val="bullet"/>
      <w:lvlText w:val="•"/>
      <w:lvlJc w:val="left"/>
      <w:pPr>
        <w:ind w:left="2670" w:hanging="217"/>
      </w:pPr>
      <w:rPr>
        <w:rFonts w:hint="default"/>
        <w:lang w:val="en-GB" w:eastAsia="en-GB" w:bidi="en-GB"/>
      </w:rPr>
    </w:lvl>
    <w:lvl w:ilvl="5" w:tplc="F5426CA0">
      <w:numFmt w:val="bullet"/>
      <w:lvlText w:val="•"/>
      <w:lvlJc w:val="left"/>
      <w:pPr>
        <w:ind w:left="3263" w:hanging="217"/>
      </w:pPr>
      <w:rPr>
        <w:rFonts w:hint="default"/>
        <w:lang w:val="en-GB" w:eastAsia="en-GB" w:bidi="en-GB"/>
      </w:rPr>
    </w:lvl>
    <w:lvl w:ilvl="6" w:tplc="B888CC22">
      <w:numFmt w:val="bullet"/>
      <w:lvlText w:val="•"/>
      <w:lvlJc w:val="left"/>
      <w:pPr>
        <w:ind w:left="3855" w:hanging="217"/>
      </w:pPr>
      <w:rPr>
        <w:rFonts w:hint="default"/>
        <w:lang w:val="en-GB" w:eastAsia="en-GB" w:bidi="en-GB"/>
      </w:rPr>
    </w:lvl>
    <w:lvl w:ilvl="7" w:tplc="DC36889A">
      <w:numFmt w:val="bullet"/>
      <w:lvlText w:val="•"/>
      <w:lvlJc w:val="left"/>
      <w:pPr>
        <w:ind w:left="4448" w:hanging="217"/>
      </w:pPr>
      <w:rPr>
        <w:rFonts w:hint="default"/>
        <w:lang w:val="en-GB" w:eastAsia="en-GB" w:bidi="en-GB"/>
      </w:rPr>
    </w:lvl>
    <w:lvl w:ilvl="8" w:tplc="08028BD0">
      <w:numFmt w:val="bullet"/>
      <w:lvlText w:val="•"/>
      <w:lvlJc w:val="left"/>
      <w:pPr>
        <w:ind w:left="5040" w:hanging="217"/>
      </w:pPr>
      <w:rPr>
        <w:rFonts w:hint="default"/>
        <w:lang w:val="en-GB" w:eastAsia="en-GB" w:bidi="en-GB"/>
      </w:rPr>
    </w:lvl>
  </w:abstractNum>
  <w:abstractNum w:abstractNumId="1284" w15:restartNumberingAfterBreak="0">
    <w:nsid w:val="738217B2"/>
    <w:multiLevelType w:val="hybridMultilevel"/>
    <w:tmpl w:val="84CE6344"/>
    <w:lvl w:ilvl="0" w:tplc="AEE05A04">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9E883104">
      <w:numFmt w:val="bullet"/>
      <w:lvlText w:val="•"/>
      <w:lvlJc w:val="left"/>
      <w:pPr>
        <w:ind w:left="473" w:hanging="217"/>
      </w:pPr>
      <w:rPr>
        <w:rFonts w:hint="default"/>
        <w:lang w:val="en-GB" w:eastAsia="en-GB" w:bidi="en-GB"/>
      </w:rPr>
    </w:lvl>
    <w:lvl w:ilvl="2" w:tplc="E84E91E8">
      <w:numFmt w:val="bullet"/>
      <w:lvlText w:val="•"/>
      <w:lvlJc w:val="left"/>
      <w:pPr>
        <w:ind w:left="646" w:hanging="217"/>
      </w:pPr>
      <w:rPr>
        <w:rFonts w:hint="default"/>
        <w:lang w:val="en-GB" w:eastAsia="en-GB" w:bidi="en-GB"/>
      </w:rPr>
    </w:lvl>
    <w:lvl w:ilvl="3" w:tplc="FDA6931C">
      <w:numFmt w:val="bullet"/>
      <w:lvlText w:val="•"/>
      <w:lvlJc w:val="left"/>
      <w:pPr>
        <w:ind w:left="819" w:hanging="217"/>
      </w:pPr>
      <w:rPr>
        <w:rFonts w:hint="default"/>
        <w:lang w:val="en-GB" w:eastAsia="en-GB" w:bidi="en-GB"/>
      </w:rPr>
    </w:lvl>
    <w:lvl w:ilvl="4" w:tplc="36D4D1FE">
      <w:numFmt w:val="bullet"/>
      <w:lvlText w:val="•"/>
      <w:lvlJc w:val="left"/>
      <w:pPr>
        <w:ind w:left="992" w:hanging="217"/>
      </w:pPr>
      <w:rPr>
        <w:rFonts w:hint="default"/>
        <w:lang w:val="en-GB" w:eastAsia="en-GB" w:bidi="en-GB"/>
      </w:rPr>
    </w:lvl>
    <w:lvl w:ilvl="5" w:tplc="94749A3C">
      <w:numFmt w:val="bullet"/>
      <w:lvlText w:val="•"/>
      <w:lvlJc w:val="left"/>
      <w:pPr>
        <w:ind w:left="1165" w:hanging="217"/>
      </w:pPr>
      <w:rPr>
        <w:rFonts w:hint="default"/>
        <w:lang w:val="en-GB" w:eastAsia="en-GB" w:bidi="en-GB"/>
      </w:rPr>
    </w:lvl>
    <w:lvl w:ilvl="6" w:tplc="5F78FB42">
      <w:numFmt w:val="bullet"/>
      <w:lvlText w:val="•"/>
      <w:lvlJc w:val="left"/>
      <w:pPr>
        <w:ind w:left="1338" w:hanging="217"/>
      </w:pPr>
      <w:rPr>
        <w:rFonts w:hint="default"/>
        <w:lang w:val="en-GB" w:eastAsia="en-GB" w:bidi="en-GB"/>
      </w:rPr>
    </w:lvl>
    <w:lvl w:ilvl="7" w:tplc="C8E0EFD6">
      <w:numFmt w:val="bullet"/>
      <w:lvlText w:val="•"/>
      <w:lvlJc w:val="left"/>
      <w:pPr>
        <w:ind w:left="1511" w:hanging="217"/>
      </w:pPr>
      <w:rPr>
        <w:rFonts w:hint="default"/>
        <w:lang w:val="en-GB" w:eastAsia="en-GB" w:bidi="en-GB"/>
      </w:rPr>
    </w:lvl>
    <w:lvl w:ilvl="8" w:tplc="729EB018">
      <w:numFmt w:val="bullet"/>
      <w:lvlText w:val="•"/>
      <w:lvlJc w:val="left"/>
      <w:pPr>
        <w:ind w:left="1684" w:hanging="217"/>
      </w:pPr>
      <w:rPr>
        <w:rFonts w:hint="default"/>
        <w:lang w:val="en-GB" w:eastAsia="en-GB" w:bidi="en-GB"/>
      </w:rPr>
    </w:lvl>
  </w:abstractNum>
  <w:abstractNum w:abstractNumId="1285" w15:restartNumberingAfterBreak="0">
    <w:nsid w:val="738A56FE"/>
    <w:multiLevelType w:val="multilevel"/>
    <w:tmpl w:val="DBE6B988"/>
    <w:lvl w:ilvl="0">
      <w:start w:val="1"/>
      <w:numFmt w:val="decimal"/>
      <w:lvlText w:val="%1"/>
      <w:lvlJc w:val="left"/>
      <w:pPr>
        <w:ind w:left="210" w:hanging="720"/>
      </w:pPr>
      <w:rPr>
        <w:rFonts w:hint="default"/>
        <w:lang w:val="en-GB" w:eastAsia="en-GB" w:bidi="en-GB"/>
      </w:rPr>
    </w:lvl>
    <w:lvl w:ilvl="1">
      <w:start w:val="3"/>
      <w:numFmt w:val="decimal"/>
      <w:lvlText w:val="%1.%2"/>
      <w:lvlJc w:val="left"/>
      <w:pPr>
        <w:ind w:left="210" w:hanging="720"/>
      </w:pPr>
      <w:rPr>
        <w:rFonts w:hint="default"/>
        <w:lang w:val="en-GB" w:eastAsia="en-GB" w:bidi="en-GB"/>
      </w:rPr>
    </w:lvl>
    <w:lvl w:ilvl="2">
      <w:start w:val="3"/>
      <w:numFmt w:val="decimal"/>
      <w:lvlText w:val="%1.%2.%3"/>
      <w:lvlJc w:val="left"/>
      <w:pPr>
        <w:ind w:left="210" w:hanging="720"/>
      </w:pPr>
      <w:rPr>
        <w:rFonts w:ascii="Arial" w:eastAsia="Arial" w:hAnsi="Arial" w:cs="Arial" w:hint="default"/>
        <w:b/>
        <w:bCs/>
        <w:color w:val="231F20"/>
        <w:spacing w:val="-14"/>
        <w:w w:val="100"/>
        <w:sz w:val="24"/>
        <w:szCs w:val="24"/>
        <w:lang w:val="en-GB" w:eastAsia="en-GB" w:bidi="en-GB"/>
      </w:rPr>
    </w:lvl>
    <w:lvl w:ilvl="3">
      <w:numFmt w:val="bullet"/>
      <w:lvlText w:val="•"/>
      <w:lvlJc w:val="left"/>
      <w:pPr>
        <w:ind w:left="3335" w:hanging="720"/>
      </w:pPr>
      <w:rPr>
        <w:rFonts w:hint="default"/>
        <w:lang w:val="en-GB" w:eastAsia="en-GB" w:bidi="en-GB"/>
      </w:rPr>
    </w:lvl>
    <w:lvl w:ilvl="4">
      <w:numFmt w:val="bullet"/>
      <w:lvlText w:val="•"/>
      <w:lvlJc w:val="left"/>
      <w:pPr>
        <w:ind w:left="4374" w:hanging="720"/>
      </w:pPr>
      <w:rPr>
        <w:rFonts w:hint="default"/>
        <w:lang w:val="en-GB" w:eastAsia="en-GB" w:bidi="en-GB"/>
      </w:rPr>
    </w:lvl>
    <w:lvl w:ilvl="5">
      <w:numFmt w:val="bullet"/>
      <w:lvlText w:val="•"/>
      <w:lvlJc w:val="left"/>
      <w:pPr>
        <w:ind w:left="5412" w:hanging="720"/>
      </w:pPr>
      <w:rPr>
        <w:rFonts w:hint="default"/>
        <w:lang w:val="en-GB" w:eastAsia="en-GB" w:bidi="en-GB"/>
      </w:rPr>
    </w:lvl>
    <w:lvl w:ilvl="6">
      <w:numFmt w:val="bullet"/>
      <w:lvlText w:val="•"/>
      <w:lvlJc w:val="left"/>
      <w:pPr>
        <w:ind w:left="6451" w:hanging="720"/>
      </w:pPr>
      <w:rPr>
        <w:rFonts w:hint="default"/>
        <w:lang w:val="en-GB" w:eastAsia="en-GB" w:bidi="en-GB"/>
      </w:rPr>
    </w:lvl>
    <w:lvl w:ilvl="7">
      <w:numFmt w:val="bullet"/>
      <w:lvlText w:val="•"/>
      <w:lvlJc w:val="left"/>
      <w:pPr>
        <w:ind w:left="7489" w:hanging="720"/>
      </w:pPr>
      <w:rPr>
        <w:rFonts w:hint="default"/>
        <w:lang w:val="en-GB" w:eastAsia="en-GB" w:bidi="en-GB"/>
      </w:rPr>
    </w:lvl>
    <w:lvl w:ilvl="8">
      <w:numFmt w:val="bullet"/>
      <w:lvlText w:val="•"/>
      <w:lvlJc w:val="left"/>
      <w:pPr>
        <w:ind w:left="8528" w:hanging="720"/>
      </w:pPr>
      <w:rPr>
        <w:rFonts w:hint="default"/>
        <w:lang w:val="en-GB" w:eastAsia="en-GB" w:bidi="en-GB"/>
      </w:rPr>
    </w:lvl>
  </w:abstractNum>
  <w:abstractNum w:abstractNumId="1286" w15:restartNumberingAfterBreak="0">
    <w:nsid w:val="739B44B2"/>
    <w:multiLevelType w:val="hybridMultilevel"/>
    <w:tmpl w:val="2362D5FC"/>
    <w:lvl w:ilvl="0" w:tplc="B0EAADF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8E63950">
      <w:numFmt w:val="bullet"/>
      <w:lvlText w:val="•"/>
      <w:lvlJc w:val="left"/>
      <w:pPr>
        <w:ind w:left="473" w:hanging="217"/>
      </w:pPr>
      <w:rPr>
        <w:rFonts w:hint="default"/>
        <w:lang w:val="en-GB" w:eastAsia="en-GB" w:bidi="en-GB"/>
      </w:rPr>
    </w:lvl>
    <w:lvl w:ilvl="2" w:tplc="1B063E78">
      <w:numFmt w:val="bullet"/>
      <w:lvlText w:val="•"/>
      <w:lvlJc w:val="left"/>
      <w:pPr>
        <w:ind w:left="646" w:hanging="217"/>
      </w:pPr>
      <w:rPr>
        <w:rFonts w:hint="default"/>
        <w:lang w:val="en-GB" w:eastAsia="en-GB" w:bidi="en-GB"/>
      </w:rPr>
    </w:lvl>
    <w:lvl w:ilvl="3" w:tplc="CBCA91C2">
      <w:numFmt w:val="bullet"/>
      <w:lvlText w:val="•"/>
      <w:lvlJc w:val="left"/>
      <w:pPr>
        <w:ind w:left="819" w:hanging="217"/>
      </w:pPr>
      <w:rPr>
        <w:rFonts w:hint="default"/>
        <w:lang w:val="en-GB" w:eastAsia="en-GB" w:bidi="en-GB"/>
      </w:rPr>
    </w:lvl>
    <w:lvl w:ilvl="4" w:tplc="39D2B876">
      <w:numFmt w:val="bullet"/>
      <w:lvlText w:val="•"/>
      <w:lvlJc w:val="left"/>
      <w:pPr>
        <w:ind w:left="992" w:hanging="217"/>
      </w:pPr>
      <w:rPr>
        <w:rFonts w:hint="default"/>
        <w:lang w:val="en-GB" w:eastAsia="en-GB" w:bidi="en-GB"/>
      </w:rPr>
    </w:lvl>
    <w:lvl w:ilvl="5" w:tplc="26D64EDE">
      <w:numFmt w:val="bullet"/>
      <w:lvlText w:val="•"/>
      <w:lvlJc w:val="left"/>
      <w:pPr>
        <w:ind w:left="1165" w:hanging="217"/>
      </w:pPr>
      <w:rPr>
        <w:rFonts w:hint="default"/>
        <w:lang w:val="en-GB" w:eastAsia="en-GB" w:bidi="en-GB"/>
      </w:rPr>
    </w:lvl>
    <w:lvl w:ilvl="6" w:tplc="ECF06142">
      <w:numFmt w:val="bullet"/>
      <w:lvlText w:val="•"/>
      <w:lvlJc w:val="left"/>
      <w:pPr>
        <w:ind w:left="1338" w:hanging="217"/>
      </w:pPr>
      <w:rPr>
        <w:rFonts w:hint="default"/>
        <w:lang w:val="en-GB" w:eastAsia="en-GB" w:bidi="en-GB"/>
      </w:rPr>
    </w:lvl>
    <w:lvl w:ilvl="7" w:tplc="B8BA599E">
      <w:numFmt w:val="bullet"/>
      <w:lvlText w:val="•"/>
      <w:lvlJc w:val="left"/>
      <w:pPr>
        <w:ind w:left="1511" w:hanging="217"/>
      </w:pPr>
      <w:rPr>
        <w:rFonts w:hint="default"/>
        <w:lang w:val="en-GB" w:eastAsia="en-GB" w:bidi="en-GB"/>
      </w:rPr>
    </w:lvl>
    <w:lvl w:ilvl="8" w:tplc="5C7C786E">
      <w:numFmt w:val="bullet"/>
      <w:lvlText w:val="•"/>
      <w:lvlJc w:val="left"/>
      <w:pPr>
        <w:ind w:left="1684" w:hanging="217"/>
      </w:pPr>
      <w:rPr>
        <w:rFonts w:hint="default"/>
        <w:lang w:val="en-GB" w:eastAsia="en-GB" w:bidi="en-GB"/>
      </w:rPr>
    </w:lvl>
  </w:abstractNum>
  <w:abstractNum w:abstractNumId="1287" w15:restartNumberingAfterBreak="0">
    <w:nsid w:val="73A252B8"/>
    <w:multiLevelType w:val="hybridMultilevel"/>
    <w:tmpl w:val="352680F2"/>
    <w:lvl w:ilvl="0" w:tplc="5998934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390F0B2">
      <w:numFmt w:val="bullet"/>
      <w:lvlText w:val="•"/>
      <w:lvlJc w:val="left"/>
      <w:pPr>
        <w:ind w:left="439" w:hanging="217"/>
      </w:pPr>
      <w:rPr>
        <w:rFonts w:hint="default"/>
        <w:lang w:val="en-GB" w:eastAsia="en-GB" w:bidi="en-GB"/>
      </w:rPr>
    </w:lvl>
    <w:lvl w:ilvl="2" w:tplc="6E227F46">
      <w:numFmt w:val="bullet"/>
      <w:lvlText w:val="•"/>
      <w:lvlJc w:val="left"/>
      <w:pPr>
        <w:ind w:left="578" w:hanging="217"/>
      </w:pPr>
      <w:rPr>
        <w:rFonts w:hint="default"/>
        <w:lang w:val="en-GB" w:eastAsia="en-GB" w:bidi="en-GB"/>
      </w:rPr>
    </w:lvl>
    <w:lvl w:ilvl="3" w:tplc="25243858">
      <w:numFmt w:val="bullet"/>
      <w:lvlText w:val="•"/>
      <w:lvlJc w:val="left"/>
      <w:pPr>
        <w:ind w:left="717" w:hanging="217"/>
      </w:pPr>
      <w:rPr>
        <w:rFonts w:hint="default"/>
        <w:lang w:val="en-GB" w:eastAsia="en-GB" w:bidi="en-GB"/>
      </w:rPr>
    </w:lvl>
    <w:lvl w:ilvl="4" w:tplc="0D0CD14C">
      <w:numFmt w:val="bullet"/>
      <w:lvlText w:val="•"/>
      <w:lvlJc w:val="left"/>
      <w:pPr>
        <w:ind w:left="856" w:hanging="217"/>
      </w:pPr>
      <w:rPr>
        <w:rFonts w:hint="default"/>
        <w:lang w:val="en-GB" w:eastAsia="en-GB" w:bidi="en-GB"/>
      </w:rPr>
    </w:lvl>
    <w:lvl w:ilvl="5" w:tplc="DFB01BCA">
      <w:numFmt w:val="bullet"/>
      <w:lvlText w:val="•"/>
      <w:lvlJc w:val="left"/>
      <w:pPr>
        <w:ind w:left="995" w:hanging="217"/>
      </w:pPr>
      <w:rPr>
        <w:rFonts w:hint="default"/>
        <w:lang w:val="en-GB" w:eastAsia="en-GB" w:bidi="en-GB"/>
      </w:rPr>
    </w:lvl>
    <w:lvl w:ilvl="6" w:tplc="58BEF680">
      <w:numFmt w:val="bullet"/>
      <w:lvlText w:val="•"/>
      <w:lvlJc w:val="left"/>
      <w:pPr>
        <w:ind w:left="1134" w:hanging="217"/>
      </w:pPr>
      <w:rPr>
        <w:rFonts w:hint="default"/>
        <w:lang w:val="en-GB" w:eastAsia="en-GB" w:bidi="en-GB"/>
      </w:rPr>
    </w:lvl>
    <w:lvl w:ilvl="7" w:tplc="2CEA550C">
      <w:numFmt w:val="bullet"/>
      <w:lvlText w:val="•"/>
      <w:lvlJc w:val="left"/>
      <w:pPr>
        <w:ind w:left="1273" w:hanging="217"/>
      </w:pPr>
      <w:rPr>
        <w:rFonts w:hint="default"/>
        <w:lang w:val="en-GB" w:eastAsia="en-GB" w:bidi="en-GB"/>
      </w:rPr>
    </w:lvl>
    <w:lvl w:ilvl="8" w:tplc="3906FBAE">
      <w:numFmt w:val="bullet"/>
      <w:lvlText w:val="•"/>
      <w:lvlJc w:val="left"/>
      <w:pPr>
        <w:ind w:left="1412" w:hanging="217"/>
      </w:pPr>
      <w:rPr>
        <w:rFonts w:hint="default"/>
        <w:lang w:val="en-GB" w:eastAsia="en-GB" w:bidi="en-GB"/>
      </w:rPr>
    </w:lvl>
  </w:abstractNum>
  <w:abstractNum w:abstractNumId="1288" w15:restartNumberingAfterBreak="0">
    <w:nsid w:val="73AE2528"/>
    <w:multiLevelType w:val="hybridMultilevel"/>
    <w:tmpl w:val="3F146E02"/>
    <w:lvl w:ilvl="0" w:tplc="B02AEE94">
      <w:numFmt w:val="bullet"/>
      <w:lvlText w:val="•"/>
      <w:lvlJc w:val="left"/>
      <w:pPr>
        <w:ind w:left="305" w:hanging="217"/>
      </w:pPr>
      <w:rPr>
        <w:rFonts w:ascii="Arial" w:eastAsia="Arial" w:hAnsi="Arial" w:cs="Arial" w:hint="default"/>
        <w:color w:val="231F20"/>
        <w:w w:val="102"/>
        <w:sz w:val="17"/>
        <w:szCs w:val="17"/>
        <w:lang w:val="en-GB" w:eastAsia="en-GB" w:bidi="en-GB"/>
      </w:rPr>
    </w:lvl>
    <w:lvl w:ilvl="1" w:tplc="3F38A058">
      <w:numFmt w:val="bullet"/>
      <w:lvlText w:val="•"/>
      <w:lvlJc w:val="left"/>
      <w:pPr>
        <w:ind w:left="892" w:hanging="217"/>
      </w:pPr>
      <w:rPr>
        <w:rFonts w:hint="default"/>
        <w:lang w:val="en-GB" w:eastAsia="en-GB" w:bidi="en-GB"/>
      </w:rPr>
    </w:lvl>
    <w:lvl w:ilvl="2" w:tplc="D214C304">
      <w:numFmt w:val="bullet"/>
      <w:lvlText w:val="•"/>
      <w:lvlJc w:val="left"/>
      <w:pPr>
        <w:ind w:left="1485" w:hanging="217"/>
      </w:pPr>
      <w:rPr>
        <w:rFonts w:hint="default"/>
        <w:lang w:val="en-GB" w:eastAsia="en-GB" w:bidi="en-GB"/>
      </w:rPr>
    </w:lvl>
    <w:lvl w:ilvl="3" w:tplc="1A36DBEA">
      <w:numFmt w:val="bullet"/>
      <w:lvlText w:val="•"/>
      <w:lvlJc w:val="left"/>
      <w:pPr>
        <w:ind w:left="2077" w:hanging="217"/>
      </w:pPr>
      <w:rPr>
        <w:rFonts w:hint="default"/>
        <w:lang w:val="en-GB" w:eastAsia="en-GB" w:bidi="en-GB"/>
      </w:rPr>
    </w:lvl>
    <w:lvl w:ilvl="4" w:tplc="59F8042C">
      <w:numFmt w:val="bullet"/>
      <w:lvlText w:val="•"/>
      <w:lvlJc w:val="left"/>
      <w:pPr>
        <w:ind w:left="2670" w:hanging="217"/>
      </w:pPr>
      <w:rPr>
        <w:rFonts w:hint="default"/>
        <w:lang w:val="en-GB" w:eastAsia="en-GB" w:bidi="en-GB"/>
      </w:rPr>
    </w:lvl>
    <w:lvl w:ilvl="5" w:tplc="711A4C7E">
      <w:numFmt w:val="bullet"/>
      <w:lvlText w:val="•"/>
      <w:lvlJc w:val="left"/>
      <w:pPr>
        <w:ind w:left="3263" w:hanging="217"/>
      </w:pPr>
      <w:rPr>
        <w:rFonts w:hint="default"/>
        <w:lang w:val="en-GB" w:eastAsia="en-GB" w:bidi="en-GB"/>
      </w:rPr>
    </w:lvl>
    <w:lvl w:ilvl="6" w:tplc="D1BE0D62">
      <w:numFmt w:val="bullet"/>
      <w:lvlText w:val="•"/>
      <w:lvlJc w:val="left"/>
      <w:pPr>
        <w:ind w:left="3855" w:hanging="217"/>
      </w:pPr>
      <w:rPr>
        <w:rFonts w:hint="default"/>
        <w:lang w:val="en-GB" w:eastAsia="en-GB" w:bidi="en-GB"/>
      </w:rPr>
    </w:lvl>
    <w:lvl w:ilvl="7" w:tplc="CB924740">
      <w:numFmt w:val="bullet"/>
      <w:lvlText w:val="•"/>
      <w:lvlJc w:val="left"/>
      <w:pPr>
        <w:ind w:left="4448" w:hanging="217"/>
      </w:pPr>
      <w:rPr>
        <w:rFonts w:hint="default"/>
        <w:lang w:val="en-GB" w:eastAsia="en-GB" w:bidi="en-GB"/>
      </w:rPr>
    </w:lvl>
    <w:lvl w:ilvl="8" w:tplc="B92099B6">
      <w:numFmt w:val="bullet"/>
      <w:lvlText w:val="•"/>
      <w:lvlJc w:val="left"/>
      <w:pPr>
        <w:ind w:left="5040" w:hanging="217"/>
      </w:pPr>
      <w:rPr>
        <w:rFonts w:hint="default"/>
        <w:lang w:val="en-GB" w:eastAsia="en-GB" w:bidi="en-GB"/>
      </w:rPr>
    </w:lvl>
  </w:abstractNum>
  <w:abstractNum w:abstractNumId="1289" w15:restartNumberingAfterBreak="0">
    <w:nsid w:val="73D054BB"/>
    <w:multiLevelType w:val="hybridMultilevel"/>
    <w:tmpl w:val="B0E00A22"/>
    <w:lvl w:ilvl="0" w:tplc="25A0DB9E">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F30003FA">
      <w:numFmt w:val="bullet"/>
      <w:lvlText w:val="•"/>
      <w:lvlJc w:val="left"/>
      <w:pPr>
        <w:ind w:left="467" w:hanging="217"/>
      </w:pPr>
      <w:rPr>
        <w:rFonts w:hint="default"/>
        <w:lang w:val="en-GB" w:eastAsia="en-GB" w:bidi="en-GB"/>
      </w:rPr>
    </w:lvl>
    <w:lvl w:ilvl="2" w:tplc="F6665B50">
      <w:numFmt w:val="bullet"/>
      <w:lvlText w:val="•"/>
      <w:lvlJc w:val="left"/>
      <w:pPr>
        <w:ind w:left="634" w:hanging="217"/>
      </w:pPr>
      <w:rPr>
        <w:rFonts w:hint="default"/>
        <w:lang w:val="en-GB" w:eastAsia="en-GB" w:bidi="en-GB"/>
      </w:rPr>
    </w:lvl>
    <w:lvl w:ilvl="3" w:tplc="5E7C1CC4">
      <w:numFmt w:val="bullet"/>
      <w:lvlText w:val="•"/>
      <w:lvlJc w:val="left"/>
      <w:pPr>
        <w:ind w:left="802" w:hanging="217"/>
      </w:pPr>
      <w:rPr>
        <w:rFonts w:hint="default"/>
        <w:lang w:val="en-GB" w:eastAsia="en-GB" w:bidi="en-GB"/>
      </w:rPr>
    </w:lvl>
    <w:lvl w:ilvl="4" w:tplc="DFE055F6">
      <w:numFmt w:val="bullet"/>
      <w:lvlText w:val="•"/>
      <w:lvlJc w:val="left"/>
      <w:pPr>
        <w:ind w:left="969" w:hanging="217"/>
      </w:pPr>
      <w:rPr>
        <w:rFonts w:hint="default"/>
        <w:lang w:val="en-GB" w:eastAsia="en-GB" w:bidi="en-GB"/>
      </w:rPr>
    </w:lvl>
    <w:lvl w:ilvl="5" w:tplc="39EC95F0">
      <w:numFmt w:val="bullet"/>
      <w:lvlText w:val="•"/>
      <w:lvlJc w:val="left"/>
      <w:pPr>
        <w:ind w:left="1137" w:hanging="217"/>
      </w:pPr>
      <w:rPr>
        <w:rFonts w:hint="default"/>
        <w:lang w:val="en-GB" w:eastAsia="en-GB" w:bidi="en-GB"/>
      </w:rPr>
    </w:lvl>
    <w:lvl w:ilvl="6" w:tplc="8A2073D0">
      <w:numFmt w:val="bullet"/>
      <w:lvlText w:val="•"/>
      <w:lvlJc w:val="left"/>
      <w:pPr>
        <w:ind w:left="1304" w:hanging="217"/>
      </w:pPr>
      <w:rPr>
        <w:rFonts w:hint="default"/>
        <w:lang w:val="en-GB" w:eastAsia="en-GB" w:bidi="en-GB"/>
      </w:rPr>
    </w:lvl>
    <w:lvl w:ilvl="7" w:tplc="81E47B80">
      <w:numFmt w:val="bullet"/>
      <w:lvlText w:val="•"/>
      <w:lvlJc w:val="left"/>
      <w:pPr>
        <w:ind w:left="1471" w:hanging="217"/>
      </w:pPr>
      <w:rPr>
        <w:rFonts w:hint="default"/>
        <w:lang w:val="en-GB" w:eastAsia="en-GB" w:bidi="en-GB"/>
      </w:rPr>
    </w:lvl>
    <w:lvl w:ilvl="8" w:tplc="6AB074D6">
      <w:numFmt w:val="bullet"/>
      <w:lvlText w:val="•"/>
      <w:lvlJc w:val="left"/>
      <w:pPr>
        <w:ind w:left="1639" w:hanging="217"/>
      </w:pPr>
      <w:rPr>
        <w:rFonts w:hint="default"/>
        <w:lang w:val="en-GB" w:eastAsia="en-GB" w:bidi="en-GB"/>
      </w:rPr>
    </w:lvl>
  </w:abstractNum>
  <w:abstractNum w:abstractNumId="1290" w15:restartNumberingAfterBreak="0">
    <w:nsid w:val="73D80541"/>
    <w:multiLevelType w:val="hybridMultilevel"/>
    <w:tmpl w:val="65388C6C"/>
    <w:lvl w:ilvl="0" w:tplc="AA924D8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908CD556">
      <w:numFmt w:val="bullet"/>
      <w:lvlText w:val="•"/>
      <w:lvlJc w:val="left"/>
      <w:pPr>
        <w:ind w:left="473" w:hanging="217"/>
      </w:pPr>
      <w:rPr>
        <w:rFonts w:hint="default"/>
        <w:lang w:val="en-GB" w:eastAsia="en-GB" w:bidi="en-GB"/>
      </w:rPr>
    </w:lvl>
    <w:lvl w:ilvl="2" w:tplc="C0F0458A">
      <w:numFmt w:val="bullet"/>
      <w:lvlText w:val="•"/>
      <w:lvlJc w:val="left"/>
      <w:pPr>
        <w:ind w:left="646" w:hanging="217"/>
      </w:pPr>
      <w:rPr>
        <w:rFonts w:hint="default"/>
        <w:lang w:val="en-GB" w:eastAsia="en-GB" w:bidi="en-GB"/>
      </w:rPr>
    </w:lvl>
    <w:lvl w:ilvl="3" w:tplc="1E32BE92">
      <w:numFmt w:val="bullet"/>
      <w:lvlText w:val="•"/>
      <w:lvlJc w:val="left"/>
      <w:pPr>
        <w:ind w:left="819" w:hanging="217"/>
      </w:pPr>
      <w:rPr>
        <w:rFonts w:hint="default"/>
        <w:lang w:val="en-GB" w:eastAsia="en-GB" w:bidi="en-GB"/>
      </w:rPr>
    </w:lvl>
    <w:lvl w:ilvl="4" w:tplc="7590AF06">
      <w:numFmt w:val="bullet"/>
      <w:lvlText w:val="•"/>
      <w:lvlJc w:val="left"/>
      <w:pPr>
        <w:ind w:left="992" w:hanging="217"/>
      </w:pPr>
      <w:rPr>
        <w:rFonts w:hint="default"/>
        <w:lang w:val="en-GB" w:eastAsia="en-GB" w:bidi="en-GB"/>
      </w:rPr>
    </w:lvl>
    <w:lvl w:ilvl="5" w:tplc="0060BD48">
      <w:numFmt w:val="bullet"/>
      <w:lvlText w:val="•"/>
      <w:lvlJc w:val="left"/>
      <w:pPr>
        <w:ind w:left="1165" w:hanging="217"/>
      </w:pPr>
      <w:rPr>
        <w:rFonts w:hint="default"/>
        <w:lang w:val="en-GB" w:eastAsia="en-GB" w:bidi="en-GB"/>
      </w:rPr>
    </w:lvl>
    <w:lvl w:ilvl="6" w:tplc="0672AE8C">
      <w:numFmt w:val="bullet"/>
      <w:lvlText w:val="•"/>
      <w:lvlJc w:val="left"/>
      <w:pPr>
        <w:ind w:left="1338" w:hanging="217"/>
      </w:pPr>
      <w:rPr>
        <w:rFonts w:hint="default"/>
        <w:lang w:val="en-GB" w:eastAsia="en-GB" w:bidi="en-GB"/>
      </w:rPr>
    </w:lvl>
    <w:lvl w:ilvl="7" w:tplc="A4A24DE2">
      <w:numFmt w:val="bullet"/>
      <w:lvlText w:val="•"/>
      <w:lvlJc w:val="left"/>
      <w:pPr>
        <w:ind w:left="1511" w:hanging="217"/>
      </w:pPr>
      <w:rPr>
        <w:rFonts w:hint="default"/>
        <w:lang w:val="en-GB" w:eastAsia="en-GB" w:bidi="en-GB"/>
      </w:rPr>
    </w:lvl>
    <w:lvl w:ilvl="8" w:tplc="5FACB6D4">
      <w:numFmt w:val="bullet"/>
      <w:lvlText w:val="•"/>
      <w:lvlJc w:val="left"/>
      <w:pPr>
        <w:ind w:left="1684" w:hanging="217"/>
      </w:pPr>
      <w:rPr>
        <w:rFonts w:hint="default"/>
        <w:lang w:val="en-GB" w:eastAsia="en-GB" w:bidi="en-GB"/>
      </w:rPr>
    </w:lvl>
  </w:abstractNum>
  <w:abstractNum w:abstractNumId="1291" w15:restartNumberingAfterBreak="0">
    <w:nsid w:val="73DE5AA2"/>
    <w:multiLevelType w:val="hybridMultilevel"/>
    <w:tmpl w:val="63D42460"/>
    <w:lvl w:ilvl="0" w:tplc="DF9E6E5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B2A64AA">
      <w:numFmt w:val="bullet"/>
      <w:lvlText w:val="•"/>
      <w:lvlJc w:val="left"/>
      <w:pPr>
        <w:ind w:left="473" w:hanging="217"/>
      </w:pPr>
      <w:rPr>
        <w:rFonts w:hint="default"/>
        <w:lang w:val="en-GB" w:eastAsia="en-GB" w:bidi="en-GB"/>
      </w:rPr>
    </w:lvl>
    <w:lvl w:ilvl="2" w:tplc="284AF21A">
      <w:numFmt w:val="bullet"/>
      <w:lvlText w:val="•"/>
      <w:lvlJc w:val="left"/>
      <w:pPr>
        <w:ind w:left="646" w:hanging="217"/>
      </w:pPr>
      <w:rPr>
        <w:rFonts w:hint="default"/>
        <w:lang w:val="en-GB" w:eastAsia="en-GB" w:bidi="en-GB"/>
      </w:rPr>
    </w:lvl>
    <w:lvl w:ilvl="3" w:tplc="96A84F86">
      <w:numFmt w:val="bullet"/>
      <w:lvlText w:val="•"/>
      <w:lvlJc w:val="left"/>
      <w:pPr>
        <w:ind w:left="819" w:hanging="217"/>
      </w:pPr>
      <w:rPr>
        <w:rFonts w:hint="default"/>
        <w:lang w:val="en-GB" w:eastAsia="en-GB" w:bidi="en-GB"/>
      </w:rPr>
    </w:lvl>
    <w:lvl w:ilvl="4" w:tplc="2396B05C">
      <w:numFmt w:val="bullet"/>
      <w:lvlText w:val="•"/>
      <w:lvlJc w:val="left"/>
      <w:pPr>
        <w:ind w:left="992" w:hanging="217"/>
      </w:pPr>
      <w:rPr>
        <w:rFonts w:hint="default"/>
        <w:lang w:val="en-GB" w:eastAsia="en-GB" w:bidi="en-GB"/>
      </w:rPr>
    </w:lvl>
    <w:lvl w:ilvl="5" w:tplc="3CF88846">
      <w:numFmt w:val="bullet"/>
      <w:lvlText w:val="•"/>
      <w:lvlJc w:val="left"/>
      <w:pPr>
        <w:ind w:left="1165" w:hanging="217"/>
      </w:pPr>
      <w:rPr>
        <w:rFonts w:hint="default"/>
        <w:lang w:val="en-GB" w:eastAsia="en-GB" w:bidi="en-GB"/>
      </w:rPr>
    </w:lvl>
    <w:lvl w:ilvl="6" w:tplc="4B78B9DA">
      <w:numFmt w:val="bullet"/>
      <w:lvlText w:val="•"/>
      <w:lvlJc w:val="left"/>
      <w:pPr>
        <w:ind w:left="1338" w:hanging="217"/>
      </w:pPr>
      <w:rPr>
        <w:rFonts w:hint="default"/>
        <w:lang w:val="en-GB" w:eastAsia="en-GB" w:bidi="en-GB"/>
      </w:rPr>
    </w:lvl>
    <w:lvl w:ilvl="7" w:tplc="5A2EFC08">
      <w:numFmt w:val="bullet"/>
      <w:lvlText w:val="•"/>
      <w:lvlJc w:val="left"/>
      <w:pPr>
        <w:ind w:left="1511" w:hanging="217"/>
      </w:pPr>
      <w:rPr>
        <w:rFonts w:hint="default"/>
        <w:lang w:val="en-GB" w:eastAsia="en-GB" w:bidi="en-GB"/>
      </w:rPr>
    </w:lvl>
    <w:lvl w:ilvl="8" w:tplc="7B6EBB10">
      <w:numFmt w:val="bullet"/>
      <w:lvlText w:val="•"/>
      <w:lvlJc w:val="left"/>
      <w:pPr>
        <w:ind w:left="1684" w:hanging="217"/>
      </w:pPr>
      <w:rPr>
        <w:rFonts w:hint="default"/>
        <w:lang w:val="en-GB" w:eastAsia="en-GB" w:bidi="en-GB"/>
      </w:rPr>
    </w:lvl>
  </w:abstractNum>
  <w:abstractNum w:abstractNumId="1292" w15:restartNumberingAfterBreak="0">
    <w:nsid w:val="73DE5FE1"/>
    <w:multiLevelType w:val="hybridMultilevel"/>
    <w:tmpl w:val="FA181228"/>
    <w:lvl w:ilvl="0" w:tplc="0FFA515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E8461C4">
      <w:numFmt w:val="bullet"/>
      <w:lvlText w:val="•"/>
      <w:lvlJc w:val="left"/>
      <w:pPr>
        <w:ind w:left="444" w:hanging="217"/>
      </w:pPr>
      <w:rPr>
        <w:rFonts w:hint="default"/>
        <w:lang w:val="en-GB" w:eastAsia="en-GB" w:bidi="en-GB"/>
      </w:rPr>
    </w:lvl>
    <w:lvl w:ilvl="2" w:tplc="19B6D6BA">
      <w:numFmt w:val="bullet"/>
      <w:lvlText w:val="•"/>
      <w:lvlJc w:val="left"/>
      <w:pPr>
        <w:ind w:left="589" w:hanging="217"/>
      </w:pPr>
      <w:rPr>
        <w:rFonts w:hint="default"/>
        <w:lang w:val="en-GB" w:eastAsia="en-GB" w:bidi="en-GB"/>
      </w:rPr>
    </w:lvl>
    <w:lvl w:ilvl="3" w:tplc="1CB4A1A8">
      <w:numFmt w:val="bullet"/>
      <w:lvlText w:val="•"/>
      <w:lvlJc w:val="left"/>
      <w:pPr>
        <w:ind w:left="734" w:hanging="217"/>
      </w:pPr>
      <w:rPr>
        <w:rFonts w:hint="default"/>
        <w:lang w:val="en-GB" w:eastAsia="en-GB" w:bidi="en-GB"/>
      </w:rPr>
    </w:lvl>
    <w:lvl w:ilvl="4" w:tplc="1456ABF0">
      <w:numFmt w:val="bullet"/>
      <w:lvlText w:val="•"/>
      <w:lvlJc w:val="left"/>
      <w:pPr>
        <w:ind w:left="878" w:hanging="217"/>
      </w:pPr>
      <w:rPr>
        <w:rFonts w:hint="default"/>
        <w:lang w:val="en-GB" w:eastAsia="en-GB" w:bidi="en-GB"/>
      </w:rPr>
    </w:lvl>
    <w:lvl w:ilvl="5" w:tplc="A224A878">
      <w:numFmt w:val="bullet"/>
      <w:lvlText w:val="•"/>
      <w:lvlJc w:val="left"/>
      <w:pPr>
        <w:ind w:left="1023" w:hanging="217"/>
      </w:pPr>
      <w:rPr>
        <w:rFonts w:hint="default"/>
        <w:lang w:val="en-GB" w:eastAsia="en-GB" w:bidi="en-GB"/>
      </w:rPr>
    </w:lvl>
    <w:lvl w:ilvl="6" w:tplc="B616E58A">
      <w:numFmt w:val="bullet"/>
      <w:lvlText w:val="•"/>
      <w:lvlJc w:val="left"/>
      <w:pPr>
        <w:ind w:left="1168" w:hanging="217"/>
      </w:pPr>
      <w:rPr>
        <w:rFonts w:hint="default"/>
        <w:lang w:val="en-GB" w:eastAsia="en-GB" w:bidi="en-GB"/>
      </w:rPr>
    </w:lvl>
    <w:lvl w:ilvl="7" w:tplc="9222C636">
      <w:numFmt w:val="bullet"/>
      <w:lvlText w:val="•"/>
      <w:lvlJc w:val="left"/>
      <w:pPr>
        <w:ind w:left="1312" w:hanging="217"/>
      </w:pPr>
      <w:rPr>
        <w:rFonts w:hint="default"/>
        <w:lang w:val="en-GB" w:eastAsia="en-GB" w:bidi="en-GB"/>
      </w:rPr>
    </w:lvl>
    <w:lvl w:ilvl="8" w:tplc="9E140628">
      <w:numFmt w:val="bullet"/>
      <w:lvlText w:val="•"/>
      <w:lvlJc w:val="left"/>
      <w:pPr>
        <w:ind w:left="1457" w:hanging="217"/>
      </w:pPr>
      <w:rPr>
        <w:rFonts w:hint="default"/>
        <w:lang w:val="en-GB" w:eastAsia="en-GB" w:bidi="en-GB"/>
      </w:rPr>
    </w:lvl>
  </w:abstractNum>
  <w:abstractNum w:abstractNumId="1293" w15:restartNumberingAfterBreak="0">
    <w:nsid w:val="73E44A42"/>
    <w:multiLevelType w:val="hybridMultilevel"/>
    <w:tmpl w:val="0D167D22"/>
    <w:lvl w:ilvl="0" w:tplc="EAB6DDD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D84658A">
      <w:numFmt w:val="bullet"/>
      <w:lvlText w:val="•"/>
      <w:lvlJc w:val="left"/>
      <w:pPr>
        <w:ind w:left="473" w:hanging="217"/>
      </w:pPr>
      <w:rPr>
        <w:rFonts w:hint="default"/>
        <w:lang w:val="en-GB" w:eastAsia="en-GB" w:bidi="en-GB"/>
      </w:rPr>
    </w:lvl>
    <w:lvl w:ilvl="2" w:tplc="FC225730">
      <w:numFmt w:val="bullet"/>
      <w:lvlText w:val="•"/>
      <w:lvlJc w:val="left"/>
      <w:pPr>
        <w:ind w:left="646" w:hanging="217"/>
      </w:pPr>
      <w:rPr>
        <w:rFonts w:hint="default"/>
        <w:lang w:val="en-GB" w:eastAsia="en-GB" w:bidi="en-GB"/>
      </w:rPr>
    </w:lvl>
    <w:lvl w:ilvl="3" w:tplc="1D34B20A">
      <w:numFmt w:val="bullet"/>
      <w:lvlText w:val="•"/>
      <w:lvlJc w:val="left"/>
      <w:pPr>
        <w:ind w:left="819" w:hanging="217"/>
      </w:pPr>
      <w:rPr>
        <w:rFonts w:hint="default"/>
        <w:lang w:val="en-GB" w:eastAsia="en-GB" w:bidi="en-GB"/>
      </w:rPr>
    </w:lvl>
    <w:lvl w:ilvl="4" w:tplc="B72EE7CA">
      <w:numFmt w:val="bullet"/>
      <w:lvlText w:val="•"/>
      <w:lvlJc w:val="left"/>
      <w:pPr>
        <w:ind w:left="992" w:hanging="217"/>
      </w:pPr>
      <w:rPr>
        <w:rFonts w:hint="default"/>
        <w:lang w:val="en-GB" w:eastAsia="en-GB" w:bidi="en-GB"/>
      </w:rPr>
    </w:lvl>
    <w:lvl w:ilvl="5" w:tplc="E9226126">
      <w:numFmt w:val="bullet"/>
      <w:lvlText w:val="•"/>
      <w:lvlJc w:val="left"/>
      <w:pPr>
        <w:ind w:left="1165" w:hanging="217"/>
      </w:pPr>
      <w:rPr>
        <w:rFonts w:hint="default"/>
        <w:lang w:val="en-GB" w:eastAsia="en-GB" w:bidi="en-GB"/>
      </w:rPr>
    </w:lvl>
    <w:lvl w:ilvl="6" w:tplc="776E514A">
      <w:numFmt w:val="bullet"/>
      <w:lvlText w:val="•"/>
      <w:lvlJc w:val="left"/>
      <w:pPr>
        <w:ind w:left="1338" w:hanging="217"/>
      </w:pPr>
      <w:rPr>
        <w:rFonts w:hint="default"/>
        <w:lang w:val="en-GB" w:eastAsia="en-GB" w:bidi="en-GB"/>
      </w:rPr>
    </w:lvl>
    <w:lvl w:ilvl="7" w:tplc="DA2C70D8">
      <w:numFmt w:val="bullet"/>
      <w:lvlText w:val="•"/>
      <w:lvlJc w:val="left"/>
      <w:pPr>
        <w:ind w:left="1511" w:hanging="217"/>
      </w:pPr>
      <w:rPr>
        <w:rFonts w:hint="default"/>
        <w:lang w:val="en-GB" w:eastAsia="en-GB" w:bidi="en-GB"/>
      </w:rPr>
    </w:lvl>
    <w:lvl w:ilvl="8" w:tplc="690EA44E">
      <w:numFmt w:val="bullet"/>
      <w:lvlText w:val="•"/>
      <w:lvlJc w:val="left"/>
      <w:pPr>
        <w:ind w:left="1684" w:hanging="217"/>
      </w:pPr>
      <w:rPr>
        <w:rFonts w:hint="default"/>
        <w:lang w:val="en-GB" w:eastAsia="en-GB" w:bidi="en-GB"/>
      </w:rPr>
    </w:lvl>
  </w:abstractNum>
  <w:abstractNum w:abstractNumId="1294" w15:restartNumberingAfterBreak="0">
    <w:nsid w:val="73F12676"/>
    <w:multiLevelType w:val="hybridMultilevel"/>
    <w:tmpl w:val="5CF48126"/>
    <w:lvl w:ilvl="0" w:tplc="FC9A412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B6077CE">
      <w:numFmt w:val="bullet"/>
      <w:lvlText w:val="•"/>
      <w:lvlJc w:val="left"/>
      <w:pPr>
        <w:ind w:left="473" w:hanging="217"/>
      </w:pPr>
      <w:rPr>
        <w:rFonts w:hint="default"/>
        <w:lang w:val="en-GB" w:eastAsia="en-GB" w:bidi="en-GB"/>
      </w:rPr>
    </w:lvl>
    <w:lvl w:ilvl="2" w:tplc="A30A386E">
      <w:numFmt w:val="bullet"/>
      <w:lvlText w:val="•"/>
      <w:lvlJc w:val="left"/>
      <w:pPr>
        <w:ind w:left="646" w:hanging="217"/>
      </w:pPr>
      <w:rPr>
        <w:rFonts w:hint="default"/>
        <w:lang w:val="en-GB" w:eastAsia="en-GB" w:bidi="en-GB"/>
      </w:rPr>
    </w:lvl>
    <w:lvl w:ilvl="3" w:tplc="1D14DC64">
      <w:numFmt w:val="bullet"/>
      <w:lvlText w:val="•"/>
      <w:lvlJc w:val="left"/>
      <w:pPr>
        <w:ind w:left="819" w:hanging="217"/>
      </w:pPr>
      <w:rPr>
        <w:rFonts w:hint="default"/>
        <w:lang w:val="en-GB" w:eastAsia="en-GB" w:bidi="en-GB"/>
      </w:rPr>
    </w:lvl>
    <w:lvl w:ilvl="4" w:tplc="872076CA">
      <w:numFmt w:val="bullet"/>
      <w:lvlText w:val="•"/>
      <w:lvlJc w:val="left"/>
      <w:pPr>
        <w:ind w:left="992" w:hanging="217"/>
      </w:pPr>
      <w:rPr>
        <w:rFonts w:hint="default"/>
        <w:lang w:val="en-GB" w:eastAsia="en-GB" w:bidi="en-GB"/>
      </w:rPr>
    </w:lvl>
    <w:lvl w:ilvl="5" w:tplc="C5F495E8">
      <w:numFmt w:val="bullet"/>
      <w:lvlText w:val="•"/>
      <w:lvlJc w:val="left"/>
      <w:pPr>
        <w:ind w:left="1165" w:hanging="217"/>
      </w:pPr>
      <w:rPr>
        <w:rFonts w:hint="default"/>
        <w:lang w:val="en-GB" w:eastAsia="en-GB" w:bidi="en-GB"/>
      </w:rPr>
    </w:lvl>
    <w:lvl w:ilvl="6" w:tplc="5E289D10">
      <w:numFmt w:val="bullet"/>
      <w:lvlText w:val="•"/>
      <w:lvlJc w:val="left"/>
      <w:pPr>
        <w:ind w:left="1338" w:hanging="217"/>
      </w:pPr>
      <w:rPr>
        <w:rFonts w:hint="default"/>
        <w:lang w:val="en-GB" w:eastAsia="en-GB" w:bidi="en-GB"/>
      </w:rPr>
    </w:lvl>
    <w:lvl w:ilvl="7" w:tplc="FE024CCE">
      <w:numFmt w:val="bullet"/>
      <w:lvlText w:val="•"/>
      <w:lvlJc w:val="left"/>
      <w:pPr>
        <w:ind w:left="1511" w:hanging="217"/>
      </w:pPr>
      <w:rPr>
        <w:rFonts w:hint="default"/>
        <w:lang w:val="en-GB" w:eastAsia="en-GB" w:bidi="en-GB"/>
      </w:rPr>
    </w:lvl>
    <w:lvl w:ilvl="8" w:tplc="123E18D8">
      <w:numFmt w:val="bullet"/>
      <w:lvlText w:val="•"/>
      <w:lvlJc w:val="left"/>
      <w:pPr>
        <w:ind w:left="1684" w:hanging="217"/>
      </w:pPr>
      <w:rPr>
        <w:rFonts w:hint="default"/>
        <w:lang w:val="en-GB" w:eastAsia="en-GB" w:bidi="en-GB"/>
      </w:rPr>
    </w:lvl>
  </w:abstractNum>
  <w:abstractNum w:abstractNumId="1295" w15:restartNumberingAfterBreak="0">
    <w:nsid w:val="740B1E9B"/>
    <w:multiLevelType w:val="hybridMultilevel"/>
    <w:tmpl w:val="95F680C4"/>
    <w:lvl w:ilvl="0" w:tplc="6CDA52D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3DECEEC">
      <w:numFmt w:val="bullet"/>
      <w:lvlText w:val="•"/>
      <w:lvlJc w:val="left"/>
      <w:pPr>
        <w:ind w:left="1061" w:hanging="217"/>
      </w:pPr>
      <w:rPr>
        <w:rFonts w:hint="default"/>
        <w:lang w:val="en-GB" w:eastAsia="en-GB" w:bidi="en-GB"/>
      </w:rPr>
    </w:lvl>
    <w:lvl w:ilvl="2" w:tplc="E6B44E24">
      <w:numFmt w:val="bullet"/>
      <w:lvlText w:val="•"/>
      <w:lvlJc w:val="left"/>
      <w:pPr>
        <w:ind w:left="1823" w:hanging="217"/>
      </w:pPr>
      <w:rPr>
        <w:rFonts w:hint="default"/>
        <w:lang w:val="en-GB" w:eastAsia="en-GB" w:bidi="en-GB"/>
      </w:rPr>
    </w:lvl>
    <w:lvl w:ilvl="3" w:tplc="2068A538">
      <w:numFmt w:val="bullet"/>
      <w:lvlText w:val="•"/>
      <w:lvlJc w:val="left"/>
      <w:pPr>
        <w:ind w:left="2585" w:hanging="217"/>
      </w:pPr>
      <w:rPr>
        <w:rFonts w:hint="default"/>
        <w:lang w:val="en-GB" w:eastAsia="en-GB" w:bidi="en-GB"/>
      </w:rPr>
    </w:lvl>
    <w:lvl w:ilvl="4" w:tplc="E610A62A">
      <w:numFmt w:val="bullet"/>
      <w:lvlText w:val="•"/>
      <w:lvlJc w:val="left"/>
      <w:pPr>
        <w:ind w:left="3346" w:hanging="217"/>
      </w:pPr>
      <w:rPr>
        <w:rFonts w:hint="default"/>
        <w:lang w:val="en-GB" w:eastAsia="en-GB" w:bidi="en-GB"/>
      </w:rPr>
    </w:lvl>
    <w:lvl w:ilvl="5" w:tplc="2F1A8348">
      <w:numFmt w:val="bullet"/>
      <w:lvlText w:val="•"/>
      <w:lvlJc w:val="left"/>
      <w:pPr>
        <w:ind w:left="4108" w:hanging="217"/>
      </w:pPr>
      <w:rPr>
        <w:rFonts w:hint="default"/>
        <w:lang w:val="en-GB" w:eastAsia="en-GB" w:bidi="en-GB"/>
      </w:rPr>
    </w:lvl>
    <w:lvl w:ilvl="6" w:tplc="C7E64540">
      <w:numFmt w:val="bullet"/>
      <w:lvlText w:val="•"/>
      <w:lvlJc w:val="left"/>
      <w:pPr>
        <w:ind w:left="4870" w:hanging="217"/>
      </w:pPr>
      <w:rPr>
        <w:rFonts w:hint="default"/>
        <w:lang w:val="en-GB" w:eastAsia="en-GB" w:bidi="en-GB"/>
      </w:rPr>
    </w:lvl>
    <w:lvl w:ilvl="7" w:tplc="0BD8AB12">
      <w:numFmt w:val="bullet"/>
      <w:lvlText w:val="•"/>
      <w:lvlJc w:val="left"/>
      <w:pPr>
        <w:ind w:left="5631" w:hanging="217"/>
      </w:pPr>
      <w:rPr>
        <w:rFonts w:hint="default"/>
        <w:lang w:val="en-GB" w:eastAsia="en-GB" w:bidi="en-GB"/>
      </w:rPr>
    </w:lvl>
    <w:lvl w:ilvl="8" w:tplc="5D0E66A0">
      <w:numFmt w:val="bullet"/>
      <w:lvlText w:val="•"/>
      <w:lvlJc w:val="left"/>
      <w:pPr>
        <w:ind w:left="6393" w:hanging="217"/>
      </w:pPr>
      <w:rPr>
        <w:rFonts w:hint="default"/>
        <w:lang w:val="en-GB" w:eastAsia="en-GB" w:bidi="en-GB"/>
      </w:rPr>
    </w:lvl>
  </w:abstractNum>
  <w:abstractNum w:abstractNumId="1296" w15:restartNumberingAfterBreak="0">
    <w:nsid w:val="740B2936"/>
    <w:multiLevelType w:val="hybridMultilevel"/>
    <w:tmpl w:val="8C564436"/>
    <w:lvl w:ilvl="0" w:tplc="2F04F94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142CA60">
      <w:numFmt w:val="bullet"/>
      <w:lvlText w:val="•"/>
      <w:lvlJc w:val="left"/>
      <w:pPr>
        <w:ind w:left="473" w:hanging="217"/>
      </w:pPr>
      <w:rPr>
        <w:rFonts w:hint="default"/>
        <w:lang w:val="en-GB" w:eastAsia="en-GB" w:bidi="en-GB"/>
      </w:rPr>
    </w:lvl>
    <w:lvl w:ilvl="2" w:tplc="469679C0">
      <w:numFmt w:val="bullet"/>
      <w:lvlText w:val="•"/>
      <w:lvlJc w:val="left"/>
      <w:pPr>
        <w:ind w:left="646" w:hanging="217"/>
      </w:pPr>
      <w:rPr>
        <w:rFonts w:hint="default"/>
        <w:lang w:val="en-GB" w:eastAsia="en-GB" w:bidi="en-GB"/>
      </w:rPr>
    </w:lvl>
    <w:lvl w:ilvl="3" w:tplc="3DEAA706">
      <w:numFmt w:val="bullet"/>
      <w:lvlText w:val="•"/>
      <w:lvlJc w:val="left"/>
      <w:pPr>
        <w:ind w:left="819" w:hanging="217"/>
      </w:pPr>
      <w:rPr>
        <w:rFonts w:hint="default"/>
        <w:lang w:val="en-GB" w:eastAsia="en-GB" w:bidi="en-GB"/>
      </w:rPr>
    </w:lvl>
    <w:lvl w:ilvl="4" w:tplc="3D041A90">
      <w:numFmt w:val="bullet"/>
      <w:lvlText w:val="•"/>
      <w:lvlJc w:val="left"/>
      <w:pPr>
        <w:ind w:left="992" w:hanging="217"/>
      </w:pPr>
      <w:rPr>
        <w:rFonts w:hint="default"/>
        <w:lang w:val="en-GB" w:eastAsia="en-GB" w:bidi="en-GB"/>
      </w:rPr>
    </w:lvl>
    <w:lvl w:ilvl="5" w:tplc="4D8C8788">
      <w:numFmt w:val="bullet"/>
      <w:lvlText w:val="•"/>
      <w:lvlJc w:val="left"/>
      <w:pPr>
        <w:ind w:left="1165" w:hanging="217"/>
      </w:pPr>
      <w:rPr>
        <w:rFonts w:hint="default"/>
        <w:lang w:val="en-GB" w:eastAsia="en-GB" w:bidi="en-GB"/>
      </w:rPr>
    </w:lvl>
    <w:lvl w:ilvl="6" w:tplc="04569A18">
      <w:numFmt w:val="bullet"/>
      <w:lvlText w:val="•"/>
      <w:lvlJc w:val="left"/>
      <w:pPr>
        <w:ind w:left="1338" w:hanging="217"/>
      </w:pPr>
      <w:rPr>
        <w:rFonts w:hint="default"/>
        <w:lang w:val="en-GB" w:eastAsia="en-GB" w:bidi="en-GB"/>
      </w:rPr>
    </w:lvl>
    <w:lvl w:ilvl="7" w:tplc="106C6EB4">
      <w:numFmt w:val="bullet"/>
      <w:lvlText w:val="•"/>
      <w:lvlJc w:val="left"/>
      <w:pPr>
        <w:ind w:left="1511" w:hanging="217"/>
      </w:pPr>
      <w:rPr>
        <w:rFonts w:hint="default"/>
        <w:lang w:val="en-GB" w:eastAsia="en-GB" w:bidi="en-GB"/>
      </w:rPr>
    </w:lvl>
    <w:lvl w:ilvl="8" w:tplc="5520171A">
      <w:numFmt w:val="bullet"/>
      <w:lvlText w:val="•"/>
      <w:lvlJc w:val="left"/>
      <w:pPr>
        <w:ind w:left="1684" w:hanging="217"/>
      </w:pPr>
      <w:rPr>
        <w:rFonts w:hint="default"/>
        <w:lang w:val="en-GB" w:eastAsia="en-GB" w:bidi="en-GB"/>
      </w:rPr>
    </w:lvl>
  </w:abstractNum>
  <w:abstractNum w:abstractNumId="1297" w15:restartNumberingAfterBreak="0">
    <w:nsid w:val="7413504B"/>
    <w:multiLevelType w:val="hybridMultilevel"/>
    <w:tmpl w:val="40044EEE"/>
    <w:lvl w:ilvl="0" w:tplc="99ACDD1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FC0C1F8">
      <w:numFmt w:val="bullet"/>
      <w:lvlText w:val="•"/>
      <w:lvlJc w:val="left"/>
      <w:pPr>
        <w:ind w:left="892" w:hanging="217"/>
      </w:pPr>
      <w:rPr>
        <w:rFonts w:hint="default"/>
        <w:lang w:val="en-GB" w:eastAsia="en-GB" w:bidi="en-GB"/>
      </w:rPr>
    </w:lvl>
    <w:lvl w:ilvl="2" w:tplc="F90A7B5E">
      <w:numFmt w:val="bullet"/>
      <w:lvlText w:val="•"/>
      <w:lvlJc w:val="left"/>
      <w:pPr>
        <w:ind w:left="1485" w:hanging="217"/>
      </w:pPr>
      <w:rPr>
        <w:rFonts w:hint="default"/>
        <w:lang w:val="en-GB" w:eastAsia="en-GB" w:bidi="en-GB"/>
      </w:rPr>
    </w:lvl>
    <w:lvl w:ilvl="3" w:tplc="570494D6">
      <w:numFmt w:val="bullet"/>
      <w:lvlText w:val="•"/>
      <w:lvlJc w:val="left"/>
      <w:pPr>
        <w:ind w:left="2077" w:hanging="217"/>
      </w:pPr>
      <w:rPr>
        <w:rFonts w:hint="default"/>
        <w:lang w:val="en-GB" w:eastAsia="en-GB" w:bidi="en-GB"/>
      </w:rPr>
    </w:lvl>
    <w:lvl w:ilvl="4" w:tplc="3B768076">
      <w:numFmt w:val="bullet"/>
      <w:lvlText w:val="•"/>
      <w:lvlJc w:val="left"/>
      <w:pPr>
        <w:ind w:left="2670" w:hanging="217"/>
      </w:pPr>
      <w:rPr>
        <w:rFonts w:hint="default"/>
        <w:lang w:val="en-GB" w:eastAsia="en-GB" w:bidi="en-GB"/>
      </w:rPr>
    </w:lvl>
    <w:lvl w:ilvl="5" w:tplc="AB94EAE4">
      <w:numFmt w:val="bullet"/>
      <w:lvlText w:val="•"/>
      <w:lvlJc w:val="left"/>
      <w:pPr>
        <w:ind w:left="3263" w:hanging="217"/>
      </w:pPr>
      <w:rPr>
        <w:rFonts w:hint="default"/>
        <w:lang w:val="en-GB" w:eastAsia="en-GB" w:bidi="en-GB"/>
      </w:rPr>
    </w:lvl>
    <w:lvl w:ilvl="6" w:tplc="E76A80A4">
      <w:numFmt w:val="bullet"/>
      <w:lvlText w:val="•"/>
      <w:lvlJc w:val="left"/>
      <w:pPr>
        <w:ind w:left="3855" w:hanging="217"/>
      </w:pPr>
      <w:rPr>
        <w:rFonts w:hint="default"/>
        <w:lang w:val="en-GB" w:eastAsia="en-GB" w:bidi="en-GB"/>
      </w:rPr>
    </w:lvl>
    <w:lvl w:ilvl="7" w:tplc="9FBEC65C">
      <w:numFmt w:val="bullet"/>
      <w:lvlText w:val="•"/>
      <w:lvlJc w:val="left"/>
      <w:pPr>
        <w:ind w:left="4448" w:hanging="217"/>
      </w:pPr>
      <w:rPr>
        <w:rFonts w:hint="default"/>
        <w:lang w:val="en-GB" w:eastAsia="en-GB" w:bidi="en-GB"/>
      </w:rPr>
    </w:lvl>
    <w:lvl w:ilvl="8" w:tplc="32D6AB28">
      <w:numFmt w:val="bullet"/>
      <w:lvlText w:val="•"/>
      <w:lvlJc w:val="left"/>
      <w:pPr>
        <w:ind w:left="5040" w:hanging="217"/>
      </w:pPr>
      <w:rPr>
        <w:rFonts w:hint="default"/>
        <w:lang w:val="en-GB" w:eastAsia="en-GB" w:bidi="en-GB"/>
      </w:rPr>
    </w:lvl>
  </w:abstractNum>
  <w:abstractNum w:abstractNumId="1298" w15:restartNumberingAfterBreak="0">
    <w:nsid w:val="742E5F7D"/>
    <w:multiLevelType w:val="hybridMultilevel"/>
    <w:tmpl w:val="103C2DC2"/>
    <w:lvl w:ilvl="0" w:tplc="BEF69B6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21E9ECC">
      <w:numFmt w:val="bullet"/>
      <w:lvlText w:val="•"/>
      <w:lvlJc w:val="left"/>
      <w:pPr>
        <w:ind w:left="473" w:hanging="217"/>
      </w:pPr>
      <w:rPr>
        <w:rFonts w:hint="default"/>
        <w:lang w:val="en-GB" w:eastAsia="en-GB" w:bidi="en-GB"/>
      </w:rPr>
    </w:lvl>
    <w:lvl w:ilvl="2" w:tplc="70363934">
      <w:numFmt w:val="bullet"/>
      <w:lvlText w:val="•"/>
      <w:lvlJc w:val="left"/>
      <w:pPr>
        <w:ind w:left="646" w:hanging="217"/>
      </w:pPr>
      <w:rPr>
        <w:rFonts w:hint="default"/>
        <w:lang w:val="en-GB" w:eastAsia="en-GB" w:bidi="en-GB"/>
      </w:rPr>
    </w:lvl>
    <w:lvl w:ilvl="3" w:tplc="CE400078">
      <w:numFmt w:val="bullet"/>
      <w:lvlText w:val="•"/>
      <w:lvlJc w:val="left"/>
      <w:pPr>
        <w:ind w:left="819" w:hanging="217"/>
      </w:pPr>
      <w:rPr>
        <w:rFonts w:hint="default"/>
        <w:lang w:val="en-GB" w:eastAsia="en-GB" w:bidi="en-GB"/>
      </w:rPr>
    </w:lvl>
    <w:lvl w:ilvl="4" w:tplc="48EA9B66">
      <w:numFmt w:val="bullet"/>
      <w:lvlText w:val="•"/>
      <w:lvlJc w:val="left"/>
      <w:pPr>
        <w:ind w:left="992" w:hanging="217"/>
      </w:pPr>
      <w:rPr>
        <w:rFonts w:hint="default"/>
        <w:lang w:val="en-GB" w:eastAsia="en-GB" w:bidi="en-GB"/>
      </w:rPr>
    </w:lvl>
    <w:lvl w:ilvl="5" w:tplc="04823122">
      <w:numFmt w:val="bullet"/>
      <w:lvlText w:val="•"/>
      <w:lvlJc w:val="left"/>
      <w:pPr>
        <w:ind w:left="1165" w:hanging="217"/>
      </w:pPr>
      <w:rPr>
        <w:rFonts w:hint="default"/>
        <w:lang w:val="en-GB" w:eastAsia="en-GB" w:bidi="en-GB"/>
      </w:rPr>
    </w:lvl>
    <w:lvl w:ilvl="6" w:tplc="6FAC91E4">
      <w:numFmt w:val="bullet"/>
      <w:lvlText w:val="•"/>
      <w:lvlJc w:val="left"/>
      <w:pPr>
        <w:ind w:left="1338" w:hanging="217"/>
      </w:pPr>
      <w:rPr>
        <w:rFonts w:hint="default"/>
        <w:lang w:val="en-GB" w:eastAsia="en-GB" w:bidi="en-GB"/>
      </w:rPr>
    </w:lvl>
    <w:lvl w:ilvl="7" w:tplc="6C6A784A">
      <w:numFmt w:val="bullet"/>
      <w:lvlText w:val="•"/>
      <w:lvlJc w:val="left"/>
      <w:pPr>
        <w:ind w:left="1511" w:hanging="217"/>
      </w:pPr>
      <w:rPr>
        <w:rFonts w:hint="default"/>
        <w:lang w:val="en-GB" w:eastAsia="en-GB" w:bidi="en-GB"/>
      </w:rPr>
    </w:lvl>
    <w:lvl w:ilvl="8" w:tplc="1E5AE1CC">
      <w:numFmt w:val="bullet"/>
      <w:lvlText w:val="•"/>
      <w:lvlJc w:val="left"/>
      <w:pPr>
        <w:ind w:left="1684" w:hanging="217"/>
      </w:pPr>
      <w:rPr>
        <w:rFonts w:hint="default"/>
        <w:lang w:val="en-GB" w:eastAsia="en-GB" w:bidi="en-GB"/>
      </w:rPr>
    </w:lvl>
  </w:abstractNum>
  <w:abstractNum w:abstractNumId="1299" w15:restartNumberingAfterBreak="0">
    <w:nsid w:val="743554DF"/>
    <w:multiLevelType w:val="hybridMultilevel"/>
    <w:tmpl w:val="49B2B3CC"/>
    <w:lvl w:ilvl="0" w:tplc="2F4E07F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E3690FA">
      <w:numFmt w:val="bullet"/>
      <w:lvlText w:val="•"/>
      <w:lvlJc w:val="left"/>
      <w:pPr>
        <w:ind w:left="439" w:hanging="217"/>
      </w:pPr>
      <w:rPr>
        <w:rFonts w:hint="default"/>
        <w:lang w:val="en-GB" w:eastAsia="en-GB" w:bidi="en-GB"/>
      </w:rPr>
    </w:lvl>
    <w:lvl w:ilvl="2" w:tplc="5E488E58">
      <w:numFmt w:val="bullet"/>
      <w:lvlText w:val="•"/>
      <w:lvlJc w:val="left"/>
      <w:pPr>
        <w:ind w:left="578" w:hanging="217"/>
      </w:pPr>
      <w:rPr>
        <w:rFonts w:hint="default"/>
        <w:lang w:val="en-GB" w:eastAsia="en-GB" w:bidi="en-GB"/>
      </w:rPr>
    </w:lvl>
    <w:lvl w:ilvl="3" w:tplc="2F4CCB62">
      <w:numFmt w:val="bullet"/>
      <w:lvlText w:val="•"/>
      <w:lvlJc w:val="left"/>
      <w:pPr>
        <w:ind w:left="717" w:hanging="217"/>
      </w:pPr>
      <w:rPr>
        <w:rFonts w:hint="default"/>
        <w:lang w:val="en-GB" w:eastAsia="en-GB" w:bidi="en-GB"/>
      </w:rPr>
    </w:lvl>
    <w:lvl w:ilvl="4" w:tplc="F6E688CA">
      <w:numFmt w:val="bullet"/>
      <w:lvlText w:val="•"/>
      <w:lvlJc w:val="left"/>
      <w:pPr>
        <w:ind w:left="856" w:hanging="217"/>
      </w:pPr>
      <w:rPr>
        <w:rFonts w:hint="default"/>
        <w:lang w:val="en-GB" w:eastAsia="en-GB" w:bidi="en-GB"/>
      </w:rPr>
    </w:lvl>
    <w:lvl w:ilvl="5" w:tplc="24C87C70">
      <w:numFmt w:val="bullet"/>
      <w:lvlText w:val="•"/>
      <w:lvlJc w:val="left"/>
      <w:pPr>
        <w:ind w:left="995" w:hanging="217"/>
      </w:pPr>
      <w:rPr>
        <w:rFonts w:hint="default"/>
        <w:lang w:val="en-GB" w:eastAsia="en-GB" w:bidi="en-GB"/>
      </w:rPr>
    </w:lvl>
    <w:lvl w:ilvl="6" w:tplc="79C027F4">
      <w:numFmt w:val="bullet"/>
      <w:lvlText w:val="•"/>
      <w:lvlJc w:val="left"/>
      <w:pPr>
        <w:ind w:left="1134" w:hanging="217"/>
      </w:pPr>
      <w:rPr>
        <w:rFonts w:hint="default"/>
        <w:lang w:val="en-GB" w:eastAsia="en-GB" w:bidi="en-GB"/>
      </w:rPr>
    </w:lvl>
    <w:lvl w:ilvl="7" w:tplc="30049728">
      <w:numFmt w:val="bullet"/>
      <w:lvlText w:val="•"/>
      <w:lvlJc w:val="left"/>
      <w:pPr>
        <w:ind w:left="1273" w:hanging="217"/>
      </w:pPr>
      <w:rPr>
        <w:rFonts w:hint="default"/>
        <w:lang w:val="en-GB" w:eastAsia="en-GB" w:bidi="en-GB"/>
      </w:rPr>
    </w:lvl>
    <w:lvl w:ilvl="8" w:tplc="6E425E9C">
      <w:numFmt w:val="bullet"/>
      <w:lvlText w:val="•"/>
      <w:lvlJc w:val="left"/>
      <w:pPr>
        <w:ind w:left="1412" w:hanging="217"/>
      </w:pPr>
      <w:rPr>
        <w:rFonts w:hint="default"/>
        <w:lang w:val="en-GB" w:eastAsia="en-GB" w:bidi="en-GB"/>
      </w:rPr>
    </w:lvl>
  </w:abstractNum>
  <w:abstractNum w:abstractNumId="1300" w15:restartNumberingAfterBreak="0">
    <w:nsid w:val="74470E20"/>
    <w:multiLevelType w:val="hybridMultilevel"/>
    <w:tmpl w:val="27AC513E"/>
    <w:lvl w:ilvl="0" w:tplc="27204E46">
      <w:numFmt w:val="bullet"/>
      <w:lvlText w:val="•"/>
      <w:lvlJc w:val="left"/>
      <w:pPr>
        <w:ind w:left="303" w:hanging="217"/>
      </w:pPr>
      <w:rPr>
        <w:rFonts w:ascii="Arial" w:eastAsia="Arial" w:hAnsi="Arial" w:cs="Arial" w:hint="default"/>
        <w:color w:val="231F20"/>
        <w:w w:val="102"/>
        <w:sz w:val="17"/>
        <w:szCs w:val="17"/>
        <w:lang w:val="en-GB" w:eastAsia="en-GB" w:bidi="en-GB"/>
      </w:rPr>
    </w:lvl>
    <w:lvl w:ilvl="1" w:tplc="45925EDC">
      <w:numFmt w:val="bullet"/>
      <w:lvlText w:val="•"/>
      <w:lvlJc w:val="left"/>
      <w:pPr>
        <w:ind w:left="439" w:hanging="217"/>
      </w:pPr>
      <w:rPr>
        <w:rFonts w:hint="default"/>
        <w:lang w:val="en-GB" w:eastAsia="en-GB" w:bidi="en-GB"/>
      </w:rPr>
    </w:lvl>
    <w:lvl w:ilvl="2" w:tplc="A9025770">
      <w:numFmt w:val="bullet"/>
      <w:lvlText w:val="•"/>
      <w:lvlJc w:val="left"/>
      <w:pPr>
        <w:ind w:left="578" w:hanging="217"/>
      </w:pPr>
      <w:rPr>
        <w:rFonts w:hint="default"/>
        <w:lang w:val="en-GB" w:eastAsia="en-GB" w:bidi="en-GB"/>
      </w:rPr>
    </w:lvl>
    <w:lvl w:ilvl="3" w:tplc="BE3A67D6">
      <w:numFmt w:val="bullet"/>
      <w:lvlText w:val="•"/>
      <w:lvlJc w:val="left"/>
      <w:pPr>
        <w:ind w:left="717" w:hanging="217"/>
      </w:pPr>
      <w:rPr>
        <w:rFonts w:hint="default"/>
        <w:lang w:val="en-GB" w:eastAsia="en-GB" w:bidi="en-GB"/>
      </w:rPr>
    </w:lvl>
    <w:lvl w:ilvl="4" w:tplc="1770898A">
      <w:numFmt w:val="bullet"/>
      <w:lvlText w:val="•"/>
      <w:lvlJc w:val="left"/>
      <w:pPr>
        <w:ind w:left="856" w:hanging="217"/>
      </w:pPr>
      <w:rPr>
        <w:rFonts w:hint="default"/>
        <w:lang w:val="en-GB" w:eastAsia="en-GB" w:bidi="en-GB"/>
      </w:rPr>
    </w:lvl>
    <w:lvl w:ilvl="5" w:tplc="EC32F288">
      <w:numFmt w:val="bullet"/>
      <w:lvlText w:val="•"/>
      <w:lvlJc w:val="left"/>
      <w:pPr>
        <w:ind w:left="995" w:hanging="217"/>
      </w:pPr>
      <w:rPr>
        <w:rFonts w:hint="default"/>
        <w:lang w:val="en-GB" w:eastAsia="en-GB" w:bidi="en-GB"/>
      </w:rPr>
    </w:lvl>
    <w:lvl w:ilvl="6" w:tplc="DBC46E1C">
      <w:numFmt w:val="bullet"/>
      <w:lvlText w:val="•"/>
      <w:lvlJc w:val="left"/>
      <w:pPr>
        <w:ind w:left="1134" w:hanging="217"/>
      </w:pPr>
      <w:rPr>
        <w:rFonts w:hint="default"/>
        <w:lang w:val="en-GB" w:eastAsia="en-GB" w:bidi="en-GB"/>
      </w:rPr>
    </w:lvl>
    <w:lvl w:ilvl="7" w:tplc="AD34424E">
      <w:numFmt w:val="bullet"/>
      <w:lvlText w:val="•"/>
      <w:lvlJc w:val="left"/>
      <w:pPr>
        <w:ind w:left="1273" w:hanging="217"/>
      </w:pPr>
      <w:rPr>
        <w:rFonts w:hint="default"/>
        <w:lang w:val="en-GB" w:eastAsia="en-GB" w:bidi="en-GB"/>
      </w:rPr>
    </w:lvl>
    <w:lvl w:ilvl="8" w:tplc="2FE24A96">
      <w:numFmt w:val="bullet"/>
      <w:lvlText w:val="•"/>
      <w:lvlJc w:val="left"/>
      <w:pPr>
        <w:ind w:left="1412" w:hanging="217"/>
      </w:pPr>
      <w:rPr>
        <w:rFonts w:hint="default"/>
        <w:lang w:val="en-GB" w:eastAsia="en-GB" w:bidi="en-GB"/>
      </w:rPr>
    </w:lvl>
  </w:abstractNum>
  <w:abstractNum w:abstractNumId="1301" w15:restartNumberingAfterBreak="0">
    <w:nsid w:val="744D08FF"/>
    <w:multiLevelType w:val="hybridMultilevel"/>
    <w:tmpl w:val="99224466"/>
    <w:lvl w:ilvl="0" w:tplc="68981E4C">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AA282A36">
      <w:numFmt w:val="bullet"/>
      <w:lvlText w:val="•"/>
      <w:lvlJc w:val="left"/>
      <w:pPr>
        <w:ind w:left="441" w:hanging="217"/>
      </w:pPr>
      <w:rPr>
        <w:rFonts w:hint="default"/>
        <w:lang w:val="en-GB" w:eastAsia="en-GB" w:bidi="en-GB"/>
      </w:rPr>
    </w:lvl>
    <w:lvl w:ilvl="2" w:tplc="BF4694E0">
      <w:numFmt w:val="bullet"/>
      <w:lvlText w:val="•"/>
      <w:lvlJc w:val="left"/>
      <w:pPr>
        <w:ind w:left="583" w:hanging="217"/>
      </w:pPr>
      <w:rPr>
        <w:rFonts w:hint="default"/>
        <w:lang w:val="en-GB" w:eastAsia="en-GB" w:bidi="en-GB"/>
      </w:rPr>
    </w:lvl>
    <w:lvl w:ilvl="3" w:tplc="CF88238C">
      <w:numFmt w:val="bullet"/>
      <w:lvlText w:val="•"/>
      <w:lvlJc w:val="left"/>
      <w:pPr>
        <w:ind w:left="725" w:hanging="217"/>
      </w:pPr>
      <w:rPr>
        <w:rFonts w:hint="default"/>
        <w:lang w:val="en-GB" w:eastAsia="en-GB" w:bidi="en-GB"/>
      </w:rPr>
    </w:lvl>
    <w:lvl w:ilvl="4" w:tplc="0B9CAA46">
      <w:numFmt w:val="bullet"/>
      <w:lvlText w:val="•"/>
      <w:lvlJc w:val="left"/>
      <w:pPr>
        <w:ind w:left="867" w:hanging="217"/>
      </w:pPr>
      <w:rPr>
        <w:rFonts w:hint="default"/>
        <w:lang w:val="en-GB" w:eastAsia="en-GB" w:bidi="en-GB"/>
      </w:rPr>
    </w:lvl>
    <w:lvl w:ilvl="5" w:tplc="D070D636">
      <w:numFmt w:val="bullet"/>
      <w:lvlText w:val="•"/>
      <w:lvlJc w:val="left"/>
      <w:pPr>
        <w:ind w:left="1009" w:hanging="217"/>
      </w:pPr>
      <w:rPr>
        <w:rFonts w:hint="default"/>
        <w:lang w:val="en-GB" w:eastAsia="en-GB" w:bidi="en-GB"/>
      </w:rPr>
    </w:lvl>
    <w:lvl w:ilvl="6" w:tplc="97B0E72C">
      <w:numFmt w:val="bullet"/>
      <w:lvlText w:val="•"/>
      <w:lvlJc w:val="left"/>
      <w:pPr>
        <w:ind w:left="1151" w:hanging="217"/>
      </w:pPr>
      <w:rPr>
        <w:rFonts w:hint="default"/>
        <w:lang w:val="en-GB" w:eastAsia="en-GB" w:bidi="en-GB"/>
      </w:rPr>
    </w:lvl>
    <w:lvl w:ilvl="7" w:tplc="1ACA0B62">
      <w:numFmt w:val="bullet"/>
      <w:lvlText w:val="•"/>
      <w:lvlJc w:val="left"/>
      <w:pPr>
        <w:ind w:left="1293" w:hanging="217"/>
      </w:pPr>
      <w:rPr>
        <w:rFonts w:hint="default"/>
        <w:lang w:val="en-GB" w:eastAsia="en-GB" w:bidi="en-GB"/>
      </w:rPr>
    </w:lvl>
    <w:lvl w:ilvl="8" w:tplc="32C8A358">
      <w:numFmt w:val="bullet"/>
      <w:lvlText w:val="•"/>
      <w:lvlJc w:val="left"/>
      <w:pPr>
        <w:ind w:left="1435" w:hanging="217"/>
      </w:pPr>
      <w:rPr>
        <w:rFonts w:hint="default"/>
        <w:lang w:val="en-GB" w:eastAsia="en-GB" w:bidi="en-GB"/>
      </w:rPr>
    </w:lvl>
  </w:abstractNum>
  <w:abstractNum w:abstractNumId="1302" w15:restartNumberingAfterBreak="0">
    <w:nsid w:val="744D6EBA"/>
    <w:multiLevelType w:val="hybridMultilevel"/>
    <w:tmpl w:val="56D2457C"/>
    <w:lvl w:ilvl="0" w:tplc="F9409EF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C504D046">
      <w:numFmt w:val="bullet"/>
      <w:lvlText w:val="•"/>
      <w:lvlJc w:val="left"/>
      <w:pPr>
        <w:ind w:left="892" w:hanging="217"/>
      </w:pPr>
      <w:rPr>
        <w:rFonts w:hint="default"/>
        <w:lang w:val="en-GB" w:eastAsia="en-GB" w:bidi="en-GB"/>
      </w:rPr>
    </w:lvl>
    <w:lvl w:ilvl="2" w:tplc="94E0F8C8">
      <w:numFmt w:val="bullet"/>
      <w:lvlText w:val="•"/>
      <w:lvlJc w:val="left"/>
      <w:pPr>
        <w:ind w:left="1485" w:hanging="217"/>
      </w:pPr>
      <w:rPr>
        <w:rFonts w:hint="default"/>
        <w:lang w:val="en-GB" w:eastAsia="en-GB" w:bidi="en-GB"/>
      </w:rPr>
    </w:lvl>
    <w:lvl w:ilvl="3" w:tplc="C0C868EA">
      <w:numFmt w:val="bullet"/>
      <w:lvlText w:val="•"/>
      <w:lvlJc w:val="left"/>
      <w:pPr>
        <w:ind w:left="2077" w:hanging="217"/>
      </w:pPr>
      <w:rPr>
        <w:rFonts w:hint="default"/>
        <w:lang w:val="en-GB" w:eastAsia="en-GB" w:bidi="en-GB"/>
      </w:rPr>
    </w:lvl>
    <w:lvl w:ilvl="4" w:tplc="4C0CB7B6">
      <w:numFmt w:val="bullet"/>
      <w:lvlText w:val="•"/>
      <w:lvlJc w:val="left"/>
      <w:pPr>
        <w:ind w:left="2670" w:hanging="217"/>
      </w:pPr>
      <w:rPr>
        <w:rFonts w:hint="default"/>
        <w:lang w:val="en-GB" w:eastAsia="en-GB" w:bidi="en-GB"/>
      </w:rPr>
    </w:lvl>
    <w:lvl w:ilvl="5" w:tplc="76481E84">
      <w:numFmt w:val="bullet"/>
      <w:lvlText w:val="•"/>
      <w:lvlJc w:val="left"/>
      <w:pPr>
        <w:ind w:left="3263" w:hanging="217"/>
      </w:pPr>
      <w:rPr>
        <w:rFonts w:hint="default"/>
        <w:lang w:val="en-GB" w:eastAsia="en-GB" w:bidi="en-GB"/>
      </w:rPr>
    </w:lvl>
    <w:lvl w:ilvl="6" w:tplc="1A1AA748">
      <w:numFmt w:val="bullet"/>
      <w:lvlText w:val="•"/>
      <w:lvlJc w:val="left"/>
      <w:pPr>
        <w:ind w:left="3855" w:hanging="217"/>
      </w:pPr>
      <w:rPr>
        <w:rFonts w:hint="default"/>
        <w:lang w:val="en-GB" w:eastAsia="en-GB" w:bidi="en-GB"/>
      </w:rPr>
    </w:lvl>
    <w:lvl w:ilvl="7" w:tplc="1C485D7C">
      <w:numFmt w:val="bullet"/>
      <w:lvlText w:val="•"/>
      <w:lvlJc w:val="left"/>
      <w:pPr>
        <w:ind w:left="4448" w:hanging="217"/>
      </w:pPr>
      <w:rPr>
        <w:rFonts w:hint="default"/>
        <w:lang w:val="en-GB" w:eastAsia="en-GB" w:bidi="en-GB"/>
      </w:rPr>
    </w:lvl>
    <w:lvl w:ilvl="8" w:tplc="ECD69364">
      <w:numFmt w:val="bullet"/>
      <w:lvlText w:val="•"/>
      <w:lvlJc w:val="left"/>
      <w:pPr>
        <w:ind w:left="5040" w:hanging="217"/>
      </w:pPr>
      <w:rPr>
        <w:rFonts w:hint="default"/>
        <w:lang w:val="en-GB" w:eastAsia="en-GB" w:bidi="en-GB"/>
      </w:rPr>
    </w:lvl>
  </w:abstractNum>
  <w:abstractNum w:abstractNumId="1303" w15:restartNumberingAfterBreak="0">
    <w:nsid w:val="74606A8B"/>
    <w:multiLevelType w:val="hybridMultilevel"/>
    <w:tmpl w:val="600AF96A"/>
    <w:lvl w:ilvl="0" w:tplc="15F6D6B4">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3DCAF0D0">
      <w:numFmt w:val="bullet"/>
      <w:lvlText w:val="•"/>
      <w:lvlJc w:val="left"/>
      <w:pPr>
        <w:ind w:left="544" w:hanging="217"/>
      </w:pPr>
      <w:rPr>
        <w:rFonts w:hint="default"/>
        <w:lang w:val="en-GB" w:eastAsia="en-GB" w:bidi="en-GB"/>
      </w:rPr>
    </w:lvl>
    <w:lvl w:ilvl="2" w:tplc="F0E65070">
      <w:numFmt w:val="bullet"/>
      <w:lvlText w:val="•"/>
      <w:lvlJc w:val="left"/>
      <w:pPr>
        <w:ind w:left="788" w:hanging="217"/>
      </w:pPr>
      <w:rPr>
        <w:rFonts w:hint="default"/>
        <w:lang w:val="en-GB" w:eastAsia="en-GB" w:bidi="en-GB"/>
      </w:rPr>
    </w:lvl>
    <w:lvl w:ilvl="3" w:tplc="4A2006A4">
      <w:numFmt w:val="bullet"/>
      <w:lvlText w:val="•"/>
      <w:lvlJc w:val="left"/>
      <w:pPr>
        <w:ind w:left="1032" w:hanging="217"/>
      </w:pPr>
      <w:rPr>
        <w:rFonts w:hint="default"/>
        <w:lang w:val="en-GB" w:eastAsia="en-GB" w:bidi="en-GB"/>
      </w:rPr>
    </w:lvl>
    <w:lvl w:ilvl="4" w:tplc="3C2E44B2">
      <w:numFmt w:val="bullet"/>
      <w:lvlText w:val="•"/>
      <w:lvlJc w:val="left"/>
      <w:pPr>
        <w:ind w:left="1276" w:hanging="217"/>
      </w:pPr>
      <w:rPr>
        <w:rFonts w:hint="default"/>
        <w:lang w:val="en-GB" w:eastAsia="en-GB" w:bidi="en-GB"/>
      </w:rPr>
    </w:lvl>
    <w:lvl w:ilvl="5" w:tplc="CE4CE60E">
      <w:numFmt w:val="bullet"/>
      <w:lvlText w:val="•"/>
      <w:lvlJc w:val="left"/>
      <w:pPr>
        <w:ind w:left="1520" w:hanging="217"/>
      </w:pPr>
      <w:rPr>
        <w:rFonts w:hint="default"/>
        <w:lang w:val="en-GB" w:eastAsia="en-GB" w:bidi="en-GB"/>
      </w:rPr>
    </w:lvl>
    <w:lvl w:ilvl="6" w:tplc="5FACA9D0">
      <w:numFmt w:val="bullet"/>
      <w:lvlText w:val="•"/>
      <w:lvlJc w:val="left"/>
      <w:pPr>
        <w:ind w:left="1764" w:hanging="217"/>
      </w:pPr>
      <w:rPr>
        <w:rFonts w:hint="default"/>
        <w:lang w:val="en-GB" w:eastAsia="en-GB" w:bidi="en-GB"/>
      </w:rPr>
    </w:lvl>
    <w:lvl w:ilvl="7" w:tplc="10A048AC">
      <w:numFmt w:val="bullet"/>
      <w:lvlText w:val="•"/>
      <w:lvlJc w:val="left"/>
      <w:pPr>
        <w:ind w:left="2008" w:hanging="217"/>
      </w:pPr>
      <w:rPr>
        <w:rFonts w:hint="default"/>
        <w:lang w:val="en-GB" w:eastAsia="en-GB" w:bidi="en-GB"/>
      </w:rPr>
    </w:lvl>
    <w:lvl w:ilvl="8" w:tplc="536A9832">
      <w:numFmt w:val="bullet"/>
      <w:lvlText w:val="•"/>
      <w:lvlJc w:val="left"/>
      <w:pPr>
        <w:ind w:left="2252" w:hanging="217"/>
      </w:pPr>
      <w:rPr>
        <w:rFonts w:hint="default"/>
        <w:lang w:val="en-GB" w:eastAsia="en-GB" w:bidi="en-GB"/>
      </w:rPr>
    </w:lvl>
  </w:abstractNum>
  <w:abstractNum w:abstractNumId="1304" w15:restartNumberingAfterBreak="0">
    <w:nsid w:val="74623477"/>
    <w:multiLevelType w:val="hybridMultilevel"/>
    <w:tmpl w:val="FE968B64"/>
    <w:lvl w:ilvl="0" w:tplc="045EFECA">
      <w:numFmt w:val="bullet"/>
      <w:lvlText w:val="•"/>
      <w:lvlJc w:val="left"/>
      <w:pPr>
        <w:ind w:left="305" w:hanging="217"/>
      </w:pPr>
      <w:rPr>
        <w:rFonts w:ascii="Arial" w:eastAsia="Arial" w:hAnsi="Arial" w:cs="Arial" w:hint="default"/>
        <w:color w:val="231F20"/>
        <w:spacing w:val="-3"/>
        <w:w w:val="100"/>
        <w:sz w:val="18"/>
        <w:szCs w:val="18"/>
        <w:lang w:val="en-GB" w:eastAsia="en-GB" w:bidi="en-GB"/>
      </w:rPr>
    </w:lvl>
    <w:lvl w:ilvl="1" w:tplc="379A6A80">
      <w:numFmt w:val="bullet"/>
      <w:lvlText w:val="•"/>
      <w:lvlJc w:val="left"/>
      <w:pPr>
        <w:ind w:left="441" w:hanging="217"/>
      </w:pPr>
      <w:rPr>
        <w:rFonts w:hint="default"/>
        <w:lang w:val="en-GB" w:eastAsia="en-GB" w:bidi="en-GB"/>
      </w:rPr>
    </w:lvl>
    <w:lvl w:ilvl="2" w:tplc="22FA207A">
      <w:numFmt w:val="bullet"/>
      <w:lvlText w:val="•"/>
      <w:lvlJc w:val="left"/>
      <w:pPr>
        <w:ind w:left="583" w:hanging="217"/>
      </w:pPr>
      <w:rPr>
        <w:rFonts w:hint="default"/>
        <w:lang w:val="en-GB" w:eastAsia="en-GB" w:bidi="en-GB"/>
      </w:rPr>
    </w:lvl>
    <w:lvl w:ilvl="3" w:tplc="51E8B218">
      <w:numFmt w:val="bullet"/>
      <w:lvlText w:val="•"/>
      <w:lvlJc w:val="left"/>
      <w:pPr>
        <w:ind w:left="725" w:hanging="217"/>
      </w:pPr>
      <w:rPr>
        <w:rFonts w:hint="default"/>
        <w:lang w:val="en-GB" w:eastAsia="en-GB" w:bidi="en-GB"/>
      </w:rPr>
    </w:lvl>
    <w:lvl w:ilvl="4" w:tplc="EBBC27C8">
      <w:numFmt w:val="bullet"/>
      <w:lvlText w:val="•"/>
      <w:lvlJc w:val="left"/>
      <w:pPr>
        <w:ind w:left="867" w:hanging="217"/>
      </w:pPr>
      <w:rPr>
        <w:rFonts w:hint="default"/>
        <w:lang w:val="en-GB" w:eastAsia="en-GB" w:bidi="en-GB"/>
      </w:rPr>
    </w:lvl>
    <w:lvl w:ilvl="5" w:tplc="6E702CBC">
      <w:numFmt w:val="bullet"/>
      <w:lvlText w:val="•"/>
      <w:lvlJc w:val="left"/>
      <w:pPr>
        <w:ind w:left="1009" w:hanging="217"/>
      </w:pPr>
      <w:rPr>
        <w:rFonts w:hint="default"/>
        <w:lang w:val="en-GB" w:eastAsia="en-GB" w:bidi="en-GB"/>
      </w:rPr>
    </w:lvl>
    <w:lvl w:ilvl="6" w:tplc="A308F3BA">
      <w:numFmt w:val="bullet"/>
      <w:lvlText w:val="•"/>
      <w:lvlJc w:val="left"/>
      <w:pPr>
        <w:ind w:left="1151" w:hanging="217"/>
      </w:pPr>
      <w:rPr>
        <w:rFonts w:hint="default"/>
        <w:lang w:val="en-GB" w:eastAsia="en-GB" w:bidi="en-GB"/>
      </w:rPr>
    </w:lvl>
    <w:lvl w:ilvl="7" w:tplc="EB688BA0">
      <w:numFmt w:val="bullet"/>
      <w:lvlText w:val="•"/>
      <w:lvlJc w:val="left"/>
      <w:pPr>
        <w:ind w:left="1293" w:hanging="217"/>
      </w:pPr>
      <w:rPr>
        <w:rFonts w:hint="default"/>
        <w:lang w:val="en-GB" w:eastAsia="en-GB" w:bidi="en-GB"/>
      </w:rPr>
    </w:lvl>
    <w:lvl w:ilvl="8" w:tplc="0F4E8F46">
      <w:numFmt w:val="bullet"/>
      <w:lvlText w:val="•"/>
      <w:lvlJc w:val="left"/>
      <w:pPr>
        <w:ind w:left="1435" w:hanging="217"/>
      </w:pPr>
      <w:rPr>
        <w:rFonts w:hint="default"/>
        <w:lang w:val="en-GB" w:eastAsia="en-GB" w:bidi="en-GB"/>
      </w:rPr>
    </w:lvl>
  </w:abstractNum>
  <w:abstractNum w:abstractNumId="1305" w15:restartNumberingAfterBreak="0">
    <w:nsid w:val="747E4789"/>
    <w:multiLevelType w:val="hybridMultilevel"/>
    <w:tmpl w:val="0EA40DE2"/>
    <w:lvl w:ilvl="0" w:tplc="F58ECEC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ECE413A">
      <w:numFmt w:val="bullet"/>
      <w:lvlText w:val="•"/>
      <w:lvlJc w:val="left"/>
      <w:pPr>
        <w:ind w:left="473" w:hanging="217"/>
      </w:pPr>
      <w:rPr>
        <w:rFonts w:hint="default"/>
        <w:lang w:val="en-GB" w:eastAsia="en-GB" w:bidi="en-GB"/>
      </w:rPr>
    </w:lvl>
    <w:lvl w:ilvl="2" w:tplc="B5B224D2">
      <w:numFmt w:val="bullet"/>
      <w:lvlText w:val="•"/>
      <w:lvlJc w:val="left"/>
      <w:pPr>
        <w:ind w:left="646" w:hanging="217"/>
      </w:pPr>
      <w:rPr>
        <w:rFonts w:hint="default"/>
        <w:lang w:val="en-GB" w:eastAsia="en-GB" w:bidi="en-GB"/>
      </w:rPr>
    </w:lvl>
    <w:lvl w:ilvl="3" w:tplc="058C15F2">
      <w:numFmt w:val="bullet"/>
      <w:lvlText w:val="•"/>
      <w:lvlJc w:val="left"/>
      <w:pPr>
        <w:ind w:left="819" w:hanging="217"/>
      </w:pPr>
      <w:rPr>
        <w:rFonts w:hint="default"/>
        <w:lang w:val="en-GB" w:eastAsia="en-GB" w:bidi="en-GB"/>
      </w:rPr>
    </w:lvl>
    <w:lvl w:ilvl="4" w:tplc="41F47824">
      <w:numFmt w:val="bullet"/>
      <w:lvlText w:val="•"/>
      <w:lvlJc w:val="left"/>
      <w:pPr>
        <w:ind w:left="992" w:hanging="217"/>
      </w:pPr>
      <w:rPr>
        <w:rFonts w:hint="default"/>
        <w:lang w:val="en-GB" w:eastAsia="en-GB" w:bidi="en-GB"/>
      </w:rPr>
    </w:lvl>
    <w:lvl w:ilvl="5" w:tplc="63C01FE4">
      <w:numFmt w:val="bullet"/>
      <w:lvlText w:val="•"/>
      <w:lvlJc w:val="left"/>
      <w:pPr>
        <w:ind w:left="1165" w:hanging="217"/>
      </w:pPr>
      <w:rPr>
        <w:rFonts w:hint="default"/>
        <w:lang w:val="en-GB" w:eastAsia="en-GB" w:bidi="en-GB"/>
      </w:rPr>
    </w:lvl>
    <w:lvl w:ilvl="6" w:tplc="D5BE8386">
      <w:numFmt w:val="bullet"/>
      <w:lvlText w:val="•"/>
      <w:lvlJc w:val="left"/>
      <w:pPr>
        <w:ind w:left="1338" w:hanging="217"/>
      </w:pPr>
      <w:rPr>
        <w:rFonts w:hint="default"/>
        <w:lang w:val="en-GB" w:eastAsia="en-GB" w:bidi="en-GB"/>
      </w:rPr>
    </w:lvl>
    <w:lvl w:ilvl="7" w:tplc="0D92D602">
      <w:numFmt w:val="bullet"/>
      <w:lvlText w:val="•"/>
      <w:lvlJc w:val="left"/>
      <w:pPr>
        <w:ind w:left="1511" w:hanging="217"/>
      </w:pPr>
      <w:rPr>
        <w:rFonts w:hint="default"/>
        <w:lang w:val="en-GB" w:eastAsia="en-GB" w:bidi="en-GB"/>
      </w:rPr>
    </w:lvl>
    <w:lvl w:ilvl="8" w:tplc="A2CCE076">
      <w:numFmt w:val="bullet"/>
      <w:lvlText w:val="•"/>
      <w:lvlJc w:val="left"/>
      <w:pPr>
        <w:ind w:left="1684" w:hanging="217"/>
      </w:pPr>
      <w:rPr>
        <w:rFonts w:hint="default"/>
        <w:lang w:val="en-GB" w:eastAsia="en-GB" w:bidi="en-GB"/>
      </w:rPr>
    </w:lvl>
  </w:abstractNum>
  <w:abstractNum w:abstractNumId="1306" w15:restartNumberingAfterBreak="0">
    <w:nsid w:val="74A65DCE"/>
    <w:multiLevelType w:val="hybridMultilevel"/>
    <w:tmpl w:val="017665F0"/>
    <w:lvl w:ilvl="0" w:tplc="1F2E747E">
      <w:numFmt w:val="bullet"/>
      <w:lvlText w:val="•"/>
      <w:lvlJc w:val="left"/>
      <w:pPr>
        <w:ind w:left="304" w:hanging="217"/>
      </w:pPr>
      <w:rPr>
        <w:rFonts w:ascii="Arial" w:eastAsia="Arial" w:hAnsi="Arial" w:cs="Arial" w:hint="default"/>
        <w:color w:val="231F20"/>
        <w:spacing w:val="-2"/>
        <w:w w:val="100"/>
        <w:sz w:val="18"/>
        <w:szCs w:val="18"/>
        <w:lang w:val="en-GB" w:eastAsia="en-GB" w:bidi="en-GB"/>
      </w:rPr>
    </w:lvl>
    <w:lvl w:ilvl="1" w:tplc="77BE54B2">
      <w:numFmt w:val="bullet"/>
      <w:lvlText w:val="•"/>
      <w:lvlJc w:val="left"/>
      <w:pPr>
        <w:ind w:left="473" w:hanging="217"/>
      </w:pPr>
      <w:rPr>
        <w:rFonts w:hint="default"/>
        <w:lang w:val="en-GB" w:eastAsia="en-GB" w:bidi="en-GB"/>
      </w:rPr>
    </w:lvl>
    <w:lvl w:ilvl="2" w:tplc="8B48C18E">
      <w:numFmt w:val="bullet"/>
      <w:lvlText w:val="•"/>
      <w:lvlJc w:val="left"/>
      <w:pPr>
        <w:ind w:left="646" w:hanging="217"/>
      </w:pPr>
      <w:rPr>
        <w:rFonts w:hint="default"/>
        <w:lang w:val="en-GB" w:eastAsia="en-GB" w:bidi="en-GB"/>
      </w:rPr>
    </w:lvl>
    <w:lvl w:ilvl="3" w:tplc="FFE483A6">
      <w:numFmt w:val="bullet"/>
      <w:lvlText w:val="•"/>
      <w:lvlJc w:val="left"/>
      <w:pPr>
        <w:ind w:left="819" w:hanging="217"/>
      </w:pPr>
      <w:rPr>
        <w:rFonts w:hint="default"/>
        <w:lang w:val="en-GB" w:eastAsia="en-GB" w:bidi="en-GB"/>
      </w:rPr>
    </w:lvl>
    <w:lvl w:ilvl="4" w:tplc="1C5E987C">
      <w:numFmt w:val="bullet"/>
      <w:lvlText w:val="•"/>
      <w:lvlJc w:val="left"/>
      <w:pPr>
        <w:ind w:left="992" w:hanging="217"/>
      </w:pPr>
      <w:rPr>
        <w:rFonts w:hint="default"/>
        <w:lang w:val="en-GB" w:eastAsia="en-GB" w:bidi="en-GB"/>
      </w:rPr>
    </w:lvl>
    <w:lvl w:ilvl="5" w:tplc="7C10F950">
      <w:numFmt w:val="bullet"/>
      <w:lvlText w:val="•"/>
      <w:lvlJc w:val="left"/>
      <w:pPr>
        <w:ind w:left="1165" w:hanging="217"/>
      </w:pPr>
      <w:rPr>
        <w:rFonts w:hint="default"/>
        <w:lang w:val="en-GB" w:eastAsia="en-GB" w:bidi="en-GB"/>
      </w:rPr>
    </w:lvl>
    <w:lvl w:ilvl="6" w:tplc="0C102596">
      <w:numFmt w:val="bullet"/>
      <w:lvlText w:val="•"/>
      <w:lvlJc w:val="left"/>
      <w:pPr>
        <w:ind w:left="1338" w:hanging="217"/>
      </w:pPr>
      <w:rPr>
        <w:rFonts w:hint="default"/>
        <w:lang w:val="en-GB" w:eastAsia="en-GB" w:bidi="en-GB"/>
      </w:rPr>
    </w:lvl>
    <w:lvl w:ilvl="7" w:tplc="5DB44C44">
      <w:numFmt w:val="bullet"/>
      <w:lvlText w:val="•"/>
      <w:lvlJc w:val="left"/>
      <w:pPr>
        <w:ind w:left="1511" w:hanging="217"/>
      </w:pPr>
      <w:rPr>
        <w:rFonts w:hint="default"/>
        <w:lang w:val="en-GB" w:eastAsia="en-GB" w:bidi="en-GB"/>
      </w:rPr>
    </w:lvl>
    <w:lvl w:ilvl="8" w:tplc="2CA4F1B4">
      <w:numFmt w:val="bullet"/>
      <w:lvlText w:val="•"/>
      <w:lvlJc w:val="left"/>
      <w:pPr>
        <w:ind w:left="1684" w:hanging="217"/>
      </w:pPr>
      <w:rPr>
        <w:rFonts w:hint="default"/>
        <w:lang w:val="en-GB" w:eastAsia="en-GB" w:bidi="en-GB"/>
      </w:rPr>
    </w:lvl>
  </w:abstractNum>
  <w:abstractNum w:abstractNumId="1307" w15:restartNumberingAfterBreak="0">
    <w:nsid w:val="74AE7C64"/>
    <w:multiLevelType w:val="hybridMultilevel"/>
    <w:tmpl w:val="9AFC3726"/>
    <w:lvl w:ilvl="0" w:tplc="2C7E358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83E7928">
      <w:numFmt w:val="bullet"/>
      <w:lvlText w:val="•"/>
      <w:lvlJc w:val="left"/>
      <w:pPr>
        <w:ind w:left="1061" w:hanging="217"/>
      </w:pPr>
      <w:rPr>
        <w:rFonts w:hint="default"/>
        <w:lang w:val="en-GB" w:eastAsia="en-GB" w:bidi="en-GB"/>
      </w:rPr>
    </w:lvl>
    <w:lvl w:ilvl="2" w:tplc="9272CB2A">
      <w:numFmt w:val="bullet"/>
      <w:lvlText w:val="•"/>
      <w:lvlJc w:val="left"/>
      <w:pPr>
        <w:ind w:left="1823" w:hanging="217"/>
      </w:pPr>
      <w:rPr>
        <w:rFonts w:hint="default"/>
        <w:lang w:val="en-GB" w:eastAsia="en-GB" w:bidi="en-GB"/>
      </w:rPr>
    </w:lvl>
    <w:lvl w:ilvl="3" w:tplc="BE065D8A">
      <w:numFmt w:val="bullet"/>
      <w:lvlText w:val="•"/>
      <w:lvlJc w:val="left"/>
      <w:pPr>
        <w:ind w:left="2585" w:hanging="217"/>
      </w:pPr>
      <w:rPr>
        <w:rFonts w:hint="default"/>
        <w:lang w:val="en-GB" w:eastAsia="en-GB" w:bidi="en-GB"/>
      </w:rPr>
    </w:lvl>
    <w:lvl w:ilvl="4" w:tplc="FB7C7AE0">
      <w:numFmt w:val="bullet"/>
      <w:lvlText w:val="•"/>
      <w:lvlJc w:val="left"/>
      <w:pPr>
        <w:ind w:left="3346" w:hanging="217"/>
      </w:pPr>
      <w:rPr>
        <w:rFonts w:hint="default"/>
        <w:lang w:val="en-GB" w:eastAsia="en-GB" w:bidi="en-GB"/>
      </w:rPr>
    </w:lvl>
    <w:lvl w:ilvl="5" w:tplc="7B201F52">
      <w:numFmt w:val="bullet"/>
      <w:lvlText w:val="•"/>
      <w:lvlJc w:val="left"/>
      <w:pPr>
        <w:ind w:left="4108" w:hanging="217"/>
      </w:pPr>
      <w:rPr>
        <w:rFonts w:hint="default"/>
        <w:lang w:val="en-GB" w:eastAsia="en-GB" w:bidi="en-GB"/>
      </w:rPr>
    </w:lvl>
    <w:lvl w:ilvl="6" w:tplc="F57AFEC6">
      <w:numFmt w:val="bullet"/>
      <w:lvlText w:val="•"/>
      <w:lvlJc w:val="left"/>
      <w:pPr>
        <w:ind w:left="4870" w:hanging="217"/>
      </w:pPr>
      <w:rPr>
        <w:rFonts w:hint="default"/>
        <w:lang w:val="en-GB" w:eastAsia="en-GB" w:bidi="en-GB"/>
      </w:rPr>
    </w:lvl>
    <w:lvl w:ilvl="7" w:tplc="959AAA40">
      <w:numFmt w:val="bullet"/>
      <w:lvlText w:val="•"/>
      <w:lvlJc w:val="left"/>
      <w:pPr>
        <w:ind w:left="5631" w:hanging="217"/>
      </w:pPr>
      <w:rPr>
        <w:rFonts w:hint="default"/>
        <w:lang w:val="en-GB" w:eastAsia="en-GB" w:bidi="en-GB"/>
      </w:rPr>
    </w:lvl>
    <w:lvl w:ilvl="8" w:tplc="E446CC98">
      <w:numFmt w:val="bullet"/>
      <w:lvlText w:val="•"/>
      <w:lvlJc w:val="left"/>
      <w:pPr>
        <w:ind w:left="6393" w:hanging="217"/>
      </w:pPr>
      <w:rPr>
        <w:rFonts w:hint="default"/>
        <w:lang w:val="en-GB" w:eastAsia="en-GB" w:bidi="en-GB"/>
      </w:rPr>
    </w:lvl>
  </w:abstractNum>
  <w:abstractNum w:abstractNumId="1308" w15:restartNumberingAfterBreak="0">
    <w:nsid w:val="74C867F1"/>
    <w:multiLevelType w:val="hybridMultilevel"/>
    <w:tmpl w:val="AE0A355A"/>
    <w:lvl w:ilvl="0" w:tplc="14D2010C">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C3E4CAA">
      <w:numFmt w:val="bullet"/>
      <w:lvlText w:val="•"/>
      <w:lvlJc w:val="left"/>
      <w:pPr>
        <w:ind w:left="473" w:hanging="217"/>
      </w:pPr>
      <w:rPr>
        <w:rFonts w:hint="default"/>
        <w:lang w:val="en-GB" w:eastAsia="en-GB" w:bidi="en-GB"/>
      </w:rPr>
    </w:lvl>
    <w:lvl w:ilvl="2" w:tplc="9710C512">
      <w:numFmt w:val="bullet"/>
      <w:lvlText w:val="•"/>
      <w:lvlJc w:val="left"/>
      <w:pPr>
        <w:ind w:left="646" w:hanging="217"/>
      </w:pPr>
      <w:rPr>
        <w:rFonts w:hint="default"/>
        <w:lang w:val="en-GB" w:eastAsia="en-GB" w:bidi="en-GB"/>
      </w:rPr>
    </w:lvl>
    <w:lvl w:ilvl="3" w:tplc="DD4423FE">
      <w:numFmt w:val="bullet"/>
      <w:lvlText w:val="•"/>
      <w:lvlJc w:val="left"/>
      <w:pPr>
        <w:ind w:left="819" w:hanging="217"/>
      </w:pPr>
      <w:rPr>
        <w:rFonts w:hint="default"/>
        <w:lang w:val="en-GB" w:eastAsia="en-GB" w:bidi="en-GB"/>
      </w:rPr>
    </w:lvl>
    <w:lvl w:ilvl="4" w:tplc="35849346">
      <w:numFmt w:val="bullet"/>
      <w:lvlText w:val="•"/>
      <w:lvlJc w:val="left"/>
      <w:pPr>
        <w:ind w:left="992" w:hanging="217"/>
      </w:pPr>
      <w:rPr>
        <w:rFonts w:hint="default"/>
        <w:lang w:val="en-GB" w:eastAsia="en-GB" w:bidi="en-GB"/>
      </w:rPr>
    </w:lvl>
    <w:lvl w:ilvl="5" w:tplc="64A2FE50">
      <w:numFmt w:val="bullet"/>
      <w:lvlText w:val="•"/>
      <w:lvlJc w:val="left"/>
      <w:pPr>
        <w:ind w:left="1165" w:hanging="217"/>
      </w:pPr>
      <w:rPr>
        <w:rFonts w:hint="default"/>
        <w:lang w:val="en-GB" w:eastAsia="en-GB" w:bidi="en-GB"/>
      </w:rPr>
    </w:lvl>
    <w:lvl w:ilvl="6" w:tplc="EE4A3414">
      <w:numFmt w:val="bullet"/>
      <w:lvlText w:val="•"/>
      <w:lvlJc w:val="left"/>
      <w:pPr>
        <w:ind w:left="1338" w:hanging="217"/>
      </w:pPr>
      <w:rPr>
        <w:rFonts w:hint="default"/>
        <w:lang w:val="en-GB" w:eastAsia="en-GB" w:bidi="en-GB"/>
      </w:rPr>
    </w:lvl>
    <w:lvl w:ilvl="7" w:tplc="4EDA8FA6">
      <w:numFmt w:val="bullet"/>
      <w:lvlText w:val="•"/>
      <w:lvlJc w:val="left"/>
      <w:pPr>
        <w:ind w:left="1511" w:hanging="217"/>
      </w:pPr>
      <w:rPr>
        <w:rFonts w:hint="default"/>
        <w:lang w:val="en-GB" w:eastAsia="en-GB" w:bidi="en-GB"/>
      </w:rPr>
    </w:lvl>
    <w:lvl w:ilvl="8" w:tplc="6656569E">
      <w:numFmt w:val="bullet"/>
      <w:lvlText w:val="•"/>
      <w:lvlJc w:val="left"/>
      <w:pPr>
        <w:ind w:left="1684" w:hanging="217"/>
      </w:pPr>
      <w:rPr>
        <w:rFonts w:hint="default"/>
        <w:lang w:val="en-GB" w:eastAsia="en-GB" w:bidi="en-GB"/>
      </w:rPr>
    </w:lvl>
  </w:abstractNum>
  <w:abstractNum w:abstractNumId="1309" w15:restartNumberingAfterBreak="0">
    <w:nsid w:val="74F51CC9"/>
    <w:multiLevelType w:val="hybridMultilevel"/>
    <w:tmpl w:val="EA3A57DA"/>
    <w:lvl w:ilvl="0" w:tplc="A7A4DB4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E26112C">
      <w:numFmt w:val="bullet"/>
      <w:lvlText w:val="•"/>
      <w:lvlJc w:val="left"/>
      <w:pPr>
        <w:ind w:left="473" w:hanging="217"/>
      </w:pPr>
      <w:rPr>
        <w:rFonts w:hint="default"/>
        <w:lang w:val="en-GB" w:eastAsia="en-GB" w:bidi="en-GB"/>
      </w:rPr>
    </w:lvl>
    <w:lvl w:ilvl="2" w:tplc="2C5A02EA">
      <w:numFmt w:val="bullet"/>
      <w:lvlText w:val="•"/>
      <w:lvlJc w:val="left"/>
      <w:pPr>
        <w:ind w:left="646" w:hanging="217"/>
      </w:pPr>
      <w:rPr>
        <w:rFonts w:hint="default"/>
        <w:lang w:val="en-GB" w:eastAsia="en-GB" w:bidi="en-GB"/>
      </w:rPr>
    </w:lvl>
    <w:lvl w:ilvl="3" w:tplc="25188D70">
      <w:numFmt w:val="bullet"/>
      <w:lvlText w:val="•"/>
      <w:lvlJc w:val="left"/>
      <w:pPr>
        <w:ind w:left="819" w:hanging="217"/>
      </w:pPr>
      <w:rPr>
        <w:rFonts w:hint="default"/>
        <w:lang w:val="en-GB" w:eastAsia="en-GB" w:bidi="en-GB"/>
      </w:rPr>
    </w:lvl>
    <w:lvl w:ilvl="4" w:tplc="628CFF4E">
      <w:numFmt w:val="bullet"/>
      <w:lvlText w:val="•"/>
      <w:lvlJc w:val="left"/>
      <w:pPr>
        <w:ind w:left="992" w:hanging="217"/>
      </w:pPr>
      <w:rPr>
        <w:rFonts w:hint="default"/>
        <w:lang w:val="en-GB" w:eastAsia="en-GB" w:bidi="en-GB"/>
      </w:rPr>
    </w:lvl>
    <w:lvl w:ilvl="5" w:tplc="0FB61950">
      <w:numFmt w:val="bullet"/>
      <w:lvlText w:val="•"/>
      <w:lvlJc w:val="left"/>
      <w:pPr>
        <w:ind w:left="1165" w:hanging="217"/>
      </w:pPr>
      <w:rPr>
        <w:rFonts w:hint="default"/>
        <w:lang w:val="en-GB" w:eastAsia="en-GB" w:bidi="en-GB"/>
      </w:rPr>
    </w:lvl>
    <w:lvl w:ilvl="6" w:tplc="5A2A96B6">
      <w:numFmt w:val="bullet"/>
      <w:lvlText w:val="•"/>
      <w:lvlJc w:val="left"/>
      <w:pPr>
        <w:ind w:left="1338" w:hanging="217"/>
      </w:pPr>
      <w:rPr>
        <w:rFonts w:hint="default"/>
        <w:lang w:val="en-GB" w:eastAsia="en-GB" w:bidi="en-GB"/>
      </w:rPr>
    </w:lvl>
    <w:lvl w:ilvl="7" w:tplc="4B822DD6">
      <w:numFmt w:val="bullet"/>
      <w:lvlText w:val="•"/>
      <w:lvlJc w:val="left"/>
      <w:pPr>
        <w:ind w:left="1511" w:hanging="217"/>
      </w:pPr>
      <w:rPr>
        <w:rFonts w:hint="default"/>
        <w:lang w:val="en-GB" w:eastAsia="en-GB" w:bidi="en-GB"/>
      </w:rPr>
    </w:lvl>
    <w:lvl w:ilvl="8" w:tplc="BD726462">
      <w:numFmt w:val="bullet"/>
      <w:lvlText w:val="•"/>
      <w:lvlJc w:val="left"/>
      <w:pPr>
        <w:ind w:left="1684" w:hanging="217"/>
      </w:pPr>
      <w:rPr>
        <w:rFonts w:hint="default"/>
        <w:lang w:val="en-GB" w:eastAsia="en-GB" w:bidi="en-GB"/>
      </w:rPr>
    </w:lvl>
  </w:abstractNum>
  <w:abstractNum w:abstractNumId="1310" w15:restartNumberingAfterBreak="0">
    <w:nsid w:val="755057A9"/>
    <w:multiLevelType w:val="hybridMultilevel"/>
    <w:tmpl w:val="91968D9E"/>
    <w:lvl w:ilvl="0" w:tplc="6E505F3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12C8F80A">
      <w:numFmt w:val="bullet"/>
      <w:lvlText w:val="•"/>
      <w:lvlJc w:val="left"/>
      <w:pPr>
        <w:ind w:left="473" w:hanging="217"/>
      </w:pPr>
      <w:rPr>
        <w:rFonts w:hint="default"/>
        <w:lang w:val="en-GB" w:eastAsia="en-GB" w:bidi="en-GB"/>
      </w:rPr>
    </w:lvl>
    <w:lvl w:ilvl="2" w:tplc="21284894">
      <w:numFmt w:val="bullet"/>
      <w:lvlText w:val="•"/>
      <w:lvlJc w:val="left"/>
      <w:pPr>
        <w:ind w:left="646" w:hanging="217"/>
      </w:pPr>
      <w:rPr>
        <w:rFonts w:hint="default"/>
        <w:lang w:val="en-GB" w:eastAsia="en-GB" w:bidi="en-GB"/>
      </w:rPr>
    </w:lvl>
    <w:lvl w:ilvl="3" w:tplc="E58A696A">
      <w:numFmt w:val="bullet"/>
      <w:lvlText w:val="•"/>
      <w:lvlJc w:val="left"/>
      <w:pPr>
        <w:ind w:left="819" w:hanging="217"/>
      </w:pPr>
      <w:rPr>
        <w:rFonts w:hint="default"/>
        <w:lang w:val="en-GB" w:eastAsia="en-GB" w:bidi="en-GB"/>
      </w:rPr>
    </w:lvl>
    <w:lvl w:ilvl="4" w:tplc="9386DE56">
      <w:numFmt w:val="bullet"/>
      <w:lvlText w:val="•"/>
      <w:lvlJc w:val="left"/>
      <w:pPr>
        <w:ind w:left="992" w:hanging="217"/>
      </w:pPr>
      <w:rPr>
        <w:rFonts w:hint="default"/>
        <w:lang w:val="en-GB" w:eastAsia="en-GB" w:bidi="en-GB"/>
      </w:rPr>
    </w:lvl>
    <w:lvl w:ilvl="5" w:tplc="4C803728">
      <w:numFmt w:val="bullet"/>
      <w:lvlText w:val="•"/>
      <w:lvlJc w:val="left"/>
      <w:pPr>
        <w:ind w:left="1165" w:hanging="217"/>
      </w:pPr>
      <w:rPr>
        <w:rFonts w:hint="default"/>
        <w:lang w:val="en-GB" w:eastAsia="en-GB" w:bidi="en-GB"/>
      </w:rPr>
    </w:lvl>
    <w:lvl w:ilvl="6" w:tplc="7108B0CC">
      <w:numFmt w:val="bullet"/>
      <w:lvlText w:val="•"/>
      <w:lvlJc w:val="left"/>
      <w:pPr>
        <w:ind w:left="1338" w:hanging="217"/>
      </w:pPr>
      <w:rPr>
        <w:rFonts w:hint="default"/>
        <w:lang w:val="en-GB" w:eastAsia="en-GB" w:bidi="en-GB"/>
      </w:rPr>
    </w:lvl>
    <w:lvl w:ilvl="7" w:tplc="FA1208A0">
      <w:numFmt w:val="bullet"/>
      <w:lvlText w:val="•"/>
      <w:lvlJc w:val="left"/>
      <w:pPr>
        <w:ind w:left="1511" w:hanging="217"/>
      </w:pPr>
      <w:rPr>
        <w:rFonts w:hint="default"/>
        <w:lang w:val="en-GB" w:eastAsia="en-GB" w:bidi="en-GB"/>
      </w:rPr>
    </w:lvl>
    <w:lvl w:ilvl="8" w:tplc="328A5232">
      <w:numFmt w:val="bullet"/>
      <w:lvlText w:val="•"/>
      <w:lvlJc w:val="left"/>
      <w:pPr>
        <w:ind w:left="1684" w:hanging="217"/>
      </w:pPr>
      <w:rPr>
        <w:rFonts w:hint="default"/>
        <w:lang w:val="en-GB" w:eastAsia="en-GB" w:bidi="en-GB"/>
      </w:rPr>
    </w:lvl>
  </w:abstractNum>
  <w:abstractNum w:abstractNumId="1311" w15:restartNumberingAfterBreak="0">
    <w:nsid w:val="757275A4"/>
    <w:multiLevelType w:val="hybridMultilevel"/>
    <w:tmpl w:val="B6EAD5E6"/>
    <w:lvl w:ilvl="0" w:tplc="54582B5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FCC49CB8">
      <w:numFmt w:val="bullet"/>
      <w:lvlText w:val="•"/>
      <w:lvlJc w:val="left"/>
      <w:pPr>
        <w:ind w:left="1061" w:hanging="217"/>
      </w:pPr>
      <w:rPr>
        <w:rFonts w:hint="default"/>
        <w:lang w:val="en-GB" w:eastAsia="en-GB" w:bidi="en-GB"/>
      </w:rPr>
    </w:lvl>
    <w:lvl w:ilvl="2" w:tplc="AA3AFED2">
      <w:numFmt w:val="bullet"/>
      <w:lvlText w:val="•"/>
      <w:lvlJc w:val="left"/>
      <w:pPr>
        <w:ind w:left="1823" w:hanging="217"/>
      </w:pPr>
      <w:rPr>
        <w:rFonts w:hint="default"/>
        <w:lang w:val="en-GB" w:eastAsia="en-GB" w:bidi="en-GB"/>
      </w:rPr>
    </w:lvl>
    <w:lvl w:ilvl="3" w:tplc="4C76C78A">
      <w:numFmt w:val="bullet"/>
      <w:lvlText w:val="•"/>
      <w:lvlJc w:val="left"/>
      <w:pPr>
        <w:ind w:left="2585" w:hanging="217"/>
      </w:pPr>
      <w:rPr>
        <w:rFonts w:hint="default"/>
        <w:lang w:val="en-GB" w:eastAsia="en-GB" w:bidi="en-GB"/>
      </w:rPr>
    </w:lvl>
    <w:lvl w:ilvl="4" w:tplc="9920FB9A">
      <w:numFmt w:val="bullet"/>
      <w:lvlText w:val="•"/>
      <w:lvlJc w:val="left"/>
      <w:pPr>
        <w:ind w:left="3346" w:hanging="217"/>
      </w:pPr>
      <w:rPr>
        <w:rFonts w:hint="default"/>
        <w:lang w:val="en-GB" w:eastAsia="en-GB" w:bidi="en-GB"/>
      </w:rPr>
    </w:lvl>
    <w:lvl w:ilvl="5" w:tplc="054A29FE">
      <w:numFmt w:val="bullet"/>
      <w:lvlText w:val="•"/>
      <w:lvlJc w:val="left"/>
      <w:pPr>
        <w:ind w:left="4108" w:hanging="217"/>
      </w:pPr>
      <w:rPr>
        <w:rFonts w:hint="default"/>
        <w:lang w:val="en-GB" w:eastAsia="en-GB" w:bidi="en-GB"/>
      </w:rPr>
    </w:lvl>
    <w:lvl w:ilvl="6" w:tplc="483457C0">
      <w:numFmt w:val="bullet"/>
      <w:lvlText w:val="•"/>
      <w:lvlJc w:val="left"/>
      <w:pPr>
        <w:ind w:left="4870" w:hanging="217"/>
      </w:pPr>
      <w:rPr>
        <w:rFonts w:hint="default"/>
        <w:lang w:val="en-GB" w:eastAsia="en-GB" w:bidi="en-GB"/>
      </w:rPr>
    </w:lvl>
    <w:lvl w:ilvl="7" w:tplc="D84C5954">
      <w:numFmt w:val="bullet"/>
      <w:lvlText w:val="•"/>
      <w:lvlJc w:val="left"/>
      <w:pPr>
        <w:ind w:left="5631" w:hanging="217"/>
      </w:pPr>
      <w:rPr>
        <w:rFonts w:hint="default"/>
        <w:lang w:val="en-GB" w:eastAsia="en-GB" w:bidi="en-GB"/>
      </w:rPr>
    </w:lvl>
    <w:lvl w:ilvl="8" w:tplc="8856B93C">
      <w:numFmt w:val="bullet"/>
      <w:lvlText w:val="•"/>
      <w:lvlJc w:val="left"/>
      <w:pPr>
        <w:ind w:left="6393" w:hanging="217"/>
      </w:pPr>
      <w:rPr>
        <w:rFonts w:hint="default"/>
        <w:lang w:val="en-GB" w:eastAsia="en-GB" w:bidi="en-GB"/>
      </w:rPr>
    </w:lvl>
  </w:abstractNum>
  <w:abstractNum w:abstractNumId="1312" w15:restartNumberingAfterBreak="0">
    <w:nsid w:val="7587178D"/>
    <w:multiLevelType w:val="multilevel"/>
    <w:tmpl w:val="69626238"/>
    <w:lvl w:ilvl="0">
      <w:start w:val="6"/>
      <w:numFmt w:val="decimal"/>
      <w:lvlText w:val="%1"/>
      <w:lvlJc w:val="left"/>
      <w:pPr>
        <w:ind w:left="580" w:hanging="580"/>
      </w:pPr>
      <w:rPr>
        <w:rFonts w:hint="default"/>
        <w:color w:val="231F20"/>
      </w:rPr>
    </w:lvl>
    <w:lvl w:ilvl="1">
      <w:start w:val="1"/>
      <w:numFmt w:val="decimal"/>
      <w:lvlText w:val="%1.%2"/>
      <w:lvlJc w:val="left"/>
      <w:pPr>
        <w:ind w:left="930" w:hanging="720"/>
      </w:pPr>
      <w:rPr>
        <w:rFonts w:hint="default"/>
        <w:color w:val="231F20"/>
      </w:rPr>
    </w:lvl>
    <w:lvl w:ilvl="2">
      <w:start w:val="1"/>
      <w:numFmt w:val="decimal"/>
      <w:lvlText w:val="%1.%2.%3"/>
      <w:lvlJc w:val="left"/>
      <w:pPr>
        <w:ind w:left="1500" w:hanging="1080"/>
      </w:pPr>
      <w:rPr>
        <w:rFonts w:hint="default"/>
        <w:color w:val="231F20"/>
      </w:rPr>
    </w:lvl>
    <w:lvl w:ilvl="3">
      <w:start w:val="1"/>
      <w:numFmt w:val="decimal"/>
      <w:lvlText w:val="%1.%2.%3.%4"/>
      <w:lvlJc w:val="left"/>
      <w:pPr>
        <w:ind w:left="2070" w:hanging="1440"/>
      </w:pPr>
      <w:rPr>
        <w:rFonts w:hint="default"/>
        <w:color w:val="231F20"/>
      </w:rPr>
    </w:lvl>
    <w:lvl w:ilvl="4">
      <w:start w:val="1"/>
      <w:numFmt w:val="decimal"/>
      <w:lvlText w:val="%1.%2.%3.%4.%5"/>
      <w:lvlJc w:val="left"/>
      <w:pPr>
        <w:ind w:left="2640" w:hanging="1800"/>
      </w:pPr>
      <w:rPr>
        <w:rFonts w:hint="default"/>
        <w:color w:val="231F20"/>
      </w:rPr>
    </w:lvl>
    <w:lvl w:ilvl="5">
      <w:start w:val="1"/>
      <w:numFmt w:val="decimal"/>
      <w:lvlText w:val="%1.%2.%3.%4.%5.%6"/>
      <w:lvlJc w:val="left"/>
      <w:pPr>
        <w:ind w:left="3210" w:hanging="2160"/>
      </w:pPr>
      <w:rPr>
        <w:rFonts w:hint="default"/>
        <w:color w:val="231F20"/>
      </w:rPr>
    </w:lvl>
    <w:lvl w:ilvl="6">
      <w:start w:val="1"/>
      <w:numFmt w:val="decimal"/>
      <w:lvlText w:val="%1.%2.%3.%4.%5.%6.%7"/>
      <w:lvlJc w:val="left"/>
      <w:pPr>
        <w:ind w:left="3780" w:hanging="2520"/>
      </w:pPr>
      <w:rPr>
        <w:rFonts w:hint="default"/>
        <w:color w:val="231F20"/>
      </w:rPr>
    </w:lvl>
    <w:lvl w:ilvl="7">
      <w:start w:val="1"/>
      <w:numFmt w:val="decimal"/>
      <w:lvlText w:val="%1.%2.%3.%4.%5.%6.%7.%8"/>
      <w:lvlJc w:val="left"/>
      <w:pPr>
        <w:ind w:left="4350" w:hanging="2880"/>
      </w:pPr>
      <w:rPr>
        <w:rFonts w:hint="default"/>
        <w:color w:val="231F20"/>
      </w:rPr>
    </w:lvl>
    <w:lvl w:ilvl="8">
      <w:start w:val="1"/>
      <w:numFmt w:val="decimal"/>
      <w:lvlText w:val="%1.%2.%3.%4.%5.%6.%7.%8.%9"/>
      <w:lvlJc w:val="left"/>
      <w:pPr>
        <w:ind w:left="4920" w:hanging="3240"/>
      </w:pPr>
      <w:rPr>
        <w:rFonts w:hint="default"/>
        <w:color w:val="231F20"/>
      </w:rPr>
    </w:lvl>
  </w:abstractNum>
  <w:abstractNum w:abstractNumId="1313" w15:restartNumberingAfterBreak="0">
    <w:nsid w:val="759F2C01"/>
    <w:multiLevelType w:val="hybridMultilevel"/>
    <w:tmpl w:val="DDA6CB08"/>
    <w:lvl w:ilvl="0" w:tplc="7AA0D430">
      <w:numFmt w:val="bullet"/>
      <w:lvlText w:val="•"/>
      <w:lvlJc w:val="left"/>
      <w:pPr>
        <w:ind w:left="300" w:hanging="217"/>
      </w:pPr>
      <w:rPr>
        <w:rFonts w:ascii="Arial" w:eastAsia="Arial" w:hAnsi="Arial" w:cs="Arial" w:hint="default"/>
        <w:color w:val="231F20"/>
        <w:w w:val="102"/>
        <w:sz w:val="17"/>
        <w:szCs w:val="17"/>
        <w:lang w:val="en-GB" w:eastAsia="en-GB" w:bidi="en-GB"/>
      </w:rPr>
    </w:lvl>
    <w:lvl w:ilvl="1" w:tplc="AE2C4326">
      <w:numFmt w:val="bullet"/>
      <w:lvlText w:val="•"/>
      <w:lvlJc w:val="left"/>
      <w:pPr>
        <w:ind w:left="892" w:hanging="217"/>
      </w:pPr>
      <w:rPr>
        <w:rFonts w:hint="default"/>
        <w:lang w:val="en-GB" w:eastAsia="en-GB" w:bidi="en-GB"/>
      </w:rPr>
    </w:lvl>
    <w:lvl w:ilvl="2" w:tplc="5FE8A49A">
      <w:numFmt w:val="bullet"/>
      <w:lvlText w:val="•"/>
      <w:lvlJc w:val="left"/>
      <w:pPr>
        <w:ind w:left="1484" w:hanging="217"/>
      </w:pPr>
      <w:rPr>
        <w:rFonts w:hint="default"/>
        <w:lang w:val="en-GB" w:eastAsia="en-GB" w:bidi="en-GB"/>
      </w:rPr>
    </w:lvl>
    <w:lvl w:ilvl="3" w:tplc="3474B96C">
      <w:numFmt w:val="bullet"/>
      <w:lvlText w:val="•"/>
      <w:lvlJc w:val="left"/>
      <w:pPr>
        <w:ind w:left="2076" w:hanging="217"/>
      </w:pPr>
      <w:rPr>
        <w:rFonts w:hint="default"/>
        <w:lang w:val="en-GB" w:eastAsia="en-GB" w:bidi="en-GB"/>
      </w:rPr>
    </w:lvl>
    <w:lvl w:ilvl="4" w:tplc="0BC007AE">
      <w:numFmt w:val="bullet"/>
      <w:lvlText w:val="•"/>
      <w:lvlJc w:val="left"/>
      <w:pPr>
        <w:ind w:left="2668" w:hanging="217"/>
      </w:pPr>
      <w:rPr>
        <w:rFonts w:hint="default"/>
        <w:lang w:val="en-GB" w:eastAsia="en-GB" w:bidi="en-GB"/>
      </w:rPr>
    </w:lvl>
    <w:lvl w:ilvl="5" w:tplc="FE84C6C8">
      <w:numFmt w:val="bullet"/>
      <w:lvlText w:val="•"/>
      <w:lvlJc w:val="left"/>
      <w:pPr>
        <w:ind w:left="3260" w:hanging="217"/>
      </w:pPr>
      <w:rPr>
        <w:rFonts w:hint="default"/>
        <w:lang w:val="en-GB" w:eastAsia="en-GB" w:bidi="en-GB"/>
      </w:rPr>
    </w:lvl>
    <w:lvl w:ilvl="6" w:tplc="70CA5336">
      <w:numFmt w:val="bullet"/>
      <w:lvlText w:val="•"/>
      <w:lvlJc w:val="left"/>
      <w:pPr>
        <w:ind w:left="3852" w:hanging="217"/>
      </w:pPr>
      <w:rPr>
        <w:rFonts w:hint="default"/>
        <w:lang w:val="en-GB" w:eastAsia="en-GB" w:bidi="en-GB"/>
      </w:rPr>
    </w:lvl>
    <w:lvl w:ilvl="7" w:tplc="BACCA504">
      <w:numFmt w:val="bullet"/>
      <w:lvlText w:val="•"/>
      <w:lvlJc w:val="left"/>
      <w:pPr>
        <w:ind w:left="4444" w:hanging="217"/>
      </w:pPr>
      <w:rPr>
        <w:rFonts w:hint="default"/>
        <w:lang w:val="en-GB" w:eastAsia="en-GB" w:bidi="en-GB"/>
      </w:rPr>
    </w:lvl>
    <w:lvl w:ilvl="8" w:tplc="33C801C0">
      <w:numFmt w:val="bullet"/>
      <w:lvlText w:val="•"/>
      <w:lvlJc w:val="left"/>
      <w:pPr>
        <w:ind w:left="5036" w:hanging="217"/>
      </w:pPr>
      <w:rPr>
        <w:rFonts w:hint="default"/>
        <w:lang w:val="en-GB" w:eastAsia="en-GB" w:bidi="en-GB"/>
      </w:rPr>
    </w:lvl>
  </w:abstractNum>
  <w:abstractNum w:abstractNumId="1314" w15:restartNumberingAfterBreak="0">
    <w:nsid w:val="75C97BD2"/>
    <w:multiLevelType w:val="hybridMultilevel"/>
    <w:tmpl w:val="12B4C86A"/>
    <w:lvl w:ilvl="0" w:tplc="2CAAFAF2">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CFC446C4">
      <w:numFmt w:val="bullet"/>
      <w:lvlText w:val="•"/>
      <w:lvlJc w:val="left"/>
      <w:pPr>
        <w:ind w:left="473" w:hanging="217"/>
      </w:pPr>
      <w:rPr>
        <w:rFonts w:hint="default"/>
        <w:lang w:val="en-GB" w:eastAsia="en-GB" w:bidi="en-GB"/>
      </w:rPr>
    </w:lvl>
    <w:lvl w:ilvl="2" w:tplc="267023F6">
      <w:numFmt w:val="bullet"/>
      <w:lvlText w:val="•"/>
      <w:lvlJc w:val="left"/>
      <w:pPr>
        <w:ind w:left="646" w:hanging="217"/>
      </w:pPr>
      <w:rPr>
        <w:rFonts w:hint="default"/>
        <w:lang w:val="en-GB" w:eastAsia="en-GB" w:bidi="en-GB"/>
      </w:rPr>
    </w:lvl>
    <w:lvl w:ilvl="3" w:tplc="EEF866E0">
      <w:numFmt w:val="bullet"/>
      <w:lvlText w:val="•"/>
      <w:lvlJc w:val="left"/>
      <w:pPr>
        <w:ind w:left="819" w:hanging="217"/>
      </w:pPr>
      <w:rPr>
        <w:rFonts w:hint="default"/>
        <w:lang w:val="en-GB" w:eastAsia="en-GB" w:bidi="en-GB"/>
      </w:rPr>
    </w:lvl>
    <w:lvl w:ilvl="4" w:tplc="1938F31A">
      <w:numFmt w:val="bullet"/>
      <w:lvlText w:val="•"/>
      <w:lvlJc w:val="left"/>
      <w:pPr>
        <w:ind w:left="992" w:hanging="217"/>
      </w:pPr>
      <w:rPr>
        <w:rFonts w:hint="default"/>
        <w:lang w:val="en-GB" w:eastAsia="en-GB" w:bidi="en-GB"/>
      </w:rPr>
    </w:lvl>
    <w:lvl w:ilvl="5" w:tplc="AE243DF2">
      <w:numFmt w:val="bullet"/>
      <w:lvlText w:val="•"/>
      <w:lvlJc w:val="left"/>
      <w:pPr>
        <w:ind w:left="1165" w:hanging="217"/>
      </w:pPr>
      <w:rPr>
        <w:rFonts w:hint="default"/>
        <w:lang w:val="en-GB" w:eastAsia="en-GB" w:bidi="en-GB"/>
      </w:rPr>
    </w:lvl>
    <w:lvl w:ilvl="6" w:tplc="FDF8BD08">
      <w:numFmt w:val="bullet"/>
      <w:lvlText w:val="•"/>
      <w:lvlJc w:val="left"/>
      <w:pPr>
        <w:ind w:left="1338" w:hanging="217"/>
      </w:pPr>
      <w:rPr>
        <w:rFonts w:hint="default"/>
        <w:lang w:val="en-GB" w:eastAsia="en-GB" w:bidi="en-GB"/>
      </w:rPr>
    </w:lvl>
    <w:lvl w:ilvl="7" w:tplc="52CCD15A">
      <w:numFmt w:val="bullet"/>
      <w:lvlText w:val="•"/>
      <w:lvlJc w:val="left"/>
      <w:pPr>
        <w:ind w:left="1511" w:hanging="217"/>
      </w:pPr>
      <w:rPr>
        <w:rFonts w:hint="default"/>
        <w:lang w:val="en-GB" w:eastAsia="en-GB" w:bidi="en-GB"/>
      </w:rPr>
    </w:lvl>
    <w:lvl w:ilvl="8" w:tplc="ED86D67A">
      <w:numFmt w:val="bullet"/>
      <w:lvlText w:val="•"/>
      <w:lvlJc w:val="left"/>
      <w:pPr>
        <w:ind w:left="1684" w:hanging="217"/>
      </w:pPr>
      <w:rPr>
        <w:rFonts w:hint="default"/>
        <w:lang w:val="en-GB" w:eastAsia="en-GB" w:bidi="en-GB"/>
      </w:rPr>
    </w:lvl>
  </w:abstractNum>
  <w:abstractNum w:abstractNumId="1315" w15:restartNumberingAfterBreak="0">
    <w:nsid w:val="75DA09AF"/>
    <w:multiLevelType w:val="hybridMultilevel"/>
    <w:tmpl w:val="79B6C1BE"/>
    <w:lvl w:ilvl="0" w:tplc="2FD42DA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4278484A">
      <w:numFmt w:val="bullet"/>
      <w:lvlText w:val="•"/>
      <w:lvlJc w:val="left"/>
      <w:pPr>
        <w:ind w:left="473" w:hanging="217"/>
      </w:pPr>
      <w:rPr>
        <w:rFonts w:hint="default"/>
        <w:lang w:val="en-GB" w:eastAsia="en-GB" w:bidi="en-GB"/>
      </w:rPr>
    </w:lvl>
    <w:lvl w:ilvl="2" w:tplc="D3589132">
      <w:numFmt w:val="bullet"/>
      <w:lvlText w:val="•"/>
      <w:lvlJc w:val="left"/>
      <w:pPr>
        <w:ind w:left="646" w:hanging="217"/>
      </w:pPr>
      <w:rPr>
        <w:rFonts w:hint="default"/>
        <w:lang w:val="en-GB" w:eastAsia="en-GB" w:bidi="en-GB"/>
      </w:rPr>
    </w:lvl>
    <w:lvl w:ilvl="3" w:tplc="8CEEF402">
      <w:numFmt w:val="bullet"/>
      <w:lvlText w:val="•"/>
      <w:lvlJc w:val="left"/>
      <w:pPr>
        <w:ind w:left="819" w:hanging="217"/>
      </w:pPr>
      <w:rPr>
        <w:rFonts w:hint="default"/>
        <w:lang w:val="en-GB" w:eastAsia="en-GB" w:bidi="en-GB"/>
      </w:rPr>
    </w:lvl>
    <w:lvl w:ilvl="4" w:tplc="75AA968C">
      <w:numFmt w:val="bullet"/>
      <w:lvlText w:val="•"/>
      <w:lvlJc w:val="left"/>
      <w:pPr>
        <w:ind w:left="992" w:hanging="217"/>
      </w:pPr>
      <w:rPr>
        <w:rFonts w:hint="default"/>
        <w:lang w:val="en-GB" w:eastAsia="en-GB" w:bidi="en-GB"/>
      </w:rPr>
    </w:lvl>
    <w:lvl w:ilvl="5" w:tplc="133898A4">
      <w:numFmt w:val="bullet"/>
      <w:lvlText w:val="•"/>
      <w:lvlJc w:val="left"/>
      <w:pPr>
        <w:ind w:left="1165" w:hanging="217"/>
      </w:pPr>
      <w:rPr>
        <w:rFonts w:hint="default"/>
        <w:lang w:val="en-GB" w:eastAsia="en-GB" w:bidi="en-GB"/>
      </w:rPr>
    </w:lvl>
    <w:lvl w:ilvl="6" w:tplc="7624B3B4">
      <w:numFmt w:val="bullet"/>
      <w:lvlText w:val="•"/>
      <w:lvlJc w:val="left"/>
      <w:pPr>
        <w:ind w:left="1338" w:hanging="217"/>
      </w:pPr>
      <w:rPr>
        <w:rFonts w:hint="default"/>
        <w:lang w:val="en-GB" w:eastAsia="en-GB" w:bidi="en-GB"/>
      </w:rPr>
    </w:lvl>
    <w:lvl w:ilvl="7" w:tplc="70BA0890">
      <w:numFmt w:val="bullet"/>
      <w:lvlText w:val="•"/>
      <w:lvlJc w:val="left"/>
      <w:pPr>
        <w:ind w:left="1511" w:hanging="217"/>
      </w:pPr>
      <w:rPr>
        <w:rFonts w:hint="default"/>
        <w:lang w:val="en-GB" w:eastAsia="en-GB" w:bidi="en-GB"/>
      </w:rPr>
    </w:lvl>
    <w:lvl w:ilvl="8" w:tplc="BEFEA15E">
      <w:numFmt w:val="bullet"/>
      <w:lvlText w:val="•"/>
      <w:lvlJc w:val="left"/>
      <w:pPr>
        <w:ind w:left="1684" w:hanging="217"/>
      </w:pPr>
      <w:rPr>
        <w:rFonts w:hint="default"/>
        <w:lang w:val="en-GB" w:eastAsia="en-GB" w:bidi="en-GB"/>
      </w:rPr>
    </w:lvl>
  </w:abstractNum>
  <w:abstractNum w:abstractNumId="1316" w15:restartNumberingAfterBreak="0">
    <w:nsid w:val="75E100D0"/>
    <w:multiLevelType w:val="hybridMultilevel"/>
    <w:tmpl w:val="9BD60708"/>
    <w:lvl w:ilvl="0" w:tplc="3F063CD6">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2E64408A">
      <w:numFmt w:val="bullet"/>
      <w:lvlText w:val="•"/>
      <w:lvlJc w:val="left"/>
      <w:pPr>
        <w:ind w:left="473" w:hanging="217"/>
      </w:pPr>
      <w:rPr>
        <w:rFonts w:hint="default"/>
        <w:lang w:val="en-GB" w:eastAsia="en-GB" w:bidi="en-GB"/>
      </w:rPr>
    </w:lvl>
    <w:lvl w:ilvl="2" w:tplc="503ED1A6">
      <w:numFmt w:val="bullet"/>
      <w:lvlText w:val="•"/>
      <w:lvlJc w:val="left"/>
      <w:pPr>
        <w:ind w:left="646" w:hanging="217"/>
      </w:pPr>
      <w:rPr>
        <w:rFonts w:hint="default"/>
        <w:lang w:val="en-GB" w:eastAsia="en-GB" w:bidi="en-GB"/>
      </w:rPr>
    </w:lvl>
    <w:lvl w:ilvl="3" w:tplc="62CC9C5A">
      <w:numFmt w:val="bullet"/>
      <w:lvlText w:val="•"/>
      <w:lvlJc w:val="left"/>
      <w:pPr>
        <w:ind w:left="819" w:hanging="217"/>
      </w:pPr>
      <w:rPr>
        <w:rFonts w:hint="default"/>
        <w:lang w:val="en-GB" w:eastAsia="en-GB" w:bidi="en-GB"/>
      </w:rPr>
    </w:lvl>
    <w:lvl w:ilvl="4" w:tplc="C0C4A5FE">
      <w:numFmt w:val="bullet"/>
      <w:lvlText w:val="•"/>
      <w:lvlJc w:val="left"/>
      <w:pPr>
        <w:ind w:left="992" w:hanging="217"/>
      </w:pPr>
      <w:rPr>
        <w:rFonts w:hint="default"/>
        <w:lang w:val="en-GB" w:eastAsia="en-GB" w:bidi="en-GB"/>
      </w:rPr>
    </w:lvl>
    <w:lvl w:ilvl="5" w:tplc="7F987932">
      <w:numFmt w:val="bullet"/>
      <w:lvlText w:val="•"/>
      <w:lvlJc w:val="left"/>
      <w:pPr>
        <w:ind w:left="1165" w:hanging="217"/>
      </w:pPr>
      <w:rPr>
        <w:rFonts w:hint="default"/>
        <w:lang w:val="en-GB" w:eastAsia="en-GB" w:bidi="en-GB"/>
      </w:rPr>
    </w:lvl>
    <w:lvl w:ilvl="6" w:tplc="13BC6008">
      <w:numFmt w:val="bullet"/>
      <w:lvlText w:val="•"/>
      <w:lvlJc w:val="left"/>
      <w:pPr>
        <w:ind w:left="1338" w:hanging="217"/>
      </w:pPr>
      <w:rPr>
        <w:rFonts w:hint="default"/>
        <w:lang w:val="en-GB" w:eastAsia="en-GB" w:bidi="en-GB"/>
      </w:rPr>
    </w:lvl>
    <w:lvl w:ilvl="7" w:tplc="8B547E70">
      <w:numFmt w:val="bullet"/>
      <w:lvlText w:val="•"/>
      <w:lvlJc w:val="left"/>
      <w:pPr>
        <w:ind w:left="1511" w:hanging="217"/>
      </w:pPr>
      <w:rPr>
        <w:rFonts w:hint="default"/>
        <w:lang w:val="en-GB" w:eastAsia="en-GB" w:bidi="en-GB"/>
      </w:rPr>
    </w:lvl>
    <w:lvl w:ilvl="8" w:tplc="078E5646">
      <w:numFmt w:val="bullet"/>
      <w:lvlText w:val="•"/>
      <w:lvlJc w:val="left"/>
      <w:pPr>
        <w:ind w:left="1684" w:hanging="217"/>
      </w:pPr>
      <w:rPr>
        <w:rFonts w:hint="default"/>
        <w:lang w:val="en-GB" w:eastAsia="en-GB" w:bidi="en-GB"/>
      </w:rPr>
    </w:lvl>
  </w:abstractNum>
  <w:abstractNum w:abstractNumId="1317" w15:restartNumberingAfterBreak="0">
    <w:nsid w:val="75EE0756"/>
    <w:multiLevelType w:val="hybridMultilevel"/>
    <w:tmpl w:val="435A6002"/>
    <w:lvl w:ilvl="0" w:tplc="B05C46A0">
      <w:numFmt w:val="bullet"/>
      <w:lvlText w:val="•"/>
      <w:lvlJc w:val="left"/>
      <w:pPr>
        <w:ind w:left="304" w:hanging="217"/>
      </w:pPr>
      <w:rPr>
        <w:rFonts w:ascii="Arial" w:eastAsia="Arial" w:hAnsi="Arial" w:cs="Arial" w:hint="default"/>
        <w:color w:val="231F20"/>
        <w:spacing w:val="-14"/>
        <w:w w:val="100"/>
        <w:sz w:val="18"/>
        <w:szCs w:val="18"/>
        <w:lang w:val="en-GB" w:eastAsia="en-GB" w:bidi="en-GB"/>
      </w:rPr>
    </w:lvl>
    <w:lvl w:ilvl="1" w:tplc="CE3C92EA">
      <w:numFmt w:val="bullet"/>
      <w:lvlText w:val="•"/>
      <w:lvlJc w:val="left"/>
      <w:pPr>
        <w:ind w:left="473" w:hanging="217"/>
      </w:pPr>
      <w:rPr>
        <w:rFonts w:hint="default"/>
        <w:lang w:val="en-GB" w:eastAsia="en-GB" w:bidi="en-GB"/>
      </w:rPr>
    </w:lvl>
    <w:lvl w:ilvl="2" w:tplc="8DAA2B96">
      <w:numFmt w:val="bullet"/>
      <w:lvlText w:val="•"/>
      <w:lvlJc w:val="left"/>
      <w:pPr>
        <w:ind w:left="646" w:hanging="217"/>
      </w:pPr>
      <w:rPr>
        <w:rFonts w:hint="default"/>
        <w:lang w:val="en-GB" w:eastAsia="en-GB" w:bidi="en-GB"/>
      </w:rPr>
    </w:lvl>
    <w:lvl w:ilvl="3" w:tplc="5CCC57DE">
      <w:numFmt w:val="bullet"/>
      <w:lvlText w:val="•"/>
      <w:lvlJc w:val="left"/>
      <w:pPr>
        <w:ind w:left="819" w:hanging="217"/>
      </w:pPr>
      <w:rPr>
        <w:rFonts w:hint="default"/>
        <w:lang w:val="en-GB" w:eastAsia="en-GB" w:bidi="en-GB"/>
      </w:rPr>
    </w:lvl>
    <w:lvl w:ilvl="4" w:tplc="59269F06">
      <w:numFmt w:val="bullet"/>
      <w:lvlText w:val="•"/>
      <w:lvlJc w:val="left"/>
      <w:pPr>
        <w:ind w:left="992" w:hanging="217"/>
      </w:pPr>
      <w:rPr>
        <w:rFonts w:hint="default"/>
        <w:lang w:val="en-GB" w:eastAsia="en-GB" w:bidi="en-GB"/>
      </w:rPr>
    </w:lvl>
    <w:lvl w:ilvl="5" w:tplc="2B8AA960">
      <w:numFmt w:val="bullet"/>
      <w:lvlText w:val="•"/>
      <w:lvlJc w:val="left"/>
      <w:pPr>
        <w:ind w:left="1165" w:hanging="217"/>
      </w:pPr>
      <w:rPr>
        <w:rFonts w:hint="default"/>
        <w:lang w:val="en-GB" w:eastAsia="en-GB" w:bidi="en-GB"/>
      </w:rPr>
    </w:lvl>
    <w:lvl w:ilvl="6" w:tplc="3C76FF72">
      <w:numFmt w:val="bullet"/>
      <w:lvlText w:val="•"/>
      <w:lvlJc w:val="left"/>
      <w:pPr>
        <w:ind w:left="1338" w:hanging="217"/>
      </w:pPr>
      <w:rPr>
        <w:rFonts w:hint="default"/>
        <w:lang w:val="en-GB" w:eastAsia="en-GB" w:bidi="en-GB"/>
      </w:rPr>
    </w:lvl>
    <w:lvl w:ilvl="7" w:tplc="6840EBC2">
      <w:numFmt w:val="bullet"/>
      <w:lvlText w:val="•"/>
      <w:lvlJc w:val="left"/>
      <w:pPr>
        <w:ind w:left="1511" w:hanging="217"/>
      </w:pPr>
      <w:rPr>
        <w:rFonts w:hint="default"/>
        <w:lang w:val="en-GB" w:eastAsia="en-GB" w:bidi="en-GB"/>
      </w:rPr>
    </w:lvl>
    <w:lvl w:ilvl="8" w:tplc="046E4DA4">
      <w:numFmt w:val="bullet"/>
      <w:lvlText w:val="•"/>
      <w:lvlJc w:val="left"/>
      <w:pPr>
        <w:ind w:left="1684" w:hanging="217"/>
      </w:pPr>
      <w:rPr>
        <w:rFonts w:hint="default"/>
        <w:lang w:val="en-GB" w:eastAsia="en-GB" w:bidi="en-GB"/>
      </w:rPr>
    </w:lvl>
  </w:abstractNum>
  <w:abstractNum w:abstractNumId="1318" w15:restartNumberingAfterBreak="0">
    <w:nsid w:val="765B5428"/>
    <w:multiLevelType w:val="hybridMultilevel"/>
    <w:tmpl w:val="ADCCEA5C"/>
    <w:lvl w:ilvl="0" w:tplc="6FD6FBA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5A43C98">
      <w:numFmt w:val="bullet"/>
      <w:lvlText w:val="•"/>
      <w:lvlJc w:val="left"/>
      <w:pPr>
        <w:ind w:left="473" w:hanging="217"/>
      </w:pPr>
      <w:rPr>
        <w:rFonts w:hint="default"/>
        <w:lang w:val="en-GB" w:eastAsia="en-GB" w:bidi="en-GB"/>
      </w:rPr>
    </w:lvl>
    <w:lvl w:ilvl="2" w:tplc="16BA3912">
      <w:numFmt w:val="bullet"/>
      <w:lvlText w:val="•"/>
      <w:lvlJc w:val="left"/>
      <w:pPr>
        <w:ind w:left="646" w:hanging="217"/>
      </w:pPr>
      <w:rPr>
        <w:rFonts w:hint="default"/>
        <w:lang w:val="en-GB" w:eastAsia="en-GB" w:bidi="en-GB"/>
      </w:rPr>
    </w:lvl>
    <w:lvl w:ilvl="3" w:tplc="AFA87240">
      <w:numFmt w:val="bullet"/>
      <w:lvlText w:val="•"/>
      <w:lvlJc w:val="left"/>
      <w:pPr>
        <w:ind w:left="819" w:hanging="217"/>
      </w:pPr>
      <w:rPr>
        <w:rFonts w:hint="default"/>
        <w:lang w:val="en-GB" w:eastAsia="en-GB" w:bidi="en-GB"/>
      </w:rPr>
    </w:lvl>
    <w:lvl w:ilvl="4" w:tplc="87F0A4A4">
      <w:numFmt w:val="bullet"/>
      <w:lvlText w:val="•"/>
      <w:lvlJc w:val="left"/>
      <w:pPr>
        <w:ind w:left="992" w:hanging="217"/>
      </w:pPr>
      <w:rPr>
        <w:rFonts w:hint="default"/>
        <w:lang w:val="en-GB" w:eastAsia="en-GB" w:bidi="en-GB"/>
      </w:rPr>
    </w:lvl>
    <w:lvl w:ilvl="5" w:tplc="9036E288">
      <w:numFmt w:val="bullet"/>
      <w:lvlText w:val="•"/>
      <w:lvlJc w:val="left"/>
      <w:pPr>
        <w:ind w:left="1165" w:hanging="217"/>
      </w:pPr>
      <w:rPr>
        <w:rFonts w:hint="default"/>
        <w:lang w:val="en-GB" w:eastAsia="en-GB" w:bidi="en-GB"/>
      </w:rPr>
    </w:lvl>
    <w:lvl w:ilvl="6" w:tplc="0DBA1934">
      <w:numFmt w:val="bullet"/>
      <w:lvlText w:val="•"/>
      <w:lvlJc w:val="left"/>
      <w:pPr>
        <w:ind w:left="1338" w:hanging="217"/>
      </w:pPr>
      <w:rPr>
        <w:rFonts w:hint="default"/>
        <w:lang w:val="en-GB" w:eastAsia="en-GB" w:bidi="en-GB"/>
      </w:rPr>
    </w:lvl>
    <w:lvl w:ilvl="7" w:tplc="5C0A4B4C">
      <w:numFmt w:val="bullet"/>
      <w:lvlText w:val="•"/>
      <w:lvlJc w:val="left"/>
      <w:pPr>
        <w:ind w:left="1511" w:hanging="217"/>
      </w:pPr>
      <w:rPr>
        <w:rFonts w:hint="default"/>
        <w:lang w:val="en-GB" w:eastAsia="en-GB" w:bidi="en-GB"/>
      </w:rPr>
    </w:lvl>
    <w:lvl w:ilvl="8" w:tplc="01488F82">
      <w:numFmt w:val="bullet"/>
      <w:lvlText w:val="•"/>
      <w:lvlJc w:val="left"/>
      <w:pPr>
        <w:ind w:left="1684" w:hanging="217"/>
      </w:pPr>
      <w:rPr>
        <w:rFonts w:hint="default"/>
        <w:lang w:val="en-GB" w:eastAsia="en-GB" w:bidi="en-GB"/>
      </w:rPr>
    </w:lvl>
  </w:abstractNum>
  <w:abstractNum w:abstractNumId="1319" w15:restartNumberingAfterBreak="0">
    <w:nsid w:val="768D62AC"/>
    <w:multiLevelType w:val="hybridMultilevel"/>
    <w:tmpl w:val="5FCCA434"/>
    <w:lvl w:ilvl="0" w:tplc="C65E9F1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2C67674">
      <w:numFmt w:val="bullet"/>
      <w:lvlText w:val="•"/>
      <w:lvlJc w:val="left"/>
      <w:pPr>
        <w:ind w:left="473" w:hanging="217"/>
      </w:pPr>
      <w:rPr>
        <w:rFonts w:hint="default"/>
        <w:lang w:val="en-GB" w:eastAsia="en-GB" w:bidi="en-GB"/>
      </w:rPr>
    </w:lvl>
    <w:lvl w:ilvl="2" w:tplc="DD7800A2">
      <w:numFmt w:val="bullet"/>
      <w:lvlText w:val="•"/>
      <w:lvlJc w:val="left"/>
      <w:pPr>
        <w:ind w:left="646" w:hanging="217"/>
      </w:pPr>
      <w:rPr>
        <w:rFonts w:hint="default"/>
        <w:lang w:val="en-GB" w:eastAsia="en-GB" w:bidi="en-GB"/>
      </w:rPr>
    </w:lvl>
    <w:lvl w:ilvl="3" w:tplc="91F29E10">
      <w:numFmt w:val="bullet"/>
      <w:lvlText w:val="•"/>
      <w:lvlJc w:val="left"/>
      <w:pPr>
        <w:ind w:left="819" w:hanging="217"/>
      </w:pPr>
      <w:rPr>
        <w:rFonts w:hint="default"/>
        <w:lang w:val="en-GB" w:eastAsia="en-GB" w:bidi="en-GB"/>
      </w:rPr>
    </w:lvl>
    <w:lvl w:ilvl="4" w:tplc="5CDA7616">
      <w:numFmt w:val="bullet"/>
      <w:lvlText w:val="•"/>
      <w:lvlJc w:val="left"/>
      <w:pPr>
        <w:ind w:left="992" w:hanging="217"/>
      </w:pPr>
      <w:rPr>
        <w:rFonts w:hint="default"/>
        <w:lang w:val="en-GB" w:eastAsia="en-GB" w:bidi="en-GB"/>
      </w:rPr>
    </w:lvl>
    <w:lvl w:ilvl="5" w:tplc="A20C2F84">
      <w:numFmt w:val="bullet"/>
      <w:lvlText w:val="•"/>
      <w:lvlJc w:val="left"/>
      <w:pPr>
        <w:ind w:left="1165" w:hanging="217"/>
      </w:pPr>
      <w:rPr>
        <w:rFonts w:hint="default"/>
        <w:lang w:val="en-GB" w:eastAsia="en-GB" w:bidi="en-GB"/>
      </w:rPr>
    </w:lvl>
    <w:lvl w:ilvl="6" w:tplc="2F2061D6">
      <w:numFmt w:val="bullet"/>
      <w:lvlText w:val="•"/>
      <w:lvlJc w:val="left"/>
      <w:pPr>
        <w:ind w:left="1338" w:hanging="217"/>
      </w:pPr>
      <w:rPr>
        <w:rFonts w:hint="default"/>
        <w:lang w:val="en-GB" w:eastAsia="en-GB" w:bidi="en-GB"/>
      </w:rPr>
    </w:lvl>
    <w:lvl w:ilvl="7" w:tplc="C0146EB0">
      <w:numFmt w:val="bullet"/>
      <w:lvlText w:val="•"/>
      <w:lvlJc w:val="left"/>
      <w:pPr>
        <w:ind w:left="1511" w:hanging="217"/>
      </w:pPr>
      <w:rPr>
        <w:rFonts w:hint="default"/>
        <w:lang w:val="en-GB" w:eastAsia="en-GB" w:bidi="en-GB"/>
      </w:rPr>
    </w:lvl>
    <w:lvl w:ilvl="8" w:tplc="F672386C">
      <w:numFmt w:val="bullet"/>
      <w:lvlText w:val="•"/>
      <w:lvlJc w:val="left"/>
      <w:pPr>
        <w:ind w:left="1684" w:hanging="217"/>
      </w:pPr>
      <w:rPr>
        <w:rFonts w:hint="default"/>
        <w:lang w:val="en-GB" w:eastAsia="en-GB" w:bidi="en-GB"/>
      </w:rPr>
    </w:lvl>
  </w:abstractNum>
  <w:abstractNum w:abstractNumId="1320" w15:restartNumberingAfterBreak="0">
    <w:nsid w:val="768E7928"/>
    <w:multiLevelType w:val="hybridMultilevel"/>
    <w:tmpl w:val="9684EBD2"/>
    <w:lvl w:ilvl="0" w:tplc="90DA5CC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C7E2CAA">
      <w:numFmt w:val="bullet"/>
      <w:lvlText w:val="•"/>
      <w:lvlJc w:val="left"/>
      <w:pPr>
        <w:ind w:left="473" w:hanging="217"/>
      </w:pPr>
      <w:rPr>
        <w:rFonts w:hint="default"/>
        <w:lang w:val="en-GB" w:eastAsia="en-GB" w:bidi="en-GB"/>
      </w:rPr>
    </w:lvl>
    <w:lvl w:ilvl="2" w:tplc="EEE21C38">
      <w:numFmt w:val="bullet"/>
      <w:lvlText w:val="•"/>
      <w:lvlJc w:val="left"/>
      <w:pPr>
        <w:ind w:left="646" w:hanging="217"/>
      </w:pPr>
      <w:rPr>
        <w:rFonts w:hint="default"/>
        <w:lang w:val="en-GB" w:eastAsia="en-GB" w:bidi="en-GB"/>
      </w:rPr>
    </w:lvl>
    <w:lvl w:ilvl="3" w:tplc="0114D0FE">
      <w:numFmt w:val="bullet"/>
      <w:lvlText w:val="•"/>
      <w:lvlJc w:val="left"/>
      <w:pPr>
        <w:ind w:left="819" w:hanging="217"/>
      </w:pPr>
      <w:rPr>
        <w:rFonts w:hint="default"/>
        <w:lang w:val="en-GB" w:eastAsia="en-GB" w:bidi="en-GB"/>
      </w:rPr>
    </w:lvl>
    <w:lvl w:ilvl="4" w:tplc="2B78E380">
      <w:numFmt w:val="bullet"/>
      <w:lvlText w:val="•"/>
      <w:lvlJc w:val="left"/>
      <w:pPr>
        <w:ind w:left="992" w:hanging="217"/>
      </w:pPr>
      <w:rPr>
        <w:rFonts w:hint="default"/>
        <w:lang w:val="en-GB" w:eastAsia="en-GB" w:bidi="en-GB"/>
      </w:rPr>
    </w:lvl>
    <w:lvl w:ilvl="5" w:tplc="23FE119A">
      <w:numFmt w:val="bullet"/>
      <w:lvlText w:val="•"/>
      <w:lvlJc w:val="left"/>
      <w:pPr>
        <w:ind w:left="1165" w:hanging="217"/>
      </w:pPr>
      <w:rPr>
        <w:rFonts w:hint="default"/>
        <w:lang w:val="en-GB" w:eastAsia="en-GB" w:bidi="en-GB"/>
      </w:rPr>
    </w:lvl>
    <w:lvl w:ilvl="6" w:tplc="9A5ADBC6">
      <w:numFmt w:val="bullet"/>
      <w:lvlText w:val="•"/>
      <w:lvlJc w:val="left"/>
      <w:pPr>
        <w:ind w:left="1338" w:hanging="217"/>
      </w:pPr>
      <w:rPr>
        <w:rFonts w:hint="default"/>
        <w:lang w:val="en-GB" w:eastAsia="en-GB" w:bidi="en-GB"/>
      </w:rPr>
    </w:lvl>
    <w:lvl w:ilvl="7" w:tplc="F59CE86C">
      <w:numFmt w:val="bullet"/>
      <w:lvlText w:val="•"/>
      <w:lvlJc w:val="left"/>
      <w:pPr>
        <w:ind w:left="1511" w:hanging="217"/>
      </w:pPr>
      <w:rPr>
        <w:rFonts w:hint="default"/>
        <w:lang w:val="en-GB" w:eastAsia="en-GB" w:bidi="en-GB"/>
      </w:rPr>
    </w:lvl>
    <w:lvl w:ilvl="8" w:tplc="22F2FBBC">
      <w:numFmt w:val="bullet"/>
      <w:lvlText w:val="•"/>
      <w:lvlJc w:val="left"/>
      <w:pPr>
        <w:ind w:left="1684" w:hanging="217"/>
      </w:pPr>
      <w:rPr>
        <w:rFonts w:hint="default"/>
        <w:lang w:val="en-GB" w:eastAsia="en-GB" w:bidi="en-GB"/>
      </w:rPr>
    </w:lvl>
  </w:abstractNum>
  <w:abstractNum w:abstractNumId="1321" w15:restartNumberingAfterBreak="0">
    <w:nsid w:val="76B843B0"/>
    <w:multiLevelType w:val="hybridMultilevel"/>
    <w:tmpl w:val="F080E15A"/>
    <w:lvl w:ilvl="0" w:tplc="F6FA5922">
      <w:numFmt w:val="bullet"/>
      <w:lvlText w:val="•"/>
      <w:lvlJc w:val="left"/>
      <w:pPr>
        <w:ind w:left="303" w:hanging="217"/>
      </w:pPr>
      <w:rPr>
        <w:rFonts w:ascii="Arial" w:eastAsia="Arial" w:hAnsi="Arial" w:cs="Arial" w:hint="default"/>
        <w:color w:val="231F20"/>
        <w:w w:val="102"/>
        <w:sz w:val="17"/>
        <w:szCs w:val="17"/>
        <w:lang w:val="en-GB" w:eastAsia="en-GB" w:bidi="en-GB"/>
      </w:rPr>
    </w:lvl>
    <w:lvl w:ilvl="1" w:tplc="C67E49D4">
      <w:numFmt w:val="bullet"/>
      <w:lvlText w:val="•"/>
      <w:lvlJc w:val="left"/>
      <w:pPr>
        <w:ind w:left="439" w:hanging="217"/>
      </w:pPr>
      <w:rPr>
        <w:rFonts w:hint="default"/>
        <w:lang w:val="en-GB" w:eastAsia="en-GB" w:bidi="en-GB"/>
      </w:rPr>
    </w:lvl>
    <w:lvl w:ilvl="2" w:tplc="A61AC3C4">
      <w:numFmt w:val="bullet"/>
      <w:lvlText w:val="•"/>
      <w:lvlJc w:val="left"/>
      <w:pPr>
        <w:ind w:left="578" w:hanging="217"/>
      </w:pPr>
      <w:rPr>
        <w:rFonts w:hint="default"/>
        <w:lang w:val="en-GB" w:eastAsia="en-GB" w:bidi="en-GB"/>
      </w:rPr>
    </w:lvl>
    <w:lvl w:ilvl="3" w:tplc="BC660F9A">
      <w:numFmt w:val="bullet"/>
      <w:lvlText w:val="•"/>
      <w:lvlJc w:val="left"/>
      <w:pPr>
        <w:ind w:left="717" w:hanging="217"/>
      </w:pPr>
      <w:rPr>
        <w:rFonts w:hint="default"/>
        <w:lang w:val="en-GB" w:eastAsia="en-GB" w:bidi="en-GB"/>
      </w:rPr>
    </w:lvl>
    <w:lvl w:ilvl="4" w:tplc="CA04A4B4">
      <w:numFmt w:val="bullet"/>
      <w:lvlText w:val="•"/>
      <w:lvlJc w:val="left"/>
      <w:pPr>
        <w:ind w:left="856" w:hanging="217"/>
      </w:pPr>
      <w:rPr>
        <w:rFonts w:hint="default"/>
        <w:lang w:val="en-GB" w:eastAsia="en-GB" w:bidi="en-GB"/>
      </w:rPr>
    </w:lvl>
    <w:lvl w:ilvl="5" w:tplc="3FCA97C4">
      <w:numFmt w:val="bullet"/>
      <w:lvlText w:val="•"/>
      <w:lvlJc w:val="left"/>
      <w:pPr>
        <w:ind w:left="995" w:hanging="217"/>
      </w:pPr>
      <w:rPr>
        <w:rFonts w:hint="default"/>
        <w:lang w:val="en-GB" w:eastAsia="en-GB" w:bidi="en-GB"/>
      </w:rPr>
    </w:lvl>
    <w:lvl w:ilvl="6" w:tplc="CF547A8E">
      <w:numFmt w:val="bullet"/>
      <w:lvlText w:val="•"/>
      <w:lvlJc w:val="left"/>
      <w:pPr>
        <w:ind w:left="1134" w:hanging="217"/>
      </w:pPr>
      <w:rPr>
        <w:rFonts w:hint="default"/>
        <w:lang w:val="en-GB" w:eastAsia="en-GB" w:bidi="en-GB"/>
      </w:rPr>
    </w:lvl>
    <w:lvl w:ilvl="7" w:tplc="0E4E3B1C">
      <w:numFmt w:val="bullet"/>
      <w:lvlText w:val="•"/>
      <w:lvlJc w:val="left"/>
      <w:pPr>
        <w:ind w:left="1273" w:hanging="217"/>
      </w:pPr>
      <w:rPr>
        <w:rFonts w:hint="default"/>
        <w:lang w:val="en-GB" w:eastAsia="en-GB" w:bidi="en-GB"/>
      </w:rPr>
    </w:lvl>
    <w:lvl w:ilvl="8" w:tplc="F228A0F0">
      <w:numFmt w:val="bullet"/>
      <w:lvlText w:val="•"/>
      <w:lvlJc w:val="left"/>
      <w:pPr>
        <w:ind w:left="1412" w:hanging="217"/>
      </w:pPr>
      <w:rPr>
        <w:rFonts w:hint="default"/>
        <w:lang w:val="en-GB" w:eastAsia="en-GB" w:bidi="en-GB"/>
      </w:rPr>
    </w:lvl>
  </w:abstractNum>
  <w:abstractNum w:abstractNumId="1322" w15:restartNumberingAfterBreak="0">
    <w:nsid w:val="76CC53D7"/>
    <w:multiLevelType w:val="hybridMultilevel"/>
    <w:tmpl w:val="482291F8"/>
    <w:lvl w:ilvl="0" w:tplc="49CEE06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38D6C31E">
      <w:numFmt w:val="bullet"/>
      <w:lvlText w:val="•"/>
      <w:lvlJc w:val="left"/>
      <w:pPr>
        <w:ind w:left="473" w:hanging="217"/>
      </w:pPr>
      <w:rPr>
        <w:rFonts w:hint="default"/>
        <w:lang w:val="en-GB" w:eastAsia="en-GB" w:bidi="en-GB"/>
      </w:rPr>
    </w:lvl>
    <w:lvl w:ilvl="2" w:tplc="E86C2D0E">
      <w:numFmt w:val="bullet"/>
      <w:lvlText w:val="•"/>
      <w:lvlJc w:val="left"/>
      <w:pPr>
        <w:ind w:left="646" w:hanging="217"/>
      </w:pPr>
      <w:rPr>
        <w:rFonts w:hint="default"/>
        <w:lang w:val="en-GB" w:eastAsia="en-GB" w:bidi="en-GB"/>
      </w:rPr>
    </w:lvl>
    <w:lvl w:ilvl="3" w:tplc="E8A22BE6">
      <w:numFmt w:val="bullet"/>
      <w:lvlText w:val="•"/>
      <w:lvlJc w:val="left"/>
      <w:pPr>
        <w:ind w:left="819" w:hanging="217"/>
      </w:pPr>
      <w:rPr>
        <w:rFonts w:hint="default"/>
        <w:lang w:val="en-GB" w:eastAsia="en-GB" w:bidi="en-GB"/>
      </w:rPr>
    </w:lvl>
    <w:lvl w:ilvl="4" w:tplc="8AECE774">
      <w:numFmt w:val="bullet"/>
      <w:lvlText w:val="•"/>
      <w:lvlJc w:val="left"/>
      <w:pPr>
        <w:ind w:left="992" w:hanging="217"/>
      </w:pPr>
      <w:rPr>
        <w:rFonts w:hint="default"/>
        <w:lang w:val="en-GB" w:eastAsia="en-GB" w:bidi="en-GB"/>
      </w:rPr>
    </w:lvl>
    <w:lvl w:ilvl="5" w:tplc="E80A57CE">
      <w:numFmt w:val="bullet"/>
      <w:lvlText w:val="•"/>
      <w:lvlJc w:val="left"/>
      <w:pPr>
        <w:ind w:left="1165" w:hanging="217"/>
      </w:pPr>
      <w:rPr>
        <w:rFonts w:hint="default"/>
        <w:lang w:val="en-GB" w:eastAsia="en-GB" w:bidi="en-GB"/>
      </w:rPr>
    </w:lvl>
    <w:lvl w:ilvl="6" w:tplc="D9C6FDC2">
      <w:numFmt w:val="bullet"/>
      <w:lvlText w:val="•"/>
      <w:lvlJc w:val="left"/>
      <w:pPr>
        <w:ind w:left="1338" w:hanging="217"/>
      </w:pPr>
      <w:rPr>
        <w:rFonts w:hint="default"/>
        <w:lang w:val="en-GB" w:eastAsia="en-GB" w:bidi="en-GB"/>
      </w:rPr>
    </w:lvl>
    <w:lvl w:ilvl="7" w:tplc="836C32E4">
      <w:numFmt w:val="bullet"/>
      <w:lvlText w:val="•"/>
      <w:lvlJc w:val="left"/>
      <w:pPr>
        <w:ind w:left="1511" w:hanging="217"/>
      </w:pPr>
      <w:rPr>
        <w:rFonts w:hint="default"/>
        <w:lang w:val="en-GB" w:eastAsia="en-GB" w:bidi="en-GB"/>
      </w:rPr>
    </w:lvl>
    <w:lvl w:ilvl="8" w:tplc="A6769BEC">
      <w:numFmt w:val="bullet"/>
      <w:lvlText w:val="•"/>
      <w:lvlJc w:val="left"/>
      <w:pPr>
        <w:ind w:left="1684" w:hanging="217"/>
      </w:pPr>
      <w:rPr>
        <w:rFonts w:hint="default"/>
        <w:lang w:val="en-GB" w:eastAsia="en-GB" w:bidi="en-GB"/>
      </w:rPr>
    </w:lvl>
  </w:abstractNum>
  <w:abstractNum w:abstractNumId="1323" w15:restartNumberingAfterBreak="0">
    <w:nsid w:val="76E45A60"/>
    <w:multiLevelType w:val="hybridMultilevel"/>
    <w:tmpl w:val="9E2A4EFA"/>
    <w:lvl w:ilvl="0" w:tplc="3BF0EF1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01C98DE">
      <w:numFmt w:val="bullet"/>
      <w:lvlText w:val="•"/>
      <w:lvlJc w:val="left"/>
      <w:pPr>
        <w:ind w:left="473" w:hanging="217"/>
      </w:pPr>
      <w:rPr>
        <w:rFonts w:hint="default"/>
        <w:lang w:val="en-GB" w:eastAsia="en-GB" w:bidi="en-GB"/>
      </w:rPr>
    </w:lvl>
    <w:lvl w:ilvl="2" w:tplc="F13C419E">
      <w:numFmt w:val="bullet"/>
      <w:lvlText w:val="•"/>
      <w:lvlJc w:val="left"/>
      <w:pPr>
        <w:ind w:left="646" w:hanging="217"/>
      </w:pPr>
      <w:rPr>
        <w:rFonts w:hint="default"/>
        <w:lang w:val="en-GB" w:eastAsia="en-GB" w:bidi="en-GB"/>
      </w:rPr>
    </w:lvl>
    <w:lvl w:ilvl="3" w:tplc="C04CC758">
      <w:numFmt w:val="bullet"/>
      <w:lvlText w:val="•"/>
      <w:lvlJc w:val="left"/>
      <w:pPr>
        <w:ind w:left="819" w:hanging="217"/>
      </w:pPr>
      <w:rPr>
        <w:rFonts w:hint="default"/>
        <w:lang w:val="en-GB" w:eastAsia="en-GB" w:bidi="en-GB"/>
      </w:rPr>
    </w:lvl>
    <w:lvl w:ilvl="4" w:tplc="F78E862A">
      <w:numFmt w:val="bullet"/>
      <w:lvlText w:val="•"/>
      <w:lvlJc w:val="left"/>
      <w:pPr>
        <w:ind w:left="992" w:hanging="217"/>
      </w:pPr>
      <w:rPr>
        <w:rFonts w:hint="default"/>
        <w:lang w:val="en-GB" w:eastAsia="en-GB" w:bidi="en-GB"/>
      </w:rPr>
    </w:lvl>
    <w:lvl w:ilvl="5" w:tplc="777C4CC0">
      <w:numFmt w:val="bullet"/>
      <w:lvlText w:val="•"/>
      <w:lvlJc w:val="left"/>
      <w:pPr>
        <w:ind w:left="1165" w:hanging="217"/>
      </w:pPr>
      <w:rPr>
        <w:rFonts w:hint="default"/>
        <w:lang w:val="en-GB" w:eastAsia="en-GB" w:bidi="en-GB"/>
      </w:rPr>
    </w:lvl>
    <w:lvl w:ilvl="6" w:tplc="EEFCB924">
      <w:numFmt w:val="bullet"/>
      <w:lvlText w:val="•"/>
      <w:lvlJc w:val="left"/>
      <w:pPr>
        <w:ind w:left="1338" w:hanging="217"/>
      </w:pPr>
      <w:rPr>
        <w:rFonts w:hint="default"/>
        <w:lang w:val="en-GB" w:eastAsia="en-GB" w:bidi="en-GB"/>
      </w:rPr>
    </w:lvl>
    <w:lvl w:ilvl="7" w:tplc="2AFED5A0">
      <w:numFmt w:val="bullet"/>
      <w:lvlText w:val="•"/>
      <w:lvlJc w:val="left"/>
      <w:pPr>
        <w:ind w:left="1511" w:hanging="217"/>
      </w:pPr>
      <w:rPr>
        <w:rFonts w:hint="default"/>
        <w:lang w:val="en-GB" w:eastAsia="en-GB" w:bidi="en-GB"/>
      </w:rPr>
    </w:lvl>
    <w:lvl w:ilvl="8" w:tplc="D6B0A354">
      <w:numFmt w:val="bullet"/>
      <w:lvlText w:val="•"/>
      <w:lvlJc w:val="left"/>
      <w:pPr>
        <w:ind w:left="1684" w:hanging="217"/>
      </w:pPr>
      <w:rPr>
        <w:rFonts w:hint="default"/>
        <w:lang w:val="en-GB" w:eastAsia="en-GB" w:bidi="en-GB"/>
      </w:rPr>
    </w:lvl>
  </w:abstractNum>
  <w:abstractNum w:abstractNumId="1324" w15:restartNumberingAfterBreak="0">
    <w:nsid w:val="770A1130"/>
    <w:multiLevelType w:val="hybridMultilevel"/>
    <w:tmpl w:val="42D8A9CE"/>
    <w:lvl w:ilvl="0" w:tplc="F8846832">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9DEE6584">
      <w:numFmt w:val="bullet"/>
      <w:lvlText w:val="•"/>
      <w:lvlJc w:val="left"/>
      <w:pPr>
        <w:ind w:left="473" w:hanging="217"/>
      </w:pPr>
      <w:rPr>
        <w:rFonts w:hint="default"/>
        <w:lang w:val="en-GB" w:eastAsia="en-GB" w:bidi="en-GB"/>
      </w:rPr>
    </w:lvl>
    <w:lvl w:ilvl="2" w:tplc="D638DC04">
      <w:numFmt w:val="bullet"/>
      <w:lvlText w:val="•"/>
      <w:lvlJc w:val="left"/>
      <w:pPr>
        <w:ind w:left="646" w:hanging="217"/>
      </w:pPr>
      <w:rPr>
        <w:rFonts w:hint="default"/>
        <w:lang w:val="en-GB" w:eastAsia="en-GB" w:bidi="en-GB"/>
      </w:rPr>
    </w:lvl>
    <w:lvl w:ilvl="3" w:tplc="0764FA64">
      <w:numFmt w:val="bullet"/>
      <w:lvlText w:val="•"/>
      <w:lvlJc w:val="left"/>
      <w:pPr>
        <w:ind w:left="819" w:hanging="217"/>
      </w:pPr>
      <w:rPr>
        <w:rFonts w:hint="default"/>
        <w:lang w:val="en-GB" w:eastAsia="en-GB" w:bidi="en-GB"/>
      </w:rPr>
    </w:lvl>
    <w:lvl w:ilvl="4" w:tplc="77E63B08">
      <w:numFmt w:val="bullet"/>
      <w:lvlText w:val="•"/>
      <w:lvlJc w:val="left"/>
      <w:pPr>
        <w:ind w:left="992" w:hanging="217"/>
      </w:pPr>
      <w:rPr>
        <w:rFonts w:hint="default"/>
        <w:lang w:val="en-GB" w:eastAsia="en-GB" w:bidi="en-GB"/>
      </w:rPr>
    </w:lvl>
    <w:lvl w:ilvl="5" w:tplc="321CEDA8">
      <w:numFmt w:val="bullet"/>
      <w:lvlText w:val="•"/>
      <w:lvlJc w:val="left"/>
      <w:pPr>
        <w:ind w:left="1165" w:hanging="217"/>
      </w:pPr>
      <w:rPr>
        <w:rFonts w:hint="default"/>
        <w:lang w:val="en-GB" w:eastAsia="en-GB" w:bidi="en-GB"/>
      </w:rPr>
    </w:lvl>
    <w:lvl w:ilvl="6" w:tplc="048A97AE">
      <w:numFmt w:val="bullet"/>
      <w:lvlText w:val="•"/>
      <w:lvlJc w:val="left"/>
      <w:pPr>
        <w:ind w:left="1338" w:hanging="217"/>
      </w:pPr>
      <w:rPr>
        <w:rFonts w:hint="default"/>
        <w:lang w:val="en-GB" w:eastAsia="en-GB" w:bidi="en-GB"/>
      </w:rPr>
    </w:lvl>
    <w:lvl w:ilvl="7" w:tplc="7F042D34">
      <w:numFmt w:val="bullet"/>
      <w:lvlText w:val="•"/>
      <w:lvlJc w:val="left"/>
      <w:pPr>
        <w:ind w:left="1511" w:hanging="217"/>
      </w:pPr>
      <w:rPr>
        <w:rFonts w:hint="default"/>
        <w:lang w:val="en-GB" w:eastAsia="en-GB" w:bidi="en-GB"/>
      </w:rPr>
    </w:lvl>
    <w:lvl w:ilvl="8" w:tplc="698C834E">
      <w:numFmt w:val="bullet"/>
      <w:lvlText w:val="•"/>
      <w:lvlJc w:val="left"/>
      <w:pPr>
        <w:ind w:left="1684" w:hanging="217"/>
      </w:pPr>
      <w:rPr>
        <w:rFonts w:hint="default"/>
        <w:lang w:val="en-GB" w:eastAsia="en-GB" w:bidi="en-GB"/>
      </w:rPr>
    </w:lvl>
  </w:abstractNum>
  <w:abstractNum w:abstractNumId="1325" w15:restartNumberingAfterBreak="0">
    <w:nsid w:val="771117D2"/>
    <w:multiLevelType w:val="hybridMultilevel"/>
    <w:tmpl w:val="24EAA494"/>
    <w:lvl w:ilvl="0" w:tplc="3D7AED6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228AE96">
      <w:numFmt w:val="bullet"/>
      <w:lvlText w:val="•"/>
      <w:lvlJc w:val="left"/>
      <w:pPr>
        <w:ind w:left="439" w:hanging="217"/>
      </w:pPr>
      <w:rPr>
        <w:rFonts w:hint="default"/>
        <w:lang w:val="en-GB" w:eastAsia="en-GB" w:bidi="en-GB"/>
      </w:rPr>
    </w:lvl>
    <w:lvl w:ilvl="2" w:tplc="52B68702">
      <w:numFmt w:val="bullet"/>
      <w:lvlText w:val="•"/>
      <w:lvlJc w:val="left"/>
      <w:pPr>
        <w:ind w:left="578" w:hanging="217"/>
      </w:pPr>
      <w:rPr>
        <w:rFonts w:hint="default"/>
        <w:lang w:val="en-GB" w:eastAsia="en-GB" w:bidi="en-GB"/>
      </w:rPr>
    </w:lvl>
    <w:lvl w:ilvl="3" w:tplc="EC46C0C6">
      <w:numFmt w:val="bullet"/>
      <w:lvlText w:val="•"/>
      <w:lvlJc w:val="left"/>
      <w:pPr>
        <w:ind w:left="717" w:hanging="217"/>
      </w:pPr>
      <w:rPr>
        <w:rFonts w:hint="default"/>
        <w:lang w:val="en-GB" w:eastAsia="en-GB" w:bidi="en-GB"/>
      </w:rPr>
    </w:lvl>
    <w:lvl w:ilvl="4" w:tplc="F6A22E2A">
      <w:numFmt w:val="bullet"/>
      <w:lvlText w:val="•"/>
      <w:lvlJc w:val="left"/>
      <w:pPr>
        <w:ind w:left="856" w:hanging="217"/>
      </w:pPr>
      <w:rPr>
        <w:rFonts w:hint="default"/>
        <w:lang w:val="en-GB" w:eastAsia="en-GB" w:bidi="en-GB"/>
      </w:rPr>
    </w:lvl>
    <w:lvl w:ilvl="5" w:tplc="58F04482">
      <w:numFmt w:val="bullet"/>
      <w:lvlText w:val="•"/>
      <w:lvlJc w:val="left"/>
      <w:pPr>
        <w:ind w:left="995" w:hanging="217"/>
      </w:pPr>
      <w:rPr>
        <w:rFonts w:hint="default"/>
        <w:lang w:val="en-GB" w:eastAsia="en-GB" w:bidi="en-GB"/>
      </w:rPr>
    </w:lvl>
    <w:lvl w:ilvl="6" w:tplc="92067EE4">
      <w:numFmt w:val="bullet"/>
      <w:lvlText w:val="•"/>
      <w:lvlJc w:val="left"/>
      <w:pPr>
        <w:ind w:left="1134" w:hanging="217"/>
      </w:pPr>
      <w:rPr>
        <w:rFonts w:hint="default"/>
        <w:lang w:val="en-GB" w:eastAsia="en-GB" w:bidi="en-GB"/>
      </w:rPr>
    </w:lvl>
    <w:lvl w:ilvl="7" w:tplc="6FD4A332">
      <w:numFmt w:val="bullet"/>
      <w:lvlText w:val="•"/>
      <w:lvlJc w:val="left"/>
      <w:pPr>
        <w:ind w:left="1273" w:hanging="217"/>
      </w:pPr>
      <w:rPr>
        <w:rFonts w:hint="default"/>
        <w:lang w:val="en-GB" w:eastAsia="en-GB" w:bidi="en-GB"/>
      </w:rPr>
    </w:lvl>
    <w:lvl w:ilvl="8" w:tplc="331E8B34">
      <w:numFmt w:val="bullet"/>
      <w:lvlText w:val="•"/>
      <w:lvlJc w:val="left"/>
      <w:pPr>
        <w:ind w:left="1412" w:hanging="217"/>
      </w:pPr>
      <w:rPr>
        <w:rFonts w:hint="default"/>
        <w:lang w:val="en-GB" w:eastAsia="en-GB" w:bidi="en-GB"/>
      </w:rPr>
    </w:lvl>
  </w:abstractNum>
  <w:abstractNum w:abstractNumId="1326" w15:restartNumberingAfterBreak="0">
    <w:nsid w:val="771706D5"/>
    <w:multiLevelType w:val="hybridMultilevel"/>
    <w:tmpl w:val="76DA2272"/>
    <w:lvl w:ilvl="0" w:tplc="FBCC78E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D6AAB7AE">
      <w:numFmt w:val="bullet"/>
      <w:lvlText w:val="•"/>
      <w:lvlJc w:val="left"/>
      <w:pPr>
        <w:ind w:left="473" w:hanging="217"/>
      </w:pPr>
      <w:rPr>
        <w:rFonts w:hint="default"/>
        <w:lang w:val="en-GB" w:eastAsia="en-GB" w:bidi="en-GB"/>
      </w:rPr>
    </w:lvl>
    <w:lvl w:ilvl="2" w:tplc="443E7C08">
      <w:numFmt w:val="bullet"/>
      <w:lvlText w:val="•"/>
      <w:lvlJc w:val="left"/>
      <w:pPr>
        <w:ind w:left="646" w:hanging="217"/>
      </w:pPr>
      <w:rPr>
        <w:rFonts w:hint="default"/>
        <w:lang w:val="en-GB" w:eastAsia="en-GB" w:bidi="en-GB"/>
      </w:rPr>
    </w:lvl>
    <w:lvl w:ilvl="3" w:tplc="B4EC541C">
      <w:numFmt w:val="bullet"/>
      <w:lvlText w:val="•"/>
      <w:lvlJc w:val="left"/>
      <w:pPr>
        <w:ind w:left="819" w:hanging="217"/>
      </w:pPr>
      <w:rPr>
        <w:rFonts w:hint="default"/>
        <w:lang w:val="en-GB" w:eastAsia="en-GB" w:bidi="en-GB"/>
      </w:rPr>
    </w:lvl>
    <w:lvl w:ilvl="4" w:tplc="32CE7260">
      <w:numFmt w:val="bullet"/>
      <w:lvlText w:val="•"/>
      <w:lvlJc w:val="left"/>
      <w:pPr>
        <w:ind w:left="992" w:hanging="217"/>
      </w:pPr>
      <w:rPr>
        <w:rFonts w:hint="default"/>
        <w:lang w:val="en-GB" w:eastAsia="en-GB" w:bidi="en-GB"/>
      </w:rPr>
    </w:lvl>
    <w:lvl w:ilvl="5" w:tplc="36606730">
      <w:numFmt w:val="bullet"/>
      <w:lvlText w:val="•"/>
      <w:lvlJc w:val="left"/>
      <w:pPr>
        <w:ind w:left="1165" w:hanging="217"/>
      </w:pPr>
      <w:rPr>
        <w:rFonts w:hint="default"/>
        <w:lang w:val="en-GB" w:eastAsia="en-GB" w:bidi="en-GB"/>
      </w:rPr>
    </w:lvl>
    <w:lvl w:ilvl="6" w:tplc="F572C624">
      <w:numFmt w:val="bullet"/>
      <w:lvlText w:val="•"/>
      <w:lvlJc w:val="left"/>
      <w:pPr>
        <w:ind w:left="1338" w:hanging="217"/>
      </w:pPr>
      <w:rPr>
        <w:rFonts w:hint="default"/>
        <w:lang w:val="en-GB" w:eastAsia="en-GB" w:bidi="en-GB"/>
      </w:rPr>
    </w:lvl>
    <w:lvl w:ilvl="7" w:tplc="DFD8E3CE">
      <w:numFmt w:val="bullet"/>
      <w:lvlText w:val="•"/>
      <w:lvlJc w:val="left"/>
      <w:pPr>
        <w:ind w:left="1511" w:hanging="217"/>
      </w:pPr>
      <w:rPr>
        <w:rFonts w:hint="default"/>
        <w:lang w:val="en-GB" w:eastAsia="en-GB" w:bidi="en-GB"/>
      </w:rPr>
    </w:lvl>
    <w:lvl w:ilvl="8" w:tplc="D36C4EEC">
      <w:numFmt w:val="bullet"/>
      <w:lvlText w:val="•"/>
      <w:lvlJc w:val="left"/>
      <w:pPr>
        <w:ind w:left="1684" w:hanging="217"/>
      </w:pPr>
      <w:rPr>
        <w:rFonts w:hint="default"/>
        <w:lang w:val="en-GB" w:eastAsia="en-GB" w:bidi="en-GB"/>
      </w:rPr>
    </w:lvl>
  </w:abstractNum>
  <w:abstractNum w:abstractNumId="1327" w15:restartNumberingAfterBreak="0">
    <w:nsid w:val="77170ECB"/>
    <w:multiLevelType w:val="hybridMultilevel"/>
    <w:tmpl w:val="46580CFE"/>
    <w:lvl w:ilvl="0" w:tplc="C956A55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AD52D430">
      <w:numFmt w:val="bullet"/>
      <w:lvlText w:val="•"/>
      <w:lvlJc w:val="left"/>
      <w:pPr>
        <w:ind w:left="892" w:hanging="217"/>
      </w:pPr>
      <w:rPr>
        <w:rFonts w:hint="default"/>
        <w:lang w:val="en-GB" w:eastAsia="en-GB" w:bidi="en-GB"/>
      </w:rPr>
    </w:lvl>
    <w:lvl w:ilvl="2" w:tplc="F2F89974">
      <w:numFmt w:val="bullet"/>
      <w:lvlText w:val="•"/>
      <w:lvlJc w:val="left"/>
      <w:pPr>
        <w:ind w:left="1485" w:hanging="217"/>
      </w:pPr>
      <w:rPr>
        <w:rFonts w:hint="default"/>
        <w:lang w:val="en-GB" w:eastAsia="en-GB" w:bidi="en-GB"/>
      </w:rPr>
    </w:lvl>
    <w:lvl w:ilvl="3" w:tplc="76340EDE">
      <w:numFmt w:val="bullet"/>
      <w:lvlText w:val="•"/>
      <w:lvlJc w:val="left"/>
      <w:pPr>
        <w:ind w:left="2077" w:hanging="217"/>
      </w:pPr>
      <w:rPr>
        <w:rFonts w:hint="default"/>
        <w:lang w:val="en-GB" w:eastAsia="en-GB" w:bidi="en-GB"/>
      </w:rPr>
    </w:lvl>
    <w:lvl w:ilvl="4" w:tplc="B476BEBC">
      <w:numFmt w:val="bullet"/>
      <w:lvlText w:val="•"/>
      <w:lvlJc w:val="left"/>
      <w:pPr>
        <w:ind w:left="2670" w:hanging="217"/>
      </w:pPr>
      <w:rPr>
        <w:rFonts w:hint="default"/>
        <w:lang w:val="en-GB" w:eastAsia="en-GB" w:bidi="en-GB"/>
      </w:rPr>
    </w:lvl>
    <w:lvl w:ilvl="5" w:tplc="C39CD02A">
      <w:numFmt w:val="bullet"/>
      <w:lvlText w:val="•"/>
      <w:lvlJc w:val="left"/>
      <w:pPr>
        <w:ind w:left="3263" w:hanging="217"/>
      </w:pPr>
      <w:rPr>
        <w:rFonts w:hint="default"/>
        <w:lang w:val="en-GB" w:eastAsia="en-GB" w:bidi="en-GB"/>
      </w:rPr>
    </w:lvl>
    <w:lvl w:ilvl="6" w:tplc="56B85316">
      <w:numFmt w:val="bullet"/>
      <w:lvlText w:val="•"/>
      <w:lvlJc w:val="left"/>
      <w:pPr>
        <w:ind w:left="3855" w:hanging="217"/>
      </w:pPr>
      <w:rPr>
        <w:rFonts w:hint="default"/>
        <w:lang w:val="en-GB" w:eastAsia="en-GB" w:bidi="en-GB"/>
      </w:rPr>
    </w:lvl>
    <w:lvl w:ilvl="7" w:tplc="E3AAA320">
      <w:numFmt w:val="bullet"/>
      <w:lvlText w:val="•"/>
      <w:lvlJc w:val="left"/>
      <w:pPr>
        <w:ind w:left="4448" w:hanging="217"/>
      </w:pPr>
      <w:rPr>
        <w:rFonts w:hint="default"/>
        <w:lang w:val="en-GB" w:eastAsia="en-GB" w:bidi="en-GB"/>
      </w:rPr>
    </w:lvl>
    <w:lvl w:ilvl="8" w:tplc="87C8757A">
      <w:numFmt w:val="bullet"/>
      <w:lvlText w:val="•"/>
      <w:lvlJc w:val="left"/>
      <w:pPr>
        <w:ind w:left="5040" w:hanging="217"/>
      </w:pPr>
      <w:rPr>
        <w:rFonts w:hint="default"/>
        <w:lang w:val="en-GB" w:eastAsia="en-GB" w:bidi="en-GB"/>
      </w:rPr>
    </w:lvl>
  </w:abstractNum>
  <w:abstractNum w:abstractNumId="1328" w15:restartNumberingAfterBreak="0">
    <w:nsid w:val="77456A83"/>
    <w:multiLevelType w:val="hybridMultilevel"/>
    <w:tmpl w:val="F1144BAC"/>
    <w:lvl w:ilvl="0" w:tplc="676E4DB0">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C74ADB4E">
      <w:numFmt w:val="bullet"/>
      <w:lvlText w:val="•"/>
      <w:lvlJc w:val="left"/>
      <w:pPr>
        <w:ind w:left="1348" w:hanging="114"/>
      </w:pPr>
      <w:rPr>
        <w:rFonts w:hint="default"/>
        <w:lang w:val="en-GB" w:eastAsia="en-GB" w:bidi="en-GB"/>
      </w:rPr>
    </w:lvl>
    <w:lvl w:ilvl="2" w:tplc="D01EBB9E">
      <w:numFmt w:val="bullet"/>
      <w:lvlText w:val="•"/>
      <w:lvlJc w:val="left"/>
      <w:pPr>
        <w:ind w:left="2377" w:hanging="114"/>
      </w:pPr>
      <w:rPr>
        <w:rFonts w:hint="default"/>
        <w:lang w:val="en-GB" w:eastAsia="en-GB" w:bidi="en-GB"/>
      </w:rPr>
    </w:lvl>
    <w:lvl w:ilvl="3" w:tplc="378A3004">
      <w:numFmt w:val="bullet"/>
      <w:lvlText w:val="•"/>
      <w:lvlJc w:val="left"/>
      <w:pPr>
        <w:ind w:left="3405" w:hanging="114"/>
      </w:pPr>
      <w:rPr>
        <w:rFonts w:hint="default"/>
        <w:lang w:val="en-GB" w:eastAsia="en-GB" w:bidi="en-GB"/>
      </w:rPr>
    </w:lvl>
    <w:lvl w:ilvl="4" w:tplc="6F5C9EEA">
      <w:numFmt w:val="bullet"/>
      <w:lvlText w:val="•"/>
      <w:lvlJc w:val="left"/>
      <w:pPr>
        <w:ind w:left="4434" w:hanging="114"/>
      </w:pPr>
      <w:rPr>
        <w:rFonts w:hint="default"/>
        <w:lang w:val="en-GB" w:eastAsia="en-GB" w:bidi="en-GB"/>
      </w:rPr>
    </w:lvl>
    <w:lvl w:ilvl="5" w:tplc="18D285A8">
      <w:numFmt w:val="bullet"/>
      <w:lvlText w:val="•"/>
      <w:lvlJc w:val="left"/>
      <w:pPr>
        <w:ind w:left="5462" w:hanging="114"/>
      </w:pPr>
      <w:rPr>
        <w:rFonts w:hint="default"/>
        <w:lang w:val="en-GB" w:eastAsia="en-GB" w:bidi="en-GB"/>
      </w:rPr>
    </w:lvl>
    <w:lvl w:ilvl="6" w:tplc="13088CFA">
      <w:numFmt w:val="bullet"/>
      <w:lvlText w:val="•"/>
      <w:lvlJc w:val="left"/>
      <w:pPr>
        <w:ind w:left="6491" w:hanging="114"/>
      </w:pPr>
      <w:rPr>
        <w:rFonts w:hint="default"/>
        <w:lang w:val="en-GB" w:eastAsia="en-GB" w:bidi="en-GB"/>
      </w:rPr>
    </w:lvl>
    <w:lvl w:ilvl="7" w:tplc="D1E28B9A">
      <w:numFmt w:val="bullet"/>
      <w:lvlText w:val="•"/>
      <w:lvlJc w:val="left"/>
      <w:pPr>
        <w:ind w:left="7519" w:hanging="114"/>
      </w:pPr>
      <w:rPr>
        <w:rFonts w:hint="default"/>
        <w:lang w:val="en-GB" w:eastAsia="en-GB" w:bidi="en-GB"/>
      </w:rPr>
    </w:lvl>
    <w:lvl w:ilvl="8" w:tplc="F38E5668">
      <w:numFmt w:val="bullet"/>
      <w:lvlText w:val="•"/>
      <w:lvlJc w:val="left"/>
      <w:pPr>
        <w:ind w:left="8548" w:hanging="114"/>
      </w:pPr>
      <w:rPr>
        <w:rFonts w:hint="default"/>
        <w:lang w:val="en-GB" w:eastAsia="en-GB" w:bidi="en-GB"/>
      </w:rPr>
    </w:lvl>
  </w:abstractNum>
  <w:abstractNum w:abstractNumId="1329" w15:restartNumberingAfterBreak="0">
    <w:nsid w:val="774905CF"/>
    <w:multiLevelType w:val="hybridMultilevel"/>
    <w:tmpl w:val="0164A4E8"/>
    <w:lvl w:ilvl="0" w:tplc="04D846D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8081A08">
      <w:numFmt w:val="bullet"/>
      <w:lvlText w:val="•"/>
      <w:lvlJc w:val="left"/>
      <w:pPr>
        <w:ind w:left="892" w:hanging="217"/>
      </w:pPr>
      <w:rPr>
        <w:rFonts w:hint="default"/>
        <w:lang w:val="en-GB" w:eastAsia="en-GB" w:bidi="en-GB"/>
      </w:rPr>
    </w:lvl>
    <w:lvl w:ilvl="2" w:tplc="1514272C">
      <w:numFmt w:val="bullet"/>
      <w:lvlText w:val="•"/>
      <w:lvlJc w:val="left"/>
      <w:pPr>
        <w:ind w:left="1485" w:hanging="217"/>
      </w:pPr>
      <w:rPr>
        <w:rFonts w:hint="default"/>
        <w:lang w:val="en-GB" w:eastAsia="en-GB" w:bidi="en-GB"/>
      </w:rPr>
    </w:lvl>
    <w:lvl w:ilvl="3" w:tplc="0A1C3B02">
      <w:numFmt w:val="bullet"/>
      <w:lvlText w:val="•"/>
      <w:lvlJc w:val="left"/>
      <w:pPr>
        <w:ind w:left="2077" w:hanging="217"/>
      </w:pPr>
      <w:rPr>
        <w:rFonts w:hint="default"/>
        <w:lang w:val="en-GB" w:eastAsia="en-GB" w:bidi="en-GB"/>
      </w:rPr>
    </w:lvl>
    <w:lvl w:ilvl="4" w:tplc="441EBF86">
      <w:numFmt w:val="bullet"/>
      <w:lvlText w:val="•"/>
      <w:lvlJc w:val="left"/>
      <w:pPr>
        <w:ind w:left="2670" w:hanging="217"/>
      </w:pPr>
      <w:rPr>
        <w:rFonts w:hint="default"/>
        <w:lang w:val="en-GB" w:eastAsia="en-GB" w:bidi="en-GB"/>
      </w:rPr>
    </w:lvl>
    <w:lvl w:ilvl="5" w:tplc="FB1618B6">
      <w:numFmt w:val="bullet"/>
      <w:lvlText w:val="•"/>
      <w:lvlJc w:val="left"/>
      <w:pPr>
        <w:ind w:left="3263" w:hanging="217"/>
      </w:pPr>
      <w:rPr>
        <w:rFonts w:hint="default"/>
        <w:lang w:val="en-GB" w:eastAsia="en-GB" w:bidi="en-GB"/>
      </w:rPr>
    </w:lvl>
    <w:lvl w:ilvl="6" w:tplc="5F0CA412">
      <w:numFmt w:val="bullet"/>
      <w:lvlText w:val="•"/>
      <w:lvlJc w:val="left"/>
      <w:pPr>
        <w:ind w:left="3855" w:hanging="217"/>
      </w:pPr>
      <w:rPr>
        <w:rFonts w:hint="default"/>
        <w:lang w:val="en-GB" w:eastAsia="en-GB" w:bidi="en-GB"/>
      </w:rPr>
    </w:lvl>
    <w:lvl w:ilvl="7" w:tplc="F1144264">
      <w:numFmt w:val="bullet"/>
      <w:lvlText w:val="•"/>
      <w:lvlJc w:val="left"/>
      <w:pPr>
        <w:ind w:left="4448" w:hanging="217"/>
      </w:pPr>
      <w:rPr>
        <w:rFonts w:hint="default"/>
        <w:lang w:val="en-GB" w:eastAsia="en-GB" w:bidi="en-GB"/>
      </w:rPr>
    </w:lvl>
    <w:lvl w:ilvl="8" w:tplc="65DC4392">
      <w:numFmt w:val="bullet"/>
      <w:lvlText w:val="•"/>
      <w:lvlJc w:val="left"/>
      <w:pPr>
        <w:ind w:left="5040" w:hanging="217"/>
      </w:pPr>
      <w:rPr>
        <w:rFonts w:hint="default"/>
        <w:lang w:val="en-GB" w:eastAsia="en-GB" w:bidi="en-GB"/>
      </w:rPr>
    </w:lvl>
  </w:abstractNum>
  <w:abstractNum w:abstractNumId="1330" w15:restartNumberingAfterBreak="0">
    <w:nsid w:val="77653D99"/>
    <w:multiLevelType w:val="hybridMultilevel"/>
    <w:tmpl w:val="B6A0A406"/>
    <w:lvl w:ilvl="0" w:tplc="14FE9168">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E4342F58">
      <w:numFmt w:val="bullet"/>
      <w:lvlText w:val="•"/>
      <w:lvlJc w:val="left"/>
      <w:pPr>
        <w:ind w:left="473" w:hanging="217"/>
      </w:pPr>
      <w:rPr>
        <w:rFonts w:hint="default"/>
        <w:lang w:val="en-GB" w:eastAsia="en-GB" w:bidi="en-GB"/>
      </w:rPr>
    </w:lvl>
    <w:lvl w:ilvl="2" w:tplc="CC1E560C">
      <w:numFmt w:val="bullet"/>
      <w:lvlText w:val="•"/>
      <w:lvlJc w:val="left"/>
      <w:pPr>
        <w:ind w:left="646" w:hanging="217"/>
      </w:pPr>
      <w:rPr>
        <w:rFonts w:hint="default"/>
        <w:lang w:val="en-GB" w:eastAsia="en-GB" w:bidi="en-GB"/>
      </w:rPr>
    </w:lvl>
    <w:lvl w:ilvl="3" w:tplc="A364CE16">
      <w:numFmt w:val="bullet"/>
      <w:lvlText w:val="•"/>
      <w:lvlJc w:val="left"/>
      <w:pPr>
        <w:ind w:left="819" w:hanging="217"/>
      </w:pPr>
      <w:rPr>
        <w:rFonts w:hint="default"/>
        <w:lang w:val="en-GB" w:eastAsia="en-GB" w:bidi="en-GB"/>
      </w:rPr>
    </w:lvl>
    <w:lvl w:ilvl="4" w:tplc="96FCB8CE">
      <w:numFmt w:val="bullet"/>
      <w:lvlText w:val="•"/>
      <w:lvlJc w:val="left"/>
      <w:pPr>
        <w:ind w:left="992" w:hanging="217"/>
      </w:pPr>
      <w:rPr>
        <w:rFonts w:hint="default"/>
        <w:lang w:val="en-GB" w:eastAsia="en-GB" w:bidi="en-GB"/>
      </w:rPr>
    </w:lvl>
    <w:lvl w:ilvl="5" w:tplc="572C930E">
      <w:numFmt w:val="bullet"/>
      <w:lvlText w:val="•"/>
      <w:lvlJc w:val="left"/>
      <w:pPr>
        <w:ind w:left="1165" w:hanging="217"/>
      </w:pPr>
      <w:rPr>
        <w:rFonts w:hint="default"/>
        <w:lang w:val="en-GB" w:eastAsia="en-GB" w:bidi="en-GB"/>
      </w:rPr>
    </w:lvl>
    <w:lvl w:ilvl="6" w:tplc="F6325F10">
      <w:numFmt w:val="bullet"/>
      <w:lvlText w:val="•"/>
      <w:lvlJc w:val="left"/>
      <w:pPr>
        <w:ind w:left="1338" w:hanging="217"/>
      </w:pPr>
      <w:rPr>
        <w:rFonts w:hint="default"/>
        <w:lang w:val="en-GB" w:eastAsia="en-GB" w:bidi="en-GB"/>
      </w:rPr>
    </w:lvl>
    <w:lvl w:ilvl="7" w:tplc="5CB64D0A">
      <w:numFmt w:val="bullet"/>
      <w:lvlText w:val="•"/>
      <w:lvlJc w:val="left"/>
      <w:pPr>
        <w:ind w:left="1511" w:hanging="217"/>
      </w:pPr>
      <w:rPr>
        <w:rFonts w:hint="default"/>
        <w:lang w:val="en-GB" w:eastAsia="en-GB" w:bidi="en-GB"/>
      </w:rPr>
    </w:lvl>
    <w:lvl w:ilvl="8" w:tplc="0C78C04C">
      <w:numFmt w:val="bullet"/>
      <w:lvlText w:val="•"/>
      <w:lvlJc w:val="left"/>
      <w:pPr>
        <w:ind w:left="1684" w:hanging="217"/>
      </w:pPr>
      <w:rPr>
        <w:rFonts w:hint="default"/>
        <w:lang w:val="en-GB" w:eastAsia="en-GB" w:bidi="en-GB"/>
      </w:rPr>
    </w:lvl>
  </w:abstractNum>
  <w:abstractNum w:abstractNumId="1331" w15:restartNumberingAfterBreak="0">
    <w:nsid w:val="776C2982"/>
    <w:multiLevelType w:val="hybridMultilevel"/>
    <w:tmpl w:val="26D8AF18"/>
    <w:lvl w:ilvl="0" w:tplc="AFA2522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8143E86">
      <w:numFmt w:val="bullet"/>
      <w:lvlText w:val="•"/>
      <w:lvlJc w:val="left"/>
      <w:pPr>
        <w:ind w:left="439" w:hanging="217"/>
      </w:pPr>
      <w:rPr>
        <w:rFonts w:hint="default"/>
        <w:lang w:val="en-GB" w:eastAsia="en-GB" w:bidi="en-GB"/>
      </w:rPr>
    </w:lvl>
    <w:lvl w:ilvl="2" w:tplc="0854F6E8">
      <w:numFmt w:val="bullet"/>
      <w:lvlText w:val="•"/>
      <w:lvlJc w:val="left"/>
      <w:pPr>
        <w:ind w:left="578" w:hanging="217"/>
      </w:pPr>
      <w:rPr>
        <w:rFonts w:hint="default"/>
        <w:lang w:val="en-GB" w:eastAsia="en-GB" w:bidi="en-GB"/>
      </w:rPr>
    </w:lvl>
    <w:lvl w:ilvl="3" w:tplc="A88A41BA">
      <w:numFmt w:val="bullet"/>
      <w:lvlText w:val="•"/>
      <w:lvlJc w:val="left"/>
      <w:pPr>
        <w:ind w:left="717" w:hanging="217"/>
      </w:pPr>
      <w:rPr>
        <w:rFonts w:hint="default"/>
        <w:lang w:val="en-GB" w:eastAsia="en-GB" w:bidi="en-GB"/>
      </w:rPr>
    </w:lvl>
    <w:lvl w:ilvl="4" w:tplc="D7569208">
      <w:numFmt w:val="bullet"/>
      <w:lvlText w:val="•"/>
      <w:lvlJc w:val="left"/>
      <w:pPr>
        <w:ind w:left="856" w:hanging="217"/>
      </w:pPr>
      <w:rPr>
        <w:rFonts w:hint="default"/>
        <w:lang w:val="en-GB" w:eastAsia="en-GB" w:bidi="en-GB"/>
      </w:rPr>
    </w:lvl>
    <w:lvl w:ilvl="5" w:tplc="C2584EBC">
      <w:numFmt w:val="bullet"/>
      <w:lvlText w:val="•"/>
      <w:lvlJc w:val="left"/>
      <w:pPr>
        <w:ind w:left="995" w:hanging="217"/>
      </w:pPr>
      <w:rPr>
        <w:rFonts w:hint="default"/>
        <w:lang w:val="en-GB" w:eastAsia="en-GB" w:bidi="en-GB"/>
      </w:rPr>
    </w:lvl>
    <w:lvl w:ilvl="6" w:tplc="FCBE993A">
      <w:numFmt w:val="bullet"/>
      <w:lvlText w:val="•"/>
      <w:lvlJc w:val="left"/>
      <w:pPr>
        <w:ind w:left="1134" w:hanging="217"/>
      </w:pPr>
      <w:rPr>
        <w:rFonts w:hint="default"/>
        <w:lang w:val="en-GB" w:eastAsia="en-GB" w:bidi="en-GB"/>
      </w:rPr>
    </w:lvl>
    <w:lvl w:ilvl="7" w:tplc="EE64F964">
      <w:numFmt w:val="bullet"/>
      <w:lvlText w:val="•"/>
      <w:lvlJc w:val="left"/>
      <w:pPr>
        <w:ind w:left="1273" w:hanging="217"/>
      </w:pPr>
      <w:rPr>
        <w:rFonts w:hint="default"/>
        <w:lang w:val="en-GB" w:eastAsia="en-GB" w:bidi="en-GB"/>
      </w:rPr>
    </w:lvl>
    <w:lvl w:ilvl="8" w:tplc="069000C4">
      <w:numFmt w:val="bullet"/>
      <w:lvlText w:val="•"/>
      <w:lvlJc w:val="left"/>
      <w:pPr>
        <w:ind w:left="1412" w:hanging="217"/>
      </w:pPr>
      <w:rPr>
        <w:rFonts w:hint="default"/>
        <w:lang w:val="en-GB" w:eastAsia="en-GB" w:bidi="en-GB"/>
      </w:rPr>
    </w:lvl>
  </w:abstractNum>
  <w:abstractNum w:abstractNumId="1332" w15:restartNumberingAfterBreak="0">
    <w:nsid w:val="77857B80"/>
    <w:multiLevelType w:val="hybridMultilevel"/>
    <w:tmpl w:val="56D0CFC6"/>
    <w:lvl w:ilvl="0" w:tplc="7898CA8E">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29063D32">
      <w:numFmt w:val="bullet"/>
      <w:lvlText w:val="•"/>
      <w:lvlJc w:val="left"/>
      <w:pPr>
        <w:ind w:left="544" w:hanging="217"/>
      </w:pPr>
      <w:rPr>
        <w:rFonts w:hint="default"/>
        <w:lang w:val="en-GB" w:eastAsia="en-GB" w:bidi="en-GB"/>
      </w:rPr>
    </w:lvl>
    <w:lvl w:ilvl="2" w:tplc="14A8B724">
      <w:numFmt w:val="bullet"/>
      <w:lvlText w:val="•"/>
      <w:lvlJc w:val="left"/>
      <w:pPr>
        <w:ind w:left="788" w:hanging="217"/>
      </w:pPr>
      <w:rPr>
        <w:rFonts w:hint="default"/>
        <w:lang w:val="en-GB" w:eastAsia="en-GB" w:bidi="en-GB"/>
      </w:rPr>
    </w:lvl>
    <w:lvl w:ilvl="3" w:tplc="685603E4">
      <w:numFmt w:val="bullet"/>
      <w:lvlText w:val="•"/>
      <w:lvlJc w:val="left"/>
      <w:pPr>
        <w:ind w:left="1032" w:hanging="217"/>
      </w:pPr>
      <w:rPr>
        <w:rFonts w:hint="default"/>
        <w:lang w:val="en-GB" w:eastAsia="en-GB" w:bidi="en-GB"/>
      </w:rPr>
    </w:lvl>
    <w:lvl w:ilvl="4" w:tplc="82F8E7EA">
      <w:numFmt w:val="bullet"/>
      <w:lvlText w:val="•"/>
      <w:lvlJc w:val="left"/>
      <w:pPr>
        <w:ind w:left="1276" w:hanging="217"/>
      </w:pPr>
      <w:rPr>
        <w:rFonts w:hint="default"/>
        <w:lang w:val="en-GB" w:eastAsia="en-GB" w:bidi="en-GB"/>
      </w:rPr>
    </w:lvl>
    <w:lvl w:ilvl="5" w:tplc="B14E9E10">
      <w:numFmt w:val="bullet"/>
      <w:lvlText w:val="•"/>
      <w:lvlJc w:val="left"/>
      <w:pPr>
        <w:ind w:left="1520" w:hanging="217"/>
      </w:pPr>
      <w:rPr>
        <w:rFonts w:hint="default"/>
        <w:lang w:val="en-GB" w:eastAsia="en-GB" w:bidi="en-GB"/>
      </w:rPr>
    </w:lvl>
    <w:lvl w:ilvl="6" w:tplc="647AF9A8">
      <w:numFmt w:val="bullet"/>
      <w:lvlText w:val="•"/>
      <w:lvlJc w:val="left"/>
      <w:pPr>
        <w:ind w:left="1764" w:hanging="217"/>
      </w:pPr>
      <w:rPr>
        <w:rFonts w:hint="default"/>
        <w:lang w:val="en-GB" w:eastAsia="en-GB" w:bidi="en-GB"/>
      </w:rPr>
    </w:lvl>
    <w:lvl w:ilvl="7" w:tplc="5A6A1612">
      <w:numFmt w:val="bullet"/>
      <w:lvlText w:val="•"/>
      <w:lvlJc w:val="left"/>
      <w:pPr>
        <w:ind w:left="2008" w:hanging="217"/>
      </w:pPr>
      <w:rPr>
        <w:rFonts w:hint="default"/>
        <w:lang w:val="en-GB" w:eastAsia="en-GB" w:bidi="en-GB"/>
      </w:rPr>
    </w:lvl>
    <w:lvl w:ilvl="8" w:tplc="EDBA8058">
      <w:numFmt w:val="bullet"/>
      <w:lvlText w:val="•"/>
      <w:lvlJc w:val="left"/>
      <w:pPr>
        <w:ind w:left="2252" w:hanging="217"/>
      </w:pPr>
      <w:rPr>
        <w:rFonts w:hint="default"/>
        <w:lang w:val="en-GB" w:eastAsia="en-GB" w:bidi="en-GB"/>
      </w:rPr>
    </w:lvl>
  </w:abstractNum>
  <w:abstractNum w:abstractNumId="1333" w15:restartNumberingAfterBreak="0">
    <w:nsid w:val="77913544"/>
    <w:multiLevelType w:val="hybridMultilevel"/>
    <w:tmpl w:val="5AE0ADD4"/>
    <w:lvl w:ilvl="0" w:tplc="2350154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B9743B44">
      <w:numFmt w:val="bullet"/>
      <w:lvlText w:val="•"/>
      <w:lvlJc w:val="left"/>
      <w:pPr>
        <w:ind w:left="439" w:hanging="217"/>
      </w:pPr>
      <w:rPr>
        <w:rFonts w:hint="default"/>
        <w:lang w:val="en-GB" w:eastAsia="en-GB" w:bidi="en-GB"/>
      </w:rPr>
    </w:lvl>
    <w:lvl w:ilvl="2" w:tplc="07465FBE">
      <w:numFmt w:val="bullet"/>
      <w:lvlText w:val="•"/>
      <w:lvlJc w:val="left"/>
      <w:pPr>
        <w:ind w:left="578" w:hanging="217"/>
      </w:pPr>
      <w:rPr>
        <w:rFonts w:hint="default"/>
        <w:lang w:val="en-GB" w:eastAsia="en-GB" w:bidi="en-GB"/>
      </w:rPr>
    </w:lvl>
    <w:lvl w:ilvl="3" w:tplc="87880AE0">
      <w:numFmt w:val="bullet"/>
      <w:lvlText w:val="•"/>
      <w:lvlJc w:val="left"/>
      <w:pPr>
        <w:ind w:left="717" w:hanging="217"/>
      </w:pPr>
      <w:rPr>
        <w:rFonts w:hint="default"/>
        <w:lang w:val="en-GB" w:eastAsia="en-GB" w:bidi="en-GB"/>
      </w:rPr>
    </w:lvl>
    <w:lvl w:ilvl="4" w:tplc="9DF68E72">
      <w:numFmt w:val="bullet"/>
      <w:lvlText w:val="•"/>
      <w:lvlJc w:val="left"/>
      <w:pPr>
        <w:ind w:left="856" w:hanging="217"/>
      </w:pPr>
      <w:rPr>
        <w:rFonts w:hint="default"/>
        <w:lang w:val="en-GB" w:eastAsia="en-GB" w:bidi="en-GB"/>
      </w:rPr>
    </w:lvl>
    <w:lvl w:ilvl="5" w:tplc="0CA8E350">
      <w:numFmt w:val="bullet"/>
      <w:lvlText w:val="•"/>
      <w:lvlJc w:val="left"/>
      <w:pPr>
        <w:ind w:left="995" w:hanging="217"/>
      </w:pPr>
      <w:rPr>
        <w:rFonts w:hint="default"/>
        <w:lang w:val="en-GB" w:eastAsia="en-GB" w:bidi="en-GB"/>
      </w:rPr>
    </w:lvl>
    <w:lvl w:ilvl="6" w:tplc="11F2BF7A">
      <w:numFmt w:val="bullet"/>
      <w:lvlText w:val="•"/>
      <w:lvlJc w:val="left"/>
      <w:pPr>
        <w:ind w:left="1134" w:hanging="217"/>
      </w:pPr>
      <w:rPr>
        <w:rFonts w:hint="default"/>
        <w:lang w:val="en-GB" w:eastAsia="en-GB" w:bidi="en-GB"/>
      </w:rPr>
    </w:lvl>
    <w:lvl w:ilvl="7" w:tplc="3CCAA4C6">
      <w:numFmt w:val="bullet"/>
      <w:lvlText w:val="•"/>
      <w:lvlJc w:val="left"/>
      <w:pPr>
        <w:ind w:left="1273" w:hanging="217"/>
      </w:pPr>
      <w:rPr>
        <w:rFonts w:hint="default"/>
        <w:lang w:val="en-GB" w:eastAsia="en-GB" w:bidi="en-GB"/>
      </w:rPr>
    </w:lvl>
    <w:lvl w:ilvl="8" w:tplc="DF6E323E">
      <w:numFmt w:val="bullet"/>
      <w:lvlText w:val="•"/>
      <w:lvlJc w:val="left"/>
      <w:pPr>
        <w:ind w:left="1412" w:hanging="217"/>
      </w:pPr>
      <w:rPr>
        <w:rFonts w:hint="default"/>
        <w:lang w:val="en-GB" w:eastAsia="en-GB" w:bidi="en-GB"/>
      </w:rPr>
    </w:lvl>
  </w:abstractNum>
  <w:abstractNum w:abstractNumId="1334" w15:restartNumberingAfterBreak="0">
    <w:nsid w:val="77B701BD"/>
    <w:multiLevelType w:val="hybridMultilevel"/>
    <w:tmpl w:val="BF4EAD98"/>
    <w:lvl w:ilvl="0" w:tplc="139C8C46">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7685C94">
      <w:numFmt w:val="bullet"/>
      <w:lvlText w:val="•"/>
      <w:lvlJc w:val="left"/>
      <w:pPr>
        <w:ind w:left="473" w:hanging="217"/>
      </w:pPr>
      <w:rPr>
        <w:rFonts w:hint="default"/>
        <w:lang w:val="en-GB" w:eastAsia="en-GB" w:bidi="en-GB"/>
      </w:rPr>
    </w:lvl>
    <w:lvl w:ilvl="2" w:tplc="378C4CAA">
      <w:numFmt w:val="bullet"/>
      <w:lvlText w:val="•"/>
      <w:lvlJc w:val="left"/>
      <w:pPr>
        <w:ind w:left="646" w:hanging="217"/>
      </w:pPr>
      <w:rPr>
        <w:rFonts w:hint="default"/>
        <w:lang w:val="en-GB" w:eastAsia="en-GB" w:bidi="en-GB"/>
      </w:rPr>
    </w:lvl>
    <w:lvl w:ilvl="3" w:tplc="777428D6">
      <w:numFmt w:val="bullet"/>
      <w:lvlText w:val="•"/>
      <w:lvlJc w:val="left"/>
      <w:pPr>
        <w:ind w:left="819" w:hanging="217"/>
      </w:pPr>
      <w:rPr>
        <w:rFonts w:hint="default"/>
        <w:lang w:val="en-GB" w:eastAsia="en-GB" w:bidi="en-GB"/>
      </w:rPr>
    </w:lvl>
    <w:lvl w:ilvl="4" w:tplc="0A083524">
      <w:numFmt w:val="bullet"/>
      <w:lvlText w:val="•"/>
      <w:lvlJc w:val="left"/>
      <w:pPr>
        <w:ind w:left="992" w:hanging="217"/>
      </w:pPr>
      <w:rPr>
        <w:rFonts w:hint="default"/>
        <w:lang w:val="en-GB" w:eastAsia="en-GB" w:bidi="en-GB"/>
      </w:rPr>
    </w:lvl>
    <w:lvl w:ilvl="5" w:tplc="F5405512">
      <w:numFmt w:val="bullet"/>
      <w:lvlText w:val="•"/>
      <w:lvlJc w:val="left"/>
      <w:pPr>
        <w:ind w:left="1165" w:hanging="217"/>
      </w:pPr>
      <w:rPr>
        <w:rFonts w:hint="default"/>
        <w:lang w:val="en-GB" w:eastAsia="en-GB" w:bidi="en-GB"/>
      </w:rPr>
    </w:lvl>
    <w:lvl w:ilvl="6" w:tplc="EF18119E">
      <w:numFmt w:val="bullet"/>
      <w:lvlText w:val="•"/>
      <w:lvlJc w:val="left"/>
      <w:pPr>
        <w:ind w:left="1338" w:hanging="217"/>
      </w:pPr>
      <w:rPr>
        <w:rFonts w:hint="default"/>
        <w:lang w:val="en-GB" w:eastAsia="en-GB" w:bidi="en-GB"/>
      </w:rPr>
    </w:lvl>
    <w:lvl w:ilvl="7" w:tplc="5790AA2A">
      <w:numFmt w:val="bullet"/>
      <w:lvlText w:val="•"/>
      <w:lvlJc w:val="left"/>
      <w:pPr>
        <w:ind w:left="1511" w:hanging="217"/>
      </w:pPr>
      <w:rPr>
        <w:rFonts w:hint="default"/>
        <w:lang w:val="en-GB" w:eastAsia="en-GB" w:bidi="en-GB"/>
      </w:rPr>
    </w:lvl>
    <w:lvl w:ilvl="8" w:tplc="AFBE91FA">
      <w:numFmt w:val="bullet"/>
      <w:lvlText w:val="•"/>
      <w:lvlJc w:val="left"/>
      <w:pPr>
        <w:ind w:left="1684" w:hanging="217"/>
      </w:pPr>
      <w:rPr>
        <w:rFonts w:hint="default"/>
        <w:lang w:val="en-GB" w:eastAsia="en-GB" w:bidi="en-GB"/>
      </w:rPr>
    </w:lvl>
  </w:abstractNum>
  <w:abstractNum w:abstractNumId="1335" w15:restartNumberingAfterBreak="0">
    <w:nsid w:val="77C34DDA"/>
    <w:multiLevelType w:val="hybridMultilevel"/>
    <w:tmpl w:val="EF9A97E6"/>
    <w:lvl w:ilvl="0" w:tplc="CCDA6AD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37F8AE0E">
      <w:numFmt w:val="bullet"/>
      <w:lvlText w:val="•"/>
      <w:lvlJc w:val="left"/>
      <w:pPr>
        <w:ind w:left="473" w:hanging="217"/>
      </w:pPr>
      <w:rPr>
        <w:rFonts w:hint="default"/>
        <w:lang w:val="en-GB" w:eastAsia="en-GB" w:bidi="en-GB"/>
      </w:rPr>
    </w:lvl>
    <w:lvl w:ilvl="2" w:tplc="EE3287CC">
      <w:numFmt w:val="bullet"/>
      <w:lvlText w:val="•"/>
      <w:lvlJc w:val="left"/>
      <w:pPr>
        <w:ind w:left="646" w:hanging="217"/>
      </w:pPr>
      <w:rPr>
        <w:rFonts w:hint="default"/>
        <w:lang w:val="en-GB" w:eastAsia="en-GB" w:bidi="en-GB"/>
      </w:rPr>
    </w:lvl>
    <w:lvl w:ilvl="3" w:tplc="3F0C4142">
      <w:numFmt w:val="bullet"/>
      <w:lvlText w:val="•"/>
      <w:lvlJc w:val="left"/>
      <w:pPr>
        <w:ind w:left="819" w:hanging="217"/>
      </w:pPr>
      <w:rPr>
        <w:rFonts w:hint="default"/>
        <w:lang w:val="en-GB" w:eastAsia="en-GB" w:bidi="en-GB"/>
      </w:rPr>
    </w:lvl>
    <w:lvl w:ilvl="4" w:tplc="0E1C97FA">
      <w:numFmt w:val="bullet"/>
      <w:lvlText w:val="•"/>
      <w:lvlJc w:val="left"/>
      <w:pPr>
        <w:ind w:left="992" w:hanging="217"/>
      </w:pPr>
      <w:rPr>
        <w:rFonts w:hint="default"/>
        <w:lang w:val="en-GB" w:eastAsia="en-GB" w:bidi="en-GB"/>
      </w:rPr>
    </w:lvl>
    <w:lvl w:ilvl="5" w:tplc="BD607C56">
      <w:numFmt w:val="bullet"/>
      <w:lvlText w:val="•"/>
      <w:lvlJc w:val="left"/>
      <w:pPr>
        <w:ind w:left="1165" w:hanging="217"/>
      </w:pPr>
      <w:rPr>
        <w:rFonts w:hint="default"/>
        <w:lang w:val="en-GB" w:eastAsia="en-GB" w:bidi="en-GB"/>
      </w:rPr>
    </w:lvl>
    <w:lvl w:ilvl="6" w:tplc="7520E33C">
      <w:numFmt w:val="bullet"/>
      <w:lvlText w:val="•"/>
      <w:lvlJc w:val="left"/>
      <w:pPr>
        <w:ind w:left="1338" w:hanging="217"/>
      </w:pPr>
      <w:rPr>
        <w:rFonts w:hint="default"/>
        <w:lang w:val="en-GB" w:eastAsia="en-GB" w:bidi="en-GB"/>
      </w:rPr>
    </w:lvl>
    <w:lvl w:ilvl="7" w:tplc="10C0F066">
      <w:numFmt w:val="bullet"/>
      <w:lvlText w:val="•"/>
      <w:lvlJc w:val="left"/>
      <w:pPr>
        <w:ind w:left="1511" w:hanging="217"/>
      </w:pPr>
      <w:rPr>
        <w:rFonts w:hint="default"/>
        <w:lang w:val="en-GB" w:eastAsia="en-GB" w:bidi="en-GB"/>
      </w:rPr>
    </w:lvl>
    <w:lvl w:ilvl="8" w:tplc="2176220E">
      <w:numFmt w:val="bullet"/>
      <w:lvlText w:val="•"/>
      <w:lvlJc w:val="left"/>
      <w:pPr>
        <w:ind w:left="1684" w:hanging="217"/>
      </w:pPr>
      <w:rPr>
        <w:rFonts w:hint="default"/>
        <w:lang w:val="en-GB" w:eastAsia="en-GB" w:bidi="en-GB"/>
      </w:rPr>
    </w:lvl>
  </w:abstractNum>
  <w:abstractNum w:abstractNumId="1336" w15:restartNumberingAfterBreak="0">
    <w:nsid w:val="77D21822"/>
    <w:multiLevelType w:val="hybridMultilevel"/>
    <w:tmpl w:val="0546C126"/>
    <w:lvl w:ilvl="0" w:tplc="7A34A77E">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0C6248E8">
      <w:numFmt w:val="bullet"/>
      <w:lvlText w:val="•"/>
      <w:lvlJc w:val="left"/>
      <w:pPr>
        <w:ind w:left="473" w:hanging="217"/>
      </w:pPr>
      <w:rPr>
        <w:rFonts w:hint="default"/>
        <w:lang w:val="en-GB" w:eastAsia="en-GB" w:bidi="en-GB"/>
      </w:rPr>
    </w:lvl>
    <w:lvl w:ilvl="2" w:tplc="56FEE8FE">
      <w:numFmt w:val="bullet"/>
      <w:lvlText w:val="•"/>
      <w:lvlJc w:val="left"/>
      <w:pPr>
        <w:ind w:left="646" w:hanging="217"/>
      </w:pPr>
      <w:rPr>
        <w:rFonts w:hint="default"/>
        <w:lang w:val="en-GB" w:eastAsia="en-GB" w:bidi="en-GB"/>
      </w:rPr>
    </w:lvl>
    <w:lvl w:ilvl="3" w:tplc="F79EF6D8">
      <w:numFmt w:val="bullet"/>
      <w:lvlText w:val="•"/>
      <w:lvlJc w:val="left"/>
      <w:pPr>
        <w:ind w:left="819" w:hanging="217"/>
      </w:pPr>
      <w:rPr>
        <w:rFonts w:hint="default"/>
        <w:lang w:val="en-GB" w:eastAsia="en-GB" w:bidi="en-GB"/>
      </w:rPr>
    </w:lvl>
    <w:lvl w:ilvl="4" w:tplc="5B86B59C">
      <w:numFmt w:val="bullet"/>
      <w:lvlText w:val="•"/>
      <w:lvlJc w:val="left"/>
      <w:pPr>
        <w:ind w:left="992" w:hanging="217"/>
      </w:pPr>
      <w:rPr>
        <w:rFonts w:hint="default"/>
        <w:lang w:val="en-GB" w:eastAsia="en-GB" w:bidi="en-GB"/>
      </w:rPr>
    </w:lvl>
    <w:lvl w:ilvl="5" w:tplc="CCDCA0B4">
      <w:numFmt w:val="bullet"/>
      <w:lvlText w:val="•"/>
      <w:lvlJc w:val="left"/>
      <w:pPr>
        <w:ind w:left="1165" w:hanging="217"/>
      </w:pPr>
      <w:rPr>
        <w:rFonts w:hint="default"/>
        <w:lang w:val="en-GB" w:eastAsia="en-GB" w:bidi="en-GB"/>
      </w:rPr>
    </w:lvl>
    <w:lvl w:ilvl="6" w:tplc="B2EC7428">
      <w:numFmt w:val="bullet"/>
      <w:lvlText w:val="•"/>
      <w:lvlJc w:val="left"/>
      <w:pPr>
        <w:ind w:left="1338" w:hanging="217"/>
      </w:pPr>
      <w:rPr>
        <w:rFonts w:hint="default"/>
        <w:lang w:val="en-GB" w:eastAsia="en-GB" w:bidi="en-GB"/>
      </w:rPr>
    </w:lvl>
    <w:lvl w:ilvl="7" w:tplc="80CA3DC4">
      <w:numFmt w:val="bullet"/>
      <w:lvlText w:val="•"/>
      <w:lvlJc w:val="left"/>
      <w:pPr>
        <w:ind w:left="1511" w:hanging="217"/>
      </w:pPr>
      <w:rPr>
        <w:rFonts w:hint="default"/>
        <w:lang w:val="en-GB" w:eastAsia="en-GB" w:bidi="en-GB"/>
      </w:rPr>
    </w:lvl>
    <w:lvl w:ilvl="8" w:tplc="150E420C">
      <w:numFmt w:val="bullet"/>
      <w:lvlText w:val="•"/>
      <w:lvlJc w:val="left"/>
      <w:pPr>
        <w:ind w:left="1684" w:hanging="217"/>
      </w:pPr>
      <w:rPr>
        <w:rFonts w:hint="default"/>
        <w:lang w:val="en-GB" w:eastAsia="en-GB" w:bidi="en-GB"/>
      </w:rPr>
    </w:lvl>
  </w:abstractNum>
  <w:abstractNum w:abstractNumId="1337" w15:restartNumberingAfterBreak="0">
    <w:nsid w:val="77DC153E"/>
    <w:multiLevelType w:val="hybridMultilevel"/>
    <w:tmpl w:val="4ED6DF1E"/>
    <w:lvl w:ilvl="0" w:tplc="02DC2A3A">
      <w:numFmt w:val="bullet"/>
      <w:lvlText w:val="•"/>
      <w:lvlJc w:val="left"/>
      <w:pPr>
        <w:ind w:left="333" w:hanging="217"/>
      </w:pPr>
      <w:rPr>
        <w:rFonts w:ascii="Arial" w:eastAsia="Arial" w:hAnsi="Arial" w:cs="Arial" w:hint="default"/>
        <w:color w:val="231F20"/>
        <w:spacing w:val="-1"/>
        <w:w w:val="100"/>
        <w:sz w:val="18"/>
        <w:szCs w:val="18"/>
        <w:lang w:val="en-GB" w:eastAsia="en-GB" w:bidi="en-GB"/>
      </w:rPr>
    </w:lvl>
    <w:lvl w:ilvl="1" w:tplc="46D60B16">
      <w:numFmt w:val="bullet"/>
      <w:lvlText w:val="•"/>
      <w:lvlJc w:val="left"/>
      <w:pPr>
        <w:ind w:left="1030" w:hanging="217"/>
      </w:pPr>
      <w:rPr>
        <w:rFonts w:hint="default"/>
        <w:lang w:val="en-GB" w:eastAsia="en-GB" w:bidi="en-GB"/>
      </w:rPr>
    </w:lvl>
    <w:lvl w:ilvl="2" w:tplc="CEA62D4A">
      <w:numFmt w:val="bullet"/>
      <w:lvlText w:val="•"/>
      <w:lvlJc w:val="left"/>
      <w:pPr>
        <w:ind w:left="1720" w:hanging="217"/>
      </w:pPr>
      <w:rPr>
        <w:rFonts w:hint="default"/>
        <w:lang w:val="en-GB" w:eastAsia="en-GB" w:bidi="en-GB"/>
      </w:rPr>
    </w:lvl>
    <w:lvl w:ilvl="3" w:tplc="E9E46658">
      <w:numFmt w:val="bullet"/>
      <w:lvlText w:val="•"/>
      <w:lvlJc w:val="left"/>
      <w:pPr>
        <w:ind w:left="2410" w:hanging="217"/>
      </w:pPr>
      <w:rPr>
        <w:rFonts w:hint="default"/>
        <w:lang w:val="en-GB" w:eastAsia="en-GB" w:bidi="en-GB"/>
      </w:rPr>
    </w:lvl>
    <w:lvl w:ilvl="4" w:tplc="97F29238">
      <w:numFmt w:val="bullet"/>
      <w:lvlText w:val="•"/>
      <w:lvlJc w:val="left"/>
      <w:pPr>
        <w:ind w:left="3100" w:hanging="217"/>
      </w:pPr>
      <w:rPr>
        <w:rFonts w:hint="default"/>
        <w:lang w:val="en-GB" w:eastAsia="en-GB" w:bidi="en-GB"/>
      </w:rPr>
    </w:lvl>
    <w:lvl w:ilvl="5" w:tplc="14E01F86">
      <w:numFmt w:val="bullet"/>
      <w:lvlText w:val="•"/>
      <w:lvlJc w:val="left"/>
      <w:pPr>
        <w:ind w:left="3791" w:hanging="217"/>
      </w:pPr>
      <w:rPr>
        <w:rFonts w:hint="default"/>
        <w:lang w:val="en-GB" w:eastAsia="en-GB" w:bidi="en-GB"/>
      </w:rPr>
    </w:lvl>
    <w:lvl w:ilvl="6" w:tplc="E32EEB02">
      <w:numFmt w:val="bullet"/>
      <w:lvlText w:val="•"/>
      <w:lvlJc w:val="left"/>
      <w:pPr>
        <w:ind w:left="4481" w:hanging="217"/>
      </w:pPr>
      <w:rPr>
        <w:rFonts w:hint="default"/>
        <w:lang w:val="en-GB" w:eastAsia="en-GB" w:bidi="en-GB"/>
      </w:rPr>
    </w:lvl>
    <w:lvl w:ilvl="7" w:tplc="41D62922">
      <w:numFmt w:val="bullet"/>
      <w:lvlText w:val="•"/>
      <w:lvlJc w:val="left"/>
      <w:pPr>
        <w:ind w:left="5171" w:hanging="217"/>
      </w:pPr>
      <w:rPr>
        <w:rFonts w:hint="default"/>
        <w:lang w:val="en-GB" w:eastAsia="en-GB" w:bidi="en-GB"/>
      </w:rPr>
    </w:lvl>
    <w:lvl w:ilvl="8" w:tplc="4C0A826C">
      <w:numFmt w:val="bullet"/>
      <w:lvlText w:val="•"/>
      <w:lvlJc w:val="left"/>
      <w:pPr>
        <w:ind w:left="5861" w:hanging="217"/>
      </w:pPr>
      <w:rPr>
        <w:rFonts w:hint="default"/>
        <w:lang w:val="en-GB" w:eastAsia="en-GB" w:bidi="en-GB"/>
      </w:rPr>
    </w:lvl>
  </w:abstractNum>
  <w:abstractNum w:abstractNumId="1338" w15:restartNumberingAfterBreak="0">
    <w:nsid w:val="77E84BE8"/>
    <w:multiLevelType w:val="hybridMultilevel"/>
    <w:tmpl w:val="AE2A3076"/>
    <w:lvl w:ilvl="0" w:tplc="85302B9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9710E03E">
      <w:numFmt w:val="bullet"/>
      <w:lvlText w:val="•"/>
      <w:lvlJc w:val="left"/>
      <w:pPr>
        <w:ind w:left="473" w:hanging="217"/>
      </w:pPr>
      <w:rPr>
        <w:rFonts w:hint="default"/>
        <w:lang w:val="en-GB" w:eastAsia="en-GB" w:bidi="en-GB"/>
      </w:rPr>
    </w:lvl>
    <w:lvl w:ilvl="2" w:tplc="474A42E8">
      <w:numFmt w:val="bullet"/>
      <w:lvlText w:val="•"/>
      <w:lvlJc w:val="left"/>
      <w:pPr>
        <w:ind w:left="646" w:hanging="217"/>
      </w:pPr>
      <w:rPr>
        <w:rFonts w:hint="default"/>
        <w:lang w:val="en-GB" w:eastAsia="en-GB" w:bidi="en-GB"/>
      </w:rPr>
    </w:lvl>
    <w:lvl w:ilvl="3" w:tplc="21E24884">
      <w:numFmt w:val="bullet"/>
      <w:lvlText w:val="•"/>
      <w:lvlJc w:val="left"/>
      <w:pPr>
        <w:ind w:left="819" w:hanging="217"/>
      </w:pPr>
      <w:rPr>
        <w:rFonts w:hint="default"/>
        <w:lang w:val="en-GB" w:eastAsia="en-GB" w:bidi="en-GB"/>
      </w:rPr>
    </w:lvl>
    <w:lvl w:ilvl="4" w:tplc="50009C34">
      <w:numFmt w:val="bullet"/>
      <w:lvlText w:val="•"/>
      <w:lvlJc w:val="left"/>
      <w:pPr>
        <w:ind w:left="992" w:hanging="217"/>
      </w:pPr>
      <w:rPr>
        <w:rFonts w:hint="default"/>
        <w:lang w:val="en-GB" w:eastAsia="en-GB" w:bidi="en-GB"/>
      </w:rPr>
    </w:lvl>
    <w:lvl w:ilvl="5" w:tplc="F47E0D32">
      <w:numFmt w:val="bullet"/>
      <w:lvlText w:val="•"/>
      <w:lvlJc w:val="left"/>
      <w:pPr>
        <w:ind w:left="1165" w:hanging="217"/>
      </w:pPr>
      <w:rPr>
        <w:rFonts w:hint="default"/>
        <w:lang w:val="en-GB" w:eastAsia="en-GB" w:bidi="en-GB"/>
      </w:rPr>
    </w:lvl>
    <w:lvl w:ilvl="6" w:tplc="88105A38">
      <w:numFmt w:val="bullet"/>
      <w:lvlText w:val="•"/>
      <w:lvlJc w:val="left"/>
      <w:pPr>
        <w:ind w:left="1338" w:hanging="217"/>
      </w:pPr>
      <w:rPr>
        <w:rFonts w:hint="default"/>
        <w:lang w:val="en-GB" w:eastAsia="en-GB" w:bidi="en-GB"/>
      </w:rPr>
    </w:lvl>
    <w:lvl w:ilvl="7" w:tplc="99BAF1F0">
      <w:numFmt w:val="bullet"/>
      <w:lvlText w:val="•"/>
      <w:lvlJc w:val="left"/>
      <w:pPr>
        <w:ind w:left="1511" w:hanging="217"/>
      </w:pPr>
      <w:rPr>
        <w:rFonts w:hint="default"/>
        <w:lang w:val="en-GB" w:eastAsia="en-GB" w:bidi="en-GB"/>
      </w:rPr>
    </w:lvl>
    <w:lvl w:ilvl="8" w:tplc="3DC657CE">
      <w:numFmt w:val="bullet"/>
      <w:lvlText w:val="•"/>
      <w:lvlJc w:val="left"/>
      <w:pPr>
        <w:ind w:left="1684" w:hanging="217"/>
      </w:pPr>
      <w:rPr>
        <w:rFonts w:hint="default"/>
        <w:lang w:val="en-GB" w:eastAsia="en-GB" w:bidi="en-GB"/>
      </w:rPr>
    </w:lvl>
  </w:abstractNum>
  <w:abstractNum w:abstractNumId="1339" w15:restartNumberingAfterBreak="0">
    <w:nsid w:val="77EA0B0B"/>
    <w:multiLevelType w:val="hybridMultilevel"/>
    <w:tmpl w:val="B75004A6"/>
    <w:lvl w:ilvl="0" w:tplc="CA42F1B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EE46580">
      <w:numFmt w:val="bullet"/>
      <w:lvlText w:val="•"/>
      <w:lvlJc w:val="left"/>
      <w:pPr>
        <w:ind w:left="473" w:hanging="217"/>
      </w:pPr>
      <w:rPr>
        <w:rFonts w:hint="default"/>
        <w:lang w:val="en-GB" w:eastAsia="en-GB" w:bidi="en-GB"/>
      </w:rPr>
    </w:lvl>
    <w:lvl w:ilvl="2" w:tplc="465A39F4">
      <w:numFmt w:val="bullet"/>
      <w:lvlText w:val="•"/>
      <w:lvlJc w:val="left"/>
      <w:pPr>
        <w:ind w:left="646" w:hanging="217"/>
      </w:pPr>
      <w:rPr>
        <w:rFonts w:hint="default"/>
        <w:lang w:val="en-GB" w:eastAsia="en-GB" w:bidi="en-GB"/>
      </w:rPr>
    </w:lvl>
    <w:lvl w:ilvl="3" w:tplc="BBE256D2">
      <w:numFmt w:val="bullet"/>
      <w:lvlText w:val="•"/>
      <w:lvlJc w:val="left"/>
      <w:pPr>
        <w:ind w:left="819" w:hanging="217"/>
      </w:pPr>
      <w:rPr>
        <w:rFonts w:hint="default"/>
        <w:lang w:val="en-GB" w:eastAsia="en-GB" w:bidi="en-GB"/>
      </w:rPr>
    </w:lvl>
    <w:lvl w:ilvl="4" w:tplc="3DBA7E5C">
      <w:numFmt w:val="bullet"/>
      <w:lvlText w:val="•"/>
      <w:lvlJc w:val="left"/>
      <w:pPr>
        <w:ind w:left="992" w:hanging="217"/>
      </w:pPr>
      <w:rPr>
        <w:rFonts w:hint="default"/>
        <w:lang w:val="en-GB" w:eastAsia="en-GB" w:bidi="en-GB"/>
      </w:rPr>
    </w:lvl>
    <w:lvl w:ilvl="5" w:tplc="2C8A3520">
      <w:numFmt w:val="bullet"/>
      <w:lvlText w:val="•"/>
      <w:lvlJc w:val="left"/>
      <w:pPr>
        <w:ind w:left="1165" w:hanging="217"/>
      </w:pPr>
      <w:rPr>
        <w:rFonts w:hint="default"/>
        <w:lang w:val="en-GB" w:eastAsia="en-GB" w:bidi="en-GB"/>
      </w:rPr>
    </w:lvl>
    <w:lvl w:ilvl="6" w:tplc="8DD23E58">
      <w:numFmt w:val="bullet"/>
      <w:lvlText w:val="•"/>
      <w:lvlJc w:val="left"/>
      <w:pPr>
        <w:ind w:left="1338" w:hanging="217"/>
      </w:pPr>
      <w:rPr>
        <w:rFonts w:hint="default"/>
        <w:lang w:val="en-GB" w:eastAsia="en-GB" w:bidi="en-GB"/>
      </w:rPr>
    </w:lvl>
    <w:lvl w:ilvl="7" w:tplc="09FA041E">
      <w:numFmt w:val="bullet"/>
      <w:lvlText w:val="•"/>
      <w:lvlJc w:val="left"/>
      <w:pPr>
        <w:ind w:left="1511" w:hanging="217"/>
      </w:pPr>
      <w:rPr>
        <w:rFonts w:hint="default"/>
        <w:lang w:val="en-GB" w:eastAsia="en-GB" w:bidi="en-GB"/>
      </w:rPr>
    </w:lvl>
    <w:lvl w:ilvl="8" w:tplc="69B4895C">
      <w:numFmt w:val="bullet"/>
      <w:lvlText w:val="•"/>
      <w:lvlJc w:val="left"/>
      <w:pPr>
        <w:ind w:left="1684" w:hanging="217"/>
      </w:pPr>
      <w:rPr>
        <w:rFonts w:hint="default"/>
        <w:lang w:val="en-GB" w:eastAsia="en-GB" w:bidi="en-GB"/>
      </w:rPr>
    </w:lvl>
  </w:abstractNum>
  <w:abstractNum w:abstractNumId="1340" w15:restartNumberingAfterBreak="0">
    <w:nsid w:val="77FA7648"/>
    <w:multiLevelType w:val="hybridMultilevel"/>
    <w:tmpl w:val="068EF4E2"/>
    <w:lvl w:ilvl="0" w:tplc="139A40E6">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3E604586">
      <w:numFmt w:val="bullet"/>
      <w:lvlText w:val="•"/>
      <w:lvlJc w:val="left"/>
      <w:pPr>
        <w:ind w:left="473" w:hanging="217"/>
      </w:pPr>
      <w:rPr>
        <w:rFonts w:hint="default"/>
        <w:lang w:val="en-GB" w:eastAsia="en-GB" w:bidi="en-GB"/>
      </w:rPr>
    </w:lvl>
    <w:lvl w:ilvl="2" w:tplc="B302DD6C">
      <w:numFmt w:val="bullet"/>
      <w:lvlText w:val="•"/>
      <w:lvlJc w:val="left"/>
      <w:pPr>
        <w:ind w:left="646" w:hanging="217"/>
      </w:pPr>
      <w:rPr>
        <w:rFonts w:hint="default"/>
        <w:lang w:val="en-GB" w:eastAsia="en-GB" w:bidi="en-GB"/>
      </w:rPr>
    </w:lvl>
    <w:lvl w:ilvl="3" w:tplc="043A9710">
      <w:numFmt w:val="bullet"/>
      <w:lvlText w:val="•"/>
      <w:lvlJc w:val="left"/>
      <w:pPr>
        <w:ind w:left="819" w:hanging="217"/>
      </w:pPr>
      <w:rPr>
        <w:rFonts w:hint="default"/>
        <w:lang w:val="en-GB" w:eastAsia="en-GB" w:bidi="en-GB"/>
      </w:rPr>
    </w:lvl>
    <w:lvl w:ilvl="4" w:tplc="EDAA38F8">
      <w:numFmt w:val="bullet"/>
      <w:lvlText w:val="•"/>
      <w:lvlJc w:val="left"/>
      <w:pPr>
        <w:ind w:left="992" w:hanging="217"/>
      </w:pPr>
      <w:rPr>
        <w:rFonts w:hint="default"/>
        <w:lang w:val="en-GB" w:eastAsia="en-GB" w:bidi="en-GB"/>
      </w:rPr>
    </w:lvl>
    <w:lvl w:ilvl="5" w:tplc="EC1EFA16">
      <w:numFmt w:val="bullet"/>
      <w:lvlText w:val="•"/>
      <w:lvlJc w:val="left"/>
      <w:pPr>
        <w:ind w:left="1165" w:hanging="217"/>
      </w:pPr>
      <w:rPr>
        <w:rFonts w:hint="default"/>
        <w:lang w:val="en-GB" w:eastAsia="en-GB" w:bidi="en-GB"/>
      </w:rPr>
    </w:lvl>
    <w:lvl w:ilvl="6" w:tplc="A5BA48D0">
      <w:numFmt w:val="bullet"/>
      <w:lvlText w:val="•"/>
      <w:lvlJc w:val="left"/>
      <w:pPr>
        <w:ind w:left="1338" w:hanging="217"/>
      </w:pPr>
      <w:rPr>
        <w:rFonts w:hint="default"/>
        <w:lang w:val="en-GB" w:eastAsia="en-GB" w:bidi="en-GB"/>
      </w:rPr>
    </w:lvl>
    <w:lvl w:ilvl="7" w:tplc="E5BACE1A">
      <w:numFmt w:val="bullet"/>
      <w:lvlText w:val="•"/>
      <w:lvlJc w:val="left"/>
      <w:pPr>
        <w:ind w:left="1511" w:hanging="217"/>
      </w:pPr>
      <w:rPr>
        <w:rFonts w:hint="default"/>
        <w:lang w:val="en-GB" w:eastAsia="en-GB" w:bidi="en-GB"/>
      </w:rPr>
    </w:lvl>
    <w:lvl w:ilvl="8" w:tplc="69684084">
      <w:numFmt w:val="bullet"/>
      <w:lvlText w:val="•"/>
      <w:lvlJc w:val="left"/>
      <w:pPr>
        <w:ind w:left="1684" w:hanging="217"/>
      </w:pPr>
      <w:rPr>
        <w:rFonts w:hint="default"/>
        <w:lang w:val="en-GB" w:eastAsia="en-GB" w:bidi="en-GB"/>
      </w:rPr>
    </w:lvl>
  </w:abstractNum>
  <w:abstractNum w:abstractNumId="1341" w15:restartNumberingAfterBreak="0">
    <w:nsid w:val="781B030D"/>
    <w:multiLevelType w:val="hybridMultilevel"/>
    <w:tmpl w:val="673621E2"/>
    <w:lvl w:ilvl="0" w:tplc="4286727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F3689FE">
      <w:numFmt w:val="bullet"/>
      <w:lvlText w:val="•"/>
      <w:lvlJc w:val="left"/>
      <w:pPr>
        <w:ind w:left="439" w:hanging="217"/>
      </w:pPr>
      <w:rPr>
        <w:rFonts w:hint="default"/>
        <w:lang w:val="en-GB" w:eastAsia="en-GB" w:bidi="en-GB"/>
      </w:rPr>
    </w:lvl>
    <w:lvl w:ilvl="2" w:tplc="4FFA88CE">
      <w:numFmt w:val="bullet"/>
      <w:lvlText w:val="•"/>
      <w:lvlJc w:val="left"/>
      <w:pPr>
        <w:ind w:left="578" w:hanging="217"/>
      </w:pPr>
      <w:rPr>
        <w:rFonts w:hint="default"/>
        <w:lang w:val="en-GB" w:eastAsia="en-GB" w:bidi="en-GB"/>
      </w:rPr>
    </w:lvl>
    <w:lvl w:ilvl="3" w:tplc="EE56F354">
      <w:numFmt w:val="bullet"/>
      <w:lvlText w:val="•"/>
      <w:lvlJc w:val="left"/>
      <w:pPr>
        <w:ind w:left="717" w:hanging="217"/>
      </w:pPr>
      <w:rPr>
        <w:rFonts w:hint="default"/>
        <w:lang w:val="en-GB" w:eastAsia="en-GB" w:bidi="en-GB"/>
      </w:rPr>
    </w:lvl>
    <w:lvl w:ilvl="4" w:tplc="638673DC">
      <w:numFmt w:val="bullet"/>
      <w:lvlText w:val="•"/>
      <w:lvlJc w:val="left"/>
      <w:pPr>
        <w:ind w:left="856" w:hanging="217"/>
      </w:pPr>
      <w:rPr>
        <w:rFonts w:hint="default"/>
        <w:lang w:val="en-GB" w:eastAsia="en-GB" w:bidi="en-GB"/>
      </w:rPr>
    </w:lvl>
    <w:lvl w:ilvl="5" w:tplc="423C6720">
      <w:numFmt w:val="bullet"/>
      <w:lvlText w:val="•"/>
      <w:lvlJc w:val="left"/>
      <w:pPr>
        <w:ind w:left="995" w:hanging="217"/>
      </w:pPr>
      <w:rPr>
        <w:rFonts w:hint="default"/>
        <w:lang w:val="en-GB" w:eastAsia="en-GB" w:bidi="en-GB"/>
      </w:rPr>
    </w:lvl>
    <w:lvl w:ilvl="6" w:tplc="8E62D6FE">
      <w:numFmt w:val="bullet"/>
      <w:lvlText w:val="•"/>
      <w:lvlJc w:val="left"/>
      <w:pPr>
        <w:ind w:left="1134" w:hanging="217"/>
      </w:pPr>
      <w:rPr>
        <w:rFonts w:hint="default"/>
        <w:lang w:val="en-GB" w:eastAsia="en-GB" w:bidi="en-GB"/>
      </w:rPr>
    </w:lvl>
    <w:lvl w:ilvl="7" w:tplc="454E3C3E">
      <w:numFmt w:val="bullet"/>
      <w:lvlText w:val="•"/>
      <w:lvlJc w:val="left"/>
      <w:pPr>
        <w:ind w:left="1273" w:hanging="217"/>
      </w:pPr>
      <w:rPr>
        <w:rFonts w:hint="default"/>
        <w:lang w:val="en-GB" w:eastAsia="en-GB" w:bidi="en-GB"/>
      </w:rPr>
    </w:lvl>
    <w:lvl w:ilvl="8" w:tplc="9502D536">
      <w:numFmt w:val="bullet"/>
      <w:lvlText w:val="•"/>
      <w:lvlJc w:val="left"/>
      <w:pPr>
        <w:ind w:left="1412" w:hanging="217"/>
      </w:pPr>
      <w:rPr>
        <w:rFonts w:hint="default"/>
        <w:lang w:val="en-GB" w:eastAsia="en-GB" w:bidi="en-GB"/>
      </w:rPr>
    </w:lvl>
  </w:abstractNum>
  <w:abstractNum w:abstractNumId="1342" w15:restartNumberingAfterBreak="0">
    <w:nsid w:val="782E3C2B"/>
    <w:multiLevelType w:val="hybridMultilevel"/>
    <w:tmpl w:val="03B821CC"/>
    <w:lvl w:ilvl="0" w:tplc="FDBC9C1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592A2808">
      <w:numFmt w:val="bullet"/>
      <w:lvlText w:val="•"/>
      <w:lvlJc w:val="left"/>
      <w:pPr>
        <w:ind w:left="467" w:hanging="217"/>
      </w:pPr>
      <w:rPr>
        <w:rFonts w:hint="default"/>
        <w:lang w:val="en-GB" w:eastAsia="en-GB" w:bidi="en-GB"/>
      </w:rPr>
    </w:lvl>
    <w:lvl w:ilvl="2" w:tplc="0CE4C130">
      <w:numFmt w:val="bullet"/>
      <w:lvlText w:val="•"/>
      <w:lvlJc w:val="left"/>
      <w:pPr>
        <w:ind w:left="634" w:hanging="217"/>
      </w:pPr>
      <w:rPr>
        <w:rFonts w:hint="default"/>
        <w:lang w:val="en-GB" w:eastAsia="en-GB" w:bidi="en-GB"/>
      </w:rPr>
    </w:lvl>
    <w:lvl w:ilvl="3" w:tplc="DFCE7928">
      <w:numFmt w:val="bullet"/>
      <w:lvlText w:val="•"/>
      <w:lvlJc w:val="left"/>
      <w:pPr>
        <w:ind w:left="802" w:hanging="217"/>
      </w:pPr>
      <w:rPr>
        <w:rFonts w:hint="default"/>
        <w:lang w:val="en-GB" w:eastAsia="en-GB" w:bidi="en-GB"/>
      </w:rPr>
    </w:lvl>
    <w:lvl w:ilvl="4" w:tplc="6ABAE37E">
      <w:numFmt w:val="bullet"/>
      <w:lvlText w:val="•"/>
      <w:lvlJc w:val="left"/>
      <w:pPr>
        <w:ind w:left="969" w:hanging="217"/>
      </w:pPr>
      <w:rPr>
        <w:rFonts w:hint="default"/>
        <w:lang w:val="en-GB" w:eastAsia="en-GB" w:bidi="en-GB"/>
      </w:rPr>
    </w:lvl>
    <w:lvl w:ilvl="5" w:tplc="D5022700">
      <w:numFmt w:val="bullet"/>
      <w:lvlText w:val="•"/>
      <w:lvlJc w:val="left"/>
      <w:pPr>
        <w:ind w:left="1137" w:hanging="217"/>
      </w:pPr>
      <w:rPr>
        <w:rFonts w:hint="default"/>
        <w:lang w:val="en-GB" w:eastAsia="en-GB" w:bidi="en-GB"/>
      </w:rPr>
    </w:lvl>
    <w:lvl w:ilvl="6" w:tplc="8E86190A">
      <w:numFmt w:val="bullet"/>
      <w:lvlText w:val="•"/>
      <w:lvlJc w:val="left"/>
      <w:pPr>
        <w:ind w:left="1304" w:hanging="217"/>
      </w:pPr>
      <w:rPr>
        <w:rFonts w:hint="default"/>
        <w:lang w:val="en-GB" w:eastAsia="en-GB" w:bidi="en-GB"/>
      </w:rPr>
    </w:lvl>
    <w:lvl w:ilvl="7" w:tplc="E0A23B26">
      <w:numFmt w:val="bullet"/>
      <w:lvlText w:val="•"/>
      <w:lvlJc w:val="left"/>
      <w:pPr>
        <w:ind w:left="1471" w:hanging="217"/>
      </w:pPr>
      <w:rPr>
        <w:rFonts w:hint="default"/>
        <w:lang w:val="en-GB" w:eastAsia="en-GB" w:bidi="en-GB"/>
      </w:rPr>
    </w:lvl>
    <w:lvl w:ilvl="8" w:tplc="AF6E9552">
      <w:numFmt w:val="bullet"/>
      <w:lvlText w:val="•"/>
      <w:lvlJc w:val="left"/>
      <w:pPr>
        <w:ind w:left="1639" w:hanging="217"/>
      </w:pPr>
      <w:rPr>
        <w:rFonts w:hint="default"/>
        <w:lang w:val="en-GB" w:eastAsia="en-GB" w:bidi="en-GB"/>
      </w:rPr>
    </w:lvl>
  </w:abstractNum>
  <w:abstractNum w:abstractNumId="1343" w15:restartNumberingAfterBreak="0">
    <w:nsid w:val="784D7989"/>
    <w:multiLevelType w:val="hybridMultilevel"/>
    <w:tmpl w:val="B054FBE2"/>
    <w:lvl w:ilvl="0" w:tplc="BD90D35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6DAE54E">
      <w:numFmt w:val="bullet"/>
      <w:lvlText w:val="•"/>
      <w:lvlJc w:val="left"/>
      <w:pPr>
        <w:ind w:left="1061" w:hanging="217"/>
      </w:pPr>
      <w:rPr>
        <w:rFonts w:hint="default"/>
        <w:lang w:val="en-GB" w:eastAsia="en-GB" w:bidi="en-GB"/>
      </w:rPr>
    </w:lvl>
    <w:lvl w:ilvl="2" w:tplc="A31CFF70">
      <w:numFmt w:val="bullet"/>
      <w:lvlText w:val="•"/>
      <w:lvlJc w:val="left"/>
      <w:pPr>
        <w:ind w:left="1823" w:hanging="217"/>
      </w:pPr>
      <w:rPr>
        <w:rFonts w:hint="default"/>
        <w:lang w:val="en-GB" w:eastAsia="en-GB" w:bidi="en-GB"/>
      </w:rPr>
    </w:lvl>
    <w:lvl w:ilvl="3" w:tplc="135AAF6A">
      <w:numFmt w:val="bullet"/>
      <w:lvlText w:val="•"/>
      <w:lvlJc w:val="left"/>
      <w:pPr>
        <w:ind w:left="2585" w:hanging="217"/>
      </w:pPr>
      <w:rPr>
        <w:rFonts w:hint="default"/>
        <w:lang w:val="en-GB" w:eastAsia="en-GB" w:bidi="en-GB"/>
      </w:rPr>
    </w:lvl>
    <w:lvl w:ilvl="4" w:tplc="0674FF06">
      <w:numFmt w:val="bullet"/>
      <w:lvlText w:val="•"/>
      <w:lvlJc w:val="left"/>
      <w:pPr>
        <w:ind w:left="3346" w:hanging="217"/>
      </w:pPr>
      <w:rPr>
        <w:rFonts w:hint="default"/>
        <w:lang w:val="en-GB" w:eastAsia="en-GB" w:bidi="en-GB"/>
      </w:rPr>
    </w:lvl>
    <w:lvl w:ilvl="5" w:tplc="12AA82FA">
      <w:numFmt w:val="bullet"/>
      <w:lvlText w:val="•"/>
      <w:lvlJc w:val="left"/>
      <w:pPr>
        <w:ind w:left="4108" w:hanging="217"/>
      </w:pPr>
      <w:rPr>
        <w:rFonts w:hint="default"/>
        <w:lang w:val="en-GB" w:eastAsia="en-GB" w:bidi="en-GB"/>
      </w:rPr>
    </w:lvl>
    <w:lvl w:ilvl="6" w:tplc="2AD46318">
      <w:numFmt w:val="bullet"/>
      <w:lvlText w:val="•"/>
      <w:lvlJc w:val="left"/>
      <w:pPr>
        <w:ind w:left="4870" w:hanging="217"/>
      </w:pPr>
      <w:rPr>
        <w:rFonts w:hint="default"/>
        <w:lang w:val="en-GB" w:eastAsia="en-GB" w:bidi="en-GB"/>
      </w:rPr>
    </w:lvl>
    <w:lvl w:ilvl="7" w:tplc="15024B96">
      <w:numFmt w:val="bullet"/>
      <w:lvlText w:val="•"/>
      <w:lvlJc w:val="left"/>
      <w:pPr>
        <w:ind w:left="5631" w:hanging="217"/>
      </w:pPr>
      <w:rPr>
        <w:rFonts w:hint="default"/>
        <w:lang w:val="en-GB" w:eastAsia="en-GB" w:bidi="en-GB"/>
      </w:rPr>
    </w:lvl>
    <w:lvl w:ilvl="8" w:tplc="0EA8B856">
      <w:numFmt w:val="bullet"/>
      <w:lvlText w:val="•"/>
      <w:lvlJc w:val="left"/>
      <w:pPr>
        <w:ind w:left="6393" w:hanging="217"/>
      </w:pPr>
      <w:rPr>
        <w:rFonts w:hint="default"/>
        <w:lang w:val="en-GB" w:eastAsia="en-GB" w:bidi="en-GB"/>
      </w:rPr>
    </w:lvl>
  </w:abstractNum>
  <w:abstractNum w:abstractNumId="1344" w15:restartNumberingAfterBreak="0">
    <w:nsid w:val="78582AC8"/>
    <w:multiLevelType w:val="hybridMultilevel"/>
    <w:tmpl w:val="E550D182"/>
    <w:lvl w:ilvl="0" w:tplc="023291A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7CF421D8">
      <w:numFmt w:val="bullet"/>
      <w:lvlText w:val="•"/>
      <w:lvlJc w:val="left"/>
      <w:pPr>
        <w:ind w:left="439" w:hanging="217"/>
      </w:pPr>
      <w:rPr>
        <w:rFonts w:hint="default"/>
        <w:lang w:val="en-GB" w:eastAsia="en-GB" w:bidi="en-GB"/>
      </w:rPr>
    </w:lvl>
    <w:lvl w:ilvl="2" w:tplc="A3F09D98">
      <w:numFmt w:val="bullet"/>
      <w:lvlText w:val="•"/>
      <w:lvlJc w:val="left"/>
      <w:pPr>
        <w:ind w:left="578" w:hanging="217"/>
      </w:pPr>
      <w:rPr>
        <w:rFonts w:hint="default"/>
        <w:lang w:val="en-GB" w:eastAsia="en-GB" w:bidi="en-GB"/>
      </w:rPr>
    </w:lvl>
    <w:lvl w:ilvl="3" w:tplc="70783232">
      <w:numFmt w:val="bullet"/>
      <w:lvlText w:val="•"/>
      <w:lvlJc w:val="left"/>
      <w:pPr>
        <w:ind w:left="717" w:hanging="217"/>
      </w:pPr>
      <w:rPr>
        <w:rFonts w:hint="default"/>
        <w:lang w:val="en-GB" w:eastAsia="en-GB" w:bidi="en-GB"/>
      </w:rPr>
    </w:lvl>
    <w:lvl w:ilvl="4" w:tplc="F7784428">
      <w:numFmt w:val="bullet"/>
      <w:lvlText w:val="•"/>
      <w:lvlJc w:val="left"/>
      <w:pPr>
        <w:ind w:left="856" w:hanging="217"/>
      </w:pPr>
      <w:rPr>
        <w:rFonts w:hint="default"/>
        <w:lang w:val="en-GB" w:eastAsia="en-GB" w:bidi="en-GB"/>
      </w:rPr>
    </w:lvl>
    <w:lvl w:ilvl="5" w:tplc="323CA5FE">
      <w:numFmt w:val="bullet"/>
      <w:lvlText w:val="•"/>
      <w:lvlJc w:val="left"/>
      <w:pPr>
        <w:ind w:left="995" w:hanging="217"/>
      </w:pPr>
      <w:rPr>
        <w:rFonts w:hint="default"/>
        <w:lang w:val="en-GB" w:eastAsia="en-GB" w:bidi="en-GB"/>
      </w:rPr>
    </w:lvl>
    <w:lvl w:ilvl="6" w:tplc="A1F0124E">
      <w:numFmt w:val="bullet"/>
      <w:lvlText w:val="•"/>
      <w:lvlJc w:val="left"/>
      <w:pPr>
        <w:ind w:left="1134" w:hanging="217"/>
      </w:pPr>
      <w:rPr>
        <w:rFonts w:hint="default"/>
        <w:lang w:val="en-GB" w:eastAsia="en-GB" w:bidi="en-GB"/>
      </w:rPr>
    </w:lvl>
    <w:lvl w:ilvl="7" w:tplc="92B6EB1A">
      <w:numFmt w:val="bullet"/>
      <w:lvlText w:val="•"/>
      <w:lvlJc w:val="left"/>
      <w:pPr>
        <w:ind w:left="1273" w:hanging="217"/>
      </w:pPr>
      <w:rPr>
        <w:rFonts w:hint="default"/>
        <w:lang w:val="en-GB" w:eastAsia="en-GB" w:bidi="en-GB"/>
      </w:rPr>
    </w:lvl>
    <w:lvl w:ilvl="8" w:tplc="0C742842">
      <w:numFmt w:val="bullet"/>
      <w:lvlText w:val="•"/>
      <w:lvlJc w:val="left"/>
      <w:pPr>
        <w:ind w:left="1412" w:hanging="217"/>
      </w:pPr>
      <w:rPr>
        <w:rFonts w:hint="default"/>
        <w:lang w:val="en-GB" w:eastAsia="en-GB" w:bidi="en-GB"/>
      </w:rPr>
    </w:lvl>
  </w:abstractNum>
  <w:abstractNum w:abstractNumId="1345" w15:restartNumberingAfterBreak="0">
    <w:nsid w:val="788300FA"/>
    <w:multiLevelType w:val="hybridMultilevel"/>
    <w:tmpl w:val="63AAEA3C"/>
    <w:lvl w:ilvl="0" w:tplc="960E378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4806E78">
      <w:numFmt w:val="bullet"/>
      <w:lvlText w:val="•"/>
      <w:lvlJc w:val="left"/>
      <w:pPr>
        <w:ind w:left="439" w:hanging="217"/>
      </w:pPr>
      <w:rPr>
        <w:rFonts w:hint="default"/>
        <w:lang w:val="en-GB" w:eastAsia="en-GB" w:bidi="en-GB"/>
      </w:rPr>
    </w:lvl>
    <w:lvl w:ilvl="2" w:tplc="90C078BC">
      <w:numFmt w:val="bullet"/>
      <w:lvlText w:val="•"/>
      <w:lvlJc w:val="left"/>
      <w:pPr>
        <w:ind w:left="578" w:hanging="217"/>
      </w:pPr>
      <w:rPr>
        <w:rFonts w:hint="default"/>
        <w:lang w:val="en-GB" w:eastAsia="en-GB" w:bidi="en-GB"/>
      </w:rPr>
    </w:lvl>
    <w:lvl w:ilvl="3" w:tplc="223A5DD8">
      <w:numFmt w:val="bullet"/>
      <w:lvlText w:val="•"/>
      <w:lvlJc w:val="left"/>
      <w:pPr>
        <w:ind w:left="717" w:hanging="217"/>
      </w:pPr>
      <w:rPr>
        <w:rFonts w:hint="default"/>
        <w:lang w:val="en-GB" w:eastAsia="en-GB" w:bidi="en-GB"/>
      </w:rPr>
    </w:lvl>
    <w:lvl w:ilvl="4" w:tplc="A7E2FBAC">
      <w:numFmt w:val="bullet"/>
      <w:lvlText w:val="•"/>
      <w:lvlJc w:val="left"/>
      <w:pPr>
        <w:ind w:left="856" w:hanging="217"/>
      </w:pPr>
      <w:rPr>
        <w:rFonts w:hint="default"/>
        <w:lang w:val="en-GB" w:eastAsia="en-GB" w:bidi="en-GB"/>
      </w:rPr>
    </w:lvl>
    <w:lvl w:ilvl="5" w:tplc="9B98908C">
      <w:numFmt w:val="bullet"/>
      <w:lvlText w:val="•"/>
      <w:lvlJc w:val="left"/>
      <w:pPr>
        <w:ind w:left="995" w:hanging="217"/>
      </w:pPr>
      <w:rPr>
        <w:rFonts w:hint="default"/>
        <w:lang w:val="en-GB" w:eastAsia="en-GB" w:bidi="en-GB"/>
      </w:rPr>
    </w:lvl>
    <w:lvl w:ilvl="6" w:tplc="D604E096">
      <w:numFmt w:val="bullet"/>
      <w:lvlText w:val="•"/>
      <w:lvlJc w:val="left"/>
      <w:pPr>
        <w:ind w:left="1134" w:hanging="217"/>
      </w:pPr>
      <w:rPr>
        <w:rFonts w:hint="default"/>
        <w:lang w:val="en-GB" w:eastAsia="en-GB" w:bidi="en-GB"/>
      </w:rPr>
    </w:lvl>
    <w:lvl w:ilvl="7" w:tplc="5A284CAA">
      <w:numFmt w:val="bullet"/>
      <w:lvlText w:val="•"/>
      <w:lvlJc w:val="left"/>
      <w:pPr>
        <w:ind w:left="1273" w:hanging="217"/>
      </w:pPr>
      <w:rPr>
        <w:rFonts w:hint="default"/>
        <w:lang w:val="en-GB" w:eastAsia="en-GB" w:bidi="en-GB"/>
      </w:rPr>
    </w:lvl>
    <w:lvl w:ilvl="8" w:tplc="9FEE148C">
      <w:numFmt w:val="bullet"/>
      <w:lvlText w:val="•"/>
      <w:lvlJc w:val="left"/>
      <w:pPr>
        <w:ind w:left="1412" w:hanging="217"/>
      </w:pPr>
      <w:rPr>
        <w:rFonts w:hint="default"/>
        <w:lang w:val="en-GB" w:eastAsia="en-GB" w:bidi="en-GB"/>
      </w:rPr>
    </w:lvl>
  </w:abstractNum>
  <w:abstractNum w:abstractNumId="1346" w15:restartNumberingAfterBreak="0">
    <w:nsid w:val="7888494A"/>
    <w:multiLevelType w:val="hybridMultilevel"/>
    <w:tmpl w:val="B636E0A6"/>
    <w:lvl w:ilvl="0" w:tplc="FDDC9AE0">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33780518">
      <w:numFmt w:val="bullet"/>
      <w:lvlText w:val="•"/>
      <w:lvlJc w:val="left"/>
      <w:pPr>
        <w:ind w:left="529" w:hanging="217"/>
      </w:pPr>
      <w:rPr>
        <w:rFonts w:hint="default"/>
        <w:lang w:val="en-GB" w:eastAsia="en-GB" w:bidi="en-GB"/>
      </w:rPr>
    </w:lvl>
    <w:lvl w:ilvl="2" w:tplc="D79C3614">
      <w:numFmt w:val="bullet"/>
      <w:lvlText w:val="•"/>
      <w:lvlJc w:val="left"/>
      <w:pPr>
        <w:ind w:left="759" w:hanging="217"/>
      </w:pPr>
      <w:rPr>
        <w:rFonts w:hint="default"/>
        <w:lang w:val="en-GB" w:eastAsia="en-GB" w:bidi="en-GB"/>
      </w:rPr>
    </w:lvl>
    <w:lvl w:ilvl="3" w:tplc="EAB0EA54">
      <w:numFmt w:val="bullet"/>
      <w:lvlText w:val="•"/>
      <w:lvlJc w:val="left"/>
      <w:pPr>
        <w:ind w:left="989" w:hanging="217"/>
      </w:pPr>
      <w:rPr>
        <w:rFonts w:hint="default"/>
        <w:lang w:val="en-GB" w:eastAsia="en-GB" w:bidi="en-GB"/>
      </w:rPr>
    </w:lvl>
    <w:lvl w:ilvl="4" w:tplc="14DCBEA8">
      <w:numFmt w:val="bullet"/>
      <w:lvlText w:val="•"/>
      <w:lvlJc w:val="left"/>
      <w:pPr>
        <w:ind w:left="1219" w:hanging="217"/>
      </w:pPr>
      <w:rPr>
        <w:rFonts w:hint="default"/>
        <w:lang w:val="en-GB" w:eastAsia="en-GB" w:bidi="en-GB"/>
      </w:rPr>
    </w:lvl>
    <w:lvl w:ilvl="5" w:tplc="D98A1CAA">
      <w:numFmt w:val="bullet"/>
      <w:lvlText w:val="•"/>
      <w:lvlJc w:val="left"/>
      <w:pPr>
        <w:ind w:left="1449" w:hanging="217"/>
      </w:pPr>
      <w:rPr>
        <w:rFonts w:hint="default"/>
        <w:lang w:val="en-GB" w:eastAsia="en-GB" w:bidi="en-GB"/>
      </w:rPr>
    </w:lvl>
    <w:lvl w:ilvl="6" w:tplc="1F683D02">
      <w:numFmt w:val="bullet"/>
      <w:lvlText w:val="•"/>
      <w:lvlJc w:val="left"/>
      <w:pPr>
        <w:ind w:left="1678" w:hanging="217"/>
      </w:pPr>
      <w:rPr>
        <w:rFonts w:hint="default"/>
        <w:lang w:val="en-GB" w:eastAsia="en-GB" w:bidi="en-GB"/>
      </w:rPr>
    </w:lvl>
    <w:lvl w:ilvl="7" w:tplc="C83061E4">
      <w:numFmt w:val="bullet"/>
      <w:lvlText w:val="•"/>
      <w:lvlJc w:val="left"/>
      <w:pPr>
        <w:ind w:left="1908" w:hanging="217"/>
      </w:pPr>
      <w:rPr>
        <w:rFonts w:hint="default"/>
        <w:lang w:val="en-GB" w:eastAsia="en-GB" w:bidi="en-GB"/>
      </w:rPr>
    </w:lvl>
    <w:lvl w:ilvl="8" w:tplc="E2C2D390">
      <w:numFmt w:val="bullet"/>
      <w:lvlText w:val="•"/>
      <w:lvlJc w:val="left"/>
      <w:pPr>
        <w:ind w:left="2138" w:hanging="217"/>
      </w:pPr>
      <w:rPr>
        <w:rFonts w:hint="default"/>
        <w:lang w:val="en-GB" w:eastAsia="en-GB" w:bidi="en-GB"/>
      </w:rPr>
    </w:lvl>
  </w:abstractNum>
  <w:abstractNum w:abstractNumId="1347" w15:restartNumberingAfterBreak="0">
    <w:nsid w:val="78952E01"/>
    <w:multiLevelType w:val="hybridMultilevel"/>
    <w:tmpl w:val="36EEA100"/>
    <w:lvl w:ilvl="0" w:tplc="2FF29F9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D02F490">
      <w:numFmt w:val="bullet"/>
      <w:lvlText w:val="•"/>
      <w:lvlJc w:val="left"/>
      <w:pPr>
        <w:ind w:left="892" w:hanging="217"/>
      </w:pPr>
      <w:rPr>
        <w:rFonts w:hint="default"/>
        <w:lang w:val="en-GB" w:eastAsia="en-GB" w:bidi="en-GB"/>
      </w:rPr>
    </w:lvl>
    <w:lvl w:ilvl="2" w:tplc="CEBC7BBE">
      <w:numFmt w:val="bullet"/>
      <w:lvlText w:val="•"/>
      <w:lvlJc w:val="left"/>
      <w:pPr>
        <w:ind w:left="1485" w:hanging="217"/>
      </w:pPr>
      <w:rPr>
        <w:rFonts w:hint="default"/>
        <w:lang w:val="en-GB" w:eastAsia="en-GB" w:bidi="en-GB"/>
      </w:rPr>
    </w:lvl>
    <w:lvl w:ilvl="3" w:tplc="8876B30E">
      <w:numFmt w:val="bullet"/>
      <w:lvlText w:val="•"/>
      <w:lvlJc w:val="left"/>
      <w:pPr>
        <w:ind w:left="2077" w:hanging="217"/>
      </w:pPr>
      <w:rPr>
        <w:rFonts w:hint="default"/>
        <w:lang w:val="en-GB" w:eastAsia="en-GB" w:bidi="en-GB"/>
      </w:rPr>
    </w:lvl>
    <w:lvl w:ilvl="4" w:tplc="CB003A78">
      <w:numFmt w:val="bullet"/>
      <w:lvlText w:val="•"/>
      <w:lvlJc w:val="left"/>
      <w:pPr>
        <w:ind w:left="2670" w:hanging="217"/>
      </w:pPr>
      <w:rPr>
        <w:rFonts w:hint="default"/>
        <w:lang w:val="en-GB" w:eastAsia="en-GB" w:bidi="en-GB"/>
      </w:rPr>
    </w:lvl>
    <w:lvl w:ilvl="5" w:tplc="97BA32A8">
      <w:numFmt w:val="bullet"/>
      <w:lvlText w:val="•"/>
      <w:lvlJc w:val="left"/>
      <w:pPr>
        <w:ind w:left="3263" w:hanging="217"/>
      </w:pPr>
      <w:rPr>
        <w:rFonts w:hint="default"/>
        <w:lang w:val="en-GB" w:eastAsia="en-GB" w:bidi="en-GB"/>
      </w:rPr>
    </w:lvl>
    <w:lvl w:ilvl="6" w:tplc="9C4E06AA">
      <w:numFmt w:val="bullet"/>
      <w:lvlText w:val="•"/>
      <w:lvlJc w:val="left"/>
      <w:pPr>
        <w:ind w:left="3855" w:hanging="217"/>
      </w:pPr>
      <w:rPr>
        <w:rFonts w:hint="default"/>
        <w:lang w:val="en-GB" w:eastAsia="en-GB" w:bidi="en-GB"/>
      </w:rPr>
    </w:lvl>
    <w:lvl w:ilvl="7" w:tplc="16A883DE">
      <w:numFmt w:val="bullet"/>
      <w:lvlText w:val="•"/>
      <w:lvlJc w:val="left"/>
      <w:pPr>
        <w:ind w:left="4448" w:hanging="217"/>
      </w:pPr>
      <w:rPr>
        <w:rFonts w:hint="default"/>
        <w:lang w:val="en-GB" w:eastAsia="en-GB" w:bidi="en-GB"/>
      </w:rPr>
    </w:lvl>
    <w:lvl w:ilvl="8" w:tplc="6F604A72">
      <w:numFmt w:val="bullet"/>
      <w:lvlText w:val="•"/>
      <w:lvlJc w:val="left"/>
      <w:pPr>
        <w:ind w:left="5040" w:hanging="217"/>
      </w:pPr>
      <w:rPr>
        <w:rFonts w:hint="default"/>
        <w:lang w:val="en-GB" w:eastAsia="en-GB" w:bidi="en-GB"/>
      </w:rPr>
    </w:lvl>
  </w:abstractNum>
  <w:abstractNum w:abstractNumId="1348" w15:restartNumberingAfterBreak="0">
    <w:nsid w:val="78C72AA5"/>
    <w:multiLevelType w:val="hybridMultilevel"/>
    <w:tmpl w:val="861EC116"/>
    <w:lvl w:ilvl="0" w:tplc="157A3F1E">
      <w:numFmt w:val="bullet"/>
      <w:lvlText w:val="•"/>
      <w:lvlJc w:val="left"/>
      <w:pPr>
        <w:ind w:left="303" w:hanging="217"/>
      </w:pPr>
      <w:rPr>
        <w:rFonts w:ascii="Arial" w:eastAsia="Arial" w:hAnsi="Arial" w:cs="Arial" w:hint="default"/>
        <w:color w:val="231F20"/>
        <w:w w:val="102"/>
        <w:sz w:val="17"/>
        <w:szCs w:val="17"/>
        <w:lang w:val="en-GB" w:eastAsia="en-GB" w:bidi="en-GB"/>
      </w:rPr>
    </w:lvl>
    <w:lvl w:ilvl="1" w:tplc="C94E5FB6">
      <w:numFmt w:val="bullet"/>
      <w:lvlText w:val="•"/>
      <w:lvlJc w:val="left"/>
      <w:pPr>
        <w:ind w:left="439" w:hanging="217"/>
      </w:pPr>
      <w:rPr>
        <w:rFonts w:hint="default"/>
        <w:lang w:val="en-GB" w:eastAsia="en-GB" w:bidi="en-GB"/>
      </w:rPr>
    </w:lvl>
    <w:lvl w:ilvl="2" w:tplc="380C7E9A">
      <w:numFmt w:val="bullet"/>
      <w:lvlText w:val="•"/>
      <w:lvlJc w:val="left"/>
      <w:pPr>
        <w:ind w:left="578" w:hanging="217"/>
      </w:pPr>
      <w:rPr>
        <w:rFonts w:hint="default"/>
        <w:lang w:val="en-GB" w:eastAsia="en-GB" w:bidi="en-GB"/>
      </w:rPr>
    </w:lvl>
    <w:lvl w:ilvl="3" w:tplc="69069070">
      <w:numFmt w:val="bullet"/>
      <w:lvlText w:val="•"/>
      <w:lvlJc w:val="left"/>
      <w:pPr>
        <w:ind w:left="717" w:hanging="217"/>
      </w:pPr>
      <w:rPr>
        <w:rFonts w:hint="default"/>
        <w:lang w:val="en-GB" w:eastAsia="en-GB" w:bidi="en-GB"/>
      </w:rPr>
    </w:lvl>
    <w:lvl w:ilvl="4" w:tplc="BFACA5B2">
      <w:numFmt w:val="bullet"/>
      <w:lvlText w:val="•"/>
      <w:lvlJc w:val="left"/>
      <w:pPr>
        <w:ind w:left="856" w:hanging="217"/>
      </w:pPr>
      <w:rPr>
        <w:rFonts w:hint="default"/>
        <w:lang w:val="en-GB" w:eastAsia="en-GB" w:bidi="en-GB"/>
      </w:rPr>
    </w:lvl>
    <w:lvl w:ilvl="5" w:tplc="173A5FF6">
      <w:numFmt w:val="bullet"/>
      <w:lvlText w:val="•"/>
      <w:lvlJc w:val="left"/>
      <w:pPr>
        <w:ind w:left="995" w:hanging="217"/>
      </w:pPr>
      <w:rPr>
        <w:rFonts w:hint="default"/>
        <w:lang w:val="en-GB" w:eastAsia="en-GB" w:bidi="en-GB"/>
      </w:rPr>
    </w:lvl>
    <w:lvl w:ilvl="6" w:tplc="BAC25D18">
      <w:numFmt w:val="bullet"/>
      <w:lvlText w:val="•"/>
      <w:lvlJc w:val="left"/>
      <w:pPr>
        <w:ind w:left="1134" w:hanging="217"/>
      </w:pPr>
      <w:rPr>
        <w:rFonts w:hint="default"/>
        <w:lang w:val="en-GB" w:eastAsia="en-GB" w:bidi="en-GB"/>
      </w:rPr>
    </w:lvl>
    <w:lvl w:ilvl="7" w:tplc="CBE0C6D8">
      <w:numFmt w:val="bullet"/>
      <w:lvlText w:val="•"/>
      <w:lvlJc w:val="left"/>
      <w:pPr>
        <w:ind w:left="1273" w:hanging="217"/>
      </w:pPr>
      <w:rPr>
        <w:rFonts w:hint="default"/>
        <w:lang w:val="en-GB" w:eastAsia="en-GB" w:bidi="en-GB"/>
      </w:rPr>
    </w:lvl>
    <w:lvl w:ilvl="8" w:tplc="C464C8C0">
      <w:numFmt w:val="bullet"/>
      <w:lvlText w:val="•"/>
      <w:lvlJc w:val="left"/>
      <w:pPr>
        <w:ind w:left="1412" w:hanging="217"/>
      </w:pPr>
      <w:rPr>
        <w:rFonts w:hint="default"/>
        <w:lang w:val="en-GB" w:eastAsia="en-GB" w:bidi="en-GB"/>
      </w:rPr>
    </w:lvl>
  </w:abstractNum>
  <w:abstractNum w:abstractNumId="1349" w15:restartNumberingAfterBreak="0">
    <w:nsid w:val="78FE7275"/>
    <w:multiLevelType w:val="hybridMultilevel"/>
    <w:tmpl w:val="6A5A6C1C"/>
    <w:lvl w:ilvl="0" w:tplc="E5582528">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08A9A94">
      <w:numFmt w:val="bullet"/>
      <w:lvlText w:val="•"/>
      <w:lvlJc w:val="left"/>
      <w:pPr>
        <w:ind w:left="473" w:hanging="217"/>
      </w:pPr>
      <w:rPr>
        <w:rFonts w:hint="default"/>
        <w:lang w:val="en-GB" w:eastAsia="en-GB" w:bidi="en-GB"/>
      </w:rPr>
    </w:lvl>
    <w:lvl w:ilvl="2" w:tplc="8F38C5A8">
      <w:numFmt w:val="bullet"/>
      <w:lvlText w:val="•"/>
      <w:lvlJc w:val="left"/>
      <w:pPr>
        <w:ind w:left="646" w:hanging="217"/>
      </w:pPr>
      <w:rPr>
        <w:rFonts w:hint="default"/>
        <w:lang w:val="en-GB" w:eastAsia="en-GB" w:bidi="en-GB"/>
      </w:rPr>
    </w:lvl>
    <w:lvl w:ilvl="3" w:tplc="59243778">
      <w:numFmt w:val="bullet"/>
      <w:lvlText w:val="•"/>
      <w:lvlJc w:val="left"/>
      <w:pPr>
        <w:ind w:left="819" w:hanging="217"/>
      </w:pPr>
      <w:rPr>
        <w:rFonts w:hint="default"/>
        <w:lang w:val="en-GB" w:eastAsia="en-GB" w:bidi="en-GB"/>
      </w:rPr>
    </w:lvl>
    <w:lvl w:ilvl="4" w:tplc="6F1AD140">
      <w:numFmt w:val="bullet"/>
      <w:lvlText w:val="•"/>
      <w:lvlJc w:val="left"/>
      <w:pPr>
        <w:ind w:left="992" w:hanging="217"/>
      </w:pPr>
      <w:rPr>
        <w:rFonts w:hint="default"/>
        <w:lang w:val="en-GB" w:eastAsia="en-GB" w:bidi="en-GB"/>
      </w:rPr>
    </w:lvl>
    <w:lvl w:ilvl="5" w:tplc="283A98B2">
      <w:numFmt w:val="bullet"/>
      <w:lvlText w:val="•"/>
      <w:lvlJc w:val="left"/>
      <w:pPr>
        <w:ind w:left="1165" w:hanging="217"/>
      </w:pPr>
      <w:rPr>
        <w:rFonts w:hint="default"/>
        <w:lang w:val="en-GB" w:eastAsia="en-GB" w:bidi="en-GB"/>
      </w:rPr>
    </w:lvl>
    <w:lvl w:ilvl="6" w:tplc="69D449DC">
      <w:numFmt w:val="bullet"/>
      <w:lvlText w:val="•"/>
      <w:lvlJc w:val="left"/>
      <w:pPr>
        <w:ind w:left="1338" w:hanging="217"/>
      </w:pPr>
      <w:rPr>
        <w:rFonts w:hint="default"/>
        <w:lang w:val="en-GB" w:eastAsia="en-GB" w:bidi="en-GB"/>
      </w:rPr>
    </w:lvl>
    <w:lvl w:ilvl="7" w:tplc="07803064">
      <w:numFmt w:val="bullet"/>
      <w:lvlText w:val="•"/>
      <w:lvlJc w:val="left"/>
      <w:pPr>
        <w:ind w:left="1511" w:hanging="217"/>
      </w:pPr>
      <w:rPr>
        <w:rFonts w:hint="default"/>
        <w:lang w:val="en-GB" w:eastAsia="en-GB" w:bidi="en-GB"/>
      </w:rPr>
    </w:lvl>
    <w:lvl w:ilvl="8" w:tplc="B3265CCE">
      <w:numFmt w:val="bullet"/>
      <w:lvlText w:val="•"/>
      <w:lvlJc w:val="left"/>
      <w:pPr>
        <w:ind w:left="1684" w:hanging="217"/>
      </w:pPr>
      <w:rPr>
        <w:rFonts w:hint="default"/>
        <w:lang w:val="en-GB" w:eastAsia="en-GB" w:bidi="en-GB"/>
      </w:rPr>
    </w:lvl>
  </w:abstractNum>
  <w:abstractNum w:abstractNumId="1350" w15:restartNumberingAfterBreak="0">
    <w:nsid w:val="79033094"/>
    <w:multiLevelType w:val="hybridMultilevel"/>
    <w:tmpl w:val="BA307C36"/>
    <w:lvl w:ilvl="0" w:tplc="C1A6789E">
      <w:numFmt w:val="bullet"/>
      <w:lvlText w:val="•"/>
      <w:lvlJc w:val="left"/>
      <w:pPr>
        <w:ind w:left="305" w:hanging="217"/>
      </w:pPr>
      <w:rPr>
        <w:rFonts w:ascii="Arial" w:eastAsia="Arial" w:hAnsi="Arial" w:cs="Arial" w:hint="default"/>
        <w:color w:val="231F20"/>
        <w:spacing w:val="-20"/>
        <w:w w:val="100"/>
        <w:sz w:val="18"/>
        <w:szCs w:val="18"/>
        <w:lang w:val="en-GB" w:eastAsia="en-GB" w:bidi="en-GB"/>
      </w:rPr>
    </w:lvl>
    <w:lvl w:ilvl="1" w:tplc="BFCA2064">
      <w:numFmt w:val="bullet"/>
      <w:lvlText w:val="•"/>
      <w:lvlJc w:val="left"/>
      <w:pPr>
        <w:ind w:left="441" w:hanging="217"/>
      </w:pPr>
      <w:rPr>
        <w:rFonts w:hint="default"/>
        <w:lang w:val="en-GB" w:eastAsia="en-GB" w:bidi="en-GB"/>
      </w:rPr>
    </w:lvl>
    <w:lvl w:ilvl="2" w:tplc="0886815E">
      <w:numFmt w:val="bullet"/>
      <w:lvlText w:val="•"/>
      <w:lvlJc w:val="left"/>
      <w:pPr>
        <w:ind w:left="583" w:hanging="217"/>
      </w:pPr>
      <w:rPr>
        <w:rFonts w:hint="default"/>
        <w:lang w:val="en-GB" w:eastAsia="en-GB" w:bidi="en-GB"/>
      </w:rPr>
    </w:lvl>
    <w:lvl w:ilvl="3" w:tplc="8D3CDC42">
      <w:numFmt w:val="bullet"/>
      <w:lvlText w:val="•"/>
      <w:lvlJc w:val="left"/>
      <w:pPr>
        <w:ind w:left="725" w:hanging="217"/>
      </w:pPr>
      <w:rPr>
        <w:rFonts w:hint="default"/>
        <w:lang w:val="en-GB" w:eastAsia="en-GB" w:bidi="en-GB"/>
      </w:rPr>
    </w:lvl>
    <w:lvl w:ilvl="4" w:tplc="91ACE3EA">
      <w:numFmt w:val="bullet"/>
      <w:lvlText w:val="•"/>
      <w:lvlJc w:val="left"/>
      <w:pPr>
        <w:ind w:left="867" w:hanging="217"/>
      </w:pPr>
      <w:rPr>
        <w:rFonts w:hint="default"/>
        <w:lang w:val="en-GB" w:eastAsia="en-GB" w:bidi="en-GB"/>
      </w:rPr>
    </w:lvl>
    <w:lvl w:ilvl="5" w:tplc="084494E4">
      <w:numFmt w:val="bullet"/>
      <w:lvlText w:val="•"/>
      <w:lvlJc w:val="left"/>
      <w:pPr>
        <w:ind w:left="1009" w:hanging="217"/>
      </w:pPr>
      <w:rPr>
        <w:rFonts w:hint="default"/>
        <w:lang w:val="en-GB" w:eastAsia="en-GB" w:bidi="en-GB"/>
      </w:rPr>
    </w:lvl>
    <w:lvl w:ilvl="6" w:tplc="5F849F0A">
      <w:numFmt w:val="bullet"/>
      <w:lvlText w:val="•"/>
      <w:lvlJc w:val="left"/>
      <w:pPr>
        <w:ind w:left="1151" w:hanging="217"/>
      </w:pPr>
      <w:rPr>
        <w:rFonts w:hint="default"/>
        <w:lang w:val="en-GB" w:eastAsia="en-GB" w:bidi="en-GB"/>
      </w:rPr>
    </w:lvl>
    <w:lvl w:ilvl="7" w:tplc="DE54F598">
      <w:numFmt w:val="bullet"/>
      <w:lvlText w:val="•"/>
      <w:lvlJc w:val="left"/>
      <w:pPr>
        <w:ind w:left="1293" w:hanging="217"/>
      </w:pPr>
      <w:rPr>
        <w:rFonts w:hint="default"/>
        <w:lang w:val="en-GB" w:eastAsia="en-GB" w:bidi="en-GB"/>
      </w:rPr>
    </w:lvl>
    <w:lvl w:ilvl="8" w:tplc="5A40B7A0">
      <w:numFmt w:val="bullet"/>
      <w:lvlText w:val="•"/>
      <w:lvlJc w:val="left"/>
      <w:pPr>
        <w:ind w:left="1435" w:hanging="217"/>
      </w:pPr>
      <w:rPr>
        <w:rFonts w:hint="default"/>
        <w:lang w:val="en-GB" w:eastAsia="en-GB" w:bidi="en-GB"/>
      </w:rPr>
    </w:lvl>
  </w:abstractNum>
  <w:abstractNum w:abstractNumId="1351" w15:restartNumberingAfterBreak="0">
    <w:nsid w:val="79087E8E"/>
    <w:multiLevelType w:val="hybridMultilevel"/>
    <w:tmpl w:val="E4621CEA"/>
    <w:lvl w:ilvl="0" w:tplc="B7583A5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65C6C8CC">
      <w:numFmt w:val="bullet"/>
      <w:lvlText w:val="•"/>
      <w:lvlJc w:val="left"/>
      <w:pPr>
        <w:ind w:left="892" w:hanging="217"/>
      </w:pPr>
      <w:rPr>
        <w:rFonts w:hint="default"/>
        <w:lang w:val="en-GB" w:eastAsia="en-GB" w:bidi="en-GB"/>
      </w:rPr>
    </w:lvl>
    <w:lvl w:ilvl="2" w:tplc="DE3E83AA">
      <w:numFmt w:val="bullet"/>
      <w:lvlText w:val="•"/>
      <w:lvlJc w:val="left"/>
      <w:pPr>
        <w:ind w:left="1485" w:hanging="217"/>
      </w:pPr>
      <w:rPr>
        <w:rFonts w:hint="default"/>
        <w:lang w:val="en-GB" w:eastAsia="en-GB" w:bidi="en-GB"/>
      </w:rPr>
    </w:lvl>
    <w:lvl w:ilvl="3" w:tplc="9B627E40">
      <w:numFmt w:val="bullet"/>
      <w:lvlText w:val="•"/>
      <w:lvlJc w:val="left"/>
      <w:pPr>
        <w:ind w:left="2077" w:hanging="217"/>
      </w:pPr>
      <w:rPr>
        <w:rFonts w:hint="default"/>
        <w:lang w:val="en-GB" w:eastAsia="en-GB" w:bidi="en-GB"/>
      </w:rPr>
    </w:lvl>
    <w:lvl w:ilvl="4" w:tplc="FFE6B28C">
      <w:numFmt w:val="bullet"/>
      <w:lvlText w:val="•"/>
      <w:lvlJc w:val="left"/>
      <w:pPr>
        <w:ind w:left="2670" w:hanging="217"/>
      </w:pPr>
      <w:rPr>
        <w:rFonts w:hint="default"/>
        <w:lang w:val="en-GB" w:eastAsia="en-GB" w:bidi="en-GB"/>
      </w:rPr>
    </w:lvl>
    <w:lvl w:ilvl="5" w:tplc="35A082A4">
      <w:numFmt w:val="bullet"/>
      <w:lvlText w:val="•"/>
      <w:lvlJc w:val="left"/>
      <w:pPr>
        <w:ind w:left="3263" w:hanging="217"/>
      </w:pPr>
      <w:rPr>
        <w:rFonts w:hint="default"/>
        <w:lang w:val="en-GB" w:eastAsia="en-GB" w:bidi="en-GB"/>
      </w:rPr>
    </w:lvl>
    <w:lvl w:ilvl="6" w:tplc="2D86CE32">
      <w:numFmt w:val="bullet"/>
      <w:lvlText w:val="•"/>
      <w:lvlJc w:val="left"/>
      <w:pPr>
        <w:ind w:left="3855" w:hanging="217"/>
      </w:pPr>
      <w:rPr>
        <w:rFonts w:hint="default"/>
        <w:lang w:val="en-GB" w:eastAsia="en-GB" w:bidi="en-GB"/>
      </w:rPr>
    </w:lvl>
    <w:lvl w:ilvl="7" w:tplc="FBA0D2FE">
      <w:numFmt w:val="bullet"/>
      <w:lvlText w:val="•"/>
      <w:lvlJc w:val="left"/>
      <w:pPr>
        <w:ind w:left="4448" w:hanging="217"/>
      </w:pPr>
      <w:rPr>
        <w:rFonts w:hint="default"/>
        <w:lang w:val="en-GB" w:eastAsia="en-GB" w:bidi="en-GB"/>
      </w:rPr>
    </w:lvl>
    <w:lvl w:ilvl="8" w:tplc="1BBC48C8">
      <w:numFmt w:val="bullet"/>
      <w:lvlText w:val="•"/>
      <w:lvlJc w:val="left"/>
      <w:pPr>
        <w:ind w:left="5040" w:hanging="217"/>
      </w:pPr>
      <w:rPr>
        <w:rFonts w:hint="default"/>
        <w:lang w:val="en-GB" w:eastAsia="en-GB" w:bidi="en-GB"/>
      </w:rPr>
    </w:lvl>
  </w:abstractNum>
  <w:abstractNum w:abstractNumId="1352" w15:restartNumberingAfterBreak="0">
    <w:nsid w:val="791032EC"/>
    <w:multiLevelType w:val="hybridMultilevel"/>
    <w:tmpl w:val="7200CCA8"/>
    <w:lvl w:ilvl="0" w:tplc="E8A0C5F8">
      <w:numFmt w:val="bullet"/>
      <w:lvlText w:val="•"/>
      <w:lvlJc w:val="left"/>
      <w:pPr>
        <w:ind w:left="305" w:hanging="217"/>
      </w:pPr>
      <w:rPr>
        <w:rFonts w:ascii="Arial" w:eastAsia="Arial" w:hAnsi="Arial" w:cs="Arial" w:hint="default"/>
        <w:color w:val="231F20"/>
        <w:spacing w:val="-10"/>
        <w:w w:val="100"/>
        <w:sz w:val="18"/>
        <w:szCs w:val="18"/>
        <w:lang w:val="en-GB" w:eastAsia="en-GB" w:bidi="en-GB"/>
      </w:rPr>
    </w:lvl>
    <w:lvl w:ilvl="1" w:tplc="3DDA27C2">
      <w:numFmt w:val="bullet"/>
      <w:lvlText w:val="•"/>
      <w:lvlJc w:val="left"/>
      <w:pPr>
        <w:ind w:left="892" w:hanging="217"/>
      </w:pPr>
      <w:rPr>
        <w:rFonts w:hint="default"/>
        <w:lang w:val="en-GB" w:eastAsia="en-GB" w:bidi="en-GB"/>
      </w:rPr>
    </w:lvl>
    <w:lvl w:ilvl="2" w:tplc="98B6E7EE">
      <w:numFmt w:val="bullet"/>
      <w:lvlText w:val="•"/>
      <w:lvlJc w:val="left"/>
      <w:pPr>
        <w:ind w:left="1485" w:hanging="217"/>
      </w:pPr>
      <w:rPr>
        <w:rFonts w:hint="default"/>
        <w:lang w:val="en-GB" w:eastAsia="en-GB" w:bidi="en-GB"/>
      </w:rPr>
    </w:lvl>
    <w:lvl w:ilvl="3" w:tplc="41FE2D12">
      <w:numFmt w:val="bullet"/>
      <w:lvlText w:val="•"/>
      <w:lvlJc w:val="left"/>
      <w:pPr>
        <w:ind w:left="2077" w:hanging="217"/>
      </w:pPr>
      <w:rPr>
        <w:rFonts w:hint="default"/>
        <w:lang w:val="en-GB" w:eastAsia="en-GB" w:bidi="en-GB"/>
      </w:rPr>
    </w:lvl>
    <w:lvl w:ilvl="4" w:tplc="956E3F8C">
      <w:numFmt w:val="bullet"/>
      <w:lvlText w:val="•"/>
      <w:lvlJc w:val="left"/>
      <w:pPr>
        <w:ind w:left="2670" w:hanging="217"/>
      </w:pPr>
      <w:rPr>
        <w:rFonts w:hint="default"/>
        <w:lang w:val="en-GB" w:eastAsia="en-GB" w:bidi="en-GB"/>
      </w:rPr>
    </w:lvl>
    <w:lvl w:ilvl="5" w:tplc="3A24C6B8">
      <w:numFmt w:val="bullet"/>
      <w:lvlText w:val="•"/>
      <w:lvlJc w:val="left"/>
      <w:pPr>
        <w:ind w:left="3263" w:hanging="217"/>
      </w:pPr>
      <w:rPr>
        <w:rFonts w:hint="default"/>
        <w:lang w:val="en-GB" w:eastAsia="en-GB" w:bidi="en-GB"/>
      </w:rPr>
    </w:lvl>
    <w:lvl w:ilvl="6" w:tplc="280A53FC">
      <w:numFmt w:val="bullet"/>
      <w:lvlText w:val="•"/>
      <w:lvlJc w:val="left"/>
      <w:pPr>
        <w:ind w:left="3855" w:hanging="217"/>
      </w:pPr>
      <w:rPr>
        <w:rFonts w:hint="default"/>
        <w:lang w:val="en-GB" w:eastAsia="en-GB" w:bidi="en-GB"/>
      </w:rPr>
    </w:lvl>
    <w:lvl w:ilvl="7" w:tplc="5894A646">
      <w:numFmt w:val="bullet"/>
      <w:lvlText w:val="•"/>
      <w:lvlJc w:val="left"/>
      <w:pPr>
        <w:ind w:left="4448" w:hanging="217"/>
      </w:pPr>
      <w:rPr>
        <w:rFonts w:hint="default"/>
        <w:lang w:val="en-GB" w:eastAsia="en-GB" w:bidi="en-GB"/>
      </w:rPr>
    </w:lvl>
    <w:lvl w:ilvl="8" w:tplc="6DF8361C">
      <w:numFmt w:val="bullet"/>
      <w:lvlText w:val="•"/>
      <w:lvlJc w:val="left"/>
      <w:pPr>
        <w:ind w:left="5040" w:hanging="217"/>
      </w:pPr>
      <w:rPr>
        <w:rFonts w:hint="default"/>
        <w:lang w:val="en-GB" w:eastAsia="en-GB" w:bidi="en-GB"/>
      </w:rPr>
    </w:lvl>
  </w:abstractNum>
  <w:abstractNum w:abstractNumId="1353" w15:restartNumberingAfterBreak="0">
    <w:nsid w:val="79174C8C"/>
    <w:multiLevelType w:val="hybridMultilevel"/>
    <w:tmpl w:val="B7EA1E8C"/>
    <w:lvl w:ilvl="0" w:tplc="5D86477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6EA2B6A">
      <w:numFmt w:val="bullet"/>
      <w:lvlText w:val="•"/>
      <w:lvlJc w:val="left"/>
      <w:pPr>
        <w:ind w:left="439" w:hanging="217"/>
      </w:pPr>
      <w:rPr>
        <w:rFonts w:hint="default"/>
        <w:lang w:val="en-GB" w:eastAsia="en-GB" w:bidi="en-GB"/>
      </w:rPr>
    </w:lvl>
    <w:lvl w:ilvl="2" w:tplc="EA881AAA">
      <w:numFmt w:val="bullet"/>
      <w:lvlText w:val="•"/>
      <w:lvlJc w:val="left"/>
      <w:pPr>
        <w:ind w:left="578" w:hanging="217"/>
      </w:pPr>
      <w:rPr>
        <w:rFonts w:hint="default"/>
        <w:lang w:val="en-GB" w:eastAsia="en-GB" w:bidi="en-GB"/>
      </w:rPr>
    </w:lvl>
    <w:lvl w:ilvl="3" w:tplc="686EB344">
      <w:numFmt w:val="bullet"/>
      <w:lvlText w:val="•"/>
      <w:lvlJc w:val="left"/>
      <w:pPr>
        <w:ind w:left="717" w:hanging="217"/>
      </w:pPr>
      <w:rPr>
        <w:rFonts w:hint="default"/>
        <w:lang w:val="en-GB" w:eastAsia="en-GB" w:bidi="en-GB"/>
      </w:rPr>
    </w:lvl>
    <w:lvl w:ilvl="4" w:tplc="D9FE6D2E">
      <w:numFmt w:val="bullet"/>
      <w:lvlText w:val="•"/>
      <w:lvlJc w:val="left"/>
      <w:pPr>
        <w:ind w:left="856" w:hanging="217"/>
      </w:pPr>
      <w:rPr>
        <w:rFonts w:hint="default"/>
        <w:lang w:val="en-GB" w:eastAsia="en-GB" w:bidi="en-GB"/>
      </w:rPr>
    </w:lvl>
    <w:lvl w:ilvl="5" w:tplc="FBE0673A">
      <w:numFmt w:val="bullet"/>
      <w:lvlText w:val="•"/>
      <w:lvlJc w:val="left"/>
      <w:pPr>
        <w:ind w:left="995" w:hanging="217"/>
      </w:pPr>
      <w:rPr>
        <w:rFonts w:hint="default"/>
        <w:lang w:val="en-GB" w:eastAsia="en-GB" w:bidi="en-GB"/>
      </w:rPr>
    </w:lvl>
    <w:lvl w:ilvl="6" w:tplc="9E8C06A6">
      <w:numFmt w:val="bullet"/>
      <w:lvlText w:val="•"/>
      <w:lvlJc w:val="left"/>
      <w:pPr>
        <w:ind w:left="1134" w:hanging="217"/>
      </w:pPr>
      <w:rPr>
        <w:rFonts w:hint="default"/>
        <w:lang w:val="en-GB" w:eastAsia="en-GB" w:bidi="en-GB"/>
      </w:rPr>
    </w:lvl>
    <w:lvl w:ilvl="7" w:tplc="7F7C40FC">
      <w:numFmt w:val="bullet"/>
      <w:lvlText w:val="•"/>
      <w:lvlJc w:val="left"/>
      <w:pPr>
        <w:ind w:left="1273" w:hanging="217"/>
      </w:pPr>
      <w:rPr>
        <w:rFonts w:hint="default"/>
        <w:lang w:val="en-GB" w:eastAsia="en-GB" w:bidi="en-GB"/>
      </w:rPr>
    </w:lvl>
    <w:lvl w:ilvl="8" w:tplc="61C2A7E0">
      <w:numFmt w:val="bullet"/>
      <w:lvlText w:val="•"/>
      <w:lvlJc w:val="left"/>
      <w:pPr>
        <w:ind w:left="1412" w:hanging="217"/>
      </w:pPr>
      <w:rPr>
        <w:rFonts w:hint="default"/>
        <w:lang w:val="en-GB" w:eastAsia="en-GB" w:bidi="en-GB"/>
      </w:rPr>
    </w:lvl>
  </w:abstractNum>
  <w:abstractNum w:abstractNumId="1354" w15:restartNumberingAfterBreak="0">
    <w:nsid w:val="793C45DA"/>
    <w:multiLevelType w:val="hybridMultilevel"/>
    <w:tmpl w:val="1FF423E0"/>
    <w:lvl w:ilvl="0" w:tplc="9CC6E290">
      <w:numFmt w:val="bullet"/>
      <w:lvlText w:val="•"/>
      <w:lvlJc w:val="left"/>
      <w:pPr>
        <w:ind w:left="299" w:hanging="217"/>
      </w:pPr>
      <w:rPr>
        <w:rFonts w:ascii="Arial" w:eastAsia="Arial" w:hAnsi="Arial" w:cs="Arial" w:hint="default"/>
        <w:color w:val="231F20"/>
        <w:spacing w:val="-6"/>
        <w:w w:val="100"/>
        <w:sz w:val="18"/>
        <w:szCs w:val="18"/>
        <w:lang w:val="en-GB" w:eastAsia="en-GB" w:bidi="en-GB"/>
      </w:rPr>
    </w:lvl>
    <w:lvl w:ilvl="1" w:tplc="35126EFE">
      <w:numFmt w:val="bullet"/>
      <w:lvlText w:val="•"/>
      <w:lvlJc w:val="left"/>
      <w:pPr>
        <w:ind w:left="473" w:hanging="217"/>
      </w:pPr>
      <w:rPr>
        <w:rFonts w:hint="default"/>
        <w:lang w:val="en-GB" w:eastAsia="en-GB" w:bidi="en-GB"/>
      </w:rPr>
    </w:lvl>
    <w:lvl w:ilvl="2" w:tplc="A6082FE0">
      <w:numFmt w:val="bullet"/>
      <w:lvlText w:val="•"/>
      <w:lvlJc w:val="left"/>
      <w:pPr>
        <w:ind w:left="646" w:hanging="217"/>
      </w:pPr>
      <w:rPr>
        <w:rFonts w:hint="default"/>
        <w:lang w:val="en-GB" w:eastAsia="en-GB" w:bidi="en-GB"/>
      </w:rPr>
    </w:lvl>
    <w:lvl w:ilvl="3" w:tplc="3354793E">
      <w:numFmt w:val="bullet"/>
      <w:lvlText w:val="•"/>
      <w:lvlJc w:val="left"/>
      <w:pPr>
        <w:ind w:left="819" w:hanging="217"/>
      </w:pPr>
      <w:rPr>
        <w:rFonts w:hint="default"/>
        <w:lang w:val="en-GB" w:eastAsia="en-GB" w:bidi="en-GB"/>
      </w:rPr>
    </w:lvl>
    <w:lvl w:ilvl="4" w:tplc="E0C459BC">
      <w:numFmt w:val="bullet"/>
      <w:lvlText w:val="•"/>
      <w:lvlJc w:val="left"/>
      <w:pPr>
        <w:ind w:left="992" w:hanging="217"/>
      </w:pPr>
      <w:rPr>
        <w:rFonts w:hint="default"/>
        <w:lang w:val="en-GB" w:eastAsia="en-GB" w:bidi="en-GB"/>
      </w:rPr>
    </w:lvl>
    <w:lvl w:ilvl="5" w:tplc="11D68108">
      <w:numFmt w:val="bullet"/>
      <w:lvlText w:val="•"/>
      <w:lvlJc w:val="left"/>
      <w:pPr>
        <w:ind w:left="1165" w:hanging="217"/>
      </w:pPr>
      <w:rPr>
        <w:rFonts w:hint="default"/>
        <w:lang w:val="en-GB" w:eastAsia="en-GB" w:bidi="en-GB"/>
      </w:rPr>
    </w:lvl>
    <w:lvl w:ilvl="6" w:tplc="902EA59E">
      <w:numFmt w:val="bullet"/>
      <w:lvlText w:val="•"/>
      <w:lvlJc w:val="left"/>
      <w:pPr>
        <w:ind w:left="1338" w:hanging="217"/>
      </w:pPr>
      <w:rPr>
        <w:rFonts w:hint="default"/>
        <w:lang w:val="en-GB" w:eastAsia="en-GB" w:bidi="en-GB"/>
      </w:rPr>
    </w:lvl>
    <w:lvl w:ilvl="7" w:tplc="2FD21710">
      <w:numFmt w:val="bullet"/>
      <w:lvlText w:val="•"/>
      <w:lvlJc w:val="left"/>
      <w:pPr>
        <w:ind w:left="1511" w:hanging="217"/>
      </w:pPr>
      <w:rPr>
        <w:rFonts w:hint="default"/>
        <w:lang w:val="en-GB" w:eastAsia="en-GB" w:bidi="en-GB"/>
      </w:rPr>
    </w:lvl>
    <w:lvl w:ilvl="8" w:tplc="32789F78">
      <w:numFmt w:val="bullet"/>
      <w:lvlText w:val="•"/>
      <w:lvlJc w:val="left"/>
      <w:pPr>
        <w:ind w:left="1684" w:hanging="217"/>
      </w:pPr>
      <w:rPr>
        <w:rFonts w:hint="default"/>
        <w:lang w:val="en-GB" w:eastAsia="en-GB" w:bidi="en-GB"/>
      </w:rPr>
    </w:lvl>
  </w:abstractNum>
  <w:abstractNum w:abstractNumId="1355" w15:restartNumberingAfterBreak="0">
    <w:nsid w:val="796737AF"/>
    <w:multiLevelType w:val="hybridMultilevel"/>
    <w:tmpl w:val="C7DE1E08"/>
    <w:lvl w:ilvl="0" w:tplc="96244A5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A0CC2684">
      <w:numFmt w:val="bullet"/>
      <w:lvlText w:val="•"/>
      <w:lvlJc w:val="left"/>
      <w:pPr>
        <w:ind w:left="439" w:hanging="217"/>
      </w:pPr>
      <w:rPr>
        <w:rFonts w:hint="default"/>
        <w:lang w:val="en-GB" w:eastAsia="en-GB" w:bidi="en-GB"/>
      </w:rPr>
    </w:lvl>
    <w:lvl w:ilvl="2" w:tplc="055CEE22">
      <w:numFmt w:val="bullet"/>
      <w:lvlText w:val="•"/>
      <w:lvlJc w:val="left"/>
      <w:pPr>
        <w:ind w:left="578" w:hanging="217"/>
      </w:pPr>
      <w:rPr>
        <w:rFonts w:hint="default"/>
        <w:lang w:val="en-GB" w:eastAsia="en-GB" w:bidi="en-GB"/>
      </w:rPr>
    </w:lvl>
    <w:lvl w:ilvl="3" w:tplc="4C524E76">
      <w:numFmt w:val="bullet"/>
      <w:lvlText w:val="•"/>
      <w:lvlJc w:val="left"/>
      <w:pPr>
        <w:ind w:left="717" w:hanging="217"/>
      </w:pPr>
      <w:rPr>
        <w:rFonts w:hint="default"/>
        <w:lang w:val="en-GB" w:eastAsia="en-GB" w:bidi="en-GB"/>
      </w:rPr>
    </w:lvl>
    <w:lvl w:ilvl="4" w:tplc="63AA0CDE">
      <w:numFmt w:val="bullet"/>
      <w:lvlText w:val="•"/>
      <w:lvlJc w:val="left"/>
      <w:pPr>
        <w:ind w:left="856" w:hanging="217"/>
      </w:pPr>
      <w:rPr>
        <w:rFonts w:hint="default"/>
        <w:lang w:val="en-GB" w:eastAsia="en-GB" w:bidi="en-GB"/>
      </w:rPr>
    </w:lvl>
    <w:lvl w:ilvl="5" w:tplc="E8A828E2">
      <w:numFmt w:val="bullet"/>
      <w:lvlText w:val="•"/>
      <w:lvlJc w:val="left"/>
      <w:pPr>
        <w:ind w:left="995" w:hanging="217"/>
      </w:pPr>
      <w:rPr>
        <w:rFonts w:hint="default"/>
        <w:lang w:val="en-GB" w:eastAsia="en-GB" w:bidi="en-GB"/>
      </w:rPr>
    </w:lvl>
    <w:lvl w:ilvl="6" w:tplc="A9D607D0">
      <w:numFmt w:val="bullet"/>
      <w:lvlText w:val="•"/>
      <w:lvlJc w:val="left"/>
      <w:pPr>
        <w:ind w:left="1134" w:hanging="217"/>
      </w:pPr>
      <w:rPr>
        <w:rFonts w:hint="default"/>
        <w:lang w:val="en-GB" w:eastAsia="en-GB" w:bidi="en-GB"/>
      </w:rPr>
    </w:lvl>
    <w:lvl w:ilvl="7" w:tplc="22B84BC8">
      <w:numFmt w:val="bullet"/>
      <w:lvlText w:val="•"/>
      <w:lvlJc w:val="left"/>
      <w:pPr>
        <w:ind w:left="1273" w:hanging="217"/>
      </w:pPr>
      <w:rPr>
        <w:rFonts w:hint="default"/>
        <w:lang w:val="en-GB" w:eastAsia="en-GB" w:bidi="en-GB"/>
      </w:rPr>
    </w:lvl>
    <w:lvl w:ilvl="8" w:tplc="D026C462">
      <w:numFmt w:val="bullet"/>
      <w:lvlText w:val="•"/>
      <w:lvlJc w:val="left"/>
      <w:pPr>
        <w:ind w:left="1412" w:hanging="217"/>
      </w:pPr>
      <w:rPr>
        <w:rFonts w:hint="default"/>
        <w:lang w:val="en-GB" w:eastAsia="en-GB" w:bidi="en-GB"/>
      </w:rPr>
    </w:lvl>
  </w:abstractNum>
  <w:abstractNum w:abstractNumId="1356" w15:restartNumberingAfterBreak="0">
    <w:nsid w:val="79922216"/>
    <w:multiLevelType w:val="hybridMultilevel"/>
    <w:tmpl w:val="C4347F22"/>
    <w:lvl w:ilvl="0" w:tplc="D8C0F7AE">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D6A9B26">
      <w:numFmt w:val="bullet"/>
      <w:lvlText w:val="•"/>
      <w:lvlJc w:val="left"/>
      <w:pPr>
        <w:ind w:left="892" w:hanging="217"/>
      </w:pPr>
      <w:rPr>
        <w:rFonts w:hint="default"/>
        <w:lang w:val="en-GB" w:eastAsia="en-GB" w:bidi="en-GB"/>
      </w:rPr>
    </w:lvl>
    <w:lvl w:ilvl="2" w:tplc="A77232EA">
      <w:numFmt w:val="bullet"/>
      <w:lvlText w:val="•"/>
      <w:lvlJc w:val="left"/>
      <w:pPr>
        <w:ind w:left="1485" w:hanging="217"/>
      </w:pPr>
      <w:rPr>
        <w:rFonts w:hint="default"/>
        <w:lang w:val="en-GB" w:eastAsia="en-GB" w:bidi="en-GB"/>
      </w:rPr>
    </w:lvl>
    <w:lvl w:ilvl="3" w:tplc="9110BA00">
      <w:numFmt w:val="bullet"/>
      <w:lvlText w:val="•"/>
      <w:lvlJc w:val="left"/>
      <w:pPr>
        <w:ind w:left="2077" w:hanging="217"/>
      </w:pPr>
      <w:rPr>
        <w:rFonts w:hint="default"/>
        <w:lang w:val="en-GB" w:eastAsia="en-GB" w:bidi="en-GB"/>
      </w:rPr>
    </w:lvl>
    <w:lvl w:ilvl="4" w:tplc="449C99C4">
      <w:numFmt w:val="bullet"/>
      <w:lvlText w:val="•"/>
      <w:lvlJc w:val="left"/>
      <w:pPr>
        <w:ind w:left="2670" w:hanging="217"/>
      </w:pPr>
      <w:rPr>
        <w:rFonts w:hint="default"/>
        <w:lang w:val="en-GB" w:eastAsia="en-GB" w:bidi="en-GB"/>
      </w:rPr>
    </w:lvl>
    <w:lvl w:ilvl="5" w:tplc="8C00422A">
      <w:numFmt w:val="bullet"/>
      <w:lvlText w:val="•"/>
      <w:lvlJc w:val="left"/>
      <w:pPr>
        <w:ind w:left="3263" w:hanging="217"/>
      </w:pPr>
      <w:rPr>
        <w:rFonts w:hint="default"/>
        <w:lang w:val="en-GB" w:eastAsia="en-GB" w:bidi="en-GB"/>
      </w:rPr>
    </w:lvl>
    <w:lvl w:ilvl="6" w:tplc="9512668E">
      <w:numFmt w:val="bullet"/>
      <w:lvlText w:val="•"/>
      <w:lvlJc w:val="left"/>
      <w:pPr>
        <w:ind w:left="3855" w:hanging="217"/>
      </w:pPr>
      <w:rPr>
        <w:rFonts w:hint="default"/>
        <w:lang w:val="en-GB" w:eastAsia="en-GB" w:bidi="en-GB"/>
      </w:rPr>
    </w:lvl>
    <w:lvl w:ilvl="7" w:tplc="F6DCE748">
      <w:numFmt w:val="bullet"/>
      <w:lvlText w:val="•"/>
      <w:lvlJc w:val="left"/>
      <w:pPr>
        <w:ind w:left="4448" w:hanging="217"/>
      </w:pPr>
      <w:rPr>
        <w:rFonts w:hint="default"/>
        <w:lang w:val="en-GB" w:eastAsia="en-GB" w:bidi="en-GB"/>
      </w:rPr>
    </w:lvl>
    <w:lvl w:ilvl="8" w:tplc="49B40BBC">
      <w:numFmt w:val="bullet"/>
      <w:lvlText w:val="•"/>
      <w:lvlJc w:val="left"/>
      <w:pPr>
        <w:ind w:left="5040" w:hanging="217"/>
      </w:pPr>
      <w:rPr>
        <w:rFonts w:hint="default"/>
        <w:lang w:val="en-GB" w:eastAsia="en-GB" w:bidi="en-GB"/>
      </w:rPr>
    </w:lvl>
  </w:abstractNum>
  <w:abstractNum w:abstractNumId="1357" w15:restartNumberingAfterBreak="0">
    <w:nsid w:val="79B15F1E"/>
    <w:multiLevelType w:val="hybridMultilevel"/>
    <w:tmpl w:val="964A09D6"/>
    <w:lvl w:ilvl="0" w:tplc="B934B150">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EA94ECB8">
      <w:numFmt w:val="bullet"/>
      <w:lvlText w:val="•"/>
      <w:lvlJc w:val="left"/>
      <w:pPr>
        <w:ind w:left="473" w:hanging="217"/>
      </w:pPr>
      <w:rPr>
        <w:rFonts w:hint="default"/>
        <w:lang w:val="en-GB" w:eastAsia="en-GB" w:bidi="en-GB"/>
      </w:rPr>
    </w:lvl>
    <w:lvl w:ilvl="2" w:tplc="E872E782">
      <w:numFmt w:val="bullet"/>
      <w:lvlText w:val="•"/>
      <w:lvlJc w:val="left"/>
      <w:pPr>
        <w:ind w:left="646" w:hanging="217"/>
      </w:pPr>
      <w:rPr>
        <w:rFonts w:hint="default"/>
        <w:lang w:val="en-GB" w:eastAsia="en-GB" w:bidi="en-GB"/>
      </w:rPr>
    </w:lvl>
    <w:lvl w:ilvl="3" w:tplc="0B5C2042">
      <w:numFmt w:val="bullet"/>
      <w:lvlText w:val="•"/>
      <w:lvlJc w:val="left"/>
      <w:pPr>
        <w:ind w:left="819" w:hanging="217"/>
      </w:pPr>
      <w:rPr>
        <w:rFonts w:hint="default"/>
        <w:lang w:val="en-GB" w:eastAsia="en-GB" w:bidi="en-GB"/>
      </w:rPr>
    </w:lvl>
    <w:lvl w:ilvl="4" w:tplc="0778E4E6">
      <w:numFmt w:val="bullet"/>
      <w:lvlText w:val="•"/>
      <w:lvlJc w:val="left"/>
      <w:pPr>
        <w:ind w:left="992" w:hanging="217"/>
      </w:pPr>
      <w:rPr>
        <w:rFonts w:hint="default"/>
        <w:lang w:val="en-GB" w:eastAsia="en-GB" w:bidi="en-GB"/>
      </w:rPr>
    </w:lvl>
    <w:lvl w:ilvl="5" w:tplc="D7DEDEBE">
      <w:numFmt w:val="bullet"/>
      <w:lvlText w:val="•"/>
      <w:lvlJc w:val="left"/>
      <w:pPr>
        <w:ind w:left="1165" w:hanging="217"/>
      </w:pPr>
      <w:rPr>
        <w:rFonts w:hint="default"/>
        <w:lang w:val="en-GB" w:eastAsia="en-GB" w:bidi="en-GB"/>
      </w:rPr>
    </w:lvl>
    <w:lvl w:ilvl="6" w:tplc="C73CD120">
      <w:numFmt w:val="bullet"/>
      <w:lvlText w:val="•"/>
      <w:lvlJc w:val="left"/>
      <w:pPr>
        <w:ind w:left="1338" w:hanging="217"/>
      </w:pPr>
      <w:rPr>
        <w:rFonts w:hint="default"/>
        <w:lang w:val="en-GB" w:eastAsia="en-GB" w:bidi="en-GB"/>
      </w:rPr>
    </w:lvl>
    <w:lvl w:ilvl="7" w:tplc="5844B61A">
      <w:numFmt w:val="bullet"/>
      <w:lvlText w:val="•"/>
      <w:lvlJc w:val="left"/>
      <w:pPr>
        <w:ind w:left="1511" w:hanging="217"/>
      </w:pPr>
      <w:rPr>
        <w:rFonts w:hint="default"/>
        <w:lang w:val="en-GB" w:eastAsia="en-GB" w:bidi="en-GB"/>
      </w:rPr>
    </w:lvl>
    <w:lvl w:ilvl="8" w:tplc="772C3F28">
      <w:numFmt w:val="bullet"/>
      <w:lvlText w:val="•"/>
      <w:lvlJc w:val="left"/>
      <w:pPr>
        <w:ind w:left="1684" w:hanging="217"/>
      </w:pPr>
      <w:rPr>
        <w:rFonts w:hint="default"/>
        <w:lang w:val="en-GB" w:eastAsia="en-GB" w:bidi="en-GB"/>
      </w:rPr>
    </w:lvl>
  </w:abstractNum>
  <w:abstractNum w:abstractNumId="1358" w15:restartNumberingAfterBreak="0">
    <w:nsid w:val="79B4307C"/>
    <w:multiLevelType w:val="hybridMultilevel"/>
    <w:tmpl w:val="67ACACC4"/>
    <w:lvl w:ilvl="0" w:tplc="8C38B29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87BCE096">
      <w:numFmt w:val="bullet"/>
      <w:lvlText w:val="•"/>
      <w:lvlJc w:val="left"/>
      <w:pPr>
        <w:ind w:left="473" w:hanging="217"/>
      </w:pPr>
      <w:rPr>
        <w:rFonts w:hint="default"/>
        <w:lang w:val="en-GB" w:eastAsia="en-GB" w:bidi="en-GB"/>
      </w:rPr>
    </w:lvl>
    <w:lvl w:ilvl="2" w:tplc="74CA0B92">
      <w:numFmt w:val="bullet"/>
      <w:lvlText w:val="•"/>
      <w:lvlJc w:val="left"/>
      <w:pPr>
        <w:ind w:left="646" w:hanging="217"/>
      </w:pPr>
      <w:rPr>
        <w:rFonts w:hint="default"/>
        <w:lang w:val="en-GB" w:eastAsia="en-GB" w:bidi="en-GB"/>
      </w:rPr>
    </w:lvl>
    <w:lvl w:ilvl="3" w:tplc="3FB4282E">
      <w:numFmt w:val="bullet"/>
      <w:lvlText w:val="•"/>
      <w:lvlJc w:val="left"/>
      <w:pPr>
        <w:ind w:left="819" w:hanging="217"/>
      </w:pPr>
      <w:rPr>
        <w:rFonts w:hint="default"/>
        <w:lang w:val="en-GB" w:eastAsia="en-GB" w:bidi="en-GB"/>
      </w:rPr>
    </w:lvl>
    <w:lvl w:ilvl="4" w:tplc="B2865FE6">
      <w:numFmt w:val="bullet"/>
      <w:lvlText w:val="•"/>
      <w:lvlJc w:val="left"/>
      <w:pPr>
        <w:ind w:left="992" w:hanging="217"/>
      </w:pPr>
      <w:rPr>
        <w:rFonts w:hint="default"/>
        <w:lang w:val="en-GB" w:eastAsia="en-GB" w:bidi="en-GB"/>
      </w:rPr>
    </w:lvl>
    <w:lvl w:ilvl="5" w:tplc="9856BD68">
      <w:numFmt w:val="bullet"/>
      <w:lvlText w:val="•"/>
      <w:lvlJc w:val="left"/>
      <w:pPr>
        <w:ind w:left="1165" w:hanging="217"/>
      </w:pPr>
      <w:rPr>
        <w:rFonts w:hint="default"/>
        <w:lang w:val="en-GB" w:eastAsia="en-GB" w:bidi="en-GB"/>
      </w:rPr>
    </w:lvl>
    <w:lvl w:ilvl="6" w:tplc="DE36559E">
      <w:numFmt w:val="bullet"/>
      <w:lvlText w:val="•"/>
      <w:lvlJc w:val="left"/>
      <w:pPr>
        <w:ind w:left="1338" w:hanging="217"/>
      </w:pPr>
      <w:rPr>
        <w:rFonts w:hint="default"/>
        <w:lang w:val="en-GB" w:eastAsia="en-GB" w:bidi="en-GB"/>
      </w:rPr>
    </w:lvl>
    <w:lvl w:ilvl="7" w:tplc="1E006154">
      <w:numFmt w:val="bullet"/>
      <w:lvlText w:val="•"/>
      <w:lvlJc w:val="left"/>
      <w:pPr>
        <w:ind w:left="1511" w:hanging="217"/>
      </w:pPr>
      <w:rPr>
        <w:rFonts w:hint="default"/>
        <w:lang w:val="en-GB" w:eastAsia="en-GB" w:bidi="en-GB"/>
      </w:rPr>
    </w:lvl>
    <w:lvl w:ilvl="8" w:tplc="6D96A53A">
      <w:numFmt w:val="bullet"/>
      <w:lvlText w:val="•"/>
      <w:lvlJc w:val="left"/>
      <w:pPr>
        <w:ind w:left="1684" w:hanging="217"/>
      </w:pPr>
      <w:rPr>
        <w:rFonts w:hint="default"/>
        <w:lang w:val="en-GB" w:eastAsia="en-GB" w:bidi="en-GB"/>
      </w:rPr>
    </w:lvl>
  </w:abstractNum>
  <w:abstractNum w:abstractNumId="1359" w15:restartNumberingAfterBreak="0">
    <w:nsid w:val="79B91066"/>
    <w:multiLevelType w:val="hybridMultilevel"/>
    <w:tmpl w:val="B2B8BE82"/>
    <w:lvl w:ilvl="0" w:tplc="0B620C9E">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646C09AC">
      <w:numFmt w:val="bullet"/>
      <w:lvlText w:val="•"/>
      <w:lvlJc w:val="left"/>
      <w:pPr>
        <w:ind w:left="473" w:hanging="217"/>
      </w:pPr>
      <w:rPr>
        <w:rFonts w:hint="default"/>
        <w:lang w:val="en-GB" w:eastAsia="en-GB" w:bidi="en-GB"/>
      </w:rPr>
    </w:lvl>
    <w:lvl w:ilvl="2" w:tplc="54E67634">
      <w:numFmt w:val="bullet"/>
      <w:lvlText w:val="•"/>
      <w:lvlJc w:val="left"/>
      <w:pPr>
        <w:ind w:left="646" w:hanging="217"/>
      </w:pPr>
      <w:rPr>
        <w:rFonts w:hint="default"/>
        <w:lang w:val="en-GB" w:eastAsia="en-GB" w:bidi="en-GB"/>
      </w:rPr>
    </w:lvl>
    <w:lvl w:ilvl="3" w:tplc="11A8B3D2">
      <w:numFmt w:val="bullet"/>
      <w:lvlText w:val="•"/>
      <w:lvlJc w:val="left"/>
      <w:pPr>
        <w:ind w:left="819" w:hanging="217"/>
      </w:pPr>
      <w:rPr>
        <w:rFonts w:hint="default"/>
        <w:lang w:val="en-GB" w:eastAsia="en-GB" w:bidi="en-GB"/>
      </w:rPr>
    </w:lvl>
    <w:lvl w:ilvl="4" w:tplc="ED6AAEB8">
      <w:numFmt w:val="bullet"/>
      <w:lvlText w:val="•"/>
      <w:lvlJc w:val="left"/>
      <w:pPr>
        <w:ind w:left="992" w:hanging="217"/>
      </w:pPr>
      <w:rPr>
        <w:rFonts w:hint="default"/>
        <w:lang w:val="en-GB" w:eastAsia="en-GB" w:bidi="en-GB"/>
      </w:rPr>
    </w:lvl>
    <w:lvl w:ilvl="5" w:tplc="6D1A218A">
      <w:numFmt w:val="bullet"/>
      <w:lvlText w:val="•"/>
      <w:lvlJc w:val="left"/>
      <w:pPr>
        <w:ind w:left="1165" w:hanging="217"/>
      </w:pPr>
      <w:rPr>
        <w:rFonts w:hint="default"/>
        <w:lang w:val="en-GB" w:eastAsia="en-GB" w:bidi="en-GB"/>
      </w:rPr>
    </w:lvl>
    <w:lvl w:ilvl="6" w:tplc="37B2FEEA">
      <w:numFmt w:val="bullet"/>
      <w:lvlText w:val="•"/>
      <w:lvlJc w:val="left"/>
      <w:pPr>
        <w:ind w:left="1338" w:hanging="217"/>
      </w:pPr>
      <w:rPr>
        <w:rFonts w:hint="default"/>
        <w:lang w:val="en-GB" w:eastAsia="en-GB" w:bidi="en-GB"/>
      </w:rPr>
    </w:lvl>
    <w:lvl w:ilvl="7" w:tplc="0240AA38">
      <w:numFmt w:val="bullet"/>
      <w:lvlText w:val="•"/>
      <w:lvlJc w:val="left"/>
      <w:pPr>
        <w:ind w:left="1511" w:hanging="217"/>
      </w:pPr>
      <w:rPr>
        <w:rFonts w:hint="default"/>
        <w:lang w:val="en-GB" w:eastAsia="en-GB" w:bidi="en-GB"/>
      </w:rPr>
    </w:lvl>
    <w:lvl w:ilvl="8" w:tplc="BCB8549E">
      <w:numFmt w:val="bullet"/>
      <w:lvlText w:val="•"/>
      <w:lvlJc w:val="left"/>
      <w:pPr>
        <w:ind w:left="1684" w:hanging="217"/>
      </w:pPr>
      <w:rPr>
        <w:rFonts w:hint="default"/>
        <w:lang w:val="en-GB" w:eastAsia="en-GB" w:bidi="en-GB"/>
      </w:rPr>
    </w:lvl>
  </w:abstractNum>
  <w:abstractNum w:abstractNumId="1360" w15:restartNumberingAfterBreak="0">
    <w:nsid w:val="79C71770"/>
    <w:multiLevelType w:val="hybridMultilevel"/>
    <w:tmpl w:val="8BF25D74"/>
    <w:lvl w:ilvl="0" w:tplc="B290D546">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B56CC26">
      <w:numFmt w:val="bullet"/>
      <w:lvlText w:val="•"/>
      <w:lvlJc w:val="left"/>
      <w:pPr>
        <w:ind w:left="467" w:hanging="217"/>
      </w:pPr>
      <w:rPr>
        <w:rFonts w:hint="default"/>
        <w:lang w:val="en-GB" w:eastAsia="en-GB" w:bidi="en-GB"/>
      </w:rPr>
    </w:lvl>
    <w:lvl w:ilvl="2" w:tplc="4F980D2A">
      <w:numFmt w:val="bullet"/>
      <w:lvlText w:val="•"/>
      <w:lvlJc w:val="left"/>
      <w:pPr>
        <w:ind w:left="634" w:hanging="217"/>
      </w:pPr>
      <w:rPr>
        <w:rFonts w:hint="default"/>
        <w:lang w:val="en-GB" w:eastAsia="en-GB" w:bidi="en-GB"/>
      </w:rPr>
    </w:lvl>
    <w:lvl w:ilvl="3" w:tplc="66FA0814">
      <w:numFmt w:val="bullet"/>
      <w:lvlText w:val="•"/>
      <w:lvlJc w:val="left"/>
      <w:pPr>
        <w:ind w:left="802" w:hanging="217"/>
      </w:pPr>
      <w:rPr>
        <w:rFonts w:hint="default"/>
        <w:lang w:val="en-GB" w:eastAsia="en-GB" w:bidi="en-GB"/>
      </w:rPr>
    </w:lvl>
    <w:lvl w:ilvl="4" w:tplc="679E929A">
      <w:numFmt w:val="bullet"/>
      <w:lvlText w:val="•"/>
      <w:lvlJc w:val="left"/>
      <w:pPr>
        <w:ind w:left="969" w:hanging="217"/>
      </w:pPr>
      <w:rPr>
        <w:rFonts w:hint="default"/>
        <w:lang w:val="en-GB" w:eastAsia="en-GB" w:bidi="en-GB"/>
      </w:rPr>
    </w:lvl>
    <w:lvl w:ilvl="5" w:tplc="B1BC2C60">
      <w:numFmt w:val="bullet"/>
      <w:lvlText w:val="•"/>
      <w:lvlJc w:val="left"/>
      <w:pPr>
        <w:ind w:left="1137" w:hanging="217"/>
      </w:pPr>
      <w:rPr>
        <w:rFonts w:hint="default"/>
        <w:lang w:val="en-GB" w:eastAsia="en-GB" w:bidi="en-GB"/>
      </w:rPr>
    </w:lvl>
    <w:lvl w:ilvl="6" w:tplc="B4DABA2E">
      <w:numFmt w:val="bullet"/>
      <w:lvlText w:val="•"/>
      <w:lvlJc w:val="left"/>
      <w:pPr>
        <w:ind w:left="1304" w:hanging="217"/>
      </w:pPr>
      <w:rPr>
        <w:rFonts w:hint="default"/>
        <w:lang w:val="en-GB" w:eastAsia="en-GB" w:bidi="en-GB"/>
      </w:rPr>
    </w:lvl>
    <w:lvl w:ilvl="7" w:tplc="19F2C22C">
      <w:numFmt w:val="bullet"/>
      <w:lvlText w:val="•"/>
      <w:lvlJc w:val="left"/>
      <w:pPr>
        <w:ind w:left="1471" w:hanging="217"/>
      </w:pPr>
      <w:rPr>
        <w:rFonts w:hint="default"/>
        <w:lang w:val="en-GB" w:eastAsia="en-GB" w:bidi="en-GB"/>
      </w:rPr>
    </w:lvl>
    <w:lvl w:ilvl="8" w:tplc="AA8A15EA">
      <w:numFmt w:val="bullet"/>
      <w:lvlText w:val="•"/>
      <w:lvlJc w:val="left"/>
      <w:pPr>
        <w:ind w:left="1639" w:hanging="217"/>
      </w:pPr>
      <w:rPr>
        <w:rFonts w:hint="default"/>
        <w:lang w:val="en-GB" w:eastAsia="en-GB" w:bidi="en-GB"/>
      </w:rPr>
    </w:lvl>
  </w:abstractNum>
  <w:abstractNum w:abstractNumId="1361" w15:restartNumberingAfterBreak="0">
    <w:nsid w:val="7A085519"/>
    <w:multiLevelType w:val="hybridMultilevel"/>
    <w:tmpl w:val="D0AE3A4C"/>
    <w:lvl w:ilvl="0" w:tplc="D118002C">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1604FE64">
      <w:numFmt w:val="bullet"/>
      <w:lvlText w:val="•"/>
      <w:lvlJc w:val="left"/>
      <w:pPr>
        <w:ind w:left="473" w:hanging="217"/>
      </w:pPr>
      <w:rPr>
        <w:rFonts w:hint="default"/>
        <w:lang w:val="en-GB" w:eastAsia="en-GB" w:bidi="en-GB"/>
      </w:rPr>
    </w:lvl>
    <w:lvl w:ilvl="2" w:tplc="00A058F0">
      <w:numFmt w:val="bullet"/>
      <w:lvlText w:val="•"/>
      <w:lvlJc w:val="left"/>
      <w:pPr>
        <w:ind w:left="646" w:hanging="217"/>
      </w:pPr>
      <w:rPr>
        <w:rFonts w:hint="default"/>
        <w:lang w:val="en-GB" w:eastAsia="en-GB" w:bidi="en-GB"/>
      </w:rPr>
    </w:lvl>
    <w:lvl w:ilvl="3" w:tplc="56623E50">
      <w:numFmt w:val="bullet"/>
      <w:lvlText w:val="•"/>
      <w:lvlJc w:val="left"/>
      <w:pPr>
        <w:ind w:left="819" w:hanging="217"/>
      </w:pPr>
      <w:rPr>
        <w:rFonts w:hint="default"/>
        <w:lang w:val="en-GB" w:eastAsia="en-GB" w:bidi="en-GB"/>
      </w:rPr>
    </w:lvl>
    <w:lvl w:ilvl="4" w:tplc="E2A6B204">
      <w:numFmt w:val="bullet"/>
      <w:lvlText w:val="•"/>
      <w:lvlJc w:val="left"/>
      <w:pPr>
        <w:ind w:left="992" w:hanging="217"/>
      </w:pPr>
      <w:rPr>
        <w:rFonts w:hint="default"/>
        <w:lang w:val="en-GB" w:eastAsia="en-GB" w:bidi="en-GB"/>
      </w:rPr>
    </w:lvl>
    <w:lvl w:ilvl="5" w:tplc="C91CBEAE">
      <w:numFmt w:val="bullet"/>
      <w:lvlText w:val="•"/>
      <w:lvlJc w:val="left"/>
      <w:pPr>
        <w:ind w:left="1165" w:hanging="217"/>
      </w:pPr>
      <w:rPr>
        <w:rFonts w:hint="default"/>
        <w:lang w:val="en-GB" w:eastAsia="en-GB" w:bidi="en-GB"/>
      </w:rPr>
    </w:lvl>
    <w:lvl w:ilvl="6" w:tplc="99D2785C">
      <w:numFmt w:val="bullet"/>
      <w:lvlText w:val="•"/>
      <w:lvlJc w:val="left"/>
      <w:pPr>
        <w:ind w:left="1338" w:hanging="217"/>
      </w:pPr>
      <w:rPr>
        <w:rFonts w:hint="default"/>
        <w:lang w:val="en-GB" w:eastAsia="en-GB" w:bidi="en-GB"/>
      </w:rPr>
    </w:lvl>
    <w:lvl w:ilvl="7" w:tplc="FF62F458">
      <w:numFmt w:val="bullet"/>
      <w:lvlText w:val="•"/>
      <w:lvlJc w:val="left"/>
      <w:pPr>
        <w:ind w:left="1511" w:hanging="217"/>
      </w:pPr>
      <w:rPr>
        <w:rFonts w:hint="default"/>
        <w:lang w:val="en-GB" w:eastAsia="en-GB" w:bidi="en-GB"/>
      </w:rPr>
    </w:lvl>
    <w:lvl w:ilvl="8" w:tplc="6E8A1114">
      <w:numFmt w:val="bullet"/>
      <w:lvlText w:val="•"/>
      <w:lvlJc w:val="left"/>
      <w:pPr>
        <w:ind w:left="1684" w:hanging="217"/>
      </w:pPr>
      <w:rPr>
        <w:rFonts w:hint="default"/>
        <w:lang w:val="en-GB" w:eastAsia="en-GB" w:bidi="en-GB"/>
      </w:rPr>
    </w:lvl>
  </w:abstractNum>
  <w:abstractNum w:abstractNumId="1362" w15:restartNumberingAfterBreak="0">
    <w:nsid w:val="7A445ADB"/>
    <w:multiLevelType w:val="hybridMultilevel"/>
    <w:tmpl w:val="8B96828E"/>
    <w:lvl w:ilvl="0" w:tplc="0748CCB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5ADC17FA">
      <w:numFmt w:val="bullet"/>
      <w:lvlText w:val="•"/>
      <w:lvlJc w:val="left"/>
      <w:pPr>
        <w:ind w:left="473" w:hanging="217"/>
      </w:pPr>
      <w:rPr>
        <w:rFonts w:hint="default"/>
        <w:lang w:val="en-GB" w:eastAsia="en-GB" w:bidi="en-GB"/>
      </w:rPr>
    </w:lvl>
    <w:lvl w:ilvl="2" w:tplc="33C0C9B0">
      <w:numFmt w:val="bullet"/>
      <w:lvlText w:val="•"/>
      <w:lvlJc w:val="left"/>
      <w:pPr>
        <w:ind w:left="646" w:hanging="217"/>
      </w:pPr>
      <w:rPr>
        <w:rFonts w:hint="default"/>
        <w:lang w:val="en-GB" w:eastAsia="en-GB" w:bidi="en-GB"/>
      </w:rPr>
    </w:lvl>
    <w:lvl w:ilvl="3" w:tplc="F5FC74CE">
      <w:numFmt w:val="bullet"/>
      <w:lvlText w:val="•"/>
      <w:lvlJc w:val="left"/>
      <w:pPr>
        <w:ind w:left="819" w:hanging="217"/>
      </w:pPr>
      <w:rPr>
        <w:rFonts w:hint="default"/>
        <w:lang w:val="en-GB" w:eastAsia="en-GB" w:bidi="en-GB"/>
      </w:rPr>
    </w:lvl>
    <w:lvl w:ilvl="4" w:tplc="9CEC925E">
      <w:numFmt w:val="bullet"/>
      <w:lvlText w:val="•"/>
      <w:lvlJc w:val="left"/>
      <w:pPr>
        <w:ind w:left="992" w:hanging="217"/>
      </w:pPr>
      <w:rPr>
        <w:rFonts w:hint="default"/>
        <w:lang w:val="en-GB" w:eastAsia="en-GB" w:bidi="en-GB"/>
      </w:rPr>
    </w:lvl>
    <w:lvl w:ilvl="5" w:tplc="A0869CD6">
      <w:numFmt w:val="bullet"/>
      <w:lvlText w:val="•"/>
      <w:lvlJc w:val="left"/>
      <w:pPr>
        <w:ind w:left="1165" w:hanging="217"/>
      </w:pPr>
      <w:rPr>
        <w:rFonts w:hint="default"/>
        <w:lang w:val="en-GB" w:eastAsia="en-GB" w:bidi="en-GB"/>
      </w:rPr>
    </w:lvl>
    <w:lvl w:ilvl="6" w:tplc="297E3C78">
      <w:numFmt w:val="bullet"/>
      <w:lvlText w:val="•"/>
      <w:lvlJc w:val="left"/>
      <w:pPr>
        <w:ind w:left="1338" w:hanging="217"/>
      </w:pPr>
      <w:rPr>
        <w:rFonts w:hint="default"/>
        <w:lang w:val="en-GB" w:eastAsia="en-GB" w:bidi="en-GB"/>
      </w:rPr>
    </w:lvl>
    <w:lvl w:ilvl="7" w:tplc="38F435FA">
      <w:numFmt w:val="bullet"/>
      <w:lvlText w:val="•"/>
      <w:lvlJc w:val="left"/>
      <w:pPr>
        <w:ind w:left="1511" w:hanging="217"/>
      </w:pPr>
      <w:rPr>
        <w:rFonts w:hint="default"/>
        <w:lang w:val="en-GB" w:eastAsia="en-GB" w:bidi="en-GB"/>
      </w:rPr>
    </w:lvl>
    <w:lvl w:ilvl="8" w:tplc="47587384">
      <w:numFmt w:val="bullet"/>
      <w:lvlText w:val="•"/>
      <w:lvlJc w:val="left"/>
      <w:pPr>
        <w:ind w:left="1684" w:hanging="217"/>
      </w:pPr>
      <w:rPr>
        <w:rFonts w:hint="default"/>
        <w:lang w:val="en-GB" w:eastAsia="en-GB" w:bidi="en-GB"/>
      </w:rPr>
    </w:lvl>
  </w:abstractNum>
  <w:abstractNum w:abstractNumId="1363" w15:restartNumberingAfterBreak="0">
    <w:nsid w:val="7A683C3A"/>
    <w:multiLevelType w:val="hybridMultilevel"/>
    <w:tmpl w:val="7360B0D0"/>
    <w:lvl w:ilvl="0" w:tplc="904EA61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F46C18E">
      <w:numFmt w:val="bullet"/>
      <w:lvlText w:val="•"/>
      <w:lvlJc w:val="left"/>
      <w:pPr>
        <w:ind w:left="1061" w:hanging="217"/>
      </w:pPr>
      <w:rPr>
        <w:rFonts w:hint="default"/>
        <w:lang w:val="en-GB" w:eastAsia="en-GB" w:bidi="en-GB"/>
      </w:rPr>
    </w:lvl>
    <w:lvl w:ilvl="2" w:tplc="0DEA05D0">
      <w:numFmt w:val="bullet"/>
      <w:lvlText w:val="•"/>
      <w:lvlJc w:val="left"/>
      <w:pPr>
        <w:ind w:left="1823" w:hanging="217"/>
      </w:pPr>
      <w:rPr>
        <w:rFonts w:hint="default"/>
        <w:lang w:val="en-GB" w:eastAsia="en-GB" w:bidi="en-GB"/>
      </w:rPr>
    </w:lvl>
    <w:lvl w:ilvl="3" w:tplc="5B4AB02A">
      <w:numFmt w:val="bullet"/>
      <w:lvlText w:val="•"/>
      <w:lvlJc w:val="left"/>
      <w:pPr>
        <w:ind w:left="2585" w:hanging="217"/>
      </w:pPr>
      <w:rPr>
        <w:rFonts w:hint="default"/>
        <w:lang w:val="en-GB" w:eastAsia="en-GB" w:bidi="en-GB"/>
      </w:rPr>
    </w:lvl>
    <w:lvl w:ilvl="4" w:tplc="C1685664">
      <w:numFmt w:val="bullet"/>
      <w:lvlText w:val="•"/>
      <w:lvlJc w:val="left"/>
      <w:pPr>
        <w:ind w:left="3346" w:hanging="217"/>
      </w:pPr>
      <w:rPr>
        <w:rFonts w:hint="default"/>
        <w:lang w:val="en-GB" w:eastAsia="en-GB" w:bidi="en-GB"/>
      </w:rPr>
    </w:lvl>
    <w:lvl w:ilvl="5" w:tplc="94F89860">
      <w:numFmt w:val="bullet"/>
      <w:lvlText w:val="•"/>
      <w:lvlJc w:val="left"/>
      <w:pPr>
        <w:ind w:left="4108" w:hanging="217"/>
      </w:pPr>
      <w:rPr>
        <w:rFonts w:hint="default"/>
        <w:lang w:val="en-GB" w:eastAsia="en-GB" w:bidi="en-GB"/>
      </w:rPr>
    </w:lvl>
    <w:lvl w:ilvl="6" w:tplc="28C0D926">
      <w:numFmt w:val="bullet"/>
      <w:lvlText w:val="•"/>
      <w:lvlJc w:val="left"/>
      <w:pPr>
        <w:ind w:left="4870" w:hanging="217"/>
      </w:pPr>
      <w:rPr>
        <w:rFonts w:hint="default"/>
        <w:lang w:val="en-GB" w:eastAsia="en-GB" w:bidi="en-GB"/>
      </w:rPr>
    </w:lvl>
    <w:lvl w:ilvl="7" w:tplc="30DE3E2A">
      <w:numFmt w:val="bullet"/>
      <w:lvlText w:val="•"/>
      <w:lvlJc w:val="left"/>
      <w:pPr>
        <w:ind w:left="5631" w:hanging="217"/>
      </w:pPr>
      <w:rPr>
        <w:rFonts w:hint="default"/>
        <w:lang w:val="en-GB" w:eastAsia="en-GB" w:bidi="en-GB"/>
      </w:rPr>
    </w:lvl>
    <w:lvl w:ilvl="8" w:tplc="4D70249E">
      <w:numFmt w:val="bullet"/>
      <w:lvlText w:val="•"/>
      <w:lvlJc w:val="left"/>
      <w:pPr>
        <w:ind w:left="6393" w:hanging="217"/>
      </w:pPr>
      <w:rPr>
        <w:rFonts w:hint="default"/>
        <w:lang w:val="en-GB" w:eastAsia="en-GB" w:bidi="en-GB"/>
      </w:rPr>
    </w:lvl>
  </w:abstractNum>
  <w:abstractNum w:abstractNumId="1364" w15:restartNumberingAfterBreak="0">
    <w:nsid w:val="7A6D6B6D"/>
    <w:multiLevelType w:val="hybridMultilevel"/>
    <w:tmpl w:val="0C0C6832"/>
    <w:lvl w:ilvl="0" w:tplc="CBFE63AA">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0D3C3B54">
      <w:numFmt w:val="bullet"/>
      <w:lvlText w:val="•"/>
      <w:lvlJc w:val="left"/>
      <w:pPr>
        <w:ind w:left="892" w:hanging="217"/>
      </w:pPr>
      <w:rPr>
        <w:rFonts w:hint="default"/>
        <w:lang w:val="en-GB" w:eastAsia="en-GB" w:bidi="en-GB"/>
      </w:rPr>
    </w:lvl>
    <w:lvl w:ilvl="2" w:tplc="7786AC00">
      <w:numFmt w:val="bullet"/>
      <w:lvlText w:val="•"/>
      <w:lvlJc w:val="left"/>
      <w:pPr>
        <w:ind w:left="1485" w:hanging="217"/>
      </w:pPr>
      <w:rPr>
        <w:rFonts w:hint="default"/>
        <w:lang w:val="en-GB" w:eastAsia="en-GB" w:bidi="en-GB"/>
      </w:rPr>
    </w:lvl>
    <w:lvl w:ilvl="3" w:tplc="FAAA0150">
      <w:numFmt w:val="bullet"/>
      <w:lvlText w:val="•"/>
      <w:lvlJc w:val="left"/>
      <w:pPr>
        <w:ind w:left="2077" w:hanging="217"/>
      </w:pPr>
      <w:rPr>
        <w:rFonts w:hint="default"/>
        <w:lang w:val="en-GB" w:eastAsia="en-GB" w:bidi="en-GB"/>
      </w:rPr>
    </w:lvl>
    <w:lvl w:ilvl="4" w:tplc="BC5CD056">
      <w:numFmt w:val="bullet"/>
      <w:lvlText w:val="•"/>
      <w:lvlJc w:val="left"/>
      <w:pPr>
        <w:ind w:left="2670" w:hanging="217"/>
      </w:pPr>
      <w:rPr>
        <w:rFonts w:hint="default"/>
        <w:lang w:val="en-GB" w:eastAsia="en-GB" w:bidi="en-GB"/>
      </w:rPr>
    </w:lvl>
    <w:lvl w:ilvl="5" w:tplc="0312405E">
      <w:numFmt w:val="bullet"/>
      <w:lvlText w:val="•"/>
      <w:lvlJc w:val="left"/>
      <w:pPr>
        <w:ind w:left="3263" w:hanging="217"/>
      </w:pPr>
      <w:rPr>
        <w:rFonts w:hint="default"/>
        <w:lang w:val="en-GB" w:eastAsia="en-GB" w:bidi="en-GB"/>
      </w:rPr>
    </w:lvl>
    <w:lvl w:ilvl="6" w:tplc="EA42AC0E">
      <w:numFmt w:val="bullet"/>
      <w:lvlText w:val="•"/>
      <w:lvlJc w:val="left"/>
      <w:pPr>
        <w:ind w:left="3855" w:hanging="217"/>
      </w:pPr>
      <w:rPr>
        <w:rFonts w:hint="default"/>
        <w:lang w:val="en-GB" w:eastAsia="en-GB" w:bidi="en-GB"/>
      </w:rPr>
    </w:lvl>
    <w:lvl w:ilvl="7" w:tplc="35FEE002">
      <w:numFmt w:val="bullet"/>
      <w:lvlText w:val="•"/>
      <w:lvlJc w:val="left"/>
      <w:pPr>
        <w:ind w:left="4448" w:hanging="217"/>
      </w:pPr>
      <w:rPr>
        <w:rFonts w:hint="default"/>
        <w:lang w:val="en-GB" w:eastAsia="en-GB" w:bidi="en-GB"/>
      </w:rPr>
    </w:lvl>
    <w:lvl w:ilvl="8" w:tplc="58BCB40A">
      <w:numFmt w:val="bullet"/>
      <w:lvlText w:val="•"/>
      <w:lvlJc w:val="left"/>
      <w:pPr>
        <w:ind w:left="5040" w:hanging="217"/>
      </w:pPr>
      <w:rPr>
        <w:rFonts w:hint="default"/>
        <w:lang w:val="en-GB" w:eastAsia="en-GB" w:bidi="en-GB"/>
      </w:rPr>
    </w:lvl>
  </w:abstractNum>
  <w:abstractNum w:abstractNumId="1365" w15:restartNumberingAfterBreak="0">
    <w:nsid w:val="7AB96D20"/>
    <w:multiLevelType w:val="hybridMultilevel"/>
    <w:tmpl w:val="6E263CF4"/>
    <w:lvl w:ilvl="0" w:tplc="B226DA92">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40818F8">
      <w:numFmt w:val="bullet"/>
      <w:lvlText w:val="•"/>
      <w:lvlJc w:val="left"/>
      <w:pPr>
        <w:ind w:left="473" w:hanging="217"/>
      </w:pPr>
      <w:rPr>
        <w:rFonts w:hint="default"/>
        <w:lang w:val="en-GB" w:eastAsia="en-GB" w:bidi="en-GB"/>
      </w:rPr>
    </w:lvl>
    <w:lvl w:ilvl="2" w:tplc="5506408A">
      <w:numFmt w:val="bullet"/>
      <w:lvlText w:val="•"/>
      <w:lvlJc w:val="left"/>
      <w:pPr>
        <w:ind w:left="646" w:hanging="217"/>
      </w:pPr>
      <w:rPr>
        <w:rFonts w:hint="default"/>
        <w:lang w:val="en-GB" w:eastAsia="en-GB" w:bidi="en-GB"/>
      </w:rPr>
    </w:lvl>
    <w:lvl w:ilvl="3" w:tplc="7A8E3582">
      <w:numFmt w:val="bullet"/>
      <w:lvlText w:val="•"/>
      <w:lvlJc w:val="left"/>
      <w:pPr>
        <w:ind w:left="819" w:hanging="217"/>
      </w:pPr>
      <w:rPr>
        <w:rFonts w:hint="default"/>
        <w:lang w:val="en-GB" w:eastAsia="en-GB" w:bidi="en-GB"/>
      </w:rPr>
    </w:lvl>
    <w:lvl w:ilvl="4" w:tplc="4C7828D6">
      <w:numFmt w:val="bullet"/>
      <w:lvlText w:val="•"/>
      <w:lvlJc w:val="left"/>
      <w:pPr>
        <w:ind w:left="992" w:hanging="217"/>
      </w:pPr>
      <w:rPr>
        <w:rFonts w:hint="default"/>
        <w:lang w:val="en-GB" w:eastAsia="en-GB" w:bidi="en-GB"/>
      </w:rPr>
    </w:lvl>
    <w:lvl w:ilvl="5" w:tplc="28580D92">
      <w:numFmt w:val="bullet"/>
      <w:lvlText w:val="•"/>
      <w:lvlJc w:val="left"/>
      <w:pPr>
        <w:ind w:left="1165" w:hanging="217"/>
      </w:pPr>
      <w:rPr>
        <w:rFonts w:hint="default"/>
        <w:lang w:val="en-GB" w:eastAsia="en-GB" w:bidi="en-GB"/>
      </w:rPr>
    </w:lvl>
    <w:lvl w:ilvl="6" w:tplc="062C0A38">
      <w:numFmt w:val="bullet"/>
      <w:lvlText w:val="•"/>
      <w:lvlJc w:val="left"/>
      <w:pPr>
        <w:ind w:left="1338" w:hanging="217"/>
      </w:pPr>
      <w:rPr>
        <w:rFonts w:hint="default"/>
        <w:lang w:val="en-GB" w:eastAsia="en-GB" w:bidi="en-GB"/>
      </w:rPr>
    </w:lvl>
    <w:lvl w:ilvl="7" w:tplc="8444C7DC">
      <w:numFmt w:val="bullet"/>
      <w:lvlText w:val="•"/>
      <w:lvlJc w:val="left"/>
      <w:pPr>
        <w:ind w:left="1511" w:hanging="217"/>
      </w:pPr>
      <w:rPr>
        <w:rFonts w:hint="default"/>
        <w:lang w:val="en-GB" w:eastAsia="en-GB" w:bidi="en-GB"/>
      </w:rPr>
    </w:lvl>
    <w:lvl w:ilvl="8" w:tplc="EFE25D08">
      <w:numFmt w:val="bullet"/>
      <w:lvlText w:val="•"/>
      <w:lvlJc w:val="left"/>
      <w:pPr>
        <w:ind w:left="1684" w:hanging="217"/>
      </w:pPr>
      <w:rPr>
        <w:rFonts w:hint="default"/>
        <w:lang w:val="en-GB" w:eastAsia="en-GB" w:bidi="en-GB"/>
      </w:rPr>
    </w:lvl>
  </w:abstractNum>
  <w:abstractNum w:abstractNumId="1366" w15:restartNumberingAfterBreak="0">
    <w:nsid w:val="7AC22B2F"/>
    <w:multiLevelType w:val="hybridMultilevel"/>
    <w:tmpl w:val="C7CC86A8"/>
    <w:lvl w:ilvl="0" w:tplc="676ABE38">
      <w:numFmt w:val="bullet"/>
      <w:lvlText w:val="•"/>
      <w:lvlJc w:val="left"/>
      <w:pPr>
        <w:ind w:left="305" w:hanging="217"/>
      </w:pPr>
      <w:rPr>
        <w:rFonts w:ascii="Arial" w:eastAsia="Arial" w:hAnsi="Arial" w:cs="Arial" w:hint="default"/>
        <w:color w:val="231F20"/>
        <w:spacing w:val="-7"/>
        <w:w w:val="100"/>
        <w:sz w:val="18"/>
        <w:szCs w:val="18"/>
        <w:lang w:val="en-GB" w:eastAsia="en-GB" w:bidi="en-GB"/>
      </w:rPr>
    </w:lvl>
    <w:lvl w:ilvl="1" w:tplc="1F30BB66">
      <w:numFmt w:val="bullet"/>
      <w:lvlText w:val="•"/>
      <w:lvlJc w:val="left"/>
      <w:pPr>
        <w:ind w:left="467" w:hanging="217"/>
      </w:pPr>
      <w:rPr>
        <w:rFonts w:hint="default"/>
        <w:lang w:val="en-GB" w:eastAsia="en-GB" w:bidi="en-GB"/>
      </w:rPr>
    </w:lvl>
    <w:lvl w:ilvl="2" w:tplc="DA70857C">
      <w:numFmt w:val="bullet"/>
      <w:lvlText w:val="•"/>
      <w:lvlJc w:val="left"/>
      <w:pPr>
        <w:ind w:left="634" w:hanging="217"/>
      </w:pPr>
      <w:rPr>
        <w:rFonts w:hint="default"/>
        <w:lang w:val="en-GB" w:eastAsia="en-GB" w:bidi="en-GB"/>
      </w:rPr>
    </w:lvl>
    <w:lvl w:ilvl="3" w:tplc="75547166">
      <w:numFmt w:val="bullet"/>
      <w:lvlText w:val="•"/>
      <w:lvlJc w:val="left"/>
      <w:pPr>
        <w:ind w:left="802" w:hanging="217"/>
      </w:pPr>
      <w:rPr>
        <w:rFonts w:hint="default"/>
        <w:lang w:val="en-GB" w:eastAsia="en-GB" w:bidi="en-GB"/>
      </w:rPr>
    </w:lvl>
    <w:lvl w:ilvl="4" w:tplc="DE564BC6">
      <w:numFmt w:val="bullet"/>
      <w:lvlText w:val="•"/>
      <w:lvlJc w:val="left"/>
      <w:pPr>
        <w:ind w:left="969" w:hanging="217"/>
      </w:pPr>
      <w:rPr>
        <w:rFonts w:hint="default"/>
        <w:lang w:val="en-GB" w:eastAsia="en-GB" w:bidi="en-GB"/>
      </w:rPr>
    </w:lvl>
    <w:lvl w:ilvl="5" w:tplc="6A9A1DE6">
      <w:numFmt w:val="bullet"/>
      <w:lvlText w:val="•"/>
      <w:lvlJc w:val="left"/>
      <w:pPr>
        <w:ind w:left="1137" w:hanging="217"/>
      </w:pPr>
      <w:rPr>
        <w:rFonts w:hint="default"/>
        <w:lang w:val="en-GB" w:eastAsia="en-GB" w:bidi="en-GB"/>
      </w:rPr>
    </w:lvl>
    <w:lvl w:ilvl="6" w:tplc="8904EB68">
      <w:numFmt w:val="bullet"/>
      <w:lvlText w:val="•"/>
      <w:lvlJc w:val="left"/>
      <w:pPr>
        <w:ind w:left="1304" w:hanging="217"/>
      </w:pPr>
      <w:rPr>
        <w:rFonts w:hint="default"/>
        <w:lang w:val="en-GB" w:eastAsia="en-GB" w:bidi="en-GB"/>
      </w:rPr>
    </w:lvl>
    <w:lvl w:ilvl="7" w:tplc="7504BE44">
      <w:numFmt w:val="bullet"/>
      <w:lvlText w:val="•"/>
      <w:lvlJc w:val="left"/>
      <w:pPr>
        <w:ind w:left="1471" w:hanging="217"/>
      </w:pPr>
      <w:rPr>
        <w:rFonts w:hint="default"/>
        <w:lang w:val="en-GB" w:eastAsia="en-GB" w:bidi="en-GB"/>
      </w:rPr>
    </w:lvl>
    <w:lvl w:ilvl="8" w:tplc="ED56AAB8">
      <w:numFmt w:val="bullet"/>
      <w:lvlText w:val="•"/>
      <w:lvlJc w:val="left"/>
      <w:pPr>
        <w:ind w:left="1639" w:hanging="217"/>
      </w:pPr>
      <w:rPr>
        <w:rFonts w:hint="default"/>
        <w:lang w:val="en-GB" w:eastAsia="en-GB" w:bidi="en-GB"/>
      </w:rPr>
    </w:lvl>
  </w:abstractNum>
  <w:abstractNum w:abstractNumId="1367" w15:restartNumberingAfterBreak="0">
    <w:nsid w:val="7AC81FA2"/>
    <w:multiLevelType w:val="hybridMultilevel"/>
    <w:tmpl w:val="9C9EFFEE"/>
    <w:lvl w:ilvl="0" w:tplc="F92E196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6C8A6A4">
      <w:numFmt w:val="bullet"/>
      <w:lvlText w:val="•"/>
      <w:lvlJc w:val="left"/>
      <w:pPr>
        <w:ind w:left="439" w:hanging="217"/>
      </w:pPr>
      <w:rPr>
        <w:rFonts w:hint="default"/>
        <w:lang w:val="en-GB" w:eastAsia="en-GB" w:bidi="en-GB"/>
      </w:rPr>
    </w:lvl>
    <w:lvl w:ilvl="2" w:tplc="8F7C0186">
      <w:numFmt w:val="bullet"/>
      <w:lvlText w:val="•"/>
      <w:lvlJc w:val="left"/>
      <w:pPr>
        <w:ind w:left="578" w:hanging="217"/>
      </w:pPr>
      <w:rPr>
        <w:rFonts w:hint="default"/>
        <w:lang w:val="en-GB" w:eastAsia="en-GB" w:bidi="en-GB"/>
      </w:rPr>
    </w:lvl>
    <w:lvl w:ilvl="3" w:tplc="CAFEF22E">
      <w:numFmt w:val="bullet"/>
      <w:lvlText w:val="•"/>
      <w:lvlJc w:val="left"/>
      <w:pPr>
        <w:ind w:left="717" w:hanging="217"/>
      </w:pPr>
      <w:rPr>
        <w:rFonts w:hint="default"/>
        <w:lang w:val="en-GB" w:eastAsia="en-GB" w:bidi="en-GB"/>
      </w:rPr>
    </w:lvl>
    <w:lvl w:ilvl="4" w:tplc="5C64F1A4">
      <w:numFmt w:val="bullet"/>
      <w:lvlText w:val="•"/>
      <w:lvlJc w:val="left"/>
      <w:pPr>
        <w:ind w:left="856" w:hanging="217"/>
      </w:pPr>
      <w:rPr>
        <w:rFonts w:hint="default"/>
        <w:lang w:val="en-GB" w:eastAsia="en-GB" w:bidi="en-GB"/>
      </w:rPr>
    </w:lvl>
    <w:lvl w:ilvl="5" w:tplc="B36235AE">
      <w:numFmt w:val="bullet"/>
      <w:lvlText w:val="•"/>
      <w:lvlJc w:val="left"/>
      <w:pPr>
        <w:ind w:left="995" w:hanging="217"/>
      </w:pPr>
      <w:rPr>
        <w:rFonts w:hint="default"/>
        <w:lang w:val="en-GB" w:eastAsia="en-GB" w:bidi="en-GB"/>
      </w:rPr>
    </w:lvl>
    <w:lvl w:ilvl="6" w:tplc="D2242FF6">
      <w:numFmt w:val="bullet"/>
      <w:lvlText w:val="•"/>
      <w:lvlJc w:val="left"/>
      <w:pPr>
        <w:ind w:left="1134" w:hanging="217"/>
      </w:pPr>
      <w:rPr>
        <w:rFonts w:hint="default"/>
        <w:lang w:val="en-GB" w:eastAsia="en-GB" w:bidi="en-GB"/>
      </w:rPr>
    </w:lvl>
    <w:lvl w:ilvl="7" w:tplc="3A00A3DE">
      <w:numFmt w:val="bullet"/>
      <w:lvlText w:val="•"/>
      <w:lvlJc w:val="left"/>
      <w:pPr>
        <w:ind w:left="1273" w:hanging="217"/>
      </w:pPr>
      <w:rPr>
        <w:rFonts w:hint="default"/>
        <w:lang w:val="en-GB" w:eastAsia="en-GB" w:bidi="en-GB"/>
      </w:rPr>
    </w:lvl>
    <w:lvl w:ilvl="8" w:tplc="1FDA51F2">
      <w:numFmt w:val="bullet"/>
      <w:lvlText w:val="•"/>
      <w:lvlJc w:val="left"/>
      <w:pPr>
        <w:ind w:left="1412" w:hanging="217"/>
      </w:pPr>
      <w:rPr>
        <w:rFonts w:hint="default"/>
        <w:lang w:val="en-GB" w:eastAsia="en-GB" w:bidi="en-GB"/>
      </w:rPr>
    </w:lvl>
  </w:abstractNum>
  <w:abstractNum w:abstractNumId="1368" w15:restartNumberingAfterBreak="0">
    <w:nsid w:val="7ACC4564"/>
    <w:multiLevelType w:val="hybridMultilevel"/>
    <w:tmpl w:val="B344DF22"/>
    <w:lvl w:ilvl="0" w:tplc="B076267A">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95569398">
      <w:numFmt w:val="bullet"/>
      <w:lvlText w:val="•"/>
      <w:lvlJc w:val="left"/>
      <w:pPr>
        <w:ind w:left="1348" w:hanging="114"/>
      </w:pPr>
      <w:rPr>
        <w:rFonts w:hint="default"/>
        <w:lang w:val="en-GB" w:eastAsia="en-GB" w:bidi="en-GB"/>
      </w:rPr>
    </w:lvl>
    <w:lvl w:ilvl="2" w:tplc="B23E9160">
      <w:numFmt w:val="bullet"/>
      <w:lvlText w:val="•"/>
      <w:lvlJc w:val="left"/>
      <w:pPr>
        <w:ind w:left="2377" w:hanging="114"/>
      </w:pPr>
      <w:rPr>
        <w:rFonts w:hint="default"/>
        <w:lang w:val="en-GB" w:eastAsia="en-GB" w:bidi="en-GB"/>
      </w:rPr>
    </w:lvl>
    <w:lvl w:ilvl="3" w:tplc="9A4AAC5C">
      <w:numFmt w:val="bullet"/>
      <w:lvlText w:val="•"/>
      <w:lvlJc w:val="left"/>
      <w:pPr>
        <w:ind w:left="3405" w:hanging="114"/>
      </w:pPr>
      <w:rPr>
        <w:rFonts w:hint="default"/>
        <w:lang w:val="en-GB" w:eastAsia="en-GB" w:bidi="en-GB"/>
      </w:rPr>
    </w:lvl>
    <w:lvl w:ilvl="4" w:tplc="BBA6510A">
      <w:numFmt w:val="bullet"/>
      <w:lvlText w:val="•"/>
      <w:lvlJc w:val="left"/>
      <w:pPr>
        <w:ind w:left="4434" w:hanging="114"/>
      </w:pPr>
      <w:rPr>
        <w:rFonts w:hint="default"/>
        <w:lang w:val="en-GB" w:eastAsia="en-GB" w:bidi="en-GB"/>
      </w:rPr>
    </w:lvl>
    <w:lvl w:ilvl="5" w:tplc="3B0A8134">
      <w:numFmt w:val="bullet"/>
      <w:lvlText w:val="•"/>
      <w:lvlJc w:val="left"/>
      <w:pPr>
        <w:ind w:left="5462" w:hanging="114"/>
      </w:pPr>
      <w:rPr>
        <w:rFonts w:hint="default"/>
        <w:lang w:val="en-GB" w:eastAsia="en-GB" w:bidi="en-GB"/>
      </w:rPr>
    </w:lvl>
    <w:lvl w:ilvl="6" w:tplc="3152A1DE">
      <w:numFmt w:val="bullet"/>
      <w:lvlText w:val="•"/>
      <w:lvlJc w:val="left"/>
      <w:pPr>
        <w:ind w:left="6491" w:hanging="114"/>
      </w:pPr>
      <w:rPr>
        <w:rFonts w:hint="default"/>
        <w:lang w:val="en-GB" w:eastAsia="en-GB" w:bidi="en-GB"/>
      </w:rPr>
    </w:lvl>
    <w:lvl w:ilvl="7" w:tplc="4CEA335A">
      <w:numFmt w:val="bullet"/>
      <w:lvlText w:val="•"/>
      <w:lvlJc w:val="left"/>
      <w:pPr>
        <w:ind w:left="7519" w:hanging="114"/>
      </w:pPr>
      <w:rPr>
        <w:rFonts w:hint="default"/>
        <w:lang w:val="en-GB" w:eastAsia="en-GB" w:bidi="en-GB"/>
      </w:rPr>
    </w:lvl>
    <w:lvl w:ilvl="8" w:tplc="553EB1FC">
      <w:numFmt w:val="bullet"/>
      <w:lvlText w:val="•"/>
      <w:lvlJc w:val="left"/>
      <w:pPr>
        <w:ind w:left="8548" w:hanging="114"/>
      </w:pPr>
      <w:rPr>
        <w:rFonts w:hint="default"/>
        <w:lang w:val="en-GB" w:eastAsia="en-GB" w:bidi="en-GB"/>
      </w:rPr>
    </w:lvl>
  </w:abstractNum>
  <w:abstractNum w:abstractNumId="1369" w15:restartNumberingAfterBreak="0">
    <w:nsid w:val="7ADA45C7"/>
    <w:multiLevelType w:val="hybridMultilevel"/>
    <w:tmpl w:val="2D08013C"/>
    <w:lvl w:ilvl="0" w:tplc="C902FA8C">
      <w:numFmt w:val="bullet"/>
      <w:lvlText w:val="•"/>
      <w:lvlJc w:val="left"/>
      <w:pPr>
        <w:ind w:left="300" w:hanging="217"/>
      </w:pPr>
      <w:rPr>
        <w:rFonts w:ascii="Arial" w:eastAsia="Arial" w:hAnsi="Arial" w:cs="Arial" w:hint="default"/>
        <w:color w:val="231F20"/>
        <w:w w:val="102"/>
        <w:sz w:val="17"/>
        <w:szCs w:val="17"/>
        <w:lang w:val="en-GB" w:eastAsia="en-GB" w:bidi="en-GB"/>
      </w:rPr>
    </w:lvl>
    <w:lvl w:ilvl="1" w:tplc="8422715E">
      <w:numFmt w:val="bullet"/>
      <w:lvlText w:val="•"/>
      <w:lvlJc w:val="left"/>
      <w:pPr>
        <w:ind w:left="892" w:hanging="217"/>
      </w:pPr>
      <w:rPr>
        <w:rFonts w:hint="default"/>
        <w:lang w:val="en-GB" w:eastAsia="en-GB" w:bidi="en-GB"/>
      </w:rPr>
    </w:lvl>
    <w:lvl w:ilvl="2" w:tplc="BEF67748">
      <w:numFmt w:val="bullet"/>
      <w:lvlText w:val="•"/>
      <w:lvlJc w:val="left"/>
      <w:pPr>
        <w:ind w:left="1484" w:hanging="217"/>
      </w:pPr>
      <w:rPr>
        <w:rFonts w:hint="default"/>
        <w:lang w:val="en-GB" w:eastAsia="en-GB" w:bidi="en-GB"/>
      </w:rPr>
    </w:lvl>
    <w:lvl w:ilvl="3" w:tplc="7FE01604">
      <w:numFmt w:val="bullet"/>
      <w:lvlText w:val="•"/>
      <w:lvlJc w:val="left"/>
      <w:pPr>
        <w:ind w:left="2076" w:hanging="217"/>
      </w:pPr>
      <w:rPr>
        <w:rFonts w:hint="default"/>
        <w:lang w:val="en-GB" w:eastAsia="en-GB" w:bidi="en-GB"/>
      </w:rPr>
    </w:lvl>
    <w:lvl w:ilvl="4" w:tplc="D4928CEA">
      <w:numFmt w:val="bullet"/>
      <w:lvlText w:val="•"/>
      <w:lvlJc w:val="left"/>
      <w:pPr>
        <w:ind w:left="2668" w:hanging="217"/>
      </w:pPr>
      <w:rPr>
        <w:rFonts w:hint="default"/>
        <w:lang w:val="en-GB" w:eastAsia="en-GB" w:bidi="en-GB"/>
      </w:rPr>
    </w:lvl>
    <w:lvl w:ilvl="5" w:tplc="5B786150">
      <w:numFmt w:val="bullet"/>
      <w:lvlText w:val="•"/>
      <w:lvlJc w:val="left"/>
      <w:pPr>
        <w:ind w:left="3260" w:hanging="217"/>
      </w:pPr>
      <w:rPr>
        <w:rFonts w:hint="default"/>
        <w:lang w:val="en-GB" w:eastAsia="en-GB" w:bidi="en-GB"/>
      </w:rPr>
    </w:lvl>
    <w:lvl w:ilvl="6" w:tplc="B708562C">
      <w:numFmt w:val="bullet"/>
      <w:lvlText w:val="•"/>
      <w:lvlJc w:val="left"/>
      <w:pPr>
        <w:ind w:left="3852" w:hanging="217"/>
      </w:pPr>
      <w:rPr>
        <w:rFonts w:hint="default"/>
        <w:lang w:val="en-GB" w:eastAsia="en-GB" w:bidi="en-GB"/>
      </w:rPr>
    </w:lvl>
    <w:lvl w:ilvl="7" w:tplc="3F308396">
      <w:numFmt w:val="bullet"/>
      <w:lvlText w:val="•"/>
      <w:lvlJc w:val="left"/>
      <w:pPr>
        <w:ind w:left="4444" w:hanging="217"/>
      </w:pPr>
      <w:rPr>
        <w:rFonts w:hint="default"/>
        <w:lang w:val="en-GB" w:eastAsia="en-GB" w:bidi="en-GB"/>
      </w:rPr>
    </w:lvl>
    <w:lvl w:ilvl="8" w:tplc="B84CB3A8">
      <w:numFmt w:val="bullet"/>
      <w:lvlText w:val="•"/>
      <w:lvlJc w:val="left"/>
      <w:pPr>
        <w:ind w:left="5036" w:hanging="217"/>
      </w:pPr>
      <w:rPr>
        <w:rFonts w:hint="default"/>
        <w:lang w:val="en-GB" w:eastAsia="en-GB" w:bidi="en-GB"/>
      </w:rPr>
    </w:lvl>
  </w:abstractNum>
  <w:abstractNum w:abstractNumId="1370" w15:restartNumberingAfterBreak="0">
    <w:nsid w:val="7ADD4FA1"/>
    <w:multiLevelType w:val="hybridMultilevel"/>
    <w:tmpl w:val="567E93AE"/>
    <w:lvl w:ilvl="0" w:tplc="25A2011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F7EA8524">
      <w:numFmt w:val="bullet"/>
      <w:lvlText w:val="•"/>
      <w:lvlJc w:val="left"/>
      <w:pPr>
        <w:ind w:left="473" w:hanging="217"/>
      </w:pPr>
      <w:rPr>
        <w:rFonts w:hint="default"/>
        <w:lang w:val="en-GB" w:eastAsia="en-GB" w:bidi="en-GB"/>
      </w:rPr>
    </w:lvl>
    <w:lvl w:ilvl="2" w:tplc="4D1CBE04">
      <w:numFmt w:val="bullet"/>
      <w:lvlText w:val="•"/>
      <w:lvlJc w:val="left"/>
      <w:pPr>
        <w:ind w:left="646" w:hanging="217"/>
      </w:pPr>
      <w:rPr>
        <w:rFonts w:hint="default"/>
        <w:lang w:val="en-GB" w:eastAsia="en-GB" w:bidi="en-GB"/>
      </w:rPr>
    </w:lvl>
    <w:lvl w:ilvl="3" w:tplc="2A242D52">
      <w:numFmt w:val="bullet"/>
      <w:lvlText w:val="•"/>
      <w:lvlJc w:val="left"/>
      <w:pPr>
        <w:ind w:left="819" w:hanging="217"/>
      </w:pPr>
      <w:rPr>
        <w:rFonts w:hint="default"/>
        <w:lang w:val="en-GB" w:eastAsia="en-GB" w:bidi="en-GB"/>
      </w:rPr>
    </w:lvl>
    <w:lvl w:ilvl="4" w:tplc="E8E65E94">
      <w:numFmt w:val="bullet"/>
      <w:lvlText w:val="•"/>
      <w:lvlJc w:val="left"/>
      <w:pPr>
        <w:ind w:left="992" w:hanging="217"/>
      </w:pPr>
      <w:rPr>
        <w:rFonts w:hint="default"/>
        <w:lang w:val="en-GB" w:eastAsia="en-GB" w:bidi="en-GB"/>
      </w:rPr>
    </w:lvl>
    <w:lvl w:ilvl="5" w:tplc="E5022C5A">
      <w:numFmt w:val="bullet"/>
      <w:lvlText w:val="•"/>
      <w:lvlJc w:val="left"/>
      <w:pPr>
        <w:ind w:left="1165" w:hanging="217"/>
      </w:pPr>
      <w:rPr>
        <w:rFonts w:hint="default"/>
        <w:lang w:val="en-GB" w:eastAsia="en-GB" w:bidi="en-GB"/>
      </w:rPr>
    </w:lvl>
    <w:lvl w:ilvl="6" w:tplc="D090D13E">
      <w:numFmt w:val="bullet"/>
      <w:lvlText w:val="•"/>
      <w:lvlJc w:val="left"/>
      <w:pPr>
        <w:ind w:left="1338" w:hanging="217"/>
      </w:pPr>
      <w:rPr>
        <w:rFonts w:hint="default"/>
        <w:lang w:val="en-GB" w:eastAsia="en-GB" w:bidi="en-GB"/>
      </w:rPr>
    </w:lvl>
    <w:lvl w:ilvl="7" w:tplc="EF1CA974">
      <w:numFmt w:val="bullet"/>
      <w:lvlText w:val="•"/>
      <w:lvlJc w:val="left"/>
      <w:pPr>
        <w:ind w:left="1511" w:hanging="217"/>
      </w:pPr>
      <w:rPr>
        <w:rFonts w:hint="default"/>
        <w:lang w:val="en-GB" w:eastAsia="en-GB" w:bidi="en-GB"/>
      </w:rPr>
    </w:lvl>
    <w:lvl w:ilvl="8" w:tplc="35DA48D6">
      <w:numFmt w:val="bullet"/>
      <w:lvlText w:val="•"/>
      <w:lvlJc w:val="left"/>
      <w:pPr>
        <w:ind w:left="1684" w:hanging="217"/>
      </w:pPr>
      <w:rPr>
        <w:rFonts w:hint="default"/>
        <w:lang w:val="en-GB" w:eastAsia="en-GB" w:bidi="en-GB"/>
      </w:rPr>
    </w:lvl>
  </w:abstractNum>
  <w:abstractNum w:abstractNumId="1371" w15:restartNumberingAfterBreak="0">
    <w:nsid w:val="7ADF18C5"/>
    <w:multiLevelType w:val="hybridMultilevel"/>
    <w:tmpl w:val="EC60AEC0"/>
    <w:lvl w:ilvl="0" w:tplc="96409D42">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7022582C">
      <w:numFmt w:val="bullet"/>
      <w:lvlText w:val="•"/>
      <w:lvlJc w:val="left"/>
      <w:pPr>
        <w:ind w:left="473" w:hanging="217"/>
      </w:pPr>
      <w:rPr>
        <w:rFonts w:hint="default"/>
        <w:lang w:val="en-GB" w:eastAsia="en-GB" w:bidi="en-GB"/>
      </w:rPr>
    </w:lvl>
    <w:lvl w:ilvl="2" w:tplc="07824A98">
      <w:numFmt w:val="bullet"/>
      <w:lvlText w:val="•"/>
      <w:lvlJc w:val="left"/>
      <w:pPr>
        <w:ind w:left="646" w:hanging="217"/>
      </w:pPr>
      <w:rPr>
        <w:rFonts w:hint="default"/>
        <w:lang w:val="en-GB" w:eastAsia="en-GB" w:bidi="en-GB"/>
      </w:rPr>
    </w:lvl>
    <w:lvl w:ilvl="3" w:tplc="F6E09BA6">
      <w:numFmt w:val="bullet"/>
      <w:lvlText w:val="•"/>
      <w:lvlJc w:val="left"/>
      <w:pPr>
        <w:ind w:left="819" w:hanging="217"/>
      </w:pPr>
      <w:rPr>
        <w:rFonts w:hint="default"/>
        <w:lang w:val="en-GB" w:eastAsia="en-GB" w:bidi="en-GB"/>
      </w:rPr>
    </w:lvl>
    <w:lvl w:ilvl="4" w:tplc="CB52C836">
      <w:numFmt w:val="bullet"/>
      <w:lvlText w:val="•"/>
      <w:lvlJc w:val="left"/>
      <w:pPr>
        <w:ind w:left="992" w:hanging="217"/>
      </w:pPr>
      <w:rPr>
        <w:rFonts w:hint="default"/>
        <w:lang w:val="en-GB" w:eastAsia="en-GB" w:bidi="en-GB"/>
      </w:rPr>
    </w:lvl>
    <w:lvl w:ilvl="5" w:tplc="3BE65D0C">
      <w:numFmt w:val="bullet"/>
      <w:lvlText w:val="•"/>
      <w:lvlJc w:val="left"/>
      <w:pPr>
        <w:ind w:left="1165" w:hanging="217"/>
      </w:pPr>
      <w:rPr>
        <w:rFonts w:hint="default"/>
        <w:lang w:val="en-GB" w:eastAsia="en-GB" w:bidi="en-GB"/>
      </w:rPr>
    </w:lvl>
    <w:lvl w:ilvl="6" w:tplc="2F1002D4">
      <w:numFmt w:val="bullet"/>
      <w:lvlText w:val="•"/>
      <w:lvlJc w:val="left"/>
      <w:pPr>
        <w:ind w:left="1338" w:hanging="217"/>
      </w:pPr>
      <w:rPr>
        <w:rFonts w:hint="default"/>
        <w:lang w:val="en-GB" w:eastAsia="en-GB" w:bidi="en-GB"/>
      </w:rPr>
    </w:lvl>
    <w:lvl w:ilvl="7" w:tplc="DC4E1A98">
      <w:numFmt w:val="bullet"/>
      <w:lvlText w:val="•"/>
      <w:lvlJc w:val="left"/>
      <w:pPr>
        <w:ind w:left="1511" w:hanging="217"/>
      </w:pPr>
      <w:rPr>
        <w:rFonts w:hint="default"/>
        <w:lang w:val="en-GB" w:eastAsia="en-GB" w:bidi="en-GB"/>
      </w:rPr>
    </w:lvl>
    <w:lvl w:ilvl="8" w:tplc="A0F689A6">
      <w:numFmt w:val="bullet"/>
      <w:lvlText w:val="•"/>
      <w:lvlJc w:val="left"/>
      <w:pPr>
        <w:ind w:left="1684" w:hanging="217"/>
      </w:pPr>
      <w:rPr>
        <w:rFonts w:hint="default"/>
        <w:lang w:val="en-GB" w:eastAsia="en-GB" w:bidi="en-GB"/>
      </w:rPr>
    </w:lvl>
  </w:abstractNum>
  <w:abstractNum w:abstractNumId="1372" w15:restartNumberingAfterBreak="0">
    <w:nsid w:val="7B2F0923"/>
    <w:multiLevelType w:val="hybridMultilevel"/>
    <w:tmpl w:val="4A647032"/>
    <w:lvl w:ilvl="0" w:tplc="8F3EABA0">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BAD65718">
      <w:numFmt w:val="bullet"/>
      <w:lvlText w:val="•"/>
      <w:lvlJc w:val="left"/>
      <w:pPr>
        <w:ind w:left="677" w:hanging="217"/>
      </w:pPr>
      <w:rPr>
        <w:rFonts w:hint="default"/>
        <w:lang w:val="en-GB" w:eastAsia="en-GB" w:bidi="en-GB"/>
      </w:rPr>
    </w:lvl>
    <w:lvl w:ilvl="2" w:tplc="8B408BF0">
      <w:numFmt w:val="bullet"/>
      <w:lvlText w:val="•"/>
      <w:lvlJc w:val="left"/>
      <w:pPr>
        <w:ind w:left="1054" w:hanging="217"/>
      </w:pPr>
      <w:rPr>
        <w:rFonts w:hint="default"/>
        <w:lang w:val="en-GB" w:eastAsia="en-GB" w:bidi="en-GB"/>
      </w:rPr>
    </w:lvl>
    <w:lvl w:ilvl="3" w:tplc="F1362C26">
      <w:numFmt w:val="bullet"/>
      <w:lvlText w:val="•"/>
      <w:lvlJc w:val="left"/>
      <w:pPr>
        <w:ind w:left="1431" w:hanging="217"/>
      </w:pPr>
      <w:rPr>
        <w:rFonts w:hint="default"/>
        <w:lang w:val="en-GB" w:eastAsia="en-GB" w:bidi="en-GB"/>
      </w:rPr>
    </w:lvl>
    <w:lvl w:ilvl="4" w:tplc="347CCC08">
      <w:numFmt w:val="bullet"/>
      <w:lvlText w:val="•"/>
      <w:lvlJc w:val="left"/>
      <w:pPr>
        <w:ind w:left="1808" w:hanging="217"/>
      </w:pPr>
      <w:rPr>
        <w:rFonts w:hint="default"/>
        <w:lang w:val="en-GB" w:eastAsia="en-GB" w:bidi="en-GB"/>
      </w:rPr>
    </w:lvl>
    <w:lvl w:ilvl="5" w:tplc="FBB6FCC0">
      <w:numFmt w:val="bullet"/>
      <w:lvlText w:val="•"/>
      <w:lvlJc w:val="left"/>
      <w:pPr>
        <w:ind w:left="2186" w:hanging="217"/>
      </w:pPr>
      <w:rPr>
        <w:rFonts w:hint="default"/>
        <w:lang w:val="en-GB" w:eastAsia="en-GB" w:bidi="en-GB"/>
      </w:rPr>
    </w:lvl>
    <w:lvl w:ilvl="6" w:tplc="E8303C32">
      <w:numFmt w:val="bullet"/>
      <w:lvlText w:val="•"/>
      <w:lvlJc w:val="left"/>
      <w:pPr>
        <w:ind w:left="2563" w:hanging="217"/>
      </w:pPr>
      <w:rPr>
        <w:rFonts w:hint="default"/>
        <w:lang w:val="en-GB" w:eastAsia="en-GB" w:bidi="en-GB"/>
      </w:rPr>
    </w:lvl>
    <w:lvl w:ilvl="7" w:tplc="DC60E2AC">
      <w:numFmt w:val="bullet"/>
      <w:lvlText w:val="•"/>
      <w:lvlJc w:val="left"/>
      <w:pPr>
        <w:ind w:left="2940" w:hanging="217"/>
      </w:pPr>
      <w:rPr>
        <w:rFonts w:hint="default"/>
        <w:lang w:val="en-GB" w:eastAsia="en-GB" w:bidi="en-GB"/>
      </w:rPr>
    </w:lvl>
    <w:lvl w:ilvl="8" w:tplc="64DCB142">
      <w:numFmt w:val="bullet"/>
      <w:lvlText w:val="•"/>
      <w:lvlJc w:val="left"/>
      <w:pPr>
        <w:ind w:left="3317" w:hanging="217"/>
      </w:pPr>
      <w:rPr>
        <w:rFonts w:hint="default"/>
        <w:lang w:val="en-GB" w:eastAsia="en-GB" w:bidi="en-GB"/>
      </w:rPr>
    </w:lvl>
  </w:abstractNum>
  <w:abstractNum w:abstractNumId="1373" w15:restartNumberingAfterBreak="0">
    <w:nsid w:val="7B314B51"/>
    <w:multiLevelType w:val="hybridMultilevel"/>
    <w:tmpl w:val="68F0513E"/>
    <w:lvl w:ilvl="0" w:tplc="38FA3140">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F1DC3F1E">
      <w:numFmt w:val="bullet"/>
      <w:lvlText w:val="•"/>
      <w:lvlJc w:val="left"/>
      <w:pPr>
        <w:ind w:left="473" w:hanging="217"/>
      </w:pPr>
      <w:rPr>
        <w:rFonts w:hint="default"/>
        <w:lang w:val="en-GB" w:eastAsia="en-GB" w:bidi="en-GB"/>
      </w:rPr>
    </w:lvl>
    <w:lvl w:ilvl="2" w:tplc="AC8AB844">
      <w:numFmt w:val="bullet"/>
      <w:lvlText w:val="•"/>
      <w:lvlJc w:val="left"/>
      <w:pPr>
        <w:ind w:left="646" w:hanging="217"/>
      </w:pPr>
      <w:rPr>
        <w:rFonts w:hint="default"/>
        <w:lang w:val="en-GB" w:eastAsia="en-GB" w:bidi="en-GB"/>
      </w:rPr>
    </w:lvl>
    <w:lvl w:ilvl="3" w:tplc="8AD0D15A">
      <w:numFmt w:val="bullet"/>
      <w:lvlText w:val="•"/>
      <w:lvlJc w:val="left"/>
      <w:pPr>
        <w:ind w:left="819" w:hanging="217"/>
      </w:pPr>
      <w:rPr>
        <w:rFonts w:hint="default"/>
        <w:lang w:val="en-GB" w:eastAsia="en-GB" w:bidi="en-GB"/>
      </w:rPr>
    </w:lvl>
    <w:lvl w:ilvl="4" w:tplc="0BB8DC16">
      <w:numFmt w:val="bullet"/>
      <w:lvlText w:val="•"/>
      <w:lvlJc w:val="left"/>
      <w:pPr>
        <w:ind w:left="992" w:hanging="217"/>
      </w:pPr>
      <w:rPr>
        <w:rFonts w:hint="default"/>
        <w:lang w:val="en-GB" w:eastAsia="en-GB" w:bidi="en-GB"/>
      </w:rPr>
    </w:lvl>
    <w:lvl w:ilvl="5" w:tplc="F524EF54">
      <w:numFmt w:val="bullet"/>
      <w:lvlText w:val="•"/>
      <w:lvlJc w:val="left"/>
      <w:pPr>
        <w:ind w:left="1165" w:hanging="217"/>
      </w:pPr>
      <w:rPr>
        <w:rFonts w:hint="default"/>
        <w:lang w:val="en-GB" w:eastAsia="en-GB" w:bidi="en-GB"/>
      </w:rPr>
    </w:lvl>
    <w:lvl w:ilvl="6" w:tplc="0DE8BC20">
      <w:numFmt w:val="bullet"/>
      <w:lvlText w:val="•"/>
      <w:lvlJc w:val="left"/>
      <w:pPr>
        <w:ind w:left="1338" w:hanging="217"/>
      </w:pPr>
      <w:rPr>
        <w:rFonts w:hint="default"/>
        <w:lang w:val="en-GB" w:eastAsia="en-GB" w:bidi="en-GB"/>
      </w:rPr>
    </w:lvl>
    <w:lvl w:ilvl="7" w:tplc="8A60E9C0">
      <w:numFmt w:val="bullet"/>
      <w:lvlText w:val="•"/>
      <w:lvlJc w:val="left"/>
      <w:pPr>
        <w:ind w:left="1511" w:hanging="217"/>
      </w:pPr>
      <w:rPr>
        <w:rFonts w:hint="default"/>
        <w:lang w:val="en-GB" w:eastAsia="en-GB" w:bidi="en-GB"/>
      </w:rPr>
    </w:lvl>
    <w:lvl w:ilvl="8" w:tplc="F02A3B0A">
      <w:numFmt w:val="bullet"/>
      <w:lvlText w:val="•"/>
      <w:lvlJc w:val="left"/>
      <w:pPr>
        <w:ind w:left="1684" w:hanging="217"/>
      </w:pPr>
      <w:rPr>
        <w:rFonts w:hint="default"/>
        <w:lang w:val="en-GB" w:eastAsia="en-GB" w:bidi="en-GB"/>
      </w:rPr>
    </w:lvl>
  </w:abstractNum>
  <w:abstractNum w:abstractNumId="1374" w15:restartNumberingAfterBreak="0">
    <w:nsid w:val="7B37340F"/>
    <w:multiLevelType w:val="hybridMultilevel"/>
    <w:tmpl w:val="D032B16E"/>
    <w:lvl w:ilvl="0" w:tplc="74AA0E26">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08F62896">
      <w:numFmt w:val="bullet"/>
      <w:lvlText w:val="•"/>
      <w:lvlJc w:val="left"/>
      <w:pPr>
        <w:ind w:left="473" w:hanging="217"/>
      </w:pPr>
      <w:rPr>
        <w:rFonts w:hint="default"/>
        <w:lang w:val="en-GB" w:eastAsia="en-GB" w:bidi="en-GB"/>
      </w:rPr>
    </w:lvl>
    <w:lvl w:ilvl="2" w:tplc="50B82B32">
      <w:numFmt w:val="bullet"/>
      <w:lvlText w:val="•"/>
      <w:lvlJc w:val="left"/>
      <w:pPr>
        <w:ind w:left="646" w:hanging="217"/>
      </w:pPr>
      <w:rPr>
        <w:rFonts w:hint="default"/>
        <w:lang w:val="en-GB" w:eastAsia="en-GB" w:bidi="en-GB"/>
      </w:rPr>
    </w:lvl>
    <w:lvl w:ilvl="3" w:tplc="844A6F80">
      <w:numFmt w:val="bullet"/>
      <w:lvlText w:val="•"/>
      <w:lvlJc w:val="left"/>
      <w:pPr>
        <w:ind w:left="819" w:hanging="217"/>
      </w:pPr>
      <w:rPr>
        <w:rFonts w:hint="default"/>
        <w:lang w:val="en-GB" w:eastAsia="en-GB" w:bidi="en-GB"/>
      </w:rPr>
    </w:lvl>
    <w:lvl w:ilvl="4" w:tplc="D9CC0808">
      <w:numFmt w:val="bullet"/>
      <w:lvlText w:val="•"/>
      <w:lvlJc w:val="left"/>
      <w:pPr>
        <w:ind w:left="992" w:hanging="217"/>
      </w:pPr>
      <w:rPr>
        <w:rFonts w:hint="default"/>
        <w:lang w:val="en-GB" w:eastAsia="en-GB" w:bidi="en-GB"/>
      </w:rPr>
    </w:lvl>
    <w:lvl w:ilvl="5" w:tplc="8CB8D3C8">
      <w:numFmt w:val="bullet"/>
      <w:lvlText w:val="•"/>
      <w:lvlJc w:val="left"/>
      <w:pPr>
        <w:ind w:left="1165" w:hanging="217"/>
      </w:pPr>
      <w:rPr>
        <w:rFonts w:hint="default"/>
        <w:lang w:val="en-GB" w:eastAsia="en-GB" w:bidi="en-GB"/>
      </w:rPr>
    </w:lvl>
    <w:lvl w:ilvl="6" w:tplc="5E149AFC">
      <w:numFmt w:val="bullet"/>
      <w:lvlText w:val="•"/>
      <w:lvlJc w:val="left"/>
      <w:pPr>
        <w:ind w:left="1338" w:hanging="217"/>
      </w:pPr>
      <w:rPr>
        <w:rFonts w:hint="default"/>
        <w:lang w:val="en-GB" w:eastAsia="en-GB" w:bidi="en-GB"/>
      </w:rPr>
    </w:lvl>
    <w:lvl w:ilvl="7" w:tplc="3B64C132">
      <w:numFmt w:val="bullet"/>
      <w:lvlText w:val="•"/>
      <w:lvlJc w:val="left"/>
      <w:pPr>
        <w:ind w:left="1511" w:hanging="217"/>
      </w:pPr>
      <w:rPr>
        <w:rFonts w:hint="default"/>
        <w:lang w:val="en-GB" w:eastAsia="en-GB" w:bidi="en-GB"/>
      </w:rPr>
    </w:lvl>
    <w:lvl w:ilvl="8" w:tplc="2A904C40">
      <w:numFmt w:val="bullet"/>
      <w:lvlText w:val="•"/>
      <w:lvlJc w:val="left"/>
      <w:pPr>
        <w:ind w:left="1684" w:hanging="217"/>
      </w:pPr>
      <w:rPr>
        <w:rFonts w:hint="default"/>
        <w:lang w:val="en-GB" w:eastAsia="en-GB" w:bidi="en-GB"/>
      </w:rPr>
    </w:lvl>
  </w:abstractNum>
  <w:abstractNum w:abstractNumId="1375" w15:restartNumberingAfterBreak="0">
    <w:nsid w:val="7B374D27"/>
    <w:multiLevelType w:val="hybridMultilevel"/>
    <w:tmpl w:val="3588EE1E"/>
    <w:lvl w:ilvl="0" w:tplc="BE044E9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E8B86A5A">
      <w:numFmt w:val="bullet"/>
      <w:lvlText w:val="•"/>
      <w:lvlJc w:val="left"/>
      <w:pPr>
        <w:ind w:left="1061" w:hanging="217"/>
      </w:pPr>
      <w:rPr>
        <w:rFonts w:hint="default"/>
        <w:lang w:val="en-GB" w:eastAsia="en-GB" w:bidi="en-GB"/>
      </w:rPr>
    </w:lvl>
    <w:lvl w:ilvl="2" w:tplc="55FC4062">
      <w:numFmt w:val="bullet"/>
      <w:lvlText w:val="•"/>
      <w:lvlJc w:val="left"/>
      <w:pPr>
        <w:ind w:left="1823" w:hanging="217"/>
      </w:pPr>
      <w:rPr>
        <w:rFonts w:hint="default"/>
        <w:lang w:val="en-GB" w:eastAsia="en-GB" w:bidi="en-GB"/>
      </w:rPr>
    </w:lvl>
    <w:lvl w:ilvl="3" w:tplc="4F9A2DB4">
      <w:numFmt w:val="bullet"/>
      <w:lvlText w:val="•"/>
      <w:lvlJc w:val="left"/>
      <w:pPr>
        <w:ind w:left="2585" w:hanging="217"/>
      </w:pPr>
      <w:rPr>
        <w:rFonts w:hint="default"/>
        <w:lang w:val="en-GB" w:eastAsia="en-GB" w:bidi="en-GB"/>
      </w:rPr>
    </w:lvl>
    <w:lvl w:ilvl="4" w:tplc="D59E9186">
      <w:numFmt w:val="bullet"/>
      <w:lvlText w:val="•"/>
      <w:lvlJc w:val="left"/>
      <w:pPr>
        <w:ind w:left="3346" w:hanging="217"/>
      </w:pPr>
      <w:rPr>
        <w:rFonts w:hint="default"/>
        <w:lang w:val="en-GB" w:eastAsia="en-GB" w:bidi="en-GB"/>
      </w:rPr>
    </w:lvl>
    <w:lvl w:ilvl="5" w:tplc="2626D148">
      <w:numFmt w:val="bullet"/>
      <w:lvlText w:val="•"/>
      <w:lvlJc w:val="left"/>
      <w:pPr>
        <w:ind w:left="4108" w:hanging="217"/>
      </w:pPr>
      <w:rPr>
        <w:rFonts w:hint="default"/>
        <w:lang w:val="en-GB" w:eastAsia="en-GB" w:bidi="en-GB"/>
      </w:rPr>
    </w:lvl>
    <w:lvl w:ilvl="6" w:tplc="70CE094A">
      <w:numFmt w:val="bullet"/>
      <w:lvlText w:val="•"/>
      <w:lvlJc w:val="left"/>
      <w:pPr>
        <w:ind w:left="4870" w:hanging="217"/>
      </w:pPr>
      <w:rPr>
        <w:rFonts w:hint="default"/>
        <w:lang w:val="en-GB" w:eastAsia="en-GB" w:bidi="en-GB"/>
      </w:rPr>
    </w:lvl>
    <w:lvl w:ilvl="7" w:tplc="DFEE3062">
      <w:numFmt w:val="bullet"/>
      <w:lvlText w:val="•"/>
      <w:lvlJc w:val="left"/>
      <w:pPr>
        <w:ind w:left="5631" w:hanging="217"/>
      </w:pPr>
      <w:rPr>
        <w:rFonts w:hint="default"/>
        <w:lang w:val="en-GB" w:eastAsia="en-GB" w:bidi="en-GB"/>
      </w:rPr>
    </w:lvl>
    <w:lvl w:ilvl="8" w:tplc="85FCB924">
      <w:numFmt w:val="bullet"/>
      <w:lvlText w:val="•"/>
      <w:lvlJc w:val="left"/>
      <w:pPr>
        <w:ind w:left="6393" w:hanging="217"/>
      </w:pPr>
      <w:rPr>
        <w:rFonts w:hint="default"/>
        <w:lang w:val="en-GB" w:eastAsia="en-GB" w:bidi="en-GB"/>
      </w:rPr>
    </w:lvl>
  </w:abstractNum>
  <w:abstractNum w:abstractNumId="1376" w15:restartNumberingAfterBreak="0">
    <w:nsid w:val="7B443170"/>
    <w:multiLevelType w:val="hybridMultilevel"/>
    <w:tmpl w:val="867CDE92"/>
    <w:lvl w:ilvl="0" w:tplc="336402D0">
      <w:numFmt w:val="bullet"/>
      <w:lvlText w:val="•"/>
      <w:lvlJc w:val="left"/>
      <w:pPr>
        <w:ind w:left="305" w:hanging="217"/>
      </w:pPr>
      <w:rPr>
        <w:rFonts w:ascii="Arial" w:eastAsia="Arial" w:hAnsi="Arial" w:cs="Arial" w:hint="default"/>
        <w:color w:val="231F20"/>
        <w:spacing w:val="-17"/>
        <w:w w:val="100"/>
        <w:sz w:val="18"/>
        <w:szCs w:val="18"/>
        <w:lang w:val="en-GB" w:eastAsia="en-GB" w:bidi="en-GB"/>
      </w:rPr>
    </w:lvl>
    <w:lvl w:ilvl="1" w:tplc="327874B0">
      <w:numFmt w:val="bullet"/>
      <w:lvlText w:val="•"/>
      <w:lvlJc w:val="left"/>
      <w:pPr>
        <w:ind w:left="441" w:hanging="217"/>
      </w:pPr>
      <w:rPr>
        <w:rFonts w:hint="default"/>
        <w:lang w:val="en-GB" w:eastAsia="en-GB" w:bidi="en-GB"/>
      </w:rPr>
    </w:lvl>
    <w:lvl w:ilvl="2" w:tplc="06649884">
      <w:numFmt w:val="bullet"/>
      <w:lvlText w:val="•"/>
      <w:lvlJc w:val="left"/>
      <w:pPr>
        <w:ind w:left="583" w:hanging="217"/>
      </w:pPr>
      <w:rPr>
        <w:rFonts w:hint="default"/>
        <w:lang w:val="en-GB" w:eastAsia="en-GB" w:bidi="en-GB"/>
      </w:rPr>
    </w:lvl>
    <w:lvl w:ilvl="3" w:tplc="A066E620">
      <w:numFmt w:val="bullet"/>
      <w:lvlText w:val="•"/>
      <w:lvlJc w:val="left"/>
      <w:pPr>
        <w:ind w:left="725" w:hanging="217"/>
      </w:pPr>
      <w:rPr>
        <w:rFonts w:hint="default"/>
        <w:lang w:val="en-GB" w:eastAsia="en-GB" w:bidi="en-GB"/>
      </w:rPr>
    </w:lvl>
    <w:lvl w:ilvl="4" w:tplc="0B147924">
      <w:numFmt w:val="bullet"/>
      <w:lvlText w:val="•"/>
      <w:lvlJc w:val="left"/>
      <w:pPr>
        <w:ind w:left="867" w:hanging="217"/>
      </w:pPr>
      <w:rPr>
        <w:rFonts w:hint="default"/>
        <w:lang w:val="en-GB" w:eastAsia="en-GB" w:bidi="en-GB"/>
      </w:rPr>
    </w:lvl>
    <w:lvl w:ilvl="5" w:tplc="D92632A2">
      <w:numFmt w:val="bullet"/>
      <w:lvlText w:val="•"/>
      <w:lvlJc w:val="left"/>
      <w:pPr>
        <w:ind w:left="1009" w:hanging="217"/>
      </w:pPr>
      <w:rPr>
        <w:rFonts w:hint="default"/>
        <w:lang w:val="en-GB" w:eastAsia="en-GB" w:bidi="en-GB"/>
      </w:rPr>
    </w:lvl>
    <w:lvl w:ilvl="6" w:tplc="BD725AD4">
      <w:numFmt w:val="bullet"/>
      <w:lvlText w:val="•"/>
      <w:lvlJc w:val="left"/>
      <w:pPr>
        <w:ind w:left="1151" w:hanging="217"/>
      </w:pPr>
      <w:rPr>
        <w:rFonts w:hint="default"/>
        <w:lang w:val="en-GB" w:eastAsia="en-GB" w:bidi="en-GB"/>
      </w:rPr>
    </w:lvl>
    <w:lvl w:ilvl="7" w:tplc="F3BE7D7A">
      <w:numFmt w:val="bullet"/>
      <w:lvlText w:val="•"/>
      <w:lvlJc w:val="left"/>
      <w:pPr>
        <w:ind w:left="1293" w:hanging="217"/>
      </w:pPr>
      <w:rPr>
        <w:rFonts w:hint="default"/>
        <w:lang w:val="en-GB" w:eastAsia="en-GB" w:bidi="en-GB"/>
      </w:rPr>
    </w:lvl>
    <w:lvl w:ilvl="8" w:tplc="39889AF2">
      <w:numFmt w:val="bullet"/>
      <w:lvlText w:val="•"/>
      <w:lvlJc w:val="left"/>
      <w:pPr>
        <w:ind w:left="1435" w:hanging="217"/>
      </w:pPr>
      <w:rPr>
        <w:rFonts w:hint="default"/>
        <w:lang w:val="en-GB" w:eastAsia="en-GB" w:bidi="en-GB"/>
      </w:rPr>
    </w:lvl>
  </w:abstractNum>
  <w:abstractNum w:abstractNumId="1377" w15:restartNumberingAfterBreak="0">
    <w:nsid w:val="7B4D10BD"/>
    <w:multiLevelType w:val="hybridMultilevel"/>
    <w:tmpl w:val="9F94890C"/>
    <w:lvl w:ilvl="0" w:tplc="140434B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9E20D86">
      <w:numFmt w:val="bullet"/>
      <w:lvlText w:val="•"/>
      <w:lvlJc w:val="left"/>
      <w:pPr>
        <w:ind w:left="892" w:hanging="217"/>
      </w:pPr>
      <w:rPr>
        <w:rFonts w:hint="default"/>
        <w:lang w:val="en-GB" w:eastAsia="en-GB" w:bidi="en-GB"/>
      </w:rPr>
    </w:lvl>
    <w:lvl w:ilvl="2" w:tplc="202CC1F4">
      <w:numFmt w:val="bullet"/>
      <w:lvlText w:val="•"/>
      <w:lvlJc w:val="left"/>
      <w:pPr>
        <w:ind w:left="1485" w:hanging="217"/>
      </w:pPr>
      <w:rPr>
        <w:rFonts w:hint="default"/>
        <w:lang w:val="en-GB" w:eastAsia="en-GB" w:bidi="en-GB"/>
      </w:rPr>
    </w:lvl>
    <w:lvl w:ilvl="3" w:tplc="40820B84">
      <w:numFmt w:val="bullet"/>
      <w:lvlText w:val="•"/>
      <w:lvlJc w:val="left"/>
      <w:pPr>
        <w:ind w:left="2077" w:hanging="217"/>
      </w:pPr>
      <w:rPr>
        <w:rFonts w:hint="default"/>
        <w:lang w:val="en-GB" w:eastAsia="en-GB" w:bidi="en-GB"/>
      </w:rPr>
    </w:lvl>
    <w:lvl w:ilvl="4" w:tplc="014E4B90">
      <w:numFmt w:val="bullet"/>
      <w:lvlText w:val="•"/>
      <w:lvlJc w:val="left"/>
      <w:pPr>
        <w:ind w:left="2670" w:hanging="217"/>
      </w:pPr>
      <w:rPr>
        <w:rFonts w:hint="default"/>
        <w:lang w:val="en-GB" w:eastAsia="en-GB" w:bidi="en-GB"/>
      </w:rPr>
    </w:lvl>
    <w:lvl w:ilvl="5" w:tplc="42123D06">
      <w:numFmt w:val="bullet"/>
      <w:lvlText w:val="•"/>
      <w:lvlJc w:val="left"/>
      <w:pPr>
        <w:ind w:left="3263" w:hanging="217"/>
      </w:pPr>
      <w:rPr>
        <w:rFonts w:hint="default"/>
        <w:lang w:val="en-GB" w:eastAsia="en-GB" w:bidi="en-GB"/>
      </w:rPr>
    </w:lvl>
    <w:lvl w:ilvl="6" w:tplc="7B7A907C">
      <w:numFmt w:val="bullet"/>
      <w:lvlText w:val="•"/>
      <w:lvlJc w:val="left"/>
      <w:pPr>
        <w:ind w:left="3855" w:hanging="217"/>
      </w:pPr>
      <w:rPr>
        <w:rFonts w:hint="default"/>
        <w:lang w:val="en-GB" w:eastAsia="en-GB" w:bidi="en-GB"/>
      </w:rPr>
    </w:lvl>
    <w:lvl w:ilvl="7" w:tplc="655CD7A8">
      <w:numFmt w:val="bullet"/>
      <w:lvlText w:val="•"/>
      <w:lvlJc w:val="left"/>
      <w:pPr>
        <w:ind w:left="4448" w:hanging="217"/>
      </w:pPr>
      <w:rPr>
        <w:rFonts w:hint="default"/>
        <w:lang w:val="en-GB" w:eastAsia="en-GB" w:bidi="en-GB"/>
      </w:rPr>
    </w:lvl>
    <w:lvl w:ilvl="8" w:tplc="D4AAF956">
      <w:numFmt w:val="bullet"/>
      <w:lvlText w:val="•"/>
      <w:lvlJc w:val="left"/>
      <w:pPr>
        <w:ind w:left="5040" w:hanging="217"/>
      </w:pPr>
      <w:rPr>
        <w:rFonts w:hint="default"/>
        <w:lang w:val="en-GB" w:eastAsia="en-GB" w:bidi="en-GB"/>
      </w:rPr>
    </w:lvl>
  </w:abstractNum>
  <w:abstractNum w:abstractNumId="1378" w15:restartNumberingAfterBreak="0">
    <w:nsid w:val="7B76212F"/>
    <w:multiLevelType w:val="hybridMultilevel"/>
    <w:tmpl w:val="8F1464F4"/>
    <w:lvl w:ilvl="0" w:tplc="691CD0E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9B383084">
      <w:numFmt w:val="bullet"/>
      <w:lvlText w:val="•"/>
      <w:lvlJc w:val="left"/>
      <w:pPr>
        <w:ind w:left="439" w:hanging="217"/>
      </w:pPr>
      <w:rPr>
        <w:rFonts w:hint="default"/>
        <w:lang w:val="en-GB" w:eastAsia="en-GB" w:bidi="en-GB"/>
      </w:rPr>
    </w:lvl>
    <w:lvl w:ilvl="2" w:tplc="B3C2B292">
      <w:numFmt w:val="bullet"/>
      <w:lvlText w:val="•"/>
      <w:lvlJc w:val="left"/>
      <w:pPr>
        <w:ind w:left="578" w:hanging="217"/>
      </w:pPr>
      <w:rPr>
        <w:rFonts w:hint="default"/>
        <w:lang w:val="en-GB" w:eastAsia="en-GB" w:bidi="en-GB"/>
      </w:rPr>
    </w:lvl>
    <w:lvl w:ilvl="3" w:tplc="FEF233EA">
      <w:numFmt w:val="bullet"/>
      <w:lvlText w:val="•"/>
      <w:lvlJc w:val="left"/>
      <w:pPr>
        <w:ind w:left="717" w:hanging="217"/>
      </w:pPr>
      <w:rPr>
        <w:rFonts w:hint="default"/>
        <w:lang w:val="en-GB" w:eastAsia="en-GB" w:bidi="en-GB"/>
      </w:rPr>
    </w:lvl>
    <w:lvl w:ilvl="4" w:tplc="26D890BC">
      <w:numFmt w:val="bullet"/>
      <w:lvlText w:val="•"/>
      <w:lvlJc w:val="left"/>
      <w:pPr>
        <w:ind w:left="856" w:hanging="217"/>
      </w:pPr>
      <w:rPr>
        <w:rFonts w:hint="default"/>
        <w:lang w:val="en-GB" w:eastAsia="en-GB" w:bidi="en-GB"/>
      </w:rPr>
    </w:lvl>
    <w:lvl w:ilvl="5" w:tplc="E998F5EC">
      <w:numFmt w:val="bullet"/>
      <w:lvlText w:val="•"/>
      <w:lvlJc w:val="left"/>
      <w:pPr>
        <w:ind w:left="995" w:hanging="217"/>
      </w:pPr>
      <w:rPr>
        <w:rFonts w:hint="default"/>
        <w:lang w:val="en-GB" w:eastAsia="en-GB" w:bidi="en-GB"/>
      </w:rPr>
    </w:lvl>
    <w:lvl w:ilvl="6" w:tplc="FA7E75E2">
      <w:numFmt w:val="bullet"/>
      <w:lvlText w:val="•"/>
      <w:lvlJc w:val="left"/>
      <w:pPr>
        <w:ind w:left="1134" w:hanging="217"/>
      </w:pPr>
      <w:rPr>
        <w:rFonts w:hint="default"/>
        <w:lang w:val="en-GB" w:eastAsia="en-GB" w:bidi="en-GB"/>
      </w:rPr>
    </w:lvl>
    <w:lvl w:ilvl="7" w:tplc="F9E2123C">
      <w:numFmt w:val="bullet"/>
      <w:lvlText w:val="•"/>
      <w:lvlJc w:val="left"/>
      <w:pPr>
        <w:ind w:left="1273" w:hanging="217"/>
      </w:pPr>
      <w:rPr>
        <w:rFonts w:hint="default"/>
        <w:lang w:val="en-GB" w:eastAsia="en-GB" w:bidi="en-GB"/>
      </w:rPr>
    </w:lvl>
    <w:lvl w:ilvl="8" w:tplc="C7C20B28">
      <w:numFmt w:val="bullet"/>
      <w:lvlText w:val="•"/>
      <w:lvlJc w:val="left"/>
      <w:pPr>
        <w:ind w:left="1412" w:hanging="217"/>
      </w:pPr>
      <w:rPr>
        <w:rFonts w:hint="default"/>
        <w:lang w:val="en-GB" w:eastAsia="en-GB" w:bidi="en-GB"/>
      </w:rPr>
    </w:lvl>
  </w:abstractNum>
  <w:abstractNum w:abstractNumId="1379" w15:restartNumberingAfterBreak="0">
    <w:nsid w:val="7B831894"/>
    <w:multiLevelType w:val="hybridMultilevel"/>
    <w:tmpl w:val="158863E0"/>
    <w:lvl w:ilvl="0" w:tplc="2074745E">
      <w:numFmt w:val="bullet"/>
      <w:lvlText w:val="•"/>
      <w:lvlJc w:val="left"/>
      <w:pPr>
        <w:ind w:left="305" w:hanging="217"/>
      </w:pPr>
      <w:rPr>
        <w:rFonts w:ascii="Arial" w:eastAsia="Arial" w:hAnsi="Arial" w:cs="Arial" w:hint="default"/>
        <w:color w:val="231F20"/>
        <w:w w:val="102"/>
        <w:sz w:val="17"/>
        <w:szCs w:val="17"/>
        <w:lang w:val="en-GB" w:eastAsia="en-GB" w:bidi="en-GB"/>
      </w:rPr>
    </w:lvl>
    <w:lvl w:ilvl="1" w:tplc="C106B8B0">
      <w:numFmt w:val="bullet"/>
      <w:lvlText w:val="•"/>
      <w:lvlJc w:val="left"/>
      <w:pPr>
        <w:ind w:left="892" w:hanging="217"/>
      </w:pPr>
      <w:rPr>
        <w:rFonts w:hint="default"/>
        <w:lang w:val="en-GB" w:eastAsia="en-GB" w:bidi="en-GB"/>
      </w:rPr>
    </w:lvl>
    <w:lvl w:ilvl="2" w:tplc="B5785A36">
      <w:numFmt w:val="bullet"/>
      <w:lvlText w:val="•"/>
      <w:lvlJc w:val="left"/>
      <w:pPr>
        <w:ind w:left="1485" w:hanging="217"/>
      </w:pPr>
      <w:rPr>
        <w:rFonts w:hint="default"/>
        <w:lang w:val="en-GB" w:eastAsia="en-GB" w:bidi="en-GB"/>
      </w:rPr>
    </w:lvl>
    <w:lvl w:ilvl="3" w:tplc="26C4A9FE">
      <w:numFmt w:val="bullet"/>
      <w:lvlText w:val="•"/>
      <w:lvlJc w:val="left"/>
      <w:pPr>
        <w:ind w:left="2077" w:hanging="217"/>
      </w:pPr>
      <w:rPr>
        <w:rFonts w:hint="default"/>
        <w:lang w:val="en-GB" w:eastAsia="en-GB" w:bidi="en-GB"/>
      </w:rPr>
    </w:lvl>
    <w:lvl w:ilvl="4" w:tplc="0B1E02E6">
      <w:numFmt w:val="bullet"/>
      <w:lvlText w:val="•"/>
      <w:lvlJc w:val="left"/>
      <w:pPr>
        <w:ind w:left="2670" w:hanging="217"/>
      </w:pPr>
      <w:rPr>
        <w:rFonts w:hint="default"/>
        <w:lang w:val="en-GB" w:eastAsia="en-GB" w:bidi="en-GB"/>
      </w:rPr>
    </w:lvl>
    <w:lvl w:ilvl="5" w:tplc="7C02FE50">
      <w:numFmt w:val="bullet"/>
      <w:lvlText w:val="•"/>
      <w:lvlJc w:val="left"/>
      <w:pPr>
        <w:ind w:left="3263" w:hanging="217"/>
      </w:pPr>
      <w:rPr>
        <w:rFonts w:hint="default"/>
        <w:lang w:val="en-GB" w:eastAsia="en-GB" w:bidi="en-GB"/>
      </w:rPr>
    </w:lvl>
    <w:lvl w:ilvl="6" w:tplc="D0643E7E">
      <w:numFmt w:val="bullet"/>
      <w:lvlText w:val="•"/>
      <w:lvlJc w:val="left"/>
      <w:pPr>
        <w:ind w:left="3855" w:hanging="217"/>
      </w:pPr>
      <w:rPr>
        <w:rFonts w:hint="default"/>
        <w:lang w:val="en-GB" w:eastAsia="en-GB" w:bidi="en-GB"/>
      </w:rPr>
    </w:lvl>
    <w:lvl w:ilvl="7" w:tplc="E7762854">
      <w:numFmt w:val="bullet"/>
      <w:lvlText w:val="•"/>
      <w:lvlJc w:val="left"/>
      <w:pPr>
        <w:ind w:left="4448" w:hanging="217"/>
      </w:pPr>
      <w:rPr>
        <w:rFonts w:hint="default"/>
        <w:lang w:val="en-GB" w:eastAsia="en-GB" w:bidi="en-GB"/>
      </w:rPr>
    </w:lvl>
    <w:lvl w:ilvl="8" w:tplc="A904A45C">
      <w:numFmt w:val="bullet"/>
      <w:lvlText w:val="•"/>
      <w:lvlJc w:val="left"/>
      <w:pPr>
        <w:ind w:left="5040" w:hanging="217"/>
      </w:pPr>
      <w:rPr>
        <w:rFonts w:hint="default"/>
        <w:lang w:val="en-GB" w:eastAsia="en-GB" w:bidi="en-GB"/>
      </w:rPr>
    </w:lvl>
  </w:abstractNum>
  <w:abstractNum w:abstractNumId="1380" w15:restartNumberingAfterBreak="0">
    <w:nsid w:val="7BAC49A4"/>
    <w:multiLevelType w:val="hybridMultilevel"/>
    <w:tmpl w:val="C2E68F52"/>
    <w:lvl w:ilvl="0" w:tplc="DAE412C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6EE48F66">
      <w:numFmt w:val="bullet"/>
      <w:lvlText w:val="•"/>
      <w:lvlJc w:val="left"/>
      <w:pPr>
        <w:ind w:left="473" w:hanging="217"/>
      </w:pPr>
      <w:rPr>
        <w:rFonts w:hint="default"/>
        <w:lang w:val="en-GB" w:eastAsia="en-GB" w:bidi="en-GB"/>
      </w:rPr>
    </w:lvl>
    <w:lvl w:ilvl="2" w:tplc="C8B43AF8">
      <w:numFmt w:val="bullet"/>
      <w:lvlText w:val="•"/>
      <w:lvlJc w:val="left"/>
      <w:pPr>
        <w:ind w:left="646" w:hanging="217"/>
      </w:pPr>
      <w:rPr>
        <w:rFonts w:hint="default"/>
        <w:lang w:val="en-GB" w:eastAsia="en-GB" w:bidi="en-GB"/>
      </w:rPr>
    </w:lvl>
    <w:lvl w:ilvl="3" w:tplc="C2A8564C">
      <w:numFmt w:val="bullet"/>
      <w:lvlText w:val="•"/>
      <w:lvlJc w:val="left"/>
      <w:pPr>
        <w:ind w:left="819" w:hanging="217"/>
      </w:pPr>
      <w:rPr>
        <w:rFonts w:hint="default"/>
        <w:lang w:val="en-GB" w:eastAsia="en-GB" w:bidi="en-GB"/>
      </w:rPr>
    </w:lvl>
    <w:lvl w:ilvl="4" w:tplc="19CCF370">
      <w:numFmt w:val="bullet"/>
      <w:lvlText w:val="•"/>
      <w:lvlJc w:val="left"/>
      <w:pPr>
        <w:ind w:left="992" w:hanging="217"/>
      </w:pPr>
      <w:rPr>
        <w:rFonts w:hint="default"/>
        <w:lang w:val="en-GB" w:eastAsia="en-GB" w:bidi="en-GB"/>
      </w:rPr>
    </w:lvl>
    <w:lvl w:ilvl="5" w:tplc="C5C6F1C4">
      <w:numFmt w:val="bullet"/>
      <w:lvlText w:val="•"/>
      <w:lvlJc w:val="left"/>
      <w:pPr>
        <w:ind w:left="1165" w:hanging="217"/>
      </w:pPr>
      <w:rPr>
        <w:rFonts w:hint="default"/>
        <w:lang w:val="en-GB" w:eastAsia="en-GB" w:bidi="en-GB"/>
      </w:rPr>
    </w:lvl>
    <w:lvl w:ilvl="6" w:tplc="6F8CBFBC">
      <w:numFmt w:val="bullet"/>
      <w:lvlText w:val="•"/>
      <w:lvlJc w:val="left"/>
      <w:pPr>
        <w:ind w:left="1338" w:hanging="217"/>
      </w:pPr>
      <w:rPr>
        <w:rFonts w:hint="default"/>
        <w:lang w:val="en-GB" w:eastAsia="en-GB" w:bidi="en-GB"/>
      </w:rPr>
    </w:lvl>
    <w:lvl w:ilvl="7" w:tplc="106EC21A">
      <w:numFmt w:val="bullet"/>
      <w:lvlText w:val="•"/>
      <w:lvlJc w:val="left"/>
      <w:pPr>
        <w:ind w:left="1511" w:hanging="217"/>
      </w:pPr>
      <w:rPr>
        <w:rFonts w:hint="default"/>
        <w:lang w:val="en-GB" w:eastAsia="en-GB" w:bidi="en-GB"/>
      </w:rPr>
    </w:lvl>
    <w:lvl w:ilvl="8" w:tplc="D5D8637C">
      <w:numFmt w:val="bullet"/>
      <w:lvlText w:val="•"/>
      <w:lvlJc w:val="left"/>
      <w:pPr>
        <w:ind w:left="1684" w:hanging="217"/>
      </w:pPr>
      <w:rPr>
        <w:rFonts w:hint="default"/>
        <w:lang w:val="en-GB" w:eastAsia="en-GB" w:bidi="en-GB"/>
      </w:rPr>
    </w:lvl>
  </w:abstractNum>
  <w:abstractNum w:abstractNumId="1381" w15:restartNumberingAfterBreak="0">
    <w:nsid w:val="7C0F2AC0"/>
    <w:multiLevelType w:val="hybridMultilevel"/>
    <w:tmpl w:val="8D602146"/>
    <w:lvl w:ilvl="0" w:tplc="DF520F7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1A45B24">
      <w:numFmt w:val="bullet"/>
      <w:lvlText w:val="•"/>
      <w:lvlJc w:val="left"/>
      <w:pPr>
        <w:ind w:left="1061" w:hanging="217"/>
      </w:pPr>
      <w:rPr>
        <w:rFonts w:hint="default"/>
        <w:lang w:val="en-GB" w:eastAsia="en-GB" w:bidi="en-GB"/>
      </w:rPr>
    </w:lvl>
    <w:lvl w:ilvl="2" w:tplc="E4ECDB3A">
      <w:numFmt w:val="bullet"/>
      <w:lvlText w:val="•"/>
      <w:lvlJc w:val="left"/>
      <w:pPr>
        <w:ind w:left="1823" w:hanging="217"/>
      </w:pPr>
      <w:rPr>
        <w:rFonts w:hint="default"/>
        <w:lang w:val="en-GB" w:eastAsia="en-GB" w:bidi="en-GB"/>
      </w:rPr>
    </w:lvl>
    <w:lvl w:ilvl="3" w:tplc="C3843890">
      <w:numFmt w:val="bullet"/>
      <w:lvlText w:val="•"/>
      <w:lvlJc w:val="left"/>
      <w:pPr>
        <w:ind w:left="2585" w:hanging="217"/>
      </w:pPr>
      <w:rPr>
        <w:rFonts w:hint="default"/>
        <w:lang w:val="en-GB" w:eastAsia="en-GB" w:bidi="en-GB"/>
      </w:rPr>
    </w:lvl>
    <w:lvl w:ilvl="4" w:tplc="4A62FE44">
      <w:numFmt w:val="bullet"/>
      <w:lvlText w:val="•"/>
      <w:lvlJc w:val="left"/>
      <w:pPr>
        <w:ind w:left="3346" w:hanging="217"/>
      </w:pPr>
      <w:rPr>
        <w:rFonts w:hint="default"/>
        <w:lang w:val="en-GB" w:eastAsia="en-GB" w:bidi="en-GB"/>
      </w:rPr>
    </w:lvl>
    <w:lvl w:ilvl="5" w:tplc="384C34BA">
      <w:numFmt w:val="bullet"/>
      <w:lvlText w:val="•"/>
      <w:lvlJc w:val="left"/>
      <w:pPr>
        <w:ind w:left="4108" w:hanging="217"/>
      </w:pPr>
      <w:rPr>
        <w:rFonts w:hint="default"/>
        <w:lang w:val="en-GB" w:eastAsia="en-GB" w:bidi="en-GB"/>
      </w:rPr>
    </w:lvl>
    <w:lvl w:ilvl="6" w:tplc="39A4D1FC">
      <w:numFmt w:val="bullet"/>
      <w:lvlText w:val="•"/>
      <w:lvlJc w:val="left"/>
      <w:pPr>
        <w:ind w:left="4870" w:hanging="217"/>
      </w:pPr>
      <w:rPr>
        <w:rFonts w:hint="default"/>
        <w:lang w:val="en-GB" w:eastAsia="en-GB" w:bidi="en-GB"/>
      </w:rPr>
    </w:lvl>
    <w:lvl w:ilvl="7" w:tplc="5322CC78">
      <w:numFmt w:val="bullet"/>
      <w:lvlText w:val="•"/>
      <w:lvlJc w:val="left"/>
      <w:pPr>
        <w:ind w:left="5631" w:hanging="217"/>
      </w:pPr>
      <w:rPr>
        <w:rFonts w:hint="default"/>
        <w:lang w:val="en-GB" w:eastAsia="en-GB" w:bidi="en-GB"/>
      </w:rPr>
    </w:lvl>
    <w:lvl w:ilvl="8" w:tplc="B5FAC4B0">
      <w:numFmt w:val="bullet"/>
      <w:lvlText w:val="•"/>
      <w:lvlJc w:val="left"/>
      <w:pPr>
        <w:ind w:left="6393" w:hanging="217"/>
      </w:pPr>
      <w:rPr>
        <w:rFonts w:hint="default"/>
        <w:lang w:val="en-GB" w:eastAsia="en-GB" w:bidi="en-GB"/>
      </w:rPr>
    </w:lvl>
  </w:abstractNum>
  <w:abstractNum w:abstractNumId="1382" w15:restartNumberingAfterBreak="0">
    <w:nsid w:val="7C297C45"/>
    <w:multiLevelType w:val="hybridMultilevel"/>
    <w:tmpl w:val="7054A02C"/>
    <w:lvl w:ilvl="0" w:tplc="2960CC8E">
      <w:numFmt w:val="bullet"/>
      <w:lvlText w:val="•"/>
      <w:lvlJc w:val="left"/>
      <w:pPr>
        <w:ind w:left="304" w:hanging="217"/>
      </w:pPr>
      <w:rPr>
        <w:rFonts w:ascii="Arial" w:eastAsia="Arial" w:hAnsi="Arial" w:cs="Arial" w:hint="default"/>
        <w:color w:val="231F20"/>
        <w:spacing w:val="-6"/>
        <w:w w:val="100"/>
        <w:sz w:val="18"/>
        <w:szCs w:val="18"/>
        <w:lang w:val="en-GB" w:eastAsia="en-GB" w:bidi="en-GB"/>
      </w:rPr>
    </w:lvl>
    <w:lvl w:ilvl="1" w:tplc="17A2E8BA">
      <w:numFmt w:val="bullet"/>
      <w:lvlText w:val="•"/>
      <w:lvlJc w:val="left"/>
      <w:pPr>
        <w:ind w:left="473" w:hanging="217"/>
      </w:pPr>
      <w:rPr>
        <w:rFonts w:hint="default"/>
        <w:lang w:val="en-GB" w:eastAsia="en-GB" w:bidi="en-GB"/>
      </w:rPr>
    </w:lvl>
    <w:lvl w:ilvl="2" w:tplc="D7A450A0">
      <w:numFmt w:val="bullet"/>
      <w:lvlText w:val="•"/>
      <w:lvlJc w:val="left"/>
      <w:pPr>
        <w:ind w:left="646" w:hanging="217"/>
      </w:pPr>
      <w:rPr>
        <w:rFonts w:hint="default"/>
        <w:lang w:val="en-GB" w:eastAsia="en-GB" w:bidi="en-GB"/>
      </w:rPr>
    </w:lvl>
    <w:lvl w:ilvl="3" w:tplc="7F2E93B4">
      <w:numFmt w:val="bullet"/>
      <w:lvlText w:val="•"/>
      <w:lvlJc w:val="left"/>
      <w:pPr>
        <w:ind w:left="819" w:hanging="217"/>
      </w:pPr>
      <w:rPr>
        <w:rFonts w:hint="default"/>
        <w:lang w:val="en-GB" w:eastAsia="en-GB" w:bidi="en-GB"/>
      </w:rPr>
    </w:lvl>
    <w:lvl w:ilvl="4" w:tplc="EBACB9E0">
      <w:numFmt w:val="bullet"/>
      <w:lvlText w:val="•"/>
      <w:lvlJc w:val="left"/>
      <w:pPr>
        <w:ind w:left="992" w:hanging="217"/>
      </w:pPr>
      <w:rPr>
        <w:rFonts w:hint="default"/>
        <w:lang w:val="en-GB" w:eastAsia="en-GB" w:bidi="en-GB"/>
      </w:rPr>
    </w:lvl>
    <w:lvl w:ilvl="5" w:tplc="59AC6CBC">
      <w:numFmt w:val="bullet"/>
      <w:lvlText w:val="•"/>
      <w:lvlJc w:val="left"/>
      <w:pPr>
        <w:ind w:left="1165" w:hanging="217"/>
      </w:pPr>
      <w:rPr>
        <w:rFonts w:hint="default"/>
        <w:lang w:val="en-GB" w:eastAsia="en-GB" w:bidi="en-GB"/>
      </w:rPr>
    </w:lvl>
    <w:lvl w:ilvl="6" w:tplc="CCBA9A26">
      <w:numFmt w:val="bullet"/>
      <w:lvlText w:val="•"/>
      <w:lvlJc w:val="left"/>
      <w:pPr>
        <w:ind w:left="1338" w:hanging="217"/>
      </w:pPr>
      <w:rPr>
        <w:rFonts w:hint="default"/>
        <w:lang w:val="en-GB" w:eastAsia="en-GB" w:bidi="en-GB"/>
      </w:rPr>
    </w:lvl>
    <w:lvl w:ilvl="7" w:tplc="1BE80448">
      <w:numFmt w:val="bullet"/>
      <w:lvlText w:val="•"/>
      <w:lvlJc w:val="left"/>
      <w:pPr>
        <w:ind w:left="1511" w:hanging="217"/>
      </w:pPr>
      <w:rPr>
        <w:rFonts w:hint="default"/>
        <w:lang w:val="en-GB" w:eastAsia="en-GB" w:bidi="en-GB"/>
      </w:rPr>
    </w:lvl>
    <w:lvl w:ilvl="8" w:tplc="A0B4BF70">
      <w:numFmt w:val="bullet"/>
      <w:lvlText w:val="•"/>
      <w:lvlJc w:val="left"/>
      <w:pPr>
        <w:ind w:left="1684" w:hanging="217"/>
      </w:pPr>
      <w:rPr>
        <w:rFonts w:hint="default"/>
        <w:lang w:val="en-GB" w:eastAsia="en-GB" w:bidi="en-GB"/>
      </w:rPr>
    </w:lvl>
  </w:abstractNum>
  <w:abstractNum w:abstractNumId="1383" w15:restartNumberingAfterBreak="0">
    <w:nsid w:val="7C2F78F3"/>
    <w:multiLevelType w:val="hybridMultilevel"/>
    <w:tmpl w:val="CD5A9886"/>
    <w:lvl w:ilvl="0" w:tplc="DB3E7E8E">
      <w:numFmt w:val="bullet"/>
      <w:lvlText w:val="•"/>
      <w:lvlJc w:val="left"/>
      <w:pPr>
        <w:ind w:left="304" w:hanging="217"/>
      </w:pPr>
      <w:rPr>
        <w:rFonts w:ascii="Arial" w:eastAsia="Arial" w:hAnsi="Arial" w:cs="Arial" w:hint="default"/>
        <w:color w:val="231F20"/>
        <w:w w:val="102"/>
        <w:sz w:val="17"/>
        <w:szCs w:val="17"/>
        <w:lang w:val="en-GB" w:eastAsia="en-GB" w:bidi="en-GB"/>
      </w:rPr>
    </w:lvl>
    <w:lvl w:ilvl="1" w:tplc="80DC00D6">
      <w:numFmt w:val="bullet"/>
      <w:lvlText w:val="•"/>
      <w:lvlJc w:val="left"/>
      <w:pPr>
        <w:ind w:left="439" w:hanging="217"/>
      </w:pPr>
      <w:rPr>
        <w:rFonts w:hint="default"/>
        <w:lang w:val="en-GB" w:eastAsia="en-GB" w:bidi="en-GB"/>
      </w:rPr>
    </w:lvl>
    <w:lvl w:ilvl="2" w:tplc="913AD084">
      <w:numFmt w:val="bullet"/>
      <w:lvlText w:val="•"/>
      <w:lvlJc w:val="left"/>
      <w:pPr>
        <w:ind w:left="578" w:hanging="217"/>
      </w:pPr>
      <w:rPr>
        <w:rFonts w:hint="default"/>
        <w:lang w:val="en-GB" w:eastAsia="en-GB" w:bidi="en-GB"/>
      </w:rPr>
    </w:lvl>
    <w:lvl w:ilvl="3" w:tplc="FFB0B6BC">
      <w:numFmt w:val="bullet"/>
      <w:lvlText w:val="•"/>
      <w:lvlJc w:val="left"/>
      <w:pPr>
        <w:ind w:left="717" w:hanging="217"/>
      </w:pPr>
      <w:rPr>
        <w:rFonts w:hint="default"/>
        <w:lang w:val="en-GB" w:eastAsia="en-GB" w:bidi="en-GB"/>
      </w:rPr>
    </w:lvl>
    <w:lvl w:ilvl="4" w:tplc="E4C4BB20">
      <w:numFmt w:val="bullet"/>
      <w:lvlText w:val="•"/>
      <w:lvlJc w:val="left"/>
      <w:pPr>
        <w:ind w:left="856" w:hanging="217"/>
      </w:pPr>
      <w:rPr>
        <w:rFonts w:hint="default"/>
        <w:lang w:val="en-GB" w:eastAsia="en-GB" w:bidi="en-GB"/>
      </w:rPr>
    </w:lvl>
    <w:lvl w:ilvl="5" w:tplc="701A06E4">
      <w:numFmt w:val="bullet"/>
      <w:lvlText w:val="•"/>
      <w:lvlJc w:val="left"/>
      <w:pPr>
        <w:ind w:left="995" w:hanging="217"/>
      </w:pPr>
      <w:rPr>
        <w:rFonts w:hint="default"/>
        <w:lang w:val="en-GB" w:eastAsia="en-GB" w:bidi="en-GB"/>
      </w:rPr>
    </w:lvl>
    <w:lvl w:ilvl="6" w:tplc="9A74C900">
      <w:numFmt w:val="bullet"/>
      <w:lvlText w:val="•"/>
      <w:lvlJc w:val="left"/>
      <w:pPr>
        <w:ind w:left="1134" w:hanging="217"/>
      </w:pPr>
      <w:rPr>
        <w:rFonts w:hint="default"/>
        <w:lang w:val="en-GB" w:eastAsia="en-GB" w:bidi="en-GB"/>
      </w:rPr>
    </w:lvl>
    <w:lvl w:ilvl="7" w:tplc="B674F30A">
      <w:numFmt w:val="bullet"/>
      <w:lvlText w:val="•"/>
      <w:lvlJc w:val="left"/>
      <w:pPr>
        <w:ind w:left="1273" w:hanging="217"/>
      </w:pPr>
      <w:rPr>
        <w:rFonts w:hint="default"/>
        <w:lang w:val="en-GB" w:eastAsia="en-GB" w:bidi="en-GB"/>
      </w:rPr>
    </w:lvl>
    <w:lvl w:ilvl="8" w:tplc="7032ACC0">
      <w:numFmt w:val="bullet"/>
      <w:lvlText w:val="•"/>
      <w:lvlJc w:val="left"/>
      <w:pPr>
        <w:ind w:left="1412" w:hanging="217"/>
      </w:pPr>
      <w:rPr>
        <w:rFonts w:hint="default"/>
        <w:lang w:val="en-GB" w:eastAsia="en-GB" w:bidi="en-GB"/>
      </w:rPr>
    </w:lvl>
  </w:abstractNum>
  <w:abstractNum w:abstractNumId="1384" w15:restartNumberingAfterBreak="0">
    <w:nsid w:val="7C4C47CC"/>
    <w:multiLevelType w:val="hybridMultilevel"/>
    <w:tmpl w:val="41D88FA8"/>
    <w:lvl w:ilvl="0" w:tplc="B4E2E70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6F648FE">
      <w:numFmt w:val="bullet"/>
      <w:lvlText w:val="•"/>
      <w:lvlJc w:val="left"/>
      <w:pPr>
        <w:ind w:left="473" w:hanging="217"/>
      </w:pPr>
      <w:rPr>
        <w:rFonts w:hint="default"/>
        <w:lang w:val="en-GB" w:eastAsia="en-GB" w:bidi="en-GB"/>
      </w:rPr>
    </w:lvl>
    <w:lvl w:ilvl="2" w:tplc="A4C494DE">
      <w:numFmt w:val="bullet"/>
      <w:lvlText w:val="•"/>
      <w:lvlJc w:val="left"/>
      <w:pPr>
        <w:ind w:left="646" w:hanging="217"/>
      </w:pPr>
      <w:rPr>
        <w:rFonts w:hint="default"/>
        <w:lang w:val="en-GB" w:eastAsia="en-GB" w:bidi="en-GB"/>
      </w:rPr>
    </w:lvl>
    <w:lvl w:ilvl="3" w:tplc="86C47C04">
      <w:numFmt w:val="bullet"/>
      <w:lvlText w:val="•"/>
      <w:lvlJc w:val="left"/>
      <w:pPr>
        <w:ind w:left="819" w:hanging="217"/>
      </w:pPr>
      <w:rPr>
        <w:rFonts w:hint="default"/>
        <w:lang w:val="en-GB" w:eastAsia="en-GB" w:bidi="en-GB"/>
      </w:rPr>
    </w:lvl>
    <w:lvl w:ilvl="4" w:tplc="274ABDBA">
      <w:numFmt w:val="bullet"/>
      <w:lvlText w:val="•"/>
      <w:lvlJc w:val="left"/>
      <w:pPr>
        <w:ind w:left="992" w:hanging="217"/>
      </w:pPr>
      <w:rPr>
        <w:rFonts w:hint="default"/>
        <w:lang w:val="en-GB" w:eastAsia="en-GB" w:bidi="en-GB"/>
      </w:rPr>
    </w:lvl>
    <w:lvl w:ilvl="5" w:tplc="0170A0E2">
      <w:numFmt w:val="bullet"/>
      <w:lvlText w:val="•"/>
      <w:lvlJc w:val="left"/>
      <w:pPr>
        <w:ind w:left="1165" w:hanging="217"/>
      </w:pPr>
      <w:rPr>
        <w:rFonts w:hint="default"/>
        <w:lang w:val="en-GB" w:eastAsia="en-GB" w:bidi="en-GB"/>
      </w:rPr>
    </w:lvl>
    <w:lvl w:ilvl="6" w:tplc="86DE52FE">
      <w:numFmt w:val="bullet"/>
      <w:lvlText w:val="•"/>
      <w:lvlJc w:val="left"/>
      <w:pPr>
        <w:ind w:left="1338" w:hanging="217"/>
      </w:pPr>
      <w:rPr>
        <w:rFonts w:hint="default"/>
        <w:lang w:val="en-GB" w:eastAsia="en-GB" w:bidi="en-GB"/>
      </w:rPr>
    </w:lvl>
    <w:lvl w:ilvl="7" w:tplc="62EA01AA">
      <w:numFmt w:val="bullet"/>
      <w:lvlText w:val="•"/>
      <w:lvlJc w:val="left"/>
      <w:pPr>
        <w:ind w:left="1511" w:hanging="217"/>
      </w:pPr>
      <w:rPr>
        <w:rFonts w:hint="default"/>
        <w:lang w:val="en-GB" w:eastAsia="en-GB" w:bidi="en-GB"/>
      </w:rPr>
    </w:lvl>
    <w:lvl w:ilvl="8" w:tplc="58CE37AA">
      <w:numFmt w:val="bullet"/>
      <w:lvlText w:val="•"/>
      <w:lvlJc w:val="left"/>
      <w:pPr>
        <w:ind w:left="1684" w:hanging="217"/>
      </w:pPr>
      <w:rPr>
        <w:rFonts w:hint="default"/>
        <w:lang w:val="en-GB" w:eastAsia="en-GB" w:bidi="en-GB"/>
      </w:rPr>
    </w:lvl>
  </w:abstractNum>
  <w:abstractNum w:abstractNumId="1385" w15:restartNumberingAfterBreak="0">
    <w:nsid w:val="7C8C6AEE"/>
    <w:multiLevelType w:val="hybridMultilevel"/>
    <w:tmpl w:val="FAE24886"/>
    <w:lvl w:ilvl="0" w:tplc="8A903388">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719CD456">
      <w:numFmt w:val="bullet"/>
      <w:lvlText w:val="•"/>
      <w:lvlJc w:val="left"/>
      <w:pPr>
        <w:ind w:left="892" w:hanging="217"/>
      </w:pPr>
      <w:rPr>
        <w:rFonts w:hint="default"/>
        <w:lang w:val="en-GB" w:eastAsia="en-GB" w:bidi="en-GB"/>
      </w:rPr>
    </w:lvl>
    <w:lvl w:ilvl="2" w:tplc="5F2ED50A">
      <w:numFmt w:val="bullet"/>
      <w:lvlText w:val="•"/>
      <w:lvlJc w:val="left"/>
      <w:pPr>
        <w:ind w:left="1485" w:hanging="217"/>
      </w:pPr>
      <w:rPr>
        <w:rFonts w:hint="default"/>
        <w:lang w:val="en-GB" w:eastAsia="en-GB" w:bidi="en-GB"/>
      </w:rPr>
    </w:lvl>
    <w:lvl w:ilvl="3" w:tplc="5C62A6DE">
      <w:numFmt w:val="bullet"/>
      <w:lvlText w:val="•"/>
      <w:lvlJc w:val="left"/>
      <w:pPr>
        <w:ind w:left="2077" w:hanging="217"/>
      </w:pPr>
      <w:rPr>
        <w:rFonts w:hint="default"/>
        <w:lang w:val="en-GB" w:eastAsia="en-GB" w:bidi="en-GB"/>
      </w:rPr>
    </w:lvl>
    <w:lvl w:ilvl="4" w:tplc="FE5A5566">
      <w:numFmt w:val="bullet"/>
      <w:lvlText w:val="•"/>
      <w:lvlJc w:val="left"/>
      <w:pPr>
        <w:ind w:left="2670" w:hanging="217"/>
      </w:pPr>
      <w:rPr>
        <w:rFonts w:hint="default"/>
        <w:lang w:val="en-GB" w:eastAsia="en-GB" w:bidi="en-GB"/>
      </w:rPr>
    </w:lvl>
    <w:lvl w:ilvl="5" w:tplc="84A8B2CA">
      <w:numFmt w:val="bullet"/>
      <w:lvlText w:val="•"/>
      <w:lvlJc w:val="left"/>
      <w:pPr>
        <w:ind w:left="3263" w:hanging="217"/>
      </w:pPr>
      <w:rPr>
        <w:rFonts w:hint="default"/>
        <w:lang w:val="en-GB" w:eastAsia="en-GB" w:bidi="en-GB"/>
      </w:rPr>
    </w:lvl>
    <w:lvl w:ilvl="6" w:tplc="819A89E4">
      <w:numFmt w:val="bullet"/>
      <w:lvlText w:val="•"/>
      <w:lvlJc w:val="left"/>
      <w:pPr>
        <w:ind w:left="3855" w:hanging="217"/>
      </w:pPr>
      <w:rPr>
        <w:rFonts w:hint="default"/>
        <w:lang w:val="en-GB" w:eastAsia="en-GB" w:bidi="en-GB"/>
      </w:rPr>
    </w:lvl>
    <w:lvl w:ilvl="7" w:tplc="93849D0C">
      <w:numFmt w:val="bullet"/>
      <w:lvlText w:val="•"/>
      <w:lvlJc w:val="left"/>
      <w:pPr>
        <w:ind w:left="4448" w:hanging="217"/>
      </w:pPr>
      <w:rPr>
        <w:rFonts w:hint="default"/>
        <w:lang w:val="en-GB" w:eastAsia="en-GB" w:bidi="en-GB"/>
      </w:rPr>
    </w:lvl>
    <w:lvl w:ilvl="8" w:tplc="4A225FFA">
      <w:numFmt w:val="bullet"/>
      <w:lvlText w:val="•"/>
      <w:lvlJc w:val="left"/>
      <w:pPr>
        <w:ind w:left="5040" w:hanging="217"/>
      </w:pPr>
      <w:rPr>
        <w:rFonts w:hint="default"/>
        <w:lang w:val="en-GB" w:eastAsia="en-GB" w:bidi="en-GB"/>
      </w:rPr>
    </w:lvl>
  </w:abstractNum>
  <w:abstractNum w:abstractNumId="1386" w15:restartNumberingAfterBreak="0">
    <w:nsid w:val="7CA4021A"/>
    <w:multiLevelType w:val="hybridMultilevel"/>
    <w:tmpl w:val="88BACAF6"/>
    <w:lvl w:ilvl="0" w:tplc="E94ED454">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44E2EB98">
      <w:numFmt w:val="bullet"/>
      <w:lvlText w:val="•"/>
      <w:lvlJc w:val="left"/>
      <w:pPr>
        <w:ind w:left="473" w:hanging="217"/>
      </w:pPr>
      <w:rPr>
        <w:rFonts w:hint="default"/>
        <w:lang w:val="en-GB" w:eastAsia="en-GB" w:bidi="en-GB"/>
      </w:rPr>
    </w:lvl>
    <w:lvl w:ilvl="2" w:tplc="AD3432F2">
      <w:numFmt w:val="bullet"/>
      <w:lvlText w:val="•"/>
      <w:lvlJc w:val="left"/>
      <w:pPr>
        <w:ind w:left="646" w:hanging="217"/>
      </w:pPr>
      <w:rPr>
        <w:rFonts w:hint="default"/>
        <w:lang w:val="en-GB" w:eastAsia="en-GB" w:bidi="en-GB"/>
      </w:rPr>
    </w:lvl>
    <w:lvl w:ilvl="3" w:tplc="D48A3BBE">
      <w:numFmt w:val="bullet"/>
      <w:lvlText w:val="•"/>
      <w:lvlJc w:val="left"/>
      <w:pPr>
        <w:ind w:left="819" w:hanging="217"/>
      </w:pPr>
      <w:rPr>
        <w:rFonts w:hint="default"/>
        <w:lang w:val="en-GB" w:eastAsia="en-GB" w:bidi="en-GB"/>
      </w:rPr>
    </w:lvl>
    <w:lvl w:ilvl="4" w:tplc="672EE9F4">
      <w:numFmt w:val="bullet"/>
      <w:lvlText w:val="•"/>
      <w:lvlJc w:val="left"/>
      <w:pPr>
        <w:ind w:left="992" w:hanging="217"/>
      </w:pPr>
      <w:rPr>
        <w:rFonts w:hint="default"/>
        <w:lang w:val="en-GB" w:eastAsia="en-GB" w:bidi="en-GB"/>
      </w:rPr>
    </w:lvl>
    <w:lvl w:ilvl="5" w:tplc="EE60649A">
      <w:numFmt w:val="bullet"/>
      <w:lvlText w:val="•"/>
      <w:lvlJc w:val="left"/>
      <w:pPr>
        <w:ind w:left="1165" w:hanging="217"/>
      </w:pPr>
      <w:rPr>
        <w:rFonts w:hint="default"/>
        <w:lang w:val="en-GB" w:eastAsia="en-GB" w:bidi="en-GB"/>
      </w:rPr>
    </w:lvl>
    <w:lvl w:ilvl="6" w:tplc="F9A27014">
      <w:numFmt w:val="bullet"/>
      <w:lvlText w:val="•"/>
      <w:lvlJc w:val="left"/>
      <w:pPr>
        <w:ind w:left="1338" w:hanging="217"/>
      </w:pPr>
      <w:rPr>
        <w:rFonts w:hint="default"/>
        <w:lang w:val="en-GB" w:eastAsia="en-GB" w:bidi="en-GB"/>
      </w:rPr>
    </w:lvl>
    <w:lvl w:ilvl="7" w:tplc="53427E4A">
      <w:numFmt w:val="bullet"/>
      <w:lvlText w:val="•"/>
      <w:lvlJc w:val="left"/>
      <w:pPr>
        <w:ind w:left="1511" w:hanging="217"/>
      </w:pPr>
      <w:rPr>
        <w:rFonts w:hint="default"/>
        <w:lang w:val="en-GB" w:eastAsia="en-GB" w:bidi="en-GB"/>
      </w:rPr>
    </w:lvl>
    <w:lvl w:ilvl="8" w:tplc="7D4AE99E">
      <w:numFmt w:val="bullet"/>
      <w:lvlText w:val="•"/>
      <w:lvlJc w:val="left"/>
      <w:pPr>
        <w:ind w:left="1684" w:hanging="217"/>
      </w:pPr>
      <w:rPr>
        <w:rFonts w:hint="default"/>
        <w:lang w:val="en-GB" w:eastAsia="en-GB" w:bidi="en-GB"/>
      </w:rPr>
    </w:lvl>
  </w:abstractNum>
  <w:abstractNum w:abstractNumId="1387" w15:restartNumberingAfterBreak="0">
    <w:nsid w:val="7CBC07C5"/>
    <w:multiLevelType w:val="hybridMultilevel"/>
    <w:tmpl w:val="6CAC90AE"/>
    <w:lvl w:ilvl="0" w:tplc="0C625AB8">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AA2026A6">
      <w:numFmt w:val="bullet"/>
      <w:lvlText w:val="•"/>
      <w:lvlJc w:val="left"/>
      <w:pPr>
        <w:ind w:left="541" w:hanging="217"/>
      </w:pPr>
      <w:rPr>
        <w:rFonts w:hint="default"/>
        <w:lang w:val="en-GB" w:eastAsia="en-GB" w:bidi="en-GB"/>
      </w:rPr>
    </w:lvl>
    <w:lvl w:ilvl="2" w:tplc="1294F91A">
      <w:numFmt w:val="bullet"/>
      <w:lvlText w:val="•"/>
      <w:lvlJc w:val="left"/>
      <w:pPr>
        <w:ind w:left="782" w:hanging="217"/>
      </w:pPr>
      <w:rPr>
        <w:rFonts w:hint="default"/>
        <w:lang w:val="en-GB" w:eastAsia="en-GB" w:bidi="en-GB"/>
      </w:rPr>
    </w:lvl>
    <w:lvl w:ilvl="3" w:tplc="DB8C4B88">
      <w:numFmt w:val="bullet"/>
      <w:lvlText w:val="•"/>
      <w:lvlJc w:val="left"/>
      <w:pPr>
        <w:ind w:left="1023" w:hanging="217"/>
      </w:pPr>
      <w:rPr>
        <w:rFonts w:hint="default"/>
        <w:lang w:val="en-GB" w:eastAsia="en-GB" w:bidi="en-GB"/>
      </w:rPr>
    </w:lvl>
    <w:lvl w:ilvl="4" w:tplc="1CF66F2E">
      <w:numFmt w:val="bullet"/>
      <w:lvlText w:val="•"/>
      <w:lvlJc w:val="left"/>
      <w:pPr>
        <w:ind w:left="1264" w:hanging="217"/>
      </w:pPr>
      <w:rPr>
        <w:rFonts w:hint="default"/>
        <w:lang w:val="en-GB" w:eastAsia="en-GB" w:bidi="en-GB"/>
      </w:rPr>
    </w:lvl>
    <w:lvl w:ilvl="5" w:tplc="953A3DB4">
      <w:numFmt w:val="bullet"/>
      <w:lvlText w:val="•"/>
      <w:lvlJc w:val="left"/>
      <w:pPr>
        <w:ind w:left="1505" w:hanging="217"/>
      </w:pPr>
      <w:rPr>
        <w:rFonts w:hint="default"/>
        <w:lang w:val="en-GB" w:eastAsia="en-GB" w:bidi="en-GB"/>
      </w:rPr>
    </w:lvl>
    <w:lvl w:ilvl="6" w:tplc="7FCACB46">
      <w:numFmt w:val="bullet"/>
      <w:lvlText w:val="•"/>
      <w:lvlJc w:val="left"/>
      <w:pPr>
        <w:ind w:left="1746" w:hanging="217"/>
      </w:pPr>
      <w:rPr>
        <w:rFonts w:hint="default"/>
        <w:lang w:val="en-GB" w:eastAsia="en-GB" w:bidi="en-GB"/>
      </w:rPr>
    </w:lvl>
    <w:lvl w:ilvl="7" w:tplc="DA00CA38">
      <w:numFmt w:val="bullet"/>
      <w:lvlText w:val="•"/>
      <w:lvlJc w:val="left"/>
      <w:pPr>
        <w:ind w:left="1987" w:hanging="217"/>
      </w:pPr>
      <w:rPr>
        <w:rFonts w:hint="default"/>
        <w:lang w:val="en-GB" w:eastAsia="en-GB" w:bidi="en-GB"/>
      </w:rPr>
    </w:lvl>
    <w:lvl w:ilvl="8" w:tplc="752A4ED8">
      <w:numFmt w:val="bullet"/>
      <w:lvlText w:val="•"/>
      <w:lvlJc w:val="left"/>
      <w:pPr>
        <w:ind w:left="2228" w:hanging="217"/>
      </w:pPr>
      <w:rPr>
        <w:rFonts w:hint="default"/>
        <w:lang w:val="en-GB" w:eastAsia="en-GB" w:bidi="en-GB"/>
      </w:rPr>
    </w:lvl>
  </w:abstractNum>
  <w:abstractNum w:abstractNumId="1388" w15:restartNumberingAfterBreak="0">
    <w:nsid w:val="7CD2622C"/>
    <w:multiLevelType w:val="hybridMultilevel"/>
    <w:tmpl w:val="DACA0BBE"/>
    <w:lvl w:ilvl="0" w:tplc="C8C26418">
      <w:numFmt w:val="bullet"/>
      <w:lvlText w:val="•"/>
      <w:lvlJc w:val="left"/>
      <w:pPr>
        <w:ind w:left="304" w:hanging="217"/>
      </w:pPr>
      <w:rPr>
        <w:rFonts w:ascii="Arial" w:eastAsia="Arial" w:hAnsi="Arial" w:cs="Arial" w:hint="default"/>
        <w:color w:val="231F20"/>
        <w:spacing w:val="-10"/>
        <w:w w:val="100"/>
        <w:sz w:val="18"/>
        <w:szCs w:val="18"/>
        <w:lang w:val="en-GB" w:eastAsia="en-GB" w:bidi="en-GB"/>
      </w:rPr>
    </w:lvl>
    <w:lvl w:ilvl="1" w:tplc="508EE550">
      <w:numFmt w:val="bullet"/>
      <w:lvlText w:val="•"/>
      <w:lvlJc w:val="left"/>
      <w:pPr>
        <w:ind w:left="473" w:hanging="217"/>
      </w:pPr>
      <w:rPr>
        <w:rFonts w:hint="default"/>
        <w:lang w:val="en-GB" w:eastAsia="en-GB" w:bidi="en-GB"/>
      </w:rPr>
    </w:lvl>
    <w:lvl w:ilvl="2" w:tplc="AA5C1962">
      <w:numFmt w:val="bullet"/>
      <w:lvlText w:val="•"/>
      <w:lvlJc w:val="left"/>
      <w:pPr>
        <w:ind w:left="646" w:hanging="217"/>
      </w:pPr>
      <w:rPr>
        <w:rFonts w:hint="default"/>
        <w:lang w:val="en-GB" w:eastAsia="en-GB" w:bidi="en-GB"/>
      </w:rPr>
    </w:lvl>
    <w:lvl w:ilvl="3" w:tplc="26561472">
      <w:numFmt w:val="bullet"/>
      <w:lvlText w:val="•"/>
      <w:lvlJc w:val="left"/>
      <w:pPr>
        <w:ind w:left="819" w:hanging="217"/>
      </w:pPr>
      <w:rPr>
        <w:rFonts w:hint="default"/>
        <w:lang w:val="en-GB" w:eastAsia="en-GB" w:bidi="en-GB"/>
      </w:rPr>
    </w:lvl>
    <w:lvl w:ilvl="4" w:tplc="DF401542">
      <w:numFmt w:val="bullet"/>
      <w:lvlText w:val="•"/>
      <w:lvlJc w:val="left"/>
      <w:pPr>
        <w:ind w:left="992" w:hanging="217"/>
      </w:pPr>
      <w:rPr>
        <w:rFonts w:hint="default"/>
        <w:lang w:val="en-GB" w:eastAsia="en-GB" w:bidi="en-GB"/>
      </w:rPr>
    </w:lvl>
    <w:lvl w:ilvl="5" w:tplc="DC068282">
      <w:numFmt w:val="bullet"/>
      <w:lvlText w:val="•"/>
      <w:lvlJc w:val="left"/>
      <w:pPr>
        <w:ind w:left="1165" w:hanging="217"/>
      </w:pPr>
      <w:rPr>
        <w:rFonts w:hint="default"/>
        <w:lang w:val="en-GB" w:eastAsia="en-GB" w:bidi="en-GB"/>
      </w:rPr>
    </w:lvl>
    <w:lvl w:ilvl="6" w:tplc="2BD88736">
      <w:numFmt w:val="bullet"/>
      <w:lvlText w:val="•"/>
      <w:lvlJc w:val="left"/>
      <w:pPr>
        <w:ind w:left="1338" w:hanging="217"/>
      </w:pPr>
      <w:rPr>
        <w:rFonts w:hint="default"/>
        <w:lang w:val="en-GB" w:eastAsia="en-GB" w:bidi="en-GB"/>
      </w:rPr>
    </w:lvl>
    <w:lvl w:ilvl="7" w:tplc="C8DE7F82">
      <w:numFmt w:val="bullet"/>
      <w:lvlText w:val="•"/>
      <w:lvlJc w:val="left"/>
      <w:pPr>
        <w:ind w:left="1511" w:hanging="217"/>
      </w:pPr>
      <w:rPr>
        <w:rFonts w:hint="default"/>
        <w:lang w:val="en-GB" w:eastAsia="en-GB" w:bidi="en-GB"/>
      </w:rPr>
    </w:lvl>
    <w:lvl w:ilvl="8" w:tplc="036457C2">
      <w:numFmt w:val="bullet"/>
      <w:lvlText w:val="•"/>
      <w:lvlJc w:val="left"/>
      <w:pPr>
        <w:ind w:left="1684" w:hanging="217"/>
      </w:pPr>
      <w:rPr>
        <w:rFonts w:hint="default"/>
        <w:lang w:val="en-GB" w:eastAsia="en-GB" w:bidi="en-GB"/>
      </w:rPr>
    </w:lvl>
  </w:abstractNum>
  <w:abstractNum w:abstractNumId="1389" w15:restartNumberingAfterBreak="0">
    <w:nsid w:val="7D0916E7"/>
    <w:multiLevelType w:val="hybridMultilevel"/>
    <w:tmpl w:val="913A0AE6"/>
    <w:lvl w:ilvl="0" w:tplc="58F4EB12">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8F14551E">
      <w:numFmt w:val="bullet"/>
      <w:lvlText w:val="•"/>
      <w:lvlJc w:val="left"/>
      <w:pPr>
        <w:ind w:left="892" w:hanging="217"/>
      </w:pPr>
      <w:rPr>
        <w:rFonts w:hint="default"/>
        <w:lang w:val="en-GB" w:eastAsia="en-GB" w:bidi="en-GB"/>
      </w:rPr>
    </w:lvl>
    <w:lvl w:ilvl="2" w:tplc="EAC8B382">
      <w:numFmt w:val="bullet"/>
      <w:lvlText w:val="•"/>
      <w:lvlJc w:val="left"/>
      <w:pPr>
        <w:ind w:left="1485" w:hanging="217"/>
      </w:pPr>
      <w:rPr>
        <w:rFonts w:hint="default"/>
        <w:lang w:val="en-GB" w:eastAsia="en-GB" w:bidi="en-GB"/>
      </w:rPr>
    </w:lvl>
    <w:lvl w:ilvl="3" w:tplc="1BB41AE0">
      <w:numFmt w:val="bullet"/>
      <w:lvlText w:val="•"/>
      <w:lvlJc w:val="left"/>
      <w:pPr>
        <w:ind w:left="2077" w:hanging="217"/>
      </w:pPr>
      <w:rPr>
        <w:rFonts w:hint="default"/>
        <w:lang w:val="en-GB" w:eastAsia="en-GB" w:bidi="en-GB"/>
      </w:rPr>
    </w:lvl>
    <w:lvl w:ilvl="4" w:tplc="8B187CAE">
      <w:numFmt w:val="bullet"/>
      <w:lvlText w:val="•"/>
      <w:lvlJc w:val="left"/>
      <w:pPr>
        <w:ind w:left="2670" w:hanging="217"/>
      </w:pPr>
      <w:rPr>
        <w:rFonts w:hint="default"/>
        <w:lang w:val="en-GB" w:eastAsia="en-GB" w:bidi="en-GB"/>
      </w:rPr>
    </w:lvl>
    <w:lvl w:ilvl="5" w:tplc="823CCA84">
      <w:numFmt w:val="bullet"/>
      <w:lvlText w:val="•"/>
      <w:lvlJc w:val="left"/>
      <w:pPr>
        <w:ind w:left="3263" w:hanging="217"/>
      </w:pPr>
      <w:rPr>
        <w:rFonts w:hint="default"/>
        <w:lang w:val="en-GB" w:eastAsia="en-GB" w:bidi="en-GB"/>
      </w:rPr>
    </w:lvl>
    <w:lvl w:ilvl="6" w:tplc="C442C5B0">
      <w:numFmt w:val="bullet"/>
      <w:lvlText w:val="•"/>
      <w:lvlJc w:val="left"/>
      <w:pPr>
        <w:ind w:left="3855" w:hanging="217"/>
      </w:pPr>
      <w:rPr>
        <w:rFonts w:hint="default"/>
        <w:lang w:val="en-GB" w:eastAsia="en-GB" w:bidi="en-GB"/>
      </w:rPr>
    </w:lvl>
    <w:lvl w:ilvl="7" w:tplc="8B3E4BFC">
      <w:numFmt w:val="bullet"/>
      <w:lvlText w:val="•"/>
      <w:lvlJc w:val="left"/>
      <w:pPr>
        <w:ind w:left="4448" w:hanging="217"/>
      </w:pPr>
      <w:rPr>
        <w:rFonts w:hint="default"/>
        <w:lang w:val="en-GB" w:eastAsia="en-GB" w:bidi="en-GB"/>
      </w:rPr>
    </w:lvl>
    <w:lvl w:ilvl="8" w:tplc="87986EA2">
      <w:numFmt w:val="bullet"/>
      <w:lvlText w:val="•"/>
      <w:lvlJc w:val="left"/>
      <w:pPr>
        <w:ind w:left="5040" w:hanging="217"/>
      </w:pPr>
      <w:rPr>
        <w:rFonts w:hint="default"/>
        <w:lang w:val="en-GB" w:eastAsia="en-GB" w:bidi="en-GB"/>
      </w:rPr>
    </w:lvl>
  </w:abstractNum>
  <w:abstractNum w:abstractNumId="1390" w15:restartNumberingAfterBreak="0">
    <w:nsid w:val="7D4769AF"/>
    <w:multiLevelType w:val="hybridMultilevel"/>
    <w:tmpl w:val="5966FD7E"/>
    <w:lvl w:ilvl="0" w:tplc="6428C32E">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46045926">
      <w:numFmt w:val="bullet"/>
      <w:lvlText w:val="•"/>
      <w:lvlJc w:val="left"/>
      <w:pPr>
        <w:ind w:left="467" w:hanging="217"/>
      </w:pPr>
      <w:rPr>
        <w:rFonts w:hint="default"/>
        <w:lang w:val="en-GB" w:eastAsia="en-GB" w:bidi="en-GB"/>
      </w:rPr>
    </w:lvl>
    <w:lvl w:ilvl="2" w:tplc="907C8F8A">
      <w:numFmt w:val="bullet"/>
      <w:lvlText w:val="•"/>
      <w:lvlJc w:val="left"/>
      <w:pPr>
        <w:ind w:left="634" w:hanging="217"/>
      </w:pPr>
      <w:rPr>
        <w:rFonts w:hint="default"/>
        <w:lang w:val="en-GB" w:eastAsia="en-GB" w:bidi="en-GB"/>
      </w:rPr>
    </w:lvl>
    <w:lvl w:ilvl="3" w:tplc="1DF0FAE0">
      <w:numFmt w:val="bullet"/>
      <w:lvlText w:val="•"/>
      <w:lvlJc w:val="left"/>
      <w:pPr>
        <w:ind w:left="802" w:hanging="217"/>
      </w:pPr>
      <w:rPr>
        <w:rFonts w:hint="default"/>
        <w:lang w:val="en-GB" w:eastAsia="en-GB" w:bidi="en-GB"/>
      </w:rPr>
    </w:lvl>
    <w:lvl w:ilvl="4" w:tplc="F48E98AC">
      <w:numFmt w:val="bullet"/>
      <w:lvlText w:val="•"/>
      <w:lvlJc w:val="left"/>
      <w:pPr>
        <w:ind w:left="969" w:hanging="217"/>
      </w:pPr>
      <w:rPr>
        <w:rFonts w:hint="default"/>
        <w:lang w:val="en-GB" w:eastAsia="en-GB" w:bidi="en-GB"/>
      </w:rPr>
    </w:lvl>
    <w:lvl w:ilvl="5" w:tplc="A0A0B1F6">
      <w:numFmt w:val="bullet"/>
      <w:lvlText w:val="•"/>
      <w:lvlJc w:val="left"/>
      <w:pPr>
        <w:ind w:left="1137" w:hanging="217"/>
      </w:pPr>
      <w:rPr>
        <w:rFonts w:hint="default"/>
        <w:lang w:val="en-GB" w:eastAsia="en-GB" w:bidi="en-GB"/>
      </w:rPr>
    </w:lvl>
    <w:lvl w:ilvl="6" w:tplc="B6C42DAC">
      <w:numFmt w:val="bullet"/>
      <w:lvlText w:val="•"/>
      <w:lvlJc w:val="left"/>
      <w:pPr>
        <w:ind w:left="1304" w:hanging="217"/>
      </w:pPr>
      <w:rPr>
        <w:rFonts w:hint="default"/>
        <w:lang w:val="en-GB" w:eastAsia="en-GB" w:bidi="en-GB"/>
      </w:rPr>
    </w:lvl>
    <w:lvl w:ilvl="7" w:tplc="9056AE80">
      <w:numFmt w:val="bullet"/>
      <w:lvlText w:val="•"/>
      <w:lvlJc w:val="left"/>
      <w:pPr>
        <w:ind w:left="1471" w:hanging="217"/>
      </w:pPr>
      <w:rPr>
        <w:rFonts w:hint="default"/>
        <w:lang w:val="en-GB" w:eastAsia="en-GB" w:bidi="en-GB"/>
      </w:rPr>
    </w:lvl>
    <w:lvl w:ilvl="8" w:tplc="1338CF3A">
      <w:numFmt w:val="bullet"/>
      <w:lvlText w:val="•"/>
      <w:lvlJc w:val="left"/>
      <w:pPr>
        <w:ind w:left="1639" w:hanging="217"/>
      </w:pPr>
      <w:rPr>
        <w:rFonts w:hint="default"/>
        <w:lang w:val="en-GB" w:eastAsia="en-GB" w:bidi="en-GB"/>
      </w:rPr>
    </w:lvl>
  </w:abstractNum>
  <w:abstractNum w:abstractNumId="1391" w15:restartNumberingAfterBreak="0">
    <w:nsid w:val="7D5440DB"/>
    <w:multiLevelType w:val="hybridMultilevel"/>
    <w:tmpl w:val="C9123B98"/>
    <w:lvl w:ilvl="0" w:tplc="A87C186E">
      <w:numFmt w:val="bullet"/>
      <w:lvlText w:val="•"/>
      <w:lvlJc w:val="left"/>
      <w:pPr>
        <w:ind w:left="303" w:hanging="217"/>
      </w:pPr>
      <w:rPr>
        <w:rFonts w:ascii="Arial" w:eastAsia="Arial" w:hAnsi="Arial" w:cs="Arial" w:hint="default"/>
        <w:color w:val="231F20"/>
        <w:w w:val="102"/>
        <w:sz w:val="17"/>
        <w:szCs w:val="17"/>
        <w:lang w:val="en-GB" w:eastAsia="en-GB" w:bidi="en-GB"/>
      </w:rPr>
    </w:lvl>
    <w:lvl w:ilvl="1" w:tplc="B0345374">
      <w:numFmt w:val="bullet"/>
      <w:lvlText w:val="•"/>
      <w:lvlJc w:val="left"/>
      <w:pPr>
        <w:ind w:left="439" w:hanging="217"/>
      </w:pPr>
      <w:rPr>
        <w:rFonts w:hint="default"/>
        <w:lang w:val="en-GB" w:eastAsia="en-GB" w:bidi="en-GB"/>
      </w:rPr>
    </w:lvl>
    <w:lvl w:ilvl="2" w:tplc="0534F420">
      <w:numFmt w:val="bullet"/>
      <w:lvlText w:val="•"/>
      <w:lvlJc w:val="left"/>
      <w:pPr>
        <w:ind w:left="578" w:hanging="217"/>
      </w:pPr>
      <w:rPr>
        <w:rFonts w:hint="default"/>
        <w:lang w:val="en-GB" w:eastAsia="en-GB" w:bidi="en-GB"/>
      </w:rPr>
    </w:lvl>
    <w:lvl w:ilvl="3" w:tplc="3058FC1E">
      <w:numFmt w:val="bullet"/>
      <w:lvlText w:val="•"/>
      <w:lvlJc w:val="left"/>
      <w:pPr>
        <w:ind w:left="717" w:hanging="217"/>
      </w:pPr>
      <w:rPr>
        <w:rFonts w:hint="default"/>
        <w:lang w:val="en-GB" w:eastAsia="en-GB" w:bidi="en-GB"/>
      </w:rPr>
    </w:lvl>
    <w:lvl w:ilvl="4" w:tplc="B4FA9002">
      <w:numFmt w:val="bullet"/>
      <w:lvlText w:val="•"/>
      <w:lvlJc w:val="left"/>
      <w:pPr>
        <w:ind w:left="856" w:hanging="217"/>
      </w:pPr>
      <w:rPr>
        <w:rFonts w:hint="default"/>
        <w:lang w:val="en-GB" w:eastAsia="en-GB" w:bidi="en-GB"/>
      </w:rPr>
    </w:lvl>
    <w:lvl w:ilvl="5" w:tplc="3112ED68">
      <w:numFmt w:val="bullet"/>
      <w:lvlText w:val="•"/>
      <w:lvlJc w:val="left"/>
      <w:pPr>
        <w:ind w:left="995" w:hanging="217"/>
      </w:pPr>
      <w:rPr>
        <w:rFonts w:hint="default"/>
        <w:lang w:val="en-GB" w:eastAsia="en-GB" w:bidi="en-GB"/>
      </w:rPr>
    </w:lvl>
    <w:lvl w:ilvl="6" w:tplc="48C06DA0">
      <w:numFmt w:val="bullet"/>
      <w:lvlText w:val="•"/>
      <w:lvlJc w:val="left"/>
      <w:pPr>
        <w:ind w:left="1134" w:hanging="217"/>
      </w:pPr>
      <w:rPr>
        <w:rFonts w:hint="default"/>
        <w:lang w:val="en-GB" w:eastAsia="en-GB" w:bidi="en-GB"/>
      </w:rPr>
    </w:lvl>
    <w:lvl w:ilvl="7" w:tplc="10947B84">
      <w:numFmt w:val="bullet"/>
      <w:lvlText w:val="•"/>
      <w:lvlJc w:val="left"/>
      <w:pPr>
        <w:ind w:left="1273" w:hanging="217"/>
      </w:pPr>
      <w:rPr>
        <w:rFonts w:hint="default"/>
        <w:lang w:val="en-GB" w:eastAsia="en-GB" w:bidi="en-GB"/>
      </w:rPr>
    </w:lvl>
    <w:lvl w:ilvl="8" w:tplc="DBE80C3E">
      <w:numFmt w:val="bullet"/>
      <w:lvlText w:val="•"/>
      <w:lvlJc w:val="left"/>
      <w:pPr>
        <w:ind w:left="1412" w:hanging="217"/>
      </w:pPr>
      <w:rPr>
        <w:rFonts w:hint="default"/>
        <w:lang w:val="en-GB" w:eastAsia="en-GB" w:bidi="en-GB"/>
      </w:rPr>
    </w:lvl>
  </w:abstractNum>
  <w:abstractNum w:abstractNumId="1392" w15:restartNumberingAfterBreak="0">
    <w:nsid w:val="7D6F702C"/>
    <w:multiLevelType w:val="hybridMultilevel"/>
    <w:tmpl w:val="30C2DBD6"/>
    <w:lvl w:ilvl="0" w:tplc="1A324752">
      <w:numFmt w:val="bullet"/>
      <w:lvlText w:val="•"/>
      <w:lvlJc w:val="left"/>
      <w:pPr>
        <w:ind w:left="305" w:hanging="217"/>
      </w:pPr>
      <w:rPr>
        <w:rFonts w:ascii="Arial" w:eastAsia="Arial" w:hAnsi="Arial" w:cs="Arial" w:hint="default"/>
        <w:color w:val="231F20"/>
        <w:w w:val="102"/>
        <w:sz w:val="17"/>
        <w:szCs w:val="17"/>
        <w:lang w:val="en-GB" w:eastAsia="en-GB" w:bidi="en-GB"/>
      </w:rPr>
    </w:lvl>
    <w:lvl w:ilvl="1" w:tplc="6C8A539C">
      <w:numFmt w:val="bullet"/>
      <w:lvlText w:val="•"/>
      <w:lvlJc w:val="left"/>
      <w:pPr>
        <w:ind w:left="892" w:hanging="217"/>
      </w:pPr>
      <w:rPr>
        <w:rFonts w:hint="default"/>
        <w:lang w:val="en-GB" w:eastAsia="en-GB" w:bidi="en-GB"/>
      </w:rPr>
    </w:lvl>
    <w:lvl w:ilvl="2" w:tplc="F5068E6A">
      <w:numFmt w:val="bullet"/>
      <w:lvlText w:val="•"/>
      <w:lvlJc w:val="left"/>
      <w:pPr>
        <w:ind w:left="1485" w:hanging="217"/>
      </w:pPr>
      <w:rPr>
        <w:rFonts w:hint="default"/>
        <w:lang w:val="en-GB" w:eastAsia="en-GB" w:bidi="en-GB"/>
      </w:rPr>
    </w:lvl>
    <w:lvl w:ilvl="3" w:tplc="E49CCB72">
      <w:numFmt w:val="bullet"/>
      <w:lvlText w:val="•"/>
      <w:lvlJc w:val="left"/>
      <w:pPr>
        <w:ind w:left="2077" w:hanging="217"/>
      </w:pPr>
      <w:rPr>
        <w:rFonts w:hint="default"/>
        <w:lang w:val="en-GB" w:eastAsia="en-GB" w:bidi="en-GB"/>
      </w:rPr>
    </w:lvl>
    <w:lvl w:ilvl="4" w:tplc="4C6071A4">
      <w:numFmt w:val="bullet"/>
      <w:lvlText w:val="•"/>
      <w:lvlJc w:val="left"/>
      <w:pPr>
        <w:ind w:left="2670" w:hanging="217"/>
      </w:pPr>
      <w:rPr>
        <w:rFonts w:hint="default"/>
        <w:lang w:val="en-GB" w:eastAsia="en-GB" w:bidi="en-GB"/>
      </w:rPr>
    </w:lvl>
    <w:lvl w:ilvl="5" w:tplc="2BA60008">
      <w:numFmt w:val="bullet"/>
      <w:lvlText w:val="•"/>
      <w:lvlJc w:val="left"/>
      <w:pPr>
        <w:ind w:left="3263" w:hanging="217"/>
      </w:pPr>
      <w:rPr>
        <w:rFonts w:hint="default"/>
        <w:lang w:val="en-GB" w:eastAsia="en-GB" w:bidi="en-GB"/>
      </w:rPr>
    </w:lvl>
    <w:lvl w:ilvl="6" w:tplc="A33CB55C">
      <w:numFmt w:val="bullet"/>
      <w:lvlText w:val="•"/>
      <w:lvlJc w:val="left"/>
      <w:pPr>
        <w:ind w:left="3855" w:hanging="217"/>
      </w:pPr>
      <w:rPr>
        <w:rFonts w:hint="default"/>
        <w:lang w:val="en-GB" w:eastAsia="en-GB" w:bidi="en-GB"/>
      </w:rPr>
    </w:lvl>
    <w:lvl w:ilvl="7" w:tplc="3ADC6C68">
      <w:numFmt w:val="bullet"/>
      <w:lvlText w:val="•"/>
      <w:lvlJc w:val="left"/>
      <w:pPr>
        <w:ind w:left="4448" w:hanging="217"/>
      </w:pPr>
      <w:rPr>
        <w:rFonts w:hint="default"/>
        <w:lang w:val="en-GB" w:eastAsia="en-GB" w:bidi="en-GB"/>
      </w:rPr>
    </w:lvl>
    <w:lvl w:ilvl="8" w:tplc="71A6781C">
      <w:numFmt w:val="bullet"/>
      <w:lvlText w:val="•"/>
      <w:lvlJc w:val="left"/>
      <w:pPr>
        <w:ind w:left="5040" w:hanging="217"/>
      </w:pPr>
      <w:rPr>
        <w:rFonts w:hint="default"/>
        <w:lang w:val="en-GB" w:eastAsia="en-GB" w:bidi="en-GB"/>
      </w:rPr>
    </w:lvl>
  </w:abstractNum>
  <w:abstractNum w:abstractNumId="1393" w15:restartNumberingAfterBreak="0">
    <w:nsid w:val="7DA16808"/>
    <w:multiLevelType w:val="hybridMultilevel"/>
    <w:tmpl w:val="74BCB4A0"/>
    <w:lvl w:ilvl="0" w:tplc="E65A9B04">
      <w:numFmt w:val="bullet"/>
      <w:lvlText w:val="•"/>
      <w:lvlJc w:val="left"/>
      <w:pPr>
        <w:ind w:left="304" w:hanging="217"/>
      </w:pPr>
      <w:rPr>
        <w:rFonts w:ascii="Arial" w:eastAsia="Arial" w:hAnsi="Arial" w:cs="Arial" w:hint="default"/>
        <w:color w:val="231F20"/>
        <w:w w:val="100"/>
        <w:sz w:val="18"/>
        <w:szCs w:val="18"/>
        <w:lang w:val="en-GB" w:eastAsia="en-GB" w:bidi="en-GB"/>
      </w:rPr>
    </w:lvl>
    <w:lvl w:ilvl="1" w:tplc="785A7E7E">
      <w:numFmt w:val="bullet"/>
      <w:lvlText w:val="•"/>
      <w:lvlJc w:val="left"/>
      <w:pPr>
        <w:ind w:left="473" w:hanging="217"/>
      </w:pPr>
      <w:rPr>
        <w:rFonts w:hint="default"/>
        <w:lang w:val="en-GB" w:eastAsia="en-GB" w:bidi="en-GB"/>
      </w:rPr>
    </w:lvl>
    <w:lvl w:ilvl="2" w:tplc="1FD47ECC">
      <w:numFmt w:val="bullet"/>
      <w:lvlText w:val="•"/>
      <w:lvlJc w:val="left"/>
      <w:pPr>
        <w:ind w:left="646" w:hanging="217"/>
      </w:pPr>
      <w:rPr>
        <w:rFonts w:hint="default"/>
        <w:lang w:val="en-GB" w:eastAsia="en-GB" w:bidi="en-GB"/>
      </w:rPr>
    </w:lvl>
    <w:lvl w:ilvl="3" w:tplc="DF2A030E">
      <w:numFmt w:val="bullet"/>
      <w:lvlText w:val="•"/>
      <w:lvlJc w:val="left"/>
      <w:pPr>
        <w:ind w:left="819" w:hanging="217"/>
      </w:pPr>
      <w:rPr>
        <w:rFonts w:hint="default"/>
        <w:lang w:val="en-GB" w:eastAsia="en-GB" w:bidi="en-GB"/>
      </w:rPr>
    </w:lvl>
    <w:lvl w:ilvl="4" w:tplc="8C7C1362">
      <w:numFmt w:val="bullet"/>
      <w:lvlText w:val="•"/>
      <w:lvlJc w:val="left"/>
      <w:pPr>
        <w:ind w:left="992" w:hanging="217"/>
      </w:pPr>
      <w:rPr>
        <w:rFonts w:hint="default"/>
        <w:lang w:val="en-GB" w:eastAsia="en-GB" w:bidi="en-GB"/>
      </w:rPr>
    </w:lvl>
    <w:lvl w:ilvl="5" w:tplc="E778A248">
      <w:numFmt w:val="bullet"/>
      <w:lvlText w:val="•"/>
      <w:lvlJc w:val="left"/>
      <w:pPr>
        <w:ind w:left="1165" w:hanging="217"/>
      </w:pPr>
      <w:rPr>
        <w:rFonts w:hint="default"/>
        <w:lang w:val="en-GB" w:eastAsia="en-GB" w:bidi="en-GB"/>
      </w:rPr>
    </w:lvl>
    <w:lvl w:ilvl="6" w:tplc="24E26C84">
      <w:numFmt w:val="bullet"/>
      <w:lvlText w:val="•"/>
      <w:lvlJc w:val="left"/>
      <w:pPr>
        <w:ind w:left="1338" w:hanging="217"/>
      </w:pPr>
      <w:rPr>
        <w:rFonts w:hint="default"/>
        <w:lang w:val="en-GB" w:eastAsia="en-GB" w:bidi="en-GB"/>
      </w:rPr>
    </w:lvl>
    <w:lvl w:ilvl="7" w:tplc="6986D4CE">
      <w:numFmt w:val="bullet"/>
      <w:lvlText w:val="•"/>
      <w:lvlJc w:val="left"/>
      <w:pPr>
        <w:ind w:left="1511" w:hanging="217"/>
      </w:pPr>
      <w:rPr>
        <w:rFonts w:hint="default"/>
        <w:lang w:val="en-GB" w:eastAsia="en-GB" w:bidi="en-GB"/>
      </w:rPr>
    </w:lvl>
    <w:lvl w:ilvl="8" w:tplc="746E3C6A">
      <w:numFmt w:val="bullet"/>
      <w:lvlText w:val="•"/>
      <w:lvlJc w:val="left"/>
      <w:pPr>
        <w:ind w:left="1684" w:hanging="217"/>
      </w:pPr>
      <w:rPr>
        <w:rFonts w:hint="default"/>
        <w:lang w:val="en-GB" w:eastAsia="en-GB" w:bidi="en-GB"/>
      </w:rPr>
    </w:lvl>
  </w:abstractNum>
  <w:abstractNum w:abstractNumId="1394" w15:restartNumberingAfterBreak="0">
    <w:nsid w:val="7DDB09EA"/>
    <w:multiLevelType w:val="hybridMultilevel"/>
    <w:tmpl w:val="313AF7CA"/>
    <w:lvl w:ilvl="0" w:tplc="B6124A0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E0F4B1D2">
      <w:numFmt w:val="bullet"/>
      <w:lvlText w:val="•"/>
      <w:lvlJc w:val="left"/>
      <w:pPr>
        <w:ind w:left="473" w:hanging="217"/>
      </w:pPr>
      <w:rPr>
        <w:rFonts w:hint="default"/>
        <w:lang w:val="en-GB" w:eastAsia="en-GB" w:bidi="en-GB"/>
      </w:rPr>
    </w:lvl>
    <w:lvl w:ilvl="2" w:tplc="3496ED6A">
      <w:numFmt w:val="bullet"/>
      <w:lvlText w:val="•"/>
      <w:lvlJc w:val="left"/>
      <w:pPr>
        <w:ind w:left="646" w:hanging="217"/>
      </w:pPr>
      <w:rPr>
        <w:rFonts w:hint="default"/>
        <w:lang w:val="en-GB" w:eastAsia="en-GB" w:bidi="en-GB"/>
      </w:rPr>
    </w:lvl>
    <w:lvl w:ilvl="3" w:tplc="863AE164">
      <w:numFmt w:val="bullet"/>
      <w:lvlText w:val="•"/>
      <w:lvlJc w:val="left"/>
      <w:pPr>
        <w:ind w:left="819" w:hanging="217"/>
      </w:pPr>
      <w:rPr>
        <w:rFonts w:hint="default"/>
        <w:lang w:val="en-GB" w:eastAsia="en-GB" w:bidi="en-GB"/>
      </w:rPr>
    </w:lvl>
    <w:lvl w:ilvl="4" w:tplc="33F49B4C">
      <w:numFmt w:val="bullet"/>
      <w:lvlText w:val="•"/>
      <w:lvlJc w:val="left"/>
      <w:pPr>
        <w:ind w:left="992" w:hanging="217"/>
      </w:pPr>
      <w:rPr>
        <w:rFonts w:hint="default"/>
        <w:lang w:val="en-GB" w:eastAsia="en-GB" w:bidi="en-GB"/>
      </w:rPr>
    </w:lvl>
    <w:lvl w:ilvl="5" w:tplc="5EB81582">
      <w:numFmt w:val="bullet"/>
      <w:lvlText w:val="•"/>
      <w:lvlJc w:val="left"/>
      <w:pPr>
        <w:ind w:left="1165" w:hanging="217"/>
      </w:pPr>
      <w:rPr>
        <w:rFonts w:hint="default"/>
        <w:lang w:val="en-GB" w:eastAsia="en-GB" w:bidi="en-GB"/>
      </w:rPr>
    </w:lvl>
    <w:lvl w:ilvl="6" w:tplc="88E0859E">
      <w:numFmt w:val="bullet"/>
      <w:lvlText w:val="•"/>
      <w:lvlJc w:val="left"/>
      <w:pPr>
        <w:ind w:left="1338" w:hanging="217"/>
      </w:pPr>
      <w:rPr>
        <w:rFonts w:hint="default"/>
        <w:lang w:val="en-GB" w:eastAsia="en-GB" w:bidi="en-GB"/>
      </w:rPr>
    </w:lvl>
    <w:lvl w:ilvl="7" w:tplc="666CA662">
      <w:numFmt w:val="bullet"/>
      <w:lvlText w:val="•"/>
      <w:lvlJc w:val="left"/>
      <w:pPr>
        <w:ind w:left="1511" w:hanging="217"/>
      </w:pPr>
      <w:rPr>
        <w:rFonts w:hint="default"/>
        <w:lang w:val="en-GB" w:eastAsia="en-GB" w:bidi="en-GB"/>
      </w:rPr>
    </w:lvl>
    <w:lvl w:ilvl="8" w:tplc="7ED65C08">
      <w:numFmt w:val="bullet"/>
      <w:lvlText w:val="•"/>
      <w:lvlJc w:val="left"/>
      <w:pPr>
        <w:ind w:left="1684" w:hanging="217"/>
      </w:pPr>
      <w:rPr>
        <w:rFonts w:hint="default"/>
        <w:lang w:val="en-GB" w:eastAsia="en-GB" w:bidi="en-GB"/>
      </w:rPr>
    </w:lvl>
  </w:abstractNum>
  <w:abstractNum w:abstractNumId="1395" w15:restartNumberingAfterBreak="0">
    <w:nsid w:val="7DE33B9A"/>
    <w:multiLevelType w:val="hybridMultilevel"/>
    <w:tmpl w:val="96E66EDC"/>
    <w:lvl w:ilvl="0" w:tplc="90EC1F66">
      <w:numFmt w:val="bullet"/>
      <w:lvlText w:val="•"/>
      <w:lvlJc w:val="left"/>
      <w:pPr>
        <w:ind w:left="3529" w:hanging="217"/>
      </w:pPr>
      <w:rPr>
        <w:rFonts w:ascii="Arial" w:eastAsia="Arial" w:hAnsi="Arial" w:cs="Arial" w:hint="default"/>
        <w:color w:val="231F20"/>
        <w:spacing w:val="-1"/>
        <w:w w:val="100"/>
        <w:sz w:val="18"/>
        <w:szCs w:val="18"/>
        <w:lang w:val="en-GB" w:eastAsia="en-GB" w:bidi="en-GB"/>
      </w:rPr>
    </w:lvl>
    <w:lvl w:ilvl="1" w:tplc="DEDC3BE2">
      <w:numFmt w:val="bullet"/>
      <w:lvlText w:val="•"/>
      <w:lvlJc w:val="left"/>
      <w:pPr>
        <w:ind w:left="3983" w:hanging="217"/>
      </w:pPr>
      <w:rPr>
        <w:rFonts w:hint="default"/>
        <w:lang w:val="en-GB" w:eastAsia="en-GB" w:bidi="en-GB"/>
      </w:rPr>
    </w:lvl>
    <w:lvl w:ilvl="2" w:tplc="A73A08CC">
      <w:numFmt w:val="bullet"/>
      <w:lvlText w:val="•"/>
      <w:lvlJc w:val="left"/>
      <w:pPr>
        <w:ind w:left="4446" w:hanging="217"/>
      </w:pPr>
      <w:rPr>
        <w:rFonts w:hint="default"/>
        <w:lang w:val="en-GB" w:eastAsia="en-GB" w:bidi="en-GB"/>
      </w:rPr>
    </w:lvl>
    <w:lvl w:ilvl="3" w:tplc="CD5A7DD6">
      <w:numFmt w:val="bullet"/>
      <w:lvlText w:val="•"/>
      <w:lvlJc w:val="left"/>
      <w:pPr>
        <w:ind w:left="4910" w:hanging="217"/>
      </w:pPr>
      <w:rPr>
        <w:rFonts w:hint="default"/>
        <w:lang w:val="en-GB" w:eastAsia="en-GB" w:bidi="en-GB"/>
      </w:rPr>
    </w:lvl>
    <w:lvl w:ilvl="4" w:tplc="DB667600">
      <w:numFmt w:val="bullet"/>
      <w:lvlText w:val="•"/>
      <w:lvlJc w:val="left"/>
      <w:pPr>
        <w:ind w:left="5373" w:hanging="217"/>
      </w:pPr>
      <w:rPr>
        <w:rFonts w:hint="default"/>
        <w:lang w:val="en-GB" w:eastAsia="en-GB" w:bidi="en-GB"/>
      </w:rPr>
    </w:lvl>
    <w:lvl w:ilvl="5" w:tplc="76528BDA">
      <w:numFmt w:val="bullet"/>
      <w:lvlText w:val="•"/>
      <w:lvlJc w:val="left"/>
      <w:pPr>
        <w:ind w:left="5837" w:hanging="217"/>
      </w:pPr>
      <w:rPr>
        <w:rFonts w:hint="default"/>
        <w:lang w:val="en-GB" w:eastAsia="en-GB" w:bidi="en-GB"/>
      </w:rPr>
    </w:lvl>
    <w:lvl w:ilvl="6" w:tplc="C9122EE2">
      <w:numFmt w:val="bullet"/>
      <w:lvlText w:val="•"/>
      <w:lvlJc w:val="left"/>
      <w:pPr>
        <w:ind w:left="6300" w:hanging="217"/>
      </w:pPr>
      <w:rPr>
        <w:rFonts w:hint="default"/>
        <w:lang w:val="en-GB" w:eastAsia="en-GB" w:bidi="en-GB"/>
      </w:rPr>
    </w:lvl>
    <w:lvl w:ilvl="7" w:tplc="F614F07C">
      <w:numFmt w:val="bullet"/>
      <w:lvlText w:val="•"/>
      <w:lvlJc w:val="left"/>
      <w:pPr>
        <w:ind w:left="6763" w:hanging="217"/>
      </w:pPr>
      <w:rPr>
        <w:rFonts w:hint="default"/>
        <w:lang w:val="en-GB" w:eastAsia="en-GB" w:bidi="en-GB"/>
      </w:rPr>
    </w:lvl>
    <w:lvl w:ilvl="8" w:tplc="876845BE">
      <w:numFmt w:val="bullet"/>
      <w:lvlText w:val="•"/>
      <w:lvlJc w:val="left"/>
      <w:pPr>
        <w:ind w:left="7227" w:hanging="217"/>
      </w:pPr>
      <w:rPr>
        <w:rFonts w:hint="default"/>
        <w:lang w:val="en-GB" w:eastAsia="en-GB" w:bidi="en-GB"/>
      </w:rPr>
    </w:lvl>
  </w:abstractNum>
  <w:abstractNum w:abstractNumId="1396" w15:restartNumberingAfterBreak="0">
    <w:nsid w:val="7DEF18EE"/>
    <w:multiLevelType w:val="hybridMultilevel"/>
    <w:tmpl w:val="13608B74"/>
    <w:lvl w:ilvl="0" w:tplc="5E60F0E0">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6E9CCFF4">
      <w:numFmt w:val="bullet"/>
      <w:lvlText w:val="•"/>
      <w:lvlJc w:val="left"/>
      <w:pPr>
        <w:ind w:left="529" w:hanging="217"/>
      </w:pPr>
      <w:rPr>
        <w:rFonts w:hint="default"/>
        <w:lang w:val="en-GB" w:eastAsia="en-GB" w:bidi="en-GB"/>
      </w:rPr>
    </w:lvl>
    <w:lvl w:ilvl="2" w:tplc="65167566">
      <w:numFmt w:val="bullet"/>
      <w:lvlText w:val="•"/>
      <w:lvlJc w:val="left"/>
      <w:pPr>
        <w:ind w:left="759" w:hanging="217"/>
      </w:pPr>
      <w:rPr>
        <w:rFonts w:hint="default"/>
        <w:lang w:val="en-GB" w:eastAsia="en-GB" w:bidi="en-GB"/>
      </w:rPr>
    </w:lvl>
    <w:lvl w:ilvl="3" w:tplc="524A3CCE">
      <w:numFmt w:val="bullet"/>
      <w:lvlText w:val="•"/>
      <w:lvlJc w:val="left"/>
      <w:pPr>
        <w:ind w:left="989" w:hanging="217"/>
      </w:pPr>
      <w:rPr>
        <w:rFonts w:hint="default"/>
        <w:lang w:val="en-GB" w:eastAsia="en-GB" w:bidi="en-GB"/>
      </w:rPr>
    </w:lvl>
    <w:lvl w:ilvl="4" w:tplc="F3FA71D2">
      <w:numFmt w:val="bullet"/>
      <w:lvlText w:val="•"/>
      <w:lvlJc w:val="left"/>
      <w:pPr>
        <w:ind w:left="1219" w:hanging="217"/>
      </w:pPr>
      <w:rPr>
        <w:rFonts w:hint="default"/>
        <w:lang w:val="en-GB" w:eastAsia="en-GB" w:bidi="en-GB"/>
      </w:rPr>
    </w:lvl>
    <w:lvl w:ilvl="5" w:tplc="1400C362">
      <w:numFmt w:val="bullet"/>
      <w:lvlText w:val="•"/>
      <w:lvlJc w:val="left"/>
      <w:pPr>
        <w:ind w:left="1449" w:hanging="217"/>
      </w:pPr>
      <w:rPr>
        <w:rFonts w:hint="default"/>
        <w:lang w:val="en-GB" w:eastAsia="en-GB" w:bidi="en-GB"/>
      </w:rPr>
    </w:lvl>
    <w:lvl w:ilvl="6" w:tplc="07886CCC">
      <w:numFmt w:val="bullet"/>
      <w:lvlText w:val="•"/>
      <w:lvlJc w:val="left"/>
      <w:pPr>
        <w:ind w:left="1678" w:hanging="217"/>
      </w:pPr>
      <w:rPr>
        <w:rFonts w:hint="default"/>
        <w:lang w:val="en-GB" w:eastAsia="en-GB" w:bidi="en-GB"/>
      </w:rPr>
    </w:lvl>
    <w:lvl w:ilvl="7" w:tplc="6C6C0D0C">
      <w:numFmt w:val="bullet"/>
      <w:lvlText w:val="•"/>
      <w:lvlJc w:val="left"/>
      <w:pPr>
        <w:ind w:left="1908" w:hanging="217"/>
      </w:pPr>
      <w:rPr>
        <w:rFonts w:hint="default"/>
        <w:lang w:val="en-GB" w:eastAsia="en-GB" w:bidi="en-GB"/>
      </w:rPr>
    </w:lvl>
    <w:lvl w:ilvl="8" w:tplc="FF9A45D8">
      <w:numFmt w:val="bullet"/>
      <w:lvlText w:val="•"/>
      <w:lvlJc w:val="left"/>
      <w:pPr>
        <w:ind w:left="2138" w:hanging="217"/>
      </w:pPr>
      <w:rPr>
        <w:rFonts w:hint="default"/>
        <w:lang w:val="en-GB" w:eastAsia="en-GB" w:bidi="en-GB"/>
      </w:rPr>
    </w:lvl>
  </w:abstractNum>
  <w:abstractNum w:abstractNumId="1397" w15:restartNumberingAfterBreak="0">
    <w:nsid w:val="7DF03D7E"/>
    <w:multiLevelType w:val="hybridMultilevel"/>
    <w:tmpl w:val="9D962F96"/>
    <w:lvl w:ilvl="0" w:tplc="D470817E">
      <w:numFmt w:val="bullet"/>
      <w:lvlText w:val="•"/>
      <w:lvlJc w:val="left"/>
      <w:pPr>
        <w:ind w:left="304" w:hanging="217"/>
      </w:pPr>
      <w:rPr>
        <w:rFonts w:ascii="Arial" w:eastAsia="Arial" w:hAnsi="Arial" w:cs="Arial" w:hint="default"/>
        <w:color w:val="231F20"/>
        <w:spacing w:val="-3"/>
        <w:w w:val="100"/>
        <w:sz w:val="18"/>
        <w:szCs w:val="18"/>
        <w:lang w:val="en-GB" w:eastAsia="en-GB" w:bidi="en-GB"/>
      </w:rPr>
    </w:lvl>
    <w:lvl w:ilvl="1" w:tplc="2FB0F3A8">
      <w:numFmt w:val="bullet"/>
      <w:lvlText w:val="•"/>
      <w:lvlJc w:val="left"/>
      <w:pPr>
        <w:ind w:left="541" w:hanging="217"/>
      </w:pPr>
      <w:rPr>
        <w:rFonts w:hint="default"/>
        <w:lang w:val="en-GB" w:eastAsia="en-GB" w:bidi="en-GB"/>
      </w:rPr>
    </w:lvl>
    <w:lvl w:ilvl="2" w:tplc="2810446C">
      <w:numFmt w:val="bullet"/>
      <w:lvlText w:val="•"/>
      <w:lvlJc w:val="left"/>
      <w:pPr>
        <w:ind w:left="782" w:hanging="217"/>
      </w:pPr>
      <w:rPr>
        <w:rFonts w:hint="default"/>
        <w:lang w:val="en-GB" w:eastAsia="en-GB" w:bidi="en-GB"/>
      </w:rPr>
    </w:lvl>
    <w:lvl w:ilvl="3" w:tplc="316088EC">
      <w:numFmt w:val="bullet"/>
      <w:lvlText w:val="•"/>
      <w:lvlJc w:val="left"/>
      <w:pPr>
        <w:ind w:left="1023" w:hanging="217"/>
      </w:pPr>
      <w:rPr>
        <w:rFonts w:hint="default"/>
        <w:lang w:val="en-GB" w:eastAsia="en-GB" w:bidi="en-GB"/>
      </w:rPr>
    </w:lvl>
    <w:lvl w:ilvl="4" w:tplc="3A4A9EB8">
      <w:numFmt w:val="bullet"/>
      <w:lvlText w:val="•"/>
      <w:lvlJc w:val="left"/>
      <w:pPr>
        <w:ind w:left="1264" w:hanging="217"/>
      </w:pPr>
      <w:rPr>
        <w:rFonts w:hint="default"/>
        <w:lang w:val="en-GB" w:eastAsia="en-GB" w:bidi="en-GB"/>
      </w:rPr>
    </w:lvl>
    <w:lvl w:ilvl="5" w:tplc="8AD0B3B8">
      <w:numFmt w:val="bullet"/>
      <w:lvlText w:val="•"/>
      <w:lvlJc w:val="left"/>
      <w:pPr>
        <w:ind w:left="1505" w:hanging="217"/>
      </w:pPr>
      <w:rPr>
        <w:rFonts w:hint="default"/>
        <w:lang w:val="en-GB" w:eastAsia="en-GB" w:bidi="en-GB"/>
      </w:rPr>
    </w:lvl>
    <w:lvl w:ilvl="6" w:tplc="1720A2DE">
      <w:numFmt w:val="bullet"/>
      <w:lvlText w:val="•"/>
      <w:lvlJc w:val="left"/>
      <w:pPr>
        <w:ind w:left="1746" w:hanging="217"/>
      </w:pPr>
      <w:rPr>
        <w:rFonts w:hint="default"/>
        <w:lang w:val="en-GB" w:eastAsia="en-GB" w:bidi="en-GB"/>
      </w:rPr>
    </w:lvl>
    <w:lvl w:ilvl="7" w:tplc="D0C478B2">
      <w:numFmt w:val="bullet"/>
      <w:lvlText w:val="•"/>
      <w:lvlJc w:val="left"/>
      <w:pPr>
        <w:ind w:left="1987" w:hanging="217"/>
      </w:pPr>
      <w:rPr>
        <w:rFonts w:hint="default"/>
        <w:lang w:val="en-GB" w:eastAsia="en-GB" w:bidi="en-GB"/>
      </w:rPr>
    </w:lvl>
    <w:lvl w:ilvl="8" w:tplc="D3ECA11C">
      <w:numFmt w:val="bullet"/>
      <w:lvlText w:val="•"/>
      <w:lvlJc w:val="left"/>
      <w:pPr>
        <w:ind w:left="2228" w:hanging="217"/>
      </w:pPr>
      <w:rPr>
        <w:rFonts w:hint="default"/>
        <w:lang w:val="en-GB" w:eastAsia="en-GB" w:bidi="en-GB"/>
      </w:rPr>
    </w:lvl>
  </w:abstractNum>
  <w:abstractNum w:abstractNumId="1398" w15:restartNumberingAfterBreak="0">
    <w:nsid w:val="7E1B29F0"/>
    <w:multiLevelType w:val="hybridMultilevel"/>
    <w:tmpl w:val="28DA9A2C"/>
    <w:lvl w:ilvl="0" w:tplc="29AC0AB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DA046BA0">
      <w:numFmt w:val="bullet"/>
      <w:lvlText w:val="•"/>
      <w:lvlJc w:val="left"/>
      <w:pPr>
        <w:ind w:left="439" w:hanging="217"/>
      </w:pPr>
      <w:rPr>
        <w:rFonts w:hint="default"/>
        <w:lang w:val="en-GB" w:eastAsia="en-GB" w:bidi="en-GB"/>
      </w:rPr>
    </w:lvl>
    <w:lvl w:ilvl="2" w:tplc="68A895A0">
      <w:numFmt w:val="bullet"/>
      <w:lvlText w:val="•"/>
      <w:lvlJc w:val="left"/>
      <w:pPr>
        <w:ind w:left="578" w:hanging="217"/>
      </w:pPr>
      <w:rPr>
        <w:rFonts w:hint="default"/>
        <w:lang w:val="en-GB" w:eastAsia="en-GB" w:bidi="en-GB"/>
      </w:rPr>
    </w:lvl>
    <w:lvl w:ilvl="3" w:tplc="B106DF78">
      <w:numFmt w:val="bullet"/>
      <w:lvlText w:val="•"/>
      <w:lvlJc w:val="left"/>
      <w:pPr>
        <w:ind w:left="717" w:hanging="217"/>
      </w:pPr>
      <w:rPr>
        <w:rFonts w:hint="default"/>
        <w:lang w:val="en-GB" w:eastAsia="en-GB" w:bidi="en-GB"/>
      </w:rPr>
    </w:lvl>
    <w:lvl w:ilvl="4" w:tplc="8536DD94">
      <w:numFmt w:val="bullet"/>
      <w:lvlText w:val="•"/>
      <w:lvlJc w:val="left"/>
      <w:pPr>
        <w:ind w:left="856" w:hanging="217"/>
      </w:pPr>
      <w:rPr>
        <w:rFonts w:hint="default"/>
        <w:lang w:val="en-GB" w:eastAsia="en-GB" w:bidi="en-GB"/>
      </w:rPr>
    </w:lvl>
    <w:lvl w:ilvl="5" w:tplc="0096F36C">
      <w:numFmt w:val="bullet"/>
      <w:lvlText w:val="•"/>
      <w:lvlJc w:val="left"/>
      <w:pPr>
        <w:ind w:left="995" w:hanging="217"/>
      </w:pPr>
      <w:rPr>
        <w:rFonts w:hint="default"/>
        <w:lang w:val="en-GB" w:eastAsia="en-GB" w:bidi="en-GB"/>
      </w:rPr>
    </w:lvl>
    <w:lvl w:ilvl="6" w:tplc="1D0CD186">
      <w:numFmt w:val="bullet"/>
      <w:lvlText w:val="•"/>
      <w:lvlJc w:val="left"/>
      <w:pPr>
        <w:ind w:left="1134" w:hanging="217"/>
      </w:pPr>
      <w:rPr>
        <w:rFonts w:hint="default"/>
        <w:lang w:val="en-GB" w:eastAsia="en-GB" w:bidi="en-GB"/>
      </w:rPr>
    </w:lvl>
    <w:lvl w:ilvl="7" w:tplc="C09834EE">
      <w:numFmt w:val="bullet"/>
      <w:lvlText w:val="•"/>
      <w:lvlJc w:val="left"/>
      <w:pPr>
        <w:ind w:left="1273" w:hanging="217"/>
      </w:pPr>
      <w:rPr>
        <w:rFonts w:hint="default"/>
        <w:lang w:val="en-GB" w:eastAsia="en-GB" w:bidi="en-GB"/>
      </w:rPr>
    </w:lvl>
    <w:lvl w:ilvl="8" w:tplc="F7BEB4C8">
      <w:numFmt w:val="bullet"/>
      <w:lvlText w:val="•"/>
      <w:lvlJc w:val="left"/>
      <w:pPr>
        <w:ind w:left="1412" w:hanging="217"/>
      </w:pPr>
      <w:rPr>
        <w:rFonts w:hint="default"/>
        <w:lang w:val="en-GB" w:eastAsia="en-GB" w:bidi="en-GB"/>
      </w:rPr>
    </w:lvl>
  </w:abstractNum>
  <w:abstractNum w:abstractNumId="1399" w15:restartNumberingAfterBreak="0">
    <w:nsid w:val="7E305074"/>
    <w:multiLevelType w:val="hybridMultilevel"/>
    <w:tmpl w:val="56986520"/>
    <w:lvl w:ilvl="0" w:tplc="E69EE612">
      <w:numFmt w:val="bullet"/>
      <w:lvlText w:val="•"/>
      <w:lvlJc w:val="left"/>
      <w:pPr>
        <w:ind w:left="299" w:hanging="217"/>
      </w:pPr>
      <w:rPr>
        <w:rFonts w:ascii="Arial" w:eastAsia="Arial" w:hAnsi="Arial" w:cs="Arial" w:hint="default"/>
        <w:color w:val="231F20"/>
        <w:spacing w:val="-10"/>
        <w:w w:val="100"/>
        <w:sz w:val="18"/>
        <w:szCs w:val="18"/>
        <w:lang w:val="en-GB" w:eastAsia="en-GB" w:bidi="en-GB"/>
      </w:rPr>
    </w:lvl>
    <w:lvl w:ilvl="1" w:tplc="BDF4C0E8">
      <w:numFmt w:val="bullet"/>
      <w:lvlText w:val="•"/>
      <w:lvlJc w:val="left"/>
      <w:pPr>
        <w:ind w:left="529" w:hanging="217"/>
      </w:pPr>
      <w:rPr>
        <w:rFonts w:hint="default"/>
        <w:lang w:val="en-GB" w:eastAsia="en-GB" w:bidi="en-GB"/>
      </w:rPr>
    </w:lvl>
    <w:lvl w:ilvl="2" w:tplc="25F0DDCE">
      <w:numFmt w:val="bullet"/>
      <w:lvlText w:val="•"/>
      <w:lvlJc w:val="left"/>
      <w:pPr>
        <w:ind w:left="759" w:hanging="217"/>
      </w:pPr>
      <w:rPr>
        <w:rFonts w:hint="default"/>
        <w:lang w:val="en-GB" w:eastAsia="en-GB" w:bidi="en-GB"/>
      </w:rPr>
    </w:lvl>
    <w:lvl w:ilvl="3" w:tplc="AD10D41C">
      <w:numFmt w:val="bullet"/>
      <w:lvlText w:val="•"/>
      <w:lvlJc w:val="left"/>
      <w:pPr>
        <w:ind w:left="989" w:hanging="217"/>
      </w:pPr>
      <w:rPr>
        <w:rFonts w:hint="default"/>
        <w:lang w:val="en-GB" w:eastAsia="en-GB" w:bidi="en-GB"/>
      </w:rPr>
    </w:lvl>
    <w:lvl w:ilvl="4" w:tplc="B65C7910">
      <w:numFmt w:val="bullet"/>
      <w:lvlText w:val="•"/>
      <w:lvlJc w:val="left"/>
      <w:pPr>
        <w:ind w:left="1219" w:hanging="217"/>
      </w:pPr>
      <w:rPr>
        <w:rFonts w:hint="default"/>
        <w:lang w:val="en-GB" w:eastAsia="en-GB" w:bidi="en-GB"/>
      </w:rPr>
    </w:lvl>
    <w:lvl w:ilvl="5" w:tplc="E29C26C0">
      <w:numFmt w:val="bullet"/>
      <w:lvlText w:val="•"/>
      <w:lvlJc w:val="left"/>
      <w:pPr>
        <w:ind w:left="1449" w:hanging="217"/>
      </w:pPr>
      <w:rPr>
        <w:rFonts w:hint="default"/>
        <w:lang w:val="en-GB" w:eastAsia="en-GB" w:bidi="en-GB"/>
      </w:rPr>
    </w:lvl>
    <w:lvl w:ilvl="6" w:tplc="1E4EEF92">
      <w:numFmt w:val="bullet"/>
      <w:lvlText w:val="•"/>
      <w:lvlJc w:val="left"/>
      <w:pPr>
        <w:ind w:left="1678" w:hanging="217"/>
      </w:pPr>
      <w:rPr>
        <w:rFonts w:hint="default"/>
        <w:lang w:val="en-GB" w:eastAsia="en-GB" w:bidi="en-GB"/>
      </w:rPr>
    </w:lvl>
    <w:lvl w:ilvl="7" w:tplc="4EE050F0">
      <w:numFmt w:val="bullet"/>
      <w:lvlText w:val="•"/>
      <w:lvlJc w:val="left"/>
      <w:pPr>
        <w:ind w:left="1908" w:hanging="217"/>
      </w:pPr>
      <w:rPr>
        <w:rFonts w:hint="default"/>
        <w:lang w:val="en-GB" w:eastAsia="en-GB" w:bidi="en-GB"/>
      </w:rPr>
    </w:lvl>
    <w:lvl w:ilvl="8" w:tplc="74AA1F80">
      <w:numFmt w:val="bullet"/>
      <w:lvlText w:val="•"/>
      <w:lvlJc w:val="left"/>
      <w:pPr>
        <w:ind w:left="2138" w:hanging="217"/>
      </w:pPr>
      <w:rPr>
        <w:rFonts w:hint="default"/>
        <w:lang w:val="en-GB" w:eastAsia="en-GB" w:bidi="en-GB"/>
      </w:rPr>
    </w:lvl>
  </w:abstractNum>
  <w:abstractNum w:abstractNumId="1400" w15:restartNumberingAfterBreak="0">
    <w:nsid w:val="7E5A14B1"/>
    <w:multiLevelType w:val="hybridMultilevel"/>
    <w:tmpl w:val="FD0EB072"/>
    <w:lvl w:ilvl="0" w:tplc="91422BD0">
      <w:start w:val="1"/>
      <w:numFmt w:val="decimal"/>
      <w:lvlText w:val="%1"/>
      <w:lvlJc w:val="left"/>
      <w:pPr>
        <w:ind w:left="323" w:hanging="114"/>
      </w:pPr>
      <w:rPr>
        <w:rFonts w:ascii="Arial" w:eastAsia="Arial" w:hAnsi="Arial" w:cs="Arial" w:hint="default"/>
        <w:color w:val="231F20"/>
        <w:w w:val="100"/>
        <w:sz w:val="14"/>
        <w:szCs w:val="14"/>
        <w:lang w:val="en-GB" w:eastAsia="en-GB" w:bidi="en-GB"/>
      </w:rPr>
    </w:lvl>
    <w:lvl w:ilvl="1" w:tplc="2AB82296">
      <w:numFmt w:val="bullet"/>
      <w:lvlText w:val="•"/>
      <w:lvlJc w:val="left"/>
      <w:pPr>
        <w:ind w:left="1348" w:hanging="114"/>
      </w:pPr>
      <w:rPr>
        <w:rFonts w:hint="default"/>
        <w:lang w:val="en-GB" w:eastAsia="en-GB" w:bidi="en-GB"/>
      </w:rPr>
    </w:lvl>
    <w:lvl w:ilvl="2" w:tplc="47D4FF88">
      <w:numFmt w:val="bullet"/>
      <w:lvlText w:val="•"/>
      <w:lvlJc w:val="left"/>
      <w:pPr>
        <w:ind w:left="2377" w:hanging="114"/>
      </w:pPr>
      <w:rPr>
        <w:rFonts w:hint="default"/>
        <w:lang w:val="en-GB" w:eastAsia="en-GB" w:bidi="en-GB"/>
      </w:rPr>
    </w:lvl>
    <w:lvl w:ilvl="3" w:tplc="AB4614A0">
      <w:numFmt w:val="bullet"/>
      <w:lvlText w:val="•"/>
      <w:lvlJc w:val="left"/>
      <w:pPr>
        <w:ind w:left="3405" w:hanging="114"/>
      </w:pPr>
      <w:rPr>
        <w:rFonts w:hint="default"/>
        <w:lang w:val="en-GB" w:eastAsia="en-GB" w:bidi="en-GB"/>
      </w:rPr>
    </w:lvl>
    <w:lvl w:ilvl="4" w:tplc="8FD679DA">
      <w:numFmt w:val="bullet"/>
      <w:lvlText w:val="•"/>
      <w:lvlJc w:val="left"/>
      <w:pPr>
        <w:ind w:left="4434" w:hanging="114"/>
      </w:pPr>
      <w:rPr>
        <w:rFonts w:hint="default"/>
        <w:lang w:val="en-GB" w:eastAsia="en-GB" w:bidi="en-GB"/>
      </w:rPr>
    </w:lvl>
    <w:lvl w:ilvl="5" w:tplc="1B920500">
      <w:numFmt w:val="bullet"/>
      <w:lvlText w:val="•"/>
      <w:lvlJc w:val="left"/>
      <w:pPr>
        <w:ind w:left="5462" w:hanging="114"/>
      </w:pPr>
      <w:rPr>
        <w:rFonts w:hint="default"/>
        <w:lang w:val="en-GB" w:eastAsia="en-GB" w:bidi="en-GB"/>
      </w:rPr>
    </w:lvl>
    <w:lvl w:ilvl="6" w:tplc="3870A8FC">
      <w:numFmt w:val="bullet"/>
      <w:lvlText w:val="•"/>
      <w:lvlJc w:val="left"/>
      <w:pPr>
        <w:ind w:left="6491" w:hanging="114"/>
      </w:pPr>
      <w:rPr>
        <w:rFonts w:hint="default"/>
        <w:lang w:val="en-GB" w:eastAsia="en-GB" w:bidi="en-GB"/>
      </w:rPr>
    </w:lvl>
    <w:lvl w:ilvl="7" w:tplc="4CB40A36">
      <w:numFmt w:val="bullet"/>
      <w:lvlText w:val="•"/>
      <w:lvlJc w:val="left"/>
      <w:pPr>
        <w:ind w:left="7519" w:hanging="114"/>
      </w:pPr>
      <w:rPr>
        <w:rFonts w:hint="default"/>
        <w:lang w:val="en-GB" w:eastAsia="en-GB" w:bidi="en-GB"/>
      </w:rPr>
    </w:lvl>
    <w:lvl w:ilvl="8" w:tplc="2E3C2696">
      <w:numFmt w:val="bullet"/>
      <w:lvlText w:val="•"/>
      <w:lvlJc w:val="left"/>
      <w:pPr>
        <w:ind w:left="8548" w:hanging="114"/>
      </w:pPr>
      <w:rPr>
        <w:rFonts w:hint="default"/>
        <w:lang w:val="en-GB" w:eastAsia="en-GB" w:bidi="en-GB"/>
      </w:rPr>
    </w:lvl>
  </w:abstractNum>
  <w:abstractNum w:abstractNumId="1401" w15:restartNumberingAfterBreak="0">
    <w:nsid w:val="7E641C2E"/>
    <w:multiLevelType w:val="hybridMultilevel"/>
    <w:tmpl w:val="6B0875DA"/>
    <w:lvl w:ilvl="0" w:tplc="8A486AF8">
      <w:numFmt w:val="bullet"/>
      <w:lvlText w:val="•"/>
      <w:lvlJc w:val="left"/>
      <w:pPr>
        <w:ind w:left="304" w:hanging="217"/>
      </w:pPr>
      <w:rPr>
        <w:rFonts w:ascii="Arial" w:eastAsia="Arial" w:hAnsi="Arial" w:cs="Arial" w:hint="default"/>
        <w:color w:val="231F20"/>
        <w:w w:val="102"/>
        <w:sz w:val="17"/>
        <w:szCs w:val="17"/>
        <w:lang w:val="en-GB" w:eastAsia="en-GB" w:bidi="en-GB"/>
      </w:rPr>
    </w:lvl>
    <w:lvl w:ilvl="1" w:tplc="221CE5AE">
      <w:numFmt w:val="bullet"/>
      <w:lvlText w:val="•"/>
      <w:lvlJc w:val="left"/>
      <w:pPr>
        <w:ind w:left="473" w:hanging="217"/>
      </w:pPr>
      <w:rPr>
        <w:rFonts w:hint="default"/>
        <w:lang w:val="en-GB" w:eastAsia="en-GB" w:bidi="en-GB"/>
      </w:rPr>
    </w:lvl>
    <w:lvl w:ilvl="2" w:tplc="FC9ED6BC">
      <w:numFmt w:val="bullet"/>
      <w:lvlText w:val="•"/>
      <w:lvlJc w:val="left"/>
      <w:pPr>
        <w:ind w:left="646" w:hanging="217"/>
      </w:pPr>
      <w:rPr>
        <w:rFonts w:hint="default"/>
        <w:lang w:val="en-GB" w:eastAsia="en-GB" w:bidi="en-GB"/>
      </w:rPr>
    </w:lvl>
    <w:lvl w:ilvl="3" w:tplc="8CF07256">
      <w:numFmt w:val="bullet"/>
      <w:lvlText w:val="•"/>
      <w:lvlJc w:val="left"/>
      <w:pPr>
        <w:ind w:left="819" w:hanging="217"/>
      </w:pPr>
      <w:rPr>
        <w:rFonts w:hint="default"/>
        <w:lang w:val="en-GB" w:eastAsia="en-GB" w:bidi="en-GB"/>
      </w:rPr>
    </w:lvl>
    <w:lvl w:ilvl="4" w:tplc="CFD4AD66">
      <w:numFmt w:val="bullet"/>
      <w:lvlText w:val="•"/>
      <w:lvlJc w:val="left"/>
      <w:pPr>
        <w:ind w:left="992" w:hanging="217"/>
      </w:pPr>
      <w:rPr>
        <w:rFonts w:hint="default"/>
        <w:lang w:val="en-GB" w:eastAsia="en-GB" w:bidi="en-GB"/>
      </w:rPr>
    </w:lvl>
    <w:lvl w:ilvl="5" w:tplc="C20CF484">
      <w:numFmt w:val="bullet"/>
      <w:lvlText w:val="•"/>
      <w:lvlJc w:val="left"/>
      <w:pPr>
        <w:ind w:left="1165" w:hanging="217"/>
      </w:pPr>
      <w:rPr>
        <w:rFonts w:hint="default"/>
        <w:lang w:val="en-GB" w:eastAsia="en-GB" w:bidi="en-GB"/>
      </w:rPr>
    </w:lvl>
    <w:lvl w:ilvl="6" w:tplc="206057C0">
      <w:numFmt w:val="bullet"/>
      <w:lvlText w:val="•"/>
      <w:lvlJc w:val="left"/>
      <w:pPr>
        <w:ind w:left="1338" w:hanging="217"/>
      </w:pPr>
      <w:rPr>
        <w:rFonts w:hint="default"/>
        <w:lang w:val="en-GB" w:eastAsia="en-GB" w:bidi="en-GB"/>
      </w:rPr>
    </w:lvl>
    <w:lvl w:ilvl="7" w:tplc="DE064D9C">
      <w:numFmt w:val="bullet"/>
      <w:lvlText w:val="•"/>
      <w:lvlJc w:val="left"/>
      <w:pPr>
        <w:ind w:left="1511" w:hanging="217"/>
      </w:pPr>
      <w:rPr>
        <w:rFonts w:hint="default"/>
        <w:lang w:val="en-GB" w:eastAsia="en-GB" w:bidi="en-GB"/>
      </w:rPr>
    </w:lvl>
    <w:lvl w:ilvl="8" w:tplc="CC16F2EC">
      <w:numFmt w:val="bullet"/>
      <w:lvlText w:val="•"/>
      <w:lvlJc w:val="left"/>
      <w:pPr>
        <w:ind w:left="1684" w:hanging="217"/>
      </w:pPr>
      <w:rPr>
        <w:rFonts w:hint="default"/>
        <w:lang w:val="en-GB" w:eastAsia="en-GB" w:bidi="en-GB"/>
      </w:rPr>
    </w:lvl>
  </w:abstractNum>
  <w:abstractNum w:abstractNumId="1402" w15:restartNumberingAfterBreak="0">
    <w:nsid w:val="7E8C06C1"/>
    <w:multiLevelType w:val="hybridMultilevel"/>
    <w:tmpl w:val="76E0F156"/>
    <w:lvl w:ilvl="0" w:tplc="162E56C2">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78607B4">
      <w:numFmt w:val="bullet"/>
      <w:lvlText w:val="•"/>
      <w:lvlJc w:val="left"/>
      <w:pPr>
        <w:ind w:left="439" w:hanging="217"/>
      </w:pPr>
      <w:rPr>
        <w:rFonts w:hint="default"/>
        <w:lang w:val="en-GB" w:eastAsia="en-GB" w:bidi="en-GB"/>
      </w:rPr>
    </w:lvl>
    <w:lvl w:ilvl="2" w:tplc="CBD41AB6">
      <w:numFmt w:val="bullet"/>
      <w:lvlText w:val="•"/>
      <w:lvlJc w:val="left"/>
      <w:pPr>
        <w:ind w:left="578" w:hanging="217"/>
      </w:pPr>
      <w:rPr>
        <w:rFonts w:hint="default"/>
        <w:lang w:val="en-GB" w:eastAsia="en-GB" w:bidi="en-GB"/>
      </w:rPr>
    </w:lvl>
    <w:lvl w:ilvl="3" w:tplc="1AD005CE">
      <w:numFmt w:val="bullet"/>
      <w:lvlText w:val="•"/>
      <w:lvlJc w:val="left"/>
      <w:pPr>
        <w:ind w:left="717" w:hanging="217"/>
      </w:pPr>
      <w:rPr>
        <w:rFonts w:hint="default"/>
        <w:lang w:val="en-GB" w:eastAsia="en-GB" w:bidi="en-GB"/>
      </w:rPr>
    </w:lvl>
    <w:lvl w:ilvl="4" w:tplc="02FCDBA6">
      <w:numFmt w:val="bullet"/>
      <w:lvlText w:val="•"/>
      <w:lvlJc w:val="left"/>
      <w:pPr>
        <w:ind w:left="856" w:hanging="217"/>
      </w:pPr>
      <w:rPr>
        <w:rFonts w:hint="default"/>
        <w:lang w:val="en-GB" w:eastAsia="en-GB" w:bidi="en-GB"/>
      </w:rPr>
    </w:lvl>
    <w:lvl w:ilvl="5" w:tplc="F8D237F2">
      <w:numFmt w:val="bullet"/>
      <w:lvlText w:val="•"/>
      <w:lvlJc w:val="left"/>
      <w:pPr>
        <w:ind w:left="995" w:hanging="217"/>
      </w:pPr>
      <w:rPr>
        <w:rFonts w:hint="default"/>
        <w:lang w:val="en-GB" w:eastAsia="en-GB" w:bidi="en-GB"/>
      </w:rPr>
    </w:lvl>
    <w:lvl w:ilvl="6" w:tplc="924E45C4">
      <w:numFmt w:val="bullet"/>
      <w:lvlText w:val="•"/>
      <w:lvlJc w:val="left"/>
      <w:pPr>
        <w:ind w:left="1134" w:hanging="217"/>
      </w:pPr>
      <w:rPr>
        <w:rFonts w:hint="default"/>
        <w:lang w:val="en-GB" w:eastAsia="en-GB" w:bidi="en-GB"/>
      </w:rPr>
    </w:lvl>
    <w:lvl w:ilvl="7" w:tplc="EE2CA7D6">
      <w:numFmt w:val="bullet"/>
      <w:lvlText w:val="•"/>
      <w:lvlJc w:val="left"/>
      <w:pPr>
        <w:ind w:left="1273" w:hanging="217"/>
      </w:pPr>
      <w:rPr>
        <w:rFonts w:hint="default"/>
        <w:lang w:val="en-GB" w:eastAsia="en-GB" w:bidi="en-GB"/>
      </w:rPr>
    </w:lvl>
    <w:lvl w:ilvl="8" w:tplc="27A071A6">
      <w:numFmt w:val="bullet"/>
      <w:lvlText w:val="•"/>
      <w:lvlJc w:val="left"/>
      <w:pPr>
        <w:ind w:left="1412" w:hanging="217"/>
      </w:pPr>
      <w:rPr>
        <w:rFonts w:hint="default"/>
        <w:lang w:val="en-GB" w:eastAsia="en-GB" w:bidi="en-GB"/>
      </w:rPr>
    </w:lvl>
  </w:abstractNum>
  <w:abstractNum w:abstractNumId="1403" w15:restartNumberingAfterBreak="0">
    <w:nsid w:val="7E901FCB"/>
    <w:multiLevelType w:val="hybridMultilevel"/>
    <w:tmpl w:val="AA9E0BD8"/>
    <w:lvl w:ilvl="0" w:tplc="AAC48B44">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42ECCB12">
      <w:numFmt w:val="bullet"/>
      <w:lvlText w:val="•"/>
      <w:lvlJc w:val="left"/>
      <w:pPr>
        <w:ind w:left="473" w:hanging="217"/>
      </w:pPr>
      <w:rPr>
        <w:rFonts w:hint="default"/>
        <w:lang w:val="en-GB" w:eastAsia="en-GB" w:bidi="en-GB"/>
      </w:rPr>
    </w:lvl>
    <w:lvl w:ilvl="2" w:tplc="FBCE9020">
      <w:numFmt w:val="bullet"/>
      <w:lvlText w:val="•"/>
      <w:lvlJc w:val="left"/>
      <w:pPr>
        <w:ind w:left="646" w:hanging="217"/>
      </w:pPr>
      <w:rPr>
        <w:rFonts w:hint="default"/>
        <w:lang w:val="en-GB" w:eastAsia="en-GB" w:bidi="en-GB"/>
      </w:rPr>
    </w:lvl>
    <w:lvl w:ilvl="3" w:tplc="C4E65402">
      <w:numFmt w:val="bullet"/>
      <w:lvlText w:val="•"/>
      <w:lvlJc w:val="left"/>
      <w:pPr>
        <w:ind w:left="819" w:hanging="217"/>
      </w:pPr>
      <w:rPr>
        <w:rFonts w:hint="default"/>
        <w:lang w:val="en-GB" w:eastAsia="en-GB" w:bidi="en-GB"/>
      </w:rPr>
    </w:lvl>
    <w:lvl w:ilvl="4" w:tplc="4D36811A">
      <w:numFmt w:val="bullet"/>
      <w:lvlText w:val="•"/>
      <w:lvlJc w:val="left"/>
      <w:pPr>
        <w:ind w:left="992" w:hanging="217"/>
      </w:pPr>
      <w:rPr>
        <w:rFonts w:hint="default"/>
        <w:lang w:val="en-GB" w:eastAsia="en-GB" w:bidi="en-GB"/>
      </w:rPr>
    </w:lvl>
    <w:lvl w:ilvl="5" w:tplc="49B03204">
      <w:numFmt w:val="bullet"/>
      <w:lvlText w:val="•"/>
      <w:lvlJc w:val="left"/>
      <w:pPr>
        <w:ind w:left="1165" w:hanging="217"/>
      </w:pPr>
      <w:rPr>
        <w:rFonts w:hint="default"/>
        <w:lang w:val="en-GB" w:eastAsia="en-GB" w:bidi="en-GB"/>
      </w:rPr>
    </w:lvl>
    <w:lvl w:ilvl="6" w:tplc="3F4224C8">
      <w:numFmt w:val="bullet"/>
      <w:lvlText w:val="•"/>
      <w:lvlJc w:val="left"/>
      <w:pPr>
        <w:ind w:left="1338" w:hanging="217"/>
      </w:pPr>
      <w:rPr>
        <w:rFonts w:hint="default"/>
        <w:lang w:val="en-GB" w:eastAsia="en-GB" w:bidi="en-GB"/>
      </w:rPr>
    </w:lvl>
    <w:lvl w:ilvl="7" w:tplc="9A2AE774">
      <w:numFmt w:val="bullet"/>
      <w:lvlText w:val="•"/>
      <w:lvlJc w:val="left"/>
      <w:pPr>
        <w:ind w:left="1511" w:hanging="217"/>
      </w:pPr>
      <w:rPr>
        <w:rFonts w:hint="default"/>
        <w:lang w:val="en-GB" w:eastAsia="en-GB" w:bidi="en-GB"/>
      </w:rPr>
    </w:lvl>
    <w:lvl w:ilvl="8" w:tplc="D4FC790C">
      <w:numFmt w:val="bullet"/>
      <w:lvlText w:val="•"/>
      <w:lvlJc w:val="left"/>
      <w:pPr>
        <w:ind w:left="1684" w:hanging="217"/>
      </w:pPr>
      <w:rPr>
        <w:rFonts w:hint="default"/>
        <w:lang w:val="en-GB" w:eastAsia="en-GB" w:bidi="en-GB"/>
      </w:rPr>
    </w:lvl>
  </w:abstractNum>
  <w:abstractNum w:abstractNumId="1404" w15:restartNumberingAfterBreak="0">
    <w:nsid w:val="7E957AB3"/>
    <w:multiLevelType w:val="hybridMultilevel"/>
    <w:tmpl w:val="0668246C"/>
    <w:lvl w:ilvl="0" w:tplc="850C9134">
      <w:numFmt w:val="bullet"/>
      <w:lvlText w:val="•"/>
      <w:lvlJc w:val="left"/>
      <w:pPr>
        <w:ind w:left="304" w:hanging="217"/>
      </w:pPr>
      <w:rPr>
        <w:rFonts w:ascii="Arial" w:eastAsia="Arial" w:hAnsi="Arial" w:cs="Arial" w:hint="default"/>
        <w:color w:val="231F20"/>
        <w:w w:val="102"/>
        <w:sz w:val="17"/>
        <w:szCs w:val="17"/>
        <w:lang w:val="en-GB" w:eastAsia="en-GB" w:bidi="en-GB"/>
      </w:rPr>
    </w:lvl>
    <w:lvl w:ilvl="1" w:tplc="07E2E622">
      <w:numFmt w:val="bullet"/>
      <w:lvlText w:val="•"/>
      <w:lvlJc w:val="left"/>
      <w:pPr>
        <w:ind w:left="439" w:hanging="217"/>
      </w:pPr>
      <w:rPr>
        <w:rFonts w:hint="default"/>
        <w:lang w:val="en-GB" w:eastAsia="en-GB" w:bidi="en-GB"/>
      </w:rPr>
    </w:lvl>
    <w:lvl w:ilvl="2" w:tplc="6006466E">
      <w:numFmt w:val="bullet"/>
      <w:lvlText w:val="•"/>
      <w:lvlJc w:val="left"/>
      <w:pPr>
        <w:ind w:left="578" w:hanging="217"/>
      </w:pPr>
      <w:rPr>
        <w:rFonts w:hint="default"/>
        <w:lang w:val="en-GB" w:eastAsia="en-GB" w:bidi="en-GB"/>
      </w:rPr>
    </w:lvl>
    <w:lvl w:ilvl="3" w:tplc="7CBA89C0">
      <w:numFmt w:val="bullet"/>
      <w:lvlText w:val="•"/>
      <w:lvlJc w:val="left"/>
      <w:pPr>
        <w:ind w:left="717" w:hanging="217"/>
      </w:pPr>
      <w:rPr>
        <w:rFonts w:hint="default"/>
        <w:lang w:val="en-GB" w:eastAsia="en-GB" w:bidi="en-GB"/>
      </w:rPr>
    </w:lvl>
    <w:lvl w:ilvl="4" w:tplc="16787AA8">
      <w:numFmt w:val="bullet"/>
      <w:lvlText w:val="•"/>
      <w:lvlJc w:val="left"/>
      <w:pPr>
        <w:ind w:left="856" w:hanging="217"/>
      </w:pPr>
      <w:rPr>
        <w:rFonts w:hint="default"/>
        <w:lang w:val="en-GB" w:eastAsia="en-GB" w:bidi="en-GB"/>
      </w:rPr>
    </w:lvl>
    <w:lvl w:ilvl="5" w:tplc="1E24D3B0">
      <w:numFmt w:val="bullet"/>
      <w:lvlText w:val="•"/>
      <w:lvlJc w:val="left"/>
      <w:pPr>
        <w:ind w:left="995" w:hanging="217"/>
      </w:pPr>
      <w:rPr>
        <w:rFonts w:hint="default"/>
        <w:lang w:val="en-GB" w:eastAsia="en-GB" w:bidi="en-GB"/>
      </w:rPr>
    </w:lvl>
    <w:lvl w:ilvl="6" w:tplc="8BF49A34">
      <w:numFmt w:val="bullet"/>
      <w:lvlText w:val="•"/>
      <w:lvlJc w:val="left"/>
      <w:pPr>
        <w:ind w:left="1134" w:hanging="217"/>
      </w:pPr>
      <w:rPr>
        <w:rFonts w:hint="default"/>
        <w:lang w:val="en-GB" w:eastAsia="en-GB" w:bidi="en-GB"/>
      </w:rPr>
    </w:lvl>
    <w:lvl w:ilvl="7" w:tplc="6A9AED8C">
      <w:numFmt w:val="bullet"/>
      <w:lvlText w:val="•"/>
      <w:lvlJc w:val="left"/>
      <w:pPr>
        <w:ind w:left="1273" w:hanging="217"/>
      </w:pPr>
      <w:rPr>
        <w:rFonts w:hint="default"/>
        <w:lang w:val="en-GB" w:eastAsia="en-GB" w:bidi="en-GB"/>
      </w:rPr>
    </w:lvl>
    <w:lvl w:ilvl="8" w:tplc="CFE40976">
      <w:numFmt w:val="bullet"/>
      <w:lvlText w:val="•"/>
      <w:lvlJc w:val="left"/>
      <w:pPr>
        <w:ind w:left="1412" w:hanging="217"/>
      </w:pPr>
      <w:rPr>
        <w:rFonts w:hint="default"/>
        <w:lang w:val="en-GB" w:eastAsia="en-GB" w:bidi="en-GB"/>
      </w:rPr>
    </w:lvl>
  </w:abstractNum>
  <w:abstractNum w:abstractNumId="1405" w15:restartNumberingAfterBreak="0">
    <w:nsid w:val="7EA427B6"/>
    <w:multiLevelType w:val="hybridMultilevel"/>
    <w:tmpl w:val="5380DD6E"/>
    <w:lvl w:ilvl="0" w:tplc="5F86ECB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CC5214AE">
      <w:numFmt w:val="bullet"/>
      <w:lvlText w:val="•"/>
      <w:lvlJc w:val="left"/>
      <w:pPr>
        <w:ind w:left="439" w:hanging="217"/>
      </w:pPr>
      <w:rPr>
        <w:rFonts w:hint="default"/>
        <w:lang w:val="en-GB" w:eastAsia="en-GB" w:bidi="en-GB"/>
      </w:rPr>
    </w:lvl>
    <w:lvl w:ilvl="2" w:tplc="D966DD4A">
      <w:numFmt w:val="bullet"/>
      <w:lvlText w:val="•"/>
      <w:lvlJc w:val="left"/>
      <w:pPr>
        <w:ind w:left="578" w:hanging="217"/>
      </w:pPr>
      <w:rPr>
        <w:rFonts w:hint="default"/>
        <w:lang w:val="en-GB" w:eastAsia="en-GB" w:bidi="en-GB"/>
      </w:rPr>
    </w:lvl>
    <w:lvl w:ilvl="3" w:tplc="F0DA7E7A">
      <w:numFmt w:val="bullet"/>
      <w:lvlText w:val="•"/>
      <w:lvlJc w:val="left"/>
      <w:pPr>
        <w:ind w:left="717" w:hanging="217"/>
      </w:pPr>
      <w:rPr>
        <w:rFonts w:hint="default"/>
        <w:lang w:val="en-GB" w:eastAsia="en-GB" w:bidi="en-GB"/>
      </w:rPr>
    </w:lvl>
    <w:lvl w:ilvl="4" w:tplc="860E2B62">
      <w:numFmt w:val="bullet"/>
      <w:lvlText w:val="•"/>
      <w:lvlJc w:val="left"/>
      <w:pPr>
        <w:ind w:left="856" w:hanging="217"/>
      </w:pPr>
      <w:rPr>
        <w:rFonts w:hint="default"/>
        <w:lang w:val="en-GB" w:eastAsia="en-GB" w:bidi="en-GB"/>
      </w:rPr>
    </w:lvl>
    <w:lvl w:ilvl="5" w:tplc="96E2CD28">
      <w:numFmt w:val="bullet"/>
      <w:lvlText w:val="•"/>
      <w:lvlJc w:val="left"/>
      <w:pPr>
        <w:ind w:left="995" w:hanging="217"/>
      </w:pPr>
      <w:rPr>
        <w:rFonts w:hint="default"/>
        <w:lang w:val="en-GB" w:eastAsia="en-GB" w:bidi="en-GB"/>
      </w:rPr>
    </w:lvl>
    <w:lvl w:ilvl="6" w:tplc="18B0985E">
      <w:numFmt w:val="bullet"/>
      <w:lvlText w:val="•"/>
      <w:lvlJc w:val="left"/>
      <w:pPr>
        <w:ind w:left="1134" w:hanging="217"/>
      </w:pPr>
      <w:rPr>
        <w:rFonts w:hint="default"/>
        <w:lang w:val="en-GB" w:eastAsia="en-GB" w:bidi="en-GB"/>
      </w:rPr>
    </w:lvl>
    <w:lvl w:ilvl="7" w:tplc="C786D75E">
      <w:numFmt w:val="bullet"/>
      <w:lvlText w:val="•"/>
      <w:lvlJc w:val="left"/>
      <w:pPr>
        <w:ind w:left="1273" w:hanging="217"/>
      </w:pPr>
      <w:rPr>
        <w:rFonts w:hint="default"/>
        <w:lang w:val="en-GB" w:eastAsia="en-GB" w:bidi="en-GB"/>
      </w:rPr>
    </w:lvl>
    <w:lvl w:ilvl="8" w:tplc="E15AF6D6">
      <w:numFmt w:val="bullet"/>
      <w:lvlText w:val="•"/>
      <w:lvlJc w:val="left"/>
      <w:pPr>
        <w:ind w:left="1412" w:hanging="217"/>
      </w:pPr>
      <w:rPr>
        <w:rFonts w:hint="default"/>
        <w:lang w:val="en-GB" w:eastAsia="en-GB" w:bidi="en-GB"/>
      </w:rPr>
    </w:lvl>
  </w:abstractNum>
  <w:abstractNum w:abstractNumId="1406" w15:restartNumberingAfterBreak="0">
    <w:nsid w:val="7EAA0708"/>
    <w:multiLevelType w:val="hybridMultilevel"/>
    <w:tmpl w:val="D67E1CA6"/>
    <w:lvl w:ilvl="0" w:tplc="884411F4">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2D72CBA2">
      <w:numFmt w:val="bullet"/>
      <w:lvlText w:val="•"/>
      <w:lvlJc w:val="left"/>
      <w:pPr>
        <w:ind w:left="892" w:hanging="217"/>
      </w:pPr>
      <w:rPr>
        <w:rFonts w:hint="default"/>
        <w:lang w:val="en-GB" w:eastAsia="en-GB" w:bidi="en-GB"/>
      </w:rPr>
    </w:lvl>
    <w:lvl w:ilvl="2" w:tplc="C49C32BA">
      <w:numFmt w:val="bullet"/>
      <w:lvlText w:val="•"/>
      <w:lvlJc w:val="left"/>
      <w:pPr>
        <w:ind w:left="1485" w:hanging="217"/>
      </w:pPr>
      <w:rPr>
        <w:rFonts w:hint="default"/>
        <w:lang w:val="en-GB" w:eastAsia="en-GB" w:bidi="en-GB"/>
      </w:rPr>
    </w:lvl>
    <w:lvl w:ilvl="3" w:tplc="98FC88B8">
      <w:numFmt w:val="bullet"/>
      <w:lvlText w:val="•"/>
      <w:lvlJc w:val="left"/>
      <w:pPr>
        <w:ind w:left="2077" w:hanging="217"/>
      </w:pPr>
      <w:rPr>
        <w:rFonts w:hint="default"/>
        <w:lang w:val="en-GB" w:eastAsia="en-GB" w:bidi="en-GB"/>
      </w:rPr>
    </w:lvl>
    <w:lvl w:ilvl="4" w:tplc="70481776">
      <w:numFmt w:val="bullet"/>
      <w:lvlText w:val="•"/>
      <w:lvlJc w:val="left"/>
      <w:pPr>
        <w:ind w:left="2670" w:hanging="217"/>
      </w:pPr>
      <w:rPr>
        <w:rFonts w:hint="default"/>
        <w:lang w:val="en-GB" w:eastAsia="en-GB" w:bidi="en-GB"/>
      </w:rPr>
    </w:lvl>
    <w:lvl w:ilvl="5" w:tplc="4B42AC5E">
      <w:numFmt w:val="bullet"/>
      <w:lvlText w:val="•"/>
      <w:lvlJc w:val="left"/>
      <w:pPr>
        <w:ind w:left="3263" w:hanging="217"/>
      </w:pPr>
      <w:rPr>
        <w:rFonts w:hint="default"/>
        <w:lang w:val="en-GB" w:eastAsia="en-GB" w:bidi="en-GB"/>
      </w:rPr>
    </w:lvl>
    <w:lvl w:ilvl="6" w:tplc="0F48C41A">
      <w:numFmt w:val="bullet"/>
      <w:lvlText w:val="•"/>
      <w:lvlJc w:val="left"/>
      <w:pPr>
        <w:ind w:left="3855" w:hanging="217"/>
      </w:pPr>
      <w:rPr>
        <w:rFonts w:hint="default"/>
        <w:lang w:val="en-GB" w:eastAsia="en-GB" w:bidi="en-GB"/>
      </w:rPr>
    </w:lvl>
    <w:lvl w:ilvl="7" w:tplc="9FB2E5D8">
      <w:numFmt w:val="bullet"/>
      <w:lvlText w:val="•"/>
      <w:lvlJc w:val="left"/>
      <w:pPr>
        <w:ind w:left="4448" w:hanging="217"/>
      </w:pPr>
      <w:rPr>
        <w:rFonts w:hint="default"/>
        <w:lang w:val="en-GB" w:eastAsia="en-GB" w:bidi="en-GB"/>
      </w:rPr>
    </w:lvl>
    <w:lvl w:ilvl="8" w:tplc="0D54BFEA">
      <w:numFmt w:val="bullet"/>
      <w:lvlText w:val="•"/>
      <w:lvlJc w:val="left"/>
      <w:pPr>
        <w:ind w:left="5040" w:hanging="217"/>
      </w:pPr>
      <w:rPr>
        <w:rFonts w:hint="default"/>
        <w:lang w:val="en-GB" w:eastAsia="en-GB" w:bidi="en-GB"/>
      </w:rPr>
    </w:lvl>
  </w:abstractNum>
  <w:abstractNum w:abstractNumId="1407" w15:restartNumberingAfterBreak="0">
    <w:nsid w:val="7EB0674D"/>
    <w:multiLevelType w:val="hybridMultilevel"/>
    <w:tmpl w:val="6CB267CE"/>
    <w:lvl w:ilvl="0" w:tplc="B7EA1A36">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C944C9B0">
      <w:numFmt w:val="bullet"/>
      <w:lvlText w:val="•"/>
      <w:lvlJc w:val="left"/>
      <w:pPr>
        <w:ind w:left="473" w:hanging="217"/>
      </w:pPr>
      <w:rPr>
        <w:rFonts w:hint="default"/>
        <w:lang w:val="en-GB" w:eastAsia="en-GB" w:bidi="en-GB"/>
      </w:rPr>
    </w:lvl>
    <w:lvl w:ilvl="2" w:tplc="016CF41E">
      <w:numFmt w:val="bullet"/>
      <w:lvlText w:val="•"/>
      <w:lvlJc w:val="left"/>
      <w:pPr>
        <w:ind w:left="646" w:hanging="217"/>
      </w:pPr>
      <w:rPr>
        <w:rFonts w:hint="default"/>
        <w:lang w:val="en-GB" w:eastAsia="en-GB" w:bidi="en-GB"/>
      </w:rPr>
    </w:lvl>
    <w:lvl w:ilvl="3" w:tplc="AB6A8B5C">
      <w:numFmt w:val="bullet"/>
      <w:lvlText w:val="•"/>
      <w:lvlJc w:val="left"/>
      <w:pPr>
        <w:ind w:left="819" w:hanging="217"/>
      </w:pPr>
      <w:rPr>
        <w:rFonts w:hint="default"/>
        <w:lang w:val="en-GB" w:eastAsia="en-GB" w:bidi="en-GB"/>
      </w:rPr>
    </w:lvl>
    <w:lvl w:ilvl="4" w:tplc="B8065FA4">
      <w:numFmt w:val="bullet"/>
      <w:lvlText w:val="•"/>
      <w:lvlJc w:val="left"/>
      <w:pPr>
        <w:ind w:left="992" w:hanging="217"/>
      </w:pPr>
      <w:rPr>
        <w:rFonts w:hint="default"/>
        <w:lang w:val="en-GB" w:eastAsia="en-GB" w:bidi="en-GB"/>
      </w:rPr>
    </w:lvl>
    <w:lvl w:ilvl="5" w:tplc="AC5A950E">
      <w:numFmt w:val="bullet"/>
      <w:lvlText w:val="•"/>
      <w:lvlJc w:val="left"/>
      <w:pPr>
        <w:ind w:left="1165" w:hanging="217"/>
      </w:pPr>
      <w:rPr>
        <w:rFonts w:hint="default"/>
        <w:lang w:val="en-GB" w:eastAsia="en-GB" w:bidi="en-GB"/>
      </w:rPr>
    </w:lvl>
    <w:lvl w:ilvl="6" w:tplc="B5249666">
      <w:numFmt w:val="bullet"/>
      <w:lvlText w:val="•"/>
      <w:lvlJc w:val="left"/>
      <w:pPr>
        <w:ind w:left="1338" w:hanging="217"/>
      </w:pPr>
      <w:rPr>
        <w:rFonts w:hint="default"/>
        <w:lang w:val="en-GB" w:eastAsia="en-GB" w:bidi="en-GB"/>
      </w:rPr>
    </w:lvl>
    <w:lvl w:ilvl="7" w:tplc="7390D13E">
      <w:numFmt w:val="bullet"/>
      <w:lvlText w:val="•"/>
      <w:lvlJc w:val="left"/>
      <w:pPr>
        <w:ind w:left="1511" w:hanging="217"/>
      </w:pPr>
      <w:rPr>
        <w:rFonts w:hint="default"/>
        <w:lang w:val="en-GB" w:eastAsia="en-GB" w:bidi="en-GB"/>
      </w:rPr>
    </w:lvl>
    <w:lvl w:ilvl="8" w:tplc="E9AAB034">
      <w:numFmt w:val="bullet"/>
      <w:lvlText w:val="•"/>
      <w:lvlJc w:val="left"/>
      <w:pPr>
        <w:ind w:left="1684" w:hanging="217"/>
      </w:pPr>
      <w:rPr>
        <w:rFonts w:hint="default"/>
        <w:lang w:val="en-GB" w:eastAsia="en-GB" w:bidi="en-GB"/>
      </w:rPr>
    </w:lvl>
  </w:abstractNum>
  <w:abstractNum w:abstractNumId="1408" w15:restartNumberingAfterBreak="0">
    <w:nsid w:val="7EC21CE2"/>
    <w:multiLevelType w:val="hybridMultilevel"/>
    <w:tmpl w:val="6B8E8340"/>
    <w:lvl w:ilvl="0" w:tplc="BD48F400">
      <w:numFmt w:val="bullet"/>
      <w:lvlText w:val="•"/>
      <w:lvlJc w:val="left"/>
      <w:pPr>
        <w:ind w:left="304" w:hanging="217"/>
      </w:pPr>
      <w:rPr>
        <w:rFonts w:ascii="Arial" w:eastAsia="Arial" w:hAnsi="Arial" w:cs="Arial" w:hint="default"/>
        <w:color w:val="231F20"/>
        <w:w w:val="102"/>
        <w:sz w:val="17"/>
        <w:szCs w:val="17"/>
        <w:lang w:val="en-GB" w:eastAsia="en-GB" w:bidi="en-GB"/>
      </w:rPr>
    </w:lvl>
    <w:lvl w:ilvl="1" w:tplc="6DE8F850">
      <w:numFmt w:val="bullet"/>
      <w:lvlText w:val="•"/>
      <w:lvlJc w:val="left"/>
      <w:pPr>
        <w:ind w:left="473" w:hanging="217"/>
      </w:pPr>
      <w:rPr>
        <w:rFonts w:hint="default"/>
        <w:lang w:val="en-GB" w:eastAsia="en-GB" w:bidi="en-GB"/>
      </w:rPr>
    </w:lvl>
    <w:lvl w:ilvl="2" w:tplc="96E67A56">
      <w:numFmt w:val="bullet"/>
      <w:lvlText w:val="•"/>
      <w:lvlJc w:val="left"/>
      <w:pPr>
        <w:ind w:left="646" w:hanging="217"/>
      </w:pPr>
      <w:rPr>
        <w:rFonts w:hint="default"/>
        <w:lang w:val="en-GB" w:eastAsia="en-GB" w:bidi="en-GB"/>
      </w:rPr>
    </w:lvl>
    <w:lvl w:ilvl="3" w:tplc="B1DCF036">
      <w:numFmt w:val="bullet"/>
      <w:lvlText w:val="•"/>
      <w:lvlJc w:val="left"/>
      <w:pPr>
        <w:ind w:left="819" w:hanging="217"/>
      </w:pPr>
      <w:rPr>
        <w:rFonts w:hint="default"/>
        <w:lang w:val="en-GB" w:eastAsia="en-GB" w:bidi="en-GB"/>
      </w:rPr>
    </w:lvl>
    <w:lvl w:ilvl="4" w:tplc="05585462">
      <w:numFmt w:val="bullet"/>
      <w:lvlText w:val="•"/>
      <w:lvlJc w:val="left"/>
      <w:pPr>
        <w:ind w:left="992" w:hanging="217"/>
      </w:pPr>
      <w:rPr>
        <w:rFonts w:hint="default"/>
        <w:lang w:val="en-GB" w:eastAsia="en-GB" w:bidi="en-GB"/>
      </w:rPr>
    </w:lvl>
    <w:lvl w:ilvl="5" w:tplc="BA3AE208">
      <w:numFmt w:val="bullet"/>
      <w:lvlText w:val="•"/>
      <w:lvlJc w:val="left"/>
      <w:pPr>
        <w:ind w:left="1165" w:hanging="217"/>
      </w:pPr>
      <w:rPr>
        <w:rFonts w:hint="default"/>
        <w:lang w:val="en-GB" w:eastAsia="en-GB" w:bidi="en-GB"/>
      </w:rPr>
    </w:lvl>
    <w:lvl w:ilvl="6" w:tplc="007266E6">
      <w:numFmt w:val="bullet"/>
      <w:lvlText w:val="•"/>
      <w:lvlJc w:val="left"/>
      <w:pPr>
        <w:ind w:left="1338" w:hanging="217"/>
      </w:pPr>
      <w:rPr>
        <w:rFonts w:hint="default"/>
        <w:lang w:val="en-GB" w:eastAsia="en-GB" w:bidi="en-GB"/>
      </w:rPr>
    </w:lvl>
    <w:lvl w:ilvl="7" w:tplc="DB96C836">
      <w:numFmt w:val="bullet"/>
      <w:lvlText w:val="•"/>
      <w:lvlJc w:val="left"/>
      <w:pPr>
        <w:ind w:left="1511" w:hanging="217"/>
      </w:pPr>
      <w:rPr>
        <w:rFonts w:hint="default"/>
        <w:lang w:val="en-GB" w:eastAsia="en-GB" w:bidi="en-GB"/>
      </w:rPr>
    </w:lvl>
    <w:lvl w:ilvl="8" w:tplc="6EC4BDEE">
      <w:numFmt w:val="bullet"/>
      <w:lvlText w:val="•"/>
      <w:lvlJc w:val="left"/>
      <w:pPr>
        <w:ind w:left="1684" w:hanging="217"/>
      </w:pPr>
      <w:rPr>
        <w:rFonts w:hint="default"/>
        <w:lang w:val="en-GB" w:eastAsia="en-GB" w:bidi="en-GB"/>
      </w:rPr>
    </w:lvl>
  </w:abstractNum>
  <w:abstractNum w:abstractNumId="1409" w15:restartNumberingAfterBreak="0">
    <w:nsid w:val="7EC64866"/>
    <w:multiLevelType w:val="hybridMultilevel"/>
    <w:tmpl w:val="80328D30"/>
    <w:lvl w:ilvl="0" w:tplc="F60E22FA">
      <w:numFmt w:val="bullet"/>
      <w:lvlText w:val="•"/>
      <w:lvlJc w:val="left"/>
      <w:pPr>
        <w:ind w:left="276" w:hanging="217"/>
      </w:pPr>
      <w:rPr>
        <w:rFonts w:ascii="Arial" w:eastAsia="Arial" w:hAnsi="Arial" w:cs="Arial" w:hint="default"/>
        <w:color w:val="231F20"/>
        <w:w w:val="97"/>
        <w:sz w:val="16"/>
        <w:szCs w:val="16"/>
        <w:lang w:val="en-GB" w:eastAsia="en-GB" w:bidi="en-GB"/>
      </w:rPr>
    </w:lvl>
    <w:lvl w:ilvl="1" w:tplc="2ADA645C">
      <w:numFmt w:val="bullet"/>
      <w:lvlText w:val="•"/>
      <w:lvlJc w:val="left"/>
      <w:pPr>
        <w:ind w:left="381" w:hanging="217"/>
      </w:pPr>
      <w:rPr>
        <w:rFonts w:hint="default"/>
        <w:lang w:val="en-GB" w:eastAsia="en-GB" w:bidi="en-GB"/>
      </w:rPr>
    </w:lvl>
    <w:lvl w:ilvl="2" w:tplc="B700F6FC">
      <w:numFmt w:val="bullet"/>
      <w:lvlText w:val="•"/>
      <w:lvlJc w:val="left"/>
      <w:pPr>
        <w:ind w:left="482" w:hanging="217"/>
      </w:pPr>
      <w:rPr>
        <w:rFonts w:hint="default"/>
        <w:lang w:val="en-GB" w:eastAsia="en-GB" w:bidi="en-GB"/>
      </w:rPr>
    </w:lvl>
    <w:lvl w:ilvl="3" w:tplc="D97AA324">
      <w:numFmt w:val="bullet"/>
      <w:lvlText w:val="•"/>
      <w:lvlJc w:val="left"/>
      <w:pPr>
        <w:ind w:left="584" w:hanging="217"/>
      </w:pPr>
      <w:rPr>
        <w:rFonts w:hint="default"/>
        <w:lang w:val="en-GB" w:eastAsia="en-GB" w:bidi="en-GB"/>
      </w:rPr>
    </w:lvl>
    <w:lvl w:ilvl="4" w:tplc="0A28ED76">
      <w:numFmt w:val="bullet"/>
      <w:lvlText w:val="•"/>
      <w:lvlJc w:val="left"/>
      <w:pPr>
        <w:ind w:left="685" w:hanging="217"/>
      </w:pPr>
      <w:rPr>
        <w:rFonts w:hint="default"/>
        <w:lang w:val="en-GB" w:eastAsia="en-GB" w:bidi="en-GB"/>
      </w:rPr>
    </w:lvl>
    <w:lvl w:ilvl="5" w:tplc="8B56F458">
      <w:numFmt w:val="bullet"/>
      <w:lvlText w:val="•"/>
      <w:lvlJc w:val="left"/>
      <w:pPr>
        <w:ind w:left="787" w:hanging="217"/>
      </w:pPr>
      <w:rPr>
        <w:rFonts w:hint="default"/>
        <w:lang w:val="en-GB" w:eastAsia="en-GB" w:bidi="en-GB"/>
      </w:rPr>
    </w:lvl>
    <w:lvl w:ilvl="6" w:tplc="9C76CA6A">
      <w:numFmt w:val="bullet"/>
      <w:lvlText w:val="•"/>
      <w:lvlJc w:val="left"/>
      <w:pPr>
        <w:ind w:left="888" w:hanging="217"/>
      </w:pPr>
      <w:rPr>
        <w:rFonts w:hint="default"/>
        <w:lang w:val="en-GB" w:eastAsia="en-GB" w:bidi="en-GB"/>
      </w:rPr>
    </w:lvl>
    <w:lvl w:ilvl="7" w:tplc="C6F659D2">
      <w:numFmt w:val="bullet"/>
      <w:lvlText w:val="•"/>
      <w:lvlJc w:val="left"/>
      <w:pPr>
        <w:ind w:left="989" w:hanging="217"/>
      </w:pPr>
      <w:rPr>
        <w:rFonts w:hint="default"/>
        <w:lang w:val="en-GB" w:eastAsia="en-GB" w:bidi="en-GB"/>
      </w:rPr>
    </w:lvl>
    <w:lvl w:ilvl="8" w:tplc="3146AAB2">
      <w:numFmt w:val="bullet"/>
      <w:lvlText w:val="•"/>
      <w:lvlJc w:val="left"/>
      <w:pPr>
        <w:ind w:left="1091" w:hanging="217"/>
      </w:pPr>
      <w:rPr>
        <w:rFonts w:hint="default"/>
        <w:lang w:val="en-GB" w:eastAsia="en-GB" w:bidi="en-GB"/>
      </w:rPr>
    </w:lvl>
  </w:abstractNum>
  <w:abstractNum w:abstractNumId="1410" w15:restartNumberingAfterBreak="0">
    <w:nsid w:val="7ED15E3A"/>
    <w:multiLevelType w:val="hybridMultilevel"/>
    <w:tmpl w:val="3006A454"/>
    <w:lvl w:ilvl="0" w:tplc="CD56131C">
      <w:numFmt w:val="bullet"/>
      <w:lvlText w:val="•"/>
      <w:lvlJc w:val="left"/>
      <w:pPr>
        <w:ind w:left="305" w:hanging="217"/>
      </w:pPr>
      <w:rPr>
        <w:rFonts w:ascii="Arial" w:eastAsia="Arial" w:hAnsi="Arial" w:cs="Arial" w:hint="default"/>
        <w:color w:val="231F20"/>
        <w:spacing w:val="-1"/>
        <w:w w:val="100"/>
        <w:sz w:val="18"/>
        <w:szCs w:val="18"/>
        <w:lang w:val="en-GB" w:eastAsia="en-GB" w:bidi="en-GB"/>
      </w:rPr>
    </w:lvl>
    <w:lvl w:ilvl="1" w:tplc="9D2ACDEE">
      <w:numFmt w:val="bullet"/>
      <w:lvlText w:val="•"/>
      <w:lvlJc w:val="left"/>
      <w:pPr>
        <w:ind w:left="892" w:hanging="217"/>
      </w:pPr>
      <w:rPr>
        <w:rFonts w:hint="default"/>
        <w:lang w:val="en-GB" w:eastAsia="en-GB" w:bidi="en-GB"/>
      </w:rPr>
    </w:lvl>
    <w:lvl w:ilvl="2" w:tplc="A0186340">
      <w:numFmt w:val="bullet"/>
      <w:lvlText w:val="•"/>
      <w:lvlJc w:val="left"/>
      <w:pPr>
        <w:ind w:left="1485" w:hanging="217"/>
      </w:pPr>
      <w:rPr>
        <w:rFonts w:hint="default"/>
        <w:lang w:val="en-GB" w:eastAsia="en-GB" w:bidi="en-GB"/>
      </w:rPr>
    </w:lvl>
    <w:lvl w:ilvl="3" w:tplc="E77AEB06">
      <w:numFmt w:val="bullet"/>
      <w:lvlText w:val="•"/>
      <w:lvlJc w:val="left"/>
      <w:pPr>
        <w:ind w:left="2077" w:hanging="217"/>
      </w:pPr>
      <w:rPr>
        <w:rFonts w:hint="default"/>
        <w:lang w:val="en-GB" w:eastAsia="en-GB" w:bidi="en-GB"/>
      </w:rPr>
    </w:lvl>
    <w:lvl w:ilvl="4" w:tplc="D16233C4">
      <w:numFmt w:val="bullet"/>
      <w:lvlText w:val="•"/>
      <w:lvlJc w:val="left"/>
      <w:pPr>
        <w:ind w:left="2670" w:hanging="217"/>
      </w:pPr>
      <w:rPr>
        <w:rFonts w:hint="default"/>
        <w:lang w:val="en-GB" w:eastAsia="en-GB" w:bidi="en-GB"/>
      </w:rPr>
    </w:lvl>
    <w:lvl w:ilvl="5" w:tplc="2E5AB0FC">
      <w:numFmt w:val="bullet"/>
      <w:lvlText w:val="•"/>
      <w:lvlJc w:val="left"/>
      <w:pPr>
        <w:ind w:left="3263" w:hanging="217"/>
      </w:pPr>
      <w:rPr>
        <w:rFonts w:hint="default"/>
        <w:lang w:val="en-GB" w:eastAsia="en-GB" w:bidi="en-GB"/>
      </w:rPr>
    </w:lvl>
    <w:lvl w:ilvl="6" w:tplc="3B547B30">
      <w:numFmt w:val="bullet"/>
      <w:lvlText w:val="•"/>
      <w:lvlJc w:val="left"/>
      <w:pPr>
        <w:ind w:left="3855" w:hanging="217"/>
      </w:pPr>
      <w:rPr>
        <w:rFonts w:hint="default"/>
        <w:lang w:val="en-GB" w:eastAsia="en-GB" w:bidi="en-GB"/>
      </w:rPr>
    </w:lvl>
    <w:lvl w:ilvl="7" w:tplc="52200CD2">
      <w:numFmt w:val="bullet"/>
      <w:lvlText w:val="•"/>
      <w:lvlJc w:val="left"/>
      <w:pPr>
        <w:ind w:left="4448" w:hanging="217"/>
      </w:pPr>
      <w:rPr>
        <w:rFonts w:hint="default"/>
        <w:lang w:val="en-GB" w:eastAsia="en-GB" w:bidi="en-GB"/>
      </w:rPr>
    </w:lvl>
    <w:lvl w:ilvl="8" w:tplc="38FA1D9E">
      <w:numFmt w:val="bullet"/>
      <w:lvlText w:val="•"/>
      <w:lvlJc w:val="left"/>
      <w:pPr>
        <w:ind w:left="5040" w:hanging="217"/>
      </w:pPr>
      <w:rPr>
        <w:rFonts w:hint="default"/>
        <w:lang w:val="en-GB" w:eastAsia="en-GB" w:bidi="en-GB"/>
      </w:rPr>
    </w:lvl>
  </w:abstractNum>
  <w:abstractNum w:abstractNumId="1411" w15:restartNumberingAfterBreak="0">
    <w:nsid w:val="7EDB5B5B"/>
    <w:multiLevelType w:val="hybridMultilevel"/>
    <w:tmpl w:val="FD08A142"/>
    <w:lvl w:ilvl="0" w:tplc="05A6FAEE">
      <w:numFmt w:val="bullet"/>
      <w:lvlText w:val="•"/>
      <w:lvlJc w:val="left"/>
      <w:pPr>
        <w:ind w:left="299" w:hanging="217"/>
      </w:pPr>
      <w:rPr>
        <w:rFonts w:ascii="Arial" w:eastAsia="Arial" w:hAnsi="Arial" w:cs="Arial" w:hint="default"/>
        <w:color w:val="231F20"/>
        <w:spacing w:val="-1"/>
        <w:w w:val="100"/>
        <w:sz w:val="18"/>
        <w:szCs w:val="18"/>
        <w:lang w:val="en-GB" w:eastAsia="en-GB" w:bidi="en-GB"/>
      </w:rPr>
    </w:lvl>
    <w:lvl w:ilvl="1" w:tplc="320EA7CA">
      <w:numFmt w:val="bullet"/>
      <w:lvlText w:val="•"/>
      <w:lvlJc w:val="left"/>
      <w:pPr>
        <w:ind w:left="473" w:hanging="217"/>
      </w:pPr>
      <w:rPr>
        <w:rFonts w:hint="default"/>
        <w:lang w:val="en-GB" w:eastAsia="en-GB" w:bidi="en-GB"/>
      </w:rPr>
    </w:lvl>
    <w:lvl w:ilvl="2" w:tplc="90DE238E">
      <w:numFmt w:val="bullet"/>
      <w:lvlText w:val="•"/>
      <w:lvlJc w:val="left"/>
      <w:pPr>
        <w:ind w:left="646" w:hanging="217"/>
      </w:pPr>
      <w:rPr>
        <w:rFonts w:hint="default"/>
        <w:lang w:val="en-GB" w:eastAsia="en-GB" w:bidi="en-GB"/>
      </w:rPr>
    </w:lvl>
    <w:lvl w:ilvl="3" w:tplc="76CE3EA2">
      <w:numFmt w:val="bullet"/>
      <w:lvlText w:val="•"/>
      <w:lvlJc w:val="left"/>
      <w:pPr>
        <w:ind w:left="819" w:hanging="217"/>
      </w:pPr>
      <w:rPr>
        <w:rFonts w:hint="default"/>
        <w:lang w:val="en-GB" w:eastAsia="en-GB" w:bidi="en-GB"/>
      </w:rPr>
    </w:lvl>
    <w:lvl w:ilvl="4" w:tplc="37A28BD4">
      <w:numFmt w:val="bullet"/>
      <w:lvlText w:val="•"/>
      <w:lvlJc w:val="left"/>
      <w:pPr>
        <w:ind w:left="992" w:hanging="217"/>
      </w:pPr>
      <w:rPr>
        <w:rFonts w:hint="default"/>
        <w:lang w:val="en-GB" w:eastAsia="en-GB" w:bidi="en-GB"/>
      </w:rPr>
    </w:lvl>
    <w:lvl w:ilvl="5" w:tplc="E5D812DA">
      <w:numFmt w:val="bullet"/>
      <w:lvlText w:val="•"/>
      <w:lvlJc w:val="left"/>
      <w:pPr>
        <w:ind w:left="1165" w:hanging="217"/>
      </w:pPr>
      <w:rPr>
        <w:rFonts w:hint="default"/>
        <w:lang w:val="en-GB" w:eastAsia="en-GB" w:bidi="en-GB"/>
      </w:rPr>
    </w:lvl>
    <w:lvl w:ilvl="6" w:tplc="91A6F976">
      <w:numFmt w:val="bullet"/>
      <w:lvlText w:val="•"/>
      <w:lvlJc w:val="left"/>
      <w:pPr>
        <w:ind w:left="1338" w:hanging="217"/>
      </w:pPr>
      <w:rPr>
        <w:rFonts w:hint="default"/>
        <w:lang w:val="en-GB" w:eastAsia="en-GB" w:bidi="en-GB"/>
      </w:rPr>
    </w:lvl>
    <w:lvl w:ilvl="7" w:tplc="CBF2AD06">
      <w:numFmt w:val="bullet"/>
      <w:lvlText w:val="•"/>
      <w:lvlJc w:val="left"/>
      <w:pPr>
        <w:ind w:left="1511" w:hanging="217"/>
      </w:pPr>
      <w:rPr>
        <w:rFonts w:hint="default"/>
        <w:lang w:val="en-GB" w:eastAsia="en-GB" w:bidi="en-GB"/>
      </w:rPr>
    </w:lvl>
    <w:lvl w:ilvl="8" w:tplc="51F0BEA6">
      <w:numFmt w:val="bullet"/>
      <w:lvlText w:val="•"/>
      <w:lvlJc w:val="left"/>
      <w:pPr>
        <w:ind w:left="1684" w:hanging="217"/>
      </w:pPr>
      <w:rPr>
        <w:rFonts w:hint="default"/>
        <w:lang w:val="en-GB" w:eastAsia="en-GB" w:bidi="en-GB"/>
      </w:rPr>
    </w:lvl>
  </w:abstractNum>
  <w:abstractNum w:abstractNumId="1412" w15:restartNumberingAfterBreak="0">
    <w:nsid w:val="7EDD2FD9"/>
    <w:multiLevelType w:val="hybridMultilevel"/>
    <w:tmpl w:val="CBBC6902"/>
    <w:lvl w:ilvl="0" w:tplc="D2DE150A">
      <w:numFmt w:val="bullet"/>
      <w:lvlText w:val="•"/>
      <w:lvlJc w:val="left"/>
      <w:pPr>
        <w:ind w:left="276" w:hanging="217"/>
      </w:pPr>
      <w:rPr>
        <w:rFonts w:ascii="Arial" w:eastAsia="Arial" w:hAnsi="Arial" w:cs="Arial" w:hint="default"/>
        <w:color w:val="231F20"/>
        <w:w w:val="97"/>
        <w:sz w:val="16"/>
        <w:szCs w:val="16"/>
        <w:lang w:val="en-GB" w:eastAsia="en-GB" w:bidi="en-GB"/>
      </w:rPr>
    </w:lvl>
    <w:lvl w:ilvl="1" w:tplc="6DA24944">
      <w:numFmt w:val="bullet"/>
      <w:lvlText w:val="•"/>
      <w:lvlJc w:val="left"/>
      <w:pPr>
        <w:ind w:left="381" w:hanging="217"/>
      </w:pPr>
      <w:rPr>
        <w:rFonts w:hint="default"/>
        <w:lang w:val="en-GB" w:eastAsia="en-GB" w:bidi="en-GB"/>
      </w:rPr>
    </w:lvl>
    <w:lvl w:ilvl="2" w:tplc="041264AC">
      <w:numFmt w:val="bullet"/>
      <w:lvlText w:val="•"/>
      <w:lvlJc w:val="left"/>
      <w:pPr>
        <w:ind w:left="482" w:hanging="217"/>
      </w:pPr>
      <w:rPr>
        <w:rFonts w:hint="default"/>
        <w:lang w:val="en-GB" w:eastAsia="en-GB" w:bidi="en-GB"/>
      </w:rPr>
    </w:lvl>
    <w:lvl w:ilvl="3" w:tplc="9C9692AC">
      <w:numFmt w:val="bullet"/>
      <w:lvlText w:val="•"/>
      <w:lvlJc w:val="left"/>
      <w:pPr>
        <w:ind w:left="584" w:hanging="217"/>
      </w:pPr>
      <w:rPr>
        <w:rFonts w:hint="default"/>
        <w:lang w:val="en-GB" w:eastAsia="en-GB" w:bidi="en-GB"/>
      </w:rPr>
    </w:lvl>
    <w:lvl w:ilvl="4" w:tplc="66C4D212">
      <w:numFmt w:val="bullet"/>
      <w:lvlText w:val="•"/>
      <w:lvlJc w:val="left"/>
      <w:pPr>
        <w:ind w:left="685" w:hanging="217"/>
      </w:pPr>
      <w:rPr>
        <w:rFonts w:hint="default"/>
        <w:lang w:val="en-GB" w:eastAsia="en-GB" w:bidi="en-GB"/>
      </w:rPr>
    </w:lvl>
    <w:lvl w:ilvl="5" w:tplc="7C16F9B2">
      <w:numFmt w:val="bullet"/>
      <w:lvlText w:val="•"/>
      <w:lvlJc w:val="left"/>
      <w:pPr>
        <w:ind w:left="787" w:hanging="217"/>
      </w:pPr>
      <w:rPr>
        <w:rFonts w:hint="default"/>
        <w:lang w:val="en-GB" w:eastAsia="en-GB" w:bidi="en-GB"/>
      </w:rPr>
    </w:lvl>
    <w:lvl w:ilvl="6" w:tplc="A35A258E">
      <w:numFmt w:val="bullet"/>
      <w:lvlText w:val="•"/>
      <w:lvlJc w:val="left"/>
      <w:pPr>
        <w:ind w:left="888" w:hanging="217"/>
      </w:pPr>
      <w:rPr>
        <w:rFonts w:hint="default"/>
        <w:lang w:val="en-GB" w:eastAsia="en-GB" w:bidi="en-GB"/>
      </w:rPr>
    </w:lvl>
    <w:lvl w:ilvl="7" w:tplc="32ECDF90">
      <w:numFmt w:val="bullet"/>
      <w:lvlText w:val="•"/>
      <w:lvlJc w:val="left"/>
      <w:pPr>
        <w:ind w:left="989" w:hanging="217"/>
      </w:pPr>
      <w:rPr>
        <w:rFonts w:hint="default"/>
        <w:lang w:val="en-GB" w:eastAsia="en-GB" w:bidi="en-GB"/>
      </w:rPr>
    </w:lvl>
    <w:lvl w:ilvl="8" w:tplc="24901A4C">
      <w:numFmt w:val="bullet"/>
      <w:lvlText w:val="•"/>
      <w:lvlJc w:val="left"/>
      <w:pPr>
        <w:ind w:left="1091" w:hanging="217"/>
      </w:pPr>
      <w:rPr>
        <w:rFonts w:hint="default"/>
        <w:lang w:val="en-GB" w:eastAsia="en-GB" w:bidi="en-GB"/>
      </w:rPr>
    </w:lvl>
  </w:abstractNum>
  <w:abstractNum w:abstractNumId="1413" w15:restartNumberingAfterBreak="0">
    <w:nsid w:val="7EE748CA"/>
    <w:multiLevelType w:val="hybridMultilevel"/>
    <w:tmpl w:val="5CCC5E10"/>
    <w:lvl w:ilvl="0" w:tplc="F95C0130">
      <w:numFmt w:val="bullet"/>
      <w:lvlText w:val="•"/>
      <w:lvlJc w:val="left"/>
      <w:pPr>
        <w:ind w:left="305" w:hanging="217"/>
      </w:pPr>
      <w:rPr>
        <w:rFonts w:ascii="Arial" w:eastAsia="Arial" w:hAnsi="Arial" w:cs="Arial" w:hint="default"/>
        <w:color w:val="231F20"/>
        <w:w w:val="102"/>
        <w:sz w:val="17"/>
        <w:szCs w:val="17"/>
        <w:lang w:val="en-GB" w:eastAsia="en-GB" w:bidi="en-GB"/>
      </w:rPr>
    </w:lvl>
    <w:lvl w:ilvl="1" w:tplc="02AA6D48">
      <w:numFmt w:val="bullet"/>
      <w:lvlText w:val="•"/>
      <w:lvlJc w:val="left"/>
      <w:pPr>
        <w:ind w:left="892" w:hanging="217"/>
      </w:pPr>
      <w:rPr>
        <w:rFonts w:hint="default"/>
        <w:lang w:val="en-GB" w:eastAsia="en-GB" w:bidi="en-GB"/>
      </w:rPr>
    </w:lvl>
    <w:lvl w:ilvl="2" w:tplc="DFEAA6BA">
      <w:numFmt w:val="bullet"/>
      <w:lvlText w:val="•"/>
      <w:lvlJc w:val="left"/>
      <w:pPr>
        <w:ind w:left="1485" w:hanging="217"/>
      </w:pPr>
      <w:rPr>
        <w:rFonts w:hint="default"/>
        <w:lang w:val="en-GB" w:eastAsia="en-GB" w:bidi="en-GB"/>
      </w:rPr>
    </w:lvl>
    <w:lvl w:ilvl="3" w:tplc="B818E362">
      <w:numFmt w:val="bullet"/>
      <w:lvlText w:val="•"/>
      <w:lvlJc w:val="left"/>
      <w:pPr>
        <w:ind w:left="2077" w:hanging="217"/>
      </w:pPr>
      <w:rPr>
        <w:rFonts w:hint="default"/>
        <w:lang w:val="en-GB" w:eastAsia="en-GB" w:bidi="en-GB"/>
      </w:rPr>
    </w:lvl>
    <w:lvl w:ilvl="4" w:tplc="C7B86D4C">
      <w:numFmt w:val="bullet"/>
      <w:lvlText w:val="•"/>
      <w:lvlJc w:val="left"/>
      <w:pPr>
        <w:ind w:left="2670" w:hanging="217"/>
      </w:pPr>
      <w:rPr>
        <w:rFonts w:hint="default"/>
        <w:lang w:val="en-GB" w:eastAsia="en-GB" w:bidi="en-GB"/>
      </w:rPr>
    </w:lvl>
    <w:lvl w:ilvl="5" w:tplc="793A414A">
      <w:numFmt w:val="bullet"/>
      <w:lvlText w:val="•"/>
      <w:lvlJc w:val="left"/>
      <w:pPr>
        <w:ind w:left="3263" w:hanging="217"/>
      </w:pPr>
      <w:rPr>
        <w:rFonts w:hint="default"/>
        <w:lang w:val="en-GB" w:eastAsia="en-GB" w:bidi="en-GB"/>
      </w:rPr>
    </w:lvl>
    <w:lvl w:ilvl="6" w:tplc="1A463658">
      <w:numFmt w:val="bullet"/>
      <w:lvlText w:val="•"/>
      <w:lvlJc w:val="left"/>
      <w:pPr>
        <w:ind w:left="3855" w:hanging="217"/>
      </w:pPr>
      <w:rPr>
        <w:rFonts w:hint="default"/>
        <w:lang w:val="en-GB" w:eastAsia="en-GB" w:bidi="en-GB"/>
      </w:rPr>
    </w:lvl>
    <w:lvl w:ilvl="7" w:tplc="3C448008">
      <w:numFmt w:val="bullet"/>
      <w:lvlText w:val="•"/>
      <w:lvlJc w:val="left"/>
      <w:pPr>
        <w:ind w:left="4448" w:hanging="217"/>
      </w:pPr>
      <w:rPr>
        <w:rFonts w:hint="default"/>
        <w:lang w:val="en-GB" w:eastAsia="en-GB" w:bidi="en-GB"/>
      </w:rPr>
    </w:lvl>
    <w:lvl w:ilvl="8" w:tplc="55A8670A">
      <w:numFmt w:val="bullet"/>
      <w:lvlText w:val="•"/>
      <w:lvlJc w:val="left"/>
      <w:pPr>
        <w:ind w:left="5040" w:hanging="217"/>
      </w:pPr>
      <w:rPr>
        <w:rFonts w:hint="default"/>
        <w:lang w:val="en-GB" w:eastAsia="en-GB" w:bidi="en-GB"/>
      </w:rPr>
    </w:lvl>
  </w:abstractNum>
  <w:abstractNum w:abstractNumId="1414" w15:restartNumberingAfterBreak="0">
    <w:nsid w:val="7EEF7AED"/>
    <w:multiLevelType w:val="hybridMultilevel"/>
    <w:tmpl w:val="42D206A6"/>
    <w:lvl w:ilvl="0" w:tplc="5D004624">
      <w:numFmt w:val="bullet"/>
      <w:lvlText w:val="•"/>
      <w:lvlJc w:val="left"/>
      <w:pPr>
        <w:ind w:left="304" w:hanging="217"/>
      </w:pPr>
      <w:rPr>
        <w:rFonts w:ascii="Arial" w:eastAsia="Arial" w:hAnsi="Arial" w:cs="Arial" w:hint="default"/>
        <w:color w:val="231F20"/>
        <w:spacing w:val="-4"/>
        <w:w w:val="100"/>
        <w:sz w:val="18"/>
        <w:szCs w:val="18"/>
        <w:lang w:val="en-GB" w:eastAsia="en-GB" w:bidi="en-GB"/>
      </w:rPr>
    </w:lvl>
    <w:lvl w:ilvl="1" w:tplc="65BC5812">
      <w:numFmt w:val="bullet"/>
      <w:lvlText w:val="•"/>
      <w:lvlJc w:val="left"/>
      <w:pPr>
        <w:ind w:left="473" w:hanging="217"/>
      </w:pPr>
      <w:rPr>
        <w:rFonts w:hint="default"/>
        <w:lang w:val="en-GB" w:eastAsia="en-GB" w:bidi="en-GB"/>
      </w:rPr>
    </w:lvl>
    <w:lvl w:ilvl="2" w:tplc="3CD060B8">
      <w:numFmt w:val="bullet"/>
      <w:lvlText w:val="•"/>
      <w:lvlJc w:val="left"/>
      <w:pPr>
        <w:ind w:left="646" w:hanging="217"/>
      </w:pPr>
      <w:rPr>
        <w:rFonts w:hint="default"/>
        <w:lang w:val="en-GB" w:eastAsia="en-GB" w:bidi="en-GB"/>
      </w:rPr>
    </w:lvl>
    <w:lvl w:ilvl="3" w:tplc="EFA4EAC6">
      <w:numFmt w:val="bullet"/>
      <w:lvlText w:val="•"/>
      <w:lvlJc w:val="left"/>
      <w:pPr>
        <w:ind w:left="819" w:hanging="217"/>
      </w:pPr>
      <w:rPr>
        <w:rFonts w:hint="default"/>
        <w:lang w:val="en-GB" w:eastAsia="en-GB" w:bidi="en-GB"/>
      </w:rPr>
    </w:lvl>
    <w:lvl w:ilvl="4" w:tplc="6FFEC2DA">
      <w:numFmt w:val="bullet"/>
      <w:lvlText w:val="•"/>
      <w:lvlJc w:val="left"/>
      <w:pPr>
        <w:ind w:left="992" w:hanging="217"/>
      </w:pPr>
      <w:rPr>
        <w:rFonts w:hint="default"/>
        <w:lang w:val="en-GB" w:eastAsia="en-GB" w:bidi="en-GB"/>
      </w:rPr>
    </w:lvl>
    <w:lvl w:ilvl="5" w:tplc="CC5EC8EA">
      <w:numFmt w:val="bullet"/>
      <w:lvlText w:val="•"/>
      <w:lvlJc w:val="left"/>
      <w:pPr>
        <w:ind w:left="1165" w:hanging="217"/>
      </w:pPr>
      <w:rPr>
        <w:rFonts w:hint="default"/>
        <w:lang w:val="en-GB" w:eastAsia="en-GB" w:bidi="en-GB"/>
      </w:rPr>
    </w:lvl>
    <w:lvl w:ilvl="6" w:tplc="4DB474CE">
      <w:numFmt w:val="bullet"/>
      <w:lvlText w:val="•"/>
      <w:lvlJc w:val="left"/>
      <w:pPr>
        <w:ind w:left="1338" w:hanging="217"/>
      </w:pPr>
      <w:rPr>
        <w:rFonts w:hint="default"/>
        <w:lang w:val="en-GB" w:eastAsia="en-GB" w:bidi="en-GB"/>
      </w:rPr>
    </w:lvl>
    <w:lvl w:ilvl="7" w:tplc="A5DA5024">
      <w:numFmt w:val="bullet"/>
      <w:lvlText w:val="•"/>
      <w:lvlJc w:val="left"/>
      <w:pPr>
        <w:ind w:left="1511" w:hanging="217"/>
      </w:pPr>
      <w:rPr>
        <w:rFonts w:hint="default"/>
        <w:lang w:val="en-GB" w:eastAsia="en-GB" w:bidi="en-GB"/>
      </w:rPr>
    </w:lvl>
    <w:lvl w:ilvl="8" w:tplc="0F62943E">
      <w:numFmt w:val="bullet"/>
      <w:lvlText w:val="•"/>
      <w:lvlJc w:val="left"/>
      <w:pPr>
        <w:ind w:left="1684" w:hanging="217"/>
      </w:pPr>
      <w:rPr>
        <w:rFonts w:hint="default"/>
        <w:lang w:val="en-GB" w:eastAsia="en-GB" w:bidi="en-GB"/>
      </w:rPr>
    </w:lvl>
  </w:abstractNum>
  <w:abstractNum w:abstractNumId="1415" w15:restartNumberingAfterBreak="0">
    <w:nsid w:val="7EFB3C1D"/>
    <w:multiLevelType w:val="hybridMultilevel"/>
    <w:tmpl w:val="A5F06AF2"/>
    <w:lvl w:ilvl="0" w:tplc="3586C3A2">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B80E680C">
      <w:numFmt w:val="bullet"/>
      <w:lvlText w:val="•"/>
      <w:lvlJc w:val="left"/>
      <w:pPr>
        <w:ind w:left="473" w:hanging="217"/>
      </w:pPr>
      <w:rPr>
        <w:rFonts w:hint="default"/>
        <w:lang w:val="en-GB" w:eastAsia="en-GB" w:bidi="en-GB"/>
      </w:rPr>
    </w:lvl>
    <w:lvl w:ilvl="2" w:tplc="02247D3C">
      <w:numFmt w:val="bullet"/>
      <w:lvlText w:val="•"/>
      <w:lvlJc w:val="left"/>
      <w:pPr>
        <w:ind w:left="646" w:hanging="217"/>
      </w:pPr>
      <w:rPr>
        <w:rFonts w:hint="default"/>
        <w:lang w:val="en-GB" w:eastAsia="en-GB" w:bidi="en-GB"/>
      </w:rPr>
    </w:lvl>
    <w:lvl w:ilvl="3" w:tplc="ECEA8A1C">
      <w:numFmt w:val="bullet"/>
      <w:lvlText w:val="•"/>
      <w:lvlJc w:val="left"/>
      <w:pPr>
        <w:ind w:left="819" w:hanging="217"/>
      </w:pPr>
      <w:rPr>
        <w:rFonts w:hint="default"/>
        <w:lang w:val="en-GB" w:eastAsia="en-GB" w:bidi="en-GB"/>
      </w:rPr>
    </w:lvl>
    <w:lvl w:ilvl="4" w:tplc="E8603150">
      <w:numFmt w:val="bullet"/>
      <w:lvlText w:val="•"/>
      <w:lvlJc w:val="left"/>
      <w:pPr>
        <w:ind w:left="992" w:hanging="217"/>
      </w:pPr>
      <w:rPr>
        <w:rFonts w:hint="default"/>
        <w:lang w:val="en-GB" w:eastAsia="en-GB" w:bidi="en-GB"/>
      </w:rPr>
    </w:lvl>
    <w:lvl w:ilvl="5" w:tplc="2214A788">
      <w:numFmt w:val="bullet"/>
      <w:lvlText w:val="•"/>
      <w:lvlJc w:val="left"/>
      <w:pPr>
        <w:ind w:left="1165" w:hanging="217"/>
      </w:pPr>
      <w:rPr>
        <w:rFonts w:hint="default"/>
        <w:lang w:val="en-GB" w:eastAsia="en-GB" w:bidi="en-GB"/>
      </w:rPr>
    </w:lvl>
    <w:lvl w:ilvl="6" w:tplc="B762B57A">
      <w:numFmt w:val="bullet"/>
      <w:lvlText w:val="•"/>
      <w:lvlJc w:val="left"/>
      <w:pPr>
        <w:ind w:left="1338" w:hanging="217"/>
      </w:pPr>
      <w:rPr>
        <w:rFonts w:hint="default"/>
        <w:lang w:val="en-GB" w:eastAsia="en-GB" w:bidi="en-GB"/>
      </w:rPr>
    </w:lvl>
    <w:lvl w:ilvl="7" w:tplc="B78AD31C">
      <w:numFmt w:val="bullet"/>
      <w:lvlText w:val="•"/>
      <w:lvlJc w:val="left"/>
      <w:pPr>
        <w:ind w:left="1511" w:hanging="217"/>
      </w:pPr>
      <w:rPr>
        <w:rFonts w:hint="default"/>
        <w:lang w:val="en-GB" w:eastAsia="en-GB" w:bidi="en-GB"/>
      </w:rPr>
    </w:lvl>
    <w:lvl w:ilvl="8" w:tplc="752A276E">
      <w:numFmt w:val="bullet"/>
      <w:lvlText w:val="•"/>
      <w:lvlJc w:val="left"/>
      <w:pPr>
        <w:ind w:left="1684" w:hanging="217"/>
      </w:pPr>
      <w:rPr>
        <w:rFonts w:hint="default"/>
        <w:lang w:val="en-GB" w:eastAsia="en-GB" w:bidi="en-GB"/>
      </w:rPr>
    </w:lvl>
  </w:abstractNum>
  <w:abstractNum w:abstractNumId="1416" w15:restartNumberingAfterBreak="0">
    <w:nsid w:val="7F152355"/>
    <w:multiLevelType w:val="hybridMultilevel"/>
    <w:tmpl w:val="53A8EE90"/>
    <w:lvl w:ilvl="0" w:tplc="BEFA1096">
      <w:numFmt w:val="bullet"/>
      <w:lvlText w:val="•"/>
      <w:lvlJc w:val="left"/>
      <w:pPr>
        <w:ind w:left="305" w:hanging="217"/>
      </w:pPr>
      <w:rPr>
        <w:rFonts w:ascii="Arial" w:eastAsia="Arial" w:hAnsi="Arial" w:cs="Arial" w:hint="default"/>
        <w:color w:val="231F20"/>
        <w:w w:val="102"/>
        <w:sz w:val="17"/>
        <w:szCs w:val="17"/>
        <w:lang w:val="en-GB" w:eastAsia="en-GB" w:bidi="en-GB"/>
      </w:rPr>
    </w:lvl>
    <w:lvl w:ilvl="1" w:tplc="B1129A7A">
      <w:numFmt w:val="bullet"/>
      <w:lvlText w:val="•"/>
      <w:lvlJc w:val="left"/>
      <w:pPr>
        <w:ind w:left="892" w:hanging="217"/>
      </w:pPr>
      <w:rPr>
        <w:rFonts w:hint="default"/>
        <w:lang w:val="en-GB" w:eastAsia="en-GB" w:bidi="en-GB"/>
      </w:rPr>
    </w:lvl>
    <w:lvl w:ilvl="2" w:tplc="B6E28710">
      <w:numFmt w:val="bullet"/>
      <w:lvlText w:val="•"/>
      <w:lvlJc w:val="left"/>
      <w:pPr>
        <w:ind w:left="1485" w:hanging="217"/>
      </w:pPr>
      <w:rPr>
        <w:rFonts w:hint="default"/>
        <w:lang w:val="en-GB" w:eastAsia="en-GB" w:bidi="en-GB"/>
      </w:rPr>
    </w:lvl>
    <w:lvl w:ilvl="3" w:tplc="F98AB896">
      <w:numFmt w:val="bullet"/>
      <w:lvlText w:val="•"/>
      <w:lvlJc w:val="left"/>
      <w:pPr>
        <w:ind w:left="2077" w:hanging="217"/>
      </w:pPr>
      <w:rPr>
        <w:rFonts w:hint="default"/>
        <w:lang w:val="en-GB" w:eastAsia="en-GB" w:bidi="en-GB"/>
      </w:rPr>
    </w:lvl>
    <w:lvl w:ilvl="4" w:tplc="E5E6643E">
      <w:numFmt w:val="bullet"/>
      <w:lvlText w:val="•"/>
      <w:lvlJc w:val="left"/>
      <w:pPr>
        <w:ind w:left="2670" w:hanging="217"/>
      </w:pPr>
      <w:rPr>
        <w:rFonts w:hint="default"/>
        <w:lang w:val="en-GB" w:eastAsia="en-GB" w:bidi="en-GB"/>
      </w:rPr>
    </w:lvl>
    <w:lvl w:ilvl="5" w:tplc="FE7C5E14">
      <w:numFmt w:val="bullet"/>
      <w:lvlText w:val="•"/>
      <w:lvlJc w:val="left"/>
      <w:pPr>
        <w:ind w:left="3263" w:hanging="217"/>
      </w:pPr>
      <w:rPr>
        <w:rFonts w:hint="default"/>
        <w:lang w:val="en-GB" w:eastAsia="en-GB" w:bidi="en-GB"/>
      </w:rPr>
    </w:lvl>
    <w:lvl w:ilvl="6" w:tplc="A806A1F2">
      <w:numFmt w:val="bullet"/>
      <w:lvlText w:val="•"/>
      <w:lvlJc w:val="left"/>
      <w:pPr>
        <w:ind w:left="3855" w:hanging="217"/>
      </w:pPr>
      <w:rPr>
        <w:rFonts w:hint="default"/>
        <w:lang w:val="en-GB" w:eastAsia="en-GB" w:bidi="en-GB"/>
      </w:rPr>
    </w:lvl>
    <w:lvl w:ilvl="7" w:tplc="35EABCE6">
      <w:numFmt w:val="bullet"/>
      <w:lvlText w:val="•"/>
      <w:lvlJc w:val="left"/>
      <w:pPr>
        <w:ind w:left="4448" w:hanging="217"/>
      </w:pPr>
      <w:rPr>
        <w:rFonts w:hint="default"/>
        <w:lang w:val="en-GB" w:eastAsia="en-GB" w:bidi="en-GB"/>
      </w:rPr>
    </w:lvl>
    <w:lvl w:ilvl="8" w:tplc="7B12E65C">
      <w:numFmt w:val="bullet"/>
      <w:lvlText w:val="•"/>
      <w:lvlJc w:val="left"/>
      <w:pPr>
        <w:ind w:left="5040" w:hanging="217"/>
      </w:pPr>
      <w:rPr>
        <w:rFonts w:hint="default"/>
        <w:lang w:val="en-GB" w:eastAsia="en-GB" w:bidi="en-GB"/>
      </w:rPr>
    </w:lvl>
  </w:abstractNum>
  <w:abstractNum w:abstractNumId="1417" w15:restartNumberingAfterBreak="0">
    <w:nsid w:val="7F3A1673"/>
    <w:multiLevelType w:val="hybridMultilevel"/>
    <w:tmpl w:val="FEDAB730"/>
    <w:lvl w:ilvl="0" w:tplc="4DB6976A">
      <w:numFmt w:val="bullet"/>
      <w:lvlText w:val="•"/>
      <w:lvlJc w:val="left"/>
      <w:pPr>
        <w:ind w:left="304" w:hanging="217"/>
      </w:pPr>
      <w:rPr>
        <w:rFonts w:ascii="Arial" w:eastAsia="Arial" w:hAnsi="Arial" w:cs="Arial" w:hint="default"/>
        <w:color w:val="231F20"/>
        <w:w w:val="102"/>
        <w:sz w:val="17"/>
        <w:szCs w:val="17"/>
        <w:lang w:val="en-GB" w:eastAsia="en-GB" w:bidi="en-GB"/>
      </w:rPr>
    </w:lvl>
    <w:lvl w:ilvl="1" w:tplc="4B0C9508">
      <w:numFmt w:val="bullet"/>
      <w:lvlText w:val="•"/>
      <w:lvlJc w:val="left"/>
      <w:pPr>
        <w:ind w:left="439" w:hanging="217"/>
      </w:pPr>
      <w:rPr>
        <w:rFonts w:hint="default"/>
        <w:lang w:val="en-GB" w:eastAsia="en-GB" w:bidi="en-GB"/>
      </w:rPr>
    </w:lvl>
    <w:lvl w:ilvl="2" w:tplc="BB5A0DA6">
      <w:numFmt w:val="bullet"/>
      <w:lvlText w:val="•"/>
      <w:lvlJc w:val="left"/>
      <w:pPr>
        <w:ind w:left="578" w:hanging="217"/>
      </w:pPr>
      <w:rPr>
        <w:rFonts w:hint="default"/>
        <w:lang w:val="en-GB" w:eastAsia="en-GB" w:bidi="en-GB"/>
      </w:rPr>
    </w:lvl>
    <w:lvl w:ilvl="3" w:tplc="0CCC49EA">
      <w:numFmt w:val="bullet"/>
      <w:lvlText w:val="•"/>
      <w:lvlJc w:val="left"/>
      <w:pPr>
        <w:ind w:left="717" w:hanging="217"/>
      </w:pPr>
      <w:rPr>
        <w:rFonts w:hint="default"/>
        <w:lang w:val="en-GB" w:eastAsia="en-GB" w:bidi="en-GB"/>
      </w:rPr>
    </w:lvl>
    <w:lvl w:ilvl="4" w:tplc="FD787898">
      <w:numFmt w:val="bullet"/>
      <w:lvlText w:val="•"/>
      <w:lvlJc w:val="left"/>
      <w:pPr>
        <w:ind w:left="856" w:hanging="217"/>
      </w:pPr>
      <w:rPr>
        <w:rFonts w:hint="default"/>
        <w:lang w:val="en-GB" w:eastAsia="en-GB" w:bidi="en-GB"/>
      </w:rPr>
    </w:lvl>
    <w:lvl w:ilvl="5" w:tplc="EE78F40A">
      <w:numFmt w:val="bullet"/>
      <w:lvlText w:val="•"/>
      <w:lvlJc w:val="left"/>
      <w:pPr>
        <w:ind w:left="995" w:hanging="217"/>
      </w:pPr>
      <w:rPr>
        <w:rFonts w:hint="default"/>
        <w:lang w:val="en-GB" w:eastAsia="en-GB" w:bidi="en-GB"/>
      </w:rPr>
    </w:lvl>
    <w:lvl w:ilvl="6" w:tplc="D1A072C6">
      <w:numFmt w:val="bullet"/>
      <w:lvlText w:val="•"/>
      <w:lvlJc w:val="left"/>
      <w:pPr>
        <w:ind w:left="1134" w:hanging="217"/>
      </w:pPr>
      <w:rPr>
        <w:rFonts w:hint="default"/>
        <w:lang w:val="en-GB" w:eastAsia="en-GB" w:bidi="en-GB"/>
      </w:rPr>
    </w:lvl>
    <w:lvl w:ilvl="7" w:tplc="9DB2423A">
      <w:numFmt w:val="bullet"/>
      <w:lvlText w:val="•"/>
      <w:lvlJc w:val="left"/>
      <w:pPr>
        <w:ind w:left="1273" w:hanging="217"/>
      </w:pPr>
      <w:rPr>
        <w:rFonts w:hint="default"/>
        <w:lang w:val="en-GB" w:eastAsia="en-GB" w:bidi="en-GB"/>
      </w:rPr>
    </w:lvl>
    <w:lvl w:ilvl="8" w:tplc="04C0BA70">
      <w:numFmt w:val="bullet"/>
      <w:lvlText w:val="•"/>
      <w:lvlJc w:val="left"/>
      <w:pPr>
        <w:ind w:left="1412" w:hanging="217"/>
      </w:pPr>
      <w:rPr>
        <w:rFonts w:hint="default"/>
        <w:lang w:val="en-GB" w:eastAsia="en-GB" w:bidi="en-GB"/>
      </w:rPr>
    </w:lvl>
  </w:abstractNum>
  <w:abstractNum w:abstractNumId="1418" w15:restartNumberingAfterBreak="0">
    <w:nsid w:val="7F442631"/>
    <w:multiLevelType w:val="hybridMultilevel"/>
    <w:tmpl w:val="AE42C5DA"/>
    <w:lvl w:ilvl="0" w:tplc="DACA0DFA">
      <w:numFmt w:val="bullet"/>
      <w:lvlText w:val="•"/>
      <w:lvlJc w:val="left"/>
      <w:pPr>
        <w:ind w:left="304" w:hanging="217"/>
      </w:pPr>
      <w:rPr>
        <w:rFonts w:ascii="Arial" w:eastAsia="Arial" w:hAnsi="Arial" w:cs="Arial" w:hint="default"/>
        <w:color w:val="231F20"/>
        <w:spacing w:val="-7"/>
        <w:w w:val="100"/>
        <w:sz w:val="18"/>
        <w:szCs w:val="18"/>
        <w:lang w:val="en-GB" w:eastAsia="en-GB" w:bidi="en-GB"/>
      </w:rPr>
    </w:lvl>
    <w:lvl w:ilvl="1" w:tplc="9FD4F154">
      <w:numFmt w:val="bullet"/>
      <w:lvlText w:val="•"/>
      <w:lvlJc w:val="left"/>
      <w:pPr>
        <w:ind w:left="544" w:hanging="217"/>
      </w:pPr>
      <w:rPr>
        <w:rFonts w:hint="default"/>
        <w:lang w:val="en-GB" w:eastAsia="en-GB" w:bidi="en-GB"/>
      </w:rPr>
    </w:lvl>
    <w:lvl w:ilvl="2" w:tplc="C3C01BCE">
      <w:numFmt w:val="bullet"/>
      <w:lvlText w:val="•"/>
      <w:lvlJc w:val="left"/>
      <w:pPr>
        <w:ind w:left="788" w:hanging="217"/>
      </w:pPr>
      <w:rPr>
        <w:rFonts w:hint="default"/>
        <w:lang w:val="en-GB" w:eastAsia="en-GB" w:bidi="en-GB"/>
      </w:rPr>
    </w:lvl>
    <w:lvl w:ilvl="3" w:tplc="3674690C">
      <w:numFmt w:val="bullet"/>
      <w:lvlText w:val="•"/>
      <w:lvlJc w:val="left"/>
      <w:pPr>
        <w:ind w:left="1032" w:hanging="217"/>
      </w:pPr>
      <w:rPr>
        <w:rFonts w:hint="default"/>
        <w:lang w:val="en-GB" w:eastAsia="en-GB" w:bidi="en-GB"/>
      </w:rPr>
    </w:lvl>
    <w:lvl w:ilvl="4" w:tplc="9182B128">
      <w:numFmt w:val="bullet"/>
      <w:lvlText w:val="•"/>
      <w:lvlJc w:val="left"/>
      <w:pPr>
        <w:ind w:left="1276" w:hanging="217"/>
      </w:pPr>
      <w:rPr>
        <w:rFonts w:hint="default"/>
        <w:lang w:val="en-GB" w:eastAsia="en-GB" w:bidi="en-GB"/>
      </w:rPr>
    </w:lvl>
    <w:lvl w:ilvl="5" w:tplc="B86A4728">
      <w:numFmt w:val="bullet"/>
      <w:lvlText w:val="•"/>
      <w:lvlJc w:val="left"/>
      <w:pPr>
        <w:ind w:left="1520" w:hanging="217"/>
      </w:pPr>
      <w:rPr>
        <w:rFonts w:hint="default"/>
        <w:lang w:val="en-GB" w:eastAsia="en-GB" w:bidi="en-GB"/>
      </w:rPr>
    </w:lvl>
    <w:lvl w:ilvl="6" w:tplc="1B62FAB2">
      <w:numFmt w:val="bullet"/>
      <w:lvlText w:val="•"/>
      <w:lvlJc w:val="left"/>
      <w:pPr>
        <w:ind w:left="1764" w:hanging="217"/>
      </w:pPr>
      <w:rPr>
        <w:rFonts w:hint="default"/>
        <w:lang w:val="en-GB" w:eastAsia="en-GB" w:bidi="en-GB"/>
      </w:rPr>
    </w:lvl>
    <w:lvl w:ilvl="7" w:tplc="22509D00">
      <w:numFmt w:val="bullet"/>
      <w:lvlText w:val="•"/>
      <w:lvlJc w:val="left"/>
      <w:pPr>
        <w:ind w:left="2008" w:hanging="217"/>
      </w:pPr>
      <w:rPr>
        <w:rFonts w:hint="default"/>
        <w:lang w:val="en-GB" w:eastAsia="en-GB" w:bidi="en-GB"/>
      </w:rPr>
    </w:lvl>
    <w:lvl w:ilvl="8" w:tplc="9D181D52">
      <w:numFmt w:val="bullet"/>
      <w:lvlText w:val="•"/>
      <w:lvlJc w:val="left"/>
      <w:pPr>
        <w:ind w:left="2252" w:hanging="217"/>
      </w:pPr>
      <w:rPr>
        <w:rFonts w:hint="default"/>
        <w:lang w:val="en-GB" w:eastAsia="en-GB" w:bidi="en-GB"/>
      </w:rPr>
    </w:lvl>
  </w:abstractNum>
  <w:abstractNum w:abstractNumId="1419" w15:restartNumberingAfterBreak="0">
    <w:nsid w:val="7F646550"/>
    <w:multiLevelType w:val="hybridMultilevel"/>
    <w:tmpl w:val="D74C32E4"/>
    <w:lvl w:ilvl="0" w:tplc="C472C41C">
      <w:numFmt w:val="bullet"/>
      <w:lvlText w:val="•"/>
      <w:lvlJc w:val="left"/>
      <w:pPr>
        <w:ind w:left="303" w:hanging="217"/>
      </w:pPr>
      <w:rPr>
        <w:rFonts w:ascii="Arial" w:eastAsia="Arial" w:hAnsi="Arial" w:cs="Arial" w:hint="default"/>
        <w:color w:val="231F20"/>
        <w:w w:val="102"/>
        <w:sz w:val="17"/>
        <w:szCs w:val="17"/>
        <w:lang w:val="en-GB" w:eastAsia="en-GB" w:bidi="en-GB"/>
      </w:rPr>
    </w:lvl>
    <w:lvl w:ilvl="1" w:tplc="FF66A9DE">
      <w:numFmt w:val="bullet"/>
      <w:lvlText w:val="•"/>
      <w:lvlJc w:val="left"/>
      <w:pPr>
        <w:ind w:left="439" w:hanging="217"/>
      </w:pPr>
      <w:rPr>
        <w:rFonts w:hint="default"/>
        <w:lang w:val="en-GB" w:eastAsia="en-GB" w:bidi="en-GB"/>
      </w:rPr>
    </w:lvl>
    <w:lvl w:ilvl="2" w:tplc="235E12C2">
      <w:numFmt w:val="bullet"/>
      <w:lvlText w:val="•"/>
      <w:lvlJc w:val="left"/>
      <w:pPr>
        <w:ind w:left="578" w:hanging="217"/>
      </w:pPr>
      <w:rPr>
        <w:rFonts w:hint="default"/>
        <w:lang w:val="en-GB" w:eastAsia="en-GB" w:bidi="en-GB"/>
      </w:rPr>
    </w:lvl>
    <w:lvl w:ilvl="3" w:tplc="E7A2C134">
      <w:numFmt w:val="bullet"/>
      <w:lvlText w:val="•"/>
      <w:lvlJc w:val="left"/>
      <w:pPr>
        <w:ind w:left="717" w:hanging="217"/>
      </w:pPr>
      <w:rPr>
        <w:rFonts w:hint="default"/>
        <w:lang w:val="en-GB" w:eastAsia="en-GB" w:bidi="en-GB"/>
      </w:rPr>
    </w:lvl>
    <w:lvl w:ilvl="4" w:tplc="818A329E">
      <w:numFmt w:val="bullet"/>
      <w:lvlText w:val="•"/>
      <w:lvlJc w:val="left"/>
      <w:pPr>
        <w:ind w:left="856" w:hanging="217"/>
      </w:pPr>
      <w:rPr>
        <w:rFonts w:hint="default"/>
        <w:lang w:val="en-GB" w:eastAsia="en-GB" w:bidi="en-GB"/>
      </w:rPr>
    </w:lvl>
    <w:lvl w:ilvl="5" w:tplc="2E7A8ACC">
      <w:numFmt w:val="bullet"/>
      <w:lvlText w:val="•"/>
      <w:lvlJc w:val="left"/>
      <w:pPr>
        <w:ind w:left="995" w:hanging="217"/>
      </w:pPr>
      <w:rPr>
        <w:rFonts w:hint="default"/>
        <w:lang w:val="en-GB" w:eastAsia="en-GB" w:bidi="en-GB"/>
      </w:rPr>
    </w:lvl>
    <w:lvl w:ilvl="6" w:tplc="366E8362">
      <w:numFmt w:val="bullet"/>
      <w:lvlText w:val="•"/>
      <w:lvlJc w:val="left"/>
      <w:pPr>
        <w:ind w:left="1134" w:hanging="217"/>
      </w:pPr>
      <w:rPr>
        <w:rFonts w:hint="default"/>
        <w:lang w:val="en-GB" w:eastAsia="en-GB" w:bidi="en-GB"/>
      </w:rPr>
    </w:lvl>
    <w:lvl w:ilvl="7" w:tplc="D4C41B3A">
      <w:numFmt w:val="bullet"/>
      <w:lvlText w:val="•"/>
      <w:lvlJc w:val="left"/>
      <w:pPr>
        <w:ind w:left="1273" w:hanging="217"/>
      </w:pPr>
      <w:rPr>
        <w:rFonts w:hint="default"/>
        <w:lang w:val="en-GB" w:eastAsia="en-GB" w:bidi="en-GB"/>
      </w:rPr>
    </w:lvl>
    <w:lvl w:ilvl="8" w:tplc="DE22572A">
      <w:numFmt w:val="bullet"/>
      <w:lvlText w:val="•"/>
      <w:lvlJc w:val="left"/>
      <w:pPr>
        <w:ind w:left="1412" w:hanging="217"/>
      </w:pPr>
      <w:rPr>
        <w:rFonts w:hint="default"/>
        <w:lang w:val="en-GB" w:eastAsia="en-GB" w:bidi="en-GB"/>
      </w:rPr>
    </w:lvl>
  </w:abstractNum>
  <w:abstractNum w:abstractNumId="1420" w15:restartNumberingAfterBreak="0">
    <w:nsid w:val="7F7D20AC"/>
    <w:multiLevelType w:val="hybridMultilevel"/>
    <w:tmpl w:val="3BEAD63A"/>
    <w:lvl w:ilvl="0" w:tplc="F59866CC">
      <w:numFmt w:val="bullet"/>
      <w:lvlText w:val="•"/>
      <w:lvlJc w:val="left"/>
      <w:pPr>
        <w:ind w:left="304" w:hanging="217"/>
      </w:pPr>
      <w:rPr>
        <w:rFonts w:ascii="Arial" w:eastAsia="Arial" w:hAnsi="Arial" w:cs="Arial" w:hint="default"/>
        <w:color w:val="231F20"/>
        <w:spacing w:val="-1"/>
        <w:w w:val="100"/>
        <w:sz w:val="18"/>
        <w:szCs w:val="18"/>
        <w:lang w:val="en-GB" w:eastAsia="en-GB" w:bidi="en-GB"/>
      </w:rPr>
    </w:lvl>
    <w:lvl w:ilvl="1" w:tplc="2BE8CF14">
      <w:numFmt w:val="bullet"/>
      <w:lvlText w:val="•"/>
      <w:lvlJc w:val="left"/>
      <w:pPr>
        <w:ind w:left="473" w:hanging="217"/>
      </w:pPr>
      <w:rPr>
        <w:rFonts w:hint="default"/>
        <w:lang w:val="en-GB" w:eastAsia="en-GB" w:bidi="en-GB"/>
      </w:rPr>
    </w:lvl>
    <w:lvl w:ilvl="2" w:tplc="C55C0D94">
      <w:numFmt w:val="bullet"/>
      <w:lvlText w:val="•"/>
      <w:lvlJc w:val="left"/>
      <w:pPr>
        <w:ind w:left="646" w:hanging="217"/>
      </w:pPr>
      <w:rPr>
        <w:rFonts w:hint="default"/>
        <w:lang w:val="en-GB" w:eastAsia="en-GB" w:bidi="en-GB"/>
      </w:rPr>
    </w:lvl>
    <w:lvl w:ilvl="3" w:tplc="32264B9A">
      <w:numFmt w:val="bullet"/>
      <w:lvlText w:val="•"/>
      <w:lvlJc w:val="left"/>
      <w:pPr>
        <w:ind w:left="819" w:hanging="217"/>
      </w:pPr>
      <w:rPr>
        <w:rFonts w:hint="default"/>
        <w:lang w:val="en-GB" w:eastAsia="en-GB" w:bidi="en-GB"/>
      </w:rPr>
    </w:lvl>
    <w:lvl w:ilvl="4" w:tplc="ABDA3842">
      <w:numFmt w:val="bullet"/>
      <w:lvlText w:val="•"/>
      <w:lvlJc w:val="left"/>
      <w:pPr>
        <w:ind w:left="992" w:hanging="217"/>
      </w:pPr>
      <w:rPr>
        <w:rFonts w:hint="default"/>
        <w:lang w:val="en-GB" w:eastAsia="en-GB" w:bidi="en-GB"/>
      </w:rPr>
    </w:lvl>
    <w:lvl w:ilvl="5" w:tplc="9BDE3C4E">
      <w:numFmt w:val="bullet"/>
      <w:lvlText w:val="•"/>
      <w:lvlJc w:val="left"/>
      <w:pPr>
        <w:ind w:left="1165" w:hanging="217"/>
      </w:pPr>
      <w:rPr>
        <w:rFonts w:hint="default"/>
        <w:lang w:val="en-GB" w:eastAsia="en-GB" w:bidi="en-GB"/>
      </w:rPr>
    </w:lvl>
    <w:lvl w:ilvl="6" w:tplc="FA4E3352">
      <w:numFmt w:val="bullet"/>
      <w:lvlText w:val="•"/>
      <w:lvlJc w:val="left"/>
      <w:pPr>
        <w:ind w:left="1338" w:hanging="217"/>
      </w:pPr>
      <w:rPr>
        <w:rFonts w:hint="default"/>
        <w:lang w:val="en-GB" w:eastAsia="en-GB" w:bidi="en-GB"/>
      </w:rPr>
    </w:lvl>
    <w:lvl w:ilvl="7" w:tplc="26EEC870">
      <w:numFmt w:val="bullet"/>
      <w:lvlText w:val="•"/>
      <w:lvlJc w:val="left"/>
      <w:pPr>
        <w:ind w:left="1511" w:hanging="217"/>
      </w:pPr>
      <w:rPr>
        <w:rFonts w:hint="default"/>
        <w:lang w:val="en-GB" w:eastAsia="en-GB" w:bidi="en-GB"/>
      </w:rPr>
    </w:lvl>
    <w:lvl w:ilvl="8" w:tplc="04B013F0">
      <w:numFmt w:val="bullet"/>
      <w:lvlText w:val="•"/>
      <w:lvlJc w:val="left"/>
      <w:pPr>
        <w:ind w:left="1684" w:hanging="217"/>
      </w:pPr>
      <w:rPr>
        <w:rFonts w:hint="default"/>
        <w:lang w:val="en-GB" w:eastAsia="en-GB" w:bidi="en-GB"/>
      </w:rPr>
    </w:lvl>
  </w:abstractNum>
  <w:abstractNum w:abstractNumId="1421" w15:restartNumberingAfterBreak="0">
    <w:nsid w:val="7FE5437E"/>
    <w:multiLevelType w:val="hybridMultilevel"/>
    <w:tmpl w:val="1528E7C2"/>
    <w:lvl w:ilvl="0" w:tplc="A12EE1B2">
      <w:numFmt w:val="bullet"/>
      <w:lvlText w:val="•"/>
      <w:lvlJc w:val="left"/>
      <w:pPr>
        <w:ind w:left="276" w:hanging="217"/>
      </w:pPr>
      <w:rPr>
        <w:rFonts w:ascii="Arial" w:eastAsia="Arial" w:hAnsi="Arial" w:cs="Arial" w:hint="default"/>
        <w:color w:val="231F20"/>
        <w:w w:val="97"/>
        <w:sz w:val="16"/>
        <w:szCs w:val="16"/>
        <w:lang w:val="en-GB" w:eastAsia="en-GB" w:bidi="en-GB"/>
      </w:rPr>
    </w:lvl>
    <w:lvl w:ilvl="1" w:tplc="FCCCC9C2">
      <w:numFmt w:val="bullet"/>
      <w:lvlText w:val="•"/>
      <w:lvlJc w:val="left"/>
      <w:pPr>
        <w:ind w:left="381" w:hanging="217"/>
      </w:pPr>
      <w:rPr>
        <w:rFonts w:hint="default"/>
        <w:lang w:val="en-GB" w:eastAsia="en-GB" w:bidi="en-GB"/>
      </w:rPr>
    </w:lvl>
    <w:lvl w:ilvl="2" w:tplc="A8F8A054">
      <w:numFmt w:val="bullet"/>
      <w:lvlText w:val="•"/>
      <w:lvlJc w:val="left"/>
      <w:pPr>
        <w:ind w:left="482" w:hanging="217"/>
      </w:pPr>
      <w:rPr>
        <w:rFonts w:hint="default"/>
        <w:lang w:val="en-GB" w:eastAsia="en-GB" w:bidi="en-GB"/>
      </w:rPr>
    </w:lvl>
    <w:lvl w:ilvl="3" w:tplc="1F020558">
      <w:numFmt w:val="bullet"/>
      <w:lvlText w:val="•"/>
      <w:lvlJc w:val="left"/>
      <w:pPr>
        <w:ind w:left="584" w:hanging="217"/>
      </w:pPr>
      <w:rPr>
        <w:rFonts w:hint="default"/>
        <w:lang w:val="en-GB" w:eastAsia="en-GB" w:bidi="en-GB"/>
      </w:rPr>
    </w:lvl>
    <w:lvl w:ilvl="4" w:tplc="4B56B3A2">
      <w:numFmt w:val="bullet"/>
      <w:lvlText w:val="•"/>
      <w:lvlJc w:val="left"/>
      <w:pPr>
        <w:ind w:left="685" w:hanging="217"/>
      </w:pPr>
      <w:rPr>
        <w:rFonts w:hint="default"/>
        <w:lang w:val="en-GB" w:eastAsia="en-GB" w:bidi="en-GB"/>
      </w:rPr>
    </w:lvl>
    <w:lvl w:ilvl="5" w:tplc="C36C9424">
      <w:numFmt w:val="bullet"/>
      <w:lvlText w:val="•"/>
      <w:lvlJc w:val="left"/>
      <w:pPr>
        <w:ind w:left="787" w:hanging="217"/>
      </w:pPr>
      <w:rPr>
        <w:rFonts w:hint="default"/>
        <w:lang w:val="en-GB" w:eastAsia="en-GB" w:bidi="en-GB"/>
      </w:rPr>
    </w:lvl>
    <w:lvl w:ilvl="6" w:tplc="D44AC55C">
      <w:numFmt w:val="bullet"/>
      <w:lvlText w:val="•"/>
      <w:lvlJc w:val="left"/>
      <w:pPr>
        <w:ind w:left="888" w:hanging="217"/>
      </w:pPr>
      <w:rPr>
        <w:rFonts w:hint="default"/>
        <w:lang w:val="en-GB" w:eastAsia="en-GB" w:bidi="en-GB"/>
      </w:rPr>
    </w:lvl>
    <w:lvl w:ilvl="7" w:tplc="D9680462">
      <w:numFmt w:val="bullet"/>
      <w:lvlText w:val="•"/>
      <w:lvlJc w:val="left"/>
      <w:pPr>
        <w:ind w:left="989" w:hanging="217"/>
      </w:pPr>
      <w:rPr>
        <w:rFonts w:hint="default"/>
        <w:lang w:val="en-GB" w:eastAsia="en-GB" w:bidi="en-GB"/>
      </w:rPr>
    </w:lvl>
    <w:lvl w:ilvl="8" w:tplc="A1C0D622">
      <w:numFmt w:val="bullet"/>
      <w:lvlText w:val="•"/>
      <w:lvlJc w:val="left"/>
      <w:pPr>
        <w:ind w:left="1091" w:hanging="217"/>
      </w:pPr>
      <w:rPr>
        <w:rFonts w:hint="default"/>
        <w:lang w:val="en-GB" w:eastAsia="en-GB" w:bidi="en-GB"/>
      </w:rPr>
    </w:lvl>
  </w:abstractNum>
  <w:abstractNum w:abstractNumId="1422" w15:restartNumberingAfterBreak="0">
    <w:nsid w:val="7FE9590E"/>
    <w:multiLevelType w:val="hybridMultilevel"/>
    <w:tmpl w:val="6C70920C"/>
    <w:lvl w:ilvl="0" w:tplc="7AC6632E">
      <w:numFmt w:val="bullet"/>
      <w:lvlText w:val="•"/>
      <w:lvlJc w:val="left"/>
      <w:pPr>
        <w:ind w:left="305" w:hanging="217"/>
      </w:pPr>
      <w:rPr>
        <w:rFonts w:ascii="Arial" w:eastAsia="Arial" w:hAnsi="Arial" w:cs="Arial" w:hint="default"/>
        <w:color w:val="231F20"/>
        <w:spacing w:val="-4"/>
        <w:w w:val="100"/>
        <w:sz w:val="18"/>
        <w:szCs w:val="18"/>
        <w:lang w:val="en-GB" w:eastAsia="en-GB" w:bidi="en-GB"/>
      </w:rPr>
    </w:lvl>
    <w:lvl w:ilvl="1" w:tplc="4B3817F2">
      <w:numFmt w:val="bullet"/>
      <w:lvlText w:val="•"/>
      <w:lvlJc w:val="left"/>
      <w:pPr>
        <w:ind w:left="892" w:hanging="217"/>
      </w:pPr>
      <w:rPr>
        <w:rFonts w:hint="default"/>
        <w:lang w:val="en-GB" w:eastAsia="en-GB" w:bidi="en-GB"/>
      </w:rPr>
    </w:lvl>
    <w:lvl w:ilvl="2" w:tplc="028864CA">
      <w:numFmt w:val="bullet"/>
      <w:lvlText w:val="•"/>
      <w:lvlJc w:val="left"/>
      <w:pPr>
        <w:ind w:left="1485" w:hanging="217"/>
      </w:pPr>
      <w:rPr>
        <w:rFonts w:hint="default"/>
        <w:lang w:val="en-GB" w:eastAsia="en-GB" w:bidi="en-GB"/>
      </w:rPr>
    </w:lvl>
    <w:lvl w:ilvl="3" w:tplc="31B44AE2">
      <w:numFmt w:val="bullet"/>
      <w:lvlText w:val="•"/>
      <w:lvlJc w:val="left"/>
      <w:pPr>
        <w:ind w:left="2077" w:hanging="217"/>
      </w:pPr>
      <w:rPr>
        <w:rFonts w:hint="default"/>
        <w:lang w:val="en-GB" w:eastAsia="en-GB" w:bidi="en-GB"/>
      </w:rPr>
    </w:lvl>
    <w:lvl w:ilvl="4" w:tplc="50D2DB24">
      <w:numFmt w:val="bullet"/>
      <w:lvlText w:val="•"/>
      <w:lvlJc w:val="left"/>
      <w:pPr>
        <w:ind w:left="2670" w:hanging="217"/>
      </w:pPr>
      <w:rPr>
        <w:rFonts w:hint="default"/>
        <w:lang w:val="en-GB" w:eastAsia="en-GB" w:bidi="en-GB"/>
      </w:rPr>
    </w:lvl>
    <w:lvl w:ilvl="5" w:tplc="9A1816BE">
      <w:numFmt w:val="bullet"/>
      <w:lvlText w:val="•"/>
      <w:lvlJc w:val="left"/>
      <w:pPr>
        <w:ind w:left="3263" w:hanging="217"/>
      </w:pPr>
      <w:rPr>
        <w:rFonts w:hint="default"/>
        <w:lang w:val="en-GB" w:eastAsia="en-GB" w:bidi="en-GB"/>
      </w:rPr>
    </w:lvl>
    <w:lvl w:ilvl="6" w:tplc="C8BC9048">
      <w:numFmt w:val="bullet"/>
      <w:lvlText w:val="•"/>
      <w:lvlJc w:val="left"/>
      <w:pPr>
        <w:ind w:left="3855" w:hanging="217"/>
      </w:pPr>
      <w:rPr>
        <w:rFonts w:hint="default"/>
        <w:lang w:val="en-GB" w:eastAsia="en-GB" w:bidi="en-GB"/>
      </w:rPr>
    </w:lvl>
    <w:lvl w:ilvl="7" w:tplc="8E4A2318">
      <w:numFmt w:val="bullet"/>
      <w:lvlText w:val="•"/>
      <w:lvlJc w:val="left"/>
      <w:pPr>
        <w:ind w:left="4448" w:hanging="217"/>
      </w:pPr>
      <w:rPr>
        <w:rFonts w:hint="default"/>
        <w:lang w:val="en-GB" w:eastAsia="en-GB" w:bidi="en-GB"/>
      </w:rPr>
    </w:lvl>
    <w:lvl w:ilvl="8" w:tplc="A3F4574C">
      <w:numFmt w:val="bullet"/>
      <w:lvlText w:val="•"/>
      <w:lvlJc w:val="left"/>
      <w:pPr>
        <w:ind w:left="5040" w:hanging="217"/>
      </w:pPr>
      <w:rPr>
        <w:rFonts w:hint="default"/>
        <w:lang w:val="en-GB" w:eastAsia="en-GB" w:bidi="en-GB"/>
      </w:rPr>
    </w:lvl>
  </w:abstractNum>
  <w:num w:numId="1">
    <w:abstractNumId w:val="630"/>
  </w:num>
  <w:num w:numId="2">
    <w:abstractNumId w:val="1173"/>
  </w:num>
  <w:num w:numId="3">
    <w:abstractNumId w:val="867"/>
  </w:num>
  <w:num w:numId="4">
    <w:abstractNumId w:val="209"/>
  </w:num>
  <w:num w:numId="5">
    <w:abstractNumId w:val="1124"/>
  </w:num>
  <w:num w:numId="6">
    <w:abstractNumId w:val="376"/>
  </w:num>
  <w:num w:numId="7">
    <w:abstractNumId w:val="1006"/>
  </w:num>
  <w:num w:numId="8">
    <w:abstractNumId w:val="1190"/>
  </w:num>
  <w:num w:numId="9">
    <w:abstractNumId w:val="739"/>
  </w:num>
  <w:num w:numId="10">
    <w:abstractNumId w:val="1225"/>
  </w:num>
  <w:num w:numId="11">
    <w:abstractNumId w:val="1056"/>
  </w:num>
  <w:num w:numId="12">
    <w:abstractNumId w:val="252"/>
  </w:num>
  <w:num w:numId="13">
    <w:abstractNumId w:val="186"/>
  </w:num>
  <w:num w:numId="14">
    <w:abstractNumId w:val="292"/>
  </w:num>
  <w:num w:numId="15">
    <w:abstractNumId w:val="214"/>
  </w:num>
  <w:num w:numId="16">
    <w:abstractNumId w:val="1297"/>
  </w:num>
  <w:num w:numId="17">
    <w:abstractNumId w:val="779"/>
  </w:num>
  <w:num w:numId="18">
    <w:abstractNumId w:val="108"/>
  </w:num>
  <w:num w:numId="19">
    <w:abstractNumId w:val="349"/>
  </w:num>
  <w:num w:numId="20">
    <w:abstractNumId w:val="869"/>
  </w:num>
  <w:num w:numId="21">
    <w:abstractNumId w:val="420"/>
  </w:num>
  <w:num w:numId="22">
    <w:abstractNumId w:val="1064"/>
  </w:num>
  <w:num w:numId="23">
    <w:abstractNumId w:val="770"/>
  </w:num>
  <w:num w:numId="24">
    <w:abstractNumId w:val="1182"/>
  </w:num>
  <w:num w:numId="25">
    <w:abstractNumId w:val="598"/>
  </w:num>
  <w:num w:numId="26">
    <w:abstractNumId w:val="566"/>
  </w:num>
  <w:num w:numId="27">
    <w:abstractNumId w:val="1184"/>
  </w:num>
  <w:num w:numId="28">
    <w:abstractNumId w:val="1221"/>
  </w:num>
  <w:num w:numId="29">
    <w:abstractNumId w:val="558"/>
  </w:num>
  <w:num w:numId="30">
    <w:abstractNumId w:val="357"/>
  </w:num>
  <w:num w:numId="31">
    <w:abstractNumId w:val="1414"/>
  </w:num>
  <w:num w:numId="32">
    <w:abstractNumId w:val="802"/>
  </w:num>
  <w:num w:numId="33">
    <w:abstractNumId w:val="875"/>
  </w:num>
  <w:num w:numId="34">
    <w:abstractNumId w:val="383"/>
  </w:num>
  <w:num w:numId="35">
    <w:abstractNumId w:val="1126"/>
  </w:num>
  <w:num w:numId="36">
    <w:abstractNumId w:val="886"/>
  </w:num>
  <w:num w:numId="37">
    <w:abstractNumId w:val="1410"/>
  </w:num>
  <w:num w:numId="38">
    <w:abstractNumId w:val="716"/>
  </w:num>
  <w:num w:numId="39">
    <w:abstractNumId w:val="150"/>
  </w:num>
  <w:num w:numId="40">
    <w:abstractNumId w:val="1081"/>
  </w:num>
  <w:num w:numId="41">
    <w:abstractNumId w:val="582"/>
  </w:num>
  <w:num w:numId="42">
    <w:abstractNumId w:val="650"/>
  </w:num>
  <w:num w:numId="43">
    <w:abstractNumId w:val="668"/>
  </w:num>
  <w:num w:numId="44">
    <w:abstractNumId w:val="139"/>
  </w:num>
  <w:num w:numId="45">
    <w:abstractNumId w:val="463"/>
  </w:num>
  <w:num w:numId="46">
    <w:abstractNumId w:val="481"/>
  </w:num>
  <w:num w:numId="47">
    <w:abstractNumId w:val="1372"/>
  </w:num>
  <w:num w:numId="48">
    <w:abstractNumId w:val="1118"/>
  </w:num>
  <w:num w:numId="49">
    <w:abstractNumId w:val="437"/>
  </w:num>
  <w:num w:numId="50">
    <w:abstractNumId w:val="749"/>
  </w:num>
  <w:num w:numId="51">
    <w:abstractNumId w:val="813"/>
  </w:num>
  <w:num w:numId="52">
    <w:abstractNumId w:val="1272"/>
  </w:num>
  <w:num w:numId="53">
    <w:abstractNumId w:val="1079"/>
  </w:num>
  <w:num w:numId="54">
    <w:abstractNumId w:val="1362"/>
  </w:num>
  <w:num w:numId="55">
    <w:abstractNumId w:val="49"/>
  </w:num>
  <w:num w:numId="56">
    <w:abstractNumId w:val="1135"/>
  </w:num>
  <w:num w:numId="57">
    <w:abstractNumId w:val="183"/>
  </w:num>
  <w:num w:numId="58">
    <w:abstractNumId w:val="1053"/>
  </w:num>
  <w:num w:numId="59">
    <w:abstractNumId w:val="180"/>
  </w:num>
  <w:num w:numId="60">
    <w:abstractNumId w:val="1161"/>
  </w:num>
  <w:num w:numId="61">
    <w:abstractNumId w:val="1380"/>
  </w:num>
  <w:num w:numId="62">
    <w:abstractNumId w:val="113"/>
  </w:num>
  <w:num w:numId="63">
    <w:abstractNumId w:val="112"/>
  </w:num>
  <w:num w:numId="64">
    <w:abstractNumId w:val="370"/>
  </w:num>
  <w:num w:numId="65">
    <w:abstractNumId w:val="807"/>
  </w:num>
  <w:num w:numId="66">
    <w:abstractNumId w:val="634"/>
  </w:num>
  <w:num w:numId="67">
    <w:abstractNumId w:val="1206"/>
  </w:num>
  <w:num w:numId="68">
    <w:abstractNumId w:val="490"/>
  </w:num>
  <w:num w:numId="69">
    <w:abstractNumId w:val="1400"/>
  </w:num>
  <w:num w:numId="70">
    <w:abstractNumId w:val="1039"/>
  </w:num>
  <w:num w:numId="71">
    <w:abstractNumId w:val="1165"/>
  </w:num>
  <w:num w:numId="72">
    <w:abstractNumId w:val="929"/>
  </w:num>
  <w:num w:numId="73">
    <w:abstractNumId w:val="941"/>
  </w:num>
  <w:num w:numId="74">
    <w:abstractNumId w:val="1347"/>
  </w:num>
  <w:num w:numId="75">
    <w:abstractNumId w:val="773"/>
  </w:num>
  <w:num w:numId="76">
    <w:abstractNumId w:val="158"/>
  </w:num>
  <w:num w:numId="77">
    <w:abstractNumId w:val="925"/>
  </w:num>
  <w:num w:numId="78">
    <w:abstractNumId w:val="1083"/>
  </w:num>
  <w:num w:numId="79">
    <w:abstractNumId w:val="1252"/>
  </w:num>
  <w:num w:numId="80">
    <w:abstractNumId w:val="421"/>
  </w:num>
  <w:num w:numId="81">
    <w:abstractNumId w:val="149"/>
  </w:num>
  <w:num w:numId="82">
    <w:abstractNumId w:val="943"/>
  </w:num>
  <w:num w:numId="83">
    <w:abstractNumId w:val="587"/>
  </w:num>
  <w:num w:numId="84">
    <w:abstractNumId w:val="21"/>
  </w:num>
  <w:num w:numId="85">
    <w:abstractNumId w:val="1143"/>
  </w:num>
  <w:num w:numId="86">
    <w:abstractNumId w:val="907"/>
  </w:num>
  <w:num w:numId="87">
    <w:abstractNumId w:val="486"/>
  </w:num>
  <w:num w:numId="88">
    <w:abstractNumId w:val="952"/>
  </w:num>
  <w:num w:numId="89">
    <w:abstractNumId w:val="1105"/>
  </w:num>
  <w:num w:numId="90">
    <w:abstractNumId w:val="1091"/>
  </w:num>
  <w:num w:numId="91">
    <w:abstractNumId w:val="488"/>
  </w:num>
  <w:num w:numId="92">
    <w:abstractNumId w:val="624"/>
  </w:num>
  <w:num w:numId="93">
    <w:abstractNumId w:val="477"/>
  </w:num>
  <w:num w:numId="94">
    <w:abstractNumId w:val="771"/>
  </w:num>
  <w:num w:numId="95">
    <w:abstractNumId w:val="533"/>
  </w:num>
  <w:num w:numId="96">
    <w:abstractNumId w:val="348"/>
  </w:num>
  <w:num w:numId="97">
    <w:abstractNumId w:val="1062"/>
  </w:num>
  <w:num w:numId="98">
    <w:abstractNumId w:val="665"/>
  </w:num>
  <w:num w:numId="99">
    <w:abstractNumId w:val="311"/>
  </w:num>
  <w:num w:numId="100">
    <w:abstractNumId w:val="1003"/>
  </w:num>
  <w:num w:numId="101">
    <w:abstractNumId w:val="649"/>
  </w:num>
  <w:num w:numId="102">
    <w:abstractNumId w:val="384"/>
  </w:num>
  <w:num w:numId="103">
    <w:abstractNumId w:val="681"/>
  </w:num>
  <w:num w:numId="104">
    <w:abstractNumId w:val="1315"/>
  </w:num>
  <w:num w:numId="105">
    <w:abstractNumId w:val="222"/>
  </w:num>
  <w:num w:numId="106">
    <w:abstractNumId w:val="304"/>
  </w:num>
  <w:num w:numId="107">
    <w:abstractNumId w:val="1204"/>
  </w:num>
  <w:num w:numId="108">
    <w:abstractNumId w:val="725"/>
  </w:num>
  <w:num w:numId="109">
    <w:abstractNumId w:val="1180"/>
  </w:num>
  <w:num w:numId="110">
    <w:abstractNumId w:val="1326"/>
  </w:num>
  <w:num w:numId="111">
    <w:abstractNumId w:val="405"/>
  </w:num>
  <w:num w:numId="112">
    <w:abstractNumId w:val="569"/>
  </w:num>
  <w:num w:numId="113">
    <w:abstractNumId w:val="979"/>
  </w:num>
  <w:num w:numId="114">
    <w:abstractNumId w:val="295"/>
  </w:num>
  <w:num w:numId="115">
    <w:abstractNumId w:val="1205"/>
  </w:num>
  <w:num w:numId="116">
    <w:abstractNumId w:val="19"/>
  </w:num>
  <w:num w:numId="117">
    <w:abstractNumId w:val="1016"/>
  </w:num>
  <w:num w:numId="118">
    <w:abstractNumId w:val="387"/>
  </w:num>
  <w:num w:numId="119">
    <w:abstractNumId w:val="805"/>
  </w:num>
  <w:num w:numId="120">
    <w:abstractNumId w:val="1253"/>
  </w:num>
  <w:num w:numId="121">
    <w:abstractNumId w:val="381"/>
  </w:num>
  <w:num w:numId="122">
    <w:abstractNumId w:val="526"/>
  </w:num>
  <w:num w:numId="123">
    <w:abstractNumId w:val="393"/>
  </w:num>
  <w:num w:numId="124">
    <w:abstractNumId w:val="423"/>
  </w:num>
  <w:num w:numId="125">
    <w:abstractNumId w:val="160"/>
  </w:num>
  <w:num w:numId="126">
    <w:abstractNumId w:val="429"/>
  </w:num>
  <w:num w:numId="127">
    <w:abstractNumId w:val="1228"/>
  </w:num>
  <w:num w:numId="128">
    <w:abstractNumId w:val="615"/>
  </w:num>
  <w:num w:numId="129">
    <w:abstractNumId w:val="1104"/>
  </w:num>
  <w:num w:numId="130">
    <w:abstractNumId w:val="1107"/>
  </w:num>
  <w:num w:numId="131">
    <w:abstractNumId w:val="329"/>
  </w:num>
  <w:num w:numId="132">
    <w:abstractNumId w:val="1122"/>
  </w:num>
  <w:num w:numId="133">
    <w:abstractNumId w:val="1139"/>
  </w:num>
  <w:num w:numId="134">
    <w:abstractNumId w:val="726"/>
  </w:num>
  <w:num w:numId="135">
    <w:abstractNumId w:val="1183"/>
  </w:num>
  <w:num w:numId="136">
    <w:abstractNumId w:val="1351"/>
  </w:num>
  <w:num w:numId="137">
    <w:abstractNumId w:val="1004"/>
  </w:num>
  <w:num w:numId="138">
    <w:abstractNumId w:val="1021"/>
  </w:num>
  <w:num w:numId="139">
    <w:abstractNumId w:val="1217"/>
  </w:num>
  <w:num w:numId="140">
    <w:abstractNumId w:val="164"/>
  </w:num>
  <w:num w:numId="141">
    <w:abstractNumId w:val="1144"/>
  </w:num>
  <w:num w:numId="142">
    <w:abstractNumId w:val="1201"/>
  </w:num>
  <w:num w:numId="143">
    <w:abstractNumId w:val="287"/>
  </w:num>
  <w:num w:numId="144">
    <w:abstractNumId w:val="351"/>
  </w:num>
  <w:num w:numId="145">
    <w:abstractNumId w:val="147"/>
  </w:num>
  <w:num w:numId="146">
    <w:abstractNumId w:val="898"/>
  </w:num>
  <w:num w:numId="147">
    <w:abstractNumId w:val="1385"/>
  </w:num>
  <w:num w:numId="148">
    <w:abstractNumId w:val="828"/>
  </w:num>
  <w:num w:numId="149">
    <w:abstractNumId w:val="67"/>
  </w:num>
  <w:num w:numId="150">
    <w:abstractNumId w:val="1031"/>
  </w:num>
  <w:num w:numId="151">
    <w:abstractNumId w:val="185"/>
  </w:num>
  <w:num w:numId="152">
    <w:abstractNumId w:val="236"/>
  </w:num>
  <w:num w:numId="153">
    <w:abstractNumId w:val="1178"/>
  </w:num>
  <w:num w:numId="154">
    <w:abstractNumId w:val="920"/>
  </w:num>
  <w:num w:numId="155">
    <w:abstractNumId w:val="912"/>
  </w:num>
  <w:num w:numId="156">
    <w:abstractNumId w:val="803"/>
  </w:num>
  <w:num w:numId="157">
    <w:abstractNumId w:val="1403"/>
  </w:num>
  <w:num w:numId="158">
    <w:abstractNumId w:val="365"/>
  </w:num>
  <w:num w:numId="159">
    <w:abstractNumId w:val="1320"/>
  </w:num>
  <w:num w:numId="160">
    <w:abstractNumId w:val="1270"/>
  </w:num>
  <w:num w:numId="161">
    <w:abstractNumId w:val="592"/>
  </w:num>
  <w:num w:numId="162">
    <w:abstractNumId w:val="572"/>
  </w:num>
  <w:num w:numId="163">
    <w:abstractNumId w:val="401"/>
  </w:num>
  <w:num w:numId="164">
    <w:abstractNumId w:val="712"/>
  </w:num>
  <w:num w:numId="165">
    <w:abstractNumId w:val="628"/>
  </w:num>
  <w:num w:numId="166">
    <w:abstractNumId w:val="1160"/>
  </w:num>
  <w:num w:numId="167">
    <w:abstractNumId w:val="1005"/>
  </w:num>
  <w:num w:numId="168">
    <w:abstractNumId w:val="1186"/>
  </w:num>
  <w:num w:numId="169">
    <w:abstractNumId w:val="1305"/>
  </w:num>
  <w:num w:numId="170">
    <w:abstractNumId w:val="775"/>
  </w:num>
  <w:num w:numId="171">
    <w:abstractNumId w:val="580"/>
  </w:num>
  <w:num w:numId="172">
    <w:abstractNumId w:val="1340"/>
  </w:num>
  <w:num w:numId="173">
    <w:abstractNumId w:val="485"/>
  </w:num>
  <w:num w:numId="174">
    <w:abstractNumId w:val="1280"/>
  </w:num>
  <w:num w:numId="175">
    <w:abstractNumId w:val="965"/>
  </w:num>
  <w:num w:numId="176">
    <w:abstractNumId w:val="493"/>
  </w:num>
  <w:num w:numId="177">
    <w:abstractNumId w:val="1082"/>
  </w:num>
  <w:num w:numId="178">
    <w:abstractNumId w:val="831"/>
  </w:num>
  <w:num w:numId="179">
    <w:abstractNumId w:val="629"/>
  </w:num>
  <w:num w:numId="180">
    <w:abstractNumId w:val="922"/>
  </w:num>
  <w:num w:numId="181">
    <w:abstractNumId w:val="872"/>
  </w:num>
  <w:num w:numId="182">
    <w:abstractNumId w:val="1174"/>
  </w:num>
  <w:num w:numId="183">
    <w:abstractNumId w:val="1223"/>
  </w:num>
  <w:num w:numId="184">
    <w:abstractNumId w:val="125"/>
  </w:num>
  <w:num w:numId="185">
    <w:abstractNumId w:val="758"/>
  </w:num>
  <w:num w:numId="186">
    <w:abstractNumId w:val="638"/>
  </w:num>
  <w:num w:numId="187">
    <w:abstractNumId w:val="5"/>
  </w:num>
  <w:num w:numId="188">
    <w:abstractNumId w:val="597"/>
  </w:num>
  <w:num w:numId="189">
    <w:abstractNumId w:val="718"/>
  </w:num>
  <w:num w:numId="190">
    <w:abstractNumId w:val="276"/>
  </w:num>
  <w:num w:numId="191">
    <w:abstractNumId w:val="969"/>
  </w:num>
  <w:num w:numId="192">
    <w:abstractNumId w:val="797"/>
  </w:num>
  <w:num w:numId="193">
    <w:abstractNumId w:val="148"/>
  </w:num>
  <w:num w:numId="194">
    <w:abstractNumId w:val="609"/>
  </w:num>
  <w:num w:numId="195">
    <w:abstractNumId w:val="1230"/>
  </w:num>
  <w:num w:numId="196">
    <w:abstractNumId w:val="877"/>
  </w:num>
  <w:num w:numId="197">
    <w:abstractNumId w:val="453"/>
  </w:num>
  <w:num w:numId="198">
    <w:abstractNumId w:val="1045"/>
  </w:num>
  <w:num w:numId="199">
    <w:abstractNumId w:val="525"/>
  </w:num>
  <w:num w:numId="200">
    <w:abstractNumId w:val="17"/>
  </w:num>
  <w:num w:numId="201">
    <w:abstractNumId w:val="133"/>
  </w:num>
  <w:num w:numId="202">
    <w:abstractNumId w:val="548"/>
  </w:num>
  <w:num w:numId="203">
    <w:abstractNumId w:val="243"/>
  </w:num>
  <w:num w:numId="204">
    <w:abstractNumId w:val="1357"/>
  </w:num>
  <w:num w:numId="205">
    <w:abstractNumId w:val="588"/>
  </w:num>
  <w:num w:numId="206">
    <w:abstractNumId w:val="790"/>
  </w:num>
  <w:num w:numId="207">
    <w:abstractNumId w:val="1330"/>
  </w:num>
  <w:num w:numId="208">
    <w:abstractNumId w:val="998"/>
  </w:num>
  <w:num w:numId="209">
    <w:abstractNumId w:val="1263"/>
  </w:num>
  <w:num w:numId="210">
    <w:abstractNumId w:val="448"/>
  </w:num>
  <w:num w:numId="211">
    <w:abstractNumId w:val="491"/>
  </w:num>
  <w:num w:numId="212">
    <w:abstractNumId w:val="81"/>
  </w:num>
  <w:num w:numId="213">
    <w:abstractNumId w:val="187"/>
  </w:num>
  <w:num w:numId="214">
    <w:abstractNumId w:val="1328"/>
  </w:num>
  <w:num w:numId="215">
    <w:abstractNumId w:val="498"/>
  </w:num>
  <w:num w:numId="216">
    <w:abstractNumId w:val="257"/>
  </w:num>
  <w:num w:numId="217">
    <w:abstractNumId w:val="774"/>
  </w:num>
  <w:num w:numId="218">
    <w:abstractNumId w:val="620"/>
  </w:num>
  <w:num w:numId="219">
    <w:abstractNumId w:val="1244"/>
  </w:num>
  <w:num w:numId="220">
    <w:abstractNumId w:val="441"/>
  </w:num>
  <w:num w:numId="221">
    <w:abstractNumId w:val="22"/>
  </w:num>
  <w:num w:numId="222">
    <w:abstractNumId w:val="778"/>
  </w:num>
  <w:num w:numId="223">
    <w:abstractNumId w:val="853"/>
  </w:num>
  <w:num w:numId="224">
    <w:abstractNumId w:val="551"/>
  </w:num>
  <w:num w:numId="225">
    <w:abstractNumId w:val="327"/>
  </w:num>
  <w:num w:numId="226">
    <w:abstractNumId w:val="879"/>
  </w:num>
  <w:num w:numId="227">
    <w:abstractNumId w:val="282"/>
  </w:num>
  <w:num w:numId="228">
    <w:abstractNumId w:val="944"/>
  </w:num>
  <w:num w:numId="229">
    <w:abstractNumId w:val="554"/>
  </w:num>
  <w:num w:numId="230">
    <w:abstractNumId w:val="227"/>
  </w:num>
  <w:num w:numId="231">
    <w:abstractNumId w:val="11"/>
  </w:num>
  <w:num w:numId="232">
    <w:abstractNumId w:val="593"/>
  </w:num>
  <w:num w:numId="233">
    <w:abstractNumId w:val="89"/>
  </w:num>
  <w:num w:numId="234">
    <w:abstractNumId w:val="447"/>
  </w:num>
  <w:num w:numId="235">
    <w:abstractNumId w:val="753"/>
  </w:num>
  <w:num w:numId="236">
    <w:abstractNumId w:val="984"/>
  </w:num>
  <w:num w:numId="237">
    <w:abstractNumId w:val="126"/>
  </w:num>
  <w:num w:numId="238">
    <w:abstractNumId w:val="1028"/>
  </w:num>
  <w:num w:numId="239">
    <w:abstractNumId w:val="1020"/>
  </w:num>
  <w:num w:numId="240">
    <w:abstractNumId w:val="776"/>
  </w:num>
  <w:num w:numId="241">
    <w:abstractNumId w:val="469"/>
  </w:num>
  <w:num w:numId="242">
    <w:abstractNumId w:val="454"/>
  </w:num>
  <w:num w:numId="243">
    <w:abstractNumId w:val="170"/>
  </w:num>
  <w:num w:numId="244">
    <w:abstractNumId w:val="849"/>
  </w:num>
  <w:num w:numId="245">
    <w:abstractNumId w:val="197"/>
  </w:num>
  <w:num w:numId="246">
    <w:abstractNumId w:val="501"/>
  </w:num>
  <w:num w:numId="247">
    <w:abstractNumId w:val="1113"/>
  </w:num>
  <w:num w:numId="248">
    <w:abstractNumId w:val="411"/>
  </w:num>
  <w:num w:numId="249">
    <w:abstractNumId w:val="1292"/>
  </w:num>
  <w:num w:numId="250">
    <w:abstractNumId w:val="546"/>
  </w:num>
  <w:num w:numId="251">
    <w:abstractNumId w:val="191"/>
  </w:num>
  <w:num w:numId="252">
    <w:abstractNumId w:val="1235"/>
  </w:num>
  <w:num w:numId="253">
    <w:abstractNumId w:val="1216"/>
  </w:num>
  <w:num w:numId="254">
    <w:abstractNumId w:val="345"/>
  </w:num>
  <w:num w:numId="255">
    <w:abstractNumId w:val="332"/>
  </w:num>
  <w:num w:numId="256">
    <w:abstractNumId w:val="367"/>
  </w:num>
  <w:num w:numId="257">
    <w:abstractNumId w:val="161"/>
  </w:num>
  <w:num w:numId="258">
    <w:abstractNumId w:val="494"/>
  </w:num>
  <w:num w:numId="259">
    <w:abstractNumId w:val="456"/>
  </w:num>
  <w:num w:numId="260">
    <w:abstractNumId w:val="256"/>
  </w:num>
  <w:num w:numId="261">
    <w:abstractNumId w:val="1323"/>
  </w:num>
  <w:num w:numId="262">
    <w:abstractNumId w:val="334"/>
  </w:num>
  <w:num w:numId="263">
    <w:abstractNumId w:val="1076"/>
  </w:num>
  <w:num w:numId="264">
    <w:abstractNumId w:val="603"/>
  </w:num>
  <w:num w:numId="265">
    <w:abstractNumId w:val="136"/>
  </w:num>
  <w:num w:numId="266">
    <w:abstractNumId w:val="975"/>
  </w:num>
  <w:num w:numId="267">
    <w:abstractNumId w:val="37"/>
  </w:num>
  <w:num w:numId="268">
    <w:abstractNumId w:val="978"/>
  </w:num>
  <w:num w:numId="269">
    <w:abstractNumId w:val="762"/>
  </w:num>
  <w:num w:numId="270">
    <w:abstractNumId w:val="200"/>
  </w:num>
  <w:num w:numId="271">
    <w:abstractNumId w:val="280"/>
  </w:num>
  <w:num w:numId="272">
    <w:abstractNumId w:val="888"/>
  </w:num>
  <w:num w:numId="273">
    <w:abstractNumId w:val="713"/>
  </w:num>
  <w:num w:numId="274">
    <w:abstractNumId w:val="1075"/>
  </w:num>
  <w:num w:numId="275">
    <w:abstractNumId w:val="1212"/>
  </w:num>
  <w:num w:numId="276">
    <w:abstractNumId w:val="1048"/>
  </w:num>
  <w:num w:numId="277">
    <w:abstractNumId w:val="1038"/>
  </w:num>
  <w:num w:numId="278">
    <w:abstractNumId w:val="473"/>
  </w:num>
  <w:num w:numId="279">
    <w:abstractNumId w:val="1240"/>
  </w:num>
  <w:num w:numId="280">
    <w:abstractNumId w:val="599"/>
  </w:num>
  <w:num w:numId="281">
    <w:abstractNumId w:val="534"/>
  </w:num>
  <w:num w:numId="282">
    <w:abstractNumId w:val="442"/>
  </w:num>
  <w:num w:numId="283">
    <w:abstractNumId w:val="386"/>
  </w:num>
  <w:num w:numId="284">
    <w:abstractNumId w:val="122"/>
  </w:num>
  <w:num w:numId="285">
    <w:abstractNumId w:val="682"/>
  </w:num>
  <w:num w:numId="286">
    <w:abstractNumId w:val="717"/>
  </w:num>
  <w:num w:numId="287">
    <w:abstractNumId w:val="794"/>
  </w:num>
  <w:num w:numId="288">
    <w:abstractNumId w:val="234"/>
  </w:num>
  <w:num w:numId="289">
    <w:abstractNumId w:val="1030"/>
  </w:num>
  <w:num w:numId="290">
    <w:abstractNumId w:val="1103"/>
  </w:num>
  <w:num w:numId="291">
    <w:abstractNumId w:val="212"/>
  </w:num>
  <w:num w:numId="292">
    <w:abstractNumId w:val="897"/>
  </w:num>
  <w:num w:numId="293">
    <w:abstractNumId w:val="856"/>
  </w:num>
  <w:num w:numId="294">
    <w:abstractNumId w:val="98"/>
  </w:num>
  <w:num w:numId="295">
    <w:abstractNumId w:val="436"/>
  </w:num>
  <w:num w:numId="296">
    <w:abstractNumId w:val="808"/>
  </w:num>
  <w:num w:numId="297">
    <w:abstractNumId w:val="1249"/>
  </w:num>
  <w:num w:numId="298">
    <w:abstractNumId w:val="427"/>
  </w:num>
  <w:num w:numId="299">
    <w:abstractNumId w:val="103"/>
  </w:num>
  <w:num w:numId="300">
    <w:abstractNumId w:val="1096"/>
  </w:num>
  <w:num w:numId="301">
    <w:abstractNumId w:val="502"/>
  </w:num>
  <w:num w:numId="302">
    <w:abstractNumId w:val="1086"/>
  </w:num>
  <w:num w:numId="303">
    <w:abstractNumId w:val="1089"/>
  </w:num>
  <w:num w:numId="304">
    <w:abstractNumId w:val="500"/>
  </w:num>
  <w:num w:numId="305">
    <w:abstractNumId w:val="696"/>
  </w:num>
  <w:num w:numId="306">
    <w:abstractNumId w:val="652"/>
  </w:num>
  <w:num w:numId="307">
    <w:abstractNumId w:val="1119"/>
  </w:num>
  <w:num w:numId="308">
    <w:abstractNumId w:val="995"/>
  </w:num>
  <w:num w:numId="309">
    <w:abstractNumId w:val="181"/>
  </w:num>
  <w:num w:numId="310">
    <w:abstractNumId w:val="100"/>
  </w:num>
  <w:num w:numId="311">
    <w:abstractNumId w:val="1283"/>
  </w:num>
  <w:num w:numId="312">
    <w:abstractNumId w:val="142"/>
  </w:num>
  <w:num w:numId="313">
    <w:abstractNumId w:val="999"/>
  </w:num>
  <w:num w:numId="314">
    <w:abstractNumId w:val="1106"/>
  </w:num>
  <w:num w:numId="315">
    <w:abstractNumId w:val="1196"/>
  </w:num>
  <w:num w:numId="316">
    <w:abstractNumId w:val="296"/>
  </w:num>
  <w:num w:numId="317">
    <w:abstractNumId w:val="289"/>
  </w:num>
  <w:num w:numId="318">
    <w:abstractNumId w:val="1406"/>
  </w:num>
  <w:num w:numId="319">
    <w:abstractNumId w:val="174"/>
  </w:num>
  <w:num w:numId="320">
    <w:abstractNumId w:val="299"/>
  </w:num>
  <w:num w:numId="321">
    <w:abstractNumId w:val="942"/>
  </w:num>
  <w:num w:numId="322">
    <w:abstractNumId w:val="80"/>
  </w:num>
  <w:num w:numId="323">
    <w:abstractNumId w:val="109"/>
  </w:num>
  <w:num w:numId="324">
    <w:abstractNumId w:val="225"/>
  </w:num>
  <w:num w:numId="325">
    <w:abstractNumId w:val="341"/>
  </w:num>
  <w:num w:numId="326">
    <w:abstractNumId w:val="936"/>
  </w:num>
  <w:num w:numId="327">
    <w:abstractNumId w:val="830"/>
  </w:num>
  <w:num w:numId="328">
    <w:abstractNumId w:val="985"/>
  </w:num>
  <w:num w:numId="329">
    <w:abstractNumId w:val="690"/>
  </w:num>
  <w:num w:numId="330">
    <w:abstractNumId w:val="288"/>
  </w:num>
  <w:num w:numId="331">
    <w:abstractNumId w:val="48"/>
  </w:num>
  <w:num w:numId="332">
    <w:abstractNumId w:val="674"/>
  </w:num>
  <w:num w:numId="333">
    <w:abstractNumId w:val="532"/>
  </w:num>
  <w:num w:numId="334">
    <w:abstractNumId w:val="1199"/>
  </w:num>
  <w:num w:numId="335">
    <w:abstractNumId w:val="358"/>
  </w:num>
  <w:num w:numId="336">
    <w:abstractNumId w:val="68"/>
  </w:num>
  <w:num w:numId="337">
    <w:abstractNumId w:val="1368"/>
  </w:num>
  <w:num w:numId="338">
    <w:abstractNumId w:val="684"/>
  </w:num>
  <w:num w:numId="339">
    <w:abstractNumId w:val="1032"/>
  </w:num>
  <w:num w:numId="340">
    <w:abstractNumId w:val="954"/>
  </w:num>
  <w:num w:numId="341">
    <w:abstractNumId w:val="391"/>
  </w:num>
  <w:num w:numId="342">
    <w:abstractNumId w:val="44"/>
  </w:num>
  <w:num w:numId="343">
    <w:abstractNumId w:val="623"/>
  </w:num>
  <w:num w:numId="344">
    <w:abstractNumId w:val="842"/>
  </w:num>
  <w:num w:numId="345">
    <w:abstractNumId w:val="538"/>
  </w:num>
  <w:num w:numId="346">
    <w:abstractNumId w:val="166"/>
  </w:num>
  <w:num w:numId="347">
    <w:abstractNumId w:val="306"/>
  </w:num>
  <w:num w:numId="348">
    <w:abstractNumId w:val="116"/>
  </w:num>
  <w:num w:numId="349">
    <w:abstractNumId w:val="203"/>
  </w:num>
  <w:num w:numId="350">
    <w:abstractNumId w:val="300"/>
  </w:num>
  <w:num w:numId="351">
    <w:abstractNumId w:val="1071"/>
  </w:num>
  <w:num w:numId="352">
    <w:abstractNumId w:val="1024"/>
  </w:num>
  <w:num w:numId="353">
    <w:abstractNumId w:val="855"/>
  </w:num>
  <w:num w:numId="354">
    <w:abstractNumId w:val="146"/>
  </w:num>
  <w:num w:numId="355">
    <w:abstractNumId w:val="449"/>
  </w:num>
  <w:num w:numId="356">
    <w:abstractNumId w:val="504"/>
  </w:num>
  <w:num w:numId="357">
    <w:abstractNumId w:val="1319"/>
  </w:num>
  <w:num w:numId="358">
    <w:abstractNumId w:val="94"/>
  </w:num>
  <w:num w:numId="359">
    <w:abstractNumId w:val="826"/>
  </w:num>
  <w:num w:numId="360">
    <w:abstractNumId w:val="1224"/>
  </w:num>
  <w:num w:numId="361">
    <w:abstractNumId w:val="528"/>
  </w:num>
  <w:num w:numId="362">
    <w:abstractNumId w:val="785"/>
  </w:num>
  <w:num w:numId="363">
    <w:abstractNumId w:val="1008"/>
  </w:num>
  <w:num w:numId="364">
    <w:abstractNumId w:val="275"/>
  </w:num>
  <w:num w:numId="365">
    <w:abstractNumId w:val="470"/>
  </w:num>
  <w:num w:numId="366">
    <w:abstractNumId w:val="1102"/>
  </w:num>
  <w:num w:numId="367">
    <w:abstractNumId w:val="1395"/>
  </w:num>
  <w:num w:numId="368">
    <w:abstractNumId w:val="1194"/>
  </w:num>
  <w:num w:numId="369">
    <w:abstractNumId w:val="724"/>
  </w:num>
  <w:num w:numId="370">
    <w:abstractNumId w:val="1127"/>
  </w:num>
  <w:num w:numId="371">
    <w:abstractNumId w:val="274"/>
  </w:num>
  <w:num w:numId="372">
    <w:abstractNumId w:val="550"/>
  </w:num>
  <w:num w:numId="373">
    <w:abstractNumId w:val="141"/>
  </w:num>
  <w:num w:numId="374">
    <w:abstractNumId w:val="747"/>
  </w:num>
  <w:num w:numId="375">
    <w:abstractNumId w:val="251"/>
  </w:num>
  <w:num w:numId="376">
    <w:abstractNumId w:val="159"/>
  </w:num>
  <w:num w:numId="377">
    <w:abstractNumId w:val="972"/>
  </w:num>
  <w:num w:numId="378">
    <w:abstractNumId w:val="60"/>
  </w:num>
  <w:num w:numId="379">
    <w:abstractNumId w:val="1394"/>
  </w:num>
  <w:num w:numId="380">
    <w:abstractNumId w:val="321"/>
  </w:num>
  <w:num w:numId="381">
    <w:abstractNumId w:val="496"/>
  </w:num>
  <w:num w:numId="382">
    <w:abstractNumId w:val="24"/>
  </w:num>
  <w:num w:numId="383">
    <w:abstractNumId w:val="751"/>
  </w:num>
  <w:num w:numId="384">
    <w:abstractNumId w:val="759"/>
  </w:num>
  <w:num w:numId="385">
    <w:abstractNumId w:val="1177"/>
  </w:num>
  <w:num w:numId="386">
    <w:abstractNumId w:val="919"/>
  </w:num>
  <w:num w:numId="387">
    <w:abstractNumId w:val="986"/>
  </w:num>
  <w:num w:numId="388">
    <w:abstractNumId w:val="1238"/>
  </w:num>
  <w:num w:numId="389">
    <w:abstractNumId w:val="283"/>
  </w:num>
  <w:num w:numId="390">
    <w:abstractNumId w:val="568"/>
  </w:num>
  <w:num w:numId="391">
    <w:abstractNumId w:val="333"/>
  </w:num>
  <w:num w:numId="392">
    <w:abstractNumId w:val="945"/>
  </w:num>
  <w:num w:numId="393">
    <w:abstractNumId w:val="518"/>
  </w:num>
  <w:num w:numId="394">
    <w:abstractNumId w:val="247"/>
  </w:num>
  <w:num w:numId="395">
    <w:abstractNumId w:val="130"/>
  </w:num>
  <w:num w:numId="396">
    <w:abstractNumId w:val="723"/>
  </w:num>
  <w:num w:numId="397">
    <w:abstractNumId w:val="337"/>
  </w:num>
  <w:num w:numId="398">
    <w:abstractNumId w:val="417"/>
  </w:num>
  <w:num w:numId="399">
    <w:abstractNumId w:val="1366"/>
  </w:num>
  <w:num w:numId="400">
    <w:abstractNumId w:val="1390"/>
  </w:num>
  <w:num w:numId="401">
    <w:abstractNumId w:val="537"/>
  </w:num>
  <w:num w:numId="402">
    <w:abstractNumId w:val="1276"/>
  </w:num>
  <w:num w:numId="403">
    <w:abstractNumId w:val="1112"/>
  </w:num>
  <w:num w:numId="404">
    <w:abstractNumId w:val="894"/>
  </w:num>
  <w:num w:numId="405">
    <w:abstractNumId w:val="1245"/>
  </w:num>
  <w:num w:numId="406">
    <w:abstractNumId w:val="834"/>
  </w:num>
  <w:num w:numId="407">
    <w:abstractNumId w:val="937"/>
  </w:num>
  <w:num w:numId="408">
    <w:abstractNumId w:val="47"/>
  </w:num>
  <w:num w:numId="409">
    <w:abstractNumId w:val="1289"/>
  </w:num>
  <w:num w:numId="410">
    <w:abstractNumId w:val="1050"/>
  </w:num>
  <w:num w:numId="411">
    <w:abstractNumId w:val="57"/>
  </w:num>
  <w:num w:numId="412">
    <w:abstractNumId w:val="873"/>
  </w:num>
  <w:num w:numId="413">
    <w:abstractNumId w:val="1360"/>
  </w:num>
  <w:num w:numId="414">
    <w:abstractNumId w:val="1342"/>
  </w:num>
  <w:num w:numId="415">
    <w:abstractNumId w:val="1232"/>
  </w:num>
  <w:num w:numId="416">
    <w:abstractNumId w:val="874"/>
  </w:num>
  <w:num w:numId="417">
    <w:abstractNumId w:val="744"/>
  </w:num>
  <w:num w:numId="418">
    <w:abstractNumId w:val="1246"/>
  </w:num>
  <w:num w:numId="419">
    <w:abstractNumId w:val="887"/>
  </w:num>
  <w:num w:numId="420">
    <w:abstractNumId w:val="1200"/>
  </w:num>
  <w:num w:numId="421">
    <w:abstractNumId w:val="1422"/>
  </w:num>
  <w:num w:numId="422">
    <w:abstractNumId w:val="614"/>
  </w:num>
  <w:num w:numId="423">
    <w:abstractNumId w:val="79"/>
  </w:num>
  <w:num w:numId="424">
    <w:abstractNumId w:val="868"/>
  </w:num>
  <w:num w:numId="425">
    <w:abstractNumId w:val="832"/>
  </w:num>
  <w:num w:numId="426">
    <w:abstractNumId w:val="1157"/>
  </w:num>
  <w:num w:numId="427">
    <w:abstractNumId w:val="1329"/>
  </w:num>
  <w:num w:numId="428">
    <w:abstractNumId w:val="833"/>
  </w:num>
  <w:num w:numId="429">
    <w:abstractNumId w:val="1142"/>
  </w:num>
  <w:num w:numId="430">
    <w:abstractNumId w:val="1251"/>
  </w:num>
  <w:num w:numId="431">
    <w:abstractNumId w:val="1202"/>
  </w:num>
  <w:num w:numId="432">
    <w:abstractNumId w:val="997"/>
  </w:num>
  <w:num w:numId="433">
    <w:abstractNumId w:val="968"/>
  </w:num>
  <w:num w:numId="434">
    <w:abstractNumId w:val="1129"/>
  </w:num>
  <w:num w:numId="435">
    <w:abstractNumId w:val="1042"/>
  </w:num>
  <w:num w:numId="436">
    <w:abstractNumId w:val="1415"/>
  </w:num>
  <w:num w:numId="437">
    <w:abstractNumId w:val="63"/>
  </w:num>
  <w:num w:numId="438">
    <w:abstractNumId w:val="479"/>
  </w:num>
  <w:num w:numId="439">
    <w:abstractNumId w:val="354"/>
  </w:num>
  <w:num w:numId="440">
    <w:abstractNumId w:val="570"/>
  </w:num>
  <w:num w:numId="441">
    <w:abstractNumId w:val="35"/>
  </w:num>
  <w:num w:numId="442">
    <w:abstractNumId w:val="1382"/>
  </w:num>
  <w:num w:numId="443">
    <w:abstractNumId w:val="1015"/>
  </w:num>
  <w:num w:numId="444">
    <w:abstractNumId w:val="1088"/>
  </w:num>
  <w:num w:numId="445">
    <w:abstractNumId w:val="1420"/>
  </w:num>
  <w:num w:numId="446">
    <w:abstractNumId w:val="489"/>
  </w:num>
  <w:num w:numId="447">
    <w:abstractNumId w:val="320"/>
  </w:num>
  <w:num w:numId="448">
    <w:abstractNumId w:val="845"/>
  </w:num>
  <w:num w:numId="449">
    <w:abstractNumId w:val="1150"/>
  </w:num>
  <w:num w:numId="450">
    <w:abstractNumId w:val="1146"/>
  </w:num>
  <w:num w:numId="451">
    <w:abstractNumId w:val="581"/>
  </w:num>
  <w:num w:numId="452">
    <w:abstractNumId w:val="617"/>
  </w:num>
  <w:num w:numId="453">
    <w:abstractNumId w:val="850"/>
  </w:num>
  <w:num w:numId="454">
    <w:abstractNumId w:val="536"/>
  </w:num>
  <w:num w:numId="455">
    <w:abstractNumId w:val="935"/>
  </w:num>
  <w:num w:numId="456">
    <w:abstractNumId w:val="474"/>
  </w:num>
  <w:num w:numId="457">
    <w:abstractNumId w:val="1336"/>
  </w:num>
  <w:num w:numId="458">
    <w:abstractNumId w:val="277"/>
  </w:num>
  <w:num w:numId="459">
    <w:abstractNumId w:val="1349"/>
  </w:num>
  <w:num w:numId="460">
    <w:abstractNumId w:val="928"/>
  </w:num>
  <w:num w:numId="461">
    <w:abstractNumId w:val="1009"/>
  </w:num>
  <w:num w:numId="462">
    <w:abstractNumId w:val="885"/>
  </w:num>
  <w:num w:numId="463">
    <w:abstractNumId w:val="950"/>
  </w:num>
  <w:num w:numId="464">
    <w:abstractNumId w:val="829"/>
  </w:num>
  <w:num w:numId="465">
    <w:abstractNumId w:val="991"/>
  </w:num>
  <w:num w:numId="466">
    <w:abstractNumId w:val="848"/>
  </w:num>
  <w:num w:numId="467">
    <w:abstractNumId w:val="755"/>
  </w:num>
  <w:num w:numId="468">
    <w:abstractNumId w:val="559"/>
  </w:num>
  <w:num w:numId="469">
    <w:abstractNumId w:val="654"/>
  </w:num>
  <w:num w:numId="470">
    <w:abstractNumId w:val="1023"/>
  </w:num>
  <w:num w:numId="471">
    <w:abstractNumId w:val="301"/>
  </w:num>
  <w:num w:numId="472">
    <w:abstractNumId w:val="993"/>
  </w:num>
  <w:num w:numId="473">
    <w:abstractNumId w:val="1421"/>
  </w:num>
  <w:num w:numId="474">
    <w:abstractNumId w:val="635"/>
  </w:num>
  <w:num w:numId="475">
    <w:abstractNumId w:val="743"/>
  </w:num>
  <w:num w:numId="476">
    <w:abstractNumId w:val="1409"/>
  </w:num>
  <w:num w:numId="477">
    <w:abstractNumId w:val="1237"/>
  </w:num>
  <w:num w:numId="478">
    <w:abstractNumId w:val="1248"/>
  </w:num>
  <w:num w:numId="479">
    <w:abstractNumId w:val="43"/>
  </w:num>
  <w:num w:numId="480">
    <w:abstractNumId w:val="949"/>
  </w:num>
  <w:num w:numId="481">
    <w:abstractNumId w:val="543"/>
  </w:num>
  <w:num w:numId="482">
    <w:abstractNumId w:val="613"/>
  </w:num>
  <w:num w:numId="483">
    <w:abstractNumId w:val="268"/>
  </w:num>
  <w:num w:numId="484">
    <w:abstractNumId w:val="637"/>
  </w:num>
  <w:num w:numId="485">
    <w:abstractNumId w:val="1099"/>
  </w:num>
  <w:num w:numId="486">
    <w:abstractNumId w:val="416"/>
  </w:num>
  <w:num w:numId="487">
    <w:abstractNumId w:val="913"/>
  </w:num>
  <w:num w:numId="488">
    <w:abstractNumId w:val="508"/>
  </w:num>
  <w:num w:numId="489">
    <w:abstractNumId w:val="859"/>
  </w:num>
  <w:num w:numId="490">
    <w:abstractNumId w:val="619"/>
  </w:num>
  <w:num w:numId="491">
    <w:abstractNumId w:val="352"/>
  </w:num>
  <w:num w:numId="492">
    <w:abstractNumId w:val="36"/>
  </w:num>
  <w:num w:numId="493">
    <w:abstractNumId w:val="705"/>
  </w:num>
  <w:num w:numId="494">
    <w:abstractNumId w:val="906"/>
  </w:num>
  <w:num w:numId="495">
    <w:abstractNumId w:val="627"/>
  </w:num>
  <w:num w:numId="496">
    <w:abstractNumId w:val="412"/>
  </w:num>
  <w:num w:numId="497">
    <w:abstractNumId w:val="105"/>
  </w:num>
  <w:num w:numId="498">
    <w:abstractNumId w:val="510"/>
  </w:num>
  <w:num w:numId="499">
    <w:abstractNumId w:val="104"/>
  </w:num>
  <w:num w:numId="500">
    <w:abstractNumId w:val="431"/>
  </w:num>
  <w:num w:numId="501">
    <w:abstractNumId w:val="111"/>
  </w:num>
  <w:num w:numId="502">
    <w:abstractNumId w:val="1159"/>
  </w:num>
  <w:num w:numId="503">
    <w:abstractNumId w:val="709"/>
  </w:num>
  <w:num w:numId="504">
    <w:abstractNumId w:val="1277"/>
  </w:num>
  <w:num w:numId="505">
    <w:abstractNumId w:val="353"/>
  </w:num>
  <w:num w:numId="506">
    <w:abstractNumId w:val="70"/>
  </w:num>
  <w:num w:numId="507">
    <w:abstractNumId w:val="810"/>
  </w:num>
  <w:num w:numId="508">
    <w:abstractNumId w:val="114"/>
  </w:num>
  <w:num w:numId="509">
    <w:abstractNumId w:val="1412"/>
  </w:num>
  <w:num w:numId="510">
    <w:abstractNumId w:val="339"/>
  </w:num>
  <w:num w:numId="511">
    <w:abstractNumId w:val="1110"/>
  </w:num>
  <w:num w:numId="512">
    <w:abstractNumId w:val="218"/>
  </w:num>
  <w:num w:numId="513">
    <w:abstractNumId w:val="772"/>
  </w:num>
  <w:num w:numId="514">
    <w:abstractNumId w:val="235"/>
  </w:num>
  <w:num w:numId="515">
    <w:abstractNumId w:val="902"/>
  </w:num>
  <w:num w:numId="516">
    <w:abstractNumId w:val="458"/>
  </w:num>
  <w:num w:numId="517">
    <w:abstractNumId w:val="1332"/>
  </w:num>
  <w:num w:numId="518">
    <w:abstractNumId w:val="248"/>
  </w:num>
  <w:num w:numId="519">
    <w:abstractNumId w:val="315"/>
  </w:num>
  <w:num w:numId="520">
    <w:abstractNumId w:val="246"/>
  </w:num>
  <w:num w:numId="521">
    <w:abstractNumId w:val="871"/>
  </w:num>
  <w:num w:numId="522">
    <w:abstractNumId w:val="1154"/>
  </w:num>
  <w:num w:numId="523">
    <w:abstractNumId w:val="169"/>
  </w:num>
  <w:num w:numId="524">
    <w:abstractNumId w:val="946"/>
  </w:num>
  <w:num w:numId="525">
    <w:abstractNumId w:val="789"/>
  </w:num>
  <w:num w:numId="526">
    <w:abstractNumId w:val="641"/>
  </w:num>
  <w:num w:numId="527">
    <w:abstractNumId w:val="910"/>
  </w:num>
  <w:num w:numId="528">
    <w:abstractNumId w:val="622"/>
  </w:num>
  <w:num w:numId="529">
    <w:abstractNumId w:val="462"/>
  </w:num>
  <w:num w:numId="530">
    <w:abstractNumId w:val="1303"/>
  </w:num>
  <w:num w:numId="531">
    <w:abstractNumId w:val="464"/>
  </w:num>
  <w:num w:numId="532">
    <w:abstractNumId w:val="736"/>
  </w:num>
  <w:num w:numId="533">
    <w:abstractNumId w:val="390"/>
  </w:num>
  <w:num w:numId="534">
    <w:abstractNumId w:val="1418"/>
  </w:num>
  <w:num w:numId="535">
    <w:abstractNumId w:val="144"/>
  </w:num>
  <w:num w:numId="536">
    <w:abstractNumId w:val="4"/>
  </w:num>
  <w:num w:numId="537">
    <w:abstractNumId w:val="1218"/>
  </w:num>
  <w:num w:numId="538">
    <w:abstractNumId w:val="176"/>
  </w:num>
  <w:num w:numId="539">
    <w:abstractNumId w:val="278"/>
  </w:num>
  <w:num w:numId="540">
    <w:abstractNumId w:val="140"/>
  </w:num>
  <w:num w:numId="541">
    <w:abstractNumId w:val="330"/>
  </w:num>
  <w:num w:numId="542">
    <w:abstractNumId w:val="878"/>
  </w:num>
  <w:num w:numId="543">
    <w:abstractNumId w:val="959"/>
  </w:num>
  <w:num w:numId="544">
    <w:abstractNumId w:val="976"/>
  </w:num>
  <w:num w:numId="545">
    <w:abstractNumId w:val="1350"/>
  </w:num>
  <w:num w:numId="546">
    <w:abstractNumId w:val="199"/>
  </w:num>
  <w:num w:numId="547">
    <w:abstractNumId w:val="1036"/>
  </w:num>
  <w:num w:numId="548">
    <w:abstractNumId w:val="781"/>
  </w:num>
  <w:num w:numId="549">
    <w:abstractNumId w:val="137"/>
  </w:num>
  <w:num w:numId="550">
    <w:abstractNumId w:val="1069"/>
  </w:num>
  <w:num w:numId="551">
    <w:abstractNumId w:val="1376"/>
  </w:num>
  <w:num w:numId="552">
    <w:abstractNumId w:val="858"/>
  </w:num>
  <w:num w:numId="553">
    <w:abstractNumId w:val="40"/>
  </w:num>
  <w:num w:numId="554">
    <w:abstractNumId w:val="1304"/>
  </w:num>
  <w:num w:numId="555">
    <w:abstractNumId w:val="1301"/>
  </w:num>
  <w:num w:numId="556">
    <w:abstractNumId w:val="74"/>
  </w:num>
  <w:num w:numId="557">
    <w:abstractNumId w:val="75"/>
  </w:num>
  <w:num w:numId="558">
    <w:abstractNumId w:val="730"/>
  </w:num>
  <w:num w:numId="559">
    <w:abstractNumId w:val="316"/>
  </w:num>
  <w:num w:numId="560">
    <w:abstractNumId w:val="1195"/>
  </w:num>
  <w:num w:numId="561">
    <w:abstractNumId w:val="509"/>
  </w:num>
  <w:num w:numId="562">
    <w:abstractNumId w:val="788"/>
  </w:num>
  <w:num w:numId="563">
    <w:abstractNumId w:val="54"/>
  </w:num>
  <w:num w:numId="564">
    <w:abstractNumId w:val="1000"/>
  </w:num>
  <w:num w:numId="565">
    <w:abstractNumId w:val="194"/>
  </w:num>
  <w:num w:numId="566">
    <w:abstractNumId w:val="711"/>
  </w:num>
  <w:num w:numId="567">
    <w:abstractNumId w:val="1085"/>
  </w:num>
  <w:num w:numId="568">
    <w:abstractNumId w:val="1209"/>
  </w:num>
  <w:num w:numId="569">
    <w:abstractNumId w:val="154"/>
  </w:num>
  <w:num w:numId="570">
    <w:abstractNumId w:val="698"/>
  </w:num>
  <w:num w:numId="571">
    <w:abstractNumId w:val="507"/>
  </w:num>
  <w:num w:numId="572">
    <w:abstractNumId w:val="784"/>
  </w:num>
  <w:num w:numId="573">
    <w:abstractNumId w:val="1018"/>
  </w:num>
  <w:num w:numId="574">
    <w:abstractNumId w:val="215"/>
  </w:num>
  <w:num w:numId="575">
    <w:abstractNumId w:val="399"/>
  </w:num>
  <w:num w:numId="576">
    <w:abstractNumId w:val="1087"/>
  </w:num>
  <w:num w:numId="577">
    <w:abstractNumId w:val="884"/>
  </w:num>
  <w:num w:numId="578">
    <w:abstractNumId w:val="1145"/>
  </w:num>
  <w:num w:numId="579">
    <w:abstractNumId w:val="643"/>
  </w:num>
  <w:num w:numId="580">
    <w:abstractNumId w:val="1111"/>
  </w:num>
  <w:num w:numId="581">
    <w:abstractNumId w:val="524"/>
  </w:num>
  <w:num w:numId="582">
    <w:abstractNumId w:val="1179"/>
  </w:num>
  <w:num w:numId="583">
    <w:abstractNumId w:val="413"/>
  </w:num>
  <w:num w:numId="584">
    <w:abstractNumId w:val="571"/>
  </w:num>
  <w:num w:numId="585">
    <w:abstractNumId w:val="1291"/>
  </w:num>
  <w:num w:numId="586">
    <w:abstractNumId w:val="1309"/>
  </w:num>
  <w:num w:numId="587">
    <w:abstractNumId w:val="760"/>
  </w:num>
  <w:num w:numId="588">
    <w:abstractNumId w:val="342"/>
  </w:num>
  <w:num w:numId="589">
    <w:abstractNumId w:val="168"/>
  </w:num>
  <w:num w:numId="590">
    <w:abstractNumId w:val="1334"/>
  </w:num>
  <w:num w:numId="591">
    <w:abstractNumId w:val="838"/>
  </w:num>
  <w:num w:numId="592">
    <w:abstractNumId w:val="1282"/>
  </w:num>
  <w:num w:numId="593">
    <w:abstractNumId w:val="695"/>
  </w:num>
  <w:num w:numId="594">
    <w:abstractNumId w:val="610"/>
  </w:num>
  <w:num w:numId="595">
    <w:abstractNumId w:val="361"/>
  </w:num>
  <w:num w:numId="596">
    <w:abstractNumId w:val="371"/>
  </w:num>
  <w:num w:numId="597">
    <w:abstractNumId w:val="1002"/>
  </w:num>
  <w:num w:numId="598">
    <w:abstractNumId w:val="996"/>
  </w:num>
  <w:num w:numId="599">
    <w:abstractNumId w:val="677"/>
  </w:num>
  <w:num w:numId="600">
    <w:abstractNumId w:val="388"/>
  </w:num>
  <w:num w:numId="601">
    <w:abstractNumId w:val="298"/>
  </w:num>
  <w:num w:numId="602">
    <w:abstractNumId w:val="777"/>
  </w:num>
  <w:num w:numId="603">
    <w:abstractNumId w:val="25"/>
  </w:num>
  <w:num w:numId="604">
    <w:abstractNumId w:val="1109"/>
  </w:num>
  <w:num w:numId="605">
    <w:abstractNumId w:val="1055"/>
  </w:num>
  <w:num w:numId="606">
    <w:abstractNumId w:val="1072"/>
  </w:num>
  <w:num w:numId="607">
    <w:abstractNumId w:val="702"/>
  </w:num>
  <w:num w:numId="608">
    <w:abstractNumId w:val="270"/>
  </w:num>
  <w:num w:numId="609">
    <w:abstractNumId w:val="740"/>
  </w:num>
  <w:num w:numId="610">
    <w:abstractNumId w:val="1256"/>
  </w:num>
  <w:num w:numId="611">
    <w:abstractNumId w:val="1392"/>
  </w:num>
  <w:num w:numId="612">
    <w:abstractNumId w:val="440"/>
  </w:num>
  <w:num w:numId="613">
    <w:abstractNumId w:val="924"/>
  </w:num>
  <w:num w:numId="614">
    <w:abstractNumId w:val="1419"/>
  </w:num>
  <w:num w:numId="615">
    <w:abstractNumId w:val="529"/>
  </w:num>
  <w:num w:numId="616">
    <w:abstractNumId w:val="1274"/>
  </w:num>
  <w:num w:numId="617">
    <w:abstractNumId w:val="64"/>
  </w:num>
  <w:num w:numId="618">
    <w:abstractNumId w:val="1331"/>
  </w:num>
  <w:num w:numId="619">
    <w:abstractNumId w:val="1241"/>
  </w:num>
  <w:num w:numId="620">
    <w:abstractNumId w:val="177"/>
  </w:num>
  <w:num w:numId="621">
    <w:abstractNumId w:val="71"/>
  </w:num>
  <w:num w:numId="622">
    <w:abstractNumId w:val="846"/>
  </w:num>
  <w:num w:numId="623">
    <w:abstractNumId w:val="313"/>
  </w:num>
  <w:num w:numId="624">
    <w:abstractNumId w:val="1065"/>
  </w:num>
  <w:num w:numId="625">
    <w:abstractNumId w:val="1341"/>
  </w:num>
  <w:num w:numId="626">
    <w:abstractNumId w:val="93"/>
  </w:num>
  <w:num w:numId="627">
    <w:abstractNumId w:val="863"/>
  </w:num>
  <w:num w:numId="628">
    <w:abstractNumId w:val="552"/>
  </w:num>
  <w:num w:numId="629">
    <w:abstractNumId w:val="467"/>
  </w:num>
  <w:num w:numId="630">
    <w:abstractNumId w:val="994"/>
  </w:num>
  <w:num w:numId="631">
    <w:abstractNumId w:val="835"/>
  </w:num>
  <w:num w:numId="632">
    <w:abstractNumId w:val="575"/>
  </w:num>
  <w:num w:numId="633">
    <w:abstractNumId w:val="167"/>
  </w:num>
  <w:num w:numId="634">
    <w:abstractNumId w:val="631"/>
  </w:num>
  <w:num w:numId="635">
    <w:abstractNumId w:val="1345"/>
  </w:num>
  <w:num w:numId="636">
    <w:abstractNumId w:val="851"/>
  </w:num>
  <w:num w:numId="637">
    <w:abstractNumId w:val="482"/>
  </w:num>
  <w:num w:numId="638">
    <w:abstractNumId w:val="1017"/>
  </w:num>
  <w:num w:numId="639">
    <w:abstractNumId w:val="694"/>
  </w:num>
  <w:num w:numId="640">
    <w:abstractNumId w:val="899"/>
  </w:num>
  <w:num w:numId="641">
    <w:abstractNumId w:val="648"/>
  </w:num>
  <w:num w:numId="642">
    <w:abstractNumId w:val="291"/>
  </w:num>
  <w:num w:numId="643">
    <w:abstractNumId w:val="1035"/>
  </w:num>
  <w:num w:numId="644">
    <w:abstractNumId w:val="1041"/>
  </w:num>
  <w:num w:numId="645">
    <w:abstractNumId w:val="841"/>
  </w:num>
  <w:num w:numId="646">
    <w:abstractNumId w:val="1404"/>
  </w:num>
  <w:num w:numId="647">
    <w:abstractNumId w:val="574"/>
  </w:num>
  <w:num w:numId="648">
    <w:abstractNumId w:val="1168"/>
  </w:num>
  <w:num w:numId="649">
    <w:abstractNumId w:val="1213"/>
  </w:num>
  <w:num w:numId="650">
    <w:abstractNumId w:val="156"/>
  </w:num>
  <w:num w:numId="651">
    <w:abstractNumId w:val="918"/>
  </w:num>
  <w:num w:numId="652">
    <w:abstractNumId w:val="714"/>
  </w:num>
  <w:num w:numId="653">
    <w:abstractNumId w:val="1278"/>
  </w:num>
  <w:num w:numId="654">
    <w:abstractNumId w:val="1219"/>
  </w:num>
  <w:num w:numId="655">
    <w:abstractNumId w:val="425"/>
  </w:num>
  <w:num w:numId="656">
    <w:abstractNumId w:val="407"/>
  </w:num>
  <w:num w:numId="657">
    <w:abstractNumId w:val="506"/>
  </w:num>
  <w:num w:numId="658">
    <w:abstractNumId w:val="926"/>
  </w:num>
  <w:num w:numId="659">
    <w:abstractNumId w:val="379"/>
  </w:num>
  <w:num w:numId="660">
    <w:abstractNumId w:val="940"/>
  </w:num>
  <w:num w:numId="661">
    <w:abstractNumId w:val="688"/>
  </w:num>
  <w:num w:numId="662">
    <w:abstractNumId w:val="639"/>
  </w:num>
  <w:num w:numId="663">
    <w:abstractNumId w:val="91"/>
  </w:num>
  <w:num w:numId="664">
    <w:abstractNumId w:val="343"/>
  </w:num>
  <w:num w:numId="665">
    <w:abstractNumId w:val="1156"/>
  </w:num>
  <w:num w:numId="666">
    <w:abstractNumId w:val="45"/>
  </w:num>
  <w:num w:numId="667">
    <w:abstractNumId w:val="128"/>
  </w:num>
  <w:num w:numId="668">
    <w:abstractNumId w:val="262"/>
  </w:num>
  <w:num w:numId="669">
    <w:abstractNumId w:val="1321"/>
  </w:num>
  <w:num w:numId="670">
    <w:abstractNumId w:val="964"/>
  </w:num>
  <w:num w:numId="671">
    <w:abstractNumId w:val="237"/>
  </w:num>
  <w:num w:numId="672">
    <w:abstractNumId w:val="1344"/>
  </w:num>
  <w:num w:numId="673">
    <w:abstractNumId w:val="1333"/>
  </w:num>
  <w:num w:numId="674">
    <w:abstractNumId w:val="1163"/>
  </w:num>
  <w:num w:numId="675">
    <w:abstractNumId w:val="647"/>
  </w:num>
  <w:num w:numId="676">
    <w:abstractNumId w:val="1191"/>
  </w:num>
  <w:num w:numId="677">
    <w:abstractNumId w:val="1187"/>
  </w:num>
  <w:num w:numId="678">
    <w:abstractNumId w:val="881"/>
  </w:num>
  <w:num w:numId="679">
    <w:abstractNumId w:val="864"/>
  </w:num>
  <w:num w:numId="680">
    <w:abstractNumId w:val="766"/>
  </w:num>
  <w:num w:numId="681">
    <w:abstractNumId w:val="272"/>
  </w:num>
  <w:num w:numId="682">
    <w:abstractNumId w:val="1208"/>
  </w:num>
  <w:num w:numId="683">
    <w:abstractNumId w:val="1049"/>
  </w:num>
  <w:num w:numId="684">
    <w:abstractNumId w:val="1132"/>
  </w:num>
  <w:num w:numId="685">
    <w:abstractNumId w:val="1299"/>
  </w:num>
  <w:num w:numId="686">
    <w:abstractNumId w:val="1405"/>
  </w:num>
  <w:num w:numId="687">
    <w:abstractNumId w:val="241"/>
  </w:num>
  <w:num w:numId="688">
    <w:abstractNumId w:val="123"/>
  </w:num>
  <w:num w:numId="689">
    <w:abstractNumId w:val="854"/>
  </w:num>
  <w:num w:numId="690">
    <w:abstractNumId w:val="812"/>
  </w:num>
  <w:num w:numId="691">
    <w:abstractNumId w:val="1098"/>
  </w:num>
  <w:num w:numId="692">
    <w:abstractNumId w:val="15"/>
  </w:num>
  <w:num w:numId="693">
    <w:abstractNumId w:val="350"/>
  </w:num>
  <w:num w:numId="694">
    <w:abstractNumId w:val="210"/>
  </w:num>
  <w:num w:numId="695">
    <w:abstractNumId w:val="911"/>
  </w:num>
  <w:num w:numId="696">
    <w:abstractNumId w:val="823"/>
  </w:num>
  <w:num w:numId="697">
    <w:abstractNumId w:val="693"/>
  </w:num>
  <w:num w:numId="698">
    <w:abstractNumId w:val="545"/>
  </w:num>
  <w:num w:numId="699">
    <w:abstractNumId w:val="1300"/>
  </w:num>
  <w:num w:numId="700">
    <w:abstractNumId w:val="982"/>
  </w:num>
  <w:num w:numId="701">
    <w:abstractNumId w:val="499"/>
  </w:num>
  <w:num w:numId="702">
    <w:abstractNumId w:val="1258"/>
  </w:num>
  <w:num w:numId="703">
    <w:abstractNumId w:val="96"/>
  </w:num>
  <w:num w:numId="704">
    <w:abstractNumId w:val="821"/>
  </w:num>
  <w:num w:numId="705">
    <w:abstractNumId w:val="974"/>
  </w:num>
  <w:num w:numId="706">
    <w:abstractNumId w:val="544"/>
  </w:num>
  <w:num w:numId="707">
    <w:abstractNumId w:val="438"/>
  </w:num>
  <w:num w:numId="708">
    <w:abstractNumId w:val="1033"/>
  </w:num>
  <w:num w:numId="709">
    <w:abstractNumId w:val="261"/>
  </w:num>
  <w:num w:numId="710">
    <w:abstractNumId w:val="1417"/>
  </w:num>
  <w:num w:numId="711">
    <w:abstractNumId w:val="1287"/>
  </w:num>
  <w:num w:numId="712">
    <w:abstractNumId w:val="73"/>
  </w:num>
  <w:num w:numId="713">
    <w:abstractNumId w:val="13"/>
  </w:num>
  <w:num w:numId="714">
    <w:abstractNumId w:val="1279"/>
  </w:num>
  <w:num w:numId="715">
    <w:abstractNumId w:val="746"/>
  </w:num>
  <w:num w:numId="716">
    <w:abstractNumId w:val="990"/>
  </w:num>
  <w:num w:numId="717">
    <w:abstractNumId w:val="904"/>
  </w:num>
  <w:num w:numId="718">
    <w:abstractNumId w:val="757"/>
  </w:num>
  <w:num w:numId="719">
    <w:abstractNumId w:val="476"/>
  </w:num>
  <w:num w:numId="720">
    <w:abstractNumId w:val="324"/>
  </w:num>
  <w:num w:numId="721">
    <w:abstractNumId w:val="1355"/>
  </w:num>
  <w:num w:numId="722">
    <w:abstractNumId w:val="632"/>
  </w:num>
  <w:num w:numId="723">
    <w:abstractNumId w:val="95"/>
  </w:num>
  <w:num w:numId="724">
    <w:abstractNumId w:val="76"/>
  </w:num>
  <w:num w:numId="725">
    <w:abstractNumId w:val="816"/>
  </w:num>
  <w:num w:numId="726">
    <w:abstractNumId w:val="883"/>
  </w:num>
  <w:num w:numId="727">
    <w:abstractNumId w:val="1080"/>
  </w:num>
  <w:num w:numId="728">
    <w:abstractNumId w:val="697"/>
  </w:num>
  <w:num w:numId="729">
    <w:abstractNumId w:val="939"/>
  </w:num>
  <w:num w:numId="730">
    <w:abstractNumId w:val="825"/>
  </w:num>
  <w:num w:numId="731">
    <w:abstractNumId w:val="1043"/>
  </w:num>
  <w:num w:numId="732">
    <w:abstractNumId w:val="406"/>
  </w:num>
  <w:num w:numId="733">
    <w:abstractNumId w:val="326"/>
  </w:num>
  <w:num w:numId="734">
    <w:abstractNumId w:val="31"/>
  </w:num>
  <w:num w:numId="735">
    <w:abstractNumId w:val="576"/>
  </w:num>
  <w:num w:numId="736">
    <w:abstractNumId w:val="796"/>
  </w:num>
  <w:num w:numId="737">
    <w:abstractNumId w:val="1413"/>
  </w:num>
  <w:num w:numId="738">
    <w:abstractNumId w:val="505"/>
  </w:num>
  <w:num w:numId="739">
    <w:abstractNumId w:val="549"/>
  </w:num>
  <w:num w:numId="740">
    <w:abstractNumId w:val="1275"/>
  </w:num>
  <w:num w:numId="741">
    <w:abstractNumId w:val="362"/>
  </w:num>
  <w:num w:numId="742">
    <w:abstractNumId w:val="1327"/>
  </w:num>
  <w:num w:numId="743">
    <w:abstractNumId w:val="579"/>
  </w:num>
  <w:num w:numId="744">
    <w:abstractNumId w:val="1231"/>
  </w:num>
  <w:num w:numId="745">
    <w:abstractNumId w:val="1120"/>
  </w:num>
  <w:num w:numId="746">
    <w:abstractNumId w:val="307"/>
  </w:num>
  <w:num w:numId="747">
    <w:abstractNumId w:val="601"/>
  </w:num>
  <w:num w:numId="748">
    <w:abstractNumId w:val="1288"/>
  </w:num>
  <w:num w:numId="749">
    <w:abstractNumId w:val="644"/>
  </w:num>
  <w:num w:numId="750">
    <w:abstractNumId w:val="1125"/>
  </w:num>
  <w:num w:numId="751">
    <w:abstractNumId w:val="238"/>
  </w:num>
  <w:num w:numId="752">
    <w:abstractNumId w:val="1286"/>
  </w:num>
  <w:num w:numId="753">
    <w:abstractNumId w:val="1010"/>
  </w:num>
  <w:num w:numId="754">
    <w:abstractNumId w:val="445"/>
  </w:num>
  <w:num w:numId="755">
    <w:abstractNumId w:val="294"/>
  </w:num>
  <w:num w:numId="756">
    <w:abstractNumId w:val="1171"/>
  </w:num>
  <w:num w:numId="757">
    <w:abstractNumId w:val="989"/>
  </w:num>
  <w:num w:numId="758">
    <w:abstractNumId w:val="981"/>
  </w:num>
  <w:num w:numId="759">
    <w:abstractNumId w:val="415"/>
  </w:num>
  <w:num w:numId="760">
    <w:abstractNumId w:val="741"/>
  </w:num>
  <w:num w:numId="761">
    <w:abstractNumId w:val="1335"/>
  </w:num>
  <w:num w:numId="762">
    <w:abstractNumId w:val="1260"/>
  </w:num>
  <w:num w:numId="763">
    <w:abstractNumId w:val="1192"/>
  </w:num>
  <w:num w:numId="764">
    <w:abstractNumId w:val="6"/>
  </w:num>
  <w:num w:numId="765">
    <w:abstractNumId w:val="963"/>
  </w:num>
  <w:num w:numId="766">
    <w:abstractNumId w:val="328"/>
  </w:num>
  <w:num w:numId="767">
    <w:abstractNumId w:val="1140"/>
  </w:num>
  <w:num w:numId="768">
    <w:abstractNumId w:val="27"/>
  </w:num>
  <w:num w:numId="769">
    <w:abstractNumId w:val="531"/>
  </w:num>
  <w:num w:numId="770">
    <w:abstractNumId w:val="735"/>
  </w:num>
  <w:num w:numId="771">
    <w:abstractNumId w:val="1401"/>
  </w:num>
  <w:num w:numId="772">
    <w:abstractNumId w:val="32"/>
  </w:num>
  <w:num w:numId="773">
    <w:abstractNumId w:val="1059"/>
  </w:num>
  <w:num w:numId="774">
    <w:abstractNumId w:val="1318"/>
  </w:num>
  <w:num w:numId="775">
    <w:abstractNumId w:val="26"/>
  </w:num>
  <w:num w:numId="776">
    <w:abstractNumId w:val="9"/>
  </w:num>
  <w:num w:numId="777">
    <w:abstractNumId w:val="1162"/>
  </w:num>
  <w:num w:numId="778">
    <w:abstractNumId w:val="375"/>
  </w:num>
  <w:num w:numId="779">
    <w:abstractNumId w:val="889"/>
  </w:num>
  <w:num w:numId="780">
    <w:abstractNumId w:val="364"/>
  </w:num>
  <w:num w:numId="781">
    <w:abstractNumId w:val="1273"/>
  </w:num>
  <w:num w:numId="782">
    <w:abstractNumId w:val="1094"/>
  </w:num>
  <w:num w:numId="783">
    <w:abstractNumId w:val="748"/>
  </w:num>
  <w:num w:numId="784">
    <w:abstractNumId w:val="82"/>
  </w:num>
  <w:num w:numId="785">
    <w:abstractNumId w:val="1375"/>
  </w:num>
  <w:num w:numId="786">
    <w:abstractNumId w:val="151"/>
  </w:num>
  <w:num w:numId="787">
    <w:abstractNumId w:val="1014"/>
  </w:num>
  <w:num w:numId="788">
    <w:abstractNumId w:val="373"/>
  </w:num>
  <w:num w:numId="789">
    <w:abstractNumId w:val="1131"/>
  </w:num>
  <w:num w:numId="790">
    <w:abstractNumId w:val="213"/>
  </w:num>
  <w:num w:numId="791">
    <w:abstractNumId w:val="314"/>
  </w:num>
  <w:num w:numId="792">
    <w:abstractNumId w:val="1057"/>
  </w:num>
  <w:num w:numId="793">
    <w:abstractNumId w:val="1262"/>
  </w:num>
  <w:num w:numId="794">
    <w:abstractNumId w:val="1307"/>
  </w:num>
  <w:num w:numId="795">
    <w:abstractNumId w:val="811"/>
  </w:num>
  <w:num w:numId="796">
    <w:abstractNumId w:val="606"/>
  </w:num>
  <w:num w:numId="797">
    <w:abstractNumId w:val="590"/>
  </w:num>
  <w:num w:numId="798">
    <w:abstractNumId w:val="685"/>
  </w:num>
  <w:num w:numId="799">
    <w:abstractNumId w:val="265"/>
  </w:num>
  <w:num w:numId="800">
    <w:abstractNumId w:val="363"/>
  </w:num>
  <w:num w:numId="801">
    <w:abstractNumId w:val="767"/>
  </w:num>
  <w:num w:numId="802">
    <w:abstractNumId w:val="78"/>
  </w:num>
  <w:num w:numId="803">
    <w:abstractNumId w:val="88"/>
  </w:num>
  <w:num w:numId="804">
    <w:abstractNumId w:val="1074"/>
  </w:num>
  <w:num w:numId="805">
    <w:abstractNumId w:val="480"/>
  </w:num>
  <w:num w:numId="806">
    <w:abstractNumId w:val="208"/>
  </w:num>
  <w:num w:numId="807">
    <w:abstractNumId w:val="355"/>
  </w:num>
  <w:num w:numId="808">
    <w:abstractNumId w:val="516"/>
  </w:num>
  <w:num w:numId="809">
    <w:abstractNumId w:val="432"/>
  </w:num>
  <w:num w:numId="810">
    <w:abstractNumId w:val="1070"/>
  </w:num>
  <w:num w:numId="811">
    <w:abstractNumId w:val="860"/>
  </w:num>
  <w:num w:numId="812">
    <w:abstractNumId w:val="1384"/>
  </w:num>
  <w:num w:numId="813">
    <w:abstractNumId w:val="1037"/>
  </w:num>
  <w:num w:numId="814">
    <w:abstractNumId w:val="1293"/>
  </w:num>
  <w:num w:numId="815">
    <w:abstractNumId w:val="1158"/>
  </w:num>
  <w:num w:numId="816">
    <w:abstractNumId w:val="520"/>
  </w:num>
  <w:num w:numId="817">
    <w:abstractNumId w:val="325"/>
  </w:num>
  <w:num w:numId="818">
    <w:abstractNumId w:val="754"/>
  </w:num>
  <w:num w:numId="819">
    <w:abstractNumId w:val="921"/>
  </w:num>
  <w:num w:numId="820">
    <w:abstractNumId w:val="616"/>
  </w:num>
  <w:num w:numId="821">
    <w:abstractNumId w:val="621"/>
  </w:num>
  <w:num w:numId="822">
    <w:abstractNumId w:val="115"/>
  </w:num>
  <w:num w:numId="823">
    <w:abstractNumId w:val="1197"/>
  </w:num>
  <w:num w:numId="824">
    <w:abstractNumId w:val="377"/>
  </w:num>
  <w:num w:numId="825">
    <w:abstractNumId w:val="475"/>
  </w:num>
  <w:num w:numId="826">
    <w:abstractNumId w:val="497"/>
  </w:num>
  <w:num w:numId="827">
    <w:abstractNumId w:val="1061"/>
  </w:num>
  <w:num w:numId="828">
    <w:abstractNumId w:val="1141"/>
  </w:num>
  <w:num w:numId="829">
    <w:abstractNumId w:val="680"/>
  </w:num>
  <w:num w:numId="830">
    <w:abstractNumId w:val="1369"/>
  </w:num>
  <w:num w:numId="831">
    <w:abstractNumId w:val="1242"/>
  </w:num>
  <w:num w:numId="832">
    <w:abstractNumId w:val="77"/>
  </w:num>
  <w:num w:numId="833">
    <w:abstractNumId w:val="1226"/>
  </w:num>
  <w:num w:numId="834">
    <w:abstractNumId w:val="293"/>
  </w:num>
  <w:num w:numId="835">
    <w:abstractNumId w:val="1313"/>
  </w:num>
  <w:num w:numId="836">
    <w:abstractNumId w:val="763"/>
  </w:num>
  <w:num w:numId="837">
    <w:abstractNumId w:val="322"/>
  </w:num>
  <w:num w:numId="838">
    <w:abstractNumId w:val="604"/>
  </w:num>
  <w:num w:numId="839">
    <w:abstractNumId w:val="655"/>
  </w:num>
  <w:num w:numId="840">
    <w:abstractNumId w:val="1255"/>
  </w:num>
  <w:num w:numId="841">
    <w:abstractNumId w:val="360"/>
  </w:num>
  <w:num w:numId="842">
    <w:abstractNumId w:val="152"/>
  </w:num>
  <w:num w:numId="843">
    <w:abstractNumId w:val="372"/>
  </w:num>
  <w:num w:numId="844">
    <w:abstractNumId w:val="305"/>
  </w:num>
  <w:num w:numId="845">
    <w:abstractNumId w:val="595"/>
  </w:num>
  <w:num w:numId="846">
    <w:abstractNumId w:val="541"/>
  </w:num>
  <w:num w:numId="847">
    <w:abstractNumId w:val="446"/>
  </w:num>
  <w:num w:numId="848">
    <w:abstractNumId w:val="46"/>
  </w:num>
  <w:num w:numId="849">
    <w:abstractNumId w:val="653"/>
  </w:num>
  <w:num w:numId="850">
    <w:abstractNumId w:val="1227"/>
  </w:num>
  <w:num w:numId="851">
    <w:abstractNumId w:val="273"/>
  </w:num>
  <w:num w:numId="852">
    <w:abstractNumId w:val="51"/>
  </w:num>
  <w:num w:numId="853">
    <w:abstractNumId w:val="1254"/>
  </w:num>
  <w:num w:numId="854">
    <w:abstractNumId w:val="594"/>
  </w:num>
  <w:num w:numId="855">
    <w:abstractNumId w:val="1402"/>
  </w:num>
  <w:num w:numId="856">
    <w:abstractNumId w:val="515"/>
  </w:num>
  <w:num w:numId="857">
    <w:abstractNumId w:val="29"/>
  </w:num>
  <w:num w:numId="858">
    <w:abstractNumId w:val="117"/>
  </w:num>
  <w:num w:numId="859">
    <w:abstractNumId w:val="662"/>
  </w:num>
  <w:num w:numId="860">
    <w:abstractNumId w:val="1378"/>
  </w:num>
  <w:num w:numId="861">
    <w:abstractNumId w:val="562"/>
  </w:num>
  <w:num w:numId="862">
    <w:abstractNumId w:val="1348"/>
  </w:num>
  <w:num w:numId="863">
    <w:abstractNumId w:val="184"/>
  </w:num>
  <w:num w:numId="864">
    <w:abstractNumId w:val="700"/>
  </w:num>
  <w:num w:numId="865">
    <w:abstractNumId w:val="892"/>
  </w:num>
  <w:num w:numId="866">
    <w:abstractNumId w:val="374"/>
  </w:num>
  <w:num w:numId="867">
    <w:abstractNumId w:val="163"/>
  </w:num>
  <w:num w:numId="868">
    <w:abstractNumId w:val="492"/>
  </w:num>
  <w:num w:numId="869">
    <w:abstractNumId w:val="895"/>
  </w:num>
  <w:num w:numId="870">
    <w:abstractNumId w:val="249"/>
  </w:num>
  <w:num w:numId="871">
    <w:abstractNumId w:val="522"/>
  </w:num>
  <w:num w:numId="872">
    <w:abstractNumId w:val="331"/>
  </w:num>
  <w:num w:numId="873">
    <w:abstractNumId w:val="992"/>
  </w:num>
  <w:num w:numId="874">
    <w:abstractNumId w:val="369"/>
  </w:num>
  <w:num w:numId="875">
    <w:abstractNumId w:val="1073"/>
  </w:num>
  <w:num w:numId="876">
    <w:abstractNumId w:val="817"/>
  </w:num>
  <w:num w:numId="877">
    <w:abstractNumId w:val="1391"/>
  </w:num>
  <w:num w:numId="878">
    <w:abstractNumId w:val="119"/>
  </w:num>
  <w:num w:numId="879">
    <w:abstractNumId w:val="211"/>
  </w:num>
  <w:num w:numId="880">
    <w:abstractNumId w:val="679"/>
  </w:num>
  <w:num w:numId="881">
    <w:abstractNumId w:val="1066"/>
  </w:num>
  <w:num w:numId="882">
    <w:abstractNumId w:val="530"/>
  </w:num>
  <w:num w:numId="883">
    <w:abstractNumId w:val="172"/>
  </w:num>
  <w:num w:numId="884">
    <w:abstractNumId w:val="1239"/>
  </w:num>
  <w:num w:numId="885">
    <w:abstractNumId w:val="1271"/>
  </w:num>
  <w:num w:numId="886">
    <w:abstractNumId w:val="165"/>
  </w:num>
  <w:num w:numId="887">
    <w:abstractNumId w:val="1100"/>
  </w:num>
  <w:num w:numId="888">
    <w:abstractNumId w:val="578"/>
  </w:num>
  <w:num w:numId="889">
    <w:abstractNumId w:val="1172"/>
  </w:num>
  <w:num w:numId="890">
    <w:abstractNumId w:val="269"/>
  </w:num>
  <w:num w:numId="891">
    <w:abstractNumId w:val="1229"/>
  </w:num>
  <w:num w:numId="892">
    <w:abstractNumId w:val="1123"/>
  </w:num>
  <w:num w:numId="893">
    <w:abstractNumId w:val="1353"/>
  </w:num>
  <w:num w:numId="894">
    <w:abstractNumId w:val="933"/>
  </w:num>
  <w:num w:numId="895">
    <w:abstractNumId w:val="263"/>
  </w:num>
  <w:num w:numId="896">
    <w:abstractNumId w:val="893"/>
  </w:num>
  <w:num w:numId="897">
    <w:abstractNumId w:val="433"/>
  </w:num>
  <w:num w:numId="898">
    <w:abstractNumId w:val="1398"/>
  </w:num>
  <w:num w:numId="899">
    <w:abstractNumId w:val="1267"/>
  </w:num>
  <w:num w:numId="900">
    <w:abstractNumId w:val="207"/>
  </w:num>
  <w:num w:numId="901">
    <w:abstractNumId w:val="600"/>
  </w:num>
  <w:num w:numId="902">
    <w:abstractNumId w:val="309"/>
  </w:num>
  <w:num w:numId="903">
    <w:abstractNumId w:val="221"/>
  </w:num>
  <w:num w:numId="904">
    <w:abstractNumId w:val="960"/>
  </w:num>
  <w:num w:numId="905">
    <w:abstractNumId w:val="1054"/>
  </w:num>
  <w:num w:numId="906">
    <w:abstractNumId w:val="980"/>
  </w:num>
  <w:num w:numId="907">
    <w:abstractNumId w:val="756"/>
  </w:num>
  <w:num w:numId="908">
    <w:abstractNumId w:val="633"/>
  </w:num>
  <w:num w:numId="909">
    <w:abstractNumId w:val="143"/>
  </w:num>
  <w:num w:numId="910">
    <w:abstractNumId w:val="10"/>
  </w:num>
  <w:num w:numId="911">
    <w:abstractNumId w:val="503"/>
  </w:num>
  <w:num w:numId="912">
    <w:abstractNumId w:val="284"/>
  </w:num>
  <w:num w:numId="913">
    <w:abstractNumId w:val="457"/>
  </w:num>
  <w:num w:numId="914">
    <w:abstractNumId w:val="1022"/>
  </w:num>
  <w:num w:numId="915">
    <w:abstractNumId w:val="495"/>
  </w:num>
  <w:num w:numId="916">
    <w:abstractNumId w:val="1383"/>
  </w:num>
  <w:num w:numId="917">
    <w:abstractNumId w:val="1188"/>
  </w:num>
  <w:num w:numId="918">
    <w:abstractNumId w:val="308"/>
  </w:num>
  <w:num w:numId="919">
    <w:abstractNumId w:val="1138"/>
  </w:num>
  <w:num w:numId="920">
    <w:abstractNumId w:val="317"/>
  </w:num>
  <w:num w:numId="921">
    <w:abstractNumId w:val="947"/>
  </w:num>
  <w:num w:numId="922">
    <w:abstractNumId w:val="836"/>
  </w:num>
  <w:num w:numId="923">
    <w:abstractNumId w:val="3"/>
  </w:num>
  <w:num w:numId="924">
    <w:abstractNumId w:val="780"/>
  </w:num>
  <w:num w:numId="925">
    <w:abstractNumId w:val="189"/>
  </w:num>
  <w:num w:numId="926">
    <w:abstractNumId w:val="434"/>
  </w:num>
  <w:num w:numId="927">
    <w:abstractNumId w:val="815"/>
  </w:num>
  <w:num w:numId="928">
    <w:abstractNumId w:val="318"/>
  </w:num>
  <w:num w:numId="929">
    <w:abstractNumId w:val="260"/>
  </w:num>
  <w:num w:numId="930">
    <w:abstractNumId w:val="1325"/>
  </w:num>
  <w:num w:numId="931">
    <w:abstractNumId w:val="1176"/>
  </w:num>
  <w:num w:numId="932">
    <w:abstractNumId w:val="861"/>
  </w:num>
  <w:num w:numId="933">
    <w:abstractNumId w:val="957"/>
  </w:num>
  <w:num w:numId="934">
    <w:abstractNumId w:val="1367"/>
  </w:num>
  <w:num w:numId="935">
    <w:abstractNumId w:val="182"/>
  </w:num>
  <w:num w:numId="936">
    <w:abstractNumId w:val="783"/>
  </w:num>
  <w:num w:numId="937">
    <w:abstractNumId w:val="822"/>
  </w:num>
  <w:num w:numId="938">
    <w:abstractNumId w:val="53"/>
  </w:num>
  <w:num w:numId="939">
    <w:abstractNumId w:val="1058"/>
  </w:num>
  <w:num w:numId="940">
    <w:abstractNumId w:val="782"/>
  </w:num>
  <w:num w:numId="941">
    <w:abstractNumId w:val="255"/>
  </w:num>
  <w:num w:numId="942">
    <w:abstractNumId w:val="791"/>
  </w:num>
  <w:num w:numId="943">
    <w:abstractNumId w:val="424"/>
  </w:num>
  <w:num w:numId="944">
    <w:abstractNumId w:val="173"/>
  </w:num>
  <w:num w:numId="945">
    <w:abstractNumId w:val="87"/>
  </w:num>
  <w:num w:numId="946">
    <w:abstractNumId w:val="857"/>
  </w:num>
  <w:num w:numId="947">
    <w:abstractNumId w:val="880"/>
  </w:num>
  <w:num w:numId="948">
    <w:abstractNumId w:val="512"/>
  </w:num>
  <w:num w:numId="949">
    <w:abstractNumId w:val="359"/>
  </w:num>
  <w:num w:numId="950">
    <w:abstractNumId w:val="1052"/>
  </w:num>
  <w:num w:numId="951">
    <w:abstractNumId w:val="804"/>
  </w:num>
  <w:num w:numId="952">
    <w:abstractNumId w:val="539"/>
  </w:num>
  <w:num w:numId="953">
    <w:abstractNumId w:val="602"/>
  </w:num>
  <w:num w:numId="954">
    <w:abstractNumId w:val="1222"/>
  </w:num>
  <w:num w:numId="955">
    <w:abstractNumId w:val="890"/>
  </w:num>
  <w:num w:numId="956">
    <w:abstractNumId w:val="452"/>
  </w:num>
  <w:num w:numId="957">
    <w:abstractNumId w:val="1137"/>
  </w:num>
  <w:num w:numId="958">
    <w:abstractNumId w:val="223"/>
  </w:num>
  <w:num w:numId="959">
    <w:abstractNumId w:val="1250"/>
  </w:num>
  <w:num w:numId="960">
    <w:abstractNumId w:val="511"/>
  </w:num>
  <w:num w:numId="961">
    <w:abstractNumId w:val="1128"/>
  </w:num>
  <w:num w:numId="962">
    <w:abstractNumId w:val="988"/>
  </w:num>
  <w:num w:numId="963">
    <w:abstractNumId w:val="1155"/>
  </w:num>
  <w:num w:numId="964">
    <w:abstractNumId w:val="102"/>
  </w:num>
  <w:num w:numId="965">
    <w:abstractNumId w:val="560"/>
  </w:num>
  <w:num w:numId="966">
    <w:abstractNumId w:val="915"/>
  </w:num>
  <w:num w:numId="967">
    <w:abstractNumId w:val="564"/>
  </w:num>
  <w:num w:numId="968">
    <w:abstractNumId w:val="656"/>
  </w:num>
  <w:num w:numId="969">
    <w:abstractNumId w:val="1416"/>
  </w:num>
  <w:num w:numId="970">
    <w:abstractNumId w:val="101"/>
  </w:num>
  <w:num w:numId="971">
    <w:abstractNumId w:val="908"/>
  </w:num>
  <w:num w:numId="972">
    <w:abstractNumId w:val="190"/>
  </w:num>
  <w:num w:numId="973">
    <w:abstractNumId w:val="1001"/>
  </w:num>
  <w:num w:numId="974">
    <w:abstractNumId w:val="1169"/>
  </w:num>
  <w:num w:numId="975">
    <w:abstractNumId w:val="983"/>
  </w:num>
  <w:num w:numId="976">
    <w:abstractNumId w:val="678"/>
  </w:num>
  <w:num w:numId="977">
    <w:abstractNumId w:val="1379"/>
  </w:num>
  <w:num w:numId="978">
    <w:abstractNumId w:val="2"/>
  </w:num>
  <w:num w:numId="979">
    <w:abstractNumId w:val="768"/>
  </w:num>
  <w:num w:numId="980">
    <w:abstractNumId w:val="1095"/>
  </w:num>
  <w:num w:numId="981">
    <w:abstractNumId w:val="157"/>
  </w:num>
  <w:num w:numId="982">
    <w:abstractNumId w:val="657"/>
  </w:num>
  <w:num w:numId="983">
    <w:abstractNumId w:val="409"/>
  </w:num>
  <w:num w:numId="984">
    <w:abstractNumId w:val="179"/>
  </w:num>
  <w:num w:numId="985">
    <w:abstractNumId w:val="745"/>
  </w:num>
  <w:num w:numId="986">
    <w:abstractNumId w:val="344"/>
  </w:num>
  <w:num w:numId="987">
    <w:abstractNumId w:val="483"/>
  </w:num>
  <w:num w:numId="988">
    <w:abstractNumId w:val="891"/>
  </w:num>
  <w:num w:numId="989">
    <w:abstractNumId w:val="389"/>
  </w:num>
  <w:num w:numId="990">
    <w:abstractNumId w:val="663"/>
  </w:num>
  <w:num w:numId="991">
    <w:abstractNumId w:val="608"/>
  </w:num>
  <w:num w:numId="992">
    <w:abstractNumId w:val="1408"/>
  </w:num>
  <w:num w:numId="993">
    <w:abstractNumId w:val="50"/>
  </w:num>
  <w:num w:numId="994">
    <w:abstractNumId w:val="1308"/>
  </w:num>
  <w:num w:numId="995">
    <w:abstractNumId w:val="729"/>
  </w:num>
  <w:num w:numId="996">
    <w:abstractNumId w:val="380"/>
  </w:num>
  <w:num w:numId="997">
    <w:abstractNumId w:val="540"/>
  </w:num>
  <w:num w:numId="998">
    <w:abstractNumId w:val="852"/>
  </w:num>
  <w:num w:numId="999">
    <w:abstractNumId w:val="927"/>
  </w:num>
  <w:num w:numId="1000">
    <w:abstractNumId w:val="1310"/>
  </w:num>
  <w:num w:numId="1001">
    <w:abstractNumId w:val="1193"/>
  </w:num>
  <w:num w:numId="1002">
    <w:abstractNumId w:val="239"/>
  </w:num>
  <w:num w:numId="1003">
    <w:abstractNumId w:val="175"/>
  </w:num>
  <w:num w:numId="1004">
    <w:abstractNumId w:val="1011"/>
  </w:num>
  <w:num w:numId="1005">
    <w:abstractNumId w:val="99"/>
  </w:num>
  <w:num w:numId="1006">
    <w:abstractNumId w:val="16"/>
  </w:num>
  <w:num w:numId="1007">
    <w:abstractNumId w:val="707"/>
  </w:num>
  <w:num w:numId="1008">
    <w:abstractNumId w:val="92"/>
  </w:num>
  <w:num w:numId="1009">
    <w:abstractNumId w:val="1363"/>
  </w:num>
  <w:num w:numId="1010">
    <w:abstractNumId w:val="392"/>
  </w:num>
  <w:num w:numId="1011">
    <w:abstractNumId w:val="410"/>
  </w:num>
  <w:num w:numId="1012">
    <w:abstractNumId w:val="382"/>
  </w:num>
  <w:num w:numId="1013">
    <w:abstractNumId w:val="801"/>
  </w:num>
  <w:num w:numId="1014">
    <w:abstractNumId w:val="226"/>
  </w:num>
  <w:num w:numId="1015">
    <w:abstractNumId w:val="216"/>
  </w:num>
  <w:num w:numId="1016">
    <w:abstractNumId w:val="738"/>
  </w:num>
  <w:num w:numId="1017">
    <w:abstractNumId w:val="1295"/>
  </w:num>
  <w:num w:numId="1018">
    <w:abstractNumId w:val="660"/>
  </w:num>
  <w:num w:numId="1019">
    <w:abstractNumId w:val="938"/>
  </w:num>
  <w:num w:numId="1020">
    <w:abstractNumId w:val="1311"/>
  </w:num>
  <w:num w:numId="1021">
    <w:abstractNumId w:val="1198"/>
  </w:num>
  <w:num w:numId="1022">
    <w:abstractNumId w:val="1046"/>
  </w:num>
  <w:num w:numId="1023">
    <w:abstractNumId w:val="1343"/>
  </w:num>
  <w:num w:numId="1024">
    <w:abstractNumId w:val="240"/>
  </w:num>
  <w:num w:numId="1025">
    <w:abstractNumId w:val="1381"/>
  </w:num>
  <w:num w:numId="1026">
    <w:abstractNumId w:val="419"/>
  </w:num>
  <w:num w:numId="1027">
    <w:abstractNumId w:val="573"/>
  </w:num>
  <w:num w:numId="1028">
    <w:abstractNumId w:val="917"/>
  </w:num>
  <w:num w:numId="1029">
    <w:abstractNumId w:val="120"/>
  </w:num>
  <w:num w:numId="1030">
    <w:abstractNumId w:val="129"/>
  </w:num>
  <w:num w:numId="1031">
    <w:abstractNumId w:val="962"/>
  </w:num>
  <w:num w:numId="1032">
    <w:abstractNumId w:val="1233"/>
  </w:num>
  <w:num w:numId="1033">
    <w:abstractNumId w:val="302"/>
  </w:num>
  <w:num w:numId="1034">
    <w:abstractNumId w:val="1153"/>
  </w:num>
  <w:num w:numId="1035">
    <w:abstractNumId w:val="1265"/>
  </w:num>
  <w:num w:numId="1036">
    <w:abstractNumId w:val="809"/>
  </w:num>
  <w:num w:numId="1037">
    <w:abstractNumId w:val="178"/>
  </w:num>
  <w:num w:numId="1038">
    <w:abstractNumId w:val="264"/>
  </w:num>
  <w:num w:numId="1039">
    <w:abstractNumId w:val="395"/>
  </w:num>
  <w:num w:numId="1040">
    <w:abstractNumId w:val="1090"/>
  </w:num>
  <w:num w:numId="1041">
    <w:abstractNumId w:val="1149"/>
  </w:num>
  <w:num w:numId="1042">
    <w:abstractNumId w:val="761"/>
  </w:num>
  <w:num w:numId="1043">
    <w:abstractNumId w:val="556"/>
  </w:num>
  <w:num w:numId="1044">
    <w:abstractNumId w:val="527"/>
  </w:num>
  <w:num w:numId="1045">
    <w:abstractNumId w:val="338"/>
  </w:num>
  <w:num w:numId="1046">
    <w:abstractNumId w:val="121"/>
  </w:num>
  <w:num w:numId="1047">
    <w:abstractNumId w:val="800"/>
  </w:num>
  <w:num w:numId="1048">
    <w:abstractNumId w:val="398"/>
  </w:num>
  <w:num w:numId="1049">
    <w:abstractNumId w:val="977"/>
  </w:num>
  <w:num w:numId="1050">
    <w:abstractNumId w:val="430"/>
  </w:num>
  <w:num w:numId="1051">
    <w:abstractNumId w:val="1298"/>
  </w:num>
  <w:num w:numId="1052">
    <w:abstractNumId w:val="110"/>
  </w:num>
  <w:num w:numId="1053">
    <w:abstractNumId w:val="521"/>
  </w:num>
  <w:num w:numId="1054">
    <w:abstractNumId w:val="271"/>
  </w:num>
  <w:num w:numId="1055">
    <w:abstractNumId w:val="607"/>
  </w:num>
  <w:num w:numId="1056">
    <w:abstractNumId w:val="1247"/>
  </w:num>
  <w:num w:numId="1057">
    <w:abstractNumId w:val="1034"/>
  </w:num>
  <w:num w:numId="1058">
    <w:abstractNumId w:val="793"/>
  </w:num>
  <w:num w:numId="1059">
    <w:abstractNumId w:val="450"/>
  </w:num>
  <w:num w:numId="1060">
    <w:abstractNumId w:val="692"/>
  </w:num>
  <w:num w:numId="1061">
    <w:abstractNumId w:val="1115"/>
  </w:num>
  <w:num w:numId="1062">
    <w:abstractNumId w:val="85"/>
  </w:num>
  <w:num w:numId="1063">
    <w:abstractNumId w:val="1012"/>
  </w:num>
  <w:num w:numId="1064">
    <w:abstractNumId w:val="1093"/>
  </w:num>
  <w:num w:numId="1065">
    <w:abstractNumId w:val="1365"/>
  </w:num>
  <w:num w:numId="1066">
    <w:abstractNumId w:val="444"/>
  </w:num>
  <w:num w:numId="1067">
    <w:abstractNumId w:val="636"/>
  </w:num>
  <w:num w:numId="1068">
    <w:abstractNumId w:val="728"/>
  </w:num>
  <w:num w:numId="1069">
    <w:abstractNumId w:val="39"/>
  </w:num>
  <w:num w:numId="1070">
    <w:abstractNumId w:val="1302"/>
  </w:num>
  <w:num w:numId="1071">
    <w:abstractNumId w:val="1389"/>
  </w:num>
  <w:num w:numId="1072">
    <w:abstractNumId w:val="903"/>
  </w:num>
  <w:num w:numId="1073">
    <w:abstractNumId w:val="953"/>
  </w:num>
  <w:num w:numId="1074">
    <w:abstractNumId w:val="722"/>
  </w:num>
  <w:num w:numId="1075">
    <w:abstractNumId w:val="542"/>
  </w:num>
  <w:num w:numId="1076">
    <w:abstractNumId w:val="787"/>
  </w:num>
  <w:num w:numId="1077">
    <w:abstractNumId w:val="1027"/>
  </w:num>
  <w:num w:numId="1078">
    <w:abstractNumId w:val="896"/>
  </w:num>
  <w:num w:numId="1079">
    <w:abstractNumId w:val="565"/>
  </w:num>
  <w:num w:numId="1080">
    <w:abstractNumId w:val="196"/>
  </w:num>
  <w:num w:numId="1081">
    <w:abstractNumId w:val="1358"/>
  </w:num>
  <w:num w:numId="1082">
    <w:abstractNumId w:val="86"/>
  </w:num>
  <w:num w:numId="1083">
    <w:abstractNumId w:val="1257"/>
  </w:num>
  <w:num w:numId="1084">
    <w:abstractNumId w:val="472"/>
  </w:num>
  <w:num w:numId="1085">
    <w:abstractNumId w:val="742"/>
  </w:num>
  <w:num w:numId="1086">
    <w:abstractNumId w:val="253"/>
  </w:num>
  <w:num w:numId="1087">
    <w:abstractNumId w:val="1078"/>
  </w:num>
  <w:num w:numId="1088">
    <w:abstractNumId w:val="870"/>
  </w:num>
  <w:num w:numId="1089">
    <w:abstractNumId w:val="404"/>
  </w:num>
  <w:num w:numId="1090">
    <w:abstractNumId w:val="1013"/>
  </w:num>
  <w:num w:numId="1091">
    <w:abstractNumId w:val="882"/>
  </w:num>
  <w:num w:numId="1092">
    <w:abstractNumId w:val="1220"/>
  </w:num>
  <w:num w:numId="1093">
    <w:abstractNumId w:val="1268"/>
  </w:num>
  <w:num w:numId="1094">
    <w:abstractNumId w:val="1370"/>
  </w:num>
  <w:num w:numId="1095">
    <w:abstractNumId w:val="1114"/>
  </w:num>
  <w:num w:numId="1096">
    <w:abstractNumId w:val="958"/>
  </w:num>
  <w:num w:numId="1097">
    <w:abstractNumId w:val="1356"/>
  </w:num>
  <w:num w:numId="1098">
    <w:abstractNumId w:val="765"/>
  </w:num>
  <w:num w:numId="1099">
    <w:abstractNumId w:val="267"/>
  </w:num>
  <w:num w:numId="1100">
    <w:abstractNumId w:val="356"/>
  </w:num>
  <w:num w:numId="1101">
    <w:abstractNumId w:val="806"/>
  </w:num>
  <w:num w:numId="1102">
    <w:abstractNumId w:val="466"/>
  </w:num>
  <w:num w:numId="1103">
    <w:abstractNumId w:val="323"/>
  </w:num>
  <w:num w:numId="1104">
    <w:abstractNumId w:val="557"/>
  </w:num>
  <w:num w:numId="1105">
    <w:abstractNumId w:val="204"/>
  </w:num>
  <w:num w:numId="1106">
    <w:abstractNumId w:val="18"/>
  </w:num>
  <w:num w:numId="1107">
    <w:abstractNumId w:val="205"/>
  </w:num>
  <w:num w:numId="1108">
    <w:abstractNumId w:val="312"/>
  </w:num>
  <w:num w:numId="1109">
    <w:abstractNumId w:val="642"/>
  </w:num>
  <w:num w:numId="1110">
    <w:abstractNumId w:val="1387"/>
  </w:num>
  <w:num w:numId="1111">
    <w:abstractNumId w:val="229"/>
  </w:num>
  <w:num w:numId="1112">
    <w:abstractNumId w:val="967"/>
  </w:num>
  <w:num w:numId="1113">
    <w:abstractNumId w:val="34"/>
  </w:num>
  <w:num w:numId="1114">
    <w:abstractNumId w:val="1269"/>
  </w:num>
  <w:num w:numId="1115">
    <w:abstractNumId w:val="948"/>
  </w:num>
  <w:num w:numId="1116">
    <w:abstractNumId w:val="1397"/>
  </w:num>
  <w:num w:numId="1117">
    <w:abstractNumId w:val="228"/>
  </w:num>
  <w:num w:numId="1118">
    <w:abstractNumId w:val="672"/>
  </w:num>
  <w:num w:numId="1119">
    <w:abstractNumId w:val="0"/>
  </w:num>
  <w:num w:numId="1120">
    <w:abstractNumId w:val="669"/>
  </w:num>
  <w:num w:numId="1121">
    <w:abstractNumId w:val="664"/>
  </w:num>
  <w:num w:numId="1122">
    <w:abstractNumId w:val="666"/>
  </w:num>
  <w:num w:numId="1123">
    <w:abstractNumId w:val="535"/>
  </w:num>
  <w:num w:numId="1124">
    <w:abstractNumId w:val="966"/>
  </w:num>
  <w:num w:numId="1125">
    <w:abstractNumId w:val="403"/>
  </w:num>
  <w:num w:numId="1126">
    <w:abstractNumId w:val="1364"/>
  </w:num>
  <w:num w:numId="1127">
    <w:abstractNumId w:val="818"/>
  </w:num>
  <w:num w:numId="1128">
    <w:abstractNumId w:val="465"/>
  </w:num>
  <w:num w:numId="1129">
    <w:abstractNumId w:val="987"/>
  </w:num>
  <w:num w:numId="1130">
    <w:abstractNumId w:val="250"/>
  </w:num>
  <w:num w:numId="1131">
    <w:abstractNumId w:val="640"/>
  </w:num>
  <w:num w:numId="1132">
    <w:abstractNumId w:val="1281"/>
  </w:num>
  <w:num w:numId="1133">
    <w:abstractNumId w:val="84"/>
  </w:num>
  <w:num w:numId="1134">
    <w:abstractNumId w:val="1040"/>
  </w:num>
  <w:num w:numId="1135">
    <w:abstractNumId w:val="1388"/>
  </w:num>
  <w:num w:numId="1136">
    <w:abstractNumId w:val="7"/>
  </w:num>
  <w:num w:numId="1137">
    <w:abstractNumId w:val="733"/>
  </w:num>
  <w:num w:numId="1138">
    <w:abstractNumId w:val="931"/>
  </w:num>
  <w:num w:numId="1139">
    <w:abstractNumId w:val="366"/>
  </w:num>
  <w:num w:numId="1140">
    <w:abstractNumId w:val="514"/>
  </w:num>
  <w:num w:numId="1141">
    <w:abstractNumId w:val="847"/>
  </w:num>
  <w:num w:numId="1142">
    <w:abstractNumId w:val="658"/>
  </w:num>
  <w:num w:numId="1143">
    <w:abstractNumId w:val="876"/>
  </w:num>
  <w:num w:numId="1144">
    <w:abstractNumId w:val="347"/>
  </w:num>
  <w:num w:numId="1145">
    <w:abstractNumId w:val="611"/>
  </w:num>
  <w:num w:numId="1146">
    <w:abstractNumId w:val="1214"/>
  </w:num>
  <w:num w:numId="1147">
    <w:abstractNumId w:val="517"/>
  </w:num>
  <w:num w:numId="1148">
    <w:abstractNumId w:val="400"/>
  </w:num>
  <w:num w:numId="1149">
    <w:abstractNumId w:val="706"/>
  </w:num>
  <w:num w:numId="1150">
    <w:abstractNumId w:val="523"/>
  </w:num>
  <w:num w:numId="1151">
    <w:abstractNumId w:val="865"/>
  </w:num>
  <w:num w:numId="1152">
    <w:abstractNumId w:val="259"/>
  </w:num>
  <w:num w:numId="1153">
    <w:abstractNumId w:val="1170"/>
  </w:num>
  <w:num w:numId="1154">
    <w:abstractNumId w:val="734"/>
  </w:num>
  <w:num w:numId="1155">
    <w:abstractNumId w:val="737"/>
  </w:num>
  <w:num w:numId="1156">
    <w:abstractNumId w:val="1207"/>
  </w:num>
  <w:num w:numId="1157">
    <w:abstractNumId w:val="1121"/>
  </w:num>
  <w:num w:numId="1158">
    <w:abstractNumId w:val="107"/>
  </w:num>
  <w:num w:numId="1159">
    <w:abstractNumId w:val="38"/>
  </w:num>
  <w:num w:numId="1160">
    <w:abstractNumId w:val="1359"/>
  </w:num>
  <w:num w:numId="1161">
    <w:abstractNumId w:val="951"/>
  </w:num>
  <w:num w:numId="1162">
    <w:abstractNumId w:val="1306"/>
  </w:num>
  <w:num w:numId="1163">
    <w:abstractNumId w:val="171"/>
  </w:num>
  <w:num w:numId="1164">
    <w:abstractNumId w:val="1025"/>
  </w:num>
  <w:num w:numId="1165">
    <w:abstractNumId w:val="336"/>
  </w:num>
  <w:num w:numId="1166">
    <w:abstractNumId w:val="1151"/>
  </w:num>
  <w:num w:numId="1167">
    <w:abstractNumId w:val="932"/>
  </w:num>
  <w:num w:numId="1168">
    <w:abstractNumId w:val="591"/>
  </w:num>
  <w:num w:numId="1169">
    <w:abstractNumId w:val="769"/>
  </w:num>
  <w:num w:numId="1170">
    <w:abstractNumId w:val="689"/>
  </w:num>
  <w:num w:numId="1171">
    <w:abstractNumId w:val="219"/>
  </w:num>
  <w:num w:numId="1172">
    <w:abstractNumId w:val="266"/>
  </w:num>
  <w:num w:numId="1173">
    <w:abstractNumId w:val="55"/>
  </w:num>
  <w:num w:numId="1174">
    <w:abstractNumId w:val="1189"/>
  </w:num>
  <w:num w:numId="1175">
    <w:abstractNumId w:val="798"/>
  </w:num>
  <w:num w:numId="1176">
    <w:abstractNumId w:val="435"/>
  </w:num>
  <w:num w:numId="1177">
    <w:abstractNumId w:val="519"/>
  </w:num>
  <w:num w:numId="1178">
    <w:abstractNumId w:val="1084"/>
  </w:num>
  <w:num w:numId="1179">
    <w:abstractNumId w:val="1"/>
  </w:num>
  <w:num w:numId="1180">
    <w:abstractNumId w:val="138"/>
  </w:num>
  <w:num w:numId="1181">
    <w:abstractNumId w:val="455"/>
  </w:num>
  <w:num w:numId="1182">
    <w:abstractNumId w:val="839"/>
  </w:num>
  <w:num w:numId="1183">
    <w:abstractNumId w:val="840"/>
  </w:num>
  <w:num w:numId="1184">
    <w:abstractNumId w:val="459"/>
  </w:num>
  <w:num w:numId="1185">
    <w:abstractNumId w:val="297"/>
  </w:num>
  <w:num w:numId="1186">
    <w:abstractNumId w:val="646"/>
  </w:num>
  <w:num w:numId="1187">
    <w:abstractNumId w:val="961"/>
  </w:num>
  <w:num w:numId="1188">
    <w:abstractNumId w:val="1130"/>
  </w:num>
  <w:num w:numId="1189">
    <w:abstractNumId w:val="827"/>
  </w:num>
  <w:num w:numId="1190">
    <w:abstractNumId w:val="206"/>
  </w:num>
  <w:num w:numId="1191">
    <w:abstractNumId w:val="52"/>
  </w:num>
  <w:num w:numId="1192">
    <w:abstractNumId w:val="397"/>
  </w:num>
  <w:num w:numId="1193">
    <w:abstractNumId w:val="605"/>
  </w:num>
  <w:num w:numId="1194">
    <w:abstractNumId w:val="335"/>
  </w:num>
  <w:num w:numId="1195">
    <w:abstractNumId w:val="561"/>
  </w:num>
  <w:num w:numId="1196">
    <w:abstractNumId w:val="916"/>
  </w:num>
  <w:num w:numId="1197">
    <w:abstractNumId w:val="513"/>
  </w:num>
  <w:num w:numId="1198">
    <w:abstractNumId w:val="837"/>
  </w:num>
  <w:num w:numId="1199">
    <w:abstractNumId w:val="439"/>
  </w:num>
  <w:num w:numId="1200">
    <w:abstractNumId w:val="414"/>
  </w:num>
  <w:num w:numId="1201">
    <w:abstractNumId w:val="72"/>
  </w:num>
  <w:num w:numId="1202">
    <w:abstractNumId w:val="686"/>
  </w:num>
  <w:num w:numId="1203">
    <w:abstractNumId w:val="217"/>
  </w:num>
  <w:num w:numId="1204">
    <w:abstractNumId w:val="484"/>
  </w:num>
  <w:num w:numId="1205">
    <w:abstractNumId w:val="645"/>
  </w:num>
  <w:num w:numId="1206">
    <w:abstractNumId w:val="97"/>
  </w:num>
  <w:num w:numId="1207">
    <w:abstractNumId w:val="1047"/>
  </w:num>
  <w:num w:numId="1208">
    <w:abstractNumId w:val="14"/>
  </w:num>
  <w:num w:numId="1209">
    <w:abstractNumId w:val="65"/>
  </w:num>
  <w:num w:numId="1210">
    <w:abstractNumId w:val="59"/>
  </w:num>
  <w:num w:numId="1211">
    <w:abstractNumId w:val="675"/>
  </w:num>
  <w:num w:numId="1212">
    <w:abstractNumId w:val="731"/>
  </w:num>
  <w:num w:numId="1213">
    <w:abstractNumId w:val="1373"/>
  </w:num>
  <w:num w:numId="1214">
    <w:abstractNumId w:val="340"/>
  </w:num>
  <w:num w:numId="1215">
    <w:abstractNumId w:val="1211"/>
  </w:num>
  <w:num w:numId="1216">
    <w:abstractNumId w:val="786"/>
  </w:num>
  <w:num w:numId="1217">
    <w:abstractNumId w:val="900"/>
  </w:num>
  <w:num w:numId="1218">
    <w:abstractNumId w:val="1339"/>
  </w:num>
  <w:num w:numId="1219">
    <w:abstractNumId w:val="198"/>
  </w:num>
  <w:num w:numId="1220">
    <w:abstractNumId w:val="66"/>
  </w:num>
  <w:num w:numId="1221">
    <w:abstractNumId w:val="1284"/>
  </w:num>
  <w:num w:numId="1222">
    <w:abstractNumId w:val="153"/>
  </w:num>
  <w:num w:numId="1223">
    <w:abstractNumId w:val="1077"/>
  </w:num>
  <w:num w:numId="1224">
    <w:abstractNumId w:val="667"/>
  </w:num>
  <w:num w:numId="1225">
    <w:abstractNumId w:val="1097"/>
  </w:num>
  <w:num w:numId="1226">
    <w:abstractNumId w:val="231"/>
  </w:num>
  <w:num w:numId="1227">
    <w:abstractNumId w:val="220"/>
  </w:num>
  <w:num w:numId="1228">
    <w:abstractNumId w:val="487"/>
  </w:num>
  <w:num w:numId="1229">
    <w:abstractNumId w:val="1324"/>
  </w:num>
  <w:num w:numId="1230">
    <w:abstractNumId w:val="955"/>
  </w:num>
  <w:num w:numId="1231">
    <w:abstractNumId w:val="732"/>
  </w:num>
  <w:num w:numId="1232">
    <w:abstractNumId w:val="1203"/>
  </w:num>
  <w:num w:numId="1233">
    <w:abstractNumId w:val="402"/>
  </w:num>
  <w:num w:numId="1234">
    <w:abstractNumId w:val="319"/>
  </w:num>
  <w:num w:numId="1235">
    <w:abstractNumId w:val="1361"/>
  </w:num>
  <w:num w:numId="1236">
    <w:abstractNumId w:val="553"/>
  </w:num>
  <w:num w:numId="1237">
    <w:abstractNumId w:val="930"/>
  </w:num>
  <w:num w:numId="1238">
    <w:abstractNumId w:val="862"/>
  </w:num>
  <w:num w:numId="1239">
    <w:abstractNumId w:val="224"/>
  </w:num>
  <w:num w:numId="1240">
    <w:abstractNumId w:val="56"/>
  </w:num>
  <w:num w:numId="1241">
    <w:abstractNumId w:val="1068"/>
  </w:num>
  <w:num w:numId="1242">
    <w:abstractNumId w:val="1063"/>
  </w:num>
  <w:num w:numId="1243">
    <w:abstractNumId w:val="368"/>
  </w:num>
  <w:num w:numId="1244">
    <w:abstractNumId w:val="12"/>
  </w:num>
  <w:num w:numId="1245">
    <w:abstractNumId w:val="428"/>
  </w:num>
  <w:num w:numId="1246">
    <w:abstractNumId w:val="1399"/>
  </w:num>
  <w:num w:numId="1247">
    <w:abstractNumId w:val="1101"/>
  </w:num>
  <w:num w:numId="1248">
    <w:abstractNumId w:val="1396"/>
  </w:num>
  <w:num w:numId="1249">
    <w:abstractNumId w:val="1346"/>
  </w:num>
  <w:num w:numId="1250">
    <w:abstractNumId w:val="1181"/>
  </w:num>
  <w:num w:numId="1251">
    <w:abstractNumId w:val="69"/>
  </w:num>
  <w:num w:numId="1252">
    <w:abstractNumId w:val="626"/>
  </w:num>
  <w:num w:numId="1253">
    <w:abstractNumId w:val="589"/>
  </w:num>
  <w:num w:numId="1254">
    <w:abstractNumId w:val="651"/>
  </w:num>
  <w:num w:numId="1255">
    <w:abstractNumId w:val="61"/>
  </w:num>
  <w:num w:numId="1256">
    <w:abstractNumId w:val="134"/>
  </w:num>
  <w:num w:numId="1257">
    <w:abstractNumId w:val="155"/>
  </w:num>
  <w:num w:numId="1258">
    <w:abstractNumId w:val="418"/>
  </w:num>
  <w:num w:numId="1259">
    <w:abstractNumId w:val="905"/>
  </w:num>
  <w:num w:numId="1260">
    <w:abstractNumId w:val="42"/>
  </w:num>
  <w:num w:numId="1261">
    <w:abstractNumId w:val="687"/>
  </w:num>
  <w:num w:numId="1262">
    <w:abstractNumId w:val="866"/>
  </w:num>
  <w:num w:numId="1263">
    <w:abstractNumId w:val="385"/>
  </w:num>
  <w:num w:numId="1264">
    <w:abstractNumId w:val="202"/>
  </w:num>
  <w:num w:numId="1265">
    <w:abstractNumId w:val="162"/>
  </w:num>
  <w:num w:numId="1266">
    <w:abstractNumId w:val="914"/>
  </w:num>
  <w:num w:numId="1267">
    <w:abstractNumId w:val="1338"/>
  </w:num>
  <w:num w:numId="1268">
    <w:abstractNumId w:val="1133"/>
  </w:num>
  <w:num w:numId="1269">
    <w:abstractNumId w:val="460"/>
  </w:num>
  <w:num w:numId="1270">
    <w:abstractNumId w:val="30"/>
  </w:num>
  <w:num w:numId="1271">
    <w:abstractNumId w:val="310"/>
  </w:num>
  <w:num w:numId="1272">
    <w:abstractNumId w:val="394"/>
  </w:num>
  <w:num w:numId="1273">
    <w:abstractNumId w:val="752"/>
  </w:num>
  <w:num w:numId="1274">
    <w:abstractNumId w:val="1051"/>
  </w:num>
  <w:num w:numId="1275">
    <w:abstractNumId w:val="1314"/>
  </w:num>
  <w:num w:numId="1276">
    <w:abstractNumId w:val="909"/>
  </w:num>
  <w:num w:numId="1277">
    <w:abstractNumId w:val="1164"/>
  </w:num>
  <w:num w:numId="1278">
    <w:abstractNumId w:val="303"/>
  </w:num>
  <w:num w:numId="1279">
    <w:abstractNumId w:val="1290"/>
  </w:num>
  <w:num w:numId="1280">
    <w:abstractNumId w:val="701"/>
  </w:num>
  <w:num w:numId="1281">
    <w:abstractNumId w:val="708"/>
  </w:num>
  <w:num w:numId="1282">
    <w:abstractNumId w:val="703"/>
  </w:num>
  <w:num w:numId="1283">
    <w:abstractNumId w:val="62"/>
  </w:num>
  <w:num w:numId="1284">
    <w:abstractNumId w:val="1407"/>
  </w:num>
  <w:num w:numId="1285">
    <w:abstractNumId w:val="461"/>
  </w:num>
  <w:num w:numId="1286">
    <w:abstractNumId w:val="577"/>
  </w:num>
  <w:num w:numId="1287">
    <w:abstractNumId w:val="659"/>
  </w:num>
  <w:num w:numId="1288">
    <w:abstractNumId w:val="244"/>
  </w:num>
  <w:num w:numId="1289">
    <w:abstractNumId w:val="23"/>
  </w:num>
  <w:num w:numId="1290">
    <w:abstractNumId w:val="676"/>
  </w:num>
  <w:num w:numId="1291">
    <w:abstractNumId w:val="1029"/>
  </w:num>
  <w:num w:numId="1292">
    <w:abstractNumId w:val="468"/>
  </w:num>
  <w:num w:numId="1293">
    <w:abstractNumId w:val="1377"/>
  </w:num>
  <w:num w:numId="1294">
    <w:abstractNumId w:val="1352"/>
  </w:num>
  <w:num w:numId="1295">
    <w:abstractNumId w:val="471"/>
  </w:num>
  <w:num w:numId="1296">
    <w:abstractNumId w:val="443"/>
  </w:num>
  <w:num w:numId="1297">
    <w:abstractNumId w:val="704"/>
  </w:num>
  <w:num w:numId="1298">
    <w:abstractNumId w:val="124"/>
  </w:num>
  <w:num w:numId="1299">
    <w:abstractNumId w:val="719"/>
  </w:num>
  <w:num w:numId="1300">
    <w:abstractNumId w:val="1060"/>
  </w:num>
  <w:num w:numId="1301">
    <w:abstractNumId w:val="1371"/>
  </w:num>
  <w:num w:numId="1302">
    <w:abstractNumId w:val="408"/>
  </w:num>
  <w:num w:numId="1303">
    <w:abstractNumId w:val="612"/>
  </w:num>
  <w:num w:numId="1304">
    <w:abstractNumId w:val="195"/>
  </w:num>
  <w:num w:numId="1305">
    <w:abstractNumId w:val="1019"/>
  </w:num>
  <w:num w:numId="1306">
    <w:abstractNumId w:val="83"/>
  </w:num>
  <w:num w:numId="1307">
    <w:abstractNumId w:val="934"/>
  </w:num>
  <w:num w:numId="1308">
    <w:abstractNumId w:val="971"/>
  </w:num>
  <w:num w:numId="1309">
    <w:abstractNumId w:val="1264"/>
  </w:num>
  <w:num w:numId="1310">
    <w:abstractNumId w:val="422"/>
  </w:num>
  <w:num w:numId="1311">
    <w:abstractNumId w:val="1322"/>
  </w:num>
  <w:num w:numId="1312">
    <w:abstractNumId w:val="451"/>
  </w:num>
  <w:num w:numId="1313">
    <w:abstractNumId w:val="1316"/>
  </w:num>
  <w:num w:numId="1314">
    <w:abstractNumId w:val="188"/>
  </w:num>
  <w:num w:numId="1315">
    <w:abstractNumId w:val="1296"/>
  </w:num>
  <w:num w:numId="1316">
    <w:abstractNumId w:val="750"/>
  </w:num>
  <w:num w:numId="1317">
    <w:abstractNumId w:val="563"/>
  </w:num>
  <w:num w:numId="1318">
    <w:abstractNumId w:val="596"/>
  </w:num>
  <w:num w:numId="1319">
    <w:abstractNumId w:val="923"/>
  </w:num>
  <w:num w:numId="1320">
    <w:abstractNumId w:val="28"/>
  </w:num>
  <w:num w:numId="1321">
    <w:abstractNumId w:val="426"/>
  </w:num>
  <w:num w:numId="1322">
    <w:abstractNumId w:val="131"/>
  </w:num>
  <w:num w:numId="1323">
    <w:abstractNumId w:val="844"/>
  </w:num>
  <w:num w:numId="1324">
    <w:abstractNumId w:val="132"/>
  </w:num>
  <w:num w:numId="1325">
    <w:abstractNumId w:val="127"/>
  </w:num>
  <w:num w:numId="1326">
    <w:abstractNumId w:val="290"/>
  </w:num>
  <w:num w:numId="1327">
    <w:abstractNumId w:val="1259"/>
  </w:num>
  <w:num w:numId="1328">
    <w:abstractNumId w:val="799"/>
  </w:num>
  <w:num w:numId="1329">
    <w:abstractNumId w:val="584"/>
  </w:num>
  <w:num w:numId="1330">
    <w:abstractNumId w:val="1116"/>
  </w:num>
  <w:num w:numId="1331">
    <w:abstractNumId w:val="281"/>
  </w:num>
  <w:num w:numId="1332">
    <w:abstractNumId w:val="618"/>
  </w:num>
  <w:num w:numId="1333">
    <w:abstractNumId w:val="1261"/>
  </w:num>
  <w:num w:numId="1334">
    <w:abstractNumId w:val="1148"/>
  </w:num>
  <w:num w:numId="1335">
    <w:abstractNumId w:val="286"/>
  </w:num>
  <w:num w:numId="1336">
    <w:abstractNumId w:val="764"/>
  </w:num>
  <w:num w:numId="1337">
    <w:abstractNumId w:val="583"/>
  </w:num>
  <w:num w:numId="1338">
    <w:abstractNumId w:val="1166"/>
  </w:num>
  <w:num w:numId="1339">
    <w:abstractNumId w:val="843"/>
  </w:num>
  <w:num w:numId="1340">
    <w:abstractNumId w:val="721"/>
  </w:num>
  <w:num w:numId="1341">
    <w:abstractNumId w:val="192"/>
  </w:num>
  <w:num w:numId="1342">
    <w:abstractNumId w:val="585"/>
  </w:num>
  <w:num w:numId="1343">
    <w:abstractNumId w:val="233"/>
  </w:num>
  <w:num w:numId="1344">
    <w:abstractNumId w:val="193"/>
  </w:num>
  <w:num w:numId="1345">
    <w:abstractNumId w:val="20"/>
  </w:num>
  <w:num w:numId="1346">
    <w:abstractNumId w:val="973"/>
  </w:num>
  <w:num w:numId="1347">
    <w:abstractNumId w:val="1215"/>
  </w:num>
  <w:num w:numId="1348">
    <w:abstractNumId w:val="567"/>
  </w:num>
  <w:num w:numId="1349">
    <w:abstractNumId w:val="1167"/>
  </w:num>
  <w:num w:numId="1350">
    <w:abstractNumId w:val="795"/>
  </w:num>
  <w:num w:numId="1351">
    <w:abstractNumId w:val="1134"/>
  </w:num>
  <w:num w:numId="1352">
    <w:abstractNumId w:val="1411"/>
  </w:num>
  <w:num w:numId="1353">
    <w:abstractNumId w:val="715"/>
  </w:num>
  <w:num w:numId="1354">
    <w:abstractNumId w:val="1354"/>
  </w:num>
  <w:num w:numId="1355">
    <w:abstractNumId w:val="285"/>
  </w:num>
  <w:num w:numId="1356">
    <w:abstractNumId w:val="378"/>
  </w:num>
  <w:num w:numId="1357">
    <w:abstractNumId w:val="1175"/>
  </w:num>
  <w:num w:numId="1358">
    <w:abstractNumId w:val="106"/>
  </w:num>
  <w:num w:numId="1359">
    <w:abstractNumId w:val="1117"/>
  </w:num>
  <w:num w:numId="1360">
    <w:abstractNumId w:val="720"/>
  </w:num>
  <w:num w:numId="1361">
    <w:abstractNumId w:val="824"/>
  </w:num>
  <w:num w:numId="1362">
    <w:abstractNumId w:val="970"/>
  </w:num>
  <w:num w:numId="1363">
    <w:abstractNumId w:val="901"/>
  </w:num>
  <w:num w:numId="1364">
    <w:abstractNumId w:val="1236"/>
  </w:num>
  <w:num w:numId="1365">
    <w:abstractNumId w:val="230"/>
  </w:num>
  <w:num w:numId="1366">
    <w:abstractNumId w:val="671"/>
  </w:num>
  <w:num w:numId="1367">
    <w:abstractNumId w:val="118"/>
  </w:num>
  <w:num w:numId="1368">
    <w:abstractNumId w:val="555"/>
  </w:num>
  <w:num w:numId="1369">
    <w:abstractNumId w:val="1386"/>
  </w:num>
  <w:num w:numId="1370">
    <w:abstractNumId w:val="8"/>
  </w:num>
  <w:num w:numId="1371">
    <w:abstractNumId w:val="258"/>
  </w:num>
  <w:num w:numId="1372">
    <w:abstractNumId w:val="33"/>
  </w:num>
  <w:num w:numId="1373">
    <w:abstractNumId w:val="547"/>
  </w:num>
  <w:num w:numId="1374">
    <w:abstractNumId w:val="396"/>
  </w:num>
  <w:num w:numId="1375">
    <w:abstractNumId w:val="58"/>
  </w:num>
  <w:num w:numId="1376">
    <w:abstractNumId w:val="478"/>
  </w:num>
  <w:num w:numId="1377">
    <w:abstractNumId w:val="1185"/>
  </w:num>
  <w:num w:numId="1378">
    <w:abstractNumId w:val="242"/>
  </w:num>
  <w:num w:numId="1379">
    <w:abstractNumId w:val="90"/>
  </w:num>
  <w:num w:numId="1380">
    <w:abstractNumId w:val="1374"/>
  </w:num>
  <w:num w:numId="1381">
    <w:abstractNumId w:val="683"/>
  </w:num>
  <w:num w:numId="1382">
    <w:abstractNumId w:val="232"/>
  </w:num>
  <w:num w:numId="1383">
    <w:abstractNumId w:val="254"/>
  </w:num>
  <w:num w:numId="1384">
    <w:abstractNumId w:val="1026"/>
  </w:num>
  <w:num w:numId="1385">
    <w:abstractNumId w:val="1393"/>
  </w:num>
  <w:num w:numId="1386">
    <w:abstractNumId w:val="245"/>
  </w:num>
  <w:num w:numId="1387">
    <w:abstractNumId w:val="145"/>
  </w:num>
  <w:num w:numId="1388">
    <w:abstractNumId w:val="691"/>
  </w:num>
  <w:num w:numId="1389">
    <w:abstractNumId w:val="1294"/>
  </w:num>
  <w:num w:numId="1390">
    <w:abstractNumId w:val="625"/>
  </w:num>
  <w:num w:numId="1391">
    <w:abstractNumId w:val="1266"/>
  </w:num>
  <w:num w:numId="1392">
    <w:abstractNumId w:val="792"/>
  </w:num>
  <w:num w:numId="1393">
    <w:abstractNumId w:val="956"/>
  </w:num>
  <w:num w:numId="1394">
    <w:abstractNumId w:val="279"/>
  </w:num>
  <w:num w:numId="1395">
    <w:abstractNumId w:val="1234"/>
  </w:num>
  <w:num w:numId="1396">
    <w:abstractNumId w:val="1136"/>
  </w:num>
  <w:num w:numId="1397">
    <w:abstractNumId w:val="1317"/>
  </w:num>
  <w:num w:numId="1398">
    <w:abstractNumId w:val="1243"/>
  </w:num>
  <w:num w:numId="1399">
    <w:abstractNumId w:val="699"/>
  </w:num>
  <w:num w:numId="1400">
    <w:abstractNumId w:val="1108"/>
  </w:num>
  <w:num w:numId="1401">
    <w:abstractNumId w:val="135"/>
  </w:num>
  <w:num w:numId="1402">
    <w:abstractNumId w:val="1007"/>
  </w:num>
  <w:num w:numId="1403">
    <w:abstractNumId w:val="819"/>
  </w:num>
  <w:num w:numId="1404">
    <w:abstractNumId w:val="673"/>
  </w:num>
  <w:num w:numId="1405">
    <w:abstractNumId w:val="41"/>
  </w:num>
  <w:num w:numId="1406">
    <w:abstractNumId w:val="670"/>
  </w:num>
  <w:num w:numId="1407">
    <w:abstractNumId w:val="346"/>
  </w:num>
  <w:num w:numId="1408">
    <w:abstractNumId w:val="814"/>
  </w:num>
  <w:num w:numId="1409">
    <w:abstractNumId w:val="710"/>
  </w:num>
  <w:num w:numId="1410">
    <w:abstractNumId w:val="201"/>
  </w:num>
  <w:num w:numId="1411">
    <w:abstractNumId w:val="1147"/>
  </w:num>
  <w:num w:numId="1412">
    <w:abstractNumId w:val="1044"/>
  </w:num>
  <w:num w:numId="1413">
    <w:abstractNumId w:val="1152"/>
  </w:num>
  <w:num w:numId="1414">
    <w:abstractNumId w:val="1092"/>
  </w:num>
  <w:num w:numId="1415">
    <w:abstractNumId w:val="1337"/>
  </w:num>
  <w:num w:numId="1416">
    <w:abstractNumId w:val="1285"/>
  </w:num>
  <w:num w:numId="1417">
    <w:abstractNumId w:val="1210"/>
  </w:num>
  <w:num w:numId="1418">
    <w:abstractNumId w:val="820"/>
  </w:num>
  <w:num w:numId="1419">
    <w:abstractNumId w:val="727"/>
  </w:num>
  <w:num w:numId="1420">
    <w:abstractNumId w:val="1067"/>
  </w:num>
  <w:num w:numId="1421">
    <w:abstractNumId w:val="661"/>
  </w:num>
  <w:num w:numId="1422">
    <w:abstractNumId w:val="1312"/>
  </w:num>
  <w:num w:numId="1423">
    <w:abstractNumId w:val="586"/>
  </w:num>
  <w:numIdMacAtCleanup w:val="14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3F"/>
    <w:rsid w:val="00006692"/>
    <w:rsid w:val="0005678E"/>
    <w:rsid w:val="00066112"/>
    <w:rsid w:val="0007201C"/>
    <w:rsid w:val="00093C34"/>
    <w:rsid w:val="000C5EBA"/>
    <w:rsid w:val="000D74AC"/>
    <w:rsid w:val="000E057E"/>
    <w:rsid w:val="0010260D"/>
    <w:rsid w:val="00125631"/>
    <w:rsid w:val="00134FE1"/>
    <w:rsid w:val="001413DB"/>
    <w:rsid w:val="001519FF"/>
    <w:rsid w:val="001636CA"/>
    <w:rsid w:val="00175607"/>
    <w:rsid w:val="001D375D"/>
    <w:rsid w:val="001E2088"/>
    <w:rsid w:val="00205B3F"/>
    <w:rsid w:val="00250109"/>
    <w:rsid w:val="002840E5"/>
    <w:rsid w:val="002A56D0"/>
    <w:rsid w:val="002A7565"/>
    <w:rsid w:val="002D2A51"/>
    <w:rsid w:val="00316FE5"/>
    <w:rsid w:val="003A00D0"/>
    <w:rsid w:val="003B65C2"/>
    <w:rsid w:val="003D024A"/>
    <w:rsid w:val="003D4127"/>
    <w:rsid w:val="003D6D33"/>
    <w:rsid w:val="003F0D83"/>
    <w:rsid w:val="004107F7"/>
    <w:rsid w:val="00423E31"/>
    <w:rsid w:val="00424171"/>
    <w:rsid w:val="00426F13"/>
    <w:rsid w:val="00435865"/>
    <w:rsid w:val="004443C2"/>
    <w:rsid w:val="00444640"/>
    <w:rsid w:val="00444F33"/>
    <w:rsid w:val="00494BA5"/>
    <w:rsid w:val="004D037F"/>
    <w:rsid w:val="004D5DB8"/>
    <w:rsid w:val="00511048"/>
    <w:rsid w:val="00533036"/>
    <w:rsid w:val="005408C0"/>
    <w:rsid w:val="0054415D"/>
    <w:rsid w:val="005467AC"/>
    <w:rsid w:val="005675D9"/>
    <w:rsid w:val="00597E02"/>
    <w:rsid w:val="005D7AC7"/>
    <w:rsid w:val="005E214D"/>
    <w:rsid w:val="005E597C"/>
    <w:rsid w:val="00607152"/>
    <w:rsid w:val="00622D11"/>
    <w:rsid w:val="00631C22"/>
    <w:rsid w:val="00655786"/>
    <w:rsid w:val="00657BB6"/>
    <w:rsid w:val="006A7A3F"/>
    <w:rsid w:val="006B6909"/>
    <w:rsid w:val="006C1B2E"/>
    <w:rsid w:val="006E712C"/>
    <w:rsid w:val="00701E28"/>
    <w:rsid w:val="00707776"/>
    <w:rsid w:val="00771D79"/>
    <w:rsid w:val="0078053C"/>
    <w:rsid w:val="007838C9"/>
    <w:rsid w:val="007A5E98"/>
    <w:rsid w:val="007C271A"/>
    <w:rsid w:val="007E0AD6"/>
    <w:rsid w:val="00817C2F"/>
    <w:rsid w:val="00833C84"/>
    <w:rsid w:val="00836C20"/>
    <w:rsid w:val="00837A32"/>
    <w:rsid w:val="00843FAE"/>
    <w:rsid w:val="00864646"/>
    <w:rsid w:val="0087445D"/>
    <w:rsid w:val="008A7286"/>
    <w:rsid w:val="008B4453"/>
    <w:rsid w:val="008E6A97"/>
    <w:rsid w:val="008F6EBD"/>
    <w:rsid w:val="00966898"/>
    <w:rsid w:val="00994C74"/>
    <w:rsid w:val="009A012E"/>
    <w:rsid w:val="009B6917"/>
    <w:rsid w:val="009B7931"/>
    <w:rsid w:val="009C1CCE"/>
    <w:rsid w:val="00A1021A"/>
    <w:rsid w:val="00A23A84"/>
    <w:rsid w:val="00A846EE"/>
    <w:rsid w:val="00AA1349"/>
    <w:rsid w:val="00AC23E0"/>
    <w:rsid w:val="00AC33B3"/>
    <w:rsid w:val="00AE6949"/>
    <w:rsid w:val="00AF39EE"/>
    <w:rsid w:val="00AF59F3"/>
    <w:rsid w:val="00B04111"/>
    <w:rsid w:val="00B114BD"/>
    <w:rsid w:val="00B33139"/>
    <w:rsid w:val="00B408A4"/>
    <w:rsid w:val="00B55EE8"/>
    <w:rsid w:val="00B66EFE"/>
    <w:rsid w:val="00B670E3"/>
    <w:rsid w:val="00B74888"/>
    <w:rsid w:val="00BA18F7"/>
    <w:rsid w:val="00BC534D"/>
    <w:rsid w:val="00BC7372"/>
    <w:rsid w:val="00BF686A"/>
    <w:rsid w:val="00C20B4E"/>
    <w:rsid w:val="00C34839"/>
    <w:rsid w:val="00C65395"/>
    <w:rsid w:val="00C771F6"/>
    <w:rsid w:val="00C7731C"/>
    <w:rsid w:val="00C92D74"/>
    <w:rsid w:val="00CC340C"/>
    <w:rsid w:val="00CD0057"/>
    <w:rsid w:val="00D41592"/>
    <w:rsid w:val="00DF61B8"/>
    <w:rsid w:val="00E175D4"/>
    <w:rsid w:val="00E3066E"/>
    <w:rsid w:val="00E455BB"/>
    <w:rsid w:val="00E459ED"/>
    <w:rsid w:val="00E64968"/>
    <w:rsid w:val="00E72D8C"/>
    <w:rsid w:val="00E81EE6"/>
    <w:rsid w:val="00E9153C"/>
    <w:rsid w:val="00ED248D"/>
    <w:rsid w:val="00EF0819"/>
    <w:rsid w:val="00F16B78"/>
    <w:rsid w:val="00F31241"/>
    <w:rsid w:val="00F32821"/>
    <w:rsid w:val="00F32FAC"/>
    <w:rsid w:val="00F631EA"/>
    <w:rsid w:val="00F71DF3"/>
    <w:rsid w:val="00F875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3207C3-1D3F-5F46-AD48-79A64D1C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4F33"/>
    <w:rPr>
      <w:rFonts w:ascii="Arial" w:eastAsia="Arial" w:hAnsi="Arial" w:cs="Arial"/>
      <w:lang w:val="en-GB" w:eastAsia="en-GB" w:bidi="en-GB"/>
    </w:rPr>
  </w:style>
  <w:style w:type="paragraph" w:styleId="Heading1">
    <w:name w:val="heading 1"/>
    <w:basedOn w:val="Normal"/>
    <w:uiPriority w:val="9"/>
    <w:qFormat/>
    <w:pPr>
      <w:ind w:left="910" w:hanging="701"/>
      <w:outlineLvl w:val="0"/>
    </w:pPr>
    <w:rPr>
      <w:sz w:val="42"/>
      <w:szCs w:val="42"/>
    </w:rPr>
  </w:style>
  <w:style w:type="paragraph" w:styleId="Heading2">
    <w:name w:val="heading 2"/>
    <w:basedOn w:val="Normal"/>
    <w:uiPriority w:val="9"/>
    <w:unhideWhenUsed/>
    <w:qFormat/>
    <w:pPr>
      <w:spacing w:before="273"/>
      <w:ind w:left="210" w:right="294"/>
      <w:outlineLvl w:val="1"/>
    </w:pPr>
    <w:rPr>
      <w:sz w:val="30"/>
      <w:szCs w:val="30"/>
    </w:rPr>
  </w:style>
  <w:style w:type="paragraph" w:styleId="Heading3">
    <w:name w:val="heading 3"/>
    <w:basedOn w:val="Normal"/>
    <w:uiPriority w:val="9"/>
    <w:unhideWhenUsed/>
    <w:qFormat/>
    <w:pPr>
      <w:ind w:left="210"/>
      <w:outlineLvl w:val="2"/>
    </w:pPr>
    <w:rPr>
      <w:b/>
      <w:bCs/>
      <w:sz w:val="28"/>
      <w:szCs w:val="28"/>
    </w:rPr>
  </w:style>
  <w:style w:type="paragraph" w:styleId="Heading4">
    <w:name w:val="heading 4"/>
    <w:basedOn w:val="Normal"/>
    <w:uiPriority w:val="9"/>
    <w:unhideWhenUsed/>
    <w:qFormat/>
    <w:pPr>
      <w:ind w:left="210"/>
      <w:outlineLvl w:val="3"/>
    </w:pPr>
    <w:rPr>
      <w:b/>
      <w:bCs/>
      <w:sz w:val="24"/>
      <w:szCs w:val="24"/>
    </w:rPr>
  </w:style>
  <w:style w:type="paragraph" w:styleId="Heading5">
    <w:name w:val="heading 5"/>
    <w:basedOn w:val="Normal"/>
    <w:uiPriority w:val="9"/>
    <w:unhideWhenUsed/>
    <w:qFormat/>
    <w:pPr>
      <w:ind w:left="810" w:hanging="601"/>
      <w:outlineLvl w:val="4"/>
    </w:pPr>
    <w:rPr>
      <w:rFonts w:ascii="HelveticaNeueLTStd-Md" w:eastAsia="HelveticaNeueLTStd-Md" w:hAnsi="HelveticaNeueLTStd-Md" w:cs="HelveticaNeueLTStd-Md"/>
      <w:sz w:val="24"/>
      <w:szCs w:val="24"/>
    </w:rPr>
  </w:style>
  <w:style w:type="paragraph" w:styleId="Heading6">
    <w:name w:val="heading 6"/>
    <w:basedOn w:val="Normal"/>
    <w:uiPriority w:val="9"/>
    <w:unhideWhenUsed/>
    <w:qFormat/>
    <w:pPr>
      <w:spacing w:before="99"/>
      <w:ind w:left="210" w:right="100"/>
      <w:outlineLvl w:val="5"/>
    </w:pPr>
  </w:style>
  <w:style w:type="paragraph" w:styleId="Heading7">
    <w:name w:val="heading 7"/>
    <w:basedOn w:val="Normal"/>
    <w:uiPriority w:val="1"/>
    <w:qFormat/>
    <w:pPr>
      <w:ind w:left="21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72"/>
      <w:ind w:left="210"/>
    </w:pPr>
    <w:rPr>
      <w:sz w:val="20"/>
      <w:szCs w:val="20"/>
    </w:rPr>
  </w:style>
  <w:style w:type="paragraph" w:styleId="ListParagraph">
    <w:name w:val="List Paragraph"/>
    <w:basedOn w:val="Normal"/>
    <w:uiPriority w:val="1"/>
    <w:qFormat/>
    <w:pPr>
      <w:spacing w:before="95"/>
      <w:ind w:left="493" w:hanging="281"/>
    </w:pPr>
  </w:style>
  <w:style w:type="paragraph" w:customStyle="1" w:styleId="TableParagraph">
    <w:name w:val="Table Paragraph"/>
    <w:basedOn w:val="Normal"/>
    <w:uiPriority w:val="1"/>
    <w:qFormat/>
    <w:pPr>
      <w:ind w:left="304"/>
    </w:pPr>
  </w:style>
  <w:style w:type="paragraph" w:customStyle="1" w:styleId="Intro-Heading1Introduction">
    <w:name w:val="* Intro-Heading 1 (Introduction)"/>
    <w:basedOn w:val="Normal"/>
    <w:uiPriority w:val="99"/>
    <w:rsid w:val="00CC340C"/>
    <w:pPr>
      <w:widowControl/>
      <w:suppressAutoHyphens/>
      <w:adjustRightInd w:val="0"/>
      <w:spacing w:after="283" w:line="520" w:lineRule="atLeast"/>
      <w:ind w:left="740" w:hanging="740"/>
      <w:textAlignment w:val="center"/>
    </w:pPr>
    <w:rPr>
      <w:rFonts w:eastAsiaTheme="minorHAnsi"/>
      <w:color w:val="000000"/>
      <w:sz w:val="42"/>
      <w:szCs w:val="42"/>
      <w:lang w:eastAsia="en-US" w:bidi="ar-SA"/>
    </w:rPr>
  </w:style>
  <w:style w:type="paragraph" w:customStyle="1" w:styleId="H3-IntroIntroduction">
    <w:name w:val="* H3-Intro (Introduction)"/>
    <w:basedOn w:val="Normal"/>
    <w:uiPriority w:val="99"/>
    <w:rsid w:val="00CC340C"/>
    <w:pPr>
      <w:widowControl/>
      <w:suppressAutoHyphens/>
      <w:adjustRightInd w:val="0"/>
      <w:spacing w:before="57" w:after="57" w:line="280" w:lineRule="atLeast"/>
      <w:textAlignment w:val="center"/>
    </w:pPr>
    <w:rPr>
      <w:rFonts w:eastAsiaTheme="minorHAnsi"/>
      <w:b/>
      <w:bCs/>
      <w:color w:val="000000"/>
      <w:sz w:val="24"/>
      <w:szCs w:val="24"/>
      <w:lang w:eastAsia="en-US" w:bidi="ar-SA"/>
    </w:rPr>
  </w:style>
  <w:style w:type="paragraph" w:customStyle="1" w:styleId="BodyText0">
    <w:name w:val="* Body Text"/>
    <w:basedOn w:val="Normal"/>
    <w:uiPriority w:val="99"/>
    <w:rsid w:val="00CC340C"/>
    <w:pPr>
      <w:widowControl/>
      <w:suppressAutoHyphens/>
      <w:adjustRightInd w:val="0"/>
      <w:spacing w:after="170" w:line="240" w:lineRule="atLeast"/>
      <w:textAlignment w:val="center"/>
    </w:pPr>
    <w:rPr>
      <w:rFonts w:eastAsiaTheme="minorHAnsi"/>
      <w:color w:val="000000"/>
      <w:sz w:val="20"/>
      <w:szCs w:val="20"/>
      <w:lang w:eastAsia="en-US" w:bidi="ar-SA"/>
    </w:rPr>
  </w:style>
  <w:style w:type="character" w:customStyle="1" w:styleId="BodytextBOLD">
    <w:name w:val="Body text BOLD"/>
    <w:uiPriority w:val="99"/>
    <w:rsid w:val="00CC340C"/>
    <w:rPr>
      <w:rFonts w:ascii="Arial" w:hAnsi="Arial" w:cs="Arial"/>
      <w:b/>
      <w:bCs/>
    </w:rPr>
  </w:style>
  <w:style w:type="paragraph" w:styleId="Header">
    <w:name w:val="header"/>
    <w:basedOn w:val="Normal"/>
    <w:link w:val="HeaderChar"/>
    <w:uiPriority w:val="99"/>
    <w:unhideWhenUsed/>
    <w:rsid w:val="00BC7372"/>
    <w:pPr>
      <w:tabs>
        <w:tab w:val="center" w:pos="4680"/>
        <w:tab w:val="right" w:pos="9360"/>
      </w:tabs>
    </w:pPr>
  </w:style>
  <w:style w:type="character" w:customStyle="1" w:styleId="HeaderChar">
    <w:name w:val="Header Char"/>
    <w:basedOn w:val="DefaultParagraphFont"/>
    <w:link w:val="Header"/>
    <w:uiPriority w:val="99"/>
    <w:rsid w:val="00BC7372"/>
    <w:rPr>
      <w:rFonts w:ascii="Arial" w:eastAsia="Arial" w:hAnsi="Arial" w:cs="Arial"/>
      <w:lang w:val="en-GB" w:eastAsia="en-GB" w:bidi="en-GB"/>
    </w:rPr>
  </w:style>
  <w:style w:type="paragraph" w:styleId="Footer">
    <w:name w:val="footer"/>
    <w:basedOn w:val="Normal"/>
    <w:link w:val="FooterChar"/>
    <w:uiPriority w:val="99"/>
    <w:unhideWhenUsed/>
    <w:rsid w:val="00BC7372"/>
    <w:pPr>
      <w:tabs>
        <w:tab w:val="center" w:pos="4680"/>
        <w:tab w:val="right" w:pos="9360"/>
      </w:tabs>
    </w:pPr>
  </w:style>
  <w:style w:type="character" w:customStyle="1" w:styleId="FooterChar">
    <w:name w:val="Footer Char"/>
    <w:basedOn w:val="DefaultParagraphFont"/>
    <w:link w:val="Footer"/>
    <w:uiPriority w:val="99"/>
    <w:rsid w:val="00BC7372"/>
    <w:rPr>
      <w:rFonts w:ascii="Arial" w:eastAsia="Arial" w:hAnsi="Arial" w:cs="Arial"/>
      <w:lang w:val="en-GB" w:eastAsia="en-GB" w:bidi="en-GB"/>
    </w:rPr>
  </w:style>
  <w:style w:type="character" w:styleId="PageNumber">
    <w:name w:val="page number"/>
    <w:basedOn w:val="DefaultParagraphFont"/>
    <w:uiPriority w:val="99"/>
    <w:semiHidden/>
    <w:unhideWhenUsed/>
    <w:rsid w:val="00BC7372"/>
  </w:style>
  <w:style w:type="table" w:styleId="TableGrid">
    <w:name w:val="Table Grid"/>
    <w:basedOn w:val="TableNormal"/>
    <w:uiPriority w:val="39"/>
    <w:rsid w:val="008E6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whiteTabletext">
    <w:name w:val="* Table H1 white (Table text)"/>
    <w:basedOn w:val="Normal"/>
    <w:uiPriority w:val="99"/>
    <w:rsid w:val="008E6A97"/>
    <w:pPr>
      <w:widowControl/>
      <w:suppressAutoHyphens/>
      <w:adjustRightInd w:val="0"/>
      <w:spacing w:after="200" w:line="288" w:lineRule="auto"/>
      <w:textAlignment w:val="center"/>
    </w:pPr>
    <w:rPr>
      <w:rFonts w:ascii="HelveticaNeueLT Std Med" w:eastAsiaTheme="minorEastAsia" w:hAnsi="HelveticaNeueLT Std Med" w:cs="HelveticaNeueLT Std Med"/>
      <w:color w:val="FFFFFF"/>
      <w:sz w:val="17"/>
      <w:szCs w:val="17"/>
      <w:lang w:eastAsia="en-US" w:bidi="ar-SA"/>
    </w:rPr>
  </w:style>
  <w:style w:type="paragraph" w:customStyle="1" w:styleId="BodyText-Table">
    <w:name w:val="##Body Text - Table"/>
    <w:basedOn w:val="Normal"/>
    <w:uiPriority w:val="1"/>
    <w:qFormat/>
    <w:rsid w:val="008E6A97"/>
    <w:pPr>
      <w:widowControl/>
      <w:autoSpaceDE/>
      <w:autoSpaceDN/>
      <w:spacing w:before="60" w:after="60" w:line="259" w:lineRule="auto"/>
    </w:pPr>
    <w:rPr>
      <w:rFonts w:asciiTheme="minorHAnsi" w:eastAsiaTheme="minorEastAsia" w:hAnsiTheme="minorHAnsi" w:cstheme="minorBidi"/>
      <w:sz w:val="18"/>
      <w:szCs w:val="20"/>
      <w:lang w:eastAsia="en-US" w:bidi="ar-SA"/>
    </w:rPr>
  </w:style>
  <w:style w:type="paragraph" w:customStyle="1" w:styleId="Default">
    <w:name w:val="Default"/>
    <w:rsid w:val="002A7565"/>
    <w:pPr>
      <w:widowControl/>
      <w:adjustRightInd w:val="0"/>
    </w:pPr>
    <w:rPr>
      <w:rFonts w:ascii="HelveticaNeueLT Std" w:hAnsi="HelveticaNeueLT Std" w:cs="HelveticaNeueLT Std"/>
      <w:color w:val="000000"/>
      <w:sz w:val="24"/>
      <w:szCs w:val="24"/>
      <w:lang w:val="en-GB"/>
    </w:rPr>
  </w:style>
  <w:style w:type="paragraph" w:customStyle="1" w:styleId="Pa4">
    <w:name w:val="Pa4"/>
    <w:basedOn w:val="Default"/>
    <w:next w:val="Default"/>
    <w:uiPriority w:val="99"/>
    <w:rsid w:val="002A7565"/>
    <w:pPr>
      <w:spacing w:line="191" w:lineRule="atLeast"/>
    </w:pPr>
    <w:rPr>
      <w:rFonts w:cstheme="minorBidi"/>
      <w:color w:val="auto"/>
    </w:rPr>
  </w:style>
  <w:style w:type="paragraph" w:customStyle="1" w:styleId="Pa5">
    <w:name w:val="Pa5"/>
    <w:basedOn w:val="Default"/>
    <w:next w:val="Default"/>
    <w:uiPriority w:val="99"/>
    <w:rsid w:val="002A7565"/>
    <w:pPr>
      <w:spacing w:line="191" w:lineRule="atLeast"/>
    </w:pPr>
    <w:rPr>
      <w:rFonts w:cstheme="minorBidi"/>
      <w:color w:val="auto"/>
    </w:rPr>
  </w:style>
  <w:style w:type="paragraph" w:customStyle="1" w:styleId="Pa3">
    <w:name w:val="Pa3"/>
    <w:basedOn w:val="Default"/>
    <w:next w:val="Default"/>
    <w:uiPriority w:val="99"/>
    <w:rsid w:val="005675D9"/>
    <w:pPr>
      <w:spacing w:line="191" w:lineRule="atLeast"/>
    </w:pPr>
    <w:rPr>
      <w:rFonts w:cstheme="minorBidi"/>
      <w:color w:val="auto"/>
    </w:rPr>
  </w:style>
  <w:style w:type="character" w:styleId="Hyperlink">
    <w:name w:val="Hyperlink"/>
    <w:basedOn w:val="DefaultParagraphFont"/>
    <w:uiPriority w:val="99"/>
    <w:unhideWhenUsed/>
    <w:rsid w:val="00C7731C"/>
    <w:rPr>
      <w:color w:val="0000FF" w:themeColor="hyperlink"/>
      <w:u w:val="single"/>
    </w:rPr>
  </w:style>
  <w:style w:type="character" w:styleId="UnresolvedMention">
    <w:name w:val="Unresolved Mention"/>
    <w:basedOn w:val="DefaultParagraphFont"/>
    <w:uiPriority w:val="99"/>
    <w:semiHidden/>
    <w:unhideWhenUsed/>
    <w:rsid w:val="00C7731C"/>
    <w:rPr>
      <w:color w:val="605E5C"/>
      <w:shd w:val="clear" w:color="auto" w:fill="E1DFDD"/>
    </w:rPr>
  </w:style>
  <w:style w:type="paragraph" w:styleId="BalloonText">
    <w:name w:val="Balloon Text"/>
    <w:basedOn w:val="Normal"/>
    <w:link w:val="BalloonTextChar"/>
    <w:uiPriority w:val="99"/>
    <w:semiHidden/>
    <w:unhideWhenUsed/>
    <w:rsid w:val="00837A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7A32"/>
    <w:rPr>
      <w:rFonts w:ascii="Times New Roman" w:eastAsia="Arial" w:hAnsi="Times New Roman" w:cs="Times New Roman"/>
      <w:sz w:val="18"/>
      <w:szCs w:val="18"/>
      <w:lang w:val="en-GB" w:eastAsia="en-GB" w:bidi="en-GB"/>
    </w:rPr>
  </w:style>
  <w:style w:type="paragraph" w:customStyle="1" w:styleId="BasicParagraph">
    <w:name w:val="[Basic Paragraph]"/>
    <w:basedOn w:val="Normal"/>
    <w:uiPriority w:val="99"/>
    <w:rsid w:val="001D375D"/>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paragraph" w:customStyle="1" w:styleId="H3-NorthernCommunityBenefitNorthernRegion">
    <w:name w:val="* H3-Northern Community Benefit (Northern Region)"/>
    <w:basedOn w:val="Normal"/>
    <w:uiPriority w:val="99"/>
    <w:rsid w:val="00E459ED"/>
    <w:pPr>
      <w:widowControl/>
      <w:suppressAutoHyphens/>
      <w:adjustRightInd w:val="0"/>
      <w:spacing w:before="57" w:after="113" w:line="288" w:lineRule="auto"/>
      <w:textAlignment w:val="center"/>
    </w:pPr>
    <w:rPr>
      <w:rFonts w:ascii="HelveticaNeueLT Std" w:eastAsiaTheme="minorHAnsi" w:hAnsi="HelveticaNeueLT Std" w:cs="HelveticaNeueLT Std"/>
      <w:b/>
      <w:bCs/>
      <w:color w:val="24408E"/>
      <w:sz w:val="28"/>
      <w:szCs w:val="2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general.enquiries@vewh.vic"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yperlink" Target="mailto:general.enquiries@vewh.vic.gov.au" TargetMode="External"/><Relationship Id="rId68" Type="http://schemas.openxmlformats.org/officeDocument/2006/relationships/hyperlink" Target="http://www.egcma.com.au/" TargetMode="External"/><Relationship Id="rId76" Type="http://schemas.openxmlformats.org/officeDocument/2006/relationships/hyperlink" Target="http://www.melbournewater.com.au/" TargetMode="External"/><Relationship Id="rId84" Type="http://schemas.openxmlformats.org/officeDocument/2006/relationships/hyperlink" Target="http://www.wcma.vic.gov.au/"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mailto:reception@gbcma.vic.gov.au"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hyperlink" Target="http://www.mdba.gov.au/" TargetMode="External"/><Relationship Id="rId24"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hyperlink" Target="http://www.ccma.vic.gov.au" TargetMode="External"/><Relationship Id="rId74" Type="http://schemas.openxmlformats.org/officeDocument/2006/relationships/hyperlink" Target="http://www.malleecma.vic.gov.au/" TargetMode="External"/><Relationship Id="rId79" Type="http://schemas.openxmlformats.org/officeDocument/2006/relationships/hyperlink" Target="mailto:necma@necma.vic.gov.au" TargetMode="External"/><Relationship Id="rId87" Type="http://schemas.openxmlformats.org/officeDocument/2006/relationships/hyperlink" Target="mailto:ewater@environment.gov.au" TargetMode="External"/><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hyperlink" Target="http://www.wgcma.vic.gov.au/" TargetMode="External"/><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http://www.vewh.vic.gov.au/" TargetMode="External"/><Relationship Id="rId69" Type="http://schemas.openxmlformats.org/officeDocument/2006/relationships/hyperlink" Target="mailto:ghcma@ghcma.vic.gov.au" TargetMode="External"/><Relationship Id="rId77" Type="http://schemas.openxmlformats.org/officeDocument/2006/relationships/hyperlink" Target="mailto:info@nccma.vic.gov.au" TargetMode="Externa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hyperlink" Target="http://www.gbcma.vic.gov.au/" TargetMode="External"/><Relationship Id="rId80" Type="http://schemas.openxmlformats.org/officeDocument/2006/relationships/hyperlink" Target="http://www.necma.vic.gov.au/" TargetMode="External"/><Relationship Id="rId85" Type="http://schemas.openxmlformats.org/officeDocument/2006/relationships/hyperlink" Target="mailto:inquiries@mdba.gov.au" TargetMode="External"/><Relationship Id="rId3" Type="http://schemas.openxmlformats.org/officeDocument/2006/relationships/settings" Target="settings.xml"/><Relationship Id="rId12" Type="http://schemas.openxmlformats.org/officeDocument/2006/relationships/hyperlink" Target="mailto:general.enquiries@vewh.vic.gov.au"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6.jpeg"/><Relationship Id="rId67" Type="http://schemas.openxmlformats.org/officeDocument/2006/relationships/hyperlink" Target="mailto:egcma@egcma.com.au" TargetMode="External"/><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hyperlink" Target="http://www.ghcma.vic.gov.au/" TargetMode="External"/><Relationship Id="rId75" Type="http://schemas.openxmlformats.org/officeDocument/2006/relationships/hyperlink" Target="mailto:enquiry@melbournewater.com.au" TargetMode="External"/><Relationship Id="rId83" Type="http://schemas.openxmlformats.org/officeDocument/2006/relationships/hyperlink" Target="mailto:wcma@wcma.vic.gov.au" TargetMode="External"/><Relationship Id="rId88" Type="http://schemas.openxmlformats.org/officeDocument/2006/relationships/hyperlink" Target="http://www.environment.gov.au/water/cew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eneral.enquiries@vewh.vic.gov.au" TargetMode="External"/><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0.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hyperlink" Target="mailto:info@ccma.vic.gov.au" TargetMode="External"/><Relationship Id="rId73" Type="http://schemas.openxmlformats.org/officeDocument/2006/relationships/hyperlink" Target="mailto:reception@malleecma.com.au" TargetMode="External"/><Relationship Id="rId78" Type="http://schemas.openxmlformats.org/officeDocument/2006/relationships/hyperlink" Target="http://www.nccma.vic.gov.au/" TargetMode="External"/><Relationship Id="rId81" Type="http://schemas.openxmlformats.org/officeDocument/2006/relationships/hyperlink" Target="mailto:westgippy@wgcma.vic.gov.au" TargetMode="External"/><Relationship Id="rId86" Type="http://schemas.openxmlformats.org/officeDocument/2006/relationships/hyperlink" Target="http://www.mdb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111785</Words>
  <Characters>637180</Characters>
  <Application>Microsoft Office Word</Application>
  <DocSecurity>0</DocSecurity>
  <Lines>5309</Lines>
  <Paragraphs>1494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 Hilbig (DELWP)</dc:creator>
  <cp:lastModifiedBy>Charlotte M Hilbig (DELWP)</cp:lastModifiedBy>
  <cp:revision>2</cp:revision>
  <cp:lastPrinted>2020-07-06T06:27:00Z</cp:lastPrinted>
  <dcterms:created xsi:type="dcterms:W3CDTF">2020-07-06T06:56:00Z</dcterms:created>
  <dcterms:modified xsi:type="dcterms:W3CDTF">2020-07-06T06:56:00Z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Adobe InDesign 15.1 (Macintosh)</vt:lpwstr>
  </property>
  <property fmtid="{D5CDD505-2E9C-101B-9397-08002B2CF9AE}" pid="4" name="LastSaved">
    <vt:filetime>2020-07-02T00:00:00Z</vt:filetime>
  </property>
</Properties>
</file>